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23CD40" w14:textId="76B3D63C" w:rsidR="00E0283C" w:rsidRDefault="00E0283C" w:rsidP="00ED4177">
      <w:pPr>
        <w:pStyle w:val="TPHeading2"/>
        <w:spacing w:before="600" w:after="360"/>
        <w:rPr>
          <w:rFonts w:ascii="Book Antiqua" w:hAnsi="Book Antiqua"/>
          <w:b/>
          <w:caps w:val="0"/>
          <w:sz w:val="32"/>
          <w:szCs w:val="36"/>
        </w:rPr>
      </w:pPr>
      <w:bookmarkStart w:id="0" w:name="_Toc51689724"/>
      <w:bookmarkStart w:id="1" w:name="_Toc51689822"/>
      <w:bookmarkStart w:id="2" w:name="_Toc51690290"/>
      <w:bookmarkStart w:id="3" w:name="_Toc51690402"/>
      <w:bookmarkStart w:id="4" w:name="_Toc51690630"/>
      <w:bookmarkStart w:id="5" w:name="_Toc51690768"/>
      <w:bookmarkStart w:id="6" w:name="_Toc51690897"/>
      <w:bookmarkStart w:id="7" w:name="_Toc51691140"/>
      <w:bookmarkStart w:id="8" w:name="_Toc51691343"/>
      <w:bookmarkStart w:id="9" w:name="_Toc51691660"/>
      <w:bookmarkStart w:id="10" w:name="_Toc65150724"/>
      <w:bookmarkStart w:id="11" w:name="_Toc340655856"/>
      <w:bookmarkStart w:id="12" w:name="_Toc340656264"/>
      <w:bookmarkStart w:id="13" w:name="_Toc340656894"/>
      <w:bookmarkStart w:id="14" w:name="_Toc340665294"/>
      <w:bookmarkStart w:id="15" w:name="_Toc340669818"/>
      <w:bookmarkStart w:id="16" w:name="_Toc346545725"/>
      <w:bookmarkStart w:id="17" w:name="_Toc346622279"/>
      <w:bookmarkStart w:id="18" w:name="_Toc346692739"/>
      <w:bookmarkStart w:id="19" w:name="_Toc346713082"/>
      <w:bookmarkStart w:id="20" w:name="_Toc346788751"/>
      <w:bookmarkStart w:id="21" w:name="_Toc346824127"/>
      <w:bookmarkStart w:id="22" w:name="_Toc346891298"/>
      <w:bookmarkStart w:id="23" w:name="_Toc347238750"/>
      <w:bookmarkStart w:id="24" w:name="_Toc347415199"/>
      <w:bookmarkStart w:id="25" w:name="_Toc347473798"/>
      <w:bookmarkStart w:id="26" w:name="_Toc347481824"/>
      <w:bookmarkStart w:id="27" w:name="_Toc347490059"/>
      <w:bookmarkStart w:id="28" w:name="_Toc347744285"/>
      <w:bookmarkStart w:id="29" w:name="_Toc347754527"/>
      <w:bookmarkStart w:id="30" w:name="_Toc347757653"/>
      <w:bookmarkStart w:id="31" w:name="_Toc347764595"/>
      <w:bookmarkStart w:id="32" w:name="_Toc347766456"/>
    </w:p>
    <w:p w14:paraId="6C2EBC99" w14:textId="3FFD4694" w:rsidR="004658BE" w:rsidRDefault="004658BE" w:rsidP="00ED4177">
      <w:pPr>
        <w:pStyle w:val="TPHeading2"/>
        <w:spacing w:before="600" w:after="360"/>
        <w:rPr>
          <w:rFonts w:ascii="Book Antiqua" w:hAnsi="Book Antiqua"/>
          <w:b/>
          <w:caps w:val="0"/>
          <w:sz w:val="32"/>
          <w:szCs w:val="36"/>
        </w:rPr>
      </w:pPr>
    </w:p>
    <w:p w14:paraId="72896D36" w14:textId="5F69D8F9" w:rsidR="004658BE" w:rsidRDefault="004658BE" w:rsidP="00ED4177">
      <w:pPr>
        <w:pStyle w:val="TPHeading2"/>
        <w:spacing w:before="600" w:after="360"/>
        <w:rPr>
          <w:rFonts w:ascii="Book Antiqua" w:hAnsi="Book Antiqua"/>
          <w:b/>
          <w:caps w:val="0"/>
          <w:sz w:val="32"/>
          <w:szCs w:val="36"/>
        </w:rPr>
      </w:pPr>
    </w:p>
    <w:p w14:paraId="7AB5BFD1" w14:textId="77777777" w:rsidR="004658BE" w:rsidRPr="00B56FAA" w:rsidRDefault="004658BE" w:rsidP="00ED4177">
      <w:pPr>
        <w:pStyle w:val="TPHeading2"/>
        <w:spacing w:before="600" w:after="360"/>
        <w:rPr>
          <w:rFonts w:ascii="Book Antiqua" w:hAnsi="Book Antiqua"/>
          <w:b/>
          <w:caps w:val="0"/>
          <w:sz w:val="32"/>
          <w:szCs w:val="36"/>
        </w:rPr>
      </w:pPr>
    </w:p>
    <w:p w14:paraId="5185E42B" w14:textId="77777777" w:rsidR="00E277AB" w:rsidRPr="00201BE4" w:rsidRDefault="00E277AB" w:rsidP="005069C9">
      <w:pPr>
        <w:pStyle w:val="Heading2"/>
        <w:spacing w:before="0" w:after="120"/>
      </w:pPr>
      <w:bookmarkStart w:id="33" w:name="_Toc69729029"/>
      <w:bookmarkStart w:id="34" w:name="_Toc69913604"/>
      <w:bookmarkStart w:id="35" w:name="_Toc69917823"/>
      <w:bookmarkStart w:id="36" w:name="_Toc97747812"/>
      <w:bookmarkStart w:id="37" w:name="_Toc97809645"/>
      <w:bookmarkStart w:id="38" w:name="_Toc108088923"/>
      <w:bookmarkStart w:id="39" w:name="_Toc108089002"/>
      <w:bookmarkStart w:id="40" w:name="_Toc108089397"/>
      <w:bookmarkStart w:id="41" w:name="_Toc108089677"/>
      <w:bookmarkStart w:id="42" w:name="_Toc109227282"/>
      <w:bookmarkStart w:id="43" w:name="_Toc109227719"/>
      <w:bookmarkStart w:id="44" w:name="_Toc158896235"/>
      <w:bookmarkStart w:id="45" w:name="_Toc158896292"/>
      <w:bookmarkStart w:id="46" w:name="_Toc159499666"/>
      <w:bookmarkStart w:id="47" w:name="_Toc159499952"/>
      <w:bookmarkStart w:id="48" w:name="_Toc159857663"/>
      <w:bookmarkStart w:id="49" w:name="_Toc159857742"/>
      <w:bookmarkStart w:id="50" w:name="_Toc159858138"/>
      <w:bookmarkStart w:id="51" w:name="_Toc159858409"/>
      <w:bookmarkStart w:id="52" w:name="_Toc159858803"/>
      <w:bookmarkStart w:id="53" w:name="_Toc159858873"/>
      <w:bookmarkStart w:id="54" w:name="_Toc159859083"/>
      <w:bookmarkStart w:id="55" w:name="_Toc159859235"/>
      <w:bookmarkStart w:id="56" w:name="_Toc159862273"/>
      <w:bookmarkStart w:id="57" w:name="_Toc159862463"/>
      <w:r w:rsidRPr="00201BE4">
        <w:t>P</w:t>
      </w:r>
      <w:r w:rsidR="00A01209" w:rsidRPr="00201BE4">
        <w:t>ORTFOLIO BUDGET STATEMENTS</w:t>
      </w:r>
      <w:r w:rsidRPr="00201BE4">
        <w:t xml:space="preserve"> </w:t>
      </w:r>
      <w:r w:rsidR="003B04D2" w:rsidRPr="00201BE4">
        <w:t>202</w:t>
      </w:r>
      <w:r w:rsidR="00425C19">
        <w:t>5</w:t>
      </w:r>
      <w:r w:rsidR="003B04D2" w:rsidRPr="00201BE4">
        <w:t>-2</w:t>
      </w:r>
      <w:bookmarkEnd w:id="0"/>
      <w:bookmarkEnd w:id="1"/>
      <w:bookmarkEnd w:id="2"/>
      <w:bookmarkEnd w:id="3"/>
      <w:bookmarkEnd w:id="4"/>
      <w:bookmarkEnd w:id="5"/>
      <w:bookmarkEnd w:id="6"/>
      <w:bookmarkEnd w:id="7"/>
      <w:bookmarkEnd w:id="8"/>
      <w:bookmarkEnd w:id="9"/>
      <w:bookmarkEnd w:id="10"/>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00425C19">
        <w:t>6</w:t>
      </w:r>
    </w:p>
    <w:p w14:paraId="188F303F" w14:textId="77777777" w:rsidR="00F03C2F" w:rsidRPr="00B56FAA" w:rsidRDefault="00F03C2F" w:rsidP="0074080E">
      <w:pPr>
        <w:pStyle w:val="BodyText"/>
        <w:spacing w:before="0" w:after="0"/>
        <w:rPr>
          <w:rFonts w:ascii="Arial" w:hAnsi="Arial"/>
          <w:sz w:val="28"/>
          <w:szCs w:val="28"/>
        </w:rPr>
      </w:pPr>
      <w:r w:rsidRPr="00201BE4">
        <w:rPr>
          <w:rFonts w:ascii="Arial" w:hAnsi="Arial"/>
          <w:sz w:val="28"/>
          <w:szCs w:val="28"/>
        </w:rPr>
        <w:t>B</w:t>
      </w:r>
      <w:r w:rsidR="00A01209" w:rsidRPr="00201BE4">
        <w:rPr>
          <w:rFonts w:ascii="Arial" w:hAnsi="Arial"/>
          <w:sz w:val="28"/>
          <w:szCs w:val="28"/>
        </w:rPr>
        <w:t>UDGET</w:t>
      </w:r>
      <w:r w:rsidRPr="00201BE4">
        <w:rPr>
          <w:rFonts w:ascii="Arial" w:hAnsi="Arial"/>
          <w:sz w:val="28"/>
          <w:szCs w:val="28"/>
        </w:rPr>
        <w:t xml:space="preserve"> R</w:t>
      </w:r>
      <w:r w:rsidR="00A01209" w:rsidRPr="00201BE4">
        <w:rPr>
          <w:rFonts w:ascii="Arial" w:hAnsi="Arial"/>
          <w:sz w:val="28"/>
          <w:szCs w:val="28"/>
        </w:rPr>
        <w:t xml:space="preserve">ELATED </w:t>
      </w:r>
      <w:r w:rsidRPr="00201BE4">
        <w:rPr>
          <w:rFonts w:ascii="Arial" w:hAnsi="Arial"/>
          <w:sz w:val="28"/>
          <w:szCs w:val="28"/>
        </w:rPr>
        <w:t>P</w:t>
      </w:r>
      <w:r w:rsidR="00A01209" w:rsidRPr="00201BE4">
        <w:rPr>
          <w:rFonts w:ascii="Arial" w:hAnsi="Arial"/>
          <w:sz w:val="28"/>
          <w:szCs w:val="28"/>
        </w:rPr>
        <w:t>APER</w:t>
      </w:r>
      <w:r w:rsidRPr="00201BE4">
        <w:rPr>
          <w:rFonts w:ascii="Arial" w:hAnsi="Arial"/>
          <w:sz w:val="28"/>
          <w:szCs w:val="28"/>
        </w:rPr>
        <w:t xml:space="preserve"> </w:t>
      </w:r>
      <w:r w:rsidR="00473E70" w:rsidRPr="00201BE4">
        <w:rPr>
          <w:rFonts w:ascii="Arial" w:hAnsi="Arial"/>
          <w:sz w:val="28"/>
          <w:szCs w:val="28"/>
        </w:rPr>
        <w:t>N</w:t>
      </w:r>
      <w:r w:rsidR="00840EF9">
        <w:rPr>
          <w:rFonts w:ascii="Arial" w:hAnsi="Arial"/>
          <w:sz w:val="28"/>
          <w:szCs w:val="28"/>
        </w:rPr>
        <w:t>O</w:t>
      </w:r>
      <w:r w:rsidR="00473E70" w:rsidRPr="00201BE4">
        <w:rPr>
          <w:rFonts w:ascii="Arial" w:hAnsi="Arial"/>
          <w:sz w:val="28"/>
          <w:szCs w:val="28"/>
        </w:rPr>
        <w:t>. 1.</w:t>
      </w:r>
      <w:r w:rsidR="008006BA" w:rsidRPr="00201BE4">
        <w:rPr>
          <w:rFonts w:ascii="Arial" w:hAnsi="Arial"/>
          <w:sz w:val="28"/>
          <w:szCs w:val="28"/>
        </w:rPr>
        <w:t>4</w:t>
      </w:r>
      <w:r w:rsidR="00473E70" w:rsidRPr="00201BE4">
        <w:rPr>
          <w:rFonts w:ascii="Arial" w:hAnsi="Arial"/>
          <w:sz w:val="28"/>
          <w:szCs w:val="28"/>
        </w:rPr>
        <w:t>A</w:t>
      </w:r>
    </w:p>
    <w:p w14:paraId="483AA692" w14:textId="77777777" w:rsidR="009B765D" w:rsidRPr="00B56FAA" w:rsidRDefault="00473E70" w:rsidP="0074080E">
      <w:pPr>
        <w:pStyle w:val="TPHeading2"/>
        <w:spacing w:before="480"/>
        <w:jc w:val="left"/>
        <w:rPr>
          <w:rFonts w:ascii="Arial" w:hAnsi="Arial" w:cs="Arial"/>
          <w:b/>
          <w:sz w:val="32"/>
          <w:szCs w:val="32"/>
        </w:rPr>
      </w:pPr>
      <w:r w:rsidRPr="00B56FAA">
        <w:rPr>
          <w:rFonts w:ascii="Arial" w:hAnsi="Arial" w:cs="Arial"/>
          <w:b/>
          <w:caps w:val="0"/>
          <w:sz w:val="32"/>
          <w:szCs w:val="32"/>
        </w:rPr>
        <w:t>D</w:t>
      </w:r>
      <w:r w:rsidR="00A01209" w:rsidRPr="00B56FAA">
        <w:rPr>
          <w:rFonts w:ascii="Arial" w:hAnsi="Arial" w:cs="Arial"/>
          <w:b/>
          <w:caps w:val="0"/>
          <w:sz w:val="32"/>
          <w:szCs w:val="32"/>
        </w:rPr>
        <w:t>EFENCE</w:t>
      </w:r>
      <w:r w:rsidR="00F03C2F" w:rsidRPr="00B56FAA">
        <w:rPr>
          <w:rFonts w:ascii="Arial" w:hAnsi="Arial" w:cs="Arial"/>
          <w:b/>
          <w:sz w:val="32"/>
          <w:szCs w:val="32"/>
        </w:rPr>
        <w:t xml:space="preserve"> </w:t>
      </w:r>
      <w:r w:rsidR="00F03C2F" w:rsidRPr="00B56FAA">
        <w:rPr>
          <w:rFonts w:ascii="Arial" w:hAnsi="Arial" w:cs="Arial"/>
          <w:b/>
          <w:caps w:val="0"/>
          <w:sz w:val="32"/>
          <w:szCs w:val="32"/>
        </w:rPr>
        <w:t>P</w:t>
      </w:r>
      <w:r w:rsidR="00A01209" w:rsidRPr="00B56FAA">
        <w:rPr>
          <w:rFonts w:ascii="Arial" w:hAnsi="Arial" w:cs="Arial"/>
          <w:b/>
          <w:caps w:val="0"/>
          <w:sz w:val="32"/>
          <w:szCs w:val="32"/>
        </w:rPr>
        <w:t>ORTFOLIO</w:t>
      </w:r>
    </w:p>
    <w:p w14:paraId="0D150609" w14:textId="77777777" w:rsidR="00E277AB" w:rsidRPr="00B56FAA" w:rsidRDefault="00E277AB" w:rsidP="0074080E">
      <w:pPr>
        <w:pStyle w:val="TPHeading3"/>
        <w:spacing w:before="2640"/>
        <w:jc w:val="left"/>
        <w:rPr>
          <w:rFonts w:ascii="Arial" w:hAnsi="Arial" w:cs="Arial"/>
          <w:szCs w:val="24"/>
        </w:rPr>
      </w:pPr>
      <w:r w:rsidRPr="00B56FAA">
        <w:rPr>
          <w:rFonts w:ascii="Arial" w:hAnsi="Arial" w:cs="Arial"/>
          <w:caps w:val="0"/>
          <w:szCs w:val="24"/>
        </w:rPr>
        <w:t>B</w:t>
      </w:r>
      <w:r w:rsidR="00CB42FB" w:rsidRPr="00B56FAA">
        <w:rPr>
          <w:rFonts w:ascii="Arial" w:hAnsi="Arial" w:cs="Arial"/>
          <w:caps w:val="0"/>
          <w:szCs w:val="24"/>
        </w:rPr>
        <w:t xml:space="preserve">udget Initiatives and </w:t>
      </w:r>
      <w:r w:rsidRPr="00B56FAA">
        <w:rPr>
          <w:rFonts w:ascii="Arial" w:hAnsi="Arial" w:cs="Arial"/>
          <w:caps w:val="0"/>
          <w:szCs w:val="24"/>
        </w:rPr>
        <w:t>E</w:t>
      </w:r>
      <w:r w:rsidR="00CB42FB" w:rsidRPr="00B56FAA">
        <w:rPr>
          <w:rFonts w:ascii="Arial" w:hAnsi="Arial" w:cs="Arial"/>
          <w:caps w:val="0"/>
          <w:szCs w:val="24"/>
        </w:rPr>
        <w:t>xplanations of Appropriations</w:t>
      </w:r>
    </w:p>
    <w:p w14:paraId="7A953652" w14:textId="77777777" w:rsidR="00DF60AD" w:rsidRPr="00B56FAA" w:rsidRDefault="00E277AB" w:rsidP="0074080E">
      <w:pPr>
        <w:pStyle w:val="TPHeading3"/>
        <w:jc w:val="left"/>
        <w:rPr>
          <w:rFonts w:ascii="Arial" w:hAnsi="Arial" w:cs="Arial"/>
          <w:caps w:val="0"/>
          <w:sz w:val="22"/>
          <w:szCs w:val="24"/>
        </w:rPr>
        <w:sectPr w:rsidR="00DF60AD" w:rsidRPr="00B56FAA" w:rsidSect="00C30BE6">
          <w:footerReference w:type="even" r:id="rId8"/>
          <w:footerReference w:type="default" r:id="rId9"/>
          <w:pgSz w:w="11906" w:h="16838" w:code="9"/>
          <w:pgMar w:top="1701" w:right="1361" w:bottom="1701" w:left="1928" w:header="720" w:footer="720" w:gutter="0"/>
          <w:pgNumType w:fmt="lowerRoman" w:start="1"/>
          <w:cols w:space="720"/>
          <w:titlePg/>
        </w:sectPr>
      </w:pPr>
      <w:r w:rsidRPr="00B56FAA">
        <w:rPr>
          <w:rFonts w:ascii="Arial" w:hAnsi="Arial" w:cs="Arial"/>
          <w:caps w:val="0"/>
          <w:szCs w:val="24"/>
        </w:rPr>
        <w:t>S</w:t>
      </w:r>
      <w:r w:rsidR="00CB42FB" w:rsidRPr="00B56FAA">
        <w:rPr>
          <w:rFonts w:ascii="Arial" w:hAnsi="Arial" w:cs="Arial"/>
          <w:caps w:val="0"/>
          <w:szCs w:val="24"/>
        </w:rPr>
        <w:t>pecified by Outcomes and Programs by Entity</w:t>
      </w:r>
    </w:p>
    <w:p w14:paraId="4951EAB0" w14:textId="75DD1FD8" w:rsidR="00F232BC" w:rsidRPr="00B56FAA" w:rsidRDefault="00F232BC" w:rsidP="00754942">
      <w:pPr>
        <w:spacing w:before="120" w:after="120"/>
        <w:rPr>
          <w:lang w:val="en-AU"/>
        </w:rPr>
      </w:pPr>
      <w:r w:rsidRPr="00B56FAA">
        <w:rPr>
          <w:lang w:val="en-AU"/>
        </w:rPr>
        <w:lastRenderedPageBreak/>
        <w:t>© Commonwealth of Australia 20</w:t>
      </w:r>
      <w:r w:rsidR="00643B0F" w:rsidRPr="00B56FAA">
        <w:rPr>
          <w:lang w:val="en-AU"/>
        </w:rPr>
        <w:t>2</w:t>
      </w:r>
      <w:r w:rsidR="00BA00D1">
        <w:rPr>
          <w:lang w:val="en-AU"/>
        </w:rPr>
        <w:t>5</w:t>
      </w:r>
    </w:p>
    <w:p w14:paraId="66A5485D" w14:textId="2B66B94A" w:rsidR="002C38C6" w:rsidRPr="00CD03A8" w:rsidRDefault="002C38C6" w:rsidP="00754942">
      <w:pPr>
        <w:spacing w:before="0" w:after="0"/>
        <w:rPr>
          <w:lang w:val="en-AU"/>
        </w:rPr>
      </w:pPr>
      <w:r w:rsidRPr="00CD03A8">
        <w:rPr>
          <w:lang w:val="en-AU"/>
        </w:rPr>
        <w:t>IS</w:t>
      </w:r>
      <w:r w:rsidR="004A3357" w:rsidRPr="00CD03A8">
        <w:rPr>
          <w:lang w:val="en-AU"/>
        </w:rPr>
        <w:t>B</w:t>
      </w:r>
      <w:r w:rsidRPr="00CD03A8">
        <w:rPr>
          <w:lang w:val="en-AU"/>
        </w:rPr>
        <w:t>N</w:t>
      </w:r>
      <w:r w:rsidR="006E646B" w:rsidRPr="00CD03A8">
        <w:rPr>
          <w:lang w:val="en-AU"/>
        </w:rPr>
        <w:t xml:space="preserve"> </w:t>
      </w:r>
      <w:r w:rsidR="004A3357" w:rsidRPr="00CD03A8">
        <w:rPr>
          <w:lang w:val="en-AU"/>
        </w:rPr>
        <w:t>978-0-6480977-4-7</w:t>
      </w:r>
      <w:r w:rsidR="006E646B" w:rsidRPr="00CD03A8">
        <w:rPr>
          <w:lang w:val="en-AU"/>
        </w:rPr>
        <w:t xml:space="preserve"> (Print)</w:t>
      </w:r>
    </w:p>
    <w:p w14:paraId="6DD5FD3C" w14:textId="4B5BB169" w:rsidR="000D25D3" w:rsidRPr="00D1731D" w:rsidRDefault="000D25D3" w:rsidP="00754942">
      <w:pPr>
        <w:spacing w:before="0" w:after="120"/>
        <w:rPr>
          <w:lang w:val="en-AU"/>
        </w:rPr>
      </w:pPr>
      <w:r w:rsidRPr="00CD03A8">
        <w:rPr>
          <w:lang w:val="en-AU"/>
        </w:rPr>
        <w:t>IS</w:t>
      </w:r>
      <w:r w:rsidR="004A3357" w:rsidRPr="00CD03A8">
        <w:rPr>
          <w:lang w:val="en-AU"/>
        </w:rPr>
        <w:t>B</w:t>
      </w:r>
      <w:r w:rsidRPr="00CD03A8">
        <w:rPr>
          <w:lang w:val="en-AU"/>
        </w:rPr>
        <w:t>N</w:t>
      </w:r>
      <w:r w:rsidRPr="00CD03A8">
        <w:rPr>
          <w:lang w:val="en-AU"/>
        </w:rPr>
        <w:tab/>
      </w:r>
      <w:r w:rsidRPr="00CD03A8">
        <w:rPr>
          <w:lang w:val="en-AU"/>
        </w:rPr>
        <w:tab/>
      </w:r>
      <w:r w:rsidR="006E646B" w:rsidRPr="00CD03A8">
        <w:rPr>
          <w:lang w:val="en-AU"/>
        </w:rPr>
        <w:t xml:space="preserve"> </w:t>
      </w:r>
      <w:r w:rsidR="004A3357" w:rsidRPr="00CD03A8">
        <w:rPr>
          <w:lang w:val="en-AU"/>
        </w:rPr>
        <w:t>978-0-6480977-5-4</w:t>
      </w:r>
      <w:r w:rsidR="006E646B" w:rsidRPr="00CD03A8">
        <w:rPr>
          <w:lang w:val="en-AU"/>
        </w:rPr>
        <w:t xml:space="preserve"> (</w:t>
      </w:r>
      <w:r w:rsidRPr="00CD03A8">
        <w:rPr>
          <w:lang w:val="en-AU"/>
        </w:rPr>
        <w:t>Online)</w:t>
      </w:r>
    </w:p>
    <w:p w14:paraId="4560E4C0" w14:textId="77777777" w:rsidR="00F232BC" w:rsidRPr="00B56FAA" w:rsidRDefault="00F232BC" w:rsidP="00754942">
      <w:pPr>
        <w:spacing w:before="120" w:after="120"/>
        <w:rPr>
          <w:lang w:val="en-AU"/>
        </w:rPr>
      </w:pPr>
      <w:r w:rsidRPr="00B56FAA">
        <w:rPr>
          <w:lang w:val="en-AU"/>
        </w:rPr>
        <w:t xml:space="preserve">This publication is available for your use under a </w:t>
      </w:r>
      <w:hyperlink r:id="rId10" w:history="1">
        <w:r w:rsidR="00DF0C68" w:rsidRPr="00B56FAA">
          <w:rPr>
            <w:rStyle w:val="Hyperlink"/>
            <w:lang w:val="en-AU"/>
          </w:rPr>
          <w:t>Creative Commons BY Attribution 3.0 Australia</w:t>
        </w:r>
      </w:hyperlink>
      <w:r w:rsidR="0007666E" w:rsidRPr="00B56FAA">
        <w:rPr>
          <w:lang w:val="en-AU"/>
        </w:rPr>
        <w:t xml:space="preserve"> licence</w:t>
      </w:r>
      <w:r w:rsidRPr="00B56FAA">
        <w:rPr>
          <w:lang w:val="en-AU"/>
        </w:rPr>
        <w:t>, with the exception of the Commonwealth Coat of Arms, the Department of Defence</w:t>
      </w:r>
      <w:r w:rsidR="00D6667F" w:rsidRPr="00B56FAA">
        <w:rPr>
          <w:lang w:val="en-AU"/>
        </w:rPr>
        <w:t>, the Australian Signals Directorate</w:t>
      </w:r>
      <w:r w:rsidR="00500E2B">
        <w:rPr>
          <w:lang w:val="en-AU"/>
        </w:rPr>
        <w:t>, the Australian Submarine Agency</w:t>
      </w:r>
      <w:r w:rsidRPr="00B56FAA">
        <w:rPr>
          <w:lang w:val="en-AU"/>
        </w:rPr>
        <w:t xml:space="preserve"> and </w:t>
      </w:r>
      <w:r w:rsidR="00D6667F" w:rsidRPr="00B56FAA">
        <w:rPr>
          <w:lang w:val="en-AU"/>
        </w:rPr>
        <w:t xml:space="preserve">the </w:t>
      </w:r>
      <w:r w:rsidRPr="00B56FAA">
        <w:rPr>
          <w:lang w:val="en-AU"/>
        </w:rPr>
        <w:t xml:space="preserve">Defence Housing Australia logo, photographs, images, signatures and where otherwise stated. The full licence terms are available from </w:t>
      </w:r>
      <w:hyperlink r:id="rId11" w:history="1">
        <w:r w:rsidR="00DF0C68" w:rsidRPr="00B56FAA">
          <w:rPr>
            <w:rStyle w:val="Hyperlink"/>
            <w:lang w:val="en-AU"/>
          </w:rPr>
          <w:t>http://creativecommons.org/licenses/by/3.0/au/legalcode</w:t>
        </w:r>
      </w:hyperlink>
      <w:r w:rsidR="00DF0C68" w:rsidRPr="00B56FAA">
        <w:rPr>
          <w:rStyle w:val="Hyperlink"/>
          <w:lang w:val="en-AU"/>
        </w:rPr>
        <w:t>.</w:t>
      </w:r>
    </w:p>
    <w:p w14:paraId="313480A1" w14:textId="77777777" w:rsidR="0007666E" w:rsidRPr="00B56FAA" w:rsidRDefault="0085144D" w:rsidP="00754942">
      <w:pPr>
        <w:spacing w:before="120" w:after="120"/>
        <w:rPr>
          <w:lang w:val="en-AU"/>
        </w:rPr>
      </w:pPr>
      <w:r w:rsidRPr="00B56FAA">
        <w:rPr>
          <w:rFonts w:cs="Calibri"/>
          <w:noProof/>
          <w:lang w:val="en-AU"/>
        </w:rPr>
        <w:drawing>
          <wp:inline distT="0" distB="0" distL="0" distR="0" wp14:anchorId="4E07D2A3" wp14:editId="1D289EFE">
            <wp:extent cx="1057910" cy="368300"/>
            <wp:effectExtent l="0" t="0" r="0" b="0"/>
            <wp:docPr id="24575497"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7910" cy="368300"/>
                    </a:xfrm>
                    <a:prstGeom prst="rect">
                      <a:avLst/>
                    </a:prstGeom>
                    <a:noFill/>
                    <a:ln>
                      <a:noFill/>
                    </a:ln>
                  </pic:spPr>
                </pic:pic>
              </a:graphicData>
            </a:graphic>
          </wp:inline>
        </w:drawing>
      </w:r>
    </w:p>
    <w:p w14:paraId="46376306" w14:textId="69E2DFD6" w:rsidR="00F232BC" w:rsidRPr="00B56FAA" w:rsidRDefault="00F232BC" w:rsidP="00754942">
      <w:pPr>
        <w:spacing w:before="120" w:after="120"/>
        <w:rPr>
          <w:lang w:val="en-AU"/>
        </w:rPr>
      </w:pPr>
      <w:r w:rsidRPr="00B56FAA">
        <w:rPr>
          <w:lang w:val="en-AU"/>
        </w:rPr>
        <w:t>Use of the Department of Defence’s</w:t>
      </w:r>
      <w:r w:rsidRPr="00B56FAA">
        <w:rPr>
          <w:color w:val="FF0000"/>
          <w:lang w:val="en-AU"/>
        </w:rPr>
        <w:t xml:space="preserve"> </w:t>
      </w:r>
      <w:r w:rsidRPr="00B56FAA">
        <w:rPr>
          <w:lang w:val="en-AU"/>
        </w:rPr>
        <w:t>material under a</w:t>
      </w:r>
      <w:r w:rsidR="00DF0C68" w:rsidRPr="00B56FAA">
        <w:rPr>
          <w:rFonts w:cs="Calibri"/>
          <w:color w:val="000000"/>
          <w:sz w:val="24"/>
          <w:lang w:val="en-AU"/>
        </w:rPr>
        <w:t xml:space="preserve"> </w:t>
      </w:r>
      <w:hyperlink r:id="rId13" w:history="1">
        <w:r w:rsidR="00DF0C68" w:rsidRPr="00B56FAA">
          <w:rPr>
            <w:rStyle w:val="Hyperlink"/>
            <w:lang w:val="en-AU"/>
          </w:rPr>
          <w:t>Creative Commons BY Attribution 3.0 Australia</w:t>
        </w:r>
      </w:hyperlink>
      <w:r w:rsidR="00CE3B2C" w:rsidRPr="00CE3B2C">
        <w:rPr>
          <w:rStyle w:val="Hyperlink"/>
          <w:u w:val="none"/>
          <w:lang w:val="en-AU"/>
        </w:rPr>
        <w:t xml:space="preserve"> </w:t>
      </w:r>
      <w:r w:rsidRPr="00B56FAA">
        <w:rPr>
          <w:lang w:val="en-AU"/>
        </w:rPr>
        <w:t>licence requires you to attribute the work (but not in any way that suggests that the</w:t>
      </w:r>
      <w:r w:rsidRPr="00B56FAA">
        <w:rPr>
          <w:color w:val="FF0000"/>
          <w:lang w:val="en-AU"/>
        </w:rPr>
        <w:t xml:space="preserve"> </w:t>
      </w:r>
      <w:r w:rsidRPr="00B56FAA">
        <w:rPr>
          <w:lang w:val="en-AU"/>
        </w:rPr>
        <w:t>Department of Defence endorse</w:t>
      </w:r>
      <w:r w:rsidR="00C32CC6" w:rsidRPr="00B56FAA">
        <w:rPr>
          <w:lang w:val="en-AU"/>
        </w:rPr>
        <w:t>s you or your use of the work).</w:t>
      </w:r>
    </w:p>
    <w:p w14:paraId="55DEC268" w14:textId="77777777" w:rsidR="006D5AEC" w:rsidRPr="00B56FAA" w:rsidRDefault="006D5AEC" w:rsidP="00754942">
      <w:pPr>
        <w:spacing w:before="120" w:after="120"/>
        <w:rPr>
          <w:b/>
          <w:lang w:val="en-AU"/>
        </w:rPr>
      </w:pPr>
      <w:r w:rsidRPr="00B56FAA">
        <w:rPr>
          <w:b/>
          <w:lang w:val="en-AU"/>
        </w:rPr>
        <w:t>Department of Defence material used 'as supplied'</w:t>
      </w:r>
    </w:p>
    <w:p w14:paraId="5DD4F8D4" w14:textId="77777777" w:rsidR="006D5AEC" w:rsidRPr="00B56FAA" w:rsidRDefault="006D5AEC" w:rsidP="00754942">
      <w:pPr>
        <w:spacing w:before="120" w:after="120"/>
        <w:rPr>
          <w:lang w:val="en-AU"/>
        </w:rPr>
      </w:pPr>
      <w:r w:rsidRPr="00B56FAA">
        <w:rPr>
          <w:lang w:val="en-AU"/>
        </w:rPr>
        <w:t>Provided you have not modified or transformed the Department of Defence material in any way including, for example, by changing the Department of Defence text; calculating percentage changes; graphing or charting data; or deriving new statistics from published Department of Defence statistics – then the Department of Defence pre</w:t>
      </w:r>
      <w:r w:rsidR="00C32CC6" w:rsidRPr="00B56FAA">
        <w:rPr>
          <w:lang w:val="en-AU"/>
        </w:rPr>
        <w:t>fers the following attribution:</w:t>
      </w:r>
    </w:p>
    <w:p w14:paraId="4E5AD02E" w14:textId="77777777" w:rsidR="006D5AEC" w:rsidRPr="00B56FAA" w:rsidRDefault="006D5AEC" w:rsidP="00754942">
      <w:pPr>
        <w:spacing w:before="120" w:after="120"/>
        <w:rPr>
          <w:i/>
          <w:lang w:val="en-AU"/>
        </w:rPr>
      </w:pPr>
      <w:r w:rsidRPr="00B56FAA">
        <w:rPr>
          <w:i/>
          <w:lang w:val="en-AU"/>
        </w:rPr>
        <w:t>Source: The Australian Government Department of Defence</w:t>
      </w:r>
      <w:r w:rsidR="00D6667F" w:rsidRPr="00B56FAA">
        <w:rPr>
          <w:i/>
          <w:lang w:val="en-AU"/>
        </w:rPr>
        <w:t>.</w:t>
      </w:r>
    </w:p>
    <w:p w14:paraId="0CF15586" w14:textId="77777777" w:rsidR="00025F35" w:rsidRPr="00B56FAA" w:rsidRDefault="00025F35" w:rsidP="00754942">
      <w:pPr>
        <w:spacing w:before="120" w:after="120"/>
        <w:rPr>
          <w:b/>
          <w:lang w:val="en-AU"/>
        </w:rPr>
      </w:pPr>
      <w:r w:rsidRPr="00B56FAA">
        <w:rPr>
          <w:b/>
          <w:lang w:val="en-AU"/>
        </w:rPr>
        <w:t>Derivative material</w:t>
      </w:r>
    </w:p>
    <w:p w14:paraId="216A9CDF" w14:textId="77777777" w:rsidR="00025F35" w:rsidRPr="00B56FAA" w:rsidRDefault="00025F35" w:rsidP="00754942">
      <w:pPr>
        <w:spacing w:before="120" w:after="120"/>
        <w:rPr>
          <w:lang w:val="en-AU"/>
        </w:rPr>
      </w:pPr>
      <w:r w:rsidRPr="00B56FAA">
        <w:rPr>
          <w:lang w:val="en-AU"/>
        </w:rPr>
        <w:t>If you have modified or transformed the Department of Defence‘s material, or derived new material from those of the Department of Defence</w:t>
      </w:r>
      <w:r w:rsidRPr="00B56FAA">
        <w:rPr>
          <w:color w:val="FF0000"/>
          <w:lang w:val="en-AU"/>
        </w:rPr>
        <w:t xml:space="preserve"> </w:t>
      </w:r>
      <w:r w:rsidRPr="00B56FAA">
        <w:rPr>
          <w:lang w:val="en-AU"/>
        </w:rPr>
        <w:t>in any way, then the Department of Defence pre</w:t>
      </w:r>
      <w:r w:rsidR="00C32CC6" w:rsidRPr="00B56FAA">
        <w:rPr>
          <w:lang w:val="en-AU"/>
        </w:rPr>
        <w:t>fers the following attribution:</w:t>
      </w:r>
    </w:p>
    <w:p w14:paraId="1210CA6A" w14:textId="77777777" w:rsidR="00025F35" w:rsidRPr="00B56FAA" w:rsidRDefault="00025F35" w:rsidP="00754942">
      <w:pPr>
        <w:spacing w:before="120" w:after="120"/>
        <w:rPr>
          <w:i/>
          <w:lang w:val="en-AU"/>
        </w:rPr>
      </w:pPr>
      <w:r w:rsidRPr="00B56FAA">
        <w:rPr>
          <w:i/>
          <w:lang w:val="en-AU"/>
        </w:rPr>
        <w:t>Based on The Australian Government Department of Defence’s data.</w:t>
      </w:r>
    </w:p>
    <w:p w14:paraId="29320F37" w14:textId="654D5AC3" w:rsidR="00025F35" w:rsidRPr="00B56FAA" w:rsidRDefault="00025F35" w:rsidP="00754942">
      <w:pPr>
        <w:spacing w:before="120" w:after="120"/>
        <w:rPr>
          <w:b/>
          <w:lang w:val="en-AU"/>
        </w:rPr>
      </w:pPr>
      <w:r w:rsidRPr="00B56FAA">
        <w:rPr>
          <w:b/>
          <w:lang w:val="en-AU"/>
        </w:rPr>
        <w:t>Australian Signals Directorate material used 'as suppli</w:t>
      </w:r>
      <w:r w:rsidR="00CE3B2C">
        <w:rPr>
          <w:b/>
          <w:lang w:val="en-AU"/>
        </w:rPr>
        <w:t xml:space="preserve"> </w:t>
      </w:r>
      <w:r w:rsidRPr="00B56FAA">
        <w:rPr>
          <w:b/>
          <w:lang w:val="en-AU"/>
        </w:rPr>
        <w:t>ed'</w:t>
      </w:r>
    </w:p>
    <w:p w14:paraId="007E6822" w14:textId="77777777" w:rsidR="00025F35" w:rsidRPr="00B56FAA" w:rsidRDefault="00025F35" w:rsidP="00754942">
      <w:pPr>
        <w:spacing w:before="120" w:after="120"/>
        <w:rPr>
          <w:lang w:val="en-AU"/>
        </w:rPr>
      </w:pPr>
      <w:r w:rsidRPr="00B56FAA">
        <w:rPr>
          <w:lang w:val="en-AU"/>
        </w:rPr>
        <w:t>Provided you have not modified or transformed the Australian Signals Directorate material in any way including, for example, by changing the Australian Signals Directorate text; calculating percentage changes; graphing or charting data; or deriving new statistics from published Australian Signals Directorate statistics – then the Australian Signals Directorate pre</w:t>
      </w:r>
      <w:r w:rsidR="00C32CC6" w:rsidRPr="00B56FAA">
        <w:rPr>
          <w:lang w:val="en-AU"/>
        </w:rPr>
        <w:t>fers the following attribution:</w:t>
      </w:r>
    </w:p>
    <w:p w14:paraId="0C6D87D8" w14:textId="77777777" w:rsidR="00025F35" w:rsidRPr="00B56FAA" w:rsidRDefault="00025F35" w:rsidP="00754942">
      <w:pPr>
        <w:spacing w:before="120" w:after="120"/>
        <w:rPr>
          <w:i/>
          <w:lang w:val="en-AU"/>
        </w:rPr>
      </w:pPr>
      <w:r w:rsidRPr="00B56FAA">
        <w:rPr>
          <w:i/>
          <w:lang w:val="en-AU"/>
        </w:rPr>
        <w:t>Source: The Australian Government Australian Signals Directorate</w:t>
      </w:r>
      <w:r w:rsidR="00D6667F" w:rsidRPr="00B56FAA">
        <w:rPr>
          <w:i/>
          <w:lang w:val="en-AU"/>
        </w:rPr>
        <w:t>.</w:t>
      </w:r>
    </w:p>
    <w:p w14:paraId="61011261" w14:textId="77777777" w:rsidR="00025F35" w:rsidRPr="00B56FAA" w:rsidRDefault="00025F35" w:rsidP="00754942">
      <w:pPr>
        <w:spacing w:before="120" w:after="120"/>
        <w:rPr>
          <w:b/>
          <w:lang w:val="en-AU"/>
        </w:rPr>
      </w:pPr>
      <w:r w:rsidRPr="00B56FAA">
        <w:rPr>
          <w:b/>
          <w:lang w:val="en-AU"/>
        </w:rPr>
        <w:t>Derivative material</w:t>
      </w:r>
    </w:p>
    <w:p w14:paraId="012AFF54" w14:textId="77777777" w:rsidR="00025F35" w:rsidRPr="00B56FAA" w:rsidRDefault="00025F35" w:rsidP="00754942">
      <w:pPr>
        <w:spacing w:before="120" w:after="120"/>
        <w:rPr>
          <w:lang w:val="en-AU"/>
        </w:rPr>
      </w:pPr>
      <w:r w:rsidRPr="00B56FAA">
        <w:rPr>
          <w:lang w:val="en-AU"/>
        </w:rPr>
        <w:t>If you have modified or transformed the Australian Signals Directorate‘s</w:t>
      </w:r>
      <w:r w:rsidRPr="00B56FAA">
        <w:rPr>
          <w:color w:val="FF0000"/>
          <w:lang w:val="en-AU"/>
        </w:rPr>
        <w:t xml:space="preserve"> </w:t>
      </w:r>
      <w:r w:rsidRPr="00B56FAA">
        <w:rPr>
          <w:lang w:val="en-AU"/>
        </w:rPr>
        <w:t>material, or derived new material from those of the Australian Signals Directorate</w:t>
      </w:r>
      <w:r w:rsidRPr="00B56FAA">
        <w:rPr>
          <w:color w:val="FF0000"/>
          <w:lang w:val="en-AU"/>
        </w:rPr>
        <w:t xml:space="preserve"> </w:t>
      </w:r>
      <w:r w:rsidRPr="00B56FAA">
        <w:rPr>
          <w:lang w:val="en-AU"/>
        </w:rPr>
        <w:t>in any way, then the Australian Signals Directorate pre</w:t>
      </w:r>
      <w:r w:rsidR="00C32CC6" w:rsidRPr="00B56FAA">
        <w:rPr>
          <w:lang w:val="en-AU"/>
        </w:rPr>
        <w:t>fers the following attribution:</w:t>
      </w:r>
    </w:p>
    <w:p w14:paraId="6991DA7B" w14:textId="77777777" w:rsidR="00025F35" w:rsidRPr="00B56FAA" w:rsidRDefault="00025F35" w:rsidP="00754942">
      <w:pPr>
        <w:spacing w:before="120" w:after="120"/>
        <w:rPr>
          <w:i/>
          <w:lang w:val="en-AU"/>
        </w:rPr>
      </w:pPr>
      <w:r w:rsidRPr="00B56FAA">
        <w:rPr>
          <w:i/>
          <w:lang w:val="en-AU"/>
        </w:rPr>
        <w:t>Based on The Australian Government Australian Signals Directorate’s data.</w:t>
      </w:r>
    </w:p>
    <w:p w14:paraId="1B779DE4" w14:textId="77777777" w:rsidR="00E63AC2" w:rsidRPr="00CE12CA" w:rsidRDefault="00025F35" w:rsidP="00E63AC2">
      <w:pPr>
        <w:spacing w:before="120" w:after="120"/>
        <w:rPr>
          <w:b/>
          <w:lang w:val="en-AU"/>
        </w:rPr>
      </w:pPr>
      <w:r w:rsidRPr="00B56FAA">
        <w:rPr>
          <w:i/>
          <w:lang w:val="en-AU"/>
        </w:rPr>
        <w:br w:type="page"/>
      </w:r>
      <w:r w:rsidR="00E63AC2" w:rsidRPr="00CE12CA">
        <w:rPr>
          <w:b/>
          <w:lang w:val="en-AU"/>
        </w:rPr>
        <w:lastRenderedPageBreak/>
        <w:t>Australian Submarine Agency material used 'as supplied'</w:t>
      </w:r>
    </w:p>
    <w:p w14:paraId="56F106C6" w14:textId="77777777" w:rsidR="00E63AC2" w:rsidRPr="00BF40CB" w:rsidRDefault="00E63AC2" w:rsidP="00E63AC2">
      <w:pPr>
        <w:rPr>
          <w:lang w:val="en-AU"/>
        </w:rPr>
      </w:pPr>
      <w:r w:rsidRPr="00BF40CB">
        <w:rPr>
          <w:lang w:val="en-AU"/>
        </w:rPr>
        <w:t xml:space="preserve">Provided you have not modified or transformed the Australian </w:t>
      </w:r>
      <w:r>
        <w:rPr>
          <w:lang w:val="en-AU"/>
        </w:rPr>
        <w:t>Submarine Agency</w:t>
      </w:r>
      <w:r w:rsidRPr="00BF40CB">
        <w:rPr>
          <w:lang w:val="en-AU"/>
        </w:rPr>
        <w:t xml:space="preserve"> material in any way including, for example, by changing the Australian </w:t>
      </w:r>
      <w:r>
        <w:rPr>
          <w:lang w:val="en-AU"/>
        </w:rPr>
        <w:t>Submarine Agency</w:t>
      </w:r>
      <w:r w:rsidRPr="00BF40CB">
        <w:rPr>
          <w:lang w:val="en-AU"/>
        </w:rPr>
        <w:t xml:space="preserve"> text; calculating percentage changes; graphing or charting data; or deriving new statistics from published Australian </w:t>
      </w:r>
      <w:r>
        <w:rPr>
          <w:lang w:val="en-AU"/>
        </w:rPr>
        <w:t>Submarine Agency</w:t>
      </w:r>
      <w:r w:rsidRPr="00BF40CB">
        <w:rPr>
          <w:lang w:val="en-AU"/>
        </w:rPr>
        <w:t xml:space="preserve"> statistics – then the Australian </w:t>
      </w:r>
      <w:r>
        <w:rPr>
          <w:lang w:val="en-AU"/>
        </w:rPr>
        <w:t>Submarine Agency</w:t>
      </w:r>
      <w:r w:rsidRPr="00BF40CB">
        <w:rPr>
          <w:lang w:val="en-AU"/>
        </w:rPr>
        <w:t xml:space="preserve"> pre</w:t>
      </w:r>
      <w:r>
        <w:rPr>
          <w:lang w:val="en-AU"/>
        </w:rPr>
        <w:t>fers the following attribution:</w:t>
      </w:r>
    </w:p>
    <w:p w14:paraId="779DB6B0" w14:textId="77777777" w:rsidR="00E63AC2" w:rsidRPr="00BF40CB" w:rsidRDefault="00E63AC2" w:rsidP="00E63AC2">
      <w:pPr>
        <w:pStyle w:val="NormalIndent"/>
        <w:ind w:left="0"/>
        <w:rPr>
          <w:i/>
          <w:lang w:val="en-AU"/>
        </w:rPr>
      </w:pPr>
      <w:r w:rsidRPr="00BF40CB">
        <w:rPr>
          <w:i/>
          <w:lang w:val="en-AU"/>
        </w:rPr>
        <w:t xml:space="preserve">Source: The Australian Government Australian </w:t>
      </w:r>
      <w:r>
        <w:rPr>
          <w:i/>
          <w:lang w:val="en-AU"/>
        </w:rPr>
        <w:t>Submarine Agency</w:t>
      </w:r>
      <w:r w:rsidRPr="00BF40CB">
        <w:rPr>
          <w:i/>
          <w:lang w:val="en-AU"/>
        </w:rPr>
        <w:t>.</w:t>
      </w:r>
    </w:p>
    <w:p w14:paraId="78767931" w14:textId="77777777" w:rsidR="00E63AC2" w:rsidRPr="00CE12CA" w:rsidRDefault="00E63AC2" w:rsidP="00E63AC2">
      <w:pPr>
        <w:spacing w:before="120" w:after="120"/>
        <w:rPr>
          <w:b/>
          <w:lang w:val="en-AU"/>
        </w:rPr>
      </w:pPr>
      <w:r w:rsidRPr="00CE12CA">
        <w:rPr>
          <w:b/>
          <w:lang w:val="en-AU"/>
        </w:rPr>
        <w:t>Derivative material</w:t>
      </w:r>
    </w:p>
    <w:p w14:paraId="7414455C" w14:textId="77777777" w:rsidR="00E63AC2" w:rsidRPr="00BF40CB" w:rsidRDefault="00E63AC2" w:rsidP="00E63AC2">
      <w:pPr>
        <w:rPr>
          <w:lang w:val="en-AU"/>
        </w:rPr>
      </w:pPr>
      <w:r w:rsidRPr="00BF40CB">
        <w:rPr>
          <w:lang w:val="en-AU"/>
        </w:rPr>
        <w:t xml:space="preserve">If you have modified or transformed the Australian </w:t>
      </w:r>
      <w:r>
        <w:rPr>
          <w:lang w:val="en-AU"/>
        </w:rPr>
        <w:t>Submarine Agency</w:t>
      </w:r>
      <w:r w:rsidRPr="00BF40CB">
        <w:rPr>
          <w:lang w:val="en-AU"/>
        </w:rPr>
        <w:t>‘s</w:t>
      </w:r>
      <w:r w:rsidRPr="00BF40CB">
        <w:rPr>
          <w:color w:val="FF0000"/>
          <w:lang w:val="en-AU"/>
        </w:rPr>
        <w:t xml:space="preserve"> </w:t>
      </w:r>
      <w:r w:rsidRPr="00BF40CB">
        <w:rPr>
          <w:lang w:val="en-AU"/>
        </w:rPr>
        <w:t xml:space="preserve">material, or derived new material from those of the Australian </w:t>
      </w:r>
      <w:r>
        <w:rPr>
          <w:lang w:val="en-AU"/>
        </w:rPr>
        <w:t>Submarine Agency</w:t>
      </w:r>
      <w:r w:rsidRPr="00BF40CB">
        <w:rPr>
          <w:color w:val="FF0000"/>
          <w:lang w:val="en-AU"/>
        </w:rPr>
        <w:t xml:space="preserve"> </w:t>
      </w:r>
      <w:r w:rsidRPr="00BF40CB">
        <w:rPr>
          <w:lang w:val="en-AU"/>
        </w:rPr>
        <w:t xml:space="preserve">in any way, then the Australian </w:t>
      </w:r>
      <w:r>
        <w:rPr>
          <w:lang w:val="en-AU"/>
        </w:rPr>
        <w:t>Submarine Agency</w:t>
      </w:r>
      <w:r w:rsidRPr="00BF40CB">
        <w:rPr>
          <w:lang w:val="en-AU"/>
        </w:rPr>
        <w:t xml:space="preserve"> pre</w:t>
      </w:r>
      <w:r>
        <w:rPr>
          <w:lang w:val="en-AU"/>
        </w:rPr>
        <w:t>fers the following attribution:</w:t>
      </w:r>
    </w:p>
    <w:p w14:paraId="48B5BE4D" w14:textId="77777777" w:rsidR="00E63AC2" w:rsidRPr="00BF40CB" w:rsidRDefault="00E63AC2" w:rsidP="00E63AC2">
      <w:pPr>
        <w:pStyle w:val="NormalIndent"/>
        <w:ind w:left="0"/>
        <w:rPr>
          <w:i/>
          <w:lang w:val="en-AU"/>
        </w:rPr>
      </w:pPr>
      <w:r w:rsidRPr="00BF40CB">
        <w:rPr>
          <w:i/>
          <w:lang w:val="en-AU"/>
        </w:rPr>
        <w:t xml:space="preserve">Based on The Australian Government Australian </w:t>
      </w:r>
      <w:r>
        <w:rPr>
          <w:i/>
          <w:lang w:val="en-AU"/>
        </w:rPr>
        <w:t>Submarine Agency</w:t>
      </w:r>
      <w:r w:rsidRPr="00BF40CB">
        <w:rPr>
          <w:i/>
          <w:lang w:val="en-AU"/>
        </w:rPr>
        <w:t>’s data.</w:t>
      </w:r>
    </w:p>
    <w:p w14:paraId="7F526EC1" w14:textId="77777777" w:rsidR="00025F35" w:rsidRPr="00B56FAA" w:rsidRDefault="00025F35" w:rsidP="00754942">
      <w:pPr>
        <w:spacing w:before="120" w:after="120"/>
        <w:rPr>
          <w:b/>
          <w:lang w:val="en-AU"/>
        </w:rPr>
      </w:pPr>
      <w:r w:rsidRPr="00B56FAA">
        <w:rPr>
          <w:b/>
          <w:lang w:val="en-AU"/>
        </w:rPr>
        <w:t>Defence Housing Australia material used 'as supplied'</w:t>
      </w:r>
    </w:p>
    <w:p w14:paraId="186FD9B4" w14:textId="77777777" w:rsidR="00025F35" w:rsidRPr="00B56FAA" w:rsidRDefault="00025F35" w:rsidP="00754942">
      <w:pPr>
        <w:spacing w:before="120" w:after="120"/>
        <w:rPr>
          <w:lang w:val="en-AU"/>
        </w:rPr>
      </w:pPr>
      <w:r w:rsidRPr="00B56FAA">
        <w:rPr>
          <w:lang w:val="en-AU"/>
        </w:rPr>
        <w:t>Provided you have not modified or transformed the Defence Housing Australia material in any way including, for example, by changing the Defence Housing Australia text; calculating percentage changes; graphing or charting data; or deriving new statistics from published Defence Housing Australia statistics – then the Defence Housing Australia pre</w:t>
      </w:r>
      <w:r w:rsidR="00C32CC6" w:rsidRPr="00B56FAA">
        <w:rPr>
          <w:lang w:val="en-AU"/>
        </w:rPr>
        <w:t>fers the following attribution:</w:t>
      </w:r>
    </w:p>
    <w:p w14:paraId="15FF7DF9" w14:textId="77777777" w:rsidR="00025F35" w:rsidRPr="00B56FAA" w:rsidRDefault="00025F35" w:rsidP="00754942">
      <w:pPr>
        <w:spacing w:before="120" w:after="120"/>
        <w:rPr>
          <w:i/>
          <w:lang w:val="en-AU"/>
        </w:rPr>
      </w:pPr>
      <w:r w:rsidRPr="00B56FAA">
        <w:rPr>
          <w:i/>
          <w:lang w:val="en-AU"/>
        </w:rPr>
        <w:t>Source: The Australian Government Defence Housing Australia</w:t>
      </w:r>
      <w:r w:rsidR="00D6667F" w:rsidRPr="00B56FAA">
        <w:rPr>
          <w:i/>
          <w:lang w:val="en-AU"/>
        </w:rPr>
        <w:t>.</w:t>
      </w:r>
    </w:p>
    <w:p w14:paraId="05907A0D" w14:textId="77777777" w:rsidR="00025F35" w:rsidRPr="00B56FAA" w:rsidRDefault="00025F35" w:rsidP="00754942">
      <w:pPr>
        <w:spacing w:before="120" w:after="120"/>
        <w:rPr>
          <w:b/>
          <w:lang w:val="en-AU"/>
        </w:rPr>
      </w:pPr>
      <w:r w:rsidRPr="00B56FAA">
        <w:rPr>
          <w:b/>
          <w:lang w:val="en-AU"/>
        </w:rPr>
        <w:t>Derivative material</w:t>
      </w:r>
    </w:p>
    <w:p w14:paraId="12A6E7DE" w14:textId="77777777" w:rsidR="00025F35" w:rsidRPr="00B56FAA" w:rsidRDefault="00025F35" w:rsidP="00754942">
      <w:pPr>
        <w:spacing w:before="120" w:after="120"/>
        <w:rPr>
          <w:lang w:val="en-AU"/>
        </w:rPr>
      </w:pPr>
      <w:r w:rsidRPr="00B56FAA">
        <w:rPr>
          <w:lang w:val="en-AU"/>
        </w:rPr>
        <w:t>If you have modified or transformed the Defence Housing Australia‘s</w:t>
      </w:r>
      <w:r w:rsidRPr="00B56FAA">
        <w:rPr>
          <w:color w:val="FF0000"/>
          <w:lang w:val="en-AU"/>
        </w:rPr>
        <w:t xml:space="preserve"> </w:t>
      </w:r>
      <w:r w:rsidRPr="00B56FAA">
        <w:rPr>
          <w:lang w:val="en-AU"/>
        </w:rPr>
        <w:t>material, or derived new material from those of the Defence Housing Australia</w:t>
      </w:r>
      <w:r w:rsidRPr="00B56FAA">
        <w:rPr>
          <w:color w:val="FF0000"/>
          <w:lang w:val="en-AU"/>
        </w:rPr>
        <w:t xml:space="preserve"> </w:t>
      </w:r>
      <w:r w:rsidRPr="00B56FAA">
        <w:rPr>
          <w:lang w:val="en-AU"/>
        </w:rPr>
        <w:t>in any way, then the Defence Housing Australia prefers the fol</w:t>
      </w:r>
      <w:r w:rsidR="00C32CC6" w:rsidRPr="00B56FAA">
        <w:rPr>
          <w:lang w:val="en-AU"/>
        </w:rPr>
        <w:t>lowing attribution:</w:t>
      </w:r>
    </w:p>
    <w:p w14:paraId="2819EA65" w14:textId="77777777" w:rsidR="00025F35" w:rsidRPr="00B56FAA" w:rsidRDefault="00025F35" w:rsidP="00754942">
      <w:pPr>
        <w:spacing w:before="120" w:after="120"/>
        <w:rPr>
          <w:i/>
          <w:lang w:val="en-AU"/>
        </w:rPr>
      </w:pPr>
      <w:r w:rsidRPr="00B56FAA">
        <w:rPr>
          <w:i/>
          <w:lang w:val="en-AU"/>
        </w:rPr>
        <w:t>Based on The Australian Government Defence Housing Australia’s data.</w:t>
      </w:r>
    </w:p>
    <w:p w14:paraId="0541E7C2" w14:textId="77777777" w:rsidR="00025F35" w:rsidRPr="00B56FAA" w:rsidRDefault="00025F35" w:rsidP="00754942">
      <w:pPr>
        <w:spacing w:before="120" w:after="120"/>
        <w:rPr>
          <w:b/>
          <w:lang w:val="en-AU"/>
        </w:rPr>
      </w:pPr>
      <w:r w:rsidRPr="00B56FAA">
        <w:rPr>
          <w:b/>
          <w:lang w:val="en-AU"/>
        </w:rPr>
        <w:t>Use of the Coat of Arms</w:t>
      </w:r>
    </w:p>
    <w:p w14:paraId="4C64A065" w14:textId="77777777" w:rsidR="00025F35" w:rsidRPr="00B56FAA" w:rsidRDefault="00025F35" w:rsidP="00754942">
      <w:pPr>
        <w:spacing w:before="120" w:after="120"/>
        <w:rPr>
          <w:lang w:val="en-AU"/>
        </w:rPr>
      </w:pPr>
      <w:r w:rsidRPr="00B56FAA">
        <w:rPr>
          <w:lang w:val="en-AU"/>
        </w:rPr>
        <w:t xml:space="preserve">The terms under which the Coat of Arms can be used are set out on the </w:t>
      </w:r>
      <w:r w:rsidR="00C07780" w:rsidRPr="00B56FAA">
        <w:rPr>
          <w:lang w:val="en-AU"/>
        </w:rPr>
        <w:t>Department of the Prime Minister and Cabinet website</w:t>
      </w:r>
      <w:r w:rsidRPr="00B56FAA">
        <w:rPr>
          <w:lang w:val="en-AU"/>
        </w:rPr>
        <w:t xml:space="preserve"> (see </w:t>
      </w:r>
      <w:hyperlink r:id="rId14" w:history="1">
        <w:r w:rsidR="00B334AE" w:rsidRPr="00B56FAA">
          <w:rPr>
            <w:rStyle w:val="Hyperlink"/>
            <w:lang w:val="en-AU"/>
          </w:rPr>
          <w:t>www.pmc.gov.au/government/commonwealth-coat-arms</w:t>
        </w:r>
      </w:hyperlink>
      <w:r w:rsidRPr="00B56FAA">
        <w:rPr>
          <w:lang w:val="en-AU"/>
        </w:rPr>
        <w:t>)</w:t>
      </w:r>
      <w:r w:rsidR="00C841B2" w:rsidRPr="00B56FAA">
        <w:rPr>
          <w:lang w:val="en-AU"/>
        </w:rPr>
        <w:t>.</w:t>
      </w:r>
    </w:p>
    <w:p w14:paraId="4B6A0EE5" w14:textId="77777777" w:rsidR="00025F35" w:rsidRPr="00B56FAA" w:rsidRDefault="00D56E52" w:rsidP="00754942">
      <w:pPr>
        <w:spacing w:before="120" w:after="120"/>
        <w:rPr>
          <w:b/>
          <w:lang w:val="en-AU"/>
        </w:rPr>
      </w:pPr>
      <w:r w:rsidRPr="00B56FAA">
        <w:rPr>
          <w:b/>
          <w:lang w:val="en-AU"/>
        </w:rPr>
        <w:t>Other u</w:t>
      </w:r>
      <w:r w:rsidR="00025F35" w:rsidRPr="00B56FAA">
        <w:rPr>
          <w:b/>
          <w:lang w:val="en-AU"/>
        </w:rPr>
        <w:t>ses</w:t>
      </w:r>
    </w:p>
    <w:p w14:paraId="3ECA369E" w14:textId="77777777" w:rsidR="00025F35" w:rsidRPr="00B56FAA" w:rsidRDefault="00C07780" w:rsidP="00754942">
      <w:pPr>
        <w:spacing w:before="120" w:after="120"/>
        <w:rPr>
          <w:lang w:val="en-AU"/>
        </w:rPr>
      </w:pPr>
      <w:r w:rsidRPr="00B56FAA">
        <w:rPr>
          <w:lang w:val="en-AU"/>
        </w:rPr>
        <w:t>E</w:t>
      </w:r>
      <w:r w:rsidR="00025F35" w:rsidRPr="00B56FAA">
        <w:rPr>
          <w:lang w:val="en-AU"/>
        </w:rPr>
        <w:t>nquiries regarding this licence and any other use of this document are welcome at:</w:t>
      </w:r>
    </w:p>
    <w:p w14:paraId="6E9E138D" w14:textId="77777777" w:rsidR="00E63AC2" w:rsidRPr="00BF40CB" w:rsidRDefault="00E63AC2" w:rsidP="00E63AC2">
      <w:pPr>
        <w:pStyle w:val="Address"/>
        <w:rPr>
          <w:lang w:val="en-AU"/>
        </w:rPr>
      </w:pPr>
      <w:r w:rsidRPr="00BF40CB">
        <w:rPr>
          <w:lang w:val="en-AU"/>
        </w:rPr>
        <w:t>Assistant Secretary Budgeting and Reporting</w:t>
      </w:r>
    </w:p>
    <w:p w14:paraId="4161055A" w14:textId="77777777" w:rsidR="00E63AC2" w:rsidRPr="00BF40CB" w:rsidRDefault="00E63AC2" w:rsidP="00E63AC2">
      <w:pPr>
        <w:pStyle w:val="Address"/>
        <w:rPr>
          <w:lang w:val="en-AU"/>
        </w:rPr>
      </w:pPr>
      <w:r w:rsidRPr="00BF40CB">
        <w:rPr>
          <w:lang w:val="en-AU"/>
        </w:rPr>
        <w:t>R1-2-B0</w:t>
      </w:r>
      <w:r>
        <w:rPr>
          <w:lang w:val="en-AU"/>
        </w:rPr>
        <w:t>02</w:t>
      </w:r>
    </w:p>
    <w:p w14:paraId="421734B9" w14:textId="77777777" w:rsidR="00E63AC2" w:rsidRPr="00BF40CB" w:rsidRDefault="00E63AC2" w:rsidP="00E63AC2">
      <w:pPr>
        <w:pStyle w:val="Address"/>
        <w:rPr>
          <w:lang w:val="en-AU"/>
        </w:rPr>
      </w:pPr>
      <w:r>
        <w:rPr>
          <w:lang w:val="en-AU"/>
        </w:rPr>
        <w:t>Department of Defence</w:t>
      </w:r>
    </w:p>
    <w:p w14:paraId="0F4E6DAF" w14:textId="77777777" w:rsidR="00E63AC2" w:rsidRPr="00BF40CB" w:rsidRDefault="00E63AC2" w:rsidP="00E63AC2">
      <w:pPr>
        <w:pStyle w:val="Address"/>
        <w:rPr>
          <w:lang w:val="en-AU"/>
        </w:rPr>
      </w:pPr>
      <w:r w:rsidRPr="00BF40CB">
        <w:rPr>
          <w:lang w:val="en-AU"/>
        </w:rPr>
        <w:t xml:space="preserve">PO Box 7901 Canberra </w:t>
      </w:r>
      <w:r>
        <w:rPr>
          <w:lang w:val="en-AU"/>
        </w:rPr>
        <w:t>BC ACT 2610</w:t>
      </w:r>
    </w:p>
    <w:p w14:paraId="4ED28932" w14:textId="77777777" w:rsidR="00E63AC2" w:rsidRPr="00BF40CB" w:rsidRDefault="00E63AC2" w:rsidP="00E63AC2">
      <w:pPr>
        <w:pStyle w:val="Address"/>
        <w:rPr>
          <w:lang w:val="en-AU"/>
        </w:rPr>
      </w:pPr>
    </w:p>
    <w:p w14:paraId="7DE62CF6" w14:textId="77777777" w:rsidR="00E63AC2" w:rsidRPr="00BF40CB" w:rsidRDefault="00E63AC2" w:rsidP="00E63AC2">
      <w:pPr>
        <w:pStyle w:val="Address"/>
        <w:rPr>
          <w:lang w:val="en-AU"/>
        </w:rPr>
      </w:pPr>
      <w:r w:rsidRPr="00BF40CB">
        <w:rPr>
          <w:lang w:val="en-AU"/>
        </w:rPr>
        <w:t xml:space="preserve">Telephone: </w:t>
      </w:r>
      <w:r w:rsidRPr="008006BA">
        <w:rPr>
          <w:lang w:val="en-AU"/>
        </w:rPr>
        <w:t xml:space="preserve">(02) </w:t>
      </w:r>
      <w:r>
        <w:rPr>
          <w:lang w:val="en-AU"/>
        </w:rPr>
        <w:t>510</w:t>
      </w:r>
      <w:r w:rsidR="00BC26BB">
        <w:rPr>
          <w:lang w:val="en-AU"/>
        </w:rPr>
        <w:t>8</w:t>
      </w:r>
      <w:r>
        <w:rPr>
          <w:lang w:val="en-AU"/>
        </w:rPr>
        <w:t xml:space="preserve"> </w:t>
      </w:r>
      <w:r w:rsidR="00BC26BB">
        <w:rPr>
          <w:lang w:val="en-AU"/>
        </w:rPr>
        <w:t>6064</w:t>
      </w:r>
    </w:p>
    <w:p w14:paraId="0257C57E" w14:textId="77777777" w:rsidR="00E63AC2" w:rsidRPr="00BF40CB" w:rsidRDefault="00E63AC2" w:rsidP="00E63AC2">
      <w:pPr>
        <w:pStyle w:val="Address"/>
        <w:rPr>
          <w:lang w:val="en-AU"/>
        </w:rPr>
      </w:pPr>
      <w:r w:rsidRPr="00BF40CB">
        <w:rPr>
          <w:lang w:val="en-AU"/>
        </w:rPr>
        <w:t xml:space="preserve">Email: </w:t>
      </w:r>
      <w:hyperlink r:id="rId15" w:history="1">
        <w:r w:rsidRPr="00BF40CB">
          <w:rPr>
            <w:rStyle w:val="Hyperlink"/>
            <w:lang w:val="en-AU"/>
          </w:rPr>
          <w:t>dfg.cbc@defence.gov.au</w:t>
        </w:r>
      </w:hyperlink>
    </w:p>
    <w:p w14:paraId="7C402A71" w14:textId="77777777" w:rsidR="006D5AEC" w:rsidRPr="00B56FAA" w:rsidRDefault="006D5AEC" w:rsidP="00754942">
      <w:pPr>
        <w:spacing w:before="120" w:after="120"/>
        <w:rPr>
          <w:lang w:val="en-AU"/>
        </w:rPr>
      </w:pPr>
    </w:p>
    <w:p w14:paraId="44A92FAF" w14:textId="77777777" w:rsidR="00356250" w:rsidRPr="00B56FAA" w:rsidRDefault="00356250">
      <w:pPr>
        <w:spacing w:before="0" w:after="0"/>
        <w:rPr>
          <w:lang w:val="en-AU"/>
        </w:rPr>
        <w:sectPr w:rsidR="00356250" w:rsidRPr="00B56FAA" w:rsidSect="00C30BE6">
          <w:footerReference w:type="first" r:id="rId16"/>
          <w:pgSz w:w="11906" w:h="16838" w:code="9"/>
          <w:pgMar w:top="1701" w:right="1361" w:bottom="1701" w:left="1928" w:header="720" w:footer="720" w:gutter="0"/>
          <w:pgNumType w:fmt="lowerRoman" w:start="2"/>
          <w:cols w:space="720"/>
          <w:titlePg/>
        </w:sectPr>
      </w:pPr>
    </w:p>
    <w:p w14:paraId="29971615" w14:textId="77777777" w:rsidR="00356250" w:rsidRPr="00B56FAA" w:rsidRDefault="00356250" w:rsidP="00356250">
      <w:pPr>
        <w:jc w:val="center"/>
        <w:rPr>
          <w:lang w:val="en-AU"/>
        </w:rPr>
      </w:pPr>
    </w:p>
    <w:p w14:paraId="2436DE60" w14:textId="77777777" w:rsidR="00356250" w:rsidRPr="00B56FAA" w:rsidRDefault="00356250" w:rsidP="00356250">
      <w:pPr>
        <w:jc w:val="center"/>
        <w:rPr>
          <w:lang w:val="en-AU"/>
        </w:rPr>
      </w:pPr>
    </w:p>
    <w:p w14:paraId="67FDCBEF" w14:textId="77777777" w:rsidR="00356250" w:rsidRPr="00B56FAA" w:rsidRDefault="00356250" w:rsidP="00356250">
      <w:pPr>
        <w:jc w:val="center"/>
        <w:rPr>
          <w:lang w:val="en-AU"/>
        </w:rPr>
      </w:pPr>
    </w:p>
    <w:p w14:paraId="0E857F79" w14:textId="77777777" w:rsidR="00356250" w:rsidRPr="00B56FAA" w:rsidRDefault="00356250" w:rsidP="00356250">
      <w:pPr>
        <w:jc w:val="center"/>
        <w:rPr>
          <w:lang w:val="en-AU"/>
        </w:rPr>
      </w:pPr>
    </w:p>
    <w:p w14:paraId="3277EACC" w14:textId="77777777" w:rsidR="00356250" w:rsidRPr="00B56FAA" w:rsidRDefault="00356250" w:rsidP="00356250">
      <w:pPr>
        <w:jc w:val="center"/>
        <w:rPr>
          <w:lang w:val="en-AU"/>
        </w:rPr>
      </w:pPr>
    </w:p>
    <w:p w14:paraId="3D776389" w14:textId="77777777" w:rsidR="00356250" w:rsidRPr="00B56FAA" w:rsidRDefault="00356250" w:rsidP="00356250">
      <w:pPr>
        <w:jc w:val="center"/>
        <w:rPr>
          <w:lang w:val="en-AU"/>
        </w:rPr>
      </w:pPr>
    </w:p>
    <w:p w14:paraId="283246ED" w14:textId="77777777" w:rsidR="00356250" w:rsidRPr="00B56FAA" w:rsidRDefault="00356250" w:rsidP="00356250">
      <w:pPr>
        <w:jc w:val="center"/>
        <w:rPr>
          <w:lang w:val="en-AU"/>
        </w:rPr>
      </w:pPr>
    </w:p>
    <w:p w14:paraId="2BD7C8DE" w14:textId="77777777" w:rsidR="00356250" w:rsidRPr="00B56FAA" w:rsidRDefault="00356250" w:rsidP="00356250">
      <w:pPr>
        <w:jc w:val="center"/>
        <w:rPr>
          <w:lang w:val="en-AU"/>
        </w:rPr>
      </w:pPr>
    </w:p>
    <w:p w14:paraId="1041AD2A" w14:textId="77777777" w:rsidR="00356250" w:rsidRPr="00B56FAA" w:rsidRDefault="00356250" w:rsidP="00356250">
      <w:pPr>
        <w:jc w:val="center"/>
        <w:rPr>
          <w:lang w:val="en-AU"/>
        </w:rPr>
      </w:pPr>
    </w:p>
    <w:p w14:paraId="429CE6CB" w14:textId="77777777" w:rsidR="00356250" w:rsidRPr="00B56FAA" w:rsidRDefault="00356250" w:rsidP="00356250">
      <w:pPr>
        <w:jc w:val="center"/>
        <w:rPr>
          <w:lang w:val="en-AU"/>
        </w:rPr>
      </w:pPr>
    </w:p>
    <w:p w14:paraId="184EDEFA" w14:textId="77777777" w:rsidR="00356250" w:rsidRPr="00B56FAA" w:rsidRDefault="00356250" w:rsidP="00356250">
      <w:pPr>
        <w:jc w:val="center"/>
        <w:rPr>
          <w:lang w:val="en-AU"/>
        </w:rPr>
      </w:pPr>
    </w:p>
    <w:p w14:paraId="24CCDF82" w14:textId="77777777" w:rsidR="00356250" w:rsidRPr="00B56FAA" w:rsidRDefault="00356250" w:rsidP="00356250">
      <w:pPr>
        <w:jc w:val="center"/>
        <w:rPr>
          <w:lang w:val="en-AU"/>
        </w:rPr>
      </w:pPr>
    </w:p>
    <w:p w14:paraId="62A74B07" w14:textId="77777777" w:rsidR="00356250" w:rsidRPr="00B56FAA" w:rsidRDefault="00356250" w:rsidP="00356250">
      <w:pPr>
        <w:ind w:left="2" w:firstLine="1"/>
        <w:jc w:val="center"/>
        <w:rPr>
          <w:lang w:val="en-AU"/>
        </w:rPr>
      </w:pPr>
      <w:r w:rsidRPr="00B56FAA">
        <w:rPr>
          <w:lang w:val="en-AU"/>
        </w:rPr>
        <w:t>This page intentionally left blank.</w:t>
      </w:r>
    </w:p>
    <w:p w14:paraId="46F62C5A" w14:textId="77777777" w:rsidR="00461FA3" w:rsidRPr="00B56FAA" w:rsidRDefault="00461FA3" w:rsidP="004B099A">
      <w:pPr>
        <w:jc w:val="both"/>
        <w:rPr>
          <w:lang w:val="en-AU"/>
        </w:rPr>
      </w:pPr>
    </w:p>
    <w:p w14:paraId="6D10463E" w14:textId="77777777" w:rsidR="00F232BC" w:rsidRPr="00B56FAA" w:rsidRDefault="00F232BC" w:rsidP="004B099A">
      <w:pPr>
        <w:rPr>
          <w:lang w:val="en-AU"/>
        </w:rPr>
        <w:sectPr w:rsidR="00F232BC" w:rsidRPr="00B56FAA" w:rsidSect="00C30BE6">
          <w:headerReference w:type="first" r:id="rId17"/>
          <w:pgSz w:w="11906" w:h="16838" w:code="9"/>
          <w:pgMar w:top="1701" w:right="1361" w:bottom="1701" w:left="1928" w:header="720" w:footer="720" w:gutter="0"/>
          <w:pgNumType w:fmt="lowerRoman"/>
          <w:cols w:space="720"/>
          <w:titlePg/>
        </w:sectPr>
      </w:pPr>
    </w:p>
    <w:p w14:paraId="2463B8A7" w14:textId="77777777" w:rsidR="00203E8B" w:rsidRPr="00B56FAA" w:rsidRDefault="004B099A" w:rsidP="00203E8B">
      <w:pPr>
        <w:spacing w:before="0" w:after="0"/>
      </w:pPr>
      <w:bookmarkStart w:id="58" w:name="_Toc51689725"/>
      <w:bookmarkStart w:id="59" w:name="_Toc51689823"/>
      <w:bookmarkStart w:id="60" w:name="_Toc51690291"/>
      <w:bookmarkStart w:id="61" w:name="_Toc51690403"/>
      <w:bookmarkStart w:id="62" w:name="_Toc51690631"/>
      <w:bookmarkStart w:id="63" w:name="_Toc51690769"/>
      <w:bookmarkStart w:id="64" w:name="_Toc51690898"/>
      <w:bookmarkStart w:id="65" w:name="_Toc51691141"/>
      <w:bookmarkStart w:id="66" w:name="_Toc51691344"/>
      <w:bookmarkStart w:id="67" w:name="_Toc51691661"/>
      <w:r w:rsidRPr="00B56FAA">
        <w:rPr>
          <w:color w:val="FFFFFF"/>
        </w:rPr>
        <w:lastRenderedPageBreak/>
        <w:t xml:space="preserve">Letter of </w:t>
      </w:r>
      <w:bookmarkEnd w:id="58"/>
      <w:bookmarkEnd w:id="59"/>
      <w:bookmarkEnd w:id="60"/>
      <w:bookmarkEnd w:id="61"/>
      <w:bookmarkEnd w:id="62"/>
      <w:bookmarkEnd w:id="63"/>
      <w:bookmarkEnd w:id="64"/>
      <w:bookmarkEnd w:id="65"/>
      <w:bookmarkEnd w:id="66"/>
      <w:bookmarkEnd w:id="67"/>
    </w:p>
    <w:p w14:paraId="20AFA986" w14:textId="77777777" w:rsidR="00203E8B" w:rsidRPr="00B56FAA" w:rsidRDefault="00203E8B" w:rsidP="00203E8B">
      <w:pPr>
        <w:pStyle w:val="Heading2"/>
        <w:rPr>
          <w:color w:val="FFFFFF"/>
          <w:sz w:val="20"/>
          <w:szCs w:val="20"/>
        </w:rPr>
      </w:pPr>
      <w:bookmarkStart w:id="68" w:name="_Toc56431376"/>
      <w:bookmarkStart w:id="69" w:name="_Toc56431491"/>
      <w:bookmarkStart w:id="70" w:name="_Toc56431599"/>
      <w:bookmarkStart w:id="71" w:name="_Toc56431655"/>
      <w:bookmarkStart w:id="72" w:name="_Toc56431710"/>
      <w:bookmarkStart w:id="73" w:name="_Toc60832156"/>
      <w:bookmarkStart w:id="74" w:name="_Toc60832224"/>
      <w:bookmarkStart w:id="75" w:name="_Toc62822434"/>
      <w:bookmarkStart w:id="76" w:name="_Toc62822909"/>
      <w:bookmarkStart w:id="77" w:name="_Toc62823005"/>
      <w:bookmarkStart w:id="78" w:name="_Toc62823166"/>
      <w:bookmarkStart w:id="79" w:name="_Toc62823281"/>
      <w:bookmarkStart w:id="80" w:name="_Toc65150725"/>
      <w:bookmarkStart w:id="81" w:name="_Toc69729030"/>
      <w:bookmarkStart w:id="82" w:name="_Toc69913605"/>
      <w:bookmarkStart w:id="83" w:name="_Toc69917824"/>
      <w:bookmarkStart w:id="84" w:name="_Toc97747813"/>
      <w:bookmarkStart w:id="85" w:name="_Toc97809646"/>
      <w:bookmarkStart w:id="86" w:name="_Toc108088924"/>
      <w:bookmarkStart w:id="87" w:name="_Toc108089003"/>
      <w:bookmarkStart w:id="88" w:name="_Toc108089398"/>
      <w:bookmarkStart w:id="89" w:name="_Toc108089678"/>
      <w:bookmarkStart w:id="90" w:name="_Toc109227283"/>
      <w:bookmarkStart w:id="91" w:name="_Toc109227720"/>
      <w:bookmarkStart w:id="92" w:name="_Toc158896236"/>
      <w:bookmarkStart w:id="93" w:name="_Toc158896293"/>
      <w:bookmarkStart w:id="94" w:name="_Toc159499667"/>
      <w:bookmarkStart w:id="95" w:name="_Toc159499953"/>
      <w:bookmarkStart w:id="96" w:name="_Toc159857664"/>
      <w:bookmarkStart w:id="97" w:name="_Toc159857743"/>
      <w:bookmarkStart w:id="98" w:name="_Toc159858139"/>
      <w:bookmarkStart w:id="99" w:name="_Toc159858410"/>
      <w:bookmarkStart w:id="100" w:name="_Toc159858804"/>
      <w:bookmarkStart w:id="101" w:name="_Toc159858874"/>
      <w:bookmarkStart w:id="102" w:name="_Toc159859084"/>
      <w:bookmarkStart w:id="103" w:name="_Toc159859236"/>
      <w:bookmarkStart w:id="104" w:name="_Toc159862274"/>
      <w:bookmarkStart w:id="105" w:name="_Toc159862464"/>
      <w:r w:rsidRPr="00B56FAA">
        <w:rPr>
          <w:color w:val="FFFFFF"/>
          <w:sz w:val="20"/>
          <w:szCs w:val="20"/>
        </w:rPr>
        <w:t>Letter of Transmittal</w:t>
      </w:r>
      <w:r w:rsidRPr="00B56FAA">
        <w:rPr>
          <w:noProof/>
          <w:color w:val="FFFFFF"/>
          <w:sz w:val="20"/>
          <w:szCs w:val="20"/>
          <w:lang w:val="en-AU"/>
        </w:rPr>
        <w:t xml:space="preserve"> </w:t>
      </w:r>
      <w:r w:rsidR="0085144D" w:rsidRPr="00B56FAA">
        <w:rPr>
          <w:noProof/>
          <w:lang w:val="en-AU"/>
        </w:rPr>
        <w:drawing>
          <wp:anchor distT="0" distB="0" distL="114300" distR="114300" simplePos="0" relativeHeight="251610624" behindDoc="0" locked="0" layoutInCell="1" allowOverlap="1" wp14:anchorId="3A683FB4" wp14:editId="4C60B687">
            <wp:simplePos x="0" y="0"/>
            <wp:positionH relativeFrom="column">
              <wp:posOffset>2237740</wp:posOffset>
            </wp:positionH>
            <wp:positionV relativeFrom="paragraph">
              <wp:posOffset>85090</wp:posOffset>
            </wp:positionV>
            <wp:extent cx="1155700" cy="847725"/>
            <wp:effectExtent l="0" t="0" r="0" b="0"/>
            <wp:wrapNone/>
            <wp:docPr id="10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5700" cy="8477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0E073EC4" w14:textId="77777777" w:rsidR="00203E8B" w:rsidRPr="00B56FAA" w:rsidRDefault="00203E8B" w:rsidP="00203E8B">
      <w:pPr>
        <w:pStyle w:val="Header"/>
        <w:spacing w:before="0" w:after="0"/>
        <w:jc w:val="center"/>
        <w:rPr>
          <w:b/>
          <w:sz w:val="34"/>
          <w:szCs w:val="34"/>
        </w:rPr>
      </w:pPr>
    </w:p>
    <w:p w14:paraId="46FFAAD0" w14:textId="77777777" w:rsidR="00203E8B" w:rsidRPr="00B56FAA" w:rsidRDefault="00203E8B" w:rsidP="00203E8B">
      <w:pPr>
        <w:pStyle w:val="Header"/>
        <w:spacing w:before="0" w:after="0"/>
        <w:jc w:val="center"/>
        <w:rPr>
          <w:b/>
          <w:szCs w:val="20"/>
        </w:rPr>
      </w:pPr>
      <w:r w:rsidRPr="00B56FAA">
        <w:rPr>
          <w:b/>
          <w:szCs w:val="20"/>
        </w:rPr>
        <w:tab/>
      </w:r>
    </w:p>
    <w:p w14:paraId="5948BD96" w14:textId="77777777" w:rsidR="00203E8B" w:rsidRPr="00B56FAA" w:rsidRDefault="00203E8B" w:rsidP="00203E8B">
      <w:pPr>
        <w:pStyle w:val="Header"/>
        <w:spacing w:before="0" w:after="0"/>
        <w:jc w:val="center"/>
        <w:rPr>
          <w:b/>
          <w:sz w:val="34"/>
          <w:szCs w:val="34"/>
        </w:rPr>
      </w:pPr>
    </w:p>
    <w:p w14:paraId="569DFD08" w14:textId="77777777" w:rsidR="00203E8B" w:rsidRPr="00B56FAA" w:rsidRDefault="007B449C" w:rsidP="00203E8B">
      <w:pPr>
        <w:pStyle w:val="Header"/>
        <w:spacing w:before="0" w:after="0"/>
        <w:jc w:val="center"/>
        <w:rPr>
          <w:b/>
          <w:sz w:val="32"/>
          <w:szCs w:val="32"/>
        </w:rPr>
      </w:pPr>
      <w:r w:rsidRPr="00B56FAA">
        <w:rPr>
          <w:b/>
          <w:sz w:val="32"/>
          <w:szCs w:val="32"/>
        </w:rPr>
        <w:t>THE HON RICHARD MARLES</w:t>
      </w:r>
    </w:p>
    <w:p w14:paraId="0600F812" w14:textId="77777777" w:rsidR="007B449C" w:rsidRPr="00B56FAA" w:rsidRDefault="007B449C" w:rsidP="00203E8B">
      <w:pPr>
        <w:pStyle w:val="Header"/>
        <w:spacing w:before="0" w:after="0"/>
        <w:jc w:val="center"/>
        <w:rPr>
          <w:b/>
          <w:sz w:val="24"/>
        </w:rPr>
      </w:pPr>
      <w:r w:rsidRPr="00B56FAA">
        <w:rPr>
          <w:b/>
          <w:sz w:val="24"/>
        </w:rPr>
        <w:t>DEPUTY PRIME MINISTER</w:t>
      </w:r>
    </w:p>
    <w:p w14:paraId="6E398E0C" w14:textId="77777777" w:rsidR="00203E8B" w:rsidRPr="00B56FAA" w:rsidRDefault="00203E8B" w:rsidP="00203E8B">
      <w:pPr>
        <w:pStyle w:val="Header"/>
        <w:spacing w:before="0" w:after="0"/>
        <w:jc w:val="center"/>
        <w:rPr>
          <w:b/>
          <w:sz w:val="24"/>
        </w:rPr>
      </w:pPr>
      <w:r w:rsidRPr="00B56FAA">
        <w:rPr>
          <w:b/>
          <w:sz w:val="24"/>
        </w:rPr>
        <w:t>MINISTER FOR DEFENCE</w:t>
      </w:r>
    </w:p>
    <w:p w14:paraId="310B5573" w14:textId="77777777" w:rsidR="00A90222" w:rsidRPr="00B56FAA" w:rsidRDefault="00A90222" w:rsidP="00203E8B">
      <w:pPr>
        <w:pStyle w:val="Header"/>
        <w:spacing w:before="0" w:after="0"/>
        <w:jc w:val="center"/>
        <w:rPr>
          <w:b/>
          <w:sz w:val="24"/>
        </w:rPr>
      </w:pPr>
    </w:p>
    <w:p w14:paraId="1AD9F69E" w14:textId="77777777" w:rsidR="00203E8B" w:rsidRPr="00B56FAA" w:rsidRDefault="00203E8B" w:rsidP="00203E8B">
      <w:pPr>
        <w:pStyle w:val="Header"/>
        <w:spacing w:before="0" w:after="0"/>
        <w:jc w:val="center"/>
        <w:rPr>
          <w:b/>
          <w:sz w:val="34"/>
          <w:szCs w:val="34"/>
        </w:rPr>
      </w:pPr>
    </w:p>
    <w:p w14:paraId="36D6DD12" w14:textId="77777777" w:rsidR="00203E8B" w:rsidRPr="00B56FAA" w:rsidRDefault="00203E8B" w:rsidP="00192F39">
      <w:pPr>
        <w:pStyle w:val="TransmittalStyle2"/>
        <w:rPr>
          <w:rFonts w:ascii="Times" w:hAnsi="Times" w:cs="Times"/>
        </w:rPr>
      </w:pPr>
      <w:r w:rsidRPr="00B56FAA">
        <w:rPr>
          <w:rFonts w:ascii="Times" w:hAnsi="Times" w:cs="Times"/>
        </w:rPr>
        <w:t>parliament House</w:t>
      </w:r>
    </w:p>
    <w:p w14:paraId="6BEBD4ED" w14:textId="0662C38E" w:rsidR="00203E8B" w:rsidRPr="00B56FAA" w:rsidRDefault="00203E8B" w:rsidP="00192F39">
      <w:pPr>
        <w:pStyle w:val="TransmittalStyle2"/>
        <w:rPr>
          <w:rFonts w:ascii="Times" w:hAnsi="Times" w:cs="Times"/>
        </w:rPr>
      </w:pPr>
      <w:r w:rsidRPr="00B56FAA">
        <w:rPr>
          <w:rFonts w:ascii="Times" w:hAnsi="Times" w:cs="Times"/>
        </w:rPr>
        <w:t>canberra 2600</w:t>
      </w:r>
    </w:p>
    <w:p w14:paraId="51547CAF" w14:textId="77777777" w:rsidR="00535AF8" w:rsidRDefault="00535AF8" w:rsidP="0074080E">
      <w:pPr>
        <w:spacing w:before="0" w:after="0"/>
        <w:rPr>
          <w:rFonts w:cs="Times New Roman"/>
          <w:szCs w:val="20"/>
        </w:rPr>
      </w:pPr>
    </w:p>
    <w:p w14:paraId="314037B1" w14:textId="77777777" w:rsidR="00BD405A" w:rsidRDefault="00BD405A" w:rsidP="0074080E">
      <w:pPr>
        <w:spacing w:before="0" w:after="0"/>
        <w:rPr>
          <w:rFonts w:cs="Times New Roman"/>
          <w:szCs w:val="20"/>
        </w:rPr>
      </w:pPr>
    </w:p>
    <w:p w14:paraId="07A54D48" w14:textId="77777777" w:rsidR="00BD405A" w:rsidRPr="00BD405A" w:rsidRDefault="00BD405A" w:rsidP="00BD405A">
      <w:pPr>
        <w:spacing w:before="0" w:after="4" w:line="250" w:lineRule="auto"/>
        <w:ind w:left="-15"/>
        <w:rPr>
          <w:rFonts w:eastAsia="Book Antiqua" w:cs="Book Antiqua"/>
          <w:color w:val="000000"/>
          <w:szCs w:val="22"/>
          <w:lang w:val="en-AU"/>
        </w:rPr>
      </w:pPr>
      <w:r>
        <w:rPr>
          <w:rFonts w:eastAsia="Book Antiqua" w:cs="Book Antiqua"/>
          <w:color w:val="000000"/>
          <w:szCs w:val="22"/>
          <w:lang w:val="en-AU"/>
        </w:rPr>
        <w:t>President of the Senate</w:t>
      </w:r>
    </w:p>
    <w:p w14:paraId="6B927DAC" w14:textId="77777777" w:rsidR="00BD405A" w:rsidRPr="00BD405A" w:rsidRDefault="00BD405A" w:rsidP="00BD405A">
      <w:pPr>
        <w:spacing w:before="0" w:after="4" w:line="250" w:lineRule="auto"/>
        <w:ind w:left="-5" w:hanging="10"/>
        <w:rPr>
          <w:rFonts w:eastAsia="Book Antiqua" w:cs="Book Antiqua"/>
          <w:color w:val="000000"/>
          <w:szCs w:val="22"/>
          <w:lang w:val="en-AU"/>
        </w:rPr>
      </w:pPr>
      <w:r>
        <w:rPr>
          <w:rFonts w:eastAsia="Book Antiqua" w:cs="Book Antiqua"/>
          <w:color w:val="000000"/>
          <w:szCs w:val="22"/>
          <w:lang w:val="en-AU"/>
        </w:rPr>
        <w:t>Australian Senate</w:t>
      </w:r>
    </w:p>
    <w:p w14:paraId="6DEC2A5D" w14:textId="77777777" w:rsidR="00BD405A" w:rsidRPr="00BD405A" w:rsidRDefault="00BD405A" w:rsidP="00BD405A">
      <w:pPr>
        <w:spacing w:before="0" w:after="4" w:line="250" w:lineRule="auto"/>
        <w:ind w:left="-5" w:hanging="10"/>
        <w:rPr>
          <w:rFonts w:eastAsia="Book Antiqua" w:cs="Book Antiqua"/>
          <w:color w:val="000000"/>
          <w:szCs w:val="22"/>
          <w:lang w:val="en-AU"/>
        </w:rPr>
      </w:pPr>
      <w:r>
        <w:rPr>
          <w:rFonts w:eastAsia="Book Antiqua" w:cs="Book Antiqua"/>
          <w:color w:val="000000"/>
          <w:szCs w:val="22"/>
          <w:lang w:val="en-AU"/>
        </w:rPr>
        <w:t>Parliament House</w:t>
      </w:r>
    </w:p>
    <w:p w14:paraId="18222DCB" w14:textId="77777777" w:rsidR="00BD405A" w:rsidRPr="00BD405A" w:rsidRDefault="00BD405A" w:rsidP="00BD405A">
      <w:pPr>
        <w:spacing w:before="0" w:after="4" w:line="250" w:lineRule="auto"/>
        <w:ind w:left="-5" w:hanging="10"/>
        <w:rPr>
          <w:rFonts w:eastAsia="Book Antiqua" w:cs="Book Antiqua"/>
          <w:color w:val="000000"/>
          <w:szCs w:val="22"/>
          <w:lang w:val="en-AU"/>
        </w:rPr>
      </w:pPr>
      <w:r>
        <w:rPr>
          <w:rFonts w:eastAsia="Book Antiqua" w:cs="Book Antiqua"/>
          <w:color w:val="000000"/>
          <w:szCs w:val="22"/>
          <w:lang w:val="en-AU"/>
        </w:rPr>
        <w:t>CANBERRA ACT 2600</w:t>
      </w:r>
    </w:p>
    <w:p w14:paraId="72438FE5" w14:textId="77777777" w:rsidR="00BD405A" w:rsidRPr="00BD405A" w:rsidRDefault="00BD405A" w:rsidP="00BD405A">
      <w:pPr>
        <w:spacing w:before="0" w:after="0" w:line="259" w:lineRule="auto"/>
        <w:rPr>
          <w:rFonts w:eastAsia="Book Antiqua" w:cs="Book Antiqua"/>
          <w:color w:val="000000"/>
          <w:szCs w:val="22"/>
          <w:lang w:val="en-AU"/>
        </w:rPr>
      </w:pPr>
    </w:p>
    <w:p w14:paraId="24F44B84" w14:textId="77777777" w:rsidR="00BD405A" w:rsidRPr="00BD405A" w:rsidRDefault="00BD405A" w:rsidP="00BD405A">
      <w:pPr>
        <w:spacing w:before="0" w:after="0" w:line="259" w:lineRule="auto"/>
        <w:rPr>
          <w:rFonts w:eastAsia="Book Antiqua" w:cs="Book Antiqua"/>
          <w:color w:val="000000"/>
          <w:szCs w:val="22"/>
          <w:lang w:val="en-AU"/>
        </w:rPr>
      </w:pPr>
    </w:p>
    <w:p w14:paraId="4B01BC3A" w14:textId="77777777" w:rsidR="00BD405A" w:rsidRPr="00BD405A" w:rsidRDefault="00BD405A" w:rsidP="00BD405A">
      <w:pPr>
        <w:spacing w:before="0" w:after="4" w:line="250" w:lineRule="auto"/>
        <w:ind w:left="-5" w:hanging="10"/>
        <w:rPr>
          <w:rFonts w:eastAsia="Book Antiqua" w:cs="Book Antiqua"/>
          <w:color w:val="000000"/>
          <w:szCs w:val="22"/>
          <w:lang w:val="en-AU"/>
        </w:rPr>
      </w:pPr>
      <w:r>
        <w:rPr>
          <w:rFonts w:eastAsia="Book Antiqua" w:cs="Book Antiqua"/>
          <w:color w:val="000000"/>
          <w:szCs w:val="22"/>
          <w:lang w:val="en-AU"/>
        </w:rPr>
        <w:t>Speaker</w:t>
      </w:r>
    </w:p>
    <w:p w14:paraId="1C9EDC88" w14:textId="77777777" w:rsidR="00BD405A" w:rsidRPr="00BD405A" w:rsidRDefault="00BD405A" w:rsidP="00BD405A">
      <w:pPr>
        <w:spacing w:before="0" w:after="4" w:line="250" w:lineRule="auto"/>
        <w:ind w:left="-5" w:hanging="10"/>
        <w:rPr>
          <w:rFonts w:eastAsia="Book Antiqua" w:cs="Book Antiqua"/>
          <w:color w:val="000000"/>
          <w:szCs w:val="22"/>
          <w:lang w:val="en-AU"/>
        </w:rPr>
      </w:pPr>
      <w:r w:rsidRPr="00BD405A">
        <w:rPr>
          <w:rFonts w:eastAsia="Book Antiqua" w:cs="Book Antiqua"/>
          <w:color w:val="000000"/>
          <w:szCs w:val="22"/>
          <w:lang w:val="en-AU"/>
        </w:rPr>
        <w:t>House of Representatives</w:t>
      </w:r>
    </w:p>
    <w:p w14:paraId="157F109F" w14:textId="77777777" w:rsidR="00BD405A" w:rsidRPr="00BD405A" w:rsidRDefault="00BD405A" w:rsidP="00BD405A">
      <w:pPr>
        <w:spacing w:before="0" w:after="4" w:line="250" w:lineRule="auto"/>
        <w:ind w:left="-5" w:hanging="10"/>
        <w:rPr>
          <w:rFonts w:eastAsia="Book Antiqua" w:cs="Book Antiqua"/>
          <w:color w:val="000000"/>
          <w:szCs w:val="22"/>
          <w:lang w:val="en-AU"/>
        </w:rPr>
      </w:pPr>
      <w:r>
        <w:rPr>
          <w:rFonts w:eastAsia="Book Antiqua" w:cs="Book Antiqua"/>
          <w:color w:val="000000"/>
          <w:szCs w:val="22"/>
          <w:lang w:val="en-AU"/>
        </w:rPr>
        <w:t>Parliament House</w:t>
      </w:r>
    </w:p>
    <w:p w14:paraId="46AD549D" w14:textId="77777777" w:rsidR="00BD405A" w:rsidRPr="00BD405A" w:rsidRDefault="00BD405A" w:rsidP="00BD405A">
      <w:pPr>
        <w:spacing w:before="0" w:after="4" w:line="250" w:lineRule="auto"/>
        <w:ind w:left="-5" w:hanging="10"/>
        <w:rPr>
          <w:rFonts w:eastAsia="Book Antiqua" w:cs="Book Antiqua"/>
          <w:color w:val="000000"/>
          <w:szCs w:val="22"/>
          <w:lang w:val="en-AU"/>
        </w:rPr>
      </w:pPr>
      <w:r>
        <w:rPr>
          <w:rFonts w:eastAsia="Book Antiqua" w:cs="Book Antiqua"/>
          <w:color w:val="000000"/>
          <w:szCs w:val="22"/>
          <w:lang w:val="en-AU"/>
        </w:rPr>
        <w:t>CANBERRA ACT 2600</w:t>
      </w:r>
    </w:p>
    <w:p w14:paraId="0293F55D" w14:textId="77777777" w:rsidR="00BD405A" w:rsidRPr="00BD405A" w:rsidRDefault="00BD405A" w:rsidP="00BD405A">
      <w:pPr>
        <w:spacing w:before="0" w:after="0" w:line="259" w:lineRule="auto"/>
        <w:rPr>
          <w:rFonts w:eastAsia="Book Antiqua" w:cs="Book Antiqua"/>
          <w:color w:val="000000"/>
          <w:szCs w:val="22"/>
          <w:lang w:val="en-AU"/>
        </w:rPr>
      </w:pPr>
    </w:p>
    <w:p w14:paraId="01389A99" w14:textId="77777777" w:rsidR="00BD405A" w:rsidRPr="00BD405A" w:rsidRDefault="00BD405A" w:rsidP="00BD405A">
      <w:pPr>
        <w:spacing w:before="0" w:after="0" w:line="259" w:lineRule="auto"/>
        <w:rPr>
          <w:rFonts w:eastAsia="Book Antiqua" w:cs="Book Antiqua"/>
          <w:color w:val="000000"/>
          <w:szCs w:val="22"/>
          <w:lang w:val="en-AU"/>
        </w:rPr>
      </w:pPr>
    </w:p>
    <w:p w14:paraId="738FA0B2" w14:textId="77777777" w:rsidR="00BD405A" w:rsidRPr="00BD405A" w:rsidRDefault="00BD405A" w:rsidP="00BD405A">
      <w:pPr>
        <w:spacing w:before="0" w:after="4" w:line="250" w:lineRule="auto"/>
        <w:ind w:left="-5" w:hanging="10"/>
        <w:rPr>
          <w:rFonts w:eastAsia="Book Antiqua" w:cs="Book Antiqua"/>
          <w:color w:val="000000"/>
          <w:szCs w:val="22"/>
          <w:lang w:val="en-AU"/>
        </w:rPr>
      </w:pPr>
      <w:r>
        <w:rPr>
          <w:rFonts w:eastAsia="Book Antiqua" w:cs="Book Antiqua"/>
          <w:color w:val="000000"/>
          <w:szCs w:val="22"/>
          <w:lang w:val="en-AU"/>
        </w:rPr>
        <w:t>Dear President</w:t>
      </w:r>
    </w:p>
    <w:p w14:paraId="6814B794" w14:textId="77777777" w:rsidR="00BD405A" w:rsidRPr="00BD405A" w:rsidRDefault="00BD405A" w:rsidP="00BD405A">
      <w:pPr>
        <w:spacing w:before="0" w:after="0" w:line="259" w:lineRule="auto"/>
        <w:rPr>
          <w:rFonts w:eastAsia="Book Antiqua" w:cs="Book Antiqua"/>
          <w:color w:val="000000"/>
          <w:szCs w:val="22"/>
          <w:lang w:val="en-AU"/>
        </w:rPr>
      </w:pPr>
    </w:p>
    <w:p w14:paraId="7DD39D93" w14:textId="77777777" w:rsidR="00BD405A" w:rsidRPr="00BD405A" w:rsidRDefault="00BD405A" w:rsidP="00BD405A">
      <w:pPr>
        <w:spacing w:before="0" w:after="4" w:line="250" w:lineRule="auto"/>
        <w:ind w:left="-5" w:hanging="10"/>
        <w:rPr>
          <w:rFonts w:eastAsia="Book Antiqua" w:cs="Book Antiqua"/>
          <w:color w:val="000000"/>
          <w:szCs w:val="22"/>
          <w:lang w:val="en-AU"/>
        </w:rPr>
      </w:pPr>
      <w:r>
        <w:rPr>
          <w:rFonts w:eastAsia="Book Antiqua" w:cs="Book Antiqua"/>
          <w:color w:val="000000"/>
          <w:szCs w:val="22"/>
          <w:lang w:val="en-AU"/>
        </w:rPr>
        <w:t>Dear Speaker</w:t>
      </w:r>
    </w:p>
    <w:p w14:paraId="3A51176C" w14:textId="77777777" w:rsidR="00BD405A" w:rsidRPr="00BD405A" w:rsidRDefault="00BD405A" w:rsidP="00BD405A">
      <w:pPr>
        <w:spacing w:before="0" w:after="0" w:line="259" w:lineRule="auto"/>
        <w:rPr>
          <w:rFonts w:eastAsia="Book Antiqua" w:cs="Book Antiqua"/>
          <w:color w:val="000000"/>
          <w:szCs w:val="22"/>
          <w:lang w:val="en-AU"/>
        </w:rPr>
      </w:pPr>
    </w:p>
    <w:p w14:paraId="53FC705C" w14:textId="77777777" w:rsidR="00BD405A" w:rsidRPr="00BD405A" w:rsidRDefault="00BD405A" w:rsidP="00BD405A">
      <w:pPr>
        <w:spacing w:before="0" w:after="0" w:line="259" w:lineRule="auto"/>
        <w:rPr>
          <w:rFonts w:eastAsia="Book Antiqua" w:cs="Book Antiqua"/>
          <w:color w:val="000000"/>
          <w:szCs w:val="22"/>
          <w:lang w:val="en-AU"/>
        </w:rPr>
      </w:pPr>
    </w:p>
    <w:p w14:paraId="166F695E" w14:textId="77777777" w:rsidR="00BD405A" w:rsidRPr="00BD405A" w:rsidRDefault="00BD405A" w:rsidP="00BD405A">
      <w:pPr>
        <w:spacing w:before="0" w:after="4" w:line="250" w:lineRule="auto"/>
        <w:ind w:left="-5" w:right="453" w:hanging="10"/>
        <w:rPr>
          <w:rFonts w:eastAsia="Book Antiqua" w:cs="Book Antiqua"/>
          <w:color w:val="000000"/>
          <w:szCs w:val="22"/>
          <w:lang w:val="en-AU"/>
        </w:rPr>
      </w:pPr>
      <w:r w:rsidRPr="00BD405A">
        <w:rPr>
          <w:rFonts w:eastAsia="Book Antiqua" w:cs="Book Antiqua"/>
          <w:color w:val="000000"/>
          <w:szCs w:val="22"/>
          <w:lang w:val="en-AU"/>
        </w:rPr>
        <w:t>I hereby submit the Portfolio Budget Statements in support of the 202</w:t>
      </w:r>
      <w:r w:rsidR="00425C19">
        <w:rPr>
          <w:rFonts w:eastAsia="Book Antiqua" w:cs="Book Antiqua"/>
          <w:color w:val="000000"/>
          <w:szCs w:val="22"/>
          <w:lang w:val="en-AU"/>
        </w:rPr>
        <w:t>5</w:t>
      </w:r>
      <w:r w:rsidRPr="00BD405A">
        <w:rPr>
          <w:rFonts w:eastAsia="Book Antiqua" w:cs="Book Antiqua"/>
          <w:color w:val="000000"/>
          <w:szCs w:val="22"/>
          <w:lang w:val="en-AU"/>
        </w:rPr>
        <w:t>-2</w:t>
      </w:r>
      <w:r w:rsidR="00425C19">
        <w:rPr>
          <w:rFonts w:eastAsia="Book Antiqua" w:cs="Book Antiqua"/>
          <w:color w:val="000000"/>
          <w:szCs w:val="22"/>
          <w:lang w:val="en-AU"/>
        </w:rPr>
        <w:t>6</w:t>
      </w:r>
      <w:r w:rsidRPr="00BD405A">
        <w:rPr>
          <w:rFonts w:eastAsia="Book Antiqua" w:cs="Book Antiqua"/>
          <w:color w:val="000000"/>
          <w:szCs w:val="22"/>
          <w:lang w:val="en-AU"/>
        </w:rPr>
        <w:t xml:space="preserve"> Bu</w:t>
      </w:r>
      <w:r>
        <w:rPr>
          <w:rFonts w:eastAsia="Book Antiqua" w:cs="Book Antiqua"/>
          <w:color w:val="000000"/>
          <w:szCs w:val="22"/>
          <w:lang w:val="en-AU"/>
        </w:rPr>
        <w:t>dget for the Defence Portfolio.</w:t>
      </w:r>
    </w:p>
    <w:p w14:paraId="4B29FCDC" w14:textId="77777777" w:rsidR="00BD405A" w:rsidRPr="00BD405A" w:rsidRDefault="00BD405A" w:rsidP="00BD405A">
      <w:pPr>
        <w:spacing w:before="0" w:after="0" w:line="259" w:lineRule="auto"/>
        <w:rPr>
          <w:rFonts w:eastAsia="Book Antiqua" w:cs="Book Antiqua"/>
          <w:color w:val="000000"/>
          <w:szCs w:val="22"/>
          <w:lang w:val="en-AU"/>
        </w:rPr>
      </w:pPr>
      <w:r w:rsidRPr="00BD405A">
        <w:rPr>
          <w:rFonts w:eastAsia="Book Antiqua" w:cs="Book Antiqua"/>
          <w:color w:val="000000"/>
          <w:szCs w:val="22"/>
          <w:lang w:val="en-AU"/>
        </w:rPr>
        <w:t xml:space="preserve"> </w:t>
      </w:r>
    </w:p>
    <w:p w14:paraId="24D6693A" w14:textId="77777777" w:rsidR="00BD405A" w:rsidRPr="00BD405A" w:rsidRDefault="00BD405A" w:rsidP="00BD405A">
      <w:pPr>
        <w:spacing w:before="0" w:after="4" w:line="250" w:lineRule="auto"/>
        <w:ind w:left="-5" w:hanging="10"/>
        <w:rPr>
          <w:rFonts w:eastAsia="Book Antiqua" w:cs="Book Antiqua"/>
          <w:color w:val="000000"/>
          <w:szCs w:val="22"/>
          <w:lang w:val="en-AU"/>
        </w:rPr>
      </w:pPr>
      <w:r w:rsidRPr="00BD405A">
        <w:rPr>
          <w:rFonts w:eastAsia="Book Antiqua" w:cs="Book Antiqua"/>
          <w:color w:val="000000"/>
          <w:szCs w:val="22"/>
          <w:lang w:val="en-AU"/>
        </w:rPr>
        <w:t xml:space="preserve">These statements have been developed, and are submitted to the Parliament, as a statement on </w:t>
      </w:r>
      <w:r>
        <w:rPr>
          <w:rFonts w:eastAsia="Book Antiqua" w:cs="Book Antiqua"/>
          <w:color w:val="000000"/>
          <w:szCs w:val="22"/>
          <w:lang w:val="en-AU"/>
        </w:rPr>
        <w:t>the outcomes for the Portfolio.</w:t>
      </w:r>
    </w:p>
    <w:p w14:paraId="508F9FB9" w14:textId="77777777" w:rsidR="00BD405A" w:rsidRPr="00BD405A" w:rsidRDefault="00BD405A" w:rsidP="00BD405A">
      <w:pPr>
        <w:spacing w:before="0" w:after="0" w:line="259" w:lineRule="auto"/>
        <w:rPr>
          <w:rFonts w:eastAsia="Book Antiqua" w:cs="Book Antiqua"/>
          <w:color w:val="000000"/>
          <w:szCs w:val="22"/>
          <w:lang w:val="en-AU"/>
        </w:rPr>
      </w:pPr>
    </w:p>
    <w:p w14:paraId="30EF6B41" w14:textId="77777777" w:rsidR="00BD405A" w:rsidRPr="00BD405A" w:rsidRDefault="00BD405A" w:rsidP="00BD405A">
      <w:pPr>
        <w:spacing w:before="0" w:after="4" w:line="250" w:lineRule="auto"/>
        <w:ind w:left="-5" w:hanging="10"/>
        <w:rPr>
          <w:rFonts w:eastAsia="Book Antiqua" w:cs="Book Antiqua"/>
          <w:color w:val="000000"/>
          <w:szCs w:val="22"/>
          <w:lang w:val="en-AU"/>
        </w:rPr>
      </w:pPr>
      <w:r w:rsidRPr="00BD405A">
        <w:rPr>
          <w:rFonts w:eastAsia="Book Antiqua" w:cs="Book Antiqua"/>
          <w:color w:val="000000"/>
          <w:szCs w:val="22"/>
          <w:lang w:val="en-AU"/>
        </w:rPr>
        <w:t>I present these statements to provide accountability to the Parliame</w:t>
      </w:r>
      <w:r>
        <w:rPr>
          <w:rFonts w:eastAsia="Book Antiqua" w:cs="Book Antiqua"/>
          <w:color w:val="000000"/>
          <w:szCs w:val="22"/>
          <w:lang w:val="en-AU"/>
        </w:rPr>
        <w:t>nt and, through it, the public.</w:t>
      </w:r>
    </w:p>
    <w:p w14:paraId="6BF2576E" w14:textId="77777777" w:rsidR="00BD405A" w:rsidRPr="00BD405A" w:rsidRDefault="00BD405A" w:rsidP="00BD405A">
      <w:pPr>
        <w:spacing w:before="0" w:after="0" w:line="259" w:lineRule="auto"/>
        <w:rPr>
          <w:rFonts w:eastAsia="Book Antiqua" w:cs="Book Antiqua"/>
          <w:color w:val="000000"/>
          <w:szCs w:val="22"/>
          <w:lang w:val="en-AU"/>
        </w:rPr>
      </w:pPr>
    </w:p>
    <w:p w14:paraId="4B11075A" w14:textId="77777777" w:rsidR="00BD405A" w:rsidRPr="00BD405A" w:rsidRDefault="00BD405A" w:rsidP="00BD405A">
      <w:pPr>
        <w:spacing w:before="0" w:after="4" w:line="250" w:lineRule="auto"/>
        <w:ind w:left="-5" w:hanging="10"/>
        <w:rPr>
          <w:rFonts w:eastAsia="Book Antiqua" w:cs="Book Antiqua"/>
          <w:color w:val="000000"/>
          <w:szCs w:val="22"/>
          <w:lang w:val="en-AU"/>
        </w:rPr>
      </w:pPr>
      <w:r>
        <w:rPr>
          <w:rFonts w:eastAsia="Book Antiqua" w:cs="Book Antiqua"/>
          <w:color w:val="000000"/>
          <w:szCs w:val="22"/>
          <w:lang w:val="en-AU"/>
        </w:rPr>
        <w:t>Yours sincerely</w:t>
      </w:r>
    </w:p>
    <w:p w14:paraId="6753F337" w14:textId="77777777" w:rsidR="00BD405A" w:rsidRDefault="00BD405A" w:rsidP="00BD405A">
      <w:pPr>
        <w:spacing w:before="0" w:after="0" w:line="259" w:lineRule="auto"/>
        <w:rPr>
          <w:rFonts w:eastAsia="Book Antiqua" w:cs="Book Antiqua"/>
          <w:noProof/>
          <w:color w:val="000000"/>
          <w:szCs w:val="22"/>
          <w:lang w:val="en-AU"/>
        </w:rPr>
      </w:pPr>
    </w:p>
    <w:p w14:paraId="1AA677EC" w14:textId="77777777" w:rsidR="00AB63AC" w:rsidRPr="00BD405A" w:rsidRDefault="00AB63AC" w:rsidP="00BD405A">
      <w:pPr>
        <w:spacing w:before="0" w:after="0" w:line="259" w:lineRule="auto"/>
        <w:rPr>
          <w:rFonts w:eastAsia="Book Antiqua" w:cs="Book Antiqua"/>
          <w:color w:val="000000"/>
          <w:szCs w:val="22"/>
          <w:lang w:val="en-AU"/>
        </w:rPr>
      </w:pPr>
    </w:p>
    <w:p w14:paraId="7F5364A2" w14:textId="77777777" w:rsidR="00BD405A" w:rsidRPr="00BD405A" w:rsidRDefault="00BD405A" w:rsidP="00BD405A">
      <w:pPr>
        <w:spacing w:before="0" w:after="0" w:line="259" w:lineRule="auto"/>
        <w:rPr>
          <w:rFonts w:eastAsia="Book Antiqua" w:cs="Book Antiqua"/>
          <w:color w:val="000000"/>
          <w:szCs w:val="22"/>
          <w:lang w:val="en-AU"/>
        </w:rPr>
      </w:pPr>
      <w:r>
        <w:rPr>
          <w:rFonts w:eastAsia="Book Antiqua" w:cs="Book Antiqua"/>
          <w:b/>
          <w:color w:val="000000"/>
          <w:szCs w:val="22"/>
          <w:lang w:val="en-AU"/>
        </w:rPr>
        <w:t>Richard Marles</w:t>
      </w:r>
    </w:p>
    <w:p w14:paraId="3D489B21" w14:textId="77777777" w:rsidR="00257BC5" w:rsidRDefault="00257BC5" w:rsidP="004B099A">
      <w:pPr>
        <w:jc w:val="both"/>
        <w:rPr>
          <w:lang w:val="en-AU"/>
        </w:rPr>
      </w:pPr>
    </w:p>
    <w:p w14:paraId="257419A1" w14:textId="77777777" w:rsidR="00BD405A" w:rsidRPr="00B56FAA" w:rsidRDefault="00BD405A" w:rsidP="004B099A">
      <w:pPr>
        <w:jc w:val="both"/>
        <w:rPr>
          <w:lang w:val="en-AU"/>
        </w:rPr>
        <w:sectPr w:rsidR="00BD405A" w:rsidRPr="00B56FAA" w:rsidSect="00C30BE6">
          <w:headerReference w:type="even" r:id="rId19"/>
          <w:headerReference w:type="default" r:id="rId20"/>
          <w:footerReference w:type="default" r:id="rId21"/>
          <w:headerReference w:type="first" r:id="rId22"/>
          <w:pgSz w:w="11906" w:h="16838" w:code="9"/>
          <w:pgMar w:top="1701" w:right="1361" w:bottom="1701" w:left="1928" w:header="720" w:footer="720" w:gutter="0"/>
          <w:pgNumType w:fmt="lowerRoman"/>
          <w:cols w:space="720"/>
        </w:sectPr>
      </w:pPr>
    </w:p>
    <w:p w14:paraId="72080AC1" w14:textId="77777777" w:rsidR="000D25D3" w:rsidRPr="00B56FAA" w:rsidRDefault="00BD3D6B" w:rsidP="00754942">
      <w:pPr>
        <w:pStyle w:val="Heading2"/>
        <w:spacing w:before="120" w:after="120"/>
        <w:rPr>
          <w:rFonts w:cs="Times New Roman"/>
          <w:b/>
          <w:bCs w:val="0"/>
          <w:iCs w:val="0"/>
          <w:sz w:val="20"/>
          <w:szCs w:val="20"/>
          <w:lang w:val="en-AU"/>
        </w:rPr>
      </w:pPr>
      <w:bookmarkStart w:id="106" w:name="_Toc51689726"/>
      <w:bookmarkStart w:id="107" w:name="_Toc51689824"/>
      <w:bookmarkStart w:id="108" w:name="_Toc51690292"/>
      <w:bookmarkStart w:id="109" w:name="_Toc51690404"/>
      <w:bookmarkStart w:id="110" w:name="_Toc51690632"/>
      <w:bookmarkStart w:id="111" w:name="_Toc51690770"/>
      <w:bookmarkStart w:id="112" w:name="_Toc51690899"/>
      <w:bookmarkStart w:id="113" w:name="_Toc51691142"/>
      <w:bookmarkStart w:id="114" w:name="_Toc51691345"/>
      <w:bookmarkStart w:id="115" w:name="_Toc51691662"/>
      <w:bookmarkStart w:id="116" w:name="_Toc65150726"/>
      <w:bookmarkStart w:id="117" w:name="_Toc69729031"/>
      <w:bookmarkStart w:id="118" w:name="_Toc69913606"/>
      <w:bookmarkStart w:id="119" w:name="_Toc69917825"/>
      <w:bookmarkStart w:id="120" w:name="_Toc97747814"/>
      <w:bookmarkStart w:id="121" w:name="_Toc97809647"/>
      <w:bookmarkStart w:id="122" w:name="_Toc108088925"/>
      <w:bookmarkStart w:id="123" w:name="_Toc108089004"/>
      <w:bookmarkStart w:id="124" w:name="_Toc108089399"/>
      <w:bookmarkStart w:id="125" w:name="_Toc108089679"/>
      <w:bookmarkStart w:id="126" w:name="_Toc109227284"/>
      <w:bookmarkStart w:id="127" w:name="_Toc109227721"/>
      <w:bookmarkStart w:id="128" w:name="_Toc158896237"/>
      <w:bookmarkStart w:id="129" w:name="_Toc158896294"/>
      <w:bookmarkStart w:id="130" w:name="_Toc159499668"/>
      <w:bookmarkStart w:id="131" w:name="_Toc159499954"/>
      <w:bookmarkStart w:id="132" w:name="_Toc159857665"/>
      <w:bookmarkStart w:id="133" w:name="_Toc159857744"/>
      <w:bookmarkStart w:id="134" w:name="_Toc159858140"/>
      <w:bookmarkStart w:id="135" w:name="_Toc159858411"/>
      <w:bookmarkStart w:id="136" w:name="_Toc159858805"/>
      <w:bookmarkStart w:id="137" w:name="_Toc159858875"/>
      <w:bookmarkStart w:id="138" w:name="_Toc159859085"/>
      <w:bookmarkStart w:id="139" w:name="_Toc159859237"/>
      <w:bookmarkStart w:id="140" w:name="_Toc159862275"/>
      <w:bookmarkStart w:id="141" w:name="_Toc159862465"/>
      <w:r w:rsidRPr="00B56FAA">
        <w:rPr>
          <w:rFonts w:cs="Times New Roman"/>
          <w:b/>
          <w:bCs w:val="0"/>
          <w:iCs w:val="0"/>
          <w:sz w:val="20"/>
          <w:szCs w:val="20"/>
          <w:lang w:val="en-AU"/>
        </w:rPr>
        <w:lastRenderedPageBreak/>
        <w:t>Abbreviations and C</w:t>
      </w:r>
      <w:r w:rsidR="000D25D3" w:rsidRPr="00B56FAA">
        <w:rPr>
          <w:rFonts w:cs="Times New Roman"/>
          <w:b/>
          <w:bCs w:val="0"/>
          <w:iCs w:val="0"/>
          <w:sz w:val="20"/>
          <w:szCs w:val="20"/>
          <w:lang w:val="en-AU"/>
        </w:rPr>
        <w:t>onventions</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39918314" w14:textId="77777777" w:rsidR="000A1BC6" w:rsidRPr="00B56FAA" w:rsidRDefault="000A1BC6" w:rsidP="00754942">
      <w:pPr>
        <w:spacing w:before="120" w:after="120"/>
        <w:rPr>
          <w:lang w:val="en-AU"/>
        </w:rPr>
      </w:pPr>
      <w:r w:rsidRPr="00B56FAA">
        <w:rPr>
          <w:lang w:val="en-AU"/>
        </w:rPr>
        <w:t>The following notation</w:t>
      </w:r>
      <w:r w:rsidR="00866C09" w:rsidRPr="00B56FAA">
        <w:rPr>
          <w:lang w:val="en-AU"/>
        </w:rPr>
        <w:t>s</w:t>
      </w:r>
      <w:r w:rsidRPr="00B56FAA">
        <w:rPr>
          <w:lang w:val="en-AU"/>
        </w:rPr>
        <w:t xml:space="preserve"> may be used:</w:t>
      </w:r>
    </w:p>
    <w:p w14:paraId="1E5E5E93" w14:textId="77777777" w:rsidR="00A75C8C" w:rsidRPr="00B56FAA" w:rsidRDefault="00A75C8C" w:rsidP="00754942">
      <w:pPr>
        <w:pStyle w:val="SingleParagraph"/>
        <w:tabs>
          <w:tab w:val="left" w:pos="2268"/>
        </w:tabs>
        <w:spacing w:line="240" w:lineRule="auto"/>
        <w:ind w:left="567"/>
        <w:jc w:val="left"/>
      </w:pPr>
      <w:r w:rsidRPr="00B56FAA">
        <w:t>NEC/nec</w:t>
      </w:r>
      <w:r w:rsidRPr="00B56FAA">
        <w:tab/>
        <w:t>not elsewhere classified</w:t>
      </w:r>
    </w:p>
    <w:p w14:paraId="255EEBBF" w14:textId="77777777" w:rsidR="00A75C8C" w:rsidRPr="00B56FAA" w:rsidRDefault="00A75C8C" w:rsidP="00754942">
      <w:pPr>
        <w:pStyle w:val="SingleParagraph"/>
        <w:tabs>
          <w:tab w:val="left" w:pos="2268"/>
        </w:tabs>
        <w:spacing w:line="240" w:lineRule="auto"/>
        <w:ind w:left="567"/>
        <w:jc w:val="left"/>
      </w:pPr>
      <w:r w:rsidRPr="00B56FAA">
        <w:noBreakHyphen/>
      </w:r>
      <w:r w:rsidRPr="00B56FAA">
        <w:tab/>
        <w:t>nil</w:t>
      </w:r>
    </w:p>
    <w:p w14:paraId="4586B6A8" w14:textId="77777777" w:rsidR="00A75C8C" w:rsidRPr="00B56FAA" w:rsidRDefault="00A75C8C" w:rsidP="00754942">
      <w:pPr>
        <w:pStyle w:val="SingleParagraph"/>
        <w:tabs>
          <w:tab w:val="left" w:pos="2268"/>
        </w:tabs>
        <w:spacing w:line="240" w:lineRule="auto"/>
        <w:ind w:left="567"/>
        <w:jc w:val="left"/>
      </w:pPr>
      <w:r w:rsidRPr="00B56FAA">
        <w:t>..</w:t>
      </w:r>
      <w:r w:rsidRPr="00B56FAA">
        <w:tab/>
        <w:t>not zero, but rounded to zero</w:t>
      </w:r>
    </w:p>
    <w:p w14:paraId="5C1A34AE" w14:textId="77777777" w:rsidR="00A75C8C" w:rsidRPr="00B56FAA" w:rsidRDefault="00A75C8C" w:rsidP="00754942">
      <w:pPr>
        <w:pStyle w:val="SingleParagraph"/>
        <w:tabs>
          <w:tab w:val="left" w:pos="2268"/>
        </w:tabs>
        <w:spacing w:line="240" w:lineRule="auto"/>
        <w:ind w:left="567"/>
        <w:jc w:val="left"/>
      </w:pPr>
      <w:r w:rsidRPr="00B56FAA">
        <w:t>na</w:t>
      </w:r>
      <w:r w:rsidRPr="00B56FAA">
        <w:tab/>
        <w:t>not applicable (unless otherwise specified)</w:t>
      </w:r>
    </w:p>
    <w:p w14:paraId="7463D565" w14:textId="77777777" w:rsidR="00A75C8C" w:rsidRPr="00B56FAA" w:rsidRDefault="00A75C8C" w:rsidP="00754942">
      <w:pPr>
        <w:pStyle w:val="SingleParagraph"/>
        <w:tabs>
          <w:tab w:val="left" w:pos="2268"/>
        </w:tabs>
        <w:spacing w:line="240" w:lineRule="auto"/>
        <w:ind w:left="567"/>
        <w:jc w:val="left"/>
      </w:pPr>
      <w:r w:rsidRPr="00B56FAA">
        <w:t>nfp</w:t>
      </w:r>
      <w:r w:rsidRPr="00B56FAA">
        <w:tab/>
        <w:t>not for publication</w:t>
      </w:r>
    </w:p>
    <w:p w14:paraId="34FE69E5" w14:textId="77777777" w:rsidR="00A75C8C" w:rsidRPr="00B56FAA" w:rsidRDefault="00A75C8C" w:rsidP="00754942">
      <w:pPr>
        <w:pStyle w:val="SingleParagraph"/>
        <w:tabs>
          <w:tab w:val="left" w:pos="2268"/>
        </w:tabs>
        <w:spacing w:line="240" w:lineRule="auto"/>
        <w:ind w:left="567"/>
        <w:jc w:val="left"/>
      </w:pPr>
      <w:r w:rsidRPr="00B56FAA">
        <w:t>$m</w:t>
      </w:r>
      <w:r w:rsidRPr="00B56FAA">
        <w:tab/>
        <w:t>$</w:t>
      </w:r>
      <w:r w:rsidR="00493421" w:rsidRPr="00B56FAA">
        <w:t xml:space="preserve"> </w:t>
      </w:r>
      <w:r w:rsidRPr="00B56FAA">
        <w:t>million</w:t>
      </w:r>
    </w:p>
    <w:p w14:paraId="1F3146BE" w14:textId="77777777" w:rsidR="00A75C8C" w:rsidRPr="00B56FAA" w:rsidRDefault="00D62DFA" w:rsidP="00754942">
      <w:pPr>
        <w:pStyle w:val="SingleParagraph"/>
        <w:tabs>
          <w:tab w:val="left" w:pos="2268"/>
        </w:tabs>
        <w:spacing w:line="240" w:lineRule="auto"/>
        <w:ind w:left="567"/>
        <w:jc w:val="left"/>
      </w:pPr>
      <w:r w:rsidRPr="00B56FAA">
        <w:t>$b</w:t>
      </w:r>
      <w:r w:rsidRPr="00B56FAA">
        <w:tab/>
        <w:t>$</w:t>
      </w:r>
      <w:r w:rsidR="00493421" w:rsidRPr="00B56FAA">
        <w:t xml:space="preserve"> </w:t>
      </w:r>
      <w:r w:rsidR="00A75C8C" w:rsidRPr="00B56FAA">
        <w:t>billion</w:t>
      </w:r>
    </w:p>
    <w:p w14:paraId="4073A49D" w14:textId="77777777" w:rsidR="000A1BC6" w:rsidRPr="00B56FAA" w:rsidRDefault="000A1BC6" w:rsidP="00754942">
      <w:pPr>
        <w:spacing w:before="120" w:after="120"/>
        <w:rPr>
          <w:lang w:val="en-AU"/>
        </w:rPr>
      </w:pPr>
      <w:r w:rsidRPr="00B56FAA">
        <w:rPr>
          <w:lang w:val="en-AU"/>
        </w:rPr>
        <w:t>Figures in tables and in the text may be rounded. Figures in text are generally rounded to one decimal place, whereas figures in tables are generally rounded to the nearest thousand. Discrepancies in tables between totals and sums of components are due to rounding.</w:t>
      </w:r>
    </w:p>
    <w:p w14:paraId="2F7F00B7" w14:textId="77777777" w:rsidR="00461FA3" w:rsidRPr="00B56FAA" w:rsidRDefault="00461FA3" w:rsidP="00754942">
      <w:pPr>
        <w:spacing w:before="120" w:after="120"/>
        <w:rPr>
          <w:rFonts w:ascii="Arial" w:hAnsi="Arial"/>
          <w:b/>
        </w:rPr>
      </w:pPr>
      <w:r w:rsidRPr="00B56FAA">
        <w:rPr>
          <w:rFonts w:ascii="Arial" w:hAnsi="Arial"/>
          <w:b/>
        </w:rPr>
        <w:t>Enquiries</w:t>
      </w:r>
    </w:p>
    <w:p w14:paraId="364B329D" w14:textId="326811EC" w:rsidR="00E63AC2" w:rsidRPr="00B56FAA" w:rsidRDefault="00E63AC2" w:rsidP="00E63AC2">
      <w:pPr>
        <w:rPr>
          <w:lang w:val="en-AU"/>
        </w:rPr>
      </w:pPr>
      <w:bookmarkStart w:id="142" w:name="_Toc340656888"/>
      <w:bookmarkStart w:id="143" w:name="_Toc340665288"/>
      <w:bookmarkStart w:id="144" w:name="_Toc340669812"/>
      <w:bookmarkStart w:id="145" w:name="_Toc347766450"/>
      <w:bookmarkStart w:id="146" w:name="_Toc353889396"/>
      <w:r w:rsidRPr="00B56FAA">
        <w:rPr>
          <w:lang w:val="en-AU"/>
        </w:rPr>
        <w:t xml:space="preserve">Should you have any enquiries regarding this publication please contact Assistant Secretary Budgeting and Reporting, Defence Finance Group, Department of Defence on (02) </w:t>
      </w:r>
      <w:r>
        <w:rPr>
          <w:lang w:val="en-AU"/>
        </w:rPr>
        <w:t>510</w:t>
      </w:r>
      <w:r w:rsidR="00381ECB">
        <w:rPr>
          <w:lang w:val="en-AU"/>
        </w:rPr>
        <w:t>8 6064</w:t>
      </w:r>
      <w:r w:rsidRPr="00B56FAA">
        <w:rPr>
          <w:lang w:val="en-AU"/>
        </w:rPr>
        <w:t>.</w:t>
      </w:r>
    </w:p>
    <w:p w14:paraId="7DE18B78" w14:textId="77777777" w:rsidR="00D358E5" w:rsidRPr="00B56FAA" w:rsidRDefault="00D358E5" w:rsidP="00754942">
      <w:pPr>
        <w:spacing w:before="120" w:after="120"/>
        <w:rPr>
          <w:lang w:val="en-AU"/>
        </w:rPr>
      </w:pPr>
      <w:r w:rsidRPr="00B56FAA">
        <w:rPr>
          <w:lang w:val="en-AU"/>
        </w:rPr>
        <w:t xml:space="preserve">Links to Portfolio Budget Statements (including Portfolio Additional Estimates Statements and Portfolio Supplementary Additional Statements) can be located on the Australian Government Budget website at: </w:t>
      </w:r>
      <w:hyperlink r:id="rId23" w:history="1">
        <w:r w:rsidR="000D25D3" w:rsidRPr="00B56FAA">
          <w:rPr>
            <w:rStyle w:val="Hyperlink"/>
            <w:lang w:val="en-AU"/>
          </w:rPr>
          <w:t>www.budget.gov.au</w:t>
        </w:r>
      </w:hyperlink>
      <w:r w:rsidRPr="00B56FAA">
        <w:rPr>
          <w:lang w:val="en-AU"/>
        </w:rPr>
        <w:t>.</w:t>
      </w:r>
    </w:p>
    <w:p w14:paraId="50B08403" w14:textId="77777777" w:rsidR="000D25D3" w:rsidRPr="00B56FAA" w:rsidRDefault="000D25D3" w:rsidP="00FD6136">
      <w:pPr>
        <w:pStyle w:val="BodyText"/>
        <w:rPr>
          <w:lang w:val="en-AU"/>
        </w:rPr>
      </w:pPr>
    </w:p>
    <w:p w14:paraId="1EC54607" w14:textId="77777777" w:rsidR="00C55AD2" w:rsidRPr="00B56FAA" w:rsidRDefault="00C55AD2" w:rsidP="00AE5489">
      <w:pPr>
        <w:pStyle w:val="PartHeading"/>
        <w:jc w:val="left"/>
        <w:sectPr w:rsidR="00C55AD2" w:rsidRPr="00B56FAA" w:rsidSect="00C30BE6">
          <w:headerReference w:type="even" r:id="rId24"/>
          <w:headerReference w:type="default" r:id="rId25"/>
          <w:footerReference w:type="even" r:id="rId26"/>
          <w:headerReference w:type="first" r:id="rId27"/>
          <w:pgSz w:w="11906" w:h="16838" w:code="9"/>
          <w:pgMar w:top="1701" w:right="1361" w:bottom="1701" w:left="1928" w:header="720" w:footer="720" w:gutter="0"/>
          <w:pgNumType w:fmt="lowerRoman"/>
          <w:cols w:space="720"/>
        </w:sectPr>
      </w:pPr>
      <w:bookmarkStart w:id="147" w:name="_Toc444523502"/>
    </w:p>
    <w:p w14:paraId="111C3358" w14:textId="77777777" w:rsidR="00367748" w:rsidRPr="00B56FAA" w:rsidRDefault="00367748" w:rsidP="00AE5489">
      <w:pPr>
        <w:pStyle w:val="PartHeading"/>
        <w:jc w:val="left"/>
      </w:pPr>
    </w:p>
    <w:p w14:paraId="01EA5E4F" w14:textId="77777777" w:rsidR="00367748" w:rsidRPr="00B56FAA" w:rsidRDefault="00367748" w:rsidP="00CE4701">
      <w:pPr>
        <w:pStyle w:val="PartHeading"/>
        <w:jc w:val="left"/>
      </w:pPr>
    </w:p>
    <w:p w14:paraId="1730BE0A" w14:textId="77777777" w:rsidR="00AE5489" w:rsidRPr="00B56FAA" w:rsidRDefault="00AE5489" w:rsidP="00AE5489">
      <w:pPr>
        <w:rPr>
          <w:lang w:val="en-AU"/>
        </w:rPr>
      </w:pPr>
    </w:p>
    <w:p w14:paraId="43F74819" w14:textId="77777777" w:rsidR="00AE5489" w:rsidRPr="00B56FAA" w:rsidRDefault="00AE5489" w:rsidP="00AE5489">
      <w:pPr>
        <w:rPr>
          <w:lang w:val="en-AU"/>
        </w:rPr>
      </w:pPr>
    </w:p>
    <w:p w14:paraId="0095B5FC" w14:textId="77777777" w:rsidR="00AE5489" w:rsidRPr="00B56FAA" w:rsidRDefault="00AE5489" w:rsidP="00AE5489">
      <w:pPr>
        <w:rPr>
          <w:lang w:val="en-AU"/>
        </w:rPr>
      </w:pPr>
    </w:p>
    <w:p w14:paraId="0A73424B" w14:textId="77777777" w:rsidR="00AE5489" w:rsidRPr="00B56FAA" w:rsidRDefault="00AE5489" w:rsidP="00AE5489">
      <w:pPr>
        <w:rPr>
          <w:lang w:val="en-AU"/>
        </w:rPr>
      </w:pPr>
    </w:p>
    <w:p w14:paraId="02C2DE24" w14:textId="77777777" w:rsidR="00AE5489" w:rsidRPr="00B56FAA" w:rsidRDefault="00AE5489" w:rsidP="00AE5489">
      <w:pPr>
        <w:rPr>
          <w:lang w:val="en-AU"/>
        </w:rPr>
      </w:pPr>
    </w:p>
    <w:p w14:paraId="08D0AE1C" w14:textId="77777777" w:rsidR="00AE5489" w:rsidRPr="00B56FAA" w:rsidRDefault="00367748" w:rsidP="00CB42FB">
      <w:pPr>
        <w:pStyle w:val="heading1level2"/>
        <w:spacing w:before="0" w:after="360"/>
        <w:rPr>
          <w:smallCaps w:val="0"/>
          <w:sz w:val="52"/>
          <w:szCs w:val="52"/>
        </w:rPr>
      </w:pPr>
      <w:bookmarkStart w:id="148" w:name="_Toc97747815"/>
      <w:bookmarkStart w:id="149" w:name="_Toc97809648"/>
      <w:bookmarkStart w:id="150" w:name="_Toc108088926"/>
      <w:bookmarkStart w:id="151" w:name="_Toc108089005"/>
      <w:bookmarkStart w:id="152" w:name="_Toc108089400"/>
      <w:bookmarkStart w:id="153" w:name="_Toc108089680"/>
      <w:bookmarkStart w:id="154" w:name="_Toc109227285"/>
      <w:bookmarkStart w:id="155" w:name="_Toc109227722"/>
      <w:bookmarkStart w:id="156" w:name="_Toc158896238"/>
      <w:bookmarkStart w:id="157" w:name="_Toc158896295"/>
      <w:bookmarkStart w:id="158" w:name="_Toc159499669"/>
      <w:bookmarkStart w:id="159" w:name="_Toc159499955"/>
      <w:bookmarkStart w:id="160" w:name="_Toc159857666"/>
      <w:bookmarkStart w:id="161" w:name="_Toc159857745"/>
      <w:bookmarkStart w:id="162" w:name="_Toc159858141"/>
      <w:bookmarkStart w:id="163" w:name="_Toc159858412"/>
      <w:bookmarkStart w:id="164" w:name="_Toc159858806"/>
      <w:bookmarkStart w:id="165" w:name="_Toc159858876"/>
      <w:bookmarkStart w:id="166" w:name="_Toc159859086"/>
      <w:bookmarkStart w:id="167" w:name="_Toc159859238"/>
      <w:bookmarkStart w:id="168" w:name="_Toc159862276"/>
      <w:bookmarkStart w:id="169" w:name="_Toc159862466"/>
      <w:r w:rsidRPr="00B56FAA">
        <w:rPr>
          <w:smallCaps w:val="0"/>
          <w:sz w:val="52"/>
          <w:szCs w:val="52"/>
        </w:rPr>
        <w:t>User Guide</w:t>
      </w:r>
      <w:bookmarkEnd w:id="147"/>
      <w:r w:rsidRPr="00B56FAA">
        <w:rPr>
          <w:smallCaps w:val="0"/>
          <w:sz w:val="52"/>
          <w:szCs w:val="52"/>
        </w:rPr>
        <w:br/>
      </w:r>
      <w:bookmarkStart w:id="170" w:name="_Toc444523503"/>
      <w:r w:rsidRPr="00B56FAA">
        <w:rPr>
          <w:smallCaps w:val="0"/>
          <w:sz w:val="52"/>
          <w:szCs w:val="52"/>
        </w:rPr>
        <w:t>To The</w:t>
      </w:r>
      <w:bookmarkEnd w:id="170"/>
      <w:r w:rsidRPr="00B56FAA">
        <w:rPr>
          <w:smallCaps w:val="0"/>
          <w:sz w:val="52"/>
          <w:szCs w:val="52"/>
        </w:rPr>
        <w:br/>
      </w:r>
      <w:bookmarkStart w:id="171" w:name="_Toc444523504"/>
      <w:r w:rsidRPr="00B56FAA">
        <w:rPr>
          <w:smallCaps w:val="0"/>
          <w:sz w:val="52"/>
          <w:szCs w:val="52"/>
        </w:rPr>
        <w:t>Portfolio Budget Statement</w:t>
      </w:r>
      <w:bookmarkStart w:id="172" w:name="_Toc112211948"/>
      <w:bookmarkStart w:id="173" w:name="_Toc112212042"/>
      <w:bookmarkStart w:id="174" w:name="_Toc112137860"/>
      <w:bookmarkStart w:id="175" w:name="_Toc112224367"/>
      <w:bookmarkStart w:id="176" w:name="_Toc112225828"/>
      <w:bookmarkEnd w:id="171"/>
      <w:r w:rsidR="00113624" w:rsidRPr="00B56FAA">
        <w:rPr>
          <w:smallCaps w:val="0"/>
          <w:sz w:val="52"/>
          <w:szCs w:val="52"/>
        </w:rPr>
        <w:t>s</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48B42BA6" w14:textId="77777777" w:rsidR="00367748" w:rsidRPr="00B56FAA" w:rsidRDefault="00AE5489" w:rsidP="00754942">
      <w:pPr>
        <w:spacing w:before="120" w:after="120"/>
        <w:rPr>
          <w:rFonts w:ascii="Arial Bold" w:hAnsi="Arial Bold"/>
          <w:b/>
          <w:sz w:val="36"/>
          <w:szCs w:val="36"/>
        </w:rPr>
      </w:pPr>
      <w:r w:rsidRPr="00B56FAA">
        <w:br w:type="page"/>
      </w:r>
      <w:bookmarkStart w:id="177" w:name="_Toc51689727"/>
      <w:bookmarkStart w:id="178" w:name="_Toc51689825"/>
      <w:bookmarkStart w:id="179" w:name="_Toc51690293"/>
      <w:bookmarkStart w:id="180" w:name="_Toc51690405"/>
      <w:bookmarkStart w:id="181" w:name="_Toc51690633"/>
      <w:bookmarkStart w:id="182" w:name="_Toc51690771"/>
      <w:bookmarkStart w:id="183" w:name="_Toc51690900"/>
      <w:bookmarkStart w:id="184" w:name="_Toc51691143"/>
      <w:bookmarkStart w:id="185" w:name="_Toc51691346"/>
      <w:bookmarkStart w:id="186" w:name="_Toc51691663"/>
      <w:bookmarkStart w:id="187" w:name="_Toc65150727"/>
      <w:bookmarkStart w:id="188" w:name="_Toc69729032"/>
      <w:bookmarkStart w:id="189" w:name="_Toc69913607"/>
      <w:bookmarkStart w:id="190" w:name="_Toc69917826"/>
      <w:bookmarkEnd w:id="172"/>
      <w:bookmarkEnd w:id="173"/>
      <w:bookmarkEnd w:id="174"/>
      <w:bookmarkEnd w:id="175"/>
      <w:bookmarkEnd w:id="176"/>
      <w:r w:rsidR="00D51782" w:rsidRPr="00B56FAA">
        <w:rPr>
          <w:rFonts w:ascii="Arial Bold" w:hAnsi="Arial Bold"/>
          <w:b/>
          <w:sz w:val="36"/>
          <w:szCs w:val="36"/>
        </w:rPr>
        <w:lastRenderedPageBreak/>
        <w:t>User G</w:t>
      </w:r>
      <w:r w:rsidR="00D84C10" w:rsidRPr="00B56FAA">
        <w:rPr>
          <w:rFonts w:ascii="Arial Bold" w:hAnsi="Arial Bold"/>
          <w:b/>
          <w:sz w:val="36"/>
          <w:szCs w:val="36"/>
        </w:rPr>
        <w:t>uide</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42FB4C5C" w14:textId="77777777" w:rsidR="00C429D7" w:rsidRPr="00B56FAA" w:rsidRDefault="00C429D7" w:rsidP="00754942">
      <w:pPr>
        <w:spacing w:before="120" w:after="120"/>
        <w:rPr>
          <w:rFonts w:eastAsia="Book Antiqua"/>
          <w:lang w:eastAsia="en-US"/>
        </w:rPr>
      </w:pPr>
      <w:r w:rsidRPr="00B56FAA">
        <w:rPr>
          <w:rFonts w:eastAsia="Book Antiqua"/>
          <w:lang w:eastAsia="en-US"/>
        </w:rPr>
        <w:t>The</w:t>
      </w:r>
      <w:r w:rsidRPr="00B56FAA">
        <w:rPr>
          <w:rFonts w:eastAsia="Book Antiqua"/>
          <w:spacing w:val="-3"/>
          <w:lang w:eastAsia="en-US"/>
        </w:rPr>
        <w:t xml:space="preserve"> </w:t>
      </w:r>
      <w:r w:rsidRPr="00B56FAA">
        <w:rPr>
          <w:rFonts w:eastAsia="Book Antiqua"/>
          <w:lang w:eastAsia="en-US"/>
        </w:rPr>
        <w:t>purpose</w:t>
      </w:r>
      <w:r w:rsidRPr="00B56FAA">
        <w:rPr>
          <w:rFonts w:eastAsia="Book Antiqua"/>
          <w:spacing w:val="-3"/>
          <w:lang w:eastAsia="en-US"/>
        </w:rPr>
        <w:t xml:space="preserve"> </w:t>
      </w:r>
      <w:r w:rsidRPr="00B56FAA">
        <w:rPr>
          <w:rFonts w:eastAsia="Book Antiqua"/>
          <w:lang w:eastAsia="en-US"/>
        </w:rPr>
        <w:t>of</w:t>
      </w:r>
      <w:r w:rsidRPr="00B56FAA">
        <w:rPr>
          <w:rFonts w:eastAsia="Book Antiqua"/>
          <w:spacing w:val="-4"/>
          <w:lang w:eastAsia="en-US"/>
        </w:rPr>
        <w:t xml:space="preserve"> </w:t>
      </w:r>
      <w:r w:rsidRPr="00B56FAA">
        <w:rPr>
          <w:rFonts w:eastAsia="Book Antiqua"/>
          <w:lang w:eastAsia="en-US"/>
        </w:rPr>
        <w:t>the</w:t>
      </w:r>
      <w:r w:rsidRPr="00B56FAA">
        <w:rPr>
          <w:rFonts w:eastAsia="Book Antiqua"/>
          <w:spacing w:val="-3"/>
          <w:lang w:eastAsia="en-US"/>
        </w:rPr>
        <w:t xml:space="preserve"> </w:t>
      </w:r>
      <w:r w:rsidRPr="00B56FAA">
        <w:rPr>
          <w:rFonts w:eastAsia="Book Antiqua"/>
          <w:i/>
          <w:lang w:eastAsia="en-US"/>
        </w:rPr>
        <w:t>202</w:t>
      </w:r>
      <w:r w:rsidR="00425C19">
        <w:rPr>
          <w:rFonts w:eastAsia="Book Antiqua"/>
          <w:i/>
          <w:lang w:eastAsia="en-US"/>
        </w:rPr>
        <w:t>5</w:t>
      </w:r>
      <w:r w:rsidRPr="00B56FAA">
        <w:rPr>
          <w:rFonts w:eastAsia="Book Antiqua"/>
          <w:i/>
          <w:lang w:eastAsia="en-US"/>
        </w:rPr>
        <w:t>-2</w:t>
      </w:r>
      <w:r w:rsidR="00425C19">
        <w:rPr>
          <w:rFonts w:eastAsia="Book Antiqua"/>
          <w:i/>
          <w:lang w:eastAsia="en-US"/>
        </w:rPr>
        <w:t>6</w:t>
      </w:r>
      <w:r w:rsidRPr="00B56FAA">
        <w:rPr>
          <w:rFonts w:eastAsia="Book Antiqua"/>
          <w:i/>
          <w:spacing w:val="-2"/>
          <w:lang w:eastAsia="en-US"/>
        </w:rPr>
        <w:t xml:space="preserve"> </w:t>
      </w:r>
      <w:r w:rsidRPr="00B56FAA">
        <w:rPr>
          <w:rFonts w:eastAsia="Book Antiqua"/>
          <w:i/>
          <w:lang w:eastAsia="en-US"/>
        </w:rPr>
        <w:t>Portfolio</w:t>
      </w:r>
      <w:r w:rsidRPr="00B56FAA">
        <w:rPr>
          <w:rFonts w:eastAsia="Book Antiqua"/>
          <w:i/>
          <w:spacing w:val="-3"/>
          <w:lang w:eastAsia="en-US"/>
        </w:rPr>
        <w:t xml:space="preserve"> </w:t>
      </w:r>
      <w:r w:rsidRPr="00B56FAA">
        <w:rPr>
          <w:rFonts w:eastAsia="Book Antiqua"/>
          <w:i/>
          <w:lang w:eastAsia="en-US"/>
        </w:rPr>
        <w:t>Budget</w:t>
      </w:r>
      <w:r w:rsidRPr="00B56FAA">
        <w:rPr>
          <w:rFonts w:eastAsia="Book Antiqua"/>
          <w:i/>
          <w:spacing w:val="-4"/>
          <w:lang w:eastAsia="en-US"/>
        </w:rPr>
        <w:t xml:space="preserve"> </w:t>
      </w:r>
      <w:r w:rsidRPr="00B56FAA">
        <w:rPr>
          <w:rFonts w:eastAsia="Book Antiqua"/>
          <w:i/>
          <w:lang w:eastAsia="en-US"/>
        </w:rPr>
        <w:t>Statements</w:t>
      </w:r>
      <w:r w:rsidRPr="00B56FAA">
        <w:rPr>
          <w:rFonts w:eastAsia="Book Antiqua"/>
          <w:i/>
          <w:spacing w:val="-2"/>
          <w:lang w:eastAsia="en-US"/>
        </w:rPr>
        <w:t xml:space="preserve"> </w:t>
      </w:r>
      <w:r w:rsidRPr="00B56FAA">
        <w:rPr>
          <w:rFonts w:eastAsia="Book Antiqua"/>
          <w:lang w:eastAsia="en-US"/>
        </w:rPr>
        <w:t>(PB</w:t>
      </w:r>
      <w:r w:rsidRPr="00B56FAA">
        <w:rPr>
          <w:rFonts w:eastAsia="Book Antiqua"/>
          <w:spacing w:val="-4"/>
          <w:lang w:eastAsia="en-US"/>
        </w:rPr>
        <w:t xml:space="preserve"> </w:t>
      </w:r>
      <w:r w:rsidRPr="00B56FAA">
        <w:rPr>
          <w:rFonts w:eastAsia="Book Antiqua"/>
          <w:lang w:eastAsia="en-US"/>
        </w:rPr>
        <w:t>Statements)</w:t>
      </w:r>
      <w:r w:rsidRPr="00B56FAA">
        <w:rPr>
          <w:rFonts w:eastAsia="Book Antiqua"/>
          <w:spacing w:val="-4"/>
          <w:lang w:eastAsia="en-US"/>
        </w:rPr>
        <w:t xml:space="preserve"> </w:t>
      </w:r>
      <w:r w:rsidRPr="00B56FAA">
        <w:rPr>
          <w:rFonts w:eastAsia="Book Antiqua"/>
          <w:lang w:eastAsia="en-US"/>
        </w:rPr>
        <w:t>is</w:t>
      </w:r>
      <w:r w:rsidRPr="00B56FAA">
        <w:rPr>
          <w:rFonts w:eastAsia="Book Antiqua"/>
          <w:spacing w:val="-4"/>
          <w:lang w:eastAsia="en-US"/>
        </w:rPr>
        <w:t xml:space="preserve"> </w:t>
      </w:r>
      <w:r w:rsidRPr="00B56FAA">
        <w:rPr>
          <w:rFonts w:eastAsia="Book Antiqua"/>
          <w:lang w:eastAsia="en-US"/>
        </w:rPr>
        <w:t>to</w:t>
      </w:r>
      <w:r w:rsidRPr="00B56FAA">
        <w:rPr>
          <w:rFonts w:eastAsia="Book Antiqua"/>
          <w:spacing w:val="-3"/>
          <w:lang w:eastAsia="en-US"/>
        </w:rPr>
        <w:t xml:space="preserve"> </w:t>
      </w:r>
      <w:r w:rsidRPr="00B56FAA">
        <w:rPr>
          <w:rFonts w:eastAsia="Book Antiqua"/>
          <w:lang w:eastAsia="en-US"/>
        </w:rPr>
        <w:t>inform</w:t>
      </w:r>
      <w:r w:rsidRPr="00B56FAA">
        <w:rPr>
          <w:rFonts w:eastAsia="Book Antiqua"/>
          <w:spacing w:val="-2"/>
          <w:lang w:eastAsia="en-US"/>
        </w:rPr>
        <w:t xml:space="preserve"> </w:t>
      </w:r>
      <w:r w:rsidRPr="00B56FAA">
        <w:rPr>
          <w:rFonts w:eastAsia="Book Antiqua"/>
          <w:lang w:eastAsia="en-US"/>
        </w:rPr>
        <w:t>Senators and Members of Parliament of the proposed allocation of resources to government outcomes by entities within the portfolio. Entities receive resources from the annual appropriations acts, special</w:t>
      </w:r>
      <w:r w:rsidRPr="00B56FAA">
        <w:rPr>
          <w:rFonts w:eastAsia="Book Antiqua"/>
          <w:spacing w:val="-1"/>
          <w:lang w:eastAsia="en-US"/>
        </w:rPr>
        <w:t xml:space="preserve"> </w:t>
      </w:r>
      <w:r w:rsidRPr="00B56FAA">
        <w:rPr>
          <w:rFonts w:eastAsia="Book Antiqua"/>
          <w:lang w:eastAsia="en-US"/>
        </w:rPr>
        <w:t>appropriations (including standing appropriations and special accounts), and revenue from other sources.</w:t>
      </w:r>
    </w:p>
    <w:p w14:paraId="3DAD3C30" w14:textId="51FF5320" w:rsidR="00C429D7" w:rsidRPr="00B56FAA" w:rsidRDefault="00C429D7" w:rsidP="00754942">
      <w:pPr>
        <w:spacing w:before="120" w:after="120"/>
        <w:rPr>
          <w:rFonts w:eastAsia="Book Antiqua"/>
          <w:lang w:eastAsia="en-US"/>
        </w:rPr>
      </w:pPr>
      <w:r w:rsidRPr="00B56FAA">
        <w:rPr>
          <w:rFonts w:eastAsia="Book Antiqua"/>
          <w:lang w:eastAsia="en-US"/>
        </w:rPr>
        <w:t>A key role of the PB Statements is to facilitate the understanding of proposed annual appropriations in Appropriation Bills (No. 1 and No. 2) 202</w:t>
      </w:r>
      <w:r w:rsidR="00425C19">
        <w:rPr>
          <w:rFonts w:eastAsia="Book Antiqua"/>
          <w:lang w:eastAsia="en-US"/>
        </w:rPr>
        <w:t>5</w:t>
      </w:r>
      <w:r w:rsidRPr="00B56FAA">
        <w:rPr>
          <w:rFonts w:eastAsia="Book Antiqua"/>
          <w:lang w:eastAsia="en-US"/>
        </w:rPr>
        <w:t>-2</w:t>
      </w:r>
      <w:r w:rsidR="00425C19">
        <w:rPr>
          <w:rFonts w:eastAsia="Book Antiqua"/>
          <w:lang w:eastAsia="en-US"/>
        </w:rPr>
        <w:t>6</w:t>
      </w:r>
      <w:r w:rsidRPr="00B56FAA">
        <w:rPr>
          <w:rFonts w:eastAsia="Book Antiqua"/>
          <w:lang w:eastAsia="en-US"/>
        </w:rPr>
        <w:t xml:space="preserve"> (or Appropriation (Parliamentary Departments) Bill </w:t>
      </w:r>
      <w:r w:rsidRPr="00B56FAA">
        <w:rPr>
          <w:rFonts w:eastAsia="Book Antiqua"/>
          <w:i/>
          <w:lang w:eastAsia="en-US"/>
        </w:rPr>
        <w:t>(</w:t>
      </w:r>
      <w:r w:rsidRPr="00B56FAA">
        <w:rPr>
          <w:rFonts w:eastAsia="Book Antiqua"/>
          <w:lang w:eastAsia="en-US"/>
        </w:rPr>
        <w:t>No. 1) 202</w:t>
      </w:r>
      <w:r w:rsidR="00425C19">
        <w:rPr>
          <w:rFonts w:eastAsia="Book Antiqua"/>
          <w:lang w:eastAsia="en-US"/>
        </w:rPr>
        <w:t>5</w:t>
      </w:r>
      <w:r w:rsidRPr="00B56FAA">
        <w:rPr>
          <w:rFonts w:eastAsia="Book Antiqua"/>
          <w:lang w:eastAsia="en-US"/>
        </w:rPr>
        <w:t>-2</w:t>
      </w:r>
      <w:r w:rsidR="00425C19">
        <w:rPr>
          <w:rFonts w:eastAsia="Book Antiqua"/>
          <w:lang w:eastAsia="en-US"/>
        </w:rPr>
        <w:t>6</w:t>
      </w:r>
      <w:r w:rsidRPr="00B56FAA">
        <w:rPr>
          <w:rFonts w:eastAsia="Book Antiqua"/>
          <w:lang w:eastAsia="en-US"/>
        </w:rPr>
        <w:t xml:space="preserve"> for the parliamentary departments)</w:t>
      </w:r>
      <w:r w:rsidR="00A50104">
        <w:rPr>
          <w:rFonts w:eastAsia="Book Antiqua"/>
          <w:lang w:eastAsia="en-US"/>
        </w:rPr>
        <w:t xml:space="preserve"> </w:t>
      </w:r>
      <w:r w:rsidR="00A50104" w:rsidRPr="00A50104">
        <w:t>and related Supply Bills where they exist applicable to the 2025–26 Budget</w:t>
      </w:r>
      <w:r w:rsidRPr="00A50104">
        <w:rPr>
          <w:rFonts w:eastAsia="Book Antiqua"/>
          <w:lang w:eastAsia="en-US"/>
        </w:rPr>
        <w:t>. In this sense</w:t>
      </w:r>
      <w:r w:rsidRPr="00B56FAA">
        <w:rPr>
          <w:rFonts w:eastAsia="Book Antiqua"/>
          <w:lang w:eastAsia="en-US"/>
        </w:rPr>
        <w:t>, the PB Statements are Budget related papers and are declared by the Appropriation</w:t>
      </w:r>
      <w:r w:rsidRPr="00B56FAA">
        <w:rPr>
          <w:rFonts w:eastAsia="Book Antiqua"/>
          <w:spacing w:val="-3"/>
          <w:lang w:eastAsia="en-US"/>
        </w:rPr>
        <w:t xml:space="preserve"> </w:t>
      </w:r>
      <w:r w:rsidRPr="00B56FAA">
        <w:rPr>
          <w:rFonts w:eastAsia="Book Antiqua"/>
          <w:lang w:eastAsia="en-US"/>
        </w:rPr>
        <w:t>Acts</w:t>
      </w:r>
      <w:r w:rsidRPr="00B56FAA">
        <w:rPr>
          <w:rFonts w:eastAsia="Book Antiqua"/>
          <w:spacing w:val="-2"/>
          <w:lang w:eastAsia="en-US"/>
        </w:rPr>
        <w:t xml:space="preserve"> </w:t>
      </w:r>
      <w:r w:rsidRPr="00B56FAA">
        <w:rPr>
          <w:rFonts w:eastAsia="Book Antiqua"/>
          <w:lang w:eastAsia="en-US"/>
        </w:rPr>
        <w:t>to</w:t>
      </w:r>
      <w:r w:rsidRPr="00B56FAA">
        <w:rPr>
          <w:rFonts w:eastAsia="Book Antiqua"/>
          <w:spacing w:val="-3"/>
          <w:lang w:eastAsia="en-US"/>
        </w:rPr>
        <w:t xml:space="preserve"> </w:t>
      </w:r>
      <w:r w:rsidRPr="00B56FAA">
        <w:rPr>
          <w:rFonts w:eastAsia="Book Antiqua"/>
          <w:lang w:eastAsia="en-US"/>
        </w:rPr>
        <w:t>be</w:t>
      </w:r>
      <w:r w:rsidRPr="00B56FAA">
        <w:rPr>
          <w:rFonts w:eastAsia="Book Antiqua"/>
          <w:spacing w:val="-3"/>
          <w:lang w:eastAsia="en-US"/>
        </w:rPr>
        <w:t xml:space="preserve"> </w:t>
      </w:r>
      <w:r w:rsidRPr="00B56FAA">
        <w:rPr>
          <w:rFonts w:eastAsia="Book Antiqua"/>
          <w:lang w:eastAsia="en-US"/>
        </w:rPr>
        <w:t>‘relevant</w:t>
      </w:r>
      <w:r w:rsidRPr="00B56FAA">
        <w:rPr>
          <w:rFonts w:eastAsia="Book Antiqua"/>
          <w:spacing w:val="-3"/>
          <w:lang w:eastAsia="en-US"/>
        </w:rPr>
        <w:t xml:space="preserve"> </w:t>
      </w:r>
      <w:r w:rsidRPr="00B56FAA">
        <w:rPr>
          <w:rFonts w:eastAsia="Book Antiqua"/>
          <w:lang w:eastAsia="en-US"/>
        </w:rPr>
        <w:t>documents’</w:t>
      </w:r>
      <w:r w:rsidRPr="00B56FAA">
        <w:rPr>
          <w:rFonts w:eastAsia="Book Antiqua"/>
          <w:spacing w:val="-5"/>
          <w:lang w:eastAsia="en-US"/>
        </w:rPr>
        <w:t xml:space="preserve"> </w:t>
      </w:r>
      <w:r w:rsidRPr="00B56FAA">
        <w:rPr>
          <w:rFonts w:eastAsia="Book Antiqua"/>
          <w:lang w:eastAsia="en-US"/>
        </w:rPr>
        <w:t>to</w:t>
      </w:r>
      <w:r w:rsidRPr="00B56FAA">
        <w:rPr>
          <w:rFonts w:eastAsia="Book Antiqua"/>
          <w:spacing w:val="-3"/>
          <w:lang w:eastAsia="en-US"/>
        </w:rPr>
        <w:t xml:space="preserve"> </w:t>
      </w:r>
      <w:r w:rsidRPr="00B56FAA">
        <w:rPr>
          <w:rFonts w:eastAsia="Book Antiqua"/>
          <w:lang w:eastAsia="en-US"/>
        </w:rPr>
        <w:t>the</w:t>
      </w:r>
      <w:r w:rsidRPr="00B56FAA">
        <w:rPr>
          <w:rFonts w:eastAsia="Book Antiqua"/>
          <w:spacing w:val="-3"/>
          <w:lang w:eastAsia="en-US"/>
        </w:rPr>
        <w:t xml:space="preserve"> </w:t>
      </w:r>
      <w:r w:rsidRPr="00B56FAA">
        <w:rPr>
          <w:rFonts w:eastAsia="Book Antiqua"/>
          <w:lang w:eastAsia="en-US"/>
        </w:rPr>
        <w:t>interpretation</w:t>
      </w:r>
      <w:r w:rsidRPr="00B56FAA">
        <w:rPr>
          <w:rFonts w:eastAsia="Book Antiqua"/>
          <w:spacing w:val="-3"/>
          <w:lang w:eastAsia="en-US"/>
        </w:rPr>
        <w:t xml:space="preserve"> </w:t>
      </w:r>
      <w:r w:rsidRPr="00B56FAA">
        <w:rPr>
          <w:rFonts w:eastAsia="Book Antiqua"/>
          <w:lang w:eastAsia="en-US"/>
        </w:rPr>
        <w:t>of</w:t>
      </w:r>
      <w:r w:rsidRPr="00B56FAA">
        <w:rPr>
          <w:rFonts w:eastAsia="Book Antiqua"/>
          <w:spacing w:val="-4"/>
          <w:lang w:eastAsia="en-US"/>
        </w:rPr>
        <w:t xml:space="preserve"> </w:t>
      </w:r>
      <w:r w:rsidRPr="00B56FAA">
        <w:rPr>
          <w:rFonts w:eastAsia="Book Antiqua"/>
          <w:lang w:eastAsia="en-US"/>
        </w:rPr>
        <w:t>the</w:t>
      </w:r>
      <w:r w:rsidRPr="00B56FAA">
        <w:rPr>
          <w:rFonts w:eastAsia="Book Antiqua"/>
          <w:spacing w:val="-3"/>
          <w:lang w:eastAsia="en-US"/>
        </w:rPr>
        <w:t xml:space="preserve"> </w:t>
      </w:r>
      <w:r w:rsidRPr="00B56FAA">
        <w:rPr>
          <w:rFonts w:eastAsia="Book Antiqua"/>
          <w:lang w:eastAsia="en-US"/>
        </w:rPr>
        <w:t>Acts</w:t>
      </w:r>
      <w:r w:rsidRPr="00B56FAA">
        <w:rPr>
          <w:rFonts w:eastAsia="Book Antiqua"/>
          <w:spacing w:val="-2"/>
          <w:lang w:eastAsia="en-US"/>
        </w:rPr>
        <w:t xml:space="preserve"> </w:t>
      </w:r>
      <w:r w:rsidRPr="00B56FAA">
        <w:rPr>
          <w:rFonts w:eastAsia="Book Antiqua"/>
          <w:lang w:eastAsia="en-US"/>
        </w:rPr>
        <w:t>according</w:t>
      </w:r>
      <w:r w:rsidRPr="00B56FAA">
        <w:rPr>
          <w:rFonts w:eastAsia="Book Antiqua"/>
          <w:spacing w:val="-3"/>
          <w:lang w:eastAsia="en-US"/>
        </w:rPr>
        <w:t xml:space="preserve"> </w:t>
      </w:r>
      <w:r w:rsidRPr="00B56FAA">
        <w:rPr>
          <w:rFonts w:eastAsia="Book Antiqua"/>
          <w:lang w:eastAsia="en-US"/>
        </w:rPr>
        <w:t xml:space="preserve">to section 15AB of the </w:t>
      </w:r>
      <w:r w:rsidRPr="00B56FAA">
        <w:rPr>
          <w:rFonts w:eastAsia="Book Antiqua"/>
          <w:i/>
          <w:lang w:eastAsia="en-US"/>
        </w:rPr>
        <w:t>Acts Interpretation Act 1901</w:t>
      </w:r>
      <w:r w:rsidRPr="00B56FAA">
        <w:rPr>
          <w:rFonts w:eastAsia="Book Antiqua"/>
          <w:lang w:eastAsia="en-US"/>
        </w:rPr>
        <w:t>.</w:t>
      </w:r>
    </w:p>
    <w:p w14:paraId="39EAE451" w14:textId="77777777" w:rsidR="00C429D7" w:rsidRPr="00B56FAA" w:rsidRDefault="00C429D7" w:rsidP="00754942">
      <w:pPr>
        <w:spacing w:before="120" w:after="120"/>
        <w:rPr>
          <w:rFonts w:eastAsia="Book Antiqua"/>
          <w:lang w:eastAsia="en-US"/>
        </w:rPr>
      </w:pPr>
      <w:r w:rsidRPr="00B56FAA">
        <w:rPr>
          <w:rFonts w:eastAsia="Book Antiqua"/>
          <w:lang w:eastAsia="en-US"/>
        </w:rPr>
        <w:t>The</w:t>
      </w:r>
      <w:r w:rsidRPr="00B56FAA">
        <w:rPr>
          <w:rFonts w:eastAsia="Book Antiqua"/>
          <w:spacing w:val="-4"/>
          <w:lang w:eastAsia="en-US"/>
        </w:rPr>
        <w:t xml:space="preserve"> </w:t>
      </w:r>
      <w:r w:rsidRPr="00B56FAA">
        <w:rPr>
          <w:rFonts w:eastAsia="Book Antiqua"/>
          <w:lang w:eastAsia="en-US"/>
        </w:rPr>
        <w:t>PB</w:t>
      </w:r>
      <w:r w:rsidRPr="00B56FAA">
        <w:rPr>
          <w:rFonts w:eastAsia="Book Antiqua"/>
          <w:spacing w:val="-5"/>
          <w:lang w:eastAsia="en-US"/>
        </w:rPr>
        <w:t xml:space="preserve"> </w:t>
      </w:r>
      <w:r w:rsidRPr="00B56FAA">
        <w:rPr>
          <w:rFonts w:eastAsia="Book Antiqua"/>
          <w:lang w:eastAsia="en-US"/>
        </w:rPr>
        <w:t>Statements</w:t>
      </w:r>
      <w:r w:rsidRPr="00B56FAA">
        <w:rPr>
          <w:rFonts w:eastAsia="Book Antiqua"/>
          <w:spacing w:val="-3"/>
          <w:lang w:eastAsia="en-US"/>
        </w:rPr>
        <w:t xml:space="preserve"> </w:t>
      </w:r>
      <w:r w:rsidRPr="00B56FAA">
        <w:rPr>
          <w:rFonts w:eastAsia="Book Antiqua"/>
          <w:lang w:eastAsia="en-US"/>
        </w:rPr>
        <w:t>provide</w:t>
      </w:r>
      <w:r w:rsidRPr="00B56FAA">
        <w:rPr>
          <w:rFonts w:eastAsia="Book Antiqua"/>
          <w:spacing w:val="-4"/>
          <w:lang w:eastAsia="en-US"/>
        </w:rPr>
        <w:t xml:space="preserve"> </w:t>
      </w:r>
      <w:r w:rsidRPr="00B56FAA">
        <w:rPr>
          <w:rFonts w:eastAsia="Book Antiqua"/>
          <w:lang w:eastAsia="en-US"/>
        </w:rPr>
        <w:t>information,</w:t>
      </w:r>
      <w:r w:rsidRPr="00B56FAA">
        <w:rPr>
          <w:rFonts w:eastAsia="Book Antiqua"/>
          <w:spacing w:val="-3"/>
          <w:lang w:eastAsia="en-US"/>
        </w:rPr>
        <w:t xml:space="preserve"> </w:t>
      </w:r>
      <w:r w:rsidRPr="00B56FAA">
        <w:rPr>
          <w:rFonts w:eastAsia="Book Antiqua"/>
          <w:lang w:eastAsia="en-US"/>
        </w:rPr>
        <w:t>explanation</w:t>
      </w:r>
      <w:r w:rsidRPr="00B56FAA">
        <w:rPr>
          <w:rFonts w:eastAsia="Book Antiqua"/>
          <w:spacing w:val="-5"/>
          <w:lang w:eastAsia="en-US"/>
        </w:rPr>
        <w:t xml:space="preserve"> </w:t>
      </w:r>
      <w:r w:rsidRPr="00B56FAA">
        <w:rPr>
          <w:rFonts w:eastAsia="Book Antiqua"/>
          <w:lang w:eastAsia="en-US"/>
        </w:rPr>
        <w:t>and</w:t>
      </w:r>
      <w:r w:rsidRPr="00B56FAA">
        <w:rPr>
          <w:rFonts w:eastAsia="Book Antiqua"/>
          <w:spacing w:val="-5"/>
          <w:lang w:eastAsia="en-US"/>
        </w:rPr>
        <w:t xml:space="preserve"> </w:t>
      </w:r>
      <w:r w:rsidRPr="00B56FAA">
        <w:rPr>
          <w:rFonts w:eastAsia="Book Antiqua"/>
          <w:lang w:eastAsia="en-US"/>
        </w:rPr>
        <w:t>justification</w:t>
      </w:r>
      <w:r w:rsidRPr="00B56FAA">
        <w:rPr>
          <w:rFonts w:eastAsia="Book Antiqua"/>
          <w:spacing w:val="-4"/>
          <w:lang w:eastAsia="en-US"/>
        </w:rPr>
        <w:t xml:space="preserve"> </w:t>
      </w:r>
      <w:r w:rsidRPr="00B56FAA">
        <w:rPr>
          <w:rFonts w:eastAsia="Book Antiqua"/>
          <w:lang w:eastAsia="en-US"/>
        </w:rPr>
        <w:t>to</w:t>
      </w:r>
      <w:r w:rsidRPr="00B56FAA">
        <w:rPr>
          <w:rFonts w:eastAsia="Book Antiqua"/>
          <w:spacing w:val="-4"/>
          <w:lang w:eastAsia="en-US"/>
        </w:rPr>
        <w:t xml:space="preserve"> </w:t>
      </w:r>
      <w:r w:rsidRPr="00B56FAA">
        <w:rPr>
          <w:rFonts w:eastAsia="Book Antiqua"/>
          <w:lang w:eastAsia="en-US"/>
        </w:rPr>
        <w:t>enable</w:t>
      </w:r>
      <w:r w:rsidRPr="00B56FAA">
        <w:rPr>
          <w:rFonts w:eastAsia="Book Antiqua"/>
          <w:spacing w:val="-4"/>
          <w:lang w:eastAsia="en-US"/>
        </w:rPr>
        <w:t xml:space="preserve"> </w:t>
      </w:r>
      <w:r w:rsidRPr="00B56FAA">
        <w:rPr>
          <w:rFonts w:eastAsia="Book Antiqua"/>
          <w:lang w:eastAsia="en-US"/>
        </w:rPr>
        <w:t>Parliament to understand the purpose of each outcome proposed in the Bills.</w:t>
      </w:r>
    </w:p>
    <w:p w14:paraId="0345B9F7" w14:textId="77777777" w:rsidR="00C429D7" w:rsidRPr="00B56FAA" w:rsidRDefault="00C429D7" w:rsidP="00754942">
      <w:pPr>
        <w:spacing w:before="120" w:after="120"/>
        <w:rPr>
          <w:rFonts w:eastAsia="Book Antiqua"/>
          <w:lang w:eastAsia="en-US"/>
        </w:rPr>
      </w:pPr>
      <w:r w:rsidRPr="00B56FAA">
        <w:rPr>
          <w:rFonts w:eastAsia="Book Antiqua"/>
          <w:lang w:eastAsia="en-US"/>
        </w:rPr>
        <w:t xml:space="preserve">As required under section 12 of the </w:t>
      </w:r>
      <w:r w:rsidRPr="00B56FAA">
        <w:rPr>
          <w:rFonts w:eastAsia="Book Antiqua"/>
          <w:i/>
          <w:lang w:eastAsia="en-US"/>
        </w:rPr>
        <w:t>Charter of Budget Honesty Act 1998</w:t>
      </w:r>
      <w:r w:rsidRPr="00B56FAA">
        <w:rPr>
          <w:rFonts w:eastAsia="Book Antiqua"/>
          <w:lang w:eastAsia="en-US"/>
        </w:rPr>
        <w:t>, only entities within the general government sector are included as part of the Commonwealth general government</w:t>
      </w:r>
      <w:r w:rsidRPr="00B56FAA">
        <w:rPr>
          <w:rFonts w:eastAsia="Book Antiqua"/>
          <w:spacing w:val="-3"/>
          <w:lang w:eastAsia="en-US"/>
        </w:rPr>
        <w:t xml:space="preserve"> </w:t>
      </w:r>
      <w:r w:rsidRPr="00B56FAA">
        <w:rPr>
          <w:rFonts w:eastAsia="Book Antiqua"/>
          <w:lang w:eastAsia="en-US"/>
        </w:rPr>
        <w:t>sector</w:t>
      </w:r>
      <w:r w:rsidRPr="00B56FAA">
        <w:rPr>
          <w:rFonts w:eastAsia="Book Antiqua"/>
          <w:spacing w:val="-4"/>
          <w:lang w:eastAsia="en-US"/>
        </w:rPr>
        <w:t xml:space="preserve"> </w:t>
      </w:r>
      <w:r w:rsidRPr="00B56FAA">
        <w:rPr>
          <w:rFonts w:eastAsia="Book Antiqua"/>
          <w:lang w:eastAsia="en-US"/>
        </w:rPr>
        <w:t>fiscal</w:t>
      </w:r>
      <w:r w:rsidRPr="00B56FAA">
        <w:rPr>
          <w:rFonts w:eastAsia="Book Antiqua"/>
          <w:spacing w:val="-3"/>
          <w:lang w:eastAsia="en-US"/>
        </w:rPr>
        <w:t xml:space="preserve"> </w:t>
      </w:r>
      <w:r w:rsidRPr="00B56FAA">
        <w:rPr>
          <w:rFonts w:eastAsia="Book Antiqua"/>
          <w:lang w:eastAsia="en-US"/>
        </w:rPr>
        <w:t>estimates</w:t>
      </w:r>
      <w:r w:rsidRPr="00B56FAA">
        <w:rPr>
          <w:rFonts w:eastAsia="Book Antiqua"/>
          <w:spacing w:val="-4"/>
          <w:lang w:eastAsia="en-US"/>
        </w:rPr>
        <w:t xml:space="preserve"> </w:t>
      </w:r>
      <w:r w:rsidRPr="00B56FAA">
        <w:rPr>
          <w:rFonts w:eastAsia="Book Antiqua"/>
          <w:lang w:eastAsia="en-US"/>
        </w:rPr>
        <w:t>and</w:t>
      </w:r>
      <w:r w:rsidRPr="00B56FAA">
        <w:rPr>
          <w:rFonts w:eastAsia="Book Antiqua"/>
          <w:spacing w:val="-4"/>
          <w:lang w:eastAsia="en-US"/>
        </w:rPr>
        <w:t xml:space="preserve"> </w:t>
      </w:r>
      <w:r w:rsidRPr="00B56FAA">
        <w:rPr>
          <w:rFonts w:eastAsia="Book Antiqua"/>
          <w:lang w:eastAsia="en-US"/>
        </w:rPr>
        <w:t>produce</w:t>
      </w:r>
      <w:r w:rsidRPr="00B56FAA">
        <w:rPr>
          <w:rFonts w:eastAsia="Book Antiqua"/>
          <w:spacing w:val="-3"/>
          <w:lang w:eastAsia="en-US"/>
        </w:rPr>
        <w:t xml:space="preserve"> </w:t>
      </w:r>
      <w:r w:rsidRPr="00B56FAA">
        <w:rPr>
          <w:rFonts w:eastAsia="Book Antiqua"/>
          <w:lang w:eastAsia="en-US"/>
        </w:rPr>
        <w:t>PB</w:t>
      </w:r>
      <w:r w:rsidRPr="00B56FAA">
        <w:rPr>
          <w:rFonts w:eastAsia="Book Antiqua"/>
          <w:spacing w:val="-4"/>
          <w:lang w:eastAsia="en-US"/>
        </w:rPr>
        <w:t xml:space="preserve"> </w:t>
      </w:r>
      <w:r w:rsidRPr="00B56FAA">
        <w:rPr>
          <w:rFonts w:eastAsia="Book Antiqua"/>
          <w:lang w:eastAsia="en-US"/>
        </w:rPr>
        <w:t>Statements</w:t>
      </w:r>
      <w:r w:rsidRPr="00B56FAA">
        <w:rPr>
          <w:rFonts w:eastAsia="Book Antiqua"/>
          <w:spacing w:val="-2"/>
          <w:lang w:eastAsia="en-US"/>
        </w:rPr>
        <w:t xml:space="preserve"> </w:t>
      </w:r>
      <w:r w:rsidRPr="00B56FAA">
        <w:rPr>
          <w:rFonts w:eastAsia="Book Antiqua"/>
          <w:lang w:eastAsia="en-US"/>
        </w:rPr>
        <w:t>where</w:t>
      </w:r>
      <w:r w:rsidRPr="00B56FAA">
        <w:rPr>
          <w:rFonts w:eastAsia="Book Antiqua"/>
          <w:spacing w:val="-3"/>
          <w:lang w:eastAsia="en-US"/>
        </w:rPr>
        <w:t xml:space="preserve"> </w:t>
      </w:r>
      <w:r w:rsidRPr="00B56FAA">
        <w:rPr>
          <w:rFonts w:eastAsia="Book Antiqua"/>
          <w:lang w:eastAsia="en-US"/>
        </w:rPr>
        <w:t>they</w:t>
      </w:r>
      <w:r w:rsidRPr="00B56FAA">
        <w:rPr>
          <w:rFonts w:eastAsia="Book Antiqua"/>
          <w:spacing w:val="-3"/>
          <w:lang w:eastAsia="en-US"/>
        </w:rPr>
        <w:t xml:space="preserve"> </w:t>
      </w:r>
      <w:r w:rsidRPr="00B56FAA">
        <w:rPr>
          <w:rFonts w:eastAsia="Book Antiqua"/>
          <w:lang w:eastAsia="en-US"/>
        </w:rPr>
        <w:t>receive</w:t>
      </w:r>
      <w:r w:rsidRPr="00B56FAA">
        <w:rPr>
          <w:rFonts w:eastAsia="Book Antiqua"/>
          <w:spacing w:val="-3"/>
          <w:lang w:eastAsia="en-US"/>
        </w:rPr>
        <w:t xml:space="preserve"> </w:t>
      </w:r>
      <w:r w:rsidRPr="00B56FAA">
        <w:rPr>
          <w:rFonts w:eastAsia="Book Antiqua"/>
          <w:lang w:eastAsia="en-US"/>
        </w:rPr>
        <w:t>funding (either directly or via portfolio departments) through the annual appropriation acts.</w:t>
      </w:r>
    </w:p>
    <w:p w14:paraId="24FBF799" w14:textId="77777777" w:rsidR="00CE4701" w:rsidRPr="00B56FAA" w:rsidRDefault="00CE4701" w:rsidP="00754942">
      <w:pPr>
        <w:spacing w:before="120" w:after="120"/>
        <w:rPr>
          <w:rFonts w:ascii="Arial" w:hAnsi="Arial"/>
          <w:b/>
          <w:sz w:val="26"/>
          <w:szCs w:val="26"/>
        </w:rPr>
      </w:pPr>
      <w:r w:rsidRPr="00B56FAA">
        <w:rPr>
          <w:rFonts w:ascii="Arial" w:hAnsi="Arial"/>
          <w:b/>
          <w:sz w:val="26"/>
          <w:szCs w:val="26"/>
        </w:rPr>
        <w:t>The Commonwealth Performance Framework</w:t>
      </w:r>
    </w:p>
    <w:p w14:paraId="71566B45" w14:textId="77777777" w:rsidR="00C429D7" w:rsidRPr="00B56FAA" w:rsidRDefault="00C429D7" w:rsidP="00754942">
      <w:pPr>
        <w:spacing w:before="120" w:after="120"/>
      </w:pPr>
      <w:r w:rsidRPr="00B56FAA">
        <w:t>The following diagram outlines the key components of the Commonwealth performance framework. The diagram identifies the content of each of the publications and the relationship between them. Links to the publications for each entity within the portfolio can be found in the introduct</w:t>
      </w:r>
      <w:r w:rsidR="0005360C">
        <w:t>ion to Section 2: Outcomes and Planned P</w:t>
      </w:r>
      <w:r w:rsidRPr="00B56FAA">
        <w:t>erformance.</w:t>
      </w:r>
    </w:p>
    <w:p w14:paraId="1B5E19E0" w14:textId="28EA88B4" w:rsidR="005F0DDA" w:rsidRDefault="005F0DDA">
      <w:pPr>
        <w:spacing w:before="0" w:after="0"/>
      </w:pPr>
      <w:r w:rsidRPr="00B56FAA">
        <w:rPr>
          <w:noProof/>
          <w:lang w:val="en-AU"/>
        </w:rPr>
        <w:br w:type="page"/>
      </w:r>
    </w:p>
    <w:p w14:paraId="041357C2" w14:textId="44C12602" w:rsidR="0027406D" w:rsidRDefault="00C17976" w:rsidP="0063046F">
      <w:pPr>
        <w:pStyle w:val="heading1level2"/>
        <w:jc w:val="left"/>
      </w:pPr>
      <w:r>
        <w:rPr>
          <w:noProof/>
          <w:lang w:val="en-AU"/>
        </w:rPr>
        <w:lastRenderedPageBreak/>
        <mc:AlternateContent>
          <mc:Choice Requires="wpg">
            <w:drawing>
              <wp:anchor distT="0" distB="0" distL="114300" distR="114300" simplePos="0" relativeHeight="251721216" behindDoc="0" locked="0" layoutInCell="1" allowOverlap="1" wp14:anchorId="50E6A10D" wp14:editId="1B001D98">
                <wp:simplePos x="0" y="0"/>
                <wp:positionH relativeFrom="column">
                  <wp:posOffset>1270</wp:posOffset>
                </wp:positionH>
                <wp:positionV relativeFrom="paragraph">
                  <wp:posOffset>-635</wp:posOffset>
                </wp:positionV>
                <wp:extent cx="4882515" cy="7251700"/>
                <wp:effectExtent l="0" t="0" r="13335" b="2540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2515" cy="7251700"/>
                          <a:chOff x="0" y="0"/>
                          <a:chExt cx="4882515" cy="6777990"/>
                        </a:xfrm>
                      </wpg:grpSpPr>
                      <wpg:grpSp>
                        <wpg:cNvPr id="65" name="Group 32"/>
                        <wpg:cNvGrpSpPr>
                          <a:grpSpLocks/>
                        </wpg:cNvGrpSpPr>
                        <wpg:grpSpPr bwMode="auto">
                          <a:xfrm>
                            <a:off x="0" y="0"/>
                            <a:ext cx="4882515" cy="6777990"/>
                            <a:chOff x="1063986" y="1064206"/>
                            <a:chExt cx="48825" cy="57214"/>
                          </a:xfrm>
                        </wpg:grpSpPr>
                        <wps:wsp>
                          <wps:cNvPr id="66" name="Rectangle 3"/>
                          <wps:cNvSpPr>
                            <a:spLocks noChangeArrowheads="1"/>
                          </wps:cNvSpPr>
                          <wps:spPr bwMode="auto">
                            <a:xfrm>
                              <a:off x="1063986" y="1064206"/>
                              <a:ext cx="48825" cy="57214"/>
                            </a:xfrm>
                            <a:prstGeom prst="rect">
                              <a:avLst/>
                            </a:prstGeom>
                            <a:noFill/>
                            <a:ln w="25400">
                              <a:solidFill>
                                <a:sysClr val="windowText" lastClr="000000">
                                  <a:lumMod val="0"/>
                                  <a:lumOff val="0"/>
                                </a:sysClr>
                              </a:solidFill>
                              <a:miter lim="800000"/>
                              <a:headEnd/>
                              <a:tailEnd/>
                            </a:ln>
                            <a:effectLst/>
                          </wps:spPr>
                          <wps:bodyPr rot="0" vert="horz" wrap="square" lIns="36576" tIns="36576" rIns="36576" bIns="36576" anchor="t" anchorCtr="0" upright="1">
                            <a:noAutofit/>
                          </wps:bodyPr>
                        </wps:wsp>
                        <wps:wsp>
                          <wps:cNvPr id="67" name="Rectangle 4"/>
                          <wps:cNvSpPr>
                            <a:spLocks noChangeArrowheads="1"/>
                          </wps:cNvSpPr>
                          <wps:spPr bwMode="auto">
                            <a:xfrm>
                              <a:off x="1067497" y="1065559"/>
                              <a:ext cx="41422" cy="4680"/>
                            </a:xfrm>
                            <a:prstGeom prst="rect">
                              <a:avLst/>
                            </a:prstGeom>
                            <a:solidFill>
                              <a:srgbClr val="0C0C0C"/>
                            </a:solidFill>
                            <a:ln w="25400">
                              <a:solidFill>
                                <a:sysClr val="windowText" lastClr="000000">
                                  <a:lumMod val="0"/>
                                  <a:lumOff val="0"/>
                                </a:sysClr>
                              </a:solidFill>
                              <a:miter lim="800000"/>
                              <a:headEnd/>
                              <a:tailEnd/>
                            </a:ln>
                            <a:effectLst/>
                          </wps:spPr>
                          <wps:txbx>
                            <w:txbxContent>
                              <w:p w14:paraId="42AE9FEF" w14:textId="77777777" w:rsidR="00CE3B2C" w:rsidRDefault="00CE3B2C" w:rsidP="007C17A8">
                                <w:pPr>
                                  <w:widowControl w:val="0"/>
                                  <w:spacing w:before="120"/>
                                  <w:jc w:val="center"/>
                                  <w:rPr>
                                    <w:rFonts w:ascii="Arial" w:hAnsi="Arial"/>
                                    <w:color w:val="FFFFFF"/>
                                    <w:sz w:val="16"/>
                                    <w:szCs w:val="16"/>
                                  </w:rPr>
                                </w:pPr>
                                <w:r w:rsidRPr="00DB66CC">
                                  <w:rPr>
                                    <w:rFonts w:ascii="Arial" w:hAnsi="Arial"/>
                                    <w:b/>
                                    <w:bCs/>
                                    <w:color w:val="FFFFFF"/>
                                    <w:sz w:val="22"/>
                                    <w:szCs w:val="22"/>
                                  </w:rPr>
                                  <w:t>Commonwealth performance framework</w:t>
                                </w:r>
                                <w:r w:rsidRPr="00DB66CC">
                                  <w:rPr>
                                    <w:rFonts w:ascii="Arial" w:hAnsi="Arial"/>
                                    <w:b/>
                                    <w:bCs/>
                                    <w:color w:val="FFFFFF"/>
                                    <w:sz w:val="18"/>
                                    <w:szCs w:val="18"/>
                                  </w:rPr>
                                  <w:br/>
                                </w:r>
                                <w:r w:rsidRPr="00DB66CC">
                                  <w:rPr>
                                    <w:rFonts w:ascii="Arial" w:hAnsi="Arial"/>
                                    <w:color w:val="FFFFFF"/>
                                    <w:sz w:val="22"/>
                                    <w:szCs w:val="22"/>
                                  </w:rPr>
                                  <w:t>Key components of relevant publications</w:t>
                                </w:r>
                              </w:p>
                              <w:p w14:paraId="403A6113" w14:textId="77777777" w:rsidR="00CE3B2C" w:rsidRDefault="00CE3B2C" w:rsidP="007C17A8">
                                <w:pPr>
                                  <w:widowControl w:val="0"/>
                                  <w:jc w:val="center"/>
                                  <w:rPr>
                                    <w:rFonts w:ascii="Arial" w:hAnsi="Arial"/>
                                    <w:b/>
                                    <w:bCs/>
                                    <w:color w:val="FFFFFF"/>
                                    <w:sz w:val="18"/>
                                    <w:szCs w:val="18"/>
                                  </w:rPr>
                                </w:pPr>
                                <w:r>
                                  <w:rPr>
                                    <w:rFonts w:ascii="Arial" w:hAnsi="Arial"/>
                                    <w:b/>
                                    <w:bCs/>
                                    <w:color w:val="FFFFFF"/>
                                    <w:sz w:val="18"/>
                                    <w:szCs w:val="18"/>
                                  </w:rPr>
                                  <w:t> </w:t>
                                </w:r>
                              </w:p>
                              <w:p w14:paraId="1AAAFA29" w14:textId="77777777" w:rsidR="00CE3B2C" w:rsidRDefault="00CE3B2C" w:rsidP="007C17A8">
                                <w:pPr>
                                  <w:widowControl w:val="0"/>
                                  <w:jc w:val="center"/>
                                  <w:rPr>
                                    <w:rFonts w:ascii="Arial" w:hAnsi="Arial"/>
                                    <w:b/>
                                    <w:bCs/>
                                    <w:color w:val="FFFFFF"/>
                                    <w:sz w:val="18"/>
                                    <w:szCs w:val="18"/>
                                  </w:rPr>
                                </w:pPr>
                                <w:r>
                                  <w:rPr>
                                    <w:rFonts w:ascii="Arial" w:hAnsi="Arial"/>
                                    <w:b/>
                                    <w:bCs/>
                                    <w:color w:val="FFFFFF"/>
                                    <w:sz w:val="18"/>
                                    <w:szCs w:val="18"/>
                                  </w:rPr>
                                  <w:t> </w:t>
                                </w:r>
                              </w:p>
                            </w:txbxContent>
                          </wps:txbx>
                          <wps:bodyPr rot="0" vert="horz" wrap="square" lIns="36576" tIns="36576" rIns="36576" bIns="36576" anchor="t" anchorCtr="0" upright="1">
                            <a:noAutofit/>
                          </wps:bodyPr>
                        </wps:wsp>
                        <wps:wsp>
                          <wps:cNvPr id="68" name="Rectangle 5"/>
                          <wps:cNvSpPr>
                            <a:spLocks noChangeArrowheads="1"/>
                          </wps:cNvSpPr>
                          <wps:spPr bwMode="auto">
                            <a:xfrm>
                              <a:off x="1065754" y="1071635"/>
                              <a:ext cx="19739" cy="5297"/>
                            </a:xfrm>
                            <a:prstGeom prst="rect">
                              <a:avLst/>
                            </a:prstGeom>
                            <a:solidFill>
                              <a:sysClr val="windowText" lastClr="000000">
                                <a:lumMod val="0"/>
                                <a:lumOff val="0"/>
                              </a:sysClr>
                            </a:solidFill>
                            <a:ln w="12700">
                              <a:solidFill>
                                <a:sysClr val="windowText" lastClr="000000">
                                  <a:lumMod val="0"/>
                                  <a:lumOff val="0"/>
                                </a:sysClr>
                              </a:solidFill>
                              <a:miter lim="800000"/>
                              <a:headEnd/>
                              <a:tailEnd/>
                            </a:ln>
                            <a:effectLst/>
                          </wps:spPr>
                          <wps:txbx>
                            <w:txbxContent>
                              <w:p w14:paraId="2C4BABB8" w14:textId="77777777" w:rsidR="00CE3B2C" w:rsidRPr="001F6397" w:rsidRDefault="00CE3B2C" w:rsidP="007C17A8">
                                <w:pPr>
                                  <w:widowControl w:val="0"/>
                                  <w:spacing w:before="120"/>
                                  <w:jc w:val="center"/>
                                  <w:rPr>
                                    <w:rFonts w:ascii="Arial" w:hAnsi="Arial"/>
                                    <w:color w:val="FFFFFF"/>
                                    <w:sz w:val="18"/>
                                    <w:szCs w:val="18"/>
                                  </w:rPr>
                                </w:pPr>
                                <w:r w:rsidRPr="001F6397">
                                  <w:rPr>
                                    <w:rFonts w:ascii="Arial" w:hAnsi="Arial"/>
                                    <w:color w:val="FFFFFF"/>
                                    <w:sz w:val="18"/>
                                    <w:szCs w:val="18"/>
                                  </w:rPr>
                                  <w:t xml:space="preserve">Portfolio Budget Statements </w:t>
                                </w:r>
                                <w:r>
                                  <w:rPr>
                                    <w:rFonts w:ascii="Arial" w:hAnsi="Arial"/>
                                    <w:color w:val="FFFFFF"/>
                                    <w:sz w:val="18"/>
                                    <w:szCs w:val="18"/>
                                  </w:rPr>
                                  <w:br/>
                                  <w:t>(typically May</w:t>
                                </w:r>
                                <w:r w:rsidRPr="001F6397">
                                  <w:rPr>
                                    <w:rFonts w:ascii="Arial" w:hAnsi="Arial"/>
                                    <w:color w:val="FFFFFF"/>
                                    <w:sz w:val="18"/>
                                    <w:szCs w:val="18"/>
                                  </w:rPr>
                                  <w:t xml:space="preserve">) </w:t>
                                </w:r>
                                <w:r w:rsidRPr="001F6397">
                                  <w:rPr>
                                    <w:rFonts w:ascii="Arial" w:hAnsi="Arial"/>
                                    <w:color w:val="FFFFFF"/>
                                    <w:sz w:val="18"/>
                                    <w:szCs w:val="18"/>
                                  </w:rPr>
                                  <w:br/>
                                  <w:t>Portfolio based</w:t>
                                </w:r>
                              </w:p>
                              <w:p w14:paraId="6E078DDA" w14:textId="77777777" w:rsidR="00CE3B2C" w:rsidRDefault="00CE3B2C" w:rsidP="007C17A8">
                                <w:pPr>
                                  <w:widowControl w:val="0"/>
                                  <w:jc w:val="center"/>
                                  <w:rPr>
                                    <w:color w:val="FFFFFF"/>
                                  </w:rPr>
                                </w:pPr>
                                <w:r>
                                  <w:rPr>
                                    <w:color w:val="FFFFFF"/>
                                  </w:rPr>
                                  <w:t> </w:t>
                                </w:r>
                              </w:p>
                            </w:txbxContent>
                          </wps:txbx>
                          <wps:bodyPr rot="0" vert="horz" wrap="square" lIns="36576" tIns="36576" rIns="36576" bIns="36576" anchor="t" anchorCtr="0" upright="1">
                            <a:noAutofit/>
                          </wps:bodyPr>
                        </wps:wsp>
                        <wps:wsp>
                          <wps:cNvPr id="69" name="Rectangle 6"/>
                          <wps:cNvSpPr>
                            <a:spLocks noChangeArrowheads="1"/>
                          </wps:cNvSpPr>
                          <wps:spPr bwMode="auto">
                            <a:xfrm>
                              <a:off x="1090949" y="1071635"/>
                              <a:ext cx="19802" cy="5297"/>
                            </a:xfrm>
                            <a:prstGeom prst="rect">
                              <a:avLst/>
                            </a:prstGeom>
                            <a:solidFill>
                              <a:sysClr val="windowText" lastClr="000000">
                                <a:lumMod val="0"/>
                                <a:lumOff val="0"/>
                              </a:sysClr>
                            </a:solidFill>
                            <a:ln w="12700">
                              <a:solidFill>
                                <a:sysClr val="windowText" lastClr="000000">
                                  <a:lumMod val="0"/>
                                  <a:lumOff val="0"/>
                                </a:sysClr>
                              </a:solidFill>
                              <a:miter lim="800000"/>
                              <a:headEnd/>
                              <a:tailEnd/>
                            </a:ln>
                            <a:effectLst/>
                          </wps:spPr>
                          <wps:txbx>
                            <w:txbxContent>
                              <w:p w14:paraId="32D9E67F" w14:textId="77777777" w:rsidR="00CE3B2C" w:rsidRPr="001F6397" w:rsidRDefault="00CE3B2C" w:rsidP="007C17A8">
                                <w:pPr>
                                  <w:widowControl w:val="0"/>
                                  <w:spacing w:before="120"/>
                                  <w:jc w:val="center"/>
                                  <w:rPr>
                                    <w:rFonts w:ascii="Arial" w:hAnsi="Arial"/>
                                    <w:color w:val="FFFFFF"/>
                                    <w:sz w:val="18"/>
                                    <w:szCs w:val="18"/>
                                  </w:rPr>
                                </w:pPr>
                                <w:r w:rsidRPr="001F6397">
                                  <w:rPr>
                                    <w:rFonts w:ascii="Arial" w:hAnsi="Arial"/>
                                    <w:color w:val="FFFFFF"/>
                                    <w:sz w:val="18"/>
                                    <w:szCs w:val="18"/>
                                  </w:rPr>
                                  <w:t xml:space="preserve">Corporate </w:t>
                                </w:r>
                                <w:r>
                                  <w:rPr>
                                    <w:rFonts w:ascii="Arial" w:hAnsi="Arial"/>
                                    <w:color w:val="FFFFFF"/>
                                    <w:sz w:val="18"/>
                                    <w:szCs w:val="18"/>
                                  </w:rPr>
                                  <w:t>p</w:t>
                                </w:r>
                                <w:r w:rsidRPr="001F6397">
                                  <w:rPr>
                                    <w:rFonts w:ascii="Arial" w:hAnsi="Arial"/>
                                    <w:color w:val="FFFFFF"/>
                                    <w:sz w:val="18"/>
                                    <w:szCs w:val="18"/>
                                  </w:rPr>
                                  <w:t xml:space="preserve">lan </w:t>
                                </w:r>
                                <w:r>
                                  <w:rPr>
                                    <w:rFonts w:ascii="Arial" w:hAnsi="Arial"/>
                                    <w:color w:val="FFFFFF"/>
                                    <w:sz w:val="18"/>
                                    <w:szCs w:val="18"/>
                                  </w:rPr>
                                  <w:br/>
                                </w:r>
                                <w:r w:rsidRPr="001F6397">
                                  <w:rPr>
                                    <w:rFonts w:ascii="Arial" w:hAnsi="Arial"/>
                                    <w:color w:val="FFFFFF"/>
                                    <w:sz w:val="18"/>
                                    <w:szCs w:val="18"/>
                                  </w:rPr>
                                  <w:t>(31 August)</w:t>
                                </w:r>
                                <w:r w:rsidRPr="001F6397">
                                  <w:rPr>
                                    <w:rFonts w:ascii="Arial" w:hAnsi="Arial"/>
                                    <w:color w:val="FFFFFF"/>
                                    <w:sz w:val="18"/>
                                    <w:szCs w:val="18"/>
                                  </w:rPr>
                                  <w:br/>
                                  <w:t>Entity based</w:t>
                                </w:r>
                              </w:p>
                              <w:p w14:paraId="6C6C6B2E" w14:textId="77777777" w:rsidR="00CE3B2C" w:rsidRDefault="00CE3B2C" w:rsidP="007C17A8">
                                <w:pPr>
                                  <w:widowControl w:val="0"/>
                                  <w:jc w:val="center"/>
                                  <w:rPr>
                                    <w:color w:val="FFFFFF"/>
                                  </w:rPr>
                                </w:pPr>
                                <w:r>
                                  <w:rPr>
                                    <w:color w:val="FFFFFF"/>
                                  </w:rPr>
                                  <w:t> </w:t>
                                </w:r>
                              </w:p>
                            </w:txbxContent>
                          </wps:txbx>
                          <wps:bodyPr rot="0" vert="horz" wrap="square" lIns="36576" tIns="36576" rIns="36576" bIns="36576" anchor="t" anchorCtr="0" upright="1">
                            <a:noAutofit/>
                          </wps:bodyPr>
                        </wps:wsp>
                        <wps:wsp>
                          <wps:cNvPr id="70" name="Rectangle 7"/>
                          <wps:cNvSpPr>
                            <a:spLocks noChangeArrowheads="1"/>
                          </wps:cNvSpPr>
                          <wps:spPr bwMode="auto">
                            <a:xfrm>
                              <a:off x="1065754" y="1077225"/>
                              <a:ext cx="19800" cy="23627"/>
                            </a:xfrm>
                            <a:prstGeom prst="rect">
                              <a:avLst/>
                            </a:prstGeom>
                            <a:noFill/>
                            <a:ln w="6350">
                              <a:solidFill>
                                <a:sysClr val="windowText" lastClr="000000">
                                  <a:lumMod val="0"/>
                                  <a:lumOff val="0"/>
                                </a:sysClr>
                              </a:solidFill>
                              <a:miter lim="800000"/>
                              <a:headEnd/>
                              <a:tailEnd/>
                            </a:ln>
                            <a:effectLst/>
                          </wps:spPr>
                          <wps:txbx>
                            <w:txbxContent>
                              <w:p w14:paraId="1658A3C6" w14:textId="77777777" w:rsidR="00CE3B2C" w:rsidRPr="007C468F" w:rsidRDefault="00CE3B2C" w:rsidP="007C17A8">
                                <w:pPr>
                                  <w:widowControl w:val="0"/>
                                  <w:spacing w:before="120" w:after="120" w:line="286" w:lineRule="auto"/>
                                  <w:rPr>
                                    <w:rFonts w:ascii="Arial" w:hAnsi="Arial"/>
                                    <w:sz w:val="16"/>
                                    <w:szCs w:val="16"/>
                                  </w:rPr>
                                </w:pPr>
                                <w:r w:rsidRPr="007C468F">
                                  <w:rPr>
                                    <w:rFonts w:ascii="Arial" w:hAnsi="Arial"/>
                                    <w:sz w:val="16"/>
                                    <w:szCs w:val="16"/>
                                  </w:rPr>
                                  <w:t>Supports Annual Appropriations. Informs senators and members of parliament of the proposed allocations of other resources to government outcomes and programs.</w:t>
                                </w:r>
                              </w:p>
                              <w:p w14:paraId="618F914F" w14:textId="77777777" w:rsidR="00CE3B2C" w:rsidRPr="007C468F" w:rsidRDefault="00CE3B2C" w:rsidP="007C17A8">
                                <w:pPr>
                                  <w:widowControl w:val="0"/>
                                  <w:spacing w:before="120" w:after="120" w:line="286" w:lineRule="auto"/>
                                  <w:rPr>
                                    <w:rFonts w:ascii="Arial" w:hAnsi="Arial"/>
                                    <w:sz w:val="16"/>
                                    <w:szCs w:val="16"/>
                                  </w:rPr>
                                </w:pPr>
                                <w:r w:rsidRPr="007C468F">
                                  <w:rPr>
                                    <w:rFonts w:ascii="Arial" w:hAnsi="Arial"/>
                                    <w:sz w:val="16"/>
                                    <w:szCs w:val="16"/>
                                  </w:rPr>
                                  <w:t>Provides links to relevant programs</w:t>
                                </w:r>
                                <w:r w:rsidRPr="007C468F">
                                  <w:rPr>
                                    <w:rFonts w:ascii="Arial" w:hAnsi="Arial"/>
                                    <w:sz w:val="16"/>
                                    <w:szCs w:val="16"/>
                                  </w:rPr>
                                  <w:br/>
                                  <w:t>undertaken by other Commonwealth</w:t>
                                </w:r>
                                <w:r w:rsidRPr="007C468F">
                                  <w:rPr>
                                    <w:rFonts w:ascii="Arial" w:hAnsi="Arial"/>
                                    <w:sz w:val="16"/>
                                    <w:szCs w:val="16"/>
                                  </w:rPr>
                                  <w:br/>
                                  <w:t>entities.</w:t>
                                </w:r>
                              </w:p>
                              <w:p w14:paraId="5BC66E3F" w14:textId="77777777" w:rsidR="00CE3B2C" w:rsidRPr="007C468F" w:rsidRDefault="00CE3B2C" w:rsidP="007C17A8">
                                <w:pPr>
                                  <w:widowControl w:val="0"/>
                                  <w:spacing w:before="120" w:after="120" w:line="286" w:lineRule="auto"/>
                                  <w:rPr>
                                    <w:rFonts w:ascii="Arial" w:hAnsi="Arial"/>
                                    <w:sz w:val="16"/>
                                    <w:szCs w:val="16"/>
                                  </w:rPr>
                                </w:pPr>
                                <w:r w:rsidRPr="007C468F">
                                  <w:rPr>
                                    <w:rFonts w:ascii="Arial" w:hAnsi="Arial"/>
                                    <w:sz w:val="16"/>
                                    <w:szCs w:val="16"/>
                                  </w:rPr>
                                  <w:t>Provides high-level performance</w:t>
                                </w:r>
                                <w:r w:rsidRPr="007C468F">
                                  <w:rPr>
                                    <w:rFonts w:ascii="Arial" w:hAnsi="Arial"/>
                                    <w:sz w:val="16"/>
                                    <w:szCs w:val="16"/>
                                  </w:rPr>
                                  <w:br/>
                                  <w:t>information for current, ongoing programs.</w:t>
                                </w:r>
                              </w:p>
                              <w:p w14:paraId="66804BF7" w14:textId="77777777" w:rsidR="00CE3B2C" w:rsidRDefault="00CE3B2C" w:rsidP="007C17A8">
                                <w:pPr>
                                  <w:widowControl w:val="0"/>
                                  <w:spacing w:before="120" w:after="120" w:line="286" w:lineRule="auto"/>
                                  <w:rPr>
                                    <w:rFonts w:ascii="Arial" w:hAnsi="Arial"/>
                                    <w:sz w:val="16"/>
                                    <w:szCs w:val="16"/>
                                  </w:rPr>
                                </w:pPr>
                                <w:r w:rsidRPr="007C468F">
                                  <w:rPr>
                                    <w:rFonts w:ascii="Arial" w:hAnsi="Arial"/>
                                    <w:sz w:val="16"/>
                                    <w:szCs w:val="16"/>
                                  </w:rPr>
                                  <w:t>Provides detailed performance information for proposed new budget measures that require a new program or significantly change an existing program.</w:t>
                                </w:r>
                              </w:p>
                              <w:p w14:paraId="62EF1DD7" w14:textId="77777777" w:rsidR="00CE3B2C" w:rsidRPr="007C468F" w:rsidRDefault="00CE3B2C" w:rsidP="007C17A8">
                                <w:pPr>
                                  <w:widowControl w:val="0"/>
                                  <w:spacing w:before="120" w:after="120" w:line="286" w:lineRule="auto"/>
                                  <w:rPr>
                                    <w:rFonts w:ascii="Arial" w:hAnsi="Arial"/>
                                    <w:sz w:val="16"/>
                                    <w:szCs w:val="16"/>
                                  </w:rPr>
                                </w:pPr>
                                <w:r>
                                  <w:rPr>
                                    <w:rFonts w:ascii="Arial" w:hAnsi="Arial"/>
                                    <w:sz w:val="16"/>
                                    <w:szCs w:val="16"/>
                                  </w:rPr>
                                  <w:t>Links to the corporate plan through reporting key activities.</w:t>
                                </w:r>
                              </w:p>
                            </w:txbxContent>
                          </wps:txbx>
                          <wps:bodyPr rot="0" vert="horz" wrap="square" lIns="36576" tIns="36576" rIns="36576" bIns="36576" anchor="t" anchorCtr="0" upright="1">
                            <a:noAutofit/>
                          </wps:bodyPr>
                        </wps:wsp>
                        <wps:wsp>
                          <wps:cNvPr id="71" name="Rectangle 8"/>
                          <wps:cNvSpPr>
                            <a:spLocks noChangeArrowheads="1"/>
                          </wps:cNvSpPr>
                          <wps:spPr bwMode="auto">
                            <a:xfrm>
                              <a:off x="1090951" y="1077225"/>
                              <a:ext cx="19800" cy="23627"/>
                            </a:xfrm>
                            <a:prstGeom prst="rect">
                              <a:avLst/>
                            </a:prstGeom>
                            <a:noFill/>
                            <a:ln w="6350">
                              <a:solidFill>
                                <a:sysClr val="windowText" lastClr="000000">
                                  <a:lumMod val="0"/>
                                  <a:lumOff val="0"/>
                                </a:sysClr>
                              </a:solidFill>
                              <a:miter lim="800000"/>
                              <a:headEnd/>
                              <a:tailEnd/>
                            </a:ln>
                            <a:effectLst/>
                          </wps:spPr>
                          <wps:txbx>
                            <w:txbxContent>
                              <w:p w14:paraId="0A58BC84" w14:textId="77777777" w:rsidR="00CE3B2C" w:rsidRPr="00504A49" w:rsidRDefault="00CE3B2C" w:rsidP="007C17A8">
                                <w:pPr>
                                  <w:widowControl w:val="0"/>
                                  <w:spacing w:before="120" w:after="120" w:line="286" w:lineRule="auto"/>
                                  <w:rPr>
                                    <w:rFonts w:ascii="Arial" w:hAnsi="Arial"/>
                                    <w:sz w:val="16"/>
                                    <w:szCs w:val="16"/>
                                  </w:rPr>
                                </w:pPr>
                                <w:r w:rsidRPr="00504A49">
                                  <w:rPr>
                                    <w:rFonts w:ascii="Arial" w:hAnsi="Arial"/>
                                    <w:sz w:val="16"/>
                                    <w:szCs w:val="16"/>
                                  </w:rPr>
                                  <w:t>Primary planning document of a</w:t>
                                </w:r>
                                <w:r w:rsidRPr="00504A49">
                                  <w:rPr>
                                    <w:rFonts w:ascii="Arial" w:hAnsi="Arial"/>
                                    <w:sz w:val="16"/>
                                    <w:szCs w:val="16"/>
                                  </w:rPr>
                                  <w:br/>
                                  <w:t>Commonwealth entity.</w:t>
                                </w:r>
                              </w:p>
                              <w:p w14:paraId="0944CDA7" w14:textId="77777777" w:rsidR="00CE3B2C" w:rsidRPr="00504A49" w:rsidRDefault="00CE3B2C" w:rsidP="007C17A8">
                                <w:pPr>
                                  <w:widowControl w:val="0"/>
                                  <w:spacing w:before="120" w:after="120" w:line="286" w:lineRule="auto"/>
                                  <w:rPr>
                                    <w:rFonts w:ascii="Arial" w:hAnsi="Arial"/>
                                    <w:sz w:val="16"/>
                                    <w:szCs w:val="16"/>
                                  </w:rPr>
                                </w:pPr>
                                <w:r w:rsidRPr="00504A49">
                                  <w:rPr>
                                    <w:rFonts w:ascii="Arial" w:hAnsi="Arial"/>
                                    <w:sz w:val="16"/>
                                    <w:szCs w:val="16"/>
                                  </w:rPr>
                                  <w:t>Sets out the purposes of the entity and the key activities it will undertake to achieve its purposes over a minimum</w:t>
                                </w:r>
                                <w:r>
                                  <w:rPr>
                                    <w:rFonts w:ascii="Arial" w:hAnsi="Arial"/>
                                    <w:sz w:val="16"/>
                                    <w:szCs w:val="16"/>
                                  </w:rPr>
                                  <w:br/>
                                </w:r>
                                <w:r w:rsidRPr="00504A49">
                                  <w:rPr>
                                    <w:rFonts w:ascii="Arial" w:hAnsi="Arial"/>
                                    <w:sz w:val="16"/>
                                    <w:szCs w:val="16"/>
                                  </w:rPr>
                                  <w:t>4-year period.</w:t>
                                </w:r>
                              </w:p>
                              <w:p w14:paraId="2F922DE6" w14:textId="77777777" w:rsidR="00CE3B2C" w:rsidRPr="00504A49" w:rsidRDefault="00CE3B2C" w:rsidP="007C17A8">
                                <w:pPr>
                                  <w:widowControl w:val="0"/>
                                  <w:spacing w:before="120" w:after="120" w:line="286" w:lineRule="auto"/>
                                  <w:rPr>
                                    <w:rFonts w:ascii="Arial" w:hAnsi="Arial"/>
                                    <w:sz w:val="16"/>
                                    <w:szCs w:val="16"/>
                                  </w:rPr>
                                </w:pPr>
                                <w:r w:rsidRPr="00504A49">
                                  <w:rPr>
                                    <w:rFonts w:ascii="Arial" w:hAnsi="Arial"/>
                                    <w:sz w:val="16"/>
                                    <w:szCs w:val="16"/>
                                  </w:rPr>
                                  <w:t>Describes the environment in which the entity operates, the capability it requires to undertake its key activities, its risk oversight and management systems including key risks and how those are managed, and how it will cooperate with others, including any subsidiaries, to achieve its purposes.</w:t>
                                </w:r>
                              </w:p>
                              <w:p w14:paraId="15F7AD2B" w14:textId="77777777" w:rsidR="00CE3B2C" w:rsidRPr="00504A49" w:rsidRDefault="00CE3B2C" w:rsidP="007C17A8">
                                <w:pPr>
                                  <w:widowControl w:val="0"/>
                                  <w:spacing w:before="120" w:after="120" w:line="286" w:lineRule="auto"/>
                                  <w:rPr>
                                    <w:rFonts w:ascii="Arial" w:hAnsi="Arial"/>
                                    <w:sz w:val="16"/>
                                    <w:szCs w:val="16"/>
                                  </w:rPr>
                                </w:pPr>
                                <w:r w:rsidRPr="00504A49">
                                  <w:rPr>
                                    <w:rFonts w:ascii="Arial" w:hAnsi="Arial"/>
                                    <w:sz w:val="16"/>
                                    <w:szCs w:val="16"/>
                                  </w:rPr>
                                  <w:t>Explains how the entity’s performance will be measured and assessed.</w:t>
                                </w:r>
                              </w:p>
                            </w:txbxContent>
                          </wps:txbx>
                          <wps:bodyPr rot="0" vert="horz" wrap="square" lIns="36576" tIns="36576" rIns="36576" bIns="36576" anchor="t" anchorCtr="0" upright="1">
                            <a:noAutofit/>
                          </wps:bodyPr>
                        </wps:wsp>
                        <wps:wsp>
                          <wps:cNvPr id="82" name="AutoShape 9"/>
                          <wps:cNvCnPr>
                            <a:cxnSpLocks noChangeShapeType="1"/>
                          </wps:cNvCnPr>
                          <wps:spPr bwMode="auto">
                            <a:xfrm>
                              <a:off x="1085493" y="1086342"/>
                              <a:ext cx="5425" cy="0"/>
                            </a:xfrm>
                            <a:prstGeom prst="straightConnector1">
                              <a:avLst/>
                            </a:prstGeom>
                            <a:noFill/>
                            <a:ln w="15875">
                              <a:solidFill>
                                <a:sysClr val="windowText" lastClr="000000">
                                  <a:lumMod val="0"/>
                                  <a:lumOff val="0"/>
                                </a:sysClr>
                              </a:solidFill>
                              <a:round/>
                              <a:headEnd type="triangle" w="med" len="med"/>
                              <a:tailEnd type="triangle" w="med" len="med"/>
                            </a:ln>
                            <a:effectLst/>
                          </wps:spPr>
                          <wps:bodyPr/>
                        </wps:wsp>
                        <wps:wsp>
                          <wps:cNvPr id="95" name="Rectangle 10"/>
                          <wps:cNvSpPr>
                            <a:spLocks noChangeArrowheads="1"/>
                          </wps:cNvSpPr>
                          <wps:spPr bwMode="auto">
                            <a:xfrm>
                              <a:off x="1070254" y="1104769"/>
                              <a:ext cx="36000" cy="5424"/>
                            </a:xfrm>
                            <a:prstGeom prst="rect">
                              <a:avLst/>
                            </a:prstGeom>
                            <a:solidFill>
                              <a:sysClr val="windowText" lastClr="000000">
                                <a:lumMod val="0"/>
                                <a:lumOff val="0"/>
                              </a:sysClr>
                            </a:solidFill>
                            <a:ln w="12700">
                              <a:solidFill>
                                <a:sysClr val="windowText" lastClr="000000">
                                  <a:lumMod val="0"/>
                                  <a:lumOff val="0"/>
                                </a:sysClr>
                              </a:solidFill>
                              <a:miter lim="800000"/>
                              <a:headEnd/>
                              <a:tailEnd/>
                            </a:ln>
                            <a:effectLst/>
                          </wps:spPr>
                          <wps:txbx>
                            <w:txbxContent>
                              <w:p w14:paraId="59BB1194" w14:textId="77777777" w:rsidR="00CE3B2C" w:rsidRPr="001F6397" w:rsidRDefault="00CE3B2C" w:rsidP="007C17A8">
                                <w:pPr>
                                  <w:widowControl w:val="0"/>
                                  <w:spacing w:before="120"/>
                                  <w:jc w:val="center"/>
                                  <w:rPr>
                                    <w:color w:val="FFFFFF"/>
                                    <w:sz w:val="18"/>
                                    <w:szCs w:val="18"/>
                                  </w:rPr>
                                </w:pPr>
                                <w:r w:rsidRPr="001F6397">
                                  <w:rPr>
                                    <w:rFonts w:ascii="Arial" w:hAnsi="Arial"/>
                                    <w:color w:val="FFFFFF"/>
                                    <w:sz w:val="18"/>
                                    <w:szCs w:val="18"/>
                                  </w:rPr>
                                  <w:t xml:space="preserve">Annual </w:t>
                                </w:r>
                                <w:r>
                                  <w:rPr>
                                    <w:rFonts w:ascii="Arial" w:hAnsi="Arial"/>
                                    <w:color w:val="FFFFFF"/>
                                    <w:sz w:val="18"/>
                                    <w:szCs w:val="18"/>
                                  </w:rPr>
                                  <w:t>p</w:t>
                                </w:r>
                                <w:r w:rsidRPr="001F6397">
                                  <w:rPr>
                                    <w:rFonts w:ascii="Arial" w:hAnsi="Arial"/>
                                    <w:color w:val="FFFFFF"/>
                                    <w:sz w:val="18"/>
                                    <w:szCs w:val="18"/>
                                  </w:rPr>
                                  <w:t xml:space="preserve">erformance </w:t>
                                </w:r>
                                <w:r>
                                  <w:rPr>
                                    <w:rFonts w:ascii="Arial" w:hAnsi="Arial"/>
                                    <w:color w:val="FFFFFF"/>
                                    <w:sz w:val="18"/>
                                    <w:szCs w:val="18"/>
                                  </w:rPr>
                                  <w:t>s</w:t>
                                </w:r>
                                <w:r w:rsidRPr="001F6397">
                                  <w:rPr>
                                    <w:rFonts w:ascii="Arial" w:hAnsi="Arial"/>
                                    <w:color w:val="FFFFFF"/>
                                    <w:sz w:val="18"/>
                                    <w:szCs w:val="18"/>
                                  </w:rPr>
                                  <w:t xml:space="preserve">tatements </w:t>
                                </w:r>
                                <w:r>
                                  <w:rPr>
                                    <w:rFonts w:ascii="Arial" w:hAnsi="Arial"/>
                                    <w:color w:val="FFFFFF"/>
                                    <w:sz w:val="18"/>
                                    <w:szCs w:val="18"/>
                                  </w:rPr>
                                  <w:br/>
                                </w:r>
                                <w:r w:rsidRPr="001F6397">
                                  <w:rPr>
                                    <w:rFonts w:ascii="Arial" w:hAnsi="Arial"/>
                                    <w:color w:val="FFFFFF"/>
                                    <w:sz w:val="18"/>
                                    <w:szCs w:val="18"/>
                                  </w:rPr>
                                  <w:t>(October following year)</w:t>
                                </w:r>
                                <w:r w:rsidRPr="001F6397">
                                  <w:rPr>
                                    <w:rFonts w:ascii="Arial" w:hAnsi="Arial"/>
                                    <w:i/>
                                    <w:iCs/>
                                    <w:color w:val="FFFFFF"/>
                                    <w:sz w:val="18"/>
                                    <w:szCs w:val="18"/>
                                  </w:rPr>
                                  <w:br/>
                                </w:r>
                                <w:r w:rsidRPr="001F6397">
                                  <w:rPr>
                                    <w:rFonts w:ascii="Arial" w:hAnsi="Arial"/>
                                    <w:color w:val="FFFFFF"/>
                                    <w:sz w:val="18"/>
                                    <w:szCs w:val="18"/>
                                  </w:rPr>
                                  <w:t>Entity based</w:t>
                                </w:r>
                              </w:p>
                              <w:p w14:paraId="789E3520" w14:textId="77777777" w:rsidR="00CE3B2C" w:rsidRDefault="00CE3B2C" w:rsidP="007C17A8">
                                <w:pPr>
                                  <w:widowControl w:val="0"/>
                                  <w:jc w:val="center"/>
                                  <w:rPr>
                                    <w:color w:val="FFFFFF"/>
                                  </w:rPr>
                                </w:pPr>
                                <w:r>
                                  <w:rPr>
                                    <w:color w:val="FFFFFF"/>
                                  </w:rPr>
                                  <w:t> </w:t>
                                </w:r>
                              </w:p>
                            </w:txbxContent>
                          </wps:txbx>
                          <wps:bodyPr rot="0" vert="horz" wrap="square" lIns="36576" tIns="36576" rIns="36576" bIns="36576" anchor="t" anchorCtr="0" upright="1">
                            <a:noAutofit/>
                          </wps:bodyPr>
                        </wps:wsp>
                        <wps:wsp>
                          <wps:cNvPr id="96" name="Rectangle 11"/>
                          <wps:cNvSpPr>
                            <a:spLocks noChangeArrowheads="1"/>
                          </wps:cNvSpPr>
                          <wps:spPr bwMode="auto">
                            <a:xfrm>
                              <a:off x="1070254" y="1110437"/>
                              <a:ext cx="36000" cy="10113"/>
                            </a:xfrm>
                            <a:prstGeom prst="rect">
                              <a:avLst/>
                            </a:prstGeom>
                            <a:noFill/>
                            <a:ln w="6350">
                              <a:solidFill>
                                <a:sysClr val="windowText" lastClr="000000">
                                  <a:lumMod val="0"/>
                                  <a:lumOff val="0"/>
                                </a:sysClr>
                              </a:solidFill>
                              <a:miter lim="800000"/>
                              <a:headEnd/>
                              <a:tailEnd/>
                            </a:ln>
                            <a:effectLst/>
                          </wps:spPr>
                          <wps:txbx>
                            <w:txbxContent>
                              <w:p w14:paraId="68690F13" w14:textId="77777777" w:rsidR="00CE3B2C" w:rsidRPr="00504A49" w:rsidRDefault="00CE3B2C" w:rsidP="007C17A8">
                                <w:pPr>
                                  <w:widowControl w:val="0"/>
                                  <w:spacing w:before="120" w:after="120" w:line="286" w:lineRule="auto"/>
                                  <w:rPr>
                                    <w:rFonts w:ascii="Arial" w:hAnsi="Arial"/>
                                    <w:sz w:val="16"/>
                                    <w:szCs w:val="16"/>
                                  </w:rPr>
                                </w:pPr>
                                <w:r w:rsidRPr="00504A49">
                                  <w:rPr>
                                    <w:rFonts w:ascii="Arial" w:hAnsi="Arial"/>
                                    <w:sz w:val="16"/>
                                    <w:szCs w:val="16"/>
                                  </w:rPr>
                                  <w:t xml:space="preserve">Included in the Commonwealth entity’s annual report. </w:t>
                                </w:r>
                              </w:p>
                              <w:p w14:paraId="21742EE3" w14:textId="77777777" w:rsidR="00CE3B2C" w:rsidRPr="00504A49" w:rsidRDefault="00CE3B2C" w:rsidP="007C17A8">
                                <w:pPr>
                                  <w:widowControl w:val="0"/>
                                  <w:spacing w:before="120" w:after="120" w:line="286" w:lineRule="auto"/>
                                  <w:rPr>
                                    <w:rFonts w:ascii="Arial" w:hAnsi="Arial"/>
                                    <w:sz w:val="16"/>
                                    <w:szCs w:val="16"/>
                                  </w:rPr>
                                </w:pPr>
                                <w:r w:rsidRPr="00504A49">
                                  <w:rPr>
                                    <w:rFonts w:ascii="Arial" w:hAnsi="Arial"/>
                                    <w:sz w:val="16"/>
                                    <w:szCs w:val="16"/>
                                  </w:rPr>
                                  <w:t>Reports on the actual performance results for the reporting year as set out in the corporate plan and Portfolio Budget Statements.</w:t>
                                </w:r>
                              </w:p>
                              <w:p w14:paraId="01376BEC" w14:textId="77777777" w:rsidR="00CE3B2C" w:rsidRPr="00504A49" w:rsidRDefault="00CE3B2C" w:rsidP="007C17A8">
                                <w:pPr>
                                  <w:widowControl w:val="0"/>
                                  <w:spacing w:before="120" w:after="120" w:line="286" w:lineRule="auto"/>
                                  <w:rPr>
                                    <w:rFonts w:ascii="Arial" w:hAnsi="Arial"/>
                                    <w:sz w:val="16"/>
                                    <w:szCs w:val="16"/>
                                  </w:rPr>
                                </w:pPr>
                                <w:r w:rsidRPr="00504A49">
                                  <w:rPr>
                                    <w:rFonts w:ascii="Arial" w:hAnsi="Arial"/>
                                    <w:sz w:val="16"/>
                                    <w:szCs w:val="16"/>
                                  </w:rPr>
                                  <w:t>Provides an analysis of the factors that may have contributed to the entity’s</w:t>
                                </w:r>
                                <w:r w:rsidRPr="00504A49">
                                  <w:rPr>
                                    <w:rFonts w:ascii="Arial" w:hAnsi="Arial"/>
                                    <w:sz w:val="16"/>
                                    <w:szCs w:val="16"/>
                                  </w:rPr>
                                  <w:br/>
                                  <w:t>performance results.</w:t>
                                </w:r>
                              </w:p>
                            </w:txbxContent>
                          </wps:txbx>
                          <wps:bodyPr rot="0" vert="horz" wrap="square" lIns="36576" tIns="36576" rIns="36576" bIns="36576" anchor="t" anchorCtr="0" upright="1">
                            <a:noAutofit/>
                          </wps:bodyPr>
                        </wps:wsp>
                        <wps:wsp>
                          <wps:cNvPr id="97" name="AutoShape 12"/>
                          <wps:cNvCnPr>
                            <a:cxnSpLocks noChangeShapeType="1"/>
                          </wps:cNvCnPr>
                          <wps:spPr bwMode="auto">
                            <a:xfrm>
                              <a:off x="1075356" y="1100946"/>
                              <a:ext cx="0" cy="1800"/>
                            </a:xfrm>
                            <a:prstGeom prst="straightConnector1">
                              <a:avLst/>
                            </a:prstGeom>
                            <a:noFill/>
                            <a:ln w="15875">
                              <a:solidFill>
                                <a:sysClr val="windowText" lastClr="000000">
                                  <a:lumMod val="0"/>
                                  <a:lumOff val="0"/>
                                </a:sysClr>
                              </a:solidFill>
                              <a:round/>
                              <a:headEnd/>
                              <a:tailEnd/>
                            </a:ln>
                            <a:effectLst/>
                          </wps:spPr>
                          <wps:bodyPr/>
                        </wps:wsp>
                        <wps:wsp>
                          <wps:cNvPr id="98" name="AutoShape 14"/>
                          <wps:cNvCnPr>
                            <a:cxnSpLocks noChangeShapeType="1"/>
                          </wps:cNvCnPr>
                          <wps:spPr bwMode="auto">
                            <a:xfrm>
                              <a:off x="1075294" y="1102711"/>
                              <a:ext cx="25558" cy="0"/>
                            </a:xfrm>
                            <a:prstGeom prst="straightConnector1">
                              <a:avLst/>
                            </a:prstGeom>
                            <a:noFill/>
                            <a:ln w="15875">
                              <a:solidFill>
                                <a:sysClr val="windowText" lastClr="000000">
                                  <a:lumMod val="0"/>
                                  <a:lumOff val="0"/>
                                </a:sysClr>
                              </a:solidFill>
                              <a:round/>
                              <a:headEnd/>
                              <a:tailEnd/>
                            </a:ln>
                            <a:effectLst/>
                          </wps:spPr>
                          <wps:bodyPr/>
                        </wps:wsp>
                        <wps:wsp>
                          <wps:cNvPr id="101" name="AutoShape 15"/>
                          <wps:cNvCnPr>
                            <a:cxnSpLocks noChangeShapeType="1"/>
                          </wps:cNvCnPr>
                          <wps:spPr bwMode="auto">
                            <a:xfrm>
                              <a:off x="1088401" y="1102709"/>
                              <a:ext cx="0" cy="1945"/>
                            </a:xfrm>
                            <a:prstGeom prst="straightConnector1">
                              <a:avLst/>
                            </a:prstGeom>
                            <a:noFill/>
                            <a:ln w="15875">
                              <a:solidFill>
                                <a:sysClr val="windowText" lastClr="000000">
                                  <a:lumMod val="0"/>
                                  <a:lumOff val="0"/>
                                </a:sysClr>
                              </a:solidFill>
                              <a:round/>
                              <a:headEnd/>
                              <a:tailEnd type="triangle" w="med" len="med"/>
                            </a:ln>
                            <a:effectLst/>
                          </wps:spPr>
                          <wps:bodyPr/>
                        </wps:wsp>
                      </wpg:grpSp>
                      <wps:wsp>
                        <wps:cNvPr id="102" name="AutoShape 12"/>
                        <wps:cNvCnPr>
                          <a:cxnSpLocks noChangeShapeType="1"/>
                        </wps:cNvCnPr>
                        <wps:spPr bwMode="auto">
                          <a:xfrm>
                            <a:off x="3678572" y="4356012"/>
                            <a:ext cx="0" cy="212725"/>
                          </a:xfrm>
                          <a:prstGeom prst="straightConnector1">
                            <a:avLst/>
                          </a:prstGeom>
                          <a:noFill/>
                          <a:ln w="15875">
                            <a:solidFill>
                              <a:sysClr val="windowText" lastClr="000000">
                                <a:lumMod val="0"/>
                                <a:lumOff val="0"/>
                              </a:sysClr>
                            </a:solidFill>
                            <a:round/>
                            <a:headEnd/>
                            <a:tailEnd/>
                          </a:ln>
                          <a:effectLst/>
                        </wps:spPr>
                        <wps:bodyPr/>
                      </wps:wsp>
                    </wpg:wgp>
                  </a:graphicData>
                </a:graphic>
                <wp14:sizeRelH relativeFrom="page">
                  <wp14:pctWidth>0</wp14:pctWidth>
                </wp14:sizeRelH>
                <wp14:sizeRelV relativeFrom="margin">
                  <wp14:pctHeight>0</wp14:pctHeight>
                </wp14:sizeRelV>
              </wp:anchor>
            </w:drawing>
          </mc:Choice>
          <mc:Fallback>
            <w:pict>
              <v:group w14:anchorId="50E6A10D" id="Group 64" o:spid="_x0000_s1026" style="position:absolute;margin-left:.1pt;margin-top:-.05pt;width:384.45pt;height:571pt;z-index:251721216;mso-height-relative:margin" coordsize="48825,6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">
                <v:group id="Group 32" o:spid="_x0000_s1027" style="position:absolute;width:48825;height:67779" coordorigin="10639,10642" coordsize="48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Rectangle 3" o:spid="_x0000_s1028" style="position:absolute;left:10639;top:10642;width:489;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" filled="f" strokeweight="2pt">
                    <v:textbox inset="2.88pt,2.88pt,2.88pt,2.88pt"/>
                  </v:rect>
                  <v:rect id="Rectangle 4" o:spid="_x0000_s1029" style="position:absolute;left:10674;top:10655;width:415;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" fillcolor="#0c0c0c" strokeweight="2pt">
                    <v:textbox inset="2.88pt,2.88pt,2.88pt,2.88pt">
                      <w:txbxContent>
                        <w:p w14:paraId="42AE9FEF" w14:textId="77777777" w:rsidR="00CE3B2C" w:rsidRDefault="00CE3B2C" w:rsidP="007C17A8">
                          <w:pPr>
                            <w:widowControl w:val="0"/>
                            <w:spacing w:before="120"/>
                            <w:jc w:val="center"/>
                            <w:rPr>
                              <w:rFonts w:ascii="Arial" w:hAnsi="Arial"/>
                              <w:color w:val="FFFFFF"/>
                              <w:sz w:val="16"/>
                              <w:szCs w:val="16"/>
                            </w:rPr>
                          </w:pPr>
                          <w:r w:rsidRPr="00DB66CC">
                            <w:rPr>
                              <w:rFonts w:ascii="Arial" w:hAnsi="Arial"/>
                              <w:b/>
                              <w:bCs/>
                              <w:color w:val="FFFFFF"/>
                              <w:sz w:val="22"/>
                              <w:szCs w:val="22"/>
                            </w:rPr>
                            <w:t>Commonwealth performance framework</w:t>
                          </w:r>
                          <w:r w:rsidRPr="00DB66CC">
                            <w:rPr>
                              <w:rFonts w:ascii="Arial" w:hAnsi="Arial"/>
                              <w:b/>
                              <w:bCs/>
                              <w:color w:val="FFFFFF"/>
                              <w:sz w:val="18"/>
                              <w:szCs w:val="18"/>
                            </w:rPr>
                            <w:br/>
                          </w:r>
                          <w:r w:rsidRPr="00DB66CC">
                            <w:rPr>
                              <w:rFonts w:ascii="Arial" w:hAnsi="Arial"/>
                              <w:color w:val="FFFFFF"/>
                              <w:sz w:val="22"/>
                              <w:szCs w:val="22"/>
                            </w:rPr>
                            <w:t>Key components of relevant publications</w:t>
                          </w:r>
                        </w:p>
                        <w:p w14:paraId="403A6113" w14:textId="77777777" w:rsidR="00CE3B2C" w:rsidRDefault="00CE3B2C" w:rsidP="007C17A8">
                          <w:pPr>
                            <w:widowControl w:val="0"/>
                            <w:jc w:val="center"/>
                            <w:rPr>
                              <w:rFonts w:ascii="Arial" w:hAnsi="Arial"/>
                              <w:b/>
                              <w:bCs/>
                              <w:color w:val="FFFFFF"/>
                              <w:sz w:val="18"/>
                              <w:szCs w:val="18"/>
                            </w:rPr>
                          </w:pPr>
                          <w:r>
                            <w:rPr>
                              <w:rFonts w:ascii="Arial" w:hAnsi="Arial"/>
                              <w:b/>
                              <w:bCs/>
                              <w:color w:val="FFFFFF"/>
                              <w:sz w:val="18"/>
                              <w:szCs w:val="18"/>
                            </w:rPr>
                            <w:t> </w:t>
                          </w:r>
                        </w:p>
                        <w:p w14:paraId="1AAAFA29" w14:textId="77777777" w:rsidR="00CE3B2C" w:rsidRDefault="00CE3B2C" w:rsidP="007C17A8">
                          <w:pPr>
                            <w:widowControl w:val="0"/>
                            <w:jc w:val="center"/>
                            <w:rPr>
                              <w:rFonts w:ascii="Arial" w:hAnsi="Arial"/>
                              <w:b/>
                              <w:bCs/>
                              <w:color w:val="FFFFFF"/>
                              <w:sz w:val="18"/>
                              <w:szCs w:val="18"/>
                            </w:rPr>
                          </w:pPr>
                          <w:r>
                            <w:rPr>
                              <w:rFonts w:ascii="Arial" w:hAnsi="Arial"/>
                              <w:b/>
                              <w:bCs/>
                              <w:color w:val="FFFFFF"/>
                              <w:sz w:val="18"/>
                              <w:szCs w:val="18"/>
                            </w:rPr>
                            <w:t> </w:t>
                          </w:r>
                        </w:p>
                      </w:txbxContent>
                    </v:textbox>
                  </v:rect>
                  <v:rect id="Rectangle 5" o:spid="_x0000_s1030" style="position:absolute;left:10657;top:10716;width:197;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" fillcolor="black" strokeweight="1pt">
                    <v:textbox inset="2.88pt,2.88pt,2.88pt,2.88pt">
                      <w:txbxContent>
                        <w:p w14:paraId="2C4BABB8" w14:textId="77777777" w:rsidR="00CE3B2C" w:rsidRPr="001F6397" w:rsidRDefault="00CE3B2C" w:rsidP="007C17A8">
                          <w:pPr>
                            <w:widowControl w:val="0"/>
                            <w:spacing w:before="120"/>
                            <w:jc w:val="center"/>
                            <w:rPr>
                              <w:rFonts w:ascii="Arial" w:hAnsi="Arial"/>
                              <w:color w:val="FFFFFF"/>
                              <w:sz w:val="18"/>
                              <w:szCs w:val="18"/>
                            </w:rPr>
                          </w:pPr>
                          <w:r w:rsidRPr="001F6397">
                            <w:rPr>
                              <w:rFonts w:ascii="Arial" w:hAnsi="Arial"/>
                              <w:color w:val="FFFFFF"/>
                              <w:sz w:val="18"/>
                              <w:szCs w:val="18"/>
                            </w:rPr>
                            <w:t xml:space="preserve">Portfolio Budget Statements </w:t>
                          </w:r>
                          <w:r>
                            <w:rPr>
                              <w:rFonts w:ascii="Arial" w:hAnsi="Arial"/>
                              <w:color w:val="FFFFFF"/>
                              <w:sz w:val="18"/>
                              <w:szCs w:val="18"/>
                            </w:rPr>
                            <w:br/>
                            <w:t>(typically May</w:t>
                          </w:r>
                          <w:r w:rsidRPr="001F6397">
                            <w:rPr>
                              <w:rFonts w:ascii="Arial" w:hAnsi="Arial"/>
                              <w:color w:val="FFFFFF"/>
                              <w:sz w:val="18"/>
                              <w:szCs w:val="18"/>
                            </w:rPr>
                            <w:t xml:space="preserve">) </w:t>
                          </w:r>
                          <w:r w:rsidRPr="001F6397">
                            <w:rPr>
                              <w:rFonts w:ascii="Arial" w:hAnsi="Arial"/>
                              <w:color w:val="FFFFFF"/>
                              <w:sz w:val="18"/>
                              <w:szCs w:val="18"/>
                            </w:rPr>
                            <w:br/>
                            <w:t>Portfolio based</w:t>
                          </w:r>
                        </w:p>
                        <w:p w14:paraId="6E078DDA" w14:textId="77777777" w:rsidR="00CE3B2C" w:rsidRDefault="00CE3B2C" w:rsidP="007C17A8">
                          <w:pPr>
                            <w:widowControl w:val="0"/>
                            <w:jc w:val="center"/>
                            <w:rPr>
                              <w:color w:val="FFFFFF"/>
                            </w:rPr>
                          </w:pPr>
                          <w:r>
                            <w:rPr>
                              <w:color w:val="FFFFFF"/>
                            </w:rPr>
                            <w:t> </w:t>
                          </w:r>
                        </w:p>
                      </w:txbxContent>
                    </v:textbox>
                  </v:rect>
                  <v:rect id="_x0000_s1031" style="position:absolute;left:10909;top:10716;width:198;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" fillcolor="black" strokeweight="1pt">
                    <v:textbox inset="2.88pt,2.88pt,2.88pt,2.88pt">
                      <w:txbxContent>
                        <w:p w14:paraId="32D9E67F" w14:textId="77777777" w:rsidR="00CE3B2C" w:rsidRPr="001F6397" w:rsidRDefault="00CE3B2C" w:rsidP="007C17A8">
                          <w:pPr>
                            <w:widowControl w:val="0"/>
                            <w:spacing w:before="120"/>
                            <w:jc w:val="center"/>
                            <w:rPr>
                              <w:rFonts w:ascii="Arial" w:hAnsi="Arial"/>
                              <w:color w:val="FFFFFF"/>
                              <w:sz w:val="18"/>
                              <w:szCs w:val="18"/>
                            </w:rPr>
                          </w:pPr>
                          <w:r w:rsidRPr="001F6397">
                            <w:rPr>
                              <w:rFonts w:ascii="Arial" w:hAnsi="Arial"/>
                              <w:color w:val="FFFFFF"/>
                              <w:sz w:val="18"/>
                              <w:szCs w:val="18"/>
                            </w:rPr>
                            <w:t xml:space="preserve">Corporate </w:t>
                          </w:r>
                          <w:r>
                            <w:rPr>
                              <w:rFonts w:ascii="Arial" w:hAnsi="Arial"/>
                              <w:color w:val="FFFFFF"/>
                              <w:sz w:val="18"/>
                              <w:szCs w:val="18"/>
                            </w:rPr>
                            <w:t>p</w:t>
                          </w:r>
                          <w:r w:rsidRPr="001F6397">
                            <w:rPr>
                              <w:rFonts w:ascii="Arial" w:hAnsi="Arial"/>
                              <w:color w:val="FFFFFF"/>
                              <w:sz w:val="18"/>
                              <w:szCs w:val="18"/>
                            </w:rPr>
                            <w:t xml:space="preserve">lan </w:t>
                          </w:r>
                          <w:r>
                            <w:rPr>
                              <w:rFonts w:ascii="Arial" w:hAnsi="Arial"/>
                              <w:color w:val="FFFFFF"/>
                              <w:sz w:val="18"/>
                              <w:szCs w:val="18"/>
                            </w:rPr>
                            <w:br/>
                          </w:r>
                          <w:r w:rsidRPr="001F6397">
                            <w:rPr>
                              <w:rFonts w:ascii="Arial" w:hAnsi="Arial"/>
                              <w:color w:val="FFFFFF"/>
                              <w:sz w:val="18"/>
                              <w:szCs w:val="18"/>
                            </w:rPr>
                            <w:t>(31 August</w:t>
                          </w:r>
                          <w:proofErr w:type="gramStart"/>
                          <w:r w:rsidRPr="001F6397">
                            <w:rPr>
                              <w:rFonts w:ascii="Arial" w:hAnsi="Arial"/>
                              <w:color w:val="FFFFFF"/>
                              <w:sz w:val="18"/>
                              <w:szCs w:val="18"/>
                            </w:rPr>
                            <w:t>)</w:t>
                          </w:r>
                          <w:proofErr w:type="gramEnd"/>
                          <w:r w:rsidRPr="001F6397">
                            <w:rPr>
                              <w:rFonts w:ascii="Arial" w:hAnsi="Arial"/>
                              <w:color w:val="FFFFFF"/>
                              <w:sz w:val="18"/>
                              <w:szCs w:val="18"/>
                            </w:rPr>
                            <w:br/>
                            <w:t>Entity based</w:t>
                          </w:r>
                        </w:p>
                        <w:p w14:paraId="6C6C6B2E" w14:textId="77777777" w:rsidR="00CE3B2C" w:rsidRDefault="00CE3B2C" w:rsidP="007C17A8">
                          <w:pPr>
                            <w:widowControl w:val="0"/>
                            <w:jc w:val="center"/>
                            <w:rPr>
                              <w:color w:val="FFFFFF"/>
                            </w:rPr>
                          </w:pPr>
                          <w:r>
                            <w:rPr>
                              <w:color w:val="FFFFFF"/>
                            </w:rPr>
                            <w:t> </w:t>
                          </w:r>
                        </w:p>
                      </w:txbxContent>
                    </v:textbox>
                  </v:rect>
                  <v:rect id="Rectangle 7" o:spid="_x0000_s1032" style="position:absolute;left:10657;top:10772;width:198;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" filled="f" strokeweight=".5pt">
                    <v:textbox inset="2.88pt,2.88pt,2.88pt,2.88pt">
                      <w:txbxContent>
                        <w:p w14:paraId="1658A3C6" w14:textId="77777777" w:rsidR="00CE3B2C" w:rsidRPr="007C468F" w:rsidRDefault="00CE3B2C" w:rsidP="007C17A8">
                          <w:pPr>
                            <w:widowControl w:val="0"/>
                            <w:spacing w:before="120" w:after="120" w:line="286" w:lineRule="auto"/>
                            <w:rPr>
                              <w:rFonts w:ascii="Arial" w:hAnsi="Arial"/>
                              <w:sz w:val="16"/>
                              <w:szCs w:val="16"/>
                            </w:rPr>
                          </w:pPr>
                          <w:r w:rsidRPr="007C468F">
                            <w:rPr>
                              <w:rFonts w:ascii="Arial" w:hAnsi="Arial"/>
                              <w:sz w:val="16"/>
                              <w:szCs w:val="16"/>
                            </w:rPr>
                            <w:t>Supports Annual Appropriations. Informs senators and members of parliament of the proposed allocations of other resources to government outcomes and programs.</w:t>
                          </w:r>
                        </w:p>
                        <w:p w14:paraId="618F914F" w14:textId="77777777" w:rsidR="00CE3B2C" w:rsidRPr="007C468F" w:rsidRDefault="00CE3B2C" w:rsidP="007C17A8">
                          <w:pPr>
                            <w:widowControl w:val="0"/>
                            <w:spacing w:before="120" w:after="120" w:line="286" w:lineRule="auto"/>
                            <w:rPr>
                              <w:rFonts w:ascii="Arial" w:hAnsi="Arial"/>
                              <w:sz w:val="16"/>
                              <w:szCs w:val="16"/>
                            </w:rPr>
                          </w:pPr>
                          <w:r w:rsidRPr="007C468F">
                            <w:rPr>
                              <w:rFonts w:ascii="Arial" w:hAnsi="Arial"/>
                              <w:sz w:val="16"/>
                              <w:szCs w:val="16"/>
                            </w:rPr>
                            <w:t>Provides links to relevant programs</w:t>
                          </w:r>
                          <w:r w:rsidRPr="007C468F">
                            <w:rPr>
                              <w:rFonts w:ascii="Arial" w:hAnsi="Arial"/>
                              <w:sz w:val="16"/>
                              <w:szCs w:val="16"/>
                            </w:rPr>
                            <w:br/>
                            <w:t>undertaken by other Commonwealth</w:t>
                          </w:r>
                          <w:r w:rsidRPr="007C468F">
                            <w:rPr>
                              <w:rFonts w:ascii="Arial" w:hAnsi="Arial"/>
                              <w:sz w:val="16"/>
                              <w:szCs w:val="16"/>
                            </w:rPr>
                            <w:br/>
                            <w:t>entities.</w:t>
                          </w:r>
                        </w:p>
                        <w:p w14:paraId="5BC66E3F" w14:textId="77777777" w:rsidR="00CE3B2C" w:rsidRPr="007C468F" w:rsidRDefault="00CE3B2C" w:rsidP="007C17A8">
                          <w:pPr>
                            <w:widowControl w:val="0"/>
                            <w:spacing w:before="120" w:after="120" w:line="286" w:lineRule="auto"/>
                            <w:rPr>
                              <w:rFonts w:ascii="Arial" w:hAnsi="Arial"/>
                              <w:sz w:val="16"/>
                              <w:szCs w:val="16"/>
                            </w:rPr>
                          </w:pPr>
                          <w:r w:rsidRPr="007C468F">
                            <w:rPr>
                              <w:rFonts w:ascii="Arial" w:hAnsi="Arial"/>
                              <w:sz w:val="16"/>
                              <w:szCs w:val="16"/>
                            </w:rPr>
                            <w:t>Provides high-level performance</w:t>
                          </w:r>
                          <w:r w:rsidRPr="007C468F">
                            <w:rPr>
                              <w:rFonts w:ascii="Arial" w:hAnsi="Arial"/>
                              <w:sz w:val="16"/>
                              <w:szCs w:val="16"/>
                            </w:rPr>
                            <w:br/>
                            <w:t>information for current, ongoing programs.</w:t>
                          </w:r>
                        </w:p>
                        <w:p w14:paraId="66804BF7" w14:textId="77777777" w:rsidR="00CE3B2C" w:rsidRDefault="00CE3B2C" w:rsidP="007C17A8">
                          <w:pPr>
                            <w:widowControl w:val="0"/>
                            <w:spacing w:before="120" w:after="120" w:line="286" w:lineRule="auto"/>
                            <w:rPr>
                              <w:rFonts w:ascii="Arial" w:hAnsi="Arial"/>
                              <w:sz w:val="16"/>
                              <w:szCs w:val="16"/>
                            </w:rPr>
                          </w:pPr>
                          <w:r w:rsidRPr="007C468F">
                            <w:rPr>
                              <w:rFonts w:ascii="Arial" w:hAnsi="Arial"/>
                              <w:sz w:val="16"/>
                              <w:szCs w:val="16"/>
                            </w:rPr>
                            <w:t>Provides detailed performance information for proposed new budget measures that require a new program or significantly change an existing program.</w:t>
                          </w:r>
                        </w:p>
                        <w:p w14:paraId="62EF1DD7" w14:textId="77777777" w:rsidR="00CE3B2C" w:rsidRPr="007C468F" w:rsidRDefault="00CE3B2C" w:rsidP="007C17A8">
                          <w:pPr>
                            <w:widowControl w:val="0"/>
                            <w:spacing w:before="120" w:after="120" w:line="286" w:lineRule="auto"/>
                            <w:rPr>
                              <w:rFonts w:ascii="Arial" w:hAnsi="Arial"/>
                              <w:sz w:val="16"/>
                              <w:szCs w:val="16"/>
                            </w:rPr>
                          </w:pPr>
                          <w:r>
                            <w:rPr>
                              <w:rFonts w:ascii="Arial" w:hAnsi="Arial"/>
                              <w:sz w:val="16"/>
                              <w:szCs w:val="16"/>
                            </w:rPr>
                            <w:t>Links to the corporate plan through reporting key activities.</w:t>
                          </w:r>
                        </w:p>
                      </w:txbxContent>
                    </v:textbox>
                  </v:rect>
                  <v:rect id="Rectangle 8" o:spid="_x0000_s1033" style="position:absolute;left:10909;top:10772;width:198;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" filled="f" strokeweight=".5pt">
                    <v:textbox inset="2.88pt,2.88pt,2.88pt,2.88pt">
                      <w:txbxContent>
                        <w:p w14:paraId="0A58BC84" w14:textId="77777777" w:rsidR="00CE3B2C" w:rsidRPr="00504A49" w:rsidRDefault="00CE3B2C" w:rsidP="007C17A8">
                          <w:pPr>
                            <w:widowControl w:val="0"/>
                            <w:spacing w:before="120" w:after="120" w:line="286" w:lineRule="auto"/>
                            <w:rPr>
                              <w:rFonts w:ascii="Arial" w:hAnsi="Arial"/>
                              <w:sz w:val="16"/>
                              <w:szCs w:val="16"/>
                            </w:rPr>
                          </w:pPr>
                          <w:r w:rsidRPr="00504A49">
                            <w:rPr>
                              <w:rFonts w:ascii="Arial" w:hAnsi="Arial"/>
                              <w:sz w:val="16"/>
                              <w:szCs w:val="16"/>
                            </w:rPr>
                            <w:t>Primary planning document of a</w:t>
                          </w:r>
                          <w:r w:rsidRPr="00504A49">
                            <w:rPr>
                              <w:rFonts w:ascii="Arial" w:hAnsi="Arial"/>
                              <w:sz w:val="16"/>
                              <w:szCs w:val="16"/>
                            </w:rPr>
                            <w:br/>
                            <w:t>Commonwealth entity.</w:t>
                          </w:r>
                        </w:p>
                        <w:p w14:paraId="0944CDA7" w14:textId="77777777" w:rsidR="00CE3B2C" w:rsidRPr="00504A49" w:rsidRDefault="00CE3B2C" w:rsidP="007C17A8">
                          <w:pPr>
                            <w:widowControl w:val="0"/>
                            <w:spacing w:before="120" w:after="120" w:line="286" w:lineRule="auto"/>
                            <w:rPr>
                              <w:rFonts w:ascii="Arial" w:hAnsi="Arial"/>
                              <w:sz w:val="16"/>
                              <w:szCs w:val="16"/>
                            </w:rPr>
                          </w:pPr>
                          <w:r w:rsidRPr="00504A49">
                            <w:rPr>
                              <w:rFonts w:ascii="Arial" w:hAnsi="Arial"/>
                              <w:sz w:val="16"/>
                              <w:szCs w:val="16"/>
                            </w:rPr>
                            <w:t>Sets out the purposes of the entity and the key activities it will undertake to achieve its purposes over a minimum</w:t>
                          </w:r>
                          <w:r>
                            <w:rPr>
                              <w:rFonts w:ascii="Arial" w:hAnsi="Arial"/>
                              <w:sz w:val="16"/>
                              <w:szCs w:val="16"/>
                            </w:rPr>
                            <w:br/>
                          </w:r>
                          <w:r w:rsidRPr="00504A49">
                            <w:rPr>
                              <w:rFonts w:ascii="Arial" w:hAnsi="Arial"/>
                              <w:sz w:val="16"/>
                              <w:szCs w:val="16"/>
                            </w:rPr>
                            <w:t>4-year period.</w:t>
                          </w:r>
                        </w:p>
                        <w:p w14:paraId="2F922DE6" w14:textId="77777777" w:rsidR="00CE3B2C" w:rsidRPr="00504A49" w:rsidRDefault="00CE3B2C" w:rsidP="007C17A8">
                          <w:pPr>
                            <w:widowControl w:val="0"/>
                            <w:spacing w:before="120" w:after="120" w:line="286" w:lineRule="auto"/>
                            <w:rPr>
                              <w:rFonts w:ascii="Arial" w:hAnsi="Arial"/>
                              <w:sz w:val="16"/>
                              <w:szCs w:val="16"/>
                            </w:rPr>
                          </w:pPr>
                          <w:r w:rsidRPr="00504A49">
                            <w:rPr>
                              <w:rFonts w:ascii="Arial" w:hAnsi="Arial"/>
                              <w:sz w:val="16"/>
                              <w:szCs w:val="16"/>
                            </w:rPr>
                            <w:t>Describes the environment in which the entity operates, the capability it requires to undertake its key activities, its risk oversight and management systems including key risks and how those are managed, and how it will cooperate with others, including any subsidiaries, to achieve its purposes.</w:t>
                          </w:r>
                        </w:p>
                        <w:p w14:paraId="15F7AD2B" w14:textId="77777777" w:rsidR="00CE3B2C" w:rsidRPr="00504A49" w:rsidRDefault="00CE3B2C" w:rsidP="007C17A8">
                          <w:pPr>
                            <w:widowControl w:val="0"/>
                            <w:spacing w:before="120" w:after="120" w:line="286" w:lineRule="auto"/>
                            <w:rPr>
                              <w:rFonts w:ascii="Arial" w:hAnsi="Arial"/>
                              <w:sz w:val="16"/>
                              <w:szCs w:val="16"/>
                            </w:rPr>
                          </w:pPr>
                          <w:r w:rsidRPr="00504A49">
                            <w:rPr>
                              <w:rFonts w:ascii="Arial" w:hAnsi="Arial"/>
                              <w:sz w:val="16"/>
                              <w:szCs w:val="16"/>
                            </w:rPr>
                            <w:t>Explains how the entity’s performance will be measured and assessed.</w:t>
                          </w:r>
                        </w:p>
                      </w:txbxContent>
                    </v:textbox>
                  </v:rect>
                  <v:shapetype id="_x0000_t32" coordsize="21600,21600" o:spt="32" o:oned="t" path="m,l21600,21600e" filled="f">
                    <v:path arrowok="t" fillok="f" o:connecttype="none"/>
                    <o:lock v:ext="edit" shapetype="t"/>
                  </v:shapetype>
                  <v:shape id="AutoShape 9" o:spid="_x0000_s1034" type="#_x0000_t32" style="position:absolute;left:10854;top:10863;width: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" strokeweight="1.25pt">
                    <v:stroke startarrow="block" endarrow="block"/>
                  </v:shape>
                  <v:rect id="Rectangle 10" o:spid="_x0000_s1035" style="position:absolute;left:10702;top:11047;width:360;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" fillcolor="black" strokeweight="1pt">
                    <v:textbox inset="2.88pt,2.88pt,2.88pt,2.88pt">
                      <w:txbxContent>
                        <w:p w14:paraId="59BB1194" w14:textId="77777777" w:rsidR="00CE3B2C" w:rsidRPr="001F6397" w:rsidRDefault="00CE3B2C" w:rsidP="007C17A8">
                          <w:pPr>
                            <w:widowControl w:val="0"/>
                            <w:spacing w:before="120"/>
                            <w:jc w:val="center"/>
                            <w:rPr>
                              <w:color w:val="FFFFFF"/>
                              <w:sz w:val="18"/>
                              <w:szCs w:val="18"/>
                            </w:rPr>
                          </w:pPr>
                          <w:r w:rsidRPr="001F6397">
                            <w:rPr>
                              <w:rFonts w:ascii="Arial" w:hAnsi="Arial"/>
                              <w:color w:val="FFFFFF"/>
                              <w:sz w:val="18"/>
                              <w:szCs w:val="18"/>
                            </w:rPr>
                            <w:t xml:space="preserve">Annual </w:t>
                          </w:r>
                          <w:r>
                            <w:rPr>
                              <w:rFonts w:ascii="Arial" w:hAnsi="Arial"/>
                              <w:color w:val="FFFFFF"/>
                              <w:sz w:val="18"/>
                              <w:szCs w:val="18"/>
                            </w:rPr>
                            <w:t>p</w:t>
                          </w:r>
                          <w:r w:rsidRPr="001F6397">
                            <w:rPr>
                              <w:rFonts w:ascii="Arial" w:hAnsi="Arial"/>
                              <w:color w:val="FFFFFF"/>
                              <w:sz w:val="18"/>
                              <w:szCs w:val="18"/>
                            </w:rPr>
                            <w:t xml:space="preserve">erformance </w:t>
                          </w:r>
                          <w:r>
                            <w:rPr>
                              <w:rFonts w:ascii="Arial" w:hAnsi="Arial"/>
                              <w:color w:val="FFFFFF"/>
                              <w:sz w:val="18"/>
                              <w:szCs w:val="18"/>
                            </w:rPr>
                            <w:t>s</w:t>
                          </w:r>
                          <w:r w:rsidRPr="001F6397">
                            <w:rPr>
                              <w:rFonts w:ascii="Arial" w:hAnsi="Arial"/>
                              <w:color w:val="FFFFFF"/>
                              <w:sz w:val="18"/>
                              <w:szCs w:val="18"/>
                            </w:rPr>
                            <w:t xml:space="preserve">tatements </w:t>
                          </w:r>
                          <w:r>
                            <w:rPr>
                              <w:rFonts w:ascii="Arial" w:hAnsi="Arial"/>
                              <w:color w:val="FFFFFF"/>
                              <w:sz w:val="18"/>
                              <w:szCs w:val="18"/>
                            </w:rPr>
                            <w:br/>
                          </w:r>
                          <w:r w:rsidRPr="001F6397">
                            <w:rPr>
                              <w:rFonts w:ascii="Arial" w:hAnsi="Arial"/>
                              <w:color w:val="FFFFFF"/>
                              <w:sz w:val="18"/>
                              <w:szCs w:val="18"/>
                            </w:rPr>
                            <w:t>(October following year</w:t>
                          </w:r>
                          <w:proofErr w:type="gramStart"/>
                          <w:r w:rsidRPr="001F6397">
                            <w:rPr>
                              <w:rFonts w:ascii="Arial" w:hAnsi="Arial"/>
                              <w:color w:val="FFFFFF"/>
                              <w:sz w:val="18"/>
                              <w:szCs w:val="18"/>
                            </w:rPr>
                            <w:t>)</w:t>
                          </w:r>
                          <w:proofErr w:type="gramEnd"/>
                          <w:r w:rsidRPr="001F6397">
                            <w:rPr>
                              <w:rFonts w:ascii="Arial" w:hAnsi="Arial"/>
                              <w:i/>
                              <w:iCs/>
                              <w:color w:val="FFFFFF"/>
                              <w:sz w:val="18"/>
                              <w:szCs w:val="18"/>
                            </w:rPr>
                            <w:br/>
                          </w:r>
                          <w:r w:rsidRPr="001F6397">
                            <w:rPr>
                              <w:rFonts w:ascii="Arial" w:hAnsi="Arial"/>
                              <w:color w:val="FFFFFF"/>
                              <w:sz w:val="18"/>
                              <w:szCs w:val="18"/>
                            </w:rPr>
                            <w:t>Entity based</w:t>
                          </w:r>
                        </w:p>
                        <w:p w14:paraId="789E3520" w14:textId="77777777" w:rsidR="00CE3B2C" w:rsidRDefault="00CE3B2C" w:rsidP="007C17A8">
                          <w:pPr>
                            <w:widowControl w:val="0"/>
                            <w:jc w:val="center"/>
                            <w:rPr>
                              <w:color w:val="FFFFFF"/>
                            </w:rPr>
                          </w:pPr>
                          <w:r>
                            <w:rPr>
                              <w:color w:val="FFFFFF"/>
                            </w:rPr>
                            <w:t> </w:t>
                          </w:r>
                        </w:p>
                      </w:txbxContent>
                    </v:textbox>
                  </v:rect>
                  <v:rect id="Rectangle 11" o:spid="_x0000_s1036" style="position:absolute;left:10702;top:11104;width:360;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" filled="f" strokeweight=".5pt">
                    <v:textbox inset="2.88pt,2.88pt,2.88pt,2.88pt">
                      <w:txbxContent>
                        <w:p w14:paraId="68690F13" w14:textId="77777777" w:rsidR="00CE3B2C" w:rsidRPr="00504A49" w:rsidRDefault="00CE3B2C" w:rsidP="007C17A8">
                          <w:pPr>
                            <w:widowControl w:val="0"/>
                            <w:spacing w:before="120" w:after="120" w:line="286" w:lineRule="auto"/>
                            <w:rPr>
                              <w:rFonts w:ascii="Arial" w:hAnsi="Arial"/>
                              <w:sz w:val="16"/>
                              <w:szCs w:val="16"/>
                            </w:rPr>
                          </w:pPr>
                          <w:r w:rsidRPr="00504A49">
                            <w:rPr>
                              <w:rFonts w:ascii="Arial" w:hAnsi="Arial"/>
                              <w:sz w:val="16"/>
                              <w:szCs w:val="16"/>
                            </w:rPr>
                            <w:t xml:space="preserve">Included in the Commonwealth entity’s annual report. </w:t>
                          </w:r>
                        </w:p>
                        <w:p w14:paraId="21742EE3" w14:textId="77777777" w:rsidR="00CE3B2C" w:rsidRPr="00504A49" w:rsidRDefault="00CE3B2C" w:rsidP="007C17A8">
                          <w:pPr>
                            <w:widowControl w:val="0"/>
                            <w:spacing w:before="120" w:after="120" w:line="286" w:lineRule="auto"/>
                            <w:rPr>
                              <w:rFonts w:ascii="Arial" w:hAnsi="Arial"/>
                              <w:sz w:val="16"/>
                              <w:szCs w:val="16"/>
                            </w:rPr>
                          </w:pPr>
                          <w:r w:rsidRPr="00504A49">
                            <w:rPr>
                              <w:rFonts w:ascii="Arial" w:hAnsi="Arial"/>
                              <w:sz w:val="16"/>
                              <w:szCs w:val="16"/>
                            </w:rPr>
                            <w:t>Reports on the actual performance results for the reporting year as set out in the corporate plan and Portfolio Budget Statements.</w:t>
                          </w:r>
                        </w:p>
                        <w:p w14:paraId="01376BEC" w14:textId="77777777" w:rsidR="00CE3B2C" w:rsidRPr="00504A49" w:rsidRDefault="00CE3B2C" w:rsidP="007C17A8">
                          <w:pPr>
                            <w:widowControl w:val="0"/>
                            <w:spacing w:before="120" w:after="120" w:line="286" w:lineRule="auto"/>
                            <w:rPr>
                              <w:rFonts w:ascii="Arial" w:hAnsi="Arial"/>
                              <w:sz w:val="16"/>
                              <w:szCs w:val="16"/>
                            </w:rPr>
                          </w:pPr>
                          <w:r w:rsidRPr="00504A49">
                            <w:rPr>
                              <w:rFonts w:ascii="Arial" w:hAnsi="Arial"/>
                              <w:sz w:val="16"/>
                              <w:szCs w:val="16"/>
                            </w:rPr>
                            <w:t>Provides an analysis of the factors that may have contributed to the entity’s</w:t>
                          </w:r>
                          <w:r w:rsidRPr="00504A49">
                            <w:rPr>
                              <w:rFonts w:ascii="Arial" w:hAnsi="Arial"/>
                              <w:sz w:val="16"/>
                              <w:szCs w:val="16"/>
                            </w:rPr>
                            <w:br/>
                            <w:t>performance results.</w:t>
                          </w:r>
                        </w:p>
                      </w:txbxContent>
                    </v:textbox>
                  </v:rect>
                  <v:shape id="AutoShape 12" o:spid="_x0000_s1037" type="#_x0000_t32" style="position:absolute;left:10753;top:11009;width:0;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" strokeweight="1.25pt"/>
                  <v:shape id="AutoShape 14" o:spid="_x0000_s1038" type="#_x0000_t32" style="position:absolute;left:10752;top:11027;width:2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" strokeweight="1.25pt"/>
                  <v:shape id="AutoShape 15" o:spid="_x0000_s1039" type="#_x0000_t32" style="position:absolute;left:10884;top:11027;width:0;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" strokeweight="1.25pt">
                    <v:stroke endarrow="block"/>
                  </v:shape>
                </v:group>
                <v:shape id="AutoShape 12" o:spid="_x0000_s1040" type="#_x0000_t32" style="position:absolute;left:36785;top:43560;width:0;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" strokeweight="1.25pt"/>
              </v:group>
            </w:pict>
          </mc:Fallback>
        </mc:AlternateContent>
      </w:r>
      <w:r w:rsidR="0063046F">
        <w:br w:type="page"/>
      </w:r>
      <w:bookmarkStart w:id="191" w:name="_Toc51689728"/>
      <w:bookmarkStart w:id="192" w:name="_Toc51689826"/>
      <w:bookmarkStart w:id="193" w:name="_Toc51690294"/>
      <w:bookmarkStart w:id="194" w:name="_Toc51690406"/>
      <w:bookmarkStart w:id="195" w:name="_Toc51690634"/>
      <w:bookmarkStart w:id="196" w:name="_Toc51690772"/>
      <w:bookmarkStart w:id="197" w:name="_Toc51690901"/>
      <w:bookmarkStart w:id="198" w:name="_Toc51691144"/>
      <w:bookmarkStart w:id="199" w:name="_Toc51691347"/>
      <w:bookmarkStart w:id="200" w:name="_Toc51691664"/>
      <w:bookmarkStart w:id="201" w:name="_Toc65150728"/>
      <w:bookmarkStart w:id="202" w:name="_Toc69729033"/>
      <w:bookmarkStart w:id="203" w:name="_Toc69913608"/>
      <w:bookmarkStart w:id="204" w:name="_Toc69917827"/>
      <w:bookmarkStart w:id="205" w:name="_Toc97747816"/>
      <w:bookmarkStart w:id="206" w:name="_Toc97809649"/>
      <w:bookmarkStart w:id="207" w:name="_Toc108088927"/>
      <w:bookmarkStart w:id="208" w:name="_Toc108089006"/>
      <w:bookmarkStart w:id="209" w:name="_Toc108089401"/>
      <w:bookmarkStart w:id="210" w:name="_Toc108089681"/>
      <w:bookmarkStart w:id="211" w:name="_Toc109227286"/>
      <w:bookmarkStart w:id="212" w:name="_Toc109227723"/>
      <w:bookmarkStart w:id="213" w:name="_Toc158896239"/>
      <w:bookmarkStart w:id="214" w:name="_Toc158896296"/>
      <w:bookmarkStart w:id="215" w:name="_Toc159499670"/>
      <w:bookmarkStart w:id="216" w:name="_Toc159499956"/>
      <w:bookmarkStart w:id="217" w:name="_Toc159857667"/>
      <w:bookmarkStart w:id="218" w:name="_Toc159857746"/>
      <w:bookmarkStart w:id="219" w:name="_Toc159858142"/>
      <w:bookmarkStart w:id="220" w:name="_Toc159858413"/>
      <w:bookmarkStart w:id="221" w:name="_Toc159858807"/>
      <w:bookmarkStart w:id="222" w:name="_Toc159858877"/>
      <w:bookmarkStart w:id="223" w:name="_Toc159859087"/>
      <w:bookmarkStart w:id="224" w:name="_Toc159859239"/>
      <w:bookmarkStart w:id="225" w:name="_Toc159862277"/>
      <w:bookmarkStart w:id="226" w:name="_Toc159862467"/>
    </w:p>
    <w:p w14:paraId="751A557C" w14:textId="77777777" w:rsidR="0027406D" w:rsidRDefault="0027406D" w:rsidP="0063046F">
      <w:pPr>
        <w:pStyle w:val="heading1level2"/>
        <w:jc w:val="left"/>
      </w:pPr>
    </w:p>
    <w:p w14:paraId="0E4E761A" w14:textId="77777777" w:rsidR="0063046F" w:rsidRPr="00F94CEB" w:rsidRDefault="0063046F" w:rsidP="0063046F">
      <w:pPr>
        <w:pStyle w:val="heading1level2"/>
        <w:jc w:val="left"/>
        <w:rPr>
          <w:rFonts w:ascii="Calibri" w:hAnsi="Calibri" w:cs="Times New Roman"/>
          <w:b w:val="0"/>
          <w:caps/>
          <w:noProof/>
          <w:sz w:val="22"/>
          <w:szCs w:val="22"/>
          <w:lang w:val="en-AU"/>
        </w:rPr>
      </w:pPr>
      <w:r w:rsidRPr="00B56FAA">
        <w:rPr>
          <w:smallCaps w:val="0"/>
          <w:sz w:val="36"/>
          <w:szCs w:val="36"/>
        </w:rPr>
        <w:t>Contents</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sidRPr="00D25882">
        <w:rPr>
          <w:rFonts w:ascii="Arial" w:hAnsi="Arial"/>
        </w:rPr>
        <w:fldChar w:fldCharType="begin"/>
      </w:r>
      <w:r w:rsidRPr="00D25882">
        <w:rPr>
          <w:rFonts w:ascii="Arial" w:hAnsi="Arial"/>
        </w:rPr>
        <w:instrText xml:space="preserve"> TOC \o "1-4" \h \z \u </w:instrText>
      </w:r>
      <w:r w:rsidRPr="00D25882">
        <w:rPr>
          <w:rFonts w:ascii="Arial" w:hAnsi="Arial"/>
        </w:rPr>
        <w:fldChar w:fldCharType="separate"/>
      </w:r>
    </w:p>
    <w:p w14:paraId="73158741" w14:textId="12D1CAF2" w:rsidR="0063046F" w:rsidRPr="00F94CEB" w:rsidRDefault="00004E68" w:rsidP="0063046F">
      <w:pPr>
        <w:pStyle w:val="TOC2"/>
        <w:rPr>
          <w:rFonts w:ascii="Calibri" w:hAnsi="Calibri" w:cs="Times New Roman"/>
          <w:b w:val="0"/>
          <w:caps w:val="0"/>
          <w:sz w:val="22"/>
          <w:szCs w:val="22"/>
          <w:lang w:val="en-AU"/>
        </w:rPr>
      </w:pPr>
      <w:hyperlink w:anchor="_Toc159859240" w:history="1">
        <w:r w:rsidR="0063046F" w:rsidRPr="004D15D1">
          <w:rPr>
            <w:rStyle w:val="Hyperlink"/>
          </w:rPr>
          <w:t>Portfolio Overview</w:t>
        </w:r>
        <w:r w:rsidR="0063046F">
          <w:rPr>
            <w:webHidden/>
          </w:rPr>
          <w:tab/>
        </w:r>
        <w:r w:rsidR="0063046F">
          <w:rPr>
            <w:webHidden/>
          </w:rPr>
          <w:fldChar w:fldCharType="begin"/>
        </w:r>
        <w:r w:rsidR="0063046F">
          <w:rPr>
            <w:webHidden/>
          </w:rPr>
          <w:instrText xml:space="preserve"> PAGEREF _Toc159859240 \h </w:instrText>
        </w:r>
        <w:r w:rsidR="0063046F">
          <w:rPr>
            <w:webHidden/>
          </w:rPr>
        </w:r>
        <w:r w:rsidR="0063046F">
          <w:rPr>
            <w:webHidden/>
          </w:rPr>
          <w:fldChar w:fldCharType="separate"/>
        </w:r>
        <w:r w:rsidR="002533F1">
          <w:rPr>
            <w:webHidden/>
          </w:rPr>
          <w:t>1</w:t>
        </w:r>
        <w:r w:rsidR="0063046F">
          <w:rPr>
            <w:webHidden/>
          </w:rPr>
          <w:fldChar w:fldCharType="end"/>
        </w:r>
      </w:hyperlink>
    </w:p>
    <w:p w14:paraId="1BF2B137" w14:textId="1571A7A5" w:rsidR="0063046F" w:rsidRPr="003625B8" w:rsidRDefault="00004E68" w:rsidP="0063046F">
      <w:pPr>
        <w:pStyle w:val="TOC3"/>
        <w:rPr>
          <w:rStyle w:val="Hyperlink"/>
          <w:iCs/>
          <w:color w:val="auto"/>
        </w:rPr>
      </w:pPr>
      <w:hyperlink w:anchor="_Toc159859241" w:history="1">
        <w:r w:rsidR="0063046F" w:rsidRPr="003625B8">
          <w:rPr>
            <w:rStyle w:val="Hyperlink"/>
            <w:iCs/>
            <w:color w:val="auto"/>
          </w:rPr>
          <w:t>Ministers and their Portfolio Responsibilities</w:t>
        </w:r>
        <w:r w:rsidR="0063046F" w:rsidRPr="003625B8">
          <w:rPr>
            <w:rStyle w:val="Hyperlink"/>
            <w:iCs/>
            <w:webHidden/>
            <w:color w:val="auto"/>
          </w:rPr>
          <w:tab/>
        </w:r>
        <w:r w:rsidR="0063046F" w:rsidRPr="003625B8">
          <w:rPr>
            <w:rStyle w:val="Hyperlink"/>
            <w:iCs/>
            <w:webHidden/>
            <w:color w:val="auto"/>
          </w:rPr>
          <w:fldChar w:fldCharType="begin"/>
        </w:r>
        <w:r w:rsidR="0063046F" w:rsidRPr="003625B8">
          <w:rPr>
            <w:rStyle w:val="Hyperlink"/>
            <w:iCs/>
            <w:webHidden/>
            <w:color w:val="auto"/>
          </w:rPr>
          <w:instrText xml:space="preserve"> PAGEREF _Toc159859241 \h </w:instrText>
        </w:r>
        <w:r w:rsidR="0063046F" w:rsidRPr="003625B8">
          <w:rPr>
            <w:rStyle w:val="Hyperlink"/>
            <w:iCs/>
            <w:webHidden/>
            <w:color w:val="auto"/>
          </w:rPr>
        </w:r>
        <w:r w:rsidR="0063046F" w:rsidRPr="003625B8">
          <w:rPr>
            <w:rStyle w:val="Hyperlink"/>
            <w:iCs/>
            <w:webHidden/>
            <w:color w:val="auto"/>
          </w:rPr>
          <w:fldChar w:fldCharType="separate"/>
        </w:r>
        <w:r w:rsidR="002533F1">
          <w:rPr>
            <w:rStyle w:val="Hyperlink"/>
            <w:iCs/>
            <w:webHidden/>
            <w:color w:val="auto"/>
          </w:rPr>
          <w:t>3</w:t>
        </w:r>
        <w:r w:rsidR="0063046F" w:rsidRPr="003625B8">
          <w:rPr>
            <w:rStyle w:val="Hyperlink"/>
            <w:iCs/>
            <w:webHidden/>
            <w:color w:val="auto"/>
          </w:rPr>
          <w:fldChar w:fldCharType="end"/>
        </w:r>
      </w:hyperlink>
    </w:p>
    <w:p w14:paraId="48855456" w14:textId="65E80F19" w:rsidR="0063046F" w:rsidRPr="003625B8" w:rsidRDefault="00004E68" w:rsidP="0063046F">
      <w:pPr>
        <w:pStyle w:val="TOC3"/>
        <w:rPr>
          <w:rStyle w:val="Hyperlink"/>
          <w:iCs/>
          <w:color w:val="auto"/>
        </w:rPr>
      </w:pPr>
      <w:hyperlink w:anchor="_Toc159859242" w:history="1">
        <w:r w:rsidR="0063046F" w:rsidRPr="003625B8">
          <w:rPr>
            <w:rStyle w:val="Hyperlink"/>
            <w:iCs/>
            <w:color w:val="auto"/>
          </w:rPr>
          <w:t>The Defence Portfolio</w:t>
        </w:r>
        <w:r w:rsidR="0063046F" w:rsidRPr="003625B8">
          <w:rPr>
            <w:rStyle w:val="Hyperlink"/>
            <w:iCs/>
            <w:webHidden/>
            <w:color w:val="auto"/>
          </w:rPr>
          <w:tab/>
        </w:r>
        <w:r w:rsidR="0063046F" w:rsidRPr="003625B8">
          <w:rPr>
            <w:rStyle w:val="Hyperlink"/>
            <w:iCs/>
            <w:webHidden/>
            <w:color w:val="auto"/>
          </w:rPr>
          <w:fldChar w:fldCharType="begin"/>
        </w:r>
        <w:r w:rsidR="0063046F" w:rsidRPr="003625B8">
          <w:rPr>
            <w:rStyle w:val="Hyperlink"/>
            <w:iCs/>
            <w:webHidden/>
            <w:color w:val="auto"/>
          </w:rPr>
          <w:instrText xml:space="preserve"> PAGEREF _Toc159859242 \h </w:instrText>
        </w:r>
        <w:r w:rsidR="0063046F" w:rsidRPr="003625B8">
          <w:rPr>
            <w:rStyle w:val="Hyperlink"/>
            <w:iCs/>
            <w:webHidden/>
            <w:color w:val="auto"/>
          </w:rPr>
        </w:r>
        <w:r w:rsidR="0063046F" w:rsidRPr="003625B8">
          <w:rPr>
            <w:rStyle w:val="Hyperlink"/>
            <w:iCs/>
            <w:webHidden/>
            <w:color w:val="auto"/>
          </w:rPr>
          <w:fldChar w:fldCharType="separate"/>
        </w:r>
        <w:r w:rsidR="002533F1">
          <w:rPr>
            <w:rStyle w:val="Hyperlink"/>
            <w:iCs/>
            <w:webHidden/>
            <w:color w:val="auto"/>
          </w:rPr>
          <w:t>3</w:t>
        </w:r>
        <w:r w:rsidR="0063046F" w:rsidRPr="003625B8">
          <w:rPr>
            <w:rStyle w:val="Hyperlink"/>
            <w:iCs/>
            <w:webHidden/>
            <w:color w:val="auto"/>
          </w:rPr>
          <w:fldChar w:fldCharType="end"/>
        </w:r>
      </w:hyperlink>
    </w:p>
    <w:p w14:paraId="3E013A6A" w14:textId="01BE2C25" w:rsidR="0063046F" w:rsidRPr="003625B8" w:rsidRDefault="00004E68" w:rsidP="0063046F">
      <w:pPr>
        <w:pStyle w:val="TOC3"/>
        <w:rPr>
          <w:rStyle w:val="Hyperlink"/>
          <w:iCs/>
          <w:color w:val="auto"/>
        </w:rPr>
      </w:pPr>
      <w:hyperlink w:anchor="_Toc159859243" w:history="1">
        <w:r w:rsidR="0063046F" w:rsidRPr="003625B8">
          <w:rPr>
            <w:rStyle w:val="Hyperlink"/>
            <w:iCs/>
            <w:color w:val="auto"/>
          </w:rPr>
          <w:t>Portfolio Structure and Outcomes</w:t>
        </w:r>
        <w:r w:rsidR="0063046F" w:rsidRPr="003625B8">
          <w:rPr>
            <w:rStyle w:val="Hyperlink"/>
            <w:iCs/>
            <w:webHidden/>
            <w:color w:val="auto"/>
          </w:rPr>
          <w:tab/>
        </w:r>
        <w:r w:rsidR="0063046F" w:rsidRPr="003625B8">
          <w:rPr>
            <w:rStyle w:val="Hyperlink"/>
            <w:iCs/>
            <w:webHidden/>
            <w:color w:val="auto"/>
          </w:rPr>
          <w:fldChar w:fldCharType="begin"/>
        </w:r>
        <w:r w:rsidR="0063046F" w:rsidRPr="003625B8">
          <w:rPr>
            <w:rStyle w:val="Hyperlink"/>
            <w:iCs/>
            <w:webHidden/>
            <w:color w:val="auto"/>
          </w:rPr>
          <w:instrText xml:space="preserve"> PAGEREF _Toc159859243 \h </w:instrText>
        </w:r>
        <w:r w:rsidR="0063046F" w:rsidRPr="003625B8">
          <w:rPr>
            <w:rStyle w:val="Hyperlink"/>
            <w:iCs/>
            <w:webHidden/>
            <w:color w:val="auto"/>
          </w:rPr>
        </w:r>
        <w:r w:rsidR="0063046F" w:rsidRPr="003625B8">
          <w:rPr>
            <w:rStyle w:val="Hyperlink"/>
            <w:iCs/>
            <w:webHidden/>
            <w:color w:val="auto"/>
          </w:rPr>
          <w:fldChar w:fldCharType="separate"/>
        </w:r>
        <w:r w:rsidR="002533F1">
          <w:rPr>
            <w:rStyle w:val="Hyperlink"/>
            <w:iCs/>
            <w:webHidden/>
            <w:color w:val="auto"/>
          </w:rPr>
          <w:t>5</w:t>
        </w:r>
        <w:r w:rsidR="0063046F" w:rsidRPr="003625B8">
          <w:rPr>
            <w:rStyle w:val="Hyperlink"/>
            <w:iCs/>
            <w:webHidden/>
            <w:color w:val="auto"/>
          </w:rPr>
          <w:fldChar w:fldCharType="end"/>
        </w:r>
      </w:hyperlink>
    </w:p>
    <w:p w14:paraId="502ABFCF" w14:textId="33EED528" w:rsidR="0063046F" w:rsidRPr="00F94CEB" w:rsidRDefault="00004E68" w:rsidP="0063046F">
      <w:pPr>
        <w:pStyle w:val="TOC2"/>
        <w:rPr>
          <w:rFonts w:ascii="Calibri" w:hAnsi="Calibri" w:cs="Times New Roman"/>
          <w:b w:val="0"/>
          <w:caps w:val="0"/>
          <w:sz w:val="22"/>
          <w:szCs w:val="22"/>
          <w:lang w:val="en-AU"/>
        </w:rPr>
      </w:pPr>
      <w:hyperlink w:anchor="_Toc159859244" w:history="1">
        <w:r w:rsidR="0063046F" w:rsidRPr="003625B8">
          <w:rPr>
            <w:rStyle w:val="Hyperlink"/>
            <w:color w:val="auto"/>
          </w:rPr>
          <w:t>Defence</w:t>
        </w:r>
        <w:r w:rsidR="0063046F" w:rsidRPr="003625B8">
          <w:rPr>
            <w:webHidden/>
          </w:rPr>
          <w:tab/>
        </w:r>
        <w:r w:rsidR="0063046F" w:rsidRPr="003625B8">
          <w:rPr>
            <w:webHidden/>
          </w:rPr>
          <w:fldChar w:fldCharType="begin"/>
        </w:r>
        <w:r w:rsidR="0063046F" w:rsidRPr="003625B8">
          <w:rPr>
            <w:webHidden/>
          </w:rPr>
          <w:instrText xml:space="preserve"> PAGEREF _Toc159859244 \h </w:instrText>
        </w:r>
        <w:r w:rsidR="0063046F" w:rsidRPr="003625B8">
          <w:rPr>
            <w:webHidden/>
          </w:rPr>
        </w:r>
        <w:r w:rsidR="0063046F" w:rsidRPr="003625B8">
          <w:rPr>
            <w:webHidden/>
          </w:rPr>
          <w:fldChar w:fldCharType="separate"/>
        </w:r>
        <w:r w:rsidR="002533F1">
          <w:rPr>
            <w:webHidden/>
          </w:rPr>
          <w:t>9</w:t>
        </w:r>
        <w:r w:rsidR="0063046F" w:rsidRPr="003625B8">
          <w:rPr>
            <w:webHidden/>
          </w:rPr>
          <w:fldChar w:fldCharType="end"/>
        </w:r>
      </w:hyperlink>
    </w:p>
    <w:p w14:paraId="130D5719" w14:textId="43AD6FFB" w:rsidR="0063046F" w:rsidRPr="00F94CEB" w:rsidRDefault="00004E68" w:rsidP="0063046F">
      <w:pPr>
        <w:pStyle w:val="TOC3"/>
        <w:rPr>
          <w:rFonts w:ascii="Calibri" w:hAnsi="Calibri" w:cs="Times New Roman"/>
          <w:sz w:val="22"/>
          <w:szCs w:val="22"/>
          <w:lang w:val="en-AU"/>
        </w:rPr>
      </w:pPr>
      <w:hyperlink w:anchor="_Toc159859245" w:history="1">
        <w:r w:rsidR="0063046F" w:rsidRPr="001A686F">
          <w:rPr>
            <w:rStyle w:val="Hyperlink"/>
            <w:b/>
            <w:color w:val="auto"/>
          </w:rPr>
          <w:t>Section 1: Defence Overview and Resources</w:t>
        </w:r>
        <w:r w:rsidR="0063046F" w:rsidRPr="001A686F">
          <w:rPr>
            <w:webHidden/>
          </w:rPr>
          <w:tab/>
        </w:r>
        <w:r w:rsidR="0063046F" w:rsidRPr="00E960B0">
          <w:rPr>
            <w:b/>
            <w:webHidden/>
          </w:rPr>
          <w:fldChar w:fldCharType="begin"/>
        </w:r>
        <w:r w:rsidR="0063046F" w:rsidRPr="00E960B0">
          <w:rPr>
            <w:b/>
            <w:webHidden/>
          </w:rPr>
          <w:instrText xml:space="preserve"> PAGEREF _Toc159859245 \h </w:instrText>
        </w:r>
        <w:r w:rsidR="0063046F" w:rsidRPr="00E960B0">
          <w:rPr>
            <w:b/>
            <w:webHidden/>
          </w:rPr>
        </w:r>
        <w:r w:rsidR="0063046F" w:rsidRPr="00E960B0">
          <w:rPr>
            <w:b/>
            <w:webHidden/>
          </w:rPr>
          <w:fldChar w:fldCharType="separate"/>
        </w:r>
        <w:r w:rsidR="002533F1">
          <w:rPr>
            <w:b/>
            <w:webHidden/>
          </w:rPr>
          <w:t>11</w:t>
        </w:r>
        <w:r w:rsidR="0063046F" w:rsidRPr="00E960B0">
          <w:rPr>
            <w:b/>
            <w:webHidden/>
          </w:rPr>
          <w:fldChar w:fldCharType="end"/>
        </w:r>
      </w:hyperlink>
    </w:p>
    <w:p w14:paraId="01D306F8" w14:textId="2A20D2B4" w:rsidR="0063046F" w:rsidRPr="003625B8" w:rsidRDefault="00004E68" w:rsidP="0063046F">
      <w:pPr>
        <w:pStyle w:val="TOC3"/>
        <w:rPr>
          <w:rStyle w:val="Hyperlink"/>
          <w:iCs/>
          <w:color w:val="auto"/>
        </w:rPr>
      </w:pPr>
      <w:hyperlink w:anchor="_Toc159859246" w:history="1">
        <w:r w:rsidR="0063046F" w:rsidRPr="003625B8">
          <w:rPr>
            <w:rStyle w:val="Hyperlink"/>
            <w:iCs/>
            <w:color w:val="auto"/>
          </w:rPr>
          <w:t>1.1 Strategic Direction Statement</w:t>
        </w:r>
        <w:r w:rsidR="0063046F" w:rsidRPr="003625B8">
          <w:rPr>
            <w:rStyle w:val="Hyperlink"/>
            <w:iCs/>
            <w:webHidden/>
            <w:color w:val="auto"/>
          </w:rPr>
          <w:tab/>
        </w:r>
        <w:r w:rsidR="0063046F" w:rsidRPr="003625B8">
          <w:rPr>
            <w:rStyle w:val="Hyperlink"/>
            <w:iCs/>
            <w:webHidden/>
            <w:color w:val="auto"/>
          </w:rPr>
          <w:fldChar w:fldCharType="begin"/>
        </w:r>
        <w:r w:rsidR="0063046F" w:rsidRPr="003625B8">
          <w:rPr>
            <w:rStyle w:val="Hyperlink"/>
            <w:iCs/>
            <w:webHidden/>
            <w:color w:val="auto"/>
          </w:rPr>
          <w:instrText xml:space="preserve"> PAGEREF _Toc159859246 \h </w:instrText>
        </w:r>
        <w:r w:rsidR="0063046F" w:rsidRPr="003625B8">
          <w:rPr>
            <w:rStyle w:val="Hyperlink"/>
            <w:iCs/>
            <w:webHidden/>
            <w:color w:val="auto"/>
          </w:rPr>
        </w:r>
        <w:r w:rsidR="0063046F" w:rsidRPr="003625B8">
          <w:rPr>
            <w:rStyle w:val="Hyperlink"/>
            <w:iCs/>
            <w:webHidden/>
            <w:color w:val="auto"/>
          </w:rPr>
          <w:fldChar w:fldCharType="separate"/>
        </w:r>
        <w:r w:rsidR="002533F1">
          <w:rPr>
            <w:rStyle w:val="Hyperlink"/>
            <w:iCs/>
            <w:webHidden/>
            <w:color w:val="auto"/>
          </w:rPr>
          <w:t>11</w:t>
        </w:r>
        <w:r w:rsidR="0063046F" w:rsidRPr="003625B8">
          <w:rPr>
            <w:rStyle w:val="Hyperlink"/>
            <w:iCs/>
            <w:webHidden/>
            <w:color w:val="auto"/>
          </w:rPr>
          <w:fldChar w:fldCharType="end"/>
        </w:r>
      </w:hyperlink>
    </w:p>
    <w:p w14:paraId="17BF0401" w14:textId="18EAB91B" w:rsidR="0063046F" w:rsidRPr="003625B8" w:rsidRDefault="00004E68" w:rsidP="0063046F">
      <w:pPr>
        <w:pStyle w:val="TOC3"/>
        <w:rPr>
          <w:rStyle w:val="Hyperlink"/>
          <w:iCs/>
          <w:color w:val="auto"/>
        </w:rPr>
      </w:pPr>
      <w:hyperlink w:anchor="_Toc159859247" w:history="1">
        <w:r w:rsidR="0063046F" w:rsidRPr="003625B8">
          <w:rPr>
            <w:rStyle w:val="Hyperlink"/>
            <w:iCs/>
            <w:color w:val="auto"/>
          </w:rPr>
          <w:t>1.2 Defence Resource Statement</w:t>
        </w:r>
        <w:r w:rsidR="0063046F" w:rsidRPr="003625B8">
          <w:rPr>
            <w:rStyle w:val="Hyperlink"/>
            <w:iCs/>
            <w:webHidden/>
            <w:color w:val="auto"/>
          </w:rPr>
          <w:tab/>
        </w:r>
        <w:r w:rsidR="0063046F" w:rsidRPr="003625B8">
          <w:rPr>
            <w:rStyle w:val="Hyperlink"/>
            <w:iCs/>
            <w:webHidden/>
            <w:color w:val="auto"/>
          </w:rPr>
          <w:fldChar w:fldCharType="begin"/>
        </w:r>
        <w:r w:rsidR="0063046F" w:rsidRPr="003625B8">
          <w:rPr>
            <w:rStyle w:val="Hyperlink"/>
            <w:iCs/>
            <w:webHidden/>
            <w:color w:val="auto"/>
          </w:rPr>
          <w:instrText xml:space="preserve"> PAGEREF _Toc159859247 \h </w:instrText>
        </w:r>
        <w:r w:rsidR="0063046F" w:rsidRPr="003625B8">
          <w:rPr>
            <w:rStyle w:val="Hyperlink"/>
            <w:iCs/>
            <w:webHidden/>
            <w:color w:val="auto"/>
          </w:rPr>
        </w:r>
        <w:r w:rsidR="0063046F" w:rsidRPr="003625B8">
          <w:rPr>
            <w:rStyle w:val="Hyperlink"/>
            <w:iCs/>
            <w:webHidden/>
            <w:color w:val="auto"/>
          </w:rPr>
          <w:fldChar w:fldCharType="separate"/>
        </w:r>
        <w:r w:rsidR="002533F1">
          <w:rPr>
            <w:rStyle w:val="Hyperlink"/>
            <w:iCs/>
            <w:webHidden/>
            <w:color w:val="auto"/>
          </w:rPr>
          <w:t>15</w:t>
        </w:r>
        <w:r w:rsidR="0063046F" w:rsidRPr="003625B8">
          <w:rPr>
            <w:rStyle w:val="Hyperlink"/>
            <w:iCs/>
            <w:webHidden/>
            <w:color w:val="auto"/>
          </w:rPr>
          <w:fldChar w:fldCharType="end"/>
        </w:r>
      </w:hyperlink>
    </w:p>
    <w:p w14:paraId="16095EC7" w14:textId="69B63BC0" w:rsidR="0063046F" w:rsidRPr="003625B8" w:rsidRDefault="00004E68" w:rsidP="0063046F">
      <w:pPr>
        <w:pStyle w:val="TOC3"/>
        <w:rPr>
          <w:rStyle w:val="Hyperlink"/>
          <w:iCs/>
          <w:color w:val="auto"/>
        </w:rPr>
      </w:pPr>
      <w:hyperlink w:anchor="_Toc159859248" w:history="1">
        <w:r w:rsidR="0063046F" w:rsidRPr="003625B8">
          <w:rPr>
            <w:rStyle w:val="Hyperlink"/>
            <w:iCs/>
            <w:color w:val="auto"/>
          </w:rPr>
          <w:t>1.3 Budget Measures</w:t>
        </w:r>
        <w:r w:rsidR="0063046F" w:rsidRPr="003625B8">
          <w:rPr>
            <w:rStyle w:val="Hyperlink"/>
            <w:iCs/>
            <w:webHidden/>
            <w:color w:val="auto"/>
          </w:rPr>
          <w:tab/>
        </w:r>
        <w:r w:rsidR="0063046F" w:rsidRPr="003625B8">
          <w:rPr>
            <w:rStyle w:val="Hyperlink"/>
            <w:iCs/>
            <w:webHidden/>
            <w:color w:val="auto"/>
          </w:rPr>
          <w:fldChar w:fldCharType="begin"/>
        </w:r>
        <w:r w:rsidR="0063046F" w:rsidRPr="003625B8">
          <w:rPr>
            <w:rStyle w:val="Hyperlink"/>
            <w:iCs/>
            <w:webHidden/>
            <w:color w:val="auto"/>
          </w:rPr>
          <w:instrText xml:space="preserve"> PAGEREF _Toc159859248 \h </w:instrText>
        </w:r>
        <w:r w:rsidR="0063046F" w:rsidRPr="003625B8">
          <w:rPr>
            <w:rStyle w:val="Hyperlink"/>
            <w:iCs/>
            <w:webHidden/>
            <w:color w:val="auto"/>
          </w:rPr>
        </w:r>
        <w:r w:rsidR="0063046F" w:rsidRPr="003625B8">
          <w:rPr>
            <w:rStyle w:val="Hyperlink"/>
            <w:iCs/>
            <w:webHidden/>
            <w:color w:val="auto"/>
          </w:rPr>
          <w:fldChar w:fldCharType="separate"/>
        </w:r>
        <w:r w:rsidR="002533F1">
          <w:rPr>
            <w:rStyle w:val="Hyperlink"/>
            <w:iCs/>
            <w:webHidden/>
            <w:color w:val="auto"/>
          </w:rPr>
          <w:t>16</w:t>
        </w:r>
        <w:r w:rsidR="0063046F" w:rsidRPr="003625B8">
          <w:rPr>
            <w:rStyle w:val="Hyperlink"/>
            <w:iCs/>
            <w:webHidden/>
            <w:color w:val="auto"/>
          </w:rPr>
          <w:fldChar w:fldCharType="end"/>
        </w:r>
      </w:hyperlink>
    </w:p>
    <w:p w14:paraId="0085BC8F" w14:textId="253DC5A7" w:rsidR="0063046F" w:rsidRPr="003625B8" w:rsidRDefault="00004E68" w:rsidP="0063046F">
      <w:pPr>
        <w:pStyle w:val="TOC3"/>
        <w:rPr>
          <w:rStyle w:val="Hyperlink"/>
          <w:iCs/>
          <w:color w:val="auto"/>
        </w:rPr>
      </w:pPr>
      <w:hyperlink w:anchor="_Toc159859249" w:history="1">
        <w:r w:rsidR="0063046F" w:rsidRPr="003625B8">
          <w:rPr>
            <w:rStyle w:val="Hyperlink"/>
            <w:iCs/>
            <w:color w:val="auto"/>
          </w:rPr>
          <w:t>1.4 Key Cost Category Estimates</w:t>
        </w:r>
        <w:r w:rsidR="0063046F" w:rsidRPr="003625B8">
          <w:rPr>
            <w:rStyle w:val="Hyperlink"/>
            <w:iCs/>
            <w:webHidden/>
            <w:color w:val="auto"/>
          </w:rPr>
          <w:tab/>
        </w:r>
        <w:r w:rsidR="0063046F" w:rsidRPr="003625B8">
          <w:rPr>
            <w:rStyle w:val="Hyperlink"/>
            <w:iCs/>
            <w:webHidden/>
            <w:color w:val="auto"/>
          </w:rPr>
          <w:fldChar w:fldCharType="begin"/>
        </w:r>
        <w:r w:rsidR="0063046F" w:rsidRPr="003625B8">
          <w:rPr>
            <w:rStyle w:val="Hyperlink"/>
            <w:iCs/>
            <w:webHidden/>
            <w:color w:val="auto"/>
          </w:rPr>
          <w:instrText xml:space="preserve"> PAGEREF _Toc159859249 \h </w:instrText>
        </w:r>
        <w:r w:rsidR="0063046F" w:rsidRPr="003625B8">
          <w:rPr>
            <w:rStyle w:val="Hyperlink"/>
            <w:iCs/>
            <w:webHidden/>
            <w:color w:val="auto"/>
          </w:rPr>
        </w:r>
        <w:r w:rsidR="0063046F" w:rsidRPr="003625B8">
          <w:rPr>
            <w:rStyle w:val="Hyperlink"/>
            <w:iCs/>
            <w:webHidden/>
            <w:color w:val="auto"/>
          </w:rPr>
          <w:fldChar w:fldCharType="separate"/>
        </w:r>
        <w:r w:rsidR="002533F1">
          <w:rPr>
            <w:rStyle w:val="Hyperlink"/>
            <w:iCs/>
            <w:webHidden/>
            <w:color w:val="auto"/>
          </w:rPr>
          <w:t>18</w:t>
        </w:r>
        <w:r w:rsidR="0063046F" w:rsidRPr="003625B8">
          <w:rPr>
            <w:rStyle w:val="Hyperlink"/>
            <w:iCs/>
            <w:webHidden/>
            <w:color w:val="auto"/>
          </w:rPr>
          <w:fldChar w:fldCharType="end"/>
        </w:r>
      </w:hyperlink>
    </w:p>
    <w:p w14:paraId="259F5945" w14:textId="6A74D6E6" w:rsidR="0063046F" w:rsidRPr="003625B8" w:rsidRDefault="00004E68" w:rsidP="0063046F">
      <w:pPr>
        <w:pStyle w:val="TOC3"/>
        <w:rPr>
          <w:rStyle w:val="Hyperlink"/>
          <w:iCs/>
          <w:color w:val="auto"/>
        </w:rPr>
      </w:pPr>
      <w:hyperlink w:anchor="_Toc159859250" w:history="1">
        <w:r w:rsidR="0063046F" w:rsidRPr="003625B8">
          <w:rPr>
            <w:rStyle w:val="Hyperlink"/>
            <w:iCs/>
            <w:color w:val="auto"/>
          </w:rPr>
          <w:t>1.5 People</w:t>
        </w:r>
        <w:r w:rsidR="0063046F" w:rsidRPr="003625B8">
          <w:rPr>
            <w:rStyle w:val="Hyperlink"/>
            <w:iCs/>
            <w:webHidden/>
            <w:color w:val="auto"/>
          </w:rPr>
          <w:tab/>
        </w:r>
        <w:r w:rsidR="0063046F" w:rsidRPr="003625B8">
          <w:rPr>
            <w:rStyle w:val="Hyperlink"/>
            <w:iCs/>
            <w:webHidden/>
            <w:color w:val="auto"/>
          </w:rPr>
          <w:tab/>
        </w:r>
        <w:r w:rsidR="0063046F" w:rsidRPr="003625B8">
          <w:rPr>
            <w:rStyle w:val="Hyperlink"/>
            <w:iCs/>
            <w:webHidden/>
            <w:color w:val="auto"/>
          </w:rPr>
          <w:fldChar w:fldCharType="begin"/>
        </w:r>
        <w:r w:rsidR="0063046F" w:rsidRPr="003625B8">
          <w:rPr>
            <w:rStyle w:val="Hyperlink"/>
            <w:iCs/>
            <w:webHidden/>
            <w:color w:val="auto"/>
          </w:rPr>
          <w:instrText xml:space="preserve"> PAGEREF _Toc159859250 \h </w:instrText>
        </w:r>
        <w:r w:rsidR="0063046F" w:rsidRPr="003625B8">
          <w:rPr>
            <w:rStyle w:val="Hyperlink"/>
            <w:iCs/>
            <w:webHidden/>
            <w:color w:val="auto"/>
          </w:rPr>
        </w:r>
        <w:r w:rsidR="0063046F" w:rsidRPr="003625B8">
          <w:rPr>
            <w:rStyle w:val="Hyperlink"/>
            <w:iCs/>
            <w:webHidden/>
            <w:color w:val="auto"/>
          </w:rPr>
          <w:fldChar w:fldCharType="separate"/>
        </w:r>
        <w:r w:rsidR="002533F1">
          <w:rPr>
            <w:rStyle w:val="Hyperlink"/>
            <w:iCs/>
            <w:webHidden/>
            <w:color w:val="auto"/>
          </w:rPr>
          <w:t>20</w:t>
        </w:r>
        <w:r w:rsidR="0063046F" w:rsidRPr="003625B8">
          <w:rPr>
            <w:rStyle w:val="Hyperlink"/>
            <w:iCs/>
            <w:webHidden/>
            <w:color w:val="auto"/>
          </w:rPr>
          <w:fldChar w:fldCharType="end"/>
        </w:r>
      </w:hyperlink>
    </w:p>
    <w:p w14:paraId="6D30830F" w14:textId="7FBC2BFA" w:rsidR="0063046F" w:rsidRPr="00F94CEB" w:rsidRDefault="00004E68" w:rsidP="0063046F">
      <w:pPr>
        <w:pStyle w:val="TOC3"/>
        <w:rPr>
          <w:rFonts w:ascii="Calibri" w:hAnsi="Calibri" w:cs="Times New Roman"/>
          <w:sz w:val="22"/>
          <w:szCs w:val="22"/>
          <w:lang w:val="en-AU"/>
        </w:rPr>
      </w:pPr>
      <w:hyperlink w:anchor="_Toc159859252" w:history="1">
        <w:r w:rsidR="0063046F" w:rsidRPr="004D15D1">
          <w:rPr>
            <w:rStyle w:val="Hyperlink"/>
            <w:b/>
          </w:rPr>
          <w:t>Section 2: Defence Outcomes and Planned Performance</w:t>
        </w:r>
        <w:r w:rsidR="0063046F">
          <w:rPr>
            <w:webHidden/>
          </w:rPr>
          <w:tab/>
        </w:r>
        <w:r w:rsidR="0063046F" w:rsidRPr="00E960B0">
          <w:rPr>
            <w:b/>
            <w:webHidden/>
          </w:rPr>
          <w:fldChar w:fldCharType="begin"/>
        </w:r>
        <w:r w:rsidR="0063046F" w:rsidRPr="00E960B0">
          <w:rPr>
            <w:b/>
            <w:webHidden/>
          </w:rPr>
          <w:instrText xml:space="preserve"> PAGEREF _Toc159859252 \h </w:instrText>
        </w:r>
        <w:r w:rsidR="0063046F" w:rsidRPr="00E960B0">
          <w:rPr>
            <w:b/>
            <w:webHidden/>
          </w:rPr>
        </w:r>
        <w:r w:rsidR="0063046F" w:rsidRPr="00E960B0">
          <w:rPr>
            <w:b/>
            <w:webHidden/>
          </w:rPr>
          <w:fldChar w:fldCharType="separate"/>
        </w:r>
        <w:r w:rsidR="002533F1">
          <w:rPr>
            <w:b/>
            <w:webHidden/>
          </w:rPr>
          <w:t>24</w:t>
        </w:r>
        <w:r w:rsidR="0063046F" w:rsidRPr="00E960B0">
          <w:rPr>
            <w:b/>
            <w:webHidden/>
          </w:rPr>
          <w:fldChar w:fldCharType="end"/>
        </w:r>
      </w:hyperlink>
    </w:p>
    <w:p w14:paraId="7920B75E" w14:textId="29F94F77" w:rsidR="0063046F" w:rsidRPr="00DE34A4" w:rsidRDefault="00004E68" w:rsidP="0063046F">
      <w:pPr>
        <w:pStyle w:val="TOC3"/>
        <w:rPr>
          <w:rStyle w:val="Hyperlink"/>
          <w:iCs/>
          <w:color w:val="auto"/>
        </w:rPr>
      </w:pPr>
      <w:hyperlink w:anchor="_Toc159859253" w:history="1">
        <w:r w:rsidR="0063046F" w:rsidRPr="00DE34A4">
          <w:rPr>
            <w:rStyle w:val="Hyperlink"/>
            <w:iCs/>
            <w:color w:val="auto"/>
          </w:rPr>
          <w:t>2.1 Budget Expenses and Performance for Outcome 1</w:t>
        </w:r>
        <w:r w:rsidR="0063046F" w:rsidRPr="00DE34A4">
          <w:rPr>
            <w:rStyle w:val="Hyperlink"/>
            <w:iCs/>
            <w:webHidden/>
            <w:color w:val="auto"/>
          </w:rPr>
          <w:tab/>
        </w:r>
        <w:r w:rsidR="0063046F" w:rsidRPr="00DE34A4">
          <w:rPr>
            <w:rStyle w:val="Hyperlink"/>
            <w:iCs/>
            <w:webHidden/>
            <w:color w:val="auto"/>
          </w:rPr>
          <w:fldChar w:fldCharType="begin"/>
        </w:r>
        <w:r w:rsidR="0063046F" w:rsidRPr="00DE34A4">
          <w:rPr>
            <w:rStyle w:val="Hyperlink"/>
            <w:iCs/>
            <w:webHidden/>
            <w:color w:val="auto"/>
          </w:rPr>
          <w:instrText xml:space="preserve"> PAGEREF _Toc159859253 \h </w:instrText>
        </w:r>
        <w:r w:rsidR="0063046F" w:rsidRPr="00DE34A4">
          <w:rPr>
            <w:rStyle w:val="Hyperlink"/>
            <w:iCs/>
            <w:webHidden/>
            <w:color w:val="auto"/>
          </w:rPr>
        </w:r>
        <w:r w:rsidR="0063046F" w:rsidRPr="00DE34A4">
          <w:rPr>
            <w:rStyle w:val="Hyperlink"/>
            <w:iCs/>
            <w:webHidden/>
            <w:color w:val="auto"/>
          </w:rPr>
          <w:fldChar w:fldCharType="separate"/>
        </w:r>
        <w:r w:rsidR="002533F1">
          <w:rPr>
            <w:rStyle w:val="Hyperlink"/>
            <w:iCs/>
            <w:webHidden/>
            <w:color w:val="auto"/>
          </w:rPr>
          <w:t>27</w:t>
        </w:r>
        <w:r w:rsidR="0063046F" w:rsidRPr="00DE34A4">
          <w:rPr>
            <w:rStyle w:val="Hyperlink"/>
            <w:iCs/>
            <w:webHidden/>
            <w:color w:val="auto"/>
          </w:rPr>
          <w:fldChar w:fldCharType="end"/>
        </w:r>
      </w:hyperlink>
    </w:p>
    <w:p w14:paraId="77277C5E" w14:textId="624B0B79" w:rsidR="0063046F" w:rsidRPr="00DE34A4" w:rsidRDefault="00004E68" w:rsidP="0063046F">
      <w:pPr>
        <w:pStyle w:val="TOC3"/>
        <w:rPr>
          <w:rStyle w:val="Hyperlink"/>
          <w:iCs/>
          <w:color w:val="auto"/>
        </w:rPr>
      </w:pPr>
      <w:hyperlink w:anchor="_Toc159859254" w:history="1">
        <w:r w:rsidR="0063046F" w:rsidRPr="00DE34A4">
          <w:rPr>
            <w:rStyle w:val="Hyperlink"/>
            <w:iCs/>
            <w:color w:val="auto"/>
          </w:rPr>
          <w:t>2.2 Budget Expenses and Performance for Outcome 2</w:t>
        </w:r>
        <w:r w:rsidR="0063046F" w:rsidRPr="00DE34A4">
          <w:rPr>
            <w:rStyle w:val="Hyperlink"/>
            <w:iCs/>
            <w:webHidden/>
            <w:color w:val="auto"/>
          </w:rPr>
          <w:tab/>
        </w:r>
        <w:r w:rsidR="0063046F" w:rsidRPr="00DE34A4">
          <w:rPr>
            <w:rStyle w:val="Hyperlink"/>
            <w:iCs/>
            <w:webHidden/>
            <w:color w:val="auto"/>
          </w:rPr>
          <w:fldChar w:fldCharType="begin"/>
        </w:r>
        <w:r w:rsidR="0063046F" w:rsidRPr="00DE34A4">
          <w:rPr>
            <w:rStyle w:val="Hyperlink"/>
            <w:iCs/>
            <w:webHidden/>
            <w:color w:val="auto"/>
          </w:rPr>
          <w:instrText xml:space="preserve"> PAGEREF _Toc159859254 \h </w:instrText>
        </w:r>
        <w:r w:rsidR="0063046F" w:rsidRPr="00DE34A4">
          <w:rPr>
            <w:rStyle w:val="Hyperlink"/>
            <w:iCs/>
            <w:webHidden/>
            <w:color w:val="auto"/>
          </w:rPr>
        </w:r>
        <w:r w:rsidR="0063046F" w:rsidRPr="00DE34A4">
          <w:rPr>
            <w:rStyle w:val="Hyperlink"/>
            <w:iCs/>
            <w:webHidden/>
            <w:color w:val="auto"/>
          </w:rPr>
          <w:fldChar w:fldCharType="separate"/>
        </w:r>
        <w:r w:rsidR="002533F1">
          <w:rPr>
            <w:rStyle w:val="Hyperlink"/>
            <w:iCs/>
            <w:webHidden/>
            <w:color w:val="auto"/>
          </w:rPr>
          <w:t>37</w:t>
        </w:r>
        <w:r w:rsidR="0063046F" w:rsidRPr="00DE34A4">
          <w:rPr>
            <w:rStyle w:val="Hyperlink"/>
            <w:iCs/>
            <w:webHidden/>
            <w:color w:val="auto"/>
          </w:rPr>
          <w:fldChar w:fldCharType="end"/>
        </w:r>
      </w:hyperlink>
    </w:p>
    <w:p w14:paraId="40DB1FA7" w14:textId="1454E496" w:rsidR="0063046F" w:rsidRPr="00B42BAF" w:rsidRDefault="00004E68" w:rsidP="0063046F">
      <w:pPr>
        <w:pStyle w:val="TOC3"/>
        <w:rPr>
          <w:rFonts w:ascii="Calibri" w:hAnsi="Calibri" w:cs="Times New Roman"/>
          <w:b/>
          <w:sz w:val="22"/>
          <w:szCs w:val="22"/>
          <w:lang w:val="en-AU"/>
        </w:rPr>
      </w:pPr>
      <w:hyperlink w:anchor="_Toc159859255" w:history="1">
        <w:r w:rsidR="0063046F" w:rsidRPr="00B42BAF">
          <w:rPr>
            <w:rStyle w:val="Hyperlink"/>
            <w:b/>
          </w:rPr>
          <w:t>Section 3: Defence Budgeted Financial Statements</w:t>
        </w:r>
        <w:r w:rsidR="0063046F" w:rsidRPr="00B42BAF">
          <w:rPr>
            <w:b/>
            <w:webHidden/>
          </w:rPr>
          <w:tab/>
        </w:r>
        <w:r w:rsidR="0063046F" w:rsidRPr="00B42BAF">
          <w:rPr>
            <w:b/>
            <w:webHidden/>
          </w:rPr>
          <w:fldChar w:fldCharType="begin"/>
        </w:r>
        <w:r w:rsidR="0063046F" w:rsidRPr="00B42BAF">
          <w:rPr>
            <w:b/>
            <w:webHidden/>
          </w:rPr>
          <w:instrText xml:space="preserve"> PAGEREF _Toc159859255 \h </w:instrText>
        </w:r>
        <w:r w:rsidR="0063046F" w:rsidRPr="00B42BAF">
          <w:rPr>
            <w:b/>
            <w:webHidden/>
          </w:rPr>
        </w:r>
        <w:r w:rsidR="0063046F" w:rsidRPr="00B42BAF">
          <w:rPr>
            <w:b/>
            <w:webHidden/>
          </w:rPr>
          <w:fldChar w:fldCharType="separate"/>
        </w:r>
        <w:r w:rsidR="002533F1">
          <w:rPr>
            <w:b/>
            <w:webHidden/>
          </w:rPr>
          <w:t>103</w:t>
        </w:r>
        <w:r w:rsidR="0063046F" w:rsidRPr="00B42BAF">
          <w:rPr>
            <w:b/>
            <w:webHidden/>
          </w:rPr>
          <w:fldChar w:fldCharType="end"/>
        </w:r>
      </w:hyperlink>
    </w:p>
    <w:p w14:paraId="315A2D19" w14:textId="2A52C213" w:rsidR="0063046F" w:rsidRPr="00DE34A4" w:rsidRDefault="00004E68" w:rsidP="0063046F">
      <w:pPr>
        <w:pStyle w:val="TOC3"/>
        <w:rPr>
          <w:rStyle w:val="Hyperlink"/>
          <w:iCs/>
          <w:color w:val="auto"/>
        </w:rPr>
      </w:pPr>
      <w:hyperlink w:anchor="_Toc159859256" w:history="1">
        <w:r w:rsidR="0063046F" w:rsidRPr="00DE34A4">
          <w:rPr>
            <w:rStyle w:val="Hyperlink"/>
            <w:iCs/>
            <w:color w:val="auto"/>
          </w:rPr>
          <w:t>3.1 Grants</w:t>
        </w:r>
        <w:r w:rsidR="0063046F" w:rsidRPr="00DE34A4">
          <w:rPr>
            <w:rStyle w:val="Hyperlink"/>
            <w:iCs/>
            <w:webHidden/>
            <w:color w:val="auto"/>
          </w:rPr>
          <w:tab/>
        </w:r>
        <w:r w:rsidR="0063046F" w:rsidRPr="00DE34A4">
          <w:rPr>
            <w:rStyle w:val="Hyperlink"/>
            <w:iCs/>
            <w:webHidden/>
            <w:color w:val="auto"/>
          </w:rPr>
          <w:tab/>
        </w:r>
        <w:r w:rsidR="0063046F" w:rsidRPr="00DE34A4">
          <w:rPr>
            <w:rStyle w:val="Hyperlink"/>
            <w:iCs/>
            <w:webHidden/>
            <w:color w:val="auto"/>
          </w:rPr>
          <w:fldChar w:fldCharType="begin"/>
        </w:r>
        <w:r w:rsidR="0063046F" w:rsidRPr="00DE34A4">
          <w:rPr>
            <w:rStyle w:val="Hyperlink"/>
            <w:iCs/>
            <w:webHidden/>
            <w:color w:val="auto"/>
          </w:rPr>
          <w:instrText xml:space="preserve"> PAGEREF _Toc159859256 \h </w:instrText>
        </w:r>
        <w:r w:rsidR="0063046F" w:rsidRPr="00DE34A4">
          <w:rPr>
            <w:rStyle w:val="Hyperlink"/>
            <w:iCs/>
            <w:webHidden/>
            <w:color w:val="auto"/>
          </w:rPr>
        </w:r>
        <w:r w:rsidR="0063046F" w:rsidRPr="00DE34A4">
          <w:rPr>
            <w:rStyle w:val="Hyperlink"/>
            <w:iCs/>
            <w:webHidden/>
            <w:color w:val="auto"/>
          </w:rPr>
          <w:fldChar w:fldCharType="separate"/>
        </w:r>
        <w:r w:rsidR="002533F1">
          <w:rPr>
            <w:rStyle w:val="Hyperlink"/>
            <w:iCs/>
            <w:webHidden/>
            <w:color w:val="auto"/>
          </w:rPr>
          <w:t>103</w:t>
        </w:r>
        <w:r w:rsidR="0063046F" w:rsidRPr="00DE34A4">
          <w:rPr>
            <w:rStyle w:val="Hyperlink"/>
            <w:iCs/>
            <w:webHidden/>
            <w:color w:val="auto"/>
          </w:rPr>
          <w:fldChar w:fldCharType="end"/>
        </w:r>
      </w:hyperlink>
    </w:p>
    <w:p w14:paraId="6B80F358" w14:textId="40D8766C" w:rsidR="0063046F" w:rsidRPr="00DE34A4" w:rsidRDefault="00004E68" w:rsidP="0063046F">
      <w:pPr>
        <w:pStyle w:val="TOC3"/>
        <w:rPr>
          <w:rStyle w:val="Hyperlink"/>
          <w:iCs/>
          <w:color w:val="auto"/>
        </w:rPr>
      </w:pPr>
      <w:hyperlink w:anchor="_Toc159859257" w:history="1">
        <w:r w:rsidR="0063046F" w:rsidRPr="00DE34A4">
          <w:rPr>
            <w:rStyle w:val="Hyperlink"/>
            <w:iCs/>
            <w:color w:val="auto"/>
          </w:rPr>
          <w:t>3.2 Resource Summary</w:t>
        </w:r>
        <w:r w:rsidR="0063046F" w:rsidRPr="00DE34A4">
          <w:rPr>
            <w:rStyle w:val="Hyperlink"/>
            <w:iCs/>
            <w:webHidden/>
            <w:color w:val="auto"/>
          </w:rPr>
          <w:tab/>
        </w:r>
        <w:r w:rsidR="0063046F" w:rsidRPr="00DE34A4">
          <w:rPr>
            <w:rStyle w:val="Hyperlink"/>
            <w:iCs/>
            <w:webHidden/>
            <w:color w:val="auto"/>
          </w:rPr>
          <w:fldChar w:fldCharType="begin"/>
        </w:r>
        <w:r w:rsidR="0063046F" w:rsidRPr="00DE34A4">
          <w:rPr>
            <w:rStyle w:val="Hyperlink"/>
            <w:iCs/>
            <w:webHidden/>
            <w:color w:val="auto"/>
          </w:rPr>
          <w:instrText xml:space="preserve"> PAGEREF _Toc159859257 \h </w:instrText>
        </w:r>
        <w:r w:rsidR="0063046F" w:rsidRPr="00DE34A4">
          <w:rPr>
            <w:rStyle w:val="Hyperlink"/>
            <w:iCs/>
            <w:webHidden/>
            <w:color w:val="auto"/>
          </w:rPr>
        </w:r>
        <w:r w:rsidR="0063046F" w:rsidRPr="00DE34A4">
          <w:rPr>
            <w:rStyle w:val="Hyperlink"/>
            <w:iCs/>
            <w:webHidden/>
            <w:color w:val="auto"/>
          </w:rPr>
          <w:fldChar w:fldCharType="separate"/>
        </w:r>
        <w:r w:rsidR="002533F1">
          <w:rPr>
            <w:rStyle w:val="Hyperlink"/>
            <w:iCs/>
            <w:webHidden/>
            <w:color w:val="auto"/>
          </w:rPr>
          <w:t>104</w:t>
        </w:r>
        <w:r w:rsidR="0063046F" w:rsidRPr="00DE34A4">
          <w:rPr>
            <w:rStyle w:val="Hyperlink"/>
            <w:iCs/>
            <w:webHidden/>
            <w:color w:val="auto"/>
          </w:rPr>
          <w:fldChar w:fldCharType="end"/>
        </w:r>
      </w:hyperlink>
    </w:p>
    <w:p w14:paraId="4D0459F3" w14:textId="53E5009F" w:rsidR="0063046F" w:rsidRPr="00DE34A4" w:rsidRDefault="00004E68" w:rsidP="0063046F">
      <w:pPr>
        <w:pStyle w:val="TOC3"/>
        <w:rPr>
          <w:rStyle w:val="Hyperlink"/>
          <w:iCs/>
          <w:color w:val="auto"/>
        </w:rPr>
      </w:pPr>
      <w:hyperlink w:anchor="_Toc159859258" w:history="1">
        <w:r w:rsidR="0063046F" w:rsidRPr="00DE34A4">
          <w:rPr>
            <w:rStyle w:val="Hyperlink"/>
            <w:iCs/>
            <w:color w:val="auto"/>
          </w:rPr>
          <w:t>3.3 Budgeted Financial Statements</w:t>
        </w:r>
        <w:r w:rsidR="0063046F" w:rsidRPr="00DE34A4">
          <w:rPr>
            <w:rStyle w:val="Hyperlink"/>
            <w:iCs/>
            <w:webHidden/>
            <w:color w:val="auto"/>
          </w:rPr>
          <w:tab/>
        </w:r>
        <w:r w:rsidR="0063046F" w:rsidRPr="00DE34A4">
          <w:rPr>
            <w:rStyle w:val="Hyperlink"/>
            <w:iCs/>
            <w:webHidden/>
            <w:color w:val="auto"/>
          </w:rPr>
          <w:fldChar w:fldCharType="begin"/>
        </w:r>
        <w:r w:rsidR="0063046F" w:rsidRPr="00DE34A4">
          <w:rPr>
            <w:rStyle w:val="Hyperlink"/>
            <w:iCs/>
            <w:webHidden/>
            <w:color w:val="auto"/>
          </w:rPr>
          <w:instrText xml:space="preserve"> PAGEREF _Toc159859258 \h </w:instrText>
        </w:r>
        <w:r w:rsidR="0063046F" w:rsidRPr="00DE34A4">
          <w:rPr>
            <w:rStyle w:val="Hyperlink"/>
            <w:iCs/>
            <w:webHidden/>
            <w:color w:val="auto"/>
          </w:rPr>
        </w:r>
        <w:r w:rsidR="0063046F" w:rsidRPr="00DE34A4">
          <w:rPr>
            <w:rStyle w:val="Hyperlink"/>
            <w:iCs/>
            <w:webHidden/>
            <w:color w:val="auto"/>
          </w:rPr>
          <w:fldChar w:fldCharType="separate"/>
        </w:r>
        <w:r w:rsidR="002533F1">
          <w:rPr>
            <w:rStyle w:val="Hyperlink"/>
            <w:iCs/>
            <w:webHidden/>
            <w:color w:val="auto"/>
          </w:rPr>
          <w:t>106</w:t>
        </w:r>
        <w:r w:rsidR="0063046F" w:rsidRPr="00DE34A4">
          <w:rPr>
            <w:rStyle w:val="Hyperlink"/>
            <w:iCs/>
            <w:webHidden/>
            <w:color w:val="auto"/>
          </w:rPr>
          <w:fldChar w:fldCharType="end"/>
        </w:r>
      </w:hyperlink>
    </w:p>
    <w:p w14:paraId="3AFB972B" w14:textId="7E6A69E1" w:rsidR="0063046F" w:rsidRPr="00DE34A4" w:rsidRDefault="00004E68" w:rsidP="0063046F">
      <w:pPr>
        <w:pStyle w:val="TOC2"/>
        <w:rPr>
          <w:rStyle w:val="Hyperlink"/>
          <w:color w:val="auto"/>
        </w:rPr>
      </w:pPr>
      <w:hyperlink w:anchor="_Toc159859259" w:history="1">
        <w:r w:rsidR="0063046F" w:rsidRPr="00DE34A4">
          <w:rPr>
            <w:rStyle w:val="Hyperlink"/>
            <w:color w:val="auto"/>
          </w:rPr>
          <w:t>Appendices</w:t>
        </w:r>
        <w:r w:rsidR="0063046F" w:rsidRPr="00DE34A4">
          <w:rPr>
            <w:rStyle w:val="Hyperlink"/>
            <w:webHidden/>
            <w:color w:val="auto"/>
          </w:rPr>
          <w:tab/>
        </w:r>
        <w:r w:rsidR="0063046F" w:rsidRPr="00DE34A4">
          <w:rPr>
            <w:rStyle w:val="Hyperlink"/>
            <w:webHidden/>
            <w:color w:val="auto"/>
          </w:rPr>
          <w:fldChar w:fldCharType="begin"/>
        </w:r>
        <w:r w:rsidR="0063046F" w:rsidRPr="00DE34A4">
          <w:rPr>
            <w:rStyle w:val="Hyperlink"/>
            <w:webHidden/>
            <w:color w:val="auto"/>
          </w:rPr>
          <w:instrText xml:space="preserve"> PAGEREF _Toc159859259 \h </w:instrText>
        </w:r>
        <w:r w:rsidR="0063046F" w:rsidRPr="00DE34A4">
          <w:rPr>
            <w:rStyle w:val="Hyperlink"/>
            <w:webHidden/>
            <w:color w:val="auto"/>
          </w:rPr>
        </w:r>
        <w:r w:rsidR="0063046F" w:rsidRPr="00DE34A4">
          <w:rPr>
            <w:rStyle w:val="Hyperlink"/>
            <w:webHidden/>
            <w:color w:val="auto"/>
          </w:rPr>
          <w:fldChar w:fldCharType="separate"/>
        </w:r>
        <w:r w:rsidR="002533F1">
          <w:rPr>
            <w:rStyle w:val="Hyperlink"/>
            <w:webHidden/>
            <w:color w:val="auto"/>
          </w:rPr>
          <w:t>117</w:t>
        </w:r>
        <w:r w:rsidR="0063046F" w:rsidRPr="00DE34A4">
          <w:rPr>
            <w:rStyle w:val="Hyperlink"/>
            <w:webHidden/>
            <w:color w:val="auto"/>
          </w:rPr>
          <w:fldChar w:fldCharType="end"/>
        </w:r>
      </w:hyperlink>
    </w:p>
    <w:p w14:paraId="60E328EE" w14:textId="73DDE740" w:rsidR="0063046F" w:rsidRPr="00DE34A4" w:rsidRDefault="00004E68" w:rsidP="0063046F">
      <w:pPr>
        <w:pStyle w:val="TOC3"/>
        <w:rPr>
          <w:rStyle w:val="Hyperlink"/>
          <w:color w:val="auto"/>
        </w:rPr>
      </w:pPr>
      <w:hyperlink w:anchor="_Toc159859260" w:history="1">
        <w:r w:rsidR="0063046F" w:rsidRPr="00DE34A4">
          <w:rPr>
            <w:rStyle w:val="Hyperlink"/>
            <w:color w:val="auto"/>
          </w:rPr>
          <w:t>Appendix A: Defence Cooperation Program</w:t>
        </w:r>
        <w:r w:rsidR="0063046F" w:rsidRPr="00DE34A4">
          <w:rPr>
            <w:rStyle w:val="Hyperlink"/>
            <w:webHidden/>
            <w:color w:val="auto"/>
          </w:rPr>
          <w:tab/>
        </w:r>
        <w:r w:rsidR="0063046F" w:rsidRPr="00DE34A4">
          <w:rPr>
            <w:rStyle w:val="Hyperlink"/>
            <w:webHidden/>
            <w:color w:val="auto"/>
          </w:rPr>
          <w:fldChar w:fldCharType="begin"/>
        </w:r>
        <w:r w:rsidR="0063046F" w:rsidRPr="00DE34A4">
          <w:rPr>
            <w:rStyle w:val="Hyperlink"/>
            <w:webHidden/>
            <w:color w:val="auto"/>
          </w:rPr>
          <w:instrText xml:space="preserve"> PAGEREF _Toc159859260 \h </w:instrText>
        </w:r>
        <w:r w:rsidR="0063046F" w:rsidRPr="00DE34A4">
          <w:rPr>
            <w:rStyle w:val="Hyperlink"/>
            <w:webHidden/>
            <w:color w:val="auto"/>
          </w:rPr>
        </w:r>
        <w:r w:rsidR="0063046F" w:rsidRPr="00DE34A4">
          <w:rPr>
            <w:rStyle w:val="Hyperlink"/>
            <w:webHidden/>
            <w:color w:val="auto"/>
          </w:rPr>
          <w:fldChar w:fldCharType="separate"/>
        </w:r>
        <w:r w:rsidR="002533F1">
          <w:rPr>
            <w:rStyle w:val="Hyperlink"/>
            <w:webHidden/>
            <w:color w:val="auto"/>
          </w:rPr>
          <w:t>118</w:t>
        </w:r>
        <w:r w:rsidR="0063046F" w:rsidRPr="00DE34A4">
          <w:rPr>
            <w:rStyle w:val="Hyperlink"/>
            <w:webHidden/>
            <w:color w:val="auto"/>
          </w:rPr>
          <w:fldChar w:fldCharType="end"/>
        </w:r>
      </w:hyperlink>
    </w:p>
    <w:p w14:paraId="05A62A46" w14:textId="7B9476E7" w:rsidR="0063046F" w:rsidRPr="00DE34A4" w:rsidRDefault="00004E68" w:rsidP="0063046F">
      <w:pPr>
        <w:pStyle w:val="TOC3"/>
        <w:rPr>
          <w:rStyle w:val="Hyperlink"/>
          <w:color w:val="auto"/>
        </w:rPr>
      </w:pPr>
      <w:hyperlink w:anchor="_Toc159859261" w:history="1">
        <w:r w:rsidR="0063046F" w:rsidRPr="00DE34A4">
          <w:rPr>
            <w:rStyle w:val="Hyperlink"/>
            <w:color w:val="auto"/>
          </w:rPr>
          <w:t>Appendix B: Top 30 Military Equipment Acquisition Program Approved Projects</w:t>
        </w:r>
        <w:r w:rsidR="0063046F" w:rsidRPr="00DE34A4">
          <w:rPr>
            <w:rStyle w:val="Hyperlink"/>
            <w:webHidden/>
            <w:color w:val="auto"/>
          </w:rPr>
          <w:tab/>
        </w:r>
        <w:r w:rsidR="0063046F" w:rsidRPr="00DE34A4">
          <w:rPr>
            <w:rStyle w:val="Hyperlink"/>
            <w:webHidden/>
            <w:color w:val="auto"/>
          </w:rPr>
          <w:fldChar w:fldCharType="begin"/>
        </w:r>
        <w:r w:rsidR="0063046F" w:rsidRPr="00DE34A4">
          <w:rPr>
            <w:rStyle w:val="Hyperlink"/>
            <w:webHidden/>
            <w:color w:val="auto"/>
          </w:rPr>
          <w:instrText xml:space="preserve"> PAGEREF _Toc159859261 \h </w:instrText>
        </w:r>
        <w:r w:rsidR="0063046F" w:rsidRPr="00DE34A4">
          <w:rPr>
            <w:rStyle w:val="Hyperlink"/>
            <w:webHidden/>
            <w:color w:val="auto"/>
          </w:rPr>
        </w:r>
        <w:r w:rsidR="0063046F" w:rsidRPr="00DE34A4">
          <w:rPr>
            <w:rStyle w:val="Hyperlink"/>
            <w:webHidden/>
            <w:color w:val="auto"/>
          </w:rPr>
          <w:fldChar w:fldCharType="separate"/>
        </w:r>
        <w:r w:rsidR="002533F1">
          <w:rPr>
            <w:rStyle w:val="Hyperlink"/>
            <w:webHidden/>
            <w:color w:val="auto"/>
          </w:rPr>
          <w:t>120</w:t>
        </w:r>
        <w:r w:rsidR="0063046F" w:rsidRPr="00DE34A4">
          <w:rPr>
            <w:rStyle w:val="Hyperlink"/>
            <w:webHidden/>
            <w:color w:val="auto"/>
          </w:rPr>
          <w:fldChar w:fldCharType="end"/>
        </w:r>
      </w:hyperlink>
    </w:p>
    <w:p w14:paraId="52B083EA" w14:textId="59151C85" w:rsidR="0063046F" w:rsidRPr="00DE34A4" w:rsidRDefault="00004E68" w:rsidP="0063046F">
      <w:pPr>
        <w:pStyle w:val="TOC3"/>
        <w:rPr>
          <w:rStyle w:val="Hyperlink"/>
          <w:color w:val="auto"/>
        </w:rPr>
      </w:pPr>
      <w:hyperlink w:anchor="_Toc159859262" w:history="1">
        <w:r w:rsidR="0063046F" w:rsidRPr="00DE34A4">
          <w:rPr>
            <w:rStyle w:val="Hyperlink"/>
            <w:color w:val="auto"/>
          </w:rPr>
          <w:t>Appendix C: Top 30 Capability Sustainment Products</w:t>
        </w:r>
        <w:r w:rsidR="0063046F" w:rsidRPr="00DE34A4">
          <w:rPr>
            <w:rStyle w:val="Hyperlink"/>
            <w:webHidden/>
            <w:color w:val="auto"/>
          </w:rPr>
          <w:tab/>
        </w:r>
        <w:r w:rsidR="0063046F" w:rsidRPr="00DE34A4">
          <w:rPr>
            <w:rStyle w:val="Hyperlink"/>
            <w:webHidden/>
            <w:color w:val="auto"/>
          </w:rPr>
          <w:fldChar w:fldCharType="begin"/>
        </w:r>
        <w:r w:rsidR="0063046F" w:rsidRPr="00DE34A4">
          <w:rPr>
            <w:rStyle w:val="Hyperlink"/>
            <w:webHidden/>
            <w:color w:val="auto"/>
          </w:rPr>
          <w:instrText xml:space="preserve"> PAGEREF _Toc159859262 \h </w:instrText>
        </w:r>
        <w:r w:rsidR="0063046F" w:rsidRPr="00DE34A4">
          <w:rPr>
            <w:rStyle w:val="Hyperlink"/>
            <w:webHidden/>
            <w:color w:val="auto"/>
          </w:rPr>
        </w:r>
        <w:r w:rsidR="0063046F" w:rsidRPr="00DE34A4">
          <w:rPr>
            <w:rStyle w:val="Hyperlink"/>
            <w:webHidden/>
            <w:color w:val="auto"/>
          </w:rPr>
          <w:fldChar w:fldCharType="separate"/>
        </w:r>
        <w:r w:rsidR="002533F1">
          <w:rPr>
            <w:rStyle w:val="Hyperlink"/>
            <w:webHidden/>
            <w:color w:val="auto"/>
          </w:rPr>
          <w:t>135</w:t>
        </w:r>
        <w:r w:rsidR="0063046F" w:rsidRPr="00DE34A4">
          <w:rPr>
            <w:rStyle w:val="Hyperlink"/>
            <w:webHidden/>
            <w:color w:val="auto"/>
          </w:rPr>
          <w:fldChar w:fldCharType="end"/>
        </w:r>
      </w:hyperlink>
    </w:p>
    <w:p w14:paraId="58C18298" w14:textId="3D096D73" w:rsidR="0063046F" w:rsidRPr="00DE34A4" w:rsidRDefault="00004E68" w:rsidP="0063046F">
      <w:pPr>
        <w:pStyle w:val="TOC3"/>
        <w:rPr>
          <w:rStyle w:val="Hyperlink"/>
          <w:color w:val="auto"/>
        </w:rPr>
      </w:pPr>
      <w:hyperlink w:anchor="_Toc159859263" w:history="1">
        <w:r w:rsidR="0063046F" w:rsidRPr="00DE34A4">
          <w:rPr>
            <w:rStyle w:val="Hyperlink"/>
            <w:color w:val="auto"/>
          </w:rPr>
          <w:t>Appendix D: Enterprise Estate and Infrastructure</w:t>
        </w:r>
        <w:r w:rsidR="0063046F" w:rsidRPr="00DE34A4">
          <w:rPr>
            <w:rStyle w:val="Hyperlink"/>
            <w:webHidden/>
            <w:color w:val="auto"/>
          </w:rPr>
          <w:tab/>
        </w:r>
        <w:r w:rsidR="0063046F" w:rsidRPr="00DE34A4">
          <w:rPr>
            <w:rStyle w:val="Hyperlink"/>
            <w:webHidden/>
            <w:color w:val="auto"/>
          </w:rPr>
          <w:fldChar w:fldCharType="begin"/>
        </w:r>
        <w:r w:rsidR="0063046F" w:rsidRPr="00DE34A4">
          <w:rPr>
            <w:rStyle w:val="Hyperlink"/>
            <w:webHidden/>
            <w:color w:val="auto"/>
          </w:rPr>
          <w:instrText xml:space="preserve"> PAGEREF _Toc159859263 \h </w:instrText>
        </w:r>
        <w:r w:rsidR="0063046F" w:rsidRPr="00DE34A4">
          <w:rPr>
            <w:rStyle w:val="Hyperlink"/>
            <w:webHidden/>
            <w:color w:val="auto"/>
          </w:rPr>
        </w:r>
        <w:r w:rsidR="0063046F" w:rsidRPr="00DE34A4">
          <w:rPr>
            <w:rStyle w:val="Hyperlink"/>
            <w:webHidden/>
            <w:color w:val="auto"/>
          </w:rPr>
          <w:fldChar w:fldCharType="separate"/>
        </w:r>
        <w:r w:rsidR="002533F1">
          <w:rPr>
            <w:rStyle w:val="Hyperlink"/>
            <w:webHidden/>
            <w:color w:val="auto"/>
          </w:rPr>
          <w:t>143</w:t>
        </w:r>
        <w:r w:rsidR="0063046F" w:rsidRPr="00DE34A4">
          <w:rPr>
            <w:rStyle w:val="Hyperlink"/>
            <w:webHidden/>
            <w:color w:val="auto"/>
          </w:rPr>
          <w:fldChar w:fldCharType="end"/>
        </w:r>
      </w:hyperlink>
    </w:p>
    <w:p w14:paraId="12BBF237" w14:textId="097DC5B5" w:rsidR="0063046F" w:rsidRPr="00DE34A4" w:rsidRDefault="00004E68" w:rsidP="0063046F">
      <w:pPr>
        <w:pStyle w:val="TOC3"/>
        <w:rPr>
          <w:rStyle w:val="Hyperlink"/>
          <w:color w:val="auto"/>
        </w:rPr>
      </w:pPr>
      <w:hyperlink w:anchor="_Toc159859264" w:history="1">
        <w:r w:rsidR="0063046F" w:rsidRPr="00DE34A4">
          <w:rPr>
            <w:rStyle w:val="Hyperlink"/>
            <w:color w:val="auto"/>
          </w:rPr>
          <w:t>Appendix E: Status of Projects Foreshadowed for Government and Parliamentary Standing Committee on Public Works Consideration in 202</w:t>
        </w:r>
        <w:r w:rsidR="00756FEA">
          <w:rPr>
            <w:rStyle w:val="Hyperlink"/>
            <w:color w:val="auto"/>
          </w:rPr>
          <w:t>5-26</w:t>
        </w:r>
        <w:r w:rsidR="0063046F" w:rsidRPr="00DE34A4">
          <w:rPr>
            <w:rStyle w:val="Hyperlink"/>
            <w:webHidden/>
            <w:color w:val="auto"/>
          </w:rPr>
          <w:tab/>
        </w:r>
        <w:r w:rsidR="0063046F" w:rsidRPr="00DE34A4">
          <w:rPr>
            <w:rStyle w:val="Hyperlink"/>
            <w:webHidden/>
            <w:color w:val="auto"/>
          </w:rPr>
          <w:fldChar w:fldCharType="begin"/>
        </w:r>
        <w:r w:rsidR="0063046F" w:rsidRPr="00DE34A4">
          <w:rPr>
            <w:rStyle w:val="Hyperlink"/>
            <w:webHidden/>
            <w:color w:val="auto"/>
          </w:rPr>
          <w:instrText xml:space="preserve"> PAGEREF _Toc159859264 \h </w:instrText>
        </w:r>
        <w:r w:rsidR="0063046F" w:rsidRPr="00DE34A4">
          <w:rPr>
            <w:rStyle w:val="Hyperlink"/>
            <w:webHidden/>
            <w:color w:val="auto"/>
          </w:rPr>
        </w:r>
        <w:r w:rsidR="0063046F" w:rsidRPr="00DE34A4">
          <w:rPr>
            <w:rStyle w:val="Hyperlink"/>
            <w:webHidden/>
            <w:color w:val="auto"/>
          </w:rPr>
          <w:fldChar w:fldCharType="separate"/>
        </w:r>
        <w:r w:rsidR="002533F1">
          <w:rPr>
            <w:rStyle w:val="Hyperlink"/>
            <w:webHidden/>
            <w:color w:val="auto"/>
          </w:rPr>
          <w:t>159</w:t>
        </w:r>
        <w:r w:rsidR="0063046F" w:rsidRPr="00DE34A4">
          <w:rPr>
            <w:rStyle w:val="Hyperlink"/>
            <w:webHidden/>
            <w:color w:val="auto"/>
          </w:rPr>
          <w:fldChar w:fldCharType="end"/>
        </w:r>
      </w:hyperlink>
    </w:p>
    <w:p w14:paraId="4F47D829" w14:textId="26B63492" w:rsidR="0063046F" w:rsidRPr="00DE34A4" w:rsidRDefault="00004E68" w:rsidP="0063046F">
      <w:pPr>
        <w:pStyle w:val="TOC3"/>
        <w:rPr>
          <w:rStyle w:val="Hyperlink"/>
          <w:color w:val="auto"/>
        </w:rPr>
      </w:pPr>
      <w:hyperlink w:anchor="_Toc159859265" w:history="1">
        <w:r w:rsidR="0063046F" w:rsidRPr="00DE34A4">
          <w:rPr>
            <w:rStyle w:val="Hyperlink"/>
            <w:color w:val="auto"/>
          </w:rPr>
          <w:t xml:space="preserve">Appendix F: </w:t>
        </w:r>
        <w:r w:rsidR="0063046F" w:rsidRPr="00DE34A4">
          <w:rPr>
            <w:rStyle w:val="Hyperlink"/>
            <w:color w:val="auto"/>
          </w:rPr>
          <w:tab/>
          <w:t>Top 5 Information and Communication Technology Approved Projects</w:t>
        </w:r>
        <w:r w:rsidR="0063046F" w:rsidRPr="00DE34A4">
          <w:rPr>
            <w:rStyle w:val="Hyperlink"/>
            <w:webHidden/>
            <w:color w:val="auto"/>
          </w:rPr>
          <w:tab/>
        </w:r>
        <w:r w:rsidR="0063046F" w:rsidRPr="00DE34A4">
          <w:rPr>
            <w:rStyle w:val="Hyperlink"/>
            <w:webHidden/>
            <w:color w:val="auto"/>
          </w:rPr>
          <w:fldChar w:fldCharType="begin"/>
        </w:r>
        <w:r w:rsidR="0063046F" w:rsidRPr="00DE34A4">
          <w:rPr>
            <w:rStyle w:val="Hyperlink"/>
            <w:webHidden/>
            <w:color w:val="auto"/>
          </w:rPr>
          <w:instrText xml:space="preserve"> PAGEREF _Toc159859265 \h </w:instrText>
        </w:r>
        <w:r w:rsidR="0063046F" w:rsidRPr="00DE34A4">
          <w:rPr>
            <w:rStyle w:val="Hyperlink"/>
            <w:webHidden/>
            <w:color w:val="auto"/>
          </w:rPr>
        </w:r>
        <w:r w:rsidR="0063046F" w:rsidRPr="00DE34A4">
          <w:rPr>
            <w:rStyle w:val="Hyperlink"/>
            <w:webHidden/>
            <w:color w:val="auto"/>
          </w:rPr>
          <w:fldChar w:fldCharType="separate"/>
        </w:r>
        <w:r w:rsidR="002533F1">
          <w:rPr>
            <w:rStyle w:val="Hyperlink"/>
            <w:webHidden/>
            <w:color w:val="auto"/>
          </w:rPr>
          <w:t>162</w:t>
        </w:r>
        <w:r w:rsidR="0063046F" w:rsidRPr="00DE34A4">
          <w:rPr>
            <w:rStyle w:val="Hyperlink"/>
            <w:webHidden/>
            <w:color w:val="auto"/>
          </w:rPr>
          <w:fldChar w:fldCharType="end"/>
        </w:r>
      </w:hyperlink>
    </w:p>
    <w:p w14:paraId="123C6EDF" w14:textId="09C2127F" w:rsidR="0063046F" w:rsidRPr="00DE34A4" w:rsidRDefault="00004E68" w:rsidP="0063046F">
      <w:pPr>
        <w:pStyle w:val="TOC3"/>
        <w:rPr>
          <w:rStyle w:val="Hyperlink"/>
          <w:color w:val="auto"/>
        </w:rPr>
      </w:pPr>
      <w:hyperlink w:anchor="_Toc159859266" w:history="1">
        <w:r w:rsidR="0063046F" w:rsidRPr="00DE34A4">
          <w:rPr>
            <w:rStyle w:val="Hyperlink"/>
            <w:color w:val="auto"/>
          </w:rPr>
          <w:t>Appendix G: Australian Government Indigenous Expenditure</w:t>
        </w:r>
        <w:r w:rsidR="0063046F" w:rsidRPr="00DE34A4">
          <w:rPr>
            <w:rStyle w:val="Hyperlink"/>
            <w:webHidden/>
            <w:color w:val="auto"/>
          </w:rPr>
          <w:tab/>
        </w:r>
        <w:r w:rsidR="0063046F" w:rsidRPr="00DE34A4">
          <w:rPr>
            <w:rStyle w:val="Hyperlink"/>
            <w:webHidden/>
            <w:color w:val="auto"/>
          </w:rPr>
          <w:fldChar w:fldCharType="begin"/>
        </w:r>
        <w:r w:rsidR="0063046F" w:rsidRPr="00DE34A4">
          <w:rPr>
            <w:rStyle w:val="Hyperlink"/>
            <w:webHidden/>
            <w:color w:val="auto"/>
          </w:rPr>
          <w:instrText xml:space="preserve"> PAGEREF _Toc159859266 \h </w:instrText>
        </w:r>
        <w:r w:rsidR="0063046F" w:rsidRPr="00DE34A4">
          <w:rPr>
            <w:rStyle w:val="Hyperlink"/>
            <w:webHidden/>
            <w:color w:val="auto"/>
          </w:rPr>
        </w:r>
        <w:r w:rsidR="0063046F" w:rsidRPr="00DE34A4">
          <w:rPr>
            <w:rStyle w:val="Hyperlink"/>
            <w:webHidden/>
            <w:color w:val="auto"/>
          </w:rPr>
          <w:fldChar w:fldCharType="separate"/>
        </w:r>
        <w:r w:rsidR="002533F1">
          <w:rPr>
            <w:rStyle w:val="Hyperlink"/>
            <w:webHidden/>
            <w:color w:val="auto"/>
          </w:rPr>
          <w:t>164</w:t>
        </w:r>
        <w:r w:rsidR="0063046F" w:rsidRPr="00DE34A4">
          <w:rPr>
            <w:rStyle w:val="Hyperlink"/>
            <w:webHidden/>
            <w:color w:val="auto"/>
          </w:rPr>
          <w:fldChar w:fldCharType="end"/>
        </w:r>
      </w:hyperlink>
    </w:p>
    <w:p w14:paraId="3376098D" w14:textId="7C45AB03" w:rsidR="0063046F" w:rsidRPr="00F94CEB" w:rsidRDefault="00004E68" w:rsidP="0063046F">
      <w:pPr>
        <w:pStyle w:val="TOC2"/>
        <w:rPr>
          <w:rFonts w:ascii="Calibri" w:hAnsi="Calibri" w:cs="Times New Roman"/>
          <w:b w:val="0"/>
          <w:caps w:val="0"/>
          <w:sz w:val="22"/>
          <w:szCs w:val="22"/>
          <w:lang w:val="en-AU"/>
        </w:rPr>
      </w:pPr>
      <w:hyperlink w:anchor="_Toc159859267" w:history="1">
        <w:r w:rsidR="0063046F" w:rsidRPr="004D15D1">
          <w:rPr>
            <w:rStyle w:val="Hyperlink"/>
            <w:smallCaps/>
          </w:rPr>
          <w:t>Australian</w:t>
        </w:r>
        <w:r w:rsidR="0063046F" w:rsidRPr="004D15D1">
          <w:rPr>
            <w:rStyle w:val="Hyperlink"/>
            <w:lang w:val="en-AU"/>
          </w:rPr>
          <w:t xml:space="preserve"> </w:t>
        </w:r>
        <w:r w:rsidR="0063046F" w:rsidRPr="004D15D1">
          <w:rPr>
            <w:rStyle w:val="Hyperlink"/>
            <w:smallCaps/>
          </w:rPr>
          <w:t>Signals Directorate</w:t>
        </w:r>
        <w:r w:rsidR="0063046F">
          <w:rPr>
            <w:webHidden/>
          </w:rPr>
          <w:tab/>
        </w:r>
        <w:r w:rsidR="0063046F">
          <w:rPr>
            <w:webHidden/>
          </w:rPr>
          <w:fldChar w:fldCharType="begin"/>
        </w:r>
        <w:r w:rsidR="0063046F">
          <w:rPr>
            <w:webHidden/>
          </w:rPr>
          <w:instrText xml:space="preserve"> PAGEREF _Toc159859267 \h </w:instrText>
        </w:r>
        <w:r w:rsidR="0063046F">
          <w:rPr>
            <w:webHidden/>
          </w:rPr>
        </w:r>
        <w:r w:rsidR="0063046F">
          <w:rPr>
            <w:webHidden/>
          </w:rPr>
          <w:fldChar w:fldCharType="separate"/>
        </w:r>
        <w:r w:rsidR="002533F1">
          <w:rPr>
            <w:webHidden/>
          </w:rPr>
          <w:t>167</w:t>
        </w:r>
        <w:r w:rsidR="0063046F">
          <w:rPr>
            <w:webHidden/>
          </w:rPr>
          <w:fldChar w:fldCharType="end"/>
        </w:r>
      </w:hyperlink>
    </w:p>
    <w:p w14:paraId="525923F6" w14:textId="457EE387" w:rsidR="0063046F" w:rsidRPr="00F94CEB" w:rsidRDefault="00004E68" w:rsidP="0063046F">
      <w:pPr>
        <w:pStyle w:val="TOC3"/>
        <w:rPr>
          <w:rFonts w:ascii="Calibri" w:hAnsi="Calibri" w:cs="Times New Roman"/>
          <w:sz w:val="22"/>
          <w:szCs w:val="22"/>
          <w:lang w:val="en-AU"/>
        </w:rPr>
      </w:pPr>
      <w:hyperlink w:anchor="_Toc159859268" w:history="1">
        <w:r w:rsidR="0063046F" w:rsidRPr="001A686F">
          <w:rPr>
            <w:rStyle w:val="Hyperlink"/>
            <w:b/>
          </w:rPr>
          <w:t>Section 1: ASD Overview and Resources</w:t>
        </w:r>
        <w:r w:rsidR="0063046F" w:rsidRPr="001A686F">
          <w:rPr>
            <w:webHidden/>
          </w:rPr>
          <w:tab/>
        </w:r>
        <w:r w:rsidR="0063046F" w:rsidRPr="00E960B0">
          <w:rPr>
            <w:b/>
            <w:webHidden/>
          </w:rPr>
          <w:fldChar w:fldCharType="begin"/>
        </w:r>
        <w:r w:rsidR="0063046F" w:rsidRPr="00E960B0">
          <w:rPr>
            <w:b/>
            <w:webHidden/>
          </w:rPr>
          <w:instrText xml:space="preserve"> PAGEREF _Toc159859268 \h </w:instrText>
        </w:r>
        <w:r w:rsidR="0063046F" w:rsidRPr="00E960B0">
          <w:rPr>
            <w:b/>
            <w:webHidden/>
          </w:rPr>
        </w:r>
        <w:r w:rsidR="0063046F" w:rsidRPr="00E960B0">
          <w:rPr>
            <w:b/>
            <w:webHidden/>
          </w:rPr>
          <w:fldChar w:fldCharType="separate"/>
        </w:r>
        <w:r w:rsidR="002533F1">
          <w:rPr>
            <w:b/>
            <w:webHidden/>
          </w:rPr>
          <w:t>168</w:t>
        </w:r>
        <w:r w:rsidR="0063046F" w:rsidRPr="00E960B0">
          <w:rPr>
            <w:b/>
            <w:webHidden/>
          </w:rPr>
          <w:fldChar w:fldCharType="end"/>
        </w:r>
      </w:hyperlink>
    </w:p>
    <w:p w14:paraId="40C587FB" w14:textId="4B66A418" w:rsidR="0063046F" w:rsidRPr="00DE34A4" w:rsidRDefault="00004E68" w:rsidP="0063046F">
      <w:pPr>
        <w:pStyle w:val="TOC3"/>
        <w:rPr>
          <w:rStyle w:val="Hyperlink"/>
          <w:color w:val="auto"/>
        </w:rPr>
      </w:pPr>
      <w:hyperlink w:anchor="_Toc159859269" w:history="1">
        <w:r w:rsidR="0063046F" w:rsidRPr="00DE34A4">
          <w:rPr>
            <w:rStyle w:val="Hyperlink"/>
            <w:color w:val="auto"/>
          </w:rPr>
          <w:t>1.1 Strategic Direction Statement</w:t>
        </w:r>
        <w:r w:rsidR="0063046F" w:rsidRPr="00DE34A4">
          <w:rPr>
            <w:rStyle w:val="Hyperlink"/>
            <w:webHidden/>
            <w:color w:val="auto"/>
          </w:rPr>
          <w:tab/>
        </w:r>
        <w:r w:rsidR="0063046F" w:rsidRPr="00DE34A4">
          <w:rPr>
            <w:rStyle w:val="Hyperlink"/>
            <w:webHidden/>
            <w:color w:val="auto"/>
          </w:rPr>
          <w:fldChar w:fldCharType="begin"/>
        </w:r>
        <w:r w:rsidR="0063046F" w:rsidRPr="00DE34A4">
          <w:rPr>
            <w:rStyle w:val="Hyperlink"/>
            <w:webHidden/>
            <w:color w:val="auto"/>
          </w:rPr>
          <w:instrText xml:space="preserve"> PAGEREF _Toc159859269 \h </w:instrText>
        </w:r>
        <w:r w:rsidR="0063046F" w:rsidRPr="00DE34A4">
          <w:rPr>
            <w:rStyle w:val="Hyperlink"/>
            <w:webHidden/>
            <w:color w:val="auto"/>
          </w:rPr>
        </w:r>
        <w:r w:rsidR="0063046F" w:rsidRPr="00DE34A4">
          <w:rPr>
            <w:rStyle w:val="Hyperlink"/>
            <w:webHidden/>
            <w:color w:val="auto"/>
          </w:rPr>
          <w:fldChar w:fldCharType="separate"/>
        </w:r>
        <w:r w:rsidR="002533F1">
          <w:rPr>
            <w:rStyle w:val="Hyperlink"/>
            <w:webHidden/>
            <w:color w:val="auto"/>
          </w:rPr>
          <w:t>168</w:t>
        </w:r>
        <w:r w:rsidR="0063046F" w:rsidRPr="00DE34A4">
          <w:rPr>
            <w:rStyle w:val="Hyperlink"/>
            <w:webHidden/>
            <w:color w:val="auto"/>
          </w:rPr>
          <w:fldChar w:fldCharType="end"/>
        </w:r>
      </w:hyperlink>
    </w:p>
    <w:p w14:paraId="74FE8C6F" w14:textId="5D232EE6" w:rsidR="0063046F" w:rsidRPr="00DE34A4" w:rsidRDefault="00004E68" w:rsidP="0063046F">
      <w:pPr>
        <w:pStyle w:val="TOC3"/>
        <w:rPr>
          <w:rStyle w:val="Hyperlink"/>
          <w:color w:val="auto"/>
        </w:rPr>
      </w:pPr>
      <w:hyperlink w:anchor="_Toc159859270" w:history="1">
        <w:r w:rsidR="0063046F" w:rsidRPr="00DE34A4">
          <w:rPr>
            <w:rStyle w:val="Hyperlink"/>
            <w:color w:val="auto"/>
          </w:rPr>
          <w:t>1.2 ASD Resource Statement</w:t>
        </w:r>
        <w:r w:rsidR="0063046F" w:rsidRPr="00DE34A4">
          <w:rPr>
            <w:rStyle w:val="Hyperlink"/>
            <w:webHidden/>
            <w:color w:val="auto"/>
          </w:rPr>
          <w:tab/>
        </w:r>
        <w:r w:rsidR="0063046F" w:rsidRPr="00DE34A4">
          <w:rPr>
            <w:rStyle w:val="Hyperlink"/>
            <w:webHidden/>
            <w:color w:val="auto"/>
          </w:rPr>
          <w:fldChar w:fldCharType="begin"/>
        </w:r>
        <w:r w:rsidR="0063046F" w:rsidRPr="00DE34A4">
          <w:rPr>
            <w:rStyle w:val="Hyperlink"/>
            <w:webHidden/>
            <w:color w:val="auto"/>
          </w:rPr>
          <w:instrText xml:space="preserve"> PAGEREF _Toc159859270 \h </w:instrText>
        </w:r>
        <w:r w:rsidR="0063046F" w:rsidRPr="00DE34A4">
          <w:rPr>
            <w:rStyle w:val="Hyperlink"/>
            <w:webHidden/>
            <w:color w:val="auto"/>
          </w:rPr>
        </w:r>
        <w:r w:rsidR="0063046F" w:rsidRPr="00DE34A4">
          <w:rPr>
            <w:rStyle w:val="Hyperlink"/>
            <w:webHidden/>
            <w:color w:val="auto"/>
          </w:rPr>
          <w:fldChar w:fldCharType="separate"/>
        </w:r>
        <w:r w:rsidR="002533F1">
          <w:rPr>
            <w:rStyle w:val="Hyperlink"/>
            <w:webHidden/>
            <w:color w:val="auto"/>
          </w:rPr>
          <w:t>172</w:t>
        </w:r>
        <w:r w:rsidR="0063046F" w:rsidRPr="00DE34A4">
          <w:rPr>
            <w:rStyle w:val="Hyperlink"/>
            <w:webHidden/>
            <w:color w:val="auto"/>
          </w:rPr>
          <w:fldChar w:fldCharType="end"/>
        </w:r>
      </w:hyperlink>
    </w:p>
    <w:p w14:paraId="645E7FE0" w14:textId="023A22E1" w:rsidR="0063046F" w:rsidRPr="00DE34A4" w:rsidRDefault="00004E68" w:rsidP="0063046F">
      <w:pPr>
        <w:pStyle w:val="TOC3"/>
        <w:rPr>
          <w:rStyle w:val="Hyperlink"/>
          <w:color w:val="auto"/>
        </w:rPr>
      </w:pPr>
      <w:hyperlink w:anchor="_Toc159859271" w:history="1">
        <w:r w:rsidR="0063046F" w:rsidRPr="00DE34A4">
          <w:rPr>
            <w:rStyle w:val="Hyperlink"/>
            <w:color w:val="auto"/>
          </w:rPr>
          <w:t>1.3 Budget Measures</w:t>
        </w:r>
        <w:r w:rsidR="0063046F" w:rsidRPr="00DE34A4">
          <w:rPr>
            <w:rStyle w:val="Hyperlink"/>
            <w:webHidden/>
            <w:color w:val="auto"/>
          </w:rPr>
          <w:tab/>
        </w:r>
        <w:r w:rsidR="0063046F" w:rsidRPr="00DE34A4">
          <w:rPr>
            <w:rStyle w:val="Hyperlink"/>
            <w:webHidden/>
            <w:color w:val="auto"/>
          </w:rPr>
          <w:fldChar w:fldCharType="begin"/>
        </w:r>
        <w:r w:rsidR="0063046F" w:rsidRPr="00DE34A4">
          <w:rPr>
            <w:rStyle w:val="Hyperlink"/>
            <w:webHidden/>
            <w:color w:val="auto"/>
          </w:rPr>
          <w:instrText xml:space="preserve"> PAGEREF _Toc159859271 \h </w:instrText>
        </w:r>
        <w:r w:rsidR="0063046F" w:rsidRPr="00DE34A4">
          <w:rPr>
            <w:rStyle w:val="Hyperlink"/>
            <w:webHidden/>
            <w:color w:val="auto"/>
          </w:rPr>
        </w:r>
        <w:r w:rsidR="0063046F" w:rsidRPr="00DE34A4">
          <w:rPr>
            <w:rStyle w:val="Hyperlink"/>
            <w:webHidden/>
            <w:color w:val="auto"/>
          </w:rPr>
          <w:fldChar w:fldCharType="separate"/>
        </w:r>
        <w:r w:rsidR="002533F1">
          <w:rPr>
            <w:rStyle w:val="Hyperlink"/>
            <w:webHidden/>
            <w:color w:val="auto"/>
          </w:rPr>
          <w:t>173</w:t>
        </w:r>
        <w:r w:rsidR="0063046F" w:rsidRPr="00DE34A4">
          <w:rPr>
            <w:rStyle w:val="Hyperlink"/>
            <w:webHidden/>
            <w:color w:val="auto"/>
          </w:rPr>
          <w:fldChar w:fldCharType="end"/>
        </w:r>
      </w:hyperlink>
    </w:p>
    <w:p w14:paraId="185C9077" w14:textId="06C5A74F" w:rsidR="0063046F" w:rsidRPr="00F94CEB" w:rsidRDefault="00004E68" w:rsidP="0063046F">
      <w:pPr>
        <w:pStyle w:val="TOC3"/>
        <w:rPr>
          <w:rFonts w:ascii="Calibri" w:hAnsi="Calibri" w:cs="Times New Roman"/>
          <w:sz w:val="22"/>
          <w:szCs w:val="22"/>
          <w:lang w:val="en-AU"/>
        </w:rPr>
      </w:pPr>
      <w:hyperlink w:anchor="_Toc159859272" w:history="1">
        <w:r w:rsidR="0063046F" w:rsidRPr="001A686F">
          <w:rPr>
            <w:rStyle w:val="Hyperlink"/>
            <w:b/>
          </w:rPr>
          <w:t>Section 2: ASD Outcomes and Planned Performance</w:t>
        </w:r>
        <w:r w:rsidR="0063046F" w:rsidRPr="001A686F">
          <w:rPr>
            <w:webHidden/>
          </w:rPr>
          <w:tab/>
        </w:r>
        <w:r w:rsidR="0063046F" w:rsidRPr="00E960B0">
          <w:rPr>
            <w:b/>
            <w:webHidden/>
          </w:rPr>
          <w:fldChar w:fldCharType="begin"/>
        </w:r>
        <w:r w:rsidR="0063046F" w:rsidRPr="00E960B0">
          <w:rPr>
            <w:b/>
            <w:webHidden/>
          </w:rPr>
          <w:instrText xml:space="preserve"> PAGEREF _Toc159859272 \h </w:instrText>
        </w:r>
        <w:r w:rsidR="0063046F" w:rsidRPr="00E960B0">
          <w:rPr>
            <w:b/>
            <w:webHidden/>
          </w:rPr>
        </w:r>
        <w:r w:rsidR="0063046F" w:rsidRPr="00E960B0">
          <w:rPr>
            <w:b/>
            <w:webHidden/>
          </w:rPr>
          <w:fldChar w:fldCharType="separate"/>
        </w:r>
        <w:r w:rsidR="002533F1">
          <w:rPr>
            <w:b/>
            <w:webHidden/>
          </w:rPr>
          <w:t>174</w:t>
        </w:r>
        <w:r w:rsidR="0063046F" w:rsidRPr="00E960B0">
          <w:rPr>
            <w:b/>
            <w:webHidden/>
          </w:rPr>
          <w:fldChar w:fldCharType="end"/>
        </w:r>
      </w:hyperlink>
    </w:p>
    <w:p w14:paraId="321EE1C6" w14:textId="4606CBF7" w:rsidR="0063046F" w:rsidRPr="00DE34A4" w:rsidRDefault="00004E68" w:rsidP="0063046F">
      <w:pPr>
        <w:pStyle w:val="TOC3"/>
        <w:rPr>
          <w:rStyle w:val="Hyperlink"/>
          <w:color w:val="auto"/>
        </w:rPr>
      </w:pPr>
      <w:hyperlink w:anchor="_Toc159859273" w:history="1">
        <w:r w:rsidR="0063046F" w:rsidRPr="00DE34A4">
          <w:rPr>
            <w:rStyle w:val="Hyperlink"/>
            <w:color w:val="auto"/>
          </w:rPr>
          <w:t>2.1 Budgeted Expenses and Performance for Outcome 1</w:t>
        </w:r>
        <w:r w:rsidR="0063046F" w:rsidRPr="00DE34A4">
          <w:rPr>
            <w:rStyle w:val="Hyperlink"/>
            <w:webHidden/>
            <w:color w:val="auto"/>
          </w:rPr>
          <w:tab/>
        </w:r>
        <w:r w:rsidR="0063046F" w:rsidRPr="00DE34A4">
          <w:rPr>
            <w:rStyle w:val="Hyperlink"/>
            <w:webHidden/>
            <w:color w:val="auto"/>
          </w:rPr>
          <w:fldChar w:fldCharType="begin"/>
        </w:r>
        <w:r w:rsidR="0063046F" w:rsidRPr="00DE34A4">
          <w:rPr>
            <w:rStyle w:val="Hyperlink"/>
            <w:webHidden/>
            <w:color w:val="auto"/>
          </w:rPr>
          <w:instrText xml:space="preserve"> PAGEREF _Toc159859273 \h </w:instrText>
        </w:r>
        <w:r w:rsidR="0063046F" w:rsidRPr="00DE34A4">
          <w:rPr>
            <w:rStyle w:val="Hyperlink"/>
            <w:webHidden/>
            <w:color w:val="auto"/>
          </w:rPr>
        </w:r>
        <w:r w:rsidR="0063046F" w:rsidRPr="00DE34A4">
          <w:rPr>
            <w:rStyle w:val="Hyperlink"/>
            <w:webHidden/>
            <w:color w:val="auto"/>
          </w:rPr>
          <w:fldChar w:fldCharType="separate"/>
        </w:r>
        <w:r w:rsidR="002533F1">
          <w:rPr>
            <w:rStyle w:val="Hyperlink"/>
            <w:webHidden/>
            <w:color w:val="auto"/>
          </w:rPr>
          <w:t>175</w:t>
        </w:r>
        <w:r w:rsidR="0063046F" w:rsidRPr="00DE34A4">
          <w:rPr>
            <w:rStyle w:val="Hyperlink"/>
            <w:webHidden/>
            <w:color w:val="auto"/>
          </w:rPr>
          <w:fldChar w:fldCharType="end"/>
        </w:r>
      </w:hyperlink>
    </w:p>
    <w:p w14:paraId="65C839C6" w14:textId="22455F1A" w:rsidR="0063046F" w:rsidRPr="00F94CEB" w:rsidRDefault="00004E68" w:rsidP="0063046F">
      <w:pPr>
        <w:pStyle w:val="TOC3"/>
        <w:rPr>
          <w:rFonts w:ascii="Calibri" w:hAnsi="Calibri" w:cs="Times New Roman"/>
          <w:sz w:val="22"/>
          <w:szCs w:val="22"/>
          <w:lang w:val="en-AU"/>
        </w:rPr>
      </w:pPr>
      <w:hyperlink w:anchor="_Toc159859274" w:history="1">
        <w:r w:rsidR="0063046F" w:rsidRPr="001A686F">
          <w:rPr>
            <w:rStyle w:val="Hyperlink"/>
            <w:b/>
          </w:rPr>
          <w:t>Section 3: ASD Explanatory Tables and Budgeted Financial Statements</w:t>
        </w:r>
        <w:r w:rsidR="0063046F" w:rsidRPr="001A686F">
          <w:rPr>
            <w:webHidden/>
          </w:rPr>
          <w:tab/>
        </w:r>
        <w:r w:rsidR="0063046F" w:rsidRPr="00E960B0">
          <w:rPr>
            <w:b/>
            <w:webHidden/>
          </w:rPr>
          <w:fldChar w:fldCharType="begin"/>
        </w:r>
        <w:r w:rsidR="0063046F" w:rsidRPr="00E960B0">
          <w:rPr>
            <w:b/>
            <w:webHidden/>
          </w:rPr>
          <w:instrText xml:space="preserve"> PAGEREF _Toc159859274 \h </w:instrText>
        </w:r>
        <w:r w:rsidR="0063046F" w:rsidRPr="00E960B0">
          <w:rPr>
            <w:b/>
            <w:webHidden/>
          </w:rPr>
        </w:r>
        <w:r w:rsidR="0063046F" w:rsidRPr="00E960B0">
          <w:rPr>
            <w:b/>
            <w:webHidden/>
          </w:rPr>
          <w:fldChar w:fldCharType="separate"/>
        </w:r>
        <w:r w:rsidR="002533F1">
          <w:rPr>
            <w:b/>
            <w:webHidden/>
          </w:rPr>
          <w:t>179</w:t>
        </w:r>
        <w:r w:rsidR="0063046F" w:rsidRPr="00E960B0">
          <w:rPr>
            <w:b/>
            <w:webHidden/>
          </w:rPr>
          <w:fldChar w:fldCharType="end"/>
        </w:r>
      </w:hyperlink>
    </w:p>
    <w:p w14:paraId="4D5D60C2" w14:textId="5FDCE01C" w:rsidR="0063046F" w:rsidRPr="00DE34A4" w:rsidRDefault="00004E68" w:rsidP="0063046F">
      <w:pPr>
        <w:pStyle w:val="TOC3"/>
        <w:rPr>
          <w:rStyle w:val="Hyperlink"/>
          <w:color w:val="auto"/>
        </w:rPr>
      </w:pPr>
      <w:hyperlink w:anchor="_Toc159859275" w:history="1">
        <w:r w:rsidR="0063046F" w:rsidRPr="00DE34A4">
          <w:rPr>
            <w:rStyle w:val="Hyperlink"/>
            <w:color w:val="auto"/>
          </w:rPr>
          <w:t>3.1 Explanatory Tables</w:t>
        </w:r>
        <w:r w:rsidR="0063046F" w:rsidRPr="00DE34A4">
          <w:rPr>
            <w:rStyle w:val="Hyperlink"/>
            <w:webHidden/>
            <w:color w:val="auto"/>
          </w:rPr>
          <w:tab/>
        </w:r>
        <w:r w:rsidR="0063046F" w:rsidRPr="00DE34A4">
          <w:rPr>
            <w:rStyle w:val="Hyperlink"/>
            <w:webHidden/>
            <w:color w:val="auto"/>
          </w:rPr>
          <w:fldChar w:fldCharType="begin"/>
        </w:r>
        <w:r w:rsidR="0063046F" w:rsidRPr="00DE34A4">
          <w:rPr>
            <w:rStyle w:val="Hyperlink"/>
            <w:webHidden/>
            <w:color w:val="auto"/>
          </w:rPr>
          <w:instrText xml:space="preserve"> PAGEREF _Toc159859275 \h </w:instrText>
        </w:r>
        <w:r w:rsidR="0063046F" w:rsidRPr="00DE34A4">
          <w:rPr>
            <w:rStyle w:val="Hyperlink"/>
            <w:webHidden/>
            <w:color w:val="auto"/>
          </w:rPr>
        </w:r>
        <w:r w:rsidR="0063046F" w:rsidRPr="00DE34A4">
          <w:rPr>
            <w:rStyle w:val="Hyperlink"/>
            <w:webHidden/>
            <w:color w:val="auto"/>
          </w:rPr>
          <w:fldChar w:fldCharType="separate"/>
        </w:r>
        <w:r w:rsidR="002533F1">
          <w:rPr>
            <w:rStyle w:val="Hyperlink"/>
            <w:webHidden/>
            <w:color w:val="auto"/>
          </w:rPr>
          <w:t>179</w:t>
        </w:r>
        <w:r w:rsidR="0063046F" w:rsidRPr="00DE34A4">
          <w:rPr>
            <w:rStyle w:val="Hyperlink"/>
            <w:webHidden/>
            <w:color w:val="auto"/>
          </w:rPr>
          <w:fldChar w:fldCharType="end"/>
        </w:r>
      </w:hyperlink>
    </w:p>
    <w:p w14:paraId="1255C7AC" w14:textId="1BF12BCD" w:rsidR="0063046F" w:rsidRPr="00DE34A4" w:rsidRDefault="00004E68" w:rsidP="0063046F">
      <w:pPr>
        <w:pStyle w:val="TOC3"/>
        <w:rPr>
          <w:rStyle w:val="Hyperlink"/>
          <w:color w:val="auto"/>
        </w:rPr>
      </w:pPr>
      <w:hyperlink w:anchor="_Toc159859276" w:history="1">
        <w:r w:rsidR="0063046F" w:rsidRPr="00DE34A4">
          <w:rPr>
            <w:rStyle w:val="Hyperlink"/>
            <w:color w:val="auto"/>
          </w:rPr>
          <w:t>3.2 Budgeted Financial Statements</w:t>
        </w:r>
        <w:r w:rsidR="0063046F" w:rsidRPr="00DE34A4">
          <w:rPr>
            <w:rStyle w:val="Hyperlink"/>
            <w:webHidden/>
            <w:color w:val="auto"/>
          </w:rPr>
          <w:tab/>
        </w:r>
        <w:r w:rsidR="0063046F" w:rsidRPr="00DE34A4">
          <w:rPr>
            <w:rStyle w:val="Hyperlink"/>
            <w:webHidden/>
            <w:color w:val="auto"/>
          </w:rPr>
          <w:fldChar w:fldCharType="begin"/>
        </w:r>
        <w:r w:rsidR="0063046F" w:rsidRPr="00DE34A4">
          <w:rPr>
            <w:rStyle w:val="Hyperlink"/>
            <w:webHidden/>
            <w:color w:val="auto"/>
          </w:rPr>
          <w:instrText xml:space="preserve"> PAGEREF _Toc159859276 \h </w:instrText>
        </w:r>
        <w:r w:rsidR="0063046F" w:rsidRPr="00DE34A4">
          <w:rPr>
            <w:rStyle w:val="Hyperlink"/>
            <w:webHidden/>
            <w:color w:val="auto"/>
          </w:rPr>
        </w:r>
        <w:r w:rsidR="0063046F" w:rsidRPr="00DE34A4">
          <w:rPr>
            <w:rStyle w:val="Hyperlink"/>
            <w:webHidden/>
            <w:color w:val="auto"/>
          </w:rPr>
          <w:fldChar w:fldCharType="separate"/>
        </w:r>
        <w:r w:rsidR="002533F1">
          <w:rPr>
            <w:rStyle w:val="Hyperlink"/>
            <w:webHidden/>
            <w:color w:val="auto"/>
          </w:rPr>
          <w:t>180</w:t>
        </w:r>
        <w:r w:rsidR="0063046F" w:rsidRPr="00DE34A4">
          <w:rPr>
            <w:rStyle w:val="Hyperlink"/>
            <w:webHidden/>
            <w:color w:val="auto"/>
          </w:rPr>
          <w:fldChar w:fldCharType="end"/>
        </w:r>
      </w:hyperlink>
    </w:p>
    <w:p w14:paraId="7FD9D91D" w14:textId="53931152" w:rsidR="0063046F" w:rsidRPr="00F94CEB" w:rsidRDefault="00004E68" w:rsidP="0063046F">
      <w:pPr>
        <w:pStyle w:val="TOC2"/>
        <w:rPr>
          <w:rFonts w:ascii="Calibri" w:hAnsi="Calibri" w:cs="Times New Roman"/>
          <w:b w:val="0"/>
          <w:caps w:val="0"/>
          <w:sz w:val="22"/>
          <w:szCs w:val="22"/>
          <w:lang w:val="en-AU"/>
        </w:rPr>
      </w:pPr>
      <w:hyperlink w:anchor="_Toc159859277" w:history="1">
        <w:r w:rsidR="0063046F" w:rsidRPr="004D15D1">
          <w:rPr>
            <w:rStyle w:val="Hyperlink"/>
            <w:smallCaps/>
          </w:rPr>
          <w:t>Australian Submarine Agency</w:t>
        </w:r>
        <w:r w:rsidR="0063046F">
          <w:rPr>
            <w:webHidden/>
          </w:rPr>
          <w:tab/>
        </w:r>
        <w:r w:rsidR="0063046F">
          <w:rPr>
            <w:webHidden/>
          </w:rPr>
          <w:fldChar w:fldCharType="begin"/>
        </w:r>
        <w:r w:rsidR="0063046F">
          <w:rPr>
            <w:webHidden/>
          </w:rPr>
          <w:instrText xml:space="preserve"> PAGEREF _Toc159859277 \h </w:instrText>
        </w:r>
        <w:r w:rsidR="0063046F">
          <w:rPr>
            <w:webHidden/>
          </w:rPr>
        </w:r>
        <w:r w:rsidR="0063046F">
          <w:rPr>
            <w:webHidden/>
          </w:rPr>
          <w:fldChar w:fldCharType="separate"/>
        </w:r>
        <w:r w:rsidR="002533F1">
          <w:rPr>
            <w:webHidden/>
          </w:rPr>
          <w:t>187</w:t>
        </w:r>
        <w:r w:rsidR="0063046F">
          <w:rPr>
            <w:webHidden/>
          </w:rPr>
          <w:fldChar w:fldCharType="end"/>
        </w:r>
      </w:hyperlink>
    </w:p>
    <w:p w14:paraId="636B2040" w14:textId="3A5D646C" w:rsidR="0063046F" w:rsidRPr="00F94CEB" w:rsidRDefault="00004E68" w:rsidP="0063046F">
      <w:pPr>
        <w:pStyle w:val="TOC3"/>
        <w:rPr>
          <w:rFonts w:ascii="Calibri" w:hAnsi="Calibri" w:cs="Times New Roman"/>
          <w:sz w:val="22"/>
          <w:szCs w:val="22"/>
          <w:lang w:val="en-AU"/>
        </w:rPr>
      </w:pPr>
      <w:hyperlink w:anchor="_Toc159859278" w:history="1">
        <w:r w:rsidR="0063046F" w:rsidRPr="001A686F">
          <w:rPr>
            <w:rStyle w:val="Hyperlink"/>
            <w:b/>
          </w:rPr>
          <w:t>Section 1: ASA Overview and Resources</w:t>
        </w:r>
        <w:r w:rsidR="0063046F" w:rsidRPr="001A686F">
          <w:rPr>
            <w:webHidden/>
          </w:rPr>
          <w:tab/>
        </w:r>
        <w:r w:rsidR="0063046F" w:rsidRPr="00E960B0">
          <w:rPr>
            <w:b/>
            <w:webHidden/>
          </w:rPr>
          <w:fldChar w:fldCharType="begin"/>
        </w:r>
        <w:r w:rsidR="0063046F" w:rsidRPr="00E960B0">
          <w:rPr>
            <w:b/>
            <w:webHidden/>
          </w:rPr>
          <w:instrText xml:space="preserve"> PAGEREF _Toc159859278 \h </w:instrText>
        </w:r>
        <w:r w:rsidR="0063046F" w:rsidRPr="00E960B0">
          <w:rPr>
            <w:b/>
            <w:webHidden/>
          </w:rPr>
        </w:r>
        <w:r w:rsidR="0063046F" w:rsidRPr="00E960B0">
          <w:rPr>
            <w:b/>
            <w:webHidden/>
          </w:rPr>
          <w:fldChar w:fldCharType="separate"/>
        </w:r>
        <w:r w:rsidR="002533F1">
          <w:rPr>
            <w:b/>
            <w:webHidden/>
          </w:rPr>
          <w:t>188</w:t>
        </w:r>
        <w:r w:rsidR="0063046F" w:rsidRPr="00E960B0">
          <w:rPr>
            <w:b/>
            <w:webHidden/>
          </w:rPr>
          <w:fldChar w:fldCharType="end"/>
        </w:r>
      </w:hyperlink>
    </w:p>
    <w:p w14:paraId="1FC114B0" w14:textId="416C8F5E" w:rsidR="0063046F" w:rsidRPr="00DE34A4" w:rsidRDefault="00004E68" w:rsidP="0063046F">
      <w:pPr>
        <w:pStyle w:val="TOC3"/>
        <w:rPr>
          <w:rStyle w:val="Hyperlink"/>
          <w:color w:val="auto"/>
        </w:rPr>
      </w:pPr>
      <w:hyperlink w:anchor="_Toc159859279" w:history="1">
        <w:r w:rsidR="0063046F" w:rsidRPr="00DE34A4">
          <w:rPr>
            <w:rStyle w:val="Hyperlink"/>
            <w:color w:val="auto"/>
          </w:rPr>
          <w:t>1.1 Strategic Direction Statement</w:t>
        </w:r>
        <w:r w:rsidR="0063046F" w:rsidRPr="00DE34A4">
          <w:rPr>
            <w:rStyle w:val="Hyperlink"/>
            <w:webHidden/>
            <w:color w:val="auto"/>
          </w:rPr>
          <w:tab/>
        </w:r>
        <w:r w:rsidR="0063046F" w:rsidRPr="00DE34A4">
          <w:rPr>
            <w:rStyle w:val="Hyperlink"/>
            <w:webHidden/>
            <w:color w:val="auto"/>
          </w:rPr>
          <w:fldChar w:fldCharType="begin"/>
        </w:r>
        <w:r w:rsidR="0063046F" w:rsidRPr="00DE34A4">
          <w:rPr>
            <w:rStyle w:val="Hyperlink"/>
            <w:webHidden/>
            <w:color w:val="auto"/>
          </w:rPr>
          <w:instrText xml:space="preserve"> PAGEREF _Toc159859279 \h </w:instrText>
        </w:r>
        <w:r w:rsidR="0063046F" w:rsidRPr="00DE34A4">
          <w:rPr>
            <w:rStyle w:val="Hyperlink"/>
            <w:webHidden/>
            <w:color w:val="auto"/>
          </w:rPr>
        </w:r>
        <w:r w:rsidR="0063046F" w:rsidRPr="00DE34A4">
          <w:rPr>
            <w:rStyle w:val="Hyperlink"/>
            <w:webHidden/>
            <w:color w:val="auto"/>
          </w:rPr>
          <w:fldChar w:fldCharType="separate"/>
        </w:r>
        <w:r w:rsidR="002533F1">
          <w:rPr>
            <w:rStyle w:val="Hyperlink"/>
            <w:webHidden/>
            <w:color w:val="auto"/>
          </w:rPr>
          <w:t>188</w:t>
        </w:r>
        <w:r w:rsidR="0063046F" w:rsidRPr="00DE34A4">
          <w:rPr>
            <w:rStyle w:val="Hyperlink"/>
            <w:webHidden/>
            <w:color w:val="auto"/>
          </w:rPr>
          <w:fldChar w:fldCharType="end"/>
        </w:r>
      </w:hyperlink>
    </w:p>
    <w:p w14:paraId="4D436AD2" w14:textId="63D0BF5D" w:rsidR="0063046F" w:rsidRPr="00DE34A4" w:rsidRDefault="00004E68" w:rsidP="0063046F">
      <w:pPr>
        <w:pStyle w:val="TOC3"/>
        <w:rPr>
          <w:rStyle w:val="Hyperlink"/>
          <w:color w:val="auto"/>
        </w:rPr>
      </w:pPr>
      <w:hyperlink w:anchor="_Toc159859281" w:history="1">
        <w:r w:rsidR="0063046F" w:rsidRPr="00DE34A4">
          <w:rPr>
            <w:rStyle w:val="Hyperlink"/>
            <w:color w:val="auto"/>
          </w:rPr>
          <w:t>1.2 ASA Resource Statement</w:t>
        </w:r>
        <w:r w:rsidR="0063046F" w:rsidRPr="00DE34A4">
          <w:rPr>
            <w:rStyle w:val="Hyperlink"/>
            <w:webHidden/>
            <w:color w:val="auto"/>
          </w:rPr>
          <w:tab/>
        </w:r>
        <w:r w:rsidR="0063046F" w:rsidRPr="00DE34A4">
          <w:rPr>
            <w:rStyle w:val="Hyperlink"/>
            <w:webHidden/>
            <w:color w:val="auto"/>
          </w:rPr>
          <w:fldChar w:fldCharType="begin"/>
        </w:r>
        <w:r w:rsidR="0063046F" w:rsidRPr="00DE34A4">
          <w:rPr>
            <w:rStyle w:val="Hyperlink"/>
            <w:webHidden/>
            <w:color w:val="auto"/>
          </w:rPr>
          <w:instrText xml:space="preserve"> PAGEREF _Toc159859281 \h </w:instrText>
        </w:r>
        <w:r w:rsidR="0063046F" w:rsidRPr="00DE34A4">
          <w:rPr>
            <w:rStyle w:val="Hyperlink"/>
            <w:webHidden/>
            <w:color w:val="auto"/>
          </w:rPr>
        </w:r>
        <w:r w:rsidR="0063046F" w:rsidRPr="00DE34A4">
          <w:rPr>
            <w:rStyle w:val="Hyperlink"/>
            <w:webHidden/>
            <w:color w:val="auto"/>
          </w:rPr>
          <w:fldChar w:fldCharType="separate"/>
        </w:r>
        <w:r w:rsidR="002533F1">
          <w:rPr>
            <w:rStyle w:val="Hyperlink"/>
            <w:webHidden/>
            <w:color w:val="auto"/>
          </w:rPr>
          <w:t>191</w:t>
        </w:r>
        <w:r w:rsidR="0063046F" w:rsidRPr="00DE34A4">
          <w:rPr>
            <w:rStyle w:val="Hyperlink"/>
            <w:webHidden/>
            <w:color w:val="auto"/>
          </w:rPr>
          <w:fldChar w:fldCharType="end"/>
        </w:r>
      </w:hyperlink>
    </w:p>
    <w:p w14:paraId="2E65CDB0" w14:textId="54088DAF" w:rsidR="0063046F" w:rsidRPr="00DE34A4" w:rsidRDefault="00004E68" w:rsidP="0063046F">
      <w:pPr>
        <w:pStyle w:val="TOC3"/>
        <w:rPr>
          <w:rStyle w:val="Hyperlink"/>
          <w:color w:val="auto"/>
        </w:rPr>
      </w:pPr>
      <w:hyperlink w:anchor="_Toc159859282" w:history="1">
        <w:r w:rsidR="0063046F" w:rsidRPr="00DE34A4">
          <w:rPr>
            <w:rStyle w:val="Hyperlink"/>
            <w:color w:val="auto"/>
          </w:rPr>
          <w:t>1.3 Budget Measures</w:t>
        </w:r>
        <w:r w:rsidR="0063046F" w:rsidRPr="00DE34A4">
          <w:rPr>
            <w:rStyle w:val="Hyperlink"/>
            <w:webHidden/>
            <w:color w:val="auto"/>
          </w:rPr>
          <w:tab/>
        </w:r>
        <w:r w:rsidR="0063046F" w:rsidRPr="00DE34A4">
          <w:rPr>
            <w:rStyle w:val="Hyperlink"/>
            <w:webHidden/>
            <w:color w:val="auto"/>
          </w:rPr>
          <w:fldChar w:fldCharType="begin"/>
        </w:r>
        <w:r w:rsidR="0063046F" w:rsidRPr="00DE34A4">
          <w:rPr>
            <w:rStyle w:val="Hyperlink"/>
            <w:webHidden/>
            <w:color w:val="auto"/>
          </w:rPr>
          <w:instrText xml:space="preserve"> PAGEREF _Toc159859282 \h </w:instrText>
        </w:r>
        <w:r w:rsidR="0063046F" w:rsidRPr="00DE34A4">
          <w:rPr>
            <w:rStyle w:val="Hyperlink"/>
            <w:webHidden/>
            <w:color w:val="auto"/>
          </w:rPr>
        </w:r>
        <w:r w:rsidR="0063046F" w:rsidRPr="00DE34A4">
          <w:rPr>
            <w:rStyle w:val="Hyperlink"/>
            <w:webHidden/>
            <w:color w:val="auto"/>
          </w:rPr>
          <w:fldChar w:fldCharType="separate"/>
        </w:r>
        <w:r w:rsidR="002533F1">
          <w:rPr>
            <w:rStyle w:val="Hyperlink"/>
            <w:webHidden/>
            <w:color w:val="auto"/>
          </w:rPr>
          <w:t>192</w:t>
        </w:r>
        <w:r w:rsidR="0063046F" w:rsidRPr="00DE34A4">
          <w:rPr>
            <w:rStyle w:val="Hyperlink"/>
            <w:webHidden/>
            <w:color w:val="auto"/>
          </w:rPr>
          <w:fldChar w:fldCharType="end"/>
        </w:r>
      </w:hyperlink>
    </w:p>
    <w:p w14:paraId="129092C9" w14:textId="475B8CEA" w:rsidR="0063046F" w:rsidRPr="00F94CEB" w:rsidRDefault="00004E68" w:rsidP="0063046F">
      <w:pPr>
        <w:pStyle w:val="TOC3"/>
        <w:rPr>
          <w:rFonts w:ascii="Calibri" w:hAnsi="Calibri" w:cs="Times New Roman"/>
          <w:sz w:val="22"/>
          <w:szCs w:val="22"/>
          <w:lang w:val="en-AU"/>
        </w:rPr>
      </w:pPr>
      <w:hyperlink w:anchor="_Toc159859283" w:history="1">
        <w:r w:rsidR="0063046F" w:rsidRPr="001A686F">
          <w:rPr>
            <w:rStyle w:val="Hyperlink"/>
            <w:b/>
          </w:rPr>
          <w:t>Section 2: ASA Outcomes and Planned Performance</w:t>
        </w:r>
        <w:r w:rsidR="0063046F" w:rsidRPr="001A686F">
          <w:rPr>
            <w:webHidden/>
          </w:rPr>
          <w:tab/>
        </w:r>
        <w:r w:rsidR="0063046F" w:rsidRPr="00E960B0">
          <w:rPr>
            <w:b/>
            <w:webHidden/>
          </w:rPr>
          <w:fldChar w:fldCharType="begin"/>
        </w:r>
        <w:r w:rsidR="0063046F" w:rsidRPr="00E960B0">
          <w:rPr>
            <w:b/>
            <w:webHidden/>
          </w:rPr>
          <w:instrText xml:space="preserve"> PAGEREF _Toc159859283 \h </w:instrText>
        </w:r>
        <w:r w:rsidR="0063046F" w:rsidRPr="00E960B0">
          <w:rPr>
            <w:b/>
            <w:webHidden/>
          </w:rPr>
        </w:r>
        <w:r w:rsidR="0063046F" w:rsidRPr="00E960B0">
          <w:rPr>
            <w:b/>
            <w:webHidden/>
          </w:rPr>
          <w:fldChar w:fldCharType="separate"/>
        </w:r>
        <w:r w:rsidR="002533F1">
          <w:rPr>
            <w:b/>
            <w:webHidden/>
          </w:rPr>
          <w:t>193</w:t>
        </w:r>
        <w:r w:rsidR="0063046F" w:rsidRPr="00E960B0">
          <w:rPr>
            <w:b/>
            <w:webHidden/>
          </w:rPr>
          <w:fldChar w:fldCharType="end"/>
        </w:r>
      </w:hyperlink>
    </w:p>
    <w:p w14:paraId="4F5BE530" w14:textId="78CA7F46" w:rsidR="0063046F" w:rsidRPr="00DE34A4" w:rsidRDefault="00004E68" w:rsidP="0063046F">
      <w:pPr>
        <w:pStyle w:val="TOC3"/>
        <w:rPr>
          <w:rStyle w:val="Hyperlink"/>
          <w:color w:val="auto"/>
        </w:rPr>
      </w:pPr>
      <w:hyperlink w:anchor="_Toc159859284" w:history="1">
        <w:r w:rsidR="0063046F" w:rsidRPr="00DE34A4">
          <w:rPr>
            <w:rStyle w:val="Hyperlink"/>
            <w:color w:val="auto"/>
          </w:rPr>
          <w:t>2.1 Budgeted Expenses and Performance for Outcome 1</w:t>
        </w:r>
        <w:r w:rsidR="0063046F" w:rsidRPr="00DE34A4">
          <w:rPr>
            <w:rStyle w:val="Hyperlink"/>
            <w:webHidden/>
            <w:color w:val="auto"/>
          </w:rPr>
          <w:tab/>
        </w:r>
        <w:r w:rsidR="0063046F" w:rsidRPr="00DE34A4">
          <w:rPr>
            <w:rStyle w:val="Hyperlink"/>
            <w:webHidden/>
            <w:color w:val="auto"/>
          </w:rPr>
          <w:fldChar w:fldCharType="begin"/>
        </w:r>
        <w:r w:rsidR="0063046F" w:rsidRPr="00DE34A4">
          <w:rPr>
            <w:rStyle w:val="Hyperlink"/>
            <w:webHidden/>
            <w:color w:val="auto"/>
          </w:rPr>
          <w:instrText xml:space="preserve"> PAGEREF _Toc159859284 \h </w:instrText>
        </w:r>
        <w:r w:rsidR="0063046F" w:rsidRPr="00DE34A4">
          <w:rPr>
            <w:rStyle w:val="Hyperlink"/>
            <w:webHidden/>
            <w:color w:val="auto"/>
          </w:rPr>
        </w:r>
        <w:r w:rsidR="0063046F" w:rsidRPr="00DE34A4">
          <w:rPr>
            <w:rStyle w:val="Hyperlink"/>
            <w:webHidden/>
            <w:color w:val="auto"/>
          </w:rPr>
          <w:fldChar w:fldCharType="separate"/>
        </w:r>
        <w:r w:rsidR="002533F1">
          <w:rPr>
            <w:rStyle w:val="Hyperlink"/>
            <w:webHidden/>
            <w:color w:val="auto"/>
          </w:rPr>
          <w:t>194</w:t>
        </w:r>
        <w:r w:rsidR="0063046F" w:rsidRPr="00DE34A4">
          <w:rPr>
            <w:rStyle w:val="Hyperlink"/>
            <w:webHidden/>
            <w:color w:val="auto"/>
          </w:rPr>
          <w:fldChar w:fldCharType="end"/>
        </w:r>
      </w:hyperlink>
    </w:p>
    <w:p w14:paraId="137436CF" w14:textId="793C89F9" w:rsidR="0063046F" w:rsidRPr="00F94CEB" w:rsidRDefault="00004E68" w:rsidP="0063046F">
      <w:pPr>
        <w:pStyle w:val="TOC3"/>
        <w:rPr>
          <w:rFonts w:ascii="Calibri" w:hAnsi="Calibri" w:cs="Times New Roman"/>
          <w:sz w:val="22"/>
          <w:szCs w:val="22"/>
          <w:lang w:val="en-AU"/>
        </w:rPr>
      </w:pPr>
      <w:hyperlink w:anchor="_Toc159859289" w:history="1">
        <w:r w:rsidR="0063046F" w:rsidRPr="001A686F">
          <w:rPr>
            <w:rStyle w:val="Hyperlink"/>
            <w:b/>
          </w:rPr>
          <w:t>Section 3: ASA Explanatory Tables and Budgeted Financial</w:t>
        </w:r>
        <w:r w:rsidR="0063046F" w:rsidRPr="001A686F">
          <w:rPr>
            <w:rStyle w:val="Hyperlink"/>
            <w:b/>
            <w:lang w:val="en-AU"/>
          </w:rPr>
          <w:t xml:space="preserve"> Statements</w:t>
        </w:r>
        <w:r w:rsidR="0063046F" w:rsidRPr="001A686F">
          <w:rPr>
            <w:webHidden/>
          </w:rPr>
          <w:tab/>
        </w:r>
        <w:r w:rsidR="0063046F" w:rsidRPr="00E960B0">
          <w:rPr>
            <w:b/>
            <w:webHidden/>
          </w:rPr>
          <w:fldChar w:fldCharType="begin"/>
        </w:r>
        <w:r w:rsidR="0063046F" w:rsidRPr="00E960B0">
          <w:rPr>
            <w:b/>
            <w:webHidden/>
          </w:rPr>
          <w:instrText xml:space="preserve"> PAGEREF _Toc159859289 \h </w:instrText>
        </w:r>
        <w:r w:rsidR="0063046F" w:rsidRPr="00E960B0">
          <w:rPr>
            <w:b/>
            <w:webHidden/>
          </w:rPr>
        </w:r>
        <w:r w:rsidR="0063046F" w:rsidRPr="00E960B0">
          <w:rPr>
            <w:b/>
            <w:webHidden/>
          </w:rPr>
          <w:fldChar w:fldCharType="separate"/>
        </w:r>
        <w:r w:rsidR="002533F1">
          <w:rPr>
            <w:b/>
            <w:webHidden/>
          </w:rPr>
          <w:t>199</w:t>
        </w:r>
        <w:r w:rsidR="0063046F" w:rsidRPr="00E960B0">
          <w:rPr>
            <w:b/>
            <w:webHidden/>
          </w:rPr>
          <w:fldChar w:fldCharType="end"/>
        </w:r>
      </w:hyperlink>
    </w:p>
    <w:p w14:paraId="6C676AE7" w14:textId="5766828F" w:rsidR="0063046F" w:rsidRPr="00DE34A4" w:rsidRDefault="00004E68" w:rsidP="0063046F">
      <w:pPr>
        <w:pStyle w:val="TOC3"/>
        <w:rPr>
          <w:rStyle w:val="Hyperlink"/>
          <w:color w:val="auto"/>
        </w:rPr>
      </w:pPr>
      <w:hyperlink w:anchor="_Toc159859290" w:history="1">
        <w:r w:rsidR="0063046F" w:rsidRPr="00DE34A4">
          <w:rPr>
            <w:rStyle w:val="Hyperlink"/>
            <w:color w:val="auto"/>
          </w:rPr>
          <w:t>3.1 Explanatory Tables</w:t>
        </w:r>
        <w:r w:rsidR="0063046F" w:rsidRPr="00DE34A4">
          <w:rPr>
            <w:rStyle w:val="Hyperlink"/>
            <w:webHidden/>
            <w:color w:val="auto"/>
          </w:rPr>
          <w:tab/>
        </w:r>
        <w:r w:rsidR="0063046F" w:rsidRPr="00DE34A4">
          <w:rPr>
            <w:rStyle w:val="Hyperlink"/>
            <w:webHidden/>
            <w:color w:val="auto"/>
          </w:rPr>
          <w:fldChar w:fldCharType="begin"/>
        </w:r>
        <w:r w:rsidR="0063046F" w:rsidRPr="00DE34A4">
          <w:rPr>
            <w:rStyle w:val="Hyperlink"/>
            <w:webHidden/>
            <w:color w:val="auto"/>
          </w:rPr>
          <w:instrText xml:space="preserve"> PAGEREF _Toc159859290 \h </w:instrText>
        </w:r>
        <w:r w:rsidR="0063046F" w:rsidRPr="00DE34A4">
          <w:rPr>
            <w:rStyle w:val="Hyperlink"/>
            <w:webHidden/>
            <w:color w:val="auto"/>
          </w:rPr>
        </w:r>
        <w:r w:rsidR="0063046F" w:rsidRPr="00DE34A4">
          <w:rPr>
            <w:rStyle w:val="Hyperlink"/>
            <w:webHidden/>
            <w:color w:val="auto"/>
          </w:rPr>
          <w:fldChar w:fldCharType="separate"/>
        </w:r>
        <w:r w:rsidR="002533F1">
          <w:rPr>
            <w:rStyle w:val="Hyperlink"/>
            <w:webHidden/>
            <w:color w:val="auto"/>
          </w:rPr>
          <w:t>199</w:t>
        </w:r>
        <w:r w:rsidR="0063046F" w:rsidRPr="00DE34A4">
          <w:rPr>
            <w:rStyle w:val="Hyperlink"/>
            <w:webHidden/>
            <w:color w:val="auto"/>
          </w:rPr>
          <w:fldChar w:fldCharType="end"/>
        </w:r>
      </w:hyperlink>
    </w:p>
    <w:p w14:paraId="567D199A" w14:textId="37170D15" w:rsidR="0063046F" w:rsidRPr="00DE34A4" w:rsidRDefault="00004E68" w:rsidP="0063046F">
      <w:pPr>
        <w:pStyle w:val="TOC3"/>
        <w:rPr>
          <w:rStyle w:val="Hyperlink"/>
          <w:color w:val="auto"/>
        </w:rPr>
      </w:pPr>
      <w:hyperlink w:anchor="_Toc159859291" w:history="1">
        <w:r w:rsidR="0063046F" w:rsidRPr="00DE34A4">
          <w:rPr>
            <w:rStyle w:val="Hyperlink"/>
            <w:color w:val="auto"/>
          </w:rPr>
          <w:t>3.2 Budgeted Financial Statements</w:t>
        </w:r>
        <w:r w:rsidR="0063046F" w:rsidRPr="00DE34A4">
          <w:rPr>
            <w:rStyle w:val="Hyperlink"/>
            <w:webHidden/>
            <w:color w:val="auto"/>
          </w:rPr>
          <w:tab/>
        </w:r>
        <w:r w:rsidR="0063046F" w:rsidRPr="00DE34A4">
          <w:rPr>
            <w:rStyle w:val="Hyperlink"/>
            <w:webHidden/>
            <w:color w:val="auto"/>
          </w:rPr>
          <w:fldChar w:fldCharType="begin"/>
        </w:r>
        <w:r w:rsidR="0063046F" w:rsidRPr="00DE34A4">
          <w:rPr>
            <w:rStyle w:val="Hyperlink"/>
            <w:webHidden/>
            <w:color w:val="auto"/>
          </w:rPr>
          <w:instrText xml:space="preserve"> PAGEREF _Toc159859291 \h </w:instrText>
        </w:r>
        <w:r w:rsidR="0063046F" w:rsidRPr="00DE34A4">
          <w:rPr>
            <w:rStyle w:val="Hyperlink"/>
            <w:webHidden/>
            <w:color w:val="auto"/>
          </w:rPr>
        </w:r>
        <w:r w:rsidR="0063046F" w:rsidRPr="00DE34A4">
          <w:rPr>
            <w:rStyle w:val="Hyperlink"/>
            <w:webHidden/>
            <w:color w:val="auto"/>
          </w:rPr>
          <w:fldChar w:fldCharType="separate"/>
        </w:r>
        <w:r w:rsidR="002533F1">
          <w:rPr>
            <w:rStyle w:val="Hyperlink"/>
            <w:webHidden/>
            <w:color w:val="auto"/>
          </w:rPr>
          <w:t>200</w:t>
        </w:r>
        <w:r w:rsidR="0063046F" w:rsidRPr="00DE34A4">
          <w:rPr>
            <w:rStyle w:val="Hyperlink"/>
            <w:webHidden/>
            <w:color w:val="auto"/>
          </w:rPr>
          <w:fldChar w:fldCharType="end"/>
        </w:r>
      </w:hyperlink>
    </w:p>
    <w:p w14:paraId="184C0230" w14:textId="535CD704" w:rsidR="0063046F" w:rsidRPr="00F94CEB" w:rsidRDefault="00004E68" w:rsidP="0063046F">
      <w:pPr>
        <w:pStyle w:val="TOC2"/>
        <w:rPr>
          <w:rFonts w:ascii="Calibri" w:hAnsi="Calibri" w:cs="Times New Roman"/>
          <w:b w:val="0"/>
          <w:caps w:val="0"/>
          <w:sz w:val="22"/>
          <w:szCs w:val="22"/>
          <w:lang w:val="en-AU"/>
        </w:rPr>
      </w:pPr>
      <w:hyperlink w:anchor="_Toc159859292" w:history="1">
        <w:r w:rsidR="0063046F" w:rsidRPr="004D15D1">
          <w:rPr>
            <w:rStyle w:val="Hyperlink"/>
            <w:smallCaps/>
          </w:rPr>
          <w:t>Defence Housing Australia</w:t>
        </w:r>
        <w:r w:rsidR="0063046F">
          <w:rPr>
            <w:webHidden/>
          </w:rPr>
          <w:tab/>
        </w:r>
        <w:r w:rsidR="0063046F">
          <w:rPr>
            <w:webHidden/>
          </w:rPr>
          <w:fldChar w:fldCharType="begin"/>
        </w:r>
        <w:r w:rsidR="0063046F">
          <w:rPr>
            <w:webHidden/>
          </w:rPr>
          <w:instrText xml:space="preserve"> PAGEREF _Toc159859292 \h </w:instrText>
        </w:r>
        <w:r w:rsidR="0063046F">
          <w:rPr>
            <w:webHidden/>
          </w:rPr>
        </w:r>
        <w:r w:rsidR="0063046F">
          <w:rPr>
            <w:webHidden/>
          </w:rPr>
          <w:fldChar w:fldCharType="separate"/>
        </w:r>
        <w:r w:rsidR="002533F1">
          <w:rPr>
            <w:webHidden/>
          </w:rPr>
          <w:t>207</w:t>
        </w:r>
        <w:r w:rsidR="0063046F">
          <w:rPr>
            <w:webHidden/>
          </w:rPr>
          <w:fldChar w:fldCharType="end"/>
        </w:r>
      </w:hyperlink>
    </w:p>
    <w:p w14:paraId="36FCABBA" w14:textId="02BED353" w:rsidR="0063046F" w:rsidRPr="00F94CEB" w:rsidRDefault="00004E68" w:rsidP="0063046F">
      <w:pPr>
        <w:pStyle w:val="TOC3"/>
        <w:rPr>
          <w:rFonts w:ascii="Calibri" w:hAnsi="Calibri" w:cs="Times New Roman"/>
          <w:sz w:val="22"/>
          <w:szCs w:val="22"/>
          <w:lang w:val="en-AU"/>
        </w:rPr>
      </w:pPr>
      <w:hyperlink w:anchor="_Toc159859294" w:history="1">
        <w:r w:rsidR="0063046F" w:rsidRPr="001A686F">
          <w:rPr>
            <w:rStyle w:val="Hyperlink"/>
            <w:b/>
          </w:rPr>
          <w:t>Section 1: DHA Overview and Resources</w:t>
        </w:r>
        <w:r w:rsidR="0063046F" w:rsidRPr="001A686F">
          <w:rPr>
            <w:webHidden/>
          </w:rPr>
          <w:tab/>
        </w:r>
        <w:r w:rsidR="0063046F" w:rsidRPr="001A686F">
          <w:rPr>
            <w:webHidden/>
          </w:rPr>
          <w:fldChar w:fldCharType="begin"/>
        </w:r>
        <w:r w:rsidR="0063046F" w:rsidRPr="001A686F">
          <w:rPr>
            <w:webHidden/>
          </w:rPr>
          <w:instrText xml:space="preserve"> PAGEREF _Toc159859294 \h </w:instrText>
        </w:r>
        <w:r w:rsidR="0063046F" w:rsidRPr="001A686F">
          <w:rPr>
            <w:webHidden/>
          </w:rPr>
        </w:r>
        <w:r w:rsidR="0063046F" w:rsidRPr="001A686F">
          <w:rPr>
            <w:webHidden/>
          </w:rPr>
          <w:fldChar w:fldCharType="separate"/>
        </w:r>
        <w:r w:rsidR="002533F1">
          <w:rPr>
            <w:webHidden/>
          </w:rPr>
          <w:t>208</w:t>
        </w:r>
        <w:r w:rsidR="0063046F" w:rsidRPr="001A686F">
          <w:rPr>
            <w:webHidden/>
          </w:rPr>
          <w:fldChar w:fldCharType="end"/>
        </w:r>
      </w:hyperlink>
    </w:p>
    <w:p w14:paraId="1654D291" w14:textId="7F3E2D0D" w:rsidR="0063046F" w:rsidRPr="00DE34A4" w:rsidRDefault="00004E68" w:rsidP="0063046F">
      <w:pPr>
        <w:pStyle w:val="TOC3"/>
        <w:rPr>
          <w:rStyle w:val="Hyperlink"/>
          <w:color w:val="auto"/>
        </w:rPr>
      </w:pPr>
      <w:hyperlink w:anchor="_Toc159859295" w:history="1">
        <w:r w:rsidR="0063046F" w:rsidRPr="00DE34A4">
          <w:rPr>
            <w:rStyle w:val="Hyperlink"/>
            <w:color w:val="auto"/>
          </w:rPr>
          <w:t>1.1 Strategic Direction Statement</w:t>
        </w:r>
        <w:r w:rsidR="0063046F" w:rsidRPr="00DE34A4">
          <w:rPr>
            <w:rStyle w:val="Hyperlink"/>
            <w:webHidden/>
            <w:color w:val="auto"/>
          </w:rPr>
          <w:tab/>
        </w:r>
        <w:r w:rsidR="0063046F" w:rsidRPr="00DE34A4">
          <w:rPr>
            <w:rStyle w:val="Hyperlink"/>
            <w:webHidden/>
            <w:color w:val="auto"/>
          </w:rPr>
          <w:fldChar w:fldCharType="begin"/>
        </w:r>
        <w:r w:rsidR="0063046F" w:rsidRPr="00DE34A4">
          <w:rPr>
            <w:rStyle w:val="Hyperlink"/>
            <w:webHidden/>
            <w:color w:val="auto"/>
          </w:rPr>
          <w:instrText xml:space="preserve"> PAGEREF _Toc159859295 \h </w:instrText>
        </w:r>
        <w:r w:rsidR="0063046F" w:rsidRPr="00DE34A4">
          <w:rPr>
            <w:rStyle w:val="Hyperlink"/>
            <w:webHidden/>
            <w:color w:val="auto"/>
          </w:rPr>
        </w:r>
        <w:r w:rsidR="0063046F" w:rsidRPr="00DE34A4">
          <w:rPr>
            <w:rStyle w:val="Hyperlink"/>
            <w:webHidden/>
            <w:color w:val="auto"/>
          </w:rPr>
          <w:fldChar w:fldCharType="separate"/>
        </w:r>
        <w:r w:rsidR="002533F1">
          <w:rPr>
            <w:rStyle w:val="Hyperlink"/>
            <w:webHidden/>
            <w:color w:val="auto"/>
          </w:rPr>
          <w:t>208</w:t>
        </w:r>
        <w:r w:rsidR="0063046F" w:rsidRPr="00DE34A4">
          <w:rPr>
            <w:rStyle w:val="Hyperlink"/>
            <w:webHidden/>
            <w:color w:val="auto"/>
          </w:rPr>
          <w:fldChar w:fldCharType="end"/>
        </w:r>
      </w:hyperlink>
    </w:p>
    <w:p w14:paraId="4F1ECFE7" w14:textId="0495DBFA" w:rsidR="0063046F" w:rsidRPr="00DE34A4" w:rsidRDefault="00004E68" w:rsidP="0063046F">
      <w:pPr>
        <w:pStyle w:val="TOC3"/>
        <w:rPr>
          <w:rStyle w:val="Hyperlink"/>
          <w:color w:val="auto"/>
        </w:rPr>
      </w:pPr>
      <w:hyperlink w:anchor="_Toc159859296" w:history="1">
        <w:r w:rsidR="0063046F" w:rsidRPr="00DE34A4">
          <w:rPr>
            <w:rStyle w:val="Hyperlink"/>
            <w:color w:val="auto"/>
          </w:rPr>
          <w:t>1.2 DHA Resource Statement</w:t>
        </w:r>
        <w:r w:rsidR="0063046F" w:rsidRPr="00DE34A4">
          <w:rPr>
            <w:rStyle w:val="Hyperlink"/>
            <w:webHidden/>
            <w:color w:val="auto"/>
          </w:rPr>
          <w:tab/>
        </w:r>
        <w:r w:rsidR="0063046F" w:rsidRPr="00DE34A4">
          <w:rPr>
            <w:rStyle w:val="Hyperlink"/>
            <w:webHidden/>
            <w:color w:val="auto"/>
          </w:rPr>
          <w:fldChar w:fldCharType="begin"/>
        </w:r>
        <w:r w:rsidR="0063046F" w:rsidRPr="00DE34A4">
          <w:rPr>
            <w:rStyle w:val="Hyperlink"/>
            <w:webHidden/>
            <w:color w:val="auto"/>
          </w:rPr>
          <w:instrText xml:space="preserve"> PAGEREF _Toc159859296 \h </w:instrText>
        </w:r>
        <w:r w:rsidR="0063046F" w:rsidRPr="00DE34A4">
          <w:rPr>
            <w:rStyle w:val="Hyperlink"/>
            <w:webHidden/>
            <w:color w:val="auto"/>
          </w:rPr>
        </w:r>
        <w:r w:rsidR="0063046F" w:rsidRPr="00DE34A4">
          <w:rPr>
            <w:rStyle w:val="Hyperlink"/>
            <w:webHidden/>
            <w:color w:val="auto"/>
          </w:rPr>
          <w:fldChar w:fldCharType="separate"/>
        </w:r>
        <w:r w:rsidR="002533F1">
          <w:rPr>
            <w:rStyle w:val="Hyperlink"/>
            <w:webHidden/>
            <w:color w:val="auto"/>
          </w:rPr>
          <w:t>211</w:t>
        </w:r>
        <w:r w:rsidR="0063046F" w:rsidRPr="00DE34A4">
          <w:rPr>
            <w:rStyle w:val="Hyperlink"/>
            <w:webHidden/>
            <w:color w:val="auto"/>
          </w:rPr>
          <w:fldChar w:fldCharType="end"/>
        </w:r>
      </w:hyperlink>
    </w:p>
    <w:p w14:paraId="6C1AB8D7" w14:textId="0CE9A594" w:rsidR="0063046F" w:rsidRPr="00DE34A4" w:rsidRDefault="00004E68" w:rsidP="0063046F">
      <w:pPr>
        <w:pStyle w:val="TOC3"/>
        <w:rPr>
          <w:rStyle w:val="Hyperlink"/>
          <w:color w:val="auto"/>
        </w:rPr>
      </w:pPr>
      <w:hyperlink w:anchor="_Toc159859297" w:history="1">
        <w:r w:rsidR="0063046F" w:rsidRPr="00DE34A4">
          <w:rPr>
            <w:rStyle w:val="Hyperlink"/>
            <w:color w:val="auto"/>
          </w:rPr>
          <w:t>1.3 Budget Measures</w:t>
        </w:r>
        <w:r w:rsidR="0063046F" w:rsidRPr="00DE34A4">
          <w:rPr>
            <w:rStyle w:val="Hyperlink"/>
            <w:webHidden/>
            <w:color w:val="auto"/>
          </w:rPr>
          <w:tab/>
        </w:r>
        <w:r w:rsidR="0063046F" w:rsidRPr="00DE34A4">
          <w:rPr>
            <w:rStyle w:val="Hyperlink"/>
            <w:webHidden/>
            <w:color w:val="auto"/>
          </w:rPr>
          <w:fldChar w:fldCharType="begin"/>
        </w:r>
        <w:r w:rsidR="0063046F" w:rsidRPr="00DE34A4">
          <w:rPr>
            <w:rStyle w:val="Hyperlink"/>
            <w:webHidden/>
            <w:color w:val="auto"/>
          </w:rPr>
          <w:instrText xml:space="preserve"> PAGEREF _Toc159859297 \h </w:instrText>
        </w:r>
        <w:r w:rsidR="0063046F" w:rsidRPr="00DE34A4">
          <w:rPr>
            <w:rStyle w:val="Hyperlink"/>
            <w:webHidden/>
            <w:color w:val="auto"/>
          </w:rPr>
        </w:r>
        <w:r w:rsidR="0063046F" w:rsidRPr="00DE34A4">
          <w:rPr>
            <w:rStyle w:val="Hyperlink"/>
            <w:webHidden/>
            <w:color w:val="auto"/>
          </w:rPr>
          <w:fldChar w:fldCharType="separate"/>
        </w:r>
        <w:r w:rsidR="002533F1">
          <w:rPr>
            <w:rStyle w:val="Hyperlink"/>
            <w:webHidden/>
            <w:color w:val="auto"/>
          </w:rPr>
          <w:t>212</w:t>
        </w:r>
        <w:r w:rsidR="0063046F" w:rsidRPr="00DE34A4">
          <w:rPr>
            <w:rStyle w:val="Hyperlink"/>
            <w:webHidden/>
            <w:color w:val="auto"/>
          </w:rPr>
          <w:fldChar w:fldCharType="end"/>
        </w:r>
      </w:hyperlink>
    </w:p>
    <w:p w14:paraId="58320DD6" w14:textId="4D2690BB" w:rsidR="0063046F" w:rsidRPr="00F94CEB" w:rsidRDefault="00004E68" w:rsidP="0063046F">
      <w:pPr>
        <w:pStyle w:val="TOC3"/>
        <w:rPr>
          <w:rFonts w:ascii="Calibri" w:hAnsi="Calibri" w:cs="Times New Roman"/>
          <w:sz w:val="22"/>
          <w:szCs w:val="22"/>
          <w:lang w:val="en-AU"/>
        </w:rPr>
      </w:pPr>
      <w:hyperlink w:anchor="_Toc159859298" w:history="1">
        <w:r w:rsidR="0063046F" w:rsidRPr="001A686F">
          <w:rPr>
            <w:rStyle w:val="Hyperlink"/>
            <w:b/>
          </w:rPr>
          <w:t>Section 2: DHA Outcomes and Planned Performance</w:t>
        </w:r>
        <w:r w:rsidR="0063046F" w:rsidRPr="001A686F">
          <w:rPr>
            <w:webHidden/>
          </w:rPr>
          <w:tab/>
        </w:r>
        <w:r w:rsidR="0063046F" w:rsidRPr="00E960B0">
          <w:rPr>
            <w:b/>
            <w:webHidden/>
          </w:rPr>
          <w:fldChar w:fldCharType="begin"/>
        </w:r>
        <w:r w:rsidR="0063046F" w:rsidRPr="00E960B0">
          <w:rPr>
            <w:b/>
            <w:webHidden/>
          </w:rPr>
          <w:instrText xml:space="preserve"> PAGEREF _Toc159859298 \h </w:instrText>
        </w:r>
        <w:r w:rsidR="0063046F" w:rsidRPr="00E960B0">
          <w:rPr>
            <w:b/>
            <w:webHidden/>
          </w:rPr>
        </w:r>
        <w:r w:rsidR="0063046F" w:rsidRPr="00E960B0">
          <w:rPr>
            <w:b/>
            <w:webHidden/>
          </w:rPr>
          <w:fldChar w:fldCharType="separate"/>
        </w:r>
        <w:r w:rsidR="002533F1">
          <w:rPr>
            <w:b/>
            <w:webHidden/>
          </w:rPr>
          <w:t>213</w:t>
        </w:r>
        <w:r w:rsidR="0063046F" w:rsidRPr="00E960B0">
          <w:rPr>
            <w:b/>
            <w:webHidden/>
          </w:rPr>
          <w:fldChar w:fldCharType="end"/>
        </w:r>
      </w:hyperlink>
    </w:p>
    <w:p w14:paraId="13499CCB" w14:textId="3048FFAA" w:rsidR="0063046F" w:rsidRPr="00DE34A4" w:rsidRDefault="00004E68" w:rsidP="0063046F">
      <w:pPr>
        <w:pStyle w:val="TOC3"/>
        <w:rPr>
          <w:rStyle w:val="Hyperlink"/>
          <w:color w:val="auto"/>
        </w:rPr>
      </w:pPr>
      <w:hyperlink w:anchor="_Toc159859299" w:history="1">
        <w:r w:rsidR="0063046F" w:rsidRPr="00DE34A4">
          <w:rPr>
            <w:rStyle w:val="Hyperlink"/>
            <w:color w:val="auto"/>
          </w:rPr>
          <w:t>2.1 Budgeted Expenses and Performance for Outcome 1</w:t>
        </w:r>
        <w:r w:rsidR="0063046F" w:rsidRPr="00DE34A4">
          <w:rPr>
            <w:rStyle w:val="Hyperlink"/>
            <w:webHidden/>
            <w:color w:val="auto"/>
          </w:rPr>
          <w:tab/>
        </w:r>
        <w:r w:rsidR="0063046F" w:rsidRPr="00DE34A4">
          <w:rPr>
            <w:rStyle w:val="Hyperlink"/>
            <w:webHidden/>
            <w:color w:val="auto"/>
          </w:rPr>
          <w:fldChar w:fldCharType="begin"/>
        </w:r>
        <w:r w:rsidR="0063046F" w:rsidRPr="00DE34A4">
          <w:rPr>
            <w:rStyle w:val="Hyperlink"/>
            <w:webHidden/>
            <w:color w:val="auto"/>
          </w:rPr>
          <w:instrText xml:space="preserve"> PAGEREF _Toc159859299 \h </w:instrText>
        </w:r>
        <w:r w:rsidR="0063046F" w:rsidRPr="00DE34A4">
          <w:rPr>
            <w:rStyle w:val="Hyperlink"/>
            <w:webHidden/>
            <w:color w:val="auto"/>
          </w:rPr>
        </w:r>
        <w:r w:rsidR="0063046F" w:rsidRPr="00DE34A4">
          <w:rPr>
            <w:rStyle w:val="Hyperlink"/>
            <w:webHidden/>
            <w:color w:val="auto"/>
          </w:rPr>
          <w:fldChar w:fldCharType="separate"/>
        </w:r>
        <w:r w:rsidR="002533F1">
          <w:rPr>
            <w:rStyle w:val="Hyperlink"/>
            <w:webHidden/>
            <w:color w:val="auto"/>
          </w:rPr>
          <w:t>214</w:t>
        </w:r>
        <w:r w:rsidR="0063046F" w:rsidRPr="00DE34A4">
          <w:rPr>
            <w:rStyle w:val="Hyperlink"/>
            <w:webHidden/>
            <w:color w:val="auto"/>
          </w:rPr>
          <w:fldChar w:fldCharType="end"/>
        </w:r>
      </w:hyperlink>
    </w:p>
    <w:p w14:paraId="0A10C741" w14:textId="39ADCE97" w:rsidR="0063046F" w:rsidRPr="00F94CEB" w:rsidRDefault="00004E68" w:rsidP="0063046F">
      <w:pPr>
        <w:pStyle w:val="TOC3"/>
        <w:keepNext/>
        <w:keepLines/>
        <w:rPr>
          <w:rFonts w:ascii="Calibri" w:hAnsi="Calibri" w:cs="Times New Roman"/>
          <w:sz w:val="22"/>
          <w:szCs w:val="22"/>
          <w:lang w:val="en-AU"/>
        </w:rPr>
      </w:pPr>
      <w:hyperlink w:anchor="_Toc159859300" w:history="1">
        <w:r w:rsidR="0063046F" w:rsidRPr="001A686F">
          <w:rPr>
            <w:rStyle w:val="Hyperlink"/>
            <w:b/>
          </w:rPr>
          <w:t>Section 3: DHA Explanatory Tables and Budgeted Financial Statements</w:t>
        </w:r>
        <w:r w:rsidR="0063046F" w:rsidRPr="001A686F">
          <w:rPr>
            <w:webHidden/>
          </w:rPr>
          <w:tab/>
        </w:r>
        <w:r w:rsidR="0063046F" w:rsidRPr="00E960B0">
          <w:rPr>
            <w:b/>
            <w:webHidden/>
          </w:rPr>
          <w:fldChar w:fldCharType="begin"/>
        </w:r>
        <w:r w:rsidR="0063046F" w:rsidRPr="00E960B0">
          <w:rPr>
            <w:b/>
            <w:webHidden/>
          </w:rPr>
          <w:instrText xml:space="preserve"> PAGEREF _Toc159859300 \h </w:instrText>
        </w:r>
        <w:r w:rsidR="0063046F" w:rsidRPr="00E960B0">
          <w:rPr>
            <w:b/>
            <w:webHidden/>
          </w:rPr>
        </w:r>
        <w:r w:rsidR="0063046F" w:rsidRPr="00E960B0">
          <w:rPr>
            <w:b/>
            <w:webHidden/>
          </w:rPr>
          <w:fldChar w:fldCharType="separate"/>
        </w:r>
        <w:r w:rsidR="002533F1">
          <w:rPr>
            <w:b/>
            <w:webHidden/>
          </w:rPr>
          <w:t>216</w:t>
        </w:r>
        <w:r w:rsidR="0063046F" w:rsidRPr="00E960B0">
          <w:rPr>
            <w:b/>
            <w:webHidden/>
          </w:rPr>
          <w:fldChar w:fldCharType="end"/>
        </w:r>
      </w:hyperlink>
    </w:p>
    <w:p w14:paraId="40B8C23C" w14:textId="3DA22E8E" w:rsidR="0063046F" w:rsidRPr="00DE34A4" w:rsidRDefault="00004E68" w:rsidP="0063046F">
      <w:pPr>
        <w:pStyle w:val="TOC3"/>
        <w:keepNext/>
        <w:keepLines/>
        <w:rPr>
          <w:rStyle w:val="Hyperlink"/>
          <w:color w:val="auto"/>
        </w:rPr>
      </w:pPr>
      <w:hyperlink w:anchor="_Toc159859301" w:history="1">
        <w:r w:rsidR="0063046F" w:rsidRPr="00DE34A4">
          <w:rPr>
            <w:rStyle w:val="Hyperlink"/>
            <w:color w:val="auto"/>
          </w:rPr>
          <w:t>3.1 Explanatory Tables</w:t>
        </w:r>
        <w:r w:rsidR="0063046F" w:rsidRPr="00DE34A4">
          <w:rPr>
            <w:rStyle w:val="Hyperlink"/>
            <w:webHidden/>
            <w:color w:val="auto"/>
          </w:rPr>
          <w:tab/>
        </w:r>
        <w:r w:rsidR="0063046F" w:rsidRPr="00DE34A4">
          <w:rPr>
            <w:rStyle w:val="Hyperlink"/>
            <w:webHidden/>
            <w:color w:val="auto"/>
          </w:rPr>
          <w:fldChar w:fldCharType="begin"/>
        </w:r>
        <w:r w:rsidR="0063046F" w:rsidRPr="00DE34A4">
          <w:rPr>
            <w:rStyle w:val="Hyperlink"/>
            <w:webHidden/>
            <w:color w:val="auto"/>
          </w:rPr>
          <w:instrText xml:space="preserve"> PAGEREF _Toc159859301 \h </w:instrText>
        </w:r>
        <w:r w:rsidR="0063046F" w:rsidRPr="00DE34A4">
          <w:rPr>
            <w:rStyle w:val="Hyperlink"/>
            <w:webHidden/>
            <w:color w:val="auto"/>
          </w:rPr>
        </w:r>
        <w:r w:rsidR="0063046F" w:rsidRPr="00DE34A4">
          <w:rPr>
            <w:rStyle w:val="Hyperlink"/>
            <w:webHidden/>
            <w:color w:val="auto"/>
          </w:rPr>
          <w:fldChar w:fldCharType="separate"/>
        </w:r>
        <w:r w:rsidR="002533F1">
          <w:rPr>
            <w:rStyle w:val="Hyperlink"/>
            <w:webHidden/>
            <w:color w:val="auto"/>
          </w:rPr>
          <w:t>216</w:t>
        </w:r>
        <w:r w:rsidR="0063046F" w:rsidRPr="00DE34A4">
          <w:rPr>
            <w:rStyle w:val="Hyperlink"/>
            <w:webHidden/>
            <w:color w:val="auto"/>
          </w:rPr>
          <w:fldChar w:fldCharType="end"/>
        </w:r>
      </w:hyperlink>
    </w:p>
    <w:p w14:paraId="0B00456D" w14:textId="613B5904" w:rsidR="0063046F" w:rsidRPr="00DE34A4" w:rsidRDefault="00004E68" w:rsidP="0063046F">
      <w:pPr>
        <w:pStyle w:val="TOC3"/>
        <w:rPr>
          <w:rStyle w:val="Hyperlink"/>
          <w:color w:val="auto"/>
        </w:rPr>
      </w:pPr>
      <w:hyperlink w:anchor="_Toc159859302" w:history="1">
        <w:r w:rsidR="0063046F" w:rsidRPr="00DE34A4">
          <w:rPr>
            <w:rStyle w:val="Hyperlink"/>
            <w:color w:val="auto"/>
          </w:rPr>
          <w:t>3.2 Budgeted Financial Statements</w:t>
        </w:r>
        <w:r w:rsidR="0063046F" w:rsidRPr="00DE34A4">
          <w:rPr>
            <w:rStyle w:val="Hyperlink"/>
            <w:webHidden/>
            <w:color w:val="auto"/>
          </w:rPr>
          <w:tab/>
        </w:r>
        <w:r w:rsidR="0063046F" w:rsidRPr="00DE34A4">
          <w:rPr>
            <w:rStyle w:val="Hyperlink"/>
            <w:webHidden/>
            <w:color w:val="auto"/>
          </w:rPr>
          <w:fldChar w:fldCharType="begin"/>
        </w:r>
        <w:r w:rsidR="0063046F" w:rsidRPr="00DE34A4">
          <w:rPr>
            <w:rStyle w:val="Hyperlink"/>
            <w:webHidden/>
            <w:color w:val="auto"/>
          </w:rPr>
          <w:instrText xml:space="preserve"> PAGEREF _Toc159859302 \h </w:instrText>
        </w:r>
        <w:r w:rsidR="0063046F" w:rsidRPr="00DE34A4">
          <w:rPr>
            <w:rStyle w:val="Hyperlink"/>
            <w:webHidden/>
            <w:color w:val="auto"/>
          </w:rPr>
        </w:r>
        <w:r w:rsidR="0063046F" w:rsidRPr="00DE34A4">
          <w:rPr>
            <w:rStyle w:val="Hyperlink"/>
            <w:webHidden/>
            <w:color w:val="auto"/>
          </w:rPr>
          <w:fldChar w:fldCharType="separate"/>
        </w:r>
        <w:r w:rsidR="002533F1">
          <w:rPr>
            <w:rStyle w:val="Hyperlink"/>
            <w:webHidden/>
            <w:color w:val="auto"/>
          </w:rPr>
          <w:t>217</w:t>
        </w:r>
        <w:r w:rsidR="0063046F" w:rsidRPr="00DE34A4">
          <w:rPr>
            <w:rStyle w:val="Hyperlink"/>
            <w:webHidden/>
            <w:color w:val="auto"/>
          </w:rPr>
          <w:fldChar w:fldCharType="end"/>
        </w:r>
      </w:hyperlink>
    </w:p>
    <w:p w14:paraId="247420F8" w14:textId="181C2C6C" w:rsidR="0063046F" w:rsidRPr="00F94CEB" w:rsidRDefault="00004E68" w:rsidP="0063046F">
      <w:pPr>
        <w:pStyle w:val="TOC2"/>
        <w:rPr>
          <w:rFonts w:ascii="Calibri" w:hAnsi="Calibri" w:cs="Times New Roman"/>
          <w:b w:val="0"/>
          <w:caps w:val="0"/>
          <w:sz w:val="22"/>
          <w:szCs w:val="22"/>
          <w:lang w:val="en-AU"/>
        </w:rPr>
      </w:pPr>
      <w:hyperlink w:anchor="_Toc159859303" w:history="1">
        <w:r w:rsidR="0063046F" w:rsidRPr="004D15D1">
          <w:rPr>
            <w:rStyle w:val="Hyperlink"/>
          </w:rPr>
          <w:t>Glossary</w:t>
        </w:r>
        <w:r w:rsidR="0063046F">
          <w:rPr>
            <w:webHidden/>
          </w:rPr>
          <w:tab/>
        </w:r>
        <w:r w:rsidR="0063046F">
          <w:rPr>
            <w:webHidden/>
          </w:rPr>
          <w:fldChar w:fldCharType="begin"/>
        </w:r>
        <w:r w:rsidR="0063046F">
          <w:rPr>
            <w:webHidden/>
          </w:rPr>
          <w:instrText xml:space="preserve"> PAGEREF _Toc159859303 \h </w:instrText>
        </w:r>
        <w:r w:rsidR="0063046F">
          <w:rPr>
            <w:webHidden/>
          </w:rPr>
        </w:r>
        <w:r w:rsidR="0063046F">
          <w:rPr>
            <w:webHidden/>
          </w:rPr>
          <w:fldChar w:fldCharType="separate"/>
        </w:r>
        <w:r w:rsidR="002533F1">
          <w:rPr>
            <w:webHidden/>
          </w:rPr>
          <w:t>222</w:t>
        </w:r>
        <w:r w:rsidR="0063046F">
          <w:rPr>
            <w:webHidden/>
          </w:rPr>
          <w:fldChar w:fldCharType="end"/>
        </w:r>
      </w:hyperlink>
    </w:p>
    <w:p w14:paraId="162190AE" w14:textId="7B0208E6" w:rsidR="0063046F" w:rsidRPr="00F94CEB" w:rsidRDefault="00004E68" w:rsidP="0063046F">
      <w:pPr>
        <w:pStyle w:val="TOC2"/>
        <w:rPr>
          <w:rFonts w:ascii="Calibri" w:hAnsi="Calibri" w:cs="Times New Roman"/>
          <w:b w:val="0"/>
          <w:caps w:val="0"/>
          <w:sz w:val="22"/>
          <w:szCs w:val="22"/>
          <w:lang w:val="en-AU"/>
        </w:rPr>
      </w:pPr>
      <w:hyperlink w:anchor="_Toc159859304" w:history="1">
        <w:r w:rsidR="0063046F" w:rsidRPr="004D15D1">
          <w:rPr>
            <w:rStyle w:val="Hyperlink"/>
          </w:rPr>
          <w:t>Acronyms</w:t>
        </w:r>
        <w:r w:rsidR="0063046F">
          <w:rPr>
            <w:webHidden/>
          </w:rPr>
          <w:tab/>
        </w:r>
        <w:r w:rsidR="0063046F">
          <w:rPr>
            <w:webHidden/>
          </w:rPr>
          <w:fldChar w:fldCharType="begin"/>
        </w:r>
        <w:r w:rsidR="0063046F">
          <w:rPr>
            <w:webHidden/>
          </w:rPr>
          <w:instrText xml:space="preserve"> PAGEREF _Toc159859304 \h </w:instrText>
        </w:r>
        <w:r w:rsidR="0063046F">
          <w:rPr>
            <w:webHidden/>
          </w:rPr>
        </w:r>
        <w:r w:rsidR="0063046F">
          <w:rPr>
            <w:webHidden/>
          </w:rPr>
          <w:fldChar w:fldCharType="separate"/>
        </w:r>
        <w:r w:rsidR="002533F1">
          <w:rPr>
            <w:webHidden/>
          </w:rPr>
          <w:t>228</w:t>
        </w:r>
        <w:r w:rsidR="0063046F">
          <w:rPr>
            <w:webHidden/>
          </w:rPr>
          <w:fldChar w:fldCharType="end"/>
        </w:r>
      </w:hyperlink>
    </w:p>
    <w:p w14:paraId="20B81ABC" w14:textId="77777777" w:rsidR="0063046F" w:rsidRPr="0063046F" w:rsidRDefault="0063046F" w:rsidP="0063046F">
      <w:pPr>
        <w:tabs>
          <w:tab w:val="right" w:leader="dot" w:pos="7655"/>
          <w:tab w:val="right" w:leader="dot" w:pos="8647"/>
        </w:tabs>
        <w:spacing w:before="120" w:after="120"/>
        <w:rPr>
          <w:rFonts w:ascii="Arial" w:hAnsi="Arial"/>
          <w:b/>
          <w:noProof/>
          <w:szCs w:val="20"/>
        </w:rPr>
      </w:pPr>
      <w:r w:rsidRPr="00D25882">
        <w:rPr>
          <w:rFonts w:ascii="Arial" w:hAnsi="Arial"/>
          <w:b/>
          <w:noProof/>
          <w:szCs w:val="20"/>
        </w:rPr>
        <w:fldChar w:fldCharType="end"/>
      </w:r>
    </w:p>
    <w:p w14:paraId="51E668A0" w14:textId="77777777" w:rsidR="0063046F" w:rsidRPr="00B56FAA" w:rsidRDefault="0063046F">
      <w:pPr>
        <w:spacing w:before="0" w:after="0"/>
        <w:rPr>
          <w:noProof/>
          <w:lang w:val="en-AU"/>
        </w:rPr>
      </w:pPr>
    </w:p>
    <w:p w14:paraId="0F48A329" w14:textId="77777777" w:rsidR="001C3520" w:rsidRPr="00B56FAA" w:rsidRDefault="001C3520" w:rsidP="00847890">
      <w:pPr>
        <w:rPr>
          <w:lang w:val="en-AU"/>
        </w:rPr>
        <w:sectPr w:rsidR="001C3520" w:rsidRPr="00B56FAA" w:rsidSect="00C30BE6">
          <w:headerReference w:type="even" r:id="rId28"/>
          <w:headerReference w:type="default" r:id="rId29"/>
          <w:footerReference w:type="even" r:id="rId30"/>
          <w:footerReference w:type="default" r:id="rId31"/>
          <w:pgSz w:w="11906" w:h="16838" w:code="9"/>
          <w:pgMar w:top="1701" w:right="1361" w:bottom="1701" w:left="1928" w:header="720" w:footer="720" w:gutter="0"/>
          <w:pgNumType w:fmt="lowerRoman"/>
          <w:cols w:space="720"/>
        </w:sectPr>
      </w:pPr>
    </w:p>
    <w:bookmarkEnd w:id="142"/>
    <w:bookmarkEnd w:id="143"/>
    <w:bookmarkEnd w:id="144"/>
    <w:bookmarkEnd w:id="145"/>
    <w:bookmarkEnd w:id="146"/>
    <w:p w14:paraId="70A817FC" w14:textId="77777777" w:rsidR="00CE18F4" w:rsidRPr="00B56FAA" w:rsidRDefault="00CE18F4" w:rsidP="00CE18F4">
      <w:pPr>
        <w:ind w:left="2" w:firstLine="1"/>
        <w:jc w:val="center"/>
        <w:rPr>
          <w:lang w:val="en-AU"/>
        </w:rPr>
      </w:pPr>
    </w:p>
    <w:p w14:paraId="7BAD124F" w14:textId="77777777" w:rsidR="00F232BC" w:rsidRPr="00B56FAA" w:rsidRDefault="00F232BC" w:rsidP="00F82D95">
      <w:pPr>
        <w:tabs>
          <w:tab w:val="right" w:leader="dot" w:pos="7655"/>
          <w:tab w:val="right" w:leader="dot" w:pos="8647"/>
        </w:tabs>
        <w:spacing w:before="80" w:after="80"/>
        <w:rPr>
          <w:rFonts w:ascii="Arial" w:hAnsi="Arial"/>
          <w:szCs w:val="20"/>
          <w:lang w:val="en-AU"/>
        </w:rPr>
      </w:pPr>
    </w:p>
    <w:p w14:paraId="39A452F7" w14:textId="77777777" w:rsidR="00053D39" w:rsidRPr="00B56FAA" w:rsidRDefault="00053D39" w:rsidP="00053D39">
      <w:pPr>
        <w:pStyle w:val="HeadingTitlePage"/>
        <w:rPr>
          <w:lang w:val="en-AU"/>
        </w:rPr>
      </w:pPr>
    </w:p>
    <w:p w14:paraId="700FA7B7" w14:textId="77777777" w:rsidR="00053D39" w:rsidRPr="00B56FAA" w:rsidRDefault="00053D39" w:rsidP="00053D39">
      <w:pPr>
        <w:pStyle w:val="HeadingTitlePage"/>
        <w:rPr>
          <w:lang w:val="en-AU"/>
        </w:rPr>
      </w:pPr>
    </w:p>
    <w:p w14:paraId="23A21D74" w14:textId="77777777" w:rsidR="00053D39" w:rsidRPr="00B56FAA" w:rsidRDefault="00053D39" w:rsidP="00053D39">
      <w:pPr>
        <w:pStyle w:val="HeadingTitlePage"/>
        <w:rPr>
          <w:lang w:val="en-AU"/>
        </w:rPr>
      </w:pPr>
    </w:p>
    <w:p w14:paraId="1D50BC4A" w14:textId="77777777" w:rsidR="00053D39" w:rsidRPr="00B56FAA" w:rsidRDefault="00053D39" w:rsidP="00053D39">
      <w:pPr>
        <w:pStyle w:val="HeadingTitlePage"/>
        <w:rPr>
          <w:lang w:val="en-AU"/>
        </w:rPr>
      </w:pPr>
    </w:p>
    <w:p w14:paraId="3D5431DC" w14:textId="77777777" w:rsidR="00E04BCF" w:rsidRPr="00B56FAA" w:rsidRDefault="00E04BCF" w:rsidP="00053D39">
      <w:pPr>
        <w:pStyle w:val="HeadingTitlePage"/>
        <w:rPr>
          <w:lang w:val="en-AU"/>
        </w:rPr>
      </w:pPr>
    </w:p>
    <w:p w14:paraId="620989A1" w14:textId="77777777" w:rsidR="00053D39" w:rsidRPr="00B56FAA" w:rsidRDefault="00053D39" w:rsidP="00053D39">
      <w:pPr>
        <w:pStyle w:val="HeadingTitlePage"/>
        <w:rPr>
          <w:lang w:val="en-AU"/>
        </w:rPr>
      </w:pPr>
    </w:p>
    <w:p w14:paraId="22F1D4FC" w14:textId="77777777" w:rsidR="00EA1050" w:rsidRPr="00B56FAA" w:rsidRDefault="00EA1050" w:rsidP="00EA1050">
      <w:pPr>
        <w:pStyle w:val="Heading2"/>
        <w:spacing w:before="0" w:after="360"/>
        <w:jc w:val="center"/>
        <w:rPr>
          <w:rFonts w:ascii="Arial Bold" w:hAnsi="Arial Bold"/>
          <w:b/>
          <w:sz w:val="52"/>
          <w:szCs w:val="52"/>
        </w:rPr>
      </w:pPr>
      <w:bookmarkStart w:id="227" w:name="_Toc190766147"/>
      <w:bookmarkStart w:id="228" w:name="_Toc444523505"/>
      <w:bookmarkStart w:id="229" w:name="_Toc2018141"/>
      <w:bookmarkStart w:id="230" w:name="_Toc29898857"/>
      <w:bookmarkStart w:id="231" w:name="_Toc51691665"/>
      <w:bookmarkStart w:id="232" w:name="_Toc65150729"/>
      <w:bookmarkStart w:id="233" w:name="_Toc69729034"/>
      <w:bookmarkStart w:id="234" w:name="_Toc69913609"/>
      <w:bookmarkStart w:id="235" w:name="_Toc69917828"/>
      <w:bookmarkStart w:id="236" w:name="_Toc97747817"/>
      <w:bookmarkStart w:id="237" w:name="_Toc108088928"/>
      <w:bookmarkStart w:id="238" w:name="_Toc108089007"/>
      <w:bookmarkStart w:id="239" w:name="_Toc108089402"/>
      <w:bookmarkStart w:id="240" w:name="_Toc109227287"/>
      <w:bookmarkStart w:id="241" w:name="_Toc109227724"/>
      <w:bookmarkStart w:id="242" w:name="_Toc158896240"/>
      <w:bookmarkStart w:id="243" w:name="_Toc158896297"/>
      <w:bookmarkStart w:id="244" w:name="_Toc159499671"/>
      <w:bookmarkStart w:id="245" w:name="_Toc159857668"/>
      <w:bookmarkStart w:id="246" w:name="_Toc159857747"/>
      <w:bookmarkStart w:id="247" w:name="_Toc159858143"/>
      <w:bookmarkStart w:id="248" w:name="_Toc159858414"/>
      <w:bookmarkStart w:id="249" w:name="_Toc159858808"/>
      <w:bookmarkStart w:id="250" w:name="_Toc159858878"/>
      <w:bookmarkStart w:id="251" w:name="_Toc159859088"/>
      <w:bookmarkStart w:id="252" w:name="_Toc159859240"/>
      <w:bookmarkStart w:id="253" w:name="_Toc159862278"/>
      <w:bookmarkStart w:id="254" w:name="_Toc159862468"/>
      <w:r w:rsidRPr="00B56FAA">
        <w:rPr>
          <w:rFonts w:ascii="Arial Bold" w:hAnsi="Arial Bold"/>
          <w:b/>
          <w:sz w:val="52"/>
          <w:szCs w:val="52"/>
        </w:rPr>
        <w:t xml:space="preserve">Portfolio </w:t>
      </w:r>
      <w:bookmarkEnd w:id="227"/>
      <w:r w:rsidRPr="00B56FAA">
        <w:rPr>
          <w:rFonts w:ascii="Arial Bold" w:hAnsi="Arial Bold"/>
          <w:b/>
          <w:sz w:val="52"/>
          <w:szCs w:val="52"/>
        </w:rPr>
        <w:t>Overview</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14:paraId="328485D0" w14:textId="77777777" w:rsidR="0009532B" w:rsidRPr="00B56FAA" w:rsidRDefault="005E0D14" w:rsidP="0009532B">
      <w:pPr>
        <w:rPr>
          <w:lang w:val="en-AU"/>
        </w:rPr>
      </w:pPr>
      <w:r w:rsidRPr="00B56FAA">
        <w:rPr>
          <w:lang w:val="en-AU"/>
        </w:rPr>
        <w:br w:type="page"/>
      </w:r>
      <w:bookmarkStart w:id="255" w:name="_Toc340655851"/>
      <w:bookmarkStart w:id="256" w:name="_Toc340656259"/>
      <w:bookmarkStart w:id="257" w:name="_Toc340656889"/>
      <w:bookmarkStart w:id="258" w:name="_Toc340665289"/>
      <w:bookmarkStart w:id="259" w:name="_Toc340669813"/>
      <w:bookmarkStart w:id="260" w:name="_Toc346545720"/>
      <w:bookmarkStart w:id="261" w:name="_Toc346622274"/>
      <w:bookmarkStart w:id="262" w:name="_Toc346692734"/>
      <w:bookmarkStart w:id="263" w:name="_Toc346713077"/>
      <w:bookmarkStart w:id="264" w:name="_Toc346788746"/>
      <w:bookmarkStart w:id="265" w:name="_Toc346824122"/>
      <w:bookmarkStart w:id="266" w:name="_Toc346891293"/>
      <w:bookmarkStart w:id="267" w:name="_Toc347238745"/>
      <w:bookmarkStart w:id="268" w:name="_Toc347415194"/>
      <w:bookmarkStart w:id="269" w:name="_Toc347473793"/>
      <w:bookmarkStart w:id="270" w:name="_Toc347481819"/>
      <w:bookmarkStart w:id="271" w:name="_Toc347490054"/>
      <w:bookmarkStart w:id="272" w:name="_Toc347744280"/>
      <w:bookmarkStart w:id="273" w:name="_Toc347754522"/>
      <w:bookmarkStart w:id="274" w:name="_Toc347757648"/>
      <w:bookmarkStart w:id="275" w:name="_Toc347764590"/>
      <w:bookmarkStart w:id="276" w:name="_Toc347766451"/>
      <w:bookmarkStart w:id="277" w:name="_Toc353889397"/>
      <w:bookmarkStart w:id="278" w:name="_Toc354470953"/>
      <w:bookmarkStart w:id="279" w:name="_Toc354565554"/>
      <w:bookmarkStart w:id="280" w:name="_Toc354580477"/>
      <w:bookmarkStart w:id="281" w:name="_Toc354591377"/>
      <w:bookmarkStart w:id="282" w:name="_Toc354734107"/>
      <w:bookmarkStart w:id="283" w:name="_Toc355020205"/>
      <w:bookmarkStart w:id="284" w:name="_Toc355262882"/>
      <w:bookmarkStart w:id="285" w:name="_Toc355271237"/>
      <w:bookmarkStart w:id="286" w:name="_Toc355343306"/>
      <w:bookmarkStart w:id="287" w:name="_Toc355620794"/>
      <w:bookmarkStart w:id="288" w:name="_Toc359245763"/>
      <w:bookmarkStart w:id="289" w:name="_Toc374969017"/>
      <w:bookmarkStart w:id="290" w:name="_Toc375310529"/>
    </w:p>
    <w:p w14:paraId="210E543B" w14:textId="77777777" w:rsidR="0009532B" w:rsidRPr="00B56FAA" w:rsidRDefault="0009532B" w:rsidP="0009532B">
      <w:pPr>
        <w:rPr>
          <w:lang w:val="en-AU"/>
        </w:rPr>
      </w:pPr>
    </w:p>
    <w:p w14:paraId="3DC222D7" w14:textId="77777777" w:rsidR="0009532B" w:rsidRPr="00B56FAA" w:rsidRDefault="0009532B" w:rsidP="0009532B">
      <w:pPr>
        <w:rPr>
          <w:lang w:val="en-AU"/>
        </w:rPr>
      </w:pPr>
    </w:p>
    <w:p w14:paraId="5BBF6FEA" w14:textId="77777777" w:rsidR="0009532B" w:rsidRPr="00B56FAA" w:rsidRDefault="0009532B" w:rsidP="0009532B">
      <w:pPr>
        <w:rPr>
          <w:lang w:val="en-AU"/>
        </w:rPr>
      </w:pPr>
    </w:p>
    <w:p w14:paraId="5A354DBB" w14:textId="77777777" w:rsidR="0009532B" w:rsidRPr="00B56FAA" w:rsidRDefault="0009532B" w:rsidP="0009532B">
      <w:pPr>
        <w:rPr>
          <w:lang w:val="en-AU"/>
        </w:rPr>
      </w:pPr>
    </w:p>
    <w:p w14:paraId="49F3E416" w14:textId="77777777" w:rsidR="0009532B" w:rsidRPr="00B56FAA" w:rsidRDefault="0009532B" w:rsidP="0009532B">
      <w:pPr>
        <w:rPr>
          <w:lang w:val="en-AU"/>
        </w:rPr>
      </w:pPr>
    </w:p>
    <w:p w14:paraId="2C820213" w14:textId="77777777" w:rsidR="0009532B" w:rsidRPr="00B56FAA" w:rsidRDefault="0009532B" w:rsidP="0009532B">
      <w:pPr>
        <w:rPr>
          <w:lang w:val="en-AU"/>
        </w:rPr>
      </w:pPr>
    </w:p>
    <w:p w14:paraId="129663D4" w14:textId="77777777" w:rsidR="0009532B" w:rsidRPr="00B56FAA" w:rsidRDefault="0009532B" w:rsidP="0009532B">
      <w:pPr>
        <w:rPr>
          <w:lang w:val="en-AU"/>
        </w:rPr>
      </w:pPr>
    </w:p>
    <w:p w14:paraId="2E807616" w14:textId="77777777" w:rsidR="0009532B" w:rsidRPr="00B56FAA" w:rsidRDefault="0009532B" w:rsidP="0009532B">
      <w:pPr>
        <w:rPr>
          <w:lang w:val="en-AU"/>
        </w:rPr>
      </w:pPr>
    </w:p>
    <w:p w14:paraId="113EFB11" w14:textId="77777777" w:rsidR="0009532B" w:rsidRPr="00B56FAA" w:rsidRDefault="0009532B" w:rsidP="0009532B">
      <w:pPr>
        <w:rPr>
          <w:lang w:val="en-AU"/>
        </w:rPr>
      </w:pPr>
    </w:p>
    <w:p w14:paraId="3832832F" w14:textId="77777777" w:rsidR="0009532B" w:rsidRPr="00B56FAA" w:rsidRDefault="0009532B" w:rsidP="0009532B">
      <w:pPr>
        <w:rPr>
          <w:lang w:val="en-AU"/>
        </w:rPr>
      </w:pPr>
    </w:p>
    <w:p w14:paraId="04DF6AE9" w14:textId="77777777" w:rsidR="0009532B" w:rsidRPr="00B56FAA" w:rsidRDefault="0009532B" w:rsidP="0009532B">
      <w:pPr>
        <w:rPr>
          <w:lang w:val="en-AU"/>
        </w:rPr>
      </w:pPr>
    </w:p>
    <w:p w14:paraId="0A150F0A" w14:textId="77777777" w:rsidR="005E0D14" w:rsidRPr="00B56FAA" w:rsidRDefault="005E0D14" w:rsidP="0009532B">
      <w:pPr>
        <w:rPr>
          <w:lang w:val="en-AU"/>
        </w:rPr>
      </w:pPr>
    </w:p>
    <w:p w14:paraId="64EEB46B" w14:textId="77777777" w:rsidR="0009532B" w:rsidRPr="00B56FAA" w:rsidRDefault="0009532B" w:rsidP="0009532B">
      <w:pPr>
        <w:ind w:left="2" w:firstLine="1"/>
        <w:jc w:val="center"/>
        <w:rPr>
          <w:lang w:val="en-AU"/>
        </w:rPr>
      </w:pPr>
      <w:r w:rsidRPr="00B56FAA">
        <w:rPr>
          <w:lang w:val="en-AU"/>
        </w:rPr>
        <w:t>This page intentionally left blank.</w:t>
      </w:r>
    </w:p>
    <w:p w14:paraId="348C5925" w14:textId="77777777" w:rsidR="00EA1050" w:rsidRPr="00B56FAA" w:rsidRDefault="005E0D14" w:rsidP="005069C9">
      <w:pPr>
        <w:pStyle w:val="BodyText"/>
        <w:spacing w:after="100"/>
        <w:rPr>
          <w:rFonts w:ascii="Arial Bold" w:hAnsi="Arial Bold"/>
          <w:b/>
          <w:sz w:val="36"/>
          <w:szCs w:val="36"/>
        </w:rPr>
      </w:pPr>
      <w:r w:rsidRPr="00B56FAA">
        <w:rPr>
          <w:lang w:val="en-AU"/>
        </w:rPr>
        <w:br w:type="page"/>
      </w:r>
      <w:bookmarkStart w:id="291" w:name="_Toc501442124"/>
      <w:bookmarkStart w:id="292" w:name="_Toc503861097"/>
      <w:bookmarkStart w:id="293" w:name="_Toc51690408"/>
      <w:bookmarkStart w:id="294" w:name="_Toc51690636"/>
      <w:bookmarkStart w:id="295" w:name="_Toc51690774"/>
      <w:bookmarkStart w:id="296" w:name="_Toc51691146"/>
      <w:bookmarkStart w:id="297" w:name="_Toc51691349"/>
      <w:bookmarkStart w:id="298" w:name="_Toc51691666"/>
      <w:bookmarkStart w:id="299" w:name="_Toc69729035"/>
      <w:bookmarkStart w:id="300" w:name="_Toc69917829"/>
      <w:bookmarkStart w:id="301" w:name="_Toc354591380"/>
      <w:bookmarkStart w:id="302" w:name="_Toc355020208"/>
      <w:bookmarkStart w:id="303" w:name="_Toc346545722"/>
      <w:bookmarkStart w:id="304" w:name="_Toc346622276"/>
      <w:bookmarkStart w:id="305" w:name="_Toc346692736"/>
      <w:bookmarkStart w:id="306" w:name="_Toc346713079"/>
      <w:bookmarkStart w:id="307" w:name="_Toc346788748"/>
      <w:bookmarkStart w:id="308" w:name="_Toc346824124"/>
      <w:bookmarkStart w:id="309" w:name="_Toc346891295"/>
      <w:bookmarkStart w:id="310" w:name="_Toc347238747"/>
      <w:bookmarkStart w:id="311" w:name="_Toc347415196"/>
      <w:bookmarkStart w:id="312" w:name="_Toc347473795"/>
      <w:bookmarkStart w:id="313" w:name="_Toc347481821"/>
      <w:bookmarkStart w:id="314" w:name="_Toc347490056"/>
      <w:bookmarkStart w:id="315" w:name="_Toc347744282"/>
      <w:bookmarkStart w:id="316" w:name="_Toc347754524"/>
      <w:bookmarkStart w:id="317" w:name="_Toc347757650"/>
      <w:bookmarkStart w:id="318" w:name="_Toc347764592"/>
      <w:bookmarkStart w:id="319" w:name="_Toc347766453"/>
      <w:bookmarkStart w:id="320" w:name="_Toc353889399"/>
      <w:bookmarkStart w:id="321" w:name="_Toc354470955"/>
      <w:bookmarkStart w:id="322" w:name="_Toc354565557"/>
      <w:bookmarkStart w:id="323" w:name="_Toc354580480"/>
      <w:bookmarkStart w:id="324" w:name="_Toc354591381"/>
      <w:bookmarkStart w:id="325" w:name="_Toc354734110"/>
      <w:bookmarkStart w:id="326" w:name="_Toc355020209"/>
      <w:bookmarkStart w:id="327" w:name="_Toc355262885"/>
      <w:bookmarkStart w:id="328" w:name="_Toc355271240"/>
      <w:bookmarkStart w:id="329" w:name="_Toc355343309"/>
      <w:bookmarkStart w:id="330" w:name="_Toc355620797"/>
      <w:bookmarkStart w:id="331" w:name="_Toc359245766"/>
      <w:bookmarkStart w:id="332" w:name="_Toc374969020"/>
      <w:bookmarkStart w:id="333" w:name="_Toc375310532"/>
      <w:bookmarkStart w:id="334" w:name="_Toc384298211"/>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r w:rsidR="00EA1050" w:rsidRPr="00B56FAA">
        <w:rPr>
          <w:rFonts w:ascii="Arial Bold" w:hAnsi="Arial Bold"/>
          <w:b/>
          <w:sz w:val="36"/>
          <w:szCs w:val="36"/>
        </w:rPr>
        <w:lastRenderedPageBreak/>
        <w:t xml:space="preserve">Defence Portfolio </w:t>
      </w:r>
      <w:r w:rsidR="00D56E52" w:rsidRPr="00B56FAA">
        <w:rPr>
          <w:rFonts w:ascii="Arial Bold" w:hAnsi="Arial Bold"/>
          <w:b/>
          <w:sz w:val="36"/>
          <w:szCs w:val="36"/>
        </w:rPr>
        <w:t>O</w:t>
      </w:r>
      <w:r w:rsidR="00EA1050" w:rsidRPr="00B56FAA">
        <w:rPr>
          <w:rFonts w:ascii="Arial Bold" w:hAnsi="Arial Bold"/>
          <w:b/>
          <w:sz w:val="36"/>
          <w:szCs w:val="36"/>
        </w:rPr>
        <w:t>verview</w:t>
      </w:r>
      <w:bookmarkEnd w:id="291"/>
      <w:bookmarkEnd w:id="292"/>
      <w:bookmarkEnd w:id="293"/>
      <w:bookmarkEnd w:id="294"/>
      <w:bookmarkEnd w:id="295"/>
      <w:bookmarkEnd w:id="296"/>
      <w:bookmarkEnd w:id="297"/>
      <w:bookmarkEnd w:id="298"/>
      <w:bookmarkEnd w:id="299"/>
      <w:bookmarkEnd w:id="300"/>
    </w:p>
    <w:p w14:paraId="0744A5FB" w14:textId="77777777" w:rsidR="005069C9" w:rsidRPr="00BE3D64" w:rsidRDefault="005069C9" w:rsidP="005069C9">
      <w:pPr>
        <w:pStyle w:val="Heading3"/>
        <w:spacing w:before="120" w:after="120"/>
        <w:rPr>
          <w:bCs w:val="0"/>
          <w:iCs/>
          <w:smallCaps w:val="0"/>
        </w:rPr>
      </w:pPr>
      <w:bookmarkStart w:id="335" w:name="_Toc374969018"/>
      <w:bookmarkStart w:id="336" w:name="_Toc375310530"/>
      <w:bookmarkStart w:id="337" w:name="_Toc501442125"/>
      <w:bookmarkStart w:id="338" w:name="_Toc503861098"/>
      <w:bookmarkStart w:id="339" w:name="_Toc384298209"/>
      <w:bookmarkStart w:id="340" w:name="_Toc534886321"/>
      <w:bookmarkStart w:id="341" w:name="_Toc534886514"/>
      <w:bookmarkStart w:id="342" w:name="_Toc534908441"/>
      <w:bookmarkStart w:id="343" w:name="_Toc23502278"/>
      <w:bookmarkStart w:id="344" w:name="_Toc29898858"/>
      <w:bookmarkStart w:id="345" w:name="_Toc51691667"/>
      <w:bookmarkStart w:id="346" w:name="_Toc69729036"/>
      <w:bookmarkStart w:id="347" w:name="_Toc69917830"/>
      <w:bookmarkStart w:id="348" w:name="_Toc97747818"/>
      <w:bookmarkStart w:id="349" w:name="_Toc108088929"/>
      <w:bookmarkStart w:id="350" w:name="_Toc108089008"/>
      <w:bookmarkStart w:id="351" w:name="_Toc108089403"/>
      <w:bookmarkStart w:id="352" w:name="_Toc109227288"/>
      <w:bookmarkStart w:id="353" w:name="_Toc109227725"/>
      <w:bookmarkStart w:id="354" w:name="_Toc149060102"/>
      <w:bookmarkStart w:id="355" w:name="_Toc149115986"/>
      <w:bookmarkStart w:id="356" w:name="_Toc149119309"/>
      <w:bookmarkStart w:id="357" w:name="_Toc149233099"/>
      <w:bookmarkStart w:id="358" w:name="_Toc155955115"/>
      <w:bookmarkStart w:id="359" w:name="_Toc159499672"/>
      <w:bookmarkStart w:id="360" w:name="_Toc159857669"/>
      <w:bookmarkStart w:id="361" w:name="_Toc159857748"/>
      <w:bookmarkStart w:id="362" w:name="_Toc159858144"/>
      <w:bookmarkStart w:id="363" w:name="_Toc159858415"/>
      <w:bookmarkStart w:id="364" w:name="_Toc159858809"/>
      <w:bookmarkStart w:id="365" w:name="_Toc159858879"/>
      <w:bookmarkStart w:id="366" w:name="_Toc159859089"/>
      <w:bookmarkStart w:id="367" w:name="_Toc159859241"/>
      <w:bookmarkStart w:id="368" w:name="_Toc159862279"/>
      <w:bookmarkStart w:id="369" w:name="_Toc159862469"/>
      <w:bookmarkStart w:id="370" w:name="_Toc501442127"/>
      <w:bookmarkStart w:id="371" w:name="_Toc503861100"/>
      <w:bookmarkStart w:id="372" w:name="_Toc534886323"/>
      <w:bookmarkStart w:id="373" w:name="_Toc534886516"/>
      <w:bookmarkStart w:id="374" w:name="_Toc534908443"/>
      <w:bookmarkStart w:id="375" w:name="_Toc23502280"/>
      <w:bookmarkStart w:id="376" w:name="_Toc29898860"/>
      <w:bookmarkStart w:id="377" w:name="_Toc51691669"/>
      <w:bookmarkStart w:id="378" w:name="_Toc69729037"/>
      <w:bookmarkStart w:id="379" w:name="_Toc69917832"/>
      <w:bookmarkStart w:id="380" w:name="_Toc340655854"/>
      <w:bookmarkStart w:id="381" w:name="_Toc340656262"/>
      <w:bookmarkStart w:id="382" w:name="_Toc340656892"/>
      <w:bookmarkStart w:id="383" w:name="_Toc340665292"/>
      <w:bookmarkStart w:id="384" w:name="_Toc340669816"/>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r w:rsidRPr="00BE3D64">
        <w:rPr>
          <w:bCs w:val="0"/>
          <w:iCs/>
          <w:smallCaps w:val="0"/>
        </w:rPr>
        <w:t>Ministers and their Portfolio Responsibilities</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14:paraId="7B5DCC9C" w14:textId="442BEA8E" w:rsidR="00DD5F12" w:rsidRPr="00BE3D64" w:rsidRDefault="00DD5F12" w:rsidP="00DD5F12">
      <w:pPr>
        <w:pStyle w:val="BodyText"/>
        <w:spacing w:after="100"/>
      </w:pPr>
      <w:r w:rsidRPr="00BE3D64">
        <w:t xml:space="preserve">The Defence Portfolio </w:t>
      </w:r>
      <w:r w:rsidR="00BF394C" w:rsidRPr="00D556C5">
        <w:t>(</w:t>
      </w:r>
      <w:r w:rsidR="00BF394C">
        <w:t xml:space="preserve">the </w:t>
      </w:r>
      <w:r w:rsidR="00BF394C" w:rsidRPr="00D556C5">
        <w:t>Portfolio)</w:t>
      </w:r>
      <w:r w:rsidR="00BF394C">
        <w:t xml:space="preserve"> </w:t>
      </w:r>
      <w:r w:rsidRPr="00BE3D64">
        <w:t xml:space="preserve">has </w:t>
      </w:r>
      <w:r>
        <w:t>three</w:t>
      </w:r>
      <w:r w:rsidRPr="00BE3D64">
        <w:t xml:space="preserve"> Ministers:</w:t>
      </w:r>
    </w:p>
    <w:p w14:paraId="587F88A3" w14:textId="77777777" w:rsidR="00DD5F12" w:rsidRPr="00BE3D64" w:rsidRDefault="00DD5F12" w:rsidP="00444A89">
      <w:pPr>
        <w:pStyle w:val="BodyText"/>
        <w:numPr>
          <w:ilvl w:val="0"/>
          <w:numId w:val="43"/>
        </w:numPr>
        <w:tabs>
          <w:tab w:val="left" w:pos="284"/>
        </w:tabs>
        <w:spacing w:after="100"/>
        <w:ind w:left="709" w:hanging="720"/>
      </w:pPr>
      <w:r>
        <w:t>t</w:t>
      </w:r>
      <w:r w:rsidRPr="00BE3D64">
        <w:t>he Hon Richard Marles MP, Deputy Prime Minister</w:t>
      </w:r>
      <w:r>
        <w:t xml:space="preserve"> and Minister for Defence;</w:t>
      </w:r>
    </w:p>
    <w:p w14:paraId="2FA9BABE" w14:textId="77777777" w:rsidR="00DD5F12" w:rsidRPr="00BE3D64" w:rsidRDefault="00DD5F12" w:rsidP="00444A89">
      <w:pPr>
        <w:pStyle w:val="BodyText"/>
        <w:numPr>
          <w:ilvl w:val="0"/>
          <w:numId w:val="43"/>
        </w:numPr>
        <w:tabs>
          <w:tab w:val="left" w:pos="284"/>
        </w:tabs>
        <w:spacing w:after="100"/>
        <w:ind w:left="284" w:hanging="284"/>
      </w:pPr>
      <w:r>
        <w:t>t</w:t>
      </w:r>
      <w:r w:rsidRPr="00BE3D64">
        <w:t>he Hon Pat Conroy MP</w:t>
      </w:r>
      <w:r>
        <w:t>, Minister for Defence Industry and Capability Delivery and Minister for International Development and the Pacific; and</w:t>
      </w:r>
    </w:p>
    <w:p w14:paraId="1D6DE996" w14:textId="77777777" w:rsidR="00DD5F12" w:rsidRPr="00BE3D64" w:rsidRDefault="00DD5F12" w:rsidP="00444A89">
      <w:pPr>
        <w:pStyle w:val="BodyText"/>
        <w:numPr>
          <w:ilvl w:val="0"/>
          <w:numId w:val="43"/>
        </w:numPr>
        <w:tabs>
          <w:tab w:val="left" w:pos="284"/>
        </w:tabs>
        <w:spacing w:after="100"/>
        <w:ind w:left="284" w:hanging="295"/>
      </w:pPr>
      <w:r>
        <w:t>t</w:t>
      </w:r>
      <w:r w:rsidRPr="00BE3D64">
        <w:t>he Hon Matt Keogh MP, Minister for Veterans’ Affairs and</w:t>
      </w:r>
      <w:r>
        <w:t xml:space="preserve"> Minister for Defence Personnel.</w:t>
      </w:r>
    </w:p>
    <w:p w14:paraId="1CA6DBD0" w14:textId="77777777" w:rsidR="00DD5F12" w:rsidRPr="00D15635" w:rsidRDefault="00DD5F12" w:rsidP="00DD5F12">
      <w:pPr>
        <w:pStyle w:val="BodyText"/>
        <w:tabs>
          <w:tab w:val="left" w:pos="284"/>
        </w:tabs>
        <w:spacing w:after="100"/>
      </w:pPr>
      <w:r w:rsidRPr="00D15635">
        <w:t>In addition to these Ministers, the following Minister was sworn in as a Minister involved in the administration of the Department of Defence:</w:t>
      </w:r>
    </w:p>
    <w:p w14:paraId="484B7681" w14:textId="77777777" w:rsidR="00DD5F12" w:rsidRPr="00D15635" w:rsidRDefault="00DD5F12" w:rsidP="00444A89">
      <w:pPr>
        <w:pStyle w:val="BodyText"/>
        <w:numPr>
          <w:ilvl w:val="0"/>
          <w:numId w:val="43"/>
        </w:numPr>
        <w:tabs>
          <w:tab w:val="left" w:pos="284"/>
        </w:tabs>
        <w:spacing w:after="100"/>
        <w:ind w:left="284" w:hanging="284"/>
      </w:pPr>
      <w:r w:rsidRPr="00D15635">
        <w:t>the Hon Tony Burke MP, Minister for Home Affairs, Minister for Immigration and Multicultural Affairs, Minister for Cyber Security and Minister for the Arts.</w:t>
      </w:r>
    </w:p>
    <w:p w14:paraId="120E18B2" w14:textId="1F1EE5B9" w:rsidR="00DD5F12" w:rsidRPr="00D15635" w:rsidRDefault="00DD5F12" w:rsidP="00DD5F12">
      <w:pPr>
        <w:pStyle w:val="BodyText"/>
        <w:tabs>
          <w:tab w:val="left" w:pos="284"/>
        </w:tabs>
        <w:spacing w:after="100"/>
      </w:pPr>
      <w:r w:rsidRPr="00D15635">
        <w:t>In addition to the above M</w:t>
      </w:r>
      <w:r>
        <w:t>inisters, on 29 July 2024</w:t>
      </w:r>
      <w:r w:rsidR="00C04326">
        <w:t>,</w:t>
      </w:r>
      <w:r>
        <w:t xml:space="preserve"> </w:t>
      </w:r>
      <w:r w:rsidRPr="00D15635">
        <w:t>the Prime Minister made the following non</w:t>
      </w:r>
      <w:r w:rsidRPr="00D15635">
        <w:noBreakHyphen/>
        <w:t xml:space="preserve">Ministerial appointments: </w:t>
      </w:r>
    </w:p>
    <w:p w14:paraId="41D6125F" w14:textId="77777777" w:rsidR="00DD5F12" w:rsidRPr="00DD5F12" w:rsidRDefault="00DD5F12" w:rsidP="00444A89">
      <w:pPr>
        <w:pStyle w:val="BodyText"/>
        <w:numPr>
          <w:ilvl w:val="0"/>
          <w:numId w:val="43"/>
        </w:numPr>
        <w:tabs>
          <w:tab w:val="left" w:pos="284"/>
        </w:tabs>
        <w:spacing w:after="100"/>
        <w:ind w:left="284" w:hanging="284"/>
      </w:pPr>
      <w:r w:rsidRPr="00D15635">
        <w:t xml:space="preserve">Mr Luke Gosling OAM MP, Special Envoy for Defence, Veterans’ Affairs and </w:t>
      </w:r>
      <w:r w:rsidRPr="00DD5F12">
        <w:t>Northern Australia; and</w:t>
      </w:r>
    </w:p>
    <w:p w14:paraId="6F059E17" w14:textId="60264E2D" w:rsidR="005069C9" w:rsidRPr="00CD03A8" w:rsidRDefault="00DD5F12" w:rsidP="00444A89">
      <w:pPr>
        <w:pStyle w:val="BodyText"/>
        <w:numPr>
          <w:ilvl w:val="0"/>
          <w:numId w:val="43"/>
        </w:numPr>
        <w:tabs>
          <w:tab w:val="left" w:pos="284"/>
        </w:tabs>
        <w:spacing w:after="100"/>
        <w:ind w:left="284" w:hanging="284"/>
      </w:pPr>
      <w:r w:rsidRPr="00DD5F12">
        <w:t>Dr Andrew Charlton MP, Special Envoy for Cyber Security and Digital Resilience</w:t>
      </w:r>
      <w:r w:rsidR="005069C9" w:rsidRPr="00CD03A8">
        <w:t>.</w:t>
      </w:r>
    </w:p>
    <w:p w14:paraId="458EC5AD" w14:textId="77777777" w:rsidR="005069C9" w:rsidRPr="00BE3D64" w:rsidRDefault="005069C9" w:rsidP="005069C9">
      <w:pPr>
        <w:pStyle w:val="Heading3"/>
        <w:spacing w:before="120" w:after="120"/>
        <w:rPr>
          <w:bCs w:val="0"/>
          <w:iCs/>
          <w:smallCaps w:val="0"/>
        </w:rPr>
      </w:pPr>
      <w:bookmarkStart w:id="385" w:name="_Toc149060103"/>
      <w:bookmarkStart w:id="386" w:name="_Toc149115987"/>
      <w:bookmarkStart w:id="387" w:name="_Toc149119310"/>
      <w:bookmarkStart w:id="388" w:name="_Toc149233100"/>
      <w:bookmarkStart w:id="389" w:name="_Toc155955116"/>
      <w:bookmarkStart w:id="390" w:name="_Toc159499673"/>
      <w:bookmarkStart w:id="391" w:name="_Toc159857670"/>
      <w:bookmarkStart w:id="392" w:name="_Toc159857749"/>
      <w:bookmarkStart w:id="393" w:name="_Toc159858145"/>
      <w:bookmarkStart w:id="394" w:name="_Toc159858416"/>
      <w:bookmarkStart w:id="395" w:name="_Toc159858810"/>
      <w:bookmarkStart w:id="396" w:name="_Toc159858880"/>
      <w:bookmarkStart w:id="397" w:name="_Toc159859090"/>
      <w:bookmarkStart w:id="398" w:name="_Toc159859242"/>
      <w:bookmarkStart w:id="399" w:name="_Toc159862280"/>
      <w:bookmarkStart w:id="400" w:name="_Toc159862470"/>
      <w:r w:rsidRPr="00BE3D64">
        <w:rPr>
          <w:bCs w:val="0"/>
          <w:iCs/>
          <w:smallCaps w:val="0"/>
        </w:rPr>
        <w:t>The Defence Portfolio</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14:paraId="106F4B0F" w14:textId="2B48FCD9" w:rsidR="00DD5F12" w:rsidRPr="00D556C5" w:rsidRDefault="00AE6088" w:rsidP="00DD5F12">
      <w:pPr>
        <w:pStyle w:val="BodyText"/>
        <w:spacing w:after="100"/>
      </w:pPr>
      <w:r>
        <w:t>The Portfolio</w:t>
      </w:r>
      <w:r w:rsidR="00DD5F12" w:rsidRPr="00D556C5">
        <w:t xml:space="preserve"> consists of component organisations that together are responsible for the defence of Australia and its national interests. The most significant bodies are the:</w:t>
      </w:r>
    </w:p>
    <w:p w14:paraId="189F3F57" w14:textId="77777777" w:rsidR="00DD5F12" w:rsidRPr="00D556C5" w:rsidRDefault="00DD5F12" w:rsidP="00444A89">
      <w:pPr>
        <w:pStyle w:val="BodyText"/>
        <w:numPr>
          <w:ilvl w:val="0"/>
          <w:numId w:val="43"/>
        </w:numPr>
        <w:tabs>
          <w:tab w:val="left" w:pos="284"/>
        </w:tabs>
        <w:spacing w:after="100"/>
        <w:ind w:left="0" w:firstLine="0"/>
      </w:pPr>
      <w:r w:rsidRPr="00D556C5">
        <w:t>Department of Defence, headed by the Secretary of the Department of Defence; and</w:t>
      </w:r>
    </w:p>
    <w:p w14:paraId="304DAB9F" w14:textId="77777777" w:rsidR="00DD5F12" w:rsidRPr="00D556C5" w:rsidRDefault="00DD5F12" w:rsidP="00444A89">
      <w:pPr>
        <w:pStyle w:val="BodyText"/>
        <w:numPr>
          <w:ilvl w:val="0"/>
          <w:numId w:val="43"/>
        </w:numPr>
        <w:tabs>
          <w:tab w:val="left" w:pos="284"/>
        </w:tabs>
        <w:spacing w:after="100"/>
        <w:ind w:left="284" w:hanging="284"/>
      </w:pPr>
      <w:r w:rsidRPr="00D556C5">
        <w:t>Australian Defence Force (ADF), commanded by the Chief of the Defence Force.</w:t>
      </w:r>
    </w:p>
    <w:p w14:paraId="2EBDC363" w14:textId="77777777" w:rsidR="00DD5F12" w:rsidRPr="00D556C5" w:rsidRDefault="00DD5F12" w:rsidP="00DD5F12">
      <w:pPr>
        <w:pStyle w:val="BodyText"/>
        <w:spacing w:after="100"/>
      </w:pPr>
      <w:r w:rsidRPr="00D556C5">
        <w:t xml:space="preserve">Defence is established as a Department of State under the Administrative Arrangements Order. The Department of Defence operates under the </w:t>
      </w:r>
      <w:r w:rsidRPr="00D556C5">
        <w:rPr>
          <w:i/>
        </w:rPr>
        <w:t>Public Service Act 1999</w:t>
      </w:r>
      <w:r w:rsidRPr="00D556C5">
        <w:t xml:space="preserve"> and is a non-corporate Commonwealth entity under the </w:t>
      </w:r>
      <w:r w:rsidRPr="00D556C5">
        <w:rPr>
          <w:i/>
        </w:rPr>
        <w:t>Public Governance, Performance and Accountability Act 2013</w:t>
      </w:r>
      <w:r w:rsidRPr="00D556C5">
        <w:t xml:space="preserve">. The ADF is constituted </w:t>
      </w:r>
      <w:r w:rsidRPr="00D556C5">
        <w:rPr>
          <w:lang w:val="en-AU"/>
        </w:rPr>
        <w:t>through</w:t>
      </w:r>
      <w:r w:rsidRPr="00D556C5">
        <w:t xml:space="preserve"> the </w:t>
      </w:r>
      <w:r w:rsidRPr="00D556C5">
        <w:rPr>
          <w:i/>
        </w:rPr>
        <w:t>Defence Act 1903</w:t>
      </w:r>
      <w:r w:rsidRPr="00D556C5">
        <w:t>. In practice, these bodies work together closely and are broadly regarded as one organisation known simply as ‘Defence’.</w:t>
      </w:r>
    </w:p>
    <w:p w14:paraId="40FD7186" w14:textId="77777777" w:rsidR="00DD5F12" w:rsidRPr="00D556C5" w:rsidRDefault="00DD5F12" w:rsidP="00DD5F12">
      <w:pPr>
        <w:pStyle w:val="BodyText"/>
        <w:spacing w:after="100"/>
      </w:pPr>
      <w:r w:rsidRPr="00D556C5">
        <w:t>Defence’s primary roles are to protect and advance Australia’s strategic interests through the promotion of security and stability, provide military capabilities to defend Australia and its national interests, and support the Australian community and civilian authorities as directed by the Government.</w:t>
      </w:r>
    </w:p>
    <w:p w14:paraId="55F9033C" w14:textId="77777777" w:rsidR="00DD5F12" w:rsidRPr="00D556C5" w:rsidRDefault="00DD5F12" w:rsidP="00DD5F12">
      <w:pPr>
        <w:pStyle w:val="BodyText"/>
        <w:spacing w:after="100"/>
      </w:pPr>
      <w:r w:rsidRPr="00D556C5">
        <w:t xml:space="preserve">The Portfolio includes the Australian Signals Directorate (ASD), the Australian Submarine Agency (ASA) and Defence Housing </w:t>
      </w:r>
      <w:r w:rsidRPr="00D556C5">
        <w:rPr>
          <w:lang w:val="en-AU"/>
        </w:rPr>
        <w:t>Australia</w:t>
      </w:r>
      <w:r w:rsidRPr="00D556C5">
        <w:t xml:space="preserve"> (DHA). The Portfolio also contains some smaller entities, including a number of statutory offices, trusts and companies created under </w:t>
      </w:r>
      <w:r w:rsidRPr="00D556C5">
        <w:rPr>
          <w:i/>
        </w:rPr>
        <w:t xml:space="preserve">the Public Governance, Performance and Accountability Act 2013, Defence Force Discipline Act 1982 </w:t>
      </w:r>
      <w:r w:rsidRPr="00D556C5">
        <w:t>and</w:t>
      </w:r>
      <w:r w:rsidRPr="00D556C5">
        <w:rPr>
          <w:i/>
        </w:rPr>
        <w:t xml:space="preserve"> Defence Act 1903</w:t>
      </w:r>
      <w:r w:rsidRPr="00D556C5">
        <w:t xml:space="preserve">, which are independent but reside administratively within the Portfolio. </w:t>
      </w:r>
    </w:p>
    <w:p w14:paraId="064ACF19" w14:textId="77777777" w:rsidR="00AE6088" w:rsidRDefault="00AE6088" w:rsidP="00DD5F12">
      <w:pPr>
        <w:pStyle w:val="BodyText"/>
        <w:spacing w:after="100"/>
      </w:pPr>
    </w:p>
    <w:p w14:paraId="4CFE01AB" w14:textId="53ABF109" w:rsidR="00DD5F12" w:rsidRDefault="00DD5F12" w:rsidP="00DD5F12">
      <w:pPr>
        <w:pStyle w:val="BodyText"/>
        <w:spacing w:after="100"/>
      </w:pPr>
      <w:r w:rsidRPr="00D556C5">
        <w:lastRenderedPageBreak/>
        <w:t xml:space="preserve">The Department of Veterans’ Affairs (DVA) and associated bodies, as designated in the </w:t>
      </w:r>
      <w:r w:rsidRPr="00D556C5">
        <w:rPr>
          <w:lang w:val="en-AU"/>
        </w:rPr>
        <w:t>Administrative</w:t>
      </w:r>
      <w:r w:rsidRPr="00D556C5">
        <w:t xml:space="preserve"> Arrangements Order, also form part of the Portfolio. DVA is administered separately to Defence, and information related to the Department can be found in its Portfolio Budget and Portfolio Additional Estimate Statements.</w:t>
      </w:r>
    </w:p>
    <w:p w14:paraId="54D45105" w14:textId="6348ED5B" w:rsidR="00EE2C0C" w:rsidRPr="00D556C5" w:rsidRDefault="00EE2C0C" w:rsidP="00DD5F12">
      <w:pPr>
        <w:pStyle w:val="BodyText"/>
        <w:spacing w:after="100"/>
      </w:pPr>
      <w:r w:rsidRPr="00EE2C0C">
        <w:t xml:space="preserve">The Defence Executive Support Program </w:t>
      </w:r>
      <w:r>
        <w:t xml:space="preserve">2.2, </w:t>
      </w:r>
      <w:r w:rsidRPr="00EE2C0C">
        <w:t>includes amounts that will be transferred to the Australian Naval Nuclear Powered Submarine Regulator (ANNPSR) when the agency is created in 2025-26. The final allocation of funding for the ANNPSR will be finalised ahead of its establishment.</w:t>
      </w:r>
      <w:r w:rsidRPr="00EE2C0C">
        <w:tab/>
      </w:r>
      <w:r w:rsidRPr="00EE2C0C">
        <w:tab/>
      </w:r>
      <w:r w:rsidRPr="00EE2C0C">
        <w:tab/>
      </w:r>
      <w:r w:rsidRPr="00EE2C0C">
        <w:tab/>
      </w:r>
      <w:r w:rsidRPr="00EE2C0C">
        <w:tab/>
      </w:r>
    </w:p>
    <w:p w14:paraId="1DF3D5F9" w14:textId="193DCCDA" w:rsidR="005069C9" w:rsidRPr="008A3145" w:rsidRDefault="00DD5F12" w:rsidP="005069C9">
      <w:pPr>
        <w:pStyle w:val="BodyText"/>
        <w:spacing w:after="100"/>
        <w:rPr>
          <w:rFonts w:cs="Times New Roman"/>
          <w:szCs w:val="20"/>
          <w:lang w:val="en-AU"/>
        </w:rPr>
      </w:pPr>
      <w:r w:rsidRPr="00D556C5">
        <w:t xml:space="preserve">For information on resourcing across the Portfolio, please refer to Part 1: Agency Financial Resourcing in </w:t>
      </w:r>
      <w:r w:rsidRPr="00D556C5">
        <w:rPr>
          <w:i/>
        </w:rPr>
        <w:t>Budget Paper No. 4: Agency Resourcin</w:t>
      </w:r>
      <w:r w:rsidRPr="00DD5F12">
        <w:rPr>
          <w:i/>
        </w:rPr>
        <w:t>g</w:t>
      </w:r>
      <w:r w:rsidR="005069C9" w:rsidRPr="00CD03A8">
        <w:t>.</w:t>
      </w:r>
    </w:p>
    <w:p w14:paraId="2E646C47" w14:textId="77777777" w:rsidR="00A75C8C" w:rsidRPr="00B56FAA" w:rsidRDefault="00F9132B" w:rsidP="00754942">
      <w:pPr>
        <w:pStyle w:val="Heading3"/>
        <w:spacing w:before="120" w:after="120"/>
        <w:rPr>
          <w:smallCaps w:val="0"/>
          <w:lang w:val="en-AU"/>
        </w:rPr>
      </w:pPr>
      <w:r w:rsidRPr="00B56FAA">
        <w:rPr>
          <w:sz w:val="28"/>
          <w:szCs w:val="28"/>
        </w:rPr>
        <w:br w:type="page"/>
      </w:r>
      <w:bookmarkStart w:id="401" w:name="_Toc62822919"/>
      <w:bookmarkStart w:id="402" w:name="_Toc62823015"/>
      <w:bookmarkStart w:id="403" w:name="_Toc62823176"/>
      <w:bookmarkStart w:id="404" w:name="_Toc93329703"/>
      <w:bookmarkStart w:id="405" w:name="_Toc93330371"/>
      <w:bookmarkStart w:id="406" w:name="_Toc93331363"/>
      <w:bookmarkStart w:id="407" w:name="_Toc93331447"/>
      <w:bookmarkStart w:id="408" w:name="_Toc97747820"/>
      <w:bookmarkStart w:id="409" w:name="_Toc108088931"/>
      <w:bookmarkStart w:id="410" w:name="_Toc108089010"/>
      <w:bookmarkStart w:id="411" w:name="_Toc108089405"/>
      <w:bookmarkStart w:id="412" w:name="_Toc109227290"/>
      <w:bookmarkStart w:id="413" w:name="_Toc109227727"/>
      <w:bookmarkStart w:id="414" w:name="_Toc158896243"/>
      <w:bookmarkStart w:id="415" w:name="_Toc158896300"/>
      <w:bookmarkStart w:id="416" w:name="_Toc159499674"/>
      <w:bookmarkStart w:id="417" w:name="_Toc159857671"/>
      <w:bookmarkStart w:id="418" w:name="_Toc159857750"/>
      <w:bookmarkStart w:id="419" w:name="_Toc159858146"/>
      <w:bookmarkStart w:id="420" w:name="_Toc159858417"/>
      <w:bookmarkStart w:id="421" w:name="_Toc159858811"/>
      <w:bookmarkStart w:id="422" w:name="_Toc159858881"/>
      <w:bookmarkStart w:id="423" w:name="_Toc159859091"/>
      <w:bookmarkStart w:id="424" w:name="_Toc159859243"/>
      <w:bookmarkStart w:id="425" w:name="_Toc159862281"/>
      <w:bookmarkStart w:id="426" w:name="_Toc159862471"/>
      <w:bookmarkEnd w:id="370"/>
      <w:bookmarkEnd w:id="371"/>
      <w:bookmarkEnd w:id="372"/>
      <w:bookmarkEnd w:id="373"/>
      <w:bookmarkEnd w:id="374"/>
      <w:bookmarkEnd w:id="375"/>
      <w:bookmarkEnd w:id="376"/>
      <w:bookmarkEnd w:id="377"/>
      <w:bookmarkEnd w:id="378"/>
      <w:bookmarkEnd w:id="379"/>
      <w:r w:rsidR="00A75C8C" w:rsidRPr="00B56FAA">
        <w:rPr>
          <w:smallCaps w:val="0"/>
          <w:lang w:val="en-AU"/>
        </w:rPr>
        <w:lastRenderedPageBreak/>
        <w:t>Portfolio Structure and Outcomes</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5D9AA9D2" w14:textId="465B921A" w:rsidR="00A75C8C" w:rsidRPr="00CD03A8" w:rsidRDefault="00DD5F12" w:rsidP="006F5093">
      <w:pPr>
        <w:pStyle w:val="FigureHeading"/>
        <w:tabs>
          <w:tab w:val="num" w:pos="426"/>
          <w:tab w:val="num" w:pos="567"/>
        </w:tabs>
        <w:spacing w:before="0"/>
        <w:ind w:left="0" w:firstLine="0"/>
        <w:outlineLvl w:val="4"/>
        <w:rPr>
          <w:lang w:val="en-AU"/>
        </w:rPr>
      </w:pPr>
      <w:r w:rsidRPr="00CD03A8">
        <w:rPr>
          <w:noProof/>
          <w:lang w:val="en-AU"/>
        </w:rPr>
        <mc:AlternateContent>
          <mc:Choice Requires="wps">
            <w:drawing>
              <wp:anchor distT="0" distB="0" distL="114300" distR="114300" simplePos="0" relativeHeight="251615744" behindDoc="0" locked="0" layoutInCell="1" allowOverlap="1" wp14:anchorId="66412390" wp14:editId="6C1DFE78">
                <wp:simplePos x="0" y="0"/>
                <wp:positionH relativeFrom="column">
                  <wp:posOffset>1455310</wp:posOffset>
                </wp:positionH>
                <wp:positionV relativeFrom="paragraph">
                  <wp:posOffset>212256</wp:posOffset>
                </wp:positionV>
                <wp:extent cx="2584450" cy="532737"/>
                <wp:effectExtent l="19050" t="19050" r="25400" b="20320"/>
                <wp:wrapNone/>
                <wp:docPr id="1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532737"/>
                        </a:xfrm>
                        <a:prstGeom prst="rect">
                          <a:avLst/>
                        </a:prstGeom>
                        <a:solidFill>
                          <a:srgbClr val="FFFFFF"/>
                        </a:solidFill>
                        <a:ln w="41275" cmpd="dbl">
                          <a:solidFill>
                            <a:srgbClr val="000000"/>
                          </a:solidFill>
                          <a:miter lim="800000"/>
                          <a:headEnd/>
                          <a:tailEnd/>
                        </a:ln>
                      </wps:spPr>
                      <wps:txbx>
                        <w:txbxContent>
                          <w:p w14:paraId="3197008F" w14:textId="77777777" w:rsidR="00CE3B2C" w:rsidRPr="00A01209" w:rsidRDefault="00CE3B2C" w:rsidP="005069C9">
                            <w:pPr>
                              <w:spacing w:before="60"/>
                              <w:jc w:val="center"/>
                              <w:rPr>
                                <w:rFonts w:ascii="Arial" w:hAnsi="Arial"/>
                                <w:sz w:val="16"/>
                                <w:szCs w:val="16"/>
                              </w:rPr>
                            </w:pPr>
                            <w:r w:rsidRPr="00A01209">
                              <w:rPr>
                                <w:rFonts w:ascii="Arial" w:hAnsi="Arial"/>
                                <w:sz w:val="16"/>
                                <w:szCs w:val="16"/>
                              </w:rPr>
                              <w:t xml:space="preserve">Deputy Prime Minister </w:t>
                            </w:r>
                            <w:r w:rsidRPr="00A01209">
                              <w:rPr>
                                <w:rFonts w:ascii="Arial" w:hAnsi="Arial"/>
                                <w:sz w:val="16"/>
                                <w:szCs w:val="16"/>
                              </w:rPr>
                              <w:br/>
                              <w:t>Minister for Defence</w:t>
                            </w:r>
                            <w:r w:rsidRPr="00A01209">
                              <w:rPr>
                                <w:rFonts w:ascii="Arial" w:hAnsi="Arial"/>
                                <w:sz w:val="16"/>
                                <w:szCs w:val="16"/>
                              </w:rPr>
                              <w:br/>
                              <w:t>The Hon Richard Marles MP</w:t>
                            </w:r>
                          </w:p>
                          <w:p w14:paraId="08FD30B7" w14:textId="77777777" w:rsidR="00CE3B2C" w:rsidRPr="00051036" w:rsidRDefault="00CE3B2C" w:rsidP="005069C9">
                            <w:pPr>
                              <w:spacing w:before="120"/>
                              <w:jc w:val="center"/>
                              <w:rPr>
                                <w:sz w:val="16"/>
                                <w:szCs w:val="16"/>
                              </w:rPr>
                            </w:pPr>
                          </w:p>
                        </w:txbxContent>
                      </wps:txbx>
                      <wps:bodyPr rot="0" vert="horz" wrap="square" lIns="18000" tIns="45720" rIns="1800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66412390" id="_x0000_t202" coordsize="21600,21600" o:spt="202" path="m,l,21600r21600,l21600,xe">
                <v:stroke joinstyle="miter"/>
                <v:path gradientshapeok="t" o:connecttype="rect"/>
              </v:shapetype>
              <v:shape id="Text Box 4" o:spid="_x0000_s1041" type="#_x0000_t202" style="position:absolute;left:0;text-align:left;margin-left:114.6pt;margin-top:16.7pt;width:203.5pt;height:41.9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" strokeweight="3.25pt">
                <v:stroke linestyle="thinThin"/>
                <v:textbox inset=".5mm,,.5mm">
                  <w:txbxContent>
                    <w:p w14:paraId="3197008F" w14:textId="77777777" w:rsidR="00CE3B2C" w:rsidRPr="00A01209" w:rsidRDefault="00CE3B2C" w:rsidP="005069C9">
                      <w:pPr>
                        <w:spacing w:before="60"/>
                        <w:jc w:val="center"/>
                        <w:rPr>
                          <w:rFonts w:ascii="Arial" w:hAnsi="Arial"/>
                          <w:sz w:val="16"/>
                          <w:szCs w:val="16"/>
                        </w:rPr>
                      </w:pPr>
                      <w:r w:rsidRPr="00A01209">
                        <w:rPr>
                          <w:rFonts w:ascii="Arial" w:hAnsi="Arial"/>
                          <w:sz w:val="16"/>
                          <w:szCs w:val="16"/>
                        </w:rPr>
                        <w:t xml:space="preserve">Deputy Prime Minister </w:t>
                      </w:r>
                      <w:r w:rsidRPr="00A01209">
                        <w:rPr>
                          <w:rFonts w:ascii="Arial" w:hAnsi="Arial"/>
                          <w:sz w:val="16"/>
                          <w:szCs w:val="16"/>
                        </w:rPr>
                        <w:br/>
                      </w:r>
                      <w:proofErr w:type="spellStart"/>
                      <w:r w:rsidRPr="00A01209">
                        <w:rPr>
                          <w:rFonts w:ascii="Arial" w:hAnsi="Arial"/>
                          <w:sz w:val="16"/>
                          <w:szCs w:val="16"/>
                        </w:rPr>
                        <w:t>Minister</w:t>
                      </w:r>
                      <w:proofErr w:type="spellEnd"/>
                      <w:r w:rsidRPr="00A01209">
                        <w:rPr>
                          <w:rFonts w:ascii="Arial" w:hAnsi="Arial"/>
                          <w:sz w:val="16"/>
                          <w:szCs w:val="16"/>
                        </w:rPr>
                        <w:t xml:space="preserve"> for Defence</w:t>
                      </w:r>
                      <w:r w:rsidRPr="00A01209">
                        <w:rPr>
                          <w:rFonts w:ascii="Arial" w:hAnsi="Arial"/>
                          <w:sz w:val="16"/>
                          <w:szCs w:val="16"/>
                        </w:rPr>
                        <w:br/>
                      </w:r>
                      <w:proofErr w:type="gramStart"/>
                      <w:r w:rsidRPr="00A01209">
                        <w:rPr>
                          <w:rFonts w:ascii="Arial" w:hAnsi="Arial"/>
                          <w:sz w:val="16"/>
                          <w:szCs w:val="16"/>
                        </w:rPr>
                        <w:t>The</w:t>
                      </w:r>
                      <w:proofErr w:type="gramEnd"/>
                      <w:r w:rsidRPr="00A01209">
                        <w:rPr>
                          <w:rFonts w:ascii="Arial" w:hAnsi="Arial"/>
                          <w:sz w:val="16"/>
                          <w:szCs w:val="16"/>
                        </w:rPr>
                        <w:t xml:space="preserve"> Hon Richard </w:t>
                      </w:r>
                      <w:proofErr w:type="spellStart"/>
                      <w:r w:rsidRPr="00A01209">
                        <w:rPr>
                          <w:rFonts w:ascii="Arial" w:hAnsi="Arial"/>
                          <w:sz w:val="16"/>
                          <w:szCs w:val="16"/>
                        </w:rPr>
                        <w:t>Marles</w:t>
                      </w:r>
                      <w:proofErr w:type="spellEnd"/>
                      <w:r w:rsidRPr="00A01209">
                        <w:rPr>
                          <w:rFonts w:ascii="Arial" w:hAnsi="Arial"/>
                          <w:sz w:val="16"/>
                          <w:szCs w:val="16"/>
                        </w:rPr>
                        <w:t xml:space="preserve"> MP</w:t>
                      </w:r>
                    </w:p>
                    <w:p w14:paraId="08FD30B7" w14:textId="77777777" w:rsidR="00CE3B2C" w:rsidRPr="00051036" w:rsidRDefault="00CE3B2C" w:rsidP="005069C9">
                      <w:pPr>
                        <w:spacing w:before="120"/>
                        <w:jc w:val="center"/>
                        <w:rPr>
                          <w:sz w:val="16"/>
                          <w:szCs w:val="16"/>
                        </w:rPr>
                      </w:pPr>
                    </w:p>
                  </w:txbxContent>
                </v:textbox>
              </v:shape>
            </w:pict>
          </mc:Fallback>
        </mc:AlternateContent>
      </w:r>
      <w:r w:rsidR="00A75C8C" w:rsidRPr="00CD03A8">
        <w:rPr>
          <w:lang w:val="en-AU"/>
        </w:rPr>
        <w:t>Defence Portfolio Structure and Outcomes</w:t>
      </w:r>
    </w:p>
    <w:p w14:paraId="1171C8D0" w14:textId="15E9D34B" w:rsidR="005069C9" w:rsidRPr="00BF40CB" w:rsidRDefault="005069C9" w:rsidP="005069C9">
      <w:pPr>
        <w:pStyle w:val="FigureHeading"/>
        <w:numPr>
          <w:ilvl w:val="0"/>
          <w:numId w:val="0"/>
        </w:numPr>
        <w:ind w:left="644" w:hanging="360"/>
        <w:rPr>
          <w:highlight w:val="red"/>
          <w:lang w:val="en-AU"/>
        </w:rPr>
      </w:pPr>
    </w:p>
    <w:p w14:paraId="5531A023" w14:textId="7243EA94" w:rsidR="005069C9" w:rsidRPr="00BF40CB" w:rsidRDefault="005069C9" w:rsidP="005069C9">
      <w:pPr>
        <w:pStyle w:val="FigureHeading"/>
        <w:numPr>
          <w:ilvl w:val="0"/>
          <w:numId w:val="0"/>
        </w:numPr>
        <w:ind w:left="644" w:hanging="360"/>
        <w:rPr>
          <w:highlight w:val="red"/>
          <w:lang w:val="en-AU"/>
        </w:rPr>
      </w:pPr>
    </w:p>
    <w:p w14:paraId="6BD950FA" w14:textId="328B1AD7" w:rsidR="005069C9" w:rsidRPr="00BF40CB" w:rsidRDefault="00E81397" w:rsidP="005069C9">
      <w:pPr>
        <w:pStyle w:val="FigureHeading"/>
        <w:numPr>
          <w:ilvl w:val="0"/>
          <w:numId w:val="0"/>
        </w:numPr>
        <w:ind w:left="644" w:hanging="360"/>
        <w:rPr>
          <w:highlight w:val="red"/>
          <w:lang w:val="en-AU"/>
        </w:rPr>
      </w:pPr>
      <w:r w:rsidRPr="00BF40CB">
        <w:rPr>
          <w:noProof/>
          <w:lang w:val="en-AU"/>
        </w:rPr>
        <mc:AlternateContent>
          <mc:Choice Requires="wps">
            <w:drawing>
              <wp:anchor distT="0" distB="0" distL="114300" distR="114300" simplePos="0" relativeHeight="251620864" behindDoc="0" locked="0" layoutInCell="1" allowOverlap="1" wp14:anchorId="32DFC8AE" wp14:editId="080CDAB1">
                <wp:simplePos x="0" y="0"/>
                <wp:positionH relativeFrom="column">
                  <wp:posOffset>2800350</wp:posOffset>
                </wp:positionH>
                <wp:positionV relativeFrom="paragraph">
                  <wp:posOffset>74930</wp:posOffset>
                </wp:positionV>
                <wp:extent cx="2585085" cy="503555"/>
                <wp:effectExtent l="19050" t="19050" r="5715" b="0"/>
                <wp:wrapNone/>
                <wp:docPr id="1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503555"/>
                        </a:xfrm>
                        <a:prstGeom prst="rect">
                          <a:avLst/>
                        </a:prstGeom>
                        <a:solidFill>
                          <a:srgbClr val="FFFFFF"/>
                        </a:solidFill>
                        <a:ln w="41275" cmpd="dbl">
                          <a:solidFill>
                            <a:srgbClr val="000000"/>
                          </a:solidFill>
                          <a:miter lim="800000"/>
                          <a:headEnd/>
                          <a:tailEnd/>
                        </a:ln>
                      </wps:spPr>
                      <wps:txbx>
                        <w:txbxContent>
                          <w:p w14:paraId="1919ADB9" w14:textId="0C5B5E8A" w:rsidR="00CE3B2C" w:rsidRPr="00A01209" w:rsidRDefault="00CE3B2C" w:rsidP="005069C9">
                            <w:pPr>
                              <w:spacing w:before="0" w:after="0"/>
                              <w:jc w:val="center"/>
                              <w:rPr>
                                <w:rFonts w:ascii="Arial" w:hAnsi="Arial"/>
                              </w:rPr>
                            </w:pPr>
                            <w:r w:rsidRPr="00A01209">
                              <w:rPr>
                                <w:rFonts w:ascii="Arial" w:hAnsi="Arial"/>
                                <w:sz w:val="16"/>
                                <w:szCs w:val="16"/>
                              </w:rPr>
                              <w:t>Minister for Veterans’ Affairs</w:t>
                            </w:r>
                            <w:r w:rsidRPr="00A01209">
                              <w:rPr>
                                <w:rFonts w:ascii="Arial" w:hAnsi="Arial"/>
                                <w:sz w:val="16"/>
                                <w:szCs w:val="16"/>
                              </w:rPr>
                              <w:br/>
                              <w:t>Minister for Defence Personnel</w:t>
                            </w:r>
                            <w:r w:rsidRPr="00A01209">
                              <w:rPr>
                                <w:rFonts w:ascii="Arial" w:hAnsi="Arial"/>
                                <w:sz w:val="16"/>
                                <w:szCs w:val="16"/>
                              </w:rPr>
                              <w:br/>
                              <w:t>The Hon Matt Keogh MP</w:t>
                            </w:r>
                            <w:r w:rsidRPr="00A01209" w:rsidDel="00DD5F12">
                              <w:rPr>
                                <w:rFonts w:ascii="Arial" w:hAnsi="Arial"/>
                                <w:sz w:val="16"/>
                                <w:szCs w:val="16"/>
                              </w:rPr>
                              <w:t xml:space="preserve"> </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DFC8AE" id="Text Box 5" o:spid="_x0000_s1042" type="#_x0000_t202" style="position:absolute;left:0;text-align:left;margin-left:220.5pt;margin-top:5.9pt;width:203.55pt;height:39.6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" strokeweight="3.25pt">
                <v:stroke linestyle="thinThin"/>
                <v:textbox inset=".5mm,,.5mm">
                  <w:txbxContent>
                    <w:p w14:paraId="1919ADB9" w14:textId="0C5B5E8A" w:rsidR="00CE3B2C" w:rsidRPr="00A01209" w:rsidRDefault="00CE3B2C" w:rsidP="005069C9">
                      <w:pPr>
                        <w:spacing w:before="0" w:after="0"/>
                        <w:jc w:val="center"/>
                        <w:rPr>
                          <w:rFonts w:ascii="Arial" w:hAnsi="Arial"/>
                        </w:rPr>
                      </w:pPr>
                      <w:r w:rsidRPr="00A01209">
                        <w:rPr>
                          <w:rFonts w:ascii="Arial" w:hAnsi="Arial"/>
                          <w:sz w:val="16"/>
                          <w:szCs w:val="16"/>
                        </w:rPr>
                        <w:t>Minister for Veterans’ Affairs</w:t>
                      </w:r>
                      <w:r w:rsidRPr="00A01209">
                        <w:rPr>
                          <w:rFonts w:ascii="Arial" w:hAnsi="Arial"/>
                          <w:sz w:val="16"/>
                          <w:szCs w:val="16"/>
                        </w:rPr>
                        <w:br/>
                        <w:t>Minister for Defence Personnel</w:t>
                      </w:r>
                      <w:r w:rsidRPr="00A01209">
                        <w:rPr>
                          <w:rFonts w:ascii="Arial" w:hAnsi="Arial"/>
                          <w:sz w:val="16"/>
                          <w:szCs w:val="16"/>
                        </w:rPr>
                        <w:br/>
                      </w:r>
                      <w:proofErr w:type="gramStart"/>
                      <w:r w:rsidRPr="00A01209">
                        <w:rPr>
                          <w:rFonts w:ascii="Arial" w:hAnsi="Arial"/>
                          <w:sz w:val="16"/>
                          <w:szCs w:val="16"/>
                        </w:rPr>
                        <w:t>The</w:t>
                      </w:r>
                      <w:proofErr w:type="gramEnd"/>
                      <w:r w:rsidRPr="00A01209">
                        <w:rPr>
                          <w:rFonts w:ascii="Arial" w:hAnsi="Arial"/>
                          <w:sz w:val="16"/>
                          <w:szCs w:val="16"/>
                        </w:rPr>
                        <w:t xml:space="preserve"> Hon Matt Keogh MP</w:t>
                      </w:r>
                      <w:r w:rsidRPr="00A01209" w:rsidDel="00DD5F12">
                        <w:rPr>
                          <w:rFonts w:ascii="Arial" w:hAnsi="Arial"/>
                          <w:sz w:val="16"/>
                          <w:szCs w:val="16"/>
                        </w:rPr>
                        <w:t xml:space="preserve"> </w:t>
                      </w:r>
                    </w:p>
                  </w:txbxContent>
                </v:textbox>
              </v:shape>
            </w:pict>
          </mc:Fallback>
        </mc:AlternateContent>
      </w:r>
      <w:r w:rsidR="0085144D" w:rsidRPr="00BF40CB">
        <w:rPr>
          <w:noProof/>
          <w:lang w:val="en-AU"/>
        </w:rPr>
        <mc:AlternateContent>
          <mc:Choice Requires="wps">
            <w:drawing>
              <wp:anchor distT="0" distB="0" distL="114300" distR="114300" simplePos="0" relativeHeight="251616768" behindDoc="0" locked="0" layoutInCell="1" allowOverlap="1" wp14:anchorId="116B0941" wp14:editId="37190244">
                <wp:simplePos x="0" y="0"/>
                <wp:positionH relativeFrom="column">
                  <wp:posOffset>134371</wp:posOffset>
                </wp:positionH>
                <wp:positionV relativeFrom="paragraph">
                  <wp:posOffset>76393</wp:posOffset>
                </wp:positionV>
                <wp:extent cx="2584450" cy="503555"/>
                <wp:effectExtent l="19050" t="19050" r="25400" b="10795"/>
                <wp:wrapNone/>
                <wp:docPr id="1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503555"/>
                        </a:xfrm>
                        <a:prstGeom prst="rect">
                          <a:avLst/>
                        </a:prstGeom>
                        <a:solidFill>
                          <a:srgbClr val="FFFFFF"/>
                        </a:solidFill>
                        <a:ln w="41275" cmpd="dbl">
                          <a:solidFill>
                            <a:srgbClr val="000000"/>
                          </a:solidFill>
                          <a:miter lim="800000"/>
                          <a:headEnd/>
                          <a:tailEnd/>
                        </a:ln>
                      </wps:spPr>
                      <wps:txbx>
                        <w:txbxContent>
                          <w:p w14:paraId="10DF6841" w14:textId="77777777" w:rsidR="00CE3B2C" w:rsidRDefault="00CE3B2C" w:rsidP="00DD5F12">
                            <w:pPr>
                              <w:spacing w:before="0" w:after="0"/>
                              <w:jc w:val="center"/>
                              <w:rPr>
                                <w:rFonts w:ascii="Arial" w:hAnsi="Arial"/>
                                <w:sz w:val="16"/>
                                <w:szCs w:val="16"/>
                              </w:rPr>
                            </w:pPr>
                            <w:r w:rsidRPr="00A01209">
                              <w:rPr>
                                <w:rFonts w:ascii="Arial" w:hAnsi="Arial"/>
                                <w:sz w:val="16"/>
                                <w:szCs w:val="16"/>
                              </w:rPr>
                              <w:t>Minister for Defence Industry</w:t>
                            </w:r>
                            <w:r>
                              <w:rPr>
                                <w:rFonts w:ascii="Arial" w:hAnsi="Arial"/>
                                <w:sz w:val="16"/>
                                <w:szCs w:val="16"/>
                              </w:rPr>
                              <w:t xml:space="preserve"> and Capability Delivery</w:t>
                            </w:r>
                          </w:p>
                          <w:p w14:paraId="65AF3E2F" w14:textId="77777777" w:rsidR="00CE3B2C" w:rsidRPr="00A01209" w:rsidRDefault="00CE3B2C" w:rsidP="00DD5F12">
                            <w:pPr>
                              <w:spacing w:before="0" w:after="0"/>
                              <w:jc w:val="center"/>
                              <w:rPr>
                                <w:rFonts w:ascii="Arial" w:hAnsi="Arial"/>
                              </w:rPr>
                            </w:pPr>
                            <w:r>
                              <w:rPr>
                                <w:rFonts w:ascii="Arial" w:hAnsi="Arial"/>
                                <w:sz w:val="16"/>
                                <w:szCs w:val="16"/>
                              </w:rPr>
                              <w:t>Minister for International Development and the Pacific</w:t>
                            </w:r>
                            <w:r w:rsidRPr="00A01209">
                              <w:rPr>
                                <w:rFonts w:ascii="Arial" w:hAnsi="Arial"/>
                                <w:sz w:val="16"/>
                                <w:szCs w:val="16"/>
                              </w:rPr>
                              <w:br/>
                              <w:t>The Hon Pat Conroy MP</w:t>
                            </w:r>
                          </w:p>
                          <w:p w14:paraId="37B0A627" w14:textId="47D1577D" w:rsidR="00CE3B2C" w:rsidRDefault="00CE3B2C" w:rsidP="005069C9">
                            <w:pPr>
                              <w:spacing w:before="0" w:after="0"/>
                              <w:jc w:val="center"/>
                            </w:pPr>
                          </w:p>
                        </w:txbxContent>
                      </wps:txbx>
                      <wps:bodyPr rot="0" vert="horz" wrap="square" lIns="18000" tIns="45720" rIns="1800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16B0941" id="Text Box 6" o:spid="_x0000_s1043" type="#_x0000_t202" style="position:absolute;left:0;text-align:left;margin-left:10.6pt;margin-top:6pt;width:203.5pt;height:39.6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" strokeweight="3.25pt">
                <v:stroke linestyle="thinThin"/>
                <v:textbox inset=".5mm,,.5mm">
                  <w:txbxContent>
                    <w:p w14:paraId="10DF6841" w14:textId="77777777" w:rsidR="00CE3B2C" w:rsidRDefault="00CE3B2C" w:rsidP="00DD5F12">
                      <w:pPr>
                        <w:spacing w:before="0" w:after="0"/>
                        <w:jc w:val="center"/>
                        <w:rPr>
                          <w:rFonts w:ascii="Arial" w:hAnsi="Arial"/>
                          <w:sz w:val="16"/>
                          <w:szCs w:val="16"/>
                        </w:rPr>
                      </w:pPr>
                      <w:r w:rsidRPr="00A01209">
                        <w:rPr>
                          <w:rFonts w:ascii="Arial" w:hAnsi="Arial"/>
                          <w:sz w:val="16"/>
                          <w:szCs w:val="16"/>
                        </w:rPr>
                        <w:t>Minister for Defence Industry</w:t>
                      </w:r>
                      <w:r>
                        <w:rPr>
                          <w:rFonts w:ascii="Arial" w:hAnsi="Arial"/>
                          <w:sz w:val="16"/>
                          <w:szCs w:val="16"/>
                        </w:rPr>
                        <w:t xml:space="preserve"> and Capability Delivery</w:t>
                      </w:r>
                    </w:p>
                    <w:p w14:paraId="65AF3E2F" w14:textId="77777777" w:rsidR="00CE3B2C" w:rsidRPr="00A01209" w:rsidRDefault="00CE3B2C" w:rsidP="00DD5F12">
                      <w:pPr>
                        <w:spacing w:before="0" w:after="0"/>
                        <w:jc w:val="center"/>
                        <w:rPr>
                          <w:rFonts w:ascii="Arial" w:hAnsi="Arial"/>
                        </w:rPr>
                      </w:pPr>
                      <w:r>
                        <w:rPr>
                          <w:rFonts w:ascii="Arial" w:hAnsi="Arial"/>
                          <w:sz w:val="16"/>
                          <w:szCs w:val="16"/>
                        </w:rPr>
                        <w:t>Minister for International Development and the Pacific</w:t>
                      </w:r>
                      <w:r w:rsidRPr="00A01209">
                        <w:rPr>
                          <w:rFonts w:ascii="Arial" w:hAnsi="Arial"/>
                          <w:sz w:val="16"/>
                          <w:szCs w:val="16"/>
                        </w:rPr>
                        <w:br/>
                      </w:r>
                      <w:proofErr w:type="gramStart"/>
                      <w:r w:rsidRPr="00A01209">
                        <w:rPr>
                          <w:rFonts w:ascii="Arial" w:hAnsi="Arial"/>
                          <w:sz w:val="16"/>
                          <w:szCs w:val="16"/>
                        </w:rPr>
                        <w:t>The</w:t>
                      </w:r>
                      <w:proofErr w:type="gramEnd"/>
                      <w:r w:rsidRPr="00A01209">
                        <w:rPr>
                          <w:rFonts w:ascii="Arial" w:hAnsi="Arial"/>
                          <w:sz w:val="16"/>
                          <w:szCs w:val="16"/>
                        </w:rPr>
                        <w:t xml:space="preserve"> Hon Pat Conroy MP</w:t>
                      </w:r>
                    </w:p>
                    <w:p w14:paraId="37B0A627" w14:textId="47D1577D" w:rsidR="00CE3B2C" w:rsidRDefault="00CE3B2C" w:rsidP="005069C9">
                      <w:pPr>
                        <w:spacing w:before="0" w:after="0"/>
                        <w:jc w:val="center"/>
                      </w:pPr>
                    </w:p>
                  </w:txbxContent>
                </v:textbox>
              </v:shape>
            </w:pict>
          </mc:Fallback>
        </mc:AlternateContent>
      </w:r>
    </w:p>
    <w:p w14:paraId="0B04871A" w14:textId="77777777" w:rsidR="005069C9" w:rsidRPr="00BF40CB" w:rsidRDefault="005069C9" w:rsidP="005069C9">
      <w:pPr>
        <w:pStyle w:val="FigureHeading"/>
        <w:numPr>
          <w:ilvl w:val="0"/>
          <w:numId w:val="0"/>
        </w:numPr>
        <w:ind w:left="644" w:hanging="360"/>
        <w:rPr>
          <w:highlight w:val="red"/>
          <w:lang w:val="en-AU"/>
        </w:rPr>
      </w:pPr>
    </w:p>
    <w:p w14:paraId="47BFA2B9" w14:textId="77777777" w:rsidR="005069C9" w:rsidRPr="00BF40CB" w:rsidRDefault="0085144D" w:rsidP="005069C9">
      <w:pPr>
        <w:pStyle w:val="FigureHeading"/>
        <w:numPr>
          <w:ilvl w:val="0"/>
          <w:numId w:val="0"/>
        </w:numPr>
        <w:ind w:left="284"/>
        <w:rPr>
          <w:highlight w:val="red"/>
          <w:lang w:val="en-AU"/>
        </w:rPr>
      </w:pPr>
      <w:r w:rsidRPr="00BF40CB">
        <w:rPr>
          <w:noProof/>
          <w:lang w:val="en-AU"/>
        </w:rPr>
        <mc:AlternateContent>
          <mc:Choice Requires="wps">
            <w:drawing>
              <wp:anchor distT="0" distB="0" distL="114300" distR="114300" simplePos="0" relativeHeight="251618816" behindDoc="0" locked="0" layoutInCell="1" allowOverlap="1" wp14:anchorId="1F5B29CB" wp14:editId="550F1328">
                <wp:simplePos x="0" y="0"/>
                <wp:positionH relativeFrom="column">
                  <wp:posOffset>1447165</wp:posOffset>
                </wp:positionH>
                <wp:positionV relativeFrom="paragraph">
                  <wp:posOffset>111125</wp:posOffset>
                </wp:positionV>
                <wp:extent cx="2584450" cy="754794"/>
                <wp:effectExtent l="19050" t="19050" r="25400" b="26670"/>
                <wp:wrapNone/>
                <wp:docPr id="5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754794"/>
                        </a:xfrm>
                        <a:prstGeom prst="rect">
                          <a:avLst/>
                        </a:prstGeom>
                        <a:solidFill>
                          <a:srgbClr val="FFFFFF"/>
                        </a:solidFill>
                        <a:ln w="41275" cmpd="dbl">
                          <a:solidFill>
                            <a:srgbClr val="000000"/>
                          </a:solidFill>
                          <a:miter lim="800000"/>
                          <a:headEnd/>
                          <a:tailEnd/>
                        </a:ln>
                      </wps:spPr>
                      <wps:txbx>
                        <w:txbxContent>
                          <w:p w14:paraId="7E4D4FB9" w14:textId="77777777" w:rsidR="00CE3B2C" w:rsidRDefault="00CE3B2C" w:rsidP="0073059F">
                            <w:pPr>
                              <w:spacing w:before="0" w:after="0"/>
                              <w:jc w:val="center"/>
                              <w:rPr>
                                <w:rFonts w:ascii="Arial" w:hAnsi="Arial"/>
                                <w:sz w:val="16"/>
                                <w:szCs w:val="16"/>
                              </w:rPr>
                            </w:pPr>
                            <w:r>
                              <w:rPr>
                                <w:rFonts w:ascii="Arial" w:hAnsi="Arial"/>
                                <w:sz w:val="16"/>
                                <w:szCs w:val="16"/>
                              </w:rPr>
                              <w:t>Minister for Home Affairs</w:t>
                            </w:r>
                          </w:p>
                          <w:p w14:paraId="76F8576D" w14:textId="77777777" w:rsidR="00CE3B2C" w:rsidRDefault="00CE3B2C" w:rsidP="0073059F">
                            <w:pPr>
                              <w:spacing w:before="0" w:after="0"/>
                              <w:jc w:val="center"/>
                              <w:rPr>
                                <w:rFonts w:ascii="Arial" w:hAnsi="Arial"/>
                                <w:sz w:val="16"/>
                                <w:szCs w:val="16"/>
                              </w:rPr>
                            </w:pPr>
                            <w:r>
                              <w:rPr>
                                <w:rFonts w:ascii="Arial" w:hAnsi="Arial"/>
                                <w:sz w:val="16"/>
                                <w:szCs w:val="16"/>
                              </w:rPr>
                              <w:t>Minister for Immigration and Multicultural Affairs</w:t>
                            </w:r>
                          </w:p>
                          <w:p w14:paraId="303EEE1B" w14:textId="77777777" w:rsidR="00CE3B2C" w:rsidRDefault="00CE3B2C" w:rsidP="0073059F">
                            <w:pPr>
                              <w:spacing w:before="0" w:after="0"/>
                              <w:jc w:val="center"/>
                              <w:rPr>
                                <w:rFonts w:ascii="Arial" w:hAnsi="Arial"/>
                                <w:sz w:val="16"/>
                                <w:szCs w:val="16"/>
                              </w:rPr>
                            </w:pPr>
                            <w:r w:rsidRPr="00AE329C">
                              <w:rPr>
                                <w:rFonts w:ascii="Arial" w:hAnsi="Arial"/>
                                <w:sz w:val="16"/>
                                <w:szCs w:val="16"/>
                              </w:rPr>
                              <w:t>Minister for Cyber Security</w:t>
                            </w:r>
                          </w:p>
                          <w:p w14:paraId="79413EDF" w14:textId="77777777" w:rsidR="00CE3B2C" w:rsidRDefault="00CE3B2C" w:rsidP="0073059F">
                            <w:pPr>
                              <w:spacing w:before="0" w:after="0"/>
                              <w:jc w:val="center"/>
                              <w:rPr>
                                <w:rFonts w:ascii="Arial" w:hAnsi="Arial"/>
                                <w:sz w:val="16"/>
                                <w:szCs w:val="16"/>
                              </w:rPr>
                            </w:pPr>
                            <w:r>
                              <w:rPr>
                                <w:rFonts w:ascii="Arial" w:hAnsi="Arial"/>
                                <w:sz w:val="16"/>
                                <w:szCs w:val="16"/>
                              </w:rPr>
                              <w:t>Minister for the Arts</w:t>
                            </w:r>
                          </w:p>
                          <w:p w14:paraId="323B100A" w14:textId="602B072E" w:rsidR="00CE3B2C" w:rsidRPr="00DC4534" w:rsidRDefault="00CE3B2C" w:rsidP="00CD03A8">
                            <w:pPr>
                              <w:spacing w:before="0" w:after="0"/>
                              <w:jc w:val="center"/>
                              <w:rPr>
                                <w:sz w:val="16"/>
                                <w:szCs w:val="16"/>
                              </w:rPr>
                            </w:pPr>
                            <w:r>
                              <w:rPr>
                                <w:rFonts w:ascii="Arial" w:hAnsi="Arial"/>
                                <w:sz w:val="16"/>
                                <w:szCs w:val="16"/>
                              </w:rPr>
                              <w:t>The Hon Tony Burke</w:t>
                            </w:r>
                            <w:r w:rsidRPr="002620C5">
                              <w:rPr>
                                <w:rFonts w:ascii="Arial" w:hAnsi="Arial"/>
                                <w:sz w:val="16"/>
                                <w:szCs w:val="16"/>
                              </w:rPr>
                              <w:t xml:space="preserve"> MP</w:t>
                            </w:r>
                            <w:r w:rsidRPr="00A01209" w:rsidDel="00DD5F12">
                              <w:rPr>
                                <w:rFonts w:ascii="Arial" w:hAnsi="Arial"/>
                                <w:sz w:val="16"/>
                                <w:szCs w:val="16"/>
                              </w:rPr>
                              <w:t xml:space="preserve"> </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B29CB" id="Text Box 9" o:spid="_x0000_s1044" type="#_x0000_t202" style="position:absolute;left:0;text-align:left;margin-left:113.95pt;margin-top:8.75pt;width:203.5pt;height:59.4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" strokeweight="3.25pt">
                <v:stroke linestyle="thinThin"/>
                <v:textbox inset=".5mm,,.5mm">
                  <w:txbxContent>
                    <w:p w14:paraId="7E4D4FB9" w14:textId="77777777" w:rsidR="00CE3B2C" w:rsidRDefault="00CE3B2C" w:rsidP="0073059F">
                      <w:pPr>
                        <w:spacing w:before="0" w:after="0"/>
                        <w:jc w:val="center"/>
                        <w:rPr>
                          <w:rFonts w:ascii="Arial" w:hAnsi="Arial"/>
                          <w:sz w:val="16"/>
                          <w:szCs w:val="16"/>
                        </w:rPr>
                      </w:pPr>
                      <w:r>
                        <w:rPr>
                          <w:rFonts w:ascii="Arial" w:hAnsi="Arial"/>
                          <w:sz w:val="16"/>
                          <w:szCs w:val="16"/>
                        </w:rPr>
                        <w:t>Minister for Home Affairs</w:t>
                      </w:r>
                    </w:p>
                    <w:p w14:paraId="76F8576D" w14:textId="77777777" w:rsidR="00CE3B2C" w:rsidRDefault="00CE3B2C" w:rsidP="0073059F">
                      <w:pPr>
                        <w:spacing w:before="0" w:after="0"/>
                        <w:jc w:val="center"/>
                        <w:rPr>
                          <w:rFonts w:ascii="Arial" w:hAnsi="Arial"/>
                          <w:sz w:val="16"/>
                          <w:szCs w:val="16"/>
                        </w:rPr>
                      </w:pPr>
                      <w:r>
                        <w:rPr>
                          <w:rFonts w:ascii="Arial" w:hAnsi="Arial"/>
                          <w:sz w:val="16"/>
                          <w:szCs w:val="16"/>
                        </w:rPr>
                        <w:t>Minister for Immigration and Multicultural Affairs</w:t>
                      </w:r>
                    </w:p>
                    <w:p w14:paraId="303EEE1B" w14:textId="77777777" w:rsidR="00CE3B2C" w:rsidRDefault="00CE3B2C" w:rsidP="0073059F">
                      <w:pPr>
                        <w:spacing w:before="0" w:after="0"/>
                        <w:jc w:val="center"/>
                        <w:rPr>
                          <w:rFonts w:ascii="Arial" w:hAnsi="Arial"/>
                          <w:sz w:val="16"/>
                          <w:szCs w:val="16"/>
                        </w:rPr>
                      </w:pPr>
                      <w:r w:rsidRPr="00AE329C">
                        <w:rPr>
                          <w:rFonts w:ascii="Arial" w:hAnsi="Arial"/>
                          <w:sz w:val="16"/>
                          <w:szCs w:val="16"/>
                        </w:rPr>
                        <w:t>Minister for Cyber Security</w:t>
                      </w:r>
                    </w:p>
                    <w:p w14:paraId="79413EDF" w14:textId="77777777" w:rsidR="00CE3B2C" w:rsidRDefault="00CE3B2C" w:rsidP="0073059F">
                      <w:pPr>
                        <w:spacing w:before="0" w:after="0"/>
                        <w:jc w:val="center"/>
                        <w:rPr>
                          <w:rFonts w:ascii="Arial" w:hAnsi="Arial"/>
                          <w:sz w:val="16"/>
                          <w:szCs w:val="16"/>
                        </w:rPr>
                      </w:pPr>
                      <w:r>
                        <w:rPr>
                          <w:rFonts w:ascii="Arial" w:hAnsi="Arial"/>
                          <w:sz w:val="16"/>
                          <w:szCs w:val="16"/>
                        </w:rPr>
                        <w:t>Minister for the Arts</w:t>
                      </w:r>
                    </w:p>
                    <w:p w14:paraId="323B100A" w14:textId="602B072E" w:rsidR="00CE3B2C" w:rsidRPr="00DC4534" w:rsidRDefault="00CE3B2C" w:rsidP="00CD03A8">
                      <w:pPr>
                        <w:spacing w:before="0" w:after="0"/>
                        <w:jc w:val="center"/>
                        <w:rPr>
                          <w:sz w:val="16"/>
                          <w:szCs w:val="16"/>
                        </w:rPr>
                      </w:pPr>
                      <w:r>
                        <w:rPr>
                          <w:rFonts w:ascii="Arial" w:hAnsi="Arial"/>
                          <w:sz w:val="16"/>
                          <w:szCs w:val="16"/>
                        </w:rPr>
                        <w:t>The Hon Tony Burke</w:t>
                      </w:r>
                      <w:r w:rsidRPr="002620C5">
                        <w:rPr>
                          <w:rFonts w:ascii="Arial" w:hAnsi="Arial"/>
                          <w:sz w:val="16"/>
                          <w:szCs w:val="16"/>
                        </w:rPr>
                        <w:t xml:space="preserve"> MP</w:t>
                      </w:r>
                      <w:r w:rsidRPr="00A01209" w:rsidDel="00DD5F12">
                        <w:rPr>
                          <w:rFonts w:ascii="Arial" w:hAnsi="Arial"/>
                          <w:sz w:val="16"/>
                          <w:szCs w:val="16"/>
                        </w:rPr>
                        <w:t xml:space="preserve"> </w:t>
                      </w:r>
                    </w:p>
                  </w:txbxContent>
                </v:textbox>
              </v:shape>
            </w:pict>
          </mc:Fallback>
        </mc:AlternateContent>
      </w:r>
    </w:p>
    <w:p w14:paraId="1DD2687A" w14:textId="77777777" w:rsidR="005069C9" w:rsidRPr="00BF40CB" w:rsidRDefault="005069C9" w:rsidP="005069C9">
      <w:pPr>
        <w:pStyle w:val="FigureHeading"/>
        <w:numPr>
          <w:ilvl w:val="0"/>
          <w:numId w:val="0"/>
        </w:numPr>
        <w:ind w:left="644" w:hanging="360"/>
        <w:rPr>
          <w:highlight w:val="red"/>
          <w:lang w:val="en-AU"/>
        </w:rPr>
      </w:pPr>
    </w:p>
    <w:p w14:paraId="2BFEDEEC" w14:textId="232E62FF" w:rsidR="005069C9" w:rsidRPr="00BF40CB" w:rsidRDefault="005069C9" w:rsidP="005069C9">
      <w:pPr>
        <w:pStyle w:val="FigureHeading"/>
        <w:numPr>
          <w:ilvl w:val="0"/>
          <w:numId w:val="0"/>
        </w:numPr>
        <w:ind w:left="644" w:hanging="360"/>
        <w:rPr>
          <w:highlight w:val="red"/>
          <w:lang w:val="en-AU"/>
        </w:rPr>
      </w:pPr>
    </w:p>
    <w:p w14:paraId="6BBACBF7" w14:textId="4237224F" w:rsidR="005069C9" w:rsidRPr="00BF40CB" w:rsidRDefault="00DD5F12" w:rsidP="005069C9">
      <w:pPr>
        <w:pStyle w:val="FigureHeading"/>
        <w:numPr>
          <w:ilvl w:val="0"/>
          <w:numId w:val="0"/>
        </w:numPr>
        <w:ind w:left="644" w:hanging="360"/>
        <w:rPr>
          <w:highlight w:val="red"/>
          <w:lang w:val="en-AU"/>
        </w:rPr>
      </w:pPr>
      <w:r>
        <w:rPr>
          <w:noProof/>
          <w:lang w:val="en-AU"/>
        </w:rPr>
        <mc:AlternateContent>
          <mc:Choice Requires="wps">
            <w:drawing>
              <wp:anchor distT="0" distB="0" distL="114300" distR="114300" simplePos="0" relativeHeight="251629056" behindDoc="0" locked="0" layoutInCell="1" allowOverlap="1" wp14:anchorId="66E0A5F5" wp14:editId="0F47F4B4">
                <wp:simplePos x="0" y="0"/>
                <wp:positionH relativeFrom="column">
                  <wp:posOffset>167170</wp:posOffset>
                </wp:positionH>
                <wp:positionV relativeFrom="paragraph">
                  <wp:posOffset>102981</wp:posOffset>
                </wp:positionV>
                <wp:extent cx="2552645" cy="491490"/>
                <wp:effectExtent l="19050" t="19050" r="19685" b="12065"/>
                <wp:wrapNone/>
                <wp:docPr id="1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645" cy="491490"/>
                        </a:xfrm>
                        <a:prstGeom prst="rect">
                          <a:avLst/>
                        </a:prstGeom>
                        <a:solidFill>
                          <a:srgbClr val="FFFFFF"/>
                        </a:solidFill>
                        <a:ln w="41275" cmpd="dbl">
                          <a:solidFill>
                            <a:srgbClr val="000000"/>
                          </a:solidFill>
                          <a:miter lim="800000"/>
                          <a:headEnd/>
                          <a:tailEnd/>
                        </a:ln>
                      </wps:spPr>
                      <wps:txbx>
                        <w:txbxContent>
                          <w:p w14:paraId="46CD438A" w14:textId="77777777" w:rsidR="00CE3B2C" w:rsidRDefault="00CE3B2C">
                            <w:pPr>
                              <w:spacing w:before="0" w:after="0"/>
                              <w:jc w:val="center"/>
                              <w:rPr>
                                <w:rFonts w:ascii="Arial" w:hAnsi="Arial"/>
                                <w:sz w:val="16"/>
                                <w:szCs w:val="16"/>
                              </w:rPr>
                            </w:pPr>
                            <w:r>
                              <w:rPr>
                                <w:rFonts w:ascii="Arial" w:hAnsi="Arial"/>
                                <w:sz w:val="16"/>
                                <w:szCs w:val="16"/>
                              </w:rPr>
                              <w:t>Special Envoy for Defence, Veterans’ Affairs and Northern Australia</w:t>
                            </w:r>
                          </w:p>
                          <w:p w14:paraId="4BA4D801" w14:textId="7A21046F" w:rsidR="00CE3B2C" w:rsidRPr="00A01209" w:rsidRDefault="00CE3B2C" w:rsidP="00DD5F12">
                            <w:pPr>
                              <w:spacing w:before="0" w:after="0"/>
                              <w:jc w:val="center"/>
                              <w:rPr>
                                <w:rFonts w:ascii="Arial" w:hAnsi="Arial"/>
                              </w:rPr>
                            </w:pPr>
                            <w:r>
                              <w:rPr>
                                <w:rFonts w:ascii="Arial" w:hAnsi="Arial"/>
                                <w:sz w:val="16"/>
                                <w:szCs w:val="16"/>
                              </w:rPr>
                              <w:t>Mr Luke Gosling, OAM MP</w:t>
                            </w:r>
                          </w:p>
                          <w:p w14:paraId="4BEE2983" w14:textId="77777777" w:rsidR="00CE3B2C" w:rsidRPr="00DC4534" w:rsidRDefault="00CE3B2C" w:rsidP="005069C9">
                            <w:pPr>
                              <w:spacing w:before="200" w:after="0"/>
                              <w:jc w:val="center"/>
                              <w:rPr>
                                <w:sz w:val="16"/>
                                <w:szCs w:val="16"/>
                              </w:rPr>
                            </w:pP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0A5F5" id="_x0000_s1045" type="#_x0000_t202" style="position:absolute;left:0;text-align:left;margin-left:13.15pt;margin-top:8.1pt;width:201pt;height:38.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" strokeweight="3.25pt">
                <v:stroke linestyle="thinThin"/>
                <v:textbox inset=".5mm,,.5mm">
                  <w:txbxContent>
                    <w:p w14:paraId="46CD438A" w14:textId="77777777" w:rsidR="00CE3B2C" w:rsidRDefault="00CE3B2C">
                      <w:pPr>
                        <w:spacing w:before="0" w:after="0"/>
                        <w:jc w:val="center"/>
                        <w:rPr>
                          <w:rFonts w:ascii="Arial" w:hAnsi="Arial"/>
                          <w:sz w:val="16"/>
                          <w:szCs w:val="16"/>
                        </w:rPr>
                      </w:pPr>
                      <w:r>
                        <w:rPr>
                          <w:rFonts w:ascii="Arial" w:hAnsi="Arial"/>
                          <w:sz w:val="16"/>
                          <w:szCs w:val="16"/>
                        </w:rPr>
                        <w:t>Special Envoy for Defence, Veterans’ Affairs and Northern Australia</w:t>
                      </w:r>
                    </w:p>
                    <w:p w14:paraId="4BA4D801" w14:textId="7A21046F" w:rsidR="00CE3B2C" w:rsidRPr="00A01209" w:rsidRDefault="00CE3B2C" w:rsidP="00DD5F12">
                      <w:pPr>
                        <w:spacing w:before="0" w:after="0"/>
                        <w:jc w:val="center"/>
                        <w:rPr>
                          <w:rFonts w:ascii="Arial" w:hAnsi="Arial"/>
                        </w:rPr>
                      </w:pPr>
                      <w:r>
                        <w:rPr>
                          <w:rFonts w:ascii="Arial" w:hAnsi="Arial"/>
                          <w:sz w:val="16"/>
                          <w:szCs w:val="16"/>
                        </w:rPr>
                        <w:t>Mr Luke Gosling, OAM MP</w:t>
                      </w:r>
                    </w:p>
                    <w:p w14:paraId="4BEE2983" w14:textId="77777777" w:rsidR="00CE3B2C" w:rsidRPr="00DC4534" w:rsidRDefault="00CE3B2C" w:rsidP="005069C9">
                      <w:pPr>
                        <w:spacing w:before="200" w:after="0"/>
                        <w:jc w:val="center"/>
                        <w:rPr>
                          <w:sz w:val="16"/>
                          <w:szCs w:val="16"/>
                        </w:rPr>
                      </w:pPr>
                    </w:p>
                  </w:txbxContent>
                </v:textbox>
              </v:shape>
            </w:pict>
          </mc:Fallback>
        </mc:AlternateContent>
      </w:r>
      <w:r>
        <w:rPr>
          <w:noProof/>
          <w:lang w:val="en-AU"/>
        </w:rPr>
        <mc:AlternateContent>
          <mc:Choice Requires="wps">
            <w:drawing>
              <wp:anchor distT="0" distB="0" distL="114300" distR="114300" simplePos="0" relativeHeight="251709952" behindDoc="0" locked="0" layoutInCell="1" allowOverlap="1" wp14:anchorId="7FDCB4CD" wp14:editId="63BAE568">
                <wp:simplePos x="0" y="0"/>
                <wp:positionH relativeFrom="column">
                  <wp:posOffset>2843061</wp:posOffset>
                </wp:positionH>
                <wp:positionV relativeFrom="paragraph">
                  <wp:posOffset>105521</wp:posOffset>
                </wp:positionV>
                <wp:extent cx="2552645" cy="491490"/>
                <wp:effectExtent l="19050" t="19050" r="19685" b="2286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645" cy="491490"/>
                        </a:xfrm>
                        <a:prstGeom prst="rect">
                          <a:avLst/>
                        </a:prstGeom>
                        <a:solidFill>
                          <a:srgbClr val="FFFFFF"/>
                        </a:solidFill>
                        <a:ln w="41275" cmpd="dbl">
                          <a:solidFill>
                            <a:srgbClr val="000000"/>
                          </a:solidFill>
                          <a:miter lim="800000"/>
                          <a:headEnd/>
                          <a:tailEnd/>
                        </a:ln>
                      </wps:spPr>
                      <wps:txbx>
                        <w:txbxContent>
                          <w:p w14:paraId="21715869" w14:textId="77777777" w:rsidR="00CE3B2C" w:rsidRDefault="00CE3B2C" w:rsidP="00CD03A8">
                            <w:pPr>
                              <w:spacing w:before="0" w:after="0"/>
                              <w:jc w:val="center"/>
                              <w:rPr>
                                <w:rFonts w:ascii="Arial" w:hAnsi="Arial"/>
                                <w:sz w:val="16"/>
                                <w:szCs w:val="16"/>
                              </w:rPr>
                            </w:pPr>
                            <w:r>
                              <w:rPr>
                                <w:rFonts w:ascii="Arial" w:hAnsi="Arial"/>
                                <w:sz w:val="16"/>
                                <w:szCs w:val="16"/>
                              </w:rPr>
                              <w:t>Special Envoy for Cyber Security and Digital Resilience</w:t>
                            </w:r>
                          </w:p>
                          <w:p w14:paraId="14596AB2" w14:textId="77777777" w:rsidR="00CE3B2C" w:rsidRPr="00A01209" w:rsidRDefault="00CE3B2C" w:rsidP="00DD5F12">
                            <w:pPr>
                              <w:spacing w:before="0" w:after="0"/>
                              <w:jc w:val="center"/>
                              <w:rPr>
                                <w:rFonts w:ascii="Arial" w:hAnsi="Arial"/>
                              </w:rPr>
                            </w:pPr>
                            <w:r>
                              <w:rPr>
                                <w:rFonts w:ascii="Arial" w:hAnsi="Arial"/>
                                <w:sz w:val="16"/>
                                <w:szCs w:val="16"/>
                              </w:rPr>
                              <w:t>Dr Andrew Charlton MP</w:t>
                            </w:r>
                          </w:p>
                          <w:p w14:paraId="4CD5FFEC" w14:textId="77777777" w:rsidR="00CE3B2C" w:rsidRPr="00DC4534" w:rsidRDefault="00CE3B2C" w:rsidP="00DD5F12">
                            <w:pPr>
                              <w:spacing w:before="200" w:after="0"/>
                              <w:jc w:val="center"/>
                              <w:rPr>
                                <w:sz w:val="16"/>
                                <w:szCs w:val="16"/>
                              </w:rPr>
                            </w:pP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CB4CD" id="_x0000_s1046" type="#_x0000_t202" style="position:absolute;left:0;text-align:left;margin-left:223.85pt;margin-top:8.3pt;width:201pt;height:38.7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" strokeweight="3.25pt">
                <v:stroke linestyle="thinThin"/>
                <v:textbox inset=".5mm,,.5mm">
                  <w:txbxContent>
                    <w:p w14:paraId="21715869" w14:textId="77777777" w:rsidR="00CE3B2C" w:rsidRDefault="00CE3B2C" w:rsidP="00CD03A8">
                      <w:pPr>
                        <w:spacing w:before="0" w:after="0"/>
                        <w:jc w:val="center"/>
                        <w:rPr>
                          <w:rFonts w:ascii="Arial" w:hAnsi="Arial"/>
                          <w:sz w:val="16"/>
                          <w:szCs w:val="16"/>
                        </w:rPr>
                      </w:pPr>
                      <w:r>
                        <w:rPr>
                          <w:rFonts w:ascii="Arial" w:hAnsi="Arial"/>
                          <w:sz w:val="16"/>
                          <w:szCs w:val="16"/>
                        </w:rPr>
                        <w:t>Special Envoy for Cyber Security and Digital Resilience</w:t>
                      </w:r>
                    </w:p>
                    <w:p w14:paraId="14596AB2" w14:textId="77777777" w:rsidR="00CE3B2C" w:rsidRPr="00A01209" w:rsidRDefault="00CE3B2C" w:rsidP="00DD5F12">
                      <w:pPr>
                        <w:spacing w:before="0" w:after="0"/>
                        <w:jc w:val="center"/>
                        <w:rPr>
                          <w:rFonts w:ascii="Arial" w:hAnsi="Arial"/>
                        </w:rPr>
                      </w:pPr>
                      <w:r>
                        <w:rPr>
                          <w:rFonts w:ascii="Arial" w:hAnsi="Arial"/>
                          <w:sz w:val="16"/>
                          <w:szCs w:val="16"/>
                        </w:rPr>
                        <w:t>Dr Andrew Charlton MP</w:t>
                      </w:r>
                    </w:p>
                    <w:p w14:paraId="4CD5FFEC" w14:textId="77777777" w:rsidR="00CE3B2C" w:rsidRPr="00DC4534" w:rsidRDefault="00CE3B2C" w:rsidP="00DD5F12">
                      <w:pPr>
                        <w:spacing w:before="200" w:after="0"/>
                        <w:jc w:val="center"/>
                        <w:rPr>
                          <w:sz w:val="16"/>
                          <w:szCs w:val="16"/>
                        </w:rPr>
                      </w:pPr>
                    </w:p>
                  </w:txbxContent>
                </v:textbox>
              </v:shape>
            </w:pict>
          </mc:Fallback>
        </mc:AlternateContent>
      </w:r>
    </w:p>
    <w:p w14:paraId="782FA076" w14:textId="77777777" w:rsidR="005069C9" w:rsidRPr="00BF40CB" w:rsidRDefault="005069C9" w:rsidP="005069C9">
      <w:pPr>
        <w:pStyle w:val="FigureHeading"/>
        <w:numPr>
          <w:ilvl w:val="0"/>
          <w:numId w:val="0"/>
        </w:numPr>
        <w:ind w:left="644" w:hanging="360"/>
        <w:rPr>
          <w:highlight w:val="red"/>
          <w:lang w:val="en-AU"/>
        </w:rPr>
      </w:pPr>
    </w:p>
    <w:p w14:paraId="562BD80F" w14:textId="212B4711" w:rsidR="005069C9" w:rsidRDefault="00DD5F12" w:rsidP="006A4710">
      <w:pPr>
        <w:pStyle w:val="FigureHeading"/>
        <w:numPr>
          <w:ilvl w:val="0"/>
          <w:numId w:val="0"/>
        </w:numPr>
        <w:ind w:left="284"/>
        <w:rPr>
          <w:highlight w:val="red"/>
          <w:lang w:val="en-AU"/>
        </w:rPr>
      </w:pPr>
      <w:r w:rsidRPr="00BF40CB">
        <w:rPr>
          <w:noProof/>
          <w:lang w:val="en-AU"/>
        </w:rPr>
        <mc:AlternateContent>
          <mc:Choice Requires="wps">
            <w:drawing>
              <wp:anchor distT="0" distB="0" distL="114300" distR="114300" simplePos="0" relativeHeight="251619840" behindDoc="0" locked="0" layoutInCell="1" allowOverlap="1" wp14:anchorId="17169B39" wp14:editId="78B7A7ED">
                <wp:simplePos x="0" y="0"/>
                <wp:positionH relativeFrom="column">
                  <wp:posOffset>2833370</wp:posOffset>
                </wp:positionH>
                <wp:positionV relativeFrom="paragraph">
                  <wp:posOffset>114935</wp:posOffset>
                </wp:positionV>
                <wp:extent cx="2552065" cy="498475"/>
                <wp:effectExtent l="19050" t="19050" r="635" b="0"/>
                <wp:wrapNone/>
                <wp:docPr id="1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498475"/>
                        </a:xfrm>
                        <a:prstGeom prst="rect">
                          <a:avLst/>
                        </a:prstGeom>
                        <a:solidFill>
                          <a:srgbClr val="FFFFFF"/>
                        </a:solidFill>
                        <a:ln w="41275" cmpd="dbl">
                          <a:solidFill>
                            <a:srgbClr val="000000"/>
                          </a:solidFill>
                          <a:miter lim="800000"/>
                          <a:headEnd/>
                          <a:tailEnd/>
                        </a:ln>
                      </wps:spPr>
                      <wps:txbx>
                        <w:txbxContent>
                          <w:p w14:paraId="50DF7419" w14:textId="77777777" w:rsidR="00CE3B2C" w:rsidRPr="00E73D12" w:rsidRDefault="00CE3B2C" w:rsidP="005069C9">
                            <w:pPr>
                              <w:spacing w:before="240" w:after="0"/>
                              <w:jc w:val="center"/>
                              <w:rPr>
                                <w:rFonts w:ascii="Arial" w:hAnsi="Arial"/>
                              </w:rPr>
                            </w:pPr>
                            <w:r w:rsidRPr="00E73D12">
                              <w:rPr>
                                <w:rFonts w:ascii="Arial" w:hAnsi="Arial"/>
                                <w:sz w:val="16"/>
                                <w:szCs w:val="16"/>
                              </w:rPr>
                              <w:t>Chief of the Defence Force</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69B39" id="Text Box 8" o:spid="_x0000_s1047" type="#_x0000_t202" style="position:absolute;left:0;text-align:left;margin-left:223.1pt;margin-top:9.05pt;width:200.95pt;height:39.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" strokeweight="3.25pt">
                <v:stroke linestyle="thinThin"/>
                <v:textbox inset=".5mm,,.5mm">
                  <w:txbxContent>
                    <w:p w14:paraId="50DF7419" w14:textId="77777777" w:rsidR="00CE3B2C" w:rsidRPr="00E73D12" w:rsidRDefault="00CE3B2C" w:rsidP="005069C9">
                      <w:pPr>
                        <w:spacing w:before="240" w:after="0"/>
                        <w:jc w:val="center"/>
                        <w:rPr>
                          <w:rFonts w:ascii="Arial" w:hAnsi="Arial"/>
                        </w:rPr>
                      </w:pPr>
                      <w:r w:rsidRPr="00E73D12">
                        <w:rPr>
                          <w:rFonts w:ascii="Arial" w:hAnsi="Arial"/>
                          <w:sz w:val="16"/>
                          <w:szCs w:val="16"/>
                        </w:rPr>
                        <w:t>Chief of the Defence Force</w:t>
                      </w:r>
                    </w:p>
                  </w:txbxContent>
                </v:textbox>
              </v:shape>
            </w:pict>
          </mc:Fallback>
        </mc:AlternateContent>
      </w:r>
      <w:r w:rsidRPr="00BF40CB">
        <w:rPr>
          <w:noProof/>
          <w:lang w:val="en-AU"/>
        </w:rPr>
        <mc:AlternateContent>
          <mc:Choice Requires="wps">
            <w:drawing>
              <wp:anchor distT="0" distB="0" distL="114300" distR="114300" simplePos="0" relativeHeight="251617792" behindDoc="0" locked="0" layoutInCell="1" allowOverlap="1" wp14:anchorId="12307317" wp14:editId="12F9B169">
                <wp:simplePos x="0" y="0"/>
                <wp:positionH relativeFrom="column">
                  <wp:posOffset>150357</wp:posOffset>
                </wp:positionH>
                <wp:positionV relativeFrom="paragraph">
                  <wp:posOffset>115349</wp:posOffset>
                </wp:positionV>
                <wp:extent cx="2562225" cy="498475"/>
                <wp:effectExtent l="19050" t="19050" r="9525" b="0"/>
                <wp:wrapNone/>
                <wp:docPr id="1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498475"/>
                        </a:xfrm>
                        <a:prstGeom prst="rect">
                          <a:avLst/>
                        </a:prstGeom>
                        <a:solidFill>
                          <a:srgbClr val="FFFFFF"/>
                        </a:solidFill>
                        <a:ln w="41275" cmpd="dbl">
                          <a:solidFill>
                            <a:srgbClr val="000000"/>
                          </a:solidFill>
                          <a:miter lim="800000"/>
                          <a:headEnd/>
                          <a:tailEnd/>
                        </a:ln>
                      </wps:spPr>
                      <wps:txbx>
                        <w:txbxContent>
                          <w:p w14:paraId="6CEE639C" w14:textId="77777777" w:rsidR="00CE3B2C" w:rsidRPr="00E73D12" w:rsidRDefault="00CE3B2C" w:rsidP="005069C9">
                            <w:pPr>
                              <w:spacing w:before="240" w:after="0"/>
                              <w:jc w:val="center"/>
                              <w:rPr>
                                <w:rFonts w:ascii="Arial" w:hAnsi="Arial"/>
                              </w:rPr>
                            </w:pPr>
                            <w:r w:rsidRPr="00E73D12">
                              <w:rPr>
                                <w:rFonts w:ascii="Arial" w:hAnsi="Arial"/>
                                <w:sz w:val="16"/>
                                <w:szCs w:val="16"/>
                              </w:rPr>
                              <w:t>Secretary</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07317" id="Text Box 7" o:spid="_x0000_s1048" type="#_x0000_t202" style="position:absolute;left:0;text-align:left;margin-left:11.85pt;margin-top:9.1pt;width:201.75pt;height:39.2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" strokeweight="3.25pt">
                <v:stroke linestyle="thinThin"/>
                <v:textbox inset=".5mm,,.5mm">
                  <w:txbxContent>
                    <w:p w14:paraId="6CEE639C" w14:textId="77777777" w:rsidR="00CE3B2C" w:rsidRPr="00E73D12" w:rsidRDefault="00CE3B2C" w:rsidP="005069C9">
                      <w:pPr>
                        <w:spacing w:before="240" w:after="0"/>
                        <w:jc w:val="center"/>
                        <w:rPr>
                          <w:rFonts w:ascii="Arial" w:hAnsi="Arial"/>
                        </w:rPr>
                      </w:pPr>
                      <w:r w:rsidRPr="00E73D12">
                        <w:rPr>
                          <w:rFonts w:ascii="Arial" w:hAnsi="Arial"/>
                          <w:sz w:val="16"/>
                          <w:szCs w:val="16"/>
                        </w:rPr>
                        <w:t>Secretary</w:t>
                      </w:r>
                    </w:p>
                  </w:txbxContent>
                </v:textbox>
              </v:shape>
            </w:pict>
          </mc:Fallback>
        </mc:AlternateContent>
      </w:r>
    </w:p>
    <w:p w14:paraId="6B0CA7C4" w14:textId="77777777" w:rsidR="005069C9" w:rsidRDefault="005069C9" w:rsidP="006A4710">
      <w:pPr>
        <w:pStyle w:val="FigureHeading"/>
        <w:numPr>
          <w:ilvl w:val="0"/>
          <w:numId w:val="0"/>
        </w:numPr>
        <w:ind w:left="284"/>
        <w:rPr>
          <w:highlight w:val="red"/>
          <w:lang w:val="en-AU"/>
        </w:rPr>
      </w:pPr>
    </w:p>
    <w:p w14:paraId="5F8CEEC1" w14:textId="77777777" w:rsidR="005069C9" w:rsidRDefault="0085144D" w:rsidP="005069C9">
      <w:pPr>
        <w:pStyle w:val="FigureHeading"/>
        <w:numPr>
          <w:ilvl w:val="0"/>
          <w:numId w:val="0"/>
        </w:numPr>
        <w:ind w:left="284"/>
        <w:rPr>
          <w:highlight w:val="red"/>
          <w:lang w:val="en-AU"/>
        </w:rPr>
      </w:pPr>
      <w:r>
        <w:rPr>
          <w:noProof/>
          <w:lang w:val="en-AU"/>
        </w:rPr>
        <mc:AlternateContent>
          <mc:Choice Requires="wps">
            <w:drawing>
              <wp:anchor distT="0" distB="0" distL="114300" distR="114300" simplePos="0" relativeHeight="251622912" behindDoc="0" locked="0" layoutInCell="1" allowOverlap="1" wp14:anchorId="309EABDC" wp14:editId="5233F1F5">
                <wp:simplePos x="0" y="0"/>
                <wp:positionH relativeFrom="column">
                  <wp:posOffset>223520</wp:posOffset>
                </wp:positionH>
                <wp:positionV relativeFrom="paragraph">
                  <wp:posOffset>197485</wp:posOffset>
                </wp:positionV>
                <wp:extent cx="5080000" cy="1284605"/>
                <wp:effectExtent l="11430" t="13335" r="13970" b="6985"/>
                <wp:wrapNone/>
                <wp:docPr id="52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0" cy="1284605"/>
                        </a:xfrm>
                        <a:prstGeom prst="rect">
                          <a:avLst/>
                        </a:prstGeom>
                        <a:solidFill>
                          <a:srgbClr val="FFFFFF"/>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6FF198" w14:textId="77777777" w:rsidR="00CE3B2C" w:rsidRPr="00E73D12" w:rsidRDefault="00CE3B2C" w:rsidP="005069C9">
                            <w:pPr>
                              <w:spacing w:before="0" w:after="0"/>
                              <w:jc w:val="center"/>
                              <w:rPr>
                                <w:rFonts w:ascii="Arial" w:hAnsi="Arial"/>
                                <w:b/>
                                <w:position w:val="-18"/>
                                <w:sz w:val="16"/>
                                <w:szCs w:val="16"/>
                              </w:rPr>
                            </w:pPr>
                            <w:r w:rsidRPr="00E73D12">
                              <w:rPr>
                                <w:rFonts w:ascii="Arial" w:hAnsi="Arial"/>
                                <w:b/>
                                <w:position w:val="-18"/>
                                <w:sz w:val="16"/>
                                <w:szCs w:val="16"/>
                              </w:rPr>
                              <w:t>Defence and the Australian Defence Force</w:t>
                            </w:r>
                          </w:p>
                          <w:p w14:paraId="2D942B23" w14:textId="77777777" w:rsidR="00CE3B2C" w:rsidRPr="00E73D12" w:rsidRDefault="00CE3B2C" w:rsidP="005069C9">
                            <w:pPr>
                              <w:spacing w:before="60" w:after="0"/>
                              <w:jc w:val="center"/>
                              <w:rPr>
                                <w:rFonts w:ascii="Arial" w:hAnsi="Arial"/>
                                <w:position w:val="-18"/>
                                <w:sz w:val="16"/>
                                <w:szCs w:val="16"/>
                              </w:rPr>
                            </w:pPr>
                          </w:p>
                          <w:p w14:paraId="2847AC2B" w14:textId="77777777" w:rsidR="00CE3B2C" w:rsidRPr="00E73D12" w:rsidRDefault="00CE3B2C" w:rsidP="005069C9">
                            <w:pPr>
                              <w:spacing w:before="60" w:after="0"/>
                              <w:jc w:val="center"/>
                              <w:rPr>
                                <w:rFonts w:ascii="Arial" w:hAnsi="Arial"/>
                                <w:position w:val="-18"/>
                                <w:sz w:val="16"/>
                                <w:szCs w:val="16"/>
                              </w:rPr>
                            </w:pPr>
                          </w:p>
                          <w:p w14:paraId="60A4A7EA" w14:textId="77777777" w:rsidR="00CE3B2C" w:rsidRPr="00E73D12" w:rsidRDefault="00CE3B2C" w:rsidP="005069C9">
                            <w:pPr>
                              <w:spacing w:before="60" w:after="0"/>
                              <w:jc w:val="center"/>
                              <w:rPr>
                                <w:rFonts w:ascii="Arial" w:hAnsi="Arial"/>
                                <w:position w:val="-18"/>
                                <w:sz w:val="16"/>
                                <w:szCs w:val="16"/>
                              </w:rPr>
                            </w:pPr>
                            <w:r w:rsidRPr="00E73D12">
                              <w:rPr>
                                <w:rFonts w:ascii="Arial" w:hAnsi="Arial"/>
                                <w:b/>
                                <w:position w:val="-18"/>
                                <w:sz w:val="16"/>
                                <w:szCs w:val="16"/>
                              </w:rPr>
                              <w:t>Outcome 1:</w:t>
                            </w:r>
                            <w:r w:rsidRPr="00E73D12">
                              <w:rPr>
                                <w:rFonts w:ascii="Arial" w:hAnsi="Arial"/>
                                <w:position w:val="-18"/>
                                <w:sz w:val="16"/>
                                <w:szCs w:val="16"/>
                              </w:rPr>
                              <w:t xml:space="preserve"> Defend Australia and its national interests through the conduct of operations and provision of support for the Australian community and civilian authorities in accordance with Government direction.</w:t>
                            </w:r>
                          </w:p>
                          <w:p w14:paraId="27CAA1FD" w14:textId="77777777" w:rsidR="00CE3B2C" w:rsidRPr="00E73D12" w:rsidRDefault="00CE3B2C" w:rsidP="005069C9">
                            <w:pPr>
                              <w:spacing w:before="60" w:after="0"/>
                              <w:jc w:val="center"/>
                              <w:rPr>
                                <w:rFonts w:ascii="Arial" w:hAnsi="Arial"/>
                                <w:sz w:val="16"/>
                                <w:szCs w:val="16"/>
                              </w:rPr>
                            </w:pPr>
                            <w:r w:rsidRPr="00E73D12">
                              <w:rPr>
                                <w:rFonts w:ascii="Arial" w:hAnsi="Arial"/>
                                <w:b/>
                                <w:sz w:val="16"/>
                                <w:szCs w:val="16"/>
                              </w:rPr>
                              <w:t>Outcome 2</w:t>
                            </w:r>
                            <w:r w:rsidRPr="00E73D12">
                              <w:rPr>
                                <w:rFonts w:ascii="Arial" w:hAnsi="Arial"/>
                                <w:sz w:val="16"/>
                                <w:szCs w:val="16"/>
                              </w:rPr>
                              <w:t>: Protect and advance Australia’s strategic interests through the provision of strategic policy, the development, delivery and sustainment of military, intelligence and enabling capabilities, and the promotion of regional and global security and stability as directed by Government.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EABDC" id="Text Box 351" o:spid="_x0000_s1049" type="#_x0000_t202" style="position:absolute;left:0;text-align:left;margin-left:17.6pt;margin-top:15.55pt;width:400pt;height:101.1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" strokeweight="0">
                <v:textbox>
                  <w:txbxContent>
                    <w:p w14:paraId="3C6FF198" w14:textId="77777777" w:rsidR="00CE3B2C" w:rsidRPr="00E73D12" w:rsidRDefault="00CE3B2C" w:rsidP="005069C9">
                      <w:pPr>
                        <w:spacing w:before="0" w:after="0"/>
                        <w:jc w:val="center"/>
                        <w:rPr>
                          <w:rFonts w:ascii="Arial" w:hAnsi="Arial"/>
                          <w:b/>
                          <w:position w:val="-18"/>
                          <w:sz w:val="16"/>
                          <w:szCs w:val="16"/>
                        </w:rPr>
                      </w:pPr>
                      <w:r w:rsidRPr="00E73D12">
                        <w:rPr>
                          <w:rFonts w:ascii="Arial" w:hAnsi="Arial"/>
                          <w:b/>
                          <w:position w:val="-18"/>
                          <w:sz w:val="16"/>
                          <w:szCs w:val="16"/>
                        </w:rPr>
                        <w:t>Defence and the Australian Defence Force</w:t>
                      </w:r>
                    </w:p>
                    <w:p w14:paraId="2D942B23" w14:textId="77777777" w:rsidR="00CE3B2C" w:rsidRPr="00E73D12" w:rsidRDefault="00CE3B2C" w:rsidP="005069C9">
                      <w:pPr>
                        <w:spacing w:before="60" w:after="0"/>
                        <w:jc w:val="center"/>
                        <w:rPr>
                          <w:rFonts w:ascii="Arial" w:hAnsi="Arial"/>
                          <w:position w:val="-18"/>
                          <w:sz w:val="16"/>
                          <w:szCs w:val="16"/>
                        </w:rPr>
                      </w:pPr>
                    </w:p>
                    <w:p w14:paraId="2847AC2B" w14:textId="77777777" w:rsidR="00CE3B2C" w:rsidRPr="00E73D12" w:rsidRDefault="00CE3B2C" w:rsidP="005069C9">
                      <w:pPr>
                        <w:spacing w:before="60" w:after="0"/>
                        <w:jc w:val="center"/>
                        <w:rPr>
                          <w:rFonts w:ascii="Arial" w:hAnsi="Arial"/>
                          <w:position w:val="-18"/>
                          <w:sz w:val="16"/>
                          <w:szCs w:val="16"/>
                        </w:rPr>
                      </w:pPr>
                    </w:p>
                    <w:p w14:paraId="60A4A7EA" w14:textId="77777777" w:rsidR="00CE3B2C" w:rsidRPr="00E73D12" w:rsidRDefault="00CE3B2C" w:rsidP="005069C9">
                      <w:pPr>
                        <w:spacing w:before="60" w:after="0"/>
                        <w:jc w:val="center"/>
                        <w:rPr>
                          <w:rFonts w:ascii="Arial" w:hAnsi="Arial"/>
                          <w:position w:val="-18"/>
                          <w:sz w:val="16"/>
                          <w:szCs w:val="16"/>
                        </w:rPr>
                      </w:pPr>
                      <w:r w:rsidRPr="00E73D12">
                        <w:rPr>
                          <w:rFonts w:ascii="Arial" w:hAnsi="Arial"/>
                          <w:b/>
                          <w:position w:val="-18"/>
                          <w:sz w:val="16"/>
                          <w:szCs w:val="16"/>
                        </w:rPr>
                        <w:t>Outcome 1:</w:t>
                      </w:r>
                      <w:r w:rsidRPr="00E73D12">
                        <w:rPr>
                          <w:rFonts w:ascii="Arial" w:hAnsi="Arial"/>
                          <w:position w:val="-18"/>
                          <w:sz w:val="16"/>
                          <w:szCs w:val="16"/>
                        </w:rPr>
                        <w:t xml:space="preserve"> Defend Australia and its national interests through the conduct of operations and provision of support for the Australian community and civilian authorities in accordance with Government direction.</w:t>
                      </w:r>
                    </w:p>
                    <w:p w14:paraId="27CAA1FD" w14:textId="77777777" w:rsidR="00CE3B2C" w:rsidRPr="00E73D12" w:rsidRDefault="00CE3B2C" w:rsidP="005069C9">
                      <w:pPr>
                        <w:spacing w:before="60" w:after="0"/>
                        <w:jc w:val="center"/>
                        <w:rPr>
                          <w:rFonts w:ascii="Arial" w:hAnsi="Arial"/>
                          <w:sz w:val="16"/>
                          <w:szCs w:val="16"/>
                        </w:rPr>
                      </w:pPr>
                      <w:r w:rsidRPr="00E73D12">
                        <w:rPr>
                          <w:rFonts w:ascii="Arial" w:hAnsi="Arial"/>
                          <w:b/>
                          <w:sz w:val="16"/>
                          <w:szCs w:val="16"/>
                        </w:rPr>
                        <w:t>Outcome 2</w:t>
                      </w:r>
                      <w:r w:rsidRPr="00E73D12">
                        <w:rPr>
                          <w:rFonts w:ascii="Arial" w:hAnsi="Arial"/>
                          <w:sz w:val="16"/>
                          <w:szCs w:val="16"/>
                        </w:rPr>
                        <w:t>: Protect and advance Australia’s strategic interests through the provision of strategic policy, the development, delivery and sustainment of military, intelligence and enabling capabilities, and the promotion of regional and global security and stability as directed by Government.</w:t>
                      </w:r>
                    </w:p>
                  </w:txbxContent>
                </v:textbox>
              </v:shape>
            </w:pict>
          </mc:Fallback>
        </mc:AlternateContent>
      </w:r>
      <w:r>
        <w:rPr>
          <w:noProof/>
          <w:lang w:val="en-AU"/>
        </w:rPr>
        <mc:AlternateContent>
          <mc:Choice Requires="wps">
            <w:drawing>
              <wp:anchor distT="0" distB="0" distL="114300" distR="114300" simplePos="0" relativeHeight="251621888" behindDoc="0" locked="0" layoutInCell="1" allowOverlap="1" wp14:anchorId="2DD63872" wp14:editId="0E402B3C">
                <wp:simplePos x="0" y="0"/>
                <wp:positionH relativeFrom="column">
                  <wp:posOffset>160020</wp:posOffset>
                </wp:positionH>
                <wp:positionV relativeFrom="paragraph">
                  <wp:posOffset>137160</wp:posOffset>
                </wp:positionV>
                <wp:extent cx="5210810" cy="3790315"/>
                <wp:effectExtent l="19050" t="19050" r="8890" b="635"/>
                <wp:wrapNone/>
                <wp:docPr id="586" name="Text Box 8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810" cy="3790315"/>
                        </a:xfrm>
                        <a:prstGeom prst="rect">
                          <a:avLst/>
                        </a:prstGeom>
                        <a:solidFill>
                          <a:srgbClr val="FFFFFF"/>
                        </a:solidFill>
                        <a:ln w="38100" cmpd="dbl">
                          <a:solidFill>
                            <a:srgbClr val="000000"/>
                          </a:solidFill>
                          <a:miter lim="800000"/>
                          <a:headEnd/>
                          <a:tailEnd/>
                        </a:ln>
                      </wps:spPr>
                      <wps:txbx>
                        <w:txbxContent>
                          <w:p w14:paraId="76FB6B8A" w14:textId="77777777" w:rsidR="00CE3B2C" w:rsidRDefault="00CE3B2C" w:rsidP="005069C9">
                            <w:pPr>
                              <w:spacing w:after="0"/>
                              <w:jc w:val="center"/>
                              <w:rPr>
                                <w:b/>
                                <w:position w:val="-18"/>
                                <w:sz w:val="16"/>
                                <w:szCs w:val="16"/>
                              </w:rPr>
                            </w:pPr>
                          </w:p>
                          <w:p w14:paraId="265971B0" w14:textId="77777777" w:rsidR="00CE3B2C" w:rsidRDefault="00CE3B2C" w:rsidP="005069C9">
                            <w:pPr>
                              <w:spacing w:after="0"/>
                              <w:jc w:val="center"/>
                              <w:rPr>
                                <w:b/>
                                <w:position w:val="-18"/>
                                <w:sz w:val="16"/>
                                <w:szCs w:val="16"/>
                              </w:rPr>
                            </w:pPr>
                          </w:p>
                          <w:p w14:paraId="506B3DC9" w14:textId="77777777" w:rsidR="00CE3B2C" w:rsidRDefault="00CE3B2C" w:rsidP="005069C9">
                            <w:pPr>
                              <w:spacing w:after="0"/>
                              <w:jc w:val="center"/>
                              <w:rPr>
                                <w:b/>
                                <w:position w:val="-18"/>
                                <w:sz w:val="16"/>
                                <w:szCs w:val="16"/>
                              </w:rPr>
                            </w:pPr>
                          </w:p>
                          <w:p w14:paraId="3D2E217C" w14:textId="77777777" w:rsidR="00CE3B2C" w:rsidRDefault="00CE3B2C" w:rsidP="005069C9">
                            <w:pPr>
                              <w:spacing w:after="0"/>
                              <w:jc w:val="center"/>
                              <w:rPr>
                                <w:b/>
                                <w:position w:val="-18"/>
                                <w:sz w:val="16"/>
                                <w:szCs w:val="16"/>
                              </w:rPr>
                            </w:pPr>
                          </w:p>
                          <w:p w14:paraId="2DC7673E" w14:textId="77777777" w:rsidR="00CE3B2C" w:rsidRDefault="00CE3B2C" w:rsidP="005069C9">
                            <w:pPr>
                              <w:spacing w:after="0"/>
                              <w:jc w:val="center"/>
                              <w:rPr>
                                <w:b/>
                                <w:position w:val="-18"/>
                                <w:sz w:val="16"/>
                                <w:szCs w:val="16"/>
                              </w:rPr>
                            </w:pPr>
                          </w:p>
                          <w:p w14:paraId="55D07D27" w14:textId="77777777" w:rsidR="00CE3B2C" w:rsidRDefault="00CE3B2C" w:rsidP="005069C9">
                            <w:pPr>
                              <w:spacing w:after="0"/>
                              <w:jc w:val="center"/>
                              <w:rPr>
                                <w:b/>
                                <w:position w:val="-18"/>
                                <w:sz w:val="16"/>
                                <w:szCs w:val="16"/>
                              </w:rPr>
                            </w:pPr>
                          </w:p>
                          <w:p w14:paraId="3A5E33E2" w14:textId="77777777" w:rsidR="00CE3B2C" w:rsidRDefault="00CE3B2C" w:rsidP="005069C9">
                            <w:pPr>
                              <w:spacing w:after="0"/>
                              <w:jc w:val="center"/>
                              <w:rPr>
                                <w:b/>
                                <w:position w:val="-18"/>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63872" id="Text Box 8431" o:spid="_x0000_s1050" type="#_x0000_t202" style="position:absolute;left:0;text-align:left;margin-left:12.6pt;margin-top:10.8pt;width:410.3pt;height:298.4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" strokeweight="3pt">
                <v:stroke linestyle="thinThin"/>
                <v:textbox>
                  <w:txbxContent>
                    <w:p w14:paraId="76FB6B8A" w14:textId="77777777" w:rsidR="00CE3B2C" w:rsidRDefault="00CE3B2C" w:rsidP="005069C9">
                      <w:pPr>
                        <w:spacing w:after="0"/>
                        <w:jc w:val="center"/>
                        <w:rPr>
                          <w:b/>
                          <w:position w:val="-18"/>
                          <w:sz w:val="16"/>
                          <w:szCs w:val="16"/>
                        </w:rPr>
                      </w:pPr>
                    </w:p>
                    <w:p w14:paraId="265971B0" w14:textId="77777777" w:rsidR="00CE3B2C" w:rsidRDefault="00CE3B2C" w:rsidP="005069C9">
                      <w:pPr>
                        <w:spacing w:after="0"/>
                        <w:jc w:val="center"/>
                        <w:rPr>
                          <w:b/>
                          <w:position w:val="-18"/>
                          <w:sz w:val="16"/>
                          <w:szCs w:val="16"/>
                        </w:rPr>
                      </w:pPr>
                    </w:p>
                    <w:p w14:paraId="506B3DC9" w14:textId="77777777" w:rsidR="00CE3B2C" w:rsidRDefault="00CE3B2C" w:rsidP="005069C9">
                      <w:pPr>
                        <w:spacing w:after="0"/>
                        <w:jc w:val="center"/>
                        <w:rPr>
                          <w:b/>
                          <w:position w:val="-18"/>
                          <w:sz w:val="16"/>
                          <w:szCs w:val="16"/>
                        </w:rPr>
                      </w:pPr>
                    </w:p>
                    <w:p w14:paraId="3D2E217C" w14:textId="77777777" w:rsidR="00CE3B2C" w:rsidRDefault="00CE3B2C" w:rsidP="005069C9">
                      <w:pPr>
                        <w:spacing w:after="0"/>
                        <w:jc w:val="center"/>
                        <w:rPr>
                          <w:b/>
                          <w:position w:val="-18"/>
                          <w:sz w:val="16"/>
                          <w:szCs w:val="16"/>
                        </w:rPr>
                      </w:pPr>
                    </w:p>
                    <w:p w14:paraId="2DC7673E" w14:textId="77777777" w:rsidR="00CE3B2C" w:rsidRDefault="00CE3B2C" w:rsidP="005069C9">
                      <w:pPr>
                        <w:spacing w:after="0"/>
                        <w:jc w:val="center"/>
                        <w:rPr>
                          <w:b/>
                          <w:position w:val="-18"/>
                          <w:sz w:val="16"/>
                          <w:szCs w:val="16"/>
                        </w:rPr>
                      </w:pPr>
                    </w:p>
                    <w:p w14:paraId="55D07D27" w14:textId="77777777" w:rsidR="00CE3B2C" w:rsidRDefault="00CE3B2C" w:rsidP="005069C9">
                      <w:pPr>
                        <w:spacing w:after="0"/>
                        <w:jc w:val="center"/>
                        <w:rPr>
                          <w:b/>
                          <w:position w:val="-18"/>
                          <w:sz w:val="16"/>
                          <w:szCs w:val="16"/>
                        </w:rPr>
                      </w:pPr>
                    </w:p>
                    <w:p w14:paraId="3A5E33E2" w14:textId="77777777" w:rsidR="00CE3B2C" w:rsidRDefault="00CE3B2C" w:rsidP="005069C9">
                      <w:pPr>
                        <w:spacing w:after="0"/>
                        <w:jc w:val="center"/>
                        <w:rPr>
                          <w:b/>
                          <w:position w:val="-18"/>
                          <w:sz w:val="16"/>
                          <w:szCs w:val="16"/>
                        </w:rPr>
                      </w:pPr>
                    </w:p>
                  </w:txbxContent>
                </v:textbox>
              </v:shape>
            </w:pict>
          </mc:Fallback>
        </mc:AlternateContent>
      </w:r>
    </w:p>
    <w:p w14:paraId="3CB05953" w14:textId="77777777" w:rsidR="005069C9" w:rsidRDefault="0085144D" w:rsidP="002B1406">
      <w:pPr>
        <w:pStyle w:val="FigureHeading"/>
        <w:numPr>
          <w:ilvl w:val="0"/>
          <w:numId w:val="0"/>
        </w:numPr>
        <w:ind w:left="284"/>
        <w:rPr>
          <w:highlight w:val="red"/>
          <w:lang w:val="en-AU"/>
        </w:rPr>
      </w:pPr>
      <w:r>
        <w:rPr>
          <w:noProof/>
          <w:lang w:val="en-AU"/>
        </w:rPr>
        <mc:AlternateContent>
          <mc:Choice Requires="wps">
            <w:drawing>
              <wp:anchor distT="0" distB="0" distL="114300" distR="114300" simplePos="0" relativeHeight="251627008" behindDoc="0" locked="0" layoutInCell="1" allowOverlap="1" wp14:anchorId="4EC74AA7" wp14:editId="4E87C8CD">
                <wp:simplePos x="0" y="0"/>
                <wp:positionH relativeFrom="column">
                  <wp:posOffset>2930525</wp:posOffset>
                </wp:positionH>
                <wp:positionV relativeFrom="paragraph">
                  <wp:posOffset>66675</wp:posOffset>
                </wp:positionV>
                <wp:extent cx="2095500" cy="381000"/>
                <wp:effectExtent l="3810" t="3175" r="0" b="0"/>
                <wp:wrapNone/>
                <wp:docPr id="520"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81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778F25" w14:textId="5480CB6B" w:rsidR="00CE3B2C" w:rsidRPr="00E73D12" w:rsidRDefault="00CE3B2C" w:rsidP="005069C9">
                            <w:pPr>
                              <w:spacing w:before="0" w:after="0"/>
                              <w:jc w:val="center"/>
                              <w:rPr>
                                <w:rFonts w:ascii="Arial" w:hAnsi="Arial"/>
                                <w:position w:val="-18"/>
                                <w:sz w:val="16"/>
                                <w:szCs w:val="16"/>
                              </w:rPr>
                            </w:pPr>
                            <w:r w:rsidRPr="00E73D12">
                              <w:rPr>
                                <w:rFonts w:ascii="Arial" w:hAnsi="Arial"/>
                                <w:position w:val="-18"/>
                                <w:sz w:val="16"/>
                                <w:szCs w:val="16"/>
                              </w:rPr>
                              <w:t>Chief of the Defence Force</w:t>
                            </w:r>
                            <w:r w:rsidRPr="00E73D12">
                              <w:rPr>
                                <w:rFonts w:ascii="Arial" w:hAnsi="Arial"/>
                                <w:position w:val="-18"/>
                                <w:sz w:val="16"/>
                                <w:szCs w:val="16"/>
                              </w:rPr>
                              <w:br/>
                            </w:r>
                            <w:r>
                              <w:rPr>
                                <w:rFonts w:ascii="Arial" w:hAnsi="Arial"/>
                                <w:position w:val="-18"/>
                                <w:sz w:val="16"/>
                                <w:szCs w:val="16"/>
                              </w:rPr>
                              <w:t>Admiral David Johnston, AC, RAN</w:t>
                            </w:r>
                            <w:r w:rsidRPr="00E73D12" w:rsidDel="00DD5F12">
                              <w:rPr>
                                <w:rFonts w:ascii="Arial" w:hAnsi="Arial"/>
                                <w:position w:val="-18"/>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74AA7" id="Text Box 355" o:spid="_x0000_s1051" type="#_x0000_t202" style="position:absolute;left:0;text-align:left;margin-left:230.75pt;margin-top:5.25pt;width:165pt;height:30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" filled="f" stroked="f" strokeweight="0">
                <v:textbox>
                  <w:txbxContent>
                    <w:p w14:paraId="57778F25" w14:textId="5480CB6B" w:rsidR="00CE3B2C" w:rsidRPr="00E73D12" w:rsidRDefault="00CE3B2C" w:rsidP="005069C9">
                      <w:pPr>
                        <w:spacing w:before="0" w:after="0"/>
                        <w:jc w:val="center"/>
                        <w:rPr>
                          <w:rFonts w:ascii="Arial" w:hAnsi="Arial"/>
                          <w:position w:val="-18"/>
                          <w:sz w:val="16"/>
                          <w:szCs w:val="16"/>
                        </w:rPr>
                      </w:pPr>
                      <w:r w:rsidRPr="00E73D12">
                        <w:rPr>
                          <w:rFonts w:ascii="Arial" w:hAnsi="Arial"/>
                          <w:position w:val="-18"/>
                          <w:sz w:val="16"/>
                          <w:szCs w:val="16"/>
                        </w:rPr>
                        <w:t>Chief of the Defence Force</w:t>
                      </w:r>
                      <w:r w:rsidRPr="00E73D12">
                        <w:rPr>
                          <w:rFonts w:ascii="Arial" w:hAnsi="Arial"/>
                          <w:position w:val="-18"/>
                          <w:sz w:val="16"/>
                          <w:szCs w:val="16"/>
                        </w:rPr>
                        <w:br/>
                      </w:r>
                      <w:r>
                        <w:rPr>
                          <w:rFonts w:ascii="Arial" w:hAnsi="Arial"/>
                          <w:position w:val="-18"/>
                          <w:sz w:val="16"/>
                          <w:szCs w:val="16"/>
                        </w:rPr>
                        <w:t>Admiral David Johnston, AC, RAN</w:t>
                      </w:r>
                      <w:r w:rsidRPr="00E73D12" w:rsidDel="00DD5F12">
                        <w:rPr>
                          <w:rFonts w:ascii="Arial" w:hAnsi="Arial"/>
                          <w:position w:val="-18"/>
                          <w:sz w:val="16"/>
                          <w:szCs w:val="16"/>
                        </w:rPr>
                        <w:t xml:space="preserve"> </w:t>
                      </w:r>
                    </w:p>
                  </w:txbxContent>
                </v:textbox>
              </v:shape>
            </w:pict>
          </mc:Fallback>
        </mc:AlternateContent>
      </w:r>
      <w:r>
        <w:rPr>
          <w:noProof/>
          <w:lang w:val="en-AU"/>
        </w:rPr>
        <mc:AlternateContent>
          <mc:Choice Requires="wps">
            <w:drawing>
              <wp:anchor distT="0" distB="0" distL="114300" distR="114300" simplePos="0" relativeHeight="251625984" behindDoc="0" locked="0" layoutInCell="1" allowOverlap="1" wp14:anchorId="4A2F3C09" wp14:editId="111EFDC3">
                <wp:simplePos x="0" y="0"/>
                <wp:positionH relativeFrom="column">
                  <wp:posOffset>518795</wp:posOffset>
                </wp:positionH>
                <wp:positionV relativeFrom="paragraph">
                  <wp:posOffset>47625</wp:posOffset>
                </wp:positionV>
                <wp:extent cx="1752600" cy="381000"/>
                <wp:effectExtent l="1905" t="3175" r="0" b="0"/>
                <wp:wrapNone/>
                <wp:docPr id="519"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81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DD77D6" w14:textId="77777777" w:rsidR="00CE3B2C" w:rsidRPr="00E73D12" w:rsidRDefault="00CE3B2C" w:rsidP="005069C9">
                            <w:pPr>
                              <w:spacing w:before="0" w:after="0"/>
                              <w:jc w:val="center"/>
                              <w:rPr>
                                <w:rFonts w:ascii="Arial" w:hAnsi="Arial"/>
                                <w:position w:val="-18"/>
                                <w:sz w:val="16"/>
                                <w:szCs w:val="16"/>
                              </w:rPr>
                            </w:pPr>
                            <w:r>
                              <w:rPr>
                                <w:rFonts w:ascii="Arial" w:hAnsi="Arial"/>
                                <w:position w:val="-18"/>
                                <w:sz w:val="16"/>
                                <w:szCs w:val="16"/>
                              </w:rPr>
                              <w:t>Secretary</w:t>
                            </w:r>
                            <w:r w:rsidRPr="00E73D12">
                              <w:rPr>
                                <w:rFonts w:ascii="Arial" w:hAnsi="Arial"/>
                                <w:position w:val="-18"/>
                                <w:sz w:val="16"/>
                                <w:szCs w:val="16"/>
                              </w:rPr>
                              <w:br/>
                              <w:t>Mr Greg Moriarty</w:t>
                            </w:r>
                            <w:r>
                              <w:rPr>
                                <w:rFonts w:ascii="Arial" w:hAnsi="Arial"/>
                                <w:position w:val="-18"/>
                                <w:sz w:val="16"/>
                                <w:szCs w:val="16"/>
                              </w:rPr>
                              <w:t>, 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F3C09" id="Text Box 354" o:spid="_x0000_s1052" type="#_x0000_t202" style="position:absolute;left:0;text-align:left;margin-left:40.85pt;margin-top:3.75pt;width:138pt;height:30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" filled="f" stroked="f" strokeweight="0">
                <v:textbox>
                  <w:txbxContent>
                    <w:p w14:paraId="4DDD77D6" w14:textId="77777777" w:rsidR="00CE3B2C" w:rsidRPr="00E73D12" w:rsidRDefault="00CE3B2C" w:rsidP="005069C9">
                      <w:pPr>
                        <w:spacing w:before="0" w:after="0"/>
                        <w:jc w:val="center"/>
                        <w:rPr>
                          <w:rFonts w:ascii="Arial" w:hAnsi="Arial"/>
                          <w:position w:val="-18"/>
                          <w:sz w:val="16"/>
                          <w:szCs w:val="16"/>
                        </w:rPr>
                      </w:pPr>
                      <w:r>
                        <w:rPr>
                          <w:rFonts w:ascii="Arial" w:hAnsi="Arial"/>
                          <w:position w:val="-18"/>
                          <w:sz w:val="16"/>
                          <w:szCs w:val="16"/>
                        </w:rPr>
                        <w:t>Secretary</w:t>
                      </w:r>
                      <w:r w:rsidRPr="00E73D12">
                        <w:rPr>
                          <w:rFonts w:ascii="Arial" w:hAnsi="Arial"/>
                          <w:position w:val="-18"/>
                          <w:sz w:val="16"/>
                          <w:szCs w:val="16"/>
                        </w:rPr>
                        <w:br/>
                        <w:t>Mr Greg Moriarty</w:t>
                      </w:r>
                      <w:r>
                        <w:rPr>
                          <w:rFonts w:ascii="Arial" w:hAnsi="Arial"/>
                          <w:position w:val="-18"/>
                          <w:sz w:val="16"/>
                          <w:szCs w:val="16"/>
                        </w:rPr>
                        <w:t>, AO</w:t>
                      </w:r>
                    </w:p>
                  </w:txbxContent>
                </v:textbox>
              </v:shape>
            </w:pict>
          </mc:Fallback>
        </mc:AlternateContent>
      </w:r>
    </w:p>
    <w:p w14:paraId="545F9E9E" w14:textId="77777777" w:rsidR="005069C9" w:rsidRDefault="005069C9" w:rsidP="002B1406">
      <w:pPr>
        <w:pStyle w:val="FigureHeading"/>
        <w:numPr>
          <w:ilvl w:val="0"/>
          <w:numId w:val="0"/>
        </w:numPr>
        <w:ind w:left="284"/>
        <w:rPr>
          <w:highlight w:val="red"/>
          <w:lang w:val="en-AU"/>
        </w:rPr>
      </w:pPr>
    </w:p>
    <w:p w14:paraId="7354E897" w14:textId="77777777" w:rsidR="005069C9" w:rsidRDefault="005069C9" w:rsidP="002B1406">
      <w:pPr>
        <w:pStyle w:val="FigureHeading"/>
        <w:numPr>
          <w:ilvl w:val="0"/>
          <w:numId w:val="0"/>
        </w:numPr>
        <w:ind w:left="284"/>
        <w:rPr>
          <w:highlight w:val="red"/>
          <w:lang w:val="en-AU"/>
        </w:rPr>
      </w:pPr>
    </w:p>
    <w:p w14:paraId="1B6BD6DA" w14:textId="77777777" w:rsidR="005069C9" w:rsidRDefault="005069C9" w:rsidP="002B1406">
      <w:pPr>
        <w:pStyle w:val="FigureHeading"/>
        <w:numPr>
          <w:ilvl w:val="0"/>
          <w:numId w:val="0"/>
        </w:numPr>
        <w:ind w:left="284"/>
        <w:rPr>
          <w:highlight w:val="red"/>
          <w:lang w:val="en-AU"/>
        </w:rPr>
      </w:pPr>
    </w:p>
    <w:p w14:paraId="131E358D" w14:textId="77777777" w:rsidR="005069C9" w:rsidRDefault="0085144D" w:rsidP="002B1406">
      <w:pPr>
        <w:pStyle w:val="FigureHeading"/>
        <w:numPr>
          <w:ilvl w:val="0"/>
          <w:numId w:val="0"/>
        </w:numPr>
        <w:ind w:left="284"/>
        <w:rPr>
          <w:highlight w:val="red"/>
          <w:lang w:val="en-AU"/>
        </w:rPr>
      </w:pPr>
      <w:r>
        <w:rPr>
          <w:noProof/>
          <w:lang w:val="en-AU"/>
        </w:rPr>
        <mc:AlternateContent>
          <mc:Choice Requires="wps">
            <w:drawing>
              <wp:anchor distT="0" distB="0" distL="114300" distR="114300" simplePos="0" relativeHeight="251624960" behindDoc="0" locked="0" layoutInCell="1" allowOverlap="1" wp14:anchorId="6CF9E92B" wp14:editId="4A7313D3">
                <wp:simplePos x="0" y="0"/>
                <wp:positionH relativeFrom="column">
                  <wp:posOffset>218440</wp:posOffset>
                </wp:positionH>
                <wp:positionV relativeFrom="paragraph">
                  <wp:posOffset>180340</wp:posOffset>
                </wp:positionV>
                <wp:extent cx="5085715" cy="741680"/>
                <wp:effectExtent l="6350" t="8890" r="13335" b="11430"/>
                <wp:wrapNone/>
                <wp:docPr id="518"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5715" cy="741680"/>
                        </a:xfrm>
                        <a:prstGeom prst="rect">
                          <a:avLst/>
                        </a:prstGeom>
                        <a:solidFill>
                          <a:srgbClr val="FFFFFF"/>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E87EB9" w14:textId="77777777" w:rsidR="00CE3B2C" w:rsidRPr="00E73D12" w:rsidRDefault="00CE3B2C" w:rsidP="005069C9">
                            <w:pPr>
                              <w:spacing w:before="0" w:after="0"/>
                              <w:jc w:val="center"/>
                              <w:rPr>
                                <w:rFonts w:ascii="Arial" w:hAnsi="Arial"/>
                                <w:b/>
                                <w:position w:val="-18"/>
                                <w:sz w:val="16"/>
                                <w:szCs w:val="16"/>
                              </w:rPr>
                            </w:pPr>
                            <w:r w:rsidRPr="00E73D12">
                              <w:rPr>
                                <w:rFonts w:ascii="Arial" w:hAnsi="Arial"/>
                                <w:b/>
                                <w:position w:val="-18"/>
                                <w:sz w:val="16"/>
                                <w:szCs w:val="16"/>
                              </w:rPr>
                              <w:t>Australian Signals Directorate</w:t>
                            </w:r>
                          </w:p>
                          <w:p w14:paraId="5952450A" w14:textId="6C08BACF" w:rsidR="00CE3B2C" w:rsidRPr="00E73D12" w:rsidRDefault="00CE3B2C" w:rsidP="005069C9">
                            <w:pPr>
                              <w:spacing w:before="0" w:after="0"/>
                              <w:jc w:val="center"/>
                              <w:rPr>
                                <w:rFonts w:ascii="Arial" w:hAnsi="Arial"/>
                                <w:position w:val="-18"/>
                                <w:sz w:val="16"/>
                                <w:szCs w:val="16"/>
                              </w:rPr>
                            </w:pPr>
                            <w:r w:rsidRPr="00E73D12">
                              <w:rPr>
                                <w:rFonts w:ascii="Arial" w:hAnsi="Arial"/>
                                <w:position w:val="-18"/>
                                <w:sz w:val="16"/>
                                <w:szCs w:val="16"/>
                              </w:rPr>
                              <w:t>Director</w:t>
                            </w:r>
                            <w:r>
                              <w:rPr>
                                <w:rFonts w:ascii="Arial" w:hAnsi="Arial"/>
                                <w:position w:val="-18"/>
                                <w:sz w:val="16"/>
                                <w:szCs w:val="16"/>
                              </w:rPr>
                              <w:t>-</w:t>
                            </w:r>
                            <w:r w:rsidRPr="00E73D12">
                              <w:rPr>
                                <w:rFonts w:ascii="Arial" w:hAnsi="Arial"/>
                                <w:position w:val="-18"/>
                                <w:sz w:val="16"/>
                                <w:szCs w:val="16"/>
                              </w:rPr>
                              <w:t xml:space="preserve">General: Ms </w:t>
                            </w:r>
                            <w:r>
                              <w:rPr>
                                <w:rFonts w:ascii="Arial" w:hAnsi="Arial"/>
                                <w:position w:val="-18"/>
                                <w:sz w:val="16"/>
                                <w:szCs w:val="16"/>
                              </w:rPr>
                              <w:t>Abigail Bradshaw, CSC</w:t>
                            </w:r>
                            <w:r w:rsidRPr="00E73D12" w:rsidDel="00DD5F12">
                              <w:rPr>
                                <w:rFonts w:ascii="Arial" w:hAnsi="Arial"/>
                                <w:position w:val="-18"/>
                                <w:sz w:val="16"/>
                                <w:szCs w:val="16"/>
                              </w:rPr>
                              <w:t xml:space="preserve"> </w:t>
                            </w:r>
                          </w:p>
                          <w:p w14:paraId="442F7590" w14:textId="77777777" w:rsidR="00CE3B2C" w:rsidRPr="00E73D12" w:rsidRDefault="00CE3B2C" w:rsidP="005069C9">
                            <w:pPr>
                              <w:spacing w:before="60" w:after="0"/>
                              <w:jc w:val="center"/>
                              <w:rPr>
                                <w:rFonts w:ascii="Arial" w:hAnsi="Arial"/>
                                <w:position w:val="-18"/>
                                <w:sz w:val="16"/>
                                <w:szCs w:val="16"/>
                              </w:rPr>
                            </w:pPr>
                            <w:r w:rsidRPr="00E73D12">
                              <w:rPr>
                                <w:rFonts w:ascii="Arial" w:hAnsi="Arial"/>
                                <w:b/>
                                <w:position w:val="-18"/>
                                <w:sz w:val="16"/>
                                <w:szCs w:val="16"/>
                              </w:rPr>
                              <w:t>Outcome 1</w:t>
                            </w:r>
                            <w:r w:rsidRPr="00E73D12">
                              <w:rPr>
                                <w:rFonts w:ascii="Arial" w:hAnsi="Arial"/>
                                <w:position w:val="-18"/>
                                <w:sz w:val="16"/>
                                <w:szCs w:val="16"/>
                              </w:rPr>
                              <w:t>: Defend Australia from global threats and advance our national interests through the provision of foreign signals intelligence, cyber security and offensive cyber operations, as directed by Government.</w:t>
                            </w:r>
                          </w:p>
                          <w:p w14:paraId="6BBDE27C" w14:textId="77777777" w:rsidR="00CE3B2C" w:rsidRDefault="00CE3B2C" w:rsidP="005069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9E92B" id="Text Box 353" o:spid="_x0000_s1053" type="#_x0000_t202" style="position:absolute;left:0;text-align:left;margin-left:17.2pt;margin-top:14.2pt;width:400.45pt;height:58.4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" strokeweight="0">
                <v:textbox>
                  <w:txbxContent>
                    <w:p w14:paraId="13E87EB9" w14:textId="77777777" w:rsidR="00CE3B2C" w:rsidRPr="00E73D12" w:rsidRDefault="00CE3B2C" w:rsidP="005069C9">
                      <w:pPr>
                        <w:spacing w:before="0" w:after="0"/>
                        <w:jc w:val="center"/>
                        <w:rPr>
                          <w:rFonts w:ascii="Arial" w:hAnsi="Arial"/>
                          <w:b/>
                          <w:position w:val="-18"/>
                          <w:sz w:val="16"/>
                          <w:szCs w:val="16"/>
                        </w:rPr>
                      </w:pPr>
                      <w:r w:rsidRPr="00E73D12">
                        <w:rPr>
                          <w:rFonts w:ascii="Arial" w:hAnsi="Arial"/>
                          <w:b/>
                          <w:position w:val="-18"/>
                          <w:sz w:val="16"/>
                          <w:szCs w:val="16"/>
                        </w:rPr>
                        <w:t>Australian Signals Directorate</w:t>
                      </w:r>
                    </w:p>
                    <w:p w14:paraId="5952450A" w14:textId="6C08BACF" w:rsidR="00CE3B2C" w:rsidRPr="00E73D12" w:rsidRDefault="00CE3B2C" w:rsidP="005069C9">
                      <w:pPr>
                        <w:spacing w:before="0" w:after="0"/>
                        <w:jc w:val="center"/>
                        <w:rPr>
                          <w:rFonts w:ascii="Arial" w:hAnsi="Arial"/>
                          <w:position w:val="-18"/>
                          <w:sz w:val="16"/>
                          <w:szCs w:val="16"/>
                        </w:rPr>
                      </w:pPr>
                      <w:r w:rsidRPr="00E73D12">
                        <w:rPr>
                          <w:rFonts w:ascii="Arial" w:hAnsi="Arial"/>
                          <w:position w:val="-18"/>
                          <w:sz w:val="16"/>
                          <w:szCs w:val="16"/>
                        </w:rPr>
                        <w:t>Director</w:t>
                      </w:r>
                      <w:r>
                        <w:rPr>
                          <w:rFonts w:ascii="Arial" w:hAnsi="Arial"/>
                          <w:position w:val="-18"/>
                          <w:sz w:val="16"/>
                          <w:szCs w:val="16"/>
                        </w:rPr>
                        <w:t>-</w:t>
                      </w:r>
                      <w:r w:rsidRPr="00E73D12">
                        <w:rPr>
                          <w:rFonts w:ascii="Arial" w:hAnsi="Arial"/>
                          <w:position w:val="-18"/>
                          <w:sz w:val="16"/>
                          <w:szCs w:val="16"/>
                        </w:rPr>
                        <w:t xml:space="preserve">General: Ms </w:t>
                      </w:r>
                      <w:r>
                        <w:rPr>
                          <w:rFonts w:ascii="Arial" w:hAnsi="Arial"/>
                          <w:position w:val="-18"/>
                          <w:sz w:val="16"/>
                          <w:szCs w:val="16"/>
                        </w:rPr>
                        <w:t>Abigail Bradshaw, CSC</w:t>
                      </w:r>
                      <w:r w:rsidRPr="00E73D12" w:rsidDel="00DD5F12">
                        <w:rPr>
                          <w:rFonts w:ascii="Arial" w:hAnsi="Arial"/>
                          <w:position w:val="-18"/>
                          <w:sz w:val="16"/>
                          <w:szCs w:val="16"/>
                        </w:rPr>
                        <w:t xml:space="preserve"> </w:t>
                      </w:r>
                    </w:p>
                    <w:p w14:paraId="442F7590" w14:textId="77777777" w:rsidR="00CE3B2C" w:rsidRPr="00E73D12" w:rsidRDefault="00CE3B2C" w:rsidP="005069C9">
                      <w:pPr>
                        <w:spacing w:before="60" w:after="0"/>
                        <w:jc w:val="center"/>
                        <w:rPr>
                          <w:rFonts w:ascii="Arial" w:hAnsi="Arial"/>
                          <w:position w:val="-18"/>
                          <w:sz w:val="16"/>
                          <w:szCs w:val="16"/>
                        </w:rPr>
                      </w:pPr>
                      <w:r w:rsidRPr="00E73D12">
                        <w:rPr>
                          <w:rFonts w:ascii="Arial" w:hAnsi="Arial"/>
                          <w:b/>
                          <w:position w:val="-18"/>
                          <w:sz w:val="16"/>
                          <w:szCs w:val="16"/>
                        </w:rPr>
                        <w:t>Outcome 1</w:t>
                      </w:r>
                      <w:r w:rsidRPr="00E73D12">
                        <w:rPr>
                          <w:rFonts w:ascii="Arial" w:hAnsi="Arial"/>
                          <w:position w:val="-18"/>
                          <w:sz w:val="16"/>
                          <w:szCs w:val="16"/>
                        </w:rPr>
                        <w:t>: Defend Australia from global threats and advance our national interests through the provision of foreign signals intelligence, cyber security and offensive cyber operations, as directed by Government.</w:t>
                      </w:r>
                    </w:p>
                    <w:p w14:paraId="6BBDE27C" w14:textId="77777777" w:rsidR="00CE3B2C" w:rsidRDefault="00CE3B2C" w:rsidP="005069C9"/>
                  </w:txbxContent>
                </v:textbox>
              </v:shape>
            </w:pict>
          </mc:Fallback>
        </mc:AlternateContent>
      </w:r>
    </w:p>
    <w:p w14:paraId="08F91939" w14:textId="77777777" w:rsidR="005069C9" w:rsidRDefault="005069C9" w:rsidP="002B1406">
      <w:pPr>
        <w:pStyle w:val="FigureHeading"/>
        <w:numPr>
          <w:ilvl w:val="0"/>
          <w:numId w:val="0"/>
        </w:numPr>
        <w:ind w:left="284"/>
        <w:rPr>
          <w:highlight w:val="red"/>
          <w:lang w:val="en-AU"/>
        </w:rPr>
      </w:pPr>
    </w:p>
    <w:p w14:paraId="57495F9F" w14:textId="77777777" w:rsidR="005069C9" w:rsidRDefault="005069C9" w:rsidP="002B1406">
      <w:pPr>
        <w:pStyle w:val="FigureHeading"/>
        <w:numPr>
          <w:ilvl w:val="0"/>
          <w:numId w:val="0"/>
        </w:numPr>
        <w:ind w:left="284"/>
        <w:rPr>
          <w:highlight w:val="red"/>
          <w:lang w:val="en-AU"/>
        </w:rPr>
      </w:pPr>
    </w:p>
    <w:p w14:paraId="34E62E47" w14:textId="77777777" w:rsidR="005069C9" w:rsidRPr="00BF40CB" w:rsidRDefault="0085144D" w:rsidP="002B1406">
      <w:pPr>
        <w:pStyle w:val="FigureHeading"/>
        <w:numPr>
          <w:ilvl w:val="0"/>
          <w:numId w:val="0"/>
        </w:numPr>
        <w:ind w:left="284"/>
        <w:rPr>
          <w:highlight w:val="red"/>
          <w:lang w:val="en-AU"/>
        </w:rPr>
      </w:pPr>
      <w:r>
        <w:rPr>
          <w:noProof/>
          <w:lang w:val="en-AU"/>
        </w:rPr>
        <mc:AlternateContent>
          <mc:Choice Requires="wps">
            <w:drawing>
              <wp:anchor distT="0" distB="0" distL="114300" distR="114300" simplePos="0" relativeHeight="251628032" behindDoc="0" locked="0" layoutInCell="1" allowOverlap="1" wp14:anchorId="3BCC7393" wp14:editId="2D7A93CA">
                <wp:simplePos x="0" y="0"/>
                <wp:positionH relativeFrom="column">
                  <wp:posOffset>214630</wp:posOffset>
                </wp:positionH>
                <wp:positionV relativeFrom="paragraph">
                  <wp:posOffset>161925</wp:posOffset>
                </wp:positionV>
                <wp:extent cx="5083175" cy="696595"/>
                <wp:effectExtent l="12065" t="9525" r="10160" b="8255"/>
                <wp:wrapNone/>
                <wp:docPr id="517"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3175" cy="696595"/>
                        </a:xfrm>
                        <a:prstGeom prst="rect">
                          <a:avLst/>
                        </a:prstGeom>
                        <a:solidFill>
                          <a:srgbClr val="FFFFFF"/>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22360D" w14:textId="77777777" w:rsidR="00CE3B2C" w:rsidRPr="004C47F9" w:rsidRDefault="00CE3B2C" w:rsidP="005069C9">
                            <w:pPr>
                              <w:spacing w:before="0" w:after="0"/>
                              <w:jc w:val="center"/>
                              <w:rPr>
                                <w:rFonts w:ascii="Arial" w:hAnsi="Arial"/>
                                <w:b/>
                                <w:position w:val="-18"/>
                                <w:sz w:val="16"/>
                                <w:szCs w:val="16"/>
                              </w:rPr>
                            </w:pPr>
                            <w:r w:rsidRPr="004C47F9">
                              <w:rPr>
                                <w:rFonts w:ascii="Arial" w:hAnsi="Arial"/>
                                <w:b/>
                                <w:position w:val="-18"/>
                                <w:sz w:val="16"/>
                                <w:szCs w:val="16"/>
                              </w:rPr>
                              <w:t>Australian Submarine Agency</w:t>
                            </w:r>
                          </w:p>
                          <w:p w14:paraId="17804D0B" w14:textId="77777777" w:rsidR="00CE3B2C" w:rsidRPr="004C47F9" w:rsidRDefault="00CE3B2C" w:rsidP="005069C9">
                            <w:pPr>
                              <w:spacing w:before="0" w:after="0"/>
                              <w:jc w:val="center"/>
                              <w:rPr>
                                <w:rFonts w:ascii="Arial" w:hAnsi="Arial"/>
                                <w:position w:val="-18"/>
                                <w:sz w:val="16"/>
                                <w:szCs w:val="16"/>
                              </w:rPr>
                            </w:pPr>
                            <w:r w:rsidRPr="004C47F9">
                              <w:rPr>
                                <w:rFonts w:ascii="Arial" w:hAnsi="Arial"/>
                                <w:position w:val="-18"/>
                                <w:sz w:val="16"/>
                                <w:szCs w:val="16"/>
                              </w:rPr>
                              <w:t>Director General: Vice Admiral Jonathan Mead, AO</w:t>
                            </w:r>
                            <w:r>
                              <w:rPr>
                                <w:rFonts w:ascii="Arial" w:hAnsi="Arial"/>
                                <w:position w:val="-18"/>
                                <w:sz w:val="16"/>
                                <w:szCs w:val="16"/>
                              </w:rPr>
                              <w:t>,</w:t>
                            </w:r>
                            <w:r w:rsidRPr="004C47F9">
                              <w:rPr>
                                <w:rFonts w:ascii="Arial" w:hAnsi="Arial"/>
                                <w:position w:val="-18"/>
                                <w:sz w:val="16"/>
                                <w:szCs w:val="16"/>
                              </w:rPr>
                              <w:t xml:space="preserve"> RAN</w:t>
                            </w:r>
                          </w:p>
                          <w:p w14:paraId="30185AF1" w14:textId="77777777" w:rsidR="00CE3B2C" w:rsidRPr="00E73D12" w:rsidRDefault="00CE3B2C" w:rsidP="005069C9">
                            <w:pPr>
                              <w:spacing w:before="60" w:after="0"/>
                              <w:jc w:val="center"/>
                              <w:rPr>
                                <w:rFonts w:ascii="Arial" w:hAnsi="Arial"/>
                                <w:position w:val="-18"/>
                                <w:sz w:val="16"/>
                                <w:szCs w:val="16"/>
                              </w:rPr>
                            </w:pPr>
                            <w:r w:rsidRPr="004C47F9">
                              <w:rPr>
                                <w:rFonts w:ascii="Arial" w:hAnsi="Arial"/>
                                <w:b/>
                                <w:position w:val="-18"/>
                                <w:sz w:val="16"/>
                                <w:szCs w:val="16"/>
                              </w:rPr>
                              <w:t>Outcome 1</w:t>
                            </w:r>
                            <w:r w:rsidRPr="004C47F9">
                              <w:rPr>
                                <w:rFonts w:ascii="Arial" w:hAnsi="Arial"/>
                                <w:position w:val="-18"/>
                                <w:sz w:val="16"/>
                                <w:szCs w:val="16"/>
                              </w:rPr>
                              <w:t>: Safely and securely acquire, construct,</w:t>
                            </w:r>
                            <w:r>
                              <w:rPr>
                                <w:rFonts w:ascii="Arial" w:hAnsi="Arial"/>
                                <w:position w:val="-18"/>
                                <w:sz w:val="16"/>
                                <w:szCs w:val="16"/>
                              </w:rPr>
                              <w:t xml:space="preserve"> </w:t>
                            </w:r>
                            <w:r w:rsidRPr="00AE329C">
                              <w:rPr>
                                <w:rFonts w:ascii="Arial" w:hAnsi="Arial"/>
                                <w:position w:val="-18"/>
                                <w:sz w:val="16"/>
                                <w:szCs w:val="16"/>
                              </w:rPr>
                              <w:t>deliver, technically govern, sustain and dispos</w:t>
                            </w:r>
                            <w:r>
                              <w:rPr>
                                <w:rFonts w:ascii="Arial" w:hAnsi="Arial"/>
                                <w:position w:val="-18"/>
                                <w:sz w:val="16"/>
                                <w:szCs w:val="16"/>
                              </w:rPr>
                              <w:t>e of Australia’s conventionally-</w:t>
                            </w:r>
                            <w:r w:rsidRPr="00AE329C">
                              <w:rPr>
                                <w:rFonts w:ascii="Arial" w:hAnsi="Arial"/>
                                <w:position w:val="-18"/>
                                <w:sz w:val="16"/>
                                <w:szCs w:val="16"/>
                              </w:rPr>
                              <w:t>armed</w:t>
                            </w:r>
                            <w:r>
                              <w:rPr>
                                <w:rFonts w:ascii="Arial" w:hAnsi="Arial"/>
                                <w:position w:val="-18"/>
                                <w:sz w:val="16"/>
                                <w:szCs w:val="16"/>
                              </w:rPr>
                              <w:t>,</w:t>
                            </w:r>
                            <w:r w:rsidRPr="00AE329C">
                              <w:rPr>
                                <w:rFonts w:ascii="Arial" w:hAnsi="Arial"/>
                                <w:position w:val="-18"/>
                                <w:sz w:val="16"/>
                                <w:szCs w:val="16"/>
                              </w:rPr>
                              <w:t xml:space="preserve"> nuclear-powered submarine capability, via the AUKUS partnership.</w:t>
                            </w:r>
                          </w:p>
                          <w:p w14:paraId="31658F04" w14:textId="77777777" w:rsidR="00CE3B2C" w:rsidRDefault="00CE3B2C" w:rsidP="005069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C7393" id="Text Box 356" o:spid="_x0000_s1054" type="#_x0000_t202" style="position:absolute;left:0;text-align:left;margin-left:16.9pt;margin-top:12.75pt;width:400.25pt;height:54.8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" strokeweight="0">
                <v:textbox>
                  <w:txbxContent>
                    <w:p w14:paraId="0C22360D" w14:textId="77777777" w:rsidR="00CE3B2C" w:rsidRPr="004C47F9" w:rsidRDefault="00CE3B2C" w:rsidP="005069C9">
                      <w:pPr>
                        <w:spacing w:before="0" w:after="0"/>
                        <w:jc w:val="center"/>
                        <w:rPr>
                          <w:rFonts w:ascii="Arial" w:hAnsi="Arial"/>
                          <w:b/>
                          <w:position w:val="-18"/>
                          <w:sz w:val="16"/>
                          <w:szCs w:val="16"/>
                        </w:rPr>
                      </w:pPr>
                      <w:r w:rsidRPr="004C47F9">
                        <w:rPr>
                          <w:rFonts w:ascii="Arial" w:hAnsi="Arial"/>
                          <w:b/>
                          <w:position w:val="-18"/>
                          <w:sz w:val="16"/>
                          <w:szCs w:val="16"/>
                        </w:rPr>
                        <w:t>Australian Submarine Agency</w:t>
                      </w:r>
                    </w:p>
                    <w:p w14:paraId="17804D0B" w14:textId="77777777" w:rsidR="00CE3B2C" w:rsidRPr="004C47F9" w:rsidRDefault="00CE3B2C" w:rsidP="005069C9">
                      <w:pPr>
                        <w:spacing w:before="0" w:after="0"/>
                        <w:jc w:val="center"/>
                        <w:rPr>
                          <w:rFonts w:ascii="Arial" w:hAnsi="Arial"/>
                          <w:position w:val="-18"/>
                          <w:sz w:val="16"/>
                          <w:szCs w:val="16"/>
                        </w:rPr>
                      </w:pPr>
                      <w:r w:rsidRPr="004C47F9">
                        <w:rPr>
                          <w:rFonts w:ascii="Arial" w:hAnsi="Arial"/>
                          <w:position w:val="-18"/>
                          <w:sz w:val="16"/>
                          <w:szCs w:val="16"/>
                        </w:rPr>
                        <w:t>Director General: Vice Admiral Jonathan Mead, AO</w:t>
                      </w:r>
                      <w:r>
                        <w:rPr>
                          <w:rFonts w:ascii="Arial" w:hAnsi="Arial"/>
                          <w:position w:val="-18"/>
                          <w:sz w:val="16"/>
                          <w:szCs w:val="16"/>
                        </w:rPr>
                        <w:t>,</w:t>
                      </w:r>
                      <w:r w:rsidRPr="004C47F9">
                        <w:rPr>
                          <w:rFonts w:ascii="Arial" w:hAnsi="Arial"/>
                          <w:position w:val="-18"/>
                          <w:sz w:val="16"/>
                          <w:szCs w:val="16"/>
                        </w:rPr>
                        <w:t xml:space="preserve"> RAN</w:t>
                      </w:r>
                    </w:p>
                    <w:p w14:paraId="30185AF1" w14:textId="77777777" w:rsidR="00CE3B2C" w:rsidRPr="00E73D12" w:rsidRDefault="00CE3B2C" w:rsidP="005069C9">
                      <w:pPr>
                        <w:spacing w:before="60" w:after="0"/>
                        <w:jc w:val="center"/>
                        <w:rPr>
                          <w:rFonts w:ascii="Arial" w:hAnsi="Arial"/>
                          <w:position w:val="-18"/>
                          <w:sz w:val="16"/>
                          <w:szCs w:val="16"/>
                        </w:rPr>
                      </w:pPr>
                      <w:r w:rsidRPr="004C47F9">
                        <w:rPr>
                          <w:rFonts w:ascii="Arial" w:hAnsi="Arial"/>
                          <w:b/>
                          <w:position w:val="-18"/>
                          <w:sz w:val="16"/>
                          <w:szCs w:val="16"/>
                        </w:rPr>
                        <w:t>Outcome 1</w:t>
                      </w:r>
                      <w:r w:rsidRPr="004C47F9">
                        <w:rPr>
                          <w:rFonts w:ascii="Arial" w:hAnsi="Arial"/>
                          <w:position w:val="-18"/>
                          <w:sz w:val="16"/>
                          <w:szCs w:val="16"/>
                        </w:rPr>
                        <w:t>: Safely and securely acquire, construct,</w:t>
                      </w:r>
                      <w:r>
                        <w:rPr>
                          <w:rFonts w:ascii="Arial" w:hAnsi="Arial"/>
                          <w:position w:val="-18"/>
                          <w:sz w:val="16"/>
                          <w:szCs w:val="16"/>
                        </w:rPr>
                        <w:t xml:space="preserve"> </w:t>
                      </w:r>
                      <w:r w:rsidRPr="00AE329C">
                        <w:rPr>
                          <w:rFonts w:ascii="Arial" w:hAnsi="Arial"/>
                          <w:position w:val="-18"/>
                          <w:sz w:val="16"/>
                          <w:szCs w:val="16"/>
                        </w:rPr>
                        <w:t>deliver, technically govern, sustain and dispos</w:t>
                      </w:r>
                      <w:r>
                        <w:rPr>
                          <w:rFonts w:ascii="Arial" w:hAnsi="Arial"/>
                          <w:position w:val="-18"/>
                          <w:sz w:val="16"/>
                          <w:szCs w:val="16"/>
                        </w:rPr>
                        <w:t>e of Australia’s conventionally-</w:t>
                      </w:r>
                      <w:r w:rsidRPr="00AE329C">
                        <w:rPr>
                          <w:rFonts w:ascii="Arial" w:hAnsi="Arial"/>
                          <w:position w:val="-18"/>
                          <w:sz w:val="16"/>
                          <w:szCs w:val="16"/>
                        </w:rPr>
                        <w:t>armed</w:t>
                      </w:r>
                      <w:r>
                        <w:rPr>
                          <w:rFonts w:ascii="Arial" w:hAnsi="Arial"/>
                          <w:position w:val="-18"/>
                          <w:sz w:val="16"/>
                          <w:szCs w:val="16"/>
                        </w:rPr>
                        <w:t>,</w:t>
                      </w:r>
                      <w:r w:rsidRPr="00AE329C">
                        <w:rPr>
                          <w:rFonts w:ascii="Arial" w:hAnsi="Arial"/>
                          <w:position w:val="-18"/>
                          <w:sz w:val="16"/>
                          <w:szCs w:val="16"/>
                        </w:rPr>
                        <w:t xml:space="preserve"> nuclear-powered submarine capability, via the AUKUS partnership.</w:t>
                      </w:r>
                    </w:p>
                    <w:p w14:paraId="31658F04" w14:textId="77777777" w:rsidR="00CE3B2C" w:rsidRDefault="00CE3B2C" w:rsidP="005069C9"/>
                  </w:txbxContent>
                </v:textbox>
              </v:shape>
            </w:pict>
          </mc:Fallback>
        </mc:AlternateContent>
      </w:r>
    </w:p>
    <w:p w14:paraId="7D8A399F" w14:textId="77777777" w:rsidR="005069C9" w:rsidRDefault="005069C9" w:rsidP="002B1406">
      <w:pPr>
        <w:pStyle w:val="FigureHeading"/>
        <w:numPr>
          <w:ilvl w:val="0"/>
          <w:numId w:val="0"/>
        </w:numPr>
        <w:ind w:left="284"/>
        <w:rPr>
          <w:highlight w:val="red"/>
          <w:lang w:val="en-AU"/>
        </w:rPr>
      </w:pPr>
    </w:p>
    <w:p w14:paraId="3AD1952E" w14:textId="77777777" w:rsidR="005069C9" w:rsidRDefault="005069C9" w:rsidP="002B1406">
      <w:pPr>
        <w:pStyle w:val="FigureHeading"/>
        <w:numPr>
          <w:ilvl w:val="0"/>
          <w:numId w:val="0"/>
        </w:numPr>
        <w:ind w:left="284"/>
        <w:rPr>
          <w:highlight w:val="red"/>
          <w:lang w:val="en-AU"/>
        </w:rPr>
      </w:pPr>
    </w:p>
    <w:p w14:paraId="1554C87A" w14:textId="77777777" w:rsidR="005069C9" w:rsidRDefault="0085144D" w:rsidP="002B1406">
      <w:pPr>
        <w:pStyle w:val="FigureHeading"/>
        <w:numPr>
          <w:ilvl w:val="0"/>
          <w:numId w:val="0"/>
        </w:numPr>
        <w:ind w:left="284"/>
        <w:rPr>
          <w:highlight w:val="red"/>
          <w:lang w:val="en-AU"/>
        </w:rPr>
      </w:pPr>
      <w:r>
        <w:rPr>
          <w:noProof/>
          <w:lang w:val="en-AU"/>
        </w:rPr>
        <mc:AlternateContent>
          <mc:Choice Requires="wps">
            <w:drawing>
              <wp:anchor distT="0" distB="0" distL="114300" distR="114300" simplePos="0" relativeHeight="251623936" behindDoc="0" locked="0" layoutInCell="1" allowOverlap="1" wp14:anchorId="52846780" wp14:editId="3C837F67">
                <wp:simplePos x="0" y="0"/>
                <wp:positionH relativeFrom="column">
                  <wp:posOffset>206375</wp:posOffset>
                </wp:positionH>
                <wp:positionV relativeFrom="paragraph">
                  <wp:posOffset>116840</wp:posOffset>
                </wp:positionV>
                <wp:extent cx="5085080" cy="713105"/>
                <wp:effectExtent l="13335" t="12065" r="6985" b="8255"/>
                <wp:wrapNone/>
                <wp:docPr id="516"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5080" cy="713105"/>
                        </a:xfrm>
                        <a:prstGeom prst="rect">
                          <a:avLst/>
                        </a:prstGeom>
                        <a:solidFill>
                          <a:srgbClr val="FFFFFF"/>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7FC6E0" w14:textId="77777777" w:rsidR="00CE3B2C" w:rsidRPr="00E73D12" w:rsidRDefault="00CE3B2C" w:rsidP="005069C9">
                            <w:pPr>
                              <w:spacing w:before="0" w:after="0"/>
                              <w:jc w:val="center"/>
                              <w:rPr>
                                <w:rFonts w:ascii="Arial" w:hAnsi="Arial"/>
                                <w:b/>
                                <w:position w:val="-18"/>
                                <w:sz w:val="16"/>
                                <w:szCs w:val="16"/>
                              </w:rPr>
                            </w:pPr>
                            <w:r w:rsidRPr="00E73D12">
                              <w:rPr>
                                <w:rFonts w:ascii="Arial" w:hAnsi="Arial"/>
                                <w:b/>
                                <w:position w:val="-18"/>
                                <w:sz w:val="16"/>
                                <w:szCs w:val="16"/>
                              </w:rPr>
                              <w:t>Defence Housing Australia</w:t>
                            </w:r>
                          </w:p>
                          <w:p w14:paraId="2E782247" w14:textId="712EC662" w:rsidR="00CE3B2C" w:rsidRPr="00E73D12" w:rsidRDefault="00CE3B2C" w:rsidP="00DD5F12">
                            <w:pPr>
                              <w:spacing w:before="0" w:after="0"/>
                              <w:jc w:val="center"/>
                              <w:rPr>
                                <w:rFonts w:ascii="Arial" w:hAnsi="Arial"/>
                                <w:position w:val="-18"/>
                                <w:sz w:val="16"/>
                                <w:szCs w:val="16"/>
                              </w:rPr>
                            </w:pPr>
                            <w:r w:rsidRPr="00E73D12">
                              <w:rPr>
                                <w:rFonts w:ascii="Arial" w:hAnsi="Arial"/>
                                <w:position w:val="-18"/>
                                <w:sz w:val="16"/>
                                <w:szCs w:val="16"/>
                              </w:rPr>
                              <w:t xml:space="preserve">Managing Director: Mr </w:t>
                            </w:r>
                            <w:r>
                              <w:rPr>
                                <w:rFonts w:ascii="Arial" w:hAnsi="Arial"/>
                                <w:position w:val="-18"/>
                                <w:sz w:val="16"/>
                                <w:szCs w:val="16"/>
                              </w:rPr>
                              <w:t>Andrew Jaggers, PSM</w:t>
                            </w:r>
                          </w:p>
                          <w:p w14:paraId="7CD2B373" w14:textId="77777777" w:rsidR="00CE3B2C" w:rsidRPr="00E73D12" w:rsidRDefault="00CE3B2C" w:rsidP="005069C9">
                            <w:pPr>
                              <w:spacing w:before="60" w:after="0"/>
                              <w:jc w:val="center"/>
                              <w:rPr>
                                <w:rFonts w:ascii="Arial" w:hAnsi="Arial"/>
                                <w:position w:val="-18"/>
                                <w:sz w:val="16"/>
                                <w:szCs w:val="16"/>
                              </w:rPr>
                            </w:pPr>
                            <w:r w:rsidRPr="00E73D12">
                              <w:rPr>
                                <w:rFonts w:ascii="Arial" w:hAnsi="Arial"/>
                                <w:b/>
                                <w:position w:val="-18"/>
                                <w:sz w:val="16"/>
                                <w:szCs w:val="16"/>
                              </w:rPr>
                              <w:t>Outcome 1</w:t>
                            </w:r>
                            <w:r w:rsidRPr="00E73D12">
                              <w:rPr>
                                <w:rFonts w:ascii="Arial" w:hAnsi="Arial"/>
                                <w:position w:val="-18"/>
                                <w:sz w:val="16"/>
                                <w:szCs w:val="16"/>
                              </w:rPr>
                              <w:t>: To contribute to Defence outcomes by providing total housing services that meet Defence operational and client needs through a strong customer and business focus.</w:t>
                            </w:r>
                          </w:p>
                          <w:p w14:paraId="3A3B3797" w14:textId="77777777" w:rsidR="00CE3B2C" w:rsidRDefault="00CE3B2C" w:rsidP="005069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46780" id="Text Box 352" o:spid="_x0000_s1055" type="#_x0000_t202" style="position:absolute;left:0;text-align:left;margin-left:16.25pt;margin-top:9.2pt;width:400.4pt;height:56.1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" strokeweight="0">
                <v:textbox>
                  <w:txbxContent>
                    <w:p w14:paraId="617FC6E0" w14:textId="77777777" w:rsidR="00CE3B2C" w:rsidRPr="00E73D12" w:rsidRDefault="00CE3B2C" w:rsidP="005069C9">
                      <w:pPr>
                        <w:spacing w:before="0" w:after="0"/>
                        <w:jc w:val="center"/>
                        <w:rPr>
                          <w:rFonts w:ascii="Arial" w:hAnsi="Arial"/>
                          <w:b/>
                          <w:position w:val="-18"/>
                          <w:sz w:val="16"/>
                          <w:szCs w:val="16"/>
                        </w:rPr>
                      </w:pPr>
                      <w:r w:rsidRPr="00E73D12">
                        <w:rPr>
                          <w:rFonts w:ascii="Arial" w:hAnsi="Arial"/>
                          <w:b/>
                          <w:position w:val="-18"/>
                          <w:sz w:val="16"/>
                          <w:szCs w:val="16"/>
                        </w:rPr>
                        <w:t>Defence Housing Australia</w:t>
                      </w:r>
                    </w:p>
                    <w:p w14:paraId="2E782247" w14:textId="712EC662" w:rsidR="00CE3B2C" w:rsidRPr="00E73D12" w:rsidRDefault="00CE3B2C" w:rsidP="00DD5F12">
                      <w:pPr>
                        <w:spacing w:before="0" w:after="0"/>
                        <w:jc w:val="center"/>
                        <w:rPr>
                          <w:rFonts w:ascii="Arial" w:hAnsi="Arial"/>
                          <w:position w:val="-18"/>
                          <w:sz w:val="16"/>
                          <w:szCs w:val="16"/>
                        </w:rPr>
                      </w:pPr>
                      <w:r w:rsidRPr="00E73D12">
                        <w:rPr>
                          <w:rFonts w:ascii="Arial" w:hAnsi="Arial"/>
                          <w:position w:val="-18"/>
                          <w:sz w:val="16"/>
                          <w:szCs w:val="16"/>
                        </w:rPr>
                        <w:t xml:space="preserve">Managing Director: Mr </w:t>
                      </w:r>
                      <w:r>
                        <w:rPr>
                          <w:rFonts w:ascii="Arial" w:hAnsi="Arial"/>
                          <w:position w:val="-18"/>
                          <w:sz w:val="16"/>
                          <w:szCs w:val="16"/>
                        </w:rPr>
                        <w:t xml:space="preserve">Andrew </w:t>
                      </w:r>
                      <w:proofErr w:type="spellStart"/>
                      <w:r>
                        <w:rPr>
                          <w:rFonts w:ascii="Arial" w:hAnsi="Arial"/>
                          <w:position w:val="-18"/>
                          <w:sz w:val="16"/>
                          <w:szCs w:val="16"/>
                        </w:rPr>
                        <w:t>Jaggers</w:t>
                      </w:r>
                      <w:proofErr w:type="spellEnd"/>
                      <w:r>
                        <w:rPr>
                          <w:rFonts w:ascii="Arial" w:hAnsi="Arial"/>
                          <w:position w:val="-18"/>
                          <w:sz w:val="16"/>
                          <w:szCs w:val="16"/>
                        </w:rPr>
                        <w:t>, PSM</w:t>
                      </w:r>
                    </w:p>
                    <w:p w14:paraId="7CD2B373" w14:textId="77777777" w:rsidR="00CE3B2C" w:rsidRPr="00E73D12" w:rsidRDefault="00CE3B2C" w:rsidP="005069C9">
                      <w:pPr>
                        <w:spacing w:before="60" w:after="0"/>
                        <w:jc w:val="center"/>
                        <w:rPr>
                          <w:rFonts w:ascii="Arial" w:hAnsi="Arial"/>
                          <w:position w:val="-18"/>
                          <w:sz w:val="16"/>
                          <w:szCs w:val="16"/>
                        </w:rPr>
                      </w:pPr>
                      <w:r w:rsidRPr="00E73D12">
                        <w:rPr>
                          <w:rFonts w:ascii="Arial" w:hAnsi="Arial"/>
                          <w:b/>
                          <w:position w:val="-18"/>
                          <w:sz w:val="16"/>
                          <w:szCs w:val="16"/>
                        </w:rPr>
                        <w:t>Outcome 1</w:t>
                      </w:r>
                      <w:r w:rsidRPr="00E73D12">
                        <w:rPr>
                          <w:rFonts w:ascii="Arial" w:hAnsi="Arial"/>
                          <w:position w:val="-18"/>
                          <w:sz w:val="16"/>
                          <w:szCs w:val="16"/>
                        </w:rPr>
                        <w:t>: To contribute to Defence outcomes by providing total housing services that meet Defence operational and client needs through a strong customer and business focus.</w:t>
                      </w:r>
                    </w:p>
                    <w:p w14:paraId="3A3B3797" w14:textId="77777777" w:rsidR="00CE3B2C" w:rsidRDefault="00CE3B2C" w:rsidP="005069C9"/>
                  </w:txbxContent>
                </v:textbox>
              </v:shape>
            </w:pict>
          </mc:Fallback>
        </mc:AlternateContent>
      </w:r>
    </w:p>
    <w:p w14:paraId="709B9DB9" w14:textId="77777777" w:rsidR="005069C9" w:rsidRPr="00BF40CB" w:rsidRDefault="005069C9" w:rsidP="002B1406">
      <w:pPr>
        <w:pStyle w:val="FigureHeading"/>
        <w:numPr>
          <w:ilvl w:val="0"/>
          <w:numId w:val="0"/>
        </w:numPr>
        <w:ind w:left="284"/>
        <w:rPr>
          <w:highlight w:val="red"/>
          <w:lang w:val="en-AU"/>
        </w:rPr>
      </w:pPr>
    </w:p>
    <w:p w14:paraId="1CFEC542" w14:textId="77777777" w:rsidR="005069C9" w:rsidRPr="005069C9" w:rsidRDefault="005069C9" w:rsidP="002B1406">
      <w:pPr>
        <w:pStyle w:val="FigureHeading"/>
        <w:numPr>
          <w:ilvl w:val="0"/>
          <w:numId w:val="0"/>
        </w:numPr>
        <w:ind w:left="284"/>
        <w:rPr>
          <w:highlight w:val="red"/>
          <w:lang w:val="en-AU"/>
        </w:rPr>
      </w:pPr>
    </w:p>
    <w:p w14:paraId="74E242F9" w14:textId="77777777" w:rsidR="00E53E95" w:rsidRDefault="0085144D" w:rsidP="00BD3D6B">
      <w:pPr>
        <w:rPr>
          <w:lang w:val="en-AU"/>
        </w:rPr>
      </w:pPr>
      <w:r w:rsidRPr="00BF40CB">
        <w:rPr>
          <w:noProof/>
          <w:highlight w:val="red"/>
          <w:lang w:val="en-AU"/>
        </w:rPr>
        <mc:AlternateContent>
          <mc:Choice Requires="wps">
            <w:drawing>
              <wp:anchor distT="0" distB="0" distL="114300" distR="114300" simplePos="0" relativeHeight="251612672" behindDoc="0" locked="0" layoutInCell="1" allowOverlap="1" wp14:anchorId="1BBB6D75" wp14:editId="0062EF95">
                <wp:simplePos x="0" y="0"/>
                <wp:positionH relativeFrom="column">
                  <wp:posOffset>160020</wp:posOffset>
                </wp:positionH>
                <wp:positionV relativeFrom="paragraph">
                  <wp:posOffset>189230</wp:posOffset>
                </wp:positionV>
                <wp:extent cx="5210810" cy="537845"/>
                <wp:effectExtent l="19050" t="19050" r="8890" b="0"/>
                <wp:wrapNone/>
                <wp:docPr id="596" name="Rectangle 8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0810" cy="537845"/>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92E12" id="Rectangle 8514" o:spid="_x0000_s1026" style="position:absolute;margin-left:12.6pt;margin-top:14.9pt;width:410.3pt;height:42.3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" strokeweight="3pt">
                <v:stroke linestyle="thinThin"/>
              </v:rect>
            </w:pict>
          </mc:Fallback>
        </mc:AlternateContent>
      </w:r>
      <w:r w:rsidRPr="00BF40CB">
        <w:rPr>
          <w:noProof/>
          <w:highlight w:val="red"/>
          <w:lang w:val="en-AU"/>
        </w:rPr>
        <mc:AlternateContent>
          <mc:Choice Requires="wps">
            <w:drawing>
              <wp:anchor distT="0" distB="0" distL="114300" distR="114300" simplePos="0" relativeHeight="251614720" behindDoc="0" locked="0" layoutInCell="1" allowOverlap="1" wp14:anchorId="6E8DE4F1" wp14:editId="5494EC22">
                <wp:simplePos x="0" y="0"/>
                <wp:positionH relativeFrom="column">
                  <wp:posOffset>2806700</wp:posOffset>
                </wp:positionH>
                <wp:positionV relativeFrom="paragraph">
                  <wp:posOffset>253365</wp:posOffset>
                </wp:positionV>
                <wp:extent cx="2497455" cy="393700"/>
                <wp:effectExtent l="13335" t="5080" r="13335" b="10795"/>
                <wp:wrapNone/>
                <wp:docPr id="515" name="Text Box 8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393700"/>
                        </a:xfrm>
                        <a:prstGeom prst="rect">
                          <a:avLst/>
                        </a:prstGeom>
                        <a:solidFill>
                          <a:srgbClr val="FFFFFF"/>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487370" w14:textId="77777777" w:rsidR="00CE3B2C" w:rsidRPr="00E73D12" w:rsidRDefault="00CE3B2C" w:rsidP="005069C9">
                            <w:pPr>
                              <w:spacing w:before="0"/>
                              <w:jc w:val="center"/>
                              <w:rPr>
                                <w:rFonts w:ascii="Arial" w:hAnsi="Arial"/>
                                <w:sz w:val="16"/>
                                <w:szCs w:val="16"/>
                              </w:rPr>
                            </w:pPr>
                            <w:r w:rsidRPr="00E73D12">
                              <w:rPr>
                                <w:rFonts w:ascii="Arial" w:hAnsi="Arial"/>
                                <w:sz w:val="16"/>
                                <w:szCs w:val="16"/>
                              </w:rPr>
                              <w:t>Trusts, companies and other statutory offices and entities.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DE4F1" id="Text Box 8594" o:spid="_x0000_s1056" type="#_x0000_t202" style="position:absolute;margin-left:221pt;margin-top:19.95pt;width:196.65pt;height:31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" strokeweight="0">
                <v:textbox>
                  <w:txbxContent>
                    <w:p w14:paraId="35487370" w14:textId="77777777" w:rsidR="00CE3B2C" w:rsidRPr="00E73D12" w:rsidRDefault="00CE3B2C" w:rsidP="005069C9">
                      <w:pPr>
                        <w:spacing w:before="0"/>
                        <w:jc w:val="center"/>
                        <w:rPr>
                          <w:rFonts w:ascii="Arial" w:hAnsi="Arial"/>
                          <w:sz w:val="16"/>
                          <w:szCs w:val="16"/>
                        </w:rPr>
                      </w:pPr>
                      <w:r w:rsidRPr="00E73D12">
                        <w:rPr>
                          <w:rFonts w:ascii="Arial" w:hAnsi="Arial"/>
                          <w:sz w:val="16"/>
                          <w:szCs w:val="16"/>
                        </w:rPr>
                        <w:t>Trusts, companies and other statutory offices and entities.</w:t>
                      </w:r>
                    </w:p>
                  </w:txbxContent>
                </v:textbox>
              </v:shape>
            </w:pict>
          </mc:Fallback>
        </mc:AlternateContent>
      </w:r>
      <w:r w:rsidRPr="00BF40CB">
        <w:rPr>
          <w:noProof/>
          <w:highlight w:val="red"/>
          <w:lang w:val="en-AU"/>
        </w:rPr>
        <mc:AlternateContent>
          <mc:Choice Requires="wps">
            <w:drawing>
              <wp:anchor distT="0" distB="0" distL="114300" distR="114300" simplePos="0" relativeHeight="251613696" behindDoc="0" locked="0" layoutInCell="1" allowOverlap="1" wp14:anchorId="7033C2DE" wp14:editId="0CC7BBC8">
                <wp:simplePos x="0" y="0"/>
                <wp:positionH relativeFrom="column">
                  <wp:posOffset>211455</wp:posOffset>
                </wp:positionH>
                <wp:positionV relativeFrom="paragraph">
                  <wp:posOffset>253365</wp:posOffset>
                </wp:positionV>
                <wp:extent cx="2463165" cy="393700"/>
                <wp:effectExtent l="8890" t="5080" r="13970" b="10795"/>
                <wp:wrapNone/>
                <wp:docPr id="514" name="Text Box 8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165" cy="393700"/>
                        </a:xfrm>
                        <a:prstGeom prst="rect">
                          <a:avLst/>
                        </a:prstGeom>
                        <a:solidFill>
                          <a:srgbClr val="FFFFFF"/>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556ABA" w14:textId="77777777" w:rsidR="00CE3B2C" w:rsidRPr="00E73D12" w:rsidRDefault="00CE3B2C" w:rsidP="005069C9">
                            <w:pPr>
                              <w:spacing w:before="120"/>
                              <w:jc w:val="center"/>
                              <w:rPr>
                                <w:rFonts w:ascii="Arial" w:hAnsi="Arial"/>
                                <w:sz w:val="16"/>
                                <w:szCs w:val="16"/>
                              </w:rPr>
                            </w:pPr>
                            <w:r w:rsidRPr="00E73D12">
                              <w:rPr>
                                <w:rFonts w:ascii="Arial" w:hAnsi="Arial"/>
                                <w:sz w:val="16"/>
                                <w:szCs w:val="16"/>
                              </w:rPr>
                              <w:t>Military Justice Appointments</w:t>
                            </w:r>
                            <w:r>
                              <w:rPr>
                                <w:rFonts w:ascii="Arial" w:hAnsi="Arial"/>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3C2DE" id="Text Box 8529" o:spid="_x0000_s1057" type="#_x0000_t202" style="position:absolute;margin-left:16.65pt;margin-top:19.95pt;width:193.95pt;height:31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" strokeweight="0">
                <v:textbox>
                  <w:txbxContent>
                    <w:p w14:paraId="7B556ABA" w14:textId="77777777" w:rsidR="00CE3B2C" w:rsidRPr="00E73D12" w:rsidRDefault="00CE3B2C" w:rsidP="005069C9">
                      <w:pPr>
                        <w:spacing w:before="120"/>
                        <w:jc w:val="center"/>
                        <w:rPr>
                          <w:rFonts w:ascii="Arial" w:hAnsi="Arial"/>
                          <w:sz w:val="16"/>
                          <w:szCs w:val="16"/>
                        </w:rPr>
                      </w:pPr>
                      <w:r w:rsidRPr="00E73D12">
                        <w:rPr>
                          <w:rFonts w:ascii="Arial" w:hAnsi="Arial"/>
                          <w:sz w:val="16"/>
                          <w:szCs w:val="16"/>
                        </w:rPr>
                        <w:t>Military Justice Appointments</w:t>
                      </w:r>
                      <w:r>
                        <w:rPr>
                          <w:rFonts w:ascii="Arial" w:hAnsi="Arial"/>
                          <w:sz w:val="16"/>
                          <w:szCs w:val="16"/>
                        </w:rPr>
                        <w:t>.</w:t>
                      </w:r>
                    </w:p>
                  </w:txbxContent>
                </v:textbox>
              </v:shape>
            </w:pict>
          </mc:Fallback>
        </mc:AlternateContent>
      </w:r>
    </w:p>
    <w:p w14:paraId="27304E08" w14:textId="77777777" w:rsidR="005069C9" w:rsidRDefault="005069C9" w:rsidP="00BD3D6B">
      <w:pPr>
        <w:rPr>
          <w:lang w:val="en-AU"/>
        </w:rPr>
      </w:pPr>
    </w:p>
    <w:p w14:paraId="032E6140" w14:textId="77777777" w:rsidR="006A4710" w:rsidRPr="00B56FAA" w:rsidRDefault="006A4710" w:rsidP="00BD3D6B">
      <w:pPr>
        <w:rPr>
          <w:lang w:val="en-AU"/>
        </w:rPr>
      </w:pPr>
    </w:p>
    <w:p w14:paraId="25558DA6" w14:textId="77777777" w:rsidR="00E53E95" w:rsidRPr="00B56FAA" w:rsidRDefault="00E53E95" w:rsidP="00BD3D6B">
      <w:pPr>
        <w:rPr>
          <w:szCs w:val="20"/>
          <w:lang w:val="en-AU"/>
        </w:rPr>
      </w:pPr>
      <w:r w:rsidRPr="00B56FAA">
        <w:rPr>
          <w:szCs w:val="20"/>
          <w:lang w:val="en-AU"/>
        </w:rPr>
        <w:t>The Defence Portfolio Structure and Outcomes is effective at the time of this publication</w:t>
      </w:r>
      <w:r w:rsidR="0014725F" w:rsidRPr="00B56FAA">
        <w:rPr>
          <w:szCs w:val="20"/>
          <w:lang w:val="en-AU"/>
        </w:rPr>
        <w:t>’</w:t>
      </w:r>
      <w:r w:rsidRPr="00B56FAA">
        <w:rPr>
          <w:szCs w:val="20"/>
          <w:lang w:val="en-AU"/>
        </w:rPr>
        <w:t>s release.</w:t>
      </w:r>
    </w:p>
    <w:p w14:paraId="5E27D207" w14:textId="77777777" w:rsidR="00D562AB" w:rsidRPr="00B56FAA" w:rsidRDefault="009A4A94" w:rsidP="00754942">
      <w:pPr>
        <w:spacing w:before="120" w:after="120"/>
        <w:rPr>
          <w:rFonts w:ascii="Arial" w:hAnsi="Arial"/>
          <w:b/>
          <w:sz w:val="26"/>
          <w:szCs w:val="26"/>
          <w:lang w:val="en-AU"/>
        </w:rPr>
      </w:pPr>
      <w:r w:rsidRPr="00B56FAA">
        <w:rPr>
          <w:lang w:val="en-AU"/>
        </w:rPr>
        <w:br w:type="page"/>
      </w:r>
      <w:r w:rsidR="00D562AB" w:rsidRPr="00B56FAA">
        <w:rPr>
          <w:rFonts w:ascii="Arial" w:hAnsi="Arial"/>
          <w:b/>
          <w:sz w:val="26"/>
          <w:szCs w:val="26"/>
        </w:rPr>
        <w:lastRenderedPageBreak/>
        <w:t>Defence Portfolio Bodies</w:t>
      </w:r>
    </w:p>
    <w:p w14:paraId="38B13447" w14:textId="77777777" w:rsidR="00A13E82" w:rsidRPr="00547C2B" w:rsidRDefault="00A13E82" w:rsidP="00A13E82">
      <w:pPr>
        <w:rPr>
          <w:rFonts w:ascii="Arial" w:hAnsi="Arial"/>
          <w:b/>
          <w:szCs w:val="20"/>
          <w:lang w:val="en-AU"/>
        </w:rPr>
      </w:pPr>
      <w:r w:rsidRPr="00547C2B">
        <w:rPr>
          <w:rFonts w:ascii="Arial" w:hAnsi="Arial"/>
          <w:b/>
          <w:szCs w:val="20"/>
          <w:lang w:val="en-AU"/>
        </w:rPr>
        <w:t>AAF Company</w:t>
      </w:r>
    </w:p>
    <w:p w14:paraId="012F6A8D" w14:textId="459B63D4" w:rsidR="00A13E82" w:rsidRPr="00CD03A8" w:rsidRDefault="00EF47D7" w:rsidP="00A13E82">
      <w:r w:rsidRPr="00CD03A8">
        <w:t>Chair: Brigadier Eamon Lenaghan</w:t>
      </w:r>
      <w:r w:rsidR="0073059F">
        <w:t>,</w:t>
      </w:r>
      <w:r w:rsidR="00A13E82" w:rsidRPr="00CD03A8">
        <w:t xml:space="preserve"> CSC</w:t>
      </w:r>
    </w:p>
    <w:p w14:paraId="13176623" w14:textId="77777777" w:rsidR="00A13E82" w:rsidRPr="0073059F" w:rsidRDefault="00A13E82" w:rsidP="00A13E82">
      <w:r w:rsidRPr="00CD03A8">
        <w:t xml:space="preserve">The AAF Company is a Commonwealth company under the </w:t>
      </w:r>
      <w:r w:rsidRPr="00CD03A8">
        <w:rPr>
          <w:i/>
          <w:iCs/>
        </w:rPr>
        <w:t xml:space="preserve">Public Governance, Performance and Accountability Act 2013. </w:t>
      </w:r>
      <w:r w:rsidRPr="00CD03A8">
        <w:t xml:space="preserve">It was incorporated in 1987 under the </w:t>
      </w:r>
      <w:r w:rsidRPr="00CD03A8">
        <w:rPr>
          <w:i/>
          <w:iCs/>
        </w:rPr>
        <w:t xml:space="preserve">Corporations ACT 2001. </w:t>
      </w:r>
      <w:r w:rsidRPr="00CD03A8">
        <w:t>The AAF Company undertakes the management and trusteeship of the Army’s</w:t>
      </w:r>
      <w:r w:rsidR="00AC2CF1" w:rsidRPr="00CD03A8">
        <w:t xml:space="preserve"> two</w:t>
      </w:r>
      <w:r w:rsidRPr="00CD03A8">
        <w:t xml:space="preserve"> trust funds known as the ‘Army Amenities Fund’ and the ‘Messes Trust Fund’. The AAF Company promotes and supports the objectives of the two funds which provides amenities for members of the Australian Army.</w:t>
      </w:r>
    </w:p>
    <w:p w14:paraId="03B60810" w14:textId="77777777" w:rsidR="00D562AB" w:rsidRPr="0073059F" w:rsidRDefault="00D562AB" w:rsidP="00754942">
      <w:pPr>
        <w:pStyle w:val="Heading5noTOC"/>
      </w:pPr>
      <w:r w:rsidRPr="0073059F">
        <w:t>Army and Air Force Canteen Service</w:t>
      </w:r>
    </w:p>
    <w:p w14:paraId="79600764" w14:textId="3B1B11B5" w:rsidR="00D562AB" w:rsidRPr="00CD03A8" w:rsidRDefault="00D562AB" w:rsidP="00754942">
      <w:pPr>
        <w:spacing w:before="120" w:after="120"/>
        <w:rPr>
          <w:lang w:val="en-AU"/>
        </w:rPr>
      </w:pPr>
      <w:r w:rsidRPr="00CD03A8">
        <w:rPr>
          <w:lang w:val="en-AU"/>
        </w:rPr>
        <w:t xml:space="preserve">Chair: </w:t>
      </w:r>
      <w:r w:rsidR="003D79E1" w:rsidRPr="00CD03A8">
        <w:rPr>
          <w:lang w:val="en-AU"/>
        </w:rPr>
        <w:t>Mr Glenn Kirk</w:t>
      </w:r>
      <w:r w:rsidR="0073059F">
        <w:rPr>
          <w:lang w:val="en-AU"/>
        </w:rPr>
        <w:t>,</w:t>
      </w:r>
      <w:r w:rsidR="003D79E1" w:rsidRPr="00CD03A8">
        <w:rPr>
          <w:lang w:val="en-AU"/>
        </w:rPr>
        <w:t xml:space="preserve"> GAICD</w:t>
      </w:r>
    </w:p>
    <w:p w14:paraId="74088B03" w14:textId="77777777" w:rsidR="00D562AB" w:rsidRPr="0073059F" w:rsidRDefault="00D562AB" w:rsidP="00754942">
      <w:pPr>
        <w:spacing w:before="120" w:after="120"/>
        <w:rPr>
          <w:lang w:val="en-AU"/>
        </w:rPr>
      </w:pPr>
      <w:r w:rsidRPr="00CD03A8">
        <w:rPr>
          <w:lang w:val="en-AU"/>
        </w:rPr>
        <w:t xml:space="preserve">The Army and Air Force Canteen Service (AAFCANS), a Commonwealth authority established under the </w:t>
      </w:r>
      <w:r w:rsidRPr="00CD03A8">
        <w:rPr>
          <w:i/>
          <w:lang w:val="en-AU"/>
        </w:rPr>
        <w:t>Army and Air Force Canteen Service Regulations 1959</w:t>
      </w:r>
      <w:r w:rsidRPr="00CD03A8">
        <w:rPr>
          <w:lang w:val="en-AU"/>
        </w:rPr>
        <w:t xml:space="preserve"> supplies goods, facilities and services to, or for the entertainment and recreation of, members of the Army and the Air Force including persons employed in, or in connection with, Army or Air Force installations and dependants of those members or persons, visitors to such installati</w:t>
      </w:r>
      <w:r w:rsidR="0014725F" w:rsidRPr="00CD03A8">
        <w:rPr>
          <w:lang w:val="en-AU"/>
        </w:rPr>
        <w:t xml:space="preserve">ons and members of the </w:t>
      </w:r>
      <w:r w:rsidRPr="00CD03A8">
        <w:rPr>
          <w:lang w:val="en-AU"/>
        </w:rPr>
        <w:t>Army or Air Force Cadets.</w:t>
      </w:r>
    </w:p>
    <w:p w14:paraId="06C9E81B" w14:textId="77777777" w:rsidR="00A13E82" w:rsidRPr="0073059F" w:rsidRDefault="00A13E82" w:rsidP="00A13E82">
      <w:pPr>
        <w:rPr>
          <w:rFonts w:ascii="Arial" w:hAnsi="Arial"/>
          <w:b/>
          <w:szCs w:val="20"/>
          <w:lang w:val="en-AU"/>
        </w:rPr>
      </w:pPr>
      <w:r w:rsidRPr="0073059F">
        <w:rPr>
          <w:rFonts w:ascii="Arial" w:hAnsi="Arial"/>
          <w:b/>
          <w:szCs w:val="20"/>
          <w:lang w:val="en-AU"/>
        </w:rPr>
        <w:t>Australian Military Forces Relief Trust Fund</w:t>
      </w:r>
    </w:p>
    <w:p w14:paraId="0ADA0A96" w14:textId="1ED63BAA" w:rsidR="00A13E82" w:rsidRPr="00CD03A8" w:rsidRDefault="00A13E82" w:rsidP="00A13E82">
      <w:pPr>
        <w:rPr>
          <w:rFonts w:cs="PalatinoLinotype-Roman"/>
          <w:szCs w:val="20"/>
          <w:lang w:val="en-AU"/>
        </w:rPr>
      </w:pPr>
      <w:r w:rsidRPr="00CD03A8">
        <w:rPr>
          <w:rFonts w:cs="PalatinoLinotype-Roman"/>
          <w:szCs w:val="20"/>
          <w:lang w:val="en-AU"/>
        </w:rPr>
        <w:t>Ch</w:t>
      </w:r>
      <w:r w:rsidR="00EF47D7" w:rsidRPr="00CD03A8">
        <w:rPr>
          <w:rFonts w:cs="PalatinoLinotype-Roman"/>
          <w:szCs w:val="20"/>
          <w:lang w:val="en-AU"/>
        </w:rPr>
        <w:t>air: Major General Craig Dobson</w:t>
      </w:r>
      <w:r w:rsidR="0073059F">
        <w:rPr>
          <w:rFonts w:cs="PalatinoLinotype-Roman"/>
          <w:szCs w:val="20"/>
          <w:lang w:val="en-AU"/>
        </w:rPr>
        <w:t>,</w:t>
      </w:r>
      <w:r w:rsidR="00EF47D7" w:rsidRPr="00CD03A8">
        <w:rPr>
          <w:rFonts w:cs="PalatinoLinotype-Roman"/>
          <w:szCs w:val="20"/>
          <w:lang w:val="en-AU"/>
        </w:rPr>
        <w:t xml:space="preserve"> AM</w:t>
      </w:r>
      <w:r w:rsidR="0073059F">
        <w:rPr>
          <w:rFonts w:cs="PalatinoLinotype-Roman"/>
          <w:szCs w:val="20"/>
          <w:lang w:val="en-AU"/>
        </w:rPr>
        <w:t>,</w:t>
      </w:r>
      <w:r w:rsidRPr="00CD03A8">
        <w:rPr>
          <w:rFonts w:cs="PalatinoLinotype-Roman"/>
          <w:szCs w:val="20"/>
          <w:lang w:val="en-AU"/>
        </w:rPr>
        <w:t xml:space="preserve"> CSC</w:t>
      </w:r>
    </w:p>
    <w:p w14:paraId="69D4C780" w14:textId="77777777" w:rsidR="00A13E82" w:rsidRPr="0073059F" w:rsidRDefault="00A13E82" w:rsidP="00A13E82">
      <w:pPr>
        <w:rPr>
          <w:rFonts w:cs="PalatinoLinotype-Roman"/>
          <w:szCs w:val="20"/>
          <w:lang w:val="en-AU"/>
        </w:rPr>
      </w:pPr>
      <w:r w:rsidRPr="00CD03A8">
        <w:rPr>
          <w:rFonts w:cs="PalatinoLinotype-Roman"/>
          <w:szCs w:val="20"/>
          <w:lang w:val="en-AU"/>
        </w:rPr>
        <w:t xml:space="preserve">The Australian Military Forces Relief Trust Fund (AMFRTF) is a corporate Commonwealth entity under the </w:t>
      </w:r>
      <w:r w:rsidRPr="00CD03A8">
        <w:rPr>
          <w:rFonts w:cs="PalatinoLinotype-Roman"/>
          <w:i/>
          <w:szCs w:val="20"/>
          <w:lang w:val="en-AU"/>
        </w:rPr>
        <w:t>Public Governance, Performance and Accountability Act 2013</w:t>
      </w:r>
      <w:r w:rsidRPr="00CD03A8">
        <w:rPr>
          <w:rFonts w:cs="PalatinoLinotype-Roman"/>
          <w:szCs w:val="20"/>
          <w:lang w:val="en-AU"/>
        </w:rPr>
        <w:t xml:space="preserve">. It was a Commonwealth authority established under the </w:t>
      </w:r>
      <w:r w:rsidRPr="00CD03A8">
        <w:rPr>
          <w:rFonts w:cs="PalatinoLinotype-Roman"/>
          <w:i/>
          <w:szCs w:val="20"/>
          <w:lang w:val="en-AU"/>
        </w:rPr>
        <w:t>Services Trust Funds Act 1947</w:t>
      </w:r>
      <w:r w:rsidRPr="00CD03A8">
        <w:rPr>
          <w:rFonts w:cs="PalatinoLinotype-Roman"/>
          <w:szCs w:val="20"/>
          <w:lang w:val="en-AU"/>
        </w:rPr>
        <w:t>. The AMFRTF provides benefits to members of the ADF who have served in, or in association with the Australian Army and to the dependants of such members.</w:t>
      </w:r>
    </w:p>
    <w:p w14:paraId="22F65D62" w14:textId="77777777" w:rsidR="00A13E82" w:rsidRPr="0073059F" w:rsidRDefault="00A13E82" w:rsidP="00A13E82">
      <w:pPr>
        <w:rPr>
          <w:rFonts w:ascii="Arial" w:hAnsi="Arial"/>
          <w:b/>
          <w:szCs w:val="20"/>
          <w:lang w:val="en-AU"/>
        </w:rPr>
      </w:pPr>
      <w:r w:rsidRPr="0073059F">
        <w:rPr>
          <w:rFonts w:ascii="Arial" w:hAnsi="Arial"/>
          <w:b/>
          <w:szCs w:val="20"/>
          <w:lang w:val="en-AU"/>
        </w:rPr>
        <w:t>Australian Strategic Policy Institute Limited</w:t>
      </w:r>
    </w:p>
    <w:p w14:paraId="606930F2" w14:textId="77777777" w:rsidR="00A13E82" w:rsidRPr="00CD03A8" w:rsidRDefault="00A13E82" w:rsidP="00A13E82">
      <w:pPr>
        <w:autoSpaceDE w:val="0"/>
        <w:autoSpaceDN w:val="0"/>
        <w:rPr>
          <w:rFonts w:cs="Calibri"/>
          <w:color w:val="000000"/>
          <w:szCs w:val="20"/>
        </w:rPr>
      </w:pPr>
      <w:r w:rsidRPr="00CD03A8">
        <w:rPr>
          <w:color w:val="000000"/>
          <w:szCs w:val="20"/>
        </w:rPr>
        <w:t>Chair: Ms Gai Brodtmann</w:t>
      </w:r>
    </w:p>
    <w:p w14:paraId="3E87A488" w14:textId="77777777" w:rsidR="00A13E82" w:rsidRPr="0073059F" w:rsidRDefault="00A13E82" w:rsidP="00A13E82">
      <w:pPr>
        <w:rPr>
          <w:color w:val="000000"/>
          <w:szCs w:val="20"/>
        </w:rPr>
      </w:pPr>
      <w:r w:rsidRPr="00CD03A8">
        <w:rPr>
          <w:color w:val="000000"/>
          <w:szCs w:val="20"/>
        </w:rPr>
        <w:t>The Australian Strategic Policy Institute Limited is a Commonwealth company that provides policy-relevant research and analysis to inform Government decisions and public understanding of strategic and defence issues.</w:t>
      </w:r>
    </w:p>
    <w:p w14:paraId="74BFCF78" w14:textId="77777777" w:rsidR="00D562AB" w:rsidRPr="0073059F" w:rsidRDefault="00D562AB" w:rsidP="00754942">
      <w:pPr>
        <w:pStyle w:val="Heading5noTOC"/>
      </w:pPr>
      <w:r w:rsidRPr="0073059F">
        <w:t>Royal Australian Air Force Veterans’ Residences Trust</w:t>
      </w:r>
    </w:p>
    <w:p w14:paraId="7D87152B" w14:textId="4AC412C2" w:rsidR="00D562AB" w:rsidRPr="00CD03A8" w:rsidRDefault="00D562AB" w:rsidP="00754942">
      <w:pPr>
        <w:spacing w:before="120" w:after="120"/>
        <w:rPr>
          <w:lang w:val="en-AU"/>
        </w:rPr>
      </w:pPr>
      <w:r w:rsidRPr="00CD03A8">
        <w:rPr>
          <w:lang w:val="en-AU"/>
        </w:rPr>
        <w:t>Chair: Air Commodore D</w:t>
      </w:r>
      <w:r w:rsidR="001A2D31" w:rsidRPr="00CD03A8">
        <w:rPr>
          <w:lang w:val="en-AU"/>
        </w:rPr>
        <w:t xml:space="preserve">avid </w:t>
      </w:r>
      <w:r w:rsidRPr="00CD03A8">
        <w:rPr>
          <w:lang w:val="en-AU"/>
        </w:rPr>
        <w:t>E. Tindal</w:t>
      </w:r>
      <w:r w:rsidR="0073059F">
        <w:rPr>
          <w:lang w:val="en-AU"/>
        </w:rPr>
        <w:t>,</w:t>
      </w:r>
      <w:r w:rsidRPr="00CD03A8">
        <w:rPr>
          <w:lang w:val="en-AU"/>
        </w:rPr>
        <w:t xml:space="preserve"> AM</w:t>
      </w:r>
      <w:r w:rsidR="00EF47D7" w:rsidRPr="00CD03A8">
        <w:rPr>
          <w:lang w:val="en-AU"/>
        </w:rPr>
        <w:t xml:space="preserve"> (Retd)</w:t>
      </w:r>
    </w:p>
    <w:p w14:paraId="42440616" w14:textId="77777777" w:rsidR="00D562AB" w:rsidRPr="00B56FAA" w:rsidRDefault="00D562AB" w:rsidP="00754942">
      <w:pPr>
        <w:spacing w:before="120" w:after="120"/>
        <w:rPr>
          <w:lang w:val="en-AU"/>
        </w:rPr>
      </w:pPr>
      <w:r w:rsidRPr="00CD03A8">
        <w:rPr>
          <w:lang w:val="en-AU"/>
        </w:rPr>
        <w:t xml:space="preserve">The Royal Australian Air Force Veterans’ Residences Trust, a Commonwealth authority established by the </w:t>
      </w:r>
      <w:r w:rsidRPr="00CD03A8">
        <w:rPr>
          <w:i/>
          <w:lang w:val="en-AU"/>
        </w:rPr>
        <w:t>Royal Australian Air Force Veterans’ Residences Act 1953</w:t>
      </w:r>
      <w:r w:rsidRPr="00CD03A8">
        <w:rPr>
          <w:lang w:val="en-AU"/>
        </w:rPr>
        <w:t>, provides residences in which eligible former members, including dependants, of the Royal Australian Air Force, Royal Australian Air Force Nursing Service and Women’s Auxiliary Australian Air Force who are in necessitous circumstances and, if the Trust so approves, the dependants of such eligible persons, may be accommodated or supported.</w:t>
      </w:r>
    </w:p>
    <w:p w14:paraId="46AA5062" w14:textId="77777777" w:rsidR="002957B5" w:rsidRPr="00B56FAA" w:rsidRDefault="00271ADD" w:rsidP="00754942">
      <w:pPr>
        <w:pStyle w:val="Heading5noTOC"/>
      </w:pPr>
      <w:r w:rsidRPr="00B56FAA">
        <w:br w:type="page"/>
      </w:r>
      <w:r w:rsidR="002957B5" w:rsidRPr="00B56FAA">
        <w:lastRenderedPageBreak/>
        <w:t>Royal Australian Air Force Welfare Recreational Company</w:t>
      </w:r>
    </w:p>
    <w:p w14:paraId="0EDAAA01" w14:textId="77777777" w:rsidR="002957B5" w:rsidRPr="00CD03A8" w:rsidRDefault="002957B5" w:rsidP="00754942">
      <w:pPr>
        <w:spacing w:before="120" w:after="120"/>
        <w:rPr>
          <w:lang w:val="en-AU"/>
        </w:rPr>
      </w:pPr>
      <w:r w:rsidRPr="00CD03A8">
        <w:rPr>
          <w:lang w:val="en-AU"/>
        </w:rPr>
        <w:t>Chair: Air Commodore Martin Smith</w:t>
      </w:r>
    </w:p>
    <w:p w14:paraId="75B89923" w14:textId="77777777" w:rsidR="002957B5" w:rsidRPr="0073059F" w:rsidRDefault="002957B5" w:rsidP="00754942">
      <w:pPr>
        <w:spacing w:before="120" w:after="120"/>
        <w:rPr>
          <w:lang w:val="en-AU"/>
        </w:rPr>
      </w:pPr>
      <w:r w:rsidRPr="00CD03A8">
        <w:rPr>
          <w:lang w:val="en-AU"/>
        </w:rPr>
        <w:t>The Royal Australian Air Force Welfare Recreational Company is a Commonwealth company that provides access to discounted recreational accommodation and manages and promotes the Royal Australian Air Force Central Welfare Trust Fund owned recreational facilities for the Royal Australian Air Force members, their families and other eligible persons. It also provides financial support to, and assists in the provision of, recreational facilities and services to the Royal Australian Air Force members.</w:t>
      </w:r>
    </w:p>
    <w:p w14:paraId="45D7DD6F" w14:textId="77777777" w:rsidR="00A13E82" w:rsidRPr="0073059F" w:rsidRDefault="00A13E82" w:rsidP="00A13E82">
      <w:pPr>
        <w:rPr>
          <w:rFonts w:ascii="Arial" w:hAnsi="Arial"/>
          <w:b/>
          <w:szCs w:val="20"/>
          <w:lang w:val="en-AU"/>
        </w:rPr>
      </w:pPr>
      <w:r w:rsidRPr="0073059F">
        <w:rPr>
          <w:rFonts w:ascii="Arial" w:hAnsi="Arial"/>
          <w:b/>
          <w:szCs w:val="20"/>
          <w:lang w:val="en-AU"/>
        </w:rPr>
        <w:t>Royal Australian Air Force Welfare Trust Fund</w:t>
      </w:r>
    </w:p>
    <w:p w14:paraId="0556BFC6" w14:textId="77777777" w:rsidR="00A13E82" w:rsidRPr="00CD03A8" w:rsidRDefault="00A13E82" w:rsidP="00A13E82">
      <w:pPr>
        <w:rPr>
          <w:rFonts w:cs="PalatinoLinotype-Roman"/>
          <w:szCs w:val="20"/>
        </w:rPr>
      </w:pPr>
      <w:r w:rsidRPr="00CD03A8">
        <w:rPr>
          <w:rFonts w:cs="PalatinoLinotype-Roman"/>
          <w:szCs w:val="20"/>
          <w:lang w:val="en-AU"/>
        </w:rPr>
        <w:t>Chair: Principal Air Chaplain James Cox</w:t>
      </w:r>
    </w:p>
    <w:p w14:paraId="6C07B73D" w14:textId="77777777" w:rsidR="00A13E82" w:rsidRPr="0073059F" w:rsidRDefault="00A13E82" w:rsidP="00A13E82">
      <w:pPr>
        <w:rPr>
          <w:rFonts w:ascii="Calibri" w:hAnsi="Calibri"/>
          <w:sz w:val="22"/>
          <w:szCs w:val="22"/>
        </w:rPr>
      </w:pPr>
      <w:r w:rsidRPr="00CD03A8">
        <w:rPr>
          <w:szCs w:val="20"/>
        </w:rPr>
        <w:t xml:space="preserve">The Royal Australian Air Force Welfare Trust Fund, a Commonwealth authority established under the </w:t>
      </w:r>
      <w:r w:rsidRPr="00CD03A8">
        <w:rPr>
          <w:i/>
          <w:iCs/>
          <w:szCs w:val="20"/>
        </w:rPr>
        <w:t>Services Trust Funds Act 1947</w:t>
      </w:r>
      <w:r w:rsidRPr="00CD03A8">
        <w:rPr>
          <w:szCs w:val="20"/>
        </w:rPr>
        <w:t>, provides benefits for members of the Defence Force who have served in, or in association with, the Royal Australian Air Force and to the dependants of such members.</w:t>
      </w:r>
    </w:p>
    <w:p w14:paraId="7F0D94B8" w14:textId="77777777" w:rsidR="00A13E82" w:rsidRPr="0073059F" w:rsidRDefault="00A13E82" w:rsidP="00A13E82">
      <w:pPr>
        <w:rPr>
          <w:rFonts w:ascii="Arial" w:hAnsi="Arial"/>
          <w:b/>
          <w:szCs w:val="20"/>
          <w:lang w:val="en-AU"/>
        </w:rPr>
      </w:pPr>
      <w:r w:rsidRPr="0073059F">
        <w:rPr>
          <w:rFonts w:ascii="Arial" w:hAnsi="Arial"/>
          <w:b/>
          <w:szCs w:val="20"/>
          <w:lang w:val="en-AU"/>
        </w:rPr>
        <w:t>Royal Australian Navy Central Canteens Board</w:t>
      </w:r>
    </w:p>
    <w:p w14:paraId="470F56E5" w14:textId="05B0C09A" w:rsidR="00A13E82" w:rsidRPr="00CD03A8" w:rsidRDefault="00A13E82" w:rsidP="00A13E82">
      <w:pPr>
        <w:pStyle w:val="Default"/>
        <w:spacing w:before="100" w:after="100"/>
        <w:rPr>
          <w:rFonts w:ascii="Book Antiqua" w:hAnsi="Book Antiqua"/>
          <w:sz w:val="20"/>
          <w:szCs w:val="20"/>
        </w:rPr>
      </w:pPr>
      <w:r w:rsidRPr="00CD03A8">
        <w:rPr>
          <w:rFonts w:ascii="Book Antiqua" w:hAnsi="Book Antiqua"/>
          <w:sz w:val="20"/>
          <w:szCs w:val="20"/>
        </w:rPr>
        <w:t>Chair: Captain Steve Bowater</w:t>
      </w:r>
      <w:r w:rsidR="0073059F">
        <w:rPr>
          <w:rFonts w:ascii="Book Antiqua" w:hAnsi="Book Antiqua"/>
          <w:sz w:val="20"/>
          <w:szCs w:val="20"/>
        </w:rPr>
        <w:t>,</w:t>
      </w:r>
      <w:r w:rsidRPr="00CD03A8">
        <w:rPr>
          <w:rFonts w:ascii="Book Antiqua" w:hAnsi="Book Antiqua"/>
          <w:sz w:val="20"/>
          <w:szCs w:val="20"/>
        </w:rPr>
        <w:t xml:space="preserve"> OAM</w:t>
      </w:r>
      <w:r w:rsidR="0073059F">
        <w:rPr>
          <w:rFonts w:ascii="Book Antiqua" w:hAnsi="Book Antiqua"/>
          <w:sz w:val="20"/>
          <w:szCs w:val="20"/>
        </w:rPr>
        <w:t>,</w:t>
      </w:r>
      <w:r w:rsidRPr="00CD03A8">
        <w:rPr>
          <w:rFonts w:ascii="Book Antiqua" w:hAnsi="Book Antiqua"/>
          <w:sz w:val="20"/>
          <w:szCs w:val="20"/>
        </w:rPr>
        <w:t xml:space="preserve"> RAN</w:t>
      </w:r>
    </w:p>
    <w:p w14:paraId="3285795E" w14:textId="77777777" w:rsidR="00A13E82" w:rsidRPr="0073059F" w:rsidRDefault="00A13E82" w:rsidP="00A13E82">
      <w:pPr>
        <w:rPr>
          <w:szCs w:val="20"/>
        </w:rPr>
      </w:pPr>
      <w:r w:rsidRPr="00CD03A8">
        <w:rPr>
          <w:szCs w:val="20"/>
        </w:rPr>
        <w:t xml:space="preserve">The Royal Australian Navy Central Canteens Board (RANCCB), a corporate Commonwealth entity established under the </w:t>
      </w:r>
      <w:r w:rsidRPr="00CD03A8">
        <w:rPr>
          <w:i/>
          <w:iCs/>
          <w:szCs w:val="20"/>
        </w:rPr>
        <w:t>Navy (Canteens) Regulations 1954</w:t>
      </w:r>
      <w:r w:rsidRPr="00CD03A8">
        <w:rPr>
          <w:szCs w:val="20"/>
        </w:rPr>
        <w:t>, administers the Royal Australian Navy Central Canteens Fund. The principal activities of the RANCCB are to provide welfare and lifestyle related benefits and services to Navy members and their families.</w:t>
      </w:r>
    </w:p>
    <w:p w14:paraId="458DCD63" w14:textId="77777777" w:rsidR="00D562AB" w:rsidRPr="0073059F" w:rsidRDefault="00D562AB" w:rsidP="00754942">
      <w:pPr>
        <w:pStyle w:val="Heading5noTOC"/>
      </w:pPr>
      <w:r w:rsidRPr="0073059F">
        <w:t>Royal Australian Navy Relief Trust Fund</w:t>
      </w:r>
    </w:p>
    <w:p w14:paraId="6C0D1851" w14:textId="1726C189" w:rsidR="00D562AB" w:rsidRPr="00CD03A8" w:rsidRDefault="00D562AB" w:rsidP="00754942">
      <w:pPr>
        <w:spacing w:before="120" w:after="120"/>
        <w:rPr>
          <w:lang w:val="en-AU"/>
        </w:rPr>
      </w:pPr>
      <w:r w:rsidRPr="00CD03A8">
        <w:rPr>
          <w:lang w:val="en-AU"/>
        </w:rPr>
        <w:t xml:space="preserve">Chair: </w:t>
      </w:r>
      <w:r w:rsidR="001A7840" w:rsidRPr="00CD03A8">
        <w:rPr>
          <w:szCs w:val="20"/>
        </w:rPr>
        <w:t>Commodore Shane Glassock</w:t>
      </w:r>
      <w:r w:rsidR="0073059F">
        <w:rPr>
          <w:szCs w:val="20"/>
        </w:rPr>
        <w:t>,</w:t>
      </w:r>
      <w:r w:rsidR="001A7840" w:rsidRPr="00CD03A8">
        <w:rPr>
          <w:szCs w:val="20"/>
        </w:rPr>
        <w:t xml:space="preserve"> CSC</w:t>
      </w:r>
      <w:r w:rsidR="0073059F">
        <w:rPr>
          <w:szCs w:val="20"/>
        </w:rPr>
        <w:t>,</w:t>
      </w:r>
      <w:r w:rsidR="001A7840" w:rsidRPr="00CD03A8">
        <w:rPr>
          <w:szCs w:val="20"/>
        </w:rPr>
        <w:t xml:space="preserve"> RAN</w:t>
      </w:r>
    </w:p>
    <w:p w14:paraId="4D6AD4F6" w14:textId="77777777" w:rsidR="00D562AB" w:rsidRPr="00B56FAA" w:rsidRDefault="00D562AB" w:rsidP="00754942">
      <w:pPr>
        <w:spacing w:before="120" w:after="120"/>
        <w:rPr>
          <w:lang w:val="en-AU"/>
        </w:rPr>
      </w:pPr>
      <w:r w:rsidRPr="00CD03A8">
        <w:rPr>
          <w:lang w:val="en-AU"/>
        </w:rPr>
        <w:t xml:space="preserve">The Royal Australian Navy Relief Trust Fund, a Commonwealth authority established under the </w:t>
      </w:r>
      <w:r w:rsidRPr="00CD03A8">
        <w:rPr>
          <w:i/>
          <w:lang w:val="en-AU"/>
        </w:rPr>
        <w:t>Services Trust Funds Act 1947</w:t>
      </w:r>
      <w:r w:rsidRPr="00CD03A8">
        <w:rPr>
          <w:lang w:val="en-AU"/>
        </w:rPr>
        <w:t>, provides benefits for members of the Defence Force who have served in, or in association with, the Navy and to the dependants of such members.</w:t>
      </w:r>
    </w:p>
    <w:p w14:paraId="1678ACD3" w14:textId="77777777" w:rsidR="00585123" w:rsidRPr="00B56FAA" w:rsidRDefault="00585123" w:rsidP="00CF04B9">
      <w:pPr>
        <w:rPr>
          <w:lang w:val="en-AU"/>
        </w:rPr>
      </w:pPr>
    </w:p>
    <w:p w14:paraId="2E8ACAC2" w14:textId="77777777" w:rsidR="00CF04B9" w:rsidRPr="00B56FAA" w:rsidRDefault="00CF04B9" w:rsidP="00CF04B9">
      <w:pPr>
        <w:rPr>
          <w:lang w:val="en-AU"/>
        </w:rPr>
        <w:sectPr w:rsidR="00CF04B9" w:rsidRPr="00B56FAA" w:rsidSect="00C30BE6">
          <w:headerReference w:type="even" r:id="rId32"/>
          <w:headerReference w:type="default" r:id="rId33"/>
          <w:footerReference w:type="even" r:id="rId34"/>
          <w:footerReference w:type="default" r:id="rId35"/>
          <w:headerReference w:type="first" r:id="rId36"/>
          <w:pgSz w:w="11906" w:h="16838" w:code="9"/>
          <w:pgMar w:top="1701" w:right="1361" w:bottom="1701" w:left="1928" w:header="720" w:footer="720" w:gutter="0"/>
          <w:pgNumType w:start="1"/>
          <w:cols w:space="720"/>
        </w:sectPr>
      </w:pPr>
    </w:p>
    <w:p w14:paraId="25200457" w14:textId="77777777" w:rsidR="00567BD9" w:rsidRPr="00B56FAA" w:rsidRDefault="00567BD9" w:rsidP="00567BD9">
      <w:pPr>
        <w:rPr>
          <w:lang w:val="en-AU"/>
        </w:rPr>
      </w:pPr>
      <w:bookmarkStart w:id="427" w:name="_Toc1561672"/>
      <w:bookmarkEnd w:id="380"/>
      <w:bookmarkEnd w:id="381"/>
      <w:bookmarkEnd w:id="382"/>
      <w:bookmarkEnd w:id="383"/>
      <w:bookmarkEnd w:id="384"/>
    </w:p>
    <w:p w14:paraId="58534250" w14:textId="77777777" w:rsidR="00567BD9" w:rsidRPr="00B56FAA" w:rsidRDefault="00567BD9" w:rsidP="00567BD9">
      <w:pPr>
        <w:rPr>
          <w:lang w:val="en-AU"/>
        </w:rPr>
      </w:pPr>
    </w:p>
    <w:p w14:paraId="0D23E68F" w14:textId="77777777" w:rsidR="00567BD9" w:rsidRPr="00B56FAA" w:rsidRDefault="00567BD9" w:rsidP="00567BD9">
      <w:pPr>
        <w:rPr>
          <w:lang w:val="en-AU"/>
        </w:rPr>
      </w:pPr>
    </w:p>
    <w:p w14:paraId="3550BA37" w14:textId="77777777" w:rsidR="00567BD9" w:rsidRPr="00B56FAA" w:rsidRDefault="00567BD9" w:rsidP="00567BD9">
      <w:pPr>
        <w:rPr>
          <w:lang w:val="en-AU"/>
        </w:rPr>
      </w:pPr>
    </w:p>
    <w:p w14:paraId="7504A7A5" w14:textId="77777777" w:rsidR="00567BD9" w:rsidRPr="00B56FAA" w:rsidRDefault="00567BD9" w:rsidP="00567BD9">
      <w:pPr>
        <w:rPr>
          <w:lang w:val="en-AU"/>
        </w:rPr>
      </w:pPr>
    </w:p>
    <w:p w14:paraId="4EA052B6" w14:textId="77777777" w:rsidR="00567BD9" w:rsidRPr="00B56FAA" w:rsidRDefault="00567BD9" w:rsidP="00567BD9">
      <w:pPr>
        <w:rPr>
          <w:lang w:val="en-AU"/>
        </w:rPr>
      </w:pPr>
    </w:p>
    <w:p w14:paraId="7791EE00" w14:textId="77777777" w:rsidR="00567BD9" w:rsidRPr="00B56FAA" w:rsidRDefault="00567BD9" w:rsidP="00567BD9">
      <w:pPr>
        <w:rPr>
          <w:lang w:val="en-AU"/>
        </w:rPr>
      </w:pPr>
    </w:p>
    <w:p w14:paraId="346466B1" w14:textId="77777777" w:rsidR="00567BD9" w:rsidRPr="00B56FAA" w:rsidRDefault="00567BD9" w:rsidP="00567BD9">
      <w:pPr>
        <w:rPr>
          <w:lang w:val="en-AU"/>
        </w:rPr>
      </w:pPr>
    </w:p>
    <w:p w14:paraId="0AC47556" w14:textId="77777777" w:rsidR="00567BD9" w:rsidRPr="00B56FAA" w:rsidRDefault="00567BD9" w:rsidP="00567BD9">
      <w:pPr>
        <w:rPr>
          <w:lang w:val="en-AU"/>
        </w:rPr>
      </w:pPr>
    </w:p>
    <w:p w14:paraId="2DD62056" w14:textId="77777777" w:rsidR="00567BD9" w:rsidRPr="00B56FAA" w:rsidRDefault="00567BD9" w:rsidP="00567BD9">
      <w:pPr>
        <w:rPr>
          <w:lang w:val="en-AU"/>
        </w:rPr>
      </w:pPr>
    </w:p>
    <w:p w14:paraId="0AA350A6" w14:textId="77777777" w:rsidR="00567BD9" w:rsidRPr="00B56FAA" w:rsidRDefault="00567BD9" w:rsidP="00567BD9">
      <w:pPr>
        <w:rPr>
          <w:lang w:val="en-AU"/>
        </w:rPr>
      </w:pPr>
    </w:p>
    <w:p w14:paraId="365995C5" w14:textId="77777777" w:rsidR="00567BD9" w:rsidRPr="00B56FAA" w:rsidRDefault="00567BD9" w:rsidP="00567BD9">
      <w:pPr>
        <w:rPr>
          <w:lang w:val="en-AU"/>
        </w:rPr>
      </w:pPr>
    </w:p>
    <w:p w14:paraId="25D37984" w14:textId="77777777" w:rsidR="00567BD9" w:rsidRPr="00B56FAA" w:rsidRDefault="00567BD9" w:rsidP="00567BD9">
      <w:pPr>
        <w:ind w:left="2" w:firstLine="1"/>
        <w:jc w:val="center"/>
        <w:rPr>
          <w:lang w:val="en-AU"/>
        </w:rPr>
      </w:pPr>
      <w:r w:rsidRPr="00B56FAA">
        <w:rPr>
          <w:lang w:val="en-AU"/>
        </w:rPr>
        <w:t>This page intentionally left blank.</w:t>
      </w:r>
    </w:p>
    <w:p w14:paraId="1D913F7B" w14:textId="3CE9735A" w:rsidR="00CB1F27" w:rsidRPr="00B56FAA" w:rsidRDefault="00567BD9" w:rsidP="00567BD9">
      <w:pPr>
        <w:pStyle w:val="Heading1noTOC"/>
      </w:pPr>
      <w:r w:rsidRPr="00B56FAA">
        <w:br w:type="page"/>
      </w:r>
    </w:p>
    <w:p w14:paraId="683D24B4" w14:textId="77777777" w:rsidR="00EA1050" w:rsidRPr="00B56FAA" w:rsidRDefault="00EA1050" w:rsidP="006C10EA">
      <w:pPr>
        <w:pStyle w:val="Heading2"/>
        <w:spacing w:before="0" w:after="360"/>
        <w:jc w:val="center"/>
        <w:rPr>
          <w:rFonts w:ascii="Arial Bold" w:hAnsi="Arial Bold"/>
          <w:b/>
          <w:sz w:val="52"/>
          <w:szCs w:val="52"/>
        </w:rPr>
      </w:pPr>
      <w:bookmarkStart w:id="428" w:name="_Toc534886324"/>
      <w:bookmarkStart w:id="429" w:name="_Toc534886517"/>
      <w:bookmarkStart w:id="430" w:name="_Toc534908444"/>
      <w:bookmarkStart w:id="431" w:name="_Toc23502281"/>
      <w:bookmarkStart w:id="432" w:name="_Toc29898861"/>
      <w:bookmarkStart w:id="433" w:name="_Toc51691670"/>
      <w:bookmarkStart w:id="434" w:name="_Toc69729038"/>
      <w:bookmarkStart w:id="435" w:name="_Toc69917833"/>
      <w:bookmarkStart w:id="436" w:name="_Toc97747821"/>
      <w:bookmarkStart w:id="437" w:name="_Toc108088932"/>
      <w:bookmarkStart w:id="438" w:name="_Toc108089011"/>
      <w:bookmarkStart w:id="439" w:name="_Toc108089406"/>
      <w:bookmarkStart w:id="440" w:name="_Toc109227291"/>
      <w:bookmarkStart w:id="441" w:name="_Toc109227728"/>
      <w:bookmarkStart w:id="442" w:name="_Toc158896244"/>
      <w:bookmarkStart w:id="443" w:name="_Toc158896301"/>
      <w:bookmarkStart w:id="444" w:name="_Toc159499675"/>
      <w:bookmarkStart w:id="445" w:name="_Toc159857672"/>
      <w:bookmarkStart w:id="446" w:name="_Toc159857751"/>
      <w:bookmarkStart w:id="447" w:name="_Toc159858147"/>
      <w:bookmarkStart w:id="448" w:name="_Toc159858418"/>
      <w:bookmarkStart w:id="449" w:name="_Toc159858812"/>
      <w:bookmarkStart w:id="450" w:name="_Toc159858882"/>
      <w:bookmarkStart w:id="451" w:name="_Toc159859092"/>
      <w:bookmarkStart w:id="452" w:name="_Toc159859244"/>
      <w:bookmarkStart w:id="453" w:name="_Toc159862282"/>
      <w:bookmarkStart w:id="454" w:name="_Toc159862472"/>
      <w:bookmarkEnd w:id="427"/>
      <w:r w:rsidRPr="00B56FAA">
        <w:rPr>
          <w:rFonts w:ascii="Arial Bold" w:hAnsi="Arial Bold"/>
          <w:b/>
          <w:sz w:val="52"/>
          <w:szCs w:val="52"/>
        </w:rPr>
        <w:lastRenderedPageBreak/>
        <w:t>Defence</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14:paraId="0CB5F120" w14:textId="77777777" w:rsidR="00B21C1A" w:rsidRPr="00B56FAA" w:rsidRDefault="00A12F12" w:rsidP="0015040E">
      <w:pPr>
        <w:spacing w:before="0" w:after="480"/>
        <w:rPr>
          <w:lang w:val="en-AU"/>
        </w:rPr>
      </w:pPr>
      <w:r w:rsidRPr="00B56FAA">
        <w:rPr>
          <w:lang w:val="en-AU"/>
        </w:rPr>
        <w:tab/>
      </w:r>
    </w:p>
    <w:p w14:paraId="3AF00309" w14:textId="77777777" w:rsidR="00F9005F" w:rsidRPr="00B56FAA" w:rsidRDefault="004F04AE" w:rsidP="00B21C1A">
      <w:pPr>
        <w:pStyle w:val="DepartmentalSubtitle"/>
        <w:rPr>
          <w:sz w:val="48"/>
          <w:szCs w:val="48"/>
          <w:lang w:val="en-AU"/>
        </w:rPr>
      </w:pPr>
      <w:r w:rsidRPr="00B56FAA">
        <w:rPr>
          <w:sz w:val="48"/>
          <w:szCs w:val="48"/>
          <w:lang w:val="en-AU"/>
        </w:rPr>
        <w:t>Entity</w:t>
      </w:r>
      <w:r w:rsidR="00D51782" w:rsidRPr="00B56FAA">
        <w:rPr>
          <w:sz w:val="48"/>
          <w:szCs w:val="48"/>
          <w:lang w:val="en-AU"/>
        </w:rPr>
        <w:t xml:space="preserve"> Resources and Planned P</w:t>
      </w:r>
      <w:r w:rsidR="00F9005F" w:rsidRPr="00B56FAA">
        <w:rPr>
          <w:sz w:val="48"/>
          <w:szCs w:val="48"/>
          <w:lang w:val="en-AU"/>
        </w:rPr>
        <w:t>erformance</w:t>
      </w:r>
    </w:p>
    <w:p w14:paraId="24B142C4" w14:textId="77777777" w:rsidR="00CF1300" w:rsidRPr="00F94CEB" w:rsidRDefault="00CF1300" w:rsidP="00A25490">
      <w:pPr>
        <w:pStyle w:val="TOC3"/>
        <w:rPr>
          <w:rFonts w:ascii="Calibri" w:hAnsi="Calibri" w:cs="Times New Roman"/>
          <w:b/>
          <w:caps/>
          <w:sz w:val="22"/>
          <w:szCs w:val="22"/>
          <w:lang w:val="en-AU"/>
        </w:rPr>
      </w:pPr>
      <w:r w:rsidRPr="001A686F">
        <w:fldChar w:fldCharType="begin"/>
      </w:r>
      <w:r w:rsidRPr="001A686F">
        <w:instrText xml:space="preserve"> TOC \o "1-4" \h \z \u </w:instrText>
      </w:r>
      <w:r w:rsidRPr="001A686F">
        <w:fldChar w:fldCharType="separate"/>
      </w:r>
    </w:p>
    <w:p w14:paraId="3F5B3285" w14:textId="13C1561E" w:rsidR="00CF1300" w:rsidRPr="001A686F" w:rsidRDefault="00004E68" w:rsidP="00A25490">
      <w:pPr>
        <w:pStyle w:val="TOC3"/>
        <w:rPr>
          <w:rStyle w:val="Hyperlink"/>
          <w:b/>
          <w:color w:val="auto"/>
        </w:rPr>
      </w:pPr>
      <w:hyperlink w:anchor="_Toc159859093" w:history="1">
        <w:r w:rsidR="00CF1300" w:rsidRPr="001A686F">
          <w:rPr>
            <w:rStyle w:val="Hyperlink"/>
            <w:b/>
            <w:color w:val="auto"/>
          </w:rPr>
          <w:t>Section 1: Defence Overview and Resources</w:t>
        </w:r>
        <w:r w:rsidR="00CF1300" w:rsidRPr="001A686F">
          <w:rPr>
            <w:rStyle w:val="Hyperlink"/>
            <w:b/>
            <w:webHidden/>
            <w:color w:val="auto"/>
          </w:rPr>
          <w:tab/>
        </w:r>
        <w:r w:rsidR="00CF1300" w:rsidRPr="001A686F">
          <w:rPr>
            <w:rStyle w:val="Hyperlink"/>
            <w:b/>
            <w:webHidden/>
            <w:color w:val="auto"/>
          </w:rPr>
          <w:fldChar w:fldCharType="begin"/>
        </w:r>
        <w:r w:rsidR="00CF1300" w:rsidRPr="001A686F">
          <w:rPr>
            <w:rStyle w:val="Hyperlink"/>
            <w:b/>
            <w:webHidden/>
            <w:color w:val="auto"/>
          </w:rPr>
          <w:instrText xml:space="preserve"> PAGEREF _Toc159859093 \h </w:instrText>
        </w:r>
        <w:r w:rsidR="00CF1300" w:rsidRPr="001A686F">
          <w:rPr>
            <w:rStyle w:val="Hyperlink"/>
            <w:b/>
            <w:webHidden/>
            <w:color w:val="auto"/>
          </w:rPr>
        </w:r>
        <w:r w:rsidR="00CF1300" w:rsidRPr="001A686F">
          <w:rPr>
            <w:rStyle w:val="Hyperlink"/>
            <w:b/>
            <w:webHidden/>
            <w:color w:val="auto"/>
          </w:rPr>
          <w:fldChar w:fldCharType="separate"/>
        </w:r>
        <w:r w:rsidR="002533F1">
          <w:rPr>
            <w:rStyle w:val="Hyperlink"/>
            <w:b/>
            <w:webHidden/>
            <w:color w:val="auto"/>
          </w:rPr>
          <w:t>11</w:t>
        </w:r>
        <w:r w:rsidR="00CF1300" w:rsidRPr="001A686F">
          <w:rPr>
            <w:rStyle w:val="Hyperlink"/>
            <w:b/>
            <w:webHidden/>
            <w:color w:val="auto"/>
          </w:rPr>
          <w:fldChar w:fldCharType="end"/>
        </w:r>
      </w:hyperlink>
    </w:p>
    <w:p w14:paraId="28ADDF93" w14:textId="50F6FE58" w:rsidR="00CF1300" w:rsidRPr="001A686F" w:rsidRDefault="00004E68" w:rsidP="00CF1300">
      <w:pPr>
        <w:pStyle w:val="TOC1"/>
        <w:spacing w:before="120"/>
        <w:rPr>
          <w:rFonts w:ascii="Arial" w:hAnsi="Arial"/>
          <w:caps w:val="0"/>
        </w:rPr>
      </w:pPr>
      <w:hyperlink w:anchor="_Toc159859094" w:history="1">
        <w:r w:rsidR="00CF1300" w:rsidRPr="001A686F">
          <w:rPr>
            <w:rFonts w:ascii="Arial" w:hAnsi="Arial"/>
            <w:caps w:val="0"/>
          </w:rPr>
          <w:t>1.1 Strategic Direction Statement</w:t>
        </w:r>
        <w:r w:rsidR="00CF1300" w:rsidRPr="001A686F">
          <w:rPr>
            <w:rFonts w:ascii="Arial" w:hAnsi="Arial"/>
            <w:caps w:val="0"/>
            <w:webHidden/>
          </w:rPr>
          <w:tab/>
        </w:r>
        <w:r w:rsidR="00CF1300" w:rsidRPr="001A686F">
          <w:rPr>
            <w:rFonts w:ascii="Arial" w:hAnsi="Arial"/>
            <w:caps w:val="0"/>
            <w:webHidden/>
          </w:rPr>
          <w:fldChar w:fldCharType="begin"/>
        </w:r>
        <w:r w:rsidR="00CF1300" w:rsidRPr="001A686F">
          <w:rPr>
            <w:rFonts w:ascii="Arial" w:hAnsi="Arial"/>
            <w:caps w:val="0"/>
            <w:webHidden/>
          </w:rPr>
          <w:instrText xml:space="preserve"> PAGEREF _Toc159859094 \h </w:instrText>
        </w:r>
        <w:r w:rsidR="00CF1300" w:rsidRPr="001A686F">
          <w:rPr>
            <w:rFonts w:ascii="Arial" w:hAnsi="Arial"/>
            <w:caps w:val="0"/>
            <w:webHidden/>
          </w:rPr>
        </w:r>
        <w:r w:rsidR="00CF1300" w:rsidRPr="001A686F">
          <w:rPr>
            <w:rFonts w:ascii="Arial" w:hAnsi="Arial"/>
            <w:caps w:val="0"/>
            <w:webHidden/>
          </w:rPr>
          <w:fldChar w:fldCharType="separate"/>
        </w:r>
        <w:r w:rsidR="002533F1">
          <w:rPr>
            <w:rFonts w:ascii="Arial" w:hAnsi="Arial"/>
            <w:caps w:val="0"/>
            <w:webHidden/>
          </w:rPr>
          <w:t>11</w:t>
        </w:r>
        <w:r w:rsidR="00CF1300" w:rsidRPr="001A686F">
          <w:rPr>
            <w:rFonts w:ascii="Arial" w:hAnsi="Arial"/>
            <w:caps w:val="0"/>
            <w:webHidden/>
          </w:rPr>
          <w:fldChar w:fldCharType="end"/>
        </w:r>
      </w:hyperlink>
    </w:p>
    <w:p w14:paraId="3166DA47" w14:textId="21D99AD4" w:rsidR="00CF1300" w:rsidRPr="001A686F" w:rsidRDefault="00004E68" w:rsidP="00CF1300">
      <w:pPr>
        <w:pStyle w:val="TOC1"/>
        <w:spacing w:before="120"/>
        <w:rPr>
          <w:rFonts w:ascii="Arial" w:hAnsi="Arial"/>
          <w:caps w:val="0"/>
        </w:rPr>
      </w:pPr>
      <w:hyperlink w:anchor="_Toc159859095" w:history="1">
        <w:r w:rsidR="00CF1300" w:rsidRPr="001A686F">
          <w:rPr>
            <w:rFonts w:ascii="Arial" w:hAnsi="Arial"/>
            <w:caps w:val="0"/>
          </w:rPr>
          <w:t>1.2 Defence Resource Statement</w:t>
        </w:r>
        <w:r w:rsidR="00CF1300" w:rsidRPr="001A686F">
          <w:rPr>
            <w:rFonts w:ascii="Arial" w:hAnsi="Arial"/>
            <w:caps w:val="0"/>
            <w:webHidden/>
          </w:rPr>
          <w:tab/>
        </w:r>
        <w:r w:rsidR="00CF1300" w:rsidRPr="001A686F">
          <w:rPr>
            <w:rFonts w:ascii="Arial" w:hAnsi="Arial"/>
            <w:caps w:val="0"/>
            <w:webHidden/>
          </w:rPr>
          <w:fldChar w:fldCharType="begin"/>
        </w:r>
        <w:r w:rsidR="00CF1300" w:rsidRPr="001A686F">
          <w:rPr>
            <w:rFonts w:ascii="Arial" w:hAnsi="Arial"/>
            <w:caps w:val="0"/>
            <w:webHidden/>
          </w:rPr>
          <w:instrText xml:space="preserve"> PAGEREF _Toc159859095 \h </w:instrText>
        </w:r>
        <w:r w:rsidR="00CF1300" w:rsidRPr="001A686F">
          <w:rPr>
            <w:rFonts w:ascii="Arial" w:hAnsi="Arial"/>
            <w:caps w:val="0"/>
            <w:webHidden/>
          </w:rPr>
        </w:r>
        <w:r w:rsidR="00CF1300" w:rsidRPr="001A686F">
          <w:rPr>
            <w:rFonts w:ascii="Arial" w:hAnsi="Arial"/>
            <w:caps w:val="0"/>
            <w:webHidden/>
          </w:rPr>
          <w:fldChar w:fldCharType="separate"/>
        </w:r>
        <w:r w:rsidR="002533F1">
          <w:rPr>
            <w:rFonts w:ascii="Arial" w:hAnsi="Arial"/>
            <w:caps w:val="0"/>
            <w:webHidden/>
          </w:rPr>
          <w:t>15</w:t>
        </w:r>
        <w:r w:rsidR="00CF1300" w:rsidRPr="001A686F">
          <w:rPr>
            <w:rFonts w:ascii="Arial" w:hAnsi="Arial"/>
            <w:caps w:val="0"/>
            <w:webHidden/>
          </w:rPr>
          <w:fldChar w:fldCharType="end"/>
        </w:r>
      </w:hyperlink>
    </w:p>
    <w:p w14:paraId="51D0A165" w14:textId="5FCBE9E1" w:rsidR="00CF1300" w:rsidRPr="001A686F" w:rsidRDefault="00004E68" w:rsidP="00CF1300">
      <w:pPr>
        <w:pStyle w:val="TOC1"/>
        <w:spacing w:before="120"/>
        <w:rPr>
          <w:rFonts w:ascii="Arial" w:hAnsi="Arial"/>
          <w:caps w:val="0"/>
        </w:rPr>
      </w:pPr>
      <w:hyperlink w:anchor="_Toc159859096" w:history="1">
        <w:r w:rsidR="00CF1300" w:rsidRPr="001A686F">
          <w:rPr>
            <w:rFonts w:ascii="Arial" w:hAnsi="Arial"/>
            <w:caps w:val="0"/>
          </w:rPr>
          <w:t>1.3 Budget Measures</w:t>
        </w:r>
        <w:r w:rsidR="00CF1300" w:rsidRPr="001A686F">
          <w:rPr>
            <w:rFonts w:ascii="Arial" w:hAnsi="Arial"/>
            <w:caps w:val="0"/>
            <w:webHidden/>
          </w:rPr>
          <w:tab/>
        </w:r>
        <w:r w:rsidR="00CF1300" w:rsidRPr="001A686F">
          <w:rPr>
            <w:rFonts w:ascii="Arial" w:hAnsi="Arial"/>
            <w:caps w:val="0"/>
            <w:webHidden/>
          </w:rPr>
          <w:fldChar w:fldCharType="begin"/>
        </w:r>
        <w:r w:rsidR="00CF1300" w:rsidRPr="001A686F">
          <w:rPr>
            <w:rFonts w:ascii="Arial" w:hAnsi="Arial"/>
            <w:caps w:val="0"/>
            <w:webHidden/>
          </w:rPr>
          <w:instrText xml:space="preserve"> PAGEREF _Toc159859096 \h </w:instrText>
        </w:r>
        <w:r w:rsidR="00CF1300" w:rsidRPr="001A686F">
          <w:rPr>
            <w:rFonts w:ascii="Arial" w:hAnsi="Arial"/>
            <w:caps w:val="0"/>
            <w:webHidden/>
          </w:rPr>
        </w:r>
        <w:r w:rsidR="00CF1300" w:rsidRPr="001A686F">
          <w:rPr>
            <w:rFonts w:ascii="Arial" w:hAnsi="Arial"/>
            <w:caps w:val="0"/>
            <w:webHidden/>
          </w:rPr>
          <w:fldChar w:fldCharType="separate"/>
        </w:r>
        <w:r w:rsidR="002533F1">
          <w:rPr>
            <w:rFonts w:ascii="Arial" w:hAnsi="Arial"/>
            <w:caps w:val="0"/>
            <w:webHidden/>
          </w:rPr>
          <w:t>16</w:t>
        </w:r>
        <w:r w:rsidR="00CF1300" w:rsidRPr="001A686F">
          <w:rPr>
            <w:rFonts w:ascii="Arial" w:hAnsi="Arial"/>
            <w:caps w:val="0"/>
            <w:webHidden/>
          </w:rPr>
          <w:fldChar w:fldCharType="end"/>
        </w:r>
      </w:hyperlink>
    </w:p>
    <w:p w14:paraId="4BCC8418" w14:textId="76CDD85B" w:rsidR="00CF1300" w:rsidRPr="001A686F" w:rsidRDefault="00004E68" w:rsidP="00CF1300">
      <w:pPr>
        <w:pStyle w:val="TOC1"/>
        <w:spacing w:before="120"/>
        <w:rPr>
          <w:rFonts w:ascii="Arial" w:hAnsi="Arial"/>
          <w:caps w:val="0"/>
        </w:rPr>
      </w:pPr>
      <w:hyperlink w:anchor="_Toc159859097" w:history="1">
        <w:r w:rsidR="00CF1300" w:rsidRPr="001A686F">
          <w:rPr>
            <w:rFonts w:ascii="Arial" w:hAnsi="Arial"/>
            <w:caps w:val="0"/>
          </w:rPr>
          <w:t>1.4 Key Cost Category Estimates</w:t>
        </w:r>
        <w:r w:rsidR="00CF1300" w:rsidRPr="001A686F">
          <w:rPr>
            <w:rFonts w:ascii="Arial" w:hAnsi="Arial"/>
            <w:caps w:val="0"/>
            <w:webHidden/>
          </w:rPr>
          <w:tab/>
        </w:r>
        <w:r w:rsidR="00CF1300" w:rsidRPr="001A686F">
          <w:rPr>
            <w:rFonts w:ascii="Arial" w:hAnsi="Arial"/>
            <w:caps w:val="0"/>
            <w:webHidden/>
          </w:rPr>
          <w:fldChar w:fldCharType="begin"/>
        </w:r>
        <w:r w:rsidR="00CF1300" w:rsidRPr="001A686F">
          <w:rPr>
            <w:rFonts w:ascii="Arial" w:hAnsi="Arial"/>
            <w:caps w:val="0"/>
            <w:webHidden/>
          </w:rPr>
          <w:instrText xml:space="preserve"> PAGEREF _Toc159859097 \h </w:instrText>
        </w:r>
        <w:r w:rsidR="00CF1300" w:rsidRPr="001A686F">
          <w:rPr>
            <w:rFonts w:ascii="Arial" w:hAnsi="Arial"/>
            <w:caps w:val="0"/>
            <w:webHidden/>
          </w:rPr>
        </w:r>
        <w:r w:rsidR="00CF1300" w:rsidRPr="001A686F">
          <w:rPr>
            <w:rFonts w:ascii="Arial" w:hAnsi="Arial"/>
            <w:caps w:val="0"/>
            <w:webHidden/>
          </w:rPr>
          <w:fldChar w:fldCharType="separate"/>
        </w:r>
        <w:r w:rsidR="002533F1">
          <w:rPr>
            <w:rFonts w:ascii="Arial" w:hAnsi="Arial"/>
            <w:caps w:val="0"/>
            <w:webHidden/>
          </w:rPr>
          <w:t>18</w:t>
        </w:r>
        <w:r w:rsidR="00CF1300" w:rsidRPr="001A686F">
          <w:rPr>
            <w:rFonts w:ascii="Arial" w:hAnsi="Arial"/>
            <w:caps w:val="0"/>
            <w:webHidden/>
          </w:rPr>
          <w:fldChar w:fldCharType="end"/>
        </w:r>
      </w:hyperlink>
    </w:p>
    <w:p w14:paraId="7FF475D7" w14:textId="0506890E" w:rsidR="00CF1300" w:rsidRPr="001A686F" w:rsidRDefault="00004E68" w:rsidP="00CF1300">
      <w:pPr>
        <w:pStyle w:val="TOC1"/>
        <w:spacing w:before="120"/>
        <w:rPr>
          <w:rFonts w:ascii="Arial" w:hAnsi="Arial"/>
          <w:caps w:val="0"/>
        </w:rPr>
      </w:pPr>
      <w:hyperlink w:anchor="_Toc159859098" w:history="1">
        <w:r w:rsidR="00CF1300" w:rsidRPr="001A686F">
          <w:rPr>
            <w:rFonts w:ascii="Arial" w:hAnsi="Arial"/>
            <w:caps w:val="0"/>
          </w:rPr>
          <w:t>1.5 People</w:t>
        </w:r>
        <w:r w:rsidR="00CF1300" w:rsidRPr="001A686F">
          <w:rPr>
            <w:rFonts w:ascii="Arial" w:hAnsi="Arial"/>
            <w:caps w:val="0"/>
            <w:webHidden/>
          </w:rPr>
          <w:tab/>
        </w:r>
        <w:r w:rsidR="00CF1300" w:rsidRPr="001A686F">
          <w:rPr>
            <w:rFonts w:ascii="Arial" w:hAnsi="Arial"/>
            <w:caps w:val="0"/>
            <w:webHidden/>
          </w:rPr>
          <w:fldChar w:fldCharType="begin"/>
        </w:r>
        <w:r w:rsidR="00CF1300" w:rsidRPr="001A686F">
          <w:rPr>
            <w:rFonts w:ascii="Arial" w:hAnsi="Arial"/>
            <w:caps w:val="0"/>
            <w:webHidden/>
          </w:rPr>
          <w:instrText xml:space="preserve"> PAGEREF _Toc159859098 \h </w:instrText>
        </w:r>
        <w:r w:rsidR="00CF1300" w:rsidRPr="001A686F">
          <w:rPr>
            <w:rFonts w:ascii="Arial" w:hAnsi="Arial"/>
            <w:caps w:val="0"/>
            <w:webHidden/>
          </w:rPr>
        </w:r>
        <w:r w:rsidR="00CF1300" w:rsidRPr="001A686F">
          <w:rPr>
            <w:rFonts w:ascii="Arial" w:hAnsi="Arial"/>
            <w:caps w:val="0"/>
            <w:webHidden/>
          </w:rPr>
          <w:fldChar w:fldCharType="separate"/>
        </w:r>
        <w:r w:rsidR="002533F1">
          <w:rPr>
            <w:rFonts w:ascii="Arial" w:hAnsi="Arial"/>
            <w:caps w:val="0"/>
            <w:webHidden/>
          </w:rPr>
          <w:t>20</w:t>
        </w:r>
        <w:r w:rsidR="00CF1300" w:rsidRPr="001A686F">
          <w:rPr>
            <w:rFonts w:ascii="Arial" w:hAnsi="Arial"/>
            <w:caps w:val="0"/>
            <w:webHidden/>
          </w:rPr>
          <w:fldChar w:fldCharType="end"/>
        </w:r>
      </w:hyperlink>
    </w:p>
    <w:p w14:paraId="6059B33D" w14:textId="54D36118" w:rsidR="00CF1300" w:rsidRPr="00E960B0" w:rsidRDefault="00004E68" w:rsidP="00A25490">
      <w:pPr>
        <w:pStyle w:val="TOC3"/>
        <w:rPr>
          <w:rFonts w:ascii="Calibri" w:hAnsi="Calibri" w:cs="Times New Roman"/>
          <w:b/>
          <w:sz w:val="22"/>
          <w:szCs w:val="22"/>
          <w:lang w:val="en-AU"/>
        </w:rPr>
      </w:pPr>
      <w:hyperlink w:anchor="_Toc159859100" w:history="1">
        <w:r w:rsidR="00CF1300" w:rsidRPr="00E960B0">
          <w:rPr>
            <w:rStyle w:val="Hyperlink"/>
            <w:b/>
            <w:color w:val="auto"/>
          </w:rPr>
          <w:t>Section 2: Defence Outcomes and Planned Performance</w:t>
        </w:r>
        <w:r w:rsidR="00CF1300" w:rsidRPr="00E960B0">
          <w:rPr>
            <w:b/>
            <w:webHidden/>
          </w:rPr>
          <w:tab/>
        </w:r>
        <w:r w:rsidR="00CF1300" w:rsidRPr="00E960B0">
          <w:rPr>
            <w:b/>
            <w:webHidden/>
          </w:rPr>
          <w:fldChar w:fldCharType="begin"/>
        </w:r>
        <w:r w:rsidR="00CF1300" w:rsidRPr="00E960B0">
          <w:rPr>
            <w:b/>
            <w:webHidden/>
          </w:rPr>
          <w:instrText xml:space="preserve"> PAGEREF _Toc159859100 \h </w:instrText>
        </w:r>
        <w:r w:rsidR="00CF1300" w:rsidRPr="00E960B0">
          <w:rPr>
            <w:b/>
            <w:webHidden/>
          </w:rPr>
        </w:r>
        <w:r w:rsidR="00CF1300" w:rsidRPr="00E960B0">
          <w:rPr>
            <w:b/>
            <w:webHidden/>
          </w:rPr>
          <w:fldChar w:fldCharType="separate"/>
        </w:r>
        <w:r w:rsidR="002533F1">
          <w:rPr>
            <w:b/>
            <w:webHidden/>
          </w:rPr>
          <w:t>24</w:t>
        </w:r>
        <w:r w:rsidR="00CF1300" w:rsidRPr="00E960B0">
          <w:rPr>
            <w:b/>
            <w:webHidden/>
          </w:rPr>
          <w:fldChar w:fldCharType="end"/>
        </w:r>
      </w:hyperlink>
    </w:p>
    <w:p w14:paraId="6C3E07FE" w14:textId="500FFCE5" w:rsidR="00CF1300" w:rsidRPr="001A686F" w:rsidRDefault="00004E68" w:rsidP="00CF1300">
      <w:pPr>
        <w:pStyle w:val="TOC1"/>
        <w:spacing w:before="120"/>
        <w:rPr>
          <w:rFonts w:ascii="Arial" w:hAnsi="Arial"/>
          <w:caps w:val="0"/>
        </w:rPr>
      </w:pPr>
      <w:hyperlink w:anchor="_Toc159859101" w:history="1">
        <w:r w:rsidR="00CF1300" w:rsidRPr="001A686F">
          <w:rPr>
            <w:rFonts w:ascii="Arial" w:hAnsi="Arial"/>
            <w:caps w:val="0"/>
          </w:rPr>
          <w:t>2.1 Budget Expenses and Performance for Outcome 1</w:t>
        </w:r>
        <w:r w:rsidR="00CF1300" w:rsidRPr="001A686F">
          <w:rPr>
            <w:rFonts w:ascii="Arial" w:hAnsi="Arial"/>
            <w:caps w:val="0"/>
            <w:webHidden/>
          </w:rPr>
          <w:tab/>
        </w:r>
        <w:r w:rsidR="00CF1300" w:rsidRPr="001A686F">
          <w:rPr>
            <w:rFonts w:ascii="Arial" w:hAnsi="Arial"/>
            <w:caps w:val="0"/>
            <w:webHidden/>
          </w:rPr>
          <w:fldChar w:fldCharType="begin"/>
        </w:r>
        <w:r w:rsidR="00CF1300" w:rsidRPr="001A686F">
          <w:rPr>
            <w:rFonts w:ascii="Arial" w:hAnsi="Arial"/>
            <w:caps w:val="0"/>
            <w:webHidden/>
          </w:rPr>
          <w:instrText xml:space="preserve"> PAGEREF _Toc159859101 \h </w:instrText>
        </w:r>
        <w:r w:rsidR="00CF1300" w:rsidRPr="001A686F">
          <w:rPr>
            <w:rFonts w:ascii="Arial" w:hAnsi="Arial"/>
            <w:caps w:val="0"/>
            <w:webHidden/>
          </w:rPr>
        </w:r>
        <w:r w:rsidR="00CF1300" w:rsidRPr="001A686F">
          <w:rPr>
            <w:rFonts w:ascii="Arial" w:hAnsi="Arial"/>
            <w:caps w:val="0"/>
            <w:webHidden/>
          </w:rPr>
          <w:fldChar w:fldCharType="separate"/>
        </w:r>
        <w:r w:rsidR="002533F1">
          <w:rPr>
            <w:rFonts w:ascii="Arial" w:hAnsi="Arial"/>
            <w:caps w:val="0"/>
            <w:webHidden/>
          </w:rPr>
          <w:t>27</w:t>
        </w:r>
        <w:r w:rsidR="00CF1300" w:rsidRPr="001A686F">
          <w:rPr>
            <w:rFonts w:ascii="Arial" w:hAnsi="Arial"/>
            <w:caps w:val="0"/>
            <w:webHidden/>
          </w:rPr>
          <w:fldChar w:fldCharType="end"/>
        </w:r>
      </w:hyperlink>
    </w:p>
    <w:p w14:paraId="22C59D80" w14:textId="063499CC" w:rsidR="00CF1300" w:rsidRPr="001A686F" w:rsidRDefault="00004E68" w:rsidP="00CF1300">
      <w:pPr>
        <w:pStyle w:val="TOC1"/>
        <w:spacing w:before="120"/>
        <w:rPr>
          <w:rFonts w:ascii="Arial" w:hAnsi="Arial"/>
          <w:caps w:val="0"/>
        </w:rPr>
      </w:pPr>
      <w:hyperlink w:anchor="_Toc159859102" w:history="1">
        <w:r w:rsidR="00CF1300" w:rsidRPr="001A686F">
          <w:rPr>
            <w:rFonts w:ascii="Arial" w:hAnsi="Arial"/>
            <w:caps w:val="0"/>
          </w:rPr>
          <w:t>2.2 Budget Expenses and Performance for Outcome 2</w:t>
        </w:r>
        <w:r w:rsidR="00CF1300" w:rsidRPr="001A686F">
          <w:rPr>
            <w:rFonts w:ascii="Arial" w:hAnsi="Arial"/>
            <w:caps w:val="0"/>
            <w:webHidden/>
          </w:rPr>
          <w:tab/>
        </w:r>
        <w:r w:rsidR="00CF1300" w:rsidRPr="001A686F">
          <w:rPr>
            <w:rFonts w:ascii="Arial" w:hAnsi="Arial"/>
            <w:caps w:val="0"/>
            <w:webHidden/>
          </w:rPr>
          <w:fldChar w:fldCharType="begin"/>
        </w:r>
        <w:r w:rsidR="00CF1300" w:rsidRPr="001A686F">
          <w:rPr>
            <w:rFonts w:ascii="Arial" w:hAnsi="Arial"/>
            <w:caps w:val="0"/>
            <w:webHidden/>
          </w:rPr>
          <w:instrText xml:space="preserve"> PAGEREF _Toc159859102 \h </w:instrText>
        </w:r>
        <w:r w:rsidR="00CF1300" w:rsidRPr="001A686F">
          <w:rPr>
            <w:rFonts w:ascii="Arial" w:hAnsi="Arial"/>
            <w:caps w:val="0"/>
            <w:webHidden/>
          </w:rPr>
        </w:r>
        <w:r w:rsidR="00CF1300" w:rsidRPr="001A686F">
          <w:rPr>
            <w:rFonts w:ascii="Arial" w:hAnsi="Arial"/>
            <w:caps w:val="0"/>
            <w:webHidden/>
          </w:rPr>
          <w:fldChar w:fldCharType="separate"/>
        </w:r>
        <w:r w:rsidR="002533F1">
          <w:rPr>
            <w:rFonts w:ascii="Arial" w:hAnsi="Arial"/>
            <w:caps w:val="0"/>
            <w:webHidden/>
          </w:rPr>
          <w:t>37</w:t>
        </w:r>
        <w:r w:rsidR="00CF1300" w:rsidRPr="001A686F">
          <w:rPr>
            <w:rFonts w:ascii="Arial" w:hAnsi="Arial"/>
            <w:caps w:val="0"/>
            <w:webHidden/>
          </w:rPr>
          <w:fldChar w:fldCharType="end"/>
        </w:r>
      </w:hyperlink>
    </w:p>
    <w:p w14:paraId="123805A7" w14:textId="639DA3B7" w:rsidR="00CF1300" w:rsidRPr="001A686F" w:rsidRDefault="00004E68" w:rsidP="00A25490">
      <w:pPr>
        <w:pStyle w:val="TOC3"/>
        <w:rPr>
          <w:rStyle w:val="Hyperlink"/>
          <w:b/>
          <w:color w:val="auto"/>
        </w:rPr>
      </w:pPr>
      <w:hyperlink w:anchor="_Toc159859103" w:history="1">
        <w:r w:rsidR="00CF1300" w:rsidRPr="001A686F">
          <w:rPr>
            <w:rStyle w:val="Hyperlink"/>
            <w:b/>
            <w:color w:val="auto"/>
          </w:rPr>
          <w:t>Section 3: Defence Budgeted Financial Statements</w:t>
        </w:r>
        <w:r w:rsidR="00CF1300" w:rsidRPr="001A686F">
          <w:rPr>
            <w:rStyle w:val="Hyperlink"/>
            <w:b/>
            <w:webHidden/>
            <w:color w:val="auto"/>
          </w:rPr>
          <w:tab/>
        </w:r>
        <w:r w:rsidR="00CF1300" w:rsidRPr="001A686F">
          <w:rPr>
            <w:rStyle w:val="Hyperlink"/>
            <w:b/>
            <w:webHidden/>
            <w:color w:val="auto"/>
          </w:rPr>
          <w:fldChar w:fldCharType="begin"/>
        </w:r>
        <w:r w:rsidR="00CF1300" w:rsidRPr="001A686F">
          <w:rPr>
            <w:rStyle w:val="Hyperlink"/>
            <w:b/>
            <w:webHidden/>
            <w:color w:val="auto"/>
          </w:rPr>
          <w:instrText xml:space="preserve"> PAGEREF _Toc159859103 \h </w:instrText>
        </w:r>
        <w:r w:rsidR="00CF1300" w:rsidRPr="001A686F">
          <w:rPr>
            <w:rStyle w:val="Hyperlink"/>
            <w:b/>
            <w:webHidden/>
            <w:color w:val="auto"/>
          </w:rPr>
        </w:r>
        <w:r w:rsidR="00CF1300" w:rsidRPr="001A686F">
          <w:rPr>
            <w:rStyle w:val="Hyperlink"/>
            <w:b/>
            <w:webHidden/>
            <w:color w:val="auto"/>
          </w:rPr>
          <w:fldChar w:fldCharType="separate"/>
        </w:r>
        <w:r w:rsidR="002533F1">
          <w:rPr>
            <w:rStyle w:val="Hyperlink"/>
            <w:b/>
            <w:webHidden/>
            <w:color w:val="auto"/>
          </w:rPr>
          <w:t>103</w:t>
        </w:r>
        <w:r w:rsidR="00CF1300" w:rsidRPr="001A686F">
          <w:rPr>
            <w:rStyle w:val="Hyperlink"/>
            <w:b/>
            <w:webHidden/>
            <w:color w:val="auto"/>
          </w:rPr>
          <w:fldChar w:fldCharType="end"/>
        </w:r>
      </w:hyperlink>
    </w:p>
    <w:p w14:paraId="0A3D9C75" w14:textId="55A3549D" w:rsidR="00CF1300" w:rsidRPr="001A686F" w:rsidRDefault="00004E68" w:rsidP="00CF1300">
      <w:pPr>
        <w:pStyle w:val="TOC1"/>
        <w:spacing w:before="120"/>
        <w:rPr>
          <w:rFonts w:ascii="Arial" w:hAnsi="Arial"/>
          <w:caps w:val="0"/>
        </w:rPr>
      </w:pPr>
      <w:hyperlink w:anchor="_Toc159859104" w:history="1">
        <w:r w:rsidR="00CF1300" w:rsidRPr="001A686F">
          <w:rPr>
            <w:rFonts w:ascii="Arial" w:hAnsi="Arial"/>
            <w:caps w:val="0"/>
          </w:rPr>
          <w:t>3.1 Grants</w:t>
        </w:r>
        <w:r w:rsidR="00CF1300" w:rsidRPr="001A686F">
          <w:rPr>
            <w:rFonts w:ascii="Arial" w:hAnsi="Arial"/>
            <w:caps w:val="0"/>
            <w:webHidden/>
          </w:rPr>
          <w:tab/>
        </w:r>
        <w:r w:rsidR="00CF1300" w:rsidRPr="001A686F">
          <w:rPr>
            <w:rFonts w:ascii="Arial" w:hAnsi="Arial"/>
            <w:caps w:val="0"/>
            <w:webHidden/>
          </w:rPr>
          <w:fldChar w:fldCharType="begin"/>
        </w:r>
        <w:r w:rsidR="00CF1300" w:rsidRPr="001A686F">
          <w:rPr>
            <w:rFonts w:ascii="Arial" w:hAnsi="Arial"/>
            <w:caps w:val="0"/>
            <w:webHidden/>
          </w:rPr>
          <w:instrText xml:space="preserve"> PAGEREF _Toc159859104 \h </w:instrText>
        </w:r>
        <w:r w:rsidR="00CF1300" w:rsidRPr="001A686F">
          <w:rPr>
            <w:rFonts w:ascii="Arial" w:hAnsi="Arial"/>
            <w:caps w:val="0"/>
            <w:webHidden/>
          </w:rPr>
        </w:r>
        <w:r w:rsidR="00CF1300" w:rsidRPr="001A686F">
          <w:rPr>
            <w:rFonts w:ascii="Arial" w:hAnsi="Arial"/>
            <w:caps w:val="0"/>
            <w:webHidden/>
          </w:rPr>
          <w:fldChar w:fldCharType="separate"/>
        </w:r>
        <w:r w:rsidR="002533F1">
          <w:rPr>
            <w:rFonts w:ascii="Arial" w:hAnsi="Arial"/>
            <w:caps w:val="0"/>
            <w:webHidden/>
          </w:rPr>
          <w:t>103</w:t>
        </w:r>
        <w:r w:rsidR="00CF1300" w:rsidRPr="001A686F">
          <w:rPr>
            <w:rFonts w:ascii="Arial" w:hAnsi="Arial"/>
            <w:caps w:val="0"/>
            <w:webHidden/>
          </w:rPr>
          <w:fldChar w:fldCharType="end"/>
        </w:r>
      </w:hyperlink>
    </w:p>
    <w:p w14:paraId="78A7DE3C" w14:textId="6313657E" w:rsidR="00CF1300" w:rsidRPr="001A686F" w:rsidRDefault="00004E68" w:rsidP="00CF1300">
      <w:pPr>
        <w:pStyle w:val="TOC1"/>
        <w:spacing w:before="120"/>
        <w:rPr>
          <w:rFonts w:ascii="Arial" w:hAnsi="Arial"/>
          <w:caps w:val="0"/>
        </w:rPr>
      </w:pPr>
      <w:hyperlink w:anchor="_Toc159859105" w:history="1">
        <w:r w:rsidR="00CF1300" w:rsidRPr="001A686F">
          <w:rPr>
            <w:rFonts w:ascii="Arial" w:hAnsi="Arial"/>
            <w:caps w:val="0"/>
          </w:rPr>
          <w:t>3.2 Resource Summary</w:t>
        </w:r>
        <w:r w:rsidR="00CF1300" w:rsidRPr="001A686F">
          <w:rPr>
            <w:rFonts w:ascii="Arial" w:hAnsi="Arial"/>
            <w:caps w:val="0"/>
            <w:webHidden/>
          </w:rPr>
          <w:tab/>
        </w:r>
        <w:r w:rsidR="00CF1300" w:rsidRPr="001A686F">
          <w:rPr>
            <w:rFonts w:ascii="Arial" w:hAnsi="Arial"/>
            <w:caps w:val="0"/>
            <w:webHidden/>
          </w:rPr>
          <w:fldChar w:fldCharType="begin"/>
        </w:r>
        <w:r w:rsidR="00CF1300" w:rsidRPr="001A686F">
          <w:rPr>
            <w:rFonts w:ascii="Arial" w:hAnsi="Arial"/>
            <w:caps w:val="0"/>
            <w:webHidden/>
          </w:rPr>
          <w:instrText xml:space="preserve"> PAGEREF _Toc159859105 \h </w:instrText>
        </w:r>
        <w:r w:rsidR="00CF1300" w:rsidRPr="001A686F">
          <w:rPr>
            <w:rFonts w:ascii="Arial" w:hAnsi="Arial"/>
            <w:caps w:val="0"/>
            <w:webHidden/>
          </w:rPr>
        </w:r>
        <w:r w:rsidR="00CF1300" w:rsidRPr="001A686F">
          <w:rPr>
            <w:rFonts w:ascii="Arial" w:hAnsi="Arial"/>
            <w:caps w:val="0"/>
            <w:webHidden/>
          </w:rPr>
          <w:fldChar w:fldCharType="separate"/>
        </w:r>
        <w:r w:rsidR="002533F1">
          <w:rPr>
            <w:rFonts w:ascii="Arial" w:hAnsi="Arial"/>
            <w:caps w:val="0"/>
            <w:webHidden/>
          </w:rPr>
          <w:t>104</w:t>
        </w:r>
        <w:r w:rsidR="00CF1300" w:rsidRPr="001A686F">
          <w:rPr>
            <w:rFonts w:ascii="Arial" w:hAnsi="Arial"/>
            <w:caps w:val="0"/>
            <w:webHidden/>
          </w:rPr>
          <w:fldChar w:fldCharType="end"/>
        </w:r>
      </w:hyperlink>
    </w:p>
    <w:p w14:paraId="5B05AAAB" w14:textId="658FB75D" w:rsidR="00CF1300" w:rsidRPr="001A686F" w:rsidRDefault="00004E68" w:rsidP="00CF1300">
      <w:pPr>
        <w:pStyle w:val="TOC1"/>
        <w:spacing w:before="120"/>
        <w:rPr>
          <w:rFonts w:ascii="Arial" w:hAnsi="Arial"/>
          <w:caps w:val="0"/>
        </w:rPr>
      </w:pPr>
      <w:hyperlink w:anchor="_Toc159859106" w:history="1">
        <w:r w:rsidR="00CF1300" w:rsidRPr="001A686F">
          <w:rPr>
            <w:rFonts w:ascii="Arial" w:hAnsi="Arial"/>
            <w:caps w:val="0"/>
          </w:rPr>
          <w:t>3.3 Budgeted Financial Statements</w:t>
        </w:r>
        <w:r w:rsidR="00CF1300" w:rsidRPr="001A686F">
          <w:rPr>
            <w:rFonts w:ascii="Arial" w:hAnsi="Arial"/>
            <w:caps w:val="0"/>
            <w:webHidden/>
          </w:rPr>
          <w:tab/>
        </w:r>
        <w:r w:rsidR="00CF1300" w:rsidRPr="001A686F">
          <w:rPr>
            <w:rFonts w:ascii="Arial" w:hAnsi="Arial"/>
            <w:caps w:val="0"/>
            <w:webHidden/>
          </w:rPr>
          <w:fldChar w:fldCharType="begin"/>
        </w:r>
        <w:r w:rsidR="00CF1300" w:rsidRPr="001A686F">
          <w:rPr>
            <w:rFonts w:ascii="Arial" w:hAnsi="Arial"/>
            <w:caps w:val="0"/>
            <w:webHidden/>
          </w:rPr>
          <w:instrText xml:space="preserve"> PAGEREF _Toc159859106 \h </w:instrText>
        </w:r>
        <w:r w:rsidR="00CF1300" w:rsidRPr="001A686F">
          <w:rPr>
            <w:rFonts w:ascii="Arial" w:hAnsi="Arial"/>
            <w:caps w:val="0"/>
            <w:webHidden/>
          </w:rPr>
        </w:r>
        <w:r w:rsidR="00CF1300" w:rsidRPr="001A686F">
          <w:rPr>
            <w:rFonts w:ascii="Arial" w:hAnsi="Arial"/>
            <w:caps w:val="0"/>
            <w:webHidden/>
          </w:rPr>
          <w:fldChar w:fldCharType="separate"/>
        </w:r>
        <w:r w:rsidR="002533F1">
          <w:rPr>
            <w:rFonts w:ascii="Arial" w:hAnsi="Arial"/>
            <w:caps w:val="0"/>
            <w:webHidden/>
          </w:rPr>
          <w:t>106</w:t>
        </w:r>
        <w:r w:rsidR="00CF1300" w:rsidRPr="001A686F">
          <w:rPr>
            <w:rFonts w:ascii="Arial" w:hAnsi="Arial"/>
            <w:caps w:val="0"/>
            <w:webHidden/>
          </w:rPr>
          <w:fldChar w:fldCharType="end"/>
        </w:r>
      </w:hyperlink>
    </w:p>
    <w:p w14:paraId="03713A2A" w14:textId="77777777" w:rsidR="00E732C9" w:rsidRPr="00B56FAA" w:rsidRDefault="00CF1300" w:rsidP="00CF1300">
      <w:pPr>
        <w:pStyle w:val="TOC1"/>
      </w:pPr>
      <w:r w:rsidRPr="001A686F">
        <w:rPr>
          <w:rFonts w:ascii="Arial" w:hAnsi="Arial"/>
          <w:b/>
          <w:caps w:val="0"/>
        </w:rPr>
        <w:fldChar w:fldCharType="end"/>
      </w:r>
    </w:p>
    <w:p w14:paraId="29D12125" w14:textId="77777777" w:rsidR="008742BA" w:rsidRPr="00B56FAA" w:rsidRDefault="00F9005F" w:rsidP="00A25490">
      <w:pPr>
        <w:pStyle w:val="TOC3"/>
      </w:pPr>
      <w:r w:rsidRPr="00B56FAA">
        <w:br w:type="page"/>
      </w:r>
      <w:bookmarkStart w:id="455" w:name="_Toc353889402"/>
      <w:bookmarkStart w:id="456" w:name="_Toc354470958"/>
      <w:bookmarkStart w:id="457" w:name="_Toc354565558"/>
      <w:bookmarkStart w:id="458" w:name="_Toc354580481"/>
      <w:bookmarkStart w:id="459" w:name="_Toc354591382"/>
      <w:bookmarkStart w:id="460" w:name="_Toc354734111"/>
      <w:bookmarkStart w:id="461" w:name="_Toc355020210"/>
      <w:bookmarkStart w:id="462" w:name="_Toc355262886"/>
      <w:bookmarkStart w:id="463" w:name="_Toc355271241"/>
      <w:bookmarkStart w:id="464" w:name="_Toc355343310"/>
      <w:bookmarkStart w:id="465" w:name="_Toc355620798"/>
      <w:bookmarkStart w:id="466" w:name="_Toc359245767"/>
    </w:p>
    <w:p w14:paraId="56F151A5" w14:textId="77777777" w:rsidR="008742BA" w:rsidRPr="00B56FAA" w:rsidRDefault="008742BA" w:rsidP="008742BA">
      <w:pPr>
        <w:ind w:left="2" w:firstLine="1"/>
        <w:jc w:val="center"/>
        <w:rPr>
          <w:lang w:val="en-AU"/>
        </w:rPr>
      </w:pPr>
    </w:p>
    <w:p w14:paraId="02D6128B" w14:textId="77777777" w:rsidR="008742BA" w:rsidRPr="00B56FAA" w:rsidRDefault="008742BA" w:rsidP="008742BA">
      <w:pPr>
        <w:ind w:left="2" w:firstLine="1"/>
        <w:jc w:val="center"/>
        <w:rPr>
          <w:lang w:val="en-AU"/>
        </w:rPr>
      </w:pPr>
    </w:p>
    <w:p w14:paraId="69920BAD" w14:textId="77777777" w:rsidR="008742BA" w:rsidRPr="00B56FAA" w:rsidRDefault="008742BA" w:rsidP="008742BA">
      <w:pPr>
        <w:ind w:left="2" w:firstLine="1"/>
        <w:jc w:val="center"/>
        <w:rPr>
          <w:lang w:val="en-AU"/>
        </w:rPr>
      </w:pPr>
    </w:p>
    <w:p w14:paraId="22D6D9FF" w14:textId="77777777" w:rsidR="008742BA" w:rsidRPr="00B56FAA" w:rsidRDefault="008742BA" w:rsidP="008742BA">
      <w:pPr>
        <w:ind w:left="2" w:firstLine="1"/>
        <w:jc w:val="center"/>
        <w:rPr>
          <w:lang w:val="en-AU"/>
        </w:rPr>
      </w:pPr>
    </w:p>
    <w:p w14:paraId="2775D691" w14:textId="77777777" w:rsidR="008742BA" w:rsidRPr="00B56FAA" w:rsidRDefault="008742BA" w:rsidP="008742BA">
      <w:pPr>
        <w:ind w:left="2" w:firstLine="1"/>
        <w:jc w:val="center"/>
        <w:rPr>
          <w:lang w:val="en-AU"/>
        </w:rPr>
      </w:pPr>
    </w:p>
    <w:p w14:paraId="6EB544BA" w14:textId="77777777" w:rsidR="008742BA" w:rsidRPr="00B56FAA" w:rsidRDefault="008742BA" w:rsidP="008742BA">
      <w:pPr>
        <w:ind w:left="2" w:firstLine="1"/>
        <w:jc w:val="center"/>
        <w:rPr>
          <w:lang w:val="en-AU"/>
        </w:rPr>
      </w:pPr>
    </w:p>
    <w:p w14:paraId="3B1A7B6C" w14:textId="77777777" w:rsidR="008742BA" w:rsidRPr="00B56FAA" w:rsidRDefault="008742BA" w:rsidP="008742BA">
      <w:pPr>
        <w:ind w:left="2" w:firstLine="1"/>
        <w:jc w:val="center"/>
        <w:rPr>
          <w:lang w:val="en-AU"/>
        </w:rPr>
      </w:pPr>
    </w:p>
    <w:p w14:paraId="01FDAEC9" w14:textId="77777777" w:rsidR="008742BA" w:rsidRPr="00B56FAA" w:rsidRDefault="008742BA" w:rsidP="008742BA">
      <w:pPr>
        <w:ind w:left="2" w:firstLine="1"/>
        <w:jc w:val="center"/>
        <w:rPr>
          <w:lang w:val="en-AU"/>
        </w:rPr>
      </w:pPr>
    </w:p>
    <w:p w14:paraId="7C27129B" w14:textId="77777777" w:rsidR="008742BA" w:rsidRPr="00B56FAA" w:rsidRDefault="008742BA" w:rsidP="008742BA">
      <w:pPr>
        <w:ind w:left="2" w:firstLine="1"/>
        <w:jc w:val="center"/>
        <w:rPr>
          <w:lang w:val="en-AU"/>
        </w:rPr>
      </w:pPr>
    </w:p>
    <w:p w14:paraId="0201D05B" w14:textId="77777777" w:rsidR="008742BA" w:rsidRPr="00B56FAA" w:rsidRDefault="008742BA" w:rsidP="008742BA">
      <w:pPr>
        <w:ind w:left="2" w:firstLine="1"/>
        <w:jc w:val="center"/>
        <w:rPr>
          <w:lang w:val="en-AU"/>
        </w:rPr>
      </w:pPr>
    </w:p>
    <w:p w14:paraId="1AA2E9D5" w14:textId="77777777" w:rsidR="008742BA" w:rsidRPr="00B56FAA" w:rsidRDefault="008742BA" w:rsidP="008742BA">
      <w:pPr>
        <w:ind w:left="2" w:firstLine="1"/>
        <w:jc w:val="center"/>
        <w:rPr>
          <w:lang w:val="en-AU"/>
        </w:rPr>
      </w:pPr>
    </w:p>
    <w:p w14:paraId="76F161C0" w14:textId="77777777" w:rsidR="008742BA" w:rsidRPr="00B56FAA" w:rsidRDefault="008742BA" w:rsidP="008742BA">
      <w:pPr>
        <w:ind w:left="2" w:firstLine="1"/>
        <w:jc w:val="center"/>
        <w:rPr>
          <w:lang w:val="en-AU"/>
        </w:rPr>
      </w:pPr>
    </w:p>
    <w:p w14:paraId="253FFDA2" w14:textId="77777777" w:rsidR="008742BA" w:rsidRPr="00B56FAA" w:rsidRDefault="008742BA" w:rsidP="008742BA">
      <w:pPr>
        <w:ind w:left="2" w:firstLine="1"/>
        <w:jc w:val="center"/>
        <w:rPr>
          <w:lang w:val="en-AU"/>
        </w:rPr>
      </w:pPr>
      <w:r w:rsidRPr="00B56FAA">
        <w:rPr>
          <w:lang w:val="en-AU"/>
        </w:rPr>
        <w:t>This page intentionally left blank.</w:t>
      </w:r>
    </w:p>
    <w:p w14:paraId="22F2057F" w14:textId="77777777" w:rsidR="00EA1050" w:rsidRPr="00B56FAA" w:rsidRDefault="008742BA" w:rsidP="000F2409">
      <w:pPr>
        <w:spacing w:before="0" w:after="320"/>
        <w:rPr>
          <w:rFonts w:ascii="Arial" w:hAnsi="Arial"/>
          <w:b/>
          <w:sz w:val="36"/>
          <w:szCs w:val="36"/>
        </w:rPr>
      </w:pPr>
      <w:bookmarkStart w:id="467" w:name="_Toc374969021"/>
      <w:bookmarkStart w:id="468" w:name="_Toc375310533"/>
      <w:bookmarkStart w:id="469" w:name="_Toc384298212"/>
      <w:bookmarkStart w:id="470" w:name="_Toc507595414"/>
      <w:r w:rsidRPr="00B56FAA">
        <w:rPr>
          <w:lang w:val="en-AU"/>
        </w:rPr>
        <w:br w:type="page"/>
      </w:r>
      <w:bookmarkStart w:id="471" w:name="_Toc501442128"/>
      <w:bookmarkStart w:id="472" w:name="_Toc503861101"/>
      <w:bookmarkStart w:id="473" w:name="_Toc340655857"/>
      <w:bookmarkStart w:id="474" w:name="_Toc340656265"/>
      <w:bookmarkStart w:id="475" w:name="_Toc340656895"/>
      <w:bookmarkStart w:id="476" w:name="_Toc340665295"/>
      <w:bookmarkStart w:id="477" w:name="_Toc340669819"/>
      <w:bookmarkStart w:id="478" w:name="_Toc346545726"/>
      <w:bookmarkStart w:id="479" w:name="_Toc346622280"/>
      <w:bookmarkStart w:id="480" w:name="_Toc346692740"/>
      <w:bookmarkStart w:id="481" w:name="_Toc346713083"/>
      <w:bookmarkStart w:id="482" w:name="_Toc346788752"/>
      <w:bookmarkStart w:id="483" w:name="_Toc346824128"/>
      <w:bookmarkStart w:id="484" w:name="_Toc346891299"/>
      <w:bookmarkStart w:id="485" w:name="_Toc347238751"/>
      <w:bookmarkStart w:id="486" w:name="_Toc347415200"/>
      <w:bookmarkStart w:id="487" w:name="_Toc347473799"/>
      <w:bookmarkStart w:id="488" w:name="_Toc347481825"/>
      <w:bookmarkStart w:id="489" w:name="_Toc347490060"/>
      <w:bookmarkStart w:id="490" w:name="_Toc347744286"/>
      <w:bookmarkStart w:id="491" w:name="_Toc347754528"/>
      <w:bookmarkStart w:id="492" w:name="_Toc347757654"/>
      <w:bookmarkStart w:id="493" w:name="_Toc347764596"/>
      <w:bookmarkStart w:id="494" w:name="_Toc347766457"/>
      <w:bookmarkStart w:id="495" w:name="_Toc353889403"/>
      <w:bookmarkStart w:id="496" w:name="_Toc354470959"/>
      <w:bookmarkStart w:id="497" w:name="_Toc354565559"/>
      <w:bookmarkStart w:id="498" w:name="_Toc354580482"/>
      <w:bookmarkStart w:id="499" w:name="_Toc354591383"/>
      <w:bookmarkStart w:id="500" w:name="_Toc354734112"/>
      <w:bookmarkStart w:id="501" w:name="_Toc355020211"/>
      <w:bookmarkStart w:id="502" w:name="_Toc355262887"/>
      <w:bookmarkStart w:id="503" w:name="_Toc355271242"/>
      <w:bookmarkStart w:id="504" w:name="_Toc355343311"/>
      <w:bookmarkStart w:id="505" w:name="_Toc355620799"/>
      <w:bookmarkStart w:id="506" w:name="_Toc359245768"/>
      <w:bookmarkStart w:id="507" w:name="_Toc374969022"/>
      <w:bookmarkStart w:id="508" w:name="_Toc375310534"/>
      <w:bookmarkStart w:id="509" w:name="_Toc384298213"/>
      <w:bookmarkStart w:id="510" w:name="_Toc476581143"/>
      <w:bookmarkStart w:id="511" w:name="_Toc507595415"/>
      <w:bookmarkStart w:id="512" w:name="_Toc536089223"/>
      <w:bookmarkStart w:id="513" w:name="_Toc536089483"/>
      <w:bookmarkStart w:id="514" w:name="_Toc536089589"/>
      <w:bookmarkStart w:id="515" w:name="_Toc340655858"/>
      <w:bookmarkStart w:id="516" w:name="_Toc340656266"/>
      <w:bookmarkStart w:id="517" w:name="_Toc340656896"/>
      <w:bookmarkStart w:id="518" w:name="_Toc340665296"/>
      <w:bookmarkStart w:id="519" w:name="_Toc340669820"/>
      <w:bookmarkStart w:id="520" w:name="_Toc346545727"/>
      <w:bookmarkStart w:id="521" w:name="_Toc346622281"/>
      <w:bookmarkStart w:id="522" w:name="_Toc346692741"/>
      <w:bookmarkStart w:id="523" w:name="_Toc346713084"/>
      <w:bookmarkStart w:id="524" w:name="_Toc346788753"/>
      <w:bookmarkStart w:id="525" w:name="_Toc346824129"/>
      <w:bookmarkStart w:id="526" w:name="_Toc346891300"/>
      <w:bookmarkStart w:id="527" w:name="_Toc347238752"/>
      <w:bookmarkStart w:id="528" w:name="_Toc347415201"/>
      <w:bookmarkStart w:id="529" w:name="_Toc347473800"/>
      <w:bookmarkStart w:id="530" w:name="_Toc347481826"/>
      <w:bookmarkStart w:id="531" w:name="_Toc347490061"/>
      <w:bookmarkStart w:id="532" w:name="_Toc347744287"/>
      <w:bookmarkStart w:id="533" w:name="_Toc347754529"/>
      <w:bookmarkStart w:id="534" w:name="_Toc347757655"/>
      <w:bookmarkStart w:id="535" w:name="_Toc347764597"/>
      <w:bookmarkStart w:id="536" w:name="_Toc347766458"/>
      <w:bookmarkStart w:id="537" w:name="_Toc353889404"/>
      <w:bookmarkStart w:id="538" w:name="_Toc354470960"/>
      <w:bookmarkStart w:id="539" w:name="_Toc354565560"/>
      <w:bookmarkStart w:id="540" w:name="_Toc354580483"/>
      <w:bookmarkStart w:id="541" w:name="_Toc354591384"/>
      <w:bookmarkStart w:id="542" w:name="_Toc354734113"/>
      <w:bookmarkStart w:id="543" w:name="_Toc355020212"/>
      <w:bookmarkStart w:id="544" w:name="_Toc355262888"/>
      <w:bookmarkStart w:id="545" w:name="_Toc355271243"/>
      <w:bookmarkStart w:id="546" w:name="_Toc355343312"/>
      <w:bookmarkStart w:id="547" w:name="_Toc355620800"/>
      <w:bookmarkStart w:id="548" w:name="_Toc359245769"/>
      <w:bookmarkStart w:id="549" w:name="_Toc374969023"/>
      <w:bookmarkStart w:id="550" w:name="_Toc375310535"/>
      <w:bookmarkStart w:id="551" w:name="_Toc384298214"/>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r w:rsidR="00EA1050" w:rsidRPr="00B56FAA">
        <w:rPr>
          <w:rFonts w:ascii="Arial" w:hAnsi="Arial"/>
          <w:b/>
          <w:sz w:val="36"/>
          <w:szCs w:val="36"/>
        </w:rPr>
        <w:lastRenderedPageBreak/>
        <w:t>Defence</w:t>
      </w:r>
      <w:bookmarkEnd w:id="471"/>
      <w:bookmarkEnd w:id="472"/>
    </w:p>
    <w:p w14:paraId="39C9A437" w14:textId="77777777" w:rsidR="00EA1050" w:rsidRPr="00B56FAA" w:rsidRDefault="00EA1050" w:rsidP="00BE0A88">
      <w:pPr>
        <w:pStyle w:val="Heading2level3"/>
        <w:spacing w:before="120" w:after="120"/>
        <w:rPr>
          <w:sz w:val="26"/>
          <w:szCs w:val="26"/>
        </w:rPr>
      </w:pPr>
      <w:bookmarkStart w:id="552" w:name="_Toc501442129"/>
      <w:bookmarkStart w:id="553" w:name="_Toc503861102"/>
      <w:bookmarkStart w:id="554" w:name="_Toc534886325"/>
      <w:bookmarkStart w:id="555" w:name="_Toc534886518"/>
      <w:bookmarkStart w:id="556" w:name="_Toc534908445"/>
      <w:bookmarkStart w:id="557" w:name="_Toc23502282"/>
      <w:bookmarkStart w:id="558" w:name="_Toc29898862"/>
      <w:bookmarkStart w:id="559" w:name="_Toc69729039"/>
      <w:bookmarkStart w:id="560" w:name="_Toc97747822"/>
      <w:bookmarkStart w:id="561" w:name="_Toc108088933"/>
      <w:bookmarkStart w:id="562" w:name="_Toc108089012"/>
      <w:bookmarkStart w:id="563" w:name="_Toc108089407"/>
      <w:bookmarkStart w:id="564" w:name="_Toc109227292"/>
      <w:bookmarkStart w:id="565" w:name="_Toc158896245"/>
      <w:bookmarkStart w:id="566" w:name="_Toc158896302"/>
      <w:bookmarkStart w:id="567" w:name="_Toc159499676"/>
      <w:bookmarkStart w:id="568" w:name="_Toc159857673"/>
      <w:bookmarkStart w:id="569" w:name="_Toc159857752"/>
      <w:bookmarkStart w:id="570" w:name="_Toc159858148"/>
      <w:bookmarkStart w:id="571" w:name="_Toc159858813"/>
      <w:bookmarkStart w:id="572" w:name="_Toc159858883"/>
      <w:bookmarkStart w:id="573" w:name="_Toc159859093"/>
      <w:bookmarkStart w:id="574" w:name="_Toc159859245"/>
      <w:bookmarkStart w:id="575" w:name="_Toc159862283"/>
      <w:bookmarkStart w:id="576" w:name="_Toc159862473"/>
      <w:bookmarkStart w:id="577" w:name="_Toc340655859"/>
      <w:bookmarkStart w:id="578" w:name="_Toc340656267"/>
      <w:bookmarkStart w:id="579" w:name="_Toc340656897"/>
      <w:bookmarkStart w:id="580" w:name="_Toc340665297"/>
      <w:bookmarkStart w:id="581" w:name="_Toc340669821"/>
      <w:bookmarkStart w:id="582" w:name="_Toc346545728"/>
      <w:bookmarkStart w:id="583" w:name="_Toc346622282"/>
      <w:bookmarkStart w:id="584" w:name="_Toc346692742"/>
      <w:bookmarkStart w:id="585" w:name="_Toc346713085"/>
      <w:bookmarkStart w:id="586" w:name="_Toc346788754"/>
      <w:bookmarkStart w:id="587" w:name="_Toc346824130"/>
      <w:bookmarkStart w:id="588" w:name="_Toc346891301"/>
      <w:bookmarkStart w:id="589" w:name="_Toc347238753"/>
      <w:bookmarkStart w:id="590" w:name="_Toc347415202"/>
      <w:bookmarkStart w:id="591" w:name="_Toc347473801"/>
      <w:bookmarkStart w:id="592" w:name="_Toc347481827"/>
      <w:bookmarkStart w:id="593" w:name="_Toc347490062"/>
      <w:bookmarkStart w:id="594" w:name="_Toc347744288"/>
      <w:bookmarkStart w:id="595" w:name="_Toc347754530"/>
      <w:bookmarkStart w:id="596" w:name="_Toc347757656"/>
      <w:bookmarkStart w:id="597" w:name="_Toc347764598"/>
      <w:bookmarkStart w:id="598" w:name="_Toc347766459"/>
      <w:bookmarkStart w:id="599" w:name="_Toc353889405"/>
      <w:bookmarkStart w:id="600" w:name="_Toc354470961"/>
      <w:bookmarkStart w:id="601" w:name="_Toc354565561"/>
      <w:bookmarkStart w:id="602" w:name="_Toc354580484"/>
      <w:bookmarkStart w:id="603" w:name="_Toc354591385"/>
      <w:bookmarkStart w:id="604" w:name="_Toc354734114"/>
      <w:bookmarkStart w:id="605" w:name="_Toc355020213"/>
      <w:bookmarkStart w:id="606" w:name="_Toc355262889"/>
      <w:bookmarkStart w:id="607" w:name="_Toc355271244"/>
      <w:bookmarkStart w:id="608" w:name="_Toc355343313"/>
      <w:bookmarkStart w:id="609" w:name="_Toc355620801"/>
      <w:bookmarkStart w:id="610" w:name="_Toc359245770"/>
      <w:bookmarkStart w:id="611" w:name="_Toc374969024"/>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r w:rsidRPr="00B56FAA">
        <w:rPr>
          <w:rStyle w:val="Heading2Char"/>
          <w:sz w:val="26"/>
          <w:szCs w:val="26"/>
        </w:rPr>
        <w:t>Section</w:t>
      </w:r>
      <w:r w:rsidR="00D51782" w:rsidRPr="00B56FAA">
        <w:rPr>
          <w:sz w:val="26"/>
          <w:szCs w:val="26"/>
        </w:rPr>
        <w:t xml:space="preserve"> 1: Defence Overview and R</w:t>
      </w:r>
      <w:r w:rsidRPr="00B56FAA">
        <w:rPr>
          <w:sz w:val="26"/>
          <w:szCs w:val="26"/>
        </w:rPr>
        <w:t>esources</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14:paraId="07ADABF9" w14:textId="77777777" w:rsidR="00EA1050" w:rsidRPr="00CF1300" w:rsidRDefault="00EA1050" w:rsidP="00CF1300">
      <w:pPr>
        <w:pStyle w:val="Heading4"/>
      </w:pPr>
      <w:bookmarkStart w:id="612" w:name="_Toc501442130"/>
      <w:bookmarkStart w:id="613" w:name="_Toc503861103"/>
      <w:bookmarkStart w:id="614" w:name="_Toc534886326"/>
      <w:bookmarkStart w:id="615" w:name="_Toc534886519"/>
      <w:bookmarkStart w:id="616" w:name="_Toc534908446"/>
      <w:bookmarkStart w:id="617" w:name="_Toc23502283"/>
      <w:bookmarkStart w:id="618" w:name="_Toc29898863"/>
      <w:bookmarkStart w:id="619" w:name="_Toc69729040"/>
      <w:bookmarkStart w:id="620" w:name="_Toc97747823"/>
      <w:bookmarkStart w:id="621" w:name="_Toc108088934"/>
      <w:bookmarkStart w:id="622" w:name="_Toc108089013"/>
      <w:bookmarkStart w:id="623" w:name="_Toc108089408"/>
      <w:bookmarkStart w:id="624" w:name="_Toc159499677"/>
      <w:bookmarkStart w:id="625" w:name="_Toc159859094"/>
      <w:bookmarkStart w:id="626" w:name="_Toc159859246"/>
      <w:r w:rsidRPr="00CF1300">
        <w:t>1</w:t>
      </w:r>
      <w:r w:rsidR="00D51782" w:rsidRPr="00CF1300">
        <w:t>.1 Strategic Direction S</w:t>
      </w:r>
      <w:r w:rsidRPr="00CF1300">
        <w:t>tatement</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p>
    <w:p w14:paraId="22360432" w14:textId="77777777" w:rsidR="00647E33" w:rsidRPr="005349D2" w:rsidRDefault="00647E33" w:rsidP="00647E33">
      <w:pPr>
        <w:spacing w:before="120" w:after="120"/>
        <w:rPr>
          <w:rFonts w:eastAsia="Calibri" w:cs="Calibri"/>
          <w:szCs w:val="20"/>
          <w:lang w:val="en-AU" w:eastAsia="en-US"/>
        </w:rPr>
      </w:pPr>
      <w:bookmarkStart w:id="627" w:name="_Toc375310536"/>
      <w:bookmarkStart w:id="628" w:name="_Toc384298215"/>
      <w:bookmarkStart w:id="629" w:name="_Toc507595417"/>
      <w:bookmarkStart w:id="630" w:name="_Toc536089225"/>
      <w:bookmarkStart w:id="631" w:name="_Toc536089485"/>
      <w:bookmarkStart w:id="632" w:name="_Toc536089591"/>
      <w:r w:rsidRPr="005349D2">
        <w:rPr>
          <w:rFonts w:eastAsia="Calibri" w:cs="Calibri"/>
          <w:szCs w:val="20"/>
          <w:lang w:val="en-AU" w:eastAsia="en-US"/>
        </w:rPr>
        <w:t xml:space="preserve">The </w:t>
      </w:r>
      <w:r w:rsidRPr="005349D2">
        <w:rPr>
          <w:rFonts w:eastAsia="Calibri" w:cs="Calibri"/>
          <w:i/>
          <w:szCs w:val="20"/>
          <w:lang w:val="en-AU" w:eastAsia="en-US"/>
        </w:rPr>
        <w:t>2024 National Defence Strategy</w:t>
      </w:r>
      <w:r w:rsidRPr="005349D2">
        <w:rPr>
          <w:rFonts w:eastAsia="Calibri" w:cs="Calibri"/>
          <w:szCs w:val="20"/>
          <w:lang w:val="en-AU" w:eastAsia="en-US"/>
        </w:rPr>
        <w:t xml:space="preserve"> sets out the Government’s strategic framework to guide the significant and urgent changes required to transform Defence’s capability, force posture, force structure, acquisition, workforce and international engagement. </w:t>
      </w:r>
    </w:p>
    <w:p w14:paraId="0D4BC75C" w14:textId="77777777" w:rsidR="00647E33" w:rsidRPr="005349D2" w:rsidRDefault="00647E33" w:rsidP="00647E33">
      <w:pPr>
        <w:spacing w:before="120" w:after="120"/>
        <w:rPr>
          <w:rFonts w:eastAsia="Calibri" w:cs="Calibri"/>
          <w:szCs w:val="20"/>
          <w:lang w:val="en-AU" w:eastAsia="en-US"/>
        </w:rPr>
      </w:pPr>
      <w:r w:rsidRPr="005349D2">
        <w:rPr>
          <w:rFonts w:eastAsia="Calibri" w:cs="Calibri"/>
          <w:szCs w:val="20"/>
          <w:lang w:val="en-AU" w:eastAsia="en-US"/>
        </w:rPr>
        <w:t xml:space="preserve">The </w:t>
      </w:r>
      <w:r w:rsidRPr="005349D2">
        <w:rPr>
          <w:rFonts w:eastAsia="Calibri" w:cs="Calibri"/>
          <w:i/>
          <w:szCs w:val="20"/>
          <w:lang w:val="en-AU" w:eastAsia="en-US"/>
        </w:rPr>
        <w:t>2024 National Defence Strategy</w:t>
      </w:r>
      <w:r w:rsidRPr="005349D2">
        <w:rPr>
          <w:rFonts w:eastAsia="Calibri" w:cs="Calibri"/>
          <w:szCs w:val="20"/>
          <w:lang w:val="en-AU" w:eastAsia="en-US"/>
        </w:rPr>
        <w:t xml:space="preserve"> also details the concept of </w:t>
      </w:r>
      <w:r w:rsidRPr="005349D2">
        <w:rPr>
          <w:rFonts w:eastAsia="Calibri" w:cs="Calibri"/>
          <w:i/>
          <w:szCs w:val="20"/>
          <w:lang w:val="en-AU" w:eastAsia="en-US"/>
        </w:rPr>
        <w:t xml:space="preserve">National Defence </w:t>
      </w:r>
      <w:r w:rsidRPr="005349D2">
        <w:rPr>
          <w:rFonts w:eastAsia="Calibri" w:cs="Calibri"/>
          <w:szCs w:val="20"/>
          <w:lang w:val="en-AU" w:eastAsia="en-US"/>
        </w:rPr>
        <w:t>– a coordinated, whole</w:t>
      </w:r>
      <w:r w:rsidRPr="005349D2">
        <w:rPr>
          <w:rFonts w:eastAsia="Calibri" w:cs="Calibri"/>
          <w:szCs w:val="20"/>
          <w:lang w:val="en-AU" w:eastAsia="en-US"/>
        </w:rPr>
        <w:noBreakHyphen/>
        <w:t>of</w:t>
      </w:r>
      <w:r w:rsidRPr="005349D2">
        <w:rPr>
          <w:rFonts w:eastAsia="Calibri" w:cs="Calibri"/>
          <w:szCs w:val="20"/>
          <w:lang w:val="en-AU" w:eastAsia="en-US"/>
        </w:rPr>
        <w:noBreakHyphen/>
        <w:t xml:space="preserve">government and whole-of-nation approach that harnesses all arms of national power to defend Australia and advance our interests. </w:t>
      </w:r>
    </w:p>
    <w:p w14:paraId="2F2BDC0E" w14:textId="144A230E" w:rsidR="00647E33" w:rsidRPr="005349D2" w:rsidRDefault="00647E33" w:rsidP="00647E33">
      <w:pPr>
        <w:spacing w:before="120" w:after="120"/>
        <w:rPr>
          <w:rFonts w:eastAsia="Calibri" w:cs="Calibri"/>
          <w:i/>
          <w:szCs w:val="20"/>
          <w:lang w:val="en-AU" w:eastAsia="en-US"/>
        </w:rPr>
      </w:pPr>
      <w:r w:rsidRPr="005349D2">
        <w:rPr>
          <w:rFonts w:eastAsia="Calibri" w:cs="Calibri"/>
          <w:szCs w:val="20"/>
          <w:lang w:val="en-AU" w:eastAsia="en-US"/>
        </w:rPr>
        <w:t xml:space="preserve">To guide Defence’s contribution to </w:t>
      </w:r>
      <w:r w:rsidRPr="005349D2">
        <w:rPr>
          <w:rFonts w:eastAsia="Calibri" w:cs="Calibri"/>
          <w:i/>
          <w:szCs w:val="20"/>
          <w:lang w:val="en-AU" w:eastAsia="en-US"/>
        </w:rPr>
        <w:t>National Defence</w:t>
      </w:r>
      <w:r w:rsidRPr="005349D2">
        <w:rPr>
          <w:rFonts w:eastAsia="Calibri" w:cs="Calibri"/>
          <w:szCs w:val="20"/>
          <w:lang w:val="en-AU" w:eastAsia="en-US"/>
        </w:rPr>
        <w:t>, the Government has adopted the Strategy of Denial as the cornerstone of Defence planning. Thi</w:t>
      </w:r>
      <w:r w:rsidR="008922EE">
        <w:rPr>
          <w:rFonts w:eastAsia="Calibri" w:cs="Calibri"/>
          <w:szCs w:val="20"/>
          <w:lang w:val="en-AU" w:eastAsia="en-US"/>
        </w:rPr>
        <w:t>s approach aims to deter</w:t>
      </w:r>
      <w:r w:rsidRPr="005349D2">
        <w:rPr>
          <w:rFonts w:eastAsia="Calibri" w:cs="Calibri"/>
          <w:szCs w:val="20"/>
          <w:lang w:val="en-AU" w:eastAsia="en-US"/>
        </w:rPr>
        <w:t xml:space="preserve"> a potential adversary from taking actions that would be inimical to Australia’s interests and regional stability. The Strategy of Denial involves working with the U</w:t>
      </w:r>
      <w:r w:rsidR="00C04326">
        <w:rPr>
          <w:rFonts w:eastAsia="Calibri" w:cs="Calibri"/>
          <w:szCs w:val="20"/>
          <w:lang w:val="en-AU" w:eastAsia="en-US"/>
        </w:rPr>
        <w:t xml:space="preserve">nited </w:t>
      </w:r>
      <w:r w:rsidRPr="005349D2">
        <w:rPr>
          <w:rFonts w:eastAsia="Calibri" w:cs="Calibri"/>
          <w:szCs w:val="20"/>
          <w:lang w:val="en-AU" w:eastAsia="en-US"/>
        </w:rPr>
        <w:t>S</w:t>
      </w:r>
      <w:r w:rsidR="00C04326">
        <w:rPr>
          <w:rFonts w:eastAsia="Calibri" w:cs="Calibri"/>
          <w:szCs w:val="20"/>
          <w:lang w:val="en-AU" w:eastAsia="en-US"/>
        </w:rPr>
        <w:t>tates</w:t>
      </w:r>
      <w:r w:rsidRPr="005349D2">
        <w:rPr>
          <w:rFonts w:eastAsia="Calibri" w:cs="Calibri"/>
          <w:szCs w:val="20"/>
          <w:lang w:val="en-AU" w:eastAsia="en-US"/>
        </w:rPr>
        <w:t xml:space="preserve"> and key partners to ensure no country attempts to achieve its regional objectives through military action. By signalling a credible ability to hold potential adversary forces at risk, this strategy also seeks to deter attempts to coerce Australia through force.</w:t>
      </w:r>
    </w:p>
    <w:p w14:paraId="56152C94" w14:textId="77777777" w:rsidR="00FF44D6" w:rsidRPr="00C34C5A" w:rsidRDefault="00FF44D6" w:rsidP="00FF44D6">
      <w:pPr>
        <w:spacing w:before="120" w:after="120"/>
        <w:rPr>
          <w:rFonts w:eastAsia="Calibri" w:cs="Calibri"/>
          <w:szCs w:val="20"/>
          <w:lang w:val="en-AU" w:eastAsia="en-US"/>
        </w:rPr>
      </w:pPr>
      <w:r w:rsidRPr="00484211">
        <w:rPr>
          <w:rFonts w:eastAsia="Calibri" w:cs="Calibri"/>
          <w:szCs w:val="20"/>
          <w:lang w:val="en-AU" w:eastAsia="en-US"/>
        </w:rPr>
        <w:t xml:space="preserve">The </w:t>
      </w:r>
      <w:r w:rsidRPr="00484211">
        <w:rPr>
          <w:rFonts w:eastAsia="Calibri" w:cs="Calibri"/>
          <w:i/>
          <w:szCs w:val="20"/>
          <w:lang w:val="en-AU" w:eastAsia="en-US"/>
        </w:rPr>
        <w:t>2024 Integrated Investment Program</w:t>
      </w:r>
      <w:r w:rsidRPr="00484211">
        <w:rPr>
          <w:rFonts w:eastAsia="Calibri" w:cs="Calibri"/>
          <w:szCs w:val="20"/>
          <w:lang w:val="en-AU" w:eastAsia="en-US"/>
        </w:rPr>
        <w:t xml:space="preserve"> sets out the specific capabilities the Government will invest in to give effect to the </w:t>
      </w:r>
      <w:r w:rsidRPr="00484211">
        <w:rPr>
          <w:rFonts w:eastAsia="Calibri" w:cs="Calibri"/>
          <w:i/>
          <w:szCs w:val="20"/>
          <w:lang w:val="en-AU" w:eastAsia="en-US"/>
        </w:rPr>
        <w:t>2024 National Defence Strategy</w:t>
      </w:r>
      <w:r w:rsidRPr="00484211">
        <w:rPr>
          <w:rFonts w:eastAsia="Calibri" w:cs="Calibri"/>
          <w:szCs w:val="20"/>
          <w:lang w:val="en-AU" w:eastAsia="en-US"/>
        </w:rPr>
        <w:t xml:space="preserve">. </w:t>
      </w:r>
      <w:r w:rsidRPr="00471B64">
        <w:rPr>
          <w:rFonts w:eastAsia="Calibri" w:cs="Calibri"/>
          <w:szCs w:val="20"/>
          <w:lang w:val="en-AU" w:eastAsia="en-US"/>
        </w:rPr>
        <w:t xml:space="preserve">Together, the </w:t>
      </w:r>
      <w:r w:rsidRPr="00471B64">
        <w:rPr>
          <w:rFonts w:eastAsia="Calibri" w:cs="Calibri"/>
          <w:i/>
          <w:szCs w:val="20"/>
          <w:lang w:val="en-AU" w:eastAsia="en-US"/>
        </w:rPr>
        <w:t>2024 National Defence Strategy</w:t>
      </w:r>
      <w:r w:rsidRPr="00FB3378">
        <w:rPr>
          <w:rFonts w:eastAsia="Calibri" w:cs="Calibri"/>
          <w:szCs w:val="20"/>
          <w:lang w:val="en-AU" w:eastAsia="en-US"/>
        </w:rPr>
        <w:t xml:space="preserve"> and the </w:t>
      </w:r>
      <w:r w:rsidRPr="00FB3378">
        <w:rPr>
          <w:rFonts w:eastAsia="Calibri" w:cs="Calibri"/>
          <w:i/>
          <w:szCs w:val="20"/>
          <w:lang w:val="en-AU" w:eastAsia="en-US"/>
        </w:rPr>
        <w:t>2024 Integrated Investment Program</w:t>
      </w:r>
      <w:r w:rsidRPr="00471B64">
        <w:rPr>
          <w:rFonts w:eastAsia="Calibri" w:cs="Calibri"/>
          <w:szCs w:val="20"/>
          <w:lang w:val="en-AU" w:eastAsia="en-US"/>
        </w:rPr>
        <w:t xml:space="preserve"> are designed to ensure the Australian Defence Force (ADF) has the capacity to</w:t>
      </w:r>
      <w:r w:rsidRPr="00484211">
        <w:rPr>
          <w:rFonts w:eastAsia="Calibri" w:cs="Calibri"/>
          <w:szCs w:val="20"/>
          <w:lang w:val="en-AU" w:eastAsia="en-US"/>
        </w:rPr>
        <w:t xml:space="preserve"> achieve its five tasks</w:t>
      </w:r>
      <w:r>
        <w:rPr>
          <w:rFonts w:eastAsia="Calibri" w:cs="Calibri"/>
          <w:szCs w:val="20"/>
          <w:lang w:val="en-AU" w:eastAsia="en-US"/>
        </w:rPr>
        <w:t>:</w:t>
      </w:r>
    </w:p>
    <w:p w14:paraId="3460930D" w14:textId="77777777" w:rsidR="00647E33" w:rsidRPr="005349D2" w:rsidRDefault="00647E33" w:rsidP="00647E33">
      <w:pPr>
        <w:numPr>
          <w:ilvl w:val="0"/>
          <w:numId w:val="15"/>
        </w:numPr>
        <w:spacing w:before="0" w:after="0"/>
        <w:ind w:hanging="340"/>
        <w:rPr>
          <w:rFonts w:eastAsia="Calibri" w:cs="Calibri"/>
          <w:szCs w:val="20"/>
          <w:lang w:val="en-AU" w:eastAsia="en-US"/>
        </w:rPr>
      </w:pPr>
      <w:r w:rsidRPr="005349D2">
        <w:rPr>
          <w:rFonts w:eastAsia="Calibri" w:cs="Calibri"/>
          <w:szCs w:val="20"/>
          <w:lang w:val="en-AU" w:eastAsia="en-US"/>
        </w:rPr>
        <w:t>defend Australia and our immediate region;</w:t>
      </w:r>
    </w:p>
    <w:p w14:paraId="77F619A2" w14:textId="77777777" w:rsidR="00647E33" w:rsidRPr="005349D2" w:rsidRDefault="00647E33" w:rsidP="00647E33">
      <w:pPr>
        <w:numPr>
          <w:ilvl w:val="0"/>
          <w:numId w:val="15"/>
        </w:numPr>
        <w:spacing w:before="0" w:after="0"/>
        <w:ind w:hanging="340"/>
        <w:rPr>
          <w:rFonts w:eastAsia="Calibri" w:cs="Calibri"/>
          <w:szCs w:val="20"/>
          <w:lang w:val="en-AU" w:eastAsia="en-US"/>
        </w:rPr>
      </w:pPr>
      <w:r w:rsidRPr="005349D2">
        <w:rPr>
          <w:rFonts w:eastAsia="Calibri" w:cs="Calibri"/>
          <w:szCs w:val="20"/>
          <w:lang w:val="en-AU" w:eastAsia="en-US"/>
        </w:rPr>
        <w:t>deter through denial any adversary’s attempt to project power against Australia through our northern approaches;</w:t>
      </w:r>
    </w:p>
    <w:p w14:paraId="374259BB" w14:textId="77777777" w:rsidR="00647E33" w:rsidRPr="005349D2" w:rsidRDefault="00647E33" w:rsidP="00647E33">
      <w:pPr>
        <w:numPr>
          <w:ilvl w:val="0"/>
          <w:numId w:val="15"/>
        </w:numPr>
        <w:spacing w:before="0" w:after="0"/>
        <w:ind w:hanging="340"/>
        <w:rPr>
          <w:rFonts w:eastAsia="Calibri" w:cs="Calibri"/>
          <w:szCs w:val="20"/>
          <w:lang w:val="en-AU" w:eastAsia="en-US"/>
        </w:rPr>
      </w:pPr>
      <w:r w:rsidRPr="005349D2">
        <w:rPr>
          <w:rFonts w:eastAsia="Calibri" w:cs="Calibri"/>
          <w:szCs w:val="20"/>
          <w:lang w:val="en-AU" w:eastAsia="en-US"/>
        </w:rPr>
        <w:t>protect Australia’s economic connection to our region and the world;</w:t>
      </w:r>
    </w:p>
    <w:p w14:paraId="07793AC5" w14:textId="77777777" w:rsidR="00647E33" w:rsidRPr="005349D2" w:rsidRDefault="00647E33" w:rsidP="00647E33">
      <w:pPr>
        <w:numPr>
          <w:ilvl w:val="0"/>
          <w:numId w:val="15"/>
        </w:numPr>
        <w:spacing w:before="0" w:after="0"/>
        <w:ind w:hanging="340"/>
        <w:rPr>
          <w:rFonts w:eastAsia="Calibri" w:cs="Calibri"/>
          <w:szCs w:val="20"/>
          <w:lang w:val="en-AU" w:eastAsia="en-US"/>
        </w:rPr>
      </w:pPr>
      <w:r w:rsidRPr="005349D2">
        <w:rPr>
          <w:rFonts w:eastAsia="Calibri" w:cs="Calibri"/>
          <w:szCs w:val="20"/>
          <w:lang w:val="en-AU" w:eastAsia="en-US"/>
        </w:rPr>
        <w:t>contribute with our partners to the collective security of the Indo-Pacific region; and</w:t>
      </w:r>
    </w:p>
    <w:p w14:paraId="50D05741" w14:textId="77777777" w:rsidR="00647E33" w:rsidRPr="005349D2" w:rsidRDefault="00647E33" w:rsidP="00647E33">
      <w:pPr>
        <w:numPr>
          <w:ilvl w:val="0"/>
          <w:numId w:val="15"/>
        </w:numPr>
        <w:spacing w:before="0" w:after="120"/>
        <w:ind w:hanging="340"/>
        <w:rPr>
          <w:rFonts w:eastAsia="Calibri" w:cs="Calibri"/>
          <w:szCs w:val="20"/>
          <w:lang w:val="en-AU" w:eastAsia="en-US"/>
        </w:rPr>
      </w:pPr>
      <w:r w:rsidRPr="005349D2">
        <w:rPr>
          <w:rFonts w:eastAsia="Calibri" w:cs="Calibri"/>
          <w:szCs w:val="20"/>
          <w:lang w:val="en-AU" w:eastAsia="en-US"/>
        </w:rPr>
        <w:t>contribute with our partners to the maintenance of the global rules-based order.</w:t>
      </w:r>
    </w:p>
    <w:p w14:paraId="63B04196" w14:textId="77777777" w:rsidR="00647E33" w:rsidRPr="005349D2" w:rsidRDefault="00647E33" w:rsidP="00647E33">
      <w:pPr>
        <w:pStyle w:val="Bullet"/>
        <w:rPr>
          <w:lang w:val="en-AU"/>
        </w:rPr>
      </w:pPr>
      <w:r w:rsidRPr="005349D2">
        <w:rPr>
          <w:lang w:val="en-AU"/>
        </w:rPr>
        <w:t xml:space="preserve">The </w:t>
      </w:r>
      <w:r w:rsidRPr="005349D2">
        <w:rPr>
          <w:i/>
          <w:lang w:val="en-AU"/>
        </w:rPr>
        <w:t>2024 National Defence Strategy</w:t>
      </w:r>
      <w:r w:rsidRPr="005349D2">
        <w:rPr>
          <w:lang w:val="en-AU"/>
        </w:rPr>
        <w:t xml:space="preserve"> and the </w:t>
      </w:r>
      <w:r w:rsidRPr="005349D2">
        <w:rPr>
          <w:i/>
          <w:lang w:val="en-AU"/>
        </w:rPr>
        <w:t>2024 Integrated Investment Program</w:t>
      </w:r>
      <w:r w:rsidRPr="005349D2">
        <w:rPr>
          <w:lang w:val="en-AU"/>
        </w:rPr>
        <w:t xml:space="preserve"> advance the implementation of the Government’s six immediate priorities announced in response to the </w:t>
      </w:r>
      <w:r w:rsidRPr="005349D2">
        <w:rPr>
          <w:i/>
          <w:lang w:val="en-AU"/>
        </w:rPr>
        <w:t>Defence Strategic Review</w:t>
      </w:r>
      <w:r w:rsidRPr="005349D2">
        <w:rPr>
          <w:lang w:val="en-AU"/>
        </w:rPr>
        <w:t>:</w:t>
      </w:r>
    </w:p>
    <w:p w14:paraId="7BD103AF" w14:textId="3ACE2C5C" w:rsidR="00647E33" w:rsidRPr="005349D2" w:rsidRDefault="00647E33" w:rsidP="00647E33">
      <w:pPr>
        <w:numPr>
          <w:ilvl w:val="0"/>
          <w:numId w:val="15"/>
        </w:numPr>
        <w:tabs>
          <w:tab w:val="clear" w:pos="340"/>
          <w:tab w:val="num" w:pos="284"/>
        </w:tabs>
        <w:spacing w:before="0" w:after="0"/>
        <w:ind w:left="284" w:hanging="284"/>
        <w:rPr>
          <w:rFonts w:eastAsia="Calibri" w:cs="Calibri"/>
          <w:szCs w:val="20"/>
          <w:lang w:val="en-AU" w:eastAsia="en-US"/>
        </w:rPr>
      </w:pPr>
      <w:r w:rsidRPr="005349D2">
        <w:rPr>
          <w:rFonts w:eastAsia="Calibri" w:cs="Calibri"/>
          <w:szCs w:val="20"/>
          <w:lang w:val="en-AU" w:eastAsia="en-US"/>
        </w:rPr>
        <w:t xml:space="preserve">acquisition of conventionally armed, nuclear-powered submarines through the </w:t>
      </w:r>
      <w:r w:rsidRPr="005349D2">
        <w:t>Australia, the United Kingdom and United States (AUKUS) partnership</w:t>
      </w:r>
      <w:r w:rsidRPr="005349D2">
        <w:rPr>
          <w:rFonts w:eastAsia="Calibri" w:cs="Calibri"/>
          <w:szCs w:val="20"/>
          <w:lang w:val="en-AU" w:eastAsia="en-US"/>
        </w:rPr>
        <w:t xml:space="preserve"> to improve our deterrence capabilities;</w:t>
      </w:r>
    </w:p>
    <w:p w14:paraId="1C875BDE" w14:textId="77777777" w:rsidR="00647E33" w:rsidRPr="005349D2" w:rsidRDefault="00647E33" w:rsidP="00647E33">
      <w:pPr>
        <w:numPr>
          <w:ilvl w:val="0"/>
          <w:numId w:val="15"/>
        </w:numPr>
        <w:tabs>
          <w:tab w:val="clear" w:pos="340"/>
          <w:tab w:val="num" w:pos="284"/>
        </w:tabs>
        <w:spacing w:before="0" w:after="0"/>
        <w:ind w:left="284" w:hanging="284"/>
        <w:rPr>
          <w:rFonts w:eastAsia="Calibri" w:cs="Calibri"/>
          <w:szCs w:val="20"/>
          <w:lang w:val="en-AU" w:eastAsia="en-US"/>
        </w:rPr>
      </w:pPr>
      <w:r w:rsidRPr="005349D2">
        <w:rPr>
          <w:rFonts w:eastAsia="Calibri" w:cs="Calibri"/>
          <w:szCs w:val="20"/>
          <w:lang w:val="en-AU" w:eastAsia="en-US"/>
        </w:rPr>
        <w:t>developing the ADF’s ability to precisely strike targets at longer range and manufacture munitions in Australia;</w:t>
      </w:r>
    </w:p>
    <w:p w14:paraId="0FDC20E7" w14:textId="77777777" w:rsidR="00647E33" w:rsidRPr="005349D2" w:rsidRDefault="00647E33" w:rsidP="00647E33">
      <w:pPr>
        <w:numPr>
          <w:ilvl w:val="0"/>
          <w:numId w:val="15"/>
        </w:numPr>
        <w:tabs>
          <w:tab w:val="clear" w:pos="340"/>
          <w:tab w:val="num" w:pos="284"/>
        </w:tabs>
        <w:spacing w:before="0" w:after="0"/>
        <w:ind w:left="284" w:hanging="284"/>
        <w:rPr>
          <w:rFonts w:eastAsia="Calibri" w:cs="Calibri"/>
          <w:szCs w:val="20"/>
          <w:lang w:val="en-AU" w:eastAsia="en-US"/>
        </w:rPr>
      </w:pPr>
      <w:r w:rsidRPr="005349D2">
        <w:rPr>
          <w:rFonts w:eastAsia="Calibri" w:cs="Calibri"/>
          <w:szCs w:val="20"/>
          <w:lang w:val="en-AU" w:eastAsia="en-US"/>
        </w:rPr>
        <w:t>improving the ADF’s ability to operate from Australia’s northern bases;</w:t>
      </w:r>
    </w:p>
    <w:p w14:paraId="0AE6FBD0" w14:textId="77777777" w:rsidR="00647E33" w:rsidRPr="005349D2" w:rsidRDefault="00647E33" w:rsidP="00647E33">
      <w:pPr>
        <w:numPr>
          <w:ilvl w:val="0"/>
          <w:numId w:val="15"/>
        </w:numPr>
        <w:tabs>
          <w:tab w:val="clear" w:pos="340"/>
          <w:tab w:val="num" w:pos="284"/>
        </w:tabs>
        <w:spacing w:before="0" w:after="0"/>
        <w:ind w:left="284" w:hanging="284"/>
        <w:rPr>
          <w:rFonts w:eastAsia="Calibri" w:cs="Calibri"/>
          <w:szCs w:val="20"/>
          <w:lang w:val="en-AU" w:eastAsia="en-US"/>
        </w:rPr>
      </w:pPr>
      <w:r w:rsidRPr="005349D2">
        <w:rPr>
          <w:rFonts w:eastAsia="Calibri" w:cs="Calibri"/>
          <w:szCs w:val="20"/>
          <w:lang w:val="en-AU" w:eastAsia="en-US"/>
        </w:rPr>
        <w:t xml:space="preserve">initiatives to improve the growth and retention of a highly-skilled defence workforce; </w:t>
      </w:r>
    </w:p>
    <w:p w14:paraId="5A570F63" w14:textId="77777777" w:rsidR="00647E33" w:rsidRPr="005349D2" w:rsidRDefault="00647E33" w:rsidP="00647E33">
      <w:pPr>
        <w:numPr>
          <w:ilvl w:val="0"/>
          <w:numId w:val="15"/>
        </w:numPr>
        <w:tabs>
          <w:tab w:val="clear" w:pos="340"/>
          <w:tab w:val="num" w:pos="284"/>
        </w:tabs>
        <w:spacing w:before="0" w:after="0"/>
        <w:ind w:left="284" w:hanging="284"/>
        <w:rPr>
          <w:rFonts w:eastAsia="Calibri" w:cs="Calibri"/>
          <w:szCs w:val="20"/>
          <w:lang w:val="en-AU" w:eastAsia="en-US"/>
        </w:rPr>
      </w:pPr>
      <w:r w:rsidRPr="005349D2">
        <w:rPr>
          <w:rFonts w:eastAsia="Calibri" w:cs="Calibri"/>
          <w:szCs w:val="20"/>
          <w:lang w:val="en-AU" w:eastAsia="en-US"/>
        </w:rPr>
        <w:t>lifting our capacity to rapidly translate disruptive new technologies into ADF capability, in close partnership with Australian industry; and</w:t>
      </w:r>
    </w:p>
    <w:p w14:paraId="58F624FA" w14:textId="77777777" w:rsidR="00647E33" w:rsidRPr="005349D2" w:rsidRDefault="00647E33" w:rsidP="00647E33">
      <w:pPr>
        <w:numPr>
          <w:ilvl w:val="0"/>
          <w:numId w:val="15"/>
        </w:numPr>
        <w:tabs>
          <w:tab w:val="clear" w:pos="340"/>
          <w:tab w:val="num" w:pos="284"/>
        </w:tabs>
        <w:spacing w:before="0" w:after="120"/>
        <w:ind w:left="284" w:hanging="284"/>
        <w:rPr>
          <w:rFonts w:eastAsia="Calibri" w:cs="Calibri"/>
          <w:szCs w:val="20"/>
          <w:lang w:val="en-AU" w:eastAsia="en-US"/>
        </w:rPr>
      </w:pPr>
      <w:r w:rsidRPr="005349D2">
        <w:rPr>
          <w:rFonts w:eastAsia="Calibri" w:cs="Calibri"/>
          <w:szCs w:val="20"/>
          <w:lang w:val="en-AU" w:eastAsia="en-US"/>
        </w:rPr>
        <w:t>deepening our diplomatic and defence partnerships with key partners in the Indo-Pacific.</w:t>
      </w:r>
    </w:p>
    <w:p w14:paraId="758B8292" w14:textId="77777777" w:rsidR="001D4079" w:rsidRDefault="001D4079">
      <w:pPr>
        <w:spacing w:before="0" w:after="0"/>
        <w:rPr>
          <w:rFonts w:eastAsia="Calibri" w:cs="Calibri"/>
          <w:szCs w:val="20"/>
          <w:lang w:val="en-AU" w:eastAsia="en-US"/>
        </w:rPr>
      </w:pPr>
      <w:r>
        <w:rPr>
          <w:rFonts w:eastAsia="Calibri" w:cs="Calibri"/>
          <w:szCs w:val="20"/>
          <w:lang w:val="en-AU" w:eastAsia="en-US"/>
        </w:rPr>
        <w:br w:type="page"/>
      </w:r>
    </w:p>
    <w:p w14:paraId="00B17919" w14:textId="1BFA89F7" w:rsidR="001D4079" w:rsidRDefault="00647E33" w:rsidP="00647E33">
      <w:pPr>
        <w:spacing w:before="120" w:after="120"/>
        <w:rPr>
          <w:rFonts w:cs="Calibri"/>
        </w:rPr>
      </w:pPr>
      <w:r w:rsidRPr="005349D2">
        <w:rPr>
          <w:rFonts w:eastAsia="Calibri" w:cs="Calibri"/>
          <w:szCs w:val="20"/>
          <w:lang w:val="en-AU" w:eastAsia="en-US"/>
        </w:rPr>
        <w:lastRenderedPageBreak/>
        <w:t xml:space="preserve">The </w:t>
      </w:r>
      <w:r w:rsidRPr="005349D2">
        <w:rPr>
          <w:rFonts w:eastAsia="Calibri" w:cs="Calibri"/>
          <w:i/>
          <w:szCs w:val="20"/>
          <w:lang w:val="en-AU" w:eastAsia="en-US"/>
        </w:rPr>
        <w:t>2024 National Defence</w:t>
      </w:r>
      <w:r w:rsidRPr="005349D2">
        <w:rPr>
          <w:rFonts w:eastAsia="Calibri" w:cs="Calibri"/>
          <w:szCs w:val="20"/>
          <w:lang w:val="en-AU" w:eastAsia="en-US"/>
        </w:rPr>
        <w:t xml:space="preserve"> </w:t>
      </w:r>
      <w:r w:rsidRPr="00C04326">
        <w:rPr>
          <w:rFonts w:eastAsia="Calibri" w:cs="Calibri"/>
          <w:i/>
          <w:szCs w:val="20"/>
          <w:lang w:val="en-AU" w:eastAsia="en-US"/>
        </w:rPr>
        <w:t xml:space="preserve">Strategy </w:t>
      </w:r>
      <w:r w:rsidRPr="005349D2">
        <w:rPr>
          <w:rFonts w:eastAsia="Calibri" w:cs="Calibri"/>
          <w:szCs w:val="20"/>
          <w:lang w:val="en-AU" w:eastAsia="en-US"/>
        </w:rPr>
        <w:t xml:space="preserve">and the </w:t>
      </w:r>
      <w:r w:rsidRPr="005349D2">
        <w:rPr>
          <w:rFonts w:eastAsia="Calibri" w:cs="Calibri"/>
          <w:i/>
          <w:szCs w:val="20"/>
          <w:lang w:val="en-AU" w:eastAsia="en-US"/>
        </w:rPr>
        <w:t xml:space="preserve">2024 Integrated Investment Program </w:t>
      </w:r>
      <w:r w:rsidRPr="005349D2">
        <w:rPr>
          <w:rFonts w:eastAsia="Calibri" w:cs="Calibri"/>
          <w:szCs w:val="20"/>
          <w:lang w:val="en-AU" w:eastAsia="en-US"/>
        </w:rPr>
        <w:t xml:space="preserve">detail the Government’s plan to transform the ADF </w:t>
      </w:r>
      <w:r w:rsidRPr="005349D2">
        <w:rPr>
          <w:rFonts w:cs="Calibri"/>
        </w:rPr>
        <w:t xml:space="preserve">from a balanced force capable of responding to a range of contingencies, to an integrated, focused force designed to address Australia’s most significant strategic risks. The Government has reset defence capability priorities to deliver this fundamental change. This reset has involved a complete rebuild of the Integrated Investment Program to ensure it is a coherent, logical and affordable plan for defence capability. </w:t>
      </w:r>
    </w:p>
    <w:p w14:paraId="75F566C1" w14:textId="0E318D58" w:rsidR="00647E33" w:rsidRPr="005349D2" w:rsidRDefault="00647E33" w:rsidP="00647E33">
      <w:pPr>
        <w:spacing w:before="120" w:after="120"/>
        <w:rPr>
          <w:rFonts w:cs="Calibri"/>
        </w:rPr>
      </w:pPr>
      <w:r w:rsidRPr="005349D2">
        <w:rPr>
          <w:rFonts w:cs="Calibri"/>
        </w:rPr>
        <w:t xml:space="preserve">In rebuilding the Integrated Investment Program, the Government has made decisions to prioritise and fund the acquisition of key capabilities to bolster Australia’s deterrence capabilities. The Government also made tough, but necessary, decisions to cancel, divest, delay or re-scope projects or activities that are not critical to delivering the force our strategic circumstances require. This reprioritisation has enabled the Government to accelerate new, </w:t>
      </w:r>
      <w:r w:rsidR="001D4079">
        <w:rPr>
          <w:rFonts w:cs="Calibri"/>
        </w:rPr>
        <w:t xml:space="preserve">and more potent </w:t>
      </w:r>
      <w:r w:rsidRPr="005349D2">
        <w:rPr>
          <w:rFonts w:cs="Calibri"/>
        </w:rPr>
        <w:t>immediate and longer-term priority projects and capabilities.</w:t>
      </w:r>
    </w:p>
    <w:p w14:paraId="6273F572" w14:textId="72EC11E6" w:rsidR="00647E33" w:rsidRDefault="00647E33" w:rsidP="00647E33">
      <w:pPr>
        <w:spacing w:before="120" w:after="120"/>
        <w:rPr>
          <w:rFonts w:cs="Calibri"/>
        </w:rPr>
      </w:pPr>
      <w:r w:rsidRPr="005349D2">
        <w:rPr>
          <w:rFonts w:cs="Calibri"/>
        </w:rPr>
        <w:t>The Government has committed to a biennial National Defence Strategy cycle to ensure Defence policy, strategy, capability and planning keep pace with the rapidly evolving strategic environment, respond to Australia’s national security priorities and provide clarity of process and approach to defence industry. The next National Defence Strategy will be delivered in 2026</w:t>
      </w:r>
      <w:r w:rsidR="00083F3B">
        <w:rPr>
          <w:rFonts w:cs="Calibri"/>
        </w:rPr>
        <w:t xml:space="preserve"> as part of the 2026-27 Commonwealth Budget process</w:t>
      </w:r>
      <w:r w:rsidRPr="005349D2">
        <w:rPr>
          <w:rFonts w:cs="Calibri"/>
        </w:rPr>
        <w:t xml:space="preserve">. </w:t>
      </w:r>
    </w:p>
    <w:p w14:paraId="6577AAF9" w14:textId="7F898659" w:rsidR="00D5693F" w:rsidRPr="005349D2" w:rsidRDefault="00D5693F" w:rsidP="00647E33">
      <w:pPr>
        <w:spacing w:before="120" w:after="120"/>
        <w:rPr>
          <w:rFonts w:eastAsia="Calibri" w:cs="Calibri"/>
          <w:szCs w:val="20"/>
          <w:lang w:val="en-AU" w:eastAsia="en-US"/>
        </w:rPr>
      </w:pPr>
      <w:r w:rsidRPr="00C10400">
        <w:rPr>
          <w:rFonts w:cs="Book Antiqua"/>
          <w:szCs w:val="20"/>
          <w:lang w:val="en-AU"/>
        </w:rPr>
        <w:t>Defence remains committed to implementing the Government’s response to the Final Report released by the Royal Commission into Defence and Veteran Suicide. Resources are being allocated and prioritised to ensure the design and implementation of initiatives meet the intent of the recommendations. Governance structures have also been established to enable Defence’s senior leadership to have oversight of the broad program of activities and appropriate engagement with the Commonwealth Taskforce led out of the Department of the Prime Minister and Cabinet and the new legislated Defence and Veterans’ Service Commission to be established by September 2025</w:t>
      </w:r>
      <w:r>
        <w:rPr>
          <w:rFonts w:cs="Book Antiqua"/>
          <w:szCs w:val="20"/>
          <w:lang w:val="en-AU"/>
        </w:rPr>
        <w:t>.</w:t>
      </w:r>
    </w:p>
    <w:p w14:paraId="159BEFA8" w14:textId="77777777" w:rsidR="00647E33" w:rsidRPr="005349D2" w:rsidRDefault="00647E33" w:rsidP="00647E33">
      <w:r w:rsidRPr="005349D2">
        <w:rPr>
          <w:rFonts w:cs="Calibri"/>
          <w:color w:val="000000"/>
          <w:szCs w:val="20"/>
        </w:rPr>
        <w:t xml:space="preserve">The Australian Submarine Agency (ASA) was established on 1 July 2023 </w:t>
      </w:r>
      <w:r w:rsidRPr="005349D2">
        <w:t xml:space="preserve">to oversee and manage Australia’s nuclear-powered submarine program, including acquisition, delivery, construction, technical governance, sustainment, and disposal of nuclear-powered submarines. The ASA will also enable the necessary policy, legal, non-proliferation, workforce, security and safety arrangements. The ASA is a non-corporate Commonwealth entity that operates within the Defence portfolio and has its own chapter in the </w:t>
      </w:r>
      <w:r w:rsidRPr="005349D2">
        <w:rPr>
          <w:i/>
        </w:rPr>
        <w:t xml:space="preserve">Portfolio Budget Statements </w:t>
      </w:r>
      <w:r w:rsidRPr="004E1B03">
        <w:rPr>
          <w:i/>
          <w:szCs w:val="20"/>
        </w:rPr>
        <w:t>2025-26</w:t>
      </w:r>
      <w:r w:rsidRPr="005349D2">
        <w:rPr>
          <w:i/>
        </w:rPr>
        <w:t xml:space="preserve"> (</w:t>
      </w:r>
      <w:r w:rsidRPr="005349D2">
        <w:t>PBS 2025</w:t>
      </w:r>
      <w:r w:rsidRPr="005349D2">
        <w:noBreakHyphen/>
        <w:t>26</w:t>
      </w:r>
      <w:r w:rsidRPr="005349D2">
        <w:rPr>
          <w:i/>
        </w:rPr>
        <w:t>)</w:t>
      </w:r>
      <w:r w:rsidRPr="005349D2">
        <w:t>. The Royal Australian Navy will continue to be responsible for submarine operations.</w:t>
      </w:r>
    </w:p>
    <w:p w14:paraId="1A45C053" w14:textId="60E5B357" w:rsidR="00647E33" w:rsidRPr="005349D2" w:rsidRDefault="00664657" w:rsidP="00647E33">
      <w:r>
        <w:t>Acquisition of a conventionally-</w:t>
      </w:r>
      <w:r w:rsidR="00647E33" w:rsidRPr="005349D2">
        <w:t>armed, nuclear-powered submarine capability will give Australia a more capable and potent submarine force to enhance Australia’s ability to deter threats to its security and contribute to the security and stability of the Indo-Pacific region. Through the AUKUS partnership, the nuclear</w:t>
      </w:r>
      <w:r w:rsidR="00647E33" w:rsidRPr="005349D2">
        <w:noBreakHyphen/>
        <w:t>powered submarine pathway (Pillar I) will also bolster interoperability among AUKUS partners, build the combined capabilities of AUKUS partners and create a stronger, more resilient trilateral industrial base for submarine production and maintenance.</w:t>
      </w:r>
    </w:p>
    <w:p w14:paraId="00EFDDCA" w14:textId="10AB80B8" w:rsidR="00647E33" w:rsidRDefault="00647E33" w:rsidP="00647E33">
      <w:pPr>
        <w:autoSpaceDE w:val="0"/>
        <w:autoSpaceDN w:val="0"/>
        <w:adjustRightInd w:val="0"/>
        <w:rPr>
          <w:rFonts w:cs="Book Antiqua"/>
          <w:szCs w:val="20"/>
          <w:lang w:val="en-AU"/>
        </w:rPr>
      </w:pPr>
      <w:r w:rsidRPr="005349D2">
        <w:rPr>
          <w:rFonts w:cs="Book Antiqua"/>
          <w:szCs w:val="20"/>
          <w:lang w:val="en-AU"/>
        </w:rPr>
        <w:t>AUKUS partners continue to accelerate the development and delivery of a range of advanced capabilities to enhance collective security and deterrence in the Indo-Pacific and beyond. The alignment of our national defence strategies, anchored in our shared values and strategic interests as longstanding security partners, is facilitating unprecedented collaboration. In addition to working on dedicated AUKUS capabilities, AUKUS Pillar II is breaking down barriers and driving reform through the creation of a fit-for-purpose enabling environment that will help rapidly deliver advanced capabilities into the hands of the warfighter.</w:t>
      </w:r>
    </w:p>
    <w:p w14:paraId="4C927714" w14:textId="77777777" w:rsidR="0017380A" w:rsidRDefault="0017380A">
      <w:pPr>
        <w:spacing w:before="0" w:after="0"/>
        <w:rPr>
          <w:rFonts w:cs="Book Antiqua"/>
          <w:szCs w:val="20"/>
          <w:lang w:val="en-AU"/>
        </w:rPr>
      </w:pPr>
      <w:r>
        <w:rPr>
          <w:rFonts w:cs="Book Antiqua"/>
          <w:szCs w:val="20"/>
          <w:lang w:val="en-AU"/>
        </w:rPr>
        <w:br w:type="page"/>
      </w:r>
    </w:p>
    <w:p w14:paraId="5774BE3C" w14:textId="1A85F4E6" w:rsidR="00BD4B18" w:rsidRPr="00B56FAA" w:rsidRDefault="00D56E52" w:rsidP="00754942">
      <w:pPr>
        <w:autoSpaceDE w:val="0"/>
        <w:autoSpaceDN w:val="0"/>
        <w:adjustRightInd w:val="0"/>
        <w:spacing w:before="120" w:after="120"/>
        <w:jc w:val="both"/>
        <w:outlineLvl w:val="4"/>
      </w:pPr>
      <w:r w:rsidRPr="00B56FAA">
        <w:rPr>
          <w:rFonts w:ascii="Arial" w:hAnsi="Arial"/>
          <w:b/>
          <w:sz w:val="22"/>
          <w:szCs w:val="22"/>
        </w:rPr>
        <w:lastRenderedPageBreak/>
        <w:t>De</w:t>
      </w:r>
      <w:r w:rsidR="00D51782" w:rsidRPr="00B56FAA">
        <w:rPr>
          <w:rFonts w:ascii="Arial" w:hAnsi="Arial"/>
          <w:b/>
          <w:sz w:val="22"/>
          <w:szCs w:val="22"/>
        </w:rPr>
        <w:t>f</w:t>
      </w:r>
      <w:bookmarkStart w:id="633" w:name="_GoBack"/>
      <w:bookmarkEnd w:id="633"/>
      <w:r w:rsidR="00D51782" w:rsidRPr="00B56FAA">
        <w:rPr>
          <w:rFonts w:ascii="Arial" w:hAnsi="Arial"/>
          <w:b/>
          <w:sz w:val="22"/>
          <w:szCs w:val="22"/>
        </w:rPr>
        <w:t>ence Organisational C</w:t>
      </w:r>
      <w:r w:rsidR="00BD4B18" w:rsidRPr="00B56FAA">
        <w:rPr>
          <w:rFonts w:ascii="Arial" w:hAnsi="Arial"/>
          <w:b/>
          <w:sz w:val="22"/>
          <w:szCs w:val="22"/>
        </w:rPr>
        <w:t>hart</w:t>
      </w:r>
    </w:p>
    <w:p w14:paraId="34B2F131" w14:textId="77777777" w:rsidR="00D16498" w:rsidRPr="00B442A5" w:rsidRDefault="00D51782" w:rsidP="00D16498">
      <w:pPr>
        <w:pStyle w:val="FigureHeading"/>
        <w:tabs>
          <w:tab w:val="num" w:pos="142"/>
          <w:tab w:val="num" w:pos="426"/>
        </w:tabs>
        <w:ind w:left="0" w:firstLine="0"/>
        <w:outlineLvl w:val="4"/>
        <w:rPr>
          <w:lang w:val="en-AU"/>
        </w:rPr>
      </w:pPr>
      <w:r w:rsidRPr="00B442A5">
        <w:rPr>
          <w:lang w:val="en-AU"/>
        </w:rPr>
        <w:t>Defence O</w:t>
      </w:r>
      <w:r w:rsidR="00BD4B18" w:rsidRPr="00B442A5">
        <w:rPr>
          <w:lang w:val="en-AU"/>
        </w:rPr>
        <w:t xml:space="preserve">rganisational </w:t>
      </w:r>
      <w:r w:rsidRPr="00B442A5">
        <w:rPr>
          <w:lang w:val="en-AU"/>
        </w:rPr>
        <w:t>C</w:t>
      </w:r>
      <w:r w:rsidR="00D16498" w:rsidRPr="00B442A5">
        <w:rPr>
          <w:lang w:val="en-AU"/>
        </w:rPr>
        <w:t>har</w:t>
      </w:r>
      <w:r w:rsidR="0027028D" w:rsidRPr="00B442A5">
        <w:rPr>
          <w:lang w:val="en-AU"/>
        </w:rPr>
        <w:t>t</w:t>
      </w:r>
    </w:p>
    <w:p w14:paraId="4FDBC622" w14:textId="77777777" w:rsidR="00A60329" w:rsidRDefault="0085144D" w:rsidP="00A60329">
      <w:pPr>
        <w:pStyle w:val="FigureHeading"/>
        <w:numPr>
          <w:ilvl w:val="0"/>
          <w:numId w:val="0"/>
        </w:numPr>
        <w:ind w:left="644"/>
        <w:rPr>
          <w:lang w:val="en-AU"/>
        </w:rPr>
      </w:pPr>
      <w:r w:rsidRPr="0024682A">
        <w:rPr>
          <w:noProof/>
          <w:lang w:val="en-AU"/>
        </w:rPr>
        <mc:AlternateContent>
          <mc:Choice Requires="wps">
            <w:drawing>
              <wp:anchor distT="0" distB="0" distL="114300" distR="114300" simplePos="0" relativeHeight="251635200" behindDoc="0" locked="0" layoutInCell="1" allowOverlap="1" wp14:anchorId="657BA851" wp14:editId="53F52243">
                <wp:simplePos x="0" y="0"/>
                <wp:positionH relativeFrom="column">
                  <wp:posOffset>1512570</wp:posOffset>
                </wp:positionH>
                <wp:positionV relativeFrom="paragraph">
                  <wp:posOffset>113030</wp:posOffset>
                </wp:positionV>
                <wp:extent cx="2008505" cy="490855"/>
                <wp:effectExtent l="0" t="0" r="0" b="0"/>
                <wp:wrapNone/>
                <wp:docPr id="513"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490855"/>
                        </a:xfrm>
                        <a:prstGeom prst="rect">
                          <a:avLst/>
                        </a:prstGeom>
                        <a:solidFill>
                          <a:srgbClr val="FFFFFF"/>
                        </a:solidFill>
                        <a:ln w="9525">
                          <a:noFill/>
                          <a:miter lim="800000"/>
                          <a:headEnd/>
                          <a:tailEnd/>
                        </a:ln>
                        <a:extLst/>
                      </wps:spPr>
                      <wps:txbx>
                        <w:txbxContent>
                          <w:p w14:paraId="0683AE44" w14:textId="77777777" w:rsidR="00CE3B2C" w:rsidRPr="00A01209" w:rsidRDefault="00CE3B2C" w:rsidP="00A60329">
                            <w:pPr>
                              <w:pStyle w:val="OrgChart"/>
                              <w:jc w:val="center"/>
                              <w:rPr>
                                <w:rFonts w:ascii="Arial" w:hAnsi="Arial"/>
                                <w:szCs w:val="16"/>
                                <w:lang w:val="en-AU"/>
                              </w:rPr>
                            </w:pPr>
                            <w:r w:rsidRPr="00A01209">
                              <w:rPr>
                                <w:rFonts w:ascii="Arial" w:hAnsi="Arial"/>
                                <w:szCs w:val="16"/>
                                <w:lang w:val="en-AU"/>
                              </w:rPr>
                              <w:t>Deputy Prime Minister</w:t>
                            </w:r>
                            <w:r w:rsidRPr="00A01209">
                              <w:rPr>
                                <w:rFonts w:ascii="Arial" w:hAnsi="Arial"/>
                                <w:szCs w:val="16"/>
                                <w:lang w:val="en-AU"/>
                              </w:rPr>
                              <w:br/>
                              <w:t>Minister for Defence</w:t>
                            </w:r>
                          </w:p>
                          <w:p w14:paraId="04C114B7" w14:textId="77777777" w:rsidR="00CE3B2C" w:rsidRPr="00A01209" w:rsidRDefault="00CE3B2C" w:rsidP="00A60329">
                            <w:pPr>
                              <w:pStyle w:val="OrgChart"/>
                              <w:jc w:val="center"/>
                              <w:rPr>
                                <w:rFonts w:ascii="Arial" w:hAnsi="Arial"/>
                                <w:szCs w:val="16"/>
                                <w:lang w:val="en-AU"/>
                              </w:rPr>
                            </w:pPr>
                            <w:r w:rsidRPr="00A01209">
                              <w:rPr>
                                <w:rFonts w:ascii="Arial" w:hAnsi="Arial"/>
                                <w:szCs w:val="16"/>
                              </w:rPr>
                              <w:t>The Hon Richard Marles 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BA851" id="Text Box 580" o:spid="_x0000_s1058" type="#_x0000_t202" style="position:absolute;left:0;text-align:left;margin-left:119.1pt;margin-top:8.9pt;width:158.15pt;height:38.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" stroked="f">
                <v:textbox>
                  <w:txbxContent>
                    <w:p w14:paraId="0683AE44" w14:textId="77777777" w:rsidR="00CE3B2C" w:rsidRPr="00A01209" w:rsidRDefault="00CE3B2C" w:rsidP="00A60329">
                      <w:pPr>
                        <w:pStyle w:val="OrgChart"/>
                        <w:jc w:val="center"/>
                        <w:rPr>
                          <w:rFonts w:ascii="Arial" w:hAnsi="Arial"/>
                          <w:szCs w:val="16"/>
                          <w:lang w:val="en-AU"/>
                        </w:rPr>
                      </w:pPr>
                      <w:r w:rsidRPr="00A01209">
                        <w:rPr>
                          <w:rFonts w:ascii="Arial" w:hAnsi="Arial"/>
                          <w:szCs w:val="16"/>
                          <w:lang w:val="en-AU"/>
                        </w:rPr>
                        <w:t>Deputy Prime Minister</w:t>
                      </w:r>
                      <w:r w:rsidRPr="00A01209">
                        <w:rPr>
                          <w:rFonts w:ascii="Arial" w:hAnsi="Arial"/>
                          <w:szCs w:val="16"/>
                          <w:lang w:val="en-AU"/>
                        </w:rPr>
                        <w:br/>
                      </w:r>
                      <w:proofErr w:type="spellStart"/>
                      <w:r w:rsidRPr="00A01209">
                        <w:rPr>
                          <w:rFonts w:ascii="Arial" w:hAnsi="Arial"/>
                          <w:szCs w:val="16"/>
                          <w:lang w:val="en-AU"/>
                        </w:rPr>
                        <w:t>Minister</w:t>
                      </w:r>
                      <w:proofErr w:type="spellEnd"/>
                      <w:r w:rsidRPr="00A01209">
                        <w:rPr>
                          <w:rFonts w:ascii="Arial" w:hAnsi="Arial"/>
                          <w:szCs w:val="16"/>
                          <w:lang w:val="en-AU"/>
                        </w:rPr>
                        <w:t xml:space="preserve"> for Defence</w:t>
                      </w:r>
                    </w:p>
                    <w:p w14:paraId="04C114B7" w14:textId="77777777" w:rsidR="00CE3B2C" w:rsidRPr="00A01209" w:rsidRDefault="00CE3B2C" w:rsidP="00A60329">
                      <w:pPr>
                        <w:pStyle w:val="OrgChart"/>
                        <w:jc w:val="center"/>
                        <w:rPr>
                          <w:rFonts w:ascii="Arial" w:hAnsi="Arial"/>
                          <w:szCs w:val="16"/>
                          <w:lang w:val="en-AU"/>
                        </w:rPr>
                      </w:pPr>
                      <w:r w:rsidRPr="00A01209">
                        <w:rPr>
                          <w:rFonts w:ascii="Arial" w:hAnsi="Arial"/>
                          <w:szCs w:val="16"/>
                        </w:rPr>
                        <w:t xml:space="preserve">The Hon Richard </w:t>
                      </w:r>
                      <w:proofErr w:type="spellStart"/>
                      <w:r w:rsidRPr="00A01209">
                        <w:rPr>
                          <w:rFonts w:ascii="Arial" w:hAnsi="Arial"/>
                          <w:szCs w:val="16"/>
                        </w:rPr>
                        <w:t>Marles</w:t>
                      </w:r>
                      <w:proofErr w:type="spellEnd"/>
                      <w:r w:rsidRPr="00A01209">
                        <w:rPr>
                          <w:rFonts w:ascii="Arial" w:hAnsi="Arial"/>
                          <w:szCs w:val="16"/>
                        </w:rPr>
                        <w:t xml:space="preserve"> MP</w:t>
                      </w:r>
                    </w:p>
                  </w:txbxContent>
                </v:textbox>
              </v:shape>
            </w:pict>
          </mc:Fallback>
        </mc:AlternateContent>
      </w:r>
    </w:p>
    <w:p w14:paraId="3D4CDE51" w14:textId="77777777" w:rsidR="00A60329" w:rsidRDefault="00A60329" w:rsidP="00A60329">
      <w:pPr>
        <w:pStyle w:val="FigureHeading"/>
        <w:numPr>
          <w:ilvl w:val="0"/>
          <w:numId w:val="0"/>
        </w:numPr>
        <w:ind w:left="644"/>
        <w:rPr>
          <w:szCs w:val="20"/>
        </w:rPr>
      </w:pPr>
    </w:p>
    <w:p w14:paraId="48F9ACB5" w14:textId="635E8A04" w:rsidR="00A60329" w:rsidRPr="0024682A" w:rsidRDefault="006E690E" w:rsidP="00A60329">
      <w:pPr>
        <w:pStyle w:val="FigureHeading"/>
        <w:numPr>
          <w:ilvl w:val="0"/>
          <w:numId w:val="0"/>
        </w:numPr>
        <w:ind w:left="644"/>
        <w:rPr>
          <w:szCs w:val="20"/>
        </w:rPr>
      </w:pPr>
      <w:r w:rsidRPr="0024682A">
        <w:rPr>
          <w:noProof/>
          <w:szCs w:val="20"/>
          <w:lang w:val="en-AU"/>
        </w:rPr>
        <mc:AlternateContent>
          <mc:Choice Requires="wps">
            <w:drawing>
              <wp:anchor distT="0" distB="0" distL="114299" distR="114299" simplePos="0" relativeHeight="251666944" behindDoc="0" locked="0" layoutInCell="1" allowOverlap="1" wp14:anchorId="7E304153" wp14:editId="3E606D01">
                <wp:simplePos x="0" y="0"/>
                <wp:positionH relativeFrom="column">
                  <wp:posOffset>2512708</wp:posOffset>
                </wp:positionH>
                <wp:positionV relativeFrom="paragraph">
                  <wp:posOffset>41217</wp:posOffset>
                </wp:positionV>
                <wp:extent cx="0" cy="905743"/>
                <wp:effectExtent l="0" t="0" r="19050" b="27940"/>
                <wp:wrapNone/>
                <wp:docPr id="90"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905743"/>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569F9539" id="Straight Connector 575" o:spid="_x0000_s1026" style="position:absolute;flip:y;z-index:251666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97.85pt,3.25pt" to="197.85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">
                <v:stroke joinstyle="miter"/>
                <o:lock v:ext="edit" shapetype="f"/>
              </v:line>
            </w:pict>
          </mc:Fallback>
        </mc:AlternateContent>
      </w:r>
      <w:r w:rsidR="0085144D" w:rsidRPr="0024682A">
        <w:rPr>
          <w:noProof/>
          <w:lang w:val="en-AU"/>
        </w:rPr>
        <mc:AlternateContent>
          <mc:Choice Requires="wps">
            <w:drawing>
              <wp:anchor distT="0" distB="0" distL="114300" distR="114300" simplePos="0" relativeHeight="251636224" behindDoc="0" locked="0" layoutInCell="1" allowOverlap="1" wp14:anchorId="51DEE9C0" wp14:editId="6FBA47BC">
                <wp:simplePos x="0" y="0"/>
                <wp:positionH relativeFrom="column">
                  <wp:posOffset>3375025</wp:posOffset>
                </wp:positionH>
                <wp:positionV relativeFrom="paragraph">
                  <wp:posOffset>241300</wp:posOffset>
                </wp:positionV>
                <wp:extent cx="2297430" cy="599440"/>
                <wp:effectExtent l="0" t="0" r="0" b="0"/>
                <wp:wrapNone/>
                <wp:docPr id="576"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599440"/>
                        </a:xfrm>
                        <a:prstGeom prst="rect">
                          <a:avLst/>
                        </a:prstGeom>
                        <a:solidFill>
                          <a:srgbClr val="FFFFFF"/>
                        </a:solidFill>
                        <a:ln w="9525">
                          <a:noFill/>
                          <a:miter lim="800000"/>
                          <a:headEnd/>
                          <a:tailEnd/>
                        </a:ln>
                        <a:extLst/>
                      </wps:spPr>
                      <wps:txbx>
                        <w:txbxContent>
                          <w:p w14:paraId="0B9B2C8C" w14:textId="77777777" w:rsidR="00CE3B2C" w:rsidRDefault="00CE3B2C" w:rsidP="006E690E">
                            <w:pPr>
                              <w:pStyle w:val="OrgChart"/>
                              <w:jc w:val="center"/>
                              <w:rPr>
                                <w:rFonts w:ascii="Arial" w:hAnsi="Arial"/>
                                <w:szCs w:val="16"/>
                              </w:rPr>
                            </w:pPr>
                            <w:r w:rsidRPr="00A01209">
                              <w:rPr>
                                <w:rFonts w:ascii="Arial" w:hAnsi="Arial"/>
                                <w:szCs w:val="16"/>
                              </w:rPr>
                              <w:t>Minister for Defence Industry</w:t>
                            </w:r>
                            <w:r>
                              <w:rPr>
                                <w:rFonts w:ascii="Arial" w:hAnsi="Arial"/>
                                <w:szCs w:val="16"/>
                              </w:rPr>
                              <w:t xml:space="preserve"> </w:t>
                            </w:r>
                            <w:r w:rsidRPr="006B1F6A">
                              <w:rPr>
                                <w:rFonts w:ascii="Arial" w:hAnsi="Arial"/>
                                <w:szCs w:val="16"/>
                              </w:rPr>
                              <w:t xml:space="preserve">and </w:t>
                            </w:r>
                          </w:p>
                          <w:p w14:paraId="1E03DEFA" w14:textId="27232DA7" w:rsidR="00CE3B2C" w:rsidRDefault="00CE3B2C" w:rsidP="006E690E">
                            <w:pPr>
                              <w:pStyle w:val="OrgChart"/>
                              <w:jc w:val="center"/>
                              <w:rPr>
                                <w:rFonts w:ascii="Arial" w:hAnsi="Arial"/>
                                <w:szCs w:val="16"/>
                              </w:rPr>
                            </w:pPr>
                            <w:r w:rsidRPr="006B1F6A">
                              <w:rPr>
                                <w:rFonts w:ascii="Arial" w:hAnsi="Arial"/>
                                <w:szCs w:val="16"/>
                              </w:rPr>
                              <w:t>Capability Delivery</w:t>
                            </w:r>
                          </w:p>
                          <w:p w14:paraId="158DCFB3" w14:textId="77777777" w:rsidR="00CE3B2C" w:rsidRPr="00A01209" w:rsidRDefault="00CE3B2C" w:rsidP="006E690E">
                            <w:pPr>
                              <w:pStyle w:val="OrgChart"/>
                              <w:jc w:val="center"/>
                              <w:rPr>
                                <w:rFonts w:ascii="Arial" w:hAnsi="Arial"/>
                                <w:lang w:val="en-AU"/>
                              </w:rPr>
                            </w:pPr>
                            <w:r w:rsidRPr="00A01209">
                              <w:rPr>
                                <w:rFonts w:ascii="Arial" w:hAnsi="Arial"/>
                                <w:szCs w:val="16"/>
                              </w:rPr>
                              <w:t>The Hon Pat Conroy MP</w:t>
                            </w:r>
                          </w:p>
                          <w:p w14:paraId="7C65C650" w14:textId="77777777" w:rsidR="00CE3B2C" w:rsidRPr="00A01209" w:rsidRDefault="00CE3B2C" w:rsidP="00A60329">
                            <w:pPr>
                              <w:pStyle w:val="OrgChart"/>
                              <w:jc w:val="center"/>
                              <w:rPr>
                                <w:rFonts w:ascii="Arial" w:hAnsi="Arial"/>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EE9C0" id="Text Box 576" o:spid="_x0000_s1059" type="#_x0000_t202" style="position:absolute;left:0;text-align:left;margin-left:265.75pt;margin-top:19pt;width:180.9pt;height:47.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" stroked="f">
                <v:textbox>
                  <w:txbxContent>
                    <w:p w14:paraId="0B9B2C8C" w14:textId="77777777" w:rsidR="00CE3B2C" w:rsidRDefault="00CE3B2C" w:rsidP="006E690E">
                      <w:pPr>
                        <w:pStyle w:val="OrgChart"/>
                        <w:jc w:val="center"/>
                        <w:rPr>
                          <w:rFonts w:ascii="Arial" w:hAnsi="Arial"/>
                          <w:szCs w:val="16"/>
                        </w:rPr>
                      </w:pPr>
                      <w:r w:rsidRPr="00A01209">
                        <w:rPr>
                          <w:rFonts w:ascii="Arial" w:hAnsi="Arial"/>
                          <w:szCs w:val="16"/>
                        </w:rPr>
                        <w:t>Minister for Defence Industry</w:t>
                      </w:r>
                      <w:r>
                        <w:rPr>
                          <w:rFonts w:ascii="Arial" w:hAnsi="Arial"/>
                          <w:szCs w:val="16"/>
                        </w:rPr>
                        <w:t xml:space="preserve"> </w:t>
                      </w:r>
                      <w:r w:rsidRPr="006B1F6A">
                        <w:rPr>
                          <w:rFonts w:ascii="Arial" w:hAnsi="Arial"/>
                          <w:szCs w:val="16"/>
                        </w:rPr>
                        <w:t xml:space="preserve">and </w:t>
                      </w:r>
                    </w:p>
                    <w:p w14:paraId="1E03DEFA" w14:textId="27232DA7" w:rsidR="00CE3B2C" w:rsidRDefault="00CE3B2C" w:rsidP="006E690E">
                      <w:pPr>
                        <w:pStyle w:val="OrgChart"/>
                        <w:jc w:val="center"/>
                        <w:rPr>
                          <w:rFonts w:ascii="Arial" w:hAnsi="Arial"/>
                          <w:szCs w:val="16"/>
                        </w:rPr>
                      </w:pPr>
                      <w:r w:rsidRPr="006B1F6A">
                        <w:rPr>
                          <w:rFonts w:ascii="Arial" w:hAnsi="Arial"/>
                          <w:szCs w:val="16"/>
                        </w:rPr>
                        <w:t>Capability Delivery</w:t>
                      </w:r>
                    </w:p>
                    <w:p w14:paraId="158DCFB3" w14:textId="77777777" w:rsidR="00CE3B2C" w:rsidRPr="00A01209" w:rsidRDefault="00CE3B2C" w:rsidP="006E690E">
                      <w:pPr>
                        <w:pStyle w:val="OrgChart"/>
                        <w:jc w:val="center"/>
                        <w:rPr>
                          <w:rFonts w:ascii="Arial" w:hAnsi="Arial"/>
                          <w:lang w:val="en-AU"/>
                        </w:rPr>
                      </w:pPr>
                      <w:r w:rsidRPr="00A01209">
                        <w:rPr>
                          <w:rFonts w:ascii="Arial" w:hAnsi="Arial"/>
                          <w:szCs w:val="16"/>
                        </w:rPr>
                        <w:t>The Hon Pat Conroy MP</w:t>
                      </w:r>
                    </w:p>
                    <w:p w14:paraId="7C65C650" w14:textId="77777777" w:rsidR="00CE3B2C" w:rsidRPr="00A01209" w:rsidRDefault="00CE3B2C" w:rsidP="00A60329">
                      <w:pPr>
                        <w:pStyle w:val="OrgChart"/>
                        <w:jc w:val="center"/>
                        <w:rPr>
                          <w:rFonts w:ascii="Arial" w:hAnsi="Arial"/>
                          <w:szCs w:val="16"/>
                        </w:rPr>
                      </w:pPr>
                    </w:p>
                  </w:txbxContent>
                </v:textbox>
              </v:shape>
            </w:pict>
          </mc:Fallback>
        </mc:AlternateContent>
      </w:r>
    </w:p>
    <w:p w14:paraId="2D636915" w14:textId="77777777" w:rsidR="00A60329" w:rsidRPr="0024682A" w:rsidRDefault="0085144D" w:rsidP="00C5026B">
      <w:pPr>
        <w:pStyle w:val="FigureHeading"/>
        <w:numPr>
          <w:ilvl w:val="0"/>
          <w:numId w:val="0"/>
        </w:numPr>
        <w:ind w:left="284"/>
      </w:pPr>
      <w:r>
        <w:rPr>
          <w:noProof/>
          <w:lang w:val="en-AU"/>
        </w:rPr>
        <mc:AlternateContent>
          <mc:Choice Requires="wps">
            <w:drawing>
              <wp:anchor distT="0" distB="0" distL="114300" distR="114300" simplePos="0" relativeHeight="251703808" behindDoc="0" locked="0" layoutInCell="1" allowOverlap="1" wp14:anchorId="585EE118" wp14:editId="4AEE41D7">
                <wp:simplePos x="0" y="0"/>
                <wp:positionH relativeFrom="column">
                  <wp:posOffset>-248285</wp:posOffset>
                </wp:positionH>
                <wp:positionV relativeFrom="paragraph">
                  <wp:posOffset>-21590</wp:posOffset>
                </wp:positionV>
                <wp:extent cx="2009775" cy="476885"/>
                <wp:effectExtent l="4445" t="0" r="0" b="2540"/>
                <wp:wrapNone/>
                <wp:docPr id="94"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F2B8A" w14:textId="77777777" w:rsidR="00CE3B2C" w:rsidRPr="00A01209" w:rsidRDefault="00CE3B2C" w:rsidP="00C5026B">
                            <w:pPr>
                              <w:spacing w:before="0" w:after="0"/>
                              <w:jc w:val="center"/>
                              <w:rPr>
                                <w:rFonts w:ascii="Arial" w:hAnsi="Arial"/>
                                <w:sz w:val="16"/>
                                <w:szCs w:val="16"/>
                              </w:rPr>
                            </w:pPr>
                            <w:r w:rsidRPr="00A01209">
                              <w:rPr>
                                <w:rFonts w:ascii="Arial" w:hAnsi="Arial"/>
                                <w:sz w:val="16"/>
                                <w:szCs w:val="16"/>
                              </w:rPr>
                              <w:t>Minister for Veterans’ Affairs</w:t>
                            </w:r>
                          </w:p>
                          <w:p w14:paraId="626615A9" w14:textId="77777777" w:rsidR="00CE3B2C" w:rsidRPr="00A01209" w:rsidRDefault="00CE3B2C" w:rsidP="00C5026B">
                            <w:pPr>
                              <w:pStyle w:val="OrgChart"/>
                              <w:jc w:val="center"/>
                              <w:rPr>
                                <w:rFonts w:ascii="Arial" w:hAnsi="Arial"/>
                                <w:szCs w:val="16"/>
                              </w:rPr>
                            </w:pPr>
                            <w:r w:rsidRPr="00A01209">
                              <w:rPr>
                                <w:rFonts w:ascii="Arial" w:hAnsi="Arial"/>
                                <w:szCs w:val="16"/>
                              </w:rPr>
                              <w:t>Minister for Defence Personnel</w:t>
                            </w:r>
                          </w:p>
                          <w:p w14:paraId="0159EE02" w14:textId="77777777" w:rsidR="00CE3B2C" w:rsidRPr="00A01209" w:rsidRDefault="00CE3B2C" w:rsidP="00C5026B">
                            <w:pPr>
                              <w:spacing w:before="0" w:after="0"/>
                              <w:jc w:val="center"/>
                              <w:rPr>
                                <w:rFonts w:ascii="Arial" w:hAnsi="Arial"/>
                                <w:sz w:val="16"/>
                                <w:szCs w:val="16"/>
                              </w:rPr>
                            </w:pPr>
                            <w:r w:rsidRPr="00A01209">
                              <w:rPr>
                                <w:rFonts w:ascii="Arial" w:hAnsi="Arial"/>
                                <w:sz w:val="16"/>
                                <w:szCs w:val="16"/>
                              </w:rPr>
                              <w:t>The Hon Matt Keogh 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EE118" id="Text Box 579" o:spid="_x0000_s1060" type="#_x0000_t202" style="position:absolute;left:0;text-align:left;margin-left:-19.55pt;margin-top:-1.7pt;width:158.25pt;height:37.5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" filled="f" stroked="f">
                <v:textbox>
                  <w:txbxContent>
                    <w:p w14:paraId="30EF2B8A" w14:textId="77777777" w:rsidR="00CE3B2C" w:rsidRPr="00A01209" w:rsidRDefault="00CE3B2C" w:rsidP="00C5026B">
                      <w:pPr>
                        <w:spacing w:before="0" w:after="0"/>
                        <w:jc w:val="center"/>
                        <w:rPr>
                          <w:rFonts w:ascii="Arial" w:hAnsi="Arial"/>
                          <w:sz w:val="16"/>
                          <w:szCs w:val="16"/>
                        </w:rPr>
                      </w:pPr>
                      <w:r w:rsidRPr="00A01209">
                        <w:rPr>
                          <w:rFonts w:ascii="Arial" w:hAnsi="Arial"/>
                          <w:sz w:val="16"/>
                          <w:szCs w:val="16"/>
                        </w:rPr>
                        <w:t>Minister for Veterans’ Affairs</w:t>
                      </w:r>
                    </w:p>
                    <w:p w14:paraId="626615A9" w14:textId="77777777" w:rsidR="00CE3B2C" w:rsidRPr="00A01209" w:rsidRDefault="00CE3B2C" w:rsidP="00C5026B">
                      <w:pPr>
                        <w:pStyle w:val="OrgChart"/>
                        <w:jc w:val="center"/>
                        <w:rPr>
                          <w:rFonts w:ascii="Arial" w:hAnsi="Arial"/>
                          <w:szCs w:val="16"/>
                        </w:rPr>
                      </w:pPr>
                      <w:r w:rsidRPr="00A01209">
                        <w:rPr>
                          <w:rFonts w:ascii="Arial" w:hAnsi="Arial"/>
                          <w:szCs w:val="16"/>
                        </w:rPr>
                        <w:t>Minister for Defence Personnel</w:t>
                      </w:r>
                    </w:p>
                    <w:p w14:paraId="0159EE02" w14:textId="77777777" w:rsidR="00CE3B2C" w:rsidRPr="00A01209" w:rsidRDefault="00CE3B2C" w:rsidP="00C5026B">
                      <w:pPr>
                        <w:spacing w:before="0" w:after="0"/>
                        <w:jc w:val="center"/>
                        <w:rPr>
                          <w:rFonts w:ascii="Arial" w:hAnsi="Arial"/>
                          <w:sz w:val="16"/>
                          <w:szCs w:val="16"/>
                        </w:rPr>
                      </w:pPr>
                      <w:r w:rsidRPr="00A01209">
                        <w:rPr>
                          <w:rFonts w:ascii="Arial" w:hAnsi="Arial"/>
                          <w:sz w:val="16"/>
                          <w:szCs w:val="16"/>
                        </w:rPr>
                        <w:t>The Hon Matt Keogh MP</w:t>
                      </w:r>
                    </w:p>
                  </w:txbxContent>
                </v:textbox>
              </v:shape>
            </w:pict>
          </mc:Fallback>
        </mc:AlternateContent>
      </w:r>
      <w:r w:rsidRPr="0024682A">
        <w:rPr>
          <w:noProof/>
          <w:lang w:val="en-AU"/>
        </w:rPr>
        <mc:AlternateContent>
          <mc:Choice Requires="wps">
            <w:drawing>
              <wp:anchor distT="0" distB="0" distL="114300" distR="114300" simplePos="0" relativeHeight="251633152" behindDoc="0" locked="0" layoutInCell="1" allowOverlap="1" wp14:anchorId="3160B311" wp14:editId="65C26479">
                <wp:simplePos x="0" y="0"/>
                <wp:positionH relativeFrom="column">
                  <wp:posOffset>102235</wp:posOffset>
                </wp:positionH>
                <wp:positionV relativeFrom="paragraph">
                  <wp:posOffset>10097770</wp:posOffset>
                </wp:positionV>
                <wp:extent cx="1943100" cy="457200"/>
                <wp:effectExtent l="0" t="0" r="0" b="0"/>
                <wp:wrapNone/>
                <wp:docPr id="93"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FD27A0" w14:textId="77777777" w:rsidR="00CE3B2C" w:rsidRDefault="00CE3B2C" w:rsidP="00A60329">
                            <w:pPr>
                              <w:pStyle w:val="OrgChart"/>
                              <w:rPr>
                                <w:lang w:val="en-AU"/>
                              </w:rPr>
                            </w:pPr>
                          </w:p>
                          <w:p w14:paraId="47E6045C" w14:textId="77777777" w:rsidR="00CE3B2C" w:rsidRDefault="00CE3B2C" w:rsidP="00A60329">
                            <w:pPr>
                              <w:pStyle w:val="OrgChart"/>
                              <w:rPr>
                                <w:lang w:val="en-AU"/>
                              </w:rPr>
                            </w:pPr>
                            <w:r>
                              <w:rPr>
                                <w:lang w:val="en-AU"/>
                              </w:rPr>
                              <w:t>Stars (</w:t>
                            </w:r>
                            <w:r>
                              <w:rPr>
                                <w:vertAlign w:val="subscript"/>
                                <w:lang w:val="en-AU"/>
                              </w:rPr>
                              <w:t>*</w:t>
                            </w:r>
                            <w:r>
                              <w:rPr>
                                <w:lang w:val="en-AU"/>
                              </w:rPr>
                              <w:t>) refer to ADF Star Rank</w:t>
                            </w:r>
                            <w:r>
                              <w:rPr>
                                <w:lang w:val="en-AU"/>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0B311" id="Text Box 578" o:spid="_x0000_s1061" type="#_x0000_t202" style="position:absolute;left:0;text-align:left;margin-left:8.05pt;margin-top:795.1pt;width:153pt;height:3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" stroked="f">
                <v:textbox>
                  <w:txbxContent>
                    <w:p w14:paraId="61FD27A0" w14:textId="77777777" w:rsidR="00CE3B2C" w:rsidRDefault="00CE3B2C" w:rsidP="00A60329">
                      <w:pPr>
                        <w:pStyle w:val="OrgChart"/>
                        <w:rPr>
                          <w:lang w:val="en-AU"/>
                        </w:rPr>
                      </w:pPr>
                    </w:p>
                    <w:p w14:paraId="47E6045C" w14:textId="77777777" w:rsidR="00CE3B2C" w:rsidRDefault="00CE3B2C" w:rsidP="00A60329">
                      <w:pPr>
                        <w:pStyle w:val="OrgChart"/>
                        <w:rPr>
                          <w:lang w:val="en-AU"/>
                        </w:rPr>
                      </w:pPr>
                      <w:r>
                        <w:rPr>
                          <w:lang w:val="en-AU"/>
                        </w:rPr>
                        <w:t>Stars (</w:t>
                      </w:r>
                      <w:r>
                        <w:rPr>
                          <w:vertAlign w:val="subscript"/>
                          <w:lang w:val="en-AU"/>
                        </w:rPr>
                        <w:t>*</w:t>
                      </w:r>
                      <w:r>
                        <w:rPr>
                          <w:lang w:val="en-AU"/>
                        </w:rPr>
                        <w:t>) refer to ADF Star Rank</w:t>
                      </w:r>
                      <w:r>
                        <w:rPr>
                          <w:lang w:val="en-AU"/>
                        </w:rPr>
                        <w:br/>
                      </w:r>
                    </w:p>
                  </w:txbxContent>
                </v:textbox>
              </v:shape>
            </w:pict>
          </mc:Fallback>
        </mc:AlternateContent>
      </w:r>
    </w:p>
    <w:p w14:paraId="59C30F7D" w14:textId="77777777" w:rsidR="00A60329" w:rsidRPr="0024682A" w:rsidRDefault="0085144D" w:rsidP="00A60329">
      <w:pPr>
        <w:pStyle w:val="FigureHeading"/>
        <w:numPr>
          <w:ilvl w:val="0"/>
          <w:numId w:val="0"/>
        </w:numPr>
        <w:ind w:left="284"/>
        <w:rPr>
          <w:szCs w:val="20"/>
        </w:rPr>
      </w:pPr>
      <w:r w:rsidRPr="0024682A">
        <w:rPr>
          <w:noProof/>
          <w:lang w:val="en-AU"/>
        </w:rPr>
        <mc:AlternateContent>
          <mc:Choice Requires="wps">
            <w:drawing>
              <wp:anchor distT="0" distB="0" distL="114299" distR="114299" simplePos="0" relativeHeight="251660800" behindDoc="0" locked="0" layoutInCell="1" allowOverlap="1" wp14:anchorId="6D9552DE" wp14:editId="1498F17B">
                <wp:simplePos x="0" y="0"/>
                <wp:positionH relativeFrom="column">
                  <wp:posOffset>763270</wp:posOffset>
                </wp:positionH>
                <wp:positionV relativeFrom="paragraph">
                  <wp:posOffset>243840</wp:posOffset>
                </wp:positionV>
                <wp:extent cx="0" cy="154305"/>
                <wp:effectExtent l="6350" t="11430" r="12700" b="5715"/>
                <wp:wrapNone/>
                <wp:docPr id="92"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54305"/>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332C0B3C" id="Straight Connector 575" o:spid="_x0000_s1026" style="position:absolute;flip:y;z-index:25166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60.1pt,19.2pt" to="60.1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">
                <v:stroke joinstyle="miter"/>
                <o:lock v:ext="edit" shapetype="f"/>
              </v:line>
            </w:pict>
          </mc:Fallback>
        </mc:AlternateContent>
      </w:r>
      <w:r w:rsidRPr="0024682A">
        <w:rPr>
          <w:noProof/>
          <w:lang w:val="en-AU"/>
        </w:rPr>
        <mc:AlternateContent>
          <mc:Choice Requires="wps">
            <w:drawing>
              <wp:anchor distT="0" distB="0" distL="114299" distR="114299" simplePos="0" relativeHeight="251661824" behindDoc="0" locked="0" layoutInCell="1" allowOverlap="1" wp14:anchorId="4A74C5A3" wp14:editId="7CCEE2C4">
                <wp:simplePos x="0" y="0"/>
                <wp:positionH relativeFrom="column">
                  <wp:posOffset>4509770</wp:posOffset>
                </wp:positionH>
                <wp:positionV relativeFrom="paragraph">
                  <wp:posOffset>243840</wp:posOffset>
                </wp:positionV>
                <wp:extent cx="0" cy="160655"/>
                <wp:effectExtent l="9525" t="11430" r="9525" b="8890"/>
                <wp:wrapNone/>
                <wp:docPr id="91"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60655"/>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457C55D0" id="Straight Connector 575" o:spid="_x0000_s1026" style="position:absolute;flip:y;z-index:25166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55.1pt,19.2pt" to="355.1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">
                <v:stroke joinstyle="miter"/>
                <o:lock v:ext="edit" shapetype="f"/>
              </v:line>
            </w:pict>
          </mc:Fallback>
        </mc:AlternateContent>
      </w:r>
    </w:p>
    <w:p w14:paraId="2B36057A" w14:textId="617FB2D2" w:rsidR="00A60329" w:rsidRPr="0024682A" w:rsidRDefault="00CD03A8" w:rsidP="00A60329">
      <w:pPr>
        <w:pStyle w:val="FigureHeading"/>
        <w:numPr>
          <w:ilvl w:val="0"/>
          <w:numId w:val="0"/>
        </w:numPr>
        <w:ind w:left="284"/>
      </w:pPr>
      <w:r w:rsidRPr="0024682A">
        <w:rPr>
          <w:noProof/>
          <w:lang w:val="en-AU"/>
        </w:rPr>
        <mc:AlternateContent>
          <mc:Choice Requires="wps">
            <w:drawing>
              <wp:anchor distT="0" distB="0" distL="114299" distR="114299" simplePos="0" relativeHeight="251663872" behindDoc="0" locked="0" layoutInCell="1" allowOverlap="1" wp14:anchorId="723010BD" wp14:editId="3E402151">
                <wp:simplePos x="0" y="0"/>
                <wp:positionH relativeFrom="column">
                  <wp:posOffset>2515552</wp:posOffset>
                </wp:positionH>
                <wp:positionV relativeFrom="paragraph">
                  <wp:posOffset>114300</wp:posOffset>
                </wp:positionV>
                <wp:extent cx="0" cy="171450"/>
                <wp:effectExtent l="9525" t="12065" r="9525" b="6985"/>
                <wp:wrapNone/>
                <wp:docPr id="88"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7145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118EF48D" id="Straight Connector 575" o:spid="_x0000_s1026" style="position:absolute;flip:y;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98.05pt,9pt" to="198.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">
                <v:stroke joinstyle="miter"/>
                <o:lock v:ext="edit" shapetype="f"/>
              </v:line>
            </w:pict>
          </mc:Fallback>
        </mc:AlternateContent>
      </w:r>
      <w:r w:rsidR="0085144D" w:rsidRPr="0024682A">
        <w:rPr>
          <w:noProof/>
          <w:lang w:val="en-AU"/>
        </w:rPr>
        <mc:AlternateContent>
          <mc:Choice Requires="wps">
            <w:drawing>
              <wp:anchor distT="0" distB="0" distL="114300" distR="114300" simplePos="0" relativeHeight="251662848" behindDoc="0" locked="0" layoutInCell="1" allowOverlap="1" wp14:anchorId="27DE7044" wp14:editId="5E394D88">
                <wp:simplePos x="0" y="0"/>
                <wp:positionH relativeFrom="column">
                  <wp:posOffset>763270</wp:posOffset>
                </wp:positionH>
                <wp:positionV relativeFrom="paragraph">
                  <wp:posOffset>129540</wp:posOffset>
                </wp:positionV>
                <wp:extent cx="3746500" cy="1905"/>
                <wp:effectExtent l="6350" t="8255" r="9525" b="8890"/>
                <wp:wrapNone/>
                <wp:docPr id="89"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650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C225D" id="Line 47"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10.2pt" to="355.1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"/>
            </w:pict>
          </mc:Fallback>
        </mc:AlternateContent>
      </w:r>
    </w:p>
    <w:p w14:paraId="527CF5B5" w14:textId="77777777" w:rsidR="00A60329" w:rsidRPr="0024682A" w:rsidRDefault="0085144D" w:rsidP="00A60329">
      <w:pPr>
        <w:pStyle w:val="FigureHeading"/>
        <w:numPr>
          <w:ilvl w:val="0"/>
          <w:numId w:val="0"/>
        </w:numPr>
        <w:ind w:left="644" w:hanging="360"/>
        <w:rPr>
          <w:szCs w:val="20"/>
        </w:rPr>
      </w:pPr>
      <w:r w:rsidRPr="0024682A">
        <w:rPr>
          <w:noProof/>
          <w:lang w:val="en-AU"/>
        </w:rPr>
        <mc:AlternateContent>
          <mc:Choice Requires="wps">
            <w:drawing>
              <wp:anchor distT="0" distB="0" distL="114299" distR="114299" simplePos="0" relativeHeight="251664896" behindDoc="0" locked="0" layoutInCell="1" allowOverlap="1" wp14:anchorId="2B73F1DE" wp14:editId="1A128EF1">
                <wp:simplePos x="0" y="0"/>
                <wp:positionH relativeFrom="column">
                  <wp:posOffset>3781425</wp:posOffset>
                </wp:positionH>
                <wp:positionV relativeFrom="paragraph">
                  <wp:posOffset>24130</wp:posOffset>
                </wp:positionV>
                <wp:extent cx="0" cy="171450"/>
                <wp:effectExtent l="5080" t="13970" r="13970" b="5080"/>
                <wp:wrapNone/>
                <wp:docPr id="87"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7145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79AEBF0C" id="Straight Connector 575" o:spid="_x0000_s1026" style="position:absolute;flip:y;z-index:2516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97.75pt,1.9pt" to="297.7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">
                <v:stroke joinstyle="miter"/>
                <o:lock v:ext="edit" shapetype="f"/>
              </v:line>
            </w:pict>
          </mc:Fallback>
        </mc:AlternateContent>
      </w:r>
      <w:r w:rsidRPr="0024682A">
        <w:rPr>
          <w:noProof/>
          <w:lang w:val="en-AU"/>
        </w:rPr>
        <mc:AlternateContent>
          <mc:Choice Requires="wps">
            <w:drawing>
              <wp:anchor distT="0" distB="0" distL="114300" distR="114300" simplePos="0" relativeHeight="251676160" behindDoc="0" locked="0" layoutInCell="1" allowOverlap="1" wp14:anchorId="55027D5B" wp14:editId="5B8FE2AD">
                <wp:simplePos x="0" y="0"/>
                <wp:positionH relativeFrom="column">
                  <wp:posOffset>1379855</wp:posOffset>
                </wp:positionH>
                <wp:positionV relativeFrom="paragraph">
                  <wp:posOffset>20320</wp:posOffset>
                </wp:positionV>
                <wp:extent cx="2407285" cy="0"/>
                <wp:effectExtent l="13335" t="10160" r="8255" b="8890"/>
                <wp:wrapNone/>
                <wp:docPr id="8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7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EABF7" id="Line 47"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65pt,1.6pt" to="298.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DNbFA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"/>
            </w:pict>
          </mc:Fallback>
        </mc:AlternateContent>
      </w:r>
      <w:r w:rsidRPr="0024682A">
        <w:rPr>
          <w:noProof/>
          <w:szCs w:val="20"/>
          <w:lang w:val="en-AU"/>
        </w:rPr>
        <mc:AlternateContent>
          <mc:Choice Requires="wps">
            <w:drawing>
              <wp:anchor distT="0" distB="0" distL="114299" distR="114299" simplePos="0" relativeHeight="251665920" behindDoc="0" locked="0" layoutInCell="1" allowOverlap="1" wp14:anchorId="39F7DFCA" wp14:editId="75511329">
                <wp:simplePos x="0" y="0"/>
                <wp:positionH relativeFrom="column">
                  <wp:posOffset>1384300</wp:posOffset>
                </wp:positionH>
                <wp:positionV relativeFrom="paragraph">
                  <wp:posOffset>23495</wp:posOffset>
                </wp:positionV>
                <wp:extent cx="0" cy="171450"/>
                <wp:effectExtent l="8255" t="13335" r="10795" b="5715"/>
                <wp:wrapNone/>
                <wp:docPr id="85"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7145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1665F9A8" id="Straight Connector 575" o:spid="_x0000_s1026" style="position:absolute;flip:y;z-index:25166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09pt,1.85pt" to="109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">
                <v:stroke joinstyle="miter"/>
                <o:lock v:ext="edit" shapetype="f"/>
              </v:line>
            </w:pict>
          </mc:Fallback>
        </mc:AlternateContent>
      </w:r>
      <w:r w:rsidRPr="0024682A">
        <w:rPr>
          <w:noProof/>
          <w:lang w:val="en-AU"/>
        </w:rPr>
        <mc:AlternateContent>
          <mc:Choice Requires="wps">
            <w:drawing>
              <wp:anchor distT="0" distB="0" distL="114300" distR="114300" simplePos="0" relativeHeight="251631104" behindDoc="0" locked="0" layoutInCell="1" allowOverlap="1" wp14:anchorId="4258F060" wp14:editId="690A5CAD">
                <wp:simplePos x="0" y="0"/>
                <wp:positionH relativeFrom="column">
                  <wp:posOffset>473075</wp:posOffset>
                </wp:positionH>
                <wp:positionV relativeFrom="paragraph">
                  <wp:posOffset>197485</wp:posOffset>
                </wp:positionV>
                <wp:extent cx="1714500" cy="461010"/>
                <wp:effectExtent l="0" t="0" r="0" b="0"/>
                <wp:wrapNone/>
                <wp:docPr id="84"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6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BCDFF0" w14:textId="77777777" w:rsidR="00CE3B2C" w:rsidRPr="00A01209" w:rsidRDefault="00CE3B2C" w:rsidP="00A60329">
                            <w:pPr>
                              <w:pStyle w:val="OrgChart"/>
                              <w:jc w:val="center"/>
                              <w:rPr>
                                <w:rFonts w:ascii="Arial" w:hAnsi="Arial"/>
                                <w:lang w:val="en-AU"/>
                              </w:rPr>
                            </w:pPr>
                            <w:r w:rsidRPr="00A01209">
                              <w:rPr>
                                <w:rFonts w:ascii="Arial" w:hAnsi="Arial"/>
                                <w:lang w:val="en-AU"/>
                              </w:rPr>
                              <w:t xml:space="preserve">Secretary </w:t>
                            </w:r>
                            <w:r w:rsidRPr="00A01209">
                              <w:rPr>
                                <w:rFonts w:ascii="Arial" w:hAnsi="Arial"/>
                                <w:lang w:val="en-AU"/>
                              </w:rPr>
                              <w:br/>
                              <w:t>Mr Greg Moriarty</w:t>
                            </w:r>
                            <w:r>
                              <w:rPr>
                                <w:rFonts w:ascii="Arial" w:hAnsi="Arial"/>
                                <w:lang w:val="en-AU"/>
                              </w:rPr>
                              <w:t>, 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8F060" id="Text Box 570" o:spid="_x0000_s1062" type="#_x0000_t202" style="position:absolute;left:0;text-align:left;margin-left:37.25pt;margin-top:15.55pt;width:135pt;height:36.3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" stroked="f">
                <v:textbox>
                  <w:txbxContent>
                    <w:p w14:paraId="27BCDFF0" w14:textId="77777777" w:rsidR="00CE3B2C" w:rsidRPr="00A01209" w:rsidRDefault="00CE3B2C" w:rsidP="00A60329">
                      <w:pPr>
                        <w:pStyle w:val="OrgChart"/>
                        <w:jc w:val="center"/>
                        <w:rPr>
                          <w:rFonts w:ascii="Arial" w:hAnsi="Arial"/>
                          <w:lang w:val="en-AU"/>
                        </w:rPr>
                      </w:pPr>
                      <w:r w:rsidRPr="00A01209">
                        <w:rPr>
                          <w:rFonts w:ascii="Arial" w:hAnsi="Arial"/>
                          <w:lang w:val="en-AU"/>
                        </w:rPr>
                        <w:t xml:space="preserve">Secretary </w:t>
                      </w:r>
                      <w:r w:rsidRPr="00A01209">
                        <w:rPr>
                          <w:rFonts w:ascii="Arial" w:hAnsi="Arial"/>
                          <w:lang w:val="en-AU"/>
                        </w:rPr>
                        <w:br/>
                        <w:t>Mr Greg Moriarty</w:t>
                      </w:r>
                      <w:r>
                        <w:rPr>
                          <w:rFonts w:ascii="Arial" w:hAnsi="Arial"/>
                          <w:lang w:val="en-AU"/>
                        </w:rPr>
                        <w:t>, AO</w:t>
                      </w:r>
                    </w:p>
                  </w:txbxContent>
                </v:textbox>
              </v:shape>
            </w:pict>
          </mc:Fallback>
        </mc:AlternateContent>
      </w:r>
      <w:r w:rsidRPr="0024682A">
        <w:rPr>
          <w:noProof/>
          <w:lang w:val="en-AU"/>
        </w:rPr>
        <mc:AlternateContent>
          <mc:Choice Requires="wps">
            <w:drawing>
              <wp:anchor distT="0" distB="0" distL="114300" distR="114300" simplePos="0" relativeHeight="251632128" behindDoc="0" locked="0" layoutInCell="1" allowOverlap="1" wp14:anchorId="4D9255D4" wp14:editId="01F37EF6">
                <wp:simplePos x="0" y="0"/>
                <wp:positionH relativeFrom="column">
                  <wp:posOffset>2746375</wp:posOffset>
                </wp:positionH>
                <wp:positionV relativeFrom="paragraph">
                  <wp:posOffset>197485</wp:posOffset>
                </wp:positionV>
                <wp:extent cx="2032635" cy="478790"/>
                <wp:effectExtent l="0" t="0" r="0" b="0"/>
                <wp:wrapNone/>
                <wp:docPr id="83"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478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4B69EB" w14:textId="77777777" w:rsidR="00CE3B2C" w:rsidRPr="00A01209" w:rsidRDefault="00CE3B2C" w:rsidP="00A60329">
                            <w:pPr>
                              <w:pStyle w:val="OrgChart"/>
                              <w:jc w:val="center"/>
                              <w:rPr>
                                <w:rFonts w:ascii="Arial" w:hAnsi="Arial"/>
                                <w:lang w:val="en-AU"/>
                              </w:rPr>
                            </w:pPr>
                            <w:r w:rsidRPr="00A01209">
                              <w:rPr>
                                <w:rFonts w:ascii="Arial" w:hAnsi="Arial"/>
                                <w:lang w:val="en-AU"/>
                              </w:rPr>
                              <w:t>Chief of the Defence Force</w:t>
                            </w:r>
                            <w:r w:rsidRPr="00A01209">
                              <w:rPr>
                                <w:rFonts w:ascii="Arial" w:hAnsi="Arial"/>
                                <w:lang w:val="en-AU"/>
                              </w:rPr>
                              <w:br/>
                            </w:r>
                            <w:r w:rsidRPr="00D507BB">
                              <w:rPr>
                                <w:rFonts w:ascii="Arial" w:hAnsi="Arial"/>
                                <w:lang w:val="en-AU"/>
                              </w:rPr>
                              <w:t>Admiral David Johnston, AC 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255D4" id="Text Box 569" o:spid="_x0000_s1063" type="#_x0000_t202" style="position:absolute;left:0;text-align:left;margin-left:216.25pt;margin-top:15.55pt;width:160.05pt;height:37.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PUTiA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" stroked="f">
                <v:textbox>
                  <w:txbxContent>
                    <w:p w14:paraId="3C4B69EB" w14:textId="77777777" w:rsidR="00CE3B2C" w:rsidRPr="00A01209" w:rsidRDefault="00CE3B2C" w:rsidP="00A60329">
                      <w:pPr>
                        <w:pStyle w:val="OrgChart"/>
                        <w:jc w:val="center"/>
                        <w:rPr>
                          <w:rFonts w:ascii="Arial" w:hAnsi="Arial"/>
                          <w:lang w:val="en-AU"/>
                        </w:rPr>
                      </w:pPr>
                      <w:r w:rsidRPr="00A01209">
                        <w:rPr>
                          <w:rFonts w:ascii="Arial" w:hAnsi="Arial"/>
                          <w:lang w:val="en-AU"/>
                        </w:rPr>
                        <w:t>Chief of the Defence Force</w:t>
                      </w:r>
                      <w:r w:rsidRPr="00A01209">
                        <w:rPr>
                          <w:rFonts w:ascii="Arial" w:hAnsi="Arial"/>
                          <w:lang w:val="en-AU"/>
                        </w:rPr>
                        <w:br/>
                      </w:r>
                      <w:r w:rsidRPr="00D507BB">
                        <w:rPr>
                          <w:rFonts w:ascii="Arial" w:hAnsi="Arial"/>
                          <w:lang w:val="en-AU"/>
                        </w:rPr>
                        <w:t>Admiral David Johnston, AC RAN</w:t>
                      </w:r>
                    </w:p>
                  </w:txbxContent>
                </v:textbox>
              </v:shape>
            </w:pict>
          </mc:Fallback>
        </mc:AlternateContent>
      </w:r>
    </w:p>
    <w:p w14:paraId="1EEAF92C" w14:textId="77777777" w:rsidR="00A60329" w:rsidRPr="0024682A" w:rsidRDefault="00A60329" w:rsidP="00A60329">
      <w:pPr>
        <w:pStyle w:val="FigureHeading"/>
        <w:numPr>
          <w:ilvl w:val="0"/>
          <w:numId w:val="0"/>
        </w:numPr>
        <w:ind w:left="284"/>
      </w:pPr>
    </w:p>
    <w:p w14:paraId="3765CD59" w14:textId="076FFAB5" w:rsidR="00A60329" w:rsidRPr="0024682A" w:rsidRDefault="0094625E" w:rsidP="00A60329">
      <w:pPr>
        <w:pStyle w:val="FigureHeading"/>
        <w:numPr>
          <w:ilvl w:val="0"/>
          <w:numId w:val="0"/>
        </w:numPr>
        <w:ind w:left="284"/>
        <w:rPr>
          <w:szCs w:val="20"/>
        </w:rPr>
      </w:pPr>
      <w:r>
        <w:rPr>
          <w:noProof/>
          <w:lang w:val="en-AU"/>
        </w:rPr>
        <mc:AlternateContent>
          <mc:Choice Requires="wps">
            <w:drawing>
              <wp:anchor distT="0" distB="0" distL="114300" distR="114300" simplePos="0" relativeHeight="251719168" behindDoc="0" locked="0" layoutInCell="1" allowOverlap="1" wp14:anchorId="6DF1AD05" wp14:editId="63DC7AFD">
                <wp:simplePos x="0" y="0"/>
                <wp:positionH relativeFrom="column">
                  <wp:posOffset>330656</wp:posOffset>
                </wp:positionH>
                <wp:positionV relativeFrom="paragraph">
                  <wp:posOffset>219749</wp:posOffset>
                </wp:positionV>
                <wp:extent cx="0" cy="4134434"/>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0" cy="4134434"/>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636C6FE" id="Straight Connector 22" o:spid="_x0000_s1026" style="position:absolute;z-index:251719168;visibility:visible;mso-wrap-style:square;mso-wrap-distance-left:9pt;mso-wrap-distance-top:0;mso-wrap-distance-right:9pt;mso-wrap-distance-bottom:0;mso-position-horizontal:absolute;mso-position-horizontal-relative:text;mso-position-vertical:absolute;mso-position-vertical-relative:text" from="26.05pt,17.3pt" to="26.05pt,3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" strokecolor="black [3200]" strokeweight="1pt">
                <v:stroke joinstyle="miter"/>
              </v:line>
            </w:pict>
          </mc:Fallback>
        </mc:AlternateContent>
      </w:r>
      <w:r w:rsidR="0085144D" w:rsidRPr="0024682A">
        <w:rPr>
          <w:noProof/>
          <w:lang w:val="en-AU"/>
        </w:rPr>
        <mc:AlternateContent>
          <mc:Choice Requires="wps">
            <w:drawing>
              <wp:anchor distT="0" distB="0" distL="114300" distR="114300" simplePos="0" relativeHeight="251650560" behindDoc="0" locked="0" layoutInCell="1" allowOverlap="1" wp14:anchorId="19BF2773" wp14:editId="02E36857">
                <wp:simplePos x="0" y="0"/>
                <wp:positionH relativeFrom="column">
                  <wp:posOffset>2930525</wp:posOffset>
                </wp:positionH>
                <wp:positionV relativeFrom="paragraph">
                  <wp:posOffset>224790</wp:posOffset>
                </wp:positionV>
                <wp:extent cx="8890" cy="3040380"/>
                <wp:effectExtent l="11430" t="8255" r="8255" b="8890"/>
                <wp:wrapNone/>
                <wp:docPr id="81" name="Straight Connector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3040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A8E47" id="Straight Connector 567"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75pt,17.7pt" to="231.45pt,2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"/>
            </w:pict>
          </mc:Fallback>
        </mc:AlternateContent>
      </w:r>
      <w:r w:rsidR="0085144D" w:rsidRPr="0024682A">
        <w:rPr>
          <w:noProof/>
          <w:lang w:val="en-AU"/>
        </w:rPr>
        <mc:AlternateContent>
          <mc:Choice Requires="wps">
            <w:drawing>
              <wp:anchor distT="0" distB="0" distL="114299" distR="114299" simplePos="0" relativeHeight="251668992" behindDoc="0" locked="0" layoutInCell="1" allowOverlap="1" wp14:anchorId="592E004E" wp14:editId="54CEA107">
                <wp:simplePos x="0" y="0"/>
                <wp:positionH relativeFrom="column">
                  <wp:posOffset>3781425</wp:posOffset>
                </wp:positionH>
                <wp:positionV relativeFrom="paragraph">
                  <wp:posOffset>109220</wp:posOffset>
                </wp:positionV>
                <wp:extent cx="0" cy="115570"/>
                <wp:effectExtent l="5080" t="6985" r="13970" b="10795"/>
                <wp:wrapNone/>
                <wp:docPr id="80"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1557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2E4781FC" id="Straight Connector 575" o:spid="_x0000_s1026" style="position:absolute;flip:y;z-index:251668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97.75pt,8.6pt" to="297.7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">
                <v:stroke joinstyle="miter"/>
                <o:lock v:ext="edit" shapetype="f"/>
              </v:line>
            </w:pict>
          </mc:Fallback>
        </mc:AlternateContent>
      </w:r>
      <w:r w:rsidR="0085144D" w:rsidRPr="0024682A">
        <w:rPr>
          <w:noProof/>
          <w:lang w:val="en-AU"/>
        </w:rPr>
        <mc:AlternateContent>
          <mc:Choice Requires="wps">
            <w:drawing>
              <wp:anchor distT="0" distB="0" distL="114300" distR="114300" simplePos="0" relativeHeight="251640320" behindDoc="0" locked="0" layoutInCell="1" allowOverlap="1" wp14:anchorId="16046A94" wp14:editId="42796BDC">
                <wp:simplePos x="0" y="0"/>
                <wp:positionH relativeFrom="column">
                  <wp:posOffset>329565</wp:posOffset>
                </wp:positionH>
                <wp:positionV relativeFrom="paragraph">
                  <wp:posOffset>224790</wp:posOffset>
                </wp:positionV>
                <wp:extent cx="5038725" cy="0"/>
                <wp:effectExtent l="10795" t="8255" r="8255" b="10795"/>
                <wp:wrapNone/>
                <wp:docPr id="79"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8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8BE5C" id="Line 47"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17.7pt" to="422.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"/>
            </w:pict>
          </mc:Fallback>
        </mc:AlternateContent>
      </w:r>
      <w:r w:rsidR="0085144D" w:rsidRPr="0024682A">
        <w:rPr>
          <w:noProof/>
          <w:szCs w:val="20"/>
          <w:lang w:val="en-AU"/>
        </w:rPr>
        <mc:AlternateContent>
          <mc:Choice Requires="wps">
            <w:drawing>
              <wp:anchor distT="0" distB="0" distL="114299" distR="114299" simplePos="0" relativeHeight="251667968" behindDoc="0" locked="0" layoutInCell="1" allowOverlap="1" wp14:anchorId="472BA453" wp14:editId="704BCFFA">
                <wp:simplePos x="0" y="0"/>
                <wp:positionH relativeFrom="column">
                  <wp:posOffset>1385570</wp:posOffset>
                </wp:positionH>
                <wp:positionV relativeFrom="paragraph">
                  <wp:posOffset>109220</wp:posOffset>
                </wp:positionV>
                <wp:extent cx="0" cy="115570"/>
                <wp:effectExtent l="9525" t="6985" r="9525" b="10795"/>
                <wp:wrapNone/>
                <wp:docPr id="78"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1557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1475F8C6" id="Straight Connector 575" o:spid="_x0000_s1026" style="position:absolute;flip:y;z-index:25166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09.1pt,8.6pt" to="109.1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">
                <v:stroke joinstyle="miter"/>
                <o:lock v:ext="edit" shapetype="f"/>
              </v:line>
            </w:pict>
          </mc:Fallback>
        </mc:AlternateContent>
      </w:r>
    </w:p>
    <w:p w14:paraId="5783AA4B" w14:textId="77777777" w:rsidR="00A60329" w:rsidRPr="0024682A" w:rsidRDefault="0085144D" w:rsidP="00A60329">
      <w:pPr>
        <w:pStyle w:val="FigureHeading"/>
        <w:numPr>
          <w:ilvl w:val="0"/>
          <w:numId w:val="0"/>
        </w:numPr>
        <w:ind w:left="284"/>
        <w:rPr>
          <w:szCs w:val="20"/>
        </w:rPr>
      </w:pPr>
      <w:r w:rsidRPr="0024682A">
        <w:rPr>
          <w:noProof/>
          <w:lang w:val="en-AU"/>
        </w:rPr>
        <mc:AlternateContent>
          <mc:Choice Requires="wps">
            <w:drawing>
              <wp:anchor distT="0" distB="0" distL="114300" distR="114300" simplePos="0" relativeHeight="251644416" behindDoc="0" locked="0" layoutInCell="1" allowOverlap="1" wp14:anchorId="2776A322" wp14:editId="0D5D05D4">
                <wp:simplePos x="0" y="0"/>
                <wp:positionH relativeFrom="column">
                  <wp:posOffset>325755</wp:posOffset>
                </wp:positionH>
                <wp:positionV relativeFrom="paragraph">
                  <wp:posOffset>227330</wp:posOffset>
                </wp:positionV>
                <wp:extent cx="104775" cy="0"/>
                <wp:effectExtent l="6985" t="7620" r="12065" b="11430"/>
                <wp:wrapNone/>
                <wp:docPr id="77"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8271D" id="Line 54" o:spid="_x0000_s1026" style="position:absolute;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17.9pt" to="33.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"/>
            </w:pict>
          </mc:Fallback>
        </mc:AlternateContent>
      </w:r>
      <w:r w:rsidRPr="0024682A">
        <w:rPr>
          <w:noProof/>
          <w:lang w:val="en-AU"/>
        </w:rPr>
        <mc:AlternateContent>
          <mc:Choice Requires="wps">
            <w:drawing>
              <wp:anchor distT="0" distB="0" distL="114300" distR="114300" simplePos="0" relativeHeight="251641344" behindDoc="0" locked="0" layoutInCell="1" allowOverlap="1" wp14:anchorId="44B54B84" wp14:editId="7A1ED4F3">
                <wp:simplePos x="0" y="0"/>
                <wp:positionH relativeFrom="column">
                  <wp:posOffset>416560</wp:posOffset>
                </wp:positionH>
                <wp:positionV relativeFrom="paragraph">
                  <wp:posOffset>100330</wp:posOffset>
                </wp:positionV>
                <wp:extent cx="1611630" cy="325120"/>
                <wp:effectExtent l="2540" t="4445" r="0" b="3810"/>
                <wp:wrapNone/>
                <wp:docPr id="7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630" cy="32512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789AA97C" w14:textId="77777777" w:rsidR="00CE3B2C" w:rsidRPr="00A01209" w:rsidRDefault="00CE3B2C" w:rsidP="00A60329">
                            <w:pPr>
                              <w:pStyle w:val="OrgChart"/>
                              <w:rPr>
                                <w:rFonts w:ascii="Arial" w:hAnsi="Arial"/>
                                <w:lang w:val="en-AU"/>
                              </w:rPr>
                            </w:pPr>
                            <w:r>
                              <w:rPr>
                                <w:rFonts w:ascii="Arial" w:hAnsi="Arial"/>
                                <w:lang w:val="en-AU"/>
                              </w:rPr>
                              <w:t>Associate Secretary</w:t>
                            </w:r>
                          </w:p>
                          <w:p w14:paraId="6064F321" w14:textId="77777777" w:rsidR="00CE3B2C" w:rsidRPr="00A01209" w:rsidRDefault="00CE3B2C" w:rsidP="00A60329">
                            <w:pPr>
                              <w:pStyle w:val="OrgChart"/>
                              <w:rPr>
                                <w:rFonts w:ascii="Arial" w:hAnsi="Arial"/>
                                <w:lang w:val="en-AU"/>
                              </w:rPr>
                            </w:pPr>
                            <w:r w:rsidRPr="00A01209">
                              <w:rPr>
                                <w:rFonts w:ascii="Arial" w:hAnsi="Arial"/>
                                <w:lang w:val="en-AU"/>
                              </w:rPr>
                              <w:t>Mr Matthew Yannopoulos, PSM</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B54B84" id="Text Box 51" o:spid="_x0000_s1064" type="#_x0000_t202" style="position:absolute;left:0;text-align:left;margin-left:32.8pt;margin-top:7.9pt;width:126.9pt;height:25.6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" stroked="f" strokeweight="0">
                <v:textbox style="mso-fit-shape-to-text:t">
                  <w:txbxContent>
                    <w:p w14:paraId="789AA97C" w14:textId="77777777" w:rsidR="00CE3B2C" w:rsidRPr="00A01209" w:rsidRDefault="00CE3B2C" w:rsidP="00A60329">
                      <w:pPr>
                        <w:pStyle w:val="OrgChart"/>
                        <w:rPr>
                          <w:rFonts w:ascii="Arial" w:hAnsi="Arial"/>
                          <w:lang w:val="en-AU"/>
                        </w:rPr>
                      </w:pPr>
                      <w:r>
                        <w:rPr>
                          <w:rFonts w:ascii="Arial" w:hAnsi="Arial"/>
                          <w:lang w:val="en-AU"/>
                        </w:rPr>
                        <w:t>Associate Secretary</w:t>
                      </w:r>
                    </w:p>
                    <w:p w14:paraId="6064F321" w14:textId="77777777" w:rsidR="00CE3B2C" w:rsidRPr="00A01209" w:rsidRDefault="00CE3B2C" w:rsidP="00A60329">
                      <w:pPr>
                        <w:pStyle w:val="OrgChart"/>
                        <w:rPr>
                          <w:rFonts w:ascii="Arial" w:hAnsi="Arial"/>
                          <w:lang w:val="en-AU"/>
                        </w:rPr>
                      </w:pPr>
                      <w:r w:rsidRPr="00A01209">
                        <w:rPr>
                          <w:rFonts w:ascii="Arial" w:hAnsi="Arial"/>
                          <w:lang w:val="en-AU"/>
                        </w:rPr>
                        <w:t>Mr Matthew Yannopoulos, PSM</w:t>
                      </w:r>
                    </w:p>
                  </w:txbxContent>
                </v:textbox>
              </v:shape>
            </w:pict>
          </mc:Fallback>
        </mc:AlternateContent>
      </w:r>
      <w:r w:rsidRPr="0024682A">
        <w:rPr>
          <w:noProof/>
          <w:lang w:val="en-AU"/>
        </w:rPr>
        <mc:AlternateContent>
          <mc:Choice Requires="wpg">
            <w:drawing>
              <wp:anchor distT="0" distB="0" distL="114300" distR="114300" simplePos="0" relativeHeight="251655680" behindDoc="0" locked="0" layoutInCell="1" allowOverlap="1" wp14:anchorId="0BDC71DB" wp14:editId="2308908A">
                <wp:simplePos x="0" y="0"/>
                <wp:positionH relativeFrom="column">
                  <wp:posOffset>2932430</wp:posOffset>
                </wp:positionH>
                <wp:positionV relativeFrom="paragraph">
                  <wp:posOffset>133985</wp:posOffset>
                </wp:positionV>
                <wp:extent cx="2162175" cy="408305"/>
                <wp:effectExtent l="13335" t="0" r="0" b="1270"/>
                <wp:wrapNone/>
                <wp:docPr id="73"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175" cy="408305"/>
                          <a:chOff x="5778" y="6208"/>
                          <a:chExt cx="3405" cy="643"/>
                        </a:xfrm>
                      </wpg:grpSpPr>
                      <wps:wsp>
                        <wps:cNvPr id="74" name="Line 22"/>
                        <wps:cNvCnPr>
                          <a:cxnSpLocks noChangeShapeType="1"/>
                        </wps:cNvCnPr>
                        <wps:spPr bwMode="auto">
                          <a:xfrm>
                            <a:off x="5778" y="6388"/>
                            <a:ext cx="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Text Box 23"/>
                        <wps:cNvSpPr txBox="1">
                          <a:spLocks noChangeArrowheads="1"/>
                        </wps:cNvSpPr>
                        <wps:spPr bwMode="auto">
                          <a:xfrm>
                            <a:off x="5968" y="6208"/>
                            <a:ext cx="3215" cy="6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CFD83" w14:textId="77777777" w:rsidR="00CE3B2C" w:rsidRPr="00A01209" w:rsidRDefault="00CE3B2C" w:rsidP="00A60329">
                              <w:pPr>
                                <w:pStyle w:val="OrgChart"/>
                                <w:rPr>
                                  <w:rFonts w:ascii="Arial" w:hAnsi="Arial"/>
                                  <w:lang w:val="en-AU"/>
                                </w:rPr>
                              </w:pPr>
                              <w:r w:rsidRPr="00A01209">
                                <w:rPr>
                                  <w:rFonts w:ascii="Arial" w:hAnsi="Arial"/>
                                  <w:lang w:val="en-AU"/>
                                </w:rPr>
                                <w:t>Vice Chief of the Defence Force</w:t>
                              </w:r>
                            </w:p>
                            <w:p w14:paraId="25165B97" w14:textId="0AED7439" w:rsidR="00CE3B2C" w:rsidRPr="00A01209" w:rsidRDefault="00CE3B2C" w:rsidP="00566287">
                              <w:pPr>
                                <w:pStyle w:val="OrgChart"/>
                                <w:rPr>
                                  <w:rFonts w:ascii="Arial" w:hAnsi="Arial"/>
                                  <w:lang w:val="en-AU"/>
                                </w:rPr>
                              </w:pPr>
                              <w:r w:rsidRPr="00D507BB">
                                <w:rPr>
                                  <w:rFonts w:ascii="Arial" w:hAnsi="Arial"/>
                                  <w:lang w:val="en-AU"/>
                                </w:rPr>
                                <w:t>Air Marshal Robert Chipman, A</w:t>
                              </w:r>
                              <w:r>
                                <w:rPr>
                                  <w:rFonts w:ascii="Arial" w:hAnsi="Arial"/>
                                  <w:lang w:val="en-AU"/>
                                </w:rPr>
                                <w:t>O</w:t>
                              </w:r>
                              <w:r w:rsidRPr="00D507BB">
                                <w:rPr>
                                  <w:rFonts w:ascii="Arial" w:hAnsi="Arial"/>
                                  <w:lang w:val="en-AU"/>
                                </w:rPr>
                                <w:t>, CSC</w:t>
                              </w:r>
                            </w:p>
                            <w:p w14:paraId="65C470E4" w14:textId="77777777" w:rsidR="00CE3B2C" w:rsidRPr="00A01209" w:rsidRDefault="00CE3B2C" w:rsidP="00A60329">
                              <w:pPr>
                                <w:pStyle w:val="OrgChart"/>
                                <w:rPr>
                                  <w:rFonts w:ascii="Arial" w:hAnsi="Arial"/>
                                  <w:lang w:val="en-AU"/>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DC71DB" id="Group 392" o:spid="_x0000_s1065" style="position:absolute;left:0;text-align:left;margin-left:230.9pt;margin-top:10.55pt;width:170.25pt;height:32.15pt;z-index:251655680" coordorigin="5778,6208" coordsize="3405,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">
                <v:line id="Line 22" o:spid="_x0000_s1066" style="position:absolute;visibility:visible;mso-wrap-style:square" from="5778,6388" to="5968,6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shape id="Text Box 23" o:spid="_x0000_s1067" type="#_x0000_t202" style="position:absolute;left:5968;top:6208;width:3215;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" stroked="f">
                  <v:textbox>
                    <w:txbxContent>
                      <w:p w14:paraId="1B7CFD83" w14:textId="77777777" w:rsidR="00CE3B2C" w:rsidRPr="00A01209" w:rsidRDefault="00CE3B2C" w:rsidP="00A60329">
                        <w:pPr>
                          <w:pStyle w:val="OrgChart"/>
                          <w:rPr>
                            <w:rFonts w:ascii="Arial" w:hAnsi="Arial"/>
                            <w:lang w:val="en-AU"/>
                          </w:rPr>
                        </w:pPr>
                        <w:r w:rsidRPr="00A01209">
                          <w:rPr>
                            <w:rFonts w:ascii="Arial" w:hAnsi="Arial"/>
                            <w:lang w:val="en-AU"/>
                          </w:rPr>
                          <w:t>Vice Chief of the Defence Force</w:t>
                        </w:r>
                      </w:p>
                      <w:p w14:paraId="25165B97" w14:textId="0AED7439" w:rsidR="00CE3B2C" w:rsidRPr="00A01209" w:rsidRDefault="00CE3B2C" w:rsidP="00566287">
                        <w:pPr>
                          <w:pStyle w:val="OrgChart"/>
                          <w:rPr>
                            <w:rFonts w:ascii="Arial" w:hAnsi="Arial"/>
                            <w:lang w:val="en-AU"/>
                          </w:rPr>
                        </w:pPr>
                        <w:r w:rsidRPr="00D507BB">
                          <w:rPr>
                            <w:rFonts w:ascii="Arial" w:hAnsi="Arial"/>
                            <w:lang w:val="en-AU"/>
                          </w:rPr>
                          <w:t xml:space="preserve">Air Marshal Robert </w:t>
                        </w:r>
                        <w:proofErr w:type="spellStart"/>
                        <w:r w:rsidRPr="00D507BB">
                          <w:rPr>
                            <w:rFonts w:ascii="Arial" w:hAnsi="Arial"/>
                            <w:lang w:val="en-AU"/>
                          </w:rPr>
                          <w:t>Chipman</w:t>
                        </w:r>
                        <w:proofErr w:type="spellEnd"/>
                        <w:r w:rsidRPr="00D507BB">
                          <w:rPr>
                            <w:rFonts w:ascii="Arial" w:hAnsi="Arial"/>
                            <w:lang w:val="en-AU"/>
                          </w:rPr>
                          <w:t>, A</w:t>
                        </w:r>
                        <w:r>
                          <w:rPr>
                            <w:rFonts w:ascii="Arial" w:hAnsi="Arial"/>
                            <w:lang w:val="en-AU"/>
                          </w:rPr>
                          <w:t>O</w:t>
                        </w:r>
                        <w:r w:rsidRPr="00D507BB">
                          <w:rPr>
                            <w:rFonts w:ascii="Arial" w:hAnsi="Arial"/>
                            <w:lang w:val="en-AU"/>
                          </w:rPr>
                          <w:t>, CSC</w:t>
                        </w:r>
                      </w:p>
                      <w:p w14:paraId="65C470E4" w14:textId="77777777" w:rsidR="00CE3B2C" w:rsidRPr="00A01209" w:rsidRDefault="00CE3B2C" w:rsidP="00A60329">
                        <w:pPr>
                          <w:pStyle w:val="OrgChart"/>
                          <w:rPr>
                            <w:rFonts w:ascii="Arial" w:hAnsi="Arial"/>
                            <w:lang w:val="en-AU"/>
                          </w:rPr>
                        </w:pPr>
                      </w:p>
                    </w:txbxContent>
                  </v:textbox>
                </v:shape>
              </v:group>
            </w:pict>
          </mc:Fallback>
        </mc:AlternateContent>
      </w:r>
    </w:p>
    <w:p w14:paraId="7128ECB7" w14:textId="77777777" w:rsidR="00A60329" w:rsidRPr="0024682A" w:rsidRDefault="0085144D" w:rsidP="00A60329">
      <w:pPr>
        <w:pStyle w:val="FigureHeading"/>
        <w:numPr>
          <w:ilvl w:val="0"/>
          <w:numId w:val="0"/>
        </w:numPr>
        <w:ind w:left="284"/>
      </w:pPr>
      <w:r w:rsidRPr="0024682A">
        <w:rPr>
          <w:noProof/>
          <w:lang w:val="en-AU"/>
        </w:rPr>
        <mc:AlternateContent>
          <mc:Choice Requires="wps">
            <w:drawing>
              <wp:anchor distT="0" distB="0" distL="114300" distR="114300" simplePos="0" relativeHeight="251642368" behindDoc="0" locked="0" layoutInCell="1" allowOverlap="1" wp14:anchorId="1A9DB788" wp14:editId="2F969521">
                <wp:simplePos x="0" y="0"/>
                <wp:positionH relativeFrom="column">
                  <wp:posOffset>690245</wp:posOffset>
                </wp:positionH>
                <wp:positionV relativeFrom="paragraph">
                  <wp:posOffset>219075</wp:posOffset>
                </wp:positionV>
                <wp:extent cx="1600200" cy="342900"/>
                <wp:effectExtent l="0" t="0" r="0" b="3810"/>
                <wp:wrapNone/>
                <wp:docPr id="7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029D2" w14:textId="77777777" w:rsidR="00CE3B2C" w:rsidRPr="00CA1AEB" w:rsidRDefault="00CE3B2C" w:rsidP="00A60329">
                            <w:pPr>
                              <w:pStyle w:val="OrgChart"/>
                              <w:rPr>
                                <w:rFonts w:ascii="Arial" w:hAnsi="Arial"/>
                                <w:lang w:val="en-AU"/>
                              </w:rPr>
                            </w:pPr>
                            <w:r w:rsidRPr="00CA1AEB">
                              <w:rPr>
                                <w:rFonts w:ascii="Arial" w:hAnsi="Arial"/>
                                <w:lang w:val="en-AU"/>
                              </w:rPr>
                              <w:t>Chief Information Officer</w:t>
                            </w:r>
                          </w:p>
                          <w:p w14:paraId="70A148F5" w14:textId="77777777" w:rsidR="00CE3B2C" w:rsidRPr="00A01209" w:rsidRDefault="00CE3B2C" w:rsidP="00A60329">
                            <w:pPr>
                              <w:pStyle w:val="OrgChart"/>
                              <w:rPr>
                                <w:rFonts w:ascii="Arial" w:hAnsi="Arial"/>
                                <w:lang w:val="en-AU"/>
                              </w:rPr>
                            </w:pPr>
                            <w:r w:rsidRPr="00CA1AEB">
                              <w:rPr>
                                <w:rFonts w:ascii="Arial" w:hAnsi="Arial"/>
                                <w:color w:val="000000"/>
                              </w:rPr>
                              <w:t>Mr Chris Crozier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DB788" id="Text Box 52" o:spid="_x0000_s1068" type="#_x0000_t202" style="position:absolute;left:0;text-align:left;margin-left:54.35pt;margin-top:17.25pt;width:126pt;height: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" stroked="f">
                <v:textbox>
                  <w:txbxContent>
                    <w:p w14:paraId="779029D2" w14:textId="77777777" w:rsidR="00CE3B2C" w:rsidRPr="00CA1AEB" w:rsidRDefault="00CE3B2C" w:rsidP="00A60329">
                      <w:pPr>
                        <w:pStyle w:val="OrgChart"/>
                        <w:rPr>
                          <w:rFonts w:ascii="Arial" w:hAnsi="Arial"/>
                          <w:lang w:val="en-AU"/>
                        </w:rPr>
                      </w:pPr>
                      <w:r w:rsidRPr="00CA1AEB">
                        <w:rPr>
                          <w:rFonts w:ascii="Arial" w:hAnsi="Arial"/>
                          <w:lang w:val="en-AU"/>
                        </w:rPr>
                        <w:t>Chief Information Officer</w:t>
                      </w:r>
                    </w:p>
                    <w:p w14:paraId="70A148F5" w14:textId="77777777" w:rsidR="00CE3B2C" w:rsidRPr="00A01209" w:rsidRDefault="00CE3B2C" w:rsidP="00A60329">
                      <w:pPr>
                        <w:pStyle w:val="OrgChart"/>
                        <w:rPr>
                          <w:rFonts w:ascii="Arial" w:hAnsi="Arial"/>
                          <w:lang w:val="en-AU"/>
                        </w:rPr>
                      </w:pPr>
                      <w:r w:rsidRPr="00CA1AEB">
                        <w:rPr>
                          <w:rFonts w:ascii="Arial" w:hAnsi="Arial"/>
                          <w:color w:val="000000"/>
                        </w:rPr>
                        <w:t>Mr Chris Crozier</w:t>
                      </w:r>
                    </w:p>
                  </w:txbxContent>
                </v:textbox>
              </v:shape>
            </w:pict>
          </mc:Fallback>
        </mc:AlternateContent>
      </w:r>
    </w:p>
    <w:p w14:paraId="4A0E10C8" w14:textId="53D4E5ED" w:rsidR="00A60329" w:rsidRPr="0024682A" w:rsidRDefault="002855E0" w:rsidP="00A60329">
      <w:pPr>
        <w:pStyle w:val="FigureHeading"/>
        <w:numPr>
          <w:ilvl w:val="0"/>
          <w:numId w:val="0"/>
        </w:numPr>
        <w:ind w:left="284"/>
        <w:rPr>
          <w:szCs w:val="20"/>
        </w:rPr>
      </w:pPr>
      <w:r w:rsidRPr="0024682A">
        <w:rPr>
          <w:noProof/>
          <w:lang w:val="en-AU"/>
        </w:rPr>
        <mc:AlternateContent>
          <mc:Choice Requires="wps">
            <w:drawing>
              <wp:anchor distT="0" distB="0" distL="114300" distR="114300" simplePos="0" relativeHeight="251671040" behindDoc="0" locked="0" layoutInCell="1" allowOverlap="1" wp14:anchorId="7AAA8934" wp14:editId="475C7950">
                <wp:simplePos x="0" y="0"/>
                <wp:positionH relativeFrom="column">
                  <wp:posOffset>707390</wp:posOffset>
                </wp:positionH>
                <wp:positionV relativeFrom="paragraph">
                  <wp:posOffset>248920</wp:posOffset>
                </wp:positionV>
                <wp:extent cx="1337945" cy="368300"/>
                <wp:effectExtent l="0" t="0" r="0" b="0"/>
                <wp:wrapNone/>
                <wp:docPr id="857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484B6" w14:textId="77777777" w:rsidR="00CE3B2C" w:rsidRDefault="00CE3B2C" w:rsidP="00A60329">
                            <w:pPr>
                              <w:pStyle w:val="OrgChart"/>
                              <w:rPr>
                                <w:rFonts w:ascii="Arial" w:hAnsi="Arial"/>
                                <w:lang w:val="en-AU"/>
                              </w:rPr>
                            </w:pPr>
                            <w:r>
                              <w:rPr>
                                <w:rFonts w:ascii="Arial" w:hAnsi="Arial"/>
                                <w:lang w:val="en-AU"/>
                              </w:rPr>
                              <w:t>Chief Finance Officer</w:t>
                            </w:r>
                          </w:p>
                          <w:p w14:paraId="77D3F156" w14:textId="77777777" w:rsidR="00CE3B2C" w:rsidRPr="00A01209" w:rsidRDefault="00CE3B2C" w:rsidP="00A60329">
                            <w:pPr>
                              <w:pStyle w:val="OrgChart"/>
                              <w:rPr>
                                <w:rFonts w:ascii="Arial" w:hAnsi="Arial"/>
                                <w:lang w:val="en-AU"/>
                              </w:rPr>
                            </w:pPr>
                            <w:r>
                              <w:rPr>
                                <w:rFonts w:ascii="Arial" w:hAnsi="Arial"/>
                                <w:lang w:val="en-AU"/>
                              </w:rPr>
                              <w:t xml:space="preserve">Mr </w:t>
                            </w:r>
                            <w:r>
                              <w:rPr>
                                <w:rFonts w:ascii="Arial" w:hAnsi="Arial"/>
                                <w:lang w:val="en-AU"/>
                              </w:rPr>
                              <w:tab/>
                            </w:r>
                            <w:r>
                              <w:rPr>
                                <w:rFonts w:ascii="Arial" w:hAnsi="Arial"/>
                                <w:lang w:val="en-AU"/>
                              </w:rPr>
                              <w:tab/>
                            </w:r>
                            <w:r>
                              <w:rPr>
                                <w:rFonts w:ascii="Arial" w:hAnsi="Arial"/>
                                <w:lang w:val="en-AU"/>
                              </w:rPr>
                              <w:tab/>
                            </w:r>
                            <w:r>
                              <w:rPr>
                                <w:rFonts w:ascii="Arial" w:hAnsi="Arial"/>
                                <w:lang w:val="en-AU"/>
                              </w:rPr>
                              <w:tab/>
                            </w:r>
                            <w:r>
                              <w:rPr>
                                <w:rFonts w:ascii="Arial" w:hAnsi="Arial"/>
                                <w:lang w:val="en-AU"/>
                              </w:rPr>
                              <w:tab/>
                            </w:r>
                            <w:r>
                              <w:rPr>
                                <w:rFonts w:ascii="Arial" w:hAnsi="Arial"/>
                                <w:lang w:val="en-AU"/>
                              </w:rPr>
                              <w:tab/>
                            </w:r>
                            <w:r>
                              <w:rPr>
                                <w:rFonts w:ascii="Arial" w:hAnsi="Arial"/>
                                <w:lang w:val="en-AU"/>
                              </w:rPr>
                              <w:tab/>
                              <w:t>Steven Groves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A8934" id="Text Box 125" o:spid="_x0000_s1069" type="#_x0000_t202" style="position:absolute;left:0;text-align:left;margin-left:55.7pt;margin-top:19.6pt;width:105.35pt;height:2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" stroked="f">
                <v:textbox>
                  <w:txbxContent>
                    <w:p w14:paraId="163484B6" w14:textId="77777777" w:rsidR="00CE3B2C" w:rsidRDefault="00CE3B2C" w:rsidP="00A60329">
                      <w:pPr>
                        <w:pStyle w:val="OrgChart"/>
                        <w:rPr>
                          <w:rFonts w:ascii="Arial" w:hAnsi="Arial"/>
                          <w:lang w:val="en-AU"/>
                        </w:rPr>
                      </w:pPr>
                      <w:r>
                        <w:rPr>
                          <w:rFonts w:ascii="Arial" w:hAnsi="Arial"/>
                          <w:lang w:val="en-AU"/>
                        </w:rPr>
                        <w:t>Chief Finance Officer</w:t>
                      </w:r>
                    </w:p>
                    <w:p w14:paraId="77D3F156" w14:textId="77777777" w:rsidR="00CE3B2C" w:rsidRPr="00A01209" w:rsidRDefault="00CE3B2C" w:rsidP="00A60329">
                      <w:pPr>
                        <w:pStyle w:val="OrgChart"/>
                        <w:rPr>
                          <w:rFonts w:ascii="Arial" w:hAnsi="Arial"/>
                          <w:lang w:val="en-AU"/>
                        </w:rPr>
                      </w:pPr>
                      <w:r>
                        <w:rPr>
                          <w:rFonts w:ascii="Arial" w:hAnsi="Arial"/>
                          <w:lang w:val="en-AU"/>
                        </w:rPr>
                        <w:t xml:space="preserve">Mr </w:t>
                      </w:r>
                      <w:r>
                        <w:rPr>
                          <w:rFonts w:ascii="Arial" w:hAnsi="Arial"/>
                          <w:lang w:val="en-AU"/>
                        </w:rPr>
                        <w:tab/>
                      </w:r>
                      <w:r>
                        <w:rPr>
                          <w:rFonts w:ascii="Arial" w:hAnsi="Arial"/>
                          <w:lang w:val="en-AU"/>
                        </w:rPr>
                        <w:tab/>
                      </w:r>
                      <w:r>
                        <w:rPr>
                          <w:rFonts w:ascii="Arial" w:hAnsi="Arial"/>
                          <w:lang w:val="en-AU"/>
                        </w:rPr>
                        <w:tab/>
                      </w:r>
                      <w:r>
                        <w:rPr>
                          <w:rFonts w:ascii="Arial" w:hAnsi="Arial"/>
                          <w:lang w:val="en-AU"/>
                        </w:rPr>
                        <w:tab/>
                      </w:r>
                      <w:r>
                        <w:rPr>
                          <w:rFonts w:ascii="Arial" w:hAnsi="Arial"/>
                          <w:lang w:val="en-AU"/>
                        </w:rPr>
                        <w:tab/>
                      </w:r>
                      <w:r>
                        <w:rPr>
                          <w:rFonts w:ascii="Arial" w:hAnsi="Arial"/>
                          <w:lang w:val="en-AU"/>
                        </w:rPr>
                        <w:tab/>
                      </w:r>
                      <w:r>
                        <w:rPr>
                          <w:rFonts w:ascii="Arial" w:hAnsi="Arial"/>
                          <w:lang w:val="en-AU"/>
                        </w:rPr>
                        <w:tab/>
                        <w:t>Steven Groves</w:t>
                      </w:r>
                    </w:p>
                  </w:txbxContent>
                </v:textbox>
              </v:shape>
            </w:pict>
          </mc:Fallback>
        </mc:AlternateContent>
      </w:r>
      <w:r w:rsidR="0094625E" w:rsidRPr="0024682A">
        <w:rPr>
          <w:noProof/>
          <w:lang w:val="en-AU"/>
        </w:rPr>
        <mc:AlternateContent>
          <mc:Choice Requires="wps">
            <w:drawing>
              <wp:anchor distT="0" distB="0" distL="114300" distR="114300" simplePos="0" relativeHeight="251645440" behindDoc="0" locked="0" layoutInCell="1" allowOverlap="1" wp14:anchorId="76FB6CC1" wp14:editId="5015E955">
                <wp:simplePos x="0" y="0"/>
                <wp:positionH relativeFrom="column">
                  <wp:posOffset>593877</wp:posOffset>
                </wp:positionH>
                <wp:positionV relativeFrom="paragraph">
                  <wp:posOffset>44272</wp:posOffset>
                </wp:positionV>
                <wp:extent cx="114300" cy="0"/>
                <wp:effectExtent l="7620" t="10160" r="11430" b="8890"/>
                <wp:wrapNone/>
                <wp:docPr id="8573"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498E41" id="Line 56"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5pt,3.5pt" to="55.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PpV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"/>
            </w:pict>
          </mc:Fallback>
        </mc:AlternateContent>
      </w:r>
      <w:r w:rsidR="006278E0" w:rsidRPr="0024682A">
        <w:rPr>
          <w:noProof/>
          <w:lang w:val="en-AU"/>
        </w:rPr>
        <mc:AlternateContent>
          <mc:Choice Requires="wps">
            <w:drawing>
              <wp:anchor distT="0" distB="0" distL="114300" distR="114300" simplePos="0" relativeHeight="251712000" behindDoc="0" locked="0" layoutInCell="1" allowOverlap="1" wp14:anchorId="18872C3D" wp14:editId="6D4FB1FE">
                <wp:simplePos x="0" y="0"/>
                <wp:positionH relativeFrom="column">
                  <wp:posOffset>598805</wp:posOffset>
                </wp:positionH>
                <wp:positionV relativeFrom="paragraph">
                  <wp:posOffset>42020</wp:posOffset>
                </wp:positionV>
                <wp:extent cx="7951" cy="1534602"/>
                <wp:effectExtent l="0" t="0" r="30480" b="27940"/>
                <wp:wrapNone/>
                <wp:docPr id="7" name="Straight Connector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51" cy="1534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CD7E2" id="Straight Connector 567"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5pt,3.3pt" to="47.8pt,1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"/>
            </w:pict>
          </mc:Fallback>
        </mc:AlternateContent>
      </w:r>
      <w:r w:rsidR="0085144D" w:rsidRPr="0024682A">
        <w:rPr>
          <w:noProof/>
          <w:lang w:val="en-AU"/>
        </w:rPr>
        <mc:AlternateContent>
          <mc:Choice Requires="wpg">
            <w:drawing>
              <wp:anchor distT="0" distB="0" distL="114300" distR="114300" simplePos="0" relativeHeight="251651584" behindDoc="0" locked="0" layoutInCell="1" allowOverlap="1" wp14:anchorId="4F434B66" wp14:editId="63B0615E">
                <wp:simplePos x="0" y="0"/>
                <wp:positionH relativeFrom="column">
                  <wp:posOffset>2931160</wp:posOffset>
                </wp:positionH>
                <wp:positionV relativeFrom="paragraph">
                  <wp:posOffset>30480</wp:posOffset>
                </wp:positionV>
                <wp:extent cx="2265045" cy="408305"/>
                <wp:effectExtent l="12065" t="4445" r="0" b="0"/>
                <wp:wrapNone/>
                <wp:docPr id="8570"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5045" cy="408305"/>
                          <a:chOff x="5122" y="6597"/>
                          <a:chExt cx="3223" cy="643"/>
                        </a:xfrm>
                      </wpg:grpSpPr>
                      <wps:wsp>
                        <wps:cNvPr id="8571" name="Text Box 25"/>
                        <wps:cNvSpPr txBox="1">
                          <a:spLocks noChangeArrowheads="1"/>
                        </wps:cNvSpPr>
                        <wps:spPr bwMode="auto">
                          <a:xfrm>
                            <a:off x="5302" y="6597"/>
                            <a:ext cx="3043" cy="6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CBFFC1" w14:textId="77777777" w:rsidR="00CE3B2C" w:rsidRPr="00A01209" w:rsidRDefault="00CE3B2C" w:rsidP="00A60329">
                              <w:pPr>
                                <w:pStyle w:val="OrgChart"/>
                                <w:rPr>
                                  <w:rFonts w:ascii="Arial" w:hAnsi="Arial"/>
                                  <w:lang w:val="en-AU"/>
                                </w:rPr>
                              </w:pPr>
                              <w:r w:rsidRPr="00A01209">
                                <w:rPr>
                                  <w:rFonts w:ascii="Arial" w:hAnsi="Arial"/>
                                  <w:lang w:val="en-AU"/>
                                </w:rPr>
                                <w:t>Chief of Navy</w:t>
                              </w:r>
                            </w:p>
                            <w:p w14:paraId="581F49B5" w14:textId="10656C93" w:rsidR="00CE3B2C" w:rsidRDefault="00CE3B2C" w:rsidP="00A60329">
                              <w:pPr>
                                <w:pStyle w:val="OrgChart"/>
                                <w:rPr>
                                  <w:lang w:val="en-AU"/>
                                </w:rPr>
                              </w:pPr>
                              <w:r w:rsidRPr="00A01209">
                                <w:rPr>
                                  <w:rFonts w:ascii="Arial" w:hAnsi="Arial"/>
                                  <w:lang w:val="en-AU"/>
                                </w:rPr>
                                <w:t>Vic</w:t>
                              </w:r>
                              <w:r>
                                <w:rPr>
                                  <w:rFonts w:ascii="Arial" w:hAnsi="Arial"/>
                                  <w:lang w:val="en-AU"/>
                                </w:rPr>
                                <w:t>e Admiral Mark Hammond, A</w:t>
                              </w:r>
                              <w:r w:rsidR="00B72054">
                                <w:rPr>
                                  <w:rFonts w:ascii="Arial" w:hAnsi="Arial"/>
                                  <w:lang w:val="en-AU"/>
                                </w:rPr>
                                <w:t>O</w:t>
                              </w:r>
                              <w:r>
                                <w:rPr>
                                  <w:rFonts w:ascii="Arial" w:hAnsi="Arial"/>
                                  <w:lang w:val="en-AU"/>
                                </w:rPr>
                                <w:t>, RAN</w:t>
                              </w:r>
                            </w:p>
                          </w:txbxContent>
                        </wps:txbx>
                        <wps:bodyPr rot="0" vert="horz" wrap="square" lIns="91440" tIns="45720" rIns="91440" bIns="45720" anchor="t" anchorCtr="0" upright="1">
                          <a:noAutofit/>
                        </wps:bodyPr>
                      </wps:wsp>
                      <wps:wsp>
                        <wps:cNvPr id="8572" name="Line 26"/>
                        <wps:cNvCnPr>
                          <a:cxnSpLocks noChangeShapeType="1"/>
                        </wps:cNvCnPr>
                        <wps:spPr bwMode="auto">
                          <a:xfrm>
                            <a:off x="5122" y="6777"/>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434B66" id="Group 545" o:spid="_x0000_s1070" style="position:absolute;left:0;text-align:left;margin-left:230.8pt;margin-top:2.4pt;width:178.35pt;height:32.15pt;z-index:251651584" coordorigin="5122,6597" coordsize="322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">
                <v:shapetype id="_x0000_t202" coordsize="21600,21600" o:spt="202" path="m,l,21600r21600,l21600,xe">
                  <v:stroke joinstyle="miter"/>
                  <v:path gradientshapeok="t" o:connecttype="rect"/>
                </v:shapetype>
                <v:shape id="Text Box 25" o:spid="_x0000_s1071" type="#_x0000_t202" style="position:absolute;left:5302;top:6597;width:3043;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" stroked="f">
                  <v:textbox>
                    <w:txbxContent>
                      <w:p w14:paraId="27CBFFC1" w14:textId="77777777" w:rsidR="00CE3B2C" w:rsidRPr="00A01209" w:rsidRDefault="00CE3B2C" w:rsidP="00A60329">
                        <w:pPr>
                          <w:pStyle w:val="OrgChart"/>
                          <w:rPr>
                            <w:rFonts w:ascii="Arial" w:hAnsi="Arial"/>
                            <w:lang w:val="en-AU"/>
                          </w:rPr>
                        </w:pPr>
                        <w:r w:rsidRPr="00A01209">
                          <w:rPr>
                            <w:rFonts w:ascii="Arial" w:hAnsi="Arial"/>
                            <w:lang w:val="en-AU"/>
                          </w:rPr>
                          <w:t>Chief of Navy</w:t>
                        </w:r>
                      </w:p>
                      <w:p w14:paraId="581F49B5" w14:textId="10656C93" w:rsidR="00CE3B2C" w:rsidRDefault="00CE3B2C" w:rsidP="00A60329">
                        <w:pPr>
                          <w:pStyle w:val="OrgChart"/>
                          <w:rPr>
                            <w:lang w:val="en-AU"/>
                          </w:rPr>
                        </w:pPr>
                        <w:r w:rsidRPr="00A01209">
                          <w:rPr>
                            <w:rFonts w:ascii="Arial" w:hAnsi="Arial"/>
                            <w:lang w:val="en-AU"/>
                          </w:rPr>
                          <w:t>Vic</w:t>
                        </w:r>
                        <w:r>
                          <w:rPr>
                            <w:rFonts w:ascii="Arial" w:hAnsi="Arial"/>
                            <w:lang w:val="en-AU"/>
                          </w:rPr>
                          <w:t>e Admiral Mark Hammond, A</w:t>
                        </w:r>
                        <w:r w:rsidR="00B72054">
                          <w:rPr>
                            <w:rFonts w:ascii="Arial" w:hAnsi="Arial"/>
                            <w:lang w:val="en-AU"/>
                          </w:rPr>
                          <w:t>O</w:t>
                        </w:r>
                        <w:r>
                          <w:rPr>
                            <w:rFonts w:ascii="Arial" w:hAnsi="Arial"/>
                            <w:lang w:val="en-AU"/>
                          </w:rPr>
                          <w:t>, RAN</w:t>
                        </w:r>
                      </w:p>
                    </w:txbxContent>
                  </v:textbox>
                </v:shape>
                <v:line id="Line 26" o:spid="_x0000_s1072" style="position:absolute;visibility:visible;mso-wrap-style:square" from="5122,6777" to="5302,6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"/>
              </v:group>
            </w:pict>
          </mc:Fallback>
        </mc:AlternateContent>
      </w:r>
    </w:p>
    <w:p w14:paraId="18A69C81" w14:textId="77777777" w:rsidR="00A60329" w:rsidRPr="0024682A" w:rsidRDefault="0085144D" w:rsidP="00A60329">
      <w:pPr>
        <w:pStyle w:val="FigureHeading"/>
        <w:numPr>
          <w:ilvl w:val="0"/>
          <w:numId w:val="0"/>
        </w:numPr>
        <w:ind w:left="284"/>
        <w:rPr>
          <w:szCs w:val="20"/>
          <w:u w:val="single"/>
        </w:rPr>
      </w:pPr>
      <w:r w:rsidRPr="0024682A">
        <w:rPr>
          <w:noProof/>
          <w:lang w:val="en-AU"/>
        </w:rPr>
        <mc:AlternateContent>
          <mc:Choice Requires="wps">
            <w:drawing>
              <wp:anchor distT="0" distB="0" distL="114300" distR="114300" simplePos="0" relativeHeight="251672064" behindDoc="0" locked="0" layoutInCell="1" allowOverlap="1" wp14:anchorId="009440C6" wp14:editId="0F866FEC">
                <wp:simplePos x="0" y="0"/>
                <wp:positionH relativeFrom="column">
                  <wp:posOffset>606806</wp:posOffset>
                </wp:positionH>
                <wp:positionV relativeFrom="paragraph">
                  <wp:posOffset>115570</wp:posOffset>
                </wp:positionV>
                <wp:extent cx="114300" cy="0"/>
                <wp:effectExtent l="7620" t="10160" r="11430" b="8890"/>
                <wp:wrapNone/>
                <wp:docPr id="8569"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C4455" id="Line 58"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pt,9.1pt" to="56.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MhC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"/>
            </w:pict>
          </mc:Fallback>
        </mc:AlternateContent>
      </w:r>
      <w:r w:rsidRPr="0024682A">
        <w:rPr>
          <w:noProof/>
          <w:lang w:val="en-AU"/>
        </w:rPr>
        <mc:AlternateContent>
          <mc:Choice Requires="wpg">
            <w:drawing>
              <wp:anchor distT="0" distB="0" distL="114300" distR="114300" simplePos="0" relativeHeight="251652608" behindDoc="0" locked="0" layoutInCell="1" allowOverlap="1" wp14:anchorId="69C2DBA7" wp14:editId="73718588">
                <wp:simplePos x="0" y="0"/>
                <wp:positionH relativeFrom="column">
                  <wp:posOffset>2932430</wp:posOffset>
                </wp:positionH>
                <wp:positionV relativeFrom="paragraph">
                  <wp:posOffset>153670</wp:posOffset>
                </wp:positionV>
                <wp:extent cx="2437130" cy="408305"/>
                <wp:effectExtent l="13335" t="635" r="0" b="635"/>
                <wp:wrapNone/>
                <wp:docPr id="856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7130" cy="408305"/>
                          <a:chOff x="5122" y="7318"/>
                          <a:chExt cx="4123" cy="643"/>
                        </a:xfrm>
                      </wpg:grpSpPr>
                      <wps:wsp>
                        <wps:cNvPr id="8567" name="Text Box 28"/>
                        <wps:cNvSpPr txBox="1">
                          <a:spLocks noChangeArrowheads="1"/>
                        </wps:cNvSpPr>
                        <wps:spPr bwMode="auto">
                          <a:xfrm>
                            <a:off x="5302" y="7318"/>
                            <a:ext cx="3943" cy="6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539C0C" w14:textId="77777777" w:rsidR="00CE3B2C" w:rsidRPr="00A01209" w:rsidRDefault="00CE3B2C" w:rsidP="00A60329">
                              <w:pPr>
                                <w:pStyle w:val="OrgChart"/>
                                <w:rPr>
                                  <w:rFonts w:ascii="Arial" w:hAnsi="Arial"/>
                                  <w:lang w:val="en-AU"/>
                                </w:rPr>
                              </w:pPr>
                              <w:r w:rsidRPr="00A01209">
                                <w:rPr>
                                  <w:rFonts w:ascii="Arial" w:hAnsi="Arial"/>
                                  <w:lang w:val="en-AU"/>
                                </w:rPr>
                                <w:t>Chief of Army</w:t>
                              </w:r>
                            </w:p>
                            <w:p w14:paraId="2A9643D0" w14:textId="77777777" w:rsidR="00CE3B2C" w:rsidRDefault="00CE3B2C" w:rsidP="00A60329">
                              <w:pPr>
                                <w:pStyle w:val="OrgChart"/>
                                <w:rPr>
                                  <w:lang w:val="en-AU"/>
                                </w:rPr>
                              </w:pPr>
                              <w:r w:rsidRPr="00A01209">
                                <w:rPr>
                                  <w:rFonts w:ascii="Arial" w:hAnsi="Arial"/>
                                  <w:lang w:val="en-AU"/>
                                </w:rPr>
                                <w:t>Lieutenan</w:t>
                              </w:r>
                              <w:r>
                                <w:rPr>
                                  <w:rFonts w:ascii="Arial" w:hAnsi="Arial"/>
                                  <w:lang w:val="en-AU"/>
                                </w:rPr>
                                <w:t>t General Simon Stuart, AO, DSC</w:t>
                              </w:r>
                            </w:p>
                          </w:txbxContent>
                        </wps:txbx>
                        <wps:bodyPr rot="0" vert="horz" wrap="square" lIns="91440" tIns="45720" rIns="91440" bIns="45720" anchor="t" anchorCtr="0" upright="1">
                          <a:noAutofit/>
                        </wps:bodyPr>
                      </wps:wsp>
                      <wps:wsp>
                        <wps:cNvPr id="8568" name="Line 29"/>
                        <wps:cNvCnPr>
                          <a:cxnSpLocks noChangeShapeType="1"/>
                        </wps:cNvCnPr>
                        <wps:spPr bwMode="auto">
                          <a:xfrm>
                            <a:off x="5122" y="7498"/>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C2DBA7" id="Group 126" o:spid="_x0000_s1073" style="position:absolute;left:0;text-align:left;margin-left:230.9pt;margin-top:12.1pt;width:191.9pt;height:32.15pt;z-index:251652608" coordorigin="5122,7318" coordsize="412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">
                <v:shape id="Text Box 28" o:spid="_x0000_s1074" type="#_x0000_t202" style="position:absolute;left:5302;top:7318;width:3943;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" stroked="f">
                  <v:textbox>
                    <w:txbxContent>
                      <w:p w14:paraId="28539C0C" w14:textId="77777777" w:rsidR="00CE3B2C" w:rsidRPr="00A01209" w:rsidRDefault="00CE3B2C" w:rsidP="00A60329">
                        <w:pPr>
                          <w:pStyle w:val="OrgChart"/>
                          <w:rPr>
                            <w:rFonts w:ascii="Arial" w:hAnsi="Arial"/>
                            <w:lang w:val="en-AU"/>
                          </w:rPr>
                        </w:pPr>
                        <w:r w:rsidRPr="00A01209">
                          <w:rPr>
                            <w:rFonts w:ascii="Arial" w:hAnsi="Arial"/>
                            <w:lang w:val="en-AU"/>
                          </w:rPr>
                          <w:t>Chief of Army</w:t>
                        </w:r>
                      </w:p>
                      <w:p w14:paraId="2A9643D0" w14:textId="77777777" w:rsidR="00CE3B2C" w:rsidRDefault="00CE3B2C" w:rsidP="00A60329">
                        <w:pPr>
                          <w:pStyle w:val="OrgChart"/>
                          <w:rPr>
                            <w:lang w:val="en-AU"/>
                          </w:rPr>
                        </w:pPr>
                        <w:r w:rsidRPr="00A01209">
                          <w:rPr>
                            <w:rFonts w:ascii="Arial" w:hAnsi="Arial"/>
                            <w:lang w:val="en-AU"/>
                          </w:rPr>
                          <w:t>Lieutenan</w:t>
                        </w:r>
                        <w:r>
                          <w:rPr>
                            <w:rFonts w:ascii="Arial" w:hAnsi="Arial"/>
                            <w:lang w:val="en-AU"/>
                          </w:rPr>
                          <w:t>t General Simon Stuart, AO, DSC</w:t>
                        </w:r>
                      </w:p>
                    </w:txbxContent>
                  </v:textbox>
                </v:shape>
                <v:line id="Line 29" o:spid="_x0000_s1075" style="position:absolute;visibility:visible;mso-wrap-style:square" from="5122,7498" to="5302,7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"/>
              </v:group>
            </w:pict>
          </mc:Fallback>
        </mc:AlternateContent>
      </w:r>
    </w:p>
    <w:p w14:paraId="4ACEBE27" w14:textId="40D6A5E4" w:rsidR="00A60329" w:rsidRPr="0024682A" w:rsidRDefault="0094625E" w:rsidP="00A60329">
      <w:pPr>
        <w:pStyle w:val="FigureHeading"/>
        <w:numPr>
          <w:ilvl w:val="0"/>
          <w:numId w:val="0"/>
        </w:numPr>
        <w:ind w:left="284"/>
      </w:pPr>
      <w:r w:rsidRPr="0024682A">
        <w:rPr>
          <w:noProof/>
          <w:lang w:val="en-AU"/>
        </w:rPr>
        <mc:AlternateContent>
          <mc:Choice Requires="wps">
            <w:drawing>
              <wp:anchor distT="0" distB="0" distL="114300" distR="114300" simplePos="0" relativeHeight="251716096" behindDoc="0" locked="0" layoutInCell="1" allowOverlap="1" wp14:anchorId="478851AF" wp14:editId="0CF5C0B9">
                <wp:simplePos x="0" y="0"/>
                <wp:positionH relativeFrom="column">
                  <wp:posOffset>607873</wp:posOffset>
                </wp:positionH>
                <wp:positionV relativeFrom="paragraph">
                  <wp:posOffset>149225</wp:posOffset>
                </wp:positionV>
                <wp:extent cx="114300" cy="0"/>
                <wp:effectExtent l="7620" t="10160" r="11430" b="8890"/>
                <wp:wrapNone/>
                <wp:docPr id="10"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9042B" id="Line 58"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5pt,11.75pt" to="56.8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OvH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"/>
            </w:pict>
          </mc:Fallback>
        </mc:AlternateContent>
      </w:r>
      <w:r w:rsidR="00566287" w:rsidRPr="0024682A">
        <w:rPr>
          <w:noProof/>
          <w:lang w:val="en-AU"/>
        </w:rPr>
        <mc:AlternateContent>
          <mc:Choice Requires="wpg">
            <w:drawing>
              <wp:anchor distT="0" distB="0" distL="114300" distR="114300" simplePos="0" relativeHeight="251653632" behindDoc="0" locked="0" layoutInCell="1" allowOverlap="1" wp14:anchorId="651CB9E0" wp14:editId="13E5E6F8">
                <wp:simplePos x="0" y="0"/>
                <wp:positionH relativeFrom="column">
                  <wp:posOffset>2932430</wp:posOffset>
                </wp:positionH>
                <wp:positionV relativeFrom="paragraph">
                  <wp:posOffset>269240</wp:posOffset>
                </wp:positionV>
                <wp:extent cx="2637155" cy="408305"/>
                <wp:effectExtent l="0" t="0" r="0" b="0"/>
                <wp:wrapNone/>
                <wp:docPr id="8561"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7155" cy="408305"/>
                          <a:chOff x="5122" y="8038"/>
                          <a:chExt cx="3666" cy="643"/>
                        </a:xfrm>
                      </wpg:grpSpPr>
                      <wps:wsp>
                        <wps:cNvPr id="8562" name="Text Box 31"/>
                        <wps:cNvSpPr txBox="1">
                          <a:spLocks noChangeArrowheads="1"/>
                        </wps:cNvSpPr>
                        <wps:spPr bwMode="auto">
                          <a:xfrm>
                            <a:off x="5302" y="8038"/>
                            <a:ext cx="3486" cy="643"/>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852E8" w14:textId="77777777" w:rsidR="00CE3B2C" w:rsidRPr="00A01209" w:rsidRDefault="00CE3B2C" w:rsidP="00A60329">
                              <w:pPr>
                                <w:pStyle w:val="OrgChart"/>
                                <w:rPr>
                                  <w:rFonts w:ascii="Arial" w:hAnsi="Arial"/>
                                  <w:lang w:val="en-AU"/>
                                </w:rPr>
                              </w:pPr>
                              <w:r w:rsidRPr="00A01209">
                                <w:rPr>
                                  <w:rFonts w:ascii="Arial" w:hAnsi="Arial"/>
                                  <w:lang w:val="en-AU"/>
                                </w:rPr>
                                <w:t>Chief of Air Force</w:t>
                              </w:r>
                            </w:p>
                            <w:p w14:paraId="462187AA" w14:textId="77777777" w:rsidR="00CE3B2C" w:rsidRDefault="00CE3B2C" w:rsidP="00566287">
                              <w:pPr>
                                <w:pStyle w:val="OrgChart"/>
                                <w:rPr>
                                  <w:lang w:val="en-AU"/>
                                </w:rPr>
                              </w:pPr>
                              <w:r w:rsidRPr="00D507BB">
                                <w:rPr>
                                  <w:rFonts w:ascii="Arial" w:hAnsi="Arial"/>
                                  <w:lang w:val="en-AU"/>
                                </w:rPr>
                                <w:t>Air Marshal Stephen Chappell, DSC, CSC,</w:t>
                              </w:r>
                              <w:r>
                                <w:rPr>
                                  <w:rFonts w:ascii="Arial" w:hAnsi="Arial"/>
                                  <w:lang w:val="en-AU"/>
                                </w:rPr>
                                <w:t xml:space="preserve"> </w:t>
                              </w:r>
                              <w:r w:rsidRPr="00D507BB">
                                <w:rPr>
                                  <w:rFonts w:ascii="Arial" w:hAnsi="Arial"/>
                                  <w:lang w:val="en-AU"/>
                                </w:rPr>
                                <w:t>OAM</w:t>
                              </w:r>
                            </w:p>
                          </w:txbxContent>
                        </wps:txbx>
                        <wps:bodyPr rot="0" vert="horz" wrap="square" lIns="91440" tIns="45720" rIns="91440" bIns="45720" anchor="t" anchorCtr="0" upright="1">
                          <a:noAutofit/>
                        </wps:bodyPr>
                      </wps:wsp>
                      <wps:wsp>
                        <wps:cNvPr id="8564" name="Line 32"/>
                        <wps:cNvCnPr>
                          <a:cxnSpLocks noChangeShapeType="1"/>
                        </wps:cNvCnPr>
                        <wps:spPr bwMode="auto">
                          <a:xfrm>
                            <a:off x="5122" y="8218"/>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1CB9E0" id="Group 122" o:spid="_x0000_s1076" style="position:absolute;left:0;text-align:left;margin-left:230.9pt;margin-top:21.2pt;width:207.65pt;height:32.15pt;z-index:251653632" coordorigin="5122,8038" coordsize="3666,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">
                <v:shape id="Text Box 31" o:spid="_x0000_s1077" type="#_x0000_t202" style="position:absolute;left:5302;top:8038;width:3486;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" filled="f" fillcolor="yellow" stroked="f">
                  <v:textbox>
                    <w:txbxContent>
                      <w:p w14:paraId="5EC852E8" w14:textId="77777777" w:rsidR="00CE3B2C" w:rsidRPr="00A01209" w:rsidRDefault="00CE3B2C" w:rsidP="00A60329">
                        <w:pPr>
                          <w:pStyle w:val="OrgChart"/>
                          <w:rPr>
                            <w:rFonts w:ascii="Arial" w:hAnsi="Arial"/>
                            <w:lang w:val="en-AU"/>
                          </w:rPr>
                        </w:pPr>
                        <w:r w:rsidRPr="00A01209">
                          <w:rPr>
                            <w:rFonts w:ascii="Arial" w:hAnsi="Arial"/>
                            <w:lang w:val="en-AU"/>
                          </w:rPr>
                          <w:t>Chief of Air Force</w:t>
                        </w:r>
                      </w:p>
                      <w:p w14:paraId="462187AA" w14:textId="77777777" w:rsidR="00CE3B2C" w:rsidRDefault="00CE3B2C" w:rsidP="00566287">
                        <w:pPr>
                          <w:pStyle w:val="OrgChart"/>
                          <w:rPr>
                            <w:lang w:val="en-AU"/>
                          </w:rPr>
                        </w:pPr>
                        <w:r w:rsidRPr="00D507BB">
                          <w:rPr>
                            <w:rFonts w:ascii="Arial" w:hAnsi="Arial"/>
                            <w:lang w:val="en-AU"/>
                          </w:rPr>
                          <w:t>Air Marshal Stephen Chappell, DSC, CSC,</w:t>
                        </w:r>
                        <w:r>
                          <w:rPr>
                            <w:rFonts w:ascii="Arial" w:hAnsi="Arial"/>
                            <w:lang w:val="en-AU"/>
                          </w:rPr>
                          <w:t xml:space="preserve"> </w:t>
                        </w:r>
                        <w:r w:rsidRPr="00D507BB">
                          <w:rPr>
                            <w:rFonts w:ascii="Arial" w:hAnsi="Arial"/>
                            <w:lang w:val="en-AU"/>
                          </w:rPr>
                          <w:t>OAM</w:t>
                        </w:r>
                      </w:p>
                    </w:txbxContent>
                  </v:textbox>
                </v:shape>
                <v:line id="Line 32" o:spid="_x0000_s1078" style="position:absolute;visibility:visible;mso-wrap-style:square" from="5122,8218" to="5302,8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"/>
              </v:group>
            </w:pict>
          </mc:Fallback>
        </mc:AlternateContent>
      </w:r>
      <w:r w:rsidR="0085144D" w:rsidRPr="0024682A">
        <w:rPr>
          <w:noProof/>
          <w:lang w:val="en-AU"/>
        </w:rPr>
        <mc:AlternateContent>
          <mc:Choice Requires="wps">
            <w:drawing>
              <wp:anchor distT="0" distB="0" distL="114300" distR="114300" simplePos="0" relativeHeight="251634176" behindDoc="0" locked="0" layoutInCell="1" allowOverlap="1" wp14:anchorId="7D107ED9" wp14:editId="7CDF47B9">
                <wp:simplePos x="0" y="0"/>
                <wp:positionH relativeFrom="column">
                  <wp:posOffset>707390</wp:posOffset>
                </wp:positionH>
                <wp:positionV relativeFrom="paragraph">
                  <wp:posOffset>8255</wp:posOffset>
                </wp:positionV>
                <wp:extent cx="1403985" cy="463550"/>
                <wp:effectExtent l="0" t="0" r="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B542F" w14:textId="77777777" w:rsidR="00CE3B2C" w:rsidRPr="00A01209" w:rsidRDefault="00CE3B2C" w:rsidP="00A60329">
                            <w:pPr>
                              <w:pStyle w:val="OrgChart"/>
                              <w:rPr>
                                <w:rFonts w:ascii="Arial" w:hAnsi="Arial"/>
                                <w:lang w:val="en-AU"/>
                              </w:rPr>
                            </w:pPr>
                            <w:r w:rsidRPr="00A01209">
                              <w:rPr>
                                <w:rFonts w:ascii="Arial" w:hAnsi="Arial"/>
                                <w:lang w:val="en-AU"/>
                              </w:rPr>
                              <w:t>Deputy Secretary</w:t>
                            </w:r>
                          </w:p>
                          <w:p w14:paraId="00396193" w14:textId="77777777" w:rsidR="00CE3B2C" w:rsidRPr="00A01209" w:rsidRDefault="00CE3B2C" w:rsidP="00A60329">
                            <w:pPr>
                              <w:pStyle w:val="OrgChart"/>
                              <w:rPr>
                                <w:rFonts w:ascii="Arial" w:hAnsi="Arial"/>
                                <w:lang w:val="en-AU"/>
                              </w:rPr>
                            </w:pPr>
                            <w:r w:rsidRPr="00A01209">
                              <w:rPr>
                                <w:rFonts w:ascii="Arial" w:hAnsi="Arial"/>
                                <w:lang w:val="en-AU"/>
                              </w:rPr>
                              <w:t>Defence People</w:t>
                            </w:r>
                          </w:p>
                          <w:p w14:paraId="3460F75B" w14:textId="77777777" w:rsidR="00CE3B2C" w:rsidRPr="00A01209" w:rsidRDefault="00CE3B2C" w:rsidP="00A60329">
                            <w:pPr>
                              <w:pStyle w:val="OrgChart"/>
                              <w:rPr>
                                <w:rFonts w:ascii="Arial" w:hAnsi="Arial"/>
                                <w:lang w:val="en-AU"/>
                              </w:rPr>
                            </w:pPr>
                            <w:r w:rsidRPr="00A01209">
                              <w:rPr>
                                <w:rFonts w:ascii="Arial" w:hAnsi="Arial"/>
                                <w:lang w:val="en-AU"/>
                              </w:rPr>
                              <w:t>Ms Justine Greig</w:t>
                            </w:r>
                            <w:r>
                              <w:rPr>
                                <w:rFonts w:ascii="Arial" w:hAnsi="Arial"/>
                                <w:lang w:val="en-AU"/>
                              </w:rPr>
                              <w:t>, PSM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07ED9" id="_x0000_s1079" type="#_x0000_t202" style="position:absolute;left:0;text-align:left;margin-left:55.7pt;margin-top:.65pt;width:110.55pt;height:36.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" stroked="f">
                <v:textbox>
                  <w:txbxContent>
                    <w:p w14:paraId="33DB542F" w14:textId="77777777" w:rsidR="00CE3B2C" w:rsidRPr="00A01209" w:rsidRDefault="00CE3B2C" w:rsidP="00A60329">
                      <w:pPr>
                        <w:pStyle w:val="OrgChart"/>
                        <w:rPr>
                          <w:rFonts w:ascii="Arial" w:hAnsi="Arial"/>
                          <w:lang w:val="en-AU"/>
                        </w:rPr>
                      </w:pPr>
                      <w:r w:rsidRPr="00A01209">
                        <w:rPr>
                          <w:rFonts w:ascii="Arial" w:hAnsi="Arial"/>
                          <w:lang w:val="en-AU"/>
                        </w:rPr>
                        <w:t>Deputy Secretary</w:t>
                      </w:r>
                    </w:p>
                    <w:p w14:paraId="00396193" w14:textId="77777777" w:rsidR="00CE3B2C" w:rsidRPr="00A01209" w:rsidRDefault="00CE3B2C" w:rsidP="00A60329">
                      <w:pPr>
                        <w:pStyle w:val="OrgChart"/>
                        <w:rPr>
                          <w:rFonts w:ascii="Arial" w:hAnsi="Arial"/>
                          <w:lang w:val="en-AU"/>
                        </w:rPr>
                      </w:pPr>
                      <w:r w:rsidRPr="00A01209">
                        <w:rPr>
                          <w:rFonts w:ascii="Arial" w:hAnsi="Arial"/>
                          <w:lang w:val="en-AU"/>
                        </w:rPr>
                        <w:t>Defence People</w:t>
                      </w:r>
                    </w:p>
                    <w:p w14:paraId="3460F75B" w14:textId="77777777" w:rsidR="00CE3B2C" w:rsidRPr="00A01209" w:rsidRDefault="00CE3B2C" w:rsidP="00A60329">
                      <w:pPr>
                        <w:pStyle w:val="OrgChart"/>
                        <w:rPr>
                          <w:rFonts w:ascii="Arial" w:hAnsi="Arial"/>
                          <w:lang w:val="en-AU"/>
                        </w:rPr>
                      </w:pPr>
                      <w:r w:rsidRPr="00A01209">
                        <w:rPr>
                          <w:rFonts w:ascii="Arial" w:hAnsi="Arial"/>
                          <w:lang w:val="en-AU"/>
                        </w:rPr>
                        <w:t>Ms Justine Greig</w:t>
                      </w:r>
                      <w:r>
                        <w:rPr>
                          <w:rFonts w:ascii="Arial" w:hAnsi="Arial"/>
                          <w:lang w:val="en-AU"/>
                        </w:rPr>
                        <w:t>, PSM</w:t>
                      </w:r>
                    </w:p>
                  </w:txbxContent>
                </v:textbox>
              </v:shape>
            </w:pict>
          </mc:Fallback>
        </mc:AlternateContent>
      </w:r>
    </w:p>
    <w:p w14:paraId="7861CE55" w14:textId="47736869" w:rsidR="00A60329" w:rsidRPr="0024682A" w:rsidRDefault="0085144D" w:rsidP="00A60329">
      <w:pPr>
        <w:pStyle w:val="FigureHeading"/>
        <w:numPr>
          <w:ilvl w:val="0"/>
          <w:numId w:val="0"/>
        </w:numPr>
        <w:ind w:left="284"/>
      </w:pPr>
      <w:r w:rsidRPr="0024682A">
        <w:rPr>
          <w:noProof/>
          <w:lang w:val="en-AU"/>
        </w:rPr>
        <mc:AlternateContent>
          <mc:Choice Requires="wps">
            <w:drawing>
              <wp:anchor distT="0" distB="0" distL="114300" distR="114300" simplePos="0" relativeHeight="251643392" behindDoc="0" locked="0" layoutInCell="1" allowOverlap="1" wp14:anchorId="1CCF7CC5" wp14:editId="16B8AE00">
                <wp:simplePos x="0" y="0"/>
                <wp:positionH relativeFrom="column">
                  <wp:posOffset>690245</wp:posOffset>
                </wp:positionH>
                <wp:positionV relativeFrom="paragraph">
                  <wp:posOffset>143510</wp:posOffset>
                </wp:positionV>
                <wp:extent cx="1600200" cy="456565"/>
                <wp:effectExtent l="0" t="3175" r="0" b="0"/>
                <wp:wrapNone/>
                <wp:docPr id="856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6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EA72AF" w14:textId="77777777" w:rsidR="00CE3B2C" w:rsidRPr="00A01209" w:rsidRDefault="00CE3B2C" w:rsidP="00A60329">
                            <w:pPr>
                              <w:pStyle w:val="OrgChart"/>
                              <w:rPr>
                                <w:rFonts w:ascii="Arial" w:hAnsi="Arial"/>
                                <w:lang w:val="en-AU"/>
                              </w:rPr>
                            </w:pPr>
                            <w:r w:rsidRPr="00A01209">
                              <w:rPr>
                                <w:rFonts w:ascii="Arial" w:hAnsi="Arial"/>
                                <w:lang w:val="en-AU"/>
                              </w:rPr>
                              <w:t>Deputy Secretary</w:t>
                            </w:r>
                          </w:p>
                          <w:p w14:paraId="633E90BE" w14:textId="77777777" w:rsidR="00CE3B2C" w:rsidRPr="00A01209" w:rsidRDefault="00CE3B2C" w:rsidP="00A60329">
                            <w:pPr>
                              <w:pStyle w:val="OrgChart"/>
                              <w:rPr>
                                <w:rFonts w:ascii="Arial" w:hAnsi="Arial"/>
                                <w:lang w:val="en-AU"/>
                              </w:rPr>
                            </w:pPr>
                            <w:r w:rsidRPr="00A01209">
                              <w:rPr>
                                <w:rFonts w:ascii="Arial" w:hAnsi="Arial"/>
                                <w:lang w:val="en-AU"/>
                              </w:rPr>
                              <w:t>Security and Estate</w:t>
                            </w:r>
                          </w:p>
                          <w:p w14:paraId="7243BBD0" w14:textId="77777777" w:rsidR="00CE3B2C" w:rsidRPr="00A01209" w:rsidRDefault="00CE3B2C" w:rsidP="00A60329">
                            <w:pPr>
                              <w:pStyle w:val="OrgChart"/>
                              <w:rPr>
                                <w:rFonts w:ascii="Arial" w:hAnsi="Arial"/>
                                <w:lang w:val="en-AU"/>
                              </w:rPr>
                            </w:pPr>
                            <w:r w:rsidRPr="00A01209">
                              <w:rPr>
                                <w:rFonts w:ascii="Arial" w:hAnsi="Arial"/>
                                <w:lang w:val="en-AU"/>
                              </w:rPr>
                              <w:t>Ms Celia Perkins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F7CC5" id="Text Box 53" o:spid="_x0000_s1080" type="#_x0000_t202" style="position:absolute;left:0;text-align:left;margin-left:54.35pt;margin-top:11.3pt;width:126pt;height:35.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" stroked="f">
                <v:textbox>
                  <w:txbxContent>
                    <w:p w14:paraId="5EEA72AF" w14:textId="77777777" w:rsidR="00CE3B2C" w:rsidRPr="00A01209" w:rsidRDefault="00CE3B2C" w:rsidP="00A60329">
                      <w:pPr>
                        <w:pStyle w:val="OrgChart"/>
                        <w:rPr>
                          <w:rFonts w:ascii="Arial" w:hAnsi="Arial"/>
                          <w:lang w:val="en-AU"/>
                        </w:rPr>
                      </w:pPr>
                      <w:r w:rsidRPr="00A01209">
                        <w:rPr>
                          <w:rFonts w:ascii="Arial" w:hAnsi="Arial"/>
                          <w:lang w:val="en-AU"/>
                        </w:rPr>
                        <w:t>Deputy Secretary</w:t>
                      </w:r>
                    </w:p>
                    <w:p w14:paraId="633E90BE" w14:textId="77777777" w:rsidR="00CE3B2C" w:rsidRPr="00A01209" w:rsidRDefault="00CE3B2C" w:rsidP="00A60329">
                      <w:pPr>
                        <w:pStyle w:val="OrgChart"/>
                        <w:rPr>
                          <w:rFonts w:ascii="Arial" w:hAnsi="Arial"/>
                          <w:lang w:val="en-AU"/>
                        </w:rPr>
                      </w:pPr>
                      <w:r w:rsidRPr="00A01209">
                        <w:rPr>
                          <w:rFonts w:ascii="Arial" w:hAnsi="Arial"/>
                          <w:lang w:val="en-AU"/>
                        </w:rPr>
                        <w:t>Security and Estate</w:t>
                      </w:r>
                    </w:p>
                    <w:p w14:paraId="7243BBD0" w14:textId="77777777" w:rsidR="00CE3B2C" w:rsidRPr="00A01209" w:rsidRDefault="00CE3B2C" w:rsidP="00A60329">
                      <w:pPr>
                        <w:pStyle w:val="OrgChart"/>
                        <w:rPr>
                          <w:rFonts w:ascii="Arial" w:hAnsi="Arial"/>
                          <w:lang w:val="en-AU"/>
                        </w:rPr>
                      </w:pPr>
                      <w:r w:rsidRPr="00A01209">
                        <w:rPr>
                          <w:rFonts w:ascii="Arial" w:hAnsi="Arial"/>
                          <w:lang w:val="en-AU"/>
                        </w:rPr>
                        <w:t>Ms Celia Perkins</w:t>
                      </w:r>
                    </w:p>
                  </w:txbxContent>
                </v:textbox>
              </v:shape>
            </w:pict>
          </mc:Fallback>
        </mc:AlternateContent>
      </w:r>
    </w:p>
    <w:p w14:paraId="5B358FDC" w14:textId="325BD916" w:rsidR="00A60329" w:rsidRPr="0024682A" w:rsidRDefault="002855E0" w:rsidP="00A60329">
      <w:pPr>
        <w:pStyle w:val="FigureHeading"/>
        <w:numPr>
          <w:ilvl w:val="0"/>
          <w:numId w:val="0"/>
        </w:numPr>
        <w:ind w:left="284"/>
      </w:pPr>
      <w:r>
        <w:rPr>
          <w:noProof/>
          <w:lang w:val="en-AU"/>
        </w:rPr>
        <mc:AlternateContent>
          <mc:Choice Requires="wps">
            <w:drawing>
              <wp:anchor distT="0" distB="0" distL="114300" distR="114300" simplePos="0" relativeHeight="251630080" behindDoc="0" locked="0" layoutInCell="1" allowOverlap="1" wp14:anchorId="10D0B757" wp14:editId="698098F2">
                <wp:simplePos x="0" y="0"/>
                <wp:positionH relativeFrom="column">
                  <wp:posOffset>687106</wp:posOffset>
                </wp:positionH>
                <wp:positionV relativeFrom="paragraph">
                  <wp:posOffset>271780</wp:posOffset>
                </wp:positionV>
                <wp:extent cx="1510030" cy="456565"/>
                <wp:effectExtent l="0" t="0" r="0" b="635"/>
                <wp:wrapNone/>
                <wp:docPr id="85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030" cy="456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A7530F" w14:textId="77777777" w:rsidR="00CE3B2C" w:rsidRPr="00A01209" w:rsidRDefault="00CE3B2C" w:rsidP="00A60329">
                            <w:pPr>
                              <w:pStyle w:val="OrgChart"/>
                              <w:rPr>
                                <w:rFonts w:ascii="Arial" w:hAnsi="Arial"/>
                                <w:lang w:val="en-AU"/>
                              </w:rPr>
                            </w:pPr>
                            <w:r w:rsidRPr="00A01209">
                              <w:rPr>
                                <w:rFonts w:ascii="Arial" w:hAnsi="Arial"/>
                                <w:lang w:val="en-AU"/>
                              </w:rPr>
                              <w:t>Deputy Secretary</w:t>
                            </w:r>
                          </w:p>
                          <w:p w14:paraId="4B2A454F" w14:textId="77777777" w:rsidR="00CE3B2C" w:rsidRPr="00A01209" w:rsidRDefault="00CE3B2C" w:rsidP="00A60329">
                            <w:pPr>
                              <w:pStyle w:val="OrgChart"/>
                              <w:rPr>
                                <w:rFonts w:ascii="Arial" w:hAnsi="Arial"/>
                                <w:lang w:val="en-AU"/>
                              </w:rPr>
                            </w:pPr>
                            <w:r>
                              <w:rPr>
                                <w:rFonts w:ascii="Arial" w:hAnsi="Arial"/>
                                <w:lang w:val="en-AU"/>
                              </w:rPr>
                              <w:t>Governance</w:t>
                            </w:r>
                          </w:p>
                          <w:p w14:paraId="2FB1BFE4" w14:textId="77777777" w:rsidR="00CE3B2C" w:rsidRPr="00A01209" w:rsidRDefault="00CE3B2C" w:rsidP="00A60329">
                            <w:pPr>
                              <w:pStyle w:val="OrgChart"/>
                              <w:rPr>
                                <w:rFonts w:ascii="Arial" w:hAnsi="Arial"/>
                                <w:lang w:val="en-AU"/>
                              </w:rPr>
                            </w:pPr>
                            <w:r>
                              <w:rPr>
                                <w:rFonts w:ascii="Arial" w:hAnsi="Arial"/>
                                <w:lang w:val="en-AU"/>
                              </w:rPr>
                              <w:t xml:space="preserve">Mr John </w:t>
                            </w:r>
                            <w:r w:rsidRPr="00FA26B5">
                              <w:rPr>
                                <w:rFonts w:ascii="Arial" w:hAnsi="Arial"/>
                                <w:lang w:val="en-AU"/>
                              </w:rPr>
                              <w:t>Reid, PSM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0B757" id="_x0000_s1081" type="#_x0000_t202" style="position:absolute;left:0;text-align:left;margin-left:54.1pt;margin-top:21.4pt;width:118.9pt;height:35.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" stroked="f">
                <v:textbox>
                  <w:txbxContent>
                    <w:p w14:paraId="41A7530F" w14:textId="77777777" w:rsidR="00CE3B2C" w:rsidRPr="00A01209" w:rsidRDefault="00CE3B2C" w:rsidP="00A60329">
                      <w:pPr>
                        <w:pStyle w:val="OrgChart"/>
                        <w:rPr>
                          <w:rFonts w:ascii="Arial" w:hAnsi="Arial"/>
                          <w:lang w:val="en-AU"/>
                        </w:rPr>
                      </w:pPr>
                      <w:r w:rsidRPr="00A01209">
                        <w:rPr>
                          <w:rFonts w:ascii="Arial" w:hAnsi="Arial"/>
                          <w:lang w:val="en-AU"/>
                        </w:rPr>
                        <w:t>Deputy Secretary</w:t>
                      </w:r>
                    </w:p>
                    <w:p w14:paraId="4B2A454F" w14:textId="77777777" w:rsidR="00CE3B2C" w:rsidRPr="00A01209" w:rsidRDefault="00CE3B2C" w:rsidP="00A60329">
                      <w:pPr>
                        <w:pStyle w:val="OrgChart"/>
                        <w:rPr>
                          <w:rFonts w:ascii="Arial" w:hAnsi="Arial"/>
                          <w:lang w:val="en-AU"/>
                        </w:rPr>
                      </w:pPr>
                      <w:r>
                        <w:rPr>
                          <w:rFonts w:ascii="Arial" w:hAnsi="Arial"/>
                          <w:lang w:val="en-AU"/>
                        </w:rPr>
                        <w:t>Governance</w:t>
                      </w:r>
                    </w:p>
                    <w:p w14:paraId="2FB1BFE4" w14:textId="77777777" w:rsidR="00CE3B2C" w:rsidRPr="00A01209" w:rsidRDefault="00CE3B2C" w:rsidP="00A60329">
                      <w:pPr>
                        <w:pStyle w:val="OrgChart"/>
                        <w:rPr>
                          <w:rFonts w:ascii="Arial" w:hAnsi="Arial"/>
                          <w:lang w:val="en-AU"/>
                        </w:rPr>
                      </w:pPr>
                      <w:r>
                        <w:rPr>
                          <w:rFonts w:ascii="Arial" w:hAnsi="Arial"/>
                          <w:lang w:val="en-AU"/>
                        </w:rPr>
                        <w:t xml:space="preserve">Mr John </w:t>
                      </w:r>
                      <w:r w:rsidRPr="00FA26B5">
                        <w:rPr>
                          <w:rFonts w:ascii="Arial" w:hAnsi="Arial"/>
                          <w:lang w:val="en-AU"/>
                        </w:rPr>
                        <w:t>Reid, PSM</w:t>
                      </w:r>
                    </w:p>
                  </w:txbxContent>
                </v:textbox>
              </v:shape>
            </w:pict>
          </mc:Fallback>
        </mc:AlternateContent>
      </w:r>
      <w:r w:rsidR="0094625E" w:rsidRPr="0024682A">
        <w:rPr>
          <w:noProof/>
          <w:lang w:val="en-AU"/>
        </w:rPr>
        <mc:AlternateContent>
          <mc:Choice Requires="wps">
            <w:drawing>
              <wp:anchor distT="0" distB="0" distL="114300" distR="114300" simplePos="0" relativeHeight="251718144" behindDoc="0" locked="0" layoutInCell="1" allowOverlap="1" wp14:anchorId="52690CD7" wp14:editId="5C4DD915">
                <wp:simplePos x="0" y="0"/>
                <wp:positionH relativeFrom="column">
                  <wp:posOffset>607873</wp:posOffset>
                </wp:positionH>
                <wp:positionV relativeFrom="paragraph">
                  <wp:posOffset>15240</wp:posOffset>
                </wp:positionV>
                <wp:extent cx="114300" cy="0"/>
                <wp:effectExtent l="7620" t="10160" r="11430" b="8890"/>
                <wp:wrapNone/>
                <wp:docPr id="11"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2C9D1" id="Line 58"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5pt,1.2pt" to="56.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bHW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"/>
            </w:pict>
          </mc:Fallback>
        </mc:AlternateContent>
      </w:r>
      <w:r w:rsidR="0085144D" w:rsidRPr="0024682A">
        <w:rPr>
          <w:noProof/>
          <w:lang w:val="en-AU"/>
        </w:rPr>
        <mc:AlternateContent>
          <mc:Choice Requires="wpg">
            <w:drawing>
              <wp:anchor distT="0" distB="0" distL="114300" distR="114300" simplePos="0" relativeHeight="251654656" behindDoc="0" locked="0" layoutInCell="1" allowOverlap="1" wp14:anchorId="1CDC27FD" wp14:editId="44F6D520">
                <wp:simplePos x="0" y="0"/>
                <wp:positionH relativeFrom="column">
                  <wp:posOffset>2931160</wp:posOffset>
                </wp:positionH>
                <wp:positionV relativeFrom="paragraph">
                  <wp:posOffset>74930</wp:posOffset>
                </wp:positionV>
                <wp:extent cx="2319020" cy="408305"/>
                <wp:effectExtent l="12065" t="0" r="2540" b="3175"/>
                <wp:wrapNone/>
                <wp:docPr id="8555"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9020" cy="408305"/>
                          <a:chOff x="5122" y="8757"/>
                          <a:chExt cx="3658" cy="643"/>
                        </a:xfrm>
                      </wpg:grpSpPr>
                      <wps:wsp>
                        <wps:cNvPr id="8556" name="Text Box 34"/>
                        <wps:cNvSpPr txBox="1">
                          <a:spLocks noChangeArrowheads="1"/>
                        </wps:cNvSpPr>
                        <wps:spPr bwMode="auto">
                          <a:xfrm>
                            <a:off x="5302" y="8757"/>
                            <a:ext cx="3478" cy="6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314AA2" w14:textId="77777777" w:rsidR="00CE3B2C" w:rsidRPr="00A01209" w:rsidRDefault="00CE3B2C" w:rsidP="00A60329">
                              <w:pPr>
                                <w:pStyle w:val="OrgChart"/>
                                <w:rPr>
                                  <w:rFonts w:ascii="Arial" w:hAnsi="Arial"/>
                                  <w:lang w:val="en-AU"/>
                                </w:rPr>
                              </w:pPr>
                              <w:r w:rsidRPr="00A01209">
                                <w:rPr>
                                  <w:rFonts w:ascii="Arial" w:hAnsi="Arial"/>
                                  <w:lang w:val="en-AU"/>
                                </w:rPr>
                                <w:t>Chief of Joint Operations</w:t>
                              </w:r>
                            </w:p>
                            <w:p w14:paraId="5808EED5" w14:textId="5B58F9DA" w:rsidR="00CE3B2C" w:rsidRDefault="00CE3B2C" w:rsidP="00A60329">
                              <w:pPr>
                                <w:pStyle w:val="OrgChart"/>
                                <w:rPr>
                                  <w:lang w:val="en-AU"/>
                                </w:rPr>
                              </w:pPr>
                              <w:r w:rsidRPr="00ED1D21">
                                <w:rPr>
                                  <w:rFonts w:ascii="Arial" w:hAnsi="Arial"/>
                                  <w:lang w:val="en-AU"/>
                                </w:rPr>
                                <w:t>Vice Admiral Justin Jones, AO, CSC, RAN</w:t>
                              </w:r>
                            </w:p>
                          </w:txbxContent>
                        </wps:txbx>
                        <wps:bodyPr rot="0" vert="horz" wrap="square" lIns="91440" tIns="45720" rIns="91440" bIns="45720" anchor="t" anchorCtr="0" upright="1">
                          <a:noAutofit/>
                        </wps:bodyPr>
                      </wps:wsp>
                      <wps:wsp>
                        <wps:cNvPr id="8557" name="Line 35"/>
                        <wps:cNvCnPr>
                          <a:cxnSpLocks noChangeShapeType="1"/>
                        </wps:cNvCnPr>
                        <wps:spPr bwMode="auto">
                          <a:xfrm>
                            <a:off x="5122" y="8938"/>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DC27FD" id="Group 112" o:spid="_x0000_s1082" style="position:absolute;left:0;text-align:left;margin-left:230.8pt;margin-top:5.9pt;width:182.6pt;height:32.15pt;z-index:251654656" coordorigin="5122,8757" coordsize="3658,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">
                <v:shape id="Text Box 34" o:spid="_x0000_s1083" type="#_x0000_t202" style="position:absolute;left:5302;top:8757;width:3478;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" stroked="f">
                  <v:textbox>
                    <w:txbxContent>
                      <w:p w14:paraId="22314AA2" w14:textId="77777777" w:rsidR="00CE3B2C" w:rsidRPr="00A01209" w:rsidRDefault="00CE3B2C" w:rsidP="00A60329">
                        <w:pPr>
                          <w:pStyle w:val="OrgChart"/>
                          <w:rPr>
                            <w:rFonts w:ascii="Arial" w:hAnsi="Arial"/>
                            <w:lang w:val="en-AU"/>
                          </w:rPr>
                        </w:pPr>
                        <w:r w:rsidRPr="00A01209">
                          <w:rPr>
                            <w:rFonts w:ascii="Arial" w:hAnsi="Arial"/>
                            <w:lang w:val="en-AU"/>
                          </w:rPr>
                          <w:t>Chief of Joint Operations</w:t>
                        </w:r>
                      </w:p>
                      <w:p w14:paraId="5808EED5" w14:textId="5B58F9DA" w:rsidR="00CE3B2C" w:rsidRDefault="00CE3B2C" w:rsidP="00A60329">
                        <w:pPr>
                          <w:pStyle w:val="OrgChart"/>
                          <w:rPr>
                            <w:lang w:val="en-AU"/>
                          </w:rPr>
                        </w:pPr>
                        <w:r w:rsidRPr="00ED1D21">
                          <w:rPr>
                            <w:rFonts w:ascii="Arial" w:hAnsi="Arial"/>
                            <w:lang w:val="en-AU"/>
                          </w:rPr>
                          <w:t>Vice Admiral Justin Jones, AO, CSC, RAN</w:t>
                        </w:r>
                      </w:p>
                    </w:txbxContent>
                  </v:textbox>
                </v:shape>
                <v:line id="Line 35" o:spid="_x0000_s1084" style="position:absolute;visibility:visible;mso-wrap-style:square" from="5122,8938" to="5302,8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"/>
              </v:group>
            </w:pict>
          </mc:Fallback>
        </mc:AlternateContent>
      </w:r>
    </w:p>
    <w:p w14:paraId="30DCC3DD" w14:textId="5282D610" w:rsidR="00A60329" w:rsidRPr="0024682A" w:rsidRDefault="003C7866" w:rsidP="00A60329">
      <w:pPr>
        <w:pStyle w:val="FigureHeading"/>
        <w:numPr>
          <w:ilvl w:val="0"/>
          <w:numId w:val="0"/>
        </w:numPr>
        <w:ind w:left="284"/>
      </w:pPr>
      <w:r w:rsidRPr="0024682A">
        <w:rPr>
          <w:noProof/>
          <w:lang w:val="en-AU"/>
        </w:rPr>
        <mc:AlternateContent>
          <mc:Choice Requires="wps">
            <w:drawing>
              <wp:anchor distT="0" distB="0" distL="114300" distR="114300" simplePos="0" relativeHeight="251656704" behindDoc="0" locked="0" layoutInCell="1" allowOverlap="1" wp14:anchorId="5B2E9AD3" wp14:editId="38777B90">
                <wp:simplePos x="0" y="0"/>
                <wp:positionH relativeFrom="column">
                  <wp:posOffset>3036500</wp:posOffset>
                </wp:positionH>
                <wp:positionV relativeFrom="paragraph">
                  <wp:posOffset>198825</wp:posOffset>
                </wp:positionV>
                <wp:extent cx="2635705" cy="472440"/>
                <wp:effectExtent l="0" t="0" r="0" b="3810"/>
                <wp:wrapNone/>
                <wp:docPr id="855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705" cy="472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0FB9D2" w14:textId="77777777" w:rsidR="00CE3B2C" w:rsidRPr="00A01209" w:rsidRDefault="00CE3B2C" w:rsidP="00A60329">
                            <w:pPr>
                              <w:spacing w:before="0" w:after="0"/>
                              <w:rPr>
                                <w:rFonts w:ascii="Arial" w:hAnsi="Arial"/>
                                <w:sz w:val="16"/>
                              </w:rPr>
                            </w:pPr>
                            <w:r w:rsidRPr="00A01209">
                              <w:rPr>
                                <w:rFonts w:ascii="Arial" w:hAnsi="Arial"/>
                                <w:sz w:val="16"/>
                              </w:rPr>
                              <w:t>Chief of Joint Capabilities</w:t>
                            </w:r>
                          </w:p>
                          <w:p w14:paraId="4574126E" w14:textId="18041FC8" w:rsidR="00CE3B2C" w:rsidRPr="00566287" w:rsidRDefault="00CE3B2C" w:rsidP="003C7866">
                            <w:pPr>
                              <w:spacing w:before="0" w:after="0"/>
                              <w:rPr>
                                <w:rFonts w:ascii="Arial" w:hAnsi="Arial"/>
                                <w:sz w:val="16"/>
                                <w:szCs w:val="16"/>
                              </w:rPr>
                            </w:pPr>
                            <w:r>
                              <w:rPr>
                                <w:rFonts w:ascii="Arial" w:hAnsi="Arial"/>
                                <w:sz w:val="16"/>
                                <w:szCs w:val="16"/>
                                <w:lang w:val="en-AU"/>
                              </w:rPr>
                              <w:t>Lieutenant General Susan Coyle</w:t>
                            </w:r>
                            <w:r w:rsidRPr="00566287">
                              <w:rPr>
                                <w:rFonts w:ascii="Arial" w:hAnsi="Arial"/>
                                <w:sz w:val="16"/>
                                <w:szCs w:val="16"/>
                                <w:lang w:val="en-AU"/>
                              </w:rPr>
                              <w:t>, A</w:t>
                            </w:r>
                            <w:r>
                              <w:rPr>
                                <w:rFonts w:ascii="Arial" w:hAnsi="Arial"/>
                                <w:sz w:val="16"/>
                                <w:szCs w:val="16"/>
                                <w:lang w:val="en-AU"/>
                              </w:rPr>
                              <w:t>M</w:t>
                            </w:r>
                            <w:r w:rsidRPr="00566287">
                              <w:rPr>
                                <w:rFonts w:ascii="Arial" w:hAnsi="Arial"/>
                                <w:sz w:val="16"/>
                                <w:szCs w:val="16"/>
                                <w:lang w:val="en-AU"/>
                              </w:rPr>
                              <w:t xml:space="preserve">, CSC, </w:t>
                            </w:r>
                            <w:r>
                              <w:rPr>
                                <w:rFonts w:ascii="Arial" w:hAnsi="Arial"/>
                                <w:sz w:val="16"/>
                                <w:szCs w:val="16"/>
                                <w:lang w:val="en-AU"/>
                              </w:rPr>
                              <w:t>DSM</w:t>
                            </w:r>
                          </w:p>
                          <w:p w14:paraId="32588B53" w14:textId="18DBDB2D" w:rsidR="00CE3B2C" w:rsidRPr="00566287" w:rsidRDefault="00CE3B2C" w:rsidP="00A60329">
                            <w:pPr>
                              <w:spacing w:before="0" w:after="0"/>
                              <w:rPr>
                                <w:rFonts w:ascii="Arial" w:hAnsi="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E9AD3" id="Text Box 18" o:spid="_x0000_s1085" type="#_x0000_t202" style="position:absolute;left:0;text-align:left;margin-left:239.1pt;margin-top:15.65pt;width:207.55pt;height:37.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" stroked="f">
                <v:textbox>
                  <w:txbxContent>
                    <w:p w14:paraId="6C0FB9D2" w14:textId="77777777" w:rsidR="00CE3B2C" w:rsidRPr="00A01209" w:rsidRDefault="00CE3B2C" w:rsidP="00A60329">
                      <w:pPr>
                        <w:spacing w:before="0" w:after="0"/>
                        <w:rPr>
                          <w:rFonts w:ascii="Arial" w:hAnsi="Arial"/>
                          <w:sz w:val="16"/>
                        </w:rPr>
                      </w:pPr>
                      <w:r w:rsidRPr="00A01209">
                        <w:rPr>
                          <w:rFonts w:ascii="Arial" w:hAnsi="Arial"/>
                          <w:sz w:val="16"/>
                        </w:rPr>
                        <w:t>Chief of Joint Capabilities</w:t>
                      </w:r>
                    </w:p>
                    <w:p w14:paraId="4574126E" w14:textId="18041FC8" w:rsidR="00CE3B2C" w:rsidRPr="00566287" w:rsidRDefault="00CE3B2C" w:rsidP="003C7866">
                      <w:pPr>
                        <w:spacing w:before="0" w:after="0"/>
                        <w:rPr>
                          <w:rFonts w:ascii="Arial" w:hAnsi="Arial"/>
                          <w:sz w:val="16"/>
                          <w:szCs w:val="16"/>
                        </w:rPr>
                      </w:pPr>
                      <w:r>
                        <w:rPr>
                          <w:rFonts w:ascii="Arial" w:hAnsi="Arial"/>
                          <w:sz w:val="16"/>
                          <w:szCs w:val="16"/>
                          <w:lang w:val="en-AU"/>
                        </w:rPr>
                        <w:t>Lieutenant General Susan Coyle</w:t>
                      </w:r>
                      <w:r w:rsidRPr="00566287">
                        <w:rPr>
                          <w:rFonts w:ascii="Arial" w:hAnsi="Arial"/>
                          <w:sz w:val="16"/>
                          <w:szCs w:val="16"/>
                          <w:lang w:val="en-AU"/>
                        </w:rPr>
                        <w:t>, A</w:t>
                      </w:r>
                      <w:r>
                        <w:rPr>
                          <w:rFonts w:ascii="Arial" w:hAnsi="Arial"/>
                          <w:sz w:val="16"/>
                          <w:szCs w:val="16"/>
                          <w:lang w:val="en-AU"/>
                        </w:rPr>
                        <w:t>M</w:t>
                      </w:r>
                      <w:r w:rsidRPr="00566287">
                        <w:rPr>
                          <w:rFonts w:ascii="Arial" w:hAnsi="Arial"/>
                          <w:sz w:val="16"/>
                          <w:szCs w:val="16"/>
                          <w:lang w:val="en-AU"/>
                        </w:rPr>
                        <w:t xml:space="preserve">, CSC, </w:t>
                      </w:r>
                      <w:r>
                        <w:rPr>
                          <w:rFonts w:ascii="Arial" w:hAnsi="Arial"/>
                          <w:sz w:val="16"/>
                          <w:szCs w:val="16"/>
                          <w:lang w:val="en-AU"/>
                        </w:rPr>
                        <w:t>DSM</w:t>
                      </w:r>
                    </w:p>
                    <w:p w14:paraId="32588B53" w14:textId="18DBDB2D" w:rsidR="00CE3B2C" w:rsidRPr="00566287" w:rsidRDefault="00CE3B2C" w:rsidP="00A60329">
                      <w:pPr>
                        <w:spacing w:before="0" w:after="0"/>
                        <w:rPr>
                          <w:rFonts w:ascii="Arial" w:hAnsi="Arial"/>
                          <w:sz w:val="16"/>
                          <w:szCs w:val="16"/>
                        </w:rPr>
                      </w:pPr>
                    </w:p>
                  </w:txbxContent>
                </v:textbox>
              </v:shape>
            </w:pict>
          </mc:Fallback>
        </mc:AlternateContent>
      </w:r>
      <w:r w:rsidR="00BC0FB5" w:rsidRPr="0024682A">
        <w:rPr>
          <w:noProof/>
          <w:lang w:val="en-AU"/>
        </w:rPr>
        <mc:AlternateContent>
          <mc:Choice Requires="wps">
            <w:drawing>
              <wp:anchor distT="0" distB="0" distL="114300" distR="114300" simplePos="0" relativeHeight="251646464" behindDoc="0" locked="0" layoutInCell="1" allowOverlap="1" wp14:anchorId="4C5AF9A7" wp14:editId="59284B04">
                <wp:simplePos x="0" y="0"/>
                <wp:positionH relativeFrom="column">
                  <wp:posOffset>604520</wp:posOffset>
                </wp:positionH>
                <wp:positionV relativeFrom="paragraph">
                  <wp:posOffset>209208</wp:posOffset>
                </wp:positionV>
                <wp:extent cx="114300" cy="0"/>
                <wp:effectExtent l="9525" t="12065" r="9525" b="6985"/>
                <wp:wrapNone/>
                <wp:docPr id="8559"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27992E" id="Line 57"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pt,16.45pt" to="56.6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VOFQIAACs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"/>
            </w:pict>
          </mc:Fallback>
        </mc:AlternateContent>
      </w:r>
      <w:r w:rsidR="0085144D" w:rsidRPr="0024682A">
        <w:rPr>
          <w:noProof/>
          <w:lang w:val="en-AU"/>
        </w:rPr>
        <mc:AlternateContent>
          <mc:Choice Requires="wps">
            <w:drawing>
              <wp:anchor distT="0" distB="0" distL="114300" distR="114300" simplePos="0" relativeHeight="251657728" behindDoc="0" locked="0" layoutInCell="1" allowOverlap="1" wp14:anchorId="79D2C000" wp14:editId="3605889F">
                <wp:simplePos x="0" y="0"/>
                <wp:positionH relativeFrom="column">
                  <wp:posOffset>2933065</wp:posOffset>
                </wp:positionH>
                <wp:positionV relativeFrom="paragraph">
                  <wp:posOffset>306070</wp:posOffset>
                </wp:positionV>
                <wp:extent cx="106680" cy="0"/>
                <wp:effectExtent l="13970" t="6985" r="12700" b="12065"/>
                <wp:wrapNone/>
                <wp:docPr id="855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967E13" id="_x0000_t32" coordsize="21600,21600" o:spt="32" o:oned="t" path="m,l21600,21600e" filled="f">
                <v:path arrowok="t" fillok="f" o:connecttype="none"/>
                <o:lock v:ext="edit" shapetype="t"/>
              </v:shapetype>
              <v:shape id="AutoShape 19" o:spid="_x0000_s1026" type="#_x0000_t32" style="position:absolute;margin-left:230.95pt;margin-top:24.1pt;width:8.4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OrCIAIAAD4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"/>
            </w:pict>
          </mc:Fallback>
        </mc:AlternateContent>
      </w:r>
    </w:p>
    <w:p w14:paraId="2052C011" w14:textId="77777777" w:rsidR="00A60329" w:rsidRPr="0024682A" w:rsidRDefault="0085144D" w:rsidP="00A60329">
      <w:pPr>
        <w:pStyle w:val="FigureHeading"/>
        <w:numPr>
          <w:ilvl w:val="0"/>
          <w:numId w:val="0"/>
        </w:numPr>
        <w:ind w:left="284"/>
      </w:pPr>
      <w:r w:rsidRPr="0024682A">
        <w:rPr>
          <w:noProof/>
          <w:lang w:val="en-AU"/>
        </w:rPr>
        <mc:AlternateContent>
          <mc:Choice Requires="wps">
            <w:drawing>
              <wp:anchor distT="0" distB="0" distL="114300" distR="114300" simplePos="0" relativeHeight="251677184" behindDoc="0" locked="0" layoutInCell="1" allowOverlap="1" wp14:anchorId="7D346957" wp14:editId="5EBA3C85">
                <wp:simplePos x="0" y="0"/>
                <wp:positionH relativeFrom="column">
                  <wp:posOffset>3031490</wp:posOffset>
                </wp:positionH>
                <wp:positionV relativeFrom="paragraph">
                  <wp:posOffset>241300</wp:posOffset>
                </wp:positionV>
                <wp:extent cx="2189480" cy="472440"/>
                <wp:effectExtent l="0" t="0" r="3175" b="0"/>
                <wp:wrapNone/>
                <wp:docPr id="854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9480" cy="472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230C88" w14:textId="77777777" w:rsidR="00CE3B2C" w:rsidRPr="00A01209" w:rsidRDefault="00CE3B2C" w:rsidP="00A60329">
                            <w:pPr>
                              <w:spacing w:before="0" w:after="0"/>
                              <w:rPr>
                                <w:rFonts w:ascii="Arial" w:hAnsi="Arial"/>
                                <w:sz w:val="16"/>
                              </w:rPr>
                            </w:pPr>
                            <w:r w:rsidRPr="00A01209">
                              <w:rPr>
                                <w:rFonts w:ascii="Arial" w:hAnsi="Arial"/>
                                <w:sz w:val="16"/>
                              </w:rPr>
                              <w:t xml:space="preserve">Chief of </w:t>
                            </w:r>
                            <w:r>
                              <w:rPr>
                                <w:rFonts w:ascii="Arial" w:hAnsi="Arial"/>
                                <w:sz w:val="16"/>
                              </w:rPr>
                              <w:t xml:space="preserve">Guided Weapons and Explosive Ordnance </w:t>
                            </w:r>
                          </w:p>
                          <w:p w14:paraId="0EA49C7E" w14:textId="77777777" w:rsidR="00CE3B2C" w:rsidRPr="00A01209" w:rsidRDefault="00CE3B2C" w:rsidP="00A60329">
                            <w:pPr>
                              <w:spacing w:before="0" w:after="0"/>
                              <w:rPr>
                                <w:rFonts w:ascii="Arial" w:hAnsi="Arial"/>
                                <w:sz w:val="16"/>
                              </w:rPr>
                            </w:pPr>
                            <w:r>
                              <w:rPr>
                                <w:rFonts w:ascii="Arial" w:hAnsi="Arial"/>
                                <w:sz w:val="16"/>
                              </w:rPr>
                              <w:t>Air Marshal Leon Phillips, OAM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46957" id="_x0000_s1086" type="#_x0000_t202" style="position:absolute;left:0;text-align:left;margin-left:238.7pt;margin-top:19pt;width:172.4pt;height:37.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" stroked="f">
                <v:textbox>
                  <w:txbxContent>
                    <w:p w14:paraId="4F230C88" w14:textId="77777777" w:rsidR="00CE3B2C" w:rsidRPr="00A01209" w:rsidRDefault="00CE3B2C" w:rsidP="00A60329">
                      <w:pPr>
                        <w:spacing w:before="0" w:after="0"/>
                        <w:rPr>
                          <w:rFonts w:ascii="Arial" w:hAnsi="Arial"/>
                          <w:sz w:val="16"/>
                        </w:rPr>
                      </w:pPr>
                      <w:r w:rsidRPr="00A01209">
                        <w:rPr>
                          <w:rFonts w:ascii="Arial" w:hAnsi="Arial"/>
                          <w:sz w:val="16"/>
                        </w:rPr>
                        <w:t xml:space="preserve">Chief of </w:t>
                      </w:r>
                      <w:r>
                        <w:rPr>
                          <w:rFonts w:ascii="Arial" w:hAnsi="Arial"/>
                          <w:sz w:val="16"/>
                        </w:rPr>
                        <w:t xml:space="preserve">Guided Weapons and Explosive Ordnance </w:t>
                      </w:r>
                    </w:p>
                    <w:p w14:paraId="0EA49C7E" w14:textId="77777777" w:rsidR="00CE3B2C" w:rsidRPr="00A01209" w:rsidRDefault="00CE3B2C" w:rsidP="00A60329">
                      <w:pPr>
                        <w:spacing w:before="0" w:after="0"/>
                        <w:rPr>
                          <w:rFonts w:ascii="Arial" w:hAnsi="Arial"/>
                          <w:sz w:val="16"/>
                        </w:rPr>
                      </w:pPr>
                      <w:r>
                        <w:rPr>
                          <w:rFonts w:ascii="Arial" w:hAnsi="Arial"/>
                          <w:sz w:val="16"/>
                        </w:rPr>
                        <w:t>Air Marshal Leon Phillips, OAM</w:t>
                      </w:r>
                    </w:p>
                  </w:txbxContent>
                </v:textbox>
              </v:shape>
            </w:pict>
          </mc:Fallback>
        </mc:AlternateContent>
      </w:r>
      <w:r w:rsidRPr="0024682A">
        <w:rPr>
          <w:noProof/>
          <w:lang w:val="en-AU"/>
        </w:rPr>
        <mc:AlternateContent>
          <mc:Choice Requires="wps">
            <w:drawing>
              <wp:anchor distT="0" distB="0" distL="114300" distR="114300" simplePos="0" relativeHeight="251674112" behindDoc="0" locked="0" layoutInCell="1" allowOverlap="1" wp14:anchorId="29B0955B" wp14:editId="765E9222">
                <wp:simplePos x="0" y="0"/>
                <wp:positionH relativeFrom="column">
                  <wp:posOffset>410210</wp:posOffset>
                </wp:positionH>
                <wp:positionV relativeFrom="paragraph">
                  <wp:posOffset>150495</wp:posOffset>
                </wp:positionV>
                <wp:extent cx="2181225" cy="457200"/>
                <wp:effectExtent l="0" t="0" r="0" b="0"/>
                <wp:wrapNone/>
                <wp:docPr id="854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FAC4B0" w14:textId="77777777" w:rsidR="00CE3B2C" w:rsidRDefault="00CE3B2C" w:rsidP="00A60329">
                            <w:pPr>
                              <w:pStyle w:val="OrgChart"/>
                              <w:rPr>
                                <w:rFonts w:ascii="Arial" w:hAnsi="Arial"/>
                                <w:lang w:val="en-AU"/>
                              </w:rPr>
                            </w:pPr>
                            <w:r>
                              <w:rPr>
                                <w:rFonts w:ascii="Arial" w:hAnsi="Arial"/>
                                <w:lang w:val="en-AU"/>
                              </w:rPr>
                              <w:t>Deputy Secretary</w:t>
                            </w:r>
                          </w:p>
                          <w:p w14:paraId="39585606" w14:textId="77777777" w:rsidR="00CE3B2C" w:rsidRDefault="00CE3B2C" w:rsidP="00A60329">
                            <w:pPr>
                              <w:pStyle w:val="OrgChart"/>
                              <w:rPr>
                                <w:rFonts w:ascii="Arial" w:hAnsi="Arial"/>
                                <w:lang w:val="en-AU"/>
                              </w:rPr>
                            </w:pPr>
                            <w:r>
                              <w:rPr>
                                <w:rFonts w:ascii="Arial" w:hAnsi="Arial"/>
                                <w:lang w:val="en-AU"/>
                              </w:rPr>
                              <w:t>Strategy, Policy and Industry</w:t>
                            </w:r>
                          </w:p>
                          <w:p w14:paraId="0CE905F7" w14:textId="77777777" w:rsidR="00CE3B2C" w:rsidRPr="0027028D" w:rsidRDefault="00CE3B2C" w:rsidP="00A60329">
                            <w:pPr>
                              <w:pStyle w:val="OrgChart"/>
                              <w:rPr>
                                <w:rFonts w:ascii="Arial" w:hAnsi="Arial"/>
                                <w:color w:val="000000"/>
                                <w:szCs w:val="16"/>
                                <w:lang w:val="en-AU"/>
                              </w:rPr>
                            </w:pPr>
                            <w:r>
                              <w:rPr>
                                <w:rFonts w:ascii="Arial" w:hAnsi="Arial"/>
                                <w:lang w:val="en-AU"/>
                              </w:rPr>
                              <w:t>Mr Hugh Jeffrey</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9B0955B" id="Text Box 100" o:spid="_x0000_s1087" type="#_x0000_t202" style="position:absolute;left:0;text-align:left;margin-left:32.3pt;margin-top:11.85pt;width:171.75pt;height:3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" stroked="f">
                <v:textbox>
                  <w:txbxContent>
                    <w:p w14:paraId="12FAC4B0" w14:textId="77777777" w:rsidR="00CE3B2C" w:rsidRDefault="00CE3B2C" w:rsidP="00A60329">
                      <w:pPr>
                        <w:pStyle w:val="OrgChart"/>
                        <w:rPr>
                          <w:rFonts w:ascii="Arial" w:hAnsi="Arial"/>
                          <w:lang w:val="en-AU"/>
                        </w:rPr>
                      </w:pPr>
                      <w:r>
                        <w:rPr>
                          <w:rFonts w:ascii="Arial" w:hAnsi="Arial"/>
                          <w:lang w:val="en-AU"/>
                        </w:rPr>
                        <w:t>Deputy Secretary</w:t>
                      </w:r>
                    </w:p>
                    <w:p w14:paraId="39585606" w14:textId="77777777" w:rsidR="00CE3B2C" w:rsidRDefault="00CE3B2C" w:rsidP="00A60329">
                      <w:pPr>
                        <w:pStyle w:val="OrgChart"/>
                        <w:rPr>
                          <w:rFonts w:ascii="Arial" w:hAnsi="Arial"/>
                          <w:lang w:val="en-AU"/>
                        </w:rPr>
                      </w:pPr>
                      <w:r>
                        <w:rPr>
                          <w:rFonts w:ascii="Arial" w:hAnsi="Arial"/>
                          <w:lang w:val="en-AU"/>
                        </w:rPr>
                        <w:t>Strategy, Policy and Industry</w:t>
                      </w:r>
                    </w:p>
                    <w:p w14:paraId="0CE905F7" w14:textId="77777777" w:rsidR="00CE3B2C" w:rsidRPr="0027028D" w:rsidRDefault="00CE3B2C" w:rsidP="00A60329">
                      <w:pPr>
                        <w:pStyle w:val="OrgChart"/>
                        <w:rPr>
                          <w:rFonts w:ascii="Arial" w:hAnsi="Arial"/>
                          <w:color w:val="000000"/>
                          <w:szCs w:val="16"/>
                          <w:lang w:val="en-AU"/>
                        </w:rPr>
                      </w:pPr>
                      <w:r>
                        <w:rPr>
                          <w:rFonts w:ascii="Arial" w:hAnsi="Arial"/>
                          <w:lang w:val="en-AU"/>
                        </w:rPr>
                        <w:t>Mr Hugh Jeffrey</w:t>
                      </w:r>
                    </w:p>
                  </w:txbxContent>
                </v:textbox>
              </v:shape>
            </w:pict>
          </mc:Fallback>
        </mc:AlternateContent>
      </w:r>
    </w:p>
    <w:p w14:paraId="219F0A4B" w14:textId="77777777" w:rsidR="00A60329" w:rsidRPr="0024682A" w:rsidRDefault="0085144D" w:rsidP="00A60329">
      <w:pPr>
        <w:pStyle w:val="FigureHeading"/>
        <w:numPr>
          <w:ilvl w:val="0"/>
          <w:numId w:val="0"/>
        </w:numPr>
        <w:ind w:left="284"/>
      </w:pPr>
      <w:r w:rsidRPr="0024682A">
        <w:rPr>
          <w:noProof/>
          <w:lang w:val="en-AU"/>
        </w:rPr>
        <mc:AlternateContent>
          <mc:Choice Requires="wps">
            <w:drawing>
              <wp:anchor distT="4294967294" distB="4294967294" distL="114300" distR="114300" simplePos="0" relativeHeight="251675136" behindDoc="0" locked="0" layoutInCell="1" allowOverlap="1" wp14:anchorId="25190688" wp14:editId="4C1C63B3">
                <wp:simplePos x="0" y="0"/>
                <wp:positionH relativeFrom="column">
                  <wp:posOffset>330200</wp:posOffset>
                </wp:positionH>
                <wp:positionV relativeFrom="paragraph">
                  <wp:posOffset>31749</wp:posOffset>
                </wp:positionV>
                <wp:extent cx="97790" cy="0"/>
                <wp:effectExtent l="0" t="0" r="16510" b="0"/>
                <wp:wrapNone/>
                <wp:docPr id="8547"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7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F2BECAD" id="Straight Connector 99" o:spid="_x0000_s1026" style="position:absolute;flip:y;z-index:251675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6pt,2.5pt" to="33.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"/>
            </w:pict>
          </mc:Fallback>
        </mc:AlternateContent>
      </w:r>
      <w:r w:rsidRPr="0024682A">
        <w:rPr>
          <w:noProof/>
          <w:lang w:val="en-AU"/>
        </w:rPr>
        <mc:AlternateContent>
          <mc:Choice Requires="wps">
            <w:drawing>
              <wp:anchor distT="0" distB="0" distL="114300" distR="114300" simplePos="0" relativeHeight="251678208" behindDoc="0" locked="0" layoutInCell="1" allowOverlap="1" wp14:anchorId="7829B120" wp14:editId="727D166D">
                <wp:simplePos x="0" y="0"/>
                <wp:positionH relativeFrom="column">
                  <wp:posOffset>2933700</wp:posOffset>
                </wp:positionH>
                <wp:positionV relativeFrom="paragraph">
                  <wp:posOffset>86995</wp:posOffset>
                </wp:positionV>
                <wp:extent cx="106680" cy="0"/>
                <wp:effectExtent l="5080" t="10160" r="12065" b="8890"/>
                <wp:wrapNone/>
                <wp:docPr id="854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785D79" id="AutoShape 19" o:spid="_x0000_s1026" type="#_x0000_t32" style="position:absolute;margin-left:231pt;margin-top:6.85pt;width:8.4pt;height: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IFDIAIAAD4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"/>
            </w:pict>
          </mc:Fallback>
        </mc:AlternateContent>
      </w:r>
    </w:p>
    <w:p w14:paraId="6D5AA8F9" w14:textId="77777777" w:rsidR="00A60329" w:rsidRPr="0024682A" w:rsidRDefault="0085144D" w:rsidP="00D35952">
      <w:pPr>
        <w:pStyle w:val="FigureHeading"/>
        <w:numPr>
          <w:ilvl w:val="0"/>
          <w:numId w:val="0"/>
        </w:numPr>
        <w:ind w:left="284"/>
      </w:pPr>
      <w:r>
        <w:rPr>
          <w:noProof/>
          <w:lang w:val="en-AU"/>
        </w:rPr>
        <mc:AlternateContent>
          <mc:Choice Requires="wps">
            <w:drawing>
              <wp:anchor distT="0" distB="0" distL="114300" distR="114300" simplePos="0" relativeHeight="251680256" behindDoc="0" locked="0" layoutInCell="1" allowOverlap="1" wp14:anchorId="43D252E7" wp14:editId="76C332C5">
                <wp:simplePos x="0" y="0"/>
                <wp:positionH relativeFrom="column">
                  <wp:posOffset>2935605</wp:posOffset>
                </wp:positionH>
                <wp:positionV relativeFrom="paragraph">
                  <wp:posOffset>254000</wp:posOffset>
                </wp:positionV>
                <wp:extent cx="106680" cy="0"/>
                <wp:effectExtent l="6985" t="12065" r="10160" b="6985"/>
                <wp:wrapNone/>
                <wp:docPr id="854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925353" id="AutoShape 19" o:spid="_x0000_s1026" type="#_x0000_t32" style="position:absolute;margin-left:231.15pt;margin-top:20pt;width:8.4pt;height: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tsVIAIAAD4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"/>
            </w:pict>
          </mc:Fallback>
        </mc:AlternateContent>
      </w:r>
      <w:r w:rsidRPr="0024682A">
        <w:rPr>
          <w:noProof/>
          <w:lang w:val="en-AU"/>
        </w:rPr>
        <mc:AlternateContent>
          <mc:Choice Requires="wps">
            <w:drawing>
              <wp:anchor distT="4294967294" distB="4294967294" distL="114300" distR="114300" simplePos="0" relativeHeight="251639296" behindDoc="0" locked="0" layoutInCell="1" allowOverlap="1" wp14:anchorId="397F9B04" wp14:editId="6F6AAE35">
                <wp:simplePos x="0" y="0"/>
                <wp:positionH relativeFrom="column">
                  <wp:posOffset>330200</wp:posOffset>
                </wp:positionH>
                <wp:positionV relativeFrom="paragraph">
                  <wp:posOffset>167639</wp:posOffset>
                </wp:positionV>
                <wp:extent cx="97790" cy="0"/>
                <wp:effectExtent l="0" t="0" r="16510" b="0"/>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7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705A8A8" id="Straight Connector 99" o:spid="_x0000_s1026" style="position:absolute;flip:y;z-index:251639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6pt,13.2pt" to="33.7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"/>
            </w:pict>
          </mc:Fallback>
        </mc:AlternateContent>
      </w:r>
      <w:r w:rsidRPr="0024682A">
        <w:rPr>
          <w:noProof/>
          <w:lang w:val="en-AU"/>
        </w:rPr>
        <mc:AlternateContent>
          <mc:Choice Requires="wps">
            <w:drawing>
              <wp:anchor distT="0" distB="0" distL="114300" distR="114300" simplePos="0" relativeHeight="251638272" behindDoc="0" locked="0" layoutInCell="1" allowOverlap="1" wp14:anchorId="6AAA2B93" wp14:editId="1D569E37">
                <wp:simplePos x="0" y="0"/>
                <wp:positionH relativeFrom="column">
                  <wp:posOffset>406400</wp:posOffset>
                </wp:positionH>
                <wp:positionV relativeFrom="paragraph">
                  <wp:posOffset>17780</wp:posOffset>
                </wp:positionV>
                <wp:extent cx="2181225" cy="457200"/>
                <wp:effectExtent l="0" t="0" r="0" b="0"/>
                <wp:wrapNone/>
                <wp:docPr id="854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308836" w14:textId="77777777" w:rsidR="00CE3B2C" w:rsidRPr="00A01209" w:rsidRDefault="00CE3B2C" w:rsidP="00A60329">
                            <w:pPr>
                              <w:pStyle w:val="OrgChart"/>
                              <w:rPr>
                                <w:rFonts w:ascii="Arial" w:hAnsi="Arial"/>
                                <w:lang w:val="en-AU"/>
                              </w:rPr>
                            </w:pPr>
                            <w:r w:rsidRPr="00A01209">
                              <w:rPr>
                                <w:rFonts w:ascii="Arial" w:hAnsi="Arial"/>
                                <w:lang w:val="en-AU"/>
                              </w:rPr>
                              <w:t>Chief of Defence Intelligence</w:t>
                            </w:r>
                          </w:p>
                          <w:p w14:paraId="14E64F32" w14:textId="77777777" w:rsidR="00CE3B2C" w:rsidRPr="0027028D" w:rsidRDefault="00CE3B2C" w:rsidP="00A60329">
                            <w:pPr>
                              <w:pStyle w:val="OrgChart"/>
                              <w:rPr>
                                <w:rFonts w:ascii="Arial" w:hAnsi="Arial"/>
                                <w:color w:val="000000"/>
                                <w:szCs w:val="16"/>
                                <w:lang w:val="en-AU"/>
                              </w:rPr>
                            </w:pPr>
                            <w:r w:rsidRPr="00D507BB">
                              <w:rPr>
                                <w:rFonts w:ascii="Arial" w:hAnsi="Arial"/>
                                <w:lang w:val="en-AU"/>
                              </w:rPr>
                              <w:t>Mr Tom Hamilton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AAA2B93" id="_x0000_s1088" type="#_x0000_t202" style="position:absolute;left:0;text-align:left;margin-left:32pt;margin-top:1.4pt;width:171.75pt;height:3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" stroked="f">
                <v:textbox>
                  <w:txbxContent>
                    <w:p w14:paraId="44308836" w14:textId="77777777" w:rsidR="00CE3B2C" w:rsidRPr="00A01209" w:rsidRDefault="00CE3B2C" w:rsidP="00A60329">
                      <w:pPr>
                        <w:pStyle w:val="OrgChart"/>
                        <w:rPr>
                          <w:rFonts w:ascii="Arial" w:hAnsi="Arial"/>
                          <w:lang w:val="en-AU"/>
                        </w:rPr>
                      </w:pPr>
                      <w:r w:rsidRPr="00A01209">
                        <w:rPr>
                          <w:rFonts w:ascii="Arial" w:hAnsi="Arial"/>
                          <w:lang w:val="en-AU"/>
                        </w:rPr>
                        <w:t>Chief of Defence Intelligence</w:t>
                      </w:r>
                    </w:p>
                    <w:p w14:paraId="14E64F32" w14:textId="77777777" w:rsidR="00CE3B2C" w:rsidRPr="0027028D" w:rsidRDefault="00CE3B2C" w:rsidP="00A60329">
                      <w:pPr>
                        <w:pStyle w:val="OrgChart"/>
                        <w:rPr>
                          <w:rFonts w:ascii="Arial" w:hAnsi="Arial"/>
                          <w:color w:val="000000"/>
                          <w:szCs w:val="16"/>
                          <w:lang w:val="en-AU"/>
                        </w:rPr>
                      </w:pPr>
                      <w:r w:rsidRPr="00D507BB">
                        <w:rPr>
                          <w:rFonts w:ascii="Arial" w:hAnsi="Arial"/>
                          <w:lang w:val="en-AU"/>
                        </w:rPr>
                        <w:t>Mr Tom Hamilton</w:t>
                      </w:r>
                    </w:p>
                  </w:txbxContent>
                </v:textbox>
              </v:shape>
            </w:pict>
          </mc:Fallback>
        </mc:AlternateContent>
      </w:r>
      <w:r>
        <w:rPr>
          <w:noProof/>
          <w:lang w:val="en-AU"/>
        </w:rPr>
        <mc:AlternateContent>
          <mc:Choice Requires="wps">
            <w:drawing>
              <wp:anchor distT="0" distB="0" distL="114300" distR="114300" simplePos="0" relativeHeight="251679232" behindDoc="0" locked="0" layoutInCell="1" allowOverlap="1" wp14:anchorId="1F006878" wp14:editId="6DB477D1">
                <wp:simplePos x="0" y="0"/>
                <wp:positionH relativeFrom="column">
                  <wp:posOffset>3042285</wp:posOffset>
                </wp:positionH>
                <wp:positionV relativeFrom="paragraph">
                  <wp:posOffset>139065</wp:posOffset>
                </wp:positionV>
                <wp:extent cx="2189480" cy="472440"/>
                <wp:effectExtent l="0" t="1905" r="1905" b="1905"/>
                <wp:wrapNone/>
                <wp:docPr id="245755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9480" cy="472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587FB7" w14:textId="77777777" w:rsidR="00CE3B2C" w:rsidRPr="00CA1AEB" w:rsidRDefault="00CE3B2C" w:rsidP="00A60329">
                            <w:pPr>
                              <w:spacing w:before="0" w:after="0"/>
                              <w:rPr>
                                <w:rFonts w:ascii="Arial" w:hAnsi="Arial"/>
                                <w:sz w:val="16"/>
                              </w:rPr>
                            </w:pPr>
                            <w:r w:rsidRPr="00CA1AEB">
                              <w:rPr>
                                <w:rFonts w:ascii="Arial" w:hAnsi="Arial"/>
                                <w:sz w:val="16"/>
                              </w:rPr>
                              <w:t>Chief of Personnel</w:t>
                            </w:r>
                          </w:p>
                          <w:p w14:paraId="2828771C" w14:textId="77777777" w:rsidR="00CE3B2C" w:rsidRPr="00A01209" w:rsidRDefault="00CE3B2C" w:rsidP="00A60329">
                            <w:pPr>
                              <w:spacing w:before="0" w:after="0"/>
                              <w:rPr>
                                <w:rFonts w:ascii="Arial" w:hAnsi="Arial"/>
                                <w:sz w:val="16"/>
                              </w:rPr>
                            </w:pPr>
                            <w:r>
                              <w:rPr>
                                <w:rFonts w:ascii="Arial" w:hAnsi="Arial"/>
                                <w:sz w:val="16"/>
                              </w:rPr>
                              <w:t>Lieutenant General Natasha Fox, AO</w:t>
                            </w:r>
                            <w:r w:rsidRPr="00CA1AEB">
                              <w:rPr>
                                <w:rFonts w:ascii="Arial" w:hAnsi="Arial"/>
                                <w:sz w:val="16"/>
                              </w:rPr>
                              <w:t>, CSC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06878" id="_x0000_s1089" type="#_x0000_t202" style="position:absolute;left:0;text-align:left;margin-left:239.55pt;margin-top:10.95pt;width:172.4pt;height:37.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" stroked="f">
                <v:textbox>
                  <w:txbxContent>
                    <w:p w14:paraId="52587FB7" w14:textId="77777777" w:rsidR="00CE3B2C" w:rsidRPr="00CA1AEB" w:rsidRDefault="00CE3B2C" w:rsidP="00A60329">
                      <w:pPr>
                        <w:spacing w:before="0" w:after="0"/>
                        <w:rPr>
                          <w:rFonts w:ascii="Arial" w:hAnsi="Arial"/>
                          <w:sz w:val="16"/>
                        </w:rPr>
                      </w:pPr>
                      <w:r w:rsidRPr="00CA1AEB">
                        <w:rPr>
                          <w:rFonts w:ascii="Arial" w:hAnsi="Arial"/>
                          <w:sz w:val="16"/>
                        </w:rPr>
                        <w:t>Chief of Personnel</w:t>
                      </w:r>
                    </w:p>
                    <w:p w14:paraId="2828771C" w14:textId="77777777" w:rsidR="00CE3B2C" w:rsidRPr="00A01209" w:rsidRDefault="00CE3B2C" w:rsidP="00A60329">
                      <w:pPr>
                        <w:spacing w:before="0" w:after="0"/>
                        <w:rPr>
                          <w:rFonts w:ascii="Arial" w:hAnsi="Arial"/>
                          <w:sz w:val="16"/>
                        </w:rPr>
                      </w:pPr>
                      <w:r>
                        <w:rPr>
                          <w:rFonts w:ascii="Arial" w:hAnsi="Arial"/>
                          <w:sz w:val="16"/>
                        </w:rPr>
                        <w:t>Lieutenant General Natasha Fox, AO</w:t>
                      </w:r>
                      <w:r w:rsidRPr="00CA1AEB">
                        <w:rPr>
                          <w:rFonts w:ascii="Arial" w:hAnsi="Arial"/>
                          <w:sz w:val="16"/>
                        </w:rPr>
                        <w:t>, CSC</w:t>
                      </w:r>
                    </w:p>
                  </w:txbxContent>
                </v:textbox>
              </v:shape>
            </w:pict>
          </mc:Fallback>
        </mc:AlternateContent>
      </w:r>
    </w:p>
    <w:p w14:paraId="4A114E78" w14:textId="77777777" w:rsidR="00A60329" w:rsidRPr="0024682A" w:rsidRDefault="0085144D" w:rsidP="00D35952">
      <w:pPr>
        <w:pStyle w:val="FigureHeading"/>
        <w:numPr>
          <w:ilvl w:val="0"/>
          <w:numId w:val="0"/>
        </w:numPr>
        <w:ind w:left="284"/>
      </w:pPr>
      <w:r w:rsidRPr="0024682A">
        <w:rPr>
          <w:noProof/>
          <w:lang w:val="en-AU"/>
        </w:rPr>
        <mc:AlternateContent>
          <mc:Choice Requires="wps">
            <w:drawing>
              <wp:anchor distT="0" distB="0" distL="114300" distR="114300" simplePos="0" relativeHeight="251648512" behindDoc="0" locked="0" layoutInCell="1" allowOverlap="1" wp14:anchorId="3F657DEB" wp14:editId="339C76EA">
                <wp:simplePos x="0" y="0"/>
                <wp:positionH relativeFrom="column">
                  <wp:posOffset>414020</wp:posOffset>
                </wp:positionH>
                <wp:positionV relativeFrom="paragraph">
                  <wp:posOffset>89535</wp:posOffset>
                </wp:positionV>
                <wp:extent cx="2181225" cy="363220"/>
                <wp:effectExtent l="0" t="0" r="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AE424" w14:textId="77777777" w:rsidR="00CE3B2C" w:rsidRPr="00A01209" w:rsidRDefault="00CE3B2C" w:rsidP="00A60329">
                            <w:pPr>
                              <w:pStyle w:val="OrgChart"/>
                              <w:rPr>
                                <w:rFonts w:ascii="Arial" w:hAnsi="Arial"/>
                                <w:lang w:val="en-AU"/>
                              </w:rPr>
                            </w:pPr>
                            <w:r w:rsidRPr="00A01209">
                              <w:rPr>
                                <w:rFonts w:ascii="Arial" w:hAnsi="Arial"/>
                                <w:lang w:val="en-AU"/>
                              </w:rPr>
                              <w:t>Chief Defence Scientist</w:t>
                            </w:r>
                          </w:p>
                          <w:p w14:paraId="36AEFF83" w14:textId="77777777" w:rsidR="00CE3B2C" w:rsidRPr="00A01209" w:rsidRDefault="00CE3B2C" w:rsidP="00A60329">
                            <w:pPr>
                              <w:pStyle w:val="OrgChart"/>
                              <w:rPr>
                                <w:rFonts w:ascii="Arial" w:hAnsi="Arial"/>
                                <w:lang w:val="en-AU"/>
                              </w:rPr>
                            </w:pPr>
                            <w:r w:rsidRPr="00A01209">
                              <w:rPr>
                                <w:rFonts w:ascii="Arial" w:hAnsi="Arial"/>
                                <w:lang w:val="en-AU"/>
                              </w:rPr>
                              <w:t>Professor Tanya Monro</w:t>
                            </w:r>
                            <w:r>
                              <w:rPr>
                                <w:rFonts w:ascii="Arial" w:hAnsi="Arial"/>
                                <w:lang w:val="en-AU"/>
                              </w:rPr>
                              <w:t>, AC</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F657DEB" id="_x0000_s1090" type="#_x0000_t202" style="position:absolute;left:0;text-align:left;margin-left:32.6pt;margin-top:7.05pt;width:171.75pt;height:28.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" stroked="f">
                <v:textbox>
                  <w:txbxContent>
                    <w:p w14:paraId="241AE424" w14:textId="77777777" w:rsidR="00CE3B2C" w:rsidRPr="00A01209" w:rsidRDefault="00CE3B2C" w:rsidP="00A60329">
                      <w:pPr>
                        <w:pStyle w:val="OrgChart"/>
                        <w:rPr>
                          <w:rFonts w:ascii="Arial" w:hAnsi="Arial"/>
                          <w:lang w:val="en-AU"/>
                        </w:rPr>
                      </w:pPr>
                      <w:r w:rsidRPr="00A01209">
                        <w:rPr>
                          <w:rFonts w:ascii="Arial" w:hAnsi="Arial"/>
                          <w:lang w:val="en-AU"/>
                        </w:rPr>
                        <w:t>Chief Defence Scientist</w:t>
                      </w:r>
                    </w:p>
                    <w:p w14:paraId="36AEFF83" w14:textId="77777777" w:rsidR="00CE3B2C" w:rsidRPr="00A01209" w:rsidRDefault="00CE3B2C" w:rsidP="00A60329">
                      <w:pPr>
                        <w:pStyle w:val="OrgChart"/>
                        <w:rPr>
                          <w:rFonts w:ascii="Arial" w:hAnsi="Arial"/>
                          <w:lang w:val="en-AU"/>
                        </w:rPr>
                      </w:pPr>
                      <w:r w:rsidRPr="00A01209">
                        <w:rPr>
                          <w:rFonts w:ascii="Arial" w:hAnsi="Arial"/>
                          <w:lang w:val="en-AU"/>
                        </w:rPr>
                        <w:t xml:space="preserve">Professor Tanya </w:t>
                      </w:r>
                      <w:proofErr w:type="spellStart"/>
                      <w:r w:rsidRPr="00A01209">
                        <w:rPr>
                          <w:rFonts w:ascii="Arial" w:hAnsi="Arial"/>
                          <w:lang w:val="en-AU"/>
                        </w:rPr>
                        <w:t>Monro</w:t>
                      </w:r>
                      <w:proofErr w:type="spellEnd"/>
                      <w:r>
                        <w:rPr>
                          <w:rFonts w:ascii="Arial" w:hAnsi="Arial"/>
                          <w:lang w:val="en-AU"/>
                        </w:rPr>
                        <w:t>, AC</w:t>
                      </w:r>
                    </w:p>
                  </w:txbxContent>
                </v:textbox>
              </v:shape>
            </w:pict>
          </mc:Fallback>
        </mc:AlternateContent>
      </w:r>
      <w:r w:rsidRPr="0024682A">
        <w:rPr>
          <w:noProof/>
          <w:lang w:val="en-AU"/>
        </w:rPr>
        <mc:AlternateContent>
          <mc:Choice Requires="wps">
            <w:drawing>
              <wp:anchor distT="0" distB="0" distL="114300" distR="114300" simplePos="0" relativeHeight="251649536" behindDoc="0" locked="0" layoutInCell="1" allowOverlap="1" wp14:anchorId="148AC0FB" wp14:editId="2A1A2C16">
                <wp:simplePos x="0" y="0"/>
                <wp:positionH relativeFrom="column">
                  <wp:posOffset>329565</wp:posOffset>
                </wp:positionH>
                <wp:positionV relativeFrom="paragraph">
                  <wp:posOffset>239395</wp:posOffset>
                </wp:positionV>
                <wp:extent cx="104775" cy="0"/>
                <wp:effectExtent l="10795" t="13335" r="8255" b="5715"/>
                <wp:wrapNone/>
                <wp:docPr id="24575517"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5D7DA" id="Line 44"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18.85pt" to="34.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"/>
            </w:pict>
          </mc:Fallback>
        </mc:AlternateContent>
      </w:r>
    </w:p>
    <w:p w14:paraId="14FC2EBC" w14:textId="77777777" w:rsidR="00A60329" w:rsidRPr="0024682A" w:rsidRDefault="0085144D" w:rsidP="00D35952">
      <w:pPr>
        <w:pStyle w:val="FigureHeading"/>
        <w:numPr>
          <w:ilvl w:val="0"/>
          <w:numId w:val="0"/>
        </w:numPr>
        <w:ind w:left="284"/>
      </w:pPr>
      <w:r>
        <w:rPr>
          <w:noProof/>
          <w:lang w:val="en-AU"/>
        </w:rPr>
        <mc:AlternateContent>
          <mc:Choice Requires="wps">
            <w:drawing>
              <wp:anchor distT="0" distB="0" distL="114300" distR="114300" simplePos="0" relativeHeight="251682304" behindDoc="0" locked="0" layoutInCell="1" allowOverlap="1" wp14:anchorId="491A05BC" wp14:editId="065ACA8D">
                <wp:simplePos x="0" y="0"/>
                <wp:positionH relativeFrom="column">
                  <wp:posOffset>422275</wp:posOffset>
                </wp:positionH>
                <wp:positionV relativeFrom="paragraph">
                  <wp:posOffset>194310</wp:posOffset>
                </wp:positionV>
                <wp:extent cx="2072005" cy="495300"/>
                <wp:effectExtent l="0" t="3175" r="0" b="0"/>
                <wp:wrapNone/>
                <wp:docPr id="24575516" name="Text Box 8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00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59C4B5" w14:textId="77777777" w:rsidR="00CE3B2C" w:rsidRPr="00A01209" w:rsidRDefault="00CE3B2C" w:rsidP="00A60329">
                            <w:pPr>
                              <w:pStyle w:val="OrgChart"/>
                              <w:rPr>
                                <w:rFonts w:ascii="Arial" w:hAnsi="Arial"/>
                                <w:lang w:val="en-AU"/>
                              </w:rPr>
                            </w:pPr>
                            <w:r w:rsidRPr="00A01209">
                              <w:rPr>
                                <w:rFonts w:ascii="Arial" w:hAnsi="Arial"/>
                                <w:lang w:val="en-AU"/>
                              </w:rPr>
                              <w:t>Deputy Secretary</w:t>
                            </w:r>
                          </w:p>
                          <w:p w14:paraId="73DC0DD2" w14:textId="77777777" w:rsidR="00CE3B2C" w:rsidRPr="00A01209" w:rsidRDefault="00CE3B2C" w:rsidP="00A60329">
                            <w:pPr>
                              <w:pStyle w:val="OrgChart"/>
                              <w:rPr>
                                <w:rFonts w:ascii="Arial" w:hAnsi="Arial"/>
                                <w:lang w:val="en-AU"/>
                              </w:rPr>
                            </w:pPr>
                            <w:r w:rsidRPr="00A01209">
                              <w:rPr>
                                <w:rFonts w:ascii="Arial" w:hAnsi="Arial"/>
                                <w:lang w:val="en-AU"/>
                              </w:rPr>
                              <w:t>Capability Acquisition and Sustainment</w:t>
                            </w:r>
                          </w:p>
                          <w:p w14:paraId="5C0B28B9" w14:textId="77777777" w:rsidR="00CE3B2C" w:rsidRPr="00A01209" w:rsidRDefault="00CE3B2C" w:rsidP="00A60329">
                            <w:pPr>
                              <w:pStyle w:val="OrgChart"/>
                              <w:rPr>
                                <w:rFonts w:ascii="Arial" w:hAnsi="Arial"/>
                                <w:lang w:val="en-AU"/>
                              </w:rPr>
                            </w:pPr>
                            <w:r w:rsidRPr="00A01209">
                              <w:rPr>
                                <w:rFonts w:ascii="Arial" w:hAnsi="Arial"/>
                                <w:lang w:val="en-AU"/>
                              </w:rPr>
                              <w:t>Mr Chris Deeble</w:t>
                            </w:r>
                            <w:r>
                              <w:rPr>
                                <w:rFonts w:ascii="Arial" w:hAnsi="Arial"/>
                                <w:lang w:val="en-AU"/>
                              </w:rPr>
                              <w:t>, AO, CSC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A05BC" id="Text Box 8702" o:spid="_x0000_s1091" type="#_x0000_t202" style="position:absolute;left:0;text-align:left;margin-left:33.25pt;margin-top:15.3pt;width:163.15pt;height:3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kxmjgIAACE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" stroked="f">
                <v:textbox>
                  <w:txbxContent>
                    <w:p w14:paraId="2959C4B5" w14:textId="77777777" w:rsidR="00CE3B2C" w:rsidRPr="00A01209" w:rsidRDefault="00CE3B2C" w:rsidP="00A60329">
                      <w:pPr>
                        <w:pStyle w:val="OrgChart"/>
                        <w:rPr>
                          <w:rFonts w:ascii="Arial" w:hAnsi="Arial"/>
                          <w:lang w:val="en-AU"/>
                        </w:rPr>
                      </w:pPr>
                      <w:r w:rsidRPr="00A01209">
                        <w:rPr>
                          <w:rFonts w:ascii="Arial" w:hAnsi="Arial"/>
                          <w:lang w:val="en-AU"/>
                        </w:rPr>
                        <w:t>Deputy Secretary</w:t>
                      </w:r>
                    </w:p>
                    <w:p w14:paraId="73DC0DD2" w14:textId="77777777" w:rsidR="00CE3B2C" w:rsidRPr="00A01209" w:rsidRDefault="00CE3B2C" w:rsidP="00A60329">
                      <w:pPr>
                        <w:pStyle w:val="OrgChart"/>
                        <w:rPr>
                          <w:rFonts w:ascii="Arial" w:hAnsi="Arial"/>
                          <w:lang w:val="en-AU"/>
                        </w:rPr>
                      </w:pPr>
                      <w:r w:rsidRPr="00A01209">
                        <w:rPr>
                          <w:rFonts w:ascii="Arial" w:hAnsi="Arial"/>
                          <w:lang w:val="en-AU"/>
                        </w:rPr>
                        <w:t>Capability Acquisition and Sustainment</w:t>
                      </w:r>
                    </w:p>
                    <w:p w14:paraId="5C0B28B9" w14:textId="77777777" w:rsidR="00CE3B2C" w:rsidRPr="00A01209" w:rsidRDefault="00CE3B2C" w:rsidP="00A60329">
                      <w:pPr>
                        <w:pStyle w:val="OrgChart"/>
                        <w:rPr>
                          <w:rFonts w:ascii="Arial" w:hAnsi="Arial"/>
                          <w:lang w:val="en-AU"/>
                        </w:rPr>
                      </w:pPr>
                      <w:r w:rsidRPr="00A01209">
                        <w:rPr>
                          <w:rFonts w:ascii="Arial" w:hAnsi="Arial"/>
                          <w:lang w:val="en-AU"/>
                        </w:rPr>
                        <w:t>Mr Chris Deeble</w:t>
                      </w:r>
                      <w:r>
                        <w:rPr>
                          <w:rFonts w:ascii="Arial" w:hAnsi="Arial"/>
                          <w:lang w:val="en-AU"/>
                        </w:rPr>
                        <w:t>, AO, CSC</w:t>
                      </w:r>
                    </w:p>
                  </w:txbxContent>
                </v:textbox>
              </v:shape>
            </w:pict>
          </mc:Fallback>
        </mc:AlternateContent>
      </w:r>
    </w:p>
    <w:p w14:paraId="29998D4F" w14:textId="77777777" w:rsidR="00A60329" w:rsidRPr="0024682A" w:rsidRDefault="0085144D" w:rsidP="00D35952">
      <w:pPr>
        <w:pStyle w:val="FigureHeading"/>
        <w:numPr>
          <w:ilvl w:val="0"/>
          <w:numId w:val="0"/>
        </w:numPr>
        <w:ind w:left="284"/>
      </w:pPr>
      <w:r>
        <w:rPr>
          <w:noProof/>
          <w:lang w:val="en-AU"/>
        </w:rPr>
        <mc:AlternateContent>
          <mc:Choice Requires="wps">
            <w:drawing>
              <wp:anchor distT="0" distB="0" distL="114300" distR="114300" simplePos="0" relativeHeight="251683328" behindDoc="0" locked="0" layoutInCell="1" allowOverlap="1" wp14:anchorId="6419411D" wp14:editId="37E3D0B9">
                <wp:simplePos x="0" y="0"/>
                <wp:positionH relativeFrom="column">
                  <wp:posOffset>330200</wp:posOffset>
                </wp:positionH>
                <wp:positionV relativeFrom="paragraph">
                  <wp:posOffset>64770</wp:posOffset>
                </wp:positionV>
                <wp:extent cx="99695" cy="0"/>
                <wp:effectExtent l="11430" t="13335" r="12700" b="5715"/>
                <wp:wrapNone/>
                <wp:docPr id="24575515"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6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E817E" id="Line 44"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5.1pt" to="33.8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"/>
            </w:pict>
          </mc:Fallback>
        </mc:AlternateContent>
      </w:r>
      <w:r>
        <w:rPr>
          <w:noProof/>
          <w:lang w:val="en-AU"/>
        </w:rPr>
        <mc:AlternateContent>
          <mc:Choice Requires="wps">
            <w:drawing>
              <wp:anchor distT="0" distB="0" distL="114300" distR="114300" simplePos="0" relativeHeight="251687424" behindDoc="0" locked="0" layoutInCell="1" allowOverlap="1" wp14:anchorId="39CB2538" wp14:editId="415FB148">
                <wp:simplePos x="0" y="0"/>
                <wp:positionH relativeFrom="column">
                  <wp:posOffset>3001010</wp:posOffset>
                </wp:positionH>
                <wp:positionV relativeFrom="paragraph">
                  <wp:posOffset>133985</wp:posOffset>
                </wp:positionV>
                <wp:extent cx="2107565" cy="565785"/>
                <wp:effectExtent l="0" t="0" r="1270" b="0"/>
                <wp:wrapNone/>
                <wp:docPr id="24575514"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7565" cy="56578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01C956" w14:textId="77777777" w:rsidR="00CE3B2C" w:rsidRDefault="00CE3B2C" w:rsidP="00566287">
                            <w:pPr>
                              <w:pStyle w:val="OrgChart"/>
                              <w:jc w:val="center"/>
                              <w:rPr>
                                <w:rFonts w:ascii="Arial" w:hAnsi="Arial"/>
                                <w:lang w:val="en-AU"/>
                              </w:rPr>
                            </w:pPr>
                            <w:r>
                              <w:rPr>
                                <w:rFonts w:ascii="Arial" w:hAnsi="Arial"/>
                                <w:lang w:val="en-AU"/>
                              </w:rPr>
                              <w:t>Minister for Home Affairs</w:t>
                            </w:r>
                          </w:p>
                          <w:p w14:paraId="6E95CF1E" w14:textId="77777777" w:rsidR="00CE3B2C" w:rsidRDefault="00CE3B2C" w:rsidP="00566287">
                            <w:pPr>
                              <w:pStyle w:val="OrgChart"/>
                              <w:jc w:val="center"/>
                              <w:rPr>
                                <w:rFonts w:ascii="Arial" w:hAnsi="Arial"/>
                                <w:lang w:val="en-AU"/>
                              </w:rPr>
                            </w:pPr>
                            <w:r w:rsidRPr="006A74C9">
                              <w:rPr>
                                <w:rFonts w:ascii="Arial" w:hAnsi="Arial"/>
                                <w:lang w:val="en-AU"/>
                              </w:rPr>
                              <w:t>Minister for Cyber Security</w:t>
                            </w:r>
                          </w:p>
                          <w:p w14:paraId="04379ACD" w14:textId="77777777" w:rsidR="00CE3B2C" w:rsidRDefault="00CE3B2C" w:rsidP="00566287">
                            <w:pPr>
                              <w:pStyle w:val="OrgChart"/>
                              <w:jc w:val="center"/>
                              <w:rPr>
                                <w:rFonts w:ascii="Arial" w:hAnsi="Arial"/>
                                <w:lang w:val="en-AU"/>
                              </w:rPr>
                            </w:pPr>
                            <w:r>
                              <w:rPr>
                                <w:rFonts w:ascii="Arial" w:hAnsi="Arial"/>
                                <w:lang w:val="en-AU"/>
                              </w:rPr>
                              <w:t>The Hon Tony Burke</w:t>
                            </w:r>
                            <w:r w:rsidRPr="006A74C9">
                              <w:rPr>
                                <w:rFonts w:ascii="Arial" w:hAnsi="Arial"/>
                                <w:lang w:val="en-AU"/>
                              </w:rPr>
                              <w:t xml:space="preserve"> MP</w:t>
                            </w:r>
                          </w:p>
                          <w:p w14:paraId="643A6956" w14:textId="77777777" w:rsidR="00CE3B2C" w:rsidRPr="00F35CD4" w:rsidRDefault="00CE3B2C" w:rsidP="00566287">
                            <w:pPr>
                              <w:pStyle w:val="OrgChart"/>
                              <w:jc w:val="center"/>
                              <w:rPr>
                                <w:rFonts w:ascii="Arial" w:hAnsi="Arial"/>
                                <w:i/>
                                <w:sz w:val="14"/>
                                <w:szCs w:val="14"/>
                              </w:rPr>
                            </w:pPr>
                            <w:r w:rsidRPr="00F35CD4">
                              <w:rPr>
                                <w:rFonts w:ascii="Arial" w:hAnsi="Arial"/>
                                <w:i/>
                                <w:sz w:val="14"/>
                                <w:szCs w:val="14"/>
                              </w:rPr>
                              <w:t>Sworn to administer the Department of Defence</w:t>
                            </w:r>
                          </w:p>
                          <w:p w14:paraId="2FE7F14B" w14:textId="77777777" w:rsidR="00CE3B2C" w:rsidRPr="00F35CD4" w:rsidRDefault="00CE3B2C" w:rsidP="00A60329">
                            <w:pPr>
                              <w:pStyle w:val="OrgChart"/>
                              <w:jc w:val="center"/>
                              <w:rPr>
                                <w:rFonts w:ascii="Arial" w:hAnsi="Arial"/>
                                <w:i/>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B2538" id="_x0000_s1092" type="#_x0000_t202" style="position:absolute;left:0;text-align:left;margin-left:236.3pt;margin-top:10.55pt;width:165.95pt;height:44.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" fillcolor="#e7e6e6" stroked="f">
                <v:textbox>
                  <w:txbxContent>
                    <w:p w14:paraId="5B01C956" w14:textId="77777777" w:rsidR="00CE3B2C" w:rsidRDefault="00CE3B2C" w:rsidP="00566287">
                      <w:pPr>
                        <w:pStyle w:val="OrgChart"/>
                        <w:jc w:val="center"/>
                        <w:rPr>
                          <w:rFonts w:ascii="Arial" w:hAnsi="Arial"/>
                          <w:lang w:val="en-AU"/>
                        </w:rPr>
                      </w:pPr>
                      <w:r>
                        <w:rPr>
                          <w:rFonts w:ascii="Arial" w:hAnsi="Arial"/>
                          <w:lang w:val="en-AU"/>
                        </w:rPr>
                        <w:t>Minister for Home Affairs</w:t>
                      </w:r>
                    </w:p>
                    <w:p w14:paraId="6E95CF1E" w14:textId="77777777" w:rsidR="00CE3B2C" w:rsidRDefault="00CE3B2C" w:rsidP="00566287">
                      <w:pPr>
                        <w:pStyle w:val="OrgChart"/>
                        <w:jc w:val="center"/>
                        <w:rPr>
                          <w:rFonts w:ascii="Arial" w:hAnsi="Arial"/>
                          <w:lang w:val="en-AU"/>
                        </w:rPr>
                      </w:pPr>
                      <w:r w:rsidRPr="006A74C9">
                        <w:rPr>
                          <w:rFonts w:ascii="Arial" w:hAnsi="Arial"/>
                          <w:lang w:val="en-AU"/>
                        </w:rPr>
                        <w:t>Minister for Cyber Security</w:t>
                      </w:r>
                    </w:p>
                    <w:p w14:paraId="04379ACD" w14:textId="77777777" w:rsidR="00CE3B2C" w:rsidRDefault="00CE3B2C" w:rsidP="00566287">
                      <w:pPr>
                        <w:pStyle w:val="OrgChart"/>
                        <w:jc w:val="center"/>
                        <w:rPr>
                          <w:rFonts w:ascii="Arial" w:hAnsi="Arial"/>
                          <w:lang w:val="en-AU"/>
                        </w:rPr>
                      </w:pPr>
                      <w:r>
                        <w:rPr>
                          <w:rFonts w:ascii="Arial" w:hAnsi="Arial"/>
                          <w:lang w:val="en-AU"/>
                        </w:rPr>
                        <w:t>The Hon Tony Burke</w:t>
                      </w:r>
                      <w:r w:rsidRPr="006A74C9">
                        <w:rPr>
                          <w:rFonts w:ascii="Arial" w:hAnsi="Arial"/>
                          <w:lang w:val="en-AU"/>
                        </w:rPr>
                        <w:t xml:space="preserve"> MP</w:t>
                      </w:r>
                    </w:p>
                    <w:p w14:paraId="643A6956" w14:textId="77777777" w:rsidR="00CE3B2C" w:rsidRPr="00F35CD4" w:rsidRDefault="00CE3B2C" w:rsidP="00566287">
                      <w:pPr>
                        <w:pStyle w:val="OrgChart"/>
                        <w:jc w:val="center"/>
                        <w:rPr>
                          <w:rFonts w:ascii="Arial" w:hAnsi="Arial"/>
                          <w:i/>
                          <w:sz w:val="14"/>
                          <w:szCs w:val="14"/>
                        </w:rPr>
                      </w:pPr>
                      <w:r w:rsidRPr="00F35CD4">
                        <w:rPr>
                          <w:rFonts w:ascii="Arial" w:hAnsi="Arial"/>
                          <w:i/>
                          <w:sz w:val="14"/>
                          <w:szCs w:val="14"/>
                        </w:rPr>
                        <w:t>Sworn to administer the Department of Defence</w:t>
                      </w:r>
                    </w:p>
                    <w:p w14:paraId="2FE7F14B" w14:textId="77777777" w:rsidR="00CE3B2C" w:rsidRPr="00F35CD4" w:rsidRDefault="00CE3B2C" w:rsidP="00A60329">
                      <w:pPr>
                        <w:pStyle w:val="OrgChart"/>
                        <w:jc w:val="center"/>
                        <w:rPr>
                          <w:rFonts w:ascii="Arial" w:hAnsi="Arial"/>
                          <w:i/>
                          <w:sz w:val="14"/>
                          <w:szCs w:val="14"/>
                        </w:rPr>
                      </w:pPr>
                    </w:p>
                  </w:txbxContent>
                </v:textbox>
              </v:shape>
            </w:pict>
          </mc:Fallback>
        </mc:AlternateContent>
      </w:r>
    </w:p>
    <w:p w14:paraId="02CECD38" w14:textId="21B8CECD" w:rsidR="00A60329" w:rsidRPr="0024682A" w:rsidRDefault="0094625E" w:rsidP="00D35952">
      <w:pPr>
        <w:pStyle w:val="FigureHeading"/>
        <w:numPr>
          <w:ilvl w:val="0"/>
          <w:numId w:val="0"/>
        </w:numPr>
        <w:ind w:left="284"/>
      </w:pPr>
      <w:r>
        <w:rPr>
          <w:noProof/>
          <w:lang w:val="en-AU"/>
        </w:rPr>
        <mc:AlternateContent>
          <mc:Choice Requires="wps">
            <w:drawing>
              <wp:anchor distT="0" distB="0" distL="114300" distR="114300" simplePos="0" relativeHeight="251714048" behindDoc="0" locked="0" layoutInCell="1" allowOverlap="1" wp14:anchorId="6CC96114" wp14:editId="6F489B1A">
                <wp:simplePos x="0" y="0"/>
                <wp:positionH relativeFrom="column">
                  <wp:posOffset>332722</wp:posOffset>
                </wp:positionH>
                <wp:positionV relativeFrom="paragraph">
                  <wp:posOffset>257810</wp:posOffset>
                </wp:positionV>
                <wp:extent cx="88900" cy="0"/>
                <wp:effectExtent l="0" t="0" r="25400" b="19050"/>
                <wp:wrapNone/>
                <wp:docPr id="8"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CCD39" id="Line 44"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pt,20.3pt" to="33.2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nlEAIAACc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"/>
            </w:pict>
          </mc:Fallback>
        </mc:AlternateContent>
      </w:r>
      <w:r w:rsidR="0085144D" w:rsidRPr="0024682A">
        <w:rPr>
          <w:noProof/>
          <w:lang w:val="en-AU"/>
        </w:rPr>
        <mc:AlternateContent>
          <mc:Choice Requires="wps">
            <w:drawing>
              <wp:anchor distT="0" distB="0" distL="114300" distR="114300" simplePos="0" relativeHeight="251658752" behindDoc="0" locked="0" layoutInCell="1" allowOverlap="1" wp14:anchorId="51FE2532" wp14:editId="106C8EEF">
                <wp:simplePos x="0" y="0"/>
                <wp:positionH relativeFrom="column">
                  <wp:posOffset>412750</wp:posOffset>
                </wp:positionH>
                <wp:positionV relativeFrom="paragraph">
                  <wp:posOffset>102870</wp:posOffset>
                </wp:positionV>
                <wp:extent cx="2190115" cy="542925"/>
                <wp:effectExtent l="0" t="635" r="1905" b="0"/>
                <wp:wrapNone/>
                <wp:docPr id="24575512" name="Text Box 8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4F882B" w14:textId="2C256672" w:rsidR="00CE3B2C" w:rsidRPr="00A01209" w:rsidRDefault="00CE3B2C" w:rsidP="00A60329">
                            <w:pPr>
                              <w:pStyle w:val="OrgChart"/>
                              <w:rPr>
                                <w:rFonts w:ascii="Arial" w:hAnsi="Arial"/>
                                <w:lang w:val="en-AU"/>
                              </w:rPr>
                            </w:pPr>
                            <w:r w:rsidRPr="00A01209">
                              <w:rPr>
                                <w:rFonts w:ascii="Arial" w:hAnsi="Arial"/>
                                <w:lang w:val="en-AU"/>
                              </w:rPr>
                              <w:t>Deputy Secretary</w:t>
                            </w:r>
                            <w:r>
                              <w:rPr>
                                <w:rFonts w:ascii="Arial" w:hAnsi="Arial"/>
                                <w:lang w:val="en-AU"/>
                              </w:rPr>
                              <w:t xml:space="preserve"> </w:t>
                            </w:r>
                          </w:p>
                          <w:p w14:paraId="5F27A72C" w14:textId="77777777" w:rsidR="00CE3B2C" w:rsidRPr="00A01209" w:rsidRDefault="00CE3B2C" w:rsidP="00A60329">
                            <w:pPr>
                              <w:pStyle w:val="OrgChart"/>
                              <w:rPr>
                                <w:rFonts w:ascii="Arial" w:hAnsi="Arial"/>
                                <w:lang w:val="en-AU"/>
                              </w:rPr>
                            </w:pPr>
                            <w:r w:rsidRPr="00A01209">
                              <w:rPr>
                                <w:rFonts w:ascii="Arial" w:hAnsi="Arial"/>
                                <w:lang w:val="en-AU"/>
                              </w:rPr>
                              <w:t>Naval Shipbuilding</w:t>
                            </w:r>
                            <w:r>
                              <w:rPr>
                                <w:rFonts w:ascii="Arial" w:hAnsi="Arial"/>
                                <w:lang w:val="en-AU"/>
                              </w:rPr>
                              <w:t xml:space="preserve"> and Sustainment</w:t>
                            </w:r>
                          </w:p>
                          <w:p w14:paraId="0F451CC0" w14:textId="77777777" w:rsidR="00CE3B2C" w:rsidRPr="00A01209" w:rsidRDefault="00CE3B2C" w:rsidP="00A60329">
                            <w:pPr>
                              <w:pStyle w:val="OrgChart"/>
                              <w:rPr>
                                <w:rFonts w:ascii="Arial" w:hAnsi="Arial"/>
                                <w:lang w:val="en-AU"/>
                              </w:rPr>
                            </w:pPr>
                            <w:r>
                              <w:rPr>
                                <w:rFonts w:ascii="Arial" w:hAnsi="Arial"/>
                                <w:lang w:val="en-AU"/>
                              </w:rPr>
                              <w:t>Mr Jim McDowell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E2532" id="_x0000_s1093" type="#_x0000_t202" style="position:absolute;left:0;text-align:left;margin-left:32.5pt;margin-top:8.1pt;width:172.45pt;height:4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" stroked="f">
                <v:textbox>
                  <w:txbxContent>
                    <w:p w14:paraId="2D4F882B" w14:textId="2C256672" w:rsidR="00CE3B2C" w:rsidRPr="00A01209" w:rsidRDefault="00CE3B2C" w:rsidP="00A60329">
                      <w:pPr>
                        <w:pStyle w:val="OrgChart"/>
                        <w:rPr>
                          <w:rFonts w:ascii="Arial" w:hAnsi="Arial"/>
                          <w:lang w:val="en-AU"/>
                        </w:rPr>
                      </w:pPr>
                      <w:r w:rsidRPr="00A01209">
                        <w:rPr>
                          <w:rFonts w:ascii="Arial" w:hAnsi="Arial"/>
                          <w:lang w:val="en-AU"/>
                        </w:rPr>
                        <w:t>Deputy Secretary</w:t>
                      </w:r>
                      <w:r>
                        <w:rPr>
                          <w:rFonts w:ascii="Arial" w:hAnsi="Arial"/>
                          <w:lang w:val="en-AU"/>
                        </w:rPr>
                        <w:t xml:space="preserve"> </w:t>
                      </w:r>
                    </w:p>
                    <w:p w14:paraId="5F27A72C" w14:textId="77777777" w:rsidR="00CE3B2C" w:rsidRPr="00A01209" w:rsidRDefault="00CE3B2C" w:rsidP="00A60329">
                      <w:pPr>
                        <w:pStyle w:val="OrgChart"/>
                        <w:rPr>
                          <w:rFonts w:ascii="Arial" w:hAnsi="Arial"/>
                          <w:lang w:val="en-AU"/>
                        </w:rPr>
                      </w:pPr>
                      <w:r w:rsidRPr="00A01209">
                        <w:rPr>
                          <w:rFonts w:ascii="Arial" w:hAnsi="Arial"/>
                          <w:lang w:val="en-AU"/>
                        </w:rPr>
                        <w:t>Naval Shipbuilding</w:t>
                      </w:r>
                      <w:r>
                        <w:rPr>
                          <w:rFonts w:ascii="Arial" w:hAnsi="Arial"/>
                          <w:lang w:val="en-AU"/>
                        </w:rPr>
                        <w:t xml:space="preserve"> and Sustainment</w:t>
                      </w:r>
                    </w:p>
                    <w:p w14:paraId="0F451CC0" w14:textId="77777777" w:rsidR="00CE3B2C" w:rsidRPr="00A01209" w:rsidRDefault="00CE3B2C" w:rsidP="00A60329">
                      <w:pPr>
                        <w:pStyle w:val="OrgChart"/>
                        <w:rPr>
                          <w:rFonts w:ascii="Arial" w:hAnsi="Arial"/>
                          <w:lang w:val="en-AU"/>
                        </w:rPr>
                      </w:pPr>
                      <w:r>
                        <w:rPr>
                          <w:rFonts w:ascii="Arial" w:hAnsi="Arial"/>
                          <w:lang w:val="en-AU"/>
                        </w:rPr>
                        <w:t>Mr Jim McDowell</w:t>
                      </w:r>
                    </w:p>
                  </w:txbxContent>
                </v:textbox>
              </v:shape>
            </w:pict>
          </mc:Fallback>
        </mc:AlternateContent>
      </w:r>
    </w:p>
    <w:p w14:paraId="52A395B0" w14:textId="3EA381D6" w:rsidR="00A60329" w:rsidRPr="0024682A" w:rsidRDefault="00A60329" w:rsidP="00D35952">
      <w:pPr>
        <w:pStyle w:val="FigureHeading"/>
        <w:numPr>
          <w:ilvl w:val="0"/>
          <w:numId w:val="0"/>
        </w:numPr>
        <w:ind w:left="284"/>
      </w:pPr>
    </w:p>
    <w:p w14:paraId="68B2718E" w14:textId="77777777" w:rsidR="00A60329" w:rsidRPr="0024682A" w:rsidRDefault="00A60329" w:rsidP="00D35952">
      <w:pPr>
        <w:pStyle w:val="FigureHeading"/>
        <w:numPr>
          <w:ilvl w:val="0"/>
          <w:numId w:val="0"/>
        </w:numPr>
        <w:ind w:left="284"/>
      </w:pPr>
    </w:p>
    <w:p w14:paraId="20BB45A8" w14:textId="77777777" w:rsidR="00A60329" w:rsidRPr="0024682A" w:rsidRDefault="00A60329" w:rsidP="00D35952">
      <w:pPr>
        <w:pStyle w:val="FigureHeading"/>
        <w:numPr>
          <w:ilvl w:val="0"/>
          <w:numId w:val="0"/>
        </w:numPr>
        <w:ind w:left="284"/>
      </w:pPr>
    </w:p>
    <w:p w14:paraId="455915B7" w14:textId="55D23D8A" w:rsidR="004070E4" w:rsidRPr="00E547EC" w:rsidRDefault="004070E4" w:rsidP="00E547EC">
      <w:pPr>
        <w:spacing w:before="0" w:after="0"/>
        <w:rPr>
          <w:rFonts w:ascii="Arial" w:hAnsi="Arial"/>
          <w:b/>
          <w:sz w:val="14"/>
          <w:szCs w:val="14"/>
        </w:rPr>
      </w:pPr>
    </w:p>
    <w:p w14:paraId="6BB7DD13" w14:textId="77777777" w:rsidR="00D16498" w:rsidRPr="00B56FAA" w:rsidRDefault="00D16498" w:rsidP="00D16498">
      <w:pPr>
        <w:pStyle w:val="OrgChart"/>
        <w:rPr>
          <w:rFonts w:ascii="Arial" w:hAnsi="Arial"/>
          <w:lang w:val="en-AU"/>
        </w:rPr>
      </w:pPr>
      <w:r w:rsidRPr="00B56FAA">
        <w:rPr>
          <w:rFonts w:ascii="Arial" w:hAnsi="Arial"/>
          <w:lang w:val="en-AU"/>
        </w:rPr>
        <w:t>This Defence Organisational Chart is effective at the time of this publication’s release.</w:t>
      </w:r>
    </w:p>
    <w:p w14:paraId="07A900EA" w14:textId="77777777" w:rsidR="006D75BE" w:rsidRPr="00E2020D" w:rsidRDefault="006D75BE" w:rsidP="00E2020D">
      <w:pPr>
        <w:pStyle w:val="FigureHeading"/>
        <w:numPr>
          <w:ilvl w:val="0"/>
          <w:numId w:val="0"/>
        </w:numPr>
        <w:tabs>
          <w:tab w:val="num" w:pos="2978"/>
        </w:tabs>
        <w:spacing w:before="0" w:after="0"/>
        <w:outlineLvl w:val="4"/>
        <w:rPr>
          <w:b w:val="0"/>
          <w:sz w:val="2"/>
          <w:szCs w:val="2"/>
          <w:lang w:val="en-AU"/>
        </w:rPr>
      </w:pPr>
      <w:r w:rsidRPr="00B56FAA">
        <w:rPr>
          <w:b w:val="0"/>
          <w:lang w:val="en-AU"/>
        </w:rPr>
        <w:br w:type="page"/>
      </w:r>
    </w:p>
    <w:p w14:paraId="7994D0C5" w14:textId="77777777" w:rsidR="002B549E" w:rsidRPr="00B56FAA" w:rsidRDefault="0085144D" w:rsidP="00E2020D">
      <w:pPr>
        <w:pStyle w:val="Heading4level5"/>
        <w:spacing w:before="0" w:after="200"/>
      </w:pPr>
      <w:r w:rsidRPr="00B56FAA">
        <w:rPr>
          <w:noProof/>
          <w:lang w:val="en-AU"/>
        </w:rPr>
        <w:lastRenderedPageBreak/>
        <mc:AlternateContent>
          <mc:Choice Requires="wps">
            <w:drawing>
              <wp:anchor distT="0" distB="0" distL="114300" distR="114300" simplePos="0" relativeHeight="251611648" behindDoc="0" locked="0" layoutInCell="1" allowOverlap="1" wp14:anchorId="13B8F8E6" wp14:editId="3A315829">
                <wp:simplePos x="0" y="0"/>
                <wp:positionH relativeFrom="column">
                  <wp:posOffset>102235</wp:posOffset>
                </wp:positionH>
                <wp:positionV relativeFrom="paragraph">
                  <wp:posOffset>10097770</wp:posOffset>
                </wp:positionV>
                <wp:extent cx="1943100" cy="457200"/>
                <wp:effectExtent l="0" t="0" r="0" b="0"/>
                <wp:wrapNone/>
                <wp:docPr id="24575509"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868BA8" w14:textId="77777777" w:rsidR="00CE3B2C" w:rsidRDefault="00CE3B2C" w:rsidP="00BD4B18">
                            <w:pPr>
                              <w:pStyle w:val="OrgChart"/>
                              <w:rPr>
                                <w:lang w:val="en-AU"/>
                              </w:rPr>
                            </w:pPr>
                          </w:p>
                          <w:p w14:paraId="43A85385" w14:textId="77777777" w:rsidR="00CE3B2C" w:rsidRDefault="00CE3B2C" w:rsidP="00BD4B18">
                            <w:pPr>
                              <w:pStyle w:val="OrgChart"/>
                              <w:rPr>
                                <w:lang w:val="en-AU"/>
                              </w:rPr>
                            </w:pPr>
                            <w:r>
                              <w:rPr>
                                <w:lang w:val="en-AU"/>
                              </w:rPr>
                              <w:t>Stars (</w:t>
                            </w:r>
                            <w:r>
                              <w:rPr>
                                <w:vertAlign w:val="subscript"/>
                                <w:lang w:val="en-AU"/>
                              </w:rPr>
                              <w:t>*</w:t>
                            </w:r>
                            <w:r>
                              <w:rPr>
                                <w:lang w:val="en-AU"/>
                              </w:rPr>
                              <w:t>) refer to ADF Star Rank</w:t>
                            </w:r>
                            <w:r>
                              <w:rPr>
                                <w:lang w:val="en-AU"/>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8F8E6" id="_x0000_s1094" type="#_x0000_t202" style="position:absolute;margin-left:8.05pt;margin-top:795.1pt;width:153pt;height:3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" stroked="f">
                <v:textbox>
                  <w:txbxContent>
                    <w:p w14:paraId="0B868BA8" w14:textId="77777777" w:rsidR="00CE3B2C" w:rsidRDefault="00CE3B2C" w:rsidP="00BD4B18">
                      <w:pPr>
                        <w:pStyle w:val="OrgChart"/>
                        <w:rPr>
                          <w:lang w:val="en-AU"/>
                        </w:rPr>
                      </w:pPr>
                    </w:p>
                    <w:p w14:paraId="43A85385" w14:textId="77777777" w:rsidR="00CE3B2C" w:rsidRDefault="00CE3B2C" w:rsidP="00BD4B18">
                      <w:pPr>
                        <w:pStyle w:val="OrgChart"/>
                        <w:rPr>
                          <w:lang w:val="en-AU"/>
                        </w:rPr>
                      </w:pPr>
                      <w:r>
                        <w:rPr>
                          <w:lang w:val="en-AU"/>
                        </w:rPr>
                        <w:t>Stars (</w:t>
                      </w:r>
                      <w:r>
                        <w:rPr>
                          <w:vertAlign w:val="subscript"/>
                          <w:lang w:val="en-AU"/>
                        </w:rPr>
                        <w:t>*</w:t>
                      </w:r>
                      <w:r>
                        <w:rPr>
                          <w:lang w:val="en-AU"/>
                        </w:rPr>
                        <w:t>) refer to ADF Star Rank</w:t>
                      </w:r>
                      <w:r>
                        <w:rPr>
                          <w:lang w:val="en-AU"/>
                        </w:rPr>
                        <w:br/>
                      </w:r>
                    </w:p>
                  </w:txbxContent>
                </v:textbox>
              </v:shape>
            </w:pict>
          </mc:Fallback>
        </mc:AlternateContent>
      </w:r>
      <w:r w:rsidRPr="00B56FAA">
        <w:rPr>
          <w:noProof/>
          <w:lang w:val="en-AU"/>
        </w:rPr>
        <mc:AlternateContent>
          <mc:Choice Requires="wps">
            <w:drawing>
              <wp:anchor distT="0" distB="0" distL="114300" distR="114300" simplePos="0" relativeHeight="251609600" behindDoc="0" locked="0" layoutInCell="1" allowOverlap="1" wp14:anchorId="120FF71C" wp14:editId="0987BB53">
                <wp:simplePos x="0" y="0"/>
                <wp:positionH relativeFrom="column">
                  <wp:posOffset>102235</wp:posOffset>
                </wp:positionH>
                <wp:positionV relativeFrom="paragraph">
                  <wp:posOffset>10097770</wp:posOffset>
                </wp:positionV>
                <wp:extent cx="1943100" cy="457200"/>
                <wp:effectExtent l="0" t="0" r="0" b="0"/>
                <wp:wrapNone/>
                <wp:docPr id="24575508"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865571" w14:textId="77777777" w:rsidR="00CE3B2C" w:rsidRDefault="00CE3B2C" w:rsidP="007416EC">
                            <w:pPr>
                              <w:pStyle w:val="OrgChart"/>
                              <w:rPr>
                                <w:lang w:val="en-AU"/>
                              </w:rPr>
                            </w:pPr>
                          </w:p>
                          <w:p w14:paraId="738888B2" w14:textId="77777777" w:rsidR="00CE3B2C" w:rsidRDefault="00CE3B2C" w:rsidP="007416EC">
                            <w:pPr>
                              <w:pStyle w:val="OrgChart"/>
                              <w:rPr>
                                <w:lang w:val="en-AU"/>
                              </w:rPr>
                            </w:pPr>
                            <w:r>
                              <w:rPr>
                                <w:lang w:val="en-AU"/>
                              </w:rPr>
                              <w:t>Stars (</w:t>
                            </w:r>
                            <w:r>
                              <w:rPr>
                                <w:vertAlign w:val="subscript"/>
                                <w:lang w:val="en-AU"/>
                              </w:rPr>
                              <w:t>*</w:t>
                            </w:r>
                            <w:r>
                              <w:rPr>
                                <w:lang w:val="en-AU"/>
                              </w:rPr>
                              <w:t>) refer to ADF Star Rank</w:t>
                            </w:r>
                            <w:r>
                              <w:rPr>
                                <w:lang w:val="en-AU"/>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FF71C" id="Text Box 123" o:spid="_x0000_s1095" type="#_x0000_t202" style="position:absolute;margin-left:8.05pt;margin-top:795.1pt;width:153pt;height:36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" stroked="f">
                <v:textbox>
                  <w:txbxContent>
                    <w:p w14:paraId="23865571" w14:textId="77777777" w:rsidR="00CE3B2C" w:rsidRDefault="00CE3B2C" w:rsidP="007416EC">
                      <w:pPr>
                        <w:pStyle w:val="OrgChart"/>
                        <w:rPr>
                          <w:lang w:val="en-AU"/>
                        </w:rPr>
                      </w:pPr>
                    </w:p>
                    <w:p w14:paraId="738888B2" w14:textId="77777777" w:rsidR="00CE3B2C" w:rsidRDefault="00CE3B2C" w:rsidP="007416EC">
                      <w:pPr>
                        <w:pStyle w:val="OrgChart"/>
                        <w:rPr>
                          <w:lang w:val="en-AU"/>
                        </w:rPr>
                      </w:pPr>
                      <w:r>
                        <w:rPr>
                          <w:lang w:val="en-AU"/>
                        </w:rPr>
                        <w:t>Stars (</w:t>
                      </w:r>
                      <w:r>
                        <w:rPr>
                          <w:vertAlign w:val="subscript"/>
                          <w:lang w:val="en-AU"/>
                        </w:rPr>
                        <w:t>*</w:t>
                      </w:r>
                      <w:r>
                        <w:rPr>
                          <w:lang w:val="en-AU"/>
                        </w:rPr>
                        <w:t>) refer to ADF Star Rank</w:t>
                      </w:r>
                      <w:r>
                        <w:rPr>
                          <w:lang w:val="en-AU"/>
                        </w:rPr>
                        <w:br/>
                      </w:r>
                    </w:p>
                  </w:txbxContent>
                </v:textbox>
              </v:shape>
            </w:pict>
          </mc:Fallback>
        </mc:AlternateContent>
      </w:r>
      <w:r w:rsidR="006D75BE" w:rsidRPr="00B56FAA">
        <w:t>S</w:t>
      </w:r>
      <w:r w:rsidR="0081059C" w:rsidRPr="00B56FAA">
        <w:t xml:space="preserve">enior Executive </w:t>
      </w:r>
      <w:r w:rsidR="00D51782" w:rsidRPr="00B56FAA">
        <w:t>C</w:t>
      </w:r>
      <w:r w:rsidR="002B549E" w:rsidRPr="00B56FAA">
        <w:t>hanges</w:t>
      </w:r>
    </w:p>
    <w:p w14:paraId="5D1A0582" w14:textId="0A73BE8C" w:rsidR="006102E5" w:rsidRPr="00E82C76" w:rsidRDefault="00E547EC" w:rsidP="00754942">
      <w:pPr>
        <w:spacing w:before="120" w:after="120"/>
        <w:rPr>
          <w:i/>
        </w:rPr>
      </w:pPr>
      <w:r w:rsidRPr="006278E0">
        <w:t>The</w:t>
      </w:r>
      <w:r>
        <w:t xml:space="preserve">re have been no </w:t>
      </w:r>
      <w:r w:rsidRPr="006278E0">
        <w:t>change</w:t>
      </w:r>
      <w:r>
        <w:t xml:space="preserve">s </w:t>
      </w:r>
      <w:r w:rsidRPr="006278E0">
        <w:t>since the last Portfolio Statements</w:t>
      </w:r>
      <w:r>
        <w:t>.</w:t>
      </w:r>
      <w:r w:rsidRPr="002B2BCC">
        <w:rPr>
          <w:lang w:val="en-AU"/>
        </w:rPr>
        <w:t xml:space="preserve"> </w:t>
      </w:r>
      <w:r w:rsidR="00D86690">
        <w:t xml:space="preserve"> </w:t>
      </w:r>
    </w:p>
    <w:p w14:paraId="4EB31304" w14:textId="77777777" w:rsidR="002B549E" w:rsidRPr="00B56FAA" w:rsidRDefault="00D51782" w:rsidP="00754942">
      <w:pPr>
        <w:pStyle w:val="Heading4level5"/>
        <w:spacing w:before="120" w:after="120"/>
      </w:pPr>
      <w:r w:rsidRPr="00B56FAA">
        <w:t>Organisational S</w:t>
      </w:r>
      <w:r w:rsidR="002B549E" w:rsidRPr="00B56FAA">
        <w:t>tructure</w:t>
      </w:r>
    </w:p>
    <w:p w14:paraId="1CC468DE" w14:textId="33D091CA" w:rsidR="00774482" w:rsidRPr="002B2BCC" w:rsidRDefault="003C219F" w:rsidP="006941D9">
      <w:pPr>
        <w:spacing w:before="120" w:after="120"/>
      </w:pPr>
      <w:r w:rsidRPr="006278E0">
        <w:t>The</w:t>
      </w:r>
      <w:r w:rsidR="006941D9">
        <w:t xml:space="preserve">re have been no </w:t>
      </w:r>
      <w:r w:rsidR="0025193E" w:rsidRPr="006278E0">
        <w:t>change</w:t>
      </w:r>
      <w:r w:rsidR="006941D9">
        <w:t xml:space="preserve">s </w:t>
      </w:r>
      <w:r w:rsidR="0025193E" w:rsidRPr="006278E0">
        <w:t>since the</w:t>
      </w:r>
      <w:r w:rsidR="00A72000" w:rsidRPr="006278E0">
        <w:t xml:space="preserve"> last Portfolio Statement</w:t>
      </w:r>
      <w:r w:rsidR="00C83633" w:rsidRPr="006278E0">
        <w:t>s</w:t>
      </w:r>
      <w:r w:rsidR="006941D9">
        <w:t>.</w:t>
      </w:r>
      <w:r w:rsidR="00717C03" w:rsidRPr="002B2BCC">
        <w:rPr>
          <w:lang w:val="en-AU"/>
        </w:rPr>
        <w:t xml:space="preserve"> </w:t>
      </w:r>
    </w:p>
    <w:p w14:paraId="35F7C06D" w14:textId="77777777" w:rsidR="00EA1050" w:rsidRPr="00437A14" w:rsidRDefault="00312F38" w:rsidP="00437A14">
      <w:pPr>
        <w:pStyle w:val="Heading4"/>
      </w:pPr>
      <w:r w:rsidRPr="00B56FAA">
        <w:rPr>
          <w:lang w:val="en-AU"/>
        </w:rPr>
        <w:br w:type="page"/>
      </w:r>
      <w:bookmarkStart w:id="634" w:name="_Toc23502284"/>
      <w:bookmarkStart w:id="635" w:name="_Toc29898864"/>
      <w:bookmarkStart w:id="636" w:name="_Toc69729041"/>
      <w:bookmarkStart w:id="637" w:name="_Toc97747824"/>
      <w:bookmarkStart w:id="638" w:name="_Toc108088935"/>
      <w:bookmarkStart w:id="639" w:name="_Toc108089014"/>
      <w:bookmarkStart w:id="640" w:name="_Toc108089409"/>
      <w:bookmarkStart w:id="641" w:name="_Toc159499678"/>
      <w:bookmarkStart w:id="642" w:name="_Toc159859095"/>
      <w:bookmarkStart w:id="643" w:name="_Toc159859247"/>
      <w:bookmarkStart w:id="644" w:name="_Ref349209731"/>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27"/>
      <w:bookmarkEnd w:id="628"/>
      <w:bookmarkEnd w:id="629"/>
      <w:bookmarkEnd w:id="630"/>
      <w:bookmarkEnd w:id="631"/>
      <w:bookmarkEnd w:id="632"/>
      <w:r w:rsidR="0081059C" w:rsidRPr="00437A14">
        <w:lastRenderedPageBreak/>
        <w:t xml:space="preserve">1.2 Defence </w:t>
      </w:r>
      <w:r w:rsidR="00D51782" w:rsidRPr="00437A14">
        <w:t>R</w:t>
      </w:r>
      <w:r w:rsidR="0081059C" w:rsidRPr="00437A14">
        <w:t xml:space="preserve">esource </w:t>
      </w:r>
      <w:r w:rsidR="00D51782" w:rsidRPr="00437A14">
        <w:t>S</w:t>
      </w:r>
      <w:r w:rsidR="00EA1050" w:rsidRPr="00437A14">
        <w:t>tatement</w:t>
      </w:r>
      <w:bookmarkEnd w:id="634"/>
      <w:bookmarkEnd w:id="635"/>
      <w:bookmarkEnd w:id="636"/>
      <w:bookmarkEnd w:id="637"/>
      <w:bookmarkEnd w:id="638"/>
      <w:bookmarkEnd w:id="639"/>
      <w:bookmarkEnd w:id="640"/>
      <w:bookmarkEnd w:id="641"/>
      <w:bookmarkEnd w:id="642"/>
      <w:bookmarkEnd w:id="643"/>
    </w:p>
    <w:p w14:paraId="7C9DDCC7" w14:textId="43966D99" w:rsidR="006B20D8" w:rsidRPr="00B56FAA" w:rsidRDefault="00922B6A" w:rsidP="00C83461">
      <w:pPr>
        <w:spacing w:before="60" w:after="60"/>
      </w:pPr>
      <w:bookmarkStart w:id="645" w:name="OLE_LINK11"/>
      <w:bookmarkStart w:id="646" w:name="OLE_LINK12"/>
      <w:bookmarkStart w:id="647" w:name="tbl_DOD_TDR"/>
      <w:bookmarkEnd w:id="644"/>
      <w:r w:rsidRPr="00B442A5">
        <w:t>The Defence Resource Statement details the resourcing for Defence at Budget Estimates. Table 1 outlines the total resourcing available from all sources for the 202</w:t>
      </w:r>
      <w:r w:rsidR="00425C19" w:rsidRPr="00B442A5">
        <w:t>5</w:t>
      </w:r>
      <w:r w:rsidRPr="00B442A5">
        <w:t>-2</w:t>
      </w:r>
      <w:r w:rsidR="00425C19" w:rsidRPr="00B442A5">
        <w:t>6</w:t>
      </w:r>
      <w:r w:rsidRPr="00B442A5">
        <w:t xml:space="preserve"> Budget year, including variations through Special Appropriations and Special Accounts. </w:t>
      </w:r>
      <w:r w:rsidR="006B20D8" w:rsidRPr="00B442A5">
        <w:t xml:space="preserve">For more detailed information, please refer to </w:t>
      </w:r>
      <w:r w:rsidR="006B20D8" w:rsidRPr="00B442A5">
        <w:rPr>
          <w:i/>
        </w:rPr>
        <w:t>Budget Paper No. 4 – Agency Resourcing</w:t>
      </w:r>
      <w:r w:rsidR="006B20D8" w:rsidRPr="00B442A5">
        <w:t>.</w:t>
      </w:r>
    </w:p>
    <w:bookmarkEnd w:id="645"/>
    <w:bookmarkEnd w:id="646"/>
    <w:p w14:paraId="4F2BAD90" w14:textId="77777777" w:rsidR="00312F38" w:rsidRDefault="00581C71" w:rsidP="00565AC0">
      <w:pPr>
        <w:pStyle w:val="TableHeading"/>
        <w:spacing w:before="120" w:after="120"/>
        <w:outlineLvl w:val="6"/>
        <w:rPr>
          <w:lang w:val="en-AU"/>
        </w:rPr>
      </w:pPr>
      <w:r w:rsidRPr="00C83461">
        <w:t>Table</w:t>
      </w:r>
      <w:r w:rsidR="00867A03" w:rsidRPr="00C83461">
        <w:t xml:space="preserve"> </w:t>
      </w:r>
      <w:r w:rsidRPr="00C83461">
        <w:t xml:space="preserve">1: </w:t>
      </w:r>
      <w:r w:rsidR="00EA1050" w:rsidRPr="00C83461">
        <w:t xml:space="preserve">Total Defence </w:t>
      </w:r>
      <w:r w:rsidR="00D51782" w:rsidRPr="00C83461">
        <w:rPr>
          <w:lang w:val="en-AU"/>
        </w:rPr>
        <w:t>R</w:t>
      </w:r>
      <w:r w:rsidR="00EA1050" w:rsidRPr="00C83461">
        <w:rPr>
          <w:lang w:val="en-AU"/>
        </w:rPr>
        <w:t>esourcing</w:t>
      </w:r>
      <w:r w:rsidR="00C83461" w:rsidRPr="00C83461">
        <w:rPr>
          <w:lang w:val="en-AU"/>
        </w:rPr>
        <w:t xml:space="preserve"> </w:t>
      </w:r>
      <w:r w:rsidR="00C83461" w:rsidRPr="00C83461">
        <w:rPr>
          <w:vertAlign w:val="superscript"/>
          <w:lang w:val="en-AU"/>
        </w:rPr>
        <w:t>[a]</w:t>
      </w:r>
    </w:p>
    <w:p w14:paraId="59AE3D1C" w14:textId="22AB4C50" w:rsidR="009820C2" w:rsidRDefault="00BC2C62" w:rsidP="009820C2">
      <w:pPr>
        <w:spacing w:before="0" w:after="0"/>
      </w:pPr>
      <w:r w:rsidRPr="00BC2C62">
        <w:rPr>
          <w:noProof/>
          <w:lang w:val="en-AU"/>
        </w:rPr>
        <w:drawing>
          <wp:inline distT="0" distB="0" distL="0" distR="0" wp14:anchorId="6EC05245" wp14:editId="5426E9E4">
            <wp:extent cx="5471795" cy="49400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1795" cy="4940030"/>
                    </a:xfrm>
                    <a:prstGeom prst="rect">
                      <a:avLst/>
                    </a:prstGeom>
                    <a:noFill/>
                    <a:ln>
                      <a:noFill/>
                    </a:ln>
                  </pic:spPr>
                </pic:pic>
              </a:graphicData>
            </a:graphic>
          </wp:inline>
        </w:drawing>
      </w:r>
    </w:p>
    <w:p w14:paraId="0C6B462C" w14:textId="77777777" w:rsidR="00C83461" w:rsidRPr="00C83461" w:rsidRDefault="00C83461" w:rsidP="009820C2">
      <w:pPr>
        <w:spacing w:before="0" w:after="0"/>
        <w:rPr>
          <w:sz w:val="14"/>
          <w:szCs w:val="14"/>
        </w:rPr>
      </w:pPr>
    </w:p>
    <w:p w14:paraId="0A6FC826" w14:textId="77777777" w:rsidR="00C83461" w:rsidRPr="00C83461" w:rsidRDefault="00C83461" w:rsidP="009820C2">
      <w:pPr>
        <w:spacing w:before="0" w:after="0"/>
        <w:rPr>
          <w:rFonts w:ascii="Arial" w:hAnsi="Arial"/>
          <w:b/>
          <w:sz w:val="14"/>
          <w:szCs w:val="14"/>
        </w:rPr>
      </w:pPr>
      <w:r w:rsidRPr="00C83461">
        <w:rPr>
          <w:rFonts w:ascii="Arial" w:hAnsi="Arial"/>
          <w:b/>
          <w:sz w:val="14"/>
          <w:szCs w:val="14"/>
        </w:rPr>
        <w:t>Notes</w:t>
      </w:r>
    </w:p>
    <w:p w14:paraId="492E3001" w14:textId="10C6BD9A" w:rsidR="00793B74" w:rsidRPr="00793B74" w:rsidRDefault="009E341A" w:rsidP="00793B74">
      <w:pPr>
        <w:pStyle w:val="BodyText"/>
        <w:spacing w:before="0" w:after="0"/>
        <w:ind w:left="284" w:hanging="284"/>
        <w:rPr>
          <w:rFonts w:ascii="Arial" w:hAnsi="Arial"/>
          <w:sz w:val="14"/>
          <w:szCs w:val="14"/>
          <w:lang w:val="en-AU"/>
        </w:rPr>
      </w:pPr>
      <w:bookmarkStart w:id="648" w:name="_Toc507595418"/>
      <w:bookmarkStart w:id="649" w:name="_Toc536089226"/>
      <w:bookmarkStart w:id="650" w:name="_Toc536089486"/>
      <w:bookmarkStart w:id="651" w:name="_Toc536089592"/>
      <w:bookmarkStart w:id="652" w:name="_Toc1561677"/>
      <w:bookmarkStart w:id="653" w:name="_Toc69729042"/>
      <w:bookmarkEnd w:id="647"/>
      <w:r>
        <w:rPr>
          <w:rFonts w:ascii="Arial" w:hAnsi="Arial"/>
          <w:sz w:val="14"/>
          <w:szCs w:val="14"/>
          <w:lang w:val="en-AU"/>
        </w:rPr>
        <w:t>a.</w:t>
      </w:r>
      <w:r w:rsidR="003D5634">
        <w:rPr>
          <w:rFonts w:ascii="Arial" w:hAnsi="Arial"/>
          <w:sz w:val="14"/>
          <w:szCs w:val="14"/>
          <w:lang w:val="en-AU"/>
        </w:rPr>
        <w:tab/>
      </w:r>
      <w:r w:rsidR="00793B74" w:rsidRPr="00793B74">
        <w:rPr>
          <w:rFonts w:ascii="Arial" w:hAnsi="Arial"/>
          <w:sz w:val="14"/>
          <w:szCs w:val="14"/>
          <w:lang w:val="en-AU"/>
        </w:rPr>
        <w:t>This table is prepared on an accrual basis, except for serials 7 to 10, 12, 14, 21 to 24, 27 and 28.</w:t>
      </w:r>
      <w:r w:rsidR="00793B74" w:rsidRPr="00793B74">
        <w:rPr>
          <w:rFonts w:ascii="Arial" w:hAnsi="Arial"/>
          <w:sz w:val="14"/>
          <w:szCs w:val="14"/>
          <w:lang w:val="en-AU"/>
        </w:rPr>
        <w:tab/>
      </w:r>
      <w:r w:rsidR="00793B74" w:rsidRPr="00793B74">
        <w:rPr>
          <w:rFonts w:ascii="Arial" w:hAnsi="Arial"/>
          <w:sz w:val="14"/>
          <w:szCs w:val="14"/>
          <w:lang w:val="en-AU"/>
        </w:rPr>
        <w:tab/>
      </w:r>
      <w:r w:rsidR="00793B74" w:rsidRPr="00793B74">
        <w:rPr>
          <w:rFonts w:ascii="Arial" w:hAnsi="Arial"/>
          <w:sz w:val="14"/>
          <w:szCs w:val="14"/>
          <w:lang w:val="en-AU"/>
        </w:rPr>
        <w:tab/>
      </w:r>
      <w:r w:rsidR="00793B74" w:rsidRPr="00793B74">
        <w:rPr>
          <w:rFonts w:ascii="Arial" w:hAnsi="Arial"/>
          <w:sz w:val="14"/>
          <w:szCs w:val="14"/>
          <w:lang w:val="en-AU"/>
        </w:rPr>
        <w:tab/>
      </w:r>
      <w:r w:rsidR="00793B74" w:rsidRPr="00793B74">
        <w:rPr>
          <w:rFonts w:ascii="Arial" w:hAnsi="Arial"/>
          <w:sz w:val="14"/>
          <w:szCs w:val="14"/>
          <w:lang w:val="en-AU"/>
        </w:rPr>
        <w:tab/>
      </w:r>
      <w:r w:rsidR="00793B74" w:rsidRPr="00793B74">
        <w:rPr>
          <w:rFonts w:ascii="Arial" w:hAnsi="Arial"/>
          <w:sz w:val="14"/>
          <w:szCs w:val="14"/>
          <w:lang w:val="en-AU"/>
        </w:rPr>
        <w:tab/>
      </w:r>
      <w:r w:rsidR="00793B74" w:rsidRPr="00793B74">
        <w:rPr>
          <w:rFonts w:ascii="Arial" w:hAnsi="Arial"/>
          <w:sz w:val="14"/>
          <w:szCs w:val="14"/>
          <w:lang w:val="en-AU"/>
        </w:rPr>
        <w:tab/>
      </w:r>
      <w:r w:rsidR="00793B74" w:rsidRPr="00793B74">
        <w:rPr>
          <w:rFonts w:ascii="Arial" w:hAnsi="Arial"/>
          <w:sz w:val="14"/>
          <w:szCs w:val="14"/>
          <w:lang w:val="en-AU"/>
        </w:rPr>
        <w:tab/>
      </w:r>
      <w:r w:rsidR="00793B74" w:rsidRPr="00793B74">
        <w:rPr>
          <w:rFonts w:ascii="Arial" w:hAnsi="Arial"/>
          <w:sz w:val="14"/>
          <w:szCs w:val="14"/>
          <w:lang w:val="en-AU"/>
        </w:rPr>
        <w:tab/>
      </w:r>
    </w:p>
    <w:p w14:paraId="0BF47706" w14:textId="5AAC57C1" w:rsidR="00793B74" w:rsidRPr="00793B74" w:rsidRDefault="00793B74" w:rsidP="00793B74">
      <w:pPr>
        <w:pStyle w:val="BodyText"/>
        <w:spacing w:before="0" w:after="0"/>
        <w:ind w:left="284" w:hanging="284"/>
        <w:rPr>
          <w:rFonts w:ascii="Arial" w:hAnsi="Arial"/>
          <w:sz w:val="14"/>
          <w:szCs w:val="14"/>
          <w:lang w:val="en-AU"/>
        </w:rPr>
      </w:pPr>
      <w:r w:rsidRPr="00793B74">
        <w:rPr>
          <w:rFonts w:ascii="Arial" w:hAnsi="Arial"/>
          <w:sz w:val="14"/>
          <w:szCs w:val="14"/>
          <w:lang w:val="en-AU"/>
        </w:rPr>
        <w:t xml:space="preserve">b. </w:t>
      </w:r>
      <w:r>
        <w:rPr>
          <w:rFonts w:ascii="Arial" w:hAnsi="Arial"/>
          <w:sz w:val="14"/>
          <w:szCs w:val="14"/>
          <w:lang w:val="en-AU"/>
        </w:rPr>
        <w:tab/>
      </w:r>
      <w:r w:rsidR="00B316DE">
        <w:rPr>
          <w:rFonts w:ascii="Arial" w:hAnsi="Arial"/>
          <w:sz w:val="14"/>
          <w:szCs w:val="14"/>
          <w:lang w:val="en-AU"/>
        </w:rPr>
        <w:t xml:space="preserve">The funding movement from 2027-28 to 2024-25 of $700 million is to partly address Defence’s ongoing working capital requirements. This adjustment provides </w:t>
      </w:r>
      <w:r w:rsidR="000D6233">
        <w:rPr>
          <w:rFonts w:ascii="Arial" w:hAnsi="Arial"/>
          <w:sz w:val="14"/>
          <w:szCs w:val="14"/>
          <w:lang w:val="en-AU"/>
        </w:rPr>
        <w:t>an</w:t>
      </w:r>
      <w:r w:rsidR="00B316DE">
        <w:rPr>
          <w:rFonts w:ascii="Arial" w:hAnsi="Arial"/>
          <w:sz w:val="14"/>
          <w:szCs w:val="14"/>
          <w:lang w:val="en-AU"/>
        </w:rPr>
        <w:t xml:space="preserve"> increase</w:t>
      </w:r>
      <w:r w:rsidR="0030332C">
        <w:rPr>
          <w:rFonts w:ascii="Arial" w:hAnsi="Arial"/>
          <w:sz w:val="14"/>
          <w:szCs w:val="14"/>
          <w:lang w:val="en-AU"/>
        </w:rPr>
        <w:t xml:space="preserve"> to </w:t>
      </w:r>
      <w:r w:rsidR="00B316DE">
        <w:rPr>
          <w:rFonts w:ascii="Arial" w:hAnsi="Arial"/>
          <w:sz w:val="14"/>
          <w:szCs w:val="14"/>
          <w:lang w:val="en-AU"/>
        </w:rPr>
        <w:t>cash reserves to meet Defence industry commitments as and when they fall due for payment. While the increase in working capital in 2024-25 is by way of the movement of appropriation from 2027-28, the movement will be represented as an equity injection and not as increased Defence funding. Thi</w:t>
      </w:r>
      <w:r w:rsidR="00F10613">
        <w:rPr>
          <w:rFonts w:ascii="Arial" w:hAnsi="Arial"/>
          <w:sz w:val="14"/>
          <w:szCs w:val="14"/>
          <w:lang w:val="en-AU"/>
        </w:rPr>
        <w:t>s</w:t>
      </w:r>
      <w:r w:rsidR="00B316DE">
        <w:rPr>
          <w:rFonts w:ascii="Arial" w:hAnsi="Arial"/>
          <w:sz w:val="14"/>
          <w:szCs w:val="14"/>
          <w:lang w:val="en-AU"/>
        </w:rPr>
        <w:t xml:space="preserve"> is because the injection will be used to address existing expenditure commitments a</w:t>
      </w:r>
      <w:r w:rsidR="00C64DB0">
        <w:rPr>
          <w:rFonts w:ascii="Arial" w:hAnsi="Arial"/>
          <w:sz w:val="14"/>
          <w:szCs w:val="14"/>
          <w:lang w:val="en-AU"/>
        </w:rPr>
        <w:t>l</w:t>
      </w:r>
      <w:r w:rsidR="00B316DE">
        <w:rPr>
          <w:rFonts w:ascii="Arial" w:hAnsi="Arial"/>
          <w:sz w:val="14"/>
          <w:szCs w:val="14"/>
          <w:lang w:val="en-AU"/>
        </w:rPr>
        <w:t>ready incurred/recognised. In 2027-28</w:t>
      </w:r>
      <w:r w:rsidR="00E76F2C">
        <w:rPr>
          <w:rFonts w:ascii="Arial" w:hAnsi="Arial"/>
          <w:sz w:val="14"/>
          <w:szCs w:val="14"/>
          <w:lang w:val="en-AU"/>
        </w:rPr>
        <w:t xml:space="preserve">, the reduction of appropriation will not impact planned capital expenditure levels as Government has agreed Defence will operate with a Net Capital </w:t>
      </w:r>
      <w:r w:rsidR="00C64DB0">
        <w:rPr>
          <w:rFonts w:ascii="Arial" w:hAnsi="Arial"/>
          <w:sz w:val="14"/>
          <w:szCs w:val="14"/>
          <w:lang w:val="en-AU"/>
        </w:rPr>
        <w:t>Deficit</w:t>
      </w:r>
      <w:r w:rsidR="00E76F2C">
        <w:rPr>
          <w:rFonts w:ascii="Arial" w:hAnsi="Arial"/>
          <w:sz w:val="14"/>
          <w:szCs w:val="14"/>
          <w:lang w:val="en-AU"/>
        </w:rPr>
        <w:t xml:space="preserve"> in that financial year.</w:t>
      </w:r>
    </w:p>
    <w:p w14:paraId="3C86E0CB" w14:textId="0BEFCC98" w:rsidR="00793B74" w:rsidRPr="00793B74" w:rsidRDefault="00793B74" w:rsidP="00793B74">
      <w:pPr>
        <w:pStyle w:val="BodyText"/>
        <w:spacing w:before="0" w:after="0"/>
        <w:ind w:left="284" w:hanging="284"/>
        <w:rPr>
          <w:rFonts w:ascii="Arial" w:hAnsi="Arial"/>
          <w:sz w:val="14"/>
          <w:szCs w:val="14"/>
          <w:lang w:val="en-AU"/>
        </w:rPr>
      </w:pPr>
      <w:r w:rsidRPr="00793B74">
        <w:rPr>
          <w:rFonts w:ascii="Arial" w:hAnsi="Arial"/>
          <w:sz w:val="14"/>
          <w:szCs w:val="14"/>
          <w:lang w:val="en-AU"/>
        </w:rPr>
        <w:t xml:space="preserve">c. </w:t>
      </w:r>
      <w:r>
        <w:rPr>
          <w:rFonts w:ascii="Arial" w:hAnsi="Arial"/>
          <w:sz w:val="14"/>
          <w:szCs w:val="14"/>
          <w:lang w:val="en-AU"/>
        </w:rPr>
        <w:tab/>
      </w:r>
      <w:r w:rsidRPr="00793B74">
        <w:rPr>
          <w:rFonts w:ascii="Arial" w:hAnsi="Arial"/>
          <w:sz w:val="14"/>
          <w:szCs w:val="14"/>
          <w:lang w:val="en-AU"/>
        </w:rPr>
        <w:t xml:space="preserve">The appropriations for 2024-25 as disclosed in Serials 1 to 4 include amounts in 2024-25 </w:t>
      </w:r>
      <w:r w:rsidR="00E76F2C">
        <w:rPr>
          <w:rFonts w:ascii="Arial" w:hAnsi="Arial"/>
          <w:sz w:val="14"/>
          <w:szCs w:val="14"/>
          <w:lang w:val="en-AU"/>
        </w:rPr>
        <w:t>that</w:t>
      </w:r>
      <w:r w:rsidRPr="00793B74">
        <w:rPr>
          <w:rFonts w:ascii="Arial" w:hAnsi="Arial"/>
          <w:sz w:val="14"/>
          <w:szCs w:val="14"/>
          <w:lang w:val="en-AU"/>
        </w:rPr>
        <w:t xml:space="preserve"> are yet to receive royal assent. Further, since the appropriations disclosed are reported on an accrual basis, they do not include supplementation or handback relating to prior years mainly on account of No Win/No Loss (NWNL) arrangements. </w:t>
      </w:r>
      <w:r w:rsidRPr="00793B74">
        <w:rPr>
          <w:rFonts w:ascii="Arial" w:hAnsi="Arial"/>
          <w:sz w:val="14"/>
          <w:szCs w:val="14"/>
          <w:lang w:val="en-AU"/>
        </w:rPr>
        <w:tab/>
      </w:r>
      <w:r w:rsidRPr="00793B74">
        <w:rPr>
          <w:rFonts w:ascii="Arial" w:hAnsi="Arial"/>
          <w:sz w:val="14"/>
          <w:szCs w:val="14"/>
          <w:lang w:val="en-AU"/>
        </w:rPr>
        <w:tab/>
      </w:r>
      <w:r w:rsidRPr="00793B74">
        <w:rPr>
          <w:rFonts w:ascii="Arial" w:hAnsi="Arial"/>
          <w:sz w:val="14"/>
          <w:szCs w:val="14"/>
          <w:lang w:val="en-AU"/>
        </w:rPr>
        <w:tab/>
      </w:r>
      <w:r w:rsidRPr="00793B74">
        <w:rPr>
          <w:rFonts w:ascii="Arial" w:hAnsi="Arial"/>
          <w:sz w:val="14"/>
          <w:szCs w:val="14"/>
          <w:lang w:val="en-AU"/>
        </w:rPr>
        <w:tab/>
      </w:r>
      <w:r w:rsidRPr="00793B74">
        <w:rPr>
          <w:rFonts w:ascii="Arial" w:hAnsi="Arial"/>
          <w:sz w:val="14"/>
          <w:szCs w:val="14"/>
          <w:lang w:val="en-AU"/>
        </w:rPr>
        <w:tab/>
      </w:r>
      <w:r w:rsidRPr="00793B74">
        <w:rPr>
          <w:rFonts w:ascii="Arial" w:hAnsi="Arial"/>
          <w:sz w:val="14"/>
          <w:szCs w:val="14"/>
          <w:lang w:val="en-AU"/>
        </w:rPr>
        <w:tab/>
      </w:r>
      <w:r w:rsidRPr="00793B74">
        <w:rPr>
          <w:rFonts w:ascii="Arial" w:hAnsi="Arial"/>
          <w:sz w:val="14"/>
          <w:szCs w:val="14"/>
          <w:lang w:val="en-AU"/>
        </w:rPr>
        <w:tab/>
      </w:r>
      <w:r w:rsidRPr="00793B74">
        <w:rPr>
          <w:rFonts w:ascii="Arial" w:hAnsi="Arial"/>
          <w:sz w:val="14"/>
          <w:szCs w:val="14"/>
          <w:lang w:val="en-AU"/>
        </w:rPr>
        <w:tab/>
      </w:r>
      <w:r w:rsidRPr="00793B74">
        <w:rPr>
          <w:rFonts w:ascii="Arial" w:hAnsi="Arial"/>
          <w:sz w:val="14"/>
          <w:szCs w:val="14"/>
          <w:lang w:val="en-AU"/>
        </w:rPr>
        <w:tab/>
      </w:r>
    </w:p>
    <w:p w14:paraId="1D6AADC1" w14:textId="6B5B780B" w:rsidR="00793B74" w:rsidRPr="00793B74" w:rsidRDefault="00793B74" w:rsidP="00793B74">
      <w:pPr>
        <w:pStyle w:val="BodyText"/>
        <w:spacing w:before="0" w:after="0"/>
        <w:ind w:left="284" w:hanging="284"/>
        <w:rPr>
          <w:rFonts w:ascii="Arial" w:hAnsi="Arial"/>
          <w:sz w:val="14"/>
          <w:szCs w:val="14"/>
          <w:lang w:val="en-AU"/>
        </w:rPr>
      </w:pPr>
      <w:r w:rsidRPr="00793B74">
        <w:rPr>
          <w:rFonts w:ascii="Arial" w:hAnsi="Arial"/>
          <w:sz w:val="14"/>
          <w:szCs w:val="14"/>
          <w:lang w:val="en-AU"/>
        </w:rPr>
        <w:t xml:space="preserve">d. </w:t>
      </w:r>
      <w:r>
        <w:rPr>
          <w:rFonts w:ascii="Arial" w:hAnsi="Arial"/>
          <w:sz w:val="14"/>
          <w:szCs w:val="14"/>
          <w:lang w:val="en-AU"/>
        </w:rPr>
        <w:tab/>
      </w:r>
      <w:r w:rsidRPr="00793B74">
        <w:rPr>
          <w:rFonts w:ascii="Arial" w:hAnsi="Arial"/>
          <w:sz w:val="14"/>
          <w:szCs w:val="14"/>
          <w:lang w:val="en-AU"/>
        </w:rPr>
        <w:t>Represents net transfers to and from the Official Public Account.</w:t>
      </w:r>
      <w:r w:rsidRPr="00793B74">
        <w:rPr>
          <w:rFonts w:ascii="Arial" w:hAnsi="Arial"/>
          <w:sz w:val="14"/>
          <w:szCs w:val="14"/>
          <w:lang w:val="en-AU"/>
        </w:rPr>
        <w:tab/>
      </w:r>
      <w:r w:rsidRPr="00793B74">
        <w:rPr>
          <w:rFonts w:ascii="Arial" w:hAnsi="Arial"/>
          <w:sz w:val="14"/>
          <w:szCs w:val="14"/>
          <w:lang w:val="en-AU"/>
        </w:rPr>
        <w:tab/>
      </w:r>
      <w:r w:rsidRPr="00793B74">
        <w:rPr>
          <w:rFonts w:ascii="Arial" w:hAnsi="Arial"/>
          <w:sz w:val="14"/>
          <w:szCs w:val="14"/>
          <w:lang w:val="en-AU"/>
        </w:rPr>
        <w:tab/>
      </w:r>
      <w:r w:rsidRPr="00793B74">
        <w:rPr>
          <w:rFonts w:ascii="Arial" w:hAnsi="Arial"/>
          <w:sz w:val="14"/>
          <w:szCs w:val="14"/>
          <w:lang w:val="en-AU"/>
        </w:rPr>
        <w:tab/>
      </w:r>
      <w:r w:rsidRPr="00793B74">
        <w:rPr>
          <w:rFonts w:ascii="Arial" w:hAnsi="Arial"/>
          <w:sz w:val="14"/>
          <w:szCs w:val="14"/>
          <w:lang w:val="en-AU"/>
        </w:rPr>
        <w:tab/>
      </w:r>
      <w:r w:rsidRPr="00793B74">
        <w:rPr>
          <w:rFonts w:ascii="Arial" w:hAnsi="Arial"/>
          <w:sz w:val="14"/>
          <w:szCs w:val="14"/>
          <w:lang w:val="en-AU"/>
        </w:rPr>
        <w:tab/>
      </w:r>
      <w:r w:rsidRPr="00793B74">
        <w:rPr>
          <w:rFonts w:ascii="Arial" w:hAnsi="Arial"/>
          <w:sz w:val="14"/>
          <w:szCs w:val="14"/>
          <w:lang w:val="en-AU"/>
        </w:rPr>
        <w:tab/>
      </w:r>
      <w:r w:rsidRPr="00793B74">
        <w:rPr>
          <w:rFonts w:ascii="Arial" w:hAnsi="Arial"/>
          <w:sz w:val="14"/>
          <w:szCs w:val="14"/>
          <w:lang w:val="en-AU"/>
        </w:rPr>
        <w:tab/>
      </w:r>
      <w:r w:rsidRPr="00793B74">
        <w:rPr>
          <w:rFonts w:ascii="Arial" w:hAnsi="Arial"/>
          <w:sz w:val="14"/>
          <w:szCs w:val="14"/>
          <w:lang w:val="en-AU"/>
        </w:rPr>
        <w:tab/>
      </w:r>
    </w:p>
    <w:p w14:paraId="20988F12" w14:textId="4BFB50AA" w:rsidR="00793B74" w:rsidRPr="00793B74" w:rsidRDefault="00793B74" w:rsidP="00793B74">
      <w:pPr>
        <w:pStyle w:val="BodyText"/>
        <w:spacing w:before="0" w:after="0"/>
        <w:ind w:left="284" w:hanging="284"/>
        <w:rPr>
          <w:rFonts w:ascii="Arial" w:hAnsi="Arial"/>
          <w:sz w:val="14"/>
          <w:szCs w:val="14"/>
          <w:lang w:val="en-AU"/>
        </w:rPr>
      </w:pPr>
      <w:r w:rsidRPr="00793B74">
        <w:rPr>
          <w:rFonts w:ascii="Arial" w:hAnsi="Arial"/>
          <w:sz w:val="14"/>
          <w:szCs w:val="14"/>
          <w:lang w:val="en-AU"/>
        </w:rPr>
        <w:t xml:space="preserve">e. </w:t>
      </w:r>
      <w:r>
        <w:rPr>
          <w:rFonts w:ascii="Arial" w:hAnsi="Arial"/>
          <w:sz w:val="14"/>
          <w:szCs w:val="14"/>
          <w:lang w:val="en-AU"/>
        </w:rPr>
        <w:tab/>
      </w:r>
      <w:r w:rsidRPr="00793B74">
        <w:rPr>
          <w:rFonts w:ascii="Arial" w:hAnsi="Arial"/>
          <w:sz w:val="14"/>
          <w:szCs w:val="14"/>
          <w:lang w:val="en-AU"/>
        </w:rPr>
        <w:t>All figures are net of GST.</w:t>
      </w:r>
      <w:r w:rsidRPr="00793B74">
        <w:rPr>
          <w:rFonts w:ascii="Arial" w:hAnsi="Arial"/>
          <w:sz w:val="14"/>
          <w:szCs w:val="14"/>
          <w:lang w:val="en-AU"/>
        </w:rPr>
        <w:tab/>
      </w:r>
      <w:r w:rsidRPr="00793B74">
        <w:rPr>
          <w:rFonts w:ascii="Arial" w:hAnsi="Arial"/>
          <w:sz w:val="14"/>
          <w:szCs w:val="14"/>
          <w:lang w:val="en-AU"/>
        </w:rPr>
        <w:tab/>
      </w:r>
      <w:r w:rsidRPr="00793B74">
        <w:rPr>
          <w:rFonts w:ascii="Arial" w:hAnsi="Arial"/>
          <w:sz w:val="14"/>
          <w:szCs w:val="14"/>
          <w:lang w:val="en-AU"/>
        </w:rPr>
        <w:tab/>
      </w:r>
      <w:r w:rsidRPr="00793B74">
        <w:rPr>
          <w:rFonts w:ascii="Arial" w:hAnsi="Arial"/>
          <w:sz w:val="14"/>
          <w:szCs w:val="14"/>
          <w:lang w:val="en-AU"/>
        </w:rPr>
        <w:tab/>
      </w:r>
      <w:r w:rsidRPr="00793B74">
        <w:rPr>
          <w:rFonts w:ascii="Arial" w:hAnsi="Arial"/>
          <w:sz w:val="14"/>
          <w:szCs w:val="14"/>
          <w:lang w:val="en-AU"/>
        </w:rPr>
        <w:tab/>
      </w:r>
      <w:r w:rsidRPr="00793B74">
        <w:rPr>
          <w:rFonts w:ascii="Arial" w:hAnsi="Arial"/>
          <w:sz w:val="14"/>
          <w:szCs w:val="14"/>
          <w:lang w:val="en-AU"/>
        </w:rPr>
        <w:tab/>
      </w:r>
      <w:r w:rsidRPr="00793B74">
        <w:rPr>
          <w:rFonts w:ascii="Arial" w:hAnsi="Arial"/>
          <w:sz w:val="14"/>
          <w:szCs w:val="14"/>
          <w:lang w:val="en-AU"/>
        </w:rPr>
        <w:tab/>
      </w:r>
      <w:r w:rsidRPr="00793B74">
        <w:rPr>
          <w:rFonts w:ascii="Arial" w:hAnsi="Arial"/>
          <w:sz w:val="14"/>
          <w:szCs w:val="14"/>
          <w:lang w:val="en-AU"/>
        </w:rPr>
        <w:tab/>
      </w:r>
      <w:r w:rsidRPr="00793B74">
        <w:rPr>
          <w:rFonts w:ascii="Arial" w:hAnsi="Arial"/>
          <w:sz w:val="14"/>
          <w:szCs w:val="14"/>
          <w:lang w:val="en-AU"/>
        </w:rPr>
        <w:tab/>
      </w:r>
    </w:p>
    <w:p w14:paraId="17B563BB" w14:textId="1E43E115" w:rsidR="00793B74" w:rsidRPr="00793B74" w:rsidRDefault="00793B74" w:rsidP="00793B74">
      <w:pPr>
        <w:pStyle w:val="BodyText"/>
        <w:spacing w:before="0" w:after="0"/>
        <w:ind w:left="284" w:hanging="284"/>
        <w:rPr>
          <w:rFonts w:ascii="Arial" w:hAnsi="Arial"/>
          <w:sz w:val="14"/>
          <w:szCs w:val="14"/>
          <w:lang w:val="en-AU"/>
        </w:rPr>
      </w:pPr>
      <w:r w:rsidRPr="00793B74">
        <w:rPr>
          <w:rFonts w:ascii="Arial" w:hAnsi="Arial"/>
          <w:sz w:val="14"/>
          <w:szCs w:val="14"/>
          <w:lang w:val="en-AU"/>
        </w:rPr>
        <w:t xml:space="preserve">f. </w:t>
      </w:r>
      <w:r>
        <w:rPr>
          <w:rFonts w:ascii="Arial" w:hAnsi="Arial"/>
          <w:sz w:val="14"/>
          <w:szCs w:val="14"/>
          <w:lang w:val="en-AU"/>
        </w:rPr>
        <w:tab/>
      </w:r>
      <w:r w:rsidRPr="00793B74">
        <w:rPr>
          <w:rFonts w:ascii="Arial" w:hAnsi="Arial"/>
          <w:sz w:val="14"/>
          <w:szCs w:val="14"/>
          <w:lang w:val="en-AU"/>
        </w:rPr>
        <w:t>The variation in 2025-26 Own Source Revenue compared to the Previous Estimate, predominantly relates to revenue from foreign government activities.</w:t>
      </w:r>
      <w:r w:rsidRPr="00793B74">
        <w:rPr>
          <w:rFonts w:ascii="Arial" w:hAnsi="Arial"/>
          <w:sz w:val="14"/>
          <w:szCs w:val="14"/>
          <w:lang w:val="en-AU"/>
        </w:rPr>
        <w:tab/>
      </w:r>
      <w:r w:rsidRPr="00793B74">
        <w:rPr>
          <w:rFonts w:ascii="Arial" w:hAnsi="Arial"/>
          <w:sz w:val="14"/>
          <w:szCs w:val="14"/>
          <w:lang w:val="en-AU"/>
        </w:rPr>
        <w:tab/>
      </w:r>
      <w:r w:rsidRPr="00793B74">
        <w:rPr>
          <w:rFonts w:ascii="Arial" w:hAnsi="Arial"/>
          <w:sz w:val="14"/>
          <w:szCs w:val="14"/>
          <w:lang w:val="en-AU"/>
        </w:rPr>
        <w:tab/>
      </w:r>
      <w:r w:rsidRPr="00793B74">
        <w:rPr>
          <w:rFonts w:ascii="Arial" w:hAnsi="Arial"/>
          <w:sz w:val="14"/>
          <w:szCs w:val="14"/>
          <w:lang w:val="en-AU"/>
        </w:rPr>
        <w:tab/>
      </w:r>
      <w:r w:rsidRPr="00793B74">
        <w:rPr>
          <w:rFonts w:ascii="Arial" w:hAnsi="Arial"/>
          <w:sz w:val="14"/>
          <w:szCs w:val="14"/>
          <w:lang w:val="en-AU"/>
        </w:rPr>
        <w:tab/>
      </w:r>
      <w:r w:rsidRPr="00793B74">
        <w:rPr>
          <w:rFonts w:ascii="Arial" w:hAnsi="Arial"/>
          <w:sz w:val="14"/>
          <w:szCs w:val="14"/>
          <w:lang w:val="en-AU"/>
        </w:rPr>
        <w:tab/>
      </w:r>
      <w:r w:rsidRPr="00793B74">
        <w:rPr>
          <w:rFonts w:ascii="Arial" w:hAnsi="Arial"/>
          <w:sz w:val="14"/>
          <w:szCs w:val="14"/>
          <w:lang w:val="en-AU"/>
        </w:rPr>
        <w:tab/>
      </w:r>
      <w:r w:rsidRPr="00793B74">
        <w:rPr>
          <w:rFonts w:ascii="Arial" w:hAnsi="Arial"/>
          <w:sz w:val="14"/>
          <w:szCs w:val="14"/>
          <w:lang w:val="en-AU"/>
        </w:rPr>
        <w:tab/>
      </w:r>
      <w:r w:rsidRPr="00793B74">
        <w:rPr>
          <w:rFonts w:ascii="Arial" w:hAnsi="Arial"/>
          <w:sz w:val="14"/>
          <w:szCs w:val="14"/>
          <w:lang w:val="en-AU"/>
        </w:rPr>
        <w:tab/>
      </w:r>
    </w:p>
    <w:p w14:paraId="24BFCDA2" w14:textId="20097B59" w:rsidR="00793B74" w:rsidRPr="00793B74" w:rsidRDefault="00793B74" w:rsidP="00793B74">
      <w:pPr>
        <w:pStyle w:val="BodyText"/>
        <w:spacing w:before="0" w:after="0"/>
        <w:ind w:left="284" w:hanging="284"/>
        <w:rPr>
          <w:rFonts w:ascii="Arial" w:hAnsi="Arial"/>
          <w:sz w:val="14"/>
          <w:szCs w:val="14"/>
          <w:lang w:val="en-AU"/>
        </w:rPr>
      </w:pPr>
      <w:r w:rsidRPr="00793B74">
        <w:rPr>
          <w:rFonts w:ascii="Arial" w:hAnsi="Arial"/>
          <w:sz w:val="14"/>
          <w:szCs w:val="14"/>
          <w:lang w:val="en-AU"/>
        </w:rPr>
        <w:t xml:space="preserve">g. </w:t>
      </w:r>
      <w:r>
        <w:rPr>
          <w:rFonts w:ascii="Arial" w:hAnsi="Arial"/>
          <w:sz w:val="14"/>
          <w:szCs w:val="14"/>
          <w:lang w:val="en-AU"/>
        </w:rPr>
        <w:tab/>
      </w:r>
      <w:r w:rsidRPr="00793B74">
        <w:rPr>
          <w:rFonts w:ascii="Arial" w:hAnsi="Arial"/>
          <w:sz w:val="14"/>
          <w:szCs w:val="14"/>
          <w:lang w:val="en-AU"/>
        </w:rPr>
        <w:t>Includes estimated resourcing required to meet payments for the Defence Superannuation Benefits. Table 50 shows estimates of total expenses for the Defence Superannuation Schemes.</w:t>
      </w:r>
      <w:r w:rsidRPr="00793B74">
        <w:rPr>
          <w:rFonts w:ascii="Arial" w:hAnsi="Arial"/>
          <w:sz w:val="14"/>
          <w:szCs w:val="14"/>
          <w:lang w:val="en-AU"/>
        </w:rPr>
        <w:tab/>
      </w:r>
      <w:r w:rsidRPr="00793B74">
        <w:rPr>
          <w:rFonts w:ascii="Arial" w:hAnsi="Arial"/>
          <w:sz w:val="14"/>
          <w:szCs w:val="14"/>
          <w:lang w:val="en-AU"/>
        </w:rPr>
        <w:tab/>
      </w:r>
      <w:r w:rsidRPr="00793B74">
        <w:rPr>
          <w:rFonts w:ascii="Arial" w:hAnsi="Arial"/>
          <w:sz w:val="14"/>
          <w:szCs w:val="14"/>
          <w:lang w:val="en-AU"/>
        </w:rPr>
        <w:tab/>
      </w:r>
      <w:r w:rsidRPr="00793B74">
        <w:rPr>
          <w:rFonts w:ascii="Arial" w:hAnsi="Arial"/>
          <w:sz w:val="14"/>
          <w:szCs w:val="14"/>
          <w:lang w:val="en-AU"/>
        </w:rPr>
        <w:tab/>
      </w:r>
      <w:r w:rsidRPr="00793B74">
        <w:rPr>
          <w:rFonts w:ascii="Arial" w:hAnsi="Arial"/>
          <w:sz w:val="14"/>
          <w:szCs w:val="14"/>
          <w:lang w:val="en-AU"/>
        </w:rPr>
        <w:tab/>
      </w:r>
      <w:r w:rsidRPr="00793B74">
        <w:rPr>
          <w:rFonts w:ascii="Arial" w:hAnsi="Arial"/>
          <w:sz w:val="14"/>
          <w:szCs w:val="14"/>
          <w:lang w:val="en-AU"/>
        </w:rPr>
        <w:tab/>
      </w:r>
      <w:r w:rsidRPr="00793B74">
        <w:rPr>
          <w:rFonts w:ascii="Arial" w:hAnsi="Arial"/>
          <w:sz w:val="14"/>
          <w:szCs w:val="14"/>
          <w:lang w:val="en-AU"/>
        </w:rPr>
        <w:tab/>
      </w:r>
      <w:r w:rsidRPr="00793B74">
        <w:rPr>
          <w:rFonts w:ascii="Arial" w:hAnsi="Arial"/>
          <w:sz w:val="14"/>
          <w:szCs w:val="14"/>
          <w:lang w:val="en-AU"/>
        </w:rPr>
        <w:tab/>
      </w:r>
      <w:r w:rsidRPr="00793B74">
        <w:rPr>
          <w:rFonts w:ascii="Arial" w:hAnsi="Arial"/>
          <w:sz w:val="14"/>
          <w:szCs w:val="14"/>
          <w:lang w:val="en-AU"/>
        </w:rPr>
        <w:tab/>
      </w:r>
    </w:p>
    <w:p w14:paraId="1E6C5B18" w14:textId="164DE0D2" w:rsidR="009E341A" w:rsidRDefault="00793B74" w:rsidP="00793B74">
      <w:pPr>
        <w:pStyle w:val="BodyText"/>
        <w:spacing w:before="0" w:after="0"/>
        <w:ind w:left="284" w:hanging="284"/>
        <w:rPr>
          <w:rFonts w:ascii="Arial" w:hAnsi="Arial"/>
          <w:sz w:val="14"/>
          <w:szCs w:val="14"/>
          <w:lang w:val="en-AU"/>
        </w:rPr>
      </w:pPr>
      <w:r w:rsidRPr="00793B74">
        <w:rPr>
          <w:rFonts w:ascii="Arial" w:hAnsi="Arial"/>
          <w:sz w:val="14"/>
          <w:szCs w:val="14"/>
          <w:lang w:val="en-AU"/>
        </w:rPr>
        <w:t xml:space="preserve">h. </w:t>
      </w:r>
      <w:r>
        <w:rPr>
          <w:rFonts w:ascii="Arial" w:hAnsi="Arial"/>
          <w:sz w:val="14"/>
          <w:szCs w:val="14"/>
          <w:lang w:val="en-AU"/>
        </w:rPr>
        <w:tab/>
      </w:r>
      <w:r w:rsidRPr="00793B74">
        <w:rPr>
          <w:rFonts w:ascii="Arial" w:hAnsi="Arial"/>
          <w:sz w:val="14"/>
          <w:szCs w:val="14"/>
          <w:lang w:val="en-AU"/>
        </w:rPr>
        <w:t>Own Source Revenue received in cash is returned</w:t>
      </w:r>
      <w:r w:rsidR="00C64DB0">
        <w:rPr>
          <w:rFonts w:ascii="Arial" w:hAnsi="Arial"/>
          <w:sz w:val="14"/>
          <w:szCs w:val="14"/>
          <w:lang w:val="en-AU"/>
        </w:rPr>
        <w:t xml:space="preserve"> to the Official Public Account</w:t>
      </w:r>
      <w:r w:rsidRPr="00793B74">
        <w:rPr>
          <w:rFonts w:ascii="Arial" w:hAnsi="Arial"/>
          <w:sz w:val="14"/>
          <w:szCs w:val="14"/>
          <w:lang w:val="en-AU"/>
        </w:rPr>
        <w:tab/>
      </w:r>
      <w:r w:rsidRPr="00793B74">
        <w:rPr>
          <w:rFonts w:ascii="Arial" w:hAnsi="Arial"/>
          <w:sz w:val="14"/>
          <w:szCs w:val="14"/>
          <w:lang w:val="en-AU"/>
        </w:rPr>
        <w:tab/>
      </w:r>
      <w:r w:rsidRPr="00793B74">
        <w:rPr>
          <w:rFonts w:ascii="Arial" w:hAnsi="Arial"/>
          <w:sz w:val="14"/>
          <w:szCs w:val="14"/>
          <w:lang w:val="en-AU"/>
        </w:rPr>
        <w:tab/>
      </w:r>
      <w:r w:rsidRPr="00793B74">
        <w:rPr>
          <w:rFonts w:ascii="Arial" w:hAnsi="Arial"/>
          <w:sz w:val="14"/>
          <w:szCs w:val="14"/>
          <w:lang w:val="en-AU"/>
        </w:rPr>
        <w:tab/>
      </w:r>
      <w:r w:rsidRPr="00793B74">
        <w:rPr>
          <w:rFonts w:ascii="Arial" w:hAnsi="Arial"/>
          <w:sz w:val="14"/>
          <w:szCs w:val="14"/>
          <w:lang w:val="en-AU"/>
        </w:rPr>
        <w:tab/>
      </w:r>
      <w:r w:rsidRPr="00793B74">
        <w:rPr>
          <w:rFonts w:ascii="Arial" w:hAnsi="Arial"/>
          <w:sz w:val="14"/>
          <w:szCs w:val="14"/>
          <w:lang w:val="en-AU"/>
        </w:rPr>
        <w:tab/>
      </w:r>
      <w:r w:rsidRPr="00793B74">
        <w:rPr>
          <w:rFonts w:ascii="Arial" w:hAnsi="Arial"/>
          <w:sz w:val="14"/>
          <w:szCs w:val="14"/>
          <w:lang w:val="en-AU"/>
        </w:rPr>
        <w:tab/>
      </w:r>
      <w:r w:rsidRPr="00793B74">
        <w:rPr>
          <w:rFonts w:ascii="Arial" w:hAnsi="Arial"/>
          <w:sz w:val="14"/>
          <w:szCs w:val="14"/>
          <w:lang w:val="en-AU"/>
        </w:rPr>
        <w:tab/>
      </w:r>
      <w:r w:rsidR="003D5634" w:rsidRPr="003D5634">
        <w:rPr>
          <w:rFonts w:ascii="Arial" w:hAnsi="Arial"/>
          <w:sz w:val="14"/>
          <w:szCs w:val="14"/>
          <w:lang w:val="en-AU"/>
        </w:rPr>
        <w:tab/>
      </w:r>
      <w:r w:rsidR="003D5634" w:rsidRPr="003D5634">
        <w:rPr>
          <w:rFonts w:ascii="Arial" w:hAnsi="Arial"/>
          <w:sz w:val="14"/>
          <w:szCs w:val="14"/>
          <w:lang w:val="en-AU"/>
        </w:rPr>
        <w:tab/>
      </w:r>
      <w:r w:rsidR="003D5634" w:rsidRPr="003D5634">
        <w:rPr>
          <w:rFonts w:ascii="Arial" w:hAnsi="Arial"/>
          <w:sz w:val="14"/>
          <w:szCs w:val="14"/>
          <w:lang w:val="en-AU"/>
        </w:rPr>
        <w:tab/>
      </w:r>
      <w:r w:rsidR="003D5634" w:rsidRPr="003D5634">
        <w:rPr>
          <w:rFonts w:ascii="Arial" w:hAnsi="Arial"/>
          <w:sz w:val="14"/>
          <w:szCs w:val="14"/>
          <w:lang w:val="en-AU"/>
        </w:rPr>
        <w:tab/>
      </w:r>
      <w:r w:rsidR="003D5634" w:rsidRPr="003D5634">
        <w:rPr>
          <w:rFonts w:ascii="Arial" w:hAnsi="Arial"/>
          <w:sz w:val="14"/>
          <w:szCs w:val="14"/>
          <w:lang w:val="en-AU"/>
        </w:rPr>
        <w:tab/>
      </w:r>
      <w:r w:rsidR="003D5634" w:rsidRPr="003D5634">
        <w:rPr>
          <w:rFonts w:ascii="Arial" w:hAnsi="Arial"/>
          <w:sz w:val="14"/>
          <w:szCs w:val="14"/>
          <w:lang w:val="en-AU"/>
        </w:rPr>
        <w:tab/>
      </w:r>
      <w:r w:rsidR="003D5634" w:rsidRPr="003D5634">
        <w:rPr>
          <w:rFonts w:ascii="Arial" w:hAnsi="Arial"/>
          <w:sz w:val="14"/>
          <w:szCs w:val="14"/>
          <w:lang w:val="en-AU"/>
        </w:rPr>
        <w:tab/>
      </w:r>
      <w:r w:rsidR="00C5782C" w:rsidRPr="00C5782C">
        <w:rPr>
          <w:rFonts w:ascii="Arial" w:hAnsi="Arial"/>
          <w:sz w:val="14"/>
          <w:szCs w:val="14"/>
          <w:lang w:val="en-AU"/>
        </w:rPr>
        <w:tab/>
      </w:r>
      <w:r w:rsidR="00C5782C" w:rsidRPr="00C5782C">
        <w:rPr>
          <w:rFonts w:ascii="Arial" w:hAnsi="Arial"/>
          <w:sz w:val="14"/>
          <w:szCs w:val="14"/>
          <w:lang w:val="en-AU"/>
        </w:rPr>
        <w:tab/>
      </w:r>
      <w:r w:rsidR="00C5782C" w:rsidRPr="00C5782C">
        <w:rPr>
          <w:rFonts w:ascii="Arial" w:hAnsi="Arial"/>
          <w:sz w:val="14"/>
          <w:szCs w:val="14"/>
          <w:lang w:val="en-AU"/>
        </w:rPr>
        <w:tab/>
      </w:r>
      <w:r w:rsidR="00C5782C" w:rsidRPr="00C5782C">
        <w:rPr>
          <w:rFonts w:ascii="Arial" w:hAnsi="Arial"/>
          <w:sz w:val="14"/>
          <w:szCs w:val="14"/>
          <w:lang w:val="en-AU"/>
        </w:rPr>
        <w:tab/>
      </w:r>
      <w:r w:rsidR="00C5782C" w:rsidRPr="00C5782C">
        <w:rPr>
          <w:rFonts w:ascii="Arial" w:hAnsi="Arial"/>
          <w:sz w:val="14"/>
          <w:szCs w:val="14"/>
          <w:lang w:val="en-AU"/>
        </w:rPr>
        <w:tab/>
      </w:r>
      <w:r w:rsidR="00C5782C" w:rsidRPr="00C5782C">
        <w:rPr>
          <w:rFonts w:ascii="Arial" w:hAnsi="Arial"/>
          <w:sz w:val="14"/>
          <w:szCs w:val="14"/>
          <w:lang w:val="en-AU"/>
        </w:rPr>
        <w:tab/>
      </w:r>
      <w:r w:rsidR="00C5782C" w:rsidRPr="00C5782C">
        <w:rPr>
          <w:rFonts w:ascii="Arial" w:hAnsi="Arial"/>
          <w:sz w:val="14"/>
          <w:szCs w:val="14"/>
          <w:lang w:val="en-AU"/>
        </w:rPr>
        <w:tab/>
      </w:r>
      <w:r w:rsidR="006F3648" w:rsidRPr="006F3648">
        <w:rPr>
          <w:rFonts w:ascii="Arial" w:hAnsi="Arial"/>
          <w:sz w:val="14"/>
          <w:szCs w:val="14"/>
          <w:lang w:val="en-AU"/>
        </w:rPr>
        <w:t>.</w:t>
      </w:r>
      <w:r w:rsidR="006F3648" w:rsidRPr="006F3648">
        <w:rPr>
          <w:rFonts w:ascii="Arial" w:hAnsi="Arial"/>
          <w:sz w:val="14"/>
          <w:szCs w:val="14"/>
          <w:lang w:val="en-AU"/>
        </w:rPr>
        <w:tab/>
      </w:r>
      <w:r w:rsidR="006F3648" w:rsidRPr="006F3648">
        <w:rPr>
          <w:rFonts w:ascii="Arial" w:hAnsi="Arial"/>
          <w:sz w:val="14"/>
          <w:szCs w:val="14"/>
          <w:lang w:val="en-AU"/>
        </w:rPr>
        <w:tab/>
      </w:r>
      <w:r w:rsidR="006F3648" w:rsidRPr="006F3648">
        <w:rPr>
          <w:rFonts w:ascii="Arial" w:hAnsi="Arial"/>
          <w:sz w:val="14"/>
          <w:szCs w:val="14"/>
          <w:lang w:val="en-AU"/>
        </w:rPr>
        <w:tab/>
      </w:r>
      <w:r w:rsidR="006F3648" w:rsidRPr="006F3648">
        <w:rPr>
          <w:rFonts w:ascii="Arial" w:hAnsi="Arial"/>
          <w:sz w:val="14"/>
          <w:szCs w:val="14"/>
          <w:lang w:val="en-AU"/>
        </w:rPr>
        <w:tab/>
      </w:r>
      <w:r w:rsidR="006F3648" w:rsidRPr="006F3648">
        <w:rPr>
          <w:rFonts w:ascii="Arial" w:hAnsi="Arial"/>
          <w:sz w:val="14"/>
          <w:szCs w:val="14"/>
          <w:lang w:val="en-AU"/>
        </w:rPr>
        <w:tab/>
      </w:r>
      <w:r w:rsidR="006F3648" w:rsidRPr="006F3648">
        <w:rPr>
          <w:rFonts w:ascii="Arial" w:hAnsi="Arial"/>
          <w:sz w:val="14"/>
          <w:szCs w:val="14"/>
          <w:lang w:val="en-AU"/>
        </w:rPr>
        <w:tab/>
      </w:r>
      <w:r w:rsidR="006F3648" w:rsidRPr="006F3648">
        <w:rPr>
          <w:rFonts w:ascii="Arial" w:hAnsi="Arial"/>
          <w:sz w:val="14"/>
          <w:szCs w:val="14"/>
          <w:lang w:val="en-AU"/>
        </w:rPr>
        <w:tab/>
      </w:r>
      <w:r w:rsidR="006F3648" w:rsidRPr="006F3648">
        <w:rPr>
          <w:rFonts w:ascii="Arial" w:hAnsi="Arial"/>
          <w:sz w:val="14"/>
          <w:szCs w:val="14"/>
          <w:lang w:val="en-AU"/>
        </w:rPr>
        <w:tab/>
      </w:r>
      <w:r w:rsidR="006F3648" w:rsidRPr="006F3648">
        <w:rPr>
          <w:rFonts w:ascii="Arial" w:hAnsi="Arial"/>
          <w:sz w:val="14"/>
          <w:szCs w:val="14"/>
          <w:lang w:val="en-AU"/>
        </w:rPr>
        <w:tab/>
      </w:r>
      <w:r w:rsidR="00D92512" w:rsidRPr="009E341A">
        <w:rPr>
          <w:rFonts w:ascii="Arial" w:hAnsi="Arial"/>
          <w:sz w:val="14"/>
          <w:szCs w:val="14"/>
          <w:lang w:val="en-AU"/>
        </w:rPr>
        <w:tab/>
      </w:r>
      <w:r w:rsidR="00C64DB0">
        <w:rPr>
          <w:rFonts w:ascii="Arial" w:hAnsi="Arial"/>
          <w:sz w:val="14"/>
          <w:szCs w:val="14"/>
          <w:lang w:val="en-AU"/>
        </w:rPr>
        <w:tab/>
      </w:r>
      <w:r w:rsidR="00C64DB0">
        <w:rPr>
          <w:rFonts w:ascii="Arial" w:hAnsi="Arial"/>
          <w:sz w:val="14"/>
          <w:szCs w:val="14"/>
          <w:lang w:val="en-AU"/>
        </w:rPr>
        <w:tab/>
      </w:r>
      <w:r w:rsidR="00C64DB0">
        <w:rPr>
          <w:rFonts w:ascii="Arial" w:hAnsi="Arial"/>
          <w:sz w:val="14"/>
          <w:szCs w:val="14"/>
          <w:lang w:val="en-AU"/>
        </w:rPr>
        <w:tab/>
      </w:r>
    </w:p>
    <w:p w14:paraId="3DEF72B9" w14:textId="77777777" w:rsidR="009E341A" w:rsidRDefault="00086C03" w:rsidP="009E341A">
      <w:pPr>
        <w:pStyle w:val="BodyText"/>
        <w:spacing w:before="0" w:after="0"/>
        <w:rPr>
          <w:rFonts w:ascii="Arial" w:hAnsi="Arial"/>
          <w:sz w:val="14"/>
          <w:szCs w:val="14"/>
          <w:lang w:val="en-AU"/>
        </w:rPr>
      </w:pPr>
      <w:r w:rsidRPr="009E341A">
        <w:rPr>
          <w:rFonts w:ascii="Arial" w:hAnsi="Arial"/>
          <w:sz w:val="14"/>
          <w:szCs w:val="14"/>
          <w:lang w:val="en-AU"/>
        </w:rPr>
        <w:tab/>
      </w:r>
      <w:r w:rsidRPr="009E341A">
        <w:rPr>
          <w:rFonts w:ascii="Arial" w:hAnsi="Arial"/>
          <w:sz w:val="14"/>
          <w:szCs w:val="14"/>
          <w:lang w:val="en-AU"/>
        </w:rPr>
        <w:tab/>
      </w:r>
      <w:r w:rsidRPr="009E341A">
        <w:rPr>
          <w:rFonts w:ascii="Arial" w:hAnsi="Arial"/>
          <w:sz w:val="14"/>
          <w:szCs w:val="14"/>
          <w:lang w:val="en-AU"/>
        </w:rPr>
        <w:tab/>
      </w:r>
      <w:r w:rsidRPr="009E341A">
        <w:rPr>
          <w:rFonts w:ascii="Arial" w:hAnsi="Arial"/>
          <w:sz w:val="14"/>
          <w:szCs w:val="14"/>
          <w:lang w:val="en-AU"/>
        </w:rPr>
        <w:tab/>
      </w:r>
      <w:r w:rsidRPr="009E341A">
        <w:rPr>
          <w:rFonts w:ascii="Arial" w:hAnsi="Arial"/>
          <w:sz w:val="14"/>
          <w:szCs w:val="14"/>
          <w:lang w:val="en-AU"/>
        </w:rPr>
        <w:tab/>
      </w:r>
      <w:r w:rsidRPr="009E341A">
        <w:rPr>
          <w:rFonts w:ascii="Arial" w:hAnsi="Arial"/>
          <w:sz w:val="14"/>
          <w:szCs w:val="14"/>
          <w:lang w:val="en-AU"/>
        </w:rPr>
        <w:tab/>
      </w:r>
      <w:r w:rsidR="00125FFF" w:rsidRPr="009E341A">
        <w:rPr>
          <w:rFonts w:ascii="Arial" w:hAnsi="Arial"/>
          <w:sz w:val="14"/>
          <w:szCs w:val="14"/>
          <w:lang w:val="en-AU"/>
        </w:rPr>
        <w:br w:type="page"/>
      </w:r>
      <w:bookmarkStart w:id="654" w:name="_Toc97747825"/>
      <w:bookmarkStart w:id="655" w:name="_Toc108088936"/>
      <w:bookmarkStart w:id="656" w:name="_Toc108089015"/>
      <w:bookmarkStart w:id="657" w:name="_Toc108089410"/>
      <w:bookmarkStart w:id="658" w:name="_Toc159499679"/>
      <w:bookmarkStart w:id="659" w:name="_Toc159859096"/>
      <w:bookmarkStart w:id="660" w:name="_Toc159859248"/>
      <w:bookmarkEnd w:id="648"/>
      <w:bookmarkEnd w:id="649"/>
      <w:bookmarkEnd w:id="650"/>
      <w:bookmarkEnd w:id="651"/>
      <w:bookmarkEnd w:id="652"/>
      <w:bookmarkEnd w:id="653"/>
    </w:p>
    <w:p w14:paraId="2610F63B" w14:textId="77777777" w:rsidR="00125FFF" w:rsidRPr="009E341A" w:rsidRDefault="00125FFF" w:rsidP="009E341A">
      <w:pPr>
        <w:pStyle w:val="Heading4"/>
        <w:spacing w:before="0" w:after="0"/>
      </w:pPr>
      <w:r w:rsidRPr="009E341A">
        <w:lastRenderedPageBreak/>
        <w:t>1.3 Budget Measures</w:t>
      </w:r>
      <w:bookmarkEnd w:id="654"/>
      <w:bookmarkEnd w:id="655"/>
      <w:bookmarkEnd w:id="656"/>
      <w:bookmarkEnd w:id="657"/>
      <w:bookmarkEnd w:id="658"/>
      <w:bookmarkEnd w:id="659"/>
      <w:bookmarkEnd w:id="660"/>
    </w:p>
    <w:p w14:paraId="73C2F2CC" w14:textId="77777777" w:rsidR="00D76B5A" w:rsidRPr="00B56FAA" w:rsidRDefault="00D76B5A" w:rsidP="00754942">
      <w:pPr>
        <w:spacing w:before="120" w:after="120"/>
      </w:pPr>
      <w:r w:rsidRPr="00B56FAA">
        <w:t xml:space="preserve">Budget </w:t>
      </w:r>
      <w:r w:rsidR="00A07B99" w:rsidRPr="00B56FAA">
        <w:t>M</w:t>
      </w:r>
      <w:r w:rsidRPr="00B56FAA">
        <w:t>easures relating to Defence are detailed in Budget Paper No. 2 and are summarised below.</w:t>
      </w:r>
    </w:p>
    <w:p w14:paraId="18E97340" w14:textId="77777777" w:rsidR="00337D21" w:rsidRPr="00D36E3C" w:rsidRDefault="00CD6D31" w:rsidP="00754942">
      <w:pPr>
        <w:pStyle w:val="Heading4level5"/>
        <w:spacing w:before="120" w:after="120"/>
      </w:pPr>
      <w:r w:rsidRPr="00D36E3C">
        <w:t>202</w:t>
      </w:r>
      <w:r w:rsidR="00425C19" w:rsidRPr="00D36E3C">
        <w:t>5</w:t>
      </w:r>
      <w:r w:rsidRPr="00D36E3C">
        <w:t>-2</w:t>
      </w:r>
      <w:r w:rsidR="00425C19" w:rsidRPr="00D36E3C">
        <w:t>6</w:t>
      </w:r>
      <w:r w:rsidR="00816130" w:rsidRPr="00D36E3C">
        <w:t xml:space="preserve"> Budget Measures and O</w:t>
      </w:r>
      <w:r w:rsidR="00D51782" w:rsidRPr="00D36E3C">
        <w:t>ther Budget A</w:t>
      </w:r>
      <w:r w:rsidR="00271ADD" w:rsidRPr="00D36E3C">
        <w:t>djustments</w:t>
      </w:r>
    </w:p>
    <w:p w14:paraId="4EF70A88" w14:textId="77777777" w:rsidR="00896B65" w:rsidRPr="00D36E3C" w:rsidRDefault="006C4442" w:rsidP="00565AC0">
      <w:pPr>
        <w:pStyle w:val="TableHeading"/>
        <w:spacing w:before="120" w:after="120"/>
        <w:outlineLvl w:val="6"/>
      </w:pPr>
      <w:r w:rsidRPr="00D36E3C">
        <w:t>Tab</w:t>
      </w:r>
      <w:r w:rsidR="00896B65" w:rsidRPr="00D36E3C">
        <w:t>le 2: Defence 202</w:t>
      </w:r>
      <w:r w:rsidR="00425C19" w:rsidRPr="00D36E3C">
        <w:t>5</w:t>
      </w:r>
      <w:r w:rsidR="00896B65" w:rsidRPr="00D36E3C">
        <w:t>-2</w:t>
      </w:r>
      <w:r w:rsidR="00425C19" w:rsidRPr="00D36E3C">
        <w:t>6</w:t>
      </w:r>
      <w:r w:rsidR="00896B65" w:rsidRPr="00D36E3C">
        <w:t xml:space="preserve"> Budget Measures and Other Budget Adjustments </w:t>
      </w:r>
    </w:p>
    <w:p w14:paraId="765BEAA8" w14:textId="40202BD0" w:rsidR="0060447E" w:rsidRPr="00D36E3C" w:rsidRDefault="00CA1082" w:rsidP="00651491">
      <w:pPr>
        <w:pStyle w:val="BodyText"/>
        <w:spacing w:before="0" w:after="0"/>
      </w:pPr>
      <w:r w:rsidRPr="00CA1082">
        <w:rPr>
          <w:noProof/>
          <w:lang w:val="en-AU"/>
        </w:rPr>
        <w:drawing>
          <wp:inline distT="0" distB="0" distL="0" distR="0" wp14:anchorId="22C4E844" wp14:editId="5EB65486">
            <wp:extent cx="5471795" cy="2451202"/>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71795" cy="2451202"/>
                    </a:xfrm>
                    <a:prstGeom prst="rect">
                      <a:avLst/>
                    </a:prstGeom>
                    <a:noFill/>
                    <a:ln>
                      <a:noFill/>
                    </a:ln>
                  </pic:spPr>
                </pic:pic>
              </a:graphicData>
            </a:graphic>
          </wp:inline>
        </w:drawing>
      </w:r>
      <w:r w:rsidR="0060447E" w:rsidRPr="00D36E3C">
        <w:tab/>
      </w:r>
      <w:r w:rsidR="0060447E" w:rsidRPr="00D36E3C">
        <w:tab/>
      </w:r>
      <w:r w:rsidR="0060447E" w:rsidRPr="00D36E3C">
        <w:tab/>
      </w:r>
      <w:r w:rsidR="0060447E" w:rsidRPr="00D36E3C">
        <w:tab/>
      </w:r>
      <w:r w:rsidR="0060447E" w:rsidRPr="00D36E3C">
        <w:tab/>
      </w:r>
    </w:p>
    <w:p w14:paraId="7E89D0D7" w14:textId="77777777" w:rsidR="00344B37" w:rsidRPr="00D36E3C" w:rsidRDefault="00181AD9" w:rsidP="00E96D51">
      <w:pPr>
        <w:tabs>
          <w:tab w:val="left" w:pos="284"/>
        </w:tabs>
        <w:spacing w:before="0" w:after="0"/>
        <w:rPr>
          <w:rFonts w:ascii="Arial" w:hAnsi="Arial"/>
          <w:b/>
          <w:sz w:val="14"/>
          <w:szCs w:val="14"/>
        </w:rPr>
      </w:pPr>
      <w:r w:rsidRPr="00D36E3C">
        <w:rPr>
          <w:rFonts w:ascii="Arial" w:hAnsi="Arial"/>
          <w:b/>
          <w:sz w:val="14"/>
          <w:szCs w:val="14"/>
        </w:rPr>
        <w:t>Notes</w:t>
      </w:r>
    </w:p>
    <w:p w14:paraId="0790318B" w14:textId="5796B3A9" w:rsidR="00C84237" w:rsidRPr="00C84237" w:rsidRDefault="00896B65" w:rsidP="00C84237">
      <w:pPr>
        <w:tabs>
          <w:tab w:val="left" w:pos="284"/>
        </w:tabs>
        <w:spacing w:before="0" w:after="0"/>
        <w:ind w:left="284" w:hanging="284"/>
        <w:rPr>
          <w:rFonts w:ascii="Arial" w:hAnsi="Arial"/>
          <w:sz w:val="14"/>
          <w:szCs w:val="14"/>
        </w:rPr>
      </w:pPr>
      <w:bookmarkStart w:id="661" w:name="_Toc346545730"/>
      <w:bookmarkStart w:id="662" w:name="_Toc346622284"/>
      <w:bookmarkStart w:id="663" w:name="_Toc346692744"/>
      <w:bookmarkStart w:id="664" w:name="_Toc346713087"/>
      <w:r w:rsidRPr="00D36E3C">
        <w:rPr>
          <w:rFonts w:ascii="Arial" w:hAnsi="Arial"/>
          <w:sz w:val="14"/>
          <w:szCs w:val="14"/>
        </w:rPr>
        <w:t xml:space="preserve">a. </w:t>
      </w:r>
      <w:r w:rsidR="00846379" w:rsidRPr="00D36E3C">
        <w:rPr>
          <w:rFonts w:ascii="Arial" w:hAnsi="Arial"/>
          <w:sz w:val="14"/>
          <w:szCs w:val="14"/>
        </w:rPr>
        <w:tab/>
      </w:r>
      <w:r w:rsidR="00C84237" w:rsidRPr="00C84237">
        <w:rPr>
          <w:rFonts w:ascii="Arial" w:hAnsi="Arial"/>
          <w:sz w:val="14"/>
          <w:szCs w:val="14"/>
        </w:rPr>
        <w:t>This measure provides $17.0 million over the period 2024-25 to 2025-26, which is being met from within the existing resourcing of the Department of Defence.</w:t>
      </w:r>
      <w:r w:rsidR="00C84237" w:rsidRPr="00C84237">
        <w:rPr>
          <w:rFonts w:ascii="Arial" w:hAnsi="Arial"/>
          <w:sz w:val="14"/>
          <w:szCs w:val="14"/>
        </w:rPr>
        <w:tab/>
      </w:r>
      <w:r w:rsidR="00C84237" w:rsidRPr="00C84237">
        <w:rPr>
          <w:rFonts w:ascii="Arial" w:hAnsi="Arial"/>
          <w:sz w:val="14"/>
          <w:szCs w:val="14"/>
        </w:rPr>
        <w:tab/>
      </w:r>
      <w:r w:rsidR="00C84237" w:rsidRPr="00C84237">
        <w:rPr>
          <w:rFonts w:ascii="Arial" w:hAnsi="Arial"/>
          <w:sz w:val="14"/>
          <w:szCs w:val="14"/>
        </w:rPr>
        <w:tab/>
      </w:r>
      <w:r w:rsidR="00C84237" w:rsidRPr="00C84237">
        <w:rPr>
          <w:rFonts w:ascii="Arial" w:hAnsi="Arial"/>
          <w:sz w:val="14"/>
          <w:szCs w:val="14"/>
        </w:rPr>
        <w:tab/>
      </w:r>
      <w:r w:rsidR="00C84237" w:rsidRPr="00C84237">
        <w:rPr>
          <w:rFonts w:ascii="Arial" w:hAnsi="Arial"/>
          <w:sz w:val="14"/>
          <w:szCs w:val="14"/>
        </w:rPr>
        <w:tab/>
      </w:r>
      <w:r w:rsidR="00C84237" w:rsidRPr="00C84237">
        <w:rPr>
          <w:rFonts w:ascii="Arial" w:hAnsi="Arial"/>
          <w:sz w:val="14"/>
          <w:szCs w:val="14"/>
        </w:rPr>
        <w:tab/>
      </w:r>
      <w:r w:rsidR="00C84237" w:rsidRPr="00C84237">
        <w:rPr>
          <w:rFonts w:ascii="Arial" w:hAnsi="Arial"/>
          <w:sz w:val="14"/>
          <w:szCs w:val="14"/>
        </w:rPr>
        <w:tab/>
      </w:r>
    </w:p>
    <w:p w14:paraId="41C94816" w14:textId="13A4B0DE" w:rsidR="00C84237" w:rsidRPr="00C84237" w:rsidRDefault="00C84237" w:rsidP="00C84237">
      <w:pPr>
        <w:tabs>
          <w:tab w:val="left" w:pos="284"/>
        </w:tabs>
        <w:spacing w:before="0" w:after="0"/>
        <w:ind w:left="284" w:hanging="284"/>
        <w:rPr>
          <w:rFonts w:ascii="Arial" w:hAnsi="Arial"/>
          <w:sz w:val="14"/>
          <w:szCs w:val="14"/>
        </w:rPr>
      </w:pPr>
      <w:r w:rsidRPr="00C84237">
        <w:rPr>
          <w:rFonts w:ascii="Arial" w:hAnsi="Arial"/>
          <w:sz w:val="14"/>
          <w:szCs w:val="14"/>
        </w:rPr>
        <w:t xml:space="preserve">b. </w:t>
      </w:r>
      <w:r>
        <w:rPr>
          <w:rFonts w:ascii="Arial" w:hAnsi="Arial"/>
          <w:sz w:val="14"/>
          <w:szCs w:val="14"/>
        </w:rPr>
        <w:tab/>
      </w:r>
      <w:r w:rsidRPr="00C84237">
        <w:rPr>
          <w:rFonts w:ascii="Arial" w:hAnsi="Arial"/>
          <w:sz w:val="14"/>
          <w:szCs w:val="14"/>
        </w:rPr>
        <w:t>This measure provides $24.2 million over the period 2024-25 to 2025-26, which is being met from within the existing resourcing of the Department of Defence.</w:t>
      </w:r>
      <w:r w:rsidRPr="00C84237">
        <w:rPr>
          <w:rFonts w:ascii="Arial" w:hAnsi="Arial"/>
          <w:sz w:val="14"/>
          <w:szCs w:val="14"/>
        </w:rPr>
        <w:tab/>
      </w:r>
      <w:r w:rsidRPr="00C84237">
        <w:rPr>
          <w:rFonts w:ascii="Arial" w:hAnsi="Arial"/>
          <w:sz w:val="14"/>
          <w:szCs w:val="14"/>
        </w:rPr>
        <w:tab/>
      </w:r>
      <w:r w:rsidRPr="00C84237">
        <w:rPr>
          <w:rFonts w:ascii="Arial" w:hAnsi="Arial"/>
          <w:sz w:val="14"/>
          <w:szCs w:val="14"/>
        </w:rPr>
        <w:tab/>
      </w:r>
      <w:r w:rsidRPr="00C84237">
        <w:rPr>
          <w:rFonts w:ascii="Arial" w:hAnsi="Arial"/>
          <w:sz w:val="14"/>
          <w:szCs w:val="14"/>
        </w:rPr>
        <w:tab/>
      </w:r>
      <w:r w:rsidRPr="00C84237">
        <w:rPr>
          <w:rFonts w:ascii="Arial" w:hAnsi="Arial"/>
          <w:sz w:val="14"/>
          <w:szCs w:val="14"/>
        </w:rPr>
        <w:tab/>
      </w:r>
      <w:r w:rsidRPr="00C84237">
        <w:rPr>
          <w:rFonts w:ascii="Arial" w:hAnsi="Arial"/>
          <w:sz w:val="14"/>
          <w:szCs w:val="14"/>
        </w:rPr>
        <w:tab/>
      </w:r>
      <w:r w:rsidRPr="00C84237">
        <w:rPr>
          <w:rFonts w:ascii="Arial" w:hAnsi="Arial"/>
          <w:sz w:val="14"/>
          <w:szCs w:val="14"/>
        </w:rPr>
        <w:tab/>
      </w:r>
    </w:p>
    <w:p w14:paraId="61DF3C5F" w14:textId="4A610DD5" w:rsidR="00C84237" w:rsidRPr="00C84237" w:rsidRDefault="00C84237" w:rsidP="00C84237">
      <w:pPr>
        <w:tabs>
          <w:tab w:val="left" w:pos="284"/>
        </w:tabs>
        <w:spacing w:before="0" w:after="0"/>
        <w:ind w:left="284" w:hanging="284"/>
        <w:rPr>
          <w:rFonts w:ascii="Arial" w:hAnsi="Arial"/>
          <w:sz w:val="14"/>
          <w:szCs w:val="14"/>
        </w:rPr>
      </w:pPr>
      <w:r w:rsidRPr="00C84237">
        <w:rPr>
          <w:rFonts w:ascii="Arial" w:hAnsi="Arial"/>
          <w:sz w:val="14"/>
          <w:szCs w:val="14"/>
        </w:rPr>
        <w:t xml:space="preserve">c. </w:t>
      </w:r>
      <w:r>
        <w:rPr>
          <w:rFonts w:ascii="Arial" w:hAnsi="Arial"/>
          <w:sz w:val="14"/>
          <w:szCs w:val="14"/>
        </w:rPr>
        <w:tab/>
      </w:r>
      <w:r w:rsidRPr="00C84237">
        <w:rPr>
          <w:rFonts w:ascii="Arial" w:hAnsi="Arial"/>
          <w:sz w:val="14"/>
          <w:szCs w:val="14"/>
        </w:rPr>
        <w:t xml:space="preserve">This adjustment includes funding made available from prior year appropriations. </w:t>
      </w:r>
      <w:r w:rsidRPr="00C84237">
        <w:rPr>
          <w:rFonts w:ascii="Arial" w:hAnsi="Arial"/>
          <w:sz w:val="14"/>
          <w:szCs w:val="14"/>
        </w:rPr>
        <w:tab/>
      </w:r>
      <w:r w:rsidRPr="00C84237">
        <w:rPr>
          <w:rFonts w:ascii="Arial" w:hAnsi="Arial"/>
          <w:sz w:val="14"/>
          <w:szCs w:val="14"/>
        </w:rPr>
        <w:tab/>
      </w:r>
      <w:r w:rsidRPr="00C84237">
        <w:rPr>
          <w:rFonts w:ascii="Arial" w:hAnsi="Arial"/>
          <w:sz w:val="14"/>
          <w:szCs w:val="14"/>
        </w:rPr>
        <w:tab/>
      </w:r>
      <w:r w:rsidRPr="00C84237">
        <w:rPr>
          <w:rFonts w:ascii="Arial" w:hAnsi="Arial"/>
          <w:sz w:val="14"/>
          <w:szCs w:val="14"/>
        </w:rPr>
        <w:tab/>
      </w:r>
      <w:r w:rsidRPr="00C84237">
        <w:rPr>
          <w:rFonts w:ascii="Arial" w:hAnsi="Arial"/>
          <w:sz w:val="14"/>
          <w:szCs w:val="14"/>
        </w:rPr>
        <w:tab/>
      </w:r>
      <w:r w:rsidRPr="00C84237">
        <w:rPr>
          <w:rFonts w:ascii="Arial" w:hAnsi="Arial"/>
          <w:sz w:val="14"/>
          <w:szCs w:val="14"/>
        </w:rPr>
        <w:tab/>
      </w:r>
      <w:r w:rsidRPr="00C84237">
        <w:rPr>
          <w:rFonts w:ascii="Arial" w:hAnsi="Arial"/>
          <w:sz w:val="14"/>
          <w:szCs w:val="14"/>
        </w:rPr>
        <w:tab/>
      </w:r>
    </w:p>
    <w:p w14:paraId="1A6D0691" w14:textId="19CDFDE1" w:rsidR="00896B65" w:rsidRPr="00896B65" w:rsidRDefault="00C84237" w:rsidP="00C84237">
      <w:pPr>
        <w:tabs>
          <w:tab w:val="left" w:pos="284"/>
        </w:tabs>
        <w:spacing w:before="0" w:after="0"/>
        <w:ind w:left="284" w:hanging="284"/>
        <w:rPr>
          <w:rFonts w:ascii="Arial" w:hAnsi="Arial"/>
          <w:sz w:val="14"/>
          <w:szCs w:val="14"/>
        </w:rPr>
      </w:pPr>
      <w:r w:rsidRPr="00C84237">
        <w:rPr>
          <w:rFonts w:ascii="Arial" w:hAnsi="Arial"/>
          <w:sz w:val="14"/>
          <w:szCs w:val="14"/>
        </w:rPr>
        <w:t xml:space="preserve">d. </w:t>
      </w:r>
      <w:r>
        <w:rPr>
          <w:rFonts w:ascii="Arial" w:hAnsi="Arial"/>
          <w:sz w:val="14"/>
          <w:szCs w:val="14"/>
        </w:rPr>
        <w:tab/>
      </w:r>
      <w:r w:rsidR="00086C0F">
        <w:rPr>
          <w:rFonts w:ascii="Arial" w:hAnsi="Arial"/>
          <w:sz w:val="14"/>
          <w:szCs w:val="14"/>
        </w:rPr>
        <w:t xml:space="preserve">This </w:t>
      </w:r>
      <w:r w:rsidRPr="00C84237">
        <w:rPr>
          <w:rFonts w:ascii="Arial" w:hAnsi="Arial"/>
          <w:sz w:val="14"/>
          <w:szCs w:val="14"/>
        </w:rPr>
        <w:t xml:space="preserve">adjustment includes </w:t>
      </w:r>
      <w:r w:rsidR="00086C0F">
        <w:rPr>
          <w:rFonts w:ascii="Arial" w:hAnsi="Arial"/>
          <w:sz w:val="14"/>
          <w:szCs w:val="14"/>
        </w:rPr>
        <w:t xml:space="preserve">funding made available from </w:t>
      </w:r>
      <w:r w:rsidRPr="00C84237">
        <w:rPr>
          <w:rFonts w:ascii="Arial" w:hAnsi="Arial"/>
          <w:sz w:val="14"/>
          <w:szCs w:val="14"/>
        </w:rPr>
        <w:t>prior year appropriation</w:t>
      </w:r>
      <w:r w:rsidR="00086C0F">
        <w:rPr>
          <w:rFonts w:ascii="Arial" w:hAnsi="Arial"/>
          <w:sz w:val="14"/>
          <w:szCs w:val="14"/>
        </w:rPr>
        <w:t>s</w:t>
      </w:r>
      <w:r w:rsidRPr="00C84237">
        <w:rPr>
          <w:rFonts w:ascii="Arial" w:hAnsi="Arial"/>
          <w:sz w:val="14"/>
          <w:szCs w:val="14"/>
        </w:rPr>
        <w:t xml:space="preserve"> </w:t>
      </w:r>
      <w:r w:rsidR="007657CC">
        <w:rPr>
          <w:rFonts w:ascii="Arial" w:hAnsi="Arial"/>
          <w:sz w:val="14"/>
          <w:szCs w:val="14"/>
        </w:rPr>
        <w:t xml:space="preserve">for working capital </w:t>
      </w:r>
      <w:r w:rsidRPr="00C84237">
        <w:rPr>
          <w:rFonts w:ascii="Arial" w:hAnsi="Arial"/>
          <w:sz w:val="14"/>
          <w:szCs w:val="14"/>
        </w:rPr>
        <w:t xml:space="preserve">(refer Table 1 Serial 4), and a </w:t>
      </w:r>
      <w:r w:rsidR="00960117">
        <w:rPr>
          <w:rFonts w:ascii="Arial" w:hAnsi="Arial"/>
          <w:sz w:val="14"/>
          <w:szCs w:val="14"/>
        </w:rPr>
        <w:br/>
      </w:r>
      <w:r w:rsidRPr="00C84237">
        <w:rPr>
          <w:rFonts w:ascii="Arial" w:hAnsi="Arial"/>
          <w:sz w:val="14"/>
          <w:szCs w:val="14"/>
        </w:rPr>
        <w:t>re-profiling of Departmental fundi</w:t>
      </w:r>
      <w:r>
        <w:rPr>
          <w:rFonts w:ascii="Arial" w:hAnsi="Arial"/>
          <w:sz w:val="14"/>
          <w:szCs w:val="14"/>
        </w:rPr>
        <w:t>ng</w:t>
      </w:r>
      <w:r w:rsidR="000A5549">
        <w:rPr>
          <w:rFonts w:ascii="Arial" w:hAnsi="Arial"/>
          <w:sz w:val="14"/>
          <w:szCs w:val="14"/>
        </w:rPr>
        <w:t xml:space="preserve"> to continue accelerating capability acquisition in line with the Integrated Investment Program</w:t>
      </w:r>
      <w:r w:rsidRPr="00C84237">
        <w:rPr>
          <w:rFonts w:ascii="Arial" w:hAnsi="Arial"/>
          <w:sz w:val="14"/>
          <w:szCs w:val="14"/>
        </w:rPr>
        <w:tab/>
      </w:r>
      <w:r w:rsidRPr="00C84237">
        <w:rPr>
          <w:rFonts w:ascii="Arial" w:hAnsi="Arial"/>
          <w:sz w:val="14"/>
          <w:szCs w:val="14"/>
        </w:rPr>
        <w:tab/>
      </w:r>
      <w:r w:rsidRPr="00C84237">
        <w:rPr>
          <w:rFonts w:ascii="Arial" w:hAnsi="Arial"/>
          <w:sz w:val="14"/>
          <w:szCs w:val="14"/>
        </w:rPr>
        <w:tab/>
      </w:r>
      <w:r w:rsidRPr="00C84237">
        <w:rPr>
          <w:rFonts w:ascii="Arial" w:hAnsi="Arial"/>
          <w:sz w:val="14"/>
          <w:szCs w:val="14"/>
        </w:rPr>
        <w:tab/>
      </w:r>
      <w:r w:rsidRPr="00C84237">
        <w:rPr>
          <w:rFonts w:ascii="Arial" w:hAnsi="Arial"/>
          <w:sz w:val="14"/>
          <w:szCs w:val="14"/>
        </w:rPr>
        <w:tab/>
      </w:r>
      <w:r w:rsidR="00230C89" w:rsidRPr="00230C89">
        <w:rPr>
          <w:rFonts w:ascii="Arial" w:hAnsi="Arial"/>
          <w:sz w:val="14"/>
          <w:szCs w:val="14"/>
        </w:rPr>
        <w:tab/>
      </w:r>
      <w:r w:rsidR="00230C89" w:rsidRPr="00230C89">
        <w:rPr>
          <w:rFonts w:ascii="Arial" w:hAnsi="Arial"/>
          <w:sz w:val="14"/>
          <w:szCs w:val="14"/>
        </w:rPr>
        <w:tab/>
      </w:r>
      <w:r w:rsidR="00230C89" w:rsidRPr="00230C89">
        <w:rPr>
          <w:rFonts w:ascii="Arial" w:hAnsi="Arial"/>
          <w:sz w:val="14"/>
          <w:szCs w:val="14"/>
        </w:rPr>
        <w:tab/>
      </w:r>
      <w:r w:rsidR="00230C89" w:rsidRPr="00230C89">
        <w:rPr>
          <w:rFonts w:ascii="Arial" w:hAnsi="Arial"/>
          <w:sz w:val="14"/>
          <w:szCs w:val="14"/>
        </w:rPr>
        <w:tab/>
      </w:r>
      <w:r w:rsidR="00230C89" w:rsidRPr="00230C89">
        <w:rPr>
          <w:rFonts w:ascii="Arial" w:hAnsi="Arial"/>
          <w:sz w:val="14"/>
          <w:szCs w:val="14"/>
        </w:rPr>
        <w:tab/>
      </w:r>
      <w:r w:rsidR="00230C89" w:rsidRPr="00230C89">
        <w:rPr>
          <w:rFonts w:ascii="Arial" w:hAnsi="Arial"/>
          <w:sz w:val="14"/>
          <w:szCs w:val="14"/>
        </w:rPr>
        <w:tab/>
      </w:r>
      <w:r w:rsidR="00230C89" w:rsidRPr="00230C89">
        <w:rPr>
          <w:rFonts w:ascii="Arial" w:hAnsi="Arial"/>
          <w:sz w:val="14"/>
          <w:szCs w:val="14"/>
        </w:rPr>
        <w:tab/>
      </w:r>
      <w:r w:rsidR="00D36E3C">
        <w:rPr>
          <w:rFonts w:ascii="Arial" w:hAnsi="Arial"/>
          <w:sz w:val="14"/>
          <w:szCs w:val="14"/>
        </w:rPr>
        <w:t>.</w:t>
      </w:r>
    </w:p>
    <w:p w14:paraId="7668FCC1" w14:textId="5A5424E4" w:rsidR="00896B65" w:rsidRDefault="00896B65" w:rsidP="00846379">
      <w:pPr>
        <w:tabs>
          <w:tab w:val="left" w:pos="284"/>
        </w:tabs>
        <w:spacing w:before="0" w:after="0"/>
        <w:ind w:left="284" w:hanging="284"/>
        <w:rPr>
          <w:rFonts w:ascii="Arial" w:hAnsi="Arial"/>
          <w:sz w:val="14"/>
          <w:szCs w:val="14"/>
        </w:rPr>
      </w:pPr>
    </w:p>
    <w:p w14:paraId="34B561EA" w14:textId="77777777" w:rsidR="00BC06CD" w:rsidRPr="009E341A" w:rsidRDefault="003438C2" w:rsidP="009E341A">
      <w:pPr>
        <w:pStyle w:val="Heading4level5"/>
        <w:spacing w:before="0" w:after="200"/>
      </w:pPr>
      <w:r w:rsidRPr="003438C2">
        <w:rPr>
          <w:sz w:val="14"/>
          <w:szCs w:val="14"/>
        </w:rPr>
        <w:t xml:space="preserve"> </w:t>
      </w:r>
      <w:r w:rsidR="00F54DA9" w:rsidRPr="00B56FAA">
        <w:rPr>
          <w:lang w:val="en-AU"/>
        </w:rPr>
        <w:br w:type="page"/>
      </w:r>
      <w:bookmarkEnd w:id="661"/>
      <w:bookmarkEnd w:id="662"/>
      <w:bookmarkEnd w:id="663"/>
      <w:bookmarkEnd w:id="664"/>
      <w:r w:rsidR="00BC06CD" w:rsidRPr="009E341A">
        <w:lastRenderedPageBreak/>
        <w:t>Operations Summary</w:t>
      </w:r>
    </w:p>
    <w:p w14:paraId="2D7A13C4" w14:textId="77777777" w:rsidR="00683FB3" w:rsidRPr="00683FB3" w:rsidRDefault="00683FB3" w:rsidP="00683FB3">
      <w:pPr>
        <w:tabs>
          <w:tab w:val="left" w:pos="0"/>
        </w:tabs>
        <w:spacing w:before="0" w:after="0"/>
        <w:rPr>
          <w:rFonts w:ascii="Arial" w:hAnsi="Arial" w:cs="Times New Roman"/>
          <w:b/>
          <w:bCs/>
          <w:sz w:val="22"/>
          <w:szCs w:val="28"/>
        </w:rPr>
      </w:pPr>
    </w:p>
    <w:p w14:paraId="3F55242A" w14:textId="77777777" w:rsidR="00656D60" w:rsidRPr="009E341A" w:rsidRDefault="006C4442" w:rsidP="009E341A">
      <w:pPr>
        <w:pStyle w:val="TableHeading"/>
        <w:spacing w:before="100" w:after="120"/>
        <w:outlineLvl w:val="6"/>
      </w:pPr>
      <w:r w:rsidRPr="009E341A">
        <w:t xml:space="preserve">Table 3: </w:t>
      </w:r>
      <w:r w:rsidR="00BC06CD" w:rsidRPr="009E341A">
        <w:t xml:space="preserve">Net Additional Cost of </w:t>
      </w:r>
      <w:r w:rsidR="009A4C67" w:rsidRPr="009E341A">
        <w:t xml:space="preserve">Current </w:t>
      </w:r>
      <w:r w:rsidR="004F3843" w:rsidRPr="009E341A">
        <w:t xml:space="preserve">Major </w:t>
      </w:r>
      <w:r w:rsidR="00BC06CD" w:rsidRPr="009E341A">
        <w:t>Operations to 202</w:t>
      </w:r>
      <w:r w:rsidR="00425C19">
        <w:t>8</w:t>
      </w:r>
      <w:r w:rsidR="00BC06CD" w:rsidRPr="009E341A">
        <w:t>-2</w:t>
      </w:r>
      <w:r w:rsidR="00425C19">
        <w:t>9</w:t>
      </w:r>
      <w:r w:rsidR="00C83461" w:rsidRPr="009E341A">
        <w:t xml:space="preserve"> </w:t>
      </w:r>
      <w:r w:rsidR="00B85C56" w:rsidRPr="004E310D">
        <w:rPr>
          <w:vertAlign w:val="superscript"/>
        </w:rPr>
        <w:t>[a] [b]</w:t>
      </w:r>
      <w:r w:rsidR="00314011">
        <w:rPr>
          <w:vertAlign w:val="superscript"/>
        </w:rPr>
        <w:t xml:space="preserve"> [c]</w:t>
      </w:r>
      <w:r w:rsidR="00C83461" w:rsidRPr="009E341A">
        <w:t xml:space="preserve"> </w:t>
      </w:r>
      <w:r w:rsidR="003B4294" w:rsidRPr="009E341A">
        <w:t xml:space="preserve"> </w:t>
      </w:r>
    </w:p>
    <w:p w14:paraId="4059308E" w14:textId="32E11C1F" w:rsidR="006A5D51" w:rsidRDefault="00FB1F61" w:rsidP="00656D60">
      <w:pPr>
        <w:spacing w:before="0" w:after="0"/>
      </w:pPr>
      <w:r w:rsidRPr="00FB1F61">
        <w:rPr>
          <w:noProof/>
          <w:lang w:val="en-AU"/>
        </w:rPr>
        <w:drawing>
          <wp:inline distT="0" distB="0" distL="0" distR="0" wp14:anchorId="1914C63D" wp14:editId="6ACB5292">
            <wp:extent cx="5369356" cy="1795959"/>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6391" cy="1798312"/>
                    </a:xfrm>
                    <a:prstGeom prst="rect">
                      <a:avLst/>
                    </a:prstGeom>
                    <a:noFill/>
                    <a:ln>
                      <a:noFill/>
                    </a:ln>
                  </pic:spPr>
                </pic:pic>
              </a:graphicData>
            </a:graphic>
          </wp:inline>
        </w:drawing>
      </w:r>
    </w:p>
    <w:p w14:paraId="38A8947F" w14:textId="77777777" w:rsidR="00A643CE" w:rsidRDefault="00A643CE" w:rsidP="00656D60">
      <w:pPr>
        <w:spacing w:before="0" w:after="0"/>
      </w:pPr>
    </w:p>
    <w:p w14:paraId="3655AEF8" w14:textId="77777777" w:rsidR="00A643CE" w:rsidRDefault="00A643CE" w:rsidP="00656D60">
      <w:pPr>
        <w:spacing w:before="0" w:after="0"/>
        <w:rPr>
          <w:rFonts w:ascii="Arial" w:hAnsi="Arial"/>
          <w:b/>
          <w:sz w:val="14"/>
          <w:szCs w:val="14"/>
        </w:rPr>
      </w:pPr>
      <w:r w:rsidRPr="00C83461">
        <w:rPr>
          <w:rFonts w:ascii="Arial" w:hAnsi="Arial"/>
          <w:b/>
          <w:sz w:val="14"/>
          <w:szCs w:val="14"/>
        </w:rPr>
        <w:t>Notes</w:t>
      </w:r>
    </w:p>
    <w:p w14:paraId="36B6C636" w14:textId="4CF4320E" w:rsidR="006F3648" w:rsidRPr="006F3648" w:rsidRDefault="006C4E7B" w:rsidP="006F3648">
      <w:pPr>
        <w:spacing w:before="0" w:after="0"/>
        <w:ind w:left="284" w:hanging="284"/>
        <w:rPr>
          <w:rFonts w:ascii="Arial" w:hAnsi="Arial"/>
          <w:sz w:val="14"/>
          <w:szCs w:val="14"/>
        </w:rPr>
      </w:pPr>
      <w:r w:rsidRPr="006C4E7B">
        <w:rPr>
          <w:rFonts w:ascii="Arial" w:hAnsi="Arial"/>
          <w:sz w:val="14"/>
          <w:szCs w:val="14"/>
        </w:rPr>
        <w:t>a.</w:t>
      </w:r>
      <w:r w:rsidR="006F3648" w:rsidRPr="006F3648">
        <w:t xml:space="preserve"> </w:t>
      </w:r>
      <w:r w:rsidR="006F3648">
        <w:rPr>
          <w:rFonts w:ascii="Arial" w:hAnsi="Arial"/>
          <w:sz w:val="14"/>
          <w:szCs w:val="14"/>
        </w:rPr>
        <w:tab/>
      </w:r>
      <w:r w:rsidR="006F3648" w:rsidRPr="006F3648">
        <w:rPr>
          <w:rFonts w:ascii="Arial" w:hAnsi="Arial"/>
          <w:sz w:val="14"/>
          <w:szCs w:val="14"/>
        </w:rPr>
        <w:t>This table reflects ongoing and new Major O</w:t>
      </w:r>
      <w:r w:rsidR="00D86690">
        <w:rPr>
          <w:rFonts w:ascii="Arial" w:hAnsi="Arial"/>
          <w:sz w:val="14"/>
          <w:szCs w:val="14"/>
        </w:rPr>
        <w:t>perations funded under No Win/</w:t>
      </w:r>
      <w:r w:rsidR="006F3648" w:rsidRPr="006F3648">
        <w:rPr>
          <w:rFonts w:ascii="Arial" w:hAnsi="Arial"/>
          <w:sz w:val="14"/>
          <w:szCs w:val="14"/>
        </w:rPr>
        <w:t>No Loss arrangements.</w:t>
      </w:r>
      <w:r w:rsidR="006F3648" w:rsidRPr="006F3648">
        <w:rPr>
          <w:rFonts w:ascii="Arial" w:hAnsi="Arial"/>
          <w:sz w:val="14"/>
          <w:szCs w:val="14"/>
        </w:rPr>
        <w:tab/>
      </w:r>
      <w:r w:rsidR="006F3648" w:rsidRPr="006F3648">
        <w:rPr>
          <w:rFonts w:ascii="Arial" w:hAnsi="Arial"/>
          <w:sz w:val="14"/>
          <w:szCs w:val="14"/>
        </w:rPr>
        <w:tab/>
      </w:r>
      <w:r w:rsidR="006F3648" w:rsidRPr="006F3648">
        <w:rPr>
          <w:rFonts w:ascii="Arial" w:hAnsi="Arial"/>
          <w:sz w:val="14"/>
          <w:szCs w:val="14"/>
        </w:rPr>
        <w:tab/>
      </w:r>
    </w:p>
    <w:p w14:paraId="1CDEDEEF" w14:textId="2B229CA3" w:rsidR="006F3648" w:rsidRPr="006F3648" w:rsidRDefault="006F3648" w:rsidP="006F3648">
      <w:pPr>
        <w:spacing w:before="0" w:after="0"/>
        <w:ind w:left="284" w:hanging="284"/>
        <w:rPr>
          <w:rFonts w:ascii="Arial" w:hAnsi="Arial"/>
          <w:sz w:val="14"/>
          <w:szCs w:val="14"/>
        </w:rPr>
      </w:pPr>
      <w:r w:rsidRPr="006F3648">
        <w:rPr>
          <w:rFonts w:ascii="Arial" w:hAnsi="Arial"/>
          <w:sz w:val="14"/>
          <w:szCs w:val="14"/>
        </w:rPr>
        <w:t xml:space="preserve">b. </w:t>
      </w:r>
      <w:r>
        <w:rPr>
          <w:rFonts w:ascii="Arial" w:hAnsi="Arial"/>
          <w:sz w:val="14"/>
          <w:szCs w:val="14"/>
        </w:rPr>
        <w:tab/>
      </w:r>
      <w:r w:rsidRPr="006F3648">
        <w:rPr>
          <w:rFonts w:ascii="Arial" w:hAnsi="Arial"/>
          <w:sz w:val="14"/>
          <w:szCs w:val="14"/>
        </w:rPr>
        <w:t>The Net Additional Cost of Major Operations include the budget adjustments shown under Table 2.</w:t>
      </w:r>
      <w:r w:rsidRPr="006F3648">
        <w:rPr>
          <w:rFonts w:ascii="Arial" w:hAnsi="Arial"/>
          <w:sz w:val="14"/>
          <w:szCs w:val="14"/>
        </w:rPr>
        <w:tab/>
      </w:r>
      <w:r w:rsidRPr="006F3648">
        <w:rPr>
          <w:rFonts w:ascii="Arial" w:hAnsi="Arial"/>
          <w:sz w:val="14"/>
          <w:szCs w:val="14"/>
        </w:rPr>
        <w:tab/>
      </w:r>
      <w:r w:rsidRPr="006F3648">
        <w:rPr>
          <w:rFonts w:ascii="Arial" w:hAnsi="Arial"/>
          <w:sz w:val="14"/>
          <w:szCs w:val="14"/>
        </w:rPr>
        <w:tab/>
      </w:r>
    </w:p>
    <w:p w14:paraId="102629FA" w14:textId="42C0087F" w:rsidR="00E86986" w:rsidRPr="006C4E7B" w:rsidRDefault="006F3648" w:rsidP="006F3648">
      <w:pPr>
        <w:spacing w:before="0" w:after="0"/>
        <w:ind w:left="284" w:hanging="284"/>
        <w:rPr>
          <w:rFonts w:ascii="Arial" w:hAnsi="Arial"/>
          <w:sz w:val="14"/>
          <w:szCs w:val="14"/>
        </w:rPr>
      </w:pPr>
      <w:r w:rsidRPr="006F3648">
        <w:rPr>
          <w:rFonts w:ascii="Arial" w:hAnsi="Arial"/>
          <w:sz w:val="14"/>
          <w:szCs w:val="14"/>
        </w:rPr>
        <w:t xml:space="preserve">c. </w:t>
      </w:r>
      <w:r>
        <w:rPr>
          <w:rFonts w:ascii="Arial" w:hAnsi="Arial"/>
          <w:sz w:val="14"/>
          <w:szCs w:val="14"/>
        </w:rPr>
        <w:tab/>
      </w:r>
      <w:r w:rsidRPr="006F3648">
        <w:rPr>
          <w:rFonts w:ascii="Arial" w:hAnsi="Arial"/>
          <w:sz w:val="14"/>
          <w:szCs w:val="14"/>
        </w:rPr>
        <w:t>Certain Operations are not for publication (nfp) due to national security reasons.</w:t>
      </w:r>
      <w:r w:rsidRPr="006F3648">
        <w:rPr>
          <w:rFonts w:ascii="Arial" w:hAnsi="Arial"/>
          <w:sz w:val="14"/>
          <w:szCs w:val="14"/>
        </w:rPr>
        <w:tab/>
      </w:r>
      <w:r w:rsidRPr="006F3648">
        <w:rPr>
          <w:rFonts w:ascii="Arial" w:hAnsi="Arial"/>
          <w:sz w:val="14"/>
          <w:szCs w:val="14"/>
        </w:rPr>
        <w:tab/>
      </w:r>
      <w:r w:rsidRPr="006F3648">
        <w:rPr>
          <w:rFonts w:ascii="Arial" w:hAnsi="Arial"/>
          <w:sz w:val="14"/>
          <w:szCs w:val="14"/>
        </w:rPr>
        <w:tab/>
      </w:r>
      <w:r w:rsidR="006C4E7B" w:rsidRPr="006C4E7B">
        <w:rPr>
          <w:rFonts w:ascii="Arial" w:hAnsi="Arial"/>
          <w:sz w:val="14"/>
          <w:szCs w:val="14"/>
        </w:rPr>
        <w:t xml:space="preserve"> </w:t>
      </w:r>
      <w:r w:rsidR="006C4E7B">
        <w:rPr>
          <w:rFonts w:ascii="Arial" w:hAnsi="Arial"/>
          <w:sz w:val="14"/>
          <w:szCs w:val="14"/>
        </w:rPr>
        <w:tab/>
      </w:r>
    </w:p>
    <w:p w14:paraId="2325130B" w14:textId="77777777" w:rsidR="00BC06CD" w:rsidRPr="00B56FAA" w:rsidRDefault="0016176D" w:rsidP="006C4E7B">
      <w:pPr>
        <w:spacing w:before="0" w:after="0"/>
        <w:ind w:left="284" w:hanging="284"/>
        <w:rPr>
          <w:rFonts w:ascii="Arial" w:hAnsi="Arial" w:cs="Times New Roman"/>
          <w:b/>
          <w:bCs/>
          <w:sz w:val="2"/>
          <w:szCs w:val="2"/>
          <w:lang w:val="en-AU"/>
        </w:rPr>
      </w:pPr>
      <w:r w:rsidRPr="00B56FAA">
        <w:rPr>
          <w:lang w:val="en-AU"/>
        </w:rPr>
        <w:br w:type="page"/>
      </w:r>
    </w:p>
    <w:p w14:paraId="605861D0" w14:textId="77777777" w:rsidR="00493A5E" w:rsidRPr="00437A14" w:rsidRDefault="00EA1050" w:rsidP="00437A14">
      <w:pPr>
        <w:pStyle w:val="Heading4"/>
      </w:pPr>
      <w:bookmarkStart w:id="665" w:name="_Toc69729043"/>
      <w:bookmarkStart w:id="666" w:name="_Toc97747826"/>
      <w:bookmarkStart w:id="667" w:name="_Toc108088937"/>
      <w:bookmarkStart w:id="668" w:name="_Toc108089016"/>
      <w:bookmarkStart w:id="669" w:name="_Toc108089411"/>
      <w:bookmarkStart w:id="670" w:name="_Toc159499680"/>
      <w:bookmarkStart w:id="671" w:name="_Toc159859097"/>
      <w:bookmarkStart w:id="672" w:name="_Toc159859249"/>
      <w:r w:rsidRPr="00437A14">
        <w:lastRenderedPageBreak/>
        <w:t xml:space="preserve">1.4 </w:t>
      </w:r>
      <w:r w:rsidR="00493A5E" w:rsidRPr="00437A14">
        <w:t>Key Cost Categor</w:t>
      </w:r>
      <w:r w:rsidR="006B2F43" w:rsidRPr="00437A14">
        <w:t>y</w:t>
      </w:r>
      <w:r w:rsidR="00493A5E" w:rsidRPr="00437A14">
        <w:t xml:space="preserve"> Estimates</w:t>
      </w:r>
      <w:bookmarkEnd w:id="665"/>
      <w:bookmarkEnd w:id="666"/>
      <w:bookmarkEnd w:id="667"/>
      <w:bookmarkEnd w:id="668"/>
      <w:bookmarkEnd w:id="669"/>
      <w:bookmarkEnd w:id="670"/>
      <w:bookmarkEnd w:id="671"/>
      <w:bookmarkEnd w:id="672"/>
    </w:p>
    <w:p w14:paraId="39AD5A14" w14:textId="266CB2A5" w:rsidR="007D47CB" w:rsidRPr="009E341A" w:rsidRDefault="005C7D83" w:rsidP="009E341A">
      <w:pPr>
        <w:pStyle w:val="TableHeading"/>
        <w:spacing w:before="120" w:after="120"/>
        <w:outlineLvl w:val="6"/>
      </w:pPr>
      <w:r w:rsidRPr="009E341A">
        <w:t xml:space="preserve">Table 4a: Defence, </w:t>
      </w:r>
      <w:r w:rsidR="007D47CB" w:rsidRPr="009E341A">
        <w:t>ASD</w:t>
      </w:r>
      <w:r w:rsidRPr="009E341A">
        <w:t xml:space="preserve"> and ASA</w:t>
      </w:r>
      <w:r w:rsidR="007D47CB" w:rsidRPr="009E341A">
        <w:t xml:space="preserve"> Funding</w:t>
      </w:r>
      <w:r w:rsidR="009A59BF" w:rsidRPr="009E341A">
        <w:t xml:space="preserve"> from Government</w:t>
      </w:r>
      <w:r w:rsidR="00D448A5" w:rsidRPr="009E341A">
        <w:t xml:space="preserve"> </w:t>
      </w:r>
      <w:r w:rsidR="00F60004" w:rsidRPr="00996EE0">
        <w:rPr>
          <w:vertAlign w:val="superscript"/>
        </w:rPr>
        <w:t>[a]</w:t>
      </w:r>
      <w:r w:rsidR="00F9687C">
        <w:rPr>
          <w:vertAlign w:val="superscript"/>
        </w:rPr>
        <w:t xml:space="preserve"> </w:t>
      </w:r>
      <w:r w:rsidR="00F60004" w:rsidRPr="009E341A">
        <w:t xml:space="preserve"> </w:t>
      </w:r>
      <w:r w:rsidR="002478A0" w:rsidRPr="009E341A">
        <w:t xml:space="preserve"> </w:t>
      </w:r>
    </w:p>
    <w:p w14:paraId="4A659239" w14:textId="210455F7" w:rsidR="00040BF9" w:rsidRPr="00B56FAA" w:rsidRDefault="00FB1F61" w:rsidP="00040BF9">
      <w:r w:rsidRPr="00FB1F61">
        <w:rPr>
          <w:noProof/>
          <w:lang w:val="en-AU"/>
        </w:rPr>
        <w:drawing>
          <wp:inline distT="0" distB="0" distL="0" distR="0" wp14:anchorId="06797235" wp14:editId="5BB331B9">
            <wp:extent cx="5471795" cy="1159960"/>
            <wp:effectExtent l="0" t="0" r="0" b="2540"/>
            <wp:docPr id="24575510" name="Picture 2457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1795" cy="1159960"/>
                    </a:xfrm>
                    <a:prstGeom prst="rect">
                      <a:avLst/>
                    </a:prstGeom>
                    <a:noFill/>
                    <a:ln>
                      <a:noFill/>
                    </a:ln>
                  </pic:spPr>
                </pic:pic>
              </a:graphicData>
            </a:graphic>
          </wp:inline>
        </w:drawing>
      </w:r>
    </w:p>
    <w:p w14:paraId="35A77032" w14:textId="77777777" w:rsidR="00656D60" w:rsidRPr="004C125D" w:rsidRDefault="004C125D" w:rsidP="00125FFF">
      <w:pPr>
        <w:spacing w:before="0" w:after="0"/>
        <w:rPr>
          <w:rFonts w:ascii="Arial" w:hAnsi="Arial"/>
          <w:b/>
          <w:sz w:val="14"/>
          <w:szCs w:val="14"/>
        </w:rPr>
      </w:pPr>
      <w:r w:rsidRPr="004C125D">
        <w:rPr>
          <w:rFonts w:ascii="Arial" w:hAnsi="Arial"/>
          <w:b/>
          <w:sz w:val="14"/>
          <w:szCs w:val="14"/>
        </w:rPr>
        <w:t>Notes</w:t>
      </w:r>
    </w:p>
    <w:p w14:paraId="72612D08" w14:textId="19CD79C1" w:rsidR="00F9687C" w:rsidRPr="00F9687C" w:rsidRDefault="00652DC2" w:rsidP="00F9687C">
      <w:pPr>
        <w:tabs>
          <w:tab w:val="left" w:pos="284"/>
        </w:tabs>
        <w:spacing w:before="0" w:after="0"/>
        <w:ind w:left="284" w:hanging="284"/>
        <w:rPr>
          <w:rFonts w:ascii="Arial" w:hAnsi="Arial"/>
          <w:sz w:val="14"/>
          <w:szCs w:val="14"/>
        </w:rPr>
      </w:pPr>
      <w:r w:rsidRPr="00652DC2">
        <w:rPr>
          <w:rFonts w:ascii="Arial" w:hAnsi="Arial"/>
          <w:sz w:val="14"/>
          <w:szCs w:val="14"/>
        </w:rPr>
        <w:t xml:space="preserve">a. </w:t>
      </w:r>
      <w:r>
        <w:rPr>
          <w:rFonts w:ascii="Arial" w:hAnsi="Arial"/>
          <w:sz w:val="14"/>
          <w:szCs w:val="14"/>
        </w:rPr>
        <w:tab/>
      </w:r>
      <w:r w:rsidR="00F9687C" w:rsidRPr="00F9687C">
        <w:rPr>
          <w:rFonts w:ascii="Arial" w:hAnsi="Arial"/>
          <w:sz w:val="14"/>
          <w:szCs w:val="14"/>
        </w:rPr>
        <w:t>Provides a consolidated summary of Defence Portfolio funding, excluding Defence Housing Australia and Department of Veterans' Affairs.</w:t>
      </w:r>
      <w:r w:rsidR="00F9687C" w:rsidRPr="00F9687C">
        <w:rPr>
          <w:rFonts w:ascii="Arial" w:hAnsi="Arial"/>
          <w:sz w:val="14"/>
          <w:szCs w:val="14"/>
        </w:rPr>
        <w:tab/>
      </w:r>
      <w:r w:rsidR="00F9687C" w:rsidRPr="00F9687C">
        <w:rPr>
          <w:rFonts w:ascii="Arial" w:hAnsi="Arial"/>
          <w:sz w:val="14"/>
          <w:szCs w:val="14"/>
        </w:rPr>
        <w:tab/>
      </w:r>
      <w:r w:rsidR="00F9687C" w:rsidRPr="00F9687C">
        <w:rPr>
          <w:rFonts w:ascii="Arial" w:hAnsi="Arial"/>
          <w:sz w:val="14"/>
          <w:szCs w:val="14"/>
        </w:rPr>
        <w:tab/>
      </w:r>
      <w:r w:rsidR="00F9687C" w:rsidRPr="00F9687C">
        <w:rPr>
          <w:rFonts w:ascii="Arial" w:hAnsi="Arial"/>
          <w:sz w:val="14"/>
          <w:szCs w:val="14"/>
        </w:rPr>
        <w:tab/>
      </w:r>
      <w:r w:rsidR="00F9687C" w:rsidRPr="00F9687C">
        <w:rPr>
          <w:rFonts w:ascii="Arial" w:hAnsi="Arial"/>
          <w:sz w:val="14"/>
          <w:szCs w:val="14"/>
        </w:rPr>
        <w:tab/>
      </w:r>
      <w:r w:rsidR="00F9687C" w:rsidRPr="00F9687C">
        <w:rPr>
          <w:rFonts w:ascii="Arial" w:hAnsi="Arial"/>
          <w:sz w:val="14"/>
          <w:szCs w:val="14"/>
        </w:rPr>
        <w:tab/>
      </w:r>
      <w:r w:rsidR="00F9687C" w:rsidRPr="00F9687C">
        <w:rPr>
          <w:rFonts w:ascii="Arial" w:hAnsi="Arial"/>
          <w:sz w:val="14"/>
          <w:szCs w:val="14"/>
        </w:rPr>
        <w:tab/>
      </w:r>
    </w:p>
    <w:p w14:paraId="7387FFAF" w14:textId="71128731" w:rsidR="0037453B" w:rsidRPr="00DC5CDF" w:rsidRDefault="00F9687C" w:rsidP="00F9687C">
      <w:pPr>
        <w:tabs>
          <w:tab w:val="left" w:pos="284"/>
        </w:tabs>
        <w:spacing w:before="0" w:after="0"/>
        <w:ind w:left="284" w:hanging="284"/>
        <w:rPr>
          <w:rFonts w:ascii="Arial" w:hAnsi="Arial"/>
          <w:sz w:val="14"/>
          <w:szCs w:val="14"/>
        </w:rPr>
      </w:pPr>
      <w:r w:rsidRPr="00F9687C">
        <w:rPr>
          <w:rFonts w:ascii="Arial" w:hAnsi="Arial"/>
          <w:sz w:val="14"/>
          <w:szCs w:val="14"/>
        </w:rPr>
        <w:t xml:space="preserve">b. </w:t>
      </w:r>
      <w:r>
        <w:rPr>
          <w:rFonts w:ascii="Arial" w:hAnsi="Arial"/>
          <w:sz w:val="14"/>
          <w:szCs w:val="14"/>
        </w:rPr>
        <w:tab/>
      </w:r>
      <w:r w:rsidRPr="00F9687C">
        <w:rPr>
          <w:rFonts w:ascii="Arial" w:hAnsi="Arial"/>
          <w:sz w:val="14"/>
          <w:szCs w:val="14"/>
        </w:rPr>
        <w:t xml:space="preserve">These amounts refer to appropriations only. Refer Table 1 Serial </w:t>
      </w:r>
      <w:r w:rsidR="00DE6648">
        <w:rPr>
          <w:rFonts w:ascii="Arial" w:hAnsi="Arial"/>
          <w:sz w:val="14"/>
          <w:szCs w:val="14"/>
        </w:rPr>
        <w:t>6</w:t>
      </w:r>
      <w:r w:rsidR="00B769E6">
        <w:rPr>
          <w:rFonts w:ascii="Arial" w:hAnsi="Arial"/>
          <w:sz w:val="14"/>
          <w:szCs w:val="14"/>
        </w:rPr>
        <w:t xml:space="preserve"> for total appropriation</w:t>
      </w:r>
      <w:r w:rsidRPr="00F9687C">
        <w:rPr>
          <w:rFonts w:ascii="Arial" w:hAnsi="Arial"/>
          <w:sz w:val="14"/>
          <w:szCs w:val="14"/>
        </w:rPr>
        <w:t>.</w:t>
      </w:r>
      <w:r w:rsidRPr="00F9687C">
        <w:rPr>
          <w:rFonts w:ascii="Arial" w:hAnsi="Arial"/>
          <w:sz w:val="14"/>
          <w:szCs w:val="14"/>
        </w:rPr>
        <w:tab/>
      </w:r>
      <w:r w:rsidRPr="00F9687C">
        <w:rPr>
          <w:rFonts w:ascii="Arial" w:hAnsi="Arial"/>
          <w:sz w:val="14"/>
          <w:szCs w:val="14"/>
        </w:rPr>
        <w:tab/>
      </w:r>
      <w:r w:rsidRPr="00F9687C">
        <w:rPr>
          <w:rFonts w:ascii="Arial" w:hAnsi="Arial"/>
          <w:sz w:val="14"/>
          <w:szCs w:val="14"/>
        </w:rPr>
        <w:tab/>
      </w:r>
      <w:r w:rsidRPr="00F9687C">
        <w:rPr>
          <w:rFonts w:ascii="Arial" w:hAnsi="Arial"/>
          <w:sz w:val="14"/>
          <w:szCs w:val="14"/>
        </w:rPr>
        <w:tab/>
      </w:r>
      <w:r w:rsidRPr="00F9687C">
        <w:rPr>
          <w:rFonts w:ascii="Arial" w:hAnsi="Arial"/>
          <w:sz w:val="14"/>
          <w:szCs w:val="14"/>
        </w:rPr>
        <w:tab/>
      </w:r>
      <w:r w:rsidRPr="00F9687C">
        <w:rPr>
          <w:rFonts w:ascii="Arial" w:hAnsi="Arial"/>
          <w:sz w:val="14"/>
          <w:szCs w:val="14"/>
        </w:rPr>
        <w:tab/>
      </w:r>
      <w:r w:rsidRPr="00F9687C">
        <w:rPr>
          <w:rFonts w:ascii="Arial" w:hAnsi="Arial"/>
          <w:sz w:val="14"/>
          <w:szCs w:val="14"/>
        </w:rPr>
        <w:tab/>
      </w:r>
    </w:p>
    <w:p w14:paraId="4368CE64" w14:textId="77777777" w:rsidR="00125FFF" w:rsidRPr="00B56FAA" w:rsidRDefault="00DC5CDF" w:rsidP="00DC5CDF">
      <w:pPr>
        <w:tabs>
          <w:tab w:val="left" w:pos="284"/>
        </w:tabs>
        <w:spacing w:before="0" w:after="0"/>
        <w:ind w:left="284" w:hanging="284"/>
        <w:rPr>
          <w:rFonts w:ascii="Arial" w:hAnsi="Arial"/>
          <w:sz w:val="14"/>
          <w:szCs w:val="14"/>
        </w:rPr>
      </w:pPr>
      <w:r w:rsidRPr="00DC5CDF">
        <w:rPr>
          <w:rFonts w:ascii="Arial" w:hAnsi="Arial"/>
          <w:sz w:val="14"/>
          <w:szCs w:val="14"/>
        </w:rPr>
        <w:tab/>
      </w:r>
      <w:r w:rsidRPr="00DC5CDF">
        <w:rPr>
          <w:rFonts w:ascii="Arial" w:hAnsi="Arial"/>
          <w:sz w:val="14"/>
          <w:szCs w:val="14"/>
        </w:rPr>
        <w:tab/>
      </w:r>
      <w:r w:rsidRPr="00DC5CDF">
        <w:rPr>
          <w:rFonts w:ascii="Arial" w:hAnsi="Arial"/>
          <w:sz w:val="14"/>
          <w:szCs w:val="14"/>
        </w:rPr>
        <w:tab/>
      </w:r>
      <w:r w:rsidRPr="00DC5CDF">
        <w:rPr>
          <w:rFonts w:ascii="Arial" w:hAnsi="Arial"/>
          <w:sz w:val="14"/>
          <w:szCs w:val="14"/>
        </w:rPr>
        <w:tab/>
      </w:r>
      <w:r w:rsidRPr="00DC5CDF">
        <w:rPr>
          <w:rFonts w:ascii="Arial" w:hAnsi="Arial"/>
          <w:sz w:val="14"/>
          <w:szCs w:val="14"/>
        </w:rPr>
        <w:tab/>
      </w:r>
      <w:r w:rsidRPr="00DC5CDF">
        <w:rPr>
          <w:rFonts w:ascii="Arial" w:hAnsi="Arial"/>
          <w:sz w:val="14"/>
          <w:szCs w:val="14"/>
        </w:rPr>
        <w:tab/>
      </w:r>
      <w:r w:rsidRPr="00DC5CDF">
        <w:rPr>
          <w:rFonts w:ascii="Arial" w:hAnsi="Arial"/>
          <w:sz w:val="14"/>
          <w:szCs w:val="14"/>
        </w:rPr>
        <w:tab/>
      </w:r>
      <w:r w:rsidR="00652DC2" w:rsidRPr="00652DC2">
        <w:rPr>
          <w:rFonts w:ascii="Arial" w:hAnsi="Arial"/>
          <w:sz w:val="14"/>
          <w:szCs w:val="14"/>
        </w:rPr>
        <w:tab/>
      </w:r>
      <w:r w:rsidR="00652DC2" w:rsidRPr="00652DC2">
        <w:rPr>
          <w:rFonts w:ascii="Arial" w:hAnsi="Arial"/>
          <w:sz w:val="14"/>
          <w:szCs w:val="14"/>
        </w:rPr>
        <w:tab/>
      </w:r>
      <w:r w:rsidR="00652DC2" w:rsidRPr="00652DC2">
        <w:rPr>
          <w:rFonts w:ascii="Arial" w:hAnsi="Arial"/>
          <w:sz w:val="14"/>
          <w:szCs w:val="14"/>
        </w:rPr>
        <w:tab/>
      </w:r>
      <w:r w:rsidR="00652DC2" w:rsidRPr="00652DC2">
        <w:rPr>
          <w:rFonts w:ascii="Arial" w:hAnsi="Arial"/>
          <w:sz w:val="14"/>
          <w:szCs w:val="14"/>
        </w:rPr>
        <w:tab/>
      </w:r>
      <w:r w:rsidR="00652DC2" w:rsidRPr="00652DC2">
        <w:rPr>
          <w:rFonts w:ascii="Arial" w:hAnsi="Arial"/>
          <w:sz w:val="14"/>
          <w:szCs w:val="14"/>
        </w:rPr>
        <w:tab/>
      </w:r>
      <w:r w:rsidR="00652DC2" w:rsidRPr="00652DC2">
        <w:rPr>
          <w:rFonts w:ascii="Arial" w:hAnsi="Arial"/>
          <w:sz w:val="14"/>
          <w:szCs w:val="14"/>
        </w:rPr>
        <w:tab/>
      </w:r>
      <w:r w:rsidR="00652DC2" w:rsidRPr="00652DC2">
        <w:rPr>
          <w:rFonts w:ascii="Arial" w:hAnsi="Arial"/>
          <w:sz w:val="14"/>
          <w:szCs w:val="14"/>
        </w:rPr>
        <w:tab/>
      </w:r>
    </w:p>
    <w:p w14:paraId="26C2A8DF" w14:textId="687CB701" w:rsidR="00BC1173" w:rsidRPr="009E341A" w:rsidRDefault="007D47CB" w:rsidP="009E341A">
      <w:pPr>
        <w:pStyle w:val="TableHeading"/>
        <w:spacing w:before="120" w:after="120"/>
        <w:outlineLvl w:val="6"/>
      </w:pPr>
      <w:r w:rsidRPr="009E341A">
        <w:t xml:space="preserve">Table 4b: Defence </w:t>
      </w:r>
      <w:r w:rsidR="0089243C" w:rsidRPr="009E341A">
        <w:t>Planned Expenditure</w:t>
      </w:r>
      <w:r w:rsidR="00FA69E2" w:rsidRPr="009E341A">
        <w:t xml:space="preserve"> by Key Cost Category</w:t>
      </w:r>
      <w:r w:rsidR="00D448A5" w:rsidRPr="009E341A">
        <w:t xml:space="preserve"> </w:t>
      </w:r>
      <w:r w:rsidR="00D448A5" w:rsidRPr="00996EE0">
        <w:rPr>
          <w:vertAlign w:val="superscript"/>
        </w:rPr>
        <w:t>[a] [b]</w:t>
      </w:r>
      <w:r w:rsidR="00D86690">
        <w:rPr>
          <w:vertAlign w:val="superscript"/>
        </w:rPr>
        <w:t xml:space="preserve"> </w:t>
      </w:r>
      <w:r w:rsidR="00DE6648">
        <w:rPr>
          <w:vertAlign w:val="superscript"/>
        </w:rPr>
        <w:t>[c]</w:t>
      </w:r>
    </w:p>
    <w:p w14:paraId="14D544FC" w14:textId="65F114ED" w:rsidR="00CB045C" w:rsidRPr="00B56FAA" w:rsidRDefault="00FB1F61" w:rsidP="00125FFF">
      <w:pPr>
        <w:spacing w:before="0" w:after="0"/>
      </w:pPr>
      <w:r w:rsidRPr="00FB1F61">
        <w:rPr>
          <w:noProof/>
          <w:lang w:val="en-AU"/>
        </w:rPr>
        <w:drawing>
          <wp:inline distT="0" distB="0" distL="0" distR="0" wp14:anchorId="3A9701CE" wp14:editId="6DC1D986">
            <wp:extent cx="5471795" cy="1470672"/>
            <wp:effectExtent l="0" t="0" r="0" b="0"/>
            <wp:docPr id="8565" name="Picture 8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71795" cy="1470672"/>
                    </a:xfrm>
                    <a:prstGeom prst="rect">
                      <a:avLst/>
                    </a:prstGeom>
                    <a:noFill/>
                    <a:ln>
                      <a:noFill/>
                    </a:ln>
                  </pic:spPr>
                </pic:pic>
              </a:graphicData>
            </a:graphic>
          </wp:inline>
        </w:drawing>
      </w:r>
    </w:p>
    <w:p w14:paraId="54C44672" w14:textId="77777777" w:rsidR="00656D60" w:rsidRPr="00B56FAA" w:rsidRDefault="00656D60" w:rsidP="00125FFF">
      <w:pPr>
        <w:spacing w:before="0" w:after="0"/>
        <w:rPr>
          <w:rFonts w:ascii="Arial" w:hAnsi="Arial"/>
          <w:sz w:val="14"/>
          <w:szCs w:val="14"/>
        </w:rPr>
      </w:pPr>
    </w:p>
    <w:p w14:paraId="08CF6786" w14:textId="77777777" w:rsidR="009A13C3" w:rsidRPr="00B56FAA" w:rsidRDefault="004C125D" w:rsidP="006D0B28">
      <w:pPr>
        <w:spacing w:before="0" w:after="0"/>
        <w:rPr>
          <w:rFonts w:ascii="Arial" w:hAnsi="Arial"/>
          <w:b/>
          <w:sz w:val="14"/>
          <w:szCs w:val="14"/>
        </w:rPr>
      </w:pPr>
      <w:r>
        <w:rPr>
          <w:rFonts w:ascii="Arial" w:hAnsi="Arial"/>
          <w:b/>
          <w:sz w:val="14"/>
          <w:szCs w:val="14"/>
        </w:rPr>
        <w:t>Notes</w:t>
      </w:r>
      <w:r w:rsidR="009A13C3" w:rsidRPr="00B56FAA">
        <w:rPr>
          <w:rFonts w:ascii="Arial" w:hAnsi="Arial"/>
          <w:b/>
          <w:sz w:val="14"/>
          <w:szCs w:val="14"/>
        </w:rPr>
        <w:tab/>
      </w:r>
      <w:r w:rsidR="009A13C3" w:rsidRPr="00B56FAA">
        <w:rPr>
          <w:rFonts w:ascii="Arial" w:hAnsi="Arial"/>
          <w:b/>
          <w:sz w:val="14"/>
          <w:szCs w:val="14"/>
        </w:rPr>
        <w:tab/>
      </w:r>
      <w:r w:rsidR="009A13C3" w:rsidRPr="00B56FAA">
        <w:rPr>
          <w:rFonts w:ascii="Arial" w:hAnsi="Arial"/>
          <w:b/>
          <w:sz w:val="14"/>
          <w:szCs w:val="14"/>
        </w:rPr>
        <w:tab/>
      </w:r>
      <w:r w:rsidR="009A13C3" w:rsidRPr="00B56FAA">
        <w:rPr>
          <w:rFonts w:ascii="Arial" w:hAnsi="Arial"/>
          <w:b/>
          <w:sz w:val="14"/>
          <w:szCs w:val="14"/>
        </w:rPr>
        <w:tab/>
      </w:r>
      <w:r w:rsidR="009A13C3" w:rsidRPr="00B56FAA">
        <w:rPr>
          <w:rFonts w:ascii="Arial" w:hAnsi="Arial"/>
          <w:b/>
          <w:sz w:val="14"/>
          <w:szCs w:val="14"/>
        </w:rPr>
        <w:tab/>
      </w:r>
      <w:r w:rsidR="009A13C3" w:rsidRPr="00B56FAA">
        <w:rPr>
          <w:rFonts w:ascii="Arial" w:hAnsi="Arial"/>
          <w:b/>
          <w:sz w:val="14"/>
          <w:szCs w:val="14"/>
        </w:rPr>
        <w:tab/>
      </w:r>
      <w:r w:rsidR="009A13C3" w:rsidRPr="00B56FAA">
        <w:rPr>
          <w:rFonts w:ascii="Arial" w:hAnsi="Arial"/>
          <w:b/>
          <w:sz w:val="14"/>
          <w:szCs w:val="14"/>
        </w:rPr>
        <w:tab/>
      </w:r>
    </w:p>
    <w:p w14:paraId="3963B663" w14:textId="7E9B006A" w:rsidR="00DE6648" w:rsidRPr="00DE6648" w:rsidRDefault="00652DC2" w:rsidP="00DE6648">
      <w:pPr>
        <w:tabs>
          <w:tab w:val="left" w:pos="284"/>
        </w:tabs>
        <w:spacing w:before="0" w:after="0"/>
        <w:ind w:left="284" w:hanging="284"/>
        <w:rPr>
          <w:rFonts w:ascii="Arial" w:hAnsi="Arial"/>
          <w:sz w:val="14"/>
          <w:szCs w:val="14"/>
        </w:rPr>
      </w:pPr>
      <w:r w:rsidRPr="00652DC2">
        <w:rPr>
          <w:rFonts w:ascii="Arial" w:hAnsi="Arial"/>
          <w:sz w:val="14"/>
          <w:szCs w:val="14"/>
        </w:rPr>
        <w:t>a.</w:t>
      </w:r>
      <w:r w:rsidR="00F9687C" w:rsidRPr="00F9687C">
        <w:t xml:space="preserve"> </w:t>
      </w:r>
      <w:r w:rsidR="00DE6648">
        <w:rPr>
          <w:rFonts w:ascii="Arial" w:hAnsi="Arial"/>
          <w:sz w:val="14"/>
          <w:szCs w:val="14"/>
        </w:rPr>
        <w:tab/>
      </w:r>
      <w:r w:rsidR="00DE6648" w:rsidRPr="00DE6648">
        <w:rPr>
          <w:rFonts w:ascii="Arial" w:hAnsi="Arial"/>
          <w:sz w:val="14"/>
          <w:szCs w:val="14"/>
        </w:rPr>
        <w:t>These categories are funded by appropriations and own source revenue.</w:t>
      </w:r>
      <w:r w:rsidR="00DE6648" w:rsidRPr="00DE6648">
        <w:rPr>
          <w:rFonts w:ascii="Arial" w:hAnsi="Arial"/>
          <w:sz w:val="14"/>
          <w:szCs w:val="14"/>
        </w:rPr>
        <w:tab/>
      </w:r>
      <w:r w:rsidR="00DE6648" w:rsidRPr="00DE6648">
        <w:rPr>
          <w:rFonts w:ascii="Arial" w:hAnsi="Arial"/>
          <w:sz w:val="14"/>
          <w:szCs w:val="14"/>
        </w:rPr>
        <w:tab/>
      </w:r>
      <w:r w:rsidR="00DE6648" w:rsidRPr="00DE6648">
        <w:rPr>
          <w:rFonts w:ascii="Arial" w:hAnsi="Arial"/>
          <w:sz w:val="14"/>
          <w:szCs w:val="14"/>
        </w:rPr>
        <w:tab/>
      </w:r>
      <w:r w:rsidR="00DE6648" w:rsidRPr="00DE6648">
        <w:rPr>
          <w:rFonts w:ascii="Arial" w:hAnsi="Arial"/>
          <w:sz w:val="14"/>
          <w:szCs w:val="14"/>
        </w:rPr>
        <w:tab/>
      </w:r>
      <w:r w:rsidR="00DE6648" w:rsidRPr="00DE6648">
        <w:rPr>
          <w:rFonts w:ascii="Arial" w:hAnsi="Arial"/>
          <w:sz w:val="14"/>
          <w:szCs w:val="14"/>
        </w:rPr>
        <w:tab/>
      </w:r>
      <w:r w:rsidR="00DE6648" w:rsidRPr="00DE6648">
        <w:rPr>
          <w:rFonts w:ascii="Arial" w:hAnsi="Arial"/>
          <w:sz w:val="14"/>
          <w:szCs w:val="14"/>
        </w:rPr>
        <w:tab/>
      </w:r>
      <w:r w:rsidR="00DE6648" w:rsidRPr="00DE6648">
        <w:rPr>
          <w:rFonts w:ascii="Arial" w:hAnsi="Arial"/>
          <w:sz w:val="14"/>
          <w:szCs w:val="14"/>
        </w:rPr>
        <w:tab/>
      </w:r>
    </w:p>
    <w:p w14:paraId="05C5560E" w14:textId="6C51CE80" w:rsidR="00DE6648" w:rsidRPr="00DE6648" w:rsidRDefault="00DE6648" w:rsidP="00DE6648">
      <w:pPr>
        <w:tabs>
          <w:tab w:val="left" w:pos="284"/>
        </w:tabs>
        <w:spacing w:before="0" w:after="0"/>
        <w:ind w:left="284" w:hanging="284"/>
        <w:rPr>
          <w:rFonts w:ascii="Arial" w:hAnsi="Arial"/>
          <w:sz w:val="14"/>
          <w:szCs w:val="14"/>
        </w:rPr>
      </w:pPr>
      <w:r w:rsidRPr="00DE6648">
        <w:rPr>
          <w:rFonts w:ascii="Arial" w:hAnsi="Arial"/>
          <w:sz w:val="14"/>
          <w:szCs w:val="14"/>
        </w:rPr>
        <w:t xml:space="preserve">b. </w:t>
      </w:r>
      <w:r>
        <w:rPr>
          <w:rFonts w:ascii="Arial" w:hAnsi="Arial"/>
          <w:sz w:val="14"/>
          <w:szCs w:val="14"/>
        </w:rPr>
        <w:tab/>
      </w:r>
      <w:r w:rsidRPr="00DE6648">
        <w:rPr>
          <w:rFonts w:ascii="Arial" w:hAnsi="Arial"/>
          <w:sz w:val="14"/>
          <w:szCs w:val="14"/>
        </w:rPr>
        <w:t xml:space="preserve">Does not include expenses in relation to Defence Trusts and Joint Accounts, as these expenses are incurred on behalf of such trusts and joint accounts and are offset by revenues. Refer Table 1 Serials 17-19 and Table 38. </w:t>
      </w:r>
      <w:r w:rsidRPr="00DE6648">
        <w:rPr>
          <w:rFonts w:ascii="Arial" w:hAnsi="Arial"/>
          <w:sz w:val="14"/>
          <w:szCs w:val="14"/>
        </w:rPr>
        <w:tab/>
      </w:r>
      <w:r w:rsidRPr="00DE6648">
        <w:rPr>
          <w:rFonts w:ascii="Arial" w:hAnsi="Arial"/>
          <w:sz w:val="14"/>
          <w:szCs w:val="14"/>
        </w:rPr>
        <w:tab/>
      </w:r>
      <w:r w:rsidRPr="00DE6648">
        <w:rPr>
          <w:rFonts w:ascii="Arial" w:hAnsi="Arial"/>
          <w:sz w:val="14"/>
          <w:szCs w:val="14"/>
        </w:rPr>
        <w:tab/>
      </w:r>
    </w:p>
    <w:p w14:paraId="31653BAD" w14:textId="2FBBCC67" w:rsidR="00F9687C" w:rsidRPr="00F9687C" w:rsidRDefault="00DE6648" w:rsidP="00DE6648">
      <w:pPr>
        <w:tabs>
          <w:tab w:val="left" w:pos="284"/>
        </w:tabs>
        <w:spacing w:before="0" w:after="0"/>
        <w:ind w:left="284" w:hanging="284"/>
        <w:rPr>
          <w:rFonts w:ascii="Arial" w:hAnsi="Arial"/>
          <w:sz w:val="14"/>
          <w:szCs w:val="14"/>
        </w:rPr>
      </w:pPr>
      <w:r w:rsidRPr="00DE6648">
        <w:rPr>
          <w:rFonts w:ascii="Arial" w:hAnsi="Arial"/>
          <w:sz w:val="14"/>
          <w:szCs w:val="14"/>
        </w:rPr>
        <w:t xml:space="preserve">c. </w:t>
      </w:r>
      <w:r>
        <w:rPr>
          <w:rFonts w:ascii="Arial" w:hAnsi="Arial"/>
          <w:sz w:val="14"/>
          <w:szCs w:val="14"/>
        </w:rPr>
        <w:tab/>
      </w:r>
      <w:r w:rsidRPr="00DE6648">
        <w:rPr>
          <w:rFonts w:ascii="Arial" w:hAnsi="Arial"/>
          <w:sz w:val="14"/>
          <w:szCs w:val="14"/>
        </w:rPr>
        <w:t>Does not include the impact of changes to Defence Working Capital on account of movement of funds as shown under Table 1 Serial</w:t>
      </w:r>
      <w:r w:rsidR="006C06EE">
        <w:rPr>
          <w:rFonts w:ascii="Arial" w:hAnsi="Arial"/>
          <w:sz w:val="14"/>
          <w:szCs w:val="14"/>
        </w:rPr>
        <w:t> </w:t>
      </w:r>
      <w:r w:rsidR="00D43F69">
        <w:rPr>
          <w:rFonts w:ascii="Arial" w:hAnsi="Arial"/>
          <w:sz w:val="14"/>
          <w:szCs w:val="14"/>
        </w:rPr>
        <w:t>4</w:t>
      </w:r>
      <w:r w:rsidR="00332AB7">
        <w:rPr>
          <w:rFonts w:ascii="Arial" w:hAnsi="Arial"/>
          <w:sz w:val="14"/>
          <w:szCs w:val="14"/>
        </w:rPr>
        <w:t xml:space="preserve">. </w:t>
      </w:r>
      <w:r w:rsidR="00332AB7">
        <w:rPr>
          <w:rFonts w:ascii="Arial" w:hAnsi="Arial"/>
          <w:sz w:val="14"/>
          <w:szCs w:val="14"/>
        </w:rPr>
        <w:tab/>
      </w:r>
      <w:r w:rsidR="00332AB7">
        <w:rPr>
          <w:rFonts w:ascii="Arial" w:hAnsi="Arial"/>
          <w:sz w:val="14"/>
          <w:szCs w:val="14"/>
        </w:rPr>
        <w:tab/>
      </w:r>
      <w:r w:rsidR="00332AB7">
        <w:rPr>
          <w:rFonts w:ascii="Arial" w:hAnsi="Arial"/>
          <w:sz w:val="14"/>
          <w:szCs w:val="14"/>
        </w:rPr>
        <w:tab/>
      </w:r>
      <w:r w:rsidR="00860455">
        <w:rPr>
          <w:rFonts w:ascii="Arial" w:hAnsi="Arial"/>
          <w:sz w:val="14"/>
          <w:szCs w:val="14"/>
        </w:rPr>
        <w:t>While the increase in working capital in 2024-25 is by way of the movement of appropriation from 2027-</w:t>
      </w:r>
      <w:r w:rsidR="00F9687C" w:rsidRPr="00F9687C">
        <w:rPr>
          <w:rFonts w:ascii="Arial" w:hAnsi="Arial"/>
          <w:sz w:val="14"/>
          <w:szCs w:val="14"/>
        </w:rPr>
        <w:tab/>
      </w:r>
      <w:r w:rsidR="00860455">
        <w:rPr>
          <w:rFonts w:ascii="Arial" w:hAnsi="Arial"/>
          <w:sz w:val="14"/>
          <w:szCs w:val="14"/>
        </w:rPr>
        <w:t>28, the movement will be represented as an equity injection and not as increased Defence funding. This is because the injection will be used to address existing expenditure commi</w:t>
      </w:r>
      <w:r w:rsidR="003708CA">
        <w:rPr>
          <w:rFonts w:ascii="Arial" w:hAnsi="Arial"/>
          <w:sz w:val="14"/>
          <w:szCs w:val="14"/>
        </w:rPr>
        <w:t>tments already incurred/</w:t>
      </w:r>
      <w:r w:rsidR="00E51C38">
        <w:rPr>
          <w:rFonts w:ascii="Arial" w:hAnsi="Arial"/>
          <w:sz w:val="14"/>
          <w:szCs w:val="14"/>
        </w:rPr>
        <w:t>recognis</w:t>
      </w:r>
      <w:r w:rsidR="00B37130">
        <w:rPr>
          <w:rFonts w:ascii="Arial" w:hAnsi="Arial"/>
          <w:sz w:val="14"/>
          <w:szCs w:val="14"/>
        </w:rPr>
        <w:t>ed, such as pre-payments</w:t>
      </w:r>
      <w:r w:rsidR="00860455">
        <w:rPr>
          <w:rFonts w:ascii="Arial" w:hAnsi="Arial"/>
          <w:sz w:val="14"/>
          <w:szCs w:val="14"/>
        </w:rPr>
        <w:t>. In 2027-28, the reduction of appropriation will not impact planned capital expenditure levels as Government has agreed Defence will operate with a Net Capital Deficit in that financial year.</w:t>
      </w:r>
    </w:p>
    <w:p w14:paraId="17C32692" w14:textId="13AF3ADC" w:rsidR="0037453B" w:rsidRPr="00DC5CDF" w:rsidRDefault="00F9687C" w:rsidP="00F9687C">
      <w:pPr>
        <w:tabs>
          <w:tab w:val="left" w:pos="284"/>
        </w:tabs>
        <w:spacing w:before="0" w:after="0"/>
        <w:ind w:left="284" w:hanging="284"/>
        <w:rPr>
          <w:rFonts w:ascii="Arial" w:hAnsi="Arial"/>
          <w:sz w:val="14"/>
          <w:szCs w:val="14"/>
        </w:rPr>
      </w:pPr>
      <w:r w:rsidRPr="00F9687C">
        <w:rPr>
          <w:rFonts w:ascii="Arial" w:hAnsi="Arial"/>
          <w:sz w:val="14"/>
          <w:szCs w:val="14"/>
        </w:rPr>
        <w:tab/>
      </w:r>
      <w:r w:rsidRPr="00F9687C">
        <w:rPr>
          <w:rFonts w:ascii="Arial" w:hAnsi="Arial"/>
          <w:sz w:val="14"/>
          <w:szCs w:val="14"/>
        </w:rPr>
        <w:tab/>
      </w:r>
      <w:r w:rsidRPr="00F9687C">
        <w:rPr>
          <w:rFonts w:ascii="Arial" w:hAnsi="Arial"/>
          <w:sz w:val="14"/>
          <w:szCs w:val="14"/>
        </w:rPr>
        <w:tab/>
      </w:r>
      <w:r w:rsidRPr="00F9687C">
        <w:rPr>
          <w:rFonts w:ascii="Arial" w:hAnsi="Arial"/>
          <w:sz w:val="14"/>
          <w:szCs w:val="14"/>
        </w:rPr>
        <w:tab/>
      </w:r>
      <w:r w:rsidRPr="00F9687C">
        <w:rPr>
          <w:rFonts w:ascii="Arial" w:hAnsi="Arial"/>
          <w:sz w:val="14"/>
          <w:szCs w:val="14"/>
        </w:rPr>
        <w:tab/>
      </w:r>
      <w:r w:rsidRPr="00F9687C">
        <w:rPr>
          <w:rFonts w:ascii="Arial" w:hAnsi="Arial"/>
          <w:sz w:val="14"/>
          <w:szCs w:val="14"/>
        </w:rPr>
        <w:tab/>
      </w:r>
      <w:r w:rsidRPr="00F9687C">
        <w:rPr>
          <w:rFonts w:ascii="Arial" w:hAnsi="Arial"/>
          <w:sz w:val="14"/>
          <w:szCs w:val="14"/>
        </w:rPr>
        <w:tab/>
      </w:r>
      <w:r w:rsidR="00652DC2" w:rsidRPr="00652DC2">
        <w:rPr>
          <w:rFonts w:ascii="Arial" w:hAnsi="Arial"/>
          <w:sz w:val="14"/>
          <w:szCs w:val="14"/>
        </w:rPr>
        <w:t xml:space="preserve"> </w:t>
      </w:r>
      <w:r w:rsidR="00652DC2">
        <w:rPr>
          <w:rFonts w:ascii="Arial" w:hAnsi="Arial"/>
          <w:sz w:val="14"/>
          <w:szCs w:val="14"/>
        </w:rPr>
        <w:tab/>
      </w:r>
    </w:p>
    <w:p w14:paraId="34AB6CEE" w14:textId="77777777" w:rsidR="00DC5CDF" w:rsidRPr="00DC5CDF" w:rsidRDefault="00DC5CDF" w:rsidP="00DC5CDF">
      <w:pPr>
        <w:tabs>
          <w:tab w:val="left" w:pos="284"/>
        </w:tabs>
        <w:spacing w:before="0" w:after="0"/>
        <w:ind w:left="284" w:hanging="284"/>
        <w:rPr>
          <w:rFonts w:ascii="Arial" w:hAnsi="Arial"/>
          <w:sz w:val="14"/>
          <w:szCs w:val="14"/>
        </w:rPr>
      </w:pPr>
      <w:r w:rsidRPr="00DC5CDF">
        <w:rPr>
          <w:rFonts w:ascii="Arial" w:hAnsi="Arial"/>
          <w:sz w:val="14"/>
          <w:szCs w:val="14"/>
        </w:rPr>
        <w:tab/>
      </w:r>
      <w:r w:rsidRPr="00DC5CDF">
        <w:rPr>
          <w:rFonts w:ascii="Arial" w:hAnsi="Arial"/>
          <w:sz w:val="14"/>
          <w:szCs w:val="14"/>
        </w:rPr>
        <w:tab/>
      </w:r>
      <w:r w:rsidRPr="00DC5CDF">
        <w:rPr>
          <w:rFonts w:ascii="Arial" w:hAnsi="Arial"/>
          <w:sz w:val="14"/>
          <w:szCs w:val="14"/>
        </w:rPr>
        <w:tab/>
      </w:r>
      <w:r w:rsidRPr="00DC5CDF">
        <w:rPr>
          <w:rFonts w:ascii="Arial" w:hAnsi="Arial"/>
          <w:sz w:val="14"/>
          <w:szCs w:val="14"/>
        </w:rPr>
        <w:tab/>
      </w:r>
      <w:r w:rsidRPr="00DC5CDF">
        <w:rPr>
          <w:rFonts w:ascii="Arial" w:hAnsi="Arial"/>
          <w:sz w:val="14"/>
          <w:szCs w:val="14"/>
        </w:rPr>
        <w:tab/>
      </w:r>
      <w:r w:rsidRPr="00DC5CDF">
        <w:rPr>
          <w:rFonts w:ascii="Arial" w:hAnsi="Arial"/>
          <w:sz w:val="14"/>
          <w:szCs w:val="14"/>
        </w:rPr>
        <w:tab/>
      </w:r>
      <w:r w:rsidRPr="00DC5CDF">
        <w:rPr>
          <w:rFonts w:ascii="Arial" w:hAnsi="Arial"/>
          <w:sz w:val="14"/>
          <w:szCs w:val="14"/>
        </w:rPr>
        <w:tab/>
      </w:r>
    </w:p>
    <w:p w14:paraId="2F7EC1A6" w14:textId="77777777" w:rsidR="004C125D" w:rsidRPr="004C125D" w:rsidRDefault="00DC5CDF" w:rsidP="00DC5CDF">
      <w:pPr>
        <w:tabs>
          <w:tab w:val="left" w:pos="284"/>
        </w:tabs>
        <w:spacing w:before="0" w:after="0"/>
        <w:ind w:left="284" w:hanging="284"/>
        <w:rPr>
          <w:rFonts w:ascii="Arial" w:hAnsi="Arial"/>
          <w:sz w:val="14"/>
          <w:szCs w:val="14"/>
        </w:rPr>
      </w:pPr>
      <w:r w:rsidRPr="00DC5CDF">
        <w:rPr>
          <w:rFonts w:ascii="Arial" w:hAnsi="Arial"/>
          <w:sz w:val="14"/>
          <w:szCs w:val="14"/>
        </w:rPr>
        <w:tab/>
      </w:r>
      <w:r w:rsidRPr="00DC5CDF">
        <w:rPr>
          <w:rFonts w:ascii="Arial" w:hAnsi="Arial"/>
          <w:sz w:val="14"/>
          <w:szCs w:val="14"/>
        </w:rPr>
        <w:tab/>
      </w:r>
      <w:r w:rsidRPr="00DC5CDF">
        <w:rPr>
          <w:rFonts w:ascii="Arial" w:hAnsi="Arial"/>
          <w:sz w:val="14"/>
          <w:szCs w:val="14"/>
        </w:rPr>
        <w:tab/>
      </w:r>
      <w:r w:rsidRPr="00DC5CDF">
        <w:rPr>
          <w:rFonts w:ascii="Arial" w:hAnsi="Arial"/>
          <w:sz w:val="14"/>
          <w:szCs w:val="14"/>
        </w:rPr>
        <w:tab/>
      </w:r>
      <w:r w:rsidRPr="00DC5CDF">
        <w:rPr>
          <w:rFonts w:ascii="Arial" w:hAnsi="Arial"/>
          <w:sz w:val="14"/>
          <w:szCs w:val="14"/>
        </w:rPr>
        <w:tab/>
      </w:r>
      <w:r w:rsidRPr="00DC5CDF">
        <w:rPr>
          <w:rFonts w:ascii="Arial" w:hAnsi="Arial"/>
          <w:sz w:val="14"/>
          <w:szCs w:val="14"/>
        </w:rPr>
        <w:tab/>
      </w:r>
      <w:r w:rsidRPr="00DC5CDF">
        <w:rPr>
          <w:rFonts w:ascii="Arial" w:hAnsi="Arial"/>
          <w:sz w:val="14"/>
          <w:szCs w:val="14"/>
        </w:rPr>
        <w:tab/>
      </w:r>
      <w:r w:rsidR="00652DC2" w:rsidRPr="00652DC2">
        <w:rPr>
          <w:rFonts w:ascii="Arial" w:hAnsi="Arial"/>
          <w:sz w:val="14"/>
          <w:szCs w:val="14"/>
        </w:rPr>
        <w:t xml:space="preserve">  </w:t>
      </w:r>
      <w:r w:rsidR="00652DC2" w:rsidRPr="00652DC2">
        <w:rPr>
          <w:rFonts w:ascii="Arial" w:hAnsi="Arial"/>
          <w:sz w:val="14"/>
          <w:szCs w:val="14"/>
        </w:rPr>
        <w:tab/>
      </w:r>
      <w:r w:rsidR="00652DC2" w:rsidRPr="00652DC2">
        <w:rPr>
          <w:rFonts w:ascii="Arial" w:hAnsi="Arial"/>
          <w:sz w:val="14"/>
          <w:szCs w:val="14"/>
        </w:rPr>
        <w:tab/>
      </w:r>
      <w:r w:rsidR="00652DC2" w:rsidRPr="00652DC2">
        <w:rPr>
          <w:rFonts w:ascii="Arial" w:hAnsi="Arial"/>
          <w:sz w:val="14"/>
          <w:szCs w:val="14"/>
        </w:rPr>
        <w:tab/>
      </w:r>
      <w:r w:rsidR="00652DC2" w:rsidRPr="00652DC2">
        <w:rPr>
          <w:rFonts w:ascii="Arial" w:hAnsi="Arial"/>
          <w:sz w:val="14"/>
          <w:szCs w:val="14"/>
        </w:rPr>
        <w:tab/>
      </w:r>
      <w:r w:rsidR="00652DC2" w:rsidRPr="00652DC2">
        <w:rPr>
          <w:rFonts w:ascii="Arial" w:hAnsi="Arial"/>
          <w:sz w:val="14"/>
          <w:szCs w:val="14"/>
        </w:rPr>
        <w:tab/>
      </w:r>
      <w:r w:rsidR="00652DC2" w:rsidRPr="00652DC2">
        <w:rPr>
          <w:rFonts w:ascii="Arial" w:hAnsi="Arial"/>
          <w:sz w:val="14"/>
          <w:szCs w:val="14"/>
        </w:rPr>
        <w:tab/>
      </w:r>
      <w:r w:rsidR="00652DC2" w:rsidRPr="00652DC2">
        <w:rPr>
          <w:rFonts w:ascii="Arial" w:hAnsi="Arial"/>
          <w:sz w:val="14"/>
          <w:szCs w:val="14"/>
        </w:rPr>
        <w:tab/>
      </w:r>
      <w:r w:rsidR="00951730">
        <w:rPr>
          <w:rFonts w:ascii="Arial" w:hAnsi="Arial"/>
          <w:sz w:val="14"/>
          <w:szCs w:val="14"/>
        </w:rPr>
        <w:tab/>
      </w:r>
      <w:r w:rsidR="00951730">
        <w:rPr>
          <w:rFonts w:ascii="Arial" w:hAnsi="Arial"/>
          <w:sz w:val="14"/>
          <w:szCs w:val="14"/>
        </w:rPr>
        <w:tab/>
      </w:r>
    </w:p>
    <w:p w14:paraId="2CD7D951" w14:textId="77777777" w:rsidR="00CB045C" w:rsidRPr="00B56FAA" w:rsidRDefault="004C125D" w:rsidP="004C125D">
      <w:pPr>
        <w:tabs>
          <w:tab w:val="left" w:pos="284"/>
        </w:tabs>
        <w:spacing w:before="0" w:after="0"/>
        <w:ind w:left="284" w:hanging="284"/>
        <w:rPr>
          <w:rFonts w:ascii="Arial" w:hAnsi="Arial"/>
          <w:sz w:val="14"/>
          <w:szCs w:val="14"/>
        </w:rPr>
      </w:pPr>
      <w:r w:rsidRPr="004C125D">
        <w:rPr>
          <w:rFonts w:ascii="Arial" w:hAnsi="Arial"/>
          <w:sz w:val="14"/>
          <w:szCs w:val="14"/>
        </w:rPr>
        <w:tab/>
      </w:r>
      <w:r w:rsidRPr="004C125D">
        <w:rPr>
          <w:rFonts w:ascii="Arial" w:hAnsi="Arial"/>
          <w:sz w:val="14"/>
          <w:szCs w:val="14"/>
        </w:rPr>
        <w:tab/>
      </w:r>
      <w:r w:rsidRPr="004C125D">
        <w:rPr>
          <w:rFonts w:ascii="Arial" w:hAnsi="Arial"/>
          <w:sz w:val="14"/>
          <w:szCs w:val="14"/>
        </w:rPr>
        <w:tab/>
      </w:r>
      <w:r w:rsidRPr="004C125D">
        <w:rPr>
          <w:rFonts w:ascii="Arial" w:hAnsi="Arial"/>
          <w:sz w:val="14"/>
          <w:szCs w:val="14"/>
        </w:rPr>
        <w:tab/>
      </w:r>
      <w:r w:rsidRPr="004C125D">
        <w:rPr>
          <w:rFonts w:ascii="Arial" w:hAnsi="Arial"/>
          <w:sz w:val="14"/>
          <w:szCs w:val="14"/>
        </w:rPr>
        <w:tab/>
      </w:r>
      <w:r w:rsidRPr="004C125D">
        <w:rPr>
          <w:rFonts w:ascii="Arial" w:hAnsi="Arial"/>
          <w:sz w:val="14"/>
          <w:szCs w:val="14"/>
        </w:rPr>
        <w:tab/>
      </w:r>
      <w:r w:rsidRPr="004C125D">
        <w:rPr>
          <w:rFonts w:ascii="Arial" w:hAnsi="Arial"/>
          <w:sz w:val="14"/>
          <w:szCs w:val="14"/>
        </w:rPr>
        <w:tab/>
      </w:r>
      <w:r>
        <w:rPr>
          <w:rFonts w:ascii="Arial" w:hAnsi="Arial"/>
          <w:sz w:val="14"/>
          <w:szCs w:val="14"/>
        </w:rPr>
        <w:tab/>
      </w:r>
      <w:r>
        <w:rPr>
          <w:rFonts w:ascii="Arial" w:hAnsi="Arial"/>
          <w:sz w:val="14"/>
          <w:szCs w:val="14"/>
        </w:rPr>
        <w:tab/>
      </w:r>
      <w:r>
        <w:rPr>
          <w:rFonts w:ascii="Arial" w:hAnsi="Arial"/>
          <w:sz w:val="14"/>
          <w:szCs w:val="14"/>
        </w:rPr>
        <w:tab/>
      </w:r>
      <w:r>
        <w:rPr>
          <w:rFonts w:ascii="Arial" w:hAnsi="Arial"/>
          <w:sz w:val="14"/>
          <w:szCs w:val="14"/>
        </w:rPr>
        <w:tab/>
      </w:r>
      <w:r>
        <w:rPr>
          <w:rFonts w:ascii="Arial" w:hAnsi="Arial"/>
          <w:sz w:val="14"/>
          <w:szCs w:val="14"/>
        </w:rPr>
        <w:tab/>
      </w:r>
      <w:r>
        <w:rPr>
          <w:rFonts w:ascii="Arial" w:hAnsi="Arial"/>
          <w:sz w:val="14"/>
          <w:szCs w:val="14"/>
        </w:rPr>
        <w:tab/>
      </w:r>
      <w:r>
        <w:rPr>
          <w:rFonts w:ascii="Arial" w:hAnsi="Arial"/>
          <w:sz w:val="14"/>
          <w:szCs w:val="14"/>
        </w:rPr>
        <w:tab/>
      </w:r>
    </w:p>
    <w:p w14:paraId="6FB8D45C" w14:textId="77777777" w:rsidR="009B0614" w:rsidRPr="00D448A5" w:rsidRDefault="004C687F" w:rsidP="00173337">
      <w:pPr>
        <w:pStyle w:val="TableHeading"/>
        <w:numPr>
          <w:ilvl w:val="0"/>
          <w:numId w:val="29"/>
        </w:numPr>
        <w:spacing w:before="120" w:after="120"/>
        <w:ind w:left="0" w:firstLine="0"/>
        <w:outlineLvl w:val="6"/>
        <w:rPr>
          <w:rFonts w:ascii="Arial Bold" w:hAnsi="Arial Bold"/>
          <w:lang w:val="en-AU"/>
        </w:rPr>
      </w:pPr>
      <w:r w:rsidRPr="006D0B28">
        <w:rPr>
          <w:shd w:val="clear" w:color="auto" w:fill="00FFFF"/>
          <w:lang w:val="en-AU"/>
        </w:rPr>
        <w:br w:type="page"/>
      </w:r>
      <w:bookmarkStart w:id="673" w:name="tbl_CIP"/>
      <w:r w:rsidR="00535AF8" w:rsidRPr="00D448A5">
        <w:rPr>
          <w:rFonts w:ascii="Arial Bold" w:hAnsi="Arial Bold" w:cs="Times New Roman"/>
          <w:bCs/>
          <w:szCs w:val="20"/>
        </w:rPr>
        <w:lastRenderedPageBreak/>
        <w:t>Cap</w:t>
      </w:r>
      <w:r w:rsidR="00E03DCC" w:rsidRPr="00D448A5">
        <w:rPr>
          <w:rFonts w:ascii="Arial Bold" w:hAnsi="Arial Bold" w:cs="Times New Roman"/>
          <w:bCs/>
          <w:szCs w:val="20"/>
        </w:rPr>
        <w:t>ability</w:t>
      </w:r>
      <w:r w:rsidR="00535AF8" w:rsidRPr="00D448A5">
        <w:rPr>
          <w:rFonts w:ascii="Arial Bold" w:hAnsi="Arial Bold" w:cs="Times New Roman"/>
          <w:bCs/>
          <w:szCs w:val="20"/>
        </w:rPr>
        <w:t xml:space="preserve"> </w:t>
      </w:r>
      <w:r w:rsidR="002413BA" w:rsidRPr="00D448A5">
        <w:rPr>
          <w:rFonts w:ascii="Arial Bold" w:hAnsi="Arial Bold" w:cs="Times New Roman"/>
          <w:bCs/>
          <w:szCs w:val="20"/>
        </w:rPr>
        <w:t>Acquisition</w:t>
      </w:r>
      <w:r w:rsidR="00535AF8" w:rsidRPr="00D448A5">
        <w:rPr>
          <w:rFonts w:ascii="Arial Bold" w:hAnsi="Arial Bold" w:cs="Times New Roman"/>
          <w:bCs/>
          <w:szCs w:val="20"/>
        </w:rPr>
        <w:t xml:space="preserve"> </w:t>
      </w:r>
      <w:r w:rsidR="00E3407C" w:rsidRPr="00D448A5">
        <w:rPr>
          <w:rFonts w:ascii="Arial Bold" w:hAnsi="Arial Bold" w:cs="Times New Roman"/>
          <w:bCs/>
          <w:szCs w:val="20"/>
        </w:rPr>
        <w:t>Program</w:t>
      </w:r>
      <w:r w:rsidR="00D448A5">
        <w:rPr>
          <w:rFonts w:ascii="Arial Bold" w:hAnsi="Arial Bold" w:cs="Times New Roman"/>
          <w:bCs/>
          <w:szCs w:val="20"/>
        </w:rPr>
        <w:t xml:space="preserve"> </w:t>
      </w:r>
      <w:r w:rsidR="00D448A5" w:rsidRPr="00D448A5">
        <w:rPr>
          <w:rFonts w:ascii="Arial Bold" w:hAnsi="Arial Bold" w:cs="Times New Roman"/>
          <w:bCs/>
          <w:szCs w:val="20"/>
          <w:vertAlign w:val="superscript"/>
        </w:rPr>
        <w:t>[a]</w:t>
      </w:r>
      <w:r w:rsidR="003B4294" w:rsidRPr="00D448A5">
        <w:rPr>
          <w:rFonts w:ascii="Arial Bold" w:hAnsi="Arial Bold"/>
          <w:lang w:val="en-AU"/>
        </w:rPr>
        <w:t xml:space="preserve"> </w:t>
      </w:r>
    </w:p>
    <w:p w14:paraId="20B7C8C2" w14:textId="03908D20" w:rsidR="000F03B2" w:rsidRPr="00B56FAA" w:rsidRDefault="00FB1F61" w:rsidP="00656D60">
      <w:pPr>
        <w:spacing w:before="0" w:after="0"/>
        <w:jc w:val="both"/>
      </w:pPr>
      <w:r w:rsidRPr="00FB1F61">
        <w:rPr>
          <w:noProof/>
          <w:lang w:val="en-AU"/>
        </w:rPr>
        <w:drawing>
          <wp:inline distT="0" distB="0" distL="0" distR="0" wp14:anchorId="2ED73625" wp14:editId="270072BA">
            <wp:extent cx="5471795" cy="1309714"/>
            <wp:effectExtent l="0" t="0" r="0" b="5080"/>
            <wp:docPr id="8574" name="Picture 8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71795" cy="1309714"/>
                    </a:xfrm>
                    <a:prstGeom prst="rect">
                      <a:avLst/>
                    </a:prstGeom>
                    <a:noFill/>
                    <a:ln>
                      <a:noFill/>
                    </a:ln>
                  </pic:spPr>
                </pic:pic>
              </a:graphicData>
            </a:graphic>
          </wp:inline>
        </w:drawing>
      </w:r>
    </w:p>
    <w:p w14:paraId="459D6D5A" w14:textId="77777777" w:rsidR="00656D60" w:rsidRDefault="00656D60" w:rsidP="00656D60">
      <w:pPr>
        <w:spacing w:before="0" w:after="0"/>
        <w:jc w:val="both"/>
        <w:rPr>
          <w:rFonts w:ascii="Arial" w:hAnsi="Arial"/>
          <w:b/>
          <w:sz w:val="14"/>
          <w:szCs w:val="14"/>
          <w:lang w:val="en-AU"/>
        </w:rPr>
      </w:pPr>
    </w:p>
    <w:p w14:paraId="4378FC59" w14:textId="77777777" w:rsidR="009C3F7A" w:rsidRDefault="009C3F7A" w:rsidP="00656D60">
      <w:pPr>
        <w:spacing w:before="0" w:after="0"/>
        <w:jc w:val="both"/>
        <w:rPr>
          <w:rFonts w:ascii="Arial" w:hAnsi="Arial"/>
          <w:b/>
          <w:sz w:val="14"/>
          <w:szCs w:val="14"/>
          <w:lang w:val="en-AU"/>
        </w:rPr>
      </w:pPr>
      <w:r>
        <w:rPr>
          <w:rFonts w:ascii="Arial" w:hAnsi="Arial"/>
          <w:b/>
          <w:sz w:val="14"/>
          <w:szCs w:val="14"/>
          <w:lang w:val="en-AU"/>
        </w:rPr>
        <w:t>Notes</w:t>
      </w:r>
    </w:p>
    <w:p w14:paraId="0927768B" w14:textId="7E3FD2AC" w:rsidR="000D040A" w:rsidRPr="000D040A" w:rsidRDefault="009C3F7A" w:rsidP="000D040A">
      <w:pPr>
        <w:spacing w:before="0" w:after="0"/>
        <w:ind w:left="284" w:hanging="284"/>
        <w:jc w:val="both"/>
        <w:rPr>
          <w:rFonts w:ascii="Arial" w:hAnsi="Arial"/>
          <w:sz w:val="14"/>
          <w:szCs w:val="14"/>
          <w:lang w:val="en-AU"/>
        </w:rPr>
      </w:pPr>
      <w:r w:rsidRPr="009C3F7A">
        <w:rPr>
          <w:rFonts w:ascii="Arial" w:hAnsi="Arial"/>
          <w:sz w:val="14"/>
          <w:szCs w:val="14"/>
          <w:lang w:val="en-AU"/>
        </w:rPr>
        <w:t xml:space="preserve">a. </w:t>
      </w:r>
      <w:r w:rsidR="000D040A">
        <w:rPr>
          <w:rFonts w:ascii="Arial" w:hAnsi="Arial"/>
          <w:sz w:val="14"/>
          <w:szCs w:val="14"/>
          <w:lang w:val="en-AU"/>
        </w:rPr>
        <w:tab/>
      </w:r>
      <w:r w:rsidR="000D040A" w:rsidRPr="000D040A">
        <w:rPr>
          <w:rFonts w:ascii="Arial" w:hAnsi="Arial"/>
          <w:sz w:val="14"/>
          <w:szCs w:val="14"/>
          <w:lang w:val="en-AU"/>
        </w:rPr>
        <w:t>These categories are funded by appropriations and own source revenue.</w:t>
      </w:r>
      <w:r w:rsidR="000D040A" w:rsidRPr="000D040A">
        <w:rPr>
          <w:rFonts w:ascii="Arial" w:hAnsi="Arial"/>
          <w:sz w:val="14"/>
          <w:szCs w:val="14"/>
          <w:lang w:val="en-AU"/>
        </w:rPr>
        <w:tab/>
      </w:r>
      <w:r w:rsidR="000D040A" w:rsidRPr="000D040A">
        <w:rPr>
          <w:rFonts w:ascii="Arial" w:hAnsi="Arial"/>
          <w:sz w:val="14"/>
          <w:szCs w:val="14"/>
          <w:lang w:val="en-AU"/>
        </w:rPr>
        <w:tab/>
      </w:r>
      <w:r w:rsidR="000D040A" w:rsidRPr="000D040A">
        <w:rPr>
          <w:rFonts w:ascii="Arial" w:hAnsi="Arial"/>
          <w:sz w:val="14"/>
          <w:szCs w:val="14"/>
          <w:lang w:val="en-AU"/>
        </w:rPr>
        <w:tab/>
      </w:r>
      <w:r w:rsidR="000D040A" w:rsidRPr="000D040A">
        <w:rPr>
          <w:rFonts w:ascii="Arial" w:hAnsi="Arial"/>
          <w:sz w:val="14"/>
          <w:szCs w:val="14"/>
          <w:lang w:val="en-AU"/>
        </w:rPr>
        <w:tab/>
      </w:r>
      <w:r w:rsidR="000D040A" w:rsidRPr="000D040A">
        <w:rPr>
          <w:rFonts w:ascii="Arial" w:hAnsi="Arial"/>
          <w:sz w:val="14"/>
          <w:szCs w:val="14"/>
          <w:lang w:val="en-AU"/>
        </w:rPr>
        <w:tab/>
      </w:r>
      <w:r w:rsidR="000D040A" w:rsidRPr="000D040A">
        <w:rPr>
          <w:rFonts w:ascii="Arial" w:hAnsi="Arial"/>
          <w:sz w:val="14"/>
          <w:szCs w:val="14"/>
          <w:lang w:val="en-AU"/>
        </w:rPr>
        <w:tab/>
      </w:r>
      <w:r w:rsidR="000D040A" w:rsidRPr="000D040A">
        <w:rPr>
          <w:rFonts w:ascii="Arial" w:hAnsi="Arial"/>
          <w:sz w:val="14"/>
          <w:szCs w:val="14"/>
          <w:lang w:val="en-AU"/>
        </w:rPr>
        <w:tab/>
      </w:r>
    </w:p>
    <w:p w14:paraId="1375B654" w14:textId="1ACE6269" w:rsidR="0037453B" w:rsidRPr="00DC5CDF" w:rsidRDefault="000D040A" w:rsidP="000D040A">
      <w:pPr>
        <w:spacing w:before="0" w:after="0"/>
        <w:ind w:left="284" w:hanging="284"/>
        <w:jc w:val="both"/>
        <w:rPr>
          <w:rFonts w:ascii="Arial" w:hAnsi="Arial"/>
          <w:sz w:val="14"/>
          <w:szCs w:val="14"/>
          <w:lang w:val="en-AU"/>
        </w:rPr>
      </w:pPr>
      <w:r w:rsidRPr="000D040A">
        <w:rPr>
          <w:rFonts w:ascii="Arial" w:hAnsi="Arial"/>
          <w:sz w:val="14"/>
          <w:szCs w:val="14"/>
          <w:lang w:val="en-AU"/>
        </w:rPr>
        <w:t xml:space="preserve">b. </w:t>
      </w:r>
      <w:r>
        <w:rPr>
          <w:rFonts w:ascii="Arial" w:hAnsi="Arial"/>
          <w:sz w:val="14"/>
          <w:szCs w:val="14"/>
          <w:lang w:val="en-AU"/>
        </w:rPr>
        <w:tab/>
      </w:r>
      <w:r w:rsidRPr="000D040A">
        <w:rPr>
          <w:rFonts w:ascii="Arial" w:hAnsi="Arial"/>
          <w:sz w:val="14"/>
          <w:szCs w:val="14"/>
          <w:lang w:val="en-AU"/>
        </w:rPr>
        <w:t>The Capability Acquisition Program includes unapproved and approved projects.</w:t>
      </w:r>
      <w:r w:rsidRPr="000D040A">
        <w:rPr>
          <w:rFonts w:ascii="Arial" w:hAnsi="Arial"/>
          <w:sz w:val="14"/>
          <w:szCs w:val="14"/>
          <w:lang w:val="en-AU"/>
        </w:rPr>
        <w:tab/>
      </w:r>
      <w:r w:rsidRPr="000D040A">
        <w:rPr>
          <w:rFonts w:ascii="Arial" w:hAnsi="Arial"/>
          <w:sz w:val="14"/>
          <w:szCs w:val="14"/>
          <w:lang w:val="en-AU"/>
        </w:rPr>
        <w:tab/>
      </w:r>
      <w:r w:rsidRPr="000D040A">
        <w:rPr>
          <w:rFonts w:ascii="Arial" w:hAnsi="Arial"/>
          <w:sz w:val="14"/>
          <w:szCs w:val="14"/>
          <w:lang w:val="en-AU"/>
        </w:rPr>
        <w:tab/>
      </w:r>
      <w:r w:rsidRPr="000D040A">
        <w:rPr>
          <w:rFonts w:ascii="Arial" w:hAnsi="Arial"/>
          <w:sz w:val="14"/>
          <w:szCs w:val="14"/>
          <w:lang w:val="en-AU"/>
        </w:rPr>
        <w:tab/>
      </w:r>
      <w:r w:rsidRPr="000D040A">
        <w:rPr>
          <w:rFonts w:ascii="Arial" w:hAnsi="Arial"/>
          <w:sz w:val="14"/>
          <w:szCs w:val="14"/>
          <w:lang w:val="en-AU"/>
        </w:rPr>
        <w:tab/>
      </w:r>
      <w:r w:rsidRPr="000D040A">
        <w:rPr>
          <w:rFonts w:ascii="Arial" w:hAnsi="Arial"/>
          <w:sz w:val="14"/>
          <w:szCs w:val="14"/>
          <w:lang w:val="en-AU"/>
        </w:rPr>
        <w:tab/>
      </w:r>
      <w:r w:rsidRPr="000D040A">
        <w:rPr>
          <w:rFonts w:ascii="Arial" w:hAnsi="Arial"/>
          <w:sz w:val="14"/>
          <w:szCs w:val="14"/>
          <w:lang w:val="en-AU"/>
        </w:rPr>
        <w:tab/>
      </w:r>
    </w:p>
    <w:p w14:paraId="25E07FBF" w14:textId="77777777" w:rsidR="009C3F7A" w:rsidRPr="009C3F7A" w:rsidRDefault="00DC5CDF" w:rsidP="00DC5CDF">
      <w:pPr>
        <w:spacing w:before="0" w:after="0"/>
        <w:ind w:left="284" w:hanging="284"/>
        <w:jc w:val="both"/>
        <w:rPr>
          <w:rFonts w:ascii="Arial" w:hAnsi="Arial"/>
          <w:sz w:val="14"/>
          <w:szCs w:val="14"/>
          <w:lang w:val="en-AU"/>
        </w:rPr>
      </w:pPr>
      <w:r w:rsidRPr="00DC5CDF">
        <w:rPr>
          <w:rFonts w:ascii="Arial" w:hAnsi="Arial"/>
          <w:sz w:val="14"/>
          <w:szCs w:val="14"/>
          <w:lang w:val="en-AU"/>
        </w:rPr>
        <w:tab/>
      </w:r>
      <w:r w:rsidRPr="00DC5CDF">
        <w:rPr>
          <w:rFonts w:ascii="Arial" w:hAnsi="Arial"/>
          <w:sz w:val="14"/>
          <w:szCs w:val="14"/>
          <w:lang w:val="en-AU"/>
        </w:rPr>
        <w:tab/>
      </w:r>
      <w:r w:rsidRPr="00DC5CDF">
        <w:rPr>
          <w:rFonts w:ascii="Arial" w:hAnsi="Arial"/>
          <w:sz w:val="14"/>
          <w:szCs w:val="14"/>
          <w:lang w:val="en-AU"/>
        </w:rPr>
        <w:tab/>
      </w:r>
      <w:r w:rsidRPr="00DC5CDF">
        <w:rPr>
          <w:rFonts w:ascii="Arial" w:hAnsi="Arial"/>
          <w:sz w:val="14"/>
          <w:szCs w:val="14"/>
          <w:lang w:val="en-AU"/>
        </w:rPr>
        <w:tab/>
      </w:r>
      <w:r w:rsidRPr="00DC5CDF">
        <w:rPr>
          <w:rFonts w:ascii="Arial" w:hAnsi="Arial"/>
          <w:sz w:val="14"/>
          <w:szCs w:val="14"/>
          <w:lang w:val="en-AU"/>
        </w:rPr>
        <w:tab/>
      </w:r>
      <w:r w:rsidRPr="00DC5CDF">
        <w:rPr>
          <w:rFonts w:ascii="Arial" w:hAnsi="Arial"/>
          <w:sz w:val="14"/>
          <w:szCs w:val="14"/>
          <w:lang w:val="en-AU"/>
        </w:rPr>
        <w:tab/>
      </w:r>
      <w:r w:rsidR="0037453B">
        <w:rPr>
          <w:rFonts w:ascii="Arial" w:hAnsi="Arial"/>
          <w:sz w:val="14"/>
          <w:szCs w:val="14"/>
          <w:lang w:val="en-AU"/>
        </w:rPr>
        <w:tab/>
      </w:r>
      <w:r w:rsidR="0037453B">
        <w:rPr>
          <w:rFonts w:ascii="Arial" w:hAnsi="Arial"/>
          <w:sz w:val="14"/>
          <w:szCs w:val="14"/>
          <w:lang w:val="en-AU"/>
        </w:rPr>
        <w:tab/>
      </w:r>
      <w:r w:rsidR="0037453B">
        <w:rPr>
          <w:rFonts w:ascii="Arial" w:hAnsi="Arial"/>
          <w:sz w:val="14"/>
          <w:szCs w:val="14"/>
          <w:lang w:val="en-AU"/>
        </w:rPr>
        <w:tab/>
      </w:r>
      <w:r w:rsidR="0037453B">
        <w:rPr>
          <w:rFonts w:ascii="Arial" w:hAnsi="Arial"/>
          <w:sz w:val="14"/>
          <w:szCs w:val="14"/>
          <w:lang w:val="en-AU"/>
        </w:rPr>
        <w:tab/>
      </w:r>
      <w:r w:rsidR="0037453B">
        <w:rPr>
          <w:rFonts w:ascii="Arial" w:hAnsi="Arial"/>
          <w:sz w:val="14"/>
          <w:szCs w:val="14"/>
          <w:lang w:val="en-AU"/>
        </w:rPr>
        <w:tab/>
      </w:r>
    </w:p>
    <w:p w14:paraId="309183F3" w14:textId="77777777" w:rsidR="00E46702" w:rsidRPr="0046118C" w:rsidRDefault="00E46702" w:rsidP="00173337">
      <w:pPr>
        <w:pStyle w:val="TableHeading"/>
        <w:numPr>
          <w:ilvl w:val="0"/>
          <w:numId w:val="29"/>
        </w:numPr>
        <w:shd w:val="clear" w:color="auto" w:fill="FFFFFF"/>
        <w:spacing w:before="120" w:after="120"/>
        <w:ind w:left="0" w:firstLine="0"/>
        <w:outlineLvl w:val="6"/>
        <w:rPr>
          <w:vertAlign w:val="superscript"/>
          <w:lang w:val="en-AU"/>
        </w:rPr>
      </w:pPr>
      <w:bookmarkStart w:id="674" w:name="tbl_DOD_RCR"/>
      <w:bookmarkEnd w:id="673"/>
      <w:r w:rsidRPr="00391B9D">
        <w:rPr>
          <w:rFonts w:ascii="Arial Bold" w:hAnsi="Arial Bold"/>
          <w:shd w:val="clear" w:color="auto" w:fill="FFFFFF"/>
          <w:lang w:val="en-AU"/>
        </w:rPr>
        <w:t xml:space="preserve">Capability Sustainment </w:t>
      </w:r>
      <w:r w:rsidR="00E3407C" w:rsidRPr="00391B9D">
        <w:rPr>
          <w:rFonts w:ascii="Arial Bold" w:hAnsi="Arial Bold"/>
          <w:shd w:val="clear" w:color="auto" w:fill="FFFFFF"/>
          <w:lang w:val="en-AU"/>
        </w:rPr>
        <w:t>Program</w:t>
      </w:r>
      <w:r w:rsidR="00AA2A4D" w:rsidRPr="0046118C">
        <w:rPr>
          <w:vertAlign w:val="superscript"/>
          <w:lang w:val="en-AU"/>
        </w:rPr>
        <w:t xml:space="preserve"> </w:t>
      </w:r>
      <w:r w:rsidR="009C3F7A" w:rsidRPr="0046118C">
        <w:rPr>
          <w:vertAlign w:val="superscript"/>
          <w:lang w:val="en-AU"/>
        </w:rPr>
        <w:t>[a]</w:t>
      </w:r>
    </w:p>
    <w:p w14:paraId="597FD8A4" w14:textId="2E72A9B4" w:rsidR="00717935" w:rsidRPr="00B56FAA" w:rsidRDefault="00FB1F61" w:rsidP="00656D60">
      <w:pPr>
        <w:spacing w:before="0" w:after="0"/>
      </w:pPr>
      <w:r w:rsidRPr="00FB1F61">
        <w:rPr>
          <w:noProof/>
          <w:lang w:val="en-AU"/>
        </w:rPr>
        <w:drawing>
          <wp:inline distT="0" distB="0" distL="0" distR="0" wp14:anchorId="0A2B3AAC" wp14:editId="74092C6B">
            <wp:extent cx="5471795" cy="23632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71795" cy="2363245"/>
                    </a:xfrm>
                    <a:prstGeom prst="rect">
                      <a:avLst/>
                    </a:prstGeom>
                    <a:noFill/>
                    <a:ln>
                      <a:noFill/>
                    </a:ln>
                  </pic:spPr>
                </pic:pic>
              </a:graphicData>
            </a:graphic>
          </wp:inline>
        </w:drawing>
      </w:r>
    </w:p>
    <w:p w14:paraId="18A703D7" w14:textId="77777777" w:rsidR="00656D60" w:rsidRDefault="00656D60" w:rsidP="00656D60">
      <w:pPr>
        <w:tabs>
          <w:tab w:val="left" w:pos="284"/>
        </w:tabs>
        <w:spacing w:before="0" w:after="0"/>
        <w:ind w:firstLine="1"/>
        <w:jc w:val="both"/>
        <w:rPr>
          <w:rFonts w:ascii="Arial" w:hAnsi="Arial"/>
          <w:b/>
          <w:sz w:val="14"/>
          <w:szCs w:val="14"/>
          <w:lang w:val="en-AU"/>
        </w:rPr>
      </w:pPr>
    </w:p>
    <w:p w14:paraId="5A4B1709" w14:textId="77777777" w:rsidR="009C3F7A" w:rsidRDefault="009C3F7A" w:rsidP="00656D60">
      <w:pPr>
        <w:tabs>
          <w:tab w:val="left" w:pos="284"/>
        </w:tabs>
        <w:spacing w:before="0" w:after="0"/>
        <w:ind w:firstLine="1"/>
        <w:jc w:val="both"/>
        <w:rPr>
          <w:rFonts w:ascii="Arial" w:hAnsi="Arial"/>
          <w:b/>
          <w:sz w:val="14"/>
          <w:szCs w:val="14"/>
          <w:lang w:val="en-AU"/>
        </w:rPr>
      </w:pPr>
      <w:r>
        <w:rPr>
          <w:rFonts w:ascii="Arial" w:hAnsi="Arial"/>
          <w:b/>
          <w:sz w:val="14"/>
          <w:szCs w:val="14"/>
          <w:lang w:val="en-AU"/>
        </w:rPr>
        <w:t>Notes</w:t>
      </w:r>
    </w:p>
    <w:p w14:paraId="20C39323" w14:textId="475534E3" w:rsidR="000D040A" w:rsidRPr="000D040A" w:rsidRDefault="000B4C8C" w:rsidP="000D040A">
      <w:pPr>
        <w:tabs>
          <w:tab w:val="left" w:pos="284"/>
        </w:tabs>
        <w:spacing w:before="0" w:after="0"/>
        <w:ind w:left="284" w:hanging="284"/>
        <w:jc w:val="both"/>
        <w:rPr>
          <w:rFonts w:ascii="Arial" w:hAnsi="Arial"/>
          <w:sz w:val="14"/>
          <w:szCs w:val="14"/>
          <w:lang w:val="en-AU"/>
        </w:rPr>
      </w:pPr>
      <w:r w:rsidRPr="000B4C8C">
        <w:rPr>
          <w:rFonts w:ascii="Arial" w:hAnsi="Arial"/>
          <w:sz w:val="14"/>
          <w:szCs w:val="14"/>
          <w:lang w:val="en-AU"/>
        </w:rPr>
        <w:t xml:space="preserve">a. </w:t>
      </w:r>
      <w:r w:rsidR="00F63AEF">
        <w:rPr>
          <w:rFonts w:ascii="Arial" w:hAnsi="Arial"/>
          <w:sz w:val="14"/>
          <w:szCs w:val="14"/>
          <w:lang w:val="en-AU"/>
        </w:rPr>
        <w:tab/>
      </w:r>
      <w:r w:rsidR="000D040A" w:rsidRPr="000D040A">
        <w:rPr>
          <w:rFonts w:ascii="Arial" w:hAnsi="Arial"/>
          <w:sz w:val="14"/>
          <w:szCs w:val="14"/>
          <w:lang w:val="en-AU"/>
        </w:rPr>
        <w:t>These categories are funded by appropriations and own source revenue.</w:t>
      </w:r>
      <w:r w:rsidR="000D040A" w:rsidRPr="000D040A">
        <w:rPr>
          <w:rFonts w:ascii="Arial" w:hAnsi="Arial"/>
          <w:sz w:val="14"/>
          <w:szCs w:val="14"/>
          <w:lang w:val="en-AU"/>
        </w:rPr>
        <w:tab/>
      </w:r>
      <w:r w:rsidR="000D040A" w:rsidRPr="000D040A">
        <w:rPr>
          <w:rFonts w:ascii="Arial" w:hAnsi="Arial"/>
          <w:sz w:val="14"/>
          <w:szCs w:val="14"/>
          <w:lang w:val="en-AU"/>
        </w:rPr>
        <w:tab/>
      </w:r>
      <w:r w:rsidR="000D040A" w:rsidRPr="000D040A">
        <w:rPr>
          <w:rFonts w:ascii="Arial" w:hAnsi="Arial"/>
          <w:sz w:val="14"/>
          <w:szCs w:val="14"/>
          <w:lang w:val="en-AU"/>
        </w:rPr>
        <w:tab/>
      </w:r>
      <w:r w:rsidR="000D040A" w:rsidRPr="000D040A">
        <w:rPr>
          <w:rFonts w:ascii="Arial" w:hAnsi="Arial"/>
          <w:sz w:val="14"/>
          <w:szCs w:val="14"/>
          <w:lang w:val="en-AU"/>
        </w:rPr>
        <w:tab/>
      </w:r>
      <w:r w:rsidR="000D040A" w:rsidRPr="000D040A">
        <w:rPr>
          <w:rFonts w:ascii="Arial" w:hAnsi="Arial"/>
          <w:sz w:val="14"/>
          <w:szCs w:val="14"/>
          <w:lang w:val="en-AU"/>
        </w:rPr>
        <w:tab/>
      </w:r>
      <w:r w:rsidR="000D040A" w:rsidRPr="000D040A">
        <w:rPr>
          <w:rFonts w:ascii="Arial" w:hAnsi="Arial"/>
          <w:sz w:val="14"/>
          <w:szCs w:val="14"/>
          <w:lang w:val="en-AU"/>
        </w:rPr>
        <w:tab/>
      </w:r>
      <w:r w:rsidR="000D040A" w:rsidRPr="000D040A">
        <w:rPr>
          <w:rFonts w:ascii="Arial" w:hAnsi="Arial"/>
          <w:sz w:val="14"/>
          <w:szCs w:val="14"/>
          <w:lang w:val="en-AU"/>
        </w:rPr>
        <w:tab/>
      </w:r>
    </w:p>
    <w:p w14:paraId="09F06A94" w14:textId="65F502AE" w:rsidR="000D040A" w:rsidRPr="000D040A" w:rsidRDefault="000D040A" w:rsidP="000D040A">
      <w:pPr>
        <w:tabs>
          <w:tab w:val="left" w:pos="284"/>
        </w:tabs>
        <w:spacing w:before="0" w:after="0"/>
        <w:ind w:left="284" w:hanging="284"/>
        <w:jc w:val="both"/>
        <w:rPr>
          <w:rFonts w:ascii="Arial" w:hAnsi="Arial"/>
          <w:sz w:val="14"/>
          <w:szCs w:val="14"/>
          <w:lang w:val="en-AU"/>
        </w:rPr>
      </w:pPr>
      <w:r w:rsidRPr="000D040A">
        <w:rPr>
          <w:rFonts w:ascii="Arial" w:hAnsi="Arial"/>
          <w:sz w:val="14"/>
          <w:szCs w:val="14"/>
          <w:lang w:val="en-AU"/>
        </w:rPr>
        <w:t xml:space="preserve">b. </w:t>
      </w:r>
      <w:r w:rsidR="00F63AEF">
        <w:rPr>
          <w:rFonts w:ascii="Arial" w:hAnsi="Arial"/>
          <w:sz w:val="14"/>
          <w:szCs w:val="14"/>
          <w:lang w:val="en-AU"/>
        </w:rPr>
        <w:tab/>
      </w:r>
      <w:r w:rsidRPr="000D040A">
        <w:rPr>
          <w:rFonts w:ascii="Arial" w:hAnsi="Arial"/>
          <w:sz w:val="14"/>
          <w:szCs w:val="14"/>
          <w:lang w:val="en-AU"/>
        </w:rPr>
        <w:t>Defence Digital Sustainment includes all ICT sustainment for the Department.</w:t>
      </w:r>
      <w:r w:rsidRPr="000D040A">
        <w:rPr>
          <w:rFonts w:ascii="Arial" w:hAnsi="Arial"/>
          <w:sz w:val="14"/>
          <w:szCs w:val="14"/>
          <w:lang w:val="en-AU"/>
        </w:rPr>
        <w:tab/>
      </w:r>
      <w:r w:rsidRPr="000D040A">
        <w:rPr>
          <w:rFonts w:ascii="Arial" w:hAnsi="Arial"/>
          <w:sz w:val="14"/>
          <w:szCs w:val="14"/>
          <w:lang w:val="en-AU"/>
        </w:rPr>
        <w:tab/>
      </w:r>
      <w:r w:rsidRPr="000D040A">
        <w:rPr>
          <w:rFonts w:ascii="Arial" w:hAnsi="Arial"/>
          <w:sz w:val="14"/>
          <w:szCs w:val="14"/>
          <w:lang w:val="en-AU"/>
        </w:rPr>
        <w:tab/>
      </w:r>
      <w:r w:rsidRPr="000D040A">
        <w:rPr>
          <w:rFonts w:ascii="Arial" w:hAnsi="Arial"/>
          <w:sz w:val="14"/>
          <w:szCs w:val="14"/>
          <w:lang w:val="en-AU"/>
        </w:rPr>
        <w:tab/>
      </w:r>
      <w:r w:rsidRPr="000D040A">
        <w:rPr>
          <w:rFonts w:ascii="Arial" w:hAnsi="Arial"/>
          <w:sz w:val="14"/>
          <w:szCs w:val="14"/>
          <w:lang w:val="en-AU"/>
        </w:rPr>
        <w:tab/>
      </w:r>
      <w:r w:rsidRPr="000D040A">
        <w:rPr>
          <w:rFonts w:ascii="Arial" w:hAnsi="Arial"/>
          <w:sz w:val="14"/>
          <w:szCs w:val="14"/>
          <w:lang w:val="en-AU"/>
        </w:rPr>
        <w:tab/>
      </w:r>
      <w:r w:rsidRPr="000D040A">
        <w:rPr>
          <w:rFonts w:ascii="Arial" w:hAnsi="Arial"/>
          <w:sz w:val="14"/>
          <w:szCs w:val="14"/>
          <w:lang w:val="en-AU"/>
        </w:rPr>
        <w:tab/>
      </w:r>
    </w:p>
    <w:p w14:paraId="67356078" w14:textId="55E7672E" w:rsidR="000D040A" w:rsidRPr="000D040A" w:rsidRDefault="000D040A" w:rsidP="000D040A">
      <w:pPr>
        <w:tabs>
          <w:tab w:val="left" w:pos="284"/>
        </w:tabs>
        <w:spacing w:before="0" w:after="0"/>
        <w:ind w:left="284" w:hanging="284"/>
        <w:jc w:val="both"/>
        <w:rPr>
          <w:rFonts w:ascii="Arial" w:hAnsi="Arial"/>
          <w:sz w:val="14"/>
          <w:szCs w:val="14"/>
          <w:lang w:val="en-AU"/>
        </w:rPr>
      </w:pPr>
      <w:r w:rsidRPr="000D040A">
        <w:rPr>
          <w:rFonts w:ascii="Arial" w:hAnsi="Arial"/>
          <w:sz w:val="14"/>
          <w:szCs w:val="14"/>
          <w:lang w:val="en-AU"/>
        </w:rPr>
        <w:t xml:space="preserve">c. </w:t>
      </w:r>
      <w:r w:rsidR="00F63AEF">
        <w:rPr>
          <w:rFonts w:ascii="Arial" w:hAnsi="Arial"/>
          <w:sz w:val="14"/>
          <w:szCs w:val="14"/>
          <w:lang w:val="en-AU"/>
        </w:rPr>
        <w:tab/>
      </w:r>
      <w:r w:rsidRPr="000D040A">
        <w:rPr>
          <w:rFonts w:ascii="Arial" w:hAnsi="Arial"/>
          <w:sz w:val="14"/>
          <w:szCs w:val="14"/>
          <w:lang w:val="en-AU"/>
        </w:rPr>
        <w:t>Security and Estate Sustainment includes all estate maintenance, garrison support and associated costs for the Department.</w:t>
      </w:r>
      <w:r w:rsidRPr="000D040A">
        <w:rPr>
          <w:rFonts w:ascii="Arial" w:hAnsi="Arial"/>
          <w:sz w:val="14"/>
          <w:szCs w:val="14"/>
          <w:lang w:val="en-AU"/>
        </w:rPr>
        <w:tab/>
      </w:r>
      <w:r w:rsidRPr="000D040A">
        <w:rPr>
          <w:rFonts w:ascii="Arial" w:hAnsi="Arial"/>
          <w:sz w:val="14"/>
          <w:szCs w:val="14"/>
          <w:lang w:val="en-AU"/>
        </w:rPr>
        <w:tab/>
      </w:r>
      <w:r w:rsidRPr="000D040A">
        <w:rPr>
          <w:rFonts w:ascii="Arial" w:hAnsi="Arial"/>
          <w:sz w:val="14"/>
          <w:szCs w:val="14"/>
          <w:lang w:val="en-AU"/>
        </w:rPr>
        <w:tab/>
      </w:r>
      <w:r w:rsidRPr="000D040A">
        <w:rPr>
          <w:rFonts w:ascii="Arial" w:hAnsi="Arial"/>
          <w:sz w:val="14"/>
          <w:szCs w:val="14"/>
          <w:lang w:val="en-AU"/>
        </w:rPr>
        <w:tab/>
      </w:r>
      <w:r w:rsidRPr="000D040A">
        <w:rPr>
          <w:rFonts w:ascii="Arial" w:hAnsi="Arial"/>
          <w:sz w:val="14"/>
          <w:szCs w:val="14"/>
          <w:lang w:val="en-AU"/>
        </w:rPr>
        <w:tab/>
      </w:r>
      <w:r w:rsidRPr="000D040A">
        <w:rPr>
          <w:rFonts w:ascii="Arial" w:hAnsi="Arial"/>
          <w:sz w:val="14"/>
          <w:szCs w:val="14"/>
          <w:lang w:val="en-AU"/>
        </w:rPr>
        <w:tab/>
      </w:r>
      <w:r w:rsidRPr="000D040A">
        <w:rPr>
          <w:rFonts w:ascii="Arial" w:hAnsi="Arial"/>
          <w:sz w:val="14"/>
          <w:szCs w:val="14"/>
          <w:lang w:val="en-AU"/>
        </w:rPr>
        <w:tab/>
      </w:r>
    </w:p>
    <w:p w14:paraId="0DBF9C80" w14:textId="54E4FC51" w:rsidR="00DC5CDF" w:rsidRPr="00DC5CDF" w:rsidRDefault="000D040A" w:rsidP="000D040A">
      <w:pPr>
        <w:tabs>
          <w:tab w:val="left" w:pos="284"/>
        </w:tabs>
        <w:spacing w:before="0" w:after="0"/>
        <w:ind w:left="284" w:hanging="284"/>
        <w:jc w:val="both"/>
        <w:rPr>
          <w:rFonts w:ascii="Arial" w:hAnsi="Arial"/>
          <w:sz w:val="14"/>
          <w:szCs w:val="14"/>
          <w:lang w:val="en-AU"/>
        </w:rPr>
      </w:pPr>
      <w:r w:rsidRPr="000D040A">
        <w:rPr>
          <w:rFonts w:ascii="Arial" w:hAnsi="Arial"/>
          <w:sz w:val="14"/>
          <w:szCs w:val="14"/>
          <w:lang w:val="en-AU"/>
        </w:rPr>
        <w:t xml:space="preserve">d. </w:t>
      </w:r>
      <w:r w:rsidR="00F63AEF">
        <w:rPr>
          <w:rFonts w:ascii="Arial" w:hAnsi="Arial"/>
          <w:sz w:val="14"/>
          <w:szCs w:val="14"/>
          <w:lang w:val="en-AU"/>
        </w:rPr>
        <w:tab/>
      </w:r>
      <w:r w:rsidRPr="000D040A">
        <w:rPr>
          <w:rFonts w:ascii="Arial" w:hAnsi="Arial"/>
          <w:sz w:val="14"/>
          <w:szCs w:val="14"/>
          <w:lang w:val="en-AU"/>
        </w:rPr>
        <w:t xml:space="preserve">Total sustainment includes both </w:t>
      </w:r>
      <w:r w:rsidR="00101B50" w:rsidRPr="000D040A">
        <w:rPr>
          <w:rFonts w:ascii="Arial" w:hAnsi="Arial"/>
          <w:sz w:val="14"/>
          <w:szCs w:val="14"/>
          <w:lang w:val="en-AU"/>
        </w:rPr>
        <w:t xml:space="preserve">approved (current) sustainment and </w:t>
      </w:r>
      <w:r w:rsidRPr="000D040A">
        <w:rPr>
          <w:rFonts w:ascii="Arial" w:hAnsi="Arial"/>
          <w:sz w:val="14"/>
          <w:szCs w:val="14"/>
          <w:lang w:val="en-AU"/>
        </w:rPr>
        <w:t>unapproved sustainment (relating to unapproved projects</w:t>
      </w:r>
      <w:r w:rsidR="00101B50" w:rsidRPr="000D040A">
        <w:rPr>
          <w:rFonts w:ascii="Arial" w:hAnsi="Arial"/>
          <w:sz w:val="14"/>
          <w:szCs w:val="14"/>
          <w:lang w:val="en-AU"/>
        </w:rPr>
        <w:t>)</w:t>
      </w:r>
      <w:r w:rsidRPr="000D040A">
        <w:rPr>
          <w:rFonts w:ascii="Arial" w:hAnsi="Arial"/>
          <w:sz w:val="14"/>
          <w:szCs w:val="14"/>
          <w:lang w:val="en-AU"/>
        </w:rPr>
        <w:t>.</w:t>
      </w:r>
      <w:r w:rsidRPr="000D040A">
        <w:rPr>
          <w:rFonts w:ascii="Arial" w:hAnsi="Arial"/>
          <w:sz w:val="14"/>
          <w:szCs w:val="14"/>
          <w:lang w:val="en-AU"/>
        </w:rPr>
        <w:tab/>
      </w:r>
      <w:r w:rsidRPr="000D040A">
        <w:rPr>
          <w:rFonts w:ascii="Arial" w:hAnsi="Arial"/>
          <w:sz w:val="14"/>
          <w:szCs w:val="14"/>
          <w:lang w:val="en-AU"/>
        </w:rPr>
        <w:tab/>
      </w:r>
      <w:r w:rsidRPr="000D040A">
        <w:rPr>
          <w:rFonts w:ascii="Arial" w:hAnsi="Arial"/>
          <w:sz w:val="14"/>
          <w:szCs w:val="14"/>
          <w:lang w:val="en-AU"/>
        </w:rPr>
        <w:tab/>
      </w:r>
      <w:r w:rsidRPr="000D040A">
        <w:rPr>
          <w:rFonts w:ascii="Arial" w:hAnsi="Arial"/>
          <w:sz w:val="14"/>
          <w:szCs w:val="14"/>
          <w:lang w:val="en-AU"/>
        </w:rPr>
        <w:tab/>
      </w:r>
      <w:r w:rsidRPr="000D040A">
        <w:rPr>
          <w:rFonts w:ascii="Arial" w:hAnsi="Arial"/>
          <w:sz w:val="14"/>
          <w:szCs w:val="14"/>
          <w:lang w:val="en-AU"/>
        </w:rPr>
        <w:tab/>
      </w:r>
      <w:r w:rsidRPr="000D040A">
        <w:rPr>
          <w:rFonts w:ascii="Arial" w:hAnsi="Arial"/>
          <w:sz w:val="14"/>
          <w:szCs w:val="14"/>
          <w:lang w:val="en-AU"/>
        </w:rPr>
        <w:tab/>
      </w:r>
      <w:r w:rsidRPr="000D040A">
        <w:rPr>
          <w:rFonts w:ascii="Arial" w:hAnsi="Arial"/>
          <w:sz w:val="14"/>
          <w:szCs w:val="14"/>
          <w:lang w:val="en-AU"/>
        </w:rPr>
        <w:tab/>
      </w:r>
      <w:r w:rsidR="000B4C8C">
        <w:rPr>
          <w:rFonts w:ascii="Arial" w:hAnsi="Arial"/>
          <w:sz w:val="14"/>
          <w:szCs w:val="14"/>
          <w:lang w:val="en-AU"/>
        </w:rPr>
        <w:tab/>
      </w:r>
    </w:p>
    <w:p w14:paraId="0AE38104" w14:textId="77777777" w:rsidR="000B4C8C" w:rsidRPr="000B4C8C" w:rsidRDefault="00DC5CDF" w:rsidP="00DC5CDF">
      <w:pPr>
        <w:tabs>
          <w:tab w:val="left" w:pos="284"/>
        </w:tabs>
        <w:spacing w:before="0" w:after="0"/>
        <w:ind w:left="284" w:hanging="284"/>
        <w:jc w:val="both"/>
        <w:rPr>
          <w:rFonts w:ascii="Arial" w:hAnsi="Arial"/>
          <w:sz w:val="14"/>
          <w:szCs w:val="14"/>
          <w:lang w:val="en-AU"/>
        </w:rPr>
      </w:pPr>
      <w:r w:rsidRPr="00DC5CDF">
        <w:rPr>
          <w:rFonts w:ascii="Arial" w:hAnsi="Arial"/>
          <w:sz w:val="14"/>
          <w:szCs w:val="14"/>
          <w:lang w:val="en-AU"/>
        </w:rPr>
        <w:tab/>
      </w:r>
      <w:r w:rsidRPr="00DC5CDF">
        <w:rPr>
          <w:rFonts w:ascii="Arial" w:hAnsi="Arial"/>
          <w:sz w:val="14"/>
          <w:szCs w:val="14"/>
          <w:lang w:val="en-AU"/>
        </w:rPr>
        <w:tab/>
      </w:r>
      <w:r w:rsidRPr="00DC5CDF">
        <w:rPr>
          <w:rFonts w:ascii="Arial" w:hAnsi="Arial"/>
          <w:sz w:val="14"/>
          <w:szCs w:val="14"/>
          <w:lang w:val="en-AU"/>
        </w:rPr>
        <w:tab/>
      </w:r>
    </w:p>
    <w:p w14:paraId="54D937DD" w14:textId="77777777" w:rsidR="009C3F7A" w:rsidRPr="00B56FAA" w:rsidRDefault="000B4C8C" w:rsidP="000B4C8C">
      <w:pPr>
        <w:tabs>
          <w:tab w:val="left" w:pos="284"/>
        </w:tabs>
        <w:spacing w:before="0" w:after="0"/>
        <w:ind w:left="284" w:hanging="284"/>
        <w:jc w:val="both"/>
        <w:rPr>
          <w:rFonts w:ascii="Arial" w:hAnsi="Arial"/>
          <w:b/>
          <w:sz w:val="14"/>
          <w:szCs w:val="14"/>
          <w:lang w:val="en-AU"/>
        </w:rPr>
      </w:pPr>
      <w:r w:rsidRPr="000B4C8C">
        <w:rPr>
          <w:rFonts w:ascii="Arial" w:hAnsi="Arial"/>
          <w:sz w:val="14"/>
          <w:szCs w:val="14"/>
          <w:lang w:val="en-AU"/>
        </w:rPr>
        <w:tab/>
      </w:r>
      <w:r w:rsidRPr="000B4C8C">
        <w:rPr>
          <w:rFonts w:ascii="Arial" w:hAnsi="Arial"/>
          <w:sz w:val="14"/>
          <w:szCs w:val="14"/>
          <w:lang w:val="en-AU"/>
        </w:rPr>
        <w:tab/>
      </w:r>
      <w:r w:rsidRPr="000B4C8C">
        <w:rPr>
          <w:rFonts w:ascii="Arial" w:hAnsi="Arial"/>
          <w:sz w:val="14"/>
          <w:szCs w:val="14"/>
          <w:lang w:val="en-AU"/>
        </w:rPr>
        <w:tab/>
      </w:r>
      <w:r w:rsidRPr="000B4C8C">
        <w:rPr>
          <w:rFonts w:ascii="Arial" w:hAnsi="Arial"/>
          <w:sz w:val="14"/>
          <w:szCs w:val="14"/>
          <w:lang w:val="en-AU"/>
        </w:rPr>
        <w:tab/>
      </w:r>
      <w:r w:rsidRPr="000B4C8C">
        <w:rPr>
          <w:rFonts w:ascii="Arial" w:hAnsi="Arial"/>
          <w:sz w:val="14"/>
          <w:szCs w:val="14"/>
          <w:lang w:val="en-AU"/>
        </w:rPr>
        <w:tab/>
      </w:r>
      <w:r w:rsidRPr="000B4C8C">
        <w:rPr>
          <w:rFonts w:ascii="Arial" w:hAnsi="Arial"/>
          <w:sz w:val="14"/>
          <w:szCs w:val="14"/>
          <w:lang w:val="en-AU"/>
        </w:rPr>
        <w:tab/>
      </w:r>
      <w:r w:rsidRPr="000B4C8C">
        <w:rPr>
          <w:rFonts w:ascii="Arial" w:hAnsi="Arial"/>
          <w:sz w:val="14"/>
          <w:szCs w:val="14"/>
          <w:lang w:val="en-AU"/>
        </w:rPr>
        <w:tab/>
      </w:r>
      <w:r w:rsidR="009C3F7A" w:rsidRPr="00CA7E64">
        <w:rPr>
          <w:rFonts w:ascii="Arial" w:hAnsi="Arial"/>
          <w:sz w:val="14"/>
          <w:szCs w:val="14"/>
          <w:lang w:val="en-AU"/>
        </w:rPr>
        <w:tab/>
      </w:r>
      <w:r w:rsidR="009C3F7A" w:rsidRPr="00CA7E64">
        <w:rPr>
          <w:rFonts w:ascii="Arial" w:hAnsi="Arial"/>
          <w:sz w:val="14"/>
          <w:szCs w:val="14"/>
          <w:lang w:val="en-AU"/>
        </w:rPr>
        <w:tab/>
      </w:r>
      <w:r w:rsidR="009C3F7A" w:rsidRPr="00CA7E64">
        <w:rPr>
          <w:rFonts w:ascii="Arial" w:hAnsi="Arial"/>
          <w:sz w:val="14"/>
          <w:szCs w:val="14"/>
          <w:lang w:val="en-AU"/>
        </w:rPr>
        <w:tab/>
      </w:r>
      <w:r w:rsidR="009C3F7A" w:rsidRPr="00CA7E64">
        <w:rPr>
          <w:rFonts w:ascii="Arial" w:hAnsi="Arial"/>
          <w:sz w:val="14"/>
          <w:szCs w:val="14"/>
          <w:lang w:val="en-AU"/>
        </w:rPr>
        <w:tab/>
      </w:r>
      <w:r w:rsidR="009C3F7A" w:rsidRPr="00CA7E64">
        <w:rPr>
          <w:rFonts w:ascii="Arial" w:hAnsi="Arial"/>
          <w:sz w:val="14"/>
          <w:szCs w:val="14"/>
          <w:lang w:val="en-AU"/>
        </w:rPr>
        <w:tab/>
      </w:r>
      <w:r w:rsidR="009C3F7A" w:rsidRPr="00CA7E64">
        <w:rPr>
          <w:rFonts w:ascii="Arial" w:hAnsi="Arial"/>
          <w:sz w:val="14"/>
          <w:szCs w:val="14"/>
          <w:lang w:val="en-AU"/>
        </w:rPr>
        <w:tab/>
      </w:r>
      <w:r w:rsidR="009C3F7A" w:rsidRPr="00CA7E64">
        <w:rPr>
          <w:rFonts w:ascii="Arial" w:hAnsi="Arial"/>
          <w:sz w:val="14"/>
          <w:szCs w:val="14"/>
          <w:lang w:val="en-AU"/>
        </w:rPr>
        <w:tab/>
      </w:r>
      <w:r w:rsidR="009C3F7A" w:rsidRPr="00CA7E64">
        <w:rPr>
          <w:rFonts w:ascii="Arial" w:hAnsi="Arial"/>
          <w:sz w:val="14"/>
          <w:szCs w:val="14"/>
          <w:lang w:val="en-AU"/>
        </w:rPr>
        <w:tab/>
      </w:r>
      <w:r>
        <w:rPr>
          <w:rFonts w:ascii="Arial" w:hAnsi="Arial"/>
          <w:b/>
          <w:sz w:val="14"/>
          <w:szCs w:val="14"/>
          <w:lang w:val="en-AU"/>
        </w:rPr>
        <w:tab/>
      </w:r>
      <w:r>
        <w:rPr>
          <w:rFonts w:ascii="Arial" w:hAnsi="Arial"/>
          <w:b/>
          <w:sz w:val="14"/>
          <w:szCs w:val="14"/>
          <w:lang w:val="en-AU"/>
        </w:rPr>
        <w:tab/>
      </w:r>
      <w:r>
        <w:rPr>
          <w:rFonts w:ascii="Arial" w:hAnsi="Arial"/>
          <w:b/>
          <w:sz w:val="14"/>
          <w:szCs w:val="14"/>
          <w:lang w:val="en-AU"/>
        </w:rPr>
        <w:tab/>
      </w:r>
      <w:r>
        <w:rPr>
          <w:rFonts w:ascii="Arial" w:hAnsi="Arial"/>
          <w:b/>
          <w:sz w:val="14"/>
          <w:szCs w:val="14"/>
          <w:lang w:val="en-AU"/>
        </w:rPr>
        <w:tab/>
      </w:r>
      <w:r>
        <w:rPr>
          <w:rFonts w:ascii="Arial" w:hAnsi="Arial"/>
          <w:b/>
          <w:sz w:val="14"/>
          <w:szCs w:val="14"/>
          <w:lang w:val="en-AU"/>
        </w:rPr>
        <w:tab/>
      </w:r>
      <w:r>
        <w:rPr>
          <w:rFonts w:ascii="Arial" w:hAnsi="Arial"/>
          <w:b/>
          <w:sz w:val="14"/>
          <w:szCs w:val="14"/>
          <w:lang w:val="en-AU"/>
        </w:rPr>
        <w:tab/>
      </w:r>
      <w:r>
        <w:rPr>
          <w:rFonts w:ascii="Arial" w:hAnsi="Arial"/>
          <w:b/>
          <w:sz w:val="14"/>
          <w:szCs w:val="14"/>
          <w:lang w:val="en-AU"/>
        </w:rPr>
        <w:tab/>
      </w:r>
    </w:p>
    <w:bookmarkEnd w:id="674"/>
    <w:p w14:paraId="2C410914" w14:textId="77777777" w:rsidR="001A3CA2" w:rsidRPr="00B56FAA" w:rsidRDefault="00E46702" w:rsidP="00D9100A">
      <w:pPr>
        <w:pStyle w:val="TableHeading"/>
        <w:numPr>
          <w:ilvl w:val="0"/>
          <w:numId w:val="29"/>
        </w:numPr>
        <w:shd w:val="clear" w:color="auto" w:fill="FFFFFF"/>
        <w:spacing w:before="120" w:after="120"/>
        <w:ind w:left="0" w:firstLine="0"/>
        <w:outlineLvl w:val="6"/>
        <w:rPr>
          <w:lang w:val="en-AU"/>
        </w:rPr>
      </w:pPr>
      <w:r w:rsidRPr="00B56FAA">
        <w:rPr>
          <w:lang w:val="en-AU"/>
        </w:rPr>
        <w:t>Retained Capital Receipts</w:t>
      </w:r>
    </w:p>
    <w:p w14:paraId="56061E67" w14:textId="10E2E4A5" w:rsidR="00FD1A10" w:rsidRPr="00B56FAA" w:rsidRDefault="00FB1F61" w:rsidP="00656D60">
      <w:pPr>
        <w:spacing w:before="0" w:after="0"/>
      </w:pPr>
      <w:r w:rsidRPr="00FB1F61">
        <w:rPr>
          <w:noProof/>
          <w:lang w:val="en-AU"/>
        </w:rPr>
        <w:drawing>
          <wp:inline distT="0" distB="0" distL="0" distR="0" wp14:anchorId="5FD7401D" wp14:editId="07E06D50">
            <wp:extent cx="5471795" cy="1249616"/>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1795" cy="1249616"/>
                    </a:xfrm>
                    <a:prstGeom prst="rect">
                      <a:avLst/>
                    </a:prstGeom>
                    <a:noFill/>
                    <a:ln>
                      <a:noFill/>
                    </a:ln>
                  </pic:spPr>
                </pic:pic>
              </a:graphicData>
            </a:graphic>
          </wp:inline>
        </w:drawing>
      </w:r>
    </w:p>
    <w:p w14:paraId="43C942F7" w14:textId="77777777" w:rsidR="00656D60" w:rsidRPr="00B50740" w:rsidRDefault="00656D60" w:rsidP="00656D60">
      <w:pPr>
        <w:spacing w:before="0" w:after="0"/>
        <w:rPr>
          <w:rFonts w:ascii="Arial" w:hAnsi="Arial"/>
          <w:sz w:val="14"/>
          <w:szCs w:val="14"/>
          <w:lang w:val="en-AU"/>
        </w:rPr>
      </w:pPr>
    </w:p>
    <w:p w14:paraId="1B1AC6A3" w14:textId="77777777" w:rsidR="0046118C" w:rsidRPr="0046118C" w:rsidRDefault="0046118C" w:rsidP="00703FC4">
      <w:pPr>
        <w:spacing w:before="0" w:after="0"/>
        <w:ind w:left="284"/>
        <w:rPr>
          <w:rFonts w:ascii="Arial" w:hAnsi="Arial"/>
          <w:sz w:val="14"/>
          <w:szCs w:val="14"/>
          <w:lang w:val="en-AU"/>
        </w:rPr>
      </w:pPr>
    </w:p>
    <w:p w14:paraId="6D432AF0" w14:textId="77777777" w:rsidR="0046118C" w:rsidRPr="00B56FAA" w:rsidRDefault="0046118C" w:rsidP="0046118C">
      <w:pPr>
        <w:spacing w:before="0" w:after="0"/>
        <w:ind w:left="284" w:hanging="284"/>
        <w:rPr>
          <w:rFonts w:ascii="Arial" w:hAnsi="Arial"/>
          <w:b/>
          <w:sz w:val="14"/>
          <w:szCs w:val="14"/>
          <w:lang w:val="en-AU"/>
        </w:rPr>
      </w:pPr>
    </w:p>
    <w:p w14:paraId="44D31D38" w14:textId="77777777" w:rsidR="006E3B39" w:rsidRPr="00437A14" w:rsidRDefault="004C687F" w:rsidP="00437A14">
      <w:pPr>
        <w:pStyle w:val="Heading4"/>
      </w:pPr>
      <w:bookmarkStart w:id="675" w:name="_Toc355262892"/>
      <w:bookmarkStart w:id="676" w:name="_Toc355271247"/>
      <w:bookmarkStart w:id="677" w:name="_Toc355343316"/>
      <w:bookmarkStart w:id="678" w:name="_Toc355620804"/>
      <w:bookmarkStart w:id="679" w:name="_Toc359245773"/>
      <w:bookmarkStart w:id="680" w:name="_Toc374969027"/>
      <w:bookmarkStart w:id="681" w:name="_Toc375310539"/>
      <w:r w:rsidRPr="00B56FAA">
        <w:rPr>
          <w:lang w:val="en-AU"/>
        </w:rPr>
        <w:br w:type="page"/>
      </w:r>
      <w:bookmarkStart w:id="682" w:name="_Toc507595420"/>
      <w:bookmarkStart w:id="683" w:name="_Toc536089228"/>
      <w:bookmarkStart w:id="684" w:name="_Toc536089488"/>
      <w:bookmarkStart w:id="685" w:name="_Toc536089594"/>
      <w:bookmarkStart w:id="686" w:name="_Toc69729044"/>
      <w:bookmarkStart w:id="687" w:name="_Toc97747827"/>
      <w:bookmarkStart w:id="688" w:name="_Toc108088938"/>
      <w:bookmarkStart w:id="689" w:name="_Toc108089017"/>
      <w:bookmarkStart w:id="690" w:name="_Toc108089412"/>
      <w:bookmarkStart w:id="691" w:name="_Toc159499681"/>
      <w:bookmarkStart w:id="692" w:name="_Toc159859098"/>
      <w:bookmarkStart w:id="693" w:name="_Toc159859250"/>
      <w:bookmarkEnd w:id="675"/>
      <w:bookmarkEnd w:id="676"/>
      <w:bookmarkEnd w:id="677"/>
      <w:bookmarkEnd w:id="678"/>
      <w:bookmarkEnd w:id="679"/>
      <w:bookmarkEnd w:id="680"/>
      <w:bookmarkEnd w:id="681"/>
      <w:r w:rsidR="00EA1050" w:rsidRPr="00437A14">
        <w:lastRenderedPageBreak/>
        <w:t xml:space="preserve">1.5 </w:t>
      </w:r>
      <w:r w:rsidR="00337D21" w:rsidRPr="00437A14">
        <w:t>People</w:t>
      </w:r>
      <w:bookmarkEnd w:id="682"/>
      <w:bookmarkEnd w:id="683"/>
      <w:bookmarkEnd w:id="684"/>
      <w:bookmarkEnd w:id="685"/>
      <w:bookmarkEnd w:id="686"/>
      <w:bookmarkEnd w:id="687"/>
      <w:bookmarkEnd w:id="688"/>
      <w:bookmarkEnd w:id="689"/>
      <w:bookmarkEnd w:id="690"/>
      <w:bookmarkEnd w:id="691"/>
      <w:bookmarkEnd w:id="692"/>
      <w:bookmarkEnd w:id="693"/>
    </w:p>
    <w:p w14:paraId="7214B3B3" w14:textId="77777777" w:rsidR="00EA6F9F" w:rsidRDefault="00596C40" w:rsidP="00754942">
      <w:pPr>
        <w:pStyle w:val="Heading4level5"/>
        <w:spacing w:before="120" w:after="120"/>
        <w:rPr>
          <w:szCs w:val="22"/>
          <w:lang w:val="en-AU"/>
        </w:rPr>
      </w:pPr>
      <w:r w:rsidRPr="00B56FAA">
        <w:rPr>
          <w:szCs w:val="22"/>
          <w:lang w:val="en-AU"/>
        </w:rPr>
        <w:t>Workforce Overview</w:t>
      </w:r>
    </w:p>
    <w:p w14:paraId="1F3EC960" w14:textId="77777777" w:rsidR="003173A8" w:rsidRPr="00A074C4" w:rsidRDefault="003173A8" w:rsidP="003173A8">
      <w:pPr>
        <w:pStyle w:val="Bullet"/>
        <w:rPr>
          <w:lang w:val="en-AU"/>
        </w:rPr>
      </w:pPr>
      <w:r w:rsidRPr="00A074C4">
        <w:rPr>
          <w:lang w:val="en-AU"/>
        </w:rPr>
        <w:t>The</w:t>
      </w:r>
      <w:r w:rsidRPr="00A074C4">
        <w:rPr>
          <w:i/>
          <w:lang w:val="en-AU"/>
        </w:rPr>
        <w:t xml:space="preserve"> 2024 Defence Workforce Plan</w:t>
      </w:r>
      <w:r>
        <w:rPr>
          <w:i/>
          <w:lang w:val="en-AU"/>
        </w:rPr>
        <w:t xml:space="preserve"> </w:t>
      </w:r>
      <w:r>
        <w:rPr>
          <w:lang w:val="en-AU"/>
        </w:rPr>
        <w:t>(the Workforce Plan)</w:t>
      </w:r>
      <w:r w:rsidRPr="00A074C4">
        <w:rPr>
          <w:lang w:val="en-AU"/>
        </w:rPr>
        <w:t xml:space="preserve">, released in November 2024, outlined how Defence will achieve the Australian Defence Force (ADF), Australian Public Service (APS) and external workforce required to deliver Australia’s National Defence Strategy. </w:t>
      </w:r>
    </w:p>
    <w:p w14:paraId="46C0185B" w14:textId="77777777" w:rsidR="003173A8" w:rsidRPr="00A074C4" w:rsidRDefault="003173A8" w:rsidP="003173A8">
      <w:pPr>
        <w:pStyle w:val="Bullet"/>
        <w:rPr>
          <w:lang w:val="en-AU"/>
        </w:rPr>
      </w:pPr>
      <w:r w:rsidRPr="00A074C4">
        <w:rPr>
          <w:lang w:val="en-AU"/>
        </w:rPr>
        <w:t>Through the initiatives included in the Workforce Plan</w:t>
      </w:r>
      <w:r>
        <w:rPr>
          <w:lang w:val="en-AU"/>
        </w:rPr>
        <w:t>,</w:t>
      </w:r>
      <w:r w:rsidRPr="00A074C4">
        <w:rPr>
          <w:lang w:val="en-AU"/>
        </w:rPr>
        <w:t xml:space="preserve"> the permanent ADF will grow to around 69,000 by the early 2030s, with a focus on strengthening the junior and middle ranks. Defence will continue to invest in the skilling and development of the Defence APS while reducing reliance on the contracted workforce. Defence recognises there will continue to be a need for contracted support in specialist areas.</w:t>
      </w:r>
    </w:p>
    <w:p w14:paraId="5273228A" w14:textId="77777777" w:rsidR="003173A8" w:rsidRDefault="003173A8" w:rsidP="003173A8">
      <w:pPr>
        <w:pStyle w:val="Bullet"/>
        <w:rPr>
          <w:lang w:val="en-AU"/>
        </w:rPr>
      </w:pPr>
      <w:r w:rsidRPr="00A074C4">
        <w:rPr>
          <w:lang w:val="en-AU"/>
        </w:rPr>
        <w:t>The Workforce Plan includes eight strategic tasks with clearly defined actions and outcomes to address the requirements of the total Defence workforce. These eight strategic tasks address ADF recruitment and retention, APS skilling and development, as well as actions that will improve Defence’s organisational culture, the wellbeing of our people and the support to ADF members and their families.</w:t>
      </w:r>
    </w:p>
    <w:p w14:paraId="2600ECEA" w14:textId="5D150E7A" w:rsidR="00D87A5A" w:rsidRPr="00C330C3" w:rsidRDefault="003173A8" w:rsidP="003173A8">
      <w:pPr>
        <w:pStyle w:val="Bullet"/>
      </w:pPr>
      <w:r w:rsidRPr="00A074C4">
        <w:rPr>
          <w:lang w:val="en-AU"/>
        </w:rPr>
        <w:t xml:space="preserve">The Workforce Plan will work hand-in-hand with </w:t>
      </w:r>
      <w:r>
        <w:rPr>
          <w:lang w:val="en-AU"/>
        </w:rPr>
        <w:t xml:space="preserve">other broader efforts to improve the lifetime wellbeing of Defence members, veterans and their families, which includes the </w:t>
      </w:r>
      <w:r w:rsidRPr="61389F15">
        <w:rPr>
          <w:rFonts w:eastAsia="Calibri Light" w:cs="Calibri Light"/>
        </w:rPr>
        <w:t>Government Response to the Final Report of the Royal Commission in</w:t>
      </w:r>
      <w:r>
        <w:rPr>
          <w:rFonts w:eastAsia="Calibri Light" w:cs="Calibri Light"/>
        </w:rPr>
        <w:t xml:space="preserve">to Defence and Veteran Suicide. Defence will implement the </w:t>
      </w:r>
      <w:r w:rsidRPr="007E5FF2">
        <w:rPr>
          <w:rFonts w:eastAsia="Calibri Light" w:cs="Calibri Light"/>
        </w:rPr>
        <w:t xml:space="preserve">agreed recommendations </w:t>
      </w:r>
      <w:r>
        <w:rPr>
          <w:rFonts w:eastAsia="Calibri Light" w:cs="Calibri Light"/>
        </w:rPr>
        <w:t xml:space="preserve">from the Government Response it </w:t>
      </w:r>
      <w:r w:rsidRPr="007E5FF2">
        <w:rPr>
          <w:rFonts w:eastAsia="Calibri Light" w:cs="Calibri Light"/>
        </w:rPr>
        <w:t>has responsibility to lead</w:t>
      </w:r>
      <w:r>
        <w:rPr>
          <w:rFonts w:eastAsia="Calibri Light" w:cs="Calibri Light"/>
        </w:rPr>
        <w:t xml:space="preserve">, as guided by the new Commonwealth Taskforce </w:t>
      </w:r>
      <w:r w:rsidRPr="007E5FF2">
        <w:rPr>
          <w:rFonts w:eastAsia="Calibri Light" w:cs="Calibri Light"/>
        </w:rPr>
        <w:t>led out of the Department of the Prime Minister and Cabinet</w:t>
      </w:r>
      <w:r>
        <w:rPr>
          <w:rFonts w:eastAsia="Calibri Light" w:cs="Calibri Light"/>
        </w:rPr>
        <w:t>. Defence will also engage, as required, with the Interim Head of the new Defence and Veterans’ Service Commission</w:t>
      </w:r>
      <w:r w:rsidR="00B37130">
        <w:rPr>
          <w:rFonts w:eastAsia="Calibri Light" w:cs="Calibri Light"/>
        </w:rPr>
        <w:t>,</w:t>
      </w:r>
      <w:r>
        <w:rPr>
          <w:rFonts w:eastAsia="Calibri Light" w:cs="Calibri Light"/>
        </w:rPr>
        <w:t xml:space="preserve"> as they work </w:t>
      </w:r>
      <w:r w:rsidRPr="006C260C">
        <w:rPr>
          <w:rFonts w:eastAsia="Calibri Light" w:cs="Calibri Light"/>
        </w:rPr>
        <w:t>across government</w:t>
      </w:r>
      <w:r>
        <w:rPr>
          <w:rFonts w:eastAsia="Calibri Light" w:cs="Calibri Light"/>
        </w:rPr>
        <w:t xml:space="preserve"> towards the </w:t>
      </w:r>
      <w:r w:rsidR="0030332C">
        <w:rPr>
          <w:rFonts w:eastAsia="Calibri Light" w:cs="Calibri Light"/>
        </w:rPr>
        <w:t xml:space="preserve">commencement of the </w:t>
      </w:r>
      <w:r w:rsidRPr="006C260C">
        <w:rPr>
          <w:rFonts w:eastAsia="Calibri Light" w:cs="Calibri Light"/>
        </w:rPr>
        <w:t xml:space="preserve">legislated oversight body </w:t>
      </w:r>
      <w:r w:rsidR="0030332C">
        <w:rPr>
          <w:rFonts w:eastAsia="Calibri Light" w:cs="Calibri Light"/>
        </w:rPr>
        <w:t>on 30</w:t>
      </w:r>
      <w:r w:rsidRPr="006C260C">
        <w:rPr>
          <w:rFonts w:eastAsia="Calibri Light" w:cs="Calibri Light"/>
        </w:rPr>
        <w:t xml:space="preserve"> September 2025</w:t>
      </w:r>
      <w:r w:rsidR="00D87A5A" w:rsidRPr="003173A8">
        <w:t>.</w:t>
      </w:r>
    </w:p>
    <w:p w14:paraId="0C8D8C40" w14:textId="77777777" w:rsidR="00D87A5A" w:rsidRPr="009E341A" w:rsidRDefault="00D87A5A" w:rsidP="009E341A">
      <w:pPr>
        <w:pStyle w:val="Heading5noTOC"/>
        <w:outlineLvl w:val="4"/>
        <w:rPr>
          <w:sz w:val="22"/>
          <w:szCs w:val="22"/>
        </w:rPr>
      </w:pPr>
      <w:bookmarkStart w:id="694" w:name="_Toc159499682"/>
      <w:bookmarkStart w:id="695" w:name="_Toc159499968"/>
      <w:bookmarkStart w:id="696" w:name="_Toc159859099"/>
      <w:bookmarkStart w:id="697" w:name="_Toc159859251"/>
      <w:r w:rsidRPr="009E341A">
        <w:rPr>
          <w:sz w:val="22"/>
          <w:szCs w:val="22"/>
        </w:rPr>
        <w:t>Workforce Summary</w:t>
      </w:r>
      <w:bookmarkEnd w:id="694"/>
      <w:bookmarkEnd w:id="695"/>
      <w:bookmarkEnd w:id="696"/>
      <w:bookmarkEnd w:id="697"/>
    </w:p>
    <w:p w14:paraId="2D4A326B" w14:textId="4F0771CA" w:rsidR="003173A8" w:rsidRPr="00A074C4" w:rsidRDefault="003173A8" w:rsidP="003173A8">
      <w:r w:rsidRPr="00A074C4">
        <w:t xml:space="preserve">The planned growth path for the full-time equivalent </w:t>
      </w:r>
      <w:r w:rsidR="0058484B">
        <w:t xml:space="preserve">(FTE) </w:t>
      </w:r>
      <w:r w:rsidRPr="00A074C4">
        <w:t>Defence workforce will be 79,23</w:t>
      </w:r>
      <w:r w:rsidR="004D3EA0">
        <w:t>6</w:t>
      </w:r>
      <w:r w:rsidRPr="00A074C4">
        <w:t xml:space="preserve"> in 2025</w:t>
      </w:r>
      <w:r w:rsidR="00A261DB">
        <w:noBreakHyphen/>
      </w:r>
      <w:r w:rsidRPr="00A074C4">
        <w:t>26, comprising 59,373 permanent ADF (75 per cent) and 19,86</w:t>
      </w:r>
      <w:r w:rsidR="004D3EA0">
        <w:t>3</w:t>
      </w:r>
      <w:r w:rsidRPr="00A074C4">
        <w:t xml:space="preserve"> APS employees (25 per cent). The service breakdown of the permanent ADF is:</w:t>
      </w:r>
    </w:p>
    <w:p w14:paraId="127CEB12" w14:textId="77777777" w:rsidR="003173A8" w:rsidRPr="00A074C4" w:rsidRDefault="003173A8" w:rsidP="00444A89">
      <w:pPr>
        <w:numPr>
          <w:ilvl w:val="0"/>
          <w:numId w:val="44"/>
        </w:numPr>
        <w:ind w:left="284" w:hanging="284"/>
      </w:pPr>
      <w:r w:rsidRPr="00A074C4">
        <w:t>15,392 Navy personnel;</w:t>
      </w:r>
    </w:p>
    <w:p w14:paraId="5D52CDDB" w14:textId="77777777" w:rsidR="003173A8" w:rsidRPr="00A074C4" w:rsidRDefault="003173A8" w:rsidP="00444A89">
      <w:pPr>
        <w:numPr>
          <w:ilvl w:val="0"/>
          <w:numId w:val="44"/>
        </w:numPr>
        <w:ind w:left="284" w:hanging="284"/>
      </w:pPr>
      <w:r w:rsidRPr="00A074C4">
        <w:tab/>
        <w:t>27,773 Army personnel; and</w:t>
      </w:r>
    </w:p>
    <w:p w14:paraId="4CB02CDD" w14:textId="77777777" w:rsidR="003173A8" w:rsidRPr="00A074C4" w:rsidRDefault="003173A8" w:rsidP="00444A89">
      <w:pPr>
        <w:numPr>
          <w:ilvl w:val="0"/>
          <w:numId w:val="44"/>
        </w:numPr>
        <w:ind w:left="284" w:hanging="284"/>
      </w:pPr>
      <w:r w:rsidRPr="00A074C4">
        <w:tab/>
        <w:t>16,208 Air Force personnel.</w:t>
      </w:r>
    </w:p>
    <w:p w14:paraId="1DB6001D" w14:textId="77777777" w:rsidR="003173A8" w:rsidRPr="00A074C4" w:rsidRDefault="003173A8" w:rsidP="003173A8">
      <w:pPr>
        <w:pStyle w:val="Bullet"/>
        <w:rPr>
          <w:lang w:val="en-AU"/>
        </w:rPr>
      </w:pPr>
      <w:r w:rsidRPr="00A074C4">
        <w:t xml:space="preserve">The workforce growth path across the forward </w:t>
      </w:r>
      <w:r w:rsidRPr="00612D5F">
        <w:t>estimates (Table 8)</w:t>
      </w:r>
      <w:r w:rsidRPr="00A074C4">
        <w:t xml:space="preserve"> reflects the budgeted workforce requirement outlined in the </w:t>
      </w:r>
      <w:r w:rsidRPr="00A074C4">
        <w:rPr>
          <w:i/>
        </w:rPr>
        <w:t>2024 Defence Workforce Plan</w:t>
      </w:r>
      <w:r w:rsidRPr="00A074C4">
        <w:t>. </w:t>
      </w:r>
      <w:r w:rsidRPr="00A074C4">
        <w:rPr>
          <w:lang w:val="en-AU"/>
        </w:rPr>
        <w:t> </w:t>
      </w:r>
    </w:p>
    <w:p w14:paraId="6A2F2C9A" w14:textId="77777777" w:rsidR="003173A8" w:rsidRPr="00A074C4" w:rsidRDefault="003173A8" w:rsidP="003173A8">
      <w:pPr>
        <w:pStyle w:val="Bullet"/>
      </w:pPr>
      <w:r w:rsidRPr="00A074C4">
        <w:t>Modest growth is expected in the permanent ADF in 2025-26, with inflows exceeding outflows at the whole of ADF level. At the service level, Navy and Air Force are expected to continue to grow. Army’s inflow must increase further in 2025-26 to enable net growth.</w:t>
      </w:r>
    </w:p>
    <w:p w14:paraId="2ECF0882" w14:textId="77777777" w:rsidR="003173A8" w:rsidRPr="00A074C4" w:rsidRDefault="003173A8" w:rsidP="003173A8">
      <w:pPr>
        <w:pStyle w:val="Bullet"/>
        <w:rPr>
          <w:lang w:val="en-AU"/>
        </w:rPr>
      </w:pPr>
      <w:r w:rsidRPr="00A074C4">
        <w:t>Achieving net growth across all Services is a priority. Defence will continue to transform ADF recruitment and retention by:</w:t>
      </w:r>
      <w:r w:rsidRPr="00A074C4">
        <w:rPr>
          <w:lang w:val="en-AU"/>
        </w:rPr>
        <w:t> </w:t>
      </w:r>
    </w:p>
    <w:p w14:paraId="578620AB" w14:textId="77777777" w:rsidR="003173A8" w:rsidRPr="00A074C4" w:rsidRDefault="003173A8" w:rsidP="00444A89">
      <w:pPr>
        <w:numPr>
          <w:ilvl w:val="0"/>
          <w:numId w:val="44"/>
        </w:numPr>
        <w:ind w:left="284" w:hanging="284"/>
      </w:pPr>
      <w:r w:rsidRPr="00A074C4">
        <w:t>widening eligibility criteria to enable more people to join the ADF, including expanding the recruitment of eligible permanent residents living in Australia;</w:t>
      </w:r>
    </w:p>
    <w:p w14:paraId="4FA017DD" w14:textId="77777777" w:rsidR="003173A8" w:rsidRPr="00A074C4" w:rsidRDefault="003173A8" w:rsidP="00444A89">
      <w:pPr>
        <w:numPr>
          <w:ilvl w:val="0"/>
          <w:numId w:val="44"/>
        </w:numPr>
        <w:ind w:left="284" w:hanging="284"/>
      </w:pPr>
      <w:r w:rsidRPr="00A074C4">
        <w:t>expanding the recruiting system to translate this wider pool of eligible applicants into an increase in the number of ADF recruits;</w:t>
      </w:r>
    </w:p>
    <w:p w14:paraId="4BC047A9" w14:textId="77777777" w:rsidR="003173A8" w:rsidRPr="00A074C4" w:rsidRDefault="003173A8" w:rsidP="00444A89">
      <w:pPr>
        <w:numPr>
          <w:ilvl w:val="0"/>
          <w:numId w:val="44"/>
        </w:numPr>
        <w:ind w:left="284" w:hanging="284"/>
      </w:pPr>
      <w:r w:rsidRPr="00A074C4">
        <w:lastRenderedPageBreak/>
        <w:t xml:space="preserve">improving processes to enable faster recruiting so that skills gaps can be identified and addressed more quickly; and </w:t>
      </w:r>
    </w:p>
    <w:p w14:paraId="2A89F816" w14:textId="77777777" w:rsidR="003173A8" w:rsidRPr="00A074C4" w:rsidRDefault="003173A8" w:rsidP="00444A89">
      <w:pPr>
        <w:numPr>
          <w:ilvl w:val="0"/>
          <w:numId w:val="44"/>
        </w:numPr>
        <w:ind w:left="284" w:hanging="284"/>
      </w:pPr>
      <w:r w:rsidRPr="00A074C4">
        <w:t xml:space="preserve">encouraging current personnel, who have built the skills and expertise the ADF needs, to stay and serve longer through retention initiatives, including through expansion of the ADF Continuation Bonus. </w:t>
      </w:r>
    </w:p>
    <w:p w14:paraId="09FF27BB" w14:textId="77777777" w:rsidR="003173A8" w:rsidRPr="00A074C4" w:rsidRDefault="003173A8" w:rsidP="003173A8">
      <w:r w:rsidRPr="00A074C4">
        <w:t>The ADF Reserves are an important part of the total ADF workforce. The forecast contribution from Service Categories (SERCAT) 3, 4 and 5 in 2025-26 is 1,135,450 days of service performed by an estimated 21,690 members of the Reserve Forces. In 2025-26</w:t>
      </w:r>
      <w:r>
        <w:t>,</w:t>
      </w:r>
      <w:r w:rsidRPr="00A074C4">
        <w:t xml:space="preserve"> Defence will implement the </w:t>
      </w:r>
      <w:r w:rsidRPr="00A074C4">
        <w:rPr>
          <w:i/>
        </w:rPr>
        <w:t>Strategic Review of the ADF Reserves</w:t>
      </w:r>
      <w:r w:rsidRPr="00A074C4">
        <w:t xml:space="preserve">, </w:t>
      </w:r>
      <w:r>
        <w:t>which includes</w:t>
      </w:r>
      <w:r w:rsidRPr="00A074C4">
        <w:t xml:space="preserve"> increasing the Operational Reserve force (SERCAT 4) by an additional 1,000 personnel by 2030. Information about the ADF Total Workforce System and the structure of service categories is available on the department’s website here: </w:t>
      </w:r>
      <w:hyperlink r:id="rId45" w:history="1">
        <w:r w:rsidRPr="00A074C4">
          <w:rPr>
            <w:rStyle w:val="Hyperlink"/>
          </w:rPr>
          <w:t>https://www.defence.gov.au/PayandConditions/ADF/ADF-TWS.asp</w:t>
        </w:r>
      </w:hyperlink>
      <w:r w:rsidRPr="00A074C4">
        <w:t>.</w:t>
      </w:r>
    </w:p>
    <w:p w14:paraId="1CA3EC34" w14:textId="612B9E83" w:rsidR="004E310D" w:rsidRDefault="003173A8" w:rsidP="003173A8">
      <w:r w:rsidRPr="00A074C4">
        <w:t xml:space="preserve">The APS workforce growth is expected to </w:t>
      </w:r>
      <w:r w:rsidR="00791611">
        <w:t>moderate</w:t>
      </w:r>
      <w:r w:rsidRPr="00A074C4">
        <w:t xml:space="preserve"> during 2025-26 following a period of growth. Defence will continue to focus on skilling, developing and professionalising the APS workforce to deliver the priorities outlined in the </w:t>
      </w:r>
      <w:r w:rsidRPr="00E00255">
        <w:rPr>
          <w:i/>
        </w:rPr>
        <w:t>2024 National Defence Strategy</w:t>
      </w:r>
      <w:r w:rsidRPr="00A074C4">
        <w:t xml:space="preserve"> and Integrated Investment Program. Delivering a skilled workforce in support of National Naval Shipbuilding, Defence Guided Weapons and Explosive Ordnance, and AUKUS Pillars One and Two </w:t>
      </w:r>
      <w:r>
        <w:t>remains a priority</w:t>
      </w:r>
      <w:r w:rsidR="00D87A5A" w:rsidRPr="003173A8">
        <w:t>.</w:t>
      </w:r>
      <w:r w:rsidR="00D87A5A">
        <w:t xml:space="preserve"> </w:t>
      </w:r>
    </w:p>
    <w:p w14:paraId="57A9545E" w14:textId="77777777" w:rsidR="00D87A5A" w:rsidRPr="00C330C3" w:rsidRDefault="004E310D" w:rsidP="004E310D">
      <w:pPr>
        <w:pStyle w:val="Heading5noTOC"/>
        <w:outlineLvl w:val="4"/>
        <w:rPr>
          <w:sz w:val="22"/>
          <w:szCs w:val="22"/>
        </w:rPr>
      </w:pPr>
      <w:r w:rsidRPr="00C330C3">
        <w:rPr>
          <w:sz w:val="22"/>
          <w:szCs w:val="22"/>
        </w:rPr>
        <w:t>Defence People</w:t>
      </w:r>
    </w:p>
    <w:p w14:paraId="16166CF2" w14:textId="3AC2A6AE" w:rsidR="003173A8" w:rsidRPr="00ED22FF" w:rsidRDefault="003173A8" w:rsidP="003173A8">
      <w:pPr>
        <w:rPr>
          <w:lang w:val="en-AU"/>
        </w:rPr>
      </w:pPr>
      <w:r>
        <w:rPr>
          <w:lang w:val="en-AU"/>
        </w:rPr>
        <w:t>Achieving</w:t>
      </w:r>
      <w:r w:rsidRPr="00A074C4">
        <w:rPr>
          <w:lang w:val="en-AU"/>
        </w:rPr>
        <w:t xml:space="preserve"> the Defence mission</w:t>
      </w:r>
      <w:r>
        <w:rPr>
          <w:lang w:val="en-AU"/>
        </w:rPr>
        <w:t xml:space="preserve"> requires an integrated workforce. To enable this, Defence </w:t>
      </w:r>
      <w:r w:rsidRPr="00A074C4">
        <w:rPr>
          <w:lang w:val="en-AU"/>
        </w:rPr>
        <w:t>will focus on the recruitment, retention, culture and wellbeing of its people</w:t>
      </w:r>
      <w:r>
        <w:rPr>
          <w:lang w:val="en-AU"/>
        </w:rPr>
        <w:t xml:space="preserve"> and support to ADF families as outlined in the Defence Workforce Plan. Defence will continue to develop, implement and finalise initiatives that improve organisational culture and strengthen the wellbeing of the workforce. This includes progressing work under the </w:t>
      </w:r>
      <w:r>
        <w:rPr>
          <w:i/>
          <w:lang w:val="en-AU"/>
        </w:rPr>
        <w:t xml:space="preserve">Defence Culture Blueprint Program, </w:t>
      </w:r>
      <w:r>
        <w:rPr>
          <w:lang w:val="en-AU"/>
        </w:rPr>
        <w:t xml:space="preserve">improving and communicating the Employee Value Proposition to the </w:t>
      </w:r>
      <w:r w:rsidR="005679DD">
        <w:rPr>
          <w:lang w:val="en-AU"/>
        </w:rPr>
        <w:t>Defence</w:t>
      </w:r>
      <w:r>
        <w:rPr>
          <w:lang w:val="en-AU"/>
        </w:rPr>
        <w:t xml:space="preserve"> workforce.</w:t>
      </w:r>
    </w:p>
    <w:p w14:paraId="755E4EBC" w14:textId="77777777" w:rsidR="003173A8" w:rsidRDefault="003173A8" w:rsidP="003173A8">
      <w:pPr>
        <w:rPr>
          <w:lang w:val="en-AU"/>
        </w:rPr>
      </w:pPr>
      <w:r>
        <w:rPr>
          <w:lang w:val="en-AU"/>
        </w:rPr>
        <w:t>Ongoing efforts under the</w:t>
      </w:r>
      <w:r w:rsidRPr="00A074C4">
        <w:rPr>
          <w:lang w:val="en-AU"/>
        </w:rPr>
        <w:t xml:space="preserve"> </w:t>
      </w:r>
      <w:r w:rsidRPr="00A074C4">
        <w:rPr>
          <w:i/>
          <w:lang w:val="en-AU"/>
        </w:rPr>
        <w:t>Defence Work Health and Safety Strategy 2023-2028</w:t>
      </w:r>
      <w:r w:rsidRPr="00A074C4">
        <w:rPr>
          <w:lang w:val="en-AU"/>
        </w:rPr>
        <w:t xml:space="preserve"> </w:t>
      </w:r>
      <w:r>
        <w:rPr>
          <w:lang w:val="en-AU"/>
        </w:rPr>
        <w:t>will</w:t>
      </w:r>
      <w:r w:rsidRPr="00A074C4">
        <w:rPr>
          <w:lang w:val="en-AU"/>
        </w:rPr>
        <w:t xml:space="preserve"> enable a positive work, health and safety culture</w:t>
      </w:r>
      <w:r>
        <w:rPr>
          <w:lang w:val="en-AU"/>
        </w:rPr>
        <w:t xml:space="preserve"> across the organisation. Defence’s investment in a life-span approach and support for mental health, wellbeing and suicide prevention will be underpinned by the </w:t>
      </w:r>
      <w:r w:rsidRPr="00A074C4">
        <w:rPr>
          <w:i/>
          <w:lang w:val="en-AU"/>
        </w:rPr>
        <w:t xml:space="preserve">Defence and Veteran Mental Health </w:t>
      </w:r>
      <w:r>
        <w:rPr>
          <w:i/>
          <w:lang w:val="en-AU"/>
        </w:rPr>
        <w:t>and Wellbeing Strategy 2024-2029</w:t>
      </w:r>
      <w:r>
        <w:rPr>
          <w:lang w:val="en-AU"/>
        </w:rPr>
        <w:t xml:space="preserve">. </w:t>
      </w:r>
    </w:p>
    <w:p w14:paraId="3DFF85CC" w14:textId="77777777" w:rsidR="003173A8" w:rsidRPr="00A074C4" w:rsidRDefault="003173A8" w:rsidP="003173A8">
      <w:pPr>
        <w:rPr>
          <w:lang w:val="en-AU"/>
        </w:rPr>
      </w:pPr>
      <w:r w:rsidRPr="00A074C4">
        <w:rPr>
          <w:lang w:val="en-AU"/>
        </w:rPr>
        <w:t xml:space="preserve">To further support Defence personnel and their families, Defence will deliver the </w:t>
      </w:r>
      <w:r w:rsidRPr="00A074C4">
        <w:rPr>
          <w:i/>
          <w:lang w:val="en-AU"/>
        </w:rPr>
        <w:t>Defence Strategy for Preventing and Responding to Family and Domestic Violence 2023-2028</w:t>
      </w:r>
      <w:r w:rsidRPr="00A074C4">
        <w:rPr>
          <w:lang w:val="en-AU"/>
        </w:rPr>
        <w:t xml:space="preserve"> including a mandatory family and domestic violence awareness program. </w:t>
      </w:r>
      <w:r>
        <w:rPr>
          <w:lang w:val="en-AU"/>
        </w:rPr>
        <w:t>Defence will continue to</w:t>
      </w:r>
      <w:r w:rsidRPr="00A074C4">
        <w:rPr>
          <w:lang w:val="en-AU"/>
        </w:rPr>
        <w:t xml:space="preserve"> support transitioning members through the implementation of the </w:t>
      </w:r>
      <w:r w:rsidRPr="00A074C4">
        <w:rPr>
          <w:i/>
          <w:lang w:val="en-AU"/>
        </w:rPr>
        <w:t>2023 Veteran Transition Strategy</w:t>
      </w:r>
      <w:r w:rsidRPr="00A074C4">
        <w:rPr>
          <w:lang w:val="en-AU"/>
        </w:rPr>
        <w:t xml:space="preserve">. </w:t>
      </w:r>
    </w:p>
    <w:p w14:paraId="0EBCB48F" w14:textId="0CAACC18" w:rsidR="003173A8" w:rsidRDefault="003173A8" w:rsidP="003173A8">
      <w:pPr>
        <w:rPr>
          <w:lang w:val="en-AU"/>
        </w:rPr>
      </w:pPr>
      <w:r w:rsidRPr="00A074C4">
        <w:rPr>
          <w:lang w:val="en-AU"/>
        </w:rPr>
        <w:t>The APS workforce will continue to be strengthened through an APS skills uplift, training and professionalisation. This will enable ongoing re-balancing of the APS workforce to address critical areas such as engineering, intelligence, cyber, ICT, project and program management and contract management. This skilling and re-balance will be achieved through the implementation of a Defence APS Academy, organisational capabi</w:t>
      </w:r>
      <w:r w:rsidR="008D782C">
        <w:rPr>
          <w:lang w:val="en-AU"/>
        </w:rPr>
        <w:t>lity reviews, job family reform</w:t>
      </w:r>
      <w:r w:rsidRPr="00A074C4">
        <w:rPr>
          <w:lang w:val="en-AU"/>
        </w:rPr>
        <w:t xml:space="preserve"> and ongoing implementation of the Strategic Commissioning Framework.</w:t>
      </w:r>
    </w:p>
    <w:p w14:paraId="7867966E" w14:textId="77777777" w:rsidR="00D87A5A" w:rsidRPr="007C1275" w:rsidRDefault="003173A8" w:rsidP="003173A8">
      <w:pPr>
        <w:shd w:val="clear" w:color="auto" w:fill="FFFFFF"/>
      </w:pPr>
      <w:r>
        <w:rPr>
          <w:lang w:val="en-AU"/>
        </w:rPr>
        <w:t xml:space="preserve">The Defence Workforce Plan will be reviewed biennially, through the National Defence Strategy review cycle. This will ensure Defence’s strategic workforce planning aligns with the </w:t>
      </w:r>
      <w:r w:rsidRPr="00A074C4">
        <w:rPr>
          <w:lang w:val="en-AU"/>
        </w:rPr>
        <w:t>integrated workforce</w:t>
      </w:r>
      <w:r>
        <w:rPr>
          <w:lang w:val="en-AU"/>
        </w:rPr>
        <w:t xml:space="preserve"> requirements</w:t>
      </w:r>
      <w:r w:rsidRPr="00A074C4">
        <w:rPr>
          <w:lang w:val="en-AU"/>
        </w:rPr>
        <w:t xml:space="preserve"> needed to deliver the Defence mission</w:t>
      </w:r>
      <w:r w:rsidR="00985867" w:rsidRPr="003173A8">
        <w:t>.</w:t>
      </w:r>
    </w:p>
    <w:p w14:paraId="3902FAEA" w14:textId="77777777" w:rsidR="00D70ADC" w:rsidRPr="00B56FAA" w:rsidRDefault="00015664" w:rsidP="00754942">
      <w:pPr>
        <w:spacing w:before="120" w:after="120"/>
        <w:rPr>
          <w:sz w:val="2"/>
          <w:szCs w:val="2"/>
        </w:rPr>
      </w:pPr>
      <w:r w:rsidRPr="00B56FAA">
        <w:br w:type="page"/>
      </w:r>
    </w:p>
    <w:p w14:paraId="4260ADB6" w14:textId="32516E7A" w:rsidR="00C4774C" w:rsidRPr="007B027B" w:rsidRDefault="00EA6F9F" w:rsidP="00D9100A">
      <w:pPr>
        <w:pStyle w:val="TableHeading"/>
        <w:numPr>
          <w:ilvl w:val="0"/>
          <w:numId w:val="29"/>
        </w:numPr>
        <w:spacing w:before="0" w:after="120"/>
        <w:ind w:left="0" w:firstLine="0"/>
        <w:outlineLvl w:val="6"/>
        <w:rPr>
          <w:lang w:val="en-AU"/>
        </w:rPr>
      </w:pPr>
      <w:r w:rsidRPr="007B027B">
        <w:rPr>
          <w:shd w:val="clear" w:color="auto" w:fill="FFFFFF"/>
          <w:lang w:val="en-AU"/>
        </w:rPr>
        <w:lastRenderedPageBreak/>
        <w:t xml:space="preserve">Planned Workforce </w:t>
      </w:r>
      <w:r w:rsidR="00A70613" w:rsidRPr="007B027B">
        <w:rPr>
          <w:shd w:val="clear" w:color="auto" w:fill="FFFFFF"/>
          <w:lang w:val="en-AU"/>
        </w:rPr>
        <w:t>Forecast</w:t>
      </w:r>
      <w:r w:rsidRPr="007B027B">
        <w:rPr>
          <w:shd w:val="clear" w:color="auto" w:fill="FFFFFF"/>
          <w:lang w:val="en-AU"/>
        </w:rPr>
        <w:t xml:space="preserve"> for the </w:t>
      </w:r>
      <w:r w:rsidR="002F404A" w:rsidRPr="007B027B">
        <w:rPr>
          <w:shd w:val="clear" w:color="auto" w:fill="FFFFFF"/>
          <w:lang w:val="en-AU"/>
        </w:rPr>
        <w:t>202</w:t>
      </w:r>
      <w:r w:rsidR="00425C19" w:rsidRPr="007B027B">
        <w:rPr>
          <w:shd w:val="clear" w:color="auto" w:fill="FFFFFF"/>
          <w:lang w:val="en-AU"/>
        </w:rPr>
        <w:t>5</w:t>
      </w:r>
      <w:r w:rsidR="002F404A" w:rsidRPr="007B027B">
        <w:rPr>
          <w:shd w:val="clear" w:color="auto" w:fill="FFFFFF"/>
          <w:lang w:val="en-AU"/>
        </w:rPr>
        <w:t>-2</w:t>
      </w:r>
      <w:r w:rsidR="00425C19" w:rsidRPr="007B027B">
        <w:rPr>
          <w:shd w:val="clear" w:color="auto" w:fill="FFFFFF"/>
          <w:lang w:val="en-AU"/>
        </w:rPr>
        <w:t>6</w:t>
      </w:r>
      <w:r w:rsidRPr="007B027B">
        <w:rPr>
          <w:shd w:val="clear" w:color="auto" w:fill="FFFFFF"/>
          <w:lang w:val="en-AU"/>
        </w:rPr>
        <w:t xml:space="preserve"> Budget and Forward Estimates</w:t>
      </w:r>
      <w:r w:rsidR="00867A03" w:rsidRPr="007B027B">
        <w:rPr>
          <w:shd w:val="clear" w:color="auto" w:fill="FFFFFF"/>
          <w:lang w:val="en-AU"/>
        </w:rPr>
        <w:t xml:space="preserve"> -</w:t>
      </w:r>
      <w:r w:rsidR="00C4774C" w:rsidRPr="007B027B">
        <w:rPr>
          <w:shd w:val="clear" w:color="auto" w:fill="FFFFFF"/>
          <w:lang w:val="en-AU"/>
        </w:rPr>
        <w:t xml:space="preserve"> Average Full</w:t>
      </w:r>
      <w:r w:rsidR="00FB3202" w:rsidRPr="007B027B">
        <w:rPr>
          <w:shd w:val="clear" w:color="auto" w:fill="FFFFFF"/>
          <w:lang w:val="en-AU"/>
        </w:rPr>
        <w:t>-</w:t>
      </w:r>
      <w:r w:rsidR="00C4774C" w:rsidRPr="007B027B">
        <w:rPr>
          <w:shd w:val="clear" w:color="auto" w:fill="FFFFFF"/>
          <w:lang w:val="en-AU"/>
        </w:rPr>
        <w:t>time</w:t>
      </w:r>
      <w:r w:rsidR="0098239D">
        <w:rPr>
          <w:shd w:val="clear" w:color="auto" w:fill="FFFFFF"/>
          <w:lang w:val="en-AU"/>
        </w:rPr>
        <w:t xml:space="preserve"> equivalent</w:t>
      </w:r>
      <w:r w:rsidR="00107F00" w:rsidRPr="007B027B">
        <w:rPr>
          <w:rFonts w:ascii="Arial Bold" w:hAnsi="Arial Bold"/>
          <w:vertAlign w:val="superscript"/>
          <w:lang w:val="en-AU"/>
        </w:rPr>
        <w:t xml:space="preserve"> </w:t>
      </w:r>
      <w:r w:rsidR="00CE3B2C" w:rsidRPr="007B027B">
        <w:rPr>
          <w:bCs/>
          <w:sz w:val="16"/>
          <w:szCs w:val="16"/>
          <w:vertAlign w:val="superscript"/>
          <w:lang w:val="en-AU"/>
        </w:rPr>
        <w:t>[a]</w:t>
      </w:r>
      <w:r w:rsidR="00CE3B2C">
        <w:rPr>
          <w:bCs/>
          <w:sz w:val="16"/>
          <w:szCs w:val="16"/>
          <w:vertAlign w:val="superscript"/>
          <w:lang w:val="en-AU"/>
        </w:rPr>
        <w:t xml:space="preserve"> [b</w:t>
      </w:r>
      <w:r w:rsidR="00CE3B2C" w:rsidRPr="007B027B">
        <w:rPr>
          <w:bCs/>
          <w:sz w:val="16"/>
          <w:szCs w:val="16"/>
          <w:vertAlign w:val="superscript"/>
          <w:lang w:val="en-AU"/>
        </w:rPr>
        <w:t>]</w:t>
      </w:r>
    </w:p>
    <w:tbl>
      <w:tblPr>
        <w:tblW w:w="8875" w:type="dxa"/>
        <w:tblInd w:w="113" w:type="dxa"/>
        <w:tblLayout w:type="fixed"/>
        <w:tblCellMar>
          <w:left w:w="57" w:type="dxa"/>
          <w:right w:w="57" w:type="dxa"/>
        </w:tblCellMar>
        <w:tblLook w:val="04A0" w:firstRow="1" w:lastRow="0" w:firstColumn="1" w:lastColumn="0" w:noHBand="0" w:noVBand="1"/>
      </w:tblPr>
      <w:tblGrid>
        <w:gridCol w:w="259"/>
        <w:gridCol w:w="2662"/>
        <w:gridCol w:w="1190"/>
        <w:gridCol w:w="1191"/>
        <w:gridCol w:w="1191"/>
        <w:gridCol w:w="1191"/>
        <w:gridCol w:w="1191"/>
      </w:tblGrid>
      <w:tr w:rsidR="00C57CFE" w:rsidRPr="0037453B" w14:paraId="47F70624" w14:textId="77777777" w:rsidTr="00356A93">
        <w:trPr>
          <w:trHeight w:val="684"/>
        </w:trPr>
        <w:tc>
          <w:tcPr>
            <w:tcW w:w="259" w:type="dxa"/>
            <w:tcBorders>
              <w:top w:val="single" w:sz="4" w:space="0" w:color="auto"/>
              <w:left w:val="nil"/>
              <w:bottom w:val="single" w:sz="4" w:space="0" w:color="auto"/>
              <w:right w:val="single" w:sz="4" w:space="0" w:color="auto"/>
            </w:tcBorders>
            <w:vAlign w:val="bottom"/>
            <w:hideMark/>
          </w:tcPr>
          <w:p w14:paraId="11F4FCA1" w14:textId="77777777" w:rsidR="005D0C8F" w:rsidRPr="0037453B" w:rsidRDefault="005D0C8F" w:rsidP="005D0C8F">
            <w:pPr>
              <w:spacing w:before="0" w:after="0"/>
              <w:jc w:val="center"/>
              <w:rPr>
                <w:rFonts w:ascii="Arial" w:hAnsi="Arial"/>
                <w:sz w:val="16"/>
                <w:szCs w:val="16"/>
                <w:highlight w:val="yellow"/>
                <w:lang w:val="en-AU"/>
              </w:rPr>
            </w:pPr>
          </w:p>
        </w:tc>
        <w:tc>
          <w:tcPr>
            <w:tcW w:w="2662" w:type="dxa"/>
            <w:tcBorders>
              <w:top w:val="single" w:sz="4" w:space="0" w:color="auto"/>
              <w:left w:val="nil"/>
              <w:bottom w:val="single" w:sz="4" w:space="0" w:color="auto"/>
              <w:right w:val="nil"/>
            </w:tcBorders>
            <w:vAlign w:val="bottom"/>
            <w:hideMark/>
          </w:tcPr>
          <w:p w14:paraId="7E8C7A56" w14:textId="77777777" w:rsidR="005D0C8F" w:rsidRPr="0037453B" w:rsidRDefault="005D0C8F" w:rsidP="005D0C8F">
            <w:pPr>
              <w:spacing w:before="0" w:after="0"/>
              <w:jc w:val="right"/>
              <w:rPr>
                <w:rFonts w:ascii="Arial" w:hAnsi="Arial"/>
                <w:b/>
                <w:bCs/>
                <w:sz w:val="16"/>
                <w:szCs w:val="16"/>
                <w:highlight w:val="yellow"/>
                <w:lang w:val="en-AU"/>
              </w:rPr>
            </w:pPr>
          </w:p>
        </w:tc>
        <w:tc>
          <w:tcPr>
            <w:tcW w:w="1190" w:type="dxa"/>
            <w:tcBorders>
              <w:top w:val="single" w:sz="4" w:space="0" w:color="auto"/>
              <w:left w:val="nil"/>
              <w:bottom w:val="single" w:sz="4" w:space="0" w:color="auto"/>
            </w:tcBorders>
            <w:vAlign w:val="bottom"/>
          </w:tcPr>
          <w:p w14:paraId="6E3E2AE1" w14:textId="77777777" w:rsidR="005D0C8F" w:rsidRPr="007B027B" w:rsidRDefault="005D0C8F" w:rsidP="00C57CFE">
            <w:pPr>
              <w:spacing w:before="0" w:after="0"/>
              <w:jc w:val="right"/>
              <w:rPr>
                <w:rFonts w:ascii="Arial" w:hAnsi="Arial"/>
                <w:b/>
                <w:bCs/>
                <w:sz w:val="15"/>
                <w:szCs w:val="15"/>
                <w:lang w:val="en-AU"/>
              </w:rPr>
            </w:pPr>
            <w:r w:rsidRPr="007B027B">
              <w:rPr>
                <w:rFonts w:ascii="Arial" w:hAnsi="Arial"/>
                <w:b/>
                <w:bCs/>
                <w:sz w:val="15"/>
                <w:szCs w:val="15"/>
                <w:lang w:val="en-AU"/>
              </w:rPr>
              <w:t>202</w:t>
            </w:r>
            <w:r w:rsidR="00425C19" w:rsidRPr="007B027B">
              <w:rPr>
                <w:rFonts w:ascii="Arial" w:hAnsi="Arial"/>
                <w:b/>
                <w:bCs/>
                <w:sz w:val="15"/>
                <w:szCs w:val="15"/>
                <w:lang w:val="en-AU"/>
              </w:rPr>
              <w:t>4</w:t>
            </w:r>
            <w:r w:rsidRPr="007B027B">
              <w:rPr>
                <w:rFonts w:ascii="Arial" w:hAnsi="Arial"/>
                <w:b/>
                <w:bCs/>
                <w:sz w:val="15"/>
                <w:szCs w:val="15"/>
                <w:lang w:val="en-AU"/>
              </w:rPr>
              <w:t>-2</w:t>
            </w:r>
            <w:r w:rsidR="00425C19" w:rsidRPr="007B027B">
              <w:rPr>
                <w:rFonts w:ascii="Arial" w:hAnsi="Arial"/>
                <w:b/>
                <w:bCs/>
                <w:sz w:val="15"/>
                <w:szCs w:val="15"/>
                <w:lang w:val="en-AU"/>
              </w:rPr>
              <w:t>5</w:t>
            </w:r>
            <w:r w:rsidRPr="007B027B">
              <w:rPr>
                <w:rFonts w:ascii="Arial" w:hAnsi="Arial"/>
                <w:b/>
                <w:bCs/>
                <w:sz w:val="15"/>
                <w:szCs w:val="15"/>
                <w:lang w:val="en-AU"/>
              </w:rPr>
              <w:t xml:space="preserve"> </w:t>
            </w:r>
          </w:p>
          <w:p w14:paraId="4206D873" w14:textId="77777777" w:rsidR="005D0C8F" w:rsidRDefault="005D0C8F" w:rsidP="00CE3B2C">
            <w:pPr>
              <w:spacing w:before="0" w:after="0"/>
              <w:jc w:val="right"/>
              <w:rPr>
                <w:rFonts w:ascii="Arial" w:hAnsi="Arial"/>
                <w:b/>
                <w:bCs/>
                <w:sz w:val="15"/>
                <w:szCs w:val="15"/>
                <w:lang w:val="en-AU"/>
              </w:rPr>
            </w:pPr>
            <w:r w:rsidRPr="007B027B">
              <w:rPr>
                <w:rFonts w:ascii="Arial" w:hAnsi="Arial"/>
                <w:b/>
                <w:bCs/>
                <w:sz w:val="15"/>
                <w:szCs w:val="15"/>
                <w:lang w:val="en-AU"/>
              </w:rPr>
              <w:t xml:space="preserve">Estimated Actual (Workforce </w:t>
            </w:r>
            <w:r w:rsidR="00A70613" w:rsidRPr="007B027B">
              <w:rPr>
                <w:rFonts w:ascii="Arial" w:hAnsi="Arial"/>
                <w:b/>
                <w:bCs/>
                <w:sz w:val="15"/>
                <w:szCs w:val="15"/>
                <w:lang w:val="en-AU"/>
              </w:rPr>
              <w:t>Achievement</w:t>
            </w:r>
            <w:r w:rsidRPr="007B027B">
              <w:rPr>
                <w:rFonts w:ascii="Arial" w:hAnsi="Arial"/>
                <w:b/>
                <w:bCs/>
                <w:sz w:val="15"/>
                <w:szCs w:val="15"/>
                <w:lang w:val="en-AU"/>
              </w:rPr>
              <w:t>)</w:t>
            </w:r>
            <w:r w:rsidR="00CC4894" w:rsidRPr="007B027B">
              <w:rPr>
                <w:rFonts w:ascii="Arial" w:hAnsi="Arial"/>
                <w:b/>
                <w:bCs/>
                <w:sz w:val="15"/>
                <w:szCs w:val="15"/>
                <w:lang w:val="en-AU"/>
              </w:rPr>
              <w:t xml:space="preserve"> </w:t>
            </w:r>
          </w:p>
          <w:p w14:paraId="61FFDA78" w14:textId="655D2950" w:rsidR="00CE3B2C" w:rsidRPr="007B027B" w:rsidRDefault="00CE3B2C" w:rsidP="00CE3B2C">
            <w:pPr>
              <w:spacing w:before="0" w:after="0"/>
              <w:jc w:val="right"/>
              <w:rPr>
                <w:rFonts w:ascii="Arial" w:hAnsi="Arial"/>
                <w:b/>
                <w:bCs/>
                <w:sz w:val="15"/>
                <w:szCs w:val="15"/>
                <w:lang w:val="en-AU"/>
              </w:rPr>
            </w:pPr>
          </w:p>
        </w:tc>
        <w:tc>
          <w:tcPr>
            <w:tcW w:w="1191" w:type="dxa"/>
            <w:tcBorders>
              <w:top w:val="single" w:sz="4" w:space="0" w:color="auto"/>
              <w:bottom w:val="single" w:sz="4" w:space="0" w:color="auto"/>
            </w:tcBorders>
            <w:shd w:val="clear" w:color="auto" w:fill="E6E6E6"/>
            <w:vAlign w:val="bottom"/>
          </w:tcPr>
          <w:p w14:paraId="1BAAF4B3" w14:textId="77777777" w:rsidR="005D0C8F" w:rsidRDefault="005D0C8F" w:rsidP="00CE3B2C">
            <w:pPr>
              <w:spacing w:before="0" w:after="0"/>
              <w:jc w:val="right"/>
              <w:rPr>
                <w:rFonts w:ascii="Arial" w:hAnsi="Arial"/>
                <w:b/>
                <w:bCs/>
                <w:sz w:val="15"/>
                <w:szCs w:val="15"/>
                <w:vertAlign w:val="superscript"/>
                <w:lang w:val="en-AU"/>
              </w:rPr>
            </w:pPr>
            <w:r w:rsidRPr="007B027B">
              <w:rPr>
                <w:rFonts w:ascii="Arial" w:hAnsi="Arial"/>
                <w:b/>
                <w:bCs/>
                <w:sz w:val="15"/>
                <w:szCs w:val="15"/>
                <w:lang w:val="en-AU"/>
              </w:rPr>
              <w:t>202</w:t>
            </w:r>
            <w:r w:rsidR="00425C19" w:rsidRPr="007B027B">
              <w:rPr>
                <w:rFonts w:ascii="Arial" w:hAnsi="Arial"/>
                <w:b/>
                <w:bCs/>
                <w:sz w:val="15"/>
                <w:szCs w:val="15"/>
                <w:lang w:val="en-AU"/>
              </w:rPr>
              <w:t>5</w:t>
            </w:r>
            <w:r w:rsidRPr="007B027B">
              <w:rPr>
                <w:rFonts w:ascii="Arial" w:hAnsi="Arial"/>
                <w:b/>
                <w:bCs/>
                <w:sz w:val="15"/>
                <w:szCs w:val="15"/>
                <w:lang w:val="en-AU"/>
              </w:rPr>
              <w:t>-2</w:t>
            </w:r>
            <w:r w:rsidR="00425C19" w:rsidRPr="007B027B">
              <w:rPr>
                <w:rFonts w:ascii="Arial" w:hAnsi="Arial"/>
                <w:b/>
                <w:bCs/>
                <w:sz w:val="15"/>
                <w:szCs w:val="15"/>
                <w:lang w:val="en-AU"/>
              </w:rPr>
              <w:t>6</w:t>
            </w:r>
            <w:r w:rsidRPr="007B027B">
              <w:rPr>
                <w:rFonts w:ascii="Arial" w:hAnsi="Arial"/>
                <w:b/>
                <w:bCs/>
                <w:sz w:val="15"/>
                <w:szCs w:val="15"/>
                <w:lang w:val="en-AU"/>
              </w:rPr>
              <w:t xml:space="preserve"> Budget Estimate (Workforce </w:t>
            </w:r>
            <w:r w:rsidR="00A70613" w:rsidRPr="007B027B">
              <w:rPr>
                <w:rFonts w:ascii="Arial" w:hAnsi="Arial"/>
                <w:b/>
                <w:bCs/>
                <w:sz w:val="15"/>
                <w:szCs w:val="15"/>
                <w:lang w:val="en-AU"/>
              </w:rPr>
              <w:t>Requirement</w:t>
            </w:r>
            <w:r w:rsidRPr="007B027B">
              <w:rPr>
                <w:rFonts w:ascii="Arial" w:hAnsi="Arial"/>
                <w:b/>
                <w:bCs/>
                <w:sz w:val="15"/>
                <w:szCs w:val="15"/>
                <w:lang w:val="en-AU"/>
              </w:rPr>
              <w:t>)</w:t>
            </w:r>
            <w:r w:rsidRPr="007B027B">
              <w:rPr>
                <w:rFonts w:ascii="Arial" w:hAnsi="Arial"/>
                <w:b/>
                <w:bCs/>
                <w:sz w:val="15"/>
                <w:szCs w:val="15"/>
                <w:vertAlign w:val="superscript"/>
                <w:lang w:val="en-AU"/>
              </w:rPr>
              <w:t xml:space="preserve"> </w:t>
            </w:r>
          </w:p>
          <w:p w14:paraId="2F6D1A9E" w14:textId="310EB10C" w:rsidR="00CE3B2C" w:rsidRPr="007B027B" w:rsidRDefault="00CE3B2C" w:rsidP="00CE3B2C">
            <w:pPr>
              <w:spacing w:before="0" w:after="0"/>
              <w:jc w:val="right"/>
              <w:rPr>
                <w:rFonts w:ascii="Arial" w:hAnsi="Arial"/>
                <w:b/>
                <w:bCs/>
                <w:sz w:val="15"/>
                <w:szCs w:val="15"/>
                <w:lang w:val="en-AU"/>
              </w:rPr>
            </w:pPr>
          </w:p>
        </w:tc>
        <w:tc>
          <w:tcPr>
            <w:tcW w:w="1191" w:type="dxa"/>
            <w:tcBorders>
              <w:top w:val="single" w:sz="4" w:space="0" w:color="auto"/>
              <w:left w:val="nil"/>
              <w:bottom w:val="single" w:sz="4" w:space="0" w:color="auto"/>
              <w:right w:val="nil"/>
            </w:tcBorders>
            <w:vAlign w:val="bottom"/>
          </w:tcPr>
          <w:p w14:paraId="07A2DDE4" w14:textId="77777777" w:rsidR="005D0C8F" w:rsidRPr="007B027B" w:rsidRDefault="005D0C8F" w:rsidP="00C57CFE">
            <w:pPr>
              <w:spacing w:before="0" w:after="0"/>
              <w:jc w:val="right"/>
              <w:rPr>
                <w:rFonts w:ascii="Arial" w:hAnsi="Arial"/>
                <w:b/>
                <w:bCs/>
                <w:sz w:val="15"/>
                <w:szCs w:val="15"/>
                <w:lang w:val="en-AU"/>
              </w:rPr>
            </w:pPr>
            <w:r w:rsidRPr="007B027B">
              <w:rPr>
                <w:rFonts w:ascii="Arial" w:hAnsi="Arial"/>
                <w:b/>
                <w:bCs/>
                <w:sz w:val="15"/>
                <w:szCs w:val="15"/>
                <w:lang w:val="en-AU"/>
              </w:rPr>
              <w:t>202</w:t>
            </w:r>
            <w:r w:rsidR="00425C19" w:rsidRPr="007B027B">
              <w:rPr>
                <w:rFonts w:ascii="Arial" w:hAnsi="Arial"/>
                <w:b/>
                <w:bCs/>
                <w:sz w:val="15"/>
                <w:szCs w:val="15"/>
                <w:lang w:val="en-AU"/>
              </w:rPr>
              <w:t>6</w:t>
            </w:r>
            <w:r w:rsidRPr="007B027B">
              <w:rPr>
                <w:rFonts w:ascii="Arial" w:hAnsi="Arial"/>
                <w:b/>
                <w:bCs/>
                <w:sz w:val="15"/>
                <w:szCs w:val="15"/>
                <w:lang w:val="en-AU"/>
              </w:rPr>
              <w:t>-2</w:t>
            </w:r>
            <w:r w:rsidR="00425C19" w:rsidRPr="007B027B">
              <w:rPr>
                <w:rFonts w:ascii="Arial" w:hAnsi="Arial"/>
                <w:b/>
                <w:bCs/>
                <w:sz w:val="15"/>
                <w:szCs w:val="15"/>
                <w:lang w:val="en-AU"/>
              </w:rPr>
              <w:t>7</w:t>
            </w:r>
          </w:p>
          <w:p w14:paraId="0E273A0A" w14:textId="77777777" w:rsidR="005D0C8F" w:rsidRPr="007B027B" w:rsidRDefault="005D0C8F" w:rsidP="00C57CFE">
            <w:pPr>
              <w:spacing w:before="0" w:after="0"/>
              <w:jc w:val="right"/>
              <w:rPr>
                <w:rFonts w:ascii="Arial" w:hAnsi="Arial"/>
                <w:b/>
                <w:bCs/>
                <w:sz w:val="15"/>
                <w:szCs w:val="15"/>
                <w:lang w:val="en-AU"/>
              </w:rPr>
            </w:pPr>
            <w:r w:rsidRPr="007B027B">
              <w:rPr>
                <w:rFonts w:ascii="Arial" w:hAnsi="Arial"/>
                <w:b/>
                <w:bCs/>
                <w:sz w:val="15"/>
                <w:szCs w:val="15"/>
                <w:lang w:val="en-AU"/>
              </w:rPr>
              <w:t>Forward Estimate</w:t>
            </w:r>
            <w:r w:rsidRPr="007B027B">
              <w:rPr>
                <w:rFonts w:ascii="Arial" w:hAnsi="Arial"/>
                <w:b/>
                <w:bCs/>
                <w:sz w:val="15"/>
                <w:szCs w:val="15"/>
                <w:vertAlign w:val="superscript"/>
                <w:lang w:val="en-AU"/>
              </w:rPr>
              <w:t xml:space="preserve"> </w:t>
            </w:r>
            <w:r w:rsidRPr="007B027B">
              <w:rPr>
                <w:rFonts w:ascii="Arial" w:hAnsi="Arial"/>
                <w:b/>
                <w:bCs/>
                <w:sz w:val="15"/>
                <w:szCs w:val="15"/>
                <w:lang w:val="en-AU"/>
              </w:rPr>
              <w:t>(Workforce Requirement)</w:t>
            </w:r>
          </w:p>
          <w:p w14:paraId="11EA4CAE" w14:textId="24F468FB" w:rsidR="005D0C8F" w:rsidRPr="007B027B" w:rsidRDefault="005D0C8F" w:rsidP="0098239D">
            <w:pPr>
              <w:spacing w:before="0" w:after="0"/>
              <w:jc w:val="right"/>
              <w:rPr>
                <w:rFonts w:ascii="Arial" w:hAnsi="Arial"/>
                <w:b/>
                <w:bCs/>
                <w:sz w:val="15"/>
                <w:szCs w:val="15"/>
                <w:lang w:val="en-AU"/>
              </w:rPr>
            </w:pPr>
          </w:p>
        </w:tc>
        <w:tc>
          <w:tcPr>
            <w:tcW w:w="1191" w:type="dxa"/>
            <w:tcBorders>
              <w:top w:val="single" w:sz="4" w:space="0" w:color="auto"/>
              <w:left w:val="nil"/>
              <w:bottom w:val="single" w:sz="4" w:space="0" w:color="auto"/>
              <w:right w:val="nil"/>
            </w:tcBorders>
            <w:vAlign w:val="bottom"/>
          </w:tcPr>
          <w:p w14:paraId="648C67C8" w14:textId="77777777" w:rsidR="005D0C8F" w:rsidRPr="007B027B" w:rsidRDefault="005D0C8F" w:rsidP="00C57CFE">
            <w:pPr>
              <w:spacing w:before="0" w:after="0"/>
              <w:jc w:val="right"/>
              <w:rPr>
                <w:rFonts w:ascii="Arial" w:hAnsi="Arial"/>
                <w:b/>
                <w:bCs/>
                <w:sz w:val="15"/>
                <w:szCs w:val="15"/>
                <w:lang w:val="en-AU"/>
              </w:rPr>
            </w:pPr>
            <w:r w:rsidRPr="007B027B">
              <w:rPr>
                <w:rFonts w:ascii="Arial" w:hAnsi="Arial"/>
                <w:b/>
                <w:bCs/>
                <w:sz w:val="15"/>
                <w:szCs w:val="15"/>
                <w:lang w:val="en-AU"/>
              </w:rPr>
              <w:t>202</w:t>
            </w:r>
            <w:r w:rsidR="00425C19" w:rsidRPr="007B027B">
              <w:rPr>
                <w:rFonts w:ascii="Arial" w:hAnsi="Arial"/>
                <w:b/>
                <w:bCs/>
                <w:sz w:val="15"/>
                <w:szCs w:val="15"/>
                <w:lang w:val="en-AU"/>
              </w:rPr>
              <w:t>7</w:t>
            </w:r>
            <w:r w:rsidRPr="007B027B">
              <w:rPr>
                <w:rFonts w:ascii="Arial" w:hAnsi="Arial"/>
                <w:b/>
                <w:bCs/>
                <w:sz w:val="15"/>
                <w:szCs w:val="15"/>
                <w:lang w:val="en-AU"/>
              </w:rPr>
              <w:t>-2</w:t>
            </w:r>
            <w:r w:rsidR="00425C19" w:rsidRPr="007B027B">
              <w:rPr>
                <w:rFonts w:ascii="Arial" w:hAnsi="Arial"/>
                <w:b/>
                <w:bCs/>
                <w:sz w:val="15"/>
                <w:szCs w:val="15"/>
                <w:lang w:val="en-AU"/>
              </w:rPr>
              <w:t>8</w:t>
            </w:r>
            <w:r w:rsidRPr="007B027B">
              <w:rPr>
                <w:rFonts w:ascii="Arial" w:hAnsi="Arial"/>
                <w:b/>
                <w:bCs/>
                <w:sz w:val="15"/>
                <w:szCs w:val="15"/>
                <w:lang w:val="en-AU"/>
              </w:rPr>
              <w:t xml:space="preserve"> </w:t>
            </w:r>
          </w:p>
          <w:p w14:paraId="797642D0" w14:textId="02425725" w:rsidR="005D0C8F" w:rsidRPr="007B027B" w:rsidRDefault="005D0C8F" w:rsidP="00C57CFE">
            <w:pPr>
              <w:spacing w:before="0" w:after="0"/>
              <w:jc w:val="right"/>
              <w:rPr>
                <w:rFonts w:ascii="Arial" w:hAnsi="Arial"/>
                <w:b/>
                <w:bCs/>
                <w:sz w:val="15"/>
                <w:szCs w:val="15"/>
                <w:lang w:val="en-AU"/>
              </w:rPr>
            </w:pPr>
            <w:r w:rsidRPr="007B027B">
              <w:rPr>
                <w:rFonts w:ascii="Arial" w:hAnsi="Arial"/>
                <w:b/>
                <w:bCs/>
                <w:sz w:val="15"/>
                <w:szCs w:val="15"/>
                <w:lang w:val="en-AU"/>
              </w:rPr>
              <w:t>Forward Estimate</w:t>
            </w:r>
            <w:r w:rsidRPr="007B027B">
              <w:rPr>
                <w:rFonts w:ascii="Arial" w:hAnsi="Arial"/>
                <w:b/>
                <w:bCs/>
                <w:sz w:val="15"/>
                <w:szCs w:val="15"/>
                <w:vertAlign w:val="superscript"/>
                <w:lang w:val="en-AU"/>
              </w:rPr>
              <w:t xml:space="preserve"> </w:t>
            </w:r>
            <w:r w:rsidRPr="007B027B">
              <w:rPr>
                <w:rFonts w:ascii="Arial" w:hAnsi="Arial"/>
                <w:b/>
                <w:bCs/>
                <w:sz w:val="15"/>
                <w:szCs w:val="15"/>
                <w:lang w:val="en-AU"/>
              </w:rPr>
              <w:t>(Workforce Requiremen</w:t>
            </w:r>
            <w:r w:rsidR="00CE3B2C">
              <w:rPr>
                <w:rFonts w:ascii="Arial" w:hAnsi="Arial"/>
                <w:b/>
                <w:bCs/>
                <w:sz w:val="15"/>
                <w:szCs w:val="15"/>
                <w:lang w:val="en-AU"/>
              </w:rPr>
              <w:t>t</w:t>
            </w:r>
            <w:r w:rsidRPr="007B027B">
              <w:rPr>
                <w:rFonts w:ascii="Arial" w:hAnsi="Arial"/>
                <w:b/>
                <w:bCs/>
                <w:sz w:val="15"/>
                <w:szCs w:val="15"/>
                <w:lang w:val="en-AU"/>
              </w:rPr>
              <w:t>)</w:t>
            </w:r>
          </w:p>
          <w:p w14:paraId="48EE19A0" w14:textId="2E68ED49" w:rsidR="005D0C8F" w:rsidRPr="007B027B" w:rsidRDefault="005D0C8F" w:rsidP="0098239D">
            <w:pPr>
              <w:spacing w:before="0" w:after="0"/>
              <w:jc w:val="right"/>
              <w:rPr>
                <w:rFonts w:ascii="Arial" w:hAnsi="Arial"/>
                <w:b/>
                <w:bCs/>
                <w:sz w:val="15"/>
                <w:szCs w:val="15"/>
                <w:lang w:val="en-AU"/>
              </w:rPr>
            </w:pPr>
          </w:p>
        </w:tc>
        <w:tc>
          <w:tcPr>
            <w:tcW w:w="1191" w:type="dxa"/>
            <w:tcBorders>
              <w:top w:val="single" w:sz="4" w:space="0" w:color="auto"/>
              <w:left w:val="nil"/>
              <w:bottom w:val="single" w:sz="4" w:space="0" w:color="auto"/>
              <w:right w:val="nil"/>
            </w:tcBorders>
            <w:vAlign w:val="bottom"/>
          </w:tcPr>
          <w:p w14:paraId="7159F6E6" w14:textId="77777777" w:rsidR="005D0C8F" w:rsidRPr="007B027B" w:rsidRDefault="005D0C8F" w:rsidP="00C57CFE">
            <w:pPr>
              <w:spacing w:before="0" w:after="0"/>
              <w:jc w:val="right"/>
              <w:rPr>
                <w:rFonts w:ascii="Arial" w:hAnsi="Arial"/>
                <w:b/>
                <w:bCs/>
                <w:sz w:val="15"/>
                <w:szCs w:val="15"/>
                <w:lang w:val="en-AU"/>
              </w:rPr>
            </w:pPr>
            <w:r w:rsidRPr="007B027B">
              <w:rPr>
                <w:rFonts w:ascii="Arial" w:hAnsi="Arial"/>
                <w:b/>
                <w:bCs/>
                <w:sz w:val="15"/>
                <w:szCs w:val="15"/>
                <w:lang w:val="en-AU"/>
              </w:rPr>
              <w:t>202</w:t>
            </w:r>
            <w:r w:rsidR="00425C19" w:rsidRPr="007B027B">
              <w:rPr>
                <w:rFonts w:ascii="Arial" w:hAnsi="Arial"/>
                <w:b/>
                <w:bCs/>
                <w:sz w:val="15"/>
                <w:szCs w:val="15"/>
                <w:lang w:val="en-AU"/>
              </w:rPr>
              <w:t>8</w:t>
            </w:r>
            <w:r w:rsidRPr="007B027B">
              <w:rPr>
                <w:rFonts w:ascii="Arial" w:hAnsi="Arial"/>
                <w:b/>
                <w:bCs/>
                <w:sz w:val="15"/>
                <w:szCs w:val="15"/>
                <w:lang w:val="en-AU"/>
              </w:rPr>
              <w:t>-2</w:t>
            </w:r>
            <w:r w:rsidR="00425C19" w:rsidRPr="007B027B">
              <w:rPr>
                <w:rFonts w:ascii="Arial" w:hAnsi="Arial"/>
                <w:b/>
                <w:bCs/>
                <w:sz w:val="15"/>
                <w:szCs w:val="15"/>
                <w:lang w:val="en-AU"/>
              </w:rPr>
              <w:t>9</w:t>
            </w:r>
          </w:p>
          <w:p w14:paraId="2361C55A" w14:textId="77777777" w:rsidR="005D0C8F" w:rsidRPr="007B027B" w:rsidRDefault="005D0C8F" w:rsidP="00C57CFE">
            <w:pPr>
              <w:spacing w:before="0" w:after="0"/>
              <w:jc w:val="right"/>
              <w:rPr>
                <w:rFonts w:ascii="Arial" w:hAnsi="Arial"/>
                <w:b/>
                <w:bCs/>
                <w:sz w:val="15"/>
                <w:szCs w:val="15"/>
                <w:lang w:val="en-AU"/>
              </w:rPr>
            </w:pPr>
            <w:r w:rsidRPr="007B027B">
              <w:rPr>
                <w:rFonts w:ascii="Arial" w:hAnsi="Arial"/>
                <w:b/>
                <w:bCs/>
                <w:sz w:val="15"/>
                <w:szCs w:val="15"/>
                <w:lang w:val="en-AU"/>
              </w:rPr>
              <w:t>Forward Estimate</w:t>
            </w:r>
            <w:r w:rsidRPr="007B027B">
              <w:rPr>
                <w:rFonts w:ascii="Arial" w:hAnsi="Arial"/>
                <w:b/>
                <w:bCs/>
                <w:sz w:val="15"/>
                <w:szCs w:val="15"/>
                <w:vertAlign w:val="superscript"/>
                <w:lang w:val="en-AU"/>
              </w:rPr>
              <w:t xml:space="preserve"> </w:t>
            </w:r>
            <w:r w:rsidRPr="007B027B">
              <w:rPr>
                <w:rFonts w:ascii="Arial" w:hAnsi="Arial"/>
                <w:b/>
                <w:bCs/>
                <w:sz w:val="15"/>
                <w:szCs w:val="15"/>
                <w:lang w:val="en-AU"/>
              </w:rPr>
              <w:t>(Workforce Requirement)</w:t>
            </w:r>
          </w:p>
          <w:p w14:paraId="78DCC178" w14:textId="1A66D68F" w:rsidR="005D0C8F" w:rsidRPr="007B027B" w:rsidRDefault="005D0C8F" w:rsidP="0098239D">
            <w:pPr>
              <w:spacing w:before="0" w:after="0"/>
              <w:jc w:val="right"/>
              <w:rPr>
                <w:rFonts w:ascii="Arial" w:hAnsi="Arial"/>
                <w:b/>
                <w:bCs/>
                <w:sz w:val="15"/>
                <w:szCs w:val="15"/>
                <w:lang w:val="en-AU"/>
              </w:rPr>
            </w:pPr>
          </w:p>
        </w:tc>
      </w:tr>
      <w:tr w:rsidR="00C57CFE" w:rsidRPr="0037453B" w14:paraId="5C40E45E" w14:textId="77777777" w:rsidTr="007B027B">
        <w:trPr>
          <w:trHeight w:val="255"/>
        </w:trPr>
        <w:tc>
          <w:tcPr>
            <w:tcW w:w="259" w:type="dxa"/>
            <w:tcBorders>
              <w:top w:val="nil"/>
              <w:left w:val="nil"/>
              <w:bottom w:val="nil"/>
              <w:right w:val="single" w:sz="4" w:space="0" w:color="auto"/>
            </w:tcBorders>
            <w:vAlign w:val="bottom"/>
            <w:hideMark/>
          </w:tcPr>
          <w:p w14:paraId="6AB35C22" w14:textId="77777777" w:rsidR="006D2A56" w:rsidRPr="0037453B" w:rsidRDefault="006D2A56" w:rsidP="006D2A56">
            <w:pPr>
              <w:spacing w:before="0" w:after="0"/>
              <w:jc w:val="center"/>
              <w:rPr>
                <w:rFonts w:ascii="Arial" w:hAnsi="Arial"/>
                <w:sz w:val="16"/>
                <w:szCs w:val="16"/>
                <w:highlight w:val="yellow"/>
                <w:lang w:val="en-AU"/>
              </w:rPr>
            </w:pPr>
          </w:p>
        </w:tc>
        <w:tc>
          <w:tcPr>
            <w:tcW w:w="2662" w:type="dxa"/>
            <w:noWrap/>
            <w:vAlign w:val="bottom"/>
            <w:hideMark/>
          </w:tcPr>
          <w:p w14:paraId="7DE26202" w14:textId="4A900F18" w:rsidR="006D2A56" w:rsidRPr="007B027B" w:rsidRDefault="006D2A56" w:rsidP="00CE3B2C">
            <w:pPr>
              <w:spacing w:before="0" w:after="0"/>
              <w:rPr>
                <w:rFonts w:ascii="Arial" w:hAnsi="Arial"/>
                <w:b/>
                <w:bCs/>
                <w:sz w:val="16"/>
                <w:szCs w:val="16"/>
                <w:lang w:val="en-AU"/>
              </w:rPr>
            </w:pPr>
            <w:r w:rsidRPr="007B027B">
              <w:rPr>
                <w:rFonts w:ascii="Arial" w:hAnsi="Arial"/>
                <w:b/>
                <w:bCs/>
                <w:sz w:val="16"/>
                <w:szCs w:val="16"/>
                <w:lang w:val="en-AU"/>
              </w:rPr>
              <w:t>ADF Permanent Force</w:t>
            </w:r>
            <w:r w:rsidR="00107F00" w:rsidRPr="007B027B">
              <w:rPr>
                <w:rFonts w:ascii="Arial" w:hAnsi="Arial"/>
                <w:b/>
                <w:bCs/>
                <w:sz w:val="16"/>
                <w:szCs w:val="16"/>
                <w:lang w:val="en-AU"/>
              </w:rPr>
              <w:t xml:space="preserve"> </w:t>
            </w:r>
          </w:p>
        </w:tc>
        <w:tc>
          <w:tcPr>
            <w:tcW w:w="1190" w:type="dxa"/>
            <w:tcBorders>
              <w:top w:val="nil"/>
              <w:left w:val="nil"/>
              <w:bottom w:val="nil"/>
              <w:right w:val="single" w:sz="4" w:space="0" w:color="E7E6E6"/>
            </w:tcBorders>
            <w:shd w:val="clear" w:color="auto" w:fill="FFFFFF"/>
            <w:noWrap/>
            <w:vAlign w:val="bottom"/>
            <w:hideMark/>
          </w:tcPr>
          <w:p w14:paraId="70D6E8E0" w14:textId="77777777" w:rsidR="006D2A56" w:rsidRPr="0037453B" w:rsidRDefault="006D2A56" w:rsidP="006D2A56">
            <w:pPr>
              <w:spacing w:before="0" w:after="0"/>
              <w:jc w:val="right"/>
              <w:rPr>
                <w:rFonts w:ascii="Arial" w:hAnsi="Arial"/>
                <w:b/>
                <w:bCs/>
                <w:sz w:val="16"/>
                <w:szCs w:val="16"/>
                <w:highlight w:val="yellow"/>
                <w:lang w:val="en-AU"/>
              </w:rPr>
            </w:pPr>
          </w:p>
        </w:tc>
        <w:tc>
          <w:tcPr>
            <w:tcW w:w="1191" w:type="dxa"/>
            <w:vMerge w:val="restart"/>
            <w:tcBorders>
              <w:top w:val="single" w:sz="4" w:space="0" w:color="auto"/>
              <w:left w:val="single" w:sz="4" w:space="0" w:color="E7E6E6"/>
              <w:right w:val="single" w:sz="4" w:space="0" w:color="E7E6E6"/>
            </w:tcBorders>
            <w:shd w:val="clear" w:color="auto" w:fill="E6E6E6"/>
            <w:noWrap/>
            <w:vAlign w:val="bottom"/>
          </w:tcPr>
          <w:p w14:paraId="7FB0C6D7" w14:textId="77777777" w:rsidR="006D2A56" w:rsidRPr="0037453B" w:rsidRDefault="007B027B" w:rsidP="006D2A56">
            <w:pPr>
              <w:spacing w:before="0" w:after="0"/>
              <w:jc w:val="right"/>
              <w:rPr>
                <w:rFonts w:ascii="Arial" w:hAnsi="Arial"/>
                <w:b/>
                <w:bCs/>
                <w:sz w:val="15"/>
                <w:szCs w:val="15"/>
                <w:highlight w:val="yellow"/>
                <w:lang w:val="en-AU"/>
              </w:rPr>
            </w:pPr>
            <w:r w:rsidRPr="00A074C4">
              <w:rPr>
                <w:rFonts w:ascii="Arial" w:hAnsi="Arial"/>
                <w:bCs/>
                <w:sz w:val="15"/>
                <w:szCs w:val="15"/>
                <w:lang w:val="en-AU"/>
              </w:rPr>
              <w:t>15,392</w:t>
            </w:r>
          </w:p>
        </w:tc>
        <w:tc>
          <w:tcPr>
            <w:tcW w:w="1191" w:type="dxa"/>
            <w:tcBorders>
              <w:left w:val="single" w:sz="4" w:space="0" w:color="E7E6E6"/>
            </w:tcBorders>
            <w:shd w:val="clear" w:color="auto" w:fill="FFFFFF"/>
            <w:noWrap/>
            <w:vAlign w:val="bottom"/>
            <w:hideMark/>
          </w:tcPr>
          <w:p w14:paraId="3BC934D8" w14:textId="77777777" w:rsidR="006D2A56" w:rsidRPr="0037453B" w:rsidRDefault="006D2A56" w:rsidP="006D2A56">
            <w:pPr>
              <w:spacing w:before="0" w:after="0"/>
              <w:jc w:val="right"/>
              <w:rPr>
                <w:rFonts w:ascii="Arial" w:hAnsi="Arial"/>
                <w:b/>
                <w:bCs/>
                <w:sz w:val="16"/>
                <w:szCs w:val="16"/>
                <w:highlight w:val="yellow"/>
                <w:lang w:val="en-AU"/>
              </w:rPr>
            </w:pPr>
          </w:p>
        </w:tc>
        <w:tc>
          <w:tcPr>
            <w:tcW w:w="1191" w:type="dxa"/>
            <w:shd w:val="clear" w:color="auto" w:fill="FFFFFF"/>
            <w:noWrap/>
            <w:vAlign w:val="bottom"/>
            <w:hideMark/>
          </w:tcPr>
          <w:p w14:paraId="30FD1D5C" w14:textId="77777777" w:rsidR="006D2A56" w:rsidRPr="0037453B" w:rsidRDefault="006D2A56" w:rsidP="006D2A56">
            <w:pPr>
              <w:spacing w:before="0" w:after="0"/>
              <w:jc w:val="right"/>
              <w:rPr>
                <w:rFonts w:ascii="Arial" w:hAnsi="Arial"/>
                <w:b/>
                <w:bCs/>
                <w:sz w:val="16"/>
                <w:szCs w:val="16"/>
                <w:highlight w:val="yellow"/>
                <w:lang w:val="en-AU"/>
              </w:rPr>
            </w:pPr>
          </w:p>
        </w:tc>
        <w:tc>
          <w:tcPr>
            <w:tcW w:w="1191" w:type="dxa"/>
            <w:shd w:val="clear" w:color="auto" w:fill="FFFFFF"/>
            <w:noWrap/>
            <w:vAlign w:val="bottom"/>
            <w:hideMark/>
          </w:tcPr>
          <w:p w14:paraId="795C128F" w14:textId="77777777" w:rsidR="006D2A56" w:rsidRPr="0037453B" w:rsidRDefault="006D2A56" w:rsidP="006D2A56">
            <w:pPr>
              <w:spacing w:before="0" w:after="0"/>
              <w:jc w:val="right"/>
              <w:rPr>
                <w:rFonts w:ascii="Arial" w:hAnsi="Arial"/>
                <w:b/>
                <w:bCs/>
                <w:sz w:val="16"/>
                <w:szCs w:val="16"/>
                <w:highlight w:val="yellow"/>
                <w:lang w:val="en-AU"/>
              </w:rPr>
            </w:pPr>
          </w:p>
        </w:tc>
      </w:tr>
      <w:tr w:rsidR="007B027B" w:rsidRPr="0037453B" w14:paraId="782CBEE9" w14:textId="77777777" w:rsidTr="00356A93">
        <w:trPr>
          <w:trHeight w:val="255"/>
        </w:trPr>
        <w:tc>
          <w:tcPr>
            <w:tcW w:w="259" w:type="dxa"/>
            <w:tcBorders>
              <w:top w:val="nil"/>
              <w:left w:val="nil"/>
              <w:bottom w:val="nil"/>
              <w:right w:val="single" w:sz="4" w:space="0" w:color="auto"/>
            </w:tcBorders>
            <w:vAlign w:val="bottom"/>
            <w:hideMark/>
          </w:tcPr>
          <w:p w14:paraId="4085E40F" w14:textId="77777777" w:rsidR="007B027B" w:rsidRPr="0037453B" w:rsidRDefault="007B027B" w:rsidP="007B027B">
            <w:pPr>
              <w:spacing w:before="0" w:after="0"/>
              <w:jc w:val="center"/>
              <w:rPr>
                <w:rFonts w:ascii="Arial" w:hAnsi="Arial"/>
                <w:sz w:val="16"/>
                <w:szCs w:val="16"/>
                <w:highlight w:val="yellow"/>
                <w:lang w:val="en-AU"/>
              </w:rPr>
            </w:pPr>
          </w:p>
        </w:tc>
        <w:tc>
          <w:tcPr>
            <w:tcW w:w="2662" w:type="dxa"/>
            <w:noWrap/>
            <w:vAlign w:val="bottom"/>
            <w:hideMark/>
          </w:tcPr>
          <w:p w14:paraId="6B8ADB3A" w14:textId="77777777" w:rsidR="007B027B" w:rsidRPr="007B027B" w:rsidRDefault="007B027B" w:rsidP="007B027B">
            <w:pPr>
              <w:spacing w:before="0" w:after="0"/>
              <w:rPr>
                <w:rFonts w:ascii="Arial" w:hAnsi="Arial"/>
                <w:sz w:val="16"/>
                <w:szCs w:val="16"/>
                <w:lang w:val="en-AU"/>
              </w:rPr>
            </w:pPr>
            <w:r w:rsidRPr="007B027B">
              <w:rPr>
                <w:rFonts w:ascii="Arial" w:hAnsi="Arial"/>
                <w:sz w:val="16"/>
                <w:szCs w:val="16"/>
                <w:lang w:val="en-AU"/>
              </w:rPr>
              <w:t>Navy</w:t>
            </w:r>
          </w:p>
        </w:tc>
        <w:tc>
          <w:tcPr>
            <w:tcW w:w="1190" w:type="dxa"/>
            <w:tcBorders>
              <w:top w:val="nil"/>
              <w:bottom w:val="nil"/>
              <w:right w:val="single" w:sz="4" w:space="0" w:color="E7E6E6"/>
            </w:tcBorders>
            <w:shd w:val="clear" w:color="auto" w:fill="FFFFFF"/>
            <w:noWrap/>
            <w:vAlign w:val="bottom"/>
          </w:tcPr>
          <w:p w14:paraId="490940B9" w14:textId="77777777" w:rsidR="007B027B" w:rsidRPr="00A074C4" w:rsidRDefault="007B027B" w:rsidP="007B027B">
            <w:pPr>
              <w:spacing w:before="0" w:after="0"/>
              <w:jc w:val="right"/>
              <w:rPr>
                <w:rFonts w:ascii="Arial" w:hAnsi="Arial"/>
                <w:bCs/>
                <w:sz w:val="15"/>
                <w:szCs w:val="15"/>
                <w:lang w:val="en-AU"/>
              </w:rPr>
            </w:pPr>
            <w:r w:rsidRPr="00A074C4">
              <w:rPr>
                <w:rFonts w:ascii="Arial" w:hAnsi="Arial"/>
                <w:bCs/>
                <w:sz w:val="15"/>
                <w:szCs w:val="15"/>
                <w:lang w:val="en-AU"/>
              </w:rPr>
              <w:t>15,282</w:t>
            </w:r>
          </w:p>
        </w:tc>
        <w:tc>
          <w:tcPr>
            <w:tcW w:w="1191" w:type="dxa"/>
            <w:vMerge/>
            <w:tcBorders>
              <w:left w:val="single" w:sz="4" w:space="0" w:color="E7E6E6"/>
              <w:bottom w:val="single" w:sz="4" w:space="0" w:color="E7E6E6"/>
              <w:right w:val="single" w:sz="4" w:space="0" w:color="E7E6E6"/>
            </w:tcBorders>
            <w:shd w:val="clear" w:color="auto" w:fill="E6E6E6"/>
            <w:noWrap/>
            <w:vAlign w:val="bottom"/>
          </w:tcPr>
          <w:p w14:paraId="0304CE68" w14:textId="77777777" w:rsidR="007B027B" w:rsidRPr="0037453B" w:rsidRDefault="007B027B" w:rsidP="007B027B">
            <w:pPr>
              <w:spacing w:before="0" w:after="0"/>
              <w:jc w:val="right"/>
              <w:rPr>
                <w:rFonts w:ascii="Arial" w:hAnsi="Arial"/>
                <w:b/>
                <w:bCs/>
                <w:sz w:val="15"/>
                <w:szCs w:val="15"/>
                <w:highlight w:val="yellow"/>
                <w:lang w:val="en-AU"/>
              </w:rPr>
            </w:pPr>
          </w:p>
        </w:tc>
        <w:tc>
          <w:tcPr>
            <w:tcW w:w="1191" w:type="dxa"/>
            <w:tcBorders>
              <w:left w:val="single" w:sz="4" w:space="0" w:color="E7E6E6"/>
            </w:tcBorders>
            <w:shd w:val="clear" w:color="auto" w:fill="FFFFFF"/>
            <w:noWrap/>
            <w:vAlign w:val="bottom"/>
          </w:tcPr>
          <w:p w14:paraId="6A6F0D0C" w14:textId="77777777" w:rsidR="007B027B" w:rsidRPr="00A074C4" w:rsidRDefault="007B027B" w:rsidP="007B027B">
            <w:pPr>
              <w:spacing w:before="0" w:after="0"/>
              <w:jc w:val="right"/>
              <w:rPr>
                <w:rFonts w:ascii="Arial" w:hAnsi="Arial"/>
                <w:b/>
                <w:bCs/>
                <w:sz w:val="15"/>
                <w:szCs w:val="15"/>
                <w:lang w:val="en-AU"/>
              </w:rPr>
            </w:pPr>
            <w:r w:rsidRPr="00A074C4">
              <w:rPr>
                <w:rFonts w:ascii="Arial" w:hAnsi="Arial"/>
                <w:bCs/>
                <w:sz w:val="15"/>
                <w:szCs w:val="15"/>
                <w:lang w:val="en-AU"/>
              </w:rPr>
              <w:t>16,053</w:t>
            </w:r>
          </w:p>
        </w:tc>
        <w:tc>
          <w:tcPr>
            <w:tcW w:w="1191" w:type="dxa"/>
            <w:shd w:val="clear" w:color="auto" w:fill="FFFFFF"/>
            <w:noWrap/>
            <w:vAlign w:val="bottom"/>
          </w:tcPr>
          <w:p w14:paraId="41547814" w14:textId="77777777" w:rsidR="007B027B" w:rsidRPr="00A074C4" w:rsidRDefault="007B027B" w:rsidP="007B027B">
            <w:pPr>
              <w:spacing w:before="0" w:after="0"/>
              <w:jc w:val="right"/>
              <w:rPr>
                <w:rFonts w:ascii="Arial" w:hAnsi="Arial"/>
                <w:b/>
                <w:bCs/>
                <w:sz w:val="15"/>
                <w:szCs w:val="15"/>
                <w:lang w:val="en-AU"/>
              </w:rPr>
            </w:pPr>
            <w:r w:rsidRPr="00A074C4">
              <w:rPr>
                <w:rFonts w:ascii="Arial" w:hAnsi="Arial"/>
                <w:bCs/>
                <w:sz w:val="15"/>
                <w:szCs w:val="15"/>
                <w:lang w:val="en-AU"/>
              </w:rPr>
              <w:t>16,709</w:t>
            </w:r>
          </w:p>
        </w:tc>
        <w:tc>
          <w:tcPr>
            <w:tcW w:w="1191" w:type="dxa"/>
            <w:shd w:val="clear" w:color="auto" w:fill="FFFFFF"/>
            <w:vAlign w:val="bottom"/>
          </w:tcPr>
          <w:p w14:paraId="608F6544" w14:textId="77777777" w:rsidR="007B027B" w:rsidRPr="00A074C4" w:rsidRDefault="007B027B" w:rsidP="007B027B">
            <w:pPr>
              <w:spacing w:before="0" w:after="0"/>
              <w:jc w:val="right"/>
              <w:rPr>
                <w:rFonts w:ascii="Arial" w:hAnsi="Arial"/>
                <w:bCs/>
                <w:sz w:val="15"/>
                <w:szCs w:val="15"/>
                <w:lang w:val="en-AU"/>
              </w:rPr>
            </w:pPr>
            <w:r w:rsidRPr="00A074C4">
              <w:rPr>
                <w:rFonts w:ascii="Arial" w:hAnsi="Arial"/>
                <w:bCs/>
                <w:sz w:val="15"/>
                <w:szCs w:val="15"/>
                <w:lang w:val="en-AU"/>
              </w:rPr>
              <w:t>17,092</w:t>
            </w:r>
          </w:p>
        </w:tc>
      </w:tr>
      <w:tr w:rsidR="007B027B" w:rsidRPr="0037453B" w14:paraId="0C2903C6" w14:textId="77777777" w:rsidTr="00356A93">
        <w:trPr>
          <w:trHeight w:val="255"/>
        </w:trPr>
        <w:tc>
          <w:tcPr>
            <w:tcW w:w="259" w:type="dxa"/>
            <w:tcBorders>
              <w:top w:val="nil"/>
              <w:left w:val="nil"/>
              <w:bottom w:val="nil"/>
              <w:right w:val="single" w:sz="4" w:space="0" w:color="auto"/>
            </w:tcBorders>
            <w:vAlign w:val="bottom"/>
            <w:hideMark/>
          </w:tcPr>
          <w:p w14:paraId="67A4EF59" w14:textId="77777777" w:rsidR="007B027B" w:rsidRPr="0037453B" w:rsidRDefault="007B027B" w:rsidP="007B027B">
            <w:pPr>
              <w:spacing w:before="0" w:after="0"/>
              <w:jc w:val="center"/>
              <w:rPr>
                <w:rFonts w:ascii="Arial" w:hAnsi="Arial"/>
                <w:sz w:val="16"/>
                <w:szCs w:val="16"/>
                <w:highlight w:val="yellow"/>
                <w:lang w:val="en-AU"/>
              </w:rPr>
            </w:pPr>
          </w:p>
        </w:tc>
        <w:tc>
          <w:tcPr>
            <w:tcW w:w="2662" w:type="dxa"/>
            <w:noWrap/>
            <w:vAlign w:val="bottom"/>
            <w:hideMark/>
          </w:tcPr>
          <w:p w14:paraId="3D7F092A" w14:textId="77777777" w:rsidR="007B027B" w:rsidRPr="007B027B" w:rsidRDefault="007B027B" w:rsidP="007B027B">
            <w:pPr>
              <w:spacing w:before="0" w:after="0"/>
              <w:rPr>
                <w:rFonts w:ascii="Arial" w:hAnsi="Arial"/>
                <w:sz w:val="16"/>
                <w:szCs w:val="16"/>
                <w:lang w:val="en-AU"/>
              </w:rPr>
            </w:pPr>
            <w:r w:rsidRPr="007B027B">
              <w:rPr>
                <w:rFonts w:ascii="Arial" w:hAnsi="Arial"/>
                <w:sz w:val="16"/>
                <w:szCs w:val="16"/>
                <w:lang w:val="en-AU"/>
              </w:rPr>
              <w:t>Army</w:t>
            </w:r>
          </w:p>
        </w:tc>
        <w:tc>
          <w:tcPr>
            <w:tcW w:w="1190" w:type="dxa"/>
            <w:tcBorders>
              <w:top w:val="nil"/>
              <w:bottom w:val="nil"/>
              <w:right w:val="single" w:sz="4" w:space="0" w:color="E7E6E6"/>
            </w:tcBorders>
            <w:shd w:val="clear" w:color="auto" w:fill="FFFFFF"/>
            <w:noWrap/>
            <w:vAlign w:val="bottom"/>
          </w:tcPr>
          <w:p w14:paraId="4D8F764F" w14:textId="77777777" w:rsidR="007B027B" w:rsidRPr="00A074C4" w:rsidRDefault="007B027B" w:rsidP="007B027B">
            <w:pPr>
              <w:spacing w:before="0" w:after="0"/>
              <w:jc w:val="right"/>
              <w:rPr>
                <w:rFonts w:ascii="Arial" w:hAnsi="Arial"/>
                <w:bCs/>
                <w:sz w:val="15"/>
                <w:szCs w:val="15"/>
                <w:lang w:val="en-AU"/>
              </w:rPr>
            </w:pPr>
            <w:r w:rsidRPr="00A074C4">
              <w:rPr>
                <w:rFonts w:ascii="Arial" w:hAnsi="Arial"/>
                <w:bCs/>
                <w:sz w:val="15"/>
                <w:szCs w:val="15"/>
                <w:lang w:val="en-AU"/>
              </w:rPr>
              <w:t>27,736</w:t>
            </w:r>
          </w:p>
        </w:tc>
        <w:tc>
          <w:tcPr>
            <w:tcW w:w="1191" w:type="dxa"/>
            <w:tcBorders>
              <w:top w:val="single" w:sz="4" w:space="0" w:color="E7E6E6"/>
              <w:left w:val="single" w:sz="4" w:space="0" w:color="E7E6E6"/>
              <w:bottom w:val="single" w:sz="4" w:space="0" w:color="E7E6E6"/>
              <w:right w:val="single" w:sz="4" w:space="0" w:color="E7E6E6"/>
            </w:tcBorders>
            <w:shd w:val="clear" w:color="auto" w:fill="E6E6E6"/>
            <w:noWrap/>
            <w:vAlign w:val="bottom"/>
          </w:tcPr>
          <w:p w14:paraId="13BA9DAD" w14:textId="77777777" w:rsidR="007B027B" w:rsidRPr="0037453B" w:rsidRDefault="007B027B" w:rsidP="007B027B">
            <w:pPr>
              <w:spacing w:before="0" w:after="0"/>
              <w:jc w:val="right"/>
              <w:rPr>
                <w:rFonts w:ascii="Arial" w:hAnsi="Arial"/>
                <w:b/>
                <w:bCs/>
                <w:sz w:val="15"/>
                <w:szCs w:val="15"/>
                <w:highlight w:val="yellow"/>
                <w:lang w:val="en-AU"/>
              </w:rPr>
            </w:pPr>
            <w:r w:rsidRPr="00A074C4">
              <w:rPr>
                <w:rFonts w:ascii="Arial" w:hAnsi="Arial"/>
                <w:bCs/>
                <w:sz w:val="15"/>
                <w:szCs w:val="15"/>
                <w:lang w:val="en-AU"/>
              </w:rPr>
              <w:t>27,773</w:t>
            </w:r>
          </w:p>
        </w:tc>
        <w:tc>
          <w:tcPr>
            <w:tcW w:w="1191" w:type="dxa"/>
            <w:tcBorders>
              <w:left w:val="single" w:sz="4" w:space="0" w:color="E7E6E6"/>
            </w:tcBorders>
            <w:shd w:val="clear" w:color="auto" w:fill="FFFFFF"/>
            <w:noWrap/>
            <w:vAlign w:val="bottom"/>
          </w:tcPr>
          <w:p w14:paraId="793FBBAD" w14:textId="77777777" w:rsidR="007B027B" w:rsidRPr="00A074C4" w:rsidRDefault="007B027B" w:rsidP="007B027B">
            <w:pPr>
              <w:spacing w:before="0" w:after="0"/>
              <w:jc w:val="right"/>
              <w:rPr>
                <w:rFonts w:ascii="Arial" w:hAnsi="Arial"/>
                <w:b/>
                <w:bCs/>
                <w:sz w:val="15"/>
                <w:szCs w:val="15"/>
                <w:lang w:val="en-AU"/>
              </w:rPr>
            </w:pPr>
            <w:r w:rsidRPr="00A074C4">
              <w:rPr>
                <w:rFonts w:ascii="Arial" w:hAnsi="Arial"/>
                <w:bCs/>
                <w:sz w:val="15"/>
                <w:szCs w:val="15"/>
                <w:lang w:val="en-AU"/>
              </w:rPr>
              <w:t>28,588</w:t>
            </w:r>
          </w:p>
        </w:tc>
        <w:tc>
          <w:tcPr>
            <w:tcW w:w="1191" w:type="dxa"/>
            <w:shd w:val="clear" w:color="auto" w:fill="FFFFFF"/>
            <w:noWrap/>
            <w:vAlign w:val="bottom"/>
          </w:tcPr>
          <w:p w14:paraId="1D0FE724" w14:textId="77777777" w:rsidR="007B027B" w:rsidRPr="00A074C4" w:rsidRDefault="007B027B" w:rsidP="007B027B">
            <w:pPr>
              <w:spacing w:before="0" w:after="0"/>
              <w:jc w:val="right"/>
              <w:rPr>
                <w:rFonts w:ascii="Arial" w:hAnsi="Arial"/>
                <w:b/>
                <w:bCs/>
                <w:sz w:val="15"/>
                <w:szCs w:val="15"/>
                <w:lang w:val="en-AU"/>
              </w:rPr>
            </w:pPr>
            <w:r w:rsidRPr="00A074C4">
              <w:rPr>
                <w:rFonts w:ascii="Arial" w:hAnsi="Arial"/>
                <w:bCs/>
                <w:sz w:val="15"/>
                <w:szCs w:val="15"/>
                <w:lang w:val="en-AU"/>
              </w:rPr>
              <w:t>29,905</w:t>
            </w:r>
          </w:p>
        </w:tc>
        <w:tc>
          <w:tcPr>
            <w:tcW w:w="1191" w:type="dxa"/>
            <w:shd w:val="clear" w:color="auto" w:fill="FFFFFF"/>
            <w:vAlign w:val="bottom"/>
          </w:tcPr>
          <w:p w14:paraId="06231D55" w14:textId="77777777" w:rsidR="007B027B" w:rsidRPr="00A074C4" w:rsidRDefault="007B027B" w:rsidP="007B027B">
            <w:pPr>
              <w:spacing w:before="0" w:after="0"/>
              <w:jc w:val="right"/>
              <w:rPr>
                <w:rFonts w:ascii="Arial" w:hAnsi="Arial"/>
                <w:bCs/>
                <w:sz w:val="15"/>
                <w:szCs w:val="15"/>
                <w:lang w:val="en-AU"/>
              </w:rPr>
            </w:pPr>
            <w:r w:rsidRPr="00A074C4">
              <w:rPr>
                <w:rFonts w:ascii="Arial" w:hAnsi="Arial"/>
                <w:bCs/>
                <w:sz w:val="15"/>
                <w:szCs w:val="15"/>
                <w:lang w:val="en-AU"/>
              </w:rPr>
              <w:t>30,704</w:t>
            </w:r>
          </w:p>
        </w:tc>
      </w:tr>
      <w:tr w:rsidR="007B027B" w:rsidRPr="0037453B" w14:paraId="1648248E" w14:textId="77777777" w:rsidTr="00356A93">
        <w:trPr>
          <w:trHeight w:val="255"/>
        </w:trPr>
        <w:tc>
          <w:tcPr>
            <w:tcW w:w="259" w:type="dxa"/>
            <w:tcBorders>
              <w:top w:val="nil"/>
              <w:left w:val="nil"/>
              <w:right w:val="single" w:sz="4" w:space="0" w:color="auto"/>
            </w:tcBorders>
            <w:vAlign w:val="bottom"/>
            <w:hideMark/>
          </w:tcPr>
          <w:p w14:paraId="1C8277C2" w14:textId="77777777" w:rsidR="007B027B" w:rsidRPr="007B027B" w:rsidRDefault="007B027B" w:rsidP="007B027B">
            <w:pPr>
              <w:spacing w:before="0" w:after="0"/>
              <w:jc w:val="center"/>
              <w:rPr>
                <w:rFonts w:ascii="Arial" w:hAnsi="Arial"/>
                <w:sz w:val="16"/>
                <w:szCs w:val="16"/>
                <w:lang w:val="en-AU"/>
              </w:rPr>
            </w:pPr>
          </w:p>
        </w:tc>
        <w:tc>
          <w:tcPr>
            <w:tcW w:w="2662" w:type="dxa"/>
            <w:tcBorders>
              <w:top w:val="nil"/>
              <w:left w:val="nil"/>
              <w:right w:val="nil"/>
            </w:tcBorders>
            <w:noWrap/>
            <w:vAlign w:val="bottom"/>
            <w:hideMark/>
          </w:tcPr>
          <w:p w14:paraId="54390320" w14:textId="77777777" w:rsidR="007B027B" w:rsidRPr="007B027B" w:rsidRDefault="007B027B" w:rsidP="007B027B">
            <w:pPr>
              <w:spacing w:before="0" w:after="0"/>
              <w:rPr>
                <w:rFonts w:ascii="Arial" w:hAnsi="Arial"/>
                <w:sz w:val="16"/>
                <w:szCs w:val="16"/>
                <w:lang w:val="en-AU"/>
              </w:rPr>
            </w:pPr>
            <w:r w:rsidRPr="007B027B">
              <w:rPr>
                <w:rFonts w:ascii="Arial" w:hAnsi="Arial"/>
                <w:sz w:val="16"/>
                <w:szCs w:val="16"/>
                <w:lang w:val="en-AU"/>
              </w:rPr>
              <w:t>Air Force</w:t>
            </w:r>
          </w:p>
        </w:tc>
        <w:tc>
          <w:tcPr>
            <w:tcW w:w="1190" w:type="dxa"/>
            <w:tcBorders>
              <w:top w:val="nil"/>
              <w:right w:val="single" w:sz="4" w:space="0" w:color="E7E6E6"/>
            </w:tcBorders>
            <w:shd w:val="clear" w:color="auto" w:fill="FFFFFF"/>
            <w:noWrap/>
            <w:vAlign w:val="bottom"/>
          </w:tcPr>
          <w:p w14:paraId="2A39BE90" w14:textId="77777777" w:rsidR="007B027B" w:rsidRPr="00A074C4" w:rsidRDefault="007B027B" w:rsidP="007B027B">
            <w:pPr>
              <w:spacing w:before="0" w:after="0"/>
              <w:jc w:val="right"/>
              <w:rPr>
                <w:rFonts w:ascii="Arial" w:hAnsi="Arial"/>
                <w:bCs/>
                <w:sz w:val="15"/>
                <w:szCs w:val="15"/>
                <w:lang w:val="en-AU"/>
              </w:rPr>
            </w:pPr>
            <w:r w:rsidRPr="00A074C4">
              <w:rPr>
                <w:rFonts w:ascii="Arial" w:hAnsi="Arial"/>
                <w:bCs/>
                <w:sz w:val="15"/>
                <w:szCs w:val="15"/>
                <w:lang w:val="en-AU"/>
              </w:rPr>
              <w:t>15,832</w:t>
            </w:r>
          </w:p>
        </w:tc>
        <w:tc>
          <w:tcPr>
            <w:tcW w:w="1191" w:type="dxa"/>
            <w:tcBorders>
              <w:top w:val="single" w:sz="4" w:space="0" w:color="E7E6E6"/>
              <w:left w:val="single" w:sz="4" w:space="0" w:color="E7E6E6"/>
              <w:bottom w:val="single" w:sz="4" w:space="0" w:color="E7E6E6"/>
              <w:right w:val="single" w:sz="4" w:space="0" w:color="E7E6E6"/>
            </w:tcBorders>
            <w:shd w:val="clear" w:color="auto" w:fill="E6E6E6"/>
            <w:noWrap/>
            <w:vAlign w:val="bottom"/>
          </w:tcPr>
          <w:p w14:paraId="04506F49" w14:textId="77777777" w:rsidR="007B027B" w:rsidRPr="0037453B" w:rsidRDefault="007B027B" w:rsidP="007B027B">
            <w:pPr>
              <w:spacing w:before="0" w:after="0"/>
              <w:jc w:val="right"/>
              <w:rPr>
                <w:rFonts w:ascii="Arial" w:hAnsi="Arial"/>
                <w:b/>
                <w:bCs/>
                <w:sz w:val="15"/>
                <w:szCs w:val="15"/>
                <w:highlight w:val="yellow"/>
                <w:lang w:val="en-AU"/>
              </w:rPr>
            </w:pPr>
            <w:r w:rsidRPr="00A074C4">
              <w:rPr>
                <w:rFonts w:ascii="Arial" w:hAnsi="Arial"/>
                <w:bCs/>
                <w:sz w:val="15"/>
                <w:szCs w:val="15"/>
                <w:lang w:val="en-AU"/>
              </w:rPr>
              <w:t>16,208</w:t>
            </w:r>
          </w:p>
        </w:tc>
        <w:tc>
          <w:tcPr>
            <w:tcW w:w="1191" w:type="dxa"/>
            <w:tcBorders>
              <w:left w:val="single" w:sz="4" w:space="0" w:color="E7E6E6"/>
            </w:tcBorders>
            <w:shd w:val="clear" w:color="auto" w:fill="FFFFFF"/>
            <w:noWrap/>
            <w:vAlign w:val="bottom"/>
          </w:tcPr>
          <w:p w14:paraId="1CC9F640" w14:textId="77777777" w:rsidR="007B027B" w:rsidRPr="00A074C4" w:rsidRDefault="007B027B" w:rsidP="007B027B">
            <w:pPr>
              <w:spacing w:before="0" w:after="0"/>
              <w:jc w:val="right"/>
              <w:rPr>
                <w:rFonts w:ascii="Arial" w:hAnsi="Arial"/>
                <w:b/>
                <w:bCs/>
                <w:sz w:val="15"/>
                <w:szCs w:val="15"/>
                <w:lang w:val="en-AU"/>
              </w:rPr>
            </w:pPr>
            <w:r w:rsidRPr="00A074C4">
              <w:rPr>
                <w:rFonts w:ascii="Arial" w:hAnsi="Arial"/>
                <w:bCs/>
                <w:sz w:val="15"/>
                <w:szCs w:val="15"/>
                <w:lang w:val="en-AU"/>
              </w:rPr>
              <w:t>16,408</w:t>
            </w:r>
          </w:p>
        </w:tc>
        <w:tc>
          <w:tcPr>
            <w:tcW w:w="1191" w:type="dxa"/>
            <w:shd w:val="clear" w:color="auto" w:fill="FFFFFF"/>
            <w:noWrap/>
            <w:vAlign w:val="bottom"/>
          </w:tcPr>
          <w:p w14:paraId="0AF8A79B" w14:textId="77777777" w:rsidR="007B027B" w:rsidRPr="00A074C4" w:rsidRDefault="007B027B" w:rsidP="007B027B">
            <w:pPr>
              <w:spacing w:before="0" w:after="0"/>
              <w:jc w:val="right"/>
              <w:rPr>
                <w:rFonts w:ascii="Arial" w:hAnsi="Arial"/>
                <w:b/>
                <w:bCs/>
                <w:sz w:val="15"/>
                <w:szCs w:val="15"/>
                <w:lang w:val="en-AU"/>
              </w:rPr>
            </w:pPr>
            <w:r w:rsidRPr="00A074C4">
              <w:rPr>
                <w:rFonts w:ascii="Arial" w:hAnsi="Arial"/>
                <w:bCs/>
                <w:sz w:val="15"/>
                <w:szCs w:val="15"/>
                <w:lang w:val="en-AU"/>
              </w:rPr>
              <w:t>16,658</w:t>
            </w:r>
          </w:p>
        </w:tc>
        <w:tc>
          <w:tcPr>
            <w:tcW w:w="1191" w:type="dxa"/>
            <w:shd w:val="clear" w:color="auto" w:fill="FFFFFF"/>
            <w:vAlign w:val="bottom"/>
          </w:tcPr>
          <w:p w14:paraId="00429B30" w14:textId="77777777" w:rsidR="007B027B" w:rsidRPr="00A074C4" w:rsidRDefault="007B027B" w:rsidP="007B027B">
            <w:pPr>
              <w:spacing w:before="0" w:after="0"/>
              <w:jc w:val="right"/>
              <w:rPr>
                <w:rFonts w:ascii="Arial" w:hAnsi="Arial"/>
                <w:bCs/>
                <w:sz w:val="15"/>
                <w:szCs w:val="15"/>
                <w:lang w:val="en-AU"/>
              </w:rPr>
            </w:pPr>
            <w:r w:rsidRPr="00A074C4">
              <w:rPr>
                <w:rFonts w:ascii="Arial" w:hAnsi="Arial"/>
                <w:bCs/>
                <w:sz w:val="15"/>
                <w:szCs w:val="15"/>
                <w:lang w:val="en-AU"/>
              </w:rPr>
              <w:t>16,908</w:t>
            </w:r>
          </w:p>
        </w:tc>
      </w:tr>
      <w:tr w:rsidR="007B027B" w:rsidRPr="0037453B" w14:paraId="401B5461" w14:textId="77777777" w:rsidTr="00356A93">
        <w:trPr>
          <w:trHeight w:val="255"/>
        </w:trPr>
        <w:tc>
          <w:tcPr>
            <w:tcW w:w="259" w:type="dxa"/>
            <w:tcBorders>
              <w:left w:val="nil"/>
              <w:bottom w:val="single" w:sz="4" w:space="0" w:color="auto"/>
              <w:right w:val="single" w:sz="4" w:space="0" w:color="auto"/>
            </w:tcBorders>
            <w:shd w:val="clear" w:color="auto" w:fill="E6E6E6"/>
            <w:vAlign w:val="bottom"/>
            <w:hideMark/>
          </w:tcPr>
          <w:p w14:paraId="68AF2431" w14:textId="77777777" w:rsidR="007B027B" w:rsidRPr="007B027B" w:rsidRDefault="007B027B" w:rsidP="007B027B">
            <w:pPr>
              <w:spacing w:before="0" w:after="0"/>
              <w:jc w:val="center"/>
              <w:rPr>
                <w:rFonts w:ascii="Arial" w:hAnsi="Arial"/>
                <w:b/>
                <w:sz w:val="16"/>
                <w:szCs w:val="16"/>
                <w:lang w:val="en-AU"/>
              </w:rPr>
            </w:pPr>
            <w:r w:rsidRPr="007B027B">
              <w:rPr>
                <w:rFonts w:ascii="Arial" w:hAnsi="Arial"/>
                <w:b/>
                <w:sz w:val="16"/>
                <w:szCs w:val="16"/>
                <w:lang w:val="en-AU"/>
              </w:rPr>
              <w:t>1</w:t>
            </w:r>
          </w:p>
        </w:tc>
        <w:tc>
          <w:tcPr>
            <w:tcW w:w="2662" w:type="dxa"/>
            <w:tcBorders>
              <w:left w:val="nil"/>
              <w:bottom w:val="single" w:sz="4" w:space="0" w:color="auto"/>
              <w:right w:val="nil"/>
            </w:tcBorders>
            <w:shd w:val="clear" w:color="auto" w:fill="E6E6E6"/>
            <w:noWrap/>
            <w:vAlign w:val="bottom"/>
            <w:hideMark/>
          </w:tcPr>
          <w:p w14:paraId="220C5462" w14:textId="77777777" w:rsidR="007B027B" w:rsidRPr="007B027B" w:rsidRDefault="007B027B" w:rsidP="007B027B">
            <w:pPr>
              <w:spacing w:before="0" w:after="0"/>
              <w:rPr>
                <w:rFonts w:ascii="Arial" w:hAnsi="Arial"/>
                <w:b/>
                <w:bCs/>
                <w:sz w:val="16"/>
                <w:szCs w:val="16"/>
                <w:lang w:val="en-AU"/>
              </w:rPr>
            </w:pPr>
            <w:r w:rsidRPr="007B027B">
              <w:rPr>
                <w:rFonts w:ascii="Arial" w:hAnsi="Arial"/>
                <w:b/>
                <w:bCs/>
                <w:sz w:val="16"/>
                <w:szCs w:val="16"/>
                <w:lang w:val="en-AU"/>
              </w:rPr>
              <w:t>Total Permanent Force</w:t>
            </w:r>
          </w:p>
        </w:tc>
        <w:tc>
          <w:tcPr>
            <w:tcW w:w="1190" w:type="dxa"/>
            <w:tcBorders>
              <w:bottom w:val="single" w:sz="4" w:space="0" w:color="auto"/>
              <w:right w:val="single" w:sz="4" w:space="0" w:color="E7E6E6"/>
            </w:tcBorders>
            <w:shd w:val="clear" w:color="auto" w:fill="E6E6E6"/>
            <w:noWrap/>
            <w:vAlign w:val="bottom"/>
          </w:tcPr>
          <w:p w14:paraId="4E0E04D3" w14:textId="77777777" w:rsidR="007B027B" w:rsidRPr="00A074C4" w:rsidRDefault="007B027B" w:rsidP="007B027B">
            <w:pPr>
              <w:spacing w:before="0" w:after="0"/>
              <w:jc w:val="right"/>
              <w:rPr>
                <w:rFonts w:ascii="Arial" w:hAnsi="Arial"/>
                <w:b/>
                <w:bCs/>
                <w:sz w:val="15"/>
                <w:szCs w:val="15"/>
                <w:lang w:val="en-AU"/>
              </w:rPr>
            </w:pPr>
            <w:r w:rsidRPr="00A074C4">
              <w:rPr>
                <w:rFonts w:ascii="Arial" w:hAnsi="Arial"/>
                <w:b/>
                <w:bCs/>
                <w:sz w:val="15"/>
                <w:szCs w:val="15"/>
                <w:lang w:val="en-AU"/>
              </w:rPr>
              <w:t>58,850</w:t>
            </w:r>
          </w:p>
        </w:tc>
        <w:tc>
          <w:tcPr>
            <w:tcW w:w="1191" w:type="dxa"/>
            <w:tcBorders>
              <w:top w:val="single" w:sz="4" w:space="0" w:color="E7E6E6"/>
              <w:left w:val="single" w:sz="4" w:space="0" w:color="E7E6E6"/>
              <w:bottom w:val="single" w:sz="4" w:space="0" w:color="auto"/>
              <w:right w:val="single" w:sz="4" w:space="0" w:color="E7E6E6"/>
            </w:tcBorders>
            <w:shd w:val="clear" w:color="auto" w:fill="E6E6E6"/>
            <w:noWrap/>
            <w:vAlign w:val="bottom"/>
          </w:tcPr>
          <w:p w14:paraId="0ADBE899" w14:textId="77777777" w:rsidR="007B027B" w:rsidRPr="0037453B" w:rsidRDefault="007B027B" w:rsidP="007B027B">
            <w:pPr>
              <w:spacing w:before="0" w:after="0"/>
              <w:jc w:val="right"/>
              <w:rPr>
                <w:rFonts w:ascii="Arial" w:hAnsi="Arial"/>
                <w:b/>
                <w:bCs/>
                <w:sz w:val="15"/>
                <w:szCs w:val="15"/>
                <w:highlight w:val="yellow"/>
                <w:lang w:val="en-AU"/>
              </w:rPr>
            </w:pPr>
            <w:r w:rsidRPr="00A074C4">
              <w:rPr>
                <w:rFonts w:ascii="Arial" w:hAnsi="Arial"/>
                <w:b/>
                <w:bCs/>
                <w:sz w:val="15"/>
                <w:szCs w:val="15"/>
                <w:lang w:val="en-AU"/>
              </w:rPr>
              <w:t>59,373</w:t>
            </w:r>
          </w:p>
        </w:tc>
        <w:tc>
          <w:tcPr>
            <w:tcW w:w="1191" w:type="dxa"/>
            <w:tcBorders>
              <w:left w:val="single" w:sz="4" w:space="0" w:color="E7E6E6"/>
              <w:bottom w:val="single" w:sz="4" w:space="0" w:color="auto"/>
              <w:right w:val="nil"/>
            </w:tcBorders>
            <w:shd w:val="clear" w:color="auto" w:fill="E6E6E6"/>
            <w:noWrap/>
            <w:vAlign w:val="bottom"/>
          </w:tcPr>
          <w:p w14:paraId="3176F62C" w14:textId="77777777" w:rsidR="007B027B" w:rsidRPr="0037453B" w:rsidRDefault="007B027B" w:rsidP="007B027B">
            <w:pPr>
              <w:spacing w:before="0" w:after="0"/>
              <w:jc w:val="right"/>
              <w:rPr>
                <w:rFonts w:ascii="Arial" w:hAnsi="Arial"/>
                <w:b/>
                <w:bCs/>
                <w:sz w:val="15"/>
                <w:szCs w:val="15"/>
                <w:highlight w:val="yellow"/>
                <w:lang w:val="en-AU"/>
              </w:rPr>
            </w:pPr>
            <w:r w:rsidRPr="00A074C4">
              <w:rPr>
                <w:rFonts w:ascii="Arial" w:hAnsi="Arial"/>
                <w:b/>
                <w:bCs/>
                <w:sz w:val="15"/>
                <w:szCs w:val="15"/>
                <w:lang w:val="en-AU"/>
              </w:rPr>
              <w:t>61,049</w:t>
            </w:r>
          </w:p>
        </w:tc>
        <w:tc>
          <w:tcPr>
            <w:tcW w:w="1191" w:type="dxa"/>
            <w:tcBorders>
              <w:left w:val="nil"/>
              <w:bottom w:val="single" w:sz="4" w:space="0" w:color="auto"/>
              <w:right w:val="nil"/>
            </w:tcBorders>
            <w:shd w:val="clear" w:color="auto" w:fill="E6E6E6"/>
            <w:noWrap/>
            <w:vAlign w:val="bottom"/>
          </w:tcPr>
          <w:p w14:paraId="3BCEBF7D" w14:textId="77777777" w:rsidR="007B027B" w:rsidRPr="0037453B" w:rsidRDefault="007B027B" w:rsidP="007B027B">
            <w:pPr>
              <w:spacing w:before="0" w:after="0"/>
              <w:jc w:val="right"/>
              <w:rPr>
                <w:rFonts w:ascii="Arial" w:hAnsi="Arial"/>
                <w:b/>
                <w:bCs/>
                <w:sz w:val="15"/>
                <w:szCs w:val="15"/>
                <w:highlight w:val="yellow"/>
                <w:lang w:val="en-AU"/>
              </w:rPr>
            </w:pPr>
            <w:r w:rsidRPr="00A074C4">
              <w:rPr>
                <w:rFonts w:ascii="Arial" w:hAnsi="Arial"/>
                <w:b/>
                <w:bCs/>
                <w:sz w:val="15"/>
                <w:szCs w:val="15"/>
                <w:lang w:val="en-AU"/>
              </w:rPr>
              <w:t>63,272</w:t>
            </w:r>
          </w:p>
        </w:tc>
        <w:tc>
          <w:tcPr>
            <w:tcW w:w="1191" w:type="dxa"/>
            <w:tcBorders>
              <w:left w:val="nil"/>
              <w:bottom w:val="single" w:sz="4" w:space="0" w:color="auto"/>
              <w:right w:val="nil"/>
            </w:tcBorders>
            <w:shd w:val="clear" w:color="auto" w:fill="E6E6E6"/>
            <w:noWrap/>
            <w:vAlign w:val="bottom"/>
          </w:tcPr>
          <w:p w14:paraId="0594FF85" w14:textId="77777777" w:rsidR="007B027B" w:rsidRPr="0037453B" w:rsidRDefault="007B027B" w:rsidP="007B027B">
            <w:pPr>
              <w:spacing w:before="0" w:after="0"/>
              <w:jc w:val="right"/>
              <w:rPr>
                <w:rFonts w:ascii="Arial" w:hAnsi="Arial"/>
                <w:b/>
                <w:bCs/>
                <w:sz w:val="15"/>
                <w:szCs w:val="15"/>
                <w:highlight w:val="yellow"/>
                <w:lang w:val="en-AU"/>
              </w:rPr>
            </w:pPr>
            <w:r w:rsidRPr="00A074C4">
              <w:rPr>
                <w:rFonts w:ascii="Arial" w:hAnsi="Arial"/>
                <w:b/>
                <w:bCs/>
                <w:sz w:val="15"/>
                <w:szCs w:val="15"/>
                <w:lang w:val="en-AU"/>
              </w:rPr>
              <w:t>64,704</w:t>
            </w:r>
          </w:p>
        </w:tc>
      </w:tr>
      <w:tr w:rsidR="00C57CFE" w:rsidRPr="0037453B" w14:paraId="54B048F2" w14:textId="77777777" w:rsidTr="00356A93">
        <w:trPr>
          <w:trHeight w:val="255"/>
        </w:trPr>
        <w:tc>
          <w:tcPr>
            <w:tcW w:w="259" w:type="dxa"/>
            <w:tcBorders>
              <w:top w:val="nil"/>
              <w:left w:val="nil"/>
              <w:bottom w:val="nil"/>
              <w:right w:val="single" w:sz="4" w:space="0" w:color="auto"/>
            </w:tcBorders>
            <w:vAlign w:val="bottom"/>
            <w:hideMark/>
          </w:tcPr>
          <w:p w14:paraId="7380D684" w14:textId="77777777" w:rsidR="00231C6C" w:rsidRPr="007B027B" w:rsidRDefault="00231C6C" w:rsidP="00231C6C">
            <w:pPr>
              <w:spacing w:before="0" w:after="0"/>
              <w:jc w:val="center"/>
              <w:rPr>
                <w:rFonts w:ascii="Arial" w:hAnsi="Arial"/>
                <w:sz w:val="16"/>
                <w:szCs w:val="16"/>
                <w:lang w:val="en-AU"/>
              </w:rPr>
            </w:pPr>
          </w:p>
        </w:tc>
        <w:tc>
          <w:tcPr>
            <w:tcW w:w="2662" w:type="dxa"/>
            <w:noWrap/>
            <w:vAlign w:val="bottom"/>
            <w:hideMark/>
          </w:tcPr>
          <w:p w14:paraId="30B27885" w14:textId="77777777" w:rsidR="00231C6C" w:rsidRPr="007B027B" w:rsidRDefault="00231C6C" w:rsidP="00231C6C">
            <w:pPr>
              <w:spacing w:before="0" w:after="0"/>
              <w:rPr>
                <w:rFonts w:ascii="Arial" w:hAnsi="Arial"/>
                <w:b/>
                <w:bCs/>
                <w:sz w:val="16"/>
                <w:szCs w:val="16"/>
                <w:lang w:val="en-AU"/>
              </w:rPr>
            </w:pPr>
            <w:r w:rsidRPr="007B027B">
              <w:rPr>
                <w:rFonts w:ascii="Arial" w:hAnsi="Arial"/>
                <w:b/>
                <w:bCs/>
                <w:sz w:val="16"/>
                <w:szCs w:val="16"/>
                <w:lang w:val="en-AU"/>
              </w:rPr>
              <w:t>Civilian Employees</w:t>
            </w:r>
          </w:p>
        </w:tc>
        <w:tc>
          <w:tcPr>
            <w:tcW w:w="1190" w:type="dxa"/>
            <w:tcBorders>
              <w:top w:val="nil"/>
              <w:bottom w:val="nil"/>
              <w:right w:val="single" w:sz="4" w:space="0" w:color="E7E6E6"/>
            </w:tcBorders>
            <w:shd w:val="clear" w:color="auto" w:fill="FFFFFF"/>
            <w:noWrap/>
            <w:vAlign w:val="bottom"/>
          </w:tcPr>
          <w:p w14:paraId="49C655D1" w14:textId="77777777" w:rsidR="00231C6C" w:rsidRPr="0037453B" w:rsidRDefault="00231C6C" w:rsidP="00231C6C">
            <w:pPr>
              <w:spacing w:before="0" w:after="0"/>
              <w:jc w:val="right"/>
              <w:rPr>
                <w:rFonts w:ascii="Arial" w:hAnsi="Arial"/>
                <w:b/>
                <w:bCs/>
                <w:sz w:val="16"/>
                <w:szCs w:val="16"/>
                <w:highlight w:val="yellow"/>
                <w:lang w:val="en-AU"/>
              </w:rPr>
            </w:pPr>
          </w:p>
        </w:tc>
        <w:tc>
          <w:tcPr>
            <w:tcW w:w="1191" w:type="dxa"/>
            <w:vMerge w:val="restart"/>
            <w:tcBorders>
              <w:top w:val="single" w:sz="4" w:space="0" w:color="auto"/>
              <w:left w:val="single" w:sz="4" w:space="0" w:color="E7E6E6"/>
              <w:right w:val="single" w:sz="4" w:space="0" w:color="E7E6E6"/>
            </w:tcBorders>
            <w:shd w:val="clear" w:color="auto" w:fill="E6E6E6"/>
            <w:noWrap/>
            <w:vAlign w:val="bottom"/>
          </w:tcPr>
          <w:p w14:paraId="58D7020D" w14:textId="36FDEF96" w:rsidR="00231C6C" w:rsidRPr="0037453B" w:rsidRDefault="007B027B" w:rsidP="004D3EA0">
            <w:pPr>
              <w:spacing w:before="0" w:after="0"/>
              <w:jc w:val="right"/>
              <w:rPr>
                <w:rFonts w:ascii="Arial" w:hAnsi="Arial"/>
                <w:b/>
                <w:bCs/>
                <w:sz w:val="15"/>
                <w:szCs w:val="15"/>
                <w:highlight w:val="yellow"/>
                <w:lang w:val="en-AU"/>
              </w:rPr>
            </w:pPr>
            <w:r w:rsidRPr="00A074C4">
              <w:rPr>
                <w:rFonts w:ascii="Arial" w:hAnsi="Arial"/>
                <w:bCs/>
                <w:sz w:val="15"/>
                <w:szCs w:val="15"/>
                <w:lang w:val="en-AU"/>
              </w:rPr>
              <w:t>19,86</w:t>
            </w:r>
            <w:r w:rsidR="004D3EA0">
              <w:rPr>
                <w:rFonts w:ascii="Arial" w:hAnsi="Arial"/>
                <w:bCs/>
                <w:sz w:val="15"/>
                <w:szCs w:val="15"/>
                <w:lang w:val="en-AU"/>
              </w:rPr>
              <w:t>3</w:t>
            </w:r>
          </w:p>
        </w:tc>
        <w:tc>
          <w:tcPr>
            <w:tcW w:w="1191" w:type="dxa"/>
            <w:tcBorders>
              <w:left w:val="single" w:sz="4" w:space="0" w:color="E7E6E6"/>
            </w:tcBorders>
            <w:shd w:val="clear" w:color="auto" w:fill="FFFFFF"/>
            <w:noWrap/>
            <w:vAlign w:val="bottom"/>
          </w:tcPr>
          <w:p w14:paraId="4B767F5E" w14:textId="77777777" w:rsidR="00231C6C" w:rsidRPr="0037453B" w:rsidRDefault="00231C6C" w:rsidP="00231C6C">
            <w:pPr>
              <w:spacing w:before="0" w:after="0"/>
              <w:jc w:val="right"/>
              <w:rPr>
                <w:rFonts w:ascii="Arial" w:hAnsi="Arial"/>
                <w:b/>
                <w:bCs/>
                <w:sz w:val="16"/>
                <w:szCs w:val="16"/>
                <w:highlight w:val="yellow"/>
                <w:lang w:val="en-AU"/>
              </w:rPr>
            </w:pPr>
          </w:p>
        </w:tc>
        <w:tc>
          <w:tcPr>
            <w:tcW w:w="1191" w:type="dxa"/>
            <w:shd w:val="clear" w:color="auto" w:fill="FFFFFF"/>
            <w:noWrap/>
            <w:vAlign w:val="bottom"/>
          </w:tcPr>
          <w:p w14:paraId="1C012067" w14:textId="77777777" w:rsidR="00231C6C" w:rsidRPr="0037453B" w:rsidRDefault="00231C6C" w:rsidP="00231C6C">
            <w:pPr>
              <w:spacing w:before="0" w:after="0"/>
              <w:jc w:val="right"/>
              <w:rPr>
                <w:rFonts w:ascii="Arial" w:hAnsi="Arial"/>
                <w:b/>
                <w:bCs/>
                <w:sz w:val="16"/>
                <w:szCs w:val="16"/>
                <w:highlight w:val="yellow"/>
                <w:lang w:val="en-AU"/>
              </w:rPr>
            </w:pPr>
          </w:p>
        </w:tc>
        <w:tc>
          <w:tcPr>
            <w:tcW w:w="1191" w:type="dxa"/>
            <w:shd w:val="clear" w:color="auto" w:fill="FFFFFF"/>
            <w:noWrap/>
            <w:vAlign w:val="bottom"/>
          </w:tcPr>
          <w:p w14:paraId="7244CE6E" w14:textId="77777777" w:rsidR="00231C6C" w:rsidRPr="0037453B" w:rsidRDefault="00231C6C" w:rsidP="00231C6C">
            <w:pPr>
              <w:spacing w:before="0" w:after="0"/>
              <w:jc w:val="right"/>
              <w:rPr>
                <w:rFonts w:ascii="Arial" w:hAnsi="Arial"/>
                <w:b/>
                <w:bCs/>
                <w:sz w:val="16"/>
                <w:szCs w:val="16"/>
                <w:highlight w:val="yellow"/>
                <w:lang w:val="en-AU"/>
              </w:rPr>
            </w:pPr>
          </w:p>
        </w:tc>
      </w:tr>
      <w:tr w:rsidR="00C57CFE" w:rsidRPr="0037453B" w14:paraId="683F3772" w14:textId="77777777" w:rsidTr="00356A93">
        <w:trPr>
          <w:trHeight w:val="255"/>
        </w:trPr>
        <w:tc>
          <w:tcPr>
            <w:tcW w:w="259" w:type="dxa"/>
            <w:tcBorders>
              <w:top w:val="nil"/>
              <w:left w:val="nil"/>
              <w:right w:val="single" w:sz="4" w:space="0" w:color="auto"/>
            </w:tcBorders>
            <w:hideMark/>
          </w:tcPr>
          <w:p w14:paraId="09EB56D7" w14:textId="77777777" w:rsidR="00231C6C" w:rsidRPr="007B027B" w:rsidRDefault="00231C6C" w:rsidP="00231C6C">
            <w:pPr>
              <w:spacing w:before="0" w:after="0"/>
              <w:jc w:val="center"/>
              <w:rPr>
                <w:rFonts w:ascii="Arial" w:hAnsi="Arial"/>
                <w:sz w:val="16"/>
                <w:szCs w:val="16"/>
                <w:lang w:val="en-AU"/>
              </w:rPr>
            </w:pPr>
          </w:p>
        </w:tc>
        <w:tc>
          <w:tcPr>
            <w:tcW w:w="2662" w:type="dxa"/>
            <w:noWrap/>
            <w:vAlign w:val="bottom"/>
            <w:hideMark/>
          </w:tcPr>
          <w:p w14:paraId="246F314D" w14:textId="77777777" w:rsidR="00231C6C" w:rsidRPr="007B027B" w:rsidRDefault="00231C6C" w:rsidP="00231C6C">
            <w:pPr>
              <w:spacing w:before="0" w:after="0"/>
              <w:rPr>
                <w:rFonts w:ascii="Arial" w:hAnsi="Arial"/>
                <w:sz w:val="16"/>
                <w:szCs w:val="16"/>
                <w:lang w:val="en-AU"/>
              </w:rPr>
            </w:pPr>
            <w:r w:rsidRPr="007B027B">
              <w:rPr>
                <w:rFonts w:ascii="Arial" w:hAnsi="Arial"/>
                <w:sz w:val="16"/>
                <w:szCs w:val="16"/>
                <w:lang w:val="en-AU"/>
              </w:rPr>
              <w:t>APS</w:t>
            </w:r>
          </w:p>
        </w:tc>
        <w:tc>
          <w:tcPr>
            <w:tcW w:w="1190" w:type="dxa"/>
            <w:tcBorders>
              <w:top w:val="nil"/>
              <w:right w:val="single" w:sz="4" w:space="0" w:color="E7E6E6"/>
            </w:tcBorders>
            <w:shd w:val="clear" w:color="auto" w:fill="FFFFFF"/>
            <w:noWrap/>
            <w:vAlign w:val="bottom"/>
          </w:tcPr>
          <w:p w14:paraId="58C31D7B" w14:textId="44D09EEA" w:rsidR="00231C6C" w:rsidRPr="0037453B" w:rsidRDefault="007B027B" w:rsidP="004D3EA0">
            <w:pPr>
              <w:spacing w:before="0" w:after="0"/>
              <w:jc w:val="right"/>
              <w:rPr>
                <w:rFonts w:ascii="Arial" w:hAnsi="Arial"/>
                <w:sz w:val="15"/>
                <w:szCs w:val="15"/>
                <w:highlight w:val="yellow"/>
                <w:lang w:val="en-AU"/>
              </w:rPr>
            </w:pPr>
            <w:r w:rsidRPr="00A074C4">
              <w:rPr>
                <w:rFonts w:ascii="Arial" w:hAnsi="Arial"/>
                <w:sz w:val="15"/>
                <w:szCs w:val="15"/>
                <w:lang w:val="en-AU"/>
              </w:rPr>
              <w:t>19,23</w:t>
            </w:r>
            <w:r w:rsidR="004D3EA0">
              <w:rPr>
                <w:rFonts w:ascii="Arial" w:hAnsi="Arial"/>
                <w:sz w:val="15"/>
                <w:szCs w:val="15"/>
                <w:lang w:val="en-AU"/>
              </w:rPr>
              <w:t>7</w:t>
            </w:r>
          </w:p>
        </w:tc>
        <w:tc>
          <w:tcPr>
            <w:tcW w:w="1191" w:type="dxa"/>
            <w:vMerge/>
            <w:tcBorders>
              <w:left w:val="single" w:sz="4" w:space="0" w:color="E7E6E6"/>
              <w:bottom w:val="single" w:sz="4" w:space="0" w:color="E7E6E6"/>
              <w:right w:val="single" w:sz="4" w:space="0" w:color="E7E6E6"/>
            </w:tcBorders>
            <w:shd w:val="clear" w:color="auto" w:fill="E6E6E6"/>
            <w:noWrap/>
            <w:vAlign w:val="bottom"/>
          </w:tcPr>
          <w:p w14:paraId="504ECE9A" w14:textId="77777777" w:rsidR="00231C6C" w:rsidRPr="0037453B" w:rsidRDefault="00231C6C" w:rsidP="00231C6C">
            <w:pPr>
              <w:spacing w:before="0" w:after="0"/>
              <w:jc w:val="right"/>
              <w:rPr>
                <w:rFonts w:ascii="Arial" w:hAnsi="Arial"/>
                <w:b/>
                <w:bCs/>
                <w:sz w:val="15"/>
                <w:szCs w:val="15"/>
                <w:highlight w:val="yellow"/>
                <w:lang w:val="en-AU"/>
              </w:rPr>
            </w:pPr>
          </w:p>
        </w:tc>
        <w:tc>
          <w:tcPr>
            <w:tcW w:w="1191" w:type="dxa"/>
            <w:tcBorders>
              <w:left w:val="single" w:sz="4" w:space="0" w:color="E7E6E6"/>
            </w:tcBorders>
            <w:shd w:val="clear" w:color="auto" w:fill="FFFFFF"/>
            <w:noWrap/>
            <w:vAlign w:val="bottom"/>
          </w:tcPr>
          <w:p w14:paraId="7A58B864" w14:textId="2F31F828" w:rsidR="00231C6C" w:rsidRPr="0037453B" w:rsidRDefault="004D3EA0" w:rsidP="00B209F9">
            <w:pPr>
              <w:spacing w:before="0" w:after="0"/>
              <w:jc w:val="right"/>
              <w:rPr>
                <w:rFonts w:ascii="Arial" w:hAnsi="Arial"/>
                <w:b/>
                <w:bCs/>
                <w:sz w:val="15"/>
                <w:szCs w:val="15"/>
                <w:highlight w:val="yellow"/>
                <w:lang w:val="en-AU"/>
              </w:rPr>
            </w:pPr>
            <w:r>
              <w:rPr>
                <w:rFonts w:ascii="Arial" w:hAnsi="Arial"/>
                <w:bCs/>
                <w:sz w:val="15"/>
                <w:szCs w:val="15"/>
                <w:lang w:val="en-AU"/>
              </w:rPr>
              <w:t>20,261</w:t>
            </w:r>
          </w:p>
        </w:tc>
        <w:tc>
          <w:tcPr>
            <w:tcW w:w="1191" w:type="dxa"/>
            <w:shd w:val="clear" w:color="auto" w:fill="FFFFFF"/>
            <w:noWrap/>
            <w:vAlign w:val="bottom"/>
          </w:tcPr>
          <w:p w14:paraId="38A6DB5A" w14:textId="56A04E75" w:rsidR="00231C6C" w:rsidRPr="0037453B" w:rsidRDefault="007B027B" w:rsidP="004D3EA0">
            <w:pPr>
              <w:spacing w:before="0" w:after="0"/>
              <w:jc w:val="right"/>
              <w:rPr>
                <w:rFonts w:ascii="Arial" w:hAnsi="Arial"/>
                <w:bCs/>
                <w:sz w:val="15"/>
                <w:szCs w:val="15"/>
                <w:highlight w:val="yellow"/>
                <w:lang w:val="en-AU"/>
              </w:rPr>
            </w:pPr>
            <w:r w:rsidRPr="00A074C4">
              <w:rPr>
                <w:rFonts w:ascii="Arial" w:hAnsi="Arial"/>
                <w:bCs/>
                <w:sz w:val="15"/>
                <w:szCs w:val="15"/>
                <w:lang w:val="en-AU"/>
              </w:rPr>
              <w:t>20,27</w:t>
            </w:r>
            <w:r w:rsidR="004D3EA0">
              <w:rPr>
                <w:rFonts w:ascii="Arial" w:hAnsi="Arial"/>
                <w:bCs/>
                <w:sz w:val="15"/>
                <w:szCs w:val="15"/>
                <w:lang w:val="en-AU"/>
              </w:rPr>
              <w:t>4</w:t>
            </w:r>
          </w:p>
        </w:tc>
        <w:tc>
          <w:tcPr>
            <w:tcW w:w="1191" w:type="dxa"/>
            <w:shd w:val="clear" w:color="auto" w:fill="FFFFFF"/>
            <w:noWrap/>
            <w:vAlign w:val="bottom"/>
          </w:tcPr>
          <w:p w14:paraId="7439CB75" w14:textId="3EFC671D" w:rsidR="00231C6C" w:rsidRPr="0037453B" w:rsidRDefault="007B027B" w:rsidP="004D3EA0">
            <w:pPr>
              <w:spacing w:before="0" w:after="0"/>
              <w:jc w:val="right"/>
              <w:rPr>
                <w:rFonts w:ascii="Arial" w:hAnsi="Arial"/>
                <w:bCs/>
                <w:sz w:val="15"/>
                <w:szCs w:val="15"/>
                <w:highlight w:val="yellow"/>
                <w:lang w:val="en-AU"/>
              </w:rPr>
            </w:pPr>
            <w:r w:rsidRPr="00A074C4">
              <w:rPr>
                <w:rFonts w:ascii="Arial" w:hAnsi="Arial"/>
                <w:bCs/>
                <w:sz w:val="15"/>
                <w:szCs w:val="15"/>
                <w:lang w:val="en-AU"/>
              </w:rPr>
              <w:t>20,27</w:t>
            </w:r>
            <w:r w:rsidR="004D3EA0">
              <w:rPr>
                <w:rFonts w:ascii="Arial" w:hAnsi="Arial"/>
                <w:bCs/>
                <w:sz w:val="15"/>
                <w:szCs w:val="15"/>
                <w:lang w:val="en-AU"/>
              </w:rPr>
              <w:t>5</w:t>
            </w:r>
          </w:p>
        </w:tc>
      </w:tr>
      <w:tr w:rsidR="00C57CFE" w:rsidRPr="0037453B" w14:paraId="34924C9F" w14:textId="77777777" w:rsidTr="00356A93">
        <w:trPr>
          <w:trHeight w:val="255"/>
        </w:trPr>
        <w:tc>
          <w:tcPr>
            <w:tcW w:w="259" w:type="dxa"/>
            <w:tcBorders>
              <w:left w:val="nil"/>
              <w:bottom w:val="single" w:sz="4" w:space="0" w:color="auto"/>
              <w:right w:val="single" w:sz="4" w:space="0" w:color="auto"/>
            </w:tcBorders>
            <w:shd w:val="clear" w:color="auto" w:fill="E6E6E6"/>
            <w:vAlign w:val="bottom"/>
            <w:hideMark/>
          </w:tcPr>
          <w:p w14:paraId="5C3EF8A3" w14:textId="77777777" w:rsidR="00231C6C" w:rsidRPr="007B027B" w:rsidRDefault="00231C6C" w:rsidP="00231C6C">
            <w:pPr>
              <w:spacing w:before="0" w:after="0"/>
              <w:jc w:val="center"/>
              <w:rPr>
                <w:rFonts w:ascii="Arial" w:hAnsi="Arial"/>
                <w:b/>
                <w:sz w:val="16"/>
                <w:szCs w:val="16"/>
                <w:lang w:val="en-AU"/>
              </w:rPr>
            </w:pPr>
            <w:r w:rsidRPr="007B027B">
              <w:rPr>
                <w:rFonts w:ascii="Arial" w:hAnsi="Arial"/>
                <w:b/>
                <w:sz w:val="16"/>
                <w:szCs w:val="16"/>
                <w:lang w:val="en-AU"/>
              </w:rPr>
              <w:t>2</w:t>
            </w:r>
          </w:p>
        </w:tc>
        <w:tc>
          <w:tcPr>
            <w:tcW w:w="2662" w:type="dxa"/>
            <w:tcBorders>
              <w:left w:val="nil"/>
              <w:bottom w:val="single" w:sz="4" w:space="0" w:color="auto"/>
              <w:right w:val="nil"/>
            </w:tcBorders>
            <w:shd w:val="clear" w:color="auto" w:fill="E6E6E6"/>
            <w:noWrap/>
            <w:vAlign w:val="bottom"/>
            <w:hideMark/>
          </w:tcPr>
          <w:p w14:paraId="76D57874" w14:textId="77777777" w:rsidR="00231C6C" w:rsidRPr="007B027B" w:rsidRDefault="00231C6C" w:rsidP="00231C6C">
            <w:pPr>
              <w:spacing w:before="0" w:after="0"/>
              <w:rPr>
                <w:rFonts w:ascii="Arial" w:hAnsi="Arial"/>
                <w:b/>
                <w:bCs/>
                <w:sz w:val="16"/>
                <w:szCs w:val="16"/>
                <w:lang w:val="en-AU"/>
              </w:rPr>
            </w:pPr>
            <w:r w:rsidRPr="007B027B">
              <w:rPr>
                <w:rFonts w:ascii="Arial" w:hAnsi="Arial"/>
                <w:b/>
                <w:bCs/>
                <w:sz w:val="16"/>
                <w:szCs w:val="16"/>
                <w:lang w:val="en-AU"/>
              </w:rPr>
              <w:t>Total Civilian Employees</w:t>
            </w:r>
          </w:p>
        </w:tc>
        <w:tc>
          <w:tcPr>
            <w:tcW w:w="1190" w:type="dxa"/>
            <w:tcBorders>
              <w:bottom w:val="single" w:sz="4" w:space="0" w:color="auto"/>
              <w:right w:val="single" w:sz="4" w:space="0" w:color="E7E6E6"/>
            </w:tcBorders>
            <w:shd w:val="clear" w:color="auto" w:fill="E6E6E6"/>
            <w:noWrap/>
            <w:vAlign w:val="bottom"/>
          </w:tcPr>
          <w:p w14:paraId="767AE1EA" w14:textId="6CC6DFB0" w:rsidR="00231C6C" w:rsidRPr="0037453B" w:rsidRDefault="007B027B" w:rsidP="004D3EA0">
            <w:pPr>
              <w:spacing w:before="0" w:after="0"/>
              <w:jc w:val="right"/>
              <w:rPr>
                <w:rFonts w:ascii="Arial" w:hAnsi="Arial"/>
                <w:b/>
                <w:bCs/>
                <w:sz w:val="15"/>
                <w:szCs w:val="15"/>
                <w:highlight w:val="yellow"/>
                <w:lang w:val="en-AU"/>
              </w:rPr>
            </w:pPr>
            <w:r w:rsidRPr="00A074C4">
              <w:rPr>
                <w:rFonts w:ascii="Arial" w:hAnsi="Arial"/>
                <w:b/>
                <w:bCs/>
                <w:sz w:val="15"/>
                <w:szCs w:val="15"/>
                <w:lang w:val="en-AU"/>
              </w:rPr>
              <w:t>19,23</w:t>
            </w:r>
            <w:r w:rsidR="004D3EA0">
              <w:rPr>
                <w:rFonts w:ascii="Arial" w:hAnsi="Arial"/>
                <w:b/>
                <w:bCs/>
                <w:sz w:val="15"/>
                <w:szCs w:val="15"/>
                <w:lang w:val="en-AU"/>
              </w:rPr>
              <w:t>7</w:t>
            </w:r>
          </w:p>
        </w:tc>
        <w:tc>
          <w:tcPr>
            <w:tcW w:w="1191" w:type="dxa"/>
            <w:tcBorders>
              <w:top w:val="single" w:sz="4" w:space="0" w:color="E7E6E6"/>
              <w:left w:val="single" w:sz="4" w:space="0" w:color="E7E6E6"/>
              <w:bottom w:val="single" w:sz="4" w:space="0" w:color="auto"/>
              <w:right w:val="single" w:sz="4" w:space="0" w:color="E7E6E6"/>
            </w:tcBorders>
            <w:shd w:val="clear" w:color="auto" w:fill="E6E6E6"/>
            <w:noWrap/>
            <w:vAlign w:val="bottom"/>
          </w:tcPr>
          <w:p w14:paraId="6339BDE0" w14:textId="7FDB3C88" w:rsidR="00231C6C" w:rsidRPr="0037453B" w:rsidRDefault="007B027B" w:rsidP="004D3EA0">
            <w:pPr>
              <w:spacing w:before="0" w:after="0"/>
              <w:jc w:val="right"/>
              <w:rPr>
                <w:rFonts w:ascii="Arial" w:hAnsi="Arial"/>
                <w:b/>
                <w:bCs/>
                <w:sz w:val="15"/>
                <w:szCs w:val="15"/>
                <w:highlight w:val="yellow"/>
                <w:lang w:val="en-AU"/>
              </w:rPr>
            </w:pPr>
            <w:r w:rsidRPr="00A074C4">
              <w:rPr>
                <w:rFonts w:ascii="Arial" w:hAnsi="Arial"/>
                <w:b/>
                <w:bCs/>
                <w:sz w:val="15"/>
                <w:szCs w:val="15"/>
                <w:lang w:val="en-AU"/>
              </w:rPr>
              <w:t>19,86</w:t>
            </w:r>
            <w:r w:rsidR="004D3EA0">
              <w:rPr>
                <w:rFonts w:ascii="Arial" w:hAnsi="Arial"/>
                <w:b/>
                <w:bCs/>
                <w:sz w:val="15"/>
                <w:szCs w:val="15"/>
                <w:lang w:val="en-AU"/>
              </w:rPr>
              <w:t>3</w:t>
            </w:r>
          </w:p>
        </w:tc>
        <w:tc>
          <w:tcPr>
            <w:tcW w:w="1191" w:type="dxa"/>
            <w:tcBorders>
              <w:left w:val="single" w:sz="4" w:space="0" w:color="E7E6E6"/>
              <w:bottom w:val="single" w:sz="4" w:space="0" w:color="auto"/>
              <w:right w:val="nil"/>
            </w:tcBorders>
            <w:shd w:val="clear" w:color="auto" w:fill="E6E6E6"/>
            <w:noWrap/>
            <w:vAlign w:val="bottom"/>
          </w:tcPr>
          <w:p w14:paraId="39361B8F" w14:textId="1F8E727B" w:rsidR="00231C6C" w:rsidRPr="0037453B" w:rsidRDefault="007B027B" w:rsidP="004D3EA0">
            <w:pPr>
              <w:spacing w:before="0" w:after="0"/>
              <w:jc w:val="right"/>
              <w:rPr>
                <w:rFonts w:ascii="Arial" w:hAnsi="Arial"/>
                <w:b/>
                <w:bCs/>
                <w:sz w:val="15"/>
                <w:szCs w:val="15"/>
                <w:highlight w:val="yellow"/>
                <w:lang w:val="en-AU"/>
              </w:rPr>
            </w:pPr>
            <w:r w:rsidRPr="00A074C4">
              <w:rPr>
                <w:rFonts w:ascii="Arial" w:hAnsi="Arial"/>
                <w:b/>
                <w:bCs/>
                <w:sz w:val="15"/>
                <w:szCs w:val="15"/>
                <w:lang w:val="en-AU"/>
              </w:rPr>
              <w:t>20,26</w:t>
            </w:r>
            <w:r w:rsidR="004D3EA0">
              <w:rPr>
                <w:rFonts w:ascii="Arial" w:hAnsi="Arial"/>
                <w:b/>
                <w:bCs/>
                <w:sz w:val="15"/>
                <w:szCs w:val="15"/>
                <w:lang w:val="en-AU"/>
              </w:rPr>
              <w:t>1</w:t>
            </w:r>
          </w:p>
        </w:tc>
        <w:tc>
          <w:tcPr>
            <w:tcW w:w="1191" w:type="dxa"/>
            <w:tcBorders>
              <w:left w:val="nil"/>
              <w:bottom w:val="single" w:sz="4" w:space="0" w:color="auto"/>
              <w:right w:val="nil"/>
            </w:tcBorders>
            <w:shd w:val="clear" w:color="auto" w:fill="E6E6E6"/>
            <w:noWrap/>
            <w:vAlign w:val="bottom"/>
          </w:tcPr>
          <w:p w14:paraId="6BCC06FA" w14:textId="308730D3" w:rsidR="00231C6C" w:rsidRPr="0037453B" w:rsidRDefault="007B027B" w:rsidP="004D3EA0">
            <w:pPr>
              <w:spacing w:before="0" w:after="0"/>
              <w:jc w:val="right"/>
              <w:rPr>
                <w:rFonts w:ascii="Arial" w:hAnsi="Arial"/>
                <w:b/>
                <w:bCs/>
                <w:sz w:val="15"/>
                <w:szCs w:val="15"/>
                <w:highlight w:val="yellow"/>
                <w:lang w:val="en-AU"/>
              </w:rPr>
            </w:pPr>
            <w:r w:rsidRPr="00A074C4">
              <w:rPr>
                <w:rFonts w:ascii="Arial" w:hAnsi="Arial"/>
                <w:b/>
                <w:bCs/>
                <w:sz w:val="15"/>
                <w:szCs w:val="15"/>
                <w:lang w:val="en-AU"/>
              </w:rPr>
              <w:t>20,27</w:t>
            </w:r>
            <w:r w:rsidR="004D3EA0">
              <w:rPr>
                <w:rFonts w:ascii="Arial" w:hAnsi="Arial"/>
                <w:b/>
                <w:bCs/>
                <w:sz w:val="15"/>
                <w:szCs w:val="15"/>
                <w:lang w:val="en-AU"/>
              </w:rPr>
              <w:t>4</w:t>
            </w:r>
          </w:p>
        </w:tc>
        <w:tc>
          <w:tcPr>
            <w:tcW w:w="1191" w:type="dxa"/>
            <w:tcBorders>
              <w:left w:val="nil"/>
              <w:bottom w:val="single" w:sz="4" w:space="0" w:color="auto"/>
              <w:right w:val="nil"/>
            </w:tcBorders>
            <w:shd w:val="clear" w:color="auto" w:fill="E6E6E6"/>
            <w:noWrap/>
            <w:vAlign w:val="bottom"/>
          </w:tcPr>
          <w:p w14:paraId="0D349059" w14:textId="4BE36947" w:rsidR="00231C6C" w:rsidRPr="0037453B" w:rsidRDefault="007B027B" w:rsidP="004D3EA0">
            <w:pPr>
              <w:spacing w:before="0" w:after="0"/>
              <w:jc w:val="right"/>
              <w:rPr>
                <w:rFonts w:ascii="Arial" w:hAnsi="Arial"/>
                <w:b/>
                <w:bCs/>
                <w:sz w:val="15"/>
                <w:szCs w:val="15"/>
                <w:highlight w:val="yellow"/>
                <w:lang w:val="en-AU"/>
              </w:rPr>
            </w:pPr>
            <w:r w:rsidRPr="00A074C4">
              <w:rPr>
                <w:rFonts w:ascii="Arial" w:hAnsi="Arial"/>
                <w:b/>
                <w:bCs/>
                <w:sz w:val="15"/>
                <w:szCs w:val="15"/>
                <w:lang w:val="en-AU"/>
              </w:rPr>
              <w:t>20,27</w:t>
            </w:r>
            <w:r w:rsidR="004D3EA0">
              <w:rPr>
                <w:rFonts w:ascii="Arial" w:hAnsi="Arial"/>
                <w:b/>
                <w:bCs/>
                <w:sz w:val="15"/>
                <w:szCs w:val="15"/>
                <w:lang w:val="en-AU"/>
              </w:rPr>
              <w:t>5</w:t>
            </w:r>
          </w:p>
        </w:tc>
      </w:tr>
      <w:tr w:rsidR="00C57CFE" w:rsidRPr="0037453B" w14:paraId="4C5B2E19" w14:textId="77777777" w:rsidTr="00356A93">
        <w:trPr>
          <w:trHeight w:val="255"/>
        </w:trPr>
        <w:tc>
          <w:tcPr>
            <w:tcW w:w="259" w:type="dxa"/>
            <w:tcBorders>
              <w:top w:val="nil"/>
              <w:left w:val="nil"/>
              <w:bottom w:val="single" w:sz="4" w:space="0" w:color="auto"/>
              <w:right w:val="single" w:sz="4" w:space="0" w:color="auto"/>
            </w:tcBorders>
            <w:hideMark/>
          </w:tcPr>
          <w:p w14:paraId="6B9242A1" w14:textId="77777777" w:rsidR="00231C6C" w:rsidRPr="0037453B" w:rsidRDefault="00231C6C" w:rsidP="00231C6C">
            <w:pPr>
              <w:spacing w:before="0" w:after="0"/>
              <w:jc w:val="center"/>
              <w:rPr>
                <w:rFonts w:ascii="Arial" w:hAnsi="Arial"/>
                <w:sz w:val="16"/>
                <w:szCs w:val="16"/>
                <w:highlight w:val="yellow"/>
                <w:lang w:val="en-AU"/>
              </w:rPr>
            </w:pPr>
          </w:p>
        </w:tc>
        <w:tc>
          <w:tcPr>
            <w:tcW w:w="2662" w:type="dxa"/>
            <w:tcBorders>
              <w:top w:val="nil"/>
              <w:left w:val="nil"/>
              <w:bottom w:val="single" w:sz="4" w:space="0" w:color="auto"/>
              <w:right w:val="nil"/>
            </w:tcBorders>
            <w:noWrap/>
            <w:vAlign w:val="bottom"/>
            <w:hideMark/>
          </w:tcPr>
          <w:p w14:paraId="651316A4" w14:textId="77777777" w:rsidR="00231C6C" w:rsidRPr="007B027B" w:rsidRDefault="00231C6C" w:rsidP="00231C6C">
            <w:pPr>
              <w:spacing w:before="0" w:after="0"/>
              <w:rPr>
                <w:rFonts w:ascii="Arial" w:hAnsi="Arial"/>
                <w:b/>
                <w:bCs/>
                <w:sz w:val="16"/>
                <w:szCs w:val="16"/>
                <w:lang w:val="en-AU"/>
              </w:rPr>
            </w:pPr>
            <w:r w:rsidRPr="007B027B">
              <w:rPr>
                <w:rFonts w:ascii="Arial" w:hAnsi="Arial"/>
                <w:b/>
                <w:bCs/>
                <w:sz w:val="16"/>
                <w:szCs w:val="16"/>
                <w:lang w:val="en-AU"/>
              </w:rPr>
              <w:t>Total Workforce Strength (1 + 2)</w:t>
            </w:r>
          </w:p>
        </w:tc>
        <w:tc>
          <w:tcPr>
            <w:tcW w:w="1190" w:type="dxa"/>
            <w:tcBorders>
              <w:top w:val="nil"/>
              <w:bottom w:val="single" w:sz="4" w:space="0" w:color="auto"/>
            </w:tcBorders>
            <w:shd w:val="clear" w:color="auto" w:fill="FFFFFF"/>
            <w:noWrap/>
            <w:vAlign w:val="bottom"/>
          </w:tcPr>
          <w:p w14:paraId="28589108" w14:textId="248624E1" w:rsidR="00231C6C" w:rsidRPr="0037453B" w:rsidRDefault="007B027B" w:rsidP="004D3EA0">
            <w:pPr>
              <w:spacing w:before="0" w:after="0"/>
              <w:jc w:val="right"/>
              <w:rPr>
                <w:rFonts w:ascii="Arial" w:hAnsi="Arial"/>
                <w:b/>
                <w:bCs/>
                <w:sz w:val="15"/>
                <w:szCs w:val="15"/>
                <w:highlight w:val="yellow"/>
                <w:lang w:val="en-AU"/>
              </w:rPr>
            </w:pPr>
            <w:r w:rsidRPr="00A074C4">
              <w:rPr>
                <w:rFonts w:ascii="Arial" w:hAnsi="Arial"/>
                <w:b/>
                <w:bCs/>
                <w:sz w:val="15"/>
                <w:szCs w:val="15"/>
                <w:lang w:val="en-AU"/>
              </w:rPr>
              <w:t>78,08</w:t>
            </w:r>
            <w:r w:rsidR="004D3EA0">
              <w:rPr>
                <w:rFonts w:ascii="Arial" w:hAnsi="Arial"/>
                <w:b/>
                <w:bCs/>
                <w:sz w:val="15"/>
                <w:szCs w:val="15"/>
                <w:lang w:val="en-AU"/>
              </w:rPr>
              <w:t>7</w:t>
            </w:r>
          </w:p>
        </w:tc>
        <w:tc>
          <w:tcPr>
            <w:tcW w:w="1191" w:type="dxa"/>
            <w:tcBorders>
              <w:top w:val="single" w:sz="4" w:space="0" w:color="auto"/>
              <w:left w:val="nil"/>
              <w:bottom w:val="single" w:sz="4" w:space="0" w:color="auto"/>
              <w:right w:val="nil"/>
            </w:tcBorders>
            <w:shd w:val="clear" w:color="auto" w:fill="E6E6E6"/>
            <w:noWrap/>
            <w:vAlign w:val="bottom"/>
          </w:tcPr>
          <w:p w14:paraId="68C0B89F" w14:textId="5FE1C422" w:rsidR="00231C6C" w:rsidRPr="0037453B" w:rsidRDefault="007B027B" w:rsidP="004D3EA0">
            <w:pPr>
              <w:spacing w:before="0" w:after="0"/>
              <w:jc w:val="right"/>
              <w:rPr>
                <w:rFonts w:ascii="Arial" w:hAnsi="Arial"/>
                <w:b/>
                <w:bCs/>
                <w:sz w:val="15"/>
                <w:szCs w:val="15"/>
                <w:highlight w:val="yellow"/>
                <w:lang w:val="en-AU"/>
              </w:rPr>
            </w:pPr>
            <w:r w:rsidRPr="00A074C4">
              <w:rPr>
                <w:rFonts w:ascii="Arial" w:hAnsi="Arial"/>
                <w:b/>
                <w:bCs/>
                <w:sz w:val="15"/>
                <w:szCs w:val="15"/>
                <w:lang w:val="en-AU"/>
              </w:rPr>
              <w:t>79,23</w:t>
            </w:r>
            <w:r w:rsidR="004D3EA0">
              <w:rPr>
                <w:rFonts w:ascii="Arial" w:hAnsi="Arial"/>
                <w:b/>
                <w:bCs/>
                <w:sz w:val="15"/>
                <w:szCs w:val="15"/>
                <w:lang w:val="en-AU"/>
              </w:rPr>
              <w:t>6</w:t>
            </w:r>
          </w:p>
        </w:tc>
        <w:tc>
          <w:tcPr>
            <w:tcW w:w="1191" w:type="dxa"/>
            <w:tcBorders>
              <w:top w:val="nil"/>
              <w:left w:val="nil"/>
              <w:bottom w:val="single" w:sz="4" w:space="0" w:color="auto"/>
              <w:right w:val="nil"/>
            </w:tcBorders>
            <w:shd w:val="clear" w:color="auto" w:fill="FFFFFF"/>
            <w:noWrap/>
            <w:vAlign w:val="bottom"/>
          </w:tcPr>
          <w:p w14:paraId="44778800" w14:textId="0310BA39" w:rsidR="00231C6C" w:rsidRPr="0037453B" w:rsidRDefault="007B027B" w:rsidP="004D3EA0">
            <w:pPr>
              <w:spacing w:before="0" w:after="0"/>
              <w:jc w:val="right"/>
              <w:rPr>
                <w:rFonts w:ascii="Arial" w:hAnsi="Arial"/>
                <w:b/>
                <w:bCs/>
                <w:sz w:val="15"/>
                <w:szCs w:val="15"/>
                <w:highlight w:val="yellow"/>
                <w:lang w:val="en-AU"/>
              </w:rPr>
            </w:pPr>
            <w:r w:rsidRPr="00A074C4">
              <w:rPr>
                <w:rFonts w:ascii="Arial" w:hAnsi="Arial"/>
                <w:b/>
                <w:bCs/>
                <w:sz w:val="15"/>
                <w:szCs w:val="15"/>
                <w:lang w:val="en-AU"/>
              </w:rPr>
              <w:t>81,3</w:t>
            </w:r>
            <w:r w:rsidR="004D3EA0">
              <w:rPr>
                <w:rFonts w:ascii="Arial" w:hAnsi="Arial"/>
                <w:b/>
                <w:bCs/>
                <w:sz w:val="15"/>
                <w:szCs w:val="15"/>
                <w:lang w:val="en-AU"/>
              </w:rPr>
              <w:t>10</w:t>
            </w:r>
          </w:p>
        </w:tc>
        <w:tc>
          <w:tcPr>
            <w:tcW w:w="1191" w:type="dxa"/>
            <w:tcBorders>
              <w:top w:val="nil"/>
              <w:left w:val="nil"/>
              <w:bottom w:val="single" w:sz="4" w:space="0" w:color="auto"/>
              <w:right w:val="nil"/>
            </w:tcBorders>
            <w:shd w:val="clear" w:color="auto" w:fill="FFFFFF"/>
            <w:noWrap/>
            <w:vAlign w:val="bottom"/>
          </w:tcPr>
          <w:p w14:paraId="38A9327B" w14:textId="17592A3D" w:rsidR="00231C6C" w:rsidRPr="0037453B" w:rsidRDefault="007B027B" w:rsidP="004D3EA0">
            <w:pPr>
              <w:spacing w:before="0" w:after="0"/>
              <w:jc w:val="right"/>
              <w:rPr>
                <w:rFonts w:ascii="Arial" w:hAnsi="Arial"/>
                <w:b/>
                <w:bCs/>
                <w:sz w:val="15"/>
                <w:szCs w:val="15"/>
                <w:highlight w:val="yellow"/>
                <w:lang w:val="en-AU"/>
              </w:rPr>
            </w:pPr>
            <w:r w:rsidRPr="00A074C4">
              <w:rPr>
                <w:rFonts w:ascii="Arial" w:hAnsi="Arial"/>
                <w:b/>
                <w:bCs/>
                <w:sz w:val="15"/>
                <w:szCs w:val="15"/>
                <w:lang w:val="en-AU"/>
              </w:rPr>
              <w:t>83,54</w:t>
            </w:r>
            <w:r w:rsidR="004D3EA0">
              <w:rPr>
                <w:rFonts w:ascii="Arial" w:hAnsi="Arial"/>
                <w:b/>
                <w:bCs/>
                <w:sz w:val="15"/>
                <w:szCs w:val="15"/>
                <w:lang w:val="en-AU"/>
              </w:rPr>
              <w:t>6</w:t>
            </w:r>
          </w:p>
        </w:tc>
        <w:tc>
          <w:tcPr>
            <w:tcW w:w="1191" w:type="dxa"/>
            <w:tcBorders>
              <w:top w:val="nil"/>
              <w:left w:val="nil"/>
              <w:bottom w:val="single" w:sz="4" w:space="0" w:color="auto"/>
              <w:right w:val="nil"/>
            </w:tcBorders>
            <w:shd w:val="clear" w:color="auto" w:fill="FFFFFF"/>
            <w:noWrap/>
            <w:vAlign w:val="bottom"/>
          </w:tcPr>
          <w:p w14:paraId="4E02614A" w14:textId="1C87B749" w:rsidR="00231C6C" w:rsidRPr="0037453B" w:rsidRDefault="007B027B" w:rsidP="004D3EA0">
            <w:pPr>
              <w:spacing w:before="0" w:after="0"/>
              <w:jc w:val="right"/>
              <w:rPr>
                <w:rFonts w:ascii="Arial" w:hAnsi="Arial"/>
                <w:b/>
                <w:bCs/>
                <w:sz w:val="15"/>
                <w:szCs w:val="15"/>
                <w:highlight w:val="yellow"/>
                <w:lang w:val="en-AU"/>
              </w:rPr>
            </w:pPr>
            <w:r w:rsidRPr="00A074C4">
              <w:rPr>
                <w:rFonts w:ascii="Arial" w:hAnsi="Arial"/>
                <w:b/>
                <w:bCs/>
                <w:sz w:val="15"/>
                <w:szCs w:val="15"/>
                <w:lang w:val="en-AU"/>
              </w:rPr>
              <w:t>84,97</w:t>
            </w:r>
            <w:r w:rsidR="004D3EA0">
              <w:rPr>
                <w:rFonts w:ascii="Arial" w:hAnsi="Arial"/>
                <w:b/>
                <w:bCs/>
                <w:sz w:val="15"/>
                <w:szCs w:val="15"/>
                <w:lang w:val="en-AU"/>
              </w:rPr>
              <w:t>9</w:t>
            </w:r>
          </w:p>
        </w:tc>
      </w:tr>
    </w:tbl>
    <w:p w14:paraId="6104433B" w14:textId="77777777" w:rsidR="00217FDC" w:rsidRPr="0037453B" w:rsidRDefault="00217FDC" w:rsidP="00656D60">
      <w:pPr>
        <w:spacing w:before="0" w:after="0"/>
        <w:rPr>
          <w:rFonts w:ascii="Arial" w:hAnsi="Arial"/>
          <w:b/>
          <w:sz w:val="16"/>
          <w:highlight w:val="yellow"/>
          <w:lang w:val="en-AU"/>
        </w:rPr>
      </w:pPr>
    </w:p>
    <w:p w14:paraId="7B941994" w14:textId="77777777" w:rsidR="00CD4663" w:rsidRPr="001542F8" w:rsidRDefault="00CD4663" w:rsidP="00E82C76">
      <w:pPr>
        <w:spacing w:before="0" w:after="0"/>
        <w:rPr>
          <w:rFonts w:ascii="Arial" w:hAnsi="Arial"/>
          <w:b/>
          <w:sz w:val="14"/>
          <w:szCs w:val="14"/>
          <w:lang w:val="en-AU"/>
        </w:rPr>
      </w:pPr>
      <w:r w:rsidRPr="001542F8">
        <w:rPr>
          <w:rFonts w:ascii="Arial" w:hAnsi="Arial"/>
          <w:b/>
          <w:sz w:val="14"/>
          <w:szCs w:val="14"/>
          <w:lang w:val="en-AU"/>
        </w:rPr>
        <w:t>Notes</w:t>
      </w:r>
    </w:p>
    <w:p w14:paraId="297E3A7B" w14:textId="5240374D" w:rsidR="0098239D" w:rsidRPr="001542F8" w:rsidRDefault="0098239D" w:rsidP="00444A89">
      <w:pPr>
        <w:numPr>
          <w:ilvl w:val="0"/>
          <w:numId w:val="83"/>
        </w:numPr>
        <w:tabs>
          <w:tab w:val="left" w:pos="284"/>
        </w:tabs>
        <w:spacing w:before="0" w:after="0"/>
        <w:ind w:hanging="720"/>
        <w:rPr>
          <w:rFonts w:ascii="Arial" w:hAnsi="Arial"/>
          <w:sz w:val="14"/>
          <w:szCs w:val="14"/>
        </w:rPr>
      </w:pPr>
      <w:r w:rsidRPr="001542F8">
        <w:rPr>
          <w:rFonts w:ascii="Arial" w:hAnsi="Arial"/>
          <w:sz w:val="14"/>
          <w:szCs w:val="14"/>
        </w:rPr>
        <w:t>All numbers for the full-time workforce elements represent average full-time equivalents.</w:t>
      </w:r>
    </w:p>
    <w:p w14:paraId="6A9644F1" w14:textId="502D5F17" w:rsidR="0098239D" w:rsidRPr="001542F8" w:rsidRDefault="0098239D" w:rsidP="00444A89">
      <w:pPr>
        <w:numPr>
          <w:ilvl w:val="0"/>
          <w:numId w:val="83"/>
        </w:numPr>
        <w:tabs>
          <w:tab w:val="left" w:pos="284"/>
        </w:tabs>
        <w:spacing w:before="0" w:after="0"/>
        <w:ind w:left="284" w:hanging="284"/>
        <w:rPr>
          <w:rFonts w:ascii="Arial" w:hAnsi="Arial"/>
          <w:sz w:val="14"/>
          <w:szCs w:val="14"/>
        </w:rPr>
      </w:pPr>
      <w:r w:rsidRPr="001542F8">
        <w:rPr>
          <w:rFonts w:ascii="Arial" w:hAnsi="Arial"/>
          <w:sz w:val="14"/>
          <w:szCs w:val="14"/>
        </w:rPr>
        <w:t>Forward Estimates reflect the budgeted workforce requirements for ADF and approved Government budgeted allocations for APS.</w:t>
      </w:r>
    </w:p>
    <w:p w14:paraId="38AED9D9" w14:textId="726BB7FC" w:rsidR="00F86FA2" w:rsidRPr="0037453B" w:rsidRDefault="00F86FA2" w:rsidP="0098239D">
      <w:pPr>
        <w:pStyle w:val="ListParagraph"/>
        <w:tabs>
          <w:tab w:val="left" w:pos="284"/>
        </w:tabs>
        <w:spacing w:before="0" w:after="0"/>
        <w:ind w:left="284" w:hanging="284"/>
        <w:contextualSpacing w:val="0"/>
        <w:rPr>
          <w:rFonts w:ascii="Arial" w:hAnsi="Arial"/>
          <w:sz w:val="16"/>
          <w:highlight w:val="yellow"/>
        </w:rPr>
      </w:pPr>
    </w:p>
    <w:p w14:paraId="26E81F4B" w14:textId="77777777" w:rsidR="00C20229" w:rsidRPr="00AB31FA" w:rsidRDefault="00C20229" w:rsidP="002B2BCC">
      <w:pPr>
        <w:spacing w:before="0" w:after="0"/>
        <w:ind w:left="284" w:hanging="284"/>
        <w:rPr>
          <w:rFonts w:ascii="Arial" w:hAnsi="Arial"/>
          <w:sz w:val="16"/>
          <w:lang w:val="en-AU"/>
        </w:rPr>
      </w:pPr>
    </w:p>
    <w:p w14:paraId="32054256" w14:textId="77777777" w:rsidR="00C4774C" w:rsidRPr="00AB31FA" w:rsidRDefault="00AA6BF6" w:rsidP="00D9100A">
      <w:pPr>
        <w:pStyle w:val="TableHeading"/>
        <w:numPr>
          <w:ilvl w:val="0"/>
          <w:numId w:val="29"/>
        </w:numPr>
        <w:spacing w:before="0" w:after="120"/>
        <w:ind w:left="0" w:firstLine="0"/>
        <w:outlineLvl w:val="6"/>
      </w:pPr>
      <w:r w:rsidRPr="00AB31FA">
        <w:t xml:space="preserve">Planned Workforce Allocation for the </w:t>
      </w:r>
      <w:r w:rsidR="002F404A" w:rsidRPr="00AB31FA">
        <w:t>202</w:t>
      </w:r>
      <w:r w:rsidR="004554EF" w:rsidRPr="00AB31FA">
        <w:t>5</w:t>
      </w:r>
      <w:r w:rsidR="002F404A" w:rsidRPr="00AB31FA">
        <w:t>-2</w:t>
      </w:r>
      <w:r w:rsidR="004554EF" w:rsidRPr="00AB31FA">
        <w:t>6</w:t>
      </w:r>
      <w:r w:rsidRPr="00AB31FA">
        <w:t xml:space="preserve"> Budget and Forward Estimates</w:t>
      </w:r>
      <w:r w:rsidR="00867A03" w:rsidRPr="00AB31FA">
        <w:t xml:space="preserve"> - </w:t>
      </w:r>
      <w:r w:rsidRPr="00AB31FA">
        <w:t>Reserve (Service Categories 3, 4 and 5)</w:t>
      </w:r>
      <w:r w:rsidR="003B4294" w:rsidRPr="00AB31FA">
        <w:rPr>
          <w:rFonts w:ascii="Arial Bold" w:hAnsi="Arial Bold"/>
          <w:vertAlign w:val="superscript"/>
        </w:rPr>
        <w:t xml:space="preserve"> [</w:t>
      </w:r>
      <w:r w:rsidR="00CF2884" w:rsidRPr="00AB31FA">
        <w:rPr>
          <w:rFonts w:ascii="Arial Bold" w:hAnsi="Arial Bold"/>
          <w:vertAlign w:val="superscript"/>
        </w:rPr>
        <w:t>a</w:t>
      </w:r>
      <w:r w:rsidR="008D1525" w:rsidRPr="00AB31FA">
        <w:rPr>
          <w:rFonts w:ascii="Arial Bold" w:hAnsi="Arial Bold"/>
          <w:vertAlign w:val="superscript"/>
        </w:rPr>
        <w:t>]</w:t>
      </w:r>
      <w:r w:rsidR="007C5D4F" w:rsidRPr="00AB31FA">
        <w:rPr>
          <w:rFonts w:ascii="Arial Bold" w:hAnsi="Arial Bold"/>
          <w:vertAlign w:val="superscript"/>
        </w:rPr>
        <w:t xml:space="preserve"> </w:t>
      </w:r>
      <w:r w:rsidR="008D1525" w:rsidRPr="00AB31FA">
        <w:rPr>
          <w:rFonts w:ascii="Arial Bold" w:hAnsi="Arial Bold"/>
          <w:vertAlign w:val="superscript"/>
        </w:rPr>
        <w:t>[</w:t>
      </w:r>
      <w:r w:rsidR="00CF2884" w:rsidRPr="00AB31FA">
        <w:rPr>
          <w:rFonts w:ascii="Arial Bold" w:hAnsi="Arial Bold"/>
          <w:vertAlign w:val="superscript"/>
        </w:rPr>
        <w:t>b</w:t>
      </w:r>
      <w:r w:rsidR="008D1525" w:rsidRPr="00AB31FA">
        <w:rPr>
          <w:rFonts w:ascii="Arial Bold" w:hAnsi="Arial Bold"/>
          <w:vertAlign w:val="superscript"/>
        </w:rPr>
        <w:t>]</w:t>
      </w:r>
    </w:p>
    <w:tbl>
      <w:tblPr>
        <w:tblW w:w="4850" w:type="pct"/>
        <w:tblInd w:w="113" w:type="dxa"/>
        <w:tblLook w:val="04A0" w:firstRow="1" w:lastRow="0" w:firstColumn="1" w:lastColumn="0" w:noHBand="0" w:noVBand="1"/>
      </w:tblPr>
      <w:tblGrid>
        <w:gridCol w:w="414"/>
        <w:gridCol w:w="2894"/>
        <w:gridCol w:w="1002"/>
        <w:gridCol w:w="949"/>
        <w:gridCol w:w="1032"/>
        <w:gridCol w:w="1032"/>
        <w:gridCol w:w="1035"/>
      </w:tblGrid>
      <w:tr w:rsidR="00C765C8" w:rsidRPr="00AB31FA" w14:paraId="367E2EB7" w14:textId="77777777" w:rsidTr="00AB31FA">
        <w:trPr>
          <w:trHeight w:val="661"/>
        </w:trPr>
        <w:tc>
          <w:tcPr>
            <w:tcW w:w="414" w:type="dxa"/>
            <w:tcBorders>
              <w:top w:val="single" w:sz="4" w:space="0" w:color="auto"/>
              <w:left w:val="nil"/>
              <w:bottom w:val="single" w:sz="4" w:space="0" w:color="auto"/>
              <w:right w:val="single" w:sz="4" w:space="0" w:color="auto"/>
            </w:tcBorders>
            <w:vAlign w:val="center"/>
            <w:hideMark/>
          </w:tcPr>
          <w:p w14:paraId="0ECE98AA" w14:textId="77777777" w:rsidR="00C765C8" w:rsidRPr="00AB31FA" w:rsidRDefault="00C765C8" w:rsidP="00C765C8">
            <w:pPr>
              <w:spacing w:before="0" w:after="0"/>
              <w:jc w:val="center"/>
              <w:rPr>
                <w:rFonts w:ascii="Arial" w:hAnsi="Arial"/>
                <w:sz w:val="16"/>
                <w:szCs w:val="16"/>
                <w:lang w:val="en-AU"/>
              </w:rPr>
            </w:pPr>
          </w:p>
        </w:tc>
        <w:tc>
          <w:tcPr>
            <w:tcW w:w="2894" w:type="dxa"/>
            <w:tcBorders>
              <w:top w:val="single" w:sz="4" w:space="0" w:color="auto"/>
              <w:left w:val="nil"/>
              <w:bottom w:val="single" w:sz="4" w:space="0" w:color="auto"/>
              <w:right w:val="nil"/>
            </w:tcBorders>
            <w:vAlign w:val="center"/>
            <w:hideMark/>
          </w:tcPr>
          <w:p w14:paraId="26C366CF" w14:textId="77777777" w:rsidR="00C765C8" w:rsidRPr="00AB31FA" w:rsidRDefault="00C765C8" w:rsidP="00C765C8">
            <w:pPr>
              <w:spacing w:before="0" w:after="0"/>
              <w:rPr>
                <w:rFonts w:ascii="Arial" w:hAnsi="Arial"/>
                <w:b/>
                <w:bCs/>
                <w:sz w:val="16"/>
                <w:szCs w:val="16"/>
                <w:lang w:val="en-AU"/>
              </w:rPr>
            </w:pPr>
          </w:p>
        </w:tc>
        <w:tc>
          <w:tcPr>
            <w:tcW w:w="1002" w:type="dxa"/>
            <w:tcBorders>
              <w:top w:val="single" w:sz="4" w:space="0" w:color="auto"/>
              <w:left w:val="nil"/>
              <w:bottom w:val="single" w:sz="4" w:space="0" w:color="auto"/>
            </w:tcBorders>
            <w:vAlign w:val="bottom"/>
            <w:hideMark/>
          </w:tcPr>
          <w:p w14:paraId="314BDDC1" w14:textId="77777777" w:rsidR="006D0B28" w:rsidRPr="00AB31FA" w:rsidRDefault="006D0B28" w:rsidP="006D0B28">
            <w:pPr>
              <w:spacing w:before="0" w:after="0"/>
              <w:jc w:val="right"/>
              <w:rPr>
                <w:rFonts w:ascii="Arial" w:hAnsi="Arial"/>
                <w:b/>
                <w:bCs/>
                <w:sz w:val="14"/>
                <w:szCs w:val="14"/>
                <w:lang w:val="en-AU"/>
              </w:rPr>
            </w:pPr>
            <w:r w:rsidRPr="00AB31FA">
              <w:rPr>
                <w:rFonts w:ascii="Arial" w:hAnsi="Arial"/>
                <w:b/>
                <w:bCs/>
                <w:sz w:val="14"/>
                <w:szCs w:val="14"/>
                <w:lang w:val="en-AU"/>
              </w:rPr>
              <w:t>202</w:t>
            </w:r>
            <w:r w:rsidR="009D19D3" w:rsidRPr="00AB31FA">
              <w:rPr>
                <w:rFonts w:ascii="Arial" w:hAnsi="Arial"/>
                <w:b/>
                <w:bCs/>
                <w:sz w:val="14"/>
                <w:szCs w:val="14"/>
                <w:lang w:val="en-AU"/>
              </w:rPr>
              <w:t>4</w:t>
            </w:r>
            <w:r w:rsidRPr="00AB31FA">
              <w:rPr>
                <w:rFonts w:ascii="Arial" w:hAnsi="Arial"/>
                <w:b/>
                <w:bCs/>
                <w:sz w:val="14"/>
                <w:szCs w:val="14"/>
                <w:lang w:val="en-AU"/>
              </w:rPr>
              <w:t>-2</w:t>
            </w:r>
            <w:r w:rsidR="009D19D3" w:rsidRPr="00AB31FA">
              <w:rPr>
                <w:rFonts w:ascii="Arial" w:hAnsi="Arial"/>
                <w:b/>
                <w:bCs/>
                <w:sz w:val="14"/>
                <w:szCs w:val="14"/>
                <w:lang w:val="en-AU"/>
              </w:rPr>
              <w:t>5</w:t>
            </w:r>
            <w:r w:rsidRPr="00AB31FA">
              <w:rPr>
                <w:rFonts w:ascii="Arial" w:hAnsi="Arial"/>
                <w:b/>
                <w:bCs/>
                <w:sz w:val="14"/>
                <w:szCs w:val="14"/>
                <w:lang w:val="en-AU"/>
              </w:rPr>
              <w:t xml:space="preserve"> </w:t>
            </w:r>
          </w:p>
          <w:p w14:paraId="468704B0" w14:textId="77777777" w:rsidR="00C765C8" w:rsidRPr="00AB31FA" w:rsidRDefault="006D0B28" w:rsidP="006D0B28">
            <w:pPr>
              <w:spacing w:before="0" w:after="0"/>
              <w:jc w:val="right"/>
              <w:rPr>
                <w:rFonts w:ascii="Arial" w:hAnsi="Arial"/>
                <w:b/>
                <w:bCs/>
                <w:sz w:val="14"/>
                <w:szCs w:val="14"/>
                <w:lang w:val="en-AU"/>
              </w:rPr>
            </w:pPr>
            <w:r w:rsidRPr="00AB31FA">
              <w:rPr>
                <w:rFonts w:ascii="Arial" w:hAnsi="Arial"/>
                <w:b/>
                <w:bCs/>
                <w:sz w:val="14"/>
                <w:szCs w:val="14"/>
                <w:lang w:val="en-AU"/>
              </w:rPr>
              <w:t>Estimated Actual</w:t>
            </w:r>
          </w:p>
        </w:tc>
        <w:tc>
          <w:tcPr>
            <w:tcW w:w="949" w:type="dxa"/>
            <w:tcBorders>
              <w:top w:val="single" w:sz="4" w:space="0" w:color="auto"/>
              <w:bottom w:val="single" w:sz="4" w:space="0" w:color="auto"/>
            </w:tcBorders>
            <w:shd w:val="clear" w:color="auto" w:fill="E6E6E6"/>
            <w:vAlign w:val="bottom"/>
            <w:hideMark/>
          </w:tcPr>
          <w:p w14:paraId="44CBAA08" w14:textId="2060625B" w:rsidR="00C765C8" w:rsidRPr="00AB31FA" w:rsidRDefault="006D0B28" w:rsidP="00A261DB">
            <w:pPr>
              <w:spacing w:before="0" w:after="0"/>
              <w:jc w:val="right"/>
              <w:rPr>
                <w:rFonts w:ascii="Arial" w:hAnsi="Arial"/>
                <w:b/>
                <w:bCs/>
                <w:sz w:val="14"/>
                <w:szCs w:val="14"/>
                <w:lang w:val="en-AU"/>
              </w:rPr>
            </w:pPr>
            <w:r w:rsidRPr="00AB31FA">
              <w:rPr>
                <w:rFonts w:ascii="Arial" w:hAnsi="Arial"/>
                <w:b/>
                <w:bCs/>
                <w:sz w:val="14"/>
                <w:szCs w:val="14"/>
                <w:lang w:val="en-AU"/>
              </w:rPr>
              <w:t>202</w:t>
            </w:r>
            <w:r w:rsidR="00425C19" w:rsidRPr="00AB31FA">
              <w:rPr>
                <w:rFonts w:ascii="Arial" w:hAnsi="Arial"/>
                <w:b/>
                <w:bCs/>
                <w:sz w:val="14"/>
                <w:szCs w:val="14"/>
                <w:lang w:val="en-AU"/>
              </w:rPr>
              <w:t>5</w:t>
            </w:r>
            <w:r w:rsidRPr="00AB31FA">
              <w:rPr>
                <w:rFonts w:ascii="Arial" w:hAnsi="Arial"/>
                <w:b/>
                <w:bCs/>
                <w:sz w:val="14"/>
                <w:szCs w:val="14"/>
                <w:lang w:val="en-AU"/>
              </w:rPr>
              <w:t>-2</w:t>
            </w:r>
            <w:r w:rsidR="009D19D3" w:rsidRPr="00AB31FA">
              <w:rPr>
                <w:rFonts w:ascii="Arial" w:hAnsi="Arial"/>
                <w:b/>
                <w:bCs/>
                <w:sz w:val="14"/>
                <w:szCs w:val="14"/>
                <w:lang w:val="en-AU"/>
              </w:rPr>
              <w:t>6</w:t>
            </w:r>
            <w:r w:rsidRPr="00AB31FA">
              <w:rPr>
                <w:rFonts w:ascii="Arial" w:hAnsi="Arial"/>
                <w:b/>
                <w:bCs/>
                <w:sz w:val="14"/>
                <w:szCs w:val="14"/>
                <w:lang w:val="en-AU"/>
              </w:rPr>
              <w:t xml:space="preserve"> Budget</w:t>
            </w:r>
            <w:r w:rsidR="00A261DB">
              <w:rPr>
                <w:rFonts w:ascii="Arial" w:hAnsi="Arial"/>
                <w:b/>
                <w:bCs/>
                <w:sz w:val="14"/>
                <w:szCs w:val="14"/>
                <w:lang w:val="en-AU"/>
              </w:rPr>
              <w:t xml:space="preserve"> </w:t>
            </w:r>
            <w:r w:rsidRPr="00AB31FA">
              <w:rPr>
                <w:rFonts w:ascii="Arial" w:hAnsi="Arial"/>
                <w:b/>
                <w:bCs/>
                <w:sz w:val="14"/>
                <w:szCs w:val="14"/>
                <w:lang w:val="en-AU"/>
              </w:rPr>
              <w:t>Estimate</w:t>
            </w:r>
          </w:p>
        </w:tc>
        <w:tc>
          <w:tcPr>
            <w:tcW w:w="1032" w:type="dxa"/>
            <w:tcBorders>
              <w:top w:val="single" w:sz="4" w:space="0" w:color="auto"/>
              <w:left w:val="nil"/>
              <w:bottom w:val="single" w:sz="4" w:space="0" w:color="auto"/>
              <w:right w:val="nil"/>
            </w:tcBorders>
            <w:vAlign w:val="bottom"/>
            <w:hideMark/>
          </w:tcPr>
          <w:p w14:paraId="5446C36E" w14:textId="77777777" w:rsidR="00C765C8" w:rsidRPr="00AB31FA" w:rsidRDefault="00C765C8" w:rsidP="009D19D3">
            <w:pPr>
              <w:spacing w:before="0" w:after="0"/>
              <w:jc w:val="right"/>
              <w:rPr>
                <w:rFonts w:ascii="Arial" w:hAnsi="Arial"/>
                <w:b/>
                <w:bCs/>
                <w:sz w:val="14"/>
                <w:szCs w:val="14"/>
                <w:lang w:val="en-AU"/>
              </w:rPr>
            </w:pPr>
            <w:r w:rsidRPr="00AB31FA">
              <w:rPr>
                <w:rFonts w:ascii="Arial" w:hAnsi="Arial"/>
                <w:b/>
                <w:bCs/>
                <w:sz w:val="14"/>
                <w:szCs w:val="14"/>
                <w:lang w:val="en-AU"/>
              </w:rPr>
              <w:t>202</w:t>
            </w:r>
            <w:r w:rsidR="009D19D3" w:rsidRPr="00AB31FA">
              <w:rPr>
                <w:rFonts w:ascii="Arial" w:hAnsi="Arial"/>
                <w:b/>
                <w:bCs/>
                <w:sz w:val="14"/>
                <w:szCs w:val="14"/>
                <w:lang w:val="en-AU"/>
              </w:rPr>
              <w:t>6</w:t>
            </w:r>
            <w:r w:rsidRPr="00AB31FA">
              <w:rPr>
                <w:rFonts w:ascii="Arial" w:hAnsi="Arial"/>
                <w:b/>
                <w:bCs/>
                <w:sz w:val="14"/>
                <w:szCs w:val="14"/>
                <w:lang w:val="en-AU"/>
              </w:rPr>
              <w:t>-2</w:t>
            </w:r>
            <w:r w:rsidR="009D19D3" w:rsidRPr="00AB31FA">
              <w:rPr>
                <w:rFonts w:ascii="Arial" w:hAnsi="Arial"/>
                <w:b/>
                <w:bCs/>
                <w:sz w:val="14"/>
                <w:szCs w:val="14"/>
                <w:lang w:val="en-AU"/>
              </w:rPr>
              <w:t>7</w:t>
            </w:r>
            <w:r w:rsidRPr="00AB31FA">
              <w:rPr>
                <w:rFonts w:ascii="Arial" w:hAnsi="Arial"/>
                <w:b/>
                <w:bCs/>
                <w:sz w:val="14"/>
                <w:szCs w:val="14"/>
                <w:lang w:val="en-AU"/>
              </w:rPr>
              <w:t xml:space="preserve"> Forward Estimate</w:t>
            </w:r>
          </w:p>
        </w:tc>
        <w:tc>
          <w:tcPr>
            <w:tcW w:w="1032" w:type="dxa"/>
            <w:tcBorders>
              <w:top w:val="single" w:sz="4" w:space="0" w:color="auto"/>
              <w:left w:val="nil"/>
              <w:bottom w:val="single" w:sz="4" w:space="0" w:color="auto"/>
              <w:right w:val="nil"/>
            </w:tcBorders>
            <w:vAlign w:val="bottom"/>
            <w:hideMark/>
          </w:tcPr>
          <w:p w14:paraId="39C43A96" w14:textId="77777777" w:rsidR="00C765C8" w:rsidRPr="00AB31FA" w:rsidRDefault="00C765C8" w:rsidP="009D19D3">
            <w:pPr>
              <w:spacing w:before="0" w:after="0"/>
              <w:jc w:val="right"/>
              <w:rPr>
                <w:rFonts w:ascii="Arial" w:hAnsi="Arial"/>
                <w:b/>
                <w:bCs/>
                <w:sz w:val="14"/>
                <w:szCs w:val="14"/>
                <w:lang w:val="en-AU"/>
              </w:rPr>
            </w:pPr>
            <w:r w:rsidRPr="00AB31FA">
              <w:rPr>
                <w:rFonts w:ascii="Arial" w:hAnsi="Arial"/>
                <w:b/>
                <w:bCs/>
                <w:sz w:val="14"/>
                <w:szCs w:val="14"/>
                <w:lang w:val="en-AU"/>
              </w:rPr>
              <w:t>202</w:t>
            </w:r>
            <w:r w:rsidR="009D19D3" w:rsidRPr="00AB31FA">
              <w:rPr>
                <w:rFonts w:ascii="Arial" w:hAnsi="Arial"/>
                <w:b/>
                <w:bCs/>
                <w:sz w:val="14"/>
                <w:szCs w:val="14"/>
                <w:lang w:val="en-AU"/>
              </w:rPr>
              <w:t>7</w:t>
            </w:r>
            <w:r w:rsidRPr="00AB31FA">
              <w:rPr>
                <w:rFonts w:ascii="Arial" w:hAnsi="Arial"/>
                <w:b/>
                <w:bCs/>
                <w:sz w:val="14"/>
                <w:szCs w:val="14"/>
                <w:lang w:val="en-AU"/>
              </w:rPr>
              <w:t>-2</w:t>
            </w:r>
            <w:r w:rsidR="009D19D3" w:rsidRPr="00AB31FA">
              <w:rPr>
                <w:rFonts w:ascii="Arial" w:hAnsi="Arial"/>
                <w:b/>
                <w:bCs/>
                <w:sz w:val="14"/>
                <w:szCs w:val="14"/>
                <w:lang w:val="en-AU"/>
              </w:rPr>
              <w:t>8</w:t>
            </w:r>
            <w:r w:rsidRPr="00AB31FA">
              <w:rPr>
                <w:rFonts w:ascii="Arial" w:hAnsi="Arial"/>
                <w:b/>
                <w:bCs/>
                <w:sz w:val="14"/>
                <w:szCs w:val="14"/>
                <w:lang w:val="en-AU"/>
              </w:rPr>
              <w:t xml:space="preserve"> Forward Estimate</w:t>
            </w:r>
          </w:p>
        </w:tc>
        <w:tc>
          <w:tcPr>
            <w:tcW w:w="1035" w:type="dxa"/>
            <w:tcBorders>
              <w:top w:val="single" w:sz="4" w:space="0" w:color="auto"/>
              <w:left w:val="nil"/>
              <w:bottom w:val="single" w:sz="4" w:space="0" w:color="auto"/>
              <w:right w:val="nil"/>
            </w:tcBorders>
            <w:vAlign w:val="bottom"/>
            <w:hideMark/>
          </w:tcPr>
          <w:p w14:paraId="38086E59" w14:textId="77777777" w:rsidR="00C765C8" w:rsidRPr="00AB31FA" w:rsidRDefault="00C765C8" w:rsidP="009D19D3">
            <w:pPr>
              <w:spacing w:before="0" w:after="0"/>
              <w:jc w:val="right"/>
              <w:rPr>
                <w:rFonts w:ascii="Arial" w:hAnsi="Arial"/>
                <w:b/>
                <w:bCs/>
                <w:sz w:val="14"/>
                <w:szCs w:val="14"/>
                <w:lang w:val="en-AU"/>
              </w:rPr>
            </w:pPr>
            <w:r w:rsidRPr="00AB31FA">
              <w:rPr>
                <w:rFonts w:ascii="Arial" w:hAnsi="Arial"/>
                <w:b/>
                <w:bCs/>
                <w:sz w:val="14"/>
                <w:szCs w:val="14"/>
                <w:lang w:val="en-AU"/>
              </w:rPr>
              <w:t>202</w:t>
            </w:r>
            <w:r w:rsidR="009D19D3" w:rsidRPr="00AB31FA">
              <w:rPr>
                <w:rFonts w:ascii="Arial" w:hAnsi="Arial"/>
                <w:b/>
                <w:bCs/>
                <w:sz w:val="14"/>
                <w:szCs w:val="14"/>
                <w:lang w:val="en-AU"/>
              </w:rPr>
              <w:t>8</w:t>
            </w:r>
            <w:r w:rsidRPr="00AB31FA">
              <w:rPr>
                <w:rFonts w:ascii="Arial" w:hAnsi="Arial"/>
                <w:b/>
                <w:bCs/>
                <w:sz w:val="14"/>
                <w:szCs w:val="14"/>
                <w:lang w:val="en-AU"/>
              </w:rPr>
              <w:t>-2</w:t>
            </w:r>
            <w:r w:rsidR="009D19D3" w:rsidRPr="00AB31FA">
              <w:rPr>
                <w:rFonts w:ascii="Arial" w:hAnsi="Arial"/>
                <w:b/>
                <w:bCs/>
                <w:sz w:val="14"/>
                <w:szCs w:val="14"/>
                <w:lang w:val="en-AU"/>
              </w:rPr>
              <w:t>9</w:t>
            </w:r>
            <w:r w:rsidRPr="00AB31FA">
              <w:rPr>
                <w:rFonts w:ascii="Arial" w:hAnsi="Arial"/>
                <w:b/>
                <w:bCs/>
                <w:sz w:val="14"/>
                <w:szCs w:val="14"/>
                <w:lang w:val="en-AU"/>
              </w:rPr>
              <w:t xml:space="preserve"> Forward Estimate</w:t>
            </w:r>
          </w:p>
        </w:tc>
      </w:tr>
      <w:tr w:rsidR="004230CD" w:rsidRPr="00AB31FA" w14:paraId="198C8B41" w14:textId="77777777" w:rsidTr="00AB31FA">
        <w:trPr>
          <w:trHeight w:val="270"/>
        </w:trPr>
        <w:tc>
          <w:tcPr>
            <w:tcW w:w="414" w:type="dxa"/>
            <w:tcBorders>
              <w:top w:val="nil"/>
              <w:left w:val="nil"/>
              <w:bottom w:val="single" w:sz="8" w:space="0" w:color="FFFFFF"/>
              <w:right w:val="single" w:sz="4" w:space="0" w:color="auto"/>
            </w:tcBorders>
            <w:vAlign w:val="center"/>
          </w:tcPr>
          <w:p w14:paraId="21D2E8EA" w14:textId="77777777" w:rsidR="004230CD" w:rsidRPr="00AB31FA" w:rsidRDefault="004230CD" w:rsidP="006559B9">
            <w:pPr>
              <w:spacing w:before="0" w:after="0"/>
              <w:jc w:val="center"/>
              <w:rPr>
                <w:rFonts w:ascii="Arial" w:hAnsi="Arial"/>
                <w:sz w:val="16"/>
                <w:szCs w:val="16"/>
                <w:lang w:val="en-AU"/>
              </w:rPr>
            </w:pPr>
          </w:p>
        </w:tc>
        <w:tc>
          <w:tcPr>
            <w:tcW w:w="2894" w:type="dxa"/>
            <w:vAlign w:val="center"/>
          </w:tcPr>
          <w:p w14:paraId="333E28F5" w14:textId="77777777" w:rsidR="004230CD" w:rsidRPr="00AB31FA" w:rsidRDefault="004230CD" w:rsidP="006559B9">
            <w:pPr>
              <w:spacing w:before="0" w:after="0"/>
              <w:rPr>
                <w:rFonts w:ascii="Arial" w:hAnsi="Arial"/>
                <w:b/>
                <w:bCs/>
                <w:sz w:val="16"/>
                <w:szCs w:val="16"/>
                <w:lang w:val="en-AU"/>
              </w:rPr>
            </w:pPr>
            <w:r w:rsidRPr="00AB31FA">
              <w:rPr>
                <w:rFonts w:ascii="Arial" w:hAnsi="Arial"/>
                <w:b/>
                <w:bCs/>
                <w:sz w:val="16"/>
                <w:szCs w:val="16"/>
                <w:lang w:val="en-AU"/>
              </w:rPr>
              <w:t>Service Category 3 and 5</w:t>
            </w:r>
          </w:p>
        </w:tc>
        <w:tc>
          <w:tcPr>
            <w:tcW w:w="1002" w:type="dxa"/>
            <w:vAlign w:val="center"/>
          </w:tcPr>
          <w:p w14:paraId="72B61192" w14:textId="77777777" w:rsidR="004230CD" w:rsidRPr="00AB31FA" w:rsidRDefault="004230CD" w:rsidP="006559B9">
            <w:pPr>
              <w:rPr>
                <w:rFonts w:ascii="Arial" w:hAnsi="Arial"/>
                <w:b/>
                <w:bCs/>
                <w:sz w:val="16"/>
                <w:szCs w:val="16"/>
                <w:lang w:val="en-AU"/>
              </w:rPr>
            </w:pPr>
          </w:p>
        </w:tc>
        <w:tc>
          <w:tcPr>
            <w:tcW w:w="949" w:type="dxa"/>
            <w:tcBorders>
              <w:top w:val="nil"/>
              <w:bottom w:val="nil"/>
            </w:tcBorders>
            <w:shd w:val="clear" w:color="auto" w:fill="E6E6E6"/>
            <w:vAlign w:val="center"/>
          </w:tcPr>
          <w:p w14:paraId="4DCD14AF" w14:textId="77777777" w:rsidR="004230CD" w:rsidRPr="00AB31FA" w:rsidRDefault="004230CD" w:rsidP="002B2BCC">
            <w:pPr>
              <w:rPr>
                <w:rFonts w:ascii="Arial" w:hAnsi="Arial"/>
                <w:b/>
                <w:bCs/>
                <w:sz w:val="16"/>
                <w:szCs w:val="16"/>
                <w:lang w:val="en-AU"/>
              </w:rPr>
            </w:pPr>
          </w:p>
        </w:tc>
        <w:tc>
          <w:tcPr>
            <w:tcW w:w="1032" w:type="dxa"/>
            <w:tcBorders>
              <w:left w:val="nil"/>
            </w:tcBorders>
            <w:vAlign w:val="center"/>
          </w:tcPr>
          <w:p w14:paraId="4F9F6726" w14:textId="77777777" w:rsidR="004230CD" w:rsidRPr="00AB31FA" w:rsidRDefault="004230CD" w:rsidP="006559B9">
            <w:pPr>
              <w:rPr>
                <w:rFonts w:ascii="Arial" w:hAnsi="Arial"/>
                <w:sz w:val="16"/>
                <w:szCs w:val="16"/>
                <w:lang w:val="en-AU"/>
              </w:rPr>
            </w:pPr>
          </w:p>
        </w:tc>
        <w:tc>
          <w:tcPr>
            <w:tcW w:w="1032" w:type="dxa"/>
            <w:vAlign w:val="center"/>
          </w:tcPr>
          <w:p w14:paraId="3144F406" w14:textId="77777777" w:rsidR="004230CD" w:rsidRPr="00AB31FA" w:rsidRDefault="004230CD" w:rsidP="006559B9">
            <w:pPr>
              <w:spacing w:before="0" w:after="0"/>
              <w:rPr>
                <w:rFonts w:ascii="Arial" w:hAnsi="Arial"/>
                <w:sz w:val="16"/>
                <w:szCs w:val="16"/>
                <w:lang w:val="en-AU"/>
              </w:rPr>
            </w:pPr>
          </w:p>
        </w:tc>
        <w:tc>
          <w:tcPr>
            <w:tcW w:w="1035" w:type="dxa"/>
            <w:vAlign w:val="center"/>
          </w:tcPr>
          <w:p w14:paraId="3D524E24" w14:textId="77777777" w:rsidR="004230CD" w:rsidRPr="00AB31FA" w:rsidRDefault="004230CD" w:rsidP="006559B9">
            <w:pPr>
              <w:spacing w:before="0" w:after="0"/>
              <w:rPr>
                <w:rFonts w:ascii="Arial" w:hAnsi="Arial"/>
                <w:sz w:val="16"/>
                <w:szCs w:val="16"/>
                <w:lang w:val="en-AU"/>
              </w:rPr>
            </w:pPr>
          </w:p>
        </w:tc>
      </w:tr>
      <w:tr w:rsidR="00AB31FA" w:rsidRPr="00AB31FA" w14:paraId="7EA97ACF" w14:textId="77777777" w:rsidTr="00AB31FA">
        <w:trPr>
          <w:trHeight w:val="495"/>
        </w:trPr>
        <w:tc>
          <w:tcPr>
            <w:tcW w:w="414" w:type="dxa"/>
            <w:tcBorders>
              <w:top w:val="nil"/>
              <w:left w:val="nil"/>
              <w:bottom w:val="single" w:sz="8" w:space="0" w:color="FFFFFF"/>
              <w:right w:val="single" w:sz="4" w:space="0" w:color="auto"/>
            </w:tcBorders>
            <w:vAlign w:val="center"/>
            <w:hideMark/>
          </w:tcPr>
          <w:p w14:paraId="3FC6FDBA" w14:textId="77777777" w:rsidR="00AB31FA" w:rsidRPr="00AB31FA" w:rsidRDefault="00AB31FA" w:rsidP="00AB31FA">
            <w:pPr>
              <w:spacing w:before="0" w:after="0"/>
              <w:jc w:val="center"/>
              <w:rPr>
                <w:rFonts w:ascii="Arial" w:hAnsi="Arial"/>
                <w:sz w:val="16"/>
                <w:szCs w:val="16"/>
                <w:lang w:val="en-AU"/>
              </w:rPr>
            </w:pPr>
          </w:p>
        </w:tc>
        <w:tc>
          <w:tcPr>
            <w:tcW w:w="2894" w:type="dxa"/>
            <w:vAlign w:val="center"/>
            <w:hideMark/>
          </w:tcPr>
          <w:p w14:paraId="50009C7D" w14:textId="77777777" w:rsidR="00AB31FA" w:rsidRPr="00AB31FA" w:rsidRDefault="00AB31FA" w:rsidP="00AB31FA">
            <w:pPr>
              <w:spacing w:before="0" w:after="0"/>
              <w:rPr>
                <w:rFonts w:ascii="Arial" w:hAnsi="Arial"/>
                <w:sz w:val="16"/>
                <w:szCs w:val="16"/>
                <w:lang w:val="en-AU"/>
              </w:rPr>
            </w:pPr>
            <w:r w:rsidRPr="00AB31FA">
              <w:rPr>
                <w:rFonts w:ascii="Arial" w:hAnsi="Arial"/>
                <w:sz w:val="16"/>
                <w:szCs w:val="16"/>
                <w:lang w:val="en-AU"/>
              </w:rPr>
              <w:t>Navy</w:t>
            </w:r>
          </w:p>
        </w:tc>
        <w:tc>
          <w:tcPr>
            <w:tcW w:w="1002" w:type="dxa"/>
            <w:tcBorders>
              <w:top w:val="nil"/>
            </w:tcBorders>
            <w:shd w:val="clear" w:color="auto" w:fill="auto"/>
            <w:vAlign w:val="center"/>
          </w:tcPr>
          <w:p w14:paraId="42805209" w14:textId="77777777" w:rsidR="00AB31FA" w:rsidRPr="00A074C4" w:rsidRDefault="00AB31FA" w:rsidP="00AB31FA">
            <w:pPr>
              <w:pStyle w:val="paragraph"/>
              <w:spacing w:before="0" w:beforeAutospacing="0" w:after="0" w:afterAutospacing="0"/>
              <w:jc w:val="right"/>
              <w:textAlignment w:val="baseline"/>
              <w:rPr>
                <w:rFonts w:ascii="Segoe UI" w:hAnsi="Segoe UI" w:cs="Segoe UI"/>
                <w:sz w:val="18"/>
                <w:szCs w:val="18"/>
              </w:rPr>
            </w:pPr>
            <w:r w:rsidRPr="00A074C4">
              <w:rPr>
                <w:rStyle w:val="normaltextrun"/>
                <w:rFonts w:ascii="Arial" w:hAnsi="Arial" w:cs="Arial"/>
                <w:sz w:val="16"/>
                <w:szCs w:val="16"/>
              </w:rPr>
              <w:t>118,000</w:t>
            </w:r>
          </w:p>
          <w:p w14:paraId="4FD7E8F4" w14:textId="31A3F8D6" w:rsidR="00AB31FA" w:rsidRPr="00A074C4" w:rsidRDefault="007C110B" w:rsidP="006C06EE">
            <w:pPr>
              <w:spacing w:before="0" w:after="0"/>
              <w:jc w:val="right"/>
              <w:rPr>
                <w:rFonts w:ascii="Arial" w:hAnsi="Arial"/>
                <w:sz w:val="16"/>
                <w:szCs w:val="16"/>
                <w:lang w:val="en-AU"/>
              </w:rPr>
            </w:pPr>
            <w:r>
              <w:rPr>
                <w:rStyle w:val="normaltextrun"/>
                <w:rFonts w:ascii="Arial" w:hAnsi="Arial"/>
                <w:sz w:val="16"/>
                <w:szCs w:val="16"/>
              </w:rPr>
              <w:t>(</w:t>
            </w:r>
            <w:r w:rsidR="00AB31FA" w:rsidRPr="00A074C4">
              <w:rPr>
                <w:rStyle w:val="normaltextrun"/>
                <w:rFonts w:ascii="Arial" w:hAnsi="Arial"/>
                <w:sz w:val="16"/>
                <w:szCs w:val="16"/>
              </w:rPr>
              <w:t>2,000</w:t>
            </w:r>
            <w:r>
              <w:rPr>
                <w:rStyle w:val="normaltextrun"/>
                <w:rFonts w:ascii="Arial" w:hAnsi="Arial"/>
                <w:sz w:val="16"/>
                <w:szCs w:val="16"/>
              </w:rPr>
              <w:t>)</w:t>
            </w:r>
          </w:p>
        </w:tc>
        <w:tc>
          <w:tcPr>
            <w:tcW w:w="949" w:type="dxa"/>
            <w:tcBorders>
              <w:left w:val="nil"/>
            </w:tcBorders>
            <w:shd w:val="clear" w:color="auto" w:fill="E6E6E6"/>
            <w:vAlign w:val="center"/>
          </w:tcPr>
          <w:p w14:paraId="2910AFA2" w14:textId="77777777" w:rsidR="00AB31FA" w:rsidRPr="00A074C4" w:rsidRDefault="00AB31FA" w:rsidP="00AB31FA">
            <w:pPr>
              <w:pStyle w:val="paragraph"/>
              <w:spacing w:before="0" w:beforeAutospacing="0" w:after="0" w:afterAutospacing="0"/>
              <w:jc w:val="right"/>
              <w:textAlignment w:val="baseline"/>
              <w:rPr>
                <w:rFonts w:ascii="Segoe UI" w:hAnsi="Segoe UI" w:cs="Segoe UI"/>
                <w:sz w:val="18"/>
                <w:szCs w:val="18"/>
              </w:rPr>
            </w:pPr>
            <w:r w:rsidRPr="00A074C4">
              <w:rPr>
                <w:rStyle w:val="normaltextrun"/>
                <w:rFonts w:ascii="Arial" w:hAnsi="Arial" w:cs="Arial"/>
                <w:sz w:val="16"/>
                <w:szCs w:val="16"/>
              </w:rPr>
              <w:t>120,500</w:t>
            </w:r>
          </w:p>
          <w:p w14:paraId="002EAF46" w14:textId="7DF48461" w:rsidR="00AB31FA" w:rsidRPr="00A074C4" w:rsidRDefault="007C110B" w:rsidP="006C06EE">
            <w:pPr>
              <w:spacing w:before="0" w:after="0"/>
              <w:jc w:val="right"/>
              <w:rPr>
                <w:rFonts w:ascii="Arial" w:hAnsi="Arial"/>
                <w:sz w:val="16"/>
                <w:szCs w:val="16"/>
                <w:lang w:val="en-AU"/>
              </w:rPr>
            </w:pPr>
            <w:r>
              <w:rPr>
                <w:rStyle w:val="normaltextrun"/>
                <w:rFonts w:ascii="Arial" w:hAnsi="Arial"/>
                <w:sz w:val="16"/>
                <w:szCs w:val="16"/>
              </w:rPr>
              <w:t>(</w:t>
            </w:r>
            <w:r w:rsidR="00AB31FA" w:rsidRPr="00A074C4">
              <w:rPr>
                <w:rStyle w:val="normaltextrun"/>
                <w:rFonts w:ascii="Arial" w:hAnsi="Arial"/>
                <w:sz w:val="16"/>
                <w:szCs w:val="16"/>
              </w:rPr>
              <w:t>2,050</w:t>
            </w:r>
            <w:r>
              <w:rPr>
                <w:rStyle w:val="normaltextrun"/>
                <w:rFonts w:ascii="Arial" w:hAnsi="Arial"/>
                <w:sz w:val="16"/>
                <w:szCs w:val="16"/>
              </w:rPr>
              <w:t>)</w:t>
            </w:r>
          </w:p>
        </w:tc>
        <w:tc>
          <w:tcPr>
            <w:tcW w:w="1032" w:type="dxa"/>
            <w:vAlign w:val="center"/>
          </w:tcPr>
          <w:p w14:paraId="1A06C69B" w14:textId="77777777" w:rsidR="00AB31FA" w:rsidRPr="00A074C4" w:rsidRDefault="00AB31FA" w:rsidP="00AB31FA">
            <w:pPr>
              <w:pStyle w:val="paragraph"/>
              <w:spacing w:before="0" w:beforeAutospacing="0" w:after="0" w:afterAutospacing="0"/>
              <w:jc w:val="right"/>
              <w:textAlignment w:val="baseline"/>
              <w:rPr>
                <w:rFonts w:ascii="Segoe UI" w:hAnsi="Segoe UI" w:cs="Segoe UI"/>
                <w:sz w:val="18"/>
                <w:szCs w:val="18"/>
              </w:rPr>
            </w:pPr>
            <w:r w:rsidRPr="00A074C4">
              <w:rPr>
                <w:rStyle w:val="normaltextrun"/>
                <w:rFonts w:ascii="Arial" w:hAnsi="Arial" w:cs="Arial"/>
                <w:sz w:val="16"/>
                <w:szCs w:val="16"/>
              </w:rPr>
              <w:t>123,000</w:t>
            </w:r>
          </w:p>
          <w:p w14:paraId="10FDE84D" w14:textId="442A476A" w:rsidR="00AB31FA" w:rsidRPr="00A074C4" w:rsidRDefault="007C110B" w:rsidP="006C06EE">
            <w:pPr>
              <w:spacing w:before="0" w:after="0"/>
              <w:jc w:val="right"/>
              <w:rPr>
                <w:rFonts w:ascii="Arial" w:hAnsi="Arial"/>
                <w:sz w:val="16"/>
                <w:szCs w:val="16"/>
                <w:lang w:val="en-AU"/>
              </w:rPr>
            </w:pPr>
            <w:r>
              <w:rPr>
                <w:rStyle w:val="normaltextrun"/>
                <w:rFonts w:ascii="Arial" w:hAnsi="Arial"/>
                <w:sz w:val="16"/>
                <w:szCs w:val="16"/>
              </w:rPr>
              <w:t>(</w:t>
            </w:r>
            <w:r w:rsidR="00AB31FA" w:rsidRPr="00A074C4">
              <w:rPr>
                <w:rStyle w:val="normaltextrun"/>
                <w:rFonts w:ascii="Arial" w:hAnsi="Arial"/>
                <w:sz w:val="16"/>
                <w:szCs w:val="16"/>
              </w:rPr>
              <w:t>2,100</w:t>
            </w:r>
            <w:r>
              <w:rPr>
                <w:rStyle w:val="normaltextrun"/>
                <w:rFonts w:ascii="Arial" w:hAnsi="Arial"/>
                <w:sz w:val="16"/>
                <w:szCs w:val="16"/>
              </w:rPr>
              <w:t>)</w:t>
            </w:r>
          </w:p>
        </w:tc>
        <w:tc>
          <w:tcPr>
            <w:tcW w:w="1032" w:type="dxa"/>
            <w:vAlign w:val="center"/>
          </w:tcPr>
          <w:p w14:paraId="77C59875" w14:textId="77777777" w:rsidR="00AB31FA" w:rsidRPr="00A074C4" w:rsidRDefault="00AB31FA" w:rsidP="00AB31FA">
            <w:pPr>
              <w:pStyle w:val="paragraph"/>
              <w:spacing w:before="0" w:beforeAutospacing="0" w:after="0" w:afterAutospacing="0"/>
              <w:jc w:val="right"/>
              <w:textAlignment w:val="baseline"/>
              <w:rPr>
                <w:rFonts w:ascii="Segoe UI" w:hAnsi="Segoe UI" w:cs="Segoe UI"/>
                <w:sz w:val="18"/>
                <w:szCs w:val="18"/>
              </w:rPr>
            </w:pPr>
            <w:r w:rsidRPr="00A074C4">
              <w:rPr>
                <w:rStyle w:val="normaltextrun"/>
                <w:rFonts w:ascii="Arial" w:hAnsi="Arial" w:cs="Arial"/>
                <w:sz w:val="16"/>
                <w:szCs w:val="16"/>
              </w:rPr>
              <w:t>125,500</w:t>
            </w:r>
          </w:p>
          <w:p w14:paraId="7276C5A1" w14:textId="21FEE304" w:rsidR="00AB31FA" w:rsidRPr="00A074C4" w:rsidRDefault="007C110B" w:rsidP="006C06EE">
            <w:pPr>
              <w:spacing w:before="0" w:after="0"/>
              <w:jc w:val="right"/>
              <w:rPr>
                <w:rFonts w:ascii="Arial" w:hAnsi="Arial"/>
                <w:sz w:val="16"/>
                <w:szCs w:val="16"/>
                <w:lang w:val="en-AU"/>
              </w:rPr>
            </w:pPr>
            <w:r>
              <w:rPr>
                <w:rStyle w:val="normaltextrun"/>
                <w:rFonts w:ascii="Arial" w:hAnsi="Arial"/>
                <w:sz w:val="16"/>
                <w:szCs w:val="16"/>
              </w:rPr>
              <w:t>(</w:t>
            </w:r>
            <w:r w:rsidR="00AB31FA" w:rsidRPr="00A074C4">
              <w:rPr>
                <w:rStyle w:val="normaltextrun"/>
                <w:rFonts w:ascii="Arial" w:hAnsi="Arial"/>
                <w:sz w:val="16"/>
                <w:szCs w:val="16"/>
              </w:rPr>
              <w:t>2,150</w:t>
            </w:r>
            <w:r>
              <w:rPr>
                <w:rStyle w:val="normaltextrun"/>
                <w:rFonts w:ascii="Arial" w:hAnsi="Arial"/>
                <w:sz w:val="16"/>
                <w:szCs w:val="16"/>
              </w:rPr>
              <w:t>)</w:t>
            </w:r>
          </w:p>
        </w:tc>
        <w:tc>
          <w:tcPr>
            <w:tcW w:w="1035" w:type="dxa"/>
            <w:shd w:val="clear" w:color="auto" w:fill="auto"/>
            <w:vAlign w:val="center"/>
          </w:tcPr>
          <w:p w14:paraId="5188B0F1" w14:textId="77777777" w:rsidR="00AB31FA" w:rsidRPr="00A074C4" w:rsidRDefault="00AB31FA" w:rsidP="00AB31FA">
            <w:pPr>
              <w:spacing w:before="0" w:after="0"/>
              <w:jc w:val="right"/>
              <w:rPr>
                <w:rFonts w:ascii="Arial" w:hAnsi="Arial"/>
                <w:sz w:val="16"/>
                <w:szCs w:val="16"/>
                <w:lang w:val="en-AU"/>
              </w:rPr>
            </w:pPr>
            <w:r w:rsidRPr="00A074C4">
              <w:rPr>
                <w:rFonts w:ascii="Arial" w:hAnsi="Arial"/>
                <w:sz w:val="16"/>
                <w:szCs w:val="16"/>
                <w:lang w:val="en-AU"/>
              </w:rPr>
              <w:t>128,000</w:t>
            </w:r>
          </w:p>
          <w:p w14:paraId="03F8E658" w14:textId="70C5B45A" w:rsidR="00AB31FA" w:rsidRPr="00A074C4" w:rsidRDefault="007C110B" w:rsidP="006C06EE">
            <w:pPr>
              <w:spacing w:before="0" w:after="0"/>
              <w:jc w:val="right"/>
              <w:rPr>
                <w:rFonts w:ascii="Arial" w:hAnsi="Arial"/>
                <w:sz w:val="16"/>
                <w:szCs w:val="16"/>
                <w:lang w:val="en-AU"/>
              </w:rPr>
            </w:pPr>
            <w:r>
              <w:rPr>
                <w:rFonts w:ascii="Arial" w:hAnsi="Arial"/>
                <w:sz w:val="16"/>
                <w:szCs w:val="16"/>
                <w:lang w:val="en-AU"/>
              </w:rPr>
              <w:t>(</w:t>
            </w:r>
            <w:r w:rsidR="00AB31FA" w:rsidRPr="00A074C4">
              <w:rPr>
                <w:rFonts w:ascii="Arial" w:hAnsi="Arial"/>
                <w:sz w:val="16"/>
                <w:szCs w:val="16"/>
                <w:lang w:val="en-AU"/>
              </w:rPr>
              <w:t>2,200</w:t>
            </w:r>
            <w:r>
              <w:rPr>
                <w:rFonts w:ascii="Arial" w:hAnsi="Arial"/>
                <w:sz w:val="16"/>
                <w:szCs w:val="16"/>
                <w:lang w:val="en-AU"/>
              </w:rPr>
              <w:t>)</w:t>
            </w:r>
          </w:p>
        </w:tc>
      </w:tr>
      <w:tr w:rsidR="00AB31FA" w:rsidRPr="00AB31FA" w14:paraId="23136F6C" w14:textId="77777777" w:rsidTr="00AB31FA">
        <w:trPr>
          <w:trHeight w:val="596"/>
        </w:trPr>
        <w:tc>
          <w:tcPr>
            <w:tcW w:w="414" w:type="dxa"/>
            <w:tcBorders>
              <w:top w:val="nil"/>
              <w:left w:val="nil"/>
              <w:bottom w:val="single" w:sz="8" w:space="0" w:color="FFFFFF"/>
              <w:right w:val="single" w:sz="4" w:space="0" w:color="auto"/>
            </w:tcBorders>
            <w:vAlign w:val="center"/>
            <w:hideMark/>
          </w:tcPr>
          <w:p w14:paraId="46D943EC" w14:textId="77777777" w:rsidR="00AB31FA" w:rsidRPr="00AB31FA" w:rsidRDefault="00AB31FA" w:rsidP="00AB31FA">
            <w:pPr>
              <w:spacing w:before="0" w:after="0"/>
              <w:jc w:val="center"/>
              <w:rPr>
                <w:rFonts w:ascii="Arial" w:hAnsi="Arial"/>
                <w:sz w:val="16"/>
                <w:szCs w:val="16"/>
                <w:lang w:val="en-AU"/>
              </w:rPr>
            </w:pPr>
          </w:p>
        </w:tc>
        <w:tc>
          <w:tcPr>
            <w:tcW w:w="2894" w:type="dxa"/>
            <w:vAlign w:val="center"/>
            <w:hideMark/>
          </w:tcPr>
          <w:p w14:paraId="180F7DCB" w14:textId="6C25300B" w:rsidR="00AB31FA" w:rsidRPr="00AB31FA" w:rsidRDefault="00AB31FA" w:rsidP="002821C6">
            <w:pPr>
              <w:spacing w:before="0" w:after="0"/>
              <w:rPr>
                <w:rFonts w:ascii="Arial" w:hAnsi="Arial"/>
                <w:sz w:val="16"/>
                <w:szCs w:val="16"/>
                <w:lang w:val="en-AU"/>
              </w:rPr>
            </w:pPr>
            <w:r w:rsidRPr="00AB31FA">
              <w:rPr>
                <w:rFonts w:ascii="Arial" w:hAnsi="Arial"/>
                <w:sz w:val="16"/>
                <w:szCs w:val="16"/>
                <w:lang w:val="en-AU"/>
              </w:rPr>
              <w:t xml:space="preserve">Army </w:t>
            </w:r>
          </w:p>
        </w:tc>
        <w:tc>
          <w:tcPr>
            <w:tcW w:w="1002" w:type="dxa"/>
            <w:tcBorders>
              <w:top w:val="nil"/>
              <w:bottom w:val="nil"/>
            </w:tcBorders>
            <w:shd w:val="clear" w:color="auto" w:fill="auto"/>
            <w:vAlign w:val="center"/>
          </w:tcPr>
          <w:p w14:paraId="25598C0C" w14:textId="77777777" w:rsidR="00AB31FA" w:rsidRPr="00A074C4" w:rsidRDefault="00AB31FA" w:rsidP="00AB31FA">
            <w:pPr>
              <w:pStyle w:val="paragraph"/>
              <w:spacing w:before="0" w:beforeAutospacing="0" w:after="0" w:afterAutospacing="0"/>
              <w:jc w:val="right"/>
              <w:textAlignment w:val="baseline"/>
              <w:rPr>
                <w:rFonts w:ascii="Segoe UI" w:hAnsi="Segoe UI" w:cs="Segoe UI"/>
                <w:sz w:val="18"/>
                <w:szCs w:val="18"/>
              </w:rPr>
            </w:pPr>
            <w:r w:rsidRPr="00A074C4">
              <w:rPr>
                <w:rStyle w:val="normaltextrun"/>
                <w:rFonts w:ascii="Arial" w:hAnsi="Arial" w:cs="Arial"/>
                <w:sz w:val="16"/>
                <w:szCs w:val="16"/>
              </w:rPr>
              <w:t>740,000</w:t>
            </w:r>
          </w:p>
          <w:p w14:paraId="775E5DC8" w14:textId="2B7604E2" w:rsidR="00AB31FA" w:rsidRPr="00A074C4" w:rsidRDefault="007C110B" w:rsidP="006C06EE">
            <w:pPr>
              <w:spacing w:before="0" w:after="0"/>
              <w:jc w:val="right"/>
              <w:rPr>
                <w:rFonts w:ascii="Arial" w:hAnsi="Arial"/>
                <w:sz w:val="16"/>
                <w:szCs w:val="16"/>
                <w:lang w:val="en-AU"/>
              </w:rPr>
            </w:pPr>
            <w:r>
              <w:rPr>
                <w:rStyle w:val="normaltextrun"/>
                <w:rFonts w:ascii="Arial" w:hAnsi="Arial"/>
                <w:sz w:val="16"/>
                <w:szCs w:val="16"/>
              </w:rPr>
              <w:t>(</w:t>
            </w:r>
            <w:r w:rsidR="00AB31FA" w:rsidRPr="00A074C4">
              <w:rPr>
                <w:rStyle w:val="normaltextrun"/>
                <w:rFonts w:ascii="Arial" w:hAnsi="Arial"/>
                <w:sz w:val="16"/>
                <w:szCs w:val="16"/>
              </w:rPr>
              <w:t>15,500</w:t>
            </w:r>
            <w:r>
              <w:rPr>
                <w:rStyle w:val="normaltextrun"/>
                <w:rFonts w:ascii="Arial" w:hAnsi="Arial"/>
                <w:sz w:val="16"/>
                <w:szCs w:val="16"/>
              </w:rPr>
              <w:t>)</w:t>
            </w:r>
          </w:p>
        </w:tc>
        <w:tc>
          <w:tcPr>
            <w:tcW w:w="949" w:type="dxa"/>
            <w:tcBorders>
              <w:left w:val="nil"/>
            </w:tcBorders>
            <w:shd w:val="clear" w:color="auto" w:fill="E6E6E6"/>
            <w:vAlign w:val="center"/>
          </w:tcPr>
          <w:p w14:paraId="7A40AF0C" w14:textId="77777777" w:rsidR="00AB31FA" w:rsidRPr="00A074C4" w:rsidRDefault="00AB31FA" w:rsidP="00AB31FA">
            <w:pPr>
              <w:pStyle w:val="paragraph"/>
              <w:spacing w:before="0" w:beforeAutospacing="0" w:after="0" w:afterAutospacing="0"/>
              <w:jc w:val="right"/>
              <w:textAlignment w:val="baseline"/>
              <w:rPr>
                <w:rFonts w:ascii="Segoe UI" w:hAnsi="Segoe UI" w:cs="Segoe UI"/>
                <w:sz w:val="18"/>
                <w:szCs w:val="18"/>
              </w:rPr>
            </w:pPr>
            <w:r w:rsidRPr="00A074C4">
              <w:rPr>
                <w:rStyle w:val="normaltextrun"/>
                <w:rFonts w:ascii="Arial" w:hAnsi="Arial" w:cs="Arial"/>
                <w:sz w:val="16"/>
                <w:szCs w:val="16"/>
              </w:rPr>
              <w:t>740,000</w:t>
            </w:r>
          </w:p>
          <w:p w14:paraId="1E88670F" w14:textId="0924F19C" w:rsidR="00AB31FA" w:rsidRPr="00A074C4" w:rsidRDefault="007C110B" w:rsidP="006C06EE">
            <w:pPr>
              <w:spacing w:before="0" w:after="0"/>
              <w:jc w:val="right"/>
              <w:rPr>
                <w:rFonts w:ascii="Arial" w:hAnsi="Arial"/>
                <w:sz w:val="16"/>
                <w:szCs w:val="16"/>
                <w:lang w:val="en-AU"/>
              </w:rPr>
            </w:pPr>
            <w:r>
              <w:rPr>
                <w:rStyle w:val="normaltextrun"/>
                <w:rFonts w:ascii="Arial" w:hAnsi="Arial"/>
                <w:sz w:val="16"/>
                <w:szCs w:val="16"/>
              </w:rPr>
              <w:t>(</w:t>
            </w:r>
            <w:r w:rsidR="00AB31FA" w:rsidRPr="00A074C4">
              <w:rPr>
                <w:rStyle w:val="normaltextrun"/>
                <w:rFonts w:ascii="Arial" w:hAnsi="Arial"/>
                <w:sz w:val="16"/>
                <w:szCs w:val="16"/>
              </w:rPr>
              <w:t>15,500</w:t>
            </w:r>
            <w:r>
              <w:rPr>
                <w:rStyle w:val="normaltextrun"/>
                <w:rFonts w:ascii="Arial" w:hAnsi="Arial"/>
                <w:sz w:val="16"/>
                <w:szCs w:val="16"/>
              </w:rPr>
              <w:t>)</w:t>
            </w:r>
          </w:p>
        </w:tc>
        <w:tc>
          <w:tcPr>
            <w:tcW w:w="1032" w:type="dxa"/>
            <w:vAlign w:val="center"/>
          </w:tcPr>
          <w:p w14:paraId="71E65C20" w14:textId="77777777" w:rsidR="00AB31FA" w:rsidRPr="00A074C4" w:rsidRDefault="00AB31FA" w:rsidP="00AB31FA">
            <w:pPr>
              <w:pStyle w:val="paragraph"/>
              <w:spacing w:before="0" w:beforeAutospacing="0" w:after="0" w:afterAutospacing="0"/>
              <w:jc w:val="right"/>
              <w:textAlignment w:val="baseline"/>
              <w:rPr>
                <w:rFonts w:ascii="Segoe UI" w:hAnsi="Segoe UI" w:cs="Segoe UI"/>
                <w:sz w:val="18"/>
                <w:szCs w:val="18"/>
              </w:rPr>
            </w:pPr>
            <w:r w:rsidRPr="00A074C4">
              <w:rPr>
                <w:rStyle w:val="normaltextrun"/>
                <w:rFonts w:ascii="Arial" w:hAnsi="Arial" w:cs="Arial"/>
                <w:sz w:val="16"/>
                <w:szCs w:val="16"/>
              </w:rPr>
              <w:t>740,000</w:t>
            </w:r>
          </w:p>
          <w:p w14:paraId="2D6921E0" w14:textId="21DA476A" w:rsidR="00AB31FA" w:rsidRPr="00A074C4" w:rsidRDefault="007C110B" w:rsidP="006C06EE">
            <w:pPr>
              <w:spacing w:before="0" w:after="0"/>
              <w:jc w:val="right"/>
              <w:rPr>
                <w:rFonts w:ascii="Arial" w:hAnsi="Arial"/>
                <w:sz w:val="16"/>
                <w:szCs w:val="16"/>
                <w:lang w:val="en-AU"/>
              </w:rPr>
            </w:pPr>
            <w:r>
              <w:rPr>
                <w:rStyle w:val="normaltextrun"/>
                <w:rFonts w:ascii="Arial" w:hAnsi="Arial"/>
                <w:sz w:val="16"/>
                <w:szCs w:val="16"/>
              </w:rPr>
              <w:t>(</w:t>
            </w:r>
            <w:r w:rsidR="00AB31FA" w:rsidRPr="00A074C4">
              <w:rPr>
                <w:rStyle w:val="normaltextrun"/>
                <w:rFonts w:ascii="Arial" w:hAnsi="Arial"/>
                <w:sz w:val="16"/>
                <w:szCs w:val="16"/>
              </w:rPr>
              <w:t>15,500</w:t>
            </w:r>
            <w:r>
              <w:rPr>
                <w:rStyle w:val="normaltextrun"/>
                <w:rFonts w:ascii="Arial" w:hAnsi="Arial"/>
                <w:sz w:val="16"/>
                <w:szCs w:val="16"/>
              </w:rPr>
              <w:t>)</w:t>
            </w:r>
          </w:p>
        </w:tc>
        <w:tc>
          <w:tcPr>
            <w:tcW w:w="1032" w:type="dxa"/>
            <w:vAlign w:val="center"/>
          </w:tcPr>
          <w:p w14:paraId="354557BB" w14:textId="77777777" w:rsidR="00AB31FA" w:rsidRPr="00A074C4" w:rsidRDefault="00AB31FA" w:rsidP="00AB31FA">
            <w:pPr>
              <w:pStyle w:val="paragraph"/>
              <w:spacing w:before="0" w:beforeAutospacing="0" w:after="0" w:afterAutospacing="0"/>
              <w:jc w:val="right"/>
              <w:textAlignment w:val="baseline"/>
              <w:rPr>
                <w:rFonts w:ascii="Segoe UI" w:hAnsi="Segoe UI" w:cs="Segoe UI"/>
                <w:sz w:val="18"/>
                <w:szCs w:val="18"/>
              </w:rPr>
            </w:pPr>
            <w:r w:rsidRPr="00A074C4">
              <w:rPr>
                <w:rStyle w:val="normaltextrun"/>
                <w:rFonts w:ascii="Arial" w:hAnsi="Arial" w:cs="Arial"/>
                <w:sz w:val="16"/>
                <w:szCs w:val="16"/>
              </w:rPr>
              <w:t>740,000</w:t>
            </w:r>
          </w:p>
          <w:p w14:paraId="4043741B" w14:textId="5A370BB5" w:rsidR="00AB31FA" w:rsidRPr="00A074C4" w:rsidRDefault="007C110B" w:rsidP="006C06EE">
            <w:pPr>
              <w:spacing w:before="0" w:after="0"/>
              <w:jc w:val="right"/>
              <w:rPr>
                <w:rFonts w:ascii="Arial" w:hAnsi="Arial"/>
                <w:sz w:val="16"/>
                <w:szCs w:val="16"/>
                <w:lang w:val="en-AU"/>
              </w:rPr>
            </w:pPr>
            <w:r>
              <w:rPr>
                <w:rStyle w:val="normaltextrun"/>
                <w:rFonts w:ascii="Arial" w:hAnsi="Arial"/>
                <w:sz w:val="16"/>
                <w:szCs w:val="16"/>
              </w:rPr>
              <w:t>(</w:t>
            </w:r>
            <w:r w:rsidR="00AB31FA" w:rsidRPr="00A074C4">
              <w:rPr>
                <w:rStyle w:val="normaltextrun"/>
                <w:rFonts w:ascii="Arial" w:hAnsi="Arial"/>
                <w:sz w:val="16"/>
                <w:szCs w:val="16"/>
              </w:rPr>
              <w:t>15,500</w:t>
            </w:r>
            <w:r>
              <w:rPr>
                <w:rStyle w:val="normaltextrun"/>
                <w:rFonts w:ascii="Arial" w:hAnsi="Arial"/>
                <w:sz w:val="16"/>
                <w:szCs w:val="16"/>
              </w:rPr>
              <w:t>)</w:t>
            </w:r>
          </w:p>
        </w:tc>
        <w:tc>
          <w:tcPr>
            <w:tcW w:w="1035" w:type="dxa"/>
            <w:shd w:val="clear" w:color="auto" w:fill="auto"/>
            <w:vAlign w:val="center"/>
          </w:tcPr>
          <w:p w14:paraId="76C9FB1C" w14:textId="77777777" w:rsidR="00AB31FA" w:rsidRPr="00A074C4" w:rsidRDefault="00AB31FA" w:rsidP="00AB31FA">
            <w:pPr>
              <w:spacing w:before="0" w:after="0"/>
              <w:jc w:val="right"/>
              <w:rPr>
                <w:rFonts w:ascii="Arial" w:hAnsi="Arial"/>
                <w:sz w:val="16"/>
                <w:szCs w:val="16"/>
                <w:lang w:val="en-AU"/>
              </w:rPr>
            </w:pPr>
            <w:r w:rsidRPr="00A074C4">
              <w:rPr>
                <w:rFonts w:ascii="Arial" w:hAnsi="Arial"/>
                <w:sz w:val="16"/>
                <w:szCs w:val="16"/>
                <w:lang w:val="en-AU"/>
              </w:rPr>
              <w:t>740,000</w:t>
            </w:r>
          </w:p>
          <w:p w14:paraId="3DB35011" w14:textId="09979C79" w:rsidR="00AB31FA" w:rsidRPr="00A074C4" w:rsidRDefault="007C110B" w:rsidP="006C06EE">
            <w:pPr>
              <w:spacing w:before="0" w:after="0"/>
              <w:jc w:val="right"/>
              <w:rPr>
                <w:rFonts w:ascii="Arial" w:hAnsi="Arial"/>
                <w:sz w:val="16"/>
                <w:szCs w:val="16"/>
                <w:lang w:val="en-AU"/>
              </w:rPr>
            </w:pPr>
            <w:r>
              <w:rPr>
                <w:rFonts w:ascii="Arial" w:hAnsi="Arial"/>
                <w:sz w:val="16"/>
                <w:szCs w:val="16"/>
                <w:lang w:val="en-AU"/>
              </w:rPr>
              <w:t>(</w:t>
            </w:r>
            <w:r w:rsidR="00AB31FA" w:rsidRPr="00A074C4">
              <w:rPr>
                <w:rFonts w:ascii="Arial" w:hAnsi="Arial"/>
                <w:sz w:val="16"/>
                <w:szCs w:val="16"/>
                <w:lang w:val="en-AU"/>
              </w:rPr>
              <w:t>15,500</w:t>
            </w:r>
            <w:r>
              <w:rPr>
                <w:rFonts w:ascii="Arial" w:hAnsi="Arial"/>
                <w:sz w:val="16"/>
                <w:szCs w:val="16"/>
                <w:lang w:val="en-AU"/>
              </w:rPr>
              <w:t>)</w:t>
            </w:r>
          </w:p>
        </w:tc>
      </w:tr>
      <w:tr w:rsidR="00AB31FA" w:rsidRPr="0037453B" w14:paraId="47372712" w14:textId="77777777" w:rsidTr="00AB31FA">
        <w:trPr>
          <w:trHeight w:val="548"/>
        </w:trPr>
        <w:tc>
          <w:tcPr>
            <w:tcW w:w="414" w:type="dxa"/>
            <w:tcBorders>
              <w:top w:val="nil"/>
              <w:left w:val="nil"/>
              <w:right w:val="single" w:sz="4" w:space="0" w:color="auto"/>
            </w:tcBorders>
            <w:vAlign w:val="center"/>
            <w:hideMark/>
          </w:tcPr>
          <w:p w14:paraId="3BA65482" w14:textId="77777777" w:rsidR="00AB31FA" w:rsidRPr="00AB31FA" w:rsidRDefault="00AB31FA" w:rsidP="00AB31FA">
            <w:pPr>
              <w:spacing w:before="0" w:after="0"/>
              <w:jc w:val="center"/>
              <w:rPr>
                <w:rFonts w:ascii="Arial" w:hAnsi="Arial"/>
                <w:sz w:val="16"/>
                <w:szCs w:val="16"/>
                <w:lang w:val="en-AU"/>
              </w:rPr>
            </w:pPr>
          </w:p>
        </w:tc>
        <w:tc>
          <w:tcPr>
            <w:tcW w:w="2894" w:type="dxa"/>
            <w:vAlign w:val="center"/>
            <w:hideMark/>
          </w:tcPr>
          <w:p w14:paraId="7704C3A2" w14:textId="77777777" w:rsidR="00AB31FA" w:rsidRPr="00AB31FA" w:rsidRDefault="00AB31FA" w:rsidP="00AB31FA">
            <w:pPr>
              <w:spacing w:before="0" w:after="0"/>
              <w:rPr>
                <w:rFonts w:ascii="Arial" w:hAnsi="Arial"/>
                <w:sz w:val="16"/>
                <w:szCs w:val="16"/>
                <w:lang w:val="en-AU"/>
              </w:rPr>
            </w:pPr>
            <w:r w:rsidRPr="00AB31FA">
              <w:rPr>
                <w:rFonts w:ascii="Arial" w:hAnsi="Arial"/>
                <w:sz w:val="16"/>
                <w:szCs w:val="16"/>
                <w:lang w:val="en-AU"/>
              </w:rPr>
              <w:t>Air Force</w:t>
            </w:r>
          </w:p>
        </w:tc>
        <w:tc>
          <w:tcPr>
            <w:tcW w:w="1002" w:type="dxa"/>
            <w:tcBorders>
              <w:top w:val="nil"/>
            </w:tcBorders>
            <w:shd w:val="clear" w:color="auto" w:fill="auto"/>
            <w:vAlign w:val="center"/>
          </w:tcPr>
          <w:p w14:paraId="0CD217D7" w14:textId="77777777" w:rsidR="00AB31FA" w:rsidRPr="00A074C4" w:rsidRDefault="00AB31FA" w:rsidP="00AB31FA">
            <w:pPr>
              <w:pStyle w:val="paragraph"/>
              <w:spacing w:before="0" w:beforeAutospacing="0" w:after="0" w:afterAutospacing="0"/>
              <w:jc w:val="right"/>
              <w:textAlignment w:val="baseline"/>
              <w:rPr>
                <w:rFonts w:ascii="Segoe UI" w:hAnsi="Segoe UI" w:cs="Segoe UI"/>
                <w:sz w:val="18"/>
                <w:szCs w:val="18"/>
              </w:rPr>
            </w:pPr>
            <w:r w:rsidRPr="00A074C4">
              <w:rPr>
                <w:rStyle w:val="normaltextrun"/>
                <w:rFonts w:ascii="Arial" w:hAnsi="Arial" w:cs="Arial"/>
                <w:sz w:val="16"/>
                <w:szCs w:val="16"/>
              </w:rPr>
              <w:t>268,000</w:t>
            </w:r>
          </w:p>
          <w:p w14:paraId="72E93B7D" w14:textId="4841EDA4" w:rsidR="00AB31FA" w:rsidRPr="00A074C4" w:rsidRDefault="007C110B" w:rsidP="006C06EE">
            <w:pPr>
              <w:spacing w:before="0" w:after="0"/>
              <w:jc w:val="right"/>
              <w:rPr>
                <w:rFonts w:ascii="Arial" w:hAnsi="Arial"/>
                <w:sz w:val="16"/>
                <w:szCs w:val="16"/>
                <w:lang w:val="en-AU"/>
              </w:rPr>
            </w:pPr>
            <w:r>
              <w:rPr>
                <w:rStyle w:val="normaltextrun"/>
                <w:rFonts w:ascii="Arial" w:hAnsi="Arial"/>
                <w:sz w:val="16"/>
                <w:szCs w:val="16"/>
              </w:rPr>
              <w:t>(</w:t>
            </w:r>
            <w:r w:rsidR="00AB31FA" w:rsidRPr="00A074C4">
              <w:rPr>
                <w:rStyle w:val="normaltextrun"/>
                <w:rFonts w:ascii="Arial" w:hAnsi="Arial"/>
                <w:sz w:val="16"/>
                <w:szCs w:val="16"/>
              </w:rPr>
              <w:t>4,000</w:t>
            </w:r>
            <w:r>
              <w:rPr>
                <w:rStyle w:val="normaltextrun"/>
                <w:rFonts w:ascii="Arial" w:hAnsi="Arial"/>
                <w:sz w:val="16"/>
                <w:szCs w:val="16"/>
              </w:rPr>
              <w:t>)</w:t>
            </w:r>
          </w:p>
        </w:tc>
        <w:tc>
          <w:tcPr>
            <w:tcW w:w="949" w:type="dxa"/>
            <w:tcBorders>
              <w:left w:val="nil"/>
            </w:tcBorders>
            <w:shd w:val="clear" w:color="auto" w:fill="E6E6E6"/>
            <w:vAlign w:val="center"/>
          </w:tcPr>
          <w:p w14:paraId="789C26F0" w14:textId="77777777" w:rsidR="00AB31FA" w:rsidRPr="00A074C4" w:rsidRDefault="00AB31FA" w:rsidP="00AB31FA">
            <w:pPr>
              <w:pStyle w:val="paragraph"/>
              <w:spacing w:before="0" w:beforeAutospacing="0" w:after="0" w:afterAutospacing="0"/>
              <w:jc w:val="right"/>
              <w:textAlignment w:val="baseline"/>
              <w:rPr>
                <w:rFonts w:ascii="Segoe UI" w:hAnsi="Segoe UI" w:cs="Segoe UI"/>
                <w:sz w:val="18"/>
                <w:szCs w:val="18"/>
              </w:rPr>
            </w:pPr>
            <w:r w:rsidRPr="00A074C4">
              <w:rPr>
                <w:rStyle w:val="normaltextrun"/>
                <w:rFonts w:ascii="Arial" w:hAnsi="Arial" w:cs="Arial"/>
                <w:sz w:val="16"/>
                <w:szCs w:val="16"/>
              </w:rPr>
              <w:t>274,000</w:t>
            </w:r>
          </w:p>
          <w:p w14:paraId="198EC132" w14:textId="215B26C2" w:rsidR="00AB31FA" w:rsidRPr="00A074C4" w:rsidRDefault="007C110B" w:rsidP="006C06EE">
            <w:pPr>
              <w:spacing w:before="0" w:after="0"/>
              <w:jc w:val="right"/>
              <w:rPr>
                <w:rFonts w:ascii="Arial" w:hAnsi="Arial"/>
                <w:sz w:val="16"/>
                <w:szCs w:val="16"/>
                <w:lang w:val="en-AU"/>
              </w:rPr>
            </w:pPr>
            <w:r>
              <w:rPr>
                <w:rStyle w:val="normaltextrun"/>
                <w:rFonts w:ascii="Arial" w:hAnsi="Arial"/>
                <w:sz w:val="16"/>
                <w:szCs w:val="16"/>
              </w:rPr>
              <w:t>(</w:t>
            </w:r>
            <w:r w:rsidR="00AB31FA" w:rsidRPr="00A074C4">
              <w:rPr>
                <w:rStyle w:val="normaltextrun"/>
                <w:rFonts w:ascii="Arial" w:hAnsi="Arial"/>
                <w:sz w:val="16"/>
                <w:szCs w:val="16"/>
              </w:rPr>
              <w:t>4,100</w:t>
            </w:r>
            <w:r>
              <w:rPr>
                <w:rStyle w:val="normaltextrun"/>
                <w:rFonts w:ascii="Arial" w:hAnsi="Arial"/>
                <w:sz w:val="16"/>
                <w:szCs w:val="16"/>
              </w:rPr>
              <w:t>)</w:t>
            </w:r>
          </w:p>
        </w:tc>
        <w:tc>
          <w:tcPr>
            <w:tcW w:w="1032" w:type="dxa"/>
            <w:vAlign w:val="center"/>
          </w:tcPr>
          <w:p w14:paraId="14966652" w14:textId="77777777" w:rsidR="00AB31FA" w:rsidRPr="00A074C4" w:rsidRDefault="00AB31FA" w:rsidP="00AB31FA">
            <w:pPr>
              <w:pStyle w:val="paragraph"/>
              <w:spacing w:before="0" w:beforeAutospacing="0" w:after="0" w:afterAutospacing="0"/>
              <w:jc w:val="right"/>
              <w:textAlignment w:val="baseline"/>
              <w:rPr>
                <w:rFonts w:ascii="Segoe UI" w:hAnsi="Segoe UI" w:cs="Segoe UI"/>
                <w:sz w:val="18"/>
                <w:szCs w:val="18"/>
              </w:rPr>
            </w:pPr>
            <w:r w:rsidRPr="00A074C4">
              <w:rPr>
                <w:rStyle w:val="normaltextrun"/>
                <w:rFonts w:ascii="Arial" w:hAnsi="Arial" w:cs="Arial"/>
                <w:sz w:val="16"/>
                <w:szCs w:val="16"/>
              </w:rPr>
              <w:t>280,000</w:t>
            </w:r>
          </w:p>
          <w:p w14:paraId="68E01261" w14:textId="0EAFD0C5" w:rsidR="00AB31FA" w:rsidRPr="00A074C4" w:rsidRDefault="007C110B" w:rsidP="006C06EE">
            <w:pPr>
              <w:spacing w:before="0" w:after="0"/>
              <w:jc w:val="right"/>
              <w:rPr>
                <w:rFonts w:ascii="Arial" w:hAnsi="Arial"/>
                <w:sz w:val="16"/>
                <w:szCs w:val="16"/>
                <w:lang w:val="en-AU"/>
              </w:rPr>
            </w:pPr>
            <w:r>
              <w:rPr>
                <w:rStyle w:val="normaltextrun"/>
                <w:rFonts w:ascii="Arial" w:hAnsi="Arial"/>
                <w:sz w:val="16"/>
                <w:szCs w:val="16"/>
              </w:rPr>
              <w:t>(</w:t>
            </w:r>
            <w:r w:rsidR="00AB31FA" w:rsidRPr="00A074C4">
              <w:rPr>
                <w:rStyle w:val="normaltextrun"/>
                <w:rFonts w:ascii="Arial" w:hAnsi="Arial"/>
                <w:sz w:val="16"/>
                <w:szCs w:val="16"/>
              </w:rPr>
              <w:t>4,200</w:t>
            </w:r>
            <w:r>
              <w:rPr>
                <w:rStyle w:val="normaltextrun"/>
                <w:rFonts w:ascii="Arial" w:hAnsi="Arial"/>
                <w:sz w:val="16"/>
                <w:szCs w:val="16"/>
              </w:rPr>
              <w:t>)</w:t>
            </w:r>
          </w:p>
        </w:tc>
        <w:tc>
          <w:tcPr>
            <w:tcW w:w="1032" w:type="dxa"/>
            <w:vAlign w:val="center"/>
          </w:tcPr>
          <w:p w14:paraId="772E1516" w14:textId="77777777" w:rsidR="00AB31FA" w:rsidRPr="00A074C4" w:rsidRDefault="00AB31FA" w:rsidP="00AB31FA">
            <w:pPr>
              <w:pStyle w:val="paragraph"/>
              <w:spacing w:before="0" w:beforeAutospacing="0" w:after="0" w:afterAutospacing="0"/>
              <w:jc w:val="right"/>
              <w:textAlignment w:val="baseline"/>
              <w:rPr>
                <w:rFonts w:ascii="Segoe UI" w:hAnsi="Segoe UI" w:cs="Segoe UI"/>
                <w:sz w:val="18"/>
                <w:szCs w:val="18"/>
              </w:rPr>
            </w:pPr>
            <w:r w:rsidRPr="00A074C4">
              <w:rPr>
                <w:rStyle w:val="normaltextrun"/>
                <w:rFonts w:ascii="Arial" w:hAnsi="Arial" w:cs="Arial"/>
                <w:sz w:val="16"/>
                <w:szCs w:val="16"/>
              </w:rPr>
              <w:t>286,000</w:t>
            </w:r>
          </w:p>
          <w:p w14:paraId="3DEBE4E1" w14:textId="69169FD1" w:rsidR="00AB31FA" w:rsidRPr="00A074C4" w:rsidRDefault="007C110B" w:rsidP="006C06EE">
            <w:pPr>
              <w:spacing w:before="0" w:after="0"/>
              <w:jc w:val="right"/>
              <w:rPr>
                <w:rFonts w:ascii="Arial" w:hAnsi="Arial"/>
                <w:sz w:val="16"/>
                <w:szCs w:val="16"/>
                <w:lang w:val="en-AU"/>
              </w:rPr>
            </w:pPr>
            <w:r>
              <w:rPr>
                <w:rStyle w:val="normaltextrun"/>
                <w:rFonts w:ascii="Arial" w:hAnsi="Arial"/>
                <w:sz w:val="16"/>
                <w:szCs w:val="16"/>
              </w:rPr>
              <w:t>(</w:t>
            </w:r>
            <w:r w:rsidR="00AB31FA" w:rsidRPr="00A074C4">
              <w:rPr>
                <w:rStyle w:val="normaltextrun"/>
                <w:rFonts w:ascii="Arial" w:hAnsi="Arial"/>
                <w:sz w:val="16"/>
                <w:szCs w:val="16"/>
              </w:rPr>
              <w:t>4,300</w:t>
            </w:r>
            <w:r>
              <w:rPr>
                <w:rStyle w:val="normaltextrun"/>
                <w:rFonts w:ascii="Arial" w:hAnsi="Arial"/>
                <w:sz w:val="16"/>
                <w:szCs w:val="16"/>
              </w:rPr>
              <w:t>)</w:t>
            </w:r>
          </w:p>
        </w:tc>
        <w:tc>
          <w:tcPr>
            <w:tcW w:w="1035" w:type="dxa"/>
            <w:shd w:val="clear" w:color="auto" w:fill="auto"/>
            <w:vAlign w:val="center"/>
          </w:tcPr>
          <w:p w14:paraId="1DB85732" w14:textId="77777777" w:rsidR="00AB31FA" w:rsidRPr="00A074C4" w:rsidRDefault="00AB31FA" w:rsidP="00AB31FA">
            <w:pPr>
              <w:spacing w:before="0" w:after="0"/>
              <w:jc w:val="right"/>
              <w:rPr>
                <w:rFonts w:ascii="Arial" w:hAnsi="Arial"/>
                <w:sz w:val="16"/>
                <w:szCs w:val="16"/>
                <w:lang w:val="en-AU"/>
              </w:rPr>
            </w:pPr>
            <w:r w:rsidRPr="00A074C4">
              <w:rPr>
                <w:rFonts w:ascii="Arial" w:hAnsi="Arial"/>
                <w:sz w:val="16"/>
                <w:szCs w:val="16"/>
                <w:lang w:val="en-AU"/>
              </w:rPr>
              <w:t>292,000</w:t>
            </w:r>
          </w:p>
          <w:p w14:paraId="43F5C945" w14:textId="03CDAE37" w:rsidR="00AB31FA" w:rsidRPr="00A074C4" w:rsidRDefault="007C110B" w:rsidP="006C06EE">
            <w:pPr>
              <w:spacing w:before="0" w:after="0"/>
              <w:jc w:val="right"/>
              <w:rPr>
                <w:rFonts w:ascii="Arial" w:hAnsi="Arial"/>
                <w:sz w:val="16"/>
                <w:szCs w:val="16"/>
                <w:lang w:val="en-AU"/>
              </w:rPr>
            </w:pPr>
            <w:r>
              <w:rPr>
                <w:rFonts w:ascii="Arial" w:hAnsi="Arial"/>
                <w:sz w:val="16"/>
                <w:szCs w:val="16"/>
                <w:lang w:val="en-AU"/>
              </w:rPr>
              <w:t>(</w:t>
            </w:r>
            <w:r w:rsidR="00AB31FA" w:rsidRPr="00A074C4">
              <w:rPr>
                <w:rFonts w:ascii="Arial" w:hAnsi="Arial"/>
                <w:sz w:val="16"/>
                <w:szCs w:val="16"/>
                <w:lang w:val="en-AU"/>
              </w:rPr>
              <w:t>4,400</w:t>
            </w:r>
            <w:r>
              <w:rPr>
                <w:rFonts w:ascii="Arial" w:hAnsi="Arial"/>
                <w:sz w:val="16"/>
                <w:szCs w:val="16"/>
                <w:lang w:val="en-AU"/>
              </w:rPr>
              <w:t>)</w:t>
            </w:r>
          </w:p>
        </w:tc>
      </w:tr>
      <w:tr w:rsidR="00AB31FA" w:rsidRPr="00AB31FA" w14:paraId="216A1224" w14:textId="77777777" w:rsidTr="00AB31FA">
        <w:trPr>
          <w:trHeight w:val="480"/>
        </w:trPr>
        <w:tc>
          <w:tcPr>
            <w:tcW w:w="414" w:type="dxa"/>
            <w:tcBorders>
              <w:left w:val="nil"/>
              <w:bottom w:val="single" w:sz="4" w:space="0" w:color="auto"/>
              <w:right w:val="single" w:sz="4" w:space="0" w:color="auto"/>
            </w:tcBorders>
            <w:shd w:val="clear" w:color="auto" w:fill="E6E6E6"/>
            <w:vAlign w:val="center"/>
            <w:hideMark/>
          </w:tcPr>
          <w:p w14:paraId="29E2B090" w14:textId="77777777" w:rsidR="00AB31FA" w:rsidRPr="00AB31FA" w:rsidRDefault="00AB31FA" w:rsidP="00AB31FA">
            <w:pPr>
              <w:spacing w:before="0" w:after="0"/>
              <w:jc w:val="center"/>
              <w:rPr>
                <w:rFonts w:ascii="Arial" w:hAnsi="Arial"/>
                <w:b/>
                <w:sz w:val="16"/>
                <w:szCs w:val="16"/>
                <w:lang w:val="en-AU"/>
              </w:rPr>
            </w:pPr>
            <w:r w:rsidRPr="00AB31FA">
              <w:rPr>
                <w:rFonts w:ascii="Arial" w:hAnsi="Arial"/>
                <w:b/>
                <w:sz w:val="16"/>
                <w:szCs w:val="16"/>
                <w:lang w:val="en-AU"/>
              </w:rPr>
              <w:t>1</w:t>
            </w:r>
          </w:p>
        </w:tc>
        <w:tc>
          <w:tcPr>
            <w:tcW w:w="2894" w:type="dxa"/>
            <w:tcBorders>
              <w:left w:val="nil"/>
              <w:bottom w:val="single" w:sz="4" w:space="0" w:color="auto"/>
              <w:right w:val="nil"/>
            </w:tcBorders>
            <w:shd w:val="clear" w:color="auto" w:fill="E6E6E6"/>
            <w:vAlign w:val="center"/>
            <w:hideMark/>
          </w:tcPr>
          <w:p w14:paraId="789C41AD" w14:textId="77777777" w:rsidR="00AB31FA" w:rsidRPr="00AB31FA" w:rsidRDefault="00AB31FA" w:rsidP="00AB31FA">
            <w:pPr>
              <w:spacing w:before="0" w:after="0"/>
              <w:rPr>
                <w:rFonts w:ascii="Arial" w:hAnsi="Arial"/>
                <w:b/>
                <w:bCs/>
                <w:sz w:val="16"/>
                <w:szCs w:val="16"/>
                <w:lang w:val="en-AU"/>
              </w:rPr>
            </w:pPr>
            <w:r w:rsidRPr="00AB31FA">
              <w:rPr>
                <w:rFonts w:ascii="Arial" w:hAnsi="Arial"/>
                <w:b/>
                <w:bCs/>
                <w:sz w:val="16"/>
                <w:szCs w:val="16"/>
                <w:lang w:val="en-AU"/>
              </w:rPr>
              <w:t>Sub-total Service Category 3 and 5</w:t>
            </w:r>
          </w:p>
        </w:tc>
        <w:tc>
          <w:tcPr>
            <w:tcW w:w="1002" w:type="dxa"/>
            <w:tcBorders>
              <w:bottom w:val="single" w:sz="4" w:space="0" w:color="auto"/>
            </w:tcBorders>
            <w:shd w:val="clear" w:color="auto" w:fill="E6E6E6"/>
            <w:vAlign w:val="center"/>
          </w:tcPr>
          <w:p w14:paraId="1D9080FC" w14:textId="77777777" w:rsidR="00AB31FA" w:rsidRPr="00A074C4" w:rsidRDefault="00AB31FA" w:rsidP="00AB31FA">
            <w:pPr>
              <w:pStyle w:val="paragraph"/>
              <w:spacing w:before="0" w:beforeAutospacing="0" w:after="0" w:afterAutospacing="0"/>
              <w:jc w:val="right"/>
              <w:textAlignment w:val="baseline"/>
              <w:rPr>
                <w:rFonts w:ascii="Segoe UI" w:hAnsi="Segoe UI" w:cs="Segoe UI"/>
                <w:sz w:val="18"/>
                <w:szCs w:val="18"/>
              </w:rPr>
            </w:pPr>
            <w:r w:rsidRPr="00A074C4">
              <w:rPr>
                <w:rStyle w:val="normaltextrun"/>
                <w:rFonts w:ascii="Arial" w:hAnsi="Arial" w:cs="Arial"/>
                <w:b/>
                <w:bCs/>
                <w:sz w:val="16"/>
                <w:szCs w:val="16"/>
              </w:rPr>
              <w:t>1,126,000</w:t>
            </w:r>
          </w:p>
          <w:p w14:paraId="4BB11631" w14:textId="60B358AB" w:rsidR="00AB31FA" w:rsidRPr="00A074C4" w:rsidRDefault="007C110B" w:rsidP="006C06EE">
            <w:pPr>
              <w:spacing w:before="0" w:after="0"/>
              <w:jc w:val="right"/>
              <w:rPr>
                <w:rFonts w:ascii="Arial" w:hAnsi="Arial"/>
                <w:b/>
                <w:bCs/>
                <w:sz w:val="16"/>
                <w:szCs w:val="16"/>
                <w:lang w:val="en-AU"/>
              </w:rPr>
            </w:pPr>
            <w:r>
              <w:rPr>
                <w:rStyle w:val="normaltextrun"/>
                <w:rFonts w:ascii="Arial" w:hAnsi="Arial"/>
                <w:b/>
                <w:bCs/>
                <w:sz w:val="16"/>
                <w:szCs w:val="16"/>
              </w:rPr>
              <w:t>(</w:t>
            </w:r>
            <w:r w:rsidR="00AB31FA" w:rsidRPr="00A074C4">
              <w:rPr>
                <w:rStyle w:val="normaltextrun"/>
                <w:rFonts w:ascii="Arial" w:hAnsi="Arial"/>
                <w:b/>
                <w:bCs/>
                <w:sz w:val="16"/>
                <w:szCs w:val="16"/>
              </w:rPr>
              <w:t>21,500</w:t>
            </w:r>
            <w:r>
              <w:rPr>
                <w:rStyle w:val="normaltextrun"/>
                <w:rFonts w:ascii="Arial" w:hAnsi="Arial"/>
                <w:b/>
                <w:bCs/>
                <w:sz w:val="16"/>
                <w:szCs w:val="16"/>
              </w:rPr>
              <w:t>)</w:t>
            </w:r>
          </w:p>
        </w:tc>
        <w:tc>
          <w:tcPr>
            <w:tcW w:w="949" w:type="dxa"/>
            <w:tcBorders>
              <w:left w:val="nil"/>
              <w:bottom w:val="single" w:sz="4" w:space="0" w:color="auto"/>
              <w:right w:val="nil"/>
            </w:tcBorders>
            <w:shd w:val="clear" w:color="auto" w:fill="E6E6E6"/>
            <w:vAlign w:val="center"/>
          </w:tcPr>
          <w:p w14:paraId="63AD3D0D" w14:textId="77777777" w:rsidR="00AB31FA" w:rsidRPr="00A074C4" w:rsidRDefault="00AB31FA" w:rsidP="00AB31FA">
            <w:pPr>
              <w:pStyle w:val="paragraph"/>
              <w:spacing w:before="0" w:beforeAutospacing="0" w:after="0" w:afterAutospacing="0"/>
              <w:jc w:val="right"/>
              <w:textAlignment w:val="baseline"/>
              <w:rPr>
                <w:rFonts w:ascii="Segoe UI" w:hAnsi="Segoe UI" w:cs="Segoe UI"/>
                <w:sz w:val="18"/>
                <w:szCs w:val="18"/>
              </w:rPr>
            </w:pPr>
            <w:r w:rsidRPr="00A074C4">
              <w:rPr>
                <w:rStyle w:val="normaltextrun"/>
                <w:rFonts w:ascii="Arial" w:hAnsi="Arial" w:cs="Arial"/>
                <w:b/>
                <w:bCs/>
                <w:sz w:val="16"/>
                <w:szCs w:val="16"/>
              </w:rPr>
              <w:t>1,134,500</w:t>
            </w:r>
          </w:p>
          <w:p w14:paraId="080C011B" w14:textId="03D6166E" w:rsidR="00AB31FA" w:rsidRPr="00A074C4" w:rsidRDefault="007C110B" w:rsidP="006C06EE">
            <w:pPr>
              <w:spacing w:before="0" w:after="0"/>
              <w:jc w:val="right"/>
              <w:rPr>
                <w:rFonts w:ascii="Arial" w:hAnsi="Arial"/>
                <w:b/>
                <w:bCs/>
                <w:sz w:val="16"/>
                <w:szCs w:val="16"/>
                <w:lang w:val="en-AU"/>
              </w:rPr>
            </w:pPr>
            <w:r>
              <w:rPr>
                <w:rStyle w:val="normaltextrun"/>
                <w:rFonts w:ascii="Arial" w:hAnsi="Arial"/>
                <w:b/>
                <w:bCs/>
                <w:sz w:val="16"/>
                <w:szCs w:val="16"/>
              </w:rPr>
              <w:t>(</w:t>
            </w:r>
            <w:r w:rsidR="00AB31FA" w:rsidRPr="00A074C4">
              <w:rPr>
                <w:rStyle w:val="normaltextrun"/>
                <w:rFonts w:ascii="Arial" w:hAnsi="Arial"/>
                <w:b/>
                <w:bCs/>
                <w:sz w:val="16"/>
                <w:szCs w:val="16"/>
              </w:rPr>
              <w:t>21,650</w:t>
            </w:r>
            <w:r>
              <w:rPr>
                <w:rStyle w:val="normaltextrun"/>
                <w:rFonts w:ascii="Arial" w:hAnsi="Arial"/>
                <w:b/>
                <w:bCs/>
                <w:sz w:val="16"/>
                <w:szCs w:val="16"/>
              </w:rPr>
              <w:t>)</w:t>
            </w:r>
          </w:p>
        </w:tc>
        <w:tc>
          <w:tcPr>
            <w:tcW w:w="1032" w:type="dxa"/>
            <w:tcBorders>
              <w:left w:val="nil"/>
              <w:bottom w:val="single" w:sz="4" w:space="0" w:color="auto"/>
              <w:right w:val="nil"/>
            </w:tcBorders>
            <w:shd w:val="clear" w:color="auto" w:fill="E6E6E6"/>
            <w:vAlign w:val="center"/>
          </w:tcPr>
          <w:p w14:paraId="4F931311" w14:textId="77777777" w:rsidR="00AB31FA" w:rsidRPr="00A074C4" w:rsidRDefault="00AB31FA" w:rsidP="00AB31FA">
            <w:pPr>
              <w:pStyle w:val="paragraph"/>
              <w:spacing w:before="0" w:beforeAutospacing="0" w:after="0" w:afterAutospacing="0"/>
              <w:jc w:val="right"/>
              <w:textAlignment w:val="baseline"/>
              <w:rPr>
                <w:rFonts w:ascii="Segoe UI" w:hAnsi="Segoe UI" w:cs="Segoe UI"/>
                <w:sz w:val="18"/>
                <w:szCs w:val="18"/>
              </w:rPr>
            </w:pPr>
            <w:r w:rsidRPr="00A074C4">
              <w:rPr>
                <w:rStyle w:val="normaltextrun"/>
                <w:rFonts w:ascii="Arial" w:hAnsi="Arial" w:cs="Arial"/>
                <w:b/>
                <w:bCs/>
                <w:sz w:val="16"/>
                <w:szCs w:val="16"/>
              </w:rPr>
              <w:t>1,143,000</w:t>
            </w:r>
          </w:p>
          <w:p w14:paraId="584F5E19" w14:textId="2DBC3BED" w:rsidR="00AB31FA" w:rsidRPr="00A074C4" w:rsidRDefault="007C110B" w:rsidP="006C06EE">
            <w:pPr>
              <w:spacing w:before="0" w:after="0"/>
              <w:jc w:val="right"/>
              <w:rPr>
                <w:rFonts w:ascii="Arial" w:hAnsi="Arial"/>
                <w:b/>
                <w:bCs/>
                <w:sz w:val="16"/>
                <w:szCs w:val="16"/>
                <w:lang w:val="en-AU"/>
              </w:rPr>
            </w:pPr>
            <w:r>
              <w:rPr>
                <w:rStyle w:val="normaltextrun"/>
                <w:rFonts w:ascii="Arial" w:hAnsi="Arial"/>
                <w:b/>
                <w:bCs/>
                <w:sz w:val="16"/>
                <w:szCs w:val="16"/>
              </w:rPr>
              <w:t>(</w:t>
            </w:r>
            <w:r w:rsidR="00AB31FA" w:rsidRPr="00A074C4">
              <w:rPr>
                <w:rStyle w:val="normaltextrun"/>
                <w:rFonts w:ascii="Arial" w:hAnsi="Arial"/>
                <w:b/>
                <w:bCs/>
                <w:sz w:val="16"/>
                <w:szCs w:val="16"/>
              </w:rPr>
              <w:t>21,800</w:t>
            </w:r>
            <w:r>
              <w:rPr>
                <w:rStyle w:val="normaltextrun"/>
                <w:rFonts w:ascii="Arial" w:hAnsi="Arial"/>
                <w:b/>
                <w:bCs/>
                <w:sz w:val="16"/>
                <w:szCs w:val="16"/>
              </w:rPr>
              <w:t>)</w:t>
            </w:r>
          </w:p>
        </w:tc>
        <w:tc>
          <w:tcPr>
            <w:tcW w:w="1032" w:type="dxa"/>
            <w:tcBorders>
              <w:left w:val="nil"/>
              <w:bottom w:val="single" w:sz="4" w:space="0" w:color="auto"/>
              <w:right w:val="nil"/>
            </w:tcBorders>
            <w:shd w:val="clear" w:color="auto" w:fill="E6E6E6"/>
            <w:vAlign w:val="center"/>
          </w:tcPr>
          <w:p w14:paraId="77D9C6A3" w14:textId="77777777" w:rsidR="00AB31FA" w:rsidRPr="00A074C4" w:rsidRDefault="00AB31FA" w:rsidP="00AB31FA">
            <w:pPr>
              <w:pStyle w:val="paragraph"/>
              <w:spacing w:before="0" w:beforeAutospacing="0" w:after="0" w:afterAutospacing="0"/>
              <w:jc w:val="right"/>
              <w:textAlignment w:val="baseline"/>
              <w:rPr>
                <w:rFonts w:ascii="Segoe UI" w:hAnsi="Segoe UI" w:cs="Segoe UI"/>
                <w:sz w:val="18"/>
                <w:szCs w:val="18"/>
              </w:rPr>
            </w:pPr>
            <w:r w:rsidRPr="00A074C4">
              <w:rPr>
                <w:rStyle w:val="normaltextrun"/>
                <w:rFonts w:ascii="Arial" w:hAnsi="Arial" w:cs="Arial"/>
                <w:b/>
                <w:bCs/>
                <w:sz w:val="16"/>
                <w:szCs w:val="16"/>
              </w:rPr>
              <w:t>1,151,500</w:t>
            </w:r>
          </w:p>
          <w:p w14:paraId="78A64815" w14:textId="05511A5A" w:rsidR="00AB31FA" w:rsidRPr="00A074C4" w:rsidRDefault="007C110B" w:rsidP="006C06EE">
            <w:pPr>
              <w:spacing w:before="0" w:after="0"/>
              <w:jc w:val="right"/>
              <w:rPr>
                <w:rFonts w:ascii="Arial" w:hAnsi="Arial"/>
                <w:b/>
                <w:bCs/>
                <w:sz w:val="16"/>
                <w:szCs w:val="16"/>
                <w:lang w:val="en-AU"/>
              </w:rPr>
            </w:pPr>
            <w:r>
              <w:rPr>
                <w:rStyle w:val="normaltextrun"/>
                <w:rFonts w:ascii="Arial" w:hAnsi="Arial"/>
                <w:b/>
                <w:bCs/>
                <w:sz w:val="16"/>
                <w:szCs w:val="16"/>
              </w:rPr>
              <w:t>(</w:t>
            </w:r>
            <w:r w:rsidR="00AB31FA" w:rsidRPr="00A074C4">
              <w:rPr>
                <w:rStyle w:val="normaltextrun"/>
                <w:rFonts w:ascii="Arial" w:hAnsi="Arial"/>
                <w:b/>
                <w:bCs/>
                <w:sz w:val="16"/>
                <w:szCs w:val="16"/>
              </w:rPr>
              <w:t>21,950</w:t>
            </w:r>
            <w:r>
              <w:rPr>
                <w:rStyle w:val="normaltextrun"/>
                <w:rFonts w:ascii="Arial" w:hAnsi="Arial"/>
                <w:b/>
                <w:bCs/>
                <w:sz w:val="16"/>
                <w:szCs w:val="16"/>
              </w:rPr>
              <w:t>)</w:t>
            </w:r>
          </w:p>
        </w:tc>
        <w:tc>
          <w:tcPr>
            <w:tcW w:w="1035" w:type="dxa"/>
            <w:tcBorders>
              <w:left w:val="nil"/>
              <w:bottom w:val="single" w:sz="4" w:space="0" w:color="auto"/>
              <w:right w:val="nil"/>
            </w:tcBorders>
            <w:shd w:val="clear" w:color="auto" w:fill="E6E6E6"/>
            <w:vAlign w:val="center"/>
          </w:tcPr>
          <w:p w14:paraId="1E284AFD" w14:textId="77777777" w:rsidR="00AB31FA" w:rsidRPr="00A074C4" w:rsidRDefault="00AB31FA" w:rsidP="00AB31FA">
            <w:pPr>
              <w:spacing w:before="0" w:after="0"/>
              <w:jc w:val="right"/>
              <w:rPr>
                <w:rFonts w:ascii="Arial" w:hAnsi="Arial"/>
                <w:b/>
                <w:bCs/>
                <w:sz w:val="16"/>
                <w:szCs w:val="16"/>
                <w:lang w:val="en-AU"/>
              </w:rPr>
            </w:pPr>
            <w:r w:rsidRPr="00A074C4">
              <w:rPr>
                <w:rFonts w:ascii="Arial" w:hAnsi="Arial"/>
                <w:b/>
                <w:bCs/>
                <w:sz w:val="16"/>
                <w:szCs w:val="16"/>
                <w:lang w:val="en-AU"/>
              </w:rPr>
              <w:t>1,160,000</w:t>
            </w:r>
          </w:p>
          <w:p w14:paraId="0AD17B0B" w14:textId="5667A49A" w:rsidR="00AB31FA" w:rsidRPr="00A074C4" w:rsidRDefault="007C110B" w:rsidP="006C06EE">
            <w:pPr>
              <w:spacing w:before="0" w:after="0"/>
              <w:jc w:val="right"/>
              <w:rPr>
                <w:rFonts w:ascii="Arial" w:hAnsi="Arial"/>
                <w:b/>
                <w:bCs/>
                <w:sz w:val="16"/>
                <w:szCs w:val="16"/>
                <w:lang w:val="en-AU"/>
              </w:rPr>
            </w:pPr>
            <w:r>
              <w:rPr>
                <w:rFonts w:ascii="Arial" w:hAnsi="Arial"/>
                <w:b/>
                <w:bCs/>
                <w:sz w:val="16"/>
                <w:szCs w:val="16"/>
                <w:lang w:val="en-AU"/>
              </w:rPr>
              <w:t>(</w:t>
            </w:r>
            <w:r w:rsidR="00AB31FA" w:rsidRPr="00A074C4">
              <w:rPr>
                <w:rFonts w:ascii="Arial" w:hAnsi="Arial"/>
                <w:b/>
                <w:bCs/>
                <w:sz w:val="16"/>
                <w:szCs w:val="16"/>
                <w:lang w:val="en-AU"/>
              </w:rPr>
              <w:t>22,100</w:t>
            </w:r>
            <w:r>
              <w:rPr>
                <w:rFonts w:ascii="Arial" w:hAnsi="Arial"/>
                <w:b/>
                <w:bCs/>
                <w:sz w:val="16"/>
                <w:szCs w:val="16"/>
                <w:lang w:val="en-AU"/>
              </w:rPr>
              <w:t>)</w:t>
            </w:r>
          </w:p>
        </w:tc>
      </w:tr>
      <w:tr w:rsidR="00231C6C" w:rsidRPr="00AB31FA" w14:paraId="598D8254" w14:textId="77777777" w:rsidTr="00AB31FA">
        <w:trPr>
          <w:trHeight w:val="270"/>
        </w:trPr>
        <w:tc>
          <w:tcPr>
            <w:tcW w:w="414" w:type="dxa"/>
            <w:tcBorders>
              <w:top w:val="nil"/>
              <w:left w:val="nil"/>
              <w:bottom w:val="single" w:sz="8" w:space="0" w:color="FFFFFF"/>
              <w:right w:val="single" w:sz="4" w:space="0" w:color="auto"/>
            </w:tcBorders>
            <w:vAlign w:val="center"/>
            <w:hideMark/>
          </w:tcPr>
          <w:p w14:paraId="7D46AAF1" w14:textId="77777777" w:rsidR="00231C6C" w:rsidRPr="00AB31FA" w:rsidRDefault="00231C6C" w:rsidP="00231C6C">
            <w:pPr>
              <w:spacing w:before="0" w:after="0"/>
              <w:jc w:val="center"/>
              <w:rPr>
                <w:rFonts w:ascii="Arial" w:hAnsi="Arial"/>
                <w:sz w:val="16"/>
                <w:szCs w:val="16"/>
                <w:lang w:val="en-AU"/>
              </w:rPr>
            </w:pPr>
          </w:p>
        </w:tc>
        <w:tc>
          <w:tcPr>
            <w:tcW w:w="2894" w:type="dxa"/>
            <w:vAlign w:val="center"/>
            <w:hideMark/>
          </w:tcPr>
          <w:p w14:paraId="1B18E4C7" w14:textId="7A6C1C9C" w:rsidR="00231C6C" w:rsidRPr="00AB31FA" w:rsidRDefault="00231C6C" w:rsidP="002821C6">
            <w:pPr>
              <w:spacing w:before="0" w:after="0"/>
              <w:rPr>
                <w:rFonts w:ascii="Arial" w:hAnsi="Arial"/>
                <w:b/>
                <w:bCs/>
                <w:sz w:val="16"/>
                <w:szCs w:val="16"/>
                <w:lang w:val="en-AU"/>
              </w:rPr>
            </w:pPr>
            <w:r w:rsidRPr="00AB31FA">
              <w:rPr>
                <w:rFonts w:ascii="Arial" w:hAnsi="Arial"/>
                <w:b/>
                <w:bCs/>
                <w:sz w:val="16"/>
                <w:szCs w:val="16"/>
                <w:lang w:val="en-AU"/>
              </w:rPr>
              <w:t xml:space="preserve">Service Category 4 </w:t>
            </w:r>
            <w:r w:rsidRPr="00AB31FA">
              <w:rPr>
                <w:rFonts w:ascii="Arial" w:hAnsi="Arial"/>
                <w:b/>
                <w:bCs/>
                <w:sz w:val="16"/>
                <w:szCs w:val="16"/>
                <w:vertAlign w:val="superscript"/>
                <w:lang w:val="en-AU"/>
              </w:rPr>
              <w:t>[</w:t>
            </w:r>
            <w:r w:rsidR="002821C6">
              <w:rPr>
                <w:rFonts w:ascii="Arial" w:hAnsi="Arial"/>
                <w:b/>
                <w:bCs/>
                <w:sz w:val="16"/>
                <w:szCs w:val="16"/>
                <w:vertAlign w:val="superscript"/>
                <w:lang w:val="en-AU"/>
              </w:rPr>
              <w:t>c</w:t>
            </w:r>
            <w:r w:rsidRPr="00AB31FA">
              <w:rPr>
                <w:rFonts w:ascii="Arial" w:hAnsi="Arial"/>
                <w:b/>
                <w:bCs/>
                <w:sz w:val="16"/>
                <w:szCs w:val="16"/>
                <w:vertAlign w:val="superscript"/>
                <w:lang w:val="en-AU"/>
              </w:rPr>
              <w:t>]</w:t>
            </w:r>
          </w:p>
        </w:tc>
        <w:tc>
          <w:tcPr>
            <w:tcW w:w="1002" w:type="dxa"/>
            <w:tcBorders>
              <w:top w:val="nil"/>
              <w:bottom w:val="nil"/>
            </w:tcBorders>
            <w:shd w:val="clear" w:color="auto" w:fill="auto"/>
            <w:vAlign w:val="center"/>
          </w:tcPr>
          <w:p w14:paraId="250D5846" w14:textId="77777777" w:rsidR="00231C6C" w:rsidRPr="00AB31FA" w:rsidRDefault="00231C6C" w:rsidP="00231C6C">
            <w:pPr>
              <w:spacing w:before="0" w:after="0"/>
              <w:rPr>
                <w:rFonts w:ascii="Arial" w:hAnsi="Arial"/>
                <w:sz w:val="16"/>
                <w:szCs w:val="16"/>
                <w:lang w:val="en-AU"/>
              </w:rPr>
            </w:pPr>
          </w:p>
        </w:tc>
        <w:tc>
          <w:tcPr>
            <w:tcW w:w="949" w:type="dxa"/>
            <w:tcBorders>
              <w:left w:val="nil"/>
            </w:tcBorders>
            <w:shd w:val="clear" w:color="auto" w:fill="E6E6E6"/>
            <w:vAlign w:val="center"/>
          </w:tcPr>
          <w:p w14:paraId="0C002ED4" w14:textId="77777777" w:rsidR="00231C6C" w:rsidRPr="00AB31FA" w:rsidRDefault="00231C6C" w:rsidP="00231C6C">
            <w:pPr>
              <w:spacing w:before="0" w:after="0"/>
              <w:jc w:val="right"/>
              <w:rPr>
                <w:rFonts w:ascii="Arial" w:hAnsi="Arial"/>
                <w:sz w:val="16"/>
                <w:szCs w:val="16"/>
                <w:lang w:val="en-AU"/>
              </w:rPr>
            </w:pPr>
          </w:p>
        </w:tc>
        <w:tc>
          <w:tcPr>
            <w:tcW w:w="1032" w:type="dxa"/>
            <w:vAlign w:val="center"/>
          </w:tcPr>
          <w:p w14:paraId="7E1133BC" w14:textId="77777777" w:rsidR="00231C6C" w:rsidRPr="00AB31FA" w:rsidRDefault="00231C6C" w:rsidP="00231C6C">
            <w:pPr>
              <w:spacing w:before="0" w:after="0"/>
              <w:rPr>
                <w:rFonts w:ascii="Arial" w:hAnsi="Arial"/>
                <w:sz w:val="16"/>
                <w:szCs w:val="16"/>
                <w:lang w:val="en-AU"/>
              </w:rPr>
            </w:pPr>
          </w:p>
        </w:tc>
        <w:tc>
          <w:tcPr>
            <w:tcW w:w="1032" w:type="dxa"/>
            <w:vAlign w:val="center"/>
          </w:tcPr>
          <w:p w14:paraId="74FAA064" w14:textId="77777777" w:rsidR="00231C6C" w:rsidRPr="00AB31FA" w:rsidRDefault="00231C6C" w:rsidP="00231C6C">
            <w:pPr>
              <w:spacing w:before="0" w:after="0"/>
              <w:rPr>
                <w:rFonts w:ascii="Arial" w:hAnsi="Arial"/>
                <w:sz w:val="16"/>
                <w:szCs w:val="16"/>
                <w:lang w:val="en-AU"/>
              </w:rPr>
            </w:pPr>
          </w:p>
        </w:tc>
        <w:tc>
          <w:tcPr>
            <w:tcW w:w="1035" w:type="dxa"/>
            <w:shd w:val="clear" w:color="auto" w:fill="auto"/>
            <w:vAlign w:val="center"/>
          </w:tcPr>
          <w:p w14:paraId="4DE80826" w14:textId="77777777" w:rsidR="00231C6C" w:rsidRPr="00AB31FA" w:rsidRDefault="00231C6C" w:rsidP="00231C6C">
            <w:pPr>
              <w:spacing w:before="0" w:after="0"/>
              <w:rPr>
                <w:rFonts w:ascii="Arial" w:hAnsi="Arial"/>
                <w:sz w:val="16"/>
                <w:szCs w:val="16"/>
                <w:lang w:val="en-AU"/>
              </w:rPr>
            </w:pPr>
          </w:p>
        </w:tc>
      </w:tr>
      <w:tr w:rsidR="00231C6C" w:rsidRPr="00AB31FA" w14:paraId="127F9783" w14:textId="77777777" w:rsidTr="00AB31FA">
        <w:trPr>
          <w:trHeight w:val="480"/>
        </w:trPr>
        <w:tc>
          <w:tcPr>
            <w:tcW w:w="414" w:type="dxa"/>
            <w:tcBorders>
              <w:top w:val="nil"/>
              <w:left w:val="nil"/>
              <w:right w:val="single" w:sz="4" w:space="0" w:color="auto"/>
            </w:tcBorders>
            <w:vAlign w:val="center"/>
            <w:hideMark/>
          </w:tcPr>
          <w:p w14:paraId="24CDB944" w14:textId="77777777" w:rsidR="00231C6C" w:rsidRPr="00AB31FA" w:rsidRDefault="00231C6C" w:rsidP="00231C6C">
            <w:pPr>
              <w:spacing w:before="0" w:after="0"/>
              <w:jc w:val="center"/>
              <w:rPr>
                <w:rFonts w:ascii="Arial" w:hAnsi="Arial"/>
                <w:sz w:val="16"/>
                <w:szCs w:val="16"/>
                <w:lang w:val="en-AU"/>
              </w:rPr>
            </w:pPr>
          </w:p>
        </w:tc>
        <w:tc>
          <w:tcPr>
            <w:tcW w:w="2894" w:type="dxa"/>
            <w:vAlign w:val="center"/>
            <w:hideMark/>
          </w:tcPr>
          <w:p w14:paraId="03493D00" w14:textId="77777777" w:rsidR="00231C6C" w:rsidRPr="00AB31FA" w:rsidRDefault="00231C6C" w:rsidP="004230CD">
            <w:pPr>
              <w:spacing w:before="0" w:after="0"/>
              <w:rPr>
                <w:rFonts w:ascii="Arial" w:hAnsi="Arial"/>
                <w:sz w:val="16"/>
                <w:szCs w:val="16"/>
                <w:lang w:val="en-AU"/>
              </w:rPr>
            </w:pPr>
            <w:r w:rsidRPr="00AB31FA">
              <w:rPr>
                <w:rFonts w:ascii="Arial" w:hAnsi="Arial"/>
                <w:sz w:val="16"/>
                <w:szCs w:val="16"/>
                <w:lang w:val="en-AU"/>
              </w:rPr>
              <w:t>Air Force</w:t>
            </w:r>
          </w:p>
        </w:tc>
        <w:tc>
          <w:tcPr>
            <w:tcW w:w="1002" w:type="dxa"/>
            <w:tcBorders>
              <w:top w:val="nil"/>
            </w:tcBorders>
            <w:shd w:val="clear" w:color="auto" w:fill="auto"/>
            <w:vAlign w:val="center"/>
          </w:tcPr>
          <w:p w14:paraId="2BB5CD91" w14:textId="77777777" w:rsidR="00231C6C" w:rsidRPr="00AB31FA" w:rsidRDefault="00231C6C" w:rsidP="002B2BCC">
            <w:pPr>
              <w:spacing w:before="0" w:after="0"/>
              <w:jc w:val="right"/>
              <w:rPr>
                <w:rFonts w:ascii="Arial" w:hAnsi="Arial"/>
                <w:sz w:val="16"/>
                <w:szCs w:val="16"/>
                <w:lang w:val="en-AU"/>
              </w:rPr>
            </w:pPr>
            <w:r w:rsidRPr="00AB31FA">
              <w:rPr>
                <w:rFonts w:ascii="Arial" w:hAnsi="Arial"/>
                <w:sz w:val="16"/>
                <w:szCs w:val="16"/>
                <w:lang w:val="en-AU"/>
              </w:rPr>
              <w:t>950</w:t>
            </w:r>
          </w:p>
          <w:p w14:paraId="789BFFBA" w14:textId="0B2C1EC7" w:rsidR="00231C6C" w:rsidRPr="00AB31FA" w:rsidRDefault="007C110B" w:rsidP="006C06EE">
            <w:pPr>
              <w:spacing w:before="0" w:after="0"/>
              <w:jc w:val="right"/>
              <w:rPr>
                <w:rFonts w:ascii="Arial" w:hAnsi="Arial"/>
                <w:sz w:val="16"/>
                <w:szCs w:val="16"/>
                <w:lang w:val="en-AU"/>
              </w:rPr>
            </w:pPr>
            <w:r>
              <w:rPr>
                <w:rFonts w:ascii="Arial" w:hAnsi="Arial"/>
                <w:sz w:val="16"/>
                <w:szCs w:val="16"/>
                <w:lang w:val="en-AU"/>
              </w:rPr>
              <w:t>(</w:t>
            </w:r>
            <w:r w:rsidR="00231C6C" w:rsidRPr="00AB31FA">
              <w:rPr>
                <w:rFonts w:ascii="Arial" w:hAnsi="Arial"/>
                <w:sz w:val="16"/>
                <w:szCs w:val="16"/>
                <w:lang w:val="en-AU"/>
              </w:rPr>
              <w:t>40</w:t>
            </w:r>
            <w:r>
              <w:rPr>
                <w:rFonts w:ascii="Arial" w:hAnsi="Arial"/>
                <w:sz w:val="16"/>
                <w:szCs w:val="16"/>
                <w:lang w:val="en-AU"/>
              </w:rPr>
              <w:t>)</w:t>
            </w:r>
          </w:p>
        </w:tc>
        <w:tc>
          <w:tcPr>
            <w:tcW w:w="949" w:type="dxa"/>
            <w:tcBorders>
              <w:left w:val="nil"/>
            </w:tcBorders>
            <w:shd w:val="clear" w:color="auto" w:fill="E6E6E6"/>
            <w:vAlign w:val="center"/>
          </w:tcPr>
          <w:p w14:paraId="13AE816D" w14:textId="77777777" w:rsidR="00231C6C" w:rsidRPr="00AB31FA" w:rsidRDefault="00231C6C" w:rsidP="00231C6C">
            <w:pPr>
              <w:spacing w:before="0" w:after="0"/>
              <w:jc w:val="right"/>
              <w:rPr>
                <w:rFonts w:ascii="Arial" w:hAnsi="Arial"/>
                <w:sz w:val="16"/>
                <w:szCs w:val="16"/>
                <w:lang w:val="en-AU"/>
              </w:rPr>
            </w:pPr>
            <w:r w:rsidRPr="00AB31FA">
              <w:rPr>
                <w:rFonts w:ascii="Arial" w:hAnsi="Arial"/>
                <w:sz w:val="16"/>
                <w:szCs w:val="16"/>
                <w:lang w:val="en-AU"/>
              </w:rPr>
              <w:t>950</w:t>
            </w:r>
          </w:p>
          <w:p w14:paraId="28A7FA02" w14:textId="77E243BC" w:rsidR="00231C6C" w:rsidRPr="00AB31FA" w:rsidRDefault="007C110B" w:rsidP="006C06EE">
            <w:pPr>
              <w:spacing w:before="0" w:after="0"/>
              <w:jc w:val="right"/>
              <w:rPr>
                <w:rFonts w:ascii="Arial" w:hAnsi="Arial"/>
                <w:sz w:val="16"/>
                <w:szCs w:val="16"/>
                <w:lang w:val="en-AU"/>
              </w:rPr>
            </w:pPr>
            <w:r>
              <w:rPr>
                <w:rFonts w:ascii="Arial" w:hAnsi="Arial"/>
                <w:sz w:val="16"/>
                <w:szCs w:val="16"/>
                <w:lang w:val="en-AU"/>
              </w:rPr>
              <w:t>(</w:t>
            </w:r>
            <w:r w:rsidR="00231C6C" w:rsidRPr="00AB31FA">
              <w:rPr>
                <w:rFonts w:ascii="Arial" w:hAnsi="Arial"/>
                <w:sz w:val="16"/>
                <w:szCs w:val="16"/>
                <w:lang w:val="en-AU"/>
              </w:rPr>
              <w:t>40</w:t>
            </w:r>
            <w:r>
              <w:rPr>
                <w:rFonts w:ascii="Arial" w:hAnsi="Arial"/>
                <w:sz w:val="16"/>
                <w:szCs w:val="16"/>
                <w:lang w:val="en-AU"/>
              </w:rPr>
              <w:t>)</w:t>
            </w:r>
          </w:p>
        </w:tc>
        <w:tc>
          <w:tcPr>
            <w:tcW w:w="1032" w:type="dxa"/>
            <w:vAlign w:val="center"/>
          </w:tcPr>
          <w:p w14:paraId="4F2ED62C" w14:textId="77777777" w:rsidR="00231C6C" w:rsidRPr="00AB31FA" w:rsidRDefault="00231C6C" w:rsidP="00231C6C">
            <w:pPr>
              <w:spacing w:before="0" w:after="0"/>
              <w:jc w:val="right"/>
              <w:rPr>
                <w:rFonts w:ascii="Arial" w:hAnsi="Arial"/>
                <w:sz w:val="16"/>
                <w:szCs w:val="16"/>
                <w:lang w:val="en-AU"/>
              </w:rPr>
            </w:pPr>
            <w:r w:rsidRPr="00AB31FA">
              <w:rPr>
                <w:rFonts w:ascii="Arial" w:hAnsi="Arial"/>
                <w:sz w:val="16"/>
                <w:szCs w:val="16"/>
                <w:lang w:val="en-AU"/>
              </w:rPr>
              <w:t>950</w:t>
            </w:r>
          </w:p>
          <w:p w14:paraId="52DB3FB5" w14:textId="222D1230" w:rsidR="00231C6C" w:rsidRPr="00AB31FA" w:rsidRDefault="007C110B" w:rsidP="006C06EE">
            <w:pPr>
              <w:spacing w:before="0" w:after="0"/>
              <w:jc w:val="right"/>
              <w:rPr>
                <w:rFonts w:ascii="Arial" w:hAnsi="Arial"/>
                <w:sz w:val="16"/>
                <w:szCs w:val="16"/>
                <w:lang w:val="en-AU"/>
              </w:rPr>
            </w:pPr>
            <w:r>
              <w:rPr>
                <w:rFonts w:ascii="Arial" w:hAnsi="Arial"/>
                <w:sz w:val="16"/>
                <w:szCs w:val="16"/>
                <w:lang w:val="en-AU"/>
              </w:rPr>
              <w:t>(</w:t>
            </w:r>
            <w:r w:rsidR="00231C6C" w:rsidRPr="00AB31FA">
              <w:rPr>
                <w:rFonts w:ascii="Arial" w:hAnsi="Arial"/>
                <w:sz w:val="16"/>
                <w:szCs w:val="16"/>
                <w:lang w:val="en-AU"/>
              </w:rPr>
              <w:t>40</w:t>
            </w:r>
            <w:r>
              <w:rPr>
                <w:rFonts w:ascii="Arial" w:hAnsi="Arial"/>
                <w:sz w:val="16"/>
                <w:szCs w:val="16"/>
                <w:lang w:val="en-AU"/>
              </w:rPr>
              <w:t>)</w:t>
            </w:r>
          </w:p>
        </w:tc>
        <w:tc>
          <w:tcPr>
            <w:tcW w:w="1032" w:type="dxa"/>
            <w:vAlign w:val="center"/>
          </w:tcPr>
          <w:p w14:paraId="4027E7E8" w14:textId="77777777" w:rsidR="00231C6C" w:rsidRPr="00AB31FA" w:rsidRDefault="00231C6C" w:rsidP="00231C6C">
            <w:pPr>
              <w:spacing w:before="0" w:after="0"/>
              <w:jc w:val="right"/>
              <w:rPr>
                <w:rFonts w:ascii="Arial" w:hAnsi="Arial"/>
                <w:sz w:val="16"/>
                <w:szCs w:val="16"/>
                <w:lang w:val="en-AU"/>
              </w:rPr>
            </w:pPr>
            <w:r w:rsidRPr="00AB31FA">
              <w:rPr>
                <w:rFonts w:ascii="Arial" w:hAnsi="Arial"/>
                <w:sz w:val="16"/>
                <w:szCs w:val="16"/>
                <w:lang w:val="en-AU"/>
              </w:rPr>
              <w:t>950</w:t>
            </w:r>
          </w:p>
          <w:p w14:paraId="55F8915D" w14:textId="6F475F06" w:rsidR="00231C6C" w:rsidRPr="00AB31FA" w:rsidRDefault="007C110B" w:rsidP="006C06EE">
            <w:pPr>
              <w:spacing w:before="0" w:after="0"/>
              <w:jc w:val="right"/>
              <w:rPr>
                <w:rFonts w:ascii="Arial" w:hAnsi="Arial"/>
                <w:sz w:val="16"/>
                <w:szCs w:val="16"/>
                <w:lang w:val="en-AU"/>
              </w:rPr>
            </w:pPr>
            <w:r>
              <w:rPr>
                <w:rFonts w:ascii="Arial" w:hAnsi="Arial"/>
                <w:sz w:val="16"/>
                <w:szCs w:val="16"/>
                <w:lang w:val="en-AU"/>
              </w:rPr>
              <w:t>(</w:t>
            </w:r>
            <w:r w:rsidR="00231C6C" w:rsidRPr="00AB31FA">
              <w:rPr>
                <w:rFonts w:ascii="Arial" w:hAnsi="Arial"/>
                <w:sz w:val="16"/>
                <w:szCs w:val="16"/>
                <w:lang w:val="en-AU"/>
              </w:rPr>
              <w:t>40</w:t>
            </w:r>
            <w:r>
              <w:rPr>
                <w:rFonts w:ascii="Arial" w:hAnsi="Arial"/>
                <w:sz w:val="16"/>
                <w:szCs w:val="16"/>
                <w:lang w:val="en-AU"/>
              </w:rPr>
              <w:t>)</w:t>
            </w:r>
          </w:p>
        </w:tc>
        <w:tc>
          <w:tcPr>
            <w:tcW w:w="1035" w:type="dxa"/>
            <w:shd w:val="clear" w:color="auto" w:fill="auto"/>
            <w:vAlign w:val="center"/>
          </w:tcPr>
          <w:p w14:paraId="3BED6DB5" w14:textId="77777777" w:rsidR="00231C6C" w:rsidRPr="00AB31FA" w:rsidRDefault="00231C6C" w:rsidP="002B2BCC">
            <w:pPr>
              <w:spacing w:before="0" w:after="0"/>
              <w:jc w:val="right"/>
              <w:rPr>
                <w:rFonts w:ascii="Arial" w:hAnsi="Arial"/>
                <w:sz w:val="16"/>
                <w:szCs w:val="16"/>
                <w:lang w:val="en-AU"/>
              </w:rPr>
            </w:pPr>
            <w:r w:rsidRPr="00AB31FA">
              <w:rPr>
                <w:rFonts w:ascii="Arial" w:hAnsi="Arial"/>
                <w:sz w:val="16"/>
                <w:szCs w:val="16"/>
                <w:lang w:val="en-AU"/>
              </w:rPr>
              <w:t>950</w:t>
            </w:r>
          </w:p>
          <w:p w14:paraId="1E969930" w14:textId="3D18342C" w:rsidR="00231C6C" w:rsidRPr="00AB31FA" w:rsidRDefault="007C110B" w:rsidP="006C06EE">
            <w:pPr>
              <w:spacing w:before="0" w:after="0"/>
              <w:jc w:val="right"/>
              <w:rPr>
                <w:rFonts w:ascii="Arial" w:hAnsi="Arial"/>
                <w:sz w:val="16"/>
                <w:szCs w:val="16"/>
                <w:lang w:val="en-AU"/>
              </w:rPr>
            </w:pPr>
            <w:r>
              <w:rPr>
                <w:rFonts w:ascii="Arial" w:hAnsi="Arial"/>
                <w:sz w:val="16"/>
                <w:szCs w:val="16"/>
                <w:lang w:val="en-AU"/>
              </w:rPr>
              <w:t>(</w:t>
            </w:r>
            <w:r w:rsidR="00231C6C" w:rsidRPr="00AB31FA">
              <w:rPr>
                <w:rFonts w:ascii="Arial" w:hAnsi="Arial"/>
                <w:sz w:val="16"/>
                <w:szCs w:val="16"/>
                <w:lang w:val="en-AU"/>
              </w:rPr>
              <w:t>40</w:t>
            </w:r>
            <w:r>
              <w:rPr>
                <w:rFonts w:ascii="Arial" w:hAnsi="Arial"/>
                <w:sz w:val="16"/>
                <w:szCs w:val="16"/>
                <w:lang w:val="en-AU"/>
              </w:rPr>
              <w:t>)</w:t>
            </w:r>
          </w:p>
        </w:tc>
      </w:tr>
      <w:tr w:rsidR="00231C6C" w:rsidRPr="00AB31FA" w14:paraId="34AE4E11" w14:textId="77777777" w:rsidTr="00AB31FA">
        <w:trPr>
          <w:trHeight w:val="480"/>
        </w:trPr>
        <w:tc>
          <w:tcPr>
            <w:tcW w:w="414" w:type="dxa"/>
            <w:tcBorders>
              <w:left w:val="nil"/>
              <w:bottom w:val="single" w:sz="4" w:space="0" w:color="auto"/>
              <w:right w:val="single" w:sz="4" w:space="0" w:color="auto"/>
            </w:tcBorders>
            <w:shd w:val="clear" w:color="auto" w:fill="E6E6E6"/>
            <w:vAlign w:val="center"/>
            <w:hideMark/>
          </w:tcPr>
          <w:p w14:paraId="43E44499" w14:textId="77777777" w:rsidR="00231C6C" w:rsidRPr="00AB31FA" w:rsidRDefault="00231C6C" w:rsidP="00231C6C">
            <w:pPr>
              <w:spacing w:before="0" w:after="0"/>
              <w:jc w:val="center"/>
              <w:rPr>
                <w:rFonts w:ascii="Arial" w:hAnsi="Arial"/>
                <w:b/>
                <w:sz w:val="16"/>
                <w:szCs w:val="16"/>
                <w:lang w:val="en-AU"/>
              </w:rPr>
            </w:pPr>
            <w:r w:rsidRPr="00AB31FA">
              <w:rPr>
                <w:rFonts w:ascii="Arial" w:hAnsi="Arial"/>
                <w:b/>
                <w:sz w:val="16"/>
                <w:szCs w:val="16"/>
                <w:lang w:val="en-AU"/>
              </w:rPr>
              <w:t>2</w:t>
            </w:r>
          </w:p>
        </w:tc>
        <w:tc>
          <w:tcPr>
            <w:tcW w:w="2894" w:type="dxa"/>
            <w:tcBorders>
              <w:left w:val="nil"/>
              <w:bottom w:val="single" w:sz="4" w:space="0" w:color="auto"/>
              <w:right w:val="nil"/>
            </w:tcBorders>
            <w:shd w:val="clear" w:color="auto" w:fill="E6E6E6"/>
            <w:vAlign w:val="center"/>
            <w:hideMark/>
          </w:tcPr>
          <w:p w14:paraId="27286A6A" w14:textId="77777777" w:rsidR="00231C6C" w:rsidRPr="00AB31FA" w:rsidRDefault="00231C6C" w:rsidP="00231C6C">
            <w:pPr>
              <w:spacing w:before="0" w:after="0"/>
              <w:rPr>
                <w:rFonts w:ascii="Arial" w:hAnsi="Arial"/>
                <w:b/>
                <w:bCs/>
                <w:sz w:val="16"/>
                <w:szCs w:val="16"/>
                <w:lang w:val="en-AU"/>
              </w:rPr>
            </w:pPr>
            <w:r w:rsidRPr="00AB31FA">
              <w:rPr>
                <w:rFonts w:ascii="Arial" w:hAnsi="Arial"/>
                <w:b/>
                <w:bCs/>
                <w:sz w:val="16"/>
                <w:szCs w:val="16"/>
                <w:lang w:val="en-AU"/>
              </w:rPr>
              <w:t>Sub-total Service Category 4</w:t>
            </w:r>
          </w:p>
        </w:tc>
        <w:tc>
          <w:tcPr>
            <w:tcW w:w="1002" w:type="dxa"/>
            <w:tcBorders>
              <w:bottom w:val="single" w:sz="4" w:space="0" w:color="auto"/>
            </w:tcBorders>
            <w:shd w:val="clear" w:color="auto" w:fill="E6E6E6"/>
            <w:vAlign w:val="center"/>
          </w:tcPr>
          <w:p w14:paraId="54872D43" w14:textId="77777777" w:rsidR="00231C6C" w:rsidRPr="00AB31FA" w:rsidRDefault="00231C6C" w:rsidP="002B2BCC">
            <w:pPr>
              <w:spacing w:before="0" w:after="0"/>
              <w:jc w:val="right"/>
              <w:rPr>
                <w:rFonts w:ascii="Arial" w:hAnsi="Arial"/>
                <w:b/>
                <w:sz w:val="16"/>
                <w:szCs w:val="16"/>
                <w:lang w:val="en-AU"/>
              </w:rPr>
            </w:pPr>
            <w:r w:rsidRPr="00AB31FA">
              <w:rPr>
                <w:rFonts w:ascii="Arial" w:hAnsi="Arial"/>
                <w:b/>
                <w:sz w:val="16"/>
                <w:szCs w:val="16"/>
                <w:lang w:val="en-AU"/>
              </w:rPr>
              <w:t>950</w:t>
            </w:r>
          </w:p>
          <w:p w14:paraId="60E04B7D" w14:textId="22D502CF" w:rsidR="00231C6C" w:rsidRPr="00AB31FA" w:rsidRDefault="007C110B" w:rsidP="006C06EE">
            <w:pPr>
              <w:spacing w:before="0" w:after="0"/>
              <w:jc w:val="right"/>
              <w:rPr>
                <w:rFonts w:ascii="Arial" w:hAnsi="Arial"/>
                <w:b/>
                <w:sz w:val="16"/>
                <w:szCs w:val="16"/>
                <w:lang w:val="en-AU"/>
              </w:rPr>
            </w:pPr>
            <w:r>
              <w:rPr>
                <w:rFonts w:ascii="Arial" w:hAnsi="Arial"/>
                <w:b/>
                <w:sz w:val="16"/>
                <w:szCs w:val="16"/>
                <w:lang w:val="en-AU"/>
              </w:rPr>
              <w:t>(</w:t>
            </w:r>
            <w:r w:rsidR="00231C6C" w:rsidRPr="00AB31FA">
              <w:rPr>
                <w:rFonts w:ascii="Arial" w:hAnsi="Arial"/>
                <w:b/>
                <w:sz w:val="16"/>
                <w:szCs w:val="16"/>
                <w:lang w:val="en-AU"/>
              </w:rPr>
              <w:t>40</w:t>
            </w:r>
            <w:r>
              <w:rPr>
                <w:rFonts w:ascii="Arial" w:hAnsi="Arial"/>
                <w:b/>
                <w:sz w:val="16"/>
                <w:szCs w:val="16"/>
                <w:lang w:val="en-AU"/>
              </w:rPr>
              <w:t>)</w:t>
            </w:r>
          </w:p>
        </w:tc>
        <w:tc>
          <w:tcPr>
            <w:tcW w:w="949" w:type="dxa"/>
            <w:tcBorders>
              <w:left w:val="nil"/>
              <w:bottom w:val="single" w:sz="4" w:space="0" w:color="auto"/>
              <w:right w:val="nil"/>
            </w:tcBorders>
            <w:shd w:val="clear" w:color="auto" w:fill="E6E6E6"/>
            <w:vAlign w:val="center"/>
          </w:tcPr>
          <w:p w14:paraId="17BCE6AF" w14:textId="77777777" w:rsidR="00231C6C" w:rsidRPr="00AB31FA" w:rsidRDefault="00231C6C" w:rsidP="00231C6C">
            <w:pPr>
              <w:spacing w:before="0" w:after="0"/>
              <w:jc w:val="right"/>
              <w:rPr>
                <w:rFonts w:ascii="Arial" w:hAnsi="Arial"/>
                <w:b/>
                <w:bCs/>
                <w:sz w:val="16"/>
                <w:szCs w:val="16"/>
                <w:lang w:val="en-AU"/>
              </w:rPr>
            </w:pPr>
            <w:r w:rsidRPr="00AB31FA">
              <w:rPr>
                <w:rFonts w:ascii="Arial" w:hAnsi="Arial"/>
                <w:b/>
                <w:bCs/>
                <w:sz w:val="16"/>
                <w:szCs w:val="16"/>
                <w:lang w:val="en-AU"/>
              </w:rPr>
              <w:t>950</w:t>
            </w:r>
          </w:p>
          <w:p w14:paraId="44EA8D1C" w14:textId="70C2EF6B" w:rsidR="00231C6C" w:rsidRPr="00AB31FA" w:rsidRDefault="007C110B" w:rsidP="006C06EE">
            <w:pPr>
              <w:spacing w:before="0" w:after="0"/>
              <w:jc w:val="right"/>
              <w:rPr>
                <w:rFonts w:ascii="Arial" w:hAnsi="Arial"/>
                <w:b/>
                <w:bCs/>
                <w:sz w:val="16"/>
                <w:szCs w:val="16"/>
                <w:lang w:val="en-AU"/>
              </w:rPr>
            </w:pPr>
            <w:r>
              <w:rPr>
                <w:rFonts w:ascii="Arial" w:hAnsi="Arial"/>
                <w:b/>
                <w:bCs/>
                <w:sz w:val="16"/>
                <w:szCs w:val="16"/>
                <w:lang w:val="en-AU"/>
              </w:rPr>
              <w:t>(</w:t>
            </w:r>
            <w:r w:rsidR="00231C6C" w:rsidRPr="00AB31FA">
              <w:rPr>
                <w:rFonts w:ascii="Arial" w:hAnsi="Arial"/>
                <w:b/>
                <w:bCs/>
                <w:sz w:val="16"/>
                <w:szCs w:val="16"/>
                <w:lang w:val="en-AU"/>
              </w:rPr>
              <w:t>40</w:t>
            </w:r>
            <w:r>
              <w:rPr>
                <w:rFonts w:ascii="Arial" w:hAnsi="Arial"/>
                <w:b/>
                <w:bCs/>
                <w:sz w:val="16"/>
                <w:szCs w:val="16"/>
                <w:lang w:val="en-AU"/>
              </w:rPr>
              <w:t>)</w:t>
            </w:r>
          </w:p>
        </w:tc>
        <w:tc>
          <w:tcPr>
            <w:tcW w:w="1032" w:type="dxa"/>
            <w:tcBorders>
              <w:left w:val="nil"/>
              <w:bottom w:val="single" w:sz="4" w:space="0" w:color="auto"/>
              <w:right w:val="nil"/>
            </w:tcBorders>
            <w:shd w:val="clear" w:color="auto" w:fill="E6E6E6"/>
            <w:vAlign w:val="center"/>
          </w:tcPr>
          <w:p w14:paraId="75343439" w14:textId="77777777" w:rsidR="00231C6C" w:rsidRPr="00AB31FA" w:rsidRDefault="00231C6C" w:rsidP="00231C6C">
            <w:pPr>
              <w:spacing w:before="0" w:after="0"/>
              <w:jc w:val="right"/>
              <w:rPr>
                <w:rFonts w:ascii="Arial" w:hAnsi="Arial"/>
                <w:b/>
                <w:bCs/>
                <w:sz w:val="16"/>
                <w:szCs w:val="16"/>
                <w:lang w:val="en-AU"/>
              </w:rPr>
            </w:pPr>
            <w:r w:rsidRPr="00AB31FA">
              <w:rPr>
                <w:rFonts w:ascii="Arial" w:hAnsi="Arial"/>
                <w:b/>
                <w:bCs/>
                <w:sz w:val="16"/>
                <w:szCs w:val="16"/>
                <w:lang w:val="en-AU"/>
              </w:rPr>
              <w:t>950</w:t>
            </w:r>
          </w:p>
          <w:p w14:paraId="6EC472BA" w14:textId="32749842" w:rsidR="00231C6C" w:rsidRPr="00AB31FA" w:rsidRDefault="007C110B" w:rsidP="006C06EE">
            <w:pPr>
              <w:spacing w:before="0" w:after="0"/>
              <w:jc w:val="right"/>
              <w:rPr>
                <w:rFonts w:ascii="Arial" w:hAnsi="Arial"/>
                <w:b/>
                <w:bCs/>
                <w:sz w:val="16"/>
                <w:szCs w:val="16"/>
                <w:lang w:val="en-AU"/>
              </w:rPr>
            </w:pPr>
            <w:r>
              <w:rPr>
                <w:rFonts w:ascii="Arial" w:hAnsi="Arial"/>
                <w:b/>
                <w:bCs/>
                <w:sz w:val="16"/>
                <w:szCs w:val="16"/>
                <w:lang w:val="en-AU"/>
              </w:rPr>
              <w:t>(</w:t>
            </w:r>
            <w:r w:rsidR="00231C6C" w:rsidRPr="00AB31FA">
              <w:rPr>
                <w:rFonts w:ascii="Arial" w:hAnsi="Arial"/>
                <w:b/>
                <w:bCs/>
                <w:sz w:val="16"/>
                <w:szCs w:val="16"/>
                <w:lang w:val="en-AU"/>
              </w:rPr>
              <w:t>40</w:t>
            </w:r>
            <w:r>
              <w:rPr>
                <w:rFonts w:ascii="Arial" w:hAnsi="Arial"/>
                <w:b/>
                <w:bCs/>
                <w:sz w:val="16"/>
                <w:szCs w:val="16"/>
                <w:lang w:val="en-AU"/>
              </w:rPr>
              <w:t>)</w:t>
            </w:r>
          </w:p>
        </w:tc>
        <w:tc>
          <w:tcPr>
            <w:tcW w:w="1032" w:type="dxa"/>
            <w:tcBorders>
              <w:left w:val="nil"/>
              <w:bottom w:val="single" w:sz="4" w:space="0" w:color="auto"/>
              <w:right w:val="nil"/>
            </w:tcBorders>
            <w:shd w:val="clear" w:color="auto" w:fill="E6E6E6"/>
            <w:vAlign w:val="center"/>
          </w:tcPr>
          <w:p w14:paraId="01724BE0" w14:textId="77777777" w:rsidR="00231C6C" w:rsidRPr="00AB31FA" w:rsidRDefault="00231C6C" w:rsidP="00231C6C">
            <w:pPr>
              <w:spacing w:before="0" w:after="0"/>
              <w:jc w:val="right"/>
              <w:rPr>
                <w:rFonts w:ascii="Arial" w:hAnsi="Arial"/>
                <w:b/>
                <w:sz w:val="16"/>
                <w:szCs w:val="16"/>
                <w:lang w:val="en-AU"/>
              </w:rPr>
            </w:pPr>
            <w:r w:rsidRPr="00AB31FA">
              <w:rPr>
                <w:rFonts w:ascii="Arial" w:hAnsi="Arial"/>
                <w:b/>
                <w:sz w:val="16"/>
                <w:szCs w:val="16"/>
                <w:lang w:val="en-AU"/>
              </w:rPr>
              <w:t>950</w:t>
            </w:r>
          </w:p>
          <w:p w14:paraId="18D57F0F" w14:textId="645607BD" w:rsidR="00231C6C" w:rsidRPr="00AB31FA" w:rsidRDefault="007C110B" w:rsidP="006C06EE">
            <w:pPr>
              <w:spacing w:before="0" w:after="0"/>
              <w:jc w:val="right"/>
              <w:rPr>
                <w:rFonts w:ascii="Arial" w:hAnsi="Arial"/>
                <w:b/>
                <w:sz w:val="16"/>
                <w:szCs w:val="16"/>
                <w:lang w:val="en-AU"/>
              </w:rPr>
            </w:pPr>
            <w:r>
              <w:rPr>
                <w:rFonts w:ascii="Arial" w:hAnsi="Arial"/>
                <w:b/>
                <w:sz w:val="16"/>
                <w:szCs w:val="16"/>
                <w:lang w:val="en-AU"/>
              </w:rPr>
              <w:t>(</w:t>
            </w:r>
            <w:r w:rsidR="00231C6C" w:rsidRPr="00AB31FA">
              <w:rPr>
                <w:rFonts w:ascii="Arial" w:hAnsi="Arial"/>
                <w:b/>
                <w:sz w:val="16"/>
                <w:szCs w:val="16"/>
                <w:lang w:val="en-AU"/>
              </w:rPr>
              <w:t>40</w:t>
            </w:r>
            <w:r>
              <w:rPr>
                <w:rFonts w:ascii="Arial" w:hAnsi="Arial"/>
                <w:b/>
                <w:sz w:val="16"/>
                <w:szCs w:val="16"/>
                <w:lang w:val="en-AU"/>
              </w:rPr>
              <w:t>)</w:t>
            </w:r>
          </w:p>
        </w:tc>
        <w:tc>
          <w:tcPr>
            <w:tcW w:w="1035" w:type="dxa"/>
            <w:tcBorders>
              <w:left w:val="nil"/>
              <w:bottom w:val="single" w:sz="4" w:space="0" w:color="auto"/>
              <w:right w:val="nil"/>
            </w:tcBorders>
            <w:shd w:val="clear" w:color="auto" w:fill="E6E6E6"/>
            <w:vAlign w:val="center"/>
          </w:tcPr>
          <w:p w14:paraId="51781C25" w14:textId="77777777" w:rsidR="00231C6C" w:rsidRPr="00AB31FA" w:rsidRDefault="00231C6C" w:rsidP="002B2BCC">
            <w:pPr>
              <w:spacing w:before="0" w:after="0"/>
              <w:jc w:val="right"/>
              <w:rPr>
                <w:rFonts w:ascii="Arial" w:hAnsi="Arial"/>
                <w:b/>
                <w:bCs/>
                <w:sz w:val="16"/>
                <w:szCs w:val="16"/>
                <w:lang w:val="en-AU"/>
              </w:rPr>
            </w:pPr>
            <w:r w:rsidRPr="00AB31FA">
              <w:rPr>
                <w:rFonts w:ascii="Arial" w:hAnsi="Arial"/>
                <w:b/>
                <w:bCs/>
                <w:sz w:val="16"/>
                <w:szCs w:val="16"/>
                <w:lang w:val="en-AU"/>
              </w:rPr>
              <w:t>950</w:t>
            </w:r>
          </w:p>
          <w:p w14:paraId="07DC978A" w14:textId="2D99FA2C" w:rsidR="00231C6C" w:rsidRPr="00AB31FA" w:rsidRDefault="007C110B" w:rsidP="006C06EE">
            <w:pPr>
              <w:spacing w:before="0" w:after="0"/>
              <w:jc w:val="right"/>
              <w:rPr>
                <w:rFonts w:ascii="Arial" w:hAnsi="Arial"/>
                <w:b/>
                <w:bCs/>
                <w:sz w:val="16"/>
                <w:szCs w:val="16"/>
                <w:lang w:val="en-AU"/>
              </w:rPr>
            </w:pPr>
            <w:r>
              <w:rPr>
                <w:rFonts w:ascii="Arial" w:hAnsi="Arial"/>
                <w:b/>
                <w:bCs/>
                <w:sz w:val="16"/>
                <w:szCs w:val="16"/>
                <w:lang w:val="en-AU"/>
              </w:rPr>
              <w:t>(</w:t>
            </w:r>
            <w:r w:rsidR="00231C6C" w:rsidRPr="00AB31FA">
              <w:rPr>
                <w:rFonts w:ascii="Arial" w:hAnsi="Arial"/>
                <w:b/>
                <w:bCs/>
                <w:sz w:val="16"/>
                <w:szCs w:val="16"/>
                <w:lang w:val="en-AU"/>
              </w:rPr>
              <w:t>40</w:t>
            </w:r>
            <w:r>
              <w:rPr>
                <w:rFonts w:ascii="Arial" w:hAnsi="Arial"/>
                <w:b/>
                <w:bCs/>
                <w:sz w:val="16"/>
                <w:szCs w:val="16"/>
                <w:lang w:val="en-AU"/>
              </w:rPr>
              <w:t>)</w:t>
            </w:r>
          </w:p>
        </w:tc>
      </w:tr>
      <w:tr w:rsidR="00AB31FA" w:rsidRPr="0037453B" w14:paraId="6C58B912" w14:textId="77777777" w:rsidTr="00AB31FA">
        <w:trPr>
          <w:trHeight w:val="480"/>
        </w:trPr>
        <w:tc>
          <w:tcPr>
            <w:tcW w:w="414" w:type="dxa"/>
            <w:tcBorders>
              <w:top w:val="nil"/>
              <w:left w:val="nil"/>
              <w:bottom w:val="single" w:sz="4" w:space="0" w:color="auto"/>
              <w:right w:val="single" w:sz="4" w:space="0" w:color="auto"/>
            </w:tcBorders>
            <w:vAlign w:val="center"/>
            <w:hideMark/>
          </w:tcPr>
          <w:p w14:paraId="1DF5C037" w14:textId="77777777" w:rsidR="00AB31FA" w:rsidRPr="00AB31FA" w:rsidRDefault="00AB31FA" w:rsidP="00AB31FA">
            <w:pPr>
              <w:spacing w:before="0" w:after="0"/>
              <w:jc w:val="center"/>
              <w:rPr>
                <w:rFonts w:ascii="Arial" w:hAnsi="Arial"/>
                <w:sz w:val="16"/>
                <w:szCs w:val="16"/>
                <w:lang w:val="en-AU"/>
              </w:rPr>
            </w:pPr>
          </w:p>
        </w:tc>
        <w:tc>
          <w:tcPr>
            <w:tcW w:w="2894" w:type="dxa"/>
            <w:tcBorders>
              <w:top w:val="nil"/>
              <w:left w:val="nil"/>
              <w:bottom w:val="single" w:sz="4" w:space="0" w:color="auto"/>
              <w:right w:val="nil"/>
            </w:tcBorders>
            <w:vAlign w:val="center"/>
            <w:hideMark/>
          </w:tcPr>
          <w:p w14:paraId="77DBAFE1" w14:textId="77777777" w:rsidR="00AB31FA" w:rsidRPr="00AB31FA" w:rsidRDefault="00AB31FA" w:rsidP="00AB31FA">
            <w:pPr>
              <w:spacing w:before="0" w:after="0"/>
              <w:rPr>
                <w:rFonts w:ascii="Arial" w:hAnsi="Arial"/>
                <w:b/>
                <w:bCs/>
                <w:sz w:val="16"/>
                <w:szCs w:val="16"/>
                <w:lang w:val="en-AU"/>
              </w:rPr>
            </w:pPr>
            <w:r w:rsidRPr="00AB31FA">
              <w:rPr>
                <w:rFonts w:ascii="Arial" w:hAnsi="Arial"/>
                <w:b/>
                <w:bCs/>
                <w:sz w:val="16"/>
                <w:szCs w:val="16"/>
                <w:lang w:val="en-AU"/>
              </w:rPr>
              <w:t>Total Reserves (1 + 2)</w:t>
            </w:r>
          </w:p>
        </w:tc>
        <w:tc>
          <w:tcPr>
            <w:tcW w:w="1002" w:type="dxa"/>
            <w:tcBorders>
              <w:top w:val="nil"/>
              <w:bottom w:val="single" w:sz="4" w:space="0" w:color="auto"/>
            </w:tcBorders>
            <w:shd w:val="clear" w:color="auto" w:fill="auto"/>
            <w:vAlign w:val="center"/>
          </w:tcPr>
          <w:p w14:paraId="41F749E4" w14:textId="77777777" w:rsidR="00AB31FA" w:rsidRPr="00A074C4" w:rsidRDefault="00AB31FA" w:rsidP="00AB31FA">
            <w:pPr>
              <w:pStyle w:val="paragraph"/>
              <w:spacing w:before="0" w:beforeAutospacing="0" w:after="0" w:afterAutospacing="0"/>
              <w:jc w:val="right"/>
              <w:textAlignment w:val="baseline"/>
              <w:rPr>
                <w:rFonts w:ascii="Segoe UI" w:hAnsi="Segoe UI" w:cs="Segoe UI"/>
                <w:sz w:val="18"/>
                <w:szCs w:val="18"/>
              </w:rPr>
            </w:pPr>
            <w:r w:rsidRPr="00A074C4">
              <w:rPr>
                <w:rStyle w:val="normaltextrun"/>
                <w:rFonts w:ascii="Arial" w:hAnsi="Arial" w:cs="Arial"/>
                <w:b/>
                <w:bCs/>
                <w:sz w:val="16"/>
                <w:szCs w:val="16"/>
              </w:rPr>
              <w:t>1,126,950</w:t>
            </w:r>
          </w:p>
          <w:p w14:paraId="46DA931C" w14:textId="01F7E35E" w:rsidR="00AB31FA" w:rsidRPr="00A074C4" w:rsidRDefault="007C110B" w:rsidP="006C06EE">
            <w:pPr>
              <w:spacing w:before="0" w:after="0"/>
              <w:jc w:val="right"/>
              <w:rPr>
                <w:rFonts w:ascii="Arial" w:hAnsi="Arial"/>
                <w:b/>
                <w:bCs/>
                <w:sz w:val="16"/>
                <w:szCs w:val="16"/>
                <w:lang w:val="en-AU"/>
              </w:rPr>
            </w:pPr>
            <w:r>
              <w:rPr>
                <w:rStyle w:val="normaltextrun"/>
                <w:rFonts w:ascii="Arial" w:hAnsi="Arial"/>
                <w:b/>
                <w:bCs/>
                <w:sz w:val="16"/>
                <w:szCs w:val="16"/>
              </w:rPr>
              <w:t>(</w:t>
            </w:r>
            <w:r w:rsidR="00AB31FA" w:rsidRPr="00A074C4">
              <w:rPr>
                <w:rStyle w:val="normaltextrun"/>
                <w:rFonts w:ascii="Arial" w:hAnsi="Arial"/>
                <w:b/>
                <w:bCs/>
                <w:sz w:val="16"/>
                <w:szCs w:val="16"/>
              </w:rPr>
              <w:t>21,540</w:t>
            </w:r>
            <w:r>
              <w:rPr>
                <w:rStyle w:val="normaltextrun"/>
                <w:rFonts w:ascii="Arial" w:hAnsi="Arial"/>
                <w:b/>
                <w:bCs/>
                <w:sz w:val="16"/>
                <w:szCs w:val="16"/>
              </w:rPr>
              <w:t>)</w:t>
            </w:r>
          </w:p>
        </w:tc>
        <w:tc>
          <w:tcPr>
            <w:tcW w:w="949" w:type="dxa"/>
            <w:tcBorders>
              <w:top w:val="nil"/>
              <w:left w:val="nil"/>
              <w:bottom w:val="single" w:sz="4" w:space="0" w:color="auto"/>
              <w:right w:val="nil"/>
            </w:tcBorders>
            <w:shd w:val="clear" w:color="auto" w:fill="E6E6E6"/>
            <w:vAlign w:val="center"/>
          </w:tcPr>
          <w:p w14:paraId="4A4A667F" w14:textId="77777777" w:rsidR="00AB31FA" w:rsidRPr="00A074C4" w:rsidRDefault="00AB31FA" w:rsidP="00AB31FA">
            <w:pPr>
              <w:pStyle w:val="paragraph"/>
              <w:spacing w:before="0" w:beforeAutospacing="0" w:after="0" w:afterAutospacing="0"/>
              <w:jc w:val="right"/>
              <w:textAlignment w:val="baseline"/>
              <w:rPr>
                <w:rFonts w:ascii="Segoe UI" w:hAnsi="Segoe UI" w:cs="Segoe UI"/>
                <w:sz w:val="18"/>
                <w:szCs w:val="18"/>
              </w:rPr>
            </w:pPr>
            <w:r w:rsidRPr="00A074C4">
              <w:rPr>
                <w:rStyle w:val="normaltextrun"/>
                <w:rFonts w:ascii="Arial" w:hAnsi="Arial" w:cs="Arial"/>
                <w:b/>
                <w:bCs/>
                <w:sz w:val="16"/>
                <w:szCs w:val="16"/>
              </w:rPr>
              <w:t>1,135,450</w:t>
            </w:r>
          </w:p>
          <w:p w14:paraId="234B015C" w14:textId="62B94D53" w:rsidR="00AB31FA" w:rsidRPr="00A074C4" w:rsidRDefault="007C110B" w:rsidP="006C06EE">
            <w:pPr>
              <w:spacing w:before="0" w:after="0"/>
              <w:jc w:val="right"/>
              <w:rPr>
                <w:rFonts w:ascii="Arial" w:hAnsi="Arial"/>
                <w:b/>
                <w:bCs/>
                <w:sz w:val="16"/>
                <w:szCs w:val="16"/>
                <w:lang w:val="en-AU"/>
              </w:rPr>
            </w:pPr>
            <w:r>
              <w:rPr>
                <w:rStyle w:val="normaltextrun"/>
                <w:rFonts w:ascii="Arial" w:hAnsi="Arial"/>
                <w:b/>
                <w:bCs/>
                <w:sz w:val="16"/>
                <w:szCs w:val="16"/>
              </w:rPr>
              <w:t>(</w:t>
            </w:r>
            <w:r w:rsidR="00AB31FA" w:rsidRPr="00A074C4">
              <w:rPr>
                <w:rStyle w:val="normaltextrun"/>
                <w:rFonts w:ascii="Arial" w:hAnsi="Arial"/>
                <w:b/>
                <w:bCs/>
                <w:sz w:val="16"/>
                <w:szCs w:val="16"/>
              </w:rPr>
              <w:t>21,690</w:t>
            </w:r>
            <w:r>
              <w:rPr>
                <w:rStyle w:val="normaltextrun"/>
                <w:rFonts w:ascii="Arial" w:hAnsi="Arial"/>
                <w:b/>
                <w:bCs/>
                <w:sz w:val="16"/>
                <w:szCs w:val="16"/>
              </w:rPr>
              <w:t>)</w:t>
            </w:r>
          </w:p>
        </w:tc>
        <w:tc>
          <w:tcPr>
            <w:tcW w:w="1032" w:type="dxa"/>
            <w:tcBorders>
              <w:top w:val="nil"/>
              <w:left w:val="nil"/>
              <w:bottom w:val="single" w:sz="4" w:space="0" w:color="auto"/>
              <w:right w:val="nil"/>
            </w:tcBorders>
            <w:vAlign w:val="center"/>
          </w:tcPr>
          <w:p w14:paraId="0F7FFD7E" w14:textId="77777777" w:rsidR="00AB31FA" w:rsidRPr="00A074C4" w:rsidRDefault="00AB31FA" w:rsidP="00AB31FA">
            <w:pPr>
              <w:pStyle w:val="paragraph"/>
              <w:spacing w:before="0" w:beforeAutospacing="0" w:after="0" w:afterAutospacing="0"/>
              <w:jc w:val="right"/>
              <w:textAlignment w:val="baseline"/>
              <w:rPr>
                <w:rFonts w:ascii="Segoe UI" w:hAnsi="Segoe UI" w:cs="Segoe UI"/>
                <w:sz w:val="18"/>
                <w:szCs w:val="18"/>
              </w:rPr>
            </w:pPr>
            <w:r w:rsidRPr="00A074C4">
              <w:rPr>
                <w:rStyle w:val="normaltextrun"/>
                <w:rFonts w:ascii="Arial" w:hAnsi="Arial" w:cs="Arial"/>
                <w:b/>
                <w:bCs/>
                <w:sz w:val="16"/>
                <w:szCs w:val="16"/>
              </w:rPr>
              <w:t>1,143,950</w:t>
            </w:r>
          </w:p>
          <w:p w14:paraId="3C2C80CC" w14:textId="0A406246" w:rsidR="00AB31FA" w:rsidRPr="00A074C4" w:rsidRDefault="007C110B" w:rsidP="006C06EE">
            <w:pPr>
              <w:spacing w:before="0" w:after="0"/>
              <w:jc w:val="right"/>
              <w:rPr>
                <w:rFonts w:ascii="Arial" w:hAnsi="Arial"/>
                <w:b/>
                <w:bCs/>
                <w:sz w:val="16"/>
                <w:szCs w:val="16"/>
                <w:lang w:val="en-AU"/>
              </w:rPr>
            </w:pPr>
            <w:r>
              <w:rPr>
                <w:rStyle w:val="normaltextrun"/>
                <w:rFonts w:ascii="Arial" w:hAnsi="Arial"/>
                <w:b/>
                <w:bCs/>
                <w:sz w:val="16"/>
                <w:szCs w:val="16"/>
              </w:rPr>
              <w:t>(</w:t>
            </w:r>
            <w:r w:rsidR="00AB31FA" w:rsidRPr="00A074C4">
              <w:rPr>
                <w:rStyle w:val="normaltextrun"/>
                <w:rFonts w:ascii="Arial" w:hAnsi="Arial"/>
                <w:b/>
                <w:bCs/>
                <w:sz w:val="16"/>
                <w:szCs w:val="16"/>
              </w:rPr>
              <w:t>21,840</w:t>
            </w:r>
            <w:r>
              <w:rPr>
                <w:rStyle w:val="normaltextrun"/>
                <w:rFonts w:ascii="Arial" w:hAnsi="Arial"/>
                <w:b/>
                <w:bCs/>
                <w:sz w:val="16"/>
                <w:szCs w:val="16"/>
              </w:rPr>
              <w:t>)</w:t>
            </w:r>
          </w:p>
        </w:tc>
        <w:tc>
          <w:tcPr>
            <w:tcW w:w="1032" w:type="dxa"/>
            <w:tcBorders>
              <w:top w:val="nil"/>
              <w:left w:val="nil"/>
              <w:bottom w:val="single" w:sz="4" w:space="0" w:color="auto"/>
              <w:right w:val="nil"/>
            </w:tcBorders>
            <w:vAlign w:val="center"/>
          </w:tcPr>
          <w:p w14:paraId="1255EA87" w14:textId="77777777" w:rsidR="00AB31FA" w:rsidRPr="00A074C4" w:rsidRDefault="00AB31FA" w:rsidP="00AB31FA">
            <w:pPr>
              <w:pStyle w:val="paragraph"/>
              <w:spacing w:before="0" w:beforeAutospacing="0" w:after="0" w:afterAutospacing="0"/>
              <w:jc w:val="right"/>
              <w:textAlignment w:val="baseline"/>
              <w:rPr>
                <w:rFonts w:ascii="Segoe UI" w:hAnsi="Segoe UI" w:cs="Segoe UI"/>
                <w:sz w:val="18"/>
                <w:szCs w:val="18"/>
              </w:rPr>
            </w:pPr>
            <w:r w:rsidRPr="00A074C4">
              <w:rPr>
                <w:rStyle w:val="normaltextrun"/>
                <w:rFonts w:ascii="Arial" w:hAnsi="Arial" w:cs="Arial"/>
                <w:b/>
                <w:bCs/>
                <w:sz w:val="16"/>
                <w:szCs w:val="16"/>
              </w:rPr>
              <w:t>1,152,450</w:t>
            </w:r>
          </w:p>
          <w:p w14:paraId="0512FD69" w14:textId="3B1C68DE" w:rsidR="00AB31FA" w:rsidRPr="00A074C4" w:rsidRDefault="007C110B" w:rsidP="006C06EE">
            <w:pPr>
              <w:spacing w:before="0" w:after="0"/>
              <w:jc w:val="right"/>
              <w:rPr>
                <w:rFonts w:ascii="Arial" w:hAnsi="Arial"/>
                <w:b/>
                <w:bCs/>
                <w:sz w:val="16"/>
                <w:szCs w:val="16"/>
                <w:lang w:val="en-AU"/>
              </w:rPr>
            </w:pPr>
            <w:r>
              <w:rPr>
                <w:rStyle w:val="normaltextrun"/>
                <w:rFonts w:ascii="Arial" w:hAnsi="Arial"/>
                <w:b/>
                <w:bCs/>
                <w:sz w:val="16"/>
                <w:szCs w:val="16"/>
              </w:rPr>
              <w:t>(</w:t>
            </w:r>
            <w:r w:rsidR="00AB31FA" w:rsidRPr="00A074C4">
              <w:rPr>
                <w:rStyle w:val="normaltextrun"/>
                <w:rFonts w:ascii="Arial" w:hAnsi="Arial"/>
                <w:b/>
                <w:bCs/>
                <w:sz w:val="16"/>
                <w:szCs w:val="16"/>
              </w:rPr>
              <w:t>21,990</w:t>
            </w:r>
            <w:r>
              <w:rPr>
                <w:rStyle w:val="normaltextrun"/>
                <w:rFonts w:ascii="Arial" w:hAnsi="Arial"/>
                <w:b/>
                <w:bCs/>
                <w:sz w:val="16"/>
                <w:szCs w:val="16"/>
              </w:rPr>
              <w:t>)</w:t>
            </w:r>
          </w:p>
        </w:tc>
        <w:tc>
          <w:tcPr>
            <w:tcW w:w="1035" w:type="dxa"/>
            <w:tcBorders>
              <w:top w:val="nil"/>
              <w:left w:val="nil"/>
              <w:bottom w:val="single" w:sz="4" w:space="0" w:color="auto"/>
              <w:right w:val="nil"/>
            </w:tcBorders>
            <w:shd w:val="clear" w:color="auto" w:fill="auto"/>
            <w:vAlign w:val="center"/>
          </w:tcPr>
          <w:p w14:paraId="449059BF" w14:textId="77777777" w:rsidR="00AB31FA" w:rsidRPr="00A074C4" w:rsidRDefault="00AB31FA" w:rsidP="00AB31FA">
            <w:pPr>
              <w:spacing w:before="0" w:after="0"/>
              <w:jc w:val="right"/>
              <w:rPr>
                <w:rFonts w:ascii="Arial" w:hAnsi="Arial"/>
                <w:b/>
                <w:sz w:val="16"/>
                <w:szCs w:val="16"/>
                <w:lang w:val="en-AU"/>
              </w:rPr>
            </w:pPr>
            <w:r w:rsidRPr="00A074C4">
              <w:rPr>
                <w:rFonts w:ascii="Arial" w:hAnsi="Arial"/>
                <w:b/>
                <w:sz w:val="16"/>
                <w:szCs w:val="16"/>
                <w:lang w:val="en-AU"/>
              </w:rPr>
              <w:t>1,160,950</w:t>
            </w:r>
          </w:p>
          <w:p w14:paraId="70CFBB7E" w14:textId="64EA379A" w:rsidR="00AB31FA" w:rsidRPr="00A074C4" w:rsidRDefault="007C110B" w:rsidP="006C06EE">
            <w:pPr>
              <w:spacing w:before="0" w:after="0"/>
              <w:jc w:val="right"/>
              <w:rPr>
                <w:rFonts w:ascii="Arial" w:hAnsi="Arial"/>
                <w:b/>
                <w:sz w:val="16"/>
                <w:szCs w:val="16"/>
                <w:lang w:val="en-AU"/>
              </w:rPr>
            </w:pPr>
            <w:r>
              <w:rPr>
                <w:rFonts w:ascii="Arial" w:hAnsi="Arial"/>
                <w:b/>
                <w:sz w:val="16"/>
                <w:szCs w:val="16"/>
                <w:lang w:val="en-AU"/>
              </w:rPr>
              <w:t>(</w:t>
            </w:r>
            <w:r w:rsidR="00AB31FA" w:rsidRPr="00A074C4">
              <w:rPr>
                <w:rFonts w:ascii="Arial" w:hAnsi="Arial"/>
                <w:b/>
                <w:sz w:val="16"/>
                <w:szCs w:val="16"/>
                <w:lang w:val="en-AU"/>
              </w:rPr>
              <w:t>22,140</w:t>
            </w:r>
            <w:r>
              <w:rPr>
                <w:rFonts w:ascii="Arial" w:hAnsi="Arial"/>
                <w:b/>
                <w:sz w:val="16"/>
                <w:szCs w:val="16"/>
                <w:lang w:val="en-AU"/>
              </w:rPr>
              <w:t>)</w:t>
            </w:r>
          </w:p>
        </w:tc>
      </w:tr>
    </w:tbl>
    <w:p w14:paraId="22C0E1C0" w14:textId="77777777" w:rsidR="00217FDC" w:rsidRPr="0037453B" w:rsidRDefault="00217FDC" w:rsidP="00656D60">
      <w:pPr>
        <w:spacing w:before="0" w:after="0"/>
        <w:rPr>
          <w:rFonts w:ascii="Arial" w:hAnsi="Arial"/>
          <w:b/>
          <w:sz w:val="16"/>
          <w:highlight w:val="yellow"/>
        </w:rPr>
      </w:pPr>
    </w:p>
    <w:p w14:paraId="5CA1401D" w14:textId="77777777" w:rsidR="00AA6BF6" w:rsidRPr="00AB31FA" w:rsidRDefault="00AA6BF6" w:rsidP="00656D60">
      <w:pPr>
        <w:spacing w:before="0" w:after="0"/>
        <w:rPr>
          <w:rFonts w:ascii="Arial" w:hAnsi="Arial"/>
          <w:b/>
          <w:sz w:val="14"/>
          <w:szCs w:val="14"/>
        </w:rPr>
      </w:pPr>
      <w:r w:rsidRPr="00AB31FA">
        <w:rPr>
          <w:rFonts w:ascii="Arial" w:hAnsi="Arial"/>
          <w:b/>
          <w:sz w:val="14"/>
          <w:szCs w:val="14"/>
        </w:rPr>
        <w:t>Notes</w:t>
      </w:r>
    </w:p>
    <w:p w14:paraId="31258FAC" w14:textId="03692081" w:rsidR="00AB31FA" w:rsidRPr="00A074C4" w:rsidRDefault="00775CD7" w:rsidP="00AB31FA">
      <w:pPr>
        <w:pStyle w:val="ListParagraph"/>
        <w:tabs>
          <w:tab w:val="left" w:pos="284"/>
        </w:tabs>
        <w:spacing w:before="0" w:after="0"/>
        <w:ind w:left="284" w:hanging="284"/>
        <w:contextualSpacing w:val="0"/>
        <w:rPr>
          <w:rFonts w:ascii="Arial" w:hAnsi="Arial"/>
          <w:sz w:val="14"/>
          <w:szCs w:val="14"/>
        </w:rPr>
      </w:pPr>
      <w:r w:rsidRPr="00AB31FA">
        <w:rPr>
          <w:rFonts w:ascii="Arial" w:hAnsi="Arial"/>
          <w:sz w:val="14"/>
          <w:szCs w:val="14"/>
        </w:rPr>
        <w:t>a.</w:t>
      </w:r>
      <w:r w:rsidR="00013E7B" w:rsidRPr="00AB31FA">
        <w:rPr>
          <w:rFonts w:ascii="Arial" w:hAnsi="Arial"/>
          <w:sz w:val="14"/>
          <w:szCs w:val="14"/>
        </w:rPr>
        <w:tab/>
      </w:r>
      <w:r w:rsidR="00AB31FA" w:rsidRPr="00A074C4">
        <w:rPr>
          <w:rFonts w:ascii="Arial" w:hAnsi="Arial"/>
          <w:sz w:val="14"/>
          <w:szCs w:val="14"/>
        </w:rPr>
        <w:t xml:space="preserve">This table does not include Reservists undertaking continuous full-time service (Service Option C), as these are captured in Table </w:t>
      </w:r>
      <w:r w:rsidR="00800B3A">
        <w:rPr>
          <w:rFonts w:ascii="Arial" w:hAnsi="Arial"/>
          <w:sz w:val="14"/>
          <w:szCs w:val="14"/>
        </w:rPr>
        <w:t>8</w:t>
      </w:r>
      <w:r w:rsidR="00AB31FA" w:rsidRPr="00A074C4">
        <w:rPr>
          <w:rFonts w:ascii="Arial" w:hAnsi="Arial"/>
          <w:sz w:val="14"/>
          <w:szCs w:val="14"/>
        </w:rPr>
        <w:t>, nor Reservists not currently rendering service (including SERCAT 2).</w:t>
      </w:r>
    </w:p>
    <w:p w14:paraId="09058BFC" w14:textId="326361CE" w:rsidR="00AB31FA" w:rsidRPr="00A074C4" w:rsidRDefault="00AB31FA" w:rsidP="00AB31FA">
      <w:pPr>
        <w:tabs>
          <w:tab w:val="left" w:pos="284"/>
        </w:tabs>
        <w:spacing w:before="0" w:after="0"/>
        <w:ind w:left="284" w:hanging="284"/>
        <w:rPr>
          <w:rFonts w:ascii="Arial" w:hAnsi="Arial"/>
          <w:sz w:val="14"/>
          <w:szCs w:val="14"/>
        </w:rPr>
      </w:pPr>
      <w:r w:rsidRPr="00A074C4">
        <w:rPr>
          <w:rFonts w:ascii="Arial" w:hAnsi="Arial"/>
          <w:sz w:val="14"/>
          <w:szCs w:val="14"/>
        </w:rPr>
        <w:t>b.</w:t>
      </w:r>
      <w:r w:rsidRPr="00A074C4">
        <w:rPr>
          <w:rFonts w:ascii="Arial" w:hAnsi="Arial"/>
          <w:sz w:val="14"/>
          <w:szCs w:val="14"/>
        </w:rPr>
        <w:tab/>
        <w:t xml:space="preserve">As the number of days or hours worked by Reserve members can vary greatly, figures in Table </w:t>
      </w:r>
      <w:r w:rsidR="004D3EA0">
        <w:rPr>
          <w:rFonts w:ascii="Arial" w:hAnsi="Arial"/>
          <w:sz w:val="14"/>
          <w:szCs w:val="14"/>
        </w:rPr>
        <w:t>9</w:t>
      </w:r>
      <w:r w:rsidRPr="00A074C4">
        <w:rPr>
          <w:rFonts w:ascii="Arial" w:hAnsi="Arial"/>
          <w:sz w:val="14"/>
          <w:szCs w:val="14"/>
        </w:rPr>
        <w:t xml:space="preserve"> show the total number of days service rendered, with a headcount of members rendering paid service in brackets.</w:t>
      </w:r>
    </w:p>
    <w:p w14:paraId="5BF1F6C1" w14:textId="7C333344" w:rsidR="00AB31FA" w:rsidRPr="00AB31FA" w:rsidRDefault="002821C6" w:rsidP="00AB31FA">
      <w:pPr>
        <w:pStyle w:val="ListParagraph"/>
        <w:tabs>
          <w:tab w:val="left" w:pos="284"/>
        </w:tabs>
        <w:spacing w:before="0" w:after="0"/>
        <w:ind w:left="284" w:hanging="284"/>
        <w:contextualSpacing w:val="0"/>
        <w:rPr>
          <w:rFonts w:ascii="Arial" w:hAnsi="Arial"/>
          <w:sz w:val="14"/>
          <w:szCs w:val="14"/>
        </w:rPr>
      </w:pPr>
      <w:r>
        <w:rPr>
          <w:rFonts w:ascii="Arial" w:hAnsi="Arial"/>
          <w:sz w:val="14"/>
          <w:szCs w:val="14"/>
        </w:rPr>
        <w:t>c</w:t>
      </w:r>
      <w:r w:rsidR="00AB31FA" w:rsidRPr="00A074C4">
        <w:rPr>
          <w:rFonts w:ascii="Arial" w:hAnsi="Arial"/>
          <w:sz w:val="14"/>
          <w:szCs w:val="14"/>
        </w:rPr>
        <w:t>.</w:t>
      </w:r>
      <w:r w:rsidR="00AB31FA" w:rsidRPr="00A074C4">
        <w:rPr>
          <w:rFonts w:ascii="Arial" w:hAnsi="Arial"/>
          <w:sz w:val="14"/>
          <w:szCs w:val="14"/>
        </w:rPr>
        <w:tab/>
        <w:t>SERCAT 4 is available to all three Services. It is currently only used by Air Force on an ongoing basis, however Navy are currently undertaking a trial of SERCAT 4.</w:t>
      </w:r>
      <w:r w:rsidR="00AB31FA">
        <w:rPr>
          <w:rFonts w:ascii="Arial" w:hAnsi="Arial"/>
          <w:sz w:val="14"/>
          <w:szCs w:val="14"/>
        </w:rPr>
        <w:t xml:space="preserve"> The i</w:t>
      </w:r>
      <w:r w:rsidR="004D3EA0">
        <w:rPr>
          <w:rFonts w:ascii="Arial" w:hAnsi="Arial"/>
          <w:sz w:val="14"/>
          <w:szCs w:val="14"/>
        </w:rPr>
        <w:t>ncreased use of SER</w:t>
      </w:r>
      <w:r w:rsidR="00AB31FA">
        <w:rPr>
          <w:rFonts w:ascii="Arial" w:hAnsi="Arial"/>
          <w:sz w:val="14"/>
          <w:szCs w:val="14"/>
        </w:rPr>
        <w:t>C</w:t>
      </w:r>
      <w:r w:rsidR="004D3EA0">
        <w:rPr>
          <w:rFonts w:ascii="Arial" w:hAnsi="Arial"/>
          <w:sz w:val="14"/>
          <w:szCs w:val="14"/>
        </w:rPr>
        <w:t>A</w:t>
      </w:r>
      <w:r w:rsidR="00AB31FA">
        <w:rPr>
          <w:rFonts w:ascii="Arial" w:hAnsi="Arial"/>
          <w:sz w:val="14"/>
          <w:szCs w:val="14"/>
        </w:rPr>
        <w:t>T 4 is a key recommendation of the Strategic Review of the ADF Reserves.</w:t>
      </w:r>
    </w:p>
    <w:p w14:paraId="6C944059" w14:textId="77777777" w:rsidR="002F4950" w:rsidRPr="00316F76" w:rsidRDefault="002F4950" w:rsidP="002B2BCC">
      <w:pPr>
        <w:tabs>
          <w:tab w:val="left" w:pos="284"/>
        </w:tabs>
        <w:spacing w:before="0" w:after="0"/>
        <w:ind w:left="284" w:hanging="284"/>
        <w:rPr>
          <w:rFonts w:ascii="Arial" w:hAnsi="Arial"/>
          <w:sz w:val="14"/>
          <w:szCs w:val="14"/>
        </w:rPr>
      </w:pPr>
    </w:p>
    <w:p w14:paraId="0E75884D" w14:textId="77777777" w:rsidR="00775CD7" w:rsidRPr="00B56FAA" w:rsidRDefault="00775CD7" w:rsidP="002458B7">
      <w:pPr>
        <w:pStyle w:val="ListParagraph"/>
        <w:tabs>
          <w:tab w:val="left" w:pos="284"/>
        </w:tabs>
        <w:spacing w:before="0" w:after="0"/>
        <w:ind w:left="284" w:hanging="284"/>
        <w:contextualSpacing w:val="0"/>
        <w:rPr>
          <w:rFonts w:ascii="Arial" w:hAnsi="Arial"/>
          <w:sz w:val="16"/>
        </w:rPr>
      </w:pPr>
    </w:p>
    <w:p w14:paraId="4DFAB016" w14:textId="77777777" w:rsidR="00C4774C" w:rsidRPr="00AB31FA" w:rsidRDefault="004C687F" w:rsidP="00D9100A">
      <w:pPr>
        <w:pStyle w:val="TableHeading"/>
        <w:numPr>
          <w:ilvl w:val="0"/>
          <w:numId w:val="29"/>
        </w:numPr>
        <w:spacing w:before="0" w:after="120"/>
        <w:ind w:left="0" w:firstLine="0"/>
        <w:outlineLvl w:val="6"/>
        <w:rPr>
          <w:lang w:val="en-AU"/>
        </w:rPr>
      </w:pPr>
      <w:r w:rsidRPr="00B56FAA">
        <w:br w:type="page"/>
      </w:r>
      <w:r w:rsidR="00C4774C" w:rsidRPr="00AB31FA">
        <w:rPr>
          <w:lang w:val="en-AU"/>
        </w:rPr>
        <w:lastRenderedPageBreak/>
        <w:t>Breakdown of Average Personn</w:t>
      </w:r>
      <w:r w:rsidR="003363BB" w:rsidRPr="00AB31FA">
        <w:rPr>
          <w:lang w:val="en-AU"/>
        </w:rPr>
        <w:t>el</w:t>
      </w:r>
      <w:r w:rsidR="00596C40" w:rsidRPr="00AB31FA">
        <w:rPr>
          <w:lang w:val="en-AU"/>
        </w:rPr>
        <w:t xml:space="preserve"> Numbers by Service and Rank</w:t>
      </w:r>
    </w:p>
    <w:tbl>
      <w:tblPr>
        <w:tblW w:w="4934" w:type="pct"/>
        <w:tblInd w:w="113" w:type="dxa"/>
        <w:tblLook w:val="04A0" w:firstRow="1" w:lastRow="0" w:firstColumn="1" w:lastColumn="0" w:noHBand="0" w:noVBand="1"/>
      </w:tblPr>
      <w:tblGrid>
        <w:gridCol w:w="5554"/>
        <w:gridCol w:w="1397"/>
        <w:gridCol w:w="1553"/>
      </w:tblGrid>
      <w:tr w:rsidR="00AA6BF6" w:rsidRPr="00AB31FA" w14:paraId="7F9E1D21" w14:textId="77777777" w:rsidTr="00AB31FA">
        <w:trPr>
          <w:trHeight w:val="666"/>
        </w:trPr>
        <w:tc>
          <w:tcPr>
            <w:tcW w:w="5554" w:type="dxa"/>
            <w:tcBorders>
              <w:top w:val="single" w:sz="4" w:space="0" w:color="auto"/>
              <w:left w:val="nil"/>
              <w:bottom w:val="single" w:sz="4" w:space="0" w:color="auto"/>
              <w:right w:val="nil"/>
            </w:tcBorders>
            <w:noWrap/>
            <w:vAlign w:val="bottom"/>
            <w:hideMark/>
          </w:tcPr>
          <w:p w14:paraId="25422C16" w14:textId="77777777" w:rsidR="00AA6BF6" w:rsidRPr="00AB31FA" w:rsidRDefault="00AA6BF6" w:rsidP="006559B9">
            <w:pPr>
              <w:spacing w:before="0" w:after="0"/>
              <w:jc w:val="right"/>
              <w:rPr>
                <w:rFonts w:ascii="Arial" w:hAnsi="Arial"/>
                <w:b/>
                <w:bCs/>
                <w:sz w:val="16"/>
                <w:szCs w:val="16"/>
                <w:lang w:val="en-AU"/>
              </w:rPr>
            </w:pPr>
            <w:bookmarkStart w:id="698" w:name="_Toc374969028"/>
            <w:bookmarkStart w:id="699" w:name="_Toc375310540"/>
            <w:bookmarkStart w:id="700" w:name="_Toc384298219"/>
            <w:bookmarkStart w:id="701" w:name="_Toc476581149"/>
            <w:bookmarkStart w:id="702" w:name="_Toc507595421"/>
            <w:bookmarkStart w:id="703" w:name="_Toc340655865"/>
            <w:bookmarkStart w:id="704" w:name="_Toc340656271"/>
            <w:bookmarkStart w:id="705" w:name="_Toc340656901"/>
            <w:bookmarkStart w:id="706" w:name="_Toc340665301"/>
            <w:bookmarkStart w:id="707" w:name="_Toc340669825"/>
            <w:bookmarkStart w:id="708" w:name="_Toc346545734"/>
            <w:bookmarkStart w:id="709" w:name="_Toc346622288"/>
            <w:bookmarkStart w:id="710" w:name="_Toc346692748"/>
            <w:bookmarkStart w:id="711" w:name="_Toc346713091"/>
            <w:bookmarkStart w:id="712" w:name="_Toc346788759"/>
            <w:bookmarkStart w:id="713" w:name="_Toc346824135"/>
            <w:bookmarkStart w:id="714" w:name="_Toc346891306"/>
            <w:bookmarkStart w:id="715" w:name="_Toc347238758"/>
            <w:bookmarkStart w:id="716" w:name="_Toc347415207"/>
            <w:bookmarkStart w:id="717" w:name="_Toc347473806"/>
            <w:bookmarkStart w:id="718" w:name="_Toc347481832"/>
            <w:bookmarkStart w:id="719" w:name="_Toc347490067"/>
            <w:bookmarkStart w:id="720" w:name="_Toc347744293"/>
            <w:bookmarkStart w:id="721" w:name="_Toc347754535"/>
            <w:bookmarkStart w:id="722" w:name="_Toc347757661"/>
            <w:bookmarkStart w:id="723" w:name="_Toc347764603"/>
            <w:bookmarkStart w:id="724" w:name="_Toc347766464"/>
            <w:bookmarkStart w:id="725" w:name="_Toc353889410"/>
            <w:bookmarkStart w:id="726" w:name="_Toc354470966"/>
            <w:bookmarkStart w:id="727" w:name="_Toc354565565"/>
            <w:bookmarkStart w:id="728" w:name="_Toc354580488"/>
            <w:bookmarkStart w:id="729" w:name="_Toc354591389"/>
            <w:bookmarkStart w:id="730" w:name="_Toc354734118"/>
            <w:bookmarkStart w:id="731" w:name="_Toc355020217"/>
            <w:bookmarkStart w:id="732" w:name="_Toc355262894"/>
            <w:bookmarkStart w:id="733" w:name="_Toc355271249"/>
            <w:bookmarkStart w:id="734" w:name="_Toc355343318"/>
            <w:bookmarkStart w:id="735" w:name="_Toc355620806"/>
            <w:bookmarkStart w:id="736" w:name="_Toc359245775"/>
            <w:bookmarkStart w:id="737" w:name="_Toc374969029"/>
            <w:bookmarkStart w:id="738" w:name="_Toc375310541"/>
            <w:bookmarkStart w:id="739" w:name="_Toc384298220"/>
          </w:p>
        </w:tc>
        <w:tc>
          <w:tcPr>
            <w:tcW w:w="1397" w:type="dxa"/>
            <w:tcBorders>
              <w:top w:val="single" w:sz="4" w:space="0" w:color="auto"/>
              <w:left w:val="nil"/>
              <w:bottom w:val="single" w:sz="4" w:space="0" w:color="auto"/>
              <w:right w:val="nil"/>
            </w:tcBorders>
            <w:vAlign w:val="bottom"/>
            <w:hideMark/>
          </w:tcPr>
          <w:p w14:paraId="76A217A3" w14:textId="77777777" w:rsidR="00AA6BF6" w:rsidRPr="00AB31FA" w:rsidRDefault="002F404A" w:rsidP="009D19D3">
            <w:pPr>
              <w:spacing w:before="0" w:after="0"/>
              <w:jc w:val="right"/>
              <w:rPr>
                <w:rFonts w:ascii="Arial" w:hAnsi="Arial"/>
                <w:b/>
                <w:bCs/>
                <w:sz w:val="16"/>
                <w:szCs w:val="16"/>
                <w:lang w:val="en-AU"/>
              </w:rPr>
            </w:pPr>
            <w:r w:rsidRPr="00AB31FA">
              <w:rPr>
                <w:rFonts w:ascii="Arial" w:hAnsi="Arial"/>
                <w:b/>
                <w:bCs/>
                <w:sz w:val="16"/>
                <w:szCs w:val="16"/>
                <w:lang w:val="en-AU"/>
              </w:rPr>
              <w:t>20</w:t>
            </w:r>
            <w:r w:rsidR="00B30D5F" w:rsidRPr="00AB31FA">
              <w:rPr>
                <w:rFonts w:ascii="Arial" w:hAnsi="Arial"/>
                <w:b/>
                <w:bCs/>
                <w:sz w:val="16"/>
                <w:szCs w:val="16"/>
                <w:lang w:val="en-AU"/>
              </w:rPr>
              <w:t>2</w:t>
            </w:r>
            <w:r w:rsidR="009D19D3" w:rsidRPr="00AB31FA">
              <w:rPr>
                <w:rFonts w:ascii="Arial" w:hAnsi="Arial"/>
                <w:b/>
                <w:bCs/>
                <w:sz w:val="16"/>
                <w:szCs w:val="16"/>
                <w:lang w:val="en-AU"/>
              </w:rPr>
              <w:t>4</w:t>
            </w:r>
            <w:r w:rsidRPr="00AB31FA">
              <w:rPr>
                <w:rFonts w:ascii="Arial" w:hAnsi="Arial"/>
                <w:b/>
                <w:bCs/>
                <w:sz w:val="16"/>
                <w:szCs w:val="16"/>
                <w:lang w:val="en-AU"/>
              </w:rPr>
              <w:t>-2</w:t>
            </w:r>
            <w:r w:rsidR="009D19D3" w:rsidRPr="00AB31FA">
              <w:rPr>
                <w:rFonts w:ascii="Arial" w:hAnsi="Arial"/>
                <w:b/>
                <w:bCs/>
                <w:sz w:val="16"/>
                <w:szCs w:val="16"/>
                <w:lang w:val="en-AU"/>
              </w:rPr>
              <w:t>5</w:t>
            </w:r>
            <w:r w:rsidR="003F4243" w:rsidRPr="00AB31FA">
              <w:rPr>
                <w:rFonts w:ascii="Arial" w:hAnsi="Arial"/>
                <w:b/>
                <w:bCs/>
                <w:sz w:val="16"/>
                <w:szCs w:val="16"/>
                <w:lang w:val="en-AU"/>
              </w:rPr>
              <w:t xml:space="preserve"> </w:t>
            </w:r>
            <w:r w:rsidR="002A5EE0" w:rsidRPr="00AB31FA">
              <w:rPr>
                <w:rFonts w:ascii="Arial" w:hAnsi="Arial"/>
                <w:b/>
                <w:bCs/>
                <w:sz w:val="16"/>
                <w:szCs w:val="16"/>
                <w:lang w:val="en-AU"/>
              </w:rPr>
              <w:t xml:space="preserve">Estimated </w:t>
            </w:r>
            <w:r w:rsidR="00AA6BF6" w:rsidRPr="00AB31FA">
              <w:rPr>
                <w:rFonts w:ascii="Arial" w:hAnsi="Arial"/>
                <w:b/>
                <w:bCs/>
                <w:sz w:val="16"/>
                <w:szCs w:val="16"/>
                <w:lang w:val="en-AU"/>
              </w:rPr>
              <w:t>Actual</w:t>
            </w:r>
            <w:r w:rsidR="002A5EE0" w:rsidRPr="00AB31FA">
              <w:rPr>
                <w:rFonts w:ascii="Arial" w:hAnsi="Arial"/>
                <w:b/>
                <w:bCs/>
                <w:sz w:val="16"/>
                <w:szCs w:val="16"/>
                <w:lang w:val="en-AU"/>
              </w:rPr>
              <w:t xml:space="preserve"> </w:t>
            </w:r>
          </w:p>
        </w:tc>
        <w:tc>
          <w:tcPr>
            <w:tcW w:w="1553" w:type="dxa"/>
            <w:tcBorders>
              <w:top w:val="single" w:sz="4" w:space="0" w:color="auto"/>
              <w:left w:val="nil"/>
              <w:bottom w:val="single" w:sz="4" w:space="0" w:color="auto"/>
              <w:right w:val="nil"/>
            </w:tcBorders>
            <w:vAlign w:val="bottom"/>
            <w:hideMark/>
          </w:tcPr>
          <w:p w14:paraId="4371CBA4" w14:textId="77777777" w:rsidR="00AA6BF6" w:rsidRPr="00AB31FA" w:rsidRDefault="002F404A" w:rsidP="009D19D3">
            <w:pPr>
              <w:spacing w:before="0" w:after="0"/>
              <w:jc w:val="right"/>
              <w:rPr>
                <w:rFonts w:ascii="Arial" w:hAnsi="Arial"/>
                <w:b/>
                <w:bCs/>
                <w:sz w:val="16"/>
                <w:szCs w:val="16"/>
                <w:lang w:val="en-AU"/>
              </w:rPr>
            </w:pPr>
            <w:r w:rsidRPr="00AB31FA">
              <w:rPr>
                <w:rFonts w:ascii="Arial" w:hAnsi="Arial"/>
                <w:b/>
                <w:bCs/>
                <w:sz w:val="16"/>
                <w:szCs w:val="16"/>
                <w:lang w:val="en-AU"/>
              </w:rPr>
              <w:t>202</w:t>
            </w:r>
            <w:r w:rsidR="009D19D3" w:rsidRPr="00AB31FA">
              <w:rPr>
                <w:rFonts w:ascii="Arial" w:hAnsi="Arial"/>
                <w:b/>
                <w:bCs/>
                <w:sz w:val="16"/>
                <w:szCs w:val="16"/>
                <w:lang w:val="en-AU"/>
              </w:rPr>
              <w:t>5</w:t>
            </w:r>
            <w:r w:rsidRPr="00AB31FA">
              <w:rPr>
                <w:rFonts w:ascii="Arial" w:hAnsi="Arial"/>
                <w:b/>
                <w:bCs/>
                <w:sz w:val="16"/>
                <w:szCs w:val="16"/>
                <w:lang w:val="en-AU"/>
              </w:rPr>
              <w:t>-2</w:t>
            </w:r>
            <w:r w:rsidR="009D19D3" w:rsidRPr="00AB31FA">
              <w:rPr>
                <w:rFonts w:ascii="Arial" w:hAnsi="Arial"/>
                <w:b/>
                <w:bCs/>
                <w:sz w:val="16"/>
                <w:szCs w:val="16"/>
                <w:lang w:val="en-AU"/>
              </w:rPr>
              <w:t>6</w:t>
            </w:r>
            <w:r w:rsidR="00AA6BF6" w:rsidRPr="00AB31FA">
              <w:rPr>
                <w:rFonts w:ascii="Arial" w:hAnsi="Arial"/>
                <w:b/>
                <w:bCs/>
                <w:sz w:val="16"/>
                <w:szCs w:val="16"/>
                <w:lang w:val="en-AU"/>
              </w:rPr>
              <w:br/>
              <w:t>Budget</w:t>
            </w:r>
            <w:r w:rsidR="00AA6BF6" w:rsidRPr="00AB31FA">
              <w:rPr>
                <w:rFonts w:ascii="Arial" w:hAnsi="Arial"/>
                <w:b/>
                <w:bCs/>
                <w:sz w:val="16"/>
                <w:szCs w:val="16"/>
                <w:lang w:val="en-AU"/>
              </w:rPr>
              <w:br/>
              <w:t>Estimate</w:t>
            </w:r>
            <w:r w:rsidR="00AB31FA">
              <w:rPr>
                <w:rFonts w:ascii="Arial" w:hAnsi="Arial"/>
                <w:b/>
                <w:bCs/>
                <w:sz w:val="16"/>
                <w:szCs w:val="16"/>
                <w:vertAlign w:val="superscript"/>
                <w:lang w:val="en-AU"/>
              </w:rPr>
              <w:t>[a</w:t>
            </w:r>
            <w:r w:rsidR="00FE0E6D" w:rsidRPr="00AB31FA">
              <w:rPr>
                <w:rFonts w:ascii="Arial" w:hAnsi="Arial"/>
                <w:b/>
                <w:bCs/>
                <w:sz w:val="16"/>
                <w:szCs w:val="16"/>
                <w:vertAlign w:val="superscript"/>
                <w:lang w:val="en-AU"/>
              </w:rPr>
              <w:t>]</w:t>
            </w:r>
          </w:p>
        </w:tc>
      </w:tr>
      <w:tr w:rsidR="00AA6BF6" w:rsidRPr="00AB31FA" w14:paraId="5399B36E" w14:textId="77777777" w:rsidTr="00AB31FA">
        <w:trPr>
          <w:trHeight w:val="270"/>
        </w:trPr>
        <w:tc>
          <w:tcPr>
            <w:tcW w:w="5554" w:type="dxa"/>
            <w:tcBorders>
              <w:top w:val="single" w:sz="4" w:space="0" w:color="auto"/>
              <w:left w:val="nil"/>
              <w:bottom w:val="single" w:sz="4" w:space="0" w:color="auto"/>
              <w:right w:val="nil"/>
            </w:tcBorders>
            <w:shd w:val="clear" w:color="auto" w:fill="E6E6E6"/>
            <w:noWrap/>
            <w:vAlign w:val="bottom"/>
            <w:hideMark/>
          </w:tcPr>
          <w:p w14:paraId="6FD070EC" w14:textId="77777777" w:rsidR="00AA6BF6" w:rsidRPr="00AB31FA" w:rsidRDefault="00AA6BF6" w:rsidP="00FE0E6D">
            <w:pPr>
              <w:spacing w:before="0" w:after="0"/>
              <w:rPr>
                <w:rFonts w:ascii="Arial" w:hAnsi="Arial"/>
                <w:b/>
                <w:bCs/>
                <w:sz w:val="16"/>
                <w:szCs w:val="16"/>
                <w:lang w:val="en-AU"/>
              </w:rPr>
            </w:pPr>
            <w:r w:rsidRPr="00AB31FA">
              <w:rPr>
                <w:rFonts w:ascii="Arial" w:hAnsi="Arial"/>
                <w:b/>
                <w:bCs/>
                <w:sz w:val="16"/>
                <w:szCs w:val="16"/>
                <w:lang w:val="en-AU"/>
              </w:rPr>
              <w:t>Navy</w:t>
            </w:r>
            <w:r w:rsidR="00BF3DBD" w:rsidRPr="00AB31FA">
              <w:rPr>
                <w:rFonts w:ascii="Arial" w:hAnsi="Arial"/>
                <w:b/>
                <w:bCs/>
                <w:sz w:val="16"/>
                <w:szCs w:val="16"/>
                <w:lang w:val="en-AU"/>
              </w:rPr>
              <w:t xml:space="preserve"> </w:t>
            </w:r>
          </w:p>
        </w:tc>
        <w:tc>
          <w:tcPr>
            <w:tcW w:w="1397" w:type="dxa"/>
            <w:tcBorders>
              <w:top w:val="single" w:sz="4" w:space="0" w:color="auto"/>
              <w:left w:val="nil"/>
              <w:bottom w:val="single" w:sz="4" w:space="0" w:color="auto"/>
              <w:right w:val="nil"/>
            </w:tcBorders>
            <w:shd w:val="clear" w:color="auto" w:fill="E6E6E6"/>
            <w:noWrap/>
            <w:vAlign w:val="bottom"/>
            <w:hideMark/>
          </w:tcPr>
          <w:p w14:paraId="2A890A57" w14:textId="77777777" w:rsidR="00AA6BF6" w:rsidRPr="00AB31FA" w:rsidRDefault="00AA6BF6" w:rsidP="006559B9">
            <w:pPr>
              <w:spacing w:before="0" w:after="0"/>
              <w:rPr>
                <w:rFonts w:ascii="Arial" w:hAnsi="Arial"/>
                <w:b/>
                <w:bCs/>
                <w:sz w:val="16"/>
                <w:szCs w:val="16"/>
                <w:lang w:val="en-AU"/>
              </w:rPr>
            </w:pPr>
          </w:p>
        </w:tc>
        <w:tc>
          <w:tcPr>
            <w:tcW w:w="1553" w:type="dxa"/>
            <w:tcBorders>
              <w:top w:val="single" w:sz="4" w:space="0" w:color="auto"/>
              <w:left w:val="nil"/>
              <w:bottom w:val="single" w:sz="4" w:space="0" w:color="auto"/>
              <w:right w:val="nil"/>
            </w:tcBorders>
            <w:shd w:val="clear" w:color="auto" w:fill="E6E6E6"/>
            <w:noWrap/>
            <w:vAlign w:val="bottom"/>
            <w:hideMark/>
          </w:tcPr>
          <w:p w14:paraId="665E8824" w14:textId="77777777" w:rsidR="00AA6BF6" w:rsidRPr="00AB31FA" w:rsidRDefault="00AA6BF6" w:rsidP="006559B9">
            <w:pPr>
              <w:spacing w:before="0" w:after="0"/>
              <w:rPr>
                <w:rFonts w:ascii="Arial" w:hAnsi="Arial"/>
                <w:b/>
                <w:bCs/>
                <w:sz w:val="16"/>
                <w:szCs w:val="16"/>
                <w:lang w:val="en-AU"/>
              </w:rPr>
            </w:pPr>
          </w:p>
        </w:tc>
      </w:tr>
      <w:tr w:rsidR="00AB31FA" w:rsidRPr="00AB31FA" w14:paraId="60BAA040" w14:textId="77777777" w:rsidTr="00AB31FA">
        <w:trPr>
          <w:trHeight w:val="255"/>
        </w:trPr>
        <w:tc>
          <w:tcPr>
            <w:tcW w:w="5554" w:type="dxa"/>
            <w:noWrap/>
            <w:vAlign w:val="bottom"/>
            <w:hideMark/>
          </w:tcPr>
          <w:p w14:paraId="4A856172" w14:textId="67AA6605" w:rsidR="00AB31FA" w:rsidRPr="00AB31FA" w:rsidRDefault="00AB31FA" w:rsidP="00DC27E7">
            <w:pPr>
              <w:spacing w:before="0" w:after="0"/>
              <w:rPr>
                <w:rFonts w:ascii="Arial" w:hAnsi="Arial"/>
                <w:sz w:val="16"/>
                <w:szCs w:val="16"/>
                <w:lang w:val="en-AU"/>
              </w:rPr>
            </w:pPr>
            <w:r w:rsidRPr="00AB31FA">
              <w:rPr>
                <w:rFonts w:ascii="Arial" w:hAnsi="Arial"/>
                <w:sz w:val="16"/>
                <w:szCs w:val="16"/>
                <w:lang w:val="en-AU"/>
              </w:rPr>
              <w:t>One Star and above</w:t>
            </w:r>
            <w:r w:rsidR="00DC27E7">
              <w:rPr>
                <w:rFonts w:ascii="Arial" w:hAnsi="Arial"/>
                <w:sz w:val="16"/>
                <w:szCs w:val="16"/>
                <w:lang w:val="en-AU"/>
              </w:rPr>
              <w:t xml:space="preserve"> </w:t>
            </w:r>
            <w:r w:rsidR="00DC27E7">
              <w:rPr>
                <w:rFonts w:ascii="Arial" w:hAnsi="Arial"/>
                <w:b/>
                <w:bCs/>
                <w:sz w:val="16"/>
                <w:szCs w:val="16"/>
                <w:vertAlign w:val="superscript"/>
                <w:lang w:val="en-AU"/>
              </w:rPr>
              <w:t>[b</w:t>
            </w:r>
            <w:r w:rsidR="00DC27E7" w:rsidRPr="00AB31FA">
              <w:rPr>
                <w:rFonts w:ascii="Arial" w:hAnsi="Arial"/>
                <w:b/>
                <w:bCs/>
                <w:sz w:val="16"/>
                <w:szCs w:val="16"/>
                <w:vertAlign w:val="superscript"/>
                <w:lang w:val="en-AU"/>
              </w:rPr>
              <w:t>]</w:t>
            </w:r>
          </w:p>
        </w:tc>
        <w:tc>
          <w:tcPr>
            <w:tcW w:w="1397" w:type="dxa"/>
            <w:noWrap/>
            <w:vAlign w:val="bottom"/>
          </w:tcPr>
          <w:p w14:paraId="79F82E20" w14:textId="77777777" w:rsidR="00AB31FA" w:rsidRPr="00A074C4" w:rsidRDefault="00AB31FA" w:rsidP="00AB31FA">
            <w:pPr>
              <w:spacing w:before="0" w:after="0"/>
              <w:jc w:val="right"/>
              <w:rPr>
                <w:rFonts w:ascii="Arial" w:hAnsi="Arial"/>
                <w:sz w:val="16"/>
                <w:szCs w:val="16"/>
                <w:lang w:val="en-AU"/>
              </w:rPr>
            </w:pPr>
            <w:r w:rsidRPr="00A074C4">
              <w:rPr>
                <w:rFonts w:ascii="Arial" w:hAnsi="Arial"/>
                <w:sz w:val="16"/>
                <w:szCs w:val="16"/>
                <w:lang w:val="en-AU"/>
              </w:rPr>
              <w:t>83</w:t>
            </w:r>
          </w:p>
        </w:tc>
        <w:tc>
          <w:tcPr>
            <w:tcW w:w="1553" w:type="dxa"/>
            <w:noWrap/>
            <w:vAlign w:val="bottom"/>
          </w:tcPr>
          <w:p w14:paraId="410E680D" w14:textId="77777777" w:rsidR="00AB31FA" w:rsidRPr="00A074C4" w:rsidRDefault="00AB31FA" w:rsidP="00AB31FA">
            <w:pPr>
              <w:spacing w:before="0" w:after="0"/>
              <w:jc w:val="right"/>
              <w:rPr>
                <w:rFonts w:ascii="Arial" w:hAnsi="Arial"/>
                <w:sz w:val="16"/>
                <w:szCs w:val="16"/>
                <w:lang w:val="en-AU"/>
              </w:rPr>
            </w:pPr>
            <w:r w:rsidRPr="00A074C4">
              <w:rPr>
                <w:rFonts w:ascii="Arial" w:hAnsi="Arial"/>
                <w:sz w:val="16"/>
                <w:szCs w:val="16"/>
                <w:lang w:val="en-AU"/>
              </w:rPr>
              <w:t>83</w:t>
            </w:r>
          </w:p>
        </w:tc>
      </w:tr>
      <w:tr w:rsidR="00AB31FA" w:rsidRPr="00AB31FA" w14:paraId="0E73A5B3" w14:textId="77777777" w:rsidTr="00AB31FA">
        <w:trPr>
          <w:trHeight w:val="270"/>
        </w:trPr>
        <w:tc>
          <w:tcPr>
            <w:tcW w:w="5554" w:type="dxa"/>
            <w:noWrap/>
            <w:vAlign w:val="bottom"/>
            <w:hideMark/>
          </w:tcPr>
          <w:p w14:paraId="72A295CF" w14:textId="2AA3C53D" w:rsidR="00AB31FA" w:rsidRPr="00AB31FA" w:rsidRDefault="00AB31FA" w:rsidP="00DC27E7">
            <w:pPr>
              <w:spacing w:before="0" w:after="0"/>
              <w:rPr>
                <w:rFonts w:ascii="Arial" w:hAnsi="Arial"/>
                <w:sz w:val="16"/>
                <w:szCs w:val="16"/>
                <w:lang w:val="en-AU"/>
              </w:rPr>
            </w:pPr>
            <w:r w:rsidRPr="00AB31FA">
              <w:rPr>
                <w:rFonts w:ascii="Arial" w:hAnsi="Arial"/>
                <w:sz w:val="16"/>
                <w:szCs w:val="16"/>
                <w:lang w:val="en-AU"/>
              </w:rPr>
              <w:t>Senior Officers</w:t>
            </w:r>
            <w:r w:rsidR="00DC27E7" w:rsidRPr="00AB31FA">
              <w:rPr>
                <w:rFonts w:ascii="Arial" w:hAnsi="Arial"/>
                <w:b/>
                <w:bCs/>
                <w:sz w:val="16"/>
                <w:szCs w:val="16"/>
                <w:vertAlign w:val="superscript"/>
                <w:lang w:val="en-AU"/>
              </w:rPr>
              <w:t xml:space="preserve"> [c]</w:t>
            </w:r>
          </w:p>
        </w:tc>
        <w:tc>
          <w:tcPr>
            <w:tcW w:w="1397" w:type="dxa"/>
            <w:noWrap/>
            <w:vAlign w:val="bottom"/>
          </w:tcPr>
          <w:p w14:paraId="625A08E1" w14:textId="77777777" w:rsidR="00AB31FA" w:rsidRPr="00A074C4" w:rsidRDefault="00AB31FA" w:rsidP="00AB31FA">
            <w:pPr>
              <w:spacing w:before="0" w:after="0"/>
              <w:jc w:val="right"/>
              <w:rPr>
                <w:rFonts w:ascii="Arial" w:hAnsi="Arial"/>
                <w:sz w:val="16"/>
                <w:szCs w:val="16"/>
                <w:lang w:val="en-AU"/>
              </w:rPr>
            </w:pPr>
            <w:r w:rsidRPr="00A074C4">
              <w:rPr>
                <w:rFonts w:ascii="Arial" w:hAnsi="Arial"/>
                <w:sz w:val="16"/>
                <w:szCs w:val="16"/>
                <w:lang w:val="en-AU"/>
              </w:rPr>
              <w:t>867</w:t>
            </w:r>
          </w:p>
        </w:tc>
        <w:tc>
          <w:tcPr>
            <w:tcW w:w="1553" w:type="dxa"/>
            <w:noWrap/>
            <w:vAlign w:val="bottom"/>
          </w:tcPr>
          <w:p w14:paraId="3313821F" w14:textId="77777777" w:rsidR="00AB31FA" w:rsidRPr="00A074C4" w:rsidRDefault="00AB31FA" w:rsidP="00AB31FA">
            <w:pPr>
              <w:spacing w:before="0" w:after="0"/>
              <w:jc w:val="right"/>
              <w:rPr>
                <w:rFonts w:ascii="Arial" w:hAnsi="Arial"/>
                <w:sz w:val="16"/>
                <w:szCs w:val="16"/>
                <w:lang w:val="en-AU"/>
              </w:rPr>
            </w:pPr>
            <w:r w:rsidRPr="00A074C4">
              <w:rPr>
                <w:rFonts w:ascii="Arial" w:hAnsi="Arial"/>
                <w:sz w:val="16"/>
                <w:szCs w:val="16"/>
                <w:lang w:val="en-AU"/>
              </w:rPr>
              <w:t>873</w:t>
            </w:r>
          </w:p>
        </w:tc>
      </w:tr>
      <w:tr w:rsidR="00AB31FA" w:rsidRPr="00AB31FA" w14:paraId="67CDFE5A" w14:textId="77777777" w:rsidTr="00AB31FA">
        <w:trPr>
          <w:trHeight w:val="255"/>
        </w:trPr>
        <w:tc>
          <w:tcPr>
            <w:tcW w:w="5554" w:type="dxa"/>
            <w:noWrap/>
            <w:vAlign w:val="bottom"/>
            <w:hideMark/>
          </w:tcPr>
          <w:p w14:paraId="05A86D9E" w14:textId="77777777" w:rsidR="00AB31FA" w:rsidRPr="00AB31FA" w:rsidRDefault="00AB31FA" w:rsidP="00AB31FA">
            <w:pPr>
              <w:spacing w:before="0" w:after="0"/>
              <w:rPr>
                <w:rFonts w:ascii="Arial" w:hAnsi="Arial"/>
                <w:sz w:val="16"/>
                <w:szCs w:val="16"/>
                <w:lang w:val="en-AU"/>
              </w:rPr>
            </w:pPr>
            <w:r w:rsidRPr="00AB31FA">
              <w:rPr>
                <w:rFonts w:ascii="Arial" w:hAnsi="Arial"/>
                <w:sz w:val="16"/>
                <w:szCs w:val="16"/>
                <w:lang w:val="en-AU"/>
              </w:rPr>
              <w:t>Officers</w:t>
            </w:r>
          </w:p>
        </w:tc>
        <w:tc>
          <w:tcPr>
            <w:tcW w:w="1397" w:type="dxa"/>
            <w:noWrap/>
            <w:vAlign w:val="bottom"/>
          </w:tcPr>
          <w:p w14:paraId="2981F29C" w14:textId="77777777" w:rsidR="00AB31FA" w:rsidRPr="00A074C4" w:rsidRDefault="00AB31FA" w:rsidP="00AB31FA">
            <w:pPr>
              <w:spacing w:before="0" w:after="0"/>
              <w:jc w:val="right"/>
              <w:rPr>
                <w:rFonts w:ascii="Arial" w:hAnsi="Arial"/>
                <w:sz w:val="16"/>
                <w:szCs w:val="16"/>
                <w:lang w:val="en-AU"/>
              </w:rPr>
            </w:pPr>
            <w:r w:rsidRPr="00A074C4">
              <w:rPr>
                <w:rFonts w:ascii="Arial" w:hAnsi="Arial"/>
                <w:sz w:val="16"/>
                <w:szCs w:val="16"/>
                <w:lang w:val="en-AU"/>
              </w:rPr>
              <w:t>3,550</w:t>
            </w:r>
          </w:p>
        </w:tc>
        <w:tc>
          <w:tcPr>
            <w:tcW w:w="1553" w:type="dxa"/>
            <w:noWrap/>
            <w:vAlign w:val="bottom"/>
          </w:tcPr>
          <w:p w14:paraId="79450497" w14:textId="77777777" w:rsidR="00AB31FA" w:rsidRPr="00A074C4" w:rsidRDefault="00AB31FA" w:rsidP="00AB31FA">
            <w:pPr>
              <w:spacing w:before="0" w:after="0"/>
              <w:jc w:val="right"/>
              <w:rPr>
                <w:rFonts w:ascii="Arial" w:hAnsi="Arial"/>
                <w:sz w:val="16"/>
                <w:szCs w:val="16"/>
                <w:lang w:val="en-AU"/>
              </w:rPr>
            </w:pPr>
            <w:r w:rsidRPr="00A074C4">
              <w:rPr>
                <w:rFonts w:ascii="Arial" w:hAnsi="Arial"/>
                <w:sz w:val="16"/>
                <w:szCs w:val="16"/>
                <w:lang w:val="en-AU"/>
              </w:rPr>
              <w:t>3,576</w:t>
            </w:r>
          </w:p>
        </w:tc>
      </w:tr>
      <w:tr w:rsidR="00AB31FA" w:rsidRPr="00AB31FA" w14:paraId="030DA038" w14:textId="77777777" w:rsidTr="00AB31FA">
        <w:trPr>
          <w:trHeight w:val="255"/>
        </w:trPr>
        <w:tc>
          <w:tcPr>
            <w:tcW w:w="5554" w:type="dxa"/>
            <w:noWrap/>
            <w:vAlign w:val="bottom"/>
            <w:hideMark/>
          </w:tcPr>
          <w:p w14:paraId="64A3B94E" w14:textId="77777777" w:rsidR="00AB31FA" w:rsidRPr="00AB31FA" w:rsidRDefault="00AB31FA" w:rsidP="00AB31FA">
            <w:pPr>
              <w:spacing w:before="0" w:after="0"/>
              <w:rPr>
                <w:rFonts w:ascii="Arial" w:hAnsi="Arial"/>
                <w:sz w:val="16"/>
                <w:szCs w:val="16"/>
                <w:lang w:val="en-AU"/>
              </w:rPr>
            </w:pPr>
            <w:r w:rsidRPr="00AB31FA">
              <w:rPr>
                <w:rFonts w:ascii="Arial" w:hAnsi="Arial"/>
                <w:sz w:val="16"/>
                <w:szCs w:val="16"/>
                <w:lang w:val="en-AU"/>
              </w:rPr>
              <w:t>Other Ranks</w:t>
            </w:r>
          </w:p>
        </w:tc>
        <w:tc>
          <w:tcPr>
            <w:tcW w:w="1397" w:type="dxa"/>
            <w:noWrap/>
            <w:vAlign w:val="bottom"/>
          </w:tcPr>
          <w:p w14:paraId="7808D3C7" w14:textId="77777777" w:rsidR="00AB31FA" w:rsidRPr="00A074C4" w:rsidRDefault="00AB31FA" w:rsidP="00AB31FA">
            <w:pPr>
              <w:spacing w:before="0" w:after="0"/>
              <w:jc w:val="right"/>
              <w:rPr>
                <w:rFonts w:ascii="Arial" w:hAnsi="Arial"/>
                <w:sz w:val="16"/>
                <w:szCs w:val="16"/>
                <w:lang w:val="en-AU"/>
              </w:rPr>
            </w:pPr>
            <w:r w:rsidRPr="00A074C4">
              <w:rPr>
                <w:rFonts w:ascii="Arial" w:hAnsi="Arial"/>
                <w:sz w:val="16"/>
                <w:szCs w:val="16"/>
                <w:lang w:val="en-AU"/>
              </w:rPr>
              <w:t>10,781</w:t>
            </w:r>
          </w:p>
        </w:tc>
        <w:tc>
          <w:tcPr>
            <w:tcW w:w="1553" w:type="dxa"/>
            <w:noWrap/>
            <w:vAlign w:val="bottom"/>
          </w:tcPr>
          <w:p w14:paraId="05B16F75" w14:textId="77777777" w:rsidR="00AB31FA" w:rsidRPr="00A074C4" w:rsidRDefault="00AB31FA" w:rsidP="00AB31FA">
            <w:pPr>
              <w:spacing w:before="0" w:after="0"/>
              <w:jc w:val="right"/>
              <w:rPr>
                <w:rFonts w:ascii="Arial" w:hAnsi="Arial"/>
                <w:sz w:val="16"/>
                <w:szCs w:val="16"/>
                <w:lang w:val="en-AU"/>
              </w:rPr>
            </w:pPr>
            <w:r w:rsidRPr="00A074C4">
              <w:rPr>
                <w:rFonts w:ascii="Arial" w:hAnsi="Arial"/>
                <w:sz w:val="16"/>
                <w:szCs w:val="16"/>
                <w:lang w:val="en-AU"/>
              </w:rPr>
              <w:t>10,860</w:t>
            </w:r>
          </w:p>
        </w:tc>
      </w:tr>
      <w:tr w:rsidR="00AB31FA" w:rsidRPr="00AB31FA" w14:paraId="6FC0FDC7" w14:textId="77777777" w:rsidTr="00AB31FA">
        <w:trPr>
          <w:trHeight w:val="255"/>
        </w:trPr>
        <w:tc>
          <w:tcPr>
            <w:tcW w:w="5554" w:type="dxa"/>
            <w:tcBorders>
              <w:left w:val="nil"/>
              <w:bottom w:val="single" w:sz="4" w:space="0" w:color="auto"/>
              <w:right w:val="nil"/>
            </w:tcBorders>
            <w:noWrap/>
            <w:vAlign w:val="bottom"/>
            <w:hideMark/>
          </w:tcPr>
          <w:p w14:paraId="3CC8271C" w14:textId="77777777" w:rsidR="00AB31FA" w:rsidRPr="00AB31FA" w:rsidRDefault="00AB31FA" w:rsidP="00AB31FA">
            <w:pPr>
              <w:spacing w:before="0" w:after="0"/>
              <w:rPr>
                <w:rFonts w:ascii="Arial" w:hAnsi="Arial"/>
                <w:b/>
                <w:bCs/>
                <w:sz w:val="16"/>
                <w:szCs w:val="16"/>
                <w:lang w:val="en-AU"/>
              </w:rPr>
            </w:pPr>
            <w:r w:rsidRPr="00AB31FA">
              <w:rPr>
                <w:rFonts w:ascii="Arial" w:hAnsi="Arial"/>
                <w:b/>
                <w:bCs/>
                <w:sz w:val="16"/>
                <w:szCs w:val="16"/>
                <w:lang w:val="en-AU"/>
              </w:rPr>
              <w:t>Total Navy</w:t>
            </w:r>
          </w:p>
        </w:tc>
        <w:tc>
          <w:tcPr>
            <w:tcW w:w="1397" w:type="dxa"/>
            <w:tcBorders>
              <w:left w:val="nil"/>
              <w:bottom w:val="single" w:sz="4" w:space="0" w:color="auto"/>
              <w:right w:val="nil"/>
            </w:tcBorders>
            <w:noWrap/>
            <w:vAlign w:val="bottom"/>
          </w:tcPr>
          <w:p w14:paraId="659141CD" w14:textId="77777777" w:rsidR="00AB31FA" w:rsidRPr="00A074C4" w:rsidRDefault="00AB31FA" w:rsidP="00AB31FA">
            <w:pPr>
              <w:spacing w:before="0" w:after="0"/>
              <w:jc w:val="right"/>
              <w:rPr>
                <w:rFonts w:ascii="Arial" w:hAnsi="Arial"/>
                <w:b/>
                <w:bCs/>
                <w:sz w:val="16"/>
                <w:szCs w:val="16"/>
                <w:lang w:val="en-AU"/>
              </w:rPr>
            </w:pPr>
            <w:r w:rsidRPr="00A074C4">
              <w:rPr>
                <w:rFonts w:ascii="Arial" w:hAnsi="Arial"/>
                <w:b/>
                <w:bCs/>
                <w:sz w:val="16"/>
                <w:szCs w:val="16"/>
                <w:lang w:val="en-AU"/>
              </w:rPr>
              <w:t>15,282</w:t>
            </w:r>
          </w:p>
        </w:tc>
        <w:tc>
          <w:tcPr>
            <w:tcW w:w="1553" w:type="dxa"/>
            <w:tcBorders>
              <w:left w:val="nil"/>
              <w:bottom w:val="single" w:sz="4" w:space="0" w:color="auto"/>
              <w:right w:val="nil"/>
            </w:tcBorders>
            <w:noWrap/>
            <w:vAlign w:val="bottom"/>
          </w:tcPr>
          <w:p w14:paraId="10964425" w14:textId="77777777" w:rsidR="00AB31FA" w:rsidRPr="00A074C4" w:rsidRDefault="00AB31FA" w:rsidP="00AB31FA">
            <w:pPr>
              <w:spacing w:before="0" w:after="0"/>
              <w:jc w:val="right"/>
              <w:rPr>
                <w:rFonts w:ascii="Arial" w:hAnsi="Arial"/>
                <w:b/>
                <w:bCs/>
                <w:sz w:val="16"/>
                <w:szCs w:val="16"/>
                <w:lang w:val="en-AU"/>
              </w:rPr>
            </w:pPr>
            <w:r w:rsidRPr="00A074C4">
              <w:rPr>
                <w:rFonts w:ascii="Arial" w:hAnsi="Arial"/>
                <w:b/>
                <w:bCs/>
                <w:sz w:val="16"/>
                <w:szCs w:val="16"/>
                <w:lang w:val="en-AU"/>
              </w:rPr>
              <w:t>15,392</w:t>
            </w:r>
          </w:p>
        </w:tc>
      </w:tr>
      <w:tr w:rsidR="00BF7F97" w:rsidRPr="00AB31FA" w14:paraId="08D793F4" w14:textId="77777777" w:rsidTr="00AB31FA">
        <w:trPr>
          <w:trHeight w:val="270"/>
        </w:trPr>
        <w:tc>
          <w:tcPr>
            <w:tcW w:w="5554" w:type="dxa"/>
            <w:tcBorders>
              <w:top w:val="single" w:sz="4" w:space="0" w:color="auto"/>
              <w:left w:val="nil"/>
              <w:bottom w:val="single" w:sz="4" w:space="0" w:color="auto"/>
              <w:right w:val="nil"/>
            </w:tcBorders>
            <w:shd w:val="clear" w:color="auto" w:fill="E6E6E6"/>
            <w:noWrap/>
            <w:vAlign w:val="bottom"/>
            <w:hideMark/>
          </w:tcPr>
          <w:p w14:paraId="59D4C04A" w14:textId="77777777" w:rsidR="00BF7F97" w:rsidRPr="00AB31FA" w:rsidRDefault="00BF7F97" w:rsidP="00BF7F97">
            <w:pPr>
              <w:spacing w:before="0" w:after="0"/>
              <w:rPr>
                <w:rFonts w:ascii="Arial" w:hAnsi="Arial"/>
                <w:b/>
                <w:bCs/>
                <w:sz w:val="16"/>
                <w:szCs w:val="16"/>
                <w:lang w:val="en-AU"/>
              </w:rPr>
            </w:pPr>
            <w:r w:rsidRPr="00AB31FA">
              <w:rPr>
                <w:rFonts w:ascii="Arial" w:hAnsi="Arial"/>
                <w:b/>
                <w:bCs/>
                <w:sz w:val="16"/>
                <w:szCs w:val="16"/>
                <w:lang w:val="en-AU"/>
              </w:rPr>
              <w:t>Army</w:t>
            </w:r>
            <w:r w:rsidR="00AB31FA">
              <w:rPr>
                <w:rFonts w:ascii="Arial" w:hAnsi="Arial"/>
                <w:b/>
                <w:bCs/>
                <w:sz w:val="16"/>
                <w:szCs w:val="16"/>
                <w:vertAlign w:val="superscript"/>
                <w:lang w:val="en-AU"/>
              </w:rPr>
              <w:t xml:space="preserve"> </w:t>
            </w:r>
          </w:p>
        </w:tc>
        <w:tc>
          <w:tcPr>
            <w:tcW w:w="1397" w:type="dxa"/>
            <w:tcBorders>
              <w:top w:val="single" w:sz="4" w:space="0" w:color="auto"/>
              <w:left w:val="nil"/>
              <w:bottom w:val="single" w:sz="4" w:space="0" w:color="auto"/>
              <w:right w:val="nil"/>
            </w:tcBorders>
            <w:shd w:val="clear" w:color="auto" w:fill="E6E6E6"/>
            <w:noWrap/>
            <w:vAlign w:val="bottom"/>
          </w:tcPr>
          <w:p w14:paraId="51E1C09B" w14:textId="77777777" w:rsidR="00BF7F97" w:rsidRPr="00AB31FA" w:rsidRDefault="00BF7F97" w:rsidP="00BF7F97">
            <w:pPr>
              <w:spacing w:before="0" w:after="0"/>
              <w:rPr>
                <w:rFonts w:ascii="Arial" w:hAnsi="Arial"/>
                <w:b/>
                <w:bCs/>
                <w:sz w:val="16"/>
                <w:szCs w:val="16"/>
                <w:lang w:val="en-AU"/>
              </w:rPr>
            </w:pPr>
          </w:p>
        </w:tc>
        <w:tc>
          <w:tcPr>
            <w:tcW w:w="1553" w:type="dxa"/>
            <w:tcBorders>
              <w:top w:val="single" w:sz="4" w:space="0" w:color="auto"/>
              <w:left w:val="nil"/>
              <w:bottom w:val="single" w:sz="4" w:space="0" w:color="auto"/>
              <w:right w:val="nil"/>
            </w:tcBorders>
            <w:shd w:val="clear" w:color="auto" w:fill="E6E6E6"/>
            <w:noWrap/>
            <w:vAlign w:val="bottom"/>
          </w:tcPr>
          <w:p w14:paraId="5CA6DF76" w14:textId="77777777" w:rsidR="00BF7F97" w:rsidRPr="00AB31FA" w:rsidRDefault="00BF7F97" w:rsidP="00BF7F97">
            <w:pPr>
              <w:spacing w:before="0" w:after="0"/>
              <w:rPr>
                <w:rFonts w:ascii="Arial" w:hAnsi="Arial"/>
                <w:b/>
                <w:bCs/>
                <w:sz w:val="16"/>
                <w:szCs w:val="16"/>
                <w:lang w:val="en-AU"/>
              </w:rPr>
            </w:pPr>
          </w:p>
        </w:tc>
      </w:tr>
      <w:tr w:rsidR="00AB31FA" w:rsidRPr="00AB31FA" w14:paraId="33BFBB0F" w14:textId="77777777" w:rsidTr="00AB31FA">
        <w:trPr>
          <w:trHeight w:val="255"/>
        </w:trPr>
        <w:tc>
          <w:tcPr>
            <w:tcW w:w="5554" w:type="dxa"/>
            <w:noWrap/>
            <w:vAlign w:val="bottom"/>
            <w:hideMark/>
          </w:tcPr>
          <w:p w14:paraId="5153A233" w14:textId="1811AC81" w:rsidR="00AB31FA" w:rsidRPr="00AB31FA" w:rsidRDefault="00AB31FA" w:rsidP="00DC27E7">
            <w:pPr>
              <w:spacing w:before="0" w:after="0"/>
              <w:rPr>
                <w:rFonts w:ascii="Arial" w:hAnsi="Arial"/>
                <w:sz w:val="16"/>
                <w:szCs w:val="16"/>
                <w:lang w:val="en-AU"/>
              </w:rPr>
            </w:pPr>
            <w:r w:rsidRPr="00AB31FA">
              <w:rPr>
                <w:rFonts w:ascii="Arial" w:hAnsi="Arial"/>
                <w:sz w:val="16"/>
                <w:szCs w:val="16"/>
                <w:lang w:val="en-AU"/>
              </w:rPr>
              <w:t>One Star and above</w:t>
            </w:r>
            <w:r w:rsidR="00DC27E7">
              <w:rPr>
                <w:rFonts w:ascii="Arial" w:hAnsi="Arial"/>
                <w:sz w:val="16"/>
                <w:szCs w:val="16"/>
                <w:lang w:val="en-AU"/>
              </w:rPr>
              <w:t xml:space="preserve"> </w:t>
            </w:r>
            <w:r w:rsidR="00DC27E7" w:rsidRPr="00AB31FA">
              <w:rPr>
                <w:rFonts w:ascii="Arial" w:hAnsi="Arial"/>
                <w:b/>
                <w:bCs/>
                <w:sz w:val="16"/>
                <w:szCs w:val="16"/>
                <w:vertAlign w:val="superscript"/>
                <w:lang w:val="en-AU"/>
              </w:rPr>
              <w:t>[</w:t>
            </w:r>
            <w:r w:rsidR="00DC27E7">
              <w:rPr>
                <w:rFonts w:ascii="Arial" w:hAnsi="Arial"/>
                <w:b/>
                <w:bCs/>
                <w:sz w:val="16"/>
                <w:szCs w:val="16"/>
                <w:vertAlign w:val="superscript"/>
                <w:lang w:val="en-AU"/>
              </w:rPr>
              <w:t>b</w:t>
            </w:r>
            <w:r w:rsidR="00DC27E7" w:rsidRPr="00AB31FA">
              <w:rPr>
                <w:rFonts w:ascii="Arial" w:hAnsi="Arial"/>
                <w:b/>
                <w:bCs/>
                <w:sz w:val="16"/>
                <w:szCs w:val="16"/>
                <w:vertAlign w:val="superscript"/>
                <w:lang w:val="en-AU"/>
              </w:rPr>
              <w:t>]</w:t>
            </w:r>
          </w:p>
        </w:tc>
        <w:tc>
          <w:tcPr>
            <w:tcW w:w="1397" w:type="dxa"/>
            <w:noWrap/>
            <w:vAlign w:val="bottom"/>
          </w:tcPr>
          <w:p w14:paraId="10825EF7" w14:textId="77777777" w:rsidR="00AB31FA" w:rsidRPr="00A074C4" w:rsidRDefault="00AB31FA" w:rsidP="00AB31FA">
            <w:pPr>
              <w:spacing w:before="0" w:after="0"/>
              <w:jc w:val="right"/>
              <w:rPr>
                <w:rFonts w:ascii="Arial" w:hAnsi="Arial"/>
                <w:sz w:val="16"/>
                <w:szCs w:val="16"/>
                <w:lang w:val="en-AU"/>
              </w:rPr>
            </w:pPr>
            <w:r w:rsidRPr="00A074C4">
              <w:rPr>
                <w:rFonts w:ascii="Arial" w:hAnsi="Arial"/>
                <w:sz w:val="16"/>
                <w:szCs w:val="16"/>
                <w:lang w:val="en-AU"/>
              </w:rPr>
              <w:t>97</w:t>
            </w:r>
          </w:p>
        </w:tc>
        <w:tc>
          <w:tcPr>
            <w:tcW w:w="1553" w:type="dxa"/>
            <w:noWrap/>
            <w:vAlign w:val="bottom"/>
          </w:tcPr>
          <w:p w14:paraId="7481D470" w14:textId="77777777" w:rsidR="00AB31FA" w:rsidRPr="00A074C4" w:rsidRDefault="00AB31FA" w:rsidP="00AB31FA">
            <w:pPr>
              <w:spacing w:before="0" w:after="0"/>
              <w:jc w:val="right"/>
              <w:rPr>
                <w:rFonts w:ascii="Arial" w:hAnsi="Arial"/>
                <w:sz w:val="16"/>
                <w:szCs w:val="16"/>
                <w:lang w:val="en-AU"/>
              </w:rPr>
            </w:pPr>
            <w:r w:rsidRPr="00A074C4">
              <w:rPr>
                <w:rFonts w:ascii="Arial" w:hAnsi="Arial"/>
                <w:sz w:val="16"/>
                <w:szCs w:val="16"/>
                <w:lang w:val="en-AU"/>
              </w:rPr>
              <w:t>97</w:t>
            </w:r>
          </w:p>
        </w:tc>
      </w:tr>
      <w:tr w:rsidR="00AB31FA" w:rsidRPr="00AB31FA" w14:paraId="539E6738" w14:textId="77777777" w:rsidTr="00AB31FA">
        <w:trPr>
          <w:trHeight w:val="270"/>
        </w:trPr>
        <w:tc>
          <w:tcPr>
            <w:tcW w:w="5554" w:type="dxa"/>
            <w:noWrap/>
            <w:vAlign w:val="bottom"/>
            <w:hideMark/>
          </w:tcPr>
          <w:p w14:paraId="5D77F75A" w14:textId="0D2AD2A9" w:rsidR="00AB31FA" w:rsidRPr="00AB31FA" w:rsidRDefault="00AB31FA" w:rsidP="00DC27E7">
            <w:pPr>
              <w:spacing w:before="0" w:after="0"/>
              <w:rPr>
                <w:rFonts w:ascii="Arial" w:hAnsi="Arial"/>
                <w:sz w:val="16"/>
                <w:szCs w:val="16"/>
                <w:lang w:val="en-AU"/>
              </w:rPr>
            </w:pPr>
            <w:r w:rsidRPr="00AB31FA">
              <w:rPr>
                <w:rFonts w:ascii="Arial" w:hAnsi="Arial"/>
                <w:sz w:val="16"/>
                <w:szCs w:val="16"/>
                <w:lang w:val="en-AU"/>
              </w:rPr>
              <w:t>Senior Officers</w:t>
            </w:r>
            <w:r w:rsidR="00DC27E7" w:rsidRPr="00AB31FA">
              <w:rPr>
                <w:rFonts w:ascii="Arial" w:hAnsi="Arial"/>
                <w:b/>
                <w:bCs/>
                <w:sz w:val="16"/>
                <w:szCs w:val="16"/>
                <w:vertAlign w:val="superscript"/>
                <w:lang w:val="en-AU"/>
              </w:rPr>
              <w:t xml:space="preserve"> [c]</w:t>
            </w:r>
          </w:p>
        </w:tc>
        <w:tc>
          <w:tcPr>
            <w:tcW w:w="1397" w:type="dxa"/>
            <w:noWrap/>
            <w:vAlign w:val="bottom"/>
          </w:tcPr>
          <w:p w14:paraId="5E592DC8" w14:textId="77777777" w:rsidR="00AB31FA" w:rsidRPr="00A074C4" w:rsidRDefault="00AB31FA" w:rsidP="00AB31FA">
            <w:pPr>
              <w:spacing w:before="0" w:after="0"/>
              <w:jc w:val="right"/>
              <w:rPr>
                <w:rFonts w:ascii="Arial" w:hAnsi="Arial"/>
                <w:sz w:val="16"/>
                <w:szCs w:val="16"/>
                <w:lang w:val="en-AU"/>
              </w:rPr>
            </w:pPr>
            <w:r w:rsidRPr="00A074C4">
              <w:rPr>
                <w:rFonts w:ascii="Arial" w:hAnsi="Arial"/>
                <w:sz w:val="16"/>
                <w:szCs w:val="16"/>
                <w:lang w:val="en-AU"/>
              </w:rPr>
              <w:t>1,077</w:t>
            </w:r>
          </w:p>
        </w:tc>
        <w:tc>
          <w:tcPr>
            <w:tcW w:w="1553" w:type="dxa"/>
            <w:noWrap/>
            <w:vAlign w:val="bottom"/>
          </w:tcPr>
          <w:p w14:paraId="1E3E35B0" w14:textId="77777777" w:rsidR="00AB31FA" w:rsidRPr="00A074C4" w:rsidRDefault="00AB31FA" w:rsidP="00AB31FA">
            <w:pPr>
              <w:spacing w:before="0" w:after="0"/>
              <w:jc w:val="right"/>
              <w:rPr>
                <w:rFonts w:ascii="Arial" w:hAnsi="Arial"/>
                <w:sz w:val="16"/>
                <w:szCs w:val="16"/>
                <w:lang w:val="en-AU"/>
              </w:rPr>
            </w:pPr>
            <w:r w:rsidRPr="00A074C4">
              <w:rPr>
                <w:rFonts w:ascii="Arial" w:hAnsi="Arial"/>
                <w:sz w:val="16"/>
                <w:szCs w:val="16"/>
                <w:lang w:val="en-AU"/>
              </w:rPr>
              <w:t>1,078</w:t>
            </w:r>
          </w:p>
        </w:tc>
      </w:tr>
      <w:tr w:rsidR="00AB31FA" w:rsidRPr="00AB31FA" w14:paraId="4A8108DB" w14:textId="77777777" w:rsidTr="00AB31FA">
        <w:trPr>
          <w:trHeight w:val="255"/>
        </w:trPr>
        <w:tc>
          <w:tcPr>
            <w:tcW w:w="5554" w:type="dxa"/>
            <w:noWrap/>
            <w:vAlign w:val="bottom"/>
            <w:hideMark/>
          </w:tcPr>
          <w:p w14:paraId="7EEAB7B7" w14:textId="77777777" w:rsidR="00AB31FA" w:rsidRPr="00AB31FA" w:rsidRDefault="00AB31FA" w:rsidP="00AB31FA">
            <w:pPr>
              <w:spacing w:before="0" w:after="0"/>
              <w:rPr>
                <w:rFonts w:ascii="Arial" w:hAnsi="Arial"/>
                <w:sz w:val="16"/>
                <w:szCs w:val="16"/>
                <w:lang w:val="en-AU"/>
              </w:rPr>
            </w:pPr>
            <w:r w:rsidRPr="00AB31FA">
              <w:rPr>
                <w:rFonts w:ascii="Arial" w:hAnsi="Arial"/>
                <w:sz w:val="16"/>
                <w:szCs w:val="16"/>
                <w:lang w:val="en-AU"/>
              </w:rPr>
              <w:t>Officers</w:t>
            </w:r>
          </w:p>
        </w:tc>
        <w:tc>
          <w:tcPr>
            <w:tcW w:w="1397" w:type="dxa"/>
            <w:noWrap/>
            <w:vAlign w:val="bottom"/>
          </w:tcPr>
          <w:p w14:paraId="0D96E8A9" w14:textId="77777777" w:rsidR="00AB31FA" w:rsidRPr="00A074C4" w:rsidRDefault="00AB31FA" w:rsidP="00AB31FA">
            <w:pPr>
              <w:spacing w:before="0" w:after="0"/>
              <w:jc w:val="right"/>
              <w:rPr>
                <w:rFonts w:ascii="Arial" w:hAnsi="Arial"/>
                <w:sz w:val="16"/>
                <w:szCs w:val="16"/>
                <w:lang w:val="en-AU"/>
              </w:rPr>
            </w:pPr>
            <w:r w:rsidRPr="00A074C4">
              <w:rPr>
                <w:rFonts w:ascii="Arial" w:hAnsi="Arial"/>
                <w:sz w:val="16"/>
                <w:szCs w:val="16"/>
                <w:lang w:val="en-AU"/>
              </w:rPr>
              <w:t>5,369</w:t>
            </w:r>
          </w:p>
        </w:tc>
        <w:tc>
          <w:tcPr>
            <w:tcW w:w="1553" w:type="dxa"/>
            <w:noWrap/>
            <w:vAlign w:val="bottom"/>
          </w:tcPr>
          <w:p w14:paraId="71685490" w14:textId="77777777" w:rsidR="00AB31FA" w:rsidRPr="00A074C4" w:rsidRDefault="00AB31FA" w:rsidP="00AB31FA">
            <w:pPr>
              <w:spacing w:before="0" w:after="0"/>
              <w:jc w:val="right"/>
              <w:rPr>
                <w:rFonts w:ascii="Arial" w:hAnsi="Arial"/>
                <w:sz w:val="16"/>
                <w:szCs w:val="16"/>
                <w:lang w:val="en-AU"/>
              </w:rPr>
            </w:pPr>
            <w:r w:rsidRPr="00A074C4">
              <w:rPr>
                <w:rFonts w:ascii="Arial" w:hAnsi="Arial"/>
                <w:sz w:val="16"/>
                <w:szCs w:val="16"/>
                <w:lang w:val="en-AU"/>
              </w:rPr>
              <w:t>5,376</w:t>
            </w:r>
          </w:p>
        </w:tc>
      </w:tr>
      <w:tr w:rsidR="00AB31FA" w:rsidRPr="00AB31FA" w14:paraId="345F3AD3" w14:textId="77777777" w:rsidTr="00AB31FA">
        <w:trPr>
          <w:trHeight w:val="255"/>
        </w:trPr>
        <w:tc>
          <w:tcPr>
            <w:tcW w:w="5554" w:type="dxa"/>
            <w:noWrap/>
            <w:vAlign w:val="bottom"/>
            <w:hideMark/>
          </w:tcPr>
          <w:p w14:paraId="533D8CCE" w14:textId="77777777" w:rsidR="00AB31FA" w:rsidRPr="00AB31FA" w:rsidRDefault="00AB31FA" w:rsidP="00AB31FA">
            <w:pPr>
              <w:spacing w:before="0" w:after="0"/>
              <w:rPr>
                <w:rFonts w:ascii="Arial" w:hAnsi="Arial"/>
                <w:sz w:val="16"/>
                <w:szCs w:val="16"/>
                <w:lang w:val="en-AU"/>
              </w:rPr>
            </w:pPr>
            <w:r w:rsidRPr="00AB31FA">
              <w:rPr>
                <w:rFonts w:ascii="Arial" w:hAnsi="Arial"/>
                <w:sz w:val="16"/>
                <w:szCs w:val="16"/>
                <w:lang w:val="en-AU"/>
              </w:rPr>
              <w:t>Other Ranks</w:t>
            </w:r>
          </w:p>
        </w:tc>
        <w:tc>
          <w:tcPr>
            <w:tcW w:w="1397" w:type="dxa"/>
            <w:noWrap/>
            <w:vAlign w:val="bottom"/>
          </w:tcPr>
          <w:p w14:paraId="7B4F8D1B" w14:textId="77777777" w:rsidR="00AB31FA" w:rsidRPr="00A074C4" w:rsidRDefault="00AB31FA" w:rsidP="00AB31FA">
            <w:pPr>
              <w:spacing w:before="0" w:after="0"/>
              <w:jc w:val="right"/>
              <w:rPr>
                <w:rFonts w:ascii="Arial" w:hAnsi="Arial"/>
                <w:sz w:val="16"/>
                <w:szCs w:val="16"/>
                <w:lang w:val="en-AU"/>
              </w:rPr>
            </w:pPr>
            <w:r w:rsidRPr="00A074C4">
              <w:rPr>
                <w:rFonts w:ascii="Arial" w:hAnsi="Arial"/>
                <w:sz w:val="16"/>
                <w:szCs w:val="16"/>
                <w:lang w:val="en-AU"/>
              </w:rPr>
              <w:t>21,193</w:t>
            </w:r>
          </w:p>
        </w:tc>
        <w:tc>
          <w:tcPr>
            <w:tcW w:w="1553" w:type="dxa"/>
            <w:noWrap/>
            <w:vAlign w:val="bottom"/>
          </w:tcPr>
          <w:p w14:paraId="35E52F95" w14:textId="77777777" w:rsidR="00AB31FA" w:rsidRPr="00A074C4" w:rsidRDefault="00AB31FA" w:rsidP="00AB31FA">
            <w:pPr>
              <w:spacing w:before="0" w:after="0"/>
              <w:jc w:val="right"/>
              <w:rPr>
                <w:rFonts w:ascii="Arial" w:hAnsi="Arial"/>
                <w:sz w:val="16"/>
                <w:szCs w:val="16"/>
                <w:lang w:val="en-AU"/>
              </w:rPr>
            </w:pPr>
            <w:r w:rsidRPr="00A074C4">
              <w:rPr>
                <w:rFonts w:ascii="Arial" w:hAnsi="Arial"/>
                <w:sz w:val="16"/>
                <w:szCs w:val="16"/>
                <w:lang w:val="en-AU"/>
              </w:rPr>
              <w:t>21,221</w:t>
            </w:r>
          </w:p>
        </w:tc>
      </w:tr>
      <w:tr w:rsidR="00AB31FA" w:rsidRPr="00AB31FA" w14:paraId="70B724E8" w14:textId="77777777" w:rsidTr="00AB31FA">
        <w:trPr>
          <w:trHeight w:val="255"/>
        </w:trPr>
        <w:tc>
          <w:tcPr>
            <w:tcW w:w="5554" w:type="dxa"/>
            <w:tcBorders>
              <w:left w:val="nil"/>
              <w:bottom w:val="single" w:sz="4" w:space="0" w:color="auto"/>
              <w:right w:val="nil"/>
            </w:tcBorders>
            <w:noWrap/>
            <w:vAlign w:val="bottom"/>
            <w:hideMark/>
          </w:tcPr>
          <w:p w14:paraId="4460865F" w14:textId="77777777" w:rsidR="00AB31FA" w:rsidRPr="00AB31FA" w:rsidRDefault="00AB31FA" w:rsidP="00AB31FA">
            <w:pPr>
              <w:spacing w:before="0" w:after="0"/>
              <w:rPr>
                <w:rFonts w:ascii="Arial" w:hAnsi="Arial"/>
                <w:b/>
                <w:bCs/>
                <w:sz w:val="16"/>
                <w:szCs w:val="16"/>
                <w:lang w:val="en-AU"/>
              </w:rPr>
            </w:pPr>
            <w:r w:rsidRPr="00AB31FA">
              <w:rPr>
                <w:rFonts w:ascii="Arial" w:hAnsi="Arial"/>
                <w:b/>
                <w:bCs/>
                <w:sz w:val="16"/>
                <w:szCs w:val="16"/>
                <w:lang w:val="en-AU"/>
              </w:rPr>
              <w:t>Total Army</w:t>
            </w:r>
          </w:p>
        </w:tc>
        <w:tc>
          <w:tcPr>
            <w:tcW w:w="1397" w:type="dxa"/>
            <w:tcBorders>
              <w:left w:val="nil"/>
              <w:bottom w:val="single" w:sz="4" w:space="0" w:color="auto"/>
              <w:right w:val="nil"/>
            </w:tcBorders>
            <w:noWrap/>
            <w:vAlign w:val="bottom"/>
          </w:tcPr>
          <w:p w14:paraId="460FBC8F" w14:textId="77777777" w:rsidR="00AB31FA" w:rsidRPr="00A074C4" w:rsidRDefault="00AB31FA" w:rsidP="00AB31FA">
            <w:pPr>
              <w:spacing w:before="0" w:after="0"/>
              <w:jc w:val="right"/>
              <w:rPr>
                <w:rFonts w:ascii="Arial" w:hAnsi="Arial"/>
                <w:b/>
                <w:bCs/>
                <w:sz w:val="16"/>
                <w:szCs w:val="16"/>
                <w:lang w:val="en-AU"/>
              </w:rPr>
            </w:pPr>
            <w:r w:rsidRPr="00A074C4">
              <w:rPr>
                <w:rFonts w:ascii="Arial" w:hAnsi="Arial"/>
                <w:b/>
                <w:bCs/>
                <w:sz w:val="16"/>
                <w:szCs w:val="16"/>
                <w:lang w:val="en-AU"/>
              </w:rPr>
              <w:t>27,736</w:t>
            </w:r>
          </w:p>
        </w:tc>
        <w:tc>
          <w:tcPr>
            <w:tcW w:w="1553" w:type="dxa"/>
            <w:tcBorders>
              <w:left w:val="nil"/>
              <w:bottom w:val="single" w:sz="4" w:space="0" w:color="auto"/>
              <w:right w:val="nil"/>
            </w:tcBorders>
            <w:noWrap/>
            <w:vAlign w:val="bottom"/>
          </w:tcPr>
          <w:p w14:paraId="64C18FD1" w14:textId="77777777" w:rsidR="00AB31FA" w:rsidRPr="00A074C4" w:rsidRDefault="00AB31FA" w:rsidP="00AB31FA">
            <w:pPr>
              <w:spacing w:before="0" w:after="0"/>
              <w:jc w:val="right"/>
              <w:rPr>
                <w:rFonts w:ascii="Arial" w:hAnsi="Arial"/>
                <w:b/>
                <w:bCs/>
                <w:sz w:val="16"/>
                <w:szCs w:val="16"/>
                <w:lang w:val="en-AU"/>
              </w:rPr>
            </w:pPr>
            <w:r w:rsidRPr="00A074C4">
              <w:rPr>
                <w:rFonts w:ascii="Arial" w:hAnsi="Arial"/>
                <w:b/>
                <w:bCs/>
                <w:sz w:val="16"/>
                <w:szCs w:val="16"/>
                <w:lang w:val="en-AU"/>
              </w:rPr>
              <w:t>27,773</w:t>
            </w:r>
          </w:p>
        </w:tc>
      </w:tr>
      <w:tr w:rsidR="00BF7F97" w:rsidRPr="00AB31FA" w14:paraId="0D3A44F9" w14:textId="77777777" w:rsidTr="00AB31FA">
        <w:trPr>
          <w:trHeight w:val="270"/>
        </w:trPr>
        <w:tc>
          <w:tcPr>
            <w:tcW w:w="5554" w:type="dxa"/>
            <w:tcBorders>
              <w:top w:val="single" w:sz="4" w:space="0" w:color="auto"/>
              <w:left w:val="nil"/>
              <w:bottom w:val="single" w:sz="4" w:space="0" w:color="auto"/>
              <w:right w:val="nil"/>
            </w:tcBorders>
            <w:shd w:val="clear" w:color="auto" w:fill="E6E6E6"/>
            <w:noWrap/>
            <w:vAlign w:val="bottom"/>
            <w:hideMark/>
          </w:tcPr>
          <w:p w14:paraId="3D0FCC45" w14:textId="77777777" w:rsidR="00BF7F97" w:rsidRPr="00AB31FA" w:rsidRDefault="00BF7F97" w:rsidP="00FE0E6D">
            <w:pPr>
              <w:spacing w:before="0" w:after="0"/>
              <w:rPr>
                <w:rFonts w:ascii="Arial" w:hAnsi="Arial"/>
                <w:b/>
                <w:bCs/>
                <w:sz w:val="16"/>
                <w:szCs w:val="16"/>
                <w:lang w:val="en-AU"/>
              </w:rPr>
            </w:pPr>
            <w:r w:rsidRPr="00AB31FA">
              <w:rPr>
                <w:rFonts w:ascii="Arial" w:hAnsi="Arial"/>
                <w:b/>
                <w:bCs/>
                <w:sz w:val="16"/>
                <w:szCs w:val="16"/>
                <w:lang w:val="en-AU"/>
              </w:rPr>
              <w:t>Air Force</w:t>
            </w:r>
            <w:r w:rsidR="00BF3DBD" w:rsidRPr="00AB31FA">
              <w:rPr>
                <w:rFonts w:ascii="Arial" w:hAnsi="Arial"/>
                <w:b/>
                <w:bCs/>
                <w:sz w:val="16"/>
                <w:szCs w:val="16"/>
                <w:lang w:val="en-AU"/>
              </w:rPr>
              <w:t xml:space="preserve"> </w:t>
            </w:r>
          </w:p>
        </w:tc>
        <w:tc>
          <w:tcPr>
            <w:tcW w:w="1397" w:type="dxa"/>
            <w:tcBorders>
              <w:top w:val="single" w:sz="4" w:space="0" w:color="auto"/>
              <w:left w:val="nil"/>
              <w:bottom w:val="single" w:sz="4" w:space="0" w:color="auto"/>
              <w:right w:val="nil"/>
            </w:tcBorders>
            <w:shd w:val="clear" w:color="auto" w:fill="E6E6E6"/>
            <w:noWrap/>
            <w:vAlign w:val="bottom"/>
          </w:tcPr>
          <w:p w14:paraId="221C53CD" w14:textId="77777777" w:rsidR="00BF7F97" w:rsidRPr="00AB31FA" w:rsidRDefault="00BF7F97" w:rsidP="00BF7F97">
            <w:pPr>
              <w:spacing w:before="0" w:after="0"/>
              <w:rPr>
                <w:rFonts w:ascii="Arial" w:hAnsi="Arial"/>
                <w:b/>
                <w:bCs/>
                <w:sz w:val="16"/>
                <w:szCs w:val="16"/>
                <w:lang w:val="en-AU"/>
              </w:rPr>
            </w:pPr>
          </w:p>
        </w:tc>
        <w:tc>
          <w:tcPr>
            <w:tcW w:w="1553" w:type="dxa"/>
            <w:tcBorders>
              <w:top w:val="single" w:sz="4" w:space="0" w:color="auto"/>
              <w:left w:val="nil"/>
              <w:bottom w:val="single" w:sz="4" w:space="0" w:color="auto"/>
              <w:right w:val="nil"/>
            </w:tcBorders>
            <w:shd w:val="clear" w:color="auto" w:fill="E6E6E6"/>
            <w:noWrap/>
            <w:vAlign w:val="bottom"/>
          </w:tcPr>
          <w:p w14:paraId="33C7A60E" w14:textId="77777777" w:rsidR="00BF7F97" w:rsidRPr="00AB31FA" w:rsidRDefault="00BF7F97" w:rsidP="00BF7F97">
            <w:pPr>
              <w:spacing w:before="0" w:after="0"/>
              <w:rPr>
                <w:rFonts w:ascii="Arial" w:hAnsi="Arial"/>
                <w:b/>
                <w:bCs/>
                <w:sz w:val="16"/>
                <w:szCs w:val="16"/>
                <w:lang w:val="en-AU"/>
              </w:rPr>
            </w:pPr>
          </w:p>
        </w:tc>
      </w:tr>
      <w:tr w:rsidR="00AB31FA" w:rsidRPr="00AB31FA" w14:paraId="0F10191D" w14:textId="77777777" w:rsidTr="00AB31FA">
        <w:trPr>
          <w:trHeight w:val="255"/>
        </w:trPr>
        <w:tc>
          <w:tcPr>
            <w:tcW w:w="5554" w:type="dxa"/>
            <w:noWrap/>
            <w:vAlign w:val="bottom"/>
            <w:hideMark/>
          </w:tcPr>
          <w:p w14:paraId="0F74CECA" w14:textId="09C740C3" w:rsidR="00AB31FA" w:rsidRPr="00AB31FA" w:rsidRDefault="00AB31FA" w:rsidP="00DC27E7">
            <w:pPr>
              <w:spacing w:before="0" w:after="0"/>
              <w:rPr>
                <w:rFonts w:ascii="Arial" w:hAnsi="Arial"/>
                <w:sz w:val="16"/>
                <w:szCs w:val="16"/>
                <w:lang w:val="en-AU"/>
              </w:rPr>
            </w:pPr>
            <w:r w:rsidRPr="00AB31FA">
              <w:rPr>
                <w:rFonts w:ascii="Arial" w:hAnsi="Arial"/>
                <w:sz w:val="16"/>
                <w:szCs w:val="16"/>
                <w:lang w:val="en-AU"/>
              </w:rPr>
              <w:t>One Star and above</w:t>
            </w:r>
            <w:r w:rsidR="00DC27E7">
              <w:rPr>
                <w:rFonts w:ascii="Arial" w:hAnsi="Arial"/>
                <w:sz w:val="16"/>
                <w:szCs w:val="16"/>
                <w:lang w:val="en-AU"/>
              </w:rPr>
              <w:t xml:space="preserve"> </w:t>
            </w:r>
            <w:r w:rsidR="00DC27E7" w:rsidRPr="00AB31FA">
              <w:rPr>
                <w:rFonts w:ascii="Arial" w:hAnsi="Arial"/>
                <w:b/>
                <w:bCs/>
                <w:sz w:val="16"/>
                <w:szCs w:val="16"/>
                <w:vertAlign w:val="superscript"/>
                <w:lang w:val="en-AU"/>
              </w:rPr>
              <w:t>[</w:t>
            </w:r>
            <w:r w:rsidR="00DC27E7">
              <w:rPr>
                <w:rFonts w:ascii="Arial" w:hAnsi="Arial"/>
                <w:b/>
                <w:bCs/>
                <w:sz w:val="16"/>
                <w:szCs w:val="16"/>
                <w:vertAlign w:val="superscript"/>
                <w:lang w:val="en-AU"/>
              </w:rPr>
              <w:t>b</w:t>
            </w:r>
            <w:r w:rsidR="00DC27E7" w:rsidRPr="00AB31FA">
              <w:rPr>
                <w:rFonts w:ascii="Arial" w:hAnsi="Arial"/>
                <w:b/>
                <w:bCs/>
                <w:sz w:val="16"/>
                <w:szCs w:val="16"/>
                <w:vertAlign w:val="superscript"/>
                <w:lang w:val="en-AU"/>
              </w:rPr>
              <w:t>]</w:t>
            </w:r>
          </w:p>
        </w:tc>
        <w:tc>
          <w:tcPr>
            <w:tcW w:w="1397" w:type="dxa"/>
            <w:noWrap/>
            <w:vAlign w:val="bottom"/>
          </w:tcPr>
          <w:p w14:paraId="0F2DD60E" w14:textId="77777777" w:rsidR="00AB31FA" w:rsidRPr="00A074C4" w:rsidRDefault="00AB31FA" w:rsidP="00AB31FA">
            <w:pPr>
              <w:spacing w:before="0" w:after="0"/>
              <w:jc w:val="right"/>
              <w:rPr>
                <w:rFonts w:ascii="Arial" w:hAnsi="Arial"/>
                <w:sz w:val="16"/>
                <w:szCs w:val="16"/>
                <w:lang w:val="en-AU"/>
              </w:rPr>
            </w:pPr>
            <w:r w:rsidRPr="00A074C4">
              <w:rPr>
                <w:rFonts w:ascii="Arial" w:hAnsi="Arial"/>
                <w:sz w:val="16"/>
                <w:szCs w:val="16"/>
                <w:lang w:val="en-AU"/>
              </w:rPr>
              <w:t>73</w:t>
            </w:r>
          </w:p>
        </w:tc>
        <w:tc>
          <w:tcPr>
            <w:tcW w:w="1553" w:type="dxa"/>
            <w:noWrap/>
            <w:vAlign w:val="bottom"/>
          </w:tcPr>
          <w:p w14:paraId="6C79932D" w14:textId="77777777" w:rsidR="00AB31FA" w:rsidRPr="00A074C4" w:rsidRDefault="00AB31FA" w:rsidP="00AB31FA">
            <w:pPr>
              <w:spacing w:before="0" w:after="0"/>
              <w:jc w:val="right"/>
              <w:rPr>
                <w:rFonts w:ascii="Arial" w:hAnsi="Arial"/>
                <w:sz w:val="16"/>
                <w:szCs w:val="16"/>
                <w:lang w:val="en-AU"/>
              </w:rPr>
            </w:pPr>
            <w:r w:rsidRPr="00A074C4">
              <w:rPr>
                <w:rFonts w:ascii="Arial" w:hAnsi="Arial"/>
                <w:sz w:val="16"/>
                <w:szCs w:val="16"/>
                <w:lang w:val="en-AU"/>
              </w:rPr>
              <w:t>73</w:t>
            </w:r>
          </w:p>
        </w:tc>
      </w:tr>
      <w:tr w:rsidR="00AB31FA" w:rsidRPr="00AB31FA" w14:paraId="52BF5AC3" w14:textId="77777777" w:rsidTr="00AB31FA">
        <w:trPr>
          <w:trHeight w:val="270"/>
        </w:trPr>
        <w:tc>
          <w:tcPr>
            <w:tcW w:w="5554" w:type="dxa"/>
            <w:noWrap/>
            <w:vAlign w:val="bottom"/>
            <w:hideMark/>
          </w:tcPr>
          <w:p w14:paraId="77A0396F" w14:textId="014006D0" w:rsidR="00AB31FA" w:rsidRPr="00AB31FA" w:rsidRDefault="00AB31FA" w:rsidP="00DC27E7">
            <w:pPr>
              <w:spacing w:before="0" w:after="0"/>
              <w:rPr>
                <w:rFonts w:ascii="Arial" w:hAnsi="Arial"/>
                <w:sz w:val="16"/>
                <w:szCs w:val="16"/>
                <w:lang w:val="en-AU"/>
              </w:rPr>
            </w:pPr>
            <w:r w:rsidRPr="00AB31FA">
              <w:rPr>
                <w:rFonts w:ascii="Arial" w:hAnsi="Arial"/>
                <w:sz w:val="16"/>
                <w:szCs w:val="16"/>
                <w:lang w:val="en-AU"/>
              </w:rPr>
              <w:t>Senior Officers</w:t>
            </w:r>
            <w:r w:rsidR="00DC27E7" w:rsidRPr="00AB31FA">
              <w:rPr>
                <w:rFonts w:ascii="Arial" w:hAnsi="Arial"/>
                <w:b/>
                <w:bCs/>
                <w:sz w:val="16"/>
                <w:szCs w:val="16"/>
                <w:vertAlign w:val="superscript"/>
                <w:lang w:val="en-AU"/>
              </w:rPr>
              <w:t xml:space="preserve"> [c]</w:t>
            </w:r>
          </w:p>
        </w:tc>
        <w:tc>
          <w:tcPr>
            <w:tcW w:w="1397" w:type="dxa"/>
            <w:noWrap/>
            <w:vAlign w:val="bottom"/>
          </w:tcPr>
          <w:p w14:paraId="58C8579A" w14:textId="77777777" w:rsidR="00AB31FA" w:rsidRPr="00A074C4" w:rsidRDefault="00AB31FA" w:rsidP="00AB31FA">
            <w:pPr>
              <w:spacing w:before="0" w:after="0"/>
              <w:jc w:val="right"/>
              <w:rPr>
                <w:rFonts w:ascii="Arial" w:hAnsi="Arial"/>
                <w:sz w:val="16"/>
                <w:szCs w:val="16"/>
                <w:lang w:val="en-AU"/>
              </w:rPr>
            </w:pPr>
            <w:r w:rsidRPr="00A074C4">
              <w:rPr>
                <w:rFonts w:ascii="Arial" w:hAnsi="Arial"/>
                <w:sz w:val="16"/>
                <w:szCs w:val="16"/>
                <w:lang w:val="en-AU"/>
              </w:rPr>
              <w:t>876</w:t>
            </w:r>
          </w:p>
        </w:tc>
        <w:tc>
          <w:tcPr>
            <w:tcW w:w="1553" w:type="dxa"/>
            <w:noWrap/>
            <w:vAlign w:val="bottom"/>
          </w:tcPr>
          <w:p w14:paraId="18D58797" w14:textId="77777777" w:rsidR="00AB31FA" w:rsidRPr="00A074C4" w:rsidRDefault="00AB31FA" w:rsidP="00AB31FA">
            <w:pPr>
              <w:spacing w:before="0" w:after="0"/>
              <w:jc w:val="right"/>
              <w:rPr>
                <w:rFonts w:ascii="Arial" w:hAnsi="Arial"/>
                <w:sz w:val="16"/>
                <w:szCs w:val="16"/>
                <w:lang w:val="en-AU"/>
              </w:rPr>
            </w:pPr>
            <w:r w:rsidRPr="00A074C4">
              <w:rPr>
                <w:rFonts w:ascii="Arial" w:hAnsi="Arial"/>
                <w:sz w:val="16"/>
                <w:szCs w:val="16"/>
                <w:lang w:val="en-AU"/>
              </w:rPr>
              <w:t>897</w:t>
            </w:r>
          </w:p>
        </w:tc>
      </w:tr>
      <w:tr w:rsidR="00AB31FA" w:rsidRPr="00AB31FA" w14:paraId="26B90496" w14:textId="77777777" w:rsidTr="00AB31FA">
        <w:trPr>
          <w:trHeight w:val="255"/>
        </w:trPr>
        <w:tc>
          <w:tcPr>
            <w:tcW w:w="5554" w:type="dxa"/>
            <w:noWrap/>
            <w:vAlign w:val="bottom"/>
            <w:hideMark/>
          </w:tcPr>
          <w:p w14:paraId="1209B971" w14:textId="77777777" w:rsidR="00AB31FA" w:rsidRPr="00AB31FA" w:rsidRDefault="00AB31FA" w:rsidP="00AB31FA">
            <w:pPr>
              <w:spacing w:before="0" w:after="0"/>
              <w:rPr>
                <w:rFonts w:ascii="Arial" w:hAnsi="Arial"/>
                <w:sz w:val="16"/>
                <w:szCs w:val="16"/>
                <w:lang w:val="en-AU"/>
              </w:rPr>
            </w:pPr>
            <w:r w:rsidRPr="00AB31FA">
              <w:rPr>
                <w:rFonts w:ascii="Arial" w:hAnsi="Arial"/>
                <w:sz w:val="16"/>
                <w:szCs w:val="16"/>
                <w:lang w:val="en-AU"/>
              </w:rPr>
              <w:t>Officers</w:t>
            </w:r>
          </w:p>
        </w:tc>
        <w:tc>
          <w:tcPr>
            <w:tcW w:w="1397" w:type="dxa"/>
            <w:noWrap/>
            <w:vAlign w:val="bottom"/>
          </w:tcPr>
          <w:p w14:paraId="1A1BEC49" w14:textId="77777777" w:rsidR="00AB31FA" w:rsidRPr="00A074C4" w:rsidRDefault="00AB31FA" w:rsidP="00AB31FA">
            <w:pPr>
              <w:spacing w:before="0" w:after="0"/>
              <w:jc w:val="right"/>
              <w:rPr>
                <w:rFonts w:ascii="Arial" w:hAnsi="Arial"/>
                <w:sz w:val="16"/>
                <w:szCs w:val="16"/>
                <w:lang w:val="en-AU"/>
              </w:rPr>
            </w:pPr>
            <w:r w:rsidRPr="00A074C4">
              <w:rPr>
                <w:rFonts w:ascii="Arial" w:hAnsi="Arial"/>
                <w:sz w:val="16"/>
                <w:szCs w:val="16"/>
                <w:lang w:val="en-AU"/>
              </w:rPr>
              <w:t>4,831</w:t>
            </w:r>
          </w:p>
        </w:tc>
        <w:tc>
          <w:tcPr>
            <w:tcW w:w="1553" w:type="dxa"/>
            <w:noWrap/>
            <w:vAlign w:val="bottom"/>
          </w:tcPr>
          <w:p w14:paraId="3C4463E4" w14:textId="77777777" w:rsidR="00AB31FA" w:rsidRPr="00A074C4" w:rsidRDefault="00AB31FA" w:rsidP="00AB31FA">
            <w:pPr>
              <w:spacing w:before="0" w:after="0"/>
              <w:jc w:val="right"/>
              <w:rPr>
                <w:rFonts w:ascii="Arial" w:hAnsi="Arial"/>
                <w:sz w:val="16"/>
                <w:szCs w:val="16"/>
                <w:lang w:val="en-AU"/>
              </w:rPr>
            </w:pPr>
            <w:r w:rsidRPr="00A074C4">
              <w:rPr>
                <w:rFonts w:ascii="Arial" w:hAnsi="Arial"/>
                <w:sz w:val="16"/>
                <w:szCs w:val="16"/>
                <w:lang w:val="en-AU"/>
              </w:rPr>
              <w:t>4,946</w:t>
            </w:r>
          </w:p>
        </w:tc>
      </w:tr>
      <w:tr w:rsidR="00AB31FA" w:rsidRPr="00AB31FA" w14:paraId="123FAF38" w14:textId="77777777" w:rsidTr="00AB31FA">
        <w:trPr>
          <w:trHeight w:val="255"/>
        </w:trPr>
        <w:tc>
          <w:tcPr>
            <w:tcW w:w="5554" w:type="dxa"/>
            <w:noWrap/>
            <w:vAlign w:val="bottom"/>
            <w:hideMark/>
          </w:tcPr>
          <w:p w14:paraId="22F1B168" w14:textId="77777777" w:rsidR="00AB31FA" w:rsidRPr="00AB31FA" w:rsidRDefault="00AB31FA" w:rsidP="00AB31FA">
            <w:pPr>
              <w:spacing w:before="0" w:after="0"/>
              <w:rPr>
                <w:rFonts w:ascii="Arial" w:hAnsi="Arial"/>
                <w:sz w:val="16"/>
                <w:szCs w:val="16"/>
                <w:lang w:val="en-AU"/>
              </w:rPr>
            </w:pPr>
            <w:r w:rsidRPr="00AB31FA">
              <w:rPr>
                <w:rFonts w:ascii="Arial" w:hAnsi="Arial"/>
                <w:sz w:val="16"/>
                <w:szCs w:val="16"/>
                <w:lang w:val="en-AU"/>
              </w:rPr>
              <w:t>Other Ranks</w:t>
            </w:r>
          </w:p>
        </w:tc>
        <w:tc>
          <w:tcPr>
            <w:tcW w:w="1397" w:type="dxa"/>
            <w:noWrap/>
            <w:vAlign w:val="bottom"/>
          </w:tcPr>
          <w:p w14:paraId="2D2F9E20" w14:textId="77777777" w:rsidR="00AB31FA" w:rsidRPr="00A074C4" w:rsidRDefault="00AB31FA" w:rsidP="00AB31FA">
            <w:pPr>
              <w:spacing w:before="0" w:after="0"/>
              <w:jc w:val="right"/>
              <w:rPr>
                <w:rFonts w:ascii="Arial" w:hAnsi="Arial"/>
                <w:sz w:val="16"/>
                <w:szCs w:val="16"/>
                <w:lang w:val="en-AU"/>
              </w:rPr>
            </w:pPr>
            <w:r w:rsidRPr="00A074C4">
              <w:rPr>
                <w:rFonts w:ascii="Arial" w:hAnsi="Arial"/>
                <w:sz w:val="16"/>
                <w:szCs w:val="16"/>
                <w:lang w:val="en-AU"/>
              </w:rPr>
              <w:t>10,052</w:t>
            </w:r>
          </w:p>
        </w:tc>
        <w:tc>
          <w:tcPr>
            <w:tcW w:w="1553" w:type="dxa"/>
            <w:noWrap/>
            <w:vAlign w:val="bottom"/>
          </w:tcPr>
          <w:p w14:paraId="16D20612" w14:textId="77777777" w:rsidR="00AB31FA" w:rsidRPr="00A074C4" w:rsidRDefault="00AB31FA" w:rsidP="00AB31FA">
            <w:pPr>
              <w:spacing w:before="0" w:after="0"/>
              <w:jc w:val="right"/>
              <w:rPr>
                <w:rFonts w:ascii="Arial" w:hAnsi="Arial"/>
                <w:sz w:val="16"/>
                <w:szCs w:val="16"/>
                <w:lang w:val="en-AU"/>
              </w:rPr>
            </w:pPr>
            <w:r w:rsidRPr="00A074C4">
              <w:rPr>
                <w:rFonts w:ascii="Arial" w:hAnsi="Arial"/>
                <w:sz w:val="16"/>
                <w:szCs w:val="16"/>
                <w:lang w:val="en-AU"/>
              </w:rPr>
              <w:t>10,292</w:t>
            </w:r>
          </w:p>
        </w:tc>
      </w:tr>
      <w:tr w:rsidR="00AB31FA" w:rsidRPr="00AB31FA" w14:paraId="635B24FB" w14:textId="77777777" w:rsidTr="00AB31FA">
        <w:trPr>
          <w:trHeight w:val="255"/>
        </w:trPr>
        <w:tc>
          <w:tcPr>
            <w:tcW w:w="5554" w:type="dxa"/>
            <w:tcBorders>
              <w:left w:val="nil"/>
              <w:bottom w:val="single" w:sz="4" w:space="0" w:color="auto"/>
              <w:right w:val="nil"/>
            </w:tcBorders>
            <w:noWrap/>
            <w:vAlign w:val="bottom"/>
            <w:hideMark/>
          </w:tcPr>
          <w:p w14:paraId="3031A02E" w14:textId="77777777" w:rsidR="00AB31FA" w:rsidRPr="00AB31FA" w:rsidRDefault="00AB31FA" w:rsidP="00AB31FA">
            <w:pPr>
              <w:spacing w:before="0" w:after="0"/>
              <w:rPr>
                <w:rFonts w:ascii="Arial" w:hAnsi="Arial"/>
                <w:b/>
                <w:bCs/>
                <w:sz w:val="16"/>
                <w:szCs w:val="16"/>
                <w:lang w:val="en-AU"/>
              </w:rPr>
            </w:pPr>
            <w:r w:rsidRPr="00AB31FA">
              <w:rPr>
                <w:rFonts w:ascii="Arial" w:hAnsi="Arial"/>
                <w:b/>
                <w:bCs/>
                <w:sz w:val="16"/>
                <w:szCs w:val="16"/>
                <w:lang w:val="en-AU"/>
              </w:rPr>
              <w:t>Total Air Force</w:t>
            </w:r>
          </w:p>
        </w:tc>
        <w:tc>
          <w:tcPr>
            <w:tcW w:w="1397" w:type="dxa"/>
            <w:tcBorders>
              <w:left w:val="nil"/>
              <w:bottom w:val="single" w:sz="4" w:space="0" w:color="auto"/>
              <w:right w:val="nil"/>
            </w:tcBorders>
            <w:noWrap/>
            <w:vAlign w:val="bottom"/>
          </w:tcPr>
          <w:p w14:paraId="7ADADE52" w14:textId="77777777" w:rsidR="00AB31FA" w:rsidRPr="00A074C4" w:rsidRDefault="00AB31FA" w:rsidP="00AB31FA">
            <w:pPr>
              <w:spacing w:before="0" w:after="0"/>
              <w:jc w:val="right"/>
              <w:rPr>
                <w:rFonts w:ascii="Arial" w:hAnsi="Arial"/>
                <w:b/>
                <w:bCs/>
                <w:sz w:val="16"/>
                <w:szCs w:val="16"/>
                <w:lang w:val="en-AU"/>
              </w:rPr>
            </w:pPr>
            <w:r w:rsidRPr="00A074C4">
              <w:rPr>
                <w:rFonts w:ascii="Arial" w:hAnsi="Arial"/>
                <w:b/>
                <w:bCs/>
                <w:sz w:val="16"/>
                <w:szCs w:val="16"/>
                <w:lang w:val="en-AU"/>
              </w:rPr>
              <w:t>15,832</w:t>
            </w:r>
          </w:p>
        </w:tc>
        <w:tc>
          <w:tcPr>
            <w:tcW w:w="1553" w:type="dxa"/>
            <w:tcBorders>
              <w:left w:val="nil"/>
              <w:bottom w:val="single" w:sz="4" w:space="0" w:color="auto"/>
              <w:right w:val="nil"/>
            </w:tcBorders>
            <w:noWrap/>
            <w:vAlign w:val="bottom"/>
          </w:tcPr>
          <w:p w14:paraId="398FF948" w14:textId="77777777" w:rsidR="00AB31FA" w:rsidRPr="00A074C4" w:rsidRDefault="00AB31FA" w:rsidP="00AB31FA">
            <w:pPr>
              <w:spacing w:before="0" w:after="0"/>
              <w:jc w:val="right"/>
              <w:rPr>
                <w:rFonts w:ascii="Arial" w:hAnsi="Arial"/>
                <w:b/>
                <w:bCs/>
                <w:sz w:val="16"/>
                <w:szCs w:val="16"/>
                <w:lang w:val="en-AU"/>
              </w:rPr>
            </w:pPr>
            <w:r w:rsidRPr="00A074C4">
              <w:rPr>
                <w:rFonts w:ascii="Arial" w:hAnsi="Arial"/>
                <w:b/>
                <w:bCs/>
                <w:sz w:val="16"/>
                <w:szCs w:val="16"/>
                <w:lang w:val="en-AU"/>
              </w:rPr>
              <w:t>16,208</w:t>
            </w:r>
          </w:p>
        </w:tc>
      </w:tr>
      <w:tr w:rsidR="00BF7F97" w:rsidRPr="00AB31FA" w14:paraId="10A8EAED" w14:textId="77777777" w:rsidTr="00AB31FA">
        <w:trPr>
          <w:trHeight w:val="270"/>
        </w:trPr>
        <w:tc>
          <w:tcPr>
            <w:tcW w:w="5554" w:type="dxa"/>
            <w:tcBorders>
              <w:top w:val="single" w:sz="4" w:space="0" w:color="auto"/>
              <w:left w:val="nil"/>
              <w:bottom w:val="single" w:sz="4" w:space="0" w:color="auto"/>
              <w:right w:val="nil"/>
            </w:tcBorders>
            <w:shd w:val="clear" w:color="auto" w:fill="E6E6E6"/>
            <w:noWrap/>
            <w:vAlign w:val="bottom"/>
            <w:hideMark/>
          </w:tcPr>
          <w:p w14:paraId="3AA6AB9E" w14:textId="77777777" w:rsidR="00BF7F97" w:rsidRPr="00AB31FA" w:rsidRDefault="00BF7F97" w:rsidP="00BF7F97">
            <w:pPr>
              <w:spacing w:before="0" w:after="0"/>
              <w:rPr>
                <w:rFonts w:ascii="Arial" w:hAnsi="Arial"/>
                <w:b/>
                <w:bCs/>
                <w:sz w:val="16"/>
                <w:szCs w:val="16"/>
                <w:lang w:val="en-AU"/>
              </w:rPr>
            </w:pPr>
            <w:r w:rsidRPr="00AB31FA">
              <w:rPr>
                <w:rFonts w:ascii="Arial" w:hAnsi="Arial"/>
                <w:b/>
                <w:bCs/>
                <w:sz w:val="16"/>
                <w:szCs w:val="16"/>
                <w:lang w:val="en-AU"/>
              </w:rPr>
              <w:t>APS</w:t>
            </w:r>
            <w:r w:rsidR="00107F00" w:rsidRPr="00AB31FA">
              <w:rPr>
                <w:rFonts w:ascii="Arial" w:hAnsi="Arial"/>
                <w:b/>
                <w:bCs/>
                <w:sz w:val="16"/>
                <w:szCs w:val="16"/>
                <w:vertAlign w:val="superscript"/>
                <w:lang w:val="en-AU"/>
              </w:rPr>
              <w:t xml:space="preserve"> </w:t>
            </w:r>
          </w:p>
        </w:tc>
        <w:tc>
          <w:tcPr>
            <w:tcW w:w="1397" w:type="dxa"/>
            <w:tcBorders>
              <w:top w:val="single" w:sz="4" w:space="0" w:color="auto"/>
              <w:left w:val="nil"/>
              <w:bottom w:val="single" w:sz="4" w:space="0" w:color="auto"/>
              <w:right w:val="nil"/>
            </w:tcBorders>
            <w:shd w:val="clear" w:color="auto" w:fill="E6E6E6"/>
            <w:noWrap/>
            <w:vAlign w:val="bottom"/>
          </w:tcPr>
          <w:p w14:paraId="27129E99" w14:textId="77777777" w:rsidR="00BF7F97" w:rsidRPr="00AB31FA" w:rsidRDefault="00BF7F97" w:rsidP="00BF7F97">
            <w:pPr>
              <w:spacing w:before="0" w:after="0"/>
              <w:rPr>
                <w:rFonts w:ascii="Arial" w:hAnsi="Arial"/>
                <w:b/>
                <w:bCs/>
                <w:sz w:val="16"/>
                <w:szCs w:val="16"/>
                <w:lang w:val="en-AU"/>
              </w:rPr>
            </w:pPr>
          </w:p>
        </w:tc>
        <w:tc>
          <w:tcPr>
            <w:tcW w:w="1553" w:type="dxa"/>
            <w:tcBorders>
              <w:top w:val="single" w:sz="4" w:space="0" w:color="auto"/>
              <w:left w:val="nil"/>
              <w:bottom w:val="single" w:sz="4" w:space="0" w:color="auto"/>
              <w:right w:val="nil"/>
            </w:tcBorders>
            <w:shd w:val="clear" w:color="auto" w:fill="E6E6E6"/>
            <w:noWrap/>
            <w:vAlign w:val="bottom"/>
          </w:tcPr>
          <w:p w14:paraId="105B1107" w14:textId="77777777" w:rsidR="00BF7F97" w:rsidRPr="00AB31FA" w:rsidRDefault="00BF7F97" w:rsidP="00BF7F97">
            <w:pPr>
              <w:spacing w:before="0" w:after="0"/>
              <w:rPr>
                <w:rFonts w:ascii="Arial" w:hAnsi="Arial"/>
                <w:b/>
                <w:bCs/>
                <w:sz w:val="16"/>
                <w:szCs w:val="16"/>
                <w:lang w:val="en-AU"/>
              </w:rPr>
            </w:pPr>
          </w:p>
        </w:tc>
      </w:tr>
      <w:tr w:rsidR="00AB31FA" w:rsidRPr="00AB31FA" w14:paraId="13234474" w14:textId="77777777" w:rsidTr="00AB31FA">
        <w:trPr>
          <w:trHeight w:val="270"/>
        </w:trPr>
        <w:tc>
          <w:tcPr>
            <w:tcW w:w="5554" w:type="dxa"/>
            <w:noWrap/>
            <w:vAlign w:val="bottom"/>
            <w:hideMark/>
          </w:tcPr>
          <w:p w14:paraId="3B492E1C" w14:textId="77777777" w:rsidR="00AB31FA" w:rsidRPr="00AB31FA" w:rsidRDefault="00AB31FA" w:rsidP="00AB31FA">
            <w:pPr>
              <w:spacing w:before="0" w:after="0"/>
              <w:rPr>
                <w:rFonts w:ascii="Arial" w:hAnsi="Arial"/>
                <w:sz w:val="16"/>
                <w:szCs w:val="16"/>
                <w:lang w:val="en-AU"/>
              </w:rPr>
            </w:pPr>
            <w:r w:rsidRPr="00AB31FA">
              <w:rPr>
                <w:rFonts w:ascii="Arial" w:hAnsi="Arial"/>
                <w:sz w:val="16"/>
                <w:szCs w:val="16"/>
                <w:lang w:val="en-AU"/>
              </w:rPr>
              <w:t>Senior Executives</w:t>
            </w:r>
            <w:r w:rsidRPr="00AB31FA">
              <w:rPr>
                <w:rFonts w:ascii="Arial" w:hAnsi="Arial"/>
                <w:b/>
                <w:bCs/>
                <w:sz w:val="16"/>
                <w:szCs w:val="16"/>
                <w:vertAlign w:val="superscript"/>
                <w:lang w:val="en-AU"/>
              </w:rPr>
              <w:t>[</w:t>
            </w:r>
            <w:r>
              <w:rPr>
                <w:rFonts w:ascii="Arial" w:hAnsi="Arial"/>
                <w:b/>
                <w:bCs/>
                <w:sz w:val="16"/>
                <w:szCs w:val="16"/>
                <w:vertAlign w:val="superscript"/>
                <w:lang w:val="en-AU"/>
              </w:rPr>
              <w:t>d</w:t>
            </w:r>
            <w:r w:rsidRPr="00AB31FA">
              <w:rPr>
                <w:rFonts w:ascii="Arial" w:hAnsi="Arial"/>
                <w:b/>
                <w:bCs/>
                <w:sz w:val="16"/>
                <w:szCs w:val="16"/>
                <w:vertAlign w:val="superscript"/>
                <w:lang w:val="en-AU"/>
              </w:rPr>
              <w:t>]</w:t>
            </w:r>
          </w:p>
        </w:tc>
        <w:tc>
          <w:tcPr>
            <w:tcW w:w="1397" w:type="dxa"/>
            <w:noWrap/>
            <w:vAlign w:val="bottom"/>
          </w:tcPr>
          <w:p w14:paraId="017AC1DD" w14:textId="77777777" w:rsidR="00AB31FA" w:rsidRPr="00A074C4" w:rsidRDefault="00AB31FA" w:rsidP="00AB31FA">
            <w:pPr>
              <w:spacing w:before="0" w:after="0"/>
              <w:jc w:val="right"/>
              <w:rPr>
                <w:rFonts w:ascii="Arial" w:hAnsi="Arial"/>
                <w:sz w:val="16"/>
                <w:szCs w:val="16"/>
                <w:lang w:val="en-AU"/>
              </w:rPr>
            </w:pPr>
            <w:r w:rsidRPr="00A074C4">
              <w:rPr>
                <w:rFonts w:ascii="Arial" w:hAnsi="Arial"/>
                <w:sz w:val="16"/>
                <w:szCs w:val="16"/>
                <w:lang w:val="en-AU"/>
              </w:rPr>
              <w:t>206</w:t>
            </w:r>
          </w:p>
        </w:tc>
        <w:tc>
          <w:tcPr>
            <w:tcW w:w="1553" w:type="dxa"/>
            <w:noWrap/>
            <w:vAlign w:val="bottom"/>
          </w:tcPr>
          <w:p w14:paraId="5D6BFF05" w14:textId="77777777" w:rsidR="00AB31FA" w:rsidRPr="00A074C4" w:rsidRDefault="00AB31FA" w:rsidP="00AB31FA">
            <w:pPr>
              <w:spacing w:before="0" w:after="0"/>
              <w:jc w:val="right"/>
              <w:rPr>
                <w:rFonts w:ascii="Arial" w:hAnsi="Arial"/>
                <w:sz w:val="16"/>
                <w:szCs w:val="16"/>
                <w:lang w:val="en-AU"/>
              </w:rPr>
            </w:pPr>
            <w:r w:rsidRPr="00A074C4">
              <w:rPr>
                <w:rFonts w:ascii="Arial" w:hAnsi="Arial"/>
                <w:sz w:val="16"/>
                <w:szCs w:val="16"/>
                <w:lang w:val="en-AU"/>
              </w:rPr>
              <w:t>204</w:t>
            </w:r>
          </w:p>
        </w:tc>
      </w:tr>
      <w:tr w:rsidR="00AB31FA" w:rsidRPr="00AB31FA" w14:paraId="4073D941" w14:textId="77777777" w:rsidTr="00AB31FA">
        <w:trPr>
          <w:trHeight w:val="270"/>
        </w:trPr>
        <w:tc>
          <w:tcPr>
            <w:tcW w:w="5554" w:type="dxa"/>
            <w:noWrap/>
            <w:vAlign w:val="bottom"/>
            <w:hideMark/>
          </w:tcPr>
          <w:p w14:paraId="4B05C8B8" w14:textId="6811A2E5" w:rsidR="00AB31FA" w:rsidRPr="00AB31FA" w:rsidRDefault="00AB31FA" w:rsidP="00DC27E7">
            <w:pPr>
              <w:spacing w:before="0" w:after="0"/>
              <w:rPr>
                <w:rFonts w:ascii="Arial" w:hAnsi="Arial"/>
                <w:sz w:val="16"/>
                <w:szCs w:val="16"/>
                <w:lang w:val="en-AU"/>
              </w:rPr>
            </w:pPr>
            <w:r w:rsidRPr="00AB31FA">
              <w:rPr>
                <w:rFonts w:ascii="Arial" w:hAnsi="Arial"/>
                <w:sz w:val="16"/>
                <w:szCs w:val="16"/>
                <w:lang w:val="en-AU"/>
              </w:rPr>
              <w:t>Senior Officers</w:t>
            </w:r>
            <w:r w:rsidRPr="00AB31FA">
              <w:rPr>
                <w:rFonts w:ascii="Arial" w:hAnsi="Arial"/>
                <w:b/>
                <w:bCs/>
                <w:sz w:val="16"/>
                <w:szCs w:val="16"/>
                <w:vertAlign w:val="superscript"/>
                <w:lang w:val="en-AU"/>
              </w:rPr>
              <w:t>[</w:t>
            </w:r>
            <w:r w:rsidR="00DC27E7">
              <w:rPr>
                <w:rFonts w:ascii="Arial" w:hAnsi="Arial"/>
                <w:b/>
                <w:bCs/>
                <w:sz w:val="16"/>
                <w:szCs w:val="16"/>
                <w:vertAlign w:val="superscript"/>
                <w:lang w:val="en-AU"/>
              </w:rPr>
              <w:t>c</w:t>
            </w:r>
            <w:r w:rsidRPr="00AB31FA">
              <w:rPr>
                <w:rFonts w:ascii="Arial" w:hAnsi="Arial"/>
                <w:b/>
                <w:bCs/>
                <w:sz w:val="16"/>
                <w:szCs w:val="16"/>
                <w:vertAlign w:val="superscript"/>
                <w:lang w:val="en-AU"/>
              </w:rPr>
              <w:t>]</w:t>
            </w:r>
          </w:p>
        </w:tc>
        <w:tc>
          <w:tcPr>
            <w:tcW w:w="1397" w:type="dxa"/>
            <w:noWrap/>
            <w:vAlign w:val="bottom"/>
          </w:tcPr>
          <w:p w14:paraId="37F2059F" w14:textId="6C2FF556" w:rsidR="00AB31FA" w:rsidRPr="00A074C4" w:rsidRDefault="007B522B" w:rsidP="004D3EA0">
            <w:pPr>
              <w:spacing w:before="0" w:after="0"/>
              <w:jc w:val="right"/>
              <w:rPr>
                <w:rFonts w:ascii="Arial" w:hAnsi="Arial"/>
                <w:sz w:val="16"/>
                <w:szCs w:val="16"/>
                <w:lang w:val="en-AU"/>
              </w:rPr>
            </w:pPr>
            <w:r>
              <w:rPr>
                <w:rFonts w:ascii="Arial" w:hAnsi="Arial"/>
                <w:sz w:val="16"/>
                <w:szCs w:val="16"/>
                <w:lang w:val="en-AU"/>
              </w:rPr>
              <w:t>7,47</w:t>
            </w:r>
            <w:r w:rsidR="004D3EA0">
              <w:rPr>
                <w:rFonts w:ascii="Arial" w:hAnsi="Arial"/>
                <w:sz w:val="16"/>
                <w:szCs w:val="16"/>
                <w:lang w:val="en-AU"/>
              </w:rPr>
              <w:t>6</w:t>
            </w:r>
          </w:p>
        </w:tc>
        <w:tc>
          <w:tcPr>
            <w:tcW w:w="1553" w:type="dxa"/>
            <w:noWrap/>
            <w:vAlign w:val="bottom"/>
          </w:tcPr>
          <w:p w14:paraId="5ACE893D" w14:textId="1503EE5F" w:rsidR="00AB31FA" w:rsidRPr="00A074C4" w:rsidRDefault="00AB31FA" w:rsidP="004D3EA0">
            <w:pPr>
              <w:spacing w:before="0" w:after="0"/>
              <w:jc w:val="right"/>
              <w:rPr>
                <w:rFonts w:ascii="Arial" w:hAnsi="Arial"/>
                <w:sz w:val="16"/>
                <w:szCs w:val="16"/>
                <w:lang w:val="en-AU"/>
              </w:rPr>
            </w:pPr>
            <w:r w:rsidRPr="00A074C4">
              <w:rPr>
                <w:rFonts w:ascii="Arial" w:hAnsi="Arial"/>
                <w:sz w:val="16"/>
                <w:szCs w:val="16"/>
                <w:lang w:val="en-AU"/>
              </w:rPr>
              <w:t>7,71</w:t>
            </w:r>
            <w:r w:rsidR="004D3EA0">
              <w:rPr>
                <w:rFonts w:ascii="Arial" w:hAnsi="Arial"/>
                <w:sz w:val="16"/>
                <w:szCs w:val="16"/>
                <w:lang w:val="en-AU"/>
              </w:rPr>
              <w:t>9</w:t>
            </w:r>
          </w:p>
        </w:tc>
      </w:tr>
      <w:tr w:rsidR="00AB31FA" w:rsidRPr="00AB31FA" w14:paraId="62E55E4A" w14:textId="77777777" w:rsidTr="00AB31FA">
        <w:trPr>
          <w:trHeight w:val="255"/>
        </w:trPr>
        <w:tc>
          <w:tcPr>
            <w:tcW w:w="5554" w:type="dxa"/>
            <w:noWrap/>
            <w:vAlign w:val="bottom"/>
            <w:hideMark/>
          </w:tcPr>
          <w:p w14:paraId="37626243" w14:textId="77777777" w:rsidR="00AB31FA" w:rsidRPr="00AB31FA" w:rsidRDefault="00AB31FA" w:rsidP="00AB31FA">
            <w:pPr>
              <w:spacing w:before="0" w:after="0"/>
              <w:rPr>
                <w:rFonts w:ascii="Arial" w:hAnsi="Arial"/>
                <w:sz w:val="16"/>
                <w:szCs w:val="16"/>
                <w:lang w:val="en-AU"/>
              </w:rPr>
            </w:pPr>
            <w:r w:rsidRPr="00AB31FA">
              <w:rPr>
                <w:rFonts w:ascii="Arial" w:hAnsi="Arial"/>
                <w:sz w:val="16"/>
                <w:szCs w:val="16"/>
                <w:lang w:val="en-AU"/>
              </w:rPr>
              <w:t>Other APS Staff</w:t>
            </w:r>
          </w:p>
        </w:tc>
        <w:tc>
          <w:tcPr>
            <w:tcW w:w="1397" w:type="dxa"/>
            <w:noWrap/>
            <w:vAlign w:val="bottom"/>
          </w:tcPr>
          <w:p w14:paraId="54608166" w14:textId="2724CB0F" w:rsidR="00AB31FA" w:rsidRPr="00A074C4" w:rsidRDefault="00AB31FA" w:rsidP="007B522B">
            <w:pPr>
              <w:spacing w:before="0" w:after="0"/>
              <w:jc w:val="right"/>
              <w:rPr>
                <w:rFonts w:ascii="Arial" w:hAnsi="Arial"/>
                <w:sz w:val="16"/>
                <w:szCs w:val="16"/>
                <w:lang w:val="en-AU"/>
              </w:rPr>
            </w:pPr>
            <w:r w:rsidRPr="00A074C4">
              <w:rPr>
                <w:rFonts w:ascii="Arial" w:hAnsi="Arial"/>
                <w:sz w:val="16"/>
                <w:szCs w:val="16"/>
                <w:lang w:val="en-AU"/>
              </w:rPr>
              <w:t>11,</w:t>
            </w:r>
            <w:r w:rsidR="004D3EA0">
              <w:rPr>
                <w:rFonts w:ascii="Arial" w:hAnsi="Arial"/>
                <w:sz w:val="16"/>
                <w:szCs w:val="16"/>
                <w:lang w:val="en-AU"/>
              </w:rPr>
              <w:t>555</w:t>
            </w:r>
          </w:p>
        </w:tc>
        <w:tc>
          <w:tcPr>
            <w:tcW w:w="1553" w:type="dxa"/>
            <w:noWrap/>
            <w:vAlign w:val="bottom"/>
          </w:tcPr>
          <w:p w14:paraId="155116D3" w14:textId="77777777" w:rsidR="00AB31FA" w:rsidRPr="00A074C4" w:rsidRDefault="00AB31FA" w:rsidP="00AB31FA">
            <w:pPr>
              <w:spacing w:before="0" w:after="0"/>
              <w:jc w:val="right"/>
              <w:rPr>
                <w:rFonts w:ascii="Arial" w:hAnsi="Arial"/>
                <w:sz w:val="16"/>
                <w:szCs w:val="16"/>
                <w:lang w:val="en-AU"/>
              </w:rPr>
            </w:pPr>
            <w:r w:rsidRPr="00A074C4">
              <w:rPr>
                <w:rFonts w:ascii="Arial" w:hAnsi="Arial"/>
                <w:sz w:val="16"/>
                <w:szCs w:val="16"/>
                <w:lang w:val="en-AU"/>
              </w:rPr>
              <w:t>11,940</w:t>
            </w:r>
          </w:p>
        </w:tc>
      </w:tr>
      <w:tr w:rsidR="00AB31FA" w:rsidRPr="00AB31FA" w14:paraId="32270161" w14:textId="77777777" w:rsidTr="00AB31FA">
        <w:trPr>
          <w:trHeight w:val="255"/>
        </w:trPr>
        <w:tc>
          <w:tcPr>
            <w:tcW w:w="5554" w:type="dxa"/>
            <w:tcBorders>
              <w:left w:val="nil"/>
              <w:bottom w:val="single" w:sz="4" w:space="0" w:color="auto"/>
              <w:right w:val="nil"/>
            </w:tcBorders>
            <w:noWrap/>
            <w:vAlign w:val="bottom"/>
            <w:hideMark/>
          </w:tcPr>
          <w:p w14:paraId="145F1B38" w14:textId="77777777" w:rsidR="00AB31FA" w:rsidRPr="00AB31FA" w:rsidRDefault="00AB31FA" w:rsidP="00AB31FA">
            <w:pPr>
              <w:spacing w:before="0" w:after="0"/>
              <w:rPr>
                <w:rFonts w:ascii="Arial" w:hAnsi="Arial"/>
                <w:b/>
                <w:bCs/>
                <w:sz w:val="16"/>
                <w:szCs w:val="16"/>
                <w:lang w:val="en-AU"/>
              </w:rPr>
            </w:pPr>
            <w:r w:rsidRPr="00AB31FA">
              <w:rPr>
                <w:rFonts w:ascii="Arial" w:hAnsi="Arial"/>
                <w:b/>
                <w:bCs/>
                <w:sz w:val="16"/>
                <w:szCs w:val="16"/>
                <w:lang w:val="en-AU"/>
              </w:rPr>
              <w:t>Total APS</w:t>
            </w:r>
          </w:p>
        </w:tc>
        <w:tc>
          <w:tcPr>
            <w:tcW w:w="1397" w:type="dxa"/>
            <w:tcBorders>
              <w:left w:val="nil"/>
              <w:bottom w:val="single" w:sz="4" w:space="0" w:color="auto"/>
              <w:right w:val="nil"/>
            </w:tcBorders>
            <w:noWrap/>
            <w:vAlign w:val="bottom"/>
          </w:tcPr>
          <w:p w14:paraId="1FA4011F" w14:textId="24043678" w:rsidR="00AB31FA" w:rsidRPr="00A074C4" w:rsidRDefault="004D3EA0" w:rsidP="00AB31FA">
            <w:pPr>
              <w:spacing w:before="0" w:after="0"/>
              <w:jc w:val="right"/>
              <w:rPr>
                <w:rFonts w:ascii="Arial" w:hAnsi="Arial"/>
                <w:b/>
                <w:bCs/>
                <w:sz w:val="16"/>
                <w:szCs w:val="16"/>
                <w:lang w:val="en-AU"/>
              </w:rPr>
            </w:pPr>
            <w:r>
              <w:rPr>
                <w:rFonts w:ascii="Arial" w:hAnsi="Arial"/>
                <w:b/>
                <w:bCs/>
                <w:sz w:val="16"/>
                <w:szCs w:val="16"/>
                <w:lang w:val="en-AU"/>
              </w:rPr>
              <w:t>19,237</w:t>
            </w:r>
          </w:p>
        </w:tc>
        <w:tc>
          <w:tcPr>
            <w:tcW w:w="1553" w:type="dxa"/>
            <w:tcBorders>
              <w:left w:val="nil"/>
              <w:bottom w:val="single" w:sz="4" w:space="0" w:color="auto"/>
              <w:right w:val="nil"/>
            </w:tcBorders>
            <w:noWrap/>
            <w:vAlign w:val="bottom"/>
          </w:tcPr>
          <w:p w14:paraId="71CBCA91" w14:textId="613D4A5E" w:rsidR="00AB31FA" w:rsidRPr="00A074C4" w:rsidRDefault="004D3EA0" w:rsidP="00AB31FA">
            <w:pPr>
              <w:spacing w:before="0" w:after="0"/>
              <w:jc w:val="right"/>
              <w:rPr>
                <w:rFonts w:ascii="Arial" w:hAnsi="Arial"/>
                <w:b/>
                <w:bCs/>
                <w:sz w:val="16"/>
                <w:szCs w:val="16"/>
                <w:lang w:val="en-AU"/>
              </w:rPr>
            </w:pPr>
            <w:r>
              <w:rPr>
                <w:rFonts w:ascii="Arial" w:hAnsi="Arial"/>
                <w:b/>
                <w:bCs/>
                <w:sz w:val="16"/>
                <w:szCs w:val="16"/>
                <w:lang w:val="en-AU"/>
              </w:rPr>
              <w:t>19,863</w:t>
            </w:r>
          </w:p>
        </w:tc>
      </w:tr>
      <w:tr w:rsidR="00233491" w:rsidRPr="0037453B" w14:paraId="72ECA90A" w14:textId="77777777" w:rsidTr="00AB31FA">
        <w:trPr>
          <w:trHeight w:val="255"/>
        </w:trPr>
        <w:tc>
          <w:tcPr>
            <w:tcW w:w="5554" w:type="dxa"/>
            <w:tcBorders>
              <w:top w:val="single" w:sz="4" w:space="0" w:color="auto"/>
              <w:left w:val="nil"/>
              <w:bottom w:val="single" w:sz="4" w:space="0" w:color="auto"/>
              <w:right w:val="nil"/>
            </w:tcBorders>
            <w:shd w:val="clear" w:color="auto" w:fill="E6E6E6"/>
            <w:noWrap/>
            <w:vAlign w:val="bottom"/>
            <w:hideMark/>
          </w:tcPr>
          <w:p w14:paraId="1D6CC4E0" w14:textId="77777777" w:rsidR="00233491" w:rsidRPr="00AB31FA" w:rsidRDefault="00233491" w:rsidP="00AB31FA">
            <w:pPr>
              <w:spacing w:before="0" w:after="0"/>
              <w:rPr>
                <w:rFonts w:ascii="Arial" w:hAnsi="Arial"/>
                <w:b/>
                <w:bCs/>
                <w:sz w:val="16"/>
                <w:szCs w:val="16"/>
                <w:lang w:val="en-AU"/>
              </w:rPr>
            </w:pPr>
            <w:r w:rsidRPr="00AB31FA">
              <w:rPr>
                <w:rFonts w:ascii="Arial" w:hAnsi="Arial"/>
                <w:b/>
                <w:bCs/>
                <w:sz w:val="16"/>
                <w:szCs w:val="16"/>
                <w:lang w:val="en-AU"/>
              </w:rPr>
              <w:t>Total Workforce</w:t>
            </w:r>
            <w:r w:rsidR="009C7120" w:rsidRPr="00AB31FA">
              <w:rPr>
                <w:rFonts w:ascii="Arial" w:hAnsi="Arial"/>
                <w:b/>
                <w:bCs/>
                <w:sz w:val="16"/>
                <w:szCs w:val="16"/>
                <w:lang w:val="en-AU"/>
              </w:rPr>
              <w:t xml:space="preserve"> </w:t>
            </w:r>
          </w:p>
        </w:tc>
        <w:tc>
          <w:tcPr>
            <w:tcW w:w="1397" w:type="dxa"/>
            <w:tcBorders>
              <w:top w:val="single" w:sz="4" w:space="0" w:color="auto"/>
              <w:left w:val="nil"/>
              <w:bottom w:val="single" w:sz="4" w:space="0" w:color="auto"/>
              <w:right w:val="nil"/>
            </w:tcBorders>
            <w:shd w:val="clear" w:color="auto" w:fill="E6E6E6"/>
            <w:noWrap/>
            <w:vAlign w:val="bottom"/>
          </w:tcPr>
          <w:p w14:paraId="70C988A8" w14:textId="0BFD817C" w:rsidR="00233491" w:rsidRPr="00AB31FA" w:rsidRDefault="004D3EA0" w:rsidP="00233491">
            <w:pPr>
              <w:spacing w:before="0" w:after="0"/>
              <w:jc w:val="right"/>
              <w:rPr>
                <w:rFonts w:ascii="Arial" w:hAnsi="Arial"/>
                <w:b/>
                <w:bCs/>
                <w:sz w:val="16"/>
                <w:szCs w:val="16"/>
                <w:lang w:val="en-AU"/>
              </w:rPr>
            </w:pPr>
            <w:r>
              <w:rPr>
                <w:rFonts w:ascii="Arial" w:hAnsi="Arial"/>
                <w:b/>
                <w:bCs/>
                <w:sz w:val="16"/>
                <w:szCs w:val="16"/>
                <w:lang w:val="en-AU"/>
              </w:rPr>
              <w:t>78,087</w:t>
            </w:r>
          </w:p>
        </w:tc>
        <w:tc>
          <w:tcPr>
            <w:tcW w:w="1553" w:type="dxa"/>
            <w:tcBorders>
              <w:top w:val="single" w:sz="4" w:space="0" w:color="auto"/>
              <w:left w:val="nil"/>
              <w:bottom w:val="single" w:sz="4" w:space="0" w:color="auto"/>
              <w:right w:val="nil"/>
            </w:tcBorders>
            <w:shd w:val="clear" w:color="auto" w:fill="E6E6E6"/>
            <w:noWrap/>
            <w:vAlign w:val="bottom"/>
          </w:tcPr>
          <w:p w14:paraId="7E8C9993" w14:textId="489485AC" w:rsidR="00233491" w:rsidRPr="00AB31FA" w:rsidRDefault="004D3EA0" w:rsidP="00182AEA">
            <w:pPr>
              <w:spacing w:before="0" w:after="0"/>
              <w:jc w:val="right"/>
              <w:rPr>
                <w:rFonts w:ascii="Arial" w:hAnsi="Arial"/>
                <w:b/>
                <w:bCs/>
                <w:sz w:val="16"/>
                <w:szCs w:val="16"/>
                <w:lang w:val="en-AU"/>
              </w:rPr>
            </w:pPr>
            <w:r>
              <w:rPr>
                <w:rFonts w:ascii="Arial" w:hAnsi="Arial"/>
                <w:b/>
                <w:bCs/>
                <w:sz w:val="16"/>
                <w:szCs w:val="16"/>
                <w:lang w:val="en-AU"/>
              </w:rPr>
              <w:t>79,236</w:t>
            </w:r>
          </w:p>
        </w:tc>
      </w:tr>
    </w:tbl>
    <w:p w14:paraId="7C1DE295" w14:textId="77777777" w:rsidR="00217FDC" w:rsidRPr="0037453B" w:rsidRDefault="00217FDC" w:rsidP="00AA6BF6">
      <w:pPr>
        <w:spacing w:before="0" w:after="0"/>
        <w:rPr>
          <w:rFonts w:ascii="Arial" w:hAnsi="Arial"/>
          <w:b/>
          <w:sz w:val="16"/>
          <w:szCs w:val="16"/>
          <w:highlight w:val="yellow"/>
        </w:rPr>
      </w:pPr>
    </w:p>
    <w:p w14:paraId="218A7B5F" w14:textId="77777777" w:rsidR="00AA6BF6" w:rsidRPr="002A5C5D" w:rsidRDefault="00AA6BF6" w:rsidP="00E82C76">
      <w:pPr>
        <w:spacing w:before="0" w:after="0"/>
        <w:rPr>
          <w:rFonts w:ascii="Arial" w:hAnsi="Arial"/>
          <w:b/>
          <w:sz w:val="14"/>
          <w:szCs w:val="14"/>
        </w:rPr>
      </w:pPr>
      <w:r w:rsidRPr="002A5C5D">
        <w:rPr>
          <w:rFonts w:ascii="Arial" w:hAnsi="Arial"/>
          <w:b/>
          <w:sz w:val="14"/>
          <w:szCs w:val="14"/>
        </w:rPr>
        <w:t>Notes</w:t>
      </w:r>
    </w:p>
    <w:p w14:paraId="58ABAE1F" w14:textId="77777777" w:rsidR="002A5C5D" w:rsidRPr="00A074C4" w:rsidRDefault="00775CD7" w:rsidP="00444A89">
      <w:pPr>
        <w:pStyle w:val="ListParagraph"/>
        <w:numPr>
          <w:ilvl w:val="0"/>
          <w:numId w:val="67"/>
        </w:numPr>
        <w:spacing w:before="0" w:after="0"/>
        <w:ind w:left="284" w:hanging="284"/>
        <w:rPr>
          <w:rFonts w:ascii="Arial" w:hAnsi="Arial"/>
          <w:sz w:val="14"/>
          <w:szCs w:val="14"/>
        </w:rPr>
      </w:pPr>
      <w:r w:rsidRPr="002A5C5D">
        <w:rPr>
          <w:rFonts w:ascii="Arial" w:hAnsi="Arial"/>
          <w:sz w:val="14"/>
          <w:szCs w:val="14"/>
        </w:rPr>
        <w:tab/>
      </w:r>
      <w:r w:rsidR="002A5C5D" w:rsidRPr="00A074C4">
        <w:rPr>
          <w:rFonts w:ascii="Arial" w:hAnsi="Arial"/>
          <w:sz w:val="14"/>
          <w:szCs w:val="14"/>
        </w:rPr>
        <w:t>The forecast distribution by rank and service is based on a forecast workforce supply and the current workforce distribution. This is subject to review as the workforce is reset and grows to fill ADF requirements.</w:t>
      </w:r>
    </w:p>
    <w:p w14:paraId="4D43C775" w14:textId="607BE01A" w:rsidR="002A5C5D" w:rsidRPr="00A074C4" w:rsidRDefault="00DC27E7" w:rsidP="00444A89">
      <w:pPr>
        <w:pStyle w:val="ListParagraph"/>
        <w:numPr>
          <w:ilvl w:val="0"/>
          <w:numId w:val="67"/>
        </w:numPr>
        <w:spacing w:before="0" w:after="0"/>
        <w:ind w:left="284" w:hanging="284"/>
        <w:rPr>
          <w:rFonts w:ascii="Arial" w:hAnsi="Arial"/>
          <w:sz w:val="14"/>
          <w:szCs w:val="14"/>
        </w:rPr>
      </w:pPr>
      <w:r w:rsidRPr="00A074C4">
        <w:rPr>
          <w:rFonts w:ascii="Arial" w:hAnsi="Arial"/>
          <w:sz w:val="14"/>
          <w:szCs w:val="14"/>
        </w:rPr>
        <w:t>The figures for One Star and above include Chief of the Defence Force, Service Chiefs and Group Heads.</w:t>
      </w:r>
    </w:p>
    <w:p w14:paraId="3C47B86F" w14:textId="75A1EFDD" w:rsidR="002A5C5D" w:rsidRPr="00A074C4" w:rsidRDefault="00DC27E7" w:rsidP="00444A89">
      <w:pPr>
        <w:pStyle w:val="ListParagraph"/>
        <w:numPr>
          <w:ilvl w:val="0"/>
          <w:numId w:val="67"/>
        </w:numPr>
        <w:spacing w:before="0" w:after="0"/>
        <w:ind w:left="284" w:hanging="284"/>
        <w:rPr>
          <w:rFonts w:ascii="Arial" w:hAnsi="Arial"/>
          <w:sz w:val="14"/>
          <w:szCs w:val="14"/>
        </w:rPr>
      </w:pPr>
      <w:r w:rsidRPr="00A074C4">
        <w:rPr>
          <w:rFonts w:ascii="Arial" w:hAnsi="Arial"/>
          <w:sz w:val="14"/>
          <w:szCs w:val="14"/>
        </w:rPr>
        <w:t>Senior Officers are of Lieutenant Colonel or Colonel rank equivalent and APS Executive Levels 1 and 2.</w:t>
      </w:r>
    </w:p>
    <w:p w14:paraId="267B4781" w14:textId="77777777" w:rsidR="009C7120" w:rsidRPr="002A5C5D" w:rsidRDefault="002A5C5D" w:rsidP="00444A89">
      <w:pPr>
        <w:pStyle w:val="ListParagraph"/>
        <w:numPr>
          <w:ilvl w:val="0"/>
          <w:numId w:val="67"/>
        </w:numPr>
        <w:spacing w:before="0" w:after="0"/>
        <w:ind w:left="284" w:hanging="284"/>
        <w:rPr>
          <w:rFonts w:ascii="Arial" w:hAnsi="Arial"/>
          <w:sz w:val="14"/>
          <w:szCs w:val="14"/>
        </w:rPr>
      </w:pPr>
      <w:r w:rsidRPr="00A074C4">
        <w:rPr>
          <w:rFonts w:ascii="Arial" w:hAnsi="Arial"/>
          <w:sz w:val="14"/>
          <w:szCs w:val="14"/>
        </w:rPr>
        <w:t>The figures for Senior Executives include the Secretary, SES Band Three, Two and One employees, Chiefs of Divisions and Medical Officers</w:t>
      </w:r>
      <w:r>
        <w:rPr>
          <w:rFonts w:ascii="Arial" w:hAnsi="Arial"/>
          <w:sz w:val="14"/>
          <w:szCs w:val="14"/>
        </w:rPr>
        <w:t>.</w:t>
      </w:r>
    </w:p>
    <w:p w14:paraId="6272D6C9" w14:textId="77777777" w:rsidR="00312F38" w:rsidRPr="00B56FAA" w:rsidRDefault="00312F38" w:rsidP="002B2BCC">
      <w:pPr>
        <w:spacing w:before="0" w:after="0"/>
        <w:ind w:left="284" w:hanging="284"/>
      </w:pPr>
    </w:p>
    <w:p w14:paraId="6AA6BC53" w14:textId="77777777" w:rsidR="00312F38" w:rsidRPr="00B56FAA" w:rsidRDefault="00312F38" w:rsidP="00444A89">
      <w:pPr>
        <w:pStyle w:val="ListParagraph"/>
        <w:numPr>
          <w:ilvl w:val="0"/>
          <w:numId w:val="67"/>
        </w:numPr>
        <w:spacing w:before="0" w:after="0"/>
        <w:ind w:left="426"/>
        <w:sectPr w:rsidR="00312F38" w:rsidRPr="00B56FAA" w:rsidSect="00C30BE6">
          <w:headerReference w:type="even" r:id="rId46"/>
          <w:headerReference w:type="default" r:id="rId47"/>
          <w:footerReference w:type="even" r:id="rId48"/>
          <w:footerReference w:type="default" r:id="rId49"/>
          <w:headerReference w:type="first" r:id="rId50"/>
          <w:pgSz w:w="11906" w:h="16838" w:code="9"/>
          <w:pgMar w:top="1701" w:right="1361" w:bottom="1701" w:left="1928" w:header="720" w:footer="720" w:gutter="0"/>
          <w:cols w:space="720"/>
        </w:sectPr>
      </w:pPr>
    </w:p>
    <w:p w14:paraId="1993BE28" w14:textId="77777777" w:rsidR="00337D21" w:rsidRPr="00F24030" w:rsidRDefault="00337D21" w:rsidP="00754942">
      <w:pPr>
        <w:pStyle w:val="Heading2level3"/>
        <w:spacing w:before="120" w:after="120"/>
        <w:rPr>
          <w:sz w:val="26"/>
          <w:szCs w:val="26"/>
        </w:rPr>
      </w:pPr>
      <w:bookmarkStart w:id="740" w:name="_Toc536089229"/>
      <w:bookmarkStart w:id="741" w:name="_Toc536089489"/>
      <w:bookmarkStart w:id="742" w:name="_Toc536089595"/>
      <w:bookmarkStart w:id="743" w:name="_Toc69729045"/>
      <w:bookmarkStart w:id="744" w:name="_Toc97747828"/>
      <w:bookmarkStart w:id="745" w:name="_Toc108088939"/>
      <w:bookmarkStart w:id="746" w:name="_Toc108089018"/>
      <w:bookmarkStart w:id="747" w:name="_Toc108089413"/>
      <w:bookmarkStart w:id="748" w:name="_Toc109227293"/>
      <w:bookmarkStart w:id="749" w:name="_Toc158896246"/>
      <w:bookmarkStart w:id="750" w:name="_Toc158896303"/>
      <w:bookmarkStart w:id="751" w:name="_Toc159499683"/>
      <w:bookmarkStart w:id="752" w:name="_Toc159857674"/>
      <w:bookmarkStart w:id="753" w:name="_Toc159857753"/>
      <w:bookmarkStart w:id="754" w:name="_Toc159858149"/>
      <w:bookmarkStart w:id="755" w:name="_Toc159858814"/>
      <w:bookmarkStart w:id="756" w:name="_Toc159858884"/>
      <w:bookmarkStart w:id="757" w:name="_Toc159859100"/>
      <w:bookmarkStart w:id="758" w:name="_Toc159859252"/>
      <w:bookmarkStart w:id="759" w:name="_Toc159862284"/>
      <w:bookmarkStart w:id="760" w:name="_Toc159862474"/>
      <w:r w:rsidRPr="00F24030">
        <w:rPr>
          <w:rStyle w:val="Heading2Char"/>
          <w:sz w:val="26"/>
          <w:szCs w:val="26"/>
        </w:rPr>
        <w:lastRenderedPageBreak/>
        <w:t>Section</w:t>
      </w:r>
      <w:r w:rsidRPr="00F24030">
        <w:rPr>
          <w:sz w:val="26"/>
          <w:szCs w:val="26"/>
        </w:rPr>
        <w:t xml:space="preserve"> 2: Defence Outcomes and Planned Performance</w:t>
      </w:r>
      <w:bookmarkEnd w:id="698"/>
      <w:bookmarkEnd w:id="699"/>
      <w:bookmarkEnd w:id="700"/>
      <w:bookmarkEnd w:id="701"/>
      <w:bookmarkEnd w:id="702"/>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14:paraId="53F2BDA0" w14:textId="77777777" w:rsidR="006B20D8" w:rsidRPr="00B56FAA" w:rsidRDefault="006B20D8" w:rsidP="0042174E">
      <w:pPr>
        <w:spacing w:before="120" w:after="120"/>
      </w:pPr>
      <w:r w:rsidRPr="00B56FAA">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22618CB3" w14:textId="77777777" w:rsidR="006B20D8" w:rsidRPr="00B56FAA" w:rsidRDefault="006B20D8" w:rsidP="0042174E">
      <w:pPr>
        <w:spacing w:before="120" w:after="120"/>
      </w:pPr>
      <w:r w:rsidRPr="00B56FAA">
        <w:t>Each outcome is described below together with its related programs. The following provides detailed information on expenses for each outcome and program, further</w:t>
      </w:r>
      <w:r w:rsidR="00271ADD" w:rsidRPr="00B56FAA">
        <w:t xml:space="preserve"> broken down by funding source.</w:t>
      </w:r>
    </w:p>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p w14:paraId="135F863F" w14:textId="77777777" w:rsidR="00E16C02" w:rsidRPr="00B56FAA" w:rsidRDefault="00E16C02" w:rsidP="00207968">
      <w:pPr>
        <w:pBdr>
          <w:top w:val="single" w:sz="2" w:space="6" w:color="auto"/>
          <w:left w:val="single" w:sz="2" w:space="0" w:color="auto"/>
          <w:bottom w:val="single" w:sz="2" w:space="6" w:color="auto"/>
          <w:right w:val="single" w:sz="2" w:space="0" w:color="auto"/>
        </w:pBdr>
        <w:spacing w:before="120" w:after="120"/>
        <w:rPr>
          <w:b/>
          <w:lang w:val="en-AU"/>
        </w:rPr>
      </w:pPr>
      <w:r w:rsidRPr="00B56FAA">
        <w:rPr>
          <w:b/>
          <w:lang w:val="en-AU"/>
        </w:rPr>
        <w:t>Note:</w:t>
      </w:r>
    </w:p>
    <w:p w14:paraId="52ADE2D9" w14:textId="77777777" w:rsidR="006B5B8F" w:rsidRPr="00B56FAA" w:rsidRDefault="006B20D8" w:rsidP="00207968">
      <w:pPr>
        <w:pBdr>
          <w:top w:val="single" w:sz="2" w:space="6" w:color="auto"/>
          <w:left w:val="single" w:sz="2" w:space="0" w:color="auto"/>
          <w:bottom w:val="single" w:sz="2" w:space="6" w:color="auto"/>
          <w:right w:val="single" w:sz="2" w:space="0" w:color="auto"/>
        </w:pBdr>
        <w:spacing w:before="120" w:after="120"/>
        <w:rPr>
          <w:lang w:val="en-AU"/>
        </w:rPr>
      </w:pPr>
      <w:r w:rsidRPr="00B56FAA">
        <w:t xml:space="preserve">Performance reporting requirements in the Portfolio Budget Statements are part of the Commonwealth performance framework established by the </w:t>
      </w:r>
      <w:r w:rsidRPr="00B56FAA">
        <w:rPr>
          <w:i/>
        </w:rPr>
        <w:t>Public Governance, Performance and Accountability Act 2013</w:t>
      </w:r>
      <w:r w:rsidRPr="00B56FAA">
        <w:t xml:space="preserve">. It is anticipated that the performance </w:t>
      </w:r>
      <w:r w:rsidR="004A7815" w:rsidRPr="00B56FAA">
        <w:t>measures</w:t>
      </w:r>
      <w:r w:rsidRPr="00B56FAA">
        <w:t xml:space="preserve"> described in Portfolio Budget Statements will be read with broader information provided in an entity’s corporate plans and annual performance statements – included in Annual Reports </w:t>
      </w:r>
      <w:r w:rsidR="00207968" w:rsidRPr="00B56FAA">
        <w:t>–</w:t>
      </w:r>
      <w:r w:rsidRPr="00B56FAA">
        <w:t xml:space="preserve"> to provide a complete picture of an entity’s planned and actual performance.</w:t>
      </w:r>
    </w:p>
    <w:p w14:paraId="73E46F01" w14:textId="77777777" w:rsidR="007C38F6" w:rsidRPr="00B56FAA" w:rsidRDefault="006B5B8F" w:rsidP="00754942">
      <w:pPr>
        <w:pBdr>
          <w:top w:val="single" w:sz="2" w:space="6" w:color="auto"/>
          <w:left w:val="single" w:sz="2" w:space="0" w:color="auto"/>
          <w:bottom w:val="single" w:sz="2" w:space="6" w:color="auto"/>
          <w:right w:val="single" w:sz="2" w:space="0" w:color="auto"/>
        </w:pBdr>
        <w:spacing w:before="0" w:after="0"/>
        <w:rPr>
          <w:lang w:val="en-AU"/>
        </w:rPr>
      </w:pPr>
      <w:r w:rsidRPr="00B56FAA">
        <w:rPr>
          <w:lang w:val="en-AU"/>
        </w:rPr>
        <w:t>The most recent corporate plan for Defence can be found at:</w:t>
      </w:r>
    </w:p>
    <w:p w14:paraId="1D8360D7" w14:textId="77777777" w:rsidR="006B5B8F" w:rsidRPr="00B56FAA" w:rsidRDefault="00004E68" w:rsidP="008C1AC5">
      <w:pPr>
        <w:pBdr>
          <w:top w:val="single" w:sz="2" w:space="6" w:color="auto"/>
          <w:left w:val="single" w:sz="2" w:space="0" w:color="auto"/>
          <w:bottom w:val="single" w:sz="2" w:space="6" w:color="auto"/>
          <w:right w:val="single" w:sz="2" w:space="0" w:color="auto"/>
        </w:pBdr>
        <w:spacing w:before="0" w:after="120"/>
        <w:rPr>
          <w:lang w:val="en-AU"/>
        </w:rPr>
      </w:pPr>
      <w:hyperlink r:id="rId51" w:history="1">
        <w:r w:rsidR="0054625A" w:rsidRPr="00B56FAA">
          <w:rPr>
            <w:rStyle w:val="Hyperlink"/>
            <w:lang w:val="en-AU"/>
          </w:rPr>
          <w:t>http://www.defence.gov.au/about/strategic-planning/defence-corporate-plan/</w:t>
        </w:r>
      </w:hyperlink>
      <w:r w:rsidR="007C4112" w:rsidRPr="00B56FAA">
        <w:rPr>
          <w:lang w:val="en-AU"/>
        </w:rPr>
        <w:t>.</w:t>
      </w:r>
    </w:p>
    <w:p w14:paraId="5426EC19" w14:textId="77777777" w:rsidR="007C38F6" w:rsidRPr="00B56FAA" w:rsidRDefault="006B5B8F" w:rsidP="008C1AC5">
      <w:pPr>
        <w:pBdr>
          <w:top w:val="single" w:sz="2" w:space="6" w:color="auto"/>
          <w:left w:val="single" w:sz="2" w:space="0" w:color="auto"/>
          <w:bottom w:val="single" w:sz="2" w:space="6" w:color="auto"/>
          <w:right w:val="single" w:sz="2" w:space="0" w:color="auto"/>
        </w:pBdr>
        <w:spacing w:before="0" w:after="0"/>
        <w:rPr>
          <w:lang w:val="en-AU"/>
        </w:rPr>
      </w:pPr>
      <w:r w:rsidRPr="00B56FAA">
        <w:rPr>
          <w:lang w:val="en-AU"/>
        </w:rPr>
        <w:t>The most recent annual performance statement can be found at:</w:t>
      </w:r>
    </w:p>
    <w:p w14:paraId="743C6CAC" w14:textId="77777777" w:rsidR="00E16C02" w:rsidRPr="00B56FAA" w:rsidRDefault="00004E68" w:rsidP="008C1AC5">
      <w:pPr>
        <w:pBdr>
          <w:top w:val="single" w:sz="2" w:space="6" w:color="auto"/>
          <w:left w:val="single" w:sz="2" w:space="0" w:color="auto"/>
          <w:bottom w:val="single" w:sz="2" w:space="6" w:color="auto"/>
          <w:right w:val="single" w:sz="2" w:space="0" w:color="auto"/>
        </w:pBdr>
        <w:spacing w:before="0" w:after="0"/>
        <w:rPr>
          <w:lang w:val="en-AU"/>
        </w:rPr>
      </w:pPr>
      <w:hyperlink r:id="rId52" w:history="1">
        <w:r w:rsidR="00B334AE" w:rsidRPr="00B56FAA">
          <w:rPr>
            <w:rStyle w:val="Hyperlink"/>
            <w:lang w:val="en-AU"/>
          </w:rPr>
          <w:t>https://www.defence.gov.au/about/information-disclosures/annual-reports</w:t>
        </w:r>
      </w:hyperlink>
      <w:r w:rsidR="007C4112" w:rsidRPr="00B56FAA">
        <w:rPr>
          <w:lang w:val="en-AU"/>
        </w:rPr>
        <w:t>.</w:t>
      </w:r>
    </w:p>
    <w:p w14:paraId="4D21EA69" w14:textId="77777777" w:rsidR="001F391A" w:rsidRPr="00B63978" w:rsidRDefault="0033139E" w:rsidP="006F5093">
      <w:pPr>
        <w:pStyle w:val="FigureHeading"/>
        <w:tabs>
          <w:tab w:val="num" w:pos="142"/>
          <w:tab w:val="num" w:pos="426"/>
        </w:tabs>
        <w:spacing w:before="0"/>
        <w:ind w:left="0" w:firstLine="0"/>
        <w:outlineLvl w:val="4"/>
        <w:rPr>
          <w:lang w:val="en-AU"/>
        </w:rPr>
      </w:pPr>
      <w:r w:rsidRPr="00B56FAA">
        <w:rPr>
          <w:lang w:val="en-AU"/>
        </w:rPr>
        <w:br w:type="page"/>
      </w:r>
      <w:r w:rsidR="0085144D">
        <w:rPr>
          <w:noProof/>
          <w:lang w:val="en-AU"/>
        </w:rPr>
        <w:lastRenderedPageBreak/>
        <w:drawing>
          <wp:anchor distT="0" distB="0" distL="114300" distR="114300" simplePos="0" relativeHeight="251704832" behindDoc="1" locked="0" layoutInCell="1" allowOverlap="1" wp14:anchorId="42469707" wp14:editId="291CBF96">
            <wp:simplePos x="0" y="0"/>
            <wp:positionH relativeFrom="column">
              <wp:posOffset>99060</wp:posOffset>
            </wp:positionH>
            <wp:positionV relativeFrom="paragraph">
              <wp:posOffset>71120</wp:posOffset>
            </wp:positionV>
            <wp:extent cx="5116195" cy="7878445"/>
            <wp:effectExtent l="0" t="0" r="0" b="0"/>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53" cstate="print">
                      <a:extLst>
                        <a:ext uri="{28A0092B-C50C-407E-A947-70E740481C1C}">
                          <a14:useLocalDpi xmlns:a14="http://schemas.microsoft.com/office/drawing/2010/main" val="0"/>
                        </a:ext>
                      </a:extLst>
                    </a:blip>
                    <a:srcRect l="3238" r="19618" b="8182"/>
                    <a:stretch>
                      <a:fillRect/>
                    </a:stretch>
                  </pic:blipFill>
                  <pic:spPr bwMode="auto">
                    <a:xfrm>
                      <a:off x="0" y="0"/>
                      <a:ext cx="5116195" cy="787844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74D" w:rsidRPr="00B63978">
        <w:rPr>
          <w:lang w:val="en-AU"/>
        </w:rPr>
        <w:t>S</w:t>
      </w:r>
      <w:r w:rsidR="00330065" w:rsidRPr="00B63978">
        <w:rPr>
          <w:lang w:val="en-AU"/>
        </w:rPr>
        <w:t>tructure of Defence’s Outcomes</w:t>
      </w:r>
    </w:p>
    <w:p w14:paraId="292A9596" w14:textId="77777777" w:rsidR="001B31DD" w:rsidRDefault="001B31DD" w:rsidP="00C5026B">
      <w:pPr>
        <w:spacing w:before="0" w:after="0"/>
        <w:rPr>
          <w:rFonts w:ascii="Arial" w:hAnsi="Arial"/>
          <w:b/>
          <w:sz w:val="14"/>
          <w:szCs w:val="14"/>
        </w:rPr>
      </w:pPr>
    </w:p>
    <w:p w14:paraId="61B9745B" w14:textId="77777777" w:rsidR="001B31DD" w:rsidRDefault="001B31DD" w:rsidP="00C5026B">
      <w:pPr>
        <w:spacing w:before="0" w:after="0"/>
        <w:rPr>
          <w:rFonts w:ascii="Arial" w:hAnsi="Arial"/>
          <w:b/>
          <w:sz w:val="14"/>
          <w:szCs w:val="14"/>
        </w:rPr>
      </w:pPr>
    </w:p>
    <w:p w14:paraId="22B1B13C" w14:textId="77777777" w:rsidR="001B31DD" w:rsidRDefault="001B31DD" w:rsidP="00C5026B">
      <w:pPr>
        <w:spacing w:before="0" w:after="0"/>
        <w:rPr>
          <w:rFonts w:ascii="Arial" w:hAnsi="Arial"/>
          <w:b/>
          <w:sz w:val="14"/>
          <w:szCs w:val="14"/>
        </w:rPr>
      </w:pPr>
    </w:p>
    <w:p w14:paraId="15E90D09" w14:textId="77777777" w:rsidR="001B31DD" w:rsidRDefault="001B31DD" w:rsidP="00C5026B">
      <w:pPr>
        <w:spacing w:before="0" w:after="0"/>
        <w:rPr>
          <w:rFonts w:ascii="Arial" w:hAnsi="Arial"/>
          <w:b/>
          <w:sz w:val="14"/>
          <w:szCs w:val="14"/>
        </w:rPr>
      </w:pPr>
    </w:p>
    <w:p w14:paraId="28A5DBA0" w14:textId="77777777" w:rsidR="001B31DD" w:rsidRDefault="001B31DD" w:rsidP="00C5026B">
      <w:pPr>
        <w:spacing w:before="0" w:after="0"/>
        <w:rPr>
          <w:rFonts w:ascii="Arial" w:hAnsi="Arial"/>
          <w:b/>
          <w:sz w:val="14"/>
          <w:szCs w:val="14"/>
        </w:rPr>
      </w:pPr>
    </w:p>
    <w:p w14:paraId="7DE75C4B" w14:textId="77777777" w:rsidR="001B31DD" w:rsidRDefault="001B31DD" w:rsidP="00C5026B">
      <w:pPr>
        <w:spacing w:before="0" w:after="0"/>
        <w:rPr>
          <w:rFonts w:ascii="Arial" w:hAnsi="Arial"/>
          <w:b/>
          <w:sz w:val="14"/>
          <w:szCs w:val="14"/>
        </w:rPr>
      </w:pPr>
    </w:p>
    <w:p w14:paraId="2FCC9AEA" w14:textId="77777777" w:rsidR="001B31DD" w:rsidRDefault="001B31DD" w:rsidP="00C5026B">
      <w:pPr>
        <w:spacing w:before="0" w:after="0"/>
        <w:rPr>
          <w:rFonts w:ascii="Arial" w:hAnsi="Arial"/>
          <w:b/>
          <w:sz w:val="14"/>
          <w:szCs w:val="14"/>
        </w:rPr>
      </w:pPr>
    </w:p>
    <w:p w14:paraId="575FCB9D" w14:textId="77777777" w:rsidR="001B31DD" w:rsidRDefault="001B31DD" w:rsidP="00C5026B">
      <w:pPr>
        <w:spacing w:before="0" w:after="0"/>
        <w:rPr>
          <w:rFonts w:ascii="Arial" w:hAnsi="Arial"/>
          <w:b/>
          <w:sz w:val="14"/>
          <w:szCs w:val="14"/>
        </w:rPr>
      </w:pPr>
    </w:p>
    <w:p w14:paraId="11132041" w14:textId="77777777" w:rsidR="001B31DD" w:rsidRDefault="001B31DD" w:rsidP="00C5026B">
      <w:pPr>
        <w:spacing w:before="0" w:after="0"/>
        <w:rPr>
          <w:rFonts w:ascii="Arial" w:hAnsi="Arial"/>
          <w:b/>
          <w:sz w:val="14"/>
          <w:szCs w:val="14"/>
        </w:rPr>
      </w:pPr>
    </w:p>
    <w:p w14:paraId="25C90567" w14:textId="77777777" w:rsidR="001B31DD" w:rsidRDefault="001B31DD" w:rsidP="00C5026B">
      <w:pPr>
        <w:spacing w:before="0" w:after="0"/>
        <w:rPr>
          <w:rFonts w:ascii="Arial" w:hAnsi="Arial"/>
          <w:b/>
          <w:sz w:val="14"/>
          <w:szCs w:val="14"/>
        </w:rPr>
      </w:pPr>
    </w:p>
    <w:p w14:paraId="2BE10534" w14:textId="77777777" w:rsidR="001B31DD" w:rsidRDefault="001B31DD" w:rsidP="00C5026B">
      <w:pPr>
        <w:spacing w:before="0" w:after="0"/>
        <w:rPr>
          <w:rFonts w:ascii="Arial" w:hAnsi="Arial"/>
          <w:b/>
          <w:sz w:val="14"/>
          <w:szCs w:val="14"/>
        </w:rPr>
      </w:pPr>
    </w:p>
    <w:p w14:paraId="72916BFC" w14:textId="77777777" w:rsidR="001B31DD" w:rsidRDefault="001B31DD" w:rsidP="00C5026B">
      <w:pPr>
        <w:spacing w:before="0" w:after="0"/>
        <w:rPr>
          <w:rFonts w:ascii="Arial" w:hAnsi="Arial"/>
          <w:b/>
          <w:sz w:val="14"/>
          <w:szCs w:val="14"/>
        </w:rPr>
      </w:pPr>
    </w:p>
    <w:p w14:paraId="4FE8A96B" w14:textId="77777777" w:rsidR="001B31DD" w:rsidRDefault="001B31DD" w:rsidP="00C5026B">
      <w:pPr>
        <w:spacing w:before="0" w:after="0"/>
        <w:rPr>
          <w:rFonts w:ascii="Arial" w:hAnsi="Arial"/>
          <w:b/>
          <w:sz w:val="14"/>
          <w:szCs w:val="14"/>
        </w:rPr>
      </w:pPr>
    </w:p>
    <w:p w14:paraId="2BB845EA" w14:textId="77777777" w:rsidR="001B31DD" w:rsidRDefault="001B31DD" w:rsidP="00C5026B">
      <w:pPr>
        <w:spacing w:before="0" w:after="0"/>
        <w:rPr>
          <w:rFonts w:ascii="Arial" w:hAnsi="Arial"/>
          <w:b/>
          <w:sz w:val="14"/>
          <w:szCs w:val="14"/>
        </w:rPr>
      </w:pPr>
    </w:p>
    <w:p w14:paraId="575EE5E4" w14:textId="77777777" w:rsidR="001B31DD" w:rsidRDefault="001B31DD" w:rsidP="00C5026B">
      <w:pPr>
        <w:spacing w:before="0" w:after="0"/>
        <w:rPr>
          <w:rFonts w:ascii="Arial" w:hAnsi="Arial"/>
          <w:b/>
          <w:sz w:val="14"/>
          <w:szCs w:val="14"/>
        </w:rPr>
      </w:pPr>
    </w:p>
    <w:p w14:paraId="6EA64B65" w14:textId="77777777" w:rsidR="001B31DD" w:rsidRDefault="001B31DD" w:rsidP="00C5026B">
      <w:pPr>
        <w:spacing w:before="0" w:after="0"/>
        <w:rPr>
          <w:rFonts w:ascii="Arial" w:hAnsi="Arial"/>
          <w:b/>
          <w:sz w:val="14"/>
          <w:szCs w:val="14"/>
        </w:rPr>
      </w:pPr>
    </w:p>
    <w:p w14:paraId="7CA74D49" w14:textId="77777777" w:rsidR="001B31DD" w:rsidRDefault="001B31DD" w:rsidP="00C5026B">
      <w:pPr>
        <w:spacing w:before="0" w:after="0"/>
        <w:rPr>
          <w:rFonts w:ascii="Arial" w:hAnsi="Arial"/>
          <w:b/>
          <w:sz w:val="14"/>
          <w:szCs w:val="14"/>
        </w:rPr>
      </w:pPr>
    </w:p>
    <w:p w14:paraId="394CE36E" w14:textId="77777777" w:rsidR="001B31DD" w:rsidRDefault="001B31DD" w:rsidP="00C5026B">
      <w:pPr>
        <w:spacing w:before="0" w:after="0"/>
        <w:rPr>
          <w:rFonts w:ascii="Arial" w:hAnsi="Arial"/>
          <w:b/>
          <w:sz w:val="14"/>
          <w:szCs w:val="14"/>
        </w:rPr>
      </w:pPr>
    </w:p>
    <w:p w14:paraId="55BDBAD1" w14:textId="77777777" w:rsidR="001B31DD" w:rsidRDefault="001B31DD" w:rsidP="00C5026B">
      <w:pPr>
        <w:spacing w:before="0" w:after="0"/>
        <w:rPr>
          <w:rFonts w:ascii="Arial" w:hAnsi="Arial"/>
          <w:b/>
          <w:sz w:val="14"/>
          <w:szCs w:val="14"/>
        </w:rPr>
      </w:pPr>
    </w:p>
    <w:p w14:paraId="6AB4C52E" w14:textId="77777777" w:rsidR="001B31DD" w:rsidRDefault="001B31DD" w:rsidP="00C5026B">
      <w:pPr>
        <w:spacing w:before="0" w:after="0"/>
        <w:rPr>
          <w:rFonts w:ascii="Arial" w:hAnsi="Arial"/>
          <w:b/>
          <w:sz w:val="14"/>
          <w:szCs w:val="14"/>
        </w:rPr>
      </w:pPr>
    </w:p>
    <w:p w14:paraId="33FD6D13" w14:textId="77777777" w:rsidR="001B31DD" w:rsidRDefault="001B31DD" w:rsidP="00C5026B">
      <w:pPr>
        <w:spacing w:before="0" w:after="0"/>
        <w:rPr>
          <w:rFonts w:ascii="Arial" w:hAnsi="Arial"/>
          <w:b/>
          <w:sz w:val="14"/>
          <w:szCs w:val="14"/>
        </w:rPr>
      </w:pPr>
    </w:p>
    <w:p w14:paraId="1C4E32F1" w14:textId="77777777" w:rsidR="001B31DD" w:rsidRDefault="001B31DD" w:rsidP="00C5026B">
      <w:pPr>
        <w:spacing w:before="0" w:after="0"/>
        <w:rPr>
          <w:rFonts w:ascii="Arial" w:hAnsi="Arial"/>
          <w:b/>
          <w:sz w:val="14"/>
          <w:szCs w:val="14"/>
        </w:rPr>
      </w:pPr>
    </w:p>
    <w:p w14:paraId="7F051480" w14:textId="77777777" w:rsidR="001B31DD" w:rsidRDefault="001B31DD" w:rsidP="00C5026B">
      <w:pPr>
        <w:spacing w:before="0" w:after="0"/>
        <w:rPr>
          <w:rFonts w:ascii="Arial" w:hAnsi="Arial"/>
          <w:b/>
          <w:sz w:val="14"/>
          <w:szCs w:val="14"/>
        </w:rPr>
      </w:pPr>
    </w:p>
    <w:p w14:paraId="00F06140" w14:textId="77777777" w:rsidR="001B31DD" w:rsidRDefault="001B31DD" w:rsidP="00C5026B">
      <w:pPr>
        <w:spacing w:before="0" w:after="0"/>
        <w:rPr>
          <w:rFonts w:ascii="Arial" w:hAnsi="Arial"/>
          <w:b/>
          <w:sz w:val="14"/>
          <w:szCs w:val="14"/>
        </w:rPr>
      </w:pPr>
    </w:p>
    <w:p w14:paraId="20CF7359" w14:textId="77777777" w:rsidR="001B31DD" w:rsidRDefault="001B31DD" w:rsidP="00C5026B">
      <w:pPr>
        <w:spacing w:before="0" w:after="0"/>
        <w:rPr>
          <w:rFonts w:ascii="Arial" w:hAnsi="Arial"/>
          <w:b/>
          <w:sz w:val="14"/>
          <w:szCs w:val="14"/>
        </w:rPr>
      </w:pPr>
    </w:p>
    <w:p w14:paraId="5188DF6B" w14:textId="77777777" w:rsidR="001B31DD" w:rsidRDefault="001B31DD" w:rsidP="00C5026B">
      <w:pPr>
        <w:spacing w:before="0" w:after="0"/>
        <w:rPr>
          <w:rFonts w:ascii="Arial" w:hAnsi="Arial"/>
          <w:b/>
          <w:sz w:val="14"/>
          <w:szCs w:val="14"/>
        </w:rPr>
      </w:pPr>
    </w:p>
    <w:p w14:paraId="0AEFF928" w14:textId="77777777" w:rsidR="001B31DD" w:rsidRDefault="001B31DD" w:rsidP="00C5026B">
      <w:pPr>
        <w:spacing w:before="0" w:after="0"/>
        <w:rPr>
          <w:rFonts w:ascii="Arial" w:hAnsi="Arial"/>
          <w:b/>
          <w:sz w:val="14"/>
          <w:szCs w:val="14"/>
        </w:rPr>
      </w:pPr>
    </w:p>
    <w:p w14:paraId="33363744" w14:textId="77777777" w:rsidR="001B31DD" w:rsidRDefault="001B31DD" w:rsidP="00C5026B">
      <w:pPr>
        <w:spacing w:before="0" w:after="0"/>
        <w:rPr>
          <w:rFonts w:ascii="Arial" w:hAnsi="Arial"/>
          <w:b/>
          <w:sz w:val="14"/>
          <w:szCs w:val="14"/>
        </w:rPr>
      </w:pPr>
    </w:p>
    <w:p w14:paraId="41F30D56" w14:textId="77777777" w:rsidR="001B31DD" w:rsidRDefault="001B31DD" w:rsidP="00C5026B">
      <w:pPr>
        <w:spacing w:before="0" w:after="0"/>
        <w:rPr>
          <w:rFonts w:ascii="Arial" w:hAnsi="Arial"/>
          <w:b/>
          <w:sz w:val="14"/>
          <w:szCs w:val="14"/>
        </w:rPr>
      </w:pPr>
    </w:p>
    <w:p w14:paraId="245369B8" w14:textId="77777777" w:rsidR="001B31DD" w:rsidRDefault="001B31DD" w:rsidP="00C5026B">
      <w:pPr>
        <w:spacing w:before="0" w:after="0"/>
        <w:rPr>
          <w:rFonts w:ascii="Arial" w:hAnsi="Arial"/>
          <w:b/>
          <w:sz w:val="14"/>
          <w:szCs w:val="14"/>
        </w:rPr>
      </w:pPr>
    </w:p>
    <w:p w14:paraId="2F0B8AA4" w14:textId="77777777" w:rsidR="001B31DD" w:rsidRDefault="001B31DD" w:rsidP="00C5026B">
      <w:pPr>
        <w:spacing w:before="0" w:after="0"/>
        <w:rPr>
          <w:rFonts w:ascii="Arial" w:hAnsi="Arial"/>
          <w:b/>
          <w:sz w:val="14"/>
          <w:szCs w:val="14"/>
        </w:rPr>
      </w:pPr>
    </w:p>
    <w:p w14:paraId="68D28467" w14:textId="77777777" w:rsidR="001B31DD" w:rsidRDefault="001B31DD" w:rsidP="00C5026B">
      <w:pPr>
        <w:spacing w:before="0" w:after="0"/>
        <w:rPr>
          <w:rFonts w:ascii="Arial" w:hAnsi="Arial"/>
          <w:b/>
          <w:sz w:val="14"/>
          <w:szCs w:val="14"/>
        </w:rPr>
      </w:pPr>
    </w:p>
    <w:p w14:paraId="6F2E408D" w14:textId="77777777" w:rsidR="001B31DD" w:rsidRDefault="001B31DD" w:rsidP="00C5026B">
      <w:pPr>
        <w:spacing w:before="0" w:after="0"/>
        <w:rPr>
          <w:rFonts w:ascii="Arial" w:hAnsi="Arial"/>
          <w:b/>
          <w:sz w:val="14"/>
          <w:szCs w:val="14"/>
        </w:rPr>
      </w:pPr>
    </w:p>
    <w:p w14:paraId="5C6F58F5" w14:textId="77777777" w:rsidR="001B31DD" w:rsidRDefault="001B31DD" w:rsidP="00C5026B">
      <w:pPr>
        <w:spacing w:before="0" w:after="0"/>
        <w:rPr>
          <w:rFonts w:ascii="Arial" w:hAnsi="Arial"/>
          <w:b/>
          <w:sz w:val="14"/>
          <w:szCs w:val="14"/>
        </w:rPr>
      </w:pPr>
    </w:p>
    <w:p w14:paraId="36B49309" w14:textId="77777777" w:rsidR="001B31DD" w:rsidRDefault="001B31DD" w:rsidP="00C5026B">
      <w:pPr>
        <w:spacing w:before="0" w:after="0"/>
        <w:rPr>
          <w:rFonts w:ascii="Arial" w:hAnsi="Arial"/>
          <w:b/>
          <w:sz w:val="14"/>
          <w:szCs w:val="14"/>
        </w:rPr>
      </w:pPr>
    </w:p>
    <w:p w14:paraId="4879868D" w14:textId="77777777" w:rsidR="001B31DD" w:rsidRDefault="001B31DD" w:rsidP="00C5026B">
      <w:pPr>
        <w:spacing w:before="0" w:after="0"/>
        <w:rPr>
          <w:rFonts w:ascii="Arial" w:hAnsi="Arial"/>
          <w:b/>
          <w:sz w:val="14"/>
          <w:szCs w:val="14"/>
        </w:rPr>
      </w:pPr>
    </w:p>
    <w:p w14:paraId="792BB798" w14:textId="77777777" w:rsidR="001B31DD" w:rsidRDefault="001B31DD" w:rsidP="00C5026B">
      <w:pPr>
        <w:spacing w:before="0" w:after="0"/>
        <w:rPr>
          <w:rFonts w:ascii="Arial" w:hAnsi="Arial"/>
          <w:b/>
          <w:sz w:val="14"/>
          <w:szCs w:val="14"/>
        </w:rPr>
      </w:pPr>
    </w:p>
    <w:p w14:paraId="1D2F4366" w14:textId="77777777" w:rsidR="001B31DD" w:rsidRDefault="001B31DD" w:rsidP="00C5026B">
      <w:pPr>
        <w:spacing w:before="0" w:after="0"/>
        <w:rPr>
          <w:rFonts w:ascii="Arial" w:hAnsi="Arial"/>
          <w:b/>
          <w:sz w:val="14"/>
          <w:szCs w:val="14"/>
        </w:rPr>
      </w:pPr>
    </w:p>
    <w:p w14:paraId="3939593A" w14:textId="77777777" w:rsidR="001B31DD" w:rsidRDefault="001B31DD" w:rsidP="00C5026B">
      <w:pPr>
        <w:spacing w:before="0" w:after="0"/>
        <w:rPr>
          <w:rFonts w:ascii="Arial" w:hAnsi="Arial"/>
          <w:b/>
          <w:sz w:val="14"/>
          <w:szCs w:val="14"/>
        </w:rPr>
      </w:pPr>
    </w:p>
    <w:p w14:paraId="6820D03F" w14:textId="77777777" w:rsidR="001B31DD" w:rsidRDefault="001B31DD" w:rsidP="00C5026B">
      <w:pPr>
        <w:spacing w:before="0" w:after="0"/>
        <w:rPr>
          <w:rFonts w:ascii="Arial" w:hAnsi="Arial"/>
          <w:b/>
          <w:sz w:val="14"/>
          <w:szCs w:val="14"/>
        </w:rPr>
      </w:pPr>
    </w:p>
    <w:p w14:paraId="4DE1FA58" w14:textId="77777777" w:rsidR="001B31DD" w:rsidRDefault="001B31DD" w:rsidP="00C5026B">
      <w:pPr>
        <w:spacing w:before="0" w:after="0"/>
        <w:rPr>
          <w:rFonts w:ascii="Arial" w:hAnsi="Arial"/>
          <w:b/>
          <w:sz w:val="14"/>
          <w:szCs w:val="14"/>
        </w:rPr>
      </w:pPr>
    </w:p>
    <w:p w14:paraId="714DECAA" w14:textId="77777777" w:rsidR="001B31DD" w:rsidRDefault="001B31DD" w:rsidP="00C5026B">
      <w:pPr>
        <w:spacing w:before="0" w:after="0"/>
        <w:rPr>
          <w:rFonts w:ascii="Arial" w:hAnsi="Arial"/>
          <w:b/>
          <w:sz w:val="14"/>
          <w:szCs w:val="14"/>
        </w:rPr>
      </w:pPr>
    </w:p>
    <w:p w14:paraId="557D28C6" w14:textId="77777777" w:rsidR="001B31DD" w:rsidRDefault="001B31DD" w:rsidP="00C5026B">
      <w:pPr>
        <w:spacing w:before="0" w:after="0"/>
        <w:rPr>
          <w:rFonts w:ascii="Arial" w:hAnsi="Arial"/>
          <w:b/>
          <w:sz w:val="14"/>
          <w:szCs w:val="14"/>
        </w:rPr>
      </w:pPr>
    </w:p>
    <w:p w14:paraId="3D9206E0" w14:textId="77777777" w:rsidR="001B31DD" w:rsidRDefault="001B31DD" w:rsidP="00C5026B">
      <w:pPr>
        <w:spacing w:before="0" w:after="0"/>
        <w:rPr>
          <w:rFonts w:ascii="Arial" w:hAnsi="Arial"/>
          <w:b/>
          <w:sz w:val="14"/>
          <w:szCs w:val="14"/>
        </w:rPr>
      </w:pPr>
    </w:p>
    <w:p w14:paraId="261E9C23" w14:textId="77777777" w:rsidR="001B31DD" w:rsidRDefault="001B31DD" w:rsidP="00C5026B">
      <w:pPr>
        <w:spacing w:before="0" w:after="0"/>
        <w:rPr>
          <w:rFonts w:ascii="Arial" w:hAnsi="Arial"/>
          <w:b/>
          <w:sz w:val="14"/>
          <w:szCs w:val="14"/>
        </w:rPr>
      </w:pPr>
    </w:p>
    <w:p w14:paraId="7F58BF9B" w14:textId="77777777" w:rsidR="001B31DD" w:rsidRDefault="001B31DD" w:rsidP="00C5026B">
      <w:pPr>
        <w:spacing w:before="0" w:after="0"/>
        <w:rPr>
          <w:rFonts w:ascii="Arial" w:hAnsi="Arial"/>
          <w:b/>
          <w:sz w:val="14"/>
          <w:szCs w:val="14"/>
        </w:rPr>
      </w:pPr>
    </w:p>
    <w:p w14:paraId="0ABB95CC" w14:textId="77777777" w:rsidR="001B31DD" w:rsidRDefault="001B31DD" w:rsidP="00C5026B">
      <w:pPr>
        <w:spacing w:before="0" w:after="0"/>
        <w:rPr>
          <w:rFonts w:ascii="Arial" w:hAnsi="Arial"/>
          <w:b/>
          <w:sz w:val="14"/>
          <w:szCs w:val="14"/>
        </w:rPr>
      </w:pPr>
    </w:p>
    <w:p w14:paraId="596E6995" w14:textId="77777777" w:rsidR="001B31DD" w:rsidRDefault="001B31DD" w:rsidP="00C5026B">
      <w:pPr>
        <w:spacing w:before="0" w:after="0"/>
        <w:rPr>
          <w:rFonts w:ascii="Arial" w:hAnsi="Arial"/>
          <w:b/>
          <w:sz w:val="14"/>
          <w:szCs w:val="14"/>
        </w:rPr>
      </w:pPr>
    </w:p>
    <w:p w14:paraId="7BD554FD" w14:textId="77777777" w:rsidR="001B31DD" w:rsidRDefault="001B31DD" w:rsidP="00C5026B">
      <w:pPr>
        <w:spacing w:before="0" w:after="0"/>
        <w:rPr>
          <w:rFonts w:ascii="Arial" w:hAnsi="Arial"/>
          <w:b/>
          <w:sz w:val="14"/>
          <w:szCs w:val="14"/>
        </w:rPr>
      </w:pPr>
    </w:p>
    <w:p w14:paraId="422A6246" w14:textId="77777777" w:rsidR="001B31DD" w:rsidRDefault="001B31DD" w:rsidP="00C5026B">
      <w:pPr>
        <w:spacing w:before="0" w:after="0"/>
        <w:rPr>
          <w:rFonts w:ascii="Arial" w:hAnsi="Arial"/>
          <w:b/>
          <w:sz w:val="14"/>
          <w:szCs w:val="14"/>
        </w:rPr>
      </w:pPr>
    </w:p>
    <w:p w14:paraId="6F08F4B6" w14:textId="77777777" w:rsidR="001B31DD" w:rsidRDefault="001B31DD" w:rsidP="00C5026B">
      <w:pPr>
        <w:spacing w:before="0" w:after="0"/>
        <w:rPr>
          <w:rFonts w:ascii="Arial" w:hAnsi="Arial"/>
          <w:b/>
          <w:sz w:val="14"/>
          <w:szCs w:val="14"/>
        </w:rPr>
      </w:pPr>
    </w:p>
    <w:p w14:paraId="45A0EFCA" w14:textId="77777777" w:rsidR="001B31DD" w:rsidRDefault="001B31DD" w:rsidP="00C5026B">
      <w:pPr>
        <w:spacing w:before="0" w:after="0"/>
        <w:rPr>
          <w:rFonts w:ascii="Arial" w:hAnsi="Arial"/>
          <w:b/>
          <w:sz w:val="14"/>
          <w:szCs w:val="14"/>
        </w:rPr>
      </w:pPr>
    </w:p>
    <w:p w14:paraId="4A1BF405" w14:textId="77777777" w:rsidR="001B31DD" w:rsidRDefault="001B31DD" w:rsidP="00C5026B">
      <w:pPr>
        <w:spacing w:before="0" w:after="0"/>
        <w:rPr>
          <w:rFonts w:ascii="Arial" w:hAnsi="Arial"/>
          <w:b/>
          <w:sz w:val="14"/>
          <w:szCs w:val="14"/>
        </w:rPr>
      </w:pPr>
    </w:p>
    <w:p w14:paraId="2D6D4347" w14:textId="77777777" w:rsidR="001B31DD" w:rsidRDefault="001B31DD" w:rsidP="00C5026B">
      <w:pPr>
        <w:spacing w:before="0" w:after="0"/>
        <w:rPr>
          <w:rFonts w:ascii="Arial" w:hAnsi="Arial"/>
          <w:b/>
          <w:sz w:val="14"/>
          <w:szCs w:val="14"/>
        </w:rPr>
      </w:pPr>
    </w:p>
    <w:p w14:paraId="53BABE01" w14:textId="77777777" w:rsidR="001B31DD" w:rsidRDefault="001B31DD" w:rsidP="00C5026B">
      <w:pPr>
        <w:spacing w:before="0" w:after="0"/>
        <w:rPr>
          <w:rFonts w:ascii="Arial" w:hAnsi="Arial"/>
          <w:b/>
          <w:sz w:val="14"/>
          <w:szCs w:val="14"/>
        </w:rPr>
      </w:pPr>
    </w:p>
    <w:p w14:paraId="3E180395" w14:textId="77777777" w:rsidR="001B31DD" w:rsidRDefault="001B31DD" w:rsidP="00C5026B">
      <w:pPr>
        <w:spacing w:before="0" w:after="0"/>
        <w:rPr>
          <w:rFonts w:ascii="Arial" w:hAnsi="Arial"/>
          <w:b/>
          <w:sz w:val="14"/>
          <w:szCs w:val="14"/>
        </w:rPr>
      </w:pPr>
    </w:p>
    <w:p w14:paraId="3A4E2F17" w14:textId="77777777" w:rsidR="001B31DD" w:rsidRDefault="001B31DD" w:rsidP="00C5026B">
      <w:pPr>
        <w:spacing w:before="0" w:after="0"/>
        <w:rPr>
          <w:rFonts w:ascii="Arial" w:hAnsi="Arial"/>
          <w:b/>
          <w:sz w:val="14"/>
          <w:szCs w:val="14"/>
        </w:rPr>
      </w:pPr>
    </w:p>
    <w:p w14:paraId="64715587" w14:textId="77777777" w:rsidR="001B31DD" w:rsidRDefault="001B31DD" w:rsidP="00C5026B">
      <w:pPr>
        <w:spacing w:before="0" w:after="0"/>
        <w:rPr>
          <w:rFonts w:ascii="Arial" w:hAnsi="Arial"/>
          <w:b/>
          <w:sz w:val="14"/>
          <w:szCs w:val="14"/>
        </w:rPr>
      </w:pPr>
    </w:p>
    <w:p w14:paraId="6AEB0384" w14:textId="77777777" w:rsidR="001B31DD" w:rsidRDefault="001B31DD" w:rsidP="00C5026B">
      <w:pPr>
        <w:spacing w:before="0" w:after="0"/>
        <w:rPr>
          <w:rFonts w:ascii="Arial" w:hAnsi="Arial"/>
          <w:b/>
          <w:sz w:val="14"/>
          <w:szCs w:val="14"/>
        </w:rPr>
      </w:pPr>
    </w:p>
    <w:p w14:paraId="54F2D93C" w14:textId="77777777" w:rsidR="001B31DD" w:rsidRDefault="001B31DD" w:rsidP="00C5026B">
      <w:pPr>
        <w:spacing w:before="0" w:after="0"/>
        <w:rPr>
          <w:rFonts w:ascii="Arial" w:hAnsi="Arial"/>
          <w:b/>
          <w:sz w:val="14"/>
          <w:szCs w:val="14"/>
        </w:rPr>
      </w:pPr>
    </w:p>
    <w:p w14:paraId="0384BD6D" w14:textId="77777777" w:rsidR="001B31DD" w:rsidRDefault="001B31DD" w:rsidP="00C5026B">
      <w:pPr>
        <w:spacing w:before="0" w:after="0"/>
        <w:rPr>
          <w:rFonts w:ascii="Arial" w:hAnsi="Arial"/>
          <w:b/>
          <w:sz w:val="14"/>
          <w:szCs w:val="14"/>
        </w:rPr>
      </w:pPr>
    </w:p>
    <w:p w14:paraId="16639DEC" w14:textId="77777777" w:rsidR="001B31DD" w:rsidRDefault="001B31DD" w:rsidP="00C5026B">
      <w:pPr>
        <w:spacing w:before="0" w:after="0"/>
        <w:rPr>
          <w:rFonts w:ascii="Arial" w:hAnsi="Arial"/>
          <w:b/>
          <w:sz w:val="14"/>
          <w:szCs w:val="14"/>
        </w:rPr>
      </w:pPr>
    </w:p>
    <w:p w14:paraId="06AE175E" w14:textId="77777777" w:rsidR="001B31DD" w:rsidRDefault="001B31DD" w:rsidP="00C5026B">
      <w:pPr>
        <w:spacing w:before="0" w:after="0"/>
        <w:rPr>
          <w:rFonts w:ascii="Arial" w:hAnsi="Arial"/>
          <w:b/>
          <w:sz w:val="14"/>
          <w:szCs w:val="14"/>
        </w:rPr>
      </w:pPr>
    </w:p>
    <w:p w14:paraId="5FC32034" w14:textId="77777777" w:rsidR="001B31DD" w:rsidRDefault="001B31DD" w:rsidP="00C5026B">
      <w:pPr>
        <w:spacing w:before="0" w:after="0"/>
        <w:rPr>
          <w:rFonts w:ascii="Arial" w:hAnsi="Arial"/>
          <w:b/>
          <w:sz w:val="14"/>
          <w:szCs w:val="14"/>
        </w:rPr>
      </w:pPr>
    </w:p>
    <w:p w14:paraId="5BB7476D" w14:textId="77777777" w:rsidR="001B31DD" w:rsidRDefault="001B31DD" w:rsidP="00C5026B">
      <w:pPr>
        <w:spacing w:before="0" w:after="0"/>
        <w:rPr>
          <w:rFonts w:ascii="Arial" w:hAnsi="Arial"/>
          <w:b/>
          <w:sz w:val="14"/>
          <w:szCs w:val="14"/>
        </w:rPr>
      </w:pPr>
    </w:p>
    <w:p w14:paraId="213C06F4" w14:textId="77777777" w:rsidR="001B31DD" w:rsidRDefault="001B31DD" w:rsidP="00C5026B">
      <w:pPr>
        <w:spacing w:before="0" w:after="0"/>
        <w:rPr>
          <w:rFonts w:ascii="Arial" w:hAnsi="Arial"/>
          <w:b/>
          <w:sz w:val="14"/>
          <w:szCs w:val="14"/>
        </w:rPr>
      </w:pPr>
    </w:p>
    <w:p w14:paraId="16E376C4" w14:textId="77777777" w:rsidR="001B31DD" w:rsidRDefault="001B31DD" w:rsidP="00C5026B">
      <w:pPr>
        <w:spacing w:before="0" w:after="0"/>
        <w:rPr>
          <w:rFonts w:ascii="Arial" w:hAnsi="Arial"/>
          <w:b/>
          <w:sz w:val="14"/>
          <w:szCs w:val="14"/>
        </w:rPr>
      </w:pPr>
    </w:p>
    <w:p w14:paraId="2F4FF28E" w14:textId="77777777" w:rsidR="001B31DD" w:rsidRDefault="001B31DD" w:rsidP="00C5026B">
      <w:pPr>
        <w:spacing w:before="0" w:after="0"/>
        <w:rPr>
          <w:rFonts w:ascii="Arial" w:hAnsi="Arial"/>
          <w:b/>
          <w:sz w:val="14"/>
          <w:szCs w:val="14"/>
        </w:rPr>
      </w:pPr>
    </w:p>
    <w:p w14:paraId="2918F1A7" w14:textId="77777777" w:rsidR="001B31DD" w:rsidRDefault="001B31DD" w:rsidP="00C5026B">
      <w:pPr>
        <w:spacing w:before="0" w:after="0"/>
        <w:rPr>
          <w:rFonts w:ascii="Arial" w:hAnsi="Arial"/>
          <w:b/>
          <w:sz w:val="14"/>
          <w:szCs w:val="14"/>
        </w:rPr>
      </w:pPr>
    </w:p>
    <w:p w14:paraId="3CFB52C2" w14:textId="77777777" w:rsidR="001B31DD" w:rsidRDefault="001B31DD" w:rsidP="00C5026B">
      <w:pPr>
        <w:spacing w:before="0" w:after="0"/>
        <w:rPr>
          <w:rFonts w:ascii="Arial" w:hAnsi="Arial"/>
          <w:b/>
          <w:sz w:val="14"/>
          <w:szCs w:val="14"/>
        </w:rPr>
      </w:pPr>
    </w:p>
    <w:p w14:paraId="10A2B412" w14:textId="77777777" w:rsidR="001B31DD" w:rsidRDefault="001B31DD" w:rsidP="00C5026B">
      <w:pPr>
        <w:spacing w:before="0" w:after="0"/>
        <w:rPr>
          <w:rFonts w:ascii="Arial" w:hAnsi="Arial"/>
          <w:b/>
          <w:sz w:val="14"/>
          <w:szCs w:val="14"/>
        </w:rPr>
      </w:pPr>
    </w:p>
    <w:p w14:paraId="4CE2D6FA" w14:textId="77777777" w:rsidR="001B31DD" w:rsidRDefault="001B31DD" w:rsidP="00C5026B">
      <w:pPr>
        <w:spacing w:before="0" w:after="0"/>
        <w:rPr>
          <w:rFonts w:ascii="Arial" w:hAnsi="Arial"/>
          <w:b/>
          <w:sz w:val="14"/>
          <w:szCs w:val="14"/>
        </w:rPr>
      </w:pPr>
    </w:p>
    <w:p w14:paraId="355E16C1" w14:textId="77777777" w:rsidR="001B31DD" w:rsidRDefault="001B31DD" w:rsidP="00C5026B">
      <w:pPr>
        <w:spacing w:before="0" w:after="0"/>
        <w:rPr>
          <w:rFonts w:ascii="Arial" w:hAnsi="Arial"/>
          <w:b/>
          <w:sz w:val="14"/>
          <w:szCs w:val="14"/>
        </w:rPr>
      </w:pPr>
    </w:p>
    <w:p w14:paraId="759BAD19" w14:textId="77777777" w:rsidR="001B31DD" w:rsidRDefault="001B31DD" w:rsidP="00C5026B">
      <w:pPr>
        <w:spacing w:before="0" w:after="0"/>
        <w:rPr>
          <w:rFonts w:ascii="Arial" w:hAnsi="Arial"/>
          <w:b/>
          <w:sz w:val="14"/>
          <w:szCs w:val="14"/>
        </w:rPr>
      </w:pPr>
    </w:p>
    <w:p w14:paraId="704C80C1" w14:textId="77777777" w:rsidR="001B31DD" w:rsidRDefault="001B31DD" w:rsidP="00C5026B">
      <w:pPr>
        <w:spacing w:before="0" w:after="0"/>
        <w:rPr>
          <w:rFonts w:ascii="Arial" w:hAnsi="Arial"/>
          <w:b/>
          <w:sz w:val="14"/>
          <w:szCs w:val="14"/>
        </w:rPr>
      </w:pPr>
    </w:p>
    <w:p w14:paraId="41F462E0" w14:textId="77777777" w:rsidR="001B31DD" w:rsidRDefault="001B31DD" w:rsidP="00C5026B">
      <w:pPr>
        <w:spacing w:before="0" w:after="0"/>
        <w:rPr>
          <w:rFonts w:ascii="Arial" w:hAnsi="Arial"/>
          <w:b/>
          <w:sz w:val="14"/>
          <w:szCs w:val="14"/>
        </w:rPr>
      </w:pPr>
    </w:p>
    <w:p w14:paraId="57820177" w14:textId="77777777" w:rsidR="001B31DD" w:rsidRDefault="001B31DD" w:rsidP="00C5026B">
      <w:pPr>
        <w:spacing w:before="0" w:after="0"/>
        <w:rPr>
          <w:rFonts w:ascii="Arial" w:hAnsi="Arial"/>
          <w:b/>
          <w:sz w:val="14"/>
          <w:szCs w:val="14"/>
        </w:rPr>
      </w:pPr>
    </w:p>
    <w:p w14:paraId="317F271F" w14:textId="77777777" w:rsidR="002648DE" w:rsidRPr="00C5026B" w:rsidRDefault="004A3BCC" w:rsidP="00C5026B">
      <w:pPr>
        <w:spacing w:before="0" w:after="0"/>
        <w:rPr>
          <w:rFonts w:ascii="Arial" w:hAnsi="Arial"/>
          <w:sz w:val="14"/>
          <w:szCs w:val="14"/>
        </w:rPr>
      </w:pPr>
      <w:r w:rsidRPr="00C5026B">
        <w:rPr>
          <w:rFonts w:ascii="Arial" w:hAnsi="Arial"/>
          <w:b/>
          <w:sz w:val="14"/>
          <w:szCs w:val="14"/>
        </w:rPr>
        <w:t>Notes</w:t>
      </w:r>
    </w:p>
    <w:p w14:paraId="760C9185" w14:textId="77777777" w:rsidR="004A3BCC" w:rsidRPr="00C5026B" w:rsidRDefault="00C5026B" w:rsidP="00C5026B">
      <w:pPr>
        <w:spacing w:before="0" w:after="0"/>
        <w:ind w:left="284" w:hanging="284"/>
        <w:rPr>
          <w:rFonts w:ascii="Arial" w:hAnsi="Arial"/>
          <w:sz w:val="14"/>
          <w:szCs w:val="14"/>
        </w:rPr>
      </w:pPr>
      <w:r w:rsidRPr="00C5026B">
        <w:rPr>
          <w:rFonts w:ascii="Arial" w:hAnsi="Arial"/>
          <w:sz w:val="14"/>
          <w:szCs w:val="14"/>
        </w:rPr>
        <w:t>a.</w:t>
      </w:r>
      <w:r>
        <w:rPr>
          <w:rFonts w:ascii="Arial" w:hAnsi="Arial"/>
          <w:sz w:val="14"/>
          <w:szCs w:val="14"/>
        </w:rPr>
        <w:tab/>
      </w:r>
      <w:r w:rsidR="004A3BCC" w:rsidRPr="00C5026B">
        <w:rPr>
          <w:rFonts w:ascii="Arial" w:hAnsi="Arial"/>
          <w:sz w:val="14"/>
          <w:szCs w:val="14"/>
        </w:rPr>
        <w:t>Includes the Governance Group</w:t>
      </w:r>
      <w:r w:rsidR="00F8127C" w:rsidRPr="00C5026B">
        <w:rPr>
          <w:rFonts w:ascii="Arial" w:hAnsi="Arial"/>
          <w:sz w:val="14"/>
          <w:szCs w:val="14"/>
        </w:rPr>
        <w:t>.</w:t>
      </w:r>
      <w:r w:rsidR="004A3BCC" w:rsidRPr="00C5026B">
        <w:rPr>
          <w:rFonts w:ascii="Arial" w:hAnsi="Arial"/>
          <w:sz w:val="14"/>
          <w:szCs w:val="14"/>
        </w:rPr>
        <w:t xml:space="preserve"> </w:t>
      </w:r>
    </w:p>
    <w:p w14:paraId="5B37A389" w14:textId="77777777" w:rsidR="004A3BCC" w:rsidRPr="00C5026B" w:rsidRDefault="00C5026B" w:rsidP="00C5026B">
      <w:pPr>
        <w:spacing w:before="0" w:after="0"/>
        <w:ind w:left="284" w:hanging="284"/>
        <w:rPr>
          <w:rFonts w:ascii="Arial" w:hAnsi="Arial"/>
          <w:sz w:val="14"/>
          <w:szCs w:val="14"/>
        </w:rPr>
      </w:pPr>
      <w:r>
        <w:rPr>
          <w:rFonts w:ascii="Arial" w:hAnsi="Arial"/>
          <w:sz w:val="14"/>
          <w:szCs w:val="14"/>
        </w:rPr>
        <w:t>b.</w:t>
      </w:r>
      <w:r>
        <w:rPr>
          <w:rFonts w:ascii="Arial" w:hAnsi="Arial"/>
          <w:sz w:val="14"/>
          <w:szCs w:val="14"/>
        </w:rPr>
        <w:tab/>
      </w:r>
      <w:r w:rsidR="004A3BCC" w:rsidRPr="00C5026B">
        <w:rPr>
          <w:rFonts w:ascii="Arial" w:hAnsi="Arial"/>
          <w:sz w:val="14"/>
          <w:szCs w:val="14"/>
        </w:rPr>
        <w:t>Includes the Guided Weapons and Explosive Ordnance Group</w:t>
      </w:r>
      <w:r w:rsidR="00F8127C" w:rsidRPr="00C5026B">
        <w:rPr>
          <w:rFonts w:ascii="Arial" w:hAnsi="Arial"/>
          <w:sz w:val="14"/>
          <w:szCs w:val="14"/>
        </w:rPr>
        <w:t>.</w:t>
      </w:r>
    </w:p>
    <w:p w14:paraId="0089A14E" w14:textId="77777777" w:rsidR="004A3BCC" w:rsidRPr="00C5026B" w:rsidRDefault="00C5026B" w:rsidP="00C5026B">
      <w:pPr>
        <w:spacing w:before="0" w:after="0"/>
        <w:ind w:left="284" w:hanging="284"/>
        <w:rPr>
          <w:rFonts w:ascii="Arial" w:hAnsi="Arial"/>
          <w:sz w:val="14"/>
          <w:szCs w:val="14"/>
        </w:rPr>
      </w:pPr>
      <w:r>
        <w:rPr>
          <w:rFonts w:ascii="Arial" w:hAnsi="Arial"/>
          <w:sz w:val="14"/>
          <w:szCs w:val="14"/>
        </w:rPr>
        <w:t>c.</w:t>
      </w:r>
      <w:r>
        <w:rPr>
          <w:rFonts w:ascii="Arial" w:hAnsi="Arial"/>
          <w:sz w:val="14"/>
          <w:szCs w:val="14"/>
        </w:rPr>
        <w:tab/>
      </w:r>
      <w:r w:rsidR="004A3BCC" w:rsidRPr="00C5026B">
        <w:rPr>
          <w:rFonts w:ascii="Arial" w:hAnsi="Arial"/>
          <w:sz w:val="14"/>
          <w:szCs w:val="14"/>
        </w:rPr>
        <w:t>Includes the Chief of Personnel</w:t>
      </w:r>
      <w:r w:rsidR="00F8127C" w:rsidRPr="00C5026B">
        <w:rPr>
          <w:rFonts w:ascii="Arial" w:hAnsi="Arial"/>
          <w:sz w:val="14"/>
          <w:szCs w:val="14"/>
        </w:rPr>
        <w:t>.</w:t>
      </w:r>
      <w:r w:rsidR="004A3BCC" w:rsidRPr="00C5026B">
        <w:rPr>
          <w:rFonts w:ascii="Arial" w:hAnsi="Arial"/>
          <w:sz w:val="14"/>
          <w:szCs w:val="14"/>
        </w:rPr>
        <w:t xml:space="preserve"> </w:t>
      </w:r>
    </w:p>
    <w:p w14:paraId="3AFDDB58" w14:textId="77777777" w:rsidR="00E86D72" w:rsidRPr="00B56FAA" w:rsidRDefault="00E86D72" w:rsidP="00FE319E">
      <w:pPr>
        <w:spacing w:before="0" w:after="0"/>
        <w:rPr>
          <w:rFonts w:ascii="Arial" w:hAnsi="Arial"/>
          <w:sz w:val="8"/>
          <w:szCs w:val="8"/>
        </w:rPr>
      </w:pPr>
    </w:p>
    <w:p w14:paraId="37D486AD" w14:textId="77777777" w:rsidR="00E37456" w:rsidRPr="006278E0" w:rsidRDefault="00E86D72" w:rsidP="00D9100A">
      <w:pPr>
        <w:pStyle w:val="TableHeading"/>
        <w:numPr>
          <w:ilvl w:val="0"/>
          <w:numId w:val="29"/>
        </w:numPr>
        <w:spacing w:before="0" w:after="120"/>
        <w:ind w:left="0" w:firstLine="0"/>
        <w:outlineLvl w:val="6"/>
        <w:rPr>
          <w:vertAlign w:val="superscript"/>
          <w:lang w:val="en-AU"/>
        </w:rPr>
      </w:pPr>
      <w:r w:rsidRPr="006278E0">
        <w:rPr>
          <w:lang w:val="en-AU"/>
        </w:rPr>
        <w:t>Changes</w:t>
      </w:r>
      <w:r w:rsidR="00526B71" w:rsidRPr="006278E0">
        <w:rPr>
          <w:lang w:val="en-AU"/>
        </w:rPr>
        <w:t xml:space="preserve"> to the P</w:t>
      </w:r>
      <w:r w:rsidRPr="006278E0">
        <w:rPr>
          <w:lang w:val="en-AU"/>
        </w:rPr>
        <w:t xml:space="preserve">rogram </w:t>
      </w:r>
      <w:r w:rsidR="00526B71" w:rsidRPr="006278E0">
        <w:rPr>
          <w:lang w:val="en-AU"/>
        </w:rPr>
        <w:t>Structures Since the L</w:t>
      </w:r>
      <w:r w:rsidRPr="006278E0">
        <w:rPr>
          <w:lang w:val="en-AU"/>
        </w:rPr>
        <w:t xml:space="preserve">ast Portfolio </w:t>
      </w:r>
      <w:r w:rsidR="00F959EA" w:rsidRPr="006278E0">
        <w:rPr>
          <w:lang w:val="en-AU"/>
        </w:rPr>
        <w:t xml:space="preserve">Budget </w:t>
      </w:r>
      <w:r w:rsidRPr="006278E0">
        <w:rPr>
          <w:lang w:val="en-AU"/>
        </w:rPr>
        <w:t>Statement</w:t>
      </w:r>
      <w:r w:rsidR="00F959EA" w:rsidRPr="006278E0">
        <w:rPr>
          <w:lang w:val="en-AU"/>
        </w:rPr>
        <w:t>s</w:t>
      </w:r>
    </w:p>
    <w:tbl>
      <w:tblPr>
        <w:tblW w:w="8731" w:type="dxa"/>
        <w:tblInd w:w="113" w:type="dxa"/>
        <w:tblLook w:val="04A0" w:firstRow="1" w:lastRow="0" w:firstColumn="1" w:lastColumn="0" w:noHBand="0" w:noVBand="1"/>
      </w:tblPr>
      <w:tblGrid>
        <w:gridCol w:w="850"/>
        <w:gridCol w:w="3628"/>
        <w:gridCol w:w="4253"/>
      </w:tblGrid>
      <w:tr w:rsidR="00E86D72" w:rsidRPr="0037453B" w14:paraId="5C50B07E" w14:textId="77777777" w:rsidTr="00E720A5">
        <w:trPr>
          <w:trHeight w:val="482"/>
        </w:trPr>
        <w:tc>
          <w:tcPr>
            <w:tcW w:w="850" w:type="dxa"/>
            <w:tcBorders>
              <w:top w:val="single" w:sz="4" w:space="0" w:color="000000"/>
              <w:left w:val="nil"/>
              <w:bottom w:val="single" w:sz="4" w:space="0" w:color="000000"/>
              <w:right w:val="nil"/>
            </w:tcBorders>
            <w:shd w:val="clear" w:color="auto" w:fill="E6E6E6"/>
            <w:hideMark/>
          </w:tcPr>
          <w:p w14:paraId="6F3F79A1" w14:textId="77777777" w:rsidR="00E86D72" w:rsidRPr="006278E0" w:rsidRDefault="00E86D72" w:rsidP="00A72890">
            <w:pPr>
              <w:ind w:left="-57" w:right="-57"/>
              <w:jc w:val="center"/>
              <w:rPr>
                <w:rFonts w:ascii="Arial" w:hAnsi="Arial"/>
                <w:b/>
                <w:bCs/>
                <w:color w:val="000000"/>
                <w:sz w:val="16"/>
                <w:szCs w:val="16"/>
                <w:lang w:val="en-AU"/>
              </w:rPr>
            </w:pPr>
            <w:r w:rsidRPr="006278E0">
              <w:rPr>
                <w:rFonts w:ascii="Arial" w:hAnsi="Arial"/>
                <w:b/>
                <w:bCs/>
                <w:color w:val="000000"/>
                <w:sz w:val="16"/>
                <w:szCs w:val="16"/>
                <w:lang w:val="en-AU"/>
              </w:rPr>
              <w:t>Program No.</w:t>
            </w:r>
          </w:p>
        </w:tc>
        <w:tc>
          <w:tcPr>
            <w:tcW w:w="3628" w:type="dxa"/>
            <w:tcBorders>
              <w:top w:val="single" w:sz="4" w:space="0" w:color="000000"/>
              <w:left w:val="nil"/>
              <w:bottom w:val="single" w:sz="4" w:space="0" w:color="000000"/>
              <w:right w:val="nil"/>
            </w:tcBorders>
            <w:shd w:val="clear" w:color="auto" w:fill="E6E6E6"/>
            <w:hideMark/>
          </w:tcPr>
          <w:p w14:paraId="712A0D12" w14:textId="77777777" w:rsidR="00E86D72" w:rsidRPr="006278E0" w:rsidRDefault="00E86D72" w:rsidP="00A72890">
            <w:pPr>
              <w:tabs>
                <w:tab w:val="left" w:pos="1425"/>
              </w:tabs>
              <w:ind w:left="-57" w:right="-57"/>
              <w:rPr>
                <w:rFonts w:ascii="Arial" w:hAnsi="Arial"/>
                <w:b/>
                <w:bCs/>
                <w:color w:val="000000"/>
                <w:sz w:val="16"/>
                <w:szCs w:val="16"/>
                <w:lang w:val="en-AU"/>
              </w:rPr>
            </w:pPr>
            <w:r w:rsidRPr="006278E0">
              <w:rPr>
                <w:rFonts w:ascii="Arial" w:hAnsi="Arial"/>
                <w:b/>
                <w:bCs/>
                <w:color w:val="000000"/>
                <w:sz w:val="16"/>
                <w:szCs w:val="16"/>
                <w:lang w:val="en-AU"/>
              </w:rPr>
              <w:t>Program title</w:t>
            </w:r>
          </w:p>
        </w:tc>
        <w:tc>
          <w:tcPr>
            <w:tcW w:w="4253" w:type="dxa"/>
            <w:tcBorders>
              <w:top w:val="single" w:sz="4" w:space="0" w:color="000000"/>
              <w:left w:val="nil"/>
              <w:bottom w:val="single" w:sz="4" w:space="0" w:color="000000"/>
              <w:right w:val="nil"/>
            </w:tcBorders>
            <w:shd w:val="clear" w:color="auto" w:fill="E6E6E6"/>
            <w:hideMark/>
          </w:tcPr>
          <w:p w14:paraId="754467D8" w14:textId="77777777" w:rsidR="00E86D72" w:rsidRPr="006278E0" w:rsidRDefault="00E86D72" w:rsidP="00A72890">
            <w:pPr>
              <w:ind w:left="-57" w:right="-57"/>
              <w:rPr>
                <w:rFonts w:ascii="Arial" w:hAnsi="Arial"/>
                <w:b/>
                <w:bCs/>
                <w:color w:val="000000"/>
                <w:sz w:val="16"/>
                <w:szCs w:val="16"/>
                <w:lang w:val="en-AU"/>
              </w:rPr>
            </w:pPr>
            <w:r w:rsidRPr="006278E0">
              <w:rPr>
                <w:rFonts w:ascii="Arial" w:hAnsi="Arial"/>
                <w:b/>
                <w:bCs/>
                <w:color w:val="000000"/>
                <w:sz w:val="16"/>
                <w:szCs w:val="16"/>
                <w:lang w:val="en-AU"/>
              </w:rPr>
              <w:t>Description of change</w:t>
            </w:r>
          </w:p>
        </w:tc>
      </w:tr>
      <w:tr w:rsidR="00C867A3" w:rsidRPr="00B56FAA" w14:paraId="7B1ECC56" w14:textId="77777777" w:rsidTr="00A72890">
        <w:trPr>
          <w:trHeight w:val="482"/>
        </w:trPr>
        <w:tc>
          <w:tcPr>
            <w:tcW w:w="850" w:type="dxa"/>
            <w:tcBorders>
              <w:top w:val="nil"/>
              <w:left w:val="nil"/>
              <w:bottom w:val="nil"/>
              <w:right w:val="nil"/>
            </w:tcBorders>
            <w:shd w:val="clear" w:color="auto" w:fill="auto"/>
            <w:noWrap/>
          </w:tcPr>
          <w:p w14:paraId="1E8FC8B0" w14:textId="77777777" w:rsidR="00C867A3" w:rsidRPr="001542F8" w:rsidRDefault="00C867A3" w:rsidP="00C6393F">
            <w:pPr>
              <w:ind w:left="-57" w:right="-57"/>
              <w:jc w:val="center"/>
              <w:rPr>
                <w:rFonts w:ascii="Arial" w:hAnsi="Arial"/>
                <w:color w:val="000000"/>
                <w:sz w:val="16"/>
                <w:szCs w:val="16"/>
                <w:lang w:val="en-AU"/>
              </w:rPr>
            </w:pPr>
          </w:p>
        </w:tc>
        <w:tc>
          <w:tcPr>
            <w:tcW w:w="3628" w:type="dxa"/>
            <w:tcBorders>
              <w:top w:val="nil"/>
              <w:left w:val="nil"/>
              <w:bottom w:val="nil"/>
              <w:right w:val="nil"/>
            </w:tcBorders>
            <w:shd w:val="clear" w:color="auto" w:fill="auto"/>
          </w:tcPr>
          <w:p w14:paraId="0D12C588" w14:textId="2D51BD1A" w:rsidR="00C867A3" w:rsidRPr="001542F8" w:rsidRDefault="001542F8" w:rsidP="001542F8">
            <w:pPr>
              <w:ind w:left="-57" w:right="-57"/>
              <w:rPr>
                <w:rFonts w:ascii="Arial" w:hAnsi="Arial"/>
                <w:color w:val="000000"/>
                <w:sz w:val="16"/>
                <w:szCs w:val="16"/>
                <w:lang w:val="en-AU"/>
              </w:rPr>
            </w:pPr>
            <w:r w:rsidRPr="001542F8">
              <w:rPr>
                <w:rFonts w:ascii="Arial" w:hAnsi="Arial"/>
                <w:color w:val="000000"/>
                <w:sz w:val="16"/>
                <w:szCs w:val="16"/>
                <w:lang w:val="en-AU"/>
              </w:rPr>
              <w:t>N</w:t>
            </w:r>
            <w:r>
              <w:rPr>
                <w:rFonts w:ascii="Arial" w:hAnsi="Arial"/>
                <w:color w:val="000000"/>
                <w:sz w:val="16"/>
                <w:szCs w:val="16"/>
                <w:lang w:val="en-AU"/>
              </w:rPr>
              <w:t>il</w:t>
            </w:r>
            <w:r w:rsidRPr="001542F8">
              <w:rPr>
                <w:rFonts w:ascii="Arial" w:hAnsi="Arial"/>
                <w:color w:val="000000"/>
                <w:sz w:val="16"/>
                <w:szCs w:val="16"/>
                <w:lang w:val="en-AU"/>
              </w:rPr>
              <w:t xml:space="preserve"> changes</w:t>
            </w:r>
          </w:p>
        </w:tc>
        <w:tc>
          <w:tcPr>
            <w:tcW w:w="4253" w:type="dxa"/>
            <w:tcBorders>
              <w:top w:val="nil"/>
              <w:left w:val="nil"/>
              <w:bottom w:val="nil"/>
              <w:right w:val="nil"/>
            </w:tcBorders>
            <w:shd w:val="clear" w:color="auto" w:fill="auto"/>
          </w:tcPr>
          <w:p w14:paraId="2430B1B9" w14:textId="77777777" w:rsidR="00C867A3" w:rsidRPr="002B2BCC" w:rsidRDefault="00C867A3" w:rsidP="00C51F16">
            <w:pPr>
              <w:ind w:left="-57" w:right="-57"/>
              <w:rPr>
                <w:rFonts w:ascii="Arial" w:hAnsi="Arial"/>
                <w:color w:val="000000"/>
                <w:sz w:val="16"/>
                <w:szCs w:val="16"/>
                <w:lang w:val="en-AU"/>
              </w:rPr>
            </w:pPr>
          </w:p>
        </w:tc>
      </w:tr>
    </w:tbl>
    <w:p w14:paraId="6792000B" w14:textId="77777777" w:rsidR="00E86D72" w:rsidRPr="00B56FAA" w:rsidRDefault="00E86D72" w:rsidP="00E86D72">
      <w:pPr>
        <w:spacing w:before="0" w:after="0"/>
        <w:rPr>
          <w:rFonts w:ascii="Arial" w:hAnsi="Arial"/>
          <w:b/>
          <w:sz w:val="16"/>
          <w:szCs w:val="16"/>
        </w:rPr>
      </w:pPr>
    </w:p>
    <w:p w14:paraId="67188920" w14:textId="77777777" w:rsidR="00C847A0" w:rsidRPr="00B56FAA" w:rsidRDefault="00C847A0" w:rsidP="00E05F87">
      <w:pPr>
        <w:pStyle w:val="FootnoteText"/>
        <w:spacing w:before="0" w:after="0"/>
        <w:rPr>
          <w:sz w:val="4"/>
          <w:szCs w:val="4"/>
        </w:rPr>
      </w:pPr>
      <w:r w:rsidRPr="00316F76">
        <w:rPr>
          <w:sz w:val="14"/>
          <w:szCs w:val="14"/>
        </w:rPr>
        <w:br w:type="page"/>
      </w:r>
    </w:p>
    <w:p w14:paraId="33517661" w14:textId="77777777" w:rsidR="009958F9" w:rsidRPr="00437A14" w:rsidRDefault="009958F9" w:rsidP="00437A14">
      <w:pPr>
        <w:pStyle w:val="Heading4"/>
      </w:pPr>
      <w:bookmarkStart w:id="761" w:name="_Toc476581150"/>
      <w:bookmarkStart w:id="762" w:name="_Toc507595422"/>
      <w:bookmarkStart w:id="763" w:name="_Toc536089230"/>
      <w:bookmarkStart w:id="764" w:name="_Toc536089490"/>
      <w:bookmarkStart w:id="765" w:name="_Toc536089596"/>
      <w:bookmarkStart w:id="766" w:name="_Toc69729046"/>
      <w:bookmarkStart w:id="767" w:name="_Toc97747829"/>
      <w:bookmarkStart w:id="768" w:name="_Toc108088940"/>
      <w:bookmarkStart w:id="769" w:name="_Toc108089019"/>
      <w:bookmarkStart w:id="770" w:name="_Toc108089414"/>
      <w:bookmarkStart w:id="771" w:name="_Toc159499684"/>
      <w:bookmarkStart w:id="772" w:name="_Toc159859101"/>
      <w:bookmarkStart w:id="773" w:name="_Toc159859253"/>
      <w:r w:rsidRPr="00437A14">
        <w:lastRenderedPageBreak/>
        <w:t>2.1 Budget Expenses and Performance for Outcome 1</w:t>
      </w:r>
      <w:bookmarkEnd w:id="761"/>
      <w:bookmarkEnd w:id="762"/>
      <w:bookmarkEnd w:id="763"/>
      <w:bookmarkEnd w:id="764"/>
      <w:bookmarkEnd w:id="765"/>
      <w:bookmarkEnd w:id="766"/>
      <w:bookmarkEnd w:id="767"/>
      <w:bookmarkEnd w:id="768"/>
      <w:bookmarkEnd w:id="769"/>
      <w:bookmarkEnd w:id="770"/>
      <w:bookmarkEnd w:id="771"/>
      <w:bookmarkEnd w:id="772"/>
      <w:bookmarkEnd w:id="7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7"/>
      </w:tblGrid>
      <w:tr w:rsidR="00556E53" w:rsidRPr="00B56FAA" w14:paraId="7BDFC3EB" w14:textId="77777777" w:rsidTr="005039BD">
        <w:trPr>
          <w:trHeight w:val="845"/>
        </w:trPr>
        <w:tc>
          <w:tcPr>
            <w:tcW w:w="8833" w:type="dxa"/>
            <w:shd w:val="clear" w:color="auto" w:fill="CCCCCC"/>
          </w:tcPr>
          <w:p w14:paraId="57373457" w14:textId="77777777" w:rsidR="00556E53" w:rsidRPr="005039BD" w:rsidRDefault="007074AB" w:rsidP="005039BD">
            <w:pPr>
              <w:spacing w:line="240" w:lineRule="atLeast"/>
              <w:rPr>
                <w:rFonts w:ascii="Arial" w:hAnsi="Arial"/>
                <w:b/>
                <w:lang w:val="en-AU"/>
              </w:rPr>
            </w:pPr>
            <w:r w:rsidRPr="00B56FAA">
              <w:rPr>
                <w:lang w:val="en-AU"/>
              </w:rPr>
              <w:br w:type="page"/>
            </w:r>
            <w:r w:rsidR="00EB12DF" w:rsidRPr="00B56FAA">
              <w:rPr>
                <w:lang w:val="en-AU"/>
              </w:rPr>
              <w:br w:type="page"/>
            </w:r>
            <w:r w:rsidR="00556E53" w:rsidRPr="005039BD">
              <w:rPr>
                <w:rFonts w:ascii="Arial" w:hAnsi="Arial"/>
                <w:b/>
                <w:lang w:val="en-AU"/>
              </w:rPr>
              <w:t xml:space="preserve">Outcome 1: </w:t>
            </w:r>
            <w:r w:rsidR="004B1C7B" w:rsidRPr="005039BD">
              <w:rPr>
                <w:rFonts w:ascii="Arial" w:hAnsi="Arial"/>
                <w:b/>
                <w:lang w:val="en-AU"/>
              </w:rPr>
              <w:t>Defend Australia and its national interests through the conduct of operations and provision of support for the</w:t>
            </w:r>
            <w:r w:rsidR="00CC4752" w:rsidRPr="005039BD">
              <w:rPr>
                <w:rFonts w:ascii="Arial" w:hAnsi="Arial"/>
                <w:b/>
                <w:lang w:val="en-AU"/>
              </w:rPr>
              <w:t xml:space="preserve"> </w:t>
            </w:r>
            <w:r w:rsidR="004B1C7B" w:rsidRPr="005039BD">
              <w:rPr>
                <w:rFonts w:ascii="Arial" w:hAnsi="Arial"/>
                <w:b/>
                <w:lang w:val="en-AU"/>
              </w:rPr>
              <w:t>Australian community and civilian authorities in accordance with Government direction</w:t>
            </w:r>
            <w:r w:rsidR="00526B23" w:rsidRPr="005039BD">
              <w:rPr>
                <w:rFonts w:ascii="Arial" w:hAnsi="Arial"/>
                <w:b/>
                <w:lang w:val="en-AU"/>
              </w:rPr>
              <w:t>.</w:t>
            </w:r>
          </w:p>
        </w:tc>
      </w:tr>
    </w:tbl>
    <w:p w14:paraId="526C182A" w14:textId="77777777" w:rsidR="0071273C" w:rsidRPr="00B56FAA" w:rsidRDefault="00E87E2E" w:rsidP="008C1AC5">
      <w:pPr>
        <w:pStyle w:val="Heading4level5"/>
        <w:spacing w:before="120" w:after="120"/>
      </w:pPr>
      <w:r w:rsidRPr="00B56FAA">
        <w:t>Outcome 1 Strategy</w:t>
      </w:r>
    </w:p>
    <w:p w14:paraId="17E7DE99" w14:textId="77777777" w:rsidR="00405C17" w:rsidRPr="00AF1EAA" w:rsidRDefault="00405C17" w:rsidP="0042174E">
      <w:pPr>
        <w:spacing w:before="120" w:after="120"/>
        <w:rPr>
          <w:szCs w:val="20"/>
          <w:lang w:val="en-AU"/>
        </w:rPr>
      </w:pPr>
      <w:r w:rsidRPr="00AF1EAA">
        <w:rPr>
          <w:szCs w:val="20"/>
          <w:lang w:val="en-AU"/>
        </w:rPr>
        <w:t>Defence plans for, develops and maintains the capability to deter and defeat armed attacks on Australia or on Australian interests. This includes planning for, conducting, controlling and evaluating Defence contributions to Government-directed operations.</w:t>
      </w:r>
    </w:p>
    <w:p w14:paraId="3553572B" w14:textId="77777777" w:rsidR="00405C17" w:rsidRPr="00B56FAA" w:rsidRDefault="00405C17" w:rsidP="005039BD">
      <w:pPr>
        <w:spacing w:line="240" w:lineRule="atLeast"/>
        <w:rPr>
          <w:szCs w:val="20"/>
          <w:lang w:val="en-AU"/>
        </w:rPr>
      </w:pPr>
      <w:r w:rsidRPr="00AF1EAA">
        <w:rPr>
          <w:szCs w:val="20"/>
          <w:lang w:val="en-AU"/>
        </w:rPr>
        <w:t xml:space="preserve">Defence also supports the Commonwealth and </w:t>
      </w:r>
      <w:r w:rsidR="0084189B" w:rsidRPr="00AF1EAA">
        <w:rPr>
          <w:szCs w:val="20"/>
          <w:lang w:val="en-AU"/>
        </w:rPr>
        <w:t>State/T</w:t>
      </w:r>
      <w:r w:rsidRPr="00AF1EAA">
        <w:rPr>
          <w:szCs w:val="20"/>
          <w:lang w:val="en-AU"/>
        </w:rPr>
        <w:t xml:space="preserve">erritory </w:t>
      </w:r>
      <w:r w:rsidR="00964D54" w:rsidRPr="00AF1EAA">
        <w:rPr>
          <w:szCs w:val="20"/>
          <w:lang w:val="en-AU"/>
        </w:rPr>
        <w:t>g</w:t>
      </w:r>
      <w:r w:rsidRPr="00AF1EAA">
        <w:rPr>
          <w:szCs w:val="20"/>
          <w:lang w:val="en-AU"/>
        </w:rPr>
        <w:t>overnments with emergency and non-emergency tasks, as well as supporting regional disaster assistance and events of national significance as directed by the Government.</w:t>
      </w:r>
    </w:p>
    <w:p w14:paraId="5943E051" w14:textId="77777777" w:rsidR="00144198" w:rsidRPr="00B56FAA" w:rsidRDefault="00992768" w:rsidP="008C1AC5">
      <w:pPr>
        <w:pStyle w:val="Bullet"/>
        <w:spacing w:before="120" w:after="120"/>
        <w:rPr>
          <w:rFonts w:ascii="Arial" w:hAnsi="Arial"/>
          <w:szCs w:val="20"/>
          <w:lang w:val="en-AU"/>
        </w:rPr>
      </w:pPr>
      <w:r w:rsidRPr="00B56FAA">
        <w:rPr>
          <w:rFonts w:ascii="Arial" w:hAnsi="Arial"/>
          <w:b/>
          <w:szCs w:val="20"/>
          <w:lang w:val="en-AU"/>
        </w:rPr>
        <w:t>Current Operations</w:t>
      </w:r>
      <w:r w:rsidR="00997DBF" w:rsidRPr="00B56FAA">
        <w:rPr>
          <w:rFonts w:ascii="Arial" w:hAnsi="Arial"/>
          <w:b/>
          <w:szCs w:val="20"/>
          <w:lang w:val="en-AU"/>
        </w:rPr>
        <w:t xml:space="preserve"> and </w:t>
      </w:r>
      <w:r w:rsidR="003B1A1C" w:rsidRPr="00B56FAA">
        <w:rPr>
          <w:rFonts w:ascii="Arial" w:hAnsi="Arial"/>
          <w:b/>
          <w:szCs w:val="20"/>
          <w:lang w:val="en-AU"/>
        </w:rPr>
        <w:t>Support</w:t>
      </w:r>
    </w:p>
    <w:p w14:paraId="1C015925" w14:textId="06D1B31B" w:rsidR="00405C17" w:rsidRPr="00E51E62" w:rsidRDefault="00405C17" w:rsidP="0042174E">
      <w:pPr>
        <w:numPr>
          <w:ilvl w:val="0"/>
          <w:numId w:val="15"/>
        </w:numPr>
        <w:spacing w:before="120" w:after="120" w:line="259" w:lineRule="auto"/>
        <w:rPr>
          <w:szCs w:val="20"/>
          <w:lang w:val="en-AU"/>
        </w:rPr>
      </w:pPr>
      <w:r w:rsidRPr="00E51E62">
        <w:rPr>
          <w:szCs w:val="20"/>
        </w:rPr>
        <w:t>ACCORDION</w:t>
      </w:r>
      <w:r w:rsidRPr="00E51E62">
        <w:rPr>
          <w:szCs w:val="20"/>
          <w:lang w:val="en-AU"/>
        </w:rPr>
        <w:t xml:space="preserve"> – </w:t>
      </w:r>
      <w:r w:rsidRPr="00E51E62">
        <w:rPr>
          <w:szCs w:val="20"/>
        </w:rPr>
        <w:t>Provide</w:t>
      </w:r>
      <w:r w:rsidRPr="00E51E62">
        <w:rPr>
          <w:szCs w:val="20"/>
          <w:lang w:val="en-AU"/>
        </w:rPr>
        <w:t xml:space="preserve"> support to Operations STEADFAST, MANITOU and other ADF activities from within the Middle East region.</w:t>
      </w:r>
    </w:p>
    <w:p w14:paraId="7AC5B27C" w14:textId="77777777" w:rsidR="00405C17" w:rsidRPr="00E51E62" w:rsidRDefault="00405C17" w:rsidP="0042174E">
      <w:pPr>
        <w:numPr>
          <w:ilvl w:val="0"/>
          <w:numId w:val="15"/>
        </w:numPr>
        <w:spacing w:before="120" w:after="120" w:line="259" w:lineRule="auto"/>
        <w:rPr>
          <w:szCs w:val="20"/>
          <w:lang w:val="en-AU"/>
        </w:rPr>
      </w:pPr>
      <w:r w:rsidRPr="00E51E62">
        <w:rPr>
          <w:szCs w:val="20"/>
        </w:rPr>
        <w:t>ARGOS</w:t>
      </w:r>
      <w:r w:rsidRPr="00E51E62">
        <w:rPr>
          <w:rFonts w:eastAsia="Calibri"/>
          <w:szCs w:val="20"/>
        </w:rPr>
        <w:t xml:space="preserve"> – </w:t>
      </w:r>
      <w:r w:rsidRPr="00E51E62">
        <w:rPr>
          <w:szCs w:val="20"/>
        </w:rPr>
        <w:t xml:space="preserve">Contribute to the international effort to enforce United Nations Security Council resolutions </w:t>
      </w:r>
      <w:r w:rsidRPr="00E51E62">
        <w:rPr>
          <w:szCs w:val="20"/>
          <w:lang w:val="en-AU"/>
        </w:rPr>
        <w:t>on North Korea.</w:t>
      </w:r>
    </w:p>
    <w:p w14:paraId="0D5D3B48" w14:textId="77777777" w:rsidR="00405C17" w:rsidRPr="00E51E62" w:rsidRDefault="00405C17" w:rsidP="0042174E">
      <w:pPr>
        <w:numPr>
          <w:ilvl w:val="0"/>
          <w:numId w:val="15"/>
        </w:numPr>
        <w:spacing w:before="120" w:after="120" w:line="259" w:lineRule="auto"/>
        <w:rPr>
          <w:szCs w:val="20"/>
          <w:lang w:val="en-AU"/>
        </w:rPr>
      </w:pPr>
      <w:r w:rsidRPr="00E51E62">
        <w:rPr>
          <w:szCs w:val="20"/>
        </w:rPr>
        <w:t>ASLAN</w:t>
      </w:r>
      <w:r w:rsidRPr="00E51E62">
        <w:rPr>
          <w:szCs w:val="20"/>
          <w:lang w:val="en-AU"/>
        </w:rPr>
        <w:t xml:space="preserve"> – Contribute to </w:t>
      </w:r>
      <w:r w:rsidRPr="00E51E62">
        <w:rPr>
          <w:szCs w:val="20"/>
        </w:rPr>
        <w:t>the</w:t>
      </w:r>
      <w:r w:rsidRPr="00E51E62">
        <w:rPr>
          <w:szCs w:val="20"/>
          <w:lang w:val="en-AU"/>
        </w:rPr>
        <w:t xml:space="preserve"> United Nations Mission in South Sudan.</w:t>
      </w:r>
    </w:p>
    <w:p w14:paraId="4CB7F2ED" w14:textId="77777777" w:rsidR="00405C17" w:rsidRPr="00E51E62" w:rsidRDefault="00405C17" w:rsidP="0042174E">
      <w:pPr>
        <w:numPr>
          <w:ilvl w:val="0"/>
          <w:numId w:val="15"/>
        </w:numPr>
        <w:spacing w:before="120" w:after="120" w:line="259" w:lineRule="auto"/>
        <w:rPr>
          <w:szCs w:val="20"/>
          <w:lang w:val="en-AU"/>
        </w:rPr>
      </w:pPr>
      <w:r w:rsidRPr="00E51E62">
        <w:rPr>
          <w:szCs w:val="20"/>
        </w:rPr>
        <w:t>AUGURY</w:t>
      </w:r>
      <w:r w:rsidRPr="00E51E62">
        <w:rPr>
          <w:szCs w:val="20"/>
          <w:lang w:val="en-AU"/>
        </w:rPr>
        <w:t xml:space="preserve"> – GLOBAL - ADF </w:t>
      </w:r>
      <w:r w:rsidRPr="00E51E62">
        <w:rPr>
          <w:szCs w:val="20"/>
        </w:rPr>
        <w:t>support</w:t>
      </w:r>
      <w:r w:rsidRPr="00E51E62">
        <w:rPr>
          <w:szCs w:val="20"/>
          <w:lang w:val="en-AU"/>
        </w:rPr>
        <w:t xml:space="preserve"> to the </w:t>
      </w:r>
      <w:r w:rsidR="00DB5DCF" w:rsidRPr="00E51E62">
        <w:rPr>
          <w:szCs w:val="20"/>
          <w:lang w:val="en-AU"/>
        </w:rPr>
        <w:t>w</w:t>
      </w:r>
      <w:r w:rsidRPr="00E51E62">
        <w:rPr>
          <w:szCs w:val="20"/>
          <w:lang w:val="en-AU"/>
        </w:rPr>
        <w:t>hole</w:t>
      </w:r>
      <w:r w:rsidR="007C4112" w:rsidRPr="00E51E62">
        <w:rPr>
          <w:szCs w:val="20"/>
          <w:lang w:val="en-AU"/>
        </w:rPr>
        <w:t>-</w:t>
      </w:r>
      <w:r w:rsidRPr="00E51E62">
        <w:rPr>
          <w:szCs w:val="20"/>
          <w:lang w:val="en-AU"/>
        </w:rPr>
        <w:t>of</w:t>
      </w:r>
      <w:r w:rsidR="00DB5DCF" w:rsidRPr="00E51E62">
        <w:rPr>
          <w:szCs w:val="20"/>
          <w:lang w:val="en-AU"/>
        </w:rPr>
        <w:t>-g</w:t>
      </w:r>
      <w:r w:rsidRPr="00E51E62">
        <w:rPr>
          <w:szCs w:val="20"/>
          <w:lang w:val="en-AU"/>
        </w:rPr>
        <w:t>overnment Counter Terrorism objectives.</w:t>
      </w:r>
    </w:p>
    <w:p w14:paraId="47EF49A9" w14:textId="77777777" w:rsidR="00866E94" w:rsidRPr="00E51E62" w:rsidRDefault="00866E94" w:rsidP="00866E94">
      <w:pPr>
        <w:numPr>
          <w:ilvl w:val="0"/>
          <w:numId w:val="15"/>
        </w:numPr>
        <w:spacing w:before="120" w:after="120" w:line="259" w:lineRule="auto"/>
        <w:rPr>
          <w:szCs w:val="20"/>
          <w:lang w:val="en-AU"/>
        </w:rPr>
      </w:pPr>
      <w:r w:rsidRPr="00E51E62">
        <w:rPr>
          <w:szCs w:val="20"/>
          <w:lang w:val="en-AU"/>
        </w:rPr>
        <w:t>BANNISTER – Deployment of planning teams to support Australian overseas missions or other activities as required.</w:t>
      </w:r>
    </w:p>
    <w:p w14:paraId="41E9B0E3" w14:textId="77777777" w:rsidR="009B5524" w:rsidRPr="00E51E62" w:rsidRDefault="00BE0282" w:rsidP="00F73EBA">
      <w:pPr>
        <w:numPr>
          <w:ilvl w:val="0"/>
          <w:numId w:val="15"/>
        </w:numPr>
        <w:spacing w:before="120" w:after="120" w:line="259" w:lineRule="auto"/>
        <w:rPr>
          <w:szCs w:val="20"/>
        </w:rPr>
      </w:pPr>
      <w:r w:rsidRPr="00E51E62">
        <w:rPr>
          <w:szCs w:val="20"/>
        </w:rPr>
        <w:t xml:space="preserve">BEECH – </w:t>
      </w:r>
      <w:r w:rsidR="00C42355" w:rsidRPr="00E51E62">
        <w:rPr>
          <w:szCs w:val="20"/>
        </w:rPr>
        <w:t>Defence’s support to the Australian Government response to the Hamas-Israel conflict.</w:t>
      </w:r>
    </w:p>
    <w:p w14:paraId="3D33BBCC" w14:textId="77777777" w:rsidR="00405C17" w:rsidRPr="00E51E62" w:rsidRDefault="00405C17" w:rsidP="0042174E">
      <w:pPr>
        <w:numPr>
          <w:ilvl w:val="0"/>
          <w:numId w:val="15"/>
        </w:numPr>
        <w:spacing w:before="120" w:after="120" w:line="259" w:lineRule="auto"/>
        <w:rPr>
          <w:lang w:val="en-AU"/>
        </w:rPr>
      </w:pPr>
      <w:r w:rsidRPr="00E51E62">
        <w:rPr>
          <w:szCs w:val="20"/>
        </w:rPr>
        <w:t>DYURRA</w:t>
      </w:r>
      <w:r w:rsidR="00E50F61" w:rsidRPr="00E51E62">
        <w:rPr>
          <w:lang w:val="en-AU"/>
        </w:rPr>
        <w:t xml:space="preserve"> – </w:t>
      </w:r>
      <w:r w:rsidRPr="00E51E62">
        <w:rPr>
          <w:lang w:val="en-AU"/>
        </w:rPr>
        <w:t>ADF space operations and their integration into wider ADF and allied space domain operations.</w:t>
      </w:r>
    </w:p>
    <w:p w14:paraId="2F12F320" w14:textId="77777777" w:rsidR="00405C17" w:rsidRPr="00E51E62" w:rsidRDefault="00405C17" w:rsidP="0042174E">
      <w:pPr>
        <w:numPr>
          <w:ilvl w:val="0"/>
          <w:numId w:val="15"/>
        </w:numPr>
        <w:spacing w:before="120" w:after="120" w:line="259" w:lineRule="auto"/>
        <w:rPr>
          <w:lang w:val="en-AU"/>
        </w:rPr>
      </w:pPr>
      <w:r w:rsidRPr="00E51E62">
        <w:rPr>
          <w:lang w:val="en-AU"/>
        </w:rPr>
        <w:t xml:space="preserve">FORTITUDE </w:t>
      </w:r>
      <w:r w:rsidR="00E50F61" w:rsidRPr="00E51E62">
        <w:rPr>
          <w:lang w:val="en-AU"/>
        </w:rPr>
        <w:t>–</w:t>
      </w:r>
      <w:r w:rsidRPr="00E51E62">
        <w:rPr>
          <w:lang w:val="en-AU"/>
        </w:rPr>
        <w:t xml:space="preserve"> </w:t>
      </w:r>
      <w:r w:rsidR="0084189B" w:rsidRPr="00E51E62">
        <w:rPr>
          <w:lang w:val="en-AU"/>
        </w:rPr>
        <w:t>C</w:t>
      </w:r>
      <w:r w:rsidRPr="00E51E62">
        <w:rPr>
          <w:lang w:val="en-AU"/>
        </w:rPr>
        <w:t>ontribution to the United Nations Disengagement Observer Force (UNDOF).</w:t>
      </w:r>
    </w:p>
    <w:p w14:paraId="0505D10B" w14:textId="77777777" w:rsidR="00405C17" w:rsidRPr="00E51E62" w:rsidRDefault="00405C17" w:rsidP="0042174E">
      <w:pPr>
        <w:numPr>
          <w:ilvl w:val="0"/>
          <w:numId w:val="15"/>
        </w:numPr>
        <w:spacing w:before="120" w:after="120" w:line="259" w:lineRule="auto"/>
        <w:rPr>
          <w:szCs w:val="20"/>
          <w:lang w:val="en-AU"/>
        </w:rPr>
      </w:pPr>
      <w:r w:rsidRPr="00E51E62">
        <w:rPr>
          <w:szCs w:val="20"/>
        </w:rPr>
        <w:t>GATEWAY</w:t>
      </w:r>
      <w:r w:rsidRPr="00E51E62">
        <w:rPr>
          <w:szCs w:val="20"/>
          <w:lang w:val="en-AU"/>
        </w:rPr>
        <w:t xml:space="preserve"> – Conduct northern </w:t>
      </w:r>
      <w:r w:rsidRPr="00E51E62">
        <w:rPr>
          <w:szCs w:val="20"/>
        </w:rPr>
        <w:t>Indian</w:t>
      </w:r>
      <w:r w:rsidRPr="00E51E62">
        <w:rPr>
          <w:szCs w:val="20"/>
          <w:lang w:val="en-AU"/>
        </w:rPr>
        <w:t xml:space="preserve"> Ocean and South China Sea maritime surveillance patrols.</w:t>
      </w:r>
    </w:p>
    <w:p w14:paraId="4B31523C" w14:textId="77777777" w:rsidR="00FA2113" w:rsidRPr="00E51E62" w:rsidRDefault="00FA2113" w:rsidP="00FA2113">
      <w:pPr>
        <w:numPr>
          <w:ilvl w:val="0"/>
          <w:numId w:val="15"/>
        </w:numPr>
        <w:rPr>
          <w:rFonts w:ascii="Calibri" w:hAnsi="Calibri" w:cs="Calibri"/>
          <w:szCs w:val="22"/>
          <w:lang w:val="en-AU"/>
        </w:rPr>
      </w:pPr>
      <w:r w:rsidRPr="00E51E62">
        <w:t>HYDRANTH - ADF contribution to support United States and United Kingdom</w:t>
      </w:r>
      <w:r w:rsidR="00C83633" w:rsidRPr="00E51E62">
        <w:t xml:space="preserve"> (UK)</w:t>
      </w:r>
      <w:r w:rsidRPr="00E51E62">
        <w:t xml:space="preserve"> defensive actions targeting the capabilities used in Houthi rebel attacks in the Red Sea.</w:t>
      </w:r>
    </w:p>
    <w:p w14:paraId="3E2CAD53" w14:textId="77777777" w:rsidR="00405C17" w:rsidRPr="00E51E62" w:rsidRDefault="00405C17" w:rsidP="0042174E">
      <w:pPr>
        <w:numPr>
          <w:ilvl w:val="0"/>
          <w:numId w:val="15"/>
        </w:numPr>
        <w:spacing w:before="120" w:after="120" w:line="259" w:lineRule="auto"/>
        <w:rPr>
          <w:lang w:val="en-AU"/>
        </w:rPr>
      </w:pPr>
      <w:r w:rsidRPr="00E51E62">
        <w:rPr>
          <w:szCs w:val="20"/>
        </w:rPr>
        <w:t>INDO</w:t>
      </w:r>
      <w:r w:rsidRPr="00E51E62">
        <w:rPr>
          <w:szCs w:val="20"/>
          <w:lang w:val="en-AU"/>
        </w:rPr>
        <w:t xml:space="preserve">-PACIFIC ENDEAVOUR – </w:t>
      </w:r>
      <w:r w:rsidR="00FA2113" w:rsidRPr="00E51E62">
        <w:t>Strengthening Australia’s engagement and partnerships with regional security forces.</w:t>
      </w:r>
    </w:p>
    <w:p w14:paraId="530227B6" w14:textId="77777777" w:rsidR="00405C17" w:rsidRPr="00E51E62" w:rsidRDefault="00405C17" w:rsidP="0042174E">
      <w:pPr>
        <w:numPr>
          <w:ilvl w:val="0"/>
          <w:numId w:val="15"/>
        </w:numPr>
        <w:spacing w:before="120" w:after="120" w:line="259" w:lineRule="auto"/>
        <w:rPr>
          <w:lang w:val="en-AU"/>
        </w:rPr>
      </w:pPr>
      <w:r w:rsidRPr="00E51E62">
        <w:rPr>
          <w:lang w:val="en-AU"/>
        </w:rPr>
        <w:t xml:space="preserve">KUDU </w:t>
      </w:r>
      <w:r w:rsidR="00E50F61" w:rsidRPr="00E51E62">
        <w:rPr>
          <w:lang w:val="en-AU"/>
        </w:rPr>
        <w:t>–</w:t>
      </w:r>
      <w:r w:rsidRPr="00E51E62">
        <w:rPr>
          <w:lang w:val="en-AU"/>
        </w:rPr>
        <w:t xml:space="preserve"> ADF commitment to the training of Armed Forces of Ukraine recruits in the </w:t>
      </w:r>
      <w:r w:rsidR="00193E57" w:rsidRPr="00E51E62">
        <w:rPr>
          <w:lang w:val="en-AU"/>
        </w:rPr>
        <w:t>UK</w:t>
      </w:r>
      <w:r w:rsidRPr="00E51E62">
        <w:rPr>
          <w:lang w:val="en-AU"/>
        </w:rPr>
        <w:t>.</w:t>
      </w:r>
    </w:p>
    <w:p w14:paraId="14BA53CD" w14:textId="77777777" w:rsidR="00405C17" w:rsidRPr="00E51E62" w:rsidRDefault="00405C17" w:rsidP="0042174E">
      <w:pPr>
        <w:numPr>
          <w:ilvl w:val="0"/>
          <w:numId w:val="15"/>
        </w:numPr>
        <w:spacing w:before="120" w:after="120" w:line="259" w:lineRule="auto"/>
        <w:rPr>
          <w:szCs w:val="20"/>
          <w:lang w:val="en-AU"/>
        </w:rPr>
      </w:pPr>
      <w:r w:rsidRPr="00E51E62">
        <w:rPr>
          <w:szCs w:val="20"/>
        </w:rPr>
        <w:t>LINESMEN</w:t>
      </w:r>
      <w:r w:rsidRPr="00E51E62">
        <w:rPr>
          <w:szCs w:val="20"/>
          <w:lang w:val="en-AU"/>
        </w:rPr>
        <w:t xml:space="preserve"> – </w:t>
      </w:r>
      <w:r w:rsidR="00C33776" w:rsidRPr="00E51E62">
        <w:rPr>
          <w:szCs w:val="20"/>
          <w:lang w:val="en-AU"/>
        </w:rPr>
        <w:t xml:space="preserve">Supports the United Nations Command Military Armistice Commission (UNCMAC) in its efforts to reduce tensions on the </w:t>
      </w:r>
      <w:r w:rsidR="004071A7" w:rsidRPr="00E51E62">
        <w:rPr>
          <w:szCs w:val="20"/>
          <w:lang w:val="en-AU"/>
        </w:rPr>
        <w:t>Korean</w:t>
      </w:r>
      <w:r w:rsidR="00C33776" w:rsidRPr="00E51E62">
        <w:rPr>
          <w:szCs w:val="20"/>
          <w:lang w:val="en-AU"/>
        </w:rPr>
        <w:t xml:space="preserve"> Peninsula. </w:t>
      </w:r>
    </w:p>
    <w:p w14:paraId="4B2D9B6A" w14:textId="77777777" w:rsidR="00405C17" w:rsidRPr="00E51E62" w:rsidRDefault="00405C17" w:rsidP="0042174E">
      <w:pPr>
        <w:numPr>
          <w:ilvl w:val="0"/>
          <w:numId w:val="15"/>
        </w:numPr>
        <w:spacing w:before="120" w:after="120" w:line="259" w:lineRule="auto"/>
        <w:rPr>
          <w:szCs w:val="20"/>
          <w:lang w:val="en-AU"/>
        </w:rPr>
      </w:pPr>
      <w:r w:rsidRPr="00E51E62">
        <w:rPr>
          <w:szCs w:val="20"/>
        </w:rPr>
        <w:lastRenderedPageBreak/>
        <w:t>MANITOU</w:t>
      </w:r>
      <w:r w:rsidRPr="00E51E62">
        <w:rPr>
          <w:szCs w:val="20"/>
          <w:lang w:val="en-AU"/>
        </w:rPr>
        <w:t xml:space="preserve"> – Contribute to maritime security in the Middle East Region including the Arabian Gulf, Gulf of Aden, the Red Sea and Indian Ocean.</w:t>
      </w:r>
    </w:p>
    <w:p w14:paraId="2FB01756" w14:textId="77777777" w:rsidR="00405C17" w:rsidRPr="00E51E62" w:rsidRDefault="00405C17" w:rsidP="0042174E">
      <w:pPr>
        <w:numPr>
          <w:ilvl w:val="0"/>
          <w:numId w:val="15"/>
        </w:numPr>
        <w:spacing w:before="120" w:after="120" w:line="259" w:lineRule="auto"/>
        <w:rPr>
          <w:szCs w:val="20"/>
          <w:lang w:val="en-AU"/>
        </w:rPr>
      </w:pPr>
      <w:r w:rsidRPr="00E51E62">
        <w:rPr>
          <w:szCs w:val="20"/>
        </w:rPr>
        <w:t>MAZURKA</w:t>
      </w:r>
      <w:r w:rsidRPr="00E51E62">
        <w:rPr>
          <w:szCs w:val="20"/>
          <w:lang w:val="en-AU"/>
        </w:rPr>
        <w:t xml:space="preserve"> – Contribute to the Multinational Force and Observers in Sinai.</w:t>
      </w:r>
    </w:p>
    <w:p w14:paraId="117C1251" w14:textId="77777777" w:rsidR="00405C17" w:rsidRPr="00E51E62" w:rsidRDefault="00405C17" w:rsidP="0042174E">
      <w:pPr>
        <w:numPr>
          <w:ilvl w:val="0"/>
          <w:numId w:val="15"/>
        </w:numPr>
        <w:spacing w:before="120" w:after="120" w:line="259" w:lineRule="auto"/>
        <w:rPr>
          <w:szCs w:val="20"/>
          <w:lang w:val="en-AU"/>
        </w:rPr>
      </w:pPr>
      <w:r w:rsidRPr="00E51E62">
        <w:rPr>
          <w:szCs w:val="20"/>
        </w:rPr>
        <w:t>PALADIN</w:t>
      </w:r>
      <w:r w:rsidRPr="00E51E62">
        <w:rPr>
          <w:szCs w:val="20"/>
          <w:lang w:val="en-AU"/>
        </w:rPr>
        <w:t xml:space="preserve"> – Contribute to the United Nations Truce Supervision Organisation in the Middle East.</w:t>
      </w:r>
    </w:p>
    <w:p w14:paraId="5FD75942" w14:textId="77777777" w:rsidR="00405C17" w:rsidRPr="00E51E62" w:rsidRDefault="00405C17" w:rsidP="0042174E">
      <w:pPr>
        <w:numPr>
          <w:ilvl w:val="0"/>
          <w:numId w:val="15"/>
        </w:numPr>
        <w:spacing w:before="120" w:after="120" w:line="259" w:lineRule="auto"/>
        <w:rPr>
          <w:szCs w:val="20"/>
          <w:lang w:val="en-AU"/>
        </w:rPr>
      </w:pPr>
      <w:r w:rsidRPr="00E51E62">
        <w:rPr>
          <w:szCs w:val="20"/>
        </w:rPr>
        <w:t>RENDER</w:t>
      </w:r>
      <w:r w:rsidRPr="00E51E62">
        <w:rPr>
          <w:szCs w:val="20"/>
          <w:lang w:val="en-AU"/>
        </w:rPr>
        <w:t xml:space="preserve"> SA</w:t>
      </w:r>
      <w:r w:rsidR="0084189B" w:rsidRPr="00E51E62">
        <w:rPr>
          <w:szCs w:val="20"/>
          <w:lang w:val="en-AU"/>
        </w:rPr>
        <w:t>FE – ADF-</w:t>
      </w:r>
      <w:r w:rsidRPr="00E51E62">
        <w:rPr>
          <w:szCs w:val="20"/>
          <w:lang w:val="en-AU"/>
        </w:rPr>
        <w:t>led mission to safely dispose of Second World War Explosive Remnants of War from Pacific island nations.</w:t>
      </w:r>
    </w:p>
    <w:p w14:paraId="63881CC7" w14:textId="77777777" w:rsidR="00405C17" w:rsidRPr="00E51E62" w:rsidRDefault="00405C17" w:rsidP="0042174E">
      <w:pPr>
        <w:numPr>
          <w:ilvl w:val="0"/>
          <w:numId w:val="15"/>
        </w:numPr>
        <w:spacing w:before="120" w:after="120" w:line="259" w:lineRule="auto"/>
        <w:rPr>
          <w:szCs w:val="20"/>
        </w:rPr>
      </w:pPr>
      <w:r w:rsidRPr="00E51E62">
        <w:rPr>
          <w:szCs w:val="20"/>
        </w:rPr>
        <w:t xml:space="preserve">RESOLUTE </w:t>
      </w:r>
      <w:r w:rsidR="00E50F61" w:rsidRPr="00E51E62">
        <w:rPr>
          <w:lang w:val="en-AU"/>
        </w:rPr>
        <w:t>–</w:t>
      </w:r>
      <w:r w:rsidR="00DB5DCF" w:rsidRPr="00E51E62">
        <w:rPr>
          <w:szCs w:val="20"/>
        </w:rPr>
        <w:t xml:space="preserve"> Contribute to the whole-of-g</w:t>
      </w:r>
      <w:r w:rsidRPr="00E51E62">
        <w:rPr>
          <w:szCs w:val="20"/>
        </w:rPr>
        <w:t>overnment maritime surveillance and response in the maritime approaches to Australia.</w:t>
      </w:r>
    </w:p>
    <w:p w14:paraId="77C4FC65" w14:textId="77777777" w:rsidR="00405C17" w:rsidRPr="00E51E62" w:rsidRDefault="00405C17" w:rsidP="0042174E">
      <w:pPr>
        <w:numPr>
          <w:ilvl w:val="0"/>
          <w:numId w:val="15"/>
        </w:numPr>
        <w:spacing w:before="120" w:after="120" w:line="259" w:lineRule="auto"/>
        <w:rPr>
          <w:szCs w:val="20"/>
        </w:rPr>
      </w:pPr>
      <w:r w:rsidRPr="00E51E62">
        <w:rPr>
          <w:szCs w:val="20"/>
        </w:rPr>
        <w:t>SOLANIA – Contribute to maritime surveillance within the Pacific Region.</w:t>
      </w:r>
    </w:p>
    <w:p w14:paraId="5B13A36E" w14:textId="77777777" w:rsidR="00405C17" w:rsidRPr="00E51E62" w:rsidRDefault="00405C17" w:rsidP="0042174E">
      <w:pPr>
        <w:numPr>
          <w:ilvl w:val="0"/>
          <w:numId w:val="15"/>
        </w:numPr>
        <w:spacing w:before="120" w:after="120" w:line="259" w:lineRule="auto"/>
        <w:rPr>
          <w:szCs w:val="20"/>
          <w:lang w:val="en-AU"/>
        </w:rPr>
      </w:pPr>
      <w:r w:rsidRPr="00E51E62">
        <w:rPr>
          <w:szCs w:val="20"/>
        </w:rPr>
        <w:t>SOUTHERN</w:t>
      </w:r>
      <w:r w:rsidRPr="00E51E62">
        <w:rPr>
          <w:szCs w:val="20"/>
          <w:lang w:val="en-AU"/>
        </w:rPr>
        <w:t xml:space="preserve"> DISCOVERY</w:t>
      </w:r>
      <w:r w:rsidR="00193E57" w:rsidRPr="00E51E62">
        <w:rPr>
          <w:szCs w:val="20"/>
          <w:lang w:val="en-AU"/>
        </w:rPr>
        <w:t xml:space="preserve"> - </w:t>
      </w:r>
      <w:r w:rsidRPr="00E51E62">
        <w:rPr>
          <w:szCs w:val="20"/>
          <w:lang w:val="en-AU"/>
        </w:rPr>
        <w:t>Provide ADF support to the Australian Antarctic Division.</w:t>
      </w:r>
    </w:p>
    <w:p w14:paraId="1B718CCD" w14:textId="77777777" w:rsidR="00405C17" w:rsidRPr="00E51E62" w:rsidRDefault="00405C17" w:rsidP="0042174E">
      <w:pPr>
        <w:numPr>
          <w:ilvl w:val="0"/>
          <w:numId w:val="15"/>
        </w:numPr>
        <w:spacing w:before="120" w:after="120" w:line="259" w:lineRule="auto"/>
        <w:rPr>
          <w:szCs w:val="20"/>
        </w:rPr>
      </w:pPr>
      <w:r w:rsidRPr="00E51E62">
        <w:rPr>
          <w:szCs w:val="20"/>
        </w:rPr>
        <w:t>STEADFAST – Contribute to the NATO Mission in Iraq supporting continued capacity building of the Iraqi Security Forces.</w:t>
      </w:r>
    </w:p>
    <w:p w14:paraId="6E336624" w14:textId="77777777" w:rsidR="00405C17" w:rsidRPr="00E51E62" w:rsidRDefault="00405C17" w:rsidP="0042174E">
      <w:pPr>
        <w:numPr>
          <w:ilvl w:val="0"/>
          <w:numId w:val="15"/>
        </w:numPr>
        <w:spacing w:before="120" w:after="120" w:line="259" w:lineRule="auto"/>
        <w:rPr>
          <w:szCs w:val="20"/>
          <w:lang w:val="en-AU"/>
        </w:rPr>
      </w:pPr>
      <w:r w:rsidRPr="00E51E62">
        <w:rPr>
          <w:szCs w:val="20"/>
          <w:lang w:val="en-AU"/>
        </w:rPr>
        <w:t xml:space="preserve">Defence </w:t>
      </w:r>
      <w:r w:rsidRPr="00E51E62">
        <w:rPr>
          <w:szCs w:val="20"/>
        </w:rPr>
        <w:t>Assistance</w:t>
      </w:r>
      <w:r w:rsidRPr="00E51E62">
        <w:rPr>
          <w:szCs w:val="20"/>
          <w:lang w:val="en-AU"/>
        </w:rPr>
        <w:t xml:space="preserve"> to the Civil Community – </w:t>
      </w:r>
      <w:r w:rsidR="0084189B" w:rsidRPr="00E51E62">
        <w:rPr>
          <w:szCs w:val="20"/>
          <w:lang w:val="en-AU"/>
        </w:rPr>
        <w:t>Assist</w:t>
      </w:r>
      <w:r w:rsidRPr="00E51E62">
        <w:rPr>
          <w:szCs w:val="20"/>
          <w:lang w:val="en-AU"/>
        </w:rPr>
        <w:t xml:space="preserve"> Co</w:t>
      </w:r>
      <w:r w:rsidR="0084189B" w:rsidRPr="00E51E62">
        <w:rPr>
          <w:szCs w:val="20"/>
          <w:lang w:val="en-AU"/>
        </w:rPr>
        <w:t>mmonwealth and State/Territory g</w:t>
      </w:r>
      <w:r w:rsidRPr="00E51E62">
        <w:rPr>
          <w:szCs w:val="20"/>
          <w:lang w:val="en-AU"/>
        </w:rPr>
        <w:t>overnments with emergency and non-emergency tasks as required.  On a case by case basis, support events of national significance as requested by relevant authorities.</w:t>
      </w:r>
    </w:p>
    <w:p w14:paraId="44E272D5" w14:textId="77777777" w:rsidR="00405C17" w:rsidRPr="003A6D42" w:rsidRDefault="00B82C07" w:rsidP="0042174E">
      <w:pPr>
        <w:pStyle w:val="Bullet"/>
        <w:spacing w:before="120" w:after="120"/>
        <w:rPr>
          <w:rFonts w:ascii="Arial" w:hAnsi="Arial"/>
          <w:b/>
          <w:szCs w:val="20"/>
          <w:lang w:val="en-AU"/>
        </w:rPr>
      </w:pPr>
      <w:r w:rsidRPr="00E82C76">
        <w:rPr>
          <w:rFonts w:ascii="Arial" w:hAnsi="Arial"/>
          <w:b/>
          <w:szCs w:val="20"/>
          <w:lang w:val="en-AU"/>
        </w:rPr>
        <w:t>Ceased Operations</w:t>
      </w:r>
    </w:p>
    <w:p w14:paraId="3E5C23AE" w14:textId="77777777" w:rsidR="00186022" w:rsidRPr="00E51E62" w:rsidRDefault="00E51E62" w:rsidP="00186022">
      <w:pPr>
        <w:numPr>
          <w:ilvl w:val="0"/>
          <w:numId w:val="15"/>
        </w:numPr>
        <w:spacing w:before="120" w:after="120" w:line="259" w:lineRule="auto"/>
        <w:rPr>
          <w:szCs w:val="20"/>
          <w:lang w:val="en-AU"/>
        </w:rPr>
      </w:pPr>
      <w:r>
        <w:rPr>
          <w:szCs w:val="20"/>
        </w:rPr>
        <w:t xml:space="preserve">No operations have ceased since the release of the </w:t>
      </w:r>
      <w:r w:rsidRPr="00E51E62">
        <w:rPr>
          <w:i/>
          <w:szCs w:val="20"/>
        </w:rPr>
        <w:t>2024-25 Defence Portfolio Additional Estimates Statements</w:t>
      </w:r>
      <w:r w:rsidR="00186022" w:rsidRPr="00E51E62">
        <w:rPr>
          <w:szCs w:val="20"/>
          <w:lang w:val="en-AU"/>
        </w:rPr>
        <w:t>.</w:t>
      </w:r>
    </w:p>
    <w:p w14:paraId="6FD19CEE" w14:textId="77777777" w:rsidR="00C42355" w:rsidRPr="00B56FAA" w:rsidRDefault="00C42355" w:rsidP="0042174E">
      <w:pPr>
        <w:pStyle w:val="Bullet"/>
        <w:spacing w:before="120" w:after="120"/>
        <w:rPr>
          <w:rFonts w:ascii="Arial" w:hAnsi="Arial"/>
          <w:b/>
          <w:szCs w:val="20"/>
          <w:lang w:val="en-AU"/>
        </w:rPr>
      </w:pPr>
    </w:p>
    <w:p w14:paraId="577E44AE" w14:textId="77777777" w:rsidR="00960A13" w:rsidRPr="009022CA" w:rsidRDefault="00960A13" w:rsidP="009022CA">
      <w:pPr>
        <w:pStyle w:val="Bullet"/>
        <w:spacing w:before="0" w:after="0"/>
        <w:rPr>
          <w:sz w:val="2"/>
          <w:szCs w:val="2"/>
        </w:rPr>
      </w:pPr>
      <w:r w:rsidRPr="00B56FAA">
        <w:rPr>
          <w:sz w:val="22"/>
          <w:szCs w:val="22"/>
        </w:rPr>
        <w:br w:type="page"/>
      </w:r>
    </w:p>
    <w:p w14:paraId="221DA88C" w14:textId="77777777" w:rsidR="0071273C" w:rsidRPr="000409BF" w:rsidRDefault="00E87E2E" w:rsidP="00EE370C">
      <w:pPr>
        <w:pStyle w:val="Heading4level5"/>
        <w:spacing w:before="0" w:after="200"/>
      </w:pPr>
      <w:r w:rsidRPr="000409BF">
        <w:lastRenderedPageBreak/>
        <w:t>Linked Programs</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07"/>
      </w:tblGrid>
      <w:tr w:rsidR="00E866E6" w:rsidRPr="00E51E62" w14:paraId="7C32F625" w14:textId="77777777" w:rsidTr="003A5C37">
        <w:trPr>
          <w:trHeight w:val="113"/>
          <w:tblHeader/>
        </w:trPr>
        <w:tc>
          <w:tcPr>
            <w:tcW w:w="5000" w:type="pct"/>
            <w:tcBorders>
              <w:bottom w:val="dotted" w:sz="4" w:space="0" w:color="auto"/>
            </w:tcBorders>
          </w:tcPr>
          <w:p w14:paraId="66D7B476" w14:textId="77777777" w:rsidR="00E866E6" w:rsidRPr="00E51E62" w:rsidRDefault="00E866E6" w:rsidP="0074080E">
            <w:pPr>
              <w:pStyle w:val="Heading5"/>
              <w:spacing w:before="60" w:after="60"/>
              <w:rPr>
                <w:rFonts w:ascii="Book Antiqua" w:hAnsi="Book Antiqua"/>
                <w:szCs w:val="20"/>
                <w:lang w:val="en-AU"/>
              </w:rPr>
            </w:pPr>
            <w:r w:rsidRPr="00E51E62">
              <w:rPr>
                <w:rFonts w:ascii="Book Antiqua" w:hAnsi="Book Antiqua"/>
                <w:szCs w:val="20"/>
                <w:lang w:val="en-AU"/>
              </w:rPr>
              <w:t>Australian Communications and Media Authority</w:t>
            </w:r>
          </w:p>
        </w:tc>
      </w:tr>
      <w:tr w:rsidR="00E866E6" w:rsidRPr="00E51E62" w14:paraId="5D452636" w14:textId="77777777" w:rsidTr="003A5C37">
        <w:trPr>
          <w:trHeight w:val="113"/>
        </w:trPr>
        <w:tc>
          <w:tcPr>
            <w:tcW w:w="5000" w:type="pct"/>
            <w:tcBorders>
              <w:top w:val="dotted" w:sz="4" w:space="0" w:color="auto"/>
              <w:bottom w:val="dotted" w:sz="4" w:space="0" w:color="auto"/>
            </w:tcBorders>
          </w:tcPr>
          <w:p w14:paraId="4A19DD21" w14:textId="77777777" w:rsidR="00E866E6" w:rsidRPr="00E51E62" w:rsidRDefault="00E866E6" w:rsidP="0074080E">
            <w:pPr>
              <w:spacing w:before="60" w:after="60"/>
              <w:rPr>
                <w:szCs w:val="20"/>
                <w:lang w:val="en-AU"/>
              </w:rPr>
            </w:pPr>
            <w:r w:rsidRPr="00E51E62">
              <w:rPr>
                <w:szCs w:val="20"/>
                <w:lang w:val="en-AU"/>
              </w:rPr>
              <w:t xml:space="preserve">Program 1.1 </w:t>
            </w:r>
            <w:r w:rsidR="00341F3F" w:rsidRPr="00E51E62">
              <w:rPr>
                <w:szCs w:val="20"/>
                <w:lang w:val="en-AU"/>
              </w:rPr>
              <w:t xml:space="preserve">- </w:t>
            </w:r>
            <w:r w:rsidRPr="00E51E62">
              <w:rPr>
                <w:szCs w:val="20"/>
                <w:lang w:val="en-AU"/>
              </w:rPr>
              <w:t>Communications regulation, planning and licensing</w:t>
            </w:r>
            <w:r w:rsidR="00E15EDB" w:rsidRPr="00E51E62">
              <w:rPr>
                <w:szCs w:val="20"/>
                <w:lang w:val="en-AU"/>
              </w:rPr>
              <w:t>.</w:t>
            </w:r>
          </w:p>
        </w:tc>
      </w:tr>
      <w:tr w:rsidR="00E866E6" w:rsidRPr="00E51E62" w14:paraId="2F6E61F6" w14:textId="77777777" w:rsidTr="003A5C37">
        <w:trPr>
          <w:trHeight w:val="113"/>
        </w:trPr>
        <w:tc>
          <w:tcPr>
            <w:tcW w:w="5000" w:type="pct"/>
            <w:tcBorders>
              <w:top w:val="dotted" w:sz="4" w:space="0" w:color="auto"/>
              <w:bottom w:val="dotted" w:sz="4" w:space="0" w:color="auto"/>
            </w:tcBorders>
          </w:tcPr>
          <w:p w14:paraId="40D7BCAF" w14:textId="77777777" w:rsidR="00E866E6" w:rsidRPr="00E51E62" w:rsidRDefault="00E866E6" w:rsidP="0074080E">
            <w:pPr>
              <w:pStyle w:val="TableTextHeadingLeft"/>
              <w:spacing w:before="60" w:after="60"/>
              <w:rPr>
                <w:rFonts w:ascii="Book Antiqua" w:hAnsi="Book Antiqua"/>
                <w:sz w:val="20"/>
                <w:szCs w:val="20"/>
                <w:lang w:val="en-AU"/>
              </w:rPr>
            </w:pPr>
            <w:r w:rsidRPr="00E51E62">
              <w:rPr>
                <w:rFonts w:ascii="Book Antiqua" w:hAnsi="Book Antiqua"/>
                <w:sz w:val="20"/>
                <w:szCs w:val="20"/>
                <w:lang w:val="en-AU"/>
              </w:rPr>
              <w:t>Contribution</w:t>
            </w:r>
            <w:r w:rsidR="0065100F" w:rsidRPr="00E51E62">
              <w:rPr>
                <w:rFonts w:ascii="Book Antiqua" w:hAnsi="Book Antiqua"/>
                <w:sz w:val="20"/>
                <w:szCs w:val="20"/>
                <w:lang w:val="en-AU"/>
              </w:rPr>
              <w:t xml:space="preserve"> to Outcome 1 by linked program</w:t>
            </w:r>
          </w:p>
        </w:tc>
      </w:tr>
      <w:tr w:rsidR="00E866E6" w:rsidRPr="00E51E62" w14:paraId="775EC961" w14:textId="77777777" w:rsidTr="003A5C37">
        <w:trPr>
          <w:trHeight w:val="113"/>
        </w:trPr>
        <w:tc>
          <w:tcPr>
            <w:tcW w:w="5000" w:type="pct"/>
            <w:tcBorders>
              <w:top w:val="dotted" w:sz="4" w:space="0" w:color="auto"/>
              <w:bottom w:val="single" w:sz="4" w:space="0" w:color="auto"/>
            </w:tcBorders>
          </w:tcPr>
          <w:p w14:paraId="38B0F2C9" w14:textId="77777777" w:rsidR="00E866E6" w:rsidRPr="00E51E62" w:rsidRDefault="00207968" w:rsidP="00207968">
            <w:pPr>
              <w:rPr>
                <w:szCs w:val="20"/>
                <w:lang w:val="en-AU"/>
              </w:rPr>
            </w:pPr>
            <w:r w:rsidRPr="00E51E62">
              <w:rPr>
                <w:szCs w:val="20"/>
                <w:lang w:val="en-AU"/>
              </w:rPr>
              <w:t>Defence p</w:t>
            </w:r>
            <w:r w:rsidR="00E866E6" w:rsidRPr="00E51E62">
              <w:rPr>
                <w:szCs w:val="20"/>
                <w:lang w:val="en-AU"/>
              </w:rPr>
              <w:t>rovides support to fulfil Australia’s international obligations to manage interference through High Frequency Direction Finding as part of Project Nulla</w:t>
            </w:r>
            <w:r w:rsidR="00992768" w:rsidRPr="00E51E62">
              <w:rPr>
                <w:szCs w:val="20"/>
                <w:lang w:val="en-AU"/>
              </w:rPr>
              <w:t>r</w:t>
            </w:r>
            <w:r w:rsidR="00E866E6" w:rsidRPr="00E51E62">
              <w:rPr>
                <w:szCs w:val="20"/>
                <w:lang w:val="en-AU"/>
              </w:rPr>
              <w:t>bor improvements to the Defence High Frequency Communications System.</w:t>
            </w:r>
          </w:p>
        </w:tc>
      </w:tr>
    </w:tbl>
    <w:p w14:paraId="0A608F91" w14:textId="77777777" w:rsidR="00071B66" w:rsidRPr="00E51E62" w:rsidRDefault="00071B66" w:rsidP="00AA298A">
      <w:pPr>
        <w:spacing w:before="0" w:after="0"/>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8607"/>
      </w:tblGrid>
      <w:tr w:rsidR="00E866E6" w:rsidRPr="00E51E62" w14:paraId="3642C4B3" w14:textId="77777777" w:rsidTr="00EA137A">
        <w:trPr>
          <w:trHeight w:val="113"/>
          <w:tblHeader/>
        </w:trPr>
        <w:tc>
          <w:tcPr>
            <w:tcW w:w="5000" w:type="pct"/>
          </w:tcPr>
          <w:p w14:paraId="357074EF" w14:textId="77777777" w:rsidR="00E866E6" w:rsidRPr="00E51E62" w:rsidRDefault="00E866E6" w:rsidP="0074080E">
            <w:pPr>
              <w:pStyle w:val="Heading5"/>
              <w:spacing w:before="60" w:after="60"/>
              <w:rPr>
                <w:rFonts w:ascii="Book Antiqua" w:hAnsi="Book Antiqua"/>
                <w:szCs w:val="20"/>
                <w:lang w:val="en-AU"/>
              </w:rPr>
            </w:pPr>
            <w:r w:rsidRPr="00E51E62">
              <w:rPr>
                <w:rFonts w:ascii="Book Antiqua" w:hAnsi="Book Antiqua"/>
                <w:szCs w:val="20"/>
                <w:lang w:val="en-AU"/>
              </w:rPr>
              <w:t>Department of Home Affairs</w:t>
            </w:r>
          </w:p>
        </w:tc>
      </w:tr>
      <w:tr w:rsidR="00E866E6" w:rsidRPr="00E51E62" w14:paraId="7B1D4EE4" w14:textId="77777777" w:rsidTr="00EA137A">
        <w:trPr>
          <w:trHeight w:val="113"/>
        </w:trPr>
        <w:tc>
          <w:tcPr>
            <w:tcW w:w="5000" w:type="pct"/>
          </w:tcPr>
          <w:p w14:paraId="3A80D2A1" w14:textId="77777777" w:rsidR="00E866E6" w:rsidRPr="00E51E62" w:rsidRDefault="00E866E6" w:rsidP="0074080E">
            <w:pPr>
              <w:spacing w:before="60" w:after="60"/>
              <w:rPr>
                <w:szCs w:val="20"/>
                <w:lang w:val="en-AU"/>
              </w:rPr>
            </w:pPr>
            <w:r w:rsidRPr="00E51E62">
              <w:rPr>
                <w:szCs w:val="20"/>
                <w:lang w:val="en-AU"/>
              </w:rPr>
              <w:t xml:space="preserve">Program </w:t>
            </w:r>
            <w:r w:rsidR="00BE3A33" w:rsidRPr="00E51E62">
              <w:rPr>
                <w:szCs w:val="20"/>
                <w:lang w:val="en-AU"/>
              </w:rPr>
              <w:t>3.4</w:t>
            </w:r>
            <w:r w:rsidRPr="00E51E62">
              <w:rPr>
                <w:szCs w:val="20"/>
                <w:lang w:val="en-AU"/>
              </w:rPr>
              <w:t xml:space="preserve"> </w:t>
            </w:r>
            <w:r w:rsidR="00341F3F" w:rsidRPr="00E51E62">
              <w:rPr>
                <w:szCs w:val="20"/>
                <w:lang w:val="en-AU"/>
              </w:rPr>
              <w:t xml:space="preserve">- </w:t>
            </w:r>
            <w:r w:rsidRPr="00E51E62">
              <w:rPr>
                <w:szCs w:val="20"/>
                <w:lang w:val="en-AU"/>
              </w:rPr>
              <w:t>Border Enforcement</w:t>
            </w:r>
            <w:r w:rsidR="00E15EDB" w:rsidRPr="00E51E62">
              <w:rPr>
                <w:szCs w:val="20"/>
                <w:lang w:val="en-AU"/>
              </w:rPr>
              <w:t>.</w:t>
            </w:r>
          </w:p>
        </w:tc>
      </w:tr>
      <w:tr w:rsidR="00E866E6" w:rsidRPr="00E51E62" w14:paraId="76B5897B" w14:textId="77777777" w:rsidTr="00EA137A">
        <w:trPr>
          <w:trHeight w:val="113"/>
        </w:trPr>
        <w:tc>
          <w:tcPr>
            <w:tcW w:w="5000" w:type="pct"/>
          </w:tcPr>
          <w:p w14:paraId="2E6869F4" w14:textId="77777777" w:rsidR="00E866E6" w:rsidRPr="00E51E62" w:rsidRDefault="00E866E6" w:rsidP="0074080E">
            <w:pPr>
              <w:pStyle w:val="TableTextHeadingLeft"/>
              <w:spacing w:before="60" w:after="60"/>
              <w:rPr>
                <w:rFonts w:ascii="Book Antiqua" w:hAnsi="Book Antiqua"/>
                <w:sz w:val="20"/>
                <w:szCs w:val="20"/>
                <w:lang w:val="en-AU"/>
              </w:rPr>
            </w:pPr>
            <w:r w:rsidRPr="00E51E62">
              <w:rPr>
                <w:rFonts w:ascii="Book Antiqua" w:hAnsi="Book Antiqua"/>
                <w:sz w:val="20"/>
                <w:szCs w:val="20"/>
                <w:lang w:val="en-AU"/>
              </w:rPr>
              <w:t>Contribution</w:t>
            </w:r>
            <w:r w:rsidR="0065100F" w:rsidRPr="00E51E62">
              <w:rPr>
                <w:rFonts w:ascii="Book Antiqua" w:hAnsi="Book Antiqua"/>
                <w:sz w:val="20"/>
                <w:szCs w:val="20"/>
                <w:lang w:val="en-AU"/>
              </w:rPr>
              <w:t xml:space="preserve"> to Outcome 1 by linked program</w:t>
            </w:r>
          </w:p>
        </w:tc>
      </w:tr>
      <w:tr w:rsidR="00E866E6" w:rsidRPr="00B56FAA" w14:paraId="1313EC59" w14:textId="77777777" w:rsidTr="00EA137A">
        <w:trPr>
          <w:trHeight w:val="113"/>
        </w:trPr>
        <w:tc>
          <w:tcPr>
            <w:tcW w:w="5000" w:type="pct"/>
          </w:tcPr>
          <w:p w14:paraId="2D683DB4" w14:textId="0115C799" w:rsidR="00E866E6" w:rsidRPr="00B56FAA" w:rsidRDefault="00D308BF" w:rsidP="00B37130">
            <w:pPr>
              <w:rPr>
                <w:szCs w:val="20"/>
                <w:lang w:val="en-AU"/>
              </w:rPr>
            </w:pPr>
            <w:r w:rsidRPr="00E51E62">
              <w:t xml:space="preserve">Defence supports </w:t>
            </w:r>
            <w:r w:rsidR="004516EC" w:rsidRPr="00E51E62">
              <w:t xml:space="preserve">the Department of </w:t>
            </w:r>
            <w:r w:rsidRPr="00E51E62">
              <w:t xml:space="preserve">Home Affairs </w:t>
            </w:r>
            <w:r w:rsidR="00964D54" w:rsidRPr="00E51E62">
              <w:t xml:space="preserve">(Home Affairs) </w:t>
            </w:r>
            <w:r w:rsidRPr="00E51E62">
              <w:t>through tasks that include planning and conduct of operations to provide security of Australia’s maritime borders from unauthorised maritime arrivals, illegal exploitation of natural resources, and other maritime threats to Australian sovereignty, including counter-terrorism responses</w:t>
            </w:r>
            <w:r w:rsidR="00AE6110" w:rsidRPr="00E51E62">
              <w:t xml:space="preserve">. </w:t>
            </w:r>
            <w:r w:rsidRPr="00E51E62">
              <w:t>Defence contributes to Maritime Border Command tasking through Operation R</w:t>
            </w:r>
            <w:r w:rsidR="003F63E2" w:rsidRPr="00E51E62">
              <w:t>ESOLUTE</w:t>
            </w:r>
            <w:r w:rsidRPr="00E51E62">
              <w:t xml:space="preserve">, providing maritime surveillance and response assets that are tasked routinely in accordance with the Government’s priorities. </w:t>
            </w:r>
            <w:r w:rsidR="008A607F">
              <w:t xml:space="preserve">Defence is also </w:t>
            </w:r>
            <w:r w:rsidR="0030332C">
              <w:t xml:space="preserve">supporting the acquisition and sustainment </w:t>
            </w:r>
            <w:r w:rsidR="00F048A0">
              <w:t xml:space="preserve">of additional </w:t>
            </w:r>
            <w:r w:rsidR="008A607F">
              <w:t>Cape Class Vessels by the</w:t>
            </w:r>
            <w:r w:rsidR="00F048A0">
              <w:t xml:space="preserve"> Department of Home Affairs to be operated by the Australian</w:t>
            </w:r>
            <w:r w:rsidR="00B37130">
              <w:t xml:space="preserve"> Border Force.</w:t>
            </w:r>
            <w:r w:rsidR="008A607F">
              <w:t xml:space="preserve"> </w:t>
            </w:r>
            <w:r w:rsidRPr="00E51E62">
              <w:t xml:space="preserve">Defence also supports Commonwealth and </w:t>
            </w:r>
            <w:r w:rsidR="0087065C" w:rsidRPr="00E51E62">
              <w:t>s</w:t>
            </w:r>
            <w:r w:rsidRPr="00E51E62">
              <w:t>tate/</w:t>
            </w:r>
            <w:r w:rsidR="0087065C" w:rsidRPr="00E51E62">
              <w:t>t</w:t>
            </w:r>
            <w:r w:rsidRPr="00E51E62">
              <w:t xml:space="preserve">erritory </w:t>
            </w:r>
            <w:r w:rsidR="0087065C" w:rsidRPr="00E51E62">
              <w:t>g</w:t>
            </w:r>
            <w:r w:rsidRPr="00E51E62">
              <w:t>ov</w:t>
            </w:r>
            <w:r w:rsidR="00964D54" w:rsidRPr="00E51E62">
              <w:t>ernments with emergency and non</w:t>
            </w:r>
            <w:r w:rsidR="00964D54" w:rsidRPr="00E51E62">
              <w:noBreakHyphen/>
            </w:r>
            <w:r w:rsidRPr="00E51E62">
              <w:t>emergency tasks through the provision of capabilities and/or expertise.</w:t>
            </w:r>
            <w:r w:rsidR="00163121" w:rsidRPr="00E51E62">
              <w:rPr>
                <w:color w:val="FF0000"/>
              </w:rPr>
              <w:t xml:space="preserve"> </w:t>
            </w:r>
            <w:r w:rsidR="00163121" w:rsidRPr="00E51E62">
              <w:t>Defence further provides support to Home Affairs by regulating the export and supply of military and dual-use goods and technology.</w:t>
            </w:r>
            <w:r w:rsidR="00A954EF">
              <w:t xml:space="preserve"> </w:t>
            </w:r>
            <w:r w:rsidR="00A954EF" w:rsidRPr="00484211">
              <w:t>Home Affairs enforces regulations at the border</w:t>
            </w:r>
            <w:r w:rsidR="00A954EF">
              <w:t xml:space="preserve">. </w:t>
            </w:r>
            <w:r w:rsidR="00163121" w:rsidRPr="00E51E62">
              <w:t>This includes export controls assessment of goods stopped at the border and engagement o</w:t>
            </w:r>
            <w:r w:rsidR="00271ADD" w:rsidRPr="00E51E62">
              <w:t>n export compliance activities.</w:t>
            </w:r>
          </w:p>
        </w:tc>
      </w:tr>
    </w:tbl>
    <w:p w14:paraId="7E5ED085" w14:textId="77777777" w:rsidR="0071273C" w:rsidRPr="00B56FAA" w:rsidRDefault="0071273C" w:rsidP="004C52C4">
      <w:pPr>
        <w:pStyle w:val="Heading4level5"/>
        <w:spacing w:before="0" w:after="200"/>
      </w:pPr>
      <w:r w:rsidRPr="00B56FAA">
        <w:rPr>
          <w:lang w:val="en-AU"/>
        </w:rPr>
        <w:br w:type="page"/>
      </w:r>
      <w:bookmarkStart w:id="774" w:name="tbl_DOD_TBRA_1_a"/>
      <w:r w:rsidR="00E87E2E" w:rsidRPr="00B56FAA">
        <w:lastRenderedPageBreak/>
        <w:t>Outcome 1 Resources</w:t>
      </w:r>
    </w:p>
    <w:p w14:paraId="16727561" w14:textId="77777777" w:rsidR="0071273C" w:rsidRPr="00945461" w:rsidRDefault="0071273C" w:rsidP="00D9100A">
      <w:pPr>
        <w:pStyle w:val="TableHeading"/>
        <w:numPr>
          <w:ilvl w:val="0"/>
          <w:numId w:val="29"/>
        </w:numPr>
        <w:shd w:val="clear" w:color="auto" w:fill="FFFFFF"/>
        <w:spacing w:before="100" w:after="120"/>
        <w:ind w:left="0" w:firstLine="0"/>
        <w:outlineLvl w:val="6"/>
      </w:pPr>
      <w:r w:rsidRPr="00945461">
        <w:t>Total Budgeted Resources Available for Outcome 1</w:t>
      </w:r>
    </w:p>
    <w:bookmarkEnd w:id="774"/>
    <w:p w14:paraId="400DD5D7" w14:textId="2B2F8F37" w:rsidR="00312F38" w:rsidRPr="00B56FAA" w:rsidRDefault="00FB1F61" w:rsidP="00CF140A">
      <w:pPr>
        <w:rPr>
          <w:rFonts w:ascii="Arial" w:hAnsi="Arial"/>
          <w:b/>
          <w:lang w:val="en-AU"/>
        </w:rPr>
      </w:pPr>
      <w:r w:rsidRPr="00FB1F61">
        <w:rPr>
          <w:noProof/>
          <w:lang w:val="en-AU"/>
        </w:rPr>
        <w:drawing>
          <wp:inline distT="0" distB="0" distL="0" distR="0" wp14:anchorId="7977E83C" wp14:editId="25E2A2E7">
            <wp:extent cx="5471795" cy="3370584"/>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71795" cy="3370584"/>
                    </a:xfrm>
                    <a:prstGeom prst="rect">
                      <a:avLst/>
                    </a:prstGeom>
                    <a:noFill/>
                    <a:ln>
                      <a:noFill/>
                    </a:ln>
                  </pic:spPr>
                </pic:pic>
              </a:graphicData>
            </a:graphic>
          </wp:inline>
        </w:drawing>
      </w:r>
    </w:p>
    <w:p w14:paraId="6DD17D82" w14:textId="77777777" w:rsidR="0071273C" w:rsidRPr="00B56FAA" w:rsidRDefault="0071273C" w:rsidP="00BD4493">
      <w:pPr>
        <w:pStyle w:val="Heading4level5"/>
        <w:spacing w:before="0" w:after="200"/>
      </w:pPr>
      <w:r w:rsidRPr="00B56FAA">
        <w:rPr>
          <w:lang w:val="en-AU"/>
        </w:rPr>
        <w:br w:type="page"/>
      </w:r>
      <w:r w:rsidRPr="00B56FAA">
        <w:lastRenderedPageBreak/>
        <w:t>Contributions to Outcome 1</w:t>
      </w:r>
    </w:p>
    <w:p w14:paraId="18C8CD5B" w14:textId="77777777" w:rsidR="00777CE3" w:rsidRPr="00B56FAA" w:rsidRDefault="00777CE3" w:rsidP="00777CE3">
      <w:pPr>
        <w:spacing w:before="0" w:after="0" w:line="20" w:lineRule="atLeast"/>
        <w:outlineLvl w:val="5"/>
        <w:rPr>
          <w:color w:val="FFFFFF"/>
          <w:sz w:val="2"/>
          <w:szCs w:val="2"/>
        </w:rPr>
      </w:pPr>
      <w:r w:rsidRPr="00B56FAA">
        <w:rPr>
          <w:color w:val="FFFFFF"/>
          <w:sz w:val="2"/>
          <w:szCs w:val="2"/>
        </w:rPr>
        <w:t>Program 1.1: Operations Contributing to the Safety of the Immediate Neighbourhood</w:t>
      </w:r>
    </w:p>
    <w:tbl>
      <w:tblPr>
        <w:tblW w:w="4852"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1886"/>
        <w:gridCol w:w="3292"/>
        <w:gridCol w:w="3174"/>
      </w:tblGrid>
      <w:tr w:rsidR="009958F9" w:rsidRPr="00B56FAA" w14:paraId="039296CB" w14:textId="77777777" w:rsidTr="0004322A">
        <w:trPr>
          <w:trHeight w:val="228"/>
        </w:trPr>
        <w:tc>
          <w:tcPr>
            <w:tcW w:w="8352" w:type="dxa"/>
            <w:gridSpan w:val="3"/>
            <w:tcBorders>
              <w:bottom w:val="single" w:sz="4" w:space="0" w:color="auto"/>
            </w:tcBorders>
            <w:shd w:val="clear" w:color="auto" w:fill="CCCCCC"/>
          </w:tcPr>
          <w:p w14:paraId="6A7AC98A" w14:textId="77777777" w:rsidR="009958F9" w:rsidRPr="00B56FAA" w:rsidRDefault="009958F9" w:rsidP="00DF7DA0">
            <w:pPr>
              <w:pStyle w:val="Heading5"/>
              <w:spacing w:before="60" w:after="60"/>
              <w:ind w:left="-108" w:right="-108" w:firstLine="108"/>
            </w:pPr>
            <w:r w:rsidRPr="00B56FAA">
              <w:t>Program 1.1: Operations Contributing to the Safety of the Immediate Neighbourhood</w:t>
            </w:r>
          </w:p>
        </w:tc>
      </w:tr>
      <w:tr w:rsidR="00433482" w:rsidRPr="00B56FAA" w14:paraId="4EC8410E" w14:textId="77777777" w:rsidTr="0004322A">
        <w:trPr>
          <w:trHeight w:val="170"/>
        </w:trPr>
        <w:tc>
          <w:tcPr>
            <w:tcW w:w="8352" w:type="dxa"/>
            <w:gridSpan w:val="3"/>
            <w:tcBorders>
              <w:left w:val="nil"/>
              <w:bottom w:val="single" w:sz="4" w:space="0" w:color="auto"/>
              <w:right w:val="nil"/>
            </w:tcBorders>
            <w:shd w:val="clear" w:color="auto" w:fill="auto"/>
          </w:tcPr>
          <w:p w14:paraId="29AF8D30" w14:textId="77777777" w:rsidR="00433482" w:rsidRPr="00B56FAA" w:rsidRDefault="00433482" w:rsidP="00433482">
            <w:pPr>
              <w:pStyle w:val="Heading5"/>
              <w:spacing w:before="0" w:after="0"/>
              <w:ind w:left="-108" w:right="-108" w:firstLine="108"/>
              <w:rPr>
                <w:b w:val="0"/>
                <w:sz w:val="16"/>
                <w:szCs w:val="16"/>
              </w:rPr>
            </w:pPr>
          </w:p>
        </w:tc>
      </w:tr>
      <w:tr w:rsidR="009958F9" w:rsidRPr="00CD66E1" w14:paraId="3CAE308A" w14:textId="77777777" w:rsidTr="0004322A">
        <w:tblPrEx>
          <w:shd w:val="clear" w:color="auto" w:fill="auto"/>
          <w:tblLook w:val="04A0" w:firstRow="1" w:lastRow="0" w:firstColumn="1" w:lastColumn="0" w:noHBand="0" w:noVBand="1"/>
        </w:tblPrEx>
        <w:trPr>
          <w:tblHeader/>
        </w:trPr>
        <w:tc>
          <w:tcPr>
            <w:tcW w:w="8352" w:type="dxa"/>
            <w:gridSpan w:val="3"/>
            <w:shd w:val="clear" w:color="auto" w:fill="E6E6E6"/>
          </w:tcPr>
          <w:p w14:paraId="73748F06" w14:textId="77777777" w:rsidR="009958F9" w:rsidRPr="0085401F" w:rsidRDefault="009958F9" w:rsidP="00DF7DA0">
            <w:pPr>
              <w:tabs>
                <w:tab w:val="left" w:pos="709"/>
              </w:tabs>
              <w:spacing w:before="60" w:after="60"/>
              <w:rPr>
                <w:rFonts w:ascii="Arial" w:hAnsi="Arial"/>
                <w:sz w:val="16"/>
                <w:szCs w:val="16"/>
              </w:rPr>
            </w:pPr>
            <w:r w:rsidRPr="0085401F">
              <w:rPr>
                <w:rFonts w:ascii="Arial" w:hAnsi="Arial"/>
                <w:b/>
                <w:sz w:val="16"/>
                <w:szCs w:val="16"/>
              </w:rPr>
              <w:t>Program 1.1</w:t>
            </w:r>
            <w:r w:rsidRPr="0085401F">
              <w:rPr>
                <w:rFonts w:ascii="Arial" w:hAnsi="Arial"/>
                <w:sz w:val="16"/>
                <w:szCs w:val="16"/>
              </w:rPr>
              <w:t xml:space="preserve"> </w:t>
            </w:r>
            <w:r w:rsidRPr="0085401F">
              <w:rPr>
                <w:rFonts w:ascii="Arial" w:hAnsi="Arial"/>
                <w:b/>
                <w:sz w:val="16"/>
                <w:szCs w:val="16"/>
              </w:rPr>
              <w:t>Objective</w:t>
            </w:r>
          </w:p>
          <w:p w14:paraId="599FCA52" w14:textId="77777777" w:rsidR="00B84C90" w:rsidRPr="0085401F" w:rsidRDefault="00B84C90" w:rsidP="004B50BA">
            <w:pPr>
              <w:spacing w:before="60" w:after="60"/>
              <w:rPr>
                <w:rFonts w:ascii="Arial" w:hAnsi="Arial"/>
                <w:sz w:val="16"/>
                <w:szCs w:val="16"/>
                <w:lang w:val="en-AU"/>
              </w:rPr>
            </w:pPr>
            <w:r w:rsidRPr="0085401F">
              <w:rPr>
                <w:rFonts w:ascii="Arial" w:hAnsi="Arial"/>
                <w:sz w:val="16"/>
                <w:szCs w:val="16"/>
                <w:lang w:val="en-AU"/>
              </w:rPr>
              <w:t xml:space="preserve">To ensure that the Government, through the </w:t>
            </w:r>
            <w:r w:rsidR="00E15EDB" w:rsidRPr="0085401F">
              <w:rPr>
                <w:rFonts w:ascii="Arial" w:hAnsi="Arial"/>
                <w:sz w:val="16"/>
                <w:szCs w:val="16"/>
                <w:lang w:val="en-AU"/>
              </w:rPr>
              <w:t>Australian Defence Force</w:t>
            </w:r>
            <w:r w:rsidRPr="0085401F">
              <w:rPr>
                <w:rFonts w:ascii="Arial" w:hAnsi="Arial"/>
                <w:sz w:val="16"/>
                <w:szCs w:val="16"/>
                <w:lang w:val="en-AU"/>
              </w:rPr>
              <w:t>, has an active and effective role in promoting stability, integrity and cohesion in our immediate neighbourhood.</w:t>
            </w:r>
          </w:p>
          <w:p w14:paraId="6221906A" w14:textId="77777777" w:rsidR="009958F9" w:rsidRPr="0085401F" w:rsidRDefault="00B84C90" w:rsidP="00FB6EE5">
            <w:pPr>
              <w:tabs>
                <w:tab w:val="left" w:pos="709"/>
              </w:tabs>
              <w:spacing w:before="60" w:after="60"/>
              <w:rPr>
                <w:rFonts w:ascii="Arial" w:hAnsi="Arial"/>
                <w:sz w:val="16"/>
                <w:szCs w:val="16"/>
              </w:rPr>
            </w:pPr>
            <w:r w:rsidRPr="0085401F">
              <w:rPr>
                <w:rFonts w:ascii="Arial" w:hAnsi="Arial"/>
                <w:sz w:val="16"/>
                <w:szCs w:val="16"/>
                <w:lang w:val="en-AU"/>
              </w:rPr>
              <w:t>Australia shares the immediate neighbourhood with Indonesia, New Zealand, Papua New Guinea, Timor-Leste, South</w:t>
            </w:r>
            <w:r w:rsidR="00E9298B" w:rsidRPr="0085401F">
              <w:rPr>
                <w:rFonts w:ascii="Arial" w:hAnsi="Arial"/>
                <w:sz w:val="16"/>
                <w:szCs w:val="16"/>
                <w:lang w:val="en-AU"/>
              </w:rPr>
              <w:t>e</w:t>
            </w:r>
            <w:r w:rsidRPr="0085401F">
              <w:rPr>
                <w:rFonts w:ascii="Arial" w:hAnsi="Arial"/>
                <w:sz w:val="16"/>
                <w:szCs w:val="16"/>
                <w:lang w:val="en-AU"/>
              </w:rPr>
              <w:t>ast Asian countries and the island countries of the Pacific.</w:t>
            </w:r>
          </w:p>
        </w:tc>
      </w:tr>
      <w:tr w:rsidR="009958F9" w:rsidRPr="00CD66E1" w14:paraId="73BA8729" w14:textId="77777777" w:rsidTr="00D178FF">
        <w:tblPrEx>
          <w:shd w:val="clear" w:color="auto" w:fill="auto"/>
          <w:tblLook w:val="04A0" w:firstRow="1" w:lastRow="0" w:firstColumn="1" w:lastColumn="0" w:noHBand="0" w:noVBand="1"/>
        </w:tblPrEx>
        <w:trPr>
          <w:trHeight w:val="312"/>
        </w:trPr>
        <w:tc>
          <w:tcPr>
            <w:tcW w:w="1886" w:type="dxa"/>
            <w:tcBorders>
              <w:bottom w:val="single" w:sz="4" w:space="0" w:color="auto"/>
            </w:tcBorders>
          </w:tcPr>
          <w:p w14:paraId="0188E58B" w14:textId="77777777" w:rsidR="009958F9" w:rsidRPr="0085401F" w:rsidRDefault="00495811" w:rsidP="00495811">
            <w:pPr>
              <w:tabs>
                <w:tab w:val="left" w:pos="709"/>
              </w:tabs>
              <w:spacing w:before="60" w:after="60"/>
              <w:rPr>
                <w:rFonts w:ascii="Arial" w:hAnsi="Arial"/>
                <w:b/>
                <w:color w:val="000000"/>
                <w:sz w:val="16"/>
                <w:szCs w:val="16"/>
              </w:rPr>
            </w:pPr>
            <w:r>
              <w:rPr>
                <w:rFonts w:ascii="Arial" w:hAnsi="Arial"/>
                <w:b/>
                <w:color w:val="000000"/>
                <w:sz w:val="16"/>
                <w:szCs w:val="16"/>
              </w:rPr>
              <w:t>Key Activity</w:t>
            </w:r>
            <w:r w:rsidR="009958F9" w:rsidRPr="0085401F">
              <w:rPr>
                <w:rFonts w:ascii="Arial" w:hAnsi="Arial"/>
                <w:b/>
                <w:color w:val="000000"/>
                <w:sz w:val="16"/>
                <w:szCs w:val="16"/>
              </w:rPr>
              <w:t xml:space="preserve"> </w:t>
            </w:r>
          </w:p>
        </w:tc>
        <w:tc>
          <w:tcPr>
            <w:tcW w:w="6466" w:type="dxa"/>
            <w:gridSpan w:val="2"/>
            <w:tcBorders>
              <w:bottom w:val="single" w:sz="4" w:space="0" w:color="auto"/>
            </w:tcBorders>
          </w:tcPr>
          <w:p w14:paraId="7BDABCF1" w14:textId="77777777" w:rsidR="0049140C" w:rsidRPr="0085401F" w:rsidRDefault="0049140C" w:rsidP="0049140C">
            <w:pPr>
              <w:tabs>
                <w:tab w:val="left" w:pos="343"/>
              </w:tabs>
              <w:spacing w:before="60" w:after="60"/>
              <w:rPr>
                <w:rFonts w:ascii="Arial" w:hAnsi="Arial"/>
                <w:bCs/>
                <w:color w:val="000000"/>
                <w:sz w:val="16"/>
                <w:szCs w:val="16"/>
              </w:rPr>
            </w:pPr>
            <w:r w:rsidRPr="0085401F">
              <w:rPr>
                <w:rFonts w:ascii="Arial" w:hAnsi="Arial"/>
                <w:bCs/>
                <w:color w:val="000000"/>
                <w:sz w:val="16"/>
                <w:szCs w:val="16"/>
              </w:rPr>
              <w:t xml:space="preserve">This program will be achieved </w:t>
            </w:r>
            <w:r w:rsidR="00CA6F17" w:rsidRPr="0085401F">
              <w:rPr>
                <w:rFonts w:ascii="Arial" w:hAnsi="Arial"/>
                <w:bCs/>
                <w:color w:val="000000"/>
                <w:sz w:val="16"/>
                <w:szCs w:val="16"/>
              </w:rPr>
              <w:t>through the following activity</w:t>
            </w:r>
            <w:r w:rsidRPr="0085401F">
              <w:rPr>
                <w:rFonts w:ascii="Arial" w:hAnsi="Arial"/>
                <w:bCs/>
                <w:color w:val="000000"/>
                <w:sz w:val="16"/>
                <w:szCs w:val="16"/>
              </w:rPr>
              <w:t>:</w:t>
            </w:r>
          </w:p>
          <w:p w14:paraId="118F5347" w14:textId="2736619E" w:rsidR="00C10936" w:rsidRPr="0085401F" w:rsidRDefault="00C10936" w:rsidP="00C10936">
            <w:pPr>
              <w:tabs>
                <w:tab w:val="left" w:pos="709"/>
              </w:tabs>
              <w:spacing w:before="60" w:after="60"/>
              <w:rPr>
                <w:rFonts w:ascii="Arial" w:hAnsi="Arial"/>
                <w:b/>
                <w:color w:val="000000"/>
                <w:sz w:val="16"/>
                <w:szCs w:val="16"/>
              </w:rPr>
            </w:pPr>
            <w:r w:rsidRPr="0085401F">
              <w:rPr>
                <w:rFonts w:ascii="Arial" w:hAnsi="Arial"/>
                <w:b/>
                <w:color w:val="000000"/>
                <w:sz w:val="16"/>
                <w:szCs w:val="16"/>
              </w:rPr>
              <w:t>1. Conduct operations and deployments to defend Australia</w:t>
            </w:r>
            <w:r w:rsidR="00F95333">
              <w:rPr>
                <w:rFonts w:ascii="Arial" w:hAnsi="Arial"/>
                <w:b/>
                <w:color w:val="000000"/>
                <w:sz w:val="16"/>
                <w:szCs w:val="16"/>
              </w:rPr>
              <w:t xml:space="preserve"> and its national </w:t>
            </w:r>
            <w:r w:rsidRPr="0085401F">
              <w:rPr>
                <w:rFonts w:ascii="Arial" w:hAnsi="Arial"/>
                <w:b/>
                <w:color w:val="000000"/>
                <w:sz w:val="16"/>
                <w:szCs w:val="16"/>
              </w:rPr>
              <w:t>interests.</w:t>
            </w:r>
          </w:p>
          <w:p w14:paraId="427A9532" w14:textId="77777777" w:rsidR="009958F9" w:rsidRPr="0085401F" w:rsidRDefault="000864D4" w:rsidP="00270576">
            <w:pPr>
              <w:tabs>
                <w:tab w:val="left" w:pos="343"/>
              </w:tabs>
              <w:spacing w:before="60" w:after="60"/>
              <w:rPr>
                <w:rFonts w:ascii="Arial" w:hAnsi="Arial"/>
                <w:color w:val="000000"/>
                <w:sz w:val="16"/>
                <w:szCs w:val="16"/>
              </w:rPr>
            </w:pPr>
            <w:r w:rsidRPr="0085401F">
              <w:rPr>
                <w:rFonts w:ascii="Arial" w:hAnsi="Arial"/>
                <w:color w:val="000000"/>
                <w:sz w:val="16"/>
                <w:szCs w:val="16"/>
                <w:lang w:val="en-AU"/>
              </w:rPr>
              <w:t xml:space="preserve">Defence conducts operations and deployments both within Australia and overseas, in accordance with direction from the Government. When required, Defence responds with military force to defend Australia and its national interests. Defence also works in close collaboration </w:t>
            </w:r>
            <w:r w:rsidR="00D91A8A" w:rsidRPr="0085401F">
              <w:rPr>
                <w:rFonts w:ascii="Arial" w:hAnsi="Arial"/>
                <w:color w:val="000000"/>
                <w:sz w:val="16"/>
                <w:szCs w:val="16"/>
                <w:lang w:val="en-AU"/>
              </w:rPr>
              <w:t>with our international partners</w:t>
            </w:r>
            <w:r w:rsidRPr="0085401F">
              <w:rPr>
                <w:rFonts w:ascii="Arial" w:hAnsi="Arial"/>
                <w:color w:val="000000"/>
                <w:sz w:val="16"/>
                <w:szCs w:val="16"/>
                <w:lang w:val="en-AU"/>
              </w:rPr>
              <w:t xml:space="preserve"> and federal, state and territory governments to support our response to crises and disasters at home and abroad</w:t>
            </w:r>
            <w:r w:rsidR="00C10936" w:rsidRPr="0085401F">
              <w:rPr>
                <w:rFonts w:ascii="Arial" w:hAnsi="Arial"/>
                <w:color w:val="000000"/>
                <w:sz w:val="16"/>
                <w:szCs w:val="16"/>
              </w:rPr>
              <w:t>.</w:t>
            </w:r>
          </w:p>
        </w:tc>
      </w:tr>
      <w:tr w:rsidR="009958F9" w:rsidRPr="00CD66E1" w14:paraId="2DE5EA26" w14:textId="77777777" w:rsidTr="00D178FF">
        <w:tblPrEx>
          <w:shd w:val="clear" w:color="auto" w:fill="auto"/>
          <w:tblLook w:val="04A0" w:firstRow="1" w:lastRow="0" w:firstColumn="1" w:lastColumn="0" w:noHBand="0" w:noVBand="1"/>
        </w:tblPrEx>
        <w:trPr>
          <w:trHeight w:val="258"/>
        </w:trPr>
        <w:tc>
          <w:tcPr>
            <w:tcW w:w="1886" w:type="dxa"/>
            <w:tcBorders>
              <w:top w:val="single" w:sz="4" w:space="0" w:color="auto"/>
              <w:bottom w:val="single" w:sz="4" w:space="0" w:color="auto"/>
              <w:right w:val="single" w:sz="4" w:space="0" w:color="auto"/>
            </w:tcBorders>
          </w:tcPr>
          <w:p w14:paraId="55E03497" w14:textId="77777777" w:rsidR="009958F9" w:rsidRPr="0085401F" w:rsidRDefault="009958F9" w:rsidP="00DF7DA0">
            <w:pPr>
              <w:tabs>
                <w:tab w:val="left" w:pos="709"/>
              </w:tabs>
              <w:spacing w:before="60" w:after="60"/>
              <w:rPr>
                <w:rFonts w:ascii="Arial" w:hAnsi="Arial"/>
                <w:b/>
                <w:color w:val="000000"/>
                <w:sz w:val="16"/>
                <w:szCs w:val="16"/>
              </w:rPr>
            </w:pPr>
            <w:r w:rsidRPr="0085401F">
              <w:rPr>
                <w:rFonts w:ascii="Arial" w:hAnsi="Arial"/>
                <w:b/>
                <w:color w:val="000000"/>
                <w:sz w:val="16"/>
                <w:szCs w:val="16"/>
              </w:rPr>
              <w:t>Year</w:t>
            </w:r>
          </w:p>
        </w:tc>
        <w:tc>
          <w:tcPr>
            <w:tcW w:w="3292" w:type="dxa"/>
            <w:tcBorders>
              <w:top w:val="single" w:sz="4" w:space="0" w:color="auto"/>
              <w:left w:val="single" w:sz="4" w:space="0" w:color="auto"/>
              <w:bottom w:val="single" w:sz="4" w:space="0" w:color="auto"/>
              <w:right w:val="single" w:sz="4" w:space="0" w:color="auto"/>
            </w:tcBorders>
          </w:tcPr>
          <w:p w14:paraId="154E7912" w14:textId="77777777" w:rsidR="009958F9" w:rsidRPr="0085401F" w:rsidRDefault="009958F9" w:rsidP="00DF7DA0">
            <w:pPr>
              <w:tabs>
                <w:tab w:val="left" w:pos="709"/>
                <w:tab w:val="center" w:pos="1818"/>
              </w:tabs>
              <w:spacing w:before="60" w:after="60"/>
              <w:rPr>
                <w:rFonts w:ascii="Arial" w:hAnsi="Arial"/>
                <w:b/>
                <w:color w:val="000000"/>
                <w:sz w:val="16"/>
                <w:szCs w:val="16"/>
              </w:rPr>
            </w:pPr>
            <w:r w:rsidRPr="0085401F">
              <w:rPr>
                <w:rFonts w:ascii="Arial" w:hAnsi="Arial"/>
                <w:b/>
                <w:color w:val="000000"/>
                <w:sz w:val="16"/>
                <w:szCs w:val="16"/>
              </w:rPr>
              <w:t>Performance measures</w:t>
            </w:r>
          </w:p>
        </w:tc>
        <w:tc>
          <w:tcPr>
            <w:tcW w:w="3174" w:type="dxa"/>
            <w:tcBorders>
              <w:top w:val="single" w:sz="4" w:space="0" w:color="auto"/>
              <w:left w:val="single" w:sz="4" w:space="0" w:color="auto"/>
              <w:bottom w:val="single" w:sz="4" w:space="0" w:color="auto"/>
            </w:tcBorders>
          </w:tcPr>
          <w:p w14:paraId="7E8776CF" w14:textId="77777777" w:rsidR="009958F9" w:rsidRPr="0085401F" w:rsidRDefault="009958F9" w:rsidP="00DF7DA0">
            <w:pPr>
              <w:tabs>
                <w:tab w:val="left" w:pos="709"/>
              </w:tabs>
              <w:spacing w:before="60" w:after="60"/>
              <w:rPr>
                <w:rFonts w:ascii="Arial" w:hAnsi="Arial"/>
                <w:b/>
                <w:color w:val="000000"/>
                <w:sz w:val="16"/>
                <w:szCs w:val="16"/>
              </w:rPr>
            </w:pPr>
            <w:r w:rsidRPr="0085401F">
              <w:rPr>
                <w:rFonts w:ascii="Arial" w:hAnsi="Arial"/>
                <w:b/>
                <w:color w:val="000000"/>
                <w:sz w:val="16"/>
                <w:szCs w:val="16"/>
              </w:rPr>
              <w:t>Expected Performance Results</w:t>
            </w:r>
          </w:p>
        </w:tc>
      </w:tr>
      <w:tr w:rsidR="0004322A" w:rsidRPr="00CD66E1" w14:paraId="363EBE1D" w14:textId="77777777" w:rsidTr="0004322A">
        <w:tblPrEx>
          <w:shd w:val="clear" w:color="auto" w:fill="auto"/>
          <w:tblLook w:val="04A0" w:firstRow="1" w:lastRow="0" w:firstColumn="1" w:lastColumn="0" w:noHBand="0" w:noVBand="1"/>
        </w:tblPrEx>
        <w:trPr>
          <w:trHeight w:val="642"/>
        </w:trPr>
        <w:tc>
          <w:tcPr>
            <w:tcW w:w="1886" w:type="dxa"/>
            <w:vMerge w:val="restart"/>
            <w:tcBorders>
              <w:top w:val="single" w:sz="4" w:space="0" w:color="auto"/>
              <w:right w:val="single" w:sz="4" w:space="0" w:color="auto"/>
            </w:tcBorders>
          </w:tcPr>
          <w:p w14:paraId="68546C86" w14:textId="77777777" w:rsidR="0004322A" w:rsidRPr="0085401F" w:rsidRDefault="0004322A" w:rsidP="00987C39">
            <w:pPr>
              <w:tabs>
                <w:tab w:val="left" w:pos="709"/>
              </w:tabs>
              <w:spacing w:before="0" w:after="0"/>
              <w:rPr>
                <w:rFonts w:ascii="Arial" w:hAnsi="Arial"/>
                <w:color w:val="000000"/>
                <w:sz w:val="16"/>
                <w:szCs w:val="16"/>
              </w:rPr>
            </w:pPr>
            <w:r w:rsidRPr="0085401F">
              <w:rPr>
                <w:rFonts w:ascii="Arial" w:hAnsi="Arial"/>
                <w:color w:val="000000"/>
                <w:sz w:val="16"/>
                <w:szCs w:val="16"/>
              </w:rPr>
              <w:t>Current Year</w:t>
            </w:r>
          </w:p>
          <w:p w14:paraId="09D43DC7" w14:textId="77777777" w:rsidR="0004322A" w:rsidRPr="0085401F" w:rsidRDefault="0004322A" w:rsidP="00987C39">
            <w:pPr>
              <w:tabs>
                <w:tab w:val="left" w:pos="709"/>
              </w:tabs>
              <w:spacing w:before="0" w:after="0"/>
              <w:rPr>
                <w:rFonts w:ascii="Arial" w:hAnsi="Arial"/>
                <w:color w:val="000000"/>
                <w:sz w:val="16"/>
                <w:szCs w:val="16"/>
              </w:rPr>
            </w:pPr>
            <w:r w:rsidRPr="0085401F">
              <w:rPr>
                <w:rFonts w:ascii="Arial" w:hAnsi="Arial"/>
                <w:color w:val="000000"/>
                <w:sz w:val="16"/>
                <w:szCs w:val="16"/>
              </w:rPr>
              <w:t>2024-25</w:t>
            </w:r>
            <w:r w:rsidR="0085401F">
              <w:rPr>
                <w:rFonts w:ascii="Arial" w:hAnsi="Arial"/>
                <w:color w:val="000000"/>
                <w:sz w:val="16"/>
                <w:szCs w:val="16"/>
              </w:rPr>
              <w:t xml:space="preserve"> </w:t>
            </w:r>
            <w:r w:rsidR="0085401F" w:rsidRPr="0085401F">
              <w:rPr>
                <w:rFonts w:ascii="Arial" w:hAnsi="Arial"/>
                <w:color w:val="000000"/>
                <w:sz w:val="16"/>
                <w:szCs w:val="16"/>
                <w:vertAlign w:val="superscript"/>
              </w:rPr>
              <w:t>[a]</w:t>
            </w:r>
          </w:p>
        </w:tc>
        <w:tc>
          <w:tcPr>
            <w:tcW w:w="3292" w:type="dxa"/>
            <w:tcBorders>
              <w:top w:val="single" w:sz="4" w:space="0" w:color="auto"/>
              <w:left w:val="single" w:sz="4" w:space="0" w:color="auto"/>
              <w:bottom w:val="dotted" w:sz="4" w:space="0" w:color="auto"/>
              <w:right w:val="single" w:sz="4" w:space="0" w:color="auto"/>
            </w:tcBorders>
          </w:tcPr>
          <w:p w14:paraId="2E52C0C1" w14:textId="29BEDC4E" w:rsidR="0004322A" w:rsidRPr="0085401F" w:rsidRDefault="00F95333" w:rsidP="009800E8">
            <w:pPr>
              <w:tabs>
                <w:tab w:val="left" w:pos="709"/>
              </w:tabs>
              <w:spacing w:before="60" w:after="60"/>
              <w:rPr>
                <w:rFonts w:ascii="Arial" w:hAnsi="Arial"/>
                <w:sz w:val="16"/>
                <w:szCs w:val="16"/>
              </w:rPr>
            </w:pPr>
            <w:r w:rsidRPr="00CC337B">
              <w:rPr>
                <w:rFonts w:ascii="Arial" w:hAnsi="Arial"/>
                <w:sz w:val="16"/>
                <w:szCs w:val="16"/>
                <w:lang w:val="en-AU"/>
              </w:rPr>
              <w:t>1.1: Defence maintains ready forces, plans and conducts operations, activities and investments as directed by Government to achieve Defence’s strategic objectives.</w:t>
            </w:r>
          </w:p>
        </w:tc>
        <w:tc>
          <w:tcPr>
            <w:tcW w:w="3174" w:type="dxa"/>
            <w:tcBorders>
              <w:top w:val="single" w:sz="4" w:space="0" w:color="auto"/>
              <w:left w:val="single" w:sz="4" w:space="0" w:color="auto"/>
              <w:bottom w:val="dotted" w:sz="4" w:space="0" w:color="auto"/>
            </w:tcBorders>
          </w:tcPr>
          <w:p w14:paraId="37B96E33" w14:textId="77777777" w:rsidR="0004322A" w:rsidRDefault="0004322A" w:rsidP="0085401F">
            <w:pPr>
              <w:tabs>
                <w:tab w:val="left" w:pos="709"/>
              </w:tabs>
              <w:spacing w:before="60" w:after="60"/>
              <w:rPr>
                <w:rFonts w:ascii="Arial" w:hAnsi="Arial"/>
                <w:sz w:val="16"/>
                <w:szCs w:val="16"/>
                <w:lang w:val="en-AU"/>
              </w:rPr>
            </w:pPr>
            <w:r w:rsidRPr="0085401F">
              <w:rPr>
                <w:rFonts w:ascii="Arial" w:hAnsi="Arial"/>
                <w:sz w:val="16"/>
                <w:szCs w:val="16"/>
                <w:lang w:val="en-AU"/>
              </w:rPr>
              <w:t xml:space="preserve">Defence responds to Australian Government requirements and conducts operations as </w:t>
            </w:r>
            <w:r w:rsidR="0085401F">
              <w:rPr>
                <w:rFonts w:ascii="Arial" w:hAnsi="Arial"/>
                <w:sz w:val="16"/>
                <w:szCs w:val="16"/>
                <w:lang w:val="en-AU"/>
              </w:rPr>
              <w:t xml:space="preserve">directed. This will change year </w:t>
            </w:r>
            <w:r w:rsidRPr="0085401F">
              <w:rPr>
                <w:rFonts w:ascii="Arial" w:hAnsi="Arial"/>
                <w:sz w:val="16"/>
                <w:szCs w:val="16"/>
                <w:lang w:val="en-AU"/>
              </w:rPr>
              <w:t>on</w:t>
            </w:r>
            <w:r w:rsidR="0085401F">
              <w:rPr>
                <w:rFonts w:ascii="Arial" w:hAnsi="Arial"/>
                <w:sz w:val="16"/>
                <w:szCs w:val="16"/>
                <w:lang w:val="en-AU"/>
              </w:rPr>
              <w:t xml:space="preserve"> </w:t>
            </w:r>
            <w:r w:rsidRPr="0085401F">
              <w:rPr>
                <w:rFonts w:ascii="Arial" w:hAnsi="Arial"/>
                <w:sz w:val="16"/>
                <w:szCs w:val="16"/>
                <w:lang w:val="en-AU"/>
              </w:rPr>
              <w:t>year.</w:t>
            </w:r>
          </w:p>
          <w:p w14:paraId="5FC57C4F" w14:textId="2E608608" w:rsidR="0085401F" w:rsidRPr="0085401F" w:rsidRDefault="009800E8" w:rsidP="0085401F">
            <w:pPr>
              <w:tabs>
                <w:tab w:val="left" w:pos="709"/>
              </w:tabs>
              <w:spacing w:before="60" w:after="60"/>
              <w:jc w:val="right"/>
              <w:rPr>
                <w:rFonts w:ascii="Arial" w:hAnsi="Arial"/>
                <w:sz w:val="16"/>
                <w:szCs w:val="16"/>
              </w:rPr>
            </w:pPr>
            <w:r w:rsidRPr="009800E8">
              <w:rPr>
                <w:rFonts w:ascii="Arial" w:hAnsi="Arial"/>
                <w:i/>
                <w:sz w:val="16"/>
                <w:szCs w:val="16"/>
                <w:lang w:val="en-AU"/>
              </w:rPr>
              <w:t>Expected to be achieved</w:t>
            </w:r>
            <w:r w:rsidR="0085401F" w:rsidRPr="009800E8">
              <w:rPr>
                <w:rFonts w:ascii="Arial" w:hAnsi="Arial"/>
                <w:i/>
                <w:sz w:val="16"/>
                <w:szCs w:val="16"/>
                <w:lang w:val="en-AU"/>
              </w:rPr>
              <w:t>.</w:t>
            </w:r>
          </w:p>
        </w:tc>
      </w:tr>
      <w:tr w:rsidR="0004322A" w:rsidRPr="00CD66E1" w14:paraId="481555CC" w14:textId="77777777" w:rsidTr="00D178FF">
        <w:tblPrEx>
          <w:shd w:val="clear" w:color="auto" w:fill="auto"/>
          <w:tblLook w:val="04A0" w:firstRow="1" w:lastRow="0" w:firstColumn="1" w:lastColumn="0" w:noHBand="0" w:noVBand="1"/>
        </w:tblPrEx>
        <w:trPr>
          <w:trHeight w:val="100"/>
        </w:trPr>
        <w:tc>
          <w:tcPr>
            <w:tcW w:w="1886" w:type="dxa"/>
            <w:vMerge/>
            <w:tcBorders>
              <w:bottom w:val="single" w:sz="4" w:space="0" w:color="auto"/>
              <w:right w:val="single" w:sz="4" w:space="0" w:color="auto"/>
            </w:tcBorders>
          </w:tcPr>
          <w:p w14:paraId="20102917" w14:textId="77777777" w:rsidR="0004322A" w:rsidRPr="0085401F" w:rsidRDefault="0004322A" w:rsidP="0004322A">
            <w:pPr>
              <w:tabs>
                <w:tab w:val="left" w:pos="709"/>
              </w:tabs>
              <w:spacing w:before="60" w:after="60"/>
              <w:rPr>
                <w:rFonts w:ascii="Arial" w:hAnsi="Arial"/>
                <w:b/>
                <w:color w:val="000000"/>
                <w:sz w:val="16"/>
                <w:szCs w:val="16"/>
              </w:rPr>
            </w:pPr>
          </w:p>
        </w:tc>
        <w:tc>
          <w:tcPr>
            <w:tcW w:w="3292" w:type="dxa"/>
            <w:tcBorders>
              <w:top w:val="dotted" w:sz="4" w:space="0" w:color="auto"/>
              <w:left w:val="single" w:sz="4" w:space="0" w:color="auto"/>
              <w:bottom w:val="single" w:sz="4" w:space="0" w:color="auto"/>
              <w:right w:val="single" w:sz="4" w:space="0" w:color="auto"/>
            </w:tcBorders>
          </w:tcPr>
          <w:p w14:paraId="270526EE" w14:textId="77777777" w:rsidR="0004322A" w:rsidRPr="0085401F" w:rsidRDefault="00462D9F" w:rsidP="0004322A">
            <w:pPr>
              <w:tabs>
                <w:tab w:val="left" w:pos="709"/>
              </w:tabs>
              <w:spacing w:before="60" w:after="60"/>
              <w:rPr>
                <w:rFonts w:ascii="Arial" w:hAnsi="Arial"/>
                <w:sz w:val="16"/>
                <w:szCs w:val="16"/>
                <w:lang w:val="en-AU"/>
              </w:rPr>
            </w:pPr>
            <w:r w:rsidRPr="00E81FAD">
              <w:rPr>
                <w:rFonts w:ascii="Arial" w:hAnsi="Arial"/>
                <w:sz w:val="16"/>
                <w:szCs w:val="16"/>
                <w:lang w:val="en-AU"/>
              </w:rPr>
              <w:t>1.2: Defence commits ADF and/or APS assistance to domestic crisis and emergency response, as directed by Government</w:t>
            </w:r>
            <w:r w:rsidR="0004322A" w:rsidRPr="0085401F">
              <w:rPr>
                <w:rFonts w:ascii="Arial" w:hAnsi="Arial"/>
                <w:sz w:val="16"/>
                <w:szCs w:val="16"/>
                <w:lang w:val="en-AU"/>
              </w:rPr>
              <w:t>.</w:t>
            </w:r>
          </w:p>
        </w:tc>
        <w:tc>
          <w:tcPr>
            <w:tcW w:w="3174" w:type="dxa"/>
            <w:tcBorders>
              <w:top w:val="dotted" w:sz="4" w:space="0" w:color="auto"/>
              <w:left w:val="single" w:sz="4" w:space="0" w:color="auto"/>
              <w:bottom w:val="single" w:sz="4" w:space="0" w:color="auto"/>
            </w:tcBorders>
          </w:tcPr>
          <w:p w14:paraId="0BB34E8F" w14:textId="77777777" w:rsidR="0004322A" w:rsidRDefault="0004322A" w:rsidP="0085401F">
            <w:pPr>
              <w:tabs>
                <w:tab w:val="left" w:pos="709"/>
              </w:tabs>
              <w:spacing w:before="60" w:after="60"/>
              <w:rPr>
                <w:rFonts w:ascii="Arial" w:hAnsi="Arial"/>
                <w:sz w:val="16"/>
                <w:szCs w:val="16"/>
                <w:lang w:val="en-AU"/>
              </w:rPr>
            </w:pPr>
            <w:r w:rsidRPr="0085401F">
              <w:rPr>
                <w:rFonts w:ascii="Arial" w:hAnsi="Arial"/>
                <w:sz w:val="16"/>
                <w:szCs w:val="16"/>
                <w:lang w:val="en-AU"/>
              </w:rPr>
              <w:t>Defence responds to Australian Government direction as required. This will change year</w:t>
            </w:r>
            <w:r w:rsidR="0085401F">
              <w:rPr>
                <w:rFonts w:ascii="Arial" w:hAnsi="Arial"/>
                <w:sz w:val="16"/>
                <w:szCs w:val="16"/>
                <w:lang w:val="en-AU"/>
              </w:rPr>
              <w:t xml:space="preserve"> on </w:t>
            </w:r>
            <w:r w:rsidRPr="0085401F">
              <w:rPr>
                <w:rFonts w:ascii="Arial" w:hAnsi="Arial"/>
                <w:sz w:val="16"/>
                <w:szCs w:val="16"/>
                <w:lang w:val="en-AU"/>
              </w:rPr>
              <w:t>year.</w:t>
            </w:r>
          </w:p>
          <w:p w14:paraId="78D96C1C" w14:textId="16A87C5C" w:rsidR="0085401F" w:rsidRPr="0085401F" w:rsidRDefault="009800E8" w:rsidP="009800E8">
            <w:pPr>
              <w:tabs>
                <w:tab w:val="left" w:pos="709"/>
              </w:tabs>
              <w:spacing w:before="60" w:after="60"/>
              <w:jc w:val="right"/>
              <w:rPr>
                <w:rFonts w:ascii="Arial" w:hAnsi="Arial"/>
                <w:sz w:val="16"/>
                <w:szCs w:val="16"/>
              </w:rPr>
            </w:pPr>
            <w:r w:rsidRPr="009800E8">
              <w:rPr>
                <w:rFonts w:ascii="Arial" w:hAnsi="Arial"/>
                <w:i/>
                <w:sz w:val="16"/>
                <w:szCs w:val="16"/>
                <w:lang w:val="en-AU"/>
              </w:rPr>
              <w:t>Expected to be achieved</w:t>
            </w:r>
            <w:r>
              <w:rPr>
                <w:rFonts w:ascii="Arial" w:hAnsi="Arial"/>
                <w:i/>
                <w:sz w:val="16"/>
                <w:szCs w:val="16"/>
                <w:lang w:val="en-AU"/>
              </w:rPr>
              <w:t>.</w:t>
            </w:r>
          </w:p>
        </w:tc>
      </w:tr>
      <w:tr w:rsidR="0004322A" w:rsidRPr="00CD66E1" w14:paraId="1A7A29FD" w14:textId="77777777" w:rsidTr="00D178FF">
        <w:tblPrEx>
          <w:shd w:val="clear" w:color="auto" w:fill="auto"/>
          <w:tblLook w:val="04A0" w:firstRow="1" w:lastRow="0" w:firstColumn="1" w:lastColumn="0" w:noHBand="0" w:noVBand="1"/>
        </w:tblPrEx>
        <w:trPr>
          <w:trHeight w:val="100"/>
        </w:trPr>
        <w:tc>
          <w:tcPr>
            <w:tcW w:w="1886" w:type="dxa"/>
            <w:tcBorders>
              <w:top w:val="single" w:sz="4" w:space="0" w:color="auto"/>
              <w:bottom w:val="single" w:sz="4" w:space="0" w:color="auto"/>
              <w:right w:val="single" w:sz="4" w:space="0" w:color="auto"/>
            </w:tcBorders>
          </w:tcPr>
          <w:p w14:paraId="7589550A" w14:textId="77777777" w:rsidR="0004322A" w:rsidRPr="0085401F" w:rsidRDefault="0004322A" w:rsidP="0004322A">
            <w:pPr>
              <w:tabs>
                <w:tab w:val="left" w:pos="709"/>
              </w:tabs>
              <w:spacing w:before="60" w:after="60"/>
              <w:rPr>
                <w:rFonts w:ascii="Arial" w:hAnsi="Arial"/>
                <w:color w:val="000000"/>
                <w:sz w:val="16"/>
                <w:szCs w:val="16"/>
              </w:rPr>
            </w:pPr>
            <w:r w:rsidRPr="0085401F">
              <w:rPr>
                <w:rFonts w:ascii="Arial" w:hAnsi="Arial"/>
                <w:b/>
                <w:color w:val="000000"/>
                <w:sz w:val="16"/>
                <w:szCs w:val="16"/>
              </w:rPr>
              <w:t>Year</w:t>
            </w:r>
          </w:p>
        </w:tc>
        <w:tc>
          <w:tcPr>
            <w:tcW w:w="3292" w:type="dxa"/>
            <w:tcBorders>
              <w:top w:val="single" w:sz="4" w:space="0" w:color="auto"/>
              <w:left w:val="single" w:sz="4" w:space="0" w:color="auto"/>
              <w:bottom w:val="single" w:sz="4" w:space="0" w:color="auto"/>
              <w:right w:val="single" w:sz="4" w:space="0" w:color="auto"/>
            </w:tcBorders>
          </w:tcPr>
          <w:p w14:paraId="309049FC" w14:textId="77777777" w:rsidR="0004322A" w:rsidRPr="0085401F" w:rsidRDefault="0004322A" w:rsidP="0004322A">
            <w:pPr>
              <w:tabs>
                <w:tab w:val="left" w:pos="709"/>
              </w:tabs>
              <w:spacing w:before="60" w:after="60"/>
              <w:rPr>
                <w:rFonts w:ascii="Arial" w:hAnsi="Arial"/>
                <w:color w:val="000000"/>
              </w:rPr>
            </w:pPr>
            <w:r w:rsidRPr="0085401F">
              <w:rPr>
                <w:rFonts w:ascii="Arial" w:hAnsi="Arial"/>
                <w:b/>
                <w:color w:val="000000"/>
                <w:sz w:val="16"/>
                <w:szCs w:val="16"/>
              </w:rPr>
              <w:t>Performance measures</w:t>
            </w:r>
          </w:p>
        </w:tc>
        <w:tc>
          <w:tcPr>
            <w:tcW w:w="3174" w:type="dxa"/>
            <w:tcBorders>
              <w:top w:val="single" w:sz="4" w:space="0" w:color="auto"/>
              <w:left w:val="single" w:sz="4" w:space="0" w:color="auto"/>
              <w:bottom w:val="single" w:sz="4" w:space="0" w:color="auto"/>
            </w:tcBorders>
          </w:tcPr>
          <w:p w14:paraId="2A730B03" w14:textId="77777777" w:rsidR="0004322A" w:rsidRPr="0085401F" w:rsidRDefault="0004322A" w:rsidP="0004322A">
            <w:pPr>
              <w:tabs>
                <w:tab w:val="left" w:pos="709"/>
              </w:tabs>
              <w:spacing w:before="60" w:after="60"/>
              <w:rPr>
                <w:rFonts w:ascii="Arial" w:hAnsi="Arial"/>
                <w:i/>
                <w:color w:val="000000"/>
                <w:sz w:val="16"/>
                <w:szCs w:val="16"/>
              </w:rPr>
            </w:pPr>
            <w:r w:rsidRPr="0085401F">
              <w:rPr>
                <w:rFonts w:ascii="Arial" w:hAnsi="Arial"/>
                <w:b/>
                <w:color w:val="000000"/>
                <w:sz w:val="16"/>
                <w:szCs w:val="16"/>
              </w:rPr>
              <w:t>Planned Performance Results</w:t>
            </w:r>
          </w:p>
        </w:tc>
      </w:tr>
      <w:tr w:rsidR="0004322A" w:rsidRPr="00CD66E1" w14:paraId="1D26A3BA" w14:textId="77777777" w:rsidTr="00AF285C">
        <w:tblPrEx>
          <w:shd w:val="clear" w:color="auto" w:fill="auto"/>
          <w:tblLook w:val="04A0" w:firstRow="1" w:lastRow="0" w:firstColumn="1" w:lastColumn="0" w:noHBand="0" w:noVBand="1"/>
        </w:tblPrEx>
        <w:trPr>
          <w:trHeight w:val="705"/>
        </w:trPr>
        <w:tc>
          <w:tcPr>
            <w:tcW w:w="1886" w:type="dxa"/>
            <w:vMerge w:val="restart"/>
            <w:tcBorders>
              <w:top w:val="single" w:sz="4" w:space="0" w:color="auto"/>
              <w:right w:val="single" w:sz="4" w:space="0" w:color="auto"/>
            </w:tcBorders>
          </w:tcPr>
          <w:p w14:paraId="5BA995B7" w14:textId="77777777" w:rsidR="0004322A" w:rsidRPr="0085401F" w:rsidRDefault="0004322A" w:rsidP="00987C39">
            <w:pPr>
              <w:tabs>
                <w:tab w:val="left" w:pos="709"/>
              </w:tabs>
              <w:spacing w:before="0" w:after="0"/>
              <w:rPr>
                <w:rFonts w:ascii="Arial" w:hAnsi="Arial"/>
                <w:color w:val="000000"/>
                <w:sz w:val="16"/>
                <w:szCs w:val="16"/>
              </w:rPr>
            </w:pPr>
            <w:r w:rsidRPr="0085401F">
              <w:rPr>
                <w:rFonts w:ascii="Arial" w:hAnsi="Arial"/>
                <w:color w:val="000000"/>
                <w:sz w:val="16"/>
                <w:szCs w:val="16"/>
              </w:rPr>
              <w:t>Budget Year</w:t>
            </w:r>
          </w:p>
          <w:p w14:paraId="13E18046" w14:textId="77777777" w:rsidR="0004322A" w:rsidRPr="00987C39" w:rsidRDefault="0004322A" w:rsidP="00987C39">
            <w:pPr>
              <w:tabs>
                <w:tab w:val="left" w:pos="709"/>
              </w:tabs>
              <w:spacing w:before="0" w:after="0"/>
              <w:rPr>
                <w:rFonts w:ascii="Arial" w:hAnsi="Arial"/>
                <w:color w:val="000000"/>
                <w:sz w:val="16"/>
                <w:szCs w:val="16"/>
                <w:highlight w:val="yellow"/>
              </w:rPr>
            </w:pPr>
            <w:r w:rsidRPr="0085401F">
              <w:rPr>
                <w:rFonts w:ascii="Arial" w:hAnsi="Arial"/>
                <w:color w:val="000000"/>
                <w:sz w:val="16"/>
                <w:szCs w:val="16"/>
              </w:rPr>
              <w:t>2025-26</w:t>
            </w:r>
            <w:r w:rsidR="0085401F" w:rsidRPr="0085401F">
              <w:rPr>
                <w:rFonts w:ascii="Arial" w:hAnsi="Arial"/>
                <w:color w:val="000000"/>
                <w:sz w:val="16"/>
                <w:szCs w:val="16"/>
              </w:rPr>
              <w:t xml:space="preserve"> </w:t>
            </w:r>
            <w:r w:rsidR="0085401F" w:rsidRPr="0085401F">
              <w:rPr>
                <w:rFonts w:ascii="Arial" w:hAnsi="Arial"/>
                <w:color w:val="000000"/>
                <w:sz w:val="16"/>
                <w:szCs w:val="16"/>
                <w:vertAlign w:val="superscript"/>
              </w:rPr>
              <w:t>[b]</w:t>
            </w:r>
          </w:p>
        </w:tc>
        <w:tc>
          <w:tcPr>
            <w:tcW w:w="3292" w:type="dxa"/>
            <w:tcBorders>
              <w:top w:val="single" w:sz="4" w:space="0" w:color="auto"/>
              <w:left w:val="single" w:sz="4" w:space="0" w:color="auto"/>
              <w:bottom w:val="dotted" w:sz="4" w:space="0" w:color="auto"/>
              <w:right w:val="single" w:sz="4" w:space="0" w:color="auto"/>
            </w:tcBorders>
          </w:tcPr>
          <w:p w14:paraId="4D02BB65" w14:textId="4513A391" w:rsidR="0004322A" w:rsidRPr="00CD66E1" w:rsidRDefault="0085401F" w:rsidP="009800E8">
            <w:pPr>
              <w:tabs>
                <w:tab w:val="left" w:pos="709"/>
              </w:tabs>
              <w:spacing w:before="60" w:after="60"/>
              <w:rPr>
                <w:rFonts w:ascii="Arial" w:hAnsi="Arial"/>
                <w:sz w:val="16"/>
                <w:szCs w:val="16"/>
                <w:highlight w:val="yellow"/>
              </w:rPr>
            </w:pPr>
            <w:r w:rsidRPr="00585660">
              <w:rPr>
                <w:rFonts w:ascii="Arial" w:hAnsi="Arial"/>
                <w:sz w:val="16"/>
                <w:szCs w:val="16"/>
                <w:lang w:val="en-AU"/>
              </w:rPr>
              <w:t xml:space="preserve">1.1: Defence maintains ready forces, plans and conducts operations, activities and </w:t>
            </w:r>
            <w:r w:rsidR="009800E8">
              <w:rPr>
                <w:rFonts w:ascii="Arial" w:hAnsi="Arial"/>
                <w:sz w:val="16"/>
                <w:szCs w:val="16"/>
                <w:lang w:val="en-AU"/>
              </w:rPr>
              <w:t>investments</w:t>
            </w:r>
            <w:r w:rsidRPr="00585660">
              <w:rPr>
                <w:rFonts w:ascii="Arial" w:hAnsi="Arial"/>
                <w:sz w:val="16"/>
                <w:szCs w:val="16"/>
                <w:lang w:val="en-AU"/>
              </w:rPr>
              <w:t xml:space="preserve"> as directed by Government to achieve Defence’s strategic objectives</w:t>
            </w:r>
            <w:r>
              <w:rPr>
                <w:rFonts w:ascii="Arial" w:hAnsi="Arial"/>
                <w:sz w:val="16"/>
                <w:szCs w:val="16"/>
                <w:lang w:val="en-AU"/>
              </w:rPr>
              <w:t>.</w:t>
            </w:r>
          </w:p>
        </w:tc>
        <w:tc>
          <w:tcPr>
            <w:tcW w:w="3174" w:type="dxa"/>
            <w:tcBorders>
              <w:top w:val="single" w:sz="4" w:space="0" w:color="auto"/>
              <w:left w:val="single" w:sz="4" w:space="0" w:color="auto"/>
              <w:bottom w:val="dotted" w:sz="4" w:space="0" w:color="auto"/>
            </w:tcBorders>
          </w:tcPr>
          <w:p w14:paraId="7CDBF3D8" w14:textId="77777777" w:rsidR="0004322A" w:rsidRPr="00CD66E1" w:rsidRDefault="0085401F" w:rsidP="0004322A">
            <w:pPr>
              <w:tabs>
                <w:tab w:val="left" w:pos="709"/>
              </w:tabs>
              <w:spacing w:before="60" w:after="60"/>
              <w:rPr>
                <w:rFonts w:ascii="Arial" w:hAnsi="Arial"/>
                <w:sz w:val="16"/>
                <w:szCs w:val="16"/>
                <w:highlight w:val="yellow"/>
              </w:rPr>
            </w:pPr>
            <w:r w:rsidRPr="00585660">
              <w:rPr>
                <w:rFonts w:ascii="Arial" w:hAnsi="Arial"/>
                <w:sz w:val="16"/>
                <w:szCs w:val="16"/>
                <w:lang w:val="en-AU"/>
              </w:rPr>
              <w:t>Defence responds to Australian Government requirements and conducts operations as directed. This will change year</w:t>
            </w:r>
            <w:r>
              <w:rPr>
                <w:rFonts w:ascii="Arial" w:hAnsi="Arial"/>
                <w:sz w:val="16"/>
                <w:szCs w:val="16"/>
                <w:lang w:val="en-AU"/>
              </w:rPr>
              <w:t xml:space="preserve"> on </w:t>
            </w:r>
            <w:r w:rsidRPr="00585660">
              <w:rPr>
                <w:rFonts w:ascii="Arial" w:hAnsi="Arial"/>
                <w:sz w:val="16"/>
                <w:szCs w:val="16"/>
                <w:lang w:val="en-AU"/>
              </w:rPr>
              <w:t>year</w:t>
            </w:r>
            <w:r>
              <w:rPr>
                <w:rFonts w:ascii="Arial" w:hAnsi="Arial"/>
                <w:sz w:val="16"/>
                <w:szCs w:val="16"/>
                <w:lang w:val="en-AU"/>
              </w:rPr>
              <w:t>.</w:t>
            </w:r>
          </w:p>
        </w:tc>
      </w:tr>
      <w:tr w:rsidR="0004322A" w:rsidRPr="00CD66E1" w14:paraId="7C0034BA" w14:textId="77777777" w:rsidTr="0004322A">
        <w:tblPrEx>
          <w:shd w:val="clear" w:color="auto" w:fill="auto"/>
          <w:tblLook w:val="04A0" w:firstRow="1" w:lastRow="0" w:firstColumn="1" w:lastColumn="0" w:noHBand="0" w:noVBand="1"/>
        </w:tblPrEx>
        <w:trPr>
          <w:trHeight w:val="705"/>
        </w:trPr>
        <w:tc>
          <w:tcPr>
            <w:tcW w:w="1886" w:type="dxa"/>
            <w:vMerge/>
            <w:tcBorders>
              <w:bottom w:val="single" w:sz="4" w:space="0" w:color="auto"/>
              <w:right w:val="single" w:sz="4" w:space="0" w:color="auto"/>
            </w:tcBorders>
          </w:tcPr>
          <w:p w14:paraId="6E63CC97" w14:textId="77777777" w:rsidR="0004322A" w:rsidRPr="00CD66E1" w:rsidRDefault="0004322A" w:rsidP="0004322A">
            <w:pPr>
              <w:tabs>
                <w:tab w:val="left" w:pos="709"/>
              </w:tabs>
              <w:spacing w:before="60" w:after="60"/>
              <w:rPr>
                <w:rFonts w:ascii="Arial" w:hAnsi="Arial"/>
                <w:color w:val="000000"/>
                <w:sz w:val="16"/>
                <w:szCs w:val="16"/>
                <w:highlight w:val="yellow"/>
              </w:rPr>
            </w:pPr>
          </w:p>
        </w:tc>
        <w:tc>
          <w:tcPr>
            <w:tcW w:w="3292" w:type="dxa"/>
            <w:tcBorders>
              <w:top w:val="dotted" w:sz="4" w:space="0" w:color="auto"/>
              <w:left w:val="single" w:sz="4" w:space="0" w:color="auto"/>
              <w:bottom w:val="single" w:sz="4" w:space="0" w:color="auto"/>
              <w:right w:val="single" w:sz="4" w:space="0" w:color="auto"/>
            </w:tcBorders>
          </w:tcPr>
          <w:p w14:paraId="05ACBBA3" w14:textId="77777777" w:rsidR="0004322A" w:rsidRPr="00CD66E1" w:rsidRDefault="0085401F" w:rsidP="0085401F">
            <w:pPr>
              <w:tabs>
                <w:tab w:val="left" w:pos="709"/>
              </w:tabs>
              <w:spacing w:before="60" w:after="60"/>
              <w:rPr>
                <w:rFonts w:ascii="Arial" w:hAnsi="Arial"/>
                <w:sz w:val="16"/>
                <w:szCs w:val="16"/>
                <w:highlight w:val="yellow"/>
                <w:lang w:val="en-AU"/>
              </w:rPr>
            </w:pPr>
            <w:r w:rsidRPr="00E81FAD">
              <w:rPr>
                <w:rFonts w:ascii="Arial" w:hAnsi="Arial"/>
                <w:sz w:val="16"/>
                <w:szCs w:val="16"/>
                <w:lang w:val="en-AU"/>
              </w:rPr>
              <w:t>1.2: Defence commits ADF and/or APS assistance to domestic crisis and emergency response, as directed by Government</w:t>
            </w:r>
            <w:r>
              <w:rPr>
                <w:rFonts w:ascii="Arial" w:hAnsi="Arial"/>
                <w:sz w:val="16"/>
                <w:szCs w:val="16"/>
                <w:lang w:val="en-AU"/>
              </w:rPr>
              <w:t>.</w:t>
            </w:r>
          </w:p>
        </w:tc>
        <w:tc>
          <w:tcPr>
            <w:tcW w:w="3174" w:type="dxa"/>
            <w:tcBorders>
              <w:top w:val="dotted" w:sz="4" w:space="0" w:color="auto"/>
              <w:left w:val="single" w:sz="4" w:space="0" w:color="auto"/>
              <w:bottom w:val="single" w:sz="4" w:space="0" w:color="auto"/>
            </w:tcBorders>
          </w:tcPr>
          <w:p w14:paraId="4EA71C94" w14:textId="77777777" w:rsidR="0004322A" w:rsidRPr="00CD66E1" w:rsidRDefault="0085401F" w:rsidP="0004322A">
            <w:pPr>
              <w:tabs>
                <w:tab w:val="left" w:pos="709"/>
              </w:tabs>
              <w:spacing w:before="60" w:after="60"/>
              <w:rPr>
                <w:rFonts w:ascii="Arial" w:hAnsi="Arial"/>
                <w:sz w:val="16"/>
                <w:szCs w:val="16"/>
                <w:highlight w:val="yellow"/>
              </w:rPr>
            </w:pPr>
            <w:r w:rsidRPr="00585660">
              <w:rPr>
                <w:rFonts w:ascii="Arial" w:hAnsi="Arial"/>
                <w:sz w:val="16"/>
                <w:szCs w:val="16"/>
                <w:lang w:val="en-AU"/>
              </w:rPr>
              <w:t xml:space="preserve">Defence responds to Australian Government direction as </w:t>
            </w:r>
            <w:r>
              <w:rPr>
                <w:rFonts w:ascii="Arial" w:hAnsi="Arial"/>
                <w:sz w:val="16"/>
                <w:szCs w:val="16"/>
                <w:lang w:val="en-AU"/>
              </w:rPr>
              <w:t xml:space="preserve">required. This will change year </w:t>
            </w:r>
            <w:r w:rsidRPr="00585660">
              <w:rPr>
                <w:rFonts w:ascii="Arial" w:hAnsi="Arial"/>
                <w:sz w:val="16"/>
                <w:szCs w:val="16"/>
                <w:lang w:val="en-AU"/>
              </w:rPr>
              <w:t>on</w:t>
            </w:r>
            <w:r>
              <w:rPr>
                <w:rFonts w:ascii="Arial" w:hAnsi="Arial"/>
                <w:sz w:val="16"/>
                <w:szCs w:val="16"/>
                <w:lang w:val="en-AU"/>
              </w:rPr>
              <w:t xml:space="preserve"> </w:t>
            </w:r>
            <w:r w:rsidRPr="00585660">
              <w:rPr>
                <w:rFonts w:ascii="Arial" w:hAnsi="Arial"/>
                <w:sz w:val="16"/>
                <w:szCs w:val="16"/>
                <w:lang w:val="en-AU"/>
              </w:rPr>
              <w:t>year</w:t>
            </w:r>
            <w:r>
              <w:rPr>
                <w:rFonts w:ascii="Arial" w:hAnsi="Arial"/>
                <w:sz w:val="16"/>
                <w:szCs w:val="16"/>
                <w:lang w:val="en-AU"/>
              </w:rPr>
              <w:t>.</w:t>
            </w:r>
          </w:p>
        </w:tc>
      </w:tr>
      <w:tr w:rsidR="0004322A" w:rsidRPr="00CD66E1" w14:paraId="7F15CB4C" w14:textId="77777777" w:rsidTr="0004322A">
        <w:tblPrEx>
          <w:shd w:val="clear" w:color="auto" w:fill="auto"/>
          <w:tblLook w:val="04A0" w:firstRow="1" w:lastRow="0" w:firstColumn="1" w:lastColumn="0" w:noHBand="0" w:noVBand="1"/>
        </w:tblPrEx>
        <w:trPr>
          <w:trHeight w:val="491"/>
        </w:trPr>
        <w:tc>
          <w:tcPr>
            <w:tcW w:w="1886" w:type="dxa"/>
            <w:tcBorders>
              <w:top w:val="single" w:sz="4" w:space="0" w:color="auto"/>
              <w:bottom w:val="single" w:sz="4" w:space="0" w:color="auto"/>
              <w:right w:val="single" w:sz="4" w:space="0" w:color="auto"/>
            </w:tcBorders>
          </w:tcPr>
          <w:p w14:paraId="2EF3B10B" w14:textId="77777777" w:rsidR="0004322A" w:rsidRPr="0085401F" w:rsidRDefault="0004322A" w:rsidP="00987C39">
            <w:pPr>
              <w:tabs>
                <w:tab w:val="left" w:pos="709"/>
              </w:tabs>
              <w:spacing w:before="0" w:after="0"/>
              <w:rPr>
                <w:rFonts w:ascii="Arial" w:hAnsi="Arial"/>
                <w:color w:val="000000"/>
                <w:sz w:val="16"/>
                <w:szCs w:val="16"/>
              </w:rPr>
            </w:pPr>
            <w:r w:rsidRPr="0085401F">
              <w:rPr>
                <w:rFonts w:ascii="Arial" w:hAnsi="Arial"/>
                <w:color w:val="000000"/>
                <w:sz w:val="16"/>
                <w:szCs w:val="16"/>
              </w:rPr>
              <w:t>Forward Estimates</w:t>
            </w:r>
          </w:p>
          <w:p w14:paraId="55DBB502" w14:textId="77777777" w:rsidR="0004322A" w:rsidRPr="0085401F" w:rsidRDefault="0004322A" w:rsidP="00987C39">
            <w:pPr>
              <w:tabs>
                <w:tab w:val="left" w:pos="709"/>
              </w:tabs>
              <w:spacing w:before="0" w:after="0"/>
              <w:rPr>
                <w:rFonts w:ascii="Arial" w:hAnsi="Arial"/>
                <w:b/>
                <w:color w:val="000000"/>
                <w:sz w:val="16"/>
                <w:szCs w:val="16"/>
              </w:rPr>
            </w:pPr>
            <w:r w:rsidRPr="0085401F">
              <w:rPr>
                <w:rFonts w:ascii="Arial" w:hAnsi="Arial"/>
                <w:color w:val="000000"/>
                <w:sz w:val="16"/>
                <w:szCs w:val="16"/>
              </w:rPr>
              <w:t>2026-29</w:t>
            </w:r>
          </w:p>
        </w:tc>
        <w:tc>
          <w:tcPr>
            <w:tcW w:w="3292" w:type="dxa"/>
            <w:tcBorders>
              <w:top w:val="single" w:sz="4" w:space="0" w:color="auto"/>
              <w:left w:val="single" w:sz="4" w:space="0" w:color="auto"/>
              <w:bottom w:val="single" w:sz="4" w:space="0" w:color="auto"/>
              <w:right w:val="single" w:sz="4" w:space="0" w:color="auto"/>
            </w:tcBorders>
          </w:tcPr>
          <w:p w14:paraId="68BBE88A" w14:textId="77777777" w:rsidR="0004322A" w:rsidRPr="0085401F" w:rsidRDefault="0004322A" w:rsidP="0085401F">
            <w:pPr>
              <w:tabs>
                <w:tab w:val="left" w:pos="709"/>
              </w:tabs>
              <w:spacing w:before="60" w:after="60"/>
              <w:rPr>
                <w:rFonts w:ascii="Arial" w:hAnsi="Arial"/>
                <w:b/>
                <w:color w:val="000000"/>
                <w:sz w:val="16"/>
                <w:szCs w:val="16"/>
              </w:rPr>
            </w:pPr>
            <w:r w:rsidRPr="0085401F">
              <w:rPr>
                <w:rFonts w:ascii="Arial" w:hAnsi="Arial"/>
                <w:color w:val="000000"/>
                <w:sz w:val="16"/>
                <w:szCs w:val="16"/>
              </w:rPr>
              <w:t>As per 202</w:t>
            </w:r>
            <w:r w:rsidR="0085401F">
              <w:rPr>
                <w:rFonts w:ascii="Arial" w:hAnsi="Arial"/>
                <w:color w:val="000000"/>
                <w:sz w:val="16"/>
                <w:szCs w:val="16"/>
              </w:rPr>
              <w:t>5</w:t>
            </w:r>
            <w:r w:rsidRPr="0085401F">
              <w:rPr>
                <w:rFonts w:ascii="Arial" w:hAnsi="Arial"/>
                <w:color w:val="000000"/>
                <w:sz w:val="16"/>
                <w:szCs w:val="16"/>
              </w:rPr>
              <w:t>-2</w:t>
            </w:r>
            <w:r w:rsidR="0085401F">
              <w:rPr>
                <w:rFonts w:ascii="Arial" w:hAnsi="Arial"/>
                <w:color w:val="000000"/>
                <w:sz w:val="16"/>
                <w:szCs w:val="16"/>
              </w:rPr>
              <w:t>6</w:t>
            </w:r>
            <w:r w:rsidRPr="0085401F">
              <w:rPr>
                <w:rFonts w:ascii="Arial" w:hAnsi="Arial"/>
                <w:color w:val="000000"/>
                <w:sz w:val="16"/>
                <w:szCs w:val="16"/>
              </w:rPr>
              <w:t>.</w:t>
            </w:r>
          </w:p>
        </w:tc>
        <w:tc>
          <w:tcPr>
            <w:tcW w:w="3174" w:type="dxa"/>
            <w:tcBorders>
              <w:top w:val="single" w:sz="4" w:space="0" w:color="auto"/>
              <w:left w:val="single" w:sz="4" w:space="0" w:color="auto"/>
              <w:bottom w:val="single" w:sz="4" w:space="0" w:color="auto"/>
            </w:tcBorders>
          </w:tcPr>
          <w:p w14:paraId="0BD4D5AB" w14:textId="77777777" w:rsidR="0004322A" w:rsidRPr="0085401F" w:rsidRDefault="0004322A" w:rsidP="0085401F">
            <w:pPr>
              <w:tabs>
                <w:tab w:val="left" w:pos="709"/>
              </w:tabs>
              <w:spacing w:before="60" w:after="60"/>
              <w:rPr>
                <w:rFonts w:ascii="Arial" w:hAnsi="Arial"/>
                <w:b/>
                <w:color w:val="000000"/>
                <w:sz w:val="16"/>
                <w:szCs w:val="16"/>
              </w:rPr>
            </w:pPr>
            <w:r w:rsidRPr="0085401F">
              <w:rPr>
                <w:rFonts w:ascii="Arial" w:hAnsi="Arial"/>
                <w:color w:val="000000"/>
                <w:sz w:val="16"/>
                <w:szCs w:val="16"/>
              </w:rPr>
              <w:t>As per 202</w:t>
            </w:r>
            <w:r w:rsidR="0085401F">
              <w:rPr>
                <w:rFonts w:ascii="Arial" w:hAnsi="Arial"/>
                <w:color w:val="000000"/>
                <w:sz w:val="16"/>
                <w:szCs w:val="16"/>
              </w:rPr>
              <w:t>5</w:t>
            </w:r>
            <w:r w:rsidRPr="0085401F">
              <w:rPr>
                <w:rFonts w:ascii="Arial" w:hAnsi="Arial"/>
                <w:color w:val="000000"/>
                <w:sz w:val="16"/>
                <w:szCs w:val="16"/>
              </w:rPr>
              <w:t>-2</w:t>
            </w:r>
            <w:r w:rsidR="0085401F">
              <w:rPr>
                <w:rFonts w:ascii="Arial" w:hAnsi="Arial"/>
                <w:color w:val="000000"/>
                <w:sz w:val="16"/>
                <w:szCs w:val="16"/>
              </w:rPr>
              <w:t>6</w:t>
            </w:r>
            <w:r w:rsidRPr="0085401F">
              <w:rPr>
                <w:rFonts w:ascii="Arial" w:hAnsi="Arial"/>
                <w:color w:val="000000"/>
                <w:sz w:val="16"/>
                <w:szCs w:val="16"/>
              </w:rPr>
              <w:t>.</w:t>
            </w:r>
          </w:p>
        </w:tc>
      </w:tr>
      <w:tr w:rsidR="0004322A" w:rsidRPr="00B56FAA" w14:paraId="64B2A2F2" w14:textId="77777777" w:rsidTr="0004322A">
        <w:tblPrEx>
          <w:shd w:val="clear" w:color="auto" w:fill="auto"/>
          <w:tblLook w:val="04A0" w:firstRow="1" w:lastRow="0" w:firstColumn="1" w:lastColumn="0" w:noHBand="0" w:noVBand="1"/>
        </w:tblPrEx>
        <w:trPr>
          <w:trHeight w:val="291"/>
        </w:trPr>
        <w:tc>
          <w:tcPr>
            <w:tcW w:w="8352" w:type="dxa"/>
            <w:gridSpan w:val="3"/>
            <w:tcBorders>
              <w:top w:val="single" w:sz="4" w:space="0" w:color="auto"/>
            </w:tcBorders>
          </w:tcPr>
          <w:p w14:paraId="02251C12" w14:textId="61C3F374" w:rsidR="0004322A" w:rsidRPr="0085401F" w:rsidRDefault="0004322A" w:rsidP="00E364DF">
            <w:pPr>
              <w:tabs>
                <w:tab w:val="left" w:pos="709"/>
              </w:tabs>
              <w:spacing w:before="60" w:after="60"/>
              <w:rPr>
                <w:rFonts w:ascii="Arial" w:hAnsi="Arial"/>
                <w:color w:val="000000"/>
                <w:sz w:val="16"/>
                <w:szCs w:val="16"/>
              </w:rPr>
            </w:pPr>
            <w:r w:rsidRPr="0085401F">
              <w:rPr>
                <w:rFonts w:ascii="Arial" w:hAnsi="Arial"/>
                <w:color w:val="000000"/>
                <w:sz w:val="16"/>
                <w:szCs w:val="16"/>
              </w:rPr>
              <w:t>Material changes to Program 1.1 resulting from 202</w:t>
            </w:r>
            <w:r w:rsidR="00E364DF">
              <w:rPr>
                <w:rFonts w:ascii="Arial" w:hAnsi="Arial"/>
                <w:color w:val="000000"/>
                <w:sz w:val="16"/>
                <w:szCs w:val="16"/>
              </w:rPr>
              <w:t>5</w:t>
            </w:r>
            <w:r w:rsidRPr="0085401F">
              <w:rPr>
                <w:rFonts w:ascii="Arial" w:hAnsi="Arial"/>
                <w:color w:val="000000"/>
                <w:sz w:val="16"/>
                <w:szCs w:val="16"/>
              </w:rPr>
              <w:t>-2</w:t>
            </w:r>
            <w:r w:rsidR="00E364DF">
              <w:rPr>
                <w:rFonts w:ascii="Arial" w:hAnsi="Arial"/>
                <w:color w:val="000000"/>
                <w:sz w:val="16"/>
                <w:szCs w:val="16"/>
              </w:rPr>
              <w:t>6</w:t>
            </w:r>
            <w:r w:rsidRPr="0085401F">
              <w:rPr>
                <w:rFonts w:ascii="Arial" w:hAnsi="Arial"/>
                <w:color w:val="000000"/>
                <w:sz w:val="16"/>
                <w:szCs w:val="16"/>
              </w:rPr>
              <w:t xml:space="preserve"> Budget Measures:</w:t>
            </w:r>
            <w:r w:rsidRPr="0085401F">
              <w:rPr>
                <w:rFonts w:ascii="Arial" w:hAnsi="Arial"/>
                <w:sz w:val="16"/>
                <w:szCs w:val="16"/>
              </w:rPr>
              <w:t xml:space="preserve"> Nil.</w:t>
            </w:r>
          </w:p>
        </w:tc>
      </w:tr>
    </w:tbl>
    <w:p w14:paraId="342217E7" w14:textId="77777777" w:rsidR="00CF140A" w:rsidRPr="00B56FAA" w:rsidRDefault="00CF140A" w:rsidP="00656D60">
      <w:pPr>
        <w:pStyle w:val="TableHeading"/>
        <w:spacing w:before="0" w:after="0"/>
        <w:rPr>
          <w:sz w:val="16"/>
          <w:szCs w:val="16"/>
        </w:rPr>
      </w:pPr>
    </w:p>
    <w:p w14:paraId="1AFBB84F" w14:textId="77777777" w:rsidR="00CF140A" w:rsidRPr="0085401F" w:rsidRDefault="00CF140A" w:rsidP="00656D60">
      <w:pPr>
        <w:pStyle w:val="TableHeading"/>
        <w:spacing w:before="0" w:after="0"/>
        <w:rPr>
          <w:sz w:val="14"/>
          <w:szCs w:val="14"/>
        </w:rPr>
      </w:pPr>
      <w:r w:rsidRPr="0085401F">
        <w:rPr>
          <w:sz w:val="14"/>
          <w:szCs w:val="14"/>
        </w:rPr>
        <w:t>Note</w:t>
      </w:r>
      <w:r w:rsidR="00094602">
        <w:rPr>
          <w:sz w:val="14"/>
          <w:szCs w:val="14"/>
        </w:rPr>
        <w:t>s</w:t>
      </w:r>
    </w:p>
    <w:p w14:paraId="45DA7BCD" w14:textId="771DDE74" w:rsidR="0085401F" w:rsidRDefault="0085401F" w:rsidP="0085401F">
      <w:pPr>
        <w:pStyle w:val="TableHeading"/>
        <w:numPr>
          <w:ilvl w:val="0"/>
          <w:numId w:val="30"/>
        </w:numPr>
        <w:tabs>
          <w:tab w:val="left" w:pos="284"/>
        </w:tabs>
        <w:spacing w:before="0" w:after="0"/>
        <w:ind w:left="284" w:hanging="284"/>
        <w:rPr>
          <w:b w:val="0"/>
          <w:sz w:val="14"/>
          <w:szCs w:val="14"/>
          <w:lang w:val="en-AU"/>
        </w:rPr>
      </w:pPr>
      <w:r w:rsidRPr="00585660">
        <w:rPr>
          <w:b w:val="0"/>
          <w:sz w:val="14"/>
          <w:szCs w:val="14"/>
          <w:lang w:val="en-AU"/>
        </w:rPr>
        <w:t xml:space="preserve">Performance Measure 1.2 has been </w:t>
      </w:r>
      <w:r>
        <w:rPr>
          <w:b w:val="0"/>
          <w:sz w:val="14"/>
          <w:szCs w:val="14"/>
          <w:lang w:val="en-AU"/>
        </w:rPr>
        <w:t>amended</w:t>
      </w:r>
      <w:r w:rsidRPr="00585660">
        <w:rPr>
          <w:b w:val="0"/>
          <w:sz w:val="14"/>
          <w:szCs w:val="14"/>
          <w:lang w:val="en-AU"/>
        </w:rPr>
        <w:t xml:space="preserve"> for 2024-25</w:t>
      </w:r>
      <w:r w:rsidRPr="000C5458">
        <w:rPr>
          <w:b w:val="0"/>
          <w:sz w:val="14"/>
          <w:szCs w:val="14"/>
          <w:lang w:val="en-AU"/>
        </w:rPr>
        <w:t>,</w:t>
      </w:r>
      <w:r w:rsidRPr="00585660">
        <w:rPr>
          <w:b w:val="0"/>
          <w:sz w:val="14"/>
          <w:szCs w:val="14"/>
          <w:lang w:val="en-AU"/>
        </w:rPr>
        <w:t xml:space="preserve"> as published in the updated </w:t>
      </w:r>
      <w:r w:rsidRPr="002802A6">
        <w:rPr>
          <w:b w:val="0"/>
          <w:sz w:val="14"/>
          <w:szCs w:val="14"/>
          <w:lang w:val="en-AU"/>
        </w:rPr>
        <w:t>2024-28 Defence Corporate Plan</w:t>
      </w:r>
      <w:r w:rsidR="00D86690">
        <w:rPr>
          <w:b w:val="0"/>
          <w:sz w:val="14"/>
          <w:szCs w:val="14"/>
          <w:lang w:val="en-AU"/>
        </w:rPr>
        <w:t xml:space="preserve"> in </w:t>
      </w:r>
      <w:r w:rsidRPr="00585660">
        <w:rPr>
          <w:b w:val="0"/>
          <w:sz w:val="14"/>
          <w:szCs w:val="14"/>
          <w:lang w:val="en-AU"/>
        </w:rPr>
        <w:t>March</w:t>
      </w:r>
      <w:r w:rsidR="00D86690">
        <w:rPr>
          <w:b w:val="0"/>
          <w:sz w:val="14"/>
          <w:szCs w:val="14"/>
          <w:lang w:val="en-AU"/>
        </w:rPr>
        <w:t> </w:t>
      </w:r>
      <w:r w:rsidRPr="00585660">
        <w:rPr>
          <w:b w:val="0"/>
          <w:sz w:val="14"/>
          <w:szCs w:val="14"/>
          <w:lang w:val="en-AU"/>
        </w:rPr>
        <w:t xml:space="preserve">2025. </w:t>
      </w:r>
    </w:p>
    <w:p w14:paraId="69CC3DCA" w14:textId="076842F4" w:rsidR="00EB2691" w:rsidRPr="009800E8" w:rsidRDefault="009800E8" w:rsidP="0085401F">
      <w:pPr>
        <w:pStyle w:val="TableHeading"/>
        <w:numPr>
          <w:ilvl w:val="0"/>
          <w:numId w:val="30"/>
        </w:numPr>
        <w:tabs>
          <w:tab w:val="left" w:pos="284"/>
        </w:tabs>
        <w:spacing w:before="0" w:after="0"/>
        <w:ind w:left="284" w:hanging="284"/>
        <w:rPr>
          <w:b w:val="0"/>
          <w:sz w:val="14"/>
          <w:szCs w:val="14"/>
        </w:rPr>
      </w:pPr>
      <w:r w:rsidRPr="009800E8">
        <w:rPr>
          <w:b w:val="0"/>
          <w:sz w:val="14"/>
          <w:szCs w:val="14"/>
          <w:lang w:val="en-AU"/>
        </w:rPr>
        <w:t xml:space="preserve">In accordance with Defence’s Enterprise Performance Framework, Defence is undertaking materiality assessments that may result in updates to the </w:t>
      </w:r>
      <w:r w:rsidR="00736330">
        <w:rPr>
          <w:b w:val="0"/>
          <w:sz w:val="14"/>
          <w:szCs w:val="14"/>
          <w:lang w:val="en-AU"/>
        </w:rPr>
        <w:t xml:space="preserve">2025-26 performance information </w:t>
      </w:r>
      <w:r w:rsidRPr="009800E8">
        <w:rPr>
          <w:b w:val="0"/>
          <w:sz w:val="14"/>
          <w:szCs w:val="14"/>
          <w:lang w:val="en-AU"/>
        </w:rPr>
        <w:t>in the 2025-29 Defence Corporate Plan, if required</w:t>
      </w:r>
      <w:r w:rsidR="009737EB" w:rsidRPr="009800E8">
        <w:rPr>
          <w:b w:val="0"/>
          <w:sz w:val="14"/>
          <w:szCs w:val="14"/>
          <w:lang w:val="en-AU"/>
        </w:rPr>
        <w:t xml:space="preserve">. </w:t>
      </w:r>
    </w:p>
    <w:p w14:paraId="5B6B51D0" w14:textId="77777777" w:rsidR="0071273C" w:rsidRPr="004E30E1" w:rsidRDefault="00792473" w:rsidP="00D9100A">
      <w:pPr>
        <w:pStyle w:val="TableHeading"/>
        <w:numPr>
          <w:ilvl w:val="0"/>
          <w:numId w:val="29"/>
        </w:numPr>
        <w:spacing w:before="0" w:after="120"/>
        <w:ind w:left="0" w:firstLine="0"/>
        <w:outlineLvl w:val="6"/>
      </w:pPr>
      <w:r w:rsidRPr="00B56FAA">
        <w:rPr>
          <w:szCs w:val="20"/>
        </w:rPr>
        <w:br w:type="page"/>
      </w:r>
      <w:r w:rsidR="0071273C" w:rsidRPr="004E30E1">
        <w:lastRenderedPageBreak/>
        <w:t>Cost Summary for Program 1.1 Operations Contributing to the S</w:t>
      </w:r>
      <w:r w:rsidR="00E654BA" w:rsidRPr="004E30E1">
        <w:t>afety</w:t>
      </w:r>
      <w:r w:rsidR="0071273C" w:rsidRPr="004E30E1">
        <w:t xml:space="preserve"> of the Immediate </w:t>
      </w:r>
      <w:r w:rsidR="0071273C" w:rsidRPr="004E30E1">
        <w:rPr>
          <w:lang w:val="en-AU"/>
        </w:rPr>
        <w:t>Neighbourhood</w:t>
      </w:r>
    </w:p>
    <w:p w14:paraId="3F2E73D3" w14:textId="3A120C46" w:rsidR="00055F34" w:rsidRPr="00B56FAA" w:rsidRDefault="00FB1F61" w:rsidP="00656D60">
      <w:pPr>
        <w:spacing w:before="0" w:after="0"/>
      </w:pPr>
      <w:r w:rsidRPr="00FB1F61">
        <w:rPr>
          <w:noProof/>
          <w:lang w:val="en-AU"/>
        </w:rPr>
        <w:drawing>
          <wp:inline distT="0" distB="0" distL="0" distR="0" wp14:anchorId="6B9E0E2C" wp14:editId="03A8BD14">
            <wp:extent cx="5471795" cy="3370584"/>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71795" cy="3370584"/>
                    </a:xfrm>
                    <a:prstGeom prst="rect">
                      <a:avLst/>
                    </a:prstGeom>
                    <a:noFill/>
                    <a:ln>
                      <a:noFill/>
                    </a:ln>
                  </pic:spPr>
                </pic:pic>
              </a:graphicData>
            </a:graphic>
          </wp:inline>
        </w:drawing>
      </w:r>
    </w:p>
    <w:p w14:paraId="741E48A1" w14:textId="77777777" w:rsidR="00656D60" w:rsidRPr="00B56FAA" w:rsidRDefault="00656D60" w:rsidP="00656D60">
      <w:pPr>
        <w:spacing w:before="0" w:after="0"/>
        <w:rPr>
          <w:rFonts w:ascii="Arial" w:hAnsi="Arial"/>
          <w:b/>
          <w:sz w:val="14"/>
          <w:szCs w:val="14"/>
        </w:rPr>
      </w:pPr>
    </w:p>
    <w:p w14:paraId="48D546AB" w14:textId="77777777" w:rsidR="00CB045C" w:rsidRPr="00CA7E64" w:rsidRDefault="00440F9C" w:rsidP="000424A8">
      <w:pPr>
        <w:tabs>
          <w:tab w:val="left" w:pos="284"/>
          <w:tab w:val="left" w:pos="567"/>
        </w:tabs>
        <w:spacing w:before="0" w:after="0"/>
        <w:ind w:left="284" w:hanging="284"/>
        <w:rPr>
          <w:rFonts w:ascii="Arial" w:hAnsi="Arial"/>
          <w:b/>
          <w:sz w:val="14"/>
          <w:szCs w:val="14"/>
        </w:rPr>
      </w:pPr>
      <w:r w:rsidRPr="00CA7E64">
        <w:rPr>
          <w:rFonts w:ascii="Arial" w:hAnsi="Arial"/>
          <w:b/>
          <w:sz w:val="14"/>
          <w:szCs w:val="14"/>
        </w:rPr>
        <w:t>Note</w:t>
      </w:r>
    </w:p>
    <w:p w14:paraId="3904E377" w14:textId="01C6B010" w:rsidR="00440F9C" w:rsidRPr="00B56FAA" w:rsidRDefault="00440F9C" w:rsidP="000424A8">
      <w:pPr>
        <w:tabs>
          <w:tab w:val="left" w:pos="284"/>
          <w:tab w:val="left" w:pos="567"/>
        </w:tabs>
        <w:spacing w:before="0" w:after="0"/>
        <w:ind w:left="284" w:hanging="284"/>
        <w:rPr>
          <w:rFonts w:ascii="Arial" w:hAnsi="Arial"/>
          <w:sz w:val="14"/>
          <w:szCs w:val="14"/>
        </w:rPr>
      </w:pPr>
      <w:r w:rsidRPr="00440F9C">
        <w:rPr>
          <w:rFonts w:ascii="Arial" w:hAnsi="Arial"/>
          <w:sz w:val="14"/>
          <w:szCs w:val="14"/>
        </w:rPr>
        <w:t xml:space="preserve">a. </w:t>
      </w:r>
      <w:r w:rsidR="00F63AEF">
        <w:rPr>
          <w:rFonts w:ascii="Arial" w:hAnsi="Arial"/>
          <w:sz w:val="14"/>
          <w:szCs w:val="14"/>
        </w:rPr>
        <w:tab/>
      </w:r>
      <w:r w:rsidR="00F63AEF" w:rsidRPr="00F63AEF">
        <w:rPr>
          <w:rFonts w:ascii="Arial" w:hAnsi="Arial"/>
          <w:sz w:val="14"/>
          <w:szCs w:val="14"/>
        </w:rPr>
        <w:t>Total Program funded expenditure includes operating expenses and capital expenditure funded by appropriation and own source revenue. This excludes expenses not requiring appropriation.</w:t>
      </w:r>
      <w:r w:rsidR="00F63AEF" w:rsidRPr="00F63AEF">
        <w:rPr>
          <w:rFonts w:ascii="Arial" w:hAnsi="Arial"/>
          <w:sz w:val="14"/>
          <w:szCs w:val="14"/>
        </w:rPr>
        <w:tab/>
      </w:r>
      <w:r w:rsidR="00F63AEF" w:rsidRPr="00F63AEF">
        <w:rPr>
          <w:rFonts w:ascii="Arial" w:hAnsi="Arial"/>
          <w:sz w:val="14"/>
          <w:szCs w:val="14"/>
        </w:rPr>
        <w:tab/>
      </w:r>
      <w:r w:rsidR="00F63AEF" w:rsidRPr="00F63AEF">
        <w:rPr>
          <w:rFonts w:ascii="Arial" w:hAnsi="Arial"/>
          <w:sz w:val="14"/>
          <w:szCs w:val="14"/>
        </w:rPr>
        <w:tab/>
      </w:r>
      <w:r w:rsidR="00F63AEF" w:rsidRPr="00F63AEF">
        <w:rPr>
          <w:rFonts w:ascii="Arial" w:hAnsi="Arial"/>
          <w:sz w:val="14"/>
          <w:szCs w:val="14"/>
        </w:rPr>
        <w:tab/>
      </w:r>
      <w:r w:rsidR="00F63AEF" w:rsidRPr="00F63AEF">
        <w:rPr>
          <w:rFonts w:ascii="Arial" w:hAnsi="Arial"/>
          <w:sz w:val="14"/>
          <w:szCs w:val="14"/>
        </w:rPr>
        <w:tab/>
      </w:r>
      <w:r w:rsidRPr="00440F9C">
        <w:rPr>
          <w:rFonts w:ascii="Arial" w:hAnsi="Arial"/>
          <w:sz w:val="14"/>
          <w:szCs w:val="14"/>
        </w:rPr>
        <w:tab/>
      </w:r>
      <w:r w:rsidRPr="00440F9C">
        <w:rPr>
          <w:rFonts w:ascii="Arial" w:hAnsi="Arial"/>
          <w:sz w:val="14"/>
          <w:szCs w:val="14"/>
        </w:rPr>
        <w:tab/>
      </w:r>
      <w:r w:rsidRPr="00440F9C">
        <w:rPr>
          <w:rFonts w:ascii="Arial" w:hAnsi="Arial"/>
          <w:sz w:val="14"/>
          <w:szCs w:val="14"/>
        </w:rPr>
        <w:tab/>
      </w:r>
      <w:r w:rsidRPr="00440F9C">
        <w:rPr>
          <w:rFonts w:ascii="Arial" w:hAnsi="Arial"/>
          <w:sz w:val="14"/>
          <w:szCs w:val="14"/>
        </w:rPr>
        <w:tab/>
      </w:r>
      <w:r w:rsidRPr="00440F9C">
        <w:rPr>
          <w:rFonts w:ascii="Arial" w:hAnsi="Arial"/>
          <w:sz w:val="14"/>
          <w:szCs w:val="14"/>
        </w:rPr>
        <w:tab/>
      </w:r>
    </w:p>
    <w:p w14:paraId="0B9721CD" w14:textId="77777777" w:rsidR="00055F34" w:rsidRPr="00B56FAA" w:rsidRDefault="00055F34" w:rsidP="00055F34"/>
    <w:p w14:paraId="3FF87995" w14:textId="77777777" w:rsidR="00055F34" w:rsidRPr="00B56FAA" w:rsidRDefault="00055F34" w:rsidP="00055F34">
      <w:pPr>
        <w:sectPr w:rsidR="00055F34" w:rsidRPr="00B56FAA" w:rsidSect="00C30BE6">
          <w:pgSz w:w="11906" w:h="16838" w:code="9"/>
          <w:pgMar w:top="1701" w:right="1361" w:bottom="1701" w:left="1928" w:header="720" w:footer="720" w:gutter="0"/>
          <w:cols w:space="720"/>
        </w:sectPr>
      </w:pPr>
    </w:p>
    <w:p w14:paraId="3A5D273D" w14:textId="77777777" w:rsidR="00055F34" w:rsidRPr="00B56FAA" w:rsidRDefault="00055F34" w:rsidP="00055F34">
      <w:pPr>
        <w:spacing w:before="0" w:after="0" w:line="20" w:lineRule="atLeast"/>
        <w:outlineLvl w:val="5"/>
        <w:rPr>
          <w:color w:val="FFFFFF"/>
          <w:sz w:val="2"/>
          <w:szCs w:val="2"/>
        </w:rPr>
      </w:pPr>
      <w:r w:rsidRPr="00B56FAA">
        <w:rPr>
          <w:color w:val="FFFFFF"/>
          <w:sz w:val="2"/>
          <w:szCs w:val="2"/>
        </w:rPr>
        <w:lastRenderedPageBreak/>
        <w:t>Program 1.2: Operations Supporting Wider Interests</w:t>
      </w:r>
    </w:p>
    <w:tbl>
      <w:tblPr>
        <w:tblW w:w="4852"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1886"/>
        <w:gridCol w:w="3292"/>
        <w:gridCol w:w="3174"/>
      </w:tblGrid>
      <w:tr w:rsidR="00EB2691" w:rsidRPr="00B56FAA" w14:paraId="687BAD5C" w14:textId="77777777" w:rsidTr="0004322A">
        <w:tc>
          <w:tcPr>
            <w:tcW w:w="8352" w:type="dxa"/>
            <w:gridSpan w:val="3"/>
            <w:tcBorders>
              <w:bottom w:val="single" w:sz="4" w:space="0" w:color="auto"/>
            </w:tcBorders>
            <w:shd w:val="clear" w:color="auto" w:fill="CCCCCC"/>
          </w:tcPr>
          <w:p w14:paraId="22B72E65" w14:textId="77777777" w:rsidR="00EB2691" w:rsidRPr="00B56FAA" w:rsidRDefault="00EB2691" w:rsidP="00DF7DA0">
            <w:pPr>
              <w:pStyle w:val="Heading5"/>
              <w:spacing w:before="60" w:after="60"/>
            </w:pPr>
            <w:r w:rsidRPr="00B56FAA">
              <w:rPr>
                <w:rFonts w:ascii="Book Antiqua" w:hAnsi="Book Antiqua"/>
                <w:b w:val="0"/>
                <w:bCs w:val="0"/>
                <w:iCs w:val="0"/>
                <w:szCs w:val="24"/>
              </w:rPr>
              <w:br w:type="page"/>
            </w:r>
            <w:r w:rsidRPr="00B56FAA">
              <w:rPr>
                <w:rFonts w:ascii="Book Antiqua" w:hAnsi="Book Antiqua"/>
                <w:b w:val="0"/>
                <w:bCs w:val="0"/>
                <w:iCs w:val="0"/>
                <w:szCs w:val="24"/>
              </w:rPr>
              <w:br w:type="page"/>
            </w:r>
            <w:r w:rsidRPr="00B56FAA">
              <w:t>Program 1.2: Operations Supporting Wider Interests</w:t>
            </w:r>
          </w:p>
        </w:tc>
      </w:tr>
      <w:tr w:rsidR="00433482" w:rsidRPr="00B56FAA" w14:paraId="543F9733" w14:textId="77777777" w:rsidTr="0004322A">
        <w:trPr>
          <w:trHeight w:val="170"/>
        </w:trPr>
        <w:tc>
          <w:tcPr>
            <w:tcW w:w="8352" w:type="dxa"/>
            <w:gridSpan w:val="3"/>
            <w:tcBorders>
              <w:left w:val="nil"/>
              <w:bottom w:val="single" w:sz="4" w:space="0" w:color="auto"/>
              <w:right w:val="nil"/>
            </w:tcBorders>
            <w:shd w:val="clear" w:color="auto" w:fill="auto"/>
          </w:tcPr>
          <w:p w14:paraId="6BB68600" w14:textId="77777777" w:rsidR="00433482" w:rsidRPr="00B56FAA" w:rsidRDefault="00433482" w:rsidP="00433482">
            <w:pPr>
              <w:pStyle w:val="Heading5"/>
              <w:spacing w:before="0" w:after="0"/>
              <w:rPr>
                <w:b w:val="0"/>
                <w:bCs w:val="0"/>
                <w:iCs w:val="0"/>
                <w:sz w:val="16"/>
                <w:szCs w:val="16"/>
              </w:rPr>
            </w:pPr>
          </w:p>
        </w:tc>
      </w:tr>
      <w:tr w:rsidR="00EB2691" w:rsidRPr="00CD66E1" w14:paraId="4BDC145E" w14:textId="77777777" w:rsidTr="0004322A">
        <w:tblPrEx>
          <w:shd w:val="clear" w:color="auto" w:fill="auto"/>
          <w:tblLook w:val="04A0" w:firstRow="1" w:lastRow="0" w:firstColumn="1" w:lastColumn="0" w:noHBand="0" w:noVBand="1"/>
        </w:tblPrEx>
        <w:trPr>
          <w:tblHeader/>
        </w:trPr>
        <w:tc>
          <w:tcPr>
            <w:tcW w:w="8352" w:type="dxa"/>
            <w:gridSpan w:val="3"/>
            <w:shd w:val="clear" w:color="auto" w:fill="E6E6E6"/>
          </w:tcPr>
          <w:p w14:paraId="26985A44" w14:textId="77777777" w:rsidR="00EB2691" w:rsidRPr="0085401F" w:rsidRDefault="00EB2691" w:rsidP="00DF7DA0">
            <w:pPr>
              <w:tabs>
                <w:tab w:val="left" w:pos="709"/>
              </w:tabs>
              <w:spacing w:before="60" w:after="60"/>
              <w:rPr>
                <w:rFonts w:ascii="Arial" w:hAnsi="Arial"/>
                <w:sz w:val="16"/>
                <w:szCs w:val="16"/>
              </w:rPr>
            </w:pPr>
            <w:r w:rsidRPr="0085401F">
              <w:rPr>
                <w:rFonts w:ascii="Arial" w:hAnsi="Arial"/>
                <w:b/>
                <w:sz w:val="16"/>
                <w:szCs w:val="16"/>
              </w:rPr>
              <w:t>Program 1.2</w:t>
            </w:r>
            <w:r w:rsidRPr="0085401F">
              <w:rPr>
                <w:rFonts w:ascii="Arial" w:hAnsi="Arial"/>
                <w:sz w:val="16"/>
                <w:szCs w:val="16"/>
              </w:rPr>
              <w:t xml:space="preserve"> </w:t>
            </w:r>
            <w:r w:rsidRPr="0085401F">
              <w:rPr>
                <w:rFonts w:ascii="Arial" w:hAnsi="Arial"/>
                <w:b/>
                <w:sz w:val="16"/>
                <w:szCs w:val="16"/>
              </w:rPr>
              <w:t>Objective</w:t>
            </w:r>
          </w:p>
          <w:p w14:paraId="3DCBBB45" w14:textId="77777777" w:rsidR="00EB2691" w:rsidRPr="0085401F" w:rsidRDefault="00C10936" w:rsidP="004B50BA">
            <w:pPr>
              <w:tabs>
                <w:tab w:val="left" w:pos="709"/>
              </w:tabs>
              <w:spacing w:before="60" w:after="60"/>
              <w:rPr>
                <w:rFonts w:ascii="Arial" w:hAnsi="Arial"/>
                <w:sz w:val="16"/>
                <w:szCs w:val="16"/>
              </w:rPr>
            </w:pPr>
            <w:r w:rsidRPr="0085401F">
              <w:rPr>
                <w:rFonts w:ascii="Arial" w:eastAsia="MS Mincho" w:hAnsi="Arial"/>
                <w:sz w:val="16"/>
                <w:szCs w:val="16"/>
                <w:lang w:val="en-AU" w:eastAsia="ja-JP"/>
              </w:rPr>
              <w:t>Operations supporting wider interests are designed to contribute to United Nations’ and international efforts to uphold global security.</w:t>
            </w:r>
          </w:p>
        </w:tc>
      </w:tr>
      <w:tr w:rsidR="00EB2691" w:rsidRPr="00CD66E1" w14:paraId="49BF9F45" w14:textId="77777777" w:rsidTr="003C0162">
        <w:tblPrEx>
          <w:shd w:val="clear" w:color="auto" w:fill="auto"/>
          <w:tblLook w:val="04A0" w:firstRow="1" w:lastRow="0" w:firstColumn="1" w:lastColumn="0" w:noHBand="0" w:noVBand="1"/>
        </w:tblPrEx>
        <w:trPr>
          <w:trHeight w:val="312"/>
        </w:trPr>
        <w:tc>
          <w:tcPr>
            <w:tcW w:w="1886" w:type="dxa"/>
            <w:tcBorders>
              <w:bottom w:val="single" w:sz="4" w:space="0" w:color="auto"/>
            </w:tcBorders>
            <w:shd w:val="clear" w:color="auto" w:fill="auto"/>
          </w:tcPr>
          <w:p w14:paraId="55062CDE" w14:textId="77777777" w:rsidR="00EB2691" w:rsidRPr="0085401F" w:rsidRDefault="00495811" w:rsidP="00EB2691">
            <w:pPr>
              <w:tabs>
                <w:tab w:val="left" w:pos="709"/>
              </w:tabs>
              <w:spacing w:before="60" w:after="60"/>
              <w:rPr>
                <w:rFonts w:ascii="Arial" w:hAnsi="Arial"/>
                <w:b/>
                <w:color w:val="000000"/>
                <w:sz w:val="16"/>
                <w:szCs w:val="16"/>
              </w:rPr>
            </w:pPr>
            <w:r>
              <w:rPr>
                <w:rFonts w:ascii="Arial" w:hAnsi="Arial"/>
                <w:b/>
                <w:color w:val="000000"/>
                <w:sz w:val="16"/>
                <w:szCs w:val="16"/>
              </w:rPr>
              <w:t>Key Activity</w:t>
            </w:r>
            <w:r w:rsidR="00EB2691" w:rsidRPr="0085401F">
              <w:rPr>
                <w:rFonts w:ascii="Arial" w:hAnsi="Arial"/>
                <w:b/>
                <w:color w:val="000000"/>
                <w:sz w:val="16"/>
                <w:szCs w:val="16"/>
              </w:rPr>
              <w:t xml:space="preserve"> </w:t>
            </w:r>
          </w:p>
        </w:tc>
        <w:tc>
          <w:tcPr>
            <w:tcW w:w="6466" w:type="dxa"/>
            <w:gridSpan w:val="2"/>
            <w:tcBorders>
              <w:bottom w:val="single" w:sz="4" w:space="0" w:color="auto"/>
            </w:tcBorders>
          </w:tcPr>
          <w:p w14:paraId="68F42EDE" w14:textId="77777777" w:rsidR="004D6FCE" w:rsidRPr="0085401F" w:rsidRDefault="004D6FCE" w:rsidP="004D6FCE">
            <w:pPr>
              <w:tabs>
                <w:tab w:val="left" w:pos="343"/>
              </w:tabs>
              <w:spacing w:before="60" w:after="60"/>
              <w:rPr>
                <w:rFonts w:ascii="Arial" w:hAnsi="Arial"/>
                <w:bCs/>
                <w:color w:val="000000"/>
                <w:sz w:val="16"/>
                <w:szCs w:val="16"/>
              </w:rPr>
            </w:pPr>
            <w:r w:rsidRPr="0085401F">
              <w:rPr>
                <w:rFonts w:ascii="Arial" w:hAnsi="Arial"/>
                <w:bCs/>
                <w:color w:val="000000"/>
                <w:sz w:val="16"/>
                <w:szCs w:val="16"/>
              </w:rPr>
              <w:t xml:space="preserve">This program will be achieved </w:t>
            </w:r>
            <w:r w:rsidR="00CA6F17" w:rsidRPr="0085401F">
              <w:rPr>
                <w:rFonts w:ascii="Arial" w:hAnsi="Arial"/>
                <w:bCs/>
                <w:color w:val="000000"/>
                <w:sz w:val="16"/>
                <w:szCs w:val="16"/>
              </w:rPr>
              <w:t>through the following activity</w:t>
            </w:r>
            <w:r w:rsidRPr="0085401F">
              <w:rPr>
                <w:rFonts w:ascii="Arial" w:hAnsi="Arial"/>
                <w:bCs/>
                <w:color w:val="000000"/>
                <w:sz w:val="16"/>
                <w:szCs w:val="16"/>
              </w:rPr>
              <w:t>:</w:t>
            </w:r>
          </w:p>
          <w:p w14:paraId="7AB6DBE7" w14:textId="44C69AF6" w:rsidR="00C10936" w:rsidRPr="0085401F" w:rsidRDefault="00C10936" w:rsidP="00C10936">
            <w:pPr>
              <w:tabs>
                <w:tab w:val="left" w:pos="709"/>
              </w:tabs>
              <w:spacing w:before="60" w:after="60"/>
              <w:rPr>
                <w:rFonts w:ascii="Arial" w:hAnsi="Arial"/>
                <w:b/>
                <w:color w:val="000000"/>
                <w:sz w:val="16"/>
                <w:szCs w:val="16"/>
              </w:rPr>
            </w:pPr>
            <w:r w:rsidRPr="0085401F">
              <w:rPr>
                <w:rFonts w:ascii="Arial" w:hAnsi="Arial"/>
                <w:b/>
                <w:color w:val="000000"/>
                <w:sz w:val="16"/>
                <w:szCs w:val="16"/>
              </w:rPr>
              <w:t>1. Conduct operations and deployments to defend Australia</w:t>
            </w:r>
            <w:r w:rsidR="007E792A">
              <w:rPr>
                <w:rFonts w:ascii="Arial" w:hAnsi="Arial"/>
                <w:b/>
                <w:color w:val="000000"/>
                <w:sz w:val="16"/>
                <w:szCs w:val="16"/>
              </w:rPr>
              <w:t xml:space="preserve"> and its</w:t>
            </w:r>
            <w:r w:rsidRPr="0085401F">
              <w:rPr>
                <w:rFonts w:ascii="Arial" w:hAnsi="Arial"/>
                <w:b/>
                <w:color w:val="000000"/>
                <w:sz w:val="16"/>
                <w:szCs w:val="16"/>
              </w:rPr>
              <w:t xml:space="preserve"> national interests.</w:t>
            </w:r>
          </w:p>
          <w:p w14:paraId="541F2447" w14:textId="77777777" w:rsidR="00EB2691" w:rsidRPr="0085401F" w:rsidRDefault="00F9302B" w:rsidP="00270576">
            <w:pPr>
              <w:tabs>
                <w:tab w:val="left" w:pos="709"/>
              </w:tabs>
              <w:spacing w:before="60" w:after="60"/>
              <w:rPr>
                <w:rFonts w:ascii="Arial" w:hAnsi="Arial"/>
                <w:i/>
                <w:color w:val="000000"/>
                <w:sz w:val="16"/>
                <w:szCs w:val="16"/>
              </w:rPr>
            </w:pPr>
            <w:r w:rsidRPr="0085401F">
              <w:rPr>
                <w:rFonts w:ascii="Arial" w:hAnsi="Arial"/>
                <w:color w:val="000000"/>
                <w:sz w:val="16"/>
                <w:szCs w:val="16"/>
                <w:lang w:val="en-AU"/>
              </w:rPr>
              <w:t>Defence conducts operations and deployments both within Australia and overseas, in accordance with direction from the Government. When required, Defence responds with military force to defend Australia and its national interests. Defence also works in close collaboration w</w:t>
            </w:r>
            <w:r w:rsidR="00D91A8A" w:rsidRPr="0085401F">
              <w:rPr>
                <w:rFonts w:ascii="Arial" w:hAnsi="Arial"/>
                <w:color w:val="000000"/>
                <w:sz w:val="16"/>
                <w:szCs w:val="16"/>
                <w:lang w:val="en-AU"/>
              </w:rPr>
              <w:t xml:space="preserve">ith our international partners </w:t>
            </w:r>
            <w:r w:rsidRPr="0085401F">
              <w:rPr>
                <w:rFonts w:ascii="Arial" w:hAnsi="Arial"/>
                <w:color w:val="000000"/>
                <w:sz w:val="16"/>
                <w:szCs w:val="16"/>
                <w:lang w:val="en-AU"/>
              </w:rPr>
              <w:t>and federal, state and territory governments to support our response to crises and disasters at home and abroad</w:t>
            </w:r>
            <w:r w:rsidR="00B84572" w:rsidRPr="0085401F">
              <w:rPr>
                <w:rFonts w:ascii="Arial" w:hAnsi="Arial"/>
                <w:color w:val="000000"/>
                <w:sz w:val="16"/>
                <w:szCs w:val="16"/>
              </w:rPr>
              <w:t>.</w:t>
            </w:r>
          </w:p>
        </w:tc>
      </w:tr>
      <w:tr w:rsidR="00EB2691" w:rsidRPr="00CD66E1" w14:paraId="54EB7F1D" w14:textId="77777777" w:rsidTr="003C0162">
        <w:tblPrEx>
          <w:shd w:val="clear" w:color="auto" w:fill="auto"/>
          <w:tblLook w:val="04A0" w:firstRow="1" w:lastRow="0" w:firstColumn="1" w:lastColumn="0" w:noHBand="0" w:noVBand="1"/>
        </w:tblPrEx>
        <w:trPr>
          <w:trHeight w:val="258"/>
        </w:trPr>
        <w:tc>
          <w:tcPr>
            <w:tcW w:w="1886" w:type="dxa"/>
            <w:tcBorders>
              <w:top w:val="single" w:sz="4" w:space="0" w:color="auto"/>
              <w:bottom w:val="single" w:sz="4" w:space="0" w:color="auto"/>
              <w:right w:val="single" w:sz="4" w:space="0" w:color="auto"/>
            </w:tcBorders>
            <w:shd w:val="clear" w:color="auto" w:fill="auto"/>
          </w:tcPr>
          <w:p w14:paraId="574DEDFC" w14:textId="77777777" w:rsidR="00EB2691" w:rsidRPr="0085401F" w:rsidRDefault="00EB2691" w:rsidP="00DF7DA0">
            <w:pPr>
              <w:tabs>
                <w:tab w:val="left" w:pos="709"/>
              </w:tabs>
              <w:spacing w:before="60" w:after="60"/>
              <w:rPr>
                <w:rFonts w:ascii="Arial" w:hAnsi="Arial"/>
                <w:b/>
                <w:color w:val="000000"/>
                <w:sz w:val="16"/>
                <w:szCs w:val="16"/>
              </w:rPr>
            </w:pPr>
            <w:r w:rsidRPr="0085401F">
              <w:rPr>
                <w:rFonts w:ascii="Arial" w:hAnsi="Arial"/>
                <w:b/>
                <w:color w:val="000000"/>
                <w:sz w:val="16"/>
                <w:szCs w:val="16"/>
              </w:rPr>
              <w:t>Year</w:t>
            </w:r>
          </w:p>
        </w:tc>
        <w:tc>
          <w:tcPr>
            <w:tcW w:w="3292" w:type="dxa"/>
            <w:tcBorders>
              <w:top w:val="single" w:sz="4" w:space="0" w:color="auto"/>
              <w:left w:val="single" w:sz="4" w:space="0" w:color="auto"/>
              <w:bottom w:val="single" w:sz="4" w:space="0" w:color="auto"/>
              <w:right w:val="single" w:sz="4" w:space="0" w:color="auto"/>
            </w:tcBorders>
          </w:tcPr>
          <w:p w14:paraId="63AFC72B" w14:textId="77777777" w:rsidR="00EB2691" w:rsidRPr="0085401F" w:rsidRDefault="00EB2691" w:rsidP="00DF7DA0">
            <w:pPr>
              <w:tabs>
                <w:tab w:val="left" w:pos="709"/>
                <w:tab w:val="center" w:pos="1818"/>
              </w:tabs>
              <w:spacing w:before="60" w:after="60"/>
              <w:rPr>
                <w:rFonts w:ascii="Arial" w:hAnsi="Arial"/>
                <w:b/>
                <w:color w:val="000000"/>
                <w:sz w:val="16"/>
                <w:szCs w:val="16"/>
              </w:rPr>
            </w:pPr>
            <w:r w:rsidRPr="0085401F">
              <w:rPr>
                <w:rFonts w:ascii="Arial" w:hAnsi="Arial"/>
                <w:b/>
                <w:color w:val="000000"/>
                <w:sz w:val="16"/>
                <w:szCs w:val="16"/>
              </w:rPr>
              <w:t>Performance measures</w:t>
            </w:r>
          </w:p>
        </w:tc>
        <w:tc>
          <w:tcPr>
            <w:tcW w:w="3174" w:type="dxa"/>
            <w:tcBorders>
              <w:top w:val="single" w:sz="4" w:space="0" w:color="auto"/>
              <w:left w:val="single" w:sz="4" w:space="0" w:color="auto"/>
              <w:bottom w:val="single" w:sz="4" w:space="0" w:color="auto"/>
            </w:tcBorders>
          </w:tcPr>
          <w:p w14:paraId="6978A8AA" w14:textId="77777777" w:rsidR="00EB2691" w:rsidRPr="0085401F" w:rsidRDefault="00EB2691" w:rsidP="00DF7DA0">
            <w:pPr>
              <w:tabs>
                <w:tab w:val="left" w:pos="709"/>
              </w:tabs>
              <w:spacing w:before="60" w:after="60"/>
              <w:rPr>
                <w:rFonts w:ascii="Arial" w:hAnsi="Arial"/>
                <w:b/>
                <w:color w:val="000000"/>
                <w:sz w:val="16"/>
                <w:szCs w:val="16"/>
              </w:rPr>
            </w:pPr>
            <w:r w:rsidRPr="0085401F">
              <w:rPr>
                <w:rFonts w:ascii="Arial" w:hAnsi="Arial"/>
                <w:b/>
                <w:color w:val="000000"/>
                <w:sz w:val="16"/>
                <w:szCs w:val="16"/>
              </w:rPr>
              <w:t>Expected Performance Results</w:t>
            </w:r>
          </w:p>
        </w:tc>
      </w:tr>
      <w:tr w:rsidR="0004322A" w:rsidRPr="00CD66E1" w14:paraId="18241367" w14:textId="77777777" w:rsidTr="0004322A">
        <w:tblPrEx>
          <w:shd w:val="clear" w:color="auto" w:fill="auto"/>
          <w:tblLook w:val="04A0" w:firstRow="1" w:lastRow="0" w:firstColumn="1" w:lastColumn="0" w:noHBand="0" w:noVBand="1"/>
        </w:tblPrEx>
        <w:trPr>
          <w:trHeight w:val="705"/>
        </w:trPr>
        <w:tc>
          <w:tcPr>
            <w:tcW w:w="1886" w:type="dxa"/>
            <w:vMerge w:val="restart"/>
            <w:tcBorders>
              <w:top w:val="single" w:sz="4" w:space="0" w:color="auto"/>
              <w:right w:val="single" w:sz="4" w:space="0" w:color="auto"/>
            </w:tcBorders>
            <w:shd w:val="clear" w:color="auto" w:fill="auto"/>
          </w:tcPr>
          <w:p w14:paraId="697850F4" w14:textId="77777777" w:rsidR="0004322A" w:rsidRPr="0085401F" w:rsidRDefault="0004322A" w:rsidP="00987C39">
            <w:pPr>
              <w:tabs>
                <w:tab w:val="left" w:pos="709"/>
              </w:tabs>
              <w:spacing w:before="0" w:after="0"/>
              <w:rPr>
                <w:rFonts w:ascii="Arial" w:hAnsi="Arial"/>
                <w:color w:val="000000"/>
                <w:sz w:val="16"/>
                <w:szCs w:val="16"/>
              </w:rPr>
            </w:pPr>
            <w:r w:rsidRPr="0085401F">
              <w:rPr>
                <w:rFonts w:ascii="Arial" w:hAnsi="Arial"/>
                <w:color w:val="000000"/>
                <w:sz w:val="16"/>
                <w:szCs w:val="16"/>
              </w:rPr>
              <w:t>Current Year</w:t>
            </w:r>
          </w:p>
          <w:p w14:paraId="47C67D2D" w14:textId="77777777" w:rsidR="0004322A" w:rsidRPr="0085401F" w:rsidRDefault="0004322A" w:rsidP="00987C39">
            <w:pPr>
              <w:tabs>
                <w:tab w:val="left" w:pos="709"/>
              </w:tabs>
              <w:spacing w:before="0" w:after="0"/>
              <w:rPr>
                <w:rFonts w:ascii="Arial" w:hAnsi="Arial"/>
                <w:color w:val="000000"/>
                <w:sz w:val="16"/>
                <w:szCs w:val="16"/>
              </w:rPr>
            </w:pPr>
            <w:r w:rsidRPr="0085401F">
              <w:rPr>
                <w:rFonts w:ascii="Arial" w:hAnsi="Arial"/>
                <w:color w:val="000000"/>
                <w:sz w:val="16"/>
                <w:szCs w:val="16"/>
              </w:rPr>
              <w:t>2024-25</w:t>
            </w:r>
            <w:r w:rsidR="0085401F">
              <w:rPr>
                <w:rFonts w:ascii="Arial" w:hAnsi="Arial"/>
                <w:color w:val="000000"/>
                <w:sz w:val="16"/>
                <w:szCs w:val="16"/>
              </w:rPr>
              <w:t xml:space="preserve"> </w:t>
            </w:r>
            <w:r w:rsidR="0085401F" w:rsidRPr="0085401F">
              <w:rPr>
                <w:rFonts w:ascii="Arial" w:hAnsi="Arial"/>
                <w:color w:val="000000"/>
                <w:sz w:val="16"/>
                <w:szCs w:val="16"/>
                <w:vertAlign w:val="superscript"/>
              </w:rPr>
              <w:t>[a]</w:t>
            </w:r>
          </w:p>
        </w:tc>
        <w:tc>
          <w:tcPr>
            <w:tcW w:w="3292" w:type="dxa"/>
            <w:tcBorders>
              <w:top w:val="single" w:sz="4" w:space="0" w:color="auto"/>
              <w:left w:val="single" w:sz="4" w:space="0" w:color="auto"/>
              <w:bottom w:val="dotted" w:sz="4" w:space="0" w:color="auto"/>
              <w:right w:val="single" w:sz="4" w:space="0" w:color="auto"/>
            </w:tcBorders>
          </w:tcPr>
          <w:p w14:paraId="24BD0DB4" w14:textId="67DB3F1E" w:rsidR="0004322A" w:rsidRPr="009800E8" w:rsidRDefault="009800E8" w:rsidP="0004322A">
            <w:pPr>
              <w:tabs>
                <w:tab w:val="left" w:pos="709"/>
              </w:tabs>
              <w:spacing w:before="60" w:after="60"/>
              <w:rPr>
                <w:rFonts w:ascii="Arial" w:hAnsi="Arial"/>
                <w:color w:val="000000"/>
                <w:sz w:val="16"/>
                <w:szCs w:val="16"/>
              </w:rPr>
            </w:pPr>
            <w:r w:rsidRPr="009800E8">
              <w:rPr>
                <w:rFonts w:ascii="Arial" w:hAnsi="Arial"/>
                <w:sz w:val="16"/>
                <w:szCs w:val="16"/>
                <w:lang w:val="en-AU"/>
              </w:rPr>
              <w:t>1.1: Defence maintains ready forces, plans and conducts operations, activities and investments as directed by Government to achieve Defence’s strategic objectives.</w:t>
            </w:r>
          </w:p>
        </w:tc>
        <w:tc>
          <w:tcPr>
            <w:tcW w:w="3174" w:type="dxa"/>
            <w:tcBorders>
              <w:top w:val="single" w:sz="4" w:space="0" w:color="auto"/>
              <w:left w:val="single" w:sz="4" w:space="0" w:color="auto"/>
              <w:bottom w:val="dotted" w:sz="4" w:space="0" w:color="auto"/>
            </w:tcBorders>
          </w:tcPr>
          <w:p w14:paraId="03C36A84" w14:textId="77777777" w:rsidR="0004322A" w:rsidRPr="009800E8" w:rsidRDefault="0004322A" w:rsidP="0085401F">
            <w:pPr>
              <w:tabs>
                <w:tab w:val="left" w:pos="709"/>
              </w:tabs>
              <w:spacing w:before="60" w:after="60"/>
              <w:rPr>
                <w:rFonts w:ascii="Arial" w:hAnsi="Arial"/>
                <w:sz w:val="16"/>
                <w:szCs w:val="16"/>
                <w:lang w:val="en-AU"/>
              </w:rPr>
            </w:pPr>
            <w:r w:rsidRPr="009800E8">
              <w:rPr>
                <w:rFonts w:ascii="Arial" w:hAnsi="Arial"/>
                <w:sz w:val="16"/>
                <w:szCs w:val="16"/>
                <w:lang w:val="en-AU"/>
              </w:rPr>
              <w:t xml:space="preserve">Defence responds to Australian Government requirements and conducts operations as </w:t>
            </w:r>
            <w:r w:rsidR="0085401F" w:rsidRPr="009800E8">
              <w:rPr>
                <w:rFonts w:ascii="Arial" w:hAnsi="Arial"/>
                <w:sz w:val="16"/>
                <w:szCs w:val="16"/>
                <w:lang w:val="en-AU"/>
              </w:rPr>
              <w:t xml:space="preserve">directed. This will change year </w:t>
            </w:r>
            <w:r w:rsidRPr="009800E8">
              <w:rPr>
                <w:rFonts w:ascii="Arial" w:hAnsi="Arial"/>
                <w:sz w:val="16"/>
                <w:szCs w:val="16"/>
                <w:lang w:val="en-AU"/>
              </w:rPr>
              <w:t>on</w:t>
            </w:r>
            <w:r w:rsidR="0085401F" w:rsidRPr="009800E8">
              <w:rPr>
                <w:rFonts w:ascii="Arial" w:hAnsi="Arial"/>
                <w:sz w:val="16"/>
                <w:szCs w:val="16"/>
                <w:lang w:val="en-AU"/>
              </w:rPr>
              <w:t xml:space="preserve"> </w:t>
            </w:r>
            <w:r w:rsidRPr="009800E8">
              <w:rPr>
                <w:rFonts w:ascii="Arial" w:hAnsi="Arial"/>
                <w:sz w:val="16"/>
                <w:szCs w:val="16"/>
                <w:lang w:val="en-AU"/>
              </w:rPr>
              <w:t>year.</w:t>
            </w:r>
          </w:p>
          <w:p w14:paraId="7AD9FF4C" w14:textId="610E3979" w:rsidR="0085401F" w:rsidRPr="009800E8" w:rsidRDefault="009800E8" w:rsidP="0085401F">
            <w:pPr>
              <w:tabs>
                <w:tab w:val="left" w:pos="709"/>
              </w:tabs>
              <w:spacing w:before="60" w:after="60"/>
              <w:jc w:val="right"/>
              <w:rPr>
                <w:rFonts w:ascii="Arial" w:hAnsi="Arial"/>
                <w:color w:val="000000"/>
                <w:sz w:val="16"/>
                <w:szCs w:val="16"/>
              </w:rPr>
            </w:pPr>
            <w:r w:rsidRPr="009800E8">
              <w:rPr>
                <w:rFonts w:ascii="Arial" w:hAnsi="Arial"/>
                <w:i/>
                <w:sz w:val="16"/>
                <w:szCs w:val="16"/>
                <w:lang w:val="en-AU"/>
              </w:rPr>
              <w:t>Expected to be achieved</w:t>
            </w:r>
            <w:r w:rsidR="0085401F" w:rsidRPr="009800E8">
              <w:rPr>
                <w:rFonts w:ascii="Arial" w:hAnsi="Arial"/>
                <w:i/>
                <w:sz w:val="16"/>
                <w:szCs w:val="16"/>
                <w:lang w:val="en-AU"/>
              </w:rPr>
              <w:t>.</w:t>
            </w:r>
          </w:p>
        </w:tc>
      </w:tr>
      <w:tr w:rsidR="0004322A" w:rsidRPr="00CD66E1" w14:paraId="26D3C338" w14:textId="77777777" w:rsidTr="003C0162">
        <w:tblPrEx>
          <w:shd w:val="clear" w:color="auto" w:fill="auto"/>
          <w:tblLook w:val="04A0" w:firstRow="1" w:lastRow="0" w:firstColumn="1" w:lastColumn="0" w:noHBand="0" w:noVBand="1"/>
        </w:tblPrEx>
        <w:trPr>
          <w:trHeight w:val="705"/>
        </w:trPr>
        <w:tc>
          <w:tcPr>
            <w:tcW w:w="1886" w:type="dxa"/>
            <w:vMerge/>
            <w:tcBorders>
              <w:bottom w:val="single" w:sz="4" w:space="0" w:color="auto"/>
              <w:right w:val="single" w:sz="4" w:space="0" w:color="auto"/>
            </w:tcBorders>
            <w:shd w:val="clear" w:color="auto" w:fill="auto"/>
          </w:tcPr>
          <w:p w14:paraId="3B091595" w14:textId="77777777" w:rsidR="0004322A" w:rsidRPr="0085401F" w:rsidRDefault="0004322A" w:rsidP="0004322A">
            <w:pPr>
              <w:tabs>
                <w:tab w:val="left" w:pos="709"/>
              </w:tabs>
              <w:spacing w:before="60" w:after="60"/>
              <w:rPr>
                <w:rFonts w:ascii="Arial" w:hAnsi="Arial"/>
                <w:color w:val="000000"/>
                <w:sz w:val="16"/>
                <w:szCs w:val="16"/>
              </w:rPr>
            </w:pPr>
          </w:p>
        </w:tc>
        <w:tc>
          <w:tcPr>
            <w:tcW w:w="3292" w:type="dxa"/>
            <w:tcBorders>
              <w:top w:val="dotted" w:sz="4" w:space="0" w:color="auto"/>
              <w:left w:val="single" w:sz="4" w:space="0" w:color="auto"/>
              <w:bottom w:val="single" w:sz="4" w:space="0" w:color="auto"/>
              <w:right w:val="single" w:sz="4" w:space="0" w:color="auto"/>
            </w:tcBorders>
          </w:tcPr>
          <w:p w14:paraId="668DD3B0" w14:textId="77777777" w:rsidR="0004322A" w:rsidRPr="009800E8" w:rsidRDefault="00462D9F" w:rsidP="0004322A">
            <w:pPr>
              <w:tabs>
                <w:tab w:val="left" w:pos="709"/>
              </w:tabs>
              <w:spacing w:before="60" w:after="60"/>
              <w:rPr>
                <w:rFonts w:ascii="Arial" w:hAnsi="Arial"/>
                <w:color w:val="000000"/>
                <w:sz w:val="16"/>
                <w:szCs w:val="16"/>
              </w:rPr>
            </w:pPr>
            <w:r w:rsidRPr="009800E8">
              <w:rPr>
                <w:rFonts w:ascii="Arial" w:hAnsi="Arial"/>
                <w:sz w:val="16"/>
                <w:szCs w:val="16"/>
                <w:lang w:val="en-AU"/>
              </w:rPr>
              <w:t>1.2: Defence commits ADF and/or APS assistance to domestic crisis and emergency response, as directed by Government.</w:t>
            </w:r>
          </w:p>
        </w:tc>
        <w:tc>
          <w:tcPr>
            <w:tcW w:w="3174" w:type="dxa"/>
            <w:tcBorders>
              <w:top w:val="dotted" w:sz="4" w:space="0" w:color="auto"/>
              <w:left w:val="single" w:sz="4" w:space="0" w:color="auto"/>
              <w:bottom w:val="single" w:sz="4" w:space="0" w:color="auto"/>
            </w:tcBorders>
          </w:tcPr>
          <w:p w14:paraId="69FEE99E" w14:textId="77777777" w:rsidR="0004322A" w:rsidRPr="009800E8" w:rsidRDefault="0004322A" w:rsidP="0004322A">
            <w:pPr>
              <w:tabs>
                <w:tab w:val="left" w:pos="709"/>
              </w:tabs>
              <w:spacing w:before="60" w:after="60"/>
              <w:rPr>
                <w:rFonts w:ascii="Arial" w:hAnsi="Arial"/>
                <w:sz w:val="16"/>
                <w:szCs w:val="16"/>
                <w:lang w:val="en-AU"/>
              </w:rPr>
            </w:pPr>
            <w:r w:rsidRPr="009800E8">
              <w:rPr>
                <w:rFonts w:ascii="Arial" w:hAnsi="Arial"/>
                <w:sz w:val="16"/>
                <w:szCs w:val="16"/>
                <w:lang w:val="en-AU"/>
              </w:rPr>
              <w:t xml:space="preserve">Defence responds to Australian Government direction as required. This will change </w:t>
            </w:r>
            <w:r w:rsidR="0085401F" w:rsidRPr="009800E8">
              <w:rPr>
                <w:rFonts w:ascii="Arial" w:hAnsi="Arial"/>
                <w:sz w:val="16"/>
                <w:szCs w:val="16"/>
                <w:lang w:val="en-AU"/>
              </w:rPr>
              <w:t xml:space="preserve">year on </w:t>
            </w:r>
            <w:r w:rsidRPr="009800E8">
              <w:rPr>
                <w:rFonts w:ascii="Arial" w:hAnsi="Arial"/>
                <w:sz w:val="16"/>
                <w:szCs w:val="16"/>
                <w:lang w:val="en-AU"/>
              </w:rPr>
              <w:t>year.</w:t>
            </w:r>
          </w:p>
          <w:p w14:paraId="735534B4" w14:textId="064A98EE" w:rsidR="0085401F" w:rsidRPr="009800E8" w:rsidRDefault="009800E8" w:rsidP="0085401F">
            <w:pPr>
              <w:tabs>
                <w:tab w:val="left" w:pos="709"/>
              </w:tabs>
              <w:spacing w:before="60" w:after="60"/>
              <w:jc w:val="right"/>
              <w:rPr>
                <w:rFonts w:ascii="Arial" w:hAnsi="Arial"/>
                <w:color w:val="000000"/>
                <w:sz w:val="16"/>
                <w:szCs w:val="16"/>
              </w:rPr>
            </w:pPr>
            <w:r w:rsidRPr="009800E8">
              <w:rPr>
                <w:rFonts w:ascii="Arial" w:hAnsi="Arial"/>
                <w:i/>
                <w:sz w:val="16"/>
                <w:szCs w:val="16"/>
                <w:lang w:val="en-AU"/>
              </w:rPr>
              <w:t>Expected to be achieved</w:t>
            </w:r>
            <w:r w:rsidR="0085401F" w:rsidRPr="009800E8">
              <w:rPr>
                <w:rFonts w:ascii="Arial" w:hAnsi="Arial"/>
                <w:i/>
                <w:sz w:val="16"/>
                <w:szCs w:val="16"/>
                <w:lang w:val="en-AU"/>
              </w:rPr>
              <w:t>.</w:t>
            </w:r>
          </w:p>
        </w:tc>
      </w:tr>
      <w:tr w:rsidR="0004322A" w:rsidRPr="00CD66E1" w14:paraId="36988E1C" w14:textId="77777777" w:rsidTr="003C0162">
        <w:tblPrEx>
          <w:shd w:val="clear" w:color="auto" w:fill="auto"/>
          <w:tblLook w:val="04A0" w:firstRow="1" w:lastRow="0" w:firstColumn="1" w:lastColumn="0" w:noHBand="0" w:noVBand="1"/>
        </w:tblPrEx>
        <w:trPr>
          <w:trHeight w:val="100"/>
        </w:trPr>
        <w:tc>
          <w:tcPr>
            <w:tcW w:w="1886" w:type="dxa"/>
            <w:tcBorders>
              <w:top w:val="single" w:sz="4" w:space="0" w:color="auto"/>
              <w:bottom w:val="single" w:sz="4" w:space="0" w:color="auto"/>
              <w:right w:val="single" w:sz="4" w:space="0" w:color="auto"/>
            </w:tcBorders>
            <w:shd w:val="clear" w:color="auto" w:fill="auto"/>
          </w:tcPr>
          <w:p w14:paraId="24F50F7D" w14:textId="77777777" w:rsidR="0004322A" w:rsidRPr="0085401F" w:rsidRDefault="0004322A" w:rsidP="0004322A">
            <w:pPr>
              <w:tabs>
                <w:tab w:val="left" w:pos="709"/>
              </w:tabs>
              <w:spacing w:before="60" w:after="60"/>
              <w:rPr>
                <w:rFonts w:ascii="Arial" w:hAnsi="Arial"/>
                <w:color w:val="000000"/>
                <w:sz w:val="16"/>
                <w:szCs w:val="16"/>
              </w:rPr>
            </w:pPr>
            <w:r w:rsidRPr="0085401F">
              <w:rPr>
                <w:rFonts w:ascii="Arial" w:hAnsi="Arial"/>
                <w:b/>
                <w:color w:val="000000"/>
                <w:sz w:val="16"/>
                <w:szCs w:val="16"/>
              </w:rPr>
              <w:t>Year</w:t>
            </w:r>
          </w:p>
        </w:tc>
        <w:tc>
          <w:tcPr>
            <w:tcW w:w="3292" w:type="dxa"/>
            <w:tcBorders>
              <w:top w:val="single" w:sz="4" w:space="0" w:color="auto"/>
              <w:left w:val="single" w:sz="4" w:space="0" w:color="auto"/>
              <w:bottom w:val="single" w:sz="4" w:space="0" w:color="auto"/>
              <w:right w:val="single" w:sz="4" w:space="0" w:color="auto"/>
            </w:tcBorders>
          </w:tcPr>
          <w:p w14:paraId="68600793" w14:textId="77777777" w:rsidR="0004322A" w:rsidRPr="009800E8" w:rsidRDefault="0004322A" w:rsidP="0004322A">
            <w:pPr>
              <w:tabs>
                <w:tab w:val="left" w:pos="709"/>
              </w:tabs>
              <w:spacing w:before="60" w:after="60"/>
              <w:rPr>
                <w:rFonts w:ascii="Arial" w:hAnsi="Arial"/>
                <w:color w:val="000000"/>
              </w:rPr>
            </w:pPr>
            <w:r w:rsidRPr="009800E8">
              <w:rPr>
                <w:rFonts w:ascii="Arial" w:hAnsi="Arial"/>
                <w:b/>
                <w:color w:val="000000"/>
                <w:sz w:val="16"/>
                <w:szCs w:val="16"/>
              </w:rPr>
              <w:t>Performance measures</w:t>
            </w:r>
          </w:p>
        </w:tc>
        <w:tc>
          <w:tcPr>
            <w:tcW w:w="3174" w:type="dxa"/>
            <w:tcBorders>
              <w:top w:val="single" w:sz="4" w:space="0" w:color="auto"/>
              <w:left w:val="single" w:sz="4" w:space="0" w:color="auto"/>
              <w:bottom w:val="single" w:sz="4" w:space="0" w:color="auto"/>
            </w:tcBorders>
          </w:tcPr>
          <w:p w14:paraId="470F7216" w14:textId="77777777" w:rsidR="0004322A" w:rsidRPr="009800E8" w:rsidRDefault="0004322A" w:rsidP="0004322A">
            <w:pPr>
              <w:tabs>
                <w:tab w:val="left" w:pos="709"/>
              </w:tabs>
              <w:spacing w:before="60" w:after="60"/>
              <w:rPr>
                <w:rFonts w:ascii="Arial" w:hAnsi="Arial"/>
                <w:i/>
                <w:color w:val="000000"/>
                <w:sz w:val="16"/>
                <w:szCs w:val="16"/>
              </w:rPr>
            </w:pPr>
            <w:r w:rsidRPr="009800E8">
              <w:rPr>
                <w:rFonts w:ascii="Arial" w:hAnsi="Arial"/>
                <w:b/>
                <w:color w:val="000000"/>
                <w:sz w:val="16"/>
                <w:szCs w:val="16"/>
              </w:rPr>
              <w:t>Planned Performance Results</w:t>
            </w:r>
          </w:p>
        </w:tc>
      </w:tr>
      <w:tr w:rsidR="0004322A" w:rsidRPr="00CD66E1" w14:paraId="48CF8659" w14:textId="77777777" w:rsidTr="00AF285C">
        <w:tblPrEx>
          <w:shd w:val="clear" w:color="auto" w:fill="auto"/>
          <w:tblLook w:val="04A0" w:firstRow="1" w:lastRow="0" w:firstColumn="1" w:lastColumn="0" w:noHBand="0" w:noVBand="1"/>
        </w:tblPrEx>
        <w:trPr>
          <w:trHeight w:val="305"/>
        </w:trPr>
        <w:tc>
          <w:tcPr>
            <w:tcW w:w="1886" w:type="dxa"/>
            <w:vMerge w:val="restart"/>
            <w:tcBorders>
              <w:top w:val="single" w:sz="4" w:space="0" w:color="auto"/>
              <w:right w:val="single" w:sz="4" w:space="0" w:color="auto"/>
            </w:tcBorders>
            <w:shd w:val="clear" w:color="auto" w:fill="auto"/>
          </w:tcPr>
          <w:p w14:paraId="15909307" w14:textId="77777777" w:rsidR="0004322A" w:rsidRPr="0085401F" w:rsidRDefault="0004322A" w:rsidP="00987C39">
            <w:pPr>
              <w:tabs>
                <w:tab w:val="left" w:pos="709"/>
              </w:tabs>
              <w:spacing w:before="0" w:after="0"/>
              <w:rPr>
                <w:rFonts w:ascii="Arial" w:hAnsi="Arial"/>
                <w:color w:val="000000"/>
                <w:sz w:val="16"/>
                <w:szCs w:val="16"/>
              </w:rPr>
            </w:pPr>
            <w:r w:rsidRPr="0085401F">
              <w:rPr>
                <w:rFonts w:ascii="Arial" w:hAnsi="Arial"/>
                <w:color w:val="000000"/>
                <w:sz w:val="16"/>
                <w:szCs w:val="16"/>
              </w:rPr>
              <w:t>Budget Year</w:t>
            </w:r>
          </w:p>
          <w:p w14:paraId="666538A0" w14:textId="77777777" w:rsidR="0004322A" w:rsidRPr="0085401F" w:rsidRDefault="0004322A" w:rsidP="00987C39">
            <w:pPr>
              <w:tabs>
                <w:tab w:val="left" w:pos="709"/>
              </w:tabs>
              <w:spacing w:before="0" w:after="0"/>
              <w:rPr>
                <w:rFonts w:ascii="Arial" w:hAnsi="Arial"/>
                <w:color w:val="000000"/>
                <w:sz w:val="16"/>
                <w:szCs w:val="16"/>
              </w:rPr>
            </w:pPr>
            <w:r w:rsidRPr="0085401F">
              <w:rPr>
                <w:rFonts w:ascii="Arial" w:hAnsi="Arial"/>
                <w:color w:val="000000"/>
                <w:sz w:val="16"/>
                <w:szCs w:val="16"/>
              </w:rPr>
              <w:t>2025-26</w:t>
            </w:r>
            <w:r w:rsidR="0085401F">
              <w:rPr>
                <w:rFonts w:ascii="Arial" w:hAnsi="Arial"/>
                <w:color w:val="000000"/>
                <w:sz w:val="16"/>
                <w:szCs w:val="16"/>
              </w:rPr>
              <w:t xml:space="preserve"> </w:t>
            </w:r>
            <w:r w:rsidR="0085401F" w:rsidRPr="0085401F">
              <w:rPr>
                <w:rFonts w:ascii="Arial" w:hAnsi="Arial"/>
                <w:color w:val="000000"/>
                <w:sz w:val="16"/>
                <w:szCs w:val="16"/>
                <w:vertAlign w:val="superscript"/>
              </w:rPr>
              <w:t>[b]</w:t>
            </w:r>
          </w:p>
        </w:tc>
        <w:tc>
          <w:tcPr>
            <w:tcW w:w="3292" w:type="dxa"/>
            <w:tcBorders>
              <w:top w:val="single" w:sz="4" w:space="0" w:color="auto"/>
              <w:left w:val="single" w:sz="4" w:space="0" w:color="auto"/>
              <w:bottom w:val="dotted" w:sz="4" w:space="0" w:color="auto"/>
              <w:right w:val="single" w:sz="4" w:space="0" w:color="auto"/>
            </w:tcBorders>
            <w:shd w:val="clear" w:color="auto" w:fill="auto"/>
          </w:tcPr>
          <w:p w14:paraId="543A3E19" w14:textId="78A40609" w:rsidR="0004322A" w:rsidRPr="009800E8" w:rsidRDefault="009800E8" w:rsidP="0085401F">
            <w:pPr>
              <w:tabs>
                <w:tab w:val="left" w:pos="709"/>
              </w:tabs>
              <w:spacing w:before="60" w:after="60"/>
              <w:rPr>
                <w:rFonts w:ascii="Arial" w:hAnsi="Arial"/>
                <w:color w:val="000000"/>
                <w:sz w:val="16"/>
                <w:szCs w:val="16"/>
              </w:rPr>
            </w:pPr>
            <w:r w:rsidRPr="009800E8">
              <w:rPr>
                <w:rFonts w:ascii="Arial" w:hAnsi="Arial"/>
                <w:sz w:val="16"/>
                <w:szCs w:val="16"/>
                <w:lang w:val="en-AU"/>
              </w:rPr>
              <w:t>1.1: Defence maintains ready forces, plans and conducts operations, activities and investments as directed by Government to achieve Defence’s strategic objectives.</w:t>
            </w:r>
          </w:p>
        </w:tc>
        <w:tc>
          <w:tcPr>
            <w:tcW w:w="3174" w:type="dxa"/>
            <w:tcBorders>
              <w:top w:val="single" w:sz="4" w:space="0" w:color="auto"/>
              <w:left w:val="single" w:sz="4" w:space="0" w:color="auto"/>
              <w:bottom w:val="dotted" w:sz="4" w:space="0" w:color="auto"/>
            </w:tcBorders>
            <w:shd w:val="clear" w:color="auto" w:fill="auto"/>
          </w:tcPr>
          <w:p w14:paraId="596D151B" w14:textId="77777777" w:rsidR="0004322A" w:rsidRPr="009800E8" w:rsidRDefault="00094602" w:rsidP="0004322A">
            <w:pPr>
              <w:tabs>
                <w:tab w:val="left" w:pos="709"/>
              </w:tabs>
              <w:spacing w:before="60" w:after="60"/>
              <w:rPr>
                <w:rFonts w:ascii="Arial" w:hAnsi="Arial"/>
                <w:color w:val="000000"/>
                <w:sz w:val="16"/>
                <w:szCs w:val="16"/>
              </w:rPr>
            </w:pPr>
            <w:r w:rsidRPr="009800E8">
              <w:rPr>
                <w:rFonts w:ascii="Arial" w:hAnsi="Arial"/>
                <w:sz w:val="16"/>
                <w:szCs w:val="16"/>
                <w:lang w:val="en-AU"/>
              </w:rPr>
              <w:t>Defence responds to Australian Government requirements and conducts operations as directed. This will change year on year.</w:t>
            </w:r>
          </w:p>
        </w:tc>
      </w:tr>
      <w:tr w:rsidR="0004322A" w:rsidRPr="00CD66E1" w14:paraId="2E2AA8BF" w14:textId="77777777" w:rsidTr="0004322A">
        <w:tblPrEx>
          <w:shd w:val="clear" w:color="auto" w:fill="auto"/>
          <w:tblLook w:val="04A0" w:firstRow="1" w:lastRow="0" w:firstColumn="1" w:lastColumn="0" w:noHBand="0" w:noVBand="1"/>
        </w:tblPrEx>
        <w:trPr>
          <w:trHeight w:val="305"/>
        </w:trPr>
        <w:tc>
          <w:tcPr>
            <w:tcW w:w="1886" w:type="dxa"/>
            <w:vMerge/>
            <w:tcBorders>
              <w:bottom w:val="single" w:sz="4" w:space="0" w:color="auto"/>
              <w:right w:val="single" w:sz="4" w:space="0" w:color="auto"/>
            </w:tcBorders>
            <w:shd w:val="clear" w:color="auto" w:fill="auto"/>
          </w:tcPr>
          <w:p w14:paraId="5C61E07E" w14:textId="77777777" w:rsidR="0004322A" w:rsidRPr="0085401F" w:rsidRDefault="0004322A" w:rsidP="0004322A">
            <w:pPr>
              <w:tabs>
                <w:tab w:val="left" w:pos="709"/>
              </w:tabs>
              <w:spacing w:before="60" w:after="60"/>
              <w:rPr>
                <w:rFonts w:ascii="Arial" w:hAnsi="Arial"/>
                <w:color w:val="000000"/>
                <w:sz w:val="16"/>
                <w:szCs w:val="16"/>
              </w:rPr>
            </w:pPr>
          </w:p>
        </w:tc>
        <w:tc>
          <w:tcPr>
            <w:tcW w:w="3292" w:type="dxa"/>
            <w:tcBorders>
              <w:top w:val="dotted" w:sz="4" w:space="0" w:color="auto"/>
              <w:left w:val="single" w:sz="4" w:space="0" w:color="auto"/>
              <w:bottom w:val="single" w:sz="4" w:space="0" w:color="auto"/>
              <w:right w:val="single" w:sz="4" w:space="0" w:color="auto"/>
            </w:tcBorders>
            <w:shd w:val="clear" w:color="auto" w:fill="auto"/>
          </w:tcPr>
          <w:p w14:paraId="31EE2BA6" w14:textId="77777777" w:rsidR="0004322A" w:rsidRPr="0085401F" w:rsidRDefault="0085401F" w:rsidP="0004322A">
            <w:pPr>
              <w:tabs>
                <w:tab w:val="left" w:pos="709"/>
              </w:tabs>
              <w:spacing w:before="60" w:after="60"/>
              <w:rPr>
                <w:rFonts w:ascii="Arial" w:hAnsi="Arial"/>
                <w:color w:val="000000"/>
                <w:sz w:val="16"/>
                <w:szCs w:val="16"/>
              </w:rPr>
            </w:pPr>
            <w:r w:rsidRPr="00E81FAD">
              <w:rPr>
                <w:rFonts w:ascii="Arial" w:hAnsi="Arial"/>
                <w:sz w:val="16"/>
                <w:szCs w:val="16"/>
                <w:lang w:val="en-AU"/>
              </w:rPr>
              <w:t>1.2: Defence commits ADF and/or APS assistance to domestic crisis and emergency response, as directed by Government.</w:t>
            </w:r>
          </w:p>
        </w:tc>
        <w:tc>
          <w:tcPr>
            <w:tcW w:w="3174" w:type="dxa"/>
            <w:tcBorders>
              <w:top w:val="dotted" w:sz="4" w:space="0" w:color="auto"/>
              <w:left w:val="single" w:sz="4" w:space="0" w:color="auto"/>
              <w:bottom w:val="single" w:sz="4" w:space="0" w:color="auto"/>
            </w:tcBorders>
            <w:shd w:val="clear" w:color="auto" w:fill="auto"/>
          </w:tcPr>
          <w:p w14:paraId="190D4C09" w14:textId="77777777" w:rsidR="0004322A" w:rsidRPr="0085401F" w:rsidRDefault="00094602" w:rsidP="0004322A">
            <w:pPr>
              <w:tabs>
                <w:tab w:val="left" w:pos="709"/>
              </w:tabs>
              <w:spacing w:before="60" w:after="60"/>
              <w:rPr>
                <w:rFonts w:ascii="Arial" w:hAnsi="Arial"/>
                <w:color w:val="000000"/>
                <w:sz w:val="16"/>
                <w:szCs w:val="16"/>
              </w:rPr>
            </w:pPr>
            <w:r w:rsidRPr="00585660">
              <w:rPr>
                <w:rFonts w:ascii="Arial" w:hAnsi="Arial"/>
                <w:sz w:val="16"/>
                <w:szCs w:val="16"/>
                <w:lang w:val="en-AU"/>
              </w:rPr>
              <w:t xml:space="preserve">Defence responds to Australian Government direction as </w:t>
            </w:r>
            <w:r>
              <w:rPr>
                <w:rFonts w:ascii="Arial" w:hAnsi="Arial"/>
                <w:sz w:val="16"/>
                <w:szCs w:val="16"/>
                <w:lang w:val="en-AU"/>
              </w:rPr>
              <w:t xml:space="preserve">required. This will change year </w:t>
            </w:r>
            <w:r w:rsidRPr="00585660">
              <w:rPr>
                <w:rFonts w:ascii="Arial" w:hAnsi="Arial"/>
                <w:sz w:val="16"/>
                <w:szCs w:val="16"/>
                <w:lang w:val="en-AU"/>
              </w:rPr>
              <w:t>on</w:t>
            </w:r>
            <w:r>
              <w:rPr>
                <w:rFonts w:ascii="Arial" w:hAnsi="Arial"/>
                <w:sz w:val="16"/>
                <w:szCs w:val="16"/>
                <w:lang w:val="en-AU"/>
              </w:rPr>
              <w:t xml:space="preserve"> </w:t>
            </w:r>
            <w:r w:rsidRPr="00585660">
              <w:rPr>
                <w:rFonts w:ascii="Arial" w:hAnsi="Arial"/>
                <w:sz w:val="16"/>
                <w:szCs w:val="16"/>
                <w:lang w:val="en-AU"/>
              </w:rPr>
              <w:t>year</w:t>
            </w:r>
            <w:r>
              <w:rPr>
                <w:rFonts w:ascii="Arial" w:hAnsi="Arial"/>
                <w:sz w:val="16"/>
                <w:szCs w:val="16"/>
                <w:lang w:val="en-AU"/>
              </w:rPr>
              <w:t>.</w:t>
            </w:r>
          </w:p>
        </w:tc>
      </w:tr>
      <w:tr w:rsidR="0004322A" w:rsidRPr="00CD66E1" w14:paraId="1F9871D5" w14:textId="77777777" w:rsidTr="0004322A">
        <w:tblPrEx>
          <w:shd w:val="clear" w:color="auto" w:fill="auto"/>
          <w:tblLook w:val="04A0" w:firstRow="1" w:lastRow="0" w:firstColumn="1" w:lastColumn="0" w:noHBand="0" w:noVBand="1"/>
        </w:tblPrEx>
        <w:trPr>
          <w:trHeight w:val="491"/>
        </w:trPr>
        <w:tc>
          <w:tcPr>
            <w:tcW w:w="1886" w:type="dxa"/>
            <w:tcBorders>
              <w:top w:val="single" w:sz="4" w:space="0" w:color="auto"/>
              <w:bottom w:val="single" w:sz="4" w:space="0" w:color="auto"/>
              <w:right w:val="single" w:sz="4" w:space="0" w:color="auto"/>
            </w:tcBorders>
            <w:shd w:val="clear" w:color="auto" w:fill="auto"/>
          </w:tcPr>
          <w:p w14:paraId="3598790F" w14:textId="77777777" w:rsidR="0004322A" w:rsidRPr="0085401F" w:rsidRDefault="0004322A" w:rsidP="00987C39">
            <w:pPr>
              <w:tabs>
                <w:tab w:val="left" w:pos="709"/>
              </w:tabs>
              <w:spacing w:before="0" w:after="0"/>
              <w:rPr>
                <w:rFonts w:ascii="Arial" w:hAnsi="Arial"/>
                <w:color w:val="000000"/>
                <w:sz w:val="16"/>
                <w:szCs w:val="16"/>
              </w:rPr>
            </w:pPr>
            <w:r w:rsidRPr="0085401F">
              <w:rPr>
                <w:rFonts w:ascii="Arial" w:hAnsi="Arial"/>
                <w:color w:val="000000"/>
                <w:sz w:val="16"/>
                <w:szCs w:val="16"/>
              </w:rPr>
              <w:t>Forward Estimates</w:t>
            </w:r>
          </w:p>
          <w:p w14:paraId="35690DD7" w14:textId="77777777" w:rsidR="0004322A" w:rsidRPr="0085401F" w:rsidRDefault="0004322A" w:rsidP="00987C39">
            <w:pPr>
              <w:tabs>
                <w:tab w:val="left" w:pos="709"/>
              </w:tabs>
              <w:spacing w:before="0" w:after="0"/>
              <w:rPr>
                <w:rFonts w:ascii="Arial" w:hAnsi="Arial"/>
                <w:b/>
                <w:color w:val="000000"/>
                <w:sz w:val="16"/>
                <w:szCs w:val="16"/>
              </w:rPr>
            </w:pPr>
            <w:r w:rsidRPr="0085401F">
              <w:rPr>
                <w:rFonts w:ascii="Arial" w:hAnsi="Arial"/>
                <w:color w:val="000000"/>
                <w:sz w:val="16"/>
                <w:szCs w:val="16"/>
              </w:rPr>
              <w:t>2026-29</w:t>
            </w:r>
          </w:p>
        </w:tc>
        <w:tc>
          <w:tcPr>
            <w:tcW w:w="3292" w:type="dxa"/>
            <w:tcBorders>
              <w:top w:val="single" w:sz="4" w:space="0" w:color="auto"/>
              <w:left w:val="single" w:sz="4" w:space="0" w:color="auto"/>
              <w:bottom w:val="single" w:sz="4" w:space="0" w:color="auto"/>
              <w:right w:val="single" w:sz="4" w:space="0" w:color="auto"/>
            </w:tcBorders>
          </w:tcPr>
          <w:p w14:paraId="1A44BF55" w14:textId="77777777" w:rsidR="0004322A" w:rsidRPr="0085401F" w:rsidRDefault="0004322A" w:rsidP="0085401F">
            <w:pPr>
              <w:tabs>
                <w:tab w:val="left" w:pos="709"/>
              </w:tabs>
              <w:spacing w:before="60" w:after="60"/>
              <w:rPr>
                <w:rFonts w:ascii="Arial" w:hAnsi="Arial"/>
                <w:b/>
                <w:color w:val="000000"/>
                <w:sz w:val="16"/>
                <w:szCs w:val="16"/>
              </w:rPr>
            </w:pPr>
            <w:r w:rsidRPr="0085401F">
              <w:rPr>
                <w:rFonts w:ascii="Arial" w:hAnsi="Arial"/>
                <w:color w:val="000000"/>
                <w:sz w:val="16"/>
                <w:szCs w:val="16"/>
              </w:rPr>
              <w:t>As per 202</w:t>
            </w:r>
            <w:r w:rsidR="0085401F">
              <w:rPr>
                <w:rFonts w:ascii="Arial" w:hAnsi="Arial"/>
                <w:color w:val="000000"/>
                <w:sz w:val="16"/>
                <w:szCs w:val="16"/>
              </w:rPr>
              <w:t>5</w:t>
            </w:r>
            <w:r w:rsidRPr="0085401F">
              <w:rPr>
                <w:rFonts w:ascii="Arial" w:hAnsi="Arial"/>
                <w:color w:val="000000"/>
                <w:sz w:val="16"/>
                <w:szCs w:val="16"/>
              </w:rPr>
              <w:t>-2</w:t>
            </w:r>
            <w:r w:rsidR="0085401F">
              <w:rPr>
                <w:rFonts w:ascii="Arial" w:hAnsi="Arial"/>
                <w:color w:val="000000"/>
                <w:sz w:val="16"/>
                <w:szCs w:val="16"/>
              </w:rPr>
              <w:t>6</w:t>
            </w:r>
            <w:r w:rsidRPr="0085401F">
              <w:rPr>
                <w:rFonts w:ascii="Arial" w:hAnsi="Arial"/>
                <w:color w:val="000000"/>
                <w:sz w:val="16"/>
                <w:szCs w:val="16"/>
              </w:rPr>
              <w:t>.</w:t>
            </w:r>
          </w:p>
        </w:tc>
        <w:tc>
          <w:tcPr>
            <w:tcW w:w="3174" w:type="dxa"/>
            <w:tcBorders>
              <w:top w:val="single" w:sz="4" w:space="0" w:color="auto"/>
              <w:left w:val="single" w:sz="4" w:space="0" w:color="auto"/>
              <w:bottom w:val="single" w:sz="4" w:space="0" w:color="auto"/>
            </w:tcBorders>
          </w:tcPr>
          <w:p w14:paraId="5A6CEBA1" w14:textId="77777777" w:rsidR="0004322A" w:rsidRPr="0085401F" w:rsidRDefault="0004322A" w:rsidP="0085401F">
            <w:pPr>
              <w:tabs>
                <w:tab w:val="left" w:pos="709"/>
              </w:tabs>
              <w:spacing w:before="60" w:after="60"/>
              <w:rPr>
                <w:rFonts w:ascii="Arial" w:hAnsi="Arial"/>
                <w:b/>
                <w:color w:val="000000"/>
                <w:sz w:val="16"/>
                <w:szCs w:val="16"/>
              </w:rPr>
            </w:pPr>
            <w:r w:rsidRPr="0085401F">
              <w:rPr>
                <w:rFonts w:ascii="Arial" w:hAnsi="Arial"/>
                <w:color w:val="000000"/>
                <w:sz w:val="16"/>
                <w:szCs w:val="16"/>
              </w:rPr>
              <w:t>A</w:t>
            </w:r>
            <w:r w:rsidR="0085401F">
              <w:rPr>
                <w:rFonts w:ascii="Arial" w:hAnsi="Arial"/>
                <w:color w:val="000000"/>
                <w:sz w:val="16"/>
                <w:szCs w:val="16"/>
              </w:rPr>
              <w:t>s per 2025</w:t>
            </w:r>
            <w:r w:rsidRPr="0085401F">
              <w:rPr>
                <w:rFonts w:ascii="Arial" w:hAnsi="Arial"/>
                <w:color w:val="000000"/>
                <w:sz w:val="16"/>
                <w:szCs w:val="16"/>
              </w:rPr>
              <w:t>-2</w:t>
            </w:r>
            <w:r w:rsidR="0085401F">
              <w:rPr>
                <w:rFonts w:ascii="Arial" w:hAnsi="Arial"/>
                <w:color w:val="000000"/>
                <w:sz w:val="16"/>
                <w:szCs w:val="16"/>
              </w:rPr>
              <w:t>6</w:t>
            </w:r>
            <w:r w:rsidRPr="0085401F">
              <w:rPr>
                <w:rFonts w:ascii="Arial" w:hAnsi="Arial"/>
                <w:color w:val="000000"/>
                <w:sz w:val="16"/>
                <w:szCs w:val="16"/>
              </w:rPr>
              <w:t>.</w:t>
            </w:r>
          </w:p>
        </w:tc>
      </w:tr>
      <w:tr w:rsidR="0004322A" w:rsidRPr="00CD66E1" w14:paraId="4402F613" w14:textId="77777777" w:rsidTr="0004322A">
        <w:tblPrEx>
          <w:shd w:val="clear" w:color="auto" w:fill="auto"/>
          <w:tblLook w:val="04A0" w:firstRow="1" w:lastRow="0" w:firstColumn="1" w:lastColumn="0" w:noHBand="0" w:noVBand="1"/>
        </w:tblPrEx>
        <w:trPr>
          <w:trHeight w:val="291"/>
        </w:trPr>
        <w:tc>
          <w:tcPr>
            <w:tcW w:w="8352" w:type="dxa"/>
            <w:gridSpan w:val="3"/>
            <w:tcBorders>
              <w:top w:val="single" w:sz="4" w:space="0" w:color="auto"/>
            </w:tcBorders>
          </w:tcPr>
          <w:p w14:paraId="3653B2E6" w14:textId="763171F1" w:rsidR="0004322A" w:rsidRPr="0085401F" w:rsidRDefault="0004322A" w:rsidP="00E364DF">
            <w:pPr>
              <w:tabs>
                <w:tab w:val="left" w:pos="709"/>
              </w:tabs>
              <w:spacing w:before="60" w:after="60"/>
              <w:rPr>
                <w:rFonts w:ascii="Arial" w:eastAsia="Cambria" w:hAnsi="Arial"/>
                <w:bCs/>
                <w:iCs/>
                <w:color w:val="000000"/>
                <w:spacing w:val="-6"/>
                <w:sz w:val="16"/>
                <w:szCs w:val="16"/>
                <w:lang w:val="x-none"/>
              </w:rPr>
            </w:pPr>
            <w:r w:rsidRPr="0085401F">
              <w:rPr>
                <w:rFonts w:ascii="Arial" w:hAnsi="Arial"/>
                <w:color w:val="000000"/>
                <w:sz w:val="16"/>
                <w:szCs w:val="16"/>
              </w:rPr>
              <w:t>Material changes to Program 1.2 resulting from 202</w:t>
            </w:r>
            <w:r w:rsidR="00E364DF">
              <w:rPr>
                <w:rFonts w:ascii="Arial" w:hAnsi="Arial"/>
                <w:color w:val="000000"/>
                <w:sz w:val="16"/>
                <w:szCs w:val="16"/>
              </w:rPr>
              <w:t>5</w:t>
            </w:r>
            <w:r w:rsidRPr="0085401F">
              <w:rPr>
                <w:rFonts w:ascii="Arial" w:hAnsi="Arial"/>
                <w:color w:val="000000"/>
                <w:sz w:val="16"/>
                <w:szCs w:val="16"/>
              </w:rPr>
              <w:t>-2</w:t>
            </w:r>
            <w:r w:rsidR="00E364DF">
              <w:rPr>
                <w:rFonts w:ascii="Arial" w:hAnsi="Arial"/>
                <w:color w:val="000000"/>
                <w:sz w:val="16"/>
                <w:szCs w:val="16"/>
              </w:rPr>
              <w:t>6</w:t>
            </w:r>
            <w:r w:rsidRPr="0085401F">
              <w:rPr>
                <w:rFonts w:ascii="Arial" w:hAnsi="Arial"/>
                <w:color w:val="000000"/>
                <w:sz w:val="16"/>
                <w:szCs w:val="16"/>
              </w:rPr>
              <w:t xml:space="preserve"> Budget Measures:</w:t>
            </w:r>
            <w:r w:rsidRPr="0085401F">
              <w:rPr>
                <w:rStyle w:val="BodyTextChar"/>
                <w:rFonts w:ascii="Arial" w:hAnsi="Arial"/>
                <w:bCs/>
                <w:iCs/>
                <w:color w:val="000000"/>
                <w:spacing w:val="-6"/>
                <w:sz w:val="16"/>
                <w:szCs w:val="16"/>
              </w:rPr>
              <w:t xml:space="preserve"> Nil.</w:t>
            </w:r>
          </w:p>
        </w:tc>
      </w:tr>
    </w:tbl>
    <w:p w14:paraId="40A70C8C" w14:textId="77777777" w:rsidR="00EB2691" w:rsidRPr="00CD66E1" w:rsidRDefault="00EB2691" w:rsidP="00656D60">
      <w:pPr>
        <w:pStyle w:val="TableHeading"/>
        <w:spacing w:before="0" w:after="0"/>
        <w:rPr>
          <w:sz w:val="16"/>
          <w:szCs w:val="16"/>
          <w:highlight w:val="yellow"/>
        </w:rPr>
      </w:pPr>
    </w:p>
    <w:p w14:paraId="639921F0" w14:textId="77777777" w:rsidR="006130F5" w:rsidRPr="00094602" w:rsidRDefault="006130F5" w:rsidP="00656D60">
      <w:pPr>
        <w:pStyle w:val="TableHeading"/>
        <w:spacing w:before="0" w:after="0"/>
        <w:rPr>
          <w:sz w:val="14"/>
          <w:szCs w:val="14"/>
        </w:rPr>
      </w:pPr>
      <w:r w:rsidRPr="00094602">
        <w:rPr>
          <w:sz w:val="14"/>
          <w:szCs w:val="14"/>
        </w:rPr>
        <w:t>Note</w:t>
      </w:r>
      <w:r w:rsidR="00094602">
        <w:rPr>
          <w:sz w:val="14"/>
          <w:szCs w:val="14"/>
        </w:rPr>
        <w:t>s</w:t>
      </w:r>
    </w:p>
    <w:p w14:paraId="4901D308" w14:textId="6AD67E4D" w:rsidR="009737EB" w:rsidRPr="009800E8" w:rsidRDefault="00094602" w:rsidP="00444A89">
      <w:pPr>
        <w:pStyle w:val="TableHeading"/>
        <w:numPr>
          <w:ilvl w:val="0"/>
          <w:numId w:val="51"/>
        </w:numPr>
        <w:tabs>
          <w:tab w:val="left" w:pos="284"/>
        </w:tabs>
        <w:spacing w:before="0" w:after="0"/>
        <w:ind w:left="284" w:hanging="284"/>
        <w:rPr>
          <w:b w:val="0"/>
          <w:sz w:val="14"/>
          <w:szCs w:val="14"/>
          <w:lang w:val="en-AU"/>
        </w:rPr>
      </w:pPr>
      <w:r w:rsidRPr="00CF461C">
        <w:rPr>
          <w:b w:val="0"/>
          <w:sz w:val="14"/>
          <w:szCs w:val="14"/>
        </w:rPr>
        <w:tab/>
      </w:r>
      <w:r w:rsidRPr="00CF461C">
        <w:rPr>
          <w:b w:val="0"/>
          <w:sz w:val="14"/>
          <w:szCs w:val="14"/>
          <w:lang w:val="en-AU"/>
        </w:rPr>
        <w:tab/>
        <w:t>Performance Measure 1.2 has been amended for 2024-25</w:t>
      </w:r>
      <w:r>
        <w:rPr>
          <w:b w:val="0"/>
          <w:sz w:val="14"/>
          <w:szCs w:val="14"/>
          <w:lang w:val="en-AU"/>
        </w:rPr>
        <w:t>,</w:t>
      </w:r>
      <w:r w:rsidRPr="00CF461C">
        <w:rPr>
          <w:b w:val="0"/>
          <w:sz w:val="14"/>
          <w:szCs w:val="14"/>
          <w:lang w:val="en-AU"/>
        </w:rPr>
        <w:t xml:space="preserve"> as published in the updated </w:t>
      </w:r>
      <w:r w:rsidRPr="001D1335">
        <w:rPr>
          <w:b w:val="0"/>
          <w:sz w:val="14"/>
          <w:szCs w:val="14"/>
          <w:lang w:val="en-AU"/>
        </w:rPr>
        <w:t>2024-28 Defence Corporate Plan</w:t>
      </w:r>
      <w:r w:rsidR="00FE6E78">
        <w:rPr>
          <w:b w:val="0"/>
          <w:sz w:val="14"/>
          <w:szCs w:val="14"/>
          <w:lang w:val="en-AU"/>
        </w:rPr>
        <w:t xml:space="preserve"> </w:t>
      </w:r>
      <w:r w:rsidRPr="00CF461C">
        <w:rPr>
          <w:b w:val="0"/>
          <w:sz w:val="14"/>
          <w:szCs w:val="14"/>
          <w:lang w:val="en-AU"/>
        </w:rPr>
        <w:t>in</w:t>
      </w:r>
      <w:r w:rsidR="00FE6E78">
        <w:rPr>
          <w:b w:val="0"/>
          <w:sz w:val="14"/>
          <w:szCs w:val="14"/>
          <w:lang w:val="en-AU"/>
        </w:rPr>
        <w:t xml:space="preserve"> </w:t>
      </w:r>
      <w:r w:rsidRPr="00CF461C">
        <w:rPr>
          <w:b w:val="0"/>
          <w:sz w:val="14"/>
          <w:szCs w:val="14"/>
          <w:lang w:val="en-AU"/>
        </w:rPr>
        <w:t>March</w:t>
      </w:r>
      <w:r w:rsidR="00FE6E78">
        <w:rPr>
          <w:b w:val="0"/>
          <w:sz w:val="14"/>
          <w:szCs w:val="14"/>
          <w:lang w:val="en-AU"/>
        </w:rPr>
        <w:t> </w:t>
      </w:r>
      <w:r w:rsidRPr="009800E8">
        <w:rPr>
          <w:b w:val="0"/>
          <w:sz w:val="14"/>
          <w:szCs w:val="14"/>
          <w:lang w:val="en-AU"/>
        </w:rPr>
        <w:t xml:space="preserve">2025. </w:t>
      </w:r>
    </w:p>
    <w:p w14:paraId="456AA855" w14:textId="779B4D1A" w:rsidR="009737EB" w:rsidRPr="009800E8" w:rsidRDefault="009800E8" w:rsidP="00444A89">
      <w:pPr>
        <w:pStyle w:val="TableHeading"/>
        <w:numPr>
          <w:ilvl w:val="0"/>
          <w:numId w:val="51"/>
        </w:numPr>
        <w:tabs>
          <w:tab w:val="left" w:pos="284"/>
        </w:tabs>
        <w:spacing w:before="0" w:after="0"/>
        <w:ind w:left="284" w:hanging="284"/>
        <w:rPr>
          <w:b w:val="0"/>
          <w:sz w:val="14"/>
          <w:szCs w:val="14"/>
        </w:rPr>
      </w:pPr>
      <w:r w:rsidRPr="009800E8">
        <w:rPr>
          <w:b w:val="0"/>
          <w:sz w:val="14"/>
          <w:szCs w:val="14"/>
        </w:rPr>
        <w:t>In accordance with Defence’s Enterprise Performance Framework, Defence is undertaking materiality assessments that may result in updates to the</w:t>
      </w:r>
      <w:r w:rsidR="00736330">
        <w:rPr>
          <w:b w:val="0"/>
          <w:sz w:val="14"/>
          <w:szCs w:val="14"/>
        </w:rPr>
        <w:t xml:space="preserve"> 2025-26 performance information </w:t>
      </w:r>
      <w:r w:rsidRPr="009800E8">
        <w:rPr>
          <w:b w:val="0"/>
          <w:sz w:val="14"/>
          <w:szCs w:val="14"/>
        </w:rPr>
        <w:t>in the 2025-29 Defence Corporate Plan, if required.</w:t>
      </w:r>
    </w:p>
    <w:p w14:paraId="74064F26" w14:textId="77777777" w:rsidR="00650411" w:rsidRPr="00B56FAA" w:rsidRDefault="00650411" w:rsidP="009022CA">
      <w:pPr>
        <w:spacing w:before="0" w:after="0"/>
        <w:rPr>
          <w:lang w:val="en-AU"/>
        </w:rPr>
      </w:pPr>
      <w:r w:rsidRPr="00B56FAA">
        <w:rPr>
          <w:lang w:val="en-AU"/>
        </w:rPr>
        <w:br w:type="page"/>
      </w:r>
    </w:p>
    <w:p w14:paraId="31175A25" w14:textId="77777777" w:rsidR="0071273C" w:rsidRPr="009C6E28" w:rsidRDefault="00726161" w:rsidP="00D9100A">
      <w:pPr>
        <w:pStyle w:val="TableHeading"/>
        <w:numPr>
          <w:ilvl w:val="0"/>
          <w:numId w:val="29"/>
        </w:numPr>
        <w:tabs>
          <w:tab w:val="left" w:pos="284"/>
        </w:tabs>
        <w:spacing w:before="0" w:after="120"/>
        <w:ind w:left="0" w:firstLine="0"/>
        <w:outlineLvl w:val="6"/>
      </w:pPr>
      <w:r w:rsidRPr="00B56FAA">
        <w:rPr>
          <w:b w:val="0"/>
          <w:sz w:val="16"/>
          <w:szCs w:val="16"/>
        </w:rPr>
        <w:lastRenderedPageBreak/>
        <w:tab/>
      </w:r>
      <w:r w:rsidR="0071273C" w:rsidRPr="009C6E28">
        <w:t>Cost Summary for Program 1.2 Operations Supporting Wider Interests</w:t>
      </w:r>
    </w:p>
    <w:p w14:paraId="67EA024C" w14:textId="44E920DC" w:rsidR="00055F34" w:rsidRPr="00B56FAA" w:rsidRDefault="00E4134C" w:rsidP="00656D60">
      <w:pPr>
        <w:spacing w:before="0" w:after="0"/>
      </w:pPr>
      <w:r w:rsidRPr="00E4134C">
        <w:rPr>
          <w:noProof/>
          <w:lang w:val="en-AU"/>
        </w:rPr>
        <w:drawing>
          <wp:inline distT="0" distB="0" distL="0" distR="0" wp14:anchorId="6013159A" wp14:editId="25074B8B">
            <wp:extent cx="5471795" cy="3368475"/>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71795" cy="3368475"/>
                    </a:xfrm>
                    <a:prstGeom prst="rect">
                      <a:avLst/>
                    </a:prstGeom>
                    <a:noFill/>
                    <a:ln>
                      <a:noFill/>
                    </a:ln>
                  </pic:spPr>
                </pic:pic>
              </a:graphicData>
            </a:graphic>
          </wp:inline>
        </w:drawing>
      </w:r>
    </w:p>
    <w:p w14:paraId="17671B0B" w14:textId="77777777" w:rsidR="00656D60" w:rsidRPr="00B56FAA" w:rsidRDefault="00656D60" w:rsidP="00656D60">
      <w:pPr>
        <w:spacing w:before="0" w:after="0"/>
        <w:rPr>
          <w:rFonts w:ascii="Arial" w:hAnsi="Arial"/>
          <w:b/>
          <w:sz w:val="14"/>
          <w:szCs w:val="14"/>
        </w:rPr>
      </w:pPr>
    </w:p>
    <w:p w14:paraId="69852B04" w14:textId="77777777" w:rsidR="00344B37" w:rsidRPr="00CA7E64" w:rsidRDefault="009C6E28" w:rsidP="0011085B">
      <w:pPr>
        <w:tabs>
          <w:tab w:val="left" w:pos="284"/>
        </w:tabs>
        <w:spacing w:before="0" w:after="0"/>
        <w:ind w:left="284" w:hanging="284"/>
        <w:rPr>
          <w:rFonts w:ascii="Arial" w:hAnsi="Arial"/>
          <w:b/>
          <w:sz w:val="14"/>
          <w:szCs w:val="14"/>
        </w:rPr>
      </w:pPr>
      <w:r w:rsidRPr="00CA7E64">
        <w:rPr>
          <w:rFonts w:ascii="Arial" w:hAnsi="Arial"/>
          <w:b/>
          <w:sz w:val="14"/>
          <w:szCs w:val="14"/>
        </w:rPr>
        <w:t>Note</w:t>
      </w:r>
    </w:p>
    <w:p w14:paraId="34D0373C" w14:textId="05C218B7" w:rsidR="009C6E28" w:rsidRPr="00B56FAA" w:rsidRDefault="009C6E28" w:rsidP="0011085B">
      <w:pPr>
        <w:tabs>
          <w:tab w:val="left" w:pos="284"/>
        </w:tabs>
        <w:spacing w:before="0" w:after="0"/>
        <w:ind w:left="284" w:hanging="284"/>
        <w:rPr>
          <w:rFonts w:ascii="Arial" w:hAnsi="Arial"/>
          <w:sz w:val="14"/>
          <w:szCs w:val="14"/>
        </w:rPr>
      </w:pPr>
      <w:r w:rsidRPr="009C6E28">
        <w:rPr>
          <w:rFonts w:ascii="Arial" w:hAnsi="Arial"/>
          <w:sz w:val="14"/>
          <w:szCs w:val="14"/>
        </w:rPr>
        <w:t xml:space="preserve">a. </w:t>
      </w:r>
      <w:r w:rsidR="00F63AEF">
        <w:rPr>
          <w:rFonts w:ascii="Arial" w:hAnsi="Arial"/>
          <w:sz w:val="14"/>
          <w:szCs w:val="14"/>
        </w:rPr>
        <w:tab/>
      </w:r>
      <w:r w:rsidR="00F63AEF" w:rsidRPr="00F63AEF">
        <w:rPr>
          <w:rFonts w:ascii="Arial" w:hAnsi="Arial"/>
          <w:sz w:val="14"/>
          <w:szCs w:val="14"/>
        </w:rPr>
        <w:t>Total Program funded expenditure includes operating expenses and capital expenditure funded by appropriation and own source revenue. This excludes expenses not requiring appropriation.</w:t>
      </w:r>
      <w:r w:rsidR="00F63AEF" w:rsidRPr="00F63AEF">
        <w:rPr>
          <w:rFonts w:ascii="Arial" w:hAnsi="Arial"/>
          <w:sz w:val="14"/>
          <w:szCs w:val="14"/>
        </w:rPr>
        <w:tab/>
      </w:r>
      <w:r w:rsidR="00F63AEF" w:rsidRPr="00F63AEF">
        <w:rPr>
          <w:rFonts w:ascii="Arial" w:hAnsi="Arial"/>
          <w:sz w:val="14"/>
          <w:szCs w:val="14"/>
        </w:rPr>
        <w:tab/>
      </w:r>
      <w:r w:rsidR="00F63AEF" w:rsidRPr="00F63AEF">
        <w:rPr>
          <w:rFonts w:ascii="Arial" w:hAnsi="Arial"/>
          <w:sz w:val="14"/>
          <w:szCs w:val="14"/>
        </w:rPr>
        <w:tab/>
      </w:r>
      <w:r w:rsidR="00F63AEF" w:rsidRPr="00F63AEF">
        <w:rPr>
          <w:rFonts w:ascii="Arial" w:hAnsi="Arial"/>
          <w:sz w:val="14"/>
          <w:szCs w:val="14"/>
        </w:rPr>
        <w:tab/>
      </w:r>
      <w:r w:rsidR="00F63AEF" w:rsidRPr="00F63AEF">
        <w:rPr>
          <w:rFonts w:ascii="Arial" w:hAnsi="Arial"/>
          <w:sz w:val="14"/>
          <w:szCs w:val="14"/>
        </w:rPr>
        <w:tab/>
      </w:r>
      <w:r>
        <w:rPr>
          <w:rFonts w:ascii="Arial" w:hAnsi="Arial"/>
          <w:sz w:val="14"/>
          <w:szCs w:val="14"/>
        </w:rPr>
        <w:tab/>
      </w:r>
      <w:r w:rsidR="0083712F">
        <w:rPr>
          <w:rFonts w:ascii="Arial" w:hAnsi="Arial"/>
          <w:sz w:val="14"/>
          <w:szCs w:val="14"/>
        </w:rPr>
        <w:tab/>
      </w:r>
      <w:r w:rsidR="0083712F">
        <w:rPr>
          <w:rFonts w:ascii="Arial" w:hAnsi="Arial"/>
          <w:sz w:val="14"/>
          <w:szCs w:val="14"/>
        </w:rPr>
        <w:tab/>
      </w:r>
      <w:r w:rsidR="0083712F">
        <w:rPr>
          <w:rFonts w:ascii="Arial" w:hAnsi="Arial"/>
          <w:sz w:val="14"/>
          <w:szCs w:val="14"/>
        </w:rPr>
        <w:tab/>
      </w:r>
      <w:r w:rsidRPr="009C6E28">
        <w:rPr>
          <w:rFonts w:ascii="Arial" w:hAnsi="Arial"/>
          <w:sz w:val="14"/>
          <w:szCs w:val="14"/>
        </w:rPr>
        <w:tab/>
      </w:r>
      <w:r w:rsidRPr="009C6E28">
        <w:rPr>
          <w:rFonts w:ascii="Arial" w:hAnsi="Arial"/>
          <w:sz w:val="14"/>
          <w:szCs w:val="14"/>
        </w:rPr>
        <w:tab/>
      </w:r>
      <w:r w:rsidRPr="009C6E28">
        <w:rPr>
          <w:rFonts w:ascii="Arial" w:hAnsi="Arial"/>
          <w:sz w:val="14"/>
          <w:szCs w:val="14"/>
        </w:rPr>
        <w:tab/>
      </w:r>
      <w:r w:rsidRPr="009C6E28">
        <w:rPr>
          <w:rFonts w:ascii="Arial" w:hAnsi="Arial"/>
          <w:sz w:val="14"/>
          <w:szCs w:val="14"/>
        </w:rPr>
        <w:tab/>
      </w:r>
      <w:r w:rsidRPr="009C6E28">
        <w:rPr>
          <w:rFonts w:ascii="Arial" w:hAnsi="Arial"/>
          <w:sz w:val="14"/>
          <w:szCs w:val="14"/>
        </w:rPr>
        <w:tab/>
      </w:r>
    </w:p>
    <w:p w14:paraId="32E3B929" w14:textId="77777777" w:rsidR="0071273C" w:rsidRPr="00B56FAA" w:rsidRDefault="0071273C" w:rsidP="00656D60">
      <w:pPr>
        <w:spacing w:before="0" w:after="0"/>
      </w:pPr>
    </w:p>
    <w:p w14:paraId="654334DB" w14:textId="77777777" w:rsidR="00055F34" w:rsidRPr="00B56FAA" w:rsidRDefault="00055F34" w:rsidP="007563DC">
      <w:pPr>
        <w:sectPr w:rsidR="00055F34" w:rsidRPr="00B56FAA" w:rsidSect="00C30BE6">
          <w:pgSz w:w="11906" w:h="16838" w:code="9"/>
          <w:pgMar w:top="1701" w:right="1361" w:bottom="1701" w:left="1928" w:header="720" w:footer="720" w:gutter="0"/>
          <w:cols w:space="720"/>
        </w:sectPr>
      </w:pPr>
    </w:p>
    <w:p w14:paraId="5E4FA307" w14:textId="77777777" w:rsidR="00055F34" w:rsidRPr="00B56FAA" w:rsidRDefault="009218A1" w:rsidP="009218A1">
      <w:pPr>
        <w:spacing w:before="0" w:after="0"/>
        <w:outlineLvl w:val="5"/>
        <w:rPr>
          <w:color w:val="FFFFFF"/>
          <w:sz w:val="2"/>
        </w:rPr>
      </w:pPr>
      <w:r w:rsidRPr="00B56FAA">
        <w:rPr>
          <w:color w:val="FFFFFF"/>
          <w:sz w:val="2"/>
        </w:rPr>
        <w:lastRenderedPageBreak/>
        <w:t>Program</w:t>
      </w:r>
      <w:r w:rsidR="00055F34" w:rsidRPr="00B56FAA">
        <w:rPr>
          <w:color w:val="FFFFFF"/>
          <w:sz w:val="2"/>
        </w:rPr>
        <w:t xml:space="preserve"> 1.3 Defence Contribution to National Support Tasks in Australia</w:t>
      </w:r>
    </w:p>
    <w:tbl>
      <w:tblPr>
        <w:tblW w:w="4852"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886"/>
        <w:gridCol w:w="3292"/>
        <w:gridCol w:w="3174"/>
      </w:tblGrid>
      <w:tr w:rsidR="00EB2691" w:rsidRPr="00B56FAA" w14:paraId="7654D14F" w14:textId="77777777" w:rsidTr="0004322A">
        <w:tc>
          <w:tcPr>
            <w:tcW w:w="8352" w:type="dxa"/>
            <w:gridSpan w:val="3"/>
            <w:tcBorders>
              <w:bottom w:val="single" w:sz="4" w:space="0" w:color="auto"/>
            </w:tcBorders>
            <w:shd w:val="clear" w:color="auto" w:fill="CCCCCC"/>
          </w:tcPr>
          <w:p w14:paraId="302E2BD8" w14:textId="77777777" w:rsidR="00EB2691" w:rsidRPr="00B56FAA" w:rsidRDefault="00EB2691" w:rsidP="00DF7DA0">
            <w:pPr>
              <w:pStyle w:val="Heading5"/>
              <w:spacing w:before="60" w:after="60"/>
              <w:rPr>
                <w:lang w:val="en-AU"/>
              </w:rPr>
            </w:pPr>
            <w:r w:rsidRPr="00B56FAA">
              <w:rPr>
                <w:rFonts w:ascii="Book Antiqua" w:hAnsi="Book Antiqua"/>
                <w:b w:val="0"/>
                <w:bCs w:val="0"/>
                <w:iCs w:val="0"/>
                <w:szCs w:val="24"/>
              </w:rPr>
              <w:br w:type="page"/>
            </w:r>
            <w:r w:rsidRPr="00B56FAA">
              <w:rPr>
                <w:lang w:val="en-AU"/>
              </w:rPr>
              <w:t>Program 1.3 Defence Contribution to National Support Tasks in Australia</w:t>
            </w:r>
          </w:p>
        </w:tc>
      </w:tr>
      <w:tr w:rsidR="00433482" w:rsidRPr="00B56FAA" w14:paraId="1A56D5CD" w14:textId="77777777" w:rsidTr="0004322A">
        <w:trPr>
          <w:trHeight w:val="170"/>
        </w:trPr>
        <w:tc>
          <w:tcPr>
            <w:tcW w:w="8352" w:type="dxa"/>
            <w:gridSpan w:val="3"/>
            <w:tcBorders>
              <w:left w:val="nil"/>
              <w:bottom w:val="single" w:sz="4" w:space="0" w:color="auto"/>
              <w:right w:val="nil"/>
            </w:tcBorders>
            <w:shd w:val="clear" w:color="auto" w:fill="auto"/>
          </w:tcPr>
          <w:p w14:paraId="2EEECDB8" w14:textId="77777777" w:rsidR="00433482" w:rsidRPr="00B56FAA" w:rsidRDefault="00433482" w:rsidP="00433482">
            <w:pPr>
              <w:pStyle w:val="Heading5"/>
              <w:spacing w:before="0" w:after="0"/>
              <w:rPr>
                <w:b w:val="0"/>
                <w:bCs w:val="0"/>
                <w:iCs w:val="0"/>
                <w:sz w:val="16"/>
                <w:szCs w:val="16"/>
              </w:rPr>
            </w:pPr>
          </w:p>
        </w:tc>
      </w:tr>
      <w:tr w:rsidR="00EB2691" w:rsidRPr="00CD66E1" w14:paraId="0FDCE158" w14:textId="77777777" w:rsidTr="0004322A">
        <w:tblPrEx>
          <w:shd w:val="clear" w:color="auto" w:fill="auto"/>
          <w:tblLook w:val="04A0" w:firstRow="1" w:lastRow="0" w:firstColumn="1" w:lastColumn="0" w:noHBand="0" w:noVBand="1"/>
        </w:tblPrEx>
        <w:trPr>
          <w:tblHeader/>
        </w:trPr>
        <w:tc>
          <w:tcPr>
            <w:tcW w:w="8352" w:type="dxa"/>
            <w:gridSpan w:val="3"/>
            <w:shd w:val="clear" w:color="auto" w:fill="E6E6E6"/>
          </w:tcPr>
          <w:p w14:paraId="1054D7AB" w14:textId="77777777" w:rsidR="00EB2691" w:rsidRPr="00094602" w:rsidRDefault="00EB2691" w:rsidP="00DF7DA0">
            <w:pPr>
              <w:tabs>
                <w:tab w:val="left" w:pos="709"/>
              </w:tabs>
              <w:spacing w:before="60" w:after="60"/>
              <w:rPr>
                <w:rFonts w:ascii="Arial" w:hAnsi="Arial"/>
                <w:sz w:val="16"/>
                <w:szCs w:val="16"/>
              </w:rPr>
            </w:pPr>
            <w:r w:rsidRPr="00094602">
              <w:rPr>
                <w:rFonts w:ascii="Arial" w:hAnsi="Arial"/>
                <w:b/>
                <w:sz w:val="16"/>
                <w:szCs w:val="16"/>
              </w:rPr>
              <w:t>Program 1.3</w:t>
            </w:r>
            <w:r w:rsidRPr="00094602">
              <w:rPr>
                <w:rFonts w:ascii="Arial" w:hAnsi="Arial"/>
                <w:sz w:val="16"/>
                <w:szCs w:val="16"/>
              </w:rPr>
              <w:t xml:space="preserve"> </w:t>
            </w:r>
            <w:r w:rsidRPr="00094602">
              <w:rPr>
                <w:rFonts w:ascii="Arial" w:hAnsi="Arial"/>
                <w:b/>
                <w:sz w:val="16"/>
                <w:szCs w:val="16"/>
              </w:rPr>
              <w:t>Objective</w:t>
            </w:r>
          </w:p>
          <w:p w14:paraId="21E26575" w14:textId="77777777" w:rsidR="00835531" w:rsidRPr="00094602" w:rsidRDefault="00835531" w:rsidP="00835531">
            <w:pPr>
              <w:spacing w:before="60" w:after="60"/>
              <w:rPr>
                <w:rFonts w:ascii="Arial" w:eastAsia="MS Mincho" w:hAnsi="Arial"/>
                <w:sz w:val="16"/>
                <w:szCs w:val="16"/>
                <w:lang w:val="en-AU" w:eastAsia="ja-JP"/>
              </w:rPr>
            </w:pPr>
            <w:r w:rsidRPr="00094602">
              <w:rPr>
                <w:rFonts w:ascii="Arial" w:eastAsia="MS Mincho" w:hAnsi="Arial"/>
                <w:sz w:val="16"/>
                <w:szCs w:val="16"/>
                <w:lang w:val="en-AU" w:eastAsia="ja-JP"/>
              </w:rPr>
              <w:t>To undertake tasks that include: planning and conduct of operations to provide security of the Australian coastline from unauthorised maritime arrivals, smuggling, quarantine evasion and other intrusions to Australian sovereignty; counter-terrorism responses; search and rescue; humanitarian assistance and disaster relief. Defence contributes to the Department of Home Affairs civil surveillance program and Maritime Border Command tasking, providing maritime surveillance assets that are tasked routinely in accordance with the Government's direction.</w:t>
            </w:r>
          </w:p>
          <w:p w14:paraId="055B0509" w14:textId="77777777" w:rsidR="00EB2691" w:rsidRPr="00094602" w:rsidRDefault="00835531" w:rsidP="00B979D3">
            <w:pPr>
              <w:tabs>
                <w:tab w:val="left" w:pos="709"/>
              </w:tabs>
              <w:spacing w:before="60" w:after="60"/>
              <w:rPr>
                <w:rFonts w:ascii="Arial" w:hAnsi="Arial"/>
                <w:sz w:val="16"/>
                <w:szCs w:val="16"/>
              </w:rPr>
            </w:pPr>
            <w:r w:rsidRPr="00094602">
              <w:rPr>
                <w:rFonts w:ascii="Arial" w:eastAsia="MS Mincho" w:hAnsi="Arial"/>
                <w:sz w:val="16"/>
                <w:szCs w:val="16"/>
                <w:lang w:val="en-AU" w:eastAsia="ja-JP"/>
              </w:rPr>
              <w:t>Defence, through the Defence Assistance to the Civil Community program, supports the Commonwealth and state/territory governments with emergency and non-emergency tasks, as well as supporting events of national significance as requested by relevant authorities and the general public.</w:t>
            </w:r>
          </w:p>
        </w:tc>
      </w:tr>
      <w:tr w:rsidR="00EB2691" w:rsidRPr="00CD66E1" w14:paraId="09AC0E57" w14:textId="77777777" w:rsidTr="003C0162">
        <w:tblPrEx>
          <w:shd w:val="clear" w:color="auto" w:fill="auto"/>
          <w:tblLook w:val="04A0" w:firstRow="1" w:lastRow="0" w:firstColumn="1" w:lastColumn="0" w:noHBand="0" w:noVBand="1"/>
        </w:tblPrEx>
        <w:trPr>
          <w:trHeight w:val="312"/>
        </w:trPr>
        <w:tc>
          <w:tcPr>
            <w:tcW w:w="1886" w:type="dxa"/>
            <w:tcBorders>
              <w:bottom w:val="single" w:sz="4" w:space="0" w:color="auto"/>
            </w:tcBorders>
          </w:tcPr>
          <w:p w14:paraId="27BDB3DA" w14:textId="77777777" w:rsidR="00EB2691" w:rsidRPr="00094602" w:rsidRDefault="00495811" w:rsidP="00495811">
            <w:pPr>
              <w:tabs>
                <w:tab w:val="left" w:pos="709"/>
              </w:tabs>
              <w:spacing w:before="60" w:after="60"/>
              <w:rPr>
                <w:rFonts w:ascii="Arial" w:hAnsi="Arial"/>
                <w:b/>
                <w:color w:val="000000"/>
                <w:sz w:val="16"/>
                <w:szCs w:val="16"/>
              </w:rPr>
            </w:pPr>
            <w:r>
              <w:rPr>
                <w:rFonts w:ascii="Arial" w:hAnsi="Arial"/>
                <w:b/>
                <w:color w:val="000000"/>
                <w:sz w:val="16"/>
                <w:szCs w:val="16"/>
              </w:rPr>
              <w:t>Key Activity</w:t>
            </w:r>
          </w:p>
        </w:tc>
        <w:tc>
          <w:tcPr>
            <w:tcW w:w="6466" w:type="dxa"/>
            <w:gridSpan w:val="2"/>
            <w:tcBorders>
              <w:bottom w:val="single" w:sz="4" w:space="0" w:color="auto"/>
            </w:tcBorders>
          </w:tcPr>
          <w:p w14:paraId="33A98597" w14:textId="77777777" w:rsidR="00B260C3" w:rsidRPr="00094602" w:rsidRDefault="00B260C3" w:rsidP="00B260C3">
            <w:pPr>
              <w:tabs>
                <w:tab w:val="left" w:pos="343"/>
              </w:tabs>
              <w:spacing w:before="60" w:after="60"/>
              <w:rPr>
                <w:rFonts w:ascii="Arial" w:hAnsi="Arial"/>
                <w:bCs/>
                <w:color w:val="000000"/>
                <w:sz w:val="16"/>
                <w:szCs w:val="16"/>
              </w:rPr>
            </w:pPr>
            <w:r w:rsidRPr="00094602">
              <w:rPr>
                <w:rFonts w:ascii="Arial" w:hAnsi="Arial"/>
                <w:bCs/>
                <w:color w:val="000000"/>
                <w:sz w:val="16"/>
                <w:szCs w:val="16"/>
              </w:rPr>
              <w:t>This program will be achieved through the following activity:</w:t>
            </w:r>
          </w:p>
          <w:p w14:paraId="0976D211" w14:textId="28B21EC3" w:rsidR="00B260C3" w:rsidRPr="00094602" w:rsidRDefault="00B260C3" w:rsidP="00B260C3">
            <w:pPr>
              <w:tabs>
                <w:tab w:val="left" w:pos="709"/>
              </w:tabs>
              <w:spacing w:before="60" w:after="60"/>
              <w:rPr>
                <w:rFonts w:ascii="Arial" w:hAnsi="Arial"/>
                <w:b/>
                <w:color w:val="000000"/>
                <w:sz w:val="16"/>
                <w:szCs w:val="16"/>
              </w:rPr>
            </w:pPr>
            <w:r w:rsidRPr="00094602">
              <w:rPr>
                <w:rFonts w:ascii="Arial" w:hAnsi="Arial"/>
                <w:b/>
                <w:color w:val="000000"/>
                <w:sz w:val="16"/>
                <w:szCs w:val="16"/>
              </w:rPr>
              <w:t>1. Conduct operations and deployments to defend Australia</w:t>
            </w:r>
            <w:r w:rsidR="007E792A">
              <w:rPr>
                <w:rFonts w:ascii="Arial" w:hAnsi="Arial"/>
                <w:b/>
                <w:color w:val="000000"/>
                <w:sz w:val="16"/>
                <w:szCs w:val="16"/>
              </w:rPr>
              <w:t xml:space="preserve"> and its</w:t>
            </w:r>
            <w:r w:rsidRPr="00094602">
              <w:rPr>
                <w:rFonts w:ascii="Arial" w:hAnsi="Arial"/>
                <w:b/>
                <w:color w:val="000000"/>
                <w:sz w:val="16"/>
                <w:szCs w:val="16"/>
              </w:rPr>
              <w:t xml:space="preserve"> national interests.</w:t>
            </w:r>
          </w:p>
          <w:p w14:paraId="2E659258" w14:textId="77777777" w:rsidR="00EB2691" w:rsidRPr="00094602" w:rsidRDefault="00835531" w:rsidP="00B260C3">
            <w:pPr>
              <w:tabs>
                <w:tab w:val="left" w:pos="709"/>
              </w:tabs>
              <w:spacing w:before="60" w:after="60"/>
              <w:rPr>
                <w:rFonts w:ascii="Arial" w:hAnsi="Arial"/>
                <w:i/>
                <w:color w:val="000000"/>
                <w:sz w:val="16"/>
                <w:szCs w:val="16"/>
              </w:rPr>
            </w:pPr>
            <w:r w:rsidRPr="00094602">
              <w:rPr>
                <w:rFonts w:ascii="Arial" w:hAnsi="Arial"/>
                <w:color w:val="000000"/>
                <w:sz w:val="16"/>
                <w:szCs w:val="16"/>
                <w:lang w:val="en-AU"/>
              </w:rPr>
              <w:t>Defence conducts operations and deployments both within Australia and overseas, in accordance with direction from the Government. When required, Defence responds with military force to defend Australia and its national interests. Defence also works in close collaboration with our international partners</w:t>
            </w:r>
            <w:r w:rsidR="0053283F" w:rsidRPr="00094602">
              <w:rPr>
                <w:rFonts w:ascii="Arial" w:hAnsi="Arial"/>
                <w:color w:val="000000"/>
                <w:sz w:val="16"/>
                <w:szCs w:val="16"/>
                <w:lang w:val="en-AU"/>
              </w:rPr>
              <w:t xml:space="preserve"> </w:t>
            </w:r>
            <w:r w:rsidRPr="00094602">
              <w:rPr>
                <w:rFonts w:ascii="Arial" w:hAnsi="Arial"/>
                <w:color w:val="000000"/>
                <w:sz w:val="16"/>
                <w:szCs w:val="16"/>
                <w:lang w:val="en-AU"/>
              </w:rPr>
              <w:t>and federal, state and territory governments to support our response to crises and disasters at home and abroad.</w:t>
            </w:r>
          </w:p>
        </w:tc>
      </w:tr>
      <w:tr w:rsidR="00EB2691" w:rsidRPr="00CD66E1" w14:paraId="274B59C2" w14:textId="77777777" w:rsidTr="003C0162">
        <w:tblPrEx>
          <w:shd w:val="clear" w:color="auto" w:fill="auto"/>
          <w:tblLook w:val="04A0" w:firstRow="1" w:lastRow="0" w:firstColumn="1" w:lastColumn="0" w:noHBand="0" w:noVBand="1"/>
        </w:tblPrEx>
        <w:trPr>
          <w:trHeight w:val="258"/>
        </w:trPr>
        <w:tc>
          <w:tcPr>
            <w:tcW w:w="1886" w:type="dxa"/>
            <w:tcBorders>
              <w:top w:val="single" w:sz="4" w:space="0" w:color="auto"/>
              <w:bottom w:val="single" w:sz="4" w:space="0" w:color="auto"/>
              <w:right w:val="single" w:sz="4" w:space="0" w:color="auto"/>
            </w:tcBorders>
          </w:tcPr>
          <w:p w14:paraId="28AEE750" w14:textId="77777777" w:rsidR="00EB2691" w:rsidRPr="00094602" w:rsidRDefault="00EB2691" w:rsidP="00DF7DA0">
            <w:pPr>
              <w:tabs>
                <w:tab w:val="left" w:pos="709"/>
              </w:tabs>
              <w:spacing w:before="60" w:after="60"/>
              <w:rPr>
                <w:rFonts w:ascii="Arial" w:hAnsi="Arial"/>
                <w:b/>
                <w:color w:val="000000"/>
                <w:sz w:val="16"/>
                <w:szCs w:val="16"/>
              </w:rPr>
            </w:pPr>
            <w:r w:rsidRPr="00094602">
              <w:rPr>
                <w:rFonts w:ascii="Arial" w:hAnsi="Arial"/>
                <w:b/>
                <w:color w:val="000000"/>
                <w:sz w:val="16"/>
                <w:szCs w:val="16"/>
              </w:rPr>
              <w:t>Year</w:t>
            </w:r>
          </w:p>
        </w:tc>
        <w:tc>
          <w:tcPr>
            <w:tcW w:w="3292" w:type="dxa"/>
            <w:tcBorders>
              <w:top w:val="single" w:sz="4" w:space="0" w:color="auto"/>
              <w:left w:val="single" w:sz="4" w:space="0" w:color="auto"/>
              <w:bottom w:val="single" w:sz="4" w:space="0" w:color="auto"/>
              <w:right w:val="single" w:sz="4" w:space="0" w:color="auto"/>
            </w:tcBorders>
          </w:tcPr>
          <w:p w14:paraId="58ECBB62" w14:textId="77777777" w:rsidR="00EB2691" w:rsidRPr="00094602" w:rsidRDefault="00EB2691" w:rsidP="00DF7DA0">
            <w:pPr>
              <w:tabs>
                <w:tab w:val="left" w:pos="709"/>
                <w:tab w:val="center" w:pos="1818"/>
              </w:tabs>
              <w:spacing w:before="60" w:after="60"/>
              <w:rPr>
                <w:rFonts w:ascii="Arial" w:hAnsi="Arial"/>
                <w:b/>
                <w:color w:val="000000"/>
                <w:sz w:val="16"/>
                <w:szCs w:val="16"/>
              </w:rPr>
            </w:pPr>
            <w:r w:rsidRPr="00094602">
              <w:rPr>
                <w:rFonts w:ascii="Arial" w:hAnsi="Arial"/>
                <w:b/>
                <w:color w:val="000000"/>
                <w:sz w:val="16"/>
                <w:szCs w:val="16"/>
              </w:rPr>
              <w:t>Performance measures</w:t>
            </w:r>
          </w:p>
        </w:tc>
        <w:tc>
          <w:tcPr>
            <w:tcW w:w="3174" w:type="dxa"/>
            <w:tcBorders>
              <w:top w:val="single" w:sz="4" w:space="0" w:color="auto"/>
              <w:left w:val="single" w:sz="4" w:space="0" w:color="auto"/>
              <w:bottom w:val="single" w:sz="4" w:space="0" w:color="auto"/>
            </w:tcBorders>
          </w:tcPr>
          <w:p w14:paraId="0CDD77D8" w14:textId="77777777" w:rsidR="00EB2691" w:rsidRPr="00094602" w:rsidRDefault="00EB2691" w:rsidP="00DF7DA0">
            <w:pPr>
              <w:tabs>
                <w:tab w:val="left" w:pos="709"/>
              </w:tabs>
              <w:spacing w:before="60" w:after="60"/>
              <w:rPr>
                <w:rFonts w:ascii="Arial" w:hAnsi="Arial"/>
                <w:b/>
                <w:color w:val="000000"/>
                <w:sz w:val="16"/>
                <w:szCs w:val="16"/>
              </w:rPr>
            </w:pPr>
            <w:r w:rsidRPr="00094602">
              <w:rPr>
                <w:rFonts w:ascii="Arial" w:hAnsi="Arial"/>
                <w:b/>
                <w:color w:val="000000"/>
                <w:sz w:val="16"/>
                <w:szCs w:val="16"/>
              </w:rPr>
              <w:t>Expected Performance Results</w:t>
            </w:r>
          </w:p>
        </w:tc>
      </w:tr>
      <w:tr w:rsidR="0004322A" w:rsidRPr="00CD66E1" w14:paraId="3948864B" w14:textId="77777777" w:rsidTr="0004322A">
        <w:tblPrEx>
          <w:shd w:val="clear" w:color="auto" w:fill="auto"/>
          <w:tblLook w:val="04A0" w:firstRow="1" w:lastRow="0" w:firstColumn="1" w:lastColumn="0" w:noHBand="0" w:noVBand="1"/>
        </w:tblPrEx>
        <w:trPr>
          <w:trHeight w:val="705"/>
        </w:trPr>
        <w:tc>
          <w:tcPr>
            <w:tcW w:w="1886" w:type="dxa"/>
            <w:vMerge w:val="restart"/>
            <w:tcBorders>
              <w:top w:val="single" w:sz="4" w:space="0" w:color="auto"/>
              <w:right w:val="single" w:sz="4" w:space="0" w:color="auto"/>
            </w:tcBorders>
          </w:tcPr>
          <w:p w14:paraId="10BF3B79" w14:textId="77777777" w:rsidR="0004322A" w:rsidRPr="00094602" w:rsidRDefault="0004322A" w:rsidP="00987C39">
            <w:pPr>
              <w:tabs>
                <w:tab w:val="left" w:pos="709"/>
              </w:tabs>
              <w:spacing w:before="0" w:after="0"/>
              <w:rPr>
                <w:rFonts w:ascii="Arial" w:hAnsi="Arial"/>
                <w:color w:val="000000"/>
                <w:sz w:val="16"/>
                <w:szCs w:val="16"/>
              </w:rPr>
            </w:pPr>
            <w:r w:rsidRPr="00094602">
              <w:rPr>
                <w:rFonts w:ascii="Arial" w:hAnsi="Arial"/>
                <w:color w:val="000000"/>
                <w:sz w:val="16"/>
                <w:szCs w:val="16"/>
              </w:rPr>
              <w:t>Current Year</w:t>
            </w:r>
          </w:p>
          <w:p w14:paraId="13595C30" w14:textId="77777777" w:rsidR="0004322A" w:rsidRPr="00094602" w:rsidRDefault="0004322A" w:rsidP="00987C39">
            <w:pPr>
              <w:tabs>
                <w:tab w:val="left" w:pos="709"/>
              </w:tabs>
              <w:spacing w:before="0" w:after="0"/>
              <w:rPr>
                <w:rFonts w:ascii="Arial" w:hAnsi="Arial"/>
                <w:color w:val="000000"/>
                <w:sz w:val="16"/>
                <w:szCs w:val="16"/>
              </w:rPr>
            </w:pPr>
            <w:r w:rsidRPr="00094602">
              <w:rPr>
                <w:rFonts w:ascii="Arial" w:hAnsi="Arial"/>
                <w:color w:val="000000"/>
                <w:sz w:val="16"/>
                <w:szCs w:val="16"/>
              </w:rPr>
              <w:t>2024-25</w:t>
            </w:r>
            <w:r w:rsidR="00094602">
              <w:rPr>
                <w:rFonts w:ascii="Arial" w:hAnsi="Arial"/>
                <w:color w:val="000000"/>
                <w:sz w:val="16"/>
                <w:szCs w:val="16"/>
              </w:rPr>
              <w:t xml:space="preserve"> </w:t>
            </w:r>
            <w:r w:rsidR="00094602" w:rsidRPr="00094602">
              <w:rPr>
                <w:rFonts w:ascii="Arial" w:hAnsi="Arial"/>
                <w:color w:val="000000"/>
                <w:sz w:val="16"/>
                <w:szCs w:val="16"/>
                <w:vertAlign w:val="superscript"/>
              </w:rPr>
              <w:t>[a]</w:t>
            </w:r>
          </w:p>
        </w:tc>
        <w:tc>
          <w:tcPr>
            <w:tcW w:w="3292" w:type="dxa"/>
            <w:tcBorders>
              <w:top w:val="single" w:sz="4" w:space="0" w:color="auto"/>
              <w:left w:val="single" w:sz="4" w:space="0" w:color="auto"/>
              <w:bottom w:val="dotted" w:sz="4" w:space="0" w:color="auto"/>
              <w:right w:val="single" w:sz="4" w:space="0" w:color="auto"/>
            </w:tcBorders>
          </w:tcPr>
          <w:p w14:paraId="66325EFF" w14:textId="7EF1525F" w:rsidR="0004322A" w:rsidRPr="009800E8" w:rsidRDefault="009800E8" w:rsidP="0004322A">
            <w:pPr>
              <w:tabs>
                <w:tab w:val="left" w:pos="709"/>
              </w:tabs>
              <w:spacing w:before="60" w:after="60"/>
              <w:rPr>
                <w:rFonts w:ascii="Arial" w:hAnsi="Arial"/>
                <w:color w:val="000000"/>
                <w:sz w:val="16"/>
                <w:szCs w:val="16"/>
              </w:rPr>
            </w:pPr>
            <w:r w:rsidRPr="009800E8">
              <w:rPr>
                <w:rFonts w:ascii="Arial" w:hAnsi="Arial"/>
                <w:sz w:val="16"/>
                <w:szCs w:val="16"/>
                <w:lang w:val="en-AU"/>
              </w:rPr>
              <w:t>1.1: Defence maintains ready forces, plans and conducts operations, activities and investments as directed by Government to achieve Defence’s strategic objectives.</w:t>
            </w:r>
          </w:p>
        </w:tc>
        <w:tc>
          <w:tcPr>
            <w:tcW w:w="3174" w:type="dxa"/>
            <w:tcBorders>
              <w:top w:val="single" w:sz="4" w:space="0" w:color="auto"/>
              <w:left w:val="single" w:sz="4" w:space="0" w:color="auto"/>
              <w:bottom w:val="dotted" w:sz="4" w:space="0" w:color="auto"/>
            </w:tcBorders>
          </w:tcPr>
          <w:p w14:paraId="35735A5E" w14:textId="77777777" w:rsidR="0004322A" w:rsidRPr="009800E8" w:rsidRDefault="0004322A" w:rsidP="0004322A">
            <w:pPr>
              <w:tabs>
                <w:tab w:val="left" w:pos="709"/>
              </w:tabs>
              <w:spacing w:before="60" w:after="60"/>
              <w:rPr>
                <w:rFonts w:ascii="Arial" w:hAnsi="Arial"/>
                <w:sz w:val="16"/>
                <w:szCs w:val="16"/>
                <w:lang w:val="en-AU"/>
              </w:rPr>
            </w:pPr>
            <w:r w:rsidRPr="009800E8">
              <w:rPr>
                <w:rFonts w:ascii="Arial" w:hAnsi="Arial"/>
                <w:sz w:val="16"/>
                <w:szCs w:val="16"/>
                <w:lang w:val="en-AU"/>
              </w:rPr>
              <w:t>Defence responds to Australian Government requirements and conducts operations as directed. This will change year</w:t>
            </w:r>
            <w:r w:rsidR="00094602" w:rsidRPr="009800E8">
              <w:rPr>
                <w:rFonts w:ascii="Arial" w:hAnsi="Arial"/>
                <w:sz w:val="16"/>
                <w:szCs w:val="16"/>
                <w:lang w:val="en-AU"/>
              </w:rPr>
              <w:t xml:space="preserve"> </w:t>
            </w:r>
            <w:r w:rsidRPr="009800E8">
              <w:rPr>
                <w:rFonts w:ascii="Arial" w:hAnsi="Arial"/>
                <w:sz w:val="16"/>
                <w:szCs w:val="16"/>
                <w:lang w:val="en-AU"/>
              </w:rPr>
              <w:t>on</w:t>
            </w:r>
            <w:r w:rsidR="00094602" w:rsidRPr="009800E8">
              <w:rPr>
                <w:rFonts w:ascii="Arial" w:hAnsi="Arial"/>
                <w:sz w:val="16"/>
                <w:szCs w:val="16"/>
                <w:lang w:val="en-AU"/>
              </w:rPr>
              <w:t xml:space="preserve"> </w:t>
            </w:r>
            <w:r w:rsidRPr="009800E8">
              <w:rPr>
                <w:rFonts w:ascii="Arial" w:hAnsi="Arial"/>
                <w:sz w:val="16"/>
                <w:szCs w:val="16"/>
                <w:lang w:val="en-AU"/>
              </w:rPr>
              <w:t>year.</w:t>
            </w:r>
          </w:p>
          <w:p w14:paraId="255E9A0C" w14:textId="024924AF" w:rsidR="00094602" w:rsidRPr="009800E8" w:rsidRDefault="009800E8" w:rsidP="00094602">
            <w:pPr>
              <w:tabs>
                <w:tab w:val="left" w:pos="709"/>
              </w:tabs>
              <w:spacing w:before="60" w:after="60"/>
              <w:jc w:val="right"/>
              <w:rPr>
                <w:rFonts w:ascii="Arial" w:hAnsi="Arial"/>
                <w:color w:val="000000"/>
                <w:sz w:val="16"/>
                <w:szCs w:val="16"/>
              </w:rPr>
            </w:pPr>
            <w:r w:rsidRPr="009800E8">
              <w:rPr>
                <w:rFonts w:ascii="Arial" w:hAnsi="Arial"/>
                <w:i/>
                <w:sz w:val="16"/>
                <w:szCs w:val="16"/>
                <w:lang w:val="en-AU"/>
              </w:rPr>
              <w:t>Expected to be achieved</w:t>
            </w:r>
            <w:r w:rsidR="00094602" w:rsidRPr="009800E8">
              <w:rPr>
                <w:rFonts w:ascii="Arial" w:hAnsi="Arial"/>
                <w:i/>
                <w:sz w:val="16"/>
                <w:szCs w:val="16"/>
                <w:lang w:val="en-AU"/>
              </w:rPr>
              <w:t>.</w:t>
            </w:r>
          </w:p>
        </w:tc>
      </w:tr>
      <w:tr w:rsidR="0004322A" w:rsidRPr="00CD66E1" w14:paraId="0387E520" w14:textId="77777777" w:rsidTr="003C0162">
        <w:tblPrEx>
          <w:shd w:val="clear" w:color="auto" w:fill="auto"/>
          <w:tblLook w:val="04A0" w:firstRow="1" w:lastRow="0" w:firstColumn="1" w:lastColumn="0" w:noHBand="0" w:noVBand="1"/>
        </w:tblPrEx>
        <w:trPr>
          <w:trHeight w:val="705"/>
        </w:trPr>
        <w:tc>
          <w:tcPr>
            <w:tcW w:w="1886" w:type="dxa"/>
            <w:vMerge/>
            <w:tcBorders>
              <w:bottom w:val="single" w:sz="4" w:space="0" w:color="auto"/>
              <w:right w:val="single" w:sz="4" w:space="0" w:color="auto"/>
            </w:tcBorders>
          </w:tcPr>
          <w:p w14:paraId="2E54AD1C" w14:textId="77777777" w:rsidR="0004322A" w:rsidRPr="00094602" w:rsidRDefault="0004322A" w:rsidP="0004322A">
            <w:pPr>
              <w:tabs>
                <w:tab w:val="left" w:pos="709"/>
              </w:tabs>
              <w:spacing w:before="60" w:after="60"/>
              <w:rPr>
                <w:rFonts w:ascii="Arial" w:hAnsi="Arial"/>
                <w:color w:val="000000"/>
                <w:sz w:val="16"/>
                <w:szCs w:val="16"/>
              </w:rPr>
            </w:pPr>
          </w:p>
        </w:tc>
        <w:tc>
          <w:tcPr>
            <w:tcW w:w="3292" w:type="dxa"/>
            <w:tcBorders>
              <w:top w:val="dotted" w:sz="4" w:space="0" w:color="auto"/>
              <w:left w:val="single" w:sz="4" w:space="0" w:color="auto"/>
              <w:bottom w:val="single" w:sz="4" w:space="0" w:color="auto"/>
              <w:right w:val="single" w:sz="4" w:space="0" w:color="auto"/>
            </w:tcBorders>
          </w:tcPr>
          <w:p w14:paraId="0181D80D" w14:textId="77777777" w:rsidR="0004322A" w:rsidRPr="009800E8" w:rsidRDefault="00462D9F" w:rsidP="0004322A">
            <w:pPr>
              <w:tabs>
                <w:tab w:val="left" w:pos="709"/>
              </w:tabs>
              <w:spacing w:before="60" w:after="60"/>
              <w:rPr>
                <w:rFonts w:ascii="Arial" w:hAnsi="Arial"/>
                <w:color w:val="000000"/>
                <w:sz w:val="16"/>
                <w:szCs w:val="16"/>
              </w:rPr>
            </w:pPr>
            <w:r w:rsidRPr="009800E8">
              <w:rPr>
                <w:rFonts w:ascii="Arial" w:hAnsi="Arial"/>
                <w:sz w:val="16"/>
                <w:szCs w:val="16"/>
                <w:lang w:val="en-AU"/>
              </w:rPr>
              <w:t>1.2: Defence commits ADF and/or APS assistance to domestic crisis and emergency response, as directed by Government.</w:t>
            </w:r>
          </w:p>
        </w:tc>
        <w:tc>
          <w:tcPr>
            <w:tcW w:w="3174" w:type="dxa"/>
            <w:tcBorders>
              <w:top w:val="dotted" w:sz="4" w:space="0" w:color="auto"/>
              <w:left w:val="single" w:sz="4" w:space="0" w:color="auto"/>
              <w:bottom w:val="single" w:sz="4" w:space="0" w:color="auto"/>
            </w:tcBorders>
          </w:tcPr>
          <w:p w14:paraId="6D4A2C22" w14:textId="77777777" w:rsidR="0004322A" w:rsidRPr="009800E8" w:rsidRDefault="0004322A" w:rsidP="0004322A">
            <w:pPr>
              <w:tabs>
                <w:tab w:val="left" w:pos="709"/>
              </w:tabs>
              <w:spacing w:before="60" w:after="60"/>
              <w:rPr>
                <w:rFonts w:ascii="Arial" w:hAnsi="Arial"/>
                <w:sz w:val="16"/>
                <w:szCs w:val="16"/>
                <w:lang w:val="en-AU"/>
              </w:rPr>
            </w:pPr>
            <w:r w:rsidRPr="009800E8">
              <w:rPr>
                <w:rFonts w:ascii="Arial" w:hAnsi="Arial"/>
                <w:sz w:val="16"/>
                <w:szCs w:val="16"/>
                <w:lang w:val="en-AU"/>
              </w:rPr>
              <w:t xml:space="preserve">Defence responds to Australian Government direction as </w:t>
            </w:r>
            <w:r w:rsidR="00094602" w:rsidRPr="009800E8">
              <w:rPr>
                <w:rFonts w:ascii="Arial" w:hAnsi="Arial"/>
                <w:sz w:val="16"/>
                <w:szCs w:val="16"/>
                <w:lang w:val="en-AU"/>
              </w:rPr>
              <w:t xml:space="preserve">required. This will change year on </w:t>
            </w:r>
            <w:r w:rsidRPr="009800E8">
              <w:rPr>
                <w:rFonts w:ascii="Arial" w:hAnsi="Arial"/>
                <w:sz w:val="16"/>
                <w:szCs w:val="16"/>
                <w:lang w:val="en-AU"/>
              </w:rPr>
              <w:t>year.</w:t>
            </w:r>
          </w:p>
          <w:p w14:paraId="518C0425" w14:textId="1108202F" w:rsidR="00094602" w:rsidRPr="009800E8" w:rsidRDefault="009800E8" w:rsidP="00094602">
            <w:pPr>
              <w:tabs>
                <w:tab w:val="left" w:pos="709"/>
              </w:tabs>
              <w:spacing w:before="60" w:after="60"/>
              <w:jc w:val="right"/>
              <w:rPr>
                <w:rFonts w:ascii="Arial" w:hAnsi="Arial"/>
                <w:color w:val="000000"/>
                <w:sz w:val="16"/>
                <w:szCs w:val="16"/>
              </w:rPr>
            </w:pPr>
            <w:r w:rsidRPr="009800E8">
              <w:rPr>
                <w:rFonts w:ascii="Arial" w:hAnsi="Arial"/>
                <w:i/>
                <w:sz w:val="16"/>
                <w:szCs w:val="16"/>
                <w:lang w:val="en-AU"/>
              </w:rPr>
              <w:t>Expected to be achieved</w:t>
            </w:r>
            <w:r w:rsidR="00094602" w:rsidRPr="009800E8">
              <w:rPr>
                <w:rFonts w:ascii="Arial" w:hAnsi="Arial"/>
                <w:i/>
                <w:sz w:val="16"/>
                <w:szCs w:val="16"/>
                <w:lang w:val="en-AU"/>
              </w:rPr>
              <w:t>.</w:t>
            </w:r>
          </w:p>
        </w:tc>
      </w:tr>
      <w:tr w:rsidR="0004322A" w:rsidRPr="00CD66E1" w14:paraId="4EED96EE" w14:textId="77777777" w:rsidTr="003C0162">
        <w:tblPrEx>
          <w:shd w:val="clear" w:color="auto" w:fill="auto"/>
          <w:tblLook w:val="04A0" w:firstRow="1" w:lastRow="0" w:firstColumn="1" w:lastColumn="0" w:noHBand="0" w:noVBand="1"/>
        </w:tblPrEx>
        <w:trPr>
          <w:trHeight w:val="100"/>
        </w:trPr>
        <w:tc>
          <w:tcPr>
            <w:tcW w:w="1886" w:type="dxa"/>
            <w:tcBorders>
              <w:top w:val="single" w:sz="4" w:space="0" w:color="auto"/>
              <w:bottom w:val="single" w:sz="4" w:space="0" w:color="auto"/>
              <w:right w:val="single" w:sz="4" w:space="0" w:color="auto"/>
            </w:tcBorders>
          </w:tcPr>
          <w:p w14:paraId="0F6D9C66" w14:textId="77777777" w:rsidR="0004322A" w:rsidRPr="00094602" w:rsidRDefault="0004322A" w:rsidP="0004322A">
            <w:pPr>
              <w:tabs>
                <w:tab w:val="left" w:pos="709"/>
              </w:tabs>
              <w:spacing w:before="60" w:after="60"/>
              <w:rPr>
                <w:rFonts w:ascii="Arial" w:hAnsi="Arial"/>
                <w:color w:val="000000"/>
                <w:sz w:val="16"/>
                <w:szCs w:val="16"/>
              </w:rPr>
            </w:pPr>
            <w:r w:rsidRPr="00094602">
              <w:rPr>
                <w:rFonts w:ascii="Arial" w:hAnsi="Arial"/>
                <w:b/>
                <w:color w:val="000000"/>
                <w:sz w:val="16"/>
                <w:szCs w:val="16"/>
              </w:rPr>
              <w:t>Year</w:t>
            </w:r>
          </w:p>
        </w:tc>
        <w:tc>
          <w:tcPr>
            <w:tcW w:w="3292" w:type="dxa"/>
            <w:tcBorders>
              <w:top w:val="single" w:sz="4" w:space="0" w:color="auto"/>
              <w:left w:val="single" w:sz="4" w:space="0" w:color="auto"/>
              <w:bottom w:val="single" w:sz="4" w:space="0" w:color="auto"/>
              <w:right w:val="single" w:sz="4" w:space="0" w:color="auto"/>
            </w:tcBorders>
          </w:tcPr>
          <w:p w14:paraId="7B15A920" w14:textId="77777777" w:rsidR="0004322A" w:rsidRPr="009800E8" w:rsidRDefault="0004322A" w:rsidP="0004322A">
            <w:pPr>
              <w:tabs>
                <w:tab w:val="left" w:pos="709"/>
              </w:tabs>
              <w:spacing w:before="60" w:after="60"/>
              <w:rPr>
                <w:rFonts w:ascii="Arial" w:hAnsi="Arial"/>
                <w:color w:val="000000"/>
              </w:rPr>
            </w:pPr>
            <w:r w:rsidRPr="009800E8">
              <w:rPr>
                <w:rFonts w:ascii="Arial" w:hAnsi="Arial"/>
                <w:b/>
                <w:color w:val="000000"/>
                <w:sz w:val="16"/>
                <w:szCs w:val="16"/>
              </w:rPr>
              <w:t>Performance measures</w:t>
            </w:r>
          </w:p>
        </w:tc>
        <w:tc>
          <w:tcPr>
            <w:tcW w:w="3174" w:type="dxa"/>
            <w:tcBorders>
              <w:top w:val="single" w:sz="4" w:space="0" w:color="auto"/>
              <w:left w:val="single" w:sz="4" w:space="0" w:color="auto"/>
              <w:bottom w:val="single" w:sz="4" w:space="0" w:color="auto"/>
            </w:tcBorders>
          </w:tcPr>
          <w:p w14:paraId="09063A0C" w14:textId="77777777" w:rsidR="0004322A" w:rsidRPr="009800E8" w:rsidRDefault="0004322A" w:rsidP="0004322A">
            <w:pPr>
              <w:tabs>
                <w:tab w:val="left" w:pos="709"/>
              </w:tabs>
              <w:spacing w:before="60" w:after="60"/>
              <w:rPr>
                <w:rFonts w:ascii="Arial" w:hAnsi="Arial"/>
                <w:i/>
                <w:color w:val="000000"/>
                <w:sz w:val="16"/>
                <w:szCs w:val="16"/>
              </w:rPr>
            </w:pPr>
            <w:r w:rsidRPr="009800E8">
              <w:rPr>
                <w:rFonts w:ascii="Arial" w:hAnsi="Arial"/>
                <w:b/>
                <w:color w:val="000000"/>
                <w:sz w:val="16"/>
                <w:szCs w:val="16"/>
              </w:rPr>
              <w:t>Planned Performance Results</w:t>
            </w:r>
          </w:p>
        </w:tc>
      </w:tr>
      <w:tr w:rsidR="0004322A" w:rsidRPr="00CD66E1" w14:paraId="1702E5C3" w14:textId="77777777" w:rsidTr="0004322A">
        <w:tblPrEx>
          <w:shd w:val="clear" w:color="auto" w:fill="auto"/>
          <w:tblLook w:val="04A0" w:firstRow="1" w:lastRow="0" w:firstColumn="1" w:lastColumn="0" w:noHBand="0" w:noVBand="1"/>
        </w:tblPrEx>
        <w:trPr>
          <w:trHeight w:val="305"/>
        </w:trPr>
        <w:tc>
          <w:tcPr>
            <w:tcW w:w="1886" w:type="dxa"/>
            <w:vMerge w:val="restart"/>
            <w:tcBorders>
              <w:top w:val="single" w:sz="4" w:space="0" w:color="auto"/>
              <w:bottom w:val="dotted" w:sz="4" w:space="0" w:color="auto"/>
              <w:right w:val="single" w:sz="4" w:space="0" w:color="auto"/>
            </w:tcBorders>
          </w:tcPr>
          <w:p w14:paraId="0BC407A0" w14:textId="77777777" w:rsidR="0004322A" w:rsidRPr="00094602" w:rsidRDefault="0004322A" w:rsidP="00987C39">
            <w:pPr>
              <w:tabs>
                <w:tab w:val="left" w:pos="709"/>
              </w:tabs>
              <w:spacing w:before="0" w:after="0"/>
              <w:rPr>
                <w:rFonts w:ascii="Arial" w:hAnsi="Arial"/>
                <w:color w:val="000000"/>
                <w:sz w:val="16"/>
                <w:szCs w:val="16"/>
              </w:rPr>
            </w:pPr>
            <w:r w:rsidRPr="00094602">
              <w:rPr>
                <w:rFonts w:ascii="Arial" w:hAnsi="Arial"/>
                <w:color w:val="000000"/>
                <w:sz w:val="16"/>
                <w:szCs w:val="16"/>
              </w:rPr>
              <w:t>Budget Year</w:t>
            </w:r>
          </w:p>
          <w:p w14:paraId="7A652C76" w14:textId="77777777" w:rsidR="0004322A" w:rsidRPr="00094602" w:rsidRDefault="0004322A" w:rsidP="00987C39">
            <w:pPr>
              <w:tabs>
                <w:tab w:val="left" w:pos="709"/>
              </w:tabs>
              <w:spacing w:before="0" w:after="0"/>
              <w:rPr>
                <w:rFonts w:ascii="Arial" w:hAnsi="Arial"/>
                <w:color w:val="000000"/>
                <w:sz w:val="16"/>
                <w:szCs w:val="16"/>
              </w:rPr>
            </w:pPr>
            <w:r w:rsidRPr="00094602">
              <w:rPr>
                <w:rFonts w:ascii="Arial" w:hAnsi="Arial"/>
                <w:color w:val="000000"/>
                <w:sz w:val="16"/>
                <w:szCs w:val="16"/>
              </w:rPr>
              <w:t>2025-26</w:t>
            </w:r>
            <w:r w:rsidR="00094602">
              <w:rPr>
                <w:rFonts w:ascii="Arial" w:hAnsi="Arial"/>
                <w:color w:val="000000"/>
                <w:sz w:val="16"/>
                <w:szCs w:val="16"/>
              </w:rPr>
              <w:t xml:space="preserve"> </w:t>
            </w:r>
            <w:r w:rsidR="00094602" w:rsidRPr="00094602">
              <w:rPr>
                <w:rFonts w:ascii="Arial" w:hAnsi="Arial"/>
                <w:color w:val="000000"/>
                <w:sz w:val="16"/>
                <w:szCs w:val="16"/>
                <w:vertAlign w:val="superscript"/>
              </w:rPr>
              <w:t>[b]</w:t>
            </w:r>
          </w:p>
        </w:tc>
        <w:tc>
          <w:tcPr>
            <w:tcW w:w="3292" w:type="dxa"/>
            <w:tcBorders>
              <w:top w:val="single" w:sz="4" w:space="0" w:color="auto"/>
              <w:left w:val="single" w:sz="4" w:space="0" w:color="auto"/>
              <w:bottom w:val="dotted" w:sz="4" w:space="0" w:color="auto"/>
              <w:right w:val="single" w:sz="4" w:space="0" w:color="auto"/>
            </w:tcBorders>
          </w:tcPr>
          <w:p w14:paraId="16679292" w14:textId="66968902" w:rsidR="0004322A" w:rsidRPr="009800E8" w:rsidRDefault="009800E8" w:rsidP="0004322A">
            <w:pPr>
              <w:tabs>
                <w:tab w:val="left" w:pos="709"/>
              </w:tabs>
              <w:spacing w:before="60" w:after="60"/>
              <w:rPr>
                <w:rFonts w:ascii="Arial" w:hAnsi="Arial"/>
                <w:color w:val="000000"/>
                <w:sz w:val="16"/>
                <w:szCs w:val="16"/>
              </w:rPr>
            </w:pPr>
            <w:r w:rsidRPr="009800E8">
              <w:rPr>
                <w:rFonts w:ascii="Arial" w:hAnsi="Arial"/>
                <w:sz w:val="16"/>
                <w:szCs w:val="16"/>
                <w:lang w:val="en-AU"/>
              </w:rPr>
              <w:t>1.1: Defence maintains ready forces, plans and conducts operations, activities and investments as directed by Government to achieve Defence’s strategic objectives.</w:t>
            </w:r>
          </w:p>
        </w:tc>
        <w:tc>
          <w:tcPr>
            <w:tcW w:w="3174" w:type="dxa"/>
            <w:tcBorders>
              <w:top w:val="single" w:sz="4" w:space="0" w:color="auto"/>
              <w:left w:val="single" w:sz="4" w:space="0" w:color="auto"/>
              <w:bottom w:val="dotted" w:sz="4" w:space="0" w:color="auto"/>
              <w:right w:val="single" w:sz="4" w:space="0" w:color="auto"/>
            </w:tcBorders>
          </w:tcPr>
          <w:p w14:paraId="1E6EAD81" w14:textId="77777777" w:rsidR="0004322A" w:rsidRPr="009800E8" w:rsidRDefault="00094602" w:rsidP="0004322A">
            <w:pPr>
              <w:tabs>
                <w:tab w:val="left" w:pos="709"/>
              </w:tabs>
              <w:spacing w:before="60" w:after="60"/>
              <w:rPr>
                <w:rFonts w:ascii="Arial" w:hAnsi="Arial"/>
                <w:color w:val="000000"/>
                <w:sz w:val="16"/>
                <w:szCs w:val="16"/>
              </w:rPr>
            </w:pPr>
            <w:r w:rsidRPr="009800E8">
              <w:rPr>
                <w:rFonts w:ascii="Arial" w:hAnsi="Arial"/>
                <w:sz w:val="16"/>
                <w:szCs w:val="16"/>
                <w:lang w:val="en-AU"/>
              </w:rPr>
              <w:t>Defence responds to Australian Government requirements and conducts operations as directed. This will change year on year.</w:t>
            </w:r>
          </w:p>
        </w:tc>
      </w:tr>
      <w:tr w:rsidR="0004322A" w:rsidRPr="00CD66E1" w14:paraId="17C9EA80" w14:textId="77777777" w:rsidTr="00AB03F3">
        <w:tblPrEx>
          <w:shd w:val="clear" w:color="auto" w:fill="auto"/>
          <w:tblLook w:val="04A0" w:firstRow="1" w:lastRow="0" w:firstColumn="1" w:lastColumn="0" w:noHBand="0" w:noVBand="1"/>
        </w:tblPrEx>
        <w:trPr>
          <w:trHeight w:val="305"/>
        </w:trPr>
        <w:tc>
          <w:tcPr>
            <w:tcW w:w="1886" w:type="dxa"/>
            <w:vMerge/>
            <w:tcBorders>
              <w:top w:val="dotted" w:sz="4" w:space="0" w:color="auto"/>
              <w:bottom w:val="single" w:sz="4" w:space="0" w:color="auto"/>
              <w:right w:val="single" w:sz="4" w:space="0" w:color="auto"/>
            </w:tcBorders>
          </w:tcPr>
          <w:p w14:paraId="653530A5" w14:textId="77777777" w:rsidR="0004322A" w:rsidRPr="00CD66E1" w:rsidRDefault="0004322A" w:rsidP="0004322A">
            <w:pPr>
              <w:tabs>
                <w:tab w:val="left" w:pos="709"/>
              </w:tabs>
              <w:spacing w:before="60" w:after="60"/>
              <w:rPr>
                <w:rFonts w:ascii="Arial" w:hAnsi="Arial"/>
                <w:color w:val="000000"/>
                <w:sz w:val="16"/>
                <w:szCs w:val="16"/>
                <w:highlight w:val="yellow"/>
              </w:rPr>
            </w:pPr>
          </w:p>
        </w:tc>
        <w:tc>
          <w:tcPr>
            <w:tcW w:w="3292" w:type="dxa"/>
            <w:tcBorders>
              <w:top w:val="dotted" w:sz="4" w:space="0" w:color="auto"/>
              <w:left w:val="single" w:sz="4" w:space="0" w:color="auto"/>
              <w:bottom w:val="single" w:sz="4" w:space="0" w:color="auto"/>
              <w:right w:val="single" w:sz="4" w:space="0" w:color="auto"/>
            </w:tcBorders>
          </w:tcPr>
          <w:p w14:paraId="44981CBB" w14:textId="77777777" w:rsidR="0004322A" w:rsidRPr="00CD66E1" w:rsidRDefault="00094602" w:rsidP="0004322A">
            <w:pPr>
              <w:tabs>
                <w:tab w:val="left" w:pos="709"/>
              </w:tabs>
              <w:spacing w:before="60" w:after="60"/>
              <w:rPr>
                <w:rFonts w:ascii="Arial" w:hAnsi="Arial"/>
                <w:color w:val="000000"/>
                <w:sz w:val="16"/>
                <w:szCs w:val="16"/>
                <w:highlight w:val="yellow"/>
              </w:rPr>
            </w:pPr>
            <w:r w:rsidRPr="00BF50F5">
              <w:rPr>
                <w:rFonts w:ascii="Arial" w:hAnsi="Arial"/>
                <w:sz w:val="16"/>
                <w:szCs w:val="16"/>
                <w:lang w:val="en-AU"/>
              </w:rPr>
              <w:t>1.2: Defence commits ADF and/or APS assistance to domestic crisis and emergency response, as directed by Government</w:t>
            </w:r>
            <w:r>
              <w:rPr>
                <w:rFonts w:ascii="Arial" w:hAnsi="Arial"/>
                <w:sz w:val="16"/>
                <w:szCs w:val="16"/>
                <w:lang w:val="en-AU"/>
              </w:rPr>
              <w:t>.</w:t>
            </w:r>
          </w:p>
        </w:tc>
        <w:tc>
          <w:tcPr>
            <w:tcW w:w="3174" w:type="dxa"/>
            <w:tcBorders>
              <w:top w:val="dotted" w:sz="4" w:space="0" w:color="auto"/>
              <w:left w:val="single" w:sz="4" w:space="0" w:color="auto"/>
              <w:bottom w:val="single" w:sz="4" w:space="0" w:color="auto"/>
              <w:right w:val="single" w:sz="4" w:space="0" w:color="auto"/>
            </w:tcBorders>
          </w:tcPr>
          <w:p w14:paraId="1A931644" w14:textId="77777777" w:rsidR="0004322A" w:rsidRPr="00CD66E1" w:rsidRDefault="00094602" w:rsidP="0004322A">
            <w:pPr>
              <w:tabs>
                <w:tab w:val="left" w:pos="709"/>
              </w:tabs>
              <w:spacing w:before="60" w:after="60"/>
              <w:rPr>
                <w:rFonts w:ascii="Arial" w:hAnsi="Arial"/>
                <w:color w:val="000000"/>
                <w:sz w:val="16"/>
                <w:szCs w:val="16"/>
                <w:highlight w:val="yellow"/>
              </w:rPr>
            </w:pPr>
            <w:r w:rsidRPr="00BF50F5">
              <w:rPr>
                <w:rFonts w:ascii="Arial" w:hAnsi="Arial"/>
                <w:sz w:val="16"/>
                <w:szCs w:val="16"/>
                <w:lang w:val="en-AU"/>
              </w:rPr>
              <w:t xml:space="preserve">Defence responds to Australian Government direction as </w:t>
            </w:r>
            <w:r>
              <w:rPr>
                <w:rFonts w:ascii="Arial" w:hAnsi="Arial"/>
                <w:sz w:val="16"/>
                <w:szCs w:val="16"/>
                <w:lang w:val="en-AU"/>
              </w:rPr>
              <w:t xml:space="preserve">required. This will change year </w:t>
            </w:r>
            <w:r w:rsidRPr="00BF50F5">
              <w:rPr>
                <w:rFonts w:ascii="Arial" w:hAnsi="Arial"/>
                <w:sz w:val="16"/>
                <w:szCs w:val="16"/>
                <w:lang w:val="en-AU"/>
              </w:rPr>
              <w:t>on</w:t>
            </w:r>
            <w:r>
              <w:rPr>
                <w:rFonts w:ascii="Arial" w:hAnsi="Arial"/>
                <w:sz w:val="16"/>
                <w:szCs w:val="16"/>
                <w:lang w:val="en-AU"/>
              </w:rPr>
              <w:t xml:space="preserve"> </w:t>
            </w:r>
            <w:r w:rsidRPr="00BF50F5">
              <w:rPr>
                <w:rFonts w:ascii="Arial" w:hAnsi="Arial"/>
                <w:sz w:val="16"/>
                <w:szCs w:val="16"/>
                <w:lang w:val="en-AU"/>
              </w:rPr>
              <w:t>year</w:t>
            </w:r>
            <w:r>
              <w:rPr>
                <w:rFonts w:ascii="Arial" w:hAnsi="Arial"/>
                <w:sz w:val="16"/>
                <w:szCs w:val="16"/>
                <w:lang w:val="en-AU"/>
              </w:rPr>
              <w:t>.</w:t>
            </w:r>
          </w:p>
        </w:tc>
      </w:tr>
      <w:tr w:rsidR="0004322A" w:rsidRPr="00094602" w14:paraId="72F72434" w14:textId="77777777" w:rsidTr="00AB03F3">
        <w:tblPrEx>
          <w:shd w:val="clear" w:color="auto" w:fill="auto"/>
          <w:tblLook w:val="04A0" w:firstRow="1" w:lastRow="0" w:firstColumn="1" w:lastColumn="0" w:noHBand="0" w:noVBand="1"/>
        </w:tblPrEx>
        <w:trPr>
          <w:trHeight w:val="491"/>
        </w:trPr>
        <w:tc>
          <w:tcPr>
            <w:tcW w:w="1886" w:type="dxa"/>
            <w:tcBorders>
              <w:top w:val="single" w:sz="4" w:space="0" w:color="auto"/>
              <w:bottom w:val="single" w:sz="4" w:space="0" w:color="auto"/>
              <w:right w:val="single" w:sz="4" w:space="0" w:color="auto"/>
            </w:tcBorders>
          </w:tcPr>
          <w:p w14:paraId="3835E207" w14:textId="77777777" w:rsidR="0004322A" w:rsidRPr="00094602" w:rsidRDefault="0004322A" w:rsidP="00987C39">
            <w:pPr>
              <w:tabs>
                <w:tab w:val="left" w:pos="709"/>
              </w:tabs>
              <w:spacing w:before="0" w:after="0"/>
              <w:rPr>
                <w:rFonts w:ascii="Arial" w:hAnsi="Arial"/>
                <w:color w:val="000000"/>
                <w:sz w:val="16"/>
                <w:szCs w:val="16"/>
              </w:rPr>
            </w:pPr>
            <w:r w:rsidRPr="00094602">
              <w:rPr>
                <w:rFonts w:ascii="Arial" w:hAnsi="Arial"/>
                <w:color w:val="000000"/>
                <w:sz w:val="16"/>
                <w:szCs w:val="16"/>
              </w:rPr>
              <w:t>Forward Estimates</w:t>
            </w:r>
          </w:p>
          <w:p w14:paraId="062D02DC" w14:textId="77777777" w:rsidR="0004322A" w:rsidRPr="00094602" w:rsidRDefault="0004322A" w:rsidP="00987C39">
            <w:pPr>
              <w:tabs>
                <w:tab w:val="left" w:pos="709"/>
              </w:tabs>
              <w:spacing w:before="0" w:after="0"/>
              <w:rPr>
                <w:rFonts w:ascii="Arial" w:hAnsi="Arial"/>
                <w:b/>
                <w:color w:val="000000"/>
                <w:sz w:val="16"/>
                <w:szCs w:val="16"/>
              </w:rPr>
            </w:pPr>
            <w:r w:rsidRPr="00094602">
              <w:rPr>
                <w:rFonts w:ascii="Arial" w:hAnsi="Arial"/>
                <w:color w:val="000000"/>
                <w:sz w:val="16"/>
                <w:szCs w:val="16"/>
              </w:rPr>
              <w:t>2026-29</w:t>
            </w:r>
          </w:p>
        </w:tc>
        <w:tc>
          <w:tcPr>
            <w:tcW w:w="3292" w:type="dxa"/>
            <w:tcBorders>
              <w:top w:val="single" w:sz="4" w:space="0" w:color="auto"/>
              <w:left w:val="single" w:sz="4" w:space="0" w:color="auto"/>
              <w:bottom w:val="single" w:sz="4" w:space="0" w:color="auto"/>
              <w:right w:val="single" w:sz="4" w:space="0" w:color="auto"/>
            </w:tcBorders>
          </w:tcPr>
          <w:p w14:paraId="07D35D02" w14:textId="77777777" w:rsidR="0004322A" w:rsidRPr="00094602" w:rsidRDefault="0004322A" w:rsidP="00094602">
            <w:pPr>
              <w:tabs>
                <w:tab w:val="left" w:pos="709"/>
              </w:tabs>
              <w:spacing w:before="60" w:after="60"/>
              <w:rPr>
                <w:rFonts w:ascii="Arial" w:hAnsi="Arial"/>
                <w:b/>
                <w:color w:val="000000"/>
                <w:sz w:val="16"/>
                <w:szCs w:val="16"/>
              </w:rPr>
            </w:pPr>
            <w:r w:rsidRPr="00094602">
              <w:rPr>
                <w:rFonts w:ascii="Arial" w:hAnsi="Arial"/>
                <w:color w:val="000000"/>
                <w:sz w:val="16"/>
                <w:szCs w:val="16"/>
              </w:rPr>
              <w:t>As per 202</w:t>
            </w:r>
            <w:r w:rsidR="00094602">
              <w:rPr>
                <w:rFonts w:ascii="Arial" w:hAnsi="Arial"/>
                <w:color w:val="000000"/>
                <w:sz w:val="16"/>
                <w:szCs w:val="16"/>
              </w:rPr>
              <w:t>5</w:t>
            </w:r>
            <w:r w:rsidRPr="00094602">
              <w:rPr>
                <w:rFonts w:ascii="Arial" w:hAnsi="Arial"/>
                <w:color w:val="000000"/>
                <w:sz w:val="16"/>
                <w:szCs w:val="16"/>
              </w:rPr>
              <w:t>-2</w:t>
            </w:r>
            <w:r w:rsidR="00094602">
              <w:rPr>
                <w:rFonts w:ascii="Arial" w:hAnsi="Arial"/>
                <w:color w:val="000000"/>
                <w:sz w:val="16"/>
                <w:szCs w:val="16"/>
              </w:rPr>
              <w:t>6</w:t>
            </w:r>
            <w:r w:rsidRPr="00094602">
              <w:rPr>
                <w:rFonts w:ascii="Arial" w:hAnsi="Arial"/>
                <w:color w:val="000000"/>
                <w:sz w:val="16"/>
                <w:szCs w:val="16"/>
              </w:rPr>
              <w:t>.</w:t>
            </w:r>
          </w:p>
        </w:tc>
        <w:tc>
          <w:tcPr>
            <w:tcW w:w="3174" w:type="dxa"/>
            <w:tcBorders>
              <w:top w:val="single" w:sz="4" w:space="0" w:color="auto"/>
              <w:left w:val="single" w:sz="4" w:space="0" w:color="auto"/>
              <w:bottom w:val="single" w:sz="4" w:space="0" w:color="auto"/>
            </w:tcBorders>
          </w:tcPr>
          <w:p w14:paraId="52A3DA36" w14:textId="77777777" w:rsidR="0004322A" w:rsidRPr="00094602" w:rsidRDefault="0004322A" w:rsidP="00094602">
            <w:pPr>
              <w:tabs>
                <w:tab w:val="left" w:pos="709"/>
              </w:tabs>
              <w:spacing w:before="60" w:after="60"/>
              <w:rPr>
                <w:rFonts w:ascii="Arial" w:hAnsi="Arial"/>
                <w:b/>
                <w:color w:val="000000"/>
                <w:sz w:val="16"/>
                <w:szCs w:val="16"/>
              </w:rPr>
            </w:pPr>
            <w:r w:rsidRPr="00094602">
              <w:rPr>
                <w:rFonts w:ascii="Arial" w:hAnsi="Arial"/>
                <w:color w:val="000000"/>
                <w:sz w:val="16"/>
                <w:szCs w:val="16"/>
              </w:rPr>
              <w:t>A</w:t>
            </w:r>
            <w:r w:rsidR="00094602">
              <w:rPr>
                <w:rFonts w:ascii="Arial" w:hAnsi="Arial"/>
                <w:color w:val="000000"/>
                <w:sz w:val="16"/>
                <w:szCs w:val="16"/>
              </w:rPr>
              <w:t>s per 2025</w:t>
            </w:r>
            <w:r w:rsidRPr="00094602">
              <w:rPr>
                <w:rFonts w:ascii="Arial" w:hAnsi="Arial"/>
                <w:color w:val="000000"/>
                <w:sz w:val="16"/>
                <w:szCs w:val="16"/>
              </w:rPr>
              <w:t>-2</w:t>
            </w:r>
            <w:r w:rsidR="00094602">
              <w:rPr>
                <w:rFonts w:ascii="Arial" w:hAnsi="Arial"/>
                <w:color w:val="000000"/>
                <w:sz w:val="16"/>
                <w:szCs w:val="16"/>
              </w:rPr>
              <w:t>6</w:t>
            </w:r>
            <w:r w:rsidRPr="00094602">
              <w:rPr>
                <w:rFonts w:ascii="Arial" w:hAnsi="Arial"/>
                <w:color w:val="000000"/>
                <w:sz w:val="16"/>
                <w:szCs w:val="16"/>
              </w:rPr>
              <w:t>.</w:t>
            </w:r>
          </w:p>
        </w:tc>
      </w:tr>
      <w:tr w:rsidR="0004322A" w:rsidRPr="00094602" w14:paraId="1B17E7A5" w14:textId="77777777" w:rsidTr="0004322A">
        <w:tblPrEx>
          <w:shd w:val="clear" w:color="auto" w:fill="auto"/>
          <w:tblLook w:val="04A0" w:firstRow="1" w:lastRow="0" w:firstColumn="1" w:lastColumn="0" w:noHBand="0" w:noVBand="1"/>
        </w:tblPrEx>
        <w:trPr>
          <w:trHeight w:val="291"/>
        </w:trPr>
        <w:tc>
          <w:tcPr>
            <w:tcW w:w="8352" w:type="dxa"/>
            <w:gridSpan w:val="3"/>
            <w:tcBorders>
              <w:top w:val="single" w:sz="4" w:space="0" w:color="auto"/>
            </w:tcBorders>
          </w:tcPr>
          <w:p w14:paraId="0E34CFE3" w14:textId="72B213D6" w:rsidR="0004322A" w:rsidRPr="00094602" w:rsidRDefault="0004322A" w:rsidP="00E364DF">
            <w:pPr>
              <w:tabs>
                <w:tab w:val="left" w:pos="709"/>
              </w:tabs>
              <w:spacing w:before="60" w:after="60"/>
              <w:rPr>
                <w:rFonts w:ascii="Arial" w:hAnsi="Arial"/>
                <w:bCs/>
                <w:iCs/>
                <w:color w:val="000000"/>
                <w:spacing w:val="-6"/>
                <w:sz w:val="16"/>
                <w:szCs w:val="16"/>
              </w:rPr>
            </w:pPr>
            <w:r w:rsidRPr="00094602">
              <w:rPr>
                <w:rFonts w:ascii="Arial" w:hAnsi="Arial"/>
                <w:color w:val="000000"/>
                <w:sz w:val="16"/>
                <w:szCs w:val="16"/>
              </w:rPr>
              <w:t>Material changes to Program 1.3 resulting from 202</w:t>
            </w:r>
            <w:r w:rsidR="00E364DF">
              <w:rPr>
                <w:rFonts w:ascii="Arial" w:hAnsi="Arial"/>
                <w:color w:val="000000"/>
                <w:sz w:val="16"/>
                <w:szCs w:val="16"/>
              </w:rPr>
              <w:t>5</w:t>
            </w:r>
            <w:r w:rsidRPr="00094602">
              <w:rPr>
                <w:rFonts w:ascii="Arial" w:hAnsi="Arial"/>
                <w:color w:val="000000"/>
                <w:sz w:val="16"/>
                <w:szCs w:val="16"/>
              </w:rPr>
              <w:t>-2</w:t>
            </w:r>
            <w:r w:rsidR="00E364DF">
              <w:rPr>
                <w:rFonts w:ascii="Arial" w:hAnsi="Arial"/>
                <w:color w:val="000000"/>
                <w:sz w:val="16"/>
                <w:szCs w:val="16"/>
              </w:rPr>
              <w:t>6</w:t>
            </w:r>
            <w:r w:rsidRPr="00094602">
              <w:rPr>
                <w:rFonts w:ascii="Arial" w:hAnsi="Arial"/>
                <w:color w:val="000000"/>
                <w:sz w:val="16"/>
                <w:szCs w:val="16"/>
              </w:rPr>
              <w:t xml:space="preserve"> Budget Measures:</w:t>
            </w:r>
            <w:r w:rsidRPr="00094602">
              <w:rPr>
                <w:rStyle w:val="BodyTextChar"/>
                <w:rFonts w:ascii="Arial" w:hAnsi="Arial"/>
                <w:bCs/>
                <w:iCs/>
                <w:color w:val="000000"/>
                <w:spacing w:val="-6"/>
                <w:sz w:val="16"/>
                <w:szCs w:val="16"/>
              </w:rPr>
              <w:t xml:space="preserve"> Nil.</w:t>
            </w:r>
          </w:p>
        </w:tc>
      </w:tr>
    </w:tbl>
    <w:p w14:paraId="7F1E76E9" w14:textId="77777777" w:rsidR="00EB2691" w:rsidRPr="00094602" w:rsidRDefault="00EB2691" w:rsidP="00656D60">
      <w:pPr>
        <w:pStyle w:val="TableHeading"/>
        <w:spacing w:before="0" w:after="0"/>
        <w:rPr>
          <w:sz w:val="16"/>
          <w:szCs w:val="16"/>
        </w:rPr>
      </w:pPr>
    </w:p>
    <w:p w14:paraId="4EC4BDE8" w14:textId="77777777" w:rsidR="006130F5" w:rsidRPr="00094602" w:rsidRDefault="006130F5" w:rsidP="0013196E">
      <w:pPr>
        <w:pStyle w:val="TableHeading"/>
        <w:spacing w:before="0" w:after="0"/>
        <w:rPr>
          <w:sz w:val="14"/>
          <w:szCs w:val="14"/>
        </w:rPr>
      </w:pPr>
      <w:r w:rsidRPr="00094602">
        <w:rPr>
          <w:sz w:val="14"/>
          <w:szCs w:val="14"/>
        </w:rPr>
        <w:t>Note</w:t>
      </w:r>
      <w:r w:rsidR="00094602">
        <w:rPr>
          <w:sz w:val="14"/>
          <w:szCs w:val="14"/>
        </w:rPr>
        <w:t>s</w:t>
      </w:r>
    </w:p>
    <w:p w14:paraId="526B4174" w14:textId="06D8311E" w:rsidR="009737EB" w:rsidRDefault="00726161" w:rsidP="00444A89">
      <w:pPr>
        <w:pStyle w:val="TableHeading"/>
        <w:numPr>
          <w:ilvl w:val="0"/>
          <w:numId w:val="73"/>
        </w:numPr>
        <w:tabs>
          <w:tab w:val="left" w:pos="284"/>
        </w:tabs>
        <w:spacing w:before="0" w:after="0"/>
        <w:ind w:left="284" w:hanging="284"/>
        <w:rPr>
          <w:b w:val="0"/>
          <w:sz w:val="14"/>
          <w:szCs w:val="14"/>
          <w:lang w:val="en-AU"/>
        </w:rPr>
      </w:pPr>
      <w:r w:rsidRPr="00094602">
        <w:rPr>
          <w:b w:val="0"/>
          <w:sz w:val="14"/>
          <w:szCs w:val="14"/>
        </w:rPr>
        <w:tab/>
      </w:r>
      <w:r w:rsidR="00835531" w:rsidRPr="00094602">
        <w:rPr>
          <w:b w:val="0"/>
          <w:sz w:val="14"/>
          <w:szCs w:val="14"/>
          <w:lang w:val="en-AU"/>
        </w:rPr>
        <w:tab/>
      </w:r>
      <w:r w:rsidR="00094602" w:rsidRPr="00585660">
        <w:rPr>
          <w:b w:val="0"/>
          <w:sz w:val="14"/>
          <w:szCs w:val="14"/>
          <w:lang w:val="en-AU"/>
        </w:rPr>
        <w:t xml:space="preserve">Performance Measure 1.2 has been </w:t>
      </w:r>
      <w:r w:rsidR="00094602">
        <w:rPr>
          <w:b w:val="0"/>
          <w:sz w:val="14"/>
          <w:szCs w:val="14"/>
          <w:lang w:val="en-AU"/>
        </w:rPr>
        <w:t>amended</w:t>
      </w:r>
      <w:r w:rsidR="00094602" w:rsidRPr="00585660">
        <w:rPr>
          <w:b w:val="0"/>
          <w:sz w:val="14"/>
          <w:szCs w:val="14"/>
          <w:lang w:val="en-AU"/>
        </w:rPr>
        <w:t xml:space="preserve"> for 2024-25</w:t>
      </w:r>
      <w:r w:rsidR="00094602">
        <w:rPr>
          <w:b w:val="0"/>
          <w:sz w:val="14"/>
          <w:szCs w:val="14"/>
          <w:lang w:val="en-AU"/>
        </w:rPr>
        <w:t>,</w:t>
      </w:r>
      <w:r w:rsidR="00094602" w:rsidRPr="00585660">
        <w:rPr>
          <w:b w:val="0"/>
          <w:sz w:val="14"/>
          <w:szCs w:val="14"/>
          <w:lang w:val="en-AU"/>
        </w:rPr>
        <w:t xml:space="preserve"> as published in the updated </w:t>
      </w:r>
      <w:r w:rsidR="00094602" w:rsidRPr="001D1335">
        <w:rPr>
          <w:b w:val="0"/>
          <w:sz w:val="14"/>
          <w:szCs w:val="14"/>
          <w:lang w:val="en-AU"/>
        </w:rPr>
        <w:t>2024-28</w:t>
      </w:r>
      <w:r w:rsidR="00094602" w:rsidRPr="00585660">
        <w:rPr>
          <w:b w:val="0"/>
          <w:i/>
          <w:sz w:val="14"/>
          <w:szCs w:val="14"/>
          <w:lang w:val="en-AU"/>
        </w:rPr>
        <w:t xml:space="preserve"> </w:t>
      </w:r>
      <w:r w:rsidR="00094602" w:rsidRPr="001D1335">
        <w:rPr>
          <w:b w:val="0"/>
          <w:sz w:val="14"/>
          <w:szCs w:val="14"/>
          <w:lang w:val="en-AU"/>
        </w:rPr>
        <w:t>Defence Corporate Plan</w:t>
      </w:r>
      <w:r w:rsidR="00094602" w:rsidRPr="00585660">
        <w:rPr>
          <w:b w:val="0"/>
          <w:sz w:val="14"/>
          <w:szCs w:val="14"/>
          <w:lang w:val="en-AU"/>
        </w:rPr>
        <w:t xml:space="preserve"> in March 2025. </w:t>
      </w:r>
    </w:p>
    <w:p w14:paraId="2EE0EE71" w14:textId="63022606" w:rsidR="009737EB" w:rsidRPr="009737EB" w:rsidRDefault="009800E8" w:rsidP="00444A89">
      <w:pPr>
        <w:pStyle w:val="TableHeading"/>
        <w:numPr>
          <w:ilvl w:val="0"/>
          <w:numId w:val="73"/>
        </w:numPr>
        <w:spacing w:before="0" w:after="0"/>
        <w:ind w:left="284" w:hanging="284"/>
        <w:rPr>
          <w:b w:val="0"/>
          <w:sz w:val="14"/>
          <w:szCs w:val="14"/>
        </w:rPr>
      </w:pPr>
      <w:r w:rsidRPr="009800E8">
        <w:rPr>
          <w:b w:val="0"/>
          <w:sz w:val="14"/>
          <w:szCs w:val="14"/>
          <w:lang w:val="en-AU"/>
        </w:rPr>
        <w:t>In accordance with Defence’s Enterprise Performance Framework, Defence is undertaking materiality assessments that may result in updates to the 2025-26 performance information in the 2025-29 Defence Corporate Plan, if required</w:t>
      </w:r>
      <w:r w:rsidR="009737EB">
        <w:rPr>
          <w:b w:val="0"/>
          <w:sz w:val="14"/>
          <w:szCs w:val="14"/>
          <w:lang w:val="en-AU"/>
        </w:rPr>
        <w:t xml:space="preserve">. </w:t>
      </w:r>
    </w:p>
    <w:p w14:paraId="2B19BDF0" w14:textId="77777777" w:rsidR="009737EB" w:rsidRDefault="009737EB" w:rsidP="009737EB">
      <w:pPr>
        <w:pStyle w:val="TableHeading"/>
        <w:spacing w:before="0" w:after="120"/>
        <w:outlineLvl w:val="6"/>
        <w:rPr>
          <w:b w:val="0"/>
          <w:sz w:val="14"/>
          <w:szCs w:val="14"/>
          <w:lang w:val="en-AU"/>
        </w:rPr>
      </w:pPr>
    </w:p>
    <w:p w14:paraId="093826CA" w14:textId="77777777" w:rsidR="00F63AEF" w:rsidRPr="008753AA" w:rsidRDefault="00792473" w:rsidP="00F63AEF">
      <w:pPr>
        <w:pStyle w:val="TableHeading"/>
        <w:numPr>
          <w:ilvl w:val="0"/>
          <w:numId w:val="29"/>
        </w:numPr>
        <w:spacing w:before="0" w:after="120"/>
        <w:ind w:left="0" w:firstLine="0"/>
        <w:outlineLvl w:val="6"/>
        <w:rPr>
          <w:lang w:val="en-AU"/>
        </w:rPr>
      </w:pPr>
      <w:r w:rsidRPr="00B56FAA">
        <w:rPr>
          <w:lang w:val="en-AU"/>
        </w:rPr>
        <w:br w:type="page"/>
      </w:r>
      <w:r w:rsidR="00F63AEF" w:rsidRPr="008753AA">
        <w:rPr>
          <w:lang w:val="en-AU"/>
        </w:rPr>
        <w:lastRenderedPageBreak/>
        <w:t>Cost Summary for Program 1.3 Defence Contribution to National Support Tasks in Australia</w:t>
      </w:r>
    </w:p>
    <w:p w14:paraId="36FD1330" w14:textId="46E7E2CA" w:rsidR="00312F38" w:rsidRPr="00B56FAA" w:rsidRDefault="00FB1F61" w:rsidP="00F63AEF">
      <w:pPr>
        <w:pStyle w:val="TableHeading"/>
        <w:spacing w:before="0" w:after="120"/>
        <w:outlineLvl w:val="6"/>
      </w:pPr>
      <w:r w:rsidRPr="00FB1F61">
        <w:rPr>
          <w:noProof/>
          <w:lang w:val="en-AU"/>
        </w:rPr>
        <w:drawing>
          <wp:inline distT="0" distB="0" distL="0" distR="0" wp14:anchorId="0C65A0AE" wp14:editId="7F1CC9C9">
            <wp:extent cx="5471795" cy="335845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71795" cy="3358459"/>
                    </a:xfrm>
                    <a:prstGeom prst="rect">
                      <a:avLst/>
                    </a:prstGeom>
                    <a:noFill/>
                    <a:ln>
                      <a:noFill/>
                    </a:ln>
                  </pic:spPr>
                </pic:pic>
              </a:graphicData>
            </a:graphic>
          </wp:inline>
        </w:drawing>
      </w:r>
    </w:p>
    <w:p w14:paraId="25D5F0EE" w14:textId="77777777" w:rsidR="00656D60" w:rsidRDefault="00656D60" w:rsidP="00656D60">
      <w:pPr>
        <w:spacing w:before="0" w:after="0"/>
        <w:rPr>
          <w:rFonts w:ascii="Arial" w:hAnsi="Arial"/>
          <w:b/>
          <w:sz w:val="14"/>
          <w:szCs w:val="14"/>
          <w:lang w:val="en-AU"/>
        </w:rPr>
      </w:pPr>
    </w:p>
    <w:p w14:paraId="1B88A1CC" w14:textId="77777777" w:rsidR="006B7AD5" w:rsidRDefault="006B7AD5" w:rsidP="00656D60">
      <w:pPr>
        <w:spacing w:before="0" w:after="0"/>
        <w:rPr>
          <w:rFonts w:ascii="Arial" w:hAnsi="Arial"/>
          <w:b/>
          <w:sz w:val="14"/>
          <w:szCs w:val="14"/>
          <w:lang w:val="en-AU"/>
        </w:rPr>
      </w:pPr>
      <w:r>
        <w:rPr>
          <w:rFonts w:ascii="Arial" w:hAnsi="Arial"/>
          <w:b/>
          <w:sz w:val="14"/>
          <w:szCs w:val="14"/>
          <w:lang w:val="en-AU"/>
        </w:rPr>
        <w:t>Note</w:t>
      </w:r>
    </w:p>
    <w:p w14:paraId="63B3BF96" w14:textId="10D3F28D" w:rsidR="006B7AD5" w:rsidRPr="00CA7E64" w:rsidRDefault="006B7AD5" w:rsidP="006B7AD5">
      <w:pPr>
        <w:spacing w:before="0" w:after="0"/>
        <w:ind w:left="284" w:hanging="284"/>
        <w:rPr>
          <w:rFonts w:ascii="Arial" w:hAnsi="Arial"/>
          <w:sz w:val="14"/>
          <w:szCs w:val="14"/>
          <w:lang w:val="en-AU"/>
        </w:rPr>
      </w:pPr>
      <w:r w:rsidRPr="00CA7E64">
        <w:rPr>
          <w:rFonts w:ascii="Arial" w:hAnsi="Arial"/>
          <w:sz w:val="14"/>
          <w:szCs w:val="14"/>
          <w:lang w:val="en-AU"/>
        </w:rPr>
        <w:t xml:space="preserve">a. </w:t>
      </w:r>
      <w:r w:rsidRPr="00CA7E64">
        <w:rPr>
          <w:rFonts w:ascii="Arial" w:hAnsi="Arial"/>
          <w:sz w:val="14"/>
          <w:szCs w:val="14"/>
          <w:lang w:val="en-AU"/>
        </w:rPr>
        <w:tab/>
      </w:r>
      <w:r w:rsidR="00F63AEF" w:rsidRPr="00F63AEF">
        <w:rPr>
          <w:rFonts w:ascii="Arial" w:hAnsi="Arial"/>
          <w:sz w:val="14"/>
          <w:szCs w:val="14"/>
          <w:lang w:val="en-AU"/>
        </w:rPr>
        <w:t>Total Program funded expenditure includes operating expenses and capital expenditure funded by appropriation and own source revenue. This excludes expenses not requiring appropriation.</w:t>
      </w:r>
      <w:r w:rsidR="00F63AEF" w:rsidRPr="00F63AEF">
        <w:rPr>
          <w:rFonts w:ascii="Arial" w:hAnsi="Arial"/>
          <w:sz w:val="14"/>
          <w:szCs w:val="14"/>
          <w:lang w:val="en-AU"/>
        </w:rPr>
        <w:tab/>
      </w:r>
      <w:r w:rsidR="00F63AEF" w:rsidRPr="00F63AEF">
        <w:rPr>
          <w:rFonts w:ascii="Arial" w:hAnsi="Arial"/>
          <w:sz w:val="14"/>
          <w:szCs w:val="14"/>
          <w:lang w:val="en-AU"/>
        </w:rPr>
        <w:tab/>
      </w:r>
      <w:r w:rsidR="00F63AEF" w:rsidRPr="00F63AEF">
        <w:rPr>
          <w:rFonts w:ascii="Arial" w:hAnsi="Arial"/>
          <w:sz w:val="14"/>
          <w:szCs w:val="14"/>
          <w:lang w:val="en-AU"/>
        </w:rPr>
        <w:tab/>
      </w:r>
      <w:r w:rsidR="00F63AEF" w:rsidRPr="00F63AEF">
        <w:rPr>
          <w:rFonts w:ascii="Arial" w:hAnsi="Arial"/>
          <w:sz w:val="14"/>
          <w:szCs w:val="14"/>
          <w:lang w:val="en-AU"/>
        </w:rPr>
        <w:tab/>
      </w:r>
      <w:r w:rsidR="00F63AEF" w:rsidRPr="00F63AEF">
        <w:rPr>
          <w:rFonts w:ascii="Arial" w:hAnsi="Arial"/>
          <w:sz w:val="14"/>
          <w:szCs w:val="14"/>
          <w:lang w:val="en-AU"/>
        </w:rPr>
        <w:tab/>
      </w:r>
      <w:r w:rsidR="0062700E" w:rsidRPr="0062700E">
        <w:rPr>
          <w:rFonts w:ascii="Arial" w:hAnsi="Arial"/>
          <w:sz w:val="14"/>
          <w:szCs w:val="14"/>
          <w:lang w:val="en-AU"/>
        </w:rPr>
        <w:tab/>
      </w:r>
      <w:r w:rsidR="0062700E" w:rsidRPr="0062700E">
        <w:rPr>
          <w:rFonts w:ascii="Arial" w:hAnsi="Arial"/>
          <w:sz w:val="14"/>
          <w:szCs w:val="14"/>
          <w:lang w:val="en-AU"/>
        </w:rPr>
        <w:tab/>
      </w:r>
      <w:r w:rsidR="0062700E" w:rsidRPr="0062700E">
        <w:rPr>
          <w:rFonts w:ascii="Arial" w:hAnsi="Arial"/>
          <w:sz w:val="14"/>
          <w:szCs w:val="14"/>
          <w:lang w:val="en-AU"/>
        </w:rPr>
        <w:tab/>
      </w:r>
      <w:r w:rsidR="0062700E" w:rsidRPr="0062700E">
        <w:rPr>
          <w:rFonts w:ascii="Arial" w:hAnsi="Arial"/>
          <w:sz w:val="14"/>
          <w:szCs w:val="14"/>
          <w:lang w:val="en-AU"/>
        </w:rPr>
        <w:tab/>
      </w:r>
      <w:r w:rsidR="0062700E" w:rsidRPr="0062700E">
        <w:rPr>
          <w:rFonts w:ascii="Arial" w:hAnsi="Arial"/>
          <w:sz w:val="14"/>
          <w:szCs w:val="14"/>
          <w:lang w:val="en-AU"/>
        </w:rPr>
        <w:tab/>
      </w:r>
      <w:r w:rsidRPr="00CA7E64">
        <w:rPr>
          <w:rFonts w:ascii="Arial" w:hAnsi="Arial"/>
          <w:sz w:val="14"/>
          <w:szCs w:val="14"/>
          <w:lang w:val="en-AU"/>
        </w:rPr>
        <w:tab/>
      </w:r>
      <w:r w:rsidRPr="00CA7E64">
        <w:rPr>
          <w:rFonts w:ascii="Arial" w:hAnsi="Arial"/>
          <w:sz w:val="14"/>
          <w:szCs w:val="14"/>
          <w:lang w:val="en-AU"/>
        </w:rPr>
        <w:tab/>
      </w:r>
      <w:r w:rsidRPr="00CA7E64">
        <w:rPr>
          <w:rFonts w:ascii="Arial" w:hAnsi="Arial"/>
          <w:sz w:val="14"/>
          <w:szCs w:val="14"/>
          <w:lang w:val="en-AU"/>
        </w:rPr>
        <w:tab/>
      </w:r>
      <w:r w:rsidRPr="00CA7E64">
        <w:rPr>
          <w:rFonts w:ascii="Arial" w:hAnsi="Arial"/>
          <w:sz w:val="14"/>
          <w:szCs w:val="14"/>
          <w:lang w:val="en-AU"/>
        </w:rPr>
        <w:tab/>
      </w:r>
      <w:r w:rsidRPr="00CA7E64">
        <w:rPr>
          <w:rFonts w:ascii="Arial" w:hAnsi="Arial"/>
          <w:sz w:val="14"/>
          <w:szCs w:val="14"/>
          <w:lang w:val="en-AU"/>
        </w:rPr>
        <w:tab/>
      </w:r>
    </w:p>
    <w:p w14:paraId="01C9CB57" w14:textId="77777777" w:rsidR="00792473" w:rsidRPr="00B56FAA" w:rsidRDefault="00225258" w:rsidP="00F80746">
      <w:pPr>
        <w:tabs>
          <w:tab w:val="left" w:pos="284"/>
        </w:tabs>
        <w:spacing w:before="0" w:after="0"/>
        <w:ind w:left="284" w:hanging="284"/>
        <w:rPr>
          <w:rFonts w:ascii="Arial" w:hAnsi="Arial"/>
          <w:lang w:val="en-AU"/>
        </w:rPr>
      </w:pPr>
      <w:r w:rsidRPr="00B56FAA">
        <w:rPr>
          <w:rFonts w:ascii="Arial" w:hAnsi="Arial"/>
          <w:sz w:val="14"/>
          <w:szCs w:val="14"/>
          <w:lang w:val="en-AU"/>
        </w:rPr>
        <w:tab/>
      </w:r>
      <w:r w:rsidRPr="00B56FAA">
        <w:rPr>
          <w:rFonts w:ascii="Arial" w:hAnsi="Arial"/>
          <w:sz w:val="14"/>
          <w:szCs w:val="14"/>
          <w:lang w:val="en-AU"/>
        </w:rPr>
        <w:tab/>
      </w:r>
      <w:r w:rsidR="00F80746" w:rsidRPr="00B56FAA">
        <w:rPr>
          <w:rFonts w:ascii="Arial" w:hAnsi="Arial"/>
          <w:sz w:val="14"/>
          <w:szCs w:val="14"/>
          <w:lang w:val="en-AU"/>
        </w:rPr>
        <w:tab/>
      </w:r>
      <w:r w:rsidR="00F80746" w:rsidRPr="00B56FAA">
        <w:rPr>
          <w:rFonts w:ascii="Arial" w:hAnsi="Arial"/>
          <w:sz w:val="14"/>
          <w:szCs w:val="14"/>
          <w:lang w:val="en-AU"/>
        </w:rPr>
        <w:tab/>
      </w:r>
      <w:r w:rsidR="00F80746" w:rsidRPr="00B56FAA">
        <w:rPr>
          <w:rFonts w:ascii="Arial" w:hAnsi="Arial"/>
          <w:sz w:val="14"/>
          <w:szCs w:val="14"/>
          <w:lang w:val="en-AU"/>
        </w:rPr>
        <w:tab/>
      </w:r>
      <w:r w:rsidR="00F80746" w:rsidRPr="00B56FAA">
        <w:rPr>
          <w:rFonts w:ascii="Arial" w:hAnsi="Arial"/>
          <w:sz w:val="14"/>
          <w:szCs w:val="14"/>
          <w:lang w:val="en-AU"/>
        </w:rPr>
        <w:tab/>
      </w:r>
      <w:r w:rsidR="00F80746" w:rsidRPr="00B56FAA">
        <w:rPr>
          <w:rFonts w:ascii="Arial" w:hAnsi="Arial"/>
          <w:sz w:val="14"/>
          <w:szCs w:val="14"/>
          <w:lang w:val="en-AU"/>
        </w:rPr>
        <w:tab/>
      </w:r>
    </w:p>
    <w:p w14:paraId="358A8706" w14:textId="77777777" w:rsidR="00792473" w:rsidRPr="00B56FAA" w:rsidRDefault="00792473" w:rsidP="00A9009C">
      <w:pPr>
        <w:rPr>
          <w:rFonts w:ascii="Arial" w:hAnsi="Arial"/>
          <w:b/>
          <w:color w:val="FF0000"/>
          <w:lang w:val="en-AU"/>
        </w:rPr>
        <w:sectPr w:rsidR="00792473" w:rsidRPr="00B56FAA" w:rsidSect="00C30BE6">
          <w:pgSz w:w="11906" w:h="16838" w:code="9"/>
          <w:pgMar w:top="1701" w:right="1361" w:bottom="1701" w:left="1928" w:header="720" w:footer="720" w:gutter="0"/>
          <w:cols w:space="720"/>
        </w:sectPr>
      </w:pPr>
    </w:p>
    <w:p w14:paraId="1E6AB06D" w14:textId="77777777" w:rsidR="00EB2691" w:rsidRPr="00437A14" w:rsidRDefault="00EB2691" w:rsidP="00437A14">
      <w:pPr>
        <w:pStyle w:val="Heading4"/>
      </w:pPr>
      <w:bookmarkStart w:id="775" w:name="_Toc97747830"/>
      <w:bookmarkStart w:id="776" w:name="_Toc108088941"/>
      <w:bookmarkStart w:id="777" w:name="_Toc108089020"/>
      <w:bookmarkStart w:id="778" w:name="_Toc108089415"/>
      <w:bookmarkStart w:id="779" w:name="_Toc159499685"/>
      <w:bookmarkStart w:id="780" w:name="_Toc159859102"/>
      <w:bookmarkStart w:id="781" w:name="_Toc159859254"/>
      <w:r w:rsidRPr="00437A14">
        <w:lastRenderedPageBreak/>
        <w:t>2.2 Budget Expenses and Performance for Outcome 2</w:t>
      </w:r>
      <w:bookmarkEnd w:id="775"/>
      <w:bookmarkEnd w:id="776"/>
      <w:bookmarkEnd w:id="777"/>
      <w:bookmarkEnd w:id="778"/>
      <w:bookmarkEnd w:id="779"/>
      <w:bookmarkEnd w:id="780"/>
      <w:bookmarkEnd w:id="7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607"/>
      </w:tblGrid>
      <w:tr w:rsidR="007F3383" w:rsidRPr="00B56FAA" w14:paraId="391945E9" w14:textId="77777777" w:rsidTr="00DE5B01">
        <w:trPr>
          <w:trHeight w:val="965"/>
        </w:trPr>
        <w:tc>
          <w:tcPr>
            <w:tcW w:w="8833" w:type="dxa"/>
            <w:shd w:val="clear" w:color="auto" w:fill="CCCCCC"/>
          </w:tcPr>
          <w:p w14:paraId="7DFEF566" w14:textId="77777777" w:rsidR="007F3383" w:rsidRPr="00B56FAA" w:rsidRDefault="00D228AC" w:rsidP="0074080E">
            <w:pPr>
              <w:spacing w:line="240" w:lineRule="atLeast"/>
              <w:rPr>
                <w:rFonts w:ascii="Arial" w:hAnsi="Arial"/>
                <w:b/>
                <w:szCs w:val="20"/>
                <w:lang w:val="en-AU"/>
              </w:rPr>
            </w:pPr>
            <w:r w:rsidRPr="00B56FAA">
              <w:rPr>
                <w:lang w:val="en-AU"/>
              </w:rPr>
              <w:br w:type="page"/>
            </w:r>
            <w:r w:rsidR="007F3383" w:rsidRPr="00B56FAA">
              <w:rPr>
                <w:rFonts w:ascii="Arial" w:hAnsi="Arial"/>
                <w:b/>
                <w:lang w:val="en-AU"/>
              </w:rPr>
              <w:t xml:space="preserve">Outcome 2: </w:t>
            </w:r>
            <w:r w:rsidR="002A3A72" w:rsidRPr="00B56FAA">
              <w:rPr>
                <w:rFonts w:ascii="Arial" w:hAnsi="Arial"/>
                <w:b/>
                <w:lang w:val="en-AU"/>
              </w:rPr>
              <w:t>Protect and advance Australia’s strategic interests through the provision of strategic policy, the development, delivery and sustainment of military, intelligence and enabling capabilities, and the promotion of regional and global security and stability as directed by Government.</w:t>
            </w:r>
          </w:p>
        </w:tc>
      </w:tr>
    </w:tbl>
    <w:p w14:paraId="199BDF3A" w14:textId="77777777" w:rsidR="00BF36E5" w:rsidRPr="00B56FAA" w:rsidRDefault="00C8207E" w:rsidP="0042174E">
      <w:pPr>
        <w:pStyle w:val="Heading4level5"/>
        <w:spacing w:before="120" w:after="120"/>
      </w:pPr>
      <w:r w:rsidRPr="00B56FAA">
        <w:t>Outcome 2 Strategy</w:t>
      </w:r>
    </w:p>
    <w:p w14:paraId="50F7EDBA" w14:textId="71422199" w:rsidR="00C50CF3" w:rsidRPr="00DF7DDE" w:rsidRDefault="00C50CF3" w:rsidP="00C50CF3">
      <w:pPr>
        <w:rPr>
          <w:color w:val="000000"/>
          <w:szCs w:val="20"/>
          <w:lang w:val="en-AU"/>
        </w:rPr>
      </w:pPr>
      <w:r w:rsidRPr="00DF7DDE">
        <w:rPr>
          <w:color w:val="000000"/>
          <w:szCs w:val="20"/>
          <w:lang w:val="en-AU"/>
        </w:rPr>
        <w:t>Defence ensures that its policy, strategy, capability an</w:t>
      </w:r>
      <w:r w:rsidR="00404277">
        <w:rPr>
          <w:color w:val="000000"/>
          <w:szCs w:val="20"/>
          <w:lang w:val="en-AU"/>
        </w:rPr>
        <w:t xml:space="preserve">d planning keeps pace with the </w:t>
      </w:r>
      <w:r w:rsidRPr="00DF7DDE">
        <w:rPr>
          <w:color w:val="000000"/>
          <w:szCs w:val="20"/>
          <w:lang w:val="en-AU"/>
        </w:rPr>
        <w:t>rapidly changing strategic environment through the biennial National Defence Strategy cycle. The Defence Strategy Framework, endorsed by the Secretary of Defence and the Chief of the Defence Force, outlines the intelligence-informed, strategy-led and accountable process by which strategy cascades throughout the organisation.</w:t>
      </w:r>
    </w:p>
    <w:p w14:paraId="5267E5AA" w14:textId="77777777" w:rsidR="00C50CF3" w:rsidRPr="00DF7DDE" w:rsidRDefault="00C50CF3" w:rsidP="00C50CF3">
      <w:pPr>
        <w:rPr>
          <w:color w:val="000000"/>
          <w:szCs w:val="20"/>
          <w:lang w:val="en-AU"/>
        </w:rPr>
      </w:pPr>
      <w:r w:rsidRPr="00DF7DDE">
        <w:rPr>
          <w:color w:val="000000"/>
          <w:szCs w:val="20"/>
          <w:lang w:val="en-AU"/>
        </w:rPr>
        <w:t>The biennial National Defence Strategy is Defence’s highest-level classified planning document. It informs the context, preparation and alignment of subsidiary planning documents across policy, enterprise planning, force employment, force generation and force design. The National Defence Strategy implements Cabinet decisions and updated Government direction, identifies priorities, and provides guidance on the tasks that need to be undertaken to achieve the Strategy of Denial.</w:t>
      </w:r>
    </w:p>
    <w:p w14:paraId="76E29694" w14:textId="77777777" w:rsidR="00C50CF3" w:rsidRPr="00DF7DDE" w:rsidRDefault="00C50CF3" w:rsidP="00C50CF3">
      <w:pPr>
        <w:rPr>
          <w:color w:val="000000"/>
          <w:szCs w:val="20"/>
          <w:lang w:val="en-AU"/>
        </w:rPr>
      </w:pPr>
      <w:r w:rsidRPr="00DF7DDE">
        <w:rPr>
          <w:color w:val="000000"/>
          <w:szCs w:val="20"/>
          <w:lang w:val="en-AU"/>
        </w:rPr>
        <w:t xml:space="preserve">The </w:t>
      </w:r>
      <w:r w:rsidRPr="00DF7DDE">
        <w:rPr>
          <w:i/>
          <w:color w:val="000000"/>
          <w:szCs w:val="20"/>
          <w:lang w:val="en-AU"/>
        </w:rPr>
        <w:t>2024 National Defence Strategy</w:t>
      </w:r>
      <w:r w:rsidRPr="00DF7DDE">
        <w:rPr>
          <w:color w:val="000000"/>
          <w:szCs w:val="20"/>
          <w:lang w:val="en-AU"/>
        </w:rPr>
        <w:t xml:space="preserve"> re-weighted the three prevailing strategic defence objectives: to shape Australia’s strategic environment, deter actions against Australia’s interests, and respond with credible military force, when required. While these objectives had previously been weighted equally in Australia’s strategic settings, deterrence is now Australia’s primary Strategic Defence Objective.</w:t>
      </w:r>
    </w:p>
    <w:p w14:paraId="6DB79437" w14:textId="1E8E42D9" w:rsidR="00C50CF3" w:rsidRPr="00DF7DDE" w:rsidRDefault="00C50CF3" w:rsidP="00C50CF3">
      <w:pPr>
        <w:rPr>
          <w:rFonts w:eastAsia="Calibri" w:cs="Calibri"/>
          <w:szCs w:val="20"/>
          <w:lang w:val="en-AU" w:eastAsia="en-US"/>
        </w:rPr>
      </w:pPr>
      <w:r w:rsidRPr="00DF7DDE">
        <w:rPr>
          <w:color w:val="000000"/>
          <w:szCs w:val="20"/>
          <w:lang w:val="en-AU"/>
        </w:rPr>
        <w:t xml:space="preserve">The Government has adopted the Strategy of Denial </w:t>
      </w:r>
      <w:r w:rsidR="00496B4C">
        <w:rPr>
          <w:color w:val="000000"/>
          <w:szCs w:val="20"/>
          <w:lang w:val="en-AU"/>
        </w:rPr>
        <w:t xml:space="preserve">as </w:t>
      </w:r>
      <w:r w:rsidRPr="00DF7DDE">
        <w:rPr>
          <w:color w:val="000000"/>
          <w:szCs w:val="20"/>
          <w:lang w:val="en-AU"/>
        </w:rPr>
        <w:t xml:space="preserve">the cornerstone of Defence planning. This approach aims to deter a potential adversary from taking actions that would be inimical to Australia’s interests and regional stability. </w:t>
      </w:r>
      <w:r w:rsidRPr="00DF7DDE">
        <w:rPr>
          <w:rFonts w:eastAsia="Calibri" w:cs="Calibri"/>
          <w:szCs w:val="20"/>
          <w:lang w:val="en-AU" w:eastAsia="en-US"/>
        </w:rPr>
        <w:t>The Strategy of Denial involves working with the U</w:t>
      </w:r>
      <w:r w:rsidR="00496B4C">
        <w:rPr>
          <w:rFonts w:eastAsia="Calibri" w:cs="Calibri"/>
          <w:szCs w:val="20"/>
          <w:lang w:val="en-AU" w:eastAsia="en-US"/>
        </w:rPr>
        <w:t xml:space="preserve">nited </w:t>
      </w:r>
      <w:r w:rsidRPr="00DF7DDE">
        <w:rPr>
          <w:rFonts w:eastAsia="Calibri" w:cs="Calibri"/>
          <w:szCs w:val="20"/>
          <w:lang w:val="en-AU" w:eastAsia="en-US"/>
        </w:rPr>
        <w:t>S</w:t>
      </w:r>
      <w:r w:rsidR="00496B4C">
        <w:rPr>
          <w:rFonts w:eastAsia="Calibri" w:cs="Calibri"/>
          <w:szCs w:val="20"/>
          <w:lang w:val="en-AU" w:eastAsia="en-US"/>
        </w:rPr>
        <w:t>tates</w:t>
      </w:r>
      <w:r w:rsidRPr="00DF7DDE">
        <w:rPr>
          <w:rFonts w:eastAsia="Calibri" w:cs="Calibri"/>
          <w:szCs w:val="20"/>
          <w:lang w:val="en-AU" w:eastAsia="en-US"/>
        </w:rPr>
        <w:t xml:space="preserve"> and key partners to ensure no country attempts to achieve its regional objectives through military action. By signalling a credible ability to hold potential adversary forces at risk, this strategy also seeks to deter attempts to coerce Australia through force.</w:t>
      </w:r>
    </w:p>
    <w:p w14:paraId="36BDE3EA" w14:textId="77777777" w:rsidR="00C50CF3" w:rsidRPr="00DF7DDE" w:rsidRDefault="00C50CF3" w:rsidP="00C50CF3">
      <w:pPr>
        <w:rPr>
          <w:color w:val="000000"/>
          <w:szCs w:val="20"/>
          <w:lang w:val="en-AU"/>
        </w:rPr>
      </w:pPr>
      <w:r w:rsidRPr="00DF7DDE">
        <w:rPr>
          <w:color w:val="000000"/>
          <w:szCs w:val="20"/>
          <w:lang w:val="en-AU"/>
        </w:rPr>
        <w:t xml:space="preserve">The </w:t>
      </w:r>
      <w:r w:rsidRPr="00DF7DDE">
        <w:rPr>
          <w:i/>
          <w:color w:val="000000"/>
          <w:szCs w:val="20"/>
          <w:lang w:val="en-AU"/>
        </w:rPr>
        <w:t>2024 National Defence Strategy</w:t>
      </w:r>
      <w:r w:rsidRPr="00DF7DDE">
        <w:rPr>
          <w:color w:val="000000"/>
          <w:szCs w:val="20"/>
          <w:lang w:val="en-AU"/>
        </w:rPr>
        <w:t xml:space="preserve"> and the </w:t>
      </w:r>
      <w:r w:rsidRPr="00DF7DDE">
        <w:rPr>
          <w:i/>
          <w:color w:val="000000"/>
          <w:szCs w:val="20"/>
          <w:lang w:val="en-AU"/>
        </w:rPr>
        <w:t>2024 Integrated Investment Program</w:t>
      </w:r>
      <w:r w:rsidRPr="00DF7DDE">
        <w:rPr>
          <w:color w:val="000000"/>
          <w:szCs w:val="20"/>
          <w:lang w:val="en-AU"/>
        </w:rPr>
        <w:t xml:space="preserve"> are designed to ensure the ADF has the capacity to:</w:t>
      </w:r>
    </w:p>
    <w:p w14:paraId="2DDD4B12" w14:textId="2F335D0E" w:rsidR="00C50CF3" w:rsidRPr="00DF7DDE" w:rsidRDefault="00C50CF3" w:rsidP="00444A89">
      <w:pPr>
        <w:numPr>
          <w:ilvl w:val="0"/>
          <w:numId w:val="70"/>
        </w:numPr>
        <w:ind w:left="284" w:hanging="295"/>
        <w:rPr>
          <w:color w:val="000000"/>
          <w:szCs w:val="20"/>
          <w:lang w:val="en-AU"/>
        </w:rPr>
      </w:pPr>
      <w:r w:rsidRPr="00DF7DDE">
        <w:rPr>
          <w:color w:val="000000"/>
          <w:szCs w:val="20"/>
          <w:lang w:val="en-AU"/>
        </w:rPr>
        <w:t xml:space="preserve"> defend Australia and our immediate region;</w:t>
      </w:r>
    </w:p>
    <w:p w14:paraId="1D95BAD2" w14:textId="54BEA2E3" w:rsidR="00C50CF3" w:rsidRPr="00DF7DDE" w:rsidRDefault="00C50CF3" w:rsidP="00444A89">
      <w:pPr>
        <w:numPr>
          <w:ilvl w:val="0"/>
          <w:numId w:val="70"/>
        </w:numPr>
        <w:ind w:left="284" w:hanging="284"/>
        <w:rPr>
          <w:color w:val="000000"/>
          <w:szCs w:val="20"/>
          <w:lang w:val="en-AU"/>
        </w:rPr>
      </w:pPr>
      <w:r w:rsidRPr="00DF7DDE">
        <w:rPr>
          <w:color w:val="000000"/>
          <w:szCs w:val="20"/>
          <w:lang w:val="en-AU"/>
        </w:rPr>
        <w:t xml:space="preserve"> deter through denial any potential adversary’s attempt to project power against Australia </w:t>
      </w:r>
      <w:r w:rsidR="00261C6F">
        <w:rPr>
          <w:color w:val="000000"/>
          <w:szCs w:val="20"/>
          <w:lang w:val="en-AU"/>
        </w:rPr>
        <w:t>t</w:t>
      </w:r>
      <w:r w:rsidRPr="00DF7DDE">
        <w:rPr>
          <w:color w:val="000000"/>
          <w:szCs w:val="20"/>
          <w:lang w:val="en-AU"/>
        </w:rPr>
        <w:t>hrough our northern approaches;</w:t>
      </w:r>
    </w:p>
    <w:p w14:paraId="142CD67E" w14:textId="77777777" w:rsidR="00C50CF3" w:rsidRPr="00DF7DDE" w:rsidRDefault="00C50CF3" w:rsidP="00444A89">
      <w:pPr>
        <w:numPr>
          <w:ilvl w:val="0"/>
          <w:numId w:val="70"/>
        </w:numPr>
        <w:ind w:left="284" w:hanging="284"/>
        <w:rPr>
          <w:color w:val="000000"/>
          <w:szCs w:val="20"/>
          <w:lang w:val="en-AU"/>
        </w:rPr>
      </w:pPr>
      <w:r w:rsidRPr="00DF7DDE">
        <w:rPr>
          <w:color w:val="000000"/>
          <w:szCs w:val="20"/>
          <w:lang w:val="en-AU"/>
        </w:rPr>
        <w:t xml:space="preserve"> </w:t>
      </w:r>
      <w:r w:rsidRPr="00DF7DDE">
        <w:rPr>
          <w:color w:val="000000"/>
          <w:szCs w:val="20"/>
          <w:lang w:val="en-AU"/>
        </w:rPr>
        <w:tab/>
        <w:t>protect Australia’s economic connection to our region and the world;</w:t>
      </w:r>
    </w:p>
    <w:p w14:paraId="172D6F33" w14:textId="77777777" w:rsidR="00C50CF3" w:rsidRPr="00DF7DDE" w:rsidRDefault="00C50CF3" w:rsidP="00444A89">
      <w:pPr>
        <w:numPr>
          <w:ilvl w:val="0"/>
          <w:numId w:val="70"/>
        </w:numPr>
        <w:ind w:left="284" w:hanging="284"/>
        <w:rPr>
          <w:color w:val="000000"/>
          <w:szCs w:val="20"/>
          <w:lang w:val="en-AU"/>
        </w:rPr>
      </w:pPr>
      <w:r w:rsidRPr="00DF7DDE">
        <w:rPr>
          <w:color w:val="000000"/>
          <w:szCs w:val="20"/>
          <w:lang w:val="en-AU"/>
        </w:rPr>
        <w:t xml:space="preserve"> </w:t>
      </w:r>
      <w:r w:rsidRPr="00DF7DDE">
        <w:rPr>
          <w:color w:val="000000"/>
          <w:szCs w:val="20"/>
          <w:lang w:val="en-AU"/>
        </w:rPr>
        <w:tab/>
        <w:t>contribute with our partners to the collective security of the Indo-Pacific; and</w:t>
      </w:r>
    </w:p>
    <w:p w14:paraId="450FBFAF" w14:textId="77777777" w:rsidR="00C50CF3" w:rsidRPr="00DF7DDE" w:rsidRDefault="00C50CF3" w:rsidP="00444A89">
      <w:pPr>
        <w:numPr>
          <w:ilvl w:val="0"/>
          <w:numId w:val="70"/>
        </w:numPr>
        <w:ind w:left="284" w:hanging="284"/>
        <w:rPr>
          <w:color w:val="000000"/>
          <w:szCs w:val="20"/>
          <w:lang w:val="en-AU"/>
        </w:rPr>
      </w:pPr>
      <w:r w:rsidRPr="00DF7DDE">
        <w:rPr>
          <w:color w:val="000000"/>
          <w:szCs w:val="20"/>
          <w:lang w:val="en-AU"/>
        </w:rPr>
        <w:t xml:space="preserve"> </w:t>
      </w:r>
      <w:r w:rsidRPr="00DF7DDE">
        <w:rPr>
          <w:color w:val="000000"/>
          <w:szCs w:val="20"/>
          <w:lang w:val="en-AU"/>
        </w:rPr>
        <w:tab/>
        <w:t>contribute with our partners to the maintenance of the global rules-based order.</w:t>
      </w:r>
    </w:p>
    <w:p w14:paraId="08397358" w14:textId="77777777" w:rsidR="00C50CF3" w:rsidRPr="00DF7DDE" w:rsidRDefault="00C50CF3" w:rsidP="00C50CF3">
      <w:pPr>
        <w:rPr>
          <w:color w:val="000000"/>
          <w:szCs w:val="20"/>
          <w:lang w:val="en-AU"/>
        </w:rPr>
      </w:pPr>
      <w:r w:rsidRPr="00DF7DDE">
        <w:rPr>
          <w:color w:val="000000"/>
          <w:szCs w:val="20"/>
          <w:lang w:val="en-AU"/>
        </w:rPr>
        <w:t>The Government has committed to a biennial National Defence Strategy cycle to ensure Defence policy, strategy, capability and planning keep pace with the rapidly evolving strategic environment, respond to Australia’s national security priorities and provide clarity of process and approach to defence industry. The next National Defence Strategy will be delivered in 2026.</w:t>
      </w:r>
      <w:r w:rsidRPr="00DF7DDE" w:rsidDel="00D377BE">
        <w:rPr>
          <w:color w:val="000000"/>
          <w:szCs w:val="20"/>
          <w:lang w:val="en-AU"/>
        </w:rPr>
        <w:t xml:space="preserve"> </w:t>
      </w:r>
    </w:p>
    <w:p w14:paraId="1F0AB77C" w14:textId="551DE2CE" w:rsidR="00C50CF3" w:rsidRPr="00DF7DDE" w:rsidRDefault="00C50CF3" w:rsidP="00C50CF3">
      <w:pPr>
        <w:rPr>
          <w:color w:val="000000"/>
          <w:szCs w:val="20"/>
          <w:lang w:val="en-AU"/>
        </w:rPr>
      </w:pPr>
      <w:r w:rsidRPr="00DF7DDE">
        <w:rPr>
          <w:color w:val="000000"/>
          <w:szCs w:val="20"/>
          <w:lang w:val="en-AU"/>
        </w:rPr>
        <w:lastRenderedPageBreak/>
        <w:tab/>
      </w:r>
      <w:r w:rsidRPr="00DF7DDE">
        <w:rPr>
          <w:color w:val="000000"/>
          <w:szCs w:val="20"/>
          <w:lang w:val="en-AU"/>
        </w:rPr>
        <w:tab/>
      </w:r>
      <w:r w:rsidRPr="00DF7DDE">
        <w:rPr>
          <w:color w:val="000000"/>
          <w:szCs w:val="20"/>
          <w:lang w:val="en-AU"/>
        </w:rPr>
        <w:tab/>
      </w:r>
      <w:r w:rsidRPr="00DF7DDE">
        <w:rPr>
          <w:color w:val="000000"/>
          <w:szCs w:val="20"/>
          <w:lang w:val="en-AU"/>
        </w:rPr>
        <w:tab/>
        <w:t>International engagement remains a critical function of Defence. Defence works with the United States and key partners to build a stable, secure and prosperous region that is free from coercion. Defence conducts operations and exercises in the region – including with the United States and key partners – to underpin the international rules</w:t>
      </w:r>
      <w:r w:rsidRPr="00DF7DDE">
        <w:rPr>
          <w:color w:val="000000"/>
          <w:szCs w:val="20"/>
          <w:lang w:val="en-AU"/>
        </w:rPr>
        <w:noBreakHyphen/>
        <w:t xml:space="preserve">based order, maintain regional security and stability, and deter potential adversaries. The Defence Cooperation Program is a key part of our Defence engagement, enhancing shared understanding and capability with our partners in the Pacific, Southeast Asia and Northeast Indian Ocean. We are building on decades of </w:t>
      </w:r>
      <w:r w:rsidR="00496B4C">
        <w:rPr>
          <w:color w:val="000000"/>
          <w:szCs w:val="20"/>
          <w:lang w:val="en-AU"/>
        </w:rPr>
        <w:t>d</w:t>
      </w:r>
      <w:r w:rsidRPr="00DF7DDE">
        <w:rPr>
          <w:color w:val="000000"/>
          <w:szCs w:val="20"/>
          <w:lang w:val="en-AU"/>
        </w:rPr>
        <w:t xml:space="preserve">efence cooperation and interoperability, working together to meet regional security priorities, and investing to play our part in keeping and building peace in our region. </w:t>
      </w:r>
    </w:p>
    <w:p w14:paraId="792DD294" w14:textId="2984E9A8" w:rsidR="00C50CF3" w:rsidRPr="00DF7DDE" w:rsidRDefault="00C50CF3" w:rsidP="00C50CF3">
      <w:pPr>
        <w:rPr>
          <w:color w:val="000000"/>
          <w:szCs w:val="20"/>
          <w:lang w:val="en-AU"/>
        </w:rPr>
      </w:pPr>
      <w:r w:rsidRPr="00DF7DDE">
        <w:rPr>
          <w:color w:val="000000"/>
          <w:szCs w:val="20"/>
          <w:lang w:val="en-AU"/>
        </w:rPr>
        <w:t xml:space="preserve">Australia’s support for the principles of sovereignty, territorial integrity and international law is not constrained by geography. Australia has committed over </w:t>
      </w:r>
      <w:r w:rsidRPr="006A5141">
        <w:rPr>
          <w:color w:val="000000"/>
          <w:szCs w:val="20"/>
          <w:lang w:val="en-AU"/>
        </w:rPr>
        <w:t>$</w:t>
      </w:r>
      <w:r w:rsidR="00B442A5" w:rsidRPr="006A5141">
        <w:rPr>
          <w:color w:val="000000"/>
          <w:szCs w:val="20"/>
          <w:lang w:val="en-AU"/>
        </w:rPr>
        <w:t>1.3</w:t>
      </w:r>
      <w:r w:rsidRPr="006A5141">
        <w:rPr>
          <w:color w:val="000000"/>
          <w:szCs w:val="20"/>
          <w:lang w:val="en-AU"/>
        </w:rPr>
        <w:t> </w:t>
      </w:r>
      <w:r w:rsidR="00B442A5" w:rsidRPr="006A5141">
        <w:rPr>
          <w:color w:val="000000"/>
          <w:szCs w:val="20"/>
          <w:lang w:val="en-AU"/>
        </w:rPr>
        <w:t>b</w:t>
      </w:r>
      <w:r w:rsidRPr="006A5141">
        <w:rPr>
          <w:color w:val="000000"/>
          <w:szCs w:val="20"/>
          <w:lang w:val="en-AU"/>
        </w:rPr>
        <w:t>illion</w:t>
      </w:r>
      <w:r w:rsidRPr="00B442A5">
        <w:rPr>
          <w:color w:val="000000"/>
          <w:szCs w:val="20"/>
          <w:lang w:val="en-AU"/>
        </w:rPr>
        <w:t xml:space="preserve"> in military assistance </w:t>
      </w:r>
      <w:r w:rsidR="00B442A5">
        <w:rPr>
          <w:color w:val="000000"/>
          <w:szCs w:val="20"/>
          <w:lang w:val="en-AU"/>
        </w:rPr>
        <w:t xml:space="preserve">to </w:t>
      </w:r>
      <w:r w:rsidRPr="00DF7DDE">
        <w:rPr>
          <w:color w:val="000000"/>
          <w:szCs w:val="20"/>
          <w:lang w:val="en-AU"/>
        </w:rPr>
        <w:t>support Ukraine’s self</w:t>
      </w:r>
      <w:r w:rsidRPr="00DF7DDE">
        <w:rPr>
          <w:color w:val="000000"/>
          <w:szCs w:val="20"/>
          <w:lang w:val="en-AU"/>
        </w:rPr>
        <w:noBreakHyphen/>
        <w:t xml:space="preserve">defence. In addition to materiel and financial support, the Australian Defence Force continues to make an important contribution to multinational efforts in support of Ukraine under Operation Kudu. The Australian Defence Force is also providing personnel to support maritime security in the Middle East, including by supporting coalition efforts to protect international shipping transiting the Red Sea. </w:t>
      </w:r>
    </w:p>
    <w:p w14:paraId="61B0DB2D" w14:textId="40E536F2" w:rsidR="001B6197" w:rsidRPr="00A405EE" w:rsidRDefault="001B6197" w:rsidP="001B6197">
      <w:pPr>
        <w:rPr>
          <w:color w:val="000000"/>
          <w:szCs w:val="20"/>
          <w:highlight w:val="yellow"/>
          <w:lang w:val="en-AU"/>
        </w:rPr>
      </w:pPr>
      <w:r w:rsidRPr="00C54429">
        <w:rPr>
          <w:color w:val="000000"/>
        </w:rPr>
        <w:t>A continued focus in 2025 includes the ongoing implementation</w:t>
      </w:r>
      <w:r w:rsidRPr="004A57AF">
        <w:rPr>
          <w:color w:val="000000"/>
        </w:rPr>
        <w:t xml:space="preserve"> of the </w:t>
      </w:r>
      <w:r w:rsidRPr="004A57AF">
        <w:rPr>
          <w:i/>
          <w:iCs/>
          <w:color w:val="000000"/>
        </w:rPr>
        <w:t>Defence Trade Control Amendment</w:t>
      </w:r>
      <w:r w:rsidRPr="00C54429">
        <w:rPr>
          <w:i/>
          <w:iCs/>
          <w:color w:val="000000"/>
        </w:rPr>
        <w:t xml:space="preserve"> Act 2014</w:t>
      </w:r>
      <w:r w:rsidRPr="00C54429">
        <w:rPr>
          <w:color w:val="000000"/>
        </w:rPr>
        <w:t xml:space="preserve"> which </w:t>
      </w:r>
      <w:r w:rsidR="00496B4C">
        <w:rPr>
          <w:color w:val="000000"/>
        </w:rPr>
        <w:t>established</w:t>
      </w:r>
      <w:r w:rsidRPr="00C54429">
        <w:rPr>
          <w:color w:val="000000"/>
        </w:rPr>
        <w:t xml:space="preserve"> a trilateral export control licence-free environment with the United States and the United Kingdom. This legislation came into effect </w:t>
      </w:r>
      <w:r w:rsidR="00496B4C">
        <w:rPr>
          <w:color w:val="000000"/>
        </w:rPr>
        <w:t>on</w:t>
      </w:r>
      <w:r w:rsidRPr="00C54429">
        <w:rPr>
          <w:color w:val="000000"/>
        </w:rPr>
        <w:t xml:space="preserve"> 1 September 2024, with the </w:t>
      </w:r>
      <w:r w:rsidR="00496B4C">
        <w:rPr>
          <w:color w:val="000000"/>
        </w:rPr>
        <w:t xml:space="preserve">commencement </w:t>
      </w:r>
      <w:r w:rsidRPr="00C54429">
        <w:rPr>
          <w:color w:val="000000"/>
        </w:rPr>
        <w:t>of</w:t>
      </w:r>
      <w:r w:rsidR="00496B4C">
        <w:rPr>
          <w:color w:val="000000"/>
        </w:rPr>
        <w:t xml:space="preserve"> its</w:t>
      </w:r>
      <w:r w:rsidRPr="00C54429">
        <w:rPr>
          <w:color w:val="000000"/>
        </w:rPr>
        <w:t xml:space="preserve"> three new offences coming into effect on 1 March 2025.</w:t>
      </w:r>
      <w:r w:rsidRPr="004A57AF">
        <w:rPr>
          <w:color w:val="000000"/>
        </w:rPr>
        <w:t xml:space="preserve"> Defence will also seek to strengthen industrial engagement with other priority partners in the region to bolster collective capability and resilience. Regulating the export of military and dual-use goods and technologies (consistent with Australia’s national interest) is vital for maintaining the ADF’s security and capability edge, preventing regional and international</w:t>
      </w:r>
      <w:r w:rsidRPr="00C54429">
        <w:rPr>
          <w:color w:val="000000"/>
        </w:rPr>
        <w:t xml:space="preserve"> instability, ensuring Australia upholds international obligations, through participation in a series of multilateral non-proliferation and export control regimes, </w:t>
      </w:r>
      <w:r w:rsidRPr="004A57AF">
        <w:rPr>
          <w:color w:val="000000"/>
        </w:rPr>
        <w:t>and preventing the illicit trade of conventional weapons or proliferation of weapons of mass destruction.</w:t>
      </w:r>
    </w:p>
    <w:p w14:paraId="6271F434" w14:textId="77777777" w:rsidR="007410BA" w:rsidRDefault="00C50CF3" w:rsidP="00E824E3">
      <w:pPr>
        <w:rPr>
          <w:szCs w:val="20"/>
          <w:lang w:val="en-AU"/>
        </w:rPr>
      </w:pPr>
      <w:r w:rsidRPr="00DF7DDE">
        <w:rPr>
          <w:color w:val="000000"/>
          <w:szCs w:val="20"/>
          <w:lang w:val="en-AU"/>
        </w:rPr>
        <w:t xml:space="preserve">Defence is strengthening our cooperation with key partners in the Indo-Pacific, including Japan, India, the Republic of Korea, and France. Defence is enhancing operational cooperation with Japan through the 2022 Joint Declaration on Security Cooperation and the Australia-Japan Reciprocal Access Agreement, both reflections of our strategic alignment. Defence is developing an enduring and reciprocal framework to support increasingly sophisticated defence activities with the Republic of Korea. With India, Defence is enhancing maritime domain awareness cooperation and exercising with increased complexity </w:t>
      </w:r>
      <w:r w:rsidRPr="00DF7DDE">
        <w:rPr>
          <w:szCs w:val="20"/>
          <w:lang w:val="en-AU"/>
        </w:rPr>
        <w:t xml:space="preserve">and regularity. </w:t>
      </w:r>
      <w:r w:rsidRPr="00DF7DDE">
        <w:t>Defence is also deepening operational cooperation with France in the Indo-Pacific</w:t>
      </w:r>
      <w:r w:rsidRPr="00DF7DDE">
        <w:rPr>
          <w:szCs w:val="20"/>
          <w:lang w:val="en-AU"/>
        </w:rPr>
        <w:t>.</w:t>
      </w:r>
    </w:p>
    <w:p w14:paraId="19F23623" w14:textId="736EFAA9" w:rsidR="002C4647" w:rsidRPr="00CD66E1" w:rsidRDefault="00E824E3" w:rsidP="00E824E3">
      <w:pPr>
        <w:rPr>
          <w:color w:val="000000"/>
          <w:highlight w:val="yellow"/>
        </w:rPr>
      </w:pPr>
      <w:r w:rsidRPr="001E608A">
        <w:t xml:space="preserve">A strong partnership with defence industry </w:t>
      </w:r>
      <w:r w:rsidRPr="001E608A">
        <w:rPr>
          <w:color w:val="000000"/>
        </w:rPr>
        <w:t xml:space="preserve">is critical </w:t>
      </w:r>
      <w:r w:rsidR="00496B4C">
        <w:rPr>
          <w:color w:val="000000"/>
        </w:rPr>
        <w:t>to delivering d</w:t>
      </w:r>
      <w:r w:rsidRPr="001E608A">
        <w:rPr>
          <w:color w:val="000000"/>
        </w:rPr>
        <w:t>efence capabilities. A capable, resilient, competitive and innovative sovereign defence industrial base enables Defence’s mission and Australia’s national security outcomes. The Government</w:t>
      </w:r>
      <w:r w:rsidR="00496B4C">
        <w:rPr>
          <w:color w:val="000000"/>
        </w:rPr>
        <w:t xml:space="preserve">’s </w:t>
      </w:r>
      <w:r w:rsidR="00585274">
        <w:rPr>
          <w:i/>
          <w:color w:val="000000"/>
        </w:rPr>
        <w:t>2024 </w:t>
      </w:r>
      <w:r w:rsidRPr="00585274">
        <w:rPr>
          <w:i/>
          <w:color w:val="000000"/>
        </w:rPr>
        <w:t>D</w:t>
      </w:r>
      <w:r w:rsidRPr="001E608A">
        <w:rPr>
          <w:i/>
          <w:color w:val="000000"/>
        </w:rPr>
        <w:t>efence Industry Development Strategy</w:t>
      </w:r>
      <w:r w:rsidR="00496B4C">
        <w:rPr>
          <w:color w:val="000000"/>
        </w:rPr>
        <w:t xml:space="preserve"> establishes</w:t>
      </w:r>
      <w:r w:rsidRPr="001E608A">
        <w:rPr>
          <w:color w:val="000000"/>
        </w:rPr>
        <w:t xml:space="preserve"> the framework and principles for the direction of defence industry policy. The</w:t>
      </w:r>
      <w:r w:rsidR="00B605AE" w:rsidRPr="001E608A">
        <w:rPr>
          <w:color w:val="000000"/>
        </w:rPr>
        <w:t> Strategy</w:t>
      </w:r>
      <w:r w:rsidRPr="001E608A">
        <w:rPr>
          <w:color w:val="000000"/>
        </w:rPr>
        <w:t xml:space="preserve"> includes initiatives to develop the sovereign defence industrial base required to meet our national security needs. </w:t>
      </w:r>
      <w:r w:rsidR="005865BF">
        <w:rPr>
          <w:color w:val="000000"/>
        </w:rPr>
        <w:t>The next Defence Industry Development Strategy will be delivered in 2026 to align with the biennial National Defence Strategy cycle.</w:t>
      </w:r>
    </w:p>
    <w:p w14:paraId="08081D85" w14:textId="77777777" w:rsidR="007410BA" w:rsidRDefault="007410BA">
      <w:pPr>
        <w:spacing w:before="0" w:after="0"/>
        <w:rPr>
          <w:color w:val="000000"/>
        </w:rPr>
      </w:pPr>
      <w:r>
        <w:rPr>
          <w:color w:val="000000"/>
        </w:rPr>
        <w:br w:type="page"/>
      </w:r>
    </w:p>
    <w:p w14:paraId="18FC3208" w14:textId="48F95AEE" w:rsidR="004A6687" w:rsidRPr="00CD03A8" w:rsidRDefault="00C50CF3" w:rsidP="004A6687">
      <w:pPr>
        <w:rPr>
          <w:color w:val="000000"/>
          <w:szCs w:val="20"/>
          <w:lang w:val="en-AU"/>
        </w:rPr>
      </w:pPr>
      <w:r w:rsidRPr="00DF7DDE">
        <w:rPr>
          <w:szCs w:val="20"/>
        </w:rPr>
        <w:lastRenderedPageBreak/>
        <w:t xml:space="preserve">Intelligence delivers decision advantage to the Government, Defence leaders and operational commanders. It is a critical enabler for the integration and interoperability of our next-generation platforms, ensuring a capability edge through superior battlespace awareness. Defence Intelligence agencies continue to work closely with, and as, members of the National Intelligence Community so </w:t>
      </w:r>
      <w:r w:rsidRPr="00DF7DDE">
        <w:rPr>
          <w:color w:val="000000"/>
          <w:szCs w:val="20"/>
          <w:lang w:val="en-AU"/>
        </w:rPr>
        <w:t>that</w:t>
      </w:r>
      <w:r w:rsidRPr="00DF7DDE">
        <w:rPr>
          <w:szCs w:val="20"/>
        </w:rPr>
        <w:t xml:space="preserve"> current and future </w:t>
      </w:r>
      <w:r w:rsidRPr="001D62C4">
        <w:rPr>
          <w:szCs w:val="20"/>
        </w:rPr>
        <w:t>national security challenges are met and Australia’s interests are maintained and protected</w:t>
      </w:r>
      <w:r w:rsidR="004A6687" w:rsidRPr="00CD03A8">
        <w:rPr>
          <w:szCs w:val="20"/>
        </w:rPr>
        <w:t>.</w:t>
      </w:r>
    </w:p>
    <w:p w14:paraId="1E181913" w14:textId="77777777" w:rsidR="00BF36E5" w:rsidRDefault="004A6687" w:rsidP="008E6E4D">
      <w:pPr>
        <w:pStyle w:val="Heading4level5"/>
        <w:spacing w:before="0" w:after="200"/>
      </w:pPr>
      <w:r w:rsidRPr="00CD66E1">
        <w:rPr>
          <w:color w:val="000000"/>
          <w:szCs w:val="20"/>
          <w:highlight w:val="yellow"/>
          <w:lang w:val="en-AU"/>
        </w:rPr>
        <w:br w:type="page"/>
      </w:r>
      <w:r w:rsidR="00C8207E" w:rsidRPr="008E6E4D">
        <w:lastRenderedPageBreak/>
        <w:t>Linked Programs</w:t>
      </w: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8607"/>
      </w:tblGrid>
      <w:tr w:rsidR="00353707" w:rsidRPr="006278E0" w14:paraId="55D7BF23" w14:textId="77777777" w:rsidTr="00E3161E">
        <w:trPr>
          <w:trHeight w:val="113"/>
        </w:trPr>
        <w:tc>
          <w:tcPr>
            <w:tcW w:w="5000" w:type="pct"/>
          </w:tcPr>
          <w:p w14:paraId="1D86C246" w14:textId="77777777" w:rsidR="00353707" w:rsidRPr="006278E0" w:rsidRDefault="00353707" w:rsidP="00E3161E">
            <w:pPr>
              <w:spacing w:before="60" w:after="60"/>
              <w:rPr>
                <w:rFonts w:ascii="Arial" w:hAnsi="Arial"/>
                <w:b/>
                <w:sz w:val="24"/>
                <w:lang w:val="en-AU"/>
              </w:rPr>
            </w:pPr>
            <w:r w:rsidRPr="006278E0">
              <w:rPr>
                <w:rFonts w:cs="Times New Roman"/>
                <w:b/>
                <w:szCs w:val="20"/>
                <w:lang w:val="en-AU"/>
              </w:rPr>
              <w:t>Attorney-General’s Department</w:t>
            </w:r>
          </w:p>
        </w:tc>
      </w:tr>
      <w:tr w:rsidR="00353707" w:rsidRPr="006278E0" w14:paraId="4EB2B382" w14:textId="77777777" w:rsidTr="00E3161E">
        <w:trPr>
          <w:trHeight w:val="113"/>
        </w:trPr>
        <w:tc>
          <w:tcPr>
            <w:tcW w:w="5000" w:type="pct"/>
          </w:tcPr>
          <w:p w14:paraId="50CC7509" w14:textId="77777777" w:rsidR="00353707" w:rsidRPr="006278E0" w:rsidRDefault="00353707" w:rsidP="00E3161E">
            <w:pPr>
              <w:spacing w:before="60" w:after="60"/>
              <w:rPr>
                <w:rFonts w:cs="Times New Roman"/>
                <w:szCs w:val="20"/>
                <w:lang w:val="en-AU"/>
              </w:rPr>
            </w:pPr>
            <w:r w:rsidRPr="006278E0">
              <w:rPr>
                <w:szCs w:val="20"/>
                <w:lang w:eastAsia="en-US"/>
              </w:rPr>
              <w:t xml:space="preserve">Program 1.8 </w:t>
            </w:r>
            <w:r w:rsidRPr="006278E0">
              <w:rPr>
                <w:rFonts w:cs="Times New Roman"/>
                <w:szCs w:val="20"/>
                <w:lang w:val="en-AU"/>
              </w:rPr>
              <w:t>–</w:t>
            </w:r>
            <w:r w:rsidRPr="006278E0">
              <w:rPr>
                <w:szCs w:val="20"/>
                <w:lang w:eastAsia="en-US"/>
              </w:rPr>
              <w:t xml:space="preserve"> Nuclear-Powered Submarines.</w:t>
            </w:r>
          </w:p>
        </w:tc>
      </w:tr>
      <w:tr w:rsidR="00353707" w:rsidRPr="006278E0" w14:paraId="09CD53BD" w14:textId="77777777" w:rsidTr="00E3161E">
        <w:trPr>
          <w:trHeight w:val="113"/>
        </w:trPr>
        <w:tc>
          <w:tcPr>
            <w:tcW w:w="5000" w:type="pct"/>
          </w:tcPr>
          <w:p w14:paraId="389D68E1" w14:textId="77777777" w:rsidR="00353707" w:rsidRPr="006278E0" w:rsidRDefault="00353707" w:rsidP="00E3161E">
            <w:pPr>
              <w:spacing w:before="60" w:after="60"/>
              <w:rPr>
                <w:rFonts w:cs="Times New Roman"/>
                <w:b/>
                <w:szCs w:val="20"/>
                <w:lang w:val="en-AU"/>
              </w:rPr>
            </w:pPr>
            <w:r w:rsidRPr="006278E0">
              <w:rPr>
                <w:rFonts w:cs="Times New Roman"/>
                <w:b/>
                <w:szCs w:val="20"/>
                <w:lang w:val="en-AU"/>
              </w:rPr>
              <w:t>Contribution to Outcome 2 by linked programs</w:t>
            </w:r>
          </w:p>
        </w:tc>
      </w:tr>
      <w:tr w:rsidR="00353707" w:rsidRPr="006278E0" w14:paraId="4329E29B" w14:textId="77777777" w:rsidTr="00E3161E">
        <w:trPr>
          <w:trHeight w:val="113"/>
        </w:trPr>
        <w:tc>
          <w:tcPr>
            <w:tcW w:w="5000" w:type="pct"/>
          </w:tcPr>
          <w:p w14:paraId="25121E87" w14:textId="77777777" w:rsidR="00353707" w:rsidRPr="006278E0" w:rsidRDefault="00353707" w:rsidP="00E3161E">
            <w:pPr>
              <w:spacing w:before="60" w:after="60"/>
              <w:rPr>
                <w:rFonts w:cs="Times New Roman"/>
                <w:szCs w:val="20"/>
                <w:lang w:val="en-AU"/>
              </w:rPr>
            </w:pPr>
            <w:r w:rsidRPr="006278E0">
              <w:rPr>
                <w:szCs w:val="20"/>
                <w:lang w:eastAsia="en-US"/>
              </w:rPr>
              <w:t>The Attorney-General’s Department provides policy and legal advice to the government on the legal risks of the Nuclear-Powered Submarine Program, and international and domestic regulatory frameworks.</w:t>
            </w:r>
          </w:p>
        </w:tc>
      </w:tr>
    </w:tbl>
    <w:p w14:paraId="38E72BAD" w14:textId="77777777" w:rsidR="00353707" w:rsidRPr="006278E0" w:rsidRDefault="00353707" w:rsidP="00353707">
      <w:pPr>
        <w:spacing w:before="0" w:after="0"/>
        <w:jc w:val="both"/>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8607"/>
      </w:tblGrid>
      <w:tr w:rsidR="00353707" w:rsidRPr="006278E0" w14:paraId="25B03052" w14:textId="77777777" w:rsidTr="00E3161E">
        <w:trPr>
          <w:trHeight w:val="113"/>
        </w:trPr>
        <w:tc>
          <w:tcPr>
            <w:tcW w:w="5000" w:type="pct"/>
          </w:tcPr>
          <w:p w14:paraId="17835DBF" w14:textId="77777777" w:rsidR="00353707" w:rsidRPr="006278E0" w:rsidRDefault="00353707" w:rsidP="00E3161E">
            <w:pPr>
              <w:spacing w:before="60"/>
              <w:rPr>
                <w:b/>
                <w:lang w:val="en-AU"/>
              </w:rPr>
            </w:pPr>
            <w:r w:rsidRPr="006278E0">
              <w:rPr>
                <w:b/>
                <w:lang w:val="en-AU"/>
              </w:rPr>
              <w:t>Australian Federal Police</w:t>
            </w:r>
          </w:p>
        </w:tc>
      </w:tr>
      <w:tr w:rsidR="00353707" w:rsidRPr="006278E0" w14:paraId="73FC6499" w14:textId="77777777" w:rsidTr="00E3161E">
        <w:trPr>
          <w:trHeight w:val="113"/>
        </w:trPr>
        <w:tc>
          <w:tcPr>
            <w:tcW w:w="5000" w:type="pct"/>
          </w:tcPr>
          <w:p w14:paraId="733A7BA6" w14:textId="77777777" w:rsidR="00353707" w:rsidRPr="006278E0" w:rsidRDefault="00353707" w:rsidP="00E3161E">
            <w:pPr>
              <w:spacing w:before="60" w:after="60"/>
              <w:rPr>
                <w:lang w:val="en-AU"/>
              </w:rPr>
            </w:pPr>
            <w:r w:rsidRPr="006278E0">
              <w:rPr>
                <w:lang w:val="en-AU"/>
              </w:rPr>
              <w:t xml:space="preserve">Program 1.1 </w:t>
            </w:r>
            <w:r w:rsidRPr="006278E0">
              <w:rPr>
                <w:rFonts w:cs="Times New Roman"/>
                <w:szCs w:val="20"/>
                <w:lang w:val="en-AU"/>
              </w:rPr>
              <w:t>–</w:t>
            </w:r>
            <w:r w:rsidRPr="006278E0">
              <w:rPr>
                <w:lang w:val="en-AU"/>
              </w:rPr>
              <w:t xml:space="preserve"> Federal Policing.</w:t>
            </w:r>
          </w:p>
          <w:p w14:paraId="25A6828C" w14:textId="77777777" w:rsidR="00353707" w:rsidRPr="006278E0" w:rsidRDefault="00353707" w:rsidP="00E3161E">
            <w:pPr>
              <w:spacing w:before="60" w:after="60"/>
              <w:rPr>
                <w:lang w:val="en-AU"/>
              </w:rPr>
            </w:pPr>
            <w:r w:rsidRPr="006278E0">
              <w:rPr>
                <w:lang w:val="en-AU"/>
              </w:rPr>
              <w:t xml:space="preserve">Program 3.1 – Specialist Protective </w:t>
            </w:r>
            <w:r w:rsidR="00D96390" w:rsidRPr="006278E0">
              <w:rPr>
                <w:lang w:val="en-AU"/>
              </w:rPr>
              <w:t>S</w:t>
            </w:r>
            <w:r w:rsidRPr="006278E0">
              <w:rPr>
                <w:lang w:val="en-AU"/>
              </w:rPr>
              <w:t>ervices</w:t>
            </w:r>
            <w:r w:rsidR="00DB6779" w:rsidRPr="006278E0">
              <w:rPr>
                <w:lang w:val="en-AU"/>
              </w:rPr>
              <w:t>.</w:t>
            </w:r>
          </w:p>
          <w:p w14:paraId="7FEAF66B" w14:textId="77777777" w:rsidR="00353707" w:rsidRPr="006278E0" w:rsidRDefault="00353707" w:rsidP="00E3161E">
            <w:pPr>
              <w:spacing w:before="60" w:after="60"/>
              <w:rPr>
                <w:lang w:val="en-AU"/>
              </w:rPr>
            </w:pPr>
            <w:r w:rsidRPr="006278E0">
              <w:t xml:space="preserve">Program 3.2 </w:t>
            </w:r>
            <w:r w:rsidRPr="006278E0">
              <w:rPr>
                <w:rFonts w:cs="Times New Roman"/>
                <w:szCs w:val="20"/>
                <w:lang w:val="en-AU"/>
              </w:rPr>
              <w:t>–</w:t>
            </w:r>
            <w:r w:rsidRPr="006278E0">
              <w:rPr>
                <w:szCs w:val="20"/>
                <w:lang w:val="en-AU"/>
              </w:rPr>
              <w:t xml:space="preserve"> </w:t>
            </w:r>
            <w:r w:rsidRPr="006278E0">
              <w:t>International Police Assistance and External Territories.</w:t>
            </w:r>
          </w:p>
        </w:tc>
      </w:tr>
      <w:tr w:rsidR="00353707" w:rsidRPr="006278E0" w14:paraId="4E399B37" w14:textId="77777777" w:rsidTr="00E3161E">
        <w:trPr>
          <w:trHeight w:val="113"/>
        </w:trPr>
        <w:tc>
          <w:tcPr>
            <w:tcW w:w="5000" w:type="pct"/>
          </w:tcPr>
          <w:p w14:paraId="34AC39FE" w14:textId="77777777" w:rsidR="00353707" w:rsidRPr="006278E0" w:rsidRDefault="00353707" w:rsidP="00E3161E">
            <w:pPr>
              <w:spacing w:before="60" w:after="60"/>
              <w:rPr>
                <w:b/>
                <w:lang w:val="en-AU"/>
              </w:rPr>
            </w:pPr>
            <w:r w:rsidRPr="006278E0">
              <w:rPr>
                <w:b/>
                <w:bCs/>
              </w:rPr>
              <w:t>Contribution</w:t>
            </w:r>
            <w:r w:rsidRPr="006278E0">
              <w:rPr>
                <w:b/>
                <w:lang w:val="en-AU"/>
              </w:rPr>
              <w:t xml:space="preserve"> to Outcome 2 by linked programs</w:t>
            </w:r>
          </w:p>
        </w:tc>
      </w:tr>
      <w:tr w:rsidR="00353707" w:rsidRPr="006278E0" w14:paraId="3702B4A0" w14:textId="77777777" w:rsidTr="00E3161E">
        <w:trPr>
          <w:trHeight w:val="113"/>
        </w:trPr>
        <w:tc>
          <w:tcPr>
            <w:tcW w:w="5000" w:type="pct"/>
          </w:tcPr>
          <w:p w14:paraId="130473EF" w14:textId="77777777" w:rsidR="00353707" w:rsidRPr="006278E0" w:rsidRDefault="00353707" w:rsidP="00E3161E">
            <w:pPr>
              <w:spacing w:before="60"/>
              <w:rPr>
                <w:rFonts w:cs="Times New Roman"/>
                <w:szCs w:val="20"/>
              </w:rPr>
            </w:pPr>
            <w:r w:rsidRPr="006278E0">
              <w:rPr>
                <w:rFonts w:cs="Times New Roman"/>
                <w:szCs w:val="20"/>
              </w:rPr>
              <w:t xml:space="preserve">The Australian Federal Police (AFP) engages with the </w:t>
            </w:r>
            <w:r w:rsidR="00163783" w:rsidRPr="006278E0">
              <w:rPr>
                <w:rFonts w:cs="Times New Roman"/>
                <w:szCs w:val="20"/>
              </w:rPr>
              <w:t xml:space="preserve">Department of </w:t>
            </w:r>
            <w:r w:rsidRPr="006278E0">
              <w:rPr>
                <w:rFonts w:cs="Times New Roman"/>
                <w:szCs w:val="20"/>
              </w:rPr>
              <w:t>Defence under a framework for cooperation between the participants to strengthen and consolidate sharing of information in national security, international and border-related activities (directly and through the National Intelligence Community). This cooperation promotes security and stability within Australia’s External and Internal Territories, including Christmas Island, Cocos (Keeling) Islands, Norfolk Island and the Jervis Bay Territory.</w:t>
            </w:r>
          </w:p>
          <w:p w14:paraId="2CE06155" w14:textId="77777777" w:rsidR="00353707" w:rsidRPr="006278E0" w:rsidRDefault="00353707" w:rsidP="00E3161E">
            <w:pPr>
              <w:spacing w:before="60"/>
              <w:rPr>
                <w:rFonts w:cs="Times New Roman"/>
                <w:szCs w:val="20"/>
                <w:lang w:val="en-AU"/>
              </w:rPr>
            </w:pPr>
            <w:r w:rsidRPr="006278E0">
              <w:rPr>
                <w:rFonts w:cs="Times New Roman"/>
                <w:szCs w:val="20"/>
              </w:rPr>
              <w:t>The AFP delivers protective security services for Defence at Defence Sites. The AFP National Operations State Service Centre works closely with Defence for matters of crisis management and response, assisting domestic and international coordination and management to protect national interests. The placement of AFP advisors at the Australian Civil</w:t>
            </w:r>
            <w:r w:rsidRPr="006278E0">
              <w:rPr>
                <w:rFonts w:cs="Times New Roman"/>
                <w:szCs w:val="20"/>
              </w:rPr>
              <w:noBreakHyphen/>
              <w:t>Military Centre</w:t>
            </w:r>
            <w:r w:rsidR="009E66D2" w:rsidRPr="006278E0">
              <w:rPr>
                <w:rFonts w:cs="Times New Roman"/>
                <w:szCs w:val="20"/>
              </w:rPr>
              <w:t xml:space="preserve"> (ACMC)</w:t>
            </w:r>
            <w:r w:rsidRPr="006278E0">
              <w:rPr>
                <w:rFonts w:cs="Times New Roman"/>
                <w:szCs w:val="20"/>
              </w:rPr>
              <w:t xml:space="preserve"> supports a high-priority Australian Government initiative to enhance the effectiveness of national and regional civil-military-police interaction in conflict and disaster management and promotes regional and global security.</w:t>
            </w:r>
          </w:p>
        </w:tc>
      </w:tr>
    </w:tbl>
    <w:p w14:paraId="7DD8212F" w14:textId="77777777" w:rsidR="00353707" w:rsidRPr="006278E0" w:rsidRDefault="00353707" w:rsidP="00353707">
      <w:pPr>
        <w:spacing w:before="0" w:after="0"/>
        <w:jc w:val="both"/>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8607"/>
      </w:tblGrid>
      <w:tr w:rsidR="00353707" w:rsidRPr="006278E0" w14:paraId="66951A32" w14:textId="77777777" w:rsidTr="00E3161E">
        <w:trPr>
          <w:trHeight w:val="113"/>
        </w:trPr>
        <w:tc>
          <w:tcPr>
            <w:tcW w:w="5000" w:type="pct"/>
            <w:tcMar>
              <w:top w:w="0" w:type="dxa"/>
              <w:left w:w="108" w:type="dxa"/>
              <w:bottom w:w="0" w:type="dxa"/>
              <w:right w:w="108" w:type="dxa"/>
            </w:tcMar>
            <w:hideMark/>
          </w:tcPr>
          <w:p w14:paraId="677DF7B7" w14:textId="77777777" w:rsidR="00353707" w:rsidRPr="006278E0" w:rsidRDefault="00353707" w:rsidP="00E3161E">
            <w:pPr>
              <w:spacing w:before="60"/>
              <w:rPr>
                <w:rFonts w:ascii="Calibri" w:hAnsi="Calibri" w:cs="Calibri"/>
                <w:szCs w:val="22"/>
              </w:rPr>
            </w:pPr>
            <w:r w:rsidRPr="006278E0">
              <w:rPr>
                <w:b/>
                <w:bCs/>
                <w:szCs w:val="20"/>
              </w:rPr>
              <w:t>Australian Maritime Safety Authority</w:t>
            </w:r>
          </w:p>
        </w:tc>
      </w:tr>
      <w:tr w:rsidR="00353707" w:rsidRPr="006278E0" w14:paraId="7C4B73F4" w14:textId="77777777" w:rsidTr="00E3161E">
        <w:trPr>
          <w:trHeight w:val="113"/>
        </w:trPr>
        <w:tc>
          <w:tcPr>
            <w:tcW w:w="5000" w:type="pct"/>
            <w:tcMar>
              <w:top w:w="0" w:type="dxa"/>
              <w:left w:w="108" w:type="dxa"/>
              <w:bottom w:w="0" w:type="dxa"/>
              <w:right w:w="108" w:type="dxa"/>
            </w:tcMar>
            <w:hideMark/>
          </w:tcPr>
          <w:p w14:paraId="011ACD87" w14:textId="77777777" w:rsidR="00353707" w:rsidRPr="006278E0" w:rsidRDefault="00353707" w:rsidP="00353707">
            <w:pPr>
              <w:spacing w:before="60"/>
            </w:pPr>
            <w:r w:rsidRPr="006278E0">
              <w:rPr>
                <w:szCs w:val="20"/>
              </w:rPr>
              <w:t>Program 1.1 – Seafarer and ship safety, safety of navigation and environmental protection.</w:t>
            </w:r>
          </w:p>
        </w:tc>
      </w:tr>
      <w:tr w:rsidR="00353707" w:rsidRPr="006278E0" w14:paraId="6F59BAB0" w14:textId="77777777" w:rsidTr="00E3161E">
        <w:trPr>
          <w:trHeight w:val="113"/>
        </w:trPr>
        <w:tc>
          <w:tcPr>
            <w:tcW w:w="5000" w:type="pct"/>
            <w:tcMar>
              <w:top w:w="0" w:type="dxa"/>
              <w:left w:w="108" w:type="dxa"/>
              <w:bottom w:w="0" w:type="dxa"/>
              <w:right w:w="108" w:type="dxa"/>
            </w:tcMar>
            <w:hideMark/>
          </w:tcPr>
          <w:p w14:paraId="75AC5585" w14:textId="77777777" w:rsidR="00353707" w:rsidRPr="006278E0" w:rsidRDefault="00353707" w:rsidP="00E3161E">
            <w:pPr>
              <w:spacing w:before="60" w:after="60"/>
            </w:pPr>
            <w:r w:rsidRPr="006278E0">
              <w:rPr>
                <w:b/>
                <w:bCs/>
                <w:szCs w:val="20"/>
              </w:rPr>
              <w:t>Contribution to Outcome 2 by linked program</w:t>
            </w:r>
          </w:p>
        </w:tc>
      </w:tr>
      <w:tr w:rsidR="00353707" w:rsidRPr="006278E0" w14:paraId="3E548FA4" w14:textId="77777777" w:rsidTr="00E3161E">
        <w:trPr>
          <w:trHeight w:val="113"/>
        </w:trPr>
        <w:tc>
          <w:tcPr>
            <w:tcW w:w="5000" w:type="pct"/>
            <w:tcMar>
              <w:top w:w="0" w:type="dxa"/>
              <w:left w:w="108" w:type="dxa"/>
              <w:bottom w:w="0" w:type="dxa"/>
              <w:right w:w="108" w:type="dxa"/>
            </w:tcMar>
            <w:hideMark/>
          </w:tcPr>
          <w:p w14:paraId="605BD704" w14:textId="77777777" w:rsidR="00353707" w:rsidRPr="006278E0" w:rsidRDefault="00353707" w:rsidP="00353707">
            <w:pPr>
              <w:spacing w:before="60"/>
            </w:pPr>
            <w:r w:rsidRPr="006278E0">
              <w:rPr>
                <w:bCs/>
                <w:szCs w:val="20"/>
              </w:rPr>
              <w:t>Australian Maritime Safety Authority</w:t>
            </w:r>
            <w:r w:rsidRPr="006278E0">
              <w:rPr>
                <w:szCs w:val="20"/>
              </w:rPr>
              <w:t xml:space="preserve"> provides advice and direction on the provision of official nautical charts and publications, to best support Program 1.1.</w:t>
            </w:r>
          </w:p>
        </w:tc>
      </w:tr>
    </w:tbl>
    <w:p w14:paraId="4D176297" w14:textId="77777777" w:rsidR="00353707" w:rsidRPr="006278E0" w:rsidRDefault="00DB6779" w:rsidP="00353707">
      <w:pPr>
        <w:tabs>
          <w:tab w:val="left" w:pos="525"/>
        </w:tabs>
        <w:spacing w:before="0" w:after="0"/>
        <w:jc w:val="both"/>
      </w:pPr>
      <w:r w:rsidRPr="006278E0">
        <w:br w:type="page"/>
      </w: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8607"/>
      </w:tblGrid>
      <w:tr w:rsidR="00353707" w:rsidRPr="006278E0" w14:paraId="242D3EB8" w14:textId="77777777" w:rsidTr="00E3161E">
        <w:trPr>
          <w:trHeight w:val="113"/>
        </w:trPr>
        <w:tc>
          <w:tcPr>
            <w:tcW w:w="5000" w:type="pct"/>
            <w:tcMar>
              <w:top w:w="0" w:type="dxa"/>
              <w:left w:w="108" w:type="dxa"/>
              <w:bottom w:w="0" w:type="dxa"/>
              <w:right w:w="108" w:type="dxa"/>
            </w:tcMar>
            <w:hideMark/>
          </w:tcPr>
          <w:p w14:paraId="152E16CC" w14:textId="77777777" w:rsidR="00353707" w:rsidRPr="006278E0" w:rsidRDefault="00353707" w:rsidP="00E3161E">
            <w:pPr>
              <w:spacing w:before="60"/>
              <w:rPr>
                <w:rFonts w:ascii="Calibri" w:hAnsi="Calibri" w:cs="Calibri"/>
                <w:szCs w:val="22"/>
              </w:rPr>
            </w:pPr>
            <w:bookmarkStart w:id="782" w:name="_Toc97275917"/>
            <w:r w:rsidRPr="006278E0">
              <w:rPr>
                <w:b/>
                <w:lang w:val="en-AU"/>
              </w:rPr>
              <w:lastRenderedPageBreak/>
              <w:t>Australian Nuclear Science and Technology Organisation</w:t>
            </w:r>
            <w:bookmarkEnd w:id="782"/>
          </w:p>
        </w:tc>
      </w:tr>
      <w:tr w:rsidR="00353707" w:rsidRPr="006278E0" w14:paraId="034D78C2" w14:textId="77777777" w:rsidTr="00E3161E">
        <w:trPr>
          <w:trHeight w:val="113"/>
        </w:trPr>
        <w:tc>
          <w:tcPr>
            <w:tcW w:w="5000" w:type="pct"/>
            <w:tcMar>
              <w:top w:w="0" w:type="dxa"/>
              <w:left w:w="108" w:type="dxa"/>
              <w:bottom w:w="0" w:type="dxa"/>
              <w:right w:w="108" w:type="dxa"/>
            </w:tcMar>
            <w:hideMark/>
          </w:tcPr>
          <w:p w14:paraId="76CBCB91" w14:textId="77777777" w:rsidR="00353707" w:rsidRPr="006278E0" w:rsidRDefault="00353707" w:rsidP="00E3161E">
            <w:pPr>
              <w:spacing w:before="60" w:after="60"/>
            </w:pPr>
            <w:r w:rsidRPr="006278E0">
              <w:t>Program 2 – Nuclear-Powered Submarines.</w:t>
            </w:r>
          </w:p>
        </w:tc>
      </w:tr>
      <w:tr w:rsidR="00353707" w:rsidRPr="006278E0" w14:paraId="7E63272C" w14:textId="77777777" w:rsidTr="00E3161E">
        <w:trPr>
          <w:trHeight w:val="113"/>
        </w:trPr>
        <w:tc>
          <w:tcPr>
            <w:tcW w:w="5000" w:type="pct"/>
            <w:tcMar>
              <w:top w:w="0" w:type="dxa"/>
              <w:left w:w="108" w:type="dxa"/>
              <w:bottom w:w="0" w:type="dxa"/>
              <w:right w:w="108" w:type="dxa"/>
            </w:tcMar>
            <w:hideMark/>
          </w:tcPr>
          <w:p w14:paraId="4E1E6059" w14:textId="77777777" w:rsidR="00353707" w:rsidRPr="006278E0" w:rsidRDefault="00353707" w:rsidP="00E3161E">
            <w:pPr>
              <w:spacing w:before="60" w:after="60"/>
            </w:pPr>
            <w:r w:rsidRPr="006278E0">
              <w:rPr>
                <w:b/>
                <w:bCs/>
              </w:rPr>
              <w:t>Contribution to Outcome 2 by linked program</w:t>
            </w:r>
          </w:p>
        </w:tc>
      </w:tr>
      <w:tr w:rsidR="00353707" w:rsidRPr="006278E0" w14:paraId="63443026" w14:textId="77777777" w:rsidTr="000409BF">
        <w:trPr>
          <w:trHeight w:val="1136"/>
        </w:trPr>
        <w:tc>
          <w:tcPr>
            <w:tcW w:w="5000" w:type="pct"/>
            <w:tcMar>
              <w:top w:w="0" w:type="dxa"/>
              <w:left w:w="108" w:type="dxa"/>
              <w:bottom w:w="0" w:type="dxa"/>
              <w:right w:w="108" w:type="dxa"/>
            </w:tcMar>
            <w:hideMark/>
          </w:tcPr>
          <w:p w14:paraId="3CE2C8F5" w14:textId="77777777" w:rsidR="00353707" w:rsidRPr="006278E0" w:rsidRDefault="00353707" w:rsidP="000409BF">
            <w:pPr>
              <w:spacing w:before="60"/>
            </w:pPr>
            <w:r w:rsidRPr="006278E0">
              <w:t>The Australian Nuclear Science and Technology Organisation (ANSTO) contributes to Outcome 2 through the provision of expertise and advice in the support of the Nuc</w:t>
            </w:r>
            <w:r w:rsidR="004E5DA6" w:rsidRPr="006278E0">
              <w:t>lear-Powered Submarine Program</w:t>
            </w:r>
            <w:r w:rsidRPr="006278E0">
              <w:t xml:space="preserve">, </w:t>
            </w:r>
            <w:r w:rsidRPr="006278E0">
              <w:rPr>
                <w:rFonts w:cs="Times New Roman"/>
                <w:szCs w:val="20"/>
                <w:lang w:val="en-AU"/>
              </w:rPr>
              <w:t>with</w:t>
            </w:r>
            <w:r w:rsidRPr="006278E0">
              <w:t xml:space="preserve"> a focus on baselining and augmenting Australia's nuclear stewardship capabilities and credentials.</w:t>
            </w:r>
          </w:p>
        </w:tc>
      </w:tr>
    </w:tbl>
    <w:p w14:paraId="49F81724" w14:textId="77777777" w:rsidR="00353707" w:rsidRPr="006278E0" w:rsidRDefault="00353707" w:rsidP="00353707">
      <w:pPr>
        <w:spacing w:before="0" w:after="0"/>
        <w:jc w:val="both"/>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8607"/>
      </w:tblGrid>
      <w:tr w:rsidR="00525ECB" w:rsidRPr="006278E0" w14:paraId="0E5EC04D" w14:textId="77777777" w:rsidTr="001B5E91">
        <w:trPr>
          <w:trHeight w:val="113"/>
        </w:trPr>
        <w:tc>
          <w:tcPr>
            <w:tcW w:w="5000" w:type="pct"/>
          </w:tcPr>
          <w:p w14:paraId="4D9CAB26" w14:textId="77777777" w:rsidR="00525ECB" w:rsidRPr="006278E0" w:rsidRDefault="00525ECB" w:rsidP="00353707">
            <w:pPr>
              <w:spacing w:before="60" w:after="60"/>
            </w:pPr>
            <w:r w:rsidRPr="006278E0">
              <w:rPr>
                <w:rFonts w:cs="Times New Roman"/>
                <w:b/>
                <w:szCs w:val="20"/>
                <w:lang w:val="en-AU"/>
              </w:rPr>
              <w:t>Australian Radiation Protection and Nuclear Safety Agency</w:t>
            </w:r>
          </w:p>
        </w:tc>
      </w:tr>
      <w:tr w:rsidR="00525ECB" w:rsidRPr="006278E0" w14:paraId="09BCE3D4" w14:textId="77777777" w:rsidTr="001B5E91">
        <w:trPr>
          <w:trHeight w:val="113"/>
        </w:trPr>
        <w:tc>
          <w:tcPr>
            <w:tcW w:w="5000" w:type="pct"/>
          </w:tcPr>
          <w:p w14:paraId="6404083C" w14:textId="77777777" w:rsidR="00525ECB" w:rsidRPr="006278E0" w:rsidRDefault="004F152F" w:rsidP="0038299D">
            <w:pPr>
              <w:spacing w:before="60" w:after="60"/>
              <w:rPr>
                <w:rFonts w:cs="Times New Roman"/>
                <w:szCs w:val="20"/>
                <w:lang w:val="en-AU"/>
              </w:rPr>
            </w:pPr>
            <w:r w:rsidRPr="006278E0">
              <w:rPr>
                <w:rFonts w:cs="Times New Roman"/>
                <w:szCs w:val="20"/>
                <w:lang w:val="en-AU"/>
              </w:rPr>
              <w:t xml:space="preserve">Program 1.2 – </w:t>
            </w:r>
            <w:r w:rsidR="00FE0D70" w:rsidRPr="006278E0">
              <w:rPr>
                <w:rStyle w:val="ui-provider"/>
              </w:rPr>
              <w:t>Nuclear-</w:t>
            </w:r>
            <w:r w:rsidR="00085217" w:rsidRPr="006278E0">
              <w:rPr>
                <w:rStyle w:val="ui-provider"/>
              </w:rPr>
              <w:t>P</w:t>
            </w:r>
            <w:r w:rsidR="0038299D" w:rsidRPr="006278E0">
              <w:rPr>
                <w:rStyle w:val="ui-provider"/>
              </w:rPr>
              <w:t>owered Su</w:t>
            </w:r>
            <w:r w:rsidR="002A3FD5" w:rsidRPr="006278E0">
              <w:rPr>
                <w:rStyle w:val="ui-provider"/>
              </w:rPr>
              <w:t>b</w:t>
            </w:r>
            <w:r w:rsidR="0038299D" w:rsidRPr="006278E0">
              <w:rPr>
                <w:rStyle w:val="ui-provider"/>
              </w:rPr>
              <w:t>marines</w:t>
            </w:r>
            <w:r w:rsidRPr="006278E0">
              <w:rPr>
                <w:rStyle w:val="ui-provider"/>
              </w:rPr>
              <w:t>.</w:t>
            </w:r>
          </w:p>
        </w:tc>
      </w:tr>
      <w:tr w:rsidR="00525ECB" w:rsidRPr="006278E0" w14:paraId="0CF9240C" w14:textId="77777777" w:rsidTr="001B5E91">
        <w:trPr>
          <w:trHeight w:val="113"/>
        </w:trPr>
        <w:tc>
          <w:tcPr>
            <w:tcW w:w="5000" w:type="pct"/>
          </w:tcPr>
          <w:p w14:paraId="2E7D036C" w14:textId="77777777" w:rsidR="00525ECB" w:rsidRPr="006278E0" w:rsidRDefault="00525ECB" w:rsidP="00015664">
            <w:pPr>
              <w:spacing w:before="60" w:after="60"/>
              <w:rPr>
                <w:rFonts w:cs="Times New Roman"/>
                <w:b/>
                <w:szCs w:val="20"/>
                <w:lang w:val="en-AU"/>
              </w:rPr>
            </w:pPr>
            <w:r w:rsidRPr="006278E0">
              <w:rPr>
                <w:rFonts w:cs="Times New Roman"/>
                <w:b/>
                <w:szCs w:val="20"/>
                <w:lang w:val="en-AU"/>
              </w:rPr>
              <w:t>Contribution to Outcome 2 by linked program</w:t>
            </w:r>
          </w:p>
        </w:tc>
      </w:tr>
      <w:tr w:rsidR="003A4149" w:rsidRPr="006278E0" w14:paraId="13DDAF00" w14:textId="77777777" w:rsidTr="001B5E91">
        <w:trPr>
          <w:trHeight w:val="113"/>
        </w:trPr>
        <w:tc>
          <w:tcPr>
            <w:tcW w:w="5000" w:type="pct"/>
          </w:tcPr>
          <w:p w14:paraId="4CE8A3B8" w14:textId="77777777" w:rsidR="003A4149" w:rsidRPr="006278E0" w:rsidRDefault="003A4149" w:rsidP="003A4149">
            <w:pPr>
              <w:autoSpaceDE w:val="0"/>
              <w:autoSpaceDN w:val="0"/>
              <w:rPr>
                <w:rFonts w:cs="Times New Roman"/>
                <w:b/>
                <w:szCs w:val="20"/>
                <w:lang w:val="en-AU"/>
              </w:rPr>
            </w:pPr>
            <w:r w:rsidRPr="006278E0">
              <w:t>Support delive</w:t>
            </w:r>
            <w:r w:rsidR="0067507F" w:rsidRPr="006278E0">
              <w:t>ry of nuclear-powered submarine</w:t>
            </w:r>
            <w:r w:rsidR="00163783" w:rsidRPr="006278E0">
              <w:t>s</w:t>
            </w:r>
            <w:r w:rsidRPr="006278E0">
              <w:t xml:space="preserve"> capabilities through radiation protection and nuclear safety research, policy, advice, codes, standards, services and regulation.</w:t>
            </w:r>
          </w:p>
        </w:tc>
      </w:tr>
    </w:tbl>
    <w:p w14:paraId="3A8F4EB8" w14:textId="77777777" w:rsidR="008A4D18" w:rsidRPr="006278E0" w:rsidRDefault="008A4D18" w:rsidP="002E39F8">
      <w:pPr>
        <w:spacing w:before="0" w:after="0"/>
        <w:jc w:val="both"/>
      </w:pPr>
    </w:p>
    <w:tbl>
      <w:tblPr>
        <w:tblW w:w="5000" w:type="pct"/>
        <w:tblInd w:w="10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8607"/>
      </w:tblGrid>
      <w:tr w:rsidR="006F552C" w:rsidRPr="006278E0" w14:paraId="70A274A2" w14:textId="77777777" w:rsidTr="00353707">
        <w:trPr>
          <w:trHeight w:val="113"/>
        </w:trPr>
        <w:tc>
          <w:tcPr>
            <w:tcW w:w="5000" w:type="pct"/>
          </w:tcPr>
          <w:p w14:paraId="26CBB9C5" w14:textId="77777777" w:rsidR="006F552C" w:rsidRPr="006278E0" w:rsidRDefault="006F552C" w:rsidP="0095071F">
            <w:pPr>
              <w:spacing w:before="40" w:after="40"/>
              <w:rPr>
                <w:rFonts w:cs="Times New Roman"/>
                <w:b/>
                <w:szCs w:val="20"/>
                <w:lang w:val="en-AU"/>
              </w:rPr>
            </w:pPr>
            <w:r w:rsidRPr="006278E0">
              <w:rPr>
                <w:rFonts w:cs="Times New Roman"/>
                <w:b/>
                <w:szCs w:val="20"/>
                <w:lang w:val="en-AU"/>
              </w:rPr>
              <w:t>Australian Secret Intelligence Service</w:t>
            </w:r>
          </w:p>
        </w:tc>
      </w:tr>
      <w:tr w:rsidR="006F552C" w:rsidRPr="006278E0" w14:paraId="6A047909" w14:textId="77777777" w:rsidTr="00353707">
        <w:trPr>
          <w:trHeight w:val="113"/>
        </w:trPr>
        <w:tc>
          <w:tcPr>
            <w:tcW w:w="5000" w:type="pct"/>
          </w:tcPr>
          <w:p w14:paraId="2361624A" w14:textId="77777777" w:rsidR="006F552C" w:rsidRPr="006278E0" w:rsidRDefault="006F552C" w:rsidP="0095071F">
            <w:pPr>
              <w:spacing w:before="40" w:after="40"/>
              <w:rPr>
                <w:rFonts w:cs="Times New Roman"/>
                <w:szCs w:val="20"/>
                <w:lang w:val="en-AU"/>
              </w:rPr>
            </w:pPr>
            <w:r w:rsidRPr="006278E0">
              <w:rPr>
                <w:rFonts w:cs="Times New Roman"/>
                <w:szCs w:val="20"/>
                <w:lang w:val="en-AU"/>
              </w:rPr>
              <w:t>Program 1.1 – Security Intelligence.</w:t>
            </w:r>
          </w:p>
        </w:tc>
      </w:tr>
      <w:tr w:rsidR="006F552C" w:rsidRPr="006278E0" w14:paraId="61ED6EEE" w14:textId="77777777" w:rsidTr="00353707">
        <w:trPr>
          <w:trHeight w:val="113"/>
        </w:trPr>
        <w:tc>
          <w:tcPr>
            <w:tcW w:w="5000" w:type="pct"/>
          </w:tcPr>
          <w:p w14:paraId="48A44B66" w14:textId="77777777" w:rsidR="006F552C" w:rsidRPr="006278E0" w:rsidRDefault="006F552C" w:rsidP="0095071F">
            <w:pPr>
              <w:spacing w:before="40" w:after="40"/>
              <w:rPr>
                <w:rFonts w:cs="Times New Roman"/>
                <w:b/>
                <w:szCs w:val="20"/>
                <w:lang w:val="en-AU"/>
              </w:rPr>
            </w:pPr>
            <w:r w:rsidRPr="006278E0">
              <w:rPr>
                <w:rFonts w:cs="Times New Roman"/>
                <w:b/>
                <w:szCs w:val="20"/>
                <w:lang w:val="en-AU"/>
              </w:rPr>
              <w:t>Contribution to Outcome 2 by linked program</w:t>
            </w:r>
          </w:p>
        </w:tc>
      </w:tr>
      <w:tr w:rsidR="006F552C" w:rsidRPr="006278E0" w14:paraId="713373A6" w14:textId="77777777" w:rsidTr="00353707">
        <w:trPr>
          <w:trHeight w:val="113"/>
        </w:trPr>
        <w:tc>
          <w:tcPr>
            <w:tcW w:w="5000" w:type="pct"/>
          </w:tcPr>
          <w:p w14:paraId="6CC5895C" w14:textId="77777777" w:rsidR="006F552C" w:rsidRPr="006278E0" w:rsidRDefault="006F552C" w:rsidP="000409BF">
            <w:pPr>
              <w:spacing w:before="40" w:after="40"/>
              <w:rPr>
                <w:rFonts w:cs="Times New Roman"/>
                <w:i/>
                <w:szCs w:val="20"/>
                <w:lang w:val="en-AU"/>
              </w:rPr>
            </w:pPr>
            <w:r w:rsidRPr="006278E0">
              <w:rPr>
                <w:rFonts w:cs="Times New Roman"/>
                <w:szCs w:val="20"/>
                <w:lang w:val="en-AU"/>
              </w:rPr>
              <w:t>Consistent with the functions for the Australian Secret Intelligence Service (ASIS) detailed in the Intelligence Services Act 2001, ASIS provides assistance to the Australian Defence Force (ADF) in support of military operations; cooperates with the ADF on intelligence matters; and cooperates with and assists the Australian Signals Directorate and the Australian Geospatial-Intelligence Organisation in the performance of their functions.</w:t>
            </w:r>
          </w:p>
        </w:tc>
      </w:tr>
    </w:tbl>
    <w:p w14:paraId="5DE8906D" w14:textId="77777777" w:rsidR="006F552C" w:rsidRPr="006278E0" w:rsidRDefault="006F552C" w:rsidP="007C6A31">
      <w:pPr>
        <w:tabs>
          <w:tab w:val="left" w:pos="525"/>
        </w:tabs>
        <w:spacing w:before="0" w:after="0"/>
        <w:jc w:val="both"/>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8607"/>
      </w:tblGrid>
      <w:tr w:rsidR="00E866E6" w:rsidRPr="006278E0" w14:paraId="2C74857E" w14:textId="77777777" w:rsidTr="00EA137A">
        <w:trPr>
          <w:trHeight w:val="113"/>
        </w:trPr>
        <w:tc>
          <w:tcPr>
            <w:tcW w:w="5000" w:type="pct"/>
          </w:tcPr>
          <w:p w14:paraId="3DF99FCE" w14:textId="77777777" w:rsidR="00E866E6" w:rsidRPr="006278E0" w:rsidRDefault="00E866E6" w:rsidP="0074080E">
            <w:pPr>
              <w:spacing w:before="40" w:after="40"/>
              <w:rPr>
                <w:rFonts w:cs="Times New Roman"/>
                <w:b/>
                <w:szCs w:val="20"/>
                <w:lang w:val="en-AU"/>
              </w:rPr>
            </w:pPr>
            <w:r w:rsidRPr="006278E0">
              <w:rPr>
                <w:rFonts w:cs="Times New Roman"/>
                <w:b/>
                <w:szCs w:val="20"/>
                <w:lang w:val="en-AU"/>
              </w:rPr>
              <w:t>Australian Security Intelligence Organisation</w:t>
            </w:r>
          </w:p>
        </w:tc>
      </w:tr>
      <w:tr w:rsidR="00E866E6" w:rsidRPr="006278E0" w14:paraId="51B39062" w14:textId="77777777" w:rsidTr="00EA137A">
        <w:trPr>
          <w:trHeight w:val="113"/>
        </w:trPr>
        <w:tc>
          <w:tcPr>
            <w:tcW w:w="5000" w:type="pct"/>
          </w:tcPr>
          <w:p w14:paraId="0D31FC95" w14:textId="77777777" w:rsidR="00E866E6" w:rsidRPr="006278E0" w:rsidRDefault="00E866E6" w:rsidP="0074080E">
            <w:pPr>
              <w:spacing w:before="40" w:after="40"/>
              <w:rPr>
                <w:rFonts w:cs="Times New Roman"/>
                <w:szCs w:val="20"/>
                <w:lang w:val="en-AU"/>
              </w:rPr>
            </w:pPr>
            <w:r w:rsidRPr="006278E0">
              <w:rPr>
                <w:rFonts w:cs="Times New Roman"/>
                <w:szCs w:val="20"/>
                <w:lang w:val="en-AU"/>
              </w:rPr>
              <w:t xml:space="preserve">Program 1.1 </w:t>
            </w:r>
            <w:r w:rsidR="00B979D3" w:rsidRPr="006278E0">
              <w:rPr>
                <w:rFonts w:cs="Times New Roman"/>
                <w:szCs w:val="20"/>
                <w:lang w:val="en-AU"/>
              </w:rPr>
              <w:t>–</w:t>
            </w:r>
            <w:r w:rsidRPr="006278E0">
              <w:rPr>
                <w:rFonts w:cs="Times New Roman"/>
                <w:szCs w:val="20"/>
                <w:lang w:val="en-AU"/>
              </w:rPr>
              <w:t xml:space="preserve"> Security Intelligence</w:t>
            </w:r>
            <w:r w:rsidR="00E15EDB" w:rsidRPr="006278E0">
              <w:rPr>
                <w:rFonts w:cs="Times New Roman"/>
                <w:szCs w:val="20"/>
                <w:lang w:val="en-AU"/>
              </w:rPr>
              <w:t>.</w:t>
            </w:r>
          </w:p>
        </w:tc>
      </w:tr>
      <w:tr w:rsidR="00E866E6" w:rsidRPr="006278E0" w14:paraId="319E1747" w14:textId="77777777" w:rsidTr="00EA137A">
        <w:trPr>
          <w:trHeight w:val="113"/>
        </w:trPr>
        <w:tc>
          <w:tcPr>
            <w:tcW w:w="5000" w:type="pct"/>
          </w:tcPr>
          <w:p w14:paraId="70B6D88A" w14:textId="77777777" w:rsidR="00E866E6" w:rsidRPr="006278E0" w:rsidRDefault="00E866E6" w:rsidP="0074080E">
            <w:pPr>
              <w:spacing w:before="40" w:after="40"/>
              <w:rPr>
                <w:rFonts w:cs="Times New Roman"/>
                <w:b/>
                <w:szCs w:val="20"/>
                <w:lang w:val="en-AU"/>
              </w:rPr>
            </w:pPr>
            <w:r w:rsidRPr="006278E0">
              <w:rPr>
                <w:rFonts w:cs="Times New Roman"/>
                <w:b/>
                <w:szCs w:val="20"/>
                <w:lang w:val="en-AU"/>
              </w:rPr>
              <w:t>Contribution to Outcome 2 by linked program</w:t>
            </w:r>
          </w:p>
        </w:tc>
      </w:tr>
      <w:tr w:rsidR="00E866E6" w:rsidRPr="006278E0" w14:paraId="4034C01E" w14:textId="77777777" w:rsidTr="00EA137A">
        <w:trPr>
          <w:trHeight w:val="113"/>
        </w:trPr>
        <w:tc>
          <w:tcPr>
            <w:tcW w:w="5000" w:type="pct"/>
          </w:tcPr>
          <w:p w14:paraId="18EFBD10" w14:textId="77777777" w:rsidR="00E866E6" w:rsidRPr="006278E0" w:rsidRDefault="007C6A31" w:rsidP="00534AF0">
            <w:pPr>
              <w:spacing w:before="40" w:after="40"/>
              <w:rPr>
                <w:rFonts w:cs="Times New Roman"/>
                <w:szCs w:val="20"/>
                <w:lang w:val="en-AU"/>
              </w:rPr>
            </w:pPr>
            <w:r w:rsidRPr="006278E0">
              <w:rPr>
                <w:rFonts w:cs="Times New Roman"/>
                <w:szCs w:val="20"/>
                <w:lang w:val="en-AU"/>
              </w:rPr>
              <w:t xml:space="preserve">Consistent with the </w:t>
            </w:r>
            <w:r w:rsidRPr="006278E0">
              <w:rPr>
                <w:rFonts w:cs="Times New Roman"/>
                <w:i/>
                <w:szCs w:val="20"/>
                <w:lang w:val="en-AU"/>
              </w:rPr>
              <w:t>Australian Security Intelligence Organisation Act</w:t>
            </w:r>
            <w:r w:rsidRPr="006278E0">
              <w:rPr>
                <w:rFonts w:cs="Times New Roman"/>
                <w:szCs w:val="20"/>
                <w:lang w:val="en-AU"/>
              </w:rPr>
              <w:t xml:space="preserve"> </w:t>
            </w:r>
            <w:r w:rsidRPr="006278E0">
              <w:rPr>
                <w:rFonts w:cs="Times New Roman"/>
                <w:i/>
                <w:szCs w:val="20"/>
                <w:lang w:val="en-AU"/>
              </w:rPr>
              <w:t>1979</w:t>
            </w:r>
            <w:r w:rsidRPr="006278E0">
              <w:rPr>
                <w:rFonts w:cs="Times New Roman"/>
                <w:szCs w:val="20"/>
                <w:lang w:val="en-AU"/>
              </w:rPr>
              <w:t xml:space="preserve">, </w:t>
            </w:r>
            <w:r w:rsidR="004E5DA6" w:rsidRPr="006278E0">
              <w:rPr>
                <w:rFonts w:cs="Times New Roman"/>
                <w:szCs w:val="20"/>
                <w:lang w:val="en-AU"/>
              </w:rPr>
              <w:t>Australian Security Intelligence Organisation (</w:t>
            </w:r>
            <w:r w:rsidRPr="006278E0">
              <w:rPr>
                <w:rFonts w:cs="Times New Roman"/>
                <w:szCs w:val="20"/>
                <w:lang w:val="en-AU"/>
              </w:rPr>
              <w:t>ASIO</w:t>
            </w:r>
            <w:r w:rsidR="004E5DA6" w:rsidRPr="006278E0">
              <w:rPr>
                <w:rFonts w:cs="Times New Roman"/>
                <w:szCs w:val="20"/>
                <w:lang w:val="en-AU"/>
              </w:rPr>
              <w:t>)</w:t>
            </w:r>
            <w:r w:rsidRPr="006278E0">
              <w:rPr>
                <w:rFonts w:cs="Times New Roman"/>
                <w:szCs w:val="20"/>
                <w:lang w:val="en-AU"/>
              </w:rPr>
              <w:t xml:space="preserve"> provides advice to Defence on matters relevant to security. </w:t>
            </w:r>
            <w:r w:rsidR="00207968" w:rsidRPr="006278E0">
              <w:rPr>
                <w:rFonts w:cs="Times New Roman"/>
                <w:szCs w:val="20"/>
                <w:lang w:val="en-AU"/>
              </w:rPr>
              <w:t>ASIO</w:t>
            </w:r>
            <w:r w:rsidRPr="006278E0">
              <w:rPr>
                <w:rFonts w:cs="Times New Roman"/>
                <w:szCs w:val="20"/>
                <w:lang w:val="en-AU"/>
              </w:rPr>
              <w:t xml:space="preserve"> exercises its foreign collection powers under warrant at the request of the Minister </w:t>
            </w:r>
            <w:r w:rsidR="00534AF0" w:rsidRPr="006278E0">
              <w:rPr>
                <w:rFonts w:cs="Times New Roman"/>
                <w:szCs w:val="20"/>
                <w:lang w:val="en-AU"/>
              </w:rPr>
              <w:t>for</w:t>
            </w:r>
            <w:r w:rsidRPr="006278E0">
              <w:rPr>
                <w:rFonts w:cs="Times New Roman"/>
                <w:szCs w:val="20"/>
                <w:lang w:val="en-AU"/>
              </w:rPr>
              <w:t xml:space="preserve"> Defence or the Minister for Foreign Affairs.</w:t>
            </w:r>
          </w:p>
        </w:tc>
      </w:tr>
    </w:tbl>
    <w:p w14:paraId="42BB064E" w14:textId="77777777" w:rsidR="00D15FF0" w:rsidRPr="006278E0" w:rsidRDefault="00D15FF0" w:rsidP="002E39F8">
      <w:pPr>
        <w:spacing w:before="0" w:after="0"/>
        <w:jc w:val="both"/>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8607"/>
      </w:tblGrid>
      <w:tr w:rsidR="00E866E6" w:rsidRPr="006278E0" w14:paraId="0A57C12B" w14:textId="77777777" w:rsidTr="00EA137A">
        <w:trPr>
          <w:trHeight w:val="113"/>
        </w:trPr>
        <w:tc>
          <w:tcPr>
            <w:tcW w:w="5000" w:type="pct"/>
          </w:tcPr>
          <w:p w14:paraId="1BEDBC26" w14:textId="77777777" w:rsidR="00E866E6" w:rsidRPr="006278E0" w:rsidRDefault="00E866E6" w:rsidP="0074080E">
            <w:pPr>
              <w:spacing w:before="40" w:after="40"/>
              <w:rPr>
                <w:rFonts w:cs="Times New Roman"/>
                <w:b/>
                <w:szCs w:val="20"/>
                <w:lang w:val="en-AU"/>
              </w:rPr>
            </w:pPr>
            <w:r w:rsidRPr="006278E0">
              <w:rPr>
                <w:rFonts w:cs="Times New Roman"/>
                <w:b/>
                <w:szCs w:val="20"/>
                <w:lang w:val="en-AU"/>
              </w:rPr>
              <w:t>Australian Signals Directorate</w:t>
            </w:r>
          </w:p>
        </w:tc>
      </w:tr>
      <w:tr w:rsidR="00E866E6" w:rsidRPr="006278E0" w14:paraId="3198973A" w14:textId="77777777" w:rsidTr="00EA137A">
        <w:trPr>
          <w:trHeight w:val="113"/>
        </w:trPr>
        <w:tc>
          <w:tcPr>
            <w:tcW w:w="5000" w:type="pct"/>
            <w:vAlign w:val="center"/>
          </w:tcPr>
          <w:p w14:paraId="639A4D69" w14:textId="77777777" w:rsidR="00E866E6" w:rsidRPr="006278E0" w:rsidRDefault="00E866E6" w:rsidP="0074080E">
            <w:pPr>
              <w:spacing w:before="40" w:after="40"/>
              <w:rPr>
                <w:rFonts w:cs="Times New Roman"/>
                <w:b/>
                <w:szCs w:val="20"/>
                <w:lang w:val="en-AU"/>
              </w:rPr>
            </w:pPr>
            <w:r w:rsidRPr="006278E0">
              <w:rPr>
                <w:lang w:val="en-AU"/>
              </w:rPr>
              <w:t>Program 1.1</w:t>
            </w:r>
            <w:r w:rsidR="00341F3F" w:rsidRPr="006278E0">
              <w:rPr>
                <w:lang w:val="en-AU"/>
              </w:rPr>
              <w:t xml:space="preserve"> </w:t>
            </w:r>
            <w:r w:rsidR="00B979D3" w:rsidRPr="006278E0">
              <w:rPr>
                <w:rFonts w:cs="Times New Roman"/>
                <w:szCs w:val="20"/>
                <w:lang w:val="en-AU"/>
              </w:rPr>
              <w:t>–</w:t>
            </w:r>
            <w:r w:rsidRPr="006278E0">
              <w:rPr>
                <w:lang w:val="en-AU"/>
              </w:rPr>
              <w:t xml:space="preserve"> Foreign Signals Intelligence, Cyber Secur</w:t>
            </w:r>
            <w:r w:rsidR="00E15EDB" w:rsidRPr="006278E0">
              <w:rPr>
                <w:lang w:val="en-AU"/>
              </w:rPr>
              <w:t>ity, Offensive Cyber Operations.</w:t>
            </w:r>
          </w:p>
        </w:tc>
      </w:tr>
      <w:tr w:rsidR="00E866E6" w:rsidRPr="006278E0" w14:paraId="64725CB4" w14:textId="77777777" w:rsidTr="00EA137A">
        <w:trPr>
          <w:trHeight w:val="113"/>
        </w:trPr>
        <w:tc>
          <w:tcPr>
            <w:tcW w:w="5000" w:type="pct"/>
          </w:tcPr>
          <w:p w14:paraId="45EE5CFE" w14:textId="77777777" w:rsidR="00E866E6" w:rsidRPr="006278E0" w:rsidRDefault="00E866E6" w:rsidP="0074080E">
            <w:pPr>
              <w:spacing w:before="40" w:after="40"/>
              <w:rPr>
                <w:rFonts w:cs="Times New Roman"/>
                <w:b/>
                <w:szCs w:val="20"/>
                <w:lang w:val="en-AU"/>
              </w:rPr>
            </w:pPr>
            <w:r w:rsidRPr="006278E0">
              <w:rPr>
                <w:rFonts w:cs="Times New Roman"/>
                <w:b/>
                <w:szCs w:val="20"/>
                <w:lang w:val="en-AU"/>
              </w:rPr>
              <w:t>Contribution to Outcome 2 by linked program</w:t>
            </w:r>
          </w:p>
        </w:tc>
      </w:tr>
      <w:tr w:rsidR="007C6A31" w:rsidRPr="006278E0" w14:paraId="5604F905" w14:textId="77777777" w:rsidTr="00EA137A">
        <w:trPr>
          <w:trHeight w:val="113"/>
        </w:trPr>
        <w:tc>
          <w:tcPr>
            <w:tcW w:w="5000" w:type="pct"/>
          </w:tcPr>
          <w:p w14:paraId="125B5CD4" w14:textId="77777777" w:rsidR="007C6A31" w:rsidRPr="006278E0" w:rsidRDefault="007C6A31" w:rsidP="0067507F">
            <w:pPr>
              <w:spacing w:before="40" w:after="40"/>
              <w:rPr>
                <w:rFonts w:cs="Times New Roman"/>
                <w:szCs w:val="20"/>
                <w:lang w:val="en-AU"/>
              </w:rPr>
            </w:pPr>
            <w:r w:rsidRPr="006278E0">
              <w:rPr>
                <w:rFonts w:cs="Times New Roman"/>
                <w:szCs w:val="20"/>
                <w:lang w:val="en-AU"/>
              </w:rPr>
              <w:t xml:space="preserve">Consistent with the functions for the Australian Signals Directorate </w:t>
            </w:r>
            <w:r w:rsidR="00067DCA" w:rsidRPr="006278E0">
              <w:rPr>
                <w:rFonts w:cs="Times New Roman"/>
                <w:szCs w:val="20"/>
                <w:lang w:val="en-AU"/>
              </w:rPr>
              <w:t xml:space="preserve">(ASD) </w:t>
            </w:r>
            <w:r w:rsidRPr="006278E0">
              <w:rPr>
                <w:rFonts w:cs="Times New Roman"/>
                <w:szCs w:val="20"/>
                <w:lang w:val="en-AU"/>
              </w:rPr>
              <w:t xml:space="preserve">detailed in the </w:t>
            </w:r>
            <w:r w:rsidRPr="006278E0">
              <w:rPr>
                <w:rFonts w:cs="Times New Roman"/>
                <w:i/>
                <w:szCs w:val="20"/>
                <w:lang w:val="en-AU"/>
              </w:rPr>
              <w:t xml:space="preserve">Intelligence Services Act 2001, </w:t>
            </w:r>
            <w:r w:rsidR="00BF5080" w:rsidRPr="006278E0">
              <w:rPr>
                <w:rFonts w:cs="Times New Roman"/>
                <w:szCs w:val="20"/>
                <w:lang w:val="en-AU"/>
              </w:rPr>
              <w:t>ASD</w:t>
            </w:r>
            <w:r w:rsidRPr="006278E0">
              <w:rPr>
                <w:rFonts w:cs="Times New Roman"/>
                <w:szCs w:val="20"/>
                <w:lang w:val="en-AU"/>
              </w:rPr>
              <w:t xml:space="preserve"> provides foreign signals intelligence, cyber security advice, </w:t>
            </w:r>
            <w:r w:rsidR="00AD5B56" w:rsidRPr="006278E0">
              <w:rPr>
                <w:rFonts w:cs="Times New Roman"/>
                <w:szCs w:val="20"/>
                <w:lang w:val="en-AU"/>
              </w:rPr>
              <w:t xml:space="preserve">and </w:t>
            </w:r>
            <w:r w:rsidRPr="006278E0">
              <w:rPr>
                <w:rFonts w:cs="Times New Roman"/>
                <w:szCs w:val="20"/>
                <w:lang w:val="en-AU"/>
              </w:rPr>
              <w:t>offensive cyber operations</w:t>
            </w:r>
            <w:r w:rsidR="00AD5B56" w:rsidRPr="006278E0">
              <w:rPr>
                <w:rFonts w:cs="Times New Roman"/>
                <w:szCs w:val="20"/>
                <w:lang w:val="en-AU"/>
              </w:rPr>
              <w:t>,</w:t>
            </w:r>
            <w:r w:rsidRPr="006278E0">
              <w:rPr>
                <w:rFonts w:cs="Times New Roman"/>
                <w:szCs w:val="20"/>
                <w:lang w:val="en-AU"/>
              </w:rPr>
              <w:t xml:space="preserve"> </w:t>
            </w:r>
            <w:r w:rsidR="00AD5B56" w:rsidRPr="006278E0">
              <w:rPr>
                <w:rFonts w:cs="Times New Roman"/>
                <w:szCs w:val="20"/>
                <w:lang w:val="en-AU"/>
              </w:rPr>
              <w:t xml:space="preserve">and utilises corporate shared services, </w:t>
            </w:r>
            <w:r w:rsidRPr="006278E0">
              <w:rPr>
                <w:rFonts w:cs="Times New Roman"/>
                <w:szCs w:val="20"/>
                <w:lang w:val="en-AU"/>
              </w:rPr>
              <w:t xml:space="preserve">in order to meet the operational needs of the </w:t>
            </w:r>
            <w:r w:rsidR="0067507F" w:rsidRPr="006278E0">
              <w:rPr>
                <w:rFonts w:cs="Times New Roman"/>
                <w:szCs w:val="20"/>
                <w:lang w:val="en-AU"/>
              </w:rPr>
              <w:t>ADF</w:t>
            </w:r>
            <w:r w:rsidRPr="006278E0">
              <w:rPr>
                <w:rFonts w:cs="Times New Roman"/>
                <w:szCs w:val="20"/>
                <w:lang w:val="en-AU"/>
              </w:rPr>
              <w:t xml:space="preserve"> and the requiremen</w:t>
            </w:r>
            <w:r w:rsidR="00AD5B56" w:rsidRPr="006278E0">
              <w:rPr>
                <w:rFonts w:cs="Times New Roman"/>
                <w:szCs w:val="20"/>
                <w:lang w:val="en-AU"/>
              </w:rPr>
              <w:t>ts of the Department of Defence.</w:t>
            </w:r>
          </w:p>
        </w:tc>
      </w:tr>
    </w:tbl>
    <w:p w14:paraId="5433F77C" w14:textId="7260363F" w:rsidR="007177B7" w:rsidRDefault="007177B7" w:rsidP="002E39F8">
      <w:pPr>
        <w:spacing w:before="0" w:after="0"/>
        <w:jc w:val="both"/>
      </w:pPr>
    </w:p>
    <w:p w14:paraId="700E0BF1" w14:textId="4BBAF372" w:rsidR="007177B7" w:rsidRDefault="007177B7">
      <w:pPr>
        <w:spacing w:before="0" w:after="0"/>
      </w:pPr>
      <w:r>
        <w:br w:type="page"/>
      </w: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8607"/>
      </w:tblGrid>
      <w:tr w:rsidR="00E866E6" w:rsidRPr="006278E0" w14:paraId="41542C83" w14:textId="77777777" w:rsidTr="003A5C37">
        <w:trPr>
          <w:trHeight w:val="113"/>
        </w:trPr>
        <w:tc>
          <w:tcPr>
            <w:tcW w:w="5000" w:type="pct"/>
          </w:tcPr>
          <w:p w14:paraId="77C45094" w14:textId="77777777" w:rsidR="00E866E6" w:rsidRPr="006278E0" w:rsidRDefault="00E866E6" w:rsidP="0074080E">
            <w:pPr>
              <w:spacing w:before="40" w:after="40"/>
              <w:rPr>
                <w:rFonts w:cs="Times New Roman"/>
                <w:b/>
                <w:szCs w:val="20"/>
                <w:lang w:val="en-AU"/>
              </w:rPr>
            </w:pPr>
            <w:r w:rsidRPr="006278E0">
              <w:rPr>
                <w:b/>
                <w:lang w:val="en-AU"/>
              </w:rPr>
              <w:lastRenderedPageBreak/>
              <w:t>Commonwealth Superannuation Corporation</w:t>
            </w:r>
          </w:p>
        </w:tc>
      </w:tr>
      <w:tr w:rsidR="00E866E6" w:rsidRPr="006278E0" w14:paraId="08B0ABD0" w14:textId="77777777" w:rsidTr="003A5C37">
        <w:trPr>
          <w:trHeight w:val="113"/>
        </w:trPr>
        <w:tc>
          <w:tcPr>
            <w:tcW w:w="5000" w:type="pct"/>
          </w:tcPr>
          <w:p w14:paraId="553C630C" w14:textId="77777777" w:rsidR="00E866E6" w:rsidRPr="006278E0" w:rsidRDefault="00E866E6" w:rsidP="0074080E">
            <w:pPr>
              <w:spacing w:before="40" w:after="40"/>
              <w:rPr>
                <w:rFonts w:cs="Times New Roman"/>
                <w:b/>
                <w:szCs w:val="20"/>
                <w:lang w:val="en-AU"/>
              </w:rPr>
            </w:pPr>
            <w:r w:rsidRPr="006278E0">
              <w:rPr>
                <w:lang w:val="en-AU"/>
              </w:rPr>
              <w:t xml:space="preserve">Program 1.1 </w:t>
            </w:r>
            <w:r w:rsidR="00B979D3" w:rsidRPr="006278E0">
              <w:rPr>
                <w:rFonts w:cs="Times New Roman"/>
                <w:szCs w:val="20"/>
                <w:lang w:val="en-AU"/>
              </w:rPr>
              <w:t>–</w:t>
            </w:r>
            <w:r w:rsidRPr="006278E0">
              <w:rPr>
                <w:lang w:val="en-AU"/>
              </w:rPr>
              <w:t xml:space="preserve"> Superannuation Scheme Governance</w:t>
            </w:r>
            <w:r w:rsidR="00E15EDB" w:rsidRPr="006278E0">
              <w:rPr>
                <w:lang w:val="en-AU"/>
              </w:rPr>
              <w:t>.</w:t>
            </w:r>
          </w:p>
        </w:tc>
      </w:tr>
      <w:tr w:rsidR="00E866E6" w:rsidRPr="006278E0" w14:paraId="543E4998" w14:textId="77777777" w:rsidTr="003A5C37">
        <w:trPr>
          <w:trHeight w:val="113"/>
        </w:trPr>
        <w:tc>
          <w:tcPr>
            <w:tcW w:w="5000" w:type="pct"/>
          </w:tcPr>
          <w:p w14:paraId="7CBC05FA" w14:textId="77777777" w:rsidR="00E866E6" w:rsidRPr="006278E0" w:rsidRDefault="00E866E6" w:rsidP="0074080E">
            <w:pPr>
              <w:spacing w:before="40" w:after="40"/>
              <w:rPr>
                <w:rFonts w:cs="Times New Roman"/>
                <w:b/>
                <w:szCs w:val="20"/>
                <w:lang w:val="en-AU"/>
              </w:rPr>
            </w:pPr>
            <w:r w:rsidRPr="006278E0">
              <w:rPr>
                <w:rFonts w:cs="Times New Roman"/>
                <w:b/>
                <w:szCs w:val="20"/>
                <w:lang w:val="en-AU"/>
              </w:rPr>
              <w:t>Contribution</w:t>
            </w:r>
            <w:r w:rsidRPr="006278E0">
              <w:rPr>
                <w:b/>
                <w:szCs w:val="20"/>
                <w:lang w:val="en-AU"/>
              </w:rPr>
              <w:t xml:space="preserve"> to Outcome 2 by linked programs</w:t>
            </w:r>
          </w:p>
        </w:tc>
      </w:tr>
      <w:tr w:rsidR="00E866E6" w:rsidRPr="006278E0" w14:paraId="5C28374A" w14:textId="77777777" w:rsidTr="003A5C37">
        <w:trPr>
          <w:trHeight w:val="113"/>
        </w:trPr>
        <w:tc>
          <w:tcPr>
            <w:tcW w:w="5000" w:type="pct"/>
          </w:tcPr>
          <w:p w14:paraId="749A3D22" w14:textId="77777777" w:rsidR="00E866E6" w:rsidRPr="006278E0" w:rsidRDefault="007C6A31" w:rsidP="007C4112">
            <w:pPr>
              <w:spacing w:before="40" w:after="40"/>
              <w:rPr>
                <w:rFonts w:cs="Times New Roman"/>
                <w:b/>
                <w:szCs w:val="20"/>
                <w:lang w:val="en-AU"/>
              </w:rPr>
            </w:pPr>
            <w:r w:rsidRPr="006278E0">
              <w:rPr>
                <w:lang w:val="en-AU"/>
              </w:rPr>
              <w:t xml:space="preserve">The Departments of Finance and Defence provide funding through third party access arrangements to Commonwealth Superannuation Corporation for the purpose of providing payments of retirement and death and invalidity benefits for scheme members and beneficiaries, including past, present and future employees of the Australian Government and other eligible employers and members of the </w:t>
            </w:r>
            <w:r w:rsidR="007C4112" w:rsidRPr="006278E0">
              <w:rPr>
                <w:lang w:val="en-AU"/>
              </w:rPr>
              <w:t>ADF</w:t>
            </w:r>
            <w:r w:rsidRPr="006278E0">
              <w:rPr>
                <w:lang w:val="en-AU"/>
              </w:rPr>
              <w:t>.</w:t>
            </w:r>
          </w:p>
        </w:tc>
      </w:tr>
    </w:tbl>
    <w:p w14:paraId="0DDDE821" w14:textId="77777777" w:rsidR="00D25479" w:rsidRPr="006278E0" w:rsidRDefault="00D25479" w:rsidP="002E39F8">
      <w:pPr>
        <w:spacing w:before="0" w:after="0"/>
        <w:jc w:val="both"/>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8607"/>
      </w:tblGrid>
      <w:tr w:rsidR="00E866E6" w:rsidRPr="006278E0" w14:paraId="5EED5B60" w14:textId="77777777" w:rsidTr="003A5C37">
        <w:trPr>
          <w:trHeight w:val="113"/>
        </w:trPr>
        <w:tc>
          <w:tcPr>
            <w:tcW w:w="5000" w:type="pct"/>
          </w:tcPr>
          <w:p w14:paraId="151EF017" w14:textId="77777777" w:rsidR="00E866E6" w:rsidRPr="006278E0" w:rsidRDefault="00E866E6" w:rsidP="0074080E">
            <w:pPr>
              <w:spacing w:before="40" w:after="40"/>
              <w:rPr>
                <w:b/>
                <w:lang w:val="en-AU"/>
              </w:rPr>
            </w:pPr>
            <w:r w:rsidRPr="006278E0">
              <w:rPr>
                <w:b/>
                <w:lang w:val="en-AU"/>
              </w:rPr>
              <w:t>Defence Housing Australia</w:t>
            </w:r>
          </w:p>
        </w:tc>
      </w:tr>
      <w:tr w:rsidR="00E866E6" w:rsidRPr="006278E0" w14:paraId="29D0CE06" w14:textId="77777777" w:rsidTr="003A5C37">
        <w:trPr>
          <w:trHeight w:val="113"/>
        </w:trPr>
        <w:tc>
          <w:tcPr>
            <w:tcW w:w="5000" w:type="pct"/>
          </w:tcPr>
          <w:p w14:paraId="52D7547B" w14:textId="77777777" w:rsidR="00E866E6" w:rsidRPr="006278E0" w:rsidRDefault="00E866E6" w:rsidP="0074080E">
            <w:pPr>
              <w:spacing w:before="40" w:after="40"/>
              <w:rPr>
                <w:lang w:val="en-AU"/>
              </w:rPr>
            </w:pPr>
            <w:r w:rsidRPr="006278E0">
              <w:rPr>
                <w:lang w:val="en-AU"/>
              </w:rPr>
              <w:t xml:space="preserve">Program 1.1 </w:t>
            </w:r>
            <w:r w:rsidR="00B979D3" w:rsidRPr="006278E0">
              <w:rPr>
                <w:rFonts w:cs="Times New Roman"/>
                <w:szCs w:val="20"/>
                <w:lang w:val="en-AU"/>
              </w:rPr>
              <w:t>–</w:t>
            </w:r>
            <w:r w:rsidRPr="006278E0">
              <w:rPr>
                <w:lang w:val="en-AU"/>
              </w:rPr>
              <w:t xml:space="preserve"> The provision of Defence housing and housing related services</w:t>
            </w:r>
            <w:r w:rsidR="00E15EDB" w:rsidRPr="006278E0">
              <w:rPr>
                <w:lang w:val="en-AU"/>
              </w:rPr>
              <w:t>.</w:t>
            </w:r>
          </w:p>
        </w:tc>
      </w:tr>
      <w:tr w:rsidR="00E866E6" w:rsidRPr="006278E0" w14:paraId="253E55E6" w14:textId="77777777" w:rsidTr="003A5C37">
        <w:trPr>
          <w:trHeight w:val="113"/>
        </w:trPr>
        <w:tc>
          <w:tcPr>
            <w:tcW w:w="5000" w:type="pct"/>
          </w:tcPr>
          <w:p w14:paraId="4A7C7FC4" w14:textId="77777777" w:rsidR="00E866E6" w:rsidRPr="006278E0" w:rsidRDefault="00E866E6" w:rsidP="0074080E">
            <w:pPr>
              <w:spacing w:before="40" w:after="40"/>
              <w:rPr>
                <w:b/>
                <w:lang w:val="en-AU"/>
              </w:rPr>
            </w:pPr>
            <w:r w:rsidRPr="006278E0">
              <w:rPr>
                <w:b/>
                <w:lang w:val="en-AU"/>
              </w:rPr>
              <w:t>Contribution to Outcome 2 by linked programs</w:t>
            </w:r>
          </w:p>
        </w:tc>
      </w:tr>
      <w:tr w:rsidR="00E866E6" w:rsidRPr="006278E0" w14:paraId="2E66057A" w14:textId="77777777" w:rsidTr="00EA137A">
        <w:trPr>
          <w:trHeight w:val="113"/>
        </w:trPr>
        <w:tc>
          <w:tcPr>
            <w:tcW w:w="5000" w:type="pct"/>
          </w:tcPr>
          <w:p w14:paraId="63722E45" w14:textId="77777777" w:rsidR="00E866E6" w:rsidRPr="006278E0" w:rsidRDefault="007C6A31" w:rsidP="0074080E">
            <w:pPr>
              <w:spacing w:before="40" w:after="40"/>
              <w:rPr>
                <w:lang w:val="en-AU"/>
              </w:rPr>
            </w:pPr>
            <w:r w:rsidRPr="006278E0">
              <w:rPr>
                <w:lang w:val="en-AU"/>
              </w:rPr>
              <w:t xml:space="preserve">Under a Services Agreement and in accordance with the </w:t>
            </w:r>
            <w:r w:rsidRPr="006278E0">
              <w:rPr>
                <w:i/>
                <w:lang w:val="en-AU"/>
              </w:rPr>
              <w:t>Defence Housing Australia Act 1987</w:t>
            </w:r>
            <w:r w:rsidRPr="006278E0">
              <w:rPr>
                <w:lang w:val="en-AU"/>
              </w:rPr>
              <w:t xml:space="preserve">, </w:t>
            </w:r>
            <w:r w:rsidR="00067DCA" w:rsidRPr="006278E0">
              <w:rPr>
                <w:lang w:val="en-AU"/>
              </w:rPr>
              <w:t xml:space="preserve">Defence Housing Australia </w:t>
            </w:r>
            <w:r w:rsidRPr="006278E0">
              <w:rPr>
                <w:lang w:val="en-AU"/>
              </w:rPr>
              <w:t>is to achieve the efficient provision of contemporary housing solutions for ADF Members and their families on behalf of Defence.</w:t>
            </w:r>
          </w:p>
        </w:tc>
      </w:tr>
    </w:tbl>
    <w:p w14:paraId="1AECEF31" w14:textId="77777777" w:rsidR="001E6607" w:rsidRPr="006278E0" w:rsidRDefault="001E6607" w:rsidP="002E39F8">
      <w:pPr>
        <w:spacing w:before="0" w:after="0"/>
        <w:jc w:val="both"/>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8607"/>
      </w:tblGrid>
      <w:tr w:rsidR="00E866E6" w:rsidRPr="006278E0" w14:paraId="4D67D0DC" w14:textId="77777777" w:rsidTr="00EA137A">
        <w:trPr>
          <w:trHeight w:val="113"/>
        </w:trPr>
        <w:tc>
          <w:tcPr>
            <w:tcW w:w="5000" w:type="pct"/>
          </w:tcPr>
          <w:p w14:paraId="0EA0E46D" w14:textId="77777777" w:rsidR="00E866E6" w:rsidRPr="006278E0" w:rsidRDefault="00363526" w:rsidP="0074080E">
            <w:pPr>
              <w:spacing w:before="40" w:after="40"/>
              <w:rPr>
                <w:rFonts w:cs="Times New Roman"/>
                <w:b/>
                <w:szCs w:val="20"/>
                <w:lang w:val="en-AU"/>
              </w:rPr>
            </w:pPr>
            <w:r w:rsidRPr="006278E0">
              <w:rPr>
                <w:rFonts w:cs="Times New Roman"/>
                <w:b/>
                <w:szCs w:val="20"/>
                <w:lang w:val="en-AU"/>
              </w:rPr>
              <w:t xml:space="preserve">Department of </w:t>
            </w:r>
            <w:r w:rsidR="00802513" w:rsidRPr="006278E0">
              <w:rPr>
                <w:rFonts w:cs="Times New Roman"/>
                <w:b/>
                <w:szCs w:val="20"/>
                <w:lang w:val="en-AU"/>
              </w:rPr>
              <w:t xml:space="preserve">Climate Change, </w:t>
            </w:r>
            <w:r w:rsidR="007F505A" w:rsidRPr="006278E0">
              <w:rPr>
                <w:rFonts w:cs="Times New Roman"/>
                <w:b/>
                <w:szCs w:val="20"/>
                <w:lang w:val="en-AU"/>
              </w:rPr>
              <w:t xml:space="preserve">Energy, </w:t>
            </w:r>
            <w:r w:rsidR="00802513" w:rsidRPr="006278E0">
              <w:rPr>
                <w:rFonts w:cs="Times New Roman"/>
                <w:b/>
                <w:szCs w:val="20"/>
                <w:lang w:val="en-AU"/>
              </w:rPr>
              <w:t>the Environment and Water</w:t>
            </w:r>
          </w:p>
        </w:tc>
      </w:tr>
      <w:tr w:rsidR="00E866E6" w:rsidRPr="006278E0" w14:paraId="7EFD53EB" w14:textId="77777777" w:rsidTr="00EA137A">
        <w:trPr>
          <w:trHeight w:val="113"/>
        </w:trPr>
        <w:tc>
          <w:tcPr>
            <w:tcW w:w="5000" w:type="pct"/>
          </w:tcPr>
          <w:p w14:paraId="22C468A8" w14:textId="77777777" w:rsidR="000178F9" w:rsidRPr="006278E0" w:rsidRDefault="000178F9" w:rsidP="003819DD">
            <w:pPr>
              <w:spacing w:before="60" w:after="60"/>
              <w:rPr>
                <w:lang w:val="en-AU"/>
              </w:rPr>
            </w:pPr>
            <w:r w:rsidRPr="006278E0">
              <w:rPr>
                <w:bCs/>
              </w:rPr>
              <w:t>Program 1.2 – Support reliable, secure and affordable energy.</w:t>
            </w:r>
          </w:p>
          <w:p w14:paraId="63EFBB9D" w14:textId="77777777" w:rsidR="00E866E6" w:rsidRPr="006278E0" w:rsidRDefault="00082E7D" w:rsidP="003819DD">
            <w:pPr>
              <w:spacing w:before="60" w:after="60"/>
              <w:rPr>
                <w:lang w:val="en-AU"/>
              </w:rPr>
            </w:pPr>
            <w:r w:rsidRPr="006278E0">
              <w:rPr>
                <w:lang w:val="en-AU"/>
              </w:rPr>
              <w:t xml:space="preserve">Program </w:t>
            </w:r>
            <w:r w:rsidR="0096470B" w:rsidRPr="006278E0">
              <w:rPr>
                <w:lang w:val="en-AU"/>
              </w:rPr>
              <w:t>2</w:t>
            </w:r>
            <w:r w:rsidRPr="006278E0">
              <w:rPr>
                <w:lang w:val="en-AU"/>
              </w:rPr>
              <w:t>.</w:t>
            </w:r>
            <w:r w:rsidR="00B7049E" w:rsidRPr="006278E0">
              <w:rPr>
                <w:lang w:val="en-AU"/>
              </w:rPr>
              <w:t>3</w:t>
            </w:r>
            <w:r w:rsidRPr="006278E0">
              <w:rPr>
                <w:lang w:val="en-AU"/>
              </w:rPr>
              <w:t xml:space="preserve"> </w:t>
            </w:r>
            <w:r w:rsidR="00B979D3" w:rsidRPr="006278E0">
              <w:rPr>
                <w:rFonts w:cs="Times New Roman"/>
                <w:szCs w:val="20"/>
                <w:lang w:val="en-AU"/>
              </w:rPr>
              <w:t>–</w:t>
            </w:r>
            <w:r w:rsidRPr="006278E0">
              <w:rPr>
                <w:lang w:val="en-AU"/>
              </w:rPr>
              <w:t xml:space="preserve"> </w:t>
            </w:r>
            <w:r w:rsidR="00B7049E" w:rsidRPr="006278E0">
              <w:rPr>
                <w:bCs/>
              </w:rPr>
              <w:t>Accelerate the transition to a circular economy, while safely managing pollutants and hazardous substances</w:t>
            </w:r>
            <w:r w:rsidR="00E15EDB" w:rsidRPr="006278E0">
              <w:rPr>
                <w:bCs/>
              </w:rPr>
              <w:t>.</w:t>
            </w:r>
          </w:p>
        </w:tc>
      </w:tr>
      <w:tr w:rsidR="00E866E6" w:rsidRPr="006278E0" w14:paraId="49AAF9D8" w14:textId="77777777" w:rsidTr="00EA137A">
        <w:trPr>
          <w:trHeight w:val="113"/>
        </w:trPr>
        <w:tc>
          <w:tcPr>
            <w:tcW w:w="5000" w:type="pct"/>
          </w:tcPr>
          <w:p w14:paraId="57894F10" w14:textId="77777777" w:rsidR="00E866E6" w:rsidRPr="006278E0" w:rsidRDefault="00E866E6" w:rsidP="0074080E">
            <w:pPr>
              <w:spacing w:before="40" w:after="40"/>
              <w:rPr>
                <w:rFonts w:cs="Times New Roman"/>
                <w:b/>
                <w:szCs w:val="20"/>
                <w:lang w:val="en-AU"/>
              </w:rPr>
            </w:pPr>
            <w:r w:rsidRPr="006278E0">
              <w:rPr>
                <w:b/>
                <w:lang w:val="en-AU"/>
              </w:rPr>
              <w:t xml:space="preserve">Contribution to Outcome 2 by </w:t>
            </w:r>
            <w:r w:rsidRPr="006278E0">
              <w:rPr>
                <w:rFonts w:cs="Times New Roman"/>
                <w:b/>
                <w:szCs w:val="20"/>
                <w:lang w:val="en-AU"/>
              </w:rPr>
              <w:t>linked</w:t>
            </w:r>
            <w:r w:rsidRPr="006278E0">
              <w:rPr>
                <w:b/>
                <w:lang w:val="en-AU"/>
              </w:rPr>
              <w:t xml:space="preserve"> programs</w:t>
            </w:r>
          </w:p>
        </w:tc>
      </w:tr>
      <w:tr w:rsidR="00E866E6" w:rsidRPr="006278E0" w14:paraId="59365D76" w14:textId="77777777" w:rsidTr="00EA137A">
        <w:trPr>
          <w:trHeight w:val="113"/>
        </w:trPr>
        <w:tc>
          <w:tcPr>
            <w:tcW w:w="5000" w:type="pct"/>
          </w:tcPr>
          <w:p w14:paraId="3F3FB5ED" w14:textId="77777777" w:rsidR="000178F9" w:rsidRPr="006278E0" w:rsidRDefault="000178F9" w:rsidP="000178F9">
            <w:pPr>
              <w:spacing w:before="60" w:after="60"/>
            </w:pPr>
            <w:r w:rsidRPr="006278E0">
              <w:t>Defence actively participates in forums relating to renewable energy and energy security and applies principles consistent with Australia’s Paris Agreement commitments when considering energy options.</w:t>
            </w:r>
          </w:p>
          <w:p w14:paraId="0A331281" w14:textId="77777777" w:rsidR="000178F9" w:rsidRPr="006278E0" w:rsidRDefault="000178F9" w:rsidP="000178F9">
            <w:pPr>
              <w:spacing w:before="40" w:after="40"/>
            </w:pPr>
            <w:r w:rsidRPr="006278E0">
              <w:rPr>
                <w:rStyle w:val="ExampletextCharChar"/>
                <w:i w:val="0"/>
                <w:iCs/>
                <w:color w:val="auto"/>
              </w:rPr>
              <w:t>Defence provides a range of logistics support services and advice to the Australian Antarctic program, including air and sealift capability to supplement existing arrangements in the delivery of cargo and contributing to aeromedical emergency responses in the region.</w:t>
            </w:r>
          </w:p>
          <w:p w14:paraId="64598453" w14:textId="77777777" w:rsidR="000178F9" w:rsidRPr="006278E0" w:rsidRDefault="007C6A31" w:rsidP="000178F9">
            <w:pPr>
              <w:spacing w:before="40" w:after="40"/>
              <w:rPr>
                <w:rFonts w:cs="Times New Roman"/>
                <w:szCs w:val="20"/>
                <w:lang w:val="en-AU"/>
              </w:rPr>
            </w:pPr>
            <w:r w:rsidRPr="006278E0">
              <w:t xml:space="preserve">Defence actively participates in forums and initiatives led by the Department of </w:t>
            </w:r>
            <w:r w:rsidR="00802513" w:rsidRPr="006278E0">
              <w:t>Climate Change, Energy, the Environment and Water</w:t>
            </w:r>
            <w:r w:rsidRPr="006278E0">
              <w:t xml:space="preserve"> to ensure alignment with national approaches for the effective and efficient management of environmental factors.</w:t>
            </w:r>
          </w:p>
        </w:tc>
      </w:tr>
    </w:tbl>
    <w:p w14:paraId="15AC54A2" w14:textId="77777777" w:rsidR="0066219B" w:rsidRPr="006278E0" w:rsidRDefault="0066219B" w:rsidP="002E39F8">
      <w:pPr>
        <w:spacing w:before="0" w:after="0"/>
        <w:jc w:val="both"/>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8607"/>
      </w:tblGrid>
      <w:tr w:rsidR="00871156" w:rsidRPr="006278E0" w14:paraId="5E3876B9" w14:textId="77777777" w:rsidTr="001B5E91">
        <w:trPr>
          <w:trHeight w:val="113"/>
        </w:trPr>
        <w:tc>
          <w:tcPr>
            <w:tcW w:w="5000" w:type="pct"/>
          </w:tcPr>
          <w:p w14:paraId="0F377963" w14:textId="77777777" w:rsidR="00871156" w:rsidRPr="006278E0" w:rsidRDefault="00871156" w:rsidP="00871156">
            <w:pPr>
              <w:spacing w:before="40" w:after="40"/>
              <w:rPr>
                <w:rFonts w:cs="Times New Roman"/>
                <w:b/>
                <w:szCs w:val="20"/>
                <w:lang w:val="en-AU"/>
              </w:rPr>
            </w:pPr>
            <w:r w:rsidRPr="006278E0">
              <w:rPr>
                <w:rFonts w:cs="Times New Roman"/>
                <w:b/>
                <w:szCs w:val="20"/>
                <w:lang w:val="en-AU"/>
              </w:rPr>
              <w:t>Department of Education</w:t>
            </w:r>
          </w:p>
        </w:tc>
      </w:tr>
      <w:tr w:rsidR="00871156" w:rsidRPr="006278E0" w14:paraId="7F7EB6EB" w14:textId="77777777" w:rsidTr="001B5E91">
        <w:trPr>
          <w:trHeight w:val="113"/>
        </w:trPr>
        <w:tc>
          <w:tcPr>
            <w:tcW w:w="5000" w:type="pct"/>
          </w:tcPr>
          <w:p w14:paraId="372F740B" w14:textId="77777777" w:rsidR="00871156" w:rsidRPr="006278E0" w:rsidRDefault="00871156" w:rsidP="003819DD">
            <w:pPr>
              <w:pStyle w:val="xxboxbullet"/>
              <w:spacing w:before="60" w:after="60"/>
              <w:rPr>
                <w:rFonts w:ascii="Book Antiqua" w:hAnsi="Book Antiqua"/>
                <w:sz w:val="20"/>
                <w:szCs w:val="20"/>
              </w:rPr>
            </w:pPr>
            <w:r w:rsidRPr="006278E0">
              <w:rPr>
                <w:rFonts w:ascii="Book Antiqua" w:hAnsi="Book Antiqua"/>
                <w:sz w:val="20"/>
                <w:szCs w:val="20"/>
              </w:rPr>
              <w:t xml:space="preserve">Program 2.1 </w:t>
            </w:r>
            <w:r w:rsidRPr="006278E0">
              <w:t>–</w:t>
            </w:r>
            <w:r w:rsidRPr="006278E0">
              <w:rPr>
                <w:rFonts w:ascii="Book Antiqua" w:hAnsi="Book Antiqua"/>
                <w:sz w:val="20"/>
                <w:szCs w:val="20"/>
              </w:rPr>
              <w:t xml:space="preserve"> Commonwealth Grant Scheme.</w:t>
            </w:r>
          </w:p>
          <w:p w14:paraId="3283A5DC" w14:textId="77777777" w:rsidR="00871156" w:rsidRPr="006278E0" w:rsidRDefault="00871156" w:rsidP="003819DD">
            <w:pPr>
              <w:spacing w:before="60" w:after="60"/>
              <w:rPr>
                <w:rFonts w:cs="Times New Roman"/>
                <w:b/>
                <w:szCs w:val="20"/>
                <w:lang w:val="en-AU"/>
              </w:rPr>
            </w:pPr>
            <w:r w:rsidRPr="006278E0">
              <w:rPr>
                <w:szCs w:val="20"/>
              </w:rPr>
              <w:t xml:space="preserve">Program 2.8 </w:t>
            </w:r>
            <w:r w:rsidRPr="006278E0">
              <w:t>–</w:t>
            </w:r>
            <w:r w:rsidR="006D73B4" w:rsidRPr="006278E0">
              <w:rPr>
                <w:szCs w:val="20"/>
              </w:rPr>
              <w:t xml:space="preserve"> Nuclear-</w:t>
            </w:r>
            <w:r w:rsidRPr="006278E0">
              <w:rPr>
                <w:szCs w:val="20"/>
              </w:rPr>
              <w:t>Powered Submarine Program.</w:t>
            </w:r>
          </w:p>
        </w:tc>
      </w:tr>
      <w:tr w:rsidR="00871156" w:rsidRPr="006278E0" w14:paraId="152D1442" w14:textId="77777777" w:rsidTr="001B5E91">
        <w:trPr>
          <w:trHeight w:val="113"/>
        </w:trPr>
        <w:tc>
          <w:tcPr>
            <w:tcW w:w="5000" w:type="pct"/>
          </w:tcPr>
          <w:p w14:paraId="3B3C58F2" w14:textId="77777777" w:rsidR="00871156" w:rsidRPr="006278E0" w:rsidRDefault="00871156" w:rsidP="001B5E91">
            <w:pPr>
              <w:spacing w:before="40" w:after="40"/>
              <w:rPr>
                <w:rFonts w:cs="Times New Roman"/>
                <w:b/>
                <w:szCs w:val="20"/>
                <w:lang w:val="en-AU"/>
              </w:rPr>
            </w:pPr>
            <w:r w:rsidRPr="006278E0">
              <w:rPr>
                <w:rFonts w:cs="Times New Roman"/>
                <w:b/>
                <w:szCs w:val="20"/>
                <w:lang w:val="en-AU"/>
              </w:rPr>
              <w:t>Contribution to Outcome 2 by linked program</w:t>
            </w:r>
          </w:p>
        </w:tc>
      </w:tr>
      <w:tr w:rsidR="00871156" w:rsidRPr="006278E0" w14:paraId="21C8D899" w14:textId="77777777" w:rsidTr="001B5E91">
        <w:trPr>
          <w:trHeight w:val="319"/>
        </w:trPr>
        <w:tc>
          <w:tcPr>
            <w:tcW w:w="5000" w:type="pct"/>
          </w:tcPr>
          <w:p w14:paraId="7D6EE15E" w14:textId="77777777" w:rsidR="00871156" w:rsidRPr="006278E0" w:rsidRDefault="00871156" w:rsidP="001B5E91">
            <w:pPr>
              <w:spacing w:before="60" w:after="60"/>
              <w:rPr>
                <w:rFonts w:cs="Times New Roman"/>
                <w:szCs w:val="20"/>
                <w:lang w:val="en-AU"/>
              </w:rPr>
            </w:pPr>
            <w:r w:rsidRPr="006278E0">
              <w:rPr>
                <w:szCs w:val="20"/>
              </w:rPr>
              <w:t>The linked programs contribute to Outcome 2 and support Australia’s broader sovereign capabilities through strategic engagement across government, building education pipelines and supporting the nuclear workforce.</w:t>
            </w:r>
          </w:p>
        </w:tc>
      </w:tr>
    </w:tbl>
    <w:p w14:paraId="035E8202" w14:textId="22100C05" w:rsidR="007177B7" w:rsidRDefault="007177B7" w:rsidP="002E39F8">
      <w:pPr>
        <w:spacing w:before="0" w:after="0"/>
        <w:jc w:val="both"/>
      </w:pPr>
    </w:p>
    <w:p w14:paraId="5CA9D942" w14:textId="49E53D62" w:rsidR="007177B7" w:rsidRDefault="007177B7">
      <w:pPr>
        <w:spacing w:before="0" w:after="0"/>
      </w:pPr>
      <w:r>
        <w:br w:type="page"/>
      </w:r>
    </w:p>
    <w:p w14:paraId="7A70BBBA" w14:textId="77777777" w:rsidR="007177B7" w:rsidRPr="006278E0" w:rsidRDefault="007177B7" w:rsidP="002E39F8">
      <w:pPr>
        <w:spacing w:before="0" w:after="0"/>
        <w:jc w:val="both"/>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8607"/>
      </w:tblGrid>
      <w:tr w:rsidR="00071B66" w:rsidRPr="006278E0" w14:paraId="248A0472" w14:textId="77777777" w:rsidTr="00AF510C">
        <w:trPr>
          <w:trHeight w:val="113"/>
        </w:trPr>
        <w:tc>
          <w:tcPr>
            <w:tcW w:w="5000" w:type="pct"/>
          </w:tcPr>
          <w:p w14:paraId="39F5C4C1" w14:textId="77777777" w:rsidR="00071B66" w:rsidRPr="006278E0" w:rsidRDefault="00071B66" w:rsidP="00071B66">
            <w:pPr>
              <w:spacing w:before="40" w:after="40"/>
              <w:rPr>
                <w:rFonts w:cs="Times New Roman"/>
                <w:b/>
                <w:szCs w:val="20"/>
                <w:lang w:val="en-AU"/>
              </w:rPr>
            </w:pPr>
            <w:r w:rsidRPr="006278E0">
              <w:rPr>
                <w:rFonts w:cs="Times New Roman"/>
                <w:b/>
                <w:szCs w:val="20"/>
                <w:lang w:val="en-AU"/>
              </w:rPr>
              <w:t>Department of Employment and Workplace Relations</w:t>
            </w:r>
            <w:r w:rsidR="0067507F" w:rsidRPr="006278E0">
              <w:rPr>
                <w:rFonts w:cs="Times New Roman"/>
                <w:b/>
                <w:szCs w:val="20"/>
                <w:lang w:val="en-AU"/>
              </w:rPr>
              <w:t xml:space="preserve"> </w:t>
            </w:r>
          </w:p>
        </w:tc>
      </w:tr>
      <w:tr w:rsidR="00071B66" w:rsidRPr="006278E0" w14:paraId="7340DA24" w14:textId="77777777" w:rsidTr="00AF510C">
        <w:trPr>
          <w:trHeight w:val="113"/>
        </w:trPr>
        <w:tc>
          <w:tcPr>
            <w:tcW w:w="5000" w:type="pct"/>
          </w:tcPr>
          <w:p w14:paraId="5DD94535" w14:textId="77777777" w:rsidR="00071B66" w:rsidRPr="006278E0" w:rsidRDefault="00467332" w:rsidP="00071B66">
            <w:pPr>
              <w:spacing w:before="40" w:after="40"/>
              <w:rPr>
                <w:rFonts w:cs="Times New Roman"/>
                <w:b/>
                <w:szCs w:val="20"/>
                <w:lang w:val="en-AU"/>
              </w:rPr>
            </w:pPr>
            <w:r w:rsidRPr="006278E0">
              <w:t>Departmental Program 2.3 – DEWR – Nuclear-Powered Submarine</w:t>
            </w:r>
            <w:r w:rsidR="00145A9A" w:rsidRPr="006278E0">
              <w:t>.</w:t>
            </w:r>
          </w:p>
        </w:tc>
      </w:tr>
      <w:tr w:rsidR="00071B66" w:rsidRPr="006278E0" w14:paraId="31005290" w14:textId="77777777" w:rsidTr="00AF510C">
        <w:trPr>
          <w:trHeight w:val="113"/>
        </w:trPr>
        <w:tc>
          <w:tcPr>
            <w:tcW w:w="5000" w:type="pct"/>
          </w:tcPr>
          <w:p w14:paraId="19FD99C1" w14:textId="77777777" w:rsidR="00071B66" w:rsidRPr="006278E0" w:rsidRDefault="00071B66" w:rsidP="00AF510C">
            <w:pPr>
              <w:spacing w:before="40" w:after="40"/>
              <w:rPr>
                <w:rFonts w:cs="Times New Roman"/>
                <w:b/>
                <w:szCs w:val="20"/>
                <w:lang w:val="en-AU"/>
              </w:rPr>
            </w:pPr>
            <w:r w:rsidRPr="006278E0">
              <w:rPr>
                <w:rFonts w:cs="Times New Roman"/>
                <w:b/>
                <w:szCs w:val="20"/>
                <w:lang w:val="en-AU"/>
              </w:rPr>
              <w:t>Contribution to Outcome 2 by linked program</w:t>
            </w:r>
          </w:p>
        </w:tc>
      </w:tr>
      <w:tr w:rsidR="00E3272F" w:rsidRPr="006278E0" w14:paraId="737FC6B2" w14:textId="77777777" w:rsidTr="00AF510C">
        <w:trPr>
          <w:trHeight w:val="113"/>
        </w:trPr>
        <w:tc>
          <w:tcPr>
            <w:tcW w:w="5000" w:type="pct"/>
          </w:tcPr>
          <w:p w14:paraId="746C22CB" w14:textId="77777777" w:rsidR="00E3272F" w:rsidRPr="006278E0" w:rsidRDefault="00E3272F" w:rsidP="00E3272F">
            <w:pPr>
              <w:spacing w:before="60" w:after="60"/>
              <w:rPr>
                <w:rFonts w:cs="Times New Roman"/>
                <w:b/>
                <w:szCs w:val="20"/>
                <w:lang w:val="en-AU"/>
              </w:rPr>
            </w:pPr>
            <w:r w:rsidRPr="006278E0">
              <w:rPr>
                <w:rFonts w:eastAsia="Calibri"/>
                <w:szCs w:val="20"/>
              </w:rPr>
              <w:t>The linked programs contribute to Outcome 2 and support Australia’s broader sovereign capabilities through strategic engagement across government and supporting the nuclear workforce.</w:t>
            </w:r>
          </w:p>
        </w:tc>
      </w:tr>
    </w:tbl>
    <w:p w14:paraId="07F68BBC" w14:textId="77777777" w:rsidR="00155429" w:rsidRPr="006278E0" w:rsidRDefault="00155429" w:rsidP="002E39F8">
      <w:pPr>
        <w:spacing w:before="0" w:after="0"/>
        <w:jc w:val="both"/>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8607"/>
      </w:tblGrid>
      <w:tr w:rsidR="00311464" w:rsidRPr="006278E0" w14:paraId="04DF5D24" w14:textId="77777777" w:rsidTr="00AB5CA2">
        <w:trPr>
          <w:trHeight w:val="113"/>
        </w:trPr>
        <w:tc>
          <w:tcPr>
            <w:tcW w:w="5000" w:type="pct"/>
          </w:tcPr>
          <w:p w14:paraId="185B6286" w14:textId="77777777" w:rsidR="00311464" w:rsidRPr="006278E0" w:rsidRDefault="00311464" w:rsidP="00311464">
            <w:pPr>
              <w:spacing w:before="40" w:after="40"/>
              <w:rPr>
                <w:rFonts w:cs="Times New Roman"/>
                <w:b/>
                <w:szCs w:val="20"/>
                <w:lang w:val="en-AU"/>
              </w:rPr>
            </w:pPr>
            <w:r w:rsidRPr="006278E0">
              <w:rPr>
                <w:rFonts w:cs="Times New Roman"/>
                <w:b/>
                <w:szCs w:val="20"/>
                <w:lang w:val="en-AU"/>
              </w:rPr>
              <w:t>Department of Finance</w:t>
            </w:r>
          </w:p>
        </w:tc>
      </w:tr>
      <w:tr w:rsidR="00311464" w:rsidRPr="006278E0" w14:paraId="3C1A6F9B" w14:textId="77777777" w:rsidTr="00AB5CA2">
        <w:trPr>
          <w:trHeight w:val="113"/>
        </w:trPr>
        <w:tc>
          <w:tcPr>
            <w:tcW w:w="5000" w:type="pct"/>
          </w:tcPr>
          <w:p w14:paraId="0804D2DF" w14:textId="77777777" w:rsidR="00311464" w:rsidRPr="006278E0" w:rsidRDefault="00311464" w:rsidP="00311464">
            <w:pPr>
              <w:spacing w:before="40" w:after="40"/>
              <w:rPr>
                <w:rFonts w:cs="Times New Roman"/>
                <w:b/>
                <w:szCs w:val="20"/>
                <w:lang w:val="en-AU"/>
              </w:rPr>
            </w:pPr>
            <w:r w:rsidRPr="006278E0">
              <w:rPr>
                <w:lang w:val="en-AU"/>
              </w:rPr>
              <w:t>Program</w:t>
            </w:r>
            <w:r w:rsidRPr="006278E0">
              <w:t xml:space="preserve"> 2.10 - Nuclear-Powered Submarine Program Advice.</w:t>
            </w:r>
          </w:p>
        </w:tc>
      </w:tr>
      <w:tr w:rsidR="00311464" w:rsidRPr="006278E0" w14:paraId="58192BA1" w14:textId="77777777" w:rsidTr="00AB5CA2">
        <w:trPr>
          <w:trHeight w:val="113"/>
        </w:trPr>
        <w:tc>
          <w:tcPr>
            <w:tcW w:w="5000" w:type="pct"/>
          </w:tcPr>
          <w:p w14:paraId="5D3868CB" w14:textId="77777777" w:rsidR="00311464" w:rsidRPr="006278E0" w:rsidRDefault="00311464" w:rsidP="00AB5CA2">
            <w:pPr>
              <w:spacing w:before="40" w:after="40"/>
              <w:rPr>
                <w:rFonts w:cs="Times New Roman"/>
                <w:b/>
                <w:szCs w:val="20"/>
                <w:lang w:val="en-AU"/>
              </w:rPr>
            </w:pPr>
            <w:r w:rsidRPr="006278E0">
              <w:rPr>
                <w:rFonts w:cs="Times New Roman"/>
                <w:b/>
                <w:szCs w:val="20"/>
                <w:lang w:val="en-AU"/>
              </w:rPr>
              <w:t>Contribution to Outcome 2 by linked program</w:t>
            </w:r>
          </w:p>
        </w:tc>
      </w:tr>
      <w:tr w:rsidR="00311464" w:rsidRPr="006278E0" w14:paraId="4DBDD3CD" w14:textId="77777777" w:rsidTr="00AB5CA2">
        <w:trPr>
          <w:trHeight w:val="703"/>
        </w:trPr>
        <w:tc>
          <w:tcPr>
            <w:tcW w:w="5000" w:type="pct"/>
          </w:tcPr>
          <w:p w14:paraId="58ABB14E" w14:textId="77777777" w:rsidR="00311464" w:rsidRPr="006278E0" w:rsidRDefault="00311464" w:rsidP="00C51A82">
            <w:pPr>
              <w:pStyle w:val="BoxText"/>
              <w:spacing w:before="60" w:after="60"/>
              <w:rPr>
                <w:rFonts w:ascii="Book Antiqua" w:hAnsi="Book Antiqua" w:cs="Times New Roman"/>
                <w:sz w:val="20"/>
                <w:szCs w:val="20"/>
              </w:rPr>
            </w:pPr>
            <w:r w:rsidRPr="006278E0">
              <w:rPr>
                <w:rFonts w:ascii="Book Antiqua" w:hAnsi="Book Antiqua"/>
                <w:sz w:val="20"/>
                <w:szCs w:val="20"/>
              </w:rPr>
              <w:t>Contributes to Outcome 2 through the provision of budget and commercial advice for the delivery of nuclear-powered submarine capabilities.</w:t>
            </w:r>
          </w:p>
        </w:tc>
      </w:tr>
    </w:tbl>
    <w:p w14:paraId="067350D8" w14:textId="77777777" w:rsidR="0062151B" w:rsidRPr="006278E0" w:rsidRDefault="0062151B" w:rsidP="002E39F8">
      <w:pPr>
        <w:spacing w:before="0" w:after="0"/>
        <w:jc w:val="both"/>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8607"/>
      </w:tblGrid>
      <w:tr w:rsidR="00626B8B" w:rsidRPr="006278E0" w14:paraId="0CAA7E5C" w14:textId="77777777" w:rsidTr="00EA137A">
        <w:trPr>
          <w:trHeight w:val="113"/>
        </w:trPr>
        <w:tc>
          <w:tcPr>
            <w:tcW w:w="5000" w:type="pct"/>
          </w:tcPr>
          <w:p w14:paraId="10F11B21" w14:textId="77777777" w:rsidR="00626B8B" w:rsidRPr="006278E0" w:rsidRDefault="00626B8B" w:rsidP="0074080E">
            <w:pPr>
              <w:spacing w:before="60" w:after="60"/>
              <w:rPr>
                <w:rFonts w:cs="Times New Roman"/>
                <w:b/>
                <w:szCs w:val="20"/>
                <w:lang w:val="en-AU"/>
              </w:rPr>
            </w:pPr>
            <w:r w:rsidRPr="006278E0">
              <w:rPr>
                <w:rFonts w:cs="Times New Roman"/>
                <w:b/>
                <w:szCs w:val="20"/>
                <w:lang w:val="en-AU"/>
              </w:rPr>
              <w:t>Department of Foreign Affairs and Trade</w:t>
            </w:r>
          </w:p>
        </w:tc>
      </w:tr>
      <w:tr w:rsidR="00626B8B" w:rsidRPr="006278E0" w14:paraId="05ECD4B2" w14:textId="77777777" w:rsidTr="00EA137A">
        <w:trPr>
          <w:trHeight w:val="113"/>
        </w:trPr>
        <w:tc>
          <w:tcPr>
            <w:tcW w:w="5000" w:type="pct"/>
          </w:tcPr>
          <w:p w14:paraId="03BE39D6" w14:textId="77777777" w:rsidR="00626B8B" w:rsidRPr="006278E0" w:rsidRDefault="00626B8B" w:rsidP="00C5095E">
            <w:pPr>
              <w:spacing w:before="60" w:after="60"/>
              <w:rPr>
                <w:rFonts w:cs="Times New Roman"/>
                <w:szCs w:val="20"/>
                <w:lang w:val="en-AU"/>
              </w:rPr>
            </w:pPr>
            <w:r w:rsidRPr="006278E0">
              <w:rPr>
                <w:rFonts w:cs="Times New Roman"/>
                <w:szCs w:val="20"/>
                <w:lang w:val="en-AU"/>
              </w:rPr>
              <w:t xml:space="preserve">Program 1.1 </w:t>
            </w:r>
            <w:r w:rsidR="00B979D3" w:rsidRPr="006278E0">
              <w:rPr>
                <w:rFonts w:cs="Times New Roman"/>
                <w:szCs w:val="20"/>
                <w:lang w:val="en-AU"/>
              </w:rPr>
              <w:t>–</w:t>
            </w:r>
            <w:r w:rsidRPr="006278E0">
              <w:rPr>
                <w:rFonts w:cs="Times New Roman"/>
                <w:szCs w:val="20"/>
                <w:lang w:val="en-AU"/>
              </w:rPr>
              <w:t xml:space="preserve"> Foreign Affairs and Trade Operations</w:t>
            </w:r>
            <w:r w:rsidR="00E15EDB" w:rsidRPr="006278E0">
              <w:rPr>
                <w:rFonts w:cs="Times New Roman"/>
                <w:szCs w:val="20"/>
                <w:lang w:val="en-AU"/>
              </w:rPr>
              <w:t>.</w:t>
            </w:r>
          </w:p>
          <w:p w14:paraId="33BD72E0" w14:textId="77777777" w:rsidR="00525ECB" w:rsidRPr="006278E0" w:rsidRDefault="00525ECB" w:rsidP="00C5095E">
            <w:pPr>
              <w:spacing w:before="60" w:after="60"/>
              <w:rPr>
                <w:rFonts w:cs="Times New Roman"/>
                <w:szCs w:val="20"/>
                <w:lang w:val="en-AU"/>
              </w:rPr>
            </w:pPr>
            <w:r w:rsidRPr="006278E0">
              <w:t xml:space="preserve">Program 1.8 </w:t>
            </w:r>
            <w:r w:rsidRPr="006278E0">
              <w:rPr>
                <w:rFonts w:cs="Times New Roman"/>
                <w:szCs w:val="20"/>
                <w:lang w:val="en-AU"/>
              </w:rPr>
              <w:t>–</w:t>
            </w:r>
            <w:r w:rsidR="006D73B4" w:rsidRPr="006278E0">
              <w:t xml:space="preserve"> Nuclear-</w:t>
            </w:r>
            <w:r w:rsidRPr="006278E0">
              <w:t>Powered Submarine Program.</w:t>
            </w:r>
          </w:p>
        </w:tc>
      </w:tr>
      <w:tr w:rsidR="00626B8B" w:rsidRPr="006278E0" w14:paraId="794DAAD2" w14:textId="77777777" w:rsidTr="00EA137A">
        <w:trPr>
          <w:trHeight w:val="113"/>
        </w:trPr>
        <w:tc>
          <w:tcPr>
            <w:tcW w:w="5000" w:type="pct"/>
          </w:tcPr>
          <w:p w14:paraId="69A8518E" w14:textId="77777777" w:rsidR="00626B8B" w:rsidRPr="006278E0" w:rsidRDefault="00626B8B" w:rsidP="0074080E">
            <w:pPr>
              <w:spacing w:before="60" w:after="60"/>
              <w:rPr>
                <w:rFonts w:cs="Times New Roman"/>
                <w:b/>
                <w:szCs w:val="20"/>
                <w:lang w:val="en-AU"/>
              </w:rPr>
            </w:pPr>
            <w:r w:rsidRPr="006278E0">
              <w:rPr>
                <w:rFonts w:cs="Times New Roman"/>
                <w:b/>
                <w:szCs w:val="20"/>
                <w:lang w:val="en-AU"/>
              </w:rPr>
              <w:t>Contribution to Outcome 2 by linked programs</w:t>
            </w:r>
          </w:p>
        </w:tc>
      </w:tr>
      <w:tr w:rsidR="007C6A31" w:rsidRPr="006278E0" w14:paraId="2DCAC873" w14:textId="77777777" w:rsidTr="00EA137A">
        <w:trPr>
          <w:trHeight w:val="113"/>
        </w:trPr>
        <w:tc>
          <w:tcPr>
            <w:tcW w:w="5000" w:type="pct"/>
          </w:tcPr>
          <w:p w14:paraId="339F2C42" w14:textId="77777777" w:rsidR="007C6A31" w:rsidRPr="006278E0" w:rsidRDefault="007C6A31" w:rsidP="0074080E">
            <w:pPr>
              <w:spacing w:before="60" w:after="60"/>
              <w:rPr>
                <w:color w:val="000000"/>
              </w:rPr>
            </w:pPr>
            <w:r w:rsidRPr="006278E0">
              <w:rPr>
                <w:color w:val="000000"/>
              </w:rPr>
              <w:t>Under a Memorandum of Understanding, the placement of Department of Foreign Affairs and Trade advisors at the ACMC supports a high-priority Australian Government initiative to enhance the effectiveness of national and regional civil-military-police interaction in conflict and disaster management and promote</w:t>
            </w:r>
            <w:r w:rsidRPr="006278E0">
              <w:rPr>
                <w:strike/>
                <w:color w:val="000000"/>
              </w:rPr>
              <w:t>s</w:t>
            </w:r>
            <w:r w:rsidRPr="006278E0">
              <w:rPr>
                <w:color w:val="000000"/>
              </w:rPr>
              <w:t xml:space="preserve"> regional and global security.</w:t>
            </w:r>
          </w:p>
          <w:p w14:paraId="7C719E17" w14:textId="77777777" w:rsidR="00525ECB" w:rsidRPr="006278E0" w:rsidRDefault="00525ECB" w:rsidP="001548D3">
            <w:pPr>
              <w:spacing w:before="60" w:after="60"/>
              <w:rPr>
                <w:rFonts w:cs="Times New Roman"/>
                <w:szCs w:val="20"/>
                <w:lang w:val="en-AU"/>
              </w:rPr>
            </w:pPr>
            <w:r w:rsidRPr="006278E0">
              <w:t>The Department of Foreign Affairs and Trade including the Australian Safeguards and Non</w:t>
            </w:r>
            <w:r w:rsidRPr="006278E0">
              <w:noBreakHyphen/>
              <w:t>proliferation Office provides the legal, policy and diplomatic capability necessary to support Australia’s acquisition of conventionally</w:t>
            </w:r>
            <w:r w:rsidR="00163783" w:rsidRPr="006278E0">
              <w:t>-</w:t>
            </w:r>
            <w:r w:rsidRPr="006278E0">
              <w:t>armed</w:t>
            </w:r>
            <w:r w:rsidR="001548D3" w:rsidRPr="006278E0">
              <w:t>,</w:t>
            </w:r>
            <w:r w:rsidRPr="006278E0">
              <w:t xml:space="preserve"> nuclear-powered submarines.</w:t>
            </w:r>
          </w:p>
        </w:tc>
      </w:tr>
    </w:tbl>
    <w:p w14:paraId="5778B36D" w14:textId="77777777" w:rsidR="008C6FDE" w:rsidRPr="006278E0" w:rsidRDefault="008C6FDE" w:rsidP="002E39F8">
      <w:pPr>
        <w:spacing w:before="0" w:after="0"/>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8607"/>
      </w:tblGrid>
      <w:tr w:rsidR="002E71D7" w:rsidRPr="006278E0" w14:paraId="2118D2CD" w14:textId="77777777" w:rsidTr="00EA137A">
        <w:trPr>
          <w:trHeight w:val="113"/>
        </w:trPr>
        <w:tc>
          <w:tcPr>
            <w:tcW w:w="5000" w:type="pct"/>
          </w:tcPr>
          <w:p w14:paraId="4C8839A8" w14:textId="77777777" w:rsidR="002E71D7" w:rsidRPr="006278E0" w:rsidRDefault="002E71D7" w:rsidP="0074080E">
            <w:pPr>
              <w:spacing w:before="60" w:after="60"/>
              <w:rPr>
                <w:rFonts w:cs="Times New Roman"/>
                <w:b/>
                <w:szCs w:val="20"/>
                <w:lang w:val="en-AU"/>
              </w:rPr>
            </w:pPr>
            <w:r w:rsidRPr="006278E0">
              <w:rPr>
                <w:rFonts w:cs="Times New Roman"/>
                <w:b/>
                <w:szCs w:val="20"/>
                <w:lang w:val="en-AU"/>
              </w:rPr>
              <w:t>Department of Home Affairs</w:t>
            </w:r>
          </w:p>
        </w:tc>
      </w:tr>
      <w:tr w:rsidR="002E71D7" w:rsidRPr="006278E0" w14:paraId="6B7F4481" w14:textId="77777777" w:rsidTr="00EA137A">
        <w:trPr>
          <w:trHeight w:val="113"/>
        </w:trPr>
        <w:tc>
          <w:tcPr>
            <w:tcW w:w="5000" w:type="pct"/>
          </w:tcPr>
          <w:p w14:paraId="505BC41C" w14:textId="77777777" w:rsidR="00EF0BBF" w:rsidRPr="006278E0" w:rsidRDefault="002E71D7" w:rsidP="000409BF">
            <w:pPr>
              <w:spacing w:before="60" w:after="60"/>
              <w:rPr>
                <w:rFonts w:cs="Times New Roman"/>
                <w:szCs w:val="20"/>
                <w:lang w:val="en-AU"/>
              </w:rPr>
            </w:pPr>
            <w:r w:rsidRPr="006278E0">
              <w:rPr>
                <w:rFonts w:cs="Times New Roman"/>
                <w:szCs w:val="20"/>
                <w:lang w:val="en-AU"/>
              </w:rPr>
              <w:t>Program 1.</w:t>
            </w:r>
            <w:r w:rsidR="006D5A02" w:rsidRPr="006278E0">
              <w:rPr>
                <w:rFonts w:cs="Times New Roman"/>
                <w:szCs w:val="20"/>
                <w:lang w:val="en-AU"/>
              </w:rPr>
              <w:t>2</w:t>
            </w:r>
            <w:r w:rsidRPr="006278E0">
              <w:rPr>
                <w:rFonts w:cs="Times New Roman"/>
                <w:szCs w:val="20"/>
                <w:lang w:val="en-AU"/>
              </w:rPr>
              <w:t xml:space="preserve"> </w:t>
            </w:r>
            <w:r w:rsidR="00B979D3" w:rsidRPr="006278E0">
              <w:rPr>
                <w:rFonts w:cs="Times New Roman"/>
                <w:szCs w:val="20"/>
                <w:lang w:val="en-AU"/>
              </w:rPr>
              <w:t>–</w:t>
            </w:r>
            <w:r w:rsidRPr="006278E0">
              <w:rPr>
                <w:rFonts w:cs="Times New Roman"/>
                <w:szCs w:val="20"/>
                <w:lang w:val="en-AU"/>
              </w:rPr>
              <w:t xml:space="preserve"> National Security and </w:t>
            </w:r>
            <w:r w:rsidR="006D5A02" w:rsidRPr="006278E0">
              <w:rPr>
                <w:rFonts w:cs="Times New Roman"/>
                <w:szCs w:val="20"/>
                <w:lang w:val="en-AU"/>
              </w:rPr>
              <w:t>Resilience</w:t>
            </w:r>
            <w:r w:rsidR="00E15EDB" w:rsidRPr="006278E0">
              <w:rPr>
                <w:rFonts w:cs="Times New Roman"/>
                <w:szCs w:val="20"/>
                <w:lang w:val="en-AU"/>
              </w:rPr>
              <w:t>.</w:t>
            </w:r>
          </w:p>
        </w:tc>
      </w:tr>
      <w:tr w:rsidR="002E71D7" w:rsidRPr="006278E0" w14:paraId="58BDD7D1" w14:textId="77777777" w:rsidTr="00EA137A">
        <w:trPr>
          <w:trHeight w:val="113"/>
        </w:trPr>
        <w:tc>
          <w:tcPr>
            <w:tcW w:w="5000" w:type="pct"/>
          </w:tcPr>
          <w:p w14:paraId="0C73FD01" w14:textId="77777777" w:rsidR="002E71D7" w:rsidRPr="006278E0" w:rsidRDefault="002E71D7" w:rsidP="0074080E">
            <w:pPr>
              <w:spacing w:before="60" w:after="60"/>
              <w:rPr>
                <w:rFonts w:cs="Times New Roman"/>
                <w:b/>
                <w:szCs w:val="20"/>
                <w:lang w:val="en-AU"/>
              </w:rPr>
            </w:pPr>
            <w:r w:rsidRPr="006278E0">
              <w:rPr>
                <w:rFonts w:cs="Times New Roman"/>
                <w:b/>
                <w:szCs w:val="20"/>
                <w:lang w:val="en-AU"/>
              </w:rPr>
              <w:t>Contribution to Outcome 2 by linked programs</w:t>
            </w:r>
          </w:p>
        </w:tc>
      </w:tr>
      <w:tr w:rsidR="002E71D7" w:rsidRPr="006278E0" w14:paraId="18C6BA94" w14:textId="77777777" w:rsidTr="00EA137A">
        <w:trPr>
          <w:trHeight w:val="113"/>
        </w:trPr>
        <w:tc>
          <w:tcPr>
            <w:tcW w:w="5000" w:type="pct"/>
          </w:tcPr>
          <w:p w14:paraId="060D5F92" w14:textId="77777777" w:rsidR="002E71D7" w:rsidRPr="006278E0" w:rsidRDefault="007C6A31" w:rsidP="0074080E">
            <w:pPr>
              <w:spacing w:before="60" w:after="60"/>
              <w:rPr>
                <w:color w:val="000000"/>
              </w:rPr>
            </w:pPr>
            <w:r w:rsidRPr="006278E0">
              <w:rPr>
                <w:color w:val="000000"/>
              </w:rPr>
              <w:t xml:space="preserve">Under a Memorandum of Understanding, the placement of </w:t>
            </w:r>
            <w:r w:rsidR="00B334AE" w:rsidRPr="006278E0">
              <w:rPr>
                <w:color w:val="000000"/>
              </w:rPr>
              <w:t xml:space="preserve">National </w:t>
            </w:r>
            <w:r w:rsidRPr="006278E0">
              <w:rPr>
                <w:color w:val="000000"/>
              </w:rPr>
              <w:t>Emergency Management Australia secondees at the ACMC supports a high-priority Australian Government initiative to enhance the effectiveness of national and regional civil-military-police interaction for national security and disaster management to promote regional and global security and stability.</w:t>
            </w:r>
          </w:p>
          <w:p w14:paraId="4A181411" w14:textId="77777777" w:rsidR="00EF0BBF" w:rsidRPr="006278E0" w:rsidRDefault="00EF0BBF" w:rsidP="0074080E">
            <w:pPr>
              <w:spacing w:before="60" w:after="60"/>
              <w:rPr>
                <w:rFonts w:cs="Times New Roman"/>
                <w:szCs w:val="20"/>
                <w:lang w:val="en-AU"/>
              </w:rPr>
            </w:pPr>
            <w:r w:rsidRPr="006278E0">
              <w:rPr>
                <w:rFonts w:cs="Times New Roman"/>
                <w:szCs w:val="20"/>
                <w:lang w:val="en-AU"/>
              </w:rPr>
              <w:t>Under the Service Level Charter, Australian Government Security Vetting Agency (AGS</w:t>
            </w:r>
            <w:r w:rsidR="001548D3" w:rsidRPr="006278E0">
              <w:rPr>
                <w:rFonts w:cs="Times New Roman"/>
                <w:szCs w:val="20"/>
                <w:lang w:val="en-AU"/>
              </w:rPr>
              <w:t>VA) works collaboratively with g</w:t>
            </w:r>
            <w:r w:rsidRPr="006278E0">
              <w:rPr>
                <w:rFonts w:cs="Times New Roman"/>
                <w:szCs w:val="20"/>
                <w:lang w:val="en-AU"/>
              </w:rPr>
              <w:t>overnment agencies to provide the delivery of security vetting functions on behalf of the Commonwealth in line with Government requirements (excluding authorised vetting agencies).</w:t>
            </w:r>
          </w:p>
        </w:tc>
      </w:tr>
    </w:tbl>
    <w:p w14:paraId="1AF0708C" w14:textId="77777777" w:rsidR="000409BF" w:rsidRPr="006278E0" w:rsidRDefault="000409BF" w:rsidP="00B33E02">
      <w:pPr>
        <w:spacing w:before="0" w:after="0"/>
      </w:pPr>
    </w:p>
    <w:p w14:paraId="151A67DB" w14:textId="77777777" w:rsidR="00FC3BD6" w:rsidRPr="006278E0" w:rsidRDefault="000409BF" w:rsidP="00B33E02">
      <w:pPr>
        <w:spacing w:before="0" w:after="0"/>
      </w:pPr>
      <w:r w:rsidRPr="006278E0">
        <w:br w:type="page"/>
      </w:r>
    </w:p>
    <w:p w14:paraId="310EEA7E" w14:textId="77777777" w:rsidR="00FC3BD6" w:rsidRPr="006278E0" w:rsidRDefault="00FC3BD6" w:rsidP="00B33E02">
      <w:pPr>
        <w:spacing w:before="0" w:after="0"/>
        <w:rPr>
          <w:sz w:val="4"/>
          <w:szCs w:val="4"/>
        </w:rPr>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8607"/>
      </w:tblGrid>
      <w:tr w:rsidR="00E866E6" w:rsidRPr="006278E0" w14:paraId="45220D08" w14:textId="77777777" w:rsidTr="00EA137A">
        <w:trPr>
          <w:trHeight w:val="113"/>
        </w:trPr>
        <w:tc>
          <w:tcPr>
            <w:tcW w:w="5000" w:type="pct"/>
          </w:tcPr>
          <w:p w14:paraId="2446A483" w14:textId="77777777" w:rsidR="00E866E6" w:rsidRPr="006278E0" w:rsidRDefault="00FC3BD6" w:rsidP="0074080E">
            <w:pPr>
              <w:spacing w:before="60"/>
              <w:rPr>
                <w:b/>
                <w:i/>
                <w:lang w:val="en-AU"/>
              </w:rPr>
            </w:pPr>
            <w:r w:rsidRPr="006278E0">
              <w:br w:type="page"/>
            </w:r>
            <w:r w:rsidR="00B33E02" w:rsidRPr="006278E0">
              <w:rPr>
                <w:rStyle w:val="ExampletextCharChar"/>
                <w:b/>
                <w:i w:val="0"/>
                <w:color w:val="auto"/>
                <w:szCs w:val="20"/>
              </w:rPr>
              <w:t>D</w:t>
            </w:r>
            <w:r w:rsidR="00582697" w:rsidRPr="006278E0">
              <w:rPr>
                <w:rStyle w:val="ExampletextCharChar"/>
                <w:b/>
                <w:i w:val="0"/>
                <w:color w:val="auto"/>
                <w:szCs w:val="20"/>
              </w:rPr>
              <w:t xml:space="preserve">epartment of Industry, Science </w:t>
            </w:r>
            <w:r w:rsidR="00B33E02" w:rsidRPr="006278E0">
              <w:rPr>
                <w:rStyle w:val="ExampletextCharChar"/>
                <w:b/>
                <w:i w:val="0"/>
                <w:color w:val="auto"/>
                <w:szCs w:val="20"/>
              </w:rPr>
              <w:t>and Resources</w:t>
            </w:r>
          </w:p>
        </w:tc>
      </w:tr>
      <w:tr w:rsidR="00E866E6" w:rsidRPr="006278E0" w14:paraId="65FD3DB1" w14:textId="77777777" w:rsidTr="00EA137A">
        <w:trPr>
          <w:trHeight w:val="113"/>
        </w:trPr>
        <w:tc>
          <w:tcPr>
            <w:tcW w:w="5000" w:type="pct"/>
          </w:tcPr>
          <w:p w14:paraId="465AC4C5" w14:textId="77777777" w:rsidR="000178F9" w:rsidRPr="006278E0" w:rsidRDefault="000178F9" w:rsidP="00010103">
            <w:pPr>
              <w:pStyle w:val="ListParagraph"/>
              <w:spacing w:before="40" w:after="40"/>
              <w:ind w:left="0"/>
              <w:rPr>
                <w:sz w:val="19"/>
                <w:szCs w:val="19"/>
              </w:rPr>
            </w:pPr>
            <w:r w:rsidRPr="006278E0">
              <w:rPr>
                <w:sz w:val="19"/>
                <w:szCs w:val="19"/>
              </w:rPr>
              <w:t>Program 1.1 – Growing innovative and competitive businesses, industries and regions.</w:t>
            </w:r>
          </w:p>
          <w:p w14:paraId="29EACCB1" w14:textId="77777777" w:rsidR="00FE6E78" w:rsidRDefault="000178F9" w:rsidP="00FE6E78">
            <w:pPr>
              <w:pStyle w:val="ListParagraph"/>
              <w:spacing w:before="40" w:after="40"/>
              <w:ind w:left="0"/>
              <w:rPr>
                <w:sz w:val="19"/>
                <w:szCs w:val="19"/>
              </w:rPr>
            </w:pPr>
            <w:r w:rsidRPr="006278E0">
              <w:rPr>
                <w:sz w:val="19"/>
                <w:szCs w:val="19"/>
              </w:rPr>
              <w:t>Program 1.2 – Investing in science</w:t>
            </w:r>
            <w:r w:rsidR="00661C90" w:rsidRPr="006278E0">
              <w:rPr>
                <w:sz w:val="19"/>
                <w:szCs w:val="19"/>
              </w:rPr>
              <w:t xml:space="preserve"> and </w:t>
            </w:r>
            <w:r w:rsidRPr="006278E0">
              <w:rPr>
                <w:sz w:val="19"/>
                <w:szCs w:val="19"/>
              </w:rPr>
              <w:t>technology.</w:t>
            </w:r>
          </w:p>
          <w:p w14:paraId="42057243" w14:textId="7D57BC96" w:rsidR="00E866E6" w:rsidRPr="006278E0" w:rsidRDefault="000178F9" w:rsidP="00FE6E78">
            <w:pPr>
              <w:pStyle w:val="ListParagraph"/>
              <w:spacing w:before="40" w:after="40"/>
              <w:ind w:left="0"/>
              <w:rPr>
                <w:szCs w:val="20"/>
                <w:lang w:val="en-AU"/>
              </w:rPr>
            </w:pPr>
            <w:r w:rsidRPr="006278E0">
              <w:rPr>
                <w:sz w:val="19"/>
                <w:szCs w:val="19"/>
              </w:rPr>
              <w:t>Program 1.4 – Nuclear-Powered Submarines.</w:t>
            </w:r>
          </w:p>
        </w:tc>
      </w:tr>
      <w:tr w:rsidR="00E866E6" w:rsidRPr="006278E0" w14:paraId="623DE50B" w14:textId="77777777" w:rsidTr="00EA137A">
        <w:trPr>
          <w:trHeight w:val="113"/>
        </w:trPr>
        <w:tc>
          <w:tcPr>
            <w:tcW w:w="5000" w:type="pct"/>
          </w:tcPr>
          <w:p w14:paraId="3F34A8D6" w14:textId="77777777" w:rsidR="00E866E6" w:rsidRPr="006278E0" w:rsidRDefault="00E866E6" w:rsidP="00FC3BD6">
            <w:pPr>
              <w:spacing w:before="60" w:after="60"/>
              <w:rPr>
                <w:b/>
                <w:lang w:val="en-AU"/>
              </w:rPr>
            </w:pPr>
            <w:r w:rsidRPr="006278E0">
              <w:rPr>
                <w:rFonts w:cs="Times New Roman"/>
                <w:b/>
                <w:szCs w:val="20"/>
                <w:lang w:val="en-AU"/>
              </w:rPr>
              <w:t>Contribution</w:t>
            </w:r>
            <w:r w:rsidRPr="006278E0">
              <w:rPr>
                <w:b/>
                <w:lang w:val="en-AU"/>
              </w:rPr>
              <w:t xml:space="preserve"> to Outcome </w:t>
            </w:r>
            <w:r w:rsidR="00FC3BD6" w:rsidRPr="006278E0">
              <w:rPr>
                <w:b/>
                <w:lang w:val="en-AU"/>
              </w:rPr>
              <w:t>2</w:t>
            </w:r>
            <w:r w:rsidRPr="006278E0">
              <w:rPr>
                <w:b/>
                <w:lang w:val="en-AU"/>
              </w:rPr>
              <w:t xml:space="preserve"> by linked programs</w:t>
            </w:r>
          </w:p>
        </w:tc>
      </w:tr>
      <w:tr w:rsidR="00E866E6" w:rsidRPr="006278E0" w14:paraId="769A3526" w14:textId="77777777" w:rsidTr="00EA137A">
        <w:trPr>
          <w:trHeight w:val="113"/>
        </w:trPr>
        <w:tc>
          <w:tcPr>
            <w:tcW w:w="5000" w:type="pct"/>
          </w:tcPr>
          <w:p w14:paraId="7B88C5E3" w14:textId="77777777" w:rsidR="00771459" w:rsidRPr="006278E0" w:rsidRDefault="00771459" w:rsidP="00771459">
            <w:pPr>
              <w:spacing w:before="60" w:after="60"/>
              <w:rPr>
                <w:szCs w:val="20"/>
                <w:bdr w:val="none" w:sz="0" w:space="0" w:color="auto" w:frame="1"/>
                <w:lang w:val="en-AU"/>
              </w:rPr>
            </w:pPr>
            <w:r w:rsidRPr="006278E0">
              <w:rPr>
                <w:szCs w:val="20"/>
                <w:bdr w:val="none" w:sz="0" w:space="0" w:color="auto" w:frame="1"/>
              </w:rPr>
              <w:t>The Department of Industry, Science and Resource</w:t>
            </w:r>
            <w:r w:rsidR="00317D68" w:rsidRPr="006278E0">
              <w:rPr>
                <w:szCs w:val="20"/>
                <w:bdr w:val="none" w:sz="0" w:space="0" w:color="auto" w:frame="1"/>
              </w:rPr>
              <w:t>s</w:t>
            </w:r>
            <w:r w:rsidRPr="006278E0">
              <w:rPr>
                <w:szCs w:val="20"/>
                <w:bdr w:val="none" w:sz="0" w:space="0" w:color="auto" w:frame="1"/>
              </w:rPr>
              <w:t xml:space="preserve"> (DISR) works closely with </w:t>
            </w:r>
            <w:r w:rsidR="001548D3" w:rsidRPr="006278E0">
              <w:rPr>
                <w:szCs w:val="20"/>
                <w:bdr w:val="none" w:sz="0" w:space="0" w:color="auto" w:frame="1"/>
              </w:rPr>
              <w:t>Defence</w:t>
            </w:r>
            <w:r w:rsidRPr="006278E0">
              <w:rPr>
                <w:szCs w:val="20"/>
                <w:bdr w:val="none" w:sz="0" w:space="0" w:color="auto" w:frame="1"/>
              </w:rPr>
              <w:t xml:space="preserve"> on enterprise-level pro</w:t>
            </w:r>
            <w:r w:rsidR="00DB5DCF" w:rsidRPr="006278E0">
              <w:rPr>
                <w:szCs w:val="20"/>
                <w:bdr w:val="none" w:sz="0" w:space="0" w:color="auto" w:frame="1"/>
              </w:rPr>
              <w:t>grams to ensure alignment with whole-of-g</w:t>
            </w:r>
            <w:r w:rsidRPr="006278E0">
              <w:rPr>
                <w:szCs w:val="20"/>
                <w:bdr w:val="none" w:sz="0" w:space="0" w:color="auto" w:frame="1"/>
              </w:rPr>
              <w:t>overnment industry policy and to support the development of innovative and competitive businesses.</w:t>
            </w:r>
          </w:p>
          <w:p w14:paraId="491C8F13" w14:textId="77777777" w:rsidR="00771459" w:rsidRPr="006278E0" w:rsidRDefault="00771459" w:rsidP="00771459">
            <w:pPr>
              <w:spacing w:before="60" w:after="60"/>
              <w:rPr>
                <w:szCs w:val="20"/>
                <w:bdr w:val="none" w:sz="0" w:space="0" w:color="auto" w:frame="1"/>
              </w:rPr>
            </w:pPr>
            <w:r w:rsidRPr="006278E0">
              <w:rPr>
                <w:szCs w:val="20"/>
                <w:bdr w:val="none" w:sz="0" w:space="0" w:color="auto" w:frame="1"/>
              </w:rPr>
              <w:t>This includes supporting the development of defence industry policy and support programs, and facilitating links between Defence activities and industry initiatives including the National Reconstruction Fund, Buy Australian Plan, designing and implementing grants programs, and Australian industry participation.</w:t>
            </w:r>
          </w:p>
          <w:p w14:paraId="67A99E3F" w14:textId="77777777" w:rsidR="00771459" w:rsidRPr="006278E0" w:rsidRDefault="00771459" w:rsidP="00771459">
            <w:pPr>
              <w:spacing w:before="60" w:after="60"/>
              <w:rPr>
                <w:szCs w:val="20"/>
                <w:bdr w:val="none" w:sz="0" w:space="0" w:color="auto" w:frame="1"/>
              </w:rPr>
            </w:pPr>
            <w:r w:rsidRPr="006278E0">
              <w:rPr>
                <w:szCs w:val="20"/>
                <w:bdr w:val="none" w:sz="0" w:space="0" w:color="auto" w:frame="1"/>
              </w:rPr>
              <w:t>DISR engages with the Office of Defence Industry Support to identify and support Australian businesses seeking to increase their capability and capacity to participate in supply chains for defence projects.</w:t>
            </w:r>
          </w:p>
          <w:p w14:paraId="7128C8A0" w14:textId="77777777" w:rsidR="00771459" w:rsidRPr="006278E0" w:rsidRDefault="00771459" w:rsidP="00771459">
            <w:pPr>
              <w:spacing w:before="60" w:after="60"/>
              <w:rPr>
                <w:szCs w:val="20"/>
                <w:bdr w:val="none" w:sz="0" w:space="0" w:color="auto" w:frame="1"/>
              </w:rPr>
            </w:pPr>
            <w:r w:rsidRPr="006278E0">
              <w:rPr>
                <w:szCs w:val="20"/>
                <w:bdr w:val="none" w:sz="0" w:space="0" w:color="auto" w:frame="1"/>
              </w:rPr>
              <w:t xml:space="preserve">DISR collaborates with </w:t>
            </w:r>
            <w:r w:rsidR="001548D3" w:rsidRPr="006278E0">
              <w:rPr>
                <w:szCs w:val="20"/>
                <w:bdr w:val="none" w:sz="0" w:space="0" w:color="auto" w:frame="1"/>
              </w:rPr>
              <w:t>Defence</w:t>
            </w:r>
            <w:r w:rsidRPr="006278E0">
              <w:rPr>
                <w:szCs w:val="20"/>
                <w:bdr w:val="none" w:sz="0" w:space="0" w:color="auto" w:frame="1"/>
              </w:rPr>
              <w:t xml:space="preserve"> to ensure a complementary approach between civil space policy, industry development, regulation of space activities and Defence’s space responsibilities and interests.</w:t>
            </w:r>
          </w:p>
          <w:p w14:paraId="44A597FD" w14:textId="77777777" w:rsidR="00771459" w:rsidRPr="006278E0" w:rsidRDefault="00771459" w:rsidP="00771459">
            <w:pPr>
              <w:spacing w:before="60" w:after="60"/>
              <w:rPr>
                <w:szCs w:val="20"/>
                <w:bdr w:val="none" w:sz="0" w:space="0" w:color="auto" w:frame="1"/>
              </w:rPr>
            </w:pPr>
            <w:r w:rsidRPr="006278E0">
              <w:rPr>
                <w:szCs w:val="20"/>
                <w:bdr w:val="none" w:sz="0" w:space="0" w:color="auto" w:frame="1"/>
              </w:rPr>
              <w:t xml:space="preserve">DISR, through the Australian Radioactive Waste Agency and the Australian Nuclear Science and Technology Organisation, is supporting </w:t>
            </w:r>
            <w:r w:rsidR="001548D3" w:rsidRPr="006278E0">
              <w:rPr>
                <w:szCs w:val="20"/>
                <w:bdr w:val="none" w:sz="0" w:space="0" w:color="auto" w:frame="1"/>
              </w:rPr>
              <w:t xml:space="preserve">Defence’s </w:t>
            </w:r>
            <w:r w:rsidRPr="006278E0">
              <w:rPr>
                <w:szCs w:val="20"/>
                <w:bdr w:val="none" w:sz="0" w:space="0" w:color="auto" w:frame="1"/>
              </w:rPr>
              <w:t>acquisition of conventionally-armed, nuclear-powered submarines.</w:t>
            </w:r>
          </w:p>
          <w:p w14:paraId="1FC4941D" w14:textId="190517F8" w:rsidR="00771459" w:rsidRPr="006278E0" w:rsidRDefault="00771459" w:rsidP="00771459">
            <w:pPr>
              <w:spacing w:before="60" w:after="60"/>
              <w:rPr>
                <w:szCs w:val="20"/>
                <w:bdr w:val="none" w:sz="0" w:space="0" w:color="auto" w:frame="1"/>
              </w:rPr>
            </w:pPr>
            <w:r w:rsidRPr="006278E0">
              <w:rPr>
                <w:szCs w:val="20"/>
                <w:bdr w:val="none" w:sz="0" w:space="0" w:color="auto" w:frame="1"/>
              </w:rPr>
              <w:t xml:space="preserve">DISR engages with the department regarding Defence Export Controls </w:t>
            </w:r>
            <w:r w:rsidR="00585274">
              <w:rPr>
                <w:szCs w:val="20"/>
                <w:bdr w:val="none" w:sz="0" w:space="0" w:color="auto" w:frame="1"/>
              </w:rPr>
              <w:t xml:space="preserve">align regulatory activity associated with </w:t>
            </w:r>
            <w:r w:rsidRPr="006278E0">
              <w:rPr>
                <w:szCs w:val="20"/>
                <w:bdr w:val="none" w:sz="0" w:space="0" w:color="auto" w:frame="1"/>
              </w:rPr>
              <w:t>dual-use and critical technologies to harness the benefits while protecting Australia’s research capability, innovation and comparative advantage.</w:t>
            </w:r>
          </w:p>
          <w:p w14:paraId="5372CFC9" w14:textId="77777777" w:rsidR="00403ACA" w:rsidRPr="006278E0" w:rsidRDefault="00771459" w:rsidP="004139B2">
            <w:pPr>
              <w:spacing w:before="60" w:after="60"/>
              <w:rPr>
                <w:lang w:val="en-AU"/>
              </w:rPr>
            </w:pPr>
            <w:r w:rsidRPr="006278E0">
              <w:rPr>
                <w:szCs w:val="20"/>
                <w:bdr w:val="none" w:sz="0" w:space="0" w:color="auto" w:frame="1"/>
              </w:rPr>
              <w:t>DISR works with Defence on initiatives aimed to address critical workforce shortages in STEM by attracting and retaining Australians from diverse backgrounds in STEM education and careers.</w:t>
            </w:r>
          </w:p>
        </w:tc>
      </w:tr>
    </w:tbl>
    <w:p w14:paraId="14F5D88F" w14:textId="77777777" w:rsidR="0066219B" w:rsidRPr="006278E0" w:rsidRDefault="0066219B" w:rsidP="002E39F8">
      <w:pPr>
        <w:spacing w:before="0" w:after="0"/>
        <w:jc w:val="both"/>
      </w:pPr>
    </w:p>
    <w:tbl>
      <w:tblPr>
        <w:tblW w:w="5000" w:type="pct"/>
        <w:tblInd w:w="113" w:type="dxa"/>
        <w:tblBorders>
          <w:top w:val="single" w:sz="4" w:space="0" w:color="000000"/>
          <w:left w:val="single" w:sz="4" w:space="0" w:color="auto"/>
          <w:bottom w:val="single" w:sz="4" w:space="0" w:color="auto"/>
          <w:right w:val="single" w:sz="4" w:space="0" w:color="auto"/>
          <w:insideH w:val="dotted" w:sz="4" w:space="0" w:color="auto"/>
          <w:insideV w:val="single" w:sz="4" w:space="0" w:color="7F7F7F"/>
        </w:tblBorders>
        <w:tblLook w:val="0000" w:firstRow="0" w:lastRow="0" w:firstColumn="0" w:lastColumn="0" w:noHBand="0" w:noVBand="0"/>
      </w:tblPr>
      <w:tblGrid>
        <w:gridCol w:w="8607"/>
      </w:tblGrid>
      <w:tr w:rsidR="00E866E6" w:rsidRPr="006278E0" w14:paraId="28C48FC8" w14:textId="77777777" w:rsidTr="003A5C37">
        <w:trPr>
          <w:trHeight w:val="113"/>
        </w:trPr>
        <w:tc>
          <w:tcPr>
            <w:tcW w:w="5000" w:type="pct"/>
          </w:tcPr>
          <w:p w14:paraId="3681B334" w14:textId="77777777" w:rsidR="00E866E6" w:rsidRPr="006278E0" w:rsidRDefault="00E866E6" w:rsidP="0074080E">
            <w:pPr>
              <w:spacing w:before="60" w:after="60"/>
              <w:rPr>
                <w:b/>
                <w:lang w:val="en-AU"/>
              </w:rPr>
            </w:pPr>
            <w:r w:rsidRPr="006278E0">
              <w:rPr>
                <w:b/>
                <w:lang w:val="en-AU"/>
              </w:rPr>
              <w:t>Department of Infrastructure</w:t>
            </w:r>
            <w:r w:rsidR="00F532D7" w:rsidRPr="006278E0">
              <w:rPr>
                <w:b/>
                <w:lang w:val="en-AU"/>
              </w:rPr>
              <w:t>, Transport,</w:t>
            </w:r>
            <w:r w:rsidRPr="006278E0">
              <w:rPr>
                <w:b/>
                <w:lang w:val="en-AU"/>
              </w:rPr>
              <w:t xml:space="preserve"> Regional Development</w:t>
            </w:r>
            <w:r w:rsidR="00C16EA3" w:rsidRPr="006278E0">
              <w:rPr>
                <w:b/>
                <w:lang w:val="en-AU"/>
              </w:rPr>
              <w:t>,</w:t>
            </w:r>
            <w:r w:rsidR="00F532D7" w:rsidRPr="006278E0">
              <w:rPr>
                <w:b/>
                <w:lang w:val="en-AU"/>
              </w:rPr>
              <w:t xml:space="preserve"> Communications</w:t>
            </w:r>
            <w:r w:rsidR="00C16EA3" w:rsidRPr="006278E0">
              <w:rPr>
                <w:b/>
                <w:lang w:val="en-AU"/>
              </w:rPr>
              <w:t xml:space="preserve"> and the Arts</w:t>
            </w:r>
          </w:p>
        </w:tc>
      </w:tr>
      <w:tr w:rsidR="00E866E6" w:rsidRPr="006278E0" w14:paraId="491ED29F" w14:textId="77777777" w:rsidTr="003A5C37">
        <w:trPr>
          <w:trHeight w:val="113"/>
        </w:trPr>
        <w:tc>
          <w:tcPr>
            <w:tcW w:w="5000" w:type="pct"/>
          </w:tcPr>
          <w:p w14:paraId="17CCC6D9" w14:textId="77777777" w:rsidR="00E866E6" w:rsidRPr="006278E0" w:rsidRDefault="00E866E6" w:rsidP="00010103">
            <w:pPr>
              <w:spacing w:before="40" w:after="40"/>
              <w:rPr>
                <w:szCs w:val="20"/>
                <w:lang w:val="en-AU"/>
              </w:rPr>
            </w:pPr>
            <w:r w:rsidRPr="006278E0">
              <w:rPr>
                <w:szCs w:val="20"/>
                <w:lang w:val="en-AU"/>
              </w:rPr>
              <w:t xml:space="preserve">Program 1.1 </w:t>
            </w:r>
            <w:r w:rsidR="00B979D3" w:rsidRPr="006278E0">
              <w:rPr>
                <w:rFonts w:cs="Times New Roman"/>
                <w:szCs w:val="20"/>
                <w:lang w:val="en-AU"/>
              </w:rPr>
              <w:t>–</w:t>
            </w:r>
            <w:r w:rsidRPr="006278E0">
              <w:rPr>
                <w:szCs w:val="20"/>
                <w:lang w:val="en-AU"/>
              </w:rPr>
              <w:t xml:space="preserve"> The Australian Transport Safety Bureau</w:t>
            </w:r>
            <w:r w:rsidR="00E15EDB" w:rsidRPr="006278E0">
              <w:rPr>
                <w:szCs w:val="20"/>
                <w:lang w:val="en-AU"/>
              </w:rPr>
              <w:t>.</w:t>
            </w:r>
          </w:p>
          <w:p w14:paraId="25F5287C" w14:textId="77777777" w:rsidR="00E866E6" w:rsidRPr="006278E0" w:rsidRDefault="00341F3F" w:rsidP="00010103">
            <w:pPr>
              <w:spacing w:before="40" w:after="40"/>
              <w:rPr>
                <w:b/>
                <w:lang w:val="en-AU"/>
              </w:rPr>
            </w:pPr>
            <w:r w:rsidRPr="006278E0">
              <w:rPr>
                <w:szCs w:val="20"/>
                <w:lang w:val="en-AU"/>
              </w:rPr>
              <w:t xml:space="preserve">Program 1.1 </w:t>
            </w:r>
            <w:r w:rsidR="00B979D3" w:rsidRPr="006278E0">
              <w:rPr>
                <w:rFonts w:cs="Times New Roman"/>
                <w:szCs w:val="20"/>
                <w:lang w:val="en-AU"/>
              </w:rPr>
              <w:t>–</w:t>
            </w:r>
            <w:r w:rsidR="00E866E6" w:rsidRPr="006278E0">
              <w:rPr>
                <w:szCs w:val="20"/>
                <w:lang w:val="en-AU"/>
              </w:rPr>
              <w:t xml:space="preserve"> The Civil Aviation Safety Authority</w:t>
            </w:r>
            <w:r w:rsidR="00E15EDB" w:rsidRPr="006278E0">
              <w:rPr>
                <w:szCs w:val="20"/>
                <w:lang w:val="en-AU"/>
              </w:rPr>
              <w:t>.</w:t>
            </w:r>
          </w:p>
        </w:tc>
      </w:tr>
      <w:tr w:rsidR="00E866E6" w:rsidRPr="006278E0" w14:paraId="40A6C906" w14:textId="77777777" w:rsidTr="003A5C37">
        <w:trPr>
          <w:trHeight w:val="113"/>
        </w:trPr>
        <w:tc>
          <w:tcPr>
            <w:tcW w:w="5000" w:type="pct"/>
          </w:tcPr>
          <w:p w14:paraId="3E82F2BB" w14:textId="77777777" w:rsidR="00E866E6" w:rsidRPr="006278E0" w:rsidRDefault="00E866E6" w:rsidP="0074080E">
            <w:pPr>
              <w:spacing w:before="60" w:after="60"/>
              <w:rPr>
                <w:b/>
                <w:lang w:val="en-AU"/>
              </w:rPr>
            </w:pPr>
            <w:r w:rsidRPr="006278E0">
              <w:rPr>
                <w:rFonts w:cs="Times New Roman"/>
                <w:b/>
                <w:szCs w:val="20"/>
                <w:lang w:val="en-AU"/>
              </w:rPr>
              <w:t>Contribution</w:t>
            </w:r>
            <w:r w:rsidRPr="006278E0">
              <w:rPr>
                <w:b/>
                <w:szCs w:val="20"/>
                <w:lang w:val="en-AU"/>
              </w:rPr>
              <w:t xml:space="preserve"> to Outcome 2 by linked programs</w:t>
            </w:r>
          </w:p>
        </w:tc>
      </w:tr>
      <w:tr w:rsidR="00B33E02" w:rsidRPr="006278E0" w14:paraId="55BA046D" w14:textId="77777777" w:rsidTr="003A5C37">
        <w:trPr>
          <w:trHeight w:val="113"/>
        </w:trPr>
        <w:tc>
          <w:tcPr>
            <w:tcW w:w="5000" w:type="pct"/>
          </w:tcPr>
          <w:p w14:paraId="597AC3E5" w14:textId="77777777" w:rsidR="00B33E02" w:rsidRPr="006278E0" w:rsidRDefault="00B33E02" w:rsidP="00CA307C">
            <w:pPr>
              <w:spacing w:before="60" w:after="60"/>
              <w:rPr>
                <w:lang w:val="en-AU"/>
              </w:rPr>
            </w:pPr>
            <w:r w:rsidRPr="006278E0">
              <w:rPr>
                <w:lang w:val="en-AU"/>
              </w:rPr>
              <w:t xml:space="preserve">The Memorandum of Understanding </w:t>
            </w:r>
            <w:r w:rsidR="000F5BDA" w:rsidRPr="006278E0">
              <w:rPr>
                <w:lang w:val="en-AU"/>
              </w:rPr>
              <w:t xml:space="preserve">(MOU) </w:t>
            </w:r>
            <w:r w:rsidRPr="006278E0">
              <w:rPr>
                <w:lang w:val="en-AU"/>
              </w:rPr>
              <w:t>between Defence and the Australian Transport Safety Bureau</w:t>
            </w:r>
            <w:r w:rsidR="00E80DA1" w:rsidRPr="006278E0">
              <w:rPr>
                <w:lang w:val="en-AU"/>
              </w:rPr>
              <w:t xml:space="preserve"> (ATSB)</w:t>
            </w:r>
            <w:r w:rsidRPr="006278E0">
              <w:rPr>
                <w:lang w:val="en-AU"/>
              </w:rPr>
              <w:t xml:space="preserve"> contribute</w:t>
            </w:r>
            <w:r w:rsidR="008D11A9" w:rsidRPr="006278E0">
              <w:rPr>
                <w:lang w:val="en-AU"/>
              </w:rPr>
              <w:t>s</w:t>
            </w:r>
            <w:r w:rsidRPr="006278E0">
              <w:rPr>
                <w:lang w:val="en-AU"/>
              </w:rPr>
              <w:t xml:space="preserve"> to the outcome through the sharing of expertise, training opportunities, experience and equipment in transport safety investigations and supports the adoption of a systematic approach to aviation safety. The </w:t>
            </w:r>
            <w:r w:rsidR="008B17C9" w:rsidRPr="006278E0">
              <w:rPr>
                <w:lang w:val="en-AU"/>
              </w:rPr>
              <w:t>ATSB</w:t>
            </w:r>
            <w:r w:rsidRPr="006278E0">
              <w:rPr>
                <w:lang w:val="en-AU"/>
              </w:rPr>
              <w:t xml:space="preserve"> support to Defence Aviation Safety investigations contribute</w:t>
            </w:r>
            <w:r w:rsidR="008B17C9" w:rsidRPr="006278E0">
              <w:rPr>
                <w:lang w:val="en-AU"/>
              </w:rPr>
              <w:t>s</w:t>
            </w:r>
            <w:r w:rsidRPr="006278E0">
              <w:rPr>
                <w:lang w:val="en-AU"/>
              </w:rPr>
              <w:t xml:space="preserve"> to capability through the prevention of recurrence and the mutual adoption of a systemic approach to aviation safety enhances capability through the prevention of accident</w:t>
            </w:r>
            <w:r w:rsidR="008B17C9" w:rsidRPr="006278E0">
              <w:rPr>
                <w:lang w:val="en-AU"/>
              </w:rPr>
              <w:t>s</w:t>
            </w:r>
            <w:r w:rsidRPr="006278E0">
              <w:rPr>
                <w:lang w:val="en-AU"/>
              </w:rPr>
              <w:t xml:space="preserve"> and seri</w:t>
            </w:r>
            <w:r w:rsidR="0014365C" w:rsidRPr="006278E0">
              <w:rPr>
                <w:lang w:val="en-AU"/>
              </w:rPr>
              <w:t>ou</w:t>
            </w:r>
            <w:r w:rsidRPr="006278E0">
              <w:rPr>
                <w:lang w:val="en-AU"/>
              </w:rPr>
              <w:t>s incidents.</w:t>
            </w:r>
          </w:p>
        </w:tc>
      </w:tr>
    </w:tbl>
    <w:p w14:paraId="5C48BA70" w14:textId="77777777" w:rsidR="00865D35" w:rsidRPr="006278E0" w:rsidRDefault="00865D35" w:rsidP="00B33E02">
      <w:pPr>
        <w:spacing w:before="0" w:after="0"/>
      </w:pPr>
    </w:p>
    <w:p w14:paraId="6D2549A7" w14:textId="77777777" w:rsidR="00010103" w:rsidRPr="006278E0" w:rsidRDefault="00865D35" w:rsidP="00B33E02">
      <w:pPr>
        <w:spacing w:before="0" w:after="0"/>
      </w:pPr>
      <w:r w:rsidRPr="006278E0">
        <w:br w:type="page"/>
      </w:r>
    </w:p>
    <w:tbl>
      <w:tblPr>
        <w:tblW w:w="88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8"/>
      </w:tblGrid>
      <w:tr w:rsidR="00633DE1" w:rsidRPr="006278E0" w14:paraId="4D1C1B09" w14:textId="77777777" w:rsidTr="006C1EE6">
        <w:trPr>
          <w:trHeight w:val="500"/>
        </w:trPr>
        <w:tc>
          <w:tcPr>
            <w:tcW w:w="8838" w:type="dxa"/>
            <w:shd w:val="clear" w:color="auto" w:fill="auto"/>
          </w:tcPr>
          <w:p w14:paraId="4A878C3F" w14:textId="77777777" w:rsidR="00633DE1" w:rsidRPr="006278E0" w:rsidRDefault="00633DE1" w:rsidP="006C1EE6">
            <w:pPr>
              <w:spacing w:before="0" w:after="0"/>
            </w:pPr>
            <w:r w:rsidRPr="006278E0">
              <w:rPr>
                <w:b/>
                <w:lang w:val="en-AU"/>
              </w:rPr>
              <w:lastRenderedPageBreak/>
              <w:t>Department of Infrastructure, Transport, Regional Development, Communications and the Arts</w:t>
            </w:r>
            <w:r w:rsidR="00865D35" w:rsidRPr="006278E0">
              <w:rPr>
                <w:b/>
                <w:lang w:val="en-AU"/>
              </w:rPr>
              <w:t>, continued</w:t>
            </w:r>
          </w:p>
        </w:tc>
      </w:tr>
      <w:tr w:rsidR="00633DE1" w:rsidRPr="006278E0" w14:paraId="7D63BFF7" w14:textId="77777777" w:rsidTr="006C1EE6">
        <w:trPr>
          <w:trHeight w:val="1803"/>
        </w:trPr>
        <w:tc>
          <w:tcPr>
            <w:tcW w:w="8838" w:type="dxa"/>
            <w:shd w:val="clear" w:color="auto" w:fill="auto"/>
          </w:tcPr>
          <w:p w14:paraId="4A46136B" w14:textId="77777777" w:rsidR="00633DE1" w:rsidRPr="006278E0" w:rsidRDefault="00865D35" w:rsidP="006C1EE6">
            <w:pPr>
              <w:spacing w:before="0" w:after="0"/>
              <w:ind w:right="-247"/>
            </w:pPr>
            <w:r w:rsidRPr="006278E0">
              <w:rPr>
                <w:lang w:val="en-AU"/>
              </w:rPr>
              <w:t xml:space="preserve">The MOU between Defence and the Civil Aviation Safety Authority contributes to the outcome through a harmonisation of military and civil aviation regulation and management. This harmonisation reaches into areas such as shared use airfields, the provision of air traffic services through Airservices Australia to Defence and the use of civil registered aircraft and unmanned aerial systems by the military. Agreement between civil and military </w:t>
            </w:r>
            <w:r w:rsidR="001548D3" w:rsidRPr="006278E0">
              <w:rPr>
                <w:lang w:val="en-AU"/>
              </w:rPr>
              <w:t>regulators leads to cooperation </w:t>
            </w:r>
            <w:r w:rsidRPr="006278E0">
              <w:rPr>
                <w:lang w:val="en-AU"/>
              </w:rPr>
              <w:t>and reduced duplication in Air Traffic Management, aviation landing and approach procedures, aviation rescue and fire-fighting services</w:t>
            </w:r>
            <w:r w:rsidR="00F4318E" w:rsidRPr="006278E0">
              <w:rPr>
                <w:lang w:val="en-AU"/>
              </w:rPr>
              <w:t>,</w:t>
            </w:r>
            <w:r w:rsidRPr="006278E0">
              <w:rPr>
                <w:lang w:val="en-AU"/>
              </w:rPr>
              <w:t xml:space="preserve"> and airport infrastructure.</w:t>
            </w:r>
          </w:p>
        </w:tc>
      </w:tr>
    </w:tbl>
    <w:p w14:paraId="76C86D99" w14:textId="77777777" w:rsidR="001D5856" w:rsidRPr="006278E0" w:rsidRDefault="001D5856" w:rsidP="00CD6AE2">
      <w:pPr>
        <w:spacing w:before="0" w:after="0"/>
        <w:jc w:val="both"/>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tblGrid>
      <w:tr w:rsidR="00CD6AE2" w:rsidRPr="006278E0" w14:paraId="5AF7A1DE" w14:textId="77777777" w:rsidTr="001E2649">
        <w:tc>
          <w:tcPr>
            <w:tcW w:w="8789" w:type="dxa"/>
            <w:tcBorders>
              <w:bottom w:val="dotted" w:sz="4" w:space="0" w:color="auto"/>
            </w:tcBorders>
            <w:shd w:val="clear" w:color="auto" w:fill="auto"/>
          </w:tcPr>
          <w:p w14:paraId="022184FD" w14:textId="77777777" w:rsidR="00CD6AE2" w:rsidRPr="006278E0" w:rsidRDefault="00CD6AE2" w:rsidP="001E2649">
            <w:pPr>
              <w:spacing w:before="60" w:after="60"/>
              <w:rPr>
                <w:b/>
                <w:lang w:val="en-AU"/>
              </w:rPr>
            </w:pPr>
            <w:r w:rsidRPr="006278E0">
              <w:br w:type="page"/>
            </w:r>
            <w:r w:rsidRPr="006278E0">
              <w:br w:type="page"/>
            </w:r>
            <w:r w:rsidRPr="006278E0">
              <w:rPr>
                <w:b/>
                <w:lang w:val="en-AU"/>
              </w:rPr>
              <w:t>Department of Social Services</w:t>
            </w:r>
          </w:p>
        </w:tc>
      </w:tr>
      <w:tr w:rsidR="00CD6AE2" w:rsidRPr="006278E0" w14:paraId="34EBE18E" w14:textId="77777777" w:rsidTr="001E2649">
        <w:tc>
          <w:tcPr>
            <w:tcW w:w="8789" w:type="dxa"/>
            <w:tcBorders>
              <w:top w:val="dotted" w:sz="4" w:space="0" w:color="auto"/>
              <w:bottom w:val="dotted" w:sz="4" w:space="0" w:color="auto"/>
            </w:tcBorders>
            <w:shd w:val="clear" w:color="auto" w:fill="auto"/>
          </w:tcPr>
          <w:p w14:paraId="6909B82F" w14:textId="77777777" w:rsidR="00CD6AE2" w:rsidRPr="006278E0" w:rsidRDefault="00CD6AE2" w:rsidP="001E2649">
            <w:pPr>
              <w:spacing w:before="60" w:after="60"/>
              <w:rPr>
                <w:szCs w:val="20"/>
                <w:lang w:val="en-AU"/>
              </w:rPr>
            </w:pPr>
            <w:r w:rsidRPr="006278E0">
              <w:rPr>
                <w:szCs w:val="20"/>
                <w:lang w:val="en-AU"/>
              </w:rPr>
              <w:t>Program 2.1 – Families and Communities.</w:t>
            </w:r>
          </w:p>
        </w:tc>
      </w:tr>
      <w:tr w:rsidR="00CD6AE2" w:rsidRPr="006278E0" w14:paraId="167AE723" w14:textId="77777777" w:rsidTr="001E2649">
        <w:tc>
          <w:tcPr>
            <w:tcW w:w="8789" w:type="dxa"/>
            <w:tcBorders>
              <w:top w:val="dotted" w:sz="4" w:space="0" w:color="auto"/>
              <w:bottom w:val="dotted" w:sz="4" w:space="0" w:color="auto"/>
            </w:tcBorders>
            <w:shd w:val="clear" w:color="auto" w:fill="auto"/>
          </w:tcPr>
          <w:p w14:paraId="5838CF70" w14:textId="77777777" w:rsidR="00CD6AE2" w:rsidRPr="000A4D9D" w:rsidRDefault="00CD6AE2" w:rsidP="001E2649">
            <w:pPr>
              <w:spacing w:before="60" w:after="60"/>
              <w:rPr>
                <w:b/>
                <w:szCs w:val="20"/>
                <w:lang w:val="en-AU"/>
              </w:rPr>
            </w:pPr>
            <w:r w:rsidRPr="000A4D9D">
              <w:rPr>
                <w:b/>
                <w:szCs w:val="20"/>
                <w:lang w:val="en-AU"/>
              </w:rPr>
              <w:t>Contribution to Outcome 2 by linked programs</w:t>
            </w:r>
          </w:p>
        </w:tc>
      </w:tr>
      <w:tr w:rsidR="00CD6AE2" w:rsidRPr="006278E0" w14:paraId="5947132D" w14:textId="77777777" w:rsidTr="001E2649">
        <w:tc>
          <w:tcPr>
            <w:tcW w:w="8789" w:type="dxa"/>
            <w:tcBorders>
              <w:top w:val="dotted" w:sz="4" w:space="0" w:color="auto"/>
            </w:tcBorders>
            <w:shd w:val="clear" w:color="auto" w:fill="auto"/>
          </w:tcPr>
          <w:p w14:paraId="0401EF54" w14:textId="77777777" w:rsidR="00CD6AE2" w:rsidRPr="006278E0" w:rsidRDefault="00CD6AE2" w:rsidP="001E2649">
            <w:pPr>
              <w:spacing w:before="60" w:after="60"/>
              <w:rPr>
                <w:szCs w:val="20"/>
                <w:lang w:val="en-AU"/>
              </w:rPr>
            </w:pPr>
            <w:r w:rsidRPr="006278E0">
              <w:rPr>
                <w:szCs w:val="20"/>
                <w:lang w:val="en-AU"/>
              </w:rPr>
              <w:t>Defence works with the Department of Social Services on the implementation and management of the National Redress Scheme processes that will be required to ensure that all claims are processed as efficiently as possible.</w:t>
            </w:r>
          </w:p>
        </w:tc>
      </w:tr>
    </w:tbl>
    <w:p w14:paraId="16B77EE4" w14:textId="77777777" w:rsidR="001D5856" w:rsidRPr="006278E0" w:rsidRDefault="001D5856" w:rsidP="00B33E02">
      <w:pPr>
        <w:spacing w:before="0" w:after="0"/>
      </w:pPr>
    </w:p>
    <w:tbl>
      <w:tblPr>
        <w:tblW w:w="5120" w:type="pct"/>
        <w:tblInd w:w="113" w:type="dxa"/>
        <w:tblBorders>
          <w:top w:val="single" w:sz="4" w:space="0" w:color="auto"/>
          <w:left w:val="single" w:sz="4" w:space="0" w:color="auto"/>
          <w:bottom w:val="single" w:sz="4" w:space="0" w:color="auto"/>
          <w:right w:val="single" w:sz="4" w:space="0" w:color="auto"/>
          <w:insideH w:val="dotted" w:sz="4" w:space="0" w:color="auto"/>
          <w:insideV w:val="single" w:sz="4" w:space="0" w:color="7F7F7F"/>
        </w:tblBorders>
        <w:tblLook w:val="0000" w:firstRow="0" w:lastRow="0" w:firstColumn="0" w:lastColumn="0" w:noHBand="0" w:noVBand="0"/>
      </w:tblPr>
      <w:tblGrid>
        <w:gridCol w:w="8814"/>
      </w:tblGrid>
      <w:tr w:rsidR="00E57B93" w:rsidRPr="006278E0" w14:paraId="40843200" w14:textId="77777777" w:rsidTr="00A261DB">
        <w:trPr>
          <w:trHeight w:val="113"/>
        </w:trPr>
        <w:tc>
          <w:tcPr>
            <w:tcW w:w="5000" w:type="pct"/>
          </w:tcPr>
          <w:p w14:paraId="188BA6A1" w14:textId="77777777" w:rsidR="00E57B93" w:rsidRPr="006278E0" w:rsidRDefault="00E57B93" w:rsidP="0035101B">
            <w:pPr>
              <w:spacing w:before="40" w:after="40"/>
            </w:pPr>
            <w:bookmarkStart w:id="783" w:name="_Toc97275934"/>
            <w:r w:rsidRPr="006278E0">
              <w:rPr>
                <w:b/>
                <w:lang w:eastAsia="en-US"/>
              </w:rPr>
              <w:t>Department of the Treasury</w:t>
            </w:r>
            <w:bookmarkEnd w:id="783"/>
          </w:p>
        </w:tc>
      </w:tr>
      <w:tr w:rsidR="00E57B93" w:rsidRPr="006278E0" w14:paraId="27AAE8D1" w14:textId="77777777" w:rsidTr="00A261DB">
        <w:trPr>
          <w:trHeight w:val="113"/>
        </w:trPr>
        <w:tc>
          <w:tcPr>
            <w:tcW w:w="5000" w:type="pct"/>
          </w:tcPr>
          <w:p w14:paraId="2A7EF6BA" w14:textId="77777777" w:rsidR="00CC42FF" w:rsidRPr="006278E0" w:rsidRDefault="00CC42FF" w:rsidP="0035101B">
            <w:pPr>
              <w:spacing w:before="40" w:after="40"/>
              <w:rPr>
                <w:lang w:val="en-AU"/>
              </w:rPr>
            </w:pPr>
            <w:r w:rsidRPr="006278E0">
              <w:rPr>
                <w:lang w:val="en-AU"/>
              </w:rPr>
              <w:t>Program 1.1 – Department of the Treasury</w:t>
            </w:r>
            <w:r w:rsidR="00145A9A" w:rsidRPr="006278E0">
              <w:rPr>
                <w:lang w:val="en-AU"/>
              </w:rPr>
              <w:t>.</w:t>
            </w:r>
          </w:p>
          <w:p w14:paraId="63CC1768" w14:textId="77777777" w:rsidR="00E57B93" w:rsidRPr="006278E0" w:rsidRDefault="00CC42FF" w:rsidP="0035101B">
            <w:pPr>
              <w:spacing w:before="40" w:after="40"/>
              <w:rPr>
                <w:rFonts w:cs="Times New Roman"/>
                <w:b/>
                <w:szCs w:val="20"/>
                <w:lang w:val="en-AU"/>
              </w:rPr>
            </w:pPr>
            <w:r w:rsidRPr="006278E0">
              <w:rPr>
                <w:lang w:val="en-AU"/>
              </w:rPr>
              <w:t xml:space="preserve">Program 1.4 </w:t>
            </w:r>
            <w:r w:rsidRPr="006278E0">
              <w:rPr>
                <w:rFonts w:cs="Times New Roman"/>
                <w:szCs w:val="20"/>
                <w:lang w:val="en-AU"/>
              </w:rPr>
              <w:t>–</w:t>
            </w:r>
            <w:r w:rsidRPr="006278E0">
              <w:rPr>
                <w:lang w:val="en-AU"/>
              </w:rPr>
              <w:t xml:space="preserve"> Commonwealth-State Financial Relations</w:t>
            </w:r>
            <w:r w:rsidR="00E15EDB" w:rsidRPr="006278E0">
              <w:rPr>
                <w:lang w:val="en-AU"/>
              </w:rPr>
              <w:t>.</w:t>
            </w:r>
          </w:p>
        </w:tc>
      </w:tr>
      <w:tr w:rsidR="00E57B93" w:rsidRPr="006278E0" w14:paraId="72FEB8A6" w14:textId="77777777" w:rsidTr="00A261DB">
        <w:trPr>
          <w:trHeight w:val="113"/>
        </w:trPr>
        <w:tc>
          <w:tcPr>
            <w:tcW w:w="5000" w:type="pct"/>
          </w:tcPr>
          <w:p w14:paraId="62B27350" w14:textId="77777777" w:rsidR="00E57B93" w:rsidRPr="006278E0" w:rsidRDefault="00E57B93" w:rsidP="0035101B">
            <w:pPr>
              <w:spacing w:before="40" w:after="40"/>
              <w:rPr>
                <w:rFonts w:cs="Times New Roman"/>
                <w:b/>
                <w:szCs w:val="20"/>
                <w:lang w:val="en-AU"/>
              </w:rPr>
            </w:pPr>
            <w:r w:rsidRPr="006278E0">
              <w:rPr>
                <w:rFonts w:cs="Times New Roman"/>
                <w:b/>
                <w:szCs w:val="20"/>
                <w:lang w:val="en-AU"/>
              </w:rPr>
              <w:t xml:space="preserve">Contribution to Outcome 2 by </w:t>
            </w:r>
            <w:r w:rsidRPr="006278E0">
              <w:rPr>
                <w:b/>
                <w:lang w:eastAsia="en-US"/>
              </w:rPr>
              <w:t>linked</w:t>
            </w:r>
            <w:r w:rsidRPr="006278E0">
              <w:rPr>
                <w:rFonts w:cs="Times New Roman"/>
                <w:b/>
                <w:szCs w:val="20"/>
                <w:lang w:val="en-AU"/>
              </w:rPr>
              <w:t xml:space="preserve"> program</w:t>
            </w:r>
          </w:p>
        </w:tc>
      </w:tr>
      <w:tr w:rsidR="00E57B93" w:rsidRPr="006278E0" w14:paraId="34DCBD4A" w14:textId="77777777" w:rsidTr="00A261DB">
        <w:trPr>
          <w:trHeight w:val="563"/>
        </w:trPr>
        <w:tc>
          <w:tcPr>
            <w:tcW w:w="5000" w:type="pct"/>
          </w:tcPr>
          <w:p w14:paraId="30FEAA6C" w14:textId="57071F53" w:rsidR="00E57B93" w:rsidRPr="006278E0" w:rsidRDefault="00CC42FF" w:rsidP="009911FD">
            <w:pPr>
              <w:spacing w:before="40" w:after="40"/>
              <w:rPr>
                <w:rFonts w:cs="Times New Roman"/>
                <w:szCs w:val="20"/>
                <w:lang w:val="en-AU"/>
              </w:rPr>
            </w:pPr>
            <w:r w:rsidRPr="006278E0">
              <w:rPr>
                <w:rFonts w:cs="Times New Roman"/>
                <w:szCs w:val="20"/>
                <w:lang w:val="en-AU"/>
              </w:rPr>
              <w:t xml:space="preserve">The Treasury, on behalf of the Government, provides financial support to the states and territories to support the delivery of specified outputs or projects, facilitate reforms or reward jurisdictions that deliver on nationally significant reforms. Defence participates as a consult partner in Australia’s Foreign Investment Framework, undertaking risk assessments in relation to </w:t>
            </w:r>
            <w:r w:rsidR="009911FD">
              <w:rPr>
                <w:rFonts w:cs="Times New Roman"/>
                <w:szCs w:val="20"/>
                <w:lang w:val="en-AU"/>
              </w:rPr>
              <w:t>f</w:t>
            </w:r>
            <w:r w:rsidRPr="006278E0">
              <w:rPr>
                <w:rFonts w:cs="Times New Roman"/>
                <w:szCs w:val="20"/>
                <w:lang w:val="en-AU"/>
              </w:rPr>
              <w:t xml:space="preserve">oreign </w:t>
            </w:r>
            <w:r w:rsidR="009911FD">
              <w:rPr>
                <w:rFonts w:cs="Times New Roman"/>
                <w:szCs w:val="20"/>
                <w:lang w:val="en-AU"/>
              </w:rPr>
              <w:t>i</w:t>
            </w:r>
            <w:r w:rsidRPr="006278E0">
              <w:rPr>
                <w:rFonts w:cs="Times New Roman"/>
                <w:szCs w:val="20"/>
                <w:lang w:val="en-AU"/>
              </w:rPr>
              <w:t>nvestment applications, where those applications have national security implications or affect Defence interests</w:t>
            </w:r>
            <w:r w:rsidR="00E57B93" w:rsidRPr="006278E0">
              <w:rPr>
                <w:rFonts w:cs="Times New Roman"/>
                <w:szCs w:val="20"/>
                <w:lang w:val="en-AU"/>
              </w:rPr>
              <w:t>.</w:t>
            </w:r>
          </w:p>
        </w:tc>
      </w:tr>
    </w:tbl>
    <w:p w14:paraId="13568160" w14:textId="77777777" w:rsidR="00A10684" w:rsidRPr="006278E0" w:rsidRDefault="00A10684" w:rsidP="002E39F8">
      <w:pPr>
        <w:spacing w:before="0" w:after="0"/>
        <w:jc w:val="both"/>
      </w:pPr>
    </w:p>
    <w:p w14:paraId="78ADE9E8" w14:textId="77777777" w:rsidR="00B210FA" w:rsidRPr="006278E0" w:rsidRDefault="00A10684" w:rsidP="002E39F8">
      <w:pPr>
        <w:spacing w:before="0" w:after="0"/>
        <w:jc w:val="both"/>
      </w:pPr>
      <w:r w:rsidRPr="006278E0">
        <w:br w:type="page"/>
      </w:r>
    </w:p>
    <w:tbl>
      <w:tblPr>
        <w:tblW w:w="5000" w:type="pct"/>
        <w:tblInd w:w="113" w:type="dxa"/>
        <w:tblBorders>
          <w:top w:val="single" w:sz="4" w:space="0" w:color="000000"/>
          <w:left w:val="single" w:sz="4" w:space="0" w:color="auto"/>
          <w:bottom w:val="single" w:sz="4" w:space="0" w:color="auto"/>
          <w:right w:val="single" w:sz="4" w:space="0" w:color="auto"/>
          <w:insideH w:val="dotted" w:sz="4" w:space="0" w:color="auto"/>
          <w:insideV w:val="single" w:sz="4" w:space="0" w:color="7F7F7F"/>
        </w:tblBorders>
        <w:tblLook w:val="0000" w:firstRow="0" w:lastRow="0" w:firstColumn="0" w:lastColumn="0" w:noHBand="0" w:noVBand="0"/>
      </w:tblPr>
      <w:tblGrid>
        <w:gridCol w:w="8607"/>
      </w:tblGrid>
      <w:tr w:rsidR="00E866E6" w:rsidRPr="006278E0" w14:paraId="0E8FF251" w14:textId="77777777" w:rsidTr="003A5C37">
        <w:trPr>
          <w:trHeight w:val="113"/>
        </w:trPr>
        <w:tc>
          <w:tcPr>
            <w:tcW w:w="5000" w:type="pct"/>
          </w:tcPr>
          <w:p w14:paraId="42F365AA" w14:textId="77777777" w:rsidR="00E866E6" w:rsidRPr="006278E0" w:rsidRDefault="00E866E6" w:rsidP="0035101B">
            <w:pPr>
              <w:spacing w:before="40" w:after="40"/>
              <w:rPr>
                <w:b/>
                <w:lang w:val="en-AU"/>
              </w:rPr>
            </w:pPr>
            <w:r w:rsidRPr="006278E0">
              <w:rPr>
                <w:b/>
                <w:lang w:val="en-AU"/>
              </w:rPr>
              <w:lastRenderedPageBreak/>
              <w:t>Department of Veterans’ Affairs</w:t>
            </w:r>
          </w:p>
        </w:tc>
      </w:tr>
      <w:tr w:rsidR="00E866E6" w:rsidRPr="006278E0" w14:paraId="1396CD8E" w14:textId="77777777" w:rsidTr="003A5C37">
        <w:trPr>
          <w:trHeight w:val="113"/>
        </w:trPr>
        <w:tc>
          <w:tcPr>
            <w:tcW w:w="5000" w:type="pct"/>
          </w:tcPr>
          <w:p w14:paraId="434FD2CF" w14:textId="77777777" w:rsidR="00E866E6" w:rsidRPr="006278E0" w:rsidRDefault="00E866E6" w:rsidP="0035101B">
            <w:pPr>
              <w:spacing w:before="40" w:after="40"/>
              <w:rPr>
                <w:szCs w:val="20"/>
                <w:lang w:val="en-AU"/>
              </w:rPr>
            </w:pPr>
            <w:r w:rsidRPr="006278E0">
              <w:rPr>
                <w:szCs w:val="20"/>
                <w:lang w:val="en-AU"/>
              </w:rPr>
              <w:t>Program 1.1</w:t>
            </w:r>
            <w:r w:rsidR="00341F3F" w:rsidRPr="006278E0">
              <w:rPr>
                <w:szCs w:val="20"/>
                <w:lang w:val="en-AU"/>
              </w:rPr>
              <w:t xml:space="preserve"> </w:t>
            </w:r>
            <w:r w:rsidR="00B979D3" w:rsidRPr="006278E0">
              <w:rPr>
                <w:rFonts w:cs="Times New Roman"/>
                <w:szCs w:val="20"/>
                <w:lang w:val="en-AU"/>
              </w:rPr>
              <w:t>–</w:t>
            </w:r>
            <w:r w:rsidRPr="006278E0">
              <w:rPr>
                <w:szCs w:val="20"/>
                <w:lang w:val="en-AU"/>
              </w:rPr>
              <w:t xml:space="preserve"> Veterans’ Income Support and Allowances</w:t>
            </w:r>
            <w:r w:rsidR="00E15EDB" w:rsidRPr="006278E0">
              <w:rPr>
                <w:szCs w:val="20"/>
                <w:lang w:val="en-AU"/>
              </w:rPr>
              <w:t>.</w:t>
            </w:r>
          </w:p>
          <w:p w14:paraId="685730AE" w14:textId="77777777" w:rsidR="00E866E6" w:rsidRPr="006278E0" w:rsidRDefault="00E866E6" w:rsidP="0035101B">
            <w:pPr>
              <w:spacing w:before="40" w:after="40"/>
              <w:rPr>
                <w:szCs w:val="20"/>
                <w:lang w:val="en-AU"/>
              </w:rPr>
            </w:pPr>
            <w:r w:rsidRPr="006278E0">
              <w:rPr>
                <w:szCs w:val="20"/>
                <w:lang w:val="en-AU"/>
              </w:rPr>
              <w:t xml:space="preserve">Program 1.2 </w:t>
            </w:r>
            <w:r w:rsidR="00B979D3" w:rsidRPr="006278E0">
              <w:rPr>
                <w:rFonts w:cs="Times New Roman"/>
                <w:szCs w:val="20"/>
                <w:lang w:val="en-AU"/>
              </w:rPr>
              <w:t>–</w:t>
            </w:r>
            <w:r w:rsidRPr="006278E0">
              <w:rPr>
                <w:szCs w:val="20"/>
                <w:lang w:val="en-AU"/>
              </w:rPr>
              <w:t xml:space="preserve"> Veterans’ Disability Support</w:t>
            </w:r>
            <w:r w:rsidR="00E15EDB" w:rsidRPr="006278E0">
              <w:rPr>
                <w:szCs w:val="20"/>
                <w:lang w:val="en-AU"/>
              </w:rPr>
              <w:t>.</w:t>
            </w:r>
          </w:p>
          <w:p w14:paraId="73F3691C" w14:textId="77777777" w:rsidR="00E866E6" w:rsidRPr="006278E0" w:rsidRDefault="00E866E6" w:rsidP="0035101B">
            <w:pPr>
              <w:spacing w:before="40" w:after="40"/>
              <w:rPr>
                <w:szCs w:val="20"/>
                <w:lang w:val="en-AU"/>
              </w:rPr>
            </w:pPr>
            <w:r w:rsidRPr="006278E0">
              <w:rPr>
                <w:szCs w:val="20"/>
                <w:lang w:val="en-AU"/>
              </w:rPr>
              <w:t xml:space="preserve">Program 1.6 </w:t>
            </w:r>
            <w:r w:rsidR="00B979D3" w:rsidRPr="006278E0">
              <w:rPr>
                <w:rFonts w:cs="Times New Roman"/>
                <w:szCs w:val="20"/>
                <w:lang w:val="en-AU"/>
              </w:rPr>
              <w:t>–</w:t>
            </w:r>
            <w:r w:rsidRPr="006278E0">
              <w:rPr>
                <w:szCs w:val="20"/>
                <w:lang w:val="en-AU"/>
              </w:rPr>
              <w:t xml:space="preserve"> Military Rehabilitation and Compensation Acts Payment – Income Support and Compensation</w:t>
            </w:r>
            <w:r w:rsidR="00E15EDB" w:rsidRPr="006278E0">
              <w:rPr>
                <w:szCs w:val="20"/>
                <w:lang w:val="en-AU"/>
              </w:rPr>
              <w:t>.</w:t>
            </w:r>
          </w:p>
          <w:p w14:paraId="5C145892" w14:textId="77777777" w:rsidR="00B33E02" w:rsidRPr="006278E0" w:rsidRDefault="00B33E02" w:rsidP="0035101B">
            <w:pPr>
              <w:spacing w:before="40" w:after="40"/>
              <w:rPr>
                <w:szCs w:val="20"/>
                <w:lang w:val="en-AU"/>
              </w:rPr>
            </w:pPr>
            <w:r w:rsidRPr="006278E0">
              <w:rPr>
                <w:szCs w:val="20"/>
                <w:lang w:val="en-AU"/>
              </w:rPr>
              <w:t>Administered Program 2.</w:t>
            </w:r>
            <w:r w:rsidR="00796AA9" w:rsidRPr="006278E0">
              <w:rPr>
                <w:szCs w:val="20"/>
                <w:lang w:val="en-AU"/>
              </w:rPr>
              <w:t>2</w:t>
            </w:r>
            <w:r w:rsidRPr="006278E0">
              <w:rPr>
                <w:szCs w:val="20"/>
                <w:lang w:val="en-AU"/>
              </w:rPr>
              <w:t xml:space="preserve">2 </w:t>
            </w:r>
            <w:r w:rsidR="00B979D3" w:rsidRPr="006278E0">
              <w:rPr>
                <w:rFonts w:cs="Times New Roman"/>
                <w:szCs w:val="20"/>
                <w:lang w:val="en-AU"/>
              </w:rPr>
              <w:t xml:space="preserve">– </w:t>
            </w:r>
            <w:r w:rsidRPr="006278E0">
              <w:rPr>
                <w:szCs w:val="20"/>
                <w:lang w:val="en-AU"/>
              </w:rPr>
              <w:t>Housing Assistance</w:t>
            </w:r>
            <w:r w:rsidR="00E15EDB" w:rsidRPr="006278E0">
              <w:rPr>
                <w:szCs w:val="20"/>
                <w:lang w:val="en-AU"/>
              </w:rPr>
              <w:t>.</w:t>
            </w:r>
          </w:p>
        </w:tc>
      </w:tr>
      <w:tr w:rsidR="00E866E6" w:rsidRPr="006278E0" w14:paraId="2E015D9D" w14:textId="77777777" w:rsidTr="003A5C37">
        <w:trPr>
          <w:trHeight w:val="113"/>
        </w:trPr>
        <w:tc>
          <w:tcPr>
            <w:tcW w:w="5000" w:type="pct"/>
          </w:tcPr>
          <w:p w14:paraId="1B58855F" w14:textId="77777777" w:rsidR="00E866E6" w:rsidRPr="006278E0" w:rsidRDefault="00E866E6" w:rsidP="0035101B">
            <w:pPr>
              <w:spacing w:before="40" w:after="40"/>
              <w:rPr>
                <w:b/>
                <w:lang w:val="en-AU"/>
              </w:rPr>
            </w:pPr>
            <w:r w:rsidRPr="006278E0">
              <w:rPr>
                <w:b/>
                <w:lang w:val="en-AU"/>
              </w:rPr>
              <w:t xml:space="preserve">Contribution to Outcome 2 by </w:t>
            </w:r>
            <w:r w:rsidRPr="006278E0">
              <w:rPr>
                <w:rFonts w:cs="Times New Roman"/>
                <w:b/>
                <w:szCs w:val="20"/>
                <w:lang w:val="en-AU"/>
              </w:rPr>
              <w:t>linked</w:t>
            </w:r>
            <w:r w:rsidRPr="006278E0">
              <w:rPr>
                <w:b/>
                <w:lang w:val="en-AU"/>
              </w:rPr>
              <w:t xml:space="preserve"> programs</w:t>
            </w:r>
          </w:p>
        </w:tc>
      </w:tr>
      <w:tr w:rsidR="000409BF" w:rsidRPr="006278E0" w14:paraId="013E0250" w14:textId="77777777" w:rsidTr="00FE0D70">
        <w:trPr>
          <w:trHeight w:val="7161"/>
        </w:trPr>
        <w:tc>
          <w:tcPr>
            <w:tcW w:w="5000" w:type="pct"/>
          </w:tcPr>
          <w:p w14:paraId="05710A2F" w14:textId="77777777" w:rsidR="000409BF" w:rsidRPr="006278E0" w:rsidRDefault="000409BF" w:rsidP="0035101B">
            <w:pPr>
              <w:spacing w:before="40" w:after="40"/>
              <w:rPr>
                <w:lang w:val="en-AU"/>
              </w:rPr>
            </w:pPr>
            <w:r w:rsidRPr="006278E0">
              <w:rPr>
                <w:lang w:val="en-AU"/>
              </w:rPr>
              <w:t>The Department of Veterans’ Affairs (DVA) and Defence are committed to delivering the best possible outcomes to current and former members o</w:t>
            </w:r>
            <w:r w:rsidR="00163783" w:rsidRPr="006278E0">
              <w:rPr>
                <w:lang w:val="en-AU"/>
              </w:rPr>
              <w:t xml:space="preserve">f the </w:t>
            </w:r>
            <w:r w:rsidRPr="006278E0">
              <w:rPr>
                <w:lang w:val="en-AU"/>
              </w:rPr>
              <w:t>ADF and their eligible family members.</w:t>
            </w:r>
          </w:p>
          <w:p w14:paraId="5CA05EC0" w14:textId="77777777" w:rsidR="000409BF" w:rsidRPr="006278E0" w:rsidRDefault="000409BF" w:rsidP="00FE0D70">
            <w:pPr>
              <w:spacing w:before="40" w:after="40"/>
              <w:rPr>
                <w:lang w:val="en-AU"/>
              </w:rPr>
            </w:pPr>
            <w:r w:rsidRPr="006278E0">
              <w:rPr>
                <w:lang w:val="en-AU"/>
              </w:rPr>
              <w:t>Under a Memorandum of Understanding</w:t>
            </w:r>
            <w:r w:rsidR="00F4318E" w:rsidRPr="006278E0">
              <w:rPr>
                <w:lang w:val="en-AU"/>
              </w:rPr>
              <w:t xml:space="preserve"> (MOU)</w:t>
            </w:r>
            <w:r w:rsidRPr="006278E0">
              <w:rPr>
                <w:lang w:val="en-AU"/>
              </w:rPr>
              <w:t>, Defence and DVA work cooperatively to deliver care and support to current and former members of the permanent and reserve forces and their families.</w:t>
            </w:r>
          </w:p>
          <w:p w14:paraId="0F5FD600" w14:textId="77777777" w:rsidR="000409BF" w:rsidRPr="006278E0" w:rsidRDefault="000409BF" w:rsidP="0035101B">
            <w:pPr>
              <w:spacing w:before="40" w:after="40"/>
              <w:rPr>
                <w:lang w:val="en-AU"/>
              </w:rPr>
            </w:pPr>
            <w:r w:rsidRPr="006278E0">
              <w:rPr>
                <w:lang w:val="en-AU"/>
              </w:rPr>
              <w:t>Close and ongoing cooperation occurs between DVA and Defence under this M</w:t>
            </w:r>
            <w:r w:rsidR="00F4318E" w:rsidRPr="006278E0">
              <w:rPr>
                <w:lang w:val="en-AU"/>
              </w:rPr>
              <w:t>OU</w:t>
            </w:r>
            <w:r w:rsidRPr="006278E0">
              <w:rPr>
                <w:lang w:val="en-AU"/>
              </w:rPr>
              <w:t>. Ongoing DVA engagement with members starting as early as practical in their careers and continuing through their service and during and after their transition from permanent or continuous full time service, results in better outcomes for members and their families. Such cooperation and engagement is particularly important where a member suffers a serious injury or illness or where the member is identified for medical separation from the ADF.</w:t>
            </w:r>
          </w:p>
          <w:p w14:paraId="6AA18734" w14:textId="77777777" w:rsidR="000409BF" w:rsidRPr="006278E0" w:rsidRDefault="000409BF" w:rsidP="0035101B">
            <w:pPr>
              <w:spacing w:before="40" w:after="40"/>
              <w:rPr>
                <w:lang w:val="en-AU"/>
              </w:rPr>
            </w:pPr>
            <w:r w:rsidRPr="006278E0">
              <w:rPr>
                <w:lang w:val="en-AU"/>
              </w:rPr>
              <w:t>Defence and DVA work collaboratively on areas of research, mental health, rehabilitation and medical aspects of transition. Defence is also engaged with DVA for the future contracting of health care arrangements.</w:t>
            </w:r>
          </w:p>
          <w:p w14:paraId="51CCC17D" w14:textId="77777777" w:rsidR="000409BF" w:rsidRPr="006278E0" w:rsidRDefault="000409BF" w:rsidP="0035101B">
            <w:pPr>
              <w:spacing w:before="40" w:after="40"/>
              <w:rPr>
                <w:lang w:val="en-AU"/>
              </w:rPr>
            </w:pPr>
            <w:r w:rsidRPr="006278E0">
              <w:rPr>
                <w:lang w:val="en-AU"/>
              </w:rPr>
              <w:t xml:space="preserve">This is supported through Schedule 6 of the </w:t>
            </w:r>
            <w:r w:rsidRPr="006278E0">
              <w:rPr>
                <w:i/>
                <w:lang w:val="en-AU"/>
              </w:rPr>
              <w:t>Agreement between Defence and Veterans’ Affairs for the Provision of Mental Health Support Services by the Open Arms to ADF Personnel</w:t>
            </w:r>
            <w:r w:rsidRPr="006278E0">
              <w:rPr>
                <w:lang w:val="en-AU"/>
              </w:rPr>
              <w:t xml:space="preserve"> (Agreement for Services).</w:t>
            </w:r>
          </w:p>
          <w:p w14:paraId="3727ABF5" w14:textId="77777777" w:rsidR="000409BF" w:rsidRPr="006278E0" w:rsidRDefault="000409BF" w:rsidP="0035101B">
            <w:pPr>
              <w:spacing w:before="40" w:after="40"/>
              <w:rPr>
                <w:lang w:val="en-AU"/>
              </w:rPr>
            </w:pPr>
            <w:r w:rsidRPr="006278E0">
              <w:rPr>
                <w:lang w:val="en-AU"/>
              </w:rPr>
              <w:t xml:space="preserve">Under a MOU, and in accordance with the </w:t>
            </w:r>
            <w:r w:rsidRPr="006278E0">
              <w:rPr>
                <w:i/>
                <w:lang w:val="en-AU"/>
              </w:rPr>
              <w:t>Defence Home Ownership Assistance Scheme Act 2008</w:t>
            </w:r>
            <w:r w:rsidRPr="006278E0">
              <w:rPr>
                <w:lang w:val="en-AU"/>
              </w:rPr>
              <w:t>, DVA administer the Defence Home Ownership Assistance Scheme (DHOAS). The scheme was established to support the Government’s ADF recruitment and retention initiatives by incentivising ADF members to remain in the ADF beyond critical career points.</w:t>
            </w:r>
          </w:p>
          <w:p w14:paraId="07FC9DCA" w14:textId="77777777" w:rsidR="000409BF" w:rsidRPr="006278E0" w:rsidRDefault="000409BF" w:rsidP="00F4318E">
            <w:pPr>
              <w:spacing w:before="40" w:after="40"/>
              <w:rPr>
                <w:lang w:val="en-AU"/>
              </w:rPr>
            </w:pPr>
            <w:r w:rsidRPr="006278E0">
              <w:rPr>
                <w:lang w:eastAsia="en-US"/>
              </w:rPr>
              <w:t>Under Schedule 20 of the M</w:t>
            </w:r>
            <w:r w:rsidR="00F4318E" w:rsidRPr="006278E0">
              <w:rPr>
                <w:lang w:eastAsia="en-US"/>
              </w:rPr>
              <w:t>OU</w:t>
            </w:r>
            <w:r w:rsidRPr="006278E0">
              <w:rPr>
                <w:lang w:eastAsia="en-US"/>
              </w:rPr>
              <w:t>, Defence and DVA collaboratively utilise system to system exchanges and/or direct access, to provide access to, or enable disclosure of, certain Personal Information held digitally in specified departmental information systems. These information exchanges support the assessment and determination of claims, and the delivery of appropriate care and support to current and former members of the ADF and their families.</w:t>
            </w:r>
          </w:p>
        </w:tc>
      </w:tr>
    </w:tbl>
    <w:p w14:paraId="42EB65D1" w14:textId="77777777" w:rsidR="000F5BDA" w:rsidRPr="006278E0" w:rsidRDefault="000F5BDA" w:rsidP="00B33E02">
      <w:pPr>
        <w:spacing w:before="0" w:after="0"/>
        <w:jc w:val="both"/>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single" w:sz="4" w:space="0" w:color="7F7F7F"/>
        </w:tblBorders>
        <w:tblLook w:val="04A0" w:firstRow="1" w:lastRow="0" w:firstColumn="1" w:lastColumn="0" w:noHBand="0" w:noVBand="1"/>
      </w:tblPr>
      <w:tblGrid>
        <w:gridCol w:w="8607"/>
      </w:tblGrid>
      <w:tr w:rsidR="00325C99" w:rsidRPr="006278E0" w14:paraId="39F51194" w14:textId="77777777" w:rsidTr="003E5385">
        <w:trPr>
          <w:trHeight w:val="113"/>
        </w:trPr>
        <w:tc>
          <w:tcPr>
            <w:tcW w:w="5000" w:type="pct"/>
            <w:tcBorders>
              <w:top w:val="single" w:sz="4" w:space="0" w:color="auto"/>
              <w:left w:val="single" w:sz="4" w:space="0" w:color="auto"/>
              <w:bottom w:val="dotted" w:sz="4" w:space="0" w:color="auto"/>
              <w:right w:val="single" w:sz="4" w:space="0" w:color="auto"/>
            </w:tcBorders>
            <w:hideMark/>
          </w:tcPr>
          <w:p w14:paraId="5BADE9F4" w14:textId="77777777" w:rsidR="00325C99" w:rsidRPr="006278E0" w:rsidRDefault="000D45D6" w:rsidP="0074080E">
            <w:pPr>
              <w:spacing w:before="60" w:after="60"/>
              <w:rPr>
                <w:rFonts w:cs="Times New Roman"/>
                <w:b/>
                <w:szCs w:val="20"/>
                <w:lang w:val="en-AU"/>
              </w:rPr>
            </w:pPr>
            <w:r w:rsidRPr="006278E0">
              <w:rPr>
                <w:rFonts w:cs="Times New Roman"/>
                <w:b/>
                <w:szCs w:val="20"/>
              </w:rPr>
              <w:t>Geoscience Australia</w:t>
            </w:r>
          </w:p>
        </w:tc>
      </w:tr>
      <w:tr w:rsidR="00325C99" w:rsidRPr="006278E0" w14:paraId="47241863" w14:textId="77777777" w:rsidTr="003E5385">
        <w:trPr>
          <w:trHeight w:val="113"/>
        </w:trPr>
        <w:tc>
          <w:tcPr>
            <w:tcW w:w="5000" w:type="pct"/>
            <w:tcBorders>
              <w:top w:val="dotted" w:sz="4" w:space="0" w:color="auto"/>
              <w:left w:val="single" w:sz="4" w:space="0" w:color="auto"/>
              <w:bottom w:val="dotted" w:sz="4" w:space="0" w:color="auto"/>
              <w:right w:val="single" w:sz="4" w:space="0" w:color="auto"/>
            </w:tcBorders>
            <w:hideMark/>
          </w:tcPr>
          <w:p w14:paraId="09B02FBD" w14:textId="77777777" w:rsidR="00325C99" w:rsidRPr="006278E0" w:rsidRDefault="00325C99" w:rsidP="006E1EA1">
            <w:pPr>
              <w:spacing w:before="60" w:after="60"/>
              <w:ind w:left="1"/>
              <w:rPr>
                <w:rFonts w:cs="Times New Roman"/>
                <w:szCs w:val="20"/>
              </w:rPr>
            </w:pPr>
            <w:r w:rsidRPr="006278E0">
              <w:rPr>
                <w:rFonts w:cs="Times New Roman"/>
                <w:szCs w:val="20"/>
              </w:rPr>
              <w:t xml:space="preserve">Program 1.1 </w:t>
            </w:r>
            <w:r w:rsidR="00B979D3" w:rsidRPr="006278E0">
              <w:rPr>
                <w:rFonts w:cs="Times New Roman"/>
                <w:szCs w:val="20"/>
                <w:lang w:val="en-AU"/>
              </w:rPr>
              <w:t>–</w:t>
            </w:r>
            <w:r w:rsidRPr="006278E0">
              <w:rPr>
                <w:rFonts w:cs="Times New Roman"/>
                <w:szCs w:val="20"/>
              </w:rPr>
              <w:t xml:space="preserve"> </w:t>
            </w:r>
            <w:r w:rsidR="006E1EA1" w:rsidRPr="006278E0">
              <w:rPr>
                <w:rFonts w:cs="Times New Roman"/>
                <w:szCs w:val="20"/>
              </w:rPr>
              <w:t>Geoscientific and Spatial Information Services</w:t>
            </w:r>
            <w:r w:rsidR="00E15EDB" w:rsidRPr="006278E0">
              <w:rPr>
                <w:rFonts w:cs="Times New Roman"/>
                <w:szCs w:val="20"/>
              </w:rPr>
              <w:t>.</w:t>
            </w:r>
          </w:p>
        </w:tc>
      </w:tr>
      <w:tr w:rsidR="00325C99" w:rsidRPr="006278E0" w14:paraId="7917FD72" w14:textId="77777777" w:rsidTr="003E5385">
        <w:trPr>
          <w:trHeight w:val="113"/>
        </w:trPr>
        <w:tc>
          <w:tcPr>
            <w:tcW w:w="5000" w:type="pct"/>
            <w:tcBorders>
              <w:top w:val="dotted" w:sz="4" w:space="0" w:color="auto"/>
              <w:left w:val="single" w:sz="4" w:space="0" w:color="auto"/>
              <w:bottom w:val="dotted" w:sz="4" w:space="0" w:color="auto"/>
              <w:right w:val="single" w:sz="4" w:space="0" w:color="auto"/>
            </w:tcBorders>
            <w:hideMark/>
          </w:tcPr>
          <w:p w14:paraId="4EC866AE" w14:textId="77777777" w:rsidR="00325C99" w:rsidRPr="006278E0" w:rsidRDefault="00325C99" w:rsidP="0074080E">
            <w:pPr>
              <w:spacing w:before="60" w:after="60"/>
              <w:rPr>
                <w:rFonts w:cs="Times New Roman"/>
                <w:b/>
                <w:szCs w:val="20"/>
              </w:rPr>
            </w:pPr>
            <w:r w:rsidRPr="006278E0">
              <w:rPr>
                <w:rFonts w:cs="Times New Roman"/>
                <w:b/>
                <w:szCs w:val="20"/>
              </w:rPr>
              <w:t>Contributing to Outcome 2 by linked program</w:t>
            </w:r>
          </w:p>
        </w:tc>
      </w:tr>
      <w:tr w:rsidR="00325C99" w:rsidRPr="006278E0" w14:paraId="76817FBB" w14:textId="77777777" w:rsidTr="000D45D6">
        <w:trPr>
          <w:trHeight w:val="375"/>
        </w:trPr>
        <w:tc>
          <w:tcPr>
            <w:tcW w:w="5000" w:type="pct"/>
            <w:tcBorders>
              <w:top w:val="dotted" w:sz="4" w:space="0" w:color="auto"/>
              <w:left w:val="single" w:sz="4" w:space="0" w:color="auto"/>
              <w:bottom w:val="single" w:sz="4" w:space="0" w:color="auto"/>
              <w:right w:val="single" w:sz="4" w:space="0" w:color="auto"/>
            </w:tcBorders>
            <w:hideMark/>
          </w:tcPr>
          <w:p w14:paraId="2862EF42" w14:textId="77777777" w:rsidR="00325C99" w:rsidRPr="006278E0" w:rsidRDefault="006E1EA1" w:rsidP="006E1EA1">
            <w:pPr>
              <w:spacing w:before="60" w:after="60"/>
              <w:rPr>
                <w:rFonts w:cs="Times New Roman"/>
                <w:szCs w:val="20"/>
              </w:rPr>
            </w:pPr>
            <w:r w:rsidRPr="006278E0">
              <w:rPr>
                <w:rFonts w:cs="Times New Roman"/>
                <w:szCs w:val="20"/>
              </w:rPr>
              <w:t xml:space="preserve">Australian Hydrographic Office and Geoscience Australia are collaborating to deliver the AusSeabed initiative. </w:t>
            </w:r>
          </w:p>
        </w:tc>
      </w:tr>
    </w:tbl>
    <w:p w14:paraId="610E1115" w14:textId="77777777" w:rsidR="00A10684" w:rsidRPr="006278E0" w:rsidRDefault="00A10684" w:rsidP="00B33E02">
      <w:pPr>
        <w:spacing w:before="0" w:after="0"/>
        <w:jc w:val="both"/>
      </w:pPr>
    </w:p>
    <w:p w14:paraId="73B23F0C" w14:textId="77777777" w:rsidR="00B210FA" w:rsidRPr="006278E0" w:rsidRDefault="00A10684" w:rsidP="00B33E02">
      <w:pPr>
        <w:spacing w:before="0" w:after="0"/>
        <w:jc w:val="both"/>
      </w:pPr>
      <w:r w:rsidRPr="006278E0">
        <w:br w:type="page"/>
      </w:r>
    </w:p>
    <w:tbl>
      <w:tblPr>
        <w:tblW w:w="5000" w:type="pct"/>
        <w:tblInd w:w="113" w:type="dxa"/>
        <w:tblBorders>
          <w:top w:val="single" w:sz="4" w:space="0" w:color="000000"/>
          <w:left w:val="single" w:sz="4" w:space="0" w:color="auto"/>
          <w:bottom w:val="single" w:sz="4" w:space="0" w:color="auto"/>
          <w:right w:val="single" w:sz="4" w:space="0" w:color="auto"/>
          <w:insideH w:val="dotted" w:sz="4" w:space="0" w:color="auto"/>
          <w:insideV w:val="single" w:sz="4" w:space="0" w:color="7F7F7F"/>
        </w:tblBorders>
        <w:tblLook w:val="0000" w:firstRow="0" w:lastRow="0" w:firstColumn="0" w:lastColumn="0" w:noHBand="0" w:noVBand="0"/>
      </w:tblPr>
      <w:tblGrid>
        <w:gridCol w:w="8607"/>
      </w:tblGrid>
      <w:tr w:rsidR="00E57B93" w:rsidRPr="006278E0" w14:paraId="114CA421" w14:textId="77777777" w:rsidTr="00902A2D">
        <w:trPr>
          <w:trHeight w:val="113"/>
        </w:trPr>
        <w:tc>
          <w:tcPr>
            <w:tcW w:w="5000" w:type="pct"/>
          </w:tcPr>
          <w:p w14:paraId="1829A932" w14:textId="77777777" w:rsidR="00E57B93" w:rsidRPr="006278E0" w:rsidRDefault="00E57B93" w:rsidP="0074080E">
            <w:pPr>
              <w:spacing w:before="60" w:after="60"/>
              <w:rPr>
                <w:rFonts w:cs="Times New Roman"/>
                <w:b/>
                <w:szCs w:val="20"/>
                <w:lang w:val="en-AU"/>
              </w:rPr>
            </w:pPr>
            <w:r w:rsidRPr="006278E0">
              <w:rPr>
                <w:rFonts w:cs="Times New Roman"/>
                <w:b/>
                <w:szCs w:val="20"/>
                <w:lang w:val="en-AU"/>
              </w:rPr>
              <w:lastRenderedPageBreak/>
              <w:t>Office of the Commonwealth Ombudsman - Defence Force Ombudsman</w:t>
            </w:r>
          </w:p>
        </w:tc>
      </w:tr>
      <w:tr w:rsidR="00E57B93" w:rsidRPr="006278E0" w14:paraId="180C5BF6" w14:textId="77777777" w:rsidTr="00902A2D">
        <w:trPr>
          <w:trHeight w:val="113"/>
        </w:trPr>
        <w:tc>
          <w:tcPr>
            <w:tcW w:w="5000" w:type="pct"/>
          </w:tcPr>
          <w:p w14:paraId="44414BF9" w14:textId="77777777" w:rsidR="00E57B93" w:rsidRPr="006278E0" w:rsidRDefault="00E57B93" w:rsidP="0074080E">
            <w:pPr>
              <w:spacing w:before="60" w:after="60"/>
              <w:rPr>
                <w:rFonts w:cs="Times New Roman"/>
                <w:szCs w:val="20"/>
                <w:lang w:val="en-AU"/>
              </w:rPr>
            </w:pPr>
            <w:r w:rsidRPr="006278E0">
              <w:rPr>
                <w:rFonts w:cs="Times New Roman"/>
                <w:szCs w:val="20"/>
                <w:lang w:val="en-AU"/>
              </w:rPr>
              <w:t xml:space="preserve">Program 1.1 </w:t>
            </w:r>
            <w:r w:rsidR="00B979D3" w:rsidRPr="006278E0">
              <w:rPr>
                <w:rFonts w:cs="Times New Roman"/>
                <w:szCs w:val="20"/>
                <w:lang w:val="en-AU"/>
              </w:rPr>
              <w:t>–</w:t>
            </w:r>
            <w:r w:rsidRPr="006278E0">
              <w:rPr>
                <w:rFonts w:cs="Times New Roman"/>
                <w:szCs w:val="20"/>
                <w:lang w:val="en-AU"/>
              </w:rPr>
              <w:t xml:space="preserve"> Office of the Commonwealth Ombudsman</w:t>
            </w:r>
            <w:r w:rsidR="00E15EDB" w:rsidRPr="006278E0">
              <w:rPr>
                <w:rFonts w:cs="Times New Roman"/>
                <w:szCs w:val="20"/>
                <w:lang w:val="en-AU"/>
              </w:rPr>
              <w:t>.</w:t>
            </w:r>
          </w:p>
        </w:tc>
      </w:tr>
      <w:tr w:rsidR="00E57B93" w:rsidRPr="006278E0" w14:paraId="400EB502" w14:textId="77777777" w:rsidTr="00902A2D">
        <w:trPr>
          <w:trHeight w:val="113"/>
        </w:trPr>
        <w:tc>
          <w:tcPr>
            <w:tcW w:w="5000" w:type="pct"/>
          </w:tcPr>
          <w:p w14:paraId="2D30B14D" w14:textId="77777777" w:rsidR="00E57B93" w:rsidRPr="006278E0" w:rsidRDefault="00E57B93" w:rsidP="0074080E">
            <w:pPr>
              <w:spacing w:before="60" w:after="60"/>
              <w:rPr>
                <w:rFonts w:cs="Times New Roman"/>
                <w:b/>
                <w:szCs w:val="20"/>
                <w:lang w:val="en-AU"/>
              </w:rPr>
            </w:pPr>
            <w:r w:rsidRPr="006278E0">
              <w:rPr>
                <w:b/>
                <w:szCs w:val="20"/>
                <w:lang w:val="en-AU"/>
              </w:rPr>
              <w:t>Contribution to Outcome 2 by linked programs</w:t>
            </w:r>
          </w:p>
        </w:tc>
      </w:tr>
      <w:tr w:rsidR="00E57B93" w:rsidRPr="006278E0" w14:paraId="147E1A11" w14:textId="77777777" w:rsidTr="00902A2D">
        <w:trPr>
          <w:trHeight w:val="113"/>
        </w:trPr>
        <w:tc>
          <w:tcPr>
            <w:tcW w:w="5000" w:type="pct"/>
          </w:tcPr>
          <w:p w14:paraId="0F42E5FF" w14:textId="77777777" w:rsidR="00E57B93" w:rsidRPr="006278E0" w:rsidRDefault="00E57B93" w:rsidP="00795112">
            <w:pPr>
              <w:spacing w:before="60" w:after="60"/>
              <w:rPr>
                <w:rFonts w:cs="Times New Roman"/>
                <w:szCs w:val="20"/>
                <w:lang w:val="en-AU"/>
              </w:rPr>
            </w:pPr>
            <w:r w:rsidRPr="006278E0">
              <w:rPr>
                <w:rFonts w:cs="Times New Roman"/>
                <w:szCs w:val="20"/>
                <w:lang w:val="en-AU"/>
              </w:rPr>
              <w:t xml:space="preserve">The Office of the Commonwealth Ombudsman ensures administrative action by Australian Government entities is fair and accountable by handling complaints, conducting investigations, performing audits and inspections, encouraging good administration, and discharging other specialist oversight tasks. The Commonwealth Ombudsman is also the Defence Force Ombudsman, who </w:t>
            </w:r>
            <w:r w:rsidR="000C7763" w:rsidRPr="006278E0">
              <w:rPr>
                <w:rFonts w:cs="Times New Roman"/>
                <w:szCs w:val="20"/>
                <w:lang w:val="en-AU"/>
              </w:rPr>
              <w:t>offer</w:t>
            </w:r>
            <w:r w:rsidR="00795112" w:rsidRPr="006278E0">
              <w:rPr>
                <w:rFonts w:cs="Times New Roman"/>
                <w:szCs w:val="20"/>
                <w:lang w:val="en-AU"/>
              </w:rPr>
              <w:t>s</w:t>
            </w:r>
            <w:r w:rsidR="000C7763" w:rsidRPr="006278E0">
              <w:rPr>
                <w:rFonts w:cs="Times New Roman"/>
                <w:szCs w:val="20"/>
                <w:lang w:val="en-AU"/>
              </w:rPr>
              <w:t xml:space="preserve"> an independent complaint-handling mechanism for </w:t>
            </w:r>
            <w:r w:rsidR="00795112" w:rsidRPr="006278E0">
              <w:rPr>
                <w:rFonts w:cs="Times New Roman"/>
                <w:szCs w:val="20"/>
                <w:lang w:val="en-AU"/>
              </w:rPr>
              <w:t xml:space="preserve">serving </w:t>
            </w:r>
            <w:r w:rsidR="000C7763" w:rsidRPr="006278E0">
              <w:rPr>
                <w:rFonts w:cs="Times New Roman"/>
                <w:szCs w:val="20"/>
                <w:lang w:val="en-AU"/>
              </w:rPr>
              <w:t xml:space="preserve">and former Defence members and </w:t>
            </w:r>
            <w:r w:rsidRPr="006278E0">
              <w:rPr>
                <w:rFonts w:cs="Times New Roman"/>
                <w:szCs w:val="20"/>
                <w:lang w:val="en-AU"/>
              </w:rPr>
              <w:t xml:space="preserve">is able to accept complaints </w:t>
            </w:r>
            <w:r w:rsidR="000C7763" w:rsidRPr="006278E0">
              <w:rPr>
                <w:rFonts w:cs="Times New Roman"/>
                <w:szCs w:val="20"/>
                <w:lang w:val="en-AU"/>
              </w:rPr>
              <w:t xml:space="preserve">where it is alleged </w:t>
            </w:r>
            <w:r w:rsidRPr="006278E0">
              <w:rPr>
                <w:rFonts w:cs="Times New Roman"/>
                <w:szCs w:val="20"/>
                <w:lang w:val="en-AU"/>
              </w:rPr>
              <w:t xml:space="preserve">that a </w:t>
            </w:r>
            <w:r w:rsidR="000C7763" w:rsidRPr="006278E0">
              <w:rPr>
                <w:rFonts w:cs="Times New Roman"/>
                <w:szCs w:val="20"/>
                <w:lang w:val="en-AU"/>
              </w:rPr>
              <w:t xml:space="preserve">Defence </w:t>
            </w:r>
            <w:r w:rsidRPr="006278E0">
              <w:rPr>
                <w:rFonts w:cs="Times New Roman"/>
                <w:szCs w:val="20"/>
                <w:lang w:val="en-AU"/>
              </w:rPr>
              <w:t>member has perpetrated an act of sexual abuse</w:t>
            </w:r>
            <w:r w:rsidR="00795112" w:rsidRPr="006278E0">
              <w:rPr>
                <w:rFonts w:cs="Times New Roman"/>
                <w:szCs w:val="20"/>
                <w:lang w:val="en-AU"/>
              </w:rPr>
              <w:t>,</w:t>
            </w:r>
            <w:r w:rsidRPr="006278E0">
              <w:rPr>
                <w:rFonts w:cs="Times New Roman"/>
                <w:szCs w:val="20"/>
                <w:lang w:val="en-AU"/>
              </w:rPr>
              <w:t xml:space="preserve"> serious physical abuse</w:t>
            </w:r>
            <w:r w:rsidR="00E80DA1" w:rsidRPr="006278E0">
              <w:rPr>
                <w:rFonts w:cs="Times New Roman"/>
                <w:szCs w:val="20"/>
                <w:lang w:val="en-AU"/>
              </w:rPr>
              <w:t>,</w:t>
            </w:r>
            <w:r w:rsidR="00795112" w:rsidRPr="006278E0">
              <w:rPr>
                <w:rFonts w:cs="Times New Roman"/>
                <w:szCs w:val="20"/>
                <w:lang w:val="en-AU"/>
              </w:rPr>
              <w:t xml:space="preserve"> or serious</w:t>
            </w:r>
            <w:r w:rsidRPr="006278E0">
              <w:rPr>
                <w:rFonts w:cs="Times New Roman"/>
                <w:szCs w:val="20"/>
                <w:lang w:val="en-AU"/>
              </w:rPr>
              <w:t xml:space="preserve"> bullying or harassment.</w:t>
            </w:r>
          </w:p>
        </w:tc>
      </w:tr>
    </w:tbl>
    <w:p w14:paraId="44BABB05" w14:textId="77777777" w:rsidR="001E6607" w:rsidRPr="006278E0" w:rsidRDefault="001E6607" w:rsidP="00B33E02">
      <w:pPr>
        <w:spacing w:before="0" w:after="0"/>
        <w:jc w:val="both"/>
        <w:rPr>
          <w:szCs w:val="20"/>
        </w:rPr>
      </w:pPr>
    </w:p>
    <w:tbl>
      <w:tblPr>
        <w:tblW w:w="5000" w:type="pct"/>
        <w:tblInd w:w="113" w:type="dxa"/>
        <w:tblBorders>
          <w:top w:val="single" w:sz="8" w:space="0" w:color="auto"/>
          <w:left w:val="single" w:sz="8" w:space="0" w:color="auto"/>
          <w:bottom w:val="single" w:sz="8" w:space="0" w:color="auto"/>
          <w:right w:val="single" w:sz="8" w:space="0" w:color="auto"/>
          <w:insideH w:val="dotted" w:sz="8" w:space="0" w:color="auto"/>
          <w:insideV w:val="dotted" w:sz="8" w:space="0" w:color="auto"/>
        </w:tblBorders>
        <w:tblCellMar>
          <w:left w:w="0" w:type="dxa"/>
          <w:right w:w="0" w:type="dxa"/>
        </w:tblCellMar>
        <w:tblLook w:val="04A0" w:firstRow="1" w:lastRow="0" w:firstColumn="1" w:lastColumn="0" w:noHBand="0" w:noVBand="1"/>
      </w:tblPr>
      <w:tblGrid>
        <w:gridCol w:w="8607"/>
      </w:tblGrid>
      <w:tr w:rsidR="00E57B93" w:rsidRPr="006278E0" w14:paraId="488D0854" w14:textId="77777777" w:rsidTr="005F7D13">
        <w:trPr>
          <w:trHeight w:val="113"/>
        </w:trPr>
        <w:tc>
          <w:tcPr>
            <w:tcW w:w="5000" w:type="pct"/>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4AA5752C" w14:textId="77777777" w:rsidR="00E57B93" w:rsidRPr="006278E0" w:rsidRDefault="00E57B93" w:rsidP="0074080E">
            <w:pPr>
              <w:spacing w:before="60" w:after="60"/>
              <w:rPr>
                <w:b/>
                <w:szCs w:val="20"/>
                <w:lang w:eastAsia="en-US"/>
              </w:rPr>
            </w:pPr>
            <w:r w:rsidRPr="006278E0">
              <w:rPr>
                <w:b/>
                <w:szCs w:val="20"/>
                <w:lang w:eastAsia="en-US"/>
              </w:rPr>
              <w:t>Office of National Intelligence</w:t>
            </w:r>
          </w:p>
        </w:tc>
      </w:tr>
      <w:tr w:rsidR="00E57B93" w:rsidRPr="006278E0" w14:paraId="4722B229" w14:textId="77777777" w:rsidTr="005F7D13">
        <w:trPr>
          <w:trHeight w:val="113"/>
        </w:trPr>
        <w:tc>
          <w:tcPr>
            <w:tcW w:w="5000" w:type="pct"/>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65855535" w14:textId="77777777" w:rsidR="00E57B93" w:rsidRPr="006278E0" w:rsidRDefault="00E57B93" w:rsidP="0074080E">
            <w:pPr>
              <w:spacing w:before="60" w:after="60"/>
              <w:rPr>
                <w:szCs w:val="20"/>
                <w:lang w:eastAsia="en-US"/>
              </w:rPr>
            </w:pPr>
            <w:r w:rsidRPr="006278E0">
              <w:rPr>
                <w:szCs w:val="20"/>
                <w:lang w:eastAsia="en-US"/>
              </w:rPr>
              <w:t xml:space="preserve">Outcome 1 </w:t>
            </w:r>
            <w:r w:rsidR="00B979D3" w:rsidRPr="006278E0">
              <w:rPr>
                <w:rFonts w:cs="Times New Roman"/>
                <w:szCs w:val="20"/>
                <w:lang w:val="en-AU"/>
              </w:rPr>
              <w:t>–</w:t>
            </w:r>
            <w:r w:rsidRPr="006278E0">
              <w:rPr>
                <w:szCs w:val="20"/>
                <w:lang w:eastAsia="en-US"/>
              </w:rPr>
              <w:t xml:space="preserve"> Advancement of Australia's nation</w:t>
            </w:r>
            <w:r w:rsidR="00F4318E" w:rsidRPr="006278E0">
              <w:rPr>
                <w:szCs w:val="20"/>
                <w:lang w:eastAsia="en-US"/>
              </w:rPr>
              <w:t>al interests through increased G</w:t>
            </w:r>
            <w:r w:rsidRPr="006278E0">
              <w:rPr>
                <w:szCs w:val="20"/>
                <w:lang w:eastAsia="en-US"/>
              </w:rPr>
              <w:t>overnment awareness of international developments affecting Australia and integration, coordination and evaluation of Australia's national intelligence capabilities</w:t>
            </w:r>
            <w:r w:rsidR="00E15EDB" w:rsidRPr="006278E0">
              <w:rPr>
                <w:szCs w:val="20"/>
                <w:lang w:eastAsia="en-US"/>
              </w:rPr>
              <w:t>.</w:t>
            </w:r>
          </w:p>
        </w:tc>
      </w:tr>
      <w:tr w:rsidR="00E57B93" w:rsidRPr="006278E0" w14:paraId="0B4AE4DD" w14:textId="77777777" w:rsidTr="005F7D13">
        <w:trPr>
          <w:trHeight w:val="113"/>
        </w:trPr>
        <w:tc>
          <w:tcPr>
            <w:tcW w:w="5000" w:type="pct"/>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1919BBEB" w14:textId="77777777" w:rsidR="00E57B93" w:rsidRPr="006278E0" w:rsidRDefault="00E57B93" w:rsidP="0074080E">
            <w:pPr>
              <w:spacing w:before="60" w:after="60"/>
              <w:rPr>
                <w:b/>
                <w:szCs w:val="20"/>
                <w:lang w:eastAsia="en-US"/>
              </w:rPr>
            </w:pPr>
            <w:r w:rsidRPr="006278E0">
              <w:rPr>
                <w:b/>
                <w:szCs w:val="20"/>
                <w:lang w:eastAsia="en-US"/>
              </w:rPr>
              <w:t xml:space="preserve">Contribution to </w:t>
            </w:r>
            <w:r w:rsidRPr="006278E0">
              <w:rPr>
                <w:b/>
                <w:szCs w:val="20"/>
                <w:lang w:val="en-AU"/>
              </w:rPr>
              <w:t>Outcome</w:t>
            </w:r>
            <w:r w:rsidRPr="006278E0">
              <w:rPr>
                <w:b/>
                <w:szCs w:val="20"/>
                <w:lang w:eastAsia="en-US"/>
              </w:rPr>
              <w:t xml:space="preserve"> 2 by linked program</w:t>
            </w:r>
          </w:p>
        </w:tc>
      </w:tr>
      <w:tr w:rsidR="00E57B93" w:rsidRPr="006278E0" w14:paraId="0EC49B2F" w14:textId="77777777" w:rsidTr="005F7D13">
        <w:trPr>
          <w:trHeight w:val="563"/>
        </w:trPr>
        <w:tc>
          <w:tcPr>
            <w:tcW w:w="5000" w:type="pct"/>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3AB87E" w14:textId="77777777" w:rsidR="00E57B93" w:rsidRPr="006278E0" w:rsidRDefault="00E57B93" w:rsidP="007C4112">
            <w:pPr>
              <w:spacing w:before="60" w:after="60"/>
              <w:rPr>
                <w:szCs w:val="20"/>
                <w:lang w:eastAsia="en-US"/>
              </w:rPr>
            </w:pPr>
            <w:r w:rsidRPr="006278E0">
              <w:rPr>
                <w:szCs w:val="20"/>
                <w:lang w:eastAsia="en-US"/>
              </w:rPr>
              <w:t xml:space="preserve">The Office of National Intelligence leads efforts to integrate and coordinate the activities of the national intelligence agencies to meet the operational requirements of the </w:t>
            </w:r>
            <w:r w:rsidR="007C4112" w:rsidRPr="006278E0">
              <w:rPr>
                <w:szCs w:val="20"/>
                <w:lang w:eastAsia="en-US"/>
              </w:rPr>
              <w:t>ADF</w:t>
            </w:r>
            <w:r w:rsidRPr="006278E0">
              <w:rPr>
                <w:szCs w:val="20"/>
                <w:lang w:eastAsia="en-US"/>
              </w:rPr>
              <w:t xml:space="preserve"> and the Department of Defence, as well as other priorities as set by Government.</w:t>
            </w:r>
          </w:p>
        </w:tc>
      </w:tr>
    </w:tbl>
    <w:p w14:paraId="278212A6" w14:textId="77777777" w:rsidR="00E57B93" w:rsidRPr="006278E0" w:rsidRDefault="00E57B93" w:rsidP="00B33E02">
      <w:pPr>
        <w:spacing w:before="0" w:after="0"/>
        <w:jc w:val="both"/>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8607"/>
      </w:tblGrid>
      <w:tr w:rsidR="0054625A" w:rsidRPr="006278E0" w14:paraId="06D96A26" w14:textId="77777777" w:rsidTr="0054625A">
        <w:trPr>
          <w:trHeight w:val="113"/>
        </w:trPr>
        <w:tc>
          <w:tcPr>
            <w:tcW w:w="5000" w:type="pct"/>
          </w:tcPr>
          <w:p w14:paraId="4412231A" w14:textId="77777777" w:rsidR="0054625A" w:rsidRPr="006278E0" w:rsidRDefault="0054625A" w:rsidP="0074080E">
            <w:pPr>
              <w:spacing w:before="60" w:after="60"/>
              <w:rPr>
                <w:rFonts w:ascii="Arial" w:hAnsi="Arial"/>
                <w:b/>
                <w:sz w:val="24"/>
                <w:lang w:val="en-AU"/>
              </w:rPr>
            </w:pPr>
            <w:r w:rsidRPr="006278E0">
              <w:rPr>
                <w:rFonts w:cs="Times New Roman"/>
                <w:b/>
                <w:szCs w:val="20"/>
                <w:lang w:val="en-AU"/>
              </w:rPr>
              <w:t>The Australian Trade and Investment Commission (Austrade)</w:t>
            </w:r>
          </w:p>
        </w:tc>
      </w:tr>
      <w:tr w:rsidR="0054625A" w:rsidRPr="006278E0" w14:paraId="27CE4EE8" w14:textId="77777777" w:rsidTr="0054625A">
        <w:trPr>
          <w:trHeight w:val="113"/>
        </w:trPr>
        <w:tc>
          <w:tcPr>
            <w:tcW w:w="5000" w:type="pct"/>
          </w:tcPr>
          <w:p w14:paraId="5DC9F524" w14:textId="77777777" w:rsidR="0054625A" w:rsidRPr="006278E0" w:rsidRDefault="0054625A" w:rsidP="0074080E">
            <w:pPr>
              <w:spacing w:before="60" w:after="60"/>
              <w:rPr>
                <w:rFonts w:cs="Times New Roman"/>
                <w:szCs w:val="20"/>
                <w:lang w:val="en-AU"/>
              </w:rPr>
            </w:pPr>
            <w:r w:rsidRPr="006278E0">
              <w:rPr>
                <w:rFonts w:cs="Times New Roman"/>
                <w:szCs w:val="20"/>
                <w:lang w:val="en-AU"/>
              </w:rPr>
              <w:t xml:space="preserve">Program 1.1 – </w:t>
            </w:r>
            <w:r w:rsidR="00B34139" w:rsidRPr="006278E0">
              <w:rPr>
                <w:color w:val="000000"/>
                <w:szCs w:val="20"/>
              </w:rPr>
              <w:t>Support Australian exporters to expand internationally, attract productive international investment, and grow the visitor economy</w:t>
            </w:r>
            <w:r w:rsidR="00E15EDB" w:rsidRPr="006278E0">
              <w:rPr>
                <w:color w:val="000000"/>
                <w:szCs w:val="20"/>
              </w:rPr>
              <w:t>.</w:t>
            </w:r>
          </w:p>
        </w:tc>
      </w:tr>
      <w:tr w:rsidR="0054625A" w:rsidRPr="006278E0" w14:paraId="4A4CF585" w14:textId="77777777" w:rsidTr="0054625A">
        <w:trPr>
          <w:trHeight w:val="113"/>
        </w:trPr>
        <w:tc>
          <w:tcPr>
            <w:tcW w:w="5000" w:type="pct"/>
          </w:tcPr>
          <w:p w14:paraId="30B5D22E" w14:textId="77777777" w:rsidR="0054625A" w:rsidRPr="006278E0" w:rsidRDefault="0054625A" w:rsidP="0078009A">
            <w:pPr>
              <w:spacing w:before="60" w:after="60"/>
              <w:rPr>
                <w:rFonts w:cs="Times New Roman"/>
                <w:b/>
                <w:szCs w:val="20"/>
                <w:lang w:val="en-AU"/>
              </w:rPr>
            </w:pPr>
            <w:r w:rsidRPr="006278E0">
              <w:rPr>
                <w:rFonts w:cs="Times New Roman"/>
                <w:b/>
                <w:szCs w:val="20"/>
                <w:lang w:val="en-AU"/>
              </w:rPr>
              <w:t xml:space="preserve">Contribution to Outcome </w:t>
            </w:r>
            <w:r w:rsidR="00722E2D" w:rsidRPr="006278E0">
              <w:rPr>
                <w:rFonts w:cs="Times New Roman"/>
                <w:b/>
                <w:szCs w:val="20"/>
                <w:lang w:val="en-AU"/>
              </w:rPr>
              <w:t>2</w:t>
            </w:r>
            <w:r w:rsidRPr="006278E0">
              <w:rPr>
                <w:rFonts w:cs="Times New Roman"/>
                <w:b/>
                <w:szCs w:val="20"/>
                <w:lang w:val="en-AU"/>
              </w:rPr>
              <w:t xml:space="preserve"> by linked programs</w:t>
            </w:r>
          </w:p>
        </w:tc>
      </w:tr>
      <w:tr w:rsidR="0054625A" w:rsidRPr="00B56FAA" w14:paraId="43F64C5A" w14:textId="77777777" w:rsidTr="0054625A">
        <w:trPr>
          <w:trHeight w:val="113"/>
        </w:trPr>
        <w:tc>
          <w:tcPr>
            <w:tcW w:w="5000" w:type="pct"/>
          </w:tcPr>
          <w:p w14:paraId="0573BBBF" w14:textId="7D86F2C8" w:rsidR="0054625A" w:rsidRPr="00B56FAA" w:rsidRDefault="0054625A" w:rsidP="00B266BB">
            <w:pPr>
              <w:spacing w:before="60" w:after="60"/>
              <w:rPr>
                <w:rFonts w:cs="Times New Roman"/>
                <w:szCs w:val="20"/>
                <w:lang w:val="en-AU"/>
              </w:rPr>
            </w:pPr>
            <w:r w:rsidRPr="006278E0">
              <w:rPr>
                <w:rFonts w:cs="Segoe UI"/>
                <w:color w:val="000000"/>
                <w:szCs w:val="20"/>
              </w:rPr>
              <w:t>Implementation of the Government’s Defence Export Strategy is led by Defence</w:t>
            </w:r>
            <w:r w:rsidR="007E7C7E" w:rsidRPr="006278E0">
              <w:rPr>
                <w:rFonts w:cs="Segoe UI"/>
                <w:color w:val="000000"/>
                <w:szCs w:val="20"/>
              </w:rPr>
              <w:t xml:space="preserve">. </w:t>
            </w:r>
            <w:r w:rsidRPr="006278E0">
              <w:rPr>
                <w:rFonts w:cs="Segoe UI"/>
                <w:color w:val="000000"/>
                <w:szCs w:val="20"/>
              </w:rPr>
              <w:t xml:space="preserve">This </w:t>
            </w:r>
            <w:r w:rsidR="00163783" w:rsidRPr="006278E0">
              <w:rPr>
                <w:rFonts w:cs="Segoe UI"/>
                <w:color w:val="000000"/>
                <w:szCs w:val="20"/>
              </w:rPr>
              <w:t xml:space="preserve">is </w:t>
            </w:r>
            <w:r w:rsidRPr="006278E0">
              <w:rPr>
                <w:rFonts w:cs="Segoe UI"/>
                <w:color w:val="000000"/>
                <w:szCs w:val="20"/>
              </w:rPr>
              <w:t>provid</w:t>
            </w:r>
            <w:r w:rsidR="00163783" w:rsidRPr="006278E0">
              <w:rPr>
                <w:rFonts w:cs="Segoe UI"/>
                <w:color w:val="000000"/>
                <w:szCs w:val="20"/>
              </w:rPr>
              <w:t>ing</w:t>
            </w:r>
            <w:r w:rsidRPr="006278E0">
              <w:rPr>
                <w:rFonts w:cs="Segoe UI"/>
                <w:color w:val="000000"/>
                <w:szCs w:val="20"/>
              </w:rPr>
              <w:t xml:space="preserve"> a </w:t>
            </w:r>
            <w:r w:rsidR="00DB5DCF" w:rsidRPr="006278E0">
              <w:rPr>
                <w:rFonts w:cs="Segoe UI"/>
                <w:color w:val="000000"/>
                <w:szCs w:val="20"/>
              </w:rPr>
              <w:t>w</w:t>
            </w:r>
            <w:r w:rsidRPr="006278E0">
              <w:rPr>
                <w:rFonts w:cs="Segoe UI"/>
                <w:color w:val="000000"/>
                <w:szCs w:val="20"/>
              </w:rPr>
              <w:t>hole-of-</w:t>
            </w:r>
            <w:r w:rsidR="00DB5DCF" w:rsidRPr="006278E0">
              <w:rPr>
                <w:rFonts w:cs="Segoe UI"/>
                <w:color w:val="000000"/>
                <w:szCs w:val="20"/>
              </w:rPr>
              <w:t>g</w:t>
            </w:r>
            <w:r w:rsidRPr="006278E0">
              <w:rPr>
                <w:rFonts w:cs="Segoe UI"/>
                <w:color w:val="000000"/>
                <w:szCs w:val="20"/>
              </w:rPr>
              <w:t>overnment coordinated approach to supporti</w:t>
            </w:r>
            <w:r w:rsidR="0014365C" w:rsidRPr="006278E0">
              <w:rPr>
                <w:rFonts w:cs="Segoe UI"/>
                <w:color w:val="000000"/>
                <w:szCs w:val="20"/>
              </w:rPr>
              <w:t>ng Australian defence industry. C</w:t>
            </w:r>
            <w:r w:rsidRPr="006278E0">
              <w:rPr>
                <w:rFonts w:cs="Segoe UI"/>
                <w:color w:val="000000"/>
                <w:szCs w:val="20"/>
              </w:rPr>
              <w:t>ooperation with Austrade is focused on growing exports to underpin sustainability and growth al</w:t>
            </w:r>
            <w:r w:rsidR="000666D9" w:rsidRPr="006278E0">
              <w:rPr>
                <w:rFonts w:cs="Segoe UI"/>
                <w:color w:val="000000"/>
                <w:szCs w:val="20"/>
              </w:rPr>
              <w:t xml:space="preserve">igned with national </w:t>
            </w:r>
            <w:r w:rsidR="00C50CF3" w:rsidRPr="006278E0">
              <w:rPr>
                <w:rFonts w:cs="Segoe UI"/>
                <w:color w:val="000000"/>
                <w:szCs w:val="20"/>
              </w:rPr>
              <w:t xml:space="preserve">security </w:t>
            </w:r>
            <w:r w:rsidR="000666D9" w:rsidRPr="006278E0">
              <w:rPr>
                <w:rFonts w:cs="Segoe UI"/>
                <w:color w:val="000000"/>
                <w:szCs w:val="20"/>
              </w:rPr>
              <w:t>priorities.</w:t>
            </w:r>
            <w:r w:rsidR="009911FD">
              <w:rPr>
                <w:rFonts w:cs="Segoe UI"/>
                <w:color w:val="000000"/>
                <w:szCs w:val="20"/>
              </w:rPr>
              <w:t xml:space="preserve"> Defence Export Controls issues authorisations for goods and technology subject to permit requirements.</w:t>
            </w:r>
          </w:p>
        </w:tc>
      </w:tr>
    </w:tbl>
    <w:p w14:paraId="5ADBFADA" w14:textId="77777777" w:rsidR="00B377A6" w:rsidRPr="002B2BCC" w:rsidRDefault="00A343B8" w:rsidP="002B2BCC">
      <w:r>
        <w:br w:type="page"/>
      </w:r>
    </w:p>
    <w:p w14:paraId="44335516" w14:textId="77777777" w:rsidR="00BF36E5" w:rsidRPr="00B56FAA" w:rsidRDefault="00792473" w:rsidP="002E39F8">
      <w:pPr>
        <w:pStyle w:val="Heading4level5"/>
        <w:spacing w:before="0" w:after="200"/>
      </w:pPr>
      <w:r w:rsidRPr="00B56FAA">
        <w:lastRenderedPageBreak/>
        <w:t>Outcome 2 Resources</w:t>
      </w:r>
    </w:p>
    <w:p w14:paraId="0054094F" w14:textId="77777777" w:rsidR="00BF36E5" w:rsidRPr="005E30AB" w:rsidRDefault="00BF36E5" w:rsidP="0011093B">
      <w:pPr>
        <w:pStyle w:val="TableHeading"/>
        <w:numPr>
          <w:ilvl w:val="0"/>
          <w:numId w:val="29"/>
        </w:numPr>
        <w:spacing w:before="100" w:after="120"/>
        <w:ind w:left="0" w:firstLine="0"/>
        <w:outlineLvl w:val="6"/>
      </w:pPr>
      <w:r w:rsidRPr="005E30AB">
        <w:t>Total Budgeted Re</w:t>
      </w:r>
      <w:r w:rsidR="00C8207E" w:rsidRPr="005E30AB">
        <w:t>sources Available for Outcome 2</w:t>
      </w:r>
    </w:p>
    <w:p w14:paraId="32F5C6C9" w14:textId="32F07FE8" w:rsidR="00986F28" w:rsidRPr="00B56FAA" w:rsidRDefault="00795238" w:rsidP="00E77BB4">
      <w:pPr>
        <w:spacing w:before="0" w:after="0"/>
      </w:pPr>
      <w:r w:rsidRPr="00795238">
        <w:rPr>
          <w:noProof/>
          <w:lang w:val="en-AU"/>
        </w:rPr>
        <w:drawing>
          <wp:inline distT="0" distB="0" distL="0" distR="0" wp14:anchorId="02F26569" wp14:editId="621F2F66">
            <wp:extent cx="5471795" cy="762074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71795" cy="7620743"/>
                    </a:xfrm>
                    <a:prstGeom prst="rect">
                      <a:avLst/>
                    </a:prstGeom>
                    <a:noFill/>
                    <a:ln>
                      <a:noFill/>
                    </a:ln>
                  </pic:spPr>
                </pic:pic>
              </a:graphicData>
            </a:graphic>
          </wp:inline>
        </w:drawing>
      </w:r>
    </w:p>
    <w:p w14:paraId="19D7D182" w14:textId="77777777" w:rsidR="007F6FA2" w:rsidRDefault="00933FBD" w:rsidP="00ED7E2E">
      <w:pPr>
        <w:pStyle w:val="TableHeading"/>
        <w:spacing w:before="120" w:after="120"/>
        <w:rPr>
          <w:szCs w:val="20"/>
        </w:rPr>
      </w:pPr>
      <w:r w:rsidRPr="00B56FAA">
        <w:rPr>
          <w:szCs w:val="20"/>
        </w:rPr>
        <w:br w:type="page"/>
      </w:r>
      <w:r w:rsidR="007F6FA2" w:rsidRPr="005E30AB">
        <w:rPr>
          <w:szCs w:val="20"/>
        </w:rPr>
        <w:lastRenderedPageBreak/>
        <w:t>Table 1</w:t>
      </w:r>
      <w:r w:rsidR="008106F6" w:rsidRPr="005E30AB">
        <w:rPr>
          <w:szCs w:val="20"/>
        </w:rPr>
        <w:t>6</w:t>
      </w:r>
      <w:r w:rsidR="007F6FA2" w:rsidRPr="005E30AB">
        <w:rPr>
          <w:szCs w:val="20"/>
        </w:rPr>
        <w:t xml:space="preserve">: Total </w:t>
      </w:r>
      <w:r w:rsidR="007F6FA2" w:rsidRPr="005E30AB">
        <w:t>Budgeted</w:t>
      </w:r>
      <w:r w:rsidR="007F6FA2" w:rsidRPr="005E30AB">
        <w:rPr>
          <w:szCs w:val="20"/>
        </w:rPr>
        <w:t xml:space="preserve"> Resources Available for Outcome 2 (continued)</w:t>
      </w:r>
    </w:p>
    <w:p w14:paraId="078D2AD7" w14:textId="04EC35DC" w:rsidR="00607D2B" w:rsidRDefault="00E4134C" w:rsidP="00A74B65">
      <w:pPr>
        <w:spacing w:before="0" w:after="0"/>
        <w:rPr>
          <w:rFonts w:ascii="Arial" w:hAnsi="Arial"/>
          <w:b/>
          <w:sz w:val="14"/>
          <w:szCs w:val="14"/>
        </w:rPr>
      </w:pPr>
      <w:r w:rsidRPr="00E4134C">
        <w:rPr>
          <w:noProof/>
          <w:lang w:val="en-AU"/>
        </w:rPr>
        <w:drawing>
          <wp:inline distT="0" distB="0" distL="0" distR="0" wp14:anchorId="7BD858E8" wp14:editId="05C7AD12">
            <wp:extent cx="5257732" cy="6229350"/>
            <wp:effectExtent l="0" t="0" r="635" b="0"/>
            <wp:docPr id="24575491" name="Picture 2457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85590" cy="6262356"/>
                    </a:xfrm>
                    <a:prstGeom prst="rect">
                      <a:avLst/>
                    </a:prstGeom>
                    <a:noFill/>
                    <a:ln>
                      <a:noFill/>
                    </a:ln>
                  </pic:spPr>
                </pic:pic>
              </a:graphicData>
            </a:graphic>
          </wp:inline>
        </w:drawing>
      </w:r>
    </w:p>
    <w:p w14:paraId="4DB13FF0" w14:textId="7DAABBEA" w:rsidR="00173D21" w:rsidRPr="005E30AB" w:rsidRDefault="005E30AB" w:rsidP="00A74B65">
      <w:pPr>
        <w:spacing w:before="0" w:after="0"/>
        <w:rPr>
          <w:rFonts w:ascii="Arial" w:hAnsi="Arial"/>
          <w:b/>
          <w:sz w:val="14"/>
          <w:szCs w:val="14"/>
        </w:rPr>
      </w:pPr>
      <w:r w:rsidRPr="005E30AB">
        <w:rPr>
          <w:rFonts w:ascii="Arial" w:hAnsi="Arial"/>
          <w:b/>
          <w:sz w:val="14"/>
          <w:szCs w:val="14"/>
        </w:rPr>
        <w:t>Notes</w:t>
      </w:r>
    </w:p>
    <w:p w14:paraId="590BF29A" w14:textId="50253C30" w:rsidR="00816434" w:rsidRPr="00816434" w:rsidRDefault="00607D2B" w:rsidP="00816434">
      <w:pPr>
        <w:tabs>
          <w:tab w:val="left" w:pos="284"/>
        </w:tabs>
        <w:spacing w:before="0" w:after="0"/>
        <w:ind w:left="284" w:hanging="284"/>
        <w:rPr>
          <w:rFonts w:ascii="Arial" w:hAnsi="Arial"/>
          <w:sz w:val="14"/>
          <w:szCs w:val="14"/>
        </w:rPr>
      </w:pPr>
      <w:r w:rsidRPr="00607D2B">
        <w:rPr>
          <w:rFonts w:ascii="Arial" w:hAnsi="Arial"/>
          <w:sz w:val="14"/>
          <w:szCs w:val="14"/>
        </w:rPr>
        <w:t xml:space="preserve">a. </w:t>
      </w:r>
      <w:r w:rsidR="00512BA4">
        <w:rPr>
          <w:rFonts w:ascii="Arial" w:hAnsi="Arial"/>
          <w:sz w:val="14"/>
          <w:szCs w:val="14"/>
        </w:rPr>
        <w:tab/>
      </w:r>
      <w:r w:rsidR="00816434" w:rsidRPr="00816434">
        <w:rPr>
          <w:rFonts w:ascii="Arial" w:hAnsi="Arial"/>
          <w:sz w:val="14"/>
          <w:szCs w:val="14"/>
        </w:rPr>
        <w:t xml:space="preserve">Includes estimated resourcing used to meet payments for Defence Force Superannuation Nominal Interest under </w:t>
      </w:r>
      <w:r w:rsidR="00816434" w:rsidRPr="0058484B">
        <w:rPr>
          <w:rFonts w:ascii="Arial" w:hAnsi="Arial"/>
          <w:i/>
          <w:sz w:val="14"/>
          <w:szCs w:val="14"/>
        </w:rPr>
        <w:t>Military Superannuation and Benefits Act, 1991 Part V, s.17</w:t>
      </w:r>
      <w:r w:rsidR="00816434" w:rsidRPr="00816434">
        <w:rPr>
          <w:rFonts w:ascii="Arial" w:hAnsi="Arial"/>
          <w:sz w:val="14"/>
          <w:szCs w:val="14"/>
        </w:rPr>
        <w:t xml:space="preserve">. </w:t>
      </w:r>
      <w:r w:rsidR="00816434" w:rsidRPr="00816434">
        <w:rPr>
          <w:rFonts w:ascii="Arial" w:hAnsi="Arial"/>
          <w:sz w:val="14"/>
          <w:szCs w:val="14"/>
        </w:rPr>
        <w:tab/>
      </w:r>
      <w:r w:rsidR="00816434" w:rsidRPr="00816434">
        <w:rPr>
          <w:rFonts w:ascii="Arial" w:hAnsi="Arial"/>
          <w:sz w:val="14"/>
          <w:szCs w:val="14"/>
        </w:rPr>
        <w:tab/>
      </w:r>
      <w:r w:rsidR="00816434" w:rsidRPr="00816434">
        <w:rPr>
          <w:rFonts w:ascii="Arial" w:hAnsi="Arial"/>
          <w:sz w:val="14"/>
          <w:szCs w:val="14"/>
        </w:rPr>
        <w:tab/>
      </w:r>
      <w:r w:rsidR="00816434" w:rsidRPr="00816434">
        <w:rPr>
          <w:rFonts w:ascii="Arial" w:hAnsi="Arial"/>
          <w:sz w:val="14"/>
          <w:szCs w:val="14"/>
        </w:rPr>
        <w:tab/>
      </w:r>
      <w:r w:rsidR="00816434" w:rsidRPr="00816434">
        <w:rPr>
          <w:rFonts w:ascii="Arial" w:hAnsi="Arial"/>
          <w:sz w:val="14"/>
          <w:szCs w:val="14"/>
        </w:rPr>
        <w:tab/>
      </w:r>
    </w:p>
    <w:p w14:paraId="3A66E113" w14:textId="3AF22329" w:rsidR="00816434" w:rsidRDefault="00816434" w:rsidP="00816434">
      <w:pPr>
        <w:tabs>
          <w:tab w:val="left" w:pos="284"/>
        </w:tabs>
        <w:spacing w:before="0" w:after="0"/>
        <w:ind w:left="284" w:hanging="284"/>
        <w:rPr>
          <w:rFonts w:ascii="Arial" w:hAnsi="Arial"/>
          <w:sz w:val="14"/>
          <w:szCs w:val="14"/>
        </w:rPr>
      </w:pPr>
      <w:r w:rsidRPr="00816434">
        <w:rPr>
          <w:rFonts w:ascii="Arial" w:hAnsi="Arial"/>
          <w:sz w:val="14"/>
          <w:szCs w:val="14"/>
        </w:rPr>
        <w:t xml:space="preserve">b. </w:t>
      </w:r>
      <w:r>
        <w:rPr>
          <w:rFonts w:ascii="Arial" w:hAnsi="Arial"/>
          <w:sz w:val="14"/>
          <w:szCs w:val="14"/>
        </w:rPr>
        <w:tab/>
      </w:r>
      <w:r w:rsidRPr="00816434">
        <w:rPr>
          <w:rFonts w:ascii="Arial" w:hAnsi="Arial"/>
          <w:sz w:val="14"/>
          <w:szCs w:val="14"/>
        </w:rPr>
        <w:t xml:space="preserve">Figures for 2024-25 have been calculated using the applicable AASB 119 interest rate. Forward years are estimated based on the discount rate determined by the superannuation scheme actuaries in preparing the latest Long Term Cost Reports, being </w:t>
      </w:r>
      <w:r w:rsidR="004676EE">
        <w:rPr>
          <w:rFonts w:ascii="Arial" w:hAnsi="Arial"/>
          <w:sz w:val="14"/>
          <w:szCs w:val="14"/>
        </w:rPr>
        <w:t>Consumer Price Index (</w:t>
      </w:r>
      <w:r w:rsidRPr="00816434">
        <w:rPr>
          <w:rFonts w:ascii="Arial" w:hAnsi="Arial"/>
          <w:sz w:val="14"/>
          <w:szCs w:val="14"/>
        </w:rPr>
        <w:t>CPI</w:t>
      </w:r>
      <w:r w:rsidR="004676EE">
        <w:rPr>
          <w:rFonts w:ascii="Arial" w:hAnsi="Arial"/>
          <w:sz w:val="14"/>
          <w:szCs w:val="14"/>
        </w:rPr>
        <w:t>)</w:t>
      </w:r>
      <w:r w:rsidRPr="00816434">
        <w:rPr>
          <w:rFonts w:ascii="Arial" w:hAnsi="Arial"/>
          <w:sz w:val="14"/>
          <w:szCs w:val="14"/>
        </w:rPr>
        <w:t xml:space="preserve"> plus 2.5</w:t>
      </w:r>
      <w:r>
        <w:rPr>
          <w:rFonts w:ascii="Arial" w:hAnsi="Arial"/>
          <w:sz w:val="14"/>
          <w:szCs w:val="14"/>
        </w:rPr>
        <w:t> </w:t>
      </w:r>
      <w:r w:rsidRPr="00816434">
        <w:rPr>
          <w:rFonts w:ascii="Arial" w:hAnsi="Arial"/>
          <w:sz w:val="14"/>
          <w:szCs w:val="14"/>
        </w:rPr>
        <w:t xml:space="preserve">per cent. </w:t>
      </w:r>
      <w:r w:rsidRPr="00816434">
        <w:rPr>
          <w:rFonts w:ascii="Arial" w:hAnsi="Arial"/>
          <w:sz w:val="14"/>
          <w:szCs w:val="14"/>
        </w:rPr>
        <w:tab/>
      </w:r>
      <w:r w:rsidRPr="00816434">
        <w:rPr>
          <w:rFonts w:ascii="Arial" w:hAnsi="Arial"/>
          <w:sz w:val="14"/>
          <w:szCs w:val="14"/>
        </w:rPr>
        <w:tab/>
      </w:r>
      <w:r w:rsidRPr="00816434">
        <w:rPr>
          <w:rFonts w:ascii="Arial" w:hAnsi="Arial"/>
          <w:sz w:val="14"/>
          <w:szCs w:val="14"/>
        </w:rPr>
        <w:tab/>
      </w:r>
      <w:r w:rsidRPr="00816434">
        <w:rPr>
          <w:rFonts w:ascii="Arial" w:hAnsi="Arial"/>
          <w:sz w:val="14"/>
          <w:szCs w:val="14"/>
        </w:rPr>
        <w:tab/>
      </w:r>
      <w:r w:rsidRPr="00816434">
        <w:rPr>
          <w:rFonts w:ascii="Arial" w:hAnsi="Arial"/>
          <w:sz w:val="14"/>
          <w:szCs w:val="14"/>
        </w:rPr>
        <w:tab/>
      </w:r>
    </w:p>
    <w:p w14:paraId="763BA7B8" w14:textId="4E4F3419" w:rsidR="00323816" w:rsidRPr="00816434" w:rsidRDefault="00323816" w:rsidP="00816434">
      <w:pPr>
        <w:tabs>
          <w:tab w:val="left" w:pos="284"/>
        </w:tabs>
        <w:spacing w:before="0" w:after="0"/>
        <w:ind w:left="284" w:hanging="284"/>
        <w:rPr>
          <w:rFonts w:ascii="Arial" w:hAnsi="Arial"/>
          <w:sz w:val="14"/>
          <w:szCs w:val="14"/>
        </w:rPr>
      </w:pPr>
      <w:r w:rsidRPr="00816434">
        <w:rPr>
          <w:rFonts w:ascii="Arial" w:hAnsi="Arial"/>
          <w:sz w:val="14"/>
          <w:szCs w:val="14"/>
        </w:rPr>
        <w:t>c.</w:t>
      </w:r>
      <w:r>
        <w:rPr>
          <w:rFonts w:ascii="Arial" w:hAnsi="Arial"/>
          <w:sz w:val="14"/>
          <w:szCs w:val="14"/>
        </w:rPr>
        <w:tab/>
        <w:t>The decrease in Military superannuation contributions from 2024-25 is attributable to the closure of Military Superannuation and Benefits Scheme (MSBS) to new ADF personnel, resulting in a gradual decline in the number of contributing members in MSBS.</w:t>
      </w:r>
    </w:p>
    <w:p w14:paraId="17D57BA8" w14:textId="2A40FA09" w:rsidR="00816434" w:rsidRPr="00816434" w:rsidRDefault="00323816" w:rsidP="003B63D3">
      <w:pPr>
        <w:tabs>
          <w:tab w:val="left" w:pos="284"/>
        </w:tabs>
        <w:spacing w:before="0" w:after="0"/>
        <w:ind w:left="284" w:hanging="284"/>
        <w:rPr>
          <w:rFonts w:ascii="Arial" w:hAnsi="Arial"/>
          <w:sz w:val="14"/>
          <w:szCs w:val="14"/>
        </w:rPr>
      </w:pPr>
      <w:r w:rsidRPr="00816434">
        <w:rPr>
          <w:rFonts w:ascii="Arial" w:hAnsi="Arial"/>
          <w:sz w:val="14"/>
          <w:szCs w:val="14"/>
        </w:rPr>
        <w:t>d</w:t>
      </w:r>
      <w:r w:rsidR="00CE3B2C">
        <w:rPr>
          <w:rFonts w:ascii="Arial" w:hAnsi="Arial"/>
          <w:sz w:val="14"/>
          <w:szCs w:val="14"/>
        </w:rPr>
        <w:t>.</w:t>
      </w:r>
      <w:r w:rsidR="00816434">
        <w:rPr>
          <w:rFonts w:ascii="Arial" w:hAnsi="Arial"/>
          <w:sz w:val="14"/>
          <w:szCs w:val="14"/>
        </w:rPr>
        <w:tab/>
      </w:r>
      <w:r w:rsidR="003B63D3" w:rsidRPr="003B63D3">
        <w:rPr>
          <w:rFonts w:ascii="Arial" w:hAnsi="Arial"/>
          <w:sz w:val="14"/>
          <w:szCs w:val="14"/>
        </w:rPr>
        <w:t>The funding movement from 2027-28 to 2024-25 of $700 million is to partly address Defence’s ongoing working capital requirements. This adjustment provides short term relief to increase cash reserves to meet Defence industry commitments as and when they fall due for payment. Refer Table 1 Serial 4. While the increase in working capital in 2024-25 is by way of the movement of appropriation f</w:t>
      </w:r>
      <w:r w:rsidR="00537BD4">
        <w:rPr>
          <w:rFonts w:ascii="Arial" w:hAnsi="Arial"/>
          <w:sz w:val="14"/>
          <w:szCs w:val="14"/>
        </w:rPr>
        <w:t xml:space="preserve">rom 2027-28, the movement will </w:t>
      </w:r>
      <w:r w:rsidR="003B63D3" w:rsidRPr="003B63D3">
        <w:rPr>
          <w:rFonts w:ascii="Arial" w:hAnsi="Arial"/>
          <w:sz w:val="14"/>
          <w:szCs w:val="14"/>
        </w:rPr>
        <w:t xml:space="preserve">be represented as an equity injection and not as increased Defence funding. This is because the injection will be used to address existing expenditure commitments already incurred / recognised. </w:t>
      </w:r>
      <w:r w:rsidR="003B63D3" w:rsidRPr="003B63D3">
        <w:rPr>
          <w:rFonts w:ascii="Arial" w:hAnsi="Arial"/>
          <w:sz w:val="14"/>
          <w:szCs w:val="14"/>
        </w:rPr>
        <w:tab/>
      </w:r>
      <w:r w:rsidR="003B63D3" w:rsidRPr="003B63D3">
        <w:rPr>
          <w:rFonts w:ascii="Arial" w:hAnsi="Arial"/>
          <w:sz w:val="14"/>
          <w:szCs w:val="14"/>
        </w:rPr>
        <w:tab/>
      </w:r>
      <w:r w:rsidR="003B63D3" w:rsidRPr="003B63D3">
        <w:rPr>
          <w:rFonts w:ascii="Arial" w:hAnsi="Arial"/>
          <w:sz w:val="14"/>
          <w:szCs w:val="14"/>
        </w:rPr>
        <w:tab/>
      </w:r>
      <w:r w:rsidR="003B63D3" w:rsidRPr="003B63D3">
        <w:rPr>
          <w:rFonts w:ascii="Arial" w:hAnsi="Arial"/>
          <w:sz w:val="14"/>
          <w:szCs w:val="14"/>
        </w:rPr>
        <w:tab/>
      </w:r>
      <w:r w:rsidR="003B63D3" w:rsidRPr="003B63D3">
        <w:rPr>
          <w:rFonts w:ascii="Arial" w:hAnsi="Arial"/>
          <w:sz w:val="14"/>
          <w:szCs w:val="14"/>
        </w:rPr>
        <w:tab/>
      </w:r>
      <w:r w:rsidR="003B63D3">
        <w:rPr>
          <w:rFonts w:ascii="Arial" w:hAnsi="Arial"/>
          <w:sz w:val="14"/>
          <w:szCs w:val="14"/>
        </w:rPr>
        <w:tab/>
      </w:r>
      <w:r w:rsidR="003B63D3" w:rsidRPr="003B63D3">
        <w:rPr>
          <w:rFonts w:ascii="Arial" w:hAnsi="Arial"/>
          <w:sz w:val="14"/>
          <w:szCs w:val="14"/>
        </w:rPr>
        <w:t>In 2027-28, the reduction of appropriation will not impact planned capital expenditure levels as Government has agreed Defence will operate with a Net Capital D</w:t>
      </w:r>
      <w:r w:rsidR="0030332C">
        <w:rPr>
          <w:rFonts w:ascii="Arial" w:hAnsi="Arial"/>
          <w:sz w:val="14"/>
          <w:szCs w:val="14"/>
        </w:rPr>
        <w:t>eficit in that financial year</w:t>
      </w:r>
      <w:r w:rsidR="003B63D3" w:rsidRPr="003B63D3">
        <w:rPr>
          <w:rFonts w:ascii="Arial" w:hAnsi="Arial"/>
          <w:sz w:val="14"/>
          <w:szCs w:val="14"/>
        </w:rPr>
        <w:tab/>
      </w:r>
      <w:r w:rsidR="003B63D3" w:rsidRPr="003B63D3">
        <w:rPr>
          <w:rFonts w:ascii="Arial" w:hAnsi="Arial"/>
          <w:sz w:val="14"/>
          <w:szCs w:val="14"/>
        </w:rPr>
        <w:tab/>
      </w:r>
      <w:r w:rsidR="003B63D3" w:rsidRPr="003B63D3">
        <w:rPr>
          <w:rFonts w:ascii="Arial" w:hAnsi="Arial"/>
          <w:sz w:val="14"/>
          <w:szCs w:val="14"/>
        </w:rPr>
        <w:tab/>
      </w:r>
      <w:r w:rsidR="00816434" w:rsidRPr="00816434">
        <w:rPr>
          <w:rFonts w:ascii="Arial" w:hAnsi="Arial"/>
          <w:sz w:val="14"/>
          <w:szCs w:val="14"/>
        </w:rPr>
        <w:t>.</w:t>
      </w:r>
      <w:r w:rsidR="00816434" w:rsidRPr="00816434">
        <w:rPr>
          <w:rFonts w:ascii="Arial" w:hAnsi="Arial"/>
          <w:sz w:val="14"/>
          <w:szCs w:val="14"/>
        </w:rPr>
        <w:tab/>
      </w:r>
      <w:r w:rsidR="00816434" w:rsidRPr="00816434">
        <w:rPr>
          <w:rFonts w:ascii="Arial" w:hAnsi="Arial"/>
          <w:sz w:val="14"/>
          <w:szCs w:val="14"/>
        </w:rPr>
        <w:tab/>
      </w:r>
      <w:r w:rsidR="00816434" w:rsidRPr="00816434">
        <w:rPr>
          <w:rFonts w:ascii="Arial" w:hAnsi="Arial"/>
          <w:sz w:val="14"/>
          <w:szCs w:val="14"/>
        </w:rPr>
        <w:tab/>
      </w:r>
      <w:r w:rsidR="00816434" w:rsidRPr="00816434">
        <w:rPr>
          <w:rFonts w:ascii="Arial" w:hAnsi="Arial"/>
          <w:sz w:val="14"/>
          <w:szCs w:val="14"/>
        </w:rPr>
        <w:tab/>
      </w:r>
      <w:r w:rsidR="00816434" w:rsidRPr="00816434">
        <w:rPr>
          <w:rFonts w:ascii="Arial" w:hAnsi="Arial"/>
          <w:sz w:val="14"/>
          <w:szCs w:val="14"/>
        </w:rPr>
        <w:tab/>
      </w:r>
    </w:p>
    <w:p w14:paraId="73F5A921" w14:textId="39A971F8" w:rsidR="00816434" w:rsidRPr="00816434" w:rsidRDefault="00323816" w:rsidP="00816434">
      <w:pPr>
        <w:tabs>
          <w:tab w:val="left" w:pos="284"/>
        </w:tabs>
        <w:spacing w:before="0" w:after="0"/>
        <w:ind w:left="284" w:hanging="284"/>
        <w:rPr>
          <w:rFonts w:ascii="Arial" w:hAnsi="Arial"/>
          <w:sz w:val="14"/>
          <w:szCs w:val="14"/>
        </w:rPr>
      </w:pPr>
      <w:r w:rsidRPr="00816434">
        <w:rPr>
          <w:rFonts w:ascii="Arial" w:hAnsi="Arial"/>
          <w:sz w:val="14"/>
          <w:szCs w:val="14"/>
        </w:rPr>
        <w:t>e</w:t>
      </w:r>
      <w:r w:rsidR="00816434" w:rsidRPr="00816434">
        <w:rPr>
          <w:rFonts w:ascii="Arial" w:hAnsi="Arial"/>
          <w:sz w:val="14"/>
          <w:szCs w:val="14"/>
        </w:rPr>
        <w:t xml:space="preserve">. </w:t>
      </w:r>
      <w:r w:rsidR="00816434">
        <w:rPr>
          <w:rFonts w:ascii="Arial" w:hAnsi="Arial"/>
          <w:sz w:val="14"/>
          <w:szCs w:val="14"/>
        </w:rPr>
        <w:tab/>
      </w:r>
      <w:r w:rsidR="00816434" w:rsidRPr="00816434">
        <w:rPr>
          <w:rFonts w:ascii="Arial" w:hAnsi="Arial"/>
          <w:sz w:val="14"/>
          <w:szCs w:val="14"/>
        </w:rPr>
        <w:t>Includes estimated resourcing required to meet payments for the Defence Superannuation Benefits. Table 50 shows estimates of total expenses for the Defence Superannuation Schemes.</w:t>
      </w:r>
      <w:r w:rsidR="00816434" w:rsidRPr="00816434">
        <w:rPr>
          <w:rFonts w:ascii="Arial" w:hAnsi="Arial"/>
          <w:sz w:val="14"/>
          <w:szCs w:val="14"/>
        </w:rPr>
        <w:tab/>
      </w:r>
      <w:r w:rsidR="00816434" w:rsidRPr="00816434">
        <w:rPr>
          <w:rFonts w:ascii="Arial" w:hAnsi="Arial"/>
          <w:sz w:val="14"/>
          <w:szCs w:val="14"/>
        </w:rPr>
        <w:tab/>
      </w:r>
      <w:r w:rsidR="00816434" w:rsidRPr="00816434">
        <w:rPr>
          <w:rFonts w:ascii="Arial" w:hAnsi="Arial"/>
          <w:sz w:val="14"/>
          <w:szCs w:val="14"/>
        </w:rPr>
        <w:tab/>
      </w:r>
      <w:r w:rsidR="00816434" w:rsidRPr="00816434">
        <w:rPr>
          <w:rFonts w:ascii="Arial" w:hAnsi="Arial"/>
          <w:sz w:val="14"/>
          <w:szCs w:val="14"/>
        </w:rPr>
        <w:tab/>
      </w:r>
      <w:r w:rsidR="00816434" w:rsidRPr="00816434">
        <w:rPr>
          <w:rFonts w:ascii="Arial" w:hAnsi="Arial"/>
          <w:sz w:val="14"/>
          <w:szCs w:val="14"/>
        </w:rPr>
        <w:tab/>
      </w:r>
    </w:p>
    <w:p w14:paraId="326653AC" w14:textId="2B433340" w:rsidR="00816434" w:rsidRPr="00816434" w:rsidRDefault="00323816" w:rsidP="00816434">
      <w:pPr>
        <w:tabs>
          <w:tab w:val="left" w:pos="284"/>
        </w:tabs>
        <w:spacing w:before="0" w:after="0"/>
        <w:ind w:left="284" w:hanging="284"/>
        <w:rPr>
          <w:rFonts w:ascii="Arial" w:hAnsi="Arial"/>
          <w:sz w:val="14"/>
          <w:szCs w:val="14"/>
        </w:rPr>
      </w:pPr>
      <w:r w:rsidRPr="00816434">
        <w:rPr>
          <w:rFonts w:ascii="Arial" w:hAnsi="Arial"/>
          <w:sz w:val="14"/>
          <w:szCs w:val="14"/>
        </w:rPr>
        <w:t>f</w:t>
      </w:r>
      <w:r w:rsidR="00816434" w:rsidRPr="00816434">
        <w:rPr>
          <w:rFonts w:ascii="Arial" w:hAnsi="Arial"/>
          <w:sz w:val="14"/>
          <w:szCs w:val="14"/>
        </w:rPr>
        <w:t xml:space="preserve">. </w:t>
      </w:r>
      <w:r w:rsidR="00816434">
        <w:rPr>
          <w:rFonts w:ascii="Arial" w:hAnsi="Arial"/>
          <w:sz w:val="14"/>
          <w:szCs w:val="14"/>
        </w:rPr>
        <w:tab/>
      </w:r>
      <w:r w:rsidR="00816434" w:rsidRPr="00816434">
        <w:rPr>
          <w:rFonts w:ascii="Arial" w:hAnsi="Arial"/>
          <w:sz w:val="14"/>
          <w:szCs w:val="14"/>
        </w:rPr>
        <w:t>Total Administered revenue from other sources comprises of Military superannuation contributions, competitive neutrality revenue received from Defence Housing Australia and licence fees received under the Defence Home Ownership Assistance Scheme.</w:t>
      </w:r>
      <w:r w:rsidR="00816434" w:rsidRPr="00816434">
        <w:rPr>
          <w:rFonts w:ascii="Arial" w:hAnsi="Arial"/>
          <w:sz w:val="14"/>
          <w:szCs w:val="14"/>
        </w:rPr>
        <w:tab/>
      </w:r>
      <w:r w:rsidR="00816434" w:rsidRPr="00816434">
        <w:rPr>
          <w:rFonts w:ascii="Arial" w:hAnsi="Arial"/>
          <w:sz w:val="14"/>
          <w:szCs w:val="14"/>
        </w:rPr>
        <w:tab/>
      </w:r>
      <w:r w:rsidR="00816434" w:rsidRPr="00816434">
        <w:rPr>
          <w:rFonts w:ascii="Arial" w:hAnsi="Arial"/>
          <w:sz w:val="14"/>
          <w:szCs w:val="14"/>
        </w:rPr>
        <w:tab/>
      </w:r>
      <w:r w:rsidR="00816434" w:rsidRPr="00816434">
        <w:rPr>
          <w:rFonts w:ascii="Arial" w:hAnsi="Arial"/>
          <w:sz w:val="14"/>
          <w:szCs w:val="14"/>
        </w:rPr>
        <w:tab/>
      </w:r>
      <w:r w:rsidR="00816434" w:rsidRPr="00816434">
        <w:rPr>
          <w:rFonts w:ascii="Arial" w:hAnsi="Arial"/>
          <w:sz w:val="14"/>
          <w:szCs w:val="14"/>
        </w:rPr>
        <w:tab/>
      </w:r>
    </w:p>
    <w:p w14:paraId="23EEBF1E" w14:textId="0DE2A00D" w:rsidR="00810F7D" w:rsidRPr="00AB0988" w:rsidRDefault="00323816" w:rsidP="00816434">
      <w:pPr>
        <w:tabs>
          <w:tab w:val="left" w:pos="284"/>
        </w:tabs>
        <w:spacing w:before="0" w:after="0"/>
        <w:ind w:left="284" w:hanging="284"/>
        <w:rPr>
          <w:rFonts w:ascii="Arial" w:hAnsi="Arial"/>
          <w:sz w:val="14"/>
          <w:szCs w:val="14"/>
        </w:rPr>
      </w:pPr>
      <w:r>
        <w:rPr>
          <w:rFonts w:ascii="Arial" w:hAnsi="Arial"/>
          <w:sz w:val="14"/>
          <w:szCs w:val="14"/>
        </w:rPr>
        <w:t>g</w:t>
      </w:r>
      <w:r w:rsidR="00816434" w:rsidRPr="00816434">
        <w:rPr>
          <w:rFonts w:ascii="Arial" w:hAnsi="Arial"/>
          <w:sz w:val="14"/>
          <w:szCs w:val="14"/>
        </w:rPr>
        <w:t xml:space="preserve">. </w:t>
      </w:r>
      <w:r w:rsidR="00816434">
        <w:rPr>
          <w:rFonts w:ascii="Arial" w:hAnsi="Arial"/>
          <w:sz w:val="14"/>
          <w:szCs w:val="14"/>
        </w:rPr>
        <w:tab/>
      </w:r>
      <w:r w:rsidR="00816434" w:rsidRPr="00816434">
        <w:rPr>
          <w:rFonts w:ascii="Arial" w:hAnsi="Arial"/>
          <w:sz w:val="14"/>
          <w:szCs w:val="14"/>
        </w:rPr>
        <w:t>Administered returns to the Official Public Account (OPA) are in relation to Administered revenue from activities performed by Defence on behalf of the Australian Government including administered receipts passed through from Superannuation programs to the OPA</w:t>
      </w:r>
      <w:r w:rsidR="00816434" w:rsidRPr="00816434">
        <w:rPr>
          <w:rFonts w:ascii="Arial" w:hAnsi="Arial"/>
          <w:sz w:val="14"/>
          <w:szCs w:val="14"/>
        </w:rPr>
        <w:tab/>
      </w:r>
      <w:r w:rsidR="00816434" w:rsidRPr="00816434">
        <w:rPr>
          <w:rFonts w:ascii="Arial" w:hAnsi="Arial"/>
          <w:sz w:val="14"/>
          <w:szCs w:val="14"/>
        </w:rPr>
        <w:tab/>
      </w:r>
      <w:r w:rsidR="00816434" w:rsidRPr="00816434">
        <w:rPr>
          <w:rFonts w:ascii="Arial" w:hAnsi="Arial"/>
          <w:sz w:val="14"/>
          <w:szCs w:val="14"/>
        </w:rPr>
        <w:tab/>
      </w:r>
      <w:r w:rsidR="00816434" w:rsidRPr="00816434">
        <w:rPr>
          <w:rFonts w:ascii="Arial" w:hAnsi="Arial"/>
          <w:sz w:val="14"/>
          <w:szCs w:val="14"/>
        </w:rPr>
        <w:tab/>
      </w:r>
      <w:r w:rsidR="00816434" w:rsidRPr="00816434">
        <w:rPr>
          <w:rFonts w:ascii="Arial" w:hAnsi="Arial"/>
          <w:sz w:val="14"/>
          <w:szCs w:val="14"/>
        </w:rPr>
        <w:tab/>
      </w:r>
      <w:r w:rsidR="00D2050B">
        <w:rPr>
          <w:rFonts w:ascii="Arial" w:hAnsi="Arial"/>
          <w:sz w:val="14"/>
          <w:szCs w:val="14"/>
        </w:rPr>
        <w:tab/>
      </w:r>
      <w:r w:rsidR="00D2050B">
        <w:rPr>
          <w:rFonts w:ascii="Arial" w:hAnsi="Arial"/>
          <w:sz w:val="14"/>
          <w:szCs w:val="14"/>
        </w:rPr>
        <w:tab/>
      </w:r>
      <w:r w:rsidR="00D2050B">
        <w:rPr>
          <w:rFonts w:ascii="Arial" w:hAnsi="Arial"/>
          <w:sz w:val="14"/>
          <w:szCs w:val="14"/>
        </w:rPr>
        <w:tab/>
      </w:r>
      <w:r w:rsidR="00D2050B">
        <w:rPr>
          <w:rFonts w:ascii="Arial" w:hAnsi="Arial"/>
          <w:sz w:val="14"/>
          <w:szCs w:val="14"/>
        </w:rPr>
        <w:tab/>
      </w:r>
      <w:r w:rsidR="00512BA4" w:rsidRPr="00512BA4">
        <w:rPr>
          <w:rFonts w:ascii="Arial" w:hAnsi="Arial"/>
          <w:sz w:val="14"/>
          <w:szCs w:val="14"/>
        </w:rPr>
        <w:tab/>
      </w:r>
      <w:r w:rsidR="00512BA4" w:rsidRPr="00512BA4">
        <w:rPr>
          <w:rFonts w:ascii="Arial" w:hAnsi="Arial"/>
          <w:sz w:val="14"/>
          <w:szCs w:val="14"/>
        </w:rPr>
        <w:tab/>
      </w:r>
      <w:r w:rsidR="00512BA4" w:rsidRPr="00512BA4">
        <w:rPr>
          <w:rFonts w:ascii="Arial" w:hAnsi="Arial"/>
          <w:sz w:val="14"/>
          <w:szCs w:val="14"/>
        </w:rPr>
        <w:tab/>
      </w:r>
      <w:r w:rsidR="00512BA4" w:rsidRPr="00512BA4">
        <w:rPr>
          <w:rFonts w:ascii="Arial" w:hAnsi="Arial"/>
          <w:sz w:val="14"/>
          <w:szCs w:val="14"/>
        </w:rPr>
        <w:tab/>
      </w:r>
      <w:r w:rsidR="00F63AEF" w:rsidRPr="00F63AEF">
        <w:rPr>
          <w:rFonts w:ascii="Arial" w:hAnsi="Arial"/>
          <w:sz w:val="14"/>
          <w:szCs w:val="14"/>
        </w:rPr>
        <w:t>.</w:t>
      </w:r>
      <w:r w:rsidR="00F63AEF" w:rsidRPr="00F63AEF">
        <w:rPr>
          <w:rFonts w:ascii="Arial" w:hAnsi="Arial"/>
          <w:sz w:val="14"/>
          <w:szCs w:val="14"/>
        </w:rPr>
        <w:tab/>
      </w:r>
      <w:r w:rsidR="00F63AEF" w:rsidRPr="00F63AEF">
        <w:rPr>
          <w:rFonts w:ascii="Arial" w:hAnsi="Arial"/>
          <w:sz w:val="14"/>
          <w:szCs w:val="14"/>
        </w:rPr>
        <w:tab/>
      </w:r>
      <w:r w:rsidR="00F63AEF" w:rsidRPr="00F63AEF">
        <w:rPr>
          <w:rFonts w:ascii="Arial" w:hAnsi="Arial"/>
          <w:sz w:val="14"/>
          <w:szCs w:val="14"/>
        </w:rPr>
        <w:tab/>
      </w:r>
      <w:r w:rsidR="00F63AEF" w:rsidRPr="00F63AEF">
        <w:rPr>
          <w:rFonts w:ascii="Arial" w:hAnsi="Arial"/>
          <w:sz w:val="14"/>
          <w:szCs w:val="14"/>
        </w:rPr>
        <w:tab/>
      </w:r>
      <w:r w:rsidR="00F63AEF" w:rsidRPr="00F63AEF">
        <w:rPr>
          <w:rFonts w:ascii="Arial" w:hAnsi="Arial"/>
          <w:sz w:val="14"/>
          <w:szCs w:val="14"/>
        </w:rPr>
        <w:tab/>
      </w:r>
      <w:r w:rsidR="00607D2B" w:rsidRPr="00607D2B">
        <w:rPr>
          <w:rFonts w:ascii="Arial" w:hAnsi="Arial"/>
          <w:sz w:val="14"/>
          <w:szCs w:val="14"/>
        </w:rPr>
        <w:t xml:space="preserve"> </w:t>
      </w:r>
      <w:r w:rsidR="00607D2B" w:rsidRPr="00607D2B">
        <w:rPr>
          <w:rFonts w:ascii="Arial" w:hAnsi="Arial"/>
          <w:sz w:val="14"/>
          <w:szCs w:val="14"/>
        </w:rPr>
        <w:tab/>
      </w:r>
      <w:r w:rsidR="00607D2B" w:rsidRPr="00607D2B">
        <w:rPr>
          <w:rFonts w:ascii="Arial" w:hAnsi="Arial"/>
          <w:sz w:val="14"/>
          <w:szCs w:val="14"/>
        </w:rPr>
        <w:tab/>
      </w:r>
      <w:r w:rsidR="00607D2B" w:rsidRPr="00607D2B">
        <w:rPr>
          <w:rFonts w:ascii="Arial" w:hAnsi="Arial"/>
          <w:sz w:val="14"/>
          <w:szCs w:val="14"/>
        </w:rPr>
        <w:tab/>
      </w:r>
      <w:r w:rsidR="00607D2B" w:rsidRPr="00607D2B">
        <w:rPr>
          <w:rFonts w:ascii="Arial" w:hAnsi="Arial"/>
          <w:sz w:val="14"/>
          <w:szCs w:val="14"/>
        </w:rPr>
        <w:tab/>
      </w:r>
      <w:r w:rsidR="00607D2B" w:rsidRPr="00607D2B">
        <w:rPr>
          <w:rFonts w:ascii="Arial" w:hAnsi="Arial"/>
          <w:sz w:val="14"/>
          <w:szCs w:val="14"/>
        </w:rPr>
        <w:tab/>
      </w:r>
      <w:r w:rsidR="00607D2B">
        <w:rPr>
          <w:rFonts w:ascii="Arial" w:hAnsi="Arial"/>
          <w:sz w:val="14"/>
          <w:szCs w:val="14"/>
        </w:rPr>
        <w:br w:type="page"/>
      </w:r>
      <w:r w:rsidR="00810F7D" w:rsidRPr="00810F7D">
        <w:rPr>
          <w:rFonts w:ascii="Arial" w:hAnsi="Arial"/>
          <w:sz w:val="14"/>
          <w:szCs w:val="14"/>
        </w:rPr>
        <w:lastRenderedPageBreak/>
        <w:tab/>
      </w:r>
      <w:r w:rsidR="00810F7D" w:rsidRPr="00810F7D">
        <w:rPr>
          <w:rFonts w:ascii="Arial" w:hAnsi="Arial"/>
          <w:sz w:val="14"/>
          <w:szCs w:val="14"/>
        </w:rPr>
        <w:tab/>
      </w:r>
      <w:r w:rsidR="00810F7D" w:rsidRPr="00810F7D">
        <w:rPr>
          <w:rFonts w:ascii="Arial" w:hAnsi="Arial"/>
          <w:sz w:val="14"/>
          <w:szCs w:val="14"/>
        </w:rPr>
        <w:tab/>
      </w:r>
      <w:r w:rsidR="00810F7D" w:rsidRPr="00810F7D">
        <w:rPr>
          <w:rFonts w:ascii="Arial" w:hAnsi="Arial"/>
          <w:sz w:val="14"/>
          <w:szCs w:val="14"/>
        </w:rPr>
        <w:tab/>
      </w:r>
    </w:p>
    <w:p w14:paraId="1926AF14" w14:textId="77777777" w:rsidR="00BF36E5" w:rsidRPr="0068289B" w:rsidRDefault="0053730A" w:rsidP="00BD4493">
      <w:pPr>
        <w:tabs>
          <w:tab w:val="left" w:pos="0"/>
        </w:tabs>
        <w:spacing w:before="0" w:after="200"/>
        <w:rPr>
          <w:rFonts w:ascii="Arial" w:hAnsi="Arial" w:cs="Times New Roman"/>
          <w:b/>
          <w:bCs/>
          <w:sz w:val="22"/>
          <w:szCs w:val="28"/>
        </w:rPr>
      </w:pPr>
      <w:r w:rsidRPr="0053730A">
        <w:rPr>
          <w:rFonts w:ascii="Arial" w:hAnsi="Arial"/>
          <w:sz w:val="14"/>
          <w:szCs w:val="14"/>
        </w:rPr>
        <w:tab/>
      </w:r>
      <w:r w:rsidRPr="0053730A">
        <w:rPr>
          <w:rFonts w:ascii="Arial" w:hAnsi="Arial"/>
          <w:sz w:val="14"/>
          <w:szCs w:val="14"/>
        </w:rPr>
        <w:tab/>
      </w:r>
      <w:r w:rsidRPr="0053730A">
        <w:rPr>
          <w:rFonts w:ascii="Arial" w:hAnsi="Arial"/>
          <w:sz w:val="14"/>
          <w:szCs w:val="14"/>
        </w:rPr>
        <w:tab/>
      </w:r>
      <w:r w:rsidRPr="0053730A">
        <w:rPr>
          <w:rFonts w:ascii="Arial" w:hAnsi="Arial"/>
          <w:sz w:val="14"/>
          <w:szCs w:val="14"/>
        </w:rPr>
        <w:tab/>
      </w:r>
      <w:r w:rsidRPr="0053730A">
        <w:rPr>
          <w:rFonts w:ascii="Arial" w:hAnsi="Arial"/>
          <w:sz w:val="14"/>
          <w:szCs w:val="14"/>
        </w:rPr>
        <w:tab/>
      </w:r>
      <w:r w:rsidR="000142CB" w:rsidRPr="0068289B">
        <w:rPr>
          <w:rFonts w:ascii="Arial" w:hAnsi="Arial" w:cs="Times New Roman"/>
          <w:b/>
          <w:bCs/>
          <w:sz w:val="22"/>
          <w:szCs w:val="28"/>
        </w:rPr>
        <w:t>Contributions to Outcome 2</w:t>
      </w:r>
    </w:p>
    <w:p w14:paraId="7C17492F" w14:textId="77777777" w:rsidR="009218A1" w:rsidRPr="00B56FAA" w:rsidRDefault="009218A1" w:rsidP="009218A1">
      <w:pPr>
        <w:spacing w:before="0" w:after="0"/>
        <w:outlineLvl w:val="5"/>
        <w:rPr>
          <w:color w:val="FFFFFF"/>
          <w:sz w:val="2"/>
          <w:szCs w:val="2"/>
        </w:rPr>
      </w:pPr>
      <w:r w:rsidRPr="00B56FAA">
        <w:rPr>
          <w:color w:val="FFFFFF"/>
          <w:sz w:val="2"/>
          <w:szCs w:val="2"/>
        </w:rPr>
        <w:t>Program 2.1: Strateg</w:t>
      </w:r>
      <w:r w:rsidR="000142CB" w:rsidRPr="00B56FAA">
        <w:rPr>
          <w:color w:val="FFFFFF"/>
          <w:sz w:val="2"/>
          <w:szCs w:val="2"/>
        </w:rPr>
        <w:t>y,</w:t>
      </w:r>
      <w:r w:rsidRPr="00B56FAA">
        <w:rPr>
          <w:color w:val="FFFFFF"/>
          <w:sz w:val="2"/>
          <w:szCs w:val="2"/>
        </w:rPr>
        <w:t xml:space="preserve"> Policy and I</w:t>
      </w:r>
      <w:r w:rsidR="000142CB" w:rsidRPr="00B56FAA">
        <w:rPr>
          <w:color w:val="FFFFFF"/>
          <w:sz w:val="2"/>
          <w:szCs w:val="2"/>
        </w:rPr>
        <w:t>ndust</w:t>
      </w:r>
      <w:r w:rsidR="00777CE3" w:rsidRPr="00B56FAA">
        <w:rPr>
          <w:color w:val="FFFFFF"/>
          <w:sz w:val="2"/>
          <w:szCs w:val="2"/>
        </w:rPr>
        <w:t>r</w:t>
      </w:r>
      <w:r w:rsidR="000142CB" w:rsidRPr="00B56FAA">
        <w:rPr>
          <w:color w:val="FFFFFF"/>
          <w:sz w:val="2"/>
          <w:szCs w:val="2"/>
        </w:rPr>
        <w:t>y</w:t>
      </w:r>
    </w:p>
    <w:tbl>
      <w:tblPr>
        <w:tblW w:w="4852"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799"/>
        <w:gridCol w:w="3174"/>
        <w:gridCol w:w="3379"/>
      </w:tblGrid>
      <w:tr w:rsidR="00737EBD" w:rsidRPr="00B56FAA" w14:paraId="02009C07" w14:textId="77777777" w:rsidTr="003C0162">
        <w:tc>
          <w:tcPr>
            <w:tcW w:w="8352" w:type="dxa"/>
            <w:gridSpan w:val="3"/>
            <w:tcBorders>
              <w:top w:val="single" w:sz="4" w:space="0" w:color="auto"/>
              <w:bottom w:val="single" w:sz="4" w:space="0" w:color="auto"/>
            </w:tcBorders>
            <w:shd w:val="clear" w:color="auto" w:fill="CCCCCC"/>
          </w:tcPr>
          <w:p w14:paraId="245F95C0" w14:textId="77777777" w:rsidR="00737EBD" w:rsidRPr="00B56FAA" w:rsidRDefault="00737EBD" w:rsidP="00DF7DA0">
            <w:pPr>
              <w:pStyle w:val="Heading5"/>
              <w:spacing w:before="60" w:after="60"/>
            </w:pPr>
            <w:r w:rsidRPr="00B56FAA">
              <w:rPr>
                <w:rFonts w:ascii="Book Antiqua" w:hAnsi="Book Antiqua"/>
                <w:b w:val="0"/>
                <w:bCs w:val="0"/>
                <w:iCs w:val="0"/>
                <w:szCs w:val="24"/>
              </w:rPr>
              <w:br w:type="page"/>
            </w:r>
            <w:r w:rsidRPr="00B56FAA">
              <w:br w:type="page"/>
              <w:t>Program 2.1: Strategy, Policy and Industry</w:t>
            </w:r>
          </w:p>
        </w:tc>
      </w:tr>
      <w:tr w:rsidR="00F10E14" w:rsidRPr="00B56FAA" w14:paraId="640A63CA" w14:textId="77777777" w:rsidTr="0004322A">
        <w:trPr>
          <w:trHeight w:val="170"/>
        </w:trPr>
        <w:tc>
          <w:tcPr>
            <w:tcW w:w="8352" w:type="dxa"/>
            <w:gridSpan w:val="3"/>
            <w:tcBorders>
              <w:left w:val="nil"/>
              <w:bottom w:val="single" w:sz="4" w:space="0" w:color="auto"/>
              <w:right w:val="single" w:sz="4" w:space="0" w:color="auto"/>
            </w:tcBorders>
            <w:shd w:val="clear" w:color="auto" w:fill="auto"/>
          </w:tcPr>
          <w:p w14:paraId="6C6E71A3" w14:textId="77777777" w:rsidR="00F10E14" w:rsidRPr="00B56FAA" w:rsidRDefault="00F10E14" w:rsidP="00F10E14">
            <w:pPr>
              <w:pStyle w:val="Heading5"/>
              <w:spacing w:before="0" w:after="0"/>
              <w:rPr>
                <w:b w:val="0"/>
                <w:bCs w:val="0"/>
                <w:iCs w:val="0"/>
                <w:sz w:val="16"/>
                <w:szCs w:val="16"/>
              </w:rPr>
            </w:pPr>
          </w:p>
        </w:tc>
      </w:tr>
      <w:tr w:rsidR="00737EBD" w:rsidRPr="00354C38" w14:paraId="3EA0970A" w14:textId="77777777" w:rsidTr="0004322A">
        <w:tblPrEx>
          <w:shd w:val="clear" w:color="auto" w:fill="auto"/>
          <w:tblLook w:val="04A0" w:firstRow="1" w:lastRow="0" w:firstColumn="1" w:lastColumn="0" w:noHBand="0" w:noVBand="1"/>
        </w:tblPrEx>
        <w:trPr>
          <w:tblHeader/>
        </w:trPr>
        <w:tc>
          <w:tcPr>
            <w:tcW w:w="8352" w:type="dxa"/>
            <w:gridSpan w:val="3"/>
            <w:shd w:val="clear" w:color="auto" w:fill="E6E6E6"/>
          </w:tcPr>
          <w:p w14:paraId="7DA32A99" w14:textId="77777777" w:rsidR="00737EBD" w:rsidRPr="00354C38" w:rsidRDefault="00737EBD" w:rsidP="0066219B">
            <w:pPr>
              <w:tabs>
                <w:tab w:val="left" w:pos="709"/>
              </w:tabs>
              <w:spacing w:before="60" w:after="60"/>
              <w:jc w:val="both"/>
              <w:rPr>
                <w:rFonts w:ascii="Arial" w:hAnsi="Arial"/>
                <w:sz w:val="16"/>
                <w:szCs w:val="16"/>
              </w:rPr>
            </w:pPr>
            <w:r w:rsidRPr="00354C38">
              <w:rPr>
                <w:rFonts w:ascii="Arial" w:hAnsi="Arial"/>
                <w:b/>
                <w:sz w:val="16"/>
                <w:szCs w:val="16"/>
              </w:rPr>
              <w:t>Program 2.1</w:t>
            </w:r>
            <w:r w:rsidRPr="00354C38">
              <w:rPr>
                <w:rFonts w:ascii="Arial" w:hAnsi="Arial"/>
                <w:sz w:val="16"/>
                <w:szCs w:val="16"/>
              </w:rPr>
              <w:t xml:space="preserve"> </w:t>
            </w:r>
            <w:r w:rsidRPr="00354C38">
              <w:rPr>
                <w:rFonts w:ascii="Arial" w:hAnsi="Arial"/>
                <w:b/>
                <w:sz w:val="16"/>
                <w:szCs w:val="16"/>
              </w:rPr>
              <w:t>Objective</w:t>
            </w:r>
          </w:p>
          <w:p w14:paraId="77A63733" w14:textId="77777777" w:rsidR="00737EBD" w:rsidRPr="00354C38" w:rsidRDefault="00A433AD" w:rsidP="004B50BA">
            <w:pPr>
              <w:tabs>
                <w:tab w:val="left" w:pos="709"/>
              </w:tabs>
              <w:spacing w:before="60" w:after="60"/>
              <w:rPr>
                <w:rFonts w:ascii="Arial" w:hAnsi="Arial"/>
                <w:sz w:val="16"/>
                <w:szCs w:val="16"/>
              </w:rPr>
            </w:pPr>
            <w:r w:rsidRPr="00354C38">
              <w:rPr>
                <w:rFonts w:ascii="Arial" w:hAnsi="Arial"/>
                <w:sz w:val="16"/>
                <w:szCs w:val="16"/>
                <w:lang w:val="en-AU"/>
              </w:rPr>
              <w:t>To deliver high-quality policy advice to Government, the Secretary and Chief of the Defence Force, to protect and advance Australia’s strategic interests.</w:t>
            </w:r>
          </w:p>
        </w:tc>
      </w:tr>
      <w:tr w:rsidR="00354C38" w:rsidRPr="00354C38" w14:paraId="3CB72C63" w14:textId="77777777" w:rsidTr="003C0162">
        <w:tblPrEx>
          <w:shd w:val="clear" w:color="auto" w:fill="auto"/>
          <w:tblLook w:val="04A0" w:firstRow="1" w:lastRow="0" w:firstColumn="1" w:lastColumn="0" w:noHBand="0" w:noVBand="1"/>
        </w:tblPrEx>
        <w:trPr>
          <w:trHeight w:val="312"/>
        </w:trPr>
        <w:tc>
          <w:tcPr>
            <w:tcW w:w="1799" w:type="dxa"/>
            <w:tcBorders>
              <w:bottom w:val="single" w:sz="4" w:space="0" w:color="auto"/>
            </w:tcBorders>
          </w:tcPr>
          <w:p w14:paraId="31CF29AF" w14:textId="77777777" w:rsidR="00354C38" w:rsidRPr="00354C38" w:rsidRDefault="00354C38" w:rsidP="00354C38">
            <w:pPr>
              <w:tabs>
                <w:tab w:val="left" w:pos="709"/>
              </w:tabs>
              <w:spacing w:before="60" w:after="60"/>
              <w:rPr>
                <w:rFonts w:ascii="Arial" w:hAnsi="Arial"/>
                <w:b/>
                <w:color w:val="000000"/>
                <w:sz w:val="16"/>
                <w:szCs w:val="16"/>
              </w:rPr>
            </w:pPr>
            <w:r w:rsidRPr="00354C38">
              <w:rPr>
                <w:rFonts w:ascii="Arial" w:hAnsi="Arial"/>
                <w:b/>
                <w:color w:val="000000"/>
                <w:sz w:val="16"/>
                <w:szCs w:val="16"/>
              </w:rPr>
              <w:t xml:space="preserve">Key Activities </w:t>
            </w:r>
            <w:r w:rsidRPr="00354C38">
              <w:rPr>
                <w:rFonts w:ascii="Arial" w:hAnsi="Arial"/>
                <w:b/>
                <w:color w:val="000000"/>
                <w:sz w:val="16"/>
                <w:szCs w:val="16"/>
                <w:vertAlign w:val="superscript"/>
              </w:rPr>
              <w:t>[a]</w:t>
            </w:r>
          </w:p>
        </w:tc>
        <w:tc>
          <w:tcPr>
            <w:tcW w:w="6553" w:type="dxa"/>
            <w:gridSpan w:val="2"/>
            <w:tcBorders>
              <w:bottom w:val="single" w:sz="4" w:space="0" w:color="auto"/>
            </w:tcBorders>
          </w:tcPr>
          <w:p w14:paraId="737EEA40" w14:textId="77777777" w:rsidR="00354C38" w:rsidRPr="00434B4B" w:rsidRDefault="00354C38" w:rsidP="00354C38">
            <w:pPr>
              <w:tabs>
                <w:tab w:val="left" w:pos="343"/>
              </w:tabs>
              <w:spacing w:before="60" w:after="60"/>
              <w:rPr>
                <w:rFonts w:ascii="Arial" w:hAnsi="Arial"/>
                <w:bCs/>
                <w:color w:val="000000"/>
                <w:sz w:val="16"/>
                <w:szCs w:val="16"/>
                <w:lang w:val="en-AU"/>
              </w:rPr>
            </w:pPr>
            <w:r w:rsidRPr="00434B4B">
              <w:rPr>
                <w:rFonts w:ascii="Arial" w:hAnsi="Arial"/>
                <w:bCs/>
                <w:color w:val="000000"/>
                <w:sz w:val="16"/>
                <w:szCs w:val="16"/>
                <w:lang w:val="en-AU"/>
              </w:rPr>
              <w:t>This program will be achieved through the following activities:</w:t>
            </w:r>
          </w:p>
          <w:p w14:paraId="66ED849F" w14:textId="22BA1A1A" w:rsidR="00354C38" w:rsidRPr="00A539BA" w:rsidRDefault="00354C38" w:rsidP="00354C38">
            <w:pPr>
              <w:tabs>
                <w:tab w:val="left" w:pos="343"/>
              </w:tabs>
              <w:spacing w:before="0" w:after="0"/>
              <w:rPr>
                <w:rFonts w:ascii="Arial" w:hAnsi="Arial"/>
                <w:b/>
                <w:sz w:val="16"/>
                <w:szCs w:val="16"/>
                <w:lang w:val="en-AU"/>
              </w:rPr>
            </w:pPr>
            <w:r w:rsidRPr="00A539BA">
              <w:rPr>
                <w:rFonts w:ascii="Arial" w:hAnsi="Arial"/>
                <w:b/>
                <w:sz w:val="16"/>
                <w:szCs w:val="16"/>
                <w:lang w:val="en-AU"/>
              </w:rPr>
              <w:t xml:space="preserve">2. </w:t>
            </w:r>
            <w:r w:rsidRPr="00A539BA">
              <w:rPr>
                <w:rFonts w:ascii="Arial" w:hAnsi="Arial"/>
                <w:b/>
                <w:color w:val="000000"/>
                <w:sz w:val="16"/>
                <w:szCs w:val="16"/>
                <w:lang w:val="en-AU"/>
              </w:rPr>
              <w:t xml:space="preserve">Defence is a strategy-led organisation. </w:t>
            </w:r>
            <w:r w:rsidRPr="00A539BA">
              <w:rPr>
                <w:rFonts w:ascii="Arial" w:hAnsi="Arial"/>
                <w:color w:val="000000"/>
                <w:sz w:val="16"/>
                <w:szCs w:val="16"/>
                <w:lang w:val="en-AU"/>
              </w:rPr>
              <w:t>It supports operationalising and implementing the Government–directed bie</w:t>
            </w:r>
            <w:r w:rsidR="00A539BA" w:rsidRPr="00A539BA">
              <w:rPr>
                <w:rFonts w:ascii="Arial" w:hAnsi="Arial"/>
                <w:color w:val="000000"/>
                <w:sz w:val="16"/>
                <w:szCs w:val="16"/>
                <w:lang w:val="en-AU"/>
              </w:rPr>
              <w:t>nnial National Defence Strategy.</w:t>
            </w:r>
          </w:p>
          <w:p w14:paraId="4105ACD7" w14:textId="77777777" w:rsidR="00354C38" w:rsidRPr="00A539BA" w:rsidRDefault="00354C38" w:rsidP="00354C38">
            <w:pPr>
              <w:tabs>
                <w:tab w:val="left" w:pos="343"/>
              </w:tabs>
              <w:spacing w:before="60" w:after="60"/>
              <w:rPr>
                <w:rFonts w:ascii="Arial" w:hAnsi="Arial"/>
                <w:b/>
                <w:color w:val="000000"/>
                <w:sz w:val="16"/>
                <w:szCs w:val="16"/>
                <w:lang w:val="en-AU"/>
              </w:rPr>
            </w:pPr>
            <w:r w:rsidRPr="00A539BA">
              <w:rPr>
                <w:rFonts w:ascii="Arial" w:hAnsi="Arial"/>
                <w:b/>
                <w:sz w:val="16"/>
                <w:szCs w:val="16"/>
                <w:lang w:val="en-AU"/>
              </w:rPr>
              <w:t xml:space="preserve">5. Defence’s international engagement – </w:t>
            </w:r>
            <w:r w:rsidRPr="00A539BA">
              <w:rPr>
                <w:rFonts w:ascii="Arial" w:hAnsi="Arial"/>
                <w:sz w:val="16"/>
                <w:szCs w:val="16"/>
                <w:lang w:val="en-AU"/>
              </w:rPr>
              <w:t>operational presence; support to regional security capability; people-to-people engagement; and bilateral and multilateral diplomatic engagement – support a strategy of denial in our primary area of military interest.</w:t>
            </w:r>
          </w:p>
          <w:p w14:paraId="11C48F39" w14:textId="66A11F8A" w:rsidR="00354C38" w:rsidRPr="00434B4B" w:rsidRDefault="00354C38" w:rsidP="00354C38">
            <w:pPr>
              <w:tabs>
                <w:tab w:val="left" w:pos="343"/>
              </w:tabs>
              <w:spacing w:before="60" w:after="60"/>
              <w:rPr>
                <w:rFonts w:ascii="Arial" w:hAnsi="Arial"/>
                <w:color w:val="000000"/>
                <w:sz w:val="16"/>
                <w:szCs w:val="16"/>
                <w:lang w:val="en-AU"/>
              </w:rPr>
            </w:pPr>
            <w:r w:rsidRPr="00A539BA">
              <w:rPr>
                <w:rFonts w:ascii="Arial" w:hAnsi="Arial"/>
                <w:b/>
                <w:sz w:val="16"/>
                <w:szCs w:val="16"/>
                <w:lang w:val="en-AU"/>
              </w:rPr>
              <w:t>8. Defence supports improved regulatory perf</w:t>
            </w:r>
            <w:r w:rsidR="00F55367" w:rsidRPr="00A539BA">
              <w:rPr>
                <w:rFonts w:ascii="Arial" w:hAnsi="Arial"/>
                <w:b/>
                <w:sz w:val="16"/>
                <w:szCs w:val="16"/>
                <w:lang w:val="en-AU"/>
              </w:rPr>
              <w:t>ormance, capability and culture</w:t>
            </w:r>
            <w:r w:rsidR="00935FB4">
              <w:rPr>
                <w:rFonts w:ascii="Arial" w:hAnsi="Arial"/>
                <w:b/>
                <w:sz w:val="16"/>
                <w:szCs w:val="16"/>
                <w:lang w:val="en-AU"/>
              </w:rPr>
              <w:t xml:space="preserve"> </w:t>
            </w:r>
            <w:r w:rsidR="00935FB4" w:rsidRPr="00A539BA">
              <w:rPr>
                <w:rFonts w:ascii="Arial" w:hAnsi="Arial"/>
                <w:b/>
                <w:sz w:val="16"/>
                <w:szCs w:val="16"/>
                <w:lang w:val="en-AU"/>
              </w:rPr>
              <w:t>–</w:t>
            </w:r>
            <w:r w:rsidRPr="00A539BA">
              <w:rPr>
                <w:rFonts w:ascii="Arial" w:hAnsi="Arial"/>
                <w:sz w:val="16"/>
                <w:szCs w:val="16"/>
                <w:lang w:val="en-AU"/>
              </w:rPr>
              <w:t>through regulatory stewardship in line with the Government’s commitment to Australian Public Service reform.</w:t>
            </w:r>
          </w:p>
        </w:tc>
      </w:tr>
      <w:tr w:rsidR="001A5E03" w:rsidRPr="00354C38" w14:paraId="63D78774" w14:textId="77777777" w:rsidTr="003C0162">
        <w:tblPrEx>
          <w:shd w:val="clear" w:color="auto" w:fill="auto"/>
          <w:tblLook w:val="04A0" w:firstRow="1" w:lastRow="0" w:firstColumn="1" w:lastColumn="0" w:noHBand="0" w:noVBand="1"/>
        </w:tblPrEx>
        <w:trPr>
          <w:trHeight w:val="100"/>
        </w:trPr>
        <w:tc>
          <w:tcPr>
            <w:tcW w:w="1799" w:type="dxa"/>
            <w:tcBorders>
              <w:top w:val="single" w:sz="4" w:space="0" w:color="auto"/>
              <w:bottom w:val="single" w:sz="4" w:space="0" w:color="auto"/>
              <w:right w:val="single" w:sz="4" w:space="0" w:color="auto"/>
            </w:tcBorders>
          </w:tcPr>
          <w:p w14:paraId="5A2EB206" w14:textId="77777777" w:rsidR="001A5E03" w:rsidRPr="00354C38" w:rsidRDefault="001A5E03" w:rsidP="0066219B">
            <w:pPr>
              <w:tabs>
                <w:tab w:val="left" w:pos="709"/>
              </w:tabs>
              <w:spacing w:before="60" w:after="60"/>
              <w:rPr>
                <w:rFonts w:ascii="Arial" w:hAnsi="Arial"/>
                <w:color w:val="000000"/>
                <w:sz w:val="16"/>
                <w:szCs w:val="16"/>
              </w:rPr>
            </w:pPr>
            <w:r w:rsidRPr="00354C38">
              <w:rPr>
                <w:rFonts w:ascii="Arial" w:hAnsi="Arial"/>
                <w:b/>
                <w:color w:val="000000"/>
                <w:sz w:val="16"/>
                <w:szCs w:val="16"/>
              </w:rPr>
              <w:t>Year</w:t>
            </w:r>
          </w:p>
        </w:tc>
        <w:tc>
          <w:tcPr>
            <w:tcW w:w="3174" w:type="dxa"/>
            <w:tcBorders>
              <w:top w:val="single" w:sz="4" w:space="0" w:color="auto"/>
              <w:left w:val="single" w:sz="4" w:space="0" w:color="auto"/>
              <w:bottom w:val="single" w:sz="4" w:space="0" w:color="auto"/>
              <w:right w:val="single" w:sz="4" w:space="0" w:color="auto"/>
            </w:tcBorders>
          </w:tcPr>
          <w:p w14:paraId="4C7064C6" w14:textId="77777777" w:rsidR="001A5E03" w:rsidRPr="00354C38" w:rsidRDefault="00650411" w:rsidP="00650411">
            <w:pPr>
              <w:tabs>
                <w:tab w:val="left" w:pos="709"/>
              </w:tabs>
              <w:spacing w:before="60" w:after="60"/>
              <w:rPr>
                <w:rFonts w:ascii="Arial" w:hAnsi="Arial"/>
                <w:color w:val="000000"/>
              </w:rPr>
            </w:pPr>
            <w:r w:rsidRPr="00354C38">
              <w:rPr>
                <w:rFonts w:ascii="Arial" w:hAnsi="Arial"/>
                <w:b/>
                <w:color w:val="000000"/>
                <w:sz w:val="16"/>
                <w:szCs w:val="16"/>
              </w:rPr>
              <w:t>Performance measures</w:t>
            </w:r>
          </w:p>
        </w:tc>
        <w:tc>
          <w:tcPr>
            <w:tcW w:w="3379" w:type="dxa"/>
            <w:tcBorders>
              <w:top w:val="single" w:sz="4" w:space="0" w:color="auto"/>
              <w:left w:val="single" w:sz="4" w:space="0" w:color="auto"/>
              <w:bottom w:val="single" w:sz="4" w:space="0" w:color="auto"/>
            </w:tcBorders>
          </w:tcPr>
          <w:p w14:paraId="0ED6DC8B" w14:textId="77777777" w:rsidR="001A5E03" w:rsidRPr="00354C38" w:rsidRDefault="00FF7D45" w:rsidP="0066219B">
            <w:pPr>
              <w:tabs>
                <w:tab w:val="left" w:pos="709"/>
              </w:tabs>
              <w:spacing w:before="60" w:after="60"/>
              <w:rPr>
                <w:rFonts w:ascii="Arial" w:hAnsi="Arial"/>
                <w:i/>
                <w:color w:val="000000"/>
                <w:sz w:val="16"/>
                <w:szCs w:val="16"/>
              </w:rPr>
            </w:pPr>
            <w:r w:rsidRPr="00354C38">
              <w:rPr>
                <w:rFonts w:ascii="Arial" w:hAnsi="Arial"/>
                <w:b/>
                <w:color w:val="000000"/>
                <w:sz w:val="16"/>
                <w:szCs w:val="16"/>
              </w:rPr>
              <w:t>Expected Performance Results</w:t>
            </w:r>
          </w:p>
        </w:tc>
      </w:tr>
      <w:tr w:rsidR="007C5526" w:rsidRPr="00354C38" w14:paraId="2787D3B9" w14:textId="77777777" w:rsidTr="007C5526">
        <w:tblPrEx>
          <w:shd w:val="clear" w:color="auto" w:fill="auto"/>
          <w:tblLook w:val="04A0" w:firstRow="1" w:lastRow="0" w:firstColumn="1" w:lastColumn="0" w:noHBand="0" w:noVBand="1"/>
        </w:tblPrEx>
        <w:trPr>
          <w:trHeight w:val="354"/>
        </w:trPr>
        <w:tc>
          <w:tcPr>
            <w:tcW w:w="1799" w:type="dxa"/>
            <w:vMerge w:val="restart"/>
            <w:tcBorders>
              <w:top w:val="single" w:sz="4" w:space="0" w:color="auto"/>
              <w:right w:val="single" w:sz="4" w:space="0" w:color="auto"/>
            </w:tcBorders>
          </w:tcPr>
          <w:p w14:paraId="5E744781" w14:textId="77777777" w:rsidR="007C5526" w:rsidRPr="00354C38" w:rsidRDefault="007C5526" w:rsidP="007C5526">
            <w:pPr>
              <w:tabs>
                <w:tab w:val="left" w:pos="709"/>
              </w:tabs>
              <w:spacing w:before="0" w:after="0"/>
              <w:rPr>
                <w:rFonts w:ascii="Arial" w:hAnsi="Arial"/>
                <w:color w:val="000000"/>
                <w:sz w:val="16"/>
                <w:szCs w:val="16"/>
              </w:rPr>
            </w:pPr>
            <w:r w:rsidRPr="00354C38">
              <w:rPr>
                <w:rFonts w:ascii="Arial" w:hAnsi="Arial"/>
                <w:color w:val="000000"/>
                <w:sz w:val="16"/>
                <w:szCs w:val="16"/>
              </w:rPr>
              <w:t>Current Year</w:t>
            </w:r>
          </w:p>
          <w:p w14:paraId="2DE7FBF4" w14:textId="77777777" w:rsidR="007C5526" w:rsidRPr="00354C38" w:rsidRDefault="007C5526" w:rsidP="007C5526">
            <w:pPr>
              <w:tabs>
                <w:tab w:val="left" w:pos="709"/>
              </w:tabs>
              <w:spacing w:before="0" w:after="0"/>
              <w:rPr>
                <w:rFonts w:ascii="Arial" w:hAnsi="Arial"/>
                <w:color w:val="000000"/>
                <w:sz w:val="16"/>
                <w:szCs w:val="16"/>
              </w:rPr>
            </w:pPr>
            <w:r w:rsidRPr="00354C38">
              <w:rPr>
                <w:rFonts w:ascii="Arial" w:hAnsi="Arial"/>
                <w:color w:val="000000"/>
                <w:sz w:val="16"/>
                <w:szCs w:val="16"/>
              </w:rPr>
              <w:t>2024-25</w:t>
            </w:r>
            <w:r>
              <w:rPr>
                <w:rFonts w:ascii="Arial" w:hAnsi="Arial"/>
                <w:color w:val="000000"/>
                <w:sz w:val="16"/>
                <w:szCs w:val="16"/>
              </w:rPr>
              <w:t xml:space="preserve"> </w:t>
            </w:r>
            <w:r w:rsidRPr="000D6CE6">
              <w:rPr>
                <w:rFonts w:ascii="Arial" w:hAnsi="Arial"/>
                <w:color w:val="000000"/>
                <w:sz w:val="16"/>
                <w:szCs w:val="16"/>
                <w:vertAlign w:val="superscript"/>
              </w:rPr>
              <w:t>[b]</w:t>
            </w:r>
          </w:p>
        </w:tc>
        <w:tc>
          <w:tcPr>
            <w:tcW w:w="3174" w:type="dxa"/>
            <w:tcBorders>
              <w:top w:val="single" w:sz="4" w:space="0" w:color="auto"/>
              <w:left w:val="single" w:sz="4" w:space="0" w:color="auto"/>
              <w:bottom w:val="dotted" w:sz="4" w:space="0" w:color="auto"/>
              <w:right w:val="dotted" w:sz="4" w:space="0" w:color="auto"/>
            </w:tcBorders>
          </w:tcPr>
          <w:p w14:paraId="37B97C2F" w14:textId="65D461EE" w:rsidR="007C5526" w:rsidRPr="007C5526" w:rsidRDefault="007C5526" w:rsidP="007C5526">
            <w:pPr>
              <w:tabs>
                <w:tab w:val="left" w:pos="709"/>
              </w:tabs>
              <w:spacing w:before="60" w:after="60"/>
              <w:rPr>
                <w:rFonts w:ascii="Arial" w:hAnsi="Arial"/>
                <w:sz w:val="16"/>
                <w:szCs w:val="16"/>
                <w:lang w:val="en-AU"/>
              </w:rPr>
            </w:pPr>
            <w:r w:rsidRPr="007C5526">
              <w:rPr>
                <w:rFonts w:ascii="Arial" w:hAnsi="Arial"/>
                <w:sz w:val="16"/>
                <w:szCs w:val="16"/>
                <w:lang w:val="en-AU"/>
              </w:rPr>
              <w:t>2.1: The N</w:t>
            </w:r>
            <w:r w:rsidR="00A539BA">
              <w:rPr>
                <w:rFonts w:ascii="Arial" w:hAnsi="Arial"/>
                <w:sz w:val="16"/>
                <w:szCs w:val="16"/>
                <w:lang w:val="en-AU"/>
              </w:rPr>
              <w:t xml:space="preserve">ational </w:t>
            </w:r>
            <w:r w:rsidRPr="007C5526">
              <w:rPr>
                <w:rFonts w:ascii="Arial" w:hAnsi="Arial"/>
                <w:sz w:val="16"/>
                <w:szCs w:val="16"/>
                <w:lang w:val="en-AU"/>
              </w:rPr>
              <w:t>D</w:t>
            </w:r>
            <w:r w:rsidR="00A539BA">
              <w:rPr>
                <w:rFonts w:ascii="Arial" w:hAnsi="Arial"/>
                <w:sz w:val="16"/>
                <w:szCs w:val="16"/>
                <w:lang w:val="en-AU"/>
              </w:rPr>
              <w:t xml:space="preserve">efence </w:t>
            </w:r>
            <w:r w:rsidRPr="007C5526">
              <w:rPr>
                <w:rFonts w:ascii="Arial" w:hAnsi="Arial"/>
                <w:sz w:val="16"/>
                <w:szCs w:val="16"/>
                <w:lang w:val="en-AU"/>
              </w:rPr>
              <w:t>S</w:t>
            </w:r>
            <w:r w:rsidR="00A539BA">
              <w:rPr>
                <w:rFonts w:ascii="Arial" w:hAnsi="Arial"/>
                <w:sz w:val="16"/>
                <w:szCs w:val="16"/>
                <w:lang w:val="en-AU"/>
              </w:rPr>
              <w:t>trategy</w:t>
            </w:r>
            <w:r w:rsidRPr="007C5526">
              <w:rPr>
                <w:rFonts w:ascii="Arial" w:hAnsi="Arial"/>
                <w:sz w:val="16"/>
                <w:szCs w:val="16"/>
                <w:lang w:val="en-AU"/>
              </w:rPr>
              <w:t xml:space="preserve"> is operationalised and monitored through alignment with enterprise planning.</w:t>
            </w:r>
          </w:p>
        </w:tc>
        <w:tc>
          <w:tcPr>
            <w:tcW w:w="3379" w:type="dxa"/>
            <w:tcBorders>
              <w:top w:val="single" w:sz="4" w:space="0" w:color="auto"/>
              <w:left w:val="dotted" w:sz="4" w:space="0" w:color="auto"/>
              <w:bottom w:val="dotted" w:sz="4" w:space="0" w:color="auto"/>
              <w:right w:val="single" w:sz="4" w:space="0" w:color="auto"/>
            </w:tcBorders>
          </w:tcPr>
          <w:p w14:paraId="23A3FFEB" w14:textId="2AE4DB77" w:rsidR="007E792A" w:rsidRPr="00CC337B" w:rsidRDefault="007E792A" w:rsidP="00B73CFB">
            <w:pPr>
              <w:spacing w:before="60" w:after="60"/>
              <w:rPr>
                <w:rFonts w:ascii="Arial" w:hAnsi="Arial"/>
                <w:sz w:val="16"/>
                <w:szCs w:val="16"/>
                <w:lang w:val="en-AU"/>
              </w:rPr>
            </w:pPr>
            <w:r w:rsidRPr="00CC337B">
              <w:rPr>
                <w:rFonts w:ascii="Arial" w:hAnsi="Arial"/>
                <w:sz w:val="16"/>
                <w:szCs w:val="16"/>
                <w:lang w:val="en-AU"/>
              </w:rPr>
              <w:t xml:space="preserve">Proportion of enterprise planning activities that are aligned to the </w:t>
            </w:r>
            <w:r w:rsidRPr="00E00255">
              <w:rPr>
                <w:rFonts w:ascii="Arial" w:hAnsi="Arial"/>
                <w:i/>
                <w:sz w:val="16"/>
                <w:szCs w:val="16"/>
                <w:lang w:val="en-AU"/>
              </w:rPr>
              <w:t xml:space="preserve">2024 </w:t>
            </w:r>
            <w:r w:rsidR="00A539BA" w:rsidRPr="00E00255">
              <w:rPr>
                <w:rFonts w:ascii="Arial" w:hAnsi="Arial"/>
                <w:i/>
                <w:sz w:val="16"/>
                <w:szCs w:val="16"/>
                <w:lang w:val="en-AU"/>
              </w:rPr>
              <w:t>National Defence Strategy</w:t>
            </w:r>
            <w:r w:rsidRPr="00CC337B">
              <w:rPr>
                <w:rFonts w:ascii="Arial" w:hAnsi="Arial"/>
                <w:sz w:val="16"/>
                <w:szCs w:val="16"/>
                <w:lang w:val="en-AU"/>
              </w:rPr>
              <w:t>.</w:t>
            </w:r>
          </w:p>
          <w:p w14:paraId="19172234" w14:textId="659DACCA" w:rsidR="007C5526" w:rsidRPr="007C5526" w:rsidRDefault="007E792A" w:rsidP="007E792A">
            <w:pPr>
              <w:spacing w:before="60" w:after="60"/>
              <w:jc w:val="right"/>
              <w:rPr>
                <w:rFonts w:ascii="Arial" w:hAnsi="Arial"/>
                <w:color w:val="000000"/>
                <w:sz w:val="16"/>
                <w:szCs w:val="16"/>
              </w:rPr>
            </w:pPr>
            <w:r w:rsidRPr="00CC337B">
              <w:rPr>
                <w:rFonts w:ascii="Arial" w:hAnsi="Arial"/>
                <w:i/>
                <w:sz w:val="16"/>
                <w:szCs w:val="16"/>
                <w:lang w:val="en-AU"/>
              </w:rPr>
              <w:t>Expected to be substantially achieved</w:t>
            </w:r>
            <w:r w:rsidR="007C5526" w:rsidRPr="007C5526">
              <w:rPr>
                <w:rFonts w:ascii="Arial" w:hAnsi="Arial"/>
                <w:i/>
                <w:sz w:val="16"/>
                <w:szCs w:val="16"/>
                <w:lang w:val="en-AU"/>
              </w:rPr>
              <w:t>.</w:t>
            </w:r>
          </w:p>
        </w:tc>
      </w:tr>
      <w:tr w:rsidR="007C5526" w:rsidRPr="00354C38" w14:paraId="208D80BB" w14:textId="77777777" w:rsidTr="007C5526">
        <w:tblPrEx>
          <w:shd w:val="clear" w:color="auto" w:fill="auto"/>
          <w:tblLook w:val="04A0" w:firstRow="1" w:lastRow="0" w:firstColumn="1" w:lastColumn="0" w:noHBand="0" w:noVBand="1"/>
        </w:tblPrEx>
        <w:trPr>
          <w:trHeight w:val="354"/>
        </w:trPr>
        <w:tc>
          <w:tcPr>
            <w:tcW w:w="1799" w:type="dxa"/>
            <w:vMerge/>
            <w:tcBorders>
              <w:right w:val="single" w:sz="4" w:space="0" w:color="auto"/>
            </w:tcBorders>
          </w:tcPr>
          <w:p w14:paraId="4FED5E0D" w14:textId="77777777" w:rsidR="007C5526" w:rsidRPr="00354C38" w:rsidRDefault="007C5526" w:rsidP="007C5526">
            <w:pPr>
              <w:tabs>
                <w:tab w:val="left" w:pos="709"/>
              </w:tabs>
              <w:spacing w:before="0" w:after="0"/>
              <w:rPr>
                <w:rFonts w:ascii="Arial" w:hAnsi="Arial"/>
                <w:color w:val="000000"/>
                <w:sz w:val="16"/>
                <w:szCs w:val="16"/>
              </w:rPr>
            </w:pPr>
          </w:p>
        </w:tc>
        <w:tc>
          <w:tcPr>
            <w:tcW w:w="3174" w:type="dxa"/>
            <w:tcBorders>
              <w:top w:val="dotted" w:sz="4" w:space="0" w:color="auto"/>
              <w:left w:val="single" w:sz="4" w:space="0" w:color="auto"/>
              <w:bottom w:val="dotted" w:sz="4" w:space="0" w:color="auto"/>
              <w:right w:val="dotted" w:sz="4" w:space="0" w:color="auto"/>
            </w:tcBorders>
          </w:tcPr>
          <w:p w14:paraId="603E0AB0" w14:textId="4BA9E58D" w:rsidR="007C5526" w:rsidRPr="007C5526" w:rsidRDefault="007C5526" w:rsidP="007C5526">
            <w:pPr>
              <w:tabs>
                <w:tab w:val="left" w:pos="709"/>
              </w:tabs>
              <w:spacing w:before="60" w:after="60"/>
              <w:rPr>
                <w:rFonts w:ascii="Arial" w:hAnsi="Arial"/>
                <w:sz w:val="16"/>
                <w:szCs w:val="16"/>
                <w:lang w:val="en-AU"/>
              </w:rPr>
            </w:pPr>
            <w:r w:rsidRPr="007C5526">
              <w:rPr>
                <w:rFonts w:ascii="Arial" w:hAnsi="Arial"/>
                <w:sz w:val="16"/>
                <w:szCs w:val="16"/>
                <w:lang w:val="en-AU"/>
              </w:rPr>
              <w:t>5.1: The ADF has a near persistent presence in Australia’s immediate region.</w:t>
            </w:r>
          </w:p>
        </w:tc>
        <w:tc>
          <w:tcPr>
            <w:tcW w:w="3379" w:type="dxa"/>
            <w:tcBorders>
              <w:top w:val="dotted" w:sz="4" w:space="0" w:color="auto"/>
              <w:left w:val="dotted" w:sz="4" w:space="0" w:color="auto"/>
              <w:bottom w:val="dotted" w:sz="4" w:space="0" w:color="auto"/>
              <w:right w:val="single" w:sz="4" w:space="0" w:color="auto"/>
            </w:tcBorders>
          </w:tcPr>
          <w:p w14:paraId="4FD8265E" w14:textId="77777777" w:rsidR="007C5526" w:rsidRPr="007C5526" w:rsidRDefault="007C5526" w:rsidP="00B73CFB">
            <w:pPr>
              <w:spacing w:before="60" w:after="60"/>
              <w:rPr>
                <w:rFonts w:ascii="Arial" w:hAnsi="Arial"/>
                <w:sz w:val="16"/>
                <w:szCs w:val="16"/>
                <w:lang w:val="en-AU"/>
              </w:rPr>
            </w:pPr>
            <w:r w:rsidRPr="007C5526">
              <w:rPr>
                <w:rFonts w:ascii="Arial" w:hAnsi="Arial"/>
                <w:sz w:val="16"/>
                <w:szCs w:val="16"/>
                <w:lang w:val="en-AU"/>
              </w:rPr>
              <w:t xml:space="preserve">Defence maintains its regional forward force presence through ADF operations, activities and investments. </w:t>
            </w:r>
          </w:p>
          <w:p w14:paraId="472CE657" w14:textId="3244BD50" w:rsidR="007C5526" w:rsidRPr="007C5526" w:rsidRDefault="007C5526" w:rsidP="007C5526">
            <w:pPr>
              <w:spacing w:before="60" w:after="60"/>
              <w:jc w:val="right"/>
              <w:rPr>
                <w:rFonts w:ascii="Arial" w:hAnsi="Arial"/>
                <w:color w:val="000000"/>
                <w:sz w:val="16"/>
                <w:szCs w:val="16"/>
              </w:rPr>
            </w:pPr>
            <w:r w:rsidRPr="007C5526">
              <w:rPr>
                <w:rFonts w:ascii="Arial" w:hAnsi="Arial"/>
                <w:i/>
                <w:sz w:val="16"/>
                <w:szCs w:val="16"/>
                <w:lang w:val="en-AU"/>
              </w:rPr>
              <w:t>Expected to be achieved.</w:t>
            </w:r>
          </w:p>
        </w:tc>
      </w:tr>
      <w:tr w:rsidR="007C5526" w:rsidRPr="00354C38" w14:paraId="57E73600" w14:textId="77777777" w:rsidTr="007C5526">
        <w:tblPrEx>
          <w:shd w:val="clear" w:color="auto" w:fill="auto"/>
          <w:tblLook w:val="04A0" w:firstRow="1" w:lastRow="0" w:firstColumn="1" w:lastColumn="0" w:noHBand="0" w:noVBand="1"/>
        </w:tblPrEx>
        <w:trPr>
          <w:trHeight w:val="354"/>
        </w:trPr>
        <w:tc>
          <w:tcPr>
            <w:tcW w:w="1799" w:type="dxa"/>
            <w:vMerge/>
            <w:tcBorders>
              <w:right w:val="single" w:sz="4" w:space="0" w:color="auto"/>
            </w:tcBorders>
          </w:tcPr>
          <w:p w14:paraId="63934C8D" w14:textId="77777777" w:rsidR="007C5526" w:rsidRPr="00354C38" w:rsidRDefault="007C5526" w:rsidP="007C5526">
            <w:pPr>
              <w:tabs>
                <w:tab w:val="left" w:pos="709"/>
              </w:tabs>
              <w:spacing w:before="0" w:after="0"/>
              <w:rPr>
                <w:rFonts w:ascii="Arial" w:hAnsi="Arial"/>
                <w:color w:val="000000"/>
                <w:sz w:val="16"/>
                <w:szCs w:val="16"/>
              </w:rPr>
            </w:pPr>
          </w:p>
        </w:tc>
        <w:tc>
          <w:tcPr>
            <w:tcW w:w="3174" w:type="dxa"/>
            <w:tcBorders>
              <w:top w:val="dotted" w:sz="4" w:space="0" w:color="auto"/>
              <w:left w:val="single" w:sz="4" w:space="0" w:color="auto"/>
              <w:bottom w:val="dotted" w:sz="4" w:space="0" w:color="auto"/>
              <w:right w:val="dotted" w:sz="4" w:space="0" w:color="auto"/>
            </w:tcBorders>
          </w:tcPr>
          <w:p w14:paraId="24ECB842" w14:textId="121F85C0" w:rsidR="007C5526" w:rsidRPr="007C5526" w:rsidRDefault="007C5526" w:rsidP="007C5526">
            <w:pPr>
              <w:tabs>
                <w:tab w:val="left" w:pos="709"/>
              </w:tabs>
              <w:spacing w:before="60" w:after="60"/>
              <w:rPr>
                <w:rFonts w:ascii="Arial" w:hAnsi="Arial"/>
                <w:sz w:val="16"/>
                <w:szCs w:val="16"/>
                <w:lang w:val="en-AU"/>
              </w:rPr>
            </w:pPr>
            <w:r w:rsidRPr="007C5526">
              <w:rPr>
                <w:rFonts w:ascii="Arial" w:hAnsi="Arial"/>
                <w:sz w:val="16"/>
                <w:szCs w:val="16"/>
                <w:lang w:val="en-AU"/>
              </w:rPr>
              <w:t>5.2: Defence enhances Australia’s relationships with the Government’s priority Indo-Pacific and global partners.</w:t>
            </w:r>
          </w:p>
        </w:tc>
        <w:tc>
          <w:tcPr>
            <w:tcW w:w="3379" w:type="dxa"/>
            <w:tcBorders>
              <w:top w:val="dotted" w:sz="4" w:space="0" w:color="auto"/>
              <w:left w:val="dotted" w:sz="4" w:space="0" w:color="auto"/>
              <w:bottom w:val="dotted" w:sz="4" w:space="0" w:color="auto"/>
              <w:right w:val="single" w:sz="4" w:space="0" w:color="auto"/>
            </w:tcBorders>
          </w:tcPr>
          <w:p w14:paraId="5E5AC880" w14:textId="77777777" w:rsidR="007C5526" w:rsidRPr="007C5526" w:rsidRDefault="007C5526" w:rsidP="007C5526">
            <w:pPr>
              <w:tabs>
                <w:tab w:val="left" w:pos="709"/>
              </w:tabs>
              <w:spacing w:before="60" w:after="60"/>
              <w:rPr>
                <w:rFonts w:ascii="Arial" w:hAnsi="Arial"/>
                <w:sz w:val="16"/>
                <w:szCs w:val="16"/>
                <w:lang w:val="en-AU"/>
              </w:rPr>
            </w:pPr>
            <w:r w:rsidRPr="007C5526">
              <w:rPr>
                <w:rFonts w:ascii="Arial" w:hAnsi="Arial"/>
                <w:sz w:val="16"/>
                <w:szCs w:val="16"/>
                <w:lang w:val="en-AU"/>
              </w:rPr>
              <w:t>Defence effectively implements action items from annual 2+2 (Foreign Affairs and Defence) ministerial meetings.</w:t>
            </w:r>
          </w:p>
          <w:p w14:paraId="28657932" w14:textId="5BCAC7B7" w:rsidR="007C5526" w:rsidRPr="007C5526" w:rsidRDefault="007C5526" w:rsidP="007C5526">
            <w:pPr>
              <w:spacing w:before="60" w:after="60"/>
              <w:jc w:val="right"/>
              <w:rPr>
                <w:rFonts w:ascii="Arial" w:hAnsi="Arial"/>
                <w:color w:val="000000"/>
                <w:sz w:val="16"/>
                <w:szCs w:val="16"/>
              </w:rPr>
            </w:pPr>
            <w:r w:rsidRPr="007C5526">
              <w:rPr>
                <w:rFonts w:ascii="Arial" w:hAnsi="Arial"/>
                <w:i/>
                <w:sz w:val="16"/>
                <w:szCs w:val="16"/>
                <w:lang w:val="en-AU"/>
              </w:rPr>
              <w:t>Expected to be achieved.</w:t>
            </w:r>
          </w:p>
        </w:tc>
      </w:tr>
      <w:tr w:rsidR="007C5526" w:rsidRPr="00354C38" w14:paraId="1E2417D5" w14:textId="77777777" w:rsidTr="003C0162">
        <w:tblPrEx>
          <w:shd w:val="clear" w:color="auto" w:fill="auto"/>
          <w:tblLook w:val="04A0" w:firstRow="1" w:lastRow="0" w:firstColumn="1" w:lastColumn="0" w:noHBand="0" w:noVBand="1"/>
        </w:tblPrEx>
        <w:trPr>
          <w:trHeight w:val="352"/>
        </w:trPr>
        <w:tc>
          <w:tcPr>
            <w:tcW w:w="1799" w:type="dxa"/>
            <w:vMerge/>
            <w:tcBorders>
              <w:bottom w:val="single" w:sz="4" w:space="0" w:color="auto"/>
              <w:right w:val="single" w:sz="4" w:space="0" w:color="auto"/>
            </w:tcBorders>
          </w:tcPr>
          <w:p w14:paraId="20D227D7" w14:textId="77777777" w:rsidR="007C5526" w:rsidRPr="00354C38" w:rsidRDefault="007C5526" w:rsidP="007C5526">
            <w:pPr>
              <w:tabs>
                <w:tab w:val="left" w:pos="709"/>
              </w:tabs>
              <w:spacing w:before="60" w:after="60"/>
              <w:rPr>
                <w:rFonts w:ascii="Arial" w:hAnsi="Arial"/>
                <w:color w:val="000000"/>
                <w:sz w:val="16"/>
                <w:szCs w:val="16"/>
              </w:rPr>
            </w:pPr>
          </w:p>
        </w:tc>
        <w:tc>
          <w:tcPr>
            <w:tcW w:w="3174" w:type="dxa"/>
            <w:tcBorders>
              <w:top w:val="dotted" w:sz="4" w:space="0" w:color="auto"/>
              <w:left w:val="single" w:sz="4" w:space="0" w:color="auto"/>
              <w:bottom w:val="single" w:sz="4" w:space="0" w:color="auto"/>
              <w:right w:val="dotted" w:sz="4" w:space="0" w:color="auto"/>
            </w:tcBorders>
          </w:tcPr>
          <w:p w14:paraId="394F2F75" w14:textId="07D04062" w:rsidR="007C5526" w:rsidRPr="007C5526" w:rsidRDefault="007C5526" w:rsidP="00D52996">
            <w:pPr>
              <w:tabs>
                <w:tab w:val="left" w:pos="709"/>
              </w:tabs>
              <w:spacing w:before="60" w:after="60"/>
              <w:rPr>
                <w:rFonts w:ascii="Arial" w:hAnsi="Arial"/>
                <w:sz w:val="16"/>
                <w:szCs w:val="16"/>
                <w:lang w:val="en-AU"/>
              </w:rPr>
            </w:pPr>
            <w:r w:rsidRPr="007C5526">
              <w:rPr>
                <w:rFonts w:ascii="Arial" w:hAnsi="Arial"/>
                <w:sz w:val="16"/>
                <w:szCs w:val="16"/>
                <w:lang w:val="en-AU"/>
              </w:rPr>
              <w:t xml:space="preserve">8.1: </w:t>
            </w:r>
            <w:r w:rsidRPr="007C5526">
              <w:rPr>
                <w:rFonts w:ascii="Arial" w:eastAsia="Franklin Gothic Book" w:hAnsi="Arial"/>
                <w:bCs/>
                <w:sz w:val="16"/>
                <w:szCs w:val="16"/>
              </w:rPr>
              <w:t>Defence improves regulatory performance and capability through the finalisation of export permit applications within benchmark timeframes and reduction of export permits to the United States and United Kingdom facilitated via the AUKUS Licen</w:t>
            </w:r>
            <w:r w:rsidR="00D52996">
              <w:rPr>
                <w:rFonts w:ascii="Arial" w:eastAsia="Franklin Gothic Book" w:hAnsi="Arial"/>
                <w:bCs/>
                <w:sz w:val="16"/>
                <w:szCs w:val="16"/>
              </w:rPr>
              <w:t>ce-</w:t>
            </w:r>
            <w:r w:rsidRPr="007C5526">
              <w:rPr>
                <w:rFonts w:ascii="Arial" w:eastAsia="Franklin Gothic Book" w:hAnsi="Arial"/>
                <w:bCs/>
                <w:sz w:val="16"/>
                <w:szCs w:val="16"/>
              </w:rPr>
              <w:t>Free environment.</w:t>
            </w:r>
          </w:p>
        </w:tc>
        <w:tc>
          <w:tcPr>
            <w:tcW w:w="3379" w:type="dxa"/>
            <w:tcBorders>
              <w:top w:val="dotted" w:sz="4" w:space="0" w:color="auto"/>
              <w:left w:val="dotted" w:sz="4" w:space="0" w:color="auto"/>
              <w:bottom w:val="single" w:sz="4" w:space="0" w:color="auto"/>
              <w:right w:val="single" w:sz="4" w:space="0" w:color="auto"/>
            </w:tcBorders>
          </w:tcPr>
          <w:p w14:paraId="35E34A12" w14:textId="2A071A4D" w:rsidR="007C5526" w:rsidRPr="00B73CFB" w:rsidRDefault="007C5526" w:rsidP="00B73CFB">
            <w:pPr>
              <w:spacing w:before="60" w:after="60"/>
              <w:rPr>
                <w:rFonts w:ascii="Arial" w:hAnsi="Arial"/>
                <w:sz w:val="16"/>
                <w:szCs w:val="16"/>
                <w:lang w:val="en-AU"/>
              </w:rPr>
            </w:pPr>
            <w:r w:rsidRPr="007C5526">
              <w:rPr>
                <w:rFonts w:ascii="Arial" w:hAnsi="Arial"/>
                <w:sz w:val="16"/>
                <w:szCs w:val="16"/>
                <w:lang w:val="en-AU"/>
              </w:rPr>
              <w:t xml:space="preserve">Defence will finalise the approved export permit applications within benchmark timeframes, and will process fewer permits each year in total to the United States and United Kingdom since the </w:t>
            </w:r>
            <w:r w:rsidR="00D52996">
              <w:rPr>
                <w:rFonts w:ascii="Arial" w:hAnsi="Arial"/>
                <w:sz w:val="16"/>
                <w:szCs w:val="16"/>
                <w:lang w:val="en-AU"/>
              </w:rPr>
              <w:t>introduction of the AUKUS Licenc</w:t>
            </w:r>
            <w:r w:rsidRPr="007C5526">
              <w:rPr>
                <w:rFonts w:ascii="Arial" w:hAnsi="Arial"/>
                <w:sz w:val="16"/>
                <w:szCs w:val="16"/>
                <w:lang w:val="en-AU"/>
              </w:rPr>
              <w:t>e</w:t>
            </w:r>
            <w:r w:rsidR="00D52996">
              <w:rPr>
                <w:rFonts w:ascii="Arial" w:hAnsi="Arial"/>
                <w:sz w:val="16"/>
                <w:szCs w:val="16"/>
                <w:lang w:val="en-AU"/>
              </w:rPr>
              <w:t>-</w:t>
            </w:r>
            <w:r w:rsidRPr="007C5526">
              <w:rPr>
                <w:rFonts w:ascii="Arial" w:hAnsi="Arial"/>
                <w:sz w:val="16"/>
                <w:szCs w:val="16"/>
                <w:lang w:val="en-AU"/>
              </w:rPr>
              <w:t xml:space="preserve">Free Environment (from 1 September 2024). </w:t>
            </w:r>
          </w:p>
          <w:p w14:paraId="7E159C8F" w14:textId="6B9D648F" w:rsidR="007C5526" w:rsidRPr="007C5526" w:rsidRDefault="007C5526" w:rsidP="007C5526">
            <w:pPr>
              <w:jc w:val="right"/>
            </w:pPr>
            <w:r w:rsidRPr="007C5526">
              <w:rPr>
                <w:rFonts w:ascii="Arial" w:hAnsi="Arial"/>
                <w:i/>
                <w:sz w:val="16"/>
                <w:szCs w:val="16"/>
                <w:lang w:val="en-AU"/>
              </w:rPr>
              <w:t>Expected to be substantially achieved.</w:t>
            </w:r>
          </w:p>
        </w:tc>
      </w:tr>
      <w:tr w:rsidR="0004322A" w:rsidRPr="00354C38" w14:paraId="310D0153" w14:textId="77777777" w:rsidTr="003C0162">
        <w:tblPrEx>
          <w:shd w:val="clear" w:color="auto" w:fill="auto"/>
          <w:tblLook w:val="04A0" w:firstRow="1" w:lastRow="0" w:firstColumn="1" w:lastColumn="0" w:noHBand="0" w:noVBand="1"/>
        </w:tblPrEx>
        <w:trPr>
          <w:trHeight w:val="258"/>
        </w:trPr>
        <w:tc>
          <w:tcPr>
            <w:tcW w:w="1799" w:type="dxa"/>
            <w:tcBorders>
              <w:top w:val="single" w:sz="4" w:space="0" w:color="auto"/>
              <w:bottom w:val="single" w:sz="4" w:space="0" w:color="auto"/>
              <w:right w:val="single" w:sz="4" w:space="0" w:color="auto"/>
            </w:tcBorders>
          </w:tcPr>
          <w:p w14:paraId="126746F9" w14:textId="77777777" w:rsidR="0004322A" w:rsidRPr="00354C38" w:rsidRDefault="0004322A" w:rsidP="0004322A">
            <w:pPr>
              <w:keepNext/>
              <w:keepLines/>
              <w:tabs>
                <w:tab w:val="left" w:pos="709"/>
              </w:tabs>
              <w:spacing w:before="60" w:after="60"/>
              <w:rPr>
                <w:rFonts w:ascii="Arial" w:hAnsi="Arial"/>
                <w:b/>
                <w:color w:val="000000"/>
                <w:sz w:val="16"/>
                <w:szCs w:val="16"/>
              </w:rPr>
            </w:pPr>
            <w:r w:rsidRPr="00354C38">
              <w:rPr>
                <w:rFonts w:ascii="Arial" w:hAnsi="Arial"/>
                <w:b/>
                <w:color w:val="000000"/>
                <w:sz w:val="16"/>
                <w:szCs w:val="16"/>
              </w:rPr>
              <w:t>Year</w:t>
            </w:r>
          </w:p>
        </w:tc>
        <w:tc>
          <w:tcPr>
            <w:tcW w:w="3174" w:type="dxa"/>
            <w:tcBorders>
              <w:top w:val="single" w:sz="4" w:space="0" w:color="auto"/>
              <w:left w:val="single" w:sz="4" w:space="0" w:color="auto"/>
              <w:bottom w:val="single" w:sz="4" w:space="0" w:color="auto"/>
              <w:right w:val="single" w:sz="4" w:space="0" w:color="auto"/>
            </w:tcBorders>
          </w:tcPr>
          <w:p w14:paraId="1F1A72C2" w14:textId="77777777" w:rsidR="0004322A" w:rsidRPr="00354C38" w:rsidRDefault="0004322A" w:rsidP="0004322A">
            <w:pPr>
              <w:keepNext/>
              <w:keepLines/>
              <w:tabs>
                <w:tab w:val="left" w:pos="709"/>
                <w:tab w:val="center" w:pos="1818"/>
              </w:tabs>
              <w:spacing w:before="60" w:after="60"/>
              <w:rPr>
                <w:rFonts w:ascii="Arial" w:hAnsi="Arial"/>
                <w:b/>
                <w:color w:val="000000"/>
                <w:sz w:val="16"/>
                <w:szCs w:val="16"/>
              </w:rPr>
            </w:pPr>
            <w:r w:rsidRPr="00354C38">
              <w:rPr>
                <w:rFonts w:ascii="Arial" w:hAnsi="Arial"/>
                <w:b/>
                <w:color w:val="000000"/>
                <w:sz w:val="16"/>
                <w:szCs w:val="16"/>
              </w:rPr>
              <w:t>Performance measures</w:t>
            </w:r>
          </w:p>
        </w:tc>
        <w:tc>
          <w:tcPr>
            <w:tcW w:w="3379" w:type="dxa"/>
            <w:tcBorders>
              <w:top w:val="single" w:sz="4" w:space="0" w:color="auto"/>
              <w:left w:val="single" w:sz="4" w:space="0" w:color="auto"/>
              <w:bottom w:val="single" w:sz="4" w:space="0" w:color="auto"/>
            </w:tcBorders>
          </w:tcPr>
          <w:p w14:paraId="54B14E13" w14:textId="77777777" w:rsidR="0004322A" w:rsidRPr="00354C38" w:rsidRDefault="0004322A" w:rsidP="0004322A">
            <w:pPr>
              <w:tabs>
                <w:tab w:val="left" w:pos="709"/>
              </w:tabs>
              <w:spacing w:before="60" w:after="60"/>
              <w:rPr>
                <w:rFonts w:ascii="Arial" w:hAnsi="Arial"/>
                <w:b/>
                <w:color w:val="000000"/>
                <w:sz w:val="16"/>
                <w:szCs w:val="16"/>
              </w:rPr>
            </w:pPr>
            <w:r w:rsidRPr="00354C38">
              <w:rPr>
                <w:rFonts w:ascii="Arial" w:hAnsi="Arial"/>
                <w:b/>
                <w:color w:val="000000"/>
                <w:sz w:val="16"/>
                <w:szCs w:val="16"/>
              </w:rPr>
              <w:t>Planned Performance Results</w:t>
            </w:r>
          </w:p>
        </w:tc>
      </w:tr>
      <w:tr w:rsidR="00546FD1" w:rsidRPr="00354C38" w14:paraId="0870B52B" w14:textId="77777777" w:rsidTr="0004322A">
        <w:tblPrEx>
          <w:shd w:val="clear" w:color="auto" w:fill="auto"/>
          <w:tblLook w:val="04A0" w:firstRow="1" w:lastRow="0" w:firstColumn="1" w:lastColumn="0" w:noHBand="0" w:noVBand="1"/>
        </w:tblPrEx>
        <w:trPr>
          <w:trHeight w:val="250"/>
        </w:trPr>
        <w:tc>
          <w:tcPr>
            <w:tcW w:w="1799" w:type="dxa"/>
            <w:vMerge w:val="restart"/>
            <w:tcBorders>
              <w:right w:val="single" w:sz="4" w:space="0" w:color="auto"/>
            </w:tcBorders>
          </w:tcPr>
          <w:p w14:paraId="5AF89F7F" w14:textId="77777777" w:rsidR="00546FD1" w:rsidRPr="00354C38" w:rsidRDefault="00546FD1" w:rsidP="007C5526">
            <w:pPr>
              <w:tabs>
                <w:tab w:val="left" w:pos="709"/>
              </w:tabs>
              <w:spacing w:before="0" w:after="0"/>
              <w:rPr>
                <w:rFonts w:ascii="Arial" w:hAnsi="Arial"/>
                <w:color w:val="000000"/>
                <w:sz w:val="16"/>
                <w:szCs w:val="16"/>
              </w:rPr>
            </w:pPr>
            <w:r w:rsidRPr="00354C38">
              <w:rPr>
                <w:rFonts w:ascii="Arial" w:hAnsi="Arial"/>
                <w:color w:val="000000"/>
                <w:sz w:val="16"/>
                <w:szCs w:val="16"/>
              </w:rPr>
              <w:t>Budget Year</w:t>
            </w:r>
          </w:p>
          <w:p w14:paraId="0F0BBCE2" w14:textId="77777777" w:rsidR="00546FD1" w:rsidRPr="00354C38" w:rsidRDefault="00546FD1" w:rsidP="007C5526">
            <w:pPr>
              <w:tabs>
                <w:tab w:val="left" w:pos="709"/>
              </w:tabs>
              <w:spacing w:before="0" w:after="0"/>
              <w:rPr>
                <w:rFonts w:ascii="Arial" w:hAnsi="Arial"/>
                <w:color w:val="000000"/>
                <w:sz w:val="16"/>
                <w:szCs w:val="16"/>
              </w:rPr>
            </w:pPr>
            <w:r w:rsidRPr="00354C38">
              <w:rPr>
                <w:rFonts w:ascii="Arial" w:hAnsi="Arial"/>
                <w:color w:val="000000"/>
                <w:sz w:val="16"/>
                <w:szCs w:val="16"/>
              </w:rPr>
              <w:t>2025-2</w:t>
            </w:r>
            <w:r>
              <w:rPr>
                <w:rFonts w:ascii="Arial" w:hAnsi="Arial"/>
                <w:color w:val="000000"/>
                <w:sz w:val="16"/>
                <w:szCs w:val="16"/>
              </w:rPr>
              <w:t xml:space="preserve">6 </w:t>
            </w:r>
            <w:r w:rsidRPr="000D6CE6">
              <w:rPr>
                <w:rFonts w:ascii="Arial" w:hAnsi="Arial"/>
                <w:color w:val="000000"/>
                <w:sz w:val="16"/>
                <w:szCs w:val="16"/>
                <w:vertAlign w:val="superscript"/>
              </w:rPr>
              <w:t>[c]</w:t>
            </w:r>
          </w:p>
        </w:tc>
        <w:tc>
          <w:tcPr>
            <w:tcW w:w="3174" w:type="dxa"/>
            <w:tcBorders>
              <w:top w:val="single" w:sz="4" w:space="0" w:color="auto"/>
              <w:left w:val="single" w:sz="4" w:space="0" w:color="auto"/>
              <w:bottom w:val="dotted" w:sz="4" w:space="0" w:color="auto"/>
              <w:right w:val="single" w:sz="4" w:space="0" w:color="auto"/>
            </w:tcBorders>
          </w:tcPr>
          <w:p w14:paraId="5059D33D" w14:textId="183A8386" w:rsidR="00546FD1" w:rsidRPr="007C5526" w:rsidRDefault="00546FD1" w:rsidP="007C5526">
            <w:pPr>
              <w:tabs>
                <w:tab w:val="left" w:pos="709"/>
              </w:tabs>
              <w:spacing w:before="60" w:after="60"/>
              <w:rPr>
                <w:rFonts w:ascii="Arial" w:hAnsi="Arial"/>
                <w:color w:val="000000"/>
                <w:sz w:val="16"/>
                <w:szCs w:val="16"/>
              </w:rPr>
            </w:pPr>
            <w:r w:rsidRPr="007C5526">
              <w:rPr>
                <w:rFonts w:ascii="Arial" w:hAnsi="Arial"/>
                <w:sz w:val="16"/>
                <w:szCs w:val="16"/>
                <w:lang w:val="en-AU"/>
              </w:rPr>
              <w:t xml:space="preserve">2.1: The </w:t>
            </w:r>
            <w:r w:rsidR="00A539BA" w:rsidRPr="007C5526">
              <w:rPr>
                <w:rFonts w:ascii="Arial" w:hAnsi="Arial"/>
                <w:sz w:val="16"/>
                <w:szCs w:val="16"/>
                <w:lang w:val="en-AU"/>
              </w:rPr>
              <w:t>N</w:t>
            </w:r>
            <w:r w:rsidR="00A539BA">
              <w:rPr>
                <w:rFonts w:ascii="Arial" w:hAnsi="Arial"/>
                <w:sz w:val="16"/>
                <w:szCs w:val="16"/>
                <w:lang w:val="en-AU"/>
              </w:rPr>
              <w:t xml:space="preserve">ational </w:t>
            </w:r>
            <w:r w:rsidR="00A539BA" w:rsidRPr="007C5526">
              <w:rPr>
                <w:rFonts w:ascii="Arial" w:hAnsi="Arial"/>
                <w:sz w:val="16"/>
                <w:szCs w:val="16"/>
                <w:lang w:val="en-AU"/>
              </w:rPr>
              <w:t>D</w:t>
            </w:r>
            <w:r w:rsidR="00A539BA">
              <w:rPr>
                <w:rFonts w:ascii="Arial" w:hAnsi="Arial"/>
                <w:sz w:val="16"/>
                <w:szCs w:val="16"/>
                <w:lang w:val="en-AU"/>
              </w:rPr>
              <w:t xml:space="preserve">efence </w:t>
            </w:r>
            <w:r w:rsidR="00A539BA" w:rsidRPr="007C5526">
              <w:rPr>
                <w:rFonts w:ascii="Arial" w:hAnsi="Arial"/>
                <w:sz w:val="16"/>
                <w:szCs w:val="16"/>
                <w:lang w:val="en-AU"/>
              </w:rPr>
              <w:t>S</w:t>
            </w:r>
            <w:r w:rsidR="00A539BA">
              <w:rPr>
                <w:rFonts w:ascii="Arial" w:hAnsi="Arial"/>
                <w:sz w:val="16"/>
                <w:szCs w:val="16"/>
                <w:lang w:val="en-AU"/>
              </w:rPr>
              <w:t>trategy</w:t>
            </w:r>
            <w:r w:rsidRPr="007C5526">
              <w:rPr>
                <w:rFonts w:ascii="Arial" w:hAnsi="Arial"/>
                <w:sz w:val="16"/>
                <w:szCs w:val="16"/>
                <w:lang w:val="en-AU"/>
              </w:rPr>
              <w:t xml:space="preserve"> is operationalised and monitored through alignment with enterprise planning.</w:t>
            </w:r>
          </w:p>
        </w:tc>
        <w:tc>
          <w:tcPr>
            <w:tcW w:w="3379" w:type="dxa"/>
            <w:tcBorders>
              <w:top w:val="single" w:sz="4" w:space="0" w:color="auto"/>
              <w:left w:val="single" w:sz="4" w:space="0" w:color="auto"/>
              <w:bottom w:val="dotted" w:sz="4" w:space="0" w:color="auto"/>
              <w:right w:val="single" w:sz="4" w:space="0" w:color="auto"/>
            </w:tcBorders>
          </w:tcPr>
          <w:p w14:paraId="21099A49" w14:textId="794C8033" w:rsidR="00546FD1" w:rsidRPr="007C5526" w:rsidRDefault="007E792A" w:rsidP="007C5526">
            <w:pPr>
              <w:spacing w:before="60" w:after="60"/>
              <w:rPr>
                <w:rFonts w:ascii="Arial" w:hAnsi="Arial"/>
                <w:i/>
                <w:sz w:val="16"/>
                <w:szCs w:val="16"/>
                <w:lang w:val="en-AU"/>
              </w:rPr>
            </w:pPr>
            <w:r w:rsidRPr="00CC337B">
              <w:rPr>
                <w:rFonts w:ascii="Arial" w:hAnsi="Arial"/>
                <w:sz w:val="16"/>
                <w:szCs w:val="16"/>
                <w:lang w:val="en-AU"/>
              </w:rPr>
              <w:t xml:space="preserve">Proportion of enterprise planning activities that are aligned to the </w:t>
            </w:r>
            <w:r w:rsidRPr="00E00255">
              <w:rPr>
                <w:rFonts w:ascii="Arial" w:hAnsi="Arial"/>
                <w:i/>
                <w:sz w:val="16"/>
                <w:szCs w:val="16"/>
                <w:lang w:val="en-AU"/>
              </w:rPr>
              <w:t xml:space="preserve">2024 </w:t>
            </w:r>
            <w:r w:rsidR="00A539BA" w:rsidRPr="00E00255">
              <w:rPr>
                <w:rFonts w:ascii="Arial" w:hAnsi="Arial"/>
                <w:i/>
                <w:sz w:val="16"/>
                <w:szCs w:val="16"/>
                <w:lang w:val="en-AU"/>
              </w:rPr>
              <w:t>National Defence Strategy</w:t>
            </w:r>
            <w:r w:rsidR="00546FD1" w:rsidRPr="00CC337B">
              <w:rPr>
                <w:rFonts w:ascii="Arial" w:hAnsi="Arial"/>
                <w:sz w:val="16"/>
                <w:szCs w:val="16"/>
                <w:lang w:val="en-AU"/>
              </w:rPr>
              <w:t>.</w:t>
            </w:r>
          </w:p>
        </w:tc>
      </w:tr>
      <w:tr w:rsidR="00546FD1" w:rsidRPr="00354C38" w14:paraId="3D565662" w14:textId="77777777" w:rsidTr="003C0162">
        <w:tblPrEx>
          <w:shd w:val="clear" w:color="auto" w:fill="auto"/>
          <w:tblLook w:val="04A0" w:firstRow="1" w:lastRow="0" w:firstColumn="1" w:lastColumn="0" w:noHBand="0" w:noVBand="1"/>
        </w:tblPrEx>
        <w:trPr>
          <w:trHeight w:val="835"/>
        </w:trPr>
        <w:tc>
          <w:tcPr>
            <w:tcW w:w="1799" w:type="dxa"/>
            <w:vMerge/>
            <w:tcBorders>
              <w:right w:val="single" w:sz="4" w:space="0" w:color="auto"/>
            </w:tcBorders>
          </w:tcPr>
          <w:p w14:paraId="66E2F382" w14:textId="77777777" w:rsidR="00546FD1" w:rsidRPr="00354C38" w:rsidRDefault="00546FD1" w:rsidP="007C5526">
            <w:pPr>
              <w:tabs>
                <w:tab w:val="left" w:pos="709"/>
              </w:tabs>
              <w:spacing w:before="60" w:after="60"/>
              <w:rPr>
                <w:rFonts w:ascii="Arial" w:hAnsi="Arial"/>
                <w:color w:val="000000"/>
                <w:sz w:val="16"/>
                <w:szCs w:val="16"/>
              </w:rPr>
            </w:pPr>
          </w:p>
        </w:tc>
        <w:tc>
          <w:tcPr>
            <w:tcW w:w="3174" w:type="dxa"/>
            <w:tcBorders>
              <w:top w:val="dotted" w:sz="4" w:space="0" w:color="auto"/>
              <w:left w:val="single" w:sz="4" w:space="0" w:color="auto"/>
              <w:bottom w:val="dotted" w:sz="4" w:space="0" w:color="auto"/>
              <w:right w:val="single" w:sz="4" w:space="0" w:color="auto"/>
            </w:tcBorders>
          </w:tcPr>
          <w:p w14:paraId="2BA4A79B" w14:textId="0AEC8C30" w:rsidR="00546FD1" w:rsidRPr="007C5526" w:rsidRDefault="00546FD1" w:rsidP="007C5526">
            <w:pPr>
              <w:tabs>
                <w:tab w:val="left" w:pos="709"/>
              </w:tabs>
              <w:spacing w:before="60" w:after="60"/>
              <w:rPr>
                <w:rFonts w:ascii="Arial" w:eastAsia="Calibri" w:hAnsi="Arial"/>
                <w:sz w:val="16"/>
                <w:szCs w:val="16"/>
                <w:lang w:val="en-AU" w:eastAsia="en-US"/>
              </w:rPr>
            </w:pPr>
            <w:r w:rsidRPr="007C5526">
              <w:rPr>
                <w:rFonts w:ascii="Arial" w:hAnsi="Arial"/>
                <w:sz w:val="16"/>
                <w:szCs w:val="16"/>
                <w:lang w:val="en-AU"/>
              </w:rPr>
              <w:t>5.1: The ADF has a near persistent presence in Australia’s immediate region.</w:t>
            </w:r>
          </w:p>
        </w:tc>
        <w:tc>
          <w:tcPr>
            <w:tcW w:w="3379" w:type="dxa"/>
            <w:tcBorders>
              <w:top w:val="dotted" w:sz="4" w:space="0" w:color="auto"/>
              <w:left w:val="single" w:sz="4" w:space="0" w:color="auto"/>
              <w:bottom w:val="dotted" w:sz="4" w:space="0" w:color="auto"/>
              <w:right w:val="single" w:sz="4" w:space="0" w:color="auto"/>
            </w:tcBorders>
          </w:tcPr>
          <w:p w14:paraId="66BEB5EE" w14:textId="0F05E1E1" w:rsidR="00546FD1" w:rsidRPr="007C5526" w:rsidRDefault="00546FD1" w:rsidP="00B73CFB">
            <w:pPr>
              <w:spacing w:before="60" w:after="60"/>
              <w:rPr>
                <w:rFonts w:ascii="Arial" w:hAnsi="Arial"/>
                <w:sz w:val="16"/>
                <w:szCs w:val="16"/>
                <w:lang w:val="en-AU"/>
              </w:rPr>
            </w:pPr>
            <w:r w:rsidRPr="007C5526">
              <w:rPr>
                <w:rFonts w:ascii="Arial" w:hAnsi="Arial"/>
                <w:sz w:val="16"/>
                <w:szCs w:val="16"/>
                <w:lang w:val="en-AU"/>
              </w:rPr>
              <w:t xml:space="preserve">Defence maintains its regional forward force presence through ADF operations, activities and investments. </w:t>
            </w:r>
          </w:p>
        </w:tc>
      </w:tr>
      <w:tr w:rsidR="00546FD1" w:rsidRPr="00354C38" w14:paraId="5904ADB1" w14:textId="77777777" w:rsidTr="003C0162">
        <w:tblPrEx>
          <w:shd w:val="clear" w:color="auto" w:fill="auto"/>
          <w:tblLook w:val="04A0" w:firstRow="1" w:lastRow="0" w:firstColumn="1" w:lastColumn="0" w:noHBand="0" w:noVBand="1"/>
        </w:tblPrEx>
        <w:trPr>
          <w:trHeight w:val="835"/>
        </w:trPr>
        <w:tc>
          <w:tcPr>
            <w:tcW w:w="1799" w:type="dxa"/>
            <w:vMerge/>
            <w:tcBorders>
              <w:bottom w:val="single" w:sz="4" w:space="0" w:color="auto"/>
              <w:right w:val="single" w:sz="4" w:space="0" w:color="auto"/>
            </w:tcBorders>
          </w:tcPr>
          <w:p w14:paraId="343CCF29" w14:textId="77777777" w:rsidR="00546FD1" w:rsidRPr="00354C38" w:rsidRDefault="00546FD1" w:rsidP="007C5526">
            <w:pPr>
              <w:tabs>
                <w:tab w:val="left" w:pos="709"/>
              </w:tabs>
              <w:spacing w:before="60" w:after="60"/>
              <w:rPr>
                <w:rFonts w:ascii="Arial" w:hAnsi="Arial"/>
                <w:color w:val="000000"/>
                <w:sz w:val="16"/>
                <w:szCs w:val="16"/>
              </w:rPr>
            </w:pPr>
          </w:p>
        </w:tc>
        <w:tc>
          <w:tcPr>
            <w:tcW w:w="3174" w:type="dxa"/>
            <w:tcBorders>
              <w:top w:val="dotted" w:sz="4" w:space="0" w:color="auto"/>
              <w:left w:val="single" w:sz="4" w:space="0" w:color="auto"/>
              <w:bottom w:val="single" w:sz="4" w:space="0" w:color="auto"/>
              <w:right w:val="single" w:sz="4" w:space="0" w:color="auto"/>
            </w:tcBorders>
          </w:tcPr>
          <w:p w14:paraId="1BE41E68" w14:textId="61310058" w:rsidR="00546FD1" w:rsidRPr="007C5526" w:rsidRDefault="00546FD1" w:rsidP="007C5526">
            <w:pPr>
              <w:tabs>
                <w:tab w:val="left" w:pos="709"/>
              </w:tabs>
              <w:spacing w:before="60" w:after="60"/>
              <w:rPr>
                <w:rFonts w:ascii="Arial" w:eastAsia="Calibri" w:hAnsi="Arial"/>
                <w:sz w:val="16"/>
                <w:szCs w:val="16"/>
                <w:lang w:val="en-AU" w:eastAsia="en-US"/>
              </w:rPr>
            </w:pPr>
            <w:r w:rsidRPr="007C5526">
              <w:rPr>
                <w:rFonts w:ascii="Arial" w:hAnsi="Arial"/>
                <w:sz w:val="16"/>
                <w:szCs w:val="16"/>
                <w:lang w:val="en-AU"/>
              </w:rPr>
              <w:t>5.2: Defence enhances Australia’s relationships with the Government’s priority Indo-Pacific and global partners.</w:t>
            </w:r>
          </w:p>
        </w:tc>
        <w:tc>
          <w:tcPr>
            <w:tcW w:w="3379" w:type="dxa"/>
            <w:tcBorders>
              <w:top w:val="dotted" w:sz="4" w:space="0" w:color="auto"/>
              <w:left w:val="single" w:sz="4" w:space="0" w:color="auto"/>
              <w:bottom w:val="single" w:sz="4" w:space="0" w:color="auto"/>
              <w:right w:val="single" w:sz="4" w:space="0" w:color="auto"/>
            </w:tcBorders>
          </w:tcPr>
          <w:p w14:paraId="196F2C56" w14:textId="4FDCFFF0" w:rsidR="00546FD1" w:rsidRPr="007C5526" w:rsidRDefault="00546FD1" w:rsidP="00B73CFB">
            <w:pPr>
              <w:spacing w:before="60" w:after="60"/>
              <w:rPr>
                <w:rFonts w:ascii="Arial" w:hAnsi="Arial"/>
                <w:sz w:val="16"/>
                <w:szCs w:val="16"/>
                <w:lang w:val="en-AU"/>
              </w:rPr>
            </w:pPr>
            <w:r w:rsidRPr="007C5526">
              <w:rPr>
                <w:rFonts w:ascii="Arial" w:hAnsi="Arial"/>
                <w:sz w:val="16"/>
                <w:szCs w:val="16"/>
                <w:lang w:val="en-AU"/>
              </w:rPr>
              <w:t>Defence effectively implements action items from annual 2+2 (Foreign Affairs and Defence) ministerial meetings.</w:t>
            </w:r>
          </w:p>
        </w:tc>
      </w:tr>
      <w:tr w:rsidR="00546FD1" w:rsidRPr="00354C38" w14:paraId="0CDA6771" w14:textId="77777777" w:rsidTr="003C0162">
        <w:tblPrEx>
          <w:shd w:val="clear" w:color="auto" w:fill="auto"/>
          <w:tblLook w:val="04A0" w:firstRow="1" w:lastRow="0" w:firstColumn="1" w:lastColumn="0" w:noHBand="0" w:noVBand="1"/>
        </w:tblPrEx>
        <w:trPr>
          <w:trHeight w:val="396"/>
        </w:trPr>
        <w:tc>
          <w:tcPr>
            <w:tcW w:w="1799" w:type="dxa"/>
            <w:tcBorders>
              <w:top w:val="single" w:sz="4" w:space="0" w:color="auto"/>
              <w:bottom w:val="single" w:sz="4" w:space="0" w:color="auto"/>
              <w:right w:val="single" w:sz="4" w:space="0" w:color="auto"/>
            </w:tcBorders>
          </w:tcPr>
          <w:p w14:paraId="3D30688C" w14:textId="7002C1C7" w:rsidR="00546FD1" w:rsidRPr="00354C38" w:rsidRDefault="00546FD1" w:rsidP="00546FD1">
            <w:pPr>
              <w:pageBreakBefore/>
              <w:tabs>
                <w:tab w:val="left" w:pos="709"/>
              </w:tabs>
              <w:spacing w:before="60" w:after="60"/>
              <w:rPr>
                <w:rFonts w:ascii="Arial" w:hAnsi="Arial"/>
                <w:color w:val="000000"/>
                <w:sz w:val="16"/>
                <w:szCs w:val="16"/>
              </w:rPr>
            </w:pPr>
            <w:r w:rsidRPr="00354C38">
              <w:rPr>
                <w:rFonts w:ascii="Arial" w:hAnsi="Arial"/>
                <w:b/>
                <w:color w:val="000000"/>
                <w:sz w:val="16"/>
                <w:szCs w:val="16"/>
              </w:rPr>
              <w:lastRenderedPageBreak/>
              <w:t>Year</w:t>
            </w:r>
          </w:p>
        </w:tc>
        <w:tc>
          <w:tcPr>
            <w:tcW w:w="3174" w:type="dxa"/>
            <w:tcBorders>
              <w:top w:val="single" w:sz="4" w:space="0" w:color="auto"/>
              <w:left w:val="single" w:sz="4" w:space="0" w:color="auto"/>
              <w:bottom w:val="single" w:sz="4" w:space="0" w:color="auto"/>
              <w:right w:val="single" w:sz="4" w:space="0" w:color="auto"/>
            </w:tcBorders>
          </w:tcPr>
          <w:p w14:paraId="0527A6F8" w14:textId="34D0E9A7" w:rsidR="00546FD1" w:rsidRPr="007C5526" w:rsidRDefault="00546FD1" w:rsidP="00546FD1">
            <w:pPr>
              <w:tabs>
                <w:tab w:val="left" w:pos="709"/>
              </w:tabs>
              <w:spacing w:before="60" w:after="60"/>
              <w:rPr>
                <w:rFonts w:ascii="Arial" w:hAnsi="Arial"/>
                <w:sz w:val="16"/>
                <w:szCs w:val="16"/>
                <w:lang w:val="en-AU"/>
              </w:rPr>
            </w:pPr>
            <w:r w:rsidRPr="00354C38">
              <w:rPr>
                <w:rFonts w:ascii="Arial" w:hAnsi="Arial"/>
                <w:b/>
                <w:color w:val="000000"/>
                <w:sz w:val="16"/>
                <w:szCs w:val="16"/>
              </w:rPr>
              <w:t>Performance measures</w:t>
            </w:r>
          </w:p>
        </w:tc>
        <w:tc>
          <w:tcPr>
            <w:tcW w:w="3379" w:type="dxa"/>
            <w:tcBorders>
              <w:top w:val="single" w:sz="4" w:space="0" w:color="auto"/>
              <w:left w:val="single" w:sz="4" w:space="0" w:color="auto"/>
              <w:bottom w:val="single" w:sz="4" w:space="0" w:color="auto"/>
              <w:right w:val="single" w:sz="4" w:space="0" w:color="auto"/>
            </w:tcBorders>
          </w:tcPr>
          <w:p w14:paraId="5D3D1EFB" w14:textId="4DA076F8" w:rsidR="00546FD1" w:rsidRPr="007C5526" w:rsidRDefault="00546FD1" w:rsidP="00546FD1">
            <w:pPr>
              <w:tabs>
                <w:tab w:val="left" w:pos="709"/>
              </w:tabs>
              <w:spacing w:before="60" w:after="60"/>
              <w:rPr>
                <w:rFonts w:ascii="Arial" w:hAnsi="Arial"/>
                <w:sz w:val="16"/>
                <w:szCs w:val="16"/>
                <w:lang w:val="en-AU"/>
              </w:rPr>
            </w:pPr>
            <w:r w:rsidRPr="00354C38">
              <w:rPr>
                <w:rFonts w:ascii="Arial" w:hAnsi="Arial"/>
                <w:b/>
                <w:color w:val="000000"/>
                <w:sz w:val="16"/>
                <w:szCs w:val="16"/>
              </w:rPr>
              <w:t>Planned Performance Results</w:t>
            </w:r>
          </w:p>
        </w:tc>
      </w:tr>
      <w:tr w:rsidR="007C5526" w:rsidRPr="00354C38" w14:paraId="6946FBC1" w14:textId="77777777" w:rsidTr="00546FD1">
        <w:tblPrEx>
          <w:shd w:val="clear" w:color="auto" w:fill="auto"/>
          <w:tblLook w:val="04A0" w:firstRow="1" w:lastRow="0" w:firstColumn="1" w:lastColumn="0" w:noHBand="0" w:noVBand="1"/>
        </w:tblPrEx>
        <w:trPr>
          <w:trHeight w:val="835"/>
        </w:trPr>
        <w:tc>
          <w:tcPr>
            <w:tcW w:w="1799" w:type="dxa"/>
            <w:tcBorders>
              <w:top w:val="single" w:sz="4" w:space="0" w:color="auto"/>
              <w:bottom w:val="single" w:sz="4" w:space="0" w:color="auto"/>
              <w:right w:val="single" w:sz="4" w:space="0" w:color="auto"/>
            </w:tcBorders>
          </w:tcPr>
          <w:p w14:paraId="37EA5DD3" w14:textId="77777777" w:rsidR="00546FD1" w:rsidRPr="00354C38" w:rsidRDefault="00546FD1" w:rsidP="00546FD1">
            <w:pPr>
              <w:tabs>
                <w:tab w:val="left" w:pos="709"/>
              </w:tabs>
              <w:spacing w:before="0" w:after="0"/>
              <w:rPr>
                <w:rFonts w:ascii="Arial" w:hAnsi="Arial"/>
                <w:color w:val="000000"/>
                <w:sz w:val="16"/>
                <w:szCs w:val="16"/>
              </w:rPr>
            </w:pPr>
            <w:r w:rsidRPr="00354C38">
              <w:rPr>
                <w:rFonts w:ascii="Arial" w:hAnsi="Arial"/>
                <w:color w:val="000000"/>
                <w:sz w:val="16"/>
                <w:szCs w:val="16"/>
              </w:rPr>
              <w:t>Budget Year</w:t>
            </w:r>
          </w:p>
          <w:p w14:paraId="23883FF6" w14:textId="351E3EA5" w:rsidR="007C5526" w:rsidRPr="00354C38" w:rsidRDefault="00546FD1" w:rsidP="00CE3B2C">
            <w:pPr>
              <w:tabs>
                <w:tab w:val="left" w:pos="709"/>
              </w:tabs>
              <w:spacing w:before="0" w:after="0"/>
              <w:rPr>
                <w:rFonts w:ascii="Arial" w:hAnsi="Arial"/>
                <w:color w:val="000000"/>
                <w:sz w:val="16"/>
                <w:szCs w:val="16"/>
              </w:rPr>
            </w:pPr>
            <w:r w:rsidRPr="00354C38">
              <w:rPr>
                <w:rFonts w:ascii="Arial" w:hAnsi="Arial"/>
                <w:color w:val="000000"/>
                <w:sz w:val="16"/>
                <w:szCs w:val="16"/>
              </w:rPr>
              <w:t>2025-2</w:t>
            </w:r>
            <w:r>
              <w:rPr>
                <w:rFonts w:ascii="Arial" w:hAnsi="Arial"/>
                <w:color w:val="000000"/>
                <w:sz w:val="16"/>
                <w:szCs w:val="16"/>
              </w:rPr>
              <w:t xml:space="preserve">6 </w:t>
            </w:r>
            <w:r w:rsidRPr="00CE3B2C">
              <w:rPr>
                <w:rFonts w:ascii="Arial" w:hAnsi="Arial"/>
                <w:color w:val="000000"/>
                <w:sz w:val="16"/>
                <w:szCs w:val="16"/>
                <w:vertAlign w:val="superscript"/>
              </w:rPr>
              <w:t>[c]</w:t>
            </w:r>
          </w:p>
        </w:tc>
        <w:tc>
          <w:tcPr>
            <w:tcW w:w="3174" w:type="dxa"/>
            <w:tcBorders>
              <w:top w:val="single" w:sz="4" w:space="0" w:color="auto"/>
              <w:left w:val="single" w:sz="4" w:space="0" w:color="auto"/>
              <w:bottom w:val="single" w:sz="4" w:space="0" w:color="auto"/>
              <w:right w:val="single" w:sz="4" w:space="0" w:color="auto"/>
            </w:tcBorders>
          </w:tcPr>
          <w:p w14:paraId="3D0A7FFB" w14:textId="6A5240B1" w:rsidR="007C5526" w:rsidRPr="007C5526" w:rsidRDefault="007C5526" w:rsidP="00D52996">
            <w:pPr>
              <w:tabs>
                <w:tab w:val="left" w:pos="709"/>
              </w:tabs>
              <w:spacing w:before="60" w:after="60"/>
              <w:rPr>
                <w:rFonts w:ascii="Arial" w:eastAsia="Calibri" w:hAnsi="Arial"/>
                <w:sz w:val="16"/>
                <w:szCs w:val="16"/>
                <w:lang w:val="en-AU" w:eastAsia="en-US"/>
              </w:rPr>
            </w:pPr>
            <w:r w:rsidRPr="007C5526">
              <w:rPr>
                <w:rFonts w:ascii="Arial" w:hAnsi="Arial"/>
                <w:sz w:val="16"/>
                <w:szCs w:val="16"/>
                <w:lang w:val="en-AU"/>
              </w:rPr>
              <w:t xml:space="preserve">8.1 </w:t>
            </w:r>
            <w:r w:rsidRPr="007C5526">
              <w:rPr>
                <w:rFonts w:ascii="Arial" w:eastAsia="Franklin Gothic Book" w:hAnsi="Arial"/>
                <w:bCs/>
                <w:sz w:val="16"/>
                <w:szCs w:val="16"/>
              </w:rPr>
              <w:t xml:space="preserve">Defence improves regulatory performance and capability through the finalisation of export permit applications within benchmark timeframes and reduction of export permits to the United States and United Kingdom </w:t>
            </w:r>
            <w:r w:rsidR="00D52996">
              <w:rPr>
                <w:rFonts w:ascii="Arial" w:eastAsia="Franklin Gothic Book" w:hAnsi="Arial"/>
                <w:bCs/>
                <w:sz w:val="16"/>
                <w:szCs w:val="16"/>
              </w:rPr>
              <w:t>facilitated via the AUKUS Licenc</w:t>
            </w:r>
            <w:r w:rsidRPr="007C5526">
              <w:rPr>
                <w:rFonts w:ascii="Arial" w:eastAsia="Franklin Gothic Book" w:hAnsi="Arial"/>
                <w:bCs/>
                <w:sz w:val="16"/>
                <w:szCs w:val="16"/>
              </w:rPr>
              <w:t>e</w:t>
            </w:r>
            <w:r w:rsidR="00D52996">
              <w:rPr>
                <w:rFonts w:ascii="Arial" w:eastAsia="Franklin Gothic Book" w:hAnsi="Arial"/>
                <w:bCs/>
                <w:sz w:val="16"/>
                <w:szCs w:val="16"/>
              </w:rPr>
              <w:t>-</w:t>
            </w:r>
            <w:r w:rsidRPr="007C5526">
              <w:rPr>
                <w:rFonts w:ascii="Arial" w:eastAsia="Franklin Gothic Book" w:hAnsi="Arial"/>
                <w:bCs/>
                <w:sz w:val="16"/>
                <w:szCs w:val="16"/>
              </w:rPr>
              <w:t>Free environment.</w:t>
            </w:r>
          </w:p>
        </w:tc>
        <w:tc>
          <w:tcPr>
            <w:tcW w:w="3379" w:type="dxa"/>
            <w:tcBorders>
              <w:top w:val="single" w:sz="4" w:space="0" w:color="auto"/>
              <w:left w:val="single" w:sz="4" w:space="0" w:color="auto"/>
              <w:bottom w:val="single" w:sz="4" w:space="0" w:color="auto"/>
              <w:right w:val="single" w:sz="4" w:space="0" w:color="auto"/>
            </w:tcBorders>
          </w:tcPr>
          <w:p w14:paraId="56DCA230" w14:textId="6B5FB8A0" w:rsidR="007C5526" w:rsidRPr="007C5526" w:rsidRDefault="007C5526" w:rsidP="00D52996">
            <w:pPr>
              <w:tabs>
                <w:tab w:val="left" w:pos="709"/>
              </w:tabs>
              <w:spacing w:before="60" w:after="60"/>
              <w:rPr>
                <w:rFonts w:ascii="Arial" w:hAnsi="Arial"/>
                <w:sz w:val="16"/>
                <w:szCs w:val="16"/>
                <w:lang w:val="en-AU"/>
              </w:rPr>
            </w:pPr>
            <w:r w:rsidRPr="007C5526">
              <w:rPr>
                <w:rFonts w:ascii="Arial" w:hAnsi="Arial"/>
                <w:sz w:val="16"/>
                <w:szCs w:val="16"/>
                <w:lang w:val="en-AU"/>
              </w:rPr>
              <w:t>Defence will finalise the approved export permit applications within benchmark timeframes, and will process fewer permits each year in total to the United States and United Kingdom since the introduction of the AUKUS Licen</w:t>
            </w:r>
            <w:r w:rsidR="00D52996">
              <w:rPr>
                <w:rFonts w:ascii="Arial" w:hAnsi="Arial"/>
                <w:sz w:val="16"/>
                <w:szCs w:val="16"/>
                <w:lang w:val="en-AU"/>
              </w:rPr>
              <w:t>c</w:t>
            </w:r>
            <w:r w:rsidRPr="007C5526">
              <w:rPr>
                <w:rFonts w:ascii="Arial" w:hAnsi="Arial"/>
                <w:sz w:val="16"/>
                <w:szCs w:val="16"/>
                <w:lang w:val="en-AU"/>
              </w:rPr>
              <w:t>e</w:t>
            </w:r>
            <w:r w:rsidR="00D52996">
              <w:rPr>
                <w:rFonts w:ascii="Arial" w:hAnsi="Arial"/>
                <w:sz w:val="16"/>
                <w:szCs w:val="16"/>
                <w:lang w:val="en-AU"/>
              </w:rPr>
              <w:t>-</w:t>
            </w:r>
            <w:r w:rsidRPr="007C5526">
              <w:rPr>
                <w:rFonts w:ascii="Arial" w:hAnsi="Arial"/>
                <w:sz w:val="16"/>
                <w:szCs w:val="16"/>
                <w:lang w:val="en-AU"/>
              </w:rPr>
              <w:t>Free Environment (from 1</w:t>
            </w:r>
            <w:r w:rsidR="00FE6E78">
              <w:rPr>
                <w:rFonts w:ascii="Arial" w:hAnsi="Arial"/>
                <w:sz w:val="16"/>
                <w:szCs w:val="16"/>
                <w:lang w:val="en-AU"/>
              </w:rPr>
              <w:t> </w:t>
            </w:r>
            <w:r w:rsidRPr="007C5526">
              <w:rPr>
                <w:rFonts w:ascii="Arial" w:hAnsi="Arial"/>
                <w:sz w:val="16"/>
                <w:szCs w:val="16"/>
                <w:lang w:val="en-AU"/>
              </w:rPr>
              <w:t xml:space="preserve">September 2024). </w:t>
            </w:r>
          </w:p>
        </w:tc>
      </w:tr>
      <w:tr w:rsidR="0004322A" w:rsidRPr="00354C38" w14:paraId="070AFB1A" w14:textId="77777777" w:rsidTr="00546FD1">
        <w:tblPrEx>
          <w:shd w:val="clear" w:color="auto" w:fill="auto"/>
          <w:tblLook w:val="04A0" w:firstRow="1" w:lastRow="0" w:firstColumn="1" w:lastColumn="0" w:noHBand="0" w:noVBand="1"/>
        </w:tblPrEx>
        <w:trPr>
          <w:trHeight w:val="491"/>
        </w:trPr>
        <w:tc>
          <w:tcPr>
            <w:tcW w:w="1799" w:type="dxa"/>
            <w:tcBorders>
              <w:top w:val="single" w:sz="4" w:space="0" w:color="auto"/>
              <w:bottom w:val="single" w:sz="4" w:space="0" w:color="auto"/>
              <w:right w:val="single" w:sz="4" w:space="0" w:color="auto"/>
            </w:tcBorders>
          </w:tcPr>
          <w:p w14:paraId="13056F33" w14:textId="77777777" w:rsidR="0004322A" w:rsidRPr="00354C38" w:rsidRDefault="0004322A" w:rsidP="00987C39">
            <w:pPr>
              <w:tabs>
                <w:tab w:val="left" w:pos="709"/>
              </w:tabs>
              <w:spacing w:before="0" w:after="0"/>
              <w:rPr>
                <w:rFonts w:ascii="Arial" w:hAnsi="Arial"/>
                <w:color w:val="000000"/>
                <w:sz w:val="16"/>
                <w:szCs w:val="16"/>
              </w:rPr>
            </w:pPr>
            <w:r w:rsidRPr="00354C38">
              <w:rPr>
                <w:rFonts w:ascii="Arial" w:hAnsi="Arial"/>
                <w:color w:val="000000"/>
                <w:sz w:val="16"/>
                <w:szCs w:val="16"/>
              </w:rPr>
              <w:t>Forward Estimates</w:t>
            </w:r>
          </w:p>
          <w:p w14:paraId="5287C2D4" w14:textId="77777777" w:rsidR="0004322A" w:rsidRPr="00354C38" w:rsidRDefault="0004322A" w:rsidP="00987C39">
            <w:pPr>
              <w:tabs>
                <w:tab w:val="left" w:pos="709"/>
              </w:tabs>
              <w:spacing w:before="0" w:after="0"/>
              <w:rPr>
                <w:rFonts w:ascii="Arial" w:hAnsi="Arial"/>
                <w:b/>
                <w:color w:val="000000"/>
                <w:sz w:val="16"/>
                <w:szCs w:val="16"/>
              </w:rPr>
            </w:pPr>
            <w:r w:rsidRPr="00354C38">
              <w:rPr>
                <w:rFonts w:ascii="Arial" w:hAnsi="Arial"/>
                <w:color w:val="000000"/>
                <w:sz w:val="16"/>
                <w:szCs w:val="16"/>
              </w:rPr>
              <w:t>2026-29</w:t>
            </w:r>
          </w:p>
        </w:tc>
        <w:tc>
          <w:tcPr>
            <w:tcW w:w="3174" w:type="dxa"/>
            <w:tcBorders>
              <w:top w:val="single" w:sz="4" w:space="0" w:color="auto"/>
              <w:left w:val="single" w:sz="4" w:space="0" w:color="auto"/>
              <w:bottom w:val="single" w:sz="4" w:space="0" w:color="auto"/>
              <w:right w:val="single" w:sz="4" w:space="0" w:color="auto"/>
            </w:tcBorders>
          </w:tcPr>
          <w:p w14:paraId="3D4A2DE9" w14:textId="77777777" w:rsidR="0004322A" w:rsidRPr="00354C38" w:rsidRDefault="0004322A" w:rsidP="000D6CE6">
            <w:pPr>
              <w:tabs>
                <w:tab w:val="left" w:pos="709"/>
              </w:tabs>
              <w:spacing w:before="60" w:after="60"/>
              <w:rPr>
                <w:rFonts w:ascii="Arial" w:hAnsi="Arial"/>
                <w:b/>
                <w:color w:val="000000"/>
                <w:sz w:val="16"/>
                <w:szCs w:val="16"/>
              </w:rPr>
            </w:pPr>
            <w:r w:rsidRPr="00354C38">
              <w:rPr>
                <w:rFonts w:ascii="Arial" w:hAnsi="Arial"/>
                <w:color w:val="000000"/>
                <w:sz w:val="16"/>
                <w:szCs w:val="16"/>
              </w:rPr>
              <w:t>As per 202</w:t>
            </w:r>
            <w:r w:rsidR="000D6CE6">
              <w:rPr>
                <w:rFonts w:ascii="Arial" w:hAnsi="Arial"/>
                <w:color w:val="000000"/>
                <w:sz w:val="16"/>
                <w:szCs w:val="16"/>
              </w:rPr>
              <w:t>5</w:t>
            </w:r>
            <w:r w:rsidRPr="00354C38">
              <w:rPr>
                <w:rFonts w:ascii="Arial" w:hAnsi="Arial"/>
                <w:color w:val="000000"/>
                <w:sz w:val="16"/>
                <w:szCs w:val="16"/>
              </w:rPr>
              <w:t>-2</w:t>
            </w:r>
            <w:r w:rsidR="000D6CE6">
              <w:rPr>
                <w:rFonts w:ascii="Arial" w:hAnsi="Arial"/>
                <w:color w:val="000000"/>
                <w:sz w:val="16"/>
                <w:szCs w:val="16"/>
              </w:rPr>
              <w:t>6</w:t>
            </w:r>
            <w:r w:rsidRPr="00354C38">
              <w:rPr>
                <w:rFonts w:ascii="Arial" w:hAnsi="Arial"/>
                <w:color w:val="000000"/>
                <w:sz w:val="16"/>
                <w:szCs w:val="16"/>
              </w:rPr>
              <w:t>.</w:t>
            </w:r>
          </w:p>
        </w:tc>
        <w:tc>
          <w:tcPr>
            <w:tcW w:w="3379" w:type="dxa"/>
            <w:tcBorders>
              <w:top w:val="single" w:sz="4" w:space="0" w:color="auto"/>
              <w:left w:val="single" w:sz="4" w:space="0" w:color="auto"/>
              <w:bottom w:val="single" w:sz="4" w:space="0" w:color="auto"/>
              <w:right w:val="single" w:sz="4" w:space="0" w:color="auto"/>
            </w:tcBorders>
          </w:tcPr>
          <w:p w14:paraId="61D016E3" w14:textId="77777777" w:rsidR="0004322A" w:rsidRPr="00354C38" w:rsidRDefault="0004322A" w:rsidP="000D6CE6">
            <w:pPr>
              <w:tabs>
                <w:tab w:val="left" w:pos="709"/>
              </w:tabs>
              <w:spacing w:before="60" w:after="60"/>
              <w:rPr>
                <w:rFonts w:ascii="Arial" w:hAnsi="Arial"/>
                <w:b/>
                <w:color w:val="000000"/>
                <w:sz w:val="16"/>
                <w:szCs w:val="16"/>
              </w:rPr>
            </w:pPr>
            <w:r w:rsidRPr="00354C38">
              <w:rPr>
                <w:rFonts w:ascii="Arial" w:hAnsi="Arial"/>
                <w:color w:val="000000"/>
                <w:sz w:val="16"/>
                <w:szCs w:val="16"/>
              </w:rPr>
              <w:t>As per 202</w:t>
            </w:r>
            <w:r w:rsidR="000D6CE6">
              <w:rPr>
                <w:rFonts w:ascii="Arial" w:hAnsi="Arial"/>
                <w:color w:val="000000"/>
                <w:sz w:val="16"/>
                <w:szCs w:val="16"/>
              </w:rPr>
              <w:t>5</w:t>
            </w:r>
            <w:r w:rsidRPr="00354C38">
              <w:rPr>
                <w:rFonts w:ascii="Arial" w:hAnsi="Arial"/>
                <w:color w:val="000000"/>
                <w:sz w:val="16"/>
                <w:szCs w:val="16"/>
              </w:rPr>
              <w:t>-2</w:t>
            </w:r>
            <w:r w:rsidR="000D6CE6">
              <w:rPr>
                <w:rFonts w:ascii="Arial" w:hAnsi="Arial"/>
                <w:color w:val="000000"/>
                <w:sz w:val="16"/>
                <w:szCs w:val="16"/>
              </w:rPr>
              <w:t>6</w:t>
            </w:r>
            <w:r w:rsidRPr="00354C38">
              <w:rPr>
                <w:rFonts w:ascii="Arial" w:hAnsi="Arial"/>
                <w:color w:val="000000"/>
                <w:sz w:val="16"/>
                <w:szCs w:val="16"/>
              </w:rPr>
              <w:t>.</w:t>
            </w:r>
          </w:p>
        </w:tc>
      </w:tr>
      <w:tr w:rsidR="0004322A" w:rsidRPr="00354C38" w14:paraId="513F1D2E" w14:textId="77777777" w:rsidTr="0004322A">
        <w:tblPrEx>
          <w:shd w:val="clear" w:color="auto" w:fill="auto"/>
          <w:tblLook w:val="04A0" w:firstRow="1" w:lastRow="0" w:firstColumn="1" w:lastColumn="0" w:noHBand="0" w:noVBand="1"/>
        </w:tblPrEx>
        <w:trPr>
          <w:trHeight w:val="291"/>
        </w:trPr>
        <w:tc>
          <w:tcPr>
            <w:tcW w:w="8352" w:type="dxa"/>
            <w:gridSpan w:val="3"/>
            <w:tcBorders>
              <w:top w:val="single" w:sz="4" w:space="0" w:color="auto"/>
              <w:bottom w:val="single" w:sz="4" w:space="0" w:color="auto"/>
            </w:tcBorders>
          </w:tcPr>
          <w:p w14:paraId="4B4FD8DB" w14:textId="63B03205" w:rsidR="0004322A" w:rsidRPr="00354C38" w:rsidRDefault="0004322A" w:rsidP="00E364DF">
            <w:pPr>
              <w:tabs>
                <w:tab w:val="left" w:pos="709"/>
              </w:tabs>
              <w:spacing w:before="60" w:after="60"/>
              <w:rPr>
                <w:rFonts w:ascii="Arial" w:hAnsi="Arial"/>
                <w:bCs/>
                <w:iCs/>
                <w:color w:val="000000"/>
                <w:spacing w:val="-6"/>
                <w:sz w:val="16"/>
                <w:szCs w:val="16"/>
              </w:rPr>
            </w:pPr>
            <w:r w:rsidRPr="00354C38">
              <w:rPr>
                <w:rFonts w:ascii="Arial" w:hAnsi="Arial"/>
                <w:color w:val="000000"/>
                <w:sz w:val="16"/>
                <w:szCs w:val="16"/>
              </w:rPr>
              <w:t>Material changes to Program 2.1 resulting from 202</w:t>
            </w:r>
            <w:r w:rsidR="00E364DF">
              <w:rPr>
                <w:rFonts w:ascii="Arial" w:hAnsi="Arial"/>
                <w:color w:val="000000"/>
                <w:sz w:val="16"/>
                <w:szCs w:val="16"/>
              </w:rPr>
              <w:t>5</w:t>
            </w:r>
            <w:r w:rsidRPr="00354C38">
              <w:rPr>
                <w:rFonts w:ascii="Arial" w:hAnsi="Arial"/>
                <w:color w:val="000000"/>
                <w:sz w:val="16"/>
                <w:szCs w:val="16"/>
              </w:rPr>
              <w:t>-2</w:t>
            </w:r>
            <w:r w:rsidR="00E364DF">
              <w:rPr>
                <w:rFonts w:ascii="Arial" w:hAnsi="Arial"/>
                <w:color w:val="000000"/>
                <w:sz w:val="16"/>
                <w:szCs w:val="16"/>
              </w:rPr>
              <w:t>6</w:t>
            </w:r>
            <w:r w:rsidRPr="00354C38">
              <w:rPr>
                <w:rFonts w:ascii="Arial" w:hAnsi="Arial"/>
                <w:color w:val="000000"/>
                <w:sz w:val="16"/>
                <w:szCs w:val="16"/>
              </w:rPr>
              <w:t xml:space="preserve"> Budget Measures</w:t>
            </w:r>
            <w:r w:rsidRPr="00354C38">
              <w:rPr>
                <w:rFonts w:ascii="Arial" w:hAnsi="Arial"/>
                <w:bCs/>
                <w:iCs/>
                <w:color w:val="000000"/>
                <w:spacing w:val="-6"/>
                <w:sz w:val="16"/>
                <w:szCs w:val="16"/>
              </w:rPr>
              <w:t>: Nil.</w:t>
            </w:r>
          </w:p>
        </w:tc>
      </w:tr>
    </w:tbl>
    <w:p w14:paraId="7D4F3C75" w14:textId="77777777" w:rsidR="00737EBD" w:rsidRPr="00354C38" w:rsidRDefault="00737EBD" w:rsidP="00656D60">
      <w:pPr>
        <w:pStyle w:val="TableHeading"/>
        <w:spacing w:before="0" w:after="0"/>
        <w:rPr>
          <w:sz w:val="16"/>
          <w:szCs w:val="16"/>
        </w:rPr>
      </w:pPr>
    </w:p>
    <w:p w14:paraId="63CF5108" w14:textId="77777777" w:rsidR="00965956" w:rsidRPr="00354C38" w:rsidRDefault="00965956" w:rsidP="00656D60">
      <w:pPr>
        <w:pStyle w:val="TableHeading"/>
        <w:spacing w:before="0" w:after="0"/>
        <w:rPr>
          <w:sz w:val="14"/>
          <w:szCs w:val="14"/>
        </w:rPr>
      </w:pPr>
      <w:r w:rsidRPr="00354C38">
        <w:rPr>
          <w:sz w:val="14"/>
          <w:szCs w:val="14"/>
        </w:rPr>
        <w:t>Note</w:t>
      </w:r>
      <w:r w:rsidR="000D6CE6">
        <w:rPr>
          <w:sz w:val="14"/>
          <w:szCs w:val="14"/>
        </w:rPr>
        <w:t>s</w:t>
      </w:r>
    </w:p>
    <w:p w14:paraId="23649BEA" w14:textId="77777777" w:rsidR="000D6CE6" w:rsidRDefault="00726161" w:rsidP="00444A89">
      <w:pPr>
        <w:pStyle w:val="TableHeading"/>
        <w:numPr>
          <w:ilvl w:val="0"/>
          <w:numId w:val="74"/>
        </w:numPr>
        <w:tabs>
          <w:tab w:val="left" w:pos="284"/>
        </w:tabs>
        <w:spacing w:before="0" w:after="0"/>
        <w:ind w:left="284" w:hanging="284"/>
        <w:rPr>
          <w:b w:val="0"/>
          <w:sz w:val="14"/>
          <w:szCs w:val="14"/>
          <w:lang w:val="en-AU"/>
        </w:rPr>
      </w:pPr>
      <w:r w:rsidRPr="00354C38">
        <w:rPr>
          <w:b w:val="0"/>
          <w:sz w:val="14"/>
          <w:szCs w:val="14"/>
        </w:rPr>
        <w:tab/>
      </w:r>
      <w:r w:rsidR="0014365C" w:rsidRPr="00354C38">
        <w:rPr>
          <w:b w:val="0"/>
          <w:sz w:val="14"/>
          <w:szCs w:val="14"/>
        </w:rPr>
        <w:tab/>
      </w:r>
      <w:r w:rsidR="00E368FC" w:rsidRPr="00354C38">
        <w:rPr>
          <w:b w:val="0"/>
          <w:sz w:val="14"/>
          <w:szCs w:val="14"/>
          <w:lang w:val="en-AU"/>
        </w:rPr>
        <w:tab/>
      </w:r>
      <w:r w:rsidR="00E368FC" w:rsidRPr="00354C38">
        <w:rPr>
          <w:b w:val="0"/>
          <w:sz w:val="14"/>
          <w:szCs w:val="14"/>
          <w:lang w:val="en-AU"/>
        </w:rPr>
        <w:tab/>
      </w:r>
      <w:r w:rsidR="000D6CE6">
        <w:rPr>
          <w:b w:val="0"/>
          <w:sz w:val="14"/>
          <w:szCs w:val="14"/>
        </w:rPr>
        <w:t>Key Activity 2 and 5</w:t>
      </w:r>
      <w:r w:rsidR="000D6CE6" w:rsidRPr="00E921DF">
        <w:rPr>
          <w:b w:val="0"/>
          <w:sz w:val="14"/>
          <w:szCs w:val="14"/>
        </w:rPr>
        <w:t xml:space="preserve"> have been amended</w:t>
      </w:r>
      <w:r w:rsidR="000D6CE6">
        <w:rPr>
          <w:b w:val="0"/>
          <w:sz w:val="14"/>
          <w:szCs w:val="14"/>
        </w:rPr>
        <w:t xml:space="preserve"> and Key Activity 8 is new</w:t>
      </w:r>
      <w:r w:rsidR="000D6CE6" w:rsidRPr="00E921DF">
        <w:rPr>
          <w:b w:val="0"/>
          <w:sz w:val="14"/>
          <w:szCs w:val="14"/>
        </w:rPr>
        <w:t xml:space="preserve"> </w:t>
      </w:r>
      <w:r w:rsidR="000D6CE6" w:rsidRPr="00E921DF">
        <w:rPr>
          <w:b w:val="0"/>
          <w:sz w:val="14"/>
          <w:szCs w:val="14"/>
          <w:lang w:val="en-AU"/>
        </w:rPr>
        <w:t>for 2024-25</w:t>
      </w:r>
      <w:r w:rsidR="000D6CE6">
        <w:rPr>
          <w:b w:val="0"/>
          <w:sz w:val="14"/>
          <w:szCs w:val="14"/>
          <w:lang w:val="en-AU"/>
        </w:rPr>
        <w:t>,</w:t>
      </w:r>
      <w:r w:rsidR="000D6CE6" w:rsidRPr="00E921DF">
        <w:rPr>
          <w:b w:val="0"/>
          <w:sz w:val="14"/>
          <w:szCs w:val="14"/>
          <w:lang w:val="en-AU"/>
        </w:rPr>
        <w:t xml:space="preserve"> as published in the updated </w:t>
      </w:r>
      <w:r w:rsidR="000D6CE6" w:rsidRPr="00652D8F">
        <w:rPr>
          <w:b w:val="0"/>
          <w:sz w:val="14"/>
          <w:szCs w:val="14"/>
          <w:lang w:val="en-AU"/>
        </w:rPr>
        <w:t xml:space="preserve">2024-28 Defence Corporate Plan in March 2025. </w:t>
      </w:r>
    </w:p>
    <w:p w14:paraId="65BE2B16" w14:textId="77777777" w:rsidR="000D6CE6" w:rsidRDefault="000D6CE6" w:rsidP="00444A89">
      <w:pPr>
        <w:pStyle w:val="TableHeading"/>
        <w:numPr>
          <w:ilvl w:val="0"/>
          <w:numId w:val="74"/>
        </w:numPr>
        <w:tabs>
          <w:tab w:val="left" w:pos="284"/>
        </w:tabs>
        <w:spacing w:before="0" w:after="0"/>
        <w:ind w:left="284" w:hanging="284"/>
        <w:rPr>
          <w:b w:val="0"/>
          <w:sz w:val="14"/>
          <w:szCs w:val="14"/>
          <w:lang w:val="en-AU"/>
        </w:rPr>
      </w:pPr>
      <w:r w:rsidRPr="0036429E">
        <w:rPr>
          <w:b w:val="0"/>
          <w:sz w:val="14"/>
          <w:szCs w:val="14"/>
          <w:lang w:val="en-AU"/>
        </w:rPr>
        <w:t xml:space="preserve">Performance Measures </w:t>
      </w:r>
      <w:r>
        <w:rPr>
          <w:b w:val="0"/>
          <w:sz w:val="14"/>
          <w:szCs w:val="14"/>
          <w:lang w:val="en-AU"/>
        </w:rPr>
        <w:t>2.1, 5.1 and 5.2</w:t>
      </w:r>
      <w:r w:rsidRPr="0036429E">
        <w:rPr>
          <w:b w:val="0"/>
          <w:sz w:val="14"/>
          <w:szCs w:val="14"/>
          <w:lang w:val="en-AU"/>
        </w:rPr>
        <w:t xml:space="preserve"> have been amended, and Performance Measures </w:t>
      </w:r>
      <w:r>
        <w:rPr>
          <w:b w:val="0"/>
          <w:sz w:val="14"/>
          <w:szCs w:val="14"/>
          <w:lang w:val="en-AU"/>
        </w:rPr>
        <w:t xml:space="preserve">2.2, 5.3, 5.4, 8.1 and 8.2 </w:t>
      </w:r>
      <w:r w:rsidRPr="0036429E">
        <w:rPr>
          <w:b w:val="0"/>
          <w:sz w:val="14"/>
          <w:szCs w:val="14"/>
          <w:lang w:val="en-AU"/>
        </w:rPr>
        <w:t>are new for 2024</w:t>
      </w:r>
      <w:r>
        <w:rPr>
          <w:b w:val="0"/>
          <w:sz w:val="14"/>
          <w:szCs w:val="14"/>
          <w:lang w:val="en-AU"/>
        </w:rPr>
        <w:noBreakHyphen/>
      </w:r>
      <w:r w:rsidRPr="0036429E">
        <w:rPr>
          <w:b w:val="0"/>
          <w:sz w:val="14"/>
          <w:szCs w:val="14"/>
          <w:lang w:val="en-AU"/>
        </w:rPr>
        <w:t xml:space="preserve">25, as published in the updated </w:t>
      </w:r>
      <w:r w:rsidRPr="00652D8F">
        <w:rPr>
          <w:b w:val="0"/>
          <w:sz w:val="14"/>
          <w:szCs w:val="14"/>
          <w:lang w:val="en-AU"/>
        </w:rPr>
        <w:t>2024-28 Defence Corporate Plan in March 2025</w:t>
      </w:r>
      <w:r w:rsidRPr="0036429E">
        <w:rPr>
          <w:b w:val="0"/>
          <w:sz w:val="14"/>
          <w:szCs w:val="14"/>
          <w:lang w:val="en-AU"/>
        </w:rPr>
        <w:t>.</w:t>
      </w:r>
    </w:p>
    <w:p w14:paraId="60DB1222" w14:textId="740C965D" w:rsidR="009737EB" w:rsidRPr="00546FD1" w:rsidRDefault="00546FD1" w:rsidP="00444A89">
      <w:pPr>
        <w:pStyle w:val="TableHeading"/>
        <w:numPr>
          <w:ilvl w:val="0"/>
          <w:numId w:val="74"/>
        </w:numPr>
        <w:tabs>
          <w:tab w:val="left" w:pos="284"/>
        </w:tabs>
        <w:spacing w:before="0" w:after="0"/>
        <w:ind w:left="284" w:hanging="284"/>
        <w:rPr>
          <w:b w:val="0"/>
          <w:sz w:val="14"/>
          <w:szCs w:val="14"/>
          <w:lang w:val="en-AU"/>
        </w:rPr>
      </w:pPr>
      <w:r w:rsidRPr="00546FD1">
        <w:rPr>
          <w:b w:val="0"/>
          <w:sz w:val="14"/>
          <w:szCs w:val="14"/>
          <w:lang w:val="en-AU"/>
        </w:rPr>
        <w:t>In accordance with Defence’s Enterprise Performance Framework, Defence is undertaking materiality assessments that may result in updates to the 2025-26 performance information in the 2025-29 Defence Corporate Plan, if required.</w:t>
      </w:r>
    </w:p>
    <w:p w14:paraId="329CB0CB" w14:textId="77777777" w:rsidR="00BF36E5" w:rsidRPr="00DF2A6B" w:rsidRDefault="00312F38" w:rsidP="00D9100A">
      <w:pPr>
        <w:pStyle w:val="TableHeading"/>
        <w:numPr>
          <w:ilvl w:val="0"/>
          <w:numId w:val="29"/>
        </w:numPr>
        <w:tabs>
          <w:tab w:val="left" w:pos="284"/>
        </w:tabs>
        <w:spacing w:before="0" w:after="120"/>
        <w:ind w:left="0" w:firstLine="0"/>
        <w:outlineLvl w:val="6"/>
      </w:pPr>
      <w:r w:rsidRPr="00B56FAA">
        <w:br w:type="page"/>
      </w:r>
      <w:r w:rsidR="00BF36E5" w:rsidRPr="00DF2A6B">
        <w:lastRenderedPageBreak/>
        <w:t>Cost Summary for Program 2.1 Strateg</w:t>
      </w:r>
      <w:r w:rsidR="006B70AF" w:rsidRPr="00DF2A6B">
        <w:t>y,</w:t>
      </w:r>
      <w:r w:rsidR="00BF36E5" w:rsidRPr="00DF2A6B">
        <w:t xml:space="preserve"> Policy and In</w:t>
      </w:r>
      <w:r w:rsidR="006B70AF" w:rsidRPr="00DF2A6B">
        <w:t>dustry</w:t>
      </w:r>
    </w:p>
    <w:p w14:paraId="40372CE5" w14:textId="6F368195" w:rsidR="00DD3E53" w:rsidRPr="00B56FAA" w:rsidRDefault="00AE2E3C" w:rsidP="00656D60">
      <w:pPr>
        <w:spacing w:before="0" w:after="0"/>
      </w:pPr>
      <w:r w:rsidRPr="00AE2E3C">
        <w:rPr>
          <w:noProof/>
          <w:lang w:val="en-AU"/>
        </w:rPr>
        <w:drawing>
          <wp:inline distT="0" distB="0" distL="0" distR="0" wp14:anchorId="71FF4E09" wp14:editId="0E139C38">
            <wp:extent cx="5471795" cy="2857903"/>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71795" cy="2857903"/>
                    </a:xfrm>
                    <a:prstGeom prst="rect">
                      <a:avLst/>
                    </a:prstGeom>
                    <a:noFill/>
                    <a:ln>
                      <a:noFill/>
                    </a:ln>
                  </pic:spPr>
                </pic:pic>
              </a:graphicData>
            </a:graphic>
          </wp:inline>
        </w:drawing>
      </w:r>
    </w:p>
    <w:p w14:paraId="1FC21C2B" w14:textId="77777777" w:rsidR="00656D60" w:rsidRPr="00B56FAA" w:rsidRDefault="00656D60" w:rsidP="00656D60">
      <w:pPr>
        <w:spacing w:before="0" w:after="0"/>
        <w:rPr>
          <w:rFonts w:ascii="Arial" w:hAnsi="Arial"/>
          <w:b/>
          <w:sz w:val="14"/>
          <w:szCs w:val="14"/>
          <w:lang w:val="en-AU"/>
        </w:rPr>
      </w:pPr>
    </w:p>
    <w:p w14:paraId="74BF6254" w14:textId="1818B7EC" w:rsidR="00CB045C" w:rsidRPr="00C5026B" w:rsidRDefault="006B6647" w:rsidP="00C5026B">
      <w:pPr>
        <w:pStyle w:val="BodyText"/>
        <w:spacing w:before="0" w:after="0"/>
        <w:rPr>
          <w:rFonts w:ascii="Arial" w:hAnsi="Arial"/>
          <w:b/>
          <w:sz w:val="14"/>
          <w:szCs w:val="14"/>
          <w:lang w:val="en-AU"/>
        </w:rPr>
      </w:pPr>
      <w:r w:rsidRPr="00C5026B">
        <w:rPr>
          <w:rFonts w:ascii="Arial" w:hAnsi="Arial"/>
          <w:b/>
          <w:sz w:val="14"/>
          <w:szCs w:val="14"/>
          <w:lang w:val="en-AU"/>
        </w:rPr>
        <w:t>Note</w:t>
      </w:r>
      <w:r w:rsidR="009A73A6">
        <w:rPr>
          <w:rFonts w:ascii="Arial" w:hAnsi="Arial"/>
          <w:b/>
          <w:sz w:val="14"/>
          <w:szCs w:val="14"/>
          <w:lang w:val="en-AU"/>
        </w:rPr>
        <w:t>s</w:t>
      </w:r>
    </w:p>
    <w:p w14:paraId="6E59FD06" w14:textId="73812A5D" w:rsidR="00B769E6" w:rsidRPr="00B769E6" w:rsidRDefault="00B769E6" w:rsidP="00444A89">
      <w:pPr>
        <w:pStyle w:val="BodyText"/>
        <w:numPr>
          <w:ilvl w:val="0"/>
          <w:numId w:val="72"/>
        </w:numPr>
        <w:spacing w:before="0" w:after="0"/>
        <w:ind w:left="284" w:hanging="284"/>
        <w:rPr>
          <w:rFonts w:ascii="Arial" w:hAnsi="Arial"/>
          <w:sz w:val="14"/>
          <w:szCs w:val="14"/>
          <w:lang w:val="en-AU"/>
        </w:rPr>
      </w:pPr>
      <w:r w:rsidRPr="00B769E6">
        <w:rPr>
          <w:rFonts w:ascii="Arial" w:hAnsi="Arial"/>
          <w:sz w:val="14"/>
          <w:szCs w:val="14"/>
          <w:lang w:val="en-AU"/>
        </w:rPr>
        <w:t>Negative amounts denote a Net reversal of previous asset write-downs (Net write-on position). Total Defence is in a Net write-down and impairment of assets position in 2024-25 Estimated Actual, 2025-26 Budget Estimate and the Forward Estimates. This program is in a Net write-on position in 2024-25 Estimated Actual, 2025-26 Budget Estimate and the Forward Estimates.</w:t>
      </w:r>
      <w:r w:rsidRPr="00B769E6">
        <w:rPr>
          <w:rFonts w:ascii="Arial" w:hAnsi="Arial"/>
          <w:sz w:val="14"/>
          <w:szCs w:val="14"/>
          <w:lang w:val="en-AU"/>
        </w:rPr>
        <w:tab/>
      </w:r>
      <w:r w:rsidRPr="00B769E6">
        <w:rPr>
          <w:rFonts w:ascii="Arial" w:hAnsi="Arial"/>
          <w:sz w:val="14"/>
          <w:szCs w:val="14"/>
          <w:lang w:val="en-AU"/>
        </w:rPr>
        <w:tab/>
      </w:r>
      <w:r w:rsidRPr="00B769E6">
        <w:rPr>
          <w:rFonts w:ascii="Arial" w:hAnsi="Arial"/>
          <w:sz w:val="14"/>
          <w:szCs w:val="14"/>
          <w:lang w:val="en-AU"/>
        </w:rPr>
        <w:tab/>
      </w:r>
      <w:r w:rsidRPr="00B769E6">
        <w:rPr>
          <w:rFonts w:ascii="Arial" w:hAnsi="Arial"/>
          <w:sz w:val="14"/>
          <w:szCs w:val="14"/>
          <w:lang w:val="en-AU"/>
        </w:rPr>
        <w:tab/>
      </w:r>
      <w:r w:rsidRPr="00B769E6">
        <w:rPr>
          <w:rFonts w:ascii="Arial" w:hAnsi="Arial"/>
          <w:sz w:val="14"/>
          <w:szCs w:val="14"/>
          <w:lang w:val="en-AU"/>
        </w:rPr>
        <w:tab/>
      </w:r>
    </w:p>
    <w:p w14:paraId="6D2C2002" w14:textId="334B6199" w:rsidR="006B6647" w:rsidRPr="00C5026B" w:rsidRDefault="00B769E6" w:rsidP="00444A89">
      <w:pPr>
        <w:pStyle w:val="BodyText"/>
        <w:numPr>
          <w:ilvl w:val="0"/>
          <w:numId w:val="72"/>
        </w:numPr>
        <w:spacing w:before="0" w:after="0"/>
        <w:ind w:left="284" w:hanging="284"/>
        <w:rPr>
          <w:rFonts w:ascii="Arial" w:hAnsi="Arial"/>
          <w:sz w:val="14"/>
          <w:szCs w:val="14"/>
          <w:lang w:val="en-AU"/>
        </w:rPr>
      </w:pPr>
      <w:r w:rsidRPr="00B769E6">
        <w:rPr>
          <w:rFonts w:ascii="Arial" w:hAnsi="Arial"/>
          <w:sz w:val="14"/>
          <w:szCs w:val="14"/>
          <w:lang w:val="en-AU"/>
        </w:rPr>
        <w:t>Total Program funded expenditure includes operating expenses and capital expenditure funded by appropriation and own source revenue. This excludes expenses not requiring appropriation</w:t>
      </w:r>
      <w:r w:rsidRPr="00B769E6">
        <w:rPr>
          <w:rFonts w:ascii="Arial" w:hAnsi="Arial"/>
          <w:sz w:val="14"/>
          <w:szCs w:val="14"/>
          <w:lang w:val="en-AU"/>
        </w:rPr>
        <w:tab/>
      </w:r>
      <w:r w:rsidRPr="00B769E6">
        <w:rPr>
          <w:rFonts w:ascii="Arial" w:hAnsi="Arial"/>
          <w:sz w:val="14"/>
          <w:szCs w:val="14"/>
          <w:lang w:val="en-AU"/>
        </w:rPr>
        <w:tab/>
      </w:r>
      <w:r w:rsidRPr="00B769E6">
        <w:rPr>
          <w:rFonts w:ascii="Arial" w:hAnsi="Arial"/>
          <w:sz w:val="14"/>
          <w:szCs w:val="14"/>
          <w:lang w:val="en-AU"/>
        </w:rPr>
        <w:tab/>
      </w:r>
      <w:r w:rsidRPr="00B769E6">
        <w:rPr>
          <w:rFonts w:ascii="Arial" w:hAnsi="Arial"/>
          <w:sz w:val="14"/>
          <w:szCs w:val="14"/>
          <w:lang w:val="en-AU"/>
        </w:rPr>
        <w:tab/>
      </w:r>
      <w:r w:rsidRPr="00B769E6">
        <w:rPr>
          <w:rFonts w:ascii="Arial" w:hAnsi="Arial"/>
          <w:sz w:val="14"/>
          <w:szCs w:val="14"/>
          <w:lang w:val="en-AU"/>
        </w:rPr>
        <w:tab/>
      </w:r>
      <w:r w:rsidR="005E0F67" w:rsidRPr="005E0F67">
        <w:rPr>
          <w:rFonts w:ascii="Arial" w:hAnsi="Arial"/>
          <w:sz w:val="14"/>
          <w:szCs w:val="14"/>
          <w:lang w:val="en-AU"/>
        </w:rPr>
        <w:t>.</w:t>
      </w:r>
      <w:r w:rsidR="005E0F67" w:rsidRPr="005E0F67">
        <w:rPr>
          <w:rFonts w:ascii="Arial" w:hAnsi="Arial"/>
          <w:sz w:val="14"/>
          <w:szCs w:val="14"/>
          <w:lang w:val="en-AU"/>
        </w:rPr>
        <w:tab/>
      </w:r>
      <w:r w:rsidR="005E0F67" w:rsidRPr="005E0F67">
        <w:rPr>
          <w:rFonts w:ascii="Arial" w:hAnsi="Arial"/>
          <w:sz w:val="14"/>
          <w:szCs w:val="14"/>
          <w:lang w:val="en-AU"/>
        </w:rPr>
        <w:tab/>
      </w:r>
      <w:r w:rsidR="005E0F67" w:rsidRPr="005E0F67">
        <w:rPr>
          <w:rFonts w:ascii="Arial" w:hAnsi="Arial"/>
          <w:sz w:val="14"/>
          <w:szCs w:val="14"/>
          <w:lang w:val="en-AU"/>
        </w:rPr>
        <w:tab/>
      </w:r>
      <w:r w:rsidR="005E0F67" w:rsidRPr="005E0F67">
        <w:rPr>
          <w:rFonts w:ascii="Arial" w:hAnsi="Arial"/>
          <w:sz w:val="14"/>
          <w:szCs w:val="14"/>
          <w:lang w:val="en-AU"/>
        </w:rPr>
        <w:tab/>
      </w:r>
      <w:r w:rsidR="005E0F67" w:rsidRPr="005E0F67">
        <w:rPr>
          <w:rFonts w:ascii="Arial" w:hAnsi="Arial"/>
          <w:sz w:val="14"/>
          <w:szCs w:val="14"/>
          <w:lang w:val="en-AU"/>
        </w:rPr>
        <w:tab/>
      </w:r>
      <w:r w:rsidR="006C3844">
        <w:rPr>
          <w:rFonts w:ascii="Arial" w:hAnsi="Arial"/>
          <w:sz w:val="14"/>
          <w:szCs w:val="14"/>
          <w:lang w:val="en-AU"/>
        </w:rPr>
        <w:t xml:space="preserve"> </w:t>
      </w:r>
      <w:r w:rsidR="006C3844">
        <w:rPr>
          <w:rFonts w:ascii="Arial" w:hAnsi="Arial"/>
          <w:sz w:val="14"/>
          <w:szCs w:val="14"/>
          <w:lang w:val="en-AU"/>
        </w:rPr>
        <w:tab/>
      </w:r>
      <w:r w:rsidR="00DF2A6B" w:rsidRPr="00C5026B">
        <w:rPr>
          <w:rFonts w:ascii="Arial" w:hAnsi="Arial"/>
          <w:sz w:val="14"/>
          <w:szCs w:val="14"/>
          <w:lang w:val="en-AU"/>
        </w:rPr>
        <w:tab/>
      </w:r>
      <w:r w:rsidR="00DF2A6B" w:rsidRPr="00C5026B">
        <w:rPr>
          <w:rFonts w:ascii="Arial" w:hAnsi="Arial"/>
          <w:sz w:val="14"/>
          <w:szCs w:val="14"/>
          <w:lang w:val="en-AU"/>
        </w:rPr>
        <w:tab/>
      </w:r>
      <w:r w:rsidR="00DF2A6B" w:rsidRPr="00C5026B">
        <w:rPr>
          <w:rFonts w:ascii="Arial" w:hAnsi="Arial"/>
          <w:sz w:val="14"/>
          <w:szCs w:val="14"/>
          <w:lang w:val="en-AU"/>
        </w:rPr>
        <w:tab/>
      </w:r>
      <w:r w:rsidR="00DF2A6B" w:rsidRPr="00C5026B">
        <w:rPr>
          <w:rFonts w:ascii="Arial" w:hAnsi="Arial"/>
          <w:sz w:val="14"/>
          <w:szCs w:val="14"/>
          <w:lang w:val="en-AU"/>
        </w:rPr>
        <w:tab/>
      </w:r>
      <w:r w:rsidR="00DF2A6B" w:rsidRPr="00C5026B">
        <w:rPr>
          <w:rFonts w:ascii="Arial" w:hAnsi="Arial"/>
          <w:sz w:val="14"/>
          <w:szCs w:val="14"/>
          <w:lang w:val="en-AU"/>
        </w:rPr>
        <w:tab/>
      </w:r>
    </w:p>
    <w:p w14:paraId="50D4D15B" w14:textId="77777777" w:rsidR="009218A1" w:rsidRPr="00B56FAA" w:rsidRDefault="007545AC" w:rsidP="006B6647">
      <w:pPr>
        <w:spacing w:before="0" w:after="0"/>
        <w:ind w:left="142" w:hanging="142"/>
        <w:outlineLvl w:val="5"/>
        <w:rPr>
          <w:color w:val="FFFFFF"/>
          <w:sz w:val="2"/>
        </w:rPr>
      </w:pPr>
      <w:r w:rsidRPr="00B56FAA">
        <w:rPr>
          <w:rFonts w:ascii="Arial" w:hAnsi="Arial"/>
          <w:b/>
          <w:lang w:val="en-AU"/>
        </w:rPr>
        <w:br w:type="page"/>
      </w:r>
      <w:r w:rsidR="009218A1" w:rsidRPr="00B56FAA">
        <w:rPr>
          <w:color w:val="FFFFFF"/>
          <w:sz w:val="2"/>
        </w:rPr>
        <w:lastRenderedPageBreak/>
        <w:t>Program 2.2: Defence Executive Support</w:t>
      </w:r>
    </w:p>
    <w:tbl>
      <w:tblPr>
        <w:tblW w:w="4852"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1799"/>
        <w:gridCol w:w="3174"/>
        <w:gridCol w:w="3379"/>
      </w:tblGrid>
      <w:tr w:rsidR="00737EBD" w:rsidRPr="00B56FAA" w14:paraId="664AF1D8" w14:textId="77777777" w:rsidTr="00CC337B">
        <w:tc>
          <w:tcPr>
            <w:tcW w:w="8352" w:type="dxa"/>
            <w:gridSpan w:val="3"/>
            <w:tcBorders>
              <w:top w:val="single" w:sz="4" w:space="0" w:color="auto"/>
              <w:bottom w:val="single" w:sz="4" w:space="0" w:color="auto"/>
            </w:tcBorders>
            <w:shd w:val="clear" w:color="auto" w:fill="CCCCCC"/>
          </w:tcPr>
          <w:p w14:paraId="0F7067CE" w14:textId="77777777" w:rsidR="00737EBD" w:rsidRPr="00B56FAA" w:rsidRDefault="00737EBD" w:rsidP="003D1066">
            <w:pPr>
              <w:pStyle w:val="Heading5"/>
              <w:spacing w:before="60" w:after="60"/>
              <w:rPr>
                <w:rFonts w:ascii="Book Antiqua" w:hAnsi="Book Antiqua"/>
                <w:bCs w:val="0"/>
                <w:iCs w:val="0"/>
                <w:szCs w:val="24"/>
              </w:rPr>
            </w:pPr>
            <w:r w:rsidRPr="00B56FAA">
              <w:rPr>
                <w:rFonts w:ascii="Book Antiqua" w:hAnsi="Book Antiqua"/>
                <w:b w:val="0"/>
                <w:bCs w:val="0"/>
                <w:iCs w:val="0"/>
                <w:szCs w:val="24"/>
              </w:rPr>
              <w:br w:type="page"/>
            </w:r>
            <w:r w:rsidRPr="00B56FAA">
              <w:t xml:space="preserve">Program 2.2: </w:t>
            </w:r>
            <w:r w:rsidR="003D1066" w:rsidRPr="00B56FAA">
              <w:t>Defence Executive Support</w:t>
            </w:r>
            <w:r w:rsidR="0094536C">
              <w:t xml:space="preserve"> (including Governance Group)</w:t>
            </w:r>
          </w:p>
        </w:tc>
      </w:tr>
      <w:tr w:rsidR="00F10E14" w:rsidRPr="00B56FAA" w14:paraId="2A54376B" w14:textId="77777777" w:rsidTr="00EB5E45">
        <w:trPr>
          <w:trHeight w:val="170"/>
        </w:trPr>
        <w:tc>
          <w:tcPr>
            <w:tcW w:w="8352" w:type="dxa"/>
            <w:gridSpan w:val="3"/>
            <w:tcBorders>
              <w:left w:val="single" w:sz="4" w:space="0" w:color="auto"/>
              <w:bottom w:val="single" w:sz="4" w:space="0" w:color="auto"/>
              <w:right w:val="single" w:sz="4" w:space="0" w:color="auto"/>
            </w:tcBorders>
            <w:shd w:val="clear" w:color="auto" w:fill="auto"/>
          </w:tcPr>
          <w:p w14:paraId="642CEB85" w14:textId="77777777" w:rsidR="00F10E14" w:rsidRPr="00B56FAA" w:rsidRDefault="00F10E14" w:rsidP="00F10E14">
            <w:pPr>
              <w:pStyle w:val="Heading5"/>
              <w:spacing w:before="0" w:after="0"/>
              <w:rPr>
                <w:b w:val="0"/>
                <w:bCs w:val="0"/>
                <w:iCs w:val="0"/>
                <w:sz w:val="16"/>
                <w:szCs w:val="16"/>
              </w:rPr>
            </w:pPr>
          </w:p>
        </w:tc>
      </w:tr>
      <w:tr w:rsidR="00737EBD" w:rsidRPr="00CD66E1" w14:paraId="5A113B88" w14:textId="77777777" w:rsidTr="0004322A">
        <w:tblPrEx>
          <w:shd w:val="clear" w:color="auto" w:fill="auto"/>
          <w:tblLook w:val="04A0" w:firstRow="1" w:lastRow="0" w:firstColumn="1" w:lastColumn="0" w:noHBand="0" w:noVBand="1"/>
        </w:tblPrEx>
        <w:trPr>
          <w:tblHeader/>
        </w:trPr>
        <w:tc>
          <w:tcPr>
            <w:tcW w:w="8352" w:type="dxa"/>
            <w:gridSpan w:val="3"/>
            <w:shd w:val="clear" w:color="auto" w:fill="F2F2F2"/>
          </w:tcPr>
          <w:p w14:paraId="7BDEBF23" w14:textId="77777777" w:rsidR="00737EBD" w:rsidRPr="00030A6A" w:rsidRDefault="00737EBD" w:rsidP="00FF23EB">
            <w:pPr>
              <w:tabs>
                <w:tab w:val="left" w:pos="709"/>
              </w:tabs>
              <w:spacing w:before="0" w:after="0"/>
              <w:rPr>
                <w:rFonts w:ascii="Arial" w:hAnsi="Arial"/>
                <w:sz w:val="16"/>
                <w:szCs w:val="16"/>
              </w:rPr>
            </w:pPr>
            <w:r w:rsidRPr="00030A6A">
              <w:rPr>
                <w:rFonts w:ascii="Arial" w:hAnsi="Arial"/>
                <w:b/>
                <w:sz w:val="16"/>
                <w:szCs w:val="16"/>
              </w:rPr>
              <w:t>Program 2.2</w:t>
            </w:r>
            <w:r w:rsidRPr="00030A6A">
              <w:rPr>
                <w:rFonts w:ascii="Arial" w:hAnsi="Arial"/>
                <w:sz w:val="16"/>
                <w:szCs w:val="16"/>
              </w:rPr>
              <w:t xml:space="preserve"> </w:t>
            </w:r>
            <w:r w:rsidRPr="00030A6A">
              <w:rPr>
                <w:rFonts w:ascii="Arial" w:hAnsi="Arial"/>
                <w:b/>
                <w:sz w:val="16"/>
                <w:szCs w:val="16"/>
              </w:rPr>
              <w:t>Objective</w:t>
            </w:r>
          </w:p>
          <w:p w14:paraId="2B57958E" w14:textId="77777777" w:rsidR="00737EBD" w:rsidRPr="00CD66E1" w:rsidRDefault="00B260C3" w:rsidP="00FF23EB">
            <w:pPr>
              <w:tabs>
                <w:tab w:val="left" w:pos="709"/>
              </w:tabs>
              <w:spacing w:before="0" w:after="0"/>
              <w:rPr>
                <w:rFonts w:ascii="Arial" w:hAnsi="Arial"/>
                <w:sz w:val="16"/>
                <w:szCs w:val="16"/>
                <w:highlight w:val="yellow"/>
              </w:rPr>
            </w:pPr>
            <w:r w:rsidRPr="00030A6A">
              <w:rPr>
                <w:rFonts w:ascii="Arial" w:hAnsi="Arial"/>
                <w:sz w:val="16"/>
                <w:szCs w:val="16"/>
                <w:lang w:val="en-AU"/>
              </w:rPr>
              <w:t>To integrate parts of Defence to deliver more effective and efficient outcomes, particularly in the areas of service delivery. The Associate Secretary operates the One Defence business model on behalf of the Secretary and Chief of the Defence Force.</w:t>
            </w:r>
          </w:p>
        </w:tc>
      </w:tr>
      <w:tr w:rsidR="00737EBD" w:rsidRPr="00CD66E1" w14:paraId="3A747486" w14:textId="77777777" w:rsidTr="003C0162">
        <w:tblPrEx>
          <w:shd w:val="clear" w:color="auto" w:fill="auto"/>
          <w:tblLook w:val="04A0" w:firstRow="1" w:lastRow="0" w:firstColumn="1" w:lastColumn="0" w:noHBand="0" w:noVBand="1"/>
        </w:tblPrEx>
        <w:trPr>
          <w:trHeight w:val="312"/>
        </w:trPr>
        <w:tc>
          <w:tcPr>
            <w:tcW w:w="1799" w:type="dxa"/>
            <w:tcBorders>
              <w:bottom w:val="single" w:sz="4" w:space="0" w:color="auto"/>
            </w:tcBorders>
            <w:shd w:val="clear" w:color="auto" w:fill="auto"/>
          </w:tcPr>
          <w:p w14:paraId="6225AD2A" w14:textId="3C3BB854" w:rsidR="00737EBD" w:rsidRPr="00030A6A" w:rsidRDefault="00523513" w:rsidP="00F55367">
            <w:pPr>
              <w:tabs>
                <w:tab w:val="left" w:pos="709"/>
              </w:tabs>
              <w:spacing w:before="60" w:after="60"/>
              <w:rPr>
                <w:rFonts w:ascii="Arial" w:hAnsi="Arial"/>
                <w:b/>
                <w:color w:val="000000"/>
                <w:sz w:val="16"/>
                <w:szCs w:val="16"/>
              </w:rPr>
            </w:pPr>
            <w:r w:rsidRPr="00030A6A">
              <w:rPr>
                <w:rFonts w:ascii="Arial" w:hAnsi="Arial"/>
                <w:b/>
                <w:color w:val="000000"/>
                <w:sz w:val="16"/>
                <w:szCs w:val="16"/>
              </w:rPr>
              <w:t xml:space="preserve">Key Activities </w:t>
            </w:r>
          </w:p>
        </w:tc>
        <w:tc>
          <w:tcPr>
            <w:tcW w:w="6553" w:type="dxa"/>
            <w:gridSpan w:val="2"/>
            <w:tcBorders>
              <w:bottom w:val="single" w:sz="4" w:space="0" w:color="auto"/>
            </w:tcBorders>
          </w:tcPr>
          <w:p w14:paraId="5A711F83" w14:textId="77777777" w:rsidR="00A01828" w:rsidRPr="00002F5C" w:rsidRDefault="00A01828" w:rsidP="00B73CFB">
            <w:pPr>
              <w:tabs>
                <w:tab w:val="left" w:pos="709"/>
              </w:tabs>
              <w:spacing w:before="60" w:after="60"/>
              <w:rPr>
                <w:rFonts w:ascii="Arial" w:hAnsi="Arial"/>
                <w:sz w:val="16"/>
                <w:szCs w:val="16"/>
                <w:lang w:val="en-AU"/>
              </w:rPr>
            </w:pPr>
            <w:r w:rsidRPr="00002F5C">
              <w:rPr>
                <w:rFonts w:ascii="Arial" w:hAnsi="Arial"/>
                <w:sz w:val="16"/>
                <w:szCs w:val="16"/>
                <w:lang w:val="en-AU"/>
              </w:rPr>
              <w:t>This program will be achieved through the following activities:</w:t>
            </w:r>
          </w:p>
          <w:p w14:paraId="40D2DD13" w14:textId="77777777" w:rsidR="00A01828" w:rsidRPr="00030A6A" w:rsidRDefault="00A01828" w:rsidP="00BA7472">
            <w:pPr>
              <w:tabs>
                <w:tab w:val="left" w:pos="343"/>
              </w:tabs>
              <w:spacing w:before="60" w:after="0"/>
              <w:rPr>
                <w:rFonts w:ascii="Arial" w:hAnsi="Arial"/>
                <w:sz w:val="16"/>
                <w:szCs w:val="16"/>
                <w:lang w:val="en-AU"/>
              </w:rPr>
            </w:pPr>
            <w:r w:rsidRPr="00030A6A">
              <w:rPr>
                <w:rFonts w:ascii="Arial" w:hAnsi="Arial"/>
                <w:b/>
                <w:sz w:val="16"/>
                <w:szCs w:val="16"/>
                <w:lang w:val="en-AU"/>
              </w:rPr>
              <w:t>4. Invest in Defence People</w:t>
            </w:r>
            <w:r w:rsidRPr="00030A6A">
              <w:rPr>
                <w:rFonts w:ascii="Arial" w:hAnsi="Arial"/>
                <w:sz w:val="16"/>
                <w:szCs w:val="16"/>
                <w:lang w:val="en-AU"/>
              </w:rPr>
              <w:t>. Defence has an integrated workforce comprised of Australian Defence Force members, Australian Public Service employees and contractors. We are committed to investing in the growth and retention of a highly skilled workforce to meet Australia’s defence and national security requirements.</w:t>
            </w:r>
          </w:p>
          <w:p w14:paraId="7477FEBC" w14:textId="77777777" w:rsidR="00737EBD" w:rsidRPr="00030A6A" w:rsidRDefault="00A01828" w:rsidP="00B260C3">
            <w:pPr>
              <w:tabs>
                <w:tab w:val="left" w:pos="343"/>
              </w:tabs>
              <w:spacing w:before="60" w:after="60"/>
              <w:rPr>
                <w:rFonts w:ascii="Arial" w:hAnsi="Arial"/>
                <w:i/>
                <w:color w:val="000000"/>
                <w:sz w:val="16"/>
                <w:szCs w:val="16"/>
              </w:rPr>
            </w:pPr>
            <w:r w:rsidRPr="00030A6A">
              <w:rPr>
                <w:rFonts w:ascii="Arial" w:hAnsi="Arial"/>
                <w:b/>
                <w:sz w:val="16"/>
                <w:szCs w:val="16"/>
                <w:lang w:val="en-AU"/>
              </w:rPr>
              <w:t>6. Deliver future capability</w:t>
            </w:r>
            <w:r w:rsidRPr="00030A6A">
              <w:rPr>
                <w:rFonts w:ascii="Arial" w:hAnsi="Arial"/>
                <w:sz w:val="16"/>
                <w:szCs w:val="16"/>
                <w:lang w:val="en-AU"/>
              </w:rPr>
              <w:t xml:space="preserve">. </w:t>
            </w:r>
            <w:r w:rsidR="00352D16" w:rsidRPr="00030A6A">
              <w:rPr>
                <w:rFonts w:ascii="Arial" w:hAnsi="Arial"/>
                <w:sz w:val="16"/>
                <w:szCs w:val="16"/>
              </w:rPr>
              <w:t>Defence will accelerate the development of important capabilities over the next decade to build an integrated, focused force across the maritime, land, air, space and cyber domains. This will ensure the Australian Defence Force has the capacity to defend Australia and its national interests in our evolving strategic circumstances and deter adversaries through a strategy of denial</w:t>
            </w:r>
            <w:r w:rsidRPr="00030A6A">
              <w:rPr>
                <w:rFonts w:ascii="Arial" w:hAnsi="Arial"/>
                <w:sz w:val="16"/>
                <w:szCs w:val="16"/>
                <w:lang w:val="en-AU"/>
              </w:rPr>
              <w:t>.</w:t>
            </w:r>
          </w:p>
        </w:tc>
      </w:tr>
      <w:tr w:rsidR="00E02180" w:rsidRPr="00D162CC" w14:paraId="7D06A090" w14:textId="77777777" w:rsidTr="003C0162">
        <w:tblPrEx>
          <w:shd w:val="clear" w:color="auto" w:fill="auto"/>
          <w:tblLook w:val="04A0" w:firstRow="1" w:lastRow="0" w:firstColumn="1" w:lastColumn="0" w:noHBand="0" w:noVBand="1"/>
        </w:tblPrEx>
        <w:trPr>
          <w:trHeight w:val="100"/>
        </w:trPr>
        <w:tc>
          <w:tcPr>
            <w:tcW w:w="1799" w:type="dxa"/>
            <w:tcBorders>
              <w:top w:val="single" w:sz="4" w:space="0" w:color="auto"/>
              <w:bottom w:val="single" w:sz="4" w:space="0" w:color="auto"/>
              <w:right w:val="single" w:sz="4" w:space="0" w:color="auto"/>
            </w:tcBorders>
            <w:shd w:val="clear" w:color="auto" w:fill="auto"/>
          </w:tcPr>
          <w:p w14:paraId="20A706D5" w14:textId="77777777" w:rsidR="00E02180" w:rsidRPr="00AB7E96" w:rsidRDefault="00E02180" w:rsidP="00E02180">
            <w:pPr>
              <w:tabs>
                <w:tab w:val="left" w:pos="709"/>
              </w:tabs>
              <w:spacing w:before="60" w:after="60"/>
              <w:rPr>
                <w:rFonts w:ascii="Arial" w:hAnsi="Arial"/>
                <w:b/>
                <w:color w:val="000000"/>
                <w:sz w:val="16"/>
                <w:szCs w:val="16"/>
              </w:rPr>
            </w:pPr>
            <w:r w:rsidRPr="00D162CC">
              <w:rPr>
                <w:rFonts w:ascii="Arial" w:hAnsi="Arial"/>
                <w:b/>
                <w:color w:val="000000"/>
                <w:sz w:val="16"/>
                <w:szCs w:val="16"/>
              </w:rPr>
              <w:t>Year</w:t>
            </w:r>
          </w:p>
        </w:tc>
        <w:tc>
          <w:tcPr>
            <w:tcW w:w="3174" w:type="dxa"/>
            <w:tcBorders>
              <w:top w:val="single" w:sz="4" w:space="0" w:color="auto"/>
              <w:left w:val="single" w:sz="4" w:space="0" w:color="auto"/>
              <w:bottom w:val="single" w:sz="4" w:space="0" w:color="auto"/>
              <w:right w:val="single" w:sz="4" w:space="0" w:color="auto"/>
            </w:tcBorders>
          </w:tcPr>
          <w:p w14:paraId="42BDDE2A" w14:textId="77777777" w:rsidR="00E02180" w:rsidRPr="00D162CC" w:rsidRDefault="00E02180" w:rsidP="00650411">
            <w:pPr>
              <w:tabs>
                <w:tab w:val="left" w:pos="709"/>
              </w:tabs>
              <w:spacing w:before="60" w:after="60"/>
              <w:rPr>
                <w:rFonts w:ascii="Arial" w:hAnsi="Arial"/>
                <w:color w:val="000000"/>
              </w:rPr>
            </w:pPr>
            <w:r w:rsidRPr="00D162CC">
              <w:rPr>
                <w:rFonts w:ascii="Arial" w:hAnsi="Arial"/>
                <w:b/>
                <w:color w:val="000000"/>
                <w:sz w:val="16"/>
                <w:szCs w:val="16"/>
              </w:rPr>
              <w:t>Performance measures</w:t>
            </w:r>
          </w:p>
        </w:tc>
        <w:tc>
          <w:tcPr>
            <w:tcW w:w="3379" w:type="dxa"/>
            <w:tcBorders>
              <w:top w:val="single" w:sz="4" w:space="0" w:color="auto"/>
              <w:left w:val="single" w:sz="4" w:space="0" w:color="auto"/>
              <w:bottom w:val="single" w:sz="4" w:space="0" w:color="auto"/>
            </w:tcBorders>
          </w:tcPr>
          <w:p w14:paraId="0900C15C" w14:textId="77777777" w:rsidR="00E02180" w:rsidRPr="00D162CC" w:rsidRDefault="00047AC0" w:rsidP="0045486A">
            <w:pPr>
              <w:tabs>
                <w:tab w:val="left" w:pos="709"/>
              </w:tabs>
              <w:spacing w:before="60" w:after="60"/>
              <w:rPr>
                <w:rFonts w:ascii="Arial" w:hAnsi="Arial"/>
                <w:i/>
                <w:color w:val="000000"/>
                <w:sz w:val="16"/>
                <w:szCs w:val="16"/>
              </w:rPr>
            </w:pPr>
            <w:r w:rsidRPr="00D162CC">
              <w:rPr>
                <w:rFonts w:ascii="Arial" w:hAnsi="Arial"/>
                <w:b/>
                <w:color w:val="000000"/>
                <w:sz w:val="16"/>
                <w:szCs w:val="16"/>
              </w:rPr>
              <w:t>Expected Performance Results</w:t>
            </w:r>
          </w:p>
        </w:tc>
      </w:tr>
      <w:tr w:rsidR="00CC337B" w:rsidRPr="00D162CC" w14:paraId="7C7FB011" w14:textId="77777777" w:rsidTr="003C0162">
        <w:tblPrEx>
          <w:shd w:val="clear" w:color="auto" w:fill="auto"/>
          <w:tblLook w:val="04A0" w:firstRow="1" w:lastRow="0" w:firstColumn="1" w:lastColumn="0" w:noHBand="0" w:noVBand="1"/>
        </w:tblPrEx>
        <w:trPr>
          <w:trHeight w:val="470"/>
        </w:trPr>
        <w:tc>
          <w:tcPr>
            <w:tcW w:w="1799" w:type="dxa"/>
            <w:vMerge w:val="restart"/>
            <w:tcBorders>
              <w:top w:val="single" w:sz="4" w:space="0" w:color="auto"/>
              <w:right w:val="single" w:sz="4" w:space="0" w:color="auto"/>
            </w:tcBorders>
            <w:shd w:val="clear" w:color="auto" w:fill="auto"/>
          </w:tcPr>
          <w:p w14:paraId="024AB2B8" w14:textId="77777777" w:rsidR="00CC337B" w:rsidRPr="00D162CC" w:rsidRDefault="00CC337B" w:rsidP="00D162CC">
            <w:pPr>
              <w:tabs>
                <w:tab w:val="left" w:pos="709"/>
              </w:tabs>
              <w:spacing w:before="0" w:after="0"/>
              <w:rPr>
                <w:rFonts w:ascii="Arial" w:hAnsi="Arial"/>
                <w:color w:val="000000"/>
                <w:sz w:val="16"/>
                <w:szCs w:val="16"/>
              </w:rPr>
            </w:pPr>
            <w:r w:rsidRPr="00D162CC">
              <w:rPr>
                <w:rFonts w:ascii="Arial" w:hAnsi="Arial"/>
                <w:color w:val="000000"/>
                <w:sz w:val="16"/>
                <w:szCs w:val="16"/>
              </w:rPr>
              <w:t>Current Year</w:t>
            </w:r>
          </w:p>
          <w:p w14:paraId="06B700CF" w14:textId="77777777" w:rsidR="00CC337B" w:rsidRPr="00D162CC" w:rsidRDefault="00CC337B" w:rsidP="00D162CC">
            <w:pPr>
              <w:tabs>
                <w:tab w:val="left" w:pos="709"/>
              </w:tabs>
              <w:spacing w:before="0" w:after="0"/>
              <w:rPr>
                <w:rFonts w:ascii="Arial" w:hAnsi="Arial"/>
                <w:color w:val="000000"/>
                <w:sz w:val="16"/>
                <w:szCs w:val="16"/>
              </w:rPr>
            </w:pPr>
            <w:r w:rsidRPr="00D162CC">
              <w:rPr>
                <w:rFonts w:ascii="Arial" w:hAnsi="Arial"/>
                <w:color w:val="000000"/>
                <w:sz w:val="16"/>
                <w:szCs w:val="16"/>
              </w:rPr>
              <w:t>2024-25</w:t>
            </w:r>
            <w:r>
              <w:rPr>
                <w:rFonts w:ascii="Arial" w:hAnsi="Arial"/>
                <w:color w:val="000000"/>
                <w:sz w:val="16"/>
                <w:szCs w:val="16"/>
              </w:rPr>
              <w:t xml:space="preserve"> </w:t>
            </w:r>
            <w:r w:rsidRPr="00D162CC">
              <w:rPr>
                <w:rFonts w:ascii="Arial" w:hAnsi="Arial"/>
                <w:color w:val="000000"/>
                <w:sz w:val="16"/>
                <w:szCs w:val="16"/>
                <w:vertAlign w:val="superscript"/>
              </w:rPr>
              <w:t>[a]</w:t>
            </w:r>
          </w:p>
        </w:tc>
        <w:tc>
          <w:tcPr>
            <w:tcW w:w="3174" w:type="dxa"/>
            <w:tcBorders>
              <w:top w:val="single" w:sz="4" w:space="0" w:color="auto"/>
              <w:left w:val="single" w:sz="4" w:space="0" w:color="auto"/>
              <w:bottom w:val="dotted" w:sz="4" w:space="0" w:color="auto"/>
              <w:right w:val="single" w:sz="4" w:space="0" w:color="auto"/>
            </w:tcBorders>
          </w:tcPr>
          <w:p w14:paraId="35A6AF03" w14:textId="77777777" w:rsidR="00CC337B" w:rsidRPr="000E0486" w:rsidRDefault="00CC337B" w:rsidP="00D162CC">
            <w:pPr>
              <w:tabs>
                <w:tab w:val="left" w:pos="709"/>
              </w:tabs>
              <w:spacing w:before="60" w:after="60"/>
              <w:rPr>
                <w:rFonts w:ascii="Arial" w:hAnsi="Arial"/>
                <w:sz w:val="16"/>
                <w:szCs w:val="16"/>
                <w:lang w:val="en-AU"/>
              </w:rPr>
            </w:pPr>
            <w:r w:rsidRPr="000E0486">
              <w:rPr>
                <w:rFonts w:ascii="Arial" w:hAnsi="Arial"/>
                <w:sz w:val="16"/>
                <w:szCs w:val="16"/>
                <w:lang w:val="en-AU"/>
              </w:rPr>
              <w:t>4.1: Defence recruits and retains an ADF and APS workforce to support the Defence mission.</w:t>
            </w:r>
          </w:p>
        </w:tc>
        <w:tc>
          <w:tcPr>
            <w:tcW w:w="3379" w:type="dxa"/>
            <w:tcBorders>
              <w:top w:val="single" w:sz="4" w:space="0" w:color="auto"/>
              <w:left w:val="single" w:sz="4" w:space="0" w:color="auto"/>
              <w:bottom w:val="dotted" w:sz="4" w:space="0" w:color="auto"/>
            </w:tcBorders>
          </w:tcPr>
          <w:p w14:paraId="3C6EA712" w14:textId="77777777" w:rsidR="00CC337B" w:rsidRPr="00CC337B" w:rsidRDefault="00CC337B" w:rsidP="00B73CFB">
            <w:pPr>
              <w:tabs>
                <w:tab w:val="left" w:pos="709"/>
              </w:tabs>
              <w:spacing w:before="60" w:after="60"/>
              <w:rPr>
                <w:rFonts w:ascii="Arial" w:hAnsi="Arial"/>
                <w:sz w:val="16"/>
                <w:szCs w:val="16"/>
                <w:lang w:val="en-AU"/>
              </w:rPr>
            </w:pPr>
            <w:r w:rsidRPr="00CC337B">
              <w:rPr>
                <w:rFonts w:ascii="Arial" w:hAnsi="Arial"/>
                <w:sz w:val="16"/>
                <w:szCs w:val="16"/>
                <w:lang w:val="en-AU"/>
              </w:rPr>
              <w:t>Defence achieves the ADF and APS Budgeted Workforce Requirement as set out in the 2024 Defence Workforce Plan, and the net flow of the ADF and APS workforce over a 12 month period is trending positive and is positioning Defence to achieve the Budgeted Workforce Requirement over the forward estimates.</w:t>
            </w:r>
          </w:p>
          <w:p w14:paraId="281D0619" w14:textId="7C0C2B03" w:rsidR="00CC337B" w:rsidRPr="00CC337B" w:rsidRDefault="00CC337B" w:rsidP="00FF0BC7">
            <w:pPr>
              <w:tabs>
                <w:tab w:val="left" w:pos="709"/>
              </w:tabs>
              <w:spacing w:before="0" w:after="60"/>
              <w:jc w:val="right"/>
              <w:rPr>
                <w:rFonts w:ascii="Arial" w:hAnsi="Arial"/>
                <w:i/>
                <w:color w:val="000000"/>
                <w:sz w:val="16"/>
                <w:szCs w:val="16"/>
              </w:rPr>
            </w:pPr>
            <w:r w:rsidRPr="00CC337B">
              <w:rPr>
                <w:rFonts w:ascii="Arial" w:hAnsi="Arial"/>
                <w:i/>
                <w:sz w:val="16"/>
                <w:szCs w:val="16"/>
                <w:lang w:val="en-AU"/>
              </w:rPr>
              <w:t>Expected to be partially achieved.</w:t>
            </w:r>
          </w:p>
        </w:tc>
      </w:tr>
      <w:tr w:rsidR="00CC337B" w:rsidRPr="00D162CC" w14:paraId="579B073A" w14:textId="77777777" w:rsidTr="003C0162">
        <w:tblPrEx>
          <w:shd w:val="clear" w:color="auto" w:fill="auto"/>
          <w:tblLook w:val="04A0" w:firstRow="1" w:lastRow="0" w:firstColumn="1" w:lastColumn="0" w:noHBand="0" w:noVBand="1"/>
        </w:tblPrEx>
        <w:trPr>
          <w:trHeight w:val="470"/>
        </w:trPr>
        <w:tc>
          <w:tcPr>
            <w:tcW w:w="1799" w:type="dxa"/>
            <w:vMerge/>
            <w:tcBorders>
              <w:right w:val="single" w:sz="4" w:space="0" w:color="auto"/>
            </w:tcBorders>
            <w:shd w:val="clear" w:color="auto" w:fill="auto"/>
          </w:tcPr>
          <w:p w14:paraId="499264DA" w14:textId="77777777" w:rsidR="00CC337B" w:rsidRPr="00D162CC" w:rsidRDefault="00CC337B" w:rsidP="00D162CC">
            <w:pPr>
              <w:tabs>
                <w:tab w:val="left" w:pos="709"/>
              </w:tabs>
              <w:spacing w:before="60" w:after="60"/>
              <w:rPr>
                <w:rFonts w:ascii="Arial" w:hAnsi="Arial"/>
                <w:color w:val="000000"/>
                <w:sz w:val="16"/>
                <w:szCs w:val="16"/>
              </w:rPr>
            </w:pPr>
          </w:p>
        </w:tc>
        <w:tc>
          <w:tcPr>
            <w:tcW w:w="3174" w:type="dxa"/>
            <w:tcBorders>
              <w:top w:val="dotted" w:sz="4" w:space="0" w:color="auto"/>
              <w:left w:val="single" w:sz="4" w:space="0" w:color="auto"/>
              <w:bottom w:val="dotted" w:sz="4" w:space="0" w:color="auto"/>
              <w:right w:val="single" w:sz="4" w:space="0" w:color="auto"/>
            </w:tcBorders>
          </w:tcPr>
          <w:p w14:paraId="1033CF99" w14:textId="77777777" w:rsidR="00CC337B" w:rsidRPr="000E0486" w:rsidRDefault="00CC337B" w:rsidP="00D162CC">
            <w:pPr>
              <w:tabs>
                <w:tab w:val="left" w:pos="709"/>
              </w:tabs>
              <w:spacing w:before="60" w:after="60"/>
              <w:rPr>
                <w:rFonts w:ascii="Arial" w:hAnsi="Arial"/>
                <w:sz w:val="16"/>
                <w:szCs w:val="16"/>
                <w:lang w:val="en-AU"/>
              </w:rPr>
            </w:pPr>
            <w:r w:rsidRPr="000E0486">
              <w:rPr>
                <w:rFonts w:ascii="Arial" w:hAnsi="Arial"/>
                <w:sz w:val="16"/>
                <w:szCs w:val="16"/>
                <w:lang w:val="en-AU"/>
              </w:rPr>
              <w:t>4.2: Defence grows the necessary skills and capabilities to enable the Defence mission.</w:t>
            </w:r>
          </w:p>
        </w:tc>
        <w:tc>
          <w:tcPr>
            <w:tcW w:w="3379" w:type="dxa"/>
            <w:tcBorders>
              <w:top w:val="dotted" w:sz="4" w:space="0" w:color="auto"/>
              <w:left w:val="single" w:sz="4" w:space="0" w:color="auto"/>
              <w:bottom w:val="dotted" w:sz="4" w:space="0" w:color="auto"/>
            </w:tcBorders>
          </w:tcPr>
          <w:p w14:paraId="3320ED21" w14:textId="77777777" w:rsidR="00CC337B" w:rsidRPr="00CC337B" w:rsidRDefault="00CC337B" w:rsidP="00FF0BC7">
            <w:pPr>
              <w:tabs>
                <w:tab w:val="left" w:pos="709"/>
              </w:tabs>
              <w:spacing w:before="60" w:after="60"/>
              <w:rPr>
                <w:rFonts w:ascii="Arial" w:hAnsi="Arial"/>
                <w:sz w:val="16"/>
                <w:szCs w:val="16"/>
                <w:lang w:val="en-AU"/>
              </w:rPr>
            </w:pPr>
            <w:r w:rsidRPr="00CC337B">
              <w:rPr>
                <w:rFonts w:ascii="Arial" w:hAnsi="Arial"/>
                <w:sz w:val="16"/>
                <w:szCs w:val="16"/>
                <w:lang w:val="en-AU"/>
              </w:rPr>
              <w:t>The Defence workforce has the technical skills required to deliver the National Defence Strategy as measured through the Defence Strategic Workforce Segments, and the net flow of the ADF and APS workforce over a 12 month period against the Budgeted Workforce Requirement by Strategic Workforce Segment.</w:t>
            </w:r>
          </w:p>
          <w:p w14:paraId="29D47BB8" w14:textId="1135D46C" w:rsidR="00CC337B" w:rsidRPr="00CC337B" w:rsidRDefault="00CC337B" w:rsidP="0093219B">
            <w:pPr>
              <w:spacing w:before="0" w:after="60"/>
              <w:jc w:val="right"/>
              <w:rPr>
                <w:rFonts w:ascii="Arial" w:hAnsi="Arial"/>
                <w:color w:val="000000"/>
                <w:sz w:val="16"/>
                <w:szCs w:val="16"/>
              </w:rPr>
            </w:pPr>
            <w:r w:rsidRPr="00CC337B">
              <w:rPr>
                <w:rFonts w:ascii="Arial" w:hAnsi="Arial"/>
                <w:i/>
                <w:sz w:val="16"/>
                <w:szCs w:val="16"/>
                <w:lang w:val="en-AU"/>
              </w:rPr>
              <w:t>Expected to be partially achieved.</w:t>
            </w:r>
          </w:p>
        </w:tc>
      </w:tr>
      <w:tr w:rsidR="00CC337B" w:rsidRPr="00D162CC" w14:paraId="6B2DC08E" w14:textId="77777777" w:rsidTr="003C0162">
        <w:tblPrEx>
          <w:shd w:val="clear" w:color="auto" w:fill="auto"/>
          <w:tblLook w:val="04A0" w:firstRow="1" w:lastRow="0" w:firstColumn="1" w:lastColumn="0" w:noHBand="0" w:noVBand="1"/>
        </w:tblPrEx>
        <w:trPr>
          <w:trHeight w:val="470"/>
        </w:trPr>
        <w:tc>
          <w:tcPr>
            <w:tcW w:w="1799" w:type="dxa"/>
            <w:vMerge/>
            <w:tcBorders>
              <w:bottom w:val="single" w:sz="4" w:space="0" w:color="auto"/>
              <w:right w:val="single" w:sz="4" w:space="0" w:color="auto"/>
            </w:tcBorders>
            <w:shd w:val="clear" w:color="auto" w:fill="auto"/>
          </w:tcPr>
          <w:p w14:paraId="71711D8D" w14:textId="77777777" w:rsidR="00CC337B" w:rsidRPr="00D162CC" w:rsidRDefault="00CC337B" w:rsidP="00D162CC">
            <w:pPr>
              <w:tabs>
                <w:tab w:val="left" w:pos="709"/>
              </w:tabs>
              <w:spacing w:before="60" w:after="60"/>
              <w:rPr>
                <w:rFonts w:ascii="Arial" w:hAnsi="Arial"/>
                <w:color w:val="000000"/>
                <w:sz w:val="16"/>
                <w:szCs w:val="16"/>
              </w:rPr>
            </w:pPr>
          </w:p>
        </w:tc>
        <w:tc>
          <w:tcPr>
            <w:tcW w:w="3174" w:type="dxa"/>
            <w:tcBorders>
              <w:top w:val="dotted" w:sz="4" w:space="0" w:color="auto"/>
              <w:left w:val="single" w:sz="4" w:space="0" w:color="auto"/>
              <w:bottom w:val="single" w:sz="4" w:space="0" w:color="auto"/>
              <w:right w:val="single" w:sz="4" w:space="0" w:color="auto"/>
            </w:tcBorders>
          </w:tcPr>
          <w:p w14:paraId="1B879021" w14:textId="77777777" w:rsidR="00CC337B" w:rsidRPr="000E0486" w:rsidRDefault="00CC337B" w:rsidP="00D162CC">
            <w:pPr>
              <w:tabs>
                <w:tab w:val="left" w:pos="709"/>
              </w:tabs>
              <w:spacing w:before="60" w:after="60"/>
              <w:rPr>
                <w:rFonts w:ascii="Arial" w:hAnsi="Arial"/>
                <w:sz w:val="16"/>
                <w:szCs w:val="16"/>
                <w:lang w:val="en-AU"/>
              </w:rPr>
            </w:pPr>
            <w:r w:rsidRPr="000E0486">
              <w:rPr>
                <w:rFonts w:ascii="Arial" w:hAnsi="Arial"/>
                <w:sz w:val="16"/>
                <w:szCs w:val="16"/>
                <w:lang w:val="en-AU"/>
              </w:rPr>
              <w:t xml:space="preserve">4.3: The Defence Values and Behaviours </w:t>
            </w:r>
            <w:r w:rsidRPr="000C42D6">
              <w:rPr>
                <w:rFonts w:ascii="Arial" w:hAnsi="Arial"/>
                <w:sz w:val="16"/>
                <w:szCs w:val="16"/>
                <w:lang w:val="en-AU"/>
              </w:rPr>
              <w:t>enable our people to deliver Australia’s National Defence</w:t>
            </w:r>
            <w:r w:rsidRPr="000E0486">
              <w:rPr>
                <w:rFonts w:ascii="Arial" w:hAnsi="Arial"/>
                <w:sz w:val="16"/>
                <w:szCs w:val="16"/>
                <w:lang w:val="en-AU"/>
              </w:rPr>
              <w:t>.</w:t>
            </w:r>
          </w:p>
        </w:tc>
        <w:tc>
          <w:tcPr>
            <w:tcW w:w="3379" w:type="dxa"/>
            <w:tcBorders>
              <w:top w:val="dotted" w:sz="4" w:space="0" w:color="auto"/>
              <w:left w:val="single" w:sz="4" w:space="0" w:color="auto"/>
              <w:bottom w:val="single" w:sz="4" w:space="0" w:color="auto"/>
            </w:tcBorders>
          </w:tcPr>
          <w:p w14:paraId="3AB0F6AA" w14:textId="3D1EFE55" w:rsidR="00CC337B" w:rsidRPr="00CC337B" w:rsidRDefault="00CC337B" w:rsidP="00D162CC">
            <w:pPr>
              <w:tabs>
                <w:tab w:val="left" w:pos="709"/>
              </w:tabs>
              <w:spacing w:before="60" w:after="60"/>
              <w:rPr>
                <w:rFonts w:ascii="Arial" w:hAnsi="Arial"/>
                <w:sz w:val="16"/>
                <w:szCs w:val="16"/>
                <w:lang w:val="en-AU"/>
              </w:rPr>
            </w:pPr>
            <w:r w:rsidRPr="00CC337B">
              <w:rPr>
                <w:rFonts w:ascii="Arial" w:hAnsi="Arial"/>
                <w:sz w:val="16"/>
                <w:szCs w:val="16"/>
                <w:lang w:val="en-AU"/>
              </w:rPr>
              <w:t>The proportion of ADF and Defence APS personnel that believe appropriate action will be taken if they report an incident of unacceptable behaviour has increased in the last 12 months, the proportion of ADF and Defence APS personnel who have experienced any unacceptable behaviour in the workplace has decreased in the last 12 months, and proportion of ADF and Defence APS personnel who are of the view that Defence Values are being used in their work area has increased in the last 12 months.</w:t>
            </w:r>
          </w:p>
          <w:p w14:paraId="31F3A5D6" w14:textId="01C6AFB0" w:rsidR="00CC337B" w:rsidRPr="00CC337B" w:rsidRDefault="00CC337B" w:rsidP="0093219B">
            <w:pPr>
              <w:spacing w:before="0" w:after="60"/>
              <w:jc w:val="right"/>
              <w:rPr>
                <w:rFonts w:ascii="Arial" w:hAnsi="Arial"/>
                <w:sz w:val="16"/>
                <w:szCs w:val="16"/>
                <w:lang w:val="en-AU"/>
              </w:rPr>
            </w:pPr>
            <w:r w:rsidRPr="00CC337B">
              <w:rPr>
                <w:rFonts w:ascii="Arial" w:hAnsi="Arial"/>
                <w:i/>
                <w:sz w:val="16"/>
                <w:szCs w:val="16"/>
                <w:lang w:val="en-AU"/>
              </w:rPr>
              <w:t>Expected to be substantially achieved.</w:t>
            </w:r>
          </w:p>
        </w:tc>
      </w:tr>
      <w:tr w:rsidR="00CC337B" w:rsidRPr="00D162CC" w14:paraId="52A968EE" w14:textId="77777777" w:rsidTr="003C0162">
        <w:tblPrEx>
          <w:shd w:val="clear" w:color="auto" w:fill="auto"/>
          <w:tblLook w:val="04A0" w:firstRow="1" w:lastRow="0" w:firstColumn="1" w:lastColumn="0" w:noHBand="0" w:noVBand="1"/>
        </w:tblPrEx>
        <w:trPr>
          <w:trHeight w:val="254"/>
        </w:trPr>
        <w:tc>
          <w:tcPr>
            <w:tcW w:w="1799" w:type="dxa"/>
            <w:tcBorders>
              <w:top w:val="single" w:sz="4" w:space="0" w:color="auto"/>
              <w:bottom w:val="single" w:sz="4" w:space="0" w:color="auto"/>
              <w:right w:val="single" w:sz="4" w:space="0" w:color="auto"/>
            </w:tcBorders>
            <w:shd w:val="clear" w:color="auto" w:fill="auto"/>
          </w:tcPr>
          <w:p w14:paraId="1BE5D391" w14:textId="5B565485" w:rsidR="00CC337B" w:rsidRPr="00D162CC" w:rsidRDefault="00CC337B" w:rsidP="00CC337B">
            <w:pPr>
              <w:pageBreakBefore/>
              <w:tabs>
                <w:tab w:val="left" w:pos="709"/>
              </w:tabs>
              <w:spacing w:before="60" w:after="60"/>
              <w:rPr>
                <w:rFonts w:ascii="Arial" w:hAnsi="Arial"/>
                <w:color w:val="000000"/>
                <w:sz w:val="16"/>
                <w:szCs w:val="16"/>
              </w:rPr>
            </w:pPr>
            <w:r w:rsidRPr="00D162CC">
              <w:rPr>
                <w:rFonts w:ascii="Arial" w:hAnsi="Arial"/>
                <w:b/>
                <w:color w:val="000000"/>
                <w:sz w:val="16"/>
                <w:szCs w:val="16"/>
              </w:rPr>
              <w:lastRenderedPageBreak/>
              <w:t>Year</w:t>
            </w:r>
          </w:p>
        </w:tc>
        <w:tc>
          <w:tcPr>
            <w:tcW w:w="3174" w:type="dxa"/>
            <w:tcBorders>
              <w:top w:val="single" w:sz="4" w:space="0" w:color="auto"/>
              <w:left w:val="single" w:sz="4" w:space="0" w:color="auto"/>
              <w:bottom w:val="single" w:sz="4" w:space="0" w:color="auto"/>
              <w:right w:val="single" w:sz="4" w:space="0" w:color="auto"/>
            </w:tcBorders>
          </w:tcPr>
          <w:p w14:paraId="5AF230F3" w14:textId="19F56123" w:rsidR="00CC337B" w:rsidRPr="000E0486" w:rsidRDefault="00CC337B" w:rsidP="00CC337B">
            <w:pPr>
              <w:tabs>
                <w:tab w:val="left" w:pos="709"/>
              </w:tabs>
              <w:spacing w:before="60" w:after="60"/>
              <w:rPr>
                <w:rFonts w:ascii="Arial" w:hAnsi="Arial"/>
                <w:sz w:val="16"/>
                <w:szCs w:val="16"/>
                <w:lang w:val="en-AU"/>
              </w:rPr>
            </w:pPr>
            <w:r w:rsidRPr="00D162CC">
              <w:rPr>
                <w:rFonts w:ascii="Arial" w:hAnsi="Arial"/>
                <w:b/>
                <w:color w:val="000000"/>
                <w:sz w:val="16"/>
                <w:szCs w:val="16"/>
              </w:rPr>
              <w:t>Performance measures</w:t>
            </w:r>
          </w:p>
        </w:tc>
        <w:tc>
          <w:tcPr>
            <w:tcW w:w="3379" w:type="dxa"/>
            <w:tcBorders>
              <w:top w:val="single" w:sz="4" w:space="0" w:color="auto"/>
              <w:left w:val="single" w:sz="4" w:space="0" w:color="auto"/>
              <w:bottom w:val="single" w:sz="4" w:space="0" w:color="auto"/>
            </w:tcBorders>
          </w:tcPr>
          <w:p w14:paraId="184CBADD" w14:textId="759C47FD" w:rsidR="00CC337B" w:rsidRPr="00CC337B" w:rsidRDefault="00CC337B" w:rsidP="00CC337B">
            <w:pPr>
              <w:tabs>
                <w:tab w:val="left" w:pos="709"/>
              </w:tabs>
              <w:spacing w:before="60" w:after="60"/>
              <w:rPr>
                <w:rFonts w:ascii="Arial" w:hAnsi="Arial"/>
                <w:sz w:val="16"/>
                <w:szCs w:val="16"/>
                <w:lang w:val="en-AU"/>
              </w:rPr>
            </w:pPr>
            <w:r w:rsidRPr="00D162CC">
              <w:rPr>
                <w:rFonts w:ascii="Arial" w:hAnsi="Arial"/>
                <w:b/>
                <w:color w:val="000000"/>
                <w:sz w:val="16"/>
                <w:szCs w:val="16"/>
              </w:rPr>
              <w:t>Expected Performance Results</w:t>
            </w:r>
          </w:p>
        </w:tc>
      </w:tr>
      <w:tr w:rsidR="00CC337B" w:rsidRPr="00D162CC" w14:paraId="41AED7F0" w14:textId="77777777" w:rsidTr="00CC337B">
        <w:tblPrEx>
          <w:shd w:val="clear" w:color="auto" w:fill="auto"/>
          <w:tblLook w:val="04A0" w:firstRow="1" w:lastRow="0" w:firstColumn="1" w:lastColumn="0" w:noHBand="0" w:noVBand="1"/>
        </w:tblPrEx>
        <w:trPr>
          <w:trHeight w:val="470"/>
        </w:trPr>
        <w:tc>
          <w:tcPr>
            <w:tcW w:w="1799" w:type="dxa"/>
            <w:vMerge w:val="restart"/>
            <w:tcBorders>
              <w:top w:val="single" w:sz="4" w:space="0" w:color="auto"/>
              <w:right w:val="single" w:sz="4" w:space="0" w:color="auto"/>
            </w:tcBorders>
            <w:shd w:val="clear" w:color="auto" w:fill="auto"/>
          </w:tcPr>
          <w:p w14:paraId="180D90C5" w14:textId="77777777" w:rsidR="00CC337B" w:rsidRPr="00D162CC" w:rsidRDefault="00CC337B" w:rsidP="00CC337B">
            <w:pPr>
              <w:tabs>
                <w:tab w:val="left" w:pos="709"/>
              </w:tabs>
              <w:spacing w:before="0" w:after="0"/>
              <w:rPr>
                <w:rFonts w:ascii="Arial" w:hAnsi="Arial"/>
                <w:color w:val="000000"/>
                <w:sz w:val="16"/>
                <w:szCs w:val="16"/>
              </w:rPr>
            </w:pPr>
            <w:r w:rsidRPr="00D162CC">
              <w:rPr>
                <w:rFonts w:ascii="Arial" w:hAnsi="Arial"/>
                <w:color w:val="000000"/>
                <w:sz w:val="16"/>
                <w:szCs w:val="16"/>
              </w:rPr>
              <w:t>Current Year</w:t>
            </w:r>
          </w:p>
          <w:p w14:paraId="5541022B" w14:textId="5B77872B" w:rsidR="00CC337B" w:rsidRPr="00D162CC" w:rsidRDefault="00CC337B" w:rsidP="00CC337B">
            <w:pPr>
              <w:tabs>
                <w:tab w:val="left" w:pos="709"/>
              </w:tabs>
              <w:spacing w:before="60" w:after="60"/>
              <w:rPr>
                <w:rFonts w:ascii="Arial" w:hAnsi="Arial"/>
                <w:color w:val="000000"/>
                <w:sz w:val="16"/>
                <w:szCs w:val="16"/>
              </w:rPr>
            </w:pPr>
            <w:r w:rsidRPr="00D162CC">
              <w:rPr>
                <w:rFonts w:ascii="Arial" w:hAnsi="Arial"/>
                <w:color w:val="000000"/>
                <w:sz w:val="16"/>
                <w:szCs w:val="16"/>
              </w:rPr>
              <w:t>2024-25</w:t>
            </w:r>
            <w:r>
              <w:rPr>
                <w:rFonts w:ascii="Arial" w:hAnsi="Arial"/>
                <w:color w:val="000000"/>
                <w:sz w:val="16"/>
                <w:szCs w:val="16"/>
              </w:rPr>
              <w:t xml:space="preserve"> </w:t>
            </w:r>
            <w:r w:rsidRPr="00D162CC">
              <w:rPr>
                <w:rFonts w:ascii="Arial" w:hAnsi="Arial"/>
                <w:color w:val="000000"/>
                <w:sz w:val="16"/>
                <w:szCs w:val="16"/>
                <w:vertAlign w:val="superscript"/>
              </w:rPr>
              <w:t>[a]</w:t>
            </w:r>
          </w:p>
        </w:tc>
        <w:tc>
          <w:tcPr>
            <w:tcW w:w="3174" w:type="dxa"/>
            <w:tcBorders>
              <w:top w:val="single" w:sz="4" w:space="0" w:color="auto"/>
              <w:left w:val="single" w:sz="4" w:space="0" w:color="auto"/>
              <w:bottom w:val="dotted" w:sz="4" w:space="0" w:color="auto"/>
              <w:right w:val="single" w:sz="4" w:space="0" w:color="auto"/>
            </w:tcBorders>
          </w:tcPr>
          <w:p w14:paraId="39FD0BC1" w14:textId="77777777" w:rsidR="00CC337B" w:rsidRPr="000E0486" w:rsidRDefault="00CC337B" w:rsidP="00CC337B">
            <w:pPr>
              <w:tabs>
                <w:tab w:val="left" w:pos="709"/>
              </w:tabs>
              <w:spacing w:before="60" w:after="60"/>
              <w:rPr>
                <w:rFonts w:ascii="Arial" w:hAnsi="Arial"/>
                <w:sz w:val="16"/>
                <w:szCs w:val="16"/>
                <w:lang w:val="en-AU"/>
              </w:rPr>
            </w:pPr>
            <w:r w:rsidRPr="000E0486">
              <w:rPr>
                <w:rFonts w:ascii="Arial" w:hAnsi="Arial"/>
                <w:sz w:val="16"/>
                <w:szCs w:val="16"/>
                <w:lang w:val="en-AU"/>
              </w:rPr>
              <w:t>4.4: Defence supports ADF members and their families by providing access to support services and programs having regard to lifetime wellbeing.</w:t>
            </w:r>
          </w:p>
        </w:tc>
        <w:tc>
          <w:tcPr>
            <w:tcW w:w="3379" w:type="dxa"/>
            <w:tcBorders>
              <w:top w:val="single" w:sz="4" w:space="0" w:color="auto"/>
              <w:left w:val="single" w:sz="4" w:space="0" w:color="auto"/>
              <w:bottom w:val="dotted" w:sz="4" w:space="0" w:color="auto"/>
            </w:tcBorders>
          </w:tcPr>
          <w:p w14:paraId="7195354A" w14:textId="1A4164B1" w:rsidR="00CC337B" w:rsidRPr="00AE6088" w:rsidRDefault="00CC337B" w:rsidP="00CC337B">
            <w:pPr>
              <w:tabs>
                <w:tab w:val="left" w:pos="709"/>
              </w:tabs>
              <w:spacing w:before="60" w:after="60"/>
              <w:rPr>
                <w:rFonts w:ascii="Arial" w:hAnsi="Arial"/>
                <w:sz w:val="16"/>
                <w:szCs w:val="16"/>
                <w:lang w:val="en-AU"/>
              </w:rPr>
            </w:pPr>
            <w:r w:rsidRPr="00AE6088">
              <w:rPr>
                <w:rFonts w:ascii="Arial" w:hAnsi="Arial"/>
                <w:sz w:val="16"/>
                <w:szCs w:val="16"/>
                <w:lang w:val="en-AU"/>
              </w:rPr>
              <w:t>At least 75 per cent of eligible permanent ADF members and their families are registered with the ADF Family Health Program; 100 per cent of support services and programs are provided to permanent ADF and their families in accordance with identified service delivery timeframes; Defence’s suicide prevention training is practical, tailored, informed by lived experience and delivered in person; and 100 per cent of Defence-led, Government-agreed recommendations from the Royal Commission into Defence and Veteran Suicide Final Report which are on the Forward Work Plan for the Program Board in 2024-25, have approved Reform Management Plans by 30 June 2025.</w:t>
            </w:r>
          </w:p>
          <w:p w14:paraId="3AAAB357" w14:textId="5E6846EB" w:rsidR="00CC337B" w:rsidRPr="00D162CC" w:rsidRDefault="00CC337B" w:rsidP="00CC337B">
            <w:pPr>
              <w:tabs>
                <w:tab w:val="left" w:pos="709"/>
              </w:tabs>
              <w:spacing w:before="60" w:after="60"/>
              <w:jc w:val="right"/>
              <w:rPr>
                <w:rFonts w:ascii="Arial" w:hAnsi="Arial"/>
                <w:i/>
                <w:sz w:val="16"/>
                <w:szCs w:val="16"/>
                <w:lang w:val="en-AU"/>
              </w:rPr>
            </w:pPr>
            <w:r w:rsidRPr="00CC337B">
              <w:rPr>
                <w:rFonts w:ascii="Arial" w:hAnsi="Arial"/>
                <w:i/>
                <w:sz w:val="16"/>
                <w:szCs w:val="16"/>
                <w:lang w:val="en-AU"/>
              </w:rPr>
              <w:t>Expected to be partially achieved</w:t>
            </w:r>
            <w:r w:rsidRPr="00D162CC">
              <w:rPr>
                <w:rFonts w:ascii="Arial" w:hAnsi="Arial"/>
                <w:i/>
                <w:sz w:val="16"/>
                <w:szCs w:val="16"/>
                <w:lang w:val="en-AU"/>
              </w:rPr>
              <w:t>.</w:t>
            </w:r>
          </w:p>
        </w:tc>
      </w:tr>
      <w:tr w:rsidR="00CC337B" w:rsidRPr="00D162CC" w14:paraId="1F31C7B6" w14:textId="77777777" w:rsidTr="003C0162">
        <w:tblPrEx>
          <w:shd w:val="clear" w:color="auto" w:fill="auto"/>
          <w:tblLook w:val="04A0" w:firstRow="1" w:lastRow="0" w:firstColumn="1" w:lastColumn="0" w:noHBand="0" w:noVBand="1"/>
        </w:tblPrEx>
        <w:trPr>
          <w:trHeight w:val="470"/>
        </w:trPr>
        <w:tc>
          <w:tcPr>
            <w:tcW w:w="1799" w:type="dxa"/>
            <w:vMerge/>
            <w:tcBorders>
              <w:bottom w:val="single" w:sz="4" w:space="0" w:color="auto"/>
              <w:right w:val="single" w:sz="4" w:space="0" w:color="auto"/>
            </w:tcBorders>
            <w:shd w:val="clear" w:color="auto" w:fill="auto"/>
          </w:tcPr>
          <w:p w14:paraId="6B9EE907" w14:textId="77777777" w:rsidR="00CC337B" w:rsidRPr="00D162CC" w:rsidRDefault="00CC337B" w:rsidP="00CC337B">
            <w:pPr>
              <w:tabs>
                <w:tab w:val="left" w:pos="709"/>
              </w:tabs>
              <w:spacing w:before="60" w:after="60"/>
              <w:rPr>
                <w:rFonts w:ascii="Arial" w:hAnsi="Arial"/>
                <w:color w:val="000000"/>
                <w:sz w:val="16"/>
                <w:szCs w:val="16"/>
              </w:rPr>
            </w:pPr>
          </w:p>
        </w:tc>
        <w:tc>
          <w:tcPr>
            <w:tcW w:w="3174" w:type="dxa"/>
            <w:tcBorders>
              <w:top w:val="dotted" w:sz="4" w:space="0" w:color="auto"/>
              <w:left w:val="single" w:sz="4" w:space="0" w:color="auto"/>
              <w:bottom w:val="single" w:sz="4" w:space="0" w:color="auto"/>
              <w:right w:val="single" w:sz="4" w:space="0" w:color="auto"/>
            </w:tcBorders>
          </w:tcPr>
          <w:p w14:paraId="4A5E9F63" w14:textId="77777777" w:rsidR="00CC337B" w:rsidRPr="000E0486" w:rsidRDefault="00CC337B" w:rsidP="00CC337B">
            <w:pPr>
              <w:autoSpaceDE w:val="0"/>
              <w:autoSpaceDN w:val="0"/>
              <w:adjustRightInd w:val="0"/>
              <w:spacing w:before="60" w:after="60"/>
              <w:rPr>
                <w:rFonts w:ascii="Arial" w:hAnsi="Arial"/>
                <w:color w:val="000000"/>
                <w:sz w:val="16"/>
                <w:szCs w:val="16"/>
              </w:rPr>
            </w:pPr>
            <w:r w:rsidRPr="000E0486">
              <w:rPr>
                <w:rFonts w:ascii="Arial" w:hAnsi="Arial"/>
                <w:sz w:val="16"/>
                <w:szCs w:val="16"/>
                <w:lang w:val="en-AU"/>
              </w:rPr>
              <w:t xml:space="preserve">6.1: </w:t>
            </w:r>
            <w:r w:rsidRPr="00880166">
              <w:rPr>
                <w:rFonts w:ascii="Arial" w:hAnsi="Arial"/>
                <w:sz w:val="16"/>
                <w:szCs w:val="16"/>
                <w:lang w:val="en-AU"/>
              </w:rPr>
              <w:t xml:space="preserve">Defence is delivering the right future capability at the right time within the Integrated Investment Program to ensure it is equipped to respond to future security challenges as directed by the </w:t>
            </w:r>
            <w:r w:rsidRPr="00880166">
              <w:rPr>
                <w:rFonts w:ascii="Arial" w:hAnsi="Arial"/>
                <w:i/>
                <w:sz w:val="16"/>
                <w:szCs w:val="16"/>
                <w:lang w:val="en-AU"/>
              </w:rPr>
              <w:t>2024 National Defence Strategy</w:t>
            </w:r>
            <w:r w:rsidRPr="00880166">
              <w:rPr>
                <w:rFonts w:ascii="Arial" w:hAnsi="Arial"/>
                <w:sz w:val="16"/>
                <w:szCs w:val="16"/>
                <w:lang w:val="en-AU"/>
              </w:rPr>
              <w:t>.</w:t>
            </w:r>
          </w:p>
        </w:tc>
        <w:tc>
          <w:tcPr>
            <w:tcW w:w="3379" w:type="dxa"/>
            <w:tcBorders>
              <w:top w:val="dotted" w:sz="4" w:space="0" w:color="auto"/>
              <w:left w:val="single" w:sz="4" w:space="0" w:color="auto"/>
              <w:bottom w:val="single" w:sz="4" w:space="0" w:color="auto"/>
              <w:right w:val="single" w:sz="4" w:space="0" w:color="auto"/>
            </w:tcBorders>
          </w:tcPr>
          <w:p w14:paraId="2B157DE5" w14:textId="77777777" w:rsidR="00CC337B" w:rsidRPr="00546FD1" w:rsidRDefault="00CC337B" w:rsidP="00B73CFB">
            <w:pPr>
              <w:tabs>
                <w:tab w:val="left" w:pos="709"/>
              </w:tabs>
              <w:spacing w:before="60" w:after="60"/>
              <w:rPr>
                <w:rFonts w:ascii="Arial" w:hAnsi="Arial"/>
                <w:sz w:val="16"/>
                <w:szCs w:val="16"/>
                <w:lang w:val="en-AU"/>
              </w:rPr>
            </w:pPr>
            <w:r w:rsidRPr="00D162CC">
              <w:rPr>
                <w:rFonts w:ascii="Arial" w:hAnsi="Arial"/>
                <w:sz w:val="16"/>
                <w:szCs w:val="16"/>
                <w:lang w:val="en-AU"/>
              </w:rPr>
              <w:t xml:space="preserve">80 per cent or more of approved Integrated Investment Program projects across all domains are on track to deliver the scope approved by Government within Government approved cost </w:t>
            </w:r>
            <w:r w:rsidRPr="00546FD1">
              <w:rPr>
                <w:rFonts w:ascii="Arial" w:hAnsi="Arial"/>
                <w:sz w:val="16"/>
                <w:szCs w:val="16"/>
                <w:lang w:val="en-AU"/>
              </w:rPr>
              <w:t>and schedule.</w:t>
            </w:r>
          </w:p>
          <w:p w14:paraId="728B875D" w14:textId="77777777" w:rsidR="00CC337B" w:rsidRPr="00546FD1" w:rsidRDefault="00CC337B" w:rsidP="00CC337B">
            <w:pPr>
              <w:spacing w:before="0" w:after="0"/>
              <w:rPr>
                <w:rFonts w:ascii="Arial" w:hAnsi="Arial"/>
                <w:sz w:val="16"/>
                <w:szCs w:val="16"/>
                <w:lang w:val="en-AU"/>
              </w:rPr>
            </w:pPr>
          </w:p>
          <w:p w14:paraId="6DD4FE6F" w14:textId="1C5397BA" w:rsidR="00CC337B" w:rsidRPr="00D162CC" w:rsidRDefault="00CC337B" w:rsidP="00AE6088">
            <w:pPr>
              <w:spacing w:before="0" w:after="60"/>
              <w:jc w:val="right"/>
              <w:rPr>
                <w:rFonts w:ascii="Arial" w:hAnsi="Arial"/>
                <w:i/>
                <w:sz w:val="16"/>
                <w:szCs w:val="16"/>
              </w:rPr>
            </w:pPr>
            <w:r w:rsidRPr="00546FD1">
              <w:rPr>
                <w:rFonts w:ascii="Arial" w:hAnsi="Arial"/>
                <w:i/>
                <w:sz w:val="16"/>
                <w:szCs w:val="16"/>
                <w:lang w:val="en-AU"/>
              </w:rPr>
              <w:t>Expected to be substantially achieved.</w:t>
            </w:r>
          </w:p>
        </w:tc>
      </w:tr>
      <w:tr w:rsidR="0004322A" w:rsidRPr="00D162CC" w14:paraId="551D4A7F" w14:textId="77777777" w:rsidTr="003C0162">
        <w:tblPrEx>
          <w:shd w:val="clear" w:color="auto" w:fill="auto"/>
          <w:tblLook w:val="04A0" w:firstRow="1" w:lastRow="0" w:firstColumn="1" w:lastColumn="0" w:noHBand="0" w:noVBand="1"/>
        </w:tblPrEx>
        <w:trPr>
          <w:trHeight w:val="258"/>
        </w:trPr>
        <w:tc>
          <w:tcPr>
            <w:tcW w:w="1799" w:type="dxa"/>
            <w:tcBorders>
              <w:top w:val="single" w:sz="4" w:space="0" w:color="auto"/>
              <w:bottom w:val="single" w:sz="4" w:space="0" w:color="auto"/>
              <w:right w:val="single" w:sz="4" w:space="0" w:color="auto"/>
            </w:tcBorders>
          </w:tcPr>
          <w:p w14:paraId="53C74D6F" w14:textId="280358E1" w:rsidR="0004322A" w:rsidRPr="00D162CC" w:rsidRDefault="00AB03F3" w:rsidP="0004322A">
            <w:pPr>
              <w:tabs>
                <w:tab w:val="left" w:pos="709"/>
              </w:tabs>
              <w:spacing w:before="60" w:after="60"/>
              <w:rPr>
                <w:rFonts w:ascii="Arial" w:hAnsi="Arial"/>
                <w:b/>
                <w:color w:val="000000"/>
                <w:sz w:val="16"/>
                <w:szCs w:val="16"/>
              </w:rPr>
            </w:pPr>
            <w:r>
              <w:br w:type="page"/>
            </w:r>
            <w:r w:rsidR="0004322A" w:rsidRPr="00D162CC">
              <w:rPr>
                <w:rFonts w:ascii="Arial" w:hAnsi="Arial"/>
                <w:b/>
                <w:color w:val="000000"/>
                <w:sz w:val="16"/>
                <w:szCs w:val="16"/>
              </w:rPr>
              <w:t>Year</w:t>
            </w:r>
          </w:p>
        </w:tc>
        <w:tc>
          <w:tcPr>
            <w:tcW w:w="3174" w:type="dxa"/>
            <w:tcBorders>
              <w:top w:val="single" w:sz="4" w:space="0" w:color="auto"/>
              <w:left w:val="single" w:sz="4" w:space="0" w:color="auto"/>
              <w:bottom w:val="single" w:sz="4" w:space="0" w:color="auto"/>
              <w:right w:val="single" w:sz="4" w:space="0" w:color="auto"/>
            </w:tcBorders>
          </w:tcPr>
          <w:p w14:paraId="1FF27DA2" w14:textId="77777777" w:rsidR="0004322A" w:rsidRPr="00D162CC" w:rsidRDefault="0004322A" w:rsidP="0004322A">
            <w:pPr>
              <w:tabs>
                <w:tab w:val="left" w:pos="709"/>
                <w:tab w:val="center" w:pos="1818"/>
              </w:tabs>
              <w:spacing w:before="60" w:after="60"/>
              <w:rPr>
                <w:rFonts w:ascii="Arial" w:hAnsi="Arial"/>
                <w:b/>
                <w:color w:val="000000"/>
                <w:sz w:val="16"/>
                <w:szCs w:val="16"/>
              </w:rPr>
            </w:pPr>
            <w:r w:rsidRPr="00D162CC">
              <w:rPr>
                <w:rFonts w:ascii="Arial" w:hAnsi="Arial"/>
                <w:b/>
                <w:color w:val="000000"/>
                <w:sz w:val="16"/>
                <w:szCs w:val="16"/>
              </w:rPr>
              <w:t>Performance measures</w:t>
            </w:r>
          </w:p>
        </w:tc>
        <w:tc>
          <w:tcPr>
            <w:tcW w:w="3379" w:type="dxa"/>
            <w:tcBorders>
              <w:top w:val="single" w:sz="4" w:space="0" w:color="auto"/>
              <w:left w:val="single" w:sz="4" w:space="0" w:color="auto"/>
              <w:bottom w:val="single" w:sz="4" w:space="0" w:color="auto"/>
            </w:tcBorders>
          </w:tcPr>
          <w:p w14:paraId="34CA6F51" w14:textId="77777777" w:rsidR="0004322A" w:rsidRPr="00D162CC" w:rsidRDefault="0004322A" w:rsidP="0004322A">
            <w:pPr>
              <w:tabs>
                <w:tab w:val="left" w:pos="709"/>
              </w:tabs>
              <w:spacing w:before="60" w:after="60"/>
              <w:rPr>
                <w:rFonts w:ascii="Arial" w:hAnsi="Arial"/>
                <w:b/>
                <w:color w:val="000000"/>
                <w:sz w:val="16"/>
                <w:szCs w:val="16"/>
              </w:rPr>
            </w:pPr>
            <w:r w:rsidRPr="00D162CC">
              <w:rPr>
                <w:rFonts w:ascii="Arial" w:hAnsi="Arial"/>
                <w:b/>
                <w:color w:val="000000"/>
                <w:sz w:val="16"/>
                <w:szCs w:val="16"/>
              </w:rPr>
              <w:t>Planned Performance Results</w:t>
            </w:r>
          </w:p>
        </w:tc>
      </w:tr>
      <w:tr w:rsidR="00CC337B" w:rsidRPr="00CD66E1" w14:paraId="3BE7142A" w14:textId="77777777" w:rsidTr="0094710F">
        <w:tblPrEx>
          <w:shd w:val="clear" w:color="auto" w:fill="auto"/>
          <w:tblLook w:val="04A0" w:firstRow="1" w:lastRow="0" w:firstColumn="1" w:lastColumn="0" w:noHBand="0" w:noVBand="1"/>
        </w:tblPrEx>
        <w:trPr>
          <w:trHeight w:val="320"/>
        </w:trPr>
        <w:tc>
          <w:tcPr>
            <w:tcW w:w="1799" w:type="dxa"/>
            <w:vMerge w:val="restart"/>
            <w:tcBorders>
              <w:top w:val="single" w:sz="4" w:space="0" w:color="auto"/>
              <w:right w:val="single" w:sz="4" w:space="0" w:color="auto"/>
            </w:tcBorders>
          </w:tcPr>
          <w:p w14:paraId="5FBFBC55" w14:textId="19F231E0" w:rsidR="00CC337B" w:rsidRPr="00D162CC" w:rsidRDefault="00CC337B" w:rsidP="00460821">
            <w:pPr>
              <w:tabs>
                <w:tab w:val="left" w:pos="709"/>
              </w:tabs>
              <w:spacing w:before="0" w:after="0"/>
              <w:rPr>
                <w:rFonts w:ascii="Arial" w:hAnsi="Arial"/>
                <w:color w:val="000000"/>
                <w:sz w:val="16"/>
                <w:szCs w:val="16"/>
              </w:rPr>
            </w:pPr>
            <w:r w:rsidRPr="00D162CC">
              <w:rPr>
                <w:rFonts w:ascii="Arial" w:hAnsi="Arial"/>
                <w:color w:val="000000"/>
                <w:sz w:val="16"/>
                <w:szCs w:val="16"/>
              </w:rPr>
              <w:t xml:space="preserve">Budget Year </w:t>
            </w:r>
          </w:p>
          <w:p w14:paraId="59A8ECAF" w14:textId="77777777" w:rsidR="00CC337B" w:rsidRPr="00D162CC" w:rsidRDefault="00CC337B" w:rsidP="00460821">
            <w:pPr>
              <w:tabs>
                <w:tab w:val="left" w:pos="709"/>
              </w:tabs>
              <w:spacing w:before="0" w:after="0"/>
              <w:rPr>
                <w:rFonts w:ascii="Arial" w:hAnsi="Arial"/>
                <w:color w:val="000000"/>
                <w:sz w:val="16"/>
                <w:szCs w:val="16"/>
              </w:rPr>
            </w:pPr>
            <w:r w:rsidRPr="00D162CC">
              <w:rPr>
                <w:rFonts w:ascii="Arial" w:hAnsi="Arial"/>
                <w:color w:val="000000"/>
                <w:sz w:val="16"/>
                <w:szCs w:val="16"/>
              </w:rPr>
              <w:t>2025-26</w:t>
            </w:r>
            <w:r>
              <w:rPr>
                <w:rFonts w:ascii="Arial" w:hAnsi="Arial"/>
                <w:color w:val="000000"/>
                <w:sz w:val="16"/>
                <w:szCs w:val="16"/>
              </w:rPr>
              <w:t xml:space="preserve"> </w:t>
            </w:r>
            <w:r w:rsidRPr="00D162CC">
              <w:rPr>
                <w:rFonts w:ascii="Arial" w:hAnsi="Arial"/>
                <w:color w:val="000000"/>
                <w:sz w:val="16"/>
                <w:szCs w:val="16"/>
                <w:vertAlign w:val="superscript"/>
              </w:rPr>
              <w:t>[b]</w:t>
            </w:r>
          </w:p>
        </w:tc>
        <w:tc>
          <w:tcPr>
            <w:tcW w:w="3174" w:type="dxa"/>
            <w:tcBorders>
              <w:top w:val="single" w:sz="4" w:space="0" w:color="auto"/>
              <w:left w:val="single" w:sz="4" w:space="0" w:color="auto"/>
              <w:bottom w:val="dotted" w:sz="4" w:space="0" w:color="auto"/>
              <w:right w:val="single" w:sz="4" w:space="0" w:color="auto"/>
            </w:tcBorders>
          </w:tcPr>
          <w:p w14:paraId="408CCD51" w14:textId="77777777" w:rsidR="00CC337B" w:rsidRPr="000E0486" w:rsidRDefault="00CC337B" w:rsidP="00CF3FAF">
            <w:pPr>
              <w:tabs>
                <w:tab w:val="left" w:pos="709"/>
              </w:tabs>
              <w:spacing w:before="60" w:after="60"/>
              <w:rPr>
                <w:rFonts w:ascii="Arial" w:hAnsi="Arial"/>
                <w:color w:val="000000"/>
                <w:sz w:val="16"/>
                <w:szCs w:val="16"/>
              </w:rPr>
            </w:pPr>
            <w:r w:rsidRPr="000E0486">
              <w:rPr>
                <w:rFonts w:ascii="Arial" w:hAnsi="Arial"/>
                <w:sz w:val="16"/>
                <w:szCs w:val="16"/>
                <w:lang w:val="en-AU"/>
              </w:rPr>
              <w:t>4.1: Defence recruits and retains an ADF and APS workforce to support the Defence mission.</w:t>
            </w:r>
          </w:p>
        </w:tc>
        <w:tc>
          <w:tcPr>
            <w:tcW w:w="3379" w:type="dxa"/>
            <w:tcBorders>
              <w:top w:val="single" w:sz="4" w:space="0" w:color="auto"/>
              <w:left w:val="single" w:sz="4" w:space="0" w:color="auto"/>
              <w:bottom w:val="dotted" w:sz="4" w:space="0" w:color="auto"/>
            </w:tcBorders>
          </w:tcPr>
          <w:p w14:paraId="74AD6ACC" w14:textId="0D07CCF4" w:rsidR="00CC337B" w:rsidRPr="00CC337B" w:rsidRDefault="00CC337B" w:rsidP="00460821">
            <w:pPr>
              <w:tabs>
                <w:tab w:val="left" w:pos="709"/>
              </w:tabs>
              <w:spacing w:before="60" w:after="60"/>
              <w:rPr>
                <w:rFonts w:ascii="Arial" w:hAnsi="Arial"/>
                <w:sz w:val="16"/>
                <w:szCs w:val="16"/>
                <w:lang w:val="en-AU"/>
              </w:rPr>
            </w:pPr>
            <w:r w:rsidRPr="00CC337B">
              <w:rPr>
                <w:rFonts w:ascii="Arial" w:hAnsi="Arial"/>
                <w:sz w:val="16"/>
                <w:szCs w:val="16"/>
                <w:lang w:val="en-AU"/>
              </w:rPr>
              <w:t>Defence achieves the ADF and APS Budgeted Workforce Requirement as set out in the 2024 Defence Workforce Plan, and the net flow of the ADF and APS workforce over a 12 month period is trending positive and is positioning Defence to achieve the Budgeted Workforce Requirement over the forward estimates.</w:t>
            </w:r>
          </w:p>
        </w:tc>
      </w:tr>
      <w:tr w:rsidR="00CC337B" w:rsidRPr="00CD66E1" w14:paraId="6B59BB52" w14:textId="77777777" w:rsidTr="003C0162">
        <w:tblPrEx>
          <w:shd w:val="clear" w:color="auto" w:fill="auto"/>
          <w:tblLook w:val="04A0" w:firstRow="1" w:lastRow="0" w:firstColumn="1" w:lastColumn="0" w:noHBand="0" w:noVBand="1"/>
        </w:tblPrEx>
        <w:trPr>
          <w:trHeight w:val="320"/>
        </w:trPr>
        <w:tc>
          <w:tcPr>
            <w:tcW w:w="1799" w:type="dxa"/>
            <w:vMerge/>
            <w:tcBorders>
              <w:right w:val="single" w:sz="4" w:space="0" w:color="auto"/>
            </w:tcBorders>
          </w:tcPr>
          <w:p w14:paraId="65B78665" w14:textId="2CBF29BE" w:rsidR="00CC337B" w:rsidRPr="00D162CC" w:rsidRDefault="00CC337B" w:rsidP="00546FD1">
            <w:pPr>
              <w:tabs>
                <w:tab w:val="left" w:pos="709"/>
              </w:tabs>
              <w:spacing w:before="0" w:after="0"/>
              <w:rPr>
                <w:rFonts w:ascii="Arial" w:hAnsi="Arial"/>
                <w:color w:val="000000"/>
                <w:sz w:val="16"/>
                <w:szCs w:val="16"/>
              </w:rPr>
            </w:pPr>
          </w:p>
        </w:tc>
        <w:tc>
          <w:tcPr>
            <w:tcW w:w="3174" w:type="dxa"/>
            <w:tcBorders>
              <w:top w:val="dotted" w:sz="4" w:space="0" w:color="auto"/>
              <w:left w:val="single" w:sz="4" w:space="0" w:color="auto"/>
              <w:bottom w:val="dotted" w:sz="4" w:space="0" w:color="auto"/>
              <w:right w:val="single" w:sz="4" w:space="0" w:color="auto"/>
            </w:tcBorders>
          </w:tcPr>
          <w:p w14:paraId="4CABC20F" w14:textId="77777777" w:rsidR="00CC337B" w:rsidRPr="00F55367" w:rsidRDefault="00CC337B" w:rsidP="00CF3FAF">
            <w:pPr>
              <w:tabs>
                <w:tab w:val="left" w:pos="709"/>
              </w:tabs>
              <w:spacing w:before="60" w:after="60"/>
              <w:rPr>
                <w:rFonts w:ascii="Arial" w:hAnsi="Arial"/>
                <w:sz w:val="16"/>
                <w:szCs w:val="16"/>
                <w:lang w:val="en-AU"/>
              </w:rPr>
            </w:pPr>
            <w:r w:rsidRPr="000E0486">
              <w:rPr>
                <w:rFonts w:ascii="Arial" w:hAnsi="Arial"/>
                <w:sz w:val="16"/>
                <w:szCs w:val="16"/>
                <w:lang w:val="en-AU"/>
              </w:rPr>
              <w:t>4.2: Defence grows the necessary skills and capabilities to enable the Defence mission.</w:t>
            </w:r>
          </w:p>
        </w:tc>
        <w:tc>
          <w:tcPr>
            <w:tcW w:w="3379" w:type="dxa"/>
            <w:tcBorders>
              <w:top w:val="dotted" w:sz="4" w:space="0" w:color="auto"/>
              <w:left w:val="single" w:sz="4" w:space="0" w:color="auto"/>
              <w:bottom w:val="dotted" w:sz="4" w:space="0" w:color="auto"/>
            </w:tcBorders>
          </w:tcPr>
          <w:p w14:paraId="74408C78" w14:textId="38D2C664" w:rsidR="00CC337B" w:rsidRPr="00CC337B" w:rsidRDefault="00CC337B" w:rsidP="00F55367">
            <w:pPr>
              <w:tabs>
                <w:tab w:val="left" w:pos="709"/>
              </w:tabs>
              <w:spacing w:before="60" w:after="60"/>
              <w:rPr>
                <w:rFonts w:ascii="Arial" w:hAnsi="Arial"/>
                <w:sz w:val="16"/>
                <w:szCs w:val="16"/>
                <w:lang w:val="en-AU"/>
              </w:rPr>
            </w:pPr>
            <w:r w:rsidRPr="00CC337B">
              <w:rPr>
                <w:rFonts w:ascii="Arial" w:hAnsi="Arial"/>
                <w:sz w:val="16"/>
                <w:szCs w:val="16"/>
                <w:lang w:val="en-AU"/>
              </w:rPr>
              <w:t>The Defence workforce has the technical skills required to deliver the National Defence Strategy as measured through the Defence Strategic Workforce Segments, and the net flow of the ADF and APS workforce over a 12 month period against the Budgeted Workforce Requirement by Strategic Workforce Segment.</w:t>
            </w:r>
          </w:p>
        </w:tc>
      </w:tr>
      <w:tr w:rsidR="00CC337B" w:rsidRPr="00CD66E1" w14:paraId="04D679FF" w14:textId="77777777" w:rsidTr="003C0162">
        <w:tblPrEx>
          <w:shd w:val="clear" w:color="auto" w:fill="auto"/>
          <w:tblLook w:val="04A0" w:firstRow="1" w:lastRow="0" w:firstColumn="1" w:lastColumn="0" w:noHBand="0" w:noVBand="1"/>
        </w:tblPrEx>
        <w:trPr>
          <w:trHeight w:val="320"/>
        </w:trPr>
        <w:tc>
          <w:tcPr>
            <w:tcW w:w="1799" w:type="dxa"/>
            <w:vMerge/>
            <w:tcBorders>
              <w:bottom w:val="single" w:sz="4" w:space="0" w:color="auto"/>
              <w:right w:val="single" w:sz="4" w:space="0" w:color="auto"/>
            </w:tcBorders>
          </w:tcPr>
          <w:p w14:paraId="6C742FFF" w14:textId="77777777" w:rsidR="00CC337B" w:rsidRPr="00D162CC" w:rsidRDefault="00CC337B" w:rsidP="00546FD1">
            <w:pPr>
              <w:tabs>
                <w:tab w:val="left" w:pos="709"/>
              </w:tabs>
              <w:spacing w:before="0" w:after="0"/>
              <w:rPr>
                <w:rFonts w:ascii="Arial" w:hAnsi="Arial"/>
                <w:color w:val="000000"/>
                <w:sz w:val="16"/>
                <w:szCs w:val="16"/>
              </w:rPr>
            </w:pPr>
          </w:p>
        </w:tc>
        <w:tc>
          <w:tcPr>
            <w:tcW w:w="3174" w:type="dxa"/>
            <w:tcBorders>
              <w:top w:val="dotted" w:sz="4" w:space="0" w:color="auto"/>
              <w:left w:val="single" w:sz="4" w:space="0" w:color="auto"/>
              <w:bottom w:val="single" w:sz="4" w:space="0" w:color="auto"/>
              <w:right w:val="single" w:sz="4" w:space="0" w:color="auto"/>
            </w:tcBorders>
          </w:tcPr>
          <w:p w14:paraId="4062498A" w14:textId="77777777" w:rsidR="00CC337B" w:rsidRPr="000E0486" w:rsidRDefault="00CC337B" w:rsidP="00CF3FAF">
            <w:pPr>
              <w:tabs>
                <w:tab w:val="left" w:pos="709"/>
              </w:tabs>
              <w:spacing w:before="60" w:after="60"/>
              <w:rPr>
                <w:rFonts w:ascii="Arial" w:hAnsi="Arial"/>
                <w:sz w:val="16"/>
                <w:szCs w:val="16"/>
                <w:lang w:val="en-AU"/>
              </w:rPr>
            </w:pPr>
            <w:r w:rsidRPr="000E0486">
              <w:rPr>
                <w:rFonts w:ascii="Arial" w:hAnsi="Arial"/>
                <w:sz w:val="16"/>
                <w:szCs w:val="16"/>
                <w:lang w:val="en-AU"/>
              </w:rPr>
              <w:t xml:space="preserve">4.3: The Defence Values and Behaviours </w:t>
            </w:r>
            <w:r w:rsidRPr="000C42D6">
              <w:rPr>
                <w:rFonts w:ascii="Arial" w:hAnsi="Arial"/>
                <w:sz w:val="16"/>
                <w:szCs w:val="16"/>
                <w:lang w:val="en-AU"/>
              </w:rPr>
              <w:t>enable our people to deliver Australia’s National Defence</w:t>
            </w:r>
            <w:r w:rsidRPr="000E0486">
              <w:rPr>
                <w:rFonts w:ascii="Arial" w:hAnsi="Arial"/>
                <w:sz w:val="16"/>
                <w:szCs w:val="16"/>
                <w:lang w:val="en-AU"/>
              </w:rPr>
              <w:t>.</w:t>
            </w:r>
          </w:p>
        </w:tc>
        <w:tc>
          <w:tcPr>
            <w:tcW w:w="3379" w:type="dxa"/>
            <w:tcBorders>
              <w:top w:val="dotted" w:sz="4" w:space="0" w:color="auto"/>
              <w:left w:val="single" w:sz="4" w:space="0" w:color="auto"/>
              <w:bottom w:val="single" w:sz="4" w:space="0" w:color="auto"/>
            </w:tcBorders>
          </w:tcPr>
          <w:p w14:paraId="15AC0F5F" w14:textId="4A24B400" w:rsidR="00CC337B" w:rsidRPr="00CC337B" w:rsidRDefault="00CC337B" w:rsidP="00546FD1">
            <w:pPr>
              <w:tabs>
                <w:tab w:val="left" w:pos="709"/>
              </w:tabs>
              <w:spacing w:before="60" w:after="60"/>
              <w:rPr>
                <w:rFonts w:ascii="Arial" w:hAnsi="Arial"/>
                <w:sz w:val="16"/>
                <w:szCs w:val="16"/>
                <w:lang w:val="en-AU"/>
              </w:rPr>
            </w:pPr>
            <w:r w:rsidRPr="00CC337B">
              <w:rPr>
                <w:rFonts w:ascii="Arial" w:hAnsi="Arial"/>
                <w:sz w:val="16"/>
                <w:szCs w:val="16"/>
                <w:lang w:val="en-AU"/>
              </w:rPr>
              <w:t>The proportion of ADF and Defence APS personnel that believe appropriate action will be taken if they report an incident of unacceptable behaviour has increased in the last 12 months, the proportion of ADF and Defence APS personnel who have experienced any unacceptable behaviour in the workplace has decreased in the last 12 months, and proportion of ADF and Defence APS personnel who are of the view that Defence Values are being used in their work area has increased in the last 12 months.</w:t>
            </w:r>
          </w:p>
        </w:tc>
      </w:tr>
      <w:tr w:rsidR="00CC337B" w:rsidRPr="00CD66E1" w14:paraId="3ACFBEB7" w14:textId="77777777" w:rsidTr="003C0162">
        <w:tblPrEx>
          <w:shd w:val="clear" w:color="auto" w:fill="auto"/>
          <w:tblLook w:val="04A0" w:firstRow="1" w:lastRow="0" w:firstColumn="1" w:lastColumn="0" w:noHBand="0" w:noVBand="1"/>
        </w:tblPrEx>
        <w:trPr>
          <w:trHeight w:val="320"/>
        </w:trPr>
        <w:tc>
          <w:tcPr>
            <w:tcW w:w="1799" w:type="dxa"/>
            <w:tcBorders>
              <w:top w:val="single" w:sz="4" w:space="0" w:color="auto"/>
              <w:right w:val="single" w:sz="4" w:space="0" w:color="auto"/>
            </w:tcBorders>
          </w:tcPr>
          <w:p w14:paraId="25101444" w14:textId="5970B9F0" w:rsidR="00CC337B" w:rsidRPr="00D162CC" w:rsidRDefault="00CC337B" w:rsidP="00CC337B">
            <w:pPr>
              <w:pageBreakBefore/>
              <w:tabs>
                <w:tab w:val="left" w:pos="709"/>
              </w:tabs>
              <w:spacing w:before="0" w:after="0"/>
              <w:rPr>
                <w:rFonts w:ascii="Arial" w:hAnsi="Arial"/>
                <w:color w:val="000000"/>
                <w:sz w:val="16"/>
                <w:szCs w:val="16"/>
              </w:rPr>
            </w:pPr>
            <w:r>
              <w:lastRenderedPageBreak/>
              <w:br w:type="page"/>
            </w:r>
            <w:r w:rsidRPr="00D162CC">
              <w:rPr>
                <w:rFonts w:ascii="Arial" w:hAnsi="Arial"/>
                <w:b/>
                <w:color w:val="000000"/>
                <w:sz w:val="16"/>
                <w:szCs w:val="16"/>
              </w:rPr>
              <w:t>Year</w:t>
            </w:r>
          </w:p>
        </w:tc>
        <w:tc>
          <w:tcPr>
            <w:tcW w:w="3174" w:type="dxa"/>
            <w:tcBorders>
              <w:top w:val="single" w:sz="4" w:space="0" w:color="auto"/>
              <w:left w:val="single" w:sz="4" w:space="0" w:color="auto"/>
              <w:bottom w:val="single" w:sz="4" w:space="0" w:color="auto"/>
              <w:right w:val="single" w:sz="4" w:space="0" w:color="auto"/>
            </w:tcBorders>
          </w:tcPr>
          <w:p w14:paraId="74E63A3C" w14:textId="549A03A1" w:rsidR="00CC337B" w:rsidRPr="000E0486" w:rsidRDefault="00CC337B" w:rsidP="00CC337B">
            <w:pPr>
              <w:tabs>
                <w:tab w:val="left" w:pos="709"/>
              </w:tabs>
              <w:spacing w:before="0" w:after="0"/>
              <w:rPr>
                <w:rFonts w:ascii="Arial" w:hAnsi="Arial"/>
                <w:sz w:val="16"/>
                <w:szCs w:val="16"/>
                <w:lang w:val="en-AU"/>
              </w:rPr>
            </w:pPr>
            <w:r w:rsidRPr="00D162CC">
              <w:rPr>
                <w:rFonts w:ascii="Arial" w:hAnsi="Arial"/>
                <w:b/>
                <w:color w:val="000000"/>
                <w:sz w:val="16"/>
                <w:szCs w:val="16"/>
              </w:rPr>
              <w:t>Performance measures</w:t>
            </w:r>
          </w:p>
        </w:tc>
        <w:tc>
          <w:tcPr>
            <w:tcW w:w="3379" w:type="dxa"/>
            <w:tcBorders>
              <w:top w:val="single" w:sz="4" w:space="0" w:color="auto"/>
              <w:left w:val="single" w:sz="4" w:space="0" w:color="auto"/>
              <w:bottom w:val="single" w:sz="4" w:space="0" w:color="auto"/>
            </w:tcBorders>
          </w:tcPr>
          <w:p w14:paraId="3F54FF37" w14:textId="338A105B" w:rsidR="00CC337B" w:rsidRPr="00CC337B" w:rsidRDefault="00CC337B" w:rsidP="00CC337B">
            <w:pPr>
              <w:tabs>
                <w:tab w:val="left" w:pos="709"/>
              </w:tabs>
              <w:spacing w:before="60" w:after="60"/>
              <w:rPr>
                <w:rFonts w:ascii="Arial" w:hAnsi="Arial"/>
                <w:sz w:val="16"/>
                <w:szCs w:val="16"/>
                <w:lang w:val="en-AU"/>
              </w:rPr>
            </w:pPr>
            <w:r w:rsidRPr="00D162CC">
              <w:rPr>
                <w:rFonts w:ascii="Arial" w:hAnsi="Arial"/>
                <w:b/>
                <w:color w:val="000000"/>
                <w:sz w:val="16"/>
                <w:szCs w:val="16"/>
              </w:rPr>
              <w:t>Planned Performance Results</w:t>
            </w:r>
          </w:p>
        </w:tc>
      </w:tr>
      <w:tr w:rsidR="00CC337B" w:rsidRPr="00CD66E1" w14:paraId="5E31309B" w14:textId="77777777" w:rsidTr="00CC337B">
        <w:tblPrEx>
          <w:shd w:val="clear" w:color="auto" w:fill="auto"/>
          <w:tblLook w:val="04A0" w:firstRow="1" w:lastRow="0" w:firstColumn="1" w:lastColumn="0" w:noHBand="0" w:noVBand="1"/>
        </w:tblPrEx>
        <w:trPr>
          <w:trHeight w:val="320"/>
        </w:trPr>
        <w:tc>
          <w:tcPr>
            <w:tcW w:w="1799" w:type="dxa"/>
            <w:vMerge w:val="restart"/>
            <w:tcBorders>
              <w:right w:val="single" w:sz="4" w:space="0" w:color="auto"/>
            </w:tcBorders>
          </w:tcPr>
          <w:p w14:paraId="31B62199" w14:textId="77777777" w:rsidR="00CC337B" w:rsidRPr="00D162CC" w:rsidRDefault="00CC337B" w:rsidP="00CC337B">
            <w:pPr>
              <w:tabs>
                <w:tab w:val="left" w:pos="709"/>
              </w:tabs>
              <w:spacing w:before="0" w:after="0"/>
              <w:rPr>
                <w:rFonts w:ascii="Arial" w:hAnsi="Arial"/>
                <w:color w:val="000000"/>
                <w:sz w:val="16"/>
                <w:szCs w:val="16"/>
              </w:rPr>
            </w:pPr>
            <w:r w:rsidRPr="00D162CC">
              <w:rPr>
                <w:rFonts w:ascii="Arial" w:hAnsi="Arial"/>
                <w:color w:val="000000"/>
                <w:sz w:val="16"/>
                <w:szCs w:val="16"/>
              </w:rPr>
              <w:t xml:space="preserve">Budget Year </w:t>
            </w:r>
          </w:p>
          <w:p w14:paraId="3312CDE1" w14:textId="3333A63A" w:rsidR="00CC337B" w:rsidRPr="00CD66E1" w:rsidRDefault="00CC337B" w:rsidP="00CC337B">
            <w:pPr>
              <w:tabs>
                <w:tab w:val="left" w:pos="709"/>
              </w:tabs>
              <w:spacing w:before="60" w:after="60"/>
              <w:rPr>
                <w:rFonts w:ascii="Arial" w:hAnsi="Arial"/>
                <w:color w:val="000000"/>
                <w:sz w:val="16"/>
                <w:szCs w:val="16"/>
                <w:highlight w:val="yellow"/>
              </w:rPr>
            </w:pPr>
            <w:r w:rsidRPr="00D162CC">
              <w:rPr>
                <w:rFonts w:ascii="Arial" w:hAnsi="Arial"/>
                <w:color w:val="000000"/>
                <w:sz w:val="16"/>
                <w:szCs w:val="16"/>
              </w:rPr>
              <w:t>2025-26</w:t>
            </w:r>
            <w:r>
              <w:rPr>
                <w:rFonts w:ascii="Arial" w:hAnsi="Arial"/>
                <w:color w:val="000000"/>
                <w:sz w:val="16"/>
                <w:szCs w:val="16"/>
              </w:rPr>
              <w:t xml:space="preserve"> </w:t>
            </w:r>
            <w:r w:rsidRPr="00D162CC">
              <w:rPr>
                <w:rFonts w:ascii="Arial" w:hAnsi="Arial"/>
                <w:color w:val="000000"/>
                <w:sz w:val="16"/>
                <w:szCs w:val="16"/>
                <w:vertAlign w:val="superscript"/>
              </w:rPr>
              <w:t>[b]</w:t>
            </w:r>
          </w:p>
        </w:tc>
        <w:tc>
          <w:tcPr>
            <w:tcW w:w="3174" w:type="dxa"/>
            <w:tcBorders>
              <w:top w:val="single" w:sz="4" w:space="0" w:color="auto"/>
              <w:left w:val="single" w:sz="4" w:space="0" w:color="auto"/>
              <w:bottom w:val="dotted" w:sz="4" w:space="0" w:color="auto"/>
              <w:right w:val="single" w:sz="4" w:space="0" w:color="auto"/>
            </w:tcBorders>
          </w:tcPr>
          <w:p w14:paraId="73710AF3" w14:textId="77777777" w:rsidR="00CC337B" w:rsidRPr="000E0486" w:rsidRDefault="00CC337B" w:rsidP="00CF3FAF">
            <w:pPr>
              <w:tabs>
                <w:tab w:val="left" w:pos="709"/>
              </w:tabs>
              <w:spacing w:before="60" w:after="60"/>
              <w:rPr>
                <w:rFonts w:ascii="Arial" w:hAnsi="Arial"/>
                <w:sz w:val="16"/>
                <w:szCs w:val="16"/>
                <w:lang w:val="en-AU"/>
              </w:rPr>
            </w:pPr>
            <w:r w:rsidRPr="000E0486">
              <w:rPr>
                <w:rFonts w:ascii="Arial" w:hAnsi="Arial"/>
                <w:sz w:val="16"/>
                <w:szCs w:val="16"/>
                <w:lang w:val="en-AU"/>
              </w:rPr>
              <w:t>4.4: Defence supports ADF members and their families by providing access to support services and programs having regard to lifetime wellbeing.</w:t>
            </w:r>
          </w:p>
        </w:tc>
        <w:tc>
          <w:tcPr>
            <w:tcW w:w="3379" w:type="dxa"/>
            <w:tcBorders>
              <w:top w:val="single" w:sz="4" w:space="0" w:color="auto"/>
              <w:left w:val="single" w:sz="4" w:space="0" w:color="auto"/>
              <w:bottom w:val="dotted" w:sz="4" w:space="0" w:color="auto"/>
            </w:tcBorders>
          </w:tcPr>
          <w:p w14:paraId="52BE00CA" w14:textId="175B17FD" w:rsidR="00CC337B" w:rsidRPr="00CC337B" w:rsidRDefault="00CC337B" w:rsidP="00FE6E78">
            <w:pPr>
              <w:tabs>
                <w:tab w:val="left" w:pos="709"/>
              </w:tabs>
              <w:spacing w:before="60" w:after="60"/>
              <w:rPr>
                <w:rFonts w:ascii="Arial" w:hAnsi="Arial"/>
                <w:sz w:val="16"/>
                <w:szCs w:val="16"/>
                <w:lang w:val="en-AU"/>
              </w:rPr>
            </w:pPr>
            <w:r w:rsidRPr="00CC337B">
              <w:rPr>
                <w:rFonts w:ascii="Arial" w:hAnsi="Arial"/>
                <w:sz w:val="16"/>
                <w:szCs w:val="16"/>
                <w:lang w:val="en-AU"/>
              </w:rPr>
              <w:t>At least 75 per cent of eligible permanent ADF members and their families are registered with the ADF Family Health Program; 100 per cent of support services and programs are provided to permanent ADF and their families in accordance with identified service delivery timeframes; Defence’s suicide prevention training is practical, tailored, informed by lived experience and delivered in person; and 100 per cent of Defence-led, Government-agreed recommendations from the Royal Commission into Defence and Veteran Suicide Final Report which are on the Forward Work Plan for the Program Board in 2024-25, have approved Reform Management Plans in place b</w:t>
            </w:r>
            <w:r w:rsidR="00FE6E78">
              <w:rPr>
                <w:rFonts w:ascii="Arial" w:hAnsi="Arial"/>
                <w:sz w:val="16"/>
                <w:szCs w:val="16"/>
                <w:lang w:val="en-AU"/>
              </w:rPr>
              <w:t>y 30 </w:t>
            </w:r>
            <w:r w:rsidRPr="00CC337B">
              <w:rPr>
                <w:rFonts w:ascii="Arial" w:hAnsi="Arial"/>
                <w:sz w:val="16"/>
                <w:szCs w:val="16"/>
                <w:lang w:val="en-AU"/>
              </w:rPr>
              <w:t>June</w:t>
            </w:r>
            <w:r w:rsidR="00FE6E78">
              <w:rPr>
                <w:rFonts w:ascii="Arial" w:hAnsi="Arial"/>
                <w:sz w:val="16"/>
                <w:szCs w:val="16"/>
                <w:lang w:val="en-AU"/>
              </w:rPr>
              <w:t> </w:t>
            </w:r>
            <w:r w:rsidRPr="00CC337B">
              <w:rPr>
                <w:rFonts w:ascii="Arial" w:hAnsi="Arial"/>
                <w:sz w:val="16"/>
                <w:szCs w:val="16"/>
                <w:lang w:val="en-AU"/>
              </w:rPr>
              <w:t>2025.</w:t>
            </w:r>
          </w:p>
        </w:tc>
      </w:tr>
      <w:tr w:rsidR="00CC337B" w:rsidRPr="00CD66E1" w14:paraId="2761E8D8" w14:textId="77777777" w:rsidTr="00ED5D95">
        <w:tblPrEx>
          <w:shd w:val="clear" w:color="auto" w:fill="auto"/>
          <w:tblLook w:val="04A0" w:firstRow="1" w:lastRow="0" w:firstColumn="1" w:lastColumn="0" w:noHBand="0" w:noVBand="1"/>
        </w:tblPrEx>
        <w:trPr>
          <w:trHeight w:val="1106"/>
        </w:trPr>
        <w:tc>
          <w:tcPr>
            <w:tcW w:w="1799" w:type="dxa"/>
            <w:vMerge/>
            <w:tcBorders>
              <w:bottom w:val="single" w:sz="4" w:space="0" w:color="auto"/>
              <w:right w:val="single" w:sz="4" w:space="0" w:color="auto"/>
            </w:tcBorders>
          </w:tcPr>
          <w:p w14:paraId="20228161" w14:textId="77777777" w:rsidR="00CC337B" w:rsidRPr="00CD66E1" w:rsidRDefault="00CC337B" w:rsidP="00460821">
            <w:pPr>
              <w:tabs>
                <w:tab w:val="left" w:pos="709"/>
              </w:tabs>
              <w:spacing w:before="60" w:after="60"/>
              <w:rPr>
                <w:rFonts w:ascii="Arial" w:hAnsi="Arial"/>
                <w:color w:val="000000"/>
                <w:sz w:val="16"/>
                <w:szCs w:val="16"/>
                <w:highlight w:val="yellow"/>
              </w:rPr>
            </w:pPr>
          </w:p>
        </w:tc>
        <w:tc>
          <w:tcPr>
            <w:tcW w:w="3174" w:type="dxa"/>
            <w:tcBorders>
              <w:top w:val="dotted" w:sz="4" w:space="0" w:color="auto"/>
              <w:left w:val="single" w:sz="4" w:space="0" w:color="auto"/>
              <w:bottom w:val="single" w:sz="4" w:space="0" w:color="auto"/>
              <w:right w:val="single" w:sz="4" w:space="0" w:color="auto"/>
            </w:tcBorders>
          </w:tcPr>
          <w:p w14:paraId="66CA1C42" w14:textId="77777777" w:rsidR="00CC337B" w:rsidRPr="001A4F1C" w:rsidRDefault="00CC337B" w:rsidP="00CF3FAF">
            <w:pPr>
              <w:tabs>
                <w:tab w:val="left" w:pos="709"/>
              </w:tabs>
              <w:spacing w:before="60" w:after="60"/>
              <w:rPr>
                <w:rFonts w:ascii="Arial" w:hAnsi="Arial"/>
                <w:color w:val="000000"/>
                <w:sz w:val="16"/>
                <w:szCs w:val="16"/>
                <w:highlight w:val="yellow"/>
              </w:rPr>
            </w:pPr>
            <w:r w:rsidRPr="000E0486">
              <w:rPr>
                <w:rFonts w:ascii="Arial" w:hAnsi="Arial"/>
                <w:sz w:val="16"/>
                <w:szCs w:val="16"/>
                <w:lang w:val="en-AU"/>
              </w:rPr>
              <w:t xml:space="preserve">6.1: </w:t>
            </w:r>
            <w:r w:rsidRPr="00880166">
              <w:rPr>
                <w:rFonts w:ascii="Arial" w:hAnsi="Arial"/>
                <w:sz w:val="16"/>
                <w:szCs w:val="16"/>
                <w:lang w:val="en-AU"/>
              </w:rPr>
              <w:t xml:space="preserve">Defence is delivering the right future capability at the right time within the Integrated Investment Program to ensure it is equipped to respond to future security challenges as directed by the </w:t>
            </w:r>
            <w:r w:rsidRPr="00E00255">
              <w:rPr>
                <w:rFonts w:ascii="Arial" w:hAnsi="Arial"/>
                <w:i/>
                <w:sz w:val="16"/>
                <w:szCs w:val="16"/>
                <w:lang w:val="en-AU"/>
              </w:rPr>
              <w:t>2024 National Defence Strategy</w:t>
            </w:r>
            <w:r w:rsidRPr="00880166">
              <w:rPr>
                <w:rFonts w:ascii="Arial" w:hAnsi="Arial"/>
                <w:sz w:val="16"/>
                <w:szCs w:val="16"/>
                <w:lang w:val="en-AU"/>
              </w:rPr>
              <w:t>.</w:t>
            </w:r>
          </w:p>
        </w:tc>
        <w:tc>
          <w:tcPr>
            <w:tcW w:w="3379" w:type="dxa"/>
            <w:tcBorders>
              <w:top w:val="dotted" w:sz="4" w:space="0" w:color="auto"/>
              <w:left w:val="single" w:sz="4" w:space="0" w:color="auto"/>
              <w:bottom w:val="single" w:sz="4" w:space="0" w:color="auto"/>
            </w:tcBorders>
          </w:tcPr>
          <w:p w14:paraId="72AB0EC1" w14:textId="77777777" w:rsidR="00CC337B" w:rsidRPr="0036429E" w:rsidRDefault="00CC337B" w:rsidP="00CF3FAF">
            <w:pPr>
              <w:tabs>
                <w:tab w:val="left" w:pos="709"/>
              </w:tabs>
              <w:spacing w:before="60" w:after="60"/>
              <w:rPr>
                <w:rFonts w:ascii="Arial" w:hAnsi="Arial"/>
                <w:i/>
                <w:sz w:val="16"/>
                <w:szCs w:val="16"/>
              </w:rPr>
            </w:pPr>
            <w:r w:rsidRPr="0036429E">
              <w:rPr>
                <w:rFonts w:ascii="Arial" w:hAnsi="Arial"/>
                <w:sz w:val="16"/>
                <w:szCs w:val="16"/>
                <w:lang w:val="en-AU"/>
              </w:rPr>
              <w:t>80 per cent or more of approved Integrated Investment Program projects across all domains are on track to deliver the scope approved by Government within Government approved cost and schedule.</w:t>
            </w:r>
          </w:p>
        </w:tc>
      </w:tr>
      <w:tr w:rsidR="002D6481" w:rsidRPr="00ED5D95" w14:paraId="3A82CD2C" w14:textId="77777777" w:rsidTr="00460821">
        <w:tblPrEx>
          <w:shd w:val="clear" w:color="auto" w:fill="auto"/>
          <w:tblLook w:val="04A0" w:firstRow="1" w:lastRow="0" w:firstColumn="1" w:lastColumn="0" w:noHBand="0" w:noVBand="1"/>
        </w:tblPrEx>
        <w:trPr>
          <w:trHeight w:val="491"/>
        </w:trPr>
        <w:tc>
          <w:tcPr>
            <w:tcW w:w="1799" w:type="dxa"/>
            <w:tcBorders>
              <w:top w:val="single" w:sz="4" w:space="0" w:color="auto"/>
              <w:bottom w:val="single" w:sz="4" w:space="0" w:color="auto"/>
              <w:right w:val="single" w:sz="4" w:space="0" w:color="auto"/>
            </w:tcBorders>
          </w:tcPr>
          <w:p w14:paraId="2C3944E7" w14:textId="77777777" w:rsidR="002D6481" w:rsidRPr="00ED5D95" w:rsidRDefault="002D6481" w:rsidP="00987C39">
            <w:pPr>
              <w:tabs>
                <w:tab w:val="left" w:pos="709"/>
              </w:tabs>
              <w:spacing w:before="0" w:after="0"/>
              <w:rPr>
                <w:rFonts w:ascii="Arial" w:hAnsi="Arial"/>
                <w:color w:val="000000"/>
                <w:sz w:val="16"/>
                <w:szCs w:val="16"/>
              </w:rPr>
            </w:pPr>
            <w:r w:rsidRPr="00ED5D95">
              <w:rPr>
                <w:rFonts w:ascii="Arial" w:hAnsi="Arial"/>
                <w:color w:val="000000"/>
                <w:sz w:val="16"/>
                <w:szCs w:val="16"/>
              </w:rPr>
              <w:t>Forward Estimates</w:t>
            </w:r>
          </w:p>
          <w:p w14:paraId="2C150ACA" w14:textId="77777777" w:rsidR="002D6481" w:rsidRPr="00ED5D95" w:rsidRDefault="004E2B1E" w:rsidP="00987C39">
            <w:pPr>
              <w:tabs>
                <w:tab w:val="left" w:pos="709"/>
              </w:tabs>
              <w:spacing w:before="0" w:after="0"/>
              <w:rPr>
                <w:rFonts w:ascii="Arial" w:hAnsi="Arial"/>
                <w:b/>
                <w:color w:val="000000"/>
                <w:sz w:val="16"/>
                <w:szCs w:val="16"/>
              </w:rPr>
            </w:pPr>
            <w:r w:rsidRPr="00ED5D95">
              <w:rPr>
                <w:rFonts w:ascii="Arial" w:hAnsi="Arial"/>
                <w:color w:val="000000"/>
                <w:sz w:val="16"/>
                <w:szCs w:val="16"/>
              </w:rPr>
              <w:t>2026</w:t>
            </w:r>
            <w:r w:rsidR="002D6481" w:rsidRPr="00ED5D95">
              <w:rPr>
                <w:rFonts w:ascii="Arial" w:hAnsi="Arial"/>
                <w:color w:val="000000"/>
                <w:sz w:val="16"/>
                <w:szCs w:val="16"/>
              </w:rPr>
              <w:t>-2</w:t>
            </w:r>
            <w:r w:rsidRPr="00ED5D95">
              <w:rPr>
                <w:rFonts w:ascii="Arial" w:hAnsi="Arial"/>
                <w:color w:val="000000"/>
                <w:sz w:val="16"/>
                <w:szCs w:val="16"/>
              </w:rPr>
              <w:t>9</w:t>
            </w:r>
          </w:p>
        </w:tc>
        <w:tc>
          <w:tcPr>
            <w:tcW w:w="3174" w:type="dxa"/>
            <w:tcBorders>
              <w:top w:val="single" w:sz="4" w:space="0" w:color="auto"/>
              <w:left w:val="single" w:sz="4" w:space="0" w:color="auto"/>
              <w:bottom w:val="single" w:sz="4" w:space="0" w:color="auto"/>
              <w:right w:val="single" w:sz="4" w:space="0" w:color="auto"/>
            </w:tcBorders>
          </w:tcPr>
          <w:p w14:paraId="3E4BBC0D" w14:textId="77777777" w:rsidR="002D6481" w:rsidRPr="00ED5D95" w:rsidRDefault="002D6481" w:rsidP="00ED5D95">
            <w:pPr>
              <w:tabs>
                <w:tab w:val="left" w:pos="709"/>
              </w:tabs>
              <w:spacing w:before="0" w:after="0"/>
              <w:rPr>
                <w:rFonts w:ascii="Arial" w:hAnsi="Arial"/>
                <w:b/>
                <w:color w:val="000000"/>
                <w:sz w:val="16"/>
                <w:szCs w:val="16"/>
              </w:rPr>
            </w:pPr>
            <w:r w:rsidRPr="00ED5D95">
              <w:rPr>
                <w:rFonts w:ascii="Arial" w:hAnsi="Arial"/>
                <w:color w:val="000000"/>
                <w:sz w:val="16"/>
                <w:szCs w:val="16"/>
              </w:rPr>
              <w:t>As per 202</w:t>
            </w:r>
            <w:r w:rsidR="00ED5D95">
              <w:rPr>
                <w:rFonts w:ascii="Arial" w:hAnsi="Arial"/>
                <w:color w:val="000000"/>
                <w:sz w:val="16"/>
                <w:szCs w:val="16"/>
              </w:rPr>
              <w:t>5</w:t>
            </w:r>
            <w:r w:rsidRPr="00ED5D95">
              <w:rPr>
                <w:rFonts w:ascii="Arial" w:hAnsi="Arial"/>
                <w:color w:val="000000"/>
                <w:sz w:val="16"/>
                <w:szCs w:val="16"/>
              </w:rPr>
              <w:t>-2</w:t>
            </w:r>
            <w:r w:rsidR="00ED5D95">
              <w:rPr>
                <w:rFonts w:ascii="Arial" w:hAnsi="Arial"/>
                <w:color w:val="000000"/>
                <w:sz w:val="16"/>
                <w:szCs w:val="16"/>
              </w:rPr>
              <w:t>6</w:t>
            </w:r>
            <w:r w:rsidRPr="00ED5D95">
              <w:rPr>
                <w:rFonts w:ascii="Arial" w:hAnsi="Arial"/>
                <w:color w:val="000000"/>
                <w:sz w:val="16"/>
                <w:szCs w:val="16"/>
              </w:rPr>
              <w:t>.</w:t>
            </w:r>
          </w:p>
        </w:tc>
        <w:tc>
          <w:tcPr>
            <w:tcW w:w="3379" w:type="dxa"/>
            <w:tcBorders>
              <w:top w:val="single" w:sz="4" w:space="0" w:color="auto"/>
              <w:left w:val="single" w:sz="4" w:space="0" w:color="auto"/>
              <w:bottom w:val="single" w:sz="4" w:space="0" w:color="auto"/>
            </w:tcBorders>
          </w:tcPr>
          <w:p w14:paraId="7A7A224D" w14:textId="77777777" w:rsidR="002D6481" w:rsidRPr="00ED5D95" w:rsidRDefault="002D6481" w:rsidP="00ED5D95">
            <w:pPr>
              <w:tabs>
                <w:tab w:val="left" w:pos="709"/>
              </w:tabs>
              <w:spacing w:before="0" w:after="0"/>
              <w:rPr>
                <w:rFonts w:ascii="Arial" w:hAnsi="Arial"/>
                <w:b/>
                <w:color w:val="000000"/>
                <w:sz w:val="16"/>
                <w:szCs w:val="16"/>
              </w:rPr>
            </w:pPr>
            <w:r w:rsidRPr="00ED5D95">
              <w:rPr>
                <w:rFonts w:ascii="Arial" w:hAnsi="Arial"/>
                <w:color w:val="000000"/>
                <w:sz w:val="16"/>
                <w:szCs w:val="16"/>
              </w:rPr>
              <w:t>As per 202</w:t>
            </w:r>
            <w:r w:rsidR="00ED5D95">
              <w:rPr>
                <w:rFonts w:ascii="Arial" w:hAnsi="Arial"/>
                <w:color w:val="000000"/>
                <w:sz w:val="16"/>
                <w:szCs w:val="16"/>
              </w:rPr>
              <w:t>5</w:t>
            </w:r>
            <w:r w:rsidRPr="00ED5D95">
              <w:rPr>
                <w:rFonts w:ascii="Arial" w:hAnsi="Arial"/>
                <w:color w:val="000000"/>
                <w:sz w:val="16"/>
                <w:szCs w:val="16"/>
              </w:rPr>
              <w:t>-2</w:t>
            </w:r>
            <w:r w:rsidR="00ED5D95">
              <w:rPr>
                <w:rFonts w:ascii="Arial" w:hAnsi="Arial"/>
                <w:color w:val="000000"/>
                <w:sz w:val="16"/>
                <w:szCs w:val="16"/>
              </w:rPr>
              <w:t>6</w:t>
            </w:r>
            <w:r w:rsidRPr="00ED5D95">
              <w:rPr>
                <w:rFonts w:ascii="Arial" w:hAnsi="Arial"/>
                <w:color w:val="000000"/>
                <w:sz w:val="16"/>
                <w:szCs w:val="16"/>
              </w:rPr>
              <w:t>.</w:t>
            </w:r>
          </w:p>
        </w:tc>
      </w:tr>
      <w:tr w:rsidR="002D6481" w:rsidRPr="00ED5D95" w14:paraId="4930F0C6" w14:textId="77777777" w:rsidTr="00460821">
        <w:tblPrEx>
          <w:shd w:val="clear" w:color="auto" w:fill="auto"/>
          <w:tblLook w:val="04A0" w:firstRow="1" w:lastRow="0" w:firstColumn="1" w:lastColumn="0" w:noHBand="0" w:noVBand="1"/>
        </w:tblPrEx>
        <w:trPr>
          <w:trHeight w:val="291"/>
        </w:trPr>
        <w:tc>
          <w:tcPr>
            <w:tcW w:w="8352" w:type="dxa"/>
            <w:gridSpan w:val="3"/>
            <w:tcBorders>
              <w:top w:val="single" w:sz="4" w:space="0" w:color="auto"/>
            </w:tcBorders>
          </w:tcPr>
          <w:p w14:paraId="4705EBB9" w14:textId="409DDF83" w:rsidR="002D6481" w:rsidRPr="00ED5D95" w:rsidRDefault="002D6481" w:rsidP="00E364DF">
            <w:pPr>
              <w:tabs>
                <w:tab w:val="left" w:pos="709"/>
              </w:tabs>
              <w:spacing w:before="60" w:after="60"/>
              <w:rPr>
                <w:rFonts w:ascii="Arial" w:eastAsia="Cambria" w:hAnsi="Arial"/>
                <w:bCs/>
                <w:iCs/>
                <w:color w:val="000000"/>
                <w:spacing w:val="-6"/>
                <w:sz w:val="16"/>
                <w:szCs w:val="16"/>
                <w:lang w:val="x-none"/>
              </w:rPr>
            </w:pPr>
            <w:r w:rsidRPr="00ED5D95">
              <w:rPr>
                <w:rFonts w:ascii="Arial" w:hAnsi="Arial"/>
                <w:color w:val="000000"/>
                <w:sz w:val="16"/>
                <w:szCs w:val="16"/>
              </w:rPr>
              <w:t>Material changes to Program 2.2 resulting from 202</w:t>
            </w:r>
            <w:r w:rsidR="00E364DF">
              <w:rPr>
                <w:rFonts w:ascii="Arial" w:hAnsi="Arial"/>
                <w:color w:val="000000"/>
                <w:sz w:val="16"/>
                <w:szCs w:val="16"/>
              </w:rPr>
              <w:t>5</w:t>
            </w:r>
            <w:r w:rsidRPr="00ED5D95">
              <w:rPr>
                <w:rFonts w:ascii="Arial" w:hAnsi="Arial"/>
                <w:color w:val="000000"/>
                <w:sz w:val="16"/>
                <w:szCs w:val="16"/>
              </w:rPr>
              <w:t>-2</w:t>
            </w:r>
            <w:r w:rsidR="00E364DF">
              <w:rPr>
                <w:rFonts w:ascii="Arial" w:hAnsi="Arial"/>
                <w:color w:val="000000"/>
                <w:sz w:val="16"/>
                <w:szCs w:val="16"/>
              </w:rPr>
              <w:t>6</w:t>
            </w:r>
            <w:r w:rsidRPr="00ED5D95">
              <w:rPr>
                <w:rFonts w:ascii="Arial" w:hAnsi="Arial"/>
                <w:color w:val="000000"/>
                <w:sz w:val="16"/>
                <w:szCs w:val="16"/>
              </w:rPr>
              <w:t xml:space="preserve"> Budget Measures:</w:t>
            </w:r>
            <w:r w:rsidRPr="00ED5D95">
              <w:rPr>
                <w:rStyle w:val="BodyTextChar"/>
                <w:rFonts w:ascii="Arial" w:hAnsi="Arial"/>
                <w:bCs/>
                <w:iCs/>
                <w:color w:val="000000"/>
                <w:spacing w:val="-6"/>
                <w:sz w:val="16"/>
                <w:szCs w:val="16"/>
              </w:rPr>
              <w:t xml:space="preserve"> Nil.</w:t>
            </w:r>
          </w:p>
        </w:tc>
      </w:tr>
    </w:tbl>
    <w:p w14:paraId="7591AA3A" w14:textId="77777777" w:rsidR="00737EBD" w:rsidRPr="00ED5D95" w:rsidRDefault="00737EBD" w:rsidP="00656D60">
      <w:pPr>
        <w:pStyle w:val="TableHeading"/>
        <w:spacing w:before="0" w:after="0"/>
        <w:rPr>
          <w:sz w:val="16"/>
          <w:szCs w:val="16"/>
        </w:rPr>
      </w:pPr>
    </w:p>
    <w:p w14:paraId="703C6C27" w14:textId="77777777" w:rsidR="00965956" w:rsidRPr="00ED5D95" w:rsidRDefault="00965956" w:rsidP="00656D60">
      <w:pPr>
        <w:pStyle w:val="TableHeading"/>
        <w:spacing w:before="0" w:after="0"/>
        <w:rPr>
          <w:sz w:val="14"/>
          <w:szCs w:val="14"/>
        </w:rPr>
      </w:pPr>
      <w:r w:rsidRPr="00ED5D95">
        <w:rPr>
          <w:sz w:val="14"/>
          <w:szCs w:val="14"/>
        </w:rPr>
        <w:t>Note</w:t>
      </w:r>
      <w:r w:rsidR="00AF08A6" w:rsidRPr="00ED5D95">
        <w:rPr>
          <w:sz w:val="14"/>
          <w:szCs w:val="14"/>
        </w:rPr>
        <w:t>s</w:t>
      </w:r>
    </w:p>
    <w:p w14:paraId="590E0263" w14:textId="77777777" w:rsidR="00ED5D95" w:rsidRDefault="00726161" w:rsidP="00444A89">
      <w:pPr>
        <w:pStyle w:val="TableHeading"/>
        <w:numPr>
          <w:ilvl w:val="0"/>
          <w:numId w:val="75"/>
        </w:numPr>
        <w:tabs>
          <w:tab w:val="left" w:pos="284"/>
        </w:tabs>
        <w:spacing w:before="0" w:after="0"/>
        <w:ind w:left="284" w:hanging="284"/>
        <w:rPr>
          <w:b w:val="0"/>
          <w:sz w:val="14"/>
          <w:szCs w:val="14"/>
          <w:lang w:val="en-AU"/>
        </w:rPr>
      </w:pPr>
      <w:r w:rsidRPr="00ED5D95">
        <w:rPr>
          <w:b w:val="0"/>
          <w:sz w:val="14"/>
          <w:szCs w:val="14"/>
        </w:rPr>
        <w:tab/>
      </w:r>
      <w:r w:rsidR="00E368FC" w:rsidRPr="00ED5D95">
        <w:rPr>
          <w:b w:val="0"/>
          <w:sz w:val="14"/>
          <w:szCs w:val="14"/>
          <w:lang w:val="en-AU"/>
        </w:rPr>
        <w:tab/>
      </w:r>
      <w:r w:rsidR="00ED5D95" w:rsidRPr="0036429E">
        <w:rPr>
          <w:b w:val="0"/>
          <w:sz w:val="14"/>
          <w:szCs w:val="14"/>
          <w:lang w:val="en-AU"/>
        </w:rPr>
        <w:t>Performance Measures 4.1 and 4.2 have been amended, and Performance Measures 4.3 and 4.4 are new for 2024-25, as published in the updated 2024-28 Defence Corporate Plan in March 2025</w:t>
      </w:r>
      <w:r w:rsidR="00ED5D95">
        <w:rPr>
          <w:b w:val="0"/>
          <w:sz w:val="14"/>
          <w:szCs w:val="14"/>
          <w:lang w:val="en-AU"/>
        </w:rPr>
        <w:t>.</w:t>
      </w:r>
    </w:p>
    <w:p w14:paraId="06388A77" w14:textId="21FAD30E" w:rsidR="009737EB" w:rsidRPr="0085401F" w:rsidRDefault="00546FD1" w:rsidP="00444A89">
      <w:pPr>
        <w:pStyle w:val="TableHeading"/>
        <w:numPr>
          <w:ilvl w:val="0"/>
          <w:numId w:val="75"/>
        </w:numPr>
        <w:tabs>
          <w:tab w:val="left" w:pos="284"/>
        </w:tabs>
        <w:spacing w:before="0" w:after="0"/>
        <w:ind w:left="284" w:hanging="284"/>
        <w:rPr>
          <w:b w:val="0"/>
          <w:sz w:val="14"/>
          <w:szCs w:val="14"/>
        </w:rPr>
      </w:pPr>
      <w:r>
        <w:rPr>
          <w:b w:val="0"/>
          <w:sz w:val="14"/>
          <w:szCs w:val="14"/>
          <w:lang w:val="en-AU"/>
        </w:rPr>
        <w:t xml:space="preserve">In </w:t>
      </w:r>
      <w:r w:rsidRPr="00546FD1">
        <w:rPr>
          <w:b w:val="0"/>
          <w:sz w:val="14"/>
          <w:szCs w:val="14"/>
          <w:lang w:val="en-AU"/>
        </w:rPr>
        <w:t>accordance with Defence’s Enterprise Performance Framework, Defence is undertaking materiality assessments that may result in updates to the 2025-26 performance information in the 2025-29 Defence Corporate Plan, if required</w:t>
      </w:r>
      <w:r w:rsidR="009737EB">
        <w:rPr>
          <w:b w:val="0"/>
          <w:sz w:val="14"/>
          <w:szCs w:val="14"/>
          <w:lang w:val="en-AU"/>
        </w:rPr>
        <w:t xml:space="preserve">. </w:t>
      </w:r>
    </w:p>
    <w:p w14:paraId="52CD4893" w14:textId="112F979F" w:rsidR="007545AC" w:rsidRPr="00DF2A6B" w:rsidRDefault="00312F38" w:rsidP="00D9100A">
      <w:pPr>
        <w:pStyle w:val="TableHeading"/>
        <w:numPr>
          <w:ilvl w:val="0"/>
          <w:numId w:val="29"/>
        </w:numPr>
        <w:spacing w:before="0" w:after="120"/>
        <w:ind w:left="0" w:firstLine="0"/>
        <w:outlineLvl w:val="6"/>
      </w:pPr>
      <w:r w:rsidRPr="004F5552">
        <w:rPr>
          <w:rStyle w:val="Heading4Char"/>
          <w:sz w:val="14"/>
          <w:szCs w:val="14"/>
        </w:rPr>
        <w:br w:type="page"/>
      </w:r>
      <w:r w:rsidR="007545AC" w:rsidRPr="00DF2A6B">
        <w:lastRenderedPageBreak/>
        <w:t xml:space="preserve">Cost Summary for Program 2.2 </w:t>
      </w:r>
      <w:r w:rsidR="003D1066" w:rsidRPr="00DF2A6B">
        <w:t>Defence Executive Support</w:t>
      </w:r>
      <w:r w:rsidR="009F0F8A">
        <w:t xml:space="preserve"> </w:t>
      </w:r>
      <w:r w:rsidR="009F0F8A" w:rsidRPr="00DF2A6B">
        <w:rPr>
          <w:vertAlign w:val="superscript"/>
        </w:rPr>
        <w:t>[a]</w:t>
      </w:r>
    </w:p>
    <w:p w14:paraId="286612AF" w14:textId="0FC0168A" w:rsidR="00312F38" w:rsidRPr="00B56FAA" w:rsidRDefault="00AE2E3C" w:rsidP="00656D60">
      <w:pPr>
        <w:spacing w:before="0" w:after="0"/>
      </w:pPr>
      <w:r w:rsidRPr="00AE2E3C">
        <w:rPr>
          <w:noProof/>
          <w:lang w:val="en-AU"/>
        </w:rPr>
        <w:drawing>
          <wp:inline distT="0" distB="0" distL="0" distR="0" wp14:anchorId="4DDA6986" wp14:editId="45D64431">
            <wp:extent cx="5471795" cy="2868258"/>
            <wp:effectExtent l="0" t="0" r="0" b="889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71795" cy="2868258"/>
                    </a:xfrm>
                    <a:prstGeom prst="rect">
                      <a:avLst/>
                    </a:prstGeom>
                    <a:noFill/>
                    <a:ln>
                      <a:noFill/>
                    </a:ln>
                  </pic:spPr>
                </pic:pic>
              </a:graphicData>
            </a:graphic>
          </wp:inline>
        </w:drawing>
      </w:r>
    </w:p>
    <w:p w14:paraId="6EE790E6" w14:textId="77777777" w:rsidR="00656D60" w:rsidRPr="00B56FAA" w:rsidRDefault="00656D60" w:rsidP="00374DCB">
      <w:pPr>
        <w:spacing w:before="0" w:after="0"/>
        <w:rPr>
          <w:rFonts w:ascii="Arial" w:hAnsi="Arial"/>
          <w:sz w:val="14"/>
          <w:szCs w:val="14"/>
          <w:lang w:val="en-AU"/>
        </w:rPr>
      </w:pPr>
    </w:p>
    <w:p w14:paraId="44AEB2C7" w14:textId="77777777" w:rsidR="0076610E" w:rsidRPr="00BD74D3" w:rsidRDefault="00BD74D3" w:rsidP="007C1C72">
      <w:pPr>
        <w:tabs>
          <w:tab w:val="left" w:pos="284"/>
        </w:tabs>
        <w:spacing w:before="0" w:after="0"/>
        <w:ind w:left="284" w:hanging="284"/>
        <w:rPr>
          <w:rFonts w:ascii="Arial" w:hAnsi="Arial"/>
          <w:b/>
          <w:sz w:val="14"/>
          <w:szCs w:val="14"/>
          <w:lang w:val="en-AU"/>
        </w:rPr>
      </w:pPr>
      <w:r w:rsidRPr="00BD74D3">
        <w:rPr>
          <w:rFonts w:ascii="Arial" w:hAnsi="Arial"/>
          <w:b/>
          <w:sz w:val="14"/>
          <w:szCs w:val="14"/>
          <w:lang w:val="en-AU"/>
        </w:rPr>
        <w:t>Note</w:t>
      </w:r>
      <w:r>
        <w:rPr>
          <w:rFonts w:ascii="Arial" w:hAnsi="Arial"/>
          <w:b/>
          <w:sz w:val="14"/>
          <w:szCs w:val="14"/>
          <w:lang w:val="en-AU"/>
        </w:rPr>
        <w:t>s</w:t>
      </w:r>
    </w:p>
    <w:p w14:paraId="78A961C5" w14:textId="4A3C460F" w:rsidR="00F91904" w:rsidRPr="00F91904" w:rsidRDefault="00DF2A6B" w:rsidP="00F91904">
      <w:pPr>
        <w:tabs>
          <w:tab w:val="left" w:pos="284"/>
        </w:tabs>
        <w:spacing w:before="0" w:after="0"/>
        <w:ind w:left="284" w:hanging="284"/>
        <w:rPr>
          <w:rFonts w:ascii="Arial" w:hAnsi="Arial"/>
          <w:sz w:val="14"/>
          <w:szCs w:val="14"/>
          <w:lang w:val="en-AU"/>
        </w:rPr>
      </w:pPr>
      <w:r w:rsidRPr="00DF2A6B">
        <w:rPr>
          <w:rFonts w:ascii="Arial" w:hAnsi="Arial"/>
          <w:sz w:val="14"/>
          <w:szCs w:val="14"/>
          <w:lang w:val="en-AU"/>
        </w:rPr>
        <w:t xml:space="preserve">a. </w:t>
      </w:r>
      <w:r>
        <w:rPr>
          <w:rFonts w:ascii="Arial" w:hAnsi="Arial"/>
          <w:sz w:val="14"/>
          <w:szCs w:val="14"/>
          <w:lang w:val="en-AU"/>
        </w:rPr>
        <w:tab/>
      </w:r>
      <w:r w:rsidR="00F91904" w:rsidRPr="00F91904">
        <w:rPr>
          <w:rFonts w:ascii="Arial" w:hAnsi="Arial"/>
          <w:sz w:val="14"/>
          <w:szCs w:val="14"/>
          <w:lang w:val="en-AU"/>
        </w:rPr>
        <w:t xml:space="preserve">The Defence Executive Support Program includes amounts that will be transferred </w:t>
      </w:r>
      <w:r w:rsidR="00223335">
        <w:rPr>
          <w:rFonts w:ascii="Arial" w:hAnsi="Arial"/>
          <w:sz w:val="14"/>
          <w:szCs w:val="14"/>
          <w:lang w:val="en-AU"/>
        </w:rPr>
        <w:t xml:space="preserve">to the Australian Naval Nuclear </w:t>
      </w:r>
      <w:r w:rsidR="00F91904" w:rsidRPr="00F91904">
        <w:rPr>
          <w:rFonts w:ascii="Arial" w:hAnsi="Arial"/>
          <w:sz w:val="14"/>
          <w:szCs w:val="14"/>
          <w:lang w:val="en-AU"/>
        </w:rPr>
        <w:t>Powered Submarine Regulator (ANNPSR) when the agency is created in 2025-26. The final allocation of funding for the ANNPSR will be finalised ahead of its establishment.</w:t>
      </w:r>
      <w:r w:rsidR="00F91904" w:rsidRPr="00F91904">
        <w:rPr>
          <w:rFonts w:ascii="Arial" w:hAnsi="Arial"/>
          <w:sz w:val="14"/>
          <w:szCs w:val="14"/>
          <w:lang w:val="en-AU"/>
        </w:rPr>
        <w:tab/>
      </w:r>
      <w:r w:rsidR="00F91904" w:rsidRPr="00F91904">
        <w:rPr>
          <w:rFonts w:ascii="Arial" w:hAnsi="Arial"/>
          <w:sz w:val="14"/>
          <w:szCs w:val="14"/>
          <w:lang w:val="en-AU"/>
        </w:rPr>
        <w:tab/>
      </w:r>
      <w:r w:rsidR="00F91904" w:rsidRPr="00F91904">
        <w:rPr>
          <w:rFonts w:ascii="Arial" w:hAnsi="Arial"/>
          <w:sz w:val="14"/>
          <w:szCs w:val="14"/>
          <w:lang w:val="en-AU"/>
        </w:rPr>
        <w:tab/>
      </w:r>
      <w:r w:rsidR="00F91904" w:rsidRPr="00F91904">
        <w:rPr>
          <w:rFonts w:ascii="Arial" w:hAnsi="Arial"/>
          <w:sz w:val="14"/>
          <w:szCs w:val="14"/>
          <w:lang w:val="en-AU"/>
        </w:rPr>
        <w:tab/>
      </w:r>
      <w:r w:rsidR="00F91904" w:rsidRPr="00F91904">
        <w:rPr>
          <w:rFonts w:ascii="Arial" w:hAnsi="Arial"/>
          <w:sz w:val="14"/>
          <w:szCs w:val="14"/>
          <w:lang w:val="en-AU"/>
        </w:rPr>
        <w:tab/>
      </w:r>
    </w:p>
    <w:p w14:paraId="1518B044" w14:textId="2B7B2ADE" w:rsidR="00F91904" w:rsidRPr="00F91904" w:rsidRDefault="00F91904" w:rsidP="00F91904">
      <w:pPr>
        <w:tabs>
          <w:tab w:val="left" w:pos="284"/>
        </w:tabs>
        <w:spacing w:before="0" w:after="0"/>
        <w:ind w:left="284" w:hanging="284"/>
        <w:rPr>
          <w:rFonts w:ascii="Arial" w:hAnsi="Arial"/>
          <w:sz w:val="14"/>
          <w:szCs w:val="14"/>
          <w:lang w:val="en-AU"/>
        </w:rPr>
      </w:pPr>
      <w:r w:rsidRPr="00F91904">
        <w:rPr>
          <w:rFonts w:ascii="Arial" w:hAnsi="Arial"/>
          <w:sz w:val="14"/>
          <w:szCs w:val="14"/>
          <w:lang w:val="en-AU"/>
        </w:rPr>
        <w:t xml:space="preserve">b. </w:t>
      </w:r>
      <w:r>
        <w:rPr>
          <w:rFonts w:ascii="Arial" w:hAnsi="Arial"/>
          <w:sz w:val="14"/>
          <w:szCs w:val="14"/>
          <w:lang w:val="en-AU"/>
        </w:rPr>
        <w:tab/>
      </w:r>
      <w:r w:rsidRPr="00F91904">
        <w:rPr>
          <w:rFonts w:ascii="Arial" w:hAnsi="Arial"/>
          <w:sz w:val="14"/>
          <w:szCs w:val="14"/>
          <w:lang w:val="en-AU"/>
        </w:rPr>
        <w:t>Total Program funded expenditure includes operating expenses and capital expenditure funded by appropriation and own source revenue. This excludes expenses not requiring appropriation.</w:t>
      </w:r>
      <w:r w:rsidRPr="00F91904">
        <w:rPr>
          <w:rFonts w:ascii="Arial" w:hAnsi="Arial"/>
          <w:sz w:val="14"/>
          <w:szCs w:val="14"/>
          <w:lang w:val="en-AU"/>
        </w:rPr>
        <w:tab/>
      </w:r>
      <w:r w:rsidRPr="00F91904">
        <w:rPr>
          <w:rFonts w:ascii="Arial" w:hAnsi="Arial"/>
          <w:sz w:val="14"/>
          <w:szCs w:val="14"/>
          <w:lang w:val="en-AU"/>
        </w:rPr>
        <w:tab/>
      </w:r>
      <w:r w:rsidRPr="00F91904">
        <w:rPr>
          <w:rFonts w:ascii="Arial" w:hAnsi="Arial"/>
          <w:sz w:val="14"/>
          <w:szCs w:val="14"/>
          <w:lang w:val="en-AU"/>
        </w:rPr>
        <w:tab/>
      </w:r>
      <w:r w:rsidRPr="00F91904">
        <w:rPr>
          <w:rFonts w:ascii="Arial" w:hAnsi="Arial"/>
          <w:sz w:val="14"/>
          <w:szCs w:val="14"/>
          <w:lang w:val="en-AU"/>
        </w:rPr>
        <w:tab/>
      </w:r>
      <w:r w:rsidRPr="00F91904">
        <w:rPr>
          <w:rFonts w:ascii="Arial" w:hAnsi="Arial"/>
          <w:sz w:val="14"/>
          <w:szCs w:val="14"/>
          <w:lang w:val="en-AU"/>
        </w:rPr>
        <w:tab/>
      </w:r>
    </w:p>
    <w:p w14:paraId="7D0D536E" w14:textId="3B74BB7B" w:rsidR="00CD66E1" w:rsidRPr="003D70E2" w:rsidRDefault="00F91904" w:rsidP="00F91904">
      <w:pPr>
        <w:tabs>
          <w:tab w:val="left" w:pos="284"/>
        </w:tabs>
        <w:spacing w:before="0" w:after="0"/>
        <w:ind w:left="284" w:hanging="284"/>
        <w:rPr>
          <w:rFonts w:ascii="Arial" w:hAnsi="Arial"/>
          <w:sz w:val="14"/>
          <w:szCs w:val="14"/>
          <w:lang w:val="en-AU"/>
        </w:rPr>
      </w:pPr>
      <w:r w:rsidRPr="00F91904">
        <w:rPr>
          <w:rFonts w:ascii="Arial" w:hAnsi="Arial"/>
          <w:sz w:val="14"/>
          <w:szCs w:val="14"/>
          <w:lang w:val="en-AU"/>
        </w:rPr>
        <w:t xml:space="preserve">c. </w:t>
      </w:r>
      <w:r>
        <w:rPr>
          <w:rFonts w:ascii="Arial" w:hAnsi="Arial"/>
          <w:sz w:val="14"/>
          <w:szCs w:val="14"/>
          <w:lang w:val="en-AU"/>
        </w:rPr>
        <w:tab/>
      </w:r>
      <w:r w:rsidRPr="00F91904">
        <w:rPr>
          <w:rFonts w:ascii="Arial" w:hAnsi="Arial"/>
          <w:sz w:val="14"/>
          <w:szCs w:val="14"/>
          <w:lang w:val="en-AU"/>
        </w:rPr>
        <w:t>The change in estimates includes movement of functions and their associated budgets within Defence.</w:t>
      </w:r>
      <w:r w:rsidRPr="00F91904">
        <w:rPr>
          <w:rFonts w:ascii="Arial" w:hAnsi="Arial"/>
          <w:sz w:val="14"/>
          <w:szCs w:val="14"/>
          <w:lang w:val="en-AU"/>
        </w:rPr>
        <w:tab/>
      </w:r>
      <w:r w:rsidRPr="00F91904">
        <w:rPr>
          <w:rFonts w:ascii="Arial" w:hAnsi="Arial"/>
          <w:sz w:val="14"/>
          <w:szCs w:val="14"/>
          <w:lang w:val="en-AU"/>
        </w:rPr>
        <w:tab/>
      </w:r>
      <w:r w:rsidRPr="00F91904">
        <w:rPr>
          <w:rFonts w:ascii="Arial" w:hAnsi="Arial"/>
          <w:sz w:val="14"/>
          <w:szCs w:val="14"/>
          <w:lang w:val="en-AU"/>
        </w:rPr>
        <w:tab/>
      </w:r>
      <w:r w:rsidRPr="00F91904">
        <w:rPr>
          <w:rFonts w:ascii="Arial" w:hAnsi="Arial"/>
          <w:sz w:val="14"/>
          <w:szCs w:val="14"/>
          <w:lang w:val="en-AU"/>
        </w:rPr>
        <w:tab/>
      </w:r>
      <w:r w:rsidRPr="00F91904">
        <w:rPr>
          <w:rFonts w:ascii="Arial" w:hAnsi="Arial"/>
          <w:sz w:val="14"/>
          <w:szCs w:val="14"/>
          <w:lang w:val="en-AU"/>
        </w:rPr>
        <w:tab/>
      </w:r>
    </w:p>
    <w:p w14:paraId="0346ACAF" w14:textId="77777777" w:rsidR="0076610E" w:rsidRPr="00B56FAA" w:rsidRDefault="0076610E" w:rsidP="00DF2A6B">
      <w:pPr>
        <w:tabs>
          <w:tab w:val="left" w:pos="284"/>
        </w:tabs>
        <w:spacing w:before="0" w:after="0"/>
        <w:rPr>
          <w:rFonts w:ascii="Arial" w:hAnsi="Arial"/>
          <w:sz w:val="14"/>
          <w:szCs w:val="14"/>
          <w:lang w:val="en-AU"/>
        </w:rPr>
      </w:pPr>
    </w:p>
    <w:p w14:paraId="495B63A8" w14:textId="77777777" w:rsidR="009218A1" w:rsidRPr="00B56FAA" w:rsidRDefault="0002483A" w:rsidP="001E6BF2">
      <w:pPr>
        <w:spacing w:before="0" w:after="0"/>
        <w:outlineLvl w:val="5"/>
        <w:rPr>
          <w:color w:val="FFFFFF"/>
          <w:sz w:val="2"/>
        </w:rPr>
      </w:pPr>
      <w:r w:rsidRPr="00B56FAA">
        <w:rPr>
          <w:lang w:val="en-AU"/>
        </w:rPr>
        <w:br w:type="page"/>
      </w:r>
      <w:r w:rsidR="009218A1" w:rsidRPr="00B56FAA">
        <w:rPr>
          <w:color w:val="FFFFFF"/>
          <w:sz w:val="2"/>
        </w:rPr>
        <w:lastRenderedPageBreak/>
        <w:t>Program 2.3: Defence Finance</w:t>
      </w:r>
    </w:p>
    <w:tbl>
      <w:tblPr>
        <w:tblW w:w="4852"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1799"/>
        <w:gridCol w:w="3174"/>
        <w:gridCol w:w="3379"/>
      </w:tblGrid>
      <w:tr w:rsidR="00737EBD" w:rsidRPr="00B56FAA" w14:paraId="090DEFF6" w14:textId="77777777" w:rsidTr="0004322A">
        <w:tc>
          <w:tcPr>
            <w:tcW w:w="8352" w:type="dxa"/>
            <w:gridSpan w:val="3"/>
            <w:tcBorders>
              <w:bottom w:val="single" w:sz="4" w:space="0" w:color="auto"/>
            </w:tcBorders>
            <w:shd w:val="clear" w:color="auto" w:fill="CCCCCC"/>
          </w:tcPr>
          <w:p w14:paraId="520AF2B5" w14:textId="77777777" w:rsidR="00737EBD" w:rsidRPr="00B56FAA" w:rsidRDefault="00737EBD" w:rsidP="00DF7DA0">
            <w:pPr>
              <w:pStyle w:val="Heading5"/>
              <w:spacing w:before="60" w:after="60"/>
            </w:pPr>
            <w:r w:rsidRPr="00B56FAA">
              <w:br w:type="page"/>
              <w:t>Program 2.3: Defence Finance</w:t>
            </w:r>
          </w:p>
        </w:tc>
      </w:tr>
      <w:tr w:rsidR="00ED420A" w:rsidRPr="00B56FAA" w14:paraId="0C8DB72E" w14:textId="77777777" w:rsidTr="0004322A">
        <w:trPr>
          <w:trHeight w:val="170"/>
        </w:trPr>
        <w:tc>
          <w:tcPr>
            <w:tcW w:w="8352" w:type="dxa"/>
            <w:gridSpan w:val="3"/>
            <w:tcBorders>
              <w:left w:val="nil"/>
              <w:bottom w:val="single" w:sz="4" w:space="0" w:color="auto"/>
              <w:right w:val="nil"/>
            </w:tcBorders>
            <w:shd w:val="clear" w:color="auto" w:fill="auto"/>
          </w:tcPr>
          <w:p w14:paraId="76BB5A8C" w14:textId="77777777" w:rsidR="00ED420A" w:rsidRPr="00B56FAA" w:rsidRDefault="00ED420A" w:rsidP="00ED420A">
            <w:pPr>
              <w:pStyle w:val="Heading5"/>
              <w:spacing w:before="0" w:after="0"/>
              <w:rPr>
                <w:sz w:val="16"/>
                <w:szCs w:val="16"/>
              </w:rPr>
            </w:pPr>
          </w:p>
        </w:tc>
      </w:tr>
      <w:tr w:rsidR="00737EBD" w:rsidRPr="00CD66E1" w14:paraId="42213C11" w14:textId="77777777" w:rsidTr="0004322A">
        <w:tblPrEx>
          <w:shd w:val="clear" w:color="auto" w:fill="auto"/>
          <w:tblLook w:val="04A0" w:firstRow="1" w:lastRow="0" w:firstColumn="1" w:lastColumn="0" w:noHBand="0" w:noVBand="1"/>
        </w:tblPrEx>
        <w:trPr>
          <w:tblHeader/>
        </w:trPr>
        <w:tc>
          <w:tcPr>
            <w:tcW w:w="8352" w:type="dxa"/>
            <w:gridSpan w:val="3"/>
            <w:shd w:val="clear" w:color="auto" w:fill="E6E6E6"/>
          </w:tcPr>
          <w:p w14:paraId="33B91F2D" w14:textId="77777777" w:rsidR="00EE1464" w:rsidRPr="00ED5D95" w:rsidRDefault="00EE1464" w:rsidP="00EE1464">
            <w:pPr>
              <w:tabs>
                <w:tab w:val="left" w:pos="709"/>
              </w:tabs>
              <w:spacing w:before="60" w:after="60"/>
              <w:rPr>
                <w:rFonts w:ascii="Arial" w:hAnsi="Arial"/>
                <w:sz w:val="16"/>
                <w:szCs w:val="16"/>
              </w:rPr>
            </w:pPr>
            <w:r w:rsidRPr="00ED5D95">
              <w:rPr>
                <w:rFonts w:ascii="Arial" w:hAnsi="Arial"/>
                <w:b/>
                <w:sz w:val="16"/>
                <w:szCs w:val="16"/>
              </w:rPr>
              <w:t>Program 2.3 Objective</w:t>
            </w:r>
          </w:p>
          <w:p w14:paraId="5FEDD56A" w14:textId="77777777" w:rsidR="00737EBD" w:rsidRPr="00ED5D95" w:rsidRDefault="00EE1464" w:rsidP="00EE1464">
            <w:pPr>
              <w:tabs>
                <w:tab w:val="left" w:pos="709"/>
              </w:tabs>
              <w:spacing w:before="60" w:after="60"/>
              <w:jc w:val="both"/>
              <w:rPr>
                <w:rFonts w:ascii="Arial" w:hAnsi="Arial"/>
                <w:sz w:val="16"/>
                <w:szCs w:val="16"/>
              </w:rPr>
            </w:pPr>
            <w:r w:rsidRPr="00ED5D95">
              <w:rPr>
                <w:rFonts w:ascii="Arial" w:hAnsi="Arial"/>
                <w:sz w:val="16"/>
                <w:szCs w:val="16"/>
                <w:lang w:val="en-AU"/>
              </w:rPr>
              <w:t>To produce quality financial products to deliver Defence and Government-directed outcomes.</w:t>
            </w:r>
          </w:p>
        </w:tc>
      </w:tr>
      <w:tr w:rsidR="00737EBD" w:rsidRPr="00ED5D95" w14:paraId="66DC63C7" w14:textId="77777777" w:rsidTr="003C0162">
        <w:tblPrEx>
          <w:shd w:val="clear" w:color="auto" w:fill="auto"/>
          <w:tblLook w:val="04A0" w:firstRow="1" w:lastRow="0" w:firstColumn="1" w:lastColumn="0" w:noHBand="0" w:noVBand="1"/>
        </w:tblPrEx>
        <w:trPr>
          <w:trHeight w:val="312"/>
        </w:trPr>
        <w:tc>
          <w:tcPr>
            <w:tcW w:w="1799" w:type="dxa"/>
            <w:tcBorders>
              <w:bottom w:val="single" w:sz="4" w:space="0" w:color="auto"/>
            </w:tcBorders>
          </w:tcPr>
          <w:p w14:paraId="100A3BFC" w14:textId="77777777" w:rsidR="00737EBD" w:rsidRPr="00ED5D95" w:rsidRDefault="00ED5D95" w:rsidP="00ED5D95">
            <w:pPr>
              <w:tabs>
                <w:tab w:val="left" w:pos="709"/>
              </w:tabs>
              <w:spacing w:before="60" w:after="60"/>
              <w:rPr>
                <w:rFonts w:ascii="Arial" w:hAnsi="Arial"/>
                <w:b/>
                <w:color w:val="000000"/>
                <w:sz w:val="16"/>
                <w:szCs w:val="16"/>
              </w:rPr>
            </w:pPr>
            <w:r>
              <w:rPr>
                <w:rFonts w:ascii="Arial" w:hAnsi="Arial"/>
                <w:b/>
                <w:color w:val="000000"/>
                <w:sz w:val="16"/>
                <w:szCs w:val="16"/>
              </w:rPr>
              <w:t>Key Activities</w:t>
            </w:r>
          </w:p>
        </w:tc>
        <w:tc>
          <w:tcPr>
            <w:tcW w:w="6553" w:type="dxa"/>
            <w:gridSpan w:val="2"/>
            <w:tcBorders>
              <w:bottom w:val="single" w:sz="4" w:space="0" w:color="auto"/>
            </w:tcBorders>
          </w:tcPr>
          <w:p w14:paraId="73ABE3EC" w14:textId="77777777" w:rsidR="00ED5D95" w:rsidRPr="000E0486" w:rsidRDefault="00ED5D95" w:rsidP="00ED5D95">
            <w:pPr>
              <w:tabs>
                <w:tab w:val="left" w:pos="343"/>
              </w:tabs>
              <w:spacing w:before="60" w:after="60"/>
              <w:rPr>
                <w:rFonts w:ascii="Arial" w:hAnsi="Arial"/>
                <w:bCs/>
                <w:color w:val="000000"/>
                <w:sz w:val="16"/>
                <w:szCs w:val="16"/>
                <w:lang w:val="en-AU"/>
              </w:rPr>
            </w:pPr>
            <w:r w:rsidRPr="000E0486">
              <w:rPr>
                <w:rFonts w:ascii="Arial" w:hAnsi="Arial"/>
                <w:bCs/>
                <w:color w:val="000000"/>
                <w:sz w:val="16"/>
                <w:szCs w:val="16"/>
                <w:lang w:val="en-AU"/>
              </w:rPr>
              <w:t>This program will be achieved through the following activities:</w:t>
            </w:r>
          </w:p>
          <w:p w14:paraId="2453C97A" w14:textId="77777777" w:rsidR="00ED5D95" w:rsidRPr="000E0486" w:rsidRDefault="00ED5D95" w:rsidP="00ED5D95">
            <w:pPr>
              <w:tabs>
                <w:tab w:val="left" w:pos="343"/>
              </w:tabs>
              <w:spacing w:before="60" w:after="60"/>
              <w:rPr>
                <w:rFonts w:ascii="Arial" w:hAnsi="Arial"/>
                <w:sz w:val="16"/>
                <w:szCs w:val="16"/>
                <w:lang w:val="en-AU"/>
              </w:rPr>
            </w:pPr>
            <w:r w:rsidRPr="000E0486">
              <w:rPr>
                <w:rFonts w:ascii="Arial" w:hAnsi="Arial"/>
                <w:b/>
                <w:sz w:val="16"/>
                <w:szCs w:val="16"/>
                <w:lang w:val="en-AU"/>
              </w:rPr>
              <w:t>6. Deliver future capability</w:t>
            </w:r>
            <w:r w:rsidRPr="000E0486">
              <w:rPr>
                <w:rFonts w:ascii="Arial" w:hAnsi="Arial"/>
                <w:sz w:val="16"/>
                <w:szCs w:val="16"/>
                <w:lang w:val="en-AU"/>
              </w:rPr>
              <w:t xml:space="preserve">. </w:t>
            </w:r>
            <w:r w:rsidRPr="000E0486">
              <w:rPr>
                <w:rFonts w:ascii="Arial" w:hAnsi="Arial"/>
                <w:sz w:val="16"/>
                <w:szCs w:val="16"/>
              </w:rPr>
              <w:t>Defence will accelerate the development of important capabilities over the next decade to build an integrated, focused force across the maritime, land, air, space and cyber domains. This will ensure the Australian Defence Force has the capacity to defend Australia and its national interests in our evolving strategic circumstances and deter adversaries through a strategy of denial.</w:t>
            </w:r>
          </w:p>
          <w:p w14:paraId="3D6500CC" w14:textId="77777777" w:rsidR="00737EBD" w:rsidRPr="00ED5D95" w:rsidRDefault="00ED5D95" w:rsidP="00ED5D95">
            <w:pPr>
              <w:tabs>
                <w:tab w:val="left" w:pos="343"/>
              </w:tabs>
              <w:spacing w:before="60" w:after="60"/>
              <w:rPr>
                <w:rFonts w:ascii="Arial" w:hAnsi="Arial"/>
                <w:i/>
                <w:color w:val="000000"/>
                <w:sz w:val="16"/>
                <w:szCs w:val="16"/>
              </w:rPr>
            </w:pPr>
            <w:r w:rsidRPr="000E0486">
              <w:rPr>
                <w:rFonts w:ascii="Arial" w:hAnsi="Arial"/>
                <w:b/>
                <w:sz w:val="16"/>
                <w:szCs w:val="16"/>
                <w:lang w:val="en-AU"/>
              </w:rPr>
              <w:t xml:space="preserve">7. Develop the sovereign defence industrial base required for our national security. </w:t>
            </w:r>
            <w:r w:rsidRPr="000E0486">
              <w:rPr>
                <w:rFonts w:ascii="Arial" w:hAnsi="Arial"/>
                <w:sz w:val="16"/>
                <w:szCs w:val="16"/>
                <w:lang w:val="en-AU"/>
              </w:rPr>
              <w:t>The Government’s significant investment in Defence over the coming decade will advance Australia’s prosperity through expenditure on defence capabilities, support to new and existing defence industries and the creation of jobs.</w:t>
            </w:r>
          </w:p>
        </w:tc>
      </w:tr>
      <w:tr w:rsidR="00E02180" w:rsidRPr="00ED5D95" w14:paraId="371B81DD" w14:textId="77777777" w:rsidTr="003C0162">
        <w:tblPrEx>
          <w:shd w:val="clear" w:color="auto" w:fill="auto"/>
          <w:tblLook w:val="04A0" w:firstRow="1" w:lastRow="0" w:firstColumn="1" w:lastColumn="0" w:noHBand="0" w:noVBand="1"/>
        </w:tblPrEx>
        <w:trPr>
          <w:trHeight w:val="100"/>
        </w:trPr>
        <w:tc>
          <w:tcPr>
            <w:tcW w:w="1799" w:type="dxa"/>
            <w:tcBorders>
              <w:top w:val="single" w:sz="4" w:space="0" w:color="auto"/>
              <w:bottom w:val="single" w:sz="4" w:space="0" w:color="auto"/>
              <w:right w:val="single" w:sz="4" w:space="0" w:color="auto"/>
            </w:tcBorders>
          </w:tcPr>
          <w:p w14:paraId="2FECC90C" w14:textId="77777777" w:rsidR="00E02180" w:rsidRPr="00ED5D95" w:rsidRDefault="00E02180" w:rsidP="00E02180">
            <w:pPr>
              <w:tabs>
                <w:tab w:val="left" w:pos="709"/>
              </w:tabs>
              <w:spacing w:before="60" w:after="60"/>
              <w:rPr>
                <w:rFonts w:ascii="Arial" w:hAnsi="Arial"/>
                <w:color w:val="000000"/>
                <w:sz w:val="16"/>
                <w:szCs w:val="16"/>
              </w:rPr>
            </w:pPr>
            <w:r w:rsidRPr="00ED5D95">
              <w:rPr>
                <w:rFonts w:ascii="Arial" w:hAnsi="Arial"/>
                <w:b/>
                <w:color w:val="000000"/>
                <w:sz w:val="16"/>
                <w:szCs w:val="16"/>
              </w:rPr>
              <w:t>Year</w:t>
            </w:r>
          </w:p>
        </w:tc>
        <w:tc>
          <w:tcPr>
            <w:tcW w:w="3174" w:type="dxa"/>
            <w:tcBorders>
              <w:top w:val="single" w:sz="4" w:space="0" w:color="auto"/>
              <w:left w:val="single" w:sz="4" w:space="0" w:color="auto"/>
              <w:bottom w:val="single" w:sz="4" w:space="0" w:color="auto"/>
              <w:right w:val="single" w:sz="4" w:space="0" w:color="auto"/>
            </w:tcBorders>
          </w:tcPr>
          <w:p w14:paraId="29E99F96" w14:textId="77777777" w:rsidR="00E02180" w:rsidRPr="00ED5D95" w:rsidRDefault="00E02180" w:rsidP="00650411">
            <w:pPr>
              <w:tabs>
                <w:tab w:val="left" w:pos="709"/>
              </w:tabs>
              <w:spacing w:before="60" w:after="60"/>
              <w:rPr>
                <w:rFonts w:ascii="Arial" w:hAnsi="Arial"/>
                <w:color w:val="000000"/>
              </w:rPr>
            </w:pPr>
            <w:r w:rsidRPr="00ED5D95">
              <w:rPr>
                <w:rFonts w:ascii="Arial" w:hAnsi="Arial"/>
                <w:b/>
                <w:color w:val="000000"/>
                <w:sz w:val="16"/>
                <w:szCs w:val="16"/>
              </w:rPr>
              <w:t>Performance measures</w:t>
            </w:r>
          </w:p>
        </w:tc>
        <w:tc>
          <w:tcPr>
            <w:tcW w:w="3379" w:type="dxa"/>
            <w:tcBorders>
              <w:top w:val="single" w:sz="4" w:space="0" w:color="auto"/>
              <w:left w:val="single" w:sz="4" w:space="0" w:color="auto"/>
              <w:bottom w:val="single" w:sz="4" w:space="0" w:color="auto"/>
            </w:tcBorders>
          </w:tcPr>
          <w:p w14:paraId="029C0940" w14:textId="77777777" w:rsidR="00E02180" w:rsidRPr="00ED5D95" w:rsidRDefault="0045486A" w:rsidP="00E02180">
            <w:pPr>
              <w:tabs>
                <w:tab w:val="left" w:pos="709"/>
              </w:tabs>
              <w:spacing w:before="60" w:after="60"/>
              <w:rPr>
                <w:rFonts w:ascii="Arial" w:hAnsi="Arial"/>
                <w:i/>
                <w:color w:val="000000"/>
                <w:sz w:val="16"/>
                <w:szCs w:val="16"/>
              </w:rPr>
            </w:pPr>
            <w:r w:rsidRPr="00ED5D95">
              <w:rPr>
                <w:rFonts w:ascii="Arial" w:hAnsi="Arial"/>
                <w:b/>
                <w:color w:val="000000"/>
                <w:sz w:val="16"/>
                <w:szCs w:val="16"/>
              </w:rPr>
              <w:t>Expected Performance Results</w:t>
            </w:r>
          </w:p>
        </w:tc>
      </w:tr>
      <w:tr w:rsidR="00ED5D95" w:rsidRPr="00ED5D95" w14:paraId="56D09B1E" w14:textId="77777777" w:rsidTr="003C0162">
        <w:tblPrEx>
          <w:shd w:val="clear" w:color="auto" w:fill="auto"/>
          <w:tblLook w:val="04A0" w:firstRow="1" w:lastRow="0" w:firstColumn="1" w:lastColumn="0" w:noHBand="0" w:noVBand="1"/>
        </w:tblPrEx>
        <w:trPr>
          <w:trHeight w:val="705"/>
        </w:trPr>
        <w:tc>
          <w:tcPr>
            <w:tcW w:w="1799" w:type="dxa"/>
            <w:vMerge w:val="restart"/>
            <w:tcBorders>
              <w:top w:val="single" w:sz="4" w:space="0" w:color="auto"/>
              <w:right w:val="single" w:sz="4" w:space="0" w:color="auto"/>
            </w:tcBorders>
          </w:tcPr>
          <w:p w14:paraId="3551DC2C" w14:textId="77777777" w:rsidR="00ED5D95" w:rsidRPr="00ED5D95" w:rsidRDefault="00ED5D95" w:rsidP="00ED5D95">
            <w:pPr>
              <w:tabs>
                <w:tab w:val="left" w:pos="709"/>
              </w:tabs>
              <w:spacing w:before="0" w:after="0"/>
              <w:rPr>
                <w:rFonts w:ascii="Arial" w:hAnsi="Arial"/>
                <w:color w:val="000000"/>
                <w:sz w:val="16"/>
                <w:szCs w:val="16"/>
              </w:rPr>
            </w:pPr>
            <w:r w:rsidRPr="00ED5D95">
              <w:rPr>
                <w:rFonts w:ascii="Arial" w:hAnsi="Arial"/>
                <w:color w:val="000000"/>
                <w:sz w:val="16"/>
                <w:szCs w:val="16"/>
              </w:rPr>
              <w:t>Current Year</w:t>
            </w:r>
          </w:p>
          <w:p w14:paraId="20784925" w14:textId="77777777" w:rsidR="00ED5D95" w:rsidRPr="00ED5D95" w:rsidRDefault="00ED5D95" w:rsidP="00ED5D95">
            <w:pPr>
              <w:tabs>
                <w:tab w:val="left" w:pos="709"/>
              </w:tabs>
              <w:spacing w:before="0" w:after="0"/>
              <w:rPr>
                <w:rFonts w:ascii="Arial" w:hAnsi="Arial"/>
                <w:color w:val="000000"/>
                <w:sz w:val="16"/>
                <w:szCs w:val="16"/>
              </w:rPr>
            </w:pPr>
            <w:r w:rsidRPr="00ED5D95">
              <w:rPr>
                <w:rFonts w:ascii="Arial" w:hAnsi="Arial"/>
                <w:color w:val="000000"/>
                <w:sz w:val="16"/>
                <w:szCs w:val="16"/>
              </w:rPr>
              <w:t>2024-25</w:t>
            </w:r>
          </w:p>
        </w:tc>
        <w:tc>
          <w:tcPr>
            <w:tcW w:w="3174" w:type="dxa"/>
            <w:tcBorders>
              <w:top w:val="single" w:sz="4" w:space="0" w:color="auto"/>
              <w:left w:val="single" w:sz="4" w:space="0" w:color="auto"/>
              <w:bottom w:val="dotted" w:sz="4" w:space="0" w:color="auto"/>
              <w:right w:val="single" w:sz="4" w:space="0" w:color="auto"/>
            </w:tcBorders>
          </w:tcPr>
          <w:p w14:paraId="419ADD05" w14:textId="77777777" w:rsidR="00ED5D95" w:rsidRPr="00ED5D95" w:rsidRDefault="00ED5D95" w:rsidP="00CF3FAF">
            <w:pPr>
              <w:tabs>
                <w:tab w:val="left" w:pos="709"/>
              </w:tabs>
              <w:spacing w:before="60" w:after="60"/>
              <w:rPr>
                <w:rFonts w:ascii="Arial" w:hAnsi="Arial"/>
                <w:color w:val="000000"/>
                <w:sz w:val="16"/>
                <w:szCs w:val="16"/>
              </w:rPr>
            </w:pPr>
            <w:r w:rsidRPr="00ED5D95">
              <w:rPr>
                <w:rFonts w:ascii="Arial" w:hAnsi="Arial"/>
                <w:sz w:val="16"/>
                <w:szCs w:val="16"/>
                <w:lang w:val="en-AU"/>
              </w:rPr>
              <w:t xml:space="preserve">6.1: Defence is delivering the right future capability at the right time within the Integrated Investment Program to ensure it is equipped to respond to future security challenges as directed by the </w:t>
            </w:r>
            <w:r w:rsidRPr="00E00255">
              <w:rPr>
                <w:rFonts w:ascii="Arial" w:hAnsi="Arial"/>
                <w:i/>
                <w:sz w:val="16"/>
                <w:szCs w:val="16"/>
                <w:lang w:val="en-AU"/>
              </w:rPr>
              <w:t>2024 National Defence Strategy</w:t>
            </w:r>
            <w:r w:rsidRPr="00ED5D95">
              <w:rPr>
                <w:rFonts w:ascii="Arial" w:hAnsi="Arial"/>
                <w:sz w:val="16"/>
                <w:szCs w:val="16"/>
                <w:lang w:val="en-AU"/>
              </w:rPr>
              <w:t>.</w:t>
            </w:r>
          </w:p>
        </w:tc>
        <w:tc>
          <w:tcPr>
            <w:tcW w:w="3379" w:type="dxa"/>
            <w:tcBorders>
              <w:top w:val="single" w:sz="4" w:space="0" w:color="auto"/>
              <w:left w:val="single" w:sz="4" w:space="0" w:color="auto"/>
              <w:bottom w:val="dotted" w:sz="4" w:space="0" w:color="auto"/>
            </w:tcBorders>
          </w:tcPr>
          <w:p w14:paraId="6D1DD4B7" w14:textId="77777777" w:rsidR="00ED5D95" w:rsidRPr="0071178A" w:rsidRDefault="00ED5D95" w:rsidP="00CF3FAF">
            <w:pPr>
              <w:tabs>
                <w:tab w:val="left" w:pos="709"/>
              </w:tabs>
              <w:spacing w:before="60" w:after="60"/>
              <w:rPr>
                <w:rFonts w:ascii="Arial" w:hAnsi="Arial"/>
                <w:sz w:val="16"/>
                <w:szCs w:val="16"/>
                <w:lang w:val="en-AU"/>
              </w:rPr>
            </w:pPr>
            <w:r w:rsidRPr="00ED5D95">
              <w:rPr>
                <w:rFonts w:ascii="Arial" w:hAnsi="Arial"/>
                <w:sz w:val="16"/>
                <w:szCs w:val="16"/>
                <w:lang w:val="en-AU"/>
              </w:rPr>
              <w:t xml:space="preserve">80 per cent or more of approved Integrated Investment Program projects across all domains are on track to deliver the scope approved by Government within Government approved cost and </w:t>
            </w:r>
            <w:r w:rsidRPr="0071178A">
              <w:rPr>
                <w:rFonts w:ascii="Arial" w:hAnsi="Arial"/>
                <w:sz w:val="16"/>
                <w:szCs w:val="16"/>
                <w:lang w:val="en-AU"/>
              </w:rPr>
              <w:t>schedule.</w:t>
            </w:r>
          </w:p>
          <w:p w14:paraId="2C7670C2" w14:textId="5B708801" w:rsidR="00ED5D95" w:rsidRPr="00AE6088" w:rsidRDefault="0071178A" w:rsidP="00CF3FAF">
            <w:pPr>
              <w:tabs>
                <w:tab w:val="left" w:pos="709"/>
              </w:tabs>
              <w:spacing w:before="60" w:after="60"/>
              <w:jc w:val="right"/>
              <w:rPr>
                <w:rFonts w:ascii="Arial" w:hAnsi="Arial"/>
                <w:i/>
                <w:sz w:val="16"/>
                <w:szCs w:val="16"/>
                <w:lang w:val="en-AU"/>
              </w:rPr>
            </w:pPr>
            <w:r w:rsidRPr="00AE6088">
              <w:rPr>
                <w:rFonts w:ascii="Arial" w:hAnsi="Arial"/>
                <w:i/>
                <w:sz w:val="16"/>
                <w:szCs w:val="16"/>
                <w:lang w:val="en-AU"/>
              </w:rPr>
              <w:t>Expected to be substantially achieved</w:t>
            </w:r>
            <w:r w:rsidR="00ED5D95" w:rsidRPr="00AE6088">
              <w:rPr>
                <w:rFonts w:ascii="Arial" w:hAnsi="Arial"/>
                <w:i/>
                <w:sz w:val="16"/>
                <w:szCs w:val="16"/>
                <w:lang w:val="en-AU"/>
              </w:rPr>
              <w:t>.</w:t>
            </w:r>
          </w:p>
        </w:tc>
      </w:tr>
      <w:tr w:rsidR="0071178A" w:rsidRPr="00ED5D95" w14:paraId="38F1F991" w14:textId="77777777" w:rsidTr="003C0162">
        <w:tblPrEx>
          <w:shd w:val="clear" w:color="auto" w:fill="auto"/>
          <w:tblLook w:val="04A0" w:firstRow="1" w:lastRow="0" w:firstColumn="1" w:lastColumn="0" w:noHBand="0" w:noVBand="1"/>
        </w:tblPrEx>
        <w:trPr>
          <w:trHeight w:val="705"/>
        </w:trPr>
        <w:tc>
          <w:tcPr>
            <w:tcW w:w="1799" w:type="dxa"/>
            <w:vMerge/>
            <w:tcBorders>
              <w:bottom w:val="single" w:sz="4" w:space="0" w:color="auto"/>
              <w:right w:val="single" w:sz="4" w:space="0" w:color="auto"/>
            </w:tcBorders>
          </w:tcPr>
          <w:p w14:paraId="1BDBA32B" w14:textId="77777777" w:rsidR="0071178A" w:rsidRPr="00ED5D95" w:rsidRDefault="0071178A" w:rsidP="0071178A">
            <w:pPr>
              <w:tabs>
                <w:tab w:val="left" w:pos="709"/>
              </w:tabs>
              <w:spacing w:before="60" w:after="60"/>
              <w:rPr>
                <w:rFonts w:ascii="Arial" w:hAnsi="Arial"/>
                <w:color w:val="000000"/>
                <w:sz w:val="16"/>
                <w:szCs w:val="16"/>
              </w:rPr>
            </w:pPr>
          </w:p>
        </w:tc>
        <w:tc>
          <w:tcPr>
            <w:tcW w:w="3174" w:type="dxa"/>
            <w:tcBorders>
              <w:top w:val="dotted" w:sz="4" w:space="0" w:color="auto"/>
              <w:left w:val="single" w:sz="4" w:space="0" w:color="auto"/>
              <w:bottom w:val="single" w:sz="4" w:space="0" w:color="auto"/>
              <w:right w:val="single" w:sz="4" w:space="0" w:color="auto"/>
            </w:tcBorders>
          </w:tcPr>
          <w:p w14:paraId="540F7738" w14:textId="071A114E" w:rsidR="0071178A" w:rsidRPr="0071178A" w:rsidRDefault="0071178A" w:rsidP="001809FC">
            <w:pPr>
              <w:tabs>
                <w:tab w:val="left" w:pos="709"/>
              </w:tabs>
              <w:spacing w:before="60" w:after="60"/>
              <w:rPr>
                <w:rFonts w:ascii="Arial" w:hAnsi="Arial"/>
                <w:sz w:val="16"/>
                <w:szCs w:val="16"/>
                <w:lang w:val="en-AU"/>
              </w:rPr>
            </w:pPr>
            <w:r w:rsidRPr="0071178A">
              <w:rPr>
                <w:rFonts w:ascii="Arial" w:hAnsi="Arial"/>
                <w:sz w:val="16"/>
                <w:szCs w:val="16"/>
                <w:lang w:val="en-AU"/>
              </w:rPr>
              <w:t>7.1: Defence strengthens the sovereign defence industr</w:t>
            </w:r>
            <w:r w:rsidR="001809FC">
              <w:rPr>
                <w:rFonts w:ascii="Arial" w:hAnsi="Arial"/>
                <w:sz w:val="16"/>
                <w:szCs w:val="16"/>
                <w:lang w:val="en-AU"/>
              </w:rPr>
              <w:t>ial</w:t>
            </w:r>
            <w:r w:rsidRPr="0071178A">
              <w:rPr>
                <w:rFonts w:ascii="Arial" w:hAnsi="Arial"/>
                <w:sz w:val="16"/>
                <w:szCs w:val="16"/>
                <w:lang w:val="en-AU"/>
              </w:rPr>
              <w:t xml:space="preserve"> base across critical industrial capabilities.</w:t>
            </w:r>
          </w:p>
        </w:tc>
        <w:tc>
          <w:tcPr>
            <w:tcW w:w="3379" w:type="dxa"/>
            <w:tcBorders>
              <w:top w:val="dotted" w:sz="4" w:space="0" w:color="auto"/>
              <w:left w:val="single" w:sz="4" w:space="0" w:color="auto"/>
              <w:bottom w:val="single" w:sz="4" w:space="0" w:color="auto"/>
            </w:tcBorders>
          </w:tcPr>
          <w:p w14:paraId="7FCDE7C8" w14:textId="77777777" w:rsidR="0071178A" w:rsidRPr="0071178A" w:rsidRDefault="0071178A" w:rsidP="0071178A">
            <w:pPr>
              <w:spacing w:before="60" w:after="60"/>
              <w:rPr>
                <w:rFonts w:ascii="Arial" w:hAnsi="Arial"/>
                <w:i/>
                <w:color w:val="000000"/>
                <w:sz w:val="16"/>
                <w:szCs w:val="16"/>
              </w:rPr>
            </w:pPr>
            <w:r w:rsidRPr="0071178A">
              <w:rPr>
                <w:rFonts w:ascii="Arial" w:hAnsi="Arial"/>
                <w:color w:val="000000"/>
                <w:sz w:val="16"/>
                <w:szCs w:val="16"/>
              </w:rPr>
              <w:t>80 per cent or more of the Defence Industry Development Grant Program budgeted allocation is awarded; supports Australian defence industry in international markets; provides a direct economic contribution to the Australian economy; drives investment in innovation, science and technology to deliver defence priorities; meets or exceeds Indigenous procurement targets; and supports the development of the domestic manufacture of guided weapons, explosive ordnance and munitions.</w:t>
            </w:r>
          </w:p>
          <w:p w14:paraId="501B0DEC" w14:textId="1941CE95" w:rsidR="0071178A" w:rsidRPr="0071178A" w:rsidRDefault="0071178A" w:rsidP="0071178A">
            <w:pPr>
              <w:spacing w:before="60" w:after="60"/>
              <w:jc w:val="right"/>
              <w:rPr>
                <w:rFonts w:ascii="Arial" w:hAnsi="Arial"/>
                <w:i/>
                <w:color w:val="000000"/>
                <w:sz w:val="16"/>
                <w:szCs w:val="16"/>
              </w:rPr>
            </w:pPr>
            <w:r w:rsidRPr="0071178A">
              <w:rPr>
                <w:rFonts w:ascii="Arial" w:hAnsi="Arial"/>
                <w:i/>
                <w:sz w:val="16"/>
                <w:szCs w:val="16"/>
                <w:lang w:val="en-AU"/>
              </w:rPr>
              <w:t>Expected to be achieved.</w:t>
            </w:r>
          </w:p>
        </w:tc>
      </w:tr>
      <w:tr w:rsidR="0004322A" w:rsidRPr="00ED5D95" w14:paraId="34E9CFFD" w14:textId="77777777" w:rsidTr="003C0162">
        <w:tblPrEx>
          <w:shd w:val="clear" w:color="auto" w:fill="auto"/>
          <w:tblLook w:val="04A0" w:firstRow="1" w:lastRow="0" w:firstColumn="1" w:lastColumn="0" w:noHBand="0" w:noVBand="1"/>
        </w:tblPrEx>
        <w:trPr>
          <w:trHeight w:val="258"/>
        </w:trPr>
        <w:tc>
          <w:tcPr>
            <w:tcW w:w="1799" w:type="dxa"/>
            <w:tcBorders>
              <w:top w:val="single" w:sz="4" w:space="0" w:color="auto"/>
              <w:bottom w:val="single" w:sz="4" w:space="0" w:color="auto"/>
              <w:right w:val="single" w:sz="4" w:space="0" w:color="auto"/>
            </w:tcBorders>
          </w:tcPr>
          <w:p w14:paraId="35FFF98E" w14:textId="77777777" w:rsidR="0004322A" w:rsidRPr="00ED5D95" w:rsidRDefault="0004322A" w:rsidP="0004322A">
            <w:pPr>
              <w:tabs>
                <w:tab w:val="left" w:pos="709"/>
              </w:tabs>
              <w:spacing w:before="60" w:after="60"/>
              <w:rPr>
                <w:rFonts w:ascii="Arial" w:hAnsi="Arial"/>
                <w:b/>
                <w:color w:val="000000"/>
                <w:sz w:val="16"/>
                <w:szCs w:val="16"/>
              </w:rPr>
            </w:pPr>
            <w:r w:rsidRPr="00ED5D95">
              <w:rPr>
                <w:rFonts w:ascii="Arial" w:hAnsi="Arial"/>
                <w:b/>
                <w:color w:val="000000"/>
                <w:sz w:val="16"/>
                <w:szCs w:val="16"/>
              </w:rPr>
              <w:t>Year</w:t>
            </w:r>
          </w:p>
        </w:tc>
        <w:tc>
          <w:tcPr>
            <w:tcW w:w="3174" w:type="dxa"/>
            <w:tcBorders>
              <w:top w:val="single" w:sz="4" w:space="0" w:color="auto"/>
              <w:left w:val="single" w:sz="4" w:space="0" w:color="auto"/>
              <w:bottom w:val="single" w:sz="4" w:space="0" w:color="auto"/>
              <w:right w:val="single" w:sz="4" w:space="0" w:color="auto"/>
            </w:tcBorders>
          </w:tcPr>
          <w:p w14:paraId="38159A2C" w14:textId="77777777" w:rsidR="0004322A" w:rsidRPr="00ED5D95" w:rsidRDefault="0004322A" w:rsidP="0004322A">
            <w:pPr>
              <w:tabs>
                <w:tab w:val="left" w:pos="709"/>
                <w:tab w:val="center" w:pos="1818"/>
              </w:tabs>
              <w:spacing w:before="60" w:after="60"/>
              <w:rPr>
                <w:rFonts w:ascii="Arial" w:hAnsi="Arial"/>
                <w:b/>
                <w:color w:val="000000"/>
                <w:sz w:val="16"/>
                <w:szCs w:val="16"/>
              </w:rPr>
            </w:pPr>
            <w:r w:rsidRPr="00ED5D95">
              <w:rPr>
                <w:rFonts w:ascii="Arial" w:hAnsi="Arial"/>
                <w:b/>
                <w:color w:val="000000"/>
                <w:sz w:val="16"/>
                <w:szCs w:val="16"/>
              </w:rPr>
              <w:t>Performance measures</w:t>
            </w:r>
          </w:p>
        </w:tc>
        <w:tc>
          <w:tcPr>
            <w:tcW w:w="3379" w:type="dxa"/>
            <w:tcBorders>
              <w:top w:val="single" w:sz="4" w:space="0" w:color="auto"/>
              <w:left w:val="single" w:sz="4" w:space="0" w:color="auto"/>
              <w:bottom w:val="single" w:sz="4" w:space="0" w:color="auto"/>
            </w:tcBorders>
          </w:tcPr>
          <w:p w14:paraId="2FC85ECE" w14:textId="77777777" w:rsidR="0004322A" w:rsidRPr="00ED5D95" w:rsidRDefault="0004322A" w:rsidP="0004322A">
            <w:pPr>
              <w:tabs>
                <w:tab w:val="left" w:pos="709"/>
              </w:tabs>
              <w:spacing w:before="60" w:after="60"/>
              <w:rPr>
                <w:rFonts w:ascii="Arial" w:hAnsi="Arial"/>
                <w:b/>
                <w:color w:val="000000"/>
                <w:sz w:val="16"/>
                <w:szCs w:val="16"/>
              </w:rPr>
            </w:pPr>
            <w:r w:rsidRPr="00ED5D95">
              <w:rPr>
                <w:rFonts w:ascii="Arial" w:hAnsi="Arial"/>
                <w:b/>
                <w:color w:val="000000"/>
                <w:sz w:val="16"/>
                <w:szCs w:val="16"/>
              </w:rPr>
              <w:t>Planned Performance Results</w:t>
            </w:r>
          </w:p>
        </w:tc>
      </w:tr>
      <w:tr w:rsidR="00ED5D95" w:rsidRPr="00CD66E1" w14:paraId="71B0ED80" w14:textId="77777777" w:rsidTr="00ED5D95">
        <w:tblPrEx>
          <w:shd w:val="clear" w:color="auto" w:fill="auto"/>
          <w:tblLook w:val="04A0" w:firstRow="1" w:lastRow="0" w:firstColumn="1" w:lastColumn="0" w:noHBand="0" w:noVBand="1"/>
        </w:tblPrEx>
        <w:trPr>
          <w:trHeight w:val="1163"/>
        </w:trPr>
        <w:tc>
          <w:tcPr>
            <w:tcW w:w="1799" w:type="dxa"/>
            <w:vMerge w:val="restart"/>
            <w:tcBorders>
              <w:top w:val="single" w:sz="4" w:space="0" w:color="auto"/>
              <w:right w:val="single" w:sz="4" w:space="0" w:color="auto"/>
            </w:tcBorders>
          </w:tcPr>
          <w:p w14:paraId="08DCFDDF" w14:textId="77777777" w:rsidR="00ED5D95" w:rsidRPr="00ED5D95" w:rsidRDefault="00ED5D95" w:rsidP="00ED5D95">
            <w:pPr>
              <w:tabs>
                <w:tab w:val="left" w:pos="709"/>
              </w:tabs>
              <w:spacing w:before="0" w:after="0"/>
              <w:rPr>
                <w:rFonts w:ascii="Arial" w:hAnsi="Arial"/>
                <w:color w:val="000000"/>
                <w:sz w:val="16"/>
                <w:szCs w:val="16"/>
              </w:rPr>
            </w:pPr>
            <w:r>
              <w:rPr>
                <w:rFonts w:ascii="Arial" w:hAnsi="Arial"/>
                <w:color w:val="000000"/>
                <w:sz w:val="16"/>
                <w:szCs w:val="16"/>
              </w:rPr>
              <w:t>Budget Year</w:t>
            </w:r>
          </w:p>
          <w:p w14:paraId="21040923" w14:textId="77777777" w:rsidR="00ED5D95" w:rsidRPr="00ED5D95" w:rsidRDefault="00ED5D95" w:rsidP="00ED5D95">
            <w:pPr>
              <w:tabs>
                <w:tab w:val="left" w:pos="709"/>
              </w:tabs>
              <w:spacing w:before="0" w:after="0"/>
              <w:rPr>
                <w:rFonts w:ascii="Arial" w:hAnsi="Arial"/>
                <w:color w:val="000000"/>
                <w:sz w:val="16"/>
                <w:szCs w:val="16"/>
              </w:rPr>
            </w:pPr>
            <w:r w:rsidRPr="00ED5D95">
              <w:rPr>
                <w:rFonts w:ascii="Arial" w:hAnsi="Arial"/>
                <w:color w:val="000000"/>
                <w:sz w:val="16"/>
                <w:szCs w:val="16"/>
              </w:rPr>
              <w:t>2025-26</w:t>
            </w:r>
            <w:r>
              <w:rPr>
                <w:rFonts w:ascii="Arial" w:hAnsi="Arial"/>
                <w:color w:val="000000"/>
                <w:sz w:val="16"/>
                <w:szCs w:val="16"/>
              </w:rPr>
              <w:t xml:space="preserve"> </w:t>
            </w:r>
            <w:r w:rsidRPr="00ED5D95">
              <w:rPr>
                <w:rFonts w:ascii="Arial" w:hAnsi="Arial"/>
                <w:color w:val="000000"/>
                <w:sz w:val="16"/>
                <w:szCs w:val="16"/>
                <w:vertAlign w:val="superscript"/>
              </w:rPr>
              <w:t>[a]</w:t>
            </w:r>
          </w:p>
        </w:tc>
        <w:tc>
          <w:tcPr>
            <w:tcW w:w="3174" w:type="dxa"/>
            <w:tcBorders>
              <w:top w:val="single" w:sz="4" w:space="0" w:color="auto"/>
              <w:left w:val="single" w:sz="4" w:space="0" w:color="auto"/>
              <w:bottom w:val="dotted" w:sz="4" w:space="0" w:color="auto"/>
              <w:right w:val="single" w:sz="4" w:space="0" w:color="auto"/>
            </w:tcBorders>
          </w:tcPr>
          <w:p w14:paraId="32DF553D" w14:textId="77777777" w:rsidR="00ED5D95" w:rsidRPr="00880166" w:rsidRDefault="00ED5D95" w:rsidP="00CF3FAF">
            <w:pPr>
              <w:tabs>
                <w:tab w:val="left" w:pos="709"/>
              </w:tabs>
              <w:spacing w:before="60" w:after="60"/>
              <w:rPr>
                <w:rFonts w:ascii="Arial" w:hAnsi="Arial"/>
                <w:color w:val="000000"/>
                <w:sz w:val="16"/>
                <w:szCs w:val="16"/>
              </w:rPr>
            </w:pPr>
            <w:r w:rsidRPr="00880166">
              <w:rPr>
                <w:rFonts w:ascii="Arial" w:hAnsi="Arial"/>
                <w:sz w:val="16"/>
                <w:szCs w:val="16"/>
                <w:lang w:val="en-AU"/>
              </w:rPr>
              <w:t xml:space="preserve">6.1: Defence is delivering the right future capability at the right time within the Integrated Investment Program to ensure it is equipped to respond to future security challenges as directed by the </w:t>
            </w:r>
            <w:r w:rsidRPr="00E00255">
              <w:rPr>
                <w:rFonts w:ascii="Arial" w:hAnsi="Arial"/>
                <w:i/>
                <w:sz w:val="16"/>
                <w:szCs w:val="16"/>
                <w:lang w:val="en-AU"/>
              </w:rPr>
              <w:t>2024 National Defence Strategy</w:t>
            </w:r>
            <w:r w:rsidRPr="00880166">
              <w:rPr>
                <w:rFonts w:ascii="Arial" w:hAnsi="Arial"/>
                <w:sz w:val="16"/>
                <w:szCs w:val="16"/>
                <w:lang w:val="en-AU"/>
              </w:rPr>
              <w:t>.</w:t>
            </w:r>
          </w:p>
        </w:tc>
        <w:tc>
          <w:tcPr>
            <w:tcW w:w="3379" w:type="dxa"/>
            <w:tcBorders>
              <w:top w:val="single" w:sz="4" w:space="0" w:color="auto"/>
              <w:left w:val="single" w:sz="4" w:space="0" w:color="auto"/>
              <w:bottom w:val="dotted" w:sz="4" w:space="0" w:color="auto"/>
            </w:tcBorders>
          </w:tcPr>
          <w:p w14:paraId="3CD5D09D" w14:textId="77777777" w:rsidR="00ED5D95" w:rsidRPr="0036429E" w:rsidRDefault="00ED5D95" w:rsidP="00CF3FAF">
            <w:pPr>
              <w:tabs>
                <w:tab w:val="left" w:pos="709"/>
              </w:tabs>
              <w:spacing w:before="60" w:after="60"/>
              <w:rPr>
                <w:rFonts w:ascii="Arial" w:hAnsi="Arial"/>
                <w:i/>
                <w:color w:val="000000"/>
                <w:sz w:val="16"/>
                <w:szCs w:val="16"/>
              </w:rPr>
            </w:pPr>
            <w:r w:rsidRPr="0036429E">
              <w:rPr>
                <w:rFonts w:ascii="Arial" w:hAnsi="Arial"/>
                <w:sz w:val="16"/>
                <w:szCs w:val="16"/>
                <w:lang w:val="en-AU"/>
              </w:rPr>
              <w:t>80 per cent or more of approved Integrated Investment Program projects across all domains are on track to deliver the scope approved by Government within Government approved cost and schedule.</w:t>
            </w:r>
          </w:p>
        </w:tc>
      </w:tr>
      <w:tr w:rsidR="0071178A" w:rsidRPr="00CD66E1" w14:paraId="72B3A3DB" w14:textId="77777777" w:rsidTr="0004322A">
        <w:tblPrEx>
          <w:shd w:val="clear" w:color="auto" w:fill="auto"/>
          <w:tblLook w:val="04A0" w:firstRow="1" w:lastRow="0" w:firstColumn="1" w:lastColumn="0" w:noHBand="0" w:noVBand="1"/>
        </w:tblPrEx>
        <w:trPr>
          <w:trHeight w:val="740"/>
        </w:trPr>
        <w:tc>
          <w:tcPr>
            <w:tcW w:w="1799" w:type="dxa"/>
            <w:vMerge/>
            <w:tcBorders>
              <w:right w:val="single" w:sz="4" w:space="0" w:color="auto"/>
            </w:tcBorders>
          </w:tcPr>
          <w:p w14:paraId="2B9438DE" w14:textId="77777777" w:rsidR="0071178A" w:rsidRPr="00CD66E1" w:rsidRDefault="0071178A" w:rsidP="0071178A">
            <w:pPr>
              <w:tabs>
                <w:tab w:val="left" w:pos="709"/>
              </w:tabs>
              <w:spacing w:before="60" w:after="60"/>
              <w:rPr>
                <w:rFonts w:ascii="Arial" w:hAnsi="Arial"/>
                <w:color w:val="000000"/>
                <w:sz w:val="16"/>
                <w:szCs w:val="16"/>
                <w:highlight w:val="yellow"/>
              </w:rPr>
            </w:pPr>
          </w:p>
        </w:tc>
        <w:tc>
          <w:tcPr>
            <w:tcW w:w="3174" w:type="dxa"/>
            <w:tcBorders>
              <w:top w:val="dotted" w:sz="4" w:space="0" w:color="auto"/>
              <w:left w:val="single" w:sz="4" w:space="0" w:color="auto"/>
              <w:bottom w:val="single" w:sz="4" w:space="0" w:color="auto"/>
              <w:right w:val="single" w:sz="4" w:space="0" w:color="auto"/>
            </w:tcBorders>
          </w:tcPr>
          <w:p w14:paraId="70566FBE" w14:textId="43044EE0" w:rsidR="0071178A" w:rsidRPr="0071178A" w:rsidRDefault="0071178A" w:rsidP="0071178A">
            <w:pPr>
              <w:tabs>
                <w:tab w:val="left" w:pos="709"/>
              </w:tabs>
              <w:spacing w:before="60" w:after="60"/>
              <w:rPr>
                <w:rFonts w:ascii="Arial" w:hAnsi="Arial"/>
                <w:color w:val="000000"/>
                <w:sz w:val="16"/>
                <w:szCs w:val="16"/>
              </w:rPr>
            </w:pPr>
            <w:r w:rsidRPr="0071178A">
              <w:rPr>
                <w:rFonts w:ascii="Arial" w:hAnsi="Arial"/>
                <w:sz w:val="16"/>
                <w:szCs w:val="16"/>
                <w:lang w:val="en-AU"/>
              </w:rPr>
              <w:t>7.1: Defence strengthen</w:t>
            </w:r>
            <w:r w:rsidR="001809FC">
              <w:rPr>
                <w:rFonts w:ascii="Arial" w:hAnsi="Arial"/>
                <w:sz w:val="16"/>
                <w:szCs w:val="16"/>
                <w:lang w:val="en-AU"/>
              </w:rPr>
              <w:t>s the sovereign defence industrial</w:t>
            </w:r>
            <w:r w:rsidRPr="0071178A">
              <w:rPr>
                <w:rFonts w:ascii="Arial" w:hAnsi="Arial"/>
                <w:sz w:val="16"/>
                <w:szCs w:val="16"/>
                <w:lang w:val="en-AU"/>
              </w:rPr>
              <w:t xml:space="preserve"> base across critical industrial capabilities.</w:t>
            </w:r>
          </w:p>
        </w:tc>
        <w:tc>
          <w:tcPr>
            <w:tcW w:w="3379" w:type="dxa"/>
            <w:tcBorders>
              <w:top w:val="dotted" w:sz="4" w:space="0" w:color="auto"/>
              <w:left w:val="single" w:sz="4" w:space="0" w:color="auto"/>
              <w:bottom w:val="single" w:sz="4" w:space="0" w:color="auto"/>
            </w:tcBorders>
          </w:tcPr>
          <w:p w14:paraId="3F09B6B9" w14:textId="5BC13D2D" w:rsidR="0071178A" w:rsidRPr="0071178A" w:rsidRDefault="0071178A" w:rsidP="0071178A">
            <w:pPr>
              <w:spacing w:before="60" w:after="60"/>
              <w:rPr>
                <w:rFonts w:ascii="Arial" w:hAnsi="Arial"/>
                <w:i/>
                <w:color w:val="000000"/>
                <w:sz w:val="16"/>
                <w:szCs w:val="16"/>
              </w:rPr>
            </w:pPr>
            <w:r w:rsidRPr="0071178A">
              <w:rPr>
                <w:rFonts w:ascii="Arial" w:hAnsi="Arial"/>
                <w:color w:val="000000"/>
                <w:sz w:val="16"/>
                <w:szCs w:val="16"/>
              </w:rPr>
              <w:t>80 per cent or more of the Defence Industry Development Grant Program budgeted allocation is awarded; supports Australian defence industry in international markets; provides a direct economic contribution to the Australian economy; drives investment in innovation, science and technology to deliver defence priorities; meets or exceeds Indigenous procurement targets; and supports the development of the domestic manufacture of guided weapons, explosive ordnance and munitions.</w:t>
            </w:r>
          </w:p>
        </w:tc>
      </w:tr>
      <w:tr w:rsidR="0004322A" w:rsidRPr="00ED5D95" w14:paraId="1474B7E1" w14:textId="77777777" w:rsidTr="0004322A">
        <w:tblPrEx>
          <w:shd w:val="clear" w:color="auto" w:fill="auto"/>
          <w:tblLook w:val="04A0" w:firstRow="1" w:lastRow="0" w:firstColumn="1" w:lastColumn="0" w:noHBand="0" w:noVBand="1"/>
        </w:tblPrEx>
        <w:trPr>
          <w:trHeight w:val="491"/>
        </w:trPr>
        <w:tc>
          <w:tcPr>
            <w:tcW w:w="1799" w:type="dxa"/>
            <w:tcBorders>
              <w:top w:val="single" w:sz="4" w:space="0" w:color="auto"/>
              <w:bottom w:val="single" w:sz="4" w:space="0" w:color="auto"/>
              <w:right w:val="single" w:sz="4" w:space="0" w:color="auto"/>
            </w:tcBorders>
          </w:tcPr>
          <w:p w14:paraId="70A201CA" w14:textId="77777777" w:rsidR="0004322A" w:rsidRPr="00ED5D95" w:rsidRDefault="0004322A" w:rsidP="00987C39">
            <w:pPr>
              <w:tabs>
                <w:tab w:val="left" w:pos="709"/>
              </w:tabs>
              <w:spacing w:before="0" w:after="0"/>
              <w:rPr>
                <w:rFonts w:ascii="Arial" w:hAnsi="Arial"/>
                <w:color w:val="000000"/>
                <w:sz w:val="16"/>
                <w:szCs w:val="16"/>
              </w:rPr>
            </w:pPr>
            <w:r w:rsidRPr="00ED5D95">
              <w:rPr>
                <w:rFonts w:ascii="Arial" w:hAnsi="Arial"/>
                <w:color w:val="000000"/>
                <w:sz w:val="16"/>
                <w:szCs w:val="16"/>
              </w:rPr>
              <w:t>Forward Estimates</w:t>
            </w:r>
          </w:p>
          <w:p w14:paraId="122B9EB1" w14:textId="77777777" w:rsidR="0004322A" w:rsidRPr="00ED5D95" w:rsidRDefault="0004322A" w:rsidP="00987C39">
            <w:pPr>
              <w:tabs>
                <w:tab w:val="left" w:pos="709"/>
              </w:tabs>
              <w:spacing w:before="0" w:after="0"/>
              <w:rPr>
                <w:rFonts w:ascii="Arial" w:hAnsi="Arial"/>
                <w:b/>
                <w:color w:val="000000"/>
                <w:sz w:val="16"/>
                <w:szCs w:val="16"/>
              </w:rPr>
            </w:pPr>
            <w:r w:rsidRPr="00ED5D95">
              <w:rPr>
                <w:rFonts w:ascii="Arial" w:hAnsi="Arial"/>
                <w:color w:val="000000"/>
                <w:sz w:val="16"/>
                <w:szCs w:val="16"/>
              </w:rPr>
              <w:t>2026-29</w:t>
            </w:r>
          </w:p>
        </w:tc>
        <w:tc>
          <w:tcPr>
            <w:tcW w:w="3174" w:type="dxa"/>
            <w:tcBorders>
              <w:top w:val="single" w:sz="4" w:space="0" w:color="auto"/>
              <w:left w:val="single" w:sz="4" w:space="0" w:color="auto"/>
              <w:bottom w:val="single" w:sz="4" w:space="0" w:color="auto"/>
              <w:right w:val="single" w:sz="4" w:space="0" w:color="auto"/>
            </w:tcBorders>
          </w:tcPr>
          <w:p w14:paraId="2E73ACF7" w14:textId="77777777" w:rsidR="0004322A" w:rsidRPr="00ED5D95" w:rsidRDefault="0004322A" w:rsidP="00ED5D95">
            <w:pPr>
              <w:tabs>
                <w:tab w:val="left" w:pos="709"/>
              </w:tabs>
              <w:spacing w:before="60" w:after="60"/>
              <w:rPr>
                <w:rFonts w:ascii="Arial" w:hAnsi="Arial"/>
                <w:b/>
                <w:color w:val="000000"/>
                <w:sz w:val="16"/>
                <w:szCs w:val="16"/>
              </w:rPr>
            </w:pPr>
            <w:r w:rsidRPr="00ED5D95">
              <w:rPr>
                <w:rFonts w:ascii="Arial" w:hAnsi="Arial"/>
                <w:color w:val="000000"/>
                <w:sz w:val="16"/>
                <w:szCs w:val="16"/>
              </w:rPr>
              <w:t>As per 202</w:t>
            </w:r>
            <w:r w:rsidR="00ED5D95">
              <w:rPr>
                <w:rFonts w:ascii="Arial" w:hAnsi="Arial"/>
                <w:color w:val="000000"/>
                <w:sz w:val="16"/>
                <w:szCs w:val="16"/>
              </w:rPr>
              <w:t>5</w:t>
            </w:r>
            <w:r w:rsidRPr="00ED5D95">
              <w:rPr>
                <w:rFonts w:ascii="Arial" w:hAnsi="Arial"/>
                <w:color w:val="000000"/>
                <w:sz w:val="16"/>
                <w:szCs w:val="16"/>
              </w:rPr>
              <w:t>-2</w:t>
            </w:r>
            <w:r w:rsidR="00ED5D95">
              <w:rPr>
                <w:rFonts w:ascii="Arial" w:hAnsi="Arial"/>
                <w:color w:val="000000"/>
                <w:sz w:val="16"/>
                <w:szCs w:val="16"/>
              </w:rPr>
              <w:t>6</w:t>
            </w:r>
            <w:r w:rsidRPr="00ED5D95">
              <w:rPr>
                <w:rFonts w:ascii="Arial" w:hAnsi="Arial"/>
                <w:color w:val="000000"/>
                <w:sz w:val="16"/>
                <w:szCs w:val="16"/>
              </w:rPr>
              <w:t>.</w:t>
            </w:r>
          </w:p>
        </w:tc>
        <w:tc>
          <w:tcPr>
            <w:tcW w:w="3379" w:type="dxa"/>
            <w:tcBorders>
              <w:top w:val="single" w:sz="4" w:space="0" w:color="auto"/>
              <w:left w:val="single" w:sz="4" w:space="0" w:color="auto"/>
              <w:bottom w:val="single" w:sz="4" w:space="0" w:color="auto"/>
            </w:tcBorders>
          </w:tcPr>
          <w:p w14:paraId="26BF5035" w14:textId="77777777" w:rsidR="0004322A" w:rsidRPr="00ED5D95" w:rsidRDefault="0004322A" w:rsidP="00ED5D95">
            <w:pPr>
              <w:tabs>
                <w:tab w:val="left" w:pos="709"/>
              </w:tabs>
              <w:spacing w:before="60" w:after="60"/>
              <w:rPr>
                <w:rFonts w:ascii="Arial" w:hAnsi="Arial"/>
                <w:b/>
                <w:color w:val="000000"/>
                <w:sz w:val="16"/>
                <w:szCs w:val="16"/>
              </w:rPr>
            </w:pPr>
            <w:r w:rsidRPr="00ED5D95">
              <w:rPr>
                <w:rFonts w:ascii="Arial" w:hAnsi="Arial"/>
                <w:color w:val="000000"/>
                <w:sz w:val="16"/>
                <w:szCs w:val="16"/>
              </w:rPr>
              <w:t>As per 202</w:t>
            </w:r>
            <w:r w:rsidR="00ED5D95">
              <w:rPr>
                <w:rFonts w:ascii="Arial" w:hAnsi="Arial"/>
                <w:color w:val="000000"/>
                <w:sz w:val="16"/>
                <w:szCs w:val="16"/>
              </w:rPr>
              <w:t>5</w:t>
            </w:r>
            <w:r w:rsidRPr="00ED5D95">
              <w:rPr>
                <w:rFonts w:ascii="Arial" w:hAnsi="Arial"/>
                <w:color w:val="000000"/>
                <w:sz w:val="16"/>
                <w:szCs w:val="16"/>
              </w:rPr>
              <w:t>-2</w:t>
            </w:r>
            <w:r w:rsidR="00ED5D95">
              <w:rPr>
                <w:rFonts w:ascii="Arial" w:hAnsi="Arial"/>
                <w:color w:val="000000"/>
                <w:sz w:val="16"/>
                <w:szCs w:val="16"/>
              </w:rPr>
              <w:t>6</w:t>
            </w:r>
            <w:r w:rsidRPr="00ED5D95">
              <w:rPr>
                <w:rFonts w:ascii="Arial" w:hAnsi="Arial"/>
                <w:color w:val="000000"/>
                <w:sz w:val="16"/>
                <w:szCs w:val="16"/>
              </w:rPr>
              <w:t>.</w:t>
            </w:r>
          </w:p>
        </w:tc>
      </w:tr>
      <w:tr w:rsidR="0004322A" w:rsidRPr="00CD66E1" w14:paraId="24F6E21C" w14:textId="77777777" w:rsidTr="0004322A">
        <w:tblPrEx>
          <w:shd w:val="clear" w:color="auto" w:fill="auto"/>
          <w:tblLook w:val="04A0" w:firstRow="1" w:lastRow="0" w:firstColumn="1" w:lastColumn="0" w:noHBand="0" w:noVBand="1"/>
        </w:tblPrEx>
        <w:trPr>
          <w:trHeight w:val="291"/>
        </w:trPr>
        <w:tc>
          <w:tcPr>
            <w:tcW w:w="8352" w:type="dxa"/>
            <w:gridSpan w:val="3"/>
            <w:tcBorders>
              <w:top w:val="single" w:sz="4" w:space="0" w:color="auto"/>
            </w:tcBorders>
          </w:tcPr>
          <w:p w14:paraId="5CBEF62C" w14:textId="36D28812" w:rsidR="0004322A" w:rsidRPr="00ED5D95" w:rsidRDefault="0004322A" w:rsidP="00E364DF">
            <w:pPr>
              <w:tabs>
                <w:tab w:val="left" w:pos="709"/>
              </w:tabs>
              <w:spacing w:before="60" w:after="60"/>
              <w:rPr>
                <w:rFonts w:ascii="Arial" w:eastAsia="Cambria" w:hAnsi="Arial"/>
                <w:bCs/>
                <w:iCs/>
                <w:color w:val="000000"/>
                <w:spacing w:val="-6"/>
                <w:sz w:val="16"/>
                <w:szCs w:val="16"/>
                <w:lang w:val="x-none"/>
              </w:rPr>
            </w:pPr>
            <w:r w:rsidRPr="00ED5D95">
              <w:rPr>
                <w:rFonts w:ascii="Arial" w:hAnsi="Arial"/>
                <w:color w:val="000000"/>
                <w:sz w:val="16"/>
                <w:szCs w:val="16"/>
              </w:rPr>
              <w:t>Material changes to Program 2.3 resulting from 202</w:t>
            </w:r>
            <w:r w:rsidR="00E364DF">
              <w:rPr>
                <w:rFonts w:ascii="Arial" w:hAnsi="Arial"/>
                <w:color w:val="000000"/>
                <w:sz w:val="16"/>
                <w:szCs w:val="16"/>
              </w:rPr>
              <w:t>5</w:t>
            </w:r>
            <w:r w:rsidRPr="00ED5D95">
              <w:rPr>
                <w:rFonts w:ascii="Arial" w:hAnsi="Arial"/>
                <w:color w:val="000000"/>
                <w:sz w:val="16"/>
                <w:szCs w:val="16"/>
              </w:rPr>
              <w:t>-2</w:t>
            </w:r>
            <w:r w:rsidR="00E364DF">
              <w:rPr>
                <w:rFonts w:ascii="Arial" w:hAnsi="Arial"/>
                <w:color w:val="000000"/>
                <w:sz w:val="16"/>
                <w:szCs w:val="16"/>
              </w:rPr>
              <w:t>6</w:t>
            </w:r>
            <w:r w:rsidRPr="00ED5D95">
              <w:rPr>
                <w:rFonts w:ascii="Arial" w:hAnsi="Arial"/>
                <w:color w:val="000000"/>
                <w:sz w:val="16"/>
                <w:szCs w:val="16"/>
              </w:rPr>
              <w:t xml:space="preserve"> Budget Measures:</w:t>
            </w:r>
            <w:r w:rsidRPr="00ED5D95">
              <w:rPr>
                <w:rStyle w:val="BodyTextChar"/>
                <w:rFonts w:ascii="Arial" w:hAnsi="Arial"/>
                <w:bCs/>
                <w:iCs/>
                <w:color w:val="000000"/>
                <w:spacing w:val="-6"/>
                <w:sz w:val="16"/>
                <w:szCs w:val="16"/>
              </w:rPr>
              <w:t xml:space="preserve"> Nil.</w:t>
            </w:r>
          </w:p>
        </w:tc>
      </w:tr>
    </w:tbl>
    <w:p w14:paraId="2E4D03C5" w14:textId="77777777" w:rsidR="00737EBD" w:rsidRPr="00CD66E1" w:rsidRDefault="00737EBD" w:rsidP="00656D60">
      <w:pPr>
        <w:spacing w:before="0" w:after="0"/>
        <w:rPr>
          <w:sz w:val="16"/>
          <w:szCs w:val="16"/>
          <w:highlight w:val="yellow"/>
        </w:rPr>
      </w:pPr>
    </w:p>
    <w:p w14:paraId="5B966DDD" w14:textId="77777777" w:rsidR="00C04AF4" w:rsidRPr="00ED5D95" w:rsidRDefault="00C04AF4" w:rsidP="00C04AF4">
      <w:pPr>
        <w:pStyle w:val="TableHeading"/>
        <w:spacing w:before="0" w:after="0"/>
        <w:rPr>
          <w:sz w:val="14"/>
          <w:szCs w:val="14"/>
          <w:lang w:val="en-AU"/>
        </w:rPr>
      </w:pPr>
      <w:r w:rsidRPr="00ED5D95">
        <w:rPr>
          <w:sz w:val="14"/>
          <w:szCs w:val="14"/>
          <w:lang w:val="en-AU"/>
        </w:rPr>
        <w:t>Note</w:t>
      </w:r>
    </w:p>
    <w:p w14:paraId="35019432" w14:textId="2040FA5B" w:rsidR="008A5035" w:rsidRPr="0071178A" w:rsidRDefault="0071178A" w:rsidP="00444A89">
      <w:pPr>
        <w:pStyle w:val="TableHeading"/>
        <w:numPr>
          <w:ilvl w:val="0"/>
          <w:numId w:val="66"/>
        </w:numPr>
        <w:tabs>
          <w:tab w:val="left" w:pos="284"/>
        </w:tabs>
        <w:spacing w:before="0" w:after="0"/>
        <w:ind w:left="284" w:hanging="283"/>
        <w:rPr>
          <w:b w:val="0"/>
          <w:sz w:val="14"/>
          <w:szCs w:val="14"/>
        </w:rPr>
      </w:pPr>
      <w:r w:rsidRPr="0071178A">
        <w:rPr>
          <w:b w:val="0"/>
          <w:sz w:val="14"/>
          <w:szCs w:val="14"/>
          <w:lang w:val="en-AU"/>
        </w:rPr>
        <w:t>In accordance with Defence’s Enterprise Performance Framework, Defence is undertaking materiality assessments that may result in updates to the 2025-26 performance information in the 2025-29 Defence Corporate Plan, if required</w:t>
      </w:r>
      <w:r w:rsidR="009737EB" w:rsidRPr="0071178A">
        <w:rPr>
          <w:b w:val="0"/>
          <w:sz w:val="14"/>
          <w:szCs w:val="14"/>
          <w:lang w:val="en-AU"/>
        </w:rPr>
        <w:t xml:space="preserve">. </w:t>
      </w:r>
    </w:p>
    <w:p w14:paraId="189F24FF" w14:textId="77777777" w:rsidR="00BF36E5" w:rsidRPr="00DF2A6B" w:rsidRDefault="00312F38" w:rsidP="00D9100A">
      <w:pPr>
        <w:pStyle w:val="TableHeading"/>
        <w:numPr>
          <w:ilvl w:val="0"/>
          <w:numId w:val="29"/>
        </w:numPr>
        <w:spacing w:before="0" w:after="120"/>
        <w:ind w:left="0" w:firstLine="0"/>
        <w:outlineLvl w:val="6"/>
      </w:pPr>
      <w:r w:rsidRPr="00B56FAA">
        <w:br w:type="page"/>
      </w:r>
      <w:r w:rsidR="00BF36E5" w:rsidRPr="00DF2A6B">
        <w:lastRenderedPageBreak/>
        <w:t xml:space="preserve">Cost Summary for Program 2.3 </w:t>
      </w:r>
      <w:r w:rsidR="009C2E7E" w:rsidRPr="00DF2A6B">
        <w:t xml:space="preserve">Defence </w:t>
      </w:r>
      <w:r w:rsidR="00BF36E5" w:rsidRPr="00DF2A6B">
        <w:t>Fi</w:t>
      </w:r>
      <w:r w:rsidR="00965956" w:rsidRPr="00DF2A6B">
        <w:t>nance</w:t>
      </w:r>
      <w:r w:rsidR="00BD74D3" w:rsidRPr="00DF2A6B">
        <w:t xml:space="preserve"> </w:t>
      </w:r>
      <w:r w:rsidR="00BD74D3" w:rsidRPr="00DF2A6B">
        <w:rPr>
          <w:vertAlign w:val="superscript"/>
        </w:rPr>
        <w:t>[a]</w:t>
      </w:r>
      <w:r w:rsidR="00CE75A7" w:rsidRPr="00DF2A6B">
        <w:rPr>
          <w:rFonts w:ascii="Arial Bold" w:hAnsi="Arial Bold"/>
          <w:vertAlign w:val="superscript"/>
        </w:rPr>
        <w:t xml:space="preserve"> </w:t>
      </w:r>
    </w:p>
    <w:p w14:paraId="2C5B1484" w14:textId="3CC80A69" w:rsidR="00312F38" w:rsidRPr="00B56FAA" w:rsidRDefault="00AE2E3C" w:rsidP="00656D60">
      <w:pPr>
        <w:spacing w:before="0" w:after="0"/>
      </w:pPr>
      <w:r w:rsidRPr="00AE2E3C">
        <w:rPr>
          <w:noProof/>
          <w:lang w:val="en-AU"/>
        </w:rPr>
        <w:drawing>
          <wp:inline distT="0" distB="0" distL="0" distR="0" wp14:anchorId="0D788350" wp14:editId="42D5FFB0">
            <wp:extent cx="5471795" cy="2780018"/>
            <wp:effectExtent l="0" t="0" r="0" b="190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71795" cy="2780018"/>
                    </a:xfrm>
                    <a:prstGeom prst="rect">
                      <a:avLst/>
                    </a:prstGeom>
                    <a:noFill/>
                    <a:ln>
                      <a:noFill/>
                    </a:ln>
                  </pic:spPr>
                </pic:pic>
              </a:graphicData>
            </a:graphic>
          </wp:inline>
        </w:drawing>
      </w:r>
    </w:p>
    <w:p w14:paraId="3D2EE98A" w14:textId="77777777" w:rsidR="00656D60" w:rsidRPr="00B56FAA" w:rsidRDefault="00656D60" w:rsidP="00374DCB">
      <w:pPr>
        <w:spacing w:before="0" w:after="0"/>
        <w:rPr>
          <w:rFonts w:ascii="Arial" w:hAnsi="Arial"/>
          <w:sz w:val="14"/>
          <w:szCs w:val="14"/>
          <w:lang w:val="en-AU"/>
        </w:rPr>
      </w:pPr>
    </w:p>
    <w:p w14:paraId="4BC227F4" w14:textId="77777777" w:rsidR="00344B37" w:rsidRPr="006C3844" w:rsidRDefault="00BD74D3" w:rsidP="006C3844">
      <w:pPr>
        <w:spacing w:before="0" w:after="0"/>
        <w:rPr>
          <w:rFonts w:ascii="Arial" w:hAnsi="Arial"/>
          <w:b/>
          <w:sz w:val="14"/>
          <w:szCs w:val="14"/>
          <w:lang w:val="en-AU"/>
        </w:rPr>
      </w:pPr>
      <w:r w:rsidRPr="006C3844">
        <w:rPr>
          <w:rFonts w:ascii="Arial" w:hAnsi="Arial"/>
          <w:b/>
          <w:sz w:val="14"/>
          <w:szCs w:val="14"/>
          <w:lang w:val="en-AU"/>
        </w:rPr>
        <w:t>Notes</w:t>
      </w:r>
    </w:p>
    <w:p w14:paraId="3C9A7065" w14:textId="6235FA6F" w:rsidR="00F91904" w:rsidRPr="00F91904" w:rsidRDefault="000D0E2C" w:rsidP="00F91904">
      <w:pPr>
        <w:spacing w:before="0" w:after="0"/>
        <w:ind w:left="284" w:hanging="284"/>
        <w:rPr>
          <w:rFonts w:ascii="Arial" w:hAnsi="Arial"/>
          <w:sz w:val="14"/>
          <w:szCs w:val="14"/>
          <w:lang w:val="en-AU"/>
        </w:rPr>
      </w:pPr>
      <w:r w:rsidRPr="006C3844">
        <w:rPr>
          <w:rFonts w:ascii="Arial" w:hAnsi="Arial"/>
          <w:sz w:val="14"/>
          <w:szCs w:val="14"/>
          <w:lang w:val="en-AU"/>
        </w:rPr>
        <w:t xml:space="preserve">a. </w:t>
      </w:r>
      <w:r w:rsidRPr="006C3844">
        <w:rPr>
          <w:rFonts w:ascii="Arial" w:hAnsi="Arial"/>
          <w:sz w:val="14"/>
          <w:szCs w:val="14"/>
          <w:lang w:val="en-AU"/>
        </w:rPr>
        <w:tab/>
      </w:r>
      <w:r w:rsidRPr="006C3844">
        <w:rPr>
          <w:rFonts w:ascii="Arial" w:hAnsi="Arial"/>
          <w:sz w:val="14"/>
          <w:szCs w:val="14"/>
          <w:lang w:val="en-AU"/>
        </w:rPr>
        <w:tab/>
      </w:r>
      <w:r w:rsidRPr="006C3844">
        <w:rPr>
          <w:rFonts w:ascii="Arial" w:hAnsi="Arial"/>
          <w:sz w:val="14"/>
          <w:szCs w:val="14"/>
          <w:lang w:val="en-AU"/>
        </w:rPr>
        <w:tab/>
      </w:r>
      <w:r w:rsidRPr="006C3844">
        <w:rPr>
          <w:rFonts w:ascii="Arial" w:hAnsi="Arial"/>
          <w:sz w:val="14"/>
          <w:szCs w:val="14"/>
          <w:lang w:val="en-AU"/>
        </w:rPr>
        <w:tab/>
      </w:r>
      <w:r w:rsidR="00F91904" w:rsidRPr="00F91904">
        <w:rPr>
          <w:rFonts w:ascii="Arial" w:hAnsi="Arial"/>
          <w:sz w:val="14"/>
          <w:szCs w:val="14"/>
          <w:lang w:val="en-AU"/>
        </w:rPr>
        <w:t xml:space="preserve">The Defence Finance Program includes budget adjustments applied at the whole of Defence level, and not otherwise applied to other programs. </w:t>
      </w:r>
      <w:r w:rsidR="00F91904" w:rsidRPr="00F91904">
        <w:rPr>
          <w:rFonts w:ascii="Arial" w:hAnsi="Arial"/>
          <w:sz w:val="14"/>
          <w:szCs w:val="14"/>
          <w:lang w:val="en-AU"/>
        </w:rPr>
        <w:tab/>
      </w:r>
      <w:r w:rsidR="00F91904" w:rsidRPr="00F91904">
        <w:rPr>
          <w:rFonts w:ascii="Arial" w:hAnsi="Arial"/>
          <w:sz w:val="14"/>
          <w:szCs w:val="14"/>
          <w:lang w:val="en-AU"/>
        </w:rPr>
        <w:tab/>
      </w:r>
      <w:r w:rsidR="00F91904" w:rsidRPr="00F91904">
        <w:rPr>
          <w:rFonts w:ascii="Arial" w:hAnsi="Arial"/>
          <w:sz w:val="14"/>
          <w:szCs w:val="14"/>
          <w:lang w:val="en-AU"/>
        </w:rPr>
        <w:tab/>
      </w:r>
      <w:r w:rsidR="00F91904" w:rsidRPr="00F91904">
        <w:rPr>
          <w:rFonts w:ascii="Arial" w:hAnsi="Arial"/>
          <w:sz w:val="14"/>
          <w:szCs w:val="14"/>
          <w:lang w:val="en-AU"/>
        </w:rPr>
        <w:tab/>
      </w:r>
    </w:p>
    <w:p w14:paraId="0BD6948F" w14:textId="70A4B5A9" w:rsidR="00F91904" w:rsidRPr="00F91904" w:rsidRDefault="00F91904" w:rsidP="00F91904">
      <w:pPr>
        <w:spacing w:before="0" w:after="0"/>
        <w:ind w:left="284" w:hanging="284"/>
        <w:rPr>
          <w:rFonts w:ascii="Arial" w:hAnsi="Arial"/>
          <w:sz w:val="14"/>
          <w:szCs w:val="14"/>
          <w:lang w:val="en-AU"/>
        </w:rPr>
      </w:pPr>
      <w:r w:rsidRPr="00F91904">
        <w:rPr>
          <w:rFonts w:ascii="Arial" w:hAnsi="Arial"/>
          <w:sz w:val="14"/>
          <w:szCs w:val="14"/>
          <w:lang w:val="en-AU"/>
        </w:rPr>
        <w:t xml:space="preserve">b. </w:t>
      </w:r>
      <w:r>
        <w:rPr>
          <w:rFonts w:ascii="Arial" w:hAnsi="Arial"/>
          <w:sz w:val="14"/>
          <w:szCs w:val="14"/>
          <w:lang w:val="en-AU"/>
        </w:rPr>
        <w:tab/>
      </w:r>
      <w:r w:rsidR="0058484B">
        <w:rPr>
          <w:rFonts w:ascii="Arial" w:hAnsi="Arial"/>
          <w:sz w:val="14"/>
          <w:szCs w:val="14"/>
          <w:lang w:val="en-AU"/>
        </w:rPr>
        <w:t xml:space="preserve">Employee Budget for whole of Defence FTE </w:t>
      </w:r>
      <w:r w:rsidRPr="00F91904">
        <w:rPr>
          <w:rFonts w:ascii="Arial" w:hAnsi="Arial"/>
          <w:sz w:val="14"/>
          <w:szCs w:val="14"/>
          <w:lang w:val="en-AU"/>
        </w:rPr>
        <w:t>is held in this Program from time to time for future prioritisation.</w:t>
      </w:r>
      <w:r w:rsidRPr="00F91904">
        <w:rPr>
          <w:rFonts w:ascii="Arial" w:hAnsi="Arial"/>
          <w:sz w:val="14"/>
          <w:szCs w:val="14"/>
          <w:lang w:val="en-AU"/>
        </w:rPr>
        <w:tab/>
      </w:r>
      <w:r w:rsidRPr="00F91904">
        <w:rPr>
          <w:rFonts w:ascii="Arial" w:hAnsi="Arial"/>
          <w:sz w:val="14"/>
          <w:szCs w:val="14"/>
          <w:lang w:val="en-AU"/>
        </w:rPr>
        <w:tab/>
      </w:r>
      <w:r w:rsidRPr="00F91904">
        <w:rPr>
          <w:rFonts w:ascii="Arial" w:hAnsi="Arial"/>
          <w:sz w:val="14"/>
          <w:szCs w:val="14"/>
          <w:lang w:val="en-AU"/>
        </w:rPr>
        <w:tab/>
      </w:r>
      <w:r w:rsidRPr="00F91904">
        <w:rPr>
          <w:rFonts w:ascii="Arial" w:hAnsi="Arial"/>
          <w:sz w:val="14"/>
          <w:szCs w:val="14"/>
          <w:lang w:val="en-AU"/>
        </w:rPr>
        <w:tab/>
      </w:r>
    </w:p>
    <w:p w14:paraId="728386CA" w14:textId="54C7D6AA" w:rsidR="00CD66E1" w:rsidRPr="006C3844" w:rsidRDefault="00F91904" w:rsidP="00F91904">
      <w:pPr>
        <w:spacing w:before="0" w:after="0"/>
        <w:ind w:left="284" w:hanging="284"/>
        <w:rPr>
          <w:rFonts w:ascii="Arial" w:hAnsi="Arial"/>
          <w:sz w:val="14"/>
          <w:szCs w:val="14"/>
          <w:lang w:val="en-AU"/>
        </w:rPr>
      </w:pPr>
      <w:r w:rsidRPr="00F91904">
        <w:rPr>
          <w:rFonts w:ascii="Arial" w:hAnsi="Arial"/>
          <w:sz w:val="14"/>
          <w:szCs w:val="14"/>
          <w:lang w:val="en-AU"/>
        </w:rPr>
        <w:t xml:space="preserve">c. </w:t>
      </w:r>
      <w:r>
        <w:rPr>
          <w:rFonts w:ascii="Arial" w:hAnsi="Arial"/>
          <w:sz w:val="14"/>
          <w:szCs w:val="14"/>
          <w:lang w:val="en-AU"/>
        </w:rPr>
        <w:tab/>
      </w:r>
      <w:r w:rsidRPr="00F91904">
        <w:rPr>
          <w:rFonts w:ascii="Arial" w:hAnsi="Arial"/>
          <w:sz w:val="14"/>
          <w:szCs w:val="14"/>
          <w:lang w:val="en-AU"/>
        </w:rPr>
        <w:t>Total Program funded expenditure includes operating expenses and capital expenditure funded by appropriation and own source revenue. This excludes expenses not requiring appropriation.</w:t>
      </w:r>
      <w:r w:rsidRPr="00F91904">
        <w:rPr>
          <w:rFonts w:ascii="Arial" w:hAnsi="Arial"/>
          <w:sz w:val="14"/>
          <w:szCs w:val="14"/>
          <w:lang w:val="en-AU"/>
        </w:rPr>
        <w:tab/>
      </w:r>
      <w:r w:rsidRPr="00F91904">
        <w:rPr>
          <w:rFonts w:ascii="Arial" w:hAnsi="Arial"/>
          <w:sz w:val="14"/>
          <w:szCs w:val="14"/>
          <w:lang w:val="en-AU"/>
        </w:rPr>
        <w:tab/>
      </w:r>
      <w:r w:rsidRPr="00F91904">
        <w:rPr>
          <w:rFonts w:ascii="Arial" w:hAnsi="Arial"/>
          <w:sz w:val="14"/>
          <w:szCs w:val="14"/>
          <w:lang w:val="en-AU"/>
        </w:rPr>
        <w:tab/>
      </w:r>
      <w:r w:rsidRPr="00F91904">
        <w:rPr>
          <w:rFonts w:ascii="Arial" w:hAnsi="Arial"/>
          <w:sz w:val="14"/>
          <w:szCs w:val="14"/>
          <w:lang w:val="en-AU"/>
        </w:rPr>
        <w:tab/>
      </w:r>
    </w:p>
    <w:p w14:paraId="3AD6FAB4" w14:textId="77777777" w:rsidR="003867A7" w:rsidRDefault="000D0E2C" w:rsidP="006C3844">
      <w:pPr>
        <w:spacing w:before="0" w:after="0"/>
        <w:ind w:left="284" w:hanging="284"/>
        <w:rPr>
          <w:rFonts w:ascii="Arial" w:hAnsi="Arial"/>
          <w:sz w:val="14"/>
          <w:szCs w:val="14"/>
          <w:lang w:val="en-AU"/>
        </w:rPr>
      </w:pPr>
      <w:r w:rsidRPr="006C3844">
        <w:rPr>
          <w:rFonts w:ascii="Arial" w:hAnsi="Arial"/>
          <w:sz w:val="14"/>
          <w:szCs w:val="14"/>
          <w:lang w:val="en-AU"/>
        </w:rPr>
        <w:tab/>
      </w:r>
      <w:r w:rsidRPr="006C3844">
        <w:rPr>
          <w:rFonts w:ascii="Arial" w:hAnsi="Arial"/>
          <w:sz w:val="14"/>
          <w:szCs w:val="14"/>
          <w:lang w:val="en-AU"/>
        </w:rPr>
        <w:tab/>
      </w:r>
      <w:r w:rsidRPr="006C3844">
        <w:rPr>
          <w:rFonts w:ascii="Arial" w:hAnsi="Arial"/>
          <w:sz w:val="14"/>
          <w:szCs w:val="14"/>
          <w:lang w:val="en-AU"/>
        </w:rPr>
        <w:tab/>
      </w:r>
      <w:r w:rsidRPr="006C3844">
        <w:rPr>
          <w:rFonts w:ascii="Arial" w:hAnsi="Arial"/>
          <w:sz w:val="14"/>
          <w:szCs w:val="14"/>
          <w:lang w:val="en-AU"/>
        </w:rPr>
        <w:tab/>
      </w:r>
      <w:r w:rsidRPr="006C3844">
        <w:rPr>
          <w:rFonts w:ascii="Arial" w:hAnsi="Arial"/>
          <w:sz w:val="14"/>
          <w:szCs w:val="14"/>
          <w:lang w:val="en-AU"/>
        </w:rPr>
        <w:tab/>
      </w:r>
    </w:p>
    <w:p w14:paraId="645CA707" w14:textId="77777777" w:rsidR="00E074E1" w:rsidRPr="003867A7" w:rsidRDefault="0002483A" w:rsidP="003867A7">
      <w:pPr>
        <w:spacing w:before="0" w:after="0"/>
        <w:outlineLvl w:val="5"/>
        <w:rPr>
          <w:color w:val="FFFFFF"/>
          <w:sz w:val="2"/>
        </w:rPr>
      </w:pPr>
      <w:r w:rsidRPr="00B56FAA">
        <w:rPr>
          <w:lang w:val="en-AU"/>
        </w:rPr>
        <w:br w:type="page"/>
      </w:r>
      <w:r w:rsidR="00E074E1" w:rsidRPr="003867A7">
        <w:rPr>
          <w:color w:val="FFFFFF"/>
          <w:sz w:val="2"/>
        </w:rPr>
        <w:lastRenderedPageBreak/>
        <w:t>Program 2.4: Joint Capabilities</w:t>
      </w:r>
    </w:p>
    <w:tbl>
      <w:tblPr>
        <w:tblW w:w="4892" w:type="pct"/>
        <w:tblInd w:w="113" w:type="dxa"/>
        <w:tblBorders>
          <w:top w:val="single" w:sz="4" w:space="0" w:color="auto"/>
          <w:left w:val="single" w:sz="4" w:space="0" w:color="auto"/>
          <w:bottom w:val="double" w:sz="4" w:space="0" w:color="auto"/>
          <w:right w:val="single" w:sz="4" w:space="0" w:color="auto"/>
          <w:insideH w:val="double" w:sz="4" w:space="0" w:color="auto"/>
          <w:insideV w:val="single" w:sz="4" w:space="0" w:color="auto"/>
        </w:tblBorders>
        <w:shd w:val="clear" w:color="auto" w:fill="CCCCCC"/>
        <w:tblLook w:val="01E0" w:firstRow="1" w:lastRow="1" w:firstColumn="1" w:lastColumn="1" w:noHBand="0" w:noVBand="0"/>
      </w:tblPr>
      <w:tblGrid>
        <w:gridCol w:w="1800"/>
        <w:gridCol w:w="3174"/>
        <w:gridCol w:w="3447"/>
      </w:tblGrid>
      <w:tr w:rsidR="0002000E" w:rsidRPr="006C3844" w14:paraId="4D2DC493" w14:textId="77777777" w:rsidTr="002423D5">
        <w:tc>
          <w:tcPr>
            <w:tcW w:w="8421" w:type="dxa"/>
            <w:gridSpan w:val="3"/>
            <w:tcBorders>
              <w:top w:val="single" w:sz="4" w:space="0" w:color="auto"/>
              <w:bottom w:val="single" w:sz="4" w:space="0" w:color="auto"/>
            </w:tcBorders>
            <w:shd w:val="clear" w:color="auto" w:fill="CCCCCC"/>
          </w:tcPr>
          <w:p w14:paraId="51809700" w14:textId="77777777" w:rsidR="0002000E" w:rsidRPr="009C3616" w:rsidRDefault="0002000E" w:rsidP="009C3616">
            <w:pPr>
              <w:pStyle w:val="Heading5"/>
            </w:pPr>
            <w:r w:rsidRPr="006C3844">
              <w:br w:type="page"/>
            </w:r>
            <w:r w:rsidRPr="006C3844">
              <w:br w:type="page"/>
            </w:r>
            <w:r w:rsidRPr="009C3616">
              <w:t>Program 2.4: Joint Capabilities</w:t>
            </w:r>
          </w:p>
        </w:tc>
      </w:tr>
      <w:tr w:rsidR="0002000E" w:rsidRPr="00B56FAA" w14:paraId="426621B9" w14:textId="77777777" w:rsidTr="002423D5">
        <w:trPr>
          <w:trHeight w:val="170"/>
        </w:trPr>
        <w:tc>
          <w:tcPr>
            <w:tcW w:w="8421" w:type="dxa"/>
            <w:gridSpan w:val="3"/>
            <w:tcBorders>
              <w:top w:val="single" w:sz="4" w:space="0" w:color="auto"/>
              <w:bottom w:val="single" w:sz="4" w:space="0" w:color="auto"/>
            </w:tcBorders>
            <w:shd w:val="clear" w:color="auto" w:fill="auto"/>
          </w:tcPr>
          <w:p w14:paraId="6FDB129E" w14:textId="77777777" w:rsidR="0002000E" w:rsidRPr="00B56FAA" w:rsidRDefault="0002000E" w:rsidP="00072EF9">
            <w:pPr>
              <w:pStyle w:val="Heading5"/>
              <w:spacing w:before="0" w:after="0"/>
              <w:rPr>
                <w:sz w:val="16"/>
                <w:szCs w:val="16"/>
              </w:rPr>
            </w:pPr>
          </w:p>
        </w:tc>
      </w:tr>
      <w:tr w:rsidR="0002000E" w:rsidRPr="00ED5D95" w14:paraId="34C5904B" w14:textId="77777777" w:rsidTr="002423D5">
        <w:tblPrEx>
          <w:shd w:val="clear" w:color="auto" w:fill="auto"/>
          <w:tblLook w:val="04A0" w:firstRow="1" w:lastRow="0" w:firstColumn="1" w:lastColumn="0" w:noHBand="0" w:noVBand="1"/>
        </w:tblPrEx>
        <w:trPr>
          <w:trHeight w:val="1077"/>
          <w:tblHeader/>
        </w:trPr>
        <w:tc>
          <w:tcPr>
            <w:tcW w:w="8421" w:type="dxa"/>
            <w:gridSpan w:val="3"/>
            <w:tcBorders>
              <w:top w:val="single" w:sz="4" w:space="0" w:color="auto"/>
              <w:bottom w:val="single" w:sz="4" w:space="0" w:color="auto"/>
            </w:tcBorders>
            <w:shd w:val="clear" w:color="auto" w:fill="E6E6E6"/>
          </w:tcPr>
          <w:p w14:paraId="63288674" w14:textId="77777777" w:rsidR="0002000E" w:rsidRPr="00ED5D95" w:rsidRDefault="0002000E" w:rsidP="00072EF9">
            <w:pPr>
              <w:tabs>
                <w:tab w:val="left" w:pos="709"/>
              </w:tabs>
              <w:spacing w:before="60" w:after="0"/>
              <w:rPr>
                <w:rFonts w:ascii="Arial" w:hAnsi="Arial"/>
                <w:sz w:val="16"/>
                <w:szCs w:val="16"/>
              </w:rPr>
            </w:pPr>
            <w:r w:rsidRPr="00ED5D95">
              <w:rPr>
                <w:rFonts w:ascii="Arial" w:hAnsi="Arial"/>
                <w:b/>
                <w:sz w:val="16"/>
                <w:szCs w:val="16"/>
              </w:rPr>
              <w:t>Program 2.4</w:t>
            </w:r>
            <w:r w:rsidRPr="00ED5D95">
              <w:rPr>
                <w:rFonts w:ascii="Arial" w:hAnsi="Arial"/>
                <w:sz w:val="16"/>
                <w:szCs w:val="16"/>
              </w:rPr>
              <w:t xml:space="preserve"> </w:t>
            </w:r>
            <w:r w:rsidR="00ED5D95">
              <w:rPr>
                <w:rFonts w:ascii="Arial" w:hAnsi="Arial"/>
                <w:b/>
                <w:sz w:val="16"/>
                <w:szCs w:val="16"/>
              </w:rPr>
              <w:t>Objective</w:t>
            </w:r>
          </w:p>
          <w:p w14:paraId="24BAFE96" w14:textId="77777777" w:rsidR="0002000E" w:rsidRPr="00ED5D95" w:rsidRDefault="00AA658E" w:rsidP="00AA658E">
            <w:pPr>
              <w:tabs>
                <w:tab w:val="left" w:pos="709"/>
              </w:tabs>
              <w:spacing w:before="60" w:after="60"/>
              <w:rPr>
                <w:rFonts w:ascii="Arial" w:hAnsi="Arial"/>
                <w:sz w:val="16"/>
                <w:szCs w:val="16"/>
              </w:rPr>
            </w:pPr>
            <w:r w:rsidRPr="00ED5D95">
              <w:rPr>
                <w:rFonts w:ascii="Arial" w:hAnsi="Arial"/>
                <w:sz w:val="16"/>
                <w:szCs w:val="16"/>
                <w:lang w:eastAsia="en-US"/>
              </w:rPr>
              <w:t>To provide space, cyber and logistics capabilities; that contribute to the Australian Defence Force's capacity to defend Australia, contribute to regional security, support Australia's global interests, shape the strategic environment and protect national interests.</w:t>
            </w:r>
          </w:p>
        </w:tc>
      </w:tr>
      <w:tr w:rsidR="0002000E" w:rsidRPr="00ED5D95" w14:paraId="5DD095D9" w14:textId="77777777" w:rsidTr="003C0162">
        <w:tblPrEx>
          <w:shd w:val="clear" w:color="auto" w:fill="auto"/>
          <w:tblLook w:val="04A0" w:firstRow="1" w:lastRow="0" w:firstColumn="1" w:lastColumn="0" w:noHBand="0" w:noVBand="1"/>
        </w:tblPrEx>
        <w:trPr>
          <w:trHeight w:val="2742"/>
        </w:trPr>
        <w:tc>
          <w:tcPr>
            <w:tcW w:w="1800" w:type="dxa"/>
            <w:tcBorders>
              <w:top w:val="single" w:sz="4" w:space="0" w:color="auto"/>
              <w:bottom w:val="single" w:sz="4" w:space="0" w:color="auto"/>
            </w:tcBorders>
          </w:tcPr>
          <w:p w14:paraId="1A3D51E2" w14:textId="2ADE8E7D" w:rsidR="0002000E" w:rsidRPr="00ED5D95" w:rsidRDefault="0002000E" w:rsidP="00ED5D95">
            <w:pPr>
              <w:tabs>
                <w:tab w:val="left" w:pos="709"/>
              </w:tabs>
              <w:spacing w:before="60" w:after="60"/>
              <w:rPr>
                <w:rFonts w:ascii="Arial" w:hAnsi="Arial"/>
                <w:b/>
                <w:color w:val="000000"/>
                <w:sz w:val="16"/>
                <w:szCs w:val="16"/>
              </w:rPr>
            </w:pPr>
            <w:r w:rsidRPr="00ED5D95">
              <w:rPr>
                <w:rFonts w:ascii="Arial" w:hAnsi="Arial"/>
                <w:b/>
                <w:color w:val="000000"/>
                <w:sz w:val="16"/>
                <w:szCs w:val="16"/>
              </w:rPr>
              <w:t>Key Activities</w:t>
            </w:r>
          </w:p>
        </w:tc>
        <w:tc>
          <w:tcPr>
            <w:tcW w:w="6621" w:type="dxa"/>
            <w:gridSpan w:val="2"/>
            <w:tcBorders>
              <w:top w:val="single" w:sz="4" w:space="0" w:color="auto"/>
              <w:bottom w:val="single" w:sz="4" w:space="0" w:color="auto"/>
            </w:tcBorders>
          </w:tcPr>
          <w:p w14:paraId="3D7B0D44" w14:textId="77777777" w:rsidR="00ED5D95" w:rsidRPr="00470FF0" w:rsidRDefault="00ED5D95" w:rsidP="00ED5D95">
            <w:pPr>
              <w:tabs>
                <w:tab w:val="left" w:pos="343"/>
              </w:tabs>
              <w:spacing w:before="60" w:after="60"/>
              <w:rPr>
                <w:rFonts w:ascii="Arial" w:hAnsi="Arial"/>
                <w:bCs/>
                <w:color w:val="000000"/>
                <w:sz w:val="16"/>
                <w:szCs w:val="16"/>
                <w:lang w:val="en-AU"/>
              </w:rPr>
            </w:pPr>
            <w:r w:rsidRPr="00470FF0">
              <w:rPr>
                <w:rFonts w:ascii="Arial" w:hAnsi="Arial"/>
                <w:bCs/>
                <w:color w:val="000000"/>
                <w:sz w:val="16"/>
                <w:szCs w:val="16"/>
                <w:lang w:val="en-AU"/>
              </w:rPr>
              <w:t>This program will be achieved through the following activities:</w:t>
            </w:r>
          </w:p>
          <w:p w14:paraId="34B8AC17" w14:textId="3663F374" w:rsidR="00ED5D95" w:rsidRPr="00470FF0" w:rsidRDefault="00ED5D95" w:rsidP="00ED5D95">
            <w:pPr>
              <w:tabs>
                <w:tab w:val="left" w:pos="343"/>
              </w:tabs>
              <w:spacing w:before="60" w:after="0"/>
              <w:rPr>
                <w:rFonts w:ascii="Arial" w:hAnsi="Arial"/>
                <w:bCs/>
                <w:color w:val="000000"/>
                <w:sz w:val="16"/>
                <w:szCs w:val="16"/>
                <w:lang w:val="en-AU"/>
              </w:rPr>
            </w:pPr>
            <w:r w:rsidRPr="00470FF0">
              <w:rPr>
                <w:rFonts w:ascii="Arial" w:hAnsi="Arial"/>
                <w:b/>
                <w:sz w:val="16"/>
                <w:szCs w:val="16"/>
                <w:lang w:val="en-AU"/>
              </w:rPr>
              <w:t>1</w:t>
            </w:r>
            <w:r w:rsidRPr="00CC337B">
              <w:rPr>
                <w:rFonts w:ascii="Arial" w:hAnsi="Arial"/>
                <w:b/>
                <w:sz w:val="16"/>
                <w:szCs w:val="16"/>
                <w:lang w:val="en-AU"/>
              </w:rPr>
              <w:t xml:space="preserve">. </w:t>
            </w:r>
            <w:r w:rsidR="00FF0BC7" w:rsidRPr="00CC337B">
              <w:rPr>
                <w:rFonts w:ascii="Arial" w:hAnsi="Arial"/>
                <w:b/>
                <w:sz w:val="16"/>
                <w:szCs w:val="16"/>
                <w:lang w:val="en-AU"/>
              </w:rPr>
              <w:t>Conduct operations and deployments to defend Australia and its national interests.</w:t>
            </w:r>
            <w:r w:rsidRPr="00470FF0">
              <w:rPr>
                <w:rFonts w:ascii="Arial" w:hAnsi="Arial"/>
                <w:color w:val="000000"/>
                <w:sz w:val="16"/>
                <w:szCs w:val="16"/>
                <w:lang w:val="en-AU"/>
              </w:rPr>
              <w:t xml:space="preserve"> Defence conducts operations and deployments both within Australia and overseas, in accordance with direction from the Government. When required, Defence responds with military force to defend Australia and its national interests. Defence also works in close collaboration with our international partners and federal, state and territory governments to support our response to crises and disasters at home and abroad.</w:t>
            </w:r>
          </w:p>
          <w:p w14:paraId="2BAEC5A6" w14:textId="77777777" w:rsidR="00ED5D95" w:rsidRPr="00470FF0" w:rsidRDefault="00ED5D95" w:rsidP="00ED5D95">
            <w:pPr>
              <w:tabs>
                <w:tab w:val="left" w:pos="343"/>
              </w:tabs>
              <w:spacing w:before="60" w:after="0"/>
              <w:rPr>
                <w:rFonts w:ascii="Arial" w:hAnsi="Arial"/>
                <w:bCs/>
                <w:color w:val="000000"/>
                <w:sz w:val="16"/>
                <w:szCs w:val="16"/>
                <w:lang w:val="en-AU"/>
              </w:rPr>
            </w:pPr>
          </w:p>
          <w:p w14:paraId="6AE13C3B" w14:textId="77777777" w:rsidR="0002000E" w:rsidRPr="00ED5D95" w:rsidRDefault="00ED5D95" w:rsidP="00ED5D95">
            <w:pPr>
              <w:tabs>
                <w:tab w:val="left" w:pos="343"/>
              </w:tabs>
              <w:spacing w:before="0" w:after="60"/>
              <w:rPr>
                <w:rFonts w:ascii="Arial" w:hAnsi="Arial"/>
                <w:bCs/>
                <w:color w:val="000000"/>
                <w:sz w:val="16"/>
                <w:szCs w:val="16"/>
              </w:rPr>
            </w:pPr>
            <w:r w:rsidRPr="00470FF0">
              <w:rPr>
                <w:rFonts w:ascii="Arial" w:hAnsi="Arial"/>
                <w:b/>
                <w:sz w:val="16"/>
                <w:szCs w:val="16"/>
                <w:lang w:val="en-AU"/>
              </w:rPr>
              <w:t>6. Deliver future capability</w:t>
            </w:r>
            <w:r w:rsidRPr="00470FF0">
              <w:rPr>
                <w:rFonts w:ascii="Arial" w:hAnsi="Arial"/>
                <w:sz w:val="16"/>
                <w:szCs w:val="16"/>
                <w:lang w:val="en-AU"/>
              </w:rPr>
              <w:t>. Defence will accelerate the development of important capabilities over the next decade to build an integrated, focused force across the maritime, land, air, space and cyber domains. This will ensure the Australian Defence Force has the capacity to defend Australia and its national interests in our evolving strategic circumstances and deter adversaries through a strategy of denial.</w:t>
            </w:r>
          </w:p>
        </w:tc>
      </w:tr>
      <w:tr w:rsidR="0002000E" w:rsidRPr="00ED5D95" w14:paraId="77120014" w14:textId="77777777" w:rsidTr="003C0162">
        <w:tblPrEx>
          <w:shd w:val="clear" w:color="auto" w:fill="auto"/>
          <w:tblLook w:val="04A0" w:firstRow="1" w:lastRow="0" w:firstColumn="1" w:lastColumn="0" w:noHBand="0" w:noVBand="1"/>
        </w:tblPrEx>
        <w:trPr>
          <w:trHeight w:val="100"/>
        </w:trPr>
        <w:tc>
          <w:tcPr>
            <w:tcW w:w="1800" w:type="dxa"/>
            <w:tcBorders>
              <w:top w:val="single" w:sz="4" w:space="0" w:color="auto"/>
              <w:bottom w:val="single" w:sz="4" w:space="0" w:color="auto"/>
            </w:tcBorders>
          </w:tcPr>
          <w:p w14:paraId="26118DC2" w14:textId="77777777" w:rsidR="0002000E" w:rsidRPr="00ED5D95" w:rsidRDefault="0002000E" w:rsidP="00072EF9">
            <w:pPr>
              <w:tabs>
                <w:tab w:val="left" w:pos="709"/>
              </w:tabs>
              <w:spacing w:before="60" w:after="60"/>
              <w:rPr>
                <w:rFonts w:ascii="Arial" w:hAnsi="Arial"/>
                <w:color w:val="000000"/>
                <w:sz w:val="16"/>
                <w:szCs w:val="16"/>
              </w:rPr>
            </w:pPr>
            <w:r w:rsidRPr="00ED5D95">
              <w:rPr>
                <w:rFonts w:ascii="Arial" w:hAnsi="Arial"/>
                <w:b/>
                <w:color w:val="000000"/>
                <w:sz w:val="16"/>
                <w:szCs w:val="16"/>
              </w:rPr>
              <w:t>Year</w:t>
            </w:r>
          </w:p>
        </w:tc>
        <w:tc>
          <w:tcPr>
            <w:tcW w:w="3174" w:type="dxa"/>
            <w:tcBorders>
              <w:top w:val="single" w:sz="4" w:space="0" w:color="auto"/>
              <w:bottom w:val="single" w:sz="4" w:space="0" w:color="auto"/>
            </w:tcBorders>
          </w:tcPr>
          <w:p w14:paraId="0A7822D9" w14:textId="77777777" w:rsidR="0002000E" w:rsidRPr="00ED5D95" w:rsidRDefault="0002000E" w:rsidP="00072EF9">
            <w:pPr>
              <w:tabs>
                <w:tab w:val="left" w:pos="709"/>
              </w:tabs>
              <w:spacing w:before="60" w:after="60"/>
              <w:rPr>
                <w:rFonts w:ascii="Arial" w:hAnsi="Arial"/>
                <w:color w:val="000000"/>
              </w:rPr>
            </w:pPr>
            <w:r w:rsidRPr="00ED5D95">
              <w:rPr>
                <w:rFonts w:ascii="Arial" w:hAnsi="Arial"/>
                <w:b/>
                <w:color w:val="000000"/>
                <w:sz w:val="16"/>
                <w:szCs w:val="16"/>
              </w:rPr>
              <w:t>Performance measures</w:t>
            </w:r>
          </w:p>
        </w:tc>
        <w:tc>
          <w:tcPr>
            <w:tcW w:w="3447" w:type="dxa"/>
            <w:tcBorders>
              <w:top w:val="single" w:sz="4" w:space="0" w:color="auto"/>
              <w:bottom w:val="single" w:sz="4" w:space="0" w:color="auto"/>
            </w:tcBorders>
          </w:tcPr>
          <w:p w14:paraId="3DDD8A5E" w14:textId="77777777" w:rsidR="0002000E" w:rsidRPr="00ED5D95" w:rsidRDefault="0002000E" w:rsidP="00072EF9">
            <w:pPr>
              <w:tabs>
                <w:tab w:val="left" w:pos="709"/>
              </w:tabs>
              <w:spacing w:before="60" w:after="60"/>
              <w:rPr>
                <w:rFonts w:ascii="Arial" w:hAnsi="Arial"/>
                <w:i/>
                <w:color w:val="000000"/>
                <w:sz w:val="16"/>
                <w:szCs w:val="16"/>
              </w:rPr>
            </w:pPr>
            <w:r w:rsidRPr="00ED5D95">
              <w:rPr>
                <w:rFonts w:ascii="Arial" w:hAnsi="Arial"/>
                <w:b/>
                <w:color w:val="000000"/>
                <w:sz w:val="16"/>
                <w:szCs w:val="16"/>
              </w:rPr>
              <w:t>Expected Performance Results</w:t>
            </w:r>
          </w:p>
        </w:tc>
      </w:tr>
      <w:tr w:rsidR="00ED5D95" w:rsidRPr="00ED5D95" w14:paraId="6A3C8C71" w14:textId="77777777" w:rsidTr="002423D5">
        <w:tblPrEx>
          <w:shd w:val="clear" w:color="auto" w:fill="auto"/>
          <w:tblLook w:val="04A0" w:firstRow="1" w:lastRow="0" w:firstColumn="1" w:lastColumn="0" w:noHBand="0" w:noVBand="1"/>
        </w:tblPrEx>
        <w:trPr>
          <w:trHeight w:val="282"/>
        </w:trPr>
        <w:tc>
          <w:tcPr>
            <w:tcW w:w="1800" w:type="dxa"/>
            <w:vMerge w:val="restart"/>
            <w:tcBorders>
              <w:top w:val="single" w:sz="4" w:space="0" w:color="auto"/>
            </w:tcBorders>
          </w:tcPr>
          <w:p w14:paraId="0899E77F" w14:textId="77777777" w:rsidR="00ED5D95" w:rsidRPr="00ED5D95" w:rsidRDefault="00ED5D95" w:rsidP="00ED5D95">
            <w:pPr>
              <w:tabs>
                <w:tab w:val="left" w:pos="709"/>
              </w:tabs>
              <w:spacing w:before="0" w:after="0"/>
              <w:rPr>
                <w:rFonts w:ascii="Arial" w:hAnsi="Arial"/>
                <w:color w:val="000000"/>
                <w:sz w:val="16"/>
                <w:szCs w:val="16"/>
              </w:rPr>
            </w:pPr>
            <w:r w:rsidRPr="00ED5D95">
              <w:rPr>
                <w:rFonts w:ascii="Arial" w:hAnsi="Arial"/>
                <w:color w:val="000000"/>
                <w:sz w:val="16"/>
                <w:szCs w:val="16"/>
              </w:rPr>
              <w:t>Current Year</w:t>
            </w:r>
          </w:p>
          <w:p w14:paraId="135299BA" w14:textId="77777777" w:rsidR="00ED5D95" w:rsidRPr="00ED5D95" w:rsidRDefault="00ED5D95" w:rsidP="00ED5D95">
            <w:pPr>
              <w:tabs>
                <w:tab w:val="left" w:pos="709"/>
              </w:tabs>
              <w:spacing w:before="0" w:after="0"/>
              <w:rPr>
                <w:rFonts w:ascii="Arial" w:hAnsi="Arial"/>
                <w:color w:val="000000"/>
                <w:sz w:val="16"/>
                <w:szCs w:val="16"/>
              </w:rPr>
            </w:pPr>
            <w:r w:rsidRPr="00ED5D95">
              <w:rPr>
                <w:rFonts w:ascii="Arial" w:hAnsi="Arial"/>
                <w:color w:val="000000"/>
                <w:sz w:val="16"/>
                <w:szCs w:val="16"/>
              </w:rPr>
              <w:t>2024-25</w:t>
            </w:r>
            <w:r>
              <w:rPr>
                <w:rFonts w:ascii="Arial" w:hAnsi="Arial"/>
                <w:color w:val="000000"/>
                <w:sz w:val="16"/>
                <w:szCs w:val="16"/>
              </w:rPr>
              <w:t xml:space="preserve"> </w:t>
            </w:r>
            <w:r w:rsidRPr="00ED5D95">
              <w:rPr>
                <w:rFonts w:ascii="Arial" w:hAnsi="Arial"/>
                <w:color w:val="000000"/>
                <w:sz w:val="16"/>
                <w:szCs w:val="16"/>
                <w:vertAlign w:val="superscript"/>
              </w:rPr>
              <w:t>[a]</w:t>
            </w:r>
          </w:p>
        </w:tc>
        <w:tc>
          <w:tcPr>
            <w:tcW w:w="3174" w:type="dxa"/>
            <w:tcBorders>
              <w:top w:val="single" w:sz="4" w:space="0" w:color="auto"/>
              <w:bottom w:val="dotted" w:sz="4" w:space="0" w:color="auto"/>
            </w:tcBorders>
          </w:tcPr>
          <w:p w14:paraId="62E03CF3" w14:textId="510670EF" w:rsidR="00ED5D95" w:rsidRPr="00ED5D95" w:rsidRDefault="000B3F29" w:rsidP="000B3F29">
            <w:pPr>
              <w:tabs>
                <w:tab w:val="left" w:pos="709"/>
              </w:tabs>
              <w:spacing w:before="60" w:after="60"/>
              <w:rPr>
                <w:rFonts w:ascii="Arial" w:hAnsi="Arial"/>
                <w:color w:val="000000"/>
                <w:sz w:val="16"/>
                <w:szCs w:val="16"/>
              </w:rPr>
            </w:pPr>
            <w:r w:rsidRPr="000B3F29">
              <w:rPr>
                <w:rFonts w:ascii="Arial" w:hAnsi="Arial"/>
                <w:sz w:val="16"/>
                <w:szCs w:val="16"/>
                <w:lang w:val="en-AU"/>
              </w:rPr>
              <w:t>1.1: Defence maintains ready forces, plans and conducts operations, activities and investments as directed by Government to achieve Defence’s strategic objectives.</w:t>
            </w:r>
          </w:p>
        </w:tc>
        <w:tc>
          <w:tcPr>
            <w:tcW w:w="3447" w:type="dxa"/>
            <w:tcBorders>
              <w:top w:val="single" w:sz="4" w:space="0" w:color="auto"/>
              <w:bottom w:val="dotted" w:sz="4" w:space="0" w:color="auto"/>
            </w:tcBorders>
          </w:tcPr>
          <w:p w14:paraId="4F8F21F3" w14:textId="77777777" w:rsidR="00ED5D95" w:rsidRPr="000B3F29" w:rsidRDefault="00ED5D95" w:rsidP="00B73CFB">
            <w:pPr>
              <w:spacing w:before="60" w:after="60"/>
              <w:rPr>
                <w:rFonts w:ascii="Arial" w:hAnsi="Arial"/>
                <w:color w:val="000000"/>
                <w:sz w:val="16"/>
                <w:szCs w:val="16"/>
                <w:lang w:val="en-AU"/>
              </w:rPr>
            </w:pPr>
            <w:r w:rsidRPr="000B3F29">
              <w:rPr>
                <w:rFonts w:ascii="Arial" w:hAnsi="Arial"/>
                <w:color w:val="000000"/>
                <w:sz w:val="16"/>
                <w:szCs w:val="16"/>
                <w:lang w:val="en-AU"/>
              </w:rPr>
              <w:t>Defence responds to Australian Government requirements and conducts operations as directed. This will change year on year.</w:t>
            </w:r>
          </w:p>
          <w:p w14:paraId="0DE6CC69" w14:textId="743C6198" w:rsidR="00ED5D95" w:rsidRPr="000B3F29" w:rsidRDefault="000B3F29" w:rsidP="00ED5D95">
            <w:pPr>
              <w:tabs>
                <w:tab w:val="left" w:pos="709"/>
              </w:tabs>
              <w:spacing w:before="0" w:after="0"/>
              <w:jc w:val="right"/>
              <w:rPr>
                <w:rFonts w:ascii="Arial" w:hAnsi="Arial"/>
                <w:i/>
                <w:color w:val="000000"/>
                <w:sz w:val="16"/>
                <w:szCs w:val="16"/>
              </w:rPr>
            </w:pPr>
            <w:r w:rsidRPr="000B3F29">
              <w:rPr>
                <w:rFonts w:ascii="Arial" w:hAnsi="Arial"/>
                <w:i/>
                <w:sz w:val="16"/>
                <w:szCs w:val="16"/>
                <w:lang w:val="en-AU"/>
              </w:rPr>
              <w:t>Expected to be achieved</w:t>
            </w:r>
            <w:r w:rsidR="00ED5D95" w:rsidRPr="000B3F29">
              <w:rPr>
                <w:rFonts w:ascii="Arial" w:hAnsi="Arial"/>
                <w:i/>
                <w:sz w:val="16"/>
                <w:szCs w:val="16"/>
                <w:lang w:val="en-AU"/>
              </w:rPr>
              <w:t>.</w:t>
            </w:r>
          </w:p>
        </w:tc>
      </w:tr>
      <w:tr w:rsidR="00ED5D95" w:rsidRPr="00ED5D95" w14:paraId="0F6BBB0C" w14:textId="77777777" w:rsidTr="002423D5">
        <w:tblPrEx>
          <w:shd w:val="clear" w:color="auto" w:fill="auto"/>
          <w:tblLook w:val="04A0" w:firstRow="1" w:lastRow="0" w:firstColumn="1" w:lastColumn="0" w:noHBand="0" w:noVBand="1"/>
        </w:tblPrEx>
        <w:trPr>
          <w:trHeight w:val="282"/>
        </w:trPr>
        <w:tc>
          <w:tcPr>
            <w:tcW w:w="1800" w:type="dxa"/>
            <w:vMerge/>
            <w:tcBorders>
              <w:top w:val="double" w:sz="4" w:space="0" w:color="auto"/>
            </w:tcBorders>
          </w:tcPr>
          <w:p w14:paraId="2FE4C303" w14:textId="77777777" w:rsidR="00ED5D95" w:rsidRPr="00ED5D95" w:rsidRDefault="00ED5D95" w:rsidP="00ED5D95">
            <w:pPr>
              <w:tabs>
                <w:tab w:val="left" w:pos="709"/>
              </w:tabs>
              <w:spacing w:before="60" w:after="60"/>
              <w:rPr>
                <w:rFonts w:ascii="Arial" w:hAnsi="Arial"/>
                <w:color w:val="000000"/>
                <w:sz w:val="16"/>
                <w:szCs w:val="16"/>
              </w:rPr>
            </w:pPr>
          </w:p>
        </w:tc>
        <w:tc>
          <w:tcPr>
            <w:tcW w:w="3174" w:type="dxa"/>
            <w:tcBorders>
              <w:top w:val="dotted" w:sz="4" w:space="0" w:color="auto"/>
              <w:bottom w:val="dotted" w:sz="4" w:space="0" w:color="auto"/>
            </w:tcBorders>
          </w:tcPr>
          <w:p w14:paraId="761A1C82" w14:textId="77777777" w:rsidR="00ED5D95" w:rsidRPr="00ED5D95" w:rsidRDefault="00ED5D95" w:rsidP="00ED5D95">
            <w:pPr>
              <w:tabs>
                <w:tab w:val="left" w:pos="709"/>
              </w:tabs>
              <w:spacing w:before="60" w:after="60"/>
              <w:rPr>
                <w:rFonts w:ascii="Arial" w:hAnsi="Arial"/>
                <w:color w:val="000000"/>
                <w:sz w:val="16"/>
                <w:szCs w:val="16"/>
              </w:rPr>
            </w:pPr>
            <w:r w:rsidRPr="00ED5D95">
              <w:rPr>
                <w:rFonts w:ascii="Arial" w:hAnsi="Arial"/>
                <w:sz w:val="16"/>
                <w:szCs w:val="16"/>
                <w:lang w:val="en-AU"/>
              </w:rPr>
              <w:t>1.2: Defence commits ADF and/or APS assistance to domestic crisis and emergency response, as directed by Government.</w:t>
            </w:r>
          </w:p>
        </w:tc>
        <w:tc>
          <w:tcPr>
            <w:tcW w:w="3447" w:type="dxa"/>
            <w:tcBorders>
              <w:top w:val="dotted" w:sz="4" w:space="0" w:color="auto"/>
              <w:bottom w:val="dotted" w:sz="4" w:space="0" w:color="auto"/>
            </w:tcBorders>
          </w:tcPr>
          <w:p w14:paraId="62C49FEF" w14:textId="77777777" w:rsidR="00ED5D95" w:rsidRPr="000B3F29" w:rsidRDefault="00ED5D95" w:rsidP="00ED5D95">
            <w:pPr>
              <w:spacing w:before="60" w:after="60"/>
              <w:rPr>
                <w:rFonts w:ascii="Arial" w:hAnsi="Arial"/>
                <w:color w:val="000000"/>
                <w:sz w:val="16"/>
                <w:szCs w:val="16"/>
                <w:lang w:val="en-AU"/>
              </w:rPr>
            </w:pPr>
            <w:r w:rsidRPr="000B3F29">
              <w:rPr>
                <w:rFonts w:ascii="Arial" w:hAnsi="Arial"/>
                <w:color w:val="000000"/>
                <w:sz w:val="16"/>
                <w:szCs w:val="16"/>
                <w:lang w:val="en-AU"/>
              </w:rPr>
              <w:t>Defence responds to Australian Government direction as required. This will change year on year.</w:t>
            </w:r>
          </w:p>
          <w:p w14:paraId="2C3885A4" w14:textId="0CF2CF05" w:rsidR="00ED5D95" w:rsidRPr="000B3F29" w:rsidRDefault="000B3F29" w:rsidP="00ED5D95">
            <w:pPr>
              <w:spacing w:before="60" w:after="60"/>
              <w:jc w:val="right"/>
              <w:rPr>
                <w:rFonts w:ascii="Arial" w:hAnsi="Arial"/>
                <w:i/>
                <w:color w:val="000000"/>
                <w:sz w:val="16"/>
                <w:szCs w:val="16"/>
              </w:rPr>
            </w:pPr>
            <w:r w:rsidRPr="000B3F29">
              <w:rPr>
                <w:rFonts w:ascii="Arial" w:hAnsi="Arial"/>
                <w:i/>
                <w:sz w:val="16"/>
                <w:szCs w:val="16"/>
                <w:lang w:val="en-AU"/>
              </w:rPr>
              <w:t>Expected to be achieved</w:t>
            </w:r>
            <w:r w:rsidR="00ED5D95" w:rsidRPr="000B3F29">
              <w:rPr>
                <w:rFonts w:ascii="Arial" w:hAnsi="Arial"/>
                <w:i/>
                <w:sz w:val="16"/>
                <w:szCs w:val="16"/>
                <w:lang w:val="en-AU"/>
              </w:rPr>
              <w:t>.</w:t>
            </w:r>
          </w:p>
        </w:tc>
      </w:tr>
      <w:tr w:rsidR="00ED5D95" w:rsidRPr="00CD66E1" w14:paraId="21B20F47" w14:textId="77777777" w:rsidTr="003C0162">
        <w:tblPrEx>
          <w:shd w:val="clear" w:color="auto" w:fill="auto"/>
          <w:tblLook w:val="04A0" w:firstRow="1" w:lastRow="0" w:firstColumn="1" w:lastColumn="0" w:noHBand="0" w:noVBand="1"/>
        </w:tblPrEx>
        <w:trPr>
          <w:trHeight w:val="282"/>
        </w:trPr>
        <w:tc>
          <w:tcPr>
            <w:tcW w:w="1800" w:type="dxa"/>
            <w:vMerge/>
            <w:tcBorders>
              <w:top w:val="double" w:sz="4" w:space="0" w:color="auto"/>
              <w:bottom w:val="single" w:sz="4" w:space="0" w:color="auto"/>
            </w:tcBorders>
          </w:tcPr>
          <w:p w14:paraId="32F3865D" w14:textId="77777777" w:rsidR="00ED5D95" w:rsidRPr="00ED5D95" w:rsidRDefault="00ED5D95" w:rsidP="00ED5D95">
            <w:pPr>
              <w:tabs>
                <w:tab w:val="left" w:pos="709"/>
              </w:tabs>
              <w:spacing w:before="60" w:after="60"/>
              <w:rPr>
                <w:rFonts w:ascii="Arial" w:hAnsi="Arial"/>
                <w:color w:val="000000"/>
                <w:sz w:val="16"/>
                <w:szCs w:val="16"/>
              </w:rPr>
            </w:pPr>
          </w:p>
        </w:tc>
        <w:tc>
          <w:tcPr>
            <w:tcW w:w="3174" w:type="dxa"/>
            <w:tcBorders>
              <w:top w:val="dotted" w:sz="4" w:space="0" w:color="auto"/>
              <w:bottom w:val="single" w:sz="4" w:space="0" w:color="auto"/>
            </w:tcBorders>
          </w:tcPr>
          <w:p w14:paraId="437670CE" w14:textId="77777777" w:rsidR="00ED5D95" w:rsidRPr="00ED5D95" w:rsidRDefault="00ED5D95" w:rsidP="00002F5C">
            <w:pPr>
              <w:tabs>
                <w:tab w:val="left" w:pos="709"/>
              </w:tabs>
              <w:spacing w:before="60" w:after="60"/>
              <w:rPr>
                <w:rFonts w:ascii="Arial" w:hAnsi="Arial"/>
                <w:color w:val="000000"/>
                <w:sz w:val="16"/>
                <w:szCs w:val="16"/>
              </w:rPr>
            </w:pPr>
            <w:r w:rsidRPr="00ED5D95">
              <w:rPr>
                <w:rFonts w:ascii="Arial" w:hAnsi="Arial"/>
                <w:sz w:val="16"/>
                <w:szCs w:val="16"/>
                <w:lang w:val="en-AU"/>
              </w:rPr>
              <w:t xml:space="preserve">6.1: Defence is delivering the right future capability at the right time within the Integrated Investment Program to ensure it is equipped to respond to future security challenges as directed by the </w:t>
            </w:r>
            <w:r w:rsidRPr="00002F5C">
              <w:rPr>
                <w:rFonts w:ascii="Arial" w:hAnsi="Arial"/>
                <w:i/>
                <w:sz w:val="16"/>
                <w:szCs w:val="16"/>
                <w:lang w:val="en-AU"/>
              </w:rPr>
              <w:t>2024 National Defence Strategy.</w:t>
            </w:r>
          </w:p>
        </w:tc>
        <w:tc>
          <w:tcPr>
            <w:tcW w:w="3447" w:type="dxa"/>
            <w:tcBorders>
              <w:top w:val="dotted" w:sz="4" w:space="0" w:color="auto"/>
              <w:bottom w:val="single" w:sz="4" w:space="0" w:color="auto"/>
            </w:tcBorders>
          </w:tcPr>
          <w:p w14:paraId="31D27291" w14:textId="77777777" w:rsidR="00ED5D95" w:rsidRPr="00ED5D95" w:rsidRDefault="00ED5D95" w:rsidP="00ED5D95">
            <w:pPr>
              <w:spacing w:before="60" w:after="60"/>
              <w:rPr>
                <w:rFonts w:ascii="Arial" w:hAnsi="Arial"/>
                <w:sz w:val="16"/>
                <w:szCs w:val="16"/>
                <w:lang w:val="en-AU"/>
              </w:rPr>
            </w:pPr>
            <w:r w:rsidRPr="00ED5D95">
              <w:rPr>
                <w:rFonts w:ascii="Arial" w:hAnsi="Arial"/>
                <w:sz w:val="16"/>
                <w:szCs w:val="16"/>
                <w:lang w:val="en-AU"/>
              </w:rPr>
              <w:t>80 per cent or more of approved Integrated Investment Program projects across all domains are on track to deliver the scope approved by Government within Government approved cost and schedule.</w:t>
            </w:r>
          </w:p>
          <w:p w14:paraId="7181F572" w14:textId="1E695945" w:rsidR="00ED5D95" w:rsidRPr="00ED5D95" w:rsidRDefault="000B3F29" w:rsidP="00ED5D95">
            <w:pPr>
              <w:spacing w:before="60" w:after="60"/>
              <w:jc w:val="right"/>
              <w:rPr>
                <w:rFonts w:ascii="Arial" w:hAnsi="Arial"/>
                <w:i/>
                <w:color w:val="000000"/>
                <w:sz w:val="16"/>
                <w:szCs w:val="16"/>
              </w:rPr>
            </w:pPr>
            <w:r w:rsidRPr="000B3F29">
              <w:rPr>
                <w:rFonts w:ascii="Arial" w:hAnsi="Arial"/>
                <w:i/>
                <w:sz w:val="16"/>
                <w:szCs w:val="16"/>
                <w:lang w:val="en-AU"/>
              </w:rPr>
              <w:t>Expected to be substantially achieved</w:t>
            </w:r>
            <w:r w:rsidR="00ED5D95" w:rsidRPr="000B3F29">
              <w:rPr>
                <w:rFonts w:ascii="Arial" w:hAnsi="Arial"/>
                <w:i/>
                <w:sz w:val="16"/>
                <w:szCs w:val="16"/>
                <w:lang w:val="en-AU"/>
              </w:rPr>
              <w:t>.</w:t>
            </w:r>
          </w:p>
        </w:tc>
      </w:tr>
      <w:tr w:rsidR="0002000E" w:rsidRPr="009A2554" w14:paraId="364C35BB" w14:textId="77777777" w:rsidTr="003C0162">
        <w:tblPrEx>
          <w:shd w:val="clear" w:color="auto" w:fill="auto"/>
          <w:tblLook w:val="04A0" w:firstRow="1" w:lastRow="0" w:firstColumn="1" w:lastColumn="0" w:noHBand="0" w:noVBand="1"/>
        </w:tblPrEx>
        <w:trPr>
          <w:trHeight w:val="258"/>
        </w:trPr>
        <w:tc>
          <w:tcPr>
            <w:tcW w:w="1800" w:type="dxa"/>
            <w:tcBorders>
              <w:top w:val="single" w:sz="4" w:space="0" w:color="auto"/>
              <w:bottom w:val="single" w:sz="4" w:space="0" w:color="auto"/>
            </w:tcBorders>
          </w:tcPr>
          <w:p w14:paraId="4700C9D2" w14:textId="77777777" w:rsidR="0002000E" w:rsidRPr="009A2554" w:rsidRDefault="0002000E" w:rsidP="00072EF9">
            <w:pPr>
              <w:tabs>
                <w:tab w:val="left" w:pos="709"/>
              </w:tabs>
              <w:spacing w:before="60" w:after="60"/>
              <w:rPr>
                <w:rFonts w:ascii="Arial" w:hAnsi="Arial"/>
                <w:b/>
                <w:color w:val="000000"/>
                <w:sz w:val="16"/>
                <w:szCs w:val="16"/>
              </w:rPr>
            </w:pPr>
            <w:r w:rsidRPr="009A2554">
              <w:rPr>
                <w:rFonts w:ascii="Arial" w:hAnsi="Arial"/>
                <w:b/>
                <w:color w:val="000000"/>
                <w:sz w:val="16"/>
                <w:szCs w:val="16"/>
              </w:rPr>
              <w:t>Year</w:t>
            </w:r>
          </w:p>
        </w:tc>
        <w:tc>
          <w:tcPr>
            <w:tcW w:w="3174" w:type="dxa"/>
            <w:tcBorders>
              <w:top w:val="single" w:sz="4" w:space="0" w:color="auto"/>
              <w:bottom w:val="single" w:sz="4" w:space="0" w:color="auto"/>
            </w:tcBorders>
          </w:tcPr>
          <w:p w14:paraId="044B4B85" w14:textId="77777777" w:rsidR="0002000E" w:rsidRPr="009A2554" w:rsidRDefault="0002000E" w:rsidP="00072EF9">
            <w:pPr>
              <w:tabs>
                <w:tab w:val="left" w:pos="709"/>
                <w:tab w:val="center" w:pos="1818"/>
              </w:tabs>
              <w:spacing w:before="60" w:after="60"/>
              <w:rPr>
                <w:rFonts w:ascii="Arial" w:hAnsi="Arial"/>
                <w:b/>
                <w:color w:val="000000"/>
                <w:sz w:val="16"/>
                <w:szCs w:val="16"/>
              </w:rPr>
            </w:pPr>
            <w:r w:rsidRPr="009A2554">
              <w:rPr>
                <w:rFonts w:ascii="Arial" w:hAnsi="Arial"/>
                <w:b/>
                <w:color w:val="000000"/>
                <w:sz w:val="16"/>
                <w:szCs w:val="16"/>
              </w:rPr>
              <w:t>Performance measures</w:t>
            </w:r>
          </w:p>
        </w:tc>
        <w:tc>
          <w:tcPr>
            <w:tcW w:w="3447" w:type="dxa"/>
            <w:tcBorders>
              <w:top w:val="single" w:sz="4" w:space="0" w:color="auto"/>
              <w:bottom w:val="single" w:sz="4" w:space="0" w:color="auto"/>
            </w:tcBorders>
          </w:tcPr>
          <w:p w14:paraId="579CD2B4" w14:textId="77777777" w:rsidR="0002000E" w:rsidRPr="009A2554" w:rsidRDefault="0002000E" w:rsidP="00072EF9">
            <w:pPr>
              <w:tabs>
                <w:tab w:val="left" w:pos="709"/>
              </w:tabs>
              <w:spacing w:before="60" w:after="60"/>
              <w:rPr>
                <w:rFonts w:ascii="Arial" w:hAnsi="Arial"/>
                <w:b/>
                <w:color w:val="000000"/>
                <w:sz w:val="16"/>
                <w:szCs w:val="16"/>
              </w:rPr>
            </w:pPr>
            <w:r w:rsidRPr="009A2554">
              <w:rPr>
                <w:rFonts w:ascii="Arial" w:hAnsi="Arial"/>
                <w:b/>
                <w:color w:val="000000"/>
                <w:sz w:val="16"/>
                <w:szCs w:val="16"/>
              </w:rPr>
              <w:t>Planned Performance Results</w:t>
            </w:r>
          </w:p>
        </w:tc>
      </w:tr>
      <w:tr w:rsidR="009A2554" w:rsidRPr="009A2554" w14:paraId="5B06AEFA" w14:textId="77777777" w:rsidTr="003C0162">
        <w:tblPrEx>
          <w:shd w:val="clear" w:color="auto" w:fill="auto"/>
          <w:tblLook w:val="04A0" w:firstRow="1" w:lastRow="0" w:firstColumn="1" w:lastColumn="0" w:noHBand="0" w:noVBand="1"/>
        </w:tblPrEx>
        <w:trPr>
          <w:trHeight w:val="204"/>
        </w:trPr>
        <w:tc>
          <w:tcPr>
            <w:tcW w:w="1800" w:type="dxa"/>
            <w:vMerge w:val="restart"/>
            <w:tcBorders>
              <w:top w:val="single" w:sz="4" w:space="0" w:color="auto"/>
              <w:bottom w:val="single" w:sz="4" w:space="0" w:color="auto"/>
            </w:tcBorders>
            <w:shd w:val="clear" w:color="auto" w:fill="auto"/>
          </w:tcPr>
          <w:p w14:paraId="24B627D1" w14:textId="77777777" w:rsidR="009A2554" w:rsidRPr="009A2554" w:rsidRDefault="009A2554" w:rsidP="009A2554">
            <w:pPr>
              <w:tabs>
                <w:tab w:val="left" w:pos="709"/>
              </w:tabs>
              <w:spacing w:before="0" w:after="0"/>
              <w:rPr>
                <w:rFonts w:ascii="Arial" w:hAnsi="Arial"/>
                <w:color w:val="000000"/>
                <w:sz w:val="16"/>
                <w:szCs w:val="16"/>
              </w:rPr>
            </w:pPr>
            <w:r w:rsidRPr="009A2554">
              <w:rPr>
                <w:rFonts w:ascii="Arial" w:hAnsi="Arial"/>
                <w:color w:val="000000"/>
                <w:sz w:val="16"/>
                <w:szCs w:val="16"/>
              </w:rPr>
              <w:t xml:space="preserve">Budget Year </w:t>
            </w:r>
            <w:r w:rsidRPr="009A2554">
              <w:rPr>
                <w:rFonts w:ascii="Arial" w:hAnsi="Arial"/>
                <w:color w:val="000000"/>
                <w:sz w:val="16"/>
                <w:szCs w:val="16"/>
                <w:vertAlign w:val="superscript"/>
              </w:rPr>
              <w:t>[</w:t>
            </w:r>
            <w:r>
              <w:rPr>
                <w:rFonts w:ascii="Arial" w:hAnsi="Arial"/>
                <w:color w:val="000000"/>
                <w:sz w:val="16"/>
                <w:szCs w:val="16"/>
                <w:vertAlign w:val="superscript"/>
              </w:rPr>
              <w:t>b</w:t>
            </w:r>
            <w:r w:rsidRPr="009A2554">
              <w:rPr>
                <w:rFonts w:ascii="Arial" w:hAnsi="Arial"/>
                <w:color w:val="000000"/>
                <w:sz w:val="16"/>
                <w:szCs w:val="16"/>
                <w:vertAlign w:val="superscript"/>
              </w:rPr>
              <w:t>]</w:t>
            </w:r>
          </w:p>
          <w:p w14:paraId="7B225171" w14:textId="77777777" w:rsidR="009A2554" w:rsidRPr="009A2554" w:rsidRDefault="009A2554" w:rsidP="009A2554">
            <w:pPr>
              <w:tabs>
                <w:tab w:val="left" w:pos="709"/>
              </w:tabs>
              <w:spacing w:before="0" w:after="0"/>
              <w:rPr>
                <w:rFonts w:ascii="Arial" w:hAnsi="Arial"/>
                <w:color w:val="000000"/>
                <w:sz w:val="16"/>
                <w:szCs w:val="16"/>
              </w:rPr>
            </w:pPr>
            <w:r w:rsidRPr="009A2554">
              <w:rPr>
                <w:rFonts w:ascii="Arial" w:hAnsi="Arial"/>
                <w:color w:val="000000"/>
                <w:sz w:val="16"/>
                <w:szCs w:val="16"/>
              </w:rPr>
              <w:t>2025-26</w:t>
            </w:r>
          </w:p>
        </w:tc>
        <w:tc>
          <w:tcPr>
            <w:tcW w:w="3174" w:type="dxa"/>
            <w:tcBorders>
              <w:top w:val="single" w:sz="4" w:space="0" w:color="auto"/>
              <w:bottom w:val="dotted" w:sz="4" w:space="0" w:color="auto"/>
            </w:tcBorders>
          </w:tcPr>
          <w:p w14:paraId="6E9B580E" w14:textId="6FF1F8A0" w:rsidR="009A2554" w:rsidRPr="00470FF0" w:rsidRDefault="000B3F29" w:rsidP="009A2554">
            <w:pPr>
              <w:tabs>
                <w:tab w:val="left" w:pos="709"/>
              </w:tabs>
              <w:spacing w:before="60" w:after="60"/>
              <w:rPr>
                <w:rFonts w:ascii="Arial" w:hAnsi="Arial"/>
                <w:color w:val="000000"/>
                <w:sz w:val="16"/>
                <w:szCs w:val="16"/>
              </w:rPr>
            </w:pPr>
            <w:r w:rsidRPr="000B3F29">
              <w:rPr>
                <w:rFonts w:ascii="Arial" w:hAnsi="Arial"/>
                <w:sz w:val="16"/>
                <w:szCs w:val="16"/>
                <w:lang w:val="en-AU"/>
              </w:rPr>
              <w:t>1.1: Defence maintains ready forces, plans and conducts operations, activities and investments as directed by Government to achieve Defence’s strategic objectives.</w:t>
            </w:r>
          </w:p>
        </w:tc>
        <w:tc>
          <w:tcPr>
            <w:tcW w:w="3447" w:type="dxa"/>
            <w:tcBorders>
              <w:top w:val="single" w:sz="4" w:space="0" w:color="auto"/>
              <w:bottom w:val="dotted" w:sz="4" w:space="0" w:color="auto"/>
            </w:tcBorders>
          </w:tcPr>
          <w:p w14:paraId="588E029A" w14:textId="77777777" w:rsidR="009A2554" w:rsidRPr="0036429E" w:rsidRDefault="009A2554" w:rsidP="00002F5C">
            <w:pPr>
              <w:tabs>
                <w:tab w:val="left" w:pos="709"/>
              </w:tabs>
              <w:spacing w:before="60" w:after="60"/>
              <w:rPr>
                <w:rFonts w:ascii="Arial" w:hAnsi="Arial"/>
                <w:i/>
                <w:color w:val="000000"/>
                <w:sz w:val="16"/>
                <w:szCs w:val="16"/>
              </w:rPr>
            </w:pPr>
            <w:r w:rsidRPr="00002F5C">
              <w:rPr>
                <w:rFonts w:ascii="Arial" w:hAnsi="Arial"/>
                <w:sz w:val="16"/>
                <w:szCs w:val="16"/>
                <w:lang w:val="en-AU"/>
              </w:rPr>
              <w:t>Defence responds to Australian Government requirements and conducts operations as directed. This will change year on year.</w:t>
            </w:r>
          </w:p>
        </w:tc>
      </w:tr>
      <w:tr w:rsidR="009A2554" w:rsidRPr="009A2554" w14:paraId="5035EC38" w14:textId="77777777" w:rsidTr="003C0162">
        <w:tblPrEx>
          <w:shd w:val="clear" w:color="auto" w:fill="auto"/>
          <w:tblLook w:val="04A0" w:firstRow="1" w:lastRow="0" w:firstColumn="1" w:lastColumn="0" w:noHBand="0" w:noVBand="1"/>
        </w:tblPrEx>
        <w:trPr>
          <w:trHeight w:val="204"/>
        </w:trPr>
        <w:tc>
          <w:tcPr>
            <w:tcW w:w="1800" w:type="dxa"/>
            <w:vMerge/>
            <w:tcBorders>
              <w:top w:val="double" w:sz="4" w:space="0" w:color="auto"/>
              <w:bottom w:val="single" w:sz="4" w:space="0" w:color="auto"/>
            </w:tcBorders>
            <w:shd w:val="clear" w:color="auto" w:fill="auto"/>
          </w:tcPr>
          <w:p w14:paraId="2A738F47" w14:textId="77777777" w:rsidR="009A2554" w:rsidRPr="009A2554" w:rsidRDefault="009A2554" w:rsidP="009A2554">
            <w:pPr>
              <w:tabs>
                <w:tab w:val="left" w:pos="709"/>
              </w:tabs>
              <w:spacing w:before="60" w:after="60"/>
              <w:rPr>
                <w:rFonts w:ascii="Arial" w:hAnsi="Arial"/>
                <w:color w:val="000000"/>
                <w:sz w:val="16"/>
                <w:szCs w:val="16"/>
              </w:rPr>
            </w:pPr>
          </w:p>
        </w:tc>
        <w:tc>
          <w:tcPr>
            <w:tcW w:w="3174" w:type="dxa"/>
            <w:tcBorders>
              <w:top w:val="dotted" w:sz="4" w:space="0" w:color="auto"/>
              <w:bottom w:val="dotted" w:sz="4" w:space="0" w:color="auto"/>
            </w:tcBorders>
          </w:tcPr>
          <w:p w14:paraId="2E4C6432" w14:textId="77777777" w:rsidR="009A2554" w:rsidRPr="001A4F1C" w:rsidRDefault="009A2554" w:rsidP="009A2554">
            <w:pPr>
              <w:tabs>
                <w:tab w:val="left" w:pos="709"/>
              </w:tabs>
              <w:spacing w:before="60" w:after="60"/>
              <w:rPr>
                <w:rFonts w:ascii="Arial" w:hAnsi="Arial"/>
                <w:color w:val="000000"/>
                <w:sz w:val="16"/>
                <w:szCs w:val="16"/>
                <w:highlight w:val="yellow"/>
              </w:rPr>
            </w:pPr>
            <w:r>
              <w:rPr>
                <w:rFonts w:ascii="Arial" w:hAnsi="Arial"/>
                <w:sz w:val="16"/>
                <w:szCs w:val="16"/>
                <w:lang w:val="en-AU"/>
              </w:rPr>
              <w:t xml:space="preserve">1.2: </w:t>
            </w:r>
            <w:r w:rsidRPr="00470FF0">
              <w:rPr>
                <w:rFonts w:ascii="Arial" w:hAnsi="Arial"/>
                <w:sz w:val="16"/>
                <w:szCs w:val="16"/>
                <w:lang w:val="en-AU"/>
              </w:rPr>
              <w:t>Defence commits ADF and/or APS assistance to domestic crisis and emergency response, as directed by Government.</w:t>
            </w:r>
          </w:p>
        </w:tc>
        <w:tc>
          <w:tcPr>
            <w:tcW w:w="3447" w:type="dxa"/>
            <w:tcBorders>
              <w:top w:val="dotted" w:sz="4" w:space="0" w:color="auto"/>
              <w:bottom w:val="dotted" w:sz="4" w:space="0" w:color="auto"/>
            </w:tcBorders>
          </w:tcPr>
          <w:p w14:paraId="43AC9DFE" w14:textId="77777777" w:rsidR="009A2554" w:rsidRPr="0036429E" w:rsidRDefault="009A2554" w:rsidP="009A2554">
            <w:pPr>
              <w:spacing w:before="60" w:after="60"/>
              <w:rPr>
                <w:rFonts w:ascii="Arial" w:hAnsi="Arial"/>
                <w:i/>
                <w:color w:val="000000"/>
                <w:sz w:val="16"/>
                <w:szCs w:val="16"/>
              </w:rPr>
            </w:pPr>
            <w:r w:rsidRPr="0036429E">
              <w:rPr>
                <w:rFonts w:ascii="Arial" w:hAnsi="Arial"/>
                <w:color w:val="000000"/>
                <w:sz w:val="16"/>
                <w:szCs w:val="16"/>
                <w:lang w:val="en-AU"/>
              </w:rPr>
              <w:t>Defence responds to Australian Government direction as required. This will change year</w:t>
            </w:r>
            <w:r>
              <w:rPr>
                <w:rFonts w:ascii="Arial" w:hAnsi="Arial"/>
                <w:color w:val="000000"/>
                <w:sz w:val="16"/>
                <w:szCs w:val="16"/>
                <w:lang w:val="en-AU"/>
              </w:rPr>
              <w:t xml:space="preserve"> </w:t>
            </w:r>
            <w:r w:rsidRPr="0036429E">
              <w:rPr>
                <w:rFonts w:ascii="Arial" w:hAnsi="Arial"/>
                <w:color w:val="000000"/>
                <w:sz w:val="16"/>
                <w:szCs w:val="16"/>
                <w:lang w:val="en-AU"/>
              </w:rPr>
              <w:t>on</w:t>
            </w:r>
            <w:r>
              <w:rPr>
                <w:rFonts w:ascii="Arial" w:hAnsi="Arial"/>
                <w:color w:val="000000"/>
                <w:sz w:val="16"/>
                <w:szCs w:val="16"/>
                <w:lang w:val="en-AU"/>
              </w:rPr>
              <w:t xml:space="preserve"> </w:t>
            </w:r>
            <w:r w:rsidRPr="0036429E">
              <w:rPr>
                <w:rFonts w:ascii="Arial" w:hAnsi="Arial"/>
                <w:color w:val="000000"/>
                <w:sz w:val="16"/>
                <w:szCs w:val="16"/>
                <w:lang w:val="en-AU"/>
              </w:rPr>
              <w:t>year.</w:t>
            </w:r>
          </w:p>
        </w:tc>
      </w:tr>
      <w:tr w:rsidR="009A2554" w:rsidRPr="009A2554" w14:paraId="19830E6E" w14:textId="77777777" w:rsidTr="003C0162">
        <w:tblPrEx>
          <w:shd w:val="clear" w:color="auto" w:fill="auto"/>
          <w:tblLook w:val="04A0" w:firstRow="1" w:lastRow="0" w:firstColumn="1" w:lastColumn="0" w:noHBand="0" w:noVBand="1"/>
        </w:tblPrEx>
        <w:trPr>
          <w:trHeight w:val="204"/>
        </w:trPr>
        <w:tc>
          <w:tcPr>
            <w:tcW w:w="1800" w:type="dxa"/>
            <w:vMerge/>
            <w:tcBorders>
              <w:top w:val="double" w:sz="4" w:space="0" w:color="auto"/>
              <w:bottom w:val="single" w:sz="4" w:space="0" w:color="auto"/>
            </w:tcBorders>
            <w:shd w:val="clear" w:color="auto" w:fill="auto"/>
          </w:tcPr>
          <w:p w14:paraId="3FB3FD1B" w14:textId="77777777" w:rsidR="009A2554" w:rsidRPr="009A2554" w:rsidRDefault="009A2554" w:rsidP="009A2554">
            <w:pPr>
              <w:tabs>
                <w:tab w:val="left" w:pos="709"/>
              </w:tabs>
              <w:spacing w:before="60" w:after="60"/>
              <w:rPr>
                <w:rFonts w:ascii="Arial" w:hAnsi="Arial"/>
                <w:color w:val="000000"/>
                <w:sz w:val="16"/>
                <w:szCs w:val="16"/>
              </w:rPr>
            </w:pPr>
          </w:p>
        </w:tc>
        <w:tc>
          <w:tcPr>
            <w:tcW w:w="3174" w:type="dxa"/>
            <w:tcBorders>
              <w:top w:val="dotted" w:sz="4" w:space="0" w:color="auto"/>
              <w:bottom w:val="single" w:sz="4" w:space="0" w:color="auto"/>
            </w:tcBorders>
          </w:tcPr>
          <w:p w14:paraId="7701C9B3" w14:textId="77777777" w:rsidR="009A2554" w:rsidRPr="001A4F1C" w:rsidRDefault="009A2554" w:rsidP="00002F5C">
            <w:pPr>
              <w:tabs>
                <w:tab w:val="left" w:pos="709"/>
              </w:tabs>
              <w:spacing w:before="60" w:after="60"/>
              <w:rPr>
                <w:rFonts w:ascii="Arial" w:hAnsi="Arial"/>
                <w:color w:val="000000"/>
                <w:sz w:val="16"/>
                <w:szCs w:val="16"/>
                <w:highlight w:val="yellow"/>
              </w:rPr>
            </w:pPr>
            <w:r w:rsidRPr="00880166">
              <w:rPr>
                <w:rFonts w:ascii="Arial" w:hAnsi="Arial"/>
                <w:sz w:val="16"/>
                <w:szCs w:val="16"/>
                <w:lang w:val="en-AU"/>
              </w:rPr>
              <w:t xml:space="preserve">6.1: Defence is delivering the right future capability at the right time within the Integrated Investment Program to ensure it is equipped to respond to future security challenges as directed by the </w:t>
            </w:r>
            <w:r w:rsidRPr="00002F5C">
              <w:rPr>
                <w:rFonts w:ascii="Arial" w:hAnsi="Arial"/>
                <w:i/>
                <w:sz w:val="16"/>
                <w:szCs w:val="16"/>
                <w:lang w:val="en-AU"/>
              </w:rPr>
              <w:t>2024 National Defence Strategy</w:t>
            </w:r>
            <w:r w:rsidRPr="00880166">
              <w:rPr>
                <w:rFonts w:ascii="Arial" w:hAnsi="Arial"/>
                <w:sz w:val="16"/>
                <w:szCs w:val="16"/>
                <w:lang w:val="en-AU"/>
              </w:rPr>
              <w:t>.</w:t>
            </w:r>
          </w:p>
        </w:tc>
        <w:tc>
          <w:tcPr>
            <w:tcW w:w="3447" w:type="dxa"/>
            <w:tcBorders>
              <w:top w:val="dotted" w:sz="4" w:space="0" w:color="auto"/>
              <w:bottom w:val="single" w:sz="4" w:space="0" w:color="auto"/>
            </w:tcBorders>
          </w:tcPr>
          <w:p w14:paraId="1AA3D084" w14:textId="77777777" w:rsidR="009A2554" w:rsidRPr="0036429E" w:rsidRDefault="009A2554" w:rsidP="009A2554">
            <w:pPr>
              <w:spacing w:before="60" w:after="60"/>
              <w:rPr>
                <w:rFonts w:ascii="Arial" w:hAnsi="Arial"/>
                <w:i/>
                <w:color w:val="000000"/>
                <w:sz w:val="16"/>
                <w:szCs w:val="16"/>
              </w:rPr>
            </w:pPr>
            <w:r w:rsidRPr="0036429E">
              <w:rPr>
                <w:rFonts w:ascii="Arial" w:hAnsi="Arial"/>
                <w:sz w:val="16"/>
                <w:szCs w:val="16"/>
                <w:lang w:val="en-AU"/>
              </w:rPr>
              <w:t>80 per cent or more of approved Integrated Investment Program projects across all domains are on track to deliver the scope approved by Government within Government approved cost and schedule.</w:t>
            </w:r>
          </w:p>
        </w:tc>
      </w:tr>
      <w:tr w:rsidR="00B66E97" w:rsidRPr="009A2554" w14:paraId="178C56F5" w14:textId="77777777" w:rsidTr="003C0162">
        <w:tblPrEx>
          <w:shd w:val="clear" w:color="auto" w:fill="auto"/>
          <w:tblLook w:val="04A0" w:firstRow="1" w:lastRow="0" w:firstColumn="1" w:lastColumn="0" w:noHBand="0" w:noVBand="1"/>
        </w:tblPrEx>
        <w:trPr>
          <w:trHeight w:val="491"/>
        </w:trPr>
        <w:tc>
          <w:tcPr>
            <w:tcW w:w="1800" w:type="dxa"/>
            <w:tcBorders>
              <w:top w:val="single" w:sz="4" w:space="0" w:color="auto"/>
              <w:bottom w:val="single" w:sz="4" w:space="0" w:color="auto"/>
            </w:tcBorders>
          </w:tcPr>
          <w:p w14:paraId="1F35F217" w14:textId="59DA1814" w:rsidR="00B66E97" w:rsidRPr="009A2554" w:rsidRDefault="00B66E97" w:rsidP="00B66E97">
            <w:pPr>
              <w:keepNext/>
              <w:keepLines/>
              <w:pageBreakBefore/>
              <w:tabs>
                <w:tab w:val="left" w:pos="709"/>
              </w:tabs>
              <w:spacing w:before="0" w:after="0"/>
              <w:rPr>
                <w:rFonts w:ascii="Arial" w:hAnsi="Arial"/>
                <w:color w:val="000000"/>
                <w:sz w:val="16"/>
                <w:szCs w:val="16"/>
              </w:rPr>
            </w:pPr>
            <w:r w:rsidRPr="009A2554">
              <w:rPr>
                <w:rFonts w:ascii="Arial" w:hAnsi="Arial"/>
                <w:b/>
                <w:color w:val="000000"/>
                <w:sz w:val="16"/>
                <w:szCs w:val="16"/>
              </w:rPr>
              <w:lastRenderedPageBreak/>
              <w:t>Year</w:t>
            </w:r>
          </w:p>
        </w:tc>
        <w:tc>
          <w:tcPr>
            <w:tcW w:w="3174" w:type="dxa"/>
            <w:tcBorders>
              <w:top w:val="single" w:sz="4" w:space="0" w:color="auto"/>
              <w:bottom w:val="single" w:sz="4" w:space="0" w:color="auto"/>
            </w:tcBorders>
          </w:tcPr>
          <w:p w14:paraId="73950F4E" w14:textId="1EDA99CC" w:rsidR="00B66E97" w:rsidRPr="009A2554" w:rsidRDefault="00B66E97" w:rsidP="00B66E97">
            <w:pPr>
              <w:keepNext/>
              <w:keepLines/>
              <w:pageBreakBefore/>
              <w:tabs>
                <w:tab w:val="left" w:pos="709"/>
              </w:tabs>
              <w:spacing w:before="60" w:after="60"/>
              <w:rPr>
                <w:rFonts w:ascii="Arial" w:hAnsi="Arial"/>
                <w:color w:val="000000"/>
                <w:sz w:val="16"/>
                <w:szCs w:val="16"/>
              </w:rPr>
            </w:pPr>
            <w:r w:rsidRPr="009A2554">
              <w:rPr>
                <w:rFonts w:ascii="Arial" w:hAnsi="Arial"/>
                <w:b/>
                <w:color w:val="000000"/>
                <w:sz w:val="16"/>
                <w:szCs w:val="16"/>
              </w:rPr>
              <w:t>Performance measures</w:t>
            </w:r>
          </w:p>
        </w:tc>
        <w:tc>
          <w:tcPr>
            <w:tcW w:w="3447" w:type="dxa"/>
            <w:tcBorders>
              <w:top w:val="single" w:sz="4" w:space="0" w:color="auto"/>
              <w:bottom w:val="single" w:sz="4" w:space="0" w:color="auto"/>
            </w:tcBorders>
          </w:tcPr>
          <w:p w14:paraId="387910F5" w14:textId="434AFB7B" w:rsidR="00B66E97" w:rsidRPr="009A2554" w:rsidRDefault="00B66E97" w:rsidP="00B66E97">
            <w:pPr>
              <w:keepNext/>
              <w:keepLines/>
              <w:pageBreakBefore/>
              <w:tabs>
                <w:tab w:val="left" w:pos="709"/>
              </w:tabs>
              <w:spacing w:before="60" w:after="60"/>
              <w:rPr>
                <w:rFonts w:ascii="Arial" w:hAnsi="Arial"/>
                <w:color w:val="000000"/>
                <w:sz w:val="16"/>
                <w:szCs w:val="16"/>
              </w:rPr>
            </w:pPr>
            <w:r w:rsidRPr="009A2554">
              <w:rPr>
                <w:rFonts w:ascii="Arial" w:hAnsi="Arial"/>
                <w:b/>
                <w:color w:val="000000"/>
                <w:sz w:val="16"/>
                <w:szCs w:val="16"/>
              </w:rPr>
              <w:t>Planned Performance Results</w:t>
            </w:r>
          </w:p>
        </w:tc>
      </w:tr>
      <w:tr w:rsidR="0002000E" w:rsidRPr="009A2554" w14:paraId="3AD0C619" w14:textId="77777777" w:rsidTr="00D9292A">
        <w:tblPrEx>
          <w:shd w:val="clear" w:color="auto" w:fill="auto"/>
          <w:tblLook w:val="04A0" w:firstRow="1" w:lastRow="0" w:firstColumn="1" w:lastColumn="0" w:noHBand="0" w:noVBand="1"/>
        </w:tblPrEx>
        <w:trPr>
          <w:trHeight w:val="491"/>
        </w:trPr>
        <w:tc>
          <w:tcPr>
            <w:tcW w:w="1800" w:type="dxa"/>
            <w:tcBorders>
              <w:top w:val="single" w:sz="4" w:space="0" w:color="auto"/>
              <w:bottom w:val="single" w:sz="4" w:space="0" w:color="auto"/>
            </w:tcBorders>
          </w:tcPr>
          <w:p w14:paraId="53CD4775" w14:textId="77777777" w:rsidR="0002000E" w:rsidRPr="009A2554" w:rsidRDefault="0002000E" w:rsidP="00B66E97">
            <w:pPr>
              <w:keepNext/>
              <w:keepLines/>
              <w:tabs>
                <w:tab w:val="left" w:pos="709"/>
              </w:tabs>
              <w:spacing w:before="0" w:after="0"/>
              <w:rPr>
                <w:rFonts w:ascii="Arial" w:hAnsi="Arial"/>
                <w:color w:val="000000"/>
                <w:sz w:val="16"/>
                <w:szCs w:val="16"/>
              </w:rPr>
            </w:pPr>
            <w:r w:rsidRPr="009A2554">
              <w:rPr>
                <w:rFonts w:ascii="Arial" w:hAnsi="Arial"/>
                <w:color w:val="000000"/>
                <w:sz w:val="16"/>
                <w:szCs w:val="16"/>
              </w:rPr>
              <w:t>Forward Estimates</w:t>
            </w:r>
          </w:p>
          <w:p w14:paraId="053B47DF" w14:textId="77777777" w:rsidR="0002000E" w:rsidRPr="009A2554" w:rsidRDefault="0002000E" w:rsidP="009A2554">
            <w:pPr>
              <w:keepNext/>
              <w:keepLines/>
              <w:pageBreakBefore/>
              <w:tabs>
                <w:tab w:val="left" w:pos="709"/>
              </w:tabs>
              <w:spacing w:before="0" w:after="0"/>
              <w:rPr>
                <w:rFonts w:ascii="Arial" w:hAnsi="Arial"/>
                <w:b/>
                <w:color w:val="000000"/>
                <w:sz w:val="16"/>
                <w:szCs w:val="16"/>
              </w:rPr>
            </w:pPr>
            <w:r w:rsidRPr="009A2554">
              <w:rPr>
                <w:rFonts w:ascii="Arial" w:hAnsi="Arial"/>
                <w:color w:val="000000"/>
                <w:sz w:val="16"/>
                <w:szCs w:val="16"/>
              </w:rPr>
              <w:t>202</w:t>
            </w:r>
            <w:r w:rsidR="004E2B1E" w:rsidRPr="009A2554">
              <w:rPr>
                <w:rFonts w:ascii="Arial" w:hAnsi="Arial"/>
                <w:color w:val="000000"/>
                <w:sz w:val="16"/>
                <w:szCs w:val="16"/>
              </w:rPr>
              <w:t>6</w:t>
            </w:r>
            <w:r w:rsidRPr="009A2554">
              <w:rPr>
                <w:rFonts w:ascii="Arial" w:hAnsi="Arial"/>
                <w:color w:val="000000"/>
                <w:sz w:val="16"/>
                <w:szCs w:val="16"/>
              </w:rPr>
              <w:t>-2</w:t>
            </w:r>
            <w:r w:rsidR="004E2B1E" w:rsidRPr="009A2554">
              <w:rPr>
                <w:rFonts w:ascii="Arial" w:hAnsi="Arial"/>
                <w:color w:val="000000"/>
                <w:sz w:val="16"/>
                <w:szCs w:val="16"/>
              </w:rPr>
              <w:t>9</w:t>
            </w:r>
          </w:p>
        </w:tc>
        <w:tc>
          <w:tcPr>
            <w:tcW w:w="3174" w:type="dxa"/>
            <w:tcBorders>
              <w:top w:val="single" w:sz="4" w:space="0" w:color="auto"/>
              <w:bottom w:val="single" w:sz="4" w:space="0" w:color="auto"/>
            </w:tcBorders>
          </w:tcPr>
          <w:p w14:paraId="4E40ECDC" w14:textId="77777777" w:rsidR="0002000E" w:rsidRPr="009A2554" w:rsidRDefault="0002000E" w:rsidP="009A2554">
            <w:pPr>
              <w:keepNext/>
              <w:keepLines/>
              <w:pageBreakBefore/>
              <w:tabs>
                <w:tab w:val="left" w:pos="709"/>
              </w:tabs>
              <w:spacing w:before="60" w:after="60"/>
              <w:rPr>
                <w:rFonts w:ascii="Arial" w:hAnsi="Arial"/>
                <w:b/>
                <w:color w:val="000000"/>
                <w:sz w:val="16"/>
                <w:szCs w:val="16"/>
              </w:rPr>
            </w:pPr>
            <w:r w:rsidRPr="009A2554">
              <w:rPr>
                <w:rFonts w:ascii="Arial" w:hAnsi="Arial"/>
                <w:color w:val="000000"/>
                <w:sz w:val="16"/>
                <w:szCs w:val="16"/>
              </w:rPr>
              <w:t>As per 202</w:t>
            </w:r>
            <w:r w:rsidR="009A2554">
              <w:rPr>
                <w:rFonts w:ascii="Arial" w:hAnsi="Arial"/>
                <w:color w:val="000000"/>
                <w:sz w:val="16"/>
                <w:szCs w:val="16"/>
              </w:rPr>
              <w:t>5</w:t>
            </w:r>
            <w:r w:rsidRPr="009A2554">
              <w:rPr>
                <w:rFonts w:ascii="Arial" w:hAnsi="Arial"/>
                <w:color w:val="000000"/>
                <w:sz w:val="16"/>
                <w:szCs w:val="16"/>
              </w:rPr>
              <w:t>-2</w:t>
            </w:r>
            <w:r w:rsidR="009A2554">
              <w:rPr>
                <w:rFonts w:ascii="Arial" w:hAnsi="Arial"/>
                <w:color w:val="000000"/>
                <w:sz w:val="16"/>
                <w:szCs w:val="16"/>
              </w:rPr>
              <w:t>6</w:t>
            </w:r>
            <w:r w:rsidRPr="009A2554">
              <w:rPr>
                <w:rFonts w:ascii="Arial" w:hAnsi="Arial"/>
                <w:color w:val="000000"/>
                <w:sz w:val="16"/>
                <w:szCs w:val="16"/>
              </w:rPr>
              <w:t>.</w:t>
            </w:r>
          </w:p>
        </w:tc>
        <w:tc>
          <w:tcPr>
            <w:tcW w:w="3447" w:type="dxa"/>
            <w:tcBorders>
              <w:top w:val="single" w:sz="4" w:space="0" w:color="auto"/>
              <w:bottom w:val="single" w:sz="4" w:space="0" w:color="auto"/>
            </w:tcBorders>
          </w:tcPr>
          <w:p w14:paraId="2BCB8C44" w14:textId="77777777" w:rsidR="0002000E" w:rsidRPr="009A2554" w:rsidRDefault="0002000E" w:rsidP="009A2554">
            <w:pPr>
              <w:keepNext/>
              <w:keepLines/>
              <w:pageBreakBefore/>
              <w:tabs>
                <w:tab w:val="left" w:pos="709"/>
              </w:tabs>
              <w:spacing w:before="60" w:after="60"/>
              <w:rPr>
                <w:rFonts w:ascii="Arial" w:hAnsi="Arial"/>
                <w:b/>
                <w:color w:val="000000"/>
                <w:sz w:val="16"/>
                <w:szCs w:val="16"/>
              </w:rPr>
            </w:pPr>
            <w:r w:rsidRPr="009A2554">
              <w:rPr>
                <w:rFonts w:ascii="Arial" w:hAnsi="Arial"/>
                <w:color w:val="000000"/>
                <w:sz w:val="16"/>
                <w:szCs w:val="16"/>
              </w:rPr>
              <w:t>As per 202</w:t>
            </w:r>
            <w:r w:rsidR="009A2554">
              <w:rPr>
                <w:rFonts w:ascii="Arial" w:hAnsi="Arial"/>
                <w:color w:val="000000"/>
                <w:sz w:val="16"/>
                <w:szCs w:val="16"/>
              </w:rPr>
              <w:t>5</w:t>
            </w:r>
            <w:r w:rsidRPr="009A2554">
              <w:rPr>
                <w:rFonts w:ascii="Arial" w:hAnsi="Arial"/>
                <w:color w:val="000000"/>
                <w:sz w:val="16"/>
                <w:szCs w:val="16"/>
              </w:rPr>
              <w:t>-2</w:t>
            </w:r>
            <w:r w:rsidR="009A2554">
              <w:rPr>
                <w:rFonts w:ascii="Arial" w:hAnsi="Arial"/>
                <w:color w:val="000000"/>
                <w:sz w:val="16"/>
                <w:szCs w:val="16"/>
              </w:rPr>
              <w:t>6</w:t>
            </w:r>
            <w:r w:rsidRPr="009A2554">
              <w:rPr>
                <w:rFonts w:ascii="Arial" w:hAnsi="Arial"/>
                <w:color w:val="000000"/>
                <w:sz w:val="16"/>
                <w:szCs w:val="16"/>
              </w:rPr>
              <w:t>.</w:t>
            </w:r>
          </w:p>
        </w:tc>
      </w:tr>
      <w:tr w:rsidR="0002000E" w:rsidRPr="009A2554" w14:paraId="71AA145A" w14:textId="77777777" w:rsidTr="00D9292A">
        <w:tblPrEx>
          <w:shd w:val="clear" w:color="auto" w:fill="auto"/>
          <w:tblLook w:val="04A0" w:firstRow="1" w:lastRow="0" w:firstColumn="1" w:lastColumn="0" w:noHBand="0" w:noVBand="1"/>
        </w:tblPrEx>
        <w:trPr>
          <w:trHeight w:val="291"/>
        </w:trPr>
        <w:tc>
          <w:tcPr>
            <w:tcW w:w="8421" w:type="dxa"/>
            <w:gridSpan w:val="3"/>
            <w:tcBorders>
              <w:top w:val="single" w:sz="4" w:space="0" w:color="auto"/>
              <w:bottom w:val="single" w:sz="4" w:space="0" w:color="auto"/>
            </w:tcBorders>
          </w:tcPr>
          <w:p w14:paraId="764C8C2A" w14:textId="0900814F" w:rsidR="0002000E" w:rsidRPr="009A2554" w:rsidRDefault="0002000E" w:rsidP="00E364DF">
            <w:pPr>
              <w:tabs>
                <w:tab w:val="left" w:pos="709"/>
              </w:tabs>
              <w:spacing w:before="60" w:after="60"/>
              <w:rPr>
                <w:rFonts w:ascii="Arial" w:eastAsia="Cambria" w:hAnsi="Arial"/>
                <w:bCs/>
                <w:iCs/>
                <w:color w:val="000000"/>
                <w:spacing w:val="-6"/>
                <w:sz w:val="16"/>
                <w:szCs w:val="16"/>
                <w:lang w:val="x-none"/>
              </w:rPr>
            </w:pPr>
            <w:r w:rsidRPr="009A2554">
              <w:rPr>
                <w:rFonts w:ascii="Arial" w:hAnsi="Arial"/>
                <w:color w:val="000000"/>
                <w:sz w:val="16"/>
                <w:szCs w:val="16"/>
              </w:rPr>
              <w:t>Material changes to Program 2.4 resulting from 202</w:t>
            </w:r>
            <w:r w:rsidR="00E364DF">
              <w:rPr>
                <w:rFonts w:ascii="Arial" w:hAnsi="Arial"/>
                <w:color w:val="000000"/>
                <w:sz w:val="16"/>
                <w:szCs w:val="16"/>
              </w:rPr>
              <w:t>5</w:t>
            </w:r>
            <w:r w:rsidRPr="009A2554">
              <w:rPr>
                <w:rFonts w:ascii="Arial" w:hAnsi="Arial"/>
                <w:color w:val="000000"/>
                <w:sz w:val="16"/>
                <w:szCs w:val="16"/>
              </w:rPr>
              <w:t>-2</w:t>
            </w:r>
            <w:r w:rsidR="00E364DF">
              <w:rPr>
                <w:rFonts w:ascii="Arial" w:hAnsi="Arial"/>
                <w:color w:val="000000"/>
                <w:sz w:val="16"/>
                <w:szCs w:val="16"/>
              </w:rPr>
              <w:t>6</w:t>
            </w:r>
            <w:r w:rsidRPr="009A2554">
              <w:rPr>
                <w:rFonts w:ascii="Arial" w:hAnsi="Arial"/>
                <w:color w:val="000000"/>
                <w:sz w:val="16"/>
                <w:szCs w:val="16"/>
              </w:rPr>
              <w:t xml:space="preserve"> Budget Measures:</w:t>
            </w:r>
            <w:r w:rsidRPr="009A2554">
              <w:rPr>
                <w:rStyle w:val="BodyTextChar"/>
                <w:rFonts w:ascii="Arial" w:hAnsi="Arial"/>
                <w:bCs/>
                <w:iCs/>
                <w:color w:val="000000"/>
                <w:spacing w:val="-6"/>
                <w:sz w:val="16"/>
                <w:szCs w:val="16"/>
              </w:rPr>
              <w:t xml:space="preserve"> Nil.</w:t>
            </w:r>
          </w:p>
        </w:tc>
      </w:tr>
    </w:tbl>
    <w:p w14:paraId="24DBAC85" w14:textId="77777777" w:rsidR="0002000E" w:rsidRPr="009A2554" w:rsidRDefault="0002000E" w:rsidP="0002000E">
      <w:pPr>
        <w:pStyle w:val="TableHeading"/>
        <w:spacing w:before="0" w:after="0"/>
        <w:rPr>
          <w:sz w:val="16"/>
          <w:szCs w:val="16"/>
        </w:rPr>
      </w:pPr>
    </w:p>
    <w:p w14:paraId="1A762C7B" w14:textId="77777777" w:rsidR="0002000E" w:rsidRPr="009A2554" w:rsidRDefault="0002000E" w:rsidP="0002000E">
      <w:pPr>
        <w:pStyle w:val="TableHeading"/>
        <w:spacing w:before="0" w:after="0"/>
        <w:rPr>
          <w:sz w:val="14"/>
          <w:szCs w:val="14"/>
          <w:lang w:val="en-AU"/>
        </w:rPr>
      </w:pPr>
      <w:r w:rsidRPr="009A2554">
        <w:rPr>
          <w:sz w:val="14"/>
          <w:szCs w:val="14"/>
          <w:lang w:val="en-AU"/>
        </w:rPr>
        <w:t>Notes</w:t>
      </w:r>
    </w:p>
    <w:p w14:paraId="42952D12" w14:textId="66EB16A5" w:rsidR="0002000E" w:rsidRDefault="009A2554" w:rsidP="00444A89">
      <w:pPr>
        <w:pStyle w:val="TableHeading"/>
        <w:numPr>
          <w:ilvl w:val="0"/>
          <w:numId w:val="52"/>
        </w:numPr>
        <w:tabs>
          <w:tab w:val="left" w:pos="0"/>
          <w:tab w:val="left" w:pos="284"/>
        </w:tabs>
        <w:spacing w:before="0" w:after="0"/>
        <w:ind w:left="284" w:hanging="284"/>
        <w:rPr>
          <w:b w:val="0"/>
          <w:sz w:val="14"/>
          <w:szCs w:val="14"/>
          <w:lang w:val="en-AU"/>
        </w:rPr>
      </w:pPr>
      <w:r w:rsidRPr="00470FF0">
        <w:rPr>
          <w:b w:val="0"/>
          <w:sz w:val="14"/>
          <w:szCs w:val="14"/>
          <w:lang w:val="en-AU"/>
        </w:rPr>
        <w:tab/>
        <w:t>Performance Measure 1.2 has been amended for 2024-25</w:t>
      </w:r>
      <w:r>
        <w:rPr>
          <w:b w:val="0"/>
          <w:sz w:val="14"/>
          <w:szCs w:val="14"/>
          <w:lang w:val="en-AU"/>
        </w:rPr>
        <w:t>,</w:t>
      </w:r>
      <w:r w:rsidRPr="00470FF0">
        <w:rPr>
          <w:b w:val="0"/>
          <w:sz w:val="14"/>
          <w:szCs w:val="14"/>
          <w:lang w:val="en-AU"/>
        </w:rPr>
        <w:t xml:space="preserve"> as published in the updated </w:t>
      </w:r>
      <w:r w:rsidRPr="000A5BA7">
        <w:rPr>
          <w:b w:val="0"/>
          <w:sz w:val="14"/>
          <w:szCs w:val="14"/>
          <w:lang w:val="en-AU"/>
        </w:rPr>
        <w:t>2024-28 Defence Corporate Plan</w:t>
      </w:r>
      <w:r>
        <w:rPr>
          <w:b w:val="0"/>
          <w:sz w:val="14"/>
          <w:szCs w:val="14"/>
          <w:lang w:val="en-AU"/>
        </w:rPr>
        <w:t xml:space="preserve"> </w:t>
      </w:r>
      <w:r w:rsidRPr="00470FF0">
        <w:rPr>
          <w:b w:val="0"/>
          <w:sz w:val="14"/>
          <w:szCs w:val="14"/>
          <w:lang w:val="en-AU"/>
        </w:rPr>
        <w:t>in March</w:t>
      </w:r>
      <w:r w:rsidR="00FE6E78">
        <w:rPr>
          <w:b w:val="0"/>
          <w:sz w:val="14"/>
          <w:szCs w:val="14"/>
          <w:lang w:val="en-AU"/>
        </w:rPr>
        <w:t> </w:t>
      </w:r>
      <w:r w:rsidRPr="00470FF0">
        <w:rPr>
          <w:b w:val="0"/>
          <w:sz w:val="14"/>
          <w:szCs w:val="14"/>
          <w:lang w:val="en-AU"/>
        </w:rPr>
        <w:t>2025</w:t>
      </w:r>
      <w:r>
        <w:rPr>
          <w:b w:val="0"/>
          <w:sz w:val="14"/>
          <w:szCs w:val="14"/>
          <w:lang w:val="en-AU"/>
        </w:rPr>
        <w:t>.</w:t>
      </w:r>
    </w:p>
    <w:p w14:paraId="5E28388B" w14:textId="73D4F94F" w:rsidR="009737EB" w:rsidRPr="000B3F29" w:rsidRDefault="000B3F29" w:rsidP="00444A89">
      <w:pPr>
        <w:pStyle w:val="TableHeading"/>
        <w:numPr>
          <w:ilvl w:val="0"/>
          <w:numId w:val="52"/>
        </w:numPr>
        <w:tabs>
          <w:tab w:val="left" w:pos="0"/>
          <w:tab w:val="left" w:pos="284"/>
        </w:tabs>
        <w:spacing w:before="0" w:after="0"/>
        <w:ind w:left="284" w:hanging="284"/>
        <w:rPr>
          <w:b w:val="0"/>
          <w:sz w:val="14"/>
          <w:szCs w:val="14"/>
          <w:lang w:val="en-AU"/>
        </w:rPr>
      </w:pPr>
      <w:r w:rsidRPr="000B3F29">
        <w:rPr>
          <w:b w:val="0"/>
          <w:sz w:val="14"/>
          <w:szCs w:val="14"/>
          <w:lang w:val="en-AU"/>
        </w:rPr>
        <w:t>In accordance with Defence’s Enterprise Performance Framework, Defence is undertaking materiality assessments that may result in updates to the 2025-26 performance information in the 2025-29 Defence Corporate Plan, if required.</w:t>
      </w:r>
    </w:p>
    <w:p w14:paraId="7300729E" w14:textId="1D1E57D6" w:rsidR="009737EB" w:rsidRPr="009737EB" w:rsidRDefault="009737EB" w:rsidP="009737EB">
      <w:pPr>
        <w:pStyle w:val="ListParagraph"/>
        <w:ind w:left="360"/>
        <w:rPr>
          <w:lang w:val="en-AU"/>
        </w:rPr>
      </w:pPr>
    </w:p>
    <w:p w14:paraId="274CFF4D" w14:textId="77777777" w:rsidR="009737EB" w:rsidRDefault="009737EB" w:rsidP="009737EB">
      <w:pPr>
        <w:pStyle w:val="TableHeading"/>
        <w:tabs>
          <w:tab w:val="left" w:pos="0"/>
          <w:tab w:val="left" w:pos="284"/>
        </w:tabs>
        <w:spacing w:before="0" w:after="120"/>
        <w:outlineLvl w:val="6"/>
        <w:rPr>
          <w:b w:val="0"/>
          <w:sz w:val="14"/>
          <w:szCs w:val="14"/>
          <w:lang w:val="en-AU"/>
        </w:rPr>
      </w:pPr>
    </w:p>
    <w:p w14:paraId="08E17C9A" w14:textId="77777777" w:rsidR="00F91904" w:rsidRPr="009E5F1F" w:rsidRDefault="00BD74D3" w:rsidP="00F91904">
      <w:pPr>
        <w:pStyle w:val="TableHeading"/>
        <w:numPr>
          <w:ilvl w:val="0"/>
          <w:numId w:val="29"/>
        </w:numPr>
        <w:tabs>
          <w:tab w:val="left" w:pos="0"/>
          <w:tab w:val="left" w:pos="284"/>
        </w:tabs>
        <w:spacing w:before="0" w:after="120"/>
        <w:ind w:left="0" w:firstLine="0"/>
        <w:outlineLvl w:val="6"/>
      </w:pPr>
      <w:r w:rsidRPr="00652D7F">
        <w:rPr>
          <w:b w:val="0"/>
          <w:sz w:val="14"/>
          <w:szCs w:val="14"/>
          <w:lang w:val="en-AU"/>
        </w:rPr>
        <w:br w:type="page"/>
      </w:r>
      <w:r w:rsidR="00F91904" w:rsidRPr="009E5F1F">
        <w:lastRenderedPageBreak/>
        <w:t>Cost Summary for Program 2.4 Joint Capabilities</w:t>
      </w:r>
    </w:p>
    <w:p w14:paraId="7AC432C0" w14:textId="0B32C534" w:rsidR="005C0D6D" w:rsidRPr="00B56FAA" w:rsidRDefault="00C64DB0" w:rsidP="00F91904">
      <w:pPr>
        <w:pStyle w:val="TableHeading"/>
        <w:tabs>
          <w:tab w:val="left" w:pos="0"/>
          <w:tab w:val="left" w:pos="284"/>
        </w:tabs>
        <w:spacing w:before="0" w:after="120"/>
        <w:outlineLvl w:val="6"/>
      </w:pPr>
      <w:r w:rsidRPr="00C64DB0">
        <w:rPr>
          <w:noProof/>
          <w:lang w:val="en-AU"/>
        </w:rPr>
        <w:drawing>
          <wp:inline distT="0" distB="0" distL="0" distR="0" wp14:anchorId="7C91C658" wp14:editId="5DEFD33D">
            <wp:extent cx="5471795" cy="2795325"/>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71795" cy="2795325"/>
                    </a:xfrm>
                    <a:prstGeom prst="rect">
                      <a:avLst/>
                    </a:prstGeom>
                    <a:noFill/>
                    <a:ln>
                      <a:noFill/>
                    </a:ln>
                  </pic:spPr>
                </pic:pic>
              </a:graphicData>
            </a:graphic>
          </wp:inline>
        </w:drawing>
      </w:r>
    </w:p>
    <w:p w14:paraId="53DBD79A" w14:textId="77777777" w:rsidR="00656D60" w:rsidRPr="00B56FAA" w:rsidRDefault="00656D60" w:rsidP="00656D60">
      <w:pPr>
        <w:spacing w:before="0" w:after="0"/>
        <w:rPr>
          <w:rFonts w:ascii="Arial" w:hAnsi="Arial"/>
          <w:b/>
          <w:sz w:val="14"/>
          <w:szCs w:val="14"/>
          <w:lang w:val="en-AU"/>
        </w:rPr>
      </w:pPr>
    </w:p>
    <w:p w14:paraId="33EAFF7F" w14:textId="77777777" w:rsidR="00344B37" w:rsidRDefault="00BD74D3" w:rsidP="00274A77">
      <w:pPr>
        <w:tabs>
          <w:tab w:val="left" w:pos="284"/>
        </w:tabs>
        <w:spacing w:before="0" w:after="0"/>
        <w:ind w:left="284" w:hanging="284"/>
        <w:rPr>
          <w:rFonts w:ascii="Arial" w:hAnsi="Arial"/>
          <w:b/>
          <w:sz w:val="14"/>
          <w:szCs w:val="14"/>
          <w:lang w:val="en-AU"/>
        </w:rPr>
      </w:pPr>
      <w:r w:rsidRPr="00BD74D3">
        <w:rPr>
          <w:rFonts w:ascii="Arial" w:hAnsi="Arial"/>
          <w:b/>
          <w:sz w:val="14"/>
          <w:szCs w:val="14"/>
          <w:lang w:val="en-AU"/>
        </w:rPr>
        <w:t>Notes</w:t>
      </w:r>
    </w:p>
    <w:p w14:paraId="318321DF" w14:textId="5DB9BD0B" w:rsidR="00F91904" w:rsidRPr="00F91904" w:rsidRDefault="009E5F1F" w:rsidP="00F91904">
      <w:pPr>
        <w:tabs>
          <w:tab w:val="left" w:pos="284"/>
        </w:tabs>
        <w:spacing w:before="0" w:after="0"/>
        <w:ind w:left="284" w:hanging="284"/>
        <w:rPr>
          <w:rFonts w:ascii="Arial" w:hAnsi="Arial"/>
          <w:sz w:val="14"/>
          <w:szCs w:val="14"/>
          <w:lang w:val="en-AU"/>
        </w:rPr>
      </w:pPr>
      <w:r w:rsidRPr="009E5F1F">
        <w:rPr>
          <w:rFonts w:ascii="Arial" w:hAnsi="Arial"/>
          <w:sz w:val="14"/>
          <w:szCs w:val="14"/>
          <w:lang w:val="en-AU"/>
        </w:rPr>
        <w:t xml:space="preserve">a. </w:t>
      </w:r>
      <w:r>
        <w:rPr>
          <w:rFonts w:ascii="Arial" w:hAnsi="Arial"/>
          <w:sz w:val="14"/>
          <w:szCs w:val="14"/>
          <w:lang w:val="en-AU"/>
        </w:rPr>
        <w:tab/>
      </w:r>
      <w:r w:rsidR="00F91904" w:rsidRPr="00F91904">
        <w:rPr>
          <w:rFonts w:ascii="Arial" w:hAnsi="Arial"/>
          <w:sz w:val="14"/>
          <w:szCs w:val="14"/>
          <w:lang w:val="en-AU"/>
        </w:rPr>
        <w:t>Total Program funded expenditure includes operating expenses and capital expenditure funded by appropriation and own source revenue. This excludes expenses not requiring appropriation.</w:t>
      </w:r>
      <w:r w:rsidR="00F91904" w:rsidRPr="00F91904">
        <w:rPr>
          <w:rFonts w:ascii="Arial" w:hAnsi="Arial"/>
          <w:sz w:val="14"/>
          <w:szCs w:val="14"/>
          <w:lang w:val="en-AU"/>
        </w:rPr>
        <w:tab/>
      </w:r>
      <w:r w:rsidR="00F91904" w:rsidRPr="00F91904">
        <w:rPr>
          <w:rFonts w:ascii="Arial" w:hAnsi="Arial"/>
          <w:sz w:val="14"/>
          <w:szCs w:val="14"/>
          <w:lang w:val="en-AU"/>
        </w:rPr>
        <w:tab/>
      </w:r>
      <w:r w:rsidR="00F91904" w:rsidRPr="00F91904">
        <w:rPr>
          <w:rFonts w:ascii="Arial" w:hAnsi="Arial"/>
          <w:sz w:val="14"/>
          <w:szCs w:val="14"/>
          <w:lang w:val="en-AU"/>
        </w:rPr>
        <w:tab/>
      </w:r>
      <w:r w:rsidR="00F91904" w:rsidRPr="00F91904">
        <w:rPr>
          <w:rFonts w:ascii="Arial" w:hAnsi="Arial"/>
          <w:sz w:val="14"/>
          <w:szCs w:val="14"/>
          <w:lang w:val="en-AU"/>
        </w:rPr>
        <w:tab/>
      </w:r>
      <w:r w:rsidR="00F91904" w:rsidRPr="00F91904">
        <w:rPr>
          <w:rFonts w:ascii="Arial" w:hAnsi="Arial"/>
          <w:sz w:val="14"/>
          <w:szCs w:val="14"/>
          <w:lang w:val="en-AU"/>
        </w:rPr>
        <w:tab/>
      </w:r>
    </w:p>
    <w:p w14:paraId="595868BA" w14:textId="10E7FE96" w:rsidR="00CD66E1" w:rsidRPr="003D70E2" w:rsidRDefault="00F91904" w:rsidP="00F91904">
      <w:pPr>
        <w:tabs>
          <w:tab w:val="left" w:pos="284"/>
        </w:tabs>
        <w:spacing w:before="0" w:after="0"/>
        <w:ind w:left="284" w:hanging="284"/>
        <w:rPr>
          <w:rFonts w:ascii="Arial" w:hAnsi="Arial"/>
          <w:sz w:val="14"/>
          <w:szCs w:val="14"/>
          <w:lang w:val="en-AU"/>
        </w:rPr>
      </w:pPr>
      <w:r w:rsidRPr="00F91904">
        <w:rPr>
          <w:rFonts w:ascii="Arial" w:hAnsi="Arial"/>
          <w:sz w:val="14"/>
          <w:szCs w:val="14"/>
          <w:lang w:val="en-AU"/>
        </w:rPr>
        <w:t xml:space="preserve">b. </w:t>
      </w:r>
      <w:r>
        <w:rPr>
          <w:rFonts w:ascii="Arial" w:hAnsi="Arial"/>
          <w:sz w:val="14"/>
          <w:szCs w:val="14"/>
          <w:lang w:val="en-AU"/>
        </w:rPr>
        <w:tab/>
      </w:r>
      <w:r w:rsidRPr="00F91904">
        <w:rPr>
          <w:rFonts w:ascii="Arial" w:hAnsi="Arial"/>
          <w:sz w:val="14"/>
          <w:szCs w:val="14"/>
          <w:lang w:val="en-AU"/>
        </w:rPr>
        <w:t>The change in estimates includes movement of functions and their associated budgets within Defence.</w:t>
      </w:r>
      <w:r w:rsidRPr="00F91904">
        <w:rPr>
          <w:rFonts w:ascii="Arial" w:hAnsi="Arial"/>
          <w:sz w:val="14"/>
          <w:szCs w:val="14"/>
          <w:lang w:val="en-AU"/>
        </w:rPr>
        <w:tab/>
      </w:r>
      <w:r w:rsidRPr="00F91904">
        <w:rPr>
          <w:rFonts w:ascii="Arial" w:hAnsi="Arial"/>
          <w:sz w:val="14"/>
          <w:szCs w:val="14"/>
          <w:lang w:val="en-AU"/>
        </w:rPr>
        <w:tab/>
      </w:r>
      <w:r w:rsidRPr="00F91904">
        <w:rPr>
          <w:rFonts w:ascii="Arial" w:hAnsi="Arial"/>
          <w:sz w:val="14"/>
          <w:szCs w:val="14"/>
          <w:lang w:val="en-AU"/>
        </w:rPr>
        <w:tab/>
      </w:r>
      <w:r w:rsidRPr="00F91904">
        <w:rPr>
          <w:rFonts w:ascii="Arial" w:hAnsi="Arial"/>
          <w:sz w:val="14"/>
          <w:szCs w:val="14"/>
          <w:lang w:val="en-AU"/>
        </w:rPr>
        <w:tab/>
      </w:r>
      <w:r w:rsidRPr="00F91904">
        <w:rPr>
          <w:rFonts w:ascii="Arial" w:hAnsi="Arial"/>
          <w:sz w:val="14"/>
          <w:szCs w:val="14"/>
          <w:lang w:val="en-AU"/>
        </w:rPr>
        <w:tab/>
      </w:r>
    </w:p>
    <w:p w14:paraId="2FB68D40" w14:textId="77777777" w:rsidR="00BD74D3" w:rsidRPr="00BD74D3" w:rsidRDefault="00BD74D3" w:rsidP="009E5F1F">
      <w:pPr>
        <w:tabs>
          <w:tab w:val="left" w:pos="284"/>
        </w:tabs>
        <w:spacing w:before="0" w:after="0"/>
        <w:ind w:left="284" w:hanging="284"/>
        <w:rPr>
          <w:rFonts w:ascii="Arial" w:hAnsi="Arial"/>
          <w:sz w:val="14"/>
          <w:szCs w:val="14"/>
          <w:lang w:val="en-AU"/>
        </w:rPr>
      </w:pPr>
    </w:p>
    <w:p w14:paraId="09559663" w14:textId="77777777" w:rsidR="00C52D6B" w:rsidRPr="00B56FAA" w:rsidRDefault="00A00060" w:rsidP="000142CB">
      <w:pPr>
        <w:spacing w:before="0" w:after="0"/>
        <w:outlineLvl w:val="5"/>
        <w:rPr>
          <w:color w:val="FFFFFF"/>
          <w:sz w:val="2"/>
        </w:rPr>
      </w:pPr>
      <w:r w:rsidRPr="00B56FAA">
        <w:rPr>
          <w:lang w:val="en-AU"/>
        </w:rPr>
        <w:br w:type="page"/>
      </w:r>
      <w:r w:rsidR="00C52D6B" w:rsidRPr="00B56FAA">
        <w:rPr>
          <w:color w:val="FFFFFF"/>
          <w:sz w:val="2"/>
        </w:rPr>
        <w:lastRenderedPageBreak/>
        <w:t>Program 2.5: Navy Capabilities</w:t>
      </w:r>
    </w:p>
    <w:tbl>
      <w:tblPr>
        <w:tblW w:w="4852" w:type="pct"/>
        <w:tblInd w:w="113" w:type="dxa"/>
        <w:tblBorders>
          <w:top w:val="single" w:sz="4" w:space="0" w:color="auto"/>
          <w:left w:val="single" w:sz="4" w:space="0" w:color="auto"/>
          <w:bottom w:val="dotted" w:sz="4" w:space="0" w:color="auto"/>
          <w:right w:val="single" w:sz="4" w:space="0" w:color="auto"/>
          <w:insideH w:val="dotted" w:sz="4" w:space="0" w:color="auto"/>
          <w:insideV w:val="single" w:sz="4" w:space="0" w:color="auto"/>
        </w:tblBorders>
        <w:shd w:val="clear" w:color="auto" w:fill="C0C0C0"/>
        <w:tblLook w:val="01E0" w:firstRow="1" w:lastRow="1" w:firstColumn="1" w:lastColumn="1" w:noHBand="0" w:noVBand="0"/>
      </w:tblPr>
      <w:tblGrid>
        <w:gridCol w:w="1799"/>
        <w:gridCol w:w="3174"/>
        <w:gridCol w:w="3379"/>
      </w:tblGrid>
      <w:tr w:rsidR="0002000E" w:rsidRPr="00B56FAA" w14:paraId="787C4AAF" w14:textId="77777777" w:rsidTr="003C0162">
        <w:tc>
          <w:tcPr>
            <w:tcW w:w="8352" w:type="dxa"/>
            <w:gridSpan w:val="3"/>
            <w:tcBorders>
              <w:top w:val="single" w:sz="4" w:space="0" w:color="auto"/>
              <w:bottom w:val="single" w:sz="4" w:space="0" w:color="auto"/>
            </w:tcBorders>
            <w:shd w:val="clear" w:color="auto" w:fill="CCCCCC"/>
          </w:tcPr>
          <w:p w14:paraId="3377080B" w14:textId="77777777" w:rsidR="0002000E" w:rsidRPr="00B56FAA" w:rsidRDefault="0002000E" w:rsidP="00072EF9">
            <w:pPr>
              <w:pStyle w:val="Heading5"/>
              <w:spacing w:before="60" w:after="60"/>
            </w:pPr>
            <w:r w:rsidRPr="00B56FAA">
              <w:t>Program 2.5: Navy Capabilities</w:t>
            </w:r>
          </w:p>
        </w:tc>
      </w:tr>
      <w:tr w:rsidR="0002000E" w:rsidRPr="00B56FAA" w14:paraId="5DD62A81" w14:textId="77777777" w:rsidTr="003C0162">
        <w:trPr>
          <w:trHeight w:val="170"/>
        </w:trPr>
        <w:tc>
          <w:tcPr>
            <w:tcW w:w="8352" w:type="dxa"/>
            <w:gridSpan w:val="3"/>
            <w:tcBorders>
              <w:top w:val="single" w:sz="4" w:space="0" w:color="auto"/>
              <w:bottom w:val="single" w:sz="4" w:space="0" w:color="auto"/>
            </w:tcBorders>
            <w:shd w:val="clear" w:color="auto" w:fill="auto"/>
          </w:tcPr>
          <w:p w14:paraId="534A20B9" w14:textId="77777777" w:rsidR="0002000E" w:rsidRPr="00B56FAA" w:rsidRDefault="0002000E" w:rsidP="00072EF9">
            <w:pPr>
              <w:pStyle w:val="Heading5"/>
              <w:spacing w:before="0" w:after="0"/>
              <w:rPr>
                <w:sz w:val="16"/>
                <w:szCs w:val="16"/>
              </w:rPr>
            </w:pPr>
          </w:p>
        </w:tc>
      </w:tr>
      <w:tr w:rsidR="0002000E" w:rsidRPr="00CD66E1" w14:paraId="2E25E3CC" w14:textId="77777777" w:rsidTr="003C0162">
        <w:tblPrEx>
          <w:shd w:val="clear" w:color="auto" w:fill="auto"/>
          <w:tblLook w:val="04A0" w:firstRow="1" w:lastRow="0" w:firstColumn="1" w:lastColumn="0" w:noHBand="0" w:noVBand="1"/>
        </w:tblPrEx>
        <w:trPr>
          <w:tblHeader/>
        </w:trPr>
        <w:tc>
          <w:tcPr>
            <w:tcW w:w="8352" w:type="dxa"/>
            <w:gridSpan w:val="3"/>
            <w:tcBorders>
              <w:top w:val="single" w:sz="4" w:space="0" w:color="auto"/>
            </w:tcBorders>
            <w:shd w:val="clear" w:color="auto" w:fill="E6E6E6"/>
          </w:tcPr>
          <w:p w14:paraId="7C2973C5" w14:textId="77777777" w:rsidR="0002000E" w:rsidRPr="00E96419" w:rsidRDefault="0002000E" w:rsidP="00072EF9">
            <w:pPr>
              <w:tabs>
                <w:tab w:val="left" w:pos="709"/>
              </w:tabs>
              <w:spacing w:before="60" w:after="0"/>
              <w:rPr>
                <w:rFonts w:ascii="Arial" w:hAnsi="Arial"/>
                <w:sz w:val="16"/>
                <w:szCs w:val="16"/>
              </w:rPr>
            </w:pPr>
            <w:r w:rsidRPr="00E96419">
              <w:rPr>
                <w:rFonts w:ascii="Arial" w:hAnsi="Arial"/>
                <w:b/>
                <w:sz w:val="16"/>
                <w:szCs w:val="16"/>
              </w:rPr>
              <w:t>Program 2.5</w:t>
            </w:r>
            <w:r w:rsidRPr="00E96419">
              <w:rPr>
                <w:rFonts w:ascii="Arial" w:hAnsi="Arial"/>
                <w:sz w:val="16"/>
                <w:szCs w:val="16"/>
              </w:rPr>
              <w:t xml:space="preserve"> </w:t>
            </w:r>
            <w:r w:rsidRPr="00E96419">
              <w:rPr>
                <w:rFonts w:ascii="Arial" w:hAnsi="Arial"/>
                <w:b/>
                <w:sz w:val="16"/>
                <w:szCs w:val="16"/>
              </w:rPr>
              <w:t>Objective</w:t>
            </w:r>
          </w:p>
          <w:p w14:paraId="5D4B55C2" w14:textId="77777777" w:rsidR="0002000E" w:rsidRPr="00E96419" w:rsidRDefault="0002000E" w:rsidP="00072EF9">
            <w:pPr>
              <w:tabs>
                <w:tab w:val="left" w:pos="709"/>
              </w:tabs>
              <w:spacing w:before="0" w:after="60"/>
              <w:rPr>
                <w:rFonts w:ascii="Arial" w:hAnsi="Arial"/>
                <w:sz w:val="16"/>
                <w:szCs w:val="16"/>
              </w:rPr>
            </w:pPr>
            <w:r w:rsidRPr="00E96419">
              <w:rPr>
                <w:rFonts w:ascii="Arial" w:hAnsi="Arial"/>
                <w:sz w:val="16"/>
                <w:szCs w:val="16"/>
                <w:lang w:val="en-AU"/>
              </w:rPr>
              <w:t>To provide maritime capabilities that contribute to the Australian Defence Force’s capacity to defend Australia, contribute to regional security, support Australia’s global interests, shape the strategic environment and protect national interests.</w:t>
            </w:r>
          </w:p>
        </w:tc>
      </w:tr>
      <w:tr w:rsidR="00E96419" w:rsidRPr="00CD66E1" w14:paraId="494ECD96" w14:textId="77777777" w:rsidTr="00FE6E78">
        <w:tblPrEx>
          <w:shd w:val="clear" w:color="auto" w:fill="auto"/>
          <w:tblLook w:val="04A0" w:firstRow="1" w:lastRow="0" w:firstColumn="1" w:lastColumn="0" w:noHBand="0" w:noVBand="1"/>
        </w:tblPrEx>
        <w:trPr>
          <w:trHeight w:val="312"/>
        </w:trPr>
        <w:tc>
          <w:tcPr>
            <w:tcW w:w="1799" w:type="dxa"/>
            <w:tcBorders>
              <w:top w:val="dotted" w:sz="4" w:space="0" w:color="auto"/>
              <w:bottom w:val="single" w:sz="4" w:space="0" w:color="auto"/>
            </w:tcBorders>
          </w:tcPr>
          <w:p w14:paraId="7EA0C74C" w14:textId="77777777" w:rsidR="00E96419" w:rsidRPr="00E96419" w:rsidRDefault="00E96419" w:rsidP="00E96419">
            <w:pPr>
              <w:tabs>
                <w:tab w:val="left" w:pos="709"/>
              </w:tabs>
              <w:spacing w:before="60" w:after="60"/>
              <w:rPr>
                <w:rFonts w:ascii="Arial" w:hAnsi="Arial"/>
                <w:b/>
                <w:color w:val="000000"/>
                <w:sz w:val="16"/>
                <w:szCs w:val="16"/>
              </w:rPr>
            </w:pPr>
            <w:r w:rsidRPr="00E96419">
              <w:rPr>
                <w:rFonts w:ascii="Arial" w:hAnsi="Arial"/>
                <w:b/>
                <w:color w:val="000000"/>
                <w:sz w:val="16"/>
                <w:szCs w:val="16"/>
              </w:rPr>
              <w:t>Key Activities</w:t>
            </w:r>
          </w:p>
        </w:tc>
        <w:tc>
          <w:tcPr>
            <w:tcW w:w="6553" w:type="dxa"/>
            <w:gridSpan w:val="2"/>
            <w:tcBorders>
              <w:top w:val="dotted" w:sz="4" w:space="0" w:color="auto"/>
              <w:bottom w:val="single" w:sz="4" w:space="0" w:color="auto"/>
            </w:tcBorders>
          </w:tcPr>
          <w:p w14:paraId="790AA5AB" w14:textId="77777777" w:rsidR="00E96419" w:rsidRPr="00CC337B" w:rsidRDefault="00E96419" w:rsidP="00E96419">
            <w:pPr>
              <w:tabs>
                <w:tab w:val="left" w:pos="343"/>
              </w:tabs>
              <w:spacing w:before="60" w:after="60"/>
              <w:rPr>
                <w:rFonts w:ascii="Arial" w:hAnsi="Arial"/>
                <w:bCs/>
                <w:color w:val="000000"/>
                <w:sz w:val="16"/>
                <w:szCs w:val="16"/>
                <w:lang w:val="en-AU"/>
              </w:rPr>
            </w:pPr>
            <w:r w:rsidRPr="00470FF0">
              <w:rPr>
                <w:rFonts w:ascii="Arial" w:hAnsi="Arial"/>
                <w:bCs/>
                <w:color w:val="000000"/>
                <w:sz w:val="16"/>
                <w:szCs w:val="16"/>
                <w:lang w:val="en-AU"/>
              </w:rPr>
              <w:t xml:space="preserve">This </w:t>
            </w:r>
            <w:r w:rsidRPr="00CC337B">
              <w:rPr>
                <w:rFonts w:ascii="Arial" w:hAnsi="Arial"/>
                <w:bCs/>
                <w:color w:val="000000"/>
                <w:sz w:val="16"/>
                <w:szCs w:val="16"/>
                <w:lang w:val="en-AU"/>
              </w:rPr>
              <w:t>program will be achieved through the following activities:</w:t>
            </w:r>
          </w:p>
          <w:p w14:paraId="28828317" w14:textId="7A14DF68" w:rsidR="00E96419" w:rsidRPr="00470FF0" w:rsidRDefault="00E96419" w:rsidP="00E96419">
            <w:pPr>
              <w:tabs>
                <w:tab w:val="left" w:pos="343"/>
              </w:tabs>
              <w:spacing w:before="60"/>
              <w:rPr>
                <w:rFonts w:ascii="Arial" w:hAnsi="Arial"/>
                <w:color w:val="000000"/>
                <w:sz w:val="16"/>
                <w:szCs w:val="16"/>
                <w:lang w:val="en-AU"/>
              </w:rPr>
            </w:pPr>
            <w:r w:rsidRPr="00CC337B">
              <w:rPr>
                <w:rFonts w:ascii="Arial" w:hAnsi="Arial"/>
                <w:b/>
                <w:sz w:val="16"/>
                <w:szCs w:val="16"/>
                <w:lang w:val="en-AU"/>
              </w:rPr>
              <w:t xml:space="preserve">1. </w:t>
            </w:r>
            <w:r w:rsidR="00FF0BC7" w:rsidRPr="00CC337B">
              <w:rPr>
                <w:rFonts w:ascii="Arial" w:hAnsi="Arial"/>
                <w:b/>
                <w:sz w:val="16"/>
                <w:szCs w:val="16"/>
                <w:lang w:val="en-AU"/>
              </w:rPr>
              <w:t>Conduct operations and deployments to defend Australia and its national interests.</w:t>
            </w:r>
            <w:r w:rsidRPr="00470FF0">
              <w:rPr>
                <w:rFonts w:ascii="Arial" w:hAnsi="Arial"/>
                <w:color w:val="000000"/>
                <w:sz w:val="16"/>
                <w:szCs w:val="16"/>
                <w:lang w:val="en-AU"/>
              </w:rPr>
              <w:t xml:space="preserve"> Defence conducts operations and deployments both within Australia and overseas, in accordance with direction from the Government. When required, Defence responds with military force to defend Australia and its national interests. Defence also works in close collaboration with our international partners and federal, state and territory governments to support our response to crises and disasters at home and abroad.</w:t>
            </w:r>
          </w:p>
          <w:p w14:paraId="31EBC779" w14:textId="77777777" w:rsidR="00E96419" w:rsidRDefault="00E96419" w:rsidP="00E96419">
            <w:pPr>
              <w:autoSpaceDE w:val="0"/>
              <w:autoSpaceDN w:val="0"/>
              <w:adjustRightInd w:val="0"/>
              <w:spacing w:before="0" w:after="0"/>
              <w:rPr>
                <w:rFonts w:ascii="Arial" w:hAnsi="Arial"/>
                <w:sz w:val="16"/>
                <w:szCs w:val="16"/>
              </w:rPr>
            </w:pPr>
            <w:r w:rsidRPr="00470FF0">
              <w:rPr>
                <w:rFonts w:ascii="Arial" w:hAnsi="Arial"/>
                <w:b/>
                <w:sz w:val="16"/>
                <w:szCs w:val="16"/>
                <w:lang w:val="en-AU"/>
              </w:rPr>
              <w:t>6. Deliver future capability</w:t>
            </w:r>
            <w:r w:rsidRPr="00470FF0">
              <w:rPr>
                <w:rFonts w:ascii="Arial" w:hAnsi="Arial"/>
                <w:sz w:val="16"/>
                <w:szCs w:val="16"/>
                <w:lang w:val="en-AU"/>
              </w:rPr>
              <w:t xml:space="preserve">. </w:t>
            </w:r>
            <w:r w:rsidRPr="00470FF0">
              <w:rPr>
                <w:rFonts w:ascii="Arial" w:hAnsi="Arial"/>
                <w:sz w:val="16"/>
                <w:szCs w:val="16"/>
              </w:rPr>
              <w:t>Defence will accelerate the development of important capabilities over the next decade to build an integrated, focused force across the maritime, land, air, space and cyber domains. This will ensure the Australian Defence Force has the capacity to defend Australia and its national interests in our evolving strategic circumstances and deter adversaries through a strategy of denial.</w:t>
            </w:r>
          </w:p>
          <w:p w14:paraId="3D5036B0" w14:textId="77777777" w:rsidR="00E96419" w:rsidRPr="00470FF0" w:rsidRDefault="00E96419" w:rsidP="00E96419">
            <w:pPr>
              <w:autoSpaceDE w:val="0"/>
              <w:autoSpaceDN w:val="0"/>
              <w:adjustRightInd w:val="0"/>
              <w:spacing w:before="0" w:after="0"/>
              <w:rPr>
                <w:rFonts w:ascii="ArialMT" w:hAnsi="ArialMT" w:cs="ArialMT"/>
                <w:sz w:val="16"/>
                <w:szCs w:val="16"/>
                <w:lang w:val="en-AU"/>
              </w:rPr>
            </w:pPr>
          </w:p>
        </w:tc>
      </w:tr>
      <w:tr w:rsidR="0002000E" w:rsidRPr="00E96419" w14:paraId="3173FEDA" w14:textId="77777777" w:rsidTr="00FE6E78">
        <w:tblPrEx>
          <w:shd w:val="clear" w:color="auto" w:fill="auto"/>
          <w:tblLook w:val="04A0" w:firstRow="1" w:lastRow="0" w:firstColumn="1" w:lastColumn="0" w:noHBand="0" w:noVBand="1"/>
        </w:tblPrEx>
        <w:trPr>
          <w:trHeight w:val="100"/>
        </w:trPr>
        <w:tc>
          <w:tcPr>
            <w:tcW w:w="1799" w:type="dxa"/>
            <w:tcBorders>
              <w:top w:val="single" w:sz="4" w:space="0" w:color="auto"/>
              <w:bottom w:val="single" w:sz="4" w:space="0" w:color="auto"/>
            </w:tcBorders>
          </w:tcPr>
          <w:p w14:paraId="6F31D08D" w14:textId="77777777" w:rsidR="0002000E" w:rsidRPr="00E96419" w:rsidRDefault="0002000E" w:rsidP="00072EF9">
            <w:pPr>
              <w:tabs>
                <w:tab w:val="left" w:pos="709"/>
              </w:tabs>
              <w:spacing w:before="60" w:after="60"/>
              <w:rPr>
                <w:rFonts w:ascii="Arial" w:hAnsi="Arial"/>
                <w:color w:val="000000"/>
                <w:sz w:val="16"/>
                <w:szCs w:val="16"/>
              </w:rPr>
            </w:pPr>
            <w:r w:rsidRPr="00E96419">
              <w:rPr>
                <w:rFonts w:ascii="Arial" w:hAnsi="Arial"/>
                <w:b/>
                <w:color w:val="000000"/>
                <w:sz w:val="16"/>
                <w:szCs w:val="16"/>
              </w:rPr>
              <w:t>Year</w:t>
            </w:r>
          </w:p>
        </w:tc>
        <w:tc>
          <w:tcPr>
            <w:tcW w:w="3174" w:type="dxa"/>
            <w:tcBorders>
              <w:top w:val="dotted" w:sz="4" w:space="0" w:color="auto"/>
              <w:bottom w:val="single" w:sz="4" w:space="0" w:color="auto"/>
            </w:tcBorders>
          </w:tcPr>
          <w:p w14:paraId="651AA1FD" w14:textId="77777777" w:rsidR="0002000E" w:rsidRPr="00E96419" w:rsidRDefault="0002000E" w:rsidP="00072EF9">
            <w:pPr>
              <w:tabs>
                <w:tab w:val="left" w:pos="709"/>
              </w:tabs>
              <w:spacing w:before="60" w:after="60"/>
              <w:rPr>
                <w:rFonts w:ascii="Arial" w:hAnsi="Arial"/>
                <w:color w:val="000000"/>
              </w:rPr>
            </w:pPr>
            <w:r w:rsidRPr="00E96419">
              <w:rPr>
                <w:rFonts w:ascii="Arial" w:hAnsi="Arial"/>
                <w:b/>
                <w:color w:val="000000"/>
                <w:sz w:val="16"/>
                <w:szCs w:val="16"/>
              </w:rPr>
              <w:t>Performance measures</w:t>
            </w:r>
          </w:p>
        </w:tc>
        <w:tc>
          <w:tcPr>
            <w:tcW w:w="3379" w:type="dxa"/>
            <w:tcBorders>
              <w:top w:val="dotted" w:sz="4" w:space="0" w:color="auto"/>
              <w:bottom w:val="single" w:sz="4" w:space="0" w:color="auto"/>
            </w:tcBorders>
          </w:tcPr>
          <w:p w14:paraId="49C54EFC" w14:textId="77777777" w:rsidR="0002000E" w:rsidRPr="00E96419" w:rsidRDefault="0002000E" w:rsidP="00072EF9">
            <w:pPr>
              <w:tabs>
                <w:tab w:val="left" w:pos="709"/>
              </w:tabs>
              <w:spacing w:before="40" w:after="40"/>
              <w:rPr>
                <w:rFonts w:ascii="Arial" w:hAnsi="Arial"/>
                <w:i/>
                <w:color w:val="000000"/>
                <w:sz w:val="16"/>
                <w:szCs w:val="16"/>
              </w:rPr>
            </w:pPr>
            <w:r w:rsidRPr="00E96419">
              <w:rPr>
                <w:rFonts w:ascii="Arial" w:hAnsi="Arial"/>
                <w:b/>
                <w:color w:val="000000"/>
                <w:sz w:val="16"/>
                <w:szCs w:val="16"/>
              </w:rPr>
              <w:t>Expected Performance Results</w:t>
            </w:r>
          </w:p>
        </w:tc>
      </w:tr>
      <w:tr w:rsidR="00E96419" w:rsidRPr="00E96419" w14:paraId="1BBC148D" w14:textId="77777777" w:rsidTr="00FE6E78">
        <w:tblPrEx>
          <w:shd w:val="clear" w:color="auto" w:fill="auto"/>
          <w:tblLook w:val="04A0" w:firstRow="1" w:lastRow="0" w:firstColumn="1" w:lastColumn="0" w:noHBand="0" w:noVBand="1"/>
        </w:tblPrEx>
        <w:trPr>
          <w:trHeight w:val="470"/>
        </w:trPr>
        <w:tc>
          <w:tcPr>
            <w:tcW w:w="1799" w:type="dxa"/>
            <w:vMerge w:val="restart"/>
            <w:tcBorders>
              <w:top w:val="single" w:sz="4" w:space="0" w:color="auto"/>
              <w:bottom w:val="single" w:sz="4" w:space="0" w:color="auto"/>
            </w:tcBorders>
          </w:tcPr>
          <w:p w14:paraId="4A04BAD9" w14:textId="77777777" w:rsidR="00E96419" w:rsidRPr="00E96419" w:rsidRDefault="00E96419" w:rsidP="00E96419">
            <w:pPr>
              <w:tabs>
                <w:tab w:val="left" w:pos="709"/>
              </w:tabs>
              <w:spacing w:before="0" w:after="0"/>
              <w:rPr>
                <w:rFonts w:ascii="Arial" w:hAnsi="Arial"/>
                <w:color w:val="000000"/>
                <w:sz w:val="16"/>
                <w:szCs w:val="16"/>
              </w:rPr>
            </w:pPr>
            <w:r w:rsidRPr="00E96419">
              <w:rPr>
                <w:rFonts w:ascii="Arial" w:hAnsi="Arial"/>
                <w:color w:val="000000"/>
                <w:sz w:val="16"/>
                <w:szCs w:val="16"/>
              </w:rPr>
              <w:t>Current Year</w:t>
            </w:r>
          </w:p>
          <w:p w14:paraId="328105E0" w14:textId="77777777" w:rsidR="00E96419" w:rsidRPr="00E96419" w:rsidRDefault="00E96419" w:rsidP="00E96419">
            <w:pPr>
              <w:tabs>
                <w:tab w:val="left" w:pos="709"/>
              </w:tabs>
              <w:spacing w:before="0" w:after="0"/>
              <w:rPr>
                <w:rFonts w:ascii="Arial" w:hAnsi="Arial"/>
                <w:color w:val="000000"/>
                <w:sz w:val="16"/>
                <w:szCs w:val="16"/>
              </w:rPr>
            </w:pPr>
            <w:r w:rsidRPr="00E96419">
              <w:rPr>
                <w:rFonts w:ascii="Arial" w:hAnsi="Arial"/>
                <w:color w:val="000000"/>
                <w:sz w:val="16"/>
                <w:szCs w:val="16"/>
              </w:rPr>
              <w:t>2024-25</w:t>
            </w:r>
            <w:r>
              <w:rPr>
                <w:rFonts w:ascii="Arial" w:hAnsi="Arial"/>
                <w:color w:val="000000"/>
                <w:sz w:val="16"/>
                <w:szCs w:val="16"/>
              </w:rPr>
              <w:t xml:space="preserve"> </w:t>
            </w:r>
            <w:r w:rsidRPr="00E96419">
              <w:rPr>
                <w:rFonts w:ascii="Arial" w:hAnsi="Arial"/>
                <w:color w:val="000000"/>
                <w:sz w:val="16"/>
                <w:szCs w:val="16"/>
                <w:vertAlign w:val="superscript"/>
              </w:rPr>
              <w:t>[a]</w:t>
            </w:r>
          </w:p>
        </w:tc>
        <w:tc>
          <w:tcPr>
            <w:tcW w:w="3174" w:type="dxa"/>
            <w:tcBorders>
              <w:top w:val="single" w:sz="4" w:space="0" w:color="auto"/>
              <w:bottom w:val="dotted" w:sz="4" w:space="0" w:color="auto"/>
            </w:tcBorders>
          </w:tcPr>
          <w:p w14:paraId="1ACB438F" w14:textId="4CD2D3E8" w:rsidR="00E96419" w:rsidRPr="000B3F29" w:rsidRDefault="000B3F29" w:rsidP="000B3F29">
            <w:pPr>
              <w:tabs>
                <w:tab w:val="left" w:pos="709"/>
              </w:tabs>
              <w:spacing w:before="60" w:after="60"/>
              <w:rPr>
                <w:rFonts w:ascii="Arial" w:hAnsi="Arial"/>
                <w:color w:val="000000"/>
                <w:sz w:val="16"/>
                <w:szCs w:val="16"/>
              </w:rPr>
            </w:pPr>
            <w:r w:rsidRPr="000B3F29">
              <w:rPr>
                <w:rFonts w:ascii="Arial" w:hAnsi="Arial"/>
                <w:sz w:val="16"/>
                <w:szCs w:val="16"/>
                <w:lang w:val="en-AU"/>
              </w:rPr>
              <w:t>1.1: Defence maintains ready forces, plans and conducts operations, activities and investments as directed by Government to achieve Defence’s strategic objectives.</w:t>
            </w:r>
          </w:p>
        </w:tc>
        <w:tc>
          <w:tcPr>
            <w:tcW w:w="3379" w:type="dxa"/>
            <w:tcBorders>
              <w:top w:val="single" w:sz="4" w:space="0" w:color="auto"/>
              <w:bottom w:val="dotted" w:sz="4" w:space="0" w:color="auto"/>
            </w:tcBorders>
          </w:tcPr>
          <w:p w14:paraId="02EB8EFC" w14:textId="77777777" w:rsidR="00E96419" w:rsidRPr="000B3F29" w:rsidRDefault="00E96419" w:rsidP="00E96419">
            <w:pPr>
              <w:tabs>
                <w:tab w:val="left" w:pos="709"/>
              </w:tabs>
              <w:spacing w:before="60" w:after="60"/>
              <w:rPr>
                <w:rFonts w:ascii="Arial" w:hAnsi="Arial"/>
                <w:color w:val="000000"/>
                <w:sz w:val="16"/>
                <w:szCs w:val="16"/>
                <w:lang w:val="en-AU"/>
              </w:rPr>
            </w:pPr>
            <w:r w:rsidRPr="000B3F29">
              <w:rPr>
                <w:rFonts w:ascii="Arial" w:hAnsi="Arial"/>
                <w:color w:val="000000"/>
                <w:sz w:val="16"/>
                <w:szCs w:val="16"/>
                <w:lang w:val="en-AU"/>
              </w:rPr>
              <w:t xml:space="preserve">Defence responds to Australian Government requirements and conducts operations as directed. This will change </w:t>
            </w:r>
            <w:r w:rsidRPr="000B3F29">
              <w:rPr>
                <w:rFonts w:ascii="Arial" w:hAnsi="Arial"/>
                <w:sz w:val="16"/>
                <w:szCs w:val="16"/>
                <w:lang w:val="en-AU"/>
              </w:rPr>
              <w:t>year on year</w:t>
            </w:r>
            <w:r w:rsidRPr="000B3F29">
              <w:rPr>
                <w:rFonts w:ascii="Arial" w:hAnsi="Arial"/>
                <w:color w:val="000000"/>
                <w:sz w:val="16"/>
                <w:szCs w:val="16"/>
                <w:lang w:val="en-AU"/>
              </w:rPr>
              <w:t>.</w:t>
            </w:r>
          </w:p>
          <w:p w14:paraId="21D8F858" w14:textId="2A6B4937" w:rsidR="00E96419" w:rsidRPr="000B3F29" w:rsidRDefault="000B3F29" w:rsidP="00E96419">
            <w:pPr>
              <w:tabs>
                <w:tab w:val="left" w:pos="709"/>
              </w:tabs>
              <w:spacing w:before="60" w:after="60"/>
              <w:jc w:val="right"/>
              <w:rPr>
                <w:rFonts w:ascii="Arial" w:hAnsi="Arial"/>
                <w:i/>
                <w:color w:val="000000"/>
                <w:sz w:val="16"/>
                <w:szCs w:val="16"/>
              </w:rPr>
            </w:pPr>
            <w:r w:rsidRPr="000B3F29">
              <w:rPr>
                <w:rFonts w:ascii="Arial" w:hAnsi="Arial"/>
                <w:i/>
                <w:sz w:val="16"/>
                <w:szCs w:val="16"/>
                <w:lang w:val="en-AU"/>
              </w:rPr>
              <w:t>Expected to be achieved</w:t>
            </w:r>
            <w:r w:rsidR="00E96419" w:rsidRPr="000B3F29">
              <w:rPr>
                <w:rFonts w:ascii="Arial" w:hAnsi="Arial"/>
                <w:i/>
                <w:sz w:val="16"/>
                <w:szCs w:val="16"/>
                <w:lang w:val="en-AU"/>
              </w:rPr>
              <w:t>.</w:t>
            </w:r>
          </w:p>
        </w:tc>
      </w:tr>
      <w:tr w:rsidR="00E96419" w:rsidRPr="00E96419" w14:paraId="7A7EE665" w14:textId="77777777" w:rsidTr="00FE6E78">
        <w:tblPrEx>
          <w:shd w:val="clear" w:color="auto" w:fill="auto"/>
          <w:tblLook w:val="04A0" w:firstRow="1" w:lastRow="0" w:firstColumn="1" w:lastColumn="0" w:noHBand="0" w:noVBand="1"/>
        </w:tblPrEx>
        <w:trPr>
          <w:trHeight w:val="963"/>
        </w:trPr>
        <w:tc>
          <w:tcPr>
            <w:tcW w:w="1799" w:type="dxa"/>
            <w:vMerge/>
            <w:tcBorders>
              <w:top w:val="dotted" w:sz="4" w:space="0" w:color="auto"/>
              <w:bottom w:val="single" w:sz="4" w:space="0" w:color="auto"/>
            </w:tcBorders>
          </w:tcPr>
          <w:p w14:paraId="196D21C4" w14:textId="77777777" w:rsidR="00E96419" w:rsidRPr="00E96419" w:rsidRDefault="00E96419" w:rsidP="00E96419">
            <w:pPr>
              <w:tabs>
                <w:tab w:val="left" w:pos="709"/>
              </w:tabs>
              <w:spacing w:before="60" w:after="60"/>
              <w:rPr>
                <w:rFonts w:ascii="Arial" w:hAnsi="Arial"/>
                <w:color w:val="000000"/>
                <w:sz w:val="16"/>
                <w:szCs w:val="16"/>
              </w:rPr>
            </w:pPr>
          </w:p>
        </w:tc>
        <w:tc>
          <w:tcPr>
            <w:tcW w:w="3174" w:type="dxa"/>
            <w:tcBorders>
              <w:top w:val="dotted" w:sz="4" w:space="0" w:color="auto"/>
              <w:bottom w:val="dotted" w:sz="4" w:space="0" w:color="auto"/>
            </w:tcBorders>
          </w:tcPr>
          <w:p w14:paraId="0AB52D0E" w14:textId="77777777" w:rsidR="00E96419" w:rsidRPr="00E96419" w:rsidRDefault="00E96419" w:rsidP="00E96419">
            <w:pPr>
              <w:tabs>
                <w:tab w:val="left" w:pos="709"/>
              </w:tabs>
              <w:spacing w:before="60" w:after="60"/>
              <w:rPr>
                <w:rFonts w:ascii="Arial" w:hAnsi="Arial"/>
                <w:color w:val="000000"/>
                <w:sz w:val="16"/>
                <w:szCs w:val="16"/>
              </w:rPr>
            </w:pPr>
            <w:r w:rsidRPr="00E96419">
              <w:rPr>
                <w:rFonts w:ascii="Arial" w:hAnsi="Arial"/>
                <w:sz w:val="16"/>
                <w:szCs w:val="16"/>
                <w:lang w:val="en-AU"/>
              </w:rPr>
              <w:t>1.2: Defence commits ADF and/or APS assistance to domestic crisis and emergency response, as directed by Government.</w:t>
            </w:r>
          </w:p>
        </w:tc>
        <w:tc>
          <w:tcPr>
            <w:tcW w:w="3379" w:type="dxa"/>
            <w:tcBorders>
              <w:top w:val="dotted" w:sz="4" w:space="0" w:color="auto"/>
              <w:bottom w:val="dotted" w:sz="4" w:space="0" w:color="auto"/>
            </w:tcBorders>
          </w:tcPr>
          <w:p w14:paraId="638E252F" w14:textId="77777777" w:rsidR="00E96419" w:rsidRPr="000B3F29" w:rsidRDefault="00E96419" w:rsidP="00E96419">
            <w:pPr>
              <w:autoSpaceDE w:val="0"/>
              <w:autoSpaceDN w:val="0"/>
              <w:adjustRightInd w:val="0"/>
              <w:spacing w:before="0" w:after="0"/>
              <w:rPr>
                <w:rFonts w:ascii="Arial" w:hAnsi="Arial"/>
                <w:color w:val="000000"/>
                <w:sz w:val="16"/>
                <w:szCs w:val="16"/>
                <w:lang w:val="en-AU"/>
              </w:rPr>
            </w:pPr>
            <w:r w:rsidRPr="000B3F29">
              <w:rPr>
                <w:rFonts w:ascii="Arial" w:hAnsi="Arial"/>
                <w:color w:val="000000"/>
                <w:sz w:val="16"/>
                <w:szCs w:val="16"/>
                <w:lang w:val="en-AU"/>
              </w:rPr>
              <w:t>Defence responds to Australian Government direction as required. This will change year on year.</w:t>
            </w:r>
          </w:p>
          <w:p w14:paraId="5F3577A1" w14:textId="77777777" w:rsidR="00E96419" w:rsidRPr="000B3F29" w:rsidRDefault="00E96419" w:rsidP="00E96419">
            <w:pPr>
              <w:autoSpaceDE w:val="0"/>
              <w:autoSpaceDN w:val="0"/>
              <w:adjustRightInd w:val="0"/>
              <w:spacing w:before="0" w:after="0"/>
              <w:rPr>
                <w:rFonts w:ascii="Arial" w:hAnsi="Arial"/>
                <w:color w:val="000000"/>
                <w:sz w:val="16"/>
                <w:szCs w:val="16"/>
                <w:lang w:val="en-AU"/>
              </w:rPr>
            </w:pPr>
          </w:p>
          <w:p w14:paraId="213B497C" w14:textId="7976C219" w:rsidR="00E96419" w:rsidRPr="000B3F29" w:rsidRDefault="000B3F29" w:rsidP="00E96419">
            <w:pPr>
              <w:autoSpaceDE w:val="0"/>
              <w:autoSpaceDN w:val="0"/>
              <w:adjustRightInd w:val="0"/>
              <w:spacing w:before="0" w:after="0"/>
              <w:jc w:val="right"/>
              <w:rPr>
                <w:rFonts w:ascii="Arial" w:hAnsi="Arial"/>
                <w:sz w:val="16"/>
                <w:szCs w:val="16"/>
                <w:lang w:val="en-AU"/>
              </w:rPr>
            </w:pPr>
            <w:r w:rsidRPr="000B3F29">
              <w:rPr>
                <w:rFonts w:ascii="Arial" w:hAnsi="Arial"/>
                <w:i/>
                <w:sz w:val="16"/>
                <w:szCs w:val="16"/>
                <w:lang w:val="en-AU"/>
              </w:rPr>
              <w:t>Expected to be achieved</w:t>
            </w:r>
            <w:r w:rsidR="00E96419" w:rsidRPr="000B3F29">
              <w:rPr>
                <w:rFonts w:ascii="Arial" w:hAnsi="Arial"/>
                <w:i/>
                <w:sz w:val="16"/>
                <w:szCs w:val="16"/>
                <w:lang w:val="en-AU"/>
              </w:rPr>
              <w:t>.</w:t>
            </w:r>
          </w:p>
        </w:tc>
      </w:tr>
      <w:tr w:rsidR="00E96419" w:rsidRPr="00E96419" w14:paraId="7440714A" w14:textId="77777777" w:rsidTr="00FE6E78">
        <w:tblPrEx>
          <w:shd w:val="clear" w:color="auto" w:fill="auto"/>
          <w:tblLook w:val="04A0" w:firstRow="1" w:lastRow="0" w:firstColumn="1" w:lastColumn="0" w:noHBand="0" w:noVBand="1"/>
        </w:tblPrEx>
        <w:trPr>
          <w:trHeight w:val="470"/>
        </w:trPr>
        <w:tc>
          <w:tcPr>
            <w:tcW w:w="1799" w:type="dxa"/>
            <w:vMerge/>
            <w:tcBorders>
              <w:top w:val="dotted" w:sz="4" w:space="0" w:color="auto"/>
              <w:bottom w:val="single" w:sz="4" w:space="0" w:color="auto"/>
            </w:tcBorders>
          </w:tcPr>
          <w:p w14:paraId="7159B46A" w14:textId="77777777" w:rsidR="00E96419" w:rsidRPr="00E96419" w:rsidRDefault="00E96419" w:rsidP="00E96419">
            <w:pPr>
              <w:tabs>
                <w:tab w:val="left" w:pos="709"/>
              </w:tabs>
              <w:spacing w:before="60" w:after="60"/>
              <w:rPr>
                <w:rFonts w:ascii="Arial" w:hAnsi="Arial"/>
                <w:color w:val="000000"/>
                <w:sz w:val="16"/>
                <w:szCs w:val="16"/>
              </w:rPr>
            </w:pPr>
          </w:p>
        </w:tc>
        <w:tc>
          <w:tcPr>
            <w:tcW w:w="3174" w:type="dxa"/>
            <w:tcBorders>
              <w:top w:val="dotted" w:sz="4" w:space="0" w:color="auto"/>
              <w:bottom w:val="single" w:sz="4" w:space="0" w:color="auto"/>
            </w:tcBorders>
          </w:tcPr>
          <w:p w14:paraId="196B2CF0" w14:textId="77777777" w:rsidR="00E96419" w:rsidRPr="00E96419" w:rsidRDefault="00E96419" w:rsidP="00002F5C">
            <w:pPr>
              <w:tabs>
                <w:tab w:val="left" w:pos="709"/>
              </w:tabs>
              <w:spacing w:before="60" w:after="60"/>
              <w:rPr>
                <w:rFonts w:ascii="Arial" w:hAnsi="Arial"/>
                <w:color w:val="000000"/>
                <w:sz w:val="16"/>
                <w:szCs w:val="16"/>
              </w:rPr>
            </w:pPr>
            <w:r w:rsidRPr="00E96419">
              <w:rPr>
                <w:rFonts w:ascii="Arial" w:hAnsi="Arial"/>
                <w:sz w:val="16"/>
                <w:szCs w:val="16"/>
                <w:lang w:val="en-AU"/>
              </w:rPr>
              <w:t xml:space="preserve">6.1: Defence is delivering the right future capability at the right time within the Integrated Investment Program to ensure it is equipped to respond to future security challenges as directed by the </w:t>
            </w:r>
            <w:r w:rsidRPr="00002F5C">
              <w:rPr>
                <w:rFonts w:ascii="Arial" w:hAnsi="Arial"/>
                <w:i/>
                <w:sz w:val="16"/>
                <w:szCs w:val="16"/>
                <w:lang w:val="en-AU"/>
              </w:rPr>
              <w:t>2024 National Defence Strategy</w:t>
            </w:r>
            <w:r w:rsidRPr="00E96419">
              <w:rPr>
                <w:rFonts w:ascii="Arial" w:hAnsi="Arial"/>
                <w:sz w:val="16"/>
                <w:szCs w:val="16"/>
                <w:lang w:val="en-AU"/>
              </w:rPr>
              <w:t>.</w:t>
            </w:r>
          </w:p>
        </w:tc>
        <w:tc>
          <w:tcPr>
            <w:tcW w:w="3379" w:type="dxa"/>
            <w:tcBorders>
              <w:top w:val="dotted" w:sz="4" w:space="0" w:color="auto"/>
              <w:bottom w:val="single" w:sz="4" w:space="0" w:color="auto"/>
            </w:tcBorders>
          </w:tcPr>
          <w:p w14:paraId="3FA7B25A" w14:textId="77777777" w:rsidR="00E96419" w:rsidRPr="000B3F29" w:rsidRDefault="00E96419" w:rsidP="00E96419">
            <w:pPr>
              <w:tabs>
                <w:tab w:val="left" w:pos="709"/>
              </w:tabs>
              <w:spacing w:before="60" w:after="60"/>
              <w:rPr>
                <w:rFonts w:ascii="Arial" w:hAnsi="Arial"/>
                <w:sz w:val="16"/>
                <w:szCs w:val="16"/>
                <w:lang w:val="en-AU"/>
              </w:rPr>
            </w:pPr>
            <w:r w:rsidRPr="000B3F29">
              <w:rPr>
                <w:rFonts w:ascii="Arial" w:hAnsi="Arial"/>
                <w:sz w:val="16"/>
                <w:szCs w:val="16"/>
                <w:lang w:val="en-AU"/>
              </w:rPr>
              <w:t>80 per cent or more of approved Integrated Investment Program projects across all domains are on track to deliver the scope approved by Government within Government approved cost and schedule.</w:t>
            </w:r>
          </w:p>
          <w:p w14:paraId="1F720542" w14:textId="4386A623" w:rsidR="00E96419" w:rsidRPr="000B3F29" w:rsidRDefault="000B3F29" w:rsidP="00E96419">
            <w:pPr>
              <w:tabs>
                <w:tab w:val="left" w:pos="709"/>
              </w:tabs>
              <w:spacing w:before="60" w:after="60"/>
              <w:jc w:val="right"/>
              <w:rPr>
                <w:rFonts w:ascii="Arial" w:hAnsi="Arial"/>
                <w:color w:val="000000"/>
                <w:sz w:val="16"/>
                <w:szCs w:val="16"/>
              </w:rPr>
            </w:pPr>
            <w:r w:rsidRPr="000B3F29">
              <w:rPr>
                <w:rFonts w:ascii="Arial" w:hAnsi="Arial"/>
                <w:i/>
                <w:sz w:val="16"/>
                <w:szCs w:val="16"/>
                <w:lang w:val="en-AU"/>
              </w:rPr>
              <w:t>Expected to be substantially achieved</w:t>
            </w:r>
            <w:r w:rsidR="00E96419" w:rsidRPr="000B3F29">
              <w:rPr>
                <w:rFonts w:ascii="Arial" w:hAnsi="Arial"/>
                <w:i/>
                <w:sz w:val="16"/>
                <w:szCs w:val="16"/>
                <w:lang w:val="en-AU"/>
              </w:rPr>
              <w:t>.</w:t>
            </w:r>
          </w:p>
        </w:tc>
      </w:tr>
      <w:tr w:rsidR="0004322A" w:rsidRPr="00E96419" w14:paraId="299386F2" w14:textId="77777777" w:rsidTr="00FE6E78">
        <w:tblPrEx>
          <w:shd w:val="clear" w:color="auto" w:fill="auto"/>
          <w:tblLook w:val="04A0" w:firstRow="1" w:lastRow="0" w:firstColumn="1" w:lastColumn="0" w:noHBand="0" w:noVBand="1"/>
        </w:tblPrEx>
        <w:trPr>
          <w:trHeight w:val="258"/>
        </w:trPr>
        <w:tc>
          <w:tcPr>
            <w:tcW w:w="1799" w:type="dxa"/>
            <w:tcBorders>
              <w:top w:val="single" w:sz="4" w:space="0" w:color="auto"/>
              <w:bottom w:val="single" w:sz="4" w:space="0" w:color="auto"/>
            </w:tcBorders>
          </w:tcPr>
          <w:p w14:paraId="67472C8D" w14:textId="77777777" w:rsidR="0004322A" w:rsidRPr="00E96419" w:rsidRDefault="0004322A" w:rsidP="0004322A">
            <w:pPr>
              <w:tabs>
                <w:tab w:val="left" w:pos="709"/>
              </w:tabs>
              <w:spacing w:before="60" w:after="60"/>
              <w:rPr>
                <w:rFonts w:ascii="Arial" w:hAnsi="Arial"/>
                <w:b/>
                <w:color w:val="000000"/>
                <w:sz w:val="16"/>
                <w:szCs w:val="16"/>
              </w:rPr>
            </w:pPr>
            <w:r w:rsidRPr="00E96419">
              <w:rPr>
                <w:rFonts w:ascii="Arial" w:hAnsi="Arial"/>
                <w:b/>
                <w:color w:val="000000"/>
                <w:sz w:val="16"/>
                <w:szCs w:val="16"/>
              </w:rPr>
              <w:t>Year</w:t>
            </w:r>
          </w:p>
        </w:tc>
        <w:tc>
          <w:tcPr>
            <w:tcW w:w="3174" w:type="dxa"/>
            <w:tcBorders>
              <w:top w:val="single" w:sz="4" w:space="0" w:color="auto"/>
              <w:bottom w:val="single" w:sz="4" w:space="0" w:color="auto"/>
            </w:tcBorders>
          </w:tcPr>
          <w:p w14:paraId="3085030D" w14:textId="77777777" w:rsidR="0004322A" w:rsidRPr="00E96419" w:rsidRDefault="0004322A" w:rsidP="0004322A">
            <w:pPr>
              <w:tabs>
                <w:tab w:val="left" w:pos="709"/>
                <w:tab w:val="center" w:pos="1818"/>
              </w:tabs>
              <w:spacing w:before="60" w:after="60"/>
              <w:rPr>
                <w:rFonts w:ascii="Arial" w:hAnsi="Arial"/>
                <w:b/>
                <w:color w:val="000000"/>
                <w:sz w:val="16"/>
                <w:szCs w:val="16"/>
              </w:rPr>
            </w:pPr>
            <w:r w:rsidRPr="00E96419">
              <w:rPr>
                <w:rFonts w:ascii="Arial" w:hAnsi="Arial"/>
                <w:b/>
                <w:color w:val="000000"/>
                <w:sz w:val="16"/>
                <w:szCs w:val="16"/>
              </w:rPr>
              <w:t>Performance measures</w:t>
            </w:r>
          </w:p>
        </w:tc>
        <w:tc>
          <w:tcPr>
            <w:tcW w:w="3379" w:type="dxa"/>
            <w:tcBorders>
              <w:top w:val="single" w:sz="4" w:space="0" w:color="auto"/>
              <w:bottom w:val="single" w:sz="4" w:space="0" w:color="auto"/>
            </w:tcBorders>
          </w:tcPr>
          <w:p w14:paraId="79D2DDCA" w14:textId="77777777" w:rsidR="0004322A" w:rsidRPr="00E96419" w:rsidRDefault="0004322A" w:rsidP="0004322A">
            <w:pPr>
              <w:tabs>
                <w:tab w:val="left" w:pos="709"/>
              </w:tabs>
              <w:spacing w:before="60" w:after="60"/>
              <w:rPr>
                <w:rFonts w:ascii="Arial" w:hAnsi="Arial"/>
                <w:b/>
                <w:color w:val="000000"/>
                <w:sz w:val="16"/>
                <w:szCs w:val="16"/>
              </w:rPr>
            </w:pPr>
            <w:r w:rsidRPr="00E96419">
              <w:rPr>
                <w:rFonts w:ascii="Arial" w:hAnsi="Arial"/>
                <w:b/>
                <w:color w:val="000000"/>
                <w:sz w:val="16"/>
                <w:szCs w:val="16"/>
              </w:rPr>
              <w:t>Planned Performance Results</w:t>
            </w:r>
          </w:p>
        </w:tc>
      </w:tr>
      <w:tr w:rsidR="00E96419" w:rsidRPr="00CD66E1" w14:paraId="65834CC8" w14:textId="77777777" w:rsidTr="00FE6E78">
        <w:tblPrEx>
          <w:shd w:val="clear" w:color="auto" w:fill="auto"/>
          <w:tblLook w:val="04A0" w:firstRow="1" w:lastRow="0" w:firstColumn="1" w:lastColumn="0" w:noHBand="0" w:noVBand="1"/>
        </w:tblPrEx>
        <w:trPr>
          <w:trHeight w:val="380"/>
        </w:trPr>
        <w:tc>
          <w:tcPr>
            <w:tcW w:w="1799" w:type="dxa"/>
            <w:vMerge w:val="restart"/>
            <w:tcBorders>
              <w:top w:val="single" w:sz="4" w:space="0" w:color="auto"/>
            </w:tcBorders>
          </w:tcPr>
          <w:p w14:paraId="1BACAF6F" w14:textId="77777777" w:rsidR="00E96419" w:rsidRPr="00E96419" w:rsidRDefault="00E96419" w:rsidP="00E96419">
            <w:pPr>
              <w:tabs>
                <w:tab w:val="left" w:pos="709"/>
              </w:tabs>
              <w:spacing w:before="0" w:after="0"/>
              <w:rPr>
                <w:rFonts w:ascii="Arial" w:hAnsi="Arial"/>
                <w:color w:val="000000"/>
                <w:sz w:val="16"/>
                <w:szCs w:val="16"/>
              </w:rPr>
            </w:pPr>
            <w:r w:rsidRPr="00E96419">
              <w:rPr>
                <w:rFonts w:ascii="Arial" w:hAnsi="Arial"/>
                <w:color w:val="000000"/>
                <w:sz w:val="16"/>
                <w:szCs w:val="16"/>
              </w:rPr>
              <w:t xml:space="preserve">Budget Year </w:t>
            </w:r>
          </w:p>
          <w:p w14:paraId="4AD2EDAC" w14:textId="77777777" w:rsidR="00E96419" w:rsidRPr="00E96419" w:rsidRDefault="00E96419" w:rsidP="00E96419">
            <w:pPr>
              <w:tabs>
                <w:tab w:val="left" w:pos="709"/>
              </w:tabs>
              <w:spacing w:before="0" w:after="0"/>
              <w:rPr>
                <w:rFonts w:ascii="Arial" w:hAnsi="Arial"/>
                <w:color w:val="000000"/>
                <w:sz w:val="16"/>
                <w:szCs w:val="16"/>
              </w:rPr>
            </w:pPr>
            <w:r w:rsidRPr="00E96419">
              <w:rPr>
                <w:rFonts w:ascii="Arial" w:hAnsi="Arial"/>
                <w:color w:val="000000"/>
                <w:sz w:val="16"/>
                <w:szCs w:val="16"/>
              </w:rPr>
              <w:t>2025-26</w:t>
            </w:r>
            <w:r>
              <w:rPr>
                <w:rFonts w:ascii="Arial" w:hAnsi="Arial"/>
                <w:color w:val="000000"/>
                <w:sz w:val="16"/>
                <w:szCs w:val="16"/>
              </w:rPr>
              <w:t xml:space="preserve"> </w:t>
            </w:r>
            <w:r w:rsidRPr="00E96419">
              <w:rPr>
                <w:rFonts w:ascii="Arial" w:hAnsi="Arial"/>
                <w:color w:val="000000"/>
                <w:sz w:val="16"/>
                <w:szCs w:val="16"/>
                <w:vertAlign w:val="superscript"/>
              </w:rPr>
              <w:t>[b]</w:t>
            </w:r>
          </w:p>
        </w:tc>
        <w:tc>
          <w:tcPr>
            <w:tcW w:w="3174" w:type="dxa"/>
            <w:tcBorders>
              <w:top w:val="single" w:sz="4" w:space="0" w:color="auto"/>
            </w:tcBorders>
          </w:tcPr>
          <w:p w14:paraId="18F4A9BE" w14:textId="20BFF70D" w:rsidR="00E96419" w:rsidRPr="00470FF0" w:rsidRDefault="000B3F29" w:rsidP="00E96419">
            <w:pPr>
              <w:tabs>
                <w:tab w:val="left" w:pos="709"/>
              </w:tabs>
              <w:spacing w:before="60" w:after="60"/>
              <w:rPr>
                <w:rFonts w:ascii="Arial" w:hAnsi="Arial"/>
                <w:color w:val="000000"/>
                <w:sz w:val="16"/>
                <w:szCs w:val="16"/>
              </w:rPr>
            </w:pPr>
            <w:r w:rsidRPr="000B3F29">
              <w:rPr>
                <w:rFonts w:ascii="Arial" w:hAnsi="Arial"/>
                <w:sz w:val="16"/>
                <w:szCs w:val="16"/>
                <w:lang w:val="en-AU"/>
              </w:rPr>
              <w:t>1.1: Defence maintains ready forces, plans and conducts operations, activities and investments as directed by Government to achieve Defence’s strategic objectives</w:t>
            </w:r>
            <w:r w:rsidRPr="000B3F29">
              <w:rPr>
                <w:rFonts w:ascii="Arial" w:hAnsi="Arial"/>
                <w:color w:val="000000"/>
                <w:sz w:val="16"/>
                <w:szCs w:val="16"/>
                <w:lang w:val="en-AU"/>
              </w:rPr>
              <w:t>.</w:t>
            </w:r>
          </w:p>
        </w:tc>
        <w:tc>
          <w:tcPr>
            <w:tcW w:w="3379" w:type="dxa"/>
            <w:tcBorders>
              <w:top w:val="single" w:sz="4" w:space="0" w:color="auto"/>
            </w:tcBorders>
          </w:tcPr>
          <w:p w14:paraId="7D2091B8" w14:textId="77777777" w:rsidR="00E96419" w:rsidRPr="0036429E" w:rsidRDefault="00E96419" w:rsidP="00E96419">
            <w:pPr>
              <w:tabs>
                <w:tab w:val="left" w:pos="709"/>
              </w:tabs>
              <w:spacing w:before="60" w:after="60"/>
              <w:rPr>
                <w:rFonts w:ascii="Arial" w:hAnsi="Arial"/>
                <w:i/>
                <w:color w:val="000000"/>
                <w:sz w:val="16"/>
                <w:szCs w:val="16"/>
              </w:rPr>
            </w:pPr>
            <w:r w:rsidRPr="0036429E">
              <w:rPr>
                <w:rFonts w:ascii="Arial" w:hAnsi="Arial"/>
                <w:color w:val="000000"/>
                <w:sz w:val="16"/>
                <w:szCs w:val="16"/>
                <w:lang w:val="en-AU"/>
              </w:rPr>
              <w:t xml:space="preserve">Defence responds to Australian Government requirements and conducts operations as directed. This will change </w:t>
            </w:r>
            <w:r w:rsidRPr="0036429E">
              <w:rPr>
                <w:rFonts w:ascii="Arial" w:hAnsi="Arial"/>
                <w:sz w:val="16"/>
                <w:szCs w:val="16"/>
                <w:lang w:val="en-AU"/>
              </w:rPr>
              <w:t>year</w:t>
            </w:r>
            <w:r>
              <w:rPr>
                <w:rFonts w:ascii="Arial" w:hAnsi="Arial"/>
                <w:sz w:val="16"/>
                <w:szCs w:val="16"/>
                <w:lang w:val="en-AU"/>
              </w:rPr>
              <w:t xml:space="preserve"> </w:t>
            </w:r>
            <w:r w:rsidRPr="0036429E">
              <w:rPr>
                <w:rFonts w:ascii="Arial" w:hAnsi="Arial"/>
                <w:sz w:val="16"/>
                <w:szCs w:val="16"/>
                <w:lang w:val="en-AU"/>
              </w:rPr>
              <w:t>on</w:t>
            </w:r>
            <w:r>
              <w:rPr>
                <w:rFonts w:ascii="Arial" w:hAnsi="Arial"/>
                <w:sz w:val="16"/>
                <w:szCs w:val="16"/>
                <w:lang w:val="en-AU"/>
              </w:rPr>
              <w:t xml:space="preserve"> </w:t>
            </w:r>
            <w:r w:rsidRPr="0036429E">
              <w:rPr>
                <w:rFonts w:ascii="Arial" w:hAnsi="Arial"/>
                <w:sz w:val="16"/>
                <w:szCs w:val="16"/>
                <w:lang w:val="en-AU"/>
              </w:rPr>
              <w:t>year</w:t>
            </w:r>
            <w:r w:rsidRPr="0036429E">
              <w:rPr>
                <w:rFonts w:ascii="Arial" w:hAnsi="Arial"/>
                <w:color w:val="000000"/>
                <w:sz w:val="16"/>
                <w:szCs w:val="16"/>
                <w:lang w:val="en-AU"/>
              </w:rPr>
              <w:t>.</w:t>
            </w:r>
          </w:p>
        </w:tc>
      </w:tr>
      <w:tr w:rsidR="00E96419" w:rsidRPr="00CD66E1" w14:paraId="60DBC16D" w14:textId="77777777" w:rsidTr="00FE6E78">
        <w:tblPrEx>
          <w:shd w:val="clear" w:color="auto" w:fill="auto"/>
          <w:tblLook w:val="04A0" w:firstRow="1" w:lastRow="0" w:firstColumn="1" w:lastColumn="0" w:noHBand="0" w:noVBand="1"/>
        </w:tblPrEx>
        <w:trPr>
          <w:trHeight w:val="380"/>
        </w:trPr>
        <w:tc>
          <w:tcPr>
            <w:tcW w:w="1799" w:type="dxa"/>
            <w:vMerge/>
          </w:tcPr>
          <w:p w14:paraId="7925881E" w14:textId="77777777" w:rsidR="00E96419" w:rsidRPr="00CD66E1" w:rsidRDefault="00E96419" w:rsidP="00E96419">
            <w:pPr>
              <w:tabs>
                <w:tab w:val="left" w:pos="709"/>
              </w:tabs>
              <w:spacing w:before="60" w:after="0"/>
              <w:rPr>
                <w:rFonts w:ascii="Arial" w:hAnsi="Arial"/>
                <w:color w:val="000000"/>
                <w:sz w:val="16"/>
                <w:szCs w:val="16"/>
                <w:highlight w:val="yellow"/>
              </w:rPr>
            </w:pPr>
          </w:p>
        </w:tc>
        <w:tc>
          <w:tcPr>
            <w:tcW w:w="3174" w:type="dxa"/>
            <w:tcBorders>
              <w:top w:val="dotted" w:sz="4" w:space="0" w:color="auto"/>
            </w:tcBorders>
          </w:tcPr>
          <w:p w14:paraId="2FE3E395" w14:textId="77777777" w:rsidR="00E96419" w:rsidRPr="00470FF0" w:rsidRDefault="00E96419" w:rsidP="00E96419">
            <w:pPr>
              <w:tabs>
                <w:tab w:val="left" w:pos="709"/>
              </w:tabs>
              <w:spacing w:before="60" w:after="60"/>
              <w:rPr>
                <w:rFonts w:ascii="Arial" w:hAnsi="Arial"/>
                <w:color w:val="000000"/>
                <w:sz w:val="16"/>
                <w:szCs w:val="16"/>
              </w:rPr>
            </w:pPr>
            <w:r>
              <w:rPr>
                <w:rFonts w:ascii="Arial" w:hAnsi="Arial"/>
                <w:sz w:val="16"/>
                <w:szCs w:val="16"/>
                <w:lang w:val="en-AU"/>
              </w:rPr>
              <w:t xml:space="preserve">1.2: </w:t>
            </w:r>
            <w:r w:rsidRPr="00470FF0">
              <w:rPr>
                <w:rFonts w:ascii="Arial" w:hAnsi="Arial"/>
                <w:sz w:val="16"/>
                <w:szCs w:val="16"/>
                <w:lang w:val="en-AU"/>
              </w:rPr>
              <w:t>Defence commits ADF and/or APS assistance to domestic crisis and emergency response, as directed by Government.</w:t>
            </w:r>
          </w:p>
        </w:tc>
        <w:tc>
          <w:tcPr>
            <w:tcW w:w="3379" w:type="dxa"/>
            <w:tcBorders>
              <w:top w:val="dotted" w:sz="4" w:space="0" w:color="auto"/>
            </w:tcBorders>
          </w:tcPr>
          <w:p w14:paraId="549E8832" w14:textId="77777777" w:rsidR="00E96419" w:rsidRPr="0036429E" w:rsidRDefault="00E96419" w:rsidP="00002F5C">
            <w:pPr>
              <w:tabs>
                <w:tab w:val="left" w:pos="709"/>
              </w:tabs>
              <w:spacing w:before="60" w:after="60"/>
              <w:rPr>
                <w:rFonts w:ascii="Arial" w:hAnsi="Arial"/>
                <w:sz w:val="16"/>
                <w:szCs w:val="16"/>
                <w:lang w:val="en-AU"/>
              </w:rPr>
            </w:pPr>
            <w:r w:rsidRPr="00002F5C">
              <w:rPr>
                <w:rFonts w:ascii="Arial" w:hAnsi="Arial"/>
                <w:sz w:val="16"/>
                <w:szCs w:val="16"/>
                <w:lang w:val="en-AU"/>
              </w:rPr>
              <w:t>Defence responds to Australian Government direction as required. This will change year on year.</w:t>
            </w:r>
          </w:p>
        </w:tc>
      </w:tr>
      <w:tr w:rsidR="00E96419" w:rsidRPr="00CD66E1" w14:paraId="348C7287" w14:textId="77777777" w:rsidTr="00FE6E78">
        <w:tblPrEx>
          <w:shd w:val="clear" w:color="auto" w:fill="auto"/>
          <w:tblLook w:val="04A0" w:firstRow="1" w:lastRow="0" w:firstColumn="1" w:lastColumn="0" w:noHBand="0" w:noVBand="1"/>
        </w:tblPrEx>
        <w:trPr>
          <w:trHeight w:val="783"/>
        </w:trPr>
        <w:tc>
          <w:tcPr>
            <w:tcW w:w="1799" w:type="dxa"/>
            <w:vMerge/>
            <w:tcBorders>
              <w:bottom w:val="single" w:sz="4" w:space="0" w:color="auto"/>
            </w:tcBorders>
          </w:tcPr>
          <w:p w14:paraId="69985593" w14:textId="77777777" w:rsidR="00E96419" w:rsidRPr="00CD66E1" w:rsidRDefault="00E96419" w:rsidP="00E96419">
            <w:pPr>
              <w:tabs>
                <w:tab w:val="left" w:pos="709"/>
              </w:tabs>
              <w:spacing w:before="60" w:after="60"/>
              <w:rPr>
                <w:rFonts w:ascii="Arial" w:hAnsi="Arial"/>
                <w:color w:val="000000"/>
                <w:sz w:val="16"/>
                <w:szCs w:val="16"/>
                <w:highlight w:val="yellow"/>
              </w:rPr>
            </w:pPr>
          </w:p>
        </w:tc>
        <w:tc>
          <w:tcPr>
            <w:tcW w:w="3174" w:type="dxa"/>
            <w:tcBorders>
              <w:top w:val="dotted" w:sz="4" w:space="0" w:color="auto"/>
              <w:bottom w:val="single" w:sz="4" w:space="0" w:color="auto"/>
            </w:tcBorders>
          </w:tcPr>
          <w:p w14:paraId="1417E696" w14:textId="77777777" w:rsidR="00E96419" w:rsidRPr="00470FF0" w:rsidRDefault="00E96419" w:rsidP="00002F5C">
            <w:pPr>
              <w:tabs>
                <w:tab w:val="left" w:pos="709"/>
              </w:tabs>
              <w:spacing w:before="60" w:after="60"/>
              <w:rPr>
                <w:rFonts w:ascii="Arial" w:hAnsi="Arial"/>
                <w:color w:val="000000"/>
                <w:sz w:val="16"/>
                <w:szCs w:val="16"/>
              </w:rPr>
            </w:pPr>
            <w:r w:rsidRPr="00880166">
              <w:rPr>
                <w:rFonts w:ascii="Arial" w:hAnsi="Arial"/>
                <w:sz w:val="16"/>
                <w:szCs w:val="16"/>
                <w:lang w:val="en-AU"/>
              </w:rPr>
              <w:t xml:space="preserve">6.1: Defence is delivering the right future capability at the right time within the Integrated Investment Program to ensure it is equipped to respond to future security challenges as directed by the </w:t>
            </w:r>
            <w:r w:rsidRPr="00002F5C">
              <w:rPr>
                <w:rFonts w:ascii="Arial" w:hAnsi="Arial"/>
                <w:i/>
                <w:sz w:val="16"/>
                <w:szCs w:val="16"/>
                <w:lang w:val="en-AU"/>
              </w:rPr>
              <w:t>2024 National Defence Strategy</w:t>
            </w:r>
            <w:r w:rsidRPr="00880166">
              <w:rPr>
                <w:rFonts w:ascii="Arial" w:hAnsi="Arial"/>
                <w:sz w:val="16"/>
                <w:szCs w:val="16"/>
                <w:lang w:val="en-AU"/>
              </w:rPr>
              <w:t>.</w:t>
            </w:r>
          </w:p>
        </w:tc>
        <w:tc>
          <w:tcPr>
            <w:tcW w:w="3379" w:type="dxa"/>
            <w:tcBorders>
              <w:top w:val="dotted" w:sz="4" w:space="0" w:color="auto"/>
              <w:bottom w:val="single" w:sz="4" w:space="0" w:color="auto"/>
            </w:tcBorders>
          </w:tcPr>
          <w:p w14:paraId="73F5B778" w14:textId="77777777" w:rsidR="00E96419" w:rsidRPr="0036429E" w:rsidRDefault="00E96419" w:rsidP="00E96419">
            <w:pPr>
              <w:tabs>
                <w:tab w:val="left" w:pos="709"/>
              </w:tabs>
              <w:spacing w:before="60" w:after="60"/>
              <w:rPr>
                <w:rFonts w:ascii="Arial" w:hAnsi="Arial"/>
                <w:color w:val="000000"/>
                <w:sz w:val="16"/>
                <w:szCs w:val="16"/>
              </w:rPr>
            </w:pPr>
            <w:r w:rsidRPr="0036429E">
              <w:rPr>
                <w:rFonts w:ascii="Arial" w:hAnsi="Arial"/>
                <w:sz w:val="16"/>
                <w:szCs w:val="16"/>
                <w:lang w:val="en-AU"/>
              </w:rPr>
              <w:t>80 per cent or more of approved Integrated Investment Program projects across all domains are on track to deliver the scope approved by Government within Government approved cost and schedule.</w:t>
            </w:r>
          </w:p>
        </w:tc>
      </w:tr>
    </w:tbl>
    <w:p w14:paraId="0B12694E" w14:textId="77777777" w:rsidR="0002000E" w:rsidRPr="00CD66E1" w:rsidRDefault="0002000E" w:rsidP="0002000E">
      <w:pPr>
        <w:rPr>
          <w:highlight w:val="yellow"/>
        </w:rPr>
      </w:pPr>
      <w:r w:rsidRPr="00CD66E1">
        <w:rPr>
          <w:highlight w:val="yellow"/>
        </w:rPr>
        <w:br w:type="page"/>
      </w:r>
    </w:p>
    <w:tbl>
      <w:tblPr>
        <w:tblW w:w="4852"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174"/>
        <w:gridCol w:w="3379"/>
      </w:tblGrid>
      <w:tr w:rsidR="0002000E" w:rsidRPr="00E96419" w14:paraId="23C888F0" w14:textId="77777777" w:rsidTr="003C0162">
        <w:trPr>
          <w:trHeight w:val="258"/>
        </w:trPr>
        <w:tc>
          <w:tcPr>
            <w:tcW w:w="1838" w:type="dxa"/>
            <w:tcBorders>
              <w:top w:val="single" w:sz="4" w:space="0" w:color="auto"/>
              <w:bottom w:val="single" w:sz="4" w:space="0" w:color="auto"/>
              <w:right w:val="single" w:sz="4" w:space="0" w:color="auto"/>
            </w:tcBorders>
          </w:tcPr>
          <w:p w14:paraId="5C5E9B05" w14:textId="77777777" w:rsidR="0002000E" w:rsidRPr="00E96419" w:rsidRDefault="0002000E" w:rsidP="00072EF9">
            <w:pPr>
              <w:tabs>
                <w:tab w:val="left" w:pos="709"/>
              </w:tabs>
              <w:spacing w:before="60" w:after="60"/>
              <w:rPr>
                <w:rFonts w:ascii="Arial" w:hAnsi="Arial"/>
                <w:b/>
                <w:color w:val="000000"/>
                <w:sz w:val="16"/>
                <w:szCs w:val="16"/>
              </w:rPr>
            </w:pPr>
            <w:r w:rsidRPr="00E96419">
              <w:rPr>
                <w:rFonts w:ascii="Arial" w:hAnsi="Arial"/>
                <w:b/>
                <w:color w:val="000000"/>
                <w:sz w:val="16"/>
                <w:szCs w:val="16"/>
              </w:rPr>
              <w:lastRenderedPageBreak/>
              <w:t>Year</w:t>
            </w:r>
          </w:p>
        </w:tc>
        <w:tc>
          <w:tcPr>
            <w:tcW w:w="3260" w:type="dxa"/>
            <w:tcBorders>
              <w:top w:val="single" w:sz="4" w:space="0" w:color="auto"/>
              <w:left w:val="single" w:sz="4" w:space="0" w:color="auto"/>
              <w:bottom w:val="single" w:sz="4" w:space="0" w:color="auto"/>
              <w:right w:val="single" w:sz="4" w:space="0" w:color="auto"/>
            </w:tcBorders>
          </w:tcPr>
          <w:p w14:paraId="346DE5CF" w14:textId="77777777" w:rsidR="0002000E" w:rsidRPr="00E96419" w:rsidRDefault="0002000E" w:rsidP="00072EF9">
            <w:pPr>
              <w:tabs>
                <w:tab w:val="left" w:pos="709"/>
                <w:tab w:val="center" w:pos="1818"/>
              </w:tabs>
              <w:spacing w:before="60" w:after="60"/>
              <w:rPr>
                <w:rFonts w:ascii="Arial" w:hAnsi="Arial"/>
                <w:b/>
                <w:color w:val="000000"/>
                <w:sz w:val="16"/>
                <w:szCs w:val="16"/>
              </w:rPr>
            </w:pPr>
            <w:r w:rsidRPr="00E96419">
              <w:rPr>
                <w:rFonts w:ascii="Arial" w:hAnsi="Arial"/>
                <w:b/>
                <w:color w:val="000000"/>
                <w:sz w:val="16"/>
                <w:szCs w:val="16"/>
              </w:rPr>
              <w:t>Performance measures</w:t>
            </w:r>
          </w:p>
        </w:tc>
        <w:tc>
          <w:tcPr>
            <w:tcW w:w="3474" w:type="dxa"/>
            <w:tcBorders>
              <w:top w:val="single" w:sz="4" w:space="0" w:color="auto"/>
              <w:left w:val="single" w:sz="4" w:space="0" w:color="auto"/>
              <w:bottom w:val="single" w:sz="4" w:space="0" w:color="auto"/>
            </w:tcBorders>
          </w:tcPr>
          <w:p w14:paraId="77160B9D" w14:textId="77777777" w:rsidR="0002000E" w:rsidRPr="00E96419" w:rsidRDefault="0002000E" w:rsidP="00072EF9">
            <w:pPr>
              <w:tabs>
                <w:tab w:val="left" w:pos="709"/>
              </w:tabs>
              <w:spacing w:before="60" w:after="60"/>
              <w:rPr>
                <w:rFonts w:ascii="Arial" w:hAnsi="Arial"/>
                <w:b/>
                <w:color w:val="000000"/>
                <w:sz w:val="16"/>
                <w:szCs w:val="16"/>
              </w:rPr>
            </w:pPr>
            <w:r w:rsidRPr="00E96419">
              <w:rPr>
                <w:rFonts w:ascii="Arial" w:hAnsi="Arial"/>
                <w:b/>
                <w:color w:val="000000"/>
                <w:sz w:val="16"/>
                <w:szCs w:val="16"/>
              </w:rPr>
              <w:t>Planned Performance Results</w:t>
            </w:r>
          </w:p>
        </w:tc>
      </w:tr>
      <w:tr w:rsidR="0002000E" w:rsidRPr="00E96419" w14:paraId="300D477B" w14:textId="77777777" w:rsidTr="00072EF9">
        <w:trPr>
          <w:trHeight w:val="491"/>
        </w:trPr>
        <w:tc>
          <w:tcPr>
            <w:tcW w:w="1838" w:type="dxa"/>
            <w:tcBorders>
              <w:top w:val="single" w:sz="4" w:space="0" w:color="auto"/>
              <w:bottom w:val="single" w:sz="4" w:space="0" w:color="auto"/>
              <w:right w:val="single" w:sz="4" w:space="0" w:color="auto"/>
            </w:tcBorders>
          </w:tcPr>
          <w:p w14:paraId="5F3A1F40" w14:textId="77777777" w:rsidR="0002000E" w:rsidRPr="00E96419" w:rsidRDefault="0002000E" w:rsidP="00987C39">
            <w:pPr>
              <w:tabs>
                <w:tab w:val="left" w:pos="709"/>
              </w:tabs>
              <w:spacing w:before="0" w:after="0"/>
              <w:rPr>
                <w:rFonts w:ascii="Arial" w:hAnsi="Arial"/>
                <w:color w:val="000000"/>
                <w:sz w:val="16"/>
                <w:szCs w:val="16"/>
              </w:rPr>
            </w:pPr>
            <w:r w:rsidRPr="00E96419">
              <w:rPr>
                <w:rFonts w:ascii="Arial" w:hAnsi="Arial"/>
                <w:color w:val="000000"/>
                <w:sz w:val="16"/>
                <w:szCs w:val="16"/>
              </w:rPr>
              <w:t>Forward Estimates</w:t>
            </w:r>
          </w:p>
          <w:p w14:paraId="53CDBFB4" w14:textId="77777777" w:rsidR="0002000E" w:rsidRPr="00E96419" w:rsidRDefault="0002000E" w:rsidP="00987C39">
            <w:pPr>
              <w:tabs>
                <w:tab w:val="left" w:pos="709"/>
              </w:tabs>
              <w:spacing w:before="0" w:after="0"/>
              <w:rPr>
                <w:rFonts w:ascii="Arial" w:hAnsi="Arial"/>
                <w:b/>
                <w:color w:val="000000"/>
                <w:sz w:val="16"/>
                <w:szCs w:val="16"/>
              </w:rPr>
            </w:pPr>
            <w:r w:rsidRPr="00E96419">
              <w:rPr>
                <w:rFonts w:ascii="Arial" w:hAnsi="Arial"/>
                <w:color w:val="000000"/>
                <w:sz w:val="16"/>
                <w:szCs w:val="16"/>
              </w:rPr>
              <w:t>202</w:t>
            </w:r>
            <w:r w:rsidR="004E2B1E" w:rsidRPr="00E96419">
              <w:rPr>
                <w:rFonts w:ascii="Arial" w:hAnsi="Arial"/>
                <w:color w:val="000000"/>
                <w:sz w:val="16"/>
                <w:szCs w:val="16"/>
              </w:rPr>
              <w:t>6</w:t>
            </w:r>
            <w:r w:rsidRPr="00E96419">
              <w:rPr>
                <w:rFonts w:ascii="Arial" w:hAnsi="Arial"/>
                <w:color w:val="000000"/>
                <w:sz w:val="16"/>
                <w:szCs w:val="16"/>
              </w:rPr>
              <w:t>-2</w:t>
            </w:r>
            <w:r w:rsidR="004E2B1E" w:rsidRPr="00E96419">
              <w:rPr>
                <w:rFonts w:ascii="Arial" w:hAnsi="Arial"/>
                <w:color w:val="000000"/>
                <w:sz w:val="16"/>
                <w:szCs w:val="16"/>
              </w:rPr>
              <w:t>9</w:t>
            </w:r>
          </w:p>
        </w:tc>
        <w:tc>
          <w:tcPr>
            <w:tcW w:w="3260" w:type="dxa"/>
            <w:tcBorders>
              <w:top w:val="single" w:sz="4" w:space="0" w:color="auto"/>
              <w:left w:val="single" w:sz="4" w:space="0" w:color="auto"/>
              <w:bottom w:val="single" w:sz="4" w:space="0" w:color="auto"/>
              <w:right w:val="single" w:sz="4" w:space="0" w:color="auto"/>
            </w:tcBorders>
          </w:tcPr>
          <w:p w14:paraId="174033FC" w14:textId="77777777" w:rsidR="0002000E" w:rsidRPr="00E96419" w:rsidRDefault="0002000E" w:rsidP="00E96419">
            <w:pPr>
              <w:tabs>
                <w:tab w:val="left" w:pos="709"/>
              </w:tabs>
              <w:spacing w:before="60" w:after="60"/>
              <w:rPr>
                <w:rFonts w:ascii="Arial" w:hAnsi="Arial"/>
                <w:b/>
                <w:color w:val="000000"/>
                <w:sz w:val="16"/>
                <w:szCs w:val="16"/>
              </w:rPr>
            </w:pPr>
            <w:r w:rsidRPr="00E96419">
              <w:rPr>
                <w:rFonts w:ascii="Arial" w:hAnsi="Arial"/>
                <w:color w:val="000000"/>
                <w:sz w:val="16"/>
                <w:szCs w:val="16"/>
              </w:rPr>
              <w:t>As per 202</w:t>
            </w:r>
            <w:r w:rsidR="00E96419">
              <w:rPr>
                <w:rFonts w:ascii="Arial" w:hAnsi="Arial"/>
                <w:color w:val="000000"/>
                <w:sz w:val="16"/>
                <w:szCs w:val="16"/>
              </w:rPr>
              <w:t>5</w:t>
            </w:r>
            <w:r w:rsidRPr="00E96419">
              <w:rPr>
                <w:rFonts w:ascii="Arial" w:hAnsi="Arial"/>
                <w:color w:val="000000"/>
                <w:sz w:val="16"/>
                <w:szCs w:val="16"/>
              </w:rPr>
              <w:t>-2</w:t>
            </w:r>
            <w:r w:rsidR="00E96419">
              <w:rPr>
                <w:rFonts w:ascii="Arial" w:hAnsi="Arial"/>
                <w:color w:val="000000"/>
                <w:sz w:val="16"/>
                <w:szCs w:val="16"/>
              </w:rPr>
              <w:t>6</w:t>
            </w:r>
            <w:r w:rsidRPr="00E96419">
              <w:rPr>
                <w:rFonts w:ascii="Arial" w:hAnsi="Arial"/>
                <w:color w:val="000000"/>
                <w:sz w:val="16"/>
                <w:szCs w:val="16"/>
              </w:rPr>
              <w:t>.</w:t>
            </w:r>
          </w:p>
        </w:tc>
        <w:tc>
          <w:tcPr>
            <w:tcW w:w="3474" w:type="dxa"/>
            <w:tcBorders>
              <w:top w:val="single" w:sz="4" w:space="0" w:color="auto"/>
              <w:left w:val="single" w:sz="4" w:space="0" w:color="auto"/>
              <w:bottom w:val="single" w:sz="4" w:space="0" w:color="auto"/>
            </w:tcBorders>
          </w:tcPr>
          <w:p w14:paraId="15170AFD" w14:textId="77777777" w:rsidR="0002000E" w:rsidRPr="00E96419" w:rsidRDefault="0002000E" w:rsidP="00E96419">
            <w:pPr>
              <w:tabs>
                <w:tab w:val="left" w:pos="709"/>
              </w:tabs>
              <w:spacing w:before="60" w:after="60"/>
              <w:rPr>
                <w:rFonts w:ascii="Arial" w:hAnsi="Arial"/>
                <w:b/>
                <w:color w:val="000000"/>
                <w:sz w:val="16"/>
                <w:szCs w:val="16"/>
              </w:rPr>
            </w:pPr>
            <w:r w:rsidRPr="00E96419">
              <w:rPr>
                <w:rFonts w:ascii="Arial" w:hAnsi="Arial"/>
                <w:color w:val="000000"/>
                <w:sz w:val="16"/>
                <w:szCs w:val="16"/>
              </w:rPr>
              <w:t>A</w:t>
            </w:r>
            <w:r w:rsidR="00E96419">
              <w:rPr>
                <w:rFonts w:ascii="Arial" w:hAnsi="Arial"/>
                <w:color w:val="000000"/>
                <w:sz w:val="16"/>
                <w:szCs w:val="16"/>
              </w:rPr>
              <w:t>s per 2025</w:t>
            </w:r>
            <w:r w:rsidRPr="00E96419">
              <w:rPr>
                <w:rFonts w:ascii="Arial" w:hAnsi="Arial"/>
                <w:color w:val="000000"/>
                <w:sz w:val="16"/>
                <w:szCs w:val="16"/>
              </w:rPr>
              <w:t>-2</w:t>
            </w:r>
            <w:r w:rsidR="00E96419">
              <w:rPr>
                <w:rFonts w:ascii="Arial" w:hAnsi="Arial"/>
                <w:color w:val="000000"/>
                <w:sz w:val="16"/>
                <w:szCs w:val="16"/>
              </w:rPr>
              <w:t>6</w:t>
            </w:r>
            <w:r w:rsidRPr="00E96419">
              <w:rPr>
                <w:rFonts w:ascii="Arial" w:hAnsi="Arial"/>
                <w:color w:val="000000"/>
                <w:sz w:val="16"/>
                <w:szCs w:val="16"/>
              </w:rPr>
              <w:t>.</w:t>
            </w:r>
          </w:p>
        </w:tc>
      </w:tr>
      <w:tr w:rsidR="0002000E" w:rsidRPr="00E96419" w14:paraId="179914CC" w14:textId="77777777" w:rsidTr="00072EF9">
        <w:trPr>
          <w:trHeight w:val="291"/>
        </w:trPr>
        <w:tc>
          <w:tcPr>
            <w:tcW w:w="8572" w:type="dxa"/>
            <w:gridSpan w:val="3"/>
            <w:tcBorders>
              <w:top w:val="single" w:sz="4" w:space="0" w:color="auto"/>
            </w:tcBorders>
          </w:tcPr>
          <w:p w14:paraId="087BFCAC" w14:textId="0FE000BF" w:rsidR="0002000E" w:rsidRPr="00E96419" w:rsidRDefault="0002000E" w:rsidP="00E364DF">
            <w:pPr>
              <w:tabs>
                <w:tab w:val="left" w:pos="709"/>
              </w:tabs>
              <w:spacing w:before="60" w:after="60"/>
              <w:rPr>
                <w:rFonts w:ascii="Arial" w:hAnsi="Arial"/>
                <w:bCs/>
                <w:iCs/>
                <w:color w:val="000000"/>
                <w:spacing w:val="-6"/>
                <w:sz w:val="16"/>
                <w:szCs w:val="16"/>
              </w:rPr>
            </w:pPr>
            <w:r w:rsidRPr="00E96419">
              <w:rPr>
                <w:rFonts w:ascii="Arial" w:hAnsi="Arial"/>
                <w:color w:val="000000"/>
                <w:sz w:val="16"/>
                <w:szCs w:val="16"/>
              </w:rPr>
              <w:t>Material changes to Program 2.5 resulting from 202</w:t>
            </w:r>
            <w:r w:rsidR="00E364DF">
              <w:rPr>
                <w:rFonts w:ascii="Arial" w:hAnsi="Arial"/>
                <w:color w:val="000000"/>
                <w:sz w:val="16"/>
                <w:szCs w:val="16"/>
              </w:rPr>
              <w:t>5</w:t>
            </w:r>
            <w:r w:rsidRPr="00E96419">
              <w:rPr>
                <w:rFonts w:ascii="Arial" w:hAnsi="Arial"/>
                <w:color w:val="000000"/>
                <w:sz w:val="16"/>
                <w:szCs w:val="16"/>
              </w:rPr>
              <w:t>-2</w:t>
            </w:r>
            <w:r w:rsidR="00E364DF">
              <w:rPr>
                <w:rFonts w:ascii="Arial" w:hAnsi="Arial"/>
                <w:color w:val="000000"/>
                <w:sz w:val="16"/>
                <w:szCs w:val="16"/>
              </w:rPr>
              <w:t>6</w:t>
            </w:r>
            <w:r w:rsidRPr="00E96419">
              <w:rPr>
                <w:rFonts w:ascii="Arial" w:hAnsi="Arial"/>
                <w:color w:val="000000"/>
                <w:sz w:val="16"/>
                <w:szCs w:val="16"/>
              </w:rPr>
              <w:t xml:space="preserve"> Budget Measures: Nil.</w:t>
            </w:r>
          </w:p>
        </w:tc>
      </w:tr>
    </w:tbl>
    <w:p w14:paraId="66BFA66E" w14:textId="77777777" w:rsidR="0002000E" w:rsidRPr="00E96419" w:rsidRDefault="0002000E" w:rsidP="0002000E">
      <w:pPr>
        <w:pStyle w:val="TableHeading"/>
        <w:spacing w:before="0" w:after="0"/>
        <w:ind w:left="170" w:hanging="170"/>
        <w:rPr>
          <w:sz w:val="16"/>
          <w:szCs w:val="16"/>
        </w:rPr>
      </w:pPr>
    </w:p>
    <w:p w14:paraId="6160BF5F" w14:textId="77777777" w:rsidR="0002000E" w:rsidRPr="00E96419" w:rsidRDefault="0002000E" w:rsidP="0002000E">
      <w:pPr>
        <w:pStyle w:val="TableHeading"/>
        <w:spacing w:before="0" w:after="0"/>
        <w:ind w:left="170" w:hanging="170"/>
        <w:rPr>
          <w:sz w:val="14"/>
          <w:szCs w:val="14"/>
        </w:rPr>
      </w:pPr>
      <w:r w:rsidRPr="00E96419">
        <w:rPr>
          <w:sz w:val="14"/>
          <w:szCs w:val="14"/>
        </w:rPr>
        <w:t>Note</w:t>
      </w:r>
      <w:r w:rsidR="00AF08A6" w:rsidRPr="00E96419">
        <w:rPr>
          <w:sz w:val="14"/>
          <w:szCs w:val="14"/>
        </w:rPr>
        <w:t>s</w:t>
      </w:r>
    </w:p>
    <w:p w14:paraId="579A918D" w14:textId="5A69FB72" w:rsidR="00E96419" w:rsidRDefault="00E96419" w:rsidP="00444A89">
      <w:pPr>
        <w:pStyle w:val="TableHeading"/>
        <w:numPr>
          <w:ilvl w:val="0"/>
          <w:numId w:val="53"/>
        </w:numPr>
        <w:tabs>
          <w:tab w:val="left" w:pos="284"/>
          <w:tab w:val="left" w:pos="851"/>
        </w:tabs>
        <w:spacing w:before="0" w:after="0"/>
        <w:ind w:left="284" w:hanging="284"/>
        <w:rPr>
          <w:b w:val="0"/>
          <w:sz w:val="14"/>
          <w:szCs w:val="14"/>
          <w:lang w:val="en-AU"/>
        </w:rPr>
      </w:pPr>
      <w:r w:rsidRPr="00470FF0">
        <w:rPr>
          <w:b w:val="0"/>
          <w:sz w:val="14"/>
          <w:szCs w:val="14"/>
          <w:lang w:val="en-AU"/>
        </w:rPr>
        <w:t>Performance Measure 1.2 has been amended for 2024-25</w:t>
      </w:r>
      <w:r>
        <w:rPr>
          <w:b w:val="0"/>
          <w:sz w:val="14"/>
          <w:szCs w:val="14"/>
          <w:lang w:val="en-AU"/>
        </w:rPr>
        <w:t>,</w:t>
      </w:r>
      <w:r w:rsidRPr="00470FF0">
        <w:rPr>
          <w:b w:val="0"/>
          <w:sz w:val="14"/>
          <w:szCs w:val="14"/>
          <w:lang w:val="en-AU"/>
        </w:rPr>
        <w:t xml:space="preserve"> as published in the updated </w:t>
      </w:r>
      <w:r w:rsidRPr="000A5BA7">
        <w:rPr>
          <w:b w:val="0"/>
          <w:sz w:val="14"/>
          <w:szCs w:val="14"/>
          <w:lang w:val="en-AU"/>
        </w:rPr>
        <w:t>2024-28 Defence Corporate Plan</w:t>
      </w:r>
      <w:r w:rsidR="00525BD9">
        <w:rPr>
          <w:b w:val="0"/>
          <w:sz w:val="14"/>
          <w:szCs w:val="14"/>
          <w:lang w:val="en-AU"/>
        </w:rPr>
        <w:t xml:space="preserve"> in March </w:t>
      </w:r>
      <w:r w:rsidRPr="00470FF0">
        <w:rPr>
          <w:b w:val="0"/>
          <w:sz w:val="14"/>
          <w:szCs w:val="14"/>
          <w:lang w:val="en-AU"/>
        </w:rPr>
        <w:t>2025.</w:t>
      </w:r>
    </w:p>
    <w:p w14:paraId="5B17D4C8" w14:textId="25EFA560" w:rsidR="009737EB" w:rsidRPr="000B3F29" w:rsidRDefault="000B3F29" w:rsidP="00444A89">
      <w:pPr>
        <w:pStyle w:val="TableHeading"/>
        <w:numPr>
          <w:ilvl w:val="0"/>
          <w:numId w:val="53"/>
        </w:numPr>
        <w:tabs>
          <w:tab w:val="left" w:pos="284"/>
        </w:tabs>
        <w:spacing w:before="0" w:after="0"/>
        <w:ind w:left="284" w:hanging="284"/>
        <w:rPr>
          <w:b w:val="0"/>
          <w:sz w:val="14"/>
          <w:szCs w:val="14"/>
        </w:rPr>
      </w:pPr>
      <w:r w:rsidRPr="000B3F29">
        <w:rPr>
          <w:b w:val="0"/>
          <w:sz w:val="14"/>
          <w:szCs w:val="14"/>
          <w:lang w:val="en-AU"/>
        </w:rPr>
        <w:t>In accordance with Defence’s Enterprise Performance Framework, Defence is undertaking materiality assessments that may result in updates to the 2025-26 performance information in the 2025-29 Defence Corporate Plan, if required</w:t>
      </w:r>
      <w:r w:rsidR="009737EB" w:rsidRPr="000B3F29">
        <w:rPr>
          <w:b w:val="0"/>
          <w:sz w:val="14"/>
          <w:szCs w:val="14"/>
          <w:lang w:val="en-AU"/>
        </w:rPr>
        <w:t xml:space="preserve">. </w:t>
      </w:r>
    </w:p>
    <w:p w14:paraId="5FCEB998" w14:textId="5BBA132E" w:rsidR="00AE70CA" w:rsidRDefault="00AE70CA" w:rsidP="009737EB">
      <w:pPr>
        <w:pStyle w:val="TableHeading"/>
        <w:tabs>
          <w:tab w:val="left" w:pos="284"/>
          <w:tab w:val="left" w:pos="851"/>
        </w:tabs>
        <w:spacing w:before="0" w:after="60"/>
        <w:ind w:left="284"/>
        <w:rPr>
          <w:b w:val="0"/>
          <w:sz w:val="14"/>
          <w:szCs w:val="14"/>
          <w:lang w:val="en-AU"/>
        </w:rPr>
      </w:pPr>
    </w:p>
    <w:p w14:paraId="0C7EBD3B" w14:textId="77777777" w:rsidR="0058484B" w:rsidRPr="0058484B" w:rsidRDefault="0058484B" w:rsidP="0058484B">
      <w:pPr>
        <w:rPr>
          <w:lang w:val="en-AU"/>
        </w:rPr>
      </w:pPr>
    </w:p>
    <w:p w14:paraId="18B2E13A" w14:textId="109C6C15" w:rsidR="003D5485" w:rsidRPr="00FE1CA5" w:rsidRDefault="003D5485" w:rsidP="00D9100A">
      <w:pPr>
        <w:pStyle w:val="TableHeading"/>
        <w:numPr>
          <w:ilvl w:val="0"/>
          <w:numId w:val="29"/>
        </w:numPr>
        <w:spacing w:before="0" w:after="120"/>
        <w:ind w:left="0" w:firstLine="0"/>
        <w:outlineLvl w:val="6"/>
      </w:pPr>
      <w:r w:rsidRPr="00FE1CA5">
        <w:t>Cost Summary for Program 2.5</w:t>
      </w:r>
      <w:r w:rsidR="00965956" w:rsidRPr="00FE1CA5">
        <w:t xml:space="preserve"> Navy Capabilities</w:t>
      </w:r>
    </w:p>
    <w:p w14:paraId="21771BDB" w14:textId="537AE4B4" w:rsidR="00DD3E53" w:rsidRPr="00B56FAA" w:rsidRDefault="00C64DB0" w:rsidP="00656D60">
      <w:pPr>
        <w:tabs>
          <w:tab w:val="left" w:pos="473"/>
        </w:tabs>
        <w:spacing w:before="0" w:after="0"/>
      </w:pPr>
      <w:r w:rsidRPr="00C64DB0">
        <w:rPr>
          <w:noProof/>
          <w:lang w:val="en-AU"/>
        </w:rPr>
        <w:drawing>
          <wp:inline distT="0" distB="0" distL="0" distR="0" wp14:anchorId="34CA2F3E" wp14:editId="3CBB5BD8">
            <wp:extent cx="5471795" cy="2795325"/>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71795" cy="2795325"/>
                    </a:xfrm>
                    <a:prstGeom prst="rect">
                      <a:avLst/>
                    </a:prstGeom>
                    <a:noFill/>
                    <a:ln>
                      <a:noFill/>
                    </a:ln>
                  </pic:spPr>
                </pic:pic>
              </a:graphicData>
            </a:graphic>
          </wp:inline>
        </w:drawing>
      </w:r>
    </w:p>
    <w:p w14:paraId="7174535B" w14:textId="77777777" w:rsidR="00656D60" w:rsidRDefault="00656D60" w:rsidP="00656D60">
      <w:pPr>
        <w:spacing w:before="0" w:after="0"/>
        <w:rPr>
          <w:rFonts w:ascii="Arial" w:hAnsi="Arial"/>
          <w:b/>
          <w:sz w:val="14"/>
          <w:szCs w:val="14"/>
        </w:rPr>
      </w:pPr>
    </w:p>
    <w:p w14:paraId="16AED01C" w14:textId="77777777" w:rsidR="00BD74D3" w:rsidRDefault="00BD74D3" w:rsidP="00656D60">
      <w:pPr>
        <w:spacing w:before="0" w:after="0"/>
        <w:rPr>
          <w:rFonts w:ascii="Arial" w:hAnsi="Arial"/>
          <w:b/>
          <w:sz w:val="14"/>
          <w:szCs w:val="14"/>
        </w:rPr>
      </w:pPr>
      <w:r>
        <w:rPr>
          <w:rFonts w:ascii="Arial" w:hAnsi="Arial"/>
          <w:b/>
          <w:sz w:val="14"/>
          <w:szCs w:val="14"/>
        </w:rPr>
        <w:t>Notes</w:t>
      </w:r>
    </w:p>
    <w:p w14:paraId="036A83DA" w14:textId="06E2B735" w:rsidR="00F91904" w:rsidRPr="00F91904" w:rsidRDefault="00FE1CA5" w:rsidP="00F91904">
      <w:pPr>
        <w:spacing w:before="0" w:after="0"/>
        <w:ind w:left="284" w:hanging="284"/>
        <w:rPr>
          <w:rFonts w:ascii="Arial" w:hAnsi="Arial"/>
          <w:sz w:val="14"/>
          <w:szCs w:val="14"/>
        </w:rPr>
      </w:pPr>
      <w:r w:rsidRPr="00FE1CA5">
        <w:rPr>
          <w:rFonts w:ascii="Arial" w:hAnsi="Arial"/>
          <w:sz w:val="14"/>
          <w:szCs w:val="14"/>
        </w:rPr>
        <w:t xml:space="preserve">a. </w:t>
      </w:r>
      <w:r>
        <w:rPr>
          <w:rFonts w:ascii="Arial" w:hAnsi="Arial"/>
          <w:sz w:val="14"/>
          <w:szCs w:val="14"/>
        </w:rPr>
        <w:tab/>
      </w:r>
      <w:r>
        <w:rPr>
          <w:rFonts w:ascii="Arial" w:hAnsi="Arial"/>
          <w:sz w:val="14"/>
          <w:szCs w:val="14"/>
        </w:rPr>
        <w:tab/>
      </w:r>
      <w:r w:rsidR="00F91904" w:rsidRPr="00F91904">
        <w:rPr>
          <w:rFonts w:ascii="Arial" w:hAnsi="Arial"/>
          <w:sz w:val="14"/>
          <w:szCs w:val="14"/>
        </w:rPr>
        <w:t>Total Program funded expenditure includes operating expenses and capital expenditure funded by appropriation and own source revenue. This excludes expenses not requiring appropriation.</w:t>
      </w:r>
      <w:r w:rsidR="00F91904" w:rsidRPr="00F91904">
        <w:rPr>
          <w:rFonts w:ascii="Arial" w:hAnsi="Arial"/>
          <w:sz w:val="14"/>
          <w:szCs w:val="14"/>
        </w:rPr>
        <w:tab/>
      </w:r>
      <w:r w:rsidR="00F91904" w:rsidRPr="00F91904">
        <w:rPr>
          <w:rFonts w:ascii="Arial" w:hAnsi="Arial"/>
          <w:sz w:val="14"/>
          <w:szCs w:val="14"/>
        </w:rPr>
        <w:tab/>
      </w:r>
      <w:r w:rsidR="00F91904" w:rsidRPr="00F91904">
        <w:rPr>
          <w:rFonts w:ascii="Arial" w:hAnsi="Arial"/>
          <w:sz w:val="14"/>
          <w:szCs w:val="14"/>
        </w:rPr>
        <w:tab/>
      </w:r>
      <w:r w:rsidR="00F91904" w:rsidRPr="00F91904">
        <w:rPr>
          <w:rFonts w:ascii="Arial" w:hAnsi="Arial"/>
          <w:sz w:val="14"/>
          <w:szCs w:val="14"/>
        </w:rPr>
        <w:tab/>
      </w:r>
      <w:r w:rsidR="00F91904" w:rsidRPr="00F91904">
        <w:rPr>
          <w:rFonts w:ascii="Arial" w:hAnsi="Arial"/>
          <w:sz w:val="14"/>
          <w:szCs w:val="14"/>
        </w:rPr>
        <w:tab/>
      </w:r>
    </w:p>
    <w:p w14:paraId="4B727400" w14:textId="37BB4F61" w:rsidR="00FE1CA5" w:rsidRPr="00FE1CA5" w:rsidRDefault="00F91904" w:rsidP="00F91904">
      <w:pPr>
        <w:spacing w:before="0" w:after="0"/>
        <w:ind w:left="284" w:hanging="284"/>
        <w:rPr>
          <w:rFonts w:ascii="Arial" w:hAnsi="Arial"/>
          <w:sz w:val="14"/>
          <w:szCs w:val="14"/>
        </w:rPr>
      </w:pPr>
      <w:r w:rsidRPr="00F91904">
        <w:rPr>
          <w:rFonts w:ascii="Arial" w:hAnsi="Arial"/>
          <w:sz w:val="14"/>
          <w:szCs w:val="14"/>
        </w:rPr>
        <w:t xml:space="preserve">b. </w:t>
      </w:r>
      <w:r>
        <w:rPr>
          <w:rFonts w:ascii="Arial" w:hAnsi="Arial"/>
          <w:sz w:val="14"/>
          <w:szCs w:val="14"/>
        </w:rPr>
        <w:tab/>
      </w:r>
      <w:r w:rsidRPr="00F91904">
        <w:rPr>
          <w:rFonts w:ascii="Arial" w:hAnsi="Arial"/>
          <w:sz w:val="14"/>
          <w:szCs w:val="14"/>
        </w:rPr>
        <w:t>The change in estimates includes movement of functions and their associated budgets within Defence.</w:t>
      </w:r>
      <w:r w:rsidRPr="00F91904">
        <w:rPr>
          <w:rFonts w:ascii="Arial" w:hAnsi="Arial"/>
          <w:sz w:val="14"/>
          <w:szCs w:val="14"/>
        </w:rPr>
        <w:tab/>
      </w:r>
      <w:r w:rsidRPr="00F91904">
        <w:rPr>
          <w:rFonts w:ascii="Arial" w:hAnsi="Arial"/>
          <w:sz w:val="14"/>
          <w:szCs w:val="14"/>
        </w:rPr>
        <w:tab/>
      </w:r>
      <w:r w:rsidRPr="00F91904">
        <w:rPr>
          <w:rFonts w:ascii="Arial" w:hAnsi="Arial"/>
          <w:sz w:val="14"/>
          <w:szCs w:val="14"/>
        </w:rPr>
        <w:tab/>
      </w:r>
      <w:r w:rsidRPr="00F91904">
        <w:rPr>
          <w:rFonts w:ascii="Arial" w:hAnsi="Arial"/>
          <w:sz w:val="14"/>
          <w:szCs w:val="14"/>
        </w:rPr>
        <w:tab/>
      </w:r>
      <w:r w:rsidRPr="00F91904">
        <w:rPr>
          <w:rFonts w:ascii="Arial" w:hAnsi="Arial"/>
          <w:sz w:val="14"/>
          <w:szCs w:val="14"/>
        </w:rPr>
        <w:tab/>
      </w:r>
    </w:p>
    <w:p w14:paraId="00D8F5D3" w14:textId="77777777" w:rsidR="005403E1" w:rsidRPr="00C22F48" w:rsidRDefault="005403E1" w:rsidP="00D9100A">
      <w:pPr>
        <w:pStyle w:val="TableHeading"/>
        <w:numPr>
          <w:ilvl w:val="0"/>
          <w:numId w:val="29"/>
        </w:numPr>
        <w:spacing w:before="0" w:after="120"/>
        <w:ind w:left="0" w:firstLine="0"/>
        <w:outlineLvl w:val="6"/>
      </w:pPr>
      <w:r w:rsidRPr="00B56FAA">
        <w:br w:type="page"/>
      </w:r>
      <w:r w:rsidRPr="00C22F48">
        <w:lastRenderedPageBreak/>
        <w:t xml:space="preserve">Navy Deliverables (Unit Availability Days) </w:t>
      </w:r>
      <w:r w:rsidR="00857E44" w:rsidRPr="00C22F48">
        <w:rPr>
          <w:vertAlign w:val="superscript"/>
        </w:rPr>
        <w:t>[a]</w:t>
      </w:r>
    </w:p>
    <w:tbl>
      <w:tblPr>
        <w:tblW w:w="485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
        <w:gridCol w:w="2621"/>
        <w:gridCol w:w="1162"/>
        <w:gridCol w:w="1045"/>
        <w:gridCol w:w="1011"/>
        <w:gridCol w:w="1011"/>
        <w:gridCol w:w="1011"/>
      </w:tblGrid>
      <w:tr w:rsidR="005403E1" w:rsidRPr="00C22F48" w14:paraId="1F53008B" w14:textId="77777777" w:rsidTr="00C22F48">
        <w:tc>
          <w:tcPr>
            <w:tcW w:w="3109" w:type="dxa"/>
            <w:gridSpan w:val="2"/>
            <w:tcBorders>
              <w:top w:val="single" w:sz="4" w:space="0" w:color="auto"/>
              <w:left w:val="single" w:sz="4" w:space="0" w:color="auto"/>
              <w:bottom w:val="single" w:sz="4" w:space="0" w:color="auto"/>
              <w:right w:val="single" w:sz="4" w:space="0" w:color="auto"/>
            </w:tcBorders>
            <w:shd w:val="clear" w:color="auto" w:fill="auto"/>
          </w:tcPr>
          <w:p w14:paraId="1E5B609E" w14:textId="77777777" w:rsidR="005403E1" w:rsidRPr="00C22F48" w:rsidRDefault="005403E1" w:rsidP="00E43F66">
            <w:pPr>
              <w:pStyle w:val="TableTextHeadingLeft"/>
              <w:rPr>
                <w:sz w:val="16"/>
                <w:szCs w:val="16"/>
              </w:rPr>
            </w:pPr>
            <w:r w:rsidRPr="00C22F48">
              <w:rPr>
                <w:sz w:val="16"/>
                <w:szCs w:val="16"/>
              </w:rPr>
              <w:t>Deliverables</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bottom"/>
          </w:tcPr>
          <w:p w14:paraId="32965362" w14:textId="77777777" w:rsidR="005403E1" w:rsidRPr="00C22F48" w:rsidRDefault="005403E1" w:rsidP="004E2B1E">
            <w:pPr>
              <w:pStyle w:val="TableTextHeadingRight"/>
              <w:rPr>
                <w:sz w:val="16"/>
                <w:szCs w:val="16"/>
              </w:rPr>
            </w:pPr>
            <w:r w:rsidRPr="00C22F48">
              <w:rPr>
                <w:sz w:val="16"/>
                <w:szCs w:val="16"/>
              </w:rPr>
              <w:t>202</w:t>
            </w:r>
            <w:r w:rsidR="004E2B1E" w:rsidRPr="00C22F48">
              <w:rPr>
                <w:sz w:val="16"/>
                <w:szCs w:val="16"/>
              </w:rPr>
              <w:t>4</w:t>
            </w:r>
            <w:r w:rsidRPr="00C22F48">
              <w:rPr>
                <w:sz w:val="16"/>
                <w:szCs w:val="16"/>
              </w:rPr>
              <w:t>-2</w:t>
            </w:r>
            <w:r w:rsidR="004E2B1E" w:rsidRPr="00C22F48">
              <w:rPr>
                <w:sz w:val="16"/>
                <w:szCs w:val="16"/>
              </w:rPr>
              <w:t>5</w:t>
            </w:r>
            <w:r w:rsidR="00742B5A" w:rsidRPr="00C22F48">
              <w:rPr>
                <w:sz w:val="16"/>
                <w:szCs w:val="16"/>
              </w:rPr>
              <w:t xml:space="preserve"> </w:t>
            </w:r>
            <w:r w:rsidR="00EC2836" w:rsidRPr="00C22F48">
              <w:rPr>
                <w:sz w:val="16"/>
                <w:szCs w:val="16"/>
              </w:rPr>
              <w:t xml:space="preserve">Estimated </w:t>
            </w:r>
            <w:r w:rsidR="00742B5A" w:rsidRPr="00C22F48">
              <w:rPr>
                <w:sz w:val="16"/>
                <w:szCs w:val="16"/>
              </w:rPr>
              <w:t>Actual</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bottom"/>
          </w:tcPr>
          <w:p w14:paraId="4C09AE9B" w14:textId="77777777" w:rsidR="005403E1" w:rsidRPr="00C22F48" w:rsidRDefault="005403E1" w:rsidP="004E2B1E">
            <w:pPr>
              <w:pStyle w:val="TableTextHeadingRight"/>
              <w:rPr>
                <w:sz w:val="16"/>
                <w:szCs w:val="16"/>
              </w:rPr>
            </w:pPr>
            <w:r w:rsidRPr="00C22F48">
              <w:rPr>
                <w:sz w:val="16"/>
                <w:szCs w:val="16"/>
              </w:rPr>
              <w:t>202</w:t>
            </w:r>
            <w:r w:rsidR="004E2B1E" w:rsidRPr="00C22F48">
              <w:rPr>
                <w:sz w:val="16"/>
                <w:szCs w:val="16"/>
              </w:rPr>
              <w:t>5</w:t>
            </w:r>
            <w:r w:rsidRPr="00C22F48">
              <w:rPr>
                <w:sz w:val="16"/>
                <w:szCs w:val="16"/>
              </w:rPr>
              <w:t>-2</w:t>
            </w:r>
            <w:r w:rsidR="004E2B1E" w:rsidRPr="00C22F48">
              <w:rPr>
                <w:sz w:val="16"/>
                <w:szCs w:val="16"/>
              </w:rPr>
              <w:t>6</w:t>
            </w:r>
            <w:r w:rsidRPr="00C22F48">
              <w:rPr>
                <w:sz w:val="16"/>
                <w:szCs w:val="16"/>
              </w:rPr>
              <w:t xml:space="preserve"> Budget Estimate</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bottom"/>
          </w:tcPr>
          <w:p w14:paraId="2A7C43E5" w14:textId="77777777" w:rsidR="005403E1" w:rsidRPr="00C22F48" w:rsidRDefault="005403E1" w:rsidP="004E2B1E">
            <w:pPr>
              <w:pStyle w:val="TableTextHeadingRight"/>
              <w:rPr>
                <w:sz w:val="16"/>
                <w:szCs w:val="16"/>
              </w:rPr>
            </w:pPr>
            <w:r w:rsidRPr="00C22F48">
              <w:rPr>
                <w:sz w:val="16"/>
                <w:szCs w:val="16"/>
              </w:rPr>
              <w:t>202</w:t>
            </w:r>
            <w:r w:rsidR="004E2B1E" w:rsidRPr="00C22F48">
              <w:rPr>
                <w:sz w:val="16"/>
                <w:szCs w:val="16"/>
              </w:rPr>
              <w:t>6</w:t>
            </w:r>
            <w:r w:rsidRPr="00C22F48">
              <w:rPr>
                <w:sz w:val="16"/>
                <w:szCs w:val="16"/>
              </w:rPr>
              <w:t>-2</w:t>
            </w:r>
            <w:r w:rsidR="004E2B1E" w:rsidRPr="00C22F48">
              <w:rPr>
                <w:sz w:val="16"/>
                <w:szCs w:val="16"/>
              </w:rPr>
              <w:t>7</w:t>
            </w:r>
            <w:r w:rsidRPr="00C22F48">
              <w:rPr>
                <w:sz w:val="16"/>
                <w:szCs w:val="16"/>
              </w:rPr>
              <w:t xml:space="preserve"> Forward </w:t>
            </w:r>
            <w:r w:rsidR="00DA55C6" w:rsidRPr="00C22F48">
              <w:rPr>
                <w:sz w:val="16"/>
                <w:szCs w:val="16"/>
              </w:rPr>
              <w:t>Estimate</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bottom"/>
          </w:tcPr>
          <w:p w14:paraId="7C45603C" w14:textId="77777777" w:rsidR="005403E1" w:rsidRPr="00C22F48" w:rsidRDefault="005403E1" w:rsidP="004E2B1E">
            <w:pPr>
              <w:pStyle w:val="TableTextHeadingRight"/>
              <w:rPr>
                <w:sz w:val="16"/>
                <w:szCs w:val="16"/>
              </w:rPr>
            </w:pPr>
            <w:r w:rsidRPr="00C22F48">
              <w:rPr>
                <w:sz w:val="16"/>
                <w:szCs w:val="16"/>
              </w:rPr>
              <w:t>202</w:t>
            </w:r>
            <w:r w:rsidR="004E2B1E" w:rsidRPr="00C22F48">
              <w:rPr>
                <w:sz w:val="16"/>
                <w:szCs w:val="16"/>
              </w:rPr>
              <w:t>7</w:t>
            </w:r>
            <w:r w:rsidRPr="00C22F48">
              <w:rPr>
                <w:sz w:val="16"/>
                <w:szCs w:val="16"/>
              </w:rPr>
              <w:t>-2</w:t>
            </w:r>
            <w:r w:rsidR="004E2B1E" w:rsidRPr="00C22F48">
              <w:rPr>
                <w:sz w:val="16"/>
                <w:szCs w:val="16"/>
              </w:rPr>
              <w:t>8</w:t>
            </w:r>
            <w:r w:rsidRPr="00C22F48">
              <w:rPr>
                <w:sz w:val="16"/>
                <w:szCs w:val="16"/>
              </w:rPr>
              <w:t xml:space="preserve"> Forward</w:t>
            </w:r>
            <w:r w:rsidR="00DA55C6" w:rsidRPr="00C22F48">
              <w:rPr>
                <w:sz w:val="16"/>
                <w:szCs w:val="16"/>
              </w:rPr>
              <w:t xml:space="preserve"> Estimate</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bottom"/>
          </w:tcPr>
          <w:p w14:paraId="0C89D8E8" w14:textId="77777777" w:rsidR="005403E1" w:rsidRPr="00C22F48" w:rsidRDefault="005403E1" w:rsidP="004E2B1E">
            <w:pPr>
              <w:pStyle w:val="TableTextHeadingRight"/>
              <w:rPr>
                <w:sz w:val="16"/>
                <w:szCs w:val="16"/>
              </w:rPr>
            </w:pPr>
            <w:r w:rsidRPr="00C22F48">
              <w:rPr>
                <w:sz w:val="16"/>
                <w:szCs w:val="16"/>
              </w:rPr>
              <w:t>202</w:t>
            </w:r>
            <w:r w:rsidR="004E2B1E" w:rsidRPr="00C22F48">
              <w:rPr>
                <w:sz w:val="16"/>
                <w:szCs w:val="16"/>
              </w:rPr>
              <w:t>8</w:t>
            </w:r>
            <w:r w:rsidRPr="00C22F48">
              <w:rPr>
                <w:sz w:val="16"/>
                <w:szCs w:val="16"/>
              </w:rPr>
              <w:t>-2</w:t>
            </w:r>
            <w:r w:rsidR="004E2B1E" w:rsidRPr="00C22F48">
              <w:rPr>
                <w:sz w:val="16"/>
                <w:szCs w:val="16"/>
              </w:rPr>
              <w:t>9</w:t>
            </w:r>
            <w:r w:rsidRPr="00C22F48">
              <w:rPr>
                <w:sz w:val="16"/>
                <w:szCs w:val="16"/>
              </w:rPr>
              <w:t xml:space="preserve"> Forward</w:t>
            </w:r>
            <w:r w:rsidR="00DA55C6" w:rsidRPr="00C22F48">
              <w:rPr>
                <w:sz w:val="16"/>
                <w:szCs w:val="16"/>
              </w:rPr>
              <w:t xml:space="preserve"> Estimate</w:t>
            </w:r>
          </w:p>
        </w:tc>
      </w:tr>
      <w:tr w:rsidR="00C22F48" w:rsidRPr="00C22F48" w14:paraId="453A5025" w14:textId="77777777" w:rsidTr="00C22F48">
        <w:tc>
          <w:tcPr>
            <w:tcW w:w="488" w:type="dxa"/>
            <w:tcBorders>
              <w:top w:val="single" w:sz="4" w:space="0" w:color="auto"/>
              <w:left w:val="single" w:sz="4" w:space="0" w:color="auto"/>
              <w:bottom w:val="single" w:sz="4" w:space="0" w:color="auto"/>
              <w:right w:val="single" w:sz="4" w:space="0" w:color="auto"/>
            </w:tcBorders>
            <w:shd w:val="clear" w:color="auto" w:fill="auto"/>
            <w:vAlign w:val="center"/>
          </w:tcPr>
          <w:p w14:paraId="4E489A2E" w14:textId="77777777" w:rsidR="00C22F48" w:rsidRPr="00C22F48" w:rsidRDefault="00C22F48" w:rsidP="00C22F48">
            <w:pPr>
              <w:pStyle w:val="TableTextLeft0"/>
              <w:jc w:val="right"/>
              <w:rPr>
                <w:sz w:val="16"/>
                <w:szCs w:val="16"/>
                <w:lang w:val="en-AU"/>
              </w:rPr>
            </w:pPr>
            <w:r>
              <w:rPr>
                <w:sz w:val="16"/>
                <w:szCs w:val="16"/>
                <w:lang w:val="en-AU"/>
              </w:rPr>
              <w:t>16</w:t>
            </w:r>
          </w:p>
        </w:tc>
        <w:tc>
          <w:tcPr>
            <w:tcW w:w="2621" w:type="dxa"/>
            <w:tcBorders>
              <w:top w:val="single" w:sz="4" w:space="0" w:color="auto"/>
              <w:left w:val="single" w:sz="4" w:space="0" w:color="auto"/>
              <w:bottom w:val="single" w:sz="4" w:space="0" w:color="auto"/>
              <w:right w:val="single" w:sz="4" w:space="0" w:color="auto"/>
            </w:tcBorders>
            <w:shd w:val="clear" w:color="auto" w:fill="auto"/>
            <w:vAlign w:val="center"/>
          </w:tcPr>
          <w:p w14:paraId="524FADB4" w14:textId="77777777" w:rsidR="00C22F48" w:rsidRPr="00C22F48" w:rsidRDefault="00C22F48" w:rsidP="00C22F48">
            <w:pPr>
              <w:pStyle w:val="TableTextLeft0"/>
              <w:rPr>
                <w:sz w:val="16"/>
                <w:szCs w:val="16"/>
                <w:lang w:val="en-AU"/>
              </w:rPr>
            </w:pPr>
            <w:r w:rsidRPr="00C22F48">
              <w:rPr>
                <w:sz w:val="16"/>
                <w:szCs w:val="16"/>
                <w:lang w:val="en-AU"/>
              </w:rPr>
              <w:t xml:space="preserve">Major Combatants </w:t>
            </w:r>
            <w:r w:rsidRPr="00C22F48">
              <w:rPr>
                <w:sz w:val="16"/>
                <w:szCs w:val="16"/>
                <w:vertAlign w:val="superscript"/>
                <w:lang w:val="en-AU"/>
              </w:rPr>
              <w:t>[b]</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55C7A7CF" w14:textId="77777777" w:rsidR="00C22F48" w:rsidRPr="00D32FB8" w:rsidRDefault="00C22F48" w:rsidP="00C22F48">
            <w:pPr>
              <w:spacing w:before="40" w:after="40"/>
              <w:jc w:val="right"/>
              <w:rPr>
                <w:rFonts w:ascii="Arial" w:hAnsi="Arial"/>
                <w:color w:val="FF0000"/>
                <w:sz w:val="16"/>
                <w:szCs w:val="16"/>
              </w:rPr>
            </w:pPr>
            <w:r w:rsidRPr="00117124">
              <w:rPr>
                <w:rFonts w:ascii="Arial" w:hAnsi="Arial"/>
                <w:sz w:val="16"/>
                <w:szCs w:val="16"/>
              </w:rPr>
              <w:t>2,420</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677D8CBC" w14:textId="77777777" w:rsidR="00C22F48" w:rsidRPr="00092E18" w:rsidRDefault="00C22F48" w:rsidP="00C22F48">
            <w:pPr>
              <w:spacing w:before="40" w:after="40"/>
              <w:jc w:val="right"/>
              <w:rPr>
                <w:rFonts w:ascii="Arial" w:hAnsi="Arial"/>
                <w:sz w:val="16"/>
                <w:szCs w:val="16"/>
              </w:rPr>
            </w:pPr>
            <w:r w:rsidRPr="00092E18">
              <w:rPr>
                <w:rFonts w:ascii="Arial" w:hAnsi="Arial"/>
                <w:sz w:val="16"/>
                <w:szCs w:val="16"/>
              </w:rPr>
              <w:t>3,126</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568CEEA6" w14:textId="77777777" w:rsidR="00C22F48" w:rsidRPr="00092E18" w:rsidRDefault="00C22F48" w:rsidP="00C22F48">
            <w:pPr>
              <w:spacing w:before="40" w:after="40"/>
              <w:jc w:val="right"/>
              <w:rPr>
                <w:rFonts w:ascii="Arial" w:hAnsi="Arial"/>
                <w:sz w:val="16"/>
                <w:szCs w:val="16"/>
              </w:rPr>
            </w:pPr>
            <w:r w:rsidRPr="00092E18">
              <w:rPr>
                <w:rFonts w:ascii="Arial" w:hAnsi="Arial"/>
                <w:sz w:val="16"/>
                <w:szCs w:val="16"/>
              </w:rPr>
              <w:t>2,875</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77AC34C9" w14:textId="77777777" w:rsidR="00C22F48" w:rsidRPr="00092E18" w:rsidRDefault="00C22F48" w:rsidP="00C22F48">
            <w:pPr>
              <w:spacing w:before="40" w:after="40"/>
              <w:jc w:val="right"/>
              <w:rPr>
                <w:rFonts w:ascii="Arial" w:hAnsi="Arial"/>
                <w:sz w:val="16"/>
                <w:szCs w:val="16"/>
              </w:rPr>
            </w:pPr>
            <w:r w:rsidRPr="00092E18">
              <w:rPr>
                <w:rFonts w:ascii="Arial" w:hAnsi="Arial"/>
                <w:sz w:val="16"/>
                <w:szCs w:val="16"/>
              </w:rPr>
              <w:t>3,258</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24720519" w14:textId="77777777" w:rsidR="00C22F48" w:rsidRPr="00092E18" w:rsidRDefault="00C22F48" w:rsidP="00C22F48">
            <w:pPr>
              <w:spacing w:before="40" w:after="40"/>
              <w:jc w:val="right"/>
              <w:rPr>
                <w:rFonts w:ascii="Arial" w:hAnsi="Arial"/>
                <w:sz w:val="16"/>
                <w:szCs w:val="16"/>
              </w:rPr>
            </w:pPr>
            <w:r w:rsidRPr="00092E18">
              <w:rPr>
                <w:rFonts w:ascii="Arial" w:hAnsi="Arial"/>
                <w:sz w:val="16"/>
                <w:szCs w:val="16"/>
              </w:rPr>
              <w:t>3,366</w:t>
            </w:r>
          </w:p>
        </w:tc>
      </w:tr>
      <w:tr w:rsidR="00C22F48" w:rsidRPr="00C22F48" w14:paraId="6B609743" w14:textId="77777777" w:rsidTr="00C22F48">
        <w:tc>
          <w:tcPr>
            <w:tcW w:w="488" w:type="dxa"/>
            <w:tcBorders>
              <w:top w:val="single" w:sz="4" w:space="0" w:color="auto"/>
              <w:left w:val="single" w:sz="4" w:space="0" w:color="auto"/>
              <w:bottom w:val="single" w:sz="4" w:space="0" w:color="auto"/>
              <w:right w:val="single" w:sz="4" w:space="0" w:color="auto"/>
            </w:tcBorders>
            <w:shd w:val="clear" w:color="auto" w:fill="auto"/>
            <w:vAlign w:val="center"/>
          </w:tcPr>
          <w:p w14:paraId="692180E4" w14:textId="77777777" w:rsidR="00C22F48" w:rsidRPr="00C22F48" w:rsidRDefault="00C22F48" w:rsidP="00C22F48">
            <w:pPr>
              <w:pStyle w:val="TableTextLeft0"/>
              <w:jc w:val="right"/>
              <w:rPr>
                <w:sz w:val="16"/>
                <w:szCs w:val="16"/>
                <w:lang w:val="en-AU"/>
              </w:rPr>
            </w:pPr>
            <w:r w:rsidRPr="00C22F48">
              <w:rPr>
                <w:sz w:val="16"/>
                <w:szCs w:val="16"/>
                <w:lang w:val="en-AU"/>
              </w:rPr>
              <w:t>1</w:t>
            </w:r>
            <w:r>
              <w:rPr>
                <w:sz w:val="16"/>
                <w:szCs w:val="16"/>
                <w:lang w:val="en-AU"/>
              </w:rPr>
              <w:t>3</w:t>
            </w:r>
          </w:p>
        </w:tc>
        <w:tc>
          <w:tcPr>
            <w:tcW w:w="2621" w:type="dxa"/>
            <w:tcBorders>
              <w:top w:val="single" w:sz="4" w:space="0" w:color="auto"/>
              <w:left w:val="single" w:sz="4" w:space="0" w:color="auto"/>
              <w:bottom w:val="single" w:sz="4" w:space="0" w:color="auto"/>
              <w:right w:val="single" w:sz="4" w:space="0" w:color="auto"/>
            </w:tcBorders>
            <w:shd w:val="clear" w:color="auto" w:fill="auto"/>
            <w:vAlign w:val="center"/>
          </w:tcPr>
          <w:p w14:paraId="455AA8C8" w14:textId="77777777" w:rsidR="00C22F48" w:rsidRPr="00C22F48" w:rsidRDefault="00C22F48" w:rsidP="00C22F48">
            <w:pPr>
              <w:pStyle w:val="TableTextLeft0"/>
              <w:rPr>
                <w:sz w:val="16"/>
                <w:szCs w:val="16"/>
                <w:lang w:val="en-AU"/>
              </w:rPr>
            </w:pPr>
            <w:r w:rsidRPr="00C22F48">
              <w:rPr>
                <w:sz w:val="16"/>
                <w:szCs w:val="16"/>
                <w:lang w:val="en-AU"/>
              </w:rPr>
              <w:t xml:space="preserve">Minor Combatants </w:t>
            </w:r>
            <w:r w:rsidRPr="00C22F48">
              <w:rPr>
                <w:sz w:val="16"/>
                <w:szCs w:val="16"/>
                <w:vertAlign w:val="superscript"/>
                <w:lang w:val="en-AU"/>
              </w:rPr>
              <w:t>[c]</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4209E775" w14:textId="77777777" w:rsidR="00C22F48" w:rsidRPr="00D32FB8" w:rsidRDefault="00C22F48" w:rsidP="00C22F48">
            <w:pPr>
              <w:spacing w:before="40" w:after="40"/>
              <w:jc w:val="right"/>
              <w:rPr>
                <w:rFonts w:ascii="Arial" w:hAnsi="Arial"/>
                <w:color w:val="FF0000"/>
                <w:sz w:val="16"/>
                <w:szCs w:val="16"/>
              </w:rPr>
            </w:pPr>
            <w:r w:rsidRPr="00117124">
              <w:rPr>
                <w:rFonts w:ascii="Arial" w:hAnsi="Arial"/>
                <w:sz w:val="16"/>
                <w:szCs w:val="16"/>
              </w:rPr>
              <w:t>3,434</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11015570" w14:textId="77777777" w:rsidR="00C22F48" w:rsidRPr="00092E18" w:rsidRDefault="00C22F48" w:rsidP="00C22F48">
            <w:pPr>
              <w:spacing w:before="40" w:after="40"/>
              <w:jc w:val="right"/>
              <w:rPr>
                <w:rFonts w:ascii="Arial" w:hAnsi="Arial"/>
                <w:sz w:val="16"/>
                <w:szCs w:val="16"/>
              </w:rPr>
            </w:pPr>
            <w:r>
              <w:rPr>
                <w:rFonts w:ascii="Arial" w:hAnsi="Arial"/>
                <w:sz w:val="16"/>
                <w:szCs w:val="16"/>
              </w:rPr>
              <w:t>3,892</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7B376CAC" w14:textId="77777777" w:rsidR="00C22F48" w:rsidRPr="00092E18" w:rsidRDefault="00C22F48" w:rsidP="00C22F48">
            <w:pPr>
              <w:spacing w:before="40" w:after="40"/>
              <w:jc w:val="right"/>
              <w:rPr>
                <w:rFonts w:ascii="Arial" w:hAnsi="Arial"/>
                <w:sz w:val="16"/>
                <w:szCs w:val="16"/>
              </w:rPr>
            </w:pPr>
            <w:r>
              <w:rPr>
                <w:rFonts w:ascii="Arial" w:hAnsi="Arial"/>
                <w:sz w:val="16"/>
                <w:szCs w:val="16"/>
              </w:rPr>
              <w:t>3,470</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1850EB29" w14:textId="77777777" w:rsidR="00C22F48" w:rsidRPr="00092E18" w:rsidRDefault="00C22F48" w:rsidP="00C22F48">
            <w:pPr>
              <w:spacing w:before="40" w:after="40"/>
              <w:jc w:val="right"/>
              <w:rPr>
                <w:rFonts w:ascii="Arial" w:hAnsi="Arial"/>
                <w:sz w:val="16"/>
                <w:szCs w:val="16"/>
              </w:rPr>
            </w:pPr>
            <w:r>
              <w:rPr>
                <w:rFonts w:ascii="Arial" w:hAnsi="Arial"/>
                <w:sz w:val="16"/>
                <w:szCs w:val="16"/>
              </w:rPr>
              <w:t>3,212</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735A544A" w14:textId="77777777" w:rsidR="00C22F48" w:rsidRPr="00092E18" w:rsidRDefault="00C22F48" w:rsidP="00C22F48">
            <w:pPr>
              <w:spacing w:before="40" w:after="40"/>
              <w:jc w:val="right"/>
              <w:rPr>
                <w:rFonts w:ascii="Arial" w:hAnsi="Arial"/>
                <w:sz w:val="16"/>
                <w:szCs w:val="16"/>
              </w:rPr>
            </w:pPr>
            <w:r w:rsidRPr="00092E18">
              <w:rPr>
                <w:rFonts w:ascii="Arial" w:hAnsi="Arial"/>
                <w:sz w:val="16"/>
                <w:szCs w:val="16"/>
              </w:rPr>
              <w:t>2,820</w:t>
            </w:r>
          </w:p>
        </w:tc>
      </w:tr>
      <w:tr w:rsidR="00C22F48" w:rsidRPr="00C22F48" w14:paraId="764618A1" w14:textId="77777777" w:rsidTr="00C22F48">
        <w:tc>
          <w:tcPr>
            <w:tcW w:w="488" w:type="dxa"/>
            <w:tcBorders>
              <w:top w:val="single" w:sz="4" w:space="0" w:color="auto"/>
              <w:left w:val="single" w:sz="4" w:space="0" w:color="auto"/>
              <w:bottom w:val="single" w:sz="4" w:space="0" w:color="auto"/>
              <w:right w:val="single" w:sz="4" w:space="0" w:color="auto"/>
            </w:tcBorders>
            <w:shd w:val="clear" w:color="auto" w:fill="auto"/>
            <w:vAlign w:val="center"/>
          </w:tcPr>
          <w:p w14:paraId="7397D342" w14:textId="77777777" w:rsidR="00C22F48" w:rsidRPr="00C22F48" w:rsidRDefault="00C22F48" w:rsidP="00C22F48">
            <w:pPr>
              <w:pStyle w:val="TableTextLeft0"/>
              <w:jc w:val="right"/>
              <w:rPr>
                <w:sz w:val="16"/>
                <w:szCs w:val="16"/>
                <w:lang w:val="en-AU"/>
              </w:rPr>
            </w:pPr>
            <w:r w:rsidRPr="00C22F48">
              <w:rPr>
                <w:sz w:val="16"/>
                <w:szCs w:val="16"/>
                <w:lang w:val="en-AU"/>
              </w:rPr>
              <w:t>5</w:t>
            </w:r>
          </w:p>
        </w:tc>
        <w:tc>
          <w:tcPr>
            <w:tcW w:w="2621" w:type="dxa"/>
            <w:tcBorders>
              <w:top w:val="single" w:sz="4" w:space="0" w:color="auto"/>
              <w:left w:val="single" w:sz="4" w:space="0" w:color="auto"/>
              <w:bottom w:val="single" w:sz="4" w:space="0" w:color="auto"/>
              <w:right w:val="single" w:sz="4" w:space="0" w:color="auto"/>
            </w:tcBorders>
            <w:shd w:val="clear" w:color="auto" w:fill="auto"/>
            <w:vAlign w:val="center"/>
          </w:tcPr>
          <w:p w14:paraId="229076CD" w14:textId="77777777" w:rsidR="00C22F48" w:rsidRPr="00C22F48" w:rsidRDefault="00C22F48" w:rsidP="00C22F48">
            <w:pPr>
              <w:pStyle w:val="TableTextLeft0"/>
              <w:rPr>
                <w:sz w:val="16"/>
                <w:szCs w:val="16"/>
                <w:lang w:val="en-AU"/>
              </w:rPr>
            </w:pPr>
            <w:r w:rsidRPr="00C22F48">
              <w:rPr>
                <w:sz w:val="16"/>
                <w:szCs w:val="16"/>
                <w:lang w:val="en-AU"/>
              </w:rPr>
              <w:t xml:space="preserve">Amphibious and Afloat Support </w:t>
            </w:r>
            <w:r w:rsidRPr="00C22F48">
              <w:rPr>
                <w:sz w:val="16"/>
                <w:szCs w:val="16"/>
                <w:vertAlign w:val="superscript"/>
                <w:lang w:val="en-AU"/>
              </w:rPr>
              <w:t>[d]</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1B2A58A3" w14:textId="77777777" w:rsidR="00C22F48" w:rsidRPr="00D32FB8" w:rsidRDefault="00C22F48" w:rsidP="00C22F48">
            <w:pPr>
              <w:spacing w:before="40" w:after="40"/>
              <w:jc w:val="right"/>
              <w:rPr>
                <w:rFonts w:ascii="Arial" w:hAnsi="Arial"/>
                <w:color w:val="FF0000"/>
                <w:sz w:val="16"/>
                <w:szCs w:val="16"/>
              </w:rPr>
            </w:pPr>
            <w:r w:rsidRPr="00117124">
              <w:rPr>
                <w:rFonts w:ascii="Arial" w:hAnsi="Arial"/>
                <w:sz w:val="16"/>
                <w:szCs w:val="16"/>
              </w:rPr>
              <w:t>709</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4297279A" w14:textId="77777777" w:rsidR="00C22F48" w:rsidRPr="00092E18" w:rsidRDefault="00C22F48" w:rsidP="00C22F48">
            <w:pPr>
              <w:spacing w:before="40" w:after="40"/>
              <w:jc w:val="right"/>
              <w:rPr>
                <w:rFonts w:ascii="Arial" w:hAnsi="Arial"/>
                <w:sz w:val="16"/>
                <w:szCs w:val="16"/>
              </w:rPr>
            </w:pPr>
            <w:r w:rsidRPr="00092E18">
              <w:rPr>
                <w:rFonts w:ascii="Arial" w:hAnsi="Arial"/>
                <w:sz w:val="16"/>
                <w:szCs w:val="16"/>
              </w:rPr>
              <w:t>1,113</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3BD7163D" w14:textId="77777777" w:rsidR="00C22F48" w:rsidRPr="00092E18" w:rsidRDefault="00C22F48" w:rsidP="00C22F48">
            <w:pPr>
              <w:spacing w:before="40" w:after="40"/>
              <w:jc w:val="right"/>
              <w:rPr>
                <w:rFonts w:ascii="Arial" w:hAnsi="Arial"/>
                <w:sz w:val="16"/>
                <w:szCs w:val="16"/>
              </w:rPr>
            </w:pPr>
            <w:r w:rsidRPr="00092E18">
              <w:rPr>
                <w:rFonts w:ascii="Arial" w:hAnsi="Arial"/>
                <w:sz w:val="16"/>
                <w:szCs w:val="16"/>
              </w:rPr>
              <w:t>1,039</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457CED17" w14:textId="77777777" w:rsidR="00C22F48" w:rsidRPr="00092E18" w:rsidRDefault="00C22F48" w:rsidP="00C22F48">
            <w:pPr>
              <w:spacing w:before="40" w:after="40"/>
              <w:jc w:val="right"/>
              <w:rPr>
                <w:rFonts w:ascii="Arial" w:hAnsi="Arial"/>
                <w:sz w:val="16"/>
                <w:szCs w:val="16"/>
              </w:rPr>
            </w:pPr>
            <w:r w:rsidRPr="00092E18">
              <w:rPr>
                <w:rFonts w:ascii="Arial" w:hAnsi="Arial"/>
                <w:sz w:val="16"/>
                <w:szCs w:val="16"/>
              </w:rPr>
              <w:t>1,089</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64A05768" w14:textId="77777777" w:rsidR="00C22F48" w:rsidRPr="00092E18" w:rsidRDefault="00C22F48" w:rsidP="00C22F48">
            <w:pPr>
              <w:spacing w:before="40" w:after="40"/>
              <w:jc w:val="right"/>
              <w:rPr>
                <w:rFonts w:ascii="Arial" w:hAnsi="Arial"/>
                <w:sz w:val="16"/>
                <w:szCs w:val="16"/>
              </w:rPr>
            </w:pPr>
            <w:r w:rsidRPr="00092E18">
              <w:rPr>
                <w:rFonts w:ascii="Arial" w:hAnsi="Arial"/>
                <w:sz w:val="16"/>
                <w:szCs w:val="16"/>
              </w:rPr>
              <w:t>1,168</w:t>
            </w:r>
          </w:p>
        </w:tc>
      </w:tr>
      <w:tr w:rsidR="00C22F48" w:rsidRPr="00C22F48" w14:paraId="7498A13E" w14:textId="77777777" w:rsidTr="00C22F48">
        <w:tc>
          <w:tcPr>
            <w:tcW w:w="488" w:type="dxa"/>
            <w:tcBorders>
              <w:top w:val="single" w:sz="4" w:space="0" w:color="auto"/>
              <w:left w:val="single" w:sz="4" w:space="0" w:color="auto"/>
              <w:bottom w:val="single" w:sz="4" w:space="0" w:color="auto"/>
              <w:right w:val="single" w:sz="4" w:space="0" w:color="auto"/>
            </w:tcBorders>
            <w:shd w:val="clear" w:color="auto" w:fill="auto"/>
            <w:vAlign w:val="center"/>
          </w:tcPr>
          <w:p w14:paraId="7A2BCF3F" w14:textId="77777777" w:rsidR="00C22F48" w:rsidRPr="00C22F48" w:rsidRDefault="00C22F48" w:rsidP="00C22F48">
            <w:pPr>
              <w:pStyle w:val="TableTextLeft0"/>
              <w:jc w:val="right"/>
              <w:rPr>
                <w:sz w:val="16"/>
                <w:szCs w:val="16"/>
                <w:lang w:val="en-AU"/>
              </w:rPr>
            </w:pPr>
            <w:r w:rsidRPr="00C22F48">
              <w:rPr>
                <w:sz w:val="16"/>
                <w:szCs w:val="16"/>
                <w:lang w:val="en-AU"/>
              </w:rPr>
              <w:t>1</w:t>
            </w:r>
            <w:r>
              <w:rPr>
                <w:sz w:val="16"/>
                <w:szCs w:val="16"/>
                <w:lang w:val="en-AU"/>
              </w:rPr>
              <w:t>1</w:t>
            </w:r>
          </w:p>
        </w:tc>
        <w:tc>
          <w:tcPr>
            <w:tcW w:w="2621" w:type="dxa"/>
            <w:tcBorders>
              <w:top w:val="single" w:sz="4" w:space="0" w:color="auto"/>
              <w:left w:val="single" w:sz="4" w:space="0" w:color="auto"/>
              <w:bottom w:val="single" w:sz="4" w:space="0" w:color="auto"/>
              <w:right w:val="single" w:sz="4" w:space="0" w:color="auto"/>
            </w:tcBorders>
            <w:shd w:val="clear" w:color="auto" w:fill="auto"/>
            <w:vAlign w:val="center"/>
          </w:tcPr>
          <w:p w14:paraId="7DBAA057" w14:textId="77777777" w:rsidR="00C22F48" w:rsidRPr="00C22F48" w:rsidRDefault="00C22F48" w:rsidP="00C22F48">
            <w:pPr>
              <w:pStyle w:val="TableTextLeft0"/>
              <w:rPr>
                <w:sz w:val="16"/>
                <w:szCs w:val="16"/>
                <w:lang w:val="en-AU"/>
              </w:rPr>
            </w:pPr>
            <w:r w:rsidRPr="00C22F48">
              <w:rPr>
                <w:sz w:val="16"/>
                <w:szCs w:val="16"/>
                <w:lang w:val="en-AU"/>
              </w:rPr>
              <w:t xml:space="preserve">Maritime Teams </w:t>
            </w:r>
            <w:r w:rsidRPr="00C22F48">
              <w:rPr>
                <w:sz w:val="16"/>
                <w:szCs w:val="16"/>
                <w:vertAlign w:val="superscript"/>
                <w:lang w:val="en-AU"/>
              </w:rPr>
              <w:t>[e]</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7BA61E91" w14:textId="77777777" w:rsidR="00C22F48" w:rsidRPr="00D32FB8" w:rsidRDefault="00C22F48" w:rsidP="00C22F48">
            <w:pPr>
              <w:spacing w:before="40" w:after="40"/>
              <w:jc w:val="right"/>
              <w:rPr>
                <w:rFonts w:ascii="Arial" w:hAnsi="Arial"/>
                <w:color w:val="FF0000"/>
                <w:sz w:val="16"/>
                <w:szCs w:val="16"/>
              </w:rPr>
            </w:pPr>
            <w:r w:rsidRPr="00117124">
              <w:rPr>
                <w:rFonts w:ascii="Arial" w:hAnsi="Arial"/>
                <w:sz w:val="16"/>
                <w:szCs w:val="16"/>
              </w:rPr>
              <w:t>3,941</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2EEF8F59" w14:textId="77777777" w:rsidR="00C22F48" w:rsidRPr="00092E18" w:rsidRDefault="00C22F48" w:rsidP="00C22F48">
            <w:pPr>
              <w:spacing w:before="40" w:after="40"/>
              <w:jc w:val="right"/>
              <w:rPr>
                <w:rFonts w:ascii="Arial" w:hAnsi="Arial"/>
                <w:sz w:val="16"/>
                <w:szCs w:val="16"/>
              </w:rPr>
            </w:pPr>
            <w:r w:rsidRPr="00092E18">
              <w:rPr>
                <w:rFonts w:ascii="Arial" w:hAnsi="Arial"/>
                <w:sz w:val="16"/>
                <w:szCs w:val="16"/>
              </w:rPr>
              <w:t>3,267</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375B07C0" w14:textId="77777777" w:rsidR="00C22F48" w:rsidRPr="00092E18" w:rsidRDefault="00C22F48" w:rsidP="00C22F48">
            <w:pPr>
              <w:spacing w:before="40" w:after="40"/>
              <w:jc w:val="right"/>
              <w:rPr>
                <w:rFonts w:ascii="Arial" w:hAnsi="Arial"/>
                <w:sz w:val="16"/>
                <w:szCs w:val="16"/>
              </w:rPr>
            </w:pPr>
            <w:r w:rsidRPr="00092E18">
              <w:rPr>
                <w:rFonts w:ascii="Arial" w:hAnsi="Arial"/>
                <w:sz w:val="16"/>
                <w:szCs w:val="16"/>
              </w:rPr>
              <w:t>3,213</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3A450FFD" w14:textId="77777777" w:rsidR="00C22F48" w:rsidRPr="00092E18" w:rsidRDefault="00C22F48" w:rsidP="00C22F48">
            <w:pPr>
              <w:spacing w:before="40" w:after="40"/>
              <w:jc w:val="right"/>
              <w:rPr>
                <w:rFonts w:ascii="Arial" w:hAnsi="Arial"/>
                <w:sz w:val="16"/>
                <w:szCs w:val="16"/>
              </w:rPr>
            </w:pPr>
            <w:r w:rsidRPr="00092E18">
              <w:rPr>
                <w:rFonts w:ascii="Arial" w:hAnsi="Arial"/>
                <w:sz w:val="16"/>
                <w:szCs w:val="16"/>
              </w:rPr>
              <w:t>3,292</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06834271" w14:textId="77777777" w:rsidR="00C22F48" w:rsidRPr="00092E18" w:rsidRDefault="00C22F48" w:rsidP="00C22F48">
            <w:pPr>
              <w:spacing w:before="40" w:after="40"/>
              <w:jc w:val="right"/>
              <w:rPr>
                <w:rFonts w:ascii="Arial" w:hAnsi="Arial"/>
                <w:sz w:val="16"/>
                <w:szCs w:val="16"/>
              </w:rPr>
            </w:pPr>
            <w:r w:rsidRPr="00092E18">
              <w:rPr>
                <w:rFonts w:ascii="Arial" w:hAnsi="Arial"/>
                <w:sz w:val="16"/>
                <w:szCs w:val="16"/>
              </w:rPr>
              <w:t>3,285</w:t>
            </w:r>
          </w:p>
        </w:tc>
      </w:tr>
      <w:tr w:rsidR="00C22F48" w:rsidRPr="00C22F48" w14:paraId="4743BAF2" w14:textId="77777777" w:rsidTr="00C22F48">
        <w:tc>
          <w:tcPr>
            <w:tcW w:w="488" w:type="dxa"/>
            <w:tcBorders>
              <w:top w:val="single" w:sz="4" w:space="0" w:color="auto"/>
              <w:left w:val="single" w:sz="4" w:space="0" w:color="auto"/>
              <w:bottom w:val="single" w:sz="4" w:space="0" w:color="auto"/>
              <w:right w:val="single" w:sz="4" w:space="0" w:color="auto"/>
            </w:tcBorders>
            <w:shd w:val="clear" w:color="auto" w:fill="auto"/>
            <w:vAlign w:val="center"/>
          </w:tcPr>
          <w:p w14:paraId="1E6ED092" w14:textId="77777777" w:rsidR="00C22F48" w:rsidRPr="00C22F48" w:rsidRDefault="00C22F48" w:rsidP="00C22F48">
            <w:pPr>
              <w:pStyle w:val="TableTextLeft0"/>
              <w:jc w:val="right"/>
              <w:rPr>
                <w:sz w:val="16"/>
                <w:szCs w:val="16"/>
                <w:lang w:val="en-AU"/>
              </w:rPr>
            </w:pPr>
            <w:r>
              <w:rPr>
                <w:sz w:val="16"/>
                <w:szCs w:val="16"/>
                <w:lang w:val="en-AU"/>
              </w:rPr>
              <w:t>2</w:t>
            </w:r>
          </w:p>
        </w:tc>
        <w:tc>
          <w:tcPr>
            <w:tcW w:w="2621" w:type="dxa"/>
            <w:tcBorders>
              <w:top w:val="single" w:sz="4" w:space="0" w:color="auto"/>
              <w:left w:val="single" w:sz="4" w:space="0" w:color="auto"/>
              <w:bottom w:val="single" w:sz="4" w:space="0" w:color="auto"/>
              <w:right w:val="single" w:sz="4" w:space="0" w:color="auto"/>
            </w:tcBorders>
            <w:shd w:val="clear" w:color="auto" w:fill="auto"/>
            <w:vAlign w:val="center"/>
          </w:tcPr>
          <w:p w14:paraId="1C442D0F" w14:textId="77777777" w:rsidR="00C22F48" w:rsidRPr="00C22F48" w:rsidRDefault="00C22F48" w:rsidP="00C22F48">
            <w:pPr>
              <w:pStyle w:val="TableTextLeft0"/>
              <w:rPr>
                <w:sz w:val="16"/>
                <w:szCs w:val="16"/>
                <w:lang w:val="en-AU"/>
              </w:rPr>
            </w:pPr>
            <w:r w:rsidRPr="00C22F48">
              <w:rPr>
                <w:sz w:val="16"/>
                <w:szCs w:val="16"/>
                <w:lang w:val="en-AU"/>
              </w:rPr>
              <w:t xml:space="preserve">Hydrographic Force </w:t>
            </w:r>
            <w:r w:rsidRPr="00C22F48">
              <w:rPr>
                <w:sz w:val="16"/>
                <w:szCs w:val="16"/>
                <w:vertAlign w:val="superscript"/>
                <w:lang w:val="en-AU"/>
              </w:rPr>
              <w:t>[f]</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7E815EE1" w14:textId="77777777" w:rsidR="00C22F48" w:rsidRPr="00D32FB8" w:rsidRDefault="00C22F48" w:rsidP="00C22F48">
            <w:pPr>
              <w:spacing w:before="40" w:after="40"/>
              <w:jc w:val="right"/>
              <w:rPr>
                <w:rFonts w:ascii="Arial" w:hAnsi="Arial"/>
                <w:color w:val="FF0000"/>
                <w:sz w:val="16"/>
                <w:szCs w:val="16"/>
              </w:rPr>
            </w:pPr>
            <w:r w:rsidRPr="00117124">
              <w:rPr>
                <w:rFonts w:ascii="Arial" w:hAnsi="Arial"/>
                <w:sz w:val="16"/>
                <w:szCs w:val="16"/>
              </w:rPr>
              <w:t>591</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14:paraId="4421D40D" w14:textId="77777777" w:rsidR="00C22F48" w:rsidRPr="00092E18" w:rsidRDefault="00C22F48" w:rsidP="00C22F48">
            <w:pPr>
              <w:spacing w:before="40" w:after="40"/>
              <w:jc w:val="right"/>
              <w:rPr>
                <w:rFonts w:ascii="Arial" w:hAnsi="Arial"/>
                <w:sz w:val="16"/>
                <w:szCs w:val="16"/>
              </w:rPr>
            </w:pPr>
            <w:r w:rsidRPr="00092E18">
              <w:rPr>
                <w:rFonts w:ascii="Arial" w:hAnsi="Arial"/>
                <w:sz w:val="16"/>
                <w:szCs w:val="16"/>
              </w:rPr>
              <w:t>664</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60D0C95E" w14:textId="77777777" w:rsidR="00C22F48" w:rsidRPr="00092E18" w:rsidRDefault="00C22F48" w:rsidP="00C22F48">
            <w:pPr>
              <w:spacing w:before="40" w:after="40"/>
              <w:jc w:val="right"/>
              <w:rPr>
                <w:rFonts w:ascii="Arial" w:hAnsi="Arial"/>
                <w:sz w:val="16"/>
                <w:szCs w:val="16"/>
              </w:rPr>
            </w:pPr>
            <w:r w:rsidRPr="00092E18">
              <w:rPr>
                <w:rFonts w:ascii="Arial" w:hAnsi="Arial"/>
                <w:sz w:val="16"/>
                <w:szCs w:val="16"/>
              </w:rPr>
              <w:t>628</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44CA0266" w14:textId="77777777" w:rsidR="00C22F48" w:rsidRPr="00092E18" w:rsidRDefault="00C22F48" w:rsidP="00C22F48">
            <w:pPr>
              <w:spacing w:before="40" w:after="40"/>
              <w:jc w:val="right"/>
              <w:rPr>
                <w:rFonts w:ascii="Arial" w:hAnsi="Arial"/>
                <w:sz w:val="16"/>
                <w:szCs w:val="16"/>
              </w:rPr>
            </w:pPr>
            <w:r w:rsidRPr="00092E18">
              <w:rPr>
                <w:rFonts w:ascii="Arial" w:hAnsi="Arial"/>
                <w:sz w:val="16"/>
                <w:szCs w:val="16"/>
              </w:rPr>
              <w:t>496</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14CAE870" w14:textId="77777777" w:rsidR="00C22F48" w:rsidRPr="00092E18" w:rsidRDefault="00C22F48" w:rsidP="00C22F48">
            <w:pPr>
              <w:spacing w:before="40" w:after="40"/>
              <w:jc w:val="right"/>
              <w:rPr>
                <w:rFonts w:ascii="Arial" w:hAnsi="Arial"/>
                <w:sz w:val="16"/>
                <w:szCs w:val="16"/>
              </w:rPr>
            </w:pPr>
            <w:r w:rsidRPr="00092E18">
              <w:rPr>
                <w:rFonts w:ascii="Arial" w:hAnsi="Arial"/>
                <w:sz w:val="16"/>
                <w:szCs w:val="16"/>
              </w:rPr>
              <w:t>365</w:t>
            </w:r>
          </w:p>
        </w:tc>
      </w:tr>
    </w:tbl>
    <w:p w14:paraId="0C67C0D7" w14:textId="77777777" w:rsidR="005403E1" w:rsidRPr="00C22F48" w:rsidRDefault="005403E1" w:rsidP="00656D60">
      <w:pPr>
        <w:pStyle w:val="NotesHeading"/>
        <w:spacing w:before="0" w:after="0"/>
      </w:pPr>
    </w:p>
    <w:p w14:paraId="035DB34E" w14:textId="77777777" w:rsidR="005403E1" w:rsidRPr="00C22F48" w:rsidRDefault="005403E1" w:rsidP="00656D60">
      <w:pPr>
        <w:pStyle w:val="NotesHeading"/>
        <w:spacing w:before="0" w:after="0"/>
        <w:rPr>
          <w:sz w:val="14"/>
          <w:szCs w:val="14"/>
        </w:rPr>
      </w:pPr>
      <w:r w:rsidRPr="00C22F48">
        <w:rPr>
          <w:sz w:val="14"/>
          <w:szCs w:val="14"/>
        </w:rPr>
        <w:t>Notes</w:t>
      </w:r>
    </w:p>
    <w:p w14:paraId="3CB4577B" w14:textId="0BDC6FF9" w:rsidR="00C22F48" w:rsidRPr="00C22F48" w:rsidRDefault="00C22F48" w:rsidP="00C22F48">
      <w:pPr>
        <w:numPr>
          <w:ilvl w:val="0"/>
          <w:numId w:val="24"/>
        </w:numPr>
        <w:tabs>
          <w:tab w:val="num" w:pos="0"/>
          <w:tab w:val="num" w:pos="284"/>
        </w:tabs>
        <w:spacing w:before="0" w:after="0"/>
        <w:ind w:left="284" w:hanging="284"/>
        <w:rPr>
          <w:rFonts w:ascii="Arial" w:hAnsi="Arial"/>
          <w:sz w:val="14"/>
          <w:szCs w:val="14"/>
        </w:rPr>
      </w:pPr>
      <w:r w:rsidRPr="00C22F48">
        <w:rPr>
          <w:rFonts w:ascii="Arial" w:hAnsi="Arial"/>
          <w:sz w:val="14"/>
          <w:szCs w:val="14"/>
        </w:rPr>
        <w:t>A Unit Availability Day (UAD) is a day when a unit is materi</w:t>
      </w:r>
      <w:r w:rsidR="000D44A3">
        <w:rPr>
          <w:rFonts w:ascii="Arial" w:hAnsi="Arial"/>
          <w:sz w:val="14"/>
          <w:szCs w:val="14"/>
        </w:rPr>
        <w:t>a</w:t>
      </w:r>
      <w:r w:rsidRPr="00C22F48">
        <w:rPr>
          <w:rFonts w:ascii="Arial" w:hAnsi="Arial"/>
          <w:sz w:val="14"/>
          <w:szCs w:val="14"/>
        </w:rPr>
        <w:t>lly ready and its personnel state and level of competence enables the unit to safely perform tasks in the unit’s normal operating environment, immediately.</w:t>
      </w:r>
    </w:p>
    <w:p w14:paraId="6D8CE099" w14:textId="77777777" w:rsidR="00C22F48" w:rsidRPr="00C22F48" w:rsidRDefault="00C22F48" w:rsidP="00C22F48">
      <w:pPr>
        <w:numPr>
          <w:ilvl w:val="0"/>
          <w:numId w:val="24"/>
        </w:numPr>
        <w:tabs>
          <w:tab w:val="num" w:pos="0"/>
          <w:tab w:val="num" w:pos="284"/>
        </w:tabs>
        <w:spacing w:before="0" w:after="0"/>
        <w:ind w:left="284" w:hanging="284"/>
        <w:rPr>
          <w:rFonts w:ascii="Arial" w:hAnsi="Arial"/>
          <w:sz w:val="14"/>
          <w:szCs w:val="14"/>
        </w:rPr>
      </w:pPr>
      <w:r w:rsidRPr="00C22F48">
        <w:rPr>
          <w:rFonts w:ascii="Arial" w:hAnsi="Arial"/>
          <w:sz w:val="14"/>
          <w:szCs w:val="14"/>
        </w:rPr>
        <w:t xml:space="preserve">Major Combatants comprises seven </w:t>
      </w:r>
      <w:r w:rsidRPr="00C22F48">
        <w:rPr>
          <w:rFonts w:ascii="Arial" w:hAnsi="Arial"/>
          <w:i/>
          <w:sz w:val="14"/>
          <w:szCs w:val="14"/>
        </w:rPr>
        <w:t>Anzac</w:t>
      </w:r>
      <w:r w:rsidRPr="00C22F48">
        <w:rPr>
          <w:rFonts w:ascii="Arial" w:hAnsi="Arial"/>
          <w:sz w:val="14"/>
          <w:szCs w:val="14"/>
        </w:rPr>
        <w:t xml:space="preserve"> class frigates, three </w:t>
      </w:r>
      <w:r w:rsidRPr="00C22F48">
        <w:rPr>
          <w:rFonts w:ascii="Arial" w:hAnsi="Arial"/>
          <w:i/>
          <w:sz w:val="14"/>
          <w:szCs w:val="14"/>
        </w:rPr>
        <w:t>Hobart</w:t>
      </w:r>
      <w:r w:rsidRPr="00C22F48">
        <w:rPr>
          <w:rFonts w:ascii="Arial" w:hAnsi="Arial"/>
          <w:sz w:val="14"/>
          <w:szCs w:val="14"/>
        </w:rPr>
        <w:t xml:space="preserve"> class destroyers and six </w:t>
      </w:r>
      <w:r w:rsidRPr="00C22F48">
        <w:rPr>
          <w:rFonts w:ascii="Arial" w:hAnsi="Arial"/>
          <w:i/>
          <w:sz w:val="14"/>
          <w:szCs w:val="14"/>
        </w:rPr>
        <w:t>Collins</w:t>
      </w:r>
      <w:r w:rsidRPr="00C22F48">
        <w:rPr>
          <w:rFonts w:ascii="Arial" w:hAnsi="Arial"/>
          <w:sz w:val="14"/>
          <w:szCs w:val="14"/>
        </w:rPr>
        <w:t xml:space="preserve"> class submarines. Reduction in UAD’s is due to variation of maintenance activities across </w:t>
      </w:r>
      <w:r w:rsidRPr="00C22F48">
        <w:rPr>
          <w:rFonts w:ascii="Arial" w:hAnsi="Arial"/>
          <w:i/>
          <w:sz w:val="14"/>
          <w:szCs w:val="14"/>
        </w:rPr>
        <w:t>Anzac</w:t>
      </w:r>
      <w:r w:rsidRPr="00C22F48">
        <w:rPr>
          <w:rFonts w:ascii="Arial" w:hAnsi="Arial"/>
          <w:sz w:val="14"/>
          <w:szCs w:val="14"/>
        </w:rPr>
        <w:t xml:space="preserve"> class frigates and planned maintenance periods across </w:t>
      </w:r>
      <w:r w:rsidRPr="00C22F48">
        <w:rPr>
          <w:rFonts w:ascii="Arial" w:hAnsi="Arial"/>
          <w:i/>
          <w:sz w:val="14"/>
          <w:szCs w:val="14"/>
        </w:rPr>
        <w:t xml:space="preserve">Collins </w:t>
      </w:r>
      <w:r w:rsidRPr="00C22F48">
        <w:rPr>
          <w:rFonts w:ascii="Arial" w:hAnsi="Arial"/>
          <w:sz w:val="14"/>
          <w:szCs w:val="14"/>
        </w:rPr>
        <w:t>class submarines.</w:t>
      </w:r>
    </w:p>
    <w:p w14:paraId="50914265" w14:textId="254D8B49" w:rsidR="00C22F48" w:rsidRPr="00C22F48" w:rsidRDefault="00C22F48" w:rsidP="00C22F48">
      <w:pPr>
        <w:numPr>
          <w:ilvl w:val="0"/>
          <w:numId w:val="24"/>
        </w:numPr>
        <w:tabs>
          <w:tab w:val="num" w:pos="0"/>
          <w:tab w:val="num" w:pos="284"/>
        </w:tabs>
        <w:spacing w:before="0" w:after="0"/>
        <w:ind w:left="284" w:hanging="284"/>
        <w:rPr>
          <w:rFonts w:ascii="Arial" w:hAnsi="Arial"/>
          <w:sz w:val="14"/>
          <w:szCs w:val="14"/>
        </w:rPr>
      </w:pPr>
      <w:r w:rsidRPr="00C22F48">
        <w:rPr>
          <w:rFonts w:ascii="Arial" w:hAnsi="Arial"/>
          <w:sz w:val="14"/>
          <w:szCs w:val="14"/>
        </w:rPr>
        <w:t xml:space="preserve">Minor Combatants comprises three </w:t>
      </w:r>
      <w:r w:rsidRPr="00C22F48">
        <w:rPr>
          <w:rFonts w:ascii="Arial" w:hAnsi="Arial"/>
          <w:i/>
          <w:sz w:val="14"/>
          <w:szCs w:val="14"/>
        </w:rPr>
        <w:t xml:space="preserve">Armidale </w:t>
      </w:r>
      <w:r w:rsidRPr="00C22F48">
        <w:rPr>
          <w:rFonts w:ascii="Arial" w:hAnsi="Arial"/>
          <w:sz w:val="14"/>
          <w:szCs w:val="14"/>
        </w:rPr>
        <w:t xml:space="preserve">class patrol boats, eight </w:t>
      </w:r>
      <w:r w:rsidRPr="00C22F48">
        <w:rPr>
          <w:rFonts w:ascii="Arial" w:hAnsi="Arial"/>
          <w:i/>
          <w:sz w:val="14"/>
          <w:szCs w:val="14"/>
        </w:rPr>
        <w:t xml:space="preserve">Cape </w:t>
      </w:r>
      <w:r w:rsidRPr="00C22F48">
        <w:rPr>
          <w:rFonts w:ascii="Arial" w:hAnsi="Arial"/>
          <w:sz w:val="14"/>
          <w:szCs w:val="14"/>
        </w:rPr>
        <w:t xml:space="preserve">class patrol boats, two </w:t>
      </w:r>
      <w:r w:rsidRPr="00C22F48">
        <w:rPr>
          <w:rFonts w:ascii="Arial" w:hAnsi="Arial"/>
          <w:i/>
          <w:sz w:val="14"/>
          <w:szCs w:val="14"/>
        </w:rPr>
        <w:t>Huon</w:t>
      </w:r>
      <w:r w:rsidRPr="00C22F48">
        <w:rPr>
          <w:rFonts w:ascii="Arial" w:hAnsi="Arial"/>
          <w:sz w:val="14"/>
          <w:szCs w:val="14"/>
        </w:rPr>
        <w:t xml:space="preserve"> class coastal minehunters and when commissioned into service the </w:t>
      </w:r>
      <w:r w:rsidRPr="00C22F48">
        <w:rPr>
          <w:rFonts w:ascii="Arial" w:hAnsi="Arial"/>
          <w:i/>
          <w:sz w:val="14"/>
          <w:szCs w:val="14"/>
        </w:rPr>
        <w:t>Arafura</w:t>
      </w:r>
      <w:r w:rsidRPr="00C22F48">
        <w:rPr>
          <w:rFonts w:ascii="Arial" w:hAnsi="Arial"/>
          <w:sz w:val="14"/>
          <w:szCs w:val="14"/>
        </w:rPr>
        <w:t xml:space="preserve"> Offshore Patrol Vessels. </w:t>
      </w:r>
      <w:r w:rsidRPr="00C22F48">
        <w:rPr>
          <w:rFonts w:ascii="Arial" w:hAnsi="Arial"/>
          <w:iCs/>
          <w:sz w:val="14"/>
          <w:szCs w:val="14"/>
        </w:rPr>
        <w:t xml:space="preserve">Decreased UAD’s </w:t>
      </w:r>
      <w:r w:rsidR="007C1710">
        <w:rPr>
          <w:rFonts w:ascii="Arial" w:hAnsi="Arial"/>
          <w:iCs/>
          <w:sz w:val="14"/>
          <w:szCs w:val="14"/>
        </w:rPr>
        <w:t>due to</w:t>
      </w:r>
      <w:r w:rsidRPr="00C22F48">
        <w:rPr>
          <w:rFonts w:ascii="Arial" w:hAnsi="Arial"/>
          <w:iCs/>
          <w:sz w:val="14"/>
          <w:szCs w:val="14"/>
        </w:rPr>
        <w:t xml:space="preserve"> </w:t>
      </w:r>
      <w:r w:rsidR="007C1710">
        <w:rPr>
          <w:rFonts w:ascii="Arial" w:hAnsi="Arial"/>
          <w:iCs/>
          <w:sz w:val="14"/>
          <w:szCs w:val="14"/>
        </w:rPr>
        <w:t xml:space="preserve">the HMA Ships’ </w:t>
      </w:r>
      <w:r w:rsidR="007C1710" w:rsidRPr="007C1710">
        <w:rPr>
          <w:rFonts w:ascii="Arial" w:hAnsi="Arial"/>
          <w:i/>
          <w:iCs/>
          <w:sz w:val="14"/>
          <w:szCs w:val="14"/>
        </w:rPr>
        <w:t>Broome</w:t>
      </w:r>
      <w:r w:rsidR="007C1710">
        <w:rPr>
          <w:rFonts w:ascii="Arial" w:hAnsi="Arial"/>
          <w:iCs/>
          <w:sz w:val="14"/>
          <w:szCs w:val="14"/>
        </w:rPr>
        <w:t xml:space="preserve"> and </w:t>
      </w:r>
      <w:r w:rsidR="007C1710" w:rsidRPr="007C1710">
        <w:rPr>
          <w:rFonts w:ascii="Arial" w:hAnsi="Arial"/>
          <w:i/>
          <w:iCs/>
          <w:sz w:val="14"/>
          <w:szCs w:val="14"/>
        </w:rPr>
        <w:t>Gascoyne</w:t>
      </w:r>
      <w:r w:rsidR="007C1710">
        <w:rPr>
          <w:rFonts w:ascii="Arial" w:hAnsi="Arial"/>
          <w:iCs/>
          <w:sz w:val="14"/>
          <w:szCs w:val="14"/>
        </w:rPr>
        <w:t xml:space="preserve"> </w:t>
      </w:r>
      <w:r w:rsidRPr="00C22F48">
        <w:rPr>
          <w:rFonts w:ascii="Arial" w:hAnsi="Arial"/>
          <w:iCs/>
          <w:sz w:val="14"/>
          <w:szCs w:val="14"/>
        </w:rPr>
        <w:t>decommissioning an</w:t>
      </w:r>
      <w:r w:rsidR="007C1710">
        <w:rPr>
          <w:rFonts w:ascii="Arial" w:hAnsi="Arial"/>
          <w:iCs/>
          <w:sz w:val="14"/>
          <w:szCs w:val="14"/>
        </w:rPr>
        <w:t>d the forecast decommissioning</w:t>
      </w:r>
      <w:r w:rsidRPr="00C22F48">
        <w:rPr>
          <w:rFonts w:ascii="Arial" w:hAnsi="Arial"/>
          <w:iCs/>
          <w:sz w:val="14"/>
          <w:szCs w:val="14"/>
        </w:rPr>
        <w:t xml:space="preserve"> of HMA Ships </w:t>
      </w:r>
      <w:r w:rsidRPr="00C22F48">
        <w:rPr>
          <w:rFonts w:ascii="Arial" w:hAnsi="Arial"/>
          <w:i/>
          <w:iCs/>
          <w:sz w:val="14"/>
          <w:szCs w:val="14"/>
        </w:rPr>
        <w:t>Bathurst</w:t>
      </w:r>
      <w:r w:rsidRPr="00C22F48">
        <w:rPr>
          <w:rFonts w:ascii="Arial" w:hAnsi="Arial"/>
          <w:iCs/>
          <w:sz w:val="14"/>
          <w:szCs w:val="14"/>
        </w:rPr>
        <w:t xml:space="preserve"> and </w:t>
      </w:r>
      <w:r w:rsidRPr="00C22F48">
        <w:rPr>
          <w:rFonts w:ascii="Arial" w:hAnsi="Arial"/>
          <w:i/>
          <w:iCs/>
          <w:sz w:val="14"/>
          <w:szCs w:val="14"/>
        </w:rPr>
        <w:t>Albany</w:t>
      </w:r>
      <w:r w:rsidRPr="00C22F48">
        <w:rPr>
          <w:rFonts w:ascii="Arial" w:hAnsi="Arial"/>
          <w:iCs/>
          <w:sz w:val="14"/>
          <w:szCs w:val="14"/>
        </w:rPr>
        <w:t xml:space="preserve"> in Dec</w:t>
      </w:r>
      <w:r w:rsidR="00A94C87">
        <w:rPr>
          <w:rFonts w:ascii="Arial" w:hAnsi="Arial"/>
          <w:iCs/>
          <w:sz w:val="14"/>
          <w:szCs w:val="14"/>
        </w:rPr>
        <w:t>ember</w:t>
      </w:r>
      <w:r w:rsidRPr="00C22F48">
        <w:rPr>
          <w:rFonts w:ascii="Arial" w:hAnsi="Arial"/>
          <w:iCs/>
          <w:sz w:val="14"/>
          <w:szCs w:val="14"/>
        </w:rPr>
        <w:t xml:space="preserve"> </w:t>
      </w:r>
      <w:r w:rsidR="007C1710">
        <w:rPr>
          <w:rFonts w:ascii="Arial" w:hAnsi="Arial"/>
          <w:iCs/>
          <w:sz w:val="14"/>
          <w:szCs w:val="14"/>
        </w:rPr>
        <w:t>20</w:t>
      </w:r>
      <w:r w:rsidRPr="00C22F48">
        <w:rPr>
          <w:rFonts w:ascii="Arial" w:hAnsi="Arial"/>
          <w:iCs/>
          <w:sz w:val="14"/>
          <w:szCs w:val="14"/>
        </w:rPr>
        <w:t>25.  UAD data for OPV’s cannot be forecast into forward estimates until commissioned, however, there is an increase in UAD’s in 2025-26 due to the first vessel being accepted by Navy.</w:t>
      </w:r>
    </w:p>
    <w:p w14:paraId="6FACFD6C" w14:textId="1C174717" w:rsidR="00C22F48" w:rsidRPr="00C22F48" w:rsidRDefault="00C22F48" w:rsidP="00C22F48">
      <w:pPr>
        <w:numPr>
          <w:ilvl w:val="0"/>
          <w:numId w:val="24"/>
        </w:numPr>
        <w:tabs>
          <w:tab w:val="num" w:pos="0"/>
          <w:tab w:val="num" w:pos="284"/>
        </w:tabs>
        <w:spacing w:before="0" w:after="0"/>
        <w:ind w:left="284" w:hanging="284"/>
        <w:rPr>
          <w:rFonts w:ascii="Arial" w:hAnsi="Arial"/>
          <w:color w:val="FF0000"/>
          <w:sz w:val="14"/>
          <w:szCs w:val="14"/>
        </w:rPr>
      </w:pPr>
      <w:r w:rsidRPr="00C22F48">
        <w:rPr>
          <w:rFonts w:ascii="Arial" w:hAnsi="Arial"/>
          <w:sz w:val="14"/>
          <w:szCs w:val="14"/>
        </w:rPr>
        <w:t xml:space="preserve">Amphibious and Afloat Support comprises two </w:t>
      </w:r>
      <w:r w:rsidRPr="00C22F48">
        <w:rPr>
          <w:rFonts w:ascii="Arial" w:hAnsi="Arial"/>
          <w:i/>
          <w:sz w:val="14"/>
          <w:szCs w:val="14"/>
        </w:rPr>
        <w:t>Supply</w:t>
      </w:r>
      <w:r w:rsidRPr="00C22F48">
        <w:rPr>
          <w:rFonts w:ascii="Arial" w:hAnsi="Arial"/>
          <w:sz w:val="14"/>
          <w:szCs w:val="14"/>
        </w:rPr>
        <w:t xml:space="preserve"> class replenishment ships, two </w:t>
      </w:r>
      <w:r w:rsidRPr="00C22F48">
        <w:rPr>
          <w:rFonts w:ascii="Arial" w:hAnsi="Arial"/>
          <w:i/>
          <w:sz w:val="14"/>
          <w:szCs w:val="14"/>
        </w:rPr>
        <w:t>Canberra</w:t>
      </w:r>
      <w:r w:rsidRPr="00C22F48">
        <w:rPr>
          <w:rFonts w:ascii="Arial" w:hAnsi="Arial"/>
          <w:sz w:val="14"/>
          <w:szCs w:val="14"/>
        </w:rPr>
        <w:t xml:space="preserve"> </w:t>
      </w:r>
      <w:r w:rsidR="000D44A3">
        <w:rPr>
          <w:rFonts w:ascii="Arial" w:hAnsi="Arial"/>
          <w:sz w:val="14"/>
          <w:szCs w:val="14"/>
        </w:rPr>
        <w:t>class amphibious ships and HMAS </w:t>
      </w:r>
      <w:r w:rsidRPr="00C22F48">
        <w:rPr>
          <w:rFonts w:ascii="Arial" w:hAnsi="Arial"/>
          <w:i/>
          <w:sz w:val="14"/>
          <w:szCs w:val="14"/>
        </w:rPr>
        <w:t>Choules</w:t>
      </w:r>
      <w:r w:rsidRPr="00C22F48">
        <w:rPr>
          <w:rFonts w:ascii="Arial" w:hAnsi="Arial"/>
          <w:sz w:val="14"/>
          <w:szCs w:val="14"/>
        </w:rPr>
        <w:t>. There is nil significant change forecasted.</w:t>
      </w:r>
    </w:p>
    <w:p w14:paraId="5A83052E" w14:textId="77777777" w:rsidR="00C22F48" w:rsidRPr="00C22F48" w:rsidRDefault="00C22F48" w:rsidP="00C22F48">
      <w:pPr>
        <w:numPr>
          <w:ilvl w:val="0"/>
          <w:numId w:val="24"/>
        </w:numPr>
        <w:tabs>
          <w:tab w:val="num" w:pos="0"/>
          <w:tab w:val="num" w:pos="284"/>
        </w:tabs>
        <w:spacing w:before="0" w:after="0"/>
        <w:ind w:left="284" w:hanging="284"/>
        <w:rPr>
          <w:color w:val="FF0000"/>
          <w:sz w:val="14"/>
          <w:szCs w:val="14"/>
        </w:rPr>
      </w:pPr>
      <w:r w:rsidRPr="00C22F48">
        <w:rPr>
          <w:rFonts w:ascii="Arial" w:hAnsi="Arial"/>
          <w:sz w:val="14"/>
          <w:szCs w:val="14"/>
        </w:rPr>
        <w:t>Maritime Teams comprises two Clearance Diving teams, four Deployable Geospatial Support, two Deployable Meteorological teams and one Senior Deployable Meteorologist.  UAD data for Maritime Teams has increased due to the addition of both a Deployable Multibeam Team and Deployable Shallow Water Team.</w:t>
      </w:r>
    </w:p>
    <w:p w14:paraId="6F6A93BE" w14:textId="77777777" w:rsidR="00657314" w:rsidRPr="00C22F48" w:rsidRDefault="00C22F48" w:rsidP="00C22F48">
      <w:pPr>
        <w:numPr>
          <w:ilvl w:val="0"/>
          <w:numId w:val="24"/>
        </w:numPr>
        <w:tabs>
          <w:tab w:val="num" w:pos="0"/>
          <w:tab w:val="num" w:pos="284"/>
        </w:tabs>
        <w:spacing w:before="0" w:after="0"/>
        <w:ind w:left="284" w:hanging="284"/>
        <w:rPr>
          <w:sz w:val="14"/>
          <w:szCs w:val="14"/>
        </w:rPr>
      </w:pPr>
      <w:r w:rsidRPr="00C22F48">
        <w:rPr>
          <w:rFonts w:ascii="Arial" w:hAnsi="Arial"/>
          <w:sz w:val="14"/>
          <w:szCs w:val="14"/>
        </w:rPr>
        <w:t xml:space="preserve">Hydrographic Force comprises one </w:t>
      </w:r>
      <w:r w:rsidRPr="00C22F48">
        <w:rPr>
          <w:rFonts w:ascii="Arial" w:hAnsi="Arial"/>
          <w:i/>
          <w:sz w:val="14"/>
          <w:szCs w:val="14"/>
        </w:rPr>
        <w:t>Leeuwin</w:t>
      </w:r>
      <w:r w:rsidRPr="00C22F48">
        <w:rPr>
          <w:rFonts w:ascii="Arial" w:hAnsi="Arial"/>
          <w:sz w:val="14"/>
          <w:szCs w:val="14"/>
        </w:rPr>
        <w:t xml:space="preserve"> class hydrographic ship and the Naval Air Station Weather and Oceanographic Centre.  Nil change</w:t>
      </w:r>
      <w:r w:rsidR="00657314" w:rsidRPr="00C22F48">
        <w:rPr>
          <w:rFonts w:ascii="Arial" w:hAnsi="Arial"/>
          <w:sz w:val="14"/>
          <w:szCs w:val="14"/>
        </w:rPr>
        <w:t>.</w:t>
      </w:r>
    </w:p>
    <w:p w14:paraId="66B2DEA6" w14:textId="77777777" w:rsidR="00657314" w:rsidRPr="00CD66E1" w:rsidRDefault="00657314" w:rsidP="00656D60">
      <w:pPr>
        <w:pStyle w:val="NotesHeading"/>
        <w:spacing w:before="0" w:after="0"/>
        <w:rPr>
          <w:highlight w:val="yellow"/>
        </w:rPr>
      </w:pPr>
    </w:p>
    <w:p w14:paraId="7714859B" w14:textId="2B2992E6" w:rsidR="005403E1" w:rsidRPr="00C22F48" w:rsidRDefault="005403E1" w:rsidP="00D9100A">
      <w:pPr>
        <w:pStyle w:val="TableHeading"/>
        <w:numPr>
          <w:ilvl w:val="0"/>
          <w:numId w:val="29"/>
        </w:numPr>
        <w:spacing w:before="100"/>
        <w:ind w:left="0" w:firstLine="0"/>
        <w:outlineLvl w:val="6"/>
      </w:pPr>
      <w:r w:rsidRPr="00C22F48">
        <w:t>Navy Deliverables (Flying Hours)</w:t>
      </w:r>
      <w:r w:rsidR="00BC3CBE" w:rsidRPr="00BC3CBE">
        <w:rPr>
          <w:vertAlign w:val="superscript"/>
        </w:rPr>
        <w:t xml:space="preserve"> </w:t>
      </w:r>
      <w:r w:rsidR="00BC3CBE" w:rsidRPr="00C22F48">
        <w:rPr>
          <w:vertAlign w:val="superscript"/>
        </w:rPr>
        <w:t>[a]</w:t>
      </w:r>
    </w:p>
    <w:tbl>
      <w:tblPr>
        <w:tblW w:w="485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
        <w:gridCol w:w="2295"/>
        <w:gridCol w:w="1102"/>
        <w:gridCol w:w="1181"/>
        <w:gridCol w:w="1173"/>
        <w:gridCol w:w="1173"/>
        <w:gridCol w:w="997"/>
      </w:tblGrid>
      <w:tr w:rsidR="00657314" w:rsidRPr="00C22F48" w14:paraId="1559A5FA" w14:textId="77777777" w:rsidTr="002A5D39">
        <w:trPr>
          <w:trHeight w:val="633"/>
        </w:trPr>
        <w:tc>
          <w:tcPr>
            <w:tcW w:w="2851" w:type="dxa"/>
            <w:gridSpan w:val="2"/>
            <w:shd w:val="clear" w:color="auto" w:fill="auto"/>
          </w:tcPr>
          <w:p w14:paraId="69567C73" w14:textId="77777777" w:rsidR="00657314" w:rsidRPr="00C22F48" w:rsidRDefault="00657314" w:rsidP="00657314">
            <w:pPr>
              <w:pStyle w:val="TableTextHeadingLeft"/>
              <w:rPr>
                <w:sz w:val="16"/>
                <w:szCs w:val="16"/>
              </w:rPr>
            </w:pPr>
            <w:r w:rsidRPr="00C22F48">
              <w:rPr>
                <w:sz w:val="16"/>
                <w:szCs w:val="16"/>
              </w:rPr>
              <w:t xml:space="preserve">Deliverables </w:t>
            </w:r>
          </w:p>
        </w:tc>
        <w:tc>
          <w:tcPr>
            <w:tcW w:w="1112" w:type="dxa"/>
            <w:shd w:val="clear" w:color="auto" w:fill="auto"/>
            <w:vAlign w:val="bottom"/>
          </w:tcPr>
          <w:p w14:paraId="35F12C68" w14:textId="77777777" w:rsidR="00657314" w:rsidRPr="00C22F48" w:rsidRDefault="00657314" w:rsidP="004E2B1E">
            <w:pPr>
              <w:pStyle w:val="TableTextHeadingRight"/>
              <w:rPr>
                <w:sz w:val="16"/>
                <w:szCs w:val="16"/>
              </w:rPr>
            </w:pPr>
            <w:r w:rsidRPr="00C22F48">
              <w:rPr>
                <w:sz w:val="16"/>
                <w:szCs w:val="16"/>
              </w:rPr>
              <w:t>202</w:t>
            </w:r>
            <w:r w:rsidR="004E2B1E" w:rsidRPr="00C22F48">
              <w:rPr>
                <w:sz w:val="16"/>
                <w:szCs w:val="16"/>
              </w:rPr>
              <w:t>4</w:t>
            </w:r>
            <w:r w:rsidRPr="00C22F48">
              <w:rPr>
                <w:sz w:val="16"/>
                <w:szCs w:val="16"/>
              </w:rPr>
              <w:t>-2</w:t>
            </w:r>
            <w:r w:rsidR="004E2B1E" w:rsidRPr="00C22F48">
              <w:rPr>
                <w:sz w:val="16"/>
                <w:szCs w:val="16"/>
              </w:rPr>
              <w:t>5</w:t>
            </w:r>
            <w:r w:rsidRPr="00C22F48">
              <w:rPr>
                <w:sz w:val="16"/>
                <w:szCs w:val="16"/>
              </w:rPr>
              <w:t xml:space="preserve"> </w:t>
            </w:r>
            <w:r w:rsidR="00EC2836" w:rsidRPr="00C22F48">
              <w:rPr>
                <w:sz w:val="16"/>
                <w:szCs w:val="16"/>
              </w:rPr>
              <w:t xml:space="preserve">Estimated </w:t>
            </w:r>
            <w:r w:rsidRPr="00C22F48">
              <w:rPr>
                <w:sz w:val="16"/>
                <w:szCs w:val="16"/>
              </w:rPr>
              <w:t>Actual</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bottom"/>
          </w:tcPr>
          <w:p w14:paraId="00416974" w14:textId="77777777" w:rsidR="00657314" w:rsidRPr="00C22F48" w:rsidRDefault="00657314" w:rsidP="004E2B1E">
            <w:pPr>
              <w:pStyle w:val="TableTextHeadingRight"/>
              <w:rPr>
                <w:sz w:val="16"/>
                <w:szCs w:val="16"/>
              </w:rPr>
            </w:pPr>
            <w:r w:rsidRPr="00C22F48">
              <w:rPr>
                <w:sz w:val="16"/>
                <w:szCs w:val="16"/>
              </w:rPr>
              <w:t>202</w:t>
            </w:r>
            <w:r w:rsidR="004E2B1E" w:rsidRPr="00C22F48">
              <w:rPr>
                <w:sz w:val="16"/>
                <w:szCs w:val="16"/>
              </w:rPr>
              <w:t>5</w:t>
            </w:r>
            <w:r w:rsidRPr="00C22F48">
              <w:rPr>
                <w:sz w:val="16"/>
                <w:szCs w:val="16"/>
              </w:rPr>
              <w:t>-2</w:t>
            </w:r>
            <w:r w:rsidR="004E2B1E" w:rsidRPr="00C22F48">
              <w:rPr>
                <w:sz w:val="16"/>
                <w:szCs w:val="16"/>
              </w:rPr>
              <w:t>6</w:t>
            </w:r>
            <w:r w:rsidRPr="00C22F48">
              <w:rPr>
                <w:sz w:val="16"/>
                <w:szCs w:val="16"/>
              </w:rPr>
              <w:t xml:space="preserve"> Budget Estimate</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6877282F" w14:textId="77777777" w:rsidR="00657314" w:rsidRPr="00C22F48" w:rsidRDefault="00657314" w:rsidP="004E2B1E">
            <w:pPr>
              <w:pStyle w:val="TableTextHeadingRight"/>
              <w:rPr>
                <w:sz w:val="16"/>
                <w:szCs w:val="16"/>
              </w:rPr>
            </w:pPr>
            <w:r w:rsidRPr="00C22F48">
              <w:rPr>
                <w:sz w:val="16"/>
                <w:szCs w:val="16"/>
              </w:rPr>
              <w:t>202</w:t>
            </w:r>
            <w:r w:rsidR="004E2B1E" w:rsidRPr="00C22F48">
              <w:rPr>
                <w:sz w:val="16"/>
                <w:szCs w:val="16"/>
              </w:rPr>
              <w:t>6</w:t>
            </w:r>
            <w:r w:rsidRPr="00C22F48">
              <w:rPr>
                <w:sz w:val="16"/>
                <w:szCs w:val="16"/>
              </w:rPr>
              <w:t>-2</w:t>
            </w:r>
            <w:r w:rsidR="004E2B1E" w:rsidRPr="00C22F48">
              <w:rPr>
                <w:sz w:val="16"/>
                <w:szCs w:val="16"/>
              </w:rPr>
              <w:t>7</w:t>
            </w:r>
            <w:r w:rsidRPr="00C22F48">
              <w:rPr>
                <w:sz w:val="16"/>
                <w:szCs w:val="16"/>
              </w:rPr>
              <w:t xml:space="preserve"> Forward Estimate</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tcPr>
          <w:p w14:paraId="3E4D70E3" w14:textId="77777777" w:rsidR="00657314" w:rsidRPr="00C22F48" w:rsidRDefault="00657314" w:rsidP="004E2B1E">
            <w:pPr>
              <w:pStyle w:val="TableTextHeadingRight"/>
              <w:rPr>
                <w:sz w:val="16"/>
                <w:szCs w:val="16"/>
              </w:rPr>
            </w:pPr>
            <w:r w:rsidRPr="00C22F48">
              <w:rPr>
                <w:sz w:val="16"/>
                <w:szCs w:val="16"/>
              </w:rPr>
              <w:t>202</w:t>
            </w:r>
            <w:r w:rsidR="004E2B1E" w:rsidRPr="00C22F48">
              <w:rPr>
                <w:sz w:val="16"/>
                <w:szCs w:val="16"/>
              </w:rPr>
              <w:t>7</w:t>
            </w:r>
            <w:r w:rsidRPr="00C22F48">
              <w:rPr>
                <w:sz w:val="16"/>
                <w:szCs w:val="16"/>
              </w:rPr>
              <w:t>-2</w:t>
            </w:r>
            <w:r w:rsidR="004E2B1E" w:rsidRPr="00C22F48">
              <w:rPr>
                <w:sz w:val="16"/>
                <w:szCs w:val="16"/>
              </w:rPr>
              <w:t>8</w:t>
            </w:r>
            <w:r w:rsidRPr="00C22F48">
              <w:rPr>
                <w:sz w:val="16"/>
                <w:szCs w:val="16"/>
              </w:rPr>
              <w:t xml:space="preserve"> Forward Estimate</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14:paraId="3BF08636" w14:textId="77777777" w:rsidR="00657314" w:rsidRPr="00C22F48" w:rsidRDefault="00657314" w:rsidP="004E2B1E">
            <w:pPr>
              <w:pStyle w:val="TableTextHeadingRight"/>
              <w:rPr>
                <w:sz w:val="16"/>
                <w:szCs w:val="16"/>
              </w:rPr>
            </w:pPr>
            <w:r w:rsidRPr="00C22F48">
              <w:rPr>
                <w:sz w:val="16"/>
                <w:szCs w:val="16"/>
              </w:rPr>
              <w:t>202</w:t>
            </w:r>
            <w:r w:rsidR="004E2B1E" w:rsidRPr="00C22F48">
              <w:rPr>
                <w:sz w:val="16"/>
                <w:szCs w:val="16"/>
              </w:rPr>
              <w:t>8</w:t>
            </w:r>
            <w:r w:rsidRPr="00C22F48">
              <w:rPr>
                <w:sz w:val="16"/>
                <w:szCs w:val="16"/>
              </w:rPr>
              <w:t>-2</w:t>
            </w:r>
            <w:r w:rsidR="004E2B1E" w:rsidRPr="00C22F48">
              <w:rPr>
                <w:sz w:val="16"/>
                <w:szCs w:val="16"/>
              </w:rPr>
              <w:t>9</w:t>
            </w:r>
            <w:r w:rsidRPr="00C22F48">
              <w:rPr>
                <w:sz w:val="16"/>
                <w:szCs w:val="16"/>
              </w:rPr>
              <w:t xml:space="preserve"> Forward Estimate</w:t>
            </w:r>
          </w:p>
        </w:tc>
      </w:tr>
      <w:tr w:rsidR="007126ED" w:rsidRPr="00B56FAA" w14:paraId="3F5F8891" w14:textId="77777777" w:rsidTr="009B1985">
        <w:trPr>
          <w:trHeight w:val="290"/>
        </w:trPr>
        <w:tc>
          <w:tcPr>
            <w:tcW w:w="428" w:type="dxa"/>
            <w:shd w:val="clear" w:color="auto" w:fill="auto"/>
            <w:vAlign w:val="center"/>
          </w:tcPr>
          <w:p w14:paraId="2B4131ED" w14:textId="77777777" w:rsidR="007126ED" w:rsidRPr="00C22F48" w:rsidRDefault="007126ED" w:rsidP="007126ED">
            <w:pPr>
              <w:pStyle w:val="TabletextLeft"/>
              <w:jc w:val="right"/>
              <w:rPr>
                <w:rFonts w:cs="Arial"/>
                <w:sz w:val="16"/>
                <w:szCs w:val="16"/>
              </w:rPr>
            </w:pPr>
            <w:r w:rsidRPr="00C22F48">
              <w:rPr>
                <w:sz w:val="16"/>
                <w:szCs w:val="16"/>
              </w:rPr>
              <w:t>23</w:t>
            </w:r>
          </w:p>
        </w:tc>
        <w:tc>
          <w:tcPr>
            <w:tcW w:w="2423" w:type="dxa"/>
            <w:shd w:val="clear" w:color="auto" w:fill="auto"/>
            <w:vAlign w:val="center"/>
          </w:tcPr>
          <w:p w14:paraId="7F251D39" w14:textId="77777777" w:rsidR="007126ED" w:rsidRPr="00C22F48" w:rsidRDefault="007126ED" w:rsidP="007126ED">
            <w:pPr>
              <w:pStyle w:val="TabletextLeft"/>
              <w:rPr>
                <w:rFonts w:cs="Arial"/>
                <w:sz w:val="16"/>
                <w:szCs w:val="16"/>
              </w:rPr>
            </w:pPr>
            <w:r w:rsidRPr="00C22F48">
              <w:rPr>
                <w:sz w:val="16"/>
                <w:szCs w:val="16"/>
              </w:rPr>
              <w:t xml:space="preserve">MH-60R </w:t>
            </w:r>
          </w:p>
        </w:tc>
        <w:tc>
          <w:tcPr>
            <w:tcW w:w="1112" w:type="dxa"/>
            <w:shd w:val="clear" w:color="auto" w:fill="auto"/>
            <w:vAlign w:val="center"/>
          </w:tcPr>
          <w:p w14:paraId="4DDF0287" w14:textId="77777777" w:rsidR="007126ED" w:rsidRPr="00C22F48" w:rsidRDefault="007126ED" w:rsidP="007126ED">
            <w:pPr>
              <w:pStyle w:val="TableTextRight"/>
              <w:rPr>
                <w:sz w:val="16"/>
                <w:szCs w:val="16"/>
              </w:rPr>
            </w:pPr>
            <w:r w:rsidRPr="00C22F48">
              <w:rPr>
                <w:sz w:val="16"/>
                <w:szCs w:val="16"/>
              </w:rPr>
              <w:t>6</w:t>
            </w:r>
            <w:r w:rsidR="00A348E9" w:rsidRPr="00C22F48">
              <w:rPr>
                <w:sz w:val="16"/>
                <w:szCs w:val="16"/>
              </w:rPr>
              <w:t>,</w:t>
            </w:r>
            <w:r w:rsidRPr="00C22F48">
              <w:rPr>
                <w:sz w:val="16"/>
                <w:szCs w:val="16"/>
              </w:rPr>
              <w:t>250</w:t>
            </w:r>
          </w:p>
        </w:tc>
        <w:tc>
          <w:tcPr>
            <w:tcW w:w="1205" w:type="dxa"/>
            <w:shd w:val="clear" w:color="auto" w:fill="auto"/>
            <w:vAlign w:val="center"/>
          </w:tcPr>
          <w:p w14:paraId="7F70C164" w14:textId="77777777" w:rsidR="007126ED" w:rsidRPr="00C22F48" w:rsidRDefault="007126ED" w:rsidP="007126ED">
            <w:pPr>
              <w:spacing w:before="40" w:after="40"/>
              <w:jc w:val="right"/>
              <w:rPr>
                <w:rFonts w:ascii="Arial" w:hAnsi="Arial"/>
                <w:sz w:val="16"/>
                <w:szCs w:val="16"/>
              </w:rPr>
            </w:pPr>
            <w:r w:rsidRPr="00C22F48">
              <w:rPr>
                <w:rFonts w:ascii="Arial" w:hAnsi="Arial"/>
                <w:sz w:val="16"/>
                <w:szCs w:val="16"/>
              </w:rPr>
              <w:t>6,250</w:t>
            </w:r>
          </w:p>
        </w:tc>
        <w:tc>
          <w:tcPr>
            <w:tcW w:w="1197" w:type="dxa"/>
            <w:shd w:val="clear" w:color="auto" w:fill="auto"/>
            <w:vAlign w:val="center"/>
          </w:tcPr>
          <w:p w14:paraId="23B81D0E" w14:textId="77777777" w:rsidR="007126ED" w:rsidRPr="00C22F48" w:rsidRDefault="007126ED" w:rsidP="007126ED">
            <w:pPr>
              <w:spacing w:before="40" w:after="40"/>
              <w:jc w:val="right"/>
              <w:rPr>
                <w:rFonts w:ascii="Arial" w:hAnsi="Arial"/>
                <w:sz w:val="16"/>
                <w:szCs w:val="16"/>
              </w:rPr>
            </w:pPr>
            <w:r w:rsidRPr="00C22F48">
              <w:rPr>
                <w:rFonts w:ascii="Arial" w:hAnsi="Arial"/>
                <w:sz w:val="16"/>
                <w:szCs w:val="16"/>
              </w:rPr>
              <w:t>6,750</w:t>
            </w:r>
          </w:p>
        </w:tc>
        <w:tc>
          <w:tcPr>
            <w:tcW w:w="1197" w:type="dxa"/>
            <w:shd w:val="clear" w:color="auto" w:fill="auto"/>
            <w:vAlign w:val="center"/>
          </w:tcPr>
          <w:p w14:paraId="693F6226" w14:textId="77777777" w:rsidR="007126ED" w:rsidRPr="00C22F48" w:rsidRDefault="007126ED" w:rsidP="007126ED">
            <w:pPr>
              <w:spacing w:before="40" w:after="40"/>
              <w:jc w:val="right"/>
              <w:rPr>
                <w:rFonts w:ascii="Arial" w:hAnsi="Arial"/>
                <w:sz w:val="16"/>
                <w:szCs w:val="16"/>
              </w:rPr>
            </w:pPr>
            <w:r w:rsidRPr="00C22F48">
              <w:rPr>
                <w:rFonts w:ascii="Arial" w:hAnsi="Arial"/>
                <w:sz w:val="16"/>
                <w:szCs w:val="16"/>
              </w:rPr>
              <w:t>7,200</w:t>
            </w:r>
          </w:p>
        </w:tc>
        <w:tc>
          <w:tcPr>
            <w:tcW w:w="1006" w:type="dxa"/>
            <w:shd w:val="clear" w:color="auto" w:fill="auto"/>
            <w:vAlign w:val="center"/>
          </w:tcPr>
          <w:p w14:paraId="3FA53142" w14:textId="77777777" w:rsidR="007126ED" w:rsidRPr="00C22F48" w:rsidRDefault="007126ED" w:rsidP="007126ED">
            <w:pPr>
              <w:pStyle w:val="TableTextRight"/>
              <w:rPr>
                <w:sz w:val="16"/>
                <w:szCs w:val="16"/>
              </w:rPr>
            </w:pPr>
            <w:r w:rsidRPr="00C22F48">
              <w:rPr>
                <w:sz w:val="16"/>
                <w:szCs w:val="16"/>
              </w:rPr>
              <w:t>7,200</w:t>
            </w:r>
          </w:p>
        </w:tc>
      </w:tr>
    </w:tbl>
    <w:p w14:paraId="4F07097A" w14:textId="77777777" w:rsidR="005403E1" w:rsidRPr="00B56FAA" w:rsidRDefault="005403E1" w:rsidP="005403E1">
      <w:pPr>
        <w:pStyle w:val="NotesHeading"/>
        <w:spacing w:before="0" w:after="0"/>
      </w:pPr>
    </w:p>
    <w:p w14:paraId="5C036F40" w14:textId="77777777" w:rsidR="00570118" w:rsidRDefault="00C22F48" w:rsidP="00657314">
      <w:pPr>
        <w:pStyle w:val="NotesHeading"/>
        <w:spacing w:before="0" w:after="0"/>
        <w:rPr>
          <w:sz w:val="14"/>
          <w:szCs w:val="14"/>
        </w:rPr>
      </w:pPr>
      <w:r>
        <w:rPr>
          <w:sz w:val="14"/>
          <w:szCs w:val="14"/>
        </w:rPr>
        <w:t>Note</w:t>
      </w:r>
    </w:p>
    <w:p w14:paraId="0ACFD39A" w14:textId="520046BB" w:rsidR="00C22F48" w:rsidRPr="00FF0BC7" w:rsidRDefault="00C22F48" w:rsidP="00444A89">
      <w:pPr>
        <w:pStyle w:val="ListParagraph"/>
        <w:widowControl w:val="0"/>
        <w:numPr>
          <w:ilvl w:val="2"/>
          <w:numId w:val="79"/>
        </w:numPr>
        <w:autoSpaceDE w:val="0"/>
        <w:autoSpaceDN w:val="0"/>
        <w:spacing w:before="0" w:after="0"/>
        <w:ind w:left="284" w:hanging="284"/>
        <w:contextualSpacing w:val="0"/>
        <w:rPr>
          <w:rFonts w:ascii="Arial" w:hAnsi="Arial"/>
          <w:b/>
          <w:sz w:val="14"/>
          <w:szCs w:val="14"/>
        </w:rPr>
      </w:pPr>
      <w:r w:rsidRPr="00FF0BC7">
        <w:rPr>
          <w:rFonts w:ascii="Arial" w:hAnsi="Arial"/>
          <w:sz w:val="14"/>
          <w:szCs w:val="14"/>
        </w:rPr>
        <w:t xml:space="preserve">Workforce pressures </w:t>
      </w:r>
      <w:r w:rsidR="00DA1054" w:rsidRPr="00FF0BC7">
        <w:rPr>
          <w:rFonts w:ascii="Arial" w:hAnsi="Arial"/>
          <w:sz w:val="14"/>
          <w:szCs w:val="14"/>
        </w:rPr>
        <w:t xml:space="preserve">in relation to flight crews </w:t>
      </w:r>
      <w:r w:rsidRPr="00FF0BC7">
        <w:rPr>
          <w:rFonts w:ascii="Arial" w:hAnsi="Arial"/>
          <w:sz w:val="14"/>
          <w:szCs w:val="14"/>
        </w:rPr>
        <w:t>have reduced flying hours for forecast UAD, affecting capacity to generate 7,200 hours per annum</w:t>
      </w:r>
      <w:r w:rsidR="00104AEA" w:rsidRPr="00FF0BC7">
        <w:rPr>
          <w:rFonts w:ascii="Arial" w:hAnsi="Arial"/>
          <w:sz w:val="14"/>
          <w:szCs w:val="14"/>
        </w:rPr>
        <w:t xml:space="preserve">. </w:t>
      </w:r>
      <w:r w:rsidRPr="00FF0BC7">
        <w:rPr>
          <w:rFonts w:ascii="Arial" w:hAnsi="Arial"/>
          <w:sz w:val="14"/>
          <w:szCs w:val="14"/>
        </w:rPr>
        <w:t>However, there is no foreseen effect to operational tasking.</w:t>
      </w:r>
    </w:p>
    <w:p w14:paraId="61F57D41" w14:textId="77777777" w:rsidR="00312F38" w:rsidRPr="00B56FAA" w:rsidRDefault="00312F38" w:rsidP="007563DC">
      <w:pPr>
        <w:rPr>
          <w:rFonts w:ascii="Arial" w:hAnsi="Arial"/>
          <w:b/>
          <w:lang w:val="en-AU"/>
        </w:rPr>
      </w:pPr>
    </w:p>
    <w:p w14:paraId="21D31D4D" w14:textId="77777777" w:rsidR="00312F38" w:rsidRPr="00B56FAA" w:rsidRDefault="00312F38" w:rsidP="007563DC">
      <w:pPr>
        <w:rPr>
          <w:b/>
          <w:lang w:val="en-AU"/>
        </w:rPr>
        <w:sectPr w:rsidR="00312F38" w:rsidRPr="00B56FAA" w:rsidSect="00C30BE6">
          <w:pgSz w:w="11906" w:h="16838" w:code="9"/>
          <w:pgMar w:top="1560" w:right="1361" w:bottom="1701" w:left="1928" w:header="720" w:footer="720" w:gutter="0"/>
          <w:cols w:space="720"/>
        </w:sectPr>
      </w:pPr>
    </w:p>
    <w:p w14:paraId="3B17E206" w14:textId="77777777" w:rsidR="0019134A" w:rsidRPr="00B56FAA" w:rsidRDefault="0019134A" w:rsidP="000142CB">
      <w:pPr>
        <w:spacing w:before="0" w:after="0"/>
        <w:outlineLvl w:val="5"/>
        <w:rPr>
          <w:color w:val="FFFFFF"/>
          <w:sz w:val="2"/>
        </w:rPr>
      </w:pPr>
      <w:r w:rsidRPr="00B56FAA">
        <w:rPr>
          <w:color w:val="FFFFFF"/>
          <w:sz w:val="2"/>
        </w:rPr>
        <w:lastRenderedPageBreak/>
        <w:t>Program 2.6: Army Capabilities</w:t>
      </w:r>
    </w:p>
    <w:tbl>
      <w:tblPr>
        <w:tblW w:w="4852"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670"/>
        <w:gridCol w:w="2882"/>
        <w:gridCol w:w="3058"/>
      </w:tblGrid>
      <w:tr w:rsidR="0002000E" w:rsidRPr="00B56FAA" w14:paraId="1D077BEF" w14:textId="77777777" w:rsidTr="0004322A">
        <w:tc>
          <w:tcPr>
            <w:tcW w:w="8353" w:type="dxa"/>
            <w:gridSpan w:val="3"/>
            <w:tcBorders>
              <w:bottom w:val="single" w:sz="4" w:space="0" w:color="auto"/>
            </w:tcBorders>
            <w:shd w:val="clear" w:color="auto" w:fill="CCCCCC"/>
          </w:tcPr>
          <w:p w14:paraId="1E46CBDC" w14:textId="0CB8328E" w:rsidR="0002000E" w:rsidRPr="00B56FAA" w:rsidRDefault="0002000E" w:rsidP="00994944">
            <w:pPr>
              <w:pStyle w:val="Heading5"/>
              <w:spacing w:before="60" w:after="60"/>
            </w:pPr>
            <w:r w:rsidRPr="00B56FAA">
              <w:rPr>
                <w:lang w:val="en-AU"/>
              </w:rPr>
              <w:br w:type="page"/>
            </w:r>
            <w:r w:rsidRPr="00B56FAA">
              <w:t>Program 2.6</w:t>
            </w:r>
            <w:r w:rsidR="00994944">
              <w:t>:</w:t>
            </w:r>
            <w:r w:rsidRPr="00B56FAA">
              <w:t xml:space="preserve"> Army Capabilities</w:t>
            </w:r>
          </w:p>
        </w:tc>
      </w:tr>
      <w:tr w:rsidR="0002000E" w:rsidRPr="00B56FAA" w14:paraId="46AB2F60" w14:textId="77777777" w:rsidTr="0004322A">
        <w:tc>
          <w:tcPr>
            <w:tcW w:w="8353" w:type="dxa"/>
            <w:gridSpan w:val="3"/>
            <w:tcBorders>
              <w:left w:val="nil"/>
              <w:right w:val="nil"/>
            </w:tcBorders>
            <w:shd w:val="clear" w:color="auto" w:fill="auto"/>
          </w:tcPr>
          <w:p w14:paraId="432A3E77" w14:textId="77777777" w:rsidR="0002000E" w:rsidRPr="00B56FAA" w:rsidRDefault="0002000E" w:rsidP="00072EF9">
            <w:pPr>
              <w:pStyle w:val="Heading5"/>
              <w:spacing w:before="0" w:after="0"/>
              <w:rPr>
                <w:sz w:val="16"/>
                <w:szCs w:val="16"/>
                <w:lang w:val="en-AU"/>
              </w:rPr>
            </w:pPr>
          </w:p>
        </w:tc>
      </w:tr>
      <w:tr w:rsidR="0002000E" w:rsidRPr="00E96419" w14:paraId="1429858B" w14:textId="77777777" w:rsidTr="0004322A">
        <w:tblPrEx>
          <w:shd w:val="clear" w:color="auto" w:fill="auto"/>
          <w:tblLook w:val="04A0" w:firstRow="1" w:lastRow="0" w:firstColumn="1" w:lastColumn="0" w:noHBand="0" w:noVBand="1"/>
        </w:tblPrEx>
        <w:trPr>
          <w:tblHeader/>
        </w:trPr>
        <w:tc>
          <w:tcPr>
            <w:tcW w:w="8353" w:type="dxa"/>
            <w:gridSpan w:val="3"/>
            <w:shd w:val="clear" w:color="auto" w:fill="E6E6E6"/>
          </w:tcPr>
          <w:p w14:paraId="30454F0A" w14:textId="3E25D1BF" w:rsidR="0002000E" w:rsidRPr="00E96419" w:rsidRDefault="0002000E" w:rsidP="00072EF9">
            <w:pPr>
              <w:tabs>
                <w:tab w:val="left" w:pos="709"/>
              </w:tabs>
              <w:spacing w:before="60" w:after="60"/>
              <w:rPr>
                <w:rFonts w:ascii="Arial" w:hAnsi="Arial"/>
                <w:sz w:val="16"/>
                <w:szCs w:val="16"/>
              </w:rPr>
            </w:pPr>
            <w:r w:rsidRPr="00E96419">
              <w:rPr>
                <w:rFonts w:ascii="Arial" w:hAnsi="Arial"/>
                <w:b/>
                <w:sz w:val="16"/>
                <w:szCs w:val="16"/>
              </w:rPr>
              <w:t>Program 2.6 Objective</w:t>
            </w:r>
          </w:p>
          <w:p w14:paraId="6DF61250" w14:textId="77777777" w:rsidR="0002000E" w:rsidRPr="00E96419" w:rsidRDefault="0002000E" w:rsidP="00072EF9">
            <w:pPr>
              <w:tabs>
                <w:tab w:val="left" w:pos="709"/>
              </w:tabs>
              <w:spacing w:before="60" w:after="60"/>
              <w:rPr>
                <w:rFonts w:ascii="Arial" w:hAnsi="Arial"/>
                <w:sz w:val="16"/>
                <w:szCs w:val="16"/>
              </w:rPr>
            </w:pPr>
            <w:r w:rsidRPr="00E96419">
              <w:rPr>
                <w:rFonts w:ascii="Arial" w:hAnsi="Arial"/>
                <w:sz w:val="16"/>
                <w:szCs w:val="16"/>
                <w:lang w:val="en-AU"/>
              </w:rPr>
              <w:t>To prepare land forces, including special operations forces, which contribute to the Australian Defence Force’s capacity to defend Australia, contribute to regional security, support Australia’s global interests, shape the strategic environment, and protect national interests.</w:t>
            </w:r>
          </w:p>
        </w:tc>
      </w:tr>
      <w:tr w:rsidR="00E96419" w:rsidRPr="00E96419" w14:paraId="3A2C1C1C" w14:textId="77777777" w:rsidTr="003C0162">
        <w:tblPrEx>
          <w:shd w:val="clear" w:color="auto" w:fill="auto"/>
          <w:tblLook w:val="04A0" w:firstRow="1" w:lastRow="0" w:firstColumn="1" w:lastColumn="0" w:noHBand="0" w:noVBand="1"/>
        </w:tblPrEx>
        <w:trPr>
          <w:trHeight w:val="312"/>
        </w:trPr>
        <w:tc>
          <w:tcPr>
            <w:tcW w:w="1799" w:type="dxa"/>
            <w:tcBorders>
              <w:bottom w:val="single" w:sz="4" w:space="0" w:color="auto"/>
            </w:tcBorders>
          </w:tcPr>
          <w:p w14:paraId="17F4F05A" w14:textId="77777777" w:rsidR="00E96419" w:rsidRPr="00E96419" w:rsidRDefault="00E96419" w:rsidP="00E96419">
            <w:pPr>
              <w:tabs>
                <w:tab w:val="left" w:pos="709"/>
              </w:tabs>
              <w:spacing w:before="60" w:after="60"/>
              <w:rPr>
                <w:rFonts w:ascii="Arial" w:hAnsi="Arial"/>
                <w:b/>
                <w:color w:val="000000"/>
                <w:sz w:val="16"/>
                <w:szCs w:val="16"/>
              </w:rPr>
            </w:pPr>
            <w:r>
              <w:rPr>
                <w:rFonts w:ascii="Arial" w:hAnsi="Arial"/>
                <w:b/>
                <w:color w:val="000000"/>
                <w:sz w:val="16"/>
                <w:szCs w:val="16"/>
              </w:rPr>
              <w:t>Key Activities</w:t>
            </w:r>
          </w:p>
        </w:tc>
        <w:tc>
          <w:tcPr>
            <w:tcW w:w="6554" w:type="dxa"/>
            <w:gridSpan w:val="2"/>
            <w:tcBorders>
              <w:bottom w:val="single" w:sz="4" w:space="0" w:color="auto"/>
            </w:tcBorders>
          </w:tcPr>
          <w:p w14:paraId="2AB571C8" w14:textId="77777777" w:rsidR="00E96419" w:rsidRPr="00CC337B" w:rsidRDefault="00E96419" w:rsidP="00E96419">
            <w:pPr>
              <w:tabs>
                <w:tab w:val="left" w:pos="343"/>
              </w:tabs>
              <w:spacing w:before="60" w:after="60"/>
              <w:rPr>
                <w:rFonts w:ascii="Arial" w:hAnsi="Arial"/>
                <w:bCs/>
                <w:color w:val="000000"/>
                <w:sz w:val="16"/>
                <w:szCs w:val="16"/>
                <w:lang w:val="en-AU"/>
              </w:rPr>
            </w:pPr>
            <w:r w:rsidRPr="00CC337B">
              <w:rPr>
                <w:rFonts w:ascii="Arial" w:hAnsi="Arial"/>
                <w:bCs/>
                <w:color w:val="000000"/>
                <w:sz w:val="16"/>
                <w:szCs w:val="16"/>
                <w:lang w:val="en-AU"/>
              </w:rPr>
              <w:t>This program will be achieved through the following activities:</w:t>
            </w:r>
          </w:p>
          <w:p w14:paraId="0DDACB45" w14:textId="4C9D7B10" w:rsidR="00E96419" w:rsidRPr="00CC337B" w:rsidRDefault="00E96419" w:rsidP="00E96419">
            <w:pPr>
              <w:tabs>
                <w:tab w:val="left" w:pos="343"/>
              </w:tabs>
              <w:spacing w:before="60" w:after="60"/>
              <w:rPr>
                <w:rFonts w:ascii="Arial" w:hAnsi="Arial"/>
                <w:bCs/>
                <w:color w:val="000000"/>
                <w:sz w:val="16"/>
                <w:szCs w:val="16"/>
                <w:lang w:val="en-AU"/>
              </w:rPr>
            </w:pPr>
            <w:r w:rsidRPr="00CC337B">
              <w:rPr>
                <w:rFonts w:ascii="Arial" w:hAnsi="Arial"/>
                <w:b/>
                <w:sz w:val="16"/>
                <w:szCs w:val="16"/>
                <w:lang w:val="en-AU"/>
              </w:rPr>
              <w:t xml:space="preserve">1. </w:t>
            </w:r>
            <w:r w:rsidR="00FF0BC7" w:rsidRPr="00CC337B">
              <w:rPr>
                <w:rFonts w:ascii="Arial" w:hAnsi="Arial"/>
                <w:b/>
                <w:sz w:val="16"/>
                <w:szCs w:val="16"/>
                <w:lang w:val="en-AU"/>
              </w:rPr>
              <w:t>Conduct operations and deployments to defend Australia and its national interests.</w:t>
            </w:r>
            <w:r w:rsidRPr="00CC337B">
              <w:rPr>
                <w:rFonts w:ascii="Arial" w:hAnsi="Arial"/>
                <w:color w:val="000000"/>
                <w:sz w:val="16"/>
                <w:szCs w:val="16"/>
                <w:lang w:val="en-AU"/>
              </w:rPr>
              <w:t xml:space="preserve"> Defence conducts operations and deployments both within Australia and overseas, in accordance with direction from the Government. When required, Defence responds with military force to defend Australia and its national interests. Defence also works in close collaboration with our international partners and federal, state and territory governments to support our response to crises and disasters at home and abroad.</w:t>
            </w:r>
          </w:p>
          <w:p w14:paraId="1DB4BFBB" w14:textId="77777777" w:rsidR="00E96419" w:rsidRPr="00CC337B" w:rsidRDefault="00E96419" w:rsidP="00E96419">
            <w:pPr>
              <w:tabs>
                <w:tab w:val="left" w:pos="709"/>
              </w:tabs>
              <w:spacing w:before="60" w:after="60"/>
              <w:rPr>
                <w:rFonts w:ascii="Arial" w:hAnsi="Arial"/>
                <w:i/>
                <w:color w:val="000000"/>
                <w:sz w:val="16"/>
                <w:szCs w:val="16"/>
              </w:rPr>
            </w:pPr>
            <w:r w:rsidRPr="00CC337B">
              <w:rPr>
                <w:rFonts w:ascii="Arial" w:hAnsi="Arial"/>
                <w:b/>
                <w:sz w:val="16"/>
                <w:szCs w:val="16"/>
                <w:lang w:val="en-AU"/>
              </w:rPr>
              <w:t>6. Deliver future capability</w:t>
            </w:r>
            <w:r w:rsidRPr="00CC337B">
              <w:rPr>
                <w:rFonts w:ascii="Arial" w:hAnsi="Arial"/>
                <w:sz w:val="16"/>
                <w:szCs w:val="16"/>
                <w:lang w:val="en-AU"/>
              </w:rPr>
              <w:t xml:space="preserve">. </w:t>
            </w:r>
            <w:r w:rsidRPr="00CC337B">
              <w:rPr>
                <w:rFonts w:ascii="Arial" w:hAnsi="Arial"/>
                <w:sz w:val="16"/>
                <w:szCs w:val="16"/>
              </w:rPr>
              <w:t>Defence will accelerate the development of important capabilities over the next decade to build an integrated, focused force across the maritime, land, air, space and cyber domains. This will ensure the Australian Defence Force has the capacity to defend Australia and its national interests in our evolving strategic circumstances and deter adversaries through a strategy of denial.</w:t>
            </w:r>
          </w:p>
        </w:tc>
      </w:tr>
      <w:tr w:rsidR="0002000E" w:rsidRPr="00E96419" w14:paraId="5CE261F1" w14:textId="77777777" w:rsidTr="003C0162">
        <w:tblPrEx>
          <w:shd w:val="clear" w:color="auto" w:fill="auto"/>
          <w:tblLook w:val="04A0" w:firstRow="1" w:lastRow="0" w:firstColumn="1" w:lastColumn="0" w:noHBand="0" w:noVBand="1"/>
        </w:tblPrEx>
        <w:trPr>
          <w:trHeight w:val="100"/>
        </w:trPr>
        <w:tc>
          <w:tcPr>
            <w:tcW w:w="1799" w:type="dxa"/>
            <w:tcBorders>
              <w:top w:val="single" w:sz="4" w:space="0" w:color="auto"/>
              <w:bottom w:val="single" w:sz="4" w:space="0" w:color="auto"/>
              <w:right w:val="single" w:sz="4" w:space="0" w:color="auto"/>
            </w:tcBorders>
          </w:tcPr>
          <w:p w14:paraId="493F3A55" w14:textId="77777777" w:rsidR="0002000E" w:rsidRPr="00E96419" w:rsidRDefault="0002000E" w:rsidP="00072EF9">
            <w:pPr>
              <w:tabs>
                <w:tab w:val="left" w:pos="709"/>
              </w:tabs>
              <w:spacing w:before="60" w:after="60"/>
              <w:rPr>
                <w:rFonts w:ascii="Arial" w:hAnsi="Arial"/>
                <w:color w:val="000000"/>
                <w:sz w:val="16"/>
                <w:szCs w:val="16"/>
              </w:rPr>
            </w:pPr>
            <w:r w:rsidRPr="00E96419">
              <w:rPr>
                <w:rFonts w:ascii="Arial" w:hAnsi="Arial"/>
                <w:b/>
                <w:color w:val="000000"/>
                <w:sz w:val="16"/>
                <w:szCs w:val="16"/>
              </w:rPr>
              <w:t>Year</w:t>
            </w:r>
          </w:p>
        </w:tc>
        <w:tc>
          <w:tcPr>
            <w:tcW w:w="3174" w:type="dxa"/>
            <w:tcBorders>
              <w:top w:val="single" w:sz="4" w:space="0" w:color="auto"/>
              <w:left w:val="single" w:sz="4" w:space="0" w:color="auto"/>
              <w:bottom w:val="single" w:sz="4" w:space="0" w:color="auto"/>
              <w:right w:val="single" w:sz="4" w:space="0" w:color="auto"/>
            </w:tcBorders>
          </w:tcPr>
          <w:p w14:paraId="19ADB8C1" w14:textId="77777777" w:rsidR="0002000E" w:rsidRPr="00E96419" w:rsidRDefault="0002000E" w:rsidP="00072EF9">
            <w:pPr>
              <w:tabs>
                <w:tab w:val="left" w:pos="709"/>
              </w:tabs>
              <w:spacing w:before="60" w:after="60"/>
              <w:rPr>
                <w:rFonts w:ascii="Arial" w:hAnsi="Arial"/>
                <w:color w:val="000000"/>
              </w:rPr>
            </w:pPr>
            <w:r w:rsidRPr="00E96419">
              <w:rPr>
                <w:rFonts w:ascii="Arial" w:hAnsi="Arial"/>
                <w:b/>
                <w:color w:val="000000"/>
                <w:sz w:val="16"/>
                <w:szCs w:val="16"/>
              </w:rPr>
              <w:t>Performance measures</w:t>
            </w:r>
          </w:p>
        </w:tc>
        <w:tc>
          <w:tcPr>
            <w:tcW w:w="3380" w:type="dxa"/>
            <w:tcBorders>
              <w:top w:val="single" w:sz="4" w:space="0" w:color="auto"/>
              <w:left w:val="single" w:sz="4" w:space="0" w:color="auto"/>
              <w:bottom w:val="single" w:sz="4" w:space="0" w:color="auto"/>
            </w:tcBorders>
          </w:tcPr>
          <w:p w14:paraId="389590D7" w14:textId="77777777" w:rsidR="0002000E" w:rsidRPr="00E96419" w:rsidRDefault="0002000E" w:rsidP="00072EF9">
            <w:pPr>
              <w:tabs>
                <w:tab w:val="left" w:pos="709"/>
              </w:tabs>
              <w:spacing w:before="60" w:after="60"/>
              <w:rPr>
                <w:rFonts w:ascii="Arial" w:hAnsi="Arial"/>
                <w:i/>
                <w:color w:val="000000"/>
                <w:sz w:val="16"/>
                <w:szCs w:val="16"/>
              </w:rPr>
            </w:pPr>
            <w:r w:rsidRPr="00E96419">
              <w:rPr>
                <w:rFonts w:ascii="Arial" w:hAnsi="Arial"/>
                <w:b/>
                <w:color w:val="000000"/>
                <w:sz w:val="16"/>
                <w:szCs w:val="16"/>
              </w:rPr>
              <w:t>Expected Performance Results</w:t>
            </w:r>
          </w:p>
        </w:tc>
      </w:tr>
      <w:tr w:rsidR="00E96419" w:rsidRPr="00E96419" w14:paraId="6B898927" w14:textId="77777777" w:rsidTr="003C0162">
        <w:tblPrEx>
          <w:shd w:val="clear" w:color="auto" w:fill="auto"/>
          <w:tblLook w:val="04A0" w:firstRow="1" w:lastRow="0" w:firstColumn="1" w:lastColumn="0" w:noHBand="0" w:noVBand="1"/>
        </w:tblPrEx>
        <w:trPr>
          <w:trHeight w:val="470"/>
        </w:trPr>
        <w:tc>
          <w:tcPr>
            <w:tcW w:w="1799" w:type="dxa"/>
            <w:vMerge w:val="restart"/>
            <w:tcBorders>
              <w:top w:val="single" w:sz="4" w:space="0" w:color="auto"/>
              <w:right w:val="single" w:sz="4" w:space="0" w:color="auto"/>
            </w:tcBorders>
          </w:tcPr>
          <w:p w14:paraId="73D45295" w14:textId="77777777" w:rsidR="00E96419" w:rsidRPr="00E96419" w:rsidRDefault="00E96419" w:rsidP="00E96419">
            <w:pPr>
              <w:tabs>
                <w:tab w:val="left" w:pos="709"/>
              </w:tabs>
              <w:spacing w:before="0" w:after="0"/>
              <w:rPr>
                <w:rFonts w:ascii="Arial" w:hAnsi="Arial"/>
                <w:color w:val="000000"/>
                <w:sz w:val="16"/>
                <w:szCs w:val="16"/>
              </w:rPr>
            </w:pPr>
            <w:r w:rsidRPr="00E96419">
              <w:rPr>
                <w:rFonts w:ascii="Arial" w:hAnsi="Arial"/>
                <w:color w:val="000000"/>
                <w:sz w:val="16"/>
                <w:szCs w:val="16"/>
              </w:rPr>
              <w:t>Current Year</w:t>
            </w:r>
          </w:p>
          <w:p w14:paraId="33711DE2" w14:textId="77777777" w:rsidR="00E96419" w:rsidRPr="00E96419" w:rsidRDefault="00E96419" w:rsidP="00E96419">
            <w:pPr>
              <w:tabs>
                <w:tab w:val="left" w:pos="709"/>
              </w:tabs>
              <w:spacing w:before="0" w:after="0"/>
              <w:rPr>
                <w:rFonts w:ascii="Arial" w:hAnsi="Arial"/>
                <w:color w:val="000000"/>
                <w:sz w:val="16"/>
                <w:szCs w:val="16"/>
              </w:rPr>
            </w:pPr>
            <w:r w:rsidRPr="00E96419">
              <w:rPr>
                <w:rFonts w:ascii="Arial" w:hAnsi="Arial"/>
                <w:color w:val="000000"/>
                <w:sz w:val="16"/>
                <w:szCs w:val="16"/>
              </w:rPr>
              <w:t>2024-25</w:t>
            </w:r>
            <w:r>
              <w:rPr>
                <w:rFonts w:ascii="Arial" w:hAnsi="Arial"/>
                <w:color w:val="000000"/>
                <w:sz w:val="16"/>
                <w:szCs w:val="16"/>
              </w:rPr>
              <w:t xml:space="preserve"> </w:t>
            </w:r>
            <w:r w:rsidRPr="00E96419">
              <w:rPr>
                <w:rFonts w:ascii="Arial" w:hAnsi="Arial"/>
                <w:color w:val="000000"/>
                <w:sz w:val="16"/>
                <w:szCs w:val="16"/>
                <w:vertAlign w:val="superscript"/>
              </w:rPr>
              <w:t>[a]</w:t>
            </w:r>
          </w:p>
        </w:tc>
        <w:tc>
          <w:tcPr>
            <w:tcW w:w="3174" w:type="dxa"/>
            <w:tcBorders>
              <w:top w:val="single" w:sz="4" w:space="0" w:color="auto"/>
              <w:left w:val="single" w:sz="4" w:space="0" w:color="auto"/>
              <w:bottom w:val="dotted" w:sz="4" w:space="0" w:color="auto"/>
              <w:right w:val="single" w:sz="4" w:space="0" w:color="auto"/>
            </w:tcBorders>
          </w:tcPr>
          <w:p w14:paraId="15943568" w14:textId="638DE400" w:rsidR="00E96419" w:rsidRPr="00E96419" w:rsidRDefault="00752D2F" w:rsidP="00E96419">
            <w:pPr>
              <w:tabs>
                <w:tab w:val="left" w:pos="709"/>
              </w:tabs>
              <w:spacing w:before="60" w:after="60"/>
              <w:rPr>
                <w:rFonts w:ascii="Arial" w:hAnsi="Arial"/>
                <w:color w:val="000000"/>
                <w:sz w:val="16"/>
                <w:szCs w:val="16"/>
              </w:rPr>
            </w:pPr>
            <w:r w:rsidRPr="00984941">
              <w:rPr>
                <w:rFonts w:ascii="Arial" w:hAnsi="Arial"/>
                <w:sz w:val="16"/>
                <w:szCs w:val="16"/>
                <w:lang w:val="en-AU"/>
              </w:rPr>
              <w:t>1.1: Defence maintains ready forces, plans and conducts operations, activities and investments as directed by Government to achieve Defence’s strategic objectives.</w:t>
            </w:r>
          </w:p>
        </w:tc>
        <w:tc>
          <w:tcPr>
            <w:tcW w:w="3380" w:type="dxa"/>
            <w:tcBorders>
              <w:top w:val="single" w:sz="4" w:space="0" w:color="auto"/>
              <w:left w:val="single" w:sz="4" w:space="0" w:color="auto"/>
              <w:bottom w:val="dotted" w:sz="4" w:space="0" w:color="auto"/>
            </w:tcBorders>
          </w:tcPr>
          <w:p w14:paraId="71D18323" w14:textId="77777777" w:rsidR="00E96419" w:rsidRPr="00E96419" w:rsidRDefault="00E96419" w:rsidP="00E96419">
            <w:pPr>
              <w:tabs>
                <w:tab w:val="left" w:pos="709"/>
              </w:tabs>
              <w:spacing w:before="60" w:after="60"/>
              <w:rPr>
                <w:rFonts w:ascii="Arial" w:hAnsi="Arial"/>
                <w:sz w:val="16"/>
                <w:szCs w:val="16"/>
                <w:lang w:val="en-AU"/>
              </w:rPr>
            </w:pPr>
            <w:r w:rsidRPr="00E96419">
              <w:rPr>
                <w:rFonts w:ascii="Arial" w:hAnsi="Arial"/>
                <w:sz w:val="16"/>
                <w:szCs w:val="16"/>
                <w:lang w:val="en-AU"/>
              </w:rPr>
              <w:t>Defence responds to Australian Government requirements and conducts operations as directed. This will change year on year.</w:t>
            </w:r>
          </w:p>
          <w:p w14:paraId="0DA0C3F0" w14:textId="08B2B92D" w:rsidR="00E96419" w:rsidRPr="00E96419" w:rsidRDefault="00752D2F" w:rsidP="00E96419">
            <w:pPr>
              <w:tabs>
                <w:tab w:val="left" w:pos="709"/>
              </w:tabs>
              <w:spacing w:before="60" w:after="60"/>
              <w:jc w:val="right"/>
              <w:rPr>
                <w:rFonts w:ascii="Arial" w:hAnsi="Arial"/>
                <w:i/>
                <w:color w:val="000000"/>
                <w:sz w:val="16"/>
                <w:szCs w:val="16"/>
              </w:rPr>
            </w:pPr>
            <w:r w:rsidRPr="00752D2F">
              <w:rPr>
                <w:rFonts w:ascii="Arial" w:hAnsi="Arial"/>
                <w:i/>
                <w:sz w:val="16"/>
                <w:szCs w:val="16"/>
                <w:lang w:val="en-AU"/>
              </w:rPr>
              <w:t>Expected to be achieved</w:t>
            </w:r>
            <w:r w:rsidR="00E96419" w:rsidRPr="00752D2F">
              <w:rPr>
                <w:rFonts w:ascii="Arial" w:hAnsi="Arial"/>
                <w:i/>
                <w:sz w:val="16"/>
                <w:szCs w:val="16"/>
                <w:lang w:val="en-AU"/>
              </w:rPr>
              <w:t>.</w:t>
            </w:r>
          </w:p>
        </w:tc>
      </w:tr>
      <w:tr w:rsidR="00E96419" w:rsidRPr="00752D2F" w14:paraId="00FE5A42" w14:textId="77777777" w:rsidTr="0004322A">
        <w:tblPrEx>
          <w:shd w:val="clear" w:color="auto" w:fill="auto"/>
          <w:tblLook w:val="04A0" w:firstRow="1" w:lastRow="0" w:firstColumn="1" w:lastColumn="0" w:noHBand="0" w:noVBand="1"/>
        </w:tblPrEx>
        <w:trPr>
          <w:trHeight w:val="470"/>
        </w:trPr>
        <w:tc>
          <w:tcPr>
            <w:tcW w:w="1799" w:type="dxa"/>
            <w:vMerge/>
            <w:tcBorders>
              <w:right w:val="single" w:sz="4" w:space="0" w:color="auto"/>
            </w:tcBorders>
          </w:tcPr>
          <w:p w14:paraId="165F9B80" w14:textId="77777777" w:rsidR="00E96419" w:rsidRPr="00E96419" w:rsidRDefault="00E96419" w:rsidP="00E96419">
            <w:pPr>
              <w:tabs>
                <w:tab w:val="left" w:pos="709"/>
              </w:tabs>
              <w:spacing w:before="60" w:after="60"/>
              <w:rPr>
                <w:rFonts w:ascii="Arial" w:hAnsi="Arial"/>
                <w:color w:val="000000"/>
                <w:sz w:val="16"/>
                <w:szCs w:val="16"/>
              </w:rPr>
            </w:pPr>
          </w:p>
        </w:tc>
        <w:tc>
          <w:tcPr>
            <w:tcW w:w="3174" w:type="dxa"/>
            <w:tcBorders>
              <w:top w:val="dotted" w:sz="4" w:space="0" w:color="auto"/>
              <w:left w:val="single" w:sz="4" w:space="0" w:color="auto"/>
              <w:bottom w:val="dotted" w:sz="4" w:space="0" w:color="auto"/>
              <w:right w:val="single" w:sz="4" w:space="0" w:color="auto"/>
            </w:tcBorders>
          </w:tcPr>
          <w:p w14:paraId="6CDD3A90" w14:textId="77777777" w:rsidR="00E96419" w:rsidRPr="00E96419" w:rsidRDefault="00E96419" w:rsidP="00E96419">
            <w:pPr>
              <w:tabs>
                <w:tab w:val="left" w:pos="709"/>
              </w:tabs>
              <w:spacing w:before="60" w:after="60"/>
              <w:rPr>
                <w:rFonts w:ascii="Arial" w:hAnsi="Arial"/>
                <w:color w:val="000000"/>
                <w:sz w:val="16"/>
                <w:szCs w:val="16"/>
              </w:rPr>
            </w:pPr>
            <w:r w:rsidRPr="00E96419">
              <w:rPr>
                <w:rFonts w:ascii="Arial" w:hAnsi="Arial"/>
                <w:sz w:val="16"/>
                <w:szCs w:val="16"/>
                <w:lang w:val="en-AU"/>
              </w:rPr>
              <w:t>1.2: Defence commits ADF and/or APS assistance to domestic crisis and emergency response, as directed by Government.</w:t>
            </w:r>
          </w:p>
        </w:tc>
        <w:tc>
          <w:tcPr>
            <w:tcW w:w="3380" w:type="dxa"/>
            <w:tcBorders>
              <w:top w:val="dotted" w:sz="4" w:space="0" w:color="auto"/>
              <w:left w:val="single" w:sz="4" w:space="0" w:color="auto"/>
              <w:bottom w:val="dotted" w:sz="4" w:space="0" w:color="auto"/>
            </w:tcBorders>
          </w:tcPr>
          <w:p w14:paraId="7E1CA7EF" w14:textId="77777777" w:rsidR="00E96419" w:rsidRPr="00752D2F" w:rsidRDefault="00E96419" w:rsidP="00E96419">
            <w:pPr>
              <w:tabs>
                <w:tab w:val="left" w:pos="709"/>
              </w:tabs>
              <w:spacing w:before="60" w:after="60"/>
              <w:rPr>
                <w:rFonts w:ascii="Arial" w:hAnsi="Arial"/>
                <w:sz w:val="16"/>
                <w:szCs w:val="16"/>
                <w:lang w:val="en-AU"/>
              </w:rPr>
            </w:pPr>
            <w:r w:rsidRPr="00752D2F">
              <w:rPr>
                <w:rFonts w:ascii="Arial" w:hAnsi="Arial"/>
                <w:sz w:val="16"/>
                <w:szCs w:val="16"/>
                <w:lang w:val="en-AU"/>
              </w:rPr>
              <w:t>Defence responds to Australian Government direction as required. This will change year on year.</w:t>
            </w:r>
          </w:p>
          <w:p w14:paraId="2C638552" w14:textId="589E1C85" w:rsidR="00E96419" w:rsidRPr="00752D2F" w:rsidRDefault="00752D2F" w:rsidP="00E96419">
            <w:pPr>
              <w:tabs>
                <w:tab w:val="left" w:pos="709"/>
              </w:tabs>
              <w:spacing w:before="60" w:after="60"/>
              <w:jc w:val="right"/>
              <w:rPr>
                <w:rFonts w:ascii="Arial" w:hAnsi="Arial"/>
                <w:sz w:val="16"/>
                <w:szCs w:val="16"/>
                <w:lang w:val="en-AU"/>
              </w:rPr>
            </w:pPr>
            <w:r w:rsidRPr="00752D2F">
              <w:rPr>
                <w:rFonts w:ascii="Arial" w:hAnsi="Arial"/>
                <w:i/>
                <w:sz w:val="16"/>
                <w:szCs w:val="16"/>
                <w:lang w:val="en-AU"/>
              </w:rPr>
              <w:t>Expected to be achieved</w:t>
            </w:r>
            <w:r w:rsidR="00E96419" w:rsidRPr="00752D2F">
              <w:rPr>
                <w:rFonts w:ascii="Arial" w:hAnsi="Arial"/>
                <w:i/>
                <w:sz w:val="16"/>
                <w:szCs w:val="16"/>
                <w:lang w:val="en-AU"/>
              </w:rPr>
              <w:t>.</w:t>
            </w:r>
          </w:p>
        </w:tc>
      </w:tr>
      <w:tr w:rsidR="00E96419" w:rsidRPr="00E96419" w14:paraId="287B8B44" w14:textId="77777777" w:rsidTr="003C0162">
        <w:tblPrEx>
          <w:shd w:val="clear" w:color="auto" w:fill="auto"/>
          <w:tblLook w:val="04A0" w:firstRow="1" w:lastRow="0" w:firstColumn="1" w:lastColumn="0" w:noHBand="0" w:noVBand="1"/>
        </w:tblPrEx>
        <w:trPr>
          <w:trHeight w:val="470"/>
        </w:trPr>
        <w:tc>
          <w:tcPr>
            <w:tcW w:w="1799" w:type="dxa"/>
            <w:vMerge/>
            <w:tcBorders>
              <w:bottom w:val="single" w:sz="4" w:space="0" w:color="auto"/>
              <w:right w:val="single" w:sz="4" w:space="0" w:color="auto"/>
            </w:tcBorders>
          </w:tcPr>
          <w:p w14:paraId="38D943AF" w14:textId="77777777" w:rsidR="00E96419" w:rsidRPr="00E96419" w:rsidRDefault="00E96419" w:rsidP="00E96419">
            <w:pPr>
              <w:tabs>
                <w:tab w:val="left" w:pos="709"/>
              </w:tabs>
              <w:spacing w:before="60" w:after="60"/>
              <w:rPr>
                <w:rFonts w:ascii="Arial" w:hAnsi="Arial"/>
                <w:color w:val="000000"/>
                <w:sz w:val="16"/>
                <w:szCs w:val="16"/>
              </w:rPr>
            </w:pPr>
          </w:p>
        </w:tc>
        <w:tc>
          <w:tcPr>
            <w:tcW w:w="3174" w:type="dxa"/>
            <w:tcBorders>
              <w:top w:val="dotted" w:sz="4" w:space="0" w:color="auto"/>
              <w:left w:val="single" w:sz="4" w:space="0" w:color="auto"/>
              <w:bottom w:val="single" w:sz="4" w:space="0" w:color="auto"/>
              <w:right w:val="single" w:sz="4" w:space="0" w:color="auto"/>
            </w:tcBorders>
          </w:tcPr>
          <w:p w14:paraId="020662C7" w14:textId="77777777" w:rsidR="00E96419" w:rsidRPr="00E96419" w:rsidRDefault="00E96419" w:rsidP="00002F5C">
            <w:pPr>
              <w:tabs>
                <w:tab w:val="left" w:pos="709"/>
              </w:tabs>
              <w:spacing w:before="60" w:after="60"/>
              <w:rPr>
                <w:rFonts w:ascii="Arial" w:hAnsi="Arial"/>
                <w:color w:val="000000"/>
                <w:sz w:val="16"/>
                <w:szCs w:val="16"/>
              </w:rPr>
            </w:pPr>
            <w:r w:rsidRPr="00E96419">
              <w:rPr>
                <w:rFonts w:ascii="Arial" w:hAnsi="Arial"/>
                <w:sz w:val="16"/>
                <w:szCs w:val="16"/>
                <w:lang w:val="en-AU"/>
              </w:rPr>
              <w:t xml:space="preserve">6.1: Defence is delivering the right future capability at the right time within the Integrated Investment Program to ensure it is equipped to respond to future security challenges as directed by the </w:t>
            </w:r>
            <w:r w:rsidRPr="00002F5C">
              <w:rPr>
                <w:rFonts w:ascii="Arial" w:hAnsi="Arial"/>
                <w:i/>
                <w:sz w:val="16"/>
                <w:szCs w:val="16"/>
                <w:lang w:val="en-AU"/>
              </w:rPr>
              <w:t>2024 National Defence Strategy</w:t>
            </w:r>
            <w:r w:rsidRPr="00E96419">
              <w:rPr>
                <w:rFonts w:ascii="Arial" w:hAnsi="Arial"/>
                <w:sz w:val="16"/>
                <w:szCs w:val="16"/>
                <w:lang w:val="en-AU"/>
              </w:rPr>
              <w:t>.</w:t>
            </w:r>
          </w:p>
        </w:tc>
        <w:tc>
          <w:tcPr>
            <w:tcW w:w="3380" w:type="dxa"/>
            <w:tcBorders>
              <w:top w:val="dotted" w:sz="4" w:space="0" w:color="auto"/>
              <w:left w:val="single" w:sz="4" w:space="0" w:color="auto"/>
              <w:bottom w:val="single" w:sz="4" w:space="0" w:color="auto"/>
            </w:tcBorders>
          </w:tcPr>
          <w:p w14:paraId="4A080ED6" w14:textId="77777777" w:rsidR="00E96419" w:rsidRPr="00752D2F" w:rsidRDefault="00E96419" w:rsidP="00E96419">
            <w:pPr>
              <w:tabs>
                <w:tab w:val="left" w:pos="709"/>
              </w:tabs>
              <w:spacing w:before="60" w:after="60"/>
              <w:rPr>
                <w:rFonts w:ascii="Arial" w:hAnsi="Arial"/>
                <w:sz w:val="16"/>
                <w:szCs w:val="16"/>
                <w:lang w:val="en-AU"/>
              </w:rPr>
            </w:pPr>
            <w:r w:rsidRPr="00E96419">
              <w:rPr>
                <w:rFonts w:ascii="Arial" w:hAnsi="Arial"/>
                <w:sz w:val="16"/>
                <w:szCs w:val="16"/>
                <w:lang w:val="en-AU"/>
              </w:rPr>
              <w:t xml:space="preserve">80 per cent or more of approved Integrated Investment Program projects across all domains are on track to deliver the scope approved by Government within Government approved cost and </w:t>
            </w:r>
            <w:r w:rsidRPr="00752D2F">
              <w:rPr>
                <w:rFonts w:ascii="Arial" w:hAnsi="Arial"/>
                <w:sz w:val="16"/>
                <w:szCs w:val="16"/>
                <w:lang w:val="en-AU"/>
              </w:rPr>
              <w:t>schedule.</w:t>
            </w:r>
          </w:p>
          <w:p w14:paraId="322DF778" w14:textId="678DE96B" w:rsidR="00E96419" w:rsidRPr="00E96419" w:rsidRDefault="00752D2F" w:rsidP="00E96419">
            <w:pPr>
              <w:tabs>
                <w:tab w:val="left" w:pos="709"/>
              </w:tabs>
              <w:spacing w:before="60" w:after="60"/>
              <w:jc w:val="right"/>
              <w:rPr>
                <w:rFonts w:ascii="Arial" w:hAnsi="Arial"/>
                <w:sz w:val="16"/>
                <w:szCs w:val="16"/>
              </w:rPr>
            </w:pPr>
            <w:r w:rsidRPr="00752D2F">
              <w:rPr>
                <w:rFonts w:ascii="Arial" w:hAnsi="Arial"/>
                <w:i/>
                <w:sz w:val="16"/>
                <w:szCs w:val="16"/>
                <w:lang w:val="en-AU"/>
              </w:rPr>
              <w:t>Expected to be substantially achieved</w:t>
            </w:r>
            <w:r w:rsidR="00E96419" w:rsidRPr="00752D2F">
              <w:rPr>
                <w:rFonts w:ascii="Arial" w:hAnsi="Arial"/>
                <w:i/>
                <w:sz w:val="16"/>
                <w:szCs w:val="16"/>
                <w:lang w:val="en-AU"/>
              </w:rPr>
              <w:t>.</w:t>
            </w:r>
          </w:p>
        </w:tc>
      </w:tr>
      <w:tr w:rsidR="0004322A" w:rsidRPr="00E96419" w14:paraId="4857D5DC" w14:textId="77777777" w:rsidTr="003C0162">
        <w:tblPrEx>
          <w:shd w:val="clear" w:color="auto" w:fill="auto"/>
          <w:tblLook w:val="04A0" w:firstRow="1" w:lastRow="0" w:firstColumn="1" w:lastColumn="0" w:noHBand="0" w:noVBand="1"/>
        </w:tblPrEx>
        <w:trPr>
          <w:trHeight w:val="258"/>
        </w:trPr>
        <w:tc>
          <w:tcPr>
            <w:tcW w:w="1799" w:type="dxa"/>
            <w:tcBorders>
              <w:top w:val="single" w:sz="4" w:space="0" w:color="auto"/>
              <w:bottom w:val="single" w:sz="4" w:space="0" w:color="auto"/>
              <w:right w:val="single" w:sz="4" w:space="0" w:color="auto"/>
            </w:tcBorders>
          </w:tcPr>
          <w:p w14:paraId="269A6CEC" w14:textId="77777777" w:rsidR="0004322A" w:rsidRPr="00E96419" w:rsidRDefault="0004322A" w:rsidP="0004322A">
            <w:pPr>
              <w:tabs>
                <w:tab w:val="left" w:pos="709"/>
              </w:tabs>
              <w:spacing w:before="60" w:after="60"/>
              <w:rPr>
                <w:rFonts w:ascii="Arial" w:hAnsi="Arial"/>
                <w:b/>
                <w:color w:val="000000"/>
                <w:sz w:val="16"/>
                <w:szCs w:val="16"/>
              </w:rPr>
            </w:pPr>
            <w:r w:rsidRPr="00E96419">
              <w:rPr>
                <w:rFonts w:ascii="Arial" w:hAnsi="Arial"/>
                <w:b/>
                <w:color w:val="000000"/>
                <w:sz w:val="16"/>
                <w:szCs w:val="16"/>
              </w:rPr>
              <w:t>Year</w:t>
            </w:r>
          </w:p>
        </w:tc>
        <w:tc>
          <w:tcPr>
            <w:tcW w:w="3174" w:type="dxa"/>
            <w:tcBorders>
              <w:top w:val="single" w:sz="4" w:space="0" w:color="auto"/>
              <w:left w:val="single" w:sz="4" w:space="0" w:color="auto"/>
              <w:bottom w:val="single" w:sz="4" w:space="0" w:color="auto"/>
              <w:right w:val="single" w:sz="4" w:space="0" w:color="auto"/>
            </w:tcBorders>
          </w:tcPr>
          <w:p w14:paraId="0D515C93" w14:textId="77777777" w:rsidR="0004322A" w:rsidRPr="00E96419" w:rsidRDefault="0004322A" w:rsidP="0004322A">
            <w:pPr>
              <w:tabs>
                <w:tab w:val="left" w:pos="709"/>
                <w:tab w:val="center" w:pos="1818"/>
              </w:tabs>
              <w:spacing w:before="60" w:after="60"/>
              <w:rPr>
                <w:rFonts w:ascii="Arial" w:hAnsi="Arial"/>
                <w:b/>
                <w:color w:val="000000"/>
                <w:sz w:val="16"/>
                <w:szCs w:val="16"/>
              </w:rPr>
            </w:pPr>
            <w:r w:rsidRPr="00E96419">
              <w:rPr>
                <w:rFonts w:ascii="Arial" w:hAnsi="Arial"/>
                <w:b/>
                <w:color w:val="000000"/>
                <w:sz w:val="16"/>
                <w:szCs w:val="16"/>
              </w:rPr>
              <w:t>Performance measures</w:t>
            </w:r>
          </w:p>
        </w:tc>
        <w:tc>
          <w:tcPr>
            <w:tcW w:w="3380" w:type="dxa"/>
            <w:tcBorders>
              <w:top w:val="single" w:sz="4" w:space="0" w:color="auto"/>
              <w:left w:val="single" w:sz="4" w:space="0" w:color="auto"/>
              <w:bottom w:val="single" w:sz="4" w:space="0" w:color="auto"/>
            </w:tcBorders>
          </w:tcPr>
          <w:p w14:paraId="055927C8" w14:textId="77777777" w:rsidR="0004322A" w:rsidRPr="00E96419" w:rsidRDefault="0004322A" w:rsidP="0004322A">
            <w:pPr>
              <w:tabs>
                <w:tab w:val="left" w:pos="709"/>
              </w:tabs>
              <w:spacing w:before="60" w:after="60"/>
              <w:rPr>
                <w:rFonts w:ascii="Arial" w:hAnsi="Arial"/>
                <w:b/>
                <w:color w:val="000000"/>
                <w:sz w:val="16"/>
                <w:szCs w:val="16"/>
              </w:rPr>
            </w:pPr>
            <w:r w:rsidRPr="00E96419">
              <w:rPr>
                <w:rFonts w:ascii="Arial" w:hAnsi="Arial"/>
                <w:b/>
                <w:color w:val="000000"/>
                <w:sz w:val="16"/>
                <w:szCs w:val="16"/>
              </w:rPr>
              <w:t>Planned Performance Results</w:t>
            </w:r>
          </w:p>
        </w:tc>
      </w:tr>
      <w:tr w:rsidR="00E96419" w:rsidRPr="00E96419" w14:paraId="64FCA612" w14:textId="77777777" w:rsidTr="003C0162">
        <w:tblPrEx>
          <w:shd w:val="clear" w:color="auto" w:fill="auto"/>
          <w:tblLook w:val="04A0" w:firstRow="1" w:lastRow="0" w:firstColumn="1" w:lastColumn="0" w:noHBand="0" w:noVBand="1"/>
        </w:tblPrEx>
        <w:trPr>
          <w:trHeight w:val="320"/>
        </w:trPr>
        <w:tc>
          <w:tcPr>
            <w:tcW w:w="1799" w:type="dxa"/>
            <w:vMerge w:val="restart"/>
            <w:tcBorders>
              <w:top w:val="single" w:sz="4" w:space="0" w:color="auto"/>
              <w:bottom w:val="single" w:sz="4" w:space="0" w:color="auto"/>
              <w:right w:val="single" w:sz="4" w:space="0" w:color="auto"/>
            </w:tcBorders>
          </w:tcPr>
          <w:p w14:paraId="6CB42738" w14:textId="77777777" w:rsidR="00E96419" w:rsidRPr="00E96419" w:rsidRDefault="00E96419" w:rsidP="00E96419">
            <w:pPr>
              <w:tabs>
                <w:tab w:val="left" w:pos="709"/>
              </w:tabs>
              <w:spacing w:before="0" w:after="0"/>
              <w:rPr>
                <w:rFonts w:ascii="Arial" w:hAnsi="Arial"/>
                <w:color w:val="000000"/>
                <w:sz w:val="16"/>
                <w:szCs w:val="16"/>
              </w:rPr>
            </w:pPr>
            <w:r>
              <w:rPr>
                <w:rFonts w:ascii="Arial" w:hAnsi="Arial"/>
                <w:color w:val="000000"/>
                <w:sz w:val="16"/>
                <w:szCs w:val="16"/>
              </w:rPr>
              <w:t>Budget Year</w:t>
            </w:r>
          </w:p>
          <w:p w14:paraId="5651886D" w14:textId="77777777" w:rsidR="00E96419" w:rsidRPr="00E96419" w:rsidRDefault="00E96419" w:rsidP="00E96419">
            <w:pPr>
              <w:tabs>
                <w:tab w:val="left" w:pos="709"/>
              </w:tabs>
              <w:spacing w:before="0" w:after="0"/>
              <w:rPr>
                <w:rFonts w:ascii="Arial" w:hAnsi="Arial"/>
                <w:color w:val="000000"/>
                <w:sz w:val="16"/>
                <w:szCs w:val="16"/>
              </w:rPr>
            </w:pPr>
            <w:r w:rsidRPr="00E96419">
              <w:rPr>
                <w:rFonts w:ascii="Arial" w:hAnsi="Arial"/>
                <w:color w:val="000000"/>
                <w:sz w:val="16"/>
                <w:szCs w:val="16"/>
              </w:rPr>
              <w:t>2025-26</w:t>
            </w:r>
            <w:r>
              <w:rPr>
                <w:rFonts w:ascii="Arial" w:hAnsi="Arial"/>
                <w:color w:val="000000"/>
                <w:sz w:val="16"/>
                <w:szCs w:val="16"/>
              </w:rPr>
              <w:t xml:space="preserve"> </w:t>
            </w:r>
            <w:r w:rsidRPr="00E96419">
              <w:rPr>
                <w:rFonts w:ascii="Arial" w:hAnsi="Arial"/>
                <w:color w:val="000000"/>
                <w:sz w:val="16"/>
                <w:szCs w:val="16"/>
                <w:vertAlign w:val="superscript"/>
              </w:rPr>
              <w:t>[b]</w:t>
            </w:r>
          </w:p>
        </w:tc>
        <w:tc>
          <w:tcPr>
            <w:tcW w:w="3174" w:type="dxa"/>
            <w:tcBorders>
              <w:top w:val="single" w:sz="4" w:space="0" w:color="auto"/>
              <w:left w:val="single" w:sz="4" w:space="0" w:color="auto"/>
              <w:bottom w:val="dotted" w:sz="4" w:space="0" w:color="auto"/>
              <w:right w:val="single" w:sz="4" w:space="0" w:color="auto"/>
            </w:tcBorders>
          </w:tcPr>
          <w:p w14:paraId="10EBABD2" w14:textId="2DBC5289" w:rsidR="00E96419" w:rsidRPr="00470FF0" w:rsidRDefault="00752D2F" w:rsidP="00752D2F">
            <w:pPr>
              <w:tabs>
                <w:tab w:val="left" w:pos="709"/>
              </w:tabs>
              <w:spacing w:before="60" w:after="60"/>
              <w:rPr>
                <w:rFonts w:ascii="Arial" w:hAnsi="Arial"/>
                <w:color w:val="000000"/>
                <w:sz w:val="16"/>
                <w:szCs w:val="16"/>
              </w:rPr>
            </w:pPr>
            <w:r w:rsidRPr="00752D2F">
              <w:rPr>
                <w:rFonts w:ascii="Arial" w:hAnsi="Arial"/>
                <w:sz w:val="16"/>
                <w:szCs w:val="16"/>
                <w:lang w:val="en-AU"/>
              </w:rPr>
              <w:t>1.1: Defence maintains ready forces, plans and conducts operations, activities and investments as directed by Government to achieve Defence’s strategic objectives.</w:t>
            </w:r>
          </w:p>
        </w:tc>
        <w:tc>
          <w:tcPr>
            <w:tcW w:w="3380" w:type="dxa"/>
            <w:tcBorders>
              <w:top w:val="single" w:sz="4" w:space="0" w:color="auto"/>
              <w:left w:val="single" w:sz="4" w:space="0" w:color="auto"/>
              <w:bottom w:val="dotted" w:sz="4" w:space="0" w:color="auto"/>
            </w:tcBorders>
          </w:tcPr>
          <w:p w14:paraId="3C2B522F" w14:textId="77777777" w:rsidR="00E96419" w:rsidRPr="0036429E" w:rsidRDefault="00E96419" w:rsidP="00E96419">
            <w:pPr>
              <w:tabs>
                <w:tab w:val="left" w:pos="709"/>
              </w:tabs>
              <w:spacing w:before="60" w:after="60"/>
              <w:rPr>
                <w:rFonts w:ascii="Arial" w:hAnsi="Arial"/>
                <w:i/>
                <w:color w:val="000000"/>
                <w:sz w:val="16"/>
                <w:szCs w:val="16"/>
              </w:rPr>
            </w:pPr>
            <w:r w:rsidRPr="0036429E">
              <w:rPr>
                <w:rFonts w:ascii="Arial" w:hAnsi="Arial"/>
                <w:sz w:val="16"/>
                <w:szCs w:val="16"/>
                <w:lang w:val="en-AU"/>
              </w:rPr>
              <w:t xml:space="preserve">Defence responds to Australian Government requirements and conducts operations as </w:t>
            </w:r>
            <w:r>
              <w:rPr>
                <w:rFonts w:ascii="Arial" w:hAnsi="Arial"/>
                <w:sz w:val="16"/>
                <w:szCs w:val="16"/>
                <w:lang w:val="en-AU"/>
              </w:rPr>
              <w:t xml:space="preserve">directed. This will change year </w:t>
            </w:r>
            <w:r w:rsidRPr="0036429E">
              <w:rPr>
                <w:rFonts w:ascii="Arial" w:hAnsi="Arial"/>
                <w:sz w:val="16"/>
                <w:szCs w:val="16"/>
                <w:lang w:val="en-AU"/>
              </w:rPr>
              <w:t>on</w:t>
            </w:r>
            <w:r>
              <w:rPr>
                <w:rFonts w:ascii="Arial" w:hAnsi="Arial"/>
                <w:sz w:val="16"/>
                <w:szCs w:val="16"/>
                <w:lang w:val="en-AU"/>
              </w:rPr>
              <w:t xml:space="preserve"> </w:t>
            </w:r>
            <w:r w:rsidRPr="0036429E">
              <w:rPr>
                <w:rFonts w:ascii="Arial" w:hAnsi="Arial"/>
                <w:sz w:val="16"/>
                <w:szCs w:val="16"/>
                <w:lang w:val="en-AU"/>
              </w:rPr>
              <w:t>year.</w:t>
            </w:r>
          </w:p>
        </w:tc>
      </w:tr>
      <w:tr w:rsidR="00E96419" w:rsidRPr="00E96419" w14:paraId="711BFC58" w14:textId="77777777" w:rsidTr="003C0162">
        <w:tblPrEx>
          <w:shd w:val="clear" w:color="auto" w:fill="auto"/>
          <w:tblLook w:val="04A0" w:firstRow="1" w:lastRow="0" w:firstColumn="1" w:lastColumn="0" w:noHBand="0" w:noVBand="1"/>
        </w:tblPrEx>
        <w:trPr>
          <w:trHeight w:val="320"/>
        </w:trPr>
        <w:tc>
          <w:tcPr>
            <w:tcW w:w="1799" w:type="dxa"/>
            <w:vMerge/>
            <w:tcBorders>
              <w:top w:val="double" w:sz="4" w:space="0" w:color="auto"/>
              <w:bottom w:val="single" w:sz="4" w:space="0" w:color="auto"/>
              <w:right w:val="single" w:sz="4" w:space="0" w:color="auto"/>
            </w:tcBorders>
          </w:tcPr>
          <w:p w14:paraId="4B7BE7F1" w14:textId="77777777" w:rsidR="00E96419" w:rsidRPr="00E96419" w:rsidRDefault="00E96419" w:rsidP="00E96419">
            <w:pPr>
              <w:tabs>
                <w:tab w:val="left" w:pos="709"/>
              </w:tabs>
              <w:spacing w:before="60" w:after="60"/>
              <w:rPr>
                <w:rFonts w:ascii="Arial" w:hAnsi="Arial"/>
                <w:color w:val="000000"/>
                <w:sz w:val="16"/>
                <w:szCs w:val="16"/>
              </w:rPr>
            </w:pPr>
          </w:p>
        </w:tc>
        <w:tc>
          <w:tcPr>
            <w:tcW w:w="3174" w:type="dxa"/>
            <w:tcBorders>
              <w:top w:val="dotted" w:sz="4" w:space="0" w:color="auto"/>
              <w:left w:val="single" w:sz="4" w:space="0" w:color="auto"/>
              <w:bottom w:val="dotted" w:sz="4" w:space="0" w:color="auto"/>
              <w:right w:val="single" w:sz="4" w:space="0" w:color="auto"/>
            </w:tcBorders>
          </w:tcPr>
          <w:p w14:paraId="6B7DD580" w14:textId="77777777" w:rsidR="00E96419" w:rsidRPr="00470FF0" w:rsidRDefault="00E96419" w:rsidP="00E96419">
            <w:pPr>
              <w:tabs>
                <w:tab w:val="left" w:pos="709"/>
              </w:tabs>
              <w:spacing w:before="60" w:after="60"/>
              <w:rPr>
                <w:rFonts w:ascii="Arial" w:hAnsi="Arial"/>
                <w:color w:val="000000"/>
                <w:sz w:val="16"/>
                <w:szCs w:val="16"/>
              </w:rPr>
            </w:pPr>
            <w:r>
              <w:rPr>
                <w:rFonts w:ascii="Arial" w:hAnsi="Arial"/>
                <w:sz w:val="16"/>
                <w:szCs w:val="16"/>
                <w:lang w:val="en-AU"/>
              </w:rPr>
              <w:t xml:space="preserve">1.2: </w:t>
            </w:r>
            <w:r w:rsidRPr="00470FF0">
              <w:rPr>
                <w:rFonts w:ascii="Arial" w:hAnsi="Arial"/>
                <w:sz w:val="16"/>
                <w:szCs w:val="16"/>
                <w:lang w:val="en-AU"/>
              </w:rPr>
              <w:t>Defence commits ADF and/or APS assistance to domestic crisis and emergency response, as directed by Government.</w:t>
            </w:r>
          </w:p>
        </w:tc>
        <w:tc>
          <w:tcPr>
            <w:tcW w:w="3380" w:type="dxa"/>
            <w:tcBorders>
              <w:top w:val="dotted" w:sz="4" w:space="0" w:color="auto"/>
              <w:left w:val="single" w:sz="4" w:space="0" w:color="auto"/>
              <w:bottom w:val="dotted" w:sz="4" w:space="0" w:color="auto"/>
            </w:tcBorders>
          </w:tcPr>
          <w:p w14:paraId="55747E3E" w14:textId="77777777" w:rsidR="00E96419" w:rsidRPr="0036429E" w:rsidRDefault="00E96419" w:rsidP="00E96419">
            <w:pPr>
              <w:tabs>
                <w:tab w:val="left" w:pos="709"/>
              </w:tabs>
              <w:spacing w:before="60" w:after="60"/>
              <w:rPr>
                <w:rFonts w:ascii="Arial" w:hAnsi="Arial"/>
                <w:color w:val="000000"/>
                <w:sz w:val="16"/>
                <w:szCs w:val="16"/>
              </w:rPr>
            </w:pPr>
            <w:r w:rsidRPr="0036429E">
              <w:rPr>
                <w:rFonts w:ascii="Arial" w:hAnsi="Arial"/>
                <w:sz w:val="16"/>
                <w:szCs w:val="16"/>
                <w:lang w:val="en-AU"/>
              </w:rPr>
              <w:t>Defence responds to Australian Government direction as required. This will change year</w:t>
            </w:r>
            <w:r>
              <w:rPr>
                <w:rFonts w:ascii="Arial" w:hAnsi="Arial"/>
                <w:sz w:val="16"/>
                <w:szCs w:val="16"/>
                <w:lang w:val="en-AU"/>
              </w:rPr>
              <w:t xml:space="preserve"> </w:t>
            </w:r>
            <w:r w:rsidRPr="0036429E">
              <w:rPr>
                <w:rFonts w:ascii="Arial" w:hAnsi="Arial"/>
                <w:sz w:val="16"/>
                <w:szCs w:val="16"/>
                <w:lang w:val="en-AU"/>
              </w:rPr>
              <w:t>on</w:t>
            </w:r>
            <w:r>
              <w:rPr>
                <w:rFonts w:ascii="Arial" w:hAnsi="Arial"/>
                <w:sz w:val="16"/>
                <w:szCs w:val="16"/>
                <w:lang w:val="en-AU"/>
              </w:rPr>
              <w:t xml:space="preserve"> </w:t>
            </w:r>
            <w:r w:rsidRPr="0036429E">
              <w:rPr>
                <w:rFonts w:ascii="Arial" w:hAnsi="Arial"/>
                <w:sz w:val="16"/>
                <w:szCs w:val="16"/>
                <w:lang w:val="en-AU"/>
              </w:rPr>
              <w:t>year.</w:t>
            </w:r>
          </w:p>
        </w:tc>
      </w:tr>
      <w:tr w:rsidR="00E96419" w:rsidRPr="00E96419" w14:paraId="78E0CBF6" w14:textId="77777777" w:rsidTr="003C0162">
        <w:tblPrEx>
          <w:shd w:val="clear" w:color="auto" w:fill="auto"/>
          <w:tblLook w:val="04A0" w:firstRow="1" w:lastRow="0" w:firstColumn="1" w:lastColumn="0" w:noHBand="0" w:noVBand="1"/>
        </w:tblPrEx>
        <w:trPr>
          <w:trHeight w:val="642"/>
        </w:trPr>
        <w:tc>
          <w:tcPr>
            <w:tcW w:w="1799" w:type="dxa"/>
            <w:vMerge/>
            <w:tcBorders>
              <w:top w:val="double" w:sz="4" w:space="0" w:color="auto"/>
              <w:bottom w:val="single" w:sz="4" w:space="0" w:color="auto"/>
              <w:right w:val="single" w:sz="4" w:space="0" w:color="auto"/>
            </w:tcBorders>
          </w:tcPr>
          <w:p w14:paraId="59ACA46B" w14:textId="77777777" w:rsidR="00E96419" w:rsidRPr="00E96419" w:rsidRDefault="00E96419" w:rsidP="00E96419">
            <w:pPr>
              <w:tabs>
                <w:tab w:val="left" w:pos="709"/>
              </w:tabs>
              <w:spacing w:before="60" w:after="60"/>
              <w:rPr>
                <w:rFonts w:ascii="Arial" w:hAnsi="Arial"/>
                <w:color w:val="000000"/>
                <w:sz w:val="16"/>
                <w:szCs w:val="16"/>
              </w:rPr>
            </w:pPr>
          </w:p>
        </w:tc>
        <w:tc>
          <w:tcPr>
            <w:tcW w:w="3174" w:type="dxa"/>
            <w:tcBorders>
              <w:top w:val="dotted" w:sz="4" w:space="0" w:color="auto"/>
              <w:left w:val="single" w:sz="4" w:space="0" w:color="auto"/>
              <w:bottom w:val="single" w:sz="4" w:space="0" w:color="auto"/>
              <w:right w:val="single" w:sz="4" w:space="0" w:color="auto"/>
            </w:tcBorders>
          </w:tcPr>
          <w:p w14:paraId="4F2C7ECD" w14:textId="77777777" w:rsidR="00E96419" w:rsidRPr="00470FF0" w:rsidRDefault="00E96419" w:rsidP="00B73CFB">
            <w:pPr>
              <w:tabs>
                <w:tab w:val="left" w:pos="709"/>
              </w:tabs>
              <w:spacing w:before="60" w:after="60"/>
              <w:rPr>
                <w:rFonts w:ascii="Arial" w:hAnsi="Arial"/>
                <w:color w:val="000000"/>
                <w:sz w:val="16"/>
                <w:szCs w:val="16"/>
              </w:rPr>
            </w:pPr>
            <w:r w:rsidRPr="00880166">
              <w:rPr>
                <w:rFonts w:ascii="Arial" w:hAnsi="Arial"/>
                <w:sz w:val="16"/>
                <w:szCs w:val="16"/>
                <w:lang w:val="en-AU"/>
              </w:rPr>
              <w:t xml:space="preserve">6.1: Defence is delivering the right future capability at the right time within the Integrated Investment Program to ensure it is equipped to respond to future security challenges as directed by the </w:t>
            </w:r>
            <w:r w:rsidRPr="00E00255">
              <w:rPr>
                <w:rFonts w:ascii="Arial" w:hAnsi="Arial"/>
                <w:i/>
                <w:sz w:val="16"/>
                <w:szCs w:val="16"/>
                <w:lang w:val="en-AU"/>
              </w:rPr>
              <w:t>2024 National Defence Strategy</w:t>
            </w:r>
            <w:r w:rsidRPr="00880166">
              <w:rPr>
                <w:rFonts w:ascii="Arial" w:hAnsi="Arial"/>
                <w:sz w:val="16"/>
                <w:szCs w:val="16"/>
                <w:lang w:val="en-AU"/>
              </w:rPr>
              <w:t>.</w:t>
            </w:r>
          </w:p>
        </w:tc>
        <w:tc>
          <w:tcPr>
            <w:tcW w:w="3380" w:type="dxa"/>
            <w:tcBorders>
              <w:top w:val="dotted" w:sz="4" w:space="0" w:color="auto"/>
              <w:left w:val="single" w:sz="4" w:space="0" w:color="auto"/>
              <w:bottom w:val="single" w:sz="4" w:space="0" w:color="auto"/>
            </w:tcBorders>
          </w:tcPr>
          <w:p w14:paraId="790967D2" w14:textId="77777777" w:rsidR="00E96419" w:rsidRPr="0036429E" w:rsidRDefault="00E96419" w:rsidP="00E96419">
            <w:pPr>
              <w:tabs>
                <w:tab w:val="left" w:pos="709"/>
              </w:tabs>
              <w:spacing w:before="60" w:after="60"/>
              <w:rPr>
                <w:rFonts w:ascii="Arial" w:hAnsi="Arial"/>
                <w:sz w:val="16"/>
                <w:szCs w:val="16"/>
              </w:rPr>
            </w:pPr>
            <w:r w:rsidRPr="0036429E">
              <w:rPr>
                <w:rFonts w:ascii="Arial" w:hAnsi="Arial"/>
                <w:sz w:val="16"/>
                <w:szCs w:val="16"/>
                <w:lang w:val="en-AU"/>
              </w:rPr>
              <w:t>80 per cent or more of approved Integrated Investment Program projects across all domains are on track to deliver the scope approved by Government within Government approved cost and schedule.</w:t>
            </w:r>
          </w:p>
        </w:tc>
      </w:tr>
      <w:tr w:rsidR="0004322A" w:rsidRPr="00E96419" w14:paraId="1A804ACC" w14:textId="77777777" w:rsidTr="003C0162">
        <w:tblPrEx>
          <w:shd w:val="clear" w:color="auto" w:fill="auto"/>
          <w:tblLook w:val="04A0" w:firstRow="1" w:lastRow="0" w:firstColumn="1" w:lastColumn="0" w:noHBand="0" w:noVBand="1"/>
        </w:tblPrEx>
        <w:trPr>
          <w:trHeight w:val="258"/>
        </w:trPr>
        <w:tc>
          <w:tcPr>
            <w:tcW w:w="1799" w:type="dxa"/>
            <w:tcBorders>
              <w:top w:val="single" w:sz="4" w:space="0" w:color="auto"/>
              <w:bottom w:val="single" w:sz="4" w:space="0" w:color="auto"/>
              <w:right w:val="single" w:sz="4" w:space="0" w:color="auto"/>
            </w:tcBorders>
          </w:tcPr>
          <w:p w14:paraId="62FD9320" w14:textId="77777777" w:rsidR="0004322A" w:rsidRPr="00E96419" w:rsidRDefault="0004322A" w:rsidP="00E96419">
            <w:pPr>
              <w:keepNext/>
              <w:keepLines/>
              <w:pageBreakBefore/>
              <w:tabs>
                <w:tab w:val="left" w:pos="709"/>
              </w:tabs>
              <w:spacing w:before="60" w:after="60"/>
              <w:rPr>
                <w:rFonts w:ascii="Arial" w:hAnsi="Arial"/>
                <w:b/>
                <w:color w:val="000000"/>
                <w:sz w:val="16"/>
                <w:szCs w:val="16"/>
              </w:rPr>
            </w:pPr>
            <w:r w:rsidRPr="00E96419">
              <w:rPr>
                <w:rFonts w:ascii="Arial" w:hAnsi="Arial"/>
                <w:b/>
                <w:color w:val="000000"/>
                <w:sz w:val="16"/>
                <w:szCs w:val="16"/>
              </w:rPr>
              <w:lastRenderedPageBreak/>
              <w:t>Year</w:t>
            </w:r>
          </w:p>
        </w:tc>
        <w:tc>
          <w:tcPr>
            <w:tcW w:w="3174" w:type="dxa"/>
            <w:tcBorders>
              <w:top w:val="single" w:sz="4" w:space="0" w:color="auto"/>
              <w:left w:val="single" w:sz="4" w:space="0" w:color="auto"/>
              <w:bottom w:val="single" w:sz="4" w:space="0" w:color="auto"/>
              <w:right w:val="single" w:sz="4" w:space="0" w:color="auto"/>
            </w:tcBorders>
          </w:tcPr>
          <w:p w14:paraId="35022F15" w14:textId="77777777" w:rsidR="0004322A" w:rsidRPr="00E96419" w:rsidRDefault="0004322A" w:rsidP="00E96419">
            <w:pPr>
              <w:keepNext/>
              <w:keepLines/>
              <w:pageBreakBefore/>
              <w:tabs>
                <w:tab w:val="left" w:pos="709"/>
                <w:tab w:val="center" w:pos="1818"/>
              </w:tabs>
              <w:spacing w:before="60" w:after="60"/>
              <w:rPr>
                <w:rFonts w:ascii="Arial" w:hAnsi="Arial"/>
                <w:b/>
                <w:color w:val="000000"/>
                <w:sz w:val="16"/>
                <w:szCs w:val="16"/>
              </w:rPr>
            </w:pPr>
            <w:r w:rsidRPr="00E96419">
              <w:rPr>
                <w:rFonts w:ascii="Arial" w:hAnsi="Arial"/>
                <w:b/>
                <w:color w:val="000000"/>
                <w:sz w:val="16"/>
                <w:szCs w:val="16"/>
              </w:rPr>
              <w:t>Performance measures</w:t>
            </w:r>
          </w:p>
        </w:tc>
        <w:tc>
          <w:tcPr>
            <w:tcW w:w="3380" w:type="dxa"/>
            <w:tcBorders>
              <w:top w:val="single" w:sz="4" w:space="0" w:color="auto"/>
              <w:left w:val="single" w:sz="4" w:space="0" w:color="auto"/>
              <w:bottom w:val="single" w:sz="4" w:space="0" w:color="auto"/>
            </w:tcBorders>
          </w:tcPr>
          <w:p w14:paraId="2FD50728" w14:textId="77777777" w:rsidR="0004322A" w:rsidRPr="00E96419" w:rsidRDefault="0004322A" w:rsidP="00E96419">
            <w:pPr>
              <w:keepNext/>
              <w:keepLines/>
              <w:pageBreakBefore/>
              <w:tabs>
                <w:tab w:val="left" w:pos="709"/>
              </w:tabs>
              <w:spacing w:before="60" w:after="60"/>
              <w:rPr>
                <w:rFonts w:ascii="Arial" w:hAnsi="Arial"/>
                <w:b/>
                <w:color w:val="000000"/>
                <w:sz w:val="16"/>
                <w:szCs w:val="16"/>
              </w:rPr>
            </w:pPr>
            <w:r w:rsidRPr="00E96419">
              <w:rPr>
                <w:rFonts w:ascii="Arial" w:hAnsi="Arial"/>
                <w:b/>
                <w:color w:val="000000"/>
                <w:sz w:val="16"/>
                <w:szCs w:val="16"/>
              </w:rPr>
              <w:t>Planned Performance Results</w:t>
            </w:r>
          </w:p>
        </w:tc>
      </w:tr>
      <w:tr w:rsidR="0004322A" w:rsidRPr="00CD66E1" w14:paraId="15BDFEA5" w14:textId="77777777" w:rsidTr="0004322A">
        <w:tblPrEx>
          <w:shd w:val="clear" w:color="auto" w:fill="auto"/>
          <w:tblLook w:val="04A0" w:firstRow="1" w:lastRow="0" w:firstColumn="1" w:lastColumn="0" w:noHBand="0" w:noVBand="1"/>
        </w:tblPrEx>
        <w:trPr>
          <w:trHeight w:val="491"/>
        </w:trPr>
        <w:tc>
          <w:tcPr>
            <w:tcW w:w="1799" w:type="dxa"/>
            <w:tcBorders>
              <w:top w:val="single" w:sz="4" w:space="0" w:color="auto"/>
              <w:bottom w:val="dotted" w:sz="4" w:space="0" w:color="auto"/>
              <w:right w:val="single" w:sz="4" w:space="0" w:color="auto"/>
            </w:tcBorders>
          </w:tcPr>
          <w:p w14:paraId="46C22F9A" w14:textId="77777777" w:rsidR="0004322A" w:rsidRPr="00E96419" w:rsidRDefault="0004322A" w:rsidP="00002F5C">
            <w:pPr>
              <w:tabs>
                <w:tab w:val="left" w:pos="709"/>
              </w:tabs>
              <w:spacing w:before="60" w:after="60"/>
              <w:rPr>
                <w:rFonts w:ascii="Arial" w:hAnsi="Arial"/>
                <w:color w:val="000000"/>
                <w:sz w:val="16"/>
                <w:szCs w:val="16"/>
              </w:rPr>
            </w:pPr>
            <w:r w:rsidRPr="00E96419">
              <w:rPr>
                <w:rFonts w:ascii="Arial" w:hAnsi="Arial"/>
                <w:color w:val="000000"/>
                <w:sz w:val="16"/>
                <w:szCs w:val="16"/>
              </w:rPr>
              <w:t>Forward Estimates</w:t>
            </w:r>
          </w:p>
          <w:p w14:paraId="22A90954" w14:textId="77777777" w:rsidR="0004322A" w:rsidRPr="00E96419" w:rsidRDefault="0004322A" w:rsidP="00002F5C">
            <w:pPr>
              <w:tabs>
                <w:tab w:val="left" w:pos="709"/>
              </w:tabs>
              <w:spacing w:before="0" w:after="60"/>
              <w:rPr>
                <w:rFonts w:ascii="Arial" w:hAnsi="Arial"/>
                <w:b/>
                <w:color w:val="000000"/>
                <w:sz w:val="16"/>
                <w:szCs w:val="16"/>
              </w:rPr>
            </w:pPr>
            <w:r w:rsidRPr="00E96419">
              <w:rPr>
                <w:rFonts w:ascii="Arial" w:hAnsi="Arial"/>
                <w:color w:val="000000"/>
                <w:sz w:val="16"/>
                <w:szCs w:val="16"/>
              </w:rPr>
              <w:t>2026-29</w:t>
            </w:r>
          </w:p>
        </w:tc>
        <w:tc>
          <w:tcPr>
            <w:tcW w:w="3174" w:type="dxa"/>
            <w:tcBorders>
              <w:top w:val="single" w:sz="4" w:space="0" w:color="auto"/>
              <w:left w:val="single" w:sz="4" w:space="0" w:color="auto"/>
              <w:bottom w:val="single" w:sz="4" w:space="0" w:color="auto"/>
              <w:right w:val="single" w:sz="4" w:space="0" w:color="auto"/>
            </w:tcBorders>
          </w:tcPr>
          <w:p w14:paraId="49D7A1F3" w14:textId="77777777" w:rsidR="0004322A" w:rsidRPr="00E96419" w:rsidRDefault="0004322A" w:rsidP="00E96419">
            <w:pPr>
              <w:tabs>
                <w:tab w:val="left" w:pos="709"/>
              </w:tabs>
              <w:spacing w:before="60" w:after="60"/>
              <w:rPr>
                <w:rFonts w:ascii="Arial" w:hAnsi="Arial"/>
                <w:b/>
                <w:color w:val="000000"/>
                <w:sz w:val="16"/>
                <w:szCs w:val="16"/>
              </w:rPr>
            </w:pPr>
            <w:r w:rsidRPr="00E96419">
              <w:rPr>
                <w:rFonts w:ascii="Arial" w:hAnsi="Arial"/>
                <w:color w:val="000000"/>
                <w:sz w:val="16"/>
                <w:szCs w:val="16"/>
              </w:rPr>
              <w:t>As per 202</w:t>
            </w:r>
            <w:r w:rsidR="00E96419">
              <w:rPr>
                <w:rFonts w:ascii="Arial" w:hAnsi="Arial"/>
                <w:color w:val="000000"/>
                <w:sz w:val="16"/>
                <w:szCs w:val="16"/>
              </w:rPr>
              <w:t>5</w:t>
            </w:r>
            <w:r w:rsidRPr="00E96419">
              <w:rPr>
                <w:rFonts w:ascii="Arial" w:hAnsi="Arial"/>
                <w:color w:val="000000"/>
                <w:sz w:val="16"/>
                <w:szCs w:val="16"/>
              </w:rPr>
              <w:t>-2</w:t>
            </w:r>
            <w:r w:rsidR="00E96419">
              <w:rPr>
                <w:rFonts w:ascii="Arial" w:hAnsi="Arial"/>
                <w:color w:val="000000"/>
                <w:sz w:val="16"/>
                <w:szCs w:val="16"/>
              </w:rPr>
              <w:t>6</w:t>
            </w:r>
            <w:r w:rsidRPr="00E96419">
              <w:rPr>
                <w:rFonts w:ascii="Arial" w:hAnsi="Arial"/>
                <w:color w:val="000000"/>
                <w:sz w:val="16"/>
                <w:szCs w:val="16"/>
              </w:rPr>
              <w:t>.</w:t>
            </w:r>
          </w:p>
        </w:tc>
        <w:tc>
          <w:tcPr>
            <w:tcW w:w="3380" w:type="dxa"/>
            <w:tcBorders>
              <w:top w:val="single" w:sz="4" w:space="0" w:color="auto"/>
              <w:left w:val="single" w:sz="4" w:space="0" w:color="auto"/>
              <w:bottom w:val="single" w:sz="4" w:space="0" w:color="auto"/>
            </w:tcBorders>
          </w:tcPr>
          <w:p w14:paraId="706CB739" w14:textId="77777777" w:rsidR="0004322A" w:rsidRPr="00E96419" w:rsidRDefault="0004322A" w:rsidP="00E96419">
            <w:pPr>
              <w:tabs>
                <w:tab w:val="left" w:pos="709"/>
              </w:tabs>
              <w:spacing w:before="60" w:after="60"/>
              <w:rPr>
                <w:rFonts w:ascii="Arial" w:hAnsi="Arial"/>
                <w:b/>
                <w:color w:val="000000"/>
                <w:sz w:val="16"/>
                <w:szCs w:val="16"/>
              </w:rPr>
            </w:pPr>
            <w:r w:rsidRPr="00E96419">
              <w:rPr>
                <w:rFonts w:ascii="Arial" w:hAnsi="Arial"/>
                <w:color w:val="000000"/>
                <w:sz w:val="16"/>
                <w:szCs w:val="16"/>
              </w:rPr>
              <w:t>As per 202</w:t>
            </w:r>
            <w:r w:rsidR="00E96419">
              <w:rPr>
                <w:rFonts w:ascii="Arial" w:hAnsi="Arial"/>
                <w:color w:val="000000"/>
                <w:sz w:val="16"/>
                <w:szCs w:val="16"/>
              </w:rPr>
              <w:t>5</w:t>
            </w:r>
            <w:r w:rsidRPr="00E96419">
              <w:rPr>
                <w:rFonts w:ascii="Arial" w:hAnsi="Arial"/>
                <w:color w:val="000000"/>
                <w:sz w:val="16"/>
                <w:szCs w:val="16"/>
              </w:rPr>
              <w:t>-2</w:t>
            </w:r>
            <w:r w:rsidR="00E96419">
              <w:rPr>
                <w:rFonts w:ascii="Arial" w:hAnsi="Arial"/>
                <w:color w:val="000000"/>
                <w:sz w:val="16"/>
                <w:szCs w:val="16"/>
              </w:rPr>
              <w:t>6</w:t>
            </w:r>
            <w:r w:rsidRPr="00E96419">
              <w:rPr>
                <w:rFonts w:ascii="Arial" w:hAnsi="Arial"/>
                <w:color w:val="000000"/>
                <w:sz w:val="16"/>
                <w:szCs w:val="16"/>
              </w:rPr>
              <w:t>.</w:t>
            </w:r>
          </w:p>
        </w:tc>
      </w:tr>
      <w:tr w:rsidR="0004322A" w:rsidRPr="00CD66E1" w14:paraId="5F92D629" w14:textId="77777777" w:rsidTr="0004322A">
        <w:tblPrEx>
          <w:shd w:val="clear" w:color="auto" w:fill="auto"/>
          <w:tblLook w:val="04A0" w:firstRow="1" w:lastRow="0" w:firstColumn="1" w:lastColumn="0" w:noHBand="0" w:noVBand="1"/>
        </w:tblPrEx>
        <w:trPr>
          <w:trHeight w:val="291"/>
        </w:trPr>
        <w:tc>
          <w:tcPr>
            <w:tcW w:w="8353" w:type="dxa"/>
            <w:gridSpan w:val="3"/>
          </w:tcPr>
          <w:p w14:paraId="34DEBA03" w14:textId="41DAC473" w:rsidR="0004322A" w:rsidRPr="00E96419" w:rsidRDefault="0004322A" w:rsidP="00E364DF">
            <w:pPr>
              <w:tabs>
                <w:tab w:val="left" w:pos="709"/>
              </w:tabs>
              <w:spacing w:before="60" w:after="60"/>
              <w:rPr>
                <w:rFonts w:ascii="Arial" w:eastAsia="Cambria" w:hAnsi="Arial"/>
                <w:bCs/>
                <w:iCs/>
                <w:color w:val="000000"/>
                <w:spacing w:val="-6"/>
                <w:sz w:val="16"/>
                <w:szCs w:val="16"/>
                <w:lang w:val="x-none"/>
              </w:rPr>
            </w:pPr>
            <w:r w:rsidRPr="00E96419">
              <w:rPr>
                <w:rFonts w:ascii="Arial" w:hAnsi="Arial"/>
                <w:color w:val="000000"/>
                <w:sz w:val="16"/>
                <w:szCs w:val="16"/>
              </w:rPr>
              <w:t>Material changes to Program 2.6 resulting from 202</w:t>
            </w:r>
            <w:r w:rsidR="00E364DF">
              <w:rPr>
                <w:rFonts w:ascii="Arial" w:hAnsi="Arial"/>
                <w:color w:val="000000"/>
                <w:sz w:val="16"/>
                <w:szCs w:val="16"/>
              </w:rPr>
              <w:t>5</w:t>
            </w:r>
            <w:r w:rsidRPr="00E96419">
              <w:rPr>
                <w:rFonts w:ascii="Arial" w:hAnsi="Arial"/>
                <w:color w:val="000000"/>
                <w:sz w:val="16"/>
                <w:szCs w:val="16"/>
              </w:rPr>
              <w:t>-2</w:t>
            </w:r>
            <w:r w:rsidR="00E364DF">
              <w:rPr>
                <w:rFonts w:ascii="Arial" w:hAnsi="Arial"/>
                <w:color w:val="000000"/>
                <w:sz w:val="16"/>
                <w:szCs w:val="16"/>
              </w:rPr>
              <w:t>6</w:t>
            </w:r>
            <w:r w:rsidRPr="00E96419">
              <w:rPr>
                <w:rFonts w:ascii="Arial" w:hAnsi="Arial"/>
                <w:color w:val="000000"/>
                <w:sz w:val="16"/>
                <w:szCs w:val="16"/>
              </w:rPr>
              <w:t xml:space="preserve"> Budget Measures:</w:t>
            </w:r>
            <w:r w:rsidRPr="00E96419">
              <w:rPr>
                <w:rStyle w:val="BodyTextChar"/>
                <w:rFonts w:ascii="Arial" w:hAnsi="Arial"/>
                <w:bCs/>
                <w:iCs/>
                <w:color w:val="000000"/>
                <w:spacing w:val="-6"/>
                <w:sz w:val="16"/>
                <w:szCs w:val="16"/>
              </w:rPr>
              <w:t xml:space="preserve"> Nil.</w:t>
            </w:r>
          </w:p>
        </w:tc>
      </w:tr>
    </w:tbl>
    <w:p w14:paraId="1F2ED144" w14:textId="77777777" w:rsidR="0002000E" w:rsidRPr="00CD66E1" w:rsidRDefault="0002000E" w:rsidP="0002000E">
      <w:pPr>
        <w:pStyle w:val="TableHeading"/>
        <w:spacing w:before="0" w:after="0"/>
        <w:rPr>
          <w:sz w:val="16"/>
          <w:szCs w:val="16"/>
          <w:highlight w:val="yellow"/>
          <w:lang w:val="en-AU"/>
        </w:rPr>
      </w:pPr>
    </w:p>
    <w:p w14:paraId="621EE688" w14:textId="77777777" w:rsidR="0002000E" w:rsidRPr="00E96419" w:rsidRDefault="0002000E" w:rsidP="0002000E">
      <w:pPr>
        <w:pStyle w:val="TableHeading"/>
        <w:spacing w:before="0" w:after="0"/>
        <w:rPr>
          <w:sz w:val="14"/>
          <w:szCs w:val="14"/>
          <w:lang w:val="en-AU"/>
        </w:rPr>
      </w:pPr>
      <w:r w:rsidRPr="00E96419">
        <w:rPr>
          <w:sz w:val="14"/>
          <w:szCs w:val="14"/>
          <w:lang w:val="en-AU"/>
        </w:rPr>
        <w:t>Note</w:t>
      </w:r>
      <w:r w:rsidR="00AF08A6" w:rsidRPr="00E96419">
        <w:rPr>
          <w:sz w:val="14"/>
          <w:szCs w:val="14"/>
          <w:lang w:val="en-AU"/>
        </w:rPr>
        <w:t>s</w:t>
      </w:r>
    </w:p>
    <w:p w14:paraId="567EDE86" w14:textId="49810A17" w:rsidR="00E96419" w:rsidRDefault="0002000E" w:rsidP="00444A89">
      <w:pPr>
        <w:pStyle w:val="TableHeading"/>
        <w:numPr>
          <w:ilvl w:val="0"/>
          <w:numId w:val="54"/>
        </w:numPr>
        <w:tabs>
          <w:tab w:val="left" w:pos="284"/>
        </w:tabs>
        <w:spacing w:before="0" w:after="0"/>
        <w:ind w:left="284" w:hanging="284"/>
        <w:rPr>
          <w:b w:val="0"/>
          <w:sz w:val="14"/>
          <w:szCs w:val="14"/>
          <w:lang w:val="en-AU"/>
        </w:rPr>
      </w:pPr>
      <w:r w:rsidRPr="00E96419">
        <w:rPr>
          <w:b w:val="0"/>
          <w:sz w:val="14"/>
          <w:szCs w:val="14"/>
          <w:lang w:val="en-AU"/>
        </w:rPr>
        <w:tab/>
      </w:r>
      <w:r w:rsidR="00E96419">
        <w:rPr>
          <w:b w:val="0"/>
          <w:sz w:val="14"/>
          <w:szCs w:val="14"/>
          <w:lang w:val="en-AU"/>
        </w:rPr>
        <w:t xml:space="preserve">Performance Measure </w:t>
      </w:r>
      <w:r w:rsidR="00E96419" w:rsidRPr="00685FE4">
        <w:rPr>
          <w:b w:val="0"/>
          <w:sz w:val="14"/>
          <w:szCs w:val="14"/>
          <w:lang w:val="en-AU"/>
        </w:rPr>
        <w:t>1.2 has been amended for 2024-25</w:t>
      </w:r>
      <w:r w:rsidR="00E96419">
        <w:rPr>
          <w:b w:val="0"/>
          <w:sz w:val="14"/>
          <w:szCs w:val="14"/>
          <w:lang w:val="en-AU"/>
        </w:rPr>
        <w:t>,</w:t>
      </w:r>
      <w:r w:rsidR="00E96419" w:rsidRPr="00685FE4">
        <w:rPr>
          <w:b w:val="0"/>
          <w:sz w:val="14"/>
          <w:szCs w:val="14"/>
          <w:lang w:val="en-AU"/>
        </w:rPr>
        <w:t xml:space="preserve"> as published in the updated </w:t>
      </w:r>
      <w:r w:rsidR="00E96419" w:rsidRPr="000A5BA7">
        <w:rPr>
          <w:b w:val="0"/>
          <w:sz w:val="14"/>
          <w:szCs w:val="14"/>
          <w:lang w:val="en-AU"/>
        </w:rPr>
        <w:t>2024-28 Defence Corporate Plan</w:t>
      </w:r>
      <w:r w:rsidR="00E96419" w:rsidRPr="00685FE4">
        <w:rPr>
          <w:b w:val="0"/>
          <w:sz w:val="14"/>
          <w:szCs w:val="14"/>
          <w:lang w:val="en-AU"/>
        </w:rPr>
        <w:t xml:space="preserve"> in March</w:t>
      </w:r>
      <w:r w:rsidR="00984941">
        <w:rPr>
          <w:b w:val="0"/>
          <w:sz w:val="14"/>
          <w:szCs w:val="14"/>
          <w:lang w:val="en-AU"/>
        </w:rPr>
        <w:t> </w:t>
      </w:r>
      <w:r w:rsidR="00E96419" w:rsidRPr="00685FE4">
        <w:rPr>
          <w:b w:val="0"/>
          <w:sz w:val="14"/>
          <w:szCs w:val="14"/>
          <w:lang w:val="en-AU"/>
        </w:rPr>
        <w:t>2025.</w:t>
      </w:r>
    </w:p>
    <w:p w14:paraId="5C2BA2D4" w14:textId="2980893E" w:rsidR="0002000E" w:rsidRDefault="00752D2F" w:rsidP="00444A89">
      <w:pPr>
        <w:pStyle w:val="TableHeading"/>
        <w:numPr>
          <w:ilvl w:val="0"/>
          <w:numId w:val="54"/>
        </w:numPr>
        <w:tabs>
          <w:tab w:val="left" w:pos="284"/>
        </w:tabs>
        <w:spacing w:before="0" w:after="0"/>
        <w:ind w:left="284" w:hanging="284"/>
        <w:rPr>
          <w:b w:val="0"/>
          <w:sz w:val="14"/>
          <w:szCs w:val="14"/>
          <w:lang w:val="en-AU"/>
        </w:rPr>
      </w:pPr>
      <w:r w:rsidRPr="00752D2F">
        <w:rPr>
          <w:b w:val="0"/>
          <w:sz w:val="14"/>
          <w:szCs w:val="14"/>
          <w:lang w:val="en-AU"/>
        </w:rPr>
        <w:t>In accordance with Defence’s Enterprise Performance Framework, Defence is undertaking materiality assessments that may result in updates to the 2025-26 performance information in the 2025-29 Defence Corporate Plan, if required</w:t>
      </w:r>
      <w:r w:rsidR="009737EB" w:rsidRPr="00752D2F">
        <w:rPr>
          <w:b w:val="0"/>
          <w:sz w:val="14"/>
          <w:szCs w:val="14"/>
          <w:lang w:val="en-AU"/>
        </w:rPr>
        <w:t xml:space="preserve">. </w:t>
      </w:r>
    </w:p>
    <w:p w14:paraId="431DC8EB" w14:textId="77777777" w:rsidR="00635E3E" w:rsidRPr="00635E3E" w:rsidRDefault="00635E3E" w:rsidP="00635E3E">
      <w:pPr>
        <w:rPr>
          <w:lang w:val="en-AU"/>
        </w:rPr>
      </w:pPr>
    </w:p>
    <w:p w14:paraId="11128B4A" w14:textId="7ADCB2E5" w:rsidR="003D5485" w:rsidRPr="009C0D21" w:rsidRDefault="003D5485" w:rsidP="00D9100A">
      <w:pPr>
        <w:pStyle w:val="TableHeading"/>
        <w:numPr>
          <w:ilvl w:val="0"/>
          <w:numId w:val="29"/>
        </w:numPr>
        <w:spacing w:before="0" w:after="120"/>
        <w:ind w:left="0" w:firstLine="0"/>
        <w:outlineLvl w:val="6"/>
      </w:pPr>
      <w:r w:rsidRPr="009C0D21">
        <w:t>Cost Summary for Program 2.6</w:t>
      </w:r>
      <w:r w:rsidR="00965956" w:rsidRPr="009C0D21">
        <w:t xml:space="preserve"> Army Capabilities</w:t>
      </w:r>
    </w:p>
    <w:p w14:paraId="0F765B6B" w14:textId="50FBB193" w:rsidR="00656D60" w:rsidRPr="00B56FAA" w:rsidRDefault="003708CA" w:rsidP="00656D60">
      <w:pPr>
        <w:spacing w:before="0" w:after="0"/>
        <w:rPr>
          <w:rFonts w:ascii="Arial" w:hAnsi="Arial"/>
          <w:b/>
          <w:sz w:val="14"/>
          <w:szCs w:val="14"/>
        </w:rPr>
      </w:pPr>
      <w:r w:rsidRPr="003708CA">
        <w:rPr>
          <w:noProof/>
          <w:lang w:val="en-AU"/>
        </w:rPr>
        <w:drawing>
          <wp:inline distT="0" distB="0" distL="0" distR="0" wp14:anchorId="4F32650C" wp14:editId="77E4E654">
            <wp:extent cx="4986020" cy="2547161"/>
            <wp:effectExtent l="0" t="0" r="5080" b="5715"/>
            <wp:docPr id="24575488" name="Picture 2457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86020" cy="2547161"/>
                    </a:xfrm>
                    <a:prstGeom prst="rect">
                      <a:avLst/>
                    </a:prstGeom>
                    <a:noFill/>
                    <a:ln>
                      <a:noFill/>
                    </a:ln>
                  </pic:spPr>
                </pic:pic>
              </a:graphicData>
            </a:graphic>
          </wp:inline>
        </w:drawing>
      </w:r>
    </w:p>
    <w:p w14:paraId="4A9DE0ED" w14:textId="77777777" w:rsidR="00BB4F1A" w:rsidRDefault="00BB4F1A" w:rsidP="00BB4F1A">
      <w:pPr>
        <w:shd w:val="clear" w:color="auto" w:fill="FFFFFF"/>
        <w:tabs>
          <w:tab w:val="left" w:pos="284"/>
        </w:tabs>
        <w:spacing w:before="0" w:after="0"/>
        <w:ind w:left="284" w:hanging="284"/>
        <w:rPr>
          <w:rFonts w:ascii="Arial" w:hAnsi="Arial"/>
          <w:sz w:val="14"/>
          <w:szCs w:val="14"/>
        </w:rPr>
      </w:pPr>
    </w:p>
    <w:p w14:paraId="25CAC1C3" w14:textId="77777777" w:rsidR="00D352DC" w:rsidRPr="00D352DC" w:rsidRDefault="00D352DC" w:rsidP="00BB4F1A">
      <w:pPr>
        <w:shd w:val="clear" w:color="auto" w:fill="FFFFFF"/>
        <w:tabs>
          <w:tab w:val="left" w:pos="284"/>
        </w:tabs>
        <w:spacing w:before="0" w:after="0"/>
        <w:ind w:left="284" w:hanging="284"/>
        <w:rPr>
          <w:rFonts w:ascii="Arial" w:hAnsi="Arial"/>
          <w:b/>
          <w:sz w:val="14"/>
          <w:szCs w:val="14"/>
        </w:rPr>
      </w:pPr>
      <w:r w:rsidRPr="00D352DC">
        <w:rPr>
          <w:rFonts w:ascii="Arial" w:hAnsi="Arial"/>
          <w:b/>
          <w:sz w:val="14"/>
          <w:szCs w:val="14"/>
        </w:rPr>
        <w:t>Notes</w:t>
      </w:r>
    </w:p>
    <w:p w14:paraId="1732D2AE" w14:textId="5F057592" w:rsidR="00F91904" w:rsidRPr="00F91904" w:rsidRDefault="009C0D21" w:rsidP="00F91904">
      <w:pPr>
        <w:shd w:val="clear" w:color="auto" w:fill="FFFFFF"/>
        <w:tabs>
          <w:tab w:val="left" w:pos="284"/>
        </w:tabs>
        <w:spacing w:before="0" w:after="0"/>
        <w:ind w:left="284" w:hanging="284"/>
        <w:rPr>
          <w:rFonts w:ascii="Arial" w:hAnsi="Arial"/>
          <w:sz w:val="14"/>
          <w:szCs w:val="14"/>
        </w:rPr>
      </w:pPr>
      <w:r w:rsidRPr="009C0D21">
        <w:rPr>
          <w:rFonts w:ascii="Arial" w:hAnsi="Arial"/>
          <w:sz w:val="14"/>
          <w:szCs w:val="14"/>
        </w:rPr>
        <w:t xml:space="preserve">a. </w:t>
      </w:r>
      <w:r w:rsidR="00F91904">
        <w:rPr>
          <w:rFonts w:ascii="Arial" w:hAnsi="Arial"/>
          <w:sz w:val="14"/>
          <w:szCs w:val="14"/>
        </w:rPr>
        <w:tab/>
      </w:r>
      <w:r w:rsidR="00F91904" w:rsidRPr="00F91904">
        <w:rPr>
          <w:rFonts w:ascii="Arial" w:hAnsi="Arial"/>
          <w:sz w:val="14"/>
          <w:szCs w:val="14"/>
        </w:rPr>
        <w:t>Total Program funded expenditure includes operating expenses and capital expenditure funded by appropriation and own source revenue. This excludes expenses not requiring appropriation.</w:t>
      </w:r>
      <w:r w:rsidR="00F91904" w:rsidRPr="00F91904">
        <w:rPr>
          <w:rFonts w:ascii="Arial" w:hAnsi="Arial"/>
          <w:sz w:val="14"/>
          <w:szCs w:val="14"/>
        </w:rPr>
        <w:tab/>
      </w:r>
      <w:r w:rsidR="00F91904" w:rsidRPr="00F91904">
        <w:rPr>
          <w:rFonts w:ascii="Arial" w:hAnsi="Arial"/>
          <w:sz w:val="14"/>
          <w:szCs w:val="14"/>
        </w:rPr>
        <w:tab/>
      </w:r>
      <w:r w:rsidR="00F91904" w:rsidRPr="00F91904">
        <w:rPr>
          <w:rFonts w:ascii="Arial" w:hAnsi="Arial"/>
          <w:sz w:val="14"/>
          <w:szCs w:val="14"/>
        </w:rPr>
        <w:tab/>
      </w:r>
      <w:r w:rsidR="00F91904" w:rsidRPr="00F91904">
        <w:rPr>
          <w:rFonts w:ascii="Arial" w:hAnsi="Arial"/>
          <w:sz w:val="14"/>
          <w:szCs w:val="14"/>
        </w:rPr>
        <w:tab/>
      </w:r>
      <w:r w:rsidR="00F91904" w:rsidRPr="00F91904">
        <w:rPr>
          <w:rFonts w:ascii="Arial" w:hAnsi="Arial"/>
          <w:sz w:val="14"/>
          <w:szCs w:val="14"/>
        </w:rPr>
        <w:tab/>
      </w:r>
    </w:p>
    <w:p w14:paraId="6E780B43" w14:textId="78438486" w:rsidR="00CD66E1" w:rsidRPr="007F1D9D" w:rsidRDefault="00F91904" w:rsidP="00F91904">
      <w:pPr>
        <w:shd w:val="clear" w:color="auto" w:fill="FFFFFF"/>
        <w:tabs>
          <w:tab w:val="left" w:pos="284"/>
        </w:tabs>
        <w:spacing w:before="0" w:after="0"/>
        <w:ind w:left="284" w:hanging="284"/>
        <w:rPr>
          <w:rFonts w:ascii="Arial" w:hAnsi="Arial"/>
          <w:sz w:val="14"/>
          <w:szCs w:val="14"/>
        </w:rPr>
      </w:pPr>
      <w:r w:rsidRPr="00F91904">
        <w:rPr>
          <w:rFonts w:ascii="Arial" w:hAnsi="Arial"/>
          <w:sz w:val="14"/>
          <w:szCs w:val="14"/>
        </w:rPr>
        <w:t xml:space="preserve">b. </w:t>
      </w:r>
      <w:r>
        <w:rPr>
          <w:rFonts w:ascii="Arial" w:hAnsi="Arial"/>
          <w:sz w:val="14"/>
          <w:szCs w:val="14"/>
        </w:rPr>
        <w:tab/>
      </w:r>
      <w:r w:rsidRPr="00F91904">
        <w:rPr>
          <w:rFonts w:ascii="Arial" w:hAnsi="Arial"/>
          <w:sz w:val="14"/>
          <w:szCs w:val="14"/>
        </w:rPr>
        <w:t>The change in estimates includes movement of functions and their associated budgets within Defence.</w:t>
      </w:r>
      <w:r w:rsidRPr="00F91904">
        <w:rPr>
          <w:rFonts w:ascii="Arial" w:hAnsi="Arial"/>
          <w:sz w:val="14"/>
          <w:szCs w:val="14"/>
        </w:rPr>
        <w:tab/>
      </w:r>
      <w:r w:rsidRPr="00F91904">
        <w:rPr>
          <w:rFonts w:ascii="Arial" w:hAnsi="Arial"/>
          <w:sz w:val="14"/>
          <w:szCs w:val="14"/>
        </w:rPr>
        <w:tab/>
      </w:r>
      <w:r w:rsidRPr="00F91904">
        <w:rPr>
          <w:rFonts w:ascii="Arial" w:hAnsi="Arial"/>
          <w:sz w:val="14"/>
          <w:szCs w:val="14"/>
        </w:rPr>
        <w:tab/>
      </w:r>
      <w:r w:rsidRPr="00F91904">
        <w:rPr>
          <w:rFonts w:ascii="Arial" w:hAnsi="Arial"/>
          <w:sz w:val="14"/>
          <w:szCs w:val="14"/>
        </w:rPr>
        <w:tab/>
      </w:r>
      <w:r w:rsidRPr="00F91904">
        <w:rPr>
          <w:rFonts w:ascii="Arial" w:hAnsi="Arial"/>
          <w:sz w:val="14"/>
          <w:szCs w:val="14"/>
        </w:rPr>
        <w:tab/>
      </w:r>
      <w:r w:rsidR="009C0D21">
        <w:rPr>
          <w:rFonts w:ascii="Arial" w:hAnsi="Arial"/>
          <w:sz w:val="14"/>
          <w:szCs w:val="14"/>
        </w:rPr>
        <w:tab/>
      </w:r>
    </w:p>
    <w:p w14:paraId="0E54F6BD" w14:textId="77777777" w:rsidR="00D352DC" w:rsidRPr="00B56FAA" w:rsidRDefault="009C0D21" w:rsidP="009C0D21">
      <w:pPr>
        <w:shd w:val="clear" w:color="auto" w:fill="FFFFFF"/>
        <w:tabs>
          <w:tab w:val="left" w:pos="284"/>
        </w:tabs>
        <w:spacing w:before="0" w:after="0"/>
        <w:ind w:left="284" w:hanging="284"/>
        <w:rPr>
          <w:rFonts w:ascii="Arial" w:hAnsi="Arial"/>
          <w:sz w:val="14"/>
          <w:szCs w:val="14"/>
        </w:rPr>
      </w:pPr>
      <w:r w:rsidRPr="009C0D21">
        <w:rPr>
          <w:rFonts w:ascii="Arial" w:hAnsi="Arial"/>
          <w:sz w:val="14"/>
          <w:szCs w:val="14"/>
        </w:rPr>
        <w:tab/>
      </w:r>
      <w:r w:rsidRPr="009C0D21">
        <w:rPr>
          <w:rFonts w:ascii="Arial" w:hAnsi="Arial"/>
          <w:sz w:val="14"/>
          <w:szCs w:val="14"/>
        </w:rPr>
        <w:tab/>
      </w:r>
      <w:r w:rsidRPr="009C0D21">
        <w:rPr>
          <w:rFonts w:ascii="Arial" w:hAnsi="Arial"/>
          <w:sz w:val="14"/>
          <w:szCs w:val="14"/>
        </w:rPr>
        <w:tab/>
      </w:r>
      <w:r w:rsidRPr="009C0D21">
        <w:rPr>
          <w:rFonts w:ascii="Arial" w:hAnsi="Arial"/>
          <w:sz w:val="14"/>
          <w:szCs w:val="14"/>
        </w:rPr>
        <w:tab/>
      </w:r>
      <w:r w:rsidRPr="009C0D21">
        <w:rPr>
          <w:rFonts w:ascii="Arial" w:hAnsi="Arial"/>
          <w:sz w:val="14"/>
          <w:szCs w:val="14"/>
        </w:rPr>
        <w:tab/>
      </w:r>
    </w:p>
    <w:p w14:paraId="6C8A6BA0" w14:textId="08E519B8" w:rsidR="00635E3E" w:rsidRDefault="00635E3E">
      <w:pPr>
        <w:spacing w:before="0" w:after="0"/>
      </w:pPr>
      <w:r>
        <w:br w:type="page"/>
      </w:r>
    </w:p>
    <w:p w14:paraId="5818643C" w14:textId="77777777" w:rsidR="00BB4F1A" w:rsidRPr="00B56FAA" w:rsidRDefault="00BB4F1A" w:rsidP="00BB4F1A">
      <w:pPr>
        <w:shd w:val="clear" w:color="auto" w:fill="FFFFFF"/>
        <w:tabs>
          <w:tab w:val="left" w:pos="284"/>
        </w:tabs>
        <w:spacing w:before="0" w:after="0"/>
        <w:ind w:left="284" w:hanging="284"/>
      </w:pPr>
    </w:p>
    <w:p w14:paraId="154FD775" w14:textId="77777777" w:rsidR="005403E1" w:rsidRPr="00DA208A" w:rsidRDefault="005403E1" w:rsidP="00D9100A">
      <w:pPr>
        <w:pStyle w:val="TableHeading"/>
        <w:numPr>
          <w:ilvl w:val="0"/>
          <w:numId w:val="29"/>
        </w:numPr>
        <w:spacing w:before="0" w:after="120"/>
        <w:ind w:left="0" w:firstLine="0"/>
        <w:outlineLvl w:val="6"/>
      </w:pPr>
      <w:r w:rsidRPr="00DA208A">
        <w:t>Army Deliverables (Rate of Effort – Flying Hours)</w:t>
      </w:r>
    </w:p>
    <w:tbl>
      <w:tblPr>
        <w:tblW w:w="4986"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
        <w:gridCol w:w="2340"/>
        <w:gridCol w:w="992"/>
        <w:gridCol w:w="993"/>
        <w:gridCol w:w="992"/>
        <w:gridCol w:w="991"/>
        <w:gridCol w:w="992"/>
      </w:tblGrid>
      <w:tr w:rsidR="0016430F" w:rsidRPr="00DA208A" w14:paraId="7D2F8A86" w14:textId="77777777" w:rsidTr="00104AEA">
        <w:tc>
          <w:tcPr>
            <w:tcW w:w="2860" w:type="dxa"/>
            <w:gridSpan w:val="2"/>
            <w:shd w:val="clear" w:color="auto" w:fill="auto"/>
          </w:tcPr>
          <w:p w14:paraId="33096092" w14:textId="77777777" w:rsidR="0016430F" w:rsidRPr="00DA208A" w:rsidRDefault="0016430F" w:rsidP="0016430F">
            <w:pPr>
              <w:pStyle w:val="TableTextHeadingLeft"/>
              <w:rPr>
                <w:sz w:val="16"/>
                <w:szCs w:val="16"/>
              </w:rPr>
            </w:pPr>
            <w:r w:rsidRPr="00DA208A">
              <w:rPr>
                <w:sz w:val="16"/>
                <w:szCs w:val="16"/>
              </w:rPr>
              <w:t>Deliverables</w:t>
            </w:r>
          </w:p>
        </w:tc>
        <w:tc>
          <w:tcPr>
            <w:tcW w:w="992" w:type="dxa"/>
            <w:shd w:val="clear" w:color="auto" w:fill="auto"/>
            <w:vAlign w:val="bottom"/>
          </w:tcPr>
          <w:p w14:paraId="09CA9C4E" w14:textId="77777777" w:rsidR="0016430F" w:rsidRPr="00DA208A" w:rsidRDefault="0016430F" w:rsidP="004E2B1E">
            <w:pPr>
              <w:pStyle w:val="TableTextHeadingRight"/>
              <w:rPr>
                <w:sz w:val="16"/>
                <w:szCs w:val="16"/>
              </w:rPr>
            </w:pPr>
            <w:r w:rsidRPr="00DA208A">
              <w:rPr>
                <w:sz w:val="16"/>
                <w:szCs w:val="16"/>
              </w:rPr>
              <w:t>202</w:t>
            </w:r>
            <w:r w:rsidR="004E2B1E" w:rsidRPr="00DA208A">
              <w:rPr>
                <w:sz w:val="16"/>
                <w:szCs w:val="16"/>
              </w:rPr>
              <w:t>4</w:t>
            </w:r>
            <w:r w:rsidRPr="00DA208A">
              <w:rPr>
                <w:sz w:val="16"/>
                <w:szCs w:val="16"/>
              </w:rPr>
              <w:t>-2</w:t>
            </w:r>
            <w:r w:rsidR="004E2B1E" w:rsidRPr="00DA208A">
              <w:rPr>
                <w:sz w:val="16"/>
                <w:szCs w:val="16"/>
              </w:rPr>
              <w:t>5</w:t>
            </w:r>
            <w:r w:rsidRPr="00DA208A">
              <w:rPr>
                <w:sz w:val="16"/>
                <w:szCs w:val="16"/>
              </w:rPr>
              <w:t xml:space="preserve"> </w:t>
            </w:r>
            <w:r w:rsidR="00EC2836" w:rsidRPr="00DA208A">
              <w:rPr>
                <w:sz w:val="16"/>
                <w:szCs w:val="16"/>
              </w:rPr>
              <w:t xml:space="preserve">Estimated </w:t>
            </w:r>
            <w:r w:rsidRPr="00DA208A">
              <w:rPr>
                <w:sz w:val="16"/>
                <w:szCs w:val="16"/>
              </w:rPr>
              <w:t>Actual</w:t>
            </w:r>
          </w:p>
        </w:tc>
        <w:tc>
          <w:tcPr>
            <w:tcW w:w="993" w:type="dxa"/>
            <w:shd w:val="clear" w:color="auto" w:fill="auto"/>
            <w:vAlign w:val="bottom"/>
          </w:tcPr>
          <w:p w14:paraId="3CDB18F4" w14:textId="77777777" w:rsidR="0016430F" w:rsidRPr="00DA208A" w:rsidRDefault="0016430F" w:rsidP="004E2B1E">
            <w:pPr>
              <w:pStyle w:val="TableTextHeadingRight"/>
              <w:rPr>
                <w:sz w:val="16"/>
                <w:szCs w:val="16"/>
              </w:rPr>
            </w:pPr>
            <w:r w:rsidRPr="00DA208A">
              <w:rPr>
                <w:sz w:val="16"/>
                <w:szCs w:val="16"/>
              </w:rPr>
              <w:t>202</w:t>
            </w:r>
            <w:r w:rsidR="004E2B1E" w:rsidRPr="00DA208A">
              <w:rPr>
                <w:sz w:val="16"/>
                <w:szCs w:val="16"/>
              </w:rPr>
              <w:t>5</w:t>
            </w:r>
            <w:r w:rsidRPr="00DA208A">
              <w:rPr>
                <w:sz w:val="16"/>
                <w:szCs w:val="16"/>
              </w:rPr>
              <w:t>-2</w:t>
            </w:r>
            <w:r w:rsidR="004E2B1E" w:rsidRPr="00DA208A">
              <w:rPr>
                <w:sz w:val="16"/>
                <w:szCs w:val="16"/>
              </w:rPr>
              <w:t>6</w:t>
            </w:r>
            <w:r w:rsidRPr="00DA208A">
              <w:rPr>
                <w:sz w:val="16"/>
                <w:szCs w:val="16"/>
              </w:rPr>
              <w:t xml:space="preserve"> Budget Estimate</w:t>
            </w:r>
          </w:p>
        </w:tc>
        <w:tc>
          <w:tcPr>
            <w:tcW w:w="992" w:type="dxa"/>
            <w:shd w:val="clear" w:color="auto" w:fill="auto"/>
            <w:vAlign w:val="bottom"/>
          </w:tcPr>
          <w:p w14:paraId="3C592075" w14:textId="77777777" w:rsidR="0016430F" w:rsidRPr="00DA208A" w:rsidRDefault="0016430F" w:rsidP="004E2B1E">
            <w:pPr>
              <w:pStyle w:val="TableTextHeadingRight"/>
              <w:rPr>
                <w:sz w:val="16"/>
                <w:szCs w:val="16"/>
              </w:rPr>
            </w:pPr>
            <w:r w:rsidRPr="00DA208A">
              <w:rPr>
                <w:sz w:val="16"/>
                <w:szCs w:val="16"/>
              </w:rPr>
              <w:t>202</w:t>
            </w:r>
            <w:r w:rsidR="004E2B1E" w:rsidRPr="00DA208A">
              <w:rPr>
                <w:sz w:val="16"/>
                <w:szCs w:val="16"/>
              </w:rPr>
              <w:t>6</w:t>
            </w:r>
            <w:r w:rsidRPr="00DA208A">
              <w:rPr>
                <w:sz w:val="16"/>
                <w:szCs w:val="16"/>
              </w:rPr>
              <w:t>-2</w:t>
            </w:r>
            <w:r w:rsidR="004E2B1E" w:rsidRPr="00DA208A">
              <w:rPr>
                <w:sz w:val="16"/>
                <w:szCs w:val="16"/>
              </w:rPr>
              <w:t>7</w:t>
            </w:r>
            <w:r w:rsidRPr="00DA208A">
              <w:rPr>
                <w:sz w:val="16"/>
                <w:szCs w:val="16"/>
              </w:rPr>
              <w:t xml:space="preserve"> Forward Estimate</w:t>
            </w:r>
          </w:p>
        </w:tc>
        <w:tc>
          <w:tcPr>
            <w:tcW w:w="991" w:type="dxa"/>
            <w:shd w:val="clear" w:color="auto" w:fill="auto"/>
            <w:vAlign w:val="bottom"/>
          </w:tcPr>
          <w:p w14:paraId="423EFDD9" w14:textId="77777777" w:rsidR="0016430F" w:rsidRPr="00DA208A" w:rsidRDefault="0016430F" w:rsidP="004E2B1E">
            <w:pPr>
              <w:pStyle w:val="TableTextHeadingRight"/>
              <w:rPr>
                <w:sz w:val="16"/>
                <w:szCs w:val="16"/>
              </w:rPr>
            </w:pPr>
            <w:r w:rsidRPr="00DA208A">
              <w:rPr>
                <w:sz w:val="16"/>
                <w:szCs w:val="16"/>
              </w:rPr>
              <w:t>202</w:t>
            </w:r>
            <w:r w:rsidR="004E2B1E" w:rsidRPr="00DA208A">
              <w:rPr>
                <w:sz w:val="16"/>
                <w:szCs w:val="16"/>
              </w:rPr>
              <w:t>7</w:t>
            </w:r>
            <w:r w:rsidRPr="00DA208A">
              <w:rPr>
                <w:sz w:val="16"/>
                <w:szCs w:val="16"/>
              </w:rPr>
              <w:t>-2</w:t>
            </w:r>
            <w:r w:rsidR="004E2B1E" w:rsidRPr="00DA208A">
              <w:rPr>
                <w:sz w:val="16"/>
                <w:szCs w:val="16"/>
              </w:rPr>
              <w:t>8</w:t>
            </w:r>
            <w:r w:rsidRPr="00DA208A">
              <w:rPr>
                <w:sz w:val="16"/>
                <w:szCs w:val="16"/>
              </w:rPr>
              <w:t xml:space="preserve"> Forward Estimate</w:t>
            </w:r>
          </w:p>
        </w:tc>
        <w:tc>
          <w:tcPr>
            <w:tcW w:w="992" w:type="dxa"/>
            <w:shd w:val="clear" w:color="auto" w:fill="auto"/>
            <w:vAlign w:val="bottom"/>
          </w:tcPr>
          <w:p w14:paraId="059D4367" w14:textId="77777777" w:rsidR="0016430F" w:rsidRPr="00DA208A" w:rsidRDefault="0016430F" w:rsidP="004E2B1E">
            <w:pPr>
              <w:pStyle w:val="TableTextHeadingRight"/>
              <w:rPr>
                <w:sz w:val="16"/>
                <w:szCs w:val="16"/>
              </w:rPr>
            </w:pPr>
            <w:r w:rsidRPr="00DA208A">
              <w:rPr>
                <w:sz w:val="16"/>
                <w:szCs w:val="16"/>
              </w:rPr>
              <w:t>202</w:t>
            </w:r>
            <w:r w:rsidR="004E2B1E" w:rsidRPr="00DA208A">
              <w:rPr>
                <w:sz w:val="16"/>
                <w:szCs w:val="16"/>
              </w:rPr>
              <w:t>8</w:t>
            </w:r>
            <w:r w:rsidRPr="00DA208A">
              <w:rPr>
                <w:sz w:val="16"/>
                <w:szCs w:val="16"/>
              </w:rPr>
              <w:t>-2</w:t>
            </w:r>
            <w:r w:rsidR="004E2B1E" w:rsidRPr="00DA208A">
              <w:rPr>
                <w:sz w:val="16"/>
                <w:szCs w:val="16"/>
              </w:rPr>
              <w:t>9</w:t>
            </w:r>
            <w:r w:rsidRPr="00DA208A">
              <w:rPr>
                <w:sz w:val="16"/>
                <w:szCs w:val="16"/>
              </w:rPr>
              <w:t xml:space="preserve"> Forward Estimate</w:t>
            </w:r>
          </w:p>
        </w:tc>
      </w:tr>
      <w:tr w:rsidR="00DA208A" w:rsidRPr="00DA208A" w14:paraId="77383CC3" w14:textId="77777777" w:rsidTr="00104AEA">
        <w:tc>
          <w:tcPr>
            <w:tcW w:w="520" w:type="dxa"/>
            <w:shd w:val="clear" w:color="auto" w:fill="auto"/>
            <w:vAlign w:val="center"/>
          </w:tcPr>
          <w:p w14:paraId="23E23B28" w14:textId="77777777" w:rsidR="00DA208A" w:rsidRPr="00DA208A" w:rsidRDefault="00DA208A" w:rsidP="00DA208A">
            <w:pPr>
              <w:pStyle w:val="TabletextLeft"/>
              <w:jc w:val="right"/>
              <w:rPr>
                <w:rFonts w:cs="Arial"/>
                <w:sz w:val="16"/>
                <w:szCs w:val="16"/>
              </w:rPr>
            </w:pPr>
            <w:r w:rsidRPr="00DA208A">
              <w:rPr>
                <w:sz w:val="16"/>
                <w:szCs w:val="16"/>
              </w:rPr>
              <w:t>14</w:t>
            </w:r>
          </w:p>
        </w:tc>
        <w:tc>
          <w:tcPr>
            <w:tcW w:w="2340" w:type="dxa"/>
            <w:shd w:val="clear" w:color="auto" w:fill="auto"/>
            <w:vAlign w:val="center"/>
          </w:tcPr>
          <w:p w14:paraId="39042667" w14:textId="77777777" w:rsidR="00DA208A" w:rsidRPr="00DA208A" w:rsidRDefault="00DA208A" w:rsidP="00DA208A">
            <w:pPr>
              <w:pStyle w:val="TabletextLeft"/>
              <w:rPr>
                <w:rFonts w:cs="Arial"/>
                <w:sz w:val="16"/>
                <w:szCs w:val="16"/>
              </w:rPr>
            </w:pPr>
            <w:r w:rsidRPr="00DA208A">
              <w:rPr>
                <w:sz w:val="16"/>
                <w:szCs w:val="16"/>
              </w:rPr>
              <w:t>CH-47F Chinook</w:t>
            </w:r>
          </w:p>
        </w:tc>
        <w:tc>
          <w:tcPr>
            <w:tcW w:w="992" w:type="dxa"/>
            <w:shd w:val="clear" w:color="auto" w:fill="auto"/>
          </w:tcPr>
          <w:p w14:paraId="6F421216" w14:textId="77777777" w:rsidR="00DA208A" w:rsidRPr="00FF0BC7" w:rsidRDefault="00DA208A" w:rsidP="00DA208A">
            <w:pPr>
              <w:pStyle w:val="TableParagraph"/>
              <w:kinsoku w:val="0"/>
              <w:overflowPunct w:val="0"/>
              <w:spacing w:before="39" w:line="166" w:lineRule="exact"/>
              <w:ind w:right="69"/>
              <w:jc w:val="right"/>
              <w:rPr>
                <w:rFonts w:eastAsiaTheme="minorEastAsia"/>
                <w:spacing w:val="-4"/>
                <w:w w:val="105"/>
                <w:sz w:val="16"/>
                <w:szCs w:val="16"/>
              </w:rPr>
            </w:pPr>
            <w:r w:rsidRPr="00FF0BC7">
              <w:rPr>
                <w:rFonts w:eastAsiaTheme="minorEastAsia"/>
                <w:spacing w:val="-4"/>
                <w:w w:val="105"/>
                <w:sz w:val="16"/>
                <w:szCs w:val="16"/>
              </w:rPr>
              <w:t>2,500</w:t>
            </w:r>
          </w:p>
        </w:tc>
        <w:tc>
          <w:tcPr>
            <w:tcW w:w="993" w:type="dxa"/>
            <w:shd w:val="clear" w:color="auto" w:fill="auto"/>
          </w:tcPr>
          <w:p w14:paraId="54BCB992" w14:textId="77777777" w:rsidR="00DA208A" w:rsidRPr="00FF0BC7" w:rsidRDefault="00DA208A" w:rsidP="00DA208A">
            <w:pPr>
              <w:pStyle w:val="TableParagraph"/>
              <w:kinsoku w:val="0"/>
              <w:overflowPunct w:val="0"/>
              <w:spacing w:before="39" w:line="166" w:lineRule="exact"/>
              <w:ind w:right="69"/>
              <w:jc w:val="right"/>
              <w:rPr>
                <w:spacing w:val="-4"/>
                <w:w w:val="105"/>
                <w:sz w:val="16"/>
                <w:szCs w:val="16"/>
              </w:rPr>
            </w:pPr>
            <w:r w:rsidRPr="00FF0BC7">
              <w:rPr>
                <w:spacing w:val="-4"/>
                <w:w w:val="105"/>
                <w:sz w:val="16"/>
                <w:szCs w:val="16"/>
              </w:rPr>
              <w:t>3,000</w:t>
            </w:r>
          </w:p>
        </w:tc>
        <w:tc>
          <w:tcPr>
            <w:tcW w:w="992" w:type="dxa"/>
            <w:shd w:val="clear" w:color="auto" w:fill="auto"/>
          </w:tcPr>
          <w:p w14:paraId="6727FF50" w14:textId="77777777" w:rsidR="00DA208A" w:rsidRPr="00FF0BC7" w:rsidRDefault="00DA208A" w:rsidP="00DA208A">
            <w:pPr>
              <w:pStyle w:val="TableParagraph"/>
              <w:kinsoku w:val="0"/>
              <w:overflowPunct w:val="0"/>
              <w:spacing w:before="39" w:line="166" w:lineRule="exact"/>
              <w:ind w:right="69"/>
              <w:jc w:val="right"/>
              <w:rPr>
                <w:spacing w:val="-2"/>
                <w:sz w:val="15"/>
                <w:szCs w:val="15"/>
              </w:rPr>
            </w:pPr>
            <w:r w:rsidRPr="00FF0BC7">
              <w:rPr>
                <w:spacing w:val="-2"/>
                <w:sz w:val="15"/>
                <w:szCs w:val="15"/>
              </w:rPr>
              <w:t>3,000</w:t>
            </w:r>
          </w:p>
        </w:tc>
        <w:tc>
          <w:tcPr>
            <w:tcW w:w="991" w:type="dxa"/>
            <w:shd w:val="clear" w:color="auto" w:fill="auto"/>
          </w:tcPr>
          <w:p w14:paraId="047A81C6" w14:textId="77777777" w:rsidR="00DA208A" w:rsidRPr="00FF0BC7" w:rsidRDefault="00DA208A" w:rsidP="00DA208A">
            <w:pPr>
              <w:pStyle w:val="TableParagraph"/>
              <w:kinsoku w:val="0"/>
              <w:overflowPunct w:val="0"/>
              <w:spacing w:before="39" w:line="166" w:lineRule="exact"/>
              <w:ind w:right="69"/>
              <w:jc w:val="right"/>
              <w:rPr>
                <w:spacing w:val="-2"/>
                <w:sz w:val="15"/>
                <w:szCs w:val="15"/>
              </w:rPr>
            </w:pPr>
            <w:r w:rsidRPr="00FF0BC7">
              <w:rPr>
                <w:spacing w:val="-2"/>
                <w:sz w:val="15"/>
                <w:szCs w:val="15"/>
              </w:rPr>
              <w:t>3,000</w:t>
            </w:r>
          </w:p>
        </w:tc>
        <w:tc>
          <w:tcPr>
            <w:tcW w:w="992" w:type="dxa"/>
            <w:shd w:val="clear" w:color="auto" w:fill="auto"/>
          </w:tcPr>
          <w:p w14:paraId="6AD13702" w14:textId="77777777" w:rsidR="00DA208A" w:rsidRPr="00FF0BC7" w:rsidRDefault="00DA208A" w:rsidP="00DA208A">
            <w:pPr>
              <w:pStyle w:val="TableParagraph"/>
              <w:kinsoku w:val="0"/>
              <w:overflowPunct w:val="0"/>
              <w:spacing w:before="39" w:line="166" w:lineRule="exact"/>
              <w:ind w:right="69"/>
              <w:jc w:val="right"/>
              <w:rPr>
                <w:spacing w:val="-2"/>
                <w:sz w:val="15"/>
                <w:szCs w:val="15"/>
              </w:rPr>
            </w:pPr>
            <w:r w:rsidRPr="00FF0BC7">
              <w:rPr>
                <w:spacing w:val="-2"/>
                <w:sz w:val="15"/>
                <w:szCs w:val="15"/>
              </w:rPr>
              <w:t>3,000</w:t>
            </w:r>
          </w:p>
        </w:tc>
      </w:tr>
      <w:tr w:rsidR="00DA208A" w:rsidRPr="00DA208A" w14:paraId="1C012B3B" w14:textId="77777777" w:rsidTr="00104AEA">
        <w:tc>
          <w:tcPr>
            <w:tcW w:w="520" w:type="dxa"/>
            <w:shd w:val="clear" w:color="auto" w:fill="auto"/>
          </w:tcPr>
          <w:p w14:paraId="437FFA8D" w14:textId="77777777" w:rsidR="00DA208A" w:rsidRPr="00DA208A" w:rsidRDefault="00DA208A" w:rsidP="00DA208A">
            <w:pPr>
              <w:pStyle w:val="TabletextLeft"/>
              <w:jc w:val="right"/>
              <w:rPr>
                <w:rFonts w:cs="Arial"/>
                <w:sz w:val="16"/>
                <w:szCs w:val="16"/>
              </w:rPr>
            </w:pPr>
            <w:r w:rsidRPr="00DA208A">
              <w:rPr>
                <w:sz w:val="16"/>
                <w:szCs w:val="16"/>
              </w:rPr>
              <w:t>22</w:t>
            </w:r>
          </w:p>
        </w:tc>
        <w:tc>
          <w:tcPr>
            <w:tcW w:w="2340" w:type="dxa"/>
            <w:shd w:val="clear" w:color="auto" w:fill="auto"/>
          </w:tcPr>
          <w:p w14:paraId="1FBBDADA" w14:textId="77777777" w:rsidR="00DA208A" w:rsidRPr="00DA208A" w:rsidRDefault="00DA208A" w:rsidP="00DA208A">
            <w:pPr>
              <w:pStyle w:val="TabletextLeft"/>
              <w:rPr>
                <w:rFonts w:cs="Arial"/>
                <w:sz w:val="16"/>
                <w:szCs w:val="16"/>
              </w:rPr>
            </w:pPr>
            <w:r w:rsidRPr="00DA208A">
              <w:rPr>
                <w:sz w:val="16"/>
                <w:szCs w:val="16"/>
              </w:rPr>
              <w:t xml:space="preserve">ARH Tiger </w:t>
            </w:r>
            <w:r w:rsidRPr="00DA208A">
              <w:rPr>
                <w:sz w:val="16"/>
                <w:szCs w:val="16"/>
                <w:vertAlign w:val="superscript"/>
              </w:rPr>
              <w:t>[a]</w:t>
            </w:r>
          </w:p>
        </w:tc>
        <w:tc>
          <w:tcPr>
            <w:tcW w:w="992" w:type="dxa"/>
            <w:shd w:val="clear" w:color="auto" w:fill="auto"/>
          </w:tcPr>
          <w:p w14:paraId="04C798B1" w14:textId="77777777" w:rsidR="00DA208A" w:rsidRPr="00FF0BC7" w:rsidRDefault="00DA208A" w:rsidP="00DA208A">
            <w:pPr>
              <w:pStyle w:val="TableParagraph"/>
              <w:kinsoku w:val="0"/>
              <w:overflowPunct w:val="0"/>
              <w:spacing w:before="39" w:line="166" w:lineRule="exact"/>
              <w:ind w:right="69"/>
              <w:jc w:val="right"/>
              <w:rPr>
                <w:spacing w:val="-4"/>
                <w:w w:val="105"/>
                <w:sz w:val="16"/>
                <w:szCs w:val="16"/>
              </w:rPr>
            </w:pPr>
            <w:r w:rsidRPr="00FF0BC7">
              <w:rPr>
                <w:spacing w:val="-4"/>
                <w:w w:val="105"/>
                <w:sz w:val="16"/>
                <w:szCs w:val="16"/>
              </w:rPr>
              <w:t>2,595</w:t>
            </w:r>
          </w:p>
        </w:tc>
        <w:tc>
          <w:tcPr>
            <w:tcW w:w="993" w:type="dxa"/>
            <w:shd w:val="clear" w:color="auto" w:fill="auto"/>
          </w:tcPr>
          <w:p w14:paraId="78397A51" w14:textId="77777777" w:rsidR="00DA208A" w:rsidRPr="00FF0BC7" w:rsidRDefault="00DA208A" w:rsidP="00DA208A">
            <w:pPr>
              <w:pStyle w:val="TableParagraph"/>
              <w:kinsoku w:val="0"/>
              <w:overflowPunct w:val="0"/>
              <w:spacing w:before="39" w:line="166" w:lineRule="exact"/>
              <w:ind w:right="69"/>
              <w:jc w:val="right"/>
              <w:rPr>
                <w:rFonts w:eastAsiaTheme="minorEastAsia"/>
                <w:spacing w:val="-4"/>
                <w:w w:val="105"/>
                <w:sz w:val="16"/>
                <w:szCs w:val="16"/>
              </w:rPr>
            </w:pPr>
            <w:r w:rsidRPr="00FF0BC7">
              <w:rPr>
                <w:rFonts w:eastAsiaTheme="minorEastAsia"/>
                <w:spacing w:val="-4"/>
                <w:w w:val="105"/>
                <w:sz w:val="16"/>
                <w:szCs w:val="16"/>
              </w:rPr>
              <w:t>1,315</w:t>
            </w:r>
          </w:p>
        </w:tc>
        <w:tc>
          <w:tcPr>
            <w:tcW w:w="992" w:type="dxa"/>
            <w:shd w:val="clear" w:color="auto" w:fill="auto"/>
          </w:tcPr>
          <w:p w14:paraId="50166239" w14:textId="77777777" w:rsidR="00DA208A" w:rsidRPr="00FF0BC7" w:rsidRDefault="00DA208A" w:rsidP="00DA208A">
            <w:pPr>
              <w:pStyle w:val="TableParagraph"/>
              <w:kinsoku w:val="0"/>
              <w:overflowPunct w:val="0"/>
              <w:spacing w:before="39" w:line="166" w:lineRule="exact"/>
              <w:ind w:right="69"/>
              <w:jc w:val="right"/>
              <w:rPr>
                <w:rFonts w:eastAsiaTheme="minorEastAsia"/>
                <w:spacing w:val="-4"/>
                <w:w w:val="105"/>
                <w:sz w:val="16"/>
                <w:szCs w:val="16"/>
              </w:rPr>
            </w:pPr>
            <w:r w:rsidRPr="00FF0BC7">
              <w:rPr>
                <w:rFonts w:eastAsiaTheme="minorEastAsia"/>
                <w:spacing w:val="-4"/>
                <w:w w:val="105"/>
                <w:sz w:val="16"/>
                <w:szCs w:val="16"/>
              </w:rPr>
              <w:t>450</w:t>
            </w:r>
          </w:p>
        </w:tc>
        <w:tc>
          <w:tcPr>
            <w:tcW w:w="991" w:type="dxa"/>
            <w:shd w:val="clear" w:color="auto" w:fill="auto"/>
          </w:tcPr>
          <w:p w14:paraId="05C2F4A9" w14:textId="77777777" w:rsidR="00DA208A" w:rsidRPr="00FF0BC7" w:rsidRDefault="00DA208A" w:rsidP="00DA208A">
            <w:pPr>
              <w:pStyle w:val="TableParagraph"/>
              <w:kinsoku w:val="0"/>
              <w:overflowPunct w:val="0"/>
              <w:spacing w:before="39" w:line="166" w:lineRule="exact"/>
              <w:ind w:right="69"/>
              <w:jc w:val="right"/>
              <w:rPr>
                <w:rFonts w:eastAsiaTheme="minorEastAsia"/>
                <w:spacing w:val="-4"/>
                <w:w w:val="105"/>
                <w:sz w:val="16"/>
                <w:szCs w:val="16"/>
              </w:rPr>
            </w:pPr>
            <w:r w:rsidRPr="00FF0BC7">
              <w:rPr>
                <w:rFonts w:eastAsiaTheme="minorEastAsia"/>
                <w:spacing w:val="-4"/>
                <w:w w:val="105"/>
                <w:sz w:val="16"/>
                <w:szCs w:val="16"/>
              </w:rPr>
              <w:t>450</w:t>
            </w:r>
          </w:p>
        </w:tc>
        <w:tc>
          <w:tcPr>
            <w:tcW w:w="992" w:type="dxa"/>
            <w:shd w:val="clear" w:color="auto" w:fill="auto"/>
          </w:tcPr>
          <w:p w14:paraId="2330A39B" w14:textId="77777777" w:rsidR="00DA208A" w:rsidRPr="00FF0BC7" w:rsidRDefault="00C60E22" w:rsidP="00DA208A">
            <w:pPr>
              <w:pStyle w:val="TableParagraph"/>
              <w:kinsoku w:val="0"/>
              <w:overflowPunct w:val="0"/>
              <w:spacing w:before="39" w:line="166" w:lineRule="exact"/>
              <w:ind w:right="69"/>
              <w:jc w:val="right"/>
              <w:rPr>
                <w:spacing w:val="-10"/>
                <w:w w:val="95"/>
                <w:sz w:val="22"/>
                <w:szCs w:val="22"/>
              </w:rPr>
            </w:pPr>
            <w:r w:rsidRPr="00FF0BC7">
              <w:rPr>
                <w:rFonts w:eastAsiaTheme="minorEastAsia"/>
                <w:spacing w:val="-4"/>
                <w:w w:val="105"/>
                <w:sz w:val="16"/>
                <w:szCs w:val="16"/>
              </w:rPr>
              <w:t>-</w:t>
            </w:r>
          </w:p>
        </w:tc>
      </w:tr>
      <w:tr w:rsidR="00DA208A" w:rsidRPr="00DA208A" w14:paraId="00EBED0B" w14:textId="77777777" w:rsidTr="00104AEA">
        <w:tc>
          <w:tcPr>
            <w:tcW w:w="520" w:type="dxa"/>
            <w:shd w:val="clear" w:color="auto" w:fill="auto"/>
          </w:tcPr>
          <w:p w14:paraId="288D5A0F" w14:textId="77777777" w:rsidR="00DA208A" w:rsidRPr="00DA208A" w:rsidRDefault="00DA208A" w:rsidP="00DA208A">
            <w:pPr>
              <w:pStyle w:val="TabletextLeft"/>
              <w:jc w:val="right"/>
              <w:rPr>
                <w:rFonts w:cs="Arial"/>
                <w:sz w:val="16"/>
                <w:szCs w:val="16"/>
              </w:rPr>
            </w:pPr>
            <w:r w:rsidRPr="00DA208A">
              <w:rPr>
                <w:sz w:val="16"/>
                <w:szCs w:val="16"/>
              </w:rPr>
              <w:t>29</w:t>
            </w:r>
          </w:p>
        </w:tc>
        <w:tc>
          <w:tcPr>
            <w:tcW w:w="2340" w:type="dxa"/>
            <w:shd w:val="clear" w:color="auto" w:fill="auto"/>
          </w:tcPr>
          <w:p w14:paraId="51C4A812" w14:textId="6414540C" w:rsidR="00DA208A" w:rsidRPr="00DA208A" w:rsidRDefault="00DA208A" w:rsidP="00DA208A">
            <w:pPr>
              <w:pStyle w:val="TabletextLeft"/>
              <w:rPr>
                <w:rFonts w:cs="Arial"/>
                <w:sz w:val="16"/>
                <w:szCs w:val="16"/>
              </w:rPr>
            </w:pPr>
            <w:r w:rsidRPr="00DA208A">
              <w:rPr>
                <w:sz w:val="16"/>
                <w:szCs w:val="16"/>
              </w:rPr>
              <w:t xml:space="preserve">AH-64E Apache </w:t>
            </w:r>
            <w:r w:rsidR="002461B1">
              <w:rPr>
                <w:sz w:val="16"/>
                <w:szCs w:val="16"/>
                <w:vertAlign w:val="superscript"/>
              </w:rPr>
              <w:t>[b</w:t>
            </w:r>
            <w:r w:rsidRPr="00DA208A">
              <w:rPr>
                <w:sz w:val="16"/>
                <w:szCs w:val="16"/>
                <w:vertAlign w:val="superscript"/>
              </w:rPr>
              <w:t>]</w:t>
            </w:r>
          </w:p>
        </w:tc>
        <w:tc>
          <w:tcPr>
            <w:tcW w:w="992" w:type="dxa"/>
            <w:shd w:val="clear" w:color="auto" w:fill="auto"/>
          </w:tcPr>
          <w:p w14:paraId="0070A458" w14:textId="77777777" w:rsidR="00DA208A" w:rsidRPr="00FF0BC7" w:rsidRDefault="00C60E22" w:rsidP="00DA208A">
            <w:pPr>
              <w:pStyle w:val="TableParagraph"/>
              <w:kinsoku w:val="0"/>
              <w:overflowPunct w:val="0"/>
              <w:spacing w:before="39" w:line="166" w:lineRule="exact"/>
              <w:ind w:right="69"/>
              <w:jc w:val="right"/>
              <w:rPr>
                <w:spacing w:val="-10"/>
                <w:w w:val="80"/>
                <w:sz w:val="27"/>
                <w:szCs w:val="27"/>
              </w:rPr>
            </w:pPr>
            <w:r w:rsidRPr="00FF0BC7">
              <w:rPr>
                <w:rFonts w:eastAsiaTheme="minorEastAsia"/>
                <w:spacing w:val="-4"/>
                <w:w w:val="105"/>
                <w:sz w:val="16"/>
                <w:szCs w:val="16"/>
              </w:rPr>
              <w:t>-</w:t>
            </w:r>
          </w:p>
        </w:tc>
        <w:tc>
          <w:tcPr>
            <w:tcW w:w="993" w:type="dxa"/>
            <w:shd w:val="clear" w:color="auto" w:fill="auto"/>
          </w:tcPr>
          <w:p w14:paraId="7C5D635C" w14:textId="155DF9E9" w:rsidR="00DA208A" w:rsidRPr="00FF0BC7" w:rsidRDefault="00DA208A" w:rsidP="00E56790">
            <w:pPr>
              <w:pStyle w:val="TableParagraph"/>
              <w:kinsoku w:val="0"/>
              <w:overflowPunct w:val="0"/>
              <w:spacing w:before="39" w:line="166" w:lineRule="exact"/>
              <w:ind w:right="69"/>
              <w:jc w:val="right"/>
              <w:rPr>
                <w:rFonts w:eastAsiaTheme="minorEastAsia"/>
                <w:spacing w:val="-4"/>
                <w:w w:val="105"/>
                <w:sz w:val="16"/>
                <w:szCs w:val="16"/>
              </w:rPr>
            </w:pPr>
            <w:r w:rsidRPr="00FF0BC7">
              <w:rPr>
                <w:rFonts w:eastAsiaTheme="minorEastAsia"/>
                <w:spacing w:val="-4"/>
                <w:w w:val="105"/>
                <w:sz w:val="16"/>
                <w:szCs w:val="16"/>
              </w:rPr>
              <w:t>7</w:t>
            </w:r>
            <w:r w:rsidR="00E56790" w:rsidRPr="00FF0BC7">
              <w:rPr>
                <w:rFonts w:eastAsiaTheme="minorEastAsia"/>
                <w:spacing w:val="-4"/>
                <w:w w:val="105"/>
                <w:sz w:val="16"/>
                <w:szCs w:val="16"/>
              </w:rPr>
              <w:t>0</w:t>
            </w:r>
            <w:r w:rsidRPr="00FF0BC7">
              <w:rPr>
                <w:rFonts w:eastAsiaTheme="minorEastAsia"/>
                <w:spacing w:val="-4"/>
                <w:w w:val="105"/>
                <w:sz w:val="16"/>
                <w:szCs w:val="16"/>
              </w:rPr>
              <w:t>0</w:t>
            </w:r>
          </w:p>
        </w:tc>
        <w:tc>
          <w:tcPr>
            <w:tcW w:w="992" w:type="dxa"/>
            <w:shd w:val="clear" w:color="auto" w:fill="auto"/>
          </w:tcPr>
          <w:p w14:paraId="25B9C4C0" w14:textId="7E01916E" w:rsidR="00DA208A" w:rsidRPr="00FF0BC7" w:rsidRDefault="00DA208A" w:rsidP="00DA208A">
            <w:pPr>
              <w:pStyle w:val="TableParagraph"/>
              <w:kinsoku w:val="0"/>
              <w:overflowPunct w:val="0"/>
              <w:spacing w:before="39" w:line="166" w:lineRule="exact"/>
              <w:ind w:right="69"/>
              <w:jc w:val="right"/>
              <w:rPr>
                <w:rFonts w:eastAsiaTheme="minorEastAsia"/>
                <w:spacing w:val="-4"/>
                <w:w w:val="105"/>
                <w:sz w:val="16"/>
                <w:szCs w:val="16"/>
              </w:rPr>
            </w:pPr>
            <w:r w:rsidRPr="00FF0BC7">
              <w:rPr>
                <w:rFonts w:eastAsiaTheme="minorEastAsia"/>
                <w:spacing w:val="-4"/>
                <w:w w:val="105"/>
                <w:sz w:val="16"/>
                <w:szCs w:val="16"/>
              </w:rPr>
              <w:t>2</w:t>
            </w:r>
            <w:r w:rsidR="00984941" w:rsidRPr="00FF0BC7">
              <w:rPr>
                <w:rFonts w:eastAsiaTheme="minorEastAsia"/>
                <w:spacing w:val="-4"/>
                <w:w w:val="105"/>
                <w:sz w:val="16"/>
                <w:szCs w:val="16"/>
              </w:rPr>
              <w:t>,</w:t>
            </w:r>
            <w:r w:rsidR="00E56790" w:rsidRPr="00FF0BC7">
              <w:rPr>
                <w:rFonts w:eastAsiaTheme="minorEastAsia"/>
                <w:spacing w:val="-4"/>
                <w:w w:val="105"/>
                <w:sz w:val="16"/>
                <w:szCs w:val="16"/>
              </w:rPr>
              <w:t>200</w:t>
            </w:r>
          </w:p>
        </w:tc>
        <w:tc>
          <w:tcPr>
            <w:tcW w:w="991" w:type="dxa"/>
            <w:shd w:val="clear" w:color="auto" w:fill="auto"/>
          </w:tcPr>
          <w:p w14:paraId="62BDB039" w14:textId="2BCA7C59" w:rsidR="00DA208A" w:rsidRPr="00FF0BC7" w:rsidRDefault="00E56790" w:rsidP="00DA208A">
            <w:pPr>
              <w:pStyle w:val="TableParagraph"/>
              <w:kinsoku w:val="0"/>
              <w:overflowPunct w:val="0"/>
              <w:spacing w:before="39" w:line="166" w:lineRule="exact"/>
              <w:ind w:right="69"/>
              <w:jc w:val="right"/>
              <w:rPr>
                <w:rFonts w:eastAsiaTheme="minorEastAsia"/>
                <w:spacing w:val="-4"/>
                <w:w w:val="105"/>
                <w:sz w:val="16"/>
                <w:szCs w:val="16"/>
              </w:rPr>
            </w:pPr>
            <w:r w:rsidRPr="00FF0BC7">
              <w:rPr>
                <w:rFonts w:eastAsiaTheme="minorEastAsia"/>
                <w:spacing w:val="-4"/>
                <w:w w:val="105"/>
                <w:sz w:val="16"/>
                <w:szCs w:val="16"/>
              </w:rPr>
              <w:t>3</w:t>
            </w:r>
            <w:r w:rsidR="00984941" w:rsidRPr="00FF0BC7">
              <w:rPr>
                <w:rFonts w:eastAsiaTheme="minorEastAsia"/>
                <w:spacing w:val="-4"/>
                <w:w w:val="105"/>
                <w:sz w:val="16"/>
                <w:szCs w:val="16"/>
              </w:rPr>
              <w:t>,</w:t>
            </w:r>
            <w:r w:rsidRPr="00FF0BC7">
              <w:rPr>
                <w:rFonts w:eastAsiaTheme="minorEastAsia"/>
                <w:spacing w:val="-4"/>
                <w:w w:val="105"/>
                <w:sz w:val="16"/>
                <w:szCs w:val="16"/>
              </w:rPr>
              <w:t>700</w:t>
            </w:r>
          </w:p>
        </w:tc>
        <w:tc>
          <w:tcPr>
            <w:tcW w:w="992" w:type="dxa"/>
            <w:shd w:val="clear" w:color="auto" w:fill="auto"/>
          </w:tcPr>
          <w:p w14:paraId="221E5692" w14:textId="2B2FE304" w:rsidR="00DA208A" w:rsidRPr="00FF0BC7" w:rsidRDefault="00E56790" w:rsidP="00DA208A">
            <w:pPr>
              <w:pStyle w:val="TableParagraph"/>
              <w:kinsoku w:val="0"/>
              <w:overflowPunct w:val="0"/>
              <w:spacing w:before="39" w:line="166" w:lineRule="exact"/>
              <w:ind w:right="69"/>
              <w:jc w:val="right"/>
              <w:rPr>
                <w:spacing w:val="-4"/>
                <w:w w:val="105"/>
                <w:sz w:val="15"/>
                <w:szCs w:val="15"/>
              </w:rPr>
            </w:pPr>
            <w:r w:rsidRPr="00FF0BC7">
              <w:rPr>
                <w:rFonts w:eastAsiaTheme="minorEastAsia"/>
                <w:spacing w:val="-4"/>
                <w:w w:val="105"/>
                <w:sz w:val="16"/>
                <w:szCs w:val="16"/>
              </w:rPr>
              <w:t>5</w:t>
            </w:r>
            <w:r w:rsidR="00984941" w:rsidRPr="00FF0BC7">
              <w:rPr>
                <w:rFonts w:eastAsiaTheme="minorEastAsia"/>
                <w:spacing w:val="-4"/>
                <w:w w:val="105"/>
                <w:sz w:val="16"/>
                <w:szCs w:val="16"/>
              </w:rPr>
              <w:t>,</w:t>
            </w:r>
            <w:r w:rsidRPr="00FF0BC7">
              <w:rPr>
                <w:rFonts w:eastAsiaTheme="minorEastAsia"/>
                <w:spacing w:val="-4"/>
                <w:w w:val="105"/>
                <w:sz w:val="16"/>
                <w:szCs w:val="16"/>
              </w:rPr>
              <w:t>400</w:t>
            </w:r>
          </w:p>
        </w:tc>
      </w:tr>
      <w:tr w:rsidR="00DA208A" w:rsidRPr="00DA208A" w14:paraId="2E3DD05F" w14:textId="77777777" w:rsidTr="00104AEA">
        <w:tc>
          <w:tcPr>
            <w:tcW w:w="520" w:type="dxa"/>
            <w:shd w:val="clear" w:color="auto" w:fill="auto"/>
          </w:tcPr>
          <w:p w14:paraId="75F175D7" w14:textId="77777777" w:rsidR="00DA208A" w:rsidRPr="00DA208A" w:rsidRDefault="00DA208A" w:rsidP="00DA208A">
            <w:pPr>
              <w:pStyle w:val="TabletextLeft"/>
              <w:jc w:val="right"/>
              <w:rPr>
                <w:rFonts w:cs="Arial"/>
                <w:sz w:val="16"/>
                <w:szCs w:val="16"/>
                <w:lang w:eastAsia="en-US"/>
              </w:rPr>
            </w:pPr>
            <w:r w:rsidRPr="00DA208A">
              <w:rPr>
                <w:sz w:val="16"/>
                <w:szCs w:val="16"/>
              </w:rPr>
              <w:t>40</w:t>
            </w:r>
          </w:p>
        </w:tc>
        <w:tc>
          <w:tcPr>
            <w:tcW w:w="2340" w:type="dxa"/>
            <w:shd w:val="clear" w:color="auto" w:fill="auto"/>
          </w:tcPr>
          <w:p w14:paraId="4B42B7CF" w14:textId="3C8ABDDC" w:rsidR="00DA208A" w:rsidRPr="00DA208A" w:rsidRDefault="00DA208A" w:rsidP="002461B1">
            <w:pPr>
              <w:pStyle w:val="TabletextLeft"/>
              <w:rPr>
                <w:rFonts w:cs="Arial"/>
                <w:sz w:val="16"/>
                <w:szCs w:val="16"/>
                <w:lang w:eastAsia="en-US"/>
              </w:rPr>
            </w:pPr>
            <w:r w:rsidRPr="00DA208A">
              <w:rPr>
                <w:sz w:val="16"/>
                <w:szCs w:val="16"/>
              </w:rPr>
              <w:t xml:space="preserve">UH-60M Black Hawk </w:t>
            </w:r>
            <w:r w:rsidRPr="00DA208A">
              <w:rPr>
                <w:sz w:val="16"/>
                <w:szCs w:val="16"/>
                <w:vertAlign w:val="superscript"/>
              </w:rPr>
              <w:t>[</w:t>
            </w:r>
            <w:r w:rsidR="002461B1">
              <w:rPr>
                <w:sz w:val="16"/>
                <w:szCs w:val="16"/>
                <w:vertAlign w:val="superscript"/>
              </w:rPr>
              <w:t>c</w:t>
            </w:r>
            <w:r w:rsidRPr="00DA208A">
              <w:rPr>
                <w:sz w:val="16"/>
                <w:szCs w:val="16"/>
                <w:vertAlign w:val="superscript"/>
              </w:rPr>
              <w:t>]</w:t>
            </w:r>
          </w:p>
        </w:tc>
        <w:tc>
          <w:tcPr>
            <w:tcW w:w="992" w:type="dxa"/>
            <w:shd w:val="clear" w:color="auto" w:fill="auto"/>
          </w:tcPr>
          <w:p w14:paraId="59926B92" w14:textId="77777777" w:rsidR="00DA208A" w:rsidRPr="00FF0BC7" w:rsidRDefault="00DA208A" w:rsidP="00DA208A">
            <w:pPr>
              <w:pStyle w:val="TableParagraph"/>
              <w:kinsoku w:val="0"/>
              <w:overflowPunct w:val="0"/>
              <w:spacing w:before="39" w:line="166" w:lineRule="exact"/>
              <w:ind w:right="69"/>
              <w:jc w:val="right"/>
              <w:rPr>
                <w:rFonts w:eastAsiaTheme="minorEastAsia"/>
                <w:spacing w:val="-4"/>
                <w:w w:val="105"/>
                <w:sz w:val="16"/>
                <w:szCs w:val="16"/>
              </w:rPr>
            </w:pPr>
            <w:r w:rsidRPr="00FF0BC7">
              <w:rPr>
                <w:rFonts w:eastAsiaTheme="minorEastAsia"/>
                <w:spacing w:val="-4"/>
                <w:w w:val="105"/>
                <w:sz w:val="16"/>
                <w:szCs w:val="16"/>
              </w:rPr>
              <w:t>2,900</w:t>
            </w:r>
          </w:p>
        </w:tc>
        <w:tc>
          <w:tcPr>
            <w:tcW w:w="993" w:type="dxa"/>
            <w:shd w:val="clear" w:color="auto" w:fill="auto"/>
          </w:tcPr>
          <w:p w14:paraId="6135A50A" w14:textId="77777777" w:rsidR="00DA208A" w:rsidRPr="00FF0BC7" w:rsidRDefault="00DA208A" w:rsidP="00DA208A">
            <w:pPr>
              <w:pStyle w:val="TableParagraph"/>
              <w:kinsoku w:val="0"/>
              <w:overflowPunct w:val="0"/>
              <w:spacing w:before="39" w:line="166" w:lineRule="exact"/>
              <w:ind w:right="69"/>
              <w:jc w:val="right"/>
              <w:rPr>
                <w:rFonts w:eastAsiaTheme="minorEastAsia"/>
                <w:spacing w:val="-4"/>
                <w:w w:val="105"/>
                <w:sz w:val="16"/>
                <w:szCs w:val="16"/>
              </w:rPr>
            </w:pPr>
            <w:r w:rsidRPr="00FF0BC7">
              <w:rPr>
                <w:rFonts w:eastAsiaTheme="minorEastAsia"/>
                <w:spacing w:val="-4"/>
                <w:w w:val="105"/>
                <w:sz w:val="16"/>
                <w:szCs w:val="16"/>
              </w:rPr>
              <w:t>3,600</w:t>
            </w:r>
          </w:p>
        </w:tc>
        <w:tc>
          <w:tcPr>
            <w:tcW w:w="992" w:type="dxa"/>
            <w:shd w:val="clear" w:color="auto" w:fill="auto"/>
          </w:tcPr>
          <w:p w14:paraId="62096B24" w14:textId="77777777" w:rsidR="00DA208A" w:rsidRPr="00FF0BC7" w:rsidRDefault="00DA208A" w:rsidP="00DA208A">
            <w:pPr>
              <w:pStyle w:val="TableParagraph"/>
              <w:kinsoku w:val="0"/>
              <w:overflowPunct w:val="0"/>
              <w:spacing w:before="39" w:line="166" w:lineRule="exact"/>
              <w:ind w:right="69"/>
              <w:jc w:val="right"/>
              <w:rPr>
                <w:rFonts w:eastAsiaTheme="minorEastAsia"/>
                <w:spacing w:val="-4"/>
                <w:w w:val="105"/>
                <w:sz w:val="16"/>
                <w:szCs w:val="16"/>
              </w:rPr>
            </w:pPr>
            <w:r w:rsidRPr="00FF0BC7">
              <w:rPr>
                <w:rFonts w:eastAsiaTheme="minorEastAsia"/>
                <w:spacing w:val="-4"/>
                <w:w w:val="105"/>
                <w:sz w:val="16"/>
                <w:szCs w:val="16"/>
              </w:rPr>
              <w:t>4,000</w:t>
            </w:r>
          </w:p>
        </w:tc>
        <w:tc>
          <w:tcPr>
            <w:tcW w:w="991" w:type="dxa"/>
            <w:shd w:val="clear" w:color="auto" w:fill="auto"/>
          </w:tcPr>
          <w:p w14:paraId="1E601D3F" w14:textId="77777777" w:rsidR="00DA208A" w:rsidRPr="00FF0BC7" w:rsidRDefault="00DA208A" w:rsidP="00DA208A">
            <w:pPr>
              <w:pStyle w:val="TableParagraph"/>
              <w:kinsoku w:val="0"/>
              <w:overflowPunct w:val="0"/>
              <w:spacing w:before="39" w:line="166" w:lineRule="exact"/>
              <w:ind w:right="69"/>
              <w:jc w:val="right"/>
              <w:rPr>
                <w:rFonts w:eastAsiaTheme="minorEastAsia"/>
                <w:spacing w:val="-4"/>
                <w:w w:val="105"/>
                <w:sz w:val="16"/>
                <w:szCs w:val="16"/>
              </w:rPr>
            </w:pPr>
            <w:r w:rsidRPr="00FF0BC7">
              <w:rPr>
                <w:rFonts w:eastAsiaTheme="minorEastAsia"/>
                <w:spacing w:val="-4"/>
                <w:w w:val="105"/>
                <w:sz w:val="16"/>
                <w:szCs w:val="16"/>
              </w:rPr>
              <w:t>4,900</w:t>
            </w:r>
          </w:p>
        </w:tc>
        <w:tc>
          <w:tcPr>
            <w:tcW w:w="992" w:type="dxa"/>
            <w:shd w:val="clear" w:color="auto" w:fill="auto"/>
          </w:tcPr>
          <w:p w14:paraId="684EB334" w14:textId="77777777" w:rsidR="00DA208A" w:rsidRPr="00FF0BC7" w:rsidRDefault="00DA208A" w:rsidP="00DA208A">
            <w:pPr>
              <w:pStyle w:val="TableParagraph"/>
              <w:kinsoku w:val="0"/>
              <w:overflowPunct w:val="0"/>
              <w:spacing w:before="39" w:line="166" w:lineRule="exact"/>
              <w:ind w:right="69"/>
              <w:jc w:val="right"/>
              <w:rPr>
                <w:rFonts w:eastAsiaTheme="minorEastAsia"/>
                <w:spacing w:val="-4"/>
                <w:w w:val="105"/>
                <w:sz w:val="16"/>
                <w:szCs w:val="16"/>
              </w:rPr>
            </w:pPr>
            <w:r w:rsidRPr="00FF0BC7">
              <w:rPr>
                <w:rFonts w:eastAsiaTheme="minorEastAsia"/>
                <w:spacing w:val="-4"/>
                <w:w w:val="105"/>
                <w:sz w:val="16"/>
                <w:szCs w:val="16"/>
              </w:rPr>
              <w:t>6,900</w:t>
            </w:r>
          </w:p>
        </w:tc>
      </w:tr>
      <w:tr w:rsidR="00DA208A" w:rsidRPr="00DA208A" w14:paraId="6E353FE8" w14:textId="77777777" w:rsidTr="00104AEA">
        <w:tc>
          <w:tcPr>
            <w:tcW w:w="520" w:type="dxa"/>
            <w:shd w:val="clear" w:color="auto" w:fill="auto"/>
            <w:vAlign w:val="center"/>
          </w:tcPr>
          <w:p w14:paraId="146F975E" w14:textId="77777777" w:rsidR="00DA208A" w:rsidRPr="00DA208A" w:rsidRDefault="00DA208A" w:rsidP="00DA208A">
            <w:pPr>
              <w:pStyle w:val="TabletextLeft"/>
              <w:jc w:val="right"/>
              <w:rPr>
                <w:rFonts w:cs="Arial"/>
                <w:sz w:val="16"/>
                <w:szCs w:val="16"/>
                <w:lang w:eastAsia="en-US"/>
              </w:rPr>
            </w:pPr>
            <w:r w:rsidRPr="00DA208A">
              <w:rPr>
                <w:sz w:val="16"/>
                <w:szCs w:val="16"/>
              </w:rPr>
              <w:t>2</w:t>
            </w:r>
          </w:p>
        </w:tc>
        <w:tc>
          <w:tcPr>
            <w:tcW w:w="2340" w:type="dxa"/>
            <w:shd w:val="clear" w:color="auto" w:fill="auto"/>
            <w:vAlign w:val="center"/>
          </w:tcPr>
          <w:p w14:paraId="180EB63C" w14:textId="3F09F5F5" w:rsidR="00DA208A" w:rsidRPr="00DA208A" w:rsidRDefault="00DA208A" w:rsidP="00DA208A">
            <w:pPr>
              <w:pStyle w:val="TabletextLeft"/>
              <w:rPr>
                <w:rFonts w:cs="Arial"/>
                <w:sz w:val="16"/>
                <w:szCs w:val="16"/>
                <w:lang w:eastAsia="en-US"/>
              </w:rPr>
            </w:pPr>
            <w:r w:rsidRPr="00DA208A">
              <w:rPr>
                <w:sz w:val="16"/>
                <w:szCs w:val="16"/>
              </w:rPr>
              <w:t xml:space="preserve">RQ-7B Shadow 200 – Tactical Uncrewed Aerial System (TUAS) </w:t>
            </w:r>
            <w:r w:rsidR="002461B1">
              <w:rPr>
                <w:sz w:val="16"/>
                <w:szCs w:val="16"/>
                <w:vertAlign w:val="superscript"/>
              </w:rPr>
              <w:t>[d</w:t>
            </w:r>
            <w:r w:rsidRPr="00DA208A">
              <w:rPr>
                <w:sz w:val="16"/>
                <w:szCs w:val="16"/>
                <w:vertAlign w:val="superscript"/>
              </w:rPr>
              <w:t>]</w:t>
            </w:r>
          </w:p>
        </w:tc>
        <w:tc>
          <w:tcPr>
            <w:tcW w:w="992" w:type="dxa"/>
            <w:shd w:val="clear" w:color="auto" w:fill="auto"/>
            <w:vAlign w:val="center"/>
          </w:tcPr>
          <w:p w14:paraId="0771E169" w14:textId="77777777" w:rsidR="00DA208A" w:rsidRPr="00FF0BC7" w:rsidRDefault="00DA208A" w:rsidP="00DA208A">
            <w:pPr>
              <w:pStyle w:val="TableParagraph"/>
              <w:kinsoku w:val="0"/>
              <w:overflowPunct w:val="0"/>
              <w:spacing w:before="39" w:line="166" w:lineRule="exact"/>
              <w:ind w:right="69"/>
              <w:jc w:val="right"/>
              <w:rPr>
                <w:rFonts w:eastAsiaTheme="minorEastAsia"/>
                <w:spacing w:val="-4"/>
                <w:w w:val="105"/>
                <w:sz w:val="16"/>
                <w:szCs w:val="16"/>
              </w:rPr>
            </w:pPr>
            <w:r w:rsidRPr="00FF0BC7">
              <w:rPr>
                <w:rFonts w:eastAsiaTheme="minorEastAsia"/>
                <w:spacing w:val="-4"/>
                <w:w w:val="105"/>
                <w:sz w:val="16"/>
                <w:szCs w:val="16"/>
              </w:rPr>
              <w:t>1,584</w:t>
            </w:r>
          </w:p>
        </w:tc>
        <w:tc>
          <w:tcPr>
            <w:tcW w:w="993" w:type="dxa"/>
            <w:shd w:val="clear" w:color="auto" w:fill="auto"/>
            <w:vAlign w:val="center"/>
          </w:tcPr>
          <w:p w14:paraId="36E122CE" w14:textId="77777777" w:rsidR="00DA208A" w:rsidRPr="00FF0BC7" w:rsidRDefault="00DA208A" w:rsidP="00DA208A">
            <w:pPr>
              <w:pStyle w:val="TableParagraph"/>
              <w:kinsoku w:val="0"/>
              <w:overflowPunct w:val="0"/>
              <w:spacing w:before="39" w:line="166" w:lineRule="exact"/>
              <w:ind w:right="69"/>
              <w:jc w:val="right"/>
              <w:rPr>
                <w:rFonts w:eastAsiaTheme="minorEastAsia"/>
                <w:spacing w:val="-4"/>
                <w:w w:val="105"/>
                <w:sz w:val="16"/>
                <w:szCs w:val="16"/>
              </w:rPr>
            </w:pPr>
            <w:r w:rsidRPr="00FF0BC7">
              <w:rPr>
                <w:rFonts w:eastAsiaTheme="minorEastAsia"/>
                <w:spacing w:val="-4"/>
                <w:w w:val="105"/>
                <w:sz w:val="16"/>
                <w:szCs w:val="16"/>
              </w:rPr>
              <w:t>-</w:t>
            </w:r>
          </w:p>
        </w:tc>
        <w:tc>
          <w:tcPr>
            <w:tcW w:w="992" w:type="dxa"/>
            <w:shd w:val="clear" w:color="auto" w:fill="auto"/>
            <w:vAlign w:val="center"/>
          </w:tcPr>
          <w:p w14:paraId="7601125F" w14:textId="26BEAA87" w:rsidR="00DA208A" w:rsidRPr="00FF0BC7" w:rsidRDefault="009D1F28" w:rsidP="00DA208A">
            <w:pPr>
              <w:pStyle w:val="TableParagraph"/>
              <w:kinsoku w:val="0"/>
              <w:overflowPunct w:val="0"/>
              <w:spacing w:before="39" w:line="166" w:lineRule="exact"/>
              <w:ind w:right="69"/>
              <w:jc w:val="right"/>
              <w:rPr>
                <w:rFonts w:eastAsiaTheme="minorEastAsia"/>
                <w:spacing w:val="-4"/>
                <w:w w:val="105"/>
                <w:sz w:val="16"/>
                <w:szCs w:val="16"/>
              </w:rPr>
            </w:pPr>
            <w:r w:rsidRPr="00FF0BC7">
              <w:rPr>
                <w:rFonts w:eastAsiaTheme="minorEastAsia"/>
                <w:spacing w:val="-4"/>
                <w:w w:val="105"/>
                <w:sz w:val="16"/>
                <w:szCs w:val="16"/>
              </w:rPr>
              <w:t>-</w:t>
            </w:r>
          </w:p>
        </w:tc>
        <w:tc>
          <w:tcPr>
            <w:tcW w:w="991" w:type="dxa"/>
            <w:shd w:val="clear" w:color="auto" w:fill="auto"/>
            <w:vAlign w:val="center"/>
          </w:tcPr>
          <w:p w14:paraId="222AC90A" w14:textId="1A3C3F2B" w:rsidR="00DA208A" w:rsidRPr="00FF0BC7" w:rsidRDefault="009D1F28" w:rsidP="00DA208A">
            <w:pPr>
              <w:pStyle w:val="TableParagraph"/>
              <w:kinsoku w:val="0"/>
              <w:overflowPunct w:val="0"/>
              <w:spacing w:before="39" w:line="166" w:lineRule="exact"/>
              <w:ind w:right="69"/>
              <w:jc w:val="right"/>
              <w:rPr>
                <w:rFonts w:eastAsiaTheme="minorEastAsia"/>
                <w:spacing w:val="-4"/>
                <w:w w:val="105"/>
                <w:sz w:val="16"/>
                <w:szCs w:val="16"/>
              </w:rPr>
            </w:pPr>
            <w:r w:rsidRPr="00FF0BC7">
              <w:rPr>
                <w:rFonts w:eastAsiaTheme="minorEastAsia"/>
                <w:spacing w:val="-4"/>
                <w:w w:val="105"/>
                <w:sz w:val="16"/>
                <w:szCs w:val="16"/>
              </w:rPr>
              <w:t>-</w:t>
            </w:r>
          </w:p>
        </w:tc>
        <w:tc>
          <w:tcPr>
            <w:tcW w:w="992" w:type="dxa"/>
            <w:shd w:val="clear" w:color="auto" w:fill="auto"/>
            <w:vAlign w:val="center"/>
          </w:tcPr>
          <w:p w14:paraId="5E6F484B" w14:textId="77777777" w:rsidR="00DA208A" w:rsidRPr="00FF0BC7" w:rsidRDefault="00DA208A" w:rsidP="00DA208A">
            <w:pPr>
              <w:pStyle w:val="TableParagraph"/>
              <w:kinsoku w:val="0"/>
              <w:overflowPunct w:val="0"/>
              <w:spacing w:before="39" w:line="166" w:lineRule="exact"/>
              <w:ind w:right="69"/>
              <w:jc w:val="right"/>
              <w:rPr>
                <w:rFonts w:eastAsiaTheme="minorEastAsia"/>
                <w:spacing w:val="-4"/>
                <w:w w:val="105"/>
                <w:sz w:val="16"/>
                <w:szCs w:val="16"/>
              </w:rPr>
            </w:pPr>
            <w:r w:rsidRPr="00FF0BC7">
              <w:rPr>
                <w:rFonts w:eastAsiaTheme="minorEastAsia"/>
                <w:spacing w:val="-4"/>
                <w:w w:val="105"/>
                <w:sz w:val="16"/>
                <w:szCs w:val="16"/>
              </w:rPr>
              <w:t>-</w:t>
            </w:r>
          </w:p>
        </w:tc>
      </w:tr>
      <w:tr w:rsidR="00DA208A" w:rsidRPr="00DA208A" w14:paraId="4A7AA131" w14:textId="77777777" w:rsidTr="00104AEA">
        <w:tc>
          <w:tcPr>
            <w:tcW w:w="520" w:type="dxa"/>
            <w:shd w:val="clear" w:color="auto" w:fill="auto"/>
          </w:tcPr>
          <w:p w14:paraId="0BE19F3F" w14:textId="77777777" w:rsidR="00DA208A" w:rsidRPr="00DA208A" w:rsidRDefault="00DA208A" w:rsidP="00DA208A">
            <w:pPr>
              <w:pStyle w:val="TabletextLeft"/>
              <w:jc w:val="right"/>
              <w:rPr>
                <w:rFonts w:cs="Arial"/>
                <w:sz w:val="16"/>
                <w:szCs w:val="16"/>
                <w:lang w:eastAsia="en-US"/>
              </w:rPr>
            </w:pPr>
            <w:r w:rsidRPr="00DA208A">
              <w:rPr>
                <w:sz w:val="16"/>
                <w:szCs w:val="16"/>
              </w:rPr>
              <w:t>6</w:t>
            </w:r>
          </w:p>
        </w:tc>
        <w:tc>
          <w:tcPr>
            <w:tcW w:w="2340" w:type="dxa"/>
            <w:shd w:val="clear" w:color="auto" w:fill="auto"/>
          </w:tcPr>
          <w:p w14:paraId="69A6E004" w14:textId="7F42AECB" w:rsidR="00DA208A" w:rsidRPr="00DA208A" w:rsidRDefault="00DA208A" w:rsidP="002461B1">
            <w:pPr>
              <w:pStyle w:val="TabletextLeft"/>
              <w:rPr>
                <w:sz w:val="16"/>
                <w:szCs w:val="16"/>
                <w:lang w:eastAsia="en-US"/>
              </w:rPr>
            </w:pPr>
            <w:r w:rsidRPr="00DA208A">
              <w:rPr>
                <w:sz w:val="16"/>
                <w:szCs w:val="16"/>
              </w:rPr>
              <w:t>RQ-21 Integrator – TUAS</w:t>
            </w:r>
            <w:r w:rsidRPr="00DA208A">
              <w:rPr>
                <w:sz w:val="16"/>
                <w:szCs w:val="16"/>
                <w:vertAlign w:val="superscript"/>
              </w:rPr>
              <w:t xml:space="preserve"> </w:t>
            </w:r>
            <w:r w:rsidR="002461B1">
              <w:rPr>
                <w:sz w:val="16"/>
                <w:szCs w:val="16"/>
                <w:vertAlign w:val="superscript"/>
              </w:rPr>
              <w:t>[e</w:t>
            </w:r>
            <w:r w:rsidRPr="00DA208A">
              <w:rPr>
                <w:sz w:val="16"/>
                <w:szCs w:val="16"/>
                <w:vertAlign w:val="superscript"/>
              </w:rPr>
              <w:t>]</w:t>
            </w:r>
          </w:p>
        </w:tc>
        <w:tc>
          <w:tcPr>
            <w:tcW w:w="992" w:type="dxa"/>
            <w:shd w:val="clear" w:color="auto" w:fill="auto"/>
          </w:tcPr>
          <w:p w14:paraId="41ECF922" w14:textId="77777777" w:rsidR="00DA208A" w:rsidRPr="00FF0BC7" w:rsidRDefault="00DA208A" w:rsidP="00DA208A">
            <w:pPr>
              <w:pStyle w:val="TableParagraph"/>
              <w:kinsoku w:val="0"/>
              <w:overflowPunct w:val="0"/>
              <w:spacing w:before="39" w:line="166" w:lineRule="exact"/>
              <w:ind w:right="69"/>
              <w:jc w:val="right"/>
              <w:rPr>
                <w:rFonts w:eastAsiaTheme="minorEastAsia"/>
                <w:spacing w:val="-4"/>
                <w:w w:val="105"/>
                <w:sz w:val="16"/>
                <w:szCs w:val="16"/>
              </w:rPr>
            </w:pPr>
            <w:r w:rsidRPr="00FF0BC7">
              <w:rPr>
                <w:rFonts w:eastAsiaTheme="minorEastAsia"/>
                <w:spacing w:val="-4"/>
                <w:w w:val="105"/>
                <w:sz w:val="16"/>
                <w:szCs w:val="16"/>
              </w:rPr>
              <w:t>1,250</w:t>
            </w:r>
          </w:p>
        </w:tc>
        <w:tc>
          <w:tcPr>
            <w:tcW w:w="993" w:type="dxa"/>
            <w:shd w:val="clear" w:color="auto" w:fill="auto"/>
          </w:tcPr>
          <w:p w14:paraId="3B1E549C" w14:textId="77777777" w:rsidR="00DA208A" w:rsidRPr="00FF0BC7" w:rsidRDefault="00DA208A" w:rsidP="00DA208A">
            <w:pPr>
              <w:pStyle w:val="TableParagraph"/>
              <w:kinsoku w:val="0"/>
              <w:overflowPunct w:val="0"/>
              <w:spacing w:before="39" w:line="166" w:lineRule="exact"/>
              <w:ind w:right="69"/>
              <w:jc w:val="right"/>
              <w:rPr>
                <w:rFonts w:eastAsiaTheme="minorEastAsia"/>
                <w:spacing w:val="-4"/>
                <w:w w:val="105"/>
                <w:sz w:val="16"/>
                <w:szCs w:val="16"/>
              </w:rPr>
            </w:pPr>
            <w:r w:rsidRPr="00FF0BC7">
              <w:rPr>
                <w:rFonts w:eastAsiaTheme="minorEastAsia"/>
                <w:spacing w:val="-4"/>
                <w:w w:val="105"/>
                <w:sz w:val="16"/>
                <w:szCs w:val="16"/>
              </w:rPr>
              <w:t>2,750</w:t>
            </w:r>
          </w:p>
        </w:tc>
        <w:tc>
          <w:tcPr>
            <w:tcW w:w="992" w:type="dxa"/>
            <w:shd w:val="clear" w:color="auto" w:fill="auto"/>
          </w:tcPr>
          <w:p w14:paraId="15A0B48C" w14:textId="77777777" w:rsidR="00DA208A" w:rsidRPr="00FF0BC7" w:rsidRDefault="00DA208A" w:rsidP="00DA208A">
            <w:pPr>
              <w:pStyle w:val="TableParagraph"/>
              <w:kinsoku w:val="0"/>
              <w:overflowPunct w:val="0"/>
              <w:spacing w:before="39" w:line="166" w:lineRule="exact"/>
              <w:ind w:right="69"/>
              <w:jc w:val="right"/>
              <w:rPr>
                <w:rFonts w:eastAsiaTheme="minorEastAsia"/>
                <w:spacing w:val="-4"/>
                <w:w w:val="105"/>
                <w:sz w:val="16"/>
                <w:szCs w:val="16"/>
              </w:rPr>
            </w:pPr>
            <w:r w:rsidRPr="00FF0BC7">
              <w:rPr>
                <w:rFonts w:eastAsiaTheme="minorEastAsia"/>
                <w:spacing w:val="-4"/>
                <w:w w:val="105"/>
                <w:sz w:val="16"/>
                <w:szCs w:val="16"/>
              </w:rPr>
              <w:t>2,000</w:t>
            </w:r>
          </w:p>
        </w:tc>
        <w:tc>
          <w:tcPr>
            <w:tcW w:w="991" w:type="dxa"/>
            <w:shd w:val="clear" w:color="auto" w:fill="auto"/>
          </w:tcPr>
          <w:p w14:paraId="513B2A76" w14:textId="77777777" w:rsidR="00DA208A" w:rsidRPr="00FF0BC7" w:rsidRDefault="00DA208A" w:rsidP="00DA208A">
            <w:pPr>
              <w:pStyle w:val="TableParagraph"/>
              <w:kinsoku w:val="0"/>
              <w:overflowPunct w:val="0"/>
              <w:spacing w:before="39" w:line="166" w:lineRule="exact"/>
              <w:ind w:right="69"/>
              <w:jc w:val="right"/>
              <w:rPr>
                <w:rFonts w:eastAsiaTheme="minorEastAsia"/>
                <w:spacing w:val="-4"/>
                <w:w w:val="105"/>
                <w:sz w:val="16"/>
                <w:szCs w:val="16"/>
              </w:rPr>
            </w:pPr>
            <w:r w:rsidRPr="00FF0BC7">
              <w:rPr>
                <w:rFonts w:eastAsiaTheme="minorEastAsia"/>
                <w:spacing w:val="-4"/>
                <w:w w:val="105"/>
                <w:sz w:val="16"/>
                <w:szCs w:val="16"/>
              </w:rPr>
              <w:t>2,000</w:t>
            </w:r>
          </w:p>
        </w:tc>
        <w:tc>
          <w:tcPr>
            <w:tcW w:w="992" w:type="dxa"/>
            <w:shd w:val="clear" w:color="auto" w:fill="auto"/>
          </w:tcPr>
          <w:p w14:paraId="65D8D545" w14:textId="77777777" w:rsidR="00DA208A" w:rsidRPr="00FF0BC7" w:rsidRDefault="00DA208A" w:rsidP="00DA208A">
            <w:pPr>
              <w:pStyle w:val="TableParagraph"/>
              <w:kinsoku w:val="0"/>
              <w:overflowPunct w:val="0"/>
              <w:spacing w:before="39" w:line="166" w:lineRule="exact"/>
              <w:ind w:right="69"/>
              <w:jc w:val="right"/>
              <w:rPr>
                <w:rFonts w:eastAsiaTheme="minorEastAsia"/>
                <w:spacing w:val="-4"/>
                <w:w w:val="105"/>
                <w:sz w:val="16"/>
                <w:szCs w:val="16"/>
              </w:rPr>
            </w:pPr>
            <w:r w:rsidRPr="00FF0BC7">
              <w:rPr>
                <w:rFonts w:eastAsiaTheme="minorEastAsia"/>
                <w:spacing w:val="-4"/>
                <w:w w:val="105"/>
                <w:sz w:val="16"/>
                <w:szCs w:val="16"/>
              </w:rPr>
              <w:t>2,000</w:t>
            </w:r>
          </w:p>
        </w:tc>
      </w:tr>
      <w:tr w:rsidR="00DA208A" w:rsidRPr="00DA208A" w14:paraId="487839DE" w14:textId="77777777" w:rsidTr="00104AEA">
        <w:tc>
          <w:tcPr>
            <w:tcW w:w="520" w:type="dxa"/>
            <w:shd w:val="clear" w:color="auto" w:fill="auto"/>
          </w:tcPr>
          <w:p w14:paraId="5D86A892" w14:textId="77777777" w:rsidR="00DA208A" w:rsidRPr="00DA208A" w:rsidRDefault="00DA208A" w:rsidP="00DA208A">
            <w:pPr>
              <w:pStyle w:val="TabletextLeft"/>
              <w:jc w:val="right"/>
              <w:rPr>
                <w:sz w:val="16"/>
                <w:szCs w:val="16"/>
              </w:rPr>
            </w:pPr>
            <w:r w:rsidRPr="00DA208A">
              <w:rPr>
                <w:sz w:val="16"/>
                <w:szCs w:val="16"/>
              </w:rPr>
              <w:t>3</w:t>
            </w:r>
          </w:p>
        </w:tc>
        <w:tc>
          <w:tcPr>
            <w:tcW w:w="2340" w:type="dxa"/>
            <w:shd w:val="clear" w:color="auto" w:fill="auto"/>
          </w:tcPr>
          <w:p w14:paraId="11FDC5BA" w14:textId="33807CE3" w:rsidR="00DA208A" w:rsidRPr="00DA208A" w:rsidRDefault="00DA208A" w:rsidP="00116FFF">
            <w:pPr>
              <w:pStyle w:val="TabletextLeft"/>
              <w:rPr>
                <w:sz w:val="16"/>
                <w:szCs w:val="16"/>
                <w:lang w:eastAsia="en-US"/>
              </w:rPr>
            </w:pPr>
            <w:r w:rsidRPr="00DA208A">
              <w:rPr>
                <w:sz w:val="16"/>
                <w:szCs w:val="16"/>
              </w:rPr>
              <w:t xml:space="preserve">AW139 </w:t>
            </w:r>
            <w:r w:rsidR="002461B1">
              <w:rPr>
                <w:sz w:val="16"/>
                <w:szCs w:val="16"/>
                <w:vertAlign w:val="superscript"/>
              </w:rPr>
              <w:t>[f</w:t>
            </w:r>
            <w:r w:rsidR="00CF3FAF" w:rsidRPr="00DA208A">
              <w:rPr>
                <w:sz w:val="16"/>
                <w:szCs w:val="16"/>
                <w:vertAlign w:val="superscript"/>
              </w:rPr>
              <w:t>]</w:t>
            </w:r>
          </w:p>
        </w:tc>
        <w:tc>
          <w:tcPr>
            <w:tcW w:w="992" w:type="dxa"/>
            <w:shd w:val="clear" w:color="auto" w:fill="auto"/>
          </w:tcPr>
          <w:p w14:paraId="4F973E7F" w14:textId="77777777" w:rsidR="00DA208A" w:rsidRPr="00FF0BC7" w:rsidRDefault="00DA208A" w:rsidP="00DA208A">
            <w:pPr>
              <w:pStyle w:val="TableParagraph"/>
              <w:kinsoku w:val="0"/>
              <w:overflowPunct w:val="0"/>
              <w:spacing w:before="39" w:line="166" w:lineRule="exact"/>
              <w:ind w:right="69"/>
              <w:jc w:val="right"/>
              <w:rPr>
                <w:rFonts w:eastAsiaTheme="minorEastAsia"/>
                <w:spacing w:val="-4"/>
                <w:w w:val="105"/>
                <w:sz w:val="16"/>
                <w:szCs w:val="16"/>
              </w:rPr>
            </w:pPr>
            <w:r w:rsidRPr="00FF0BC7">
              <w:rPr>
                <w:rFonts w:eastAsiaTheme="minorEastAsia"/>
                <w:spacing w:val="-4"/>
                <w:w w:val="105"/>
                <w:sz w:val="16"/>
                <w:szCs w:val="16"/>
              </w:rPr>
              <w:t>1,500</w:t>
            </w:r>
          </w:p>
        </w:tc>
        <w:tc>
          <w:tcPr>
            <w:tcW w:w="993" w:type="dxa"/>
            <w:shd w:val="clear" w:color="auto" w:fill="auto"/>
          </w:tcPr>
          <w:p w14:paraId="78456460" w14:textId="13A32109" w:rsidR="00DA208A" w:rsidRPr="00FF0BC7" w:rsidRDefault="009D1F28" w:rsidP="00DA208A">
            <w:pPr>
              <w:pStyle w:val="TableParagraph"/>
              <w:kinsoku w:val="0"/>
              <w:overflowPunct w:val="0"/>
              <w:spacing w:before="39" w:line="166" w:lineRule="exact"/>
              <w:ind w:right="69"/>
              <w:jc w:val="right"/>
              <w:rPr>
                <w:rFonts w:eastAsiaTheme="minorEastAsia"/>
                <w:spacing w:val="-4"/>
                <w:w w:val="105"/>
                <w:sz w:val="16"/>
                <w:szCs w:val="16"/>
              </w:rPr>
            </w:pPr>
            <w:r w:rsidRPr="00FF0BC7">
              <w:rPr>
                <w:rFonts w:eastAsiaTheme="minorEastAsia"/>
                <w:spacing w:val="-4"/>
                <w:w w:val="105"/>
                <w:sz w:val="16"/>
                <w:szCs w:val="16"/>
              </w:rPr>
              <w:t>-</w:t>
            </w:r>
          </w:p>
        </w:tc>
        <w:tc>
          <w:tcPr>
            <w:tcW w:w="992" w:type="dxa"/>
            <w:shd w:val="clear" w:color="auto" w:fill="auto"/>
          </w:tcPr>
          <w:p w14:paraId="1928B9B4" w14:textId="77777777" w:rsidR="00DA208A" w:rsidRPr="00FF0BC7" w:rsidRDefault="00DA208A" w:rsidP="00DA208A">
            <w:pPr>
              <w:pStyle w:val="TableParagraph"/>
              <w:kinsoku w:val="0"/>
              <w:overflowPunct w:val="0"/>
              <w:spacing w:before="39" w:line="166" w:lineRule="exact"/>
              <w:ind w:right="69"/>
              <w:jc w:val="right"/>
              <w:rPr>
                <w:rFonts w:eastAsiaTheme="minorEastAsia"/>
                <w:spacing w:val="-4"/>
                <w:w w:val="105"/>
                <w:sz w:val="16"/>
                <w:szCs w:val="16"/>
              </w:rPr>
            </w:pPr>
            <w:r w:rsidRPr="00FF0BC7">
              <w:rPr>
                <w:rFonts w:eastAsiaTheme="minorEastAsia"/>
                <w:spacing w:val="-4"/>
                <w:w w:val="105"/>
                <w:sz w:val="16"/>
                <w:szCs w:val="16"/>
              </w:rPr>
              <w:t>-</w:t>
            </w:r>
          </w:p>
        </w:tc>
        <w:tc>
          <w:tcPr>
            <w:tcW w:w="991" w:type="dxa"/>
            <w:shd w:val="clear" w:color="auto" w:fill="auto"/>
          </w:tcPr>
          <w:p w14:paraId="4A68E790" w14:textId="77777777" w:rsidR="00DA208A" w:rsidRPr="00FF0BC7" w:rsidRDefault="00DA208A" w:rsidP="00DA208A">
            <w:pPr>
              <w:pStyle w:val="TableParagraph"/>
              <w:kinsoku w:val="0"/>
              <w:overflowPunct w:val="0"/>
              <w:spacing w:before="39" w:line="166" w:lineRule="exact"/>
              <w:ind w:right="69"/>
              <w:jc w:val="right"/>
              <w:rPr>
                <w:rFonts w:eastAsiaTheme="minorEastAsia"/>
                <w:spacing w:val="-4"/>
                <w:w w:val="105"/>
                <w:sz w:val="16"/>
                <w:szCs w:val="16"/>
              </w:rPr>
            </w:pPr>
            <w:r w:rsidRPr="00FF0BC7">
              <w:rPr>
                <w:rFonts w:eastAsiaTheme="minorEastAsia"/>
                <w:spacing w:val="-4"/>
                <w:w w:val="105"/>
                <w:sz w:val="16"/>
                <w:szCs w:val="16"/>
              </w:rPr>
              <w:t>-</w:t>
            </w:r>
          </w:p>
        </w:tc>
        <w:tc>
          <w:tcPr>
            <w:tcW w:w="992" w:type="dxa"/>
            <w:shd w:val="clear" w:color="auto" w:fill="auto"/>
          </w:tcPr>
          <w:p w14:paraId="3588497E" w14:textId="77777777" w:rsidR="00DA208A" w:rsidRPr="00FF0BC7" w:rsidRDefault="00DA208A" w:rsidP="00DA208A">
            <w:pPr>
              <w:pStyle w:val="TableParagraph"/>
              <w:kinsoku w:val="0"/>
              <w:overflowPunct w:val="0"/>
              <w:spacing w:before="39" w:line="166" w:lineRule="exact"/>
              <w:ind w:right="69"/>
              <w:jc w:val="right"/>
              <w:rPr>
                <w:rFonts w:eastAsiaTheme="minorEastAsia"/>
                <w:spacing w:val="-4"/>
                <w:w w:val="105"/>
                <w:sz w:val="16"/>
                <w:szCs w:val="16"/>
              </w:rPr>
            </w:pPr>
            <w:r w:rsidRPr="00FF0BC7">
              <w:rPr>
                <w:rFonts w:eastAsiaTheme="minorEastAsia"/>
                <w:spacing w:val="-4"/>
                <w:w w:val="105"/>
                <w:sz w:val="16"/>
                <w:szCs w:val="16"/>
              </w:rPr>
              <w:t>-</w:t>
            </w:r>
          </w:p>
        </w:tc>
      </w:tr>
      <w:tr w:rsidR="00DA208A" w:rsidRPr="00DA208A" w14:paraId="611C155B" w14:textId="77777777" w:rsidTr="00104AEA">
        <w:tc>
          <w:tcPr>
            <w:tcW w:w="520" w:type="dxa"/>
            <w:shd w:val="clear" w:color="auto" w:fill="auto"/>
          </w:tcPr>
          <w:p w14:paraId="4750E459" w14:textId="77777777" w:rsidR="00DA208A" w:rsidRPr="00DA208A" w:rsidRDefault="00DA208A" w:rsidP="00DA208A">
            <w:pPr>
              <w:pStyle w:val="TabletextLeft"/>
              <w:jc w:val="right"/>
              <w:rPr>
                <w:rFonts w:cs="Arial"/>
                <w:sz w:val="16"/>
                <w:szCs w:val="16"/>
                <w:lang w:eastAsia="en-US"/>
              </w:rPr>
            </w:pPr>
            <w:r w:rsidRPr="00DA208A">
              <w:rPr>
                <w:sz w:val="16"/>
                <w:szCs w:val="16"/>
              </w:rPr>
              <w:t>5</w:t>
            </w:r>
          </w:p>
        </w:tc>
        <w:tc>
          <w:tcPr>
            <w:tcW w:w="2340" w:type="dxa"/>
            <w:shd w:val="clear" w:color="auto" w:fill="auto"/>
          </w:tcPr>
          <w:p w14:paraId="0554F6FD" w14:textId="7A92F4A1" w:rsidR="00DA208A" w:rsidRPr="00DA208A" w:rsidRDefault="004972EB" w:rsidP="004972EB">
            <w:pPr>
              <w:pStyle w:val="TabletextLeft"/>
              <w:rPr>
                <w:sz w:val="16"/>
                <w:szCs w:val="16"/>
                <w:lang w:eastAsia="en-US"/>
              </w:rPr>
            </w:pPr>
            <w:r>
              <w:rPr>
                <w:sz w:val="16"/>
                <w:szCs w:val="16"/>
              </w:rPr>
              <w:t>H135</w:t>
            </w:r>
            <w:r w:rsidR="00116FFF" w:rsidRPr="00DA208A">
              <w:rPr>
                <w:sz w:val="16"/>
                <w:szCs w:val="16"/>
                <w:vertAlign w:val="superscript"/>
              </w:rPr>
              <w:t xml:space="preserve"> </w:t>
            </w:r>
          </w:p>
        </w:tc>
        <w:tc>
          <w:tcPr>
            <w:tcW w:w="992" w:type="dxa"/>
            <w:shd w:val="clear" w:color="auto" w:fill="auto"/>
          </w:tcPr>
          <w:p w14:paraId="2793F46B" w14:textId="77777777" w:rsidR="00DA208A" w:rsidRPr="00FF0BC7" w:rsidRDefault="00DA208A" w:rsidP="00DA208A">
            <w:pPr>
              <w:pStyle w:val="TableParagraph"/>
              <w:kinsoku w:val="0"/>
              <w:overflowPunct w:val="0"/>
              <w:spacing w:before="39" w:line="166" w:lineRule="exact"/>
              <w:ind w:right="69"/>
              <w:jc w:val="right"/>
              <w:rPr>
                <w:rFonts w:eastAsiaTheme="minorEastAsia"/>
                <w:spacing w:val="-4"/>
                <w:w w:val="105"/>
                <w:sz w:val="16"/>
                <w:szCs w:val="16"/>
              </w:rPr>
            </w:pPr>
            <w:r w:rsidRPr="00FF0BC7">
              <w:rPr>
                <w:rFonts w:eastAsiaTheme="minorEastAsia"/>
                <w:spacing w:val="-4"/>
                <w:w w:val="105"/>
                <w:sz w:val="16"/>
                <w:szCs w:val="16"/>
              </w:rPr>
              <w:t>1,500</w:t>
            </w:r>
          </w:p>
        </w:tc>
        <w:tc>
          <w:tcPr>
            <w:tcW w:w="993" w:type="dxa"/>
            <w:shd w:val="clear" w:color="auto" w:fill="auto"/>
          </w:tcPr>
          <w:p w14:paraId="721482A9" w14:textId="77777777" w:rsidR="00DA208A" w:rsidRPr="00FF0BC7" w:rsidRDefault="00DA208A" w:rsidP="00DA208A">
            <w:pPr>
              <w:pStyle w:val="TableParagraph"/>
              <w:kinsoku w:val="0"/>
              <w:overflowPunct w:val="0"/>
              <w:spacing w:before="39" w:line="166" w:lineRule="exact"/>
              <w:ind w:right="69"/>
              <w:jc w:val="right"/>
              <w:rPr>
                <w:rFonts w:eastAsiaTheme="minorEastAsia"/>
                <w:spacing w:val="-4"/>
                <w:w w:val="105"/>
                <w:sz w:val="16"/>
                <w:szCs w:val="16"/>
              </w:rPr>
            </w:pPr>
            <w:r w:rsidRPr="00FF0BC7">
              <w:rPr>
                <w:rFonts w:eastAsiaTheme="minorEastAsia"/>
                <w:spacing w:val="-4"/>
                <w:w w:val="105"/>
                <w:sz w:val="16"/>
                <w:szCs w:val="16"/>
              </w:rPr>
              <w:t>3,000</w:t>
            </w:r>
          </w:p>
        </w:tc>
        <w:tc>
          <w:tcPr>
            <w:tcW w:w="992" w:type="dxa"/>
            <w:shd w:val="clear" w:color="auto" w:fill="auto"/>
          </w:tcPr>
          <w:p w14:paraId="17E58CC7" w14:textId="77777777" w:rsidR="00DA208A" w:rsidRPr="00FF0BC7" w:rsidRDefault="00DA208A" w:rsidP="00DA208A">
            <w:pPr>
              <w:pStyle w:val="TableParagraph"/>
              <w:kinsoku w:val="0"/>
              <w:overflowPunct w:val="0"/>
              <w:spacing w:before="39" w:line="166" w:lineRule="exact"/>
              <w:ind w:right="69"/>
              <w:jc w:val="right"/>
              <w:rPr>
                <w:rFonts w:eastAsiaTheme="minorEastAsia"/>
                <w:spacing w:val="-4"/>
                <w:w w:val="105"/>
                <w:sz w:val="16"/>
                <w:szCs w:val="16"/>
              </w:rPr>
            </w:pPr>
            <w:r w:rsidRPr="00FF0BC7">
              <w:rPr>
                <w:rFonts w:eastAsiaTheme="minorEastAsia"/>
                <w:spacing w:val="-4"/>
                <w:w w:val="105"/>
                <w:sz w:val="16"/>
                <w:szCs w:val="16"/>
              </w:rPr>
              <w:t>3,000</w:t>
            </w:r>
          </w:p>
        </w:tc>
        <w:tc>
          <w:tcPr>
            <w:tcW w:w="991" w:type="dxa"/>
            <w:shd w:val="clear" w:color="auto" w:fill="auto"/>
          </w:tcPr>
          <w:p w14:paraId="5C5659AD" w14:textId="77777777" w:rsidR="00DA208A" w:rsidRPr="00FF0BC7" w:rsidRDefault="00DA208A" w:rsidP="00DA208A">
            <w:pPr>
              <w:pStyle w:val="TableParagraph"/>
              <w:kinsoku w:val="0"/>
              <w:overflowPunct w:val="0"/>
              <w:spacing w:before="39" w:line="166" w:lineRule="exact"/>
              <w:ind w:right="69"/>
              <w:jc w:val="right"/>
              <w:rPr>
                <w:rFonts w:eastAsiaTheme="minorEastAsia"/>
                <w:spacing w:val="-4"/>
                <w:w w:val="105"/>
                <w:sz w:val="16"/>
                <w:szCs w:val="16"/>
              </w:rPr>
            </w:pPr>
            <w:r w:rsidRPr="00FF0BC7">
              <w:rPr>
                <w:rFonts w:eastAsiaTheme="minorEastAsia"/>
                <w:spacing w:val="-4"/>
                <w:w w:val="105"/>
                <w:sz w:val="16"/>
                <w:szCs w:val="16"/>
              </w:rPr>
              <w:t>3,000</w:t>
            </w:r>
          </w:p>
        </w:tc>
        <w:tc>
          <w:tcPr>
            <w:tcW w:w="992" w:type="dxa"/>
            <w:shd w:val="clear" w:color="auto" w:fill="auto"/>
          </w:tcPr>
          <w:p w14:paraId="77BB2234" w14:textId="77777777" w:rsidR="00DA208A" w:rsidRPr="00FF0BC7" w:rsidRDefault="00DA208A" w:rsidP="00DA208A">
            <w:pPr>
              <w:pStyle w:val="TableParagraph"/>
              <w:kinsoku w:val="0"/>
              <w:overflowPunct w:val="0"/>
              <w:spacing w:before="39" w:line="166" w:lineRule="exact"/>
              <w:ind w:right="69"/>
              <w:jc w:val="right"/>
              <w:rPr>
                <w:rFonts w:eastAsiaTheme="minorEastAsia"/>
                <w:spacing w:val="-4"/>
                <w:w w:val="105"/>
                <w:sz w:val="16"/>
                <w:szCs w:val="16"/>
              </w:rPr>
            </w:pPr>
            <w:r w:rsidRPr="00FF0BC7">
              <w:rPr>
                <w:rFonts w:eastAsiaTheme="minorEastAsia"/>
                <w:spacing w:val="-4"/>
                <w:w w:val="105"/>
                <w:sz w:val="16"/>
                <w:szCs w:val="16"/>
              </w:rPr>
              <w:t>3,000</w:t>
            </w:r>
          </w:p>
        </w:tc>
      </w:tr>
    </w:tbl>
    <w:p w14:paraId="0D6C36A1" w14:textId="77777777" w:rsidR="005403E1" w:rsidRPr="00DA208A" w:rsidRDefault="005403E1" w:rsidP="00656D60">
      <w:pPr>
        <w:pStyle w:val="NotesHeading"/>
        <w:spacing w:before="0" w:after="0"/>
        <w:rPr>
          <w:szCs w:val="16"/>
        </w:rPr>
      </w:pPr>
    </w:p>
    <w:p w14:paraId="0B78678D" w14:textId="77777777" w:rsidR="00752DEB" w:rsidRPr="00525BD9" w:rsidRDefault="00752DEB" w:rsidP="00525BD9">
      <w:pPr>
        <w:pStyle w:val="NotesHeading"/>
        <w:spacing w:before="0" w:after="0"/>
        <w:rPr>
          <w:sz w:val="14"/>
          <w:szCs w:val="14"/>
        </w:rPr>
      </w:pPr>
      <w:r w:rsidRPr="00525BD9">
        <w:rPr>
          <w:sz w:val="14"/>
          <w:szCs w:val="14"/>
        </w:rPr>
        <w:t>Notes</w:t>
      </w:r>
    </w:p>
    <w:p w14:paraId="6043AFC0" w14:textId="095CED76" w:rsidR="00A00080" w:rsidRPr="00FF0BC7" w:rsidRDefault="00A00080" w:rsidP="00525BD9">
      <w:pPr>
        <w:pStyle w:val="ListParagraph"/>
        <w:widowControl w:val="0"/>
        <w:numPr>
          <w:ilvl w:val="0"/>
          <w:numId w:val="27"/>
        </w:numPr>
        <w:tabs>
          <w:tab w:val="left" w:pos="1322"/>
        </w:tabs>
        <w:kinsoku w:val="0"/>
        <w:overflowPunct w:val="0"/>
        <w:autoSpaceDE w:val="0"/>
        <w:autoSpaceDN w:val="0"/>
        <w:adjustRightInd w:val="0"/>
        <w:spacing w:before="0" w:after="0" w:line="247" w:lineRule="auto"/>
        <w:ind w:left="284" w:right="-86" w:hanging="284"/>
        <w:contextualSpacing w:val="0"/>
        <w:rPr>
          <w:rFonts w:ascii="Arial" w:hAnsi="Arial"/>
          <w:sz w:val="14"/>
          <w:szCs w:val="14"/>
        </w:rPr>
      </w:pPr>
      <w:r w:rsidRPr="00FF0BC7">
        <w:rPr>
          <w:rFonts w:ascii="Arial" w:hAnsi="Arial"/>
          <w:sz w:val="14"/>
          <w:szCs w:val="14"/>
        </w:rPr>
        <w:t>Reducing ARH Tiger Rate of Effort (ROE) reflects transition of the capability to the replacement Boeing AH-64E Apache.</w:t>
      </w:r>
    </w:p>
    <w:p w14:paraId="45955821" w14:textId="311CA36D" w:rsidR="00A00080" w:rsidRPr="00FF0BC7" w:rsidRDefault="00A00080" w:rsidP="00525BD9">
      <w:pPr>
        <w:pStyle w:val="ListParagraph"/>
        <w:widowControl w:val="0"/>
        <w:numPr>
          <w:ilvl w:val="0"/>
          <w:numId w:val="27"/>
        </w:numPr>
        <w:tabs>
          <w:tab w:val="left" w:pos="1323"/>
        </w:tabs>
        <w:kinsoku w:val="0"/>
        <w:overflowPunct w:val="0"/>
        <w:autoSpaceDE w:val="0"/>
        <w:autoSpaceDN w:val="0"/>
        <w:adjustRightInd w:val="0"/>
        <w:spacing w:before="0" w:after="0" w:line="242" w:lineRule="auto"/>
        <w:ind w:left="284" w:right="-86" w:hanging="284"/>
        <w:contextualSpacing w:val="0"/>
        <w:rPr>
          <w:rFonts w:ascii="Arial" w:hAnsi="Arial"/>
          <w:sz w:val="14"/>
          <w:szCs w:val="14"/>
        </w:rPr>
      </w:pPr>
      <w:r w:rsidRPr="00FF0BC7">
        <w:rPr>
          <w:rFonts w:ascii="Arial" w:hAnsi="Arial"/>
          <w:sz w:val="14"/>
          <w:szCs w:val="14"/>
        </w:rPr>
        <w:t xml:space="preserve">AH-64E Apache Forward Estimates reflect the fleet's planned introduction into service in accordance with Plan TALON as it replaces ARH Tiger. Aircraft deliveries will progressively increase to a fleet of 29. Updated ROE figures </w:t>
      </w:r>
      <w:r w:rsidR="002461B1">
        <w:rPr>
          <w:rFonts w:ascii="Arial" w:hAnsi="Arial"/>
          <w:sz w:val="14"/>
          <w:szCs w:val="14"/>
        </w:rPr>
        <w:t xml:space="preserve">from 2025-26 onwards </w:t>
      </w:r>
      <w:r w:rsidRPr="00FF0BC7">
        <w:rPr>
          <w:rFonts w:ascii="Arial" w:hAnsi="Arial"/>
          <w:sz w:val="14"/>
          <w:szCs w:val="14"/>
        </w:rPr>
        <w:t>reflect revised capability milestones</w:t>
      </w:r>
      <w:r w:rsidR="002461B1">
        <w:rPr>
          <w:rFonts w:ascii="Arial" w:hAnsi="Arial"/>
          <w:sz w:val="14"/>
          <w:szCs w:val="14"/>
        </w:rPr>
        <w:t xml:space="preserve"> as agreed by Government. </w:t>
      </w:r>
    </w:p>
    <w:p w14:paraId="0D62D0B8" w14:textId="77777777" w:rsidR="00A00080" w:rsidRPr="00FF0BC7" w:rsidRDefault="00A00080" w:rsidP="00525BD9">
      <w:pPr>
        <w:pStyle w:val="ListParagraph"/>
        <w:widowControl w:val="0"/>
        <w:numPr>
          <w:ilvl w:val="0"/>
          <w:numId w:val="27"/>
        </w:numPr>
        <w:tabs>
          <w:tab w:val="left" w:pos="1321"/>
        </w:tabs>
        <w:kinsoku w:val="0"/>
        <w:overflowPunct w:val="0"/>
        <w:autoSpaceDE w:val="0"/>
        <w:autoSpaceDN w:val="0"/>
        <w:adjustRightInd w:val="0"/>
        <w:spacing w:before="2" w:after="0"/>
        <w:ind w:left="284" w:right="-86" w:hanging="284"/>
        <w:contextualSpacing w:val="0"/>
        <w:rPr>
          <w:rFonts w:ascii="Arial" w:hAnsi="Arial"/>
          <w:sz w:val="14"/>
          <w:szCs w:val="14"/>
        </w:rPr>
      </w:pPr>
      <w:r w:rsidRPr="00FF0BC7">
        <w:rPr>
          <w:rFonts w:ascii="Arial" w:hAnsi="Arial"/>
          <w:sz w:val="14"/>
          <w:szCs w:val="14"/>
        </w:rPr>
        <w:t>UH-60M Black Hawk Forward Estimates reflect the fleet's planned introduction into service as it replaces MRH90 Taipan. Aircraft deliveries commenced in Quarter 2, 2023 and will progressively increase to a fleet of 40.</w:t>
      </w:r>
    </w:p>
    <w:p w14:paraId="22EDD772" w14:textId="507301ED" w:rsidR="00A00080" w:rsidRPr="00FF0BC7" w:rsidRDefault="00A00080" w:rsidP="00A00080">
      <w:pPr>
        <w:pStyle w:val="ListParagraph"/>
        <w:widowControl w:val="0"/>
        <w:numPr>
          <w:ilvl w:val="0"/>
          <w:numId w:val="27"/>
        </w:numPr>
        <w:tabs>
          <w:tab w:val="left" w:pos="1311"/>
        </w:tabs>
        <w:kinsoku w:val="0"/>
        <w:overflowPunct w:val="0"/>
        <w:autoSpaceDE w:val="0"/>
        <w:autoSpaceDN w:val="0"/>
        <w:adjustRightInd w:val="0"/>
        <w:spacing w:before="4" w:after="0" w:line="149" w:lineRule="exact"/>
        <w:ind w:left="284" w:hanging="284"/>
        <w:contextualSpacing w:val="0"/>
        <w:rPr>
          <w:rFonts w:ascii="Arial" w:hAnsi="Arial"/>
          <w:sz w:val="14"/>
          <w:szCs w:val="14"/>
        </w:rPr>
      </w:pPr>
      <w:r w:rsidRPr="00FF0BC7">
        <w:rPr>
          <w:rFonts w:ascii="Arial" w:hAnsi="Arial"/>
          <w:sz w:val="14"/>
          <w:szCs w:val="14"/>
        </w:rPr>
        <w:t>Shadow 200 withdrawn from service in December 2024.</w:t>
      </w:r>
    </w:p>
    <w:p w14:paraId="196EF786" w14:textId="5BE05E99" w:rsidR="00A00080" w:rsidRDefault="00A00080" w:rsidP="00525BD9">
      <w:pPr>
        <w:pStyle w:val="ListParagraph"/>
        <w:widowControl w:val="0"/>
        <w:numPr>
          <w:ilvl w:val="0"/>
          <w:numId w:val="27"/>
        </w:numPr>
        <w:tabs>
          <w:tab w:val="left" w:pos="1317"/>
        </w:tabs>
        <w:kinsoku w:val="0"/>
        <w:overflowPunct w:val="0"/>
        <w:autoSpaceDE w:val="0"/>
        <w:autoSpaceDN w:val="0"/>
        <w:adjustRightInd w:val="0"/>
        <w:spacing w:before="0" w:after="0" w:line="242" w:lineRule="auto"/>
        <w:ind w:left="284" w:right="-228" w:hanging="284"/>
        <w:contextualSpacing w:val="0"/>
        <w:rPr>
          <w:rFonts w:ascii="Arial" w:hAnsi="Arial"/>
          <w:sz w:val="14"/>
          <w:szCs w:val="14"/>
        </w:rPr>
      </w:pPr>
      <w:r w:rsidRPr="00FF0BC7">
        <w:rPr>
          <w:rFonts w:ascii="Arial" w:hAnsi="Arial"/>
          <w:sz w:val="14"/>
          <w:szCs w:val="14"/>
        </w:rPr>
        <w:t>RQ-21 Integrator TUAS Forward Estimates reflect the fleet's planned Introduction into se</w:t>
      </w:r>
      <w:r w:rsidR="00525BD9">
        <w:rPr>
          <w:rFonts w:ascii="Arial" w:hAnsi="Arial"/>
          <w:sz w:val="14"/>
          <w:szCs w:val="14"/>
        </w:rPr>
        <w:t xml:space="preserve">rvice as it replaces Shadow 200 </w:t>
      </w:r>
      <w:r w:rsidRPr="00FF0BC7">
        <w:rPr>
          <w:rFonts w:ascii="Arial" w:hAnsi="Arial"/>
          <w:sz w:val="14"/>
          <w:szCs w:val="14"/>
        </w:rPr>
        <w:t xml:space="preserve">TUAS. The </w:t>
      </w:r>
      <w:r w:rsidR="00FB1095" w:rsidRPr="00FF0BC7">
        <w:rPr>
          <w:rFonts w:ascii="Arial" w:hAnsi="Arial"/>
          <w:sz w:val="14"/>
          <w:szCs w:val="14"/>
        </w:rPr>
        <w:t>higher ROE</w:t>
      </w:r>
      <w:r w:rsidRPr="00FF0BC7">
        <w:rPr>
          <w:rFonts w:ascii="Arial" w:hAnsi="Arial"/>
          <w:sz w:val="14"/>
          <w:szCs w:val="14"/>
        </w:rPr>
        <w:t xml:space="preserve"> in 2025-26 estimate is due to anticipated support to operations. System deliveries have commenced and will progressively increase to a fleet of 6 systems.</w:t>
      </w:r>
    </w:p>
    <w:p w14:paraId="499A052C" w14:textId="56C0A4ED" w:rsidR="00CF3FAF" w:rsidRPr="00FF0BC7" w:rsidRDefault="00CF3FAF" w:rsidP="00525BD9">
      <w:pPr>
        <w:pStyle w:val="ListParagraph"/>
        <w:widowControl w:val="0"/>
        <w:numPr>
          <w:ilvl w:val="0"/>
          <w:numId w:val="27"/>
        </w:numPr>
        <w:tabs>
          <w:tab w:val="left" w:pos="1317"/>
        </w:tabs>
        <w:kinsoku w:val="0"/>
        <w:overflowPunct w:val="0"/>
        <w:autoSpaceDE w:val="0"/>
        <w:autoSpaceDN w:val="0"/>
        <w:adjustRightInd w:val="0"/>
        <w:spacing w:before="0" w:after="0" w:line="242" w:lineRule="auto"/>
        <w:ind w:left="284" w:right="-228" w:hanging="284"/>
        <w:contextualSpacing w:val="0"/>
        <w:rPr>
          <w:rFonts w:ascii="Arial" w:hAnsi="Arial"/>
          <w:sz w:val="14"/>
          <w:szCs w:val="14"/>
        </w:rPr>
      </w:pPr>
      <w:r>
        <w:rPr>
          <w:rFonts w:ascii="Arial" w:hAnsi="Arial"/>
          <w:sz w:val="14"/>
          <w:szCs w:val="14"/>
        </w:rPr>
        <w:t>The AW139 fleet will be withdrawn from service at the end of Quarter 2, 2025.</w:t>
      </w:r>
    </w:p>
    <w:p w14:paraId="126112DE" w14:textId="39FB77FC" w:rsidR="0019134A" w:rsidRPr="00B56FAA" w:rsidRDefault="00A00060" w:rsidP="00752DEB">
      <w:pPr>
        <w:spacing w:before="0" w:after="0"/>
        <w:outlineLvl w:val="5"/>
        <w:rPr>
          <w:color w:val="FFFFFF"/>
          <w:sz w:val="2"/>
        </w:rPr>
      </w:pPr>
      <w:r w:rsidRPr="00B56FAA">
        <w:rPr>
          <w:lang w:val="en-AU"/>
        </w:rPr>
        <w:br w:type="page"/>
      </w:r>
      <w:r w:rsidR="0019134A" w:rsidRPr="00B56FAA">
        <w:rPr>
          <w:color w:val="FFFFFF"/>
          <w:sz w:val="2"/>
        </w:rPr>
        <w:lastRenderedPageBreak/>
        <w:t>Program 2.7: Air Force Capabilities</w:t>
      </w:r>
    </w:p>
    <w:tbl>
      <w:tblPr>
        <w:tblW w:w="4852"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670"/>
        <w:gridCol w:w="2882"/>
        <w:gridCol w:w="3058"/>
      </w:tblGrid>
      <w:tr w:rsidR="00FF0FC2" w:rsidRPr="00B56FAA" w14:paraId="57FE2A4A" w14:textId="77777777" w:rsidTr="00FF0BC7">
        <w:tc>
          <w:tcPr>
            <w:tcW w:w="8353" w:type="dxa"/>
            <w:gridSpan w:val="3"/>
            <w:tcBorders>
              <w:top w:val="single" w:sz="4" w:space="0" w:color="auto"/>
              <w:bottom w:val="single" w:sz="4" w:space="0" w:color="auto"/>
            </w:tcBorders>
            <w:shd w:val="clear" w:color="auto" w:fill="CCCCCC"/>
          </w:tcPr>
          <w:p w14:paraId="311D9C33" w14:textId="77777777" w:rsidR="00FF0FC2" w:rsidRPr="00B56FAA" w:rsidRDefault="00FF0FC2" w:rsidP="00072EF9">
            <w:pPr>
              <w:pStyle w:val="Heading5"/>
              <w:spacing w:before="60" w:after="60"/>
            </w:pPr>
            <w:r w:rsidRPr="00B56FAA">
              <w:br w:type="page"/>
              <w:t>Program 2.7: Air Force Capabilities</w:t>
            </w:r>
          </w:p>
        </w:tc>
      </w:tr>
      <w:tr w:rsidR="00FF0FC2" w:rsidRPr="00B56FAA" w14:paraId="1586CCCA" w14:textId="77777777" w:rsidTr="0004322A">
        <w:tc>
          <w:tcPr>
            <w:tcW w:w="8353" w:type="dxa"/>
            <w:gridSpan w:val="3"/>
            <w:tcBorders>
              <w:left w:val="nil"/>
              <w:right w:val="nil"/>
            </w:tcBorders>
            <w:shd w:val="clear" w:color="auto" w:fill="auto"/>
          </w:tcPr>
          <w:p w14:paraId="4CA949F3" w14:textId="77777777" w:rsidR="00FF0FC2" w:rsidRPr="00B56FAA" w:rsidRDefault="00FF0FC2" w:rsidP="00072EF9">
            <w:pPr>
              <w:pStyle w:val="Heading5"/>
              <w:spacing w:before="0" w:after="0"/>
              <w:rPr>
                <w:sz w:val="16"/>
                <w:szCs w:val="16"/>
              </w:rPr>
            </w:pPr>
          </w:p>
        </w:tc>
      </w:tr>
      <w:tr w:rsidR="00FF0FC2" w:rsidRPr="00E96419" w14:paraId="5C43F345" w14:textId="77777777" w:rsidTr="0004322A">
        <w:tblPrEx>
          <w:shd w:val="clear" w:color="auto" w:fill="auto"/>
          <w:tblLook w:val="04A0" w:firstRow="1" w:lastRow="0" w:firstColumn="1" w:lastColumn="0" w:noHBand="0" w:noVBand="1"/>
        </w:tblPrEx>
        <w:trPr>
          <w:trHeight w:val="692"/>
          <w:tblHeader/>
        </w:trPr>
        <w:tc>
          <w:tcPr>
            <w:tcW w:w="8353" w:type="dxa"/>
            <w:gridSpan w:val="3"/>
            <w:shd w:val="clear" w:color="auto" w:fill="E6E6E6"/>
          </w:tcPr>
          <w:p w14:paraId="6F6B2F3B" w14:textId="77777777" w:rsidR="00FF0FC2" w:rsidRPr="00E96419" w:rsidRDefault="00FF0FC2" w:rsidP="00072EF9">
            <w:pPr>
              <w:tabs>
                <w:tab w:val="left" w:pos="709"/>
              </w:tabs>
              <w:spacing w:before="60" w:after="60"/>
              <w:rPr>
                <w:rFonts w:ascii="Arial" w:hAnsi="Arial"/>
                <w:sz w:val="16"/>
                <w:szCs w:val="16"/>
              </w:rPr>
            </w:pPr>
            <w:r w:rsidRPr="00E96419">
              <w:rPr>
                <w:rFonts w:ascii="Arial" w:hAnsi="Arial"/>
                <w:b/>
                <w:sz w:val="16"/>
                <w:szCs w:val="16"/>
              </w:rPr>
              <w:t>Program 2.7</w:t>
            </w:r>
            <w:r w:rsidRPr="00E96419">
              <w:rPr>
                <w:rFonts w:ascii="Arial" w:hAnsi="Arial"/>
                <w:sz w:val="16"/>
                <w:szCs w:val="16"/>
              </w:rPr>
              <w:t xml:space="preserve"> </w:t>
            </w:r>
            <w:r w:rsidRPr="00E96419">
              <w:rPr>
                <w:rFonts w:ascii="Arial" w:hAnsi="Arial"/>
                <w:b/>
                <w:sz w:val="16"/>
                <w:szCs w:val="16"/>
              </w:rPr>
              <w:t>Objective</w:t>
            </w:r>
          </w:p>
          <w:p w14:paraId="7DFFE011" w14:textId="77777777" w:rsidR="00FF0FC2" w:rsidRPr="00E96419" w:rsidRDefault="00FF0FC2" w:rsidP="00F26EE5">
            <w:pPr>
              <w:tabs>
                <w:tab w:val="left" w:pos="709"/>
              </w:tabs>
              <w:spacing w:before="60" w:after="60"/>
              <w:rPr>
                <w:rFonts w:ascii="Arial" w:hAnsi="Arial"/>
                <w:sz w:val="16"/>
                <w:szCs w:val="16"/>
              </w:rPr>
            </w:pPr>
            <w:r w:rsidRPr="00E96419">
              <w:rPr>
                <w:rFonts w:ascii="Arial" w:hAnsi="Arial"/>
                <w:sz w:val="16"/>
                <w:szCs w:val="16"/>
                <w:lang w:val="en-AU"/>
              </w:rPr>
              <w:t>To provide air power capabilities that contribute to the Australian Defence Force’s capacity to defend Australia, contribute to regional security, support Australia’s global interests, shape the strategic environment and protect national interests.</w:t>
            </w:r>
          </w:p>
        </w:tc>
      </w:tr>
      <w:tr w:rsidR="00FF0FC2" w:rsidRPr="00E96419" w14:paraId="0023E992" w14:textId="77777777" w:rsidTr="003C0162">
        <w:tblPrEx>
          <w:shd w:val="clear" w:color="auto" w:fill="auto"/>
          <w:tblLook w:val="04A0" w:firstRow="1" w:lastRow="0" w:firstColumn="1" w:lastColumn="0" w:noHBand="0" w:noVBand="1"/>
        </w:tblPrEx>
        <w:trPr>
          <w:trHeight w:val="312"/>
        </w:trPr>
        <w:tc>
          <w:tcPr>
            <w:tcW w:w="1799" w:type="dxa"/>
            <w:tcBorders>
              <w:bottom w:val="single" w:sz="4" w:space="0" w:color="auto"/>
            </w:tcBorders>
          </w:tcPr>
          <w:p w14:paraId="35D88B17" w14:textId="77777777" w:rsidR="00FF0FC2" w:rsidRPr="00E96419" w:rsidRDefault="004A16A7" w:rsidP="004A16A7">
            <w:pPr>
              <w:tabs>
                <w:tab w:val="left" w:pos="709"/>
              </w:tabs>
              <w:spacing w:before="60" w:after="60"/>
              <w:rPr>
                <w:rFonts w:ascii="Arial" w:hAnsi="Arial"/>
                <w:b/>
                <w:color w:val="000000"/>
                <w:sz w:val="16"/>
                <w:szCs w:val="16"/>
              </w:rPr>
            </w:pPr>
            <w:r>
              <w:rPr>
                <w:rFonts w:ascii="Arial" w:hAnsi="Arial"/>
                <w:b/>
                <w:color w:val="000000"/>
                <w:sz w:val="16"/>
                <w:szCs w:val="16"/>
              </w:rPr>
              <w:t>Key Activities</w:t>
            </w:r>
          </w:p>
        </w:tc>
        <w:tc>
          <w:tcPr>
            <w:tcW w:w="6554" w:type="dxa"/>
            <w:gridSpan w:val="2"/>
            <w:tcBorders>
              <w:bottom w:val="single" w:sz="4" w:space="0" w:color="auto"/>
            </w:tcBorders>
          </w:tcPr>
          <w:p w14:paraId="4F5CAFD8" w14:textId="77777777" w:rsidR="00FF0FC2" w:rsidRPr="00E96419" w:rsidRDefault="00FF0FC2" w:rsidP="00072EF9">
            <w:pPr>
              <w:tabs>
                <w:tab w:val="left" w:pos="343"/>
              </w:tabs>
              <w:spacing w:before="60" w:after="60"/>
              <w:rPr>
                <w:rFonts w:ascii="Arial" w:hAnsi="Arial"/>
                <w:bCs/>
                <w:color w:val="000000"/>
                <w:sz w:val="16"/>
                <w:szCs w:val="16"/>
                <w:lang w:val="en-AU"/>
              </w:rPr>
            </w:pPr>
            <w:r w:rsidRPr="00E96419">
              <w:rPr>
                <w:rFonts w:ascii="Arial" w:hAnsi="Arial"/>
                <w:bCs/>
                <w:color w:val="000000"/>
                <w:sz w:val="16"/>
                <w:szCs w:val="16"/>
                <w:lang w:val="en-AU"/>
              </w:rPr>
              <w:t>This program will be achieved through the following activities:</w:t>
            </w:r>
          </w:p>
          <w:p w14:paraId="31D2DE0B" w14:textId="6A33DBF5" w:rsidR="00FF0FC2" w:rsidRPr="00E96419" w:rsidRDefault="00FF0FC2" w:rsidP="00072EF9">
            <w:pPr>
              <w:tabs>
                <w:tab w:val="left" w:pos="343"/>
              </w:tabs>
              <w:spacing w:before="60" w:after="60"/>
              <w:rPr>
                <w:rFonts w:ascii="Arial" w:hAnsi="Arial"/>
                <w:bCs/>
                <w:color w:val="000000"/>
                <w:sz w:val="16"/>
                <w:szCs w:val="16"/>
                <w:lang w:val="en-AU"/>
              </w:rPr>
            </w:pPr>
            <w:r w:rsidRPr="00CC337B">
              <w:rPr>
                <w:rFonts w:ascii="Arial" w:hAnsi="Arial"/>
                <w:b/>
                <w:sz w:val="16"/>
                <w:szCs w:val="16"/>
                <w:lang w:val="en-AU"/>
              </w:rPr>
              <w:t xml:space="preserve">1. </w:t>
            </w:r>
            <w:r w:rsidR="00FF0BC7" w:rsidRPr="00CC337B">
              <w:rPr>
                <w:rFonts w:ascii="Arial" w:hAnsi="Arial"/>
                <w:b/>
                <w:sz w:val="16"/>
                <w:szCs w:val="16"/>
                <w:lang w:val="en-AU"/>
              </w:rPr>
              <w:t>Conduct operations and deployments to defend Australia and its national interests.</w:t>
            </w:r>
            <w:r w:rsidRPr="00CC337B">
              <w:t xml:space="preserve"> </w:t>
            </w:r>
            <w:r w:rsidRPr="00CC337B">
              <w:rPr>
                <w:rFonts w:ascii="Arial" w:hAnsi="Arial"/>
                <w:color w:val="000000"/>
                <w:sz w:val="16"/>
                <w:szCs w:val="16"/>
                <w:lang w:val="en-AU"/>
              </w:rPr>
              <w:t>Defence conducts operations and deployments both within Australia and overseas</w:t>
            </w:r>
            <w:r w:rsidRPr="00E96419">
              <w:rPr>
                <w:rFonts w:ascii="Arial" w:hAnsi="Arial"/>
                <w:color w:val="000000"/>
                <w:sz w:val="16"/>
                <w:szCs w:val="16"/>
                <w:lang w:val="en-AU"/>
              </w:rPr>
              <w:t>, in accordance with direction from the Government. When required, Defence responds with military force to defend Australia and its national interests. Defence also works in close collaboration with our international partners and federal, state and territory governments to support our response to crises and disasters at home and abroad.</w:t>
            </w:r>
          </w:p>
          <w:p w14:paraId="019D070B" w14:textId="77777777" w:rsidR="00FF0FC2" w:rsidRPr="00E96419" w:rsidRDefault="00FF0FC2" w:rsidP="00072EF9">
            <w:pPr>
              <w:tabs>
                <w:tab w:val="left" w:pos="343"/>
              </w:tabs>
              <w:spacing w:before="60" w:after="60"/>
              <w:rPr>
                <w:rFonts w:ascii="Arial" w:hAnsi="Arial"/>
                <w:i/>
                <w:color w:val="000000"/>
                <w:sz w:val="16"/>
                <w:szCs w:val="16"/>
              </w:rPr>
            </w:pPr>
            <w:r w:rsidRPr="00E96419">
              <w:rPr>
                <w:rFonts w:ascii="Arial" w:hAnsi="Arial"/>
                <w:b/>
                <w:sz w:val="16"/>
                <w:szCs w:val="16"/>
                <w:lang w:val="en-AU"/>
              </w:rPr>
              <w:t>6. Deliver future capability</w:t>
            </w:r>
            <w:r w:rsidRPr="00E96419">
              <w:rPr>
                <w:rFonts w:ascii="Arial" w:hAnsi="Arial"/>
                <w:sz w:val="16"/>
                <w:szCs w:val="16"/>
                <w:lang w:val="en-AU"/>
              </w:rPr>
              <w:t xml:space="preserve">. </w:t>
            </w:r>
            <w:r w:rsidRPr="00E96419">
              <w:rPr>
                <w:rFonts w:ascii="Arial" w:hAnsi="Arial"/>
                <w:sz w:val="16"/>
                <w:szCs w:val="16"/>
              </w:rPr>
              <w:t>Defence will accelerate the development of important capabilities over the next decade to build an integrated, focused force across the maritime, land, air, space and cyber domains. This will ensure the Australian Defence Force has the capacity to defend Australia and its national interests in our evolving strategic circumstances and deter adversaries through a strategy of denial.</w:t>
            </w:r>
          </w:p>
        </w:tc>
      </w:tr>
      <w:tr w:rsidR="00FF0FC2" w:rsidRPr="00E96419" w14:paraId="311C6A84" w14:textId="77777777" w:rsidTr="003C0162">
        <w:tblPrEx>
          <w:shd w:val="clear" w:color="auto" w:fill="auto"/>
          <w:tblLook w:val="04A0" w:firstRow="1" w:lastRow="0" w:firstColumn="1" w:lastColumn="0" w:noHBand="0" w:noVBand="1"/>
        </w:tblPrEx>
        <w:trPr>
          <w:trHeight w:val="100"/>
        </w:trPr>
        <w:tc>
          <w:tcPr>
            <w:tcW w:w="1799" w:type="dxa"/>
            <w:tcBorders>
              <w:top w:val="single" w:sz="4" w:space="0" w:color="auto"/>
              <w:bottom w:val="single" w:sz="4" w:space="0" w:color="auto"/>
              <w:right w:val="single" w:sz="4" w:space="0" w:color="auto"/>
            </w:tcBorders>
          </w:tcPr>
          <w:p w14:paraId="7CC43ED5" w14:textId="77777777" w:rsidR="00FF0FC2" w:rsidRPr="00E96419" w:rsidRDefault="00FF0FC2" w:rsidP="00072EF9">
            <w:pPr>
              <w:tabs>
                <w:tab w:val="left" w:pos="709"/>
              </w:tabs>
              <w:spacing w:before="60" w:after="60"/>
              <w:rPr>
                <w:rFonts w:ascii="Arial" w:hAnsi="Arial"/>
                <w:color w:val="000000"/>
                <w:sz w:val="16"/>
                <w:szCs w:val="16"/>
              </w:rPr>
            </w:pPr>
            <w:r w:rsidRPr="00E96419">
              <w:rPr>
                <w:rFonts w:ascii="Arial" w:hAnsi="Arial"/>
                <w:b/>
                <w:color w:val="000000"/>
                <w:sz w:val="16"/>
                <w:szCs w:val="16"/>
              </w:rPr>
              <w:t>Year</w:t>
            </w:r>
          </w:p>
        </w:tc>
        <w:tc>
          <w:tcPr>
            <w:tcW w:w="3174" w:type="dxa"/>
            <w:tcBorders>
              <w:top w:val="single" w:sz="4" w:space="0" w:color="auto"/>
              <w:left w:val="single" w:sz="4" w:space="0" w:color="auto"/>
              <w:bottom w:val="single" w:sz="4" w:space="0" w:color="auto"/>
              <w:right w:val="single" w:sz="4" w:space="0" w:color="auto"/>
            </w:tcBorders>
          </w:tcPr>
          <w:p w14:paraId="0FAB70F2" w14:textId="77777777" w:rsidR="00FF0FC2" w:rsidRPr="00E96419" w:rsidRDefault="00FF0FC2" w:rsidP="00072EF9">
            <w:pPr>
              <w:tabs>
                <w:tab w:val="left" w:pos="709"/>
              </w:tabs>
              <w:spacing w:before="60" w:after="60"/>
              <w:rPr>
                <w:rFonts w:ascii="Arial" w:hAnsi="Arial"/>
                <w:color w:val="000000"/>
              </w:rPr>
            </w:pPr>
            <w:r w:rsidRPr="00E96419">
              <w:rPr>
                <w:rFonts w:ascii="Arial" w:hAnsi="Arial"/>
                <w:b/>
                <w:color w:val="000000"/>
                <w:sz w:val="16"/>
                <w:szCs w:val="16"/>
              </w:rPr>
              <w:t>Performance measures</w:t>
            </w:r>
          </w:p>
        </w:tc>
        <w:tc>
          <w:tcPr>
            <w:tcW w:w="3380" w:type="dxa"/>
            <w:tcBorders>
              <w:top w:val="single" w:sz="4" w:space="0" w:color="auto"/>
              <w:left w:val="single" w:sz="4" w:space="0" w:color="auto"/>
              <w:bottom w:val="single" w:sz="4" w:space="0" w:color="auto"/>
            </w:tcBorders>
          </w:tcPr>
          <w:p w14:paraId="3F18AFC8" w14:textId="77777777" w:rsidR="00FF0FC2" w:rsidRPr="00E96419" w:rsidRDefault="00FF0FC2" w:rsidP="00072EF9">
            <w:pPr>
              <w:tabs>
                <w:tab w:val="left" w:pos="709"/>
              </w:tabs>
              <w:spacing w:before="60" w:after="60"/>
              <w:rPr>
                <w:rFonts w:ascii="Arial" w:hAnsi="Arial"/>
                <w:i/>
                <w:color w:val="000000"/>
                <w:sz w:val="16"/>
                <w:szCs w:val="16"/>
              </w:rPr>
            </w:pPr>
            <w:r w:rsidRPr="00E96419">
              <w:rPr>
                <w:rFonts w:ascii="Arial" w:hAnsi="Arial"/>
                <w:b/>
                <w:color w:val="000000"/>
                <w:sz w:val="16"/>
                <w:szCs w:val="16"/>
              </w:rPr>
              <w:t>Expected Performance Results</w:t>
            </w:r>
          </w:p>
        </w:tc>
      </w:tr>
      <w:tr w:rsidR="008E4752" w:rsidRPr="00E96419" w14:paraId="1DC2B5C3" w14:textId="77777777" w:rsidTr="003C0162">
        <w:tblPrEx>
          <w:shd w:val="clear" w:color="auto" w:fill="auto"/>
          <w:tblLook w:val="04A0" w:firstRow="1" w:lastRow="0" w:firstColumn="1" w:lastColumn="0" w:noHBand="0" w:noVBand="1"/>
        </w:tblPrEx>
        <w:trPr>
          <w:trHeight w:val="470"/>
        </w:trPr>
        <w:tc>
          <w:tcPr>
            <w:tcW w:w="1799" w:type="dxa"/>
            <w:vMerge w:val="restart"/>
            <w:tcBorders>
              <w:top w:val="single" w:sz="4" w:space="0" w:color="auto"/>
              <w:right w:val="single" w:sz="4" w:space="0" w:color="auto"/>
            </w:tcBorders>
          </w:tcPr>
          <w:p w14:paraId="2A2F2225" w14:textId="77777777" w:rsidR="008E4752" w:rsidRPr="00E96419" w:rsidRDefault="008E4752" w:rsidP="008E4752">
            <w:pPr>
              <w:tabs>
                <w:tab w:val="left" w:pos="709"/>
              </w:tabs>
              <w:spacing w:before="0" w:after="0"/>
              <w:rPr>
                <w:rFonts w:ascii="Arial" w:hAnsi="Arial"/>
                <w:color w:val="000000"/>
                <w:sz w:val="16"/>
                <w:szCs w:val="16"/>
              </w:rPr>
            </w:pPr>
            <w:r w:rsidRPr="00E96419">
              <w:rPr>
                <w:rFonts w:ascii="Arial" w:hAnsi="Arial"/>
                <w:color w:val="000000"/>
                <w:sz w:val="16"/>
                <w:szCs w:val="16"/>
              </w:rPr>
              <w:t>Current Year</w:t>
            </w:r>
          </w:p>
          <w:p w14:paraId="6D3DB743" w14:textId="77777777" w:rsidR="008E4752" w:rsidRPr="00E96419" w:rsidRDefault="008E4752" w:rsidP="008E4752">
            <w:pPr>
              <w:tabs>
                <w:tab w:val="left" w:pos="709"/>
              </w:tabs>
              <w:spacing w:before="0" w:after="0"/>
              <w:rPr>
                <w:rFonts w:ascii="Arial" w:hAnsi="Arial"/>
                <w:color w:val="000000"/>
                <w:sz w:val="16"/>
                <w:szCs w:val="16"/>
              </w:rPr>
            </w:pPr>
            <w:r w:rsidRPr="00E96419">
              <w:rPr>
                <w:rFonts w:ascii="Arial" w:hAnsi="Arial"/>
                <w:color w:val="000000"/>
                <w:sz w:val="16"/>
                <w:szCs w:val="16"/>
              </w:rPr>
              <w:t>2024-25</w:t>
            </w:r>
            <w:r>
              <w:rPr>
                <w:rFonts w:ascii="Arial" w:hAnsi="Arial"/>
                <w:color w:val="000000"/>
                <w:sz w:val="16"/>
                <w:szCs w:val="16"/>
              </w:rPr>
              <w:t xml:space="preserve"> </w:t>
            </w:r>
            <w:r w:rsidRPr="008E4752">
              <w:rPr>
                <w:rFonts w:ascii="Arial" w:hAnsi="Arial"/>
                <w:color w:val="000000"/>
                <w:sz w:val="16"/>
                <w:szCs w:val="16"/>
                <w:vertAlign w:val="superscript"/>
              </w:rPr>
              <w:t>[a]</w:t>
            </w:r>
          </w:p>
        </w:tc>
        <w:tc>
          <w:tcPr>
            <w:tcW w:w="3174" w:type="dxa"/>
            <w:tcBorders>
              <w:top w:val="single" w:sz="4" w:space="0" w:color="auto"/>
              <w:left w:val="single" w:sz="4" w:space="0" w:color="auto"/>
              <w:bottom w:val="dotted" w:sz="4" w:space="0" w:color="auto"/>
              <w:right w:val="single" w:sz="4" w:space="0" w:color="auto"/>
            </w:tcBorders>
          </w:tcPr>
          <w:p w14:paraId="73AC6CAA" w14:textId="64F04FC2" w:rsidR="008E4752" w:rsidRPr="00752D2F" w:rsidRDefault="00752D2F" w:rsidP="00752D2F">
            <w:pPr>
              <w:tabs>
                <w:tab w:val="left" w:pos="709"/>
              </w:tabs>
              <w:spacing w:before="60" w:after="60"/>
              <w:rPr>
                <w:rFonts w:ascii="Arial" w:hAnsi="Arial"/>
                <w:color w:val="000000"/>
                <w:sz w:val="16"/>
                <w:szCs w:val="16"/>
              </w:rPr>
            </w:pPr>
            <w:r w:rsidRPr="00752D2F">
              <w:rPr>
                <w:rFonts w:ascii="Arial" w:hAnsi="Arial"/>
                <w:sz w:val="16"/>
                <w:szCs w:val="16"/>
                <w:lang w:val="en-AU"/>
              </w:rPr>
              <w:t>1.1: Defence maintains ready forces, plans and conducts operations, activities and investments as directed by Government to achieve Defence’s strategic objectives.</w:t>
            </w:r>
          </w:p>
        </w:tc>
        <w:tc>
          <w:tcPr>
            <w:tcW w:w="3380" w:type="dxa"/>
            <w:tcBorders>
              <w:top w:val="single" w:sz="4" w:space="0" w:color="auto"/>
              <w:left w:val="single" w:sz="4" w:space="0" w:color="auto"/>
              <w:bottom w:val="dotted" w:sz="4" w:space="0" w:color="auto"/>
            </w:tcBorders>
          </w:tcPr>
          <w:p w14:paraId="38D1A22E" w14:textId="77777777" w:rsidR="008E4752" w:rsidRPr="008E4752" w:rsidRDefault="008E4752" w:rsidP="008E4752">
            <w:pPr>
              <w:tabs>
                <w:tab w:val="left" w:pos="709"/>
              </w:tabs>
              <w:spacing w:before="60" w:after="60"/>
              <w:rPr>
                <w:rFonts w:ascii="Arial" w:hAnsi="Arial"/>
                <w:sz w:val="16"/>
                <w:szCs w:val="16"/>
                <w:lang w:val="en-AU"/>
              </w:rPr>
            </w:pPr>
            <w:r w:rsidRPr="008E4752">
              <w:rPr>
                <w:rFonts w:ascii="Arial" w:hAnsi="Arial"/>
                <w:sz w:val="16"/>
                <w:szCs w:val="16"/>
                <w:lang w:val="en-AU"/>
              </w:rPr>
              <w:t>Defence responds to Australian Government requirements and conducts operations as directed. This will change year on year.</w:t>
            </w:r>
          </w:p>
          <w:p w14:paraId="5D479241" w14:textId="513BD8EE" w:rsidR="008E4752" w:rsidRPr="008E4752" w:rsidRDefault="00752D2F" w:rsidP="008E4752">
            <w:pPr>
              <w:tabs>
                <w:tab w:val="left" w:pos="709"/>
              </w:tabs>
              <w:spacing w:before="60" w:after="60"/>
              <w:jc w:val="right"/>
              <w:rPr>
                <w:rFonts w:ascii="Arial" w:hAnsi="Arial"/>
                <w:i/>
                <w:color w:val="000000"/>
                <w:sz w:val="16"/>
                <w:szCs w:val="16"/>
              </w:rPr>
            </w:pPr>
            <w:r w:rsidRPr="00752D2F">
              <w:rPr>
                <w:rFonts w:ascii="Arial" w:hAnsi="Arial"/>
                <w:i/>
                <w:sz w:val="16"/>
                <w:szCs w:val="16"/>
                <w:lang w:val="en-AU"/>
              </w:rPr>
              <w:t>Expected to be achieved</w:t>
            </w:r>
            <w:r w:rsidR="008E4752" w:rsidRPr="00752D2F">
              <w:rPr>
                <w:rFonts w:ascii="Arial" w:hAnsi="Arial"/>
                <w:i/>
                <w:sz w:val="16"/>
                <w:szCs w:val="16"/>
                <w:lang w:val="en-AU"/>
              </w:rPr>
              <w:t>.</w:t>
            </w:r>
          </w:p>
        </w:tc>
      </w:tr>
      <w:tr w:rsidR="008E4752" w:rsidRPr="00E96419" w14:paraId="2E357131" w14:textId="77777777" w:rsidTr="0004322A">
        <w:tblPrEx>
          <w:shd w:val="clear" w:color="auto" w:fill="auto"/>
          <w:tblLook w:val="04A0" w:firstRow="1" w:lastRow="0" w:firstColumn="1" w:lastColumn="0" w:noHBand="0" w:noVBand="1"/>
        </w:tblPrEx>
        <w:trPr>
          <w:trHeight w:val="470"/>
        </w:trPr>
        <w:tc>
          <w:tcPr>
            <w:tcW w:w="1799" w:type="dxa"/>
            <w:vMerge/>
            <w:tcBorders>
              <w:right w:val="single" w:sz="4" w:space="0" w:color="auto"/>
            </w:tcBorders>
          </w:tcPr>
          <w:p w14:paraId="51C3ADC4" w14:textId="77777777" w:rsidR="008E4752" w:rsidRPr="00E96419" w:rsidRDefault="008E4752" w:rsidP="008E4752">
            <w:pPr>
              <w:tabs>
                <w:tab w:val="left" w:pos="709"/>
              </w:tabs>
              <w:spacing w:before="60" w:after="60"/>
              <w:rPr>
                <w:rFonts w:ascii="Arial" w:hAnsi="Arial"/>
                <w:color w:val="000000"/>
                <w:sz w:val="16"/>
                <w:szCs w:val="16"/>
              </w:rPr>
            </w:pPr>
          </w:p>
        </w:tc>
        <w:tc>
          <w:tcPr>
            <w:tcW w:w="3174" w:type="dxa"/>
            <w:tcBorders>
              <w:top w:val="dotted" w:sz="4" w:space="0" w:color="auto"/>
              <w:left w:val="single" w:sz="4" w:space="0" w:color="auto"/>
              <w:bottom w:val="dotted" w:sz="4" w:space="0" w:color="auto"/>
              <w:right w:val="single" w:sz="4" w:space="0" w:color="auto"/>
            </w:tcBorders>
          </w:tcPr>
          <w:p w14:paraId="5AEE0D52" w14:textId="77777777" w:rsidR="008E4752" w:rsidRPr="008E4752" w:rsidRDefault="008E4752" w:rsidP="008E4752">
            <w:pPr>
              <w:tabs>
                <w:tab w:val="left" w:pos="709"/>
              </w:tabs>
              <w:spacing w:before="60" w:after="60"/>
              <w:rPr>
                <w:rFonts w:ascii="Arial" w:hAnsi="Arial"/>
                <w:color w:val="000000"/>
                <w:sz w:val="16"/>
                <w:szCs w:val="16"/>
              </w:rPr>
            </w:pPr>
            <w:r w:rsidRPr="008E4752">
              <w:rPr>
                <w:rFonts w:ascii="Arial" w:hAnsi="Arial"/>
                <w:sz w:val="16"/>
                <w:szCs w:val="16"/>
                <w:lang w:val="en-AU"/>
              </w:rPr>
              <w:t>1.2: Defence commits ADF and/or APS assistance to domestic crisis and emergency response, as directed by Government.</w:t>
            </w:r>
          </w:p>
        </w:tc>
        <w:tc>
          <w:tcPr>
            <w:tcW w:w="3380" w:type="dxa"/>
            <w:tcBorders>
              <w:top w:val="dotted" w:sz="4" w:space="0" w:color="auto"/>
              <w:left w:val="single" w:sz="4" w:space="0" w:color="auto"/>
              <w:bottom w:val="dotted" w:sz="4" w:space="0" w:color="auto"/>
            </w:tcBorders>
          </w:tcPr>
          <w:p w14:paraId="7981E9D0" w14:textId="77777777" w:rsidR="008E4752" w:rsidRPr="008E4752" w:rsidRDefault="008E4752" w:rsidP="008E4752">
            <w:pPr>
              <w:tabs>
                <w:tab w:val="left" w:pos="709"/>
              </w:tabs>
              <w:spacing w:before="60" w:after="60"/>
              <w:rPr>
                <w:rFonts w:ascii="Arial" w:hAnsi="Arial"/>
                <w:sz w:val="16"/>
                <w:szCs w:val="16"/>
                <w:lang w:val="en-AU"/>
              </w:rPr>
            </w:pPr>
            <w:r w:rsidRPr="008E4752">
              <w:rPr>
                <w:rFonts w:ascii="Arial" w:hAnsi="Arial"/>
                <w:sz w:val="16"/>
                <w:szCs w:val="16"/>
                <w:lang w:val="en-AU"/>
              </w:rPr>
              <w:t>Defence responds to Australian Government direction as required. This will change year on year.</w:t>
            </w:r>
          </w:p>
          <w:p w14:paraId="07F3C767" w14:textId="202BCDAE" w:rsidR="008E4752" w:rsidRPr="008E4752" w:rsidRDefault="00752D2F" w:rsidP="008E4752">
            <w:pPr>
              <w:tabs>
                <w:tab w:val="left" w:pos="709"/>
              </w:tabs>
              <w:spacing w:before="60" w:after="60"/>
              <w:jc w:val="right"/>
              <w:rPr>
                <w:rFonts w:ascii="Arial" w:hAnsi="Arial"/>
                <w:color w:val="000000"/>
                <w:sz w:val="16"/>
                <w:szCs w:val="16"/>
              </w:rPr>
            </w:pPr>
            <w:r w:rsidRPr="00752D2F">
              <w:rPr>
                <w:rFonts w:ascii="Arial" w:hAnsi="Arial"/>
                <w:i/>
                <w:sz w:val="16"/>
                <w:szCs w:val="16"/>
                <w:lang w:val="en-AU"/>
              </w:rPr>
              <w:t>Expected to be achieved</w:t>
            </w:r>
            <w:r w:rsidR="008E4752" w:rsidRPr="00752D2F">
              <w:rPr>
                <w:rFonts w:ascii="Arial" w:hAnsi="Arial"/>
                <w:i/>
                <w:sz w:val="16"/>
                <w:szCs w:val="16"/>
                <w:lang w:val="en-AU"/>
              </w:rPr>
              <w:t>.</w:t>
            </w:r>
          </w:p>
        </w:tc>
      </w:tr>
      <w:tr w:rsidR="008E4752" w:rsidRPr="00CD66E1" w14:paraId="29C05DE5" w14:textId="77777777" w:rsidTr="003C0162">
        <w:tblPrEx>
          <w:shd w:val="clear" w:color="auto" w:fill="auto"/>
          <w:tblLook w:val="04A0" w:firstRow="1" w:lastRow="0" w:firstColumn="1" w:lastColumn="0" w:noHBand="0" w:noVBand="1"/>
        </w:tblPrEx>
        <w:trPr>
          <w:trHeight w:val="470"/>
        </w:trPr>
        <w:tc>
          <w:tcPr>
            <w:tcW w:w="1799" w:type="dxa"/>
            <w:vMerge/>
            <w:tcBorders>
              <w:bottom w:val="single" w:sz="4" w:space="0" w:color="auto"/>
              <w:right w:val="single" w:sz="4" w:space="0" w:color="auto"/>
            </w:tcBorders>
          </w:tcPr>
          <w:p w14:paraId="5344362C" w14:textId="77777777" w:rsidR="008E4752" w:rsidRPr="00E96419" w:rsidRDefault="008E4752" w:rsidP="008E4752">
            <w:pPr>
              <w:tabs>
                <w:tab w:val="left" w:pos="709"/>
              </w:tabs>
              <w:spacing w:before="60" w:after="60"/>
              <w:rPr>
                <w:rFonts w:ascii="Arial" w:hAnsi="Arial"/>
                <w:color w:val="000000"/>
                <w:sz w:val="16"/>
                <w:szCs w:val="16"/>
              </w:rPr>
            </w:pPr>
          </w:p>
        </w:tc>
        <w:tc>
          <w:tcPr>
            <w:tcW w:w="3174" w:type="dxa"/>
            <w:tcBorders>
              <w:top w:val="dotted" w:sz="4" w:space="0" w:color="auto"/>
              <w:left w:val="single" w:sz="4" w:space="0" w:color="auto"/>
              <w:bottom w:val="single" w:sz="4" w:space="0" w:color="auto"/>
              <w:right w:val="single" w:sz="4" w:space="0" w:color="auto"/>
            </w:tcBorders>
          </w:tcPr>
          <w:p w14:paraId="7ADF19DC" w14:textId="77777777" w:rsidR="008E4752" w:rsidRPr="008E4752" w:rsidRDefault="008E4752" w:rsidP="00002F5C">
            <w:pPr>
              <w:tabs>
                <w:tab w:val="left" w:pos="709"/>
              </w:tabs>
              <w:spacing w:before="60" w:after="60"/>
              <w:rPr>
                <w:rFonts w:ascii="Arial" w:hAnsi="Arial"/>
                <w:color w:val="000000"/>
                <w:sz w:val="16"/>
                <w:szCs w:val="16"/>
              </w:rPr>
            </w:pPr>
            <w:r w:rsidRPr="008E4752">
              <w:rPr>
                <w:rFonts w:ascii="Arial" w:hAnsi="Arial"/>
                <w:sz w:val="16"/>
                <w:szCs w:val="16"/>
                <w:lang w:val="en-AU"/>
              </w:rPr>
              <w:t xml:space="preserve">6.1: Defence is delivering the right future capability at the right time within the Integrated Investment Program to ensure it is equipped to respond to future security challenges as directed by the </w:t>
            </w:r>
            <w:r w:rsidRPr="00002F5C">
              <w:rPr>
                <w:rFonts w:ascii="Arial" w:hAnsi="Arial"/>
                <w:i/>
                <w:sz w:val="16"/>
                <w:szCs w:val="16"/>
                <w:lang w:val="en-AU"/>
              </w:rPr>
              <w:t>2024 National Defence Strategy</w:t>
            </w:r>
            <w:r w:rsidRPr="008E4752">
              <w:rPr>
                <w:rFonts w:ascii="Arial" w:hAnsi="Arial"/>
                <w:sz w:val="16"/>
                <w:szCs w:val="16"/>
                <w:lang w:val="en-AU"/>
              </w:rPr>
              <w:t>.</w:t>
            </w:r>
          </w:p>
        </w:tc>
        <w:tc>
          <w:tcPr>
            <w:tcW w:w="3380" w:type="dxa"/>
            <w:tcBorders>
              <w:top w:val="dotted" w:sz="4" w:space="0" w:color="auto"/>
              <w:left w:val="single" w:sz="4" w:space="0" w:color="auto"/>
              <w:bottom w:val="single" w:sz="4" w:space="0" w:color="auto"/>
            </w:tcBorders>
          </w:tcPr>
          <w:p w14:paraId="5BF011FE" w14:textId="77777777" w:rsidR="008E4752" w:rsidRPr="008E4752" w:rsidRDefault="008E4752" w:rsidP="008E4752">
            <w:pPr>
              <w:tabs>
                <w:tab w:val="left" w:pos="709"/>
              </w:tabs>
              <w:spacing w:before="60" w:after="60"/>
              <w:rPr>
                <w:rFonts w:ascii="Arial" w:hAnsi="Arial"/>
                <w:sz w:val="16"/>
                <w:szCs w:val="16"/>
                <w:lang w:val="en-AU"/>
              </w:rPr>
            </w:pPr>
            <w:r w:rsidRPr="008E4752">
              <w:rPr>
                <w:rFonts w:ascii="Arial" w:hAnsi="Arial"/>
                <w:sz w:val="16"/>
                <w:szCs w:val="16"/>
                <w:lang w:val="en-AU"/>
              </w:rPr>
              <w:t>80 per cent or more of approved Integrated Investment Program projects across all domains are on track to deliver the scope approved by Government within Government approved cost and schedule.</w:t>
            </w:r>
          </w:p>
          <w:p w14:paraId="23EF2DE5" w14:textId="19BEF576" w:rsidR="008E4752" w:rsidRPr="008E4752" w:rsidRDefault="00752D2F" w:rsidP="008E4752">
            <w:pPr>
              <w:tabs>
                <w:tab w:val="left" w:pos="709"/>
              </w:tabs>
              <w:spacing w:before="60" w:after="60"/>
              <w:jc w:val="right"/>
              <w:rPr>
                <w:rFonts w:ascii="Arial" w:hAnsi="Arial"/>
                <w:sz w:val="16"/>
                <w:szCs w:val="16"/>
              </w:rPr>
            </w:pPr>
            <w:r w:rsidRPr="00752D2F">
              <w:rPr>
                <w:rFonts w:ascii="Arial" w:hAnsi="Arial"/>
                <w:i/>
                <w:sz w:val="16"/>
                <w:szCs w:val="16"/>
                <w:lang w:val="en-AU"/>
              </w:rPr>
              <w:t>Expected to be substantially achieved</w:t>
            </w:r>
            <w:r w:rsidR="008E4752" w:rsidRPr="00752D2F">
              <w:rPr>
                <w:rFonts w:ascii="Arial" w:hAnsi="Arial"/>
                <w:i/>
                <w:sz w:val="16"/>
                <w:szCs w:val="16"/>
                <w:lang w:val="en-AU"/>
              </w:rPr>
              <w:t>.</w:t>
            </w:r>
          </w:p>
        </w:tc>
      </w:tr>
      <w:tr w:rsidR="0004322A" w:rsidRPr="00CD66E1" w14:paraId="42D31A69" w14:textId="77777777" w:rsidTr="003C0162">
        <w:tblPrEx>
          <w:shd w:val="clear" w:color="auto" w:fill="auto"/>
          <w:tblLook w:val="04A0" w:firstRow="1" w:lastRow="0" w:firstColumn="1" w:lastColumn="0" w:noHBand="0" w:noVBand="1"/>
        </w:tblPrEx>
        <w:trPr>
          <w:trHeight w:val="258"/>
        </w:trPr>
        <w:tc>
          <w:tcPr>
            <w:tcW w:w="1799" w:type="dxa"/>
            <w:tcBorders>
              <w:top w:val="single" w:sz="4" w:space="0" w:color="auto"/>
              <w:bottom w:val="single" w:sz="4" w:space="0" w:color="auto"/>
              <w:right w:val="single" w:sz="4" w:space="0" w:color="auto"/>
            </w:tcBorders>
          </w:tcPr>
          <w:p w14:paraId="53DEDA67" w14:textId="77777777" w:rsidR="0004322A" w:rsidRPr="008E4752" w:rsidRDefault="0004322A" w:rsidP="0004322A">
            <w:pPr>
              <w:tabs>
                <w:tab w:val="left" w:pos="709"/>
              </w:tabs>
              <w:spacing w:before="60" w:after="60"/>
              <w:rPr>
                <w:rFonts w:ascii="Arial" w:hAnsi="Arial"/>
                <w:b/>
                <w:color w:val="000000"/>
                <w:sz w:val="16"/>
                <w:szCs w:val="16"/>
              </w:rPr>
            </w:pPr>
            <w:r w:rsidRPr="008E4752">
              <w:rPr>
                <w:rFonts w:ascii="Arial" w:hAnsi="Arial"/>
                <w:b/>
                <w:color w:val="000000"/>
                <w:sz w:val="16"/>
                <w:szCs w:val="16"/>
              </w:rPr>
              <w:t>Year</w:t>
            </w:r>
          </w:p>
        </w:tc>
        <w:tc>
          <w:tcPr>
            <w:tcW w:w="3174" w:type="dxa"/>
            <w:tcBorders>
              <w:top w:val="single" w:sz="4" w:space="0" w:color="auto"/>
              <w:left w:val="single" w:sz="4" w:space="0" w:color="auto"/>
              <w:bottom w:val="single" w:sz="4" w:space="0" w:color="auto"/>
              <w:right w:val="single" w:sz="4" w:space="0" w:color="auto"/>
            </w:tcBorders>
          </w:tcPr>
          <w:p w14:paraId="276D94CF" w14:textId="77777777" w:rsidR="0004322A" w:rsidRPr="008E4752" w:rsidRDefault="0004322A" w:rsidP="0004322A">
            <w:pPr>
              <w:tabs>
                <w:tab w:val="left" w:pos="709"/>
                <w:tab w:val="center" w:pos="1818"/>
              </w:tabs>
              <w:spacing w:before="60" w:after="60"/>
              <w:rPr>
                <w:rFonts w:ascii="Arial" w:hAnsi="Arial"/>
                <w:b/>
                <w:color w:val="000000"/>
                <w:sz w:val="16"/>
                <w:szCs w:val="16"/>
              </w:rPr>
            </w:pPr>
            <w:r w:rsidRPr="008E4752">
              <w:rPr>
                <w:rFonts w:ascii="Arial" w:hAnsi="Arial"/>
                <w:b/>
                <w:color w:val="000000"/>
                <w:sz w:val="16"/>
                <w:szCs w:val="16"/>
              </w:rPr>
              <w:t>Performance measures</w:t>
            </w:r>
          </w:p>
        </w:tc>
        <w:tc>
          <w:tcPr>
            <w:tcW w:w="3380" w:type="dxa"/>
            <w:tcBorders>
              <w:top w:val="single" w:sz="4" w:space="0" w:color="auto"/>
              <w:left w:val="single" w:sz="4" w:space="0" w:color="auto"/>
              <w:bottom w:val="single" w:sz="4" w:space="0" w:color="auto"/>
            </w:tcBorders>
          </w:tcPr>
          <w:p w14:paraId="31F2988D" w14:textId="77777777" w:rsidR="0004322A" w:rsidRPr="008E4752" w:rsidRDefault="0004322A" w:rsidP="0004322A">
            <w:pPr>
              <w:tabs>
                <w:tab w:val="left" w:pos="709"/>
              </w:tabs>
              <w:spacing w:before="60" w:after="60"/>
              <w:rPr>
                <w:rFonts w:ascii="Arial" w:hAnsi="Arial"/>
                <w:b/>
                <w:color w:val="000000"/>
                <w:sz w:val="16"/>
                <w:szCs w:val="16"/>
              </w:rPr>
            </w:pPr>
            <w:r w:rsidRPr="008E4752">
              <w:rPr>
                <w:rFonts w:ascii="Arial" w:hAnsi="Arial"/>
                <w:b/>
                <w:color w:val="000000"/>
                <w:sz w:val="16"/>
                <w:szCs w:val="16"/>
              </w:rPr>
              <w:t>Planned Performance Results</w:t>
            </w:r>
          </w:p>
        </w:tc>
      </w:tr>
      <w:tr w:rsidR="008E4752" w:rsidRPr="00CD66E1" w14:paraId="0DD8DE79" w14:textId="77777777" w:rsidTr="003C0162">
        <w:tblPrEx>
          <w:shd w:val="clear" w:color="auto" w:fill="auto"/>
          <w:tblLook w:val="04A0" w:firstRow="1" w:lastRow="0" w:firstColumn="1" w:lastColumn="0" w:noHBand="0" w:noVBand="1"/>
        </w:tblPrEx>
        <w:trPr>
          <w:trHeight w:val="320"/>
        </w:trPr>
        <w:tc>
          <w:tcPr>
            <w:tcW w:w="1799" w:type="dxa"/>
            <w:vMerge w:val="restart"/>
            <w:tcBorders>
              <w:top w:val="single" w:sz="4" w:space="0" w:color="auto"/>
              <w:bottom w:val="single" w:sz="4" w:space="0" w:color="auto"/>
              <w:right w:val="single" w:sz="4" w:space="0" w:color="auto"/>
            </w:tcBorders>
          </w:tcPr>
          <w:p w14:paraId="37A90909" w14:textId="77777777" w:rsidR="008E4752" w:rsidRPr="008E4752" w:rsidRDefault="008E4752" w:rsidP="008E4752">
            <w:pPr>
              <w:tabs>
                <w:tab w:val="left" w:pos="709"/>
              </w:tabs>
              <w:spacing w:before="0" w:after="0"/>
              <w:rPr>
                <w:rFonts w:ascii="Arial" w:hAnsi="Arial"/>
                <w:color w:val="000000"/>
                <w:sz w:val="16"/>
                <w:szCs w:val="16"/>
              </w:rPr>
            </w:pPr>
            <w:r>
              <w:rPr>
                <w:rFonts w:ascii="Arial" w:hAnsi="Arial"/>
                <w:color w:val="000000"/>
                <w:sz w:val="16"/>
                <w:szCs w:val="16"/>
              </w:rPr>
              <w:t>Budget Year</w:t>
            </w:r>
          </w:p>
          <w:p w14:paraId="6ACC5E68" w14:textId="77777777" w:rsidR="008E4752" w:rsidRPr="008E4752" w:rsidRDefault="008E4752" w:rsidP="008E4752">
            <w:pPr>
              <w:tabs>
                <w:tab w:val="left" w:pos="709"/>
              </w:tabs>
              <w:spacing w:before="0" w:after="0"/>
              <w:rPr>
                <w:rFonts w:ascii="Arial" w:hAnsi="Arial"/>
                <w:color w:val="000000"/>
                <w:sz w:val="16"/>
                <w:szCs w:val="16"/>
              </w:rPr>
            </w:pPr>
            <w:r w:rsidRPr="008E4752">
              <w:rPr>
                <w:rFonts w:ascii="Arial" w:hAnsi="Arial"/>
                <w:color w:val="000000"/>
                <w:sz w:val="16"/>
                <w:szCs w:val="16"/>
              </w:rPr>
              <w:t>2025-26</w:t>
            </w:r>
            <w:r>
              <w:rPr>
                <w:rFonts w:ascii="Arial" w:hAnsi="Arial"/>
                <w:color w:val="000000"/>
                <w:sz w:val="16"/>
                <w:szCs w:val="16"/>
              </w:rPr>
              <w:t xml:space="preserve"> </w:t>
            </w:r>
            <w:r w:rsidRPr="008E4752">
              <w:rPr>
                <w:rFonts w:ascii="Arial" w:hAnsi="Arial"/>
                <w:color w:val="000000"/>
                <w:sz w:val="16"/>
                <w:szCs w:val="16"/>
                <w:vertAlign w:val="superscript"/>
              </w:rPr>
              <w:t>[b]</w:t>
            </w:r>
          </w:p>
        </w:tc>
        <w:tc>
          <w:tcPr>
            <w:tcW w:w="3174" w:type="dxa"/>
            <w:tcBorders>
              <w:top w:val="single" w:sz="4" w:space="0" w:color="auto"/>
              <w:left w:val="single" w:sz="4" w:space="0" w:color="auto"/>
              <w:bottom w:val="dotted" w:sz="4" w:space="0" w:color="auto"/>
              <w:right w:val="single" w:sz="4" w:space="0" w:color="auto"/>
            </w:tcBorders>
          </w:tcPr>
          <w:p w14:paraId="3D4EA834" w14:textId="543674F9" w:rsidR="008E4752" w:rsidRPr="00470FF0" w:rsidRDefault="00752D2F" w:rsidP="008E4752">
            <w:pPr>
              <w:tabs>
                <w:tab w:val="left" w:pos="709"/>
              </w:tabs>
              <w:spacing w:before="60" w:after="60"/>
              <w:rPr>
                <w:rFonts w:ascii="Arial" w:hAnsi="Arial"/>
                <w:color w:val="000000"/>
                <w:sz w:val="16"/>
                <w:szCs w:val="16"/>
              </w:rPr>
            </w:pPr>
            <w:r w:rsidRPr="00752D2F">
              <w:rPr>
                <w:rFonts w:ascii="Arial" w:hAnsi="Arial"/>
                <w:sz w:val="16"/>
                <w:szCs w:val="16"/>
                <w:lang w:val="en-AU"/>
              </w:rPr>
              <w:t>1.1: Defence maintains ready forces, plans and conducts operations, activities and investments as directed by Government to achieve Defence’s strategic objectives.</w:t>
            </w:r>
          </w:p>
        </w:tc>
        <w:tc>
          <w:tcPr>
            <w:tcW w:w="3380" w:type="dxa"/>
            <w:tcBorders>
              <w:top w:val="single" w:sz="4" w:space="0" w:color="auto"/>
              <w:left w:val="single" w:sz="4" w:space="0" w:color="auto"/>
              <w:bottom w:val="dotted" w:sz="4" w:space="0" w:color="auto"/>
            </w:tcBorders>
          </w:tcPr>
          <w:p w14:paraId="0D97A670" w14:textId="77777777" w:rsidR="008E4752" w:rsidRPr="0036429E" w:rsidRDefault="008E4752" w:rsidP="008E4752">
            <w:pPr>
              <w:tabs>
                <w:tab w:val="left" w:pos="709"/>
              </w:tabs>
              <w:spacing w:before="60" w:after="60"/>
              <w:rPr>
                <w:rFonts w:ascii="Arial" w:hAnsi="Arial"/>
                <w:i/>
                <w:color w:val="000000"/>
                <w:sz w:val="16"/>
                <w:szCs w:val="16"/>
              </w:rPr>
            </w:pPr>
            <w:r w:rsidRPr="0036429E">
              <w:rPr>
                <w:rFonts w:ascii="Arial" w:hAnsi="Arial"/>
                <w:sz w:val="16"/>
                <w:szCs w:val="16"/>
                <w:lang w:val="en-AU"/>
              </w:rPr>
              <w:t xml:space="preserve">Defence responds to Australian Government requirements and conducts operations as </w:t>
            </w:r>
            <w:r>
              <w:rPr>
                <w:rFonts w:ascii="Arial" w:hAnsi="Arial"/>
                <w:sz w:val="16"/>
                <w:szCs w:val="16"/>
                <w:lang w:val="en-AU"/>
              </w:rPr>
              <w:t xml:space="preserve">directed. This will change year </w:t>
            </w:r>
            <w:r w:rsidRPr="0036429E">
              <w:rPr>
                <w:rFonts w:ascii="Arial" w:hAnsi="Arial"/>
                <w:sz w:val="16"/>
                <w:szCs w:val="16"/>
                <w:lang w:val="en-AU"/>
              </w:rPr>
              <w:t>on</w:t>
            </w:r>
            <w:r>
              <w:rPr>
                <w:rFonts w:ascii="Arial" w:hAnsi="Arial"/>
                <w:sz w:val="16"/>
                <w:szCs w:val="16"/>
                <w:lang w:val="en-AU"/>
              </w:rPr>
              <w:t xml:space="preserve"> </w:t>
            </w:r>
            <w:r w:rsidRPr="0036429E">
              <w:rPr>
                <w:rFonts w:ascii="Arial" w:hAnsi="Arial"/>
                <w:sz w:val="16"/>
                <w:szCs w:val="16"/>
                <w:lang w:val="en-AU"/>
              </w:rPr>
              <w:t>year.</w:t>
            </w:r>
          </w:p>
        </w:tc>
      </w:tr>
      <w:tr w:rsidR="008E4752" w:rsidRPr="00CD66E1" w14:paraId="762C3DFB" w14:textId="77777777" w:rsidTr="003C0162">
        <w:tblPrEx>
          <w:shd w:val="clear" w:color="auto" w:fill="auto"/>
          <w:tblLook w:val="04A0" w:firstRow="1" w:lastRow="0" w:firstColumn="1" w:lastColumn="0" w:noHBand="0" w:noVBand="1"/>
        </w:tblPrEx>
        <w:trPr>
          <w:trHeight w:val="320"/>
        </w:trPr>
        <w:tc>
          <w:tcPr>
            <w:tcW w:w="1799" w:type="dxa"/>
            <w:vMerge/>
            <w:tcBorders>
              <w:top w:val="double" w:sz="4" w:space="0" w:color="auto"/>
              <w:bottom w:val="single" w:sz="4" w:space="0" w:color="auto"/>
              <w:right w:val="single" w:sz="4" w:space="0" w:color="auto"/>
            </w:tcBorders>
          </w:tcPr>
          <w:p w14:paraId="53DB7BE2" w14:textId="77777777" w:rsidR="008E4752" w:rsidRPr="008E4752" w:rsidRDefault="008E4752" w:rsidP="008E4752">
            <w:pPr>
              <w:tabs>
                <w:tab w:val="left" w:pos="709"/>
              </w:tabs>
              <w:spacing w:before="60" w:after="60"/>
              <w:rPr>
                <w:rFonts w:ascii="Arial" w:hAnsi="Arial"/>
                <w:color w:val="000000"/>
                <w:sz w:val="16"/>
                <w:szCs w:val="16"/>
              </w:rPr>
            </w:pPr>
          </w:p>
        </w:tc>
        <w:tc>
          <w:tcPr>
            <w:tcW w:w="3174" w:type="dxa"/>
            <w:tcBorders>
              <w:top w:val="dotted" w:sz="4" w:space="0" w:color="auto"/>
              <w:left w:val="single" w:sz="4" w:space="0" w:color="auto"/>
              <w:bottom w:val="dotted" w:sz="4" w:space="0" w:color="auto"/>
              <w:right w:val="single" w:sz="4" w:space="0" w:color="auto"/>
            </w:tcBorders>
          </w:tcPr>
          <w:p w14:paraId="262C6239" w14:textId="77777777" w:rsidR="008E4752" w:rsidRPr="00470FF0" w:rsidRDefault="008E4752" w:rsidP="008E4752">
            <w:pPr>
              <w:tabs>
                <w:tab w:val="left" w:pos="709"/>
              </w:tabs>
              <w:spacing w:before="60" w:after="60"/>
              <w:rPr>
                <w:rFonts w:ascii="Arial" w:hAnsi="Arial"/>
                <w:color w:val="000000"/>
                <w:sz w:val="16"/>
                <w:szCs w:val="16"/>
              </w:rPr>
            </w:pPr>
            <w:r>
              <w:rPr>
                <w:rFonts w:ascii="Arial" w:hAnsi="Arial"/>
                <w:sz w:val="16"/>
                <w:szCs w:val="16"/>
                <w:lang w:val="en-AU"/>
              </w:rPr>
              <w:t xml:space="preserve">1.2: </w:t>
            </w:r>
            <w:r w:rsidRPr="00470FF0">
              <w:rPr>
                <w:rFonts w:ascii="Arial" w:hAnsi="Arial"/>
                <w:sz w:val="16"/>
                <w:szCs w:val="16"/>
                <w:lang w:val="en-AU"/>
              </w:rPr>
              <w:t>Defence commits ADF and/or APS assistance to domestic crisis and emergency response, as directed by Government.</w:t>
            </w:r>
          </w:p>
        </w:tc>
        <w:tc>
          <w:tcPr>
            <w:tcW w:w="3380" w:type="dxa"/>
            <w:tcBorders>
              <w:top w:val="dotted" w:sz="4" w:space="0" w:color="auto"/>
              <w:left w:val="single" w:sz="4" w:space="0" w:color="auto"/>
              <w:bottom w:val="dotted" w:sz="4" w:space="0" w:color="auto"/>
            </w:tcBorders>
          </w:tcPr>
          <w:p w14:paraId="0FC0E560" w14:textId="77777777" w:rsidR="008E4752" w:rsidRPr="0036429E" w:rsidRDefault="008E4752" w:rsidP="008E4752">
            <w:pPr>
              <w:tabs>
                <w:tab w:val="left" w:pos="709"/>
              </w:tabs>
              <w:spacing w:before="60" w:after="60"/>
              <w:rPr>
                <w:rFonts w:ascii="Arial" w:hAnsi="Arial"/>
                <w:color w:val="000000"/>
                <w:sz w:val="16"/>
                <w:szCs w:val="16"/>
              </w:rPr>
            </w:pPr>
            <w:r w:rsidRPr="0036429E">
              <w:rPr>
                <w:rFonts w:ascii="Arial" w:hAnsi="Arial"/>
                <w:sz w:val="16"/>
                <w:szCs w:val="16"/>
                <w:lang w:val="en-AU"/>
              </w:rPr>
              <w:t xml:space="preserve">Defence responds to Australian Government direction as </w:t>
            </w:r>
            <w:r>
              <w:rPr>
                <w:rFonts w:ascii="Arial" w:hAnsi="Arial"/>
                <w:sz w:val="16"/>
                <w:szCs w:val="16"/>
                <w:lang w:val="en-AU"/>
              </w:rPr>
              <w:t xml:space="preserve">required. This will change year </w:t>
            </w:r>
            <w:r w:rsidRPr="0036429E">
              <w:rPr>
                <w:rFonts w:ascii="Arial" w:hAnsi="Arial"/>
                <w:sz w:val="16"/>
                <w:szCs w:val="16"/>
                <w:lang w:val="en-AU"/>
              </w:rPr>
              <w:t>on</w:t>
            </w:r>
            <w:r>
              <w:rPr>
                <w:rFonts w:ascii="Arial" w:hAnsi="Arial"/>
                <w:sz w:val="16"/>
                <w:szCs w:val="16"/>
                <w:lang w:val="en-AU"/>
              </w:rPr>
              <w:t xml:space="preserve"> </w:t>
            </w:r>
            <w:r w:rsidRPr="0036429E">
              <w:rPr>
                <w:rFonts w:ascii="Arial" w:hAnsi="Arial"/>
                <w:sz w:val="16"/>
                <w:szCs w:val="16"/>
                <w:lang w:val="en-AU"/>
              </w:rPr>
              <w:t>year.</w:t>
            </w:r>
          </w:p>
        </w:tc>
      </w:tr>
      <w:tr w:rsidR="008E4752" w:rsidRPr="00CD66E1" w14:paraId="252D05F1" w14:textId="77777777" w:rsidTr="003C0162">
        <w:tblPrEx>
          <w:shd w:val="clear" w:color="auto" w:fill="auto"/>
          <w:tblLook w:val="04A0" w:firstRow="1" w:lastRow="0" w:firstColumn="1" w:lastColumn="0" w:noHBand="0" w:noVBand="1"/>
        </w:tblPrEx>
        <w:trPr>
          <w:trHeight w:val="642"/>
        </w:trPr>
        <w:tc>
          <w:tcPr>
            <w:tcW w:w="1799" w:type="dxa"/>
            <w:vMerge/>
            <w:tcBorders>
              <w:top w:val="double" w:sz="4" w:space="0" w:color="auto"/>
              <w:bottom w:val="single" w:sz="4" w:space="0" w:color="auto"/>
              <w:right w:val="single" w:sz="4" w:space="0" w:color="auto"/>
            </w:tcBorders>
          </w:tcPr>
          <w:p w14:paraId="1A52C989" w14:textId="77777777" w:rsidR="008E4752" w:rsidRPr="008E4752" w:rsidRDefault="008E4752" w:rsidP="008E4752">
            <w:pPr>
              <w:tabs>
                <w:tab w:val="left" w:pos="709"/>
              </w:tabs>
              <w:spacing w:before="60" w:after="60"/>
              <w:rPr>
                <w:rFonts w:ascii="Arial" w:hAnsi="Arial"/>
                <w:color w:val="000000"/>
                <w:sz w:val="16"/>
                <w:szCs w:val="16"/>
              </w:rPr>
            </w:pPr>
          </w:p>
        </w:tc>
        <w:tc>
          <w:tcPr>
            <w:tcW w:w="3174" w:type="dxa"/>
            <w:tcBorders>
              <w:top w:val="dotted" w:sz="4" w:space="0" w:color="auto"/>
              <w:left w:val="single" w:sz="4" w:space="0" w:color="auto"/>
              <w:bottom w:val="single" w:sz="4" w:space="0" w:color="auto"/>
              <w:right w:val="single" w:sz="4" w:space="0" w:color="auto"/>
            </w:tcBorders>
          </w:tcPr>
          <w:p w14:paraId="750A5047" w14:textId="77777777" w:rsidR="008E4752" w:rsidRPr="00470FF0" w:rsidRDefault="008E4752" w:rsidP="00B73CFB">
            <w:pPr>
              <w:tabs>
                <w:tab w:val="left" w:pos="709"/>
              </w:tabs>
              <w:spacing w:before="60" w:after="60"/>
              <w:rPr>
                <w:rFonts w:ascii="Arial" w:hAnsi="Arial"/>
                <w:color w:val="000000"/>
                <w:sz w:val="16"/>
                <w:szCs w:val="16"/>
              </w:rPr>
            </w:pPr>
            <w:r w:rsidRPr="00880166">
              <w:rPr>
                <w:rFonts w:ascii="Arial" w:hAnsi="Arial"/>
                <w:sz w:val="16"/>
                <w:szCs w:val="16"/>
                <w:lang w:val="en-AU"/>
              </w:rPr>
              <w:t xml:space="preserve">6.1: Defence is delivering the right future capability at the right time within the Integrated Investment Program to ensure it is equipped to respond to future security challenges as directed by the </w:t>
            </w:r>
            <w:r w:rsidRPr="00E00255">
              <w:rPr>
                <w:rFonts w:ascii="Arial" w:hAnsi="Arial"/>
                <w:i/>
                <w:sz w:val="16"/>
                <w:szCs w:val="16"/>
                <w:lang w:val="en-AU"/>
              </w:rPr>
              <w:t>2024 National Defence Strategy</w:t>
            </w:r>
            <w:r w:rsidRPr="00880166">
              <w:rPr>
                <w:rFonts w:ascii="Arial" w:hAnsi="Arial"/>
                <w:sz w:val="16"/>
                <w:szCs w:val="16"/>
                <w:lang w:val="en-AU"/>
              </w:rPr>
              <w:t>.</w:t>
            </w:r>
          </w:p>
        </w:tc>
        <w:tc>
          <w:tcPr>
            <w:tcW w:w="3380" w:type="dxa"/>
            <w:tcBorders>
              <w:top w:val="dotted" w:sz="4" w:space="0" w:color="auto"/>
              <w:left w:val="single" w:sz="4" w:space="0" w:color="auto"/>
              <w:bottom w:val="single" w:sz="4" w:space="0" w:color="auto"/>
            </w:tcBorders>
          </w:tcPr>
          <w:p w14:paraId="27B6A6E2" w14:textId="77777777" w:rsidR="008E4752" w:rsidRPr="0036429E" w:rsidRDefault="008E4752" w:rsidP="008E4752">
            <w:pPr>
              <w:tabs>
                <w:tab w:val="left" w:pos="709"/>
              </w:tabs>
              <w:spacing w:before="60" w:after="60"/>
              <w:rPr>
                <w:rFonts w:ascii="Arial" w:hAnsi="Arial"/>
                <w:sz w:val="16"/>
                <w:szCs w:val="16"/>
              </w:rPr>
            </w:pPr>
            <w:r w:rsidRPr="0036429E">
              <w:rPr>
                <w:rFonts w:ascii="Arial" w:hAnsi="Arial"/>
                <w:sz w:val="16"/>
                <w:szCs w:val="16"/>
                <w:lang w:val="en-AU"/>
              </w:rPr>
              <w:t>80 per cent or more of approved Integrated Investment Program projects across all domains are on track to deliver the scope approved by Government within Government approved cost and schedule.</w:t>
            </w:r>
          </w:p>
        </w:tc>
      </w:tr>
      <w:tr w:rsidR="0004322A" w:rsidRPr="00CD66E1" w14:paraId="661A1F73" w14:textId="77777777" w:rsidTr="003C0162">
        <w:tblPrEx>
          <w:shd w:val="clear" w:color="auto" w:fill="auto"/>
          <w:tblLook w:val="04A0" w:firstRow="1" w:lastRow="0" w:firstColumn="1" w:lastColumn="0" w:noHBand="0" w:noVBand="1"/>
        </w:tblPrEx>
        <w:trPr>
          <w:trHeight w:val="258"/>
        </w:trPr>
        <w:tc>
          <w:tcPr>
            <w:tcW w:w="1799" w:type="dxa"/>
            <w:tcBorders>
              <w:top w:val="single" w:sz="4" w:space="0" w:color="auto"/>
              <w:bottom w:val="single" w:sz="4" w:space="0" w:color="auto"/>
              <w:right w:val="single" w:sz="4" w:space="0" w:color="auto"/>
            </w:tcBorders>
          </w:tcPr>
          <w:p w14:paraId="4B49C039" w14:textId="77777777" w:rsidR="0004322A" w:rsidRPr="008E4752" w:rsidRDefault="0004322A" w:rsidP="008E4752">
            <w:pPr>
              <w:keepNext/>
              <w:keepLines/>
              <w:pageBreakBefore/>
              <w:tabs>
                <w:tab w:val="left" w:pos="709"/>
              </w:tabs>
              <w:spacing w:before="60" w:after="60"/>
              <w:rPr>
                <w:rFonts w:ascii="Arial" w:hAnsi="Arial"/>
                <w:b/>
                <w:color w:val="000000"/>
                <w:sz w:val="16"/>
                <w:szCs w:val="16"/>
              </w:rPr>
            </w:pPr>
            <w:r w:rsidRPr="008E4752">
              <w:rPr>
                <w:rFonts w:ascii="Arial" w:hAnsi="Arial"/>
                <w:b/>
                <w:color w:val="000000"/>
                <w:sz w:val="16"/>
                <w:szCs w:val="16"/>
              </w:rPr>
              <w:lastRenderedPageBreak/>
              <w:t>Year</w:t>
            </w:r>
          </w:p>
        </w:tc>
        <w:tc>
          <w:tcPr>
            <w:tcW w:w="3174" w:type="dxa"/>
            <w:tcBorders>
              <w:top w:val="single" w:sz="4" w:space="0" w:color="auto"/>
              <w:left w:val="single" w:sz="4" w:space="0" w:color="auto"/>
              <w:bottom w:val="single" w:sz="4" w:space="0" w:color="auto"/>
              <w:right w:val="single" w:sz="4" w:space="0" w:color="auto"/>
            </w:tcBorders>
          </w:tcPr>
          <w:p w14:paraId="67602418" w14:textId="77777777" w:rsidR="0004322A" w:rsidRPr="008E4752" w:rsidRDefault="0004322A" w:rsidP="0004322A">
            <w:pPr>
              <w:keepNext/>
              <w:keepLines/>
              <w:tabs>
                <w:tab w:val="left" w:pos="709"/>
                <w:tab w:val="center" w:pos="1818"/>
              </w:tabs>
              <w:spacing w:before="60" w:after="60"/>
              <w:rPr>
                <w:rFonts w:ascii="Arial" w:hAnsi="Arial"/>
                <w:b/>
                <w:color w:val="000000"/>
                <w:sz w:val="16"/>
                <w:szCs w:val="16"/>
              </w:rPr>
            </w:pPr>
            <w:r w:rsidRPr="008E4752">
              <w:rPr>
                <w:rFonts w:ascii="Arial" w:hAnsi="Arial"/>
                <w:b/>
                <w:color w:val="000000"/>
                <w:sz w:val="16"/>
                <w:szCs w:val="16"/>
              </w:rPr>
              <w:t>Performance measures</w:t>
            </w:r>
          </w:p>
        </w:tc>
        <w:tc>
          <w:tcPr>
            <w:tcW w:w="3380" w:type="dxa"/>
            <w:tcBorders>
              <w:top w:val="single" w:sz="4" w:space="0" w:color="auto"/>
              <w:left w:val="single" w:sz="4" w:space="0" w:color="auto"/>
              <w:bottom w:val="single" w:sz="4" w:space="0" w:color="auto"/>
            </w:tcBorders>
          </w:tcPr>
          <w:p w14:paraId="6E55A14E" w14:textId="77777777" w:rsidR="0004322A" w:rsidRPr="008E4752" w:rsidRDefault="0004322A" w:rsidP="0004322A">
            <w:pPr>
              <w:keepNext/>
              <w:keepLines/>
              <w:tabs>
                <w:tab w:val="left" w:pos="709"/>
              </w:tabs>
              <w:spacing w:before="60" w:after="60"/>
              <w:rPr>
                <w:rFonts w:ascii="Arial" w:hAnsi="Arial"/>
                <w:b/>
                <w:color w:val="000000"/>
                <w:sz w:val="16"/>
                <w:szCs w:val="16"/>
              </w:rPr>
            </w:pPr>
            <w:r w:rsidRPr="008E4752">
              <w:rPr>
                <w:rFonts w:ascii="Arial" w:hAnsi="Arial"/>
                <w:b/>
                <w:color w:val="000000"/>
                <w:sz w:val="16"/>
                <w:szCs w:val="16"/>
              </w:rPr>
              <w:t>Planned Performance Results</w:t>
            </w:r>
          </w:p>
        </w:tc>
      </w:tr>
      <w:tr w:rsidR="0004322A" w:rsidRPr="00CD66E1" w14:paraId="765D2AB8" w14:textId="77777777" w:rsidTr="0004322A">
        <w:tblPrEx>
          <w:shd w:val="clear" w:color="auto" w:fill="auto"/>
          <w:tblLook w:val="04A0" w:firstRow="1" w:lastRow="0" w:firstColumn="1" w:lastColumn="0" w:noHBand="0" w:noVBand="1"/>
        </w:tblPrEx>
        <w:trPr>
          <w:trHeight w:val="491"/>
        </w:trPr>
        <w:tc>
          <w:tcPr>
            <w:tcW w:w="1799" w:type="dxa"/>
            <w:tcBorders>
              <w:top w:val="single" w:sz="4" w:space="0" w:color="auto"/>
              <w:bottom w:val="dotted" w:sz="4" w:space="0" w:color="auto"/>
              <w:right w:val="single" w:sz="4" w:space="0" w:color="auto"/>
            </w:tcBorders>
          </w:tcPr>
          <w:p w14:paraId="13357132" w14:textId="77777777" w:rsidR="0004322A" w:rsidRPr="008E4752" w:rsidRDefault="0004322A" w:rsidP="008E4752">
            <w:pPr>
              <w:tabs>
                <w:tab w:val="left" w:pos="709"/>
              </w:tabs>
              <w:spacing w:before="0" w:after="0"/>
              <w:rPr>
                <w:rFonts w:ascii="Arial" w:hAnsi="Arial"/>
                <w:color w:val="000000"/>
                <w:sz w:val="16"/>
                <w:szCs w:val="16"/>
              </w:rPr>
            </w:pPr>
            <w:r w:rsidRPr="008E4752">
              <w:rPr>
                <w:rFonts w:ascii="Arial" w:hAnsi="Arial"/>
                <w:color w:val="000000"/>
                <w:sz w:val="16"/>
                <w:szCs w:val="16"/>
              </w:rPr>
              <w:t>Forward Estimates</w:t>
            </w:r>
          </w:p>
          <w:p w14:paraId="04444CA8" w14:textId="77777777" w:rsidR="0004322A" w:rsidRPr="008E4752" w:rsidRDefault="0004322A" w:rsidP="008E4752">
            <w:pPr>
              <w:tabs>
                <w:tab w:val="left" w:pos="709"/>
              </w:tabs>
              <w:spacing w:before="0" w:after="0"/>
              <w:rPr>
                <w:rFonts w:ascii="Arial" w:hAnsi="Arial"/>
                <w:b/>
                <w:color w:val="000000"/>
                <w:sz w:val="16"/>
                <w:szCs w:val="16"/>
              </w:rPr>
            </w:pPr>
            <w:r w:rsidRPr="008E4752">
              <w:rPr>
                <w:rFonts w:ascii="Arial" w:hAnsi="Arial"/>
                <w:color w:val="000000"/>
                <w:sz w:val="16"/>
                <w:szCs w:val="16"/>
              </w:rPr>
              <w:t>2026-29</w:t>
            </w:r>
          </w:p>
        </w:tc>
        <w:tc>
          <w:tcPr>
            <w:tcW w:w="3174" w:type="dxa"/>
            <w:tcBorders>
              <w:top w:val="single" w:sz="4" w:space="0" w:color="auto"/>
              <w:left w:val="single" w:sz="4" w:space="0" w:color="auto"/>
              <w:bottom w:val="single" w:sz="4" w:space="0" w:color="auto"/>
              <w:right w:val="single" w:sz="4" w:space="0" w:color="auto"/>
            </w:tcBorders>
          </w:tcPr>
          <w:p w14:paraId="4B3D7311" w14:textId="77777777" w:rsidR="0004322A" w:rsidRPr="008E4752" w:rsidRDefault="0004322A" w:rsidP="008E4752">
            <w:pPr>
              <w:tabs>
                <w:tab w:val="left" w:pos="709"/>
              </w:tabs>
              <w:spacing w:before="60" w:after="60"/>
              <w:rPr>
                <w:rFonts w:ascii="Arial" w:hAnsi="Arial"/>
                <w:b/>
                <w:color w:val="000000"/>
                <w:sz w:val="16"/>
                <w:szCs w:val="16"/>
              </w:rPr>
            </w:pPr>
            <w:r w:rsidRPr="008E4752">
              <w:rPr>
                <w:rFonts w:ascii="Arial" w:hAnsi="Arial"/>
                <w:color w:val="000000"/>
                <w:sz w:val="16"/>
                <w:szCs w:val="16"/>
              </w:rPr>
              <w:t>As per 202</w:t>
            </w:r>
            <w:r w:rsidR="008E4752">
              <w:rPr>
                <w:rFonts w:ascii="Arial" w:hAnsi="Arial"/>
                <w:color w:val="000000"/>
                <w:sz w:val="16"/>
                <w:szCs w:val="16"/>
              </w:rPr>
              <w:t>5</w:t>
            </w:r>
            <w:r w:rsidRPr="008E4752">
              <w:rPr>
                <w:rFonts w:ascii="Arial" w:hAnsi="Arial"/>
                <w:color w:val="000000"/>
                <w:sz w:val="16"/>
                <w:szCs w:val="16"/>
              </w:rPr>
              <w:t>-2</w:t>
            </w:r>
            <w:r w:rsidR="008E4752">
              <w:rPr>
                <w:rFonts w:ascii="Arial" w:hAnsi="Arial"/>
                <w:color w:val="000000"/>
                <w:sz w:val="16"/>
                <w:szCs w:val="16"/>
              </w:rPr>
              <w:t>6</w:t>
            </w:r>
            <w:r w:rsidRPr="008E4752">
              <w:rPr>
                <w:rFonts w:ascii="Arial" w:hAnsi="Arial"/>
                <w:color w:val="000000"/>
                <w:sz w:val="16"/>
                <w:szCs w:val="16"/>
              </w:rPr>
              <w:t>.</w:t>
            </w:r>
          </w:p>
        </w:tc>
        <w:tc>
          <w:tcPr>
            <w:tcW w:w="3380" w:type="dxa"/>
            <w:tcBorders>
              <w:top w:val="single" w:sz="4" w:space="0" w:color="auto"/>
              <w:left w:val="single" w:sz="4" w:space="0" w:color="auto"/>
              <w:bottom w:val="single" w:sz="4" w:space="0" w:color="auto"/>
            </w:tcBorders>
          </w:tcPr>
          <w:p w14:paraId="0F742932" w14:textId="77777777" w:rsidR="0004322A" w:rsidRPr="008E4752" w:rsidRDefault="0004322A" w:rsidP="008E4752">
            <w:pPr>
              <w:tabs>
                <w:tab w:val="left" w:pos="709"/>
              </w:tabs>
              <w:spacing w:before="60" w:after="60"/>
              <w:rPr>
                <w:rFonts w:ascii="Arial" w:hAnsi="Arial"/>
                <w:b/>
                <w:color w:val="000000"/>
                <w:sz w:val="16"/>
                <w:szCs w:val="16"/>
              </w:rPr>
            </w:pPr>
            <w:r w:rsidRPr="008E4752">
              <w:rPr>
                <w:rFonts w:ascii="Arial" w:hAnsi="Arial"/>
                <w:color w:val="000000"/>
                <w:sz w:val="16"/>
                <w:szCs w:val="16"/>
              </w:rPr>
              <w:t>As per 202</w:t>
            </w:r>
            <w:r w:rsidR="008E4752">
              <w:rPr>
                <w:rFonts w:ascii="Arial" w:hAnsi="Arial"/>
                <w:color w:val="000000"/>
                <w:sz w:val="16"/>
                <w:szCs w:val="16"/>
              </w:rPr>
              <w:t>5</w:t>
            </w:r>
            <w:r w:rsidRPr="008E4752">
              <w:rPr>
                <w:rFonts w:ascii="Arial" w:hAnsi="Arial"/>
                <w:color w:val="000000"/>
                <w:sz w:val="16"/>
                <w:szCs w:val="16"/>
              </w:rPr>
              <w:t>-2</w:t>
            </w:r>
            <w:r w:rsidR="008E4752">
              <w:rPr>
                <w:rFonts w:ascii="Arial" w:hAnsi="Arial"/>
                <w:color w:val="000000"/>
                <w:sz w:val="16"/>
                <w:szCs w:val="16"/>
              </w:rPr>
              <w:t>6</w:t>
            </w:r>
            <w:r w:rsidRPr="008E4752">
              <w:rPr>
                <w:rFonts w:ascii="Arial" w:hAnsi="Arial"/>
                <w:color w:val="000000"/>
                <w:sz w:val="16"/>
                <w:szCs w:val="16"/>
              </w:rPr>
              <w:t>.</w:t>
            </w:r>
          </w:p>
        </w:tc>
      </w:tr>
      <w:tr w:rsidR="0004322A" w:rsidRPr="00CD66E1" w14:paraId="08B5427E" w14:textId="77777777" w:rsidTr="0004322A">
        <w:tblPrEx>
          <w:shd w:val="clear" w:color="auto" w:fill="auto"/>
          <w:tblLook w:val="04A0" w:firstRow="1" w:lastRow="0" w:firstColumn="1" w:lastColumn="0" w:noHBand="0" w:noVBand="1"/>
        </w:tblPrEx>
        <w:trPr>
          <w:trHeight w:val="291"/>
        </w:trPr>
        <w:tc>
          <w:tcPr>
            <w:tcW w:w="8353" w:type="dxa"/>
            <w:gridSpan w:val="3"/>
          </w:tcPr>
          <w:p w14:paraId="6F3CC097" w14:textId="6F1F9E19" w:rsidR="0004322A" w:rsidRPr="008E4752" w:rsidRDefault="0004322A" w:rsidP="00E364DF">
            <w:pPr>
              <w:tabs>
                <w:tab w:val="left" w:pos="709"/>
              </w:tabs>
              <w:spacing w:before="60" w:after="60"/>
              <w:rPr>
                <w:rFonts w:ascii="Arial" w:eastAsia="Cambria" w:hAnsi="Arial"/>
                <w:bCs/>
                <w:iCs/>
                <w:color w:val="000000"/>
                <w:spacing w:val="-6"/>
                <w:sz w:val="16"/>
                <w:szCs w:val="16"/>
                <w:lang w:val="x-none"/>
              </w:rPr>
            </w:pPr>
            <w:r w:rsidRPr="008E4752">
              <w:rPr>
                <w:rFonts w:ascii="Arial" w:hAnsi="Arial"/>
                <w:color w:val="000000"/>
                <w:sz w:val="16"/>
                <w:szCs w:val="16"/>
              </w:rPr>
              <w:t>Material changes to Program 2.7 resulting from 202</w:t>
            </w:r>
            <w:r w:rsidR="00E364DF">
              <w:rPr>
                <w:rFonts w:ascii="Arial" w:hAnsi="Arial"/>
                <w:color w:val="000000"/>
                <w:sz w:val="16"/>
                <w:szCs w:val="16"/>
              </w:rPr>
              <w:t>5</w:t>
            </w:r>
            <w:r w:rsidRPr="008E4752">
              <w:rPr>
                <w:rFonts w:ascii="Arial" w:hAnsi="Arial"/>
                <w:color w:val="000000"/>
                <w:sz w:val="16"/>
                <w:szCs w:val="16"/>
              </w:rPr>
              <w:t>-2</w:t>
            </w:r>
            <w:r w:rsidR="00E364DF">
              <w:rPr>
                <w:rFonts w:ascii="Arial" w:hAnsi="Arial"/>
                <w:color w:val="000000"/>
                <w:sz w:val="16"/>
                <w:szCs w:val="16"/>
              </w:rPr>
              <w:t>6</w:t>
            </w:r>
            <w:r w:rsidRPr="008E4752">
              <w:rPr>
                <w:rFonts w:ascii="Arial" w:hAnsi="Arial"/>
                <w:color w:val="000000"/>
                <w:sz w:val="16"/>
                <w:szCs w:val="16"/>
              </w:rPr>
              <w:t xml:space="preserve"> Budget Measures:</w:t>
            </w:r>
            <w:r w:rsidRPr="008E4752">
              <w:rPr>
                <w:rStyle w:val="BodyTextChar"/>
                <w:rFonts w:ascii="Arial" w:hAnsi="Arial"/>
                <w:bCs/>
                <w:iCs/>
                <w:color w:val="000000"/>
                <w:spacing w:val="-6"/>
                <w:sz w:val="16"/>
                <w:szCs w:val="16"/>
              </w:rPr>
              <w:t xml:space="preserve"> Nil.</w:t>
            </w:r>
          </w:p>
        </w:tc>
      </w:tr>
    </w:tbl>
    <w:p w14:paraId="2CC482F6" w14:textId="77777777" w:rsidR="00FF0FC2" w:rsidRPr="00CD66E1" w:rsidRDefault="00FF0FC2" w:rsidP="00FF0FC2">
      <w:pPr>
        <w:pStyle w:val="TableHeading"/>
        <w:spacing w:before="0" w:after="0"/>
        <w:rPr>
          <w:sz w:val="16"/>
          <w:szCs w:val="16"/>
          <w:highlight w:val="yellow"/>
          <w:lang w:val="en-AU"/>
        </w:rPr>
      </w:pPr>
    </w:p>
    <w:p w14:paraId="09E0F123" w14:textId="77777777" w:rsidR="00FF0FC2" w:rsidRPr="008E4752" w:rsidRDefault="00FF0FC2" w:rsidP="00FF0FC2">
      <w:pPr>
        <w:pStyle w:val="TableHeading"/>
        <w:spacing w:before="0" w:after="0"/>
        <w:rPr>
          <w:sz w:val="14"/>
          <w:szCs w:val="14"/>
          <w:lang w:val="en-AU"/>
        </w:rPr>
      </w:pPr>
      <w:r w:rsidRPr="008E4752">
        <w:rPr>
          <w:sz w:val="14"/>
          <w:szCs w:val="14"/>
          <w:lang w:val="en-AU"/>
        </w:rPr>
        <w:t>Note</w:t>
      </w:r>
      <w:r w:rsidR="00AF08A6" w:rsidRPr="008E4752">
        <w:rPr>
          <w:sz w:val="14"/>
          <w:szCs w:val="14"/>
          <w:lang w:val="en-AU"/>
        </w:rPr>
        <w:t>s</w:t>
      </w:r>
    </w:p>
    <w:p w14:paraId="158F700F" w14:textId="5042C46F" w:rsidR="008E4752" w:rsidRDefault="008E4752" w:rsidP="00444A89">
      <w:pPr>
        <w:pStyle w:val="TableHeading"/>
        <w:numPr>
          <w:ilvl w:val="0"/>
          <w:numId w:val="55"/>
        </w:numPr>
        <w:tabs>
          <w:tab w:val="left" w:pos="284"/>
        </w:tabs>
        <w:spacing w:before="0" w:after="0"/>
        <w:ind w:left="284" w:hanging="284"/>
        <w:rPr>
          <w:b w:val="0"/>
          <w:sz w:val="14"/>
          <w:szCs w:val="14"/>
          <w:lang w:val="en-AU"/>
        </w:rPr>
      </w:pPr>
      <w:r w:rsidRPr="008E4752">
        <w:rPr>
          <w:b w:val="0"/>
          <w:sz w:val="14"/>
          <w:szCs w:val="14"/>
          <w:lang w:val="en-AU"/>
        </w:rPr>
        <w:t>Performance Measure 1.2 has been amended for 2024-25, as published in the updated 2024-28 Defence Corporate Plan in March 2025.</w:t>
      </w:r>
    </w:p>
    <w:p w14:paraId="2D68CC3C" w14:textId="1A3FB722" w:rsidR="009737EB" w:rsidRPr="00752D2F" w:rsidRDefault="00752D2F" w:rsidP="00444A89">
      <w:pPr>
        <w:pStyle w:val="TableHeading"/>
        <w:numPr>
          <w:ilvl w:val="0"/>
          <w:numId w:val="55"/>
        </w:numPr>
        <w:tabs>
          <w:tab w:val="left" w:pos="284"/>
        </w:tabs>
        <w:spacing w:before="0" w:after="0"/>
        <w:ind w:left="284" w:hanging="284"/>
        <w:rPr>
          <w:b w:val="0"/>
          <w:sz w:val="14"/>
          <w:szCs w:val="14"/>
        </w:rPr>
      </w:pPr>
      <w:r w:rsidRPr="00752D2F">
        <w:rPr>
          <w:b w:val="0"/>
          <w:sz w:val="14"/>
          <w:szCs w:val="14"/>
          <w:lang w:val="en-AU"/>
        </w:rPr>
        <w:t>In accordance with Defence’s Enterprise Performance Framework, Defence is undertaking materiality assessments that may result in updates to the 2025-26 performance information in the 2025-29 Defence Corporate Plan, if required</w:t>
      </w:r>
      <w:r w:rsidR="009737EB" w:rsidRPr="00752D2F">
        <w:rPr>
          <w:b w:val="0"/>
          <w:sz w:val="14"/>
          <w:szCs w:val="14"/>
          <w:lang w:val="en-AU"/>
        </w:rPr>
        <w:t xml:space="preserve">. </w:t>
      </w:r>
    </w:p>
    <w:p w14:paraId="2C76B02A" w14:textId="77777777" w:rsidR="009737EB" w:rsidRPr="009737EB" w:rsidRDefault="009737EB" w:rsidP="009737EB">
      <w:pPr>
        <w:rPr>
          <w:lang w:val="en-AU"/>
        </w:rPr>
      </w:pPr>
    </w:p>
    <w:p w14:paraId="0B660970" w14:textId="160622B6" w:rsidR="003D5485" w:rsidRPr="003806E2" w:rsidRDefault="003D5485" w:rsidP="00D9100A">
      <w:pPr>
        <w:pStyle w:val="TableHeading"/>
        <w:numPr>
          <w:ilvl w:val="0"/>
          <w:numId w:val="29"/>
        </w:numPr>
        <w:spacing w:before="0" w:after="120"/>
        <w:ind w:left="0" w:firstLine="0"/>
        <w:outlineLvl w:val="6"/>
      </w:pPr>
      <w:r w:rsidRPr="003806E2">
        <w:t>Cost Summary for Program 2.7 Air Force Capabilities</w:t>
      </w:r>
    </w:p>
    <w:p w14:paraId="6484B699" w14:textId="67AD9C86" w:rsidR="003D5485" w:rsidRPr="00B56FAA" w:rsidRDefault="003708CA" w:rsidP="00656D60">
      <w:pPr>
        <w:spacing w:before="0" w:after="0"/>
      </w:pPr>
      <w:r w:rsidRPr="003708CA">
        <w:rPr>
          <w:noProof/>
          <w:lang w:val="en-AU"/>
        </w:rPr>
        <w:drawing>
          <wp:inline distT="0" distB="0" distL="0" distR="0" wp14:anchorId="29223B52" wp14:editId="35CDEB89">
            <wp:extent cx="4986020" cy="2547161"/>
            <wp:effectExtent l="0" t="0" r="5080" b="5715"/>
            <wp:docPr id="24575513" name="Picture 2457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86020" cy="2547161"/>
                    </a:xfrm>
                    <a:prstGeom prst="rect">
                      <a:avLst/>
                    </a:prstGeom>
                    <a:noFill/>
                    <a:ln>
                      <a:noFill/>
                    </a:ln>
                  </pic:spPr>
                </pic:pic>
              </a:graphicData>
            </a:graphic>
          </wp:inline>
        </w:drawing>
      </w:r>
    </w:p>
    <w:p w14:paraId="525DEC2A" w14:textId="77777777" w:rsidR="00656D60" w:rsidRPr="00B56FAA" w:rsidRDefault="00656D60" w:rsidP="00656D60">
      <w:pPr>
        <w:spacing w:before="0" w:after="0"/>
        <w:rPr>
          <w:rFonts w:ascii="Arial" w:hAnsi="Arial"/>
          <w:b/>
          <w:sz w:val="14"/>
          <w:szCs w:val="14"/>
        </w:rPr>
      </w:pPr>
    </w:p>
    <w:p w14:paraId="7839E644" w14:textId="77777777" w:rsidR="00C01193" w:rsidRDefault="00B1151B" w:rsidP="00C01193">
      <w:pPr>
        <w:shd w:val="clear" w:color="auto" w:fill="FFFFFF"/>
        <w:tabs>
          <w:tab w:val="left" w:pos="284"/>
        </w:tabs>
        <w:spacing w:before="0" w:after="0"/>
        <w:ind w:left="284" w:hanging="284"/>
        <w:rPr>
          <w:rFonts w:ascii="Arial" w:hAnsi="Arial"/>
          <w:b/>
          <w:sz w:val="14"/>
          <w:szCs w:val="14"/>
        </w:rPr>
      </w:pPr>
      <w:r w:rsidRPr="00B1151B">
        <w:rPr>
          <w:rFonts w:ascii="Arial" w:hAnsi="Arial"/>
          <w:b/>
          <w:sz w:val="14"/>
          <w:szCs w:val="14"/>
        </w:rPr>
        <w:t>Notes</w:t>
      </w:r>
    </w:p>
    <w:p w14:paraId="47A67477" w14:textId="3ED08F9B" w:rsidR="00F91904" w:rsidRPr="00F91904" w:rsidRDefault="003806E2" w:rsidP="00F91904">
      <w:pPr>
        <w:shd w:val="clear" w:color="auto" w:fill="FFFFFF"/>
        <w:tabs>
          <w:tab w:val="left" w:pos="284"/>
        </w:tabs>
        <w:spacing w:before="0" w:after="0"/>
        <w:ind w:left="284" w:hanging="284"/>
        <w:rPr>
          <w:rFonts w:ascii="Arial" w:hAnsi="Arial"/>
          <w:sz w:val="14"/>
          <w:szCs w:val="14"/>
        </w:rPr>
      </w:pPr>
      <w:r w:rsidRPr="003806E2">
        <w:rPr>
          <w:rFonts w:ascii="Arial" w:hAnsi="Arial"/>
          <w:sz w:val="14"/>
          <w:szCs w:val="14"/>
        </w:rPr>
        <w:t xml:space="preserve">a. </w:t>
      </w:r>
      <w:r>
        <w:rPr>
          <w:rFonts w:ascii="Arial" w:hAnsi="Arial"/>
          <w:sz w:val="14"/>
          <w:szCs w:val="14"/>
        </w:rPr>
        <w:tab/>
      </w:r>
      <w:r w:rsidR="00F91904" w:rsidRPr="00F91904">
        <w:rPr>
          <w:rFonts w:ascii="Arial" w:hAnsi="Arial"/>
          <w:sz w:val="14"/>
          <w:szCs w:val="14"/>
        </w:rPr>
        <w:t>Total Program funded expenditure includes operating expenses and capital expenditure funded by appropriation and own source revenue. This excludes expenses not requiring appropriation.</w:t>
      </w:r>
      <w:r w:rsidR="00F91904" w:rsidRPr="00F91904">
        <w:rPr>
          <w:rFonts w:ascii="Arial" w:hAnsi="Arial"/>
          <w:sz w:val="14"/>
          <w:szCs w:val="14"/>
        </w:rPr>
        <w:tab/>
      </w:r>
      <w:r w:rsidR="00F91904" w:rsidRPr="00F91904">
        <w:rPr>
          <w:rFonts w:ascii="Arial" w:hAnsi="Arial"/>
          <w:sz w:val="14"/>
          <w:szCs w:val="14"/>
        </w:rPr>
        <w:tab/>
      </w:r>
      <w:r w:rsidR="00F91904" w:rsidRPr="00F91904">
        <w:rPr>
          <w:rFonts w:ascii="Arial" w:hAnsi="Arial"/>
          <w:sz w:val="14"/>
          <w:szCs w:val="14"/>
        </w:rPr>
        <w:tab/>
      </w:r>
      <w:r w:rsidR="00F91904" w:rsidRPr="00F91904">
        <w:rPr>
          <w:rFonts w:ascii="Arial" w:hAnsi="Arial"/>
          <w:sz w:val="14"/>
          <w:szCs w:val="14"/>
        </w:rPr>
        <w:tab/>
      </w:r>
      <w:r w:rsidR="00F91904" w:rsidRPr="00F91904">
        <w:rPr>
          <w:rFonts w:ascii="Arial" w:hAnsi="Arial"/>
          <w:sz w:val="14"/>
          <w:szCs w:val="14"/>
        </w:rPr>
        <w:tab/>
      </w:r>
    </w:p>
    <w:p w14:paraId="6043A4D4" w14:textId="361B1DE2" w:rsidR="00CD66E1" w:rsidRPr="007F1D9D" w:rsidRDefault="00F91904" w:rsidP="00F91904">
      <w:pPr>
        <w:shd w:val="clear" w:color="auto" w:fill="FFFFFF"/>
        <w:tabs>
          <w:tab w:val="left" w:pos="284"/>
        </w:tabs>
        <w:spacing w:before="0" w:after="0"/>
        <w:ind w:left="284" w:hanging="284"/>
        <w:rPr>
          <w:rFonts w:ascii="Arial" w:hAnsi="Arial"/>
          <w:sz w:val="14"/>
          <w:szCs w:val="14"/>
        </w:rPr>
      </w:pPr>
      <w:r w:rsidRPr="00F91904">
        <w:rPr>
          <w:rFonts w:ascii="Arial" w:hAnsi="Arial"/>
          <w:sz w:val="14"/>
          <w:szCs w:val="14"/>
        </w:rPr>
        <w:t xml:space="preserve">b. </w:t>
      </w:r>
      <w:r>
        <w:rPr>
          <w:rFonts w:ascii="Arial" w:hAnsi="Arial"/>
          <w:sz w:val="14"/>
          <w:szCs w:val="14"/>
        </w:rPr>
        <w:tab/>
      </w:r>
      <w:r w:rsidRPr="00F91904">
        <w:rPr>
          <w:rFonts w:ascii="Arial" w:hAnsi="Arial"/>
          <w:sz w:val="14"/>
          <w:szCs w:val="14"/>
        </w:rPr>
        <w:t>The change in estimates includes movement of functions and their associated budgets within Defence.</w:t>
      </w:r>
      <w:r w:rsidRPr="00F91904">
        <w:rPr>
          <w:rFonts w:ascii="Arial" w:hAnsi="Arial"/>
          <w:sz w:val="14"/>
          <w:szCs w:val="14"/>
        </w:rPr>
        <w:tab/>
      </w:r>
      <w:r w:rsidRPr="00F91904">
        <w:rPr>
          <w:rFonts w:ascii="Arial" w:hAnsi="Arial"/>
          <w:sz w:val="14"/>
          <w:szCs w:val="14"/>
        </w:rPr>
        <w:tab/>
      </w:r>
      <w:r w:rsidRPr="00F91904">
        <w:rPr>
          <w:rFonts w:ascii="Arial" w:hAnsi="Arial"/>
          <w:sz w:val="14"/>
          <w:szCs w:val="14"/>
        </w:rPr>
        <w:tab/>
      </w:r>
      <w:r w:rsidRPr="00F91904">
        <w:rPr>
          <w:rFonts w:ascii="Arial" w:hAnsi="Arial"/>
          <w:sz w:val="14"/>
          <w:szCs w:val="14"/>
        </w:rPr>
        <w:tab/>
      </w:r>
      <w:r w:rsidRPr="00F91904">
        <w:rPr>
          <w:rFonts w:ascii="Arial" w:hAnsi="Arial"/>
          <w:sz w:val="14"/>
          <w:szCs w:val="14"/>
        </w:rPr>
        <w:tab/>
      </w:r>
    </w:p>
    <w:p w14:paraId="1E174909" w14:textId="77777777" w:rsidR="003806E2" w:rsidRPr="003806E2" w:rsidRDefault="003806E2" w:rsidP="003806E2">
      <w:pPr>
        <w:shd w:val="clear" w:color="auto" w:fill="FFFFFF"/>
        <w:tabs>
          <w:tab w:val="left" w:pos="284"/>
        </w:tabs>
        <w:spacing w:before="0" w:after="0"/>
        <w:ind w:left="284" w:hanging="284"/>
        <w:rPr>
          <w:rFonts w:ascii="Arial" w:hAnsi="Arial"/>
          <w:sz w:val="14"/>
          <w:szCs w:val="14"/>
        </w:rPr>
      </w:pPr>
      <w:r w:rsidRPr="003806E2">
        <w:rPr>
          <w:rFonts w:ascii="Arial" w:hAnsi="Arial"/>
          <w:sz w:val="14"/>
          <w:szCs w:val="14"/>
        </w:rPr>
        <w:tab/>
      </w:r>
      <w:r w:rsidRPr="003806E2">
        <w:rPr>
          <w:rFonts w:ascii="Arial" w:hAnsi="Arial"/>
          <w:sz w:val="14"/>
          <w:szCs w:val="14"/>
        </w:rPr>
        <w:tab/>
      </w:r>
      <w:r w:rsidRPr="003806E2">
        <w:rPr>
          <w:rFonts w:ascii="Arial" w:hAnsi="Arial"/>
          <w:sz w:val="14"/>
          <w:szCs w:val="14"/>
        </w:rPr>
        <w:tab/>
      </w:r>
      <w:r w:rsidRPr="003806E2">
        <w:rPr>
          <w:rFonts w:ascii="Arial" w:hAnsi="Arial"/>
          <w:sz w:val="14"/>
          <w:szCs w:val="14"/>
        </w:rPr>
        <w:tab/>
      </w:r>
      <w:r w:rsidRPr="003806E2">
        <w:rPr>
          <w:rFonts w:ascii="Arial" w:hAnsi="Arial"/>
          <w:sz w:val="14"/>
          <w:szCs w:val="14"/>
        </w:rPr>
        <w:tab/>
      </w:r>
    </w:p>
    <w:p w14:paraId="7E59A6F2" w14:textId="77777777" w:rsidR="005403E1" w:rsidRPr="001246E6" w:rsidRDefault="005403E1" w:rsidP="00D9100A">
      <w:pPr>
        <w:pStyle w:val="TableHeading"/>
        <w:numPr>
          <w:ilvl w:val="0"/>
          <w:numId w:val="29"/>
        </w:numPr>
        <w:spacing w:before="0" w:after="120"/>
        <w:ind w:left="0" w:firstLine="0"/>
        <w:outlineLvl w:val="6"/>
      </w:pPr>
      <w:r w:rsidRPr="00B56FAA">
        <w:br w:type="page"/>
      </w:r>
      <w:r w:rsidRPr="001246E6">
        <w:lastRenderedPageBreak/>
        <w:t>Air Force Deliverables (Flying Hours)</w:t>
      </w:r>
    </w:p>
    <w:tbl>
      <w:tblPr>
        <w:tblW w:w="485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1889"/>
        <w:gridCol w:w="1128"/>
        <w:gridCol w:w="1010"/>
        <w:gridCol w:w="1065"/>
        <w:gridCol w:w="1065"/>
        <w:gridCol w:w="992"/>
      </w:tblGrid>
      <w:tr w:rsidR="00C01193" w:rsidRPr="001246E6" w14:paraId="1636BB68" w14:textId="77777777" w:rsidTr="001246E6">
        <w:tc>
          <w:tcPr>
            <w:tcW w:w="2737" w:type="dxa"/>
            <w:gridSpan w:val="2"/>
            <w:tcBorders>
              <w:bottom w:val="single" w:sz="4" w:space="0" w:color="auto"/>
            </w:tcBorders>
            <w:shd w:val="clear" w:color="auto" w:fill="auto"/>
            <w:vAlign w:val="bottom"/>
          </w:tcPr>
          <w:p w14:paraId="50669975" w14:textId="77777777" w:rsidR="00C01193" w:rsidRPr="001246E6" w:rsidRDefault="00C01193" w:rsidP="002B2BCC">
            <w:pPr>
              <w:pStyle w:val="TableTextHeadingLeft"/>
              <w:rPr>
                <w:sz w:val="16"/>
                <w:szCs w:val="16"/>
              </w:rPr>
            </w:pPr>
            <w:r w:rsidRPr="001246E6">
              <w:rPr>
                <w:sz w:val="16"/>
                <w:szCs w:val="16"/>
              </w:rPr>
              <w:t>Deliverables</w:t>
            </w:r>
            <w:r w:rsidR="00BF3DBD" w:rsidRPr="001246E6">
              <w:rPr>
                <w:sz w:val="16"/>
                <w:szCs w:val="16"/>
              </w:rPr>
              <w:t xml:space="preserve"> </w:t>
            </w:r>
            <w:r w:rsidR="00E77CC5" w:rsidRPr="001246E6">
              <w:rPr>
                <w:sz w:val="16"/>
                <w:szCs w:val="16"/>
                <w:vertAlign w:val="superscript"/>
                <w:lang w:val="en-AU"/>
              </w:rPr>
              <w:t>[a]</w:t>
            </w:r>
            <w:r w:rsidR="00E77CC5" w:rsidRPr="001246E6" w:rsidDel="00E2584C">
              <w:rPr>
                <w:sz w:val="16"/>
                <w:szCs w:val="16"/>
                <w:vertAlign w:val="superscript"/>
                <w:lang w:val="en-AU"/>
              </w:rPr>
              <w:t xml:space="preserve"> </w:t>
            </w:r>
            <w:r w:rsidRPr="001246E6">
              <w:rPr>
                <w:sz w:val="16"/>
                <w:szCs w:val="16"/>
                <w:vertAlign w:val="superscript"/>
              </w:rPr>
              <w:t xml:space="preserve"> </w:t>
            </w:r>
          </w:p>
        </w:tc>
        <w:tc>
          <w:tcPr>
            <w:tcW w:w="1198" w:type="dxa"/>
            <w:tcBorders>
              <w:bottom w:val="single" w:sz="4" w:space="0" w:color="auto"/>
            </w:tcBorders>
            <w:shd w:val="clear" w:color="auto" w:fill="auto"/>
            <w:vAlign w:val="bottom"/>
          </w:tcPr>
          <w:p w14:paraId="0B1A0DFA" w14:textId="77777777" w:rsidR="00C01193" w:rsidRPr="001246E6" w:rsidRDefault="00C01193" w:rsidP="004E2B1E">
            <w:pPr>
              <w:pStyle w:val="TableTextHeadingRight"/>
              <w:rPr>
                <w:sz w:val="16"/>
                <w:szCs w:val="16"/>
              </w:rPr>
            </w:pPr>
            <w:r w:rsidRPr="001246E6">
              <w:rPr>
                <w:sz w:val="16"/>
                <w:szCs w:val="16"/>
              </w:rPr>
              <w:t>202</w:t>
            </w:r>
            <w:r w:rsidR="004E2B1E" w:rsidRPr="001246E6">
              <w:rPr>
                <w:sz w:val="16"/>
                <w:szCs w:val="16"/>
              </w:rPr>
              <w:t>4</w:t>
            </w:r>
            <w:r w:rsidRPr="001246E6">
              <w:rPr>
                <w:sz w:val="16"/>
                <w:szCs w:val="16"/>
              </w:rPr>
              <w:t>-2</w:t>
            </w:r>
            <w:r w:rsidR="004E2B1E" w:rsidRPr="001246E6">
              <w:rPr>
                <w:sz w:val="16"/>
                <w:szCs w:val="16"/>
              </w:rPr>
              <w:t>5</w:t>
            </w:r>
            <w:r w:rsidRPr="001246E6">
              <w:rPr>
                <w:sz w:val="16"/>
                <w:szCs w:val="16"/>
              </w:rPr>
              <w:t xml:space="preserve"> </w:t>
            </w:r>
            <w:r w:rsidR="00EC2836" w:rsidRPr="001246E6">
              <w:rPr>
                <w:sz w:val="16"/>
                <w:szCs w:val="16"/>
              </w:rPr>
              <w:t>Estimated Actual</w:t>
            </w:r>
          </w:p>
        </w:tc>
        <w:tc>
          <w:tcPr>
            <w:tcW w:w="1070" w:type="dxa"/>
            <w:tcBorders>
              <w:bottom w:val="single" w:sz="4" w:space="0" w:color="auto"/>
            </w:tcBorders>
            <w:shd w:val="clear" w:color="auto" w:fill="auto"/>
            <w:vAlign w:val="bottom"/>
          </w:tcPr>
          <w:p w14:paraId="0196D597" w14:textId="77777777" w:rsidR="00C01193" w:rsidRPr="001246E6" w:rsidRDefault="00C01193" w:rsidP="004E2B1E">
            <w:pPr>
              <w:pStyle w:val="TableTextHeadingRight"/>
              <w:rPr>
                <w:sz w:val="16"/>
                <w:szCs w:val="16"/>
              </w:rPr>
            </w:pPr>
            <w:r w:rsidRPr="001246E6">
              <w:rPr>
                <w:sz w:val="16"/>
                <w:szCs w:val="16"/>
              </w:rPr>
              <w:t>202</w:t>
            </w:r>
            <w:r w:rsidR="004E2B1E" w:rsidRPr="001246E6">
              <w:rPr>
                <w:sz w:val="16"/>
                <w:szCs w:val="16"/>
              </w:rPr>
              <w:t>5</w:t>
            </w:r>
            <w:r w:rsidRPr="001246E6">
              <w:rPr>
                <w:sz w:val="16"/>
                <w:szCs w:val="16"/>
              </w:rPr>
              <w:t>-2</w:t>
            </w:r>
            <w:r w:rsidR="004E2B1E" w:rsidRPr="001246E6">
              <w:rPr>
                <w:sz w:val="16"/>
                <w:szCs w:val="16"/>
              </w:rPr>
              <w:t>6</w:t>
            </w:r>
            <w:r w:rsidRPr="001246E6">
              <w:rPr>
                <w:sz w:val="16"/>
                <w:szCs w:val="16"/>
              </w:rPr>
              <w:t xml:space="preserve"> Budget Estimate</w:t>
            </w:r>
          </w:p>
        </w:tc>
        <w:tc>
          <w:tcPr>
            <w:tcW w:w="1151" w:type="dxa"/>
            <w:tcBorders>
              <w:bottom w:val="single" w:sz="4" w:space="0" w:color="auto"/>
            </w:tcBorders>
            <w:shd w:val="clear" w:color="auto" w:fill="auto"/>
            <w:vAlign w:val="bottom"/>
          </w:tcPr>
          <w:p w14:paraId="128CA3F3" w14:textId="77777777" w:rsidR="00C01193" w:rsidRPr="001246E6" w:rsidRDefault="00C01193" w:rsidP="004E2B1E">
            <w:pPr>
              <w:pStyle w:val="TableTextHeadingRight"/>
              <w:rPr>
                <w:sz w:val="16"/>
                <w:szCs w:val="16"/>
              </w:rPr>
            </w:pPr>
            <w:r w:rsidRPr="001246E6">
              <w:rPr>
                <w:sz w:val="16"/>
                <w:szCs w:val="16"/>
              </w:rPr>
              <w:t>202</w:t>
            </w:r>
            <w:r w:rsidR="004E2B1E" w:rsidRPr="001246E6">
              <w:rPr>
                <w:sz w:val="16"/>
                <w:szCs w:val="16"/>
              </w:rPr>
              <w:t>6</w:t>
            </w:r>
            <w:r w:rsidRPr="001246E6">
              <w:rPr>
                <w:sz w:val="16"/>
                <w:szCs w:val="16"/>
              </w:rPr>
              <w:t>-2</w:t>
            </w:r>
            <w:r w:rsidR="004E2B1E" w:rsidRPr="001246E6">
              <w:rPr>
                <w:sz w:val="16"/>
                <w:szCs w:val="16"/>
              </w:rPr>
              <w:t>7</w:t>
            </w:r>
            <w:r w:rsidRPr="001246E6">
              <w:rPr>
                <w:sz w:val="16"/>
                <w:szCs w:val="16"/>
              </w:rPr>
              <w:t xml:space="preserve"> Forward Estimate</w:t>
            </w:r>
          </w:p>
        </w:tc>
        <w:tc>
          <w:tcPr>
            <w:tcW w:w="1151" w:type="dxa"/>
            <w:tcBorders>
              <w:bottom w:val="single" w:sz="4" w:space="0" w:color="auto"/>
            </w:tcBorders>
            <w:shd w:val="clear" w:color="auto" w:fill="auto"/>
            <w:vAlign w:val="bottom"/>
          </w:tcPr>
          <w:p w14:paraId="387A6D8E" w14:textId="77777777" w:rsidR="00C01193" w:rsidRPr="001246E6" w:rsidRDefault="00C01193" w:rsidP="004E2B1E">
            <w:pPr>
              <w:pStyle w:val="TableTextHeadingRight"/>
              <w:rPr>
                <w:sz w:val="16"/>
                <w:szCs w:val="16"/>
              </w:rPr>
            </w:pPr>
            <w:r w:rsidRPr="001246E6">
              <w:rPr>
                <w:sz w:val="16"/>
                <w:szCs w:val="16"/>
              </w:rPr>
              <w:t>202</w:t>
            </w:r>
            <w:r w:rsidR="004E2B1E" w:rsidRPr="001246E6">
              <w:rPr>
                <w:sz w:val="16"/>
                <w:szCs w:val="16"/>
              </w:rPr>
              <w:t>7</w:t>
            </w:r>
            <w:r w:rsidRPr="001246E6">
              <w:rPr>
                <w:sz w:val="16"/>
                <w:szCs w:val="16"/>
              </w:rPr>
              <w:t>-2</w:t>
            </w:r>
            <w:r w:rsidR="004E2B1E" w:rsidRPr="001246E6">
              <w:rPr>
                <w:sz w:val="16"/>
                <w:szCs w:val="16"/>
              </w:rPr>
              <w:t>8</w:t>
            </w:r>
            <w:r w:rsidRPr="001246E6">
              <w:rPr>
                <w:sz w:val="16"/>
                <w:szCs w:val="16"/>
              </w:rPr>
              <w:t xml:space="preserve"> Forward Estimate</w:t>
            </w:r>
          </w:p>
        </w:tc>
        <w:tc>
          <w:tcPr>
            <w:tcW w:w="1043" w:type="dxa"/>
            <w:tcBorders>
              <w:bottom w:val="single" w:sz="4" w:space="0" w:color="auto"/>
            </w:tcBorders>
            <w:shd w:val="clear" w:color="auto" w:fill="auto"/>
            <w:vAlign w:val="bottom"/>
          </w:tcPr>
          <w:p w14:paraId="4BC9C27B" w14:textId="77777777" w:rsidR="00C01193" w:rsidRPr="001246E6" w:rsidRDefault="00C01193" w:rsidP="004E2B1E">
            <w:pPr>
              <w:pStyle w:val="TableTextHeadingRight"/>
              <w:rPr>
                <w:sz w:val="16"/>
                <w:szCs w:val="16"/>
              </w:rPr>
            </w:pPr>
            <w:r w:rsidRPr="001246E6">
              <w:rPr>
                <w:sz w:val="16"/>
                <w:szCs w:val="16"/>
              </w:rPr>
              <w:t>202</w:t>
            </w:r>
            <w:r w:rsidR="004E2B1E" w:rsidRPr="001246E6">
              <w:rPr>
                <w:sz w:val="16"/>
                <w:szCs w:val="16"/>
              </w:rPr>
              <w:t>8</w:t>
            </w:r>
            <w:r w:rsidRPr="001246E6">
              <w:rPr>
                <w:sz w:val="16"/>
                <w:szCs w:val="16"/>
              </w:rPr>
              <w:t>-2</w:t>
            </w:r>
            <w:r w:rsidR="004E2B1E" w:rsidRPr="001246E6">
              <w:rPr>
                <w:sz w:val="16"/>
                <w:szCs w:val="16"/>
              </w:rPr>
              <w:t>9</w:t>
            </w:r>
            <w:r w:rsidRPr="001246E6">
              <w:rPr>
                <w:sz w:val="16"/>
                <w:szCs w:val="16"/>
              </w:rPr>
              <w:t xml:space="preserve"> Forward Estimate</w:t>
            </w:r>
          </w:p>
        </w:tc>
      </w:tr>
      <w:tr w:rsidR="001246E6" w:rsidRPr="001246E6" w14:paraId="58FF4DCC" w14:textId="77777777" w:rsidTr="00603553">
        <w:tc>
          <w:tcPr>
            <w:tcW w:w="489" w:type="dxa"/>
            <w:shd w:val="clear" w:color="auto" w:fill="auto"/>
            <w:vAlign w:val="center"/>
          </w:tcPr>
          <w:p w14:paraId="4CC04CA3" w14:textId="77777777" w:rsidR="001246E6" w:rsidRPr="001246E6" w:rsidRDefault="001246E6" w:rsidP="001246E6">
            <w:pPr>
              <w:pStyle w:val="TabletextLeft"/>
              <w:jc w:val="right"/>
              <w:rPr>
                <w:rFonts w:cs="Arial"/>
                <w:sz w:val="16"/>
                <w:szCs w:val="16"/>
              </w:rPr>
            </w:pPr>
            <w:r w:rsidRPr="001246E6">
              <w:rPr>
                <w:sz w:val="16"/>
                <w:szCs w:val="16"/>
              </w:rPr>
              <w:t>49</w:t>
            </w:r>
          </w:p>
        </w:tc>
        <w:tc>
          <w:tcPr>
            <w:tcW w:w="2248" w:type="dxa"/>
            <w:shd w:val="clear" w:color="auto" w:fill="auto"/>
            <w:vAlign w:val="center"/>
          </w:tcPr>
          <w:p w14:paraId="0848EA7A" w14:textId="77777777" w:rsidR="001246E6" w:rsidRPr="001246E6" w:rsidRDefault="001246E6" w:rsidP="001246E6">
            <w:pPr>
              <w:pStyle w:val="TabletextLeft"/>
              <w:rPr>
                <w:rFonts w:cs="Arial"/>
                <w:sz w:val="16"/>
                <w:szCs w:val="16"/>
              </w:rPr>
            </w:pPr>
            <w:r w:rsidRPr="001246E6">
              <w:rPr>
                <w:sz w:val="16"/>
                <w:szCs w:val="16"/>
                <w:lang w:val="en-AU"/>
              </w:rPr>
              <w:t>PC-21</w:t>
            </w:r>
          </w:p>
        </w:tc>
        <w:tc>
          <w:tcPr>
            <w:tcW w:w="1198" w:type="dxa"/>
            <w:shd w:val="clear" w:color="auto" w:fill="auto"/>
            <w:vAlign w:val="center"/>
          </w:tcPr>
          <w:p w14:paraId="7057F4F4" w14:textId="77777777" w:rsidR="001246E6" w:rsidRPr="006B4CFE" w:rsidRDefault="001246E6" w:rsidP="001246E6">
            <w:pPr>
              <w:pStyle w:val="TableTextRight"/>
              <w:rPr>
                <w:sz w:val="16"/>
                <w:szCs w:val="16"/>
              </w:rPr>
            </w:pPr>
            <w:r w:rsidRPr="006B4CFE">
              <w:rPr>
                <w:sz w:val="16"/>
                <w:szCs w:val="16"/>
              </w:rPr>
              <w:t>24,700</w:t>
            </w:r>
          </w:p>
        </w:tc>
        <w:tc>
          <w:tcPr>
            <w:tcW w:w="1070" w:type="dxa"/>
            <w:shd w:val="clear" w:color="auto" w:fill="auto"/>
            <w:vAlign w:val="center"/>
          </w:tcPr>
          <w:p w14:paraId="795D1C0A" w14:textId="77777777" w:rsidR="001246E6" w:rsidRPr="00725626" w:rsidRDefault="001246E6" w:rsidP="001246E6">
            <w:pPr>
              <w:pStyle w:val="TableTextRight"/>
              <w:spacing w:before="20" w:beforeAutospacing="1" w:after="20" w:afterAutospacing="1"/>
              <w:rPr>
                <w:rFonts w:cs="Times New Roman"/>
                <w:sz w:val="16"/>
                <w:szCs w:val="16"/>
              </w:rPr>
            </w:pPr>
            <w:r w:rsidRPr="00725626">
              <w:rPr>
                <w:rFonts w:cs="Times New Roman"/>
                <w:sz w:val="16"/>
                <w:szCs w:val="16"/>
              </w:rPr>
              <w:t>26,820</w:t>
            </w:r>
          </w:p>
        </w:tc>
        <w:tc>
          <w:tcPr>
            <w:tcW w:w="1151" w:type="dxa"/>
            <w:shd w:val="clear" w:color="auto" w:fill="auto"/>
            <w:vAlign w:val="center"/>
          </w:tcPr>
          <w:p w14:paraId="04099EF4" w14:textId="77777777" w:rsidR="001246E6" w:rsidRPr="00725626" w:rsidRDefault="001246E6" w:rsidP="001246E6">
            <w:pPr>
              <w:pStyle w:val="TableTextRight"/>
              <w:spacing w:before="20" w:beforeAutospacing="1" w:after="20" w:afterAutospacing="1"/>
              <w:rPr>
                <w:rFonts w:cs="Times New Roman"/>
                <w:sz w:val="16"/>
                <w:szCs w:val="16"/>
              </w:rPr>
            </w:pPr>
            <w:r w:rsidRPr="00725626">
              <w:rPr>
                <w:rFonts w:cs="Times New Roman"/>
                <w:sz w:val="16"/>
                <w:szCs w:val="16"/>
              </w:rPr>
              <w:t>26,820</w:t>
            </w:r>
          </w:p>
        </w:tc>
        <w:tc>
          <w:tcPr>
            <w:tcW w:w="1151" w:type="dxa"/>
            <w:shd w:val="clear" w:color="auto" w:fill="auto"/>
            <w:vAlign w:val="center"/>
          </w:tcPr>
          <w:p w14:paraId="002398BD" w14:textId="77777777" w:rsidR="001246E6" w:rsidRPr="00725626" w:rsidRDefault="001246E6" w:rsidP="001246E6">
            <w:pPr>
              <w:pStyle w:val="TableTextRight"/>
              <w:spacing w:before="20" w:beforeAutospacing="1" w:after="20" w:afterAutospacing="1"/>
              <w:rPr>
                <w:rFonts w:cs="Times New Roman"/>
                <w:sz w:val="16"/>
                <w:szCs w:val="16"/>
              </w:rPr>
            </w:pPr>
            <w:r w:rsidRPr="00725626">
              <w:rPr>
                <w:rFonts w:cs="Times New Roman"/>
                <w:sz w:val="16"/>
                <w:szCs w:val="16"/>
              </w:rPr>
              <w:t>26,820</w:t>
            </w:r>
          </w:p>
        </w:tc>
        <w:tc>
          <w:tcPr>
            <w:tcW w:w="1043" w:type="dxa"/>
            <w:shd w:val="clear" w:color="auto" w:fill="auto"/>
            <w:vAlign w:val="center"/>
          </w:tcPr>
          <w:p w14:paraId="70A73092" w14:textId="77777777" w:rsidR="001246E6" w:rsidRPr="001246E6" w:rsidRDefault="001246E6" w:rsidP="001246E6">
            <w:pPr>
              <w:pStyle w:val="TableTextRight"/>
              <w:rPr>
                <w:sz w:val="16"/>
                <w:szCs w:val="16"/>
                <w:lang w:val="en-AU"/>
              </w:rPr>
            </w:pPr>
            <w:r w:rsidRPr="001246E6">
              <w:rPr>
                <w:rFonts w:cs="Times New Roman"/>
                <w:sz w:val="16"/>
                <w:szCs w:val="16"/>
              </w:rPr>
              <w:t>26,820</w:t>
            </w:r>
          </w:p>
        </w:tc>
      </w:tr>
      <w:tr w:rsidR="001246E6" w:rsidRPr="001246E6" w14:paraId="506FE048" w14:textId="77777777" w:rsidTr="00603553">
        <w:tc>
          <w:tcPr>
            <w:tcW w:w="489" w:type="dxa"/>
            <w:shd w:val="clear" w:color="auto" w:fill="auto"/>
            <w:vAlign w:val="center"/>
          </w:tcPr>
          <w:p w14:paraId="55585D9B" w14:textId="77777777" w:rsidR="001246E6" w:rsidRPr="001246E6" w:rsidRDefault="001246E6" w:rsidP="001246E6">
            <w:pPr>
              <w:pStyle w:val="TabletextLeft"/>
              <w:jc w:val="right"/>
              <w:rPr>
                <w:rFonts w:cs="Arial"/>
                <w:sz w:val="16"/>
                <w:szCs w:val="16"/>
              </w:rPr>
            </w:pPr>
            <w:r w:rsidRPr="001246E6">
              <w:rPr>
                <w:sz w:val="16"/>
                <w:szCs w:val="16"/>
              </w:rPr>
              <w:t>11</w:t>
            </w:r>
          </w:p>
        </w:tc>
        <w:tc>
          <w:tcPr>
            <w:tcW w:w="2248" w:type="dxa"/>
            <w:shd w:val="clear" w:color="auto" w:fill="auto"/>
            <w:vAlign w:val="center"/>
          </w:tcPr>
          <w:p w14:paraId="3A0BDCA0" w14:textId="77777777" w:rsidR="001246E6" w:rsidRPr="001246E6" w:rsidRDefault="001246E6" w:rsidP="001246E6">
            <w:pPr>
              <w:pStyle w:val="TabletextLeft"/>
              <w:rPr>
                <w:rFonts w:cs="Arial"/>
                <w:sz w:val="16"/>
                <w:szCs w:val="16"/>
              </w:rPr>
            </w:pPr>
            <w:r w:rsidRPr="001246E6">
              <w:rPr>
                <w:sz w:val="16"/>
                <w:szCs w:val="16"/>
                <w:lang w:val="en-AU"/>
              </w:rPr>
              <w:t>KA350 King Air</w:t>
            </w:r>
            <w:r w:rsidRPr="001246E6">
              <w:rPr>
                <w:sz w:val="16"/>
                <w:szCs w:val="16"/>
                <w:vertAlign w:val="superscript"/>
                <w:lang w:val="en-AU"/>
              </w:rPr>
              <w:t xml:space="preserve"> </w:t>
            </w:r>
          </w:p>
        </w:tc>
        <w:tc>
          <w:tcPr>
            <w:tcW w:w="1198" w:type="dxa"/>
            <w:shd w:val="clear" w:color="auto" w:fill="auto"/>
            <w:vAlign w:val="center"/>
          </w:tcPr>
          <w:p w14:paraId="741BAD61" w14:textId="77777777" w:rsidR="001246E6" w:rsidRPr="006B4CFE" w:rsidRDefault="001246E6" w:rsidP="001246E6">
            <w:pPr>
              <w:pStyle w:val="TableTextRight"/>
              <w:rPr>
                <w:sz w:val="16"/>
                <w:szCs w:val="16"/>
              </w:rPr>
            </w:pPr>
            <w:r w:rsidRPr="006B4CFE">
              <w:rPr>
                <w:sz w:val="16"/>
                <w:szCs w:val="16"/>
              </w:rPr>
              <w:t>3,800</w:t>
            </w:r>
          </w:p>
        </w:tc>
        <w:tc>
          <w:tcPr>
            <w:tcW w:w="1070" w:type="dxa"/>
            <w:shd w:val="clear" w:color="auto" w:fill="auto"/>
            <w:vAlign w:val="center"/>
          </w:tcPr>
          <w:p w14:paraId="64D75879" w14:textId="77777777" w:rsidR="001246E6" w:rsidRPr="00725626" w:rsidRDefault="001246E6" w:rsidP="001246E6">
            <w:pPr>
              <w:pStyle w:val="TableTextRight"/>
              <w:spacing w:before="20" w:beforeAutospacing="1" w:after="20" w:afterAutospacing="1"/>
              <w:rPr>
                <w:rFonts w:cs="Times New Roman"/>
                <w:sz w:val="16"/>
                <w:szCs w:val="16"/>
              </w:rPr>
            </w:pPr>
            <w:r w:rsidRPr="00725626">
              <w:rPr>
                <w:rFonts w:cs="Times New Roman"/>
                <w:sz w:val="16"/>
                <w:szCs w:val="16"/>
              </w:rPr>
              <w:t>3,800</w:t>
            </w:r>
          </w:p>
        </w:tc>
        <w:tc>
          <w:tcPr>
            <w:tcW w:w="1151" w:type="dxa"/>
            <w:shd w:val="clear" w:color="auto" w:fill="auto"/>
            <w:vAlign w:val="center"/>
          </w:tcPr>
          <w:p w14:paraId="346A0C13" w14:textId="77777777" w:rsidR="001246E6" w:rsidRPr="00725626" w:rsidRDefault="001246E6" w:rsidP="001246E6">
            <w:pPr>
              <w:pStyle w:val="TableTextRight"/>
              <w:spacing w:before="20" w:beforeAutospacing="1" w:after="20" w:afterAutospacing="1"/>
              <w:rPr>
                <w:rFonts w:cs="Times New Roman"/>
                <w:sz w:val="16"/>
                <w:szCs w:val="16"/>
              </w:rPr>
            </w:pPr>
            <w:r w:rsidRPr="00725626">
              <w:rPr>
                <w:rFonts w:cs="Times New Roman"/>
                <w:sz w:val="16"/>
                <w:szCs w:val="16"/>
              </w:rPr>
              <w:t>3,800</w:t>
            </w:r>
          </w:p>
        </w:tc>
        <w:tc>
          <w:tcPr>
            <w:tcW w:w="1151" w:type="dxa"/>
            <w:shd w:val="clear" w:color="auto" w:fill="auto"/>
            <w:vAlign w:val="center"/>
          </w:tcPr>
          <w:p w14:paraId="635E00E1" w14:textId="77777777" w:rsidR="001246E6" w:rsidRPr="00725626" w:rsidRDefault="001246E6" w:rsidP="001246E6">
            <w:pPr>
              <w:pStyle w:val="TableTextRight"/>
              <w:spacing w:before="20" w:beforeAutospacing="1" w:after="20" w:afterAutospacing="1"/>
              <w:rPr>
                <w:rFonts w:cs="Times New Roman"/>
                <w:sz w:val="16"/>
                <w:szCs w:val="16"/>
              </w:rPr>
            </w:pPr>
            <w:r w:rsidRPr="00725626">
              <w:rPr>
                <w:rFonts w:cs="Times New Roman"/>
                <w:sz w:val="16"/>
                <w:szCs w:val="16"/>
              </w:rPr>
              <w:t>3,800</w:t>
            </w:r>
          </w:p>
        </w:tc>
        <w:tc>
          <w:tcPr>
            <w:tcW w:w="1043" w:type="dxa"/>
            <w:shd w:val="clear" w:color="auto" w:fill="auto"/>
            <w:vAlign w:val="center"/>
          </w:tcPr>
          <w:p w14:paraId="2854989F" w14:textId="77777777" w:rsidR="001246E6" w:rsidRPr="001246E6" w:rsidRDefault="001246E6" w:rsidP="001246E6">
            <w:pPr>
              <w:pStyle w:val="TableTextRight"/>
              <w:rPr>
                <w:sz w:val="16"/>
                <w:szCs w:val="16"/>
              </w:rPr>
            </w:pPr>
            <w:r w:rsidRPr="001246E6">
              <w:rPr>
                <w:rFonts w:cs="Times New Roman"/>
                <w:sz w:val="16"/>
                <w:szCs w:val="16"/>
              </w:rPr>
              <w:t>3,800</w:t>
            </w:r>
          </w:p>
        </w:tc>
      </w:tr>
      <w:tr w:rsidR="001246E6" w:rsidRPr="001246E6" w14:paraId="35B6E472" w14:textId="77777777" w:rsidTr="00603553">
        <w:tc>
          <w:tcPr>
            <w:tcW w:w="489" w:type="dxa"/>
            <w:shd w:val="clear" w:color="auto" w:fill="auto"/>
            <w:vAlign w:val="center"/>
          </w:tcPr>
          <w:p w14:paraId="6EFBFFCC" w14:textId="77777777" w:rsidR="001246E6" w:rsidRPr="001246E6" w:rsidRDefault="001246E6" w:rsidP="001246E6">
            <w:pPr>
              <w:pStyle w:val="TabletextLeft"/>
              <w:jc w:val="right"/>
              <w:rPr>
                <w:rFonts w:cs="Arial"/>
                <w:sz w:val="16"/>
                <w:szCs w:val="16"/>
              </w:rPr>
            </w:pPr>
            <w:r w:rsidRPr="001246E6">
              <w:rPr>
                <w:sz w:val="16"/>
                <w:szCs w:val="16"/>
              </w:rPr>
              <w:t>12</w:t>
            </w:r>
          </w:p>
        </w:tc>
        <w:tc>
          <w:tcPr>
            <w:tcW w:w="2248" w:type="dxa"/>
            <w:shd w:val="clear" w:color="auto" w:fill="auto"/>
            <w:vAlign w:val="center"/>
          </w:tcPr>
          <w:p w14:paraId="5491268D" w14:textId="77777777" w:rsidR="001246E6" w:rsidRPr="001246E6" w:rsidRDefault="001246E6" w:rsidP="001246E6">
            <w:pPr>
              <w:pStyle w:val="TabletextLeft"/>
              <w:rPr>
                <w:rFonts w:cs="Arial"/>
                <w:sz w:val="16"/>
                <w:szCs w:val="16"/>
              </w:rPr>
            </w:pPr>
            <w:r w:rsidRPr="001246E6">
              <w:rPr>
                <w:sz w:val="16"/>
                <w:szCs w:val="16"/>
                <w:lang w:val="en-AU"/>
              </w:rPr>
              <w:t>C-130J Hercules</w:t>
            </w:r>
          </w:p>
        </w:tc>
        <w:tc>
          <w:tcPr>
            <w:tcW w:w="1198" w:type="dxa"/>
            <w:shd w:val="clear" w:color="auto" w:fill="auto"/>
            <w:vAlign w:val="center"/>
          </w:tcPr>
          <w:p w14:paraId="5F80C95C" w14:textId="77777777" w:rsidR="001246E6" w:rsidRPr="006B4CFE" w:rsidRDefault="001246E6" w:rsidP="001246E6">
            <w:pPr>
              <w:pStyle w:val="TableTextRight"/>
              <w:rPr>
                <w:sz w:val="16"/>
                <w:szCs w:val="16"/>
              </w:rPr>
            </w:pPr>
            <w:r w:rsidRPr="006B4CFE">
              <w:rPr>
                <w:sz w:val="16"/>
                <w:szCs w:val="16"/>
              </w:rPr>
              <w:t>5,150</w:t>
            </w:r>
          </w:p>
        </w:tc>
        <w:tc>
          <w:tcPr>
            <w:tcW w:w="1070" w:type="dxa"/>
            <w:shd w:val="clear" w:color="auto" w:fill="auto"/>
            <w:vAlign w:val="center"/>
          </w:tcPr>
          <w:p w14:paraId="6AB9BBF7" w14:textId="77777777" w:rsidR="001246E6" w:rsidRPr="00725626" w:rsidRDefault="001246E6" w:rsidP="001246E6">
            <w:pPr>
              <w:pStyle w:val="TableTextRight"/>
              <w:spacing w:before="20" w:beforeAutospacing="1" w:after="20" w:afterAutospacing="1"/>
              <w:rPr>
                <w:rFonts w:cs="Times New Roman"/>
                <w:sz w:val="16"/>
                <w:szCs w:val="16"/>
              </w:rPr>
            </w:pPr>
            <w:r w:rsidRPr="00725626">
              <w:rPr>
                <w:rFonts w:cs="Times New Roman"/>
                <w:sz w:val="16"/>
                <w:szCs w:val="16"/>
              </w:rPr>
              <w:t>7,350</w:t>
            </w:r>
          </w:p>
        </w:tc>
        <w:tc>
          <w:tcPr>
            <w:tcW w:w="1151" w:type="dxa"/>
            <w:shd w:val="clear" w:color="auto" w:fill="auto"/>
            <w:vAlign w:val="center"/>
          </w:tcPr>
          <w:p w14:paraId="726CE1FF" w14:textId="77777777" w:rsidR="001246E6" w:rsidRPr="00725626" w:rsidRDefault="001246E6" w:rsidP="001246E6">
            <w:pPr>
              <w:pStyle w:val="TableTextRight"/>
              <w:spacing w:before="20" w:beforeAutospacing="1" w:after="20" w:afterAutospacing="1"/>
              <w:rPr>
                <w:rFonts w:cs="Times New Roman"/>
                <w:sz w:val="16"/>
                <w:szCs w:val="16"/>
              </w:rPr>
            </w:pPr>
            <w:r w:rsidRPr="00725626">
              <w:rPr>
                <w:rFonts w:cs="Times New Roman"/>
                <w:sz w:val="16"/>
                <w:szCs w:val="16"/>
              </w:rPr>
              <w:t>7,350</w:t>
            </w:r>
          </w:p>
        </w:tc>
        <w:tc>
          <w:tcPr>
            <w:tcW w:w="1151" w:type="dxa"/>
            <w:shd w:val="clear" w:color="auto" w:fill="auto"/>
            <w:vAlign w:val="center"/>
          </w:tcPr>
          <w:p w14:paraId="5626E9B9" w14:textId="77777777" w:rsidR="001246E6" w:rsidRPr="00725626" w:rsidRDefault="001246E6" w:rsidP="001246E6">
            <w:pPr>
              <w:pStyle w:val="TableTextRight"/>
              <w:spacing w:before="20" w:beforeAutospacing="1" w:after="20" w:afterAutospacing="1"/>
              <w:rPr>
                <w:rFonts w:cs="Times New Roman"/>
                <w:sz w:val="16"/>
                <w:szCs w:val="16"/>
              </w:rPr>
            </w:pPr>
            <w:r w:rsidRPr="00725626">
              <w:rPr>
                <w:rFonts w:cs="Times New Roman"/>
                <w:sz w:val="16"/>
                <w:szCs w:val="16"/>
              </w:rPr>
              <w:t>7,350</w:t>
            </w:r>
          </w:p>
        </w:tc>
        <w:tc>
          <w:tcPr>
            <w:tcW w:w="1043" w:type="dxa"/>
            <w:shd w:val="clear" w:color="auto" w:fill="auto"/>
            <w:vAlign w:val="center"/>
          </w:tcPr>
          <w:p w14:paraId="2DE1423D" w14:textId="77777777" w:rsidR="001246E6" w:rsidRPr="001246E6" w:rsidRDefault="001246E6" w:rsidP="001246E6">
            <w:pPr>
              <w:pStyle w:val="TableTextRight"/>
              <w:rPr>
                <w:sz w:val="16"/>
                <w:szCs w:val="16"/>
              </w:rPr>
            </w:pPr>
            <w:r w:rsidRPr="001246E6">
              <w:rPr>
                <w:rFonts w:cs="Times New Roman"/>
                <w:sz w:val="16"/>
                <w:szCs w:val="16"/>
              </w:rPr>
              <w:t>7,350</w:t>
            </w:r>
          </w:p>
        </w:tc>
      </w:tr>
      <w:tr w:rsidR="001246E6" w:rsidRPr="001246E6" w14:paraId="78A67343" w14:textId="77777777" w:rsidTr="00603553">
        <w:tc>
          <w:tcPr>
            <w:tcW w:w="489" w:type="dxa"/>
            <w:shd w:val="clear" w:color="auto" w:fill="auto"/>
            <w:vAlign w:val="center"/>
          </w:tcPr>
          <w:p w14:paraId="4466AB6D" w14:textId="77777777" w:rsidR="001246E6" w:rsidRPr="001246E6" w:rsidRDefault="001246E6" w:rsidP="001246E6">
            <w:pPr>
              <w:pStyle w:val="TabletextLeft"/>
              <w:jc w:val="right"/>
              <w:rPr>
                <w:rFonts w:cs="Arial"/>
                <w:sz w:val="16"/>
                <w:szCs w:val="16"/>
              </w:rPr>
            </w:pPr>
            <w:r w:rsidRPr="001246E6">
              <w:rPr>
                <w:sz w:val="16"/>
                <w:szCs w:val="16"/>
              </w:rPr>
              <w:t>8</w:t>
            </w:r>
          </w:p>
        </w:tc>
        <w:tc>
          <w:tcPr>
            <w:tcW w:w="2248" w:type="dxa"/>
            <w:shd w:val="clear" w:color="auto" w:fill="auto"/>
            <w:vAlign w:val="center"/>
          </w:tcPr>
          <w:p w14:paraId="31CB4F69" w14:textId="77777777" w:rsidR="001246E6" w:rsidRPr="001246E6" w:rsidRDefault="001246E6" w:rsidP="001246E6">
            <w:pPr>
              <w:pStyle w:val="TabletextLeft"/>
              <w:rPr>
                <w:rFonts w:cs="Arial"/>
                <w:sz w:val="16"/>
                <w:szCs w:val="16"/>
              </w:rPr>
            </w:pPr>
            <w:r w:rsidRPr="001246E6">
              <w:rPr>
                <w:sz w:val="16"/>
                <w:szCs w:val="16"/>
                <w:lang w:val="en-AU"/>
              </w:rPr>
              <w:t>C-17A Globemaster III</w:t>
            </w:r>
          </w:p>
        </w:tc>
        <w:tc>
          <w:tcPr>
            <w:tcW w:w="1198" w:type="dxa"/>
            <w:shd w:val="clear" w:color="auto" w:fill="auto"/>
            <w:vAlign w:val="center"/>
          </w:tcPr>
          <w:p w14:paraId="5FB24EAD" w14:textId="77777777" w:rsidR="001246E6" w:rsidRPr="006B4CFE" w:rsidRDefault="001246E6" w:rsidP="001246E6">
            <w:pPr>
              <w:pStyle w:val="TableTextRight"/>
              <w:rPr>
                <w:sz w:val="16"/>
                <w:szCs w:val="16"/>
              </w:rPr>
            </w:pPr>
            <w:r w:rsidRPr="006B4CFE">
              <w:rPr>
                <w:sz w:val="16"/>
                <w:szCs w:val="16"/>
              </w:rPr>
              <w:t>5,000</w:t>
            </w:r>
          </w:p>
        </w:tc>
        <w:tc>
          <w:tcPr>
            <w:tcW w:w="1070" w:type="dxa"/>
            <w:shd w:val="clear" w:color="auto" w:fill="auto"/>
            <w:vAlign w:val="center"/>
          </w:tcPr>
          <w:p w14:paraId="56813364" w14:textId="77777777" w:rsidR="001246E6" w:rsidRPr="00725626" w:rsidRDefault="001246E6" w:rsidP="001246E6">
            <w:pPr>
              <w:pStyle w:val="TableTextRight"/>
              <w:spacing w:before="20" w:beforeAutospacing="1" w:after="20" w:afterAutospacing="1"/>
              <w:rPr>
                <w:rFonts w:cs="Times New Roman"/>
                <w:sz w:val="16"/>
                <w:szCs w:val="16"/>
              </w:rPr>
            </w:pPr>
            <w:r w:rsidRPr="00725626">
              <w:rPr>
                <w:rFonts w:cs="Times New Roman"/>
                <w:sz w:val="16"/>
                <w:szCs w:val="16"/>
              </w:rPr>
              <w:t>6,200</w:t>
            </w:r>
          </w:p>
        </w:tc>
        <w:tc>
          <w:tcPr>
            <w:tcW w:w="1151" w:type="dxa"/>
            <w:shd w:val="clear" w:color="auto" w:fill="auto"/>
            <w:vAlign w:val="center"/>
          </w:tcPr>
          <w:p w14:paraId="359D566D" w14:textId="77777777" w:rsidR="001246E6" w:rsidRPr="00725626" w:rsidRDefault="001246E6" w:rsidP="001246E6">
            <w:pPr>
              <w:pStyle w:val="TableTextRight"/>
              <w:spacing w:before="20" w:beforeAutospacing="1" w:after="20" w:afterAutospacing="1"/>
              <w:rPr>
                <w:rFonts w:cs="Times New Roman"/>
                <w:sz w:val="16"/>
                <w:szCs w:val="16"/>
              </w:rPr>
            </w:pPr>
            <w:r w:rsidRPr="00725626">
              <w:rPr>
                <w:rFonts w:cs="Times New Roman"/>
                <w:sz w:val="16"/>
                <w:szCs w:val="16"/>
              </w:rPr>
              <w:t>6,200</w:t>
            </w:r>
          </w:p>
        </w:tc>
        <w:tc>
          <w:tcPr>
            <w:tcW w:w="1151" w:type="dxa"/>
            <w:shd w:val="clear" w:color="auto" w:fill="auto"/>
            <w:vAlign w:val="center"/>
          </w:tcPr>
          <w:p w14:paraId="700957EE" w14:textId="77777777" w:rsidR="001246E6" w:rsidRPr="00725626" w:rsidRDefault="001246E6" w:rsidP="001246E6">
            <w:pPr>
              <w:pStyle w:val="TableTextRight"/>
              <w:spacing w:before="20" w:beforeAutospacing="1" w:after="20" w:afterAutospacing="1"/>
              <w:rPr>
                <w:rFonts w:cs="Times New Roman"/>
                <w:sz w:val="16"/>
                <w:szCs w:val="16"/>
              </w:rPr>
            </w:pPr>
            <w:r w:rsidRPr="00725626">
              <w:rPr>
                <w:rFonts w:cs="Times New Roman"/>
                <w:sz w:val="16"/>
                <w:szCs w:val="16"/>
              </w:rPr>
              <w:t>6,200</w:t>
            </w:r>
          </w:p>
        </w:tc>
        <w:tc>
          <w:tcPr>
            <w:tcW w:w="1043" w:type="dxa"/>
            <w:shd w:val="clear" w:color="auto" w:fill="auto"/>
            <w:vAlign w:val="center"/>
          </w:tcPr>
          <w:p w14:paraId="317F387A" w14:textId="77777777" w:rsidR="001246E6" w:rsidRPr="001246E6" w:rsidRDefault="001246E6" w:rsidP="001246E6">
            <w:pPr>
              <w:pStyle w:val="TableTextRight"/>
              <w:rPr>
                <w:sz w:val="16"/>
                <w:szCs w:val="16"/>
              </w:rPr>
            </w:pPr>
            <w:r w:rsidRPr="001246E6">
              <w:rPr>
                <w:rFonts w:cs="Times New Roman"/>
                <w:sz w:val="16"/>
                <w:szCs w:val="16"/>
              </w:rPr>
              <w:t>6,200</w:t>
            </w:r>
          </w:p>
        </w:tc>
      </w:tr>
      <w:tr w:rsidR="001246E6" w:rsidRPr="001246E6" w14:paraId="69D81B1E" w14:textId="77777777" w:rsidTr="00603553">
        <w:tc>
          <w:tcPr>
            <w:tcW w:w="489" w:type="dxa"/>
            <w:shd w:val="clear" w:color="auto" w:fill="auto"/>
            <w:vAlign w:val="center"/>
          </w:tcPr>
          <w:p w14:paraId="24A0D477" w14:textId="77777777" w:rsidR="001246E6" w:rsidRPr="001246E6" w:rsidRDefault="001246E6" w:rsidP="001246E6">
            <w:pPr>
              <w:pStyle w:val="TabletextLeft"/>
              <w:jc w:val="right"/>
              <w:rPr>
                <w:rFonts w:cs="Arial"/>
                <w:sz w:val="16"/>
                <w:szCs w:val="16"/>
              </w:rPr>
            </w:pPr>
            <w:r w:rsidRPr="001246E6">
              <w:rPr>
                <w:sz w:val="16"/>
                <w:szCs w:val="16"/>
              </w:rPr>
              <w:t>10</w:t>
            </w:r>
          </w:p>
        </w:tc>
        <w:tc>
          <w:tcPr>
            <w:tcW w:w="2248" w:type="dxa"/>
            <w:shd w:val="clear" w:color="auto" w:fill="auto"/>
            <w:vAlign w:val="center"/>
          </w:tcPr>
          <w:p w14:paraId="4903AE46" w14:textId="77777777" w:rsidR="001246E6" w:rsidRPr="001246E6" w:rsidRDefault="001246E6" w:rsidP="001246E6">
            <w:pPr>
              <w:pStyle w:val="TabletextLeft"/>
              <w:rPr>
                <w:rFonts w:cs="Arial"/>
                <w:sz w:val="16"/>
                <w:szCs w:val="16"/>
              </w:rPr>
            </w:pPr>
            <w:r w:rsidRPr="001246E6">
              <w:rPr>
                <w:sz w:val="16"/>
                <w:szCs w:val="16"/>
                <w:lang w:val="en-AU"/>
              </w:rPr>
              <w:t>C-27J Spartan</w:t>
            </w:r>
          </w:p>
        </w:tc>
        <w:tc>
          <w:tcPr>
            <w:tcW w:w="1198" w:type="dxa"/>
            <w:shd w:val="clear" w:color="auto" w:fill="auto"/>
            <w:vAlign w:val="center"/>
          </w:tcPr>
          <w:p w14:paraId="2D41937D" w14:textId="77777777" w:rsidR="001246E6" w:rsidRPr="006B4CFE" w:rsidRDefault="001246E6" w:rsidP="001246E6">
            <w:pPr>
              <w:pStyle w:val="TableTextRight"/>
              <w:rPr>
                <w:sz w:val="16"/>
                <w:szCs w:val="16"/>
              </w:rPr>
            </w:pPr>
            <w:r w:rsidRPr="006B4CFE">
              <w:rPr>
                <w:sz w:val="16"/>
                <w:szCs w:val="16"/>
              </w:rPr>
              <w:t>4,800</w:t>
            </w:r>
          </w:p>
        </w:tc>
        <w:tc>
          <w:tcPr>
            <w:tcW w:w="1070" w:type="dxa"/>
            <w:shd w:val="clear" w:color="auto" w:fill="auto"/>
            <w:vAlign w:val="center"/>
          </w:tcPr>
          <w:p w14:paraId="47C3F701" w14:textId="77777777" w:rsidR="001246E6" w:rsidRPr="00725626" w:rsidRDefault="001246E6" w:rsidP="001246E6">
            <w:pPr>
              <w:pStyle w:val="TableTextRight"/>
              <w:spacing w:before="20" w:beforeAutospacing="1" w:after="20" w:afterAutospacing="1"/>
              <w:rPr>
                <w:rFonts w:cs="Times New Roman"/>
                <w:sz w:val="16"/>
                <w:szCs w:val="16"/>
              </w:rPr>
            </w:pPr>
            <w:r w:rsidRPr="00725626">
              <w:rPr>
                <w:rFonts w:cs="Times New Roman"/>
                <w:sz w:val="16"/>
                <w:szCs w:val="16"/>
              </w:rPr>
              <w:t>5,500</w:t>
            </w:r>
          </w:p>
        </w:tc>
        <w:tc>
          <w:tcPr>
            <w:tcW w:w="1151" w:type="dxa"/>
            <w:shd w:val="clear" w:color="auto" w:fill="auto"/>
            <w:vAlign w:val="center"/>
          </w:tcPr>
          <w:p w14:paraId="43E7BDFA" w14:textId="77777777" w:rsidR="001246E6" w:rsidRPr="00725626" w:rsidRDefault="001246E6" w:rsidP="001246E6">
            <w:pPr>
              <w:pStyle w:val="TableTextRight"/>
              <w:spacing w:before="20" w:beforeAutospacing="1" w:after="20" w:afterAutospacing="1"/>
              <w:rPr>
                <w:rFonts w:cs="Times New Roman"/>
                <w:sz w:val="16"/>
                <w:szCs w:val="16"/>
              </w:rPr>
            </w:pPr>
            <w:r w:rsidRPr="00725626">
              <w:rPr>
                <w:rFonts w:cs="Times New Roman"/>
                <w:sz w:val="16"/>
                <w:szCs w:val="16"/>
              </w:rPr>
              <w:t>5,500</w:t>
            </w:r>
          </w:p>
        </w:tc>
        <w:tc>
          <w:tcPr>
            <w:tcW w:w="1151" w:type="dxa"/>
            <w:shd w:val="clear" w:color="auto" w:fill="auto"/>
            <w:vAlign w:val="center"/>
          </w:tcPr>
          <w:p w14:paraId="2C6FE6C7" w14:textId="77777777" w:rsidR="001246E6" w:rsidRPr="00725626" w:rsidRDefault="001246E6" w:rsidP="001246E6">
            <w:pPr>
              <w:pStyle w:val="TableTextRight"/>
              <w:spacing w:before="20" w:beforeAutospacing="1" w:after="20" w:afterAutospacing="1"/>
              <w:rPr>
                <w:rFonts w:cs="Times New Roman"/>
                <w:sz w:val="16"/>
                <w:szCs w:val="16"/>
              </w:rPr>
            </w:pPr>
            <w:r w:rsidRPr="00725626">
              <w:rPr>
                <w:rFonts w:cs="Times New Roman"/>
                <w:sz w:val="16"/>
                <w:szCs w:val="16"/>
              </w:rPr>
              <w:t>5,500</w:t>
            </w:r>
          </w:p>
        </w:tc>
        <w:tc>
          <w:tcPr>
            <w:tcW w:w="1043" w:type="dxa"/>
            <w:shd w:val="clear" w:color="auto" w:fill="auto"/>
            <w:vAlign w:val="center"/>
          </w:tcPr>
          <w:p w14:paraId="5BF53AA8" w14:textId="77777777" w:rsidR="001246E6" w:rsidRPr="001246E6" w:rsidRDefault="001246E6" w:rsidP="001246E6">
            <w:pPr>
              <w:pStyle w:val="TableTextRight"/>
              <w:rPr>
                <w:sz w:val="16"/>
                <w:szCs w:val="16"/>
                <w:lang w:val="en-AU"/>
              </w:rPr>
            </w:pPr>
            <w:r w:rsidRPr="001246E6">
              <w:rPr>
                <w:rFonts w:cs="Times New Roman"/>
                <w:sz w:val="16"/>
                <w:szCs w:val="16"/>
              </w:rPr>
              <w:t>5,500</w:t>
            </w:r>
          </w:p>
        </w:tc>
      </w:tr>
      <w:tr w:rsidR="001246E6" w:rsidRPr="001246E6" w14:paraId="55587E9B" w14:textId="77777777" w:rsidTr="00603553">
        <w:tc>
          <w:tcPr>
            <w:tcW w:w="489" w:type="dxa"/>
            <w:shd w:val="clear" w:color="auto" w:fill="auto"/>
            <w:vAlign w:val="center"/>
          </w:tcPr>
          <w:p w14:paraId="229530CE" w14:textId="77777777" w:rsidR="001246E6" w:rsidRPr="001246E6" w:rsidRDefault="001246E6" w:rsidP="001246E6">
            <w:pPr>
              <w:pStyle w:val="TabletextLeft"/>
              <w:jc w:val="right"/>
              <w:rPr>
                <w:rFonts w:cs="Arial"/>
                <w:sz w:val="16"/>
                <w:szCs w:val="16"/>
              </w:rPr>
            </w:pPr>
            <w:r w:rsidRPr="001246E6">
              <w:rPr>
                <w:sz w:val="16"/>
                <w:szCs w:val="16"/>
              </w:rPr>
              <w:t>7</w:t>
            </w:r>
          </w:p>
        </w:tc>
        <w:tc>
          <w:tcPr>
            <w:tcW w:w="2248" w:type="dxa"/>
            <w:shd w:val="clear" w:color="auto" w:fill="auto"/>
            <w:vAlign w:val="center"/>
          </w:tcPr>
          <w:p w14:paraId="507E1FAF" w14:textId="77777777" w:rsidR="001246E6" w:rsidRPr="001246E6" w:rsidRDefault="001246E6" w:rsidP="001246E6">
            <w:pPr>
              <w:pStyle w:val="TabletextLeft"/>
              <w:rPr>
                <w:rFonts w:cs="Arial"/>
                <w:sz w:val="16"/>
                <w:szCs w:val="16"/>
              </w:rPr>
            </w:pPr>
            <w:r w:rsidRPr="001246E6">
              <w:rPr>
                <w:sz w:val="16"/>
                <w:szCs w:val="16"/>
                <w:lang w:val="en-AU"/>
              </w:rPr>
              <w:t>KC-30A MRTT</w:t>
            </w:r>
          </w:p>
        </w:tc>
        <w:tc>
          <w:tcPr>
            <w:tcW w:w="1198" w:type="dxa"/>
            <w:shd w:val="clear" w:color="auto" w:fill="auto"/>
            <w:vAlign w:val="center"/>
          </w:tcPr>
          <w:p w14:paraId="1192560B" w14:textId="77777777" w:rsidR="001246E6" w:rsidRPr="006B4CFE" w:rsidRDefault="001246E6" w:rsidP="001246E6">
            <w:pPr>
              <w:pStyle w:val="TableTextRight"/>
              <w:rPr>
                <w:sz w:val="16"/>
                <w:szCs w:val="16"/>
              </w:rPr>
            </w:pPr>
            <w:r w:rsidRPr="006B4CFE">
              <w:rPr>
                <w:sz w:val="16"/>
                <w:szCs w:val="16"/>
              </w:rPr>
              <w:t>4,700</w:t>
            </w:r>
          </w:p>
        </w:tc>
        <w:tc>
          <w:tcPr>
            <w:tcW w:w="1070" w:type="dxa"/>
            <w:shd w:val="clear" w:color="auto" w:fill="auto"/>
            <w:vAlign w:val="center"/>
          </w:tcPr>
          <w:p w14:paraId="35FB92D4" w14:textId="77777777" w:rsidR="001246E6" w:rsidRPr="00725626" w:rsidRDefault="001246E6" w:rsidP="001246E6">
            <w:pPr>
              <w:pStyle w:val="TableTextRight"/>
              <w:spacing w:before="20" w:beforeAutospacing="1" w:after="20" w:afterAutospacing="1"/>
              <w:rPr>
                <w:rFonts w:cs="Times New Roman"/>
                <w:sz w:val="16"/>
                <w:szCs w:val="16"/>
              </w:rPr>
            </w:pPr>
            <w:r w:rsidRPr="00725626">
              <w:rPr>
                <w:rFonts w:cs="Times New Roman"/>
                <w:sz w:val="16"/>
                <w:szCs w:val="16"/>
              </w:rPr>
              <w:t>4,700</w:t>
            </w:r>
          </w:p>
        </w:tc>
        <w:tc>
          <w:tcPr>
            <w:tcW w:w="1151" w:type="dxa"/>
            <w:shd w:val="clear" w:color="auto" w:fill="auto"/>
            <w:vAlign w:val="center"/>
          </w:tcPr>
          <w:p w14:paraId="0F3C96A6" w14:textId="77777777" w:rsidR="001246E6" w:rsidRPr="00725626" w:rsidRDefault="001246E6" w:rsidP="001246E6">
            <w:pPr>
              <w:pStyle w:val="TableTextRight"/>
              <w:spacing w:before="20" w:beforeAutospacing="1" w:after="20" w:afterAutospacing="1"/>
              <w:rPr>
                <w:rFonts w:cs="Times New Roman"/>
                <w:sz w:val="16"/>
                <w:szCs w:val="16"/>
              </w:rPr>
            </w:pPr>
            <w:r w:rsidRPr="00725626">
              <w:rPr>
                <w:rFonts w:cs="Times New Roman"/>
                <w:sz w:val="16"/>
                <w:szCs w:val="16"/>
              </w:rPr>
              <w:t>4,700</w:t>
            </w:r>
          </w:p>
        </w:tc>
        <w:tc>
          <w:tcPr>
            <w:tcW w:w="1151" w:type="dxa"/>
            <w:shd w:val="clear" w:color="auto" w:fill="auto"/>
            <w:vAlign w:val="center"/>
          </w:tcPr>
          <w:p w14:paraId="226C2AA9" w14:textId="77777777" w:rsidR="001246E6" w:rsidRPr="00725626" w:rsidRDefault="001246E6" w:rsidP="001246E6">
            <w:pPr>
              <w:pStyle w:val="TableTextRight"/>
              <w:spacing w:before="20" w:beforeAutospacing="1" w:after="20" w:afterAutospacing="1"/>
              <w:rPr>
                <w:rFonts w:cs="Times New Roman"/>
                <w:sz w:val="16"/>
                <w:szCs w:val="16"/>
              </w:rPr>
            </w:pPr>
            <w:r w:rsidRPr="00725626">
              <w:rPr>
                <w:rFonts w:cs="Times New Roman"/>
                <w:sz w:val="16"/>
                <w:szCs w:val="16"/>
              </w:rPr>
              <w:t>4,700</w:t>
            </w:r>
          </w:p>
        </w:tc>
        <w:tc>
          <w:tcPr>
            <w:tcW w:w="1043" w:type="dxa"/>
            <w:shd w:val="clear" w:color="auto" w:fill="auto"/>
            <w:vAlign w:val="center"/>
          </w:tcPr>
          <w:p w14:paraId="2AAD4C65" w14:textId="77777777" w:rsidR="001246E6" w:rsidRPr="001246E6" w:rsidRDefault="001246E6" w:rsidP="001246E6">
            <w:pPr>
              <w:pStyle w:val="TableTextRight"/>
              <w:rPr>
                <w:sz w:val="16"/>
                <w:szCs w:val="16"/>
              </w:rPr>
            </w:pPr>
            <w:r w:rsidRPr="001246E6">
              <w:rPr>
                <w:rFonts w:cs="Times New Roman"/>
                <w:sz w:val="16"/>
                <w:szCs w:val="16"/>
              </w:rPr>
              <w:t>4,700</w:t>
            </w:r>
          </w:p>
        </w:tc>
      </w:tr>
      <w:tr w:rsidR="001246E6" w:rsidRPr="001246E6" w14:paraId="6D2EDBE8" w14:textId="77777777" w:rsidTr="00603553">
        <w:tc>
          <w:tcPr>
            <w:tcW w:w="489" w:type="dxa"/>
            <w:shd w:val="clear" w:color="auto" w:fill="auto"/>
            <w:vAlign w:val="center"/>
          </w:tcPr>
          <w:p w14:paraId="3EFDD7D3" w14:textId="77777777" w:rsidR="001246E6" w:rsidRPr="001246E6" w:rsidRDefault="001246E6" w:rsidP="001246E6">
            <w:pPr>
              <w:pStyle w:val="TabletextLeft"/>
              <w:jc w:val="right"/>
              <w:rPr>
                <w:rFonts w:cs="Arial"/>
                <w:sz w:val="16"/>
                <w:szCs w:val="16"/>
              </w:rPr>
            </w:pPr>
            <w:r w:rsidRPr="001246E6">
              <w:rPr>
                <w:sz w:val="16"/>
                <w:szCs w:val="16"/>
              </w:rPr>
              <w:t>2</w:t>
            </w:r>
          </w:p>
        </w:tc>
        <w:tc>
          <w:tcPr>
            <w:tcW w:w="2248" w:type="dxa"/>
            <w:shd w:val="clear" w:color="auto" w:fill="auto"/>
            <w:vAlign w:val="center"/>
          </w:tcPr>
          <w:p w14:paraId="2B4D997D" w14:textId="77777777" w:rsidR="001246E6" w:rsidRPr="001246E6" w:rsidRDefault="001246E6" w:rsidP="001246E6">
            <w:pPr>
              <w:pStyle w:val="TabletextLeft"/>
              <w:rPr>
                <w:rFonts w:cs="Arial"/>
                <w:sz w:val="16"/>
                <w:szCs w:val="16"/>
              </w:rPr>
            </w:pPr>
            <w:r w:rsidRPr="001246E6">
              <w:rPr>
                <w:sz w:val="16"/>
                <w:szCs w:val="16"/>
                <w:lang w:val="en-AU"/>
              </w:rPr>
              <w:t>737 BBJ</w:t>
            </w:r>
            <w:r w:rsidRPr="001246E6">
              <w:rPr>
                <w:sz w:val="16"/>
                <w:szCs w:val="16"/>
                <w:vertAlign w:val="superscript"/>
                <w:lang w:val="en-AU"/>
              </w:rPr>
              <w:t xml:space="preserve"> </w:t>
            </w:r>
          </w:p>
        </w:tc>
        <w:tc>
          <w:tcPr>
            <w:tcW w:w="1198" w:type="dxa"/>
            <w:shd w:val="clear" w:color="auto" w:fill="auto"/>
            <w:vAlign w:val="center"/>
          </w:tcPr>
          <w:p w14:paraId="5B061019" w14:textId="77777777" w:rsidR="001246E6" w:rsidRPr="006B4CFE" w:rsidRDefault="001246E6" w:rsidP="001246E6">
            <w:pPr>
              <w:pStyle w:val="TableTextRight"/>
              <w:rPr>
                <w:sz w:val="16"/>
                <w:szCs w:val="16"/>
              </w:rPr>
            </w:pPr>
            <w:r w:rsidRPr="006B4CFE">
              <w:rPr>
                <w:sz w:val="16"/>
                <w:szCs w:val="16"/>
              </w:rPr>
              <w:t>1,600</w:t>
            </w:r>
          </w:p>
        </w:tc>
        <w:tc>
          <w:tcPr>
            <w:tcW w:w="1070" w:type="dxa"/>
            <w:shd w:val="clear" w:color="auto" w:fill="auto"/>
            <w:vAlign w:val="center"/>
          </w:tcPr>
          <w:p w14:paraId="12A4780F" w14:textId="77777777" w:rsidR="001246E6" w:rsidRPr="00725626" w:rsidRDefault="001246E6" w:rsidP="001246E6">
            <w:pPr>
              <w:pStyle w:val="TableTextRight"/>
              <w:spacing w:before="20" w:beforeAutospacing="1" w:after="20" w:afterAutospacing="1"/>
              <w:rPr>
                <w:rFonts w:cs="Times New Roman"/>
                <w:sz w:val="16"/>
                <w:szCs w:val="16"/>
              </w:rPr>
            </w:pPr>
            <w:r w:rsidRPr="00725626">
              <w:rPr>
                <w:rFonts w:cs="Times New Roman"/>
                <w:sz w:val="16"/>
                <w:szCs w:val="16"/>
              </w:rPr>
              <w:t>1,600</w:t>
            </w:r>
          </w:p>
        </w:tc>
        <w:tc>
          <w:tcPr>
            <w:tcW w:w="1151" w:type="dxa"/>
            <w:shd w:val="clear" w:color="auto" w:fill="auto"/>
            <w:vAlign w:val="center"/>
          </w:tcPr>
          <w:p w14:paraId="4A9E9D48" w14:textId="77777777" w:rsidR="001246E6" w:rsidRPr="00725626" w:rsidRDefault="001246E6" w:rsidP="001246E6">
            <w:pPr>
              <w:pStyle w:val="TableTextRight"/>
              <w:spacing w:before="20" w:beforeAutospacing="1" w:after="20" w:afterAutospacing="1"/>
              <w:rPr>
                <w:rFonts w:cs="Times New Roman"/>
                <w:sz w:val="16"/>
                <w:szCs w:val="16"/>
              </w:rPr>
            </w:pPr>
            <w:r w:rsidRPr="00725626">
              <w:rPr>
                <w:rFonts w:cs="Times New Roman"/>
                <w:sz w:val="16"/>
                <w:szCs w:val="16"/>
              </w:rPr>
              <w:t>1,600</w:t>
            </w:r>
          </w:p>
        </w:tc>
        <w:tc>
          <w:tcPr>
            <w:tcW w:w="1151" w:type="dxa"/>
            <w:shd w:val="clear" w:color="auto" w:fill="auto"/>
            <w:vAlign w:val="center"/>
          </w:tcPr>
          <w:p w14:paraId="4204B816" w14:textId="77777777" w:rsidR="001246E6" w:rsidRPr="00725626" w:rsidRDefault="001246E6" w:rsidP="001246E6">
            <w:pPr>
              <w:pStyle w:val="TableTextRight"/>
              <w:spacing w:before="20" w:beforeAutospacing="1" w:after="20" w:afterAutospacing="1"/>
              <w:rPr>
                <w:rFonts w:cs="Times New Roman"/>
                <w:sz w:val="16"/>
                <w:szCs w:val="16"/>
              </w:rPr>
            </w:pPr>
            <w:r w:rsidRPr="00725626">
              <w:rPr>
                <w:rFonts w:cs="Times New Roman"/>
                <w:sz w:val="16"/>
                <w:szCs w:val="16"/>
              </w:rPr>
              <w:t>1,600</w:t>
            </w:r>
          </w:p>
        </w:tc>
        <w:tc>
          <w:tcPr>
            <w:tcW w:w="1043" w:type="dxa"/>
            <w:shd w:val="clear" w:color="auto" w:fill="auto"/>
            <w:vAlign w:val="center"/>
          </w:tcPr>
          <w:p w14:paraId="4A16F12B" w14:textId="77777777" w:rsidR="001246E6" w:rsidRPr="001246E6" w:rsidRDefault="001246E6" w:rsidP="001246E6">
            <w:pPr>
              <w:pStyle w:val="TableTextRight"/>
              <w:rPr>
                <w:sz w:val="16"/>
                <w:szCs w:val="16"/>
              </w:rPr>
            </w:pPr>
            <w:r w:rsidRPr="001246E6">
              <w:rPr>
                <w:rFonts w:cs="Times New Roman"/>
                <w:sz w:val="16"/>
                <w:szCs w:val="16"/>
              </w:rPr>
              <w:t>1,600</w:t>
            </w:r>
          </w:p>
        </w:tc>
      </w:tr>
      <w:tr w:rsidR="00603553" w:rsidRPr="001246E6" w14:paraId="0ADEA136" w14:textId="77777777" w:rsidTr="00603553">
        <w:tc>
          <w:tcPr>
            <w:tcW w:w="489" w:type="dxa"/>
            <w:shd w:val="clear" w:color="auto" w:fill="auto"/>
            <w:vAlign w:val="center"/>
          </w:tcPr>
          <w:p w14:paraId="39B73297" w14:textId="77777777" w:rsidR="00603553" w:rsidRPr="001246E6" w:rsidRDefault="00603553" w:rsidP="001246E6">
            <w:pPr>
              <w:pStyle w:val="TabletextLeft"/>
              <w:jc w:val="right"/>
              <w:rPr>
                <w:sz w:val="16"/>
                <w:szCs w:val="16"/>
              </w:rPr>
            </w:pPr>
            <w:r>
              <w:rPr>
                <w:sz w:val="16"/>
                <w:szCs w:val="16"/>
              </w:rPr>
              <w:t>3</w:t>
            </w:r>
          </w:p>
        </w:tc>
        <w:tc>
          <w:tcPr>
            <w:tcW w:w="2248" w:type="dxa"/>
            <w:shd w:val="clear" w:color="auto" w:fill="auto"/>
            <w:vAlign w:val="center"/>
          </w:tcPr>
          <w:p w14:paraId="441CA67E" w14:textId="77777777" w:rsidR="00603553" w:rsidRPr="001246E6" w:rsidRDefault="00603553" w:rsidP="001246E6">
            <w:pPr>
              <w:pStyle w:val="TabletextLeft"/>
              <w:rPr>
                <w:sz w:val="16"/>
                <w:szCs w:val="16"/>
                <w:lang w:val="en-AU"/>
              </w:rPr>
            </w:pPr>
            <w:r w:rsidRPr="00725626">
              <w:rPr>
                <w:sz w:val="16"/>
                <w:szCs w:val="16"/>
                <w:lang w:val="en-AU"/>
              </w:rPr>
              <w:t>Falcon-7X</w:t>
            </w:r>
          </w:p>
        </w:tc>
        <w:tc>
          <w:tcPr>
            <w:tcW w:w="1198" w:type="dxa"/>
            <w:shd w:val="clear" w:color="auto" w:fill="auto"/>
            <w:vAlign w:val="center"/>
          </w:tcPr>
          <w:p w14:paraId="1A2C0F3C" w14:textId="77777777" w:rsidR="00603553" w:rsidRPr="006B4CFE" w:rsidRDefault="00603553" w:rsidP="001246E6">
            <w:pPr>
              <w:pStyle w:val="TableTextRight"/>
              <w:rPr>
                <w:sz w:val="16"/>
                <w:szCs w:val="16"/>
              </w:rPr>
            </w:pPr>
            <w:r>
              <w:rPr>
                <w:sz w:val="16"/>
                <w:szCs w:val="16"/>
              </w:rPr>
              <w:t>1,750</w:t>
            </w:r>
          </w:p>
        </w:tc>
        <w:tc>
          <w:tcPr>
            <w:tcW w:w="1070" w:type="dxa"/>
            <w:shd w:val="clear" w:color="auto" w:fill="auto"/>
            <w:vAlign w:val="center"/>
          </w:tcPr>
          <w:p w14:paraId="27513402" w14:textId="77777777" w:rsidR="00603553" w:rsidRPr="00725626" w:rsidRDefault="00603553" w:rsidP="001246E6">
            <w:pPr>
              <w:pStyle w:val="TableTextRight"/>
              <w:spacing w:before="20" w:beforeAutospacing="1" w:after="20" w:afterAutospacing="1"/>
              <w:rPr>
                <w:rFonts w:cs="Times New Roman"/>
                <w:sz w:val="16"/>
                <w:szCs w:val="16"/>
              </w:rPr>
            </w:pPr>
            <w:r>
              <w:rPr>
                <w:rFonts w:cs="Times New Roman"/>
                <w:sz w:val="16"/>
                <w:szCs w:val="16"/>
              </w:rPr>
              <w:t>2,400</w:t>
            </w:r>
          </w:p>
        </w:tc>
        <w:tc>
          <w:tcPr>
            <w:tcW w:w="1151" w:type="dxa"/>
            <w:shd w:val="clear" w:color="auto" w:fill="auto"/>
            <w:vAlign w:val="center"/>
          </w:tcPr>
          <w:p w14:paraId="714507F1" w14:textId="77777777" w:rsidR="00603553" w:rsidRPr="00725626" w:rsidRDefault="00603553" w:rsidP="001246E6">
            <w:pPr>
              <w:pStyle w:val="TableTextRight"/>
              <w:spacing w:before="20" w:beforeAutospacing="1" w:after="20" w:afterAutospacing="1"/>
              <w:rPr>
                <w:rFonts w:cs="Times New Roman"/>
                <w:sz w:val="16"/>
                <w:szCs w:val="16"/>
              </w:rPr>
            </w:pPr>
            <w:r>
              <w:rPr>
                <w:rFonts w:cs="Times New Roman"/>
                <w:sz w:val="16"/>
                <w:szCs w:val="16"/>
              </w:rPr>
              <w:t>2,400</w:t>
            </w:r>
          </w:p>
        </w:tc>
        <w:tc>
          <w:tcPr>
            <w:tcW w:w="1151" w:type="dxa"/>
            <w:shd w:val="clear" w:color="auto" w:fill="auto"/>
            <w:vAlign w:val="center"/>
          </w:tcPr>
          <w:p w14:paraId="004E92E1" w14:textId="77777777" w:rsidR="00603553" w:rsidRPr="00725626" w:rsidRDefault="00603553" w:rsidP="001246E6">
            <w:pPr>
              <w:pStyle w:val="TableTextRight"/>
              <w:spacing w:before="20" w:beforeAutospacing="1" w:after="20" w:afterAutospacing="1"/>
              <w:rPr>
                <w:rFonts w:cs="Times New Roman"/>
                <w:sz w:val="16"/>
                <w:szCs w:val="16"/>
              </w:rPr>
            </w:pPr>
            <w:r>
              <w:rPr>
                <w:rFonts w:cs="Times New Roman"/>
                <w:sz w:val="16"/>
                <w:szCs w:val="16"/>
              </w:rPr>
              <w:t>2,400</w:t>
            </w:r>
          </w:p>
        </w:tc>
        <w:tc>
          <w:tcPr>
            <w:tcW w:w="1043" w:type="dxa"/>
            <w:shd w:val="clear" w:color="auto" w:fill="auto"/>
            <w:vAlign w:val="center"/>
          </w:tcPr>
          <w:p w14:paraId="61656B9F" w14:textId="77777777" w:rsidR="00603553" w:rsidRPr="001246E6" w:rsidRDefault="00603553" w:rsidP="001246E6">
            <w:pPr>
              <w:pStyle w:val="TableTextRight"/>
              <w:rPr>
                <w:rFonts w:cs="Times New Roman"/>
                <w:sz w:val="16"/>
                <w:szCs w:val="16"/>
              </w:rPr>
            </w:pPr>
            <w:r>
              <w:rPr>
                <w:rFonts w:cs="Times New Roman"/>
                <w:sz w:val="16"/>
                <w:szCs w:val="16"/>
              </w:rPr>
              <w:t>2,400</w:t>
            </w:r>
          </w:p>
        </w:tc>
      </w:tr>
      <w:tr w:rsidR="001246E6" w:rsidRPr="001246E6" w14:paraId="780016CD" w14:textId="77777777" w:rsidTr="00603553">
        <w:tc>
          <w:tcPr>
            <w:tcW w:w="489" w:type="dxa"/>
            <w:shd w:val="clear" w:color="auto" w:fill="auto"/>
            <w:vAlign w:val="center"/>
          </w:tcPr>
          <w:p w14:paraId="19DB4C71" w14:textId="77777777" w:rsidR="001246E6" w:rsidRPr="001246E6" w:rsidRDefault="001246E6" w:rsidP="001246E6">
            <w:pPr>
              <w:pStyle w:val="TabletextLeft"/>
              <w:jc w:val="right"/>
              <w:rPr>
                <w:rFonts w:cs="Arial"/>
                <w:sz w:val="16"/>
                <w:szCs w:val="16"/>
              </w:rPr>
            </w:pPr>
            <w:r w:rsidRPr="001246E6">
              <w:rPr>
                <w:sz w:val="16"/>
                <w:szCs w:val="16"/>
              </w:rPr>
              <w:t>12</w:t>
            </w:r>
          </w:p>
        </w:tc>
        <w:tc>
          <w:tcPr>
            <w:tcW w:w="2248" w:type="dxa"/>
            <w:shd w:val="clear" w:color="auto" w:fill="auto"/>
            <w:vAlign w:val="center"/>
          </w:tcPr>
          <w:p w14:paraId="0D104AE5" w14:textId="77777777" w:rsidR="001246E6" w:rsidRPr="001246E6" w:rsidRDefault="001246E6" w:rsidP="001246E6">
            <w:pPr>
              <w:pStyle w:val="TabletextLeft"/>
              <w:rPr>
                <w:rFonts w:cs="Arial"/>
                <w:sz w:val="16"/>
                <w:szCs w:val="16"/>
              </w:rPr>
            </w:pPr>
            <w:r w:rsidRPr="001246E6">
              <w:rPr>
                <w:sz w:val="16"/>
                <w:szCs w:val="16"/>
                <w:lang w:val="en-AU"/>
              </w:rPr>
              <w:t>P-8A Poseidon</w:t>
            </w:r>
            <w:r w:rsidRPr="001246E6">
              <w:rPr>
                <w:sz w:val="16"/>
                <w:szCs w:val="16"/>
                <w:vertAlign w:val="superscript"/>
                <w:lang w:val="en-AU"/>
              </w:rPr>
              <w:t>[b]</w:t>
            </w:r>
            <w:r w:rsidRPr="001246E6" w:rsidDel="00E2584C">
              <w:rPr>
                <w:sz w:val="16"/>
                <w:szCs w:val="16"/>
                <w:vertAlign w:val="superscript"/>
                <w:lang w:val="en-AU"/>
              </w:rPr>
              <w:t xml:space="preserve"> </w:t>
            </w:r>
            <w:r w:rsidRPr="001246E6">
              <w:rPr>
                <w:sz w:val="16"/>
                <w:szCs w:val="16"/>
                <w:vertAlign w:val="superscript"/>
                <w:lang w:val="en-AU"/>
              </w:rPr>
              <w:t xml:space="preserve"> </w:t>
            </w:r>
          </w:p>
        </w:tc>
        <w:tc>
          <w:tcPr>
            <w:tcW w:w="1198" w:type="dxa"/>
            <w:shd w:val="clear" w:color="auto" w:fill="auto"/>
            <w:vAlign w:val="center"/>
          </w:tcPr>
          <w:p w14:paraId="4515DD60" w14:textId="77777777" w:rsidR="001246E6" w:rsidRPr="006B4CFE" w:rsidRDefault="001246E6" w:rsidP="001246E6">
            <w:pPr>
              <w:pStyle w:val="TableTextRight"/>
              <w:rPr>
                <w:sz w:val="16"/>
                <w:szCs w:val="16"/>
              </w:rPr>
            </w:pPr>
            <w:r w:rsidRPr="006B4CFE">
              <w:rPr>
                <w:sz w:val="16"/>
                <w:szCs w:val="16"/>
              </w:rPr>
              <w:t>5,800</w:t>
            </w:r>
          </w:p>
        </w:tc>
        <w:tc>
          <w:tcPr>
            <w:tcW w:w="1070" w:type="dxa"/>
            <w:shd w:val="clear" w:color="auto" w:fill="auto"/>
            <w:vAlign w:val="center"/>
          </w:tcPr>
          <w:p w14:paraId="72DA8FD4" w14:textId="77777777" w:rsidR="001246E6" w:rsidRPr="00725626" w:rsidRDefault="001246E6" w:rsidP="001246E6">
            <w:pPr>
              <w:pStyle w:val="TableTextRight"/>
              <w:spacing w:before="20" w:beforeAutospacing="1" w:after="20" w:afterAutospacing="1"/>
              <w:rPr>
                <w:rFonts w:cs="Times New Roman"/>
                <w:sz w:val="16"/>
                <w:szCs w:val="16"/>
              </w:rPr>
            </w:pPr>
            <w:r>
              <w:rPr>
                <w:rFonts w:cs="Times New Roman"/>
                <w:sz w:val="16"/>
                <w:szCs w:val="16"/>
              </w:rPr>
              <w:t>6,2</w:t>
            </w:r>
            <w:r w:rsidRPr="00725626">
              <w:rPr>
                <w:rFonts w:cs="Times New Roman"/>
                <w:sz w:val="16"/>
                <w:szCs w:val="16"/>
              </w:rPr>
              <w:t>00</w:t>
            </w:r>
          </w:p>
        </w:tc>
        <w:tc>
          <w:tcPr>
            <w:tcW w:w="1151" w:type="dxa"/>
            <w:shd w:val="clear" w:color="auto" w:fill="auto"/>
            <w:vAlign w:val="center"/>
          </w:tcPr>
          <w:p w14:paraId="45CC9DB1" w14:textId="77777777" w:rsidR="001246E6" w:rsidRPr="00725626" w:rsidRDefault="001246E6" w:rsidP="001246E6">
            <w:pPr>
              <w:pStyle w:val="TableTextRight"/>
              <w:spacing w:before="20" w:beforeAutospacing="1" w:after="20" w:afterAutospacing="1"/>
              <w:rPr>
                <w:rFonts w:cs="Times New Roman"/>
                <w:sz w:val="16"/>
                <w:szCs w:val="16"/>
              </w:rPr>
            </w:pPr>
            <w:r w:rsidRPr="00725626">
              <w:rPr>
                <w:rFonts w:cs="Times New Roman"/>
                <w:sz w:val="16"/>
                <w:szCs w:val="16"/>
              </w:rPr>
              <w:t>6,</w:t>
            </w:r>
            <w:r>
              <w:rPr>
                <w:rFonts w:cs="Times New Roman"/>
                <w:sz w:val="16"/>
                <w:szCs w:val="16"/>
              </w:rPr>
              <w:t>6</w:t>
            </w:r>
            <w:r w:rsidRPr="00725626">
              <w:rPr>
                <w:rFonts w:cs="Times New Roman"/>
                <w:sz w:val="16"/>
                <w:szCs w:val="16"/>
              </w:rPr>
              <w:t>00</w:t>
            </w:r>
          </w:p>
        </w:tc>
        <w:tc>
          <w:tcPr>
            <w:tcW w:w="1151" w:type="dxa"/>
            <w:shd w:val="clear" w:color="auto" w:fill="auto"/>
            <w:vAlign w:val="center"/>
          </w:tcPr>
          <w:p w14:paraId="55CA7BDF" w14:textId="77777777" w:rsidR="001246E6" w:rsidRPr="00725626" w:rsidRDefault="001246E6" w:rsidP="001246E6">
            <w:pPr>
              <w:pStyle w:val="TableTextRight"/>
              <w:spacing w:before="20" w:beforeAutospacing="1" w:after="20" w:afterAutospacing="1"/>
              <w:rPr>
                <w:rFonts w:cs="Times New Roman"/>
                <w:sz w:val="16"/>
                <w:szCs w:val="16"/>
              </w:rPr>
            </w:pPr>
            <w:r>
              <w:rPr>
                <w:rFonts w:cs="Times New Roman"/>
                <w:sz w:val="16"/>
                <w:szCs w:val="16"/>
              </w:rPr>
              <w:t>7</w:t>
            </w:r>
            <w:r w:rsidRPr="00725626">
              <w:rPr>
                <w:rFonts w:cs="Times New Roman"/>
                <w:sz w:val="16"/>
                <w:szCs w:val="16"/>
              </w:rPr>
              <w:t>,</w:t>
            </w:r>
            <w:r>
              <w:rPr>
                <w:rFonts w:cs="Times New Roman"/>
                <w:sz w:val="16"/>
                <w:szCs w:val="16"/>
              </w:rPr>
              <w:t>0</w:t>
            </w:r>
            <w:r w:rsidRPr="00725626">
              <w:rPr>
                <w:rFonts w:cs="Times New Roman"/>
                <w:sz w:val="16"/>
                <w:szCs w:val="16"/>
              </w:rPr>
              <w:t>00</w:t>
            </w:r>
          </w:p>
        </w:tc>
        <w:tc>
          <w:tcPr>
            <w:tcW w:w="1043" w:type="dxa"/>
            <w:shd w:val="clear" w:color="auto" w:fill="auto"/>
            <w:vAlign w:val="center"/>
          </w:tcPr>
          <w:p w14:paraId="53FEFB6B" w14:textId="77777777" w:rsidR="001246E6" w:rsidRPr="001246E6" w:rsidRDefault="001246E6" w:rsidP="001246E6">
            <w:pPr>
              <w:pStyle w:val="TableTextRight"/>
              <w:rPr>
                <w:sz w:val="16"/>
                <w:szCs w:val="16"/>
              </w:rPr>
            </w:pPr>
            <w:r w:rsidRPr="001246E6">
              <w:rPr>
                <w:sz w:val="16"/>
                <w:szCs w:val="16"/>
              </w:rPr>
              <w:t>7,000</w:t>
            </w:r>
          </w:p>
        </w:tc>
      </w:tr>
      <w:tr w:rsidR="001246E6" w:rsidRPr="001246E6" w14:paraId="16240299" w14:textId="77777777" w:rsidTr="00603553">
        <w:trPr>
          <w:trHeight w:val="20"/>
        </w:trPr>
        <w:tc>
          <w:tcPr>
            <w:tcW w:w="489" w:type="dxa"/>
            <w:shd w:val="clear" w:color="auto" w:fill="auto"/>
            <w:vAlign w:val="center"/>
          </w:tcPr>
          <w:p w14:paraId="3677BBFF" w14:textId="77777777" w:rsidR="001246E6" w:rsidRPr="001246E6" w:rsidRDefault="001246E6" w:rsidP="001246E6">
            <w:pPr>
              <w:pStyle w:val="TabletextLeft"/>
              <w:jc w:val="right"/>
              <w:rPr>
                <w:rFonts w:cs="Arial"/>
                <w:sz w:val="16"/>
                <w:szCs w:val="16"/>
              </w:rPr>
            </w:pPr>
            <w:r w:rsidRPr="001246E6">
              <w:rPr>
                <w:sz w:val="16"/>
                <w:szCs w:val="16"/>
              </w:rPr>
              <w:t>6</w:t>
            </w:r>
          </w:p>
        </w:tc>
        <w:tc>
          <w:tcPr>
            <w:tcW w:w="2248" w:type="dxa"/>
            <w:shd w:val="clear" w:color="auto" w:fill="auto"/>
            <w:vAlign w:val="center"/>
          </w:tcPr>
          <w:p w14:paraId="2A73F37D" w14:textId="77777777" w:rsidR="001246E6" w:rsidRPr="001246E6" w:rsidRDefault="001246E6" w:rsidP="001246E6">
            <w:pPr>
              <w:pStyle w:val="TabletextLeft"/>
              <w:rPr>
                <w:rFonts w:cs="Arial"/>
                <w:sz w:val="16"/>
                <w:szCs w:val="16"/>
              </w:rPr>
            </w:pPr>
            <w:r w:rsidRPr="001246E6">
              <w:rPr>
                <w:sz w:val="16"/>
                <w:szCs w:val="16"/>
                <w:lang w:val="en-AU"/>
              </w:rPr>
              <w:t>E-7A Wedgetail</w:t>
            </w:r>
          </w:p>
        </w:tc>
        <w:tc>
          <w:tcPr>
            <w:tcW w:w="1198" w:type="dxa"/>
            <w:shd w:val="clear" w:color="auto" w:fill="auto"/>
            <w:vAlign w:val="center"/>
          </w:tcPr>
          <w:p w14:paraId="3D50D1AF" w14:textId="77777777" w:rsidR="001246E6" w:rsidRPr="006B4CFE" w:rsidRDefault="001246E6" w:rsidP="001246E6">
            <w:pPr>
              <w:pStyle w:val="TableTextRight"/>
              <w:rPr>
                <w:sz w:val="16"/>
                <w:szCs w:val="16"/>
              </w:rPr>
            </w:pPr>
            <w:r w:rsidRPr="006B4CFE">
              <w:rPr>
                <w:sz w:val="16"/>
                <w:szCs w:val="16"/>
              </w:rPr>
              <w:t>3,200</w:t>
            </w:r>
          </w:p>
        </w:tc>
        <w:tc>
          <w:tcPr>
            <w:tcW w:w="1070" w:type="dxa"/>
            <w:shd w:val="clear" w:color="auto" w:fill="auto"/>
            <w:vAlign w:val="center"/>
          </w:tcPr>
          <w:p w14:paraId="60890728" w14:textId="77777777" w:rsidR="001246E6" w:rsidRPr="00725626" w:rsidRDefault="001246E6" w:rsidP="001246E6">
            <w:pPr>
              <w:pStyle w:val="TableTextRight"/>
              <w:spacing w:before="20" w:beforeAutospacing="1" w:after="20" w:afterAutospacing="1"/>
              <w:rPr>
                <w:rFonts w:cs="Times New Roman"/>
                <w:sz w:val="16"/>
                <w:szCs w:val="16"/>
              </w:rPr>
            </w:pPr>
            <w:r w:rsidRPr="00725626">
              <w:rPr>
                <w:rFonts w:cs="Times New Roman"/>
                <w:sz w:val="16"/>
                <w:szCs w:val="16"/>
              </w:rPr>
              <w:t>3,600</w:t>
            </w:r>
          </w:p>
        </w:tc>
        <w:tc>
          <w:tcPr>
            <w:tcW w:w="1151" w:type="dxa"/>
            <w:shd w:val="clear" w:color="auto" w:fill="auto"/>
            <w:vAlign w:val="center"/>
          </w:tcPr>
          <w:p w14:paraId="03E4688B" w14:textId="77777777" w:rsidR="001246E6" w:rsidRPr="00725626" w:rsidRDefault="001246E6" w:rsidP="001246E6">
            <w:pPr>
              <w:pStyle w:val="TableTextRight"/>
              <w:spacing w:before="20" w:beforeAutospacing="1" w:after="20" w:afterAutospacing="1"/>
              <w:rPr>
                <w:rFonts w:cs="Times New Roman"/>
                <w:sz w:val="16"/>
                <w:szCs w:val="16"/>
              </w:rPr>
            </w:pPr>
            <w:r w:rsidRPr="00725626">
              <w:rPr>
                <w:rFonts w:cs="Times New Roman"/>
                <w:sz w:val="16"/>
                <w:szCs w:val="16"/>
              </w:rPr>
              <w:t>3,600</w:t>
            </w:r>
          </w:p>
        </w:tc>
        <w:tc>
          <w:tcPr>
            <w:tcW w:w="1151" w:type="dxa"/>
            <w:shd w:val="clear" w:color="auto" w:fill="auto"/>
            <w:vAlign w:val="center"/>
          </w:tcPr>
          <w:p w14:paraId="6C8B5C42" w14:textId="77777777" w:rsidR="001246E6" w:rsidRPr="00725626" w:rsidRDefault="001246E6" w:rsidP="001246E6">
            <w:pPr>
              <w:pStyle w:val="TableTextRight"/>
              <w:spacing w:before="20" w:beforeAutospacing="1" w:after="20" w:afterAutospacing="1"/>
              <w:rPr>
                <w:rFonts w:cs="Times New Roman"/>
                <w:sz w:val="16"/>
                <w:szCs w:val="16"/>
              </w:rPr>
            </w:pPr>
            <w:r w:rsidRPr="00725626">
              <w:rPr>
                <w:rFonts w:cs="Times New Roman"/>
                <w:sz w:val="16"/>
                <w:szCs w:val="16"/>
              </w:rPr>
              <w:t>3,600</w:t>
            </w:r>
          </w:p>
        </w:tc>
        <w:tc>
          <w:tcPr>
            <w:tcW w:w="1043" w:type="dxa"/>
            <w:shd w:val="clear" w:color="auto" w:fill="auto"/>
            <w:vAlign w:val="center"/>
          </w:tcPr>
          <w:p w14:paraId="395F3FEC" w14:textId="77777777" w:rsidR="001246E6" w:rsidRPr="001246E6" w:rsidRDefault="001246E6" w:rsidP="001246E6">
            <w:pPr>
              <w:pStyle w:val="TableTextRight"/>
              <w:rPr>
                <w:sz w:val="16"/>
                <w:szCs w:val="16"/>
              </w:rPr>
            </w:pPr>
            <w:r w:rsidRPr="001246E6">
              <w:rPr>
                <w:rFonts w:cs="Times New Roman"/>
                <w:sz w:val="16"/>
                <w:szCs w:val="16"/>
              </w:rPr>
              <w:t>3,600</w:t>
            </w:r>
          </w:p>
        </w:tc>
      </w:tr>
      <w:tr w:rsidR="001246E6" w:rsidRPr="001246E6" w14:paraId="2F8D867A" w14:textId="77777777" w:rsidTr="00603553">
        <w:tc>
          <w:tcPr>
            <w:tcW w:w="489" w:type="dxa"/>
            <w:shd w:val="clear" w:color="auto" w:fill="auto"/>
            <w:vAlign w:val="center"/>
          </w:tcPr>
          <w:p w14:paraId="7E847474" w14:textId="77777777" w:rsidR="001246E6" w:rsidRPr="001246E6" w:rsidRDefault="001246E6" w:rsidP="001246E6">
            <w:pPr>
              <w:pStyle w:val="TabletextLeft"/>
              <w:jc w:val="right"/>
              <w:rPr>
                <w:rFonts w:cs="Arial"/>
                <w:sz w:val="16"/>
                <w:szCs w:val="16"/>
              </w:rPr>
            </w:pPr>
            <w:r w:rsidRPr="001246E6">
              <w:rPr>
                <w:sz w:val="16"/>
                <w:szCs w:val="16"/>
              </w:rPr>
              <w:t>24</w:t>
            </w:r>
          </w:p>
        </w:tc>
        <w:tc>
          <w:tcPr>
            <w:tcW w:w="2248" w:type="dxa"/>
            <w:shd w:val="clear" w:color="auto" w:fill="auto"/>
            <w:vAlign w:val="center"/>
          </w:tcPr>
          <w:p w14:paraId="3A749448" w14:textId="77777777" w:rsidR="001246E6" w:rsidRPr="001246E6" w:rsidRDefault="001246E6" w:rsidP="001246E6">
            <w:pPr>
              <w:pStyle w:val="TabletextLeft"/>
              <w:rPr>
                <w:rFonts w:cs="Arial"/>
                <w:sz w:val="16"/>
                <w:szCs w:val="16"/>
              </w:rPr>
            </w:pPr>
            <w:r w:rsidRPr="001246E6">
              <w:rPr>
                <w:sz w:val="16"/>
                <w:szCs w:val="16"/>
                <w:lang w:val="en-AU"/>
              </w:rPr>
              <w:t>F/A-18F Super Hornet</w:t>
            </w:r>
          </w:p>
        </w:tc>
        <w:tc>
          <w:tcPr>
            <w:tcW w:w="1198" w:type="dxa"/>
            <w:shd w:val="clear" w:color="auto" w:fill="auto"/>
            <w:vAlign w:val="center"/>
          </w:tcPr>
          <w:p w14:paraId="256957AA" w14:textId="77777777" w:rsidR="001246E6" w:rsidRPr="006B4CFE" w:rsidRDefault="001246E6" w:rsidP="001246E6">
            <w:pPr>
              <w:pStyle w:val="TableTextRight"/>
              <w:rPr>
                <w:sz w:val="16"/>
                <w:szCs w:val="16"/>
              </w:rPr>
            </w:pPr>
            <w:r w:rsidRPr="006B4CFE">
              <w:rPr>
                <w:sz w:val="16"/>
                <w:szCs w:val="16"/>
              </w:rPr>
              <w:t>3,520</w:t>
            </w:r>
          </w:p>
        </w:tc>
        <w:tc>
          <w:tcPr>
            <w:tcW w:w="1070" w:type="dxa"/>
            <w:shd w:val="clear" w:color="auto" w:fill="auto"/>
            <w:vAlign w:val="center"/>
          </w:tcPr>
          <w:p w14:paraId="5554CF80" w14:textId="77777777" w:rsidR="001246E6" w:rsidRPr="00725626" w:rsidRDefault="001246E6" w:rsidP="001246E6">
            <w:pPr>
              <w:pStyle w:val="TableTextRight"/>
              <w:spacing w:before="20" w:beforeAutospacing="1" w:after="20" w:afterAutospacing="1"/>
              <w:rPr>
                <w:rFonts w:cs="Times New Roman"/>
                <w:sz w:val="16"/>
                <w:szCs w:val="16"/>
              </w:rPr>
            </w:pPr>
            <w:r w:rsidRPr="00725626">
              <w:rPr>
                <w:rFonts w:cs="Times New Roman"/>
                <w:sz w:val="16"/>
                <w:szCs w:val="16"/>
              </w:rPr>
              <w:t>4,500</w:t>
            </w:r>
          </w:p>
        </w:tc>
        <w:tc>
          <w:tcPr>
            <w:tcW w:w="1151" w:type="dxa"/>
            <w:shd w:val="clear" w:color="auto" w:fill="auto"/>
            <w:vAlign w:val="center"/>
          </w:tcPr>
          <w:p w14:paraId="31A94AED" w14:textId="77777777" w:rsidR="001246E6" w:rsidRPr="00725626" w:rsidRDefault="001246E6" w:rsidP="001246E6">
            <w:pPr>
              <w:pStyle w:val="TableTextRight"/>
              <w:spacing w:before="20" w:beforeAutospacing="1" w:after="20" w:afterAutospacing="1"/>
              <w:rPr>
                <w:rFonts w:cs="Times New Roman"/>
                <w:sz w:val="16"/>
                <w:szCs w:val="16"/>
              </w:rPr>
            </w:pPr>
            <w:r w:rsidRPr="00725626">
              <w:rPr>
                <w:rFonts w:cs="Times New Roman"/>
                <w:sz w:val="16"/>
                <w:szCs w:val="16"/>
              </w:rPr>
              <w:t>4,500</w:t>
            </w:r>
          </w:p>
        </w:tc>
        <w:tc>
          <w:tcPr>
            <w:tcW w:w="1151" w:type="dxa"/>
            <w:shd w:val="clear" w:color="auto" w:fill="auto"/>
            <w:vAlign w:val="center"/>
          </w:tcPr>
          <w:p w14:paraId="46AC2F61" w14:textId="77777777" w:rsidR="001246E6" w:rsidRPr="00725626" w:rsidRDefault="001246E6" w:rsidP="001246E6">
            <w:pPr>
              <w:pStyle w:val="TableTextRight"/>
              <w:spacing w:before="20" w:beforeAutospacing="1" w:after="20" w:afterAutospacing="1"/>
              <w:rPr>
                <w:rFonts w:cs="Times New Roman"/>
                <w:sz w:val="16"/>
                <w:szCs w:val="16"/>
              </w:rPr>
            </w:pPr>
            <w:r w:rsidRPr="00725626">
              <w:rPr>
                <w:rFonts w:cs="Times New Roman"/>
                <w:sz w:val="16"/>
                <w:szCs w:val="16"/>
              </w:rPr>
              <w:t>4,500</w:t>
            </w:r>
          </w:p>
        </w:tc>
        <w:tc>
          <w:tcPr>
            <w:tcW w:w="1043" w:type="dxa"/>
            <w:shd w:val="clear" w:color="auto" w:fill="auto"/>
            <w:vAlign w:val="center"/>
          </w:tcPr>
          <w:p w14:paraId="56A26870" w14:textId="77777777" w:rsidR="001246E6" w:rsidRPr="001246E6" w:rsidRDefault="001246E6" w:rsidP="001246E6">
            <w:pPr>
              <w:pStyle w:val="TableTextRight"/>
              <w:rPr>
                <w:sz w:val="16"/>
                <w:szCs w:val="16"/>
              </w:rPr>
            </w:pPr>
            <w:r w:rsidRPr="001246E6">
              <w:rPr>
                <w:rFonts w:cs="Times New Roman"/>
                <w:sz w:val="16"/>
                <w:szCs w:val="16"/>
              </w:rPr>
              <w:t>4,500</w:t>
            </w:r>
          </w:p>
        </w:tc>
      </w:tr>
      <w:tr w:rsidR="001246E6" w:rsidRPr="001246E6" w14:paraId="09267DFF" w14:textId="77777777" w:rsidTr="00603553">
        <w:tc>
          <w:tcPr>
            <w:tcW w:w="489" w:type="dxa"/>
            <w:shd w:val="clear" w:color="auto" w:fill="auto"/>
            <w:vAlign w:val="center"/>
          </w:tcPr>
          <w:p w14:paraId="636CBE79" w14:textId="77777777" w:rsidR="001246E6" w:rsidRPr="001246E6" w:rsidRDefault="001246E6" w:rsidP="001246E6">
            <w:pPr>
              <w:pStyle w:val="TabletextLeft"/>
              <w:jc w:val="right"/>
              <w:rPr>
                <w:rFonts w:cs="Arial"/>
                <w:sz w:val="16"/>
                <w:szCs w:val="16"/>
              </w:rPr>
            </w:pPr>
            <w:r w:rsidRPr="001246E6">
              <w:rPr>
                <w:sz w:val="16"/>
                <w:szCs w:val="16"/>
              </w:rPr>
              <w:t>33</w:t>
            </w:r>
          </w:p>
        </w:tc>
        <w:tc>
          <w:tcPr>
            <w:tcW w:w="2248" w:type="dxa"/>
            <w:shd w:val="clear" w:color="auto" w:fill="auto"/>
            <w:vAlign w:val="center"/>
          </w:tcPr>
          <w:p w14:paraId="5DD42516" w14:textId="77777777" w:rsidR="001246E6" w:rsidRPr="001246E6" w:rsidRDefault="001246E6" w:rsidP="001246E6">
            <w:pPr>
              <w:pStyle w:val="TabletextLeft"/>
              <w:rPr>
                <w:rFonts w:cs="Arial"/>
                <w:sz w:val="16"/>
                <w:szCs w:val="16"/>
              </w:rPr>
            </w:pPr>
            <w:r w:rsidRPr="001246E6">
              <w:rPr>
                <w:sz w:val="16"/>
                <w:szCs w:val="16"/>
                <w:lang w:val="en-AU"/>
              </w:rPr>
              <w:t>Hawk 127</w:t>
            </w:r>
          </w:p>
        </w:tc>
        <w:tc>
          <w:tcPr>
            <w:tcW w:w="1198" w:type="dxa"/>
            <w:shd w:val="clear" w:color="auto" w:fill="auto"/>
            <w:vAlign w:val="center"/>
          </w:tcPr>
          <w:p w14:paraId="2E9FA3DF" w14:textId="77777777" w:rsidR="001246E6" w:rsidRPr="006B4CFE" w:rsidRDefault="001246E6" w:rsidP="001246E6">
            <w:pPr>
              <w:pStyle w:val="TableTextRight"/>
              <w:rPr>
                <w:sz w:val="16"/>
                <w:szCs w:val="16"/>
              </w:rPr>
            </w:pPr>
            <w:r w:rsidRPr="006B4CFE">
              <w:rPr>
                <w:sz w:val="16"/>
                <w:szCs w:val="16"/>
              </w:rPr>
              <w:t>5,350</w:t>
            </w:r>
          </w:p>
        </w:tc>
        <w:tc>
          <w:tcPr>
            <w:tcW w:w="1070" w:type="dxa"/>
            <w:shd w:val="clear" w:color="auto" w:fill="auto"/>
            <w:vAlign w:val="center"/>
          </w:tcPr>
          <w:p w14:paraId="3D5E648C" w14:textId="77777777" w:rsidR="001246E6" w:rsidRPr="00725626" w:rsidRDefault="001246E6" w:rsidP="001246E6">
            <w:pPr>
              <w:pStyle w:val="TableTextRight"/>
              <w:spacing w:before="20" w:beforeAutospacing="1" w:after="20" w:afterAutospacing="1"/>
              <w:rPr>
                <w:rFonts w:cs="Times New Roman"/>
                <w:sz w:val="16"/>
                <w:szCs w:val="16"/>
              </w:rPr>
            </w:pPr>
            <w:r w:rsidRPr="00725626">
              <w:rPr>
                <w:rFonts w:cs="Times New Roman"/>
                <w:sz w:val="16"/>
                <w:szCs w:val="16"/>
              </w:rPr>
              <w:t>6,500</w:t>
            </w:r>
          </w:p>
        </w:tc>
        <w:tc>
          <w:tcPr>
            <w:tcW w:w="1151" w:type="dxa"/>
            <w:shd w:val="clear" w:color="auto" w:fill="auto"/>
            <w:vAlign w:val="center"/>
          </w:tcPr>
          <w:p w14:paraId="69443416" w14:textId="77777777" w:rsidR="001246E6" w:rsidRPr="00725626" w:rsidRDefault="001246E6" w:rsidP="001246E6">
            <w:pPr>
              <w:pStyle w:val="TableTextRight"/>
              <w:spacing w:before="20" w:beforeAutospacing="1" w:after="20" w:afterAutospacing="1"/>
              <w:rPr>
                <w:rFonts w:cs="Times New Roman"/>
                <w:sz w:val="16"/>
                <w:szCs w:val="16"/>
              </w:rPr>
            </w:pPr>
            <w:r w:rsidRPr="00725626">
              <w:rPr>
                <w:rFonts w:cs="Times New Roman"/>
                <w:sz w:val="16"/>
                <w:szCs w:val="16"/>
              </w:rPr>
              <w:t>6,500</w:t>
            </w:r>
          </w:p>
        </w:tc>
        <w:tc>
          <w:tcPr>
            <w:tcW w:w="1151" w:type="dxa"/>
            <w:shd w:val="clear" w:color="auto" w:fill="auto"/>
            <w:vAlign w:val="center"/>
          </w:tcPr>
          <w:p w14:paraId="788F190A" w14:textId="77777777" w:rsidR="001246E6" w:rsidRPr="00725626" w:rsidRDefault="001246E6" w:rsidP="001246E6">
            <w:pPr>
              <w:pStyle w:val="TableTextRight"/>
              <w:spacing w:before="20" w:beforeAutospacing="1" w:after="20" w:afterAutospacing="1"/>
              <w:rPr>
                <w:rFonts w:cs="Times New Roman"/>
                <w:sz w:val="16"/>
                <w:szCs w:val="16"/>
              </w:rPr>
            </w:pPr>
            <w:r w:rsidRPr="00725626">
              <w:rPr>
                <w:rFonts w:cs="Times New Roman"/>
                <w:sz w:val="16"/>
                <w:szCs w:val="16"/>
              </w:rPr>
              <w:t>6,500</w:t>
            </w:r>
          </w:p>
        </w:tc>
        <w:tc>
          <w:tcPr>
            <w:tcW w:w="1043" w:type="dxa"/>
            <w:shd w:val="clear" w:color="auto" w:fill="auto"/>
            <w:vAlign w:val="center"/>
          </w:tcPr>
          <w:p w14:paraId="24C087CD" w14:textId="77777777" w:rsidR="001246E6" w:rsidRPr="001246E6" w:rsidRDefault="001246E6" w:rsidP="001246E6">
            <w:pPr>
              <w:pStyle w:val="TableTextRight"/>
              <w:rPr>
                <w:sz w:val="16"/>
                <w:szCs w:val="16"/>
              </w:rPr>
            </w:pPr>
            <w:r w:rsidRPr="001246E6">
              <w:rPr>
                <w:rFonts w:cs="Times New Roman"/>
                <w:sz w:val="16"/>
                <w:szCs w:val="16"/>
              </w:rPr>
              <w:t>6,500</w:t>
            </w:r>
          </w:p>
        </w:tc>
      </w:tr>
      <w:tr w:rsidR="001246E6" w:rsidRPr="001246E6" w14:paraId="5D2FFC65" w14:textId="77777777" w:rsidTr="00603553">
        <w:tc>
          <w:tcPr>
            <w:tcW w:w="489" w:type="dxa"/>
            <w:shd w:val="clear" w:color="auto" w:fill="auto"/>
            <w:vAlign w:val="center"/>
          </w:tcPr>
          <w:p w14:paraId="24BC4DCB" w14:textId="77777777" w:rsidR="001246E6" w:rsidRPr="001246E6" w:rsidRDefault="001246E6" w:rsidP="001246E6">
            <w:pPr>
              <w:pStyle w:val="TabletextLeft"/>
              <w:jc w:val="right"/>
              <w:rPr>
                <w:rFonts w:cs="Arial"/>
                <w:sz w:val="16"/>
                <w:szCs w:val="16"/>
              </w:rPr>
            </w:pPr>
            <w:r w:rsidRPr="001246E6">
              <w:rPr>
                <w:sz w:val="16"/>
                <w:szCs w:val="16"/>
              </w:rPr>
              <w:t>12</w:t>
            </w:r>
          </w:p>
        </w:tc>
        <w:tc>
          <w:tcPr>
            <w:tcW w:w="2248" w:type="dxa"/>
            <w:shd w:val="clear" w:color="auto" w:fill="auto"/>
            <w:vAlign w:val="center"/>
          </w:tcPr>
          <w:p w14:paraId="67013A63" w14:textId="77777777" w:rsidR="001246E6" w:rsidRPr="001246E6" w:rsidRDefault="001246E6" w:rsidP="001246E6">
            <w:pPr>
              <w:pStyle w:val="TabletextLeft"/>
              <w:rPr>
                <w:rFonts w:cs="Arial"/>
                <w:sz w:val="16"/>
                <w:szCs w:val="16"/>
              </w:rPr>
            </w:pPr>
            <w:r w:rsidRPr="001246E6">
              <w:rPr>
                <w:sz w:val="16"/>
                <w:szCs w:val="16"/>
                <w:lang w:val="en-AU"/>
              </w:rPr>
              <w:t>E/A-18G Growler</w:t>
            </w:r>
          </w:p>
        </w:tc>
        <w:tc>
          <w:tcPr>
            <w:tcW w:w="1198" w:type="dxa"/>
            <w:shd w:val="clear" w:color="auto" w:fill="auto"/>
            <w:vAlign w:val="center"/>
          </w:tcPr>
          <w:p w14:paraId="3529D968" w14:textId="77777777" w:rsidR="001246E6" w:rsidRPr="006B4CFE" w:rsidRDefault="001246E6" w:rsidP="001246E6">
            <w:pPr>
              <w:pStyle w:val="TableTextRight"/>
              <w:rPr>
                <w:sz w:val="16"/>
                <w:szCs w:val="16"/>
              </w:rPr>
            </w:pPr>
            <w:r w:rsidRPr="006B4CFE">
              <w:rPr>
                <w:sz w:val="16"/>
                <w:szCs w:val="16"/>
              </w:rPr>
              <w:t>2,400</w:t>
            </w:r>
          </w:p>
        </w:tc>
        <w:tc>
          <w:tcPr>
            <w:tcW w:w="1070" w:type="dxa"/>
            <w:shd w:val="clear" w:color="auto" w:fill="auto"/>
            <w:vAlign w:val="center"/>
          </w:tcPr>
          <w:p w14:paraId="218644C6" w14:textId="77777777" w:rsidR="001246E6" w:rsidRPr="00725626" w:rsidRDefault="001246E6" w:rsidP="001246E6">
            <w:pPr>
              <w:pStyle w:val="TableTextRight"/>
              <w:spacing w:before="20" w:beforeAutospacing="1" w:after="20" w:afterAutospacing="1"/>
              <w:rPr>
                <w:rFonts w:cs="Times New Roman"/>
                <w:sz w:val="16"/>
                <w:szCs w:val="16"/>
              </w:rPr>
            </w:pPr>
            <w:r w:rsidRPr="00725626">
              <w:rPr>
                <w:rFonts w:cs="Times New Roman"/>
                <w:sz w:val="16"/>
                <w:szCs w:val="16"/>
              </w:rPr>
              <w:t>2,800</w:t>
            </w:r>
          </w:p>
        </w:tc>
        <w:tc>
          <w:tcPr>
            <w:tcW w:w="1151" w:type="dxa"/>
            <w:shd w:val="clear" w:color="auto" w:fill="auto"/>
            <w:vAlign w:val="center"/>
          </w:tcPr>
          <w:p w14:paraId="3709192D" w14:textId="77777777" w:rsidR="001246E6" w:rsidRPr="00725626" w:rsidRDefault="001246E6" w:rsidP="001246E6">
            <w:pPr>
              <w:pStyle w:val="TableTextRight"/>
              <w:spacing w:before="20" w:beforeAutospacing="1" w:after="20" w:afterAutospacing="1"/>
              <w:rPr>
                <w:rFonts w:cs="Times New Roman"/>
                <w:sz w:val="16"/>
                <w:szCs w:val="16"/>
              </w:rPr>
            </w:pPr>
            <w:r w:rsidRPr="00725626">
              <w:rPr>
                <w:rFonts w:cs="Times New Roman"/>
                <w:sz w:val="16"/>
                <w:szCs w:val="16"/>
              </w:rPr>
              <w:t>2,800</w:t>
            </w:r>
          </w:p>
        </w:tc>
        <w:tc>
          <w:tcPr>
            <w:tcW w:w="1151" w:type="dxa"/>
            <w:shd w:val="clear" w:color="auto" w:fill="auto"/>
            <w:vAlign w:val="center"/>
          </w:tcPr>
          <w:p w14:paraId="7317A47E" w14:textId="77777777" w:rsidR="001246E6" w:rsidRPr="00725626" w:rsidRDefault="001246E6" w:rsidP="001246E6">
            <w:pPr>
              <w:pStyle w:val="TableTextRight"/>
              <w:spacing w:before="20" w:beforeAutospacing="1" w:after="20" w:afterAutospacing="1"/>
              <w:rPr>
                <w:rFonts w:cs="Times New Roman"/>
                <w:sz w:val="16"/>
                <w:szCs w:val="16"/>
              </w:rPr>
            </w:pPr>
            <w:r w:rsidRPr="00725626">
              <w:rPr>
                <w:rFonts w:cs="Times New Roman"/>
                <w:sz w:val="16"/>
                <w:szCs w:val="16"/>
              </w:rPr>
              <w:t>2,800</w:t>
            </w:r>
          </w:p>
        </w:tc>
        <w:tc>
          <w:tcPr>
            <w:tcW w:w="1043" w:type="dxa"/>
            <w:shd w:val="clear" w:color="auto" w:fill="auto"/>
            <w:vAlign w:val="center"/>
          </w:tcPr>
          <w:p w14:paraId="6D0E6B1C" w14:textId="77777777" w:rsidR="001246E6" w:rsidRPr="001246E6" w:rsidRDefault="001246E6" w:rsidP="001246E6">
            <w:pPr>
              <w:pStyle w:val="TableTextRight"/>
              <w:rPr>
                <w:sz w:val="16"/>
                <w:szCs w:val="16"/>
              </w:rPr>
            </w:pPr>
            <w:r w:rsidRPr="001246E6">
              <w:rPr>
                <w:rFonts w:cs="Times New Roman"/>
                <w:sz w:val="16"/>
                <w:szCs w:val="16"/>
              </w:rPr>
              <w:t>2,800</w:t>
            </w:r>
          </w:p>
        </w:tc>
      </w:tr>
      <w:tr w:rsidR="001246E6" w:rsidRPr="001246E6" w14:paraId="67C8C712" w14:textId="77777777" w:rsidTr="00603553">
        <w:tc>
          <w:tcPr>
            <w:tcW w:w="489" w:type="dxa"/>
            <w:shd w:val="clear" w:color="auto" w:fill="auto"/>
            <w:vAlign w:val="center"/>
          </w:tcPr>
          <w:p w14:paraId="14F285D6" w14:textId="77777777" w:rsidR="001246E6" w:rsidRPr="001246E6" w:rsidRDefault="001246E6" w:rsidP="001246E6">
            <w:pPr>
              <w:pStyle w:val="TabletextLeft"/>
              <w:jc w:val="right"/>
              <w:rPr>
                <w:rFonts w:cs="Arial"/>
                <w:sz w:val="16"/>
                <w:szCs w:val="16"/>
              </w:rPr>
            </w:pPr>
            <w:r w:rsidRPr="001246E6">
              <w:rPr>
                <w:sz w:val="16"/>
                <w:szCs w:val="16"/>
              </w:rPr>
              <w:t>72</w:t>
            </w:r>
          </w:p>
        </w:tc>
        <w:tc>
          <w:tcPr>
            <w:tcW w:w="2248" w:type="dxa"/>
            <w:shd w:val="clear" w:color="auto" w:fill="auto"/>
            <w:vAlign w:val="center"/>
          </w:tcPr>
          <w:p w14:paraId="37051FBC" w14:textId="77777777" w:rsidR="001246E6" w:rsidRPr="001246E6" w:rsidRDefault="001246E6" w:rsidP="001246E6">
            <w:pPr>
              <w:pStyle w:val="TabletextLeft"/>
              <w:rPr>
                <w:rFonts w:cs="Arial"/>
                <w:sz w:val="16"/>
                <w:szCs w:val="16"/>
              </w:rPr>
            </w:pPr>
            <w:r w:rsidRPr="001246E6">
              <w:rPr>
                <w:sz w:val="16"/>
                <w:szCs w:val="16"/>
                <w:lang w:val="en-AU"/>
              </w:rPr>
              <w:t>F-35A Lightning II</w:t>
            </w:r>
            <w:r w:rsidRPr="001246E6">
              <w:rPr>
                <w:sz w:val="16"/>
                <w:szCs w:val="16"/>
                <w:vertAlign w:val="superscript"/>
                <w:lang w:val="en-AU"/>
              </w:rPr>
              <w:t xml:space="preserve"> [c]</w:t>
            </w:r>
            <w:r w:rsidRPr="001246E6" w:rsidDel="00E2584C">
              <w:rPr>
                <w:sz w:val="16"/>
                <w:szCs w:val="16"/>
                <w:vertAlign w:val="superscript"/>
                <w:lang w:val="en-AU"/>
              </w:rPr>
              <w:t xml:space="preserve"> </w:t>
            </w:r>
          </w:p>
        </w:tc>
        <w:tc>
          <w:tcPr>
            <w:tcW w:w="1198" w:type="dxa"/>
            <w:shd w:val="clear" w:color="auto" w:fill="auto"/>
            <w:vAlign w:val="center"/>
          </w:tcPr>
          <w:p w14:paraId="5A9F4397" w14:textId="77777777" w:rsidR="001246E6" w:rsidRPr="006B4CFE" w:rsidRDefault="001246E6" w:rsidP="001246E6">
            <w:pPr>
              <w:pStyle w:val="TableTextRight"/>
              <w:rPr>
                <w:sz w:val="16"/>
                <w:szCs w:val="16"/>
              </w:rPr>
            </w:pPr>
            <w:r w:rsidRPr="006B4CFE">
              <w:rPr>
                <w:sz w:val="16"/>
                <w:szCs w:val="16"/>
              </w:rPr>
              <w:t>10,000</w:t>
            </w:r>
          </w:p>
        </w:tc>
        <w:tc>
          <w:tcPr>
            <w:tcW w:w="1070" w:type="dxa"/>
            <w:shd w:val="clear" w:color="auto" w:fill="auto"/>
            <w:vAlign w:val="center"/>
          </w:tcPr>
          <w:p w14:paraId="2AF0DEF5" w14:textId="77777777" w:rsidR="001246E6" w:rsidRPr="00725626" w:rsidRDefault="001246E6" w:rsidP="001246E6">
            <w:pPr>
              <w:pStyle w:val="TableTextRight"/>
              <w:spacing w:before="20" w:beforeAutospacing="1" w:after="20" w:afterAutospacing="1"/>
              <w:rPr>
                <w:rFonts w:cs="Times New Roman"/>
                <w:sz w:val="16"/>
                <w:szCs w:val="16"/>
              </w:rPr>
            </w:pPr>
            <w:r w:rsidRPr="00725626">
              <w:rPr>
                <w:rFonts w:cs="Times New Roman"/>
                <w:sz w:val="16"/>
                <w:szCs w:val="16"/>
              </w:rPr>
              <w:t>11,</w:t>
            </w:r>
            <w:r>
              <w:rPr>
                <w:rFonts w:cs="Times New Roman"/>
                <w:sz w:val="16"/>
                <w:szCs w:val="16"/>
              </w:rPr>
              <w:t>5</w:t>
            </w:r>
            <w:r w:rsidRPr="00725626">
              <w:rPr>
                <w:rFonts w:cs="Times New Roman"/>
                <w:sz w:val="16"/>
                <w:szCs w:val="16"/>
              </w:rPr>
              <w:t>00</w:t>
            </w:r>
          </w:p>
        </w:tc>
        <w:tc>
          <w:tcPr>
            <w:tcW w:w="1151" w:type="dxa"/>
            <w:shd w:val="clear" w:color="auto" w:fill="auto"/>
            <w:vAlign w:val="center"/>
          </w:tcPr>
          <w:p w14:paraId="75A63471" w14:textId="77777777" w:rsidR="001246E6" w:rsidRPr="00725626" w:rsidRDefault="001246E6" w:rsidP="001246E6">
            <w:pPr>
              <w:pStyle w:val="TableTextRight"/>
              <w:spacing w:before="20" w:beforeAutospacing="1" w:after="20" w:afterAutospacing="1"/>
              <w:rPr>
                <w:rFonts w:cs="Times New Roman"/>
                <w:sz w:val="16"/>
                <w:szCs w:val="16"/>
              </w:rPr>
            </w:pPr>
            <w:r w:rsidRPr="00725626">
              <w:rPr>
                <w:rFonts w:cs="Times New Roman"/>
                <w:sz w:val="16"/>
                <w:szCs w:val="16"/>
              </w:rPr>
              <w:t>1</w:t>
            </w:r>
            <w:r>
              <w:rPr>
                <w:rFonts w:cs="Times New Roman"/>
                <w:sz w:val="16"/>
                <w:szCs w:val="16"/>
              </w:rPr>
              <w:t>2</w:t>
            </w:r>
            <w:r w:rsidRPr="00725626">
              <w:rPr>
                <w:rFonts w:cs="Times New Roman"/>
                <w:sz w:val="16"/>
                <w:szCs w:val="16"/>
              </w:rPr>
              <w:t>,</w:t>
            </w:r>
            <w:r>
              <w:rPr>
                <w:rFonts w:cs="Times New Roman"/>
                <w:sz w:val="16"/>
                <w:szCs w:val="16"/>
              </w:rPr>
              <w:t>0</w:t>
            </w:r>
            <w:r w:rsidRPr="00725626">
              <w:rPr>
                <w:rFonts w:cs="Times New Roman"/>
                <w:sz w:val="16"/>
                <w:szCs w:val="16"/>
              </w:rPr>
              <w:t>00</w:t>
            </w:r>
          </w:p>
        </w:tc>
        <w:tc>
          <w:tcPr>
            <w:tcW w:w="1151" w:type="dxa"/>
            <w:shd w:val="clear" w:color="auto" w:fill="auto"/>
            <w:vAlign w:val="center"/>
          </w:tcPr>
          <w:p w14:paraId="0436D248" w14:textId="77777777" w:rsidR="001246E6" w:rsidRPr="00725626" w:rsidRDefault="001246E6" w:rsidP="001246E6">
            <w:pPr>
              <w:pStyle w:val="TableTextRight"/>
              <w:spacing w:before="20" w:beforeAutospacing="1" w:after="20" w:afterAutospacing="1"/>
              <w:rPr>
                <w:rFonts w:cs="Times New Roman"/>
                <w:sz w:val="16"/>
                <w:szCs w:val="16"/>
              </w:rPr>
            </w:pPr>
            <w:r w:rsidRPr="00725626">
              <w:rPr>
                <w:rFonts w:cs="Times New Roman"/>
                <w:sz w:val="16"/>
                <w:szCs w:val="16"/>
              </w:rPr>
              <w:t>12,000</w:t>
            </w:r>
          </w:p>
        </w:tc>
        <w:tc>
          <w:tcPr>
            <w:tcW w:w="1043" w:type="dxa"/>
            <w:shd w:val="clear" w:color="auto" w:fill="auto"/>
            <w:vAlign w:val="center"/>
          </w:tcPr>
          <w:p w14:paraId="462DD81E" w14:textId="77777777" w:rsidR="001246E6" w:rsidRPr="001246E6" w:rsidRDefault="001246E6" w:rsidP="001246E6">
            <w:pPr>
              <w:pStyle w:val="TableTextRight"/>
              <w:rPr>
                <w:sz w:val="16"/>
                <w:szCs w:val="16"/>
                <w:lang w:val="en-AU"/>
              </w:rPr>
            </w:pPr>
            <w:r w:rsidRPr="001246E6">
              <w:rPr>
                <w:rFonts w:cs="Times New Roman"/>
                <w:sz w:val="16"/>
                <w:szCs w:val="16"/>
              </w:rPr>
              <w:t>12,000</w:t>
            </w:r>
          </w:p>
        </w:tc>
      </w:tr>
      <w:tr w:rsidR="001246E6" w:rsidRPr="001246E6" w14:paraId="498E48FB" w14:textId="77777777" w:rsidTr="00603553">
        <w:tc>
          <w:tcPr>
            <w:tcW w:w="489" w:type="dxa"/>
            <w:shd w:val="clear" w:color="auto" w:fill="auto"/>
            <w:vAlign w:val="center"/>
          </w:tcPr>
          <w:p w14:paraId="1C89E504" w14:textId="77777777" w:rsidR="001246E6" w:rsidRPr="001246E6" w:rsidRDefault="001246E6" w:rsidP="001246E6">
            <w:pPr>
              <w:pStyle w:val="TabletextLeft"/>
              <w:jc w:val="right"/>
              <w:rPr>
                <w:rFonts w:cs="Arial"/>
                <w:sz w:val="16"/>
                <w:szCs w:val="16"/>
                <w:lang w:val="en-AU"/>
              </w:rPr>
            </w:pPr>
            <w:r w:rsidRPr="001246E6">
              <w:rPr>
                <w:sz w:val="16"/>
                <w:szCs w:val="16"/>
              </w:rPr>
              <w:t>-</w:t>
            </w:r>
          </w:p>
        </w:tc>
        <w:tc>
          <w:tcPr>
            <w:tcW w:w="2248" w:type="dxa"/>
            <w:shd w:val="clear" w:color="auto" w:fill="auto"/>
            <w:vAlign w:val="center"/>
          </w:tcPr>
          <w:p w14:paraId="71239E5F" w14:textId="77777777" w:rsidR="001246E6" w:rsidRPr="001246E6" w:rsidRDefault="001246E6" w:rsidP="001246E6">
            <w:pPr>
              <w:pStyle w:val="TabletextLeft"/>
              <w:rPr>
                <w:rFonts w:cs="Arial"/>
                <w:sz w:val="16"/>
                <w:szCs w:val="16"/>
                <w:lang w:val="en-AU"/>
              </w:rPr>
            </w:pPr>
            <w:r w:rsidRPr="001246E6">
              <w:rPr>
                <w:sz w:val="16"/>
                <w:szCs w:val="16"/>
                <w:lang w:val="en-AU"/>
              </w:rPr>
              <w:t xml:space="preserve">MC-55A Peregrine </w:t>
            </w:r>
            <w:r w:rsidRPr="001246E6">
              <w:rPr>
                <w:sz w:val="16"/>
                <w:szCs w:val="16"/>
                <w:vertAlign w:val="superscript"/>
                <w:lang w:val="en-AU"/>
              </w:rPr>
              <w:t>[d]</w:t>
            </w:r>
            <w:r w:rsidRPr="001246E6" w:rsidDel="00E2584C">
              <w:rPr>
                <w:sz w:val="16"/>
                <w:szCs w:val="16"/>
                <w:vertAlign w:val="superscript"/>
                <w:lang w:val="en-AU"/>
              </w:rPr>
              <w:t xml:space="preserve"> </w:t>
            </w:r>
          </w:p>
        </w:tc>
        <w:tc>
          <w:tcPr>
            <w:tcW w:w="1198" w:type="dxa"/>
            <w:shd w:val="clear" w:color="auto" w:fill="auto"/>
            <w:vAlign w:val="center"/>
          </w:tcPr>
          <w:p w14:paraId="7E7F8D22" w14:textId="77777777" w:rsidR="001246E6" w:rsidRPr="006B4CFE" w:rsidRDefault="001246E6" w:rsidP="001246E6">
            <w:pPr>
              <w:pStyle w:val="TableTextRight"/>
              <w:rPr>
                <w:sz w:val="16"/>
                <w:szCs w:val="16"/>
                <w:lang w:val="en-AU"/>
              </w:rPr>
            </w:pPr>
            <w:r w:rsidRPr="006B4CFE">
              <w:rPr>
                <w:sz w:val="16"/>
                <w:szCs w:val="16"/>
              </w:rPr>
              <w:t>-</w:t>
            </w:r>
          </w:p>
        </w:tc>
        <w:tc>
          <w:tcPr>
            <w:tcW w:w="1070" w:type="dxa"/>
            <w:shd w:val="clear" w:color="auto" w:fill="auto"/>
            <w:vAlign w:val="center"/>
          </w:tcPr>
          <w:p w14:paraId="7E563D78" w14:textId="77777777" w:rsidR="001246E6" w:rsidRPr="00725626" w:rsidRDefault="001246E6" w:rsidP="001246E6">
            <w:pPr>
              <w:pStyle w:val="TableTextRight"/>
              <w:spacing w:before="20" w:beforeAutospacing="1" w:after="20" w:afterAutospacing="1"/>
              <w:rPr>
                <w:rFonts w:cs="Times New Roman"/>
                <w:sz w:val="16"/>
                <w:szCs w:val="16"/>
              </w:rPr>
            </w:pPr>
            <w:r w:rsidRPr="0077429A">
              <w:rPr>
                <w:rFonts w:cs="Times New Roman"/>
                <w:sz w:val="16"/>
                <w:szCs w:val="16"/>
              </w:rPr>
              <w:t>400</w:t>
            </w:r>
          </w:p>
        </w:tc>
        <w:tc>
          <w:tcPr>
            <w:tcW w:w="1151" w:type="dxa"/>
            <w:shd w:val="clear" w:color="auto" w:fill="auto"/>
            <w:vAlign w:val="center"/>
          </w:tcPr>
          <w:p w14:paraId="4D8128FE" w14:textId="77777777" w:rsidR="001246E6" w:rsidRPr="00725626" w:rsidRDefault="001246E6" w:rsidP="001246E6">
            <w:pPr>
              <w:pStyle w:val="TableTextRight"/>
              <w:spacing w:before="20" w:beforeAutospacing="1" w:after="20" w:afterAutospacing="1"/>
              <w:rPr>
                <w:rFonts w:cs="Times New Roman"/>
                <w:sz w:val="16"/>
                <w:szCs w:val="16"/>
              </w:rPr>
            </w:pPr>
            <w:r w:rsidRPr="0077429A">
              <w:rPr>
                <w:rFonts w:cs="Times New Roman"/>
                <w:sz w:val="16"/>
                <w:szCs w:val="16"/>
              </w:rPr>
              <w:t>1,650</w:t>
            </w:r>
          </w:p>
        </w:tc>
        <w:tc>
          <w:tcPr>
            <w:tcW w:w="1151" w:type="dxa"/>
            <w:shd w:val="clear" w:color="auto" w:fill="auto"/>
            <w:vAlign w:val="center"/>
          </w:tcPr>
          <w:p w14:paraId="6F0E709D" w14:textId="77777777" w:rsidR="001246E6" w:rsidRPr="00725626" w:rsidRDefault="001246E6" w:rsidP="001246E6">
            <w:pPr>
              <w:pStyle w:val="TableTextRight"/>
              <w:spacing w:before="20" w:beforeAutospacing="1" w:after="20" w:afterAutospacing="1"/>
              <w:rPr>
                <w:rFonts w:cs="Times New Roman"/>
                <w:sz w:val="16"/>
                <w:szCs w:val="16"/>
              </w:rPr>
            </w:pPr>
            <w:r w:rsidRPr="0077429A">
              <w:rPr>
                <w:rFonts w:cs="Times New Roman"/>
                <w:sz w:val="16"/>
                <w:szCs w:val="16"/>
              </w:rPr>
              <w:t>2</w:t>
            </w:r>
            <w:r w:rsidR="00D65500">
              <w:rPr>
                <w:rFonts w:cs="Times New Roman"/>
                <w:sz w:val="16"/>
                <w:szCs w:val="16"/>
              </w:rPr>
              <w:t>,</w:t>
            </w:r>
            <w:r w:rsidRPr="0077429A">
              <w:rPr>
                <w:rFonts w:cs="Times New Roman"/>
                <w:sz w:val="16"/>
                <w:szCs w:val="16"/>
              </w:rPr>
              <w:t>400</w:t>
            </w:r>
          </w:p>
        </w:tc>
        <w:tc>
          <w:tcPr>
            <w:tcW w:w="1043" w:type="dxa"/>
            <w:shd w:val="clear" w:color="auto" w:fill="auto"/>
            <w:vAlign w:val="center"/>
          </w:tcPr>
          <w:p w14:paraId="180316CC" w14:textId="77777777" w:rsidR="001246E6" w:rsidRPr="001246E6" w:rsidRDefault="001246E6" w:rsidP="001246E6">
            <w:pPr>
              <w:pStyle w:val="TableTextRight"/>
              <w:rPr>
                <w:sz w:val="16"/>
                <w:szCs w:val="16"/>
                <w:lang w:val="en-AU"/>
              </w:rPr>
            </w:pPr>
            <w:r w:rsidRPr="001246E6">
              <w:rPr>
                <w:sz w:val="16"/>
                <w:szCs w:val="16"/>
                <w:lang w:val="en-AU"/>
              </w:rPr>
              <w:t>3,000</w:t>
            </w:r>
          </w:p>
        </w:tc>
      </w:tr>
      <w:tr w:rsidR="001246E6" w:rsidRPr="00CD66E1" w14:paraId="0BD7917C" w14:textId="77777777" w:rsidTr="00603553">
        <w:tc>
          <w:tcPr>
            <w:tcW w:w="489" w:type="dxa"/>
            <w:shd w:val="clear" w:color="auto" w:fill="auto"/>
            <w:vAlign w:val="center"/>
          </w:tcPr>
          <w:p w14:paraId="729299DA" w14:textId="77777777" w:rsidR="001246E6" w:rsidRPr="001246E6" w:rsidRDefault="001246E6" w:rsidP="001246E6">
            <w:pPr>
              <w:pStyle w:val="TabletextLeft"/>
              <w:jc w:val="right"/>
              <w:rPr>
                <w:sz w:val="16"/>
                <w:szCs w:val="16"/>
              </w:rPr>
            </w:pPr>
            <w:r w:rsidRPr="001246E6">
              <w:rPr>
                <w:sz w:val="16"/>
                <w:szCs w:val="16"/>
              </w:rPr>
              <w:t>-</w:t>
            </w:r>
          </w:p>
        </w:tc>
        <w:tc>
          <w:tcPr>
            <w:tcW w:w="2248" w:type="dxa"/>
            <w:shd w:val="clear" w:color="auto" w:fill="auto"/>
            <w:vAlign w:val="center"/>
          </w:tcPr>
          <w:p w14:paraId="7D2523C6" w14:textId="77777777" w:rsidR="001246E6" w:rsidRPr="001246E6" w:rsidRDefault="001246E6" w:rsidP="001246E6">
            <w:pPr>
              <w:pStyle w:val="TabletextLeft"/>
              <w:rPr>
                <w:sz w:val="16"/>
                <w:szCs w:val="16"/>
                <w:lang w:val="en-AU"/>
              </w:rPr>
            </w:pPr>
            <w:r w:rsidRPr="001246E6">
              <w:rPr>
                <w:sz w:val="16"/>
                <w:szCs w:val="16"/>
                <w:lang w:val="en-AU"/>
              </w:rPr>
              <w:t>MQ-4C Triton</w:t>
            </w:r>
            <w:r w:rsidRPr="001246E6">
              <w:rPr>
                <w:sz w:val="16"/>
                <w:szCs w:val="16"/>
                <w:vertAlign w:val="superscript"/>
                <w:lang w:val="en-AU"/>
              </w:rPr>
              <w:t xml:space="preserve"> [e]</w:t>
            </w:r>
          </w:p>
        </w:tc>
        <w:tc>
          <w:tcPr>
            <w:tcW w:w="1198" w:type="dxa"/>
            <w:shd w:val="clear" w:color="auto" w:fill="auto"/>
            <w:vAlign w:val="center"/>
          </w:tcPr>
          <w:p w14:paraId="14DA4C35" w14:textId="77777777" w:rsidR="001246E6" w:rsidRPr="006B4CFE" w:rsidRDefault="001246E6" w:rsidP="001246E6">
            <w:pPr>
              <w:pStyle w:val="TableTextRight"/>
              <w:rPr>
                <w:sz w:val="16"/>
                <w:szCs w:val="16"/>
                <w:lang w:val="en-AU"/>
              </w:rPr>
            </w:pPr>
            <w:r w:rsidRPr="006B4CFE">
              <w:rPr>
                <w:sz w:val="16"/>
                <w:szCs w:val="16"/>
              </w:rPr>
              <w:t>300</w:t>
            </w:r>
          </w:p>
        </w:tc>
        <w:tc>
          <w:tcPr>
            <w:tcW w:w="1070" w:type="dxa"/>
            <w:shd w:val="clear" w:color="auto" w:fill="auto"/>
            <w:vAlign w:val="center"/>
          </w:tcPr>
          <w:p w14:paraId="15AA48AD" w14:textId="77777777" w:rsidR="001246E6" w:rsidRPr="00725626" w:rsidRDefault="001246E6" w:rsidP="001246E6">
            <w:pPr>
              <w:pStyle w:val="TableTextRight"/>
              <w:spacing w:before="20" w:beforeAutospacing="1" w:after="20" w:afterAutospacing="1"/>
              <w:rPr>
                <w:rFonts w:cs="Times New Roman"/>
                <w:sz w:val="16"/>
                <w:szCs w:val="16"/>
              </w:rPr>
            </w:pPr>
            <w:r>
              <w:rPr>
                <w:rFonts w:cs="Times New Roman"/>
                <w:sz w:val="16"/>
                <w:szCs w:val="16"/>
              </w:rPr>
              <w:t>1,500</w:t>
            </w:r>
          </w:p>
        </w:tc>
        <w:tc>
          <w:tcPr>
            <w:tcW w:w="1151" w:type="dxa"/>
            <w:shd w:val="clear" w:color="auto" w:fill="auto"/>
            <w:vAlign w:val="center"/>
          </w:tcPr>
          <w:p w14:paraId="40B2C9E6" w14:textId="77777777" w:rsidR="001246E6" w:rsidRPr="00725626" w:rsidRDefault="001246E6" w:rsidP="001246E6">
            <w:pPr>
              <w:pStyle w:val="TableTextRight"/>
              <w:spacing w:before="20" w:beforeAutospacing="1" w:after="20" w:afterAutospacing="1"/>
              <w:rPr>
                <w:rFonts w:cs="Times New Roman"/>
                <w:sz w:val="16"/>
                <w:szCs w:val="16"/>
              </w:rPr>
            </w:pPr>
            <w:r>
              <w:rPr>
                <w:rFonts w:cs="Times New Roman"/>
                <w:sz w:val="16"/>
                <w:szCs w:val="16"/>
              </w:rPr>
              <w:t>2</w:t>
            </w:r>
            <w:r w:rsidRPr="00725626">
              <w:rPr>
                <w:rFonts w:cs="Times New Roman"/>
                <w:sz w:val="16"/>
                <w:szCs w:val="16"/>
              </w:rPr>
              <w:t>,</w:t>
            </w:r>
            <w:r>
              <w:rPr>
                <w:rFonts w:cs="Times New Roman"/>
                <w:sz w:val="16"/>
                <w:szCs w:val="16"/>
              </w:rPr>
              <w:t>0</w:t>
            </w:r>
            <w:r w:rsidRPr="00725626">
              <w:rPr>
                <w:rFonts w:cs="Times New Roman"/>
                <w:sz w:val="16"/>
                <w:szCs w:val="16"/>
              </w:rPr>
              <w:t>00</w:t>
            </w:r>
          </w:p>
        </w:tc>
        <w:tc>
          <w:tcPr>
            <w:tcW w:w="1151" w:type="dxa"/>
            <w:shd w:val="clear" w:color="auto" w:fill="auto"/>
            <w:vAlign w:val="center"/>
          </w:tcPr>
          <w:p w14:paraId="25F8471C" w14:textId="77777777" w:rsidR="001246E6" w:rsidRPr="00725626" w:rsidRDefault="001246E6" w:rsidP="001246E6">
            <w:pPr>
              <w:pStyle w:val="TableTextRight"/>
              <w:spacing w:before="20" w:beforeAutospacing="1" w:after="20" w:afterAutospacing="1"/>
              <w:rPr>
                <w:rFonts w:cs="Times New Roman"/>
                <w:sz w:val="16"/>
                <w:szCs w:val="16"/>
              </w:rPr>
            </w:pPr>
            <w:r>
              <w:rPr>
                <w:rFonts w:cs="Times New Roman"/>
                <w:sz w:val="16"/>
                <w:szCs w:val="16"/>
              </w:rPr>
              <w:t>2</w:t>
            </w:r>
            <w:r w:rsidRPr="00725626">
              <w:rPr>
                <w:rFonts w:cs="Times New Roman"/>
                <w:sz w:val="16"/>
                <w:szCs w:val="16"/>
              </w:rPr>
              <w:t>,</w:t>
            </w:r>
            <w:r>
              <w:rPr>
                <w:rFonts w:cs="Times New Roman"/>
                <w:sz w:val="16"/>
                <w:szCs w:val="16"/>
              </w:rPr>
              <w:t>6</w:t>
            </w:r>
            <w:r w:rsidRPr="00725626">
              <w:rPr>
                <w:rFonts w:cs="Times New Roman"/>
                <w:sz w:val="16"/>
                <w:szCs w:val="16"/>
              </w:rPr>
              <w:t>00</w:t>
            </w:r>
          </w:p>
        </w:tc>
        <w:tc>
          <w:tcPr>
            <w:tcW w:w="1043" w:type="dxa"/>
            <w:shd w:val="clear" w:color="auto" w:fill="auto"/>
            <w:vAlign w:val="center"/>
          </w:tcPr>
          <w:p w14:paraId="40CCCCBF" w14:textId="77777777" w:rsidR="001246E6" w:rsidRPr="001246E6" w:rsidRDefault="001246E6" w:rsidP="001246E6">
            <w:pPr>
              <w:pStyle w:val="TableTextRight"/>
              <w:rPr>
                <w:sz w:val="16"/>
                <w:szCs w:val="16"/>
                <w:lang w:val="en-AU"/>
              </w:rPr>
            </w:pPr>
            <w:r w:rsidRPr="001246E6">
              <w:rPr>
                <w:sz w:val="16"/>
                <w:szCs w:val="16"/>
                <w:lang w:val="en-AU"/>
              </w:rPr>
              <w:t>2,600</w:t>
            </w:r>
          </w:p>
        </w:tc>
      </w:tr>
    </w:tbl>
    <w:p w14:paraId="67F4EA35" w14:textId="77777777" w:rsidR="005403E1" w:rsidRPr="00CD66E1" w:rsidRDefault="005403E1" w:rsidP="00656D60">
      <w:pPr>
        <w:pStyle w:val="NotesHeading"/>
        <w:spacing w:before="0" w:after="0"/>
        <w:ind w:left="567" w:hanging="567"/>
        <w:rPr>
          <w:highlight w:val="yellow"/>
          <w:lang w:val="en-AU"/>
        </w:rPr>
      </w:pPr>
    </w:p>
    <w:p w14:paraId="39C9DAE1" w14:textId="77777777" w:rsidR="00E77CC5" w:rsidRPr="004C23B9" w:rsidRDefault="00E77CC5" w:rsidP="00E77CC5">
      <w:pPr>
        <w:pStyle w:val="NotesHeading"/>
        <w:spacing w:before="0" w:after="0"/>
        <w:ind w:left="567" w:hanging="567"/>
        <w:rPr>
          <w:sz w:val="14"/>
          <w:szCs w:val="14"/>
        </w:rPr>
      </w:pPr>
      <w:r w:rsidRPr="004C23B9">
        <w:rPr>
          <w:sz w:val="14"/>
          <w:szCs w:val="14"/>
        </w:rPr>
        <w:t>Notes</w:t>
      </w:r>
    </w:p>
    <w:p w14:paraId="0FDECB99" w14:textId="6F1F971D" w:rsidR="00E77CC5" w:rsidRPr="006405C9" w:rsidRDefault="00E77CC5" w:rsidP="00444A89">
      <w:pPr>
        <w:pStyle w:val="NotesHeading"/>
        <w:numPr>
          <w:ilvl w:val="0"/>
          <w:numId w:val="69"/>
        </w:numPr>
        <w:tabs>
          <w:tab w:val="left" w:pos="284"/>
        </w:tabs>
        <w:spacing w:before="0" w:after="0"/>
        <w:ind w:left="284" w:hanging="284"/>
        <w:rPr>
          <w:b w:val="0"/>
          <w:sz w:val="14"/>
          <w:szCs w:val="14"/>
        </w:rPr>
      </w:pPr>
      <w:r w:rsidRPr="006405C9">
        <w:rPr>
          <w:b w:val="0"/>
          <w:bCs/>
          <w:sz w:val="14"/>
          <w:szCs w:val="14"/>
        </w:rPr>
        <w:t xml:space="preserve">Fleet sizes represent totals in service </w:t>
      </w:r>
      <w:r w:rsidR="006405C9">
        <w:rPr>
          <w:b w:val="0"/>
          <w:bCs/>
          <w:sz w:val="14"/>
          <w:szCs w:val="14"/>
        </w:rPr>
        <w:t>at 1 January 20</w:t>
      </w:r>
      <w:r w:rsidRPr="006405C9">
        <w:rPr>
          <w:b w:val="0"/>
          <w:bCs/>
          <w:sz w:val="14"/>
          <w:szCs w:val="14"/>
        </w:rPr>
        <w:t>2</w:t>
      </w:r>
      <w:r w:rsidR="006405C9">
        <w:rPr>
          <w:b w:val="0"/>
          <w:bCs/>
          <w:sz w:val="14"/>
          <w:szCs w:val="14"/>
        </w:rPr>
        <w:t>5</w:t>
      </w:r>
      <w:r w:rsidR="001441A7" w:rsidRPr="006405C9">
        <w:rPr>
          <w:b w:val="0"/>
          <w:bCs/>
          <w:sz w:val="14"/>
          <w:szCs w:val="14"/>
        </w:rPr>
        <w:t>.</w:t>
      </w:r>
      <w:r w:rsidRPr="006405C9">
        <w:rPr>
          <w:b w:val="0"/>
          <w:bCs/>
          <w:sz w:val="14"/>
          <w:szCs w:val="14"/>
        </w:rPr>
        <w:t xml:space="preserve"> </w:t>
      </w:r>
    </w:p>
    <w:p w14:paraId="71356899" w14:textId="591EEE33" w:rsidR="00E77CC5" w:rsidRPr="006405C9" w:rsidRDefault="00E77CC5" w:rsidP="00444A89">
      <w:pPr>
        <w:pStyle w:val="NotesHeading"/>
        <w:numPr>
          <w:ilvl w:val="0"/>
          <w:numId w:val="69"/>
        </w:numPr>
        <w:tabs>
          <w:tab w:val="left" w:pos="284"/>
        </w:tabs>
        <w:spacing w:before="0" w:after="0"/>
        <w:ind w:left="284" w:hanging="284"/>
        <w:rPr>
          <w:b w:val="0"/>
          <w:bCs/>
          <w:sz w:val="14"/>
          <w:szCs w:val="14"/>
        </w:rPr>
      </w:pPr>
      <w:r w:rsidRPr="006405C9">
        <w:rPr>
          <w:b w:val="0"/>
          <w:bCs/>
          <w:sz w:val="14"/>
          <w:szCs w:val="14"/>
        </w:rPr>
        <w:tab/>
        <w:t>P-8A Poseidon Forward Estimates reflect projected</w:t>
      </w:r>
      <w:r w:rsidR="008159A0">
        <w:rPr>
          <w:b w:val="0"/>
          <w:bCs/>
          <w:sz w:val="14"/>
          <w:szCs w:val="14"/>
        </w:rPr>
        <w:t xml:space="preserve"> </w:t>
      </w:r>
      <w:r w:rsidRPr="006405C9">
        <w:rPr>
          <w:b w:val="0"/>
          <w:bCs/>
          <w:sz w:val="14"/>
          <w:szCs w:val="14"/>
        </w:rPr>
        <w:t>workforce growth.</w:t>
      </w:r>
    </w:p>
    <w:p w14:paraId="28FAA261" w14:textId="65ACE578" w:rsidR="00E77CC5" w:rsidRPr="006405C9" w:rsidRDefault="008159A0" w:rsidP="00444A89">
      <w:pPr>
        <w:pStyle w:val="NotesHeading"/>
        <w:numPr>
          <w:ilvl w:val="0"/>
          <w:numId w:val="69"/>
        </w:numPr>
        <w:tabs>
          <w:tab w:val="left" w:pos="284"/>
        </w:tabs>
        <w:spacing w:before="0" w:after="0"/>
        <w:ind w:left="426" w:hanging="426"/>
        <w:rPr>
          <w:b w:val="0"/>
          <w:bCs/>
          <w:sz w:val="14"/>
          <w:szCs w:val="14"/>
        </w:rPr>
      </w:pPr>
      <w:r w:rsidRPr="00261376">
        <w:rPr>
          <w:b w:val="0"/>
          <w:bCs/>
          <w:sz w:val="14"/>
          <w:szCs w:val="14"/>
        </w:rPr>
        <w:t xml:space="preserve">F-35A </w:t>
      </w:r>
      <w:r>
        <w:rPr>
          <w:b w:val="0"/>
          <w:bCs/>
          <w:sz w:val="14"/>
          <w:szCs w:val="14"/>
        </w:rPr>
        <w:t>Lightning ll forward estimates</w:t>
      </w:r>
      <w:r w:rsidRPr="00261376">
        <w:rPr>
          <w:b w:val="0"/>
          <w:bCs/>
          <w:sz w:val="14"/>
          <w:szCs w:val="14"/>
        </w:rPr>
        <w:t xml:space="preserve"> reflects projected workforce growth</w:t>
      </w:r>
      <w:r w:rsidR="00E77CC5" w:rsidRPr="006405C9">
        <w:rPr>
          <w:b w:val="0"/>
          <w:bCs/>
          <w:sz w:val="14"/>
          <w:szCs w:val="14"/>
        </w:rPr>
        <w:t>.</w:t>
      </w:r>
    </w:p>
    <w:p w14:paraId="32343330" w14:textId="19AF3D1B" w:rsidR="00E77CC5" w:rsidRPr="006405C9" w:rsidRDefault="008159A0" w:rsidP="00444A89">
      <w:pPr>
        <w:pStyle w:val="NotesHeading"/>
        <w:numPr>
          <w:ilvl w:val="0"/>
          <w:numId w:val="69"/>
        </w:numPr>
        <w:tabs>
          <w:tab w:val="left" w:pos="284"/>
        </w:tabs>
        <w:spacing w:before="0" w:after="0"/>
        <w:ind w:left="426" w:hanging="426"/>
        <w:rPr>
          <w:b w:val="0"/>
          <w:bCs/>
          <w:sz w:val="14"/>
          <w:szCs w:val="14"/>
        </w:rPr>
      </w:pPr>
      <w:r w:rsidRPr="00261376">
        <w:rPr>
          <w:b w:val="0"/>
          <w:bCs/>
          <w:sz w:val="14"/>
          <w:szCs w:val="14"/>
        </w:rPr>
        <w:t>MC-55A Peregrine forward estimates variation due to maturing understanding of the platform’s employment</w:t>
      </w:r>
      <w:r w:rsidR="001441A7" w:rsidRPr="006405C9">
        <w:rPr>
          <w:b w:val="0"/>
          <w:bCs/>
          <w:sz w:val="14"/>
          <w:szCs w:val="14"/>
        </w:rPr>
        <w:t>.</w:t>
      </w:r>
    </w:p>
    <w:p w14:paraId="179C8B03" w14:textId="290D43DC" w:rsidR="00E77CC5" w:rsidRPr="006405C9" w:rsidRDefault="008159A0" w:rsidP="00444A89">
      <w:pPr>
        <w:pStyle w:val="NotesHeading"/>
        <w:numPr>
          <w:ilvl w:val="0"/>
          <w:numId w:val="69"/>
        </w:numPr>
        <w:tabs>
          <w:tab w:val="left" w:pos="284"/>
        </w:tabs>
        <w:spacing w:before="0" w:after="0"/>
        <w:ind w:left="284" w:hanging="284"/>
        <w:rPr>
          <w:b w:val="0"/>
          <w:bCs/>
          <w:sz w:val="14"/>
          <w:szCs w:val="14"/>
        </w:rPr>
      </w:pPr>
      <w:r w:rsidRPr="00261376">
        <w:rPr>
          <w:b w:val="0"/>
          <w:bCs/>
          <w:sz w:val="14"/>
          <w:szCs w:val="14"/>
        </w:rPr>
        <w:t>First MQ-4C Triton arrived in Australia in June 2024</w:t>
      </w:r>
      <w:r w:rsidR="00E77CC5" w:rsidRPr="006405C9">
        <w:rPr>
          <w:b w:val="0"/>
          <w:bCs/>
          <w:sz w:val="14"/>
          <w:szCs w:val="14"/>
        </w:rPr>
        <w:t>.</w:t>
      </w:r>
    </w:p>
    <w:p w14:paraId="6B8DAC02" w14:textId="77777777" w:rsidR="00986F28" w:rsidRPr="002B2BCC" w:rsidRDefault="00986F28" w:rsidP="002B2BCC">
      <w:pPr>
        <w:pStyle w:val="TableHeading"/>
        <w:spacing w:before="0" w:after="0"/>
        <w:rPr>
          <w:b w:val="0"/>
          <w:sz w:val="16"/>
          <w:szCs w:val="16"/>
          <w:lang w:val="en-AU"/>
        </w:rPr>
      </w:pPr>
      <w:r w:rsidRPr="002B2BCC">
        <w:rPr>
          <w:b w:val="0"/>
          <w:sz w:val="16"/>
          <w:szCs w:val="16"/>
          <w:lang w:val="en-AU"/>
        </w:rPr>
        <w:br w:type="page"/>
      </w:r>
    </w:p>
    <w:p w14:paraId="350CB23A" w14:textId="77777777" w:rsidR="00DC3903" w:rsidRPr="00B56FAA" w:rsidRDefault="00DC3903" w:rsidP="000142CB">
      <w:pPr>
        <w:spacing w:before="0" w:after="0"/>
        <w:outlineLvl w:val="5"/>
        <w:rPr>
          <w:color w:val="FFFFFF"/>
          <w:sz w:val="2"/>
          <w:szCs w:val="2"/>
        </w:rPr>
      </w:pPr>
      <w:r w:rsidRPr="00B56FAA">
        <w:rPr>
          <w:color w:val="FFFFFF"/>
          <w:sz w:val="2"/>
          <w:szCs w:val="2"/>
        </w:rPr>
        <w:lastRenderedPageBreak/>
        <w:t>Program 2.8: Austra</w:t>
      </w:r>
      <w:r w:rsidR="000142CB" w:rsidRPr="00B56FAA">
        <w:rPr>
          <w:color w:val="FFFFFF"/>
          <w:sz w:val="2"/>
          <w:szCs w:val="2"/>
        </w:rPr>
        <w:t>lian Defence Force Headquarters</w:t>
      </w:r>
    </w:p>
    <w:tbl>
      <w:tblPr>
        <w:tblW w:w="4852"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1670"/>
        <w:gridCol w:w="2882"/>
        <w:gridCol w:w="3058"/>
      </w:tblGrid>
      <w:tr w:rsidR="00FF0FC2" w:rsidRPr="00B56FAA" w14:paraId="7770B0DE" w14:textId="77777777" w:rsidTr="0004322A">
        <w:tc>
          <w:tcPr>
            <w:tcW w:w="8353" w:type="dxa"/>
            <w:gridSpan w:val="3"/>
            <w:tcBorders>
              <w:bottom w:val="single" w:sz="4" w:space="0" w:color="auto"/>
            </w:tcBorders>
            <w:shd w:val="clear" w:color="auto" w:fill="CCCCCC"/>
          </w:tcPr>
          <w:p w14:paraId="431E2B52" w14:textId="77777777" w:rsidR="00FF0FC2" w:rsidRPr="00B56FAA" w:rsidRDefault="00FF0FC2" w:rsidP="00072EF9">
            <w:pPr>
              <w:pStyle w:val="Heading5"/>
              <w:spacing w:before="60" w:after="60"/>
            </w:pPr>
            <w:r w:rsidRPr="00B56FAA">
              <w:t>Program 2.8: Australian Defence Force Headquarters</w:t>
            </w:r>
          </w:p>
        </w:tc>
      </w:tr>
      <w:tr w:rsidR="00FF0FC2" w:rsidRPr="00B56FAA" w14:paraId="20FD3246" w14:textId="77777777" w:rsidTr="0004322A">
        <w:tc>
          <w:tcPr>
            <w:tcW w:w="8353" w:type="dxa"/>
            <w:gridSpan w:val="3"/>
            <w:tcBorders>
              <w:left w:val="nil"/>
              <w:right w:val="nil"/>
            </w:tcBorders>
            <w:shd w:val="clear" w:color="auto" w:fill="auto"/>
          </w:tcPr>
          <w:p w14:paraId="393E2AD0" w14:textId="77777777" w:rsidR="00FF0FC2" w:rsidRPr="00B56FAA" w:rsidRDefault="00FF0FC2" w:rsidP="00072EF9">
            <w:pPr>
              <w:pStyle w:val="Heading5"/>
              <w:spacing w:before="0" w:after="0"/>
              <w:rPr>
                <w:sz w:val="16"/>
                <w:szCs w:val="16"/>
              </w:rPr>
            </w:pPr>
          </w:p>
        </w:tc>
      </w:tr>
      <w:tr w:rsidR="00FF0FC2" w:rsidRPr="00570DF8" w14:paraId="66BCBF6E" w14:textId="77777777" w:rsidTr="0004322A">
        <w:tblPrEx>
          <w:shd w:val="clear" w:color="auto" w:fill="auto"/>
          <w:tblLook w:val="04A0" w:firstRow="1" w:lastRow="0" w:firstColumn="1" w:lastColumn="0" w:noHBand="0" w:noVBand="1"/>
        </w:tblPrEx>
        <w:trPr>
          <w:trHeight w:val="697"/>
          <w:tblHeader/>
        </w:trPr>
        <w:tc>
          <w:tcPr>
            <w:tcW w:w="8353" w:type="dxa"/>
            <w:gridSpan w:val="3"/>
            <w:shd w:val="clear" w:color="auto" w:fill="E6E6E6"/>
          </w:tcPr>
          <w:p w14:paraId="2C7E7090" w14:textId="77777777" w:rsidR="00FF0FC2" w:rsidRPr="00570DF8" w:rsidRDefault="00FF0FC2" w:rsidP="00072EF9">
            <w:pPr>
              <w:tabs>
                <w:tab w:val="left" w:pos="709"/>
              </w:tabs>
              <w:spacing w:before="60" w:after="0"/>
              <w:rPr>
                <w:rFonts w:ascii="Arial" w:hAnsi="Arial"/>
                <w:sz w:val="16"/>
                <w:szCs w:val="16"/>
              </w:rPr>
            </w:pPr>
            <w:r w:rsidRPr="00570DF8">
              <w:rPr>
                <w:rFonts w:ascii="Arial" w:hAnsi="Arial"/>
                <w:b/>
                <w:sz w:val="16"/>
                <w:szCs w:val="16"/>
              </w:rPr>
              <w:t>Program 2.8</w:t>
            </w:r>
            <w:r w:rsidRPr="00570DF8">
              <w:rPr>
                <w:rFonts w:ascii="Arial" w:hAnsi="Arial"/>
                <w:sz w:val="16"/>
                <w:szCs w:val="16"/>
              </w:rPr>
              <w:t xml:space="preserve"> </w:t>
            </w:r>
            <w:r w:rsidRPr="00570DF8">
              <w:rPr>
                <w:rFonts w:ascii="Arial" w:hAnsi="Arial"/>
                <w:b/>
                <w:sz w:val="16"/>
                <w:szCs w:val="16"/>
              </w:rPr>
              <w:t>Objective</w:t>
            </w:r>
          </w:p>
          <w:p w14:paraId="09B10295" w14:textId="77777777" w:rsidR="00FF0FC2" w:rsidRPr="00570DF8" w:rsidRDefault="00FF0FC2" w:rsidP="00072EF9">
            <w:pPr>
              <w:tabs>
                <w:tab w:val="left" w:pos="709"/>
              </w:tabs>
              <w:spacing w:before="60" w:after="60"/>
              <w:jc w:val="both"/>
              <w:rPr>
                <w:rFonts w:ascii="Arial" w:hAnsi="Arial"/>
                <w:sz w:val="16"/>
                <w:szCs w:val="16"/>
              </w:rPr>
            </w:pPr>
            <w:r w:rsidRPr="00570DF8">
              <w:rPr>
                <w:rFonts w:ascii="Arial" w:eastAsia="Calibri" w:hAnsi="Arial"/>
                <w:sz w:val="16"/>
                <w:szCs w:val="16"/>
                <w:lang w:val="en-AU" w:eastAsia="en-US"/>
              </w:rPr>
              <w:t>To design, integrate and prepare military capability that meets the current and future requirements of Government, and conduct joint, combined and interagency operations as directed by Government.</w:t>
            </w:r>
          </w:p>
        </w:tc>
      </w:tr>
      <w:tr w:rsidR="00FF0FC2" w:rsidRPr="00CD66E1" w14:paraId="570D7136" w14:textId="77777777" w:rsidTr="003C0162">
        <w:tblPrEx>
          <w:shd w:val="clear" w:color="auto" w:fill="auto"/>
          <w:tblLook w:val="04A0" w:firstRow="1" w:lastRow="0" w:firstColumn="1" w:lastColumn="0" w:noHBand="0" w:noVBand="1"/>
        </w:tblPrEx>
        <w:trPr>
          <w:trHeight w:val="312"/>
        </w:trPr>
        <w:tc>
          <w:tcPr>
            <w:tcW w:w="1799" w:type="dxa"/>
            <w:tcBorders>
              <w:bottom w:val="single" w:sz="4" w:space="0" w:color="auto"/>
            </w:tcBorders>
          </w:tcPr>
          <w:p w14:paraId="7208CCBA" w14:textId="77777777" w:rsidR="00FF0FC2" w:rsidRPr="00570DF8" w:rsidRDefault="00FF0FC2" w:rsidP="00570DF8">
            <w:pPr>
              <w:tabs>
                <w:tab w:val="left" w:pos="709"/>
              </w:tabs>
              <w:spacing w:before="60" w:after="60"/>
              <w:rPr>
                <w:rFonts w:ascii="Arial" w:hAnsi="Arial"/>
                <w:b/>
                <w:color w:val="000000"/>
                <w:sz w:val="16"/>
                <w:szCs w:val="16"/>
              </w:rPr>
            </w:pPr>
            <w:r w:rsidRPr="00570DF8">
              <w:rPr>
                <w:rFonts w:ascii="Arial" w:hAnsi="Arial"/>
                <w:b/>
                <w:color w:val="000000"/>
                <w:sz w:val="16"/>
                <w:szCs w:val="16"/>
              </w:rPr>
              <w:t>Key Activities</w:t>
            </w:r>
          </w:p>
        </w:tc>
        <w:tc>
          <w:tcPr>
            <w:tcW w:w="6554" w:type="dxa"/>
            <w:gridSpan w:val="2"/>
            <w:tcBorders>
              <w:bottom w:val="single" w:sz="4" w:space="0" w:color="auto"/>
            </w:tcBorders>
          </w:tcPr>
          <w:p w14:paraId="56A2FFBE" w14:textId="77777777" w:rsidR="00FF0FC2" w:rsidRPr="00570DF8" w:rsidRDefault="00FF0FC2" w:rsidP="00072EF9">
            <w:pPr>
              <w:tabs>
                <w:tab w:val="left" w:pos="343"/>
              </w:tabs>
              <w:spacing w:before="60" w:after="60"/>
              <w:rPr>
                <w:rFonts w:ascii="Arial" w:hAnsi="Arial"/>
                <w:bCs/>
                <w:color w:val="000000"/>
                <w:sz w:val="16"/>
                <w:szCs w:val="16"/>
                <w:lang w:val="en-AU"/>
              </w:rPr>
            </w:pPr>
            <w:r w:rsidRPr="00570DF8">
              <w:rPr>
                <w:rFonts w:ascii="Arial" w:hAnsi="Arial"/>
                <w:bCs/>
                <w:color w:val="000000"/>
                <w:sz w:val="16"/>
                <w:szCs w:val="16"/>
                <w:lang w:val="en-AU"/>
              </w:rPr>
              <w:t>This program will be achieved through the following activities:</w:t>
            </w:r>
          </w:p>
          <w:p w14:paraId="463A05BF" w14:textId="4CAB5B69" w:rsidR="00FF0FC2" w:rsidRPr="00570DF8" w:rsidRDefault="00FF0FC2" w:rsidP="00072EF9">
            <w:pPr>
              <w:tabs>
                <w:tab w:val="left" w:pos="343"/>
              </w:tabs>
              <w:spacing w:before="60" w:after="60"/>
              <w:rPr>
                <w:rFonts w:ascii="Arial" w:hAnsi="Arial"/>
                <w:bCs/>
                <w:color w:val="000000"/>
                <w:sz w:val="16"/>
                <w:szCs w:val="16"/>
                <w:lang w:val="en-AU"/>
              </w:rPr>
            </w:pPr>
            <w:r w:rsidRPr="00CC337B">
              <w:rPr>
                <w:rFonts w:ascii="Arial" w:hAnsi="Arial"/>
                <w:b/>
                <w:sz w:val="16"/>
                <w:szCs w:val="16"/>
                <w:lang w:val="en-AU"/>
              </w:rPr>
              <w:t xml:space="preserve">1. </w:t>
            </w:r>
            <w:r w:rsidR="00FF0BC7" w:rsidRPr="00CC337B">
              <w:rPr>
                <w:rFonts w:ascii="Arial" w:hAnsi="Arial"/>
                <w:b/>
                <w:sz w:val="16"/>
                <w:szCs w:val="16"/>
                <w:lang w:val="en-AU"/>
              </w:rPr>
              <w:t>Conduct operations and deployments to defend Australia and its national interests.</w:t>
            </w:r>
            <w:r w:rsidRPr="00CC337B">
              <w:t xml:space="preserve"> </w:t>
            </w:r>
            <w:r w:rsidRPr="00CC337B">
              <w:rPr>
                <w:rFonts w:ascii="Arial" w:hAnsi="Arial"/>
                <w:color w:val="000000"/>
                <w:sz w:val="16"/>
                <w:szCs w:val="16"/>
                <w:lang w:val="en-AU"/>
              </w:rPr>
              <w:t>Defence</w:t>
            </w:r>
            <w:r w:rsidRPr="00570DF8">
              <w:rPr>
                <w:rFonts w:ascii="Arial" w:hAnsi="Arial"/>
                <w:color w:val="000000"/>
                <w:sz w:val="16"/>
                <w:szCs w:val="16"/>
                <w:lang w:val="en-AU"/>
              </w:rPr>
              <w:t xml:space="preserve"> conducts operations and deployments both within Australia and overseas, in accordance with direction from the Government. When required, Defence responds with military force to defend Australia and its national interests. Defence also works in close collaboration with our international partners and federal, state and territory governments to support our response to crises and disasters at home and abroad.</w:t>
            </w:r>
          </w:p>
          <w:p w14:paraId="3AFB558A" w14:textId="77777777" w:rsidR="00FF0FC2" w:rsidRPr="00570DF8" w:rsidRDefault="00FF0FC2" w:rsidP="00072EF9">
            <w:pPr>
              <w:tabs>
                <w:tab w:val="left" w:pos="343"/>
              </w:tabs>
              <w:spacing w:before="60" w:after="60"/>
              <w:rPr>
                <w:rFonts w:ascii="Arial" w:hAnsi="Arial"/>
                <w:i/>
                <w:color w:val="000000"/>
                <w:sz w:val="16"/>
                <w:szCs w:val="16"/>
              </w:rPr>
            </w:pPr>
            <w:r w:rsidRPr="00570DF8">
              <w:rPr>
                <w:rFonts w:ascii="Arial" w:hAnsi="Arial"/>
                <w:b/>
                <w:sz w:val="16"/>
                <w:szCs w:val="16"/>
                <w:lang w:val="en-AU"/>
              </w:rPr>
              <w:t>6. Deliver future capability</w:t>
            </w:r>
            <w:r w:rsidRPr="00570DF8">
              <w:rPr>
                <w:rFonts w:ascii="Arial" w:hAnsi="Arial"/>
                <w:sz w:val="16"/>
                <w:szCs w:val="16"/>
                <w:lang w:val="en-AU"/>
              </w:rPr>
              <w:t xml:space="preserve">. </w:t>
            </w:r>
            <w:r w:rsidRPr="00570DF8">
              <w:rPr>
                <w:rFonts w:ascii="Arial" w:hAnsi="Arial"/>
                <w:sz w:val="16"/>
                <w:szCs w:val="16"/>
              </w:rPr>
              <w:t>Defence will accelerate the development of important capabilities over the next decade to build an integrated, focused force across the maritime, land, air, space and cyber domains. This will ensure the Australian Defence Force has the capacity to defend Australia and its national interests in our evolving strategic circumstances and deter adversaries through a strategy of denial.</w:t>
            </w:r>
          </w:p>
        </w:tc>
      </w:tr>
      <w:tr w:rsidR="00FF0FC2" w:rsidRPr="00570DF8" w14:paraId="643FBB92" w14:textId="77777777" w:rsidTr="003C0162">
        <w:tblPrEx>
          <w:shd w:val="clear" w:color="auto" w:fill="auto"/>
          <w:tblLook w:val="04A0" w:firstRow="1" w:lastRow="0" w:firstColumn="1" w:lastColumn="0" w:noHBand="0" w:noVBand="1"/>
        </w:tblPrEx>
        <w:trPr>
          <w:trHeight w:val="100"/>
        </w:trPr>
        <w:tc>
          <w:tcPr>
            <w:tcW w:w="1799" w:type="dxa"/>
            <w:tcBorders>
              <w:top w:val="single" w:sz="4" w:space="0" w:color="auto"/>
              <w:bottom w:val="single" w:sz="4" w:space="0" w:color="auto"/>
              <w:right w:val="single" w:sz="4" w:space="0" w:color="auto"/>
            </w:tcBorders>
          </w:tcPr>
          <w:p w14:paraId="39BD1BE7" w14:textId="77777777" w:rsidR="00FF0FC2" w:rsidRPr="00570DF8" w:rsidRDefault="00FF0FC2" w:rsidP="00072EF9">
            <w:pPr>
              <w:tabs>
                <w:tab w:val="left" w:pos="709"/>
              </w:tabs>
              <w:spacing w:before="60" w:after="60"/>
              <w:rPr>
                <w:rFonts w:ascii="Arial" w:hAnsi="Arial"/>
                <w:color w:val="000000"/>
                <w:sz w:val="16"/>
                <w:szCs w:val="16"/>
              </w:rPr>
            </w:pPr>
            <w:r w:rsidRPr="00570DF8">
              <w:rPr>
                <w:rFonts w:ascii="Arial" w:hAnsi="Arial"/>
                <w:b/>
                <w:color w:val="000000"/>
                <w:sz w:val="16"/>
                <w:szCs w:val="16"/>
              </w:rPr>
              <w:t>Year</w:t>
            </w:r>
          </w:p>
        </w:tc>
        <w:tc>
          <w:tcPr>
            <w:tcW w:w="3174" w:type="dxa"/>
            <w:tcBorders>
              <w:top w:val="single" w:sz="4" w:space="0" w:color="auto"/>
              <w:left w:val="single" w:sz="4" w:space="0" w:color="auto"/>
              <w:bottom w:val="single" w:sz="4" w:space="0" w:color="auto"/>
              <w:right w:val="single" w:sz="4" w:space="0" w:color="auto"/>
            </w:tcBorders>
          </w:tcPr>
          <w:p w14:paraId="26E44D5A" w14:textId="77777777" w:rsidR="00FF0FC2" w:rsidRPr="00570DF8" w:rsidRDefault="00FF0FC2" w:rsidP="00072EF9">
            <w:pPr>
              <w:tabs>
                <w:tab w:val="left" w:pos="709"/>
              </w:tabs>
              <w:spacing w:before="60" w:after="60"/>
              <w:rPr>
                <w:rFonts w:ascii="Arial" w:hAnsi="Arial"/>
                <w:color w:val="000000"/>
              </w:rPr>
            </w:pPr>
            <w:r w:rsidRPr="00570DF8">
              <w:rPr>
                <w:rFonts w:ascii="Arial" w:hAnsi="Arial"/>
                <w:b/>
                <w:color w:val="000000"/>
                <w:sz w:val="16"/>
                <w:szCs w:val="16"/>
              </w:rPr>
              <w:t>Performance measures</w:t>
            </w:r>
          </w:p>
        </w:tc>
        <w:tc>
          <w:tcPr>
            <w:tcW w:w="3380" w:type="dxa"/>
            <w:tcBorders>
              <w:top w:val="single" w:sz="4" w:space="0" w:color="auto"/>
              <w:left w:val="single" w:sz="4" w:space="0" w:color="auto"/>
              <w:bottom w:val="single" w:sz="4" w:space="0" w:color="auto"/>
            </w:tcBorders>
          </w:tcPr>
          <w:p w14:paraId="1F7846C5" w14:textId="77777777" w:rsidR="00FF0FC2" w:rsidRPr="00570DF8" w:rsidRDefault="00FF0FC2" w:rsidP="00072EF9">
            <w:pPr>
              <w:tabs>
                <w:tab w:val="left" w:pos="709"/>
              </w:tabs>
              <w:spacing w:before="60" w:after="60"/>
              <w:rPr>
                <w:rFonts w:ascii="Arial" w:hAnsi="Arial"/>
                <w:i/>
                <w:color w:val="000000"/>
                <w:sz w:val="16"/>
                <w:szCs w:val="16"/>
              </w:rPr>
            </w:pPr>
            <w:r w:rsidRPr="00570DF8">
              <w:rPr>
                <w:rFonts w:ascii="Arial" w:hAnsi="Arial"/>
                <w:b/>
                <w:color w:val="000000"/>
                <w:sz w:val="16"/>
                <w:szCs w:val="16"/>
              </w:rPr>
              <w:t>Expected Performance Results</w:t>
            </w:r>
          </w:p>
        </w:tc>
      </w:tr>
      <w:tr w:rsidR="00570DF8" w:rsidRPr="00570DF8" w14:paraId="79FC42D7" w14:textId="77777777" w:rsidTr="003C0162">
        <w:tblPrEx>
          <w:shd w:val="clear" w:color="auto" w:fill="auto"/>
          <w:tblLook w:val="04A0" w:firstRow="1" w:lastRow="0" w:firstColumn="1" w:lastColumn="0" w:noHBand="0" w:noVBand="1"/>
        </w:tblPrEx>
        <w:trPr>
          <w:trHeight w:val="470"/>
        </w:trPr>
        <w:tc>
          <w:tcPr>
            <w:tcW w:w="1799" w:type="dxa"/>
            <w:vMerge w:val="restart"/>
            <w:tcBorders>
              <w:top w:val="single" w:sz="4" w:space="0" w:color="auto"/>
              <w:right w:val="single" w:sz="4" w:space="0" w:color="auto"/>
            </w:tcBorders>
          </w:tcPr>
          <w:p w14:paraId="7C0BBF3B" w14:textId="77777777" w:rsidR="00570DF8" w:rsidRPr="00570DF8" w:rsidRDefault="00570DF8" w:rsidP="00570DF8">
            <w:pPr>
              <w:tabs>
                <w:tab w:val="left" w:pos="709"/>
              </w:tabs>
              <w:spacing w:before="60" w:after="60"/>
              <w:rPr>
                <w:rFonts w:ascii="Arial" w:hAnsi="Arial"/>
                <w:color w:val="000000"/>
                <w:sz w:val="16"/>
                <w:szCs w:val="16"/>
              </w:rPr>
            </w:pPr>
            <w:r w:rsidRPr="00570DF8">
              <w:rPr>
                <w:rFonts w:ascii="Arial" w:hAnsi="Arial"/>
                <w:color w:val="000000"/>
                <w:sz w:val="16"/>
                <w:szCs w:val="16"/>
              </w:rPr>
              <w:t>Current Year</w:t>
            </w:r>
          </w:p>
          <w:p w14:paraId="69B4298D" w14:textId="77777777" w:rsidR="00570DF8" w:rsidRPr="00570DF8" w:rsidRDefault="00570DF8" w:rsidP="00570DF8">
            <w:pPr>
              <w:tabs>
                <w:tab w:val="left" w:pos="709"/>
              </w:tabs>
              <w:spacing w:before="0" w:after="60"/>
              <w:rPr>
                <w:rFonts w:ascii="Arial" w:hAnsi="Arial"/>
                <w:color w:val="000000"/>
                <w:sz w:val="16"/>
                <w:szCs w:val="16"/>
              </w:rPr>
            </w:pPr>
            <w:r w:rsidRPr="00570DF8">
              <w:rPr>
                <w:rFonts w:ascii="Arial" w:hAnsi="Arial"/>
                <w:color w:val="000000"/>
                <w:sz w:val="16"/>
                <w:szCs w:val="16"/>
              </w:rPr>
              <w:t>2024-25</w:t>
            </w:r>
            <w:r>
              <w:rPr>
                <w:rFonts w:ascii="Arial" w:hAnsi="Arial"/>
                <w:color w:val="000000"/>
                <w:sz w:val="16"/>
                <w:szCs w:val="16"/>
              </w:rPr>
              <w:t xml:space="preserve"> </w:t>
            </w:r>
            <w:r w:rsidRPr="00570DF8">
              <w:rPr>
                <w:rFonts w:ascii="Arial" w:hAnsi="Arial"/>
                <w:color w:val="000000"/>
                <w:sz w:val="16"/>
                <w:szCs w:val="16"/>
                <w:vertAlign w:val="superscript"/>
              </w:rPr>
              <w:t>[a]</w:t>
            </w:r>
          </w:p>
        </w:tc>
        <w:tc>
          <w:tcPr>
            <w:tcW w:w="3174" w:type="dxa"/>
            <w:tcBorders>
              <w:top w:val="single" w:sz="4" w:space="0" w:color="auto"/>
              <w:left w:val="single" w:sz="4" w:space="0" w:color="auto"/>
              <w:bottom w:val="dotted" w:sz="4" w:space="0" w:color="auto"/>
              <w:right w:val="single" w:sz="4" w:space="0" w:color="auto"/>
            </w:tcBorders>
          </w:tcPr>
          <w:p w14:paraId="3FAAEE73" w14:textId="4436E289" w:rsidR="00570DF8" w:rsidRPr="00570DF8" w:rsidRDefault="00F10ED5" w:rsidP="00570DF8">
            <w:pPr>
              <w:tabs>
                <w:tab w:val="left" w:pos="709"/>
              </w:tabs>
              <w:spacing w:before="60" w:after="60"/>
              <w:rPr>
                <w:rFonts w:ascii="Arial" w:hAnsi="Arial"/>
                <w:color w:val="000000"/>
                <w:sz w:val="16"/>
                <w:szCs w:val="16"/>
              </w:rPr>
            </w:pPr>
            <w:r w:rsidRPr="00F10ED5">
              <w:rPr>
                <w:rFonts w:ascii="Arial" w:hAnsi="Arial"/>
                <w:sz w:val="16"/>
                <w:szCs w:val="16"/>
                <w:lang w:val="en-AU"/>
              </w:rPr>
              <w:t>1.1: Defence maintains ready forces, plans and conducts operations, activities and investments as directed by Government to achieve Defence’s strategic objectives.</w:t>
            </w:r>
          </w:p>
        </w:tc>
        <w:tc>
          <w:tcPr>
            <w:tcW w:w="3380" w:type="dxa"/>
            <w:tcBorders>
              <w:top w:val="single" w:sz="4" w:space="0" w:color="auto"/>
              <w:left w:val="single" w:sz="4" w:space="0" w:color="auto"/>
              <w:bottom w:val="dotted" w:sz="4" w:space="0" w:color="auto"/>
            </w:tcBorders>
          </w:tcPr>
          <w:p w14:paraId="1B8A7EA8" w14:textId="77777777" w:rsidR="00570DF8" w:rsidRPr="00F10ED5" w:rsidRDefault="00570DF8" w:rsidP="00002F5C">
            <w:pPr>
              <w:tabs>
                <w:tab w:val="left" w:pos="709"/>
              </w:tabs>
              <w:spacing w:before="60" w:after="60"/>
              <w:rPr>
                <w:rFonts w:ascii="Arial" w:hAnsi="Arial"/>
                <w:sz w:val="16"/>
                <w:szCs w:val="16"/>
                <w:lang w:val="en-AU"/>
              </w:rPr>
            </w:pPr>
            <w:r w:rsidRPr="00F10ED5">
              <w:rPr>
                <w:rFonts w:ascii="Arial" w:hAnsi="Arial"/>
                <w:sz w:val="16"/>
                <w:szCs w:val="16"/>
                <w:lang w:val="en-AU"/>
              </w:rPr>
              <w:t>Defence responds to Australian Government requirements and conducts operations as directed. This will change year on year.</w:t>
            </w:r>
          </w:p>
          <w:p w14:paraId="2B29B472" w14:textId="263655FA" w:rsidR="00570DF8" w:rsidRPr="00F10ED5" w:rsidRDefault="00F10ED5" w:rsidP="00570DF8">
            <w:pPr>
              <w:tabs>
                <w:tab w:val="left" w:pos="709"/>
              </w:tabs>
              <w:spacing w:before="0" w:after="60"/>
              <w:jc w:val="right"/>
              <w:rPr>
                <w:rFonts w:ascii="Arial" w:hAnsi="Arial"/>
                <w:i/>
                <w:color w:val="000000"/>
                <w:sz w:val="16"/>
                <w:szCs w:val="16"/>
              </w:rPr>
            </w:pPr>
            <w:r w:rsidRPr="00F10ED5">
              <w:rPr>
                <w:rFonts w:ascii="Arial" w:hAnsi="Arial"/>
                <w:i/>
                <w:sz w:val="16"/>
                <w:szCs w:val="16"/>
                <w:lang w:val="en-AU"/>
              </w:rPr>
              <w:t>Expected to be achieved</w:t>
            </w:r>
            <w:r w:rsidR="00570DF8" w:rsidRPr="00F10ED5">
              <w:rPr>
                <w:rFonts w:ascii="Arial" w:hAnsi="Arial"/>
                <w:i/>
                <w:sz w:val="16"/>
                <w:szCs w:val="16"/>
                <w:lang w:val="en-AU"/>
              </w:rPr>
              <w:t>.</w:t>
            </w:r>
          </w:p>
        </w:tc>
      </w:tr>
      <w:tr w:rsidR="00570DF8" w:rsidRPr="00570DF8" w14:paraId="441D979D" w14:textId="77777777" w:rsidTr="0004322A">
        <w:tblPrEx>
          <w:shd w:val="clear" w:color="auto" w:fill="auto"/>
          <w:tblLook w:val="04A0" w:firstRow="1" w:lastRow="0" w:firstColumn="1" w:lastColumn="0" w:noHBand="0" w:noVBand="1"/>
        </w:tblPrEx>
        <w:trPr>
          <w:trHeight w:val="470"/>
        </w:trPr>
        <w:tc>
          <w:tcPr>
            <w:tcW w:w="1799" w:type="dxa"/>
            <w:vMerge/>
            <w:tcBorders>
              <w:right w:val="single" w:sz="4" w:space="0" w:color="auto"/>
            </w:tcBorders>
          </w:tcPr>
          <w:p w14:paraId="5D9D329B" w14:textId="77777777" w:rsidR="00570DF8" w:rsidRPr="00570DF8" w:rsidRDefault="00570DF8" w:rsidP="00570DF8">
            <w:pPr>
              <w:tabs>
                <w:tab w:val="left" w:pos="709"/>
              </w:tabs>
              <w:spacing w:before="60" w:after="60"/>
              <w:rPr>
                <w:rFonts w:ascii="Arial" w:hAnsi="Arial"/>
                <w:color w:val="000000"/>
                <w:sz w:val="16"/>
                <w:szCs w:val="16"/>
              </w:rPr>
            </w:pPr>
          </w:p>
        </w:tc>
        <w:tc>
          <w:tcPr>
            <w:tcW w:w="3174" w:type="dxa"/>
            <w:tcBorders>
              <w:top w:val="dotted" w:sz="4" w:space="0" w:color="auto"/>
              <w:left w:val="single" w:sz="4" w:space="0" w:color="auto"/>
              <w:bottom w:val="dotted" w:sz="4" w:space="0" w:color="auto"/>
              <w:right w:val="single" w:sz="4" w:space="0" w:color="auto"/>
            </w:tcBorders>
          </w:tcPr>
          <w:p w14:paraId="72AB51ED" w14:textId="77777777" w:rsidR="00570DF8" w:rsidRPr="00570DF8" w:rsidRDefault="00570DF8" w:rsidP="00570DF8">
            <w:pPr>
              <w:tabs>
                <w:tab w:val="left" w:pos="709"/>
              </w:tabs>
              <w:spacing w:before="60" w:after="60"/>
              <w:rPr>
                <w:rFonts w:ascii="Arial" w:hAnsi="Arial"/>
                <w:color w:val="000000"/>
                <w:sz w:val="16"/>
                <w:szCs w:val="16"/>
              </w:rPr>
            </w:pPr>
            <w:r w:rsidRPr="00570DF8">
              <w:rPr>
                <w:rFonts w:ascii="Arial" w:hAnsi="Arial"/>
                <w:sz w:val="16"/>
                <w:szCs w:val="16"/>
                <w:lang w:val="en-AU"/>
              </w:rPr>
              <w:t>1.2: Defence commits ADF and/or APS assistance to domestic crisis and emergency response, as directed by Government.</w:t>
            </w:r>
          </w:p>
        </w:tc>
        <w:tc>
          <w:tcPr>
            <w:tcW w:w="3380" w:type="dxa"/>
            <w:tcBorders>
              <w:top w:val="dotted" w:sz="4" w:space="0" w:color="auto"/>
              <w:left w:val="single" w:sz="4" w:space="0" w:color="auto"/>
              <w:bottom w:val="dotted" w:sz="4" w:space="0" w:color="auto"/>
            </w:tcBorders>
          </w:tcPr>
          <w:p w14:paraId="3172E756" w14:textId="77777777" w:rsidR="00570DF8" w:rsidRPr="00F10ED5" w:rsidRDefault="00570DF8" w:rsidP="00570DF8">
            <w:pPr>
              <w:tabs>
                <w:tab w:val="left" w:pos="709"/>
              </w:tabs>
              <w:spacing w:before="60" w:after="60"/>
              <w:rPr>
                <w:rFonts w:ascii="Arial" w:hAnsi="Arial"/>
                <w:sz w:val="16"/>
                <w:szCs w:val="16"/>
                <w:lang w:val="en-AU"/>
              </w:rPr>
            </w:pPr>
            <w:r w:rsidRPr="00F10ED5">
              <w:rPr>
                <w:rFonts w:ascii="Arial" w:hAnsi="Arial"/>
                <w:sz w:val="16"/>
                <w:szCs w:val="16"/>
                <w:lang w:val="en-AU"/>
              </w:rPr>
              <w:t>Defence responds to Australian Government direction as required. This will change year on year.</w:t>
            </w:r>
          </w:p>
          <w:p w14:paraId="202199FF" w14:textId="31801549" w:rsidR="00570DF8" w:rsidRPr="00F10ED5" w:rsidRDefault="00F10ED5" w:rsidP="00570DF8">
            <w:pPr>
              <w:tabs>
                <w:tab w:val="left" w:pos="709"/>
              </w:tabs>
              <w:spacing w:before="60" w:after="60"/>
              <w:jc w:val="right"/>
              <w:rPr>
                <w:rFonts w:ascii="Arial" w:hAnsi="Arial"/>
                <w:color w:val="000000"/>
                <w:sz w:val="16"/>
                <w:szCs w:val="16"/>
              </w:rPr>
            </w:pPr>
            <w:r w:rsidRPr="00F10ED5">
              <w:rPr>
                <w:rFonts w:ascii="Arial" w:hAnsi="Arial"/>
                <w:i/>
                <w:sz w:val="16"/>
                <w:szCs w:val="16"/>
                <w:lang w:val="en-AU"/>
              </w:rPr>
              <w:t>Expected to be achieved</w:t>
            </w:r>
            <w:r w:rsidR="00570DF8" w:rsidRPr="00F10ED5">
              <w:rPr>
                <w:rFonts w:ascii="Arial" w:hAnsi="Arial"/>
                <w:i/>
                <w:sz w:val="16"/>
                <w:szCs w:val="16"/>
                <w:lang w:val="en-AU"/>
              </w:rPr>
              <w:t>.</w:t>
            </w:r>
          </w:p>
        </w:tc>
      </w:tr>
      <w:tr w:rsidR="00570DF8" w:rsidRPr="00570DF8" w14:paraId="53596542" w14:textId="77777777" w:rsidTr="003C0162">
        <w:tblPrEx>
          <w:shd w:val="clear" w:color="auto" w:fill="auto"/>
          <w:tblLook w:val="04A0" w:firstRow="1" w:lastRow="0" w:firstColumn="1" w:lastColumn="0" w:noHBand="0" w:noVBand="1"/>
        </w:tblPrEx>
        <w:trPr>
          <w:trHeight w:val="470"/>
        </w:trPr>
        <w:tc>
          <w:tcPr>
            <w:tcW w:w="1799" w:type="dxa"/>
            <w:vMerge/>
            <w:tcBorders>
              <w:bottom w:val="single" w:sz="4" w:space="0" w:color="auto"/>
              <w:right w:val="single" w:sz="4" w:space="0" w:color="auto"/>
            </w:tcBorders>
          </w:tcPr>
          <w:p w14:paraId="3E4E42EB" w14:textId="77777777" w:rsidR="00570DF8" w:rsidRPr="00570DF8" w:rsidRDefault="00570DF8" w:rsidP="00570DF8">
            <w:pPr>
              <w:tabs>
                <w:tab w:val="left" w:pos="709"/>
              </w:tabs>
              <w:spacing w:before="60" w:after="60"/>
              <w:rPr>
                <w:rFonts w:ascii="Arial" w:hAnsi="Arial"/>
                <w:color w:val="000000"/>
                <w:sz w:val="16"/>
                <w:szCs w:val="16"/>
              </w:rPr>
            </w:pPr>
          </w:p>
        </w:tc>
        <w:tc>
          <w:tcPr>
            <w:tcW w:w="3174" w:type="dxa"/>
            <w:tcBorders>
              <w:top w:val="dotted" w:sz="4" w:space="0" w:color="auto"/>
              <w:left w:val="single" w:sz="4" w:space="0" w:color="auto"/>
              <w:bottom w:val="single" w:sz="4" w:space="0" w:color="auto"/>
              <w:right w:val="single" w:sz="4" w:space="0" w:color="auto"/>
            </w:tcBorders>
          </w:tcPr>
          <w:p w14:paraId="5B6A05E4" w14:textId="77777777" w:rsidR="00570DF8" w:rsidRPr="00570DF8" w:rsidRDefault="00570DF8" w:rsidP="00002F5C">
            <w:pPr>
              <w:tabs>
                <w:tab w:val="left" w:pos="709"/>
              </w:tabs>
              <w:spacing w:before="60" w:after="60"/>
              <w:rPr>
                <w:rFonts w:ascii="Arial" w:hAnsi="Arial"/>
                <w:color w:val="000000"/>
                <w:sz w:val="16"/>
                <w:szCs w:val="16"/>
              </w:rPr>
            </w:pPr>
            <w:r w:rsidRPr="00570DF8">
              <w:rPr>
                <w:rFonts w:ascii="Arial" w:hAnsi="Arial"/>
                <w:sz w:val="16"/>
                <w:szCs w:val="16"/>
                <w:lang w:val="en-AU"/>
              </w:rPr>
              <w:t xml:space="preserve">6.1: Defence is delivering the right future capability at the right time within the Integrated Investment Program to ensure it is equipped to respond to future security challenges as directed by the </w:t>
            </w:r>
            <w:r w:rsidRPr="00002F5C">
              <w:rPr>
                <w:rFonts w:ascii="Arial" w:hAnsi="Arial"/>
                <w:i/>
                <w:sz w:val="16"/>
                <w:szCs w:val="16"/>
                <w:lang w:val="en-AU"/>
              </w:rPr>
              <w:t>2024 National Defence Strategy</w:t>
            </w:r>
            <w:r w:rsidRPr="00570DF8">
              <w:rPr>
                <w:rFonts w:ascii="Arial" w:hAnsi="Arial"/>
                <w:sz w:val="16"/>
                <w:szCs w:val="16"/>
                <w:lang w:val="en-AU"/>
              </w:rPr>
              <w:t>.</w:t>
            </w:r>
          </w:p>
        </w:tc>
        <w:tc>
          <w:tcPr>
            <w:tcW w:w="3380" w:type="dxa"/>
            <w:tcBorders>
              <w:top w:val="dotted" w:sz="4" w:space="0" w:color="auto"/>
              <w:left w:val="single" w:sz="4" w:space="0" w:color="auto"/>
              <w:bottom w:val="single" w:sz="4" w:space="0" w:color="auto"/>
            </w:tcBorders>
          </w:tcPr>
          <w:p w14:paraId="0D70D179" w14:textId="77777777" w:rsidR="00570DF8" w:rsidRPr="00F10ED5" w:rsidRDefault="00570DF8" w:rsidP="00570DF8">
            <w:pPr>
              <w:tabs>
                <w:tab w:val="left" w:pos="709"/>
              </w:tabs>
              <w:spacing w:before="60" w:after="60"/>
              <w:rPr>
                <w:rFonts w:ascii="Arial" w:hAnsi="Arial"/>
                <w:sz w:val="16"/>
                <w:szCs w:val="16"/>
                <w:lang w:val="en-AU"/>
              </w:rPr>
            </w:pPr>
            <w:r w:rsidRPr="00F10ED5">
              <w:rPr>
                <w:rFonts w:ascii="Arial" w:hAnsi="Arial"/>
                <w:sz w:val="16"/>
                <w:szCs w:val="16"/>
                <w:lang w:val="en-AU"/>
              </w:rPr>
              <w:t>80 per cent or more of approved Integrated Investment Program projects across all domains are on track to deliver the scope approved by Government within Government approved cost and schedule.</w:t>
            </w:r>
          </w:p>
          <w:p w14:paraId="3C20DA09" w14:textId="2421FE84" w:rsidR="00570DF8" w:rsidRPr="00F10ED5" w:rsidRDefault="00F10ED5" w:rsidP="00570DF8">
            <w:pPr>
              <w:tabs>
                <w:tab w:val="left" w:pos="709"/>
              </w:tabs>
              <w:spacing w:before="60" w:after="60"/>
              <w:jc w:val="right"/>
              <w:rPr>
                <w:rFonts w:ascii="Arial" w:hAnsi="Arial"/>
                <w:sz w:val="16"/>
                <w:szCs w:val="16"/>
              </w:rPr>
            </w:pPr>
            <w:r w:rsidRPr="00F10ED5">
              <w:rPr>
                <w:rFonts w:ascii="Arial" w:hAnsi="Arial"/>
                <w:i/>
                <w:sz w:val="16"/>
                <w:szCs w:val="16"/>
                <w:lang w:val="en-AU"/>
              </w:rPr>
              <w:t>Expected to be substantially achieved</w:t>
            </w:r>
            <w:r w:rsidR="00570DF8" w:rsidRPr="00F10ED5">
              <w:rPr>
                <w:rFonts w:ascii="Arial" w:hAnsi="Arial"/>
                <w:i/>
                <w:sz w:val="16"/>
                <w:szCs w:val="16"/>
                <w:lang w:val="en-AU"/>
              </w:rPr>
              <w:t>.</w:t>
            </w:r>
          </w:p>
        </w:tc>
      </w:tr>
      <w:tr w:rsidR="0004322A" w:rsidRPr="00570DF8" w14:paraId="02BFCD4D" w14:textId="77777777" w:rsidTr="003C0162">
        <w:tblPrEx>
          <w:shd w:val="clear" w:color="auto" w:fill="auto"/>
          <w:tblLook w:val="04A0" w:firstRow="1" w:lastRow="0" w:firstColumn="1" w:lastColumn="0" w:noHBand="0" w:noVBand="1"/>
        </w:tblPrEx>
        <w:trPr>
          <w:trHeight w:val="258"/>
        </w:trPr>
        <w:tc>
          <w:tcPr>
            <w:tcW w:w="1799" w:type="dxa"/>
            <w:tcBorders>
              <w:top w:val="single" w:sz="4" w:space="0" w:color="auto"/>
              <w:bottom w:val="single" w:sz="4" w:space="0" w:color="auto"/>
              <w:right w:val="single" w:sz="4" w:space="0" w:color="auto"/>
            </w:tcBorders>
          </w:tcPr>
          <w:p w14:paraId="278E7496" w14:textId="77777777" w:rsidR="0004322A" w:rsidRPr="00570DF8" w:rsidRDefault="0004322A" w:rsidP="0004322A">
            <w:pPr>
              <w:tabs>
                <w:tab w:val="left" w:pos="709"/>
              </w:tabs>
              <w:spacing w:before="60" w:after="60"/>
              <w:rPr>
                <w:rFonts w:ascii="Arial" w:hAnsi="Arial"/>
                <w:b/>
                <w:color w:val="000000"/>
                <w:sz w:val="16"/>
                <w:szCs w:val="16"/>
              </w:rPr>
            </w:pPr>
            <w:r w:rsidRPr="00570DF8">
              <w:rPr>
                <w:rFonts w:ascii="Arial" w:hAnsi="Arial"/>
                <w:b/>
                <w:color w:val="000000"/>
                <w:sz w:val="16"/>
                <w:szCs w:val="16"/>
              </w:rPr>
              <w:t>Year</w:t>
            </w:r>
          </w:p>
        </w:tc>
        <w:tc>
          <w:tcPr>
            <w:tcW w:w="3174" w:type="dxa"/>
            <w:tcBorders>
              <w:top w:val="single" w:sz="4" w:space="0" w:color="auto"/>
              <w:left w:val="single" w:sz="4" w:space="0" w:color="auto"/>
              <w:bottom w:val="single" w:sz="4" w:space="0" w:color="auto"/>
              <w:right w:val="single" w:sz="4" w:space="0" w:color="auto"/>
            </w:tcBorders>
          </w:tcPr>
          <w:p w14:paraId="1F1B6FA4" w14:textId="77777777" w:rsidR="0004322A" w:rsidRPr="00570DF8" w:rsidRDefault="0004322A" w:rsidP="0004322A">
            <w:pPr>
              <w:tabs>
                <w:tab w:val="left" w:pos="709"/>
                <w:tab w:val="center" w:pos="1818"/>
              </w:tabs>
              <w:spacing w:before="60" w:after="60"/>
              <w:rPr>
                <w:rFonts w:ascii="Arial" w:hAnsi="Arial"/>
                <w:b/>
                <w:color w:val="000000"/>
                <w:sz w:val="16"/>
                <w:szCs w:val="16"/>
              </w:rPr>
            </w:pPr>
            <w:r w:rsidRPr="00570DF8">
              <w:rPr>
                <w:rFonts w:ascii="Arial" w:hAnsi="Arial"/>
                <w:b/>
                <w:color w:val="000000"/>
                <w:sz w:val="16"/>
                <w:szCs w:val="16"/>
              </w:rPr>
              <w:t>Performance measures</w:t>
            </w:r>
          </w:p>
        </w:tc>
        <w:tc>
          <w:tcPr>
            <w:tcW w:w="3380" w:type="dxa"/>
            <w:tcBorders>
              <w:top w:val="single" w:sz="4" w:space="0" w:color="auto"/>
              <w:left w:val="single" w:sz="4" w:space="0" w:color="auto"/>
              <w:bottom w:val="single" w:sz="4" w:space="0" w:color="auto"/>
            </w:tcBorders>
          </w:tcPr>
          <w:p w14:paraId="7A96B58D" w14:textId="77777777" w:rsidR="0004322A" w:rsidRPr="00570DF8" w:rsidRDefault="0004322A" w:rsidP="0004322A">
            <w:pPr>
              <w:tabs>
                <w:tab w:val="left" w:pos="709"/>
              </w:tabs>
              <w:spacing w:before="60" w:after="60"/>
              <w:rPr>
                <w:rFonts w:ascii="Arial" w:hAnsi="Arial"/>
                <w:b/>
                <w:color w:val="000000"/>
                <w:sz w:val="16"/>
                <w:szCs w:val="16"/>
              </w:rPr>
            </w:pPr>
            <w:r w:rsidRPr="00570DF8">
              <w:rPr>
                <w:rFonts w:ascii="Arial" w:hAnsi="Arial"/>
                <w:b/>
                <w:color w:val="000000"/>
                <w:sz w:val="16"/>
                <w:szCs w:val="16"/>
              </w:rPr>
              <w:t>Planned Performance Results</w:t>
            </w:r>
          </w:p>
        </w:tc>
      </w:tr>
      <w:tr w:rsidR="00F10ED5" w:rsidRPr="00CD66E1" w14:paraId="6ACAC019" w14:textId="77777777" w:rsidTr="002A38F6">
        <w:tblPrEx>
          <w:shd w:val="clear" w:color="auto" w:fill="auto"/>
          <w:tblLook w:val="04A0" w:firstRow="1" w:lastRow="0" w:firstColumn="1" w:lastColumn="0" w:noHBand="0" w:noVBand="1"/>
        </w:tblPrEx>
        <w:trPr>
          <w:trHeight w:val="642"/>
        </w:trPr>
        <w:tc>
          <w:tcPr>
            <w:tcW w:w="1799" w:type="dxa"/>
            <w:vMerge w:val="restart"/>
            <w:tcBorders>
              <w:top w:val="single" w:sz="4" w:space="0" w:color="auto"/>
              <w:bottom w:val="double" w:sz="4" w:space="0" w:color="auto"/>
              <w:right w:val="single" w:sz="4" w:space="0" w:color="auto"/>
            </w:tcBorders>
          </w:tcPr>
          <w:p w14:paraId="1333A5D1" w14:textId="77777777" w:rsidR="00F10ED5" w:rsidRPr="00570DF8" w:rsidRDefault="00F10ED5" w:rsidP="00F10ED5">
            <w:pPr>
              <w:tabs>
                <w:tab w:val="left" w:pos="709"/>
              </w:tabs>
              <w:spacing w:before="60" w:after="60"/>
              <w:rPr>
                <w:rFonts w:ascii="Arial" w:hAnsi="Arial"/>
                <w:color w:val="000000"/>
                <w:sz w:val="16"/>
                <w:szCs w:val="16"/>
              </w:rPr>
            </w:pPr>
            <w:r w:rsidRPr="00570DF8">
              <w:rPr>
                <w:rFonts w:ascii="Arial" w:hAnsi="Arial"/>
                <w:color w:val="000000"/>
                <w:sz w:val="16"/>
                <w:szCs w:val="16"/>
              </w:rPr>
              <w:t>Budget Year</w:t>
            </w:r>
          </w:p>
          <w:p w14:paraId="3F6D082A" w14:textId="77777777" w:rsidR="00F10ED5" w:rsidRPr="00570DF8" w:rsidRDefault="00F10ED5" w:rsidP="00F10ED5">
            <w:pPr>
              <w:tabs>
                <w:tab w:val="left" w:pos="709"/>
              </w:tabs>
              <w:spacing w:before="0" w:after="60"/>
              <w:rPr>
                <w:rFonts w:ascii="Arial" w:hAnsi="Arial"/>
                <w:color w:val="000000"/>
                <w:sz w:val="16"/>
                <w:szCs w:val="16"/>
              </w:rPr>
            </w:pPr>
            <w:r w:rsidRPr="00570DF8">
              <w:rPr>
                <w:rFonts w:ascii="Arial" w:hAnsi="Arial"/>
                <w:color w:val="000000"/>
                <w:sz w:val="16"/>
                <w:szCs w:val="16"/>
              </w:rPr>
              <w:t>2025-26</w:t>
            </w:r>
            <w:r>
              <w:rPr>
                <w:rFonts w:ascii="Arial" w:hAnsi="Arial"/>
                <w:color w:val="000000"/>
                <w:sz w:val="16"/>
                <w:szCs w:val="16"/>
              </w:rPr>
              <w:t xml:space="preserve"> </w:t>
            </w:r>
            <w:r w:rsidRPr="00570DF8">
              <w:rPr>
                <w:rFonts w:ascii="Arial" w:hAnsi="Arial"/>
                <w:color w:val="000000"/>
                <w:sz w:val="16"/>
                <w:szCs w:val="16"/>
                <w:vertAlign w:val="superscript"/>
              </w:rPr>
              <w:t>[b]</w:t>
            </w:r>
          </w:p>
        </w:tc>
        <w:tc>
          <w:tcPr>
            <w:tcW w:w="3174" w:type="dxa"/>
            <w:tcBorders>
              <w:top w:val="single" w:sz="4" w:space="0" w:color="auto"/>
              <w:left w:val="single" w:sz="4" w:space="0" w:color="auto"/>
              <w:bottom w:val="dotted" w:sz="4" w:space="0" w:color="auto"/>
              <w:right w:val="single" w:sz="4" w:space="0" w:color="auto"/>
            </w:tcBorders>
          </w:tcPr>
          <w:p w14:paraId="54DEF771" w14:textId="7C16DFE4" w:rsidR="00F10ED5" w:rsidRPr="00685FE4" w:rsidRDefault="00F10ED5" w:rsidP="00F10ED5">
            <w:pPr>
              <w:tabs>
                <w:tab w:val="left" w:pos="709"/>
              </w:tabs>
              <w:spacing w:before="60" w:after="60"/>
              <w:rPr>
                <w:rFonts w:ascii="Arial" w:hAnsi="Arial"/>
                <w:color w:val="000000"/>
                <w:sz w:val="16"/>
                <w:szCs w:val="16"/>
              </w:rPr>
            </w:pPr>
            <w:r w:rsidRPr="00F10ED5">
              <w:rPr>
                <w:rFonts w:ascii="Arial" w:hAnsi="Arial"/>
                <w:sz w:val="16"/>
                <w:szCs w:val="16"/>
                <w:lang w:val="en-AU"/>
              </w:rPr>
              <w:t>1.1: Defence maintains ready forces, plans and conducts operations, activities and investments as directed by Government to achieve Defence’s strategic objectives.</w:t>
            </w:r>
          </w:p>
        </w:tc>
        <w:tc>
          <w:tcPr>
            <w:tcW w:w="3380" w:type="dxa"/>
            <w:tcBorders>
              <w:top w:val="single" w:sz="4" w:space="0" w:color="auto"/>
              <w:left w:val="single" w:sz="4" w:space="0" w:color="auto"/>
              <w:bottom w:val="dotted" w:sz="4" w:space="0" w:color="auto"/>
            </w:tcBorders>
          </w:tcPr>
          <w:p w14:paraId="08C78F22" w14:textId="77777777" w:rsidR="00F10ED5" w:rsidRPr="0036429E" w:rsidRDefault="00F10ED5" w:rsidP="00002F5C">
            <w:pPr>
              <w:tabs>
                <w:tab w:val="left" w:pos="709"/>
              </w:tabs>
              <w:spacing w:before="60" w:after="60"/>
              <w:rPr>
                <w:rFonts w:ascii="Arial" w:hAnsi="Arial"/>
                <w:i/>
                <w:color w:val="000000"/>
                <w:sz w:val="16"/>
                <w:szCs w:val="16"/>
              </w:rPr>
            </w:pPr>
            <w:r w:rsidRPr="0036429E">
              <w:rPr>
                <w:rFonts w:ascii="Arial" w:hAnsi="Arial"/>
                <w:sz w:val="16"/>
                <w:szCs w:val="16"/>
                <w:lang w:val="en-AU"/>
              </w:rPr>
              <w:t xml:space="preserve">Defence responds to Australian Government requirements and conducts operations as </w:t>
            </w:r>
            <w:r>
              <w:rPr>
                <w:rFonts w:ascii="Arial" w:hAnsi="Arial"/>
                <w:sz w:val="16"/>
                <w:szCs w:val="16"/>
                <w:lang w:val="en-AU"/>
              </w:rPr>
              <w:t xml:space="preserve">directed. This will change year </w:t>
            </w:r>
            <w:r w:rsidRPr="0036429E">
              <w:rPr>
                <w:rFonts w:ascii="Arial" w:hAnsi="Arial"/>
                <w:sz w:val="16"/>
                <w:szCs w:val="16"/>
                <w:lang w:val="en-AU"/>
              </w:rPr>
              <w:t>on</w:t>
            </w:r>
            <w:r>
              <w:rPr>
                <w:rFonts w:ascii="Arial" w:hAnsi="Arial"/>
                <w:sz w:val="16"/>
                <w:szCs w:val="16"/>
                <w:lang w:val="en-AU"/>
              </w:rPr>
              <w:t xml:space="preserve"> </w:t>
            </w:r>
            <w:r w:rsidRPr="0036429E">
              <w:rPr>
                <w:rFonts w:ascii="Arial" w:hAnsi="Arial"/>
                <w:sz w:val="16"/>
                <w:szCs w:val="16"/>
                <w:lang w:val="en-AU"/>
              </w:rPr>
              <w:t>year.</w:t>
            </w:r>
          </w:p>
        </w:tc>
      </w:tr>
      <w:tr w:rsidR="00F10ED5" w:rsidRPr="00CD66E1" w14:paraId="6618FCCF" w14:textId="77777777" w:rsidTr="00FF0BC7">
        <w:tblPrEx>
          <w:shd w:val="clear" w:color="auto" w:fill="auto"/>
          <w:tblLook w:val="04A0" w:firstRow="1" w:lastRow="0" w:firstColumn="1" w:lastColumn="0" w:noHBand="0" w:noVBand="1"/>
        </w:tblPrEx>
        <w:trPr>
          <w:trHeight w:val="645"/>
        </w:trPr>
        <w:tc>
          <w:tcPr>
            <w:tcW w:w="1799" w:type="dxa"/>
            <w:vMerge/>
            <w:tcBorders>
              <w:bottom w:val="double" w:sz="4" w:space="0" w:color="auto"/>
              <w:right w:val="single" w:sz="4" w:space="0" w:color="auto"/>
            </w:tcBorders>
          </w:tcPr>
          <w:p w14:paraId="7F387A7C" w14:textId="77777777" w:rsidR="00F10ED5" w:rsidRPr="00CD66E1" w:rsidRDefault="00F10ED5" w:rsidP="00F10ED5">
            <w:pPr>
              <w:tabs>
                <w:tab w:val="left" w:pos="709"/>
              </w:tabs>
              <w:spacing w:before="60" w:after="60"/>
              <w:rPr>
                <w:rFonts w:ascii="Arial" w:hAnsi="Arial"/>
                <w:color w:val="000000"/>
                <w:sz w:val="16"/>
                <w:szCs w:val="16"/>
                <w:highlight w:val="yellow"/>
              </w:rPr>
            </w:pPr>
          </w:p>
        </w:tc>
        <w:tc>
          <w:tcPr>
            <w:tcW w:w="3174" w:type="dxa"/>
            <w:tcBorders>
              <w:top w:val="dotted" w:sz="4" w:space="0" w:color="auto"/>
              <w:left w:val="single" w:sz="4" w:space="0" w:color="auto"/>
              <w:bottom w:val="dotted" w:sz="4" w:space="0" w:color="auto"/>
              <w:right w:val="single" w:sz="4" w:space="0" w:color="auto"/>
            </w:tcBorders>
          </w:tcPr>
          <w:p w14:paraId="34BFED8B" w14:textId="77777777" w:rsidR="00F10ED5" w:rsidRPr="00470FF0" w:rsidRDefault="00F10ED5" w:rsidP="00F10ED5">
            <w:pPr>
              <w:tabs>
                <w:tab w:val="left" w:pos="709"/>
              </w:tabs>
              <w:spacing w:before="60" w:after="60"/>
              <w:rPr>
                <w:rFonts w:ascii="Arial" w:hAnsi="Arial"/>
                <w:color w:val="000000"/>
                <w:sz w:val="16"/>
                <w:szCs w:val="16"/>
              </w:rPr>
            </w:pPr>
            <w:r>
              <w:rPr>
                <w:rFonts w:ascii="Arial" w:hAnsi="Arial"/>
                <w:sz w:val="16"/>
                <w:szCs w:val="16"/>
                <w:lang w:val="en-AU"/>
              </w:rPr>
              <w:t xml:space="preserve">1.2: </w:t>
            </w:r>
            <w:r w:rsidRPr="00470FF0">
              <w:rPr>
                <w:rFonts w:ascii="Arial" w:hAnsi="Arial"/>
                <w:sz w:val="16"/>
                <w:szCs w:val="16"/>
                <w:lang w:val="en-AU"/>
              </w:rPr>
              <w:t>Defence commits ADF and/or APS assistance to domestic crisis and emergency response, as directed by Government.</w:t>
            </w:r>
          </w:p>
        </w:tc>
        <w:tc>
          <w:tcPr>
            <w:tcW w:w="3380" w:type="dxa"/>
            <w:tcBorders>
              <w:top w:val="dotted" w:sz="4" w:space="0" w:color="auto"/>
              <w:left w:val="single" w:sz="4" w:space="0" w:color="auto"/>
              <w:bottom w:val="dotted" w:sz="4" w:space="0" w:color="auto"/>
            </w:tcBorders>
          </w:tcPr>
          <w:p w14:paraId="4208C922" w14:textId="77777777" w:rsidR="00F10ED5" w:rsidRPr="0036429E" w:rsidRDefault="00F10ED5" w:rsidP="00F10ED5">
            <w:pPr>
              <w:tabs>
                <w:tab w:val="left" w:pos="709"/>
              </w:tabs>
              <w:spacing w:before="60" w:after="60"/>
              <w:rPr>
                <w:rFonts w:ascii="Arial" w:hAnsi="Arial"/>
                <w:color w:val="000000"/>
                <w:sz w:val="16"/>
                <w:szCs w:val="16"/>
              </w:rPr>
            </w:pPr>
            <w:r w:rsidRPr="0036429E">
              <w:rPr>
                <w:rFonts w:ascii="Arial" w:hAnsi="Arial"/>
                <w:sz w:val="16"/>
                <w:szCs w:val="16"/>
                <w:lang w:val="en-AU"/>
              </w:rPr>
              <w:t xml:space="preserve">Defence responds to Australian Government direction as </w:t>
            </w:r>
            <w:r>
              <w:rPr>
                <w:rFonts w:ascii="Arial" w:hAnsi="Arial"/>
                <w:sz w:val="16"/>
                <w:szCs w:val="16"/>
                <w:lang w:val="en-AU"/>
              </w:rPr>
              <w:t xml:space="preserve">required. This will change year </w:t>
            </w:r>
            <w:r w:rsidRPr="0036429E">
              <w:rPr>
                <w:rFonts w:ascii="Arial" w:hAnsi="Arial"/>
                <w:sz w:val="16"/>
                <w:szCs w:val="16"/>
                <w:lang w:val="en-AU"/>
              </w:rPr>
              <w:t>on</w:t>
            </w:r>
            <w:r>
              <w:rPr>
                <w:rFonts w:ascii="Arial" w:hAnsi="Arial"/>
                <w:sz w:val="16"/>
                <w:szCs w:val="16"/>
                <w:lang w:val="en-AU"/>
              </w:rPr>
              <w:t xml:space="preserve"> </w:t>
            </w:r>
            <w:r w:rsidRPr="0036429E">
              <w:rPr>
                <w:rFonts w:ascii="Arial" w:hAnsi="Arial"/>
                <w:sz w:val="16"/>
                <w:szCs w:val="16"/>
                <w:lang w:val="en-AU"/>
              </w:rPr>
              <w:t>year.</w:t>
            </w:r>
          </w:p>
        </w:tc>
      </w:tr>
      <w:tr w:rsidR="00F10ED5" w:rsidRPr="00CD66E1" w14:paraId="0DE9ED61" w14:textId="77777777" w:rsidTr="003C0162">
        <w:tblPrEx>
          <w:shd w:val="clear" w:color="auto" w:fill="auto"/>
          <w:tblLook w:val="04A0" w:firstRow="1" w:lastRow="0" w:firstColumn="1" w:lastColumn="0" w:noHBand="0" w:noVBand="1"/>
        </w:tblPrEx>
        <w:trPr>
          <w:trHeight w:val="645"/>
        </w:trPr>
        <w:tc>
          <w:tcPr>
            <w:tcW w:w="1799" w:type="dxa"/>
            <w:vMerge/>
            <w:tcBorders>
              <w:bottom w:val="single" w:sz="4" w:space="0" w:color="auto"/>
              <w:right w:val="single" w:sz="4" w:space="0" w:color="auto"/>
            </w:tcBorders>
          </w:tcPr>
          <w:p w14:paraId="67A77AC5" w14:textId="77777777" w:rsidR="00F10ED5" w:rsidRPr="00CD66E1" w:rsidRDefault="00F10ED5" w:rsidP="00F10ED5">
            <w:pPr>
              <w:tabs>
                <w:tab w:val="left" w:pos="709"/>
              </w:tabs>
              <w:spacing w:before="60" w:after="60"/>
              <w:rPr>
                <w:rFonts w:ascii="Arial" w:hAnsi="Arial"/>
                <w:color w:val="000000"/>
                <w:sz w:val="16"/>
                <w:szCs w:val="16"/>
                <w:highlight w:val="yellow"/>
              </w:rPr>
            </w:pPr>
          </w:p>
        </w:tc>
        <w:tc>
          <w:tcPr>
            <w:tcW w:w="3174" w:type="dxa"/>
            <w:tcBorders>
              <w:top w:val="dotted" w:sz="4" w:space="0" w:color="auto"/>
              <w:left w:val="single" w:sz="4" w:space="0" w:color="auto"/>
              <w:bottom w:val="single" w:sz="4" w:space="0" w:color="auto"/>
              <w:right w:val="single" w:sz="4" w:space="0" w:color="auto"/>
            </w:tcBorders>
          </w:tcPr>
          <w:p w14:paraId="1F1DD526" w14:textId="77777777" w:rsidR="00F10ED5" w:rsidRPr="00470FF0" w:rsidRDefault="00F10ED5" w:rsidP="00B73CFB">
            <w:pPr>
              <w:tabs>
                <w:tab w:val="left" w:pos="709"/>
              </w:tabs>
              <w:spacing w:before="60" w:after="60"/>
              <w:rPr>
                <w:rFonts w:ascii="Arial" w:hAnsi="Arial"/>
                <w:color w:val="000000"/>
                <w:sz w:val="16"/>
                <w:szCs w:val="16"/>
              </w:rPr>
            </w:pPr>
            <w:r w:rsidRPr="00880166">
              <w:rPr>
                <w:rFonts w:ascii="Arial" w:hAnsi="Arial"/>
                <w:sz w:val="16"/>
                <w:szCs w:val="16"/>
                <w:lang w:val="en-AU"/>
              </w:rPr>
              <w:t xml:space="preserve">6.1: Defence is delivering the right future capability at the right time within the Integrated Investment Program to ensure it is equipped to respond to future security challenges as directed by the </w:t>
            </w:r>
            <w:r w:rsidRPr="00E00255">
              <w:rPr>
                <w:rFonts w:ascii="Arial" w:hAnsi="Arial"/>
                <w:i/>
                <w:sz w:val="16"/>
                <w:szCs w:val="16"/>
                <w:lang w:val="en-AU"/>
              </w:rPr>
              <w:t>2024 National Defence Strategy</w:t>
            </w:r>
            <w:r w:rsidRPr="00880166">
              <w:rPr>
                <w:rFonts w:ascii="Arial" w:hAnsi="Arial"/>
                <w:sz w:val="16"/>
                <w:szCs w:val="16"/>
                <w:lang w:val="en-AU"/>
              </w:rPr>
              <w:t>.</w:t>
            </w:r>
          </w:p>
        </w:tc>
        <w:tc>
          <w:tcPr>
            <w:tcW w:w="3380" w:type="dxa"/>
            <w:tcBorders>
              <w:top w:val="dotted" w:sz="4" w:space="0" w:color="auto"/>
              <w:left w:val="single" w:sz="4" w:space="0" w:color="auto"/>
              <w:bottom w:val="single" w:sz="4" w:space="0" w:color="auto"/>
            </w:tcBorders>
          </w:tcPr>
          <w:p w14:paraId="5686D6C3" w14:textId="77777777" w:rsidR="00F10ED5" w:rsidRPr="0036429E" w:rsidRDefault="00F10ED5" w:rsidP="00F10ED5">
            <w:pPr>
              <w:tabs>
                <w:tab w:val="left" w:pos="709"/>
              </w:tabs>
              <w:spacing w:before="60" w:after="60"/>
              <w:rPr>
                <w:rFonts w:ascii="Arial" w:hAnsi="Arial"/>
                <w:sz w:val="16"/>
                <w:szCs w:val="16"/>
              </w:rPr>
            </w:pPr>
            <w:r w:rsidRPr="0036429E">
              <w:rPr>
                <w:rFonts w:ascii="Arial" w:hAnsi="Arial"/>
                <w:sz w:val="16"/>
                <w:szCs w:val="16"/>
                <w:lang w:val="en-AU"/>
              </w:rPr>
              <w:t>80 per cent or more of approved Integrated Investment Program projects across all domains are on track to deliver the scope approved by Government within Government approved cost and schedule.</w:t>
            </w:r>
          </w:p>
        </w:tc>
      </w:tr>
      <w:tr w:rsidR="00F10ED5" w:rsidRPr="00570DF8" w14:paraId="368FE527" w14:textId="77777777" w:rsidTr="003C0162">
        <w:tblPrEx>
          <w:shd w:val="clear" w:color="auto" w:fill="auto"/>
          <w:tblLook w:val="04A0" w:firstRow="1" w:lastRow="0" w:firstColumn="1" w:lastColumn="0" w:noHBand="0" w:noVBand="1"/>
        </w:tblPrEx>
        <w:trPr>
          <w:trHeight w:val="258"/>
        </w:trPr>
        <w:tc>
          <w:tcPr>
            <w:tcW w:w="1799" w:type="dxa"/>
            <w:tcBorders>
              <w:top w:val="single" w:sz="4" w:space="0" w:color="auto"/>
              <w:bottom w:val="single" w:sz="4" w:space="0" w:color="auto"/>
              <w:right w:val="single" w:sz="4" w:space="0" w:color="auto"/>
            </w:tcBorders>
          </w:tcPr>
          <w:p w14:paraId="62446359" w14:textId="77777777" w:rsidR="00F10ED5" w:rsidRPr="00570DF8" w:rsidRDefault="00F10ED5" w:rsidP="00F10ED5">
            <w:pPr>
              <w:keepNext/>
              <w:keepLines/>
              <w:pageBreakBefore/>
              <w:tabs>
                <w:tab w:val="left" w:pos="709"/>
              </w:tabs>
              <w:spacing w:before="60" w:after="60"/>
              <w:rPr>
                <w:rFonts w:ascii="Arial" w:hAnsi="Arial"/>
                <w:b/>
                <w:color w:val="000000"/>
                <w:sz w:val="16"/>
                <w:szCs w:val="16"/>
              </w:rPr>
            </w:pPr>
            <w:r w:rsidRPr="00570DF8">
              <w:rPr>
                <w:rFonts w:ascii="Arial" w:hAnsi="Arial"/>
                <w:b/>
                <w:color w:val="000000"/>
                <w:sz w:val="16"/>
                <w:szCs w:val="16"/>
              </w:rPr>
              <w:lastRenderedPageBreak/>
              <w:t>Year</w:t>
            </w:r>
          </w:p>
        </w:tc>
        <w:tc>
          <w:tcPr>
            <w:tcW w:w="3174" w:type="dxa"/>
            <w:tcBorders>
              <w:top w:val="single" w:sz="4" w:space="0" w:color="auto"/>
              <w:left w:val="single" w:sz="4" w:space="0" w:color="auto"/>
              <w:bottom w:val="single" w:sz="4" w:space="0" w:color="auto"/>
              <w:right w:val="single" w:sz="4" w:space="0" w:color="auto"/>
            </w:tcBorders>
          </w:tcPr>
          <w:p w14:paraId="74A4479D" w14:textId="77777777" w:rsidR="00F10ED5" w:rsidRPr="00570DF8" w:rsidRDefault="00F10ED5" w:rsidP="00F10ED5">
            <w:pPr>
              <w:keepNext/>
              <w:keepLines/>
              <w:tabs>
                <w:tab w:val="left" w:pos="709"/>
                <w:tab w:val="center" w:pos="1818"/>
              </w:tabs>
              <w:spacing w:before="60" w:after="60"/>
              <w:rPr>
                <w:rFonts w:ascii="Arial" w:hAnsi="Arial"/>
                <w:b/>
                <w:color w:val="000000"/>
                <w:sz w:val="16"/>
                <w:szCs w:val="16"/>
              </w:rPr>
            </w:pPr>
            <w:r w:rsidRPr="00570DF8">
              <w:rPr>
                <w:rFonts w:ascii="Arial" w:hAnsi="Arial"/>
                <w:b/>
                <w:color w:val="000000"/>
                <w:sz w:val="16"/>
                <w:szCs w:val="16"/>
              </w:rPr>
              <w:t>Performance measures</w:t>
            </w:r>
          </w:p>
        </w:tc>
        <w:tc>
          <w:tcPr>
            <w:tcW w:w="3380" w:type="dxa"/>
            <w:tcBorders>
              <w:top w:val="single" w:sz="4" w:space="0" w:color="auto"/>
              <w:left w:val="single" w:sz="4" w:space="0" w:color="auto"/>
              <w:bottom w:val="single" w:sz="4" w:space="0" w:color="auto"/>
            </w:tcBorders>
          </w:tcPr>
          <w:p w14:paraId="5D5C3CA8" w14:textId="77777777" w:rsidR="00F10ED5" w:rsidRPr="00570DF8" w:rsidRDefault="00F10ED5" w:rsidP="00F10ED5">
            <w:pPr>
              <w:tabs>
                <w:tab w:val="left" w:pos="709"/>
              </w:tabs>
              <w:spacing w:before="60" w:after="60"/>
              <w:rPr>
                <w:rFonts w:ascii="Arial" w:hAnsi="Arial"/>
                <w:b/>
                <w:color w:val="000000"/>
                <w:sz w:val="16"/>
                <w:szCs w:val="16"/>
              </w:rPr>
            </w:pPr>
            <w:r w:rsidRPr="00570DF8">
              <w:rPr>
                <w:rFonts w:ascii="Arial" w:hAnsi="Arial"/>
                <w:b/>
                <w:color w:val="000000"/>
                <w:sz w:val="16"/>
                <w:szCs w:val="16"/>
              </w:rPr>
              <w:t>Planned Performance Results</w:t>
            </w:r>
          </w:p>
        </w:tc>
      </w:tr>
      <w:tr w:rsidR="00F10ED5" w:rsidRPr="00570DF8" w14:paraId="7367B69F" w14:textId="77777777" w:rsidTr="002A38F6">
        <w:tblPrEx>
          <w:shd w:val="clear" w:color="auto" w:fill="auto"/>
          <w:tblLook w:val="04A0" w:firstRow="1" w:lastRow="0" w:firstColumn="1" w:lastColumn="0" w:noHBand="0" w:noVBand="1"/>
        </w:tblPrEx>
        <w:trPr>
          <w:trHeight w:val="491"/>
        </w:trPr>
        <w:tc>
          <w:tcPr>
            <w:tcW w:w="1799" w:type="dxa"/>
            <w:tcBorders>
              <w:top w:val="single" w:sz="4" w:space="0" w:color="auto"/>
              <w:bottom w:val="single" w:sz="4" w:space="0" w:color="auto"/>
              <w:right w:val="single" w:sz="4" w:space="0" w:color="auto"/>
            </w:tcBorders>
          </w:tcPr>
          <w:p w14:paraId="4956E721" w14:textId="77777777" w:rsidR="00F10ED5" w:rsidRPr="00570DF8" w:rsidRDefault="00F10ED5" w:rsidP="00F10ED5">
            <w:pPr>
              <w:tabs>
                <w:tab w:val="left" w:pos="709"/>
              </w:tabs>
              <w:spacing w:before="60" w:after="60"/>
              <w:rPr>
                <w:rFonts w:ascii="Arial" w:hAnsi="Arial"/>
                <w:color w:val="000000"/>
                <w:sz w:val="16"/>
                <w:szCs w:val="16"/>
              </w:rPr>
            </w:pPr>
            <w:r w:rsidRPr="00570DF8">
              <w:rPr>
                <w:rFonts w:ascii="Arial" w:hAnsi="Arial"/>
                <w:color w:val="000000"/>
                <w:sz w:val="16"/>
                <w:szCs w:val="16"/>
              </w:rPr>
              <w:t>Forward Estimates</w:t>
            </w:r>
          </w:p>
          <w:p w14:paraId="25EDAE4A" w14:textId="77777777" w:rsidR="00F10ED5" w:rsidRPr="00570DF8" w:rsidRDefault="00F10ED5" w:rsidP="00F10ED5">
            <w:pPr>
              <w:tabs>
                <w:tab w:val="left" w:pos="709"/>
              </w:tabs>
              <w:spacing w:before="0" w:after="60"/>
              <w:rPr>
                <w:rFonts w:ascii="Arial" w:hAnsi="Arial"/>
                <w:b/>
                <w:color w:val="000000"/>
                <w:sz w:val="16"/>
                <w:szCs w:val="16"/>
              </w:rPr>
            </w:pPr>
            <w:r w:rsidRPr="00570DF8">
              <w:rPr>
                <w:rFonts w:ascii="Arial" w:hAnsi="Arial"/>
                <w:color w:val="000000"/>
                <w:sz w:val="16"/>
                <w:szCs w:val="16"/>
              </w:rPr>
              <w:t>2026-29</w:t>
            </w:r>
          </w:p>
        </w:tc>
        <w:tc>
          <w:tcPr>
            <w:tcW w:w="3174" w:type="dxa"/>
            <w:tcBorders>
              <w:top w:val="single" w:sz="4" w:space="0" w:color="auto"/>
              <w:left w:val="single" w:sz="4" w:space="0" w:color="auto"/>
              <w:bottom w:val="single" w:sz="4" w:space="0" w:color="auto"/>
              <w:right w:val="single" w:sz="4" w:space="0" w:color="auto"/>
            </w:tcBorders>
          </w:tcPr>
          <w:p w14:paraId="2A44036F" w14:textId="77777777" w:rsidR="00F10ED5" w:rsidRPr="00570DF8" w:rsidRDefault="00F10ED5" w:rsidP="00F10ED5">
            <w:pPr>
              <w:tabs>
                <w:tab w:val="left" w:pos="709"/>
              </w:tabs>
              <w:spacing w:before="60" w:after="60"/>
              <w:rPr>
                <w:rFonts w:ascii="Arial" w:hAnsi="Arial"/>
                <w:b/>
                <w:color w:val="000000"/>
                <w:sz w:val="16"/>
                <w:szCs w:val="16"/>
              </w:rPr>
            </w:pPr>
            <w:r w:rsidRPr="00570DF8">
              <w:rPr>
                <w:rFonts w:ascii="Arial" w:hAnsi="Arial"/>
                <w:color w:val="000000"/>
                <w:sz w:val="16"/>
                <w:szCs w:val="16"/>
              </w:rPr>
              <w:t>As per 202</w:t>
            </w:r>
            <w:r>
              <w:rPr>
                <w:rFonts w:ascii="Arial" w:hAnsi="Arial"/>
                <w:color w:val="000000"/>
                <w:sz w:val="16"/>
                <w:szCs w:val="16"/>
              </w:rPr>
              <w:t>5</w:t>
            </w:r>
            <w:r w:rsidRPr="00570DF8">
              <w:rPr>
                <w:rFonts w:ascii="Arial" w:hAnsi="Arial"/>
                <w:color w:val="000000"/>
                <w:sz w:val="16"/>
                <w:szCs w:val="16"/>
              </w:rPr>
              <w:t>-2</w:t>
            </w:r>
            <w:r>
              <w:rPr>
                <w:rFonts w:ascii="Arial" w:hAnsi="Arial"/>
                <w:color w:val="000000"/>
                <w:sz w:val="16"/>
                <w:szCs w:val="16"/>
              </w:rPr>
              <w:t>6</w:t>
            </w:r>
            <w:r w:rsidRPr="00570DF8">
              <w:rPr>
                <w:rFonts w:ascii="Arial" w:hAnsi="Arial"/>
                <w:color w:val="000000"/>
                <w:sz w:val="16"/>
                <w:szCs w:val="16"/>
              </w:rPr>
              <w:t>.</w:t>
            </w:r>
          </w:p>
        </w:tc>
        <w:tc>
          <w:tcPr>
            <w:tcW w:w="3380" w:type="dxa"/>
            <w:tcBorders>
              <w:top w:val="single" w:sz="4" w:space="0" w:color="auto"/>
              <w:left w:val="single" w:sz="4" w:space="0" w:color="auto"/>
              <w:bottom w:val="single" w:sz="4" w:space="0" w:color="auto"/>
            </w:tcBorders>
          </w:tcPr>
          <w:p w14:paraId="0E4475CB" w14:textId="77777777" w:rsidR="00F10ED5" w:rsidRPr="00570DF8" w:rsidRDefault="00F10ED5" w:rsidP="00F10ED5">
            <w:pPr>
              <w:tabs>
                <w:tab w:val="left" w:pos="709"/>
              </w:tabs>
              <w:spacing w:before="60" w:after="60"/>
              <w:rPr>
                <w:rFonts w:ascii="Arial" w:hAnsi="Arial"/>
                <w:b/>
                <w:color w:val="000000"/>
                <w:sz w:val="16"/>
                <w:szCs w:val="16"/>
              </w:rPr>
            </w:pPr>
            <w:r w:rsidRPr="00570DF8">
              <w:rPr>
                <w:rFonts w:ascii="Arial" w:hAnsi="Arial"/>
                <w:color w:val="000000"/>
                <w:sz w:val="16"/>
                <w:szCs w:val="16"/>
              </w:rPr>
              <w:t>As per 202</w:t>
            </w:r>
            <w:r>
              <w:rPr>
                <w:rFonts w:ascii="Arial" w:hAnsi="Arial"/>
                <w:color w:val="000000"/>
                <w:sz w:val="16"/>
                <w:szCs w:val="16"/>
              </w:rPr>
              <w:t>5</w:t>
            </w:r>
            <w:r w:rsidRPr="00570DF8">
              <w:rPr>
                <w:rFonts w:ascii="Arial" w:hAnsi="Arial"/>
                <w:color w:val="000000"/>
                <w:sz w:val="16"/>
                <w:szCs w:val="16"/>
              </w:rPr>
              <w:t>-2</w:t>
            </w:r>
            <w:r>
              <w:rPr>
                <w:rFonts w:ascii="Arial" w:hAnsi="Arial"/>
                <w:color w:val="000000"/>
                <w:sz w:val="16"/>
                <w:szCs w:val="16"/>
              </w:rPr>
              <w:t>6</w:t>
            </w:r>
            <w:r w:rsidRPr="00570DF8">
              <w:rPr>
                <w:rFonts w:ascii="Arial" w:hAnsi="Arial"/>
                <w:color w:val="000000"/>
                <w:sz w:val="16"/>
                <w:szCs w:val="16"/>
              </w:rPr>
              <w:t>.</w:t>
            </w:r>
          </w:p>
        </w:tc>
      </w:tr>
      <w:tr w:rsidR="00F10ED5" w:rsidRPr="00570DF8" w14:paraId="67401C02" w14:textId="77777777" w:rsidTr="002A38F6">
        <w:tblPrEx>
          <w:shd w:val="clear" w:color="auto" w:fill="auto"/>
          <w:tblLook w:val="04A0" w:firstRow="1" w:lastRow="0" w:firstColumn="1" w:lastColumn="0" w:noHBand="0" w:noVBand="1"/>
        </w:tblPrEx>
        <w:trPr>
          <w:trHeight w:val="291"/>
        </w:trPr>
        <w:tc>
          <w:tcPr>
            <w:tcW w:w="8353" w:type="dxa"/>
            <w:gridSpan w:val="3"/>
            <w:tcBorders>
              <w:top w:val="single" w:sz="4" w:space="0" w:color="auto"/>
              <w:bottom w:val="single" w:sz="4" w:space="0" w:color="auto"/>
            </w:tcBorders>
          </w:tcPr>
          <w:p w14:paraId="6CD5F5B5" w14:textId="58A1C49E" w:rsidR="00F10ED5" w:rsidRPr="00570DF8" w:rsidRDefault="00F10ED5" w:rsidP="00E364DF">
            <w:pPr>
              <w:tabs>
                <w:tab w:val="left" w:pos="709"/>
              </w:tabs>
              <w:spacing w:before="60" w:after="60"/>
              <w:rPr>
                <w:rFonts w:ascii="Arial" w:eastAsia="Cambria" w:hAnsi="Arial"/>
                <w:bCs/>
                <w:iCs/>
                <w:color w:val="000000"/>
                <w:spacing w:val="-6"/>
                <w:sz w:val="16"/>
                <w:szCs w:val="16"/>
                <w:lang w:val="x-none"/>
              </w:rPr>
            </w:pPr>
            <w:r w:rsidRPr="00570DF8">
              <w:rPr>
                <w:rFonts w:ascii="Arial" w:hAnsi="Arial"/>
                <w:color w:val="000000"/>
                <w:sz w:val="16"/>
                <w:szCs w:val="16"/>
              </w:rPr>
              <w:t>Material changes to Program 2.8 resulting from 202</w:t>
            </w:r>
            <w:r w:rsidR="00E364DF">
              <w:rPr>
                <w:rFonts w:ascii="Arial" w:hAnsi="Arial"/>
                <w:color w:val="000000"/>
                <w:sz w:val="16"/>
                <w:szCs w:val="16"/>
              </w:rPr>
              <w:t>5</w:t>
            </w:r>
            <w:r w:rsidRPr="00570DF8">
              <w:rPr>
                <w:rFonts w:ascii="Arial" w:hAnsi="Arial"/>
                <w:color w:val="000000"/>
                <w:sz w:val="16"/>
                <w:szCs w:val="16"/>
              </w:rPr>
              <w:t>-2</w:t>
            </w:r>
            <w:r w:rsidR="00E364DF">
              <w:rPr>
                <w:rFonts w:ascii="Arial" w:hAnsi="Arial"/>
                <w:color w:val="000000"/>
                <w:sz w:val="16"/>
                <w:szCs w:val="16"/>
              </w:rPr>
              <w:t>6</w:t>
            </w:r>
            <w:r w:rsidRPr="00570DF8">
              <w:rPr>
                <w:rFonts w:ascii="Arial" w:hAnsi="Arial"/>
                <w:color w:val="000000"/>
                <w:sz w:val="16"/>
                <w:szCs w:val="16"/>
              </w:rPr>
              <w:t xml:space="preserve"> Budget Measures:</w:t>
            </w:r>
            <w:r w:rsidRPr="00570DF8">
              <w:rPr>
                <w:rStyle w:val="BodyTextChar"/>
                <w:rFonts w:ascii="Arial" w:hAnsi="Arial"/>
                <w:bCs/>
                <w:iCs/>
                <w:color w:val="000000"/>
                <w:spacing w:val="-6"/>
                <w:sz w:val="16"/>
                <w:szCs w:val="16"/>
              </w:rPr>
              <w:t xml:space="preserve"> Nil.</w:t>
            </w:r>
          </w:p>
        </w:tc>
      </w:tr>
    </w:tbl>
    <w:p w14:paraId="217F714A" w14:textId="77777777" w:rsidR="00FF0FC2" w:rsidRPr="00570DF8" w:rsidRDefault="00FF0FC2" w:rsidP="00FF0FC2">
      <w:pPr>
        <w:pStyle w:val="TableHeading"/>
        <w:spacing w:before="0" w:after="0"/>
        <w:rPr>
          <w:sz w:val="16"/>
          <w:szCs w:val="16"/>
        </w:rPr>
      </w:pPr>
    </w:p>
    <w:p w14:paraId="3129E153" w14:textId="77777777" w:rsidR="00FF0FC2" w:rsidRPr="00570DF8" w:rsidRDefault="00FF0FC2" w:rsidP="00FF0FC2">
      <w:pPr>
        <w:pStyle w:val="TableHeading"/>
        <w:spacing w:before="0" w:after="0"/>
        <w:rPr>
          <w:sz w:val="14"/>
          <w:szCs w:val="14"/>
          <w:lang w:val="en-AU"/>
        </w:rPr>
      </w:pPr>
      <w:r w:rsidRPr="00570DF8">
        <w:rPr>
          <w:sz w:val="14"/>
          <w:szCs w:val="14"/>
          <w:lang w:val="en-AU"/>
        </w:rPr>
        <w:t>Note</w:t>
      </w:r>
      <w:r w:rsidR="00AF08A6" w:rsidRPr="00570DF8">
        <w:rPr>
          <w:sz w:val="14"/>
          <w:szCs w:val="14"/>
          <w:lang w:val="en-AU"/>
        </w:rPr>
        <w:t>s</w:t>
      </w:r>
    </w:p>
    <w:p w14:paraId="2EB604E5" w14:textId="0E24D5ED" w:rsidR="00570DF8" w:rsidRDefault="00570DF8" w:rsidP="00444A89">
      <w:pPr>
        <w:pStyle w:val="TableHeading"/>
        <w:numPr>
          <w:ilvl w:val="0"/>
          <w:numId w:val="76"/>
        </w:numPr>
        <w:tabs>
          <w:tab w:val="left" w:pos="284"/>
        </w:tabs>
        <w:spacing w:before="0" w:after="0"/>
        <w:ind w:left="284" w:hanging="284"/>
        <w:rPr>
          <w:b w:val="0"/>
          <w:sz w:val="14"/>
          <w:szCs w:val="14"/>
          <w:lang w:val="en-AU"/>
        </w:rPr>
      </w:pPr>
      <w:r w:rsidRPr="00685FE4">
        <w:rPr>
          <w:b w:val="0"/>
          <w:sz w:val="14"/>
          <w:szCs w:val="14"/>
          <w:lang w:val="en-AU"/>
        </w:rPr>
        <w:t>Performance Measure 1.2 has been amended for 2024-25</w:t>
      </w:r>
      <w:r>
        <w:rPr>
          <w:b w:val="0"/>
          <w:sz w:val="14"/>
          <w:szCs w:val="14"/>
          <w:lang w:val="en-AU"/>
        </w:rPr>
        <w:t>,</w:t>
      </w:r>
      <w:r w:rsidRPr="00685FE4">
        <w:rPr>
          <w:b w:val="0"/>
          <w:sz w:val="14"/>
          <w:szCs w:val="14"/>
          <w:lang w:val="en-AU"/>
        </w:rPr>
        <w:t xml:space="preserve"> as published in the updated </w:t>
      </w:r>
      <w:r w:rsidRPr="00A24301">
        <w:rPr>
          <w:b w:val="0"/>
          <w:sz w:val="14"/>
          <w:szCs w:val="14"/>
          <w:lang w:val="en-AU"/>
        </w:rPr>
        <w:t>2024-28 Defence Corporate Plan</w:t>
      </w:r>
      <w:r>
        <w:rPr>
          <w:b w:val="0"/>
          <w:sz w:val="14"/>
          <w:szCs w:val="14"/>
          <w:lang w:val="en-AU"/>
        </w:rPr>
        <w:t xml:space="preserve"> in March 2025.</w:t>
      </w:r>
    </w:p>
    <w:p w14:paraId="7B9FC6B4" w14:textId="7A1733F7" w:rsidR="009737EB" w:rsidRPr="00F10ED5" w:rsidRDefault="00F10ED5" w:rsidP="00444A89">
      <w:pPr>
        <w:pStyle w:val="TableHeading"/>
        <w:numPr>
          <w:ilvl w:val="0"/>
          <w:numId w:val="76"/>
        </w:numPr>
        <w:tabs>
          <w:tab w:val="left" w:pos="284"/>
        </w:tabs>
        <w:spacing w:before="0" w:after="0"/>
        <w:ind w:left="284" w:hanging="284"/>
        <w:rPr>
          <w:b w:val="0"/>
          <w:sz w:val="14"/>
          <w:szCs w:val="14"/>
        </w:rPr>
      </w:pPr>
      <w:r w:rsidRPr="00F10ED5">
        <w:rPr>
          <w:b w:val="0"/>
          <w:sz w:val="14"/>
          <w:szCs w:val="14"/>
          <w:lang w:val="en-AU"/>
        </w:rPr>
        <w:t>In accordance with Defence’s Enterprise Performance Framework, Defence is undertaking materiality assessments that may result in updates to the 2025-26 performance information in the 2025-29 Defence Corporate Plan, if required</w:t>
      </w:r>
      <w:r w:rsidR="009737EB" w:rsidRPr="00F10ED5">
        <w:rPr>
          <w:b w:val="0"/>
          <w:sz w:val="14"/>
          <w:szCs w:val="14"/>
          <w:lang w:val="en-AU"/>
        </w:rPr>
        <w:t xml:space="preserve">. </w:t>
      </w:r>
    </w:p>
    <w:p w14:paraId="362F8AF0" w14:textId="77777777" w:rsidR="009737EB" w:rsidRPr="009737EB" w:rsidRDefault="009737EB" w:rsidP="009737EB">
      <w:pPr>
        <w:rPr>
          <w:b/>
          <w:lang w:val="en-AU"/>
        </w:rPr>
      </w:pPr>
    </w:p>
    <w:p w14:paraId="74E8A7BB" w14:textId="00E45504" w:rsidR="006C259D" w:rsidRPr="006A5A85" w:rsidRDefault="006C259D" w:rsidP="00D9100A">
      <w:pPr>
        <w:pStyle w:val="TableHeading"/>
        <w:numPr>
          <w:ilvl w:val="0"/>
          <w:numId w:val="29"/>
        </w:numPr>
        <w:spacing w:before="0" w:after="120"/>
        <w:ind w:left="0" w:firstLine="0"/>
        <w:outlineLvl w:val="6"/>
      </w:pPr>
      <w:r w:rsidRPr="006A5A85">
        <w:t>Cost Summary for Program 2.8 Australian Defence Force Headquarters</w:t>
      </w:r>
    </w:p>
    <w:p w14:paraId="1C77A4C6" w14:textId="60DAF6B2" w:rsidR="00656D60" w:rsidRPr="00B56FAA" w:rsidRDefault="003708CA" w:rsidP="00656D60">
      <w:pPr>
        <w:spacing w:before="0" w:after="0"/>
        <w:rPr>
          <w:rFonts w:ascii="Arial" w:hAnsi="Arial"/>
          <w:b/>
          <w:sz w:val="14"/>
          <w:szCs w:val="14"/>
          <w:lang w:val="en-AU"/>
        </w:rPr>
      </w:pPr>
      <w:r w:rsidRPr="003708CA">
        <w:rPr>
          <w:noProof/>
          <w:lang w:val="en-AU"/>
        </w:rPr>
        <w:drawing>
          <wp:inline distT="0" distB="0" distL="0" distR="0" wp14:anchorId="0FC520EA" wp14:editId="6534DDDC">
            <wp:extent cx="4986020" cy="2646439"/>
            <wp:effectExtent l="0" t="0" r="5080" b="1905"/>
            <wp:docPr id="8554" name="Picture 8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86020" cy="2646439"/>
                    </a:xfrm>
                    <a:prstGeom prst="rect">
                      <a:avLst/>
                    </a:prstGeom>
                    <a:noFill/>
                    <a:ln>
                      <a:noFill/>
                    </a:ln>
                  </pic:spPr>
                </pic:pic>
              </a:graphicData>
            </a:graphic>
          </wp:inline>
        </w:drawing>
      </w:r>
    </w:p>
    <w:p w14:paraId="34F912E0" w14:textId="77777777" w:rsidR="00096E86" w:rsidRPr="00B56FAA" w:rsidRDefault="00096E86" w:rsidP="00656D60">
      <w:pPr>
        <w:spacing w:before="0" w:after="0"/>
        <w:rPr>
          <w:rFonts w:ascii="Arial" w:hAnsi="Arial"/>
          <w:b/>
          <w:sz w:val="14"/>
          <w:szCs w:val="14"/>
          <w:lang w:val="en-AU"/>
        </w:rPr>
      </w:pPr>
    </w:p>
    <w:p w14:paraId="5255F823" w14:textId="77777777" w:rsidR="00CB045C" w:rsidRDefault="006F629D" w:rsidP="0011085B">
      <w:pPr>
        <w:tabs>
          <w:tab w:val="left" w:pos="284"/>
        </w:tabs>
        <w:spacing w:before="0" w:after="0"/>
        <w:ind w:left="284" w:hanging="284"/>
        <w:rPr>
          <w:rFonts w:ascii="Arial" w:hAnsi="Arial"/>
          <w:b/>
          <w:sz w:val="14"/>
          <w:szCs w:val="14"/>
          <w:lang w:val="en-AU"/>
        </w:rPr>
      </w:pPr>
      <w:r w:rsidRPr="006F629D">
        <w:rPr>
          <w:rFonts w:ascii="Arial" w:hAnsi="Arial"/>
          <w:b/>
          <w:sz w:val="14"/>
          <w:szCs w:val="14"/>
          <w:lang w:val="en-AU"/>
        </w:rPr>
        <w:t>Notes</w:t>
      </w:r>
    </w:p>
    <w:p w14:paraId="79E41062" w14:textId="18509848" w:rsidR="003A0A8B" w:rsidRPr="003A0A8B" w:rsidRDefault="004A4149" w:rsidP="003A0A8B">
      <w:pPr>
        <w:tabs>
          <w:tab w:val="left" w:pos="284"/>
        </w:tabs>
        <w:spacing w:before="0" w:after="0"/>
        <w:ind w:left="284" w:hanging="284"/>
        <w:rPr>
          <w:rFonts w:ascii="Arial" w:hAnsi="Arial"/>
          <w:sz w:val="14"/>
          <w:szCs w:val="14"/>
          <w:lang w:val="en-AU"/>
        </w:rPr>
      </w:pPr>
      <w:r w:rsidRPr="004A4149">
        <w:rPr>
          <w:rFonts w:ascii="Arial" w:hAnsi="Arial"/>
          <w:sz w:val="14"/>
          <w:szCs w:val="14"/>
          <w:lang w:val="en-AU"/>
        </w:rPr>
        <w:t xml:space="preserve">a. </w:t>
      </w:r>
      <w:r>
        <w:rPr>
          <w:rFonts w:ascii="Arial" w:hAnsi="Arial"/>
          <w:sz w:val="14"/>
          <w:szCs w:val="14"/>
          <w:lang w:val="en-AU"/>
        </w:rPr>
        <w:tab/>
      </w:r>
      <w:r w:rsidR="003A0A8B" w:rsidRPr="003A0A8B">
        <w:rPr>
          <w:rFonts w:ascii="Arial" w:hAnsi="Arial"/>
          <w:sz w:val="14"/>
          <w:szCs w:val="14"/>
          <w:lang w:val="en-AU"/>
        </w:rPr>
        <w:t>Total Program funded expenditure includes operating expenses and capital expenditure funded by appropriation and own source revenue. This excludes expenses not requiring appropriation.</w:t>
      </w:r>
      <w:r w:rsidR="003A0A8B" w:rsidRPr="003A0A8B">
        <w:rPr>
          <w:rFonts w:ascii="Arial" w:hAnsi="Arial"/>
          <w:sz w:val="14"/>
          <w:szCs w:val="14"/>
          <w:lang w:val="en-AU"/>
        </w:rPr>
        <w:tab/>
      </w:r>
      <w:r w:rsidR="003A0A8B" w:rsidRPr="003A0A8B">
        <w:rPr>
          <w:rFonts w:ascii="Arial" w:hAnsi="Arial"/>
          <w:sz w:val="14"/>
          <w:szCs w:val="14"/>
          <w:lang w:val="en-AU"/>
        </w:rPr>
        <w:tab/>
      </w:r>
      <w:r w:rsidR="003A0A8B" w:rsidRPr="003A0A8B">
        <w:rPr>
          <w:rFonts w:ascii="Arial" w:hAnsi="Arial"/>
          <w:sz w:val="14"/>
          <w:szCs w:val="14"/>
          <w:lang w:val="en-AU"/>
        </w:rPr>
        <w:tab/>
      </w:r>
      <w:r w:rsidR="003A0A8B" w:rsidRPr="003A0A8B">
        <w:rPr>
          <w:rFonts w:ascii="Arial" w:hAnsi="Arial"/>
          <w:sz w:val="14"/>
          <w:szCs w:val="14"/>
          <w:lang w:val="en-AU"/>
        </w:rPr>
        <w:tab/>
      </w:r>
      <w:r w:rsidR="003A0A8B" w:rsidRPr="003A0A8B">
        <w:rPr>
          <w:rFonts w:ascii="Arial" w:hAnsi="Arial"/>
          <w:sz w:val="14"/>
          <w:szCs w:val="14"/>
          <w:lang w:val="en-AU"/>
        </w:rPr>
        <w:tab/>
      </w:r>
    </w:p>
    <w:p w14:paraId="471D2B9C" w14:textId="7C36F2A9" w:rsidR="00CD66E1" w:rsidRPr="007F1D9D" w:rsidRDefault="003A0A8B" w:rsidP="003A0A8B">
      <w:pPr>
        <w:tabs>
          <w:tab w:val="left" w:pos="284"/>
        </w:tabs>
        <w:spacing w:before="0" w:after="0"/>
        <w:ind w:left="284" w:hanging="284"/>
        <w:rPr>
          <w:rFonts w:ascii="Arial" w:hAnsi="Arial"/>
          <w:sz w:val="14"/>
          <w:szCs w:val="14"/>
          <w:lang w:val="en-AU"/>
        </w:rPr>
      </w:pPr>
      <w:r w:rsidRPr="003A0A8B">
        <w:rPr>
          <w:rFonts w:ascii="Arial" w:hAnsi="Arial"/>
          <w:sz w:val="14"/>
          <w:szCs w:val="14"/>
          <w:lang w:val="en-AU"/>
        </w:rPr>
        <w:t xml:space="preserve">b. </w:t>
      </w:r>
      <w:r>
        <w:rPr>
          <w:rFonts w:ascii="Arial" w:hAnsi="Arial"/>
          <w:sz w:val="14"/>
          <w:szCs w:val="14"/>
          <w:lang w:val="en-AU"/>
        </w:rPr>
        <w:tab/>
      </w:r>
      <w:r w:rsidRPr="003A0A8B">
        <w:rPr>
          <w:rFonts w:ascii="Arial" w:hAnsi="Arial"/>
          <w:sz w:val="14"/>
          <w:szCs w:val="14"/>
          <w:lang w:val="en-AU"/>
        </w:rPr>
        <w:t>The change in estimates includes movement of functions and their associated budgets within Defence.</w:t>
      </w:r>
      <w:r w:rsidRPr="003A0A8B">
        <w:rPr>
          <w:rFonts w:ascii="Arial" w:hAnsi="Arial"/>
          <w:sz w:val="14"/>
          <w:szCs w:val="14"/>
          <w:lang w:val="en-AU"/>
        </w:rPr>
        <w:tab/>
      </w:r>
      <w:r w:rsidRPr="003A0A8B">
        <w:rPr>
          <w:rFonts w:ascii="Arial" w:hAnsi="Arial"/>
          <w:sz w:val="14"/>
          <w:szCs w:val="14"/>
          <w:lang w:val="en-AU"/>
        </w:rPr>
        <w:tab/>
      </w:r>
      <w:r w:rsidRPr="003A0A8B">
        <w:rPr>
          <w:rFonts w:ascii="Arial" w:hAnsi="Arial"/>
          <w:sz w:val="14"/>
          <w:szCs w:val="14"/>
          <w:lang w:val="en-AU"/>
        </w:rPr>
        <w:tab/>
      </w:r>
      <w:r w:rsidRPr="003A0A8B">
        <w:rPr>
          <w:rFonts w:ascii="Arial" w:hAnsi="Arial"/>
          <w:sz w:val="14"/>
          <w:szCs w:val="14"/>
          <w:lang w:val="en-AU"/>
        </w:rPr>
        <w:tab/>
      </w:r>
      <w:r w:rsidRPr="003A0A8B">
        <w:rPr>
          <w:rFonts w:ascii="Arial" w:hAnsi="Arial"/>
          <w:sz w:val="14"/>
          <w:szCs w:val="14"/>
          <w:lang w:val="en-AU"/>
        </w:rPr>
        <w:tab/>
      </w:r>
    </w:p>
    <w:p w14:paraId="451ED1CB" w14:textId="77777777" w:rsidR="004A4149" w:rsidRPr="004A4149" w:rsidRDefault="004A4149" w:rsidP="004A4149">
      <w:pPr>
        <w:tabs>
          <w:tab w:val="left" w:pos="284"/>
        </w:tabs>
        <w:spacing w:before="0" w:after="0"/>
        <w:ind w:left="284" w:hanging="284"/>
        <w:rPr>
          <w:rFonts w:ascii="Arial" w:hAnsi="Arial"/>
          <w:sz w:val="14"/>
          <w:szCs w:val="14"/>
          <w:lang w:val="en-AU"/>
        </w:rPr>
      </w:pPr>
      <w:r w:rsidRPr="004A4149">
        <w:rPr>
          <w:rFonts w:ascii="Arial" w:hAnsi="Arial"/>
          <w:sz w:val="14"/>
          <w:szCs w:val="14"/>
          <w:lang w:val="en-AU"/>
        </w:rPr>
        <w:tab/>
      </w:r>
      <w:r w:rsidRPr="004A4149">
        <w:rPr>
          <w:rFonts w:ascii="Arial" w:hAnsi="Arial"/>
          <w:sz w:val="14"/>
          <w:szCs w:val="14"/>
          <w:lang w:val="en-AU"/>
        </w:rPr>
        <w:tab/>
      </w:r>
      <w:r w:rsidRPr="004A4149">
        <w:rPr>
          <w:rFonts w:ascii="Arial" w:hAnsi="Arial"/>
          <w:sz w:val="14"/>
          <w:szCs w:val="14"/>
          <w:lang w:val="en-AU"/>
        </w:rPr>
        <w:tab/>
      </w:r>
      <w:r w:rsidRPr="004A4149">
        <w:rPr>
          <w:rFonts w:ascii="Arial" w:hAnsi="Arial"/>
          <w:sz w:val="14"/>
          <w:szCs w:val="14"/>
          <w:lang w:val="en-AU"/>
        </w:rPr>
        <w:tab/>
      </w:r>
      <w:r w:rsidRPr="004A4149">
        <w:rPr>
          <w:rFonts w:ascii="Arial" w:hAnsi="Arial"/>
          <w:sz w:val="14"/>
          <w:szCs w:val="14"/>
          <w:lang w:val="en-AU"/>
        </w:rPr>
        <w:tab/>
      </w:r>
    </w:p>
    <w:p w14:paraId="4A633595" w14:textId="77777777" w:rsidR="00DC3903" w:rsidRPr="00B56FAA" w:rsidRDefault="001C2D62" w:rsidP="000142CB">
      <w:pPr>
        <w:spacing w:before="0" w:after="0"/>
        <w:outlineLvl w:val="5"/>
        <w:rPr>
          <w:color w:val="FFFFFF"/>
          <w:sz w:val="2"/>
        </w:rPr>
      </w:pPr>
      <w:r w:rsidRPr="00B56FAA">
        <w:rPr>
          <w:lang w:val="en-AU"/>
        </w:rPr>
        <w:br w:type="page"/>
      </w:r>
      <w:r w:rsidR="00DC3903" w:rsidRPr="00B56FAA">
        <w:rPr>
          <w:color w:val="FFFFFF"/>
          <w:sz w:val="2"/>
        </w:rPr>
        <w:lastRenderedPageBreak/>
        <w:t>Program 2.9: Capability Acquisition and Sustainment</w:t>
      </w:r>
    </w:p>
    <w:tbl>
      <w:tblPr>
        <w:tblW w:w="4852"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1670"/>
        <w:gridCol w:w="2882"/>
        <w:gridCol w:w="3058"/>
      </w:tblGrid>
      <w:tr w:rsidR="00F7100A" w:rsidRPr="00B56FAA" w14:paraId="60FA8E46" w14:textId="77777777" w:rsidTr="0004322A">
        <w:tc>
          <w:tcPr>
            <w:tcW w:w="8353" w:type="dxa"/>
            <w:gridSpan w:val="3"/>
            <w:tcBorders>
              <w:bottom w:val="single" w:sz="4" w:space="0" w:color="auto"/>
            </w:tcBorders>
            <w:shd w:val="clear" w:color="auto" w:fill="CCCCCC"/>
          </w:tcPr>
          <w:p w14:paraId="5B0B70FD" w14:textId="77777777" w:rsidR="00F7100A" w:rsidRPr="00B56FAA" w:rsidRDefault="00F7100A" w:rsidP="00303907">
            <w:pPr>
              <w:pStyle w:val="Heading5"/>
              <w:spacing w:before="60" w:after="60"/>
            </w:pPr>
            <w:r w:rsidRPr="00B56FAA">
              <w:br w:type="page"/>
              <w:t>Program 2.9: Capability Acquisition and Sustainment</w:t>
            </w:r>
            <w:r>
              <w:t xml:space="preserve"> (including Guided</w:t>
            </w:r>
            <w:r w:rsidR="00303907">
              <w:t xml:space="preserve"> Weapon and Explosive Ordnance</w:t>
            </w:r>
            <w:r w:rsidR="00CB5C06">
              <w:t xml:space="preserve"> Group</w:t>
            </w:r>
            <w:r>
              <w:t>)</w:t>
            </w:r>
          </w:p>
        </w:tc>
      </w:tr>
      <w:tr w:rsidR="00F7100A" w:rsidRPr="00B56FAA" w14:paraId="7B8C9BEA" w14:textId="77777777" w:rsidTr="0004322A">
        <w:trPr>
          <w:trHeight w:val="113"/>
        </w:trPr>
        <w:tc>
          <w:tcPr>
            <w:tcW w:w="8353" w:type="dxa"/>
            <w:gridSpan w:val="3"/>
            <w:tcBorders>
              <w:left w:val="nil"/>
              <w:bottom w:val="single" w:sz="4" w:space="0" w:color="auto"/>
              <w:right w:val="nil"/>
            </w:tcBorders>
            <w:shd w:val="clear" w:color="auto" w:fill="auto"/>
          </w:tcPr>
          <w:p w14:paraId="0730F0A5" w14:textId="77777777" w:rsidR="00F7100A" w:rsidRPr="00B56FAA" w:rsidRDefault="00F7100A" w:rsidP="00072EF9">
            <w:pPr>
              <w:pStyle w:val="Heading5"/>
              <w:spacing w:before="0" w:after="0"/>
              <w:rPr>
                <w:sz w:val="16"/>
                <w:szCs w:val="16"/>
              </w:rPr>
            </w:pPr>
          </w:p>
        </w:tc>
      </w:tr>
      <w:tr w:rsidR="00F7100A" w:rsidRPr="00570DF8" w14:paraId="1C286261" w14:textId="77777777" w:rsidTr="0004322A">
        <w:tblPrEx>
          <w:shd w:val="clear" w:color="auto" w:fill="auto"/>
          <w:tblLook w:val="04A0" w:firstRow="1" w:lastRow="0" w:firstColumn="1" w:lastColumn="0" w:noHBand="0" w:noVBand="1"/>
        </w:tblPrEx>
        <w:trPr>
          <w:tblHeader/>
        </w:trPr>
        <w:tc>
          <w:tcPr>
            <w:tcW w:w="8353" w:type="dxa"/>
            <w:gridSpan w:val="3"/>
            <w:shd w:val="clear" w:color="auto" w:fill="E6E6E6"/>
          </w:tcPr>
          <w:p w14:paraId="5C466621" w14:textId="77777777" w:rsidR="00F7100A" w:rsidRPr="00570DF8" w:rsidRDefault="00F7100A" w:rsidP="00072EF9">
            <w:pPr>
              <w:tabs>
                <w:tab w:val="left" w:pos="709"/>
              </w:tabs>
              <w:spacing w:before="60" w:after="60"/>
              <w:rPr>
                <w:rFonts w:ascii="Arial" w:hAnsi="Arial"/>
                <w:sz w:val="16"/>
                <w:szCs w:val="16"/>
              </w:rPr>
            </w:pPr>
            <w:r w:rsidRPr="00570DF8">
              <w:rPr>
                <w:rFonts w:ascii="Arial" w:hAnsi="Arial"/>
                <w:b/>
                <w:sz w:val="16"/>
                <w:szCs w:val="16"/>
              </w:rPr>
              <w:t>Program 2.9</w:t>
            </w:r>
            <w:r w:rsidRPr="00570DF8">
              <w:rPr>
                <w:rFonts w:ascii="Arial" w:hAnsi="Arial"/>
                <w:sz w:val="16"/>
                <w:szCs w:val="16"/>
              </w:rPr>
              <w:t xml:space="preserve"> </w:t>
            </w:r>
            <w:r w:rsidRPr="00570DF8">
              <w:rPr>
                <w:rFonts w:ascii="Arial" w:hAnsi="Arial"/>
                <w:b/>
                <w:sz w:val="16"/>
                <w:szCs w:val="16"/>
              </w:rPr>
              <w:t>Objective</w:t>
            </w:r>
          </w:p>
          <w:p w14:paraId="13C8DF3A" w14:textId="77777777" w:rsidR="00F7100A" w:rsidRPr="00570DF8" w:rsidRDefault="00F7100A" w:rsidP="00072EF9">
            <w:pPr>
              <w:tabs>
                <w:tab w:val="left" w:pos="709"/>
              </w:tabs>
              <w:spacing w:before="60" w:after="60"/>
              <w:jc w:val="both"/>
              <w:rPr>
                <w:rFonts w:ascii="Arial" w:hAnsi="Arial"/>
                <w:sz w:val="16"/>
                <w:szCs w:val="16"/>
              </w:rPr>
            </w:pPr>
            <w:r w:rsidRPr="00570DF8">
              <w:rPr>
                <w:rFonts w:ascii="Arial" w:hAnsi="Arial"/>
                <w:sz w:val="16"/>
                <w:szCs w:val="16"/>
                <w:lang w:val="en-AU"/>
              </w:rPr>
              <w:t>To acquire and sustain Defence equipment, including supplies and services, in the quantities and to the service levels required by Defence and approved by Government.</w:t>
            </w:r>
          </w:p>
        </w:tc>
      </w:tr>
      <w:tr w:rsidR="00F7100A" w:rsidRPr="00570DF8" w14:paraId="04669939" w14:textId="77777777" w:rsidTr="003C0162">
        <w:tblPrEx>
          <w:shd w:val="clear" w:color="auto" w:fill="auto"/>
          <w:tblLook w:val="04A0" w:firstRow="1" w:lastRow="0" w:firstColumn="1" w:lastColumn="0" w:noHBand="0" w:noVBand="1"/>
        </w:tblPrEx>
        <w:trPr>
          <w:trHeight w:val="312"/>
        </w:trPr>
        <w:tc>
          <w:tcPr>
            <w:tcW w:w="1799" w:type="dxa"/>
            <w:tcBorders>
              <w:bottom w:val="single" w:sz="4" w:space="0" w:color="auto"/>
            </w:tcBorders>
          </w:tcPr>
          <w:p w14:paraId="5452E074" w14:textId="4CC9E56E" w:rsidR="00F7100A" w:rsidRPr="00570DF8" w:rsidRDefault="00F7100A" w:rsidP="00AD3193">
            <w:pPr>
              <w:tabs>
                <w:tab w:val="left" w:pos="709"/>
              </w:tabs>
              <w:spacing w:before="60" w:after="60"/>
              <w:rPr>
                <w:rFonts w:ascii="Arial" w:hAnsi="Arial"/>
                <w:b/>
                <w:color w:val="000000"/>
                <w:sz w:val="16"/>
                <w:szCs w:val="16"/>
              </w:rPr>
            </w:pPr>
            <w:r w:rsidRPr="00570DF8">
              <w:rPr>
                <w:rFonts w:ascii="Arial" w:hAnsi="Arial"/>
                <w:b/>
                <w:color w:val="000000"/>
                <w:sz w:val="16"/>
                <w:szCs w:val="16"/>
              </w:rPr>
              <w:t>Key Activities</w:t>
            </w:r>
          </w:p>
        </w:tc>
        <w:tc>
          <w:tcPr>
            <w:tcW w:w="6554" w:type="dxa"/>
            <w:gridSpan w:val="2"/>
            <w:tcBorders>
              <w:bottom w:val="single" w:sz="4" w:space="0" w:color="auto"/>
            </w:tcBorders>
          </w:tcPr>
          <w:p w14:paraId="0A79AB58" w14:textId="77777777" w:rsidR="00F7100A" w:rsidRPr="00570DF8" w:rsidRDefault="00F7100A" w:rsidP="00072EF9">
            <w:pPr>
              <w:tabs>
                <w:tab w:val="left" w:pos="343"/>
              </w:tabs>
              <w:spacing w:before="60" w:after="60"/>
              <w:rPr>
                <w:rFonts w:ascii="Arial" w:hAnsi="Arial"/>
                <w:bCs/>
                <w:color w:val="000000"/>
                <w:sz w:val="16"/>
                <w:szCs w:val="16"/>
                <w:lang w:val="en-AU"/>
              </w:rPr>
            </w:pPr>
            <w:r w:rsidRPr="00570DF8">
              <w:rPr>
                <w:rFonts w:ascii="Arial" w:hAnsi="Arial"/>
                <w:bCs/>
                <w:color w:val="000000"/>
                <w:sz w:val="16"/>
                <w:szCs w:val="16"/>
                <w:lang w:val="en-AU"/>
              </w:rPr>
              <w:t>This program will be achieved through the following activities:</w:t>
            </w:r>
          </w:p>
          <w:p w14:paraId="78AF0357" w14:textId="77777777" w:rsidR="002D5F62" w:rsidRPr="00570DF8" w:rsidRDefault="00F7100A" w:rsidP="00072EF9">
            <w:pPr>
              <w:tabs>
                <w:tab w:val="left" w:pos="343"/>
              </w:tabs>
              <w:spacing w:before="60" w:after="60"/>
              <w:rPr>
                <w:rFonts w:ascii="Arial" w:hAnsi="Arial"/>
                <w:sz w:val="16"/>
                <w:szCs w:val="16"/>
              </w:rPr>
            </w:pPr>
            <w:r w:rsidRPr="00570DF8">
              <w:rPr>
                <w:rFonts w:ascii="Arial" w:hAnsi="Arial"/>
                <w:b/>
                <w:sz w:val="16"/>
                <w:szCs w:val="16"/>
                <w:lang w:val="en-AU"/>
              </w:rPr>
              <w:t>6. Deliver future capability</w:t>
            </w:r>
            <w:r w:rsidRPr="00570DF8">
              <w:rPr>
                <w:rFonts w:ascii="Arial" w:hAnsi="Arial"/>
                <w:sz w:val="16"/>
                <w:szCs w:val="16"/>
                <w:lang w:val="en-AU"/>
              </w:rPr>
              <w:t xml:space="preserve">. </w:t>
            </w:r>
            <w:r w:rsidRPr="00570DF8">
              <w:rPr>
                <w:rFonts w:ascii="Arial" w:hAnsi="Arial"/>
                <w:sz w:val="16"/>
                <w:szCs w:val="16"/>
              </w:rPr>
              <w:t>Defence will accelerate the development of important capabilities over the next decade to build an integrated, focused force across the maritime, land, air, space and cyber domains. This will ensure the Australian Defence Force has the capacity to defend Australia and its national interests in our evolving strategic circumstances and deter adversaries through a strategy of denial.</w:t>
            </w:r>
          </w:p>
          <w:p w14:paraId="6D201F88" w14:textId="4246F8B0" w:rsidR="00F7100A" w:rsidRPr="00570DF8" w:rsidRDefault="00F7100A" w:rsidP="00072EF9">
            <w:pPr>
              <w:tabs>
                <w:tab w:val="left" w:pos="343"/>
              </w:tabs>
              <w:spacing w:before="60" w:after="60"/>
              <w:rPr>
                <w:rFonts w:ascii="Arial" w:hAnsi="Arial"/>
                <w:i/>
                <w:color w:val="000000"/>
                <w:sz w:val="16"/>
                <w:szCs w:val="16"/>
              </w:rPr>
            </w:pPr>
            <w:r w:rsidRPr="00570DF8">
              <w:rPr>
                <w:rFonts w:ascii="Arial" w:hAnsi="Arial"/>
                <w:b/>
                <w:sz w:val="16"/>
                <w:szCs w:val="16"/>
                <w:lang w:val="en-AU"/>
              </w:rPr>
              <w:t xml:space="preserve">7. </w:t>
            </w:r>
            <w:r w:rsidR="00D52996" w:rsidRPr="000E0486">
              <w:rPr>
                <w:rFonts w:ascii="Arial" w:hAnsi="Arial"/>
                <w:b/>
                <w:sz w:val="16"/>
                <w:szCs w:val="16"/>
                <w:lang w:val="en-AU"/>
              </w:rPr>
              <w:t xml:space="preserve">Develop the sovereign defence industrial base required for our national security. </w:t>
            </w:r>
            <w:r w:rsidR="00D52996" w:rsidRPr="000E0486">
              <w:rPr>
                <w:rFonts w:ascii="Arial" w:hAnsi="Arial"/>
                <w:sz w:val="16"/>
                <w:szCs w:val="16"/>
                <w:lang w:val="en-AU"/>
              </w:rPr>
              <w:t>The Government’s significant investment in Defence over the coming decade will advance Australia’s prosperity through expenditure on defence capabilities, support to new and existing defence industries and the creation of jobs</w:t>
            </w:r>
            <w:r w:rsidRPr="00570DF8">
              <w:rPr>
                <w:rFonts w:ascii="Arial" w:hAnsi="Arial"/>
                <w:sz w:val="16"/>
                <w:szCs w:val="16"/>
                <w:lang w:val="en-AU"/>
              </w:rPr>
              <w:t>.</w:t>
            </w:r>
          </w:p>
        </w:tc>
      </w:tr>
      <w:tr w:rsidR="00F7100A" w:rsidRPr="00570DF8" w14:paraId="19ADA5FE" w14:textId="77777777" w:rsidTr="003C0162">
        <w:tblPrEx>
          <w:shd w:val="clear" w:color="auto" w:fill="auto"/>
          <w:tblLook w:val="04A0" w:firstRow="1" w:lastRow="0" w:firstColumn="1" w:lastColumn="0" w:noHBand="0" w:noVBand="1"/>
        </w:tblPrEx>
        <w:trPr>
          <w:trHeight w:val="100"/>
        </w:trPr>
        <w:tc>
          <w:tcPr>
            <w:tcW w:w="1799" w:type="dxa"/>
            <w:tcBorders>
              <w:top w:val="single" w:sz="4" w:space="0" w:color="auto"/>
              <w:bottom w:val="single" w:sz="4" w:space="0" w:color="auto"/>
              <w:right w:val="single" w:sz="4" w:space="0" w:color="auto"/>
            </w:tcBorders>
          </w:tcPr>
          <w:p w14:paraId="6F10DA13" w14:textId="77777777" w:rsidR="00F7100A" w:rsidRPr="00570DF8" w:rsidRDefault="00F7100A" w:rsidP="00072EF9">
            <w:pPr>
              <w:tabs>
                <w:tab w:val="left" w:pos="709"/>
              </w:tabs>
              <w:spacing w:before="60" w:after="60"/>
              <w:rPr>
                <w:rFonts w:ascii="Arial" w:hAnsi="Arial"/>
                <w:color w:val="000000"/>
                <w:sz w:val="16"/>
                <w:szCs w:val="16"/>
              </w:rPr>
            </w:pPr>
            <w:r w:rsidRPr="00570DF8">
              <w:rPr>
                <w:rFonts w:ascii="Arial" w:hAnsi="Arial"/>
                <w:b/>
                <w:color w:val="000000"/>
                <w:sz w:val="16"/>
                <w:szCs w:val="16"/>
              </w:rPr>
              <w:t>Year</w:t>
            </w:r>
          </w:p>
        </w:tc>
        <w:tc>
          <w:tcPr>
            <w:tcW w:w="3174" w:type="dxa"/>
            <w:tcBorders>
              <w:top w:val="single" w:sz="4" w:space="0" w:color="auto"/>
              <w:left w:val="single" w:sz="4" w:space="0" w:color="auto"/>
              <w:bottom w:val="single" w:sz="4" w:space="0" w:color="auto"/>
              <w:right w:val="single" w:sz="4" w:space="0" w:color="auto"/>
            </w:tcBorders>
          </w:tcPr>
          <w:p w14:paraId="748AF7D8" w14:textId="77777777" w:rsidR="00F7100A" w:rsidRPr="00570DF8" w:rsidRDefault="00F7100A" w:rsidP="00072EF9">
            <w:pPr>
              <w:tabs>
                <w:tab w:val="left" w:pos="709"/>
              </w:tabs>
              <w:spacing w:before="60" w:after="60"/>
              <w:rPr>
                <w:rFonts w:ascii="Arial" w:hAnsi="Arial"/>
                <w:color w:val="000000"/>
              </w:rPr>
            </w:pPr>
            <w:r w:rsidRPr="00570DF8">
              <w:rPr>
                <w:rFonts w:ascii="Arial" w:hAnsi="Arial"/>
                <w:b/>
                <w:color w:val="000000"/>
                <w:sz w:val="16"/>
                <w:szCs w:val="16"/>
              </w:rPr>
              <w:t>Performance measures</w:t>
            </w:r>
          </w:p>
        </w:tc>
        <w:tc>
          <w:tcPr>
            <w:tcW w:w="3380" w:type="dxa"/>
            <w:tcBorders>
              <w:top w:val="single" w:sz="4" w:space="0" w:color="auto"/>
              <w:left w:val="single" w:sz="4" w:space="0" w:color="auto"/>
              <w:bottom w:val="single" w:sz="4" w:space="0" w:color="auto"/>
            </w:tcBorders>
          </w:tcPr>
          <w:p w14:paraId="12531DDF" w14:textId="77777777" w:rsidR="00F7100A" w:rsidRPr="00570DF8" w:rsidRDefault="00F7100A" w:rsidP="00072EF9">
            <w:pPr>
              <w:tabs>
                <w:tab w:val="left" w:pos="709"/>
              </w:tabs>
              <w:spacing w:before="60" w:after="60"/>
              <w:rPr>
                <w:rFonts w:ascii="Arial" w:hAnsi="Arial"/>
                <w:i/>
                <w:color w:val="000000"/>
                <w:sz w:val="16"/>
                <w:szCs w:val="16"/>
              </w:rPr>
            </w:pPr>
            <w:r w:rsidRPr="00570DF8">
              <w:rPr>
                <w:rFonts w:ascii="Arial" w:hAnsi="Arial"/>
                <w:b/>
                <w:color w:val="000000"/>
                <w:sz w:val="16"/>
                <w:szCs w:val="16"/>
              </w:rPr>
              <w:t>Expected Performance Results</w:t>
            </w:r>
          </w:p>
        </w:tc>
      </w:tr>
      <w:tr w:rsidR="00570DF8" w:rsidRPr="00570DF8" w14:paraId="482FF05D" w14:textId="77777777" w:rsidTr="003C0162">
        <w:tblPrEx>
          <w:shd w:val="clear" w:color="auto" w:fill="auto"/>
          <w:tblLook w:val="04A0" w:firstRow="1" w:lastRow="0" w:firstColumn="1" w:lastColumn="0" w:noHBand="0" w:noVBand="1"/>
        </w:tblPrEx>
        <w:trPr>
          <w:trHeight w:val="305"/>
        </w:trPr>
        <w:tc>
          <w:tcPr>
            <w:tcW w:w="1799" w:type="dxa"/>
            <w:vMerge w:val="restart"/>
            <w:tcBorders>
              <w:top w:val="single" w:sz="4" w:space="0" w:color="auto"/>
              <w:right w:val="single" w:sz="4" w:space="0" w:color="auto"/>
            </w:tcBorders>
          </w:tcPr>
          <w:p w14:paraId="35C5BAAB" w14:textId="77777777" w:rsidR="00570DF8" w:rsidRPr="00570DF8" w:rsidRDefault="00570DF8" w:rsidP="00570DF8">
            <w:pPr>
              <w:tabs>
                <w:tab w:val="left" w:pos="709"/>
              </w:tabs>
              <w:spacing w:before="0" w:after="0"/>
              <w:rPr>
                <w:rFonts w:ascii="Arial" w:hAnsi="Arial"/>
                <w:color w:val="000000"/>
                <w:sz w:val="16"/>
                <w:szCs w:val="16"/>
              </w:rPr>
            </w:pPr>
            <w:r w:rsidRPr="00570DF8">
              <w:rPr>
                <w:rFonts w:ascii="Arial" w:hAnsi="Arial"/>
                <w:color w:val="000000"/>
                <w:sz w:val="16"/>
                <w:szCs w:val="16"/>
              </w:rPr>
              <w:t>Current Year</w:t>
            </w:r>
          </w:p>
          <w:p w14:paraId="7D971134" w14:textId="77777777" w:rsidR="00570DF8" w:rsidRPr="00570DF8" w:rsidRDefault="00570DF8" w:rsidP="00570DF8">
            <w:pPr>
              <w:tabs>
                <w:tab w:val="left" w:pos="709"/>
              </w:tabs>
              <w:spacing w:before="0" w:after="0"/>
              <w:rPr>
                <w:rFonts w:ascii="Arial" w:hAnsi="Arial"/>
                <w:color w:val="000000"/>
                <w:sz w:val="16"/>
                <w:szCs w:val="16"/>
              </w:rPr>
            </w:pPr>
            <w:r w:rsidRPr="00570DF8">
              <w:rPr>
                <w:rFonts w:ascii="Arial" w:hAnsi="Arial"/>
                <w:color w:val="000000"/>
                <w:sz w:val="16"/>
                <w:szCs w:val="16"/>
              </w:rPr>
              <w:t>2024-25</w:t>
            </w:r>
          </w:p>
        </w:tc>
        <w:tc>
          <w:tcPr>
            <w:tcW w:w="3174" w:type="dxa"/>
            <w:tcBorders>
              <w:top w:val="single" w:sz="4" w:space="0" w:color="auto"/>
              <w:left w:val="single" w:sz="4" w:space="0" w:color="auto"/>
              <w:bottom w:val="dotted" w:sz="4" w:space="0" w:color="auto"/>
              <w:right w:val="single" w:sz="4" w:space="0" w:color="auto"/>
            </w:tcBorders>
          </w:tcPr>
          <w:p w14:paraId="277BE4FD" w14:textId="77777777" w:rsidR="00570DF8" w:rsidRPr="00F10ED5" w:rsidRDefault="00570DF8" w:rsidP="00002F5C">
            <w:pPr>
              <w:tabs>
                <w:tab w:val="left" w:pos="709"/>
              </w:tabs>
              <w:spacing w:before="60" w:after="60"/>
              <w:rPr>
                <w:rFonts w:ascii="Arial" w:hAnsi="Arial"/>
                <w:color w:val="000000"/>
                <w:sz w:val="16"/>
                <w:szCs w:val="16"/>
              </w:rPr>
            </w:pPr>
            <w:r w:rsidRPr="00F10ED5">
              <w:rPr>
                <w:rFonts w:ascii="Arial" w:hAnsi="Arial"/>
                <w:sz w:val="16"/>
                <w:szCs w:val="16"/>
                <w:lang w:val="en-AU"/>
              </w:rPr>
              <w:t xml:space="preserve">6.1: Defence is delivering the right future capability at the right time within the Integrated Investment Program to ensure it is equipped to respond to future security challenges as directed by the </w:t>
            </w:r>
            <w:r w:rsidRPr="00002F5C">
              <w:rPr>
                <w:rFonts w:ascii="Arial" w:hAnsi="Arial"/>
                <w:i/>
                <w:sz w:val="16"/>
                <w:szCs w:val="16"/>
                <w:lang w:val="en-AU"/>
              </w:rPr>
              <w:t>2024 National Defence Strategy</w:t>
            </w:r>
            <w:r w:rsidRPr="00F10ED5">
              <w:rPr>
                <w:rFonts w:ascii="Arial" w:hAnsi="Arial"/>
                <w:sz w:val="16"/>
                <w:szCs w:val="16"/>
                <w:lang w:val="en-AU"/>
              </w:rPr>
              <w:t>.</w:t>
            </w:r>
          </w:p>
        </w:tc>
        <w:tc>
          <w:tcPr>
            <w:tcW w:w="3380" w:type="dxa"/>
            <w:tcBorders>
              <w:top w:val="single" w:sz="4" w:space="0" w:color="auto"/>
              <w:left w:val="single" w:sz="4" w:space="0" w:color="auto"/>
              <w:bottom w:val="dotted" w:sz="4" w:space="0" w:color="auto"/>
            </w:tcBorders>
          </w:tcPr>
          <w:p w14:paraId="570C835E" w14:textId="77777777" w:rsidR="00570DF8" w:rsidRPr="00F10ED5" w:rsidRDefault="00570DF8" w:rsidP="00570DF8">
            <w:pPr>
              <w:tabs>
                <w:tab w:val="left" w:pos="709"/>
              </w:tabs>
              <w:spacing w:before="60" w:after="60"/>
              <w:rPr>
                <w:rFonts w:ascii="Arial" w:hAnsi="Arial"/>
                <w:sz w:val="16"/>
                <w:szCs w:val="16"/>
                <w:lang w:val="en-AU"/>
              </w:rPr>
            </w:pPr>
            <w:r w:rsidRPr="00F10ED5">
              <w:rPr>
                <w:rFonts w:ascii="Arial" w:hAnsi="Arial"/>
                <w:sz w:val="16"/>
                <w:szCs w:val="16"/>
                <w:lang w:val="en-AU"/>
              </w:rPr>
              <w:t>80 per cent or more of approved Integrated Investment Program projects across all domains are on track to deliver the scope approved by Government within Government approved cost and schedule.</w:t>
            </w:r>
          </w:p>
          <w:p w14:paraId="1618959A" w14:textId="75FA80EB" w:rsidR="00570DF8" w:rsidRPr="00F10ED5" w:rsidRDefault="00F10ED5" w:rsidP="00570DF8">
            <w:pPr>
              <w:tabs>
                <w:tab w:val="left" w:pos="709"/>
              </w:tabs>
              <w:spacing w:before="60" w:after="60"/>
              <w:jc w:val="right"/>
              <w:rPr>
                <w:rFonts w:ascii="Arial" w:hAnsi="Arial"/>
                <w:sz w:val="16"/>
                <w:szCs w:val="16"/>
              </w:rPr>
            </w:pPr>
            <w:r w:rsidRPr="00F10ED5">
              <w:rPr>
                <w:rFonts w:ascii="Arial" w:hAnsi="Arial"/>
                <w:i/>
                <w:sz w:val="16"/>
                <w:szCs w:val="16"/>
                <w:lang w:val="en-AU"/>
              </w:rPr>
              <w:t>Expected to be substantially achieved.</w:t>
            </w:r>
          </w:p>
        </w:tc>
      </w:tr>
      <w:tr w:rsidR="00570DF8" w:rsidRPr="00570DF8" w14:paraId="2E6B8EF7" w14:textId="77777777" w:rsidTr="003C0162">
        <w:tblPrEx>
          <w:shd w:val="clear" w:color="auto" w:fill="auto"/>
          <w:tblLook w:val="04A0" w:firstRow="1" w:lastRow="0" w:firstColumn="1" w:lastColumn="0" w:noHBand="0" w:noVBand="1"/>
        </w:tblPrEx>
        <w:trPr>
          <w:trHeight w:val="305"/>
        </w:trPr>
        <w:tc>
          <w:tcPr>
            <w:tcW w:w="1799" w:type="dxa"/>
            <w:vMerge/>
            <w:tcBorders>
              <w:bottom w:val="single" w:sz="4" w:space="0" w:color="auto"/>
              <w:right w:val="single" w:sz="4" w:space="0" w:color="auto"/>
            </w:tcBorders>
          </w:tcPr>
          <w:p w14:paraId="7224FB32" w14:textId="77777777" w:rsidR="00570DF8" w:rsidRPr="00570DF8" w:rsidRDefault="00570DF8" w:rsidP="00570DF8">
            <w:pPr>
              <w:tabs>
                <w:tab w:val="left" w:pos="709"/>
              </w:tabs>
              <w:spacing w:before="60" w:after="60"/>
              <w:rPr>
                <w:rFonts w:ascii="Arial" w:hAnsi="Arial"/>
                <w:color w:val="000000"/>
                <w:sz w:val="16"/>
                <w:szCs w:val="16"/>
              </w:rPr>
            </w:pPr>
          </w:p>
        </w:tc>
        <w:tc>
          <w:tcPr>
            <w:tcW w:w="3174" w:type="dxa"/>
            <w:tcBorders>
              <w:top w:val="dotted" w:sz="4" w:space="0" w:color="auto"/>
              <w:left w:val="single" w:sz="4" w:space="0" w:color="auto"/>
              <w:bottom w:val="single" w:sz="4" w:space="0" w:color="auto"/>
              <w:right w:val="single" w:sz="4" w:space="0" w:color="auto"/>
            </w:tcBorders>
          </w:tcPr>
          <w:p w14:paraId="0FC59E16" w14:textId="2F52C20E" w:rsidR="00570DF8" w:rsidRPr="00F10ED5" w:rsidRDefault="00F10ED5" w:rsidP="00570DF8">
            <w:pPr>
              <w:tabs>
                <w:tab w:val="left" w:pos="709"/>
              </w:tabs>
              <w:spacing w:before="60" w:after="60"/>
              <w:rPr>
                <w:rFonts w:ascii="Arial" w:hAnsi="Arial"/>
                <w:color w:val="000000"/>
                <w:sz w:val="16"/>
                <w:szCs w:val="16"/>
              </w:rPr>
            </w:pPr>
            <w:r w:rsidRPr="00F10ED5">
              <w:rPr>
                <w:rFonts w:ascii="Arial" w:hAnsi="Arial"/>
                <w:sz w:val="16"/>
                <w:szCs w:val="16"/>
                <w:lang w:val="en-AU"/>
              </w:rPr>
              <w:t>7.1: Defence strengthen</w:t>
            </w:r>
            <w:r w:rsidR="001809FC">
              <w:rPr>
                <w:rFonts w:ascii="Arial" w:hAnsi="Arial"/>
                <w:sz w:val="16"/>
                <w:szCs w:val="16"/>
                <w:lang w:val="en-AU"/>
              </w:rPr>
              <w:t>s the sovereign defence industrial</w:t>
            </w:r>
            <w:r w:rsidRPr="00F10ED5">
              <w:rPr>
                <w:rFonts w:ascii="Arial" w:hAnsi="Arial"/>
                <w:sz w:val="16"/>
                <w:szCs w:val="16"/>
                <w:lang w:val="en-AU"/>
              </w:rPr>
              <w:t xml:space="preserve"> base across critical industrial capabilities.</w:t>
            </w:r>
          </w:p>
        </w:tc>
        <w:tc>
          <w:tcPr>
            <w:tcW w:w="3380" w:type="dxa"/>
            <w:tcBorders>
              <w:top w:val="dotted" w:sz="4" w:space="0" w:color="auto"/>
              <w:left w:val="single" w:sz="4" w:space="0" w:color="auto"/>
              <w:bottom w:val="single" w:sz="4" w:space="0" w:color="auto"/>
            </w:tcBorders>
          </w:tcPr>
          <w:p w14:paraId="23C990ED" w14:textId="77777777" w:rsidR="00F10ED5" w:rsidRPr="00F10ED5" w:rsidRDefault="00F10ED5" w:rsidP="00433E44">
            <w:pPr>
              <w:tabs>
                <w:tab w:val="left" w:pos="709"/>
              </w:tabs>
              <w:spacing w:before="60" w:after="0"/>
              <w:rPr>
                <w:rFonts w:ascii="Arial" w:hAnsi="Arial"/>
                <w:color w:val="000000"/>
                <w:sz w:val="16"/>
                <w:szCs w:val="16"/>
              </w:rPr>
            </w:pPr>
            <w:r w:rsidRPr="00F10ED5">
              <w:rPr>
                <w:rFonts w:ascii="Arial" w:hAnsi="Arial"/>
                <w:color w:val="000000"/>
                <w:sz w:val="16"/>
                <w:szCs w:val="16"/>
              </w:rPr>
              <w:t>80 per cent or more of the Defence Industry Development Grant Program budgeted allocation is awarded; supports Australian defence industry in international markets; provides a direct economic contribution to the Australian economy; drives investment in innovation, science and technology to deliver defence priorities; meets or exceeds Indigenous procurement targets; and supports the development of the domestic manufacture of guided weapons, explosive ordnance and munitions.</w:t>
            </w:r>
          </w:p>
          <w:p w14:paraId="78108FDA" w14:textId="761A7EA0" w:rsidR="00570DF8" w:rsidRPr="00F10ED5" w:rsidRDefault="00F10ED5" w:rsidP="00433E44">
            <w:pPr>
              <w:tabs>
                <w:tab w:val="left" w:pos="709"/>
              </w:tabs>
              <w:spacing w:before="0" w:after="60"/>
              <w:jc w:val="right"/>
              <w:rPr>
                <w:rFonts w:ascii="Arial" w:hAnsi="Arial"/>
                <w:color w:val="000000"/>
                <w:sz w:val="16"/>
                <w:szCs w:val="16"/>
              </w:rPr>
            </w:pPr>
            <w:r w:rsidRPr="00F10ED5">
              <w:rPr>
                <w:rFonts w:ascii="Arial" w:hAnsi="Arial"/>
                <w:i/>
                <w:sz w:val="16"/>
                <w:szCs w:val="16"/>
                <w:lang w:val="en-AU"/>
              </w:rPr>
              <w:t>Expected to be achieved.</w:t>
            </w:r>
          </w:p>
        </w:tc>
      </w:tr>
      <w:tr w:rsidR="0004322A" w:rsidRPr="00570DF8" w14:paraId="108AAC2A" w14:textId="77777777" w:rsidTr="003C0162">
        <w:tblPrEx>
          <w:shd w:val="clear" w:color="auto" w:fill="auto"/>
          <w:tblLook w:val="04A0" w:firstRow="1" w:lastRow="0" w:firstColumn="1" w:lastColumn="0" w:noHBand="0" w:noVBand="1"/>
        </w:tblPrEx>
        <w:trPr>
          <w:trHeight w:val="258"/>
        </w:trPr>
        <w:tc>
          <w:tcPr>
            <w:tcW w:w="1799" w:type="dxa"/>
            <w:tcBorders>
              <w:top w:val="single" w:sz="4" w:space="0" w:color="auto"/>
              <w:bottom w:val="single" w:sz="4" w:space="0" w:color="auto"/>
              <w:right w:val="single" w:sz="4" w:space="0" w:color="auto"/>
            </w:tcBorders>
          </w:tcPr>
          <w:p w14:paraId="6F585B71" w14:textId="77777777" w:rsidR="0004322A" w:rsidRPr="00570DF8" w:rsidRDefault="0004322A" w:rsidP="0004322A">
            <w:pPr>
              <w:tabs>
                <w:tab w:val="left" w:pos="709"/>
              </w:tabs>
              <w:spacing w:before="60" w:after="60"/>
              <w:rPr>
                <w:rFonts w:ascii="Arial" w:hAnsi="Arial"/>
                <w:b/>
                <w:color w:val="000000"/>
                <w:sz w:val="16"/>
                <w:szCs w:val="16"/>
              </w:rPr>
            </w:pPr>
            <w:r w:rsidRPr="00570DF8">
              <w:rPr>
                <w:rFonts w:ascii="Arial" w:hAnsi="Arial"/>
                <w:b/>
                <w:color w:val="000000"/>
                <w:sz w:val="16"/>
                <w:szCs w:val="16"/>
              </w:rPr>
              <w:t>Year</w:t>
            </w:r>
          </w:p>
        </w:tc>
        <w:tc>
          <w:tcPr>
            <w:tcW w:w="3174" w:type="dxa"/>
            <w:tcBorders>
              <w:top w:val="single" w:sz="4" w:space="0" w:color="auto"/>
              <w:left w:val="single" w:sz="4" w:space="0" w:color="auto"/>
              <w:bottom w:val="single" w:sz="4" w:space="0" w:color="auto"/>
              <w:right w:val="single" w:sz="4" w:space="0" w:color="auto"/>
            </w:tcBorders>
          </w:tcPr>
          <w:p w14:paraId="2BB8E35B" w14:textId="77777777" w:rsidR="0004322A" w:rsidRPr="00570DF8" w:rsidRDefault="0004322A" w:rsidP="0004322A">
            <w:pPr>
              <w:tabs>
                <w:tab w:val="left" w:pos="709"/>
                <w:tab w:val="center" w:pos="1818"/>
              </w:tabs>
              <w:spacing w:before="60" w:after="60"/>
              <w:rPr>
                <w:rFonts w:ascii="Arial" w:hAnsi="Arial"/>
                <w:b/>
                <w:color w:val="000000"/>
                <w:sz w:val="16"/>
                <w:szCs w:val="16"/>
              </w:rPr>
            </w:pPr>
            <w:r w:rsidRPr="00570DF8">
              <w:rPr>
                <w:rFonts w:ascii="Arial" w:hAnsi="Arial"/>
                <w:b/>
                <w:color w:val="000000"/>
                <w:sz w:val="16"/>
                <w:szCs w:val="16"/>
              </w:rPr>
              <w:t>Performance measures</w:t>
            </w:r>
          </w:p>
        </w:tc>
        <w:tc>
          <w:tcPr>
            <w:tcW w:w="3380" w:type="dxa"/>
            <w:tcBorders>
              <w:top w:val="single" w:sz="4" w:space="0" w:color="auto"/>
              <w:left w:val="single" w:sz="4" w:space="0" w:color="auto"/>
              <w:bottom w:val="single" w:sz="4" w:space="0" w:color="auto"/>
            </w:tcBorders>
          </w:tcPr>
          <w:p w14:paraId="6EF6E3B6" w14:textId="77777777" w:rsidR="0004322A" w:rsidRPr="00570DF8" w:rsidRDefault="0004322A" w:rsidP="0004322A">
            <w:pPr>
              <w:tabs>
                <w:tab w:val="left" w:pos="709"/>
              </w:tabs>
              <w:spacing w:before="60" w:after="60"/>
              <w:rPr>
                <w:rFonts w:ascii="Arial" w:hAnsi="Arial"/>
                <w:b/>
                <w:color w:val="000000"/>
                <w:sz w:val="16"/>
                <w:szCs w:val="16"/>
              </w:rPr>
            </w:pPr>
            <w:r w:rsidRPr="00570DF8">
              <w:rPr>
                <w:rFonts w:ascii="Arial" w:hAnsi="Arial"/>
                <w:b/>
                <w:color w:val="000000"/>
                <w:sz w:val="16"/>
                <w:szCs w:val="16"/>
              </w:rPr>
              <w:t>Planned Performance Results</w:t>
            </w:r>
          </w:p>
        </w:tc>
      </w:tr>
      <w:tr w:rsidR="00570DF8" w:rsidRPr="00CD66E1" w14:paraId="5A5C26F3" w14:textId="77777777" w:rsidTr="0004322A">
        <w:tblPrEx>
          <w:shd w:val="clear" w:color="auto" w:fill="auto"/>
          <w:tblLook w:val="04A0" w:firstRow="1" w:lastRow="0" w:firstColumn="1" w:lastColumn="0" w:noHBand="0" w:noVBand="1"/>
        </w:tblPrEx>
        <w:trPr>
          <w:trHeight w:val="642"/>
        </w:trPr>
        <w:tc>
          <w:tcPr>
            <w:tcW w:w="1799" w:type="dxa"/>
            <w:vMerge w:val="restart"/>
            <w:tcBorders>
              <w:top w:val="single" w:sz="4" w:space="0" w:color="auto"/>
              <w:right w:val="single" w:sz="4" w:space="0" w:color="auto"/>
            </w:tcBorders>
          </w:tcPr>
          <w:p w14:paraId="32FB823A" w14:textId="77777777" w:rsidR="00570DF8" w:rsidRPr="00570DF8" w:rsidRDefault="00570DF8" w:rsidP="00570DF8">
            <w:pPr>
              <w:tabs>
                <w:tab w:val="left" w:pos="709"/>
              </w:tabs>
              <w:spacing w:before="0" w:after="0"/>
              <w:rPr>
                <w:rFonts w:ascii="Arial" w:hAnsi="Arial"/>
                <w:color w:val="000000"/>
                <w:sz w:val="16"/>
                <w:szCs w:val="16"/>
              </w:rPr>
            </w:pPr>
            <w:r>
              <w:rPr>
                <w:rFonts w:ascii="Arial" w:hAnsi="Arial"/>
                <w:color w:val="000000"/>
                <w:sz w:val="16"/>
                <w:szCs w:val="16"/>
              </w:rPr>
              <w:t>Budget Year</w:t>
            </w:r>
          </w:p>
          <w:p w14:paraId="75BFC308" w14:textId="77777777" w:rsidR="00570DF8" w:rsidRPr="00570DF8" w:rsidRDefault="00570DF8" w:rsidP="00570DF8">
            <w:pPr>
              <w:tabs>
                <w:tab w:val="left" w:pos="709"/>
              </w:tabs>
              <w:spacing w:before="0" w:after="0"/>
              <w:rPr>
                <w:rFonts w:ascii="Arial" w:hAnsi="Arial"/>
                <w:color w:val="000000"/>
                <w:sz w:val="16"/>
                <w:szCs w:val="16"/>
              </w:rPr>
            </w:pPr>
            <w:r w:rsidRPr="00570DF8">
              <w:rPr>
                <w:rFonts w:ascii="Arial" w:hAnsi="Arial"/>
                <w:color w:val="000000"/>
                <w:sz w:val="16"/>
                <w:szCs w:val="16"/>
              </w:rPr>
              <w:t>2025-26</w:t>
            </w:r>
            <w:r>
              <w:rPr>
                <w:rFonts w:ascii="Arial" w:hAnsi="Arial"/>
                <w:color w:val="000000"/>
                <w:sz w:val="16"/>
                <w:szCs w:val="16"/>
              </w:rPr>
              <w:t xml:space="preserve"> </w:t>
            </w:r>
            <w:r w:rsidRPr="00570DF8">
              <w:rPr>
                <w:rFonts w:ascii="Arial" w:hAnsi="Arial"/>
                <w:color w:val="000000"/>
                <w:sz w:val="16"/>
                <w:szCs w:val="16"/>
                <w:vertAlign w:val="superscript"/>
              </w:rPr>
              <w:t>[a]</w:t>
            </w:r>
          </w:p>
        </w:tc>
        <w:tc>
          <w:tcPr>
            <w:tcW w:w="3174" w:type="dxa"/>
            <w:tcBorders>
              <w:top w:val="single" w:sz="4" w:space="0" w:color="auto"/>
              <w:left w:val="single" w:sz="4" w:space="0" w:color="auto"/>
              <w:bottom w:val="dotted" w:sz="4" w:space="0" w:color="auto"/>
              <w:right w:val="single" w:sz="4" w:space="0" w:color="auto"/>
            </w:tcBorders>
          </w:tcPr>
          <w:p w14:paraId="58AA138C" w14:textId="77777777" w:rsidR="00570DF8" w:rsidRPr="00470FF0" w:rsidRDefault="00570DF8" w:rsidP="00002F5C">
            <w:pPr>
              <w:tabs>
                <w:tab w:val="left" w:pos="709"/>
              </w:tabs>
              <w:spacing w:before="60" w:after="60"/>
              <w:rPr>
                <w:rFonts w:ascii="Arial" w:hAnsi="Arial"/>
                <w:color w:val="000000"/>
                <w:sz w:val="16"/>
                <w:szCs w:val="16"/>
              </w:rPr>
            </w:pPr>
            <w:r w:rsidRPr="00880166">
              <w:rPr>
                <w:rFonts w:ascii="Arial" w:hAnsi="Arial"/>
                <w:sz w:val="16"/>
                <w:szCs w:val="16"/>
                <w:lang w:val="en-AU"/>
              </w:rPr>
              <w:t xml:space="preserve">6.1: Defence is delivering the right future capability at the right time within the Integrated Investment Program to ensure it is equipped to respond to future security challenges as directed by the </w:t>
            </w:r>
            <w:r w:rsidRPr="00002F5C">
              <w:rPr>
                <w:rFonts w:ascii="Arial" w:hAnsi="Arial"/>
                <w:i/>
                <w:sz w:val="16"/>
                <w:szCs w:val="16"/>
                <w:lang w:val="en-AU"/>
              </w:rPr>
              <w:t>2024 National Defence Strategy</w:t>
            </w:r>
            <w:r w:rsidRPr="00880166">
              <w:rPr>
                <w:rFonts w:ascii="Arial" w:hAnsi="Arial"/>
                <w:sz w:val="16"/>
                <w:szCs w:val="16"/>
                <w:lang w:val="en-AU"/>
              </w:rPr>
              <w:t>.</w:t>
            </w:r>
          </w:p>
        </w:tc>
        <w:tc>
          <w:tcPr>
            <w:tcW w:w="3380" w:type="dxa"/>
            <w:tcBorders>
              <w:top w:val="single" w:sz="4" w:space="0" w:color="auto"/>
              <w:left w:val="single" w:sz="4" w:space="0" w:color="auto"/>
              <w:bottom w:val="dotted" w:sz="4" w:space="0" w:color="auto"/>
            </w:tcBorders>
          </w:tcPr>
          <w:p w14:paraId="0FBCD5A0" w14:textId="77777777" w:rsidR="00570DF8" w:rsidRPr="0036429E" w:rsidRDefault="00570DF8" w:rsidP="00570DF8">
            <w:pPr>
              <w:tabs>
                <w:tab w:val="left" w:pos="709"/>
              </w:tabs>
              <w:spacing w:before="60" w:after="60"/>
              <w:rPr>
                <w:rFonts w:ascii="Arial" w:hAnsi="Arial"/>
                <w:sz w:val="16"/>
                <w:szCs w:val="16"/>
              </w:rPr>
            </w:pPr>
            <w:r w:rsidRPr="0036429E">
              <w:rPr>
                <w:rFonts w:ascii="Arial" w:hAnsi="Arial"/>
                <w:sz w:val="16"/>
                <w:szCs w:val="16"/>
                <w:lang w:val="en-AU"/>
              </w:rPr>
              <w:t>80 per cent or more of approved Integrated Investment Program projects across all domains are on track to deliver the scope approved by Government within Government approved cost and schedule.</w:t>
            </w:r>
          </w:p>
        </w:tc>
      </w:tr>
      <w:tr w:rsidR="00F10ED5" w:rsidRPr="00CD66E1" w14:paraId="69CD9B59" w14:textId="77777777" w:rsidTr="003C0162">
        <w:tblPrEx>
          <w:shd w:val="clear" w:color="auto" w:fill="auto"/>
          <w:tblLook w:val="04A0" w:firstRow="1" w:lastRow="0" w:firstColumn="1" w:lastColumn="0" w:noHBand="0" w:noVBand="1"/>
        </w:tblPrEx>
        <w:trPr>
          <w:trHeight w:val="1044"/>
        </w:trPr>
        <w:tc>
          <w:tcPr>
            <w:tcW w:w="1799" w:type="dxa"/>
            <w:vMerge/>
            <w:tcBorders>
              <w:bottom w:val="single" w:sz="4" w:space="0" w:color="auto"/>
              <w:right w:val="single" w:sz="4" w:space="0" w:color="auto"/>
            </w:tcBorders>
          </w:tcPr>
          <w:p w14:paraId="1C4F3197" w14:textId="77777777" w:rsidR="00F10ED5" w:rsidRPr="00CD66E1" w:rsidRDefault="00F10ED5" w:rsidP="00F10ED5">
            <w:pPr>
              <w:tabs>
                <w:tab w:val="left" w:pos="709"/>
              </w:tabs>
              <w:spacing w:before="60" w:after="60"/>
              <w:rPr>
                <w:rFonts w:ascii="Arial" w:hAnsi="Arial"/>
                <w:color w:val="000000"/>
                <w:sz w:val="16"/>
                <w:szCs w:val="16"/>
                <w:highlight w:val="yellow"/>
              </w:rPr>
            </w:pPr>
          </w:p>
        </w:tc>
        <w:tc>
          <w:tcPr>
            <w:tcW w:w="3174" w:type="dxa"/>
            <w:tcBorders>
              <w:top w:val="dotted" w:sz="4" w:space="0" w:color="auto"/>
              <w:left w:val="single" w:sz="4" w:space="0" w:color="auto"/>
              <w:bottom w:val="single" w:sz="4" w:space="0" w:color="auto"/>
              <w:right w:val="single" w:sz="4" w:space="0" w:color="auto"/>
            </w:tcBorders>
          </w:tcPr>
          <w:p w14:paraId="252E2441" w14:textId="3E84B701" w:rsidR="00F10ED5" w:rsidRPr="00F10ED5" w:rsidRDefault="00F10ED5" w:rsidP="00F10ED5">
            <w:pPr>
              <w:tabs>
                <w:tab w:val="left" w:pos="709"/>
              </w:tabs>
              <w:spacing w:before="60" w:after="60"/>
              <w:rPr>
                <w:rFonts w:ascii="Arial" w:hAnsi="Arial"/>
                <w:color w:val="000000"/>
                <w:sz w:val="16"/>
                <w:szCs w:val="16"/>
              </w:rPr>
            </w:pPr>
            <w:r w:rsidRPr="00F10ED5">
              <w:rPr>
                <w:rFonts w:ascii="Arial" w:hAnsi="Arial"/>
                <w:sz w:val="16"/>
                <w:szCs w:val="16"/>
                <w:lang w:val="en-AU"/>
              </w:rPr>
              <w:t>7.1: Defence strengthen</w:t>
            </w:r>
            <w:r w:rsidR="001809FC">
              <w:rPr>
                <w:rFonts w:ascii="Arial" w:hAnsi="Arial"/>
                <w:sz w:val="16"/>
                <w:szCs w:val="16"/>
                <w:lang w:val="en-AU"/>
              </w:rPr>
              <w:t>s the sovereign defence industrial</w:t>
            </w:r>
            <w:r w:rsidRPr="00F10ED5">
              <w:rPr>
                <w:rFonts w:ascii="Arial" w:hAnsi="Arial"/>
                <w:sz w:val="16"/>
                <w:szCs w:val="16"/>
                <w:lang w:val="en-AU"/>
              </w:rPr>
              <w:t xml:space="preserve"> base across critical industrial capabilities.</w:t>
            </w:r>
          </w:p>
        </w:tc>
        <w:tc>
          <w:tcPr>
            <w:tcW w:w="3380" w:type="dxa"/>
            <w:tcBorders>
              <w:top w:val="dotted" w:sz="4" w:space="0" w:color="auto"/>
              <w:left w:val="single" w:sz="4" w:space="0" w:color="auto"/>
              <w:bottom w:val="single" w:sz="4" w:space="0" w:color="auto"/>
            </w:tcBorders>
          </w:tcPr>
          <w:p w14:paraId="7631A681" w14:textId="7D3BAE54" w:rsidR="00F10ED5" w:rsidRPr="00F10ED5" w:rsidRDefault="00F10ED5" w:rsidP="00F10ED5">
            <w:pPr>
              <w:spacing w:before="60" w:after="60"/>
              <w:rPr>
                <w:rFonts w:ascii="Arial" w:hAnsi="Arial"/>
                <w:i/>
                <w:color w:val="000000"/>
                <w:sz w:val="16"/>
                <w:szCs w:val="16"/>
              </w:rPr>
            </w:pPr>
            <w:r w:rsidRPr="00F10ED5">
              <w:rPr>
                <w:rFonts w:ascii="Arial" w:hAnsi="Arial"/>
                <w:color w:val="000000"/>
                <w:sz w:val="16"/>
                <w:szCs w:val="16"/>
              </w:rPr>
              <w:t>80 per cent or more of the Defence Industry Development Grant Program budgeted allocation is awarded; supports Australian defence industry in international markets; provides a direct economic contribution to the Australian economy; drives investment in innovation, science and technology to deliver defence priorities; meets or exceeds Indigenous procurement targets; and supports the development of the domestic manufacture of guided weapons, explosive ordnance and munitions.</w:t>
            </w:r>
          </w:p>
        </w:tc>
      </w:tr>
      <w:tr w:rsidR="00B66E97" w:rsidRPr="00570DF8" w14:paraId="3050213E" w14:textId="77777777" w:rsidTr="003C0162">
        <w:tblPrEx>
          <w:shd w:val="clear" w:color="auto" w:fill="auto"/>
          <w:tblLook w:val="04A0" w:firstRow="1" w:lastRow="0" w:firstColumn="1" w:lastColumn="0" w:noHBand="0" w:noVBand="1"/>
        </w:tblPrEx>
        <w:trPr>
          <w:trHeight w:val="254"/>
        </w:trPr>
        <w:tc>
          <w:tcPr>
            <w:tcW w:w="1799" w:type="dxa"/>
            <w:tcBorders>
              <w:top w:val="single" w:sz="4" w:space="0" w:color="auto"/>
              <w:bottom w:val="single" w:sz="4" w:space="0" w:color="auto"/>
              <w:right w:val="single" w:sz="4" w:space="0" w:color="auto"/>
            </w:tcBorders>
          </w:tcPr>
          <w:p w14:paraId="7BB5D86A" w14:textId="39527F96" w:rsidR="00B66E97" w:rsidRPr="00570DF8" w:rsidRDefault="00B66E97" w:rsidP="00B66E97">
            <w:pPr>
              <w:keepNext/>
              <w:keepLines/>
              <w:pageBreakBefore/>
              <w:tabs>
                <w:tab w:val="left" w:pos="709"/>
              </w:tabs>
              <w:spacing w:before="0" w:after="0"/>
              <w:rPr>
                <w:rFonts w:ascii="Arial" w:hAnsi="Arial"/>
                <w:color w:val="000000"/>
                <w:sz w:val="16"/>
                <w:szCs w:val="16"/>
              </w:rPr>
            </w:pPr>
            <w:r w:rsidRPr="00570DF8">
              <w:rPr>
                <w:rFonts w:ascii="Arial" w:hAnsi="Arial"/>
                <w:b/>
                <w:color w:val="000000"/>
                <w:sz w:val="16"/>
                <w:szCs w:val="16"/>
              </w:rPr>
              <w:lastRenderedPageBreak/>
              <w:t>Year</w:t>
            </w:r>
          </w:p>
        </w:tc>
        <w:tc>
          <w:tcPr>
            <w:tcW w:w="3174" w:type="dxa"/>
            <w:tcBorders>
              <w:top w:val="single" w:sz="4" w:space="0" w:color="auto"/>
              <w:left w:val="single" w:sz="4" w:space="0" w:color="auto"/>
              <w:bottom w:val="single" w:sz="4" w:space="0" w:color="auto"/>
              <w:right w:val="single" w:sz="4" w:space="0" w:color="auto"/>
            </w:tcBorders>
          </w:tcPr>
          <w:p w14:paraId="0A3C4A74" w14:textId="2CF5662D" w:rsidR="00B66E97" w:rsidRPr="003C0162" w:rsidRDefault="00B66E97" w:rsidP="003C0162">
            <w:pPr>
              <w:keepNext/>
              <w:keepLines/>
              <w:pageBreakBefore/>
              <w:tabs>
                <w:tab w:val="left" w:pos="709"/>
              </w:tabs>
              <w:spacing w:before="0" w:after="0"/>
              <w:rPr>
                <w:rFonts w:ascii="Arial" w:hAnsi="Arial"/>
                <w:b/>
                <w:color w:val="000000"/>
                <w:sz w:val="16"/>
                <w:szCs w:val="16"/>
              </w:rPr>
            </w:pPr>
            <w:r w:rsidRPr="00570DF8">
              <w:rPr>
                <w:rFonts w:ascii="Arial" w:hAnsi="Arial"/>
                <w:b/>
                <w:color w:val="000000"/>
                <w:sz w:val="16"/>
                <w:szCs w:val="16"/>
              </w:rPr>
              <w:t>Performance measures</w:t>
            </w:r>
          </w:p>
        </w:tc>
        <w:tc>
          <w:tcPr>
            <w:tcW w:w="3380" w:type="dxa"/>
            <w:tcBorders>
              <w:top w:val="single" w:sz="4" w:space="0" w:color="auto"/>
              <w:left w:val="single" w:sz="4" w:space="0" w:color="auto"/>
              <w:bottom w:val="single" w:sz="4" w:space="0" w:color="auto"/>
            </w:tcBorders>
          </w:tcPr>
          <w:p w14:paraId="46010601" w14:textId="5D5D872A" w:rsidR="00B66E97" w:rsidRPr="00570DF8" w:rsidRDefault="00B66E97" w:rsidP="003C0162">
            <w:pPr>
              <w:keepNext/>
              <w:keepLines/>
              <w:pageBreakBefore/>
              <w:tabs>
                <w:tab w:val="left" w:pos="709"/>
              </w:tabs>
              <w:spacing w:before="0" w:after="0"/>
              <w:rPr>
                <w:rFonts w:ascii="Arial" w:hAnsi="Arial"/>
                <w:color w:val="000000"/>
                <w:sz w:val="16"/>
                <w:szCs w:val="16"/>
              </w:rPr>
            </w:pPr>
            <w:r w:rsidRPr="00570DF8">
              <w:rPr>
                <w:rFonts w:ascii="Arial" w:hAnsi="Arial"/>
                <w:b/>
                <w:color w:val="000000"/>
                <w:sz w:val="16"/>
                <w:szCs w:val="16"/>
              </w:rPr>
              <w:t>Planned Performance Results</w:t>
            </w:r>
          </w:p>
        </w:tc>
      </w:tr>
      <w:tr w:rsidR="0004322A" w:rsidRPr="00570DF8" w14:paraId="59E57C61" w14:textId="77777777" w:rsidTr="00B66E97">
        <w:tblPrEx>
          <w:shd w:val="clear" w:color="auto" w:fill="auto"/>
          <w:tblLook w:val="04A0" w:firstRow="1" w:lastRow="0" w:firstColumn="1" w:lastColumn="0" w:noHBand="0" w:noVBand="1"/>
        </w:tblPrEx>
        <w:trPr>
          <w:trHeight w:val="491"/>
        </w:trPr>
        <w:tc>
          <w:tcPr>
            <w:tcW w:w="1799" w:type="dxa"/>
            <w:tcBorders>
              <w:top w:val="single" w:sz="4" w:space="0" w:color="auto"/>
              <w:bottom w:val="dotted" w:sz="4" w:space="0" w:color="auto"/>
              <w:right w:val="single" w:sz="4" w:space="0" w:color="auto"/>
            </w:tcBorders>
          </w:tcPr>
          <w:p w14:paraId="0FCD822C" w14:textId="77777777" w:rsidR="0004322A" w:rsidRPr="00570DF8" w:rsidRDefault="0004322A" w:rsidP="00B66E97">
            <w:pPr>
              <w:keepNext/>
              <w:keepLines/>
              <w:tabs>
                <w:tab w:val="left" w:pos="709"/>
              </w:tabs>
              <w:spacing w:before="0" w:after="0"/>
              <w:rPr>
                <w:rFonts w:ascii="Arial" w:hAnsi="Arial"/>
                <w:color w:val="000000"/>
                <w:sz w:val="16"/>
                <w:szCs w:val="16"/>
              </w:rPr>
            </w:pPr>
            <w:r w:rsidRPr="00570DF8">
              <w:rPr>
                <w:rFonts w:ascii="Arial" w:hAnsi="Arial"/>
                <w:color w:val="000000"/>
                <w:sz w:val="16"/>
                <w:szCs w:val="16"/>
              </w:rPr>
              <w:t>Forward Estimates</w:t>
            </w:r>
          </w:p>
          <w:p w14:paraId="5A07877B" w14:textId="77777777" w:rsidR="0004322A" w:rsidRPr="00570DF8" w:rsidRDefault="0004322A" w:rsidP="00570DF8">
            <w:pPr>
              <w:tabs>
                <w:tab w:val="left" w:pos="709"/>
              </w:tabs>
              <w:spacing w:before="0" w:after="0"/>
              <w:rPr>
                <w:rFonts w:ascii="Arial" w:hAnsi="Arial"/>
                <w:color w:val="000000"/>
                <w:sz w:val="16"/>
                <w:szCs w:val="16"/>
              </w:rPr>
            </w:pPr>
            <w:r w:rsidRPr="00570DF8">
              <w:rPr>
                <w:rFonts w:ascii="Arial" w:hAnsi="Arial"/>
                <w:color w:val="000000"/>
                <w:sz w:val="16"/>
                <w:szCs w:val="16"/>
              </w:rPr>
              <w:t>2026-29</w:t>
            </w:r>
          </w:p>
        </w:tc>
        <w:tc>
          <w:tcPr>
            <w:tcW w:w="3174" w:type="dxa"/>
            <w:tcBorders>
              <w:top w:val="single" w:sz="4" w:space="0" w:color="auto"/>
              <w:left w:val="single" w:sz="4" w:space="0" w:color="auto"/>
              <w:bottom w:val="single" w:sz="4" w:space="0" w:color="auto"/>
              <w:right w:val="single" w:sz="4" w:space="0" w:color="auto"/>
            </w:tcBorders>
          </w:tcPr>
          <w:p w14:paraId="6DE56E0B" w14:textId="77777777" w:rsidR="0004322A" w:rsidRPr="00570DF8" w:rsidRDefault="0004322A" w:rsidP="00570DF8">
            <w:pPr>
              <w:tabs>
                <w:tab w:val="left" w:pos="709"/>
              </w:tabs>
              <w:spacing w:before="60" w:after="60"/>
              <w:rPr>
                <w:rFonts w:ascii="Arial" w:hAnsi="Arial"/>
                <w:b/>
                <w:color w:val="000000"/>
                <w:sz w:val="16"/>
                <w:szCs w:val="16"/>
              </w:rPr>
            </w:pPr>
            <w:r w:rsidRPr="00570DF8">
              <w:rPr>
                <w:rFonts w:ascii="Arial" w:hAnsi="Arial"/>
                <w:color w:val="000000"/>
                <w:sz w:val="16"/>
                <w:szCs w:val="16"/>
              </w:rPr>
              <w:t>As per 202</w:t>
            </w:r>
            <w:r w:rsidR="00570DF8">
              <w:rPr>
                <w:rFonts w:ascii="Arial" w:hAnsi="Arial"/>
                <w:color w:val="000000"/>
                <w:sz w:val="16"/>
                <w:szCs w:val="16"/>
              </w:rPr>
              <w:t>5</w:t>
            </w:r>
            <w:r w:rsidRPr="00570DF8">
              <w:rPr>
                <w:rFonts w:ascii="Arial" w:hAnsi="Arial"/>
                <w:color w:val="000000"/>
                <w:sz w:val="16"/>
                <w:szCs w:val="16"/>
              </w:rPr>
              <w:t>-2</w:t>
            </w:r>
            <w:r w:rsidR="00570DF8">
              <w:rPr>
                <w:rFonts w:ascii="Arial" w:hAnsi="Arial"/>
                <w:color w:val="000000"/>
                <w:sz w:val="16"/>
                <w:szCs w:val="16"/>
              </w:rPr>
              <w:t>6</w:t>
            </w:r>
            <w:r w:rsidRPr="00570DF8">
              <w:rPr>
                <w:rFonts w:ascii="Arial" w:hAnsi="Arial"/>
                <w:color w:val="000000"/>
                <w:sz w:val="16"/>
                <w:szCs w:val="16"/>
              </w:rPr>
              <w:t>.</w:t>
            </w:r>
          </w:p>
        </w:tc>
        <w:tc>
          <w:tcPr>
            <w:tcW w:w="3380" w:type="dxa"/>
            <w:tcBorders>
              <w:top w:val="single" w:sz="4" w:space="0" w:color="auto"/>
              <w:left w:val="single" w:sz="4" w:space="0" w:color="auto"/>
              <w:bottom w:val="single" w:sz="4" w:space="0" w:color="auto"/>
            </w:tcBorders>
          </w:tcPr>
          <w:p w14:paraId="15BB9F93" w14:textId="77777777" w:rsidR="0004322A" w:rsidRPr="00570DF8" w:rsidRDefault="0004322A" w:rsidP="00570DF8">
            <w:pPr>
              <w:tabs>
                <w:tab w:val="left" w:pos="709"/>
              </w:tabs>
              <w:spacing w:before="60" w:after="60"/>
              <w:rPr>
                <w:rFonts w:ascii="Arial" w:hAnsi="Arial"/>
                <w:b/>
                <w:color w:val="000000"/>
                <w:sz w:val="16"/>
                <w:szCs w:val="16"/>
              </w:rPr>
            </w:pPr>
            <w:r w:rsidRPr="00570DF8">
              <w:rPr>
                <w:rFonts w:ascii="Arial" w:hAnsi="Arial"/>
                <w:color w:val="000000"/>
                <w:sz w:val="16"/>
                <w:szCs w:val="16"/>
              </w:rPr>
              <w:t>As per 202</w:t>
            </w:r>
            <w:r w:rsidR="00570DF8">
              <w:rPr>
                <w:rFonts w:ascii="Arial" w:hAnsi="Arial"/>
                <w:color w:val="000000"/>
                <w:sz w:val="16"/>
                <w:szCs w:val="16"/>
              </w:rPr>
              <w:t>5</w:t>
            </w:r>
            <w:r w:rsidRPr="00570DF8">
              <w:rPr>
                <w:rFonts w:ascii="Arial" w:hAnsi="Arial"/>
                <w:color w:val="000000"/>
                <w:sz w:val="16"/>
                <w:szCs w:val="16"/>
              </w:rPr>
              <w:t>-2</w:t>
            </w:r>
            <w:r w:rsidR="00570DF8">
              <w:rPr>
                <w:rFonts w:ascii="Arial" w:hAnsi="Arial"/>
                <w:color w:val="000000"/>
                <w:sz w:val="16"/>
                <w:szCs w:val="16"/>
              </w:rPr>
              <w:t>6</w:t>
            </w:r>
            <w:r w:rsidRPr="00570DF8">
              <w:rPr>
                <w:rFonts w:ascii="Arial" w:hAnsi="Arial"/>
                <w:color w:val="000000"/>
                <w:sz w:val="16"/>
                <w:szCs w:val="16"/>
              </w:rPr>
              <w:t>.</w:t>
            </w:r>
          </w:p>
        </w:tc>
      </w:tr>
      <w:tr w:rsidR="0004322A" w:rsidRPr="00CD66E1" w14:paraId="0B5239B9" w14:textId="77777777" w:rsidTr="0004322A">
        <w:tblPrEx>
          <w:shd w:val="clear" w:color="auto" w:fill="auto"/>
          <w:tblLook w:val="04A0" w:firstRow="1" w:lastRow="0" w:firstColumn="1" w:lastColumn="0" w:noHBand="0" w:noVBand="1"/>
        </w:tblPrEx>
        <w:trPr>
          <w:trHeight w:val="291"/>
        </w:trPr>
        <w:tc>
          <w:tcPr>
            <w:tcW w:w="8353" w:type="dxa"/>
            <w:gridSpan w:val="3"/>
          </w:tcPr>
          <w:p w14:paraId="53E174FF" w14:textId="1C1D64C5" w:rsidR="0004322A" w:rsidRPr="00570DF8" w:rsidRDefault="0004322A" w:rsidP="00E364DF">
            <w:pPr>
              <w:tabs>
                <w:tab w:val="left" w:pos="709"/>
              </w:tabs>
              <w:spacing w:before="60" w:after="60"/>
              <w:rPr>
                <w:rFonts w:ascii="Arial" w:eastAsia="Cambria" w:hAnsi="Arial"/>
                <w:bCs/>
                <w:iCs/>
                <w:color w:val="000000"/>
                <w:spacing w:val="-6"/>
                <w:sz w:val="16"/>
                <w:szCs w:val="16"/>
                <w:lang w:val="x-none"/>
              </w:rPr>
            </w:pPr>
            <w:r w:rsidRPr="00570DF8">
              <w:rPr>
                <w:rFonts w:ascii="Arial" w:hAnsi="Arial"/>
                <w:color w:val="000000"/>
                <w:sz w:val="16"/>
                <w:szCs w:val="16"/>
              </w:rPr>
              <w:t>Material changes to Program 2.9 resulting from 202</w:t>
            </w:r>
            <w:r w:rsidR="00E364DF">
              <w:rPr>
                <w:rFonts w:ascii="Arial" w:hAnsi="Arial"/>
                <w:color w:val="000000"/>
                <w:sz w:val="16"/>
                <w:szCs w:val="16"/>
              </w:rPr>
              <w:t>5</w:t>
            </w:r>
            <w:r w:rsidRPr="00570DF8">
              <w:rPr>
                <w:rFonts w:ascii="Arial" w:hAnsi="Arial"/>
                <w:color w:val="000000"/>
                <w:sz w:val="16"/>
                <w:szCs w:val="16"/>
              </w:rPr>
              <w:t>-2</w:t>
            </w:r>
            <w:r w:rsidR="00E364DF">
              <w:rPr>
                <w:rFonts w:ascii="Arial" w:hAnsi="Arial"/>
                <w:color w:val="000000"/>
                <w:sz w:val="16"/>
                <w:szCs w:val="16"/>
              </w:rPr>
              <w:t>6</w:t>
            </w:r>
            <w:r w:rsidRPr="00570DF8">
              <w:rPr>
                <w:rFonts w:ascii="Arial" w:hAnsi="Arial"/>
                <w:color w:val="000000"/>
                <w:sz w:val="16"/>
                <w:szCs w:val="16"/>
              </w:rPr>
              <w:t xml:space="preserve"> Budget Measures:</w:t>
            </w:r>
            <w:r w:rsidRPr="00570DF8">
              <w:rPr>
                <w:rStyle w:val="BodyTextChar"/>
                <w:rFonts w:ascii="Arial" w:hAnsi="Arial"/>
                <w:bCs/>
                <w:iCs/>
                <w:color w:val="000000"/>
                <w:spacing w:val="-6"/>
                <w:sz w:val="16"/>
                <w:szCs w:val="16"/>
              </w:rPr>
              <w:t xml:space="preserve"> Nil.</w:t>
            </w:r>
          </w:p>
        </w:tc>
      </w:tr>
    </w:tbl>
    <w:p w14:paraId="6C7D34F0" w14:textId="77777777" w:rsidR="00F7100A" w:rsidRPr="00CD66E1" w:rsidRDefault="00F7100A" w:rsidP="00F7100A">
      <w:pPr>
        <w:pStyle w:val="TableHeading"/>
        <w:spacing w:before="0" w:after="0"/>
        <w:rPr>
          <w:sz w:val="16"/>
          <w:szCs w:val="16"/>
          <w:highlight w:val="yellow"/>
        </w:rPr>
      </w:pPr>
    </w:p>
    <w:p w14:paraId="1A64C703" w14:textId="77777777" w:rsidR="00F7100A" w:rsidRPr="00570DF8" w:rsidRDefault="00F7100A" w:rsidP="00F7100A">
      <w:pPr>
        <w:pStyle w:val="TableHeading"/>
        <w:spacing w:before="0" w:after="0"/>
        <w:rPr>
          <w:sz w:val="14"/>
          <w:szCs w:val="14"/>
        </w:rPr>
      </w:pPr>
      <w:r w:rsidRPr="00570DF8">
        <w:rPr>
          <w:sz w:val="14"/>
          <w:szCs w:val="14"/>
        </w:rPr>
        <w:t>Note</w:t>
      </w:r>
    </w:p>
    <w:p w14:paraId="39B36484" w14:textId="012894F7" w:rsidR="009737EB" w:rsidRDefault="00F7100A" w:rsidP="00444A89">
      <w:pPr>
        <w:pStyle w:val="TableHeading"/>
        <w:numPr>
          <w:ilvl w:val="0"/>
          <w:numId w:val="81"/>
        </w:numPr>
        <w:tabs>
          <w:tab w:val="left" w:pos="142"/>
        </w:tabs>
        <w:spacing w:before="0" w:after="0"/>
        <w:ind w:left="284" w:hanging="284"/>
        <w:rPr>
          <w:b w:val="0"/>
          <w:sz w:val="14"/>
          <w:szCs w:val="14"/>
          <w:lang w:val="en-AU"/>
        </w:rPr>
      </w:pPr>
      <w:r w:rsidRPr="00570DF8">
        <w:rPr>
          <w:b w:val="0"/>
          <w:sz w:val="14"/>
          <w:szCs w:val="14"/>
        </w:rPr>
        <w:tab/>
      </w:r>
      <w:r w:rsidR="00F10ED5" w:rsidRPr="00114743">
        <w:rPr>
          <w:b w:val="0"/>
          <w:sz w:val="14"/>
          <w:szCs w:val="14"/>
        </w:rPr>
        <w:tab/>
      </w:r>
      <w:r w:rsidR="00F10ED5" w:rsidRPr="00F10ED5">
        <w:rPr>
          <w:b w:val="0"/>
          <w:sz w:val="14"/>
          <w:szCs w:val="14"/>
          <w:lang w:val="en-AU"/>
        </w:rPr>
        <w:t>In accordance with Defence’s Enterprise Performance Framework, Defence is undertaking materiality assessments that may result in updates to the 2025-26 performance information in the 2025-29 Defence Corporate Plan, if required</w:t>
      </w:r>
      <w:r w:rsidR="009737EB" w:rsidRPr="00F10ED5">
        <w:rPr>
          <w:b w:val="0"/>
          <w:sz w:val="14"/>
          <w:szCs w:val="14"/>
          <w:lang w:val="en-AU"/>
        </w:rPr>
        <w:t xml:space="preserve">. </w:t>
      </w:r>
    </w:p>
    <w:p w14:paraId="0CE76D6C" w14:textId="40D2274F" w:rsidR="00CE3B2C" w:rsidRDefault="00CE3B2C" w:rsidP="00CE3B2C">
      <w:pPr>
        <w:rPr>
          <w:lang w:val="en-AU"/>
        </w:rPr>
      </w:pPr>
    </w:p>
    <w:p w14:paraId="593AE461" w14:textId="77777777" w:rsidR="00CE3B2C" w:rsidRPr="00CE3B2C" w:rsidRDefault="00CE3B2C" w:rsidP="00CE3B2C">
      <w:pPr>
        <w:rPr>
          <w:lang w:val="en-AU"/>
        </w:rPr>
      </w:pPr>
    </w:p>
    <w:p w14:paraId="27338041" w14:textId="57678703" w:rsidR="00F7100A" w:rsidRPr="00570DF8" w:rsidRDefault="00F7100A" w:rsidP="009737EB">
      <w:pPr>
        <w:pStyle w:val="TableHeading"/>
        <w:tabs>
          <w:tab w:val="left" w:pos="284"/>
        </w:tabs>
        <w:spacing w:before="0" w:after="0"/>
        <w:rPr>
          <w:color w:val="FFFFFF"/>
          <w:sz w:val="14"/>
          <w:szCs w:val="14"/>
          <w:lang w:val="en-AU"/>
        </w:rPr>
      </w:pPr>
    </w:p>
    <w:p w14:paraId="7DCBFFFF" w14:textId="2BD570E0" w:rsidR="003D5485" w:rsidRPr="00CC37FF" w:rsidRDefault="003D5485" w:rsidP="00D9100A">
      <w:pPr>
        <w:pStyle w:val="TableHeading"/>
        <w:numPr>
          <w:ilvl w:val="0"/>
          <w:numId w:val="29"/>
        </w:numPr>
        <w:spacing w:before="0" w:after="120"/>
        <w:ind w:left="0" w:firstLine="0"/>
        <w:outlineLvl w:val="6"/>
      </w:pPr>
      <w:r w:rsidRPr="00CC37FF">
        <w:t>Cost Summary for Program 2.9 Capability Acquisition and Sustainment</w:t>
      </w:r>
      <w:r w:rsidR="00397C1C" w:rsidRPr="00CC37FF">
        <w:t xml:space="preserve"> (including Guided</w:t>
      </w:r>
      <w:r w:rsidR="004A566C">
        <w:t xml:space="preserve"> Weapon</w:t>
      </w:r>
      <w:r w:rsidR="00F36B39">
        <w:t>s</w:t>
      </w:r>
      <w:r w:rsidR="004A566C">
        <w:t xml:space="preserve"> and Explosive Ordnance Group</w:t>
      </w:r>
      <w:r w:rsidR="00397C1C" w:rsidRPr="00CC37FF">
        <w:t>)</w:t>
      </w:r>
    </w:p>
    <w:p w14:paraId="1628D74B" w14:textId="726C2BA2" w:rsidR="00312F38" w:rsidRPr="00B56FAA" w:rsidRDefault="003708CA" w:rsidP="00656D60">
      <w:pPr>
        <w:spacing w:before="0" w:after="0"/>
      </w:pPr>
      <w:r w:rsidRPr="003708CA">
        <w:rPr>
          <w:noProof/>
          <w:lang w:val="en-AU"/>
        </w:rPr>
        <w:drawing>
          <wp:inline distT="0" distB="0" distL="0" distR="0" wp14:anchorId="36C1B408" wp14:editId="6D94E4AF">
            <wp:extent cx="4986020" cy="2604184"/>
            <wp:effectExtent l="0" t="0" r="508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86020" cy="2604184"/>
                    </a:xfrm>
                    <a:prstGeom prst="rect">
                      <a:avLst/>
                    </a:prstGeom>
                    <a:noFill/>
                    <a:ln>
                      <a:noFill/>
                    </a:ln>
                  </pic:spPr>
                </pic:pic>
              </a:graphicData>
            </a:graphic>
          </wp:inline>
        </w:drawing>
      </w:r>
    </w:p>
    <w:p w14:paraId="37D82340" w14:textId="77777777" w:rsidR="00656D60" w:rsidRPr="00B56FAA" w:rsidRDefault="00656D60" w:rsidP="00656D60">
      <w:pPr>
        <w:spacing w:before="0" w:after="0"/>
        <w:rPr>
          <w:rFonts w:ascii="Arial" w:hAnsi="Arial"/>
          <w:b/>
          <w:sz w:val="14"/>
          <w:szCs w:val="14"/>
          <w:lang w:val="en-AU"/>
        </w:rPr>
      </w:pPr>
    </w:p>
    <w:p w14:paraId="79CD2144" w14:textId="77777777" w:rsidR="00CB045C" w:rsidRPr="006C3844" w:rsidRDefault="006F629D" w:rsidP="006C3844">
      <w:pPr>
        <w:pStyle w:val="BodyText"/>
        <w:spacing w:before="0" w:after="0"/>
        <w:ind w:left="284" w:hanging="284"/>
        <w:rPr>
          <w:rFonts w:ascii="Arial" w:hAnsi="Arial"/>
          <w:b/>
          <w:sz w:val="14"/>
          <w:szCs w:val="14"/>
          <w:lang w:val="en-AU"/>
        </w:rPr>
      </w:pPr>
      <w:r w:rsidRPr="006C3844">
        <w:rPr>
          <w:rFonts w:ascii="Arial" w:hAnsi="Arial"/>
          <w:b/>
          <w:sz w:val="14"/>
          <w:szCs w:val="14"/>
          <w:lang w:val="en-AU"/>
        </w:rPr>
        <w:t>Notes</w:t>
      </w:r>
    </w:p>
    <w:p w14:paraId="03999EAA" w14:textId="5D2D1DC7" w:rsidR="003A0A8B" w:rsidRPr="003A0A8B" w:rsidRDefault="003B2409" w:rsidP="003A0A8B">
      <w:pPr>
        <w:pStyle w:val="BodyText"/>
        <w:spacing w:before="0" w:after="0"/>
        <w:ind w:left="284" w:hanging="284"/>
        <w:rPr>
          <w:rFonts w:ascii="Arial" w:hAnsi="Arial"/>
          <w:sz w:val="14"/>
          <w:szCs w:val="14"/>
          <w:lang w:val="en-AU"/>
        </w:rPr>
      </w:pPr>
      <w:r w:rsidRPr="006C3844">
        <w:rPr>
          <w:rFonts w:ascii="Arial" w:hAnsi="Arial"/>
          <w:sz w:val="14"/>
          <w:szCs w:val="14"/>
          <w:lang w:val="en-AU"/>
        </w:rPr>
        <w:t xml:space="preserve">a. </w:t>
      </w:r>
      <w:r w:rsidR="003A0A8B">
        <w:rPr>
          <w:rFonts w:ascii="Arial" w:hAnsi="Arial"/>
          <w:sz w:val="14"/>
          <w:szCs w:val="14"/>
          <w:lang w:val="en-AU"/>
        </w:rPr>
        <w:tab/>
      </w:r>
      <w:r w:rsidR="00D32CAD" w:rsidRPr="00B769E6">
        <w:rPr>
          <w:rFonts w:ascii="Arial" w:hAnsi="Arial"/>
          <w:sz w:val="14"/>
          <w:szCs w:val="14"/>
          <w:lang w:val="en-AU"/>
        </w:rPr>
        <w:t>Negative amounts denote a Net reversal of previous asset write-downs (Net write-on position). Total Defence is in a Net write-down and impairment of assets position in 2024-25 Estimated Actual, 2025-26 Budget Estimate and the Forward Estimates. This program is in a Net write-on position in 2024-25 Estimated Actual, 2025-26 Budget Estimate and the Forward Estimates.</w:t>
      </w:r>
      <w:r w:rsidR="00D32CAD" w:rsidRPr="00B769E6">
        <w:rPr>
          <w:rFonts w:ascii="Arial" w:hAnsi="Arial"/>
          <w:sz w:val="14"/>
          <w:szCs w:val="14"/>
          <w:lang w:val="en-AU"/>
        </w:rPr>
        <w:tab/>
      </w:r>
      <w:r w:rsidR="00D32CAD" w:rsidRPr="00B769E6">
        <w:rPr>
          <w:rFonts w:ascii="Arial" w:hAnsi="Arial"/>
          <w:sz w:val="14"/>
          <w:szCs w:val="14"/>
          <w:lang w:val="en-AU"/>
        </w:rPr>
        <w:tab/>
      </w:r>
      <w:r w:rsidR="00D32CAD" w:rsidRPr="00B769E6">
        <w:rPr>
          <w:rFonts w:ascii="Arial" w:hAnsi="Arial"/>
          <w:sz w:val="14"/>
          <w:szCs w:val="14"/>
          <w:lang w:val="en-AU"/>
        </w:rPr>
        <w:tab/>
      </w:r>
      <w:r w:rsidR="00D32CAD" w:rsidRPr="00B769E6">
        <w:rPr>
          <w:rFonts w:ascii="Arial" w:hAnsi="Arial"/>
          <w:sz w:val="14"/>
          <w:szCs w:val="14"/>
          <w:lang w:val="en-AU"/>
        </w:rPr>
        <w:tab/>
      </w:r>
      <w:r w:rsidR="00D32CAD" w:rsidRPr="00B769E6">
        <w:rPr>
          <w:rFonts w:ascii="Arial" w:hAnsi="Arial"/>
          <w:sz w:val="14"/>
          <w:szCs w:val="14"/>
          <w:lang w:val="en-AU"/>
        </w:rPr>
        <w:tab/>
      </w:r>
    </w:p>
    <w:p w14:paraId="4D8237CC" w14:textId="68CB3B3A" w:rsidR="00CD66E1" w:rsidRPr="006C3844" w:rsidRDefault="003A0A8B" w:rsidP="003A0A8B">
      <w:pPr>
        <w:pStyle w:val="BodyText"/>
        <w:spacing w:before="0" w:after="0"/>
        <w:ind w:left="284" w:hanging="284"/>
        <w:rPr>
          <w:rFonts w:ascii="Arial" w:hAnsi="Arial"/>
          <w:sz w:val="14"/>
          <w:szCs w:val="14"/>
          <w:lang w:val="en-AU"/>
        </w:rPr>
      </w:pPr>
      <w:r w:rsidRPr="003A0A8B">
        <w:rPr>
          <w:rFonts w:ascii="Arial" w:hAnsi="Arial"/>
          <w:sz w:val="14"/>
          <w:szCs w:val="14"/>
          <w:lang w:val="en-AU"/>
        </w:rPr>
        <w:t xml:space="preserve">b. </w:t>
      </w:r>
      <w:r>
        <w:rPr>
          <w:rFonts w:ascii="Arial" w:hAnsi="Arial"/>
          <w:sz w:val="14"/>
          <w:szCs w:val="14"/>
          <w:lang w:val="en-AU"/>
        </w:rPr>
        <w:tab/>
      </w:r>
      <w:r w:rsidRPr="003A0A8B">
        <w:rPr>
          <w:rFonts w:ascii="Arial" w:hAnsi="Arial"/>
          <w:sz w:val="14"/>
          <w:szCs w:val="14"/>
          <w:lang w:val="en-AU"/>
        </w:rPr>
        <w:t>Total Program funded expenditure includes operating expenses and capital expenditure funded by appropriation and own source revenue. This excludes expenses not requiring appropriation.</w:t>
      </w:r>
      <w:r w:rsidRPr="003A0A8B">
        <w:rPr>
          <w:rFonts w:ascii="Arial" w:hAnsi="Arial"/>
          <w:sz w:val="14"/>
          <w:szCs w:val="14"/>
          <w:lang w:val="en-AU"/>
        </w:rPr>
        <w:tab/>
      </w:r>
      <w:r w:rsidRPr="003A0A8B">
        <w:rPr>
          <w:rFonts w:ascii="Arial" w:hAnsi="Arial"/>
          <w:sz w:val="14"/>
          <w:szCs w:val="14"/>
          <w:lang w:val="en-AU"/>
        </w:rPr>
        <w:tab/>
      </w:r>
      <w:r w:rsidRPr="003A0A8B">
        <w:rPr>
          <w:rFonts w:ascii="Arial" w:hAnsi="Arial"/>
          <w:sz w:val="14"/>
          <w:szCs w:val="14"/>
          <w:lang w:val="en-AU"/>
        </w:rPr>
        <w:tab/>
      </w:r>
      <w:r w:rsidRPr="003A0A8B">
        <w:rPr>
          <w:rFonts w:ascii="Arial" w:hAnsi="Arial"/>
          <w:sz w:val="14"/>
          <w:szCs w:val="14"/>
          <w:lang w:val="en-AU"/>
        </w:rPr>
        <w:tab/>
      </w:r>
      <w:r w:rsidRPr="003A0A8B">
        <w:rPr>
          <w:rFonts w:ascii="Arial" w:hAnsi="Arial"/>
          <w:sz w:val="14"/>
          <w:szCs w:val="14"/>
          <w:lang w:val="en-AU"/>
        </w:rPr>
        <w:tab/>
      </w:r>
      <w:r w:rsidR="003B2409" w:rsidRPr="006C3844">
        <w:rPr>
          <w:rFonts w:ascii="Arial" w:hAnsi="Arial"/>
          <w:sz w:val="14"/>
          <w:szCs w:val="14"/>
          <w:lang w:val="en-AU"/>
        </w:rPr>
        <w:tab/>
      </w:r>
    </w:p>
    <w:p w14:paraId="17A35DF6" w14:textId="77777777" w:rsidR="00234C63" w:rsidRPr="006C3844" w:rsidRDefault="00234C63" w:rsidP="006C3844">
      <w:pPr>
        <w:pStyle w:val="BodyText"/>
        <w:spacing w:before="0" w:after="0"/>
        <w:ind w:left="284" w:hanging="284"/>
        <w:rPr>
          <w:rFonts w:ascii="Arial" w:hAnsi="Arial"/>
          <w:sz w:val="14"/>
          <w:szCs w:val="14"/>
          <w:lang w:val="en-AU"/>
        </w:rPr>
      </w:pPr>
    </w:p>
    <w:p w14:paraId="71585977" w14:textId="77777777" w:rsidR="00DC3903" w:rsidRPr="00B56FAA" w:rsidRDefault="006323C6" w:rsidP="006F629D">
      <w:pPr>
        <w:spacing w:before="0" w:after="0"/>
        <w:ind w:left="284" w:hanging="284"/>
        <w:outlineLvl w:val="5"/>
        <w:rPr>
          <w:color w:val="FFFFFF"/>
          <w:sz w:val="2"/>
          <w:szCs w:val="2"/>
        </w:rPr>
      </w:pPr>
      <w:r w:rsidRPr="00B56FAA">
        <w:rPr>
          <w:lang w:val="en-AU"/>
        </w:rPr>
        <w:br w:type="page"/>
      </w:r>
      <w:r w:rsidR="00DC3903" w:rsidRPr="00B56FAA">
        <w:rPr>
          <w:color w:val="FFFFFF"/>
          <w:sz w:val="2"/>
          <w:szCs w:val="2"/>
        </w:rPr>
        <w:lastRenderedPageBreak/>
        <w:t xml:space="preserve">Program 2.10: </w:t>
      </w:r>
      <w:r w:rsidR="000142CB" w:rsidRPr="00B56FAA">
        <w:rPr>
          <w:color w:val="FFFFFF"/>
          <w:sz w:val="2"/>
          <w:szCs w:val="2"/>
        </w:rPr>
        <w:t xml:space="preserve">Security </w:t>
      </w:r>
      <w:r w:rsidR="00DC3903" w:rsidRPr="00B56FAA">
        <w:rPr>
          <w:color w:val="FFFFFF"/>
          <w:sz w:val="2"/>
          <w:szCs w:val="2"/>
        </w:rPr>
        <w:t xml:space="preserve">and </w:t>
      </w:r>
      <w:r w:rsidR="000142CB" w:rsidRPr="00B56FAA">
        <w:rPr>
          <w:color w:val="FFFFFF"/>
          <w:sz w:val="2"/>
          <w:szCs w:val="2"/>
        </w:rPr>
        <w:t>Estate</w:t>
      </w:r>
    </w:p>
    <w:tbl>
      <w:tblPr>
        <w:tblW w:w="4852"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0"/>
        <w:gridCol w:w="2882"/>
        <w:gridCol w:w="3058"/>
      </w:tblGrid>
      <w:tr w:rsidR="00F7100A" w:rsidRPr="00B56FAA" w14:paraId="274F7E17" w14:textId="77777777" w:rsidTr="0004322A">
        <w:tc>
          <w:tcPr>
            <w:tcW w:w="8353" w:type="dxa"/>
            <w:gridSpan w:val="3"/>
            <w:tcBorders>
              <w:bottom w:val="single" w:sz="4" w:space="0" w:color="auto"/>
            </w:tcBorders>
            <w:shd w:val="clear" w:color="auto" w:fill="CCCCCC"/>
          </w:tcPr>
          <w:p w14:paraId="656D25C9" w14:textId="77777777" w:rsidR="00F7100A" w:rsidRPr="00B56FAA" w:rsidRDefault="00F7100A" w:rsidP="00072EF9">
            <w:pPr>
              <w:pStyle w:val="Heading5"/>
              <w:spacing w:before="60" w:after="60"/>
            </w:pPr>
            <w:r w:rsidRPr="00B56FAA">
              <w:t>Program 2.10: Security and Estate</w:t>
            </w:r>
          </w:p>
        </w:tc>
      </w:tr>
      <w:tr w:rsidR="00F7100A" w:rsidRPr="00B56FAA" w14:paraId="69BDC516" w14:textId="77777777" w:rsidTr="0004322A">
        <w:trPr>
          <w:trHeight w:val="170"/>
        </w:trPr>
        <w:tc>
          <w:tcPr>
            <w:tcW w:w="8353" w:type="dxa"/>
            <w:gridSpan w:val="3"/>
            <w:tcBorders>
              <w:left w:val="nil"/>
              <w:bottom w:val="single" w:sz="4" w:space="0" w:color="auto"/>
              <w:right w:val="nil"/>
            </w:tcBorders>
            <w:shd w:val="clear" w:color="auto" w:fill="auto"/>
          </w:tcPr>
          <w:p w14:paraId="2FA50BAD" w14:textId="77777777" w:rsidR="00F7100A" w:rsidRPr="00B56FAA" w:rsidRDefault="00F7100A" w:rsidP="00072EF9">
            <w:pPr>
              <w:pStyle w:val="Heading5"/>
              <w:spacing w:before="0" w:after="0"/>
              <w:rPr>
                <w:sz w:val="16"/>
                <w:szCs w:val="16"/>
              </w:rPr>
            </w:pPr>
          </w:p>
        </w:tc>
      </w:tr>
      <w:tr w:rsidR="00F7100A" w:rsidRPr="006369C5" w14:paraId="3F01166A" w14:textId="77777777" w:rsidTr="0004322A">
        <w:tblPrEx>
          <w:tblLook w:val="04A0" w:firstRow="1" w:lastRow="0" w:firstColumn="1" w:lastColumn="0" w:noHBand="0" w:noVBand="1"/>
        </w:tblPrEx>
        <w:trPr>
          <w:tblHeader/>
        </w:trPr>
        <w:tc>
          <w:tcPr>
            <w:tcW w:w="8353" w:type="dxa"/>
            <w:gridSpan w:val="3"/>
            <w:shd w:val="clear" w:color="auto" w:fill="E6E6E6"/>
          </w:tcPr>
          <w:p w14:paraId="303EC3A5" w14:textId="77777777" w:rsidR="00F7100A" w:rsidRPr="006369C5" w:rsidRDefault="00F7100A" w:rsidP="00072EF9">
            <w:pPr>
              <w:tabs>
                <w:tab w:val="left" w:pos="709"/>
              </w:tabs>
              <w:spacing w:before="60" w:after="60"/>
              <w:rPr>
                <w:rFonts w:ascii="Arial" w:hAnsi="Arial"/>
                <w:b/>
                <w:bCs/>
                <w:iCs/>
                <w:sz w:val="16"/>
                <w:szCs w:val="16"/>
              </w:rPr>
            </w:pPr>
            <w:r w:rsidRPr="006369C5">
              <w:rPr>
                <w:rFonts w:ascii="Arial" w:hAnsi="Arial"/>
                <w:b/>
                <w:sz w:val="16"/>
                <w:szCs w:val="16"/>
              </w:rPr>
              <w:t>Program 2.10 Objective</w:t>
            </w:r>
          </w:p>
          <w:p w14:paraId="72E464EF" w14:textId="77777777" w:rsidR="00F7100A" w:rsidRPr="006369C5" w:rsidRDefault="00F7100A" w:rsidP="00072EF9">
            <w:pPr>
              <w:tabs>
                <w:tab w:val="left" w:pos="709"/>
              </w:tabs>
              <w:spacing w:before="60" w:after="60"/>
              <w:rPr>
                <w:rFonts w:ascii="Arial" w:hAnsi="Arial"/>
                <w:sz w:val="16"/>
                <w:szCs w:val="16"/>
              </w:rPr>
            </w:pPr>
            <w:r w:rsidRPr="006369C5">
              <w:rPr>
                <w:rFonts w:ascii="Arial" w:hAnsi="Arial"/>
                <w:sz w:val="16"/>
                <w:szCs w:val="16"/>
                <w:lang w:val="en-AU"/>
              </w:rPr>
              <w:t>To deliver integrated security, estate and infrastructure services to enable Defence Force Operations and to contribute to Defence outcomes.</w:t>
            </w:r>
          </w:p>
        </w:tc>
      </w:tr>
      <w:tr w:rsidR="00F7100A" w:rsidRPr="006369C5" w14:paraId="46054D75" w14:textId="77777777" w:rsidTr="003C0162">
        <w:tblPrEx>
          <w:tblLook w:val="04A0" w:firstRow="1" w:lastRow="0" w:firstColumn="1" w:lastColumn="0" w:noHBand="0" w:noVBand="1"/>
        </w:tblPrEx>
        <w:trPr>
          <w:trHeight w:val="312"/>
        </w:trPr>
        <w:tc>
          <w:tcPr>
            <w:tcW w:w="1799" w:type="dxa"/>
            <w:tcBorders>
              <w:bottom w:val="single" w:sz="4" w:space="0" w:color="auto"/>
            </w:tcBorders>
          </w:tcPr>
          <w:p w14:paraId="27C5C86F" w14:textId="136DECC9" w:rsidR="00F7100A" w:rsidRPr="006369C5" w:rsidRDefault="006369C5" w:rsidP="00AD3193">
            <w:pPr>
              <w:tabs>
                <w:tab w:val="left" w:pos="709"/>
              </w:tabs>
              <w:spacing w:before="60" w:after="60"/>
              <w:rPr>
                <w:rFonts w:ascii="Arial" w:hAnsi="Arial"/>
                <w:b/>
                <w:color w:val="000000"/>
                <w:sz w:val="16"/>
                <w:szCs w:val="16"/>
              </w:rPr>
            </w:pPr>
            <w:r>
              <w:rPr>
                <w:rFonts w:ascii="Arial" w:hAnsi="Arial"/>
                <w:b/>
                <w:color w:val="000000"/>
                <w:sz w:val="16"/>
                <w:szCs w:val="16"/>
              </w:rPr>
              <w:t>Key Activity</w:t>
            </w:r>
          </w:p>
        </w:tc>
        <w:tc>
          <w:tcPr>
            <w:tcW w:w="6554" w:type="dxa"/>
            <w:gridSpan w:val="2"/>
            <w:tcBorders>
              <w:bottom w:val="single" w:sz="4" w:space="0" w:color="auto"/>
            </w:tcBorders>
          </w:tcPr>
          <w:p w14:paraId="69A721B0" w14:textId="77777777" w:rsidR="00F7100A" w:rsidRPr="006369C5" w:rsidRDefault="00F7100A" w:rsidP="00072EF9">
            <w:pPr>
              <w:tabs>
                <w:tab w:val="left" w:pos="343"/>
              </w:tabs>
              <w:spacing w:before="60" w:after="60"/>
              <w:rPr>
                <w:rFonts w:ascii="Arial" w:hAnsi="Arial"/>
                <w:bCs/>
                <w:color w:val="000000"/>
                <w:sz w:val="16"/>
                <w:szCs w:val="16"/>
                <w:lang w:val="en-AU"/>
              </w:rPr>
            </w:pPr>
            <w:r w:rsidRPr="006369C5">
              <w:rPr>
                <w:rFonts w:ascii="Arial" w:hAnsi="Arial"/>
                <w:bCs/>
                <w:color w:val="000000"/>
                <w:sz w:val="16"/>
                <w:szCs w:val="16"/>
                <w:lang w:val="en-AU"/>
              </w:rPr>
              <w:t>This program will be achieved through the following activity:</w:t>
            </w:r>
          </w:p>
          <w:p w14:paraId="4BC45532" w14:textId="77777777" w:rsidR="00F7100A" w:rsidRPr="006369C5" w:rsidRDefault="00F7100A" w:rsidP="00072EF9">
            <w:pPr>
              <w:tabs>
                <w:tab w:val="left" w:pos="709"/>
              </w:tabs>
              <w:spacing w:before="60" w:after="60"/>
              <w:rPr>
                <w:rFonts w:ascii="Arial" w:hAnsi="Arial"/>
                <w:i/>
                <w:color w:val="000000"/>
                <w:sz w:val="16"/>
                <w:szCs w:val="16"/>
              </w:rPr>
            </w:pPr>
            <w:r w:rsidRPr="006369C5">
              <w:rPr>
                <w:rFonts w:ascii="Arial" w:hAnsi="Arial"/>
                <w:b/>
                <w:sz w:val="16"/>
                <w:szCs w:val="16"/>
                <w:lang w:val="en-AU"/>
              </w:rPr>
              <w:t>6. Deliver future capability</w:t>
            </w:r>
            <w:r w:rsidRPr="006369C5">
              <w:rPr>
                <w:rFonts w:ascii="Arial" w:hAnsi="Arial"/>
                <w:sz w:val="16"/>
                <w:szCs w:val="16"/>
                <w:lang w:val="en-AU"/>
              </w:rPr>
              <w:t>. Defence will accelerate the development of important capabilities over the next decade to build an integrated, focused force across the maritime, land, air, space and cyber domains. This will ensure the Australian Defence Force has the capacity to defend Australia and its national interests in our evolving strategic circumstances and deter adversaries through a strategy of denial.</w:t>
            </w:r>
          </w:p>
        </w:tc>
      </w:tr>
      <w:tr w:rsidR="00F7100A" w:rsidRPr="006369C5" w14:paraId="2EACEB40" w14:textId="77777777" w:rsidTr="003C0162">
        <w:tblPrEx>
          <w:tblLook w:val="04A0" w:firstRow="1" w:lastRow="0" w:firstColumn="1" w:lastColumn="0" w:noHBand="0" w:noVBand="1"/>
        </w:tblPrEx>
        <w:trPr>
          <w:trHeight w:val="100"/>
        </w:trPr>
        <w:tc>
          <w:tcPr>
            <w:tcW w:w="1799" w:type="dxa"/>
            <w:tcBorders>
              <w:top w:val="single" w:sz="4" w:space="0" w:color="auto"/>
              <w:bottom w:val="single" w:sz="4" w:space="0" w:color="auto"/>
              <w:right w:val="single" w:sz="4" w:space="0" w:color="auto"/>
            </w:tcBorders>
          </w:tcPr>
          <w:p w14:paraId="547969BA" w14:textId="77777777" w:rsidR="00F7100A" w:rsidRPr="006369C5" w:rsidRDefault="00F7100A" w:rsidP="00072EF9">
            <w:pPr>
              <w:tabs>
                <w:tab w:val="left" w:pos="709"/>
              </w:tabs>
              <w:spacing w:before="60" w:after="60"/>
              <w:rPr>
                <w:rFonts w:ascii="Arial" w:hAnsi="Arial"/>
                <w:color w:val="000000"/>
                <w:sz w:val="16"/>
                <w:szCs w:val="16"/>
              </w:rPr>
            </w:pPr>
            <w:r w:rsidRPr="006369C5">
              <w:rPr>
                <w:rFonts w:ascii="Arial" w:hAnsi="Arial"/>
                <w:b/>
                <w:color w:val="000000"/>
                <w:sz w:val="16"/>
                <w:szCs w:val="16"/>
              </w:rPr>
              <w:t>Year</w:t>
            </w:r>
          </w:p>
        </w:tc>
        <w:tc>
          <w:tcPr>
            <w:tcW w:w="3174" w:type="dxa"/>
            <w:tcBorders>
              <w:top w:val="single" w:sz="4" w:space="0" w:color="auto"/>
              <w:left w:val="single" w:sz="4" w:space="0" w:color="auto"/>
              <w:bottom w:val="single" w:sz="4" w:space="0" w:color="auto"/>
              <w:right w:val="single" w:sz="4" w:space="0" w:color="auto"/>
            </w:tcBorders>
          </w:tcPr>
          <w:p w14:paraId="50D9F7CF" w14:textId="77777777" w:rsidR="00F7100A" w:rsidRPr="006369C5" w:rsidRDefault="00F7100A" w:rsidP="00072EF9">
            <w:pPr>
              <w:tabs>
                <w:tab w:val="left" w:pos="709"/>
              </w:tabs>
              <w:spacing w:before="60" w:after="60"/>
              <w:rPr>
                <w:rFonts w:ascii="Arial" w:hAnsi="Arial"/>
                <w:color w:val="000000"/>
              </w:rPr>
            </w:pPr>
            <w:r w:rsidRPr="006369C5">
              <w:rPr>
                <w:rFonts w:ascii="Arial" w:hAnsi="Arial"/>
                <w:b/>
                <w:color w:val="000000"/>
                <w:sz w:val="16"/>
                <w:szCs w:val="16"/>
              </w:rPr>
              <w:t>Performance measures</w:t>
            </w:r>
          </w:p>
        </w:tc>
        <w:tc>
          <w:tcPr>
            <w:tcW w:w="3380" w:type="dxa"/>
            <w:tcBorders>
              <w:top w:val="single" w:sz="4" w:space="0" w:color="auto"/>
              <w:left w:val="single" w:sz="4" w:space="0" w:color="auto"/>
              <w:bottom w:val="single" w:sz="4" w:space="0" w:color="auto"/>
            </w:tcBorders>
          </w:tcPr>
          <w:p w14:paraId="5504A7F9" w14:textId="77777777" w:rsidR="00F7100A" w:rsidRPr="006369C5" w:rsidRDefault="00F7100A" w:rsidP="00072EF9">
            <w:pPr>
              <w:tabs>
                <w:tab w:val="left" w:pos="709"/>
              </w:tabs>
              <w:spacing w:before="60" w:after="60"/>
              <w:rPr>
                <w:rFonts w:ascii="Arial" w:hAnsi="Arial"/>
                <w:i/>
                <w:color w:val="000000"/>
                <w:sz w:val="16"/>
                <w:szCs w:val="16"/>
              </w:rPr>
            </w:pPr>
            <w:r w:rsidRPr="006369C5">
              <w:rPr>
                <w:rFonts w:ascii="Arial" w:hAnsi="Arial"/>
                <w:b/>
                <w:color w:val="000000"/>
                <w:sz w:val="16"/>
                <w:szCs w:val="16"/>
              </w:rPr>
              <w:t>Expected Performance Results</w:t>
            </w:r>
          </w:p>
        </w:tc>
      </w:tr>
      <w:tr w:rsidR="006369C5" w:rsidRPr="006369C5" w14:paraId="5583F3D0" w14:textId="77777777" w:rsidTr="003C0162">
        <w:tblPrEx>
          <w:tblLook w:val="04A0" w:firstRow="1" w:lastRow="0" w:firstColumn="1" w:lastColumn="0" w:noHBand="0" w:noVBand="1"/>
        </w:tblPrEx>
        <w:trPr>
          <w:trHeight w:val="100"/>
        </w:trPr>
        <w:tc>
          <w:tcPr>
            <w:tcW w:w="1799" w:type="dxa"/>
            <w:tcBorders>
              <w:top w:val="single" w:sz="4" w:space="0" w:color="auto"/>
              <w:bottom w:val="single" w:sz="4" w:space="0" w:color="auto"/>
              <w:right w:val="single" w:sz="4" w:space="0" w:color="auto"/>
            </w:tcBorders>
          </w:tcPr>
          <w:p w14:paraId="3AC9D064" w14:textId="77777777" w:rsidR="006369C5" w:rsidRPr="006369C5" w:rsidRDefault="006369C5" w:rsidP="006369C5">
            <w:pPr>
              <w:tabs>
                <w:tab w:val="left" w:pos="709"/>
              </w:tabs>
              <w:spacing w:before="0" w:after="0"/>
              <w:rPr>
                <w:rFonts w:ascii="Arial" w:hAnsi="Arial"/>
                <w:color w:val="000000"/>
                <w:sz w:val="16"/>
                <w:szCs w:val="16"/>
              </w:rPr>
            </w:pPr>
            <w:r w:rsidRPr="006369C5">
              <w:rPr>
                <w:rFonts w:ascii="Arial" w:hAnsi="Arial"/>
                <w:color w:val="000000"/>
                <w:sz w:val="16"/>
                <w:szCs w:val="16"/>
              </w:rPr>
              <w:t>Current Year</w:t>
            </w:r>
          </w:p>
          <w:p w14:paraId="6B4C5382" w14:textId="77777777" w:rsidR="006369C5" w:rsidRPr="006369C5" w:rsidRDefault="006369C5" w:rsidP="006369C5">
            <w:pPr>
              <w:tabs>
                <w:tab w:val="left" w:pos="709"/>
              </w:tabs>
              <w:spacing w:before="0" w:after="0"/>
              <w:rPr>
                <w:rFonts w:ascii="Arial" w:hAnsi="Arial"/>
                <w:color w:val="000000"/>
                <w:sz w:val="16"/>
                <w:szCs w:val="16"/>
              </w:rPr>
            </w:pPr>
            <w:r w:rsidRPr="006369C5">
              <w:rPr>
                <w:rFonts w:ascii="Arial" w:hAnsi="Arial"/>
                <w:color w:val="000000"/>
                <w:sz w:val="16"/>
                <w:szCs w:val="16"/>
              </w:rPr>
              <w:t>2024-25</w:t>
            </w:r>
          </w:p>
        </w:tc>
        <w:tc>
          <w:tcPr>
            <w:tcW w:w="3174" w:type="dxa"/>
            <w:tcBorders>
              <w:top w:val="single" w:sz="4" w:space="0" w:color="auto"/>
              <w:left w:val="single" w:sz="4" w:space="0" w:color="auto"/>
              <w:bottom w:val="single" w:sz="4" w:space="0" w:color="auto"/>
              <w:right w:val="single" w:sz="4" w:space="0" w:color="auto"/>
            </w:tcBorders>
          </w:tcPr>
          <w:p w14:paraId="6A2C917E" w14:textId="77777777" w:rsidR="006369C5" w:rsidRPr="006369C5" w:rsidRDefault="006369C5" w:rsidP="00433E44">
            <w:pPr>
              <w:tabs>
                <w:tab w:val="left" w:pos="709"/>
              </w:tabs>
              <w:spacing w:before="60" w:after="60"/>
              <w:rPr>
                <w:rFonts w:ascii="Arial" w:hAnsi="Arial"/>
                <w:color w:val="000000"/>
                <w:sz w:val="16"/>
                <w:szCs w:val="16"/>
              </w:rPr>
            </w:pPr>
            <w:r w:rsidRPr="006369C5">
              <w:rPr>
                <w:rFonts w:ascii="Arial" w:hAnsi="Arial"/>
                <w:sz w:val="16"/>
                <w:szCs w:val="16"/>
                <w:lang w:val="en-AU"/>
              </w:rPr>
              <w:t xml:space="preserve">6.1: Defence is delivering the right future capability at the right time within the Integrated Investment Program to ensure it is equipped to respond to future security challenges as directed by the </w:t>
            </w:r>
            <w:r w:rsidRPr="00E00255">
              <w:rPr>
                <w:rFonts w:ascii="Arial" w:hAnsi="Arial"/>
                <w:i/>
                <w:sz w:val="16"/>
                <w:szCs w:val="16"/>
                <w:lang w:val="en-AU"/>
              </w:rPr>
              <w:t>2024 National Defence Strategy</w:t>
            </w:r>
            <w:r w:rsidRPr="006369C5">
              <w:rPr>
                <w:rFonts w:ascii="Arial" w:hAnsi="Arial"/>
                <w:sz w:val="16"/>
                <w:szCs w:val="16"/>
                <w:lang w:val="en-AU"/>
              </w:rPr>
              <w:t>.</w:t>
            </w:r>
          </w:p>
        </w:tc>
        <w:tc>
          <w:tcPr>
            <w:tcW w:w="3380" w:type="dxa"/>
            <w:tcBorders>
              <w:top w:val="single" w:sz="4" w:space="0" w:color="auto"/>
              <w:left w:val="single" w:sz="4" w:space="0" w:color="auto"/>
              <w:bottom w:val="single" w:sz="4" w:space="0" w:color="auto"/>
            </w:tcBorders>
          </w:tcPr>
          <w:p w14:paraId="4AD684EF" w14:textId="77777777" w:rsidR="006369C5" w:rsidRPr="006369C5" w:rsidRDefault="006369C5" w:rsidP="006369C5">
            <w:pPr>
              <w:tabs>
                <w:tab w:val="left" w:pos="709"/>
              </w:tabs>
              <w:spacing w:before="60" w:after="60"/>
              <w:rPr>
                <w:rFonts w:ascii="Arial" w:hAnsi="Arial"/>
                <w:sz w:val="16"/>
                <w:szCs w:val="16"/>
                <w:lang w:val="en-AU"/>
              </w:rPr>
            </w:pPr>
            <w:r w:rsidRPr="006369C5">
              <w:rPr>
                <w:rFonts w:ascii="Arial" w:hAnsi="Arial"/>
                <w:sz w:val="16"/>
                <w:szCs w:val="16"/>
                <w:lang w:val="en-AU"/>
              </w:rPr>
              <w:t>80 per cent or more of approved Integrated Investment Program projects across all domains are on track to deliver the scope approved by Government within Government approved cost and schedule.</w:t>
            </w:r>
          </w:p>
          <w:p w14:paraId="22B6AFD3" w14:textId="357A661F" w:rsidR="006369C5" w:rsidRPr="006369C5" w:rsidRDefault="00B37670" w:rsidP="006369C5">
            <w:pPr>
              <w:tabs>
                <w:tab w:val="left" w:pos="709"/>
              </w:tabs>
              <w:spacing w:before="60" w:after="60"/>
              <w:jc w:val="right"/>
              <w:rPr>
                <w:rFonts w:ascii="Arial" w:hAnsi="Arial"/>
                <w:sz w:val="16"/>
                <w:szCs w:val="16"/>
              </w:rPr>
            </w:pPr>
            <w:r w:rsidRPr="00B37670">
              <w:rPr>
                <w:rFonts w:ascii="Arial" w:hAnsi="Arial"/>
                <w:i/>
                <w:sz w:val="16"/>
                <w:szCs w:val="16"/>
                <w:lang w:val="en-AU"/>
              </w:rPr>
              <w:t>Expected to be substantially achieved</w:t>
            </w:r>
            <w:r w:rsidR="006369C5" w:rsidRPr="006369C5">
              <w:rPr>
                <w:rFonts w:ascii="Arial" w:hAnsi="Arial"/>
                <w:i/>
                <w:sz w:val="16"/>
                <w:szCs w:val="16"/>
                <w:lang w:val="en-AU"/>
              </w:rPr>
              <w:t>.</w:t>
            </w:r>
          </w:p>
        </w:tc>
      </w:tr>
      <w:tr w:rsidR="0004322A" w:rsidRPr="006369C5" w14:paraId="61F789F6" w14:textId="77777777" w:rsidTr="003C0162">
        <w:tblPrEx>
          <w:tblLook w:val="04A0" w:firstRow="1" w:lastRow="0" w:firstColumn="1" w:lastColumn="0" w:noHBand="0" w:noVBand="1"/>
        </w:tblPrEx>
        <w:trPr>
          <w:trHeight w:val="258"/>
        </w:trPr>
        <w:tc>
          <w:tcPr>
            <w:tcW w:w="1799" w:type="dxa"/>
            <w:tcBorders>
              <w:top w:val="single" w:sz="4" w:space="0" w:color="auto"/>
              <w:bottom w:val="single" w:sz="4" w:space="0" w:color="auto"/>
              <w:right w:val="single" w:sz="4" w:space="0" w:color="auto"/>
            </w:tcBorders>
          </w:tcPr>
          <w:p w14:paraId="422D5B50" w14:textId="77777777" w:rsidR="0004322A" w:rsidRPr="006369C5" w:rsidRDefault="0004322A" w:rsidP="0004322A">
            <w:pPr>
              <w:tabs>
                <w:tab w:val="left" w:pos="709"/>
              </w:tabs>
              <w:spacing w:before="60" w:after="60"/>
              <w:rPr>
                <w:rFonts w:ascii="Arial" w:hAnsi="Arial"/>
                <w:b/>
                <w:color w:val="000000"/>
                <w:sz w:val="16"/>
                <w:szCs w:val="16"/>
              </w:rPr>
            </w:pPr>
            <w:r w:rsidRPr="006369C5">
              <w:rPr>
                <w:rFonts w:ascii="Arial" w:hAnsi="Arial"/>
                <w:b/>
                <w:color w:val="000000"/>
                <w:sz w:val="16"/>
                <w:szCs w:val="16"/>
              </w:rPr>
              <w:t>Year</w:t>
            </w:r>
          </w:p>
        </w:tc>
        <w:tc>
          <w:tcPr>
            <w:tcW w:w="3174" w:type="dxa"/>
            <w:tcBorders>
              <w:top w:val="single" w:sz="4" w:space="0" w:color="auto"/>
              <w:left w:val="single" w:sz="4" w:space="0" w:color="auto"/>
              <w:bottom w:val="single" w:sz="4" w:space="0" w:color="auto"/>
              <w:right w:val="single" w:sz="4" w:space="0" w:color="auto"/>
            </w:tcBorders>
          </w:tcPr>
          <w:p w14:paraId="6114E35A" w14:textId="77777777" w:rsidR="0004322A" w:rsidRPr="006369C5" w:rsidRDefault="0004322A" w:rsidP="0004322A">
            <w:pPr>
              <w:tabs>
                <w:tab w:val="left" w:pos="709"/>
                <w:tab w:val="center" w:pos="1818"/>
              </w:tabs>
              <w:spacing w:before="60" w:after="60"/>
              <w:rPr>
                <w:rFonts w:ascii="Arial" w:hAnsi="Arial"/>
                <w:b/>
                <w:color w:val="000000"/>
                <w:sz w:val="16"/>
                <w:szCs w:val="16"/>
              </w:rPr>
            </w:pPr>
            <w:r w:rsidRPr="006369C5">
              <w:rPr>
                <w:rFonts w:ascii="Arial" w:hAnsi="Arial"/>
                <w:b/>
                <w:color w:val="000000"/>
                <w:sz w:val="16"/>
                <w:szCs w:val="16"/>
              </w:rPr>
              <w:t>Performance measures</w:t>
            </w:r>
          </w:p>
        </w:tc>
        <w:tc>
          <w:tcPr>
            <w:tcW w:w="3380" w:type="dxa"/>
            <w:tcBorders>
              <w:top w:val="single" w:sz="4" w:space="0" w:color="auto"/>
              <w:left w:val="single" w:sz="4" w:space="0" w:color="auto"/>
              <w:bottom w:val="single" w:sz="4" w:space="0" w:color="auto"/>
            </w:tcBorders>
          </w:tcPr>
          <w:p w14:paraId="7962E4FC" w14:textId="77777777" w:rsidR="0004322A" w:rsidRPr="006369C5" w:rsidRDefault="0004322A" w:rsidP="0004322A">
            <w:pPr>
              <w:tabs>
                <w:tab w:val="left" w:pos="709"/>
              </w:tabs>
              <w:spacing w:before="60" w:after="60"/>
              <w:rPr>
                <w:rFonts w:ascii="Arial" w:hAnsi="Arial"/>
                <w:b/>
                <w:color w:val="000000"/>
                <w:sz w:val="16"/>
                <w:szCs w:val="16"/>
              </w:rPr>
            </w:pPr>
            <w:r w:rsidRPr="006369C5">
              <w:rPr>
                <w:rFonts w:ascii="Arial" w:hAnsi="Arial"/>
                <w:b/>
                <w:color w:val="000000"/>
                <w:sz w:val="16"/>
                <w:szCs w:val="16"/>
              </w:rPr>
              <w:t>Planned Performance Results</w:t>
            </w:r>
          </w:p>
        </w:tc>
      </w:tr>
      <w:tr w:rsidR="006369C5" w:rsidRPr="006369C5" w14:paraId="2132061F" w14:textId="77777777" w:rsidTr="0004322A">
        <w:tblPrEx>
          <w:tblLook w:val="04A0" w:firstRow="1" w:lastRow="0" w:firstColumn="1" w:lastColumn="0" w:noHBand="0" w:noVBand="1"/>
        </w:tblPrEx>
        <w:trPr>
          <w:trHeight w:val="1182"/>
        </w:trPr>
        <w:tc>
          <w:tcPr>
            <w:tcW w:w="1799" w:type="dxa"/>
            <w:tcBorders>
              <w:top w:val="single" w:sz="4" w:space="0" w:color="auto"/>
              <w:right w:val="single" w:sz="4" w:space="0" w:color="auto"/>
            </w:tcBorders>
          </w:tcPr>
          <w:p w14:paraId="70748A4A" w14:textId="77777777" w:rsidR="006369C5" w:rsidRPr="006369C5" w:rsidRDefault="006369C5" w:rsidP="006369C5">
            <w:pPr>
              <w:tabs>
                <w:tab w:val="left" w:pos="709"/>
              </w:tabs>
              <w:spacing w:before="0" w:after="0"/>
              <w:rPr>
                <w:rFonts w:ascii="Arial" w:hAnsi="Arial"/>
                <w:color w:val="000000"/>
                <w:sz w:val="16"/>
                <w:szCs w:val="16"/>
              </w:rPr>
            </w:pPr>
            <w:r w:rsidRPr="006369C5">
              <w:rPr>
                <w:rFonts w:ascii="Arial" w:hAnsi="Arial"/>
                <w:color w:val="000000"/>
                <w:sz w:val="16"/>
                <w:szCs w:val="16"/>
              </w:rPr>
              <w:t>Budget Year</w:t>
            </w:r>
          </w:p>
          <w:p w14:paraId="41EA369D" w14:textId="77777777" w:rsidR="006369C5" w:rsidRPr="006369C5" w:rsidRDefault="006369C5" w:rsidP="006369C5">
            <w:pPr>
              <w:tabs>
                <w:tab w:val="left" w:pos="709"/>
              </w:tabs>
              <w:spacing w:before="0" w:after="0"/>
              <w:rPr>
                <w:rFonts w:ascii="Arial" w:hAnsi="Arial"/>
                <w:color w:val="000000"/>
                <w:sz w:val="16"/>
                <w:szCs w:val="16"/>
              </w:rPr>
            </w:pPr>
            <w:r w:rsidRPr="006369C5">
              <w:rPr>
                <w:rFonts w:ascii="Arial" w:hAnsi="Arial"/>
                <w:color w:val="000000"/>
                <w:sz w:val="16"/>
                <w:szCs w:val="16"/>
              </w:rPr>
              <w:t>2025-26</w:t>
            </w:r>
            <w:r>
              <w:rPr>
                <w:rFonts w:ascii="Arial" w:hAnsi="Arial"/>
                <w:color w:val="000000"/>
                <w:sz w:val="16"/>
                <w:szCs w:val="16"/>
              </w:rPr>
              <w:t xml:space="preserve"> </w:t>
            </w:r>
            <w:r w:rsidRPr="006369C5">
              <w:rPr>
                <w:rFonts w:ascii="Arial" w:hAnsi="Arial"/>
                <w:color w:val="000000"/>
                <w:sz w:val="16"/>
                <w:szCs w:val="16"/>
                <w:vertAlign w:val="superscript"/>
              </w:rPr>
              <w:t>[a]</w:t>
            </w:r>
          </w:p>
        </w:tc>
        <w:tc>
          <w:tcPr>
            <w:tcW w:w="3174" w:type="dxa"/>
            <w:tcBorders>
              <w:top w:val="single" w:sz="4" w:space="0" w:color="auto"/>
              <w:left w:val="single" w:sz="4" w:space="0" w:color="auto"/>
              <w:right w:val="single" w:sz="4" w:space="0" w:color="auto"/>
            </w:tcBorders>
          </w:tcPr>
          <w:p w14:paraId="513DF715" w14:textId="77777777" w:rsidR="006369C5" w:rsidRPr="00470FF0" w:rsidRDefault="006369C5" w:rsidP="00433E44">
            <w:pPr>
              <w:tabs>
                <w:tab w:val="left" w:pos="709"/>
              </w:tabs>
              <w:spacing w:before="60" w:after="60"/>
              <w:rPr>
                <w:rFonts w:ascii="Arial" w:hAnsi="Arial"/>
                <w:color w:val="000000"/>
                <w:sz w:val="16"/>
                <w:szCs w:val="16"/>
              </w:rPr>
            </w:pPr>
            <w:r w:rsidRPr="00880166">
              <w:rPr>
                <w:rFonts w:ascii="Arial" w:hAnsi="Arial"/>
                <w:sz w:val="16"/>
                <w:szCs w:val="16"/>
                <w:lang w:val="en-AU"/>
              </w:rPr>
              <w:t xml:space="preserve">6.1: Defence is delivering the right future capability at the right time within the Integrated Investment Program to ensure it is equipped to respond to future security challenges as directed by the </w:t>
            </w:r>
            <w:r w:rsidRPr="00E00255">
              <w:rPr>
                <w:rFonts w:ascii="Arial" w:hAnsi="Arial"/>
                <w:i/>
                <w:sz w:val="16"/>
                <w:szCs w:val="16"/>
                <w:lang w:val="en-AU"/>
              </w:rPr>
              <w:t>2024 National Defence Strategy</w:t>
            </w:r>
            <w:r w:rsidRPr="00880166">
              <w:rPr>
                <w:rFonts w:ascii="Arial" w:hAnsi="Arial"/>
                <w:sz w:val="16"/>
                <w:szCs w:val="16"/>
                <w:lang w:val="en-AU"/>
              </w:rPr>
              <w:t>.</w:t>
            </w:r>
          </w:p>
        </w:tc>
        <w:tc>
          <w:tcPr>
            <w:tcW w:w="3380" w:type="dxa"/>
            <w:tcBorders>
              <w:top w:val="single" w:sz="4" w:space="0" w:color="auto"/>
              <w:left w:val="single" w:sz="4" w:space="0" w:color="auto"/>
            </w:tcBorders>
          </w:tcPr>
          <w:p w14:paraId="513CB67F" w14:textId="77777777" w:rsidR="006369C5" w:rsidRPr="0036429E" w:rsidRDefault="006369C5" w:rsidP="006369C5">
            <w:pPr>
              <w:tabs>
                <w:tab w:val="left" w:pos="709"/>
              </w:tabs>
              <w:spacing w:before="60" w:after="60"/>
              <w:rPr>
                <w:rFonts w:ascii="Arial" w:hAnsi="Arial"/>
                <w:sz w:val="16"/>
                <w:szCs w:val="16"/>
              </w:rPr>
            </w:pPr>
            <w:r w:rsidRPr="0036429E">
              <w:rPr>
                <w:rFonts w:ascii="Arial" w:hAnsi="Arial"/>
                <w:sz w:val="16"/>
                <w:szCs w:val="16"/>
                <w:lang w:val="en-AU"/>
              </w:rPr>
              <w:t>80 per cent or more of approved Integrated Investment Program projects across all domains are on track to deliver the scope approved by Government within Government approved cost and schedule.</w:t>
            </w:r>
          </w:p>
        </w:tc>
      </w:tr>
      <w:tr w:rsidR="0004322A" w:rsidRPr="006369C5" w14:paraId="774F0429" w14:textId="77777777" w:rsidTr="0004322A">
        <w:tblPrEx>
          <w:tblLook w:val="04A0" w:firstRow="1" w:lastRow="0" w:firstColumn="1" w:lastColumn="0" w:noHBand="0" w:noVBand="1"/>
        </w:tblPrEx>
        <w:trPr>
          <w:trHeight w:val="491"/>
        </w:trPr>
        <w:tc>
          <w:tcPr>
            <w:tcW w:w="1799" w:type="dxa"/>
            <w:tcBorders>
              <w:top w:val="dotted" w:sz="4" w:space="0" w:color="auto"/>
              <w:bottom w:val="single" w:sz="4" w:space="0" w:color="auto"/>
              <w:right w:val="single" w:sz="4" w:space="0" w:color="auto"/>
            </w:tcBorders>
          </w:tcPr>
          <w:p w14:paraId="1721A0E4" w14:textId="77777777" w:rsidR="0004322A" w:rsidRPr="006369C5" w:rsidRDefault="0004322A" w:rsidP="006369C5">
            <w:pPr>
              <w:tabs>
                <w:tab w:val="left" w:pos="709"/>
              </w:tabs>
              <w:spacing w:before="0" w:after="0"/>
              <w:rPr>
                <w:rFonts w:ascii="Arial" w:hAnsi="Arial"/>
                <w:color w:val="000000"/>
                <w:sz w:val="16"/>
                <w:szCs w:val="16"/>
              </w:rPr>
            </w:pPr>
            <w:r w:rsidRPr="006369C5">
              <w:rPr>
                <w:rFonts w:ascii="Arial" w:hAnsi="Arial"/>
                <w:color w:val="000000"/>
                <w:sz w:val="16"/>
                <w:szCs w:val="16"/>
              </w:rPr>
              <w:t>Forward Estimates</w:t>
            </w:r>
          </w:p>
          <w:p w14:paraId="00260534" w14:textId="77777777" w:rsidR="0004322A" w:rsidRPr="006369C5" w:rsidRDefault="0004322A" w:rsidP="006369C5">
            <w:pPr>
              <w:tabs>
                <w:tab w:val="left" w:pos="709"/>
              </w:tabs>
              <w:spacing w:before="0" w:after="0"/>
              <w:rPr>
                <w:rFonts w:ascii="Arial" w:hAnsi="Arial"/>
                <w:b/>
                <w:color w:val="000000"/>
                <w:sz w:val="16"/>
                <w:szCs w:val="16"/>
              </w:rPr>
            </w:pPr>
            <w:r w:rsidRPr="006369C5">
              <w:rPr>
                <w:rFonts w:ascii="Arial" w:hAnsi="Arial"/>
                <w:color w:val="000000"/>
                <w:sz w:val="16"/>
                <w:szCs w:val="16"/>
              </w:rPr>
              <w:t>2026-29</w:t>
            </w:r>
          </w:p>
        </w:tc>
        <w:tc>
          <w:tcPr>
            <w:tcW w:w="3174" w:type="dxa"/>
            <w:tcBorders>
              <w:top w:val="single" w:sz="4" w:space="0" w:color="auto"/>
              <w:left w:val="single" w:sz="4" w:space="0" w:color="auto"/>
              <w:bottom w:val="single" w:sz="4" w:space="0" w:color="auto"/>
              <w:right w:val="single" w:sz="4" w:space="0" w:color="auto"/>
            </w:tcBorders>
          </w:tcPr>
          <w:p w14:paraId="4DA23C1C" w14:textId="77777777" w:rsidR="0004322A" w:rsidRPr="006369C5" w:rsidRDefault="0004322A" w:rsidP="006369C5">
            <w:pPr>
              <w:tabs>
                <w:tab w:val="left" w:pos="709"/>
              </w:tabs>
              <w:spacing w:before="60" w:after="60"/>
              <w:rPr>
                <w:rFonts w:ascii="Arial" w:hAnsi="Arial"/>
                <w:b/>
                <w:color w:val="000000"/>
                <w:sz w:val="16"/>
                <w:szCs w:val="16"/>
              </w:rPr>
            </w:pPr>
            <w:r w:rsidRPr="006369C5">
              <w:rPr>
                <w:rFonts w:ascii="Arial" w:hAnsi="Arial"/>
                <w:color w:val="000000"/>
                <w:sz w:val="16"/>
                <w:szCs w:val="16"/>
              </w:rPr>
              <w:t>As per 202</w:t>
            </w:r>
            <w:r w:rsidR="006369C5">
              <w:rPr>
                <w:rFonts w:ascii="Arial" w:hAnsi="Arial"/>
                <w:color w:val="000000"/>
                <w:sz w:val="16"/>
                <w:szCs w:val="16"/>
              </w:rPr>
              <w:t>5</w:t>
            </w:r>
            <w:r w:rsidRPr="006369C5">
              <w:rPr>
                <w:rFonts w:ascii="Arial" w:hAnsi="Arial"/>
                <w:color w:val="000000"/>
                <w:sz w:val="16"/>
                <w:szCs w:val="16"/>
              </w:rPr>
              <w:t>-2</w:t>
            </w:r>
            <w:r w:rsidR="006369C5">
              <w:rPr>
                <w:rFonts w:ascii="Arial" w:hAnsi="Arial"/>
                <w:color w:val="000000"/>
                <w:sz w:val="16"/>
                <w:szCs w:val="16"/>
              </w:rPr>
              <w:t>6</w:t>
            </w:r>
            <w:r w:rsidRPr="006369C5">
              <w:rPr>
                <w:rFonts w:ascii="Arial" w:hAnsi="Arial"/>
                <w:color w:val="000000"/>
                <w:sz w:val="16"/>
                <w:szCs w:val="16"/>
              </w:rPr>
              <w:t>.</w:t>
            </w:r>
          </w:p>
        </w:tc>
        <w:tc>
          <w:tcPr>
            <w:tcW w:w="3380" w:type="dxa"/>
            <w:tcBorders>
              <w:top w:val="single" w:sz="4" w:space="0" w:color="auto"/>
              <w:left w:val="single" w:sz="4" w:space="0" w:color="auto"/>
              <w:bottom w:val="single" w:sz="4" w:space="0" w:color="auto"/>
            </w:tcBorders>
          </w:tcPr>
          <w:p w14:paraId="63E8DC0E" w14:textId="77777777" w:rsidR="0004322A" w:rsidRPr="006369C5" w:rsidRDefault="0004322A" w:rsidP="006369C5">
            <w:pPr>
              <w:tabs>
                <w:tab w:val="left" w:pos="709"/>
              </w:tabs>
              <w:spacing w:before="60" w:after="60"/>
              <w:rPr>
                <w:rFonts w:ascii="Arial" w:hAnsi="Arial"/>
                <w:b/>
                <w:color w:val="000000"/>
                <w:sz w:val="16"/>
                <w:szCs w:val="16"/>
              </w:rPr>
            </w:pPr>
            <w:r w:rsidRPr="006369C5">
              <w:rPr>
                <w:rFonts w:ascii="Arial" w:hAnsi="Arial"/>
                <w:color w:val="000000"/>
                <w:sz w:val="16"/>
                <w:szCs w:val="16"/>
              </w:rPr>
              <w:t>As per 202</w:t>
            </w:r>
            <w:r w:rsidR="006369C5">
              <w:rPr>
                <w:rFonts w:ascii="Arial" w:hAnsi="Arial"/>
                <w:color w:val="000000"/>
                <w:sz w:val="16"/>
                <w:szCs w:val="16"/>
              </w:rPr>
              <w:t>5</w:t>
            </w:r>
            <w:r w:rsidRPr="006369C5">
              <w:rPr>
                <w:rFonts w:ascii="Arial" w:hAnsi="Arial"/>
                <w:color w:val="000000"/>
                <w:sz w:val="16"/>
                <w:szCs w:val="16"/>
              </w:rPr>
              <w:t>-2</w:t>
            </w:r>
            <w:r w:rsidR="006369C5">
              <w:rPr>
                <w:rFonts w:ascii="Arial" w:hAnsi="Arial"/>
                <w:color w:val="000000"/>
                <w:sz w:val="16"/>
                <w:szCs w:val="16"/>
              </w:rPr>
              <w:t>6</w:t>
            </w:r>
            <w:r w:rsidRPr="006369C5">
              <w:rPr>
                <w:rFonts w:ascii="Arial" w:hAnsi="Arial"/>
                <w:color w:val="000000"/>
                <w:sz w:val="16"/>
                <w:szCs w:val="16"/>
              </w:rPr>
              <w:t>.</w:t>
            </w:r>
          </w:p>
        </w:tc>
      </w:tr>
      <w:tr w:rsidR="0004322A" w:rsidRPr="00CD66E1" w14:paraId="47DD21B1" w14:textId="77777777" w:rsidTr="0004322A">
        <w:tblPrEx>
          <w:tblLook w:val="04A0" w:firstRow="1" w:lastRow="0" w:firstColumn="1" w:lastColumn="0" w:noHBand="0" w:noVBand="1"/>
        </w:tblPrEx>
        <w:trPr>
          <w:trHeight w:val="291"/>
        </w:trPr>
        <w:tc>
          <w:tcPr>
            <w:tcW w:w="8353" w:type="dxa"/>
            <w:gridSpan w:val="3"/>
          </w:tcPr>
          <w:p w14:paraId="2D5F9B7F" w14:textId="7A583190" w:rsidR="0004322A" w:rsidRPr="006369C5" w:rsidRDefault="0004322A" w:rsidP="00E364DF">
            <w:pPr>
              <w:tabs>
                <w:tab w:val="left" w:pos="709"/>
              </w:tabs>
              <w:spacing w:before="60" w:after="60"/>
              <w:rPr>
                <w:rFonts w:ascii="Arial" w:hAnsi="Arial"/>
                <w:bCs/>
                <w:iCs/>
                <w:color w:val="000000"/>
                <w:spacing w:val="-6"/>
                <w:sz w:val="16"/>
                <w:szCs w:val="16"/>
              </w:rPr>
            </w:pPr>
            <w:r w:rsidRPr="006369C5">
              <w:rPr>
                <w:rFonts w:ascii="Arial" w:hAnsi="Arial"/>
                <w:color w:val="000000"/>
                <w:sz w:val="16"/>
                <w:szCs w:val="16"/>
              </w:rPr>
              <w:t>Material changes to Program 2.10 resulting from 202</w:t>
            </w:r>
            <w:r w:rsidR="00E364DF">
              <w:rPr>
                <w:rFonts w:ascii="Arial" w:hAnsi="Arial"/>
                <w:color w:val="000000"/>
                <w:sz w:val="16"/>
                <w:szCs w:val="16"/>
              </w:rPr>
              <w:t>5</w:t>
            </w:r>
            <w:r w:rsidRPr="006369C5">
              <w:rPr>
                <w:rFonts w:ascii="Arial" w:hAnsi="Arial"/>
                <w:color w:val="000000"/>
                <w:sz w:val="16"/>
                <w:szCs w:val="16"/>
              </w:rPr>
              <w:t>-2</w:t>
            </w:r>
            <w:r w:rsidR="00E364DF">
              <w:rPr>
                <w:rFonts w:ascii="Arial" w:hAnsi="Arial"/>
                <w:color w:val="000000"/>
                <w:sz w:val="16"/>
                <w:szCs w:val="16"/>
              </w:rPr>
              <w:t>6</w:t>
            </w:r>
            <w:r w:rsidRPr="006369C5">
              <w:rPr>
                <w:rFonts w:ascii="Arial" w:hAnsi="Arial"/>
                <w:color w:val="000000"/>
                <w:sz w:val="16"/>
                <w:szCs w:val="16"/>
              </w:rPr>
              <w:t xml:space="preserve"> Budget Measures:</w:t>
            </w:r>
            <w:r w:rsidRPr="006369C5">
              <w:rPr>
                <w:rStyle w:val="BodyTextChar"/>
                <w:rFonts w:ascii="Arial" w:hAnsi="Arial"/>
                <w:bCs/>
                <w:iCs/>
                <w:color w:val="000000"/>
                <w:spacing w:val="-6"/>
                <w:sz w:val="16"/>
                <w:szCs w:val="16"/>
              </w:rPr>
              <w:t xml:space="preserve"> Nil.</w:t>
            </w:r>
          </w:p>
        </w:tc>
      </w:tr>
    </w:tbl>
    <w:p w14:paraId="096252E1" w14:textId="77777777" w:rsidR="00F7100A" w:rsidRPr="00CD66E1" w:rsidRDefault="00F7100A" w:rsidP="00F7100A">
      <w:pPr>
        <w:pStyle w:val="TableHeading"/>
        <w:spacing w:before="0" w:after="0"/>
        <w:rPr>
          <w:sz w:val="16"/>
          <w:szCs w:val="16"/>
          <w:highlight w:val="yellow"/>
        </w:rPr>
      </w:pPr>
    </w:p>
    <w:p w14:paraId="1C123178" w14:textId="77777777" w:rsidR="00F7100A" w:rsidRPr="006369C5" w:rsidRDefault="00F7100A" w:rsidP="00F7100A">
      <w:pPr>
        <w:pStyle w:val="TableHeading"/>
        <w:spacing w:before="0" w:after="0"/>
        <w:rPr>
          <w:sz w:val="14"/>
          <w:szCs w:val="14"/>
        </w:rPr>
      </w:pPr>
      <w:r w:rsidRPr="006369C5">
        <w:rPr>
          <w:sz w:val="14"/>
          <w:szCs w:val="14"/>
        </w:rPr>
        <w:t>Note</w:t>
      </w:r>
    </w:p>
    <w:p w14:paraId="1D1E2319" w14:textId="38567CA4" w:rsidR="00B37670" w:rsidRPr="00B37670" w:rsidRDefault="00B37670" w:rsidP="00444A89">
      <w:pPr>
        <w:pStyle w:val="TableHeading"/>
        <w:numPr>
          <w:ilvl w:val="0"/>
          <w:numId w:val="56"/>
        </w:numPr>
        <w:tabs>
          <w:tab w:val="left" w:pos="284"/>
        </w:tabs>
        <w:spacing w:before="0" w:after="0"/>
        <w:ind w:left="284" w:hanging="284"/>
        <w:rPr>
          <w:b w:val="0"/>
          <w:sz w:val="14"/>
          <w:szCs w:val="14"/>
        </w:rPr>
      </w:pPr>
      <w:r w:rsidRPr="00B37670">
        <w:rPr>
          <w:b w:val="0"/>
          <w:sz w:val="14"/>
          <w:szCs w:val="14"/>
          <w:lang w:val="en-AU"/>
        </w:rPr>
        <w:t>In accordance with Defence’s Enterprise Performance Framework, Defence is undertaking materiality assessments that may result in updates to the 2025-26 performance information in the 2025-29 Defence Corporate Plan, if required.</w:t>
      </w:r>
    </w:p>
    <w:p w14:paraId="0100971F" w14:textId="66938AF2" w:rsidR="00DE5980" w:rsidRPr="009737EB" w:rsidRDefault="00DE5980" w:rsidP="00B37670">
      <w:pPr>
        <w:pStyle w:val="TableHeading"/>
        <w:tabs>
          <w:tab w:val="left" w:pos="284"/>
        </w:tabs>
        <w:spacing w:before="0" w:after="0"/>
        <w:rPr>
          <w:b w:val="0"/>
          <w:sz w:val="14"/>
          <w:szCs w:val="14"/>
        </w:rPr>
      </w:pPr>
    </w:p>
    <w:p w14:paraId="0EB24187" w14:textId="42DA8258" w:rsidR="003D5485" w:rsidRPr="00B56DBE" w:rsidRDefault="003D5485" w:rsidP="00D9100A">
      <w:pPr>
        <w:pStyle w:val="TableHeading"/>
        <w:numPr>
          <w:ilvl w:val="0"/>
          <w:numId w:val="29"/>
        </w:numPr>
        <w:spacing w:before="0" w:after="120"/>
        <w:ind w:left="0" w:firstLine="0"/>
        <w:outlineLvl w:val="6"/>
        <w:rPr>
          <w:vertAlign w:val="superscript"/>
        </w:rPr>
      </w:pPr>
      <w:r w:rsidRPr="00B56DBE">
        <w:t xml:space="preserve">Cost Summary for Program 2.10 </w:t>
      </w:r>
      <w:r w:rsidR="00294EA5" w:rsidRPr="00B56DBE">
        <w:t xml:space="preserve">Security and </w:t>
      </w:r>
      <w:r w:rsidR="005F39C7" w:rsidRPr="00B56DBE">
        <w:t>Estate</w:t>
      </w:r>
    </w:p>
    <w:p w14:paraId="67889389" w14:textId="301100DD" w:rsidR="00312F38" w:rsidRPr="00B56FAA" w:rsidRDefault="003708CA" w:rsidP="00656D60">
      <w:pPr>
        <w:spacing w:before="0" w:after="0"/>
        <w:ind w:left="142" w:hanging="142"/>
      </w:pPr>
      <w:r w:rsidRPr="003708CA">
        <w:rPr>
          <w:noProof/>
          <w:lang w:val="en-AU"/>
        </w:rPr>
        <w:drawing>
          <wp:inline distT="0" distB="0" distL="0" distR="0" wp14:anchorId="3EEAB01E" wp14:editId="1A15B8A2">
            <wp:extent cx="4986020" cy="2547161"/>
            <wp:effectExtent l="0" t="0" r="508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86020" cy="2547161"/>
                    </a:xfrm>
                    <a:prstGeom prst="rect">
                      <a:avLst/>
                    </a:prstGeom>
                    <a:noFill/>
                    <a:ln>
                      <a:noFill/>
                    </a:ln>
                  </pic:spPr>
                </pic:pic>
              </a:graphicData>
            </a:graphic>
          </wp:inline>
        </w:drawing>
      </w:r>
    </w:p>
    <w:p w14:paraId="7D90DCA6" w14:textId="77777777" w:rsidR="00656D60" w:rsidRPr="00B56FAA" w:rsidRDefault="00656D60" w:rsidP="00656D60">
      <w:pPr>
        <w:spacing w:before="0" w:after="0"/>
        <w:ind w:left="142" w:hanging="142"/>
        <w:rPr>
          <w:rFonts w:ascii="Arial" w:hAnsi="Arial"/>
          <w:b/>
          <w:sz w:val="16"/>
          <w:szCs w:val="16"/>
          <w:lang w:val="en-AU"/>
        </w:rPr>
      </w:pPr>
    </w:p>
    <w:p w14:paraId="396DC7CA" w14:textId="4FE17776" w:rsidR="00344B37" w:rsidRDefault="006F629D" w:rsidP="0011085B">
      <w:pPr>
        <w:tabs>
          <w:tab w:val="left" w:pos="284"/>
        </w:tabs>
        <w:spacing w:before="0" w:after="0"/>
        <w:ind w:left="284" w:hanging="284"/>
        <w:rPr>
          <w:rFonts w:ascii="Arial" w:hAnsi="Arial"/>
          <w:b/>
          <w:sz w:val="14"/>
          <w:szCs w:val="14"/>
          <w:lang w:val="en-AU"/>
        </w:rPr>
      </w:pPr>
      <w:r>
        <w:rPr>
          <w:rFonts w:ascii="Arial" w:hAnsi="Arial"/>
          <w:b/>
          <w:sz w:val="14"/>
          <w:szCs w:val="14"/>
          <w:lang w:val="en-AU"/>
        </w:rPr>
        <w:t>Note</w:t>
      </w:r>
      <w:r w:rsidR="009F0F8A">
        <w:rPr>
          <w:rFonts w:ascii="Arial" w:hAnsi="Arial"/>
          <w:b/>
          <w:sz w:val="14"/>
          <w:szCs w:val="14"/>
          <w:lang w:val="en-AU"/>
        </w:rPr>
        <w:t>s</w:t>
      </w:r>
    </w:p>
    <w:p w14:paraId="137AD478" w14:textId="560CCAFD" w:rsidR="003A0A8B" w:rsidRPr="003A0A8B" w:rsidRDefault="00B56DBE" w:rsidP="003A0A8B">
      <w:pPr>
        <w:tabs>
          <w:tab w:val="left" w:pos="284"/>
        </w:tabs>
        <w:spacing w:before="0" w:after="0"/>
        <w:ind w:left="284" w:hanging="284"/>
        <w:rPr>
          <w:rFonts w:ascii="Arial" w:hAnsi="Arial"/>
          <w:sz w:val="14"/>
          <w:szCs w:val="14"/>
          <w:lang w:val="en-AU"/>
        </w:rPr>
      </w:pPr>
      <w:r w:rsidRPr="00B56DBE">
        <w:rPr>
          <w:rFonts w:ascii="Arial" w:hAnsi="Arial"/>
          <w:sz w:val="14"/>
          <w:szCs w:val="14"/>
          <w:lang w:val="en-AU"/>
        </w:rPr>
        <w:t xml:space="preserve">a. </w:t>
      </w:r>
      <w:r w:rsidR="003A0A8B">
        <w:rPr>
          <w:rFonts w:ascii="Arial" w:hAnsi="Arial"/>
          <w:sz w:val="14"/>
          <w:szCs w:val="14"/>
          <w:lang w:val="en-AU"/>
        </w:rPr>
        <w:tab/>
      </w:r>
      <w:r w:rsidR="003A0A8B" w:rsidRPr="003A0A8B">
        <w:rPr>
          <w:rFonts w:ascii="Arial" w:hAnsi="Arial"/>
          <w:sz w:val="14"/>
          <w:szCs w:val="14"/>
          <w:lang w:val="en-AU"/>
        </w:rPr>
        <w:t>Total Program funded expenditure includes operating expenses and capital expenditure funded by appropriation and own source revenue. This excludes expenses not requiring appropriation.</w:t>
      </w:r>
      <w:r w:rsidR="003A0A8B" w:rsidRPr="003A0A8B">
        <w:rPr>
          <w:rFonts w:ascii="Arial" w:hAnsi="Arial"/>
          <w:sz w:val="14"/>
          <w:szCs w:val="14"/>
          <w:lang w:val="en-AU"/>
        </w:rPr>
        <w:tab/>
      </w:r>
      <w:r w:rsidR="003A0A8B" w:rsidRPr="003A0A8B">
        <w:rPr>
          <w:rFonts w:ascii="Arial" w:hAnsi="Arial"/>
          <w:sz w:val="14"/>
          <w:szCs w:val="14"/>
          <w:lang w:val="en-AU"/>
        </w:rPr>
        <w:tab/>
      </w:r>
      <w:r w:rsidR="003A0A8B" w:rsidRPr="003A0A8B">
        <w:rPr>
          <w:rFonts w:ascii="Arial" w:hAnsi="Arial"/>
          <w:sz w:val="14"/>
          <w:szCs w:val="14"/>
          <w:lang w:val="en-AU"/>
        </w:rPr>
        <w:tab/>
      </w:r>
      <w:r w:rsidR="003A0A8B" w:rsidRPr="003A0A8B">
        <w:rPr>
          <w:rFonts w:ascii="Arial" w:hAnsi="Arial"/>
          <w:sz w:val="14"/>
          <w:szCs w:val="14"/>
          <w:lang w:val="en-AU"/>
        </w:rPr>
        <w:tab/>
      </w:r>
      <w:r w:rsidR="003A0A8B" w:rsidRPr="003A0A8B">
        <w:rPr>
          <w:rFonts w:ascii="Arial" w:hAnsi="Arial"/>
          <w:sz w:val="14"/>
          <w:szCs w:val="14"/>
          <w:lang w:val="en-AU"/>
        </w:rPr>
        <w:tab/>
      </w:r>
    </w:p>
    <w:p w14:paraId="4396510C" w14:textId="1FA4382D" w:rsidR="00B56DBE" w:rsidRPr="00B56DBE" w:rsidRDefault="003A0A8B" w:rsidP="003A0A8B">
      <w:pPr>
        <w:tabs>
          <w:tab w:val="left" w:pos="284"/>
        </w:tabs>
        <w:spacing w:before="0" w:after="0"/>
        <w:ind w:left="284" w:hanging="284"/>
        <w:rPr>
          <w:rFonts w:ascii="Arial" w:hAnsi="Arial"/>
          <w:sz w:val="14"/>
          <w:szCs w:val="14"/>
          <w:lang w:val="en-AU"/>
        </w:rPr>
      </w:pPr>
      <w:r w:rsidRPr="003A0A8B">
        <w:rPr>
          <w:rFonts w:ascii="Arial" w:hAnsi="Arial"/>
          <w:sz w:val="14"/>
          <w:szCs w:val="14"/>
          <w:lang w:val="en-AU"/>
        </w:rPr>
        <w:t xml:space="preserve">b. </w:t>
      </w:r>
      <w:r>
        <w:rPr>
          <w:rFonts w:ascii="Arial" w:hAnsi="Arial"/>
          <w:sz w:val="14"/>
          <w:szCs w:val="14"/>
          <w:lang w:val="en-AU"/>
        </w:rPr>
        <w:tab/>
      </w:r>
      <w:r w:rsidRPr="003A0A8B">
        <w:rPr>
          <w:rFonts w:ascii="Arial" w:hAnsi="Arial"/>
          <w:sz w:val="14"/>
          <w:szCs w:val="14"/>
          <w:lang w:val="en-AU"/>
        </w:rPr>
        <w:t>The change in estimates includes movement of functions and their associated budgets within Defence.</w:t>
      </w:r>
      <w:r w:rsidRPr="003A0A8B">
        <w:rPr>
          <w:rFonts w:ascii="Arial" w:hAnsi="Arial"/>
          <w:sz w:val="14"/>
          <w:szCs w:val="14"/>
          <w:lang w:val="en-AU"/>
        </w:rPr>
        <w:tab/>
      </w:r>
      <w:r w:rsidRPr="003A0A8B">
        <w:rPr>
          <w:rFonts w:ascii="Arial" w:hAnsi="Arial"/>
          <w:sz w:val="14"/>
          <w:szCs w:val="14"/>
          <w:lang w:val="en-AU"/>
        </w:rPr>
        <w:tab/>
      </w:r>
      <w:r w:rsidRPr="003A0A8B">
        <w:rPr>
          <w:rFonts w:ascii="Arial" w:hAnsi="Arial"/>
          <w:sz w:val="14"/>
          <w:szCs w:val="14"/>
          <w:lang w:val="en-AU"/>
        </w:rPr>
        <w:tab/>
      </w:r>
      <w:r w:rsidRPr="003A0A8B">
        <w:rPr>
          <w:rFonts w:ascii="Arial" w:hAnsi="Arial"/>
          <w:sz w:val="14"/>
          <w:szCs w:val="14"/>
          <w:lang w:val="en-AU"/>
        </w:rPr>
        <w:tab/>
      </w:r>
      <w:r w:rsidRPr="003A0A8B">
        <w:rPr>
          <w:rFonts w:ascii="Arial" w:hAnsi="Arial"/>
          <w:sz w:val="14"/>
          <w:szCs w:val="14"/>
          <w:lang w:val="en-AU"/>
        </w:rPr>
        <w:tab/>
      </w:r>
      <w:r w:rsidR="00B56DBE">
        <w:rPr>
          <w:rFonts w:ascii="Arial" w:hAnsi="Arial"/>
          <w:sz w:val="14"/>
          <w:szCs w:val="14"/>
          <w:lang w:val="en-AU"/>
        </w:rPr>
        <w:tab/>
      </w:r>
    </w:p>
    <w:p w14:paraId="14760D5E" w14:textId="77777777" w:rsidR="00650FED" w:rsidRPr="00B56FAA" w:rsidRDefault="00AE1D3C" w:rsidP="00777CE3">
      <w:pPr>
        <w:spacing w:before="0" w:after="0"/>
        <w:outlineLvl w:val="5"/>
        <w:rPr>
          <w:color w:val="FFFFFF"/>
          <w:sz w:val="2"/>
          <w:szCs w:val="2"/>
        </w:rPr>
      </w:pPr>
      <w:r w:rsidRPr="00B56FAA">
        <w:rPr>
          <w:lang w:val="en-AU"/>
        </w:rPr>
        <w:br w:type="page"/>
      </w:r>
      <w:r w:rsidR="00650FED" w:rsidRPr="00B56FAA">
        <w:rPr>
          <w:color w:val="FFFFFF"/>
          <w:sz w:val="2"/>
          <w:szCs w:val="2"/>
        </w:rPr>
        <w:lastRenderedPageBreak/>
        <w:t>Program 2.11: Chief Information Officer</w:t>
      </w:r>
    </w:p>
    <w:tbl>
      <w:tblPr>
        <w:tblW w:w="4891"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1667"/>
        <w:gridCol w:w="2884"/>
        <w:gridCol w:w="3120"/>
      </w:tblGrid>
      <w:tr w:rsidR="00F7100A" w:rsidRPr="00B56FAA" w14:paraId="5B662A1F" w14:textId="77777777" w:rsidTr="00900FC6">
        <w:tc>
          <w:tcPr>
            <w:tcW w:w="8420" w:type="dxa"/>
            <w:gridSpan w:val="3"/>
            <w:tcBorders>
              <w:bottom w:val="single" w:sz="4" w:space="0" w:color="auto"/>
            </w:tcBorders>
            <w:shd w:val="clear" w:color="auto" w:fill="CCCCCC"/>
          </w:tcPr>
          <w:p w14:paraId="0FEB92A9" w14:textId="77777777" w:rsidR="00F7100A" w:rsidRPr="00B56FAA" w:rsidRDefault="00F7100A" w:rsidP="00072EF9">
            <w:pPr>
              <w:pStyle w:val="Heading5"/>
              <w:spacing w:before="60" w:after="60"/>
            </w:pPr>
            <w:r w:rsidRPr="00B56FAA">
              <w:t xml:space="preserve">Program 2.11: </w:t>
            </w:r>
            <w:r>
              <w:t xml:space="preserve">Defence Digital </w:t>
            </w:r>
          </w:p>
        </w:tc>
      </w:tr>
      <w:tr w:rsidR="00F7100A" w:rsidRPr="00B56FAA" w14:paraId="0F7ED41F" w14:textId="77777777" w:rsidTr="00900FC6">
        <w:trPr>
          <w:trHeight w:val="170"/>
        </w:trPr>
        <w:tc>
          <w:tcPr>
            <w:tcW w:w="8420" w:type="dxa"/>
            <w:gridSpan w:val="3"/>
            <w:tcBorders>
              <w:left w:val="nil"/>
              <w:bottom w:val="single" w:sz="4" w:space="0" w:color="auto"/>
              <w:right w:val="nil"/>
            </w:tcBorders>
            <w:shd w:val="clear" w:color="auto" w:fill="auto"/>
          </w:tcPr>
          <w:p w14:paraId="796AC119" w14:textId="77777777" w:rsidR="00F7100A" w:rsidRPr="00B56FAA" w:rsidRDefault="00F7100A" w:rsidP="00072EF9">
            <w:pPr>
              <w:pStyle w:val="Heading5"/>
              <w:spacing w:before="0" w:after="0"/>
              <w:rPr>
                <w:sz w:val="16"/>
                <w:szCs w:val="16"/>
              </w:rPr>
            </w:pPr>
          </w:p>
        </w:tc>
      </w:tr>
      <w:tr w:rsidR="00F7100A" w:rsidRPr="006369C5" w14:paraId="30FA3EB5" w14:textId="77777777" w:rsidTr="00900FC6">
        <w:tblPrEx>
          <w:shd w:val="clear" w:color="auto" w:fill="auto"/>
          <w:tblLook w:val="04A0" w:firstRow="1" w:lastRow="0" w:firstColumn="1" w:lastColumn="0" w:noHBand="0" w:noVBand="1"/>
        </w:tblPrEx>
        <w:trPr>
          <w:tblHeader/>
        </w:trPr>
        <w:tc>
          <w:tcPr>
            <w:tcW w:w="8420" w:type="dxa"/>
            <w:gridSpan w:val="3"/>
            <w:shd w:val="clear" w:color="auto" w:fill="E6E6E6"/>
          </w:tcPr>
          <w:p w14:paraId="0F9C5C71" w14:textId="77777777" w:rsidR="00F7100A" w:rsidRPr="006369C5" w:rsidRDefault="00F7100A" w:rsidP="00072EF9">
            <w:pPr>
              <w:tabs>
                <w:tab w:val="left" w:pos="709"/>
              </w:tabs>
              <w:spacing w:before="60" w:after="60"/>
              <w:rPr>
                <w:rFonts w:ascii="Arial" w:hAnsi="Arial"/>
                <w:sz w:val="16"/>
                <w:szCs w:val="16"/>
                <w:lang w:val="en-AU"/>
              </w:rPr>
            </w:pPr>
            <w:r w:rsidRPr="006369C5">
              <w:rPr>
                <w:rFonts w:ascii="Arial" w:hAnsi="Arial"/>
                <w:b/>
                <w:sz w:val="16"/>
                <w:szCs w:val="16"/>
                <w:lang w:val="en-AU"/>
              </w:rPr>
              <w:t>Program 2.11</w:t>
            </w:r>
            <w:r w:rsidRPr="006369C5">
              <w:rPr>
                <w:rFonts w:ascii="Arial" w:hAnsi="Arial"/>
                <w:sz w:val="16"/>
                <w:szCs w:val="16"/>
                <w:lang w:val="en-AU"/>
              </w:rPr>
              <w:t xml:space="preserve"> </w:t>
            </w:r>
            <w:r w:rsidRPr="006369C5">
              <w:rPr>
                <w:rFonts w:ascii="Arial" w:hAnsi="Arial"/>
                <w:b/>
                <w:sz w:val="16"/>
                <w:szCs w:val="16"/>
                <w:lang w:val="en-AU"/>
              </w:rPr>
              <w:t>Objective</w:t>
            </w:r>
          </w:p>
          <w:p w14:paraId="7C9310D9" w14:textId="77777777" w:rsidR="00F7100A" w:rsidRPr="006369C5" w:rsidRDefault="00F7100A" w:rsidP="00072EF9">
            <w:pPr>
              <w:tabs>
                <w:tab w:val="left" w:pos="709"/>
              </w:tabs>
              <w:spacing w:before="60" w:after="60"/>
              <w:jc w:val="both"/>
              <w:rPr>
                <w:rFonts w:ascii="Arial" w:hAnsi="Arial"/>
                <w:sz w:val="16"/>
                <w:szCs w:val="16"/>
              </w:rPr>
            </w:pPr>
            <w:r w:rsidRPr="006369C5">
              <w:rPr>
                <w:rFonts w:ascii="Arial" w:hAnsi="Arial"/>
                <w:sz w:val="16"/>
                <w:szCs w:val="16"/>
                <w:lang w:val="en-AU"/>
              </w:rPr>
              <w:t>A modern, secure, sustainable and scalable information environment to enable Australian Defence Force Operations and support Defence business.</w:t>
            </w:r>
          </w:p>
        </w:tc>
      </w:tr>
      <w:tr w:rsidR="00F7100A" w:rsidRPr="006369C5" w14:paraId="1E9BF64A" w14:textId="77777777" w:rsidTr="000738A0">
        <w:tblPrEx>
          <w:shd w:val="clear" w:color="auto" w:fill="auto"/>
          <w:tblLook w:val="04A0" w:firstRow="1" w:lastRow="0" w:firstColumn="1" w:lastColumn="0" w:noHBand="0" w:noVBand="1"/>
        </w:tblPrEx>
        <w:trPr>
          <w:trHeight w:val="312"/>
        </w:trPr>
        <w:tc>
          <w:tcPr>
            <w:tcW w:w="1795" w:type="dxa"/>
            <w:tcBorders>
              <w:bottom w:val="single" w:sz="4" w:space="0" w:color="auto"/>
            </w:tcBorders>
          </w:tcPr>
          <w:p w14:paraId="0B44728F" w14:textId="77777777" w:rsidR="00F7100A" w:rsidRPr="006369C5" w:rsidRDefault="00F7100A" w:rsidP="006369C5">
            <w:pPr>
              <w:tabs>
                <w:tab w:val="left" w:pos="709"/>
              </w:tabs>
              <w:spacing w:before="60" w:after="60"/>
              <w:rPr>
                <w:rFonts w:ascii="Arial" w:hAnsi="Arial"/>
                <w:b/>
                <w:color w:val="000000"/>
                <w:sz w:val="16"/>
                <w:szCs w:val="16"/>
              </w:rPr>
            </w:pPr>
            <w:r w:rsidRPr="006369C5">
              <w:rPr>
                <w:rFonts w:ascii="Arial" w:hAnsi="Arial"/>
                <w:b/>
                <w:color w:val="000000"/>
                <w:sz w:val="16"/>
                <w:szCs w:val="16"/>
              </w:rPr>
              <w:t>Key Activit</w:t>
            </w:r>
            <w:r w:rsidR="006369C5">
              <w:rPr>
                <w:rFonts w:ascii="Arial" w:hAnsi="Arial"/>
                <w:b/>
                <w:color w:val="000000"/>
                <w:sz w:val="16"/>
                <w:szCs w:val="16"/>
              </w:rPr>
              <w:t>y</w:t>
            </w:r>
          </w:p>
        </w:tc>
        <w:tc>
          <w:tcPr>
            <w:tcW w:w="6625" w:type="dxa"/>
            <w:gridSpan w:val="2"/>
            <w:tcBorders>
              <w:bottom w:val="single" w:sz="4" w:space="0" w:color="auto"/>
            </w:tcBorders>
          </w:tcPr>
          <w:p w14:paraId="5BEB9264" w14:textId="77777777" w:rsidR="00F7100A" w:rsidRPr="006369C5" w:rsidRDefault="00F7100A" w:rsidP="00072EF9">
            <w:pPr>
              <w:tabs>
                <w:tab w:val="left" w:pos="343"/>
              </w:tabs>
              <w:spacing w:before="60" w:after="60"/>
              <w:rPr>
                <w:rFonts w:ascii="Arial" w:hAnsi="Arial"/>
                <w:bCs/>
                <w:sz w:val="16"/>
                <w:szCs w:val="16"/>
                <w:lang w:val="en-AU"/>
              </w:rPr>
            </w:pPr>
            <w:r w:rsidRPr="006369C5">
              <w:rPr>
                <w:rFonts w:ascii="Arial" w:hAnsi="Arial"/>
                <w:bCs/>
                <w:sz w:val="16"/>
                <w:szCs w:val="16"/>
                <w:lang w:val="en-AU"/>
              </w:rPr>
              <w:t>This program will be achieved through the following activity:</w:t>
            </w:r>
          </w:p>
          <w:p w14:paraId="775BFA3D" w14:textId="77777777" w:rsidR="00F7100A" w:rsidRPr="006369C5" w:rsidRDefault="00F7100A" w:rsidP="00072EF9">
            <w:pPr>
              <w:tabs>
                <w:tab w:val="left" w:pos="627"/>
              </w:tabs>
              <w:spacing w:before="60" w:after="60"/>
              <w:rPr>
                <w:rFonts w:ascii="Arial" w:hAnsi="Arial"/>
                <w:bCs/>
                <w:color w:val="000000"/>
                <w:sz w:val="16"/>
                <w:szCs w:val="16"/>
              </w:rPr>
            </w:pPr>
            <w:r w:rsidRPr="006369C5">
              <w:rPr>
                <w:rFonts w:ascii="Arial" w:hAnsi="Arial"/>
                <w:b/>
                <w:sz w:val="16"/>
                <w:szCs w:val="16"/>
              </w:rPr>
              <w:t>6. Deliver future capability</w:t>
            </w:r>
            <w:r w:rsidRPr="006369C5">
              <w:rPr>
                <w:rFonts w:ascii="Arial" w:hAnsi="Arial"/>
                <w:sz w:val="16"/>
                <w:szCs w:val="16"/>
              </w:rPr>
              <w:t>. Defence will accelerate the development of important capabilities over the next decade to build an integrated, focused force across the maritime, land, air, space and cyber domains. This will ensure the Australian Defence Force has the capacity to defend Australia and its national interests in our evolving strategic circumstances and deter adversaries through a strategy of denial.</w:t>
            </w:r>
          </w:p>
        </w:tc>
      </w:tr>
      <w:tr w:rsidR="00F7100A" w:rsidRPr="006369C5" w14:paraId="0FDFA4AA" w14:textId="77777777" w:rsidTr="000738A0">
        <w:tblPrEx>
          <w:shd w:val="clear" w:color="auto" w:fill="auto"/>
          <w:tblLook w:val="04A0" w:firstRow="1" w:lastRow="0" w:firstColumn="1" w:lastColumn="0" w:noHBand="0" w:noVBand="1"/>
        </w:tblPrEx>
        <w:trPr>
          <w:trHeight w:val="100"/>
        </w:trPr>
        <w:tc>
          <w:tcPr>
            <w:tcW w:w="1795" w:type="dxa"/>
            <w:tcBorders>
              <w:top w:val="single" w:sz="4" w:space="0" w:color="auto"/>
              <w:bottom w:val="single" w:sz="4" w:space="0" w:color="auto"/>
              <w:right w:val="single" w:sz="4" w:space="0" w:color="auto"/>
            </w:tcBorders>
          </w:tcPr>
          <w:p w14:paraId="60443FBC" w14:textId="77777777" w:rsidR="00F7100A" w:rsidRPr="006369C5" w:rsidRDefault="00F7100A" w:rsidP="00072EF9">
            <w:pPr>
              <w:tabs>
                <w:tab w:val="left" w:pos="709"/>
              </w:tabs>
              <w:spacing w:before="60" w:after="60"/>
              <w:rPr>
                <w:rFonts w:ascii="Arial" w:hAnsi="Arial"/>
                <w:color w:val="000000"/>
                <w:sz w:val="16"/>
                <w:szCs w:val="16"/>
              </w:rPr>
            </w:pPr>
            <w:r w:rsidRPr="006369C5">
              <w:rPr>
                <w:rFonts w:ascii="Arial" w:hAnsi="Arial"/>
                <w:b/>
                <w:color w:val="000000"/>
                <w:sz w:val="16"/>
                <w:szCs w:val="16"/>
              </w:rPr>
              <w:t>Year</w:t>
            </w:r>
          </w:p>
        </w:tc>
        <w:tc>
          <w:tcPr>
            <w:tcW w:w="3174" w:type="dxa"/>
            <w:tcBorders>
              <w:top w:val="single" w:sz="4" w:space="0" w:color="auto"/>
              <w:left w:val="single" w:sz="4" w:space="0" w:color="auto"/>
              <w:bottom w:val="single" w:sz="4" w:space="0" w:color="auto"/>
              <w:right w:val="single" w:sz="4" w:space="0" w:color="auto"/>
            </w:tcBorders>
          </w:tcPr>
          <w:p w14:paraId="354DFABF" w14:textId="77777777" w:rsidR="00F7100A" w:rsidRPr="006369C5" w:rsidRDefault="00F7100A" w:rsidP="00072EF9">
            <w:pPr>
              <w:tabs>
                <w:tab w:val="left" w:pos="709"/>
              </w:tabs>
              <w:spacing w:before="60" w:after="60"/>
              <w:rPr>
                <w:rFonts w:ascii="Arial" w:hAnsi="Arial"/>
                <w:color w:val="000000"/>
              </w:rPr>
            </w:pPr>
            <w:r w:rsidRPr="006369C5">
              <w:rPr>
                <w:rFonts w:ascii="Arial" w:hAnsi="Arial"/>
                <w:b/>
                <w:color w:val="000000"/>
                <w:sz w:val="16"/>
                <w:szCs w:val="16"/>
              </w:rPr>
              <w:t>Performance measures</w:t>
            </w:r>
          </w:p>
        </w:tc>
        <w:tc>
          <w:tcPr>
            <w:tcW w:w="3451" w:type="dxa"/>
            <w:tcBorders>
              <w:top w:val="single" w:sz="4" w:space="0" w:color="auto"/>
              <w:left w:val="single" w:sz="4" w:space="0" w:color="auto"/>
              <w:bottom w:val="single" w:sz="4" w:space="0" w:color="auto"/>
            </w:tcBorders>
          </w:tcPr>
          <w:p w14:paraId="0B993700" w14:textId="77777777" w:rsidR="00F7100A" w:rsidRPr="006369C5" w:rsidRDefault="00F7100A" w:rsidP="00072EF9">
            <w:pPr>
              <w:tabs>
                <w:tab w:val="left" w:pos="709"/>
              </w:tabs>
              <w:spacing w:before="60" w:after="60"/>
              <w:rPr>
                <w:rFonts w:ascii="Arial" w:hAnsi="Arial"/>
                <w:i/>
                <w:color w:val="000000"/>
                <w:sz w:val="16"/>
                <w:szCs w:val="16"/>
              </w:rPr>
            </w:pPr>
            <w:r w:rsidRPr="006369C5">
              <w:rPr>
                <w:rFonts w:ascii="Arial" w:hAnsi="Arial"/>
                <w:b/>
                <w:color w:val="000000"/>
                <w:sz w:val="16"/>
                <w:szCs w:val="16"/>
              </w:rPr>
              <w:t>Expected Performance Results</w:t>
            </w:r>
          </w:p>
        </w:tc>
      </w:tr>
      <w:tr w:rsidR="006369C5" w:rsidRPr="006369C5" w14:paraId="5831DDED" w14:textId="77777777" w:rsidTr="000738A0">
        <w:tblPrEx>
          <w:shd w:val="clear" w:color="auto" w:fill="auto"/>
          <w:tblLook w:val="04A0" w:firstRow="1" w:lastRow="0" w:firstColumn="1" w:lastColumn="0" w:noHBand="0" w:noVBand="1"/>
        </w:tblPrEx>
        <w:trPr>
          <w:trHeight w:val="100"/>
        </w:trPr>
        <w:tc>
          <w:tcPr>
            <w:tcW w:w="1795" w:type="dxa"/>
            <w:tcBorders>
              <w:top w:val="single" w:sz="4" w:space="0" w:color="auto"/>
              <w:bottom w:val="single" w:sz="4" w:space="0" w:color="auto"/>
              <w:right w:val="single" w:sz="4" w:space="0" w:color="auto"/>
            </w:tcBorders>
          </w:tcPr>
          <w:p w14:paraId="11BCC0F0" w14:textId="77777777" w:rsidR="006369C5" w:rsidRPr="006369C5" w:rsidRDefault="006369C5" w:rsidP="006369C5">
            <w:pPr>
              <w:tabs>
                <w:tab w:val="left" w:pos="709"/>
              </w:tabs>
              <w:spacing w:before="0" w:after="0"/>
              <w:rPr>
                <w:rFonts w:ascii="Arial" w:hAnsi="Arial"/>
                <w:color w:val="000000"/>
                <w:sz w:val="16"/>
                <w:szCs w:val="16"/>
              </w:rPr>
            </w:pPr>
            <w:r w:rsidRPr="006369C5">
              <w:rPr>
                <w:rFonts w:ascii="Arial" w:hAnsi="Arial"/>
                <w:color w:val="000000"/>
                <w:sz w:val="16"/>
                <w:szCs w:val="16"/>
              </w:rPr>
              <w:t>Current Year</w:t>
            </w:r>
          </w:p>
          <w:p w14:paraId="11426CFD" w14:textId="77777777" w:rsidR="006369C5" w:rsidRPr="006369C5" w:rsidRDefault="006369C5" w:rsidP="006369C5">
            <w:pPr>
              <w:tabs>
                <w:tab w:val="left" w:pos="709"/>
              </w:tabs>
              <w:spacing w:before="0" w:after="0"/>
              <w:rPr>
                <w:rFonts w:ascii="Arial" w:hAnsi="Arial"/>
                <w:color w:val="000000"/>
                <w:sz w:val="16"/>
                <w:szCs w:val="16"/>
              </w:rPr>
            </w:pPr>
            <w:r w:rsidRPr="006369C5">
              <w:rPr>
                <w:rFonts w:ascii="Arial" w:hAnsi="Arial"/>
                <w:color w:val="000000"/>
                <w:sz w:val="16"/>
                <w:szCs w:val="16"/>
              </w:rPr>
              <w:t>2024-25</w:t>
            </w:r>
          </w:p>
        </w:tc>
        <w:tc>
          <w:tcPr>
            <w:tcW w:w="3174" w:type="dxa"/>
            <w:tcBorders>
              <w:top w:val="single" w:sz="4" w:space="0" w:color="auto"/>
              <w:left w:val="single" w:sz="4" w:space="0" w:color="auto"/>
              <w:bottom w:val="single" w:sz="4" w:space="0" w:color="auto"/>
              <w:right w:val="single" w:sz="4" w:space="0" w:color="auto"/>
            </w:tcBorders>
          </w:tcPr>
          <w:p w14:paraId="3C5BE96C" w14:textId="77777777" w:rsidR="006369C5" w:rsidRPr="006369C5" w:rsidRDefault="006369C5" w:rsidP="0027665E">
            <w:pPr>
              <w:tabs>
                <w:tab w:val="left" w:pos="709"/>
              </w:tabs>
              <w:spacing w:before="60" w:after="60"/>
              <w:rPr>
                <w:rFonts w:ascii="Arial" w:hAnsi="Arial"/>
                <w:color w:val="000000"/>
                <w:sz w:val="16"/>
                <w:szCs w:val="16"/>
              </w:rPr>
            </w:pPr>
            <w:r w:rsidRPr="006369C5">
              <w:rPr>
                <w:rFonts w:ascii="Arial" w:hAnsi="Arial"/>
                <w:sz w:val="16"/>
                <w:szCs w:val="16"/>
                <w:lang w:val="en-AU"/>
              </w:rPr>
              <w:t xml:space="preserve">6.1: Defence is delivering the right future capability at the right time within the Integrated Investment Program to ensure it is equipped to respond to future security challenges as directed by the </w:t>
            </w:r>
            <w:r w:rsidRPr="00E00255">
              <w:rPr>
                <w:rFonts w:ascii="Arial" w:hAnsi="Arial"/>
                <w:i/>
                <w:sz w:val="16"/>
                <w:szCs w:val="16"/>
                <w:lang w:val="en-AU"/>
              </w:rPr>
              <w:t>2024 National Defence Strategy</w:t>
            </w:r>
            <w:r w:rsidRPr="006369C5">
              <w:rPr>
                <w:rFonts w:ascii="Arial" w:hAnsi="Arial"/>
                <w:sz w:val="16"/>
                <w:szCs w:val="16"/>
                <w:lang w:val="en-AU"/>
              </w:rPr>
              <w:t>.</w:t>
            </w:r>
          </w:p>
        </w:tc>
        <w:tc>
          <w:tcPr>
            <w:tcW w:w="3451" w:type="dxa"/>
            <w:tcBorders>
              <w:top w:val="single" w:sz="4" w:space="0" w:color="auto"/>
              <w:left w:val="single" w:sz="4" w:space="0" w:color="auto"/>
              <w:bottom w:val="single" w:sz="4" w:space="0" w:color="auto"/>
            </w:tcBorders>
          </w:tcPr>
          <w:p w14:paraId="2D16A0F6" w14:textId="77777777" w:rsidR="006369C5" w:rsidRPr="006369C5" w:rsidRDefault="006369C5" w:rsidP="006369C5">
            <w:pPr>
              <w:tabs>
                <w:tab w:val="left" w:pos="709"/>
              </w:tabs>
              <w:spacing w:before="60" w:after="60"/>
              <w:rPr>
                <w:rFonts w:ascii="Arial" w:hAnsi="Arial"/>
                <w:sz w:val="16"/>
                <w:szCs w:val="16"/>
                <w:lang w:val="en-AU"/>
              </w:rPr>
            </w:pPr>
            <w:r w:rsidRPr="006369C5">
              <w:rPr>
                <w:rFonts w:ascii="Arial" w:hAnsi="Arial"/>
                <w:sz w:val="16"/>
                <w:szCs w:val="16"/>
                <w:lang w:val="en-AU"/>
              </w:rPr>
              <w:t>80 per cent or more of approved Integrated Investment Program projects across all domains are on track to deliver the scope approved by Government within Government approved cost and schedule.</w:t>
            </w:r>
          </w:p>
          <w:p w14:paraId="5829D734" w14:textId="64596052" w:rsidR="006369C5" w:rsidRPr="006369C5" w:rsidRDefault="00B37670" w:rsidP="006369C5">
            <w:pPr>
              <w:tabs>
                <w:tab w:val="left" w:pos="709"/>
              </w:tabs>
              <w:spacing w:before="60" w:after="60"/>
              <w:jc w:val="right"/>
              <w:rPr>
                <w:rFonts w:ascii="Arial" w:hAnsi="Arial"/>
                <w:sz w:val="16"/>
                <w:szCs w:val="16"/>
              </w:rPr>
            </w:pPr>
            <w:r w:rsidRPr="00B37670">
              <w:rPr>
                <w:rFonts w:ascii="Arial" w:hAnsi="Arial"/>
                <w:i/>
                <w:sz w:val="16"/>
                <w:szCs w:val="16"/>
                <w:lang w:val="en-AU"/>
              </w:rPr>
              <w:t>Expected to be substantially achieved</w:t>
            </w:r>
            <w:r w:rsidR="006369C5" w:rsidRPr="00B37670">
              <w:rPr>
                <w:rFonts w:ascii="Arial" w:hAnsi="Arial"/>
                <w:i/>
                <w:sz w:val="16"/>
                <w:szCs w:val="16"/>
                <w:lang w:val="en-AU"/>
              </w:rPr>
              <w:t>.</w:t>
            </w:r>
          </w:p>
        </w:tc>
      </w:tr>
      <w:tr w:rsidR="00900FC6" w:rsidRPr="006369C5" w14:paraId="71291D12" w14:textId="77777777" w:rsidTr="000738A0">
        <w:tblPrEx>
          <w:shd w:val="clear" w:color="auto" w:fill="auto"/>
          <w:tblLook w:val="04A0" w:firstRow="1" w:lastRow="0" w:firstColumn="1" w:lastColumn="0" w:noHBand="0" w:noVBand="1"/>
        </w:tblPrEx>
        <w:trPr>
          <w:trHeight w:val="258"/>
        </w:trPr>
        <w:tc>
          <w:tcPr>
            <w:tcW w:w="1795" w:type="dxa"/>
            <w:tcBorders>
              <w:top w:val="single" w:sz="4" w:space="0" w:color="auto"/>
              <w:bottom w:val="single" w:sz="4" w:space="0" w:color="auto"/>
              <w:right w:val="single" w:sz="4" w:space="0" w:color="auto"/>
            </w:tcBorders>
          </w:tcPr>
          <w:p w14:paraId="0C1BA67E" w14:textId="77777777" w:rsidR="00900FC6" w:rsidRPr="006369C5" w:rsidRDefault="00900FC6" w:rsidP="00900FC6">
            <w:pPr>
              <w:tabs>
                <w:tab w:val="left" w:pos="709"/>
              </w:tabs>
              <w:spacing w:before="60" w:after="60"/>
              <w:rPr>
                <w:rFonts w:ascii="Arial" w:hAnsi="Arial"/>
                <w:b/>
                <w:color w:val="000000"/>
                <w:sz w:val="16"/>
                <w:szCs w:val="16"/>
              </w:rPr>
            </w:pPr>
            <w:r w:rsidRPr="006369C5">
              <w:rPr>
                <w:rFonts w:ascii="Arial" w:hAnsi="Arial"/>
                <w:b/>
                <w:color w:val="000000"/>
                <w:sz w:val="16"/>
                <w:szCs w:val="16"/>
              </w:rPr>
              <w:t>Year</w:t>
            </w:r>
          </w:p>
        </w:tc>
        <w:tc>
          <w:tcPr>
            <w:tcW w:w="3174" w:type="dxa"/>
            <w:tcBorders>
              <w:top w:val="single" w:sz="4" w:space="0" w:color="auto"/>
              <w:left w:val="single" w:sz="4" w:space="0" w:color="auto"/>
              <w:bottom w:val="single" w:sz="4" w:space="0" w:color="auto"/>
              <w:right w:val="single" w:sz="4" w:space="0" w:color="auto"/>
            </w:tcBorders>
          </w:tcPr>
          <w:p w14:paraId="1BCED7A3" w14:textId="77777777" w:rsidR="00900FC6" w:rsidRPr="006369C5" w:rsidRDefault="00900FC6" w:rsidP="00900FC6">
            <w:pPr>
              <w:tabs>
                <w:tab w:val="left" w:pos="709"/>
                <w:tab w:val="center" w:pos="1818"/>
              </w:tabs>
              <w:spacing w:before="60" w:after="60"/>
              <w:rPr>
                <w:rFonts w:ascii="Arial" w:hAnsi="Arial"/>
                <w:b/>
                <w:color w:val="000000"/>
                <w:sz w:val="16"/>
                <w:szCs w:val="16"/>
              </w:rPr>
            </w:pPr>
            <w:r w:rsidRPr="006369C5">
              <w:rPr>
                <w:rFonts w:ascii="Arial" w:hAnsi="Arial"/>
                <w:b/>
                <w:color w:val="000000"/>
                <w:sz w:val="16"/>
                <w:szCs w:val="16"/>
              </w:rPr>
              <w:t>Performance measures</w:t>
            </w:r>
          </w:p>
        </w:tc>
        <w:tc>
          <w:tcPr>
            <w:tcW w:w="3451" w:type="dxa"/>
            <w:tcBorders>
              <w:top w:val="single" w:sz="4" w:space="0" w:color="auto"/>
              <w:left w:val="single" w:sz="4" w:space="0" w:color="auto"/>
              <w:bottom w:val="single" w:sz="4" w:space="0" w:color="auto"/>
            </w:tcBorders>
          </w:tcPr>
          <w:p w14:paraId="693353F7" w14:textId="77777777" w:rsidR="00900FC6" w:rsidRPr="006369C5" w:rsidRDefault="00900FC6" w:rsidP="00900FC6">
            <w:pPr>
              <w:tabs>
                <w:tab w:val="left" w:pos="709"/>
              </w:tabs>
              <w:spacing w:before="60" w:after="60"/>
              <w:rPr>
                <w:rFonts w:ascii="Arial" w:hAnsi="Arial"/>
                <w:b/>
                <w:color w:val="000000"/>
                <w:sz w:val="16"/>
                <w:szCs w:val="16"/>
              </w:rPr>
            </w:pPr>
            <w:r w:rsidRPr="006369C5">
              <w:rPr>
                <w:rFonts w:ascii="Arial" w:hAnsi="Arial"/>
                <w:b/>
                <w:color w:val="000000"/>
                <w:sz w:val="16"/>
                <w:szCs w:val="16"/>
              </w:rPr>
              <w:t>Planned Performance Results</w:t>
            </w:r>
          </w:p>
        </w:tc>
      </w:tr>
      <w:tr w:rsidR="006369C5" w:rsidRPr="006369C5" w14:paraId="6AD82EC6" w14:textId="77777777" w:rsidTr="00900FC6">
        <w:tblPrEx>
          <w:shd w:val="clear" w:color="auto" w:fill="auto"/>
          <w:tblLook w:val="04A0" w:firstRow="1" w:lastRow="0" w:firstColumn="1" w:lastColumn="0" w:noHBand="0" w:noVBand="1"/>
        </w:tblPrEx>
        <w:trPr>
          <w:trHeight w:val="1040"/>
        </w:trPr>
        <w:tc>
          <w:tcPr>
            <w:tcW w:w="1795" w:type="dxa"/>
            <w:tcBorders>
              <w:top w:val="single" w:sz="4" w:space="0" w:color="auto"/>
              <w:right w:val="single" w:sz="4" w:space="0" w:color="auto"/>
            </w:tcBorders>
          </w:tcPr>
          <w:p w14:paraId="514D1C6C" w14:textId="77777777" w:rsidR="006369C5" w:rsidRPr="006369C5" w:rsidRDefault="006369C5" w:rsidP="006369C5">
            <w:pPr>
              <w:tabs>
                <w:tab w:val="left" w:pos="709"/>
              </w:tabs>
              <w:spacing w:before="0" w:after="0"/>
              <w:rPr>
                <w:rFonts w:ascii="Arial" w:hAnsi="Arial"/>
                <w:color w:val="000000"/>
                <w:sz w:val="16"/>
                <w:szCs w:val="16"/>
              </w:rPr>
            </w:pPr>
            <w:r>
              <w:rPr>
                <w:rFonts w:ascii="Arial" w:hAnsi="Arial"/>
                <w:color w:val="000000"/>
                <w:sz w:val="16"/>
                <w:szCs w:val="16"/>
              </w:rPr>
              <w:t>Budget Year</w:t>
            </w:r>
          </w:p>
          <w:p w14:paraId="16482FD5" w14:textId="77777777" w:rsidR="006369C5" w:rsidRPr="006369C5" w:rsidRDefault="006369C5" w:rsidP="006369C5">
            <w:pPr>
              <w:tabs>
                <w:tab w:val="left" w:pos="709"/>
              </w:tabs>
              <w:spacing w:before="0" w:after="0"/>
              <w:rPr>
                <w:rFonts w:ascii="Arial" w:hAnsi="Arial"/>
                <w:color w:val="000000"/>
                <w:sz w:val="16"/>
                <w:szCs w:val="16"/>
              </w:rPr>
            </w:pPr>
            <w:r w:rsidRPr="006369C5">
              <w:rPr>
                <w:rFonts w:ascii="Arial" w:hAnsi="Arial"/>
                <w:color w:val="000000"/>
                <w:sz w:val="16"/>
                <w:szCs w:val="16"/>
              </w:rPr>
              <w:t>2025-26</w:t>
            </w:r>
            <w:r>
              <w:rPr>
                <w:rFonts w:ascii="Arial" w:hAnsi="Arial"/>
                <w:color w:val="000000"/>
                <w:sz w:val="16"/>
                <w:szCs w:val="16"/>
              </w:rPr>
              <w:t xml:space="preserve"> </w:t>
            </w:r>
            <w:r w:rsidRPr="006369C5">
              <w:rPr>
                <w:rFonts w:ascii="Arial" w:hAnsi="Arial"/>
                <w:color w:val="000000"/>
                <w:sz w:val="16"/>
                <w:szCs w:val="16"/>
                <w:vertAlign w:val="superscript"/>
              </w:rPr>
              <w:t>[a]</w:t>
            </w:r>
          </w:p>
        </w:tc>
        <w:tc>
          <w:tcPr>
            <w:tcW w:w="3174" w:type="dxa"/>
            <w:tcBorders>
              <w:top w:val="single" w:sz="4" w:space="0" w:color="auto"/>
              <w:left w:val="single" w:sz="4" w:space="0" w:color="auto"/>
              <w:right w:val="single" w:sz="4" w:space="0" w:color="auto"/>
            </w:tcBorders>
          </w:tcPr>
          <w:p w14:paraId="6A5FB4A0" w14:textId="77777777" w:rsidR="006369C5" w:rsidRPr="00470FF0" w:rsidRDefault="006369C5" w:rsidP="0027665E">
            <w:pPr>
              <w:tabs>
                <w:tab w:val="left" w:pos="709"/>
              </w:tabs>
              <w:spacing w:before="60" w:after="60"/>
              <w:rPr>
                <w:rFonts w:ascii="Arial" w:hAnsi="Arial"/>
                <w:color w:val="000000"/>
                <w:sz w:val="16"/>
                <w:szCs w:val="16"/>
              </w:rPr>
            </w:pPr>
            <w:r w:rsidRPr="00880166">
              <w:rPr>
                <w:rFonts w:ascii="Arial" w:hAnsi="Arial"/>
                <w:sz w:val="16"/>
                <w:szCs w:val="16"/>
                <w:lang w:val="en-AU"/>
              </w:rPr>
              <w:t xml:space="preserve">6.1: Defence is delivering the right future capability at the right time within the Integrated Investment Program to ensure it is equipped to respond to future security challenges as directed by the </w:t>
            </w:r>
            <w:r w:rsidRPr="00E00255">
              <w:rPr>
                <w:rFonts w:ascii="Arial" w:hAnsi="Arial"/>
                <w:i/>
                <w:sz w:val="16"/>
                <w:szCs w:val="16"/>
                <w:lang w:val="en-AU"/>
              </w:rPr>
              <w:t>2024 National Defence Strategy</w:t>
            </w:r>
            <w:r w:rsidRPr="00880166">
              <w:rPr>
                <w:rFonts w:ascii="Arial" w:hAnsi="Arial"/>
                <w:sz w:val="16"/>
                <w:szCs w:val="16"/>
                <w:lang w:val="en-AU"/>
              </w:rPr>
              <w:t>.</w:t>
            </w:r>
          </w:p>
        </w:tc>
        <w:tc>
          <w:tcPr>
            <w:tcW w:w="3451" w:type="dxa"/>
            <w:tcBorders>
              <w:top w:val="single" w:sz="4" w:space="0" w:color="auto"/>
              <w:left w:val="single" w:sz="4" w:space="0" w:color="auto"/>
            </w:tcBorders>
          </w:tcPr>
          <w:p w14:paraId="74A14B71" w14:textId="77777777" w:rsidR="006369C5" w:rsidRPr="0036429E" w:rsidRDefault="006369C5" w:rsidP="006369C5">
            <w:pPr>
              <w:tabs>
                <w:tab w:val="left" w:pos="709"/>
              </w:tabs>
              <w:spacing w:before="60" w:after="60"/>
              <w:rPr>
                <w:rFonts w:ascii="Arial" w:hAnsi="Arial"/>
                <w:sz w:val="16"/>
                <w:szCs w:val="16"/>
              </w:rPr>
            </w:pPr>
            <w:r w:rsidRPr="0036429E">
              <w:rPr>
                <w:rFonts w:ascii="Arial" w:hAnsi="Arial"/>
                <w:sz w:val="16"/>
                <w:szCs w:val="16"/>
                <w:lang w:val="en-AU"/>
              </w:rPr>
              <w:t>80 per cent or more of approved Integrated Investment Program projects across all domains are on track to deliver the scope approved by Government within Government approved cost and schedule.</w:t>
            </w:r>
          </w:p>
        </w:tc>
      </w:tr>
      <w:tr w:rsidR="00900FC6" w:rsidRPr="006369C5" w14:paraId="0970CEC4" w14:textId="77777777" w:rsidTr="00900FC6">
        <w:tblPrEx>
          <w:shd w:val="clear" w:color="auto" w:fill="auto"/>
          <w:tblLook w:val="04A0" w:firstRow="1" w:lastRow="0" w:firstColumn="1" w:lastColumn="0" w:noHBand="0" w:noVBand="1"/>
        </w:tblPrEx>
        <w:trPr>
          <w:trHeight w:val="491"/>
        </w:trPr>
        <w:tc>
          <w:tcPr>
            <w:tcW w:w="1795" w:type="dxa"/>
            <w:tcBorders>
              <w:top w:val="dotted" w:sz="4" w:space="0" w:color="auto"/>
              <w:bottom w:val="dotted" w:sz="4" w:space="0" w:color="auto"/>
              <w:right w:val="single" w:sz="4" w:space="0" w:color="auto"/>
            </w:tcBorders>
          </w:tcPr>
          <w:p w14:paraId="02876489" w14:textId="77777777" w:rsidR="00900FC6" w:rsidRPr="006369C5" w:rsidRDefault="00900FC6" w:rsidP="006369C5">
            <w:pPr>
              <w:tabs>
                <w:tab w:val="left" w:pos="709"/>
              </w:tabs>
              <w:spacing w:before="0" w:after="0"/>
              <w:rPr>
                <w:rFonts w:ascii="Arial" w:hAnsi="Arial"/>
                <w:color w:val="000000"/>
                <w:sz w:val="16"/>
                <w:szCs w:val="16"/>
              </w:rPr>
            </w:pPr>
            <w:r w:rsidRPr="006369C5">
              <w:rPr>
                <w:rFonts w:ascii="Arial" w:hAnsi="Arial"/>
                <w:color w:val="000000"/>
                <w:sz w:val="16"/>
                <w:szCs w:val="16"/>
              </w:rPr>
              <w:t>Forward Estimates</w:t>
            </w:r>
          </w:p>
          <w:p w14:paraId="1F287FF6" w14:textId="77777777" w:rsidR="00900FC6" w:rsidRPr="006369C5" w:rsidRDefault="00900FC6" w:rsidP="006369C5">
            <w:pPr>
              <w:tabs>
                <w:tab w:val="left" w:pos="709"/>
              </w:tabs>
              <w:spacing w:before="0" w:after="0"/>
              <w:rPr>
                <w:rFonts w:ascii="Arial" w:hAnsi="Arial"/>
                <w:color w:val="000000"/>
                <w:sz w:val="16"/>
                <w:szCs w:val="16"/>
              </w:rPr>
            </w:pPr>
            <w:r w:rsidRPr="006369C5">
              <w:rPr>
                <w:rFonts w:ascii="Arial" w:hAnsi="Arial"/>
                <w:color w:val="000000"/>
                <w:sz w:val="16"/>
                <w:szCs w:val="16"/>
              </w:rPr>
              <w:t>2026-29</w:t>
            </w:r>
          </w:p>
        </w:tc>
        <w:tc>
          <w:tcPr>
            <w:tcW w:w="3174" w:type="dxa"/>
            <w:tcBorders>
              <w:top w:val="single" w:sz="4" w:space="0" w:color="auto"/>
              <w:left w:val="single" w:sz="4" w:space="0" w:color="auto"/>
              <w:bottom w:val="single" w:sz="4" w:space="0" w:color="auto"/>
              <w:right w:val="single" w:sz="4" w:space="0" w:color="auto"/>
            </w:tcBorders>
          </w:tcPr>
          <w:p w14:paraId="6FC1CFF1" w14:textId="77777777" w:rsidR="00900FC6" w:rsidRPr="006369C5" w:rsidRDefault="00900FC6" w:rsidP="006369C5">
            <w:pPr>
              <w:tabs>
                <w:tab w:val="left" w:pos="709"/>
              </w:tabs>
              <w:spacing w:before="60" w:after="60"/>
              <w:rPr>
                <w:rFonts w:ascii="Arial" w:hAnsi="Arial"/>
                <w:b/>
                <w:color w:val="000000"/>
                <w:sz w:val="16"/>
                <w:szCs w:val="16"/>
              </w:rPr>
            </w:pPr>
            <w:r w:rsidRPr="006369C5">
              <w:rPr>
                <w:rFonts w:ascii="Arial" w:hAnsi="Arial"/>
                <w:color w:val="000000"/>
                <w:sz w:val="16"/>
                <w:szCs w:val="16"/>
              </w:rPr>
              <w:t>As per 202</w:t>
            </w:r>
            <w:r w:rsidR="006369C5">
              <w:rPr>
                <w:rFonts w:ascii="Arial" w:hAnsi="Arial"/>
                <w:color w:val="000000"/>
                <w:sz w:val="16"/>
                <w:szCs w:val="16"/>
              </w:rPr>
              <w:t>5</w:t>
            </w:r>
            <w:r w:rsidRPr="006369C5">
              <w:rPr>
                <w:rFonts w:ascii="Arial" w:hAnsi="Arial"/>
                <w:color w:val="000000"/>
                <w:sz w:val="16"/>
                <w:szCs w:val="16"/>
              </w:rPr>
              <w:t>-2</w:t>
            </w:r>
            <w:r w:rsidR="006369C5">
              <w:rPr>
                <w:rFonts w:ascii="Arial" w:hAnsi="Arial"/>
                <w:color w:val="000000"/>
                <w:sz w:val="16"/>
                <w:szCs w:val="16"/>
              </w:rPr>
              <w:t>6</w:t>
            </w:r>
            <w:r w:rsidRPr="006369C5">
              <w:rPr>
                <w:rFonts w:ascii="Arial" w:hAnsi="Arial"/>
                <w:color w:val="000000"/>
                <w:sz w:val="16"/>
                <w:szCs w:val="16"/>
              </w:rPr>
              <w:t>.</w:t>
            </w:r>
          </w:p>
        </w:tc>
        <w:tc>
          <w:tcPr>
            <w:tcW w:w="3451" w:type="dxa"/>
            <w:tcBorders>
              <w:top w:val="single" w:sz="4" w:space="0" w:color="auto"/>
              <w:left w:val="single" w:sz="4" w:space="0" w:color="auto"/>
              <w:bottom w:val="single" w:sz="4" w:space="0" w:color="auto"/>
            </w:tcBorders>
          </w:tcPr>
          <w:p w14:paraId="79533DA5" w14:textId="77777777" w:rsidR="00900FC6" w:rsidRPr="006369C5" w:rsidRDefault="00900FC6" w:rsidP="006369C5">
            <w:pPr>
              <w:tabs>
                <w:tab w:val="left" w:pos="709"/>
              </w:tabs>
              <w:spacing w:before="60" w:after="60"/>
              <w:rPr>
                <w:rFonts w:ascii="Arial" w:hAnsi="Arial"/>
                <w:b/>
                <w:color w:val="000000"/>
                <w:sz w:val="16"/>
                <w:szCs w:val="16"/>
              </w:rPr>
            </w:pPr>
            <w:r w:rsidRPr="006369C5">
              <w:rPr>
                <w:rFonts w:ascii="Arial" w:hAnsi="Arial"/>
                <w:color w:val="000000"/>
                <w:sz w:val="16"/>
                <w:szCs w:val="16"/>
              </w:rPr>
              <w:t>As per 202</w:t>
            </w:r>
            <w:r w:rsidR="006369C5">
              <w:rPr>
                <w:rFonts w:ascii="Arial" w:hAnsi="Arial"/>
                <w:color w:val="000000"/>
                <w:sz w:val="16"/>
                <w:szCs w:val="16"/>
              </w:rPr>
              <w:t>5</w:t>
            </w:r>
            <w:r w:rsidRPr="006369C5">
              <w:rPr>
                <w:rFonts w:ascii="Arial" w:hAnsi="Arial"/>
                <w:color w:val="000000"/>
                <w:sz w:val="16"/>
                <w:szCs w:val="16"/>
              </w:rPr>
              <w:t>-2</w:t>
            </w:r>
            <w:r w:rsidR="006369C5">
              <w:rPr>
                <w:rFonts w:ascii="Arial" w:hAnsi="Arial"/>
                <w:color w:val="000000"/>
                <w:sz w:val="16"/>
                <w:szCs w:val="16"/>
              </w:rPr>
              <w:t>6</w:t>
            </w:r>
            <w:r w:rsidRPr="006369C5">
              <w:rPr>
                <w:rFonts w:ascii="Arial" w:hAnsi="Arial"/>
                <w:color w:val="000000"/>
                <w:sz w:val="16"/>
                <w:szCs w:val="16"/>
              </w:rPr>
              <w:t>.</w:t>
            </w:r>
          </w:p>
        </w:tc>
      </w:tr>
      <w:tr w:rsidR="00900FC6" w:rsidRPr="006369C5" w14:paraId="1DF6938A" w14:textId="77777777" w:rsidTr="00900FC6">
        <w:tblPrEx>
          <w:shd w:val="clear" w:color="auto" w:fill="auto"/>
          <w:tblLook w:val="04A0" w:firstRow="1" w:lastRow="0" w:firstColumn="1" w:lastColumn="0" w:noHBand="0" w:noVBand="1"/>
        </w:tblPrEx>
        <w:trPr>
          <w:trHeight w:val="291"/>
        </w:trPr>
        <w:tc>
          <w:tcPr>
            <w:tcW w:w="8420" w:type="dxa"/>
            <w:gridSpan w:val="3"/>
          </w:tcPr>
          <w:p w14:paraId="47B8F75D" w14:textId="31AD69FC" w:rsidR="00900FC6" w:rsidRPr="006369C5" w:rsidRDefault="00900FC6" w:rsidP="00E364DF">
            <w:pPr>
              <w:tabs>
                <w:tab w:val="left" w:pos="709"/>
              </w:tabs>
              <w:spacing w:before="60" w:after="60"/>
              <w:rPr>
                <w:rFonts w:ascii="Arial" w:hAnsi="Arial"/>
                <w:bCs/>
                <w:iCs/>
                <w:color w:val="000000"/>
                <w:spacing w:val="-6"/>
                <w:sz w:val="16"/>
                <w:szCs w:val="16"/>
              </w:rPr>
            </w:pPr>
            <w:r w:rsidRPr="006369C5">
              <w:rPr>
                <w:rFonts w:ascii="Arial" w:hAnsi="Arial"/>
                <w:color w:val="000000"/>
                <w:sz w:val="16"/>
                <w:szCs w:val="16"/>
              </w:rPr>
              <w:t>Material changes to Program 2.11 resulting from 202</w:t>
            </w:r>
            <w:r w:rsidR="00E364DF">
              <w:rPr>
                <w:rFonts w:ascii="Arial" w:hAnsi="Arial"/>
                <w:color w:val="000000"/>
                <w:sz w:val="16"/>
                <w:szCs w:val="16"/>
              </w:rPr>
              <w:t>5</w:t>
            </w:r>
            <w:r w:rsidRPr="006369C5">
              <w:rPr>
                <w:rFonts w:ascii="Arial" w:hAnsi="Arial"/>
                <w:color w:val="000000"/>
                <w:sz w:val="16"/>
                <w:szCs w:val="16"/>
              </w:rPr>
              <w:t>-2</w:t>
            </w:r>
            <w:r w:rsidR="00E364DF">
              <w:rPr>
                <w:rFonts w:ascii="Arial" w:hAnsi="Arial"/>
                <w:color w:val="000000"/>
                <w:sz w:val="16"/>
                <w:szCs w:val="16"/>
              </w:rPr>
              <w:t>6</w:t>
            </w:r>
            <w:r w:rsidRPr="006369C5">
              <w:rPr>
                <w:rFonts w:ascii="Arial" w:hAnsi="Arial"/>
                <w:color w:val="000000"/>
                <w:sz w:val="16"/>
                <w:szCs w:val="16"/>
              </w:rPr>
              <w:t xml:space="preserve"> Budget Measures:</w:t>
            </w:r>
            <w:r w:rsidRPr="006369C5">
              <w:rPr>
                <w:rStyle w:val="BodyTextChar"/>
                <w:rFonts w:ascii="Arial" w:hAnsi="Arial"/>
                <w:bCs/>
                <w:iCs/>
                <w:color w:val="000000"/>
                <w:spacing w:val="-6"/>
                <w:sz w:val="16"/>
                <w:szCs w:val="16"/>
              </w:rPr>
              <w:t xml:space="preserve"> Nil.</w:t>
            </w:r>
          </w:p>
        </w:tc>
      </w:tr>
    </w:tbl>
    <w:p w14:paraId="1786C610" w14:textId="77777777" w:rsidR="00F7100A" w:rsidRPr="006369C5" w:rsidRDefault="00F7100A" w:rsidP="00F7100A">
      <w:pPr>
        <w:pStyle w:val="TableHeading"/>
        <w:spacing w:before="0" w:after="0"/>
        <w:rPr>
          <w:sz w:val="16"/>
          <w:szCs w:val="16"/>
        </w:rPr>
      </w:pPr>
    </w:p>
    <w:p w14:paraId="28691EBE" w14:textId="3F5861F4" w:rsidR="00F7100A" w:rsidRPr="006369C5" w:rsidRDefault="00F7100A" w:rsidP="00F7100A">
      <w:pPr>
        <w:pStyle w:val="TableHeading"/>
        <w:spacing w:before="0" w:after="0"/>
        <w:rPr>
          <w:sz w:val="14"/>
          <w:szCs w:val="14"/>
        </w:rPr>
      </w:pPr>
      <w:r w:rsidRPr="006369C5">
        <w:rPr>
          <w:sz w:val="14"/>
          <w:szCs w:val="14"/>
        </w:rPr>
        <w:t>Note</w:t>
      </w:r>
    </w:p>
    <w:p w14:paraId="2568A904" w14:textId="03187C82" w:rsidR="009737EB" w:rsidRPr="0085401F" w:rsidRDefault="00F7100A" w:rsidP="00444A89">
      <w:pPr>
        <w:pStyle w:val="TableHeading"/>
        <w:numPr>
          <w:ilvl w:val="0"/>
          <w:numId w:val="82"/>
        </w:numPr>
        <w:tabs>
          <w:tab w:val="left" w:pos="284"/>
        </w:tabs>
        <w:spacing w:before="0" w:after="0"/>
        <w:rPr>
          <w:b w:val="0"/>
          <w:sz w:val="14"/>
          <w:szCs w:val="14"/>
        </w:rPr>
      </w:pPr>
      <w:r w:rsidRPr="006369C5">
        <w:rPr>
          <w:b w:val="0"/>
          <w:sz w:val="14"/>
          <w:szCs w:val="14"/>
        </w:rPr>
        <w:tab/>
      </w:r>
      <w:r w:rsidR="00B37670" w:rsidRPr="00B37670">
        <w:rPr>
          <w:b w:val="0"/>
          <w:sz w:val="14"/>
          <w:szCs w:val="14"/>
          <w:lang w:val="en-AU"/>
        </w:rPr>
        <w:t>In accordance with Defence’s Enterprise Performance Framework, Defence is undertaking materiality assessments that may result in updates to the 2025-26 performance information in the 2025-29 Defence Corporate Plan, if required</w:t>
      </w:r>
      <w:r w:rsidR="009737EB" w:rsidRPr="00B37670">
        <w:rPr>
          <w:b w:val="0"/>
          <w:sz w:val="14"/>
          <w:szCs w:val="14"/>
          <w:lang w:val="en-AU"/>
        </w:rPr>
        <w:t>.</w:t>
      </w:r>
      <w:r w:rsidR="009737EB">
        <w:rPr>
          <w:b w:val="0"/>
          <w:sz w:val="14"/>
          <w:szCs w:val="14"/>
          <w:lang w:val="en-AU"/>
        </w:rPr>
        <w:t xml:space="preserve"> </w:t>
      </w:r>
    </w:p>
    <w:p w14:paraId="63CD2B13" w14:textId="3D6809C7" w:rsidR="006369C5" w:rsidRPr="006369C5" w:rsidRDefault="006369C5" w:rsidP="009737EB">
      <w:pPr>
        <w:pStyle w:val="TableHeading"/>
        <w:tabs>
          <w:tab w:val="left" w:pos="284"/>
        </w:tabs>
        <w:spacing w:before="0" w:after="0"/>
        <w:ind w:left="284"/>
        <w:rPr>
          <w:b w:val="0"/>
          <w:sz w:val="14"/>
          <w:szCs w:val="14"/>
        </w:rPr>
      </w:pPr>
    </w:p>
    <w:p w14:paraId="50FA5FC1" w14:textId="77777777" w:rsidR="00B57562" w:rsidRDefault="00B57562">
      <w:pPr>
        <w:spacing w:before="0" w:after="0"/>
        <w:rPr>
          <w:highlight w:val="yellow"/>
        </w:rPr>
      </w:pPr>
      <w:r>
        <w:rPr>
          <w:highlight w:val="yellow"/>
        </w:rPr>
        <w:br w:type="page"/>
      </w:r>
    </w:p>
    <w:p w14:paraId="30383F83" w14:textId="77777777" w:rsidR="00B57562" w:rsidRPr="00B57562" w:rsidRDefault="00B57562" w:rsidP="00B57562">
      <w:pPr>
        <w:rPr>
          <w:highlight w:val="yellow"/>
        </w:rPr>
      </w:pPr>
    </w:p>
    <w:p w14:paraId="78E95A9B" w14:textId="3068343F" w:rsidR="00294CAC" w:rsidRPr="002C17BD" w:rsidRDefault="003D5485" w:rsidP="00D9100A">
      <w:pPr>
        <w:pStyle w:val="TableHeading"/>
        <w:keepNext/>
        <w:keepLines/>
        <w:numPr>
          <w:ilvl w:val="0"/>
          <w:numId w:val="29"/>
        </w:numPr>
        <w:spacing w:before="0" w:after="120"/>
        <w:ind w:left="0" w:firstLine="0"/>
        <w:outlineLvl w:val="6"/>
      </w:pPr>
      <w:r w:rsidRPr="002C17BD">
        <w:t>Cost Summary for Program 2.11</w:t>
      </w:r>
      <w:r w:rsidR="005F39C7" w:rsidRPr="002C17BD">
        <w:t xml:space="preserve"> </w:t>
      </w:r>
      <w:r w:rsidR="00BF1DEE">
        <w:t xml:space="preserve">Defence Digital </w:t>
      </w:r>
    </w:p>
    <w:p w14:paraId="2B45DA3B" w14:textId="0589F551" w:rsidR="00103A53" w:rsidRPr="00B56FAA" w:rsidRDefault="005F4285" w:rsidP="00656D60">
      <w:pPr>
        <w:spacing w:before="0" w:after="0"/>
      </w:pPr>
      <w:r w:rsidRPr="005F4285">
        <w:rPr>
          <w:noProof/>
          <w:lang w:val="en-AU"/>
        </w:rPr>
        <w:drawing>
          <wp:inline distT="0" distB="0" distL="0" distR="0" wp14:anchorId="3E747ECB" wp14:editId="692B33FF">
            <wp:extent cx="4986020" cy="2533213"/>
            <wp:effectExtent l="0" t="0" r="508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86020" cy="2533213"/>
                    </a:xfrm>
                    <a:prstGeom prst="rect">
                      <a:avLst/>
                    </a:prstGeom>
                    <a:noFill/>
                    <a:ln>
                      <a:noFill/>
                    </a:ln>
                  </pic:spPr>
                </pic:pic>
              </a:graphicData>
            </a:graphic>
          </wp:inline>
        </w:drawing>
      </w:r>
    </w:p>
    <w:p w14:paraId="31D1CEE5" w14:textId="77777777" w:rsidR="00656D60" w:rsidRDefault="00656D60" w:rsidP="00656D60">
      <w:pPr>
        <w:spacing w:before="0" w:after="0"/>
        <w:rPr>
          <w:rFonts w:ascii="Arial" w:hAnsi="Arial"/>
          <w:b/>
          <w:sz w:val="14"/>
          <w:szCs w:val="14"/>
          <w:lang w:val="en-AU"/>
        </w:rPr>
      </w:pPr>
    </w:p>
    <w:p w14:paraId="58FAE947" w14:textId="77777777" w:rsidR="00DD7C36" w:rsidRDefault="00DD7C36" w:rsidP="00656D60">
      <w:pPr>
        <w:spacing w:before="0" w:after="0"/>
        <w:rPr>
          <w:rFonts w:ascii="Arial" w:hAnsi="Arial"/>
          <w:b/>
          <w:sz w:val="14"/>
          <w:szCs w:val="14"/>
          <w:lang w:val="en-AU"/>
        </w:rPr>
      </w:pPr>
      <w:r>
        <w:rPr>
          <w:rFonts w:ascii="Arial" w:hAnsi="Arial"/>
          <w:b/>
          <w:sz w:val="14"/>
          <w:szCs w:val="14"/>
          <w:lang w:val="en-AU"/>
        </w:rPr>
        <w:t>Notes</w:t>
      </w:r>
    </w:p>
    <w:p w14:paraId="675FE514" w14:textId="702D8594" w:rsidR="00A073BD" w:rsidRPr="00A073BD" w:rsidRDefault="002C17BD" w:rsidP="00A073BD">
      <w:pPr>
        <w:spacing w:before="0" w:after="0"/>
        <w:ind w:left="284" w:hanging="284"/>
        <w:rPr>
          <w:rFonts w:ascii="Arial" w:hAnsi="Arial"/>
          <w:sz w:val="14"/>
          <w:szCs w:val="14"/>
          <w:lang w:val="en-AU"/>
        </w:rPr>
      </w:pPr>
      <w:r w:rsidRPr="002C17BD">
        <w:rPr>
          <w:rFonts w:ascii="Arial" w:hAnsi="Arial"/>
          <w:sz w:val="14"/>
          <w:szCs w:val="14"/>
          <w:lang w:val="en-AU"/>
        </w:rPr>
        <w:t xml:space="preserve">a. </w:t>
      </w:r>
      <w:r>
        <w:rPr>
          <w:rFonts w:ascii="Arial" w:hAnsi="Arial"/>
          <w:sz w:val="14"/>
          <w:szCs w:val="14"/>
          <w:lang w:val="en-AU"/>
        </w:rPr>
        <w:tab/>
      </w:r>
      <w:r w:rsidR="00D32CAD" w:rsidRPr="00B769E6">
        <w:rPr>
          <w:rFonts w:ascii="Arial" w:hAnsi="Arial"/>
          <w:sz w:val="14"/>
          <w:szCs w:val="14"/>
          <w:lang w:val="en-AU"/>
        </w:rPr>
        <w:t>Negative amounts denote a Net reversal of previous asset write-downs (Net write-on position). Total Defence is in a Net write-down and impairment of assets position in 2024-25 Estimated Actual, 2025-26 Budget Estimate and the Forward Estimates. This program is in a Net write-on position in 2024-25 Estimated Actual, 2025-26 Budget Estimate and the Forward Estimates.</w:t>
      </w:r>
      <w:r w:rsidR="00D32CAD" w:rsidRPr="00B769E6">
        <w:rPr>
          <w:rFonts w:ascii="Arial" w:hAnsi="Arial"/>
          <w:sz w:val="14"/>
          <w:szCs w:val="14"/>
          <w:lang w:val="en-AU"/>
        </w:rPr>
        <w:tab/>
      </w:r>
      <w:r w:rsidR="00D32CAD" w:rsidRPr="00B769E6">
        <w:rPr>
          <w:rFonts w:ascii="Arial" w:hAnsi="Arial"/>
          <w:sz w:val="14"/>
          <w:szCs w:val="14"/>
          <w:lang w:val="en-AU"/>
        </w:rPr>
        <w:tab/>
      </w:r>
      <w:r w:rsidR="00D32CAD" w:rsidRPr="00B769E6">
        <w:rPr>
          <w:rFonts w:ascii="Arial" w:hAnsi="Arial"/>
          <w:sz w:val="14"/>
          <w:szCs w:val="14"/>
          <w:lang w:val="en-AU"/>
        </w:rPr>
        <w:tab/>
      </w:r>
      <w:r w:rsidR="00D32CAD" w:rsidRPr="00B769E6">
        <w:rPr>
          <w:rFonts w:ascii="Arial" w:hAnsi="Arial"/>
          <w:sz w:val="14"/>
          <w:szCs w:val="14"/>
          <w:lang w:val="en-AU"/>
        </w:rPr>
        <w:tab/>
      </w:r>
      <w:r w:rsidR="00D32CAD" w:rsidRPr="00B769E6">
        <w:rPr>
          <w:rFonts w:ascii="Arial" w:hAnsi="Arial"/>
          <w:sz w:val="14"/>
          <w:szCs w:val="14"/>
          <w:lang w:val="en-AU"/>
        </w:rPr>
        <w:tab/>
      </w:r>
    </w:p>
    <w:p w14:paraId="64E4290C" w14:textId="7CB1AFA3" w:rsidR="00A073BD" w:rsidRPr="00A073BD" w:rsidRDefault="00A073BD" w:rsidP="00A073BD">
      <w:pPr>
        <w:spacing w:before="0" w:after="0"/>
        <w:ind w:left="284" w:hanging="284"/>
        <w:rPr>
          <w:rFonts w:ascii="Arial" w:hAnsi="Arial"/>
          <w:sz w:val="14"/>
          <w:szCs w:val="14"/>
          <w:lang w:val="en-AU"/>
        </w:rPr>
      </w:pPr>
      <w:r w:rsidRPr="00A073BD">
        <w:rPr>
          <w:rFonts w:ascii="Arial" w:hAnsi="Arial"/>
          <w:sz w:val="14"/>
          <w:szCs w:val="14"/>
          <w:lang w:val="en-AU"/>
        </w:rPr>
        <w:t xml:space="preserve">b. </w:t>
      </w:r>
      <w:r>
        <w:rPr>
          <w:rFonts w:ascii="Arial" w:hAnsi="Arial"/>
          <w:sz w:val="14"/>
          <w:szCs w:val="14"/>
          <w:lang w:val="en-AU"/>
        </w:rPr>
        <w:tab/>
      </w:r>
      <w:r w:rsidRPr="00A073BD">
        <w:rPr>
          <w:rFonts w:ascii="Arial" w:hAnsi="Arial"/>
          <w:sz w:val="14"/>
          <w:szCs w:val="14"/>
          <w:lang w:val="en-AU"/>
        </w:rPr>
        <w:t>Total Program funded expenditure includes operating expenses</w:t>
      </w:r>
      <w:r w:rsidR="008B76BA">
        <w:rPr>
          <w:rFonts w:ascii="Arial" w:hAnsi="Arial"/>
          <w:sz w:val="14"/>
          <w:szCs w:val="14"/>
          <w:lang w:val="en-AU"/>
        </w:rPr>
        <w:t xml:space="preserve"> and</w:t>
      </w:r>
      <w:r w:rsidRPr="00A073BD">
        <w:rPr>
          <w:rFonts w:ascii="Arial" w:hAnsi="Arial"/>
          <w:sz w:val="14"/>
          <w:szCs w:val="14"/>
          <w:lang w:val="en-AU"/>
        </w:rPr>
        <w:t xml:space="preserve"> capital expenditure funded by appropriation and own source revenue. This excludes expenses not requiring appropriation.</w:t>
      </w:r>
      <w:r w:rsidRPr="00A073BD">
        <w:rPr>
          <w:rFonts w:ascii="Arial" w:hAnsi="Arial"/>
          <w:sz w:val="14"/>
          <w:szCs w:val="14"/>
          <w:lang w:val="en-AU"/>
        </w:rPr>
        <w:tab/>
      </w:r>
      <w:r w:rsidRPr="00A073BD">
        <w:rPr>
          <w:rFonts w:ascii="Arial" w:hAnsi="Arial"/>
          <w:sz w:val="14"/>
          <w:szCs w:val="14"/>
          <w:lang w:val="en-AU"/>
        </w:rPr>
        <w:tab/>
      </w:r>
      <w:r w:rsidRPr="00A073BD">
        <w:rPr>
          <w:rFonts w:ascii="Arial" w:hAnsi="Arial"/>
          <w:sz w:val="14"/>
          <w:szCs w:val="14"/>
          <w:lang w:val="en-AU"/>
        </w:rPr>
        <w:tab/>
      </w:r>
      <w:r w:rsidRPr="00A073BD">
        <w:rPr>
          <w:rFonts w:ascii="Arial" w:hAnsi="Arial"/>
          <w:sz w:val="14"/>
          <w:szCs w:val="14"/>
          <w:lang w:val="en-AU"/>
        </w:rPr>
        <w:tab/>
      </w:r>
      <w:r w:rsidRPr="00A073BD">
        <w:rPr>
          <w:rFonts w:ascii="Arial" w:hAnsi="Arial"/>
          <w:sz w:val="14"/>
          <w:szCs w:val="14"/>
          <w:lang w:val="en-AU"/>
        </w:rPr>
        <w:tab/>
      </w:r>
    </w:p>
    <w:p w14:paraId="2CD42A93" w14:textId="0A668800" w:rsidR="00CD66E1" w:rsidRPr="00AA3DB0" w:rsidRDefault="00A073BD" w:rsidP="00A073BD">
      <w:pPr>
        <w:spacing w:before="0" w:after="0"/>
        <w:ind w:left="284" w:hanging="284"/>
        <w:rPr>
          <w:rFonts w:ascii="Arial" w:hAnsi="Arial"/>
          <w:sz w:val="14"/>
          <w:szCs w:val="14"/>
          <w:lang w:val="en-AU"/>
        </w:rPr>
      </w:pPr>
      <w:r w:rsidRPr="00A073BD">
        <w:rPr>
          <w:rFonts w:ascii="Arial" w:hAnsi="Arial"/>
          <w:sz w:val="14"/>
          <w:szCs w:val="14"/>
          <w:lang w:val="en-AU"/>
        </w:rPr>
        <w:t xml:space="preserve">c. </w:t>
      </w:r>
      <w:r>
        <w:rPr>
          <w:rFonts w:ascii="Arial" w:hAnsi="Arial"/>
          <w:sz w:val="14"/>
          <w:szCs w:val="14"/>
          <w:lang w:val="en-AU"/>
        </w:rPr>
        <w:tab/>
      </w:r>
      <w:r w:rsidRPr="00A073BD">
        <w:rPr>
          <w:rFonts w:ascii="Arial" w:hAnsi="Arial"/>
          <w:sz w:val="14"/>
          <w:szCs w:val="14"/>
          <w:lang w:val="en-AU"/>
        </w:rPr>
        <w:t>The change in estimates includes movement of functions and their associated budgets within Defence</w:t>
      </w:r>
      <w:r w:rsidRPr="00A073BD">
        <w:rPr>
          <w:rFonts w:ascii="Arial" w:hAnsi="Arial"/>
          <w:sz w:val="14"/>
          <w:szCs w:val="14"/>
          <w:lang w:val="en-AU"/>
        </w:rPr>
        <w:tab/>
      </w:r>
      <w:r w:rsidRPr="00A073BD">
        <w:rPr>
          <w:rFonts w:ascii="Arial" w:hAnsi="Arial"/>
          <w:sz w:val="14"/>
          <w:szCs w:val="14"/>
          <w:lang w:val="en-AU"/>
        </w:rPr>
        <w:tab/>
      </w:r>
      <w:r w:rsidRPr="00A073BD">
        <w:rPr>
          <w:rFonts w:ascii="Arial" w:hAnsi="Arial"/>
          <w:sz w:val="14"/>
          <w:szCs w:val="14"/>
          <w:lang w:val="en-AU"/>
        </w:rPr>
        <w:tab/>
      </w:r>
      <w:r w:rsidRPr="00A073BD">
        <w:rPr>
          <w:rFonts w:ascii="Arial" w:hAnsi="Arial"/>
          <w:sz w:val="14"/>
          <w:szCs w:val="14"/>
          <w:lang w:val="en-AU"/>
        </w:rPr>
        <w:tab/>
      </w:r>
      <w:r w:rsidRPr="00A073BD">
        <w:rPr>
          <w:rFonts w:ascii="Arial" w:hAnsi="Arial"/>
          <w:sz w:val="14"/>
          <w:szCs w:val="14"/>
          <w:lang w:val="en-AU"/>
        </w:rPr>
        <w:tab/>
      </w:r>
      <w:r w:rsidR="003A0A8B" w:rsidRPr="003A0A8B">
        <w:rPr>
          <w:rFonts w:ascii="Arial" w:hAnsi="Arial"/>
          <w:sz w:val="14"/>
          <w:szCs w:val="14"/>
          <w:lang w:val="en-AU"/>
        </w:rPr>
        <w:t>.</w:t>
      </w:r>
      <w:r w:rsidR="003A0A8B" w:rsidRPr="003A0A8B">
        <w:rPr>
          <w:rFonts w:ascii="Arial" w:hAnsi="Arial"/>
          <w:sz w:val="14"/>
          <w:szCs w:val="14"/>
          <w:lang w:val="en-AU"/>
        </w:rPr>
        <w:tab/>
      </w:r>
      <w:r w:rsidR="003A0A8B" w:rsidRPr="003A0A8B">
        <w:rPr>
          <w:rFonts w:ascii="Arial" w:hAnsi="Arial"/>
          <w:sz w:val="14"/>
          <w:szCs w:val="14"/>
          <w:lang w:val="en-AU"/>
        </w:rPr>
        <w:tab/>
      </w:r>
      <w:r w:rsidR="003A0A8B" w:rsidRPr="003A0A8B">
        <w:rPr>
          <w:rFonts w:ascii="Arial" w:hAnsi="Arial"/>
          <w:sz w:val="14"/>
          <w:szCs w:val="14"/>
          <w:lang w:val="en-AU"/>
        </w:rPr>
        <w:tab/>
      </w:r>
      <w:r w:rsidR="003A0A8B" w:rsidRPr="003A0A8B">
        <w:rPr>
          <w:rFonts w:ascii="Arial" w:hAnsi="Arial"/>
          <w:sz w:val="14"/>
          <w:szCs w:val="14"/>
          <w:lang w:val="en-AU"/>
        </w:rPr>
        <w:tab/>
      </w:r>
      <w:r w:rsidR="003A0A8B" w:rsidRPr="003A0A8B">
        <w:rPr>
          <w:rFonts w:ascii="Arial" w:hAnsi="Arial"/>
          <w:sz w:val="14"/>
          <w:szCs w:val="14"/>
          <w:lang w:val="en-AU"/>
        </w:rPr>
        <w:tab/>
      </w:r>
    </w:p>
    <w:p w14:paraId="627224D0" w14:textId="77777777" w:rsidR="002C17BD" w:rsidRPr="002C17BD" w:rsidRDefault="002C17BD" w:rsidP="002C17BD">
      <w:pPr>
        <w:spacing w:before="0" w:after="0"/>
        <w:ind w:left="284" w:hanging="284"/>
        <w:rPr>
          <w:rFonts w:ascii="Arial" w:hAnsi="Arial"/>
          <w:sz w:val="14"/>
          <w:szCs w:val="14"/>
          <w:lang w:val="en-AU"/>
        </w:rPr>
      </w:pPr>
      <w:r w:rsidRPr="002C17BD">
        <w:rPr>
          <w:rFonts w:ascii="Arial" w:hAnsi="Arial"/>
          <w:sz w:val="14"/>
          <w:szCs w:val="14"/>
          <w:lang w:val="en-AU"/>
        </w:rPr>
        <w:tab/>
      </w:r>
      <w:r w:rsidRPr="002C17BD">
        <w:rPr>
          <w:rFonts w:ascii="Arial" w:hAnsi="Arial"/>
          <w:sz w:val="14"/>
          <w:szCs w:val="14"/>
          <w:lang w:val="en-AU"/>
        </w:rPr>
        <w:tab/>
      </w:r>
      <w:r w:rsidRPr="002C17BD">
        <w:rPr>
          <w:rFonts w:ascii="Arial" w:hAnsi="Arial"/>
          <w:sz w:val="14"/>
          <w:szCs w:val="14"/>
          <w:lang w:val="en-AU"/>
        </w:rPr>
        <w:tab/>
      </w:r>
      <w:r w:rsidRPr="002C17BD">
        <w:rPr>
          <w:rFonts w:ascii="Arial" w:hAnsi="Arial"/>
          <w:sz w:val="14"/>
          <w:szCs w:val="14"/>
          <w:lang w:val="en-AU"/>
        </w:rPr>
        <w:tab/>
      </w:r>
      <w:r w:rsidRPr="002C17BD">
        <w:rPr>
          <w:rFonts w:ascii="Arial" w:hAnsi="Arial"/>
          <w:sz w:val="14"/>
          <w:szCs w:val="14"/>
          <w:lang w:val="en-AU"/>
        </w:rPr>
        <w:tab/>
      </w:r>
    </w:p>
    <w:p w14:paraId="4FFB307B" w14:textId="77777777" w:rsidR="00DD7C36" w:rsidRPr="00DD7C36" w:rsidRDefault="00DD7C36" w:rsidP="00234C63">
      <w:pPr>
        <w:spacing w:before="0" w:after="0"/>
        <w:ind w:left="284" w:hanging="284"/>
        <w:rPr>
          <w:rFonts w:ascii="Arial" w:hAnsi="Arial"/>
          <w:sz w:val="14"/>
          <w:szCs w:val="14"/>
          <w:lang w:val="en-AU"/>
        </w:rPr>
      </w:pPr>
    </w:p>
    <w:p w14:paraId="727FAE41" w14:textId="77777777" w:rsidR="00650FED" w:rsidRPr="00B56FAA" w:rsidRDefault="00AE1D3C" w:rsidP="00777CE3">
      <w:pPr>
        <w:spacing w:before="0" w:after="0"/>
        <w:outlineLvl w:val="5"/>
        <w:rPr>
          <w:color w:val="FFFFFF"/>
          <w:sz w:val="2"/>
          <w:szCs w:val="2"/>
        </w:rPr>
      </w:pPr>
      <w:r w:rsidRPr="00B56FAA">
        <w:rPr>
          <w:lang w:val="en-AU"/>
        </w:rPr>
        <w:br w:type="page"/>
      </w:r>
      <w:r w:rsidR="00650FED" w:rsidRPr="00B56FAA">
        <w:rPr>
          <w:color w:val="FFFFFF"/>
          <w:sz w:val="2"/>
          <w:szCs w:val="2"/>
        </w:rPr>
        <w:lastRenderedPageBreak/>
        <w:t>Program 2.12: Defence People</w:t>
      </w:r>
    </w:p>
    <w:tbl>
      <w:tblPr>
        <w:tblW w:w="4852"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1670"/>
        <w:gridCol w:w="2882"/>
        <w:gridCol w:w="3058"/>
      </w:tblGrid>
      <w:tr w:rsidR="00F7100A" w:rsidRPr="00B56FAA" w14:paraId="4DA2B123" w14:textId="77777777" w:rsidTr="00834FB2">
        <w:tc>
          <w:tcPr>
            <w:tcW w:w="7610" w:type="dxa"/>
            <w:gridSpan w:val="3"/>
            <w:tcBorders>
              <w:bottom w:val="single" w:sz="4" w:space="0" w:color="auto"/>
            </w:tcBorders>
            <w:shd w:val="clear" w:color="auto" w:fill="CCCCCC"/>
          </w:tcPr>
          <w:p w14:paraId="274CF012" w14:textId="77777777" w:rsidR="00F7100A" w:rsidRPr="00B56FAA" w:rsidRDefault="00F7100A" w:rsidP="00072EF9">
            <w:pPr>
              <w:pStyle w:val="Heading5"/>
              <w:spacing w:before="60" w:after="60"/>
            </w:pPr>
            <w:r w:rsidRPr="00B56FAA">
              <w:t>Program 2.12: Defence People</w:t>
            </w:r>
            <w:r>
              <w:t xml:space="preserve"> (including Chief of Personnel)</w:t>
            </w:r>
          </w:p>
        </w:tc>
      </w:tr>
      <w:tr w:rsidR="00F7100A" w:rsidRPr="00B56FAA" w14:paraId="43CB066F" w14:textId="77777777" w:rsidTr="00834FB2">
        <w:trPr>
          <w:trHeight w:val="170"/>
        </w:trPr>
        <w:tc>
          <w:tcPr>
            <w:tcW w:w="7610" w:type="dxa"/>
            <w:gridSpan w:val="3"/>
            <w:tcBorders>
              <w:left w:val="nil"/>
              <w:bottom w:val="single" w:sz="4" w:space="0" w:color="auto"/>
              <w:right w:val="nil"/>
            </w:tcBorders>
            <w:shd w:val="clear" w:color="auto" w:fill="auto"/>
          </w:tcPr>
          <w:p w14:paraId="75727A4E" w14:textId="77777777" w:rsidR="00F7100A" w:rsidRPr="00B56FAA" w:rsidRDefault="00F7100A" w:rsidP="00072EF9">
            <w:pPr>
              <w:pStyle w:val="Heading5"/>
              <w:spacing w:before="0" w:after="0"/>
              <w:rPr>
                <w:sz w:val="16"/>
                <w:szCs w:val="16"/>
              </w:rPr>
            </w:pPr>
          </w:p>
        </w:tc>
      </w:tr>
      <w:tr w:rsidR="00F7100A" w:rsidRPr="006369C5" w14:paraId="6CA4CCBA" w14:textId="77777777" w:rsidTr="00834FB2">
        <w:tblPrEx>
          <w:shd w:val="clear" w:color="auto" w:fill="auto"/>
          <w:tblLook w:val="04A0" w:firstRow="1" w:lastRow="0" w:firstColumn="1" w:lastColumn="0" w:noHBand="0" w:noVBand="1"/>
        </w:tblPrEx>
        <w:trPr>
          <w:trHeight w:val="680"/>
          <w:tblHeader/>
        </w:trPr>
        <w:tc>
          <w:tcPr>
            <w:tcW w:w="7610" w:type="dxa"/>
            <w:gridSpan w:val="3"/>
            <w:shd w:val="clear" w:color="auto" w:fill="E6E6E6"/>
          </w:tcPr>
          <w:p w14:paraId="5EC2B327" w14:textId="77777777" w:rsidR="00F7100A" w:rsidRPr="006369C5" w:rsidRDefault="00F7100A" w:rsidP="00072EF9">
            <w:pPr>
              <w:tabs>
                <w:tab w:val="left" w:pos="709"/>
              </w:tabs>
              <w:spacing w:before="40" w:after="0"/>
              <w:rPr>
                <w:rFonts w:ascii="Arial" w:hAnsi="Arial"/>
                <w:sz w:val="16"/>
                <w:szCs w:val="16"/>
              </w:rPr>
            </w:pPr>
            <w:r w:rsidRPr="006369C5">
              <w:rPr>
                <w:rFonts w:ascii="Arial" w:hAnsi="Arial"/>
                <w:b/>
                <w:sz w:val="16"/>
                <w:szCs w:val="16"/>
              </w:rPr>
              <w:t>Program 2.12</w:t>
            </w:r>
            <w:r w:rsidRPr="006369C5">
              <w:rPr>
                <w:rFonts w:ascii="Arial" w:hAnsi="Arial"/>
                <w:sz w:val="16"/>
                <w:szCs w:val="16"/>
              </w:rPr>
              <w:t xml:space="preserve"> </w:t>
            </w:r>
            <w:r w:rsidRPr="006369C5">
              <w:rPr>
                <w:rFonts w:ascii="Arial" w:hAnsi="Arial"/>
                <w:b/>
                <w:sz w:val="16"/>
                <w:szCs w:val="16"/>
              </w:rPr>
              <w:t>Objective</w:t>
            </w:r>
          </w:p>
          <w:p w14:paraId="6E5FCF68" w14:textId="77777777" w:rsidR="00F7100A" w:rsidRPr="006369C5" w:rsidRDefault="00F7100A" w:rsidP="00072EF9">
            <w:pPr>
              <w:tabs>
                <w:tab w:val="left" w:pos="709"/>
              </w:tabs>
              <w:spacing w:before="60" w:after="60"/>
              <w:jc w:val="both"/>
              <w:rPr>
                <w:rFonts w:ascii="Arial" w:hAnsi="Arial"/>
                <w:sz w:val="16"/>
                <w:szCs w:val="16"/>
              </w:rPr>
            </w:pPr>
            <w:r w:rsidRPr="006369C5">
              <w:rPr>
                <w:rFonts w:ascii="Arial" w:hAnsi="Arial"/>
                <w:sz w:val="16"/>
                <w:szCs w:val="16"/>
                <w:lang w:val="en-AU"/>
              </w:rPr>
              <w:t>To deliver a program that enables the required people capability to operate and support Defence equipment and systems, and to manage the business of Defence.</w:t>
            </w:r>
          </w:p>
        </w:tc>
      </w:tr>
      <w:tr w:rsidR="00F7100A" w:rsidRPr="006369C5" w14:paraId="3AB14F32" w14:textId="77777777" w:rsidTr="000738A0">
        <w:tblPrEx>
          <w:shd w:val="clear" w:color="auto" w:fill="auto"/>
          <w:tblLook w:val="04A0" w:firstRow="1" w:lastRow="0" w:firstColumn="1" w:lastColumn="0" w:noHBand="0" w:noVBand="1"/>
        </w:tblPrEx>
        <w:trPr>
          <w:trHeight w:val="2381"/>
        </w:trPr>
        <w:tc>
          <w:tcPr>
            <w:tcW w:w="1670" w:type="dxa"/>
            <w:tcBorders>
              <w:bottom w:val="single" w:sz="4" w:space="0" w:color="auto"/>
            </w:tcBorders>
          </w:tcPr>
          <w:p w14:paraId="094EF6D5" w14:textId="77777777" w:rsidR="00F7100A" w:rsidRPr="006369C5" w:rsidRDefault="00F7100A" w:rsidP="006369C5">
            <w:pPr>
              <w:tabs>
                <w:tab w:val="left" w:pos="709"/>
              </w:tabs>
              <w:spacing w:before="60" w:after="60"/>
              <w:rPr>
                <w:rFonts w:ascii="Arial" w:hAnsi="Arial"/>
                <w:b/>
                <w:color w:val="000000"/>
                <w:sz w:val="16"/>
                <w:szCs w:val="16"/>
              </w:rPr>
            </w:pPr>
            <w:r w:rsidRPr="006369C5">
              <w:rPr>
                <w:rFonts w:ascii="Arial" w:hAnsi="Arial"/>
                <w:b/>
                <w:color w:val="000000"/>
                <w:sz w:val="16"/>
                <w:szCs w:val="16"/>
              </w:rPr>
              <w:t>Ke</w:t>
            </w:r>
            <w:r w:rsidR="006369C5">
              <w:rPr>
                <w:rFonts w:ascii="Arial" w:hAnsi="Arial"/>
                <w:b/>
                <w:color w:val="000000"/>
                <w:sz w:val="16"/>
                <w:szCs w:val="16"/>
              </w:rPr>
              <w:t>y Activities</w:t>
            </w:r>
          </w:p>
        </w:tc>
        <w:tc>
          <w:tcPr>
            <w:tcW w:w="5940" w:type="dxa"/>
            <w:gridSpan w:val="2"/>
            <w:tcBorders>
              <w:bottom w:val="single" w:sz="4" w:space="0" w:color="auto"/>
            </w:tcBorders>
          </w:tcPr>
          <w:p w14:paraId="355FF537" w14:textId="77777777" w:rsidR="00F7100A" w:rsidRPr="006369C5" w:rsidRDefault="00F7100A" w:rsidP="00072EF9">
            <w:pPr>
              <w:tabs>
                <w:tab w:val="left" w:pos="709"/>
              </w:tabs>
              <w:spacing w:before="40" w:after="0"/>
              <w:rPr>
                <w:rFonts w:ascii="Arial" w:hAnsi="Arial"/>
                <w:bCs/>
                <w:color w:val="000000"/>
                <w:sz w:val="16"/>
                <w:szCs w:val="16"/>
                <w:lang w:val="en-AU"/>
              </w:rPr>
            </w:pPr>
            <w:r w:rsidRPr="006369C5">
              <w:rPr>
                <w:rFonts w:ascii="Arial" w:hAnsi="Arial"/>
                <w:bCs/>
                <w:color w:val="000000"/>
                <w:sz w:val="16"/>
                <w:szCs w:val="16"/>
                <w:lang w:val="en-AU"/>
              </w:rPr>
              <w:t>The program will be achieved through the following activities:</w:t>
            </w:r>
          </w:p>
          <w:p w14:paraId="3D4EFC6C" w14:textId="2578BBDB" w:rsidR="00F7100A" w:rsidRPr="006369C5" w:rsidRDefault="00F7100A" w:rsidP="00072EF9">
            <w:pPr>
              <w:tabs>
                <w:tab w:val="left" w:pos="343"/>
              </w:tabs>
              <w:spacing w:before="60" w:after="60"/>
              <w:rPr>
                <w:rFonts w:ascii="Arial" w:hAnsi="Arial"/>
                <w:color w:val="000000"/>
                <w:sz w:val="16"/>
                <w:szCs w:val="16"/>
                <w:lang w:val="en-AU"/>
              </w:rPr>
            </w:pPr>
            <w:r w:rsidRPr="00CC337B">
              <w:rPr>
                <w:rFonts w:ascii="Arial" w:hAnsi="Arial"/>
                <w:b/>
                <w:sz w:val="16"/>
                <w:szCs w:val="16"/>
                <w:lang w:val="en-AU"/>
              </w:rPr>
              <w:t xml:space="preserve">1. </w:t>
            </w:r>
            <w:r w:rsidR="00FF0BC7" w:rsidRPr="00CC337B">
              <w:rPr>
                <w:rFonts w:ascii="Arial" w:hAnsi="Arial"/>
                <w:b/>
                <w:sz w:val="16"/>
                <w:szCs w:val="16"/>
                <w:lang w:val="en-AU"/>
              </w:rPr>
              <w:t>Conduct operations and deployments to defend Australia and its national interests.</w:t>
            </w:r>
            <w:r w:rsidRPr="006369C5">
              <w:rPr>
                <w:rFonts w:ascii="Arial" w:hAnsi="Arial"/>
                <w:color w:val="000000"/>
                <w:sz w:val="16"/>
                <w:szCs w:val="16"/>
                <w:lang w:val="en-AU"/>
              </w:rPr>
              <w:t xml:space="preserve"> Defence conducts operations and deployments both within Australia and overseas, in accordance with direction from the Government. When required, Defence responds with military force to defend Australia and its national interests. Defence also works in close collaboration with our international partners and federal, state and territory governments to support our response to crises and disasters at home and abroad.</w:t>
            </w:r>
          </w:p>
          <w:p w14:paraId="1A3692FA" w14:textId="77777777" w:rsidR="00F7100A" w:rsidRPr="006369C5" w:rsidRDefault="00F7100A" w:rsidP="00072EF9">
            <w:pPr>
              <w:tabs>
                <w:tab w:val="left" w:pos="343"/>
              </w:tabs>
              <w:spacing w:before="60" w:after="60"/>
              <w:rPr>
                <w:rFonts w:ascii="Arial" w:hAnsi="Arial"/>
                <w:i/>
                <w:color w:val="000000"/>
                <w:sz w:val="16"/>
                <w:szCs w:val="16"/>
              </w:rPr>
            </w:pPr>
            <w:r w:rsidRPr="006369C5">
              <w:rPr>
                <w:rFonts w:ascii="Arial" w:hAnsi="Arial"/>
                <w:b/>
                <w:sz w:val="16"/>
                <w:szCs w:val="16"/>
                <w:lang w:val="en-AU"/>
              </w:rPr>
              <w:t>4. Invest in Defence People</w:t>
            </w:r>
            <w:r w:rsidRPr="006369C5">
              <w:rPr>
                <w:rFonts w:ascii="Arial" w:hAnsi="Arial"/>
                <w:sz w:val="16"/>
                <w:szCs w:val="16"/>
                <w:lang w:val="en-AU"/>
              </w:rPr>
              <w:t>.</w:t>
            </w:r>
            <w:r w:rsidRPr="006369C5">
              <w:t xml:space="preserve"> </w:t>
            </w:r>
            <w:r w:rsidRPr="006369C5">
              <w:rPr>
                <w:rFonts w:ascii="Arial" w:hAnsi="Arial"/>
                <w:sz w:val="16"/>
                <w:szCs w:val="16"/>
                <w:lang w:val="en-AU"/>
              </w:rPr>
              <w:t>Defence has an integrated workforce comprised of Australian Defence Force members, Australian Public Service employees and contractors. We are committed to investing in the growth and retention of a highly skilled workforce to meet Australia’s defence and national security requirements.</w:t>
            </w:r>
          </w:p>
        </w:tc>
      </w:tr>
      <w:tr w:rsidR="00F7100A" w:rsidRPr="006369C5" w14:paraId="72189A36" w14:textId="77777777" w:rsidTr="000738A0">
        <w:tblPrEx>
          <w:shd w:val="clear" w:color="auto" w:fill="auto"/>
          <w:tblLook w:val="04A0" w:firstRow="1" w:lastRow="0" w:firstColumn="1" w:lastColumn="0" w:noHBand="0" w:noVBand="1"/>
        </w:tblPrEx>
        <w:trPr>
          <w:trHeight w:val="100"/>
        </w:trPr>
        <w:tc>
          <w:tcPr>
            <w:tcW w:w="1670" w:type="dxa"/>
            <w:tcBorders>
              <w:top w:val="single" w:sz="4" w:space="0" w:color="auto"/>
              <w:bottom w:val="single" w:sz="4" w:space="0" w:color="auto"/>
              <w:right w:val="single" w:sz="4" w:space="0" w:color="auto"/>
            </w:tcBorders>
          </w:tcPr>
          <w:p w14:paraId="3F380ADB" w14:textId="77777777" w:rsidR="00F7100A" w:rsidRPr="006369C5" w:rsidRDefault="00F7100A" w:rsidP="00072EF9">
            <w:pPr>
              <w:tabs>
                <w:tab w:val="left" w:pos="709"/>
              </w:tabs>
              <w:spacing w:before="60" w:after="60"/>
              <w:rPr>
                <w:rFonts w:ascii="Arial" w:hAnsi="Arial"/>
                <w:color w:val="000000"/>
                <w:sz w:val="16"/>
                <w:szCs w:val="16"/>
              </w:rPr>
            </w:pPr>
            <w:r w:rsidRPr="006369C5">
              <w:rPr>
                <w:rFonts w:ascii="Arial" w:hAnsi="Arial"/>
                <w:b/>
                <w:color w:val="000000"/>
                <w:sz w:val="16"/>
                <w:szCs w:val="16"/>
              </w:rPr>
              <w:t>Year</w:t>
            </w:r>
          </w:p>
        </w:tc>
        <w:tc>
          <w:tcPr>
            <w:tcW w:w="2882" w:type="dxa"/>
            <w:tcBorders>
              <w:top w:val="single" w:sz="4" w:space="0" w:color="auto"/>
              <w:left w:val="single" w:sz="4" w:space="0" w:color="auto"/>
              <w:bottom w:val="single" w:sz="4" w:space="0" w:color="auto"/>
              <w:right w:val="single" w:sz="4" w:space="0" w:color="auto"/>
            </w:tcBorders>
          </w:tcPr>
          <w:p w14:paraId="6405374B" w14:textId="77777777" w:rsidR="00F7100A" w:rsidRPr="006369C5" w:rsidRDefault="00F7100A" w:rsidP="00072EF9">
            <w:pPr>
              <w:tabs>
                <w:tab w:val="left" w:pos="709"/>
              </w:tabs>
              <w:spacing w:before="60" w:after="60"/>
              <w:rPr>
                <w:rFonts w:ascii="Arial" w:hAnsi="Arial"/>
                <w:color w:val="000000"/>
              </w:rPr>
            </w:pPr>
            <w:r w:rsidRPr="006369C5">
              <w:rPr>
                <w:rFonts w:ascii="Arial" w:hAnsi="Arial"/>
                <w:b/>
                <w:color w:val="000000"/>
                <w:sz w:val="16"/>
                <w:szCs w:val="16"/>
              </w:rPr>
              <w:t>Performance measures</w:t>
            </w:r>
          </w:p>
        </w:tc>
        <w:tc>
          <w:tcPr>
            <w:tcW w:w="3058" w:type="dxa"/>
            <w:tcBorders>
              <w:top w:val="single" w:sz="4" w:space="0" w:color="auto"/>
              <w:left w:val="single" w:sz="4" w:space="0" w:color="auto"/>
              <w:bottom w:val="single" w:sz="4" w:space="0" w:color="auto"/>
            </w:tcBorders>
          </w:tcPr>
          <w:p w14:paraId="372719E1" w14:textId="77777777" w:rsidR="00F7100A" w:rsidRPr="006369C5" w:rsidRDefault="00F7100A" w:rsidP="00072EF9">
            <w:pPr>
              <w:tabs>
                <w:tab w:val="left" w:pos="709"/>
              </w:tabs>
              <w:spacing w:before="60" w:after="60"/>
              <w:rPr>
                <w:rFonts w:ascii="Arial" w:hAnsi="Arial"/>
                <w:i/>
                <w:color w:val="000000"/>
                <w:sz w:val="16"/>
                <w:szCs w:val="16"/>
              </w:rPr>
            </w:pPr>
            <w:r w:rsidRPr="006369C5">
              <w:rPr>
                <w:rFonts w:ascii="Arial" w:hAnsi="Arial"/>
                <w:b/>
                <w:color w:val="000000"/>
                <w:sz w:val="16"/>
                <w:szCs w:val="16"/>
              </w:rPr>
              <w:t>Expected Performance Results</w:t>
            </w:r>
          </w:p>
        </w:tc>
      </w:tr>
      <w:tr w:rsidR="00834FB2" w:rsidRPr="006369C5" w14:paraId="04BB6A75" w14:textId="77777777" w:rsidTr="00834FB2">
        <w:tblPrEx>
          <w:shd w:val="clear" w:color="auto" w:fill="auto"/>
          <w:tblLook w:val="04A0" w:firstRow="1" w:lastRow="0" w:firstColumn="1" w:lastColumn="0" w:noHBand="0" w:noVBand="1"/>
        </w:tblPrEx>
        <w:trPr>
          <w:trHeight w:val="154"/>
        </w:trPr>
        <w:tc>
          <w:tcPr>
            <w:tcW w:w="1670" w:type="dxa"/>
            <w:vMerge w:val="restart"/>
            <w:tcBorders>
              <w:top w:val="single" w:sz="4" w:space="0" w:color="auto"/>
              <w:right w:val="single" w:sz="4" w:space="0" w:color="auto"/>
            </w:tcBorders>
          </w:tcPr>
          <w:p w14:paraId="34E102C7" w14:textId="77777777" w:rsidR="00834FB2" w:rsidRPr="006369C5" w:rsidRDefault="00834FB2" w:rsidP="006369C5">
            <w:pPr>
              <w:tabs>
                <w:tab w:val="left" w:pos="709"/>
              </w:tabs>
              <w:spacing w:before="0" w:after="0"/>
              <w:rPr>
                <w:rFonts w:ascii="Arial" w:hAnsi="Arial"/>
                <w:color w:val="000000"/>
                <w:sz w:val="16"/>
                <w:szCs w:val="16"/>
              </w:rPr>
            </w:pPr>
            <w:r w:rsidRPr="006369C5">
              <w:rPr>
                <w:rFonts w:ascii="Arial" w:hAnsi="Arial"/>
                <w:color w:val="000000"/>
                <w:sz w:val="16"/>
                <w:szCs w:val="16"/>
              </w:rPr>
              <w:t>Current Year</w:t>
            </w:r>
          </w:p>
          <w:p w14:paraId="37345B31" w14:textId="77777777" w:rsidR="00834FB2" w:rsidRPr="006369C5" w:rsidRDefault="00834FB2" w:rsidP="006369C5">
            <w:pPr>
              <w:tabs>
                <w:tab w:val="left" w:pos="709"/>
              </w:tabs>
              <w:spacing w:before="0" w:after="0"/>
              <w:rPr>
                <w:rFonts w:ascii="Arial" w:hAnsi="Arial"/>
                <w:color w:val="000000"/>
                <w:sz w:val="16"/>
                <w:szCs w:val="16"/>
              </w:rPr>
            </w:pPr>
            <w:r w:rsidRPr="006369C5">
              <w:rPr>
                <w:rFonts w:ascii="Arial" w:hAnsi="Arial"/>
                <w:color w:val="000000"/>
                <w:sz w:val="16"/>
                <w:szCs w:val="16"/>
              </w:rPr>
              <w:t>2024-25</w:t>
            </w:r>
            <w:r>
              <w:rPr>
                <w:rFonts w:ascii="Arial" w:hAnsi="Arial"/>
                <w:color w:val="000000"/>
                <w:sz w:val="16"/>
                <w:szCs w:val="16"/>
              </w:rPr>
              <w:t xml:space="preserve"> </w:t>
            </w:r>
            <w:r w:rsidRPr="006369C5">
              <w:rPr>
                <w:rFonts w:ascii="Arial" w:hAnsi="Arial"/>
                <w:color w:val="000000"/>
                <w:sz w:val="16"/>
                <w:szCs w:val="16"/>
                <w:vertAlign w:val="superscript"/>
              </w:rPr>
              <w:t>[a]</w:t>
            </w:r>
          </w:p>
        </w:tc>
        <w:tc>
          <w:tcPr>
            <w:tcW w:w="2882" w:type="dxa"/>
            <w:tcBorders>
              <w:top w:val="single" w:sz="4" w:space="0" w:color="auto"/>
              <w:left w:val="single" w:sz="4" w:space="0" w:color="auto"/>
              <w:bottom w:val="dotted" w:sz="4" w:space="0" w:color="auto"/>
              <w:right w:val="single" w:sz="4" w:space="0" w:color="auto"/>
            </w:tcBorders>
          </w:tcPr>
          <w:p w14:paraId="6E9B4AE7" w14:textId="01AD1542" w:rsidR="00834FB2" w:rsidRPr="00B37670" w:rsidRDefault="00834FB2" w:rsidP="006369C5">
            <w:pPr>
              <w:tabs>
                <w:tab w:val="left" w:pos="709"/>
              </w:tabs>
              <w:spacing w:before="60" w:after="60"/>
              <w:rPr>
                <w:rFonts w:ascii="Arial" w:hAnsi="Arial"/>
                <w:color w:val="000000"/>
                <w:sz w:val="16"/>
                <w:szCs w:val="16"/>
              </w:rPr>
            </w:pPr>
            <w:r w:rsidRPr="00B37670">
              <w:rPr>
                <w:rFonts w:ascii="Arial" w:hAnsi="Arial"/>
                <w:sz w:val="16"/>
                <w:szCs w:val="16"/>
                <w:lang w:val="en-AU"/>
              </w:rPr>
              <w:t>1.1: Defence maintains ready forces, plans and conducts operations, activities and investments as directed by Government to achieve Defence’s strategic objectives.</w:t>
            </w:r>
          </w:p>
        </w:tc>
        <w:tc>
          <w:tcPr>
            <w:tcW w:w="3058" w:type="dxa"/>
            <w:tcBorders>
              <w:top w:val="single" w:sz="4" w:space="0" w:color="auto"/>
              <w:left w:val="single" w:sz="4" w:space="0" w:color="auto"/>
              <w:bottom w:val="dotted" w:sz="4" w:space="0" w:color="auto"/>
            </w:tcBorders>
          </w:tcPr>
          <w:p w14:paraId="56957388" w14:textId="77777777" w:rsidR="00834FB2" w:rsidRPr="00B37670" w:rsidRDefault="00834FB2" w:rsidP="006369C5">
            <w:pPr>
              <w:spacing w:before="60" w:after="60"/>
              <w:rPr>
                <w:rFonts w:ascii="Arial" w:hAnsi="Arial"/>
                <w:sz w:val="16"/>
                <w:szCs w:val="16"/>
                <w:lang w:val="en-AU"/>
              </w:rPr>
            </w:pPr>
            <w:r w:rsidRPr="00B37670">
              <w:rPr>
                <w:rFonts w:ascii="Arial" w:hAnsi="Arial"/>
                <w:sz w:val="16"/>
                <w:szCs w:val="16"/>
                <w:lang w:val="en-AU"/>
              </w:rPr>
              <w:t>Defence responds to Australian Government requirements and conducts operations as directed. This will change year on year.</w:t>
            </w:r>
          </w:p>
          <w:p w14:paraId="3E7E0CBC" w14:textId="627E1423" w:rsidR="00834FB2" w:rsidRPr="00B37670" w:rsidRDefault="00834FB2" w:rsidP="006369C5">
            <w:pPr>
              <w:spacing w:before="60" w:after="60"/>
              <w:jc w:val="right"/>
              <w:rPr>
                <w:rFonts w:ascii="Arial" w:hAnsi="Arial"/>
                <w:color w:val="000000"/>
                <w:sz w:val="16"/>
                <w:szCs w:val="16"/>
              </w:rPr>
            </w:pPr>
            <w:r w:rsidRPr="00B37670">
              <w:rPr>
                <w:rFonts w:ascii="Arial" w:hAnsi="Arial"/>
                <w:i/>
                <w:sz w:val="16"/>
                <w:szCs w:val="16"/>
                <w:lang w:val="en-AU"/>
              </w:rPr>
              <w:t>Expected to be achieved.</w:t>
            </w:r>
          </w:p>
        </w:tc>
      </w:tr>
      <w:tr w:rsidR="00834FB2" w:rsidRPr="006369C5" w14:paraId="56088605" w14:textId="77777777" w:rsidTr="00834FB2">
        <w:tblPrEx>
          <w:shd w:val="clear" w:color="auto" w:fill="auto"/>
          <w:tblLook w:val="04A0" w:firstRow="1" w:lastRow="0" w:firstColumn="1" w:lastColumn="0" w:noHBand="0" w:noVBand="1"/>
        </w:tblPrEx>
        <w:trPr>
          <w:trHeight w:val="152"/>
        </w:trPr>
        <w:tc>
          <w:tcPr>
            <w:tcW w:w="1670" w:type="dxa"/>
            <w:vMerge/>
            <w:tcBorders>
              <w:right w:val="single" w:sz="4" w:space="0" w:color="auto"/>
            </w:tcBorders>
          </w:tcPr>
          <w:p w14:paraId="24EFBC09" w14:textId="77777777" w:rsidR="00834FB2" w:rsidRPr="006369C5" w:rsidRDefault="00834FB2" w:rsidP="006369C5">
            <w:pPr>
              <w:tabs>
                <w:tab w:val="left" w:pos="709"/>
              </w:tabs>
              <w:spacing w:before="60" w:after="60"/>
              <w:rPr>
                <w:rFonts w:ascii="Arial" w:hAnsi="Arial"/>
                <w:color w:val="000000"/>
                <w:sz w:val="16"/>
                <w:szCs w:val="16"/>
              </w:rPr>
            </w:pPr>
          </w:p>
        </w:tc>
        <w:tc>
          <w:tcPr>
            <w:tcW w:w="2882" w:type="dxa"/>
            <w:tcBorders>
              <w:top w:val="dotted" w:sz="4" w:space="0" w:color="auto"/>
              <w:left w:val="single" w:sz="4" w:space="0" w:color="auto"/>
              <w:bottom w:val="dotted" w:sz="4" w:space="0" w:color="auto"/>
              <w:right w:val="single" w:sz="4" w:space="0" w:color="auto"/>
            </w:tcBorders>
          </w:tcPr>
          <w:p w14:paraId="1C0D5B38" w14:textId="77777777" w:rsidR="00834FB2" w:rsidRPr="00B37670" w:rsidRDefault="00834FB2" w:rsidP="006369C5">
            <w:pPr>
              <w:tabs>
                <w:tab w:val="left" w:pos="709"/>
              </w:tabs>
              <w:spacing w:before="60" w:after="60"/>
              <w:rPr>
                <w:rFonts w:ascii="Arial" w:hAnsi="Arial"/>
                <w:color w:val="000000"/>
                <w:sz w:val="16"/>
                <w:szCs w:val="16"/>
              </w:rPr>
            </w:pPr>
            <w:r w:rsidRPr="00B37670">
              <w:rPr>
                <w:rFonts w:ascii="Arial" w:hAnsi="Arial"/>
                <w:sz w:val="16"/>
                <w:szCs w:val="16"/>
                <w:lang w:val="en-AU"/>
              </w:rPr>
              <w:t>1.2: Defence commits ADF and/or APS assistance to domestic crisis and emergency response, as directed by Government.</w:t>
            </w:r>
          </w:p>
        </w:tc>
        <w:tc>
          <w:tcPr>
            <w:tcW w:w="3058" w:type="dxa"/>
            <w:tcBorders>
              <w:top w:val="dotted" w:sz="4" w:space="0" w:color="auto"/>
              <w:left w:val="single" w:sz="4" w:space="0" w:color="auto"/>
              <w:bottom w:val="dotted" w:sz="4" w:space="0" w:color="auto"/>
            </w:tcBorders>
          </w:tcPr>
          <w:p w14:paraId="477144CA" w14:textId="77777777" w:rsidR="00834FB2" w:rsidRPr="00B37670" w:rsidRDefault="00834FB2" w:rsidP="006369C5">
            <w:pPr>
              <w:tabs>
                <w:tab w:val="left" w:pos="709"/>
              </w:tabs>
              <w:spacing w:before="60" w:after="60"/>
              <w:rPr>
                <w:rFonts w:ascii="Arial" w:hAnsi="Arial"/>
                <w:sz w:val="16"/>
                <w:szCs w:val="16"/>
                <w:lang w:val="en-AU"/>
              </w:rPr>
            </w:pPr>
            <w:r w:rsidRPr="00B37670">
              <w:rPr>
                <w:rFonts w:ascii="Arial" w:hAnsi="Arial"/>
                <w:sz w:val="16"/>
                <w:szCs w:val="16"/>
                <w:lang w:val="en-AU"/>
              </w:rPr>
              <w:t>Defence responds to Australian Government direction as required. This will change year on year.</w:t>
            </w:r>
          </w:p>
          <w:p w14:paraId="5F68E43B" w14:textId="3DCA5C44" w:rsidR="00834FB2" w:rsidRPr="00B37670" w:rsidRDefault="00834FB2" w:rsidP="006369C5">
            <w:pPr>
              <w:tabs>
                <w:tab w:val="left" w:pos="709"/>
              </w:tabs>
              <w:spacing w:before="60" w:after="60"/>
              <w:jc w:val="right"/>
              <w:rPr>
                <w:rFonts w:ascii="Arial" w:hAnsi="Arial"/>
                <w:color w:val="000000"/>
                <w:sz w:val="16"/>
                <w:szCs w:val="16"/>
              </w:rPr>
            </w:pPr>
            <w:r w:rsidRPr="00B37670">
              <w:rPr>
                <w:rFonts w:ascii="Arial" w:hAnsi="Arial"/>
                <w:i/>
                <w:sz w:val="16"/>
                <w:szCs w:val="16"/>
                <w:lang w:val="en-AU"/>
              </w:rPr>
              <w:t>Expected to be achieved.</w:t>
            </w:r>
          </w:p>
        </w:tc>
      </w:tr>
      <w:tr w:rsidR="00834FB2" w:rsidRPr="006369C5" w14:paraId="74B15BF2" w14:textId="77777777" w:rsidTr="00834FB2">
        <w:tblPrEx>
          <w:shd w:val="clear" w:color="auto" w:fill="auto"/>
          <w:tblLook w:val="04A0" w:firstRow="1" w:lastRow="0" w:firstColumn="1" w:lastColumn="0" w:noHBand="0" w:noVBand="1"/>
        </w:tblPrEx>
        <w:trPr>
          <w:trHeight w:val="152"/>
        </w:trPr>
        <w:tc>
          <w:tcPr>
            <w:tcW w:w="1670" w:type="dxa"/>
            <w:vMerge/>
            <w:tcBorders>
              <w:right w:val="single" w:sz="4" w:space="0" w:color="auto"/>
            </w:tcBorders>
          </w:tcPr>
          <w:p w14:paraId="200A5ECF" w14:textId="77777777" w:rsidR="00834FB2" w:rsidRPr="006369C5" w:rsidRDefault="00834FB2" w:rsidP="006369C5">
            <w:pPr>
              <w:tabs>
                <w:tab w:val="left" w:pos="709"/>
              </w:tabs>
              <w:spacing w:before="60" w:after="60"/>
              <w:rPr>
                <w:rFonts w:ascii="Arial" w:hAnsi="Arial"/>
                <w:color w:val="000000"/>
                <w:sz w:val="16"/>
                <w:szCs w:val="16"/>
              </w:rPr>
            </w:pPr>
          </w:p>
        </w:tc>
        <w:tc>
          <w:tcPr>
            <w:tcW w:w="2882" w:type="dxa"/>
            <w:tcBorders>
              <w:top w:val="dotted" w:sz="4" w:space="0" w:color="auto"/>
              <w:left w:val="single" w:sz="4" w:space="0" w:color="auto"/>
              <w:bottom w:val="dotted" w:sz="4" w:space="0" w:color="auto"/>
              <w:right w:val="single" w:sz="4" w:space="0" w:color="auto"/>
            </w:tcBorders>
          </w:tcPr>
          <w:p w14:paraId="48E401BE" w14:textId="77777777" w:rsidR="00834FB2" w:rsidRPr="00B37670" w:rsidRDefault="00834FB2" w:rsidP="006369C5">
            <w:pPr>
              <w:tabs>
                <w:tab w:val="left" w:pos="709"/>
              </w:tabs>
              <w:spacing w:before="60" w:after="60"/>
              <w:rPr>
                <w:rFonts w:ascii="Arial" w:hAnsi="Arial"/>
                <w:sz w:val="16"/>
                <w:szCs w:val="16"/>
                <w:lang w:val="en-AU"/>
              </w:rPr>
            </w:pPr>
            <w:r w:rsidRPr="00B37670">
              <w:rPr>
                <w:rFonts w:ascii="Arial" w:hAnsi="Arial"/>
                <w:sz w:val="16"/>
                <w:szCs w:val="16"/>
                <w:lang w:val="en-AU"/>
              </w:rPr>
              <w:t>4.1: Defence recruits and retains an ADF and APS workforce to support the Defence mission.</w:t>
            </w:r>
          </w:p>
        </w:tc>
        <w:tc>
          <w:tcPr>
            <w:tcW w:w="3058" w:type="dxa"/>
            <w:tcBorders>
              <w:top w:val="dotted" w:sz="4" w:space="0" w:color="auto"/>
              <w:left w:val="single" w:sz="4" w:space="0" w:color="auto"/>
              <w:bottom w:val="dotted" w:sz="4" w:space="0" w:color="auto"/>
            </w:tcBorders>
          </w:tcPr>
          <w:p w14:paraId="4161F860" w14:textId="77777777" w:rsidR="00834FB2" w:rsidRPr="00CC337B" w:rsidRDefault="00834FB2" w:rsidP="00CC337B">
            <w:pPr>
              <w:spacing w:before="60" w:after="60"/>
              <w:rPr>
                <w:rFonts w:ascii="Arial" w:hAnsi="Arial"/>
                <w:sz w:val="16"/>
                <w:szCs w:val="16"/>
                <w:lang w:val="en-AU"/>
              </w:rPr>
            </w:pPr>
            <w:r w:rsidRPr="00CC337B">
              <w:rPr>
                <w:rFonts w:ascii="Arial" w:hAnsi="Arial"/>
                <w:sz w:val="16"/>
                <w:szCs w:val="16"/>
                <w:lang w:val="en-AU"/>
              </w:rPr>
              <w:t>Defence achieves the ADF and APS Budgeted Workforce Requirement as set out in the 2024 Defence Workforce Plan, and the net flow of the ADF and APS workforce over a 12 month period is trending positive and is positioning Defence to achieve the Budgeted Workforce Requirement over the forward estimates.</w:t>
            </w:r>
          </w:p>
          <w:p w14:paraId="68F0B089" w14:textId="6682425B" w:rsidR="00834FB2" w:rsidRPr="007F0122" w:rsidRDefault="00834FB2" w:rsidP="00CC337B">
            <w:pPr>
              <w:spacing w:before="60" w:after="60"/>
              <w:jc w:val="right"/>
              <w:rPr>
                <w:rFonts w:ascii="Arial" w:hAnsi="Arial"/>
                <w:i/>
                <w:sz w:val="16"/>
                <w:szCs w:val="16"/>
                <w:lang w:val="en-AU"/>
              </w:rPr>
            </w:pPr>
            <w:r w:rsidRPr="007F0122">
              <w:rPr>
                <w:rFonts w:ascii="Arial" w:hAnsi="Arial"/>
                <w:i/>
                <w:sz w:val="16"/>
                <w:szCs w:val="16"/>
                <w:lang w:val="en-AU"/>
              </w:rPr>
              <w:t>Expected to be partially achieved.</w:t>
            </w:r>
          </w:p>
        </w:tc>
      </w:tr>
      <w:tr w:rsidR="00834FB2" w:rsidRPr="006369C5" w14:paraId="389B2384" w14:textId="77777777" w:rsidTr="00834FB2">
        <w:tblPrEx>
          <w:shd w:val="clear" w:color="auto" w:fill="auto"/>
          <w:tblLook w:val="04A0" w:firstRow="1" w:lastRow="0" w:firstColumn="1" w:lastColumn="0" w:noHBand="0" w:noVBand="1"/>
        </w:tblPrEx>
        <w:trPr>
          <w:trHeight w:val="152"/>
        </w:trPr>
        <w:tc>
          <w:tcPr>
            <w:tcW w:w="1670" w:type="dxa"/>
            <w:vMerge/>
            <w:tcBorders>
              <w:bottom w:val="single" w:sz="4" w:space="0" w:color="auto"/>
              <w:right w:val="single" w:sz="4" w:space="0" w:color="auto"/>
            </w:tcBorders>
          </w:tcPr>
          <w:p w14:paraId="53214D7F" w14:textId="77777777" w:rsidR="00834FB2" w:rsidRPr="006369C5" w:rsidRDefault="00834FB2" w:rsidP="006369C5">
            <w:pPr>
              <w:tabs>
                <w:tab w:val="left" w:pos="709"/>
              </w:tabs>
              <w:spacing w:before="60" w:after="60"/>
              <w:rPr>
                <w:rFonts w:ascii="Arial" w:hAnsi="Arial"/>
                <w:color w:val="000000"/>
                <w:sz w:val="16"/>
                <w:szCs w:val="16"/>
              </w:rPr>
            </w:pPr>
          </w:p>
        </w:tc>
        <w:tc>
          <w:tcPr>
            <w:tcW w:w="2882" w:type="dxa"/>
            <w:tcBorders>
              <w:top w:val="dotted" w:sz="4" w:space="0" w:color="auto"/>
              <w:left w:val="single" w:sz="4" w:space="0" w:color="auto"/>
              <w:bottom w:val="single" w:sz="4" w:space="0" w:color="auto"/>
              <w:right w:val="single" w:sz="4" w:space="0" w:color="auto"/>
            </w:tcBorders>
          </w:tcPr>
          <w:p w14:paraId="3FA6E145" w14:textId="77777777" w:rsidR="00834FB2" w:rsidRPr="00B37670" w:rsidRDefault="00834FB2" w:rsidP="006369C5">
            <w:pPr>
              <w:tabs>
                <w:tab w:val="left" w:pos="709"/>
              </w:tabs>
              <w:spacing w:before="60" w:after="60"/>
              <w:rPr>
                <w:rFonts w:ascii="Arial" w:hAnsi="Arial"/>
                <w:sz w:val="16"/>
                <w:szCs w:val="16"/>
                <w:lang w:val="en-AU"/>
              </w:rPr>
            </w:pPr>
            <w:r w:rsidRPr="00B37670">
              <w:rPr>
                <w:rFonts w:ascii="Arial" w:hAnsi="Arial"/>
                <w:sz w:val="16"/>
                <w:szCs w:val="16"/>
                <w:lang w:val="en-AU"/>
              </w:rPr>
              <w:t>4.2: Defence grows the necessary skills and capabilities to enable the Defence mission.</w:t>
            </w:r>
          </w:p>
        </w:tc>
        <w:tc>
          <w:tcPr>
            <w:tcW w:w="3058" w:type="dxa"/>
            <w:tcBorders>
              <w:top w:val="dotted" w:sz="4" w:space="0" w:color="auto"/>
              <w:left w:val="single" w:sz="4" w:space="0" w:color="auto"/>
              <w:bottom w:val="single" w:sz="4" w:space="0" w:color="auto"/>
            </w:tcBorders>
          </w:tcPr>
          <w:p w14:paraId="4945E79F" w14:textId="77777777" w:rsidR="00834FB2" w:rsidRPr="00CC337B" w:rsidRDefault="00834FB2" w:rsidP="00CC337B">
            <w:pPr>
              <w:spacing w:before="60" w:after="60"/>
              <w:rPr>
                <w:rFonts w:ascii="Arial" w:hAnsi="Arial"/>
                <w:sz w:val="16"/>
                <w:szCs w:val="16"/>
                <w:lang w:val="en-AU"/>
              </w:rPr>
            </w:pPr>
            <w:r w:rsidRPr="00CC337B">
              <w:rPr>
                <w:rFonts w:ascii="Arial" w:hAnsi="Arial"/>
                <w:sz w:val="16"/>
                <w:szCs w:val="16"/>
                <w:lang w:val="en-AU"/>
              </w:rPr>
              <w:t>The Defence workforce has the technical skills required to deliver the National Defence Strategy as measured through the Defence Strategic Workforce Segments, and the net flow of the ADF and APS workforce over a 12 month period against the Budgeted Workforce Requirement by Strategic Workforce Segment.</w:t>
            </w:r>
          </w:p>
          <w:p w14:paraId="7121CBFA" w14:textId="681040E8" w:rsidR="00834FB2" w:rsidRPr="007F0122" w:rsidRDefault="00834FB2" w:rsidP="00CC337B">
            <w:pPr>
              <w:spacing w:before="60" w:after="60"/>
              <w:jc w:val="right"/>
              <w:rPr>
                <w:rFonts w:ascii="Arial" w:hAnsi="Arial"/>
                <w:i/>
                <w:sz w:val="16"/>
                <w:szCs w:val="16"/>
                <w:lang w:val="en-AU"/>
              </w:rPr>
            </w:pPr>
            <w:r w:rsidRPr="007F0122">
              <w:rPr>
                <w:rFonts w:ascii="Arial" w:hAnsi="Arial"/>
                <w:i/>
                <w:sz w:val="16"/>
                <w:szCs w:val="16"/>
                <w:lang w:val="en-AU"/>
              </w:rPr>
              <w:t>Expected to be partially achieved.</w:t>
            </w:r>
          </w:p>
        </w:tc>
      </w:tr>
      <w:tr w:rsidR="00834FB2" w:rsidRPr="006369C5" w14:paraId="17B42750" w14:textId="77777777" w:rsidTr="00834FB2">
        <w:tblPrEx>
          <w:shd w:val="clear" w:color="auto" w:fill="auto"/>
          <w:tblLook w:val="04A0" w:firstRow="1" w:lastRow="0" w:firstColumn="1" w:lastColumn="0" w:noHBand="0" w:noVBand="1"/>
        </w:tblPrEx>
        <w:trPr>
          <w:trHeight w:val="152"/>
        </w:trPr>
        <w:tc>
          <w:tcPr>
            <w:tcW w:w="1670" w:type="dxa"/>
            <w:tcBorders>
              <w:top w:val="single" w:sz="4" w:space="0" w:color="auto"/>
              <w:bottom w:val="single" w:sz="4" w:space="0" w:color="auto"/>
              <w:right w:val="single" w:sz="4" w:space="0" w:color="auto"/>
            </w:tcBorders>
          </w:tcPr>
          <w:p w14:paraId="359169F6" w14:textId="794933A2" w:rsidR="00834FB2" w:rsidRPr="006369C5" w:rsidRDefault="00834FB2" w:rsidP="00834FB2">
            <w:pPr>
              <w:pageBreakBefore/>
              <w:tabs>
                <w:tab w:val="left" w:pos="709"/>
              </w:tabs>
              <w:spacing w:before="60" w:after="60"/>
              <w:rPr>
                <w:rFonts w:ascii="Arial" w:hAnsi="Arial"/>
                <w:color w:val="000000"/>
                <w:sz w:val="16"/>
                <w:szCs w:val="16"/>
              </w:rPr>
            </w:pPr>
            <w:r w:rsidRPr="006369C5">
              <w:rPr>
                <w:rFonts w:ascii="Arial" w:hAnsi="Arial"/>
                <w:b/>
                <w:color w:val="000000"/>
                <w:sz w:val="16"/>
                <w:szCs w:val="16"/>
              </w:rPr>
              <w:lastRenderedPageBreak/>
              <w:t>Year</w:t>
            </w:r>
          </w:p>
        </w:tc>
        <w:tc>
          <w:tcPr>
            <w:tcW w:w="2882" w:type="dxa"/>
            <w:tcBorders>
              <w:top w:val="single" w:sz="4" w:space="0" w:color="auto"/>
              <w:left w:val="single" w:sz="4" w:space="0" w:color="auto"/>
              <w:bottom w:val="single" w:sz="4" w:space="0" w:color="auto"/>
              <w:right w:val="single" w:sz="4" w:space="0" w:color="auto"/>
            </w:tcBorders>
          </w:tcPr>
          <w:p w14:paraId="269ACFFF" w14:textId="084EBCC0" w:rsidR="00834FB2" w:rsidRPr="00B37670" w:rsidRDefault="00834FB2" w:rsidP="00834FB2">
            <w:pPr>
              <w:tabs>
                <w:tab w:val="left" w:pos="709"/>
              </w:tabs>
              <w:spacing w:before="60" w:after="60"/>
              <w:rPr>
                <w:rFonts w:ascii="Arial" w:hAnsi="Arial"/>
                <w:sz w:val="16"/>
                <w:szCs w:val="16"/>
                <w:lang w:val="en-AU"/>
              </w:rPr>
            </w:pPr>
            <w:r w:rsidRPr="006369C5">
              <w:rPr>
                <w:rFonts w:ascii="Arial" w:hAnsi="Arial"/>
                <w:b/>
                <w:color w:val="000000"/>
                <w:sz w:val="16"/>
                <w:szCs w:val="16"/>
              </w:rPr>
              <w:t>Performance measures</w:t>
            </w:r>
          </w:p>
        </w:tc>
        <w:tc>
          <w:tcPr>
            <w:tcW w:w="3058" w:type="dxa"/>
            <w:tcBorders>
              <w:top w:val="single" w:sz="4" w:space="0" w:color="auto"/>
              <w:left w:val="single" w:sz="4" w:space="0" w:color="auto"/>
              <w:bottom w:val="single" w:sz="4" w:space="0" w:color="auto"/>
            </w:tcBorders>
          </w:tcPr>
          <w:p w14:paraId="1C2A2402" w14:textId="4FABBEA2" w:rsidR="00834FB2" w:rsidRPr="00CC337B" w:rsidRDefault="00834FB2" w:rsidP="00834FB2">
            <w:pPr>
              <w:spacing w:before="60" w:after="60"/>
              <w:rPr>
                <w:rFonts w:ascii="Arial" w:hAnsi="Arial"/>
                <w:sz w:val="16"/>
                <w:szCs w:val="16"/>
                <w:lang w:val="en-AU"/>
              </w:rPr>
            </w:pPr>
            <w:r w:rsidRPr="006369C5">
              <w:rPr>
                <w:rFonts w:ascii="Arial" w:hAnsi="Arial"/>
                <w:b/>
                <w:color w:val="000000"/>
                <w:sz w:val="16"/>
                <w:szCs w:val="16"/>
              </w:rPr>
              <w:t>Expected Performance Results</w:t>
            </w:r>
          </w:p>
        </w:tc>
      </w:tr>
      <w:tr w:rsidR="00834FB2" w:rsidRPr="006369C5" w14:paraId="1CC45985" w14:textId="77777777" w:rsidTr="00C5782C">
        <w:tblPrEx>
          <w:shd w:val="clear" w:color="auto" w:fill="auto"/>
          <w:tblLook w:val="04A0" w:firstRow="1" w:lastRow="0" w:firstColumn="1" w:lastColumn="0" w:noHBand="0" w:noVBand="1"/>
        </w:tblPrEx>
        <w:trPr>
          <w:trHeight w:val="152"/>
        </w:trPr>
        <w:tc>
          <w:tcPr>
            <w:tcW w:w="1670" w:type="dxa"/>
            <w:vMerge w:val="restart"/>
            <w:tcBorders>
              <w:top w:val="single" w:sz="4" w:space="0" w:color="auto"/>
              <w:right w:val="single" w:sz="4" w:space="0" w:color="auto"/>
            </w:tcBorders>
          </w:tcPr>
          <w:p w14:paraId="42FB41C1" w14:textId="77777777" w:rsidR="00834FB2" w:rsidRPr="006369C5" w:rsidRDefault="00834FB2" w:rsidP="00834FB2">
            <w:pPr>
              <w:tabs>
                <w:tab w:val="left" w:pos="709"/>
              </w:tabs>
              <w:spacing w:before="0" w:after="0"/>
              <w:rPr>
                <w:rFonts w:ascii="Arial" w:hAnsi="Arial"/>
                <w:color w:val="000000"/>
                <w:sz w:val="16"/>
                <w:szCs w:val="16"/>
              </w:rPr>
            </w:pPr>
            <w:r w:rsidRPr="006369C5">
              <w:rPr>
                <w:rFonts w:ascii="Arial" w:hAnsi="Arial"/>
                <w:color w:val="000000"/>
                <w:sz w:val="16"/>
                <w:szCs w:val="16"/>
              </w:rPr>
              <w:t>Current Year</w:t>
            </w:r>
          </w:p>
          <w:p w14:paraId="32AE642F" w14:textId="3C165F95" w:rsidR="00834FB2" w:rsidRPr="006369C5" w:rsidRDefault="00834FB2" w:rsidP="00834FB2">
            <w:pPr>
              <w:tabs>
                <w:tab w:val="left" w:pos="709"/>
              </w:tabs>
              <w:spacing w:before="60" w:after="60"/>
              <w:rPr>
                <w:rFonts w:ascii="Arial" w:hAnsi="Arial"/>
                <w:color w:val="000000"/>
                <w:sz w:val="16"/>
                <w:szCs w:val="16"/>
              </w:rPr>
            </w:pPr>
            <w:r w:rsidRPr="006369C5">
              <w:rPr>
                <w:rFonts w:ascii="Arial" w:hAnsi="Arial"/>
                <w:color w:val="000000"/>
                <w:sz w:val="16"/>
                <w:szCs w:val="16"/>
              </w:rPr>
              <w:t>2024-25</w:t>
            </w:r>
            <w:r>
              <w:rPr>
                <w:rFonts w:ascii="Arial" w:hAnsi="Arial"/>
                <w:color w:val="000000"/>
                <w:sz w:val="16"/>
                <w:szCs w:val="16"/>
              </w:rPr>
              <w:t xml:space="preserve"> </w:t>
            </w:r>
            <w:r w:rsidRPr="006369C5">
              <w:rPr>
                <w:rFonts w:ascii="Arial" w:hAnsi="Arial"/>
                <w:color w:val="000000"/>
                <w:sz w:val="16"/>
                <w:szCs w:val="16"/>
                <w:vertAlign w:val="superscript"/>
              </w:rPr>
              <w:t>[a]</w:t>
            </w:r>
          </w:p>
        </w:tc>
        <w:tc>
          <w:tcPr>
            <w:tcW w:w="2882" w:type="dxa"/>
            <w:tcBorders>
              <w:top w:val="single" w:sz="4" w:space="0" w:color="auto"/>
              <w:left w:val="single" w:sz="4" w:space="0" w:color="auto"/>
              <w:bottom w:val="dotted" w:sz="4" w:space="0" w:color="auto"/>
              <w:right w:val="single" w:sz="4" w:space="0" w:color="auto"/>
            </w:tcBorders>
          </w:tcPr>
          <w:p w14:paraId="674621C2" w14:textId="77777777" w:rsidR="00834FB2" w:rsidRPr="00B37670" w:rsidRDefault="00834FB2" w:rsidP="00834FB2">
            <w:pPr>
              <w:tabs>
                <w:tab w:val="left" w:pos="709"/>
              </w:tabs>
              <w:spacing w:before="60" w:after="60"/>
              <w:rPr>
                <w:rFonts w:ascii="Arial" w:hAnsi="Arial"/>
                <w:sz w:val="16"/>
                <w:szCs w:val="16"/>
                <w:lang w:val="en-AU"/>
              </w:rPr>
            </w:pPr>
            <w:r w:rsidRPr="00B37670">
              <w:rPr>
                <w:rFonts w:ascii="Arial" w:hAnsi="Arial"/>
                <w:sz w:val="16"/>
                <w:szCs w:val="16"/>
                <w:lang w:val="en-AU"/>
              </w:rPr>
              <w:t>4.3: The Defence Values and Behaviours enable our people to deliver Australia’s National Defence.</w:t>
            </w:r>
          </w:p>
        </w:tc>
        <w:tc>
          <w:tcPr>
            <w:tcW w:w="3058" w:type="dxa"/>
            <w:tcBorders>
              <w:top w:val="single" w:sz="4" w:space="0" w:color="auto"/>
              <w:left w:val="single" w:sz="4" w:space="0" w:color="auto"/>
              <w:bottom w:val="dotted" w:sz="4" w:space="0" w:color="auto"/>
            </w:tcBorders>
          </w:tcPr>
          <w:p w14:paraId="5EDBD7EB" w14:textId="395F4D10" w:rsidR="00834FB2" w:rsidRPr="00CC337B" w:rsidRDefault="00834FB2" w:rsidP="00834FB2">
            <w:pPr>
              <w:tabs>
                <w:tab w:val="left" w:pos="709"/>
              </w:tabs>
              <w:spacing w:before="60" w:after="60"/>
              <w:rPr>
                <w:rFonts w:ascii="Arial" w:hAnsi="Arial"/>
                <w:sz w:val="16"/>
                <w:szCs w:val="16"/>
                <w:lang w:val="en-AU"/>
              </w:rPr>
            </w:pPr>
            <w:r w:rsidRPr="00CC337B">
              <w:rPr>
                <w:rFonts w:ascii="Arial" w:hAnsi="Arial"/>
                <w:sz w:val="16"/>
                <w:szCs w:val="16"/>
                <w:lang w:val="en-AU"/>
              </w:rPr>
              <w:t>The proportion of ADF and Defence APS personnel that believe appropriate action will be taken if they report an incident of unacceptable behaviour has increased in the last 12 months, the proportion of ADF and Defence APS personnel who have experienced any unacceptable behaviour in the workplace has decreased in the last 12</w:t>
            </w:r>
            <w:r w:rsidR="00AD3193">
              <w:rPr>
                <w:rFonts w:ascii="Arial" w:hAnsi="Arial"/>
                <w:sz w:val="16"/>
                <w:szCs w:val="16"/>
                <w:lang w:val="en-AU"/>
              </w:rPr>
              <w:t> </w:t>
            </w:r>
            <w:r w:rsidRPr="00CC337B">
              <w:rPr>
                <w:rFonts w:ascii="Arial" w:hAnsi="Arial"/>
                <w:sz w:val="16"/>
                <w:szCs w:val="16"/>
                <w:lang w:val="en-AU"/>
              </w:rPr>
              <w:t xml:space="preserve">months, and proportion of ADF and Defence APS personnel who are of the view that Defence Values are being used in their work area has increased in the last 12 months. </w:t>
            </w:r>
          </w:p>
          <w:p w14:paraId="31942E63" w14:textId="5A4046BA" w:rsidR="00834FB2" w:rsidRPr="00CC337B" w:rsidRDefault="00834FB2" w:rsidP="0093219B">
            <w:pPr>
              <w:spacing w:before="0" w:after="60"/>
              <w:jc w:val="right"/>
              <w:rPr>
                <w:rFonts w:ascii="Arial" w:hAnsi="Arial"/>
                <w:sz w:val="16"/>
                <w:szCs w:val="16"/>
                <w:lang w:val="en-AU"/>
              </w:rPr>
            </w:pPr>
            <w:r w:rsidRPr="00CC337B">
              <w:rPr>
                <w:rFonts w:ascii="Arial" w:hAnsi="Arial"/>
                <w:i/>
                <w:sz w:val="16"/>
                <w:szCs w:val="16"/>
                <w:lang w:val="en-AU"/>
              </w:rPr>
              <w:t>Expected to be substantially achieved.</w:t>
            </w:r>
          </w:p>
        </w:tc>
      </w:tr>
      <w:tr w:rsidR="00834FB2" w:rsidRPr="006369C5" w14:paraId="5872A00F" w14:textId="77777777" w:rsidTr="000738A0">
        <w:tblPrEx>
          <w:shd w:val="clear" w:color="auto" w:fill="auto"/>
          <w:tblLook w:val="04A0" w:firstRow="1" w:lastRow="0" w:firstColumn="1" w:lastColumn="0" w:noHBand="0" w:noVBand="1"/>
        </w:tblPrEx>
        <w:trPr>
          <w:trHeight w:val="152"/>
        </w:trPr>
        <w:tc>
          <w:tcPr>
            <w:tcW w:w="1670" w:type="dxa"/>
            <w:vMerge/>
            <w:tcBorders>
              <w:bottom w:val="single" w:sz="4" w:space="0" w:color="auto"/>
              <w:right w:val="single" w:sz="4" w:space="0" w:color="auto"/>
            </w:tcBorders>
          </w:tcPr>
          <w:p w14:paraId="33AAF6B8" w14:textId="6AA1BBB8" w:rsidR="00834FB2" w:rsidRPr="006369C5" w:rsidRDefault="00834FB2" w:rsidP="00B37670">
            <w:pPr>
              <w:tabs>
                <w:tab w:val="left" w:pos="709"/>
              </w:tabs>
              <w:spacing w:before="60" w:after="60"/>
              <w:rPr>
                <w:rFonts w:ascii="Arial" w:hAnsi="Arial"/>
                <w:color w:val="000000"/>
                <w:sz w:val="16"/>
                <w:szCs w:val="16"/>
              </w:rPr>
            </w:pPr>
          </w:p>
        </w:tc>
        <w:tc>
          <w:tcPr>
            <w:tcW w:w="2882" w:type="dxa"/>
            <w:tcBorders>
              <w:top w:val="dotted" w:sz="4" w:space="0" w:color="auto"/>
              <w:left w:val="single" w:sz="4" w:space="0" w:color="auto"/>
              <w:bottom w:val="single" w:sz="4" w:space="0" w:color="auto"/>
              <w:right w:val="single" w:sz="4" w:space="0" w:color="auto"/>
            </w:tcBorders>
          </w:tcPr>
          <w:p w14:paraId="40C7BB8C" w14:textId="77777777" w:rsidR="00834FB2" w:rsidRPr="006369C5" w:rsidRDefault="00834FB2" w:rsidP="00B37670">
            <w:pPr>
              <w:tabs>
                <w:tab w:val="left" w:pos="709"/>
              </w:tabs>
              <w:spacing w:before="60" w:after="60"/>
              <w:rPr>
                <w:rFonts w:ascii="Arial" w:hAnsi="Arial"/>
                <w:sz w:val="16"/>
                <w:szCs w:val="16"/>
                <w:lang w:val="en-AU"/>
              </w:rPr>
            </w:pPr>
            <w:r w:rsidRPr="006369C5">
              <w:rPr>
                <w:rFonts w:ascii="Arial" w:hAnsi="Arial"/>
                <w:sz w:val="16"/>
                <w:szCs w:val="16"/>
                <w:lang w:val="en-AU"/>
              </w:rPr>
              <w:t>4.4: Defence supports ADF members and their families by providing access to support services and programs having regard to lifetime wellbeing.</w:t>
            </w:r>
          </w:p>
        </w:tc>
        <w:tc>
          <w:tcPr>
            <w:tcW w:w="3058" w:type="dxa"/>
            <w:tcBorders>
              <w:top w:val="dotted" w:sz="4" w:space="0" w:color="auto"/>
              <w:left w:val="single" w:sz="4" w:space="0" w:color="auto"/>
              <w:bottom w:val="single" w:sz="4" w:space="0" w:color="auto"/>
            </w:tcBorders>
          </w:tcPr>
          <w:p w14:paraId="4425F1F9" w14:textId="2B9C07BD" w:rsidR="00834FB2" w:rsidRPr="00834FB2" w:rsidRDefault="00834FB2" w:rsidP="008E0817">
            <w:pPr>
              <w:tabs>
                <w:tab w:val="left" w:pos="709"/>
              </w:tabs>
              <w:spacing w:before="60" w:after="60"/>
              <w:rPr>
                <w:rFonts w:ascii="Arial" w:hAnsi="Arial"/>
                <w:sz w:val="16"/>
                <w:szCs w:val="16"/>
                <w:lang w:val="en-AU"/>
              </w:rPr>
            </w:pPr>
            <w:r w:rsidRPr="00834FB2">
              <w:rPr>
                <w:rFonts w:ascii="Arial" w:hAnsi="Arial"/>
                <w:sz w:val="16"/>
                <w:szCs w:val="16"/>
                <w:lang w:val="en-AU"/>
              </w:rPr>
              <w:t>At least 75 per cent of eligible permanent ADF members and their families are registered with the ADF Family Health Program; 100 per cent of support services and programs are provided to permanent ADF and their families in accordance with identified service delivery timeframes; and 100 per cent of Defence-led, Government-agreed recommendations from the Royal Commission into Defence and Veteran Suicide Final Report which are on the Forward Work Plan for the Program Board in 2024-25, have approved Reform Management Plans by 30 June 2025.</w:t>
            </w:r>
          </w:p>
          <w:p w14:paraId="5357555D" w14:textId="7EC0C707" w:rsidR="00834FB2" w:rsidRPr="006369C5" w:rsidRDefault="00834FB2" w:rsidP="008E0817">
            <w:pPr>
              <w:tabs>
                <w:tab w:val="left" w:pos="709"/>
              </w:tabs>
              <w:spacing w:before="60" w:after="60"/>
              <w:jc w:val="right"/>
              <w:rPr>
                <w:rFonts w:ascii="Arial" w:hAnsi="Arial"/>
                <w:i/>
                <w:sz w:val="16"/>
                <w:szCs w:val="16"/>
                <w:lang w:val="en-AU"/>
              </w:rPr>
            </w:pPr>
            <w:r w:rsidRPr="00834FB2">
              <w:rPr>
                <w:rFonts w:ascii="Arial" w:hAnsi="Arial"/>
                <w:i/>
                <w:sz w:val="16"/>
                <w:szCs w:val="16"/>
                <w:lang w:val="en-AU"/>
              </w:rPr>
              <w:t>Expected to be partially achieved</w:t>
            </w:r>
            <w:r w:rsidRPr="00D162CC">
              <w:rPr>
                <w:rFonts w:ascii="Arial" w:hAnsi="Arial"/>
                <w:i/>
                <w:sz w:val="16"/>
                <w:szCs w:val="16"/>
                <w:lang w:val="en-AU"/>
              </w:rPr>
              <w:t>.</w:t>
            </w:r>
          </w:p>
        </w:tc>
      </w:tr>
      <w:tr w:rsidR="00900FC6" w:rsidRPr="006369C5" w14:paraId="76015C4B" w14:textId="77777777" w:rsidTr="000738A0">
        <w:tblPrEx>
          <w:shd w:val="clear" w:color="auto" w:fill="auto"/>
          <w:tblLook w:val="04A0" w:firstRow="1" w:lastRow="0" w:firstColumn="1" w:lastColumn="0" w:noHBand="0" w:noVBand="1"/>
        </w:tblPrEx>
        <w:trPr>
          <w:trHeight w:val="258"/>
        </w:trPr>
        <w:tc>
          <w:tcPr>
            <w:tcW w:w="1670" w:type="dxa"/>
            <w:tcBorders>
              <w:top w:val="single" w:sz="4" w:space="0" w:color="auto"/>
              <w:bottom w:val="single" w:sz="4" w:space="0" w:color="auto"/>
              <w:right w:val="single" w:sz="4" w:space="0" w:color="auto"/>
            </w:tcBorders>
          </w:tcPr>
          <w:p w14:paraId="40734008" w14:textId="77777777" w:rsidR="00900FC6" w:rsidRPr="006369C5" w:rsidRDefault="00900FC6" w:rsidP="00B66E97">
            <w:pPr>
              <w:keepNext/>
              <w:keepLines/>
              <w:tabs>
                <w:tab w:val="left" w:pos="709"/>
              </w:tabs>
              <w:spacing w:before="40" w:after="40"/>
              <w:rPr>
                <w:rFonts w:ascii="Arial" w:hAnsi="Arial"/>
                <w:b/>
                <w:color w:val="000000"/>
                <w:sz w:val="16"/>
                <w:szCs w:val="16"/>
              </w:rPr>
            </w:pPr>
            <w:r w:rsidRPr="006369C5">
              <w:rPr>
                <w:rFonts w:ascii="Arial" w:hAnsi="Arial"/>
                <w:b/>
                <w:color w:val="000000"/>
                <w:sz w:val="16"/>
                <w:szCs w:val="16"/>
              </w:rPr>
              <w:t>Year</w:t>
            </w:r>
          </w:p>
        </w:tc>
        <w:tc>
          <w:tcPr>
            <w:tcW w:w="2882" w:type="dxa"/>
            <w:tcBorders>
              <w:top w:val="single" w:sz="4" w:space="0" w:color="auto"/>
              <w:left w:val="single" w:sz="4" w:space="0" w:color="auto"/>
              <w:bottom w:val="single" w:sz="4" w:space="0" w:color="auto"/>
              <w:right w:val="single" w:sz="4" w:space="0" w:color="auto"/>
            </w:tcBorders>
          </w:tcPr>
          <w:p w14:paraId="206C51EB" w14:textId="77777777" w:rsidR="00900FC6" w:rsidRPr="006369C5" w:rsidRDefault="00900FC6" w:rsidP="00900FC6">
            <w:pPr>
              <w:tabs>
                <w:tab w:val="left" w:pos="709"/>
                <w:tab w:val="center" w:pos="1818"/>
              </w:tabs>
              <w:spacing w:before="40" w:after="40"/>
              <w:rPr>
                <w:rFonts w:ascii="Arial" w:hAnsi="Arial"/>
                <w:b/>
                <w:color w:val="000000"/>
                <w:sz w:val="16"/>
                <w:szCs w:val="16"/>
              </w:rPr>
            </w:pPr>
            <w:r w:rsidRPr="006369C5">
              <w:rPr>
                <w:rFonts w:ascii="Arial" w:hAnsi="Arial"/>
                <w:b/>
                <w:color w:val="000000"/>
                <w:sz w:val="16"/>
                <w:szCs w:val="16"/>
              </w:rPr>
              <w:t>Performance measures</w:t>
            </w:r>
          </w:p>
        </w:tc>
        <w:tc>
          <w:tcPr>
            <w:tcW w:w="3058" w:type="dxa"/>
            <w:tcBorders>
              <w:top w:val="single" w:sz="4" w:space="0" w:color="auto"/>
              <w:left w:val="single" w:sz="4" w:space="0" w:color="auto"/>
              <w:bottom w:val="single" w:sz="4" w:space="0" w:color="auto"/>
            </w:tcBorders>
          </w:tcPr>
          <w:p w14:paraId="768F6422" w14:textId="77777777" w:rsidR="00900FC6" w:rsidRPr="006369C5" w:rsidRDefault="00900FC6" w:rsidP="00900FC6">
            <w:pPr>
              <w:tabs>
                <w:tab w:val="left" w:pos="709"/>
              </w:tabs>
              <w:spacing w:before="40" w:after="40"/>
              <w:rPr>
                <w:rFonts w:ascii="Arial" w:hAnsi="Arial"/>
                <w:b/>
                <w:color w:val="000000"/>
                <w:sz w:val="16"/>
                <w:szCs w:val="16"/>
              </w:rPr>
            </w:pPr>
            <w:r w:rsidRPr="006369C5">
              <w:rPr>
                <w:rFonts w:ascii="Arial" w:hAnsi="Arial"/>
                <w:b/>
                <w:color w:val="000000"/>
                <w:sz w:val="16"/>
                <w:szCs w:val="16"/>
              </w:rPr>
              <w:t>Planned Performance Results</w:t>
            </w:r>
          </w:p>
        </w:tc>
      </w:tr>
      <w:tr w:rsidR="00834FB2" w:rsidRPr="006369C5" w14:paraId="30C904C9" w14:textId="77777777" w:rsidTr="00834FB2">
        <w:tblPrEx>
          <w:shd w:val="clear" w:color="auto" w:fill="auto"/>
          <w:tblLook w:val="04A0" w:firstRow="1" w:lastRow="0" w:firstColumn="1" w:lastColumn="0" w:noHBand="0" w:noVBand="1"/>
        </w:tblPrEx>
        <w:trPr>
          <w:trHeight w:val="603"/>
        </w:trPr>
        <w:tc>
          <w:tcPr>
            <w:tcW w:w="1670" w:type="dxa"/>
            <w:vMerge w:val="restart"/>
            <w:tcBorders>
              <w:top w:val="single" w:sz="4" w:space="0" w:color="auto"/>
              <w:right w:val="single" w:sz="4" w:space="0" w:color="auto"/>
            </w:tcBorders>
          </w:tcPr>
          <w:p w14:paraId="2D3E9179" w14:textId="77777777" w:rsidR="00834FB2" w:rsidRPr="00B37670" w:rsidRDefault="00834FB2" w:rsidP="00321534">
            <w:pPr>
              <w:tabs>
                <w:tab w:val="left" w:pos="709"/>
              </w:tabs>
              <w:spacing w:before="0" w:after="0"/>
              <w:rPr>
                <w:rFonts w:ascii="Arial" w:hAnsi="Arial"/>
                <w:color w:val="000000"/>
                <w:sz w:val="16"/>
                <w:szCs w:val="16"/>
              </w:rPr>
            </w:pPr>
            <w:r w:rsidRPr="00B37670">
              <w:rPr>
                <w:rFonts w:ascii="Arial" w:hAnsi="Arial"/>
                <w:color w:val="000000"/>
                <w:sz w:val="16"/>
                <w:szCs w:val="16"/>
              </w:rPr>
              <w:t>Budget Year</w:t>
            </w:r>
          </w:p>
          <w:p w14:paraId="545F9BE8" w14:textId="77777777" w:rsidR="00834FB2" w:rsidRPr="00B37670" w:rsidRDefault="00834FB2" w:rsidP="00321534">
            <w:pPr>
              <w:tabs>
                <w:tab w:val="left" w:pos="709"/>
              </w:tabs>
              <w:spacing w:before="0" w:after="0"/>
              <w:rPr>
                <w:rFonts w:ascii="Arial" w:hAnsi="Arial"/>
                <w:color w:val="000000"/>
                <w:sz w:val="16"/>
                <w:szCs w:val="16"/>
              </w:rPr>
            </w:pPr>
            <w:r w:rsidRPr="00B37670">
              <w:rPr>
                <w:rFonts w:ascii="Arial" w:hAnsi="Arial"/>
                <w:color w:val="000000"/>
                <w:sz w:val="16"/>
                <w:szCs w:val="16"/>
              </w:rPr>
              <w:t xml:space="preserve">2025-26 </w:t>
            </w:r>
            <w:r w:rsidRPr="00B37670">
              <w:rPr>
                <w:rFonts w:ascii="Arial" w:hAnsi="Arial"/>
                <w:color w:val="000000"/>
                <w:sz w:val="16"/>
                <w:szCs w:val="16"/>
                <w:vertAlign w:val="superscript"/>
              </w:rPr>
              <w:t>[b]</w:t>
            </w:r>
          </w:p>
        </w:tc>
        <w:tc>
          <w:tcPr>
            <w:tcW w:w="2882" w:type="dxa"/>
            <w:tcBorders>
              <w:top w:val="single" w:sz="4" w:space="0" w:color="auto"/>
              <w:left w:val="single" w:sz="4" w:space="0" w:color="auto"/>
              <w:bottom w:val="dotted" w:sz="4" w:space="0" w:color="auto"/>
              <w:right w:val="single" w:sz="4" w:space="0" w:color="auto"/>
            </w:tcBorders>
          </w:tcPr>
          <w:p w14:paraId="72ED0206" w14:textId="6CD32F36" w:rsidR="00834FB2" w:rsidRPr="00B37670" w:rsidRDefault="00834FB2" w:rsidP="00321534">
            <w:pPr>
              <w:tabs>
                <w:tab w:val="left" w:pos="709"/>
              </w:tabs>
              <w:spacing w:before="60" w:after="60"/>
              <w:rPr>
                <w:rFonts w:ascii="Arial" w:hAnsi="Arial"/>
                <w:color w:val="000000"/>
                <w:sz w:val="16"/>
                <w:szCs w:val="16"/>
              </w:rPr>
            </w:pPr>
            <w:r w:rsidRPr="00B37670">
              <w:rPr>
                <w:rFonts w:ascii="Arial" w:hAnsi="Arial"/>
                <w:sz w:val="16"/>
                <w:szCs w:val="16"/>
                <w:lang w:val="en-AU"/>
              </w:rPr>
              <w:t>1.1: Defence maintains ready forces, plans and conducts operations, activities and investments as directed by Government to achieve Defence’s strategic objectives.</w:t>
            </w:r>
          </w:p>
        </w:tc>
        <w:tc>
          <w:tcPr>
            <w:tcW w:w="3058" w:type="dxa"/>
            <w:tcBorders>
              <w:top w:val="single" w:sz="4" w:space="0" w:color="auto"/>
              <w:left w:val="single" w:sz="4" w:space="0" w:color="auto"/>
              <w:bottom w:val="dotted" w:sz="4" w:space="0" w:color="auto"/>
            </w:tcBorders>
          </w:tcPr>
          <w:p w14:paraId="09738BDB" w14:textId="77777777" w:rsidR="00834FB2" w:rsidRPr="00DA6484" w:rsidRDefault="00834FB2" w:rsidP="00321534">
            <w:pPr>
              <w:spacing w:before="60" w:after="60"/>
              <w:rPr>
                <w:rFonts w:ascii="Arial" w:hAnsi="Arial"/>
                <w:color w:val="000000"/>
                <w:sz w:val="16"/>
                <w:szCs w:val="16"/>
              </w:rPr>
            </w:pPr>
            <w:r w:rsidRPr="00DA6484">
              <w:rPr>
                <w:rFonts w:ascii="Arial" w:hAnsi="Arial"/>
                <w:sz w:val="16"/>
                <w:szCs w:val="16"/>
                <w:lang w:val="en-AU"/>
              </w:rPr>
              <w:t xml:space="preserve">Defence responds to Australian Government requirements and conducts operations as </w:t>
            </w:r>
            <w:r>
              <w:rPr>
                <w:rFonts w:ascii="Arial" w:hAnsi="Arial"/>
                <w:sz w:val="16"/>
                <w:szCs w:val="16"/>
                <w:lang w:val="en-AU"/>
              </w:rPr>
              <w:t xml:space="preserve">directed. This will change year </w:t>
            </w:r>
            <w:r w:rsidRPr="00DA6484">
              <w:rPr>
                <w:rFonts w:ascii="Arial" w:hAnsi="Arial"/>
                <w:sz w:val="16"/>
                <w:szCs w:val="16"/>
                <w:lang w:val="en-AU"/>
              </w:rPr>
              <w:t>on</w:t>
            </w:r>
            <w:r>
              <w:rPr>
                <w:rFonts w:ascii="Arial" w:hAnsi="Arial"/>
                <w:sz w:val="16"/>
                <w:szCs w:val="16"/>
                <w:lang w:val="en-AU"/>
              </w:rPr>
              <w:t xml:space="preserve"> </w:t>
            </w:r>
            <w:r w:rsidRPr="00DA6484">
              <w:rPr>
                <w:rFonts w:ascii="Arial" w:hAnsi="Arial"/>
                <w:sz w:val="16"/>
                <w:szCs w:val="16"/>
                <w:lang w:val="en-AU"/>
              </w:rPr>
              <w:t>year.</w:t>
            </w:r>
          </w:p>
        </w:tc>
      </w:tr>
      <w:tr w:rsidR="00834FB2" w:rsidRPr="006369C5" w14:paraId="74F8A2BC" w14:textId="77777777" w:rsidTr="00834FB2">
        <w:tblPrEx>
          <w:shd w:val="clear" w:color="auto" w:fill="auto"/>
          <w:tblLook w:val="04A0" w:firstRow="1" w:lastRow="0" w:firstColumn="1" w:lastColumn="0" w:noHBand="0" w:noVBand="1"/>
        </w:tblPrEx>
        <w:trPr>
          <w:trHeight w:val="603"/>
        </w:trPr>
        <w:tc>
          <w:tcPr>
            <w:tcW w:w="1670" w:type="dxa"/>
            <w:vMerge/>
            <w:tcBorders>
              <w:right w:val="single" w:sz="4" w:space="0" w:color="auto"/>
            </w:tcBorders>
          </w:tcPr>
          <w:p w14:paraId="2AC95DA6" w14:textId="77777777" w:rsidR="00834FB2" w:rsidRPr="006369C5" w:rsidRDefault="00834FB2" w:rsidP="00321534">
            <w:pPr>
              <w:tabs>
                <w:tab w:val="left" w:pos="709"/>
              </w:tabs>
              <w:spacing w:before="60" w:after="60"/>
              <w:rPr>
                <w:rFonts w:ascii="Arial" w:hAnsi="Arial"/>
                <w:color w:val="000000"/>
                <w:sz w:val="16"/>
                <w:szCs w:val="16"/>
              </w:rPr>
            </w:pPr>
          </w:p>
        </w:tc>
        <w:tc>
          <w:tcPr>
            <w:tcW w:w="2882" w:type="dxa"/>
            <w:tcBorders>
              <w:top w:val="dotted" w:sz="4" w:space="0" w:color="auto"/>
              <w:left w:val="single" w:sz="4" w:space="0" w:color="auto"/>
              <w:bottom w:val="dotted" w:sz="4" w:space="0" w:color="auto"/>
              <w:right w:val="single" w:sz="4" w:space="0" w:color="auto"/>
            </w:tcBorders>
          </w:tcPr>
          <w:p w14:paraId="0A1A7FDA" w14:textId="77777777" w:rsidR="00834FB2" w:rsidRPr="00DA6484" w:rsidRDefault="00834FB2" w:rsidP="00321534">
            <w:pPr>
              <w:tabs>
                <w:tab w:val="left" w:pos="709"/>
              </w:tabs>
              <w:spacing w:before="60" w:after="60"/>
              <w:rPr>
                <w:rFonts w:ascii="Arial" w:hAnsi="Arial"/>
                <w:color w:val="000000"/>
                <w:sz w:val="16"/>
                <w:szCs w:val="16"/>
              </w:rPr>
            </w:pPr>
            <w:r w:rsidRPr="00DA6484">
              <w:rPr>
                <w:rFonts w:ascii="Arial" w:hAnsi="Arial"/>
                <w:sz w:val="16"/>
                <w:szCs w:val="16"/>
                <w:lang w:val="en-AU"/>
              </w:rPr>
              <w:t>1.2: Defence commits ADF and/or APS assistance to domestic crisis and emergency response, as directed by Government.</w:t>
            </w:r>
          </w:p>
        </w:tc>
        <w:tc>
          <w:tcPr>
            <w:tcW w:w="3058" w:type="dxa"/>
            <w:tcBorders>
              <w:top w:val="dotted" w:sz="4" w:space="0" w:color="auto"/>
              <w:left w:val="single" w:sz="4" w:space="0" w:color="auto"/>
              <w:bottom w:val="dotted" w:sz="4" w:space="0" w:color="auto"/>
            </w:tcBorders>
          </w:tcPr>
          <w:p w14:paraId="35A779CE" w14:textId="77777777" w:rsidR="00834FB2" w:rsidRPr="00DA6484" w:rsidRDefault="00834FB2" w:rsidP="00321534">
            <w:pPr>
              <w:tabs>
                <w:tab w:val="left" w:pos="709"/>
              </w:tabs>
              <w:spacing w:before="60" w:after="60"/>
              <w:rPr>
                <w:rFonts w:ascii="Arial" w:hAnsi="Arial"/>
                <w:color w:val="000000"/>
                <w:sz w:val="16"/>
                <w:szCs w:val="16"/>
              </w:rPr>
            </w:pPr>
            <w:r w:rsidRPr="00DA6484">
              <w:rPr>
                <w:rFonts w:ascii="Arial" w:hAnsi="Arial"/>
                <w:sz w:val="16"/>
                <w:szCs w:val="16"/>
                <w:lang w:val="en-AU"/>
              </w:rPr>
              <w:t>Defence responds to Australian Government direction as required. This will change year</w:t>
            </w:r>
            <w:r>
              <w:rPr>
                <w:rFonts w:ascii="Arial" w:hAnsi="Arial"/>
                <w:sz w:val="16"/>
                <w:szCs w:val="16"/>
                <w:lang w:val="en-AU"/>
              </w:rPr>
              <w:t xml:space="preserve"> on </w:t>
            </w:r>
            <w:r w:rsidRPr="00DA6484">
              <w:rPr>
                <w:rFonts w:ascii="Arial" w:hAnsi="Arial"/>
                <w:sz w:val="16"/>
                <w:szCs w:val="16"/>
                <w:lang w:val="en-AU"/>
              </w:rPr>
              <w:t>year.</w:t>
            </w:r>
          </w:p>
        </w:tc>
      </w:tr>
      <w:tr w:rsidR="00834FB2" w:rsidRPr="006369C5" w14:paraId="299FEB87" w14:textId="77777777" w:rsidTr="000738A0">
        <w:tblPrEx>
          <w:shd w:val="clear" w:color="auto" w:fill="auto"/>
          <w:tblLook w:val="04A0" w:firstRow="1" w:lastRow="0" w:firstColumn="1" w:lastColumn="0" w:noHBand="0" w:noVBand="1"/>
        </w:tblPrEx>
        <w:trPr>
          <w:trHeight w:val="603"/>
        </w:trPr>
        <w:tc>
          <w:tcPr>
            <w:tcW w:w="1670" w:type="dxa"/>
            <w:vMerge/>
            <w:tcBorders>
              <w:right w:val="single" w:sz="4" w:space="0" w:color="auto"/>
            </w:tcBorders>
          </w:tcPr>
          <w:p w14:paraId="0187EA68" w14:textId="77777777" w:rsidR="00834FB2" w:rsidRPr="006369C5" w:rsidRDefault="00834FB2" w:rsidP="00321534">
            <w:pPr>
              <w:tabs>
                <w:tab w:val="left" w:pos="709"/>
              </w:tabs>
              <w:spacing w:before="60" w:after="60"/>
              <w:rPr>
                <w:rFonts w:ascii="Arial" w:hAnsi="Arial"/>
                <w:color w:val="000000"/>
                <w:sz w:val="16"/>
                <w:szCs w:val="16"/>
              </w:rPr>
            </w:pPr>
          </w:p>
        </w:tc>
        <w:tc>
          <w:tcPr>
            <w:tcW w:w="2882" w:type="dxa"/>
            <w:tcBorders>
              <w:top w:val="dotted" w:sz="4" w:space="0" w:color="auto"/>
              <w:left w:val="single" w:sz="4" w:space="0" w:color="auto"/>
              <w:bottom w:val="dotted" w:sz="4" w:space="0" w:color="auto"/>
              <w:right w:val="single" w:sz="4" w:space="0" w:color="auto"/>
            </w:tcBorders>
          </w:tcPr>
          <w:p w14:paraId="56383EAB" w14:textId="77777777" w:rsidR="00834FB2" w:rsidRPr="00DA6484" w:rsidRDefault="00834FB2" w:rsidP="00321534">
            <w:pPr>
              <w:tabs>
                <w:tab w:val="left" w:pos="709"/>
              </w:tabs>
              <w:spacing w:before="60" w:after="60"/>
              <w:rPr>
                <w:rFonts w:ascii="Arial" w:hAnsi="Arial"/>
                <w:sz w:val="16"/>
                <w:szCs w:val="16"/>
                <w:lang w:val="en-AU"/>
              </w:rPr>
            </w:pPr>
            <w:r w:rsidRPr="00DA6484">
              <w:rPr>
                <w:rFonts w:ascii="Arial" w:hAnsi="Arial"/>
                <w:sz w:val="16"/>
                <w:szCs w:val="16"/>
                <w:lang w:val="en-AU"/>
              </w:rPr>
              <w:t>4.1: Defence recruits and retains an ADF and APS workforce to support the Defence mission.</w:t>
            </w:r>
          </w:p>
        </w:tc>
        <w:tc>
          <w:tcPr>
            <w:tcW w:w="3058" w:type="dxa"/>
            <w:tcBorders>
              <w:top w:val="dotted" w:sz="4" w:space="0" w:color="auto"/>
              <w:left w:val="single" w:sz="4" w:space="0" w:color="auto"/>
              <w:bottom w:val="dotted" w:sz="4" w:space="0" w:color="auto"/>
            </w:tcBorders>
          </w:tcPr>
          <w:p w14:paraId="46C90A60" w14:textId="678547C8" w:rsidR="00834FB2" w:rsidRPr="00834FB2" w:rsidRDefault="00834FB2" w:rsidP="00321534">
            <w:pPr>
              <w:tabs>
                <w:tab w:val="left" w:pos="709"/>
              </w:tabs>
              <w:spacing w:before="60" w:after="60"/>
              <w:rPr>
                <w:rFonts w:ascii="Arial" w:hAnsi="Arial"/>
                <w:sz w:val="16"/>
                <w:szCs w:val="16"/>
                <w:lang w:val="en-AU"/>
              </w:rPr>
            </w:pPr>
            <w:r w:rsidRPr="00834FB2">
              <w:rPr>
                <w:rFonts w:ascii="Arial" w:hAnsi="Arial"/>
                <w:sz w:val="16"/>
                <w:szCs w:val="16"/>
                <w:lang w:val="en-AU"/>
              </w:rPr>
              <w:t>Defence achieves the ADF and APS Budgeted Workforce Requirement as set out in the 2024 Defence Workforce Plan, and the net flow of the ADF and APS workforce over a 12 month period is trending positive and is positioning Defence to achieve the Budgeted Workforce Requirement over the forward estimates.</w:t>
            </w:r>
          </w:p>
        </w:tc>
      </w:tr>
      <w:tr w:rsidR="00834FB2" w:rsidRPr="006369C5" w14:paraId="36449F46" w14:textId="77777777" w:rsidTr="000738A0">
        <w:tblPrEx>
          <w:shd w:val="clear" w:color="auto" w:fill="auto"/>
          <w:tblLook w:val="04A0" w:firstRow="1" w:lastRow="0" w:firstColumn="1" w:lastColumn="0" w:noHBand="0" w:noVBand="1"/>
        </w:tblPrEx>
        <w:trPr>
          <w:trHeight w:val="603"/>
        </w:trPr>
        <w:tc>
          <w:tcPr>
            <w:tcW w:w="1670" w:type="dxa"/>
            <w:vMerge/>
            <w:tcBorders>
              <w:bottom w:val="single" w:sz="4" w:space="0" w:color="auto"/>
              <w:right w:val="single" w:sz="4" w:space="0" w:color="auto"/>
            </w:tcBorders>
          </w:tcPr>
          <w:p w14:paraId="771B6E09" w14:textId="77777777" w:rsidR="00834FB2" w:rsidRPr="006369C5" w:rsidRDefault="00834FB2" w:rsidP="00B37670">
            <w:pPr>
              <w:tabs>
                <w:tab w:val="left" w:pos="709"/>
              </w:tabs>
              <w:spacing w:before="60" w:after="60"/>
              <w:rPr>
                <w:rFonts w:ascii="Arial" w:hAnsi="Arial"/>
                <w:color w:val="000000"/>
                <w:sz w:val="16"/>
                <w:szCs w:val="16"/>
              </w:rPr>
            </w:pPr>
          </w:p>
        </w:tc>
        <w:tc>
          <w:tcPr>
            <w:tcW w:w="2882" w:type="dxa"/>
            <w:tcBorders>
              <w:top w:val="dotted" w:sz="4" w:space="0" w:color="auto"/>
              <w:left w:val="single" w:sz="4" w:space="0" w:color="auto"/>
              <w:bottom w:val="single" w:sz="4" w:space="0" w:color="auto"/>
              <w:right w:val="single" w:sz="4" w:space="0" w:color="auto"/>
            </w:tcBorders>
          </w:tcPr>
          <w:p w14:paraId="725940DC" w14:textId="7294B6D4" w:rsidR="00834FB2" w:rsidRPr="00B37670" w:rsidRDefault="00834FB2" w:rsidP="00B37670">
            <w:pPr>
              <w:tabs>
                <w:tab w:val="left" w:pos="709"/>
              </w:tabs>
              <w:spacing w:before="60" w:after="60"/>
              <w:rPr>
                <w:rFonts w:ascii="Arial" w:hAnsi="Arial"/>
                <w:sz w:val="16"/>
                <w:szCs w:val="16"/>
                <w:lang w:val="en-AU"/>
              </w:rPr>
            </w:pPr>
            <w:r w:rsidRPr="00B37670">
              <w:rPr>
                <w:rFonts w:ascii="Arial" w:hAnsi="Arial"/>
                <w:sz w:val="16"/>
                <w:szCs w:val="16"/>
                <w:lang w:val="en-AU"/>
              </w:rPr>
              <w:t>4.2: Defence grows the necessary skills and capabilities to enable the Defence mission.</w:t>
            </w:r>
          </w:p>
        </w:tc>
        <w:tc>
          <w:tcPr>
            <w:tcW w:w="3058" w:type="dxa"/>
            <w:tcBorders>
              <w:top w:val="dotted" w:sz="4" w:space="0" w:color="auto"/>
              <w:left w:val="single" w:sz="4" w:space="0" w:color="auto"/>
              <w:bottom w:val="single" w:sz="4" w:space="0" w:color="auto"/>
            </w:tcBorders>
          </w:tcPr>
          <w:p w14:paraId="651A1FD8" w14:textId="61ADB2FD" w:rsidR="00834FB2" w:rsidRPr="00834FB2" w:rsidRDefault="00834FB2" w:rsidP="00B37670">
            <w:pPr>
              <w:tabs>
                <w:tab w:val="left" w:pos="709"/>
              </w:tabs>
              <w:spacing w:before="60" w:after="60"/>
              <w:rPr>
                <w:rFonts w:ascii="Arial" w:hAnsi="Arial"/>
                <w:i/>
                <w:sz w:val="16"/>
                <w:szCs w:val="16"/>
                <w:lang w:val="en-AU"/>
              </w:rPr>
            </w:pPr>
            <w:r w:rsidRPr="00834FB2">
              <w:rPr>
                <w:rFonts w:ascii="Arial" w:hAnsi="Arial"/>
                <w:sz w:val="16"/>
                <w:szCs w:val="16"/>
                <w:lang w:val="en-AU"/>
              </w:rPr>
              <w:t>The Defence workforce has the technical skills required to deliver the National Defence Strategy as measured through the Defence Strategic Workforce Segments, and the net flow of the ADF and APS workforce over a 12 month period against the Budgeted Workforce Requirement by Strategic Workforce Segment.</w:t>
            </w:r>
          </w:p>
        </w:tc>
      </w:tr>
      <w:tr w:rsidR="00834FB2" w:rsidRPr="006369C5" w14:paraId="2975532A" w14:textId="77777777" w:rsidTr="000738A0">
        <w:tblPrEx>
          <w:shd w:val="clear" w:color="auto" w:fill="auto"/>
          <w:tblLook w:val="04A0" w:firstRow="1" w:lastRow="0" w:firstColumn="1" w:lastColumn="0" w:noHBand="0" w:noVBand="1"/>
        </w:tblPrEx>
        <w:trPr>
          <w:trHeight w:val="279"/>
        </w:trPr>
        <w:tc>
          <w:tcPr>
            <w:tcW w:w="1670" w:type="dxa"/>
            <w:tcBorders>
              <w:top w:val="single" w:sz="4" w:space="0" w:color="auto"/>
              <w:right w:val="single" w:sz="4" w:space="0" w:color="auto"/>
            </w:tcBorders>
          </w:tcPr>
          <w:p w14:paraId="001E6E93" w14:textId="6BE28633" w:rsidR="00834FB2" w:rsidRPr="006369C5" w:rsidRDefault="00834FB2" w:rsidP="00834FB2">
            <w:pPr>
              <w:pageBreakBefore/>
              <w:tabs>
                <w:tab w:val="left" w:pos="709"/>
              </w:tabs>
              <w:spacing w:before="60" w:after="60"/>
              <w:rPr>
                <w:rFonts w:ascii="Arial" w:hAnsi="Arial"/>
                <w:color w:val="000000"/>
                <w:sz w:val="16"/>
                <w:szCs w:val="16"/>
              </w:rPr>
            </w:pPr>
            <w:r w:rsidRPr="006369C5">
              <w:rPr>
                <w:rFonts w:ascii="Arial" w:hAnsi="Arial"/>
                <w:b/>
                <w:color w:val="000000"/>
                <w:sz w:val="16"/>
                <w:szCs w:val="16"/>
              </w:rPr>
              <w:lastRenderedPageBreak/>
              <w:t>Year</w:t>
            </w:r>
          </w:p>
        </w:tc>
        <w:tc>
          <w:tcPr>
            <w:tcW w:w="2882" w:type="dxa"/>
            <w:tcBorders>
              <w:top w:val="single" w:sz="4" w:space="0" w:color="auto"/>
              <w:left w:val="single" w:sz="4" w:space="0" w:color="auto"/>
              <w:bottom w:val="single" w:sz="4" w:space="0" w:color="auto"/>
              <w:right w:val="single" w:sz="4" w:space="0" w:color="auto"/>
            </w:tcBorders>
          </w:tcPr>
          <w:p w14:paraId="2A849EE6" w14:textId="6C4353A0" w:rsidR="00834FB2" w:rsidRPr="00B37670" w:rsidRDefault="00834FB2" w:rsidP="00834FB2">
            <w:pPr>
              <w:tabs>
                <w:tab w:val="left" w:pos="709"/>
              </w:tabs>
              <w:spacing w:before="60" w:after="60"/>
              <w:rPr>
                <w:rFonts w:ascii="Arial" w:hAnsi="Arial"/>
                <w:sz w:val="16"/>
                <w:szCs w:val="16"/>
                <w:lang w:val="en-AU"/>
              </w:rPr>
            </w:pPr>
            <w:r w:rsidRPr="006369C5">
              <w:rPr>
                <w:rFonts w:ascii="Arial" w:hAnsi="Arial"/>
                <w:b/>
                <w:color w:val="000000"/>
                <w:sz w:val="16"/>
                <w:szCs w:val="16"/>
              </w:rPr>
              <w:t>Performance measures</w:t>
            </w:r>
          </w:p>
        </w:tc>
        <w:tc>
          <w:tcPr>
            <w:tcW w:w="3058" w:type="dxa"/>
            <w:tcBorders>
              <w:top w:val="single" w:sz="4" w:space="0" w:color="auto"/>
              <w:left w:val="single" w:sz="4" w:space="0" w:color="auto"/>
              <w:bottom w:val="single" w:sz="4" w:space="0" w:color="auto"/>
            </w:tcBorders>
          </w:tcPr>
          <w:p w14:paraId="3CD09873" w14:textId="6DEC2020" w:rsidR="00834FB2" w:rsidRPr="00834FB2" w:rsidRDefault="00834FB2" w:rsidP="00834FB2">
            <w:pPr>
              <w:tabs>
                <w:tab w:val="left" w:pos="709"/>
              </w:tabs>
              <w:spacing w:before="60" w:after="60"/>
              <w:rPr>
                <w:rFonts w:ascii="Arial" w:hAnsi="Arial"/>
                <w:sz w:val="16"/>
                <w:szCs w:val="16"/>
                <w:lang w:val="en-AU"/>
              </w:rPr>
            </w:pPr>
            <w:r w:rsidRPr="006369C5">
              <w:rPr>
                <w:rFonts w:ascii="Arial" w:hAnsi="Arial"/>
                <w:b/>
                <w:color w:val="000000"/>
                <w:sz w:val="16"/>
                <w:szCs w:val="16"/>
              </w:rPr>
              <w:t>Planned Performance Results</w:t>
            </w:r>
          </w:p>
        </w:tc>
      </w:tr>
      <w:tr w:rsidR="00834FB2" w:rsidRPr="006369C5" w14:paraId="62CD9FC6" w14:textId="77777777" w:rsidTr="00834FB2">
        <w:tblPrEx>
          <w:shd w:val="clear" w:color="auto" w:fill="auto"/>
          <w:tblLook w:val="04A0" w:firstRow="1" w:lastRow="0" w:firstColumn="1" w:lastColumn="0" w:noHBand="0" w:noVBand="1"/>
        </w:tblPrEx>
        <w:trPr>
          <w:trHeight w:val="603"/>
        </w:trPr>
        <w:tc>
          <w:tcPr>
            <w:tcW w:w="1670" w:type="dxa"/>
            <w:vMerge w:val="restart"/>
            <w:tcBorders>
              <w:right w:val="single" w:sz="4" w:space="0" w:color="auto"/>
            </w:tcBorders>
          </w:tcPr>
          <w:p w14:paraId="28DB892B" w14:textId="77777777" w:rsidR="00834FB2" w:rsidRPr="00B37670" w:rsidRDefault="00834FB2" w:rsidP="00834FB2">
            <w:pPr>
              <w:tabs>
                <w:tab w:val="left" w:pos="709"/>
              </w:tabs>
              <w:spacing w:before="0" w:after="0"/>
              <w:rPr>
                <w:rFonts w:ascii="Arial" w:hAnsi="Arial"/>
                <w:color w:val="000000"/>
                <w:sz w:val="16"/>
                <w:szCs w:val="16"/>
              </w:rPr>
            </w:pPr>
            <w:r w:rsidRPr="00B37670">
              <w:rPr>
                <w:rFonts w:ascii="Arial" w:hAnsi="Arial"/>
                <w:color w:val="000000"/>
                <w:sz w:val="16"/>
                <w:szCs w:val="16"/>
              </w:rPr>
              <w:t>Budget Year</w:t>
            </w:r>
          </w:p>
          <w:p w14:paraId="019F194C" w14:textId="092A0812" w:rsidR="00834FB2" w:rsidRPr="006369C5" w:rsidRDefault="00834FB2" w:rsidP="00834FB2">
            <w:pPr>
              <w:tabs>
                <w:tab w:val="left" w:pos="709"/>
              </w:tabs>
              <w:spacing w:before="60" w:after="60"/>
              <w:rPr>
                <w:rFonts w:ascii="Arial" w:hAnsi="Arial"/>
                <w:color w:val="000000"/>
                <w:sz w:val="16"/>
                <w:szCs w:val="16"/>
              </w:rPr>
            </w:pPr>
            <w:r w:rsidRPr="00B37670">
              <w:rPr>
                <w:rFonts w:ascii="Arial" w:hAnsi="Arial"/>
                <w:color w:val="000000"/>
                <w:sz w:val="16"/>
                <w:szCs w:val="16"/>
              </w:rPr>
              <w:t xml:space="preserve">2025-26 </w:t>
            </w:r>
            <w:r w:rsidRPr="00B37670">
              <w:rPr>
                <w:rFonts w:ascii="Arial" w:hAnsi="Arial"/>
                <w:color w:val="000000"/>
                <w:sz w:val="16"/>
                <w:szCs w:val="16"/>
                <w:vertAlign w:val="superscript"/>
              </w:rPr>
              <w:t>[b]</w:t>
            </w:r>
          </w:p>
        </w:tc>
        <w:tc>
          <w:tcPr>
            <w:tcW w:w="2882" w:type="dxa"/>
            <w:tcBorders>
              <w:top w:val="single" w:sz="4" w:space="0" w:color="auto"/>
              <w:left w:val="single" w:sz="4" w:space="0" w:color="auto"/>
              <w:bottom w:val="dotted" w:sz="4" w:space="0" w:color="auto"/>
              <w:right w:val="single" w:sz="4" w:space="0" w:color="auto"/>
            </w:tcBorders>
          </w:tcPr>
          <w:p w14:paraId="4F9A3C6B" w14:textId="79CAE93D" w:rsidR="00834FB2" w:rsidRPr="00B37670" w:rsidRDefault="00834FB2" w:rsidP="00B37670">
            <w:pPr>
              <w:tabs>
                <w:tab w:val="left" w:pos="709"/>
              </w:tabs>
              <w:spacing w:before="60" w:after="60"/>
              <w:rPr>
                <w:rFonts w:ascii="Arial" w:hAnsi="Arial"/>
                <w:sz w:val="16"/>
                <w:szCs w:val="16"/>
                <w:lang w:val="en-AU"/>
              </w:rPr>
            </w:pPr>
            <w:r w:rsidRPr="00B37670">
              <w:rPr>
                <w:rFonts w:ascii="Arial" w:hAnsi="Arial"/>
                <w:sz w:val="16"/>
                <w:szCs w:val="16"/>
                <w:lang w:val="en-AU"/>
              </w:rPr>
              <w:t>4.3: The Defence Values and Behaviours enable our people to deliver Australia’s National Defence.</w:t>
            </w:r>
          </w:p>
        </w:tc>
        <w:tc>
          <w:tcPr>
            <w:tcW w:w="3058" w:type="dxa"/>
            <w:tcBorders>
              <w:top w:val="single" w:sz="4" w:space="0" w:color="auto"/>
              <w:left w:val="single" w:sz="4" w:space="0" w:color="auto"/>
              <w:bottom w:val="dotted" w:sz="4" w:space="0" w:color="auto"/>
            </w:tcBorders>
          </w:tcPr>
          <w:p w14:paraId="6B0CBD78" w14:textId="743D23CE" w:rsidR="00834FB2" w:rsidRPr="00834FB2" w:rsidRDefault="00834FB2" w:rsidP="00AD3193">
            <w:pPr>
              <w:tabs>
                <w:tab w:val="left" w:pos="709"/>
              </w:tabs>
              <w:spacing w:before="60" w:after="60"/>
              <w:rPr>
                <w:rFonts w:ascii="Arial" w:hAnsi="Arial"/>
                <w:sz w:val="16"/>
                <w:szCs w:val="16"/>
                <w:lang w:val="en-AU"/>
              </w:rPr>
            </w:pPr>
            <w:r w:rsidRPr="00834FB2">
              <w:rPr>
                <w:rFonts w:ascii="Arial" w:hAnsi="Arial"/>
                <w:sz w:val="16"/>
                <w:szCs w:val="16"/>
                <w:lang w:val="en-AU"/>
              </w:rPr>
              <w:t>The proportion of ADF and Defence APS personnel that believe appropriate action will be taken if they report an incident of unacceptable behaviour has increased in the last 12 months, the proportion of ADF and Defence APS personnel who have experienced any unacceptable behaviour in the workplace has decreased in the last 12</w:t>
            </w:r>
            <w:r w:rsidR="00AD3193">
              <w:rPr>
                <w:rFonts w:ascii="Arial" w:hAnsi="Arial"/>
                <w:sz w:val="16"/>
                <w:szCs w:val="16"/>
                <w:lang w:val="en-AU"/>
              </w:rPr>
              <w:t> </w:t>
            </w:r>
            <w:r w:rsidRPr="00834FB2">
              <w:rPr>
                <w:rFonts w:ascii="Arial" w:hAnsi="Arial"/>
                <w:sz w:val="16"/>
                <w:szCs w:val="16"/>
                <w:lang w:val="en-AU"/>
              </w:rPr>
              <w:t>months, and proportion of ADF and Defence APS personnel who are of the view that Defence Values are being used in their work area has increased in the last 12 months.</w:t>
            </w:r>
          </w:p>
        </w:tc>
      </w:tr>
      <w:tr w:rsidR="00834FB2" w:rsidRPr="006369C5" w14:paraId="6AED8F85" w14:textId="77777777" w:rsidTr="000738A0">
        <w:tblPrEx>
          <w:shd w:val="clear" w:color="auto" w:fill="auto"/>
          <w:tblLook w:val="04A0" w:firstRow="1" w:lastRow="0" w:firstColumn="1" w:lastColumn="0" w:noHBand="0" w:noVBand="1"/>
        </w:tblPrEx>
        <w:trPr>
          <w:trHeight w:val="603"/>
        </w:trPr>
        <w:tc>
          <w:tcPr>
            <w:tcW w:w="1670" w:type="dxa"/>
            <w:vMerge/>
            <w:tcBorders>
              <w:bottom w:val="single" w:sz="4" w:space="0" w:color="auto"/>
              <w:right w:val="single" w:sz="4" w:space="0" w:color="auto"/>
            </w:tcBorders>
          </w:tcPr>
          <w:p w14:paraId="05776073" w14:textId="77777777" w:rsidR="00834FB2" w:rsidRPr="006369C5" w:rsidRDefault="00834FB2" w:rsidP="00B37670">
            <w:pPr>
              <w:tabs>
                <w:tab w:val="left" w:pos="709"/>
              </w:tabs>
              <w:spacing w:before="60" w:after="60"/>
              <w:rPr>
                <w:rFonts w:ascii="Arial" w:hAnsi="Arial"/>
                <w:color w:val="000000"/>
                <w:sz w:val="16"/>
                <w:szCs w:val="16"/>
              </w:rPr>
            </w:pPr>
          </w:p>
        </w:tc>
        <w:tc>
          <w:tcPr>
            <w:tcW w:w="2882" w:type="dxa"/>
            <w:tcBorders>
              <w:top w:val="dotted" w:sz="4" w:space="0" w:color="auto"/>
              <w:left w:val="single" w:sz="4" w:space="0" w:color="auto"/>
              <w:bottom w:val="single" w:sz="4" w:space="0" w:color="auto"/>
              <w:right w:val="single" w:sz="4" w:space="0" w:color="auto"/>
            </w:tcBorders>
          </w:tcPr>
          <w:p w14:paraId="4FBBD65F" w14:textId="19FF80DF" w:rsidR="00834FB2" w:rsidRPr="00B37670" w:rsidRDefault="00834FB2" w:rsidP="00B37670">
            <w:pPr>
              <w:tabs>
                <w:tab w:val="left" w:pos="709"/>
              </w:tabs>
              <w:spacing w:before="60" w:after="60"/>
              <w:rPr>
                <w:rFonts w:ascii="Arial" w:hAnsi="Arial"/>
                <w:sz w:val="16"/>
                <w:szCs w:val="16"/>
                <w:lang w:val="en-AU"/>
              </w:rPr>
            </w:pPr>
            <w:r w:rsidRPr="00B37670">
              <w:rPr>
                <w:rFonts w:ascii="Arial" w:hAnsi="Arial"/>
                <w:sz w:val="16"/>
                <w:szCs w:val="16"/>
                <w:lang w:val="en-AU"/>
              </w:rPr>
              <w:t>4.4: Defence supports ADF members and their families by providing access to support services and programs having regard to lifetime wellbeing.</w:t>
            </w:r>
          </w:p>
        </w:tc>
        <w:tc>
          <w:tcPr>
            <w:tcW w:w="3058" w:type="dxa"/>
            <w:tcBorders>
              <w:top w:val="dotted" w:sz="4" w:space="0" w:color="auto"/>
              <w:left w:val="single" w:sz="4" w:space="0" w:color="auto"/>
              <w:bottom w:val="single" w:sz="4" w:space="0" w:color="auto"/>
            </w:tcBorders>
          </w:tcPr>
          <w:p w14:paraId="741BD5FF" w14:textId="2542598A" w:rsidR="00834FB2" w:rsidRPr="00B37670" w:rsidRDefault="00834FB2" w:rsidP="001809FC">
            <w:pPr>
              <w:tabs>
                <w:tab w:val="left" w:pos="709"/>
              </w:tabs>
              <w:spacing w:before="60" w:after="60"/>
              <w:rPr>
                <w:rFonts w:ascii="Arial" w:hAnsi="Arial"/>
                <w:sz w:val="16"/>
                <w:szCs w:val="16"/>
                <w:lang w:val="en-AU"/>
              </w:rPr>
            </w:pPr>
            <w:r w:rsidRPr="00B37670">
              <w:rPr>
                <w:rFonts w:ascii="Arial" w:hAnsi="Arial"/>
                <w:sz w:val="16"/>
                <w:szCs w:val="16"/>
                <w:lang w:val="en-AU"/>
              </w:rPr>
              <w:t>At least 75 per cent of eligible permanent ADF members and their families are registered with the ADF Family Health Program; 100 per cent of support services and programs are provided to permanent ADF and their families in accordance with identified service delivery timeframes; and 100 per cent of Defence-led, Government-agreed recommendations from the Royal Commission into Defence and Veteran Suicide Final Report which are on the Forward Work Plan for the Program Board in 2024-25, have approved Reform Management Plans place by 30 June 2025.</w:t>
            </w:r>
          </w:p>
        </w:tc>
      </w:tr>
      <w:tr w:rsidR="00C02DA8" w:rsidRPr="006369C5" w14:paraId="7B8824CE" w14:textId="77777777" w:rsidTr="000738A0">
        <w:tblPrEx>
          <w:shd w:val="clear" w:color="auto" w:fill="auto"/>
          <w:tblLook w:val="04A0" w:firstRow="1" w:lastRow="0" w:firstColumn="1" w:lastColumn="0" w:noHBand="0" w:noVBand="1"/>
        </w:tblPrEx>
        <w:trPr>
          <w:trHeight w:val="401"/>
        </w:trPr>
        <w:tc>
          <w:tcPr>
            <w:tcW w:w="1670" w:type="dxa"/>
            <w:tcBorders>
              <w:top w:val="single" w:sz="4" w:space="0" w:color="auto"/>
              <w:bottom w:val="single" w:sz="4" w:space="0" w:color="auto"/>
              <w:right w:val="single" w:sz="4" w:space="0" w:color="auto"/>
            </w:tcBorders>
          </w:tcPr>
          <w:p w14:paraId="07BA1278" w14:textId="0319E7AE" w:rsidR="00C02DA8" w:rsidRPr="006369C5" w:rsidRDefault="00C02DA8" w:rsidP="00834FB2">
            <w:pPr>
              <w:tabs>
                <w:tab w:val="left" w:pos="709"/>
              </w:tabs>
              <w:spacing w:before="0" w:after="0"/>
              <w:rPr>
                <w:rFonts w:ascii="Arial" w:hAnsi="Arial"/>
                <w:b/>
                <w:color w:val="000000"/>
                <w:sz w:val="16"/>
                <w:szCs w:val="16"/>
              </w:rPr>
            </w:pPr>
            <w:r w:rsidRPr="006369C5">
              <w:rPr>
                <w:rFonts w:ascii="Arial" w:hAnsi="Arial"/>
                <w:b/>
                <w:color w:val="000000"/>
                <w:sz w:val="16"/>
                <w:szCs w:val="16"/>
              </w:rPr>
              <w:t>Year</w:t>
            </w:r>
          </w:p>
        </w:tc>
        <w:tc>
          <w:tcPr>
            <w:tcW w:w="2882" w:type="dxa"/>
            <w:tcBorders>
              <w:top w:val="single" w:sz="4" w:space="0" w:color="auto"/>
              <w:left w:val="single" w:sz="4" w:space="0" w:color="auto"/>
              <w:bottom w:val="single" w:sz="4" w:space="0" w:color="auto"/>
              <w:right w:val="single" w:sz="4" w:space="0" w:color="auto"/>
            </w:tcBorders>
          </w:tcPr>
          <w:p w14:paraId="0863437D" w14:textId="13D9AD32" w:rsidR="00C02DA8" w:rsidRPr="006369C5" w:rsidRDefault="00C02DA8" w:rsidP="00C02DA8">
            <w:pPr>
              <w:tabs>
                <w:tab w:val="left" w:pos="709"/>
              </w:tabs>
              <w:spacing w:before="60" w:after="60"/>
              <w:rPr>
                <w:rFonts w:ascii="Arial" w:hAnsi="Arial"/>
                <w:b/>
                <w:color w:val="000000"/>
                <w:sz w:val="16"/>
                <w:szCs w:val="16"/>
              </w:rPr>
            </w:pPr>
            <w:r w:rsidRPr="006369C5">
              <w:rPr>
                <w:rFonts w:ascii="Arial" w:hAnsi="Arial"/>
                <w:b/>
                <w:color w:val="000000"/>
                <w:sz w:val="16"/>
                <w:szCs w:val="16"/>
              </w:rPr>
              <w:t>Performance measures</w:t>
            </w:r>
          </w:p>
        </w:tc>
        <w:tc>
          <w:tcPr>
            <w:tcW w:w="3058" w:type="dxa"/>
            <w:tcBorders>
              <w:top w:val="single" w:sz="4" w:space="0" w:color="auto"/>
              <w:left w:val="single" w:sz="4" w:space="0" w:color="auto"/>
              <w:bottom w:val="single" w:sz="4" w:space="0" w:color="auto"/>
            </w:tcBorders>
          </w:tcPr>
          <w:p w14:paraId="6320C73C" w14:textId="20D60660" w:rsidR="00C02DA8" w:rsidRPr="006369C5" w:rsidRDefault="00C02DA8" w:rsidP="00C02DA8">
            <w:pPr>
              <w:tabs>
                <w:tab w:val="left" w:pos="709"/>
              </w:tabs>
              <w:spacing w:before="60" w:after="60"/>
              <w:rPr>
                <w:rFonts w:ascii="Arial" w:hAnsi="Arial"/>
                <w:b/>
                <w:color w:val="000000"/>
                <w:sz w:val="16"/>
                <w:szCs w:val="16"/>
              </w:rPr>
            </w:pPr>
            <w:r w:rsidRPr="006369C5">
              <w:rPr>
                <w:rFonts w:ascii="Arial" w:hAnsi="Arial"/>
                <w:b/>
                <w:color w:val="000000"/>
                <w:sz w:val="16"/>
                <w:szCs w:val="16"/>
              </w:rPr>
              <w:t>Planned Performance Results</w:t>
            </w:r>
          </w:p>
        </w:tc>
      </w:tr>
      <w:tr w:rsidR="00C02DA8" w:rsidRPr="006369C5" w14:paraId="29835C8F" w14:textId="77777777" w:rsidTr="00834FB2">
        <w:tblPrEx>
          <w:shd w:val="clear" w:color="auto" w:fill="auto"/>
          <w:tblLook w:val="04A0" w:firstRow="1" w:lastRow="0" w:firstColumn="1" w:lastColumn="0" w:noHBand="0" w:noVBand="1"/>
        </w:tblPrEx>
        <w:trPr>
          <w:trHeight w:val="491"/>
        </w:trPr>
        <w:tc>
          <w:tcPr>
            <w:tcW w:w="1670" w:type="dxa"/>
            <w:tcBorders>
              <w:top w:val="single" w:sz="4" w:space="0" w:color="auto"/>
              <w:bottom w:val="dotted" w:sz="4" w:space="0" w:color="auto"/>
              <w:right w:val="single" w:sz="4" w:space="0" w:color="auto"/>
            </w:tcBorders>
          </w:tcPr>
          <w:p w14:paraId="7DDB9130" w14:textId="77777777" w:rsidR="00C02DA8" w:rsidRPr="006369C5" w:rsidRDefault="00C02DA8" w:rsidP="00C02DA8">
            <w:pPr>
              <w:tabs>
                <w:tab w:val="left" w:pos="709"/>
              </w:tabs>
              <w:spacing w:before="0" w:after="0"/>
              <w:rPr>
                <w:rFonts w:ascii="Arial" w:hAnsi="Arial"/>
                <w:color w:val="000000"/>
                <w:sz w:val="16"/>
                <w:szCs w:val="16"/>
              </w:rPr>
            </w:pPr>
            <w:r w:rsidRPr="006369C5">
              <w:rPr>
                <w:rFonts w:ascii="Arial" w:hAnsi="Arial"/>
                <w:color w:val="000000"/>
                <w:sz w:val="16"/>
                <w:szCs w:val="16"/>
              </w:rPr>
              <w:t>Forward Estimates</w:t>
            </w:r>
          </w:p>
          <w:p w14:paraId="5FF957FE" w14:textId="6B5DCCF4" w:rsidR="00C02DA8" w:rsidRPr="006369C5" w:rsidRDefault="00C02DA8" w:rsidP="00C02DA8">
            <w:pPr>
              <w:tabs>
                <w:tab w:val="left" w:pos="709"/>
              </w:tabs>
              <w:spacing w:before="0" w:after="0"/>
              <w:rPr>
                <w:rFonts w:ascii="Arial" w:hAnsi="Arial"/>
                <w:color w:val="000000"/>
                <w:sz w:val="16"/>
                <w:szCs w:val="16"/>
              </w:rPr>
            </w:pPr>
            <w:r w:rsidRPr="006369C5">
              <w:rPr>
                <w:rFonts w:ascii="Arial" w:hAnsi="Arial"/>
                <w:color w:val="000000"/>
                <w:sz w:val="16"/>
                <w:szCs w:val="16"/>
              </w:rPr>
              <w:t>2026-29</w:t>
            </w:r>
          </w:p>
        </w:tc>
        <w:tc>
          <w:tcPr>
            <w:tcW w:w="2882" w:type="dxa"/>
            <w:tcBorders>
              <w:top w:val="single" w:sz="4" w:space="0" w:color="auto"/>
              <w:left w:val="single" w:sz="4" w:space="0" w:color="auto"/>
              <w:bottom w:val="single" w:sz="4" w:space="0" w:color="auto"/>
              <w:right w:val="single" w:sz="4" w:space="0" w:color="auto"/>
            </w:tcBorders>
          </w:tcPr>
          <w:p w14:paraId="7BB19A77" w14:textId="088CA9D9" w:rsidR="00C02DA8" w:rsidRPr="006369C5" w:rsidRDefault="00C02DA8" w:rsidP="00C02DA8">
            <w:pPr>
              <w:tabs>
                <w:tab w:val="left" w:pos="709"/>
              </w:tabs>
              <w:spacing w:before="60" w:after="60"/>
              <w:rPr>
                <w:rFonts w:ascii="Arial" w:hAnsi="Arial"/>
                <w:color w:val="000000"/>
                <w:sz w:val="16"/>
                <w:szCs w:val="16"/>
              </w:rPr>
            </w:pPr>
            <w:r w:rsidRPr="006369C5">
              <w:rPr>
                <w:rFonts w:ascii="Arial" w:hAnsi="Arial"/>
                <w:color w:val="000000"/>
                <w:sz w:val="16"/>
                <w:szCs w:val="16"/>
              </w:rPr>
              <w:t>As per 202</w:t>
            </w:r>
            <w:r>
              <w:rPr>
                <w:rFonts w:ascii="Arial" w:hAnsi="Arial"/>
                <w:color w:val="000000"/>
                <w:sz w:val="16"/>
                <w:szCs w:val="16"/>
              </w:rPr>
              <w:t>5</w:t>
            </w:r>
            <w:r w:rsidRPr="006369C5">
              <w:rPr>
                <w:rFonts w:ascii="Arial" w:hAnsi="Arial"/>
                <w:color w:val="000000"/>
                <w:sz w:val="16"/>
                <w:szCs w:val="16"/>
              </w:rPr>
              <w:t>-2</w:t>
            </w:r>
            <w:r>
              <w:rPr>
                <w:rFonts w:ascii="Arial" w:hAnsi="Arial"/>
                <w:color w:val="000000"/>
                <w:sz w:val="16"/>
                <w:szCs w:val="16"/>
              </w:rPr>
              <w:t>6</w:t>
            </w:r>
            <w:r w:rsidRPr="006369C5">
              <w:rPr>
                <w:rFonts w:ascii="Arial" w:hAnsi="Arial"/>
                <w:color w:val="000000"/>
                <w:sz w:val="16"/>
                <w:szCs w:val="16"/>
              </w:rPr>
              <w:t>.</w:t>
            </w:r>
          </w:p>
        </w:tc>
        <w:tc>
          <w:tcPr>
            <w:tcW w:w="3058" w:type="dxa"/>
            <w:tcBorders>
              <w:top w:val="single" w:sz="4" w:space="0" w:color="auto"/>
              <w:left w:val="single" w:sz="4" w:space="0" w:color="auto"/>
              <w:bottom w:val="single" w:sz="4" w:space="0" w:color="auto"/>
            </w:tcBorders>
          </w:tcPr>
          <w:p w14:paraId="677FB659" w14:textId="175CB164" w:rsidR="00C02DA8" w:rsidRPr="006369C5" w:rsidRDefault="00C02DA8" w:rsidP="00C02DA8">
            <w:pPr>
              <w:tabs>
                <w:tab w:val="left" w:pos="709"/>
              </w:tabs>
              <w:spacing w:before="60" w:after="60"/>
              <w:rPr>
                <w:rFonts w:ascii="Arial" w:hAnsi="Arial"/>
                <w:color w:val="000000"/>
                <w:sz w:val="16"/>
                <w:szCs w:val="16"/>
              </w:rPr>
            </w:pPr>
            <w:r w:rsidRPr="006369C5">
              <w:rPr>
                <w:rFonts w:ascii="Arial" w:hAnsi="Arial"/>
                <w:color w:val="000000"/>
                <w:sz w:val="16"/>
                <w:szCs w:val="16"/>
              </w:rPr>
              <w:t>As per 202</w:t>
            </w:r>
            <w:r>
              <w:rPr>
                <w:rFonts w:ascii="Arial" w:hAnsi="Arial"/>
                <w:color w:val="000000"/>
                <w:sz w:val="16"/>
                <w:szCs w:val="16"/>
              </w:rPr>
              <w:t>5</w:t>
            </w:r>
            <w:r w:rsidRPr="006369C5">
              <w:rPr>
                <w:rFonts w:ascii="Arial" w:hAnsi="Arial"/>
                <w:color w:val="000000"/>
                <w:sz w:val="16"/>
                <w:szCs w:val="16"/>
              </w:rPr>
              <w:t>-2</w:t>
            </w:r>
            <w:r>
              <w:rPr>
                <w:rFonts w:ascii="Arial" w:hAnsi="Arial"/>
                <w:color w:val="000000"/>
                <w:sz w:val="16"/>
                <w:szCs w:val="16"/>
              </w:rPr>
              <w:t>6</w:t>
            </w:r>
            <w:r w:rsidRPr="006369C5">
              <w:rPr>
                <w:rFonts w:ascii="Arial" w:hAnsi="Arial"/>
                <w:sz w:val="16"/>
                <w:szCs w:val="16"/>
              </w:rPr>
              <w:t>.</w:t>
            </w:r>
          </w:p>
        </w:tc>
      </w:tr>
      <w:tr w:rsidR="00C02DA8" w:rsidRPr="00BA1388" w14:paraId="59E114C2" w14:textId="77777777" w:rsidTr="00834FB2">
        <w:tblPrEx>
          <w:shd w:val="clear" w:color="auto" w:fill="auto"/>
          <w:tblLook w:val="04A0" w:firstRow="1" w:lastRow="0" w:firstColumn="1" w:lastColumn="0" w:noHBand="0" w:noVBand="1"/>
        </w:tblPrEx>
        <w:trPr>
          <w:trHeight w:val="291"/>
        </w:trPr>
        <w:tc>
          <w:tcPr>
            <w:tcW w:w="7610" w:type="dxa"/>
            <w:gridSpan w:val="3"/>
          </w:tcPr>
          <w:p w14:paraId="30F8F523" w14:textId="28E06B0B" w:rsidR="00C02DA8" w:rsidRPr="006369C5" w:rsidRDefault="00C02DA8" w:rsidP="00E364DF">
            <w:pPr>
              <w:tabs>
                <w:tab w:val="left" w:pos="709"/>
              </w:tabs>
              <w:spacing w:before="60" w:after="60"/>
              <w:rPr>
                <w:rFonts w:ascii="Arial" w:hAnsi="Arial"/>
                <w:bCs/>
                <w:iCs/>
                <w:color w:val="000000"/>
                <w:spacing w:val="-6"/>
                <w:sz w:val="16"/>
                <w:szCs w:val="16"/>
              </w:rPr>
            </w:pPr>
            <w:r w:rsidRPr="006369C5">
              <w:rPr>
                <w:rFonts w:ascii="Arial" w:hAnsi="Arial"/>
                <w:color w:val="000000"/>
                <w:sz w:val="16"/>
                <w:szCs w:val="16"/>
              </w:rPr>
              <w:t>Material changes to Program 2.12 resulting from 202</w:t>
            </w:r>
            <w:r w:rsidR="00E364DF">
              <w:rPr>
                <w:rFonts w:ascii="Arial" w:hAnsi="Arial"/>
                <w:color w:val="000000"/>
                <w:sz w:val="16"/>
                <w:szCs w:val="16"/>
              </w:rPr>
              <w:t>5</w:t>
            </w:r>
            <w:r w:rsidRPr="006369C5">
              <w:rPr>
                <w:rFonts w:ascii="Arial" w:hAnsi="Arial"/>
                <w:color w:val="000000"/>
                <w:sz w:val="16"/>
                <w:szCs w:val="16"/>
              </w:rPr>
              <w:t>-2</w:t>
            </w:r>
            <w:r w:rsidR="00E364DF">
              <w:rPr>
                <w:rFonts w:ascii="Arial" w:hAnsi="Arial"/>
                <w:color w:val="000000"/>
                <w:sz w:val="16"/>
                <w:szCs w:val="16"/>
              </w:rPr>
              <w:t>6</w:t>
            </w:r>
            <w:r w:rsidRPr="006369C5">
              <w:rPr>
                <w:rFonts w:ascii="Arial" w:hAnsi="Arial"/>
                <w:color w:val="000000"/>
                <w:sz w:val="16"/>
                <w:szCs w:val="16"/>
              </w:rPr>
              <w:t xml:space="preserve"> Budget Measures:</w:t>
            </w:r>
            <w:r w:rsidRPr="006369C5">
              <w:rPr>
                <w:rStyle w:val="BodyTextChar"/>
                <w:rFonts w:ascii="Arial" w:hAnsi="Arial"/>
                <w:bCs/>
                <w:iCs/>
                <w:color w:val="000000"/>
                <w:spacing w:val="-6"/>
                <w:sz w:val="16"/>
                <w:szCs w:val="16"/>
              </w:rPr>
              <w:t xml:space="preserve"> Nil.</w:t>
            </w:r>
          </w:p>
        </w:tc>
      </w:tr>
    </w:tbl>
    <w:p w14:paraId="2AE63689" w14:textId="77777777" w:rsidR="00F7100A" w:rsidRPr="00BA1388" w:rsidRDefault="00F7100A" w:rsidP="00F7100A">
      <w:pPr>
        <w:pStyle w:val="TableHeading"/>
        <w:spacing w:before="0" w:after="0"/>
        <w:rPr>
          <w:sz w:val="16"/>
          <w:szCs w:val="16"/>
          <w:highlight w:val="yellow"/>
        </w:rPr>
      </w:pPr>
    </w:p>
    <w:p w14:paraId="5CC6FA5D" w14:textId="77777777" w:rsidR="00F7100A" w:rsidRPr="00321534" w:rsidRDefault="00F7100A" w:rsidP="00F7100A">
      <w:pPr>
        <w:pStyle w:val="TableHeading"/>
        <w:spacing w:before="0" w:after="0"/>
        <w:rPr>
          <w:sz w:val="14"/>
          <w:szCs w:val="14"/>
        </w:rPr>
      </w:pPr>
      <w:r w:rsidRPr="00321534">
        <w:rPr>
          <w:sz w:val="14"/>
          <w:szCs w:val="14"/>
        </w:rPr>
        <w:t>Note</w:t>
      </w:r>
      <w:r w:rsidR="00AF08A6" w:rsidRPr="00321534">
        <w:rPr>
          <w:sz w:val="14"/>
          <w:szCs w:val="14"/>
        </w:rPr>
        <w:t>s</w:t>
      </w:r>
    </w:p>
    <w:p w14:paraId="587F9E65" w14:textId="43D09630" w:rsidR="00321534" w:rsidRPr="00321534" w:rsidRDefault="00321534" w:rsidP="00444A89">
      <w:pPr>
        <w:pStyle w:val="ListParagraph"/>
        <w:numPr>
          <w:ilvl w:val="0"/>
          <w:numId w:val="57"/>
        </w:numPr>
        <w:spacing w:before="0" w:after="0"/>
        <w:ind w:left="284" w:hanging="284"/>
        <w:rPr>
          <w:rFonts w:ascii="Arial" w:hAnsi="Arial"/>
          <w:sz w:val="14"/>
          <w:szCs w:val="14"/>
          <w:lang w:val="en-AU"/>
        </w:rPr>
      </w:pPr>
      <w:r w:rsidRPr="00321534">
        <w:rPr>
          <w:rFonts w:ascii="Arial" w:hAnsi="Arial"/>
          <w:sz w:val="14"/>
          <w:szCs w:val="14"/>
          <w:lang w:val="en-AU"/>
        </w:rPr>
        <w:t>Performance Measures 1.2, 4.1 and 4.2 have been amended, and Performance Measures 4.3 and 4.4 are new for 2024</w:t>
      </w:r>
      <w:r w:rsidR="007F0122">
        <w:rPr>
          <w:rFonts w:ascii="Arial" w:hAnsi="Arial"/>
          <w:sz w:val="14"/>
          <w:szCs w:val="14"/>
          <w:lang w:val="en-AU"/>
        </w:rPr>
        <w:noBreakHyphen/>
      </w:r>
      <w:r w:rsidRPr="00321534">
        <w:rPr>
          <w:rFonts w:ascii="Arial" w:hAnsi="Arial"/>
          <w:sz w:val="14"/>
          <w:szCs w:val="14"/>
          <w:lang w:val="en-AU"/>
        </w:rPr>
        <w:t>25, as published in the updated 2024-28 Defence Corporate Plan in March 2025.</w:t>
      </w:r>
    </w:p>
    <w:p w14:paraId="46E7F325" w14:textId="05A7C071" w:rsidR="009737EB" w:rsidRPr="0085401F" w:rsidRDefault="00B37670" w:rsidP="00444A89">
      <w:pPr>
        <w:pStyle w:val="TableHeading"/>
        <w:numPr>
          <w:ilvl w:val="0"/>
          <w:numId w:val="57"/>
        </w:numPr>
        <w:tabs>
          <w:tab w:val="left" w:pos="284"/>
        </w:tabs>
        <w:spacing w:before="0" w:after="0"/>
        <w:ind w:left="284" w:hanging="284"/>
        <w:rPr>
          <w:b w:val="0"/>
          <w:sz w:val="14"/>
          <w:szCs w:val="14"/>
        </w:rPr>
      </w:pPr>
      <w:r w:rsidRPr="00B37670">
        <w:rPr>
          <w:b w:val="0"/>
          <w:sz w:val="14"/>
          <w:szCs w:val="14"/>
          <w:lang w:val="en-AU"/>
        </w:rPr>
        <w:t>In accordance with Defence’s Enterprise Performance Framework, Defence is undertaking materiality assessments that may result in updates to the 2025-26 performance information in the 2025-29 Defence Corporate Plan, if required</w:t>
      </w:r>
      <w:r w:rsidR="009737EB">
        <w:rPr>
          <w:b w:val="0"/>
          <w:sz w:val="14"/>
          <w:szCs w:val="14"/>
          <w:lang w:val="en-AU"/>
        </w:rPr>
        <w:t xml:space="preserve">. </w:t>
      </w:r>
    </w:p>
    <w:p w14:paraId="34782B74" w14:textId="12A0F5E0" w:rsidR="003D5485" w:rsidRPr="00CA5D4B" w:rsidRDefault="006D5735" w:rsidP="000678EF">
      <w:pPr>
        <w:pStyle w:val="TableHeading"/>
        <w:numPr>
          <w:ilvl w:val="0"/>
          <w:numId w:val="29"/>
        </w:numPr>
        <w:spacing w:before="0" w:after="120"/>
        <w:ind w:left="0" w:firstLine="0"/>
        <w:outlineLvl w:val="6"/>
      </w:pPr>
      <w:r w:rsidRPr="00B56FAA">
        <w:br w:type="page"/>
      </w:r>
      <w:r w:rsidR="003D5485" w:rsidRPr="00CA5D4B">
        <w:lastRenderedPageBreak/>
        <w:t xml:space="preserve">Cost Summary for Program 2.12 </w:t>
      </w:r>
      <w:r w:rsidR="005F39C7" w:rsidRPr="00CA5D4B">
        <w:t>Defence People</w:t>
      </w:r>
      <w:r w:rsidR="00397C1C" w:rsidRPr="00CA5D4B">
        <w:t xml:space="preserve"> (including Chief of Personnel)</w:t>
      </w:r>
      <w:r w:rsidR="00037742" w:rsidRPr="000678EF">
        <w:rPr>
          <w:vertAlign w:val="superscript"/>
        </w:rPr>
        <w:t xml:space="preserve"> [a]</w:t>
      </w:r>
    </w:p>
    <w:p w14:paraId="0127DD3B" w14:textId="4468ED7D" w:rsidR="003D5485" w:rsidRPr="00B56FAA" w:rsidRDefault="005F4285" w:rsidP="00656D60">
      <w:pPr>
        <w:spacing w:before="0" w:after="0"/>
      </w:pPr>
      <w:r w:rsidRPr="005F4285">
        <w:rPr>
          <w:noProof/>
          <w:lang w:val="en-AU"/>
        </w:rPr>
        <w:drawing>
          <wp:inline distT="0" distB="0" distL="0" distR="0" wp14:anchorId="701A7D4D" wp14:editId="2AEAC264">
            <wp:extent cx="4986020" cy="2533213"/>
            <wp:effectExtent l="0" t="0" r="508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86020" cy="2533213"/>
                    </a:xfrm>
                    <a:prstGeom prst="rect">
                      <a:avLst/>
                    </a:prstGeom>
                    <a:noFill/>
                    <a:ln>
                      <a:noFill/>
                    </a:ln>
                  </pic:spPr>
                </pic:pic>
              </a:graphicData>
            </a:graphic>
          </wp:inline>
        </w:drawing>
      </w:r>
    </w:p>
    <w:p w14:paraId="715EDCF9" w14:textId="77777777" w:rsidR="00656D60" w:rsidRDefault="00656D60" w:rsidP="00656D60">
      <w:pPr>
        <w:spacing w:before="0" w:after="0"/>
        <w:rPr>
          <w:rFonts w:ascii="Arial" w:hAnsi="Arial"/>
          <w:b/>
          <w:sz w:val="14"/>
          <w:szCs w:val="14"/>
          <w:lang w:val="en-AU"/>
        </w:rPr>
      </w:pPr>
    </w:p>
    <w:p w14:paraId="5F5033AB" w14:textId="77777777" w:rsidR="00DD7C36" w:rsidRDefault="00DD7C36" w:rsidP="00656D60">
      <w:pPr>
        <w:spacing w:before="0" w:after="0"/>
        <w:rPr>
          <w:rFonts w:ascii="Arial" w:hAnsi="Arial"/>
          <w:b/>
          <w:sz w:val="14"/>
          <w:szCs w:val="14"/>
          <w:lang w:val="en-AU"/>
        </w:rPr>
      </w:pPr>
      <w:r>
        <w:rPr>
          <w:rFonts w:ascii="Arial" w:hAnsi="Arial"/>
          <w:b/>
          <w:sz w:val="14"/>
          <w:szCs w:val="14"/>
          <w:lang w:val="en-AU"/>
        </w:rPr>
        <w:t>Notes</w:t>
      </w:r>
    </w:p>
    <w:p w14:paraId="5B35B73E" w14:textId="2ED5A4CC" w:rsidR="00A073BD" w:rsidRPr="00A073BD" w:rsidRDefault="00A073BD" w:rsidP="00A073BD">
      <w:pPr>
        <w:spacing w:before="0" w:after="0"/>
        <w:ind w:left="284" w:hanging="284"/>
        <w:rPr>
          <w:rFonts w:ascii="Arial" w:hAnsi="Arial"/>
          <w:sz w:val="14"/>
          <w:szCs w:val="14"/>
          <w:lang w:val="en-AU"/>
        </w:rPr>
      </w:pPr>
      <w:r w:rsidRPr="00A073BD">
        <w:rPr>
          <w:rFonts w:ascii="Arial" w:hAnsi="Arial"/>
          <w:sz w:val="14"/>
          <w:szCs w:val="14"/>
          <w:lang w:val="en-AU"/>
        </w:rPr>
        <w:t xml:space="preserve">a. </w:t>
      </w:r>
      <w:r>
        <w:rPr>
          <w:rFonts w:ascii="Arial" w:hAnsi="Arial"/>
          <w:sz w:val="14"/>
          <w:szCs w:val="14"/>
          <w:lang w:val="en-AU"/>
        </w:rPr>
        <w:tab/>
      </w:r>
      <w:r w:rsidRPr="00A073BD">
        <w:rPr>
          <w:rFonts w:ascii="Arial" w:hAnsi="Arial"/>
          <w:sz w:val="14"/>
          <w:szCs w:val="14"/>
          <w:lang w:val="en-AU"/>
        </w:rPr>
        <w:t>The Defence People Group includes the funded expenditure for the Military Personnel Group and the People Strategy Group.</w:t>
      </w:r>
      <w:r w:rsidRPr="00A073BD">
        <w:rPr>
          <w:rFonts w:ascii="Arial" w:hAnsi="Arial"/>
          <w:sz w:val="14"/>
          <w:szCs w:val="14"/>
          <w:lang w:val="en-AU"/>
        </w:rPr>
        <w:tab/>
      </w:r>
      <w:r w:rsidRPr="00A073BD">
        <w:rPr>
          <w:rFonts w:ascii="Arial" w:hAnsi="Arial"/>
          <w:sz w:val="14"/>
          <w:szCs w:val="14"/>
          <w:lang w:val="en-AU"/>
        </w:rPr>
        <w:tab/>
      </w:r>
      <w:r w:rsidRPr="00A073BD">
        <w:rPr>
          <w:rFonts w:ascii="Arial" w:hAnsi="Arial"/>
          <w:sz w:val="14"/>
          <w:szCs w:val="14"/>
          <w:lang w:val="en-AU"/>
        </w:rPr>
        <w:tab/>
      </w:r>
      <w:r w:rsidRPr="00A073BD">
        <w:rPr>
          <w:rFonts w:ascii="Arial" w:hAnsi="Arial"/>
          <w:sz w:val="14"/>
          <w:szCs w:val="14"/>
          <w:lang w:val="en-AU"/>
        </w:rPr>
        <w:tab/>
      </w:r>
      <w:r w:rsidRPr="00A073BD">
        <w:rPr>
          <w:rFonts w:ascii="Arial" w:hAnsi="Arial"/>
          <w:sz w:val="14"/>
          <w:szCs w:val="14"/>
          <w:lang w:val="en-AU"/>
        </w:rPr>
        <w:tab/>
      </w:r>
    </w:p>
    <w:p w14:paraId="36C3AA61" w14:textId="4B24592B" w:rsidR="00A073BD" w:rsidRPr="00A073BD" w:rsidRDefault="00A073BD" w:rsidP="00A073BD">
      <w:pPr>
        <w:spacing w:before="0" w:after="0"/>
        <w:ind w:left="284" w:hanging="284"/>
        <w:rPr>
          <w:rFonts w:ascii="Arial" w:hAnsi="Arial"/>
          <w:sz w:val="14"/>
          <w:szCs w:val="14"/>
          <w:lang w:val="en-AU"/>
        </w:rPr>
      </w:pPr>
      <w:r w:rsidRPr="00A073BD">
        <w:rPr>
          <w:rFonts w:ascii="Arial" w:hAnsi="Arial"/>
          <w:sz w:val="14"/>
          <w:szCs w:val="14"/>
          <w:lang w:val="en-AU"/>
        </w:rPr>
        <w:t xml:space="preserve">b. </w:t>
      </w:r>
      <w:r>
        <w:rPr>
          <w:rFonts w:ascii="Arial" w:hAnsi="Arial"/>
          <w:sz w:val="14"/>
          <w:szCs w:val="14"/>
          <w:lang w:val="en-AU"/>
        </w:rPr>
        <w:tab/>
      </w:r>
      <w:r w:rsidR="00D32CAD" w:rsidRPr="00B769E6">
        <w:rPr>
          <w:rFonts w:ascii="Arial" w:hAnsi="Arial"/>
          <w:sz w:val="14"/>
          <w:szCs w:val="14"/>
          <w:lang w:val="en-AU"/>
        </w:rPr>
        <w:t>Negative amounts denote a Net reversal of previous asset write-downs (Net write-on position). Total Defence is in a Net write-down and impairment of assets position in 2024-25 Estimated Actual, 2025-26 Budget Estimate and the Forward Estimates. This program is in a Net write-on position in 2024-25 Estimated Actual, 2025-26 Budget Estimate and the Forward Estimates.</w:t>
      </w:r>
      <w:r w:rsidR="00D32CAD" w:rsidRPr="00B769E6">
        <w:rPr>
          <w:rFonts w:ascii="Arial" w:hAnsi="Arial"/>
          <w:sz w:val="14"/>
          <w:szCs w:val="14"/>
          <w:lang w:val="en-AU"/>
        </w:rPr>
        <w:tab/>
      </w:r>
      <w:r w:rsidR="00D32CAD" w:rsidRPr="00B769E6">
        <w:rPr>
          <w:rFonts w:ascii="Arial" w:hAnsi="Arial"/>
          <w:sz w:val="14"/>
          <w:szCs w:val="14"/>
          <w:lang w:val="en-AU"/>
        </w:rPr>
        <w:tab/>
      </w:r>
      <w:r w:rsidR="00D32CAD" w:rsidRPr="00B769E6">
        <w:rPr>
          <w:rFonts w:ascii="Arial" w:hAnsi="Arial"/>
          <w:sz w:val="14"/>
          <w:szCs w:val="14"/>
          <w:lang w:val="en-AU"/>
        </w:rPr>
        <w:tab/>
      </w:r>
      <w:r w:rsidR="00D32CAD" w:rsidRPr="00B769E6">
        <w:rPr>
          <w:rFonts w:ascii="Arial" w:hAnsi="Arial"/>
          <w:sz w:val="14"/>
          <w:szCs w:val="14"/>
          <w:lang w:val="en-AU"/>
        </w:rPr>
        <w:tab/>
      </w:r>
      <w:r w:rsidR="00D32CAD" w:rsidRPr="00B769E6">
        <w:rPr>
          <w:rFonts w:ascii="Arial" w:hAnsi="Arial"/>
          <w:sz w:val="14"/>
          <w:szCs w:val="14"/>
          <w:lang w:val="en-AU"/>
        </w:rPr>
        <w:tab/>
      </w:r>
      <w:r w:rsidRPr="00A073BD">
        <w:rPr>
          <w:rFonts w:ascii="Arial" w:hAnsi="Arial"/>
          <w:sz w:val="14"/>
          <w:szCs w:val="14"/>
          <w:lang w:val="en-AU"/>
        </w:rPr>
        <w:tab/>
      </w:r>
      <w:r w:rsidRPr="00A073BD">
        <w:rPr>
          <w:rFonts w:ascii="Arial" w:hAnsi="Arial"/>
          <w:sz w:val="14"/>
          <w:szCs w:val="14"/>
          <w:lang w:val="en-AU"/>
        </w:rPr>
        <w:tab/>
      </w:r>
      <w:r w:rsidRPr="00A073BD">
        <w:rPr>
          <w:rFonts w:ascii="Arial" w:hAnsi="Arial"/>
          <w:sz w:val="14"/>
          <w:szCs w:val="14"/>
          <w:lang w:val="en-AU"/>
        </w:rPr>
        <w:tab/>
      </w:r>
      <w:r w:rsidRPr="00A073BD">
        <w:rPr>
          <w:rFonts w:ascii="Arial" w:hAnsi="Arial"/>
          <w:sz w:val="14"/>
          <w:szCs w:val="14"/>
          <w:lang w:val="en-AU"/>
        </w:rPr>
        <w:tab/>
      </w:r>
      <w:r w:rsidRPr="00A073BD">
        <w:rPr>
          <w:rFonts w:ascii="Arial" w:hAnsi="Arial"/>
          <w:sz w:val="14"/>
          <w:szCs w:val="14"/>
          <w:lang w:val="en-AU"/>
        </w:rPr>
        <w:tab/>
      </w:r>
    </w:p>
    <w:p w14:paraId="0B6C1173" w14:textId="0D00EFC0" w:rsidR="00A073BD" w:rsidRPr="00A073BD" w:rsidRDefault="00A073BD" w:rsidP="00A073BD">
      <w:pPr>
        <w:spacing w:before="0" w:after="0"/>
        <w:ind w:left="284" w:hanging="284"/>
        <w:rPr>
          <w:rFonts w:ascii="Arial" w:hAnsi="Arial"/>
          <w:sz w:val="14"/>
          <w:szCs w:val="14"/>
          <w:lang w:val="en-AU"/>
        </w:rPr>
      </w:pPr>
      <w:r w:rsidRPr="00A073BD">
        <w:rPr>
          <w:rFonts w:ascii="Arial" w:hAnsi="Arial"/>
          <w:sz w:val="14"/>
          <w:szCs w:val="14"/>
          <w:lang w:val="en-AU"/>
        </w:rPr>
        <w:t xml:space="preserve">c. </w:t>
      </w:r>
      <w:r>
        <w:rPr>
          <w:rFonts w:ascii="Arial" w:hAnsi="Arial"/>
          <w:sz w:val="14"/>
          <w:szCs w:val="14"/>
          <w:lang w:val="en-AU"/>
        </w:rPr>
        <w:tab/>
      </w:r>
      <w:r w:rsidRPr="00A073BD">
        <w:rPr>
          <w:rFonts w:ascii="Arial" w:hAnsi="Arial"/>
          <w:sz w:val="14"/>
          <w:szCs w:val="14"/>
          <w:lang w:val="en-AU"/>
        </w:rPr>
        <w:t>Total Program funded expenditure includes operating expenses and capital expenditure funded by appropriation and own source revenue. This excludes expenses not requiring appropriation.</w:t>
      </w:r>
      <w:r w:rsidRPr="00A073BD">
        <w:rPr>
          <w:rFonts w:ascii="Arial" w:hAnsi="Arial"/>
          <w:sz w:val="14"/>
          <w:szCs w:val="14"/>
          <w:lang w:val="en-AU"/>
        </w:rPr>
        <w:tab/>
      </w:r>
      <w:r w:rsidRPr="00A073BD">
        <w:rPr>
          <w:rFonts w:ascii="Arial" w:hAnsi="Arial"/>
          <w:sz w:val="14"/>
          <w:szCs w:val="14"/>
          <w:lang w:val="en-AU"/>
        </w:rPr>
        <w:tab/>
      </w:r>
      <w:r w:rsidRPr="00A073BD">
        <w:rPr>
          <w:rFonts w:ascii="Arial" w:hAnsi="Arial"/>
          <w:sz w:val="14"/>
          <w:szCs w:val="14"/>
          <w:lang w:val="en-AU"/>
        </w:rPr>
        <w:tab/>
      </w:r>
      <w:r w:rsidRPr="00A073BD">
        <w:rPr>
          <w:rFonts w:ascii="Arial" w:hAnsi="Arial"/>
          <w:sz w:val="14"/>
          <w:szCs w:val="14"/>
          <w:lang w:val="en-AU"/>
        </w:rPr>
        <w:tab/>
      </w:r>
      <w:r w:rsidRPr="00A073BD">
        <w:rPr>
          <w:rFonts w:ascii="Arial" w:hAnsi="Arial"/>
          <w:sz w:val="14"/>
          <w:szCs w:val="14"/>
          <w:lang w:val="en-AU"/>
        </w:rPr>
        <w:tab/>
      </w:r>
    </w:p>
    <w:p w14:paraId="22DB0C34" w14:textId="48B7856D" w:rsidR="00DD7C36" w:rsidRPr="00DD7C36" w:rsidRDefault="00A073BD" w:rsidP="00A073BD">
      <w:pPr>
        <w:spacing w:before="0" w:after="0"/>
        <w:ind w:left="284" w:hanging="284"/>
        <w:rPr>
          <w:rFonts w:ascii="Arial" w:hAnsi="Arial"/>
          <w:sz w:val="14"/>
          <w:szCs w:val="14"/>
          <w:lang w:val="en-AU"/>
        </w:rPr>
      </w:pPr>
      <w:r w:rsidRPr="00A073BD">
        <w:rPr>
          <w:rFonts w:ascii="Arial" w:hAnsi="Arial"/>
          <w:sz w:val="14"/>
          <w:szCs w:val="14"/>
          <w:lang w:val="en-AU"/>
        </w:rPr>
        <w:t xml:space="preserve">d. </w:t>
      </w:r>
      <w:r>
        <w:rPr>
          <w:rFonts w:ascii="Arial" w:hAnsi="Arial"/>
          <w:sz w:val="14"/>
          <w:szCs w:val="14"/>
          <w:lang w:val="en-AU"/>
        </w:rPr>
        <w:tab/>
      </w:r>
      <w:r w:rsidRPr="00A073BD">
        <w:rPr>
          <w:rFonts w:ascii="Arial" w:hAnsi="Arial"/>
          <w:sz w:val="14"/>
          <w:szCs w:val="14"/>
          <w:lang w:val="en-AU"/>
        </w:rPr>
        <w:t>The change in estimates includes movement of functions and their associated budgets within Defence</w:t>
      </w:r>
      <w:r w:rsidRPr="00A073BD">
        <w:rPr>
          <w:rFonts w:ascii="Arial" w:hAnsi="Arial"/>
          <w:sz w:val="14"/>
          <w:szCs w:val="14"/>
          <w:lang w:val="en-AU"/>
        </w:rPr>
        <w:tab/>
      </w:r>
      <w:r w:rsidRPr="00A073BD">
        <w:rPr>
          <w:rFonts w:ascii="Arial" w:hAnsi="Arial"/>
          <w:sz w:val="14"/>
          <w:szCs w:val="14"/>
          <w:lang w:val="en-AU"/>
        </w:rPr>
        <w:tab/>
      </w:r>
      <w:r w:rsidRPr="00A073BD">
        <w:rPr>
          <w:rFonts w:ascii="Arial" w:hAnsi="Arial"/>
          <w:sz w:val="14"/>
          <w:szCs w:val="14"/>
          <w:lang w:val="en-AU"/>
        </w:rPr>
        <w:tab/>
      </w:r>
      <w:r w:rsidRPr="00A073BD">
        <w:rPr>
          <w:rFonts w:ascii="Arial" w:hAnsi="Arial"/>
          <w:sz w:val="14"/>
          <w:szCs w:val="14"/>
          <w:lang w:val="en-AU"/>
        </w:rPr>
        <w:tab/>
      </w:r>
      <w:r w:rsidRPr="00A073BD">
        <w:rPr>
          <w:rFonts w:ascii="Arial" w:hAnsi="Arial"/>
          <w:sz w:val="14"/>
          <w:szCs w:val="14"/>
          <w:lang w:val="en-AU"/>
        </w:rPr>
        <w:tab/>
      </w:r>
      <w:r w:rsidR="003A0A8B" w:rsidRPr="003A0A8B">
        <w:rPr>
          <w:rFonts w:ascii="Arial" w:hAnsi="Arial"/>
          <w:sz w:val="14"/>
          <w:szCs w:val="14"/>
          <w:lang w:val="en-AU"/>
        </w:rPr>
        <w:t>.</w:t>
      </w:r>
      <w:r w:rsidR="003A0A8B" w:rsidRPr="003A0A8B">
        <w:rPr>
          <w:rFonts w:ascii="Arial" w:hAnsi="Arial"/>
          <w:sz w:val="14"/>
          <w:szCs w:val="14"/>
          <w:lang w:val="en-AU"/>
        </w:rPr>
        <w:tab/>
      </w:r>
      <w:r w:rsidR="003A0A8B" w:rsidRPr="003A0A8B">
        <w:rPr>
          <w:rFonts w:ascii="Arial" w:hAnsi="Arial"/>
          <w:sz w:val="14"/>
          <w:szCs w:val="14"/>
          <w:lang w:val="en-AU"/>
        </w:rPr>
        <w:tab/>
      </w:r>
      <w:r w:rsidR="003A0A8B" w:rsidRPr="003A0A8B">
        <w:rPr>
          <w:rFonts w:ascii="Arial" w:hAnsi="Arial"/>
          <w:sz w:val="14"/>
          <w:szCs w:val="14"/>
          <w:lang w:val="en-AU"/>
        </w:rPr>
        <w:tab/>
      </w:r>
      <w:r w:rsidR="003A0A8B" w:rsidRPr="003A0A8B">
        <w:rPr>
          <w:rFonts w:ascii="Arial" w:hAnsi="Arial"/>
          <w:sz w:val="14"/>
          <w:szCs w:val="14"/>
          <w:lang w:val="en-AU"/>
        </w:rPr>
        <w:tab/>
      </w:r>
      <w:r w:rsidR="003A0A8B" w:rsidRPr="003A0A8B">
        <w:rPr>
          <w:rFonts w:ascii="Arial" w:hAnsi="Arial"/>
          <w:sz w:val="14"/>
          <w:szCs w:val="14"/>
          <w:lang w:val="en-AU"/>
        </w:rPr>
        <w:tab/>
      </w:r>
    </w:p>
    <w:p w14:paraId="486FDBA4" w14:textId="77777777" w:rsidR="00650FED" w:rsidRPr="00B56FAA" w:rsidRDefault="006323C6" w:rsidP="00777CE3">
      <w:pPr>
        <w:spacing w:before="0" w:after="0"/>
        <w:outlineLvl w:val="5"/>
        <w:rPr>
          <w:color w:val="FFFFFF"/>
          <w:sz w:val="2"/>
          <w:szCs w:val="2"/>
        </w:rPr>
      </w:pPr>
      <w:r w:rsidRPr="00B56FAA">
        <w:rPr>
          <w:lang w:val="en-AU"/>
        </w:rPr>
        <w:br w:type="page"/>
      </w:r>
      <w:r w:rsidR="00650FED" w:rsidRPr="00B56FAA">
        <w:rPr>
          <w:color w:val="FFFFFF"/>
          <w:sz w:val="2"/>
          <w:szCs w:val="2"/>
        </w:rPr>
        <w:lastRenderedPageBreak/>
        <w:t>Program 2.13: Defence Science and Technology</w:t>
      </w:r>
    </w:p>
    <w:tbl>
      <w:tblPr>
        <w:tblW w:w="4852"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1671"/>
        <w:gridCol w:w="2884"/>
        <w:gridCol w:w="3032"/>
        <w:gridCol w:w="23"/>
      </w:tblGrid>
      <w:tr w:rsidR="00F7100A" w:rsidRPr="00B56FAA" w14:paraId="5EAD6ED1" w14:textId="77777777" w:rsidTr="00E364DF">
        <w:trPr>
          <w:gridAfter w:val="1"/>
          <w:wAfter w:w="23" w:type="dxa"/>
        </w:trPr>
        <w:tc>
          <w:tcPr>
            <w:tcW w:w="7587" w:type="dxa"/>
            <w:gridSpan w:val="3"/>
            <w:tcBorders>
              <w:bottom w:val="single" w:sz="4" w:space="0" w:color="auto"/>
            </w:tcBorders>
            <w:shd w:val="clear" w:color="auto" w:fill="CCCCCC"/>
          </w:tcPr>
          <w:p w14:paraId="0649F7A0" w14:textId="77777777" w:rsidR="00F7100A" w:rsidRPr="00B56FAA" w:rsidRDefault="00F7100A" w:rsidP="00072EF9">
            <w:pPr>
              <w:pStyle w:val="Heading5"/>
              <w:spacing w:before="60" w:after="60"/>
            </w:pPr>
            <w:bookmarkStart w:id="784" w:name="OLE_LINK1"/>
            <w:r w:rsidRPr="00B56FAA">
              <w:t>Program 2.13: Defence Science and Technology</w:t>
            </w:r>
          </w:p>
        </w:tc>
      </w:tr>
      <w:tr w:rsidR="00F7100A" w:rsidRPr="00B56FAA" w14:paraId="7FEFB4B6" w14:textId="77777777" w:rsidTr="00E364DF">
        <w:trPr>
          <w:gridAfter w:val="1"/>
          <w:wAfter w:w="23" w:type="dxa"/>
          <w:trHeight w:val="170"/>
        </w:trPr>
        <w:tc>
          <w:tcPr>
            <w:tcW w:w="7587" w:type="dxa"/>
            <w:gridSpan w:val="3"/>
            <w:tcBorders>
              <w:left w:val="nil"/>
              <w:bottom w:val="single" w:sz="4" w:space="0" w:color="auto"/>
              <w:right w:val="nil"/>
            </w:tcBorders>
            <w:shd w:val="clear" w:color="auto" w:fill="auto"/>
          </w:tcPr>
          <w:p w14:paraId="3E8142E2" w14:textId="77777777" w:rsidR="00F7100A" w:rsidRPr="00B56FAA" w:rsidRDefault="00F7100A" w:rsidP="00072EF9">
            <w:pPr>
              <w:pStyle w:val="Heading5"/>
              <w:spacing w:before="0" w:after="0"/>
              <w:rPr>
                <w:sz w:val="16"/>
                <w:szCs w:val="16"/>
              </w:rPr>
            </w:pPr>
          </w:p>
        </w:tc>
      </w:tr>
      <w:tr w:rsidR="00F7100A" w:rsidRPr="00321534" w14:paraId="088D74AF" w14:textId="77777777" w:rsidTr="00E364DF">
        <w:tblPrEx>
          <w:shd w:val="clear" w:color="auto" w:fill="auto"/>
          <w:tblLook w:val="04A0" w:firstRow="1" w:lastRow="0" w:firstColumn="1" w:lastColumn="0" w:noHBand="0" w:noVBand="1"/>
        </w:tblPrEx>
        <w:trPr>
          <w:tblHeader/>
        </w:trPr>
        <w:tc>
          <w:tcPr>
            <w:tcW w:w="7610" w:type="dxa"/>
            <w:gridSpan w:val="4"/>
            <w:shd w:val="clear" w:color="auto" w:fill="E6E6E6"/>
          </w:tcPr>
          <w:p w14:paraId="29F49770" w14:textId="77777777" w:rsidR="00F7100A" w:rsidRPr="00321534" w:rsidRDefault="00F7100A" w:rsidP="00072EF9">
            <w:pPr>
              <w:tabs>
                <w:tab w:val="left" w:pos="709"/>
              </w:tabs>
              <w:spacing w:before="60" w:after="60"/>
              <w:rPr>
                <w:rFonts w:ascii="Arial" w:hAnsi="Arial"/>
                <w:sz w:val="16"/>
                <w:szCs w:val="16"/>
              </w:rPr>
            </w:pPr>
            <w:r w:rsidRPr="00321534">
              <w:rPr>
                <w:rFonts w:ascii="Arial" w:hAnsi="Arial"/>
                <w:b/>
                <w:sz w:val="16"/>
                <w:szCs w:val="16"/>
              </w:rPr>
              <w:t>Program 2.13</w:t>
            </w:r>
            <w:r w:rsidRPr="00321534">
              <w:rPr>
                <w:rFonts w:ascii="Arial" w:hAnsi="Arial"/>
                <w:sz w:val="16"/>
                <w:szCs w:val="16"/>
              </w:rPr>
              <w:t xml:space="preserve"> </w:t>
            </w:r>
            <w:r w:rsidRPr="00321534">
              <w:rPr>
                <w:rFonts w:ascii="Arial" w:hAnsi="Arial"/>
                <w:b/>
                <w:sz w:val="16"/>
                <w:szCs w:val="16"/>
              </w:rPr>
              <w:t>Objective</w:t>
            </w:r>
          </w:p>
          <w:p w14:paraId="27627E21" w14:textId="77777777" w:rsidR="00F7100A" w:rsidRPr="00321534" w:rsidRDefault="00F7100A" w:rsidP="00072EF9">
            <w:pPr>
              <w:tabs>
                <w:tab w:val="left" w:pos="709"/>
              </w:tabs>
              <w:spacing w:before="60" w:after="60"/>
              <w:jc w:val="both"/>
              <w:rPr>
                <w:rFonts w:ascii="Arial" w:hAnsi="Arial"/>
                <w:sz w:val="16"/>
                <w:szCs w:val="16"/>
              </w:rPr>
            </w:pPr>
            <w:r w:rsidRPr="00321534">
              <w:rPr>
                <w:rFonts w:ascii="Arial" w:hAnsi="Arial"/>
                <w:sz w:val="16"/>
                <w:szCs w:val="16"/>
              </w:rPr>
              <w:t>To develop innovative technologies that can be delivered by industry and transitioned into Defence capability, and to shape innovation, science and technology within Defence and across the nation.</w:t>
            </w:r>
          </w:p>
        </w:tc>
      </w:tr>
      <w:tr w:rsidR="00321534" w:rsidRPr="00321534" w14:paraId="2304F3C2" w14:textId="77777777" w:rsidTr="000738A0">
        <w:tblPrEx>
          <w:shd w:val="clear" w:color="auto" w:fill="auto"/>
          <w:tblLook w:val="04A0" w:firstRow="1" w:lastRow="0" w:firstColumn="1" w:lastColumn="0" w:noHBand="0" w:noVBand="1"/>
        </w:tblPrEx>
        <w:trPr>
          <w:trHeight w:val="312"/>
        </w:trPr>
        <w:tc>
          <w:tcPr>
            <w:tcW w:w="1671" w:type="dxa"/>
            <w:tcBorders>
              <w:bottom w:val="single" w:sz="4" w:space="0" w:color="auto"/>
            </w:tcBorders>
          </w:tcPr>
          <w:p w14:paraId="35C215FF" w14:textId="77777777" w:rsidR="00321534" w:rsidRPr="00321534" w:rsidRDefault="00321534" w:rsidP="00321534">
            <w:pPr>
              <w:tabs>
                <w:tab w:val="left" w:pos="709"/>
              </w:tabs>
              <w:spacing w:before="60" w:after="60"/>
              <w:rPr>
                <w:rFonts w:ascii="Arial" w:hAnsi="Arial"/>
                <w:b/>
                <w:color w:val="000000"/>
                <w:sz w:val="16"/>
                <w:szCs w:val="16"/>
              </w:rPr>
            </w:pPr>
            <w:r w:rsidRPr="00321534">
              <w:rPr>
                <w:rFonts w:ascii="Arial" w:hAnsi="Arial"/>
                <w:b/>
                <w:color w:val="000000"/>
                <w:sz w:val="16"/>
                <w:szCs w:val="16"/>
              </w:rPr>
              <w:t>Key Activities</w:t>
            </w:r>
          </w:p>
        </w:tc>
        <w:tc>
          <w:tcPr>
            <w:tcW w:w="5939" w:type="dxa"/>
            <w:gridSpan w:val="3"/>
            <w:tcBorders>
              <w:bottom w:val="single" w:sz="4" w:space="0" w:color="auto"/>
            </w:tcBorders>
          </w:tcPr>
          <w:p w14:paraId="71D2A8DB" w14:textId="77777777" w:rsidR="00321534" w:rsidRPr="00DA6484" w:rsidRDefault="00321534" w:rsidP="00321534">
            <w:pPr>
              <w:tabs>
                <w:tab w:val="left" w:pos="709"/>
              </w:tabs>
              <w:spacing w:before="60" w:after="60"/>
              <w:rPr>
                <w:rFonts w:ascii="Arial" w:hAnsi="Arial"/>
                <w:bCs/>
                <w:color w:val="000000"/>
                <w:sz w:val="16"/>
                <w:szCs w:val="16"/>
                <w:lang w:val="en-AU"/>
              </w:rPr>
            </w:pPr>
            <w:r w:rsidRPr="00DA6484">
              <w:rPr>
                <w:rFonts w:ascii="Arial" w:hAnsi="Arial"/>
                <w:bCs/>
                <w:color w:val="000000"/>
                <w:sz w:val="16"/>
                <w:szCs w:val="16"/>
                <w:lang w:val="en-AU"/>
              </w:rPr>
              <w:t>This program is achieved through the following activities:</w:t>
            </w:r>
          </w:p>
          <w:p w14:paraId="39A4D5DE" w14:textId="77777777" w:rsidR="00321534" w:rsidRPr="00DA6484" w:rsidRDefault="00321534" w:rsidP="00321534">
            <w:pPr>
              <w:tabs>
                <w:tab w:val="left" w:pos="343"/>
              </w:tabs>
              <w:spacing w:before="60" w:after="60"/>
              <w:rPr>
                <w:rFonts w:ascii="Arial" w:hAnsi="Arial"/>
                <w:sz w:val="16"/>
                <w:szCs w:val="16"/>
              </w:rPr>
            </w:pPr>
            <w:r w:rsidRPr="00DA6484">
              <w:rPr>
                <w:rFonts w:ascii="Arial" w:hAnsi="Arial"/>
                <w:b/>
                <w:sz w:val="16"/>
                <w:szCs w:val="16"/>
                <w:lang w:val="en-AU"/>
              </w:rPr>
              <w:t>6. Deliver future capability</w:t>
            </w:r>
            <w:r w:rsidRPr="00DA6484">
              <w:rPr>
                <w:rFonts w:ascii="Arial" w:hAnsi="Arial"/>
                <w:sz w:val="16"/>
                <w:szCs w:val="16"/>
                <w:lang w:val="en-AU"/>
              </w:rPr>
              <w:t xml:space="preserve">. </w:t>
            </w:r>
            <w:r w:rsidRPr="00DA6484">
              <w:rPr>
                <w:rFonts w:ascii="Arial" w:hAnsi="Arial"/>
                <w:sz w:val="16"/>
                <w:szCs w:val="16"/>
              </w:rPr>
              <w:t xml:space="preserve">Defence will accelerate the development of important capabilities over the next decade to build an integrated, focused force across the maritime, land, air, space and cyber domains. This will ensure the Australian Defence Force has the capacity to defend Australia and its national interests in our evolving strategic circumstances and deter adversaries through a strategy of denial. </w:t>
            </w:r>
          </w:p>
          <w:p w14:paraId="03AD6651" w14:textId="77777777" w:rsidR="00321534" w:rsidRPr="00DA6484" w:rsidRDefault="00321534" w:rsidP="00321534">
            <w:pPr>
              <w:tabs>
                <w:tab w:val="left" w:pos="343"/>
              </w:tabs>
              <w:spacing w:before="60" w:after="60"/>
              <w:rPr>
                <w:rFonts w:ascii="Arial" w:hAnsi="Arial"/>
                <w:sz w:val="16"/>
                <w:szCs w:val="16"/>
                <w:lang w:val="en-AU"/>
              </w:rPr>
            </w:pPr>
            <w:r w:rsidRPr="00DA6484">
              <w:rPr>
                <w:rFonts w:ascii="Arial" w:hAnsi="Arial"/>
                <w:sz w:val="16"/>
                <w:szCs w:val="16"/>
              </w:rPr>
              <w:t xml:space="preserve">Innovation, science and technology plans make a significant contribution to Integrated Investment Program projects by reducing risk and allowing the insertion of emerging technologies.  </w:t>
            </w:r>
          </w:p>
          <w:p w14:paraId="2E3ADB89" w14:textId="77777777" w:rsidR="00321534" w:rsidRPr="00DA6484" w:rsidRDefault="00321534" w:rsidP="00321534">
            <w:pPr>
              <w:tabs>
                <w:tab w:val="left" w:pos="343"/>
              </w:tabs>
              <w:spacing w:before="60" w:after="60"/>
              <w:rPr>
                <w:rFonts w:ascii="Arial" w:hAnsi="Arial"/>
                <w:i/>
                <w:color w:val="000000"/>
                <w:sz w:val="16"/>
                <w:szCs w:val="16"/>
              </w:rPr>
            </w:pPr>
            <w:r w:rsidRPr="00DA6484">
              <w:rPr>
                <w:rFonts w:ascii="Arial" w:hAnsi="Arial"/>
                <w:b/>
                <w:sz w:val="16"/>
                <w:szCs w:val="16"/>
                <w:lang w:val="en-AU"/>
              </w:rPr>
              <w:t xml:space="preserve">7. Develop the sovereign defence industrial base required for our national security. </w:t>
            </w:r>
            <w:r w:rsidRPr="00DA6484">
              <w:rPr>
                <w:rFonts w:ascii="Arial" w:hAnsi="Arial"/>
                <w:sz w:val="16"/>
                <w:szCs w:val="16"/>
                <w:lang w:val="en-AU"/>
              </w:rPr>
              <w:t>The Government’s significant investment in Defence over the coming decade will advance Australia’s prosperity through expenditure on defence capabilities, support to new and existing defence industries and the creation of jobs.</w:t>
            </w:r>
          </w:p>
        </w:tc>
      </w:tr>
      <w:tr w:rsidR="00321534" w:rsidRPr="00321534" w14:paraId="4C0ED78E" w14:textId="77777777" w:rsidTr="000738A0">
        <w:tblPrEx>
          <w:shd w:val="clear" w:color="auto" w:fill="auto"/>
          <w:tblLook w:val="04A0" w:firstRow="1" w:lastRow="0" w:firstColumn="1" w:lastColumn="0" w:noHBand="0" w:noVBand="1"/>
        </w:tblPrEx>
        <w:trPr>
          <w:trHeight w:val="100"/>
        </w:trPr>
        <w:tc>
          <w:tcPr>
            <w:tcW w:w="1671" w:type="dxa"/>
            <w:tcBorders>
              <w:top w:val="single" w:sz="4" w:space="0" w:color="auto"/>
              <w:bottom w:val="single" w:sz="4" w:space="0" w:color="auto"/>
              <w:right w:val="single" w:sz="4" w:space="0" w:color="auto"/>
            </w:tcBorders>
          </w:tcPr>
          <w:p w14:paraId="10081CEA" w14:textId="77777777" w:rsidR="00321534" w:rsidRPr="00321534" w:rsidRDefault="00321534" w:rsidP="00321534">
            <w:pPr>
              <w:tabs>
                <w:tab w:val="left" w:pos="709"/>
              </w:tabs>
              <w:spacing w:before="60" w:after="60"/>
              <w:rPr>
                <w:rFonts w:ascii="Arial" w:hAnsi="Arial"/>
                <w:color w:val="000000"/>
                <w:sz w:val="16"/>
                <w:szCs w:val="16"/>
              </w:rPr>
            </w:pPr>
            <w:r w:rsidRPr="00321534">
              <w:rPr>
                <w:rFonts w:ascii="Arial" w:hAnsi="Arial"/>
                <w:b/>
                <w:color w:val="000000"/>
                <w:sz w:val="16"/>
                <w:szCs w:val="16"/>
              </w:rPr>
              <w:t>Year</w:t>
            </w:r>
          </w:p>
        </w:tc>
        <w:tc>
          <w:tcPr>
            <w:tcW w:w="2884" w:type="dxa"/>
            <w:tcBorders>
              <w:top w:val="single" w:sz="4" w:space="0" w:color="auto"/>
              <w:left w:val="single" w:sz="4" w:space="0" w:color="auto"/>
              <w:bottom w:val="single" w:sz="4" w:space="0" w:color="auto"/>
              <w:right w:val="single" w:sz="4" w:space="0" w:color="auto"/>
            </w:tcBorders>
          </w:tcPr>
          <w:p w14:paraId="224A02C5" w14:textId="77777777" w:rsidR="00321534" w:rsidRPr="00321534" w:rsidRDefault="00321534" w:rsidP="00321534">
            <w:pPr>
              <w:tabs>
                <w:tab w:val="left" w:pos="709"/>
              </w:tabs>
              <w:spacing w:before="60" w:after="60"/>
              <w:rPr>
                <w:rFonts w:ascii="Arial" w:hAnsi="Arial"/>
                <w:color w:val="000000"/>
              </w:rPr>
            </w:pPr>
            <w:r w:rsidRPr="00321534">
              <w:rPr>
                <w:rFonts w:ascii="Arial" w:hAnsi="Arial"/>
                <w:b/>
                <w:color w:val="000000"/>
                <w:sz w:val="16"/>
                <w:szCs w:val="16"/>
              </w:rPr>
              <w:t>Performance measures</w:t>
            </w:r>
          </w:p>
        </w:tc>
        <w:tc>
          <w:tcPr>
            <w:tcW w:w="3055" w:type="dxa"/>
            <w:gridSpan w:val="2"/>
            <w:tcBorders>
              <w:top w:val="single" w:sz="4" w:space="0" w:color="auto"/>
              <w:left w:val="single" w:sz="4" w:space="0" w:color="auto"/>
              <w:bottom w:val="single" w:sz="4" w:space="0" w:color="auto"/>
            </w:tcBorders>
          </w:tcPr>
          <w:p w14:paraId="0C58F72B" w14:textId="77777777" w:rsidR="00321534" w:rsidRPr="00321534" w:rsidRDefault="00321534" w:rsidP="00321534">
            <w:pPr>
              <w:tabs>
                <w:tab w:val="left" w:pos="709"/>
              </w:tabs>
              <w:spacing w:before="60" w:after="60"/>
              <w:rPr>
                <w:rFonts w:ascii="Arial" w:hAnsi="Arial"/>
                <w:i/>
                <w:color w:val="000000"/>
                <w:sz w:val="16"/>
                <w:szCs w:val="16"/>
              </w:rPr>
            </w:pPr>
            <w:r w:rsidRPr="00321534">
              <w:rPr>
                <w:rFonts w:ascii="Arial" w:hAnsi="Arial"/>
                <w:b/>
                <w:color w:val="000000"/>
                <w:sz w:val="16"/>
                <w:szCs w:val="16"/>
              </w:rPr>
              <w:t>Expected Performance Results</w:t>
            </w:r>
          </w:p>
        </w:tc>
      </w:tr>
      <w:tr w:rsidR="00321534" w:rsidRPr="00321534" w14:paraId="3C66F948" w14:textId="77777777" w:rsidTr="000738A0">
        <w:tblPrEx>
          <w:shd w:val="clear" w:color="auto" w:fill="auto"/>
          <w:tblLook w:val="04A0" w:firstRow="1" w:lastRow="0" w:firstColumn="1" w:lastColumn="0" w:noHBand="0" w:noVBand="1"/>
        </w:tblPrEx>
        <w:trPr>
          <w:trHeight w:val="305"/>
        </w:trPr>
        <w:tc>
          <w:tcPr>
            <w:tcW w:w="1671" w:type="dxa"/>
            <w:vMerge w:val="restart"/>
            <w:tcBorders>
              <w:top w:val="single" w:sz="4" w:space="0" w:color="auto"/>
              <w:right w:val="single" w:sz="4" w:space="0" w:color="auto"/>
            </w:tcBorders>
          </w:tcPr>
          <w:p w14:paraId="70703F7F" w14:textId="77777777" w:rsidR="00321534" w:rsidRPr="00321534" w:rsidRDefault="00321534" w:rsidP="00321534">
            <w:pPr>
              <w:tabs>
                <w:tab w:val="left" w:pos="709"/>
              </w:tabs>
              <w:spacing w:before="0" w:after="0"/>
              <w:rPr>
                <w:rFonts w:ascii="Arial" w:hAnsi="Arial"/>
                <w:color w:val="000000"/>
                <w:sz w:val="16"/>
                <w:szCs w:val="16"/>
              </w:rPr>
            </w:pPr>
            <w:r w:rsidRPr="00321534">
              <w:rPr>
                <w:rFonts w:ascii="Arial" w:hAnsi="Arial"/>
                <w:color w:val="000000"/>
                <w:sz w:val="16"/>
                <w:szCs w:val="16"/>
              </w:rPr>
              <w:t>Current Year</w:t>
            </w:r>
          </w:p>
          <w:p w14:paraId="1D40CDF8" w14:textId="5A2558AD" w:rsidR="00321534" w:rsidRPr="00321534" w:rsidRDefault="00321534" w:rsidP="00AD3193">
            <w:pPr>
              <w:tabs>
                <w:tab w:val="left" w:pos="709"/>
              </w:tabs>
              <w:spacing w:before="0" w:after="0"/>
              <w:rPr>
                <w:rFonts w:ascii="Arial" w:hAnsi="Arial"/>
                <w:color w:val="000000"/>
                <w:sz w:val="16"/>
                <w:szCs w:val="16"/>
              </w:rPr>
            </w:pPr>
            <w:r w:rsidRPr="00321534">
              <w:rPr>
                <w:rFonts w:ascii="Arial" w:hAnsi="Arial"/>
                <w:color w:val="000000"/>
                <w:sz w:val="16"/>
                <w:szCs w:val="16"/>
              </w:rPr>
              <w:t>202</w:t>
            </w:r>
            <w:r w:rsidR="00AD3193">
              <w:rPr>
                <w:rFonts w:ascii="Arial" w:hAnsi="Arial"/>
                <w:color w:val="000000"/>
                <w:sz w:val="16"/>
                <w:szCs w:val="16"/>
              </w:rPr>
              <w:t>4</w:t>
            </w:r>
            <w:r w:rsidRPr="00321534">
              <w:rPr>
                <w:rFonts w:ascii="Arial" w:hAnsi="Arial"/>
                <w:color w:val="000000"/>
                <w:sz w:val="16"/>
                <w:szCs w:val="16"/>
              </w:rPr>
              <w:t>-2</w:t>
            </w:r>
            <w:r w:rsidR="00AD3193">
              <w:rPr>
                <w:rFonts w:ascii="Arial" w:hAnsi="Arial"/>
                <w:color w:val="000000"/>
                <w:sz w:val="16"/>
                <w:szCs w:val="16"/>
              </w:rPr>
              <w:t>5</w:t>
            </w:r>
          </w:p>
        </w:tc>
        <w:tc>
          <w:tcPr>
            <w:tcW w:w="2884" w:type="dxa"/>
            <w:tcBorders>
              <w:top w:val="single" w:sz="4" w:space="0" w:color="auto"/>
              <w:left w:val="single" w:sz="4" w:space="0" w:color="auto"/>
              <w:bottom w:val="dotted" w:sz="4" w:space="0" w:color="auto"/>
              <w:right w:val="single" w:sz="4" w:space="0" w:color="auto"/>
            </w:tcBorders>
          </w:tcPr>
          <w:p w14:paraId="5A2A6D0C" w14:textId="77777777" w:rsidR="00321534" w:rsidRPr="00321534" w:rsidRDefault="00321534" w:rsidP="0027665E">
            <w:pPr>
              <w:tabs>
                <w:tab w:val="left" w:pos="709"/>
              </w:tabs>
              <w:spacing w:before="60" w:after="60"/>
              <w:rPr>
                <w:rFonts w:ascii="Arial" w:hAnsi="Arial"/>
                <w:color w:val="000000"/>
                <w:sz w:val="16"/>
                <w:szCs w:val="16"/>
              </w:rPr>
            </w:pPr>
            <w:r w:rsidRPr="00321534">
              <w:rPr>
                <w:rFonts w:ascii="Arial" w:hAnsi="Arial"/>
                <w:sz w:val="16"/>
                <w:szCs w:val="16"/>
                <w:lang w:val="en-AU"/>
              </w:rPr>
              <w:t xml:space="preserve">6.1: Defence is delivering the right future capability at the right time within the Integrated Investment Program to ensure it is equipped to respond to future security challenges as directed by the </w:t>
            </w:r>
            <w:r w:rsidRPr="00E00255">
              <w:rPr>
                <w:rFonts w:ascii="Arial" w:hAnsi="Arial"/>
                <w:i/>
                <w:sz w:val="16"/>
                <w:szCs w:val="16"/>
                <w:lang w:val="en-AU"/>
              </w:rPr>
              <w:t>2024 National Defence Strategy</w:t>
            </w:r>
            <w:r w:rsidRPr="00321534">
              <w:rPr>
                <w:rFonts w:ascii="Arial" w:hAnsi="Arial"/>
                <w:sz w:val="16"/>
                <w:szCs w:val="16"/>
                <w:lang w:val="en-AU"/>
              </w:rPr>
              <w:t>.</w:t>
            </w:r>
          </w:p>
        </w:tc>
        <w:tc>
          <w:tcPr>
            <w:tcW w:w="3055" w:type="dxa"/>
            <w:gridSpan w:val="2"/>
            <w:tcBorders>
              <w:top w:val="single" w:sz="4" w:space="0" w:color="auto"/>
              <w:left w:val="single" w:sz="4" w:space="0" w:color="auto"/>
              <w:bottom w:val="dotted" w:sz="4" w:space="0" w:color="auto"/>
            </w:tcBorders>
          </w:tcPr>
          <w:p w14:paraId="28A649EA" w14:textId="77777777" w:rsidR="00321534" w:rsidRPr="00321534" w:rsidRDefault="00321534" w:rsidP="00321534">
            <w:pPr>
              <w:tabs>
                <w:tab w:val="left" w:pos="709"/>
              </w:tabs>
              <w:spacing w:before="60" w:after="60"/>
              <w:rPr>
                <w:rFonts w:ascii="Arial" w:hAnsi="Arial"/>
                <w:sz w:val="16"/>
                <w:szCs w:val="16"/>
                <w:lang w:val="en-AU"/>
              </w:rPr>
            </w:pPr>
            <w:r w:rsidRPr="00321534">
              <w:rPr>
                <w:rFonts w:ascii="Arial" w:hAnsi="Arial"/>
                <w:sz w:val="16"/>
                <w:szCs w:val="16"/>
                <w:lang w:val="en-AU"/>
              </w:rPr>
              <w:t>80 per cent or more of approved Integrated Investment Program projects across all domains are on track to deliver the scope approved by Government within Government approved cost and schedule.</w:t>
            </w:r>
          </w:p>
          <w:p w14:paraId="0E6E66B5" w14:textId="4E70B330" w:rsidR="00321534" w:rsidRPr="00321534" w:rsidRDefault="00C02DA8" w:rsidP="00321534">
            <w:pPr>
              <w:tabs>
                <w:tab w:val="left" w:pos="709"/>
              </w:tabs>
              <w:spacing w:before="60" w:after="60"/>
              <w:jc w:val="right"/>
              <w:rPr>
                <w:rFonts w:ascii="Arial" w:hAnsi="Arial"/>
                <w:sz w:val="16"/>
                <w:szCs w:val="16"/>
              </w:rPr>
            </w:pPr>
            <w:r w:rsidRPr="00C02DA8">
              <w:rPr>
                <w:rFonts w:ascii="Arial" w:hAnsi="Arial"/>
                <w:i/>
                <w:sz w:val="16"/>
                <w:szCs w:val="16"/>
                <w:lang w:val="en-AU"/>
              </w:rPr>
              <w:t>Expected to be substantially achieved.</w:t>
            </w:r>
          </w:p>
        </w:tc>
      </w:tr>
      <w:tr w:rsidR="00C02DA8" w:rsidRPr="00BA1388" w14:paraId="2F55B198" w14:textId="77777777" w:rsidTr="000738A0">
        <w:tblPrEx>
          <w:shd w:val="clear" w:color="auto" w:fill="auto"/>
          <w:tblLook w:val="04A0" w:firstRow="1" w:lastRow="0" w:firstColumn="1" w:lastColumn="0" w:noHBand="0" w:noVBand="1"/>
        </w:tblPrEx>
        <w:trPr>
          <w:trHeight w:val="305"/>
        </w:trPr>
        <w:tc>
          <w:tcPr>
            <w:tcW w:w="1671" w:type="dxa"/>
            <w:vMerge/>
            <w:tcBorders>
              <w:bottom w:val="single" w:sz="4" w:space="0" w:color="auto"/>
              <w:right w:val="single" w:sz="4" w:space="0" w:color="auto"/>
            </w:tcBorders>
          </w:tcPr>
          <w:p w14:paraId="55761C97" w14:textId="77777777" w:rsidR="00C02DA8" w:rsidRPr="00321534" w:rsidRDefault="00C02DA8" w:rsidP="00C02DA8">
            <w:pPr>
              <w:tabs>
                <w:tab w:val="left" w:pos="709"/>
              </w:tabs>
              <w:spacing w:before="60" w:after="60"/>
              <w:rPr>
                <w:rFonts w:ascii="Arial" w:hAnsi="Arial"/>
                <w:color w:val="000000"/>
                <w:sz w:val="16"/>
                <w:szCs w:val="16"/>
              </w:rPr>
            </w:pPr>
          </w:p>
        </w:tc>
        <w:tc>
          <w:tcPr>
            <w:tcW w:w="2884" w:type="dxa"/>
            <w:tcBorders>
              <w:top w:val="dotted" w:sz="4" w:space="0" w:color="auto"/>
              <w:left w:val="single" w:sz="4" w:space="0" w:color="auto"/>
              <w:bottom w:val="single" w:sz="4" w:space="0" w:color="auto"/>
              <w:right w:val="single" w:sz="4" w:space="0" w:color="auto"/>
            </w:tcBorders>
          </w:tcPr>
          <w:p w14:paraId="2F33BA1A" w14:textId="34447607" w:rsidR="00C02DA8" w:rsidRPr="00C02DA8" w:rsidRDefault="00C02DA8" w:rsidP="001809FC">
            <w:pPr>
              <w:tabs>
                <w:tab w:val="left" w:pos="709"/>
              </w:tabs>
              <w:spacing w:before="60" w:after="60"/>
              <w:rPr>
                <w:rFonts w:ascii="Arial" w:hAnsi="Arial"/>
                <w:color w:val="000000"/>
                <w:sz w:val="16"/>
                <w:szCs w:val="16"/>
              </w:rPr>
            </w:pPr>
            <w:r w:rsidRPr="00C02DA8">
              <w:rPr>
                <w:rFonts w:ascii="Arial" w:hAnsi="Arial"/>
                <w:sz w:val="16"/>
                <w:szCs w:val="16"/>
                <w:lang w:val="en-AU"/>
              </w:rPr>
              <w:t>7.1: Defence strengthens the sovereign defence industr</w:t>
            </w:r>
            <w:r w:rsidR="001809FC">
              <w:rPr>
                <w:rFonts w:ascii="Arial" w:hAnsi="Arial"/>
                <w:sz w:val="16"/>
                <w:szCs w:val="16"/>
                <w:lang w:val="en-AU"/>
              </w:rPr>
              <w:t>ial</w:t>
            </w:r>
            <w:r w:rsidRPr="00C02DA8">
              <w:rPr>
                <w:rFonts w:ascii="Arial" w:hAnsi="Arial"/>
                <w:sz w:val="16"/>
                <w:szCs w:val="16"/>
                <w:lang w:val="en-AU"/>
              </w:rPr>
              <w:t xml:space="preserve"> base across the critical industrial capabilities.</w:t>
            </w:r>
          </w:p>
        </w:tc>
        <w:tc>
          <w:tcPr>
            <w:tcW w:w="3055" w:type="dxa"/>
            <w:gridSpan w:val="2"/>
            <w:tcBorders>
              <w:top w:val="dotted" w:sz="4" w:space="0" w:color="auto"/>
              <w:left w:val="single" w:sz="4" w:space="0" w:color="auto"/>
              <w:bottom w:val="single" w:sz="4" w:space="0" w:color="auto"/>
            </w:tcBorders>
          </w:tcPr>
          <w:p w14:paraId="73246720" w14:textId="77777777" w:rsidR="00C02DA8" w:rsidRPr="00C02DA8" w:rsidRDefault="00C02DA8" w:rsidP="00C02DA8">
            <w:pPr>
              <w:tabs>
                <w:tab w:val="left" w:pos="709"/>
              </w:tabs>
              <w:spacing w:before="60" w:after="60"/>
              <w:rPr>
                <w:rFonts w:ascii="Arial" w:hAnsi="Arial"/>
                <w:color w:val="000000"/>
                <w:sz w:val="16"/>
                <w:szCs w:val="16"/>
              </w:rPr>
            </w:pPr>
            <w:r w:rsidRPr="00C02DA8">
              <w:rPr>
                <w:rFonts w:ascii="Arial" w:hAnsi="Arial"/>
                <w:color w:val="000000"/>
                <w:sz w:val="16"/>
                <w:szCs w:val="16"/>
              </w:rPr>
              <w:t>80 per cent or more of the Defence Industry Development Grant Program budgeted allocation is awarded; supports Australian defence industry in international markets; provides a direct economic contribution to the Australian economy; drives investment in innovation, science and technology to deliver defence priorities; meets or exceeds Indigenous procurement targets; and supports the development of the domestic manufacture of guided weapons, explosive ordnance and munitions.</w:t>
            </w:r>
          </w:p>
          <w:p w14:paraId="717EFA50" w14:textId="56951D33" w:rsidR="00C02DA8" w:rsidRPr="00C02DA8" w:rsidRDefault="00C02DA8" w:rsidP="00C02DA8">
            <w:pPr>
              <w:tabs>
                <w:tab w:val="left" w:pos="709"/>
              </w:tabs>
              <w:spacing w:before="60" w:after="60"/>
              <w:jc w:val="right"/>
              <w:rPr>
                <w:rFonts w:ascii="Arial" w:hAnsi="Arial"/>
                <w:color w:val="000000"/>
                <w:sz w:val="16"/>
                <w:szCs w:val="16"/>
              </w:rPr>
            </w:pPr>
            <w:r w:rsidRPr="00C02DA8">
              <w:rPr>
                <w:rFonts w:ascii="Arial" w:hAnsi="Arial"/>
                <w:i/>
                <w:sz w:val="16"/>
                <w:szCs w:val="16"/>
                <w:lang w:val="en-AU"/>
              </w:rPr>
              <w:t>Expected to be achieved.</w:t>
            </w:r>
          </w:p>
        </w:tc>
      </w:tr>
      <w:tr w:rsidR="00321534" w:rsidRPr="00321534" w14:paraId="78C60B4A" w14:textId="77777777" w:rsidTr="000738A0">
        <w:tblPrEx>
          <w:shd w:val="clear" w:color="auto" w:fill="auto"/>
          <w:tblLook w:val="04A0" w:firstRow="1" w:lastRow="0" w:firstColumn="1" w:lastColumn="0" w:noHBand="0" w:noVBand="1"/>
        </w:tblPrEx>
        <w:trPr>
          <w:trHeight w:val="258"/>
        </w:trPr>
        <w:tc>
          <w:tcPr>
            <w:tcW w:w="1671" w:type="dxa"/>
            <w:tcBorders>
              <w:top w:val="single" w:sz="4" w:space="0" w:color="auto"/>
              <w:bottom w:val="single" w:sz="4" w:space="0" w:color="auto"/>
              <w:right w:val="single" w:sz="4" w:space="0" w:color="auto"/>
            </w:tcBorders>
          </w:tcPr>
          <w:p w14:paraId="058AE8AB" w14:textId="77777777" w:rsidR="00321534" w:rsidRPr="00321534" w:rsidRDefault="00321534" w:rsidP="00321534">
            <w:pPr>
              <w:tabs>
                <w:tab w:val="left" w:pos="709"/>
              </w:tabs>
              <w:spacing w:before="60" w:after="60"/>
              <w:rPr>
                <w:rFonts w:ascii="Arial" w:hAnsi="Arial"/>
                <w:b/>
                <w:color w:val="000000"/>
                <w:sz w:val="16"/>
                <w:szCs w:val="16"/>
              </w:rPr>
            </w:pPr>
            <w:r w:rsidRPr="00321534">
              <w:rPr>
                <w:rFonts w:ascii="Arial" w:hAnsi="Arial"/>
                <w:b/>
                <w:color w:val="000000"/>
                <w:sz w:val="16"/>
                <w:szCs w:val="16"/>
              </w:rPr>
              <w:t>Year</w:t>
            </w:r>
          </w:p>
        </w:tc>
        <w:tc>
          <w:tcPr>
            <w:tcW w:w="2884" w:type="dxa"/>
            <w:tcBorders>
              <w:top w:val="single" w:sz="4" w:space="0" w:color="auto"/>
              <w:left w:val="single" w:sz="4" w:space="0" w:color="auto"/>
              <w:bottom w:val="single" w:sz="4" w:space="0" w:color="auto"/>
              <w:right w:val="single" w:sz="4" w:space="0" w:color="auto"/>
            </w:tcBorders>
          </w:tcPr>
          <w:p w14:paraId="3D0C906F" w14:textId="77777777" w:rsidR="00321534" w:rsidRPr="00321534" w:rsidRDefault="00321534" w:rsidP="00321534">
            <w:pPr>
              <w:tabs>
                <w:tab w:val="left" w:pos="709"/>
                <w:tab w:val="center" w:pos="1818"/>
              </w:tabs>
              <w:spacing w:before="60" w:after="60"/>
              <w:rPr>
                <w:rFonts w:ascii="Arial" w:hAnsi="Arial"/>
                <w:b/>
                <w:color w:val="000000"/>
                <w:sz w:val="16"/>
                <w:szCs w:val="16"/>
              </w:rPr>
            </w:pPr>
            <w:r w:rsidRPr="00321534">
              <w:rPr>
                <w:rFonts w:ascii="Arial" w:hAnsi="Arial"/>
                <w:b/>
                <w:color w:val="000000"/>
                <w:sz w:val="16"/>
                <w:szCs w:val="16"/>
              </w:rPr>
              <w:t>Performance measures</w:t>
            </w:r>
          </w:p>
        </w:tc>
        <w:tc>
          <w:tcPr>
            <w:tcW w:w="3055" w:type="dxa"/>
            <w:gridSpan w:val="2"/>
            <w:tcBorders>
              <w:top w:val="single" w:sz="4" w:space="0" w:color="auto"/>
              <w:left w:val="single" w:sz="4" w:space="0" w:color="auto"/>
              <w:bottom w:val="single" w:sz="4" w:space="0" w:color="auto"/>
            </w:tcBorders>
          </w:tcPr>
          <w:p w14:paraId="260DC186" w14:textId="77777777" w:rsidR="00321534" w:rsidRPr="00321534" w:rsidRDefault="00321534" w:rsidP="00321534">
            <w:pPr>
              <w:tabs>
                <w:tab w:val="left" w:pos="709"/>
              </w:tabs>
              <w:spacing w:before="60" w:after="60"/>
              <w:rPr>
                <w:rFonts w:ascii="Arial" w:hAnsi="Arial"/>
                <w:b/>
                <w:color w:val="000000"/>
                <w:sz w:val="16"/>
                <w:szCs w:val="16"/>
              </w:rPr>
            </w:pPr>
            <w:r w:rsidRPr="00321534">
              <w:rPr>
                <w:rFonts w:ascii="Arial" w:hAnsi="Arial"/>
                <w:b/>
                <w:color w:val="000000"/>
                <w:sz w:val="16"/>
                <w:szCs w:val="16"/>
              </w:rPr>
              <w:t>Planned Performance Results</w:t>
            </w:r>
          </w:p>
        </w:tc>
      </w:tr>
      <w:tr w:rsidR="00321534" w:rsidRPr="00321534" w14:paraId="60A9D29E" w14:textId="77777777" w:rsidTr="000738A0">
        <w:tblPrEx>
          <w:shd w:val="clear" w:color="auto" w:fill="auto"/>
          <w:tblLook w:val="04A0" w:firstRow="1" w:lastRow="0" w:firstColumn="1" w:lastColumn="0" w:noHBand="0" w:noVBand="1"/>
        </w:tblPrEx>
        <w:trPr>
          <w:trHeight w:val="642"/>
        </w:trPr>
        <w:tc>
          <w:tcPr>
            <w:tcW w:w="1671" w:type="dxa"/>
            <w:tcBorders>
              <w:top w:val="single" w:sz="4" w:space="0" w:color="auto"/>
              <w:bottom w:val="single" w:sz="4" w:space="0" w:color="auto"/>
              <w:right w:val="single" w:sz="4" w:space="0" w:color="auto"/>
            </w:tcBorders>
          </w:tcPr>
          <w:p w14:paraId="60AC1F60" w14:textId="77777777" w:rsidR="00321534" w:rsidRPr="00321534" w:rsidRDefault="00321534" w:rsidP="00321534">
            <w:pPr>
              <w:tabs>
                <w:tab w:val="left" w:pos="709"/>
              </w:tabs>
              <w:spacing w:before="0" w:after="0"/>
              <w:rPr>
                <w:rFonts w:ascii="Arial" w:hAnsi="Arial"/>
                <w:color w:val="000000"/>
                <w:sz w:val="16"/>
                <w:szCs w:val="16"/>
              </w:rPr>
            </w:pPr>
            <w:r w:rsidRPr="00321534">
              <w:rPr>
                <w:rFonts w:ascii="Arial" w:hAnsi="Arial"/>
                <w:color w:val="000000"/>
                <w:sz w:val="16"/>
                <w:szCs w:val="16"/>
              </w:rPr>
              <w:t>Budget Year</w:t>
            </w:r>
          </w:p>
          <w:p w14:paraId="463C8BB4" w14:textId="77777777" w:rsidR="00321534" w:rsidRPr="00321534" w:rsidRDefault="00321534" w:rsidP="00321534">
            <w:pPr>
              <w:tabs>
                <w:tab w:val="left" w:pos="709"/>
              </w:tabs>
              <w:spacing w:before="0" w:after="0"/>
              <w:rPr>
                <w:rFonts w:ascii="Arial" w:hAnsi="Arial"/>
                <w:color w:val="000000"/>
                <w:sz w:val="16"/>
                <w:szCs w:val="16"/>
              </w:rPr>
            </w:pPr>
            <w:r w:rsidRPr="00321534">
              <w:rPr>
                <w:rFonts w:ascii="Arial" w:hAnsi="Arial"/>
                <w:color w:val="000000"/>
                <w:sz w:val="16"/>
                <w:szCs w:val="16"/>
              </w:rPr>
              <w:t>2025-26</w:t>
            </w:r>
            <w:r>
              <w:rPr>
                <w:rFonts w:ascii="Arial" w:hAnsi="Arial"/>
                <w:color w:val="000000"/>
                <w:sz w:val="16"/>
                <w:szCs w:val="16"/>
              </w:rPr>
              <w:t xml:space="preserve"> </w:t>
            </w:r>
            <w:r w:rsidRPr="00321534">
              <w:rPr>
                <w:rFonts w:ascii="Arial" w:hAnsi="Arial"/>
                <w:color w:val="000000"/>
                <w:sz w:val="16"/>
                <w:szCs w:val="16"/>
                <w:vertAlign w:val="superscript"/>
              </w:rPr>
              <w:t>[a]</w:t>
            </w:r>
          </w:p>
        </w:tc>
        <w:tc>
          <w:tcPr>
            <w:tcW w:w="2884" w:type="dxa"/>
            <w:tcBorders>
              <w:top w:val="single" w:sz="4" w:space="0" w:color="auto"/>
              <w:left w:val="single" w:sz="4" w:space="0" w:color="auto"/>
              <w:bottom w:val="single" w:sz="4" w:space="0" w:color="auto"/>
              <w:right w:val="single" w:sz="4" w:space="0" w:color="auto"/>
            </w:tcBorders>
          </w:tcPr>
          <w:p w14:paraId="1BC84C76" w14:textId="77777777" w:rsidR="00321534" w:rsidRPr="00470FF0" w:rsidRDefault="00321534" w:rsidP="0027665E">
            <w:pPr>
              <w:tabs>
                <w:tab w:val="left" w:pos="709"/>
              </w:tabs>
              <w:spacing w:before="60" w:after="60"/>
              <w:rPr>
                <w:rFonts w:ascii="Arial" w:hAnsi="Arial"/>
                <w:color w:val="000000"/>
                <w:sz w:val="16"/>
                <w:szCs w:val="16"/>
              </w:rPr>
            </w:pPr>
            <w:r w:rsidRPr="00880166">
              <w:rPr>
                <w:rFonts w:ascii="Arial" w:hAnsi="Arial"/>
                <w:sz w:val="16"/>
                <w:szCs w:val="16"/>
                <w:lang w:val="en-AU"/>
              </w:rPr>
              <w:t xml:space="preserve">6.1: Defence is delivering the right future capability at the right time within the Integrated Investment Program to ensure it is equipped to respond to future security challenges as directed by the </w:t>
            </w:r>
            <w:r w:rsidRPr="00E00255">
              <w:rPr>
                <w:rFonts w:ascii="Arial" w:hAnsi="Arial"/>
                <w:i/>
                <w:sz w:val="16"/>
                <w:szCs w:val="16"/>
                <w:lang w:val="en-AU"/>
              </w:rPr>
              <w:t>2024 National Defence Strategy</w:t>
            </w:r>
            <w:r w:rsidRPr="00880166">
              <w:rPr>
                <w:rFonts w:ascii="Arial" w:hAnsi="Arial"/>
                <w:sz w:val="16"/>
                <w:szCs w:val="16"/>
                <w:lang w:val="en-AU"/>
              </w:rPr>
              <w:t>.</w:t>
            </w:r>
          </w:p>
        </w:tc>
        <w:tc>
          <w:tcPr>
            <w:tcW w:w="3055" w:type="dxa"/>
            <w:gridSpan w:val="2"/>
            <w:tcBorders>
              <w:top w:val="single" w:sz="4" w:space="0" w:color="auto"/>
              <w:left w:val="single" w:sz="4" w:space="0" w:color="auto"/>
              <w:bottom w:val="single" w:sz="4" w:space="0" w:color="auto"/>
            </w:tcBorders>
          </w:tcPr>
          <w:p w14:paraId="6E2A1D10" w14:textId="58EFA617" w:rsidR="00321534" w:rsidRPr="0036429E" w:rsidRDefault="00321534" w:rsidP="00321534">
            <w:pPr>
              <w:tabs>
                <w:tab w:val="left" w:pos="709"/>
              </w:tabs>
              <w:spacing w:before="60" w:after="60"/>
              <w:rPr>
                <w:rFonts w:ascii="Arial" w:hAnsi="Arial"/>
                <w:sz w:val="16"/>
                <w:szCs w:val="16"/>
              </w:rPr>
            </w:pPr>
            <w:r w:rsidRPr="0036429E">
              <w:rPr>
                <w:rFonts w:ascii="Arial" w:hAnsi="Arial"/>
                <w:sz w:val="16"/>
                <w:szCs w:val="16"/>
                <w:lang w:val="en-AU"/>
              </w:rPr>
              <w:t>80 per cent or more of approved Integrated Investment Program projects across all domains are on track to deliver the scope approved by Government</w:t>
            </w:r>
            <w:r w:rsidR="0093219B">
              <w:rPr>
                <w:rFonts w:ascii="Arial" w:hAnsi="Arial"/>
                <w:sz w:val="16"/>
                <w:szCs w:val="16"/>
                <w:lang w:val="en-AU"/>
              </w:rPr>
              <w:t>,</w:t>
            </w:r>
            <w:r w:rsidRPr="0036429E">
              <w:rPr>
                <w:rFonts w:ascii="Arial" w:hAnsi="Arial"/>
                <w:sz w:val="16"/>
                <w:szCs w:val="16"/>
                <w:lang w:val="en-AU"/>
              </w:rPr>
              <w:t xml:space="preserve"> within Government approved cost and schedule.</w:t>
            </w:r>
          </w:p>
        </w:tc>
      </w:tr>
      <w:tr w:rsidR="00E364DF" w:rsidRPr="00321534" w14:paraId="3761F87C" w14:textId="77777777" w:rsidTr="000738A0">
        <w:tblPrEx>
          <w:shd w:val="clear" w:color="auto" w:fill="auto"/>
          <w:tblLook w:val="04A0" w:firstRow="1" w:lastRow="0" w:firstColumn="1" w:lastColumn="0" w:noHBand="0" w:noVBand="1"/>
        </w:tblPrEx>
        <w:trPr>
          <w:trHeight w:val="245"/>
        </w:trPr>
        <w:tc>
          <w:tcPr>
            <w:tcW w:w="1671" w:type="dxa"/>
            <w:tcBorders>
              <w:top w:val="single" w:sz="4" w:space="0" w:color="auto"/>
              <w:bottom w:val="single" w:sz="4" w:space="0" w:color="auto"/>
              <w:right w:val="single" w:sz="4" w:space="0" w:color="auto"/>
            </w:tcBorders>
          </w:tcPr>
          <w:p w14:paraId="6C85A9EE" w14:textId="48F2BD68" w:rsidR="00E364DF" w:rsidRPr="00321534" w:rsidRDefault="00E364DF" w:rsidP="00E364DF">
            <w:pPr>
              <w:pageBreakBefore/>
              <w:tabs>
                <w:tab w:val="left" w:pos="709"/>
              </w:tabs>
              <w:spacing w:before="60" w:after="60"/>
              <w:rPr>
                <w:rFonts w:ascii="Arial" w:hAnsi="Arial"/>
                <w:color w:val="000000"/>
                <w:sz w:val="16"/>
                <w:szCs w:val="16"/>
              </w:rPr>
            </w:pPr>
            <w:r w:rsidRPr="00321534">
              <w:rPr>
                <w:rFonts w:ascii="Arial" w:hAnsi="Arial"/>
                <w:b/>
                <w:color w:val="000000"/>
                <w:sz w:val="16"/>
                <w:szCs w:val="16"/>
              </w:rPr>
              <w:lastRenderedPageBreak/>
              <w:t>Year</w:t>
            </w:r>
          </w:p>
        </w:tc>
        <w:tc>
          <w:tcPr>
            <w:tcW w:w="2884" w:type="dxa"/>
            <w:tcBorders>
              <w:top w:val="single" w:sz="4" w:space="0" w:color="auto"/>
              <w:left w:val="single" w:sz="4" w:space="0" w:color="auto"/>
              <w:bottom w:val="single" w:sz="4" w:space="0" w:color="auto"/>
              <w:right w:val="single" w:sz="4" w:space="0" w:color="auto"/>
            </w:tcBorders>
          </w:tcPr>
          <w:p w14:paraId="5ED5028D" w14:textId="235918EC" w:rsidR="00E364DF" w:rsidRPr="00736330" w:rsidRDefault="00E364DF" w:rsidP="00E364DF">
            <w:pPr>
              <w:tabs>
                <w:tab w:val="left" w:pos="709"/>
              </w:tabs>
              <w:spacing w:before="60" w:after="60"/>
              <w:rPr>
                <w:rFonts w:ascii="Arial" w:hAnsi="Arial"/>
                <w:sz w:val="16"/>
                <w:szCs w:val="16"/>
                <w:lang w:val="en-AU"/>
              </w:rPr>
            </w:pPr>
            <w:r w:rsidRPr="00321534">
              <w:rPr>
                <w:rFonts w:ascii="Arial" w:hAnsi="Arial"/>
                <w:b/>
                <w:color w:val="000000"/>
                <w:sz w:val="16"/>
                <w:szCs w:val="16"/>
              </w:rPr>
              <w:t>Performance measures</w:t>
            </w:r>
          </w:p>
        </w:tc>
        <w:tc>
          <w:tcPr>
            <w:tcW w:w="3055" w:type="dxa"/>
            <w:gridSpan w:val="2"/>
            <w:tcBorders>
              <w:top w:val="single" w:sz="4" w:space="0" w:color="auto"/>
              <w:left w:val="single" w:sz="4" w:space="0" w:color="auto"/>
              <w:bottom w:val="single" w:sz="4" w:space="0" w:color="auto"/>
            </w:tcBorders>
          </w:tcPr>
          <w:p w14:paraId="2CCFB510" w14:textId="2C1DDCEB" w:rsidR="00E364DF" w:rsidRPr="00736330" w:rsidRDefault="00E364DF" w:rsidP="00E364DF">
            <w:pPr>
              <w:spacing w:before="60" w:after="60"/>
              <w:rPr>
                <w:rFonts w:ascii="Arial" w:hAnsi="Arial"/>
                <w:color w:val="000000"/>
                <w:sz w:val="16"/>
                <w:szCs w:val="16"/>
              </w:rPr>
            </w:pPr>
            <w:r w:rsidRPr="00321534">
              <w:rPr>
                <w:rFonts w:ascii="Arial" w:hAnsi="Arial"/>
                <w:b/>
                <w:color w:val="000000"/>
                <w:sz w:val="16"/>
                <w:szCs w:val="16"/>
              </w:rPr>
              <w:t>Planned Performance Results</w:t>
            </w:r>
          </w:p>
        </w:tc>
      </w:tr>
      <w:tr w:rsidR="00C02DA8" w:rsidRPr="00321534" w14:paraId="5CA1F3DB" w14:textId="77777777" w:rsidTr="002A38F6">
        <w:tblPrEx>
          <w:shd w:val="clear" w:color="auto" w:fill="auto"/>
          <w:tblLook w:val="04A0" w:firstRow="1" w:lastRow="0" w:firstColumn="1" w:lastColumn="0" w:noHBand="0" w:noVBand="1"/>
        </w:tblPrEx>
        <w:trPr>
          <w:trHeight w:val="642"/>
        </w:trPr>
        <w:tc>
          <w:tcPr>
            <w:tcW w:w="1671" w:type="dxa"/>
            <w:tcBorders>
              <w:top w:val="single" w:sz="4" w:space="0" w:color="auto"/>
              <w:bottom w:val="single" w:sz="4" w:space="0" w:color="auto"/>
              <w:right w:val="single" w:sz="4" w:space="0" w:color="auto"/>
            </w:tcBorders>
          </w:tcPr>
          <w:p w14:paraId="50EEFC27" w14:textId="77777777" w:rsidR="00E364DF" w:rsidRPr="00321534" w:rsidRDefault="00E364DF" w:rsidP="00E364DF">
            <w:pPr>
              <w:tabs>
                <w:tab w:val="left" w:pos="709"/>
              </w:tabs>
              <w:spacing w:before="0" w:after="0"/>
              <w:rPr>
                <w:rFonts w:ascii="Arial" w:hAnsi="Arial"/>
                <w:color w:val="000000"/>
                <w:sz w:val="16"/>
                <w:szCs w:val="16"/>
              </w:rPr>
            </w:pPr>
            <w:r w:rsidRPr="00321534">
              <w:rPr>
                <w:rFonts w:ascii="Arial" w:hAnsi="Arial"/>
                <w:color w:val="000000"/>
                <w:sz w:val="16"/>
                <w:szCs w:val="16"/>
              </w:rPr>
              <w:t>Budget Year</w:t>
            </w:r>
          </w:p>
          <w:p w14:paraId="6E01CF23" w14:textId="7B4C4BA4" w:rsidR="00C02DA8" w:rsidRPr="00321534" w:rsidRDefault="00E364DF" w:rsidP="00E364DF">
            <w:pPr>
              <w:tabs>
                <w:tab w:val="left" w:pos="709"/>
              </w:tabs>
              <w:spacing w:before="60" w:after="60"/>
              <w:rPr>
                <w:rFonts w:ascii="Arial" w:hAnsi="Arial"/>
                <w:color w:val="000000"/>
                <w:sz w:val="16"/>
                <w:szCs w:val="16"/>
              </w:rPr>
            </w:pPr>
            <w:r w:rsidRPr="00321534">
              <w:rPr>
                <w:rFonts w:ascii="Arial" w:hAnsi="Arial"/>
                <w:color w:val="000000"/>
                <w:sz w:val="16"/>
                <w:szCs w:val="16"/>
              </w:rPr>
              <w:t>2025-26</w:t>
            </w:r>
            <w:r>
              <w:rPr>
                <w:rFonts w:ascii="Arial" w:hAnsi="Arial"/>
                <w:color w:val="000000"/>
                <w:sz w:val="16"/>
                <w:szCs w:val="16"/>
              </w:rPr>
              <w:t xml:space="preserve"> </w:t>
            </w:r>
            <w:r w:rsidRPr="00321534">
              <w:rPr>
                <w:rFonts w:ascii="Arial" w:hAnsi="Arial"/>
                <w:color w:val="000000"/>
                <w:sz w:val="16"/>
                <w:szCs w:val="16"/>
                <w:vertAlign w:val="superscript"/>
              </w:rPr>
              <w:t>[a]</w:t>
            </w:r>
          </w:p>
        </w:tc>
        <w:tc>
          <w:tcPr>
            <w:tcW w:w="2884" w:type="dxa"/>
            <w:tcBorders>
              <w:top w:val="single" w:sz="4" w:space="0" w:color="auto"/>
              <w:left w:val="single" w:sz="4" w:space="0" w:color="auto"/>
              <w:bottom w:val="single" w:sz="4" w:space="0" w:color="auto"/>
              <w:right w:val="single" w:sz="4" w:space="0" w:color="auto"/>
            </w:tcBorders>
          </w:tcPr>
          <w:p w14:paraId="56746674" w14:textId="5F9DD36E" w:rsidR="00C02DA8" w:rsidRPr="00736330" w:rsidRDefault="00C02DA8" w:rsidP="00C02DA8">
            <w:pPr>
              <w:tabs>
                <w:tab w:val="left" w:pos="709"/>
              </w:tabs>
              <w:spacing w:before="60" w:after="60"/>
              <w:rPr>
                <w:rFonts w:ascii="Arial" w:hAnsi="Arial"/>
                <w:color w:val="000000"/>
                <w:sz w:val="16"/>
                <w:szCs w:val="16"/>
              </w:rPr>
            </w:pPr>
            <w:r w:rsidRPr="00736330">
              <w:rPr>
                <w:rFonts w:ascii="Arial" w:hAnsi="Arial"/>
                <w:sz w:val="16"/>
                <w:szCs w:val="16"/>
                <w:lang w:val="en-AU"/>
              </w:rPr>
              <w:t>7.1: Defence strengthens the sovereign defenc</w:t>
            </w:r>
            <w:r w:rsidR="001809FC">
              <w:rPr>
                <w:rFonts w:ascii="Arial" w:hAnsi="Arial"/>
                <w:sz w:val="16"/>
                <w:szCs w:val="16"/>
                <w:lang w:val="en-AU"/>
              </w:rPr>
              <w:t>e industrial</w:t>
            </w:r>
            <w:r w:rsidRPr="00736330">
              <w:rPr>
                <w:rFonts w:ascii="Arial" w:hAnsi="Arial"/>
                <w:sz w:val="16"/>
                <w:szCs w:val="16"/>
                <w:lang w:val="en-AU"/>
              </w:rPr>
              <w:t xml:space="preserve"> base across critical industrial capabilities.</w:t>
            </w:r>
          </w:p>
        </w:tc>
        <w:tc>
          <w:tcPr>
            <w:tcW w:w="3055" w:type="dxa"/>
            <w:gridSpan w:val="2"/>
            <w:tcBorders>
              <w:top w:val="single" w:sz="4" w:space="0" w:color="auto"/>
              <w:left w:val="single" w:sz="4" w:space="0" w:color="auto"/>
              <w:bottom w:val="single" w:sz="4" w:space="0" w:color="auto"/>
            </w:tcBorders>
          </w:tcPr>
          <w:p w14:paraId="4A8B49FB" w14:textId="37098C36" w:rsidR="00C02DA8" w:rsidRPr="00736330" w:rsidRDefault="00C02DA8" w:rsidP="00C02DA8">
            <w:pPr>
              <w:spacing w:before="60" w:after="60"/>
              <w:rPr>
                <w:rFonts w:ascii="Arial" w:hAnsi="Arial"/>
                <w:i/>
                <w:color w:val="000000"/>
                <w:sz w:val="16"/>
                <w:szCs w:val="16"/>
              </w:rPr>
            </w:pPr>
            <w:r w:rsidRPr="00736330">
              <w:rPr>
                <w:rFonts w:ascii="Arial" w:hAnsi="Arial"/>
                <w:color w:val="000000"/>
                <w:sz w:val="16"/>
                <w:szCs w:val="16"/>
              </w:rPr>
              <w:t>80 per cent or more of the Defence Industry Development Grant Program budgeted allocation is awarded; supports Australian defence industry in international markets; provides a direct economic contribution to the Australian economy; drives investment in innovation, science and technology to deliver defence priorities; meets or exceeds Indigenous procurement targets; and supports the development of the domestic manufacture of guided weapons, explosive ordnance and munitions.</w:t>
            </w:r>
          </w:p>
        </w:tc>
      </w:tr>
      <w:tr w:rsidR="00321534" w:rsidRPr="00321534" w14:paraId="12F031C3" w14:textId="77777777" w:rsidTr="00E364DF">
        <w:tblPrEx>
          <w:shd w:val="clear" w:color="auto" w:fill="auto"/>
          <w:tblLook w:val="04A0" w:firstRow="1" w:lastRow="0" w:firstColumn="1" w:lastColumn="0" w:noHBand="0" w:noVBand="1"/>
        </w:tblPrEx>
        <w:trPr>
          <w:trHeight w:hRule="exact" w:val="567"/>
        </w:trPr>
        <w:tc>
          <w:tcPr>
            <w:tcW w:w="1671" w:type="dxa"/>
            <w:tcBorders>
              <w:top w:val="single" w:sz="4" w:space="0" w:color="auto"/>
              <w:bottom w:val="dotted" w:sz="4" w:space="0" w:color="auto"/>
              <w:right w:val="single" w:sz="4" w:space="0" w:color="auto"/>
            </w:tcBorders>
          </w:tcPr>
          <w:p w14:paraId="4C14F1F3" w14:textId="77777777" w:rsidR="00321534" w:rsidRPr="00321534" w:rsidRDefault="00321534" w:rsidP="004B6DE9">
            <w:pPr>
              <w:keepNext/>
              <w:keepLines/>
              <w:tabs>
                <w:tab w:val="left" w:pos="709"/>
              </w:tabs>
              <w:spacing w:before="0" w:after="0"/>
              <w:rPr>
                <w:rFonts w:ascii="Arial" w:hAnsi="Arial"/>
                <w:color w:val="000000"/>
                <w:sz w:val="16"/>
                <w:szCs w:val="16"/>
              </w:rPr>
            </w:pPr>
            <w:r w:rsidRPr="00321534">
              <w:rPr>
                <w:rFonts w:ascii="Arial" w:hAnsi="Arial"/>
                <w:color w:val="000000"/>
                <w:sz w:val="16"/>
                <w:szCs w:val="16"/>
              </w:rPr>
              <w:t>Forward Estimates</w:t>
            </w:r>
          </w:p>
          <w:p w14:paraId="5A92C580" w14:textId="77777777" w:rsidR="00321534" w:rsidRPr="00321534" w:rsidRDefault="00321534" w:rsidP="00321534">
            <w:pPr>
              <w:tabs>
                <w:tab w:val="left" w:pos="709"/>
              </w:tabs>
              <w:spacing w:before="0" w:after="0"/>
              <w:rPr>
                <w:rFonts w:ascii="Arial" w:hAnsi="Arial"/>
                <w:b/>
                <w:color w:val="000000"/>
                <w:sz w:val="16"/>
                <w:szCs w:val="16"/>
              </w:rPr>
            </w:pPr>
            <w:r w:rsidRPr="00321534">
              <w:rPr>
                <w:rFonts w:ascii="Arial" w:hAnsi="Arial"/>
                <w:color w:val="000000"/>
                <w:sz w:val="16"/>
                <w:szCs w:val="16"/>
              </w:rPr>
              <w:t>2026-29</w:t>
            </w:r>
          </w:p>
        </w:tc>
        <w:tc>
          <w:tcPr>
            <w:tcW w:w="2884" w:type="dxa"/>
            <w:tcBorders>
              <w:top w:val="single" w:sz="4" w:space="0" w:color="auto"/>
              <w:left w:val="single" w:sz="4" w:space="0" w:color="auto"/>
              <w:bottom w:val="single" w:sz="4" w:space="0" w:color="auto"/>
              <w:right w:val="single" w:sz="4" w:space="0" w:color="auto"/>
            </w:tcBorders>
          </w:tcPr>
          <w:p w14:paraId="4BAFB19E" w14:textId="77777777" w:rsidR="00321534" w:rsidRPr="00321534" w:rsidRDefault="00321534" w:rsidP="00321534">
            <w:pPr>
              <w:tabs>
                <w:tab w:val="left" w:pos="709"/>
              </w:tabs>
              <w:spacing w:before="60" w:after="60"/>
              <w:rPr>
                <w:rFonts w:ascii="Arial" w:hAnsi="Arial"/>
                <w:b/>
                <w:color w:val="000000"/>
                <w:sz w:val="16"/>
                <w:szCs w:val="16"/>
              </w:rPr>
            </w:pPr>
            <w:r w:rsidRPr="00321534">
              <w:rPr>
                <w:rFonts w:ascii="Arial" w:hAnsi="Arial"/>
                <w:color w:val="000000"/>
                <w:sz w:val="16"/>
                <w:szCs w:val="16"/>
              </w:rPr>
              <w:t>As per 202</w:t>
            </w:r>
            <w:r>
              <w:rPr>
                <w:rFonts w:ascii="Arial" w:hAnsi="Arial"/>
                <w:color w:val="000000"/>
                <w:sz w:val="16"/>
                <w:szCs w:val="16"/>
              </w:rPr>
              <w:t>5</w:t>
            </w:r>
            <w:r w:rsidRPr="00321534">
              <w:rPr>
                <w:rFonts w:ascii="Arial" w:hAnsi="Arial"/>
                <w:color w:val="000000"/>
                <w:sz w:val="16"/>
                <w:szCs w:val="16"/>
              </w:rPr>
              <w:t>-2</w:t>
            </w:r>
            <w:r>
              <w:rPr>
                <w:rFonts w:ascii="Arial" w:hAnsi="Arial"/>
                <w:color w:val="000000"/>
                <w:sz w:val="16"/>
                <w:szCs w:val="16"/>
              </w:rPr>
              <w:t>6</w:t>
            </w:r>
            <w:r w:rsidRPr="00321534">
              <w:rPr>
                <w:rFonts w:ascii="Arial" w:hAnsi="Arial"/>
                <w:color w:val="000000"/>
                <w:sz w:val="16"/>
                <w:szCs w:val="16"/>
              </w:rPr>
              <w:t>.</w:t>
            </w:r>
          </w:p>
        </w:tc>
        <w:tc>
          <w:tcPr>
            <w:tcW w:w="3055" w:type="dxa"/>
            <w:gridSpan w:val="2"/>
            <w:tcBorders>
              <w:top w:val="single" w:sz="4" w:space="0" w:color="auto"/>
              <w:left w:val="single" w:sz="4" w:space="0" w:color="auto"/>
              <w:bottom w:val="single" w:sz="4" w:space="0" w:color="auto"/>
            </w:tcBorders>
          </w:tcPr>
          <w:p w14:paraId="2E3DC661" w14:textId="77777777" w:rsidR="00321534" w:rsidRPr="00321534" w:rsidRDefault="00321534" w:rsidP="00321534">
            <w:pPr>
              <w:tabs>
                <w:tab w:val="left" w:pos="709"/>
              </w:tabs>
              <w:spacing w:before="60" w:after="60"/>
              <w:rPr>
                <w:rFonts w:ascii="Arial" w:hAnsi="Arial"/>
                <w:b/>
                <w:color w:val="000000"/>
                <w:sz w:val="16"/>
                <w:szCs w:val="16"/>
              </w:rPr>
            </w:pPr>
            <w:r w:rsidRPr="00321534">
              <w:rPr>
                <w:rFonts w:ascii="Arial" w:hAnsi="Arial"/>
                <w:color w:val="000000"/>
                <w:sz w:val="16"/>
                <w:szCs w:val="16"/>
              </w:rPr>
              <w:t>As per 202</w:t>
            </w:r>
            <w:r>
              <w:rPr>
                <w:rFonts w:ascii="Arial" w:hAnsi="Arial"/>
                <w:color w:val="000000"/>
                <w:sz w:val="16"/>
                <w:szCs w:val="16"/>
              </w:rPr>
              <w:t>5</w:t>
            </w:r>
            <w:r w:rsidRPr="00321534">
              <w:rPr>
                <w:rFonts w:ascii="Arial" w:hAnsi="Arial"/>
                <w:color w:val="000000"/>
                <w:sz w:val="16"/>
                <w:szCs w:val="16"/>
              </w:rPr>
              <w:t>-2</w:t>
            </w:r>
            <w:r>
              <w:rPr>
                <w:rFonts w:ascii="Arial" w:hAnsi="Arial"/>
                <w:color w:val="000000"/>
                <w:sz w:val="16"/>
                <w:szCs w:val="16"/>
              </w:rPr>
              <w:t>6</w:t>
            </w:r>
            <w:r w:rsidRPr="00321534">
              <w:rPr>
                <w:rFonts w:ascii="Arial" w:hAnsi="Arial"/>
                <w:color w:val="000000"/>
                <w:sz w:val="16"/>
                <w:szCs w:val="16"/>
              </w:rPr>
              <w:t>.</w:t>
            </w:r>
          </w:p>
        </w:tc>
      </w:tr>
      <w:tr w:rsidR="00321534" w:rsidRPr="00321534" w14:paraId="73531347" w14:textId="77777777" w:rsidTr="00E364DF">
        <w:tblPrEx>
          <w:shd w:val="clear" w:color="auto" w:fill="auto"/>
          <w:tblLook w:val="04A0" w:firstRow="1" w:lastRow="0" w:firstColumn="1" w:lastColumn="0" w:noHBand="0" w:noVBand="1"/>
        </w:tblPrEx>
        <w:trPr>
          <w:trHeight w:hRule="exact" w:val="255"/>
        </w:trPr>
        <w:tc>
          <w:tcPr>
            <w:tcW w:w="7610" w:type="dxa"/>
            <w:gridSpan w:val="4"/>
          </w:tcPr>
          <w:p w14:paraId="23B1B3FF" w14:textId="74E3CD9A" w:rsidR="00321534" w:rsidRPr="00321534" w:rsidRDefault="00321534" w:rsidP="00E364DF">
            <w:pPr>
              <w:tabs>
                <w:tab w:val="left" w:pos="709"/>
              </w:tabs>
              <w:spacing w:before="60" w:after="60"/>
              <w:rPr>
                <w:rFonts w:ascii="Arial" w:hAnsi="Arial"/>
                <w:bCs/>
                <w:iCs/>
                <w:color w:val="000000"/>
                <w:spacing w:val="-6"/>
                <w:sz w:val="16"/>
                <w:szCs w:val="16"/>
                <w:lang w:val="en-AU"/>
              </w:rPr>
            </w:pPr>
            <w:r w:rsidRPr="00321534">
              <w:rPr>
                <w:rFonts w:ascii="Arial" w:hAnsi="Arial"/>
                <w:color w:val="000000"/>
                <w:sz w:val="16"/>
                <w:szCs w:val="16"/>
                <w:lang w:val="en-AU"/>
              </w:rPr>
              <w:t>Material changes to Program 2.13 resulting from 202</w:t>
            </w:r>
            <w:r w:rsidR="00E364DF">
              <w:rPr>
                <w:rFonts w:ascii="Arial" w:hAnsi="Arial"/>
                <w:color w:val="000000"/>
                <w:sz w:val="16"/>
                <w:szCs w:val="16"/>
                <w:lang w:val="en-AU"/>
              </w:rPr>
              <w:t>5</w:t>
            </w:r>
            <w:r w:rsidRPr="00321534">
              <w:rPr>
                <w:rFonts w:ascii="Arial" w:hAnsi="Arial"/>
                <w:color w:val="000000"/>
                <w:sz w:val="16"/>
                <w:szCs w:val="16"/>
                <w:lang w:val="en-AU"/>
              </w:rPr>
              <w:t>-2</w:t>
            </w:r>
            <w:r w:rsidR="00E364DF">
              <w:rPr>
                <w:rFonts w:ascii="Arial" w:hAnsi="Arial"/>
                <w:color w:val="000000"/>
                <w:sz w:val="16"/>
                <w:szCs w:val="16"/>
                <w:lang w:val="en-AU"/>
              </w:rPr>
              <w:t>6</w:t>
            </w:r>
            <w:r w:rsidRPr="00321534">
              <w:rPr>
                <w:rFonts w:ascii="Arial" w:hAnsi="Arial"/>
                <w:color w:val="000000"/>
                <w:sz w:val="16"/>
                <w:szCs w:val="16"/>
                <w:lang w:val="en-AU"/>
              </w:rPr>
              <w:t xml:space="preserve"> Budget Measures: Nil.</w:t>
            </w:r>
          </w:p>
        </w:tc>
      </w:tr>
      <w:bookmarkEnd w:id="784"/>
    </w:tbl>
    <w:p w14:paraId="55177C3C" w14:textId="77777777" w:rsidR="00F7100A" w:rsidRPr="00321534" w:rsidRDefault="00F7100A" w:rsidP="00F7100A">
      <w:pPr>
        <w:pStyle w:val="TableHeading"/>
        <w:spacing w:before="0" w:after="0"/>
        <w:rPr>
          <w:sz w:val="14"/>
          <w:szCs w:val="16"/>
        </w:rPr>
      </w:pPr>
    </w:p>
    <w:p w14:paraId="0105E3F1" w14:textId="77777777" w:rsidR="00F7100A" w:rsidRPr="00321534" w:rsidRDefault="00F7100A" w:rsidP="00F7100A">
      <w:pPr>
        <w:pStyle w:val="TableHeading"/>
        <w:spacing w:before="0" w:after="0"/>
        <w:rPr>
          <w:sz w:val="14"/>
          <w:szCs w:val="14"/>
        </w:rPr>
      </w:pPr>
      <w:r w:rsidRPr="00321534">
        <w:rPr>
          <w:sz w:val="14"/>
          <w:szCs w:val="14"/>
        </w:rPr>
        <w:t>Note</w:t>
      </w:r>
    </w:p>
    <w:p w14:paraId="091EFF69" w14:textId="742F8815" w:rsidR="009737EB" w:rsidRPr="00BD4E0F" w:rsidRDefault="00BD4E0F" w:rsidP="00444A89">
      <w:pPr>
        <w:pStyle w:val="TableHeading"/>
        <w:numPr>
          <w:ilvl w:val="0"/>
          <w:numId w:val="58"/>
        </w:numPr>
        <w:spacing w:before="0" w:after="0"/>
        <w:ind w:left="284" w:hanging="284"/>
        <w:rPr>
          <w:b w:val="0"/>
          <w:sz w:val="14"/>
          <w:szCs w:val="14"/>
        </w:rPr>
      </w:pPr>
      <w:r w:rsidRPr="00BD4E0F">
        <w:rPr>
          <w:b w:val="0"/>
          <w:sz w:val="14"/>
          <w:szCs w:val="14"/>
          <w:lang w:val="en-AU"/>
        </w:rPr>
        <w:t>In accordance with Defence’s Enterprise Performance Framework, Defence is undertaking materiality assessments that may result in updates to the 2025-26 performance information in the 2025-29 Defence Corporate Plan, if required</w:t>
      </w:r>
      <w:r w:rsidR="009737EB" w:rsidRPr="00BD4E0F">
        <w:rPr>
          <w:b w:val="0"/>
          <w:sz w:val="14"/>
          <w:szCs w:val="14"/>
          <w:lang w:val="en-AU"/>
        </w:rPr>
        <w:t xml:space="preserve">. </w:t>
      </w:r>
    </w:p>
    <w:p w14:paraId="5A06355E" w14:textId="364D589A" w:rsidR="004C7855" w:rsidRDefault="004C7855" w:rsidP="009737EB">
      <w:pPr>
        <w:pStyle w:val="TableHeading"/>
        <w:tabs>
          <w:tab w:val="left" w:pos="284"/>
        </w:tabs>
        <w:spacing w:before="0" w:after="0"/>
        <w:ind w:left="284"/>
        <w:contextualSpacing/>
        <w:rPr>
          <w:b w:val="0"/>
          <w:sz w:val="14"/>
          <w:szCs w:val="14"/>
        </w:rPr>
      </w:pPr>
    </w:p>
    <w:p w14:paraId="504CCDE2" w14:textId="77777777" w:rsidR="001575DA" w:rsidRPr="001575DA" w:rsidRDefault="001575DA" w:rsidP="001575DA"/>
    <w:p w14:paraId="77E7AB8A" w14:textId="77777777" w:rsidR="001575DA" w:rsidRPr="001575DA" w:rsidRDefault="001575DA" w:rsidP="001575DA"/>
    <w:p w14:paraId="3B3A466B" w14:textId="689BF857" w:rsidR="00930FC0" w:rsidRPr="00DE7BEF" w:rsidRDefault="00930FC0" w:rsidP="00D9100A">
      <w:pPr>
        <w:pStyle w:val="TableHeading"/>
        <w:numPr>
          <w:ilvl w:val="0"/>
          <w:numId w:val="29"/>
        </w:numPr>
        <w:spacing w:before="0" w:after="120"/>
        <w:ind w:left="0" w:firstLine="0"/>
        <w:outlineLvl w:val="6"/>
      </w:pPr>
      <w:r w:rsidRPr="00DE7BEF">
        <w:t>Cost Summary for Program 2.13 Defence Science and Technology</w:t>
      </w:r>
    </w:p>
    <w:p w14:paraId="45AC520F" w14:textId="2DE31A39" w:rsidR="007A3EA9" w:rsidRPr="00B56FAA" w:rsidRDefault="005F4285" w:rsidP="00656D60">
      <w:pPr>
        <w:spacing w:before="0" w:after="0"/>
      </w:pPr>
      <w:r w:rsidRPr="005F4285">
        <w:rPr>
          <w:noProof/>
          <w:lang w:val="en-AU"/>
        </w:rPr>
        <w:drawing>
          <wp:inline distT="0" distB="0" distL="0" distR="0" wp14:anchorId="24C29B0D" wp14:editId="08753C14">
            <wp:extent cx="4986020" cy="2613620"/>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86020" cy="2613620"/>
                    </a:xfrm>
                    <a:prstGeom prst="rect">
                      <a:avLst/>
                    </a:prstGeom>
                    <a:noFill/>
                    <a:ln>
                      <a:noFill/>
                    </a:ln>
                  </pic:spPr>
                </pic:pic>
              </a:graphicData>
            </a:graphic>
          </wp:inline>
        </w:drawing>
      </w:r>
    </w:p>
    <w:p w14:paraId="7ED4E575" w14:textId="77777777" w:rsidR="00656D60" w:rsidRPr="00B56FAA" w:rsidRDefault="00656D60" w:rsidP="00656D60">
      <w:pPr>
        <w:spacing w:before="0" w:after="0"/>
        <w:rPr>
          <w:rFonts w:ascii="Arial" w:hAnsi="Arial"/>
          <w:b/>
          <w:sz w:val="14"/>
          <w:szCs w:val="14"/>
          <w:lang w:val="en-AU"/>
        </w:rPr>
      </w:pPr>
    </w:p>
    <w:p w14:paraId="4873BBCE" w14:textId="070B8F88" w:rsidR="00CB045C" w:rsidRPr="00F51DAC" w:rsidRDefault="00170F79" w:rsidP="00656D60">
      <w:pPr>
        <w:shd w:val="clear" w:color="auto" w:fill="FFFFFF"/>
        <w:spacing w:before="0" w:after="0"/>
        <w:rPr>
          <w:rFonts w:ascii="Arial" w:hAnsi="Arial"/>
          <w:b/>
          <w:sz w:val="14"/>
          <w:szCs w:val="14"/>
          <w:lang w:val="en-AU"/>
        </w:rPr>
      </w:pPr>
      <w:r w:rsidRPr="00F51DAC">
        <w:rPr>
          <w:rFonts w:ascii="Arial" w:hAnsi="Arial"/>
          <w:b/>
          <w:sz w:val="14"/>
          <w:szCs w:val="14"/>
          <w:lang w:val="en-AU"/>
        </w:rPr>
        <w:tab/>
      </w:r>
      <w:r w:rsidRPr="00F51DAC">
        <w:rPr>
          <w:rFonts w:ascii="Arial" w:hAnsi="Arial"/>
          <w:b/>
          <w:sz w:val="14"/>
          <w:szCs w:val="14"/>
          <w:lang w:val="en-AU"/>
        </w:rPr>
        <w:tab/>
      </w:r>
      <w:r w:rsidRPr="00F51DAC">
        <w:rPr>
          <w:rFonts w:ascii="Arial" w:hAnsi="Arial"/>
          <w:b/>
          <w:sz w:val="14"/>
          <w:szCs w:val="14"/>
          <w:lang w:val="en-AU"/>
        </w:rPr>
        <w:tab/>
      </w:r>
      <w:r w:rsidRPr="00F51DAC">
        <w:rPr>
          <w:rFonts w:ascii="Arial" w:hAnsi="Arial"/>
          <w:b/>
          <w:sz w:val="14"/>
          <w:szCs w:val="14"/>
          <w:lang w:val="en-AU"/>
        </w:rPr>
        <w:tab/>
      </w:r>
      <w:r w:rsidRPr="00F51DAC">
        <w:rPr>
          <w:rFonts w:ascii="Arial" w:hAnsi="Arial"/>
          <w:b/>
          <w:sz w:val="14"/>
          <w:szCs w:val="14"/>
          <w:lang w:val="en-AU"/>
        </w:rPr>
        <w:tab/>
      </w:r>
      <w:r w:rsidR="00F51DAC" w:rsidRPr="00F51DAC">
        <w:rPr>
          <w:rFonts w:ascii="Arial" w:hAnsi="Arial"/>
          <w:b/>
          <w:sz w:val="14"/>
          <w:szCs w:val="14"/>
          <w:lang w:val="en-AU"/>
        </w:rPr>
        <w:t>Note</w:t>
      </w:r>
      <w:r w:rsidR="009F0F8A">
        <w:rPr>
          <w:rFonts w:ascii="Arial" w:hAnsi="Arial"/>
          <w:b/>
          <w:sz w:val="14"/>
          <w:szCs w:val="14"/>
          <w:lang w:val="en-AU"/>
        </w:rPr>
        <w:t>s</w:t>
      </w:r>
    </w:p>
    <w:p w14:paraId="54E8F6D0" w14:textId="6E76839D" w:rsidR="00D32CAD" w:rsidRDefault="00DE7BEF" w:rsidP="00A073BD">
      <w:pPr>
        <w:shd w:val="clear" w:color="auto" w:fill="FFFFFF"/>
        <w:spacing w:before="0" w:after="0"/>
        <w:ind w:left="284" w:hanging="284"/>
        <w:rPr>
          <w:rFonts w:ascii="Arial" w:hAnsi="Arial"/>
          <w:sz w:val="14"/>
          <w:szCs w:val="14"/>
          <w:lang w:val="en-AU"/>
        </w:rPr>
      </w:pPr>
      <w:r w:rsidRPr="00DE7BEF">
        <w:rPr>
          <w:rFonts w:ascii="Arial" w:hAnsi="Arial"/>
          <w:sz w:val="14"/>
          <w:szCs w:val="14"/>
          <w:lang w:val="en-AU"/>
        </w:rPr>
        <w:t>a.</w:t>
      </w:r>
      <w:r w:rsidR="003A0A8B">
        <w:rPr>
          <w:rFonts w:ascii="Arial" w:hAnsi="Arial"/>
          <w:sz w:val="14"/>
          <w:szCs w:val="14"/>
          <w:lang w:val="en-AU"/>
        </w:rPr>
        <w:tab/>
      </w:r>
      <w:r w:rsidR="00D32CAD">
        <w:rPr>
          <w:rFonts w:ascii="Arial" w:hAnsi="Arial"/>
          <w:sz w:val="14"/>
          <w:szCs w:val="14"/>
          <w:lang w:val="en-AU"/>
        </w:rPr>
        <w:t>Contains funding relating to the Advanced Strategic Capabilities Accelerator (ASCA) which was established as a separately branded division within Defence in PBS 2023-24. All funding relating to ASCA</w:t>
      </w:r>
      <w:r w:rsidR="001D1654">
        <w:rPr>
          <w:rFonts w:ascii="Arial" w:hAnsi="Arial"/>
          <w:sz w:val="14"/>
          <w:szCs w:val="14"/>
          <w:lang w:val="en-AU"/>
        </w:rPr>
        <w:t xml:space="preserve"> will be transferred to Program </w:t>
      </w:r>
      <w:r w:rsidR="00D32CAD">
        <w:rPr>
          <w:rFonts w:ascii="Arial" w:hAnsi="Arial"/>
          <w:sz w:val="14"/>
          <w:szCs w:val="14"/>
          <w:lang w:val="en-AU"/>
        </w:rPr>
        <w:t xml:space="preserve">2.8 Australian Defence </w:t>
      </w:r>
      <w:r w:rsidR="008B76BA">
        <w:rPr>
          <w:rFonts w:ascii="Arial" w:hAnsi="Arial"/>
          <w:sz w:val="14"/>
          <w:szCs w:val="14"/>
          <w:lang w:val="en-AU"/>
        </w:rPr>
        <w:t xml:space="preserve">Force </w:t>
      </w:r>
      <w:r w:rsidR="00D32CAD">
        <w:rPr>
          <w:rFonts w:ascii="Arial" w:hAnsi="Arial"/>
          <w:sz w:val="14"/>
          <w:szCs w:val="14"/>
          <w:lang w:val="en-AU"/>
        </w:rPr>
        <w:t>Headquarters in March 2025.</w:t>
      </w:r>
    </w:p>
    <w:p w14:paraId="3182E024" w14:textId="469B36AD" w:rsidR="00A073BD" w:rsidRPr="00A073BD" w:rsidRDefault="00D32CAD" w:rsidP="00D32CAD">
      <w:pPr>
        <w:shd w:val="clear" w:color="auto" w:fill="FFFFFF"/>
        <w:spacing w:before="0" w:after="0"/>
        <w:ind w:left="284" w:hanging="283"/>
        <w:rPr>
          <w:rFonts w:ascii="Arial" w:hAnsi="Arial"/>
          <w:sz w:val="14"/>
          <w:szCs w:val="14"/>
          <w:lang w:val="en-AU"/>
        </w:rPr>
      </w:pPr>
      <w:r>
        <w:rPr>
          <w:rFonts w:ascii="Arial" w:hAnsi="Arial"/>
          <w:sz w:val="14"/>
          <w:szCs w:val="14"/>
          <w:lang w:val="en-AU"/>
        </w:rPr>
        <w:t>b.</w:t>
      </w:r>
      <w:r>
        <w:rPr>
          <w:rFonts w:ascii="Arial" w:hAnsi="Arial"/>
          <w:sz w:val="14"/>
          <w:szCs w:val="14"/>
          <w:lang w:val="en-AU"/>
        </w:rPr>
        <w:tab/>
      </w:r>
      <w:r w:rsidR="00A073BD" w:rsidRPr="00A073BD">
        <w:rPr>
          <w:rFonts w:ascii="Arial" w:hAnsi="Arial"/>
          <w:sz w:val="14"/>
          <w:szCs w:val="14"/>
          <w:lang w:val="en-AU"/>
        </w:rPr>
        <w:t>Negative amounts denotes a Net reversal of previous asset write-downs (Net write-on position). Total Defence is in a Net write-down and impairment of assets position in 2024-25 Estimated Actual, 2025-26 Budget Estimate and the Forward Estimates. This program is in a Net write-on position in 2024-25 Estimated Actual, 2025-26 Budget Estimate and the Forward Estimates.</w:t>
      </w:r>
      <w:r w:rsidR="00A073BD" w:rsidRPr="00A073BD">
        <w:rPr>
          <w:rFonts w:ascii="Arial" w:hAnsi="Arial"/>
          <w:sz w:val="14"/>
          <w:szCs w:val="14"/>
          <w:lang w:val="en-AU"/>
        </w:rPr>
        <w:tab/>
      </w:r>
      <w:r w:rsidR="00A073BD" w:rsidRPr="00A073BD">
        <w:rPr>
          <w:rFonts w:ascii="Arial" w:hAnsi="Arial"/>
          <w:sz w:val="14"/>
          <w:szCs w:val="14"/>
          <w:lang w:val="en-AU"/>
        </w:rPr>
        <w:tab/>
      </w:r>
      <w:r w:rsidR="00A073BD" w:rsidRPr="00A073BD">
        <w:rPr>
          <w:rFonts w:ascii="Arial" w:hAnsi="Arial"/>
          <w:sz w:val="14"/>
          <w:szCs w:val="14"/>
          <w:lang w:val="en-AU"/>
        </w:rPr>
        <w:tab/>
      </w:r>
      <w:r w:rsidR="00A073BD" w:rsidRPr="00A073BD">
        <w:rPr>
          <w:rFonts w:ascii="Arial" w:hAnsi="Arial"/>
          <w:sz w:val="14"/>
          <w:szCs w:val="14"/>
          <w:lang w:val="en-AU"/>
        </w:rPr>
        <w:tab/>
      </w:r>
      <w:r w:rsidR="00A073BD" w:rsidRPr="00A073BD">
        <w:rPr>
          <w:rFonts w:ascii="Arial" w:hAnsi="Arial"/>
          <w:sz w:val="14"/>
          <w:szCs w:val="14"/>
          <w:lang w:val="en-AU"/>
        </w:rPr>
        <w:tab/>
      </w:r>
    </w:p>
    <w:p w14:paraId="1AF8A2E2" w14:textId="0A581213" w:rsidR="00F51DAC" w:rsidRPr="00B56FAA" w:rsidRDefault="00D32CAD" w:rsidP="00A073BD">
      <w:pPr>
        <w:shd w:val="clear" w:color="auto" w:fill="FFFFFF"/>
        <w:spacing w:before="0" w:after="0"/>
        <w:ind w:left="284" w:hanging="284"/>
        <w:rPr>
          <w:rFonts w:ascii="Arial" w:hAnsi="Arial"/>
          <w:sz w:val="14"/>
          <w:szCs w:val="14"/>
          <w:lang w:val="en-AU"/>
        </w:rPr>
      </w:pPr>
      <w:r>
        <w:rPr>
          <w:rFonts w:ascii="Arial" w:hAnsi="Arial"/>
          <w:sz w:val="14"/>
          <w:szCs w:val="14"/>
          <w:lang w:val="en-AU"/>
        </w:rPr>
        <w:t>c</w:t>
      </w:r>
      <w:r w:rsidR="00A073BD" w:rsidRPr="00A073BD">
        <w:rPr>
          <w:rFonts w:ascii="Arial" w:hAnsi="Arial"/>
          <w:sz w:val="14"/>
          <w:szCs w:val="14"/>
          <w:lang w:val="en-AU"/>
        </w:rPr>
        <w:t>.</w:t>
      </w:r>
      <w:r w:rsidR="00A073BD">
        <w:rPr>
          <w:rFonts w:ascii="Arial" w:hAnsi="Arial"/>
          <w:sz w:val="14"/>
          <w:szCs w:val="14"/>
          <w:lang w:val="en-AU"/>
        </w:rPr>
        <w:tab/>
      </w:r>
      <w:r w:rsidR="00A073BD" w:rsidRPr="00A073BD">
        <w:rPr>
          <w:rFonts w:ascii="Arial" w:hAnsi="Arial"/>
          <w:sz w:val="14"/>
          <w:szCs w:val="14"/>
          <w:lang w:val="en-AU"/>
        </w:rPr>
        <w:t>Total Program funded expenditure includes operating expenses and capital expenditure funded by appropriation and own source revenue. This excludes expenses not requiring appropriation</w:t>
      </w:r>
      <w:r w:rsidR="00A073BD" w:rsidRPr="00A073BD">
        <w:rPr>
          <w:rFonts w:ascii="Arial" w:hAnsi="Arial"/>
          <w:sz w:val="14"/>
          <w:szCs w:val="14"/>
          <w:lang w:val="en-AU"/>
        </w:rPr>
        <w:tab/>
      </w:r>
      <w:r w:rsidR="00A073BD" w:rsidRPr="00A073BD">
        <w:rPr>
          <w:rFonts w:ascii="Arial" w:hAnsi="Arial"/>
          <w:sz w:val="14"/>
          <w:szCs w:val="14"/>
          <w:lang w:val="en-AU"/>
        </w:rPr>
        <w:tab/>
      </w:r>
      <w:r w:rsidR="00A073BD" w:rsidRPr="00A073BD">
        <w:rPr>
          <w:rFonts w:ascii="Arial" w:hAnsi="Arial"/>
          <w:sz w:val="14"/>
          <w:szCs w:val="14"/>
          <w:lang w:val="en-AU"/>
        </w:rPr>
        <w:tab/>
      </w:r>
      <w:r w:rsidR="00A073BD" w:rsidRPr="00A073BD">
        <w:rPr>
          <w:rFonts w:ascii="Arial" w:hAnsi="Arial"/>
          <w:sz w:val="14"/>
          <w:szCs w:val="14"/>
          <w:lang w:val="en-AU"/>
        </w:rPr>
        <w:tab/>
      </w:r>
      <w:r w:rsidR="00A073BD" w:rsidRPr="00A073BD">
        <w:rPr>
          <w:rFonts w:ascii="Arial" w:hAnsi="Arial"/>
          <w:sz w:val="14"/>
          <w:szCs w:val="14"/>
          <w:lang w:val="en-AU"/>
        </w:rPr>
        <w:tab/>
      </w:r>
      <w:r w:rsidR="003A0A8B" w:rsidRPr="003A0A8B">
        <w:rPr>
          <w:rFonts w:ascii="Arial" w:hAnsi="Arial"/>
          <w:sz w:val="14"/>
          <w:szCs w:val="14"/>
          <w:lang w:val="en-AU"/>
        </w:rPr>
        <w:t>.</w:t>
      </w:r>
      <w:r w:rsidR="003A0A8B" w:rsidRPr="003A0A8B">
        <w:rPr>
          <w:rFonts w:ascii="Arial" w:hAnsi="Arial"/>
          <w:sz w:val="14"/>
          <w:szCs w:val="14"/>
          <w:lang w:val="en-AU"/>
        </w:rPr>
        <w:tab/>
      </w:r>
      <w:r w:rsidR="003A0A8B" w:rsidRPr="003A0A8B">
        <w:rPr>
          <w:rFonts w:ascii="Arial" w:hAnsi="Arial"/>
          <w:sz w:val="14"/>
          <w:szCs w:val="14"/>
          <w:lang w:val="en-AU"/>
        </w:rPr>
        <w:tab/>
      </w:r>
      <w:r w:rsidR="003A0A8B" w:rsidRPr="003A0A8B">
        <w:rPr>
          <w:rFonts w:ascii="Arial" w:hAnsi="Arial"/>
          <w:sz w:val="14"/>
          <w:szCs w:val="14"/>
          <w:lang w:val="en-AU"/>
        </w:rPr>
        <w:tab/>
      </w:r>
      <w:r w:rsidR="003A0A8B" w:rsidRPr="003A0A8B">
        <w:rPr>
          <w:rFonts w:ascii="Arial" w:hAnsi="Arial"/>
          <w:sz w:val="14"/>
          <w:szCs w:val="14"/>
          <w:lang w:val="en-AU"/>
        </w:rPr>
        <w:tab/>
      </w:r>
      <w:r w:rsidR="003A0A8B" w:rsidRPr="003A0A8B">
        <w:rPr>
          <w:rFonts w:ascii="Arial" w:hAnsi="Arial"/>
          <w:sz w:val="14"/>
          <w:szCs w:val="14"/>
          <w:lang w:val="en-AU"/>
        </w:rPr>
        <w:tab/>
      </w:r>
    </w:p>
    <w:p w14:paraId="4F8D71CC" w14:textId="77777777" w:rsidR="007A3EA9" w:rsidRPr="00B56FAA" w:rsidRDefault="007A3EA9" w:rsidP="00777CE3">
      <w:pPr>
        <w:spacing w:before="0" w:after="0"/>
        <w:outlineLvl w:val="5"/>
        <w:rPr>
          <w:color w:val="FFFFFF"/>
          <w:sz w:val="2"/>
          <w:szCs w:val="2"/>
        </w:rPr>
      </w:pPr>
      <w:r w:rsidRPr="00B56FAA">
        <w:rPr>
          <w:lang w:val="en-AU"/>
        </w:rPr>
        <w:br w:type="page"/>
      </w:r>
      <w:r w:rsidR="002E4F76" w:rsidRPr="00B56FAA">
        <w:rPr>
          <w:color w:val="FFFFFF"/>
          <w:sz w:val="2"/>
          <w:szCs w:val="2"/>
        </w:rPr>
        <w:lastRenderedPageBreak/>
        <w:t>Program 2.14: Defence Intelligence</w:t>
      </w:r>
    </w:p>
    <w:tbl>
      <w:tblPr>
        <w:tblW w:w="4852"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1671"/>
        <w:gridCol w:w="2884"/>
        <w:gridCol w:w="3032"/>
        <w:gridCol w:w="23"/>
      </w:tblGrid>
      <w:tr w:rsidR="00F7100A" w:rsidRPr="00B56FAA" w14:paraId="1C8A9D01" w14:textId="77777777" w:rsidTr="00321534">
        <w:trPr>
          <w:gridAfter w:val="1"/>
          <w:wAfter w:w="25" w:type="dxa"/>
        </w:trPr>
        <w:tc>
          <w:tcPr>
            <w:tcW w:w="8328" w:type="dxa"/>
            <w:gridSpan w:val="3"/>
            <w:tcBorders>
              <w:bottom w:val="single" w:sz="4" w:space="0" w:color="auto"/>
            </w:tcBorders>
            <w:shd w:val="clear" w:color="auto" w:fill="CCCCCC"/>
          </w:tcPr>
          <w:p w14:paraId="005373B5" w14:textId="77777777" w:rsidR="00F7100A" w:rsidRPr="00B56FAA" w:rsidRDefault="00F7100A" w:rsidP="00072EF9">
            <w:pPr>
              <w:pStyle w:val="Heading5"/>
              <w:spacing w:before="60" w:after="60"/>
            </w:pPr>
            <w:r w:rsidRPr="00B56FAA">
              <w:t>Program 2.14: Defence Intelligence</w:t>
            </w:r>
          </w:p>
        </w:tc>
      </w:tr>
      <w:tr w:rsidR="00F7100A" w:rsidRPr="00B56FAA" w14:paraId="3BB7908A" w14:textId="77777777" w:rsidTr="00321534">
        <w:trPr>
          <w:gridAfter w:val="1"/>
          <w:wAfter w:w="25" w:type="dxa"/>
          <w:trHeight w:val="170"/>
        </w:trPr>
        <w:tc>
          <w:tcPr>
            <w:tcW w:w="8328" w:type="dxa"/>
            <w:gridSpan w:val="3"/>
            <w:tcBorders>
              <w:left w:val="nil"/>
              <w:bottom w:val="single" w:sz="4" w:space="0" w:color="auto"/>
              <w:right w:val="nil"/>
            </w:tcBorders>
            <w:shd w:val="clear" w:color="auto" w:fill="auto"/>
          </w:tcPr>
          <w:p w14:paraId="0CB5F653" w14:textId="77777777" w:rsidR="00F7100A" w:rsidRPr="00B56FAA" w:rsidRDefault="00F7100A" w:rsidP="00072EF9">
            <w:pPr>
              <w:pStyle w:val="Heading5"/>
              <w:spacing w:before="0" w:after="0"/>
              <w:rPr>
                <w:sz w:val="16"/>
                <w:szCs w:val="16"/>
              </w:rPr>
            </w:pPr>
          </w:p>
        </w:tc>
      </w:tr>
      <w:tr w:rsidR="00F7100A" w:rsidRPr="00321534" w14:paraId="520DE418" w14:textId="77777777" w:rsidTr="00321534">
        <w:tblPrEx>
          <w:shd w:val="clear" w:color="auto" w:fill="auto"/>
          <w:tblLook w:val="04A0" w:firstRow="1" w:lastRow="0" w:firstColumn="1" w:lastColumn="0" w:noHBand="0" w:noVBand="1"/>
        </w:tblPrEx>
        <w:trPr>
          <w:tblHeader/>
        </w:trPr>
        <w:tc>
          <w:tcPr>
            <w:tcW w:w="8353" w:type="dxa"/>
            <w:gridSpan w:val="4"/>
            <w:shd w:val="clear" w:color="auto" w:fill="E6E6E6"/>
          </w:tcPr>
          <w:p w14:paraId="0C30D56E" w14:textId="77777777" w:rsidR="00F7100A" w:rsidRPr="00321534" w:rsidRDefault="00F7100A" w:rsidP="00072EF9">
            <w:pPr>
              <w:tabs>
                <w:tab w:val="left" w:pos="709"/>
              </w:tabs>
              <w:spacing w:before="60" w:after="60"/>
              <w:rPr>
                <w:rFonts w:ascii="Arial" w:hAnsi="Arial"/>
                <w:sz w:val="16"/>
                <w:szCs w:val="16"/>
              </w:rPr>
            </w:pPr>
            <w:r w:rsidRPr="00321534">
              <w:rPr>
                <w:rFonts w:ascii="Arial" w:hAnsi="Arial"/>
                <w:b/>
                <w:sz w:val="16"/>
                <w:szCs w:val="16"/>
              </w:rPr>
              <w:t>Program 2.14</w:t>
            </w:r>
            <w:r w:rsidRPr="00321534">
              <w:rPr>
                <w:rFonts w:ascii="Arial" w:hAnsi="Arial"/>
                <w:sz w:val="16"/>
                <w:szCs w:val="16"/>
              </w:rPr>
              <w:t xml:space="preserve"> </w:t>
            </w:r>
            <w:r w:rsidRPr="00321534">
              <w:rPr>
                <w:rFonts w:ascii="Arial" w:hAnsi="Arial"/>
                <w:b/>
                <w:sz w:val="16"/>
                <w:szCs w:val="16"/>
              </w:rPr>
              <w:t>Objective</w:t>
            </w:r>
          </w:p>
          <w:p w14:paraId="48788187" w14:textId="77777777" w:rsidR="00F7100A" w:rsidRPr="00321534" w:rsidRDefault="00F7100A" w:rsidP="00072EF9">
            <w:pPr>
              <w:tabs>
                <w:tab w:val="left" w:pos="709"/>
              </w:tabs>
              <w:spacing w:before="60" w:after="60"/>
              <w:jc w:val="both"/>
              <w:rPr>
                <w:rFonts w:ascii="Arial" w:hAnsi="Arial"/>
                <w:sz w:val="16"/>
                <w:szCs w:val="16"/>
              </w:rPr>
            </w:pPr>
            <w:r w:rsidRPr="00321534">
              <w:rPr>
                <w:rFonts w:ascii="Arial" w:hAnsi="Arial"/>
                <w:sz w:val="16"/>
                <w:szCs w:val="16"/>
              </w:rPr>
              <w:t>Deliver high-quality and timely intelligence services that achieve Government intelligence priorities.</w:t>
            </w:r>
          </w:p>
        </w:tc>
      </w:tr>
      <w:tr w:rsidR="00F7100A" w:rsidRPr="00321534" w14:paraId="40492E56" w14:textId="77777777" w:rsidTr="000738A0">
        <w:tblPrEx>
          <w:shd w:val="clear" w:color="auto" w:fill="auto"/>
          <w:tblLook w:val="04A0" w:firstRow="1" w:lastRow="0" w:firstColumn="1" w:lastColumn="0" w:noHBand="0" w:noVBand="1"/>
        </w:tblPrEx>
        <w:trPr>
          <w:trHeight w:val="312"/>
        </w:trPr>
        <w:tc>
          <w:tcPr>
            <w:tcW w:w="1800" w:type="dxa"/>
            <w:tcBorders>
              <w:bottom w:val="single" w:sz="4" w:space="0" w:color="auto"/>
            </w:tcBorders>
          </w:tcPr>
          <w:p w14:paraId="79F45491" w14:textId="77777777" w:rsidR="00F7100A" w:rsidRPr="00321534" w:rsidRDefault="00F7100A" w:rsidP="00321534">
            <w:pPr>
              <w:tabs>
                <w:tab w:val="left" w:pos="709"/>
              </w:tabs>
              <w:spacing w:before="60" w:after="60"/>
              <w:rPr>
                <w:rFonts w:ascii="Arial" w:hAnsi="Arial"/>
                <w:b/>
                <w:color w:val="000000"/>
                <w:sz w:val="16"/>
                <w:szCs w:val="16"/>
              </w:rPr>
            </w:pPr>
            <w:r w:rsidRPr="00321534">
              <w:rPr>
                <w:rFonts w:ascii="Arial" w:hAnsi="Arial"/>
                <w:b/>
                <w:color w:val="000000"/>
                <w:sz w:val="16"/>
                <w:szCs w:val="16"/>
              </w:rPr>
              <w:t>Key Activities</w:t>
            </w:r>
          </w:p>
        </w:tc>
        <w:tc>
          <w:tcPr>
            <w:tcW w:w="6553" w:type="dxa"/>
            <w:gridSpan w:val="3"/>
            <w:tcBorders>
              <w:bottom w:val="single" w:sz="4" w:space="0" w:color="auto"/>
            </w:tcBorders>
          </w:tcPr>
          <w:p w14:paraId="2D5D3570" w14:textId="77777777" w:rsidR="00F7100A" w:rsidRPr="00321534" w:rsidRDefault="00F7100A" w:rsidP="00072EF9">
            <w:pPr>
              <w:tabs>
                <w:tab w:val="left" w:pos="709"/>
              </w:tabs>
              <w:spacing w:before="60" w:after="60"/>
              <w:rPr>
                <w:rFonts w:ascii="Arial" w:hAnsi="Arial"/>
                <w:bCs/>
                <w:color w:val="000000"/>
                <w:sz w:val="16"/>
                <w:szCs w:val="16"/>
                <w:lang w:val="en-AU"/>
              </w:rPr>
            </w:pPr>
            <w:r w:rsidRPr="00321534">
              <w:rPr>
                <w:rFonts w:ascii="Arial" w:hAnsi="Arial"/>
                <w:bCs/>
                <w:color w:val="000000"/>
                <w:sz w:val="16"/>
                <w:szCs w:val="16"/>
                <w:lang w:val="en-AU"/>
              </w:rPr>
              <w:t>This program is achieved through the following activities:</w:t>
            </w:r>
          </w:p>
          <w:p w14:paraId="6BD7DFC7" w14:textId="707089EC" w:rsidR="00F7100A" w:rsidRPr="00321534" w:rsidRDefault="00F7100A" w:rsidP="00072EF9">
            <w:pPr>
              <w:tabs>
                <w:tab w:val="left" w:pos="343"/>
              </w:tabs>
              <w:spacing w:before="60" w:after="60"/>
              <w:rPr>
                <w:rFonts w:ascii="Arial" w:hAnsi="Arial"/>
                <w:sz w:val="16"/>
                <w:szCs w:val="16"/>
                <w:lang w:val="en-AU"/>
              </w:rPr>
            </w:pPr>
            <w:r w:rsidRPr="00321534">
              <w:rPr>
                <w:rFonts w:ascii="Arial" w:hAnsi="Arial"/>
                <w:b/>
                <w:sz w:val="16"/>
                <w:szCs w:val="16"/>
                <w:lang w:val="en-AU"/>
              </w:rPr>
              <w:t xml:space="preserve">3. </w:t>
            </w:r>
            <w:r w:rsidR="00BD4E0F" w:rsidRPr="00321534">
              <w:rPr>
                <w:rFonts w:ascii="Arial" w:hAnsi="Arial"/>
                <w:b/>
                <w:sz w:val="16"/>
                <w:szCs w:val="16"/>
                <w:lang w:val="en-AU"/>
              </w:rPr>
              <w:t xml:space="preserve">Enable intelligence-informed </w:t>
            </w:r>
            <w:r w:rsidR="00BD4E0F" w:rsidRPr="00BD4E0F">
              <w:rPr>
                <w:rFonts w:ascii="Arial" w:hAnsi="Arial"/>
                <w:b/>
                <w:sz w:val="16"/>
                <w:szCs w:val="16"/>
                <w:lang w:val="en-AU"/>
              </w:rPr>
              <w:t>decision-making</w:t>
            </w:r>
            <w:r w:rsidRPr="00BD4E0F">
              <w:rPr>
                <w:rFonts w:ascii="Arial" w:hAnsi="Arial"/>
                <w:b/>
                <w:sz w:val="16"/>
                <w:szCs w:val="16"/>
                <w:lang w:val="en-AU"/>
              </w:rPr>
              <w:t>.</w:t>
            </w:r>
            <w:r w:rsidRPr="00321534">
              <w:rPr>
                <w:rFonts w:ascii="Arial" w:hAnsi="Arial"/>
                <w:b/>
                <w:sz w:val="16"/>
                <w:szCs w:val="16"/>
                <w:lang w:val="en-AU"/>
              </w:rPr>
              <w:t xml:space="preserve"> </w:t>
            </w:r>
            <w:r w:rsidRPr="00321534">
              <w:rPr>
                <w:rFonts w:ascii="Arial" w:hAnsi="Arial"/>
                <w:sz w:val="16"/>
                <w:szCs w:val="16"/>
                <w:lang w:val="en-AU"/>
              </w:rPr>
              <w:t xml:space="preserve">Classified intelligence assessments and products support Defence and </w:t>
            </w:r>
            <w:r w:rsidR="00551510" w:rsidRPr="00321534">
              <w:rPr>
                <w:rFonts w:ascii="Arial" w:hAnsi="Arial"/>
                <w:sz w:val="16"/>
                <w:szCs w:val="16"/>
                <w:lang w:val="en-AU"/>
              </w:rPr>
              <w:t>the G</w:t>
            </w:r>
            <w:r w:rsidRPr="00321534">
              <w:rPr>
                <w:rFonts w:ascii="Arial" w:hAnsi="Arial"/>
                <w:sz w:val="16"/>
                <w:szCs w:val="16"/>
                <w:lang w:val="en-AU"/>
              </w:rPr>
              <w:t>overnment to make informed decisions on matters that may affect Australia’s national interests, including Defence’s strategic policy and overseas operations.</w:t>
            </w:r>
          </w:p>
          <w:p w14:paraId="53B0CA2E" w14:textId="77777777" w:rsidR="00F7100A" w:rsidRPr="00321534" w:rsidRDefault="00F7100A" w:rsidP="00072EF9">
            <w:pPr>
              <w:tabs>
                <w:tab w:val="left" w:pos="343"/>
              </w:tabs>
              <w:spacing w:before="60" w:after="60"/>
              <w:rPr>
                <w:rFonts w:ascii="Arial" w:hAnsi="Arial"/>
                <w:i/>
                <w:color w:val="000000"/>
                <w:sz w:val="16"/>
                <w:szCs w:val="16"/>
              </w:rPr>
            </w:pPr>
            <w:r w:rsidRPr="00321534">
              <w:rPr>
                <w:rFonts w:ascii="Arial" w:hAnsi="Arial"/>
                <w:b/>
                <w:sz w:val="16"/>
                <w:szCs w:val="16"/>
                <w:lang w:val="en-AU"/>
              </w:rPr>
              <w:t>6. Deliver future capability</w:t>
            </w:r>
            <w:r w:rsidRPr="00321534">
              <w:rPr>
                <w:rFonts w:ascii="Arial" w:hAnsi="Arial"/>
                <w:sz w:val="16"/>
                <w:szCs w:val="16"/>
                <w:lang w:val="en-AU"/>
              </w:rPr>
              <w:t xml:space="preserve">. </w:t>
            </w:r>
            <w:r w:rsidRPr="00321534">
              <w:rPr>
                <w:rFonts w:ascii="Arial" w:hAnsi="Arial"/>
                <w:sz w:val="16"/>
                <w:szCs w:val="16"/>
              </w:rPr>
              <w:t>Defence will accelerate the development of important capabilities over the next decade to build an integrated, focused force across the maritime, land, air, space and cyber domains. This will ensure the Australian Defence Force has the capacity to defend Australia and its national interests in our evolving strategic circumstances and deter adversaries through a strategy of denial.</w:t>
            </w:r>
          </w:p>
        </w:tc>
      </w:tr>
      <w:tr w:rsidR="00F7100A" w:rsidRPr="00321534" w14:paraId="5BDB68B4" w14:textId="77777777" w:rsidTr="000738A0">
        <w:tblPrEx>
          <w:shd w:val="clear" w:color="auto" w:fill="auto"/>
          <w:tblLook w:val="04A0" w:firstRow="1" w:lastRow="0" w:firstColumn="1" w:lastColumn="0" w:noHBand="0" w:noVBand="1"/>
        </w:tblPrEx>
        <w:trPr>
          <w:trHeight w:val="100"/>
        </w:trPr>
        <w:tc>
          <w:tcPr>
            <w:tcW w:w="1800" w:type="dxa"/>
            <w:tcBorders>
              <w:top w:val="single" w:sz="4" w:space="0" w:color="auto"/>
              <w:bottom w:val="single" w:sz="4" w:space="0" w:color="auto"/>
              <w:right w:val="single" w:sz="4" w:space="0" w:color="auto"/>
            </w:tcBorders>
          </w:tcPr>
          <w:p w14:paraId="52837B19" w14:textId="77777777" w:rsidR="00F7100A" w:rsidRPr="00321534" w:rsidRDefault="00F7100A" w:rsidP="00072EF9">
            <w:pPr>
              <w:tabs>
                <w:tab w:val="left" w:pos="709"/>
              </w:tabs>
              <w:spacing w:before="60" w:after="60"/>
              <w:rPr>
                <w:rFonts w:ascii="Arial" w:hAnsi="Arial"/>
                <w:color w:val="000000"/>
                <w:sz w:val="16"/>
                <w:szCs w:val="16"/>
              </w:rPr>
            </w:pPr>
            <w:r w:rsidRPr="00321534">
              <w:rPr>
                <w:rFonts w:ascii="Arial" w:hAnsi="Arial"/>
                <w:b/>
                <w:color w:val="000000"/>
                <w:sz w:val="16"/>
                <w:szCs w:val="16"/>
              </w:rPr>
              <w:t>Year</w:t>
            </w:r>
          </w:p>
        </w:tc>
        <w:tc>
          <w:tcPr>
            <w:tcW w:w="3174" w:type="dxa"/>
            <w:tcBorders>
              <w:top w:val="single" w:sz="4" w:space="0" w:color="auto"/>
              <w:left w:val="single" w:sz="4" w:space="0" w:color="auto"/>
              <w:bottom w:val="single" w:sz="4" w:space="0" w:color="auto"/>
              <w:right w:val="single" w:sz="4" w:space="0" w:color="auto"/>
            </w:tcBorders>
          </w:tcPr>
          <w:p w14:paraId="19165077" w14:textId="77777777" w:rsidR="00F7100A" w:rsidRPr="00321534" w:rsidRDefault="00F7100A" w:rsidP="00072EF9">
            <w:pPr>
              <w:tabs>
                <w:tab w:val="left" w:pos="709"/>
              </w:tabs>
              <w:spacing w:before="60" w:after="60"/>
              <w:rPr>
                <w:rFonts w:ascii="Arial" w:hAnsi="Arial"/>
                <w:color w:val="000000"/>
              </w:rPr>
            </w:pPr>
            <w:r w:rsidRPr="00321534">
              <w:rPr>
                <w:rFonts w:ascii="Arial" w:hAnsi="Arial"/>
                <w:b/>
                <w:color w:val="000000"/>
                <w:sz w:val="16"/>
                <w:szCs w:val="16"/>
              </w:rPr>
              <w:t>Performance measures</w:t>
            </w:r>
          </w:p>
        </w:tc>
        <w:tc>
          <w:tcPr>
            <w:tcW w:w="3379" w:type="dxa"/>
            <w:gridSpan w:val="2"/>
            <w:tcBorders>
              <w:top w:val="single" w:sz="4" w:space="0" w:color="auto"/>
              <w:left w:val="single" w:sz="4" w:space="0" w:color="auto"/>
              <w:bottom w:val="single" w:sz="4" w:space="0" w:color="auto"/>
            </w:tcBorders>
          </w:tcPr>
          <w:p w14:paraId="0819ABAB" w14:textId="77777777" w:rsidR="00F7100A" w:rsidRPr="00321534" w:rsidRDefault="00F7100A" w:rsidP="00072EF9">
            <w:pPr>
              <w:tabs>
                <w:tab w:val="left" w:pos="709"/>
              </w:tabs>
              <w:spacing w:before="60" w:after="60"/>
              <w:rPr>
                <w:rFonts w:ascii="Arial" w:hAnsi="Arial"/>
                <w:i/>
                <w:color w:val="000000"/>
                <w:sz w:val="16"/>
                <w:szCs w:val="16"/>
              </w:rPr>
            </w:pPr>
            <w:r w:rsidRPr="00321534">
              <w:rPr>
                <w:rFonts w:ascii="Arial" w:hAnsi="Arial"/>
                <w:b/>
                <w:color w:val="000000"/>
                <w:sz w:val="16"/>
                <w:szCs w:val="16"/>
              </w:rPr>
              <w:t>Expected Performance Results</w:t>
            </w:r>
          </w:p>
        </w:tc>
      </w:tr>
      <w:tr w:rsidR="00BD4E0F" w:rsidRPr="00321534" w14:paraId="702A54BE" w14:textId="77777777" w:rsidTr="00321534">
        <w:tblPrEx>
          <w:shd w:val="clear" w:color="auto" w:fill="auto"/>
          <w:tblLook w:val="04A0" w:firstRow="1" w:lastRow="0" w:firstColumn="1" w:lastColumn="0" w:noHBand="0" w:noVBand="1"/>
        </w:tblPrEx>
        <w:trPr>
          <w:trHeight w:val="305"/>
        </w:trPr>
        <w:tc>
          <w:tcPr>
            <w:tcW w:w="1800" w:type="dxa"/>
            <w:vMerge w:val="restart"/>
            <w:tcBorders>
              <w:top w:val="single" w:sz="4" w:space="0" w:color="auto"/>
              <w:right w:val="single" w:sz="4" w:space="0" w:color="auto"/>
            </w:tcBorders>
          </w:tcPr>
          <w:p w14:paraId="0B4CBA54" w14:textId="77777777" w:rsidR="00BD4E0F" w:rsidRPr="00321534" w:rsidRDefault="00BD4E0F" w:rsidP="00BD4E0F">
            <w:pPr>
              <w:tabs>
                <w:tab w:val="left" w:pos="709"/>
              </w:tabs>
              <w:spacing w:before="0" w:after="0"/>
              <w:rPr>
                <w:rFonts w:ascii="Arial" w:hAnsi="Arial"/>
                <w:color w:val="000000"/>
                <w:sz w:val="16"/>
                <w:szCs w:val="16"/>
              </w:rPr>
            </w:pPr>
            <w:r w:rsidRPr="00321534">
              <w:rPr>
                <w:rFonts w:ascii="Arial" w:hAnsi="Arial"/>
                <w:color w:val="000000"/>
                <w:sz w:val="16"/>
                <w:szCs w:val="16"/>
              </w:rPr>
              <w:t>Current Year</w:t>
            </w:r>
          </w:p>
          <w:p w14:paraId="1994E270" w14:textId="77777777" w:rsidR="00BD4E0F" w:rsidRPr="00321534" w:rsidRDefault="00BD4E0F" w:rsidP="00BD4E0F">
            <w:pPr>
              <w:tabs>
                <w:tab w:val="left" w:pos="709"/>
              </w:tabs>
              <w:spacing w:before="0" w:after="0"/>
              <w:rPr>
                <w:rFonts w:ascii="Arial" w:hAnsi="Arial"/>
                <w:color w:val="000000"/>
                <w:sz w:val="16"/>
                <w:szCs w:val="16"/>
              </w:rPr>
            </w:pPr>
            <w:r w:rsidRPr="00321534">
              <w:rPr>
                <w:rFonts w:ascii="Arial" w:hAnsi="Arial"/>
                <w:color w:val="000000"/>
                <w:sz w:val="16"/>
                <w:szCs w:val="16"/>
              </w:rPr>
              <w:t>2024-25</w:t>
            </w:r>
          </w:p>
        </w:tc>
        <w:tc>
          <w:tcPr>
            <w:tcW w:w="3174" w:type="dxa"/>
            <w:tcBorders>
              <w:top w:val="single" w:sz="4" w:space="0" w:color="auto"/>
              <w:left w:val="single" w:sz="4" w:space="0" w:color="auto"/>
              <w:bottom w:val="dotted" w:sz="4" w:space="0" w:color="auto"/>
              <w:right w:val="single" w:sz="4" w:space="0" w:color="auto"/>
            </w:tcBorders>
          </w:tcPr>
          <w:p w14:paraId="7FBFA5D2" w14:textId="437EC37C" w:rsidR="00BD4E0F" w:rsidRPr="00BD4E0F" w:rsidRDefault="00BD4E0F" w:rsidP="00BD4E0F">
            <w:pPr>
              <w:tabs>
                <w:tab w:val="left" w:pos="709"/>
              </w:tabs>
              <w:spacing w:before="60" w:after="60"/>
              <w:rPr>
                <w:rFonts w:ascii="Arial" w:hAnsi="Arial"/>
                <w:color w:val="000000"/>
                <w:sz w:val="16"/>
                <w:szCs w:val="16"/>
              </w:rPr>
            </w:pPr>
            <w:r w:rsidRPr="00BD4E0F">
              <w:rPr>
                <w:rFonts w:ascii="Arial" w:hAnsi="Arial"/>
                <w:sz w:val="16"/>
                <w:szCs w:val="16"/>
                <w:lang w:val="en-AU"/>
              </w:rPr>
              <w:t>3.1: Defence key stakeholder satisfaction of the alignment and impact of Defence Intelligence Enterprise (DIE) intelligence assessments and products.</w:t>
            </w:r>
          </w:p>
        </w:tc>
        <w:tc>
          <w:tcPr>
            <w:tcW w:w="3379" w:type="dxa"/>
            <w:gridSpan w:val="2"/>
            <w:tcBorders>
              <w:top w:val="single" w:sz="4" w:space="0" w:color="auto"/>
              <w:left w:val="single" w:sz="4" w:space="0" w:color="auto"/>
              <w:bottom w:val="dotted" w:sz="4" w:space="0" w:color="auto"/>
            </w:tcBorders>
          </w:tcPr>
          <w:p w14:paraId="305513AF" w14:textId="521B7A7E" w:rsidR="00BD4E0F" w:rsidRPr="00BD4E0F" w:rsidRDefault="001809FC" w:rsidP="00BD4E0F">
            <w:pPr>
              <w:tabs>
                <w:tab w:val="left" w:pos="709"/>
              </w:tabs>
              <w:spacing w:before="60" w:after="60"/>
              <w:rPr>
                <w:rFonts w:ascii="Arial" w:eastAsia="Calibri" w:hAnsi="Arial"/>
                <w:sz w:val="16"/>
                <w:szCs w:val="16"/>
                <w:lang w:val="en-AU" w:eastAsia="en-US"/>
              </w:rPr>
            </w:pPr>
            <w:r w:rsidRPr="00A12870">
              <w:rPr>
                <w:rFonts w:ascii="Arial" w:eastAsia="Calibri" w:hAnsi="Arial"/>
                <w:sz w:val="16"/>
                <w:szCs w:val="16"/>
                <w:lang w:val="en-AU" w:eastAsia="en-US"/>
              </w:rPr>
              <w:t>Percentage of DIE intelligence assessments and products aligned to the Defence Intelligence Prioritisation Framework and percentage of satisfaction key stakeholders report in the impact of intelligence assessments and products to their decision-making.</w:t>
            </w:r>
            <w:r w:rsidR="00BD4E0F" w:rsidRPr="00BD4E0F">
              <w:rPr>
                <w:rFonts w:ascii="Arial" w:eastAsia="Calibri" w:hAnsi="Arial"/>
                <w:sz w:val="16"/>
                <w:szCs w:val="16"/>
                <w:lang w:val="en-AU" w:eastAsia="en-US"/>
              </w:rPr>
              <w:t xml:space="preserve"> </w:t>
            </w:r>
          </w:p>
          <w:p w14:paraId="77F0E912" w14:textId="4AE0E3C9" w:rsidR="00BD4E0F" w:rsidRPr="00BD4E0F" w:rsidRDefault="00BD4E0F" w:rsidP="00BD4E0F">
            <w:pPr>
              <w:tabs>
                <w:tab w:val="left" w:pos="709"/>
              </w:tabs>
              <w:spacing w:before="60" w:after="60"/>
              <w:jc w:val="right"/>
              <w:rPr>
                <w:rFonts w:ascii="Arial" w:hAnsi="Arial"/>
                <w:i/>
                <w:color w:val="000000"/>
                <w:sz w:val="16"/>
                <w:szCs w:val="16"/>
              </w:rPr>
            </w:pPr>
            <w:r w:rsidRPr="00BD4E0F">
              <w:rPr>
                <w:rFonts w:ascii="Arial" w:hAnsi="Arial"/>
                <w:i/>
                <w:sz w:val="16"/>
                <w:szCs w:val="16"/>
                <w:lang w:val="en-AU"/>
              </w:rPr>
              <w:t>Baseline to be established.</w:t>
            </w:r>
          </w:p>
        </w:tc>
      </w:tr>
      <w:tr w:rsidR="00321534" w:rsidRPr="00321534" w14:paraId="68156B37" w14:textId="77777777" w:rsidTr="000738A0">
        <w:tblPrEx>
          <w:shd w:val="clear" w:color="auto" w:fill="auto"/>
          <w:tblLook w:val="04A0" w:firstRow="1" w:lastRow="0" w:firstColumn="1" w:lastColumn="0" w:noHBand="0" w:noVBand="1"/>
        </w:tblPrEx>
        <w:trPr>
          <w:trHeight w:val="305"/>
        </w:trPr>
        <w:tc>
          <w:tcPr>
            <w:tcW w:w="1800" w:type="dxa"/>
            <w:vMerge/>
            <w:tcBorders>
              <w:bottom w:val="single" w:sz="4" w:space="0" w:color="auto"/>
              <w:right w:val="single" w:sz="4" w:space="0" w:color="auto"/>
            </w:tcBorders>
          </w:tcPr>
          <w:p w14:paraId="2301EAF2" w14:textId="77777777" w:rsidR="00321534" w:rsidRPr="00321534" w:rsidRDefault="00321534" w:rsidP="00321534">
            <w:pPr>
              <w:tabs>
                <w:tab w:val="left" w:pos="709"/>
              </w:tabs>
              <w:spacing w:before="60" w:after="60"/>
              <w:rPr>
                <w:rFonts w:ascii="Arial" w:hAnsi="Arial"/>
                <w:color w:val="000000"/>
                <w:sz w:val="16"/>
                <w:szCs w:val="16"/>
              </w:rPr>
            </w:pPr>
          </w:p>
        </w:tc>
        <w:tc>
          <w:tcPr>
            <w:tcW w:w="3174" w:type="dxa"/>
            <w:tcBorders>
              <w:top w:val="dotted" w:sz="4" w:space="0" w:color="auto"/>
              <w:left w:val="single" w:sz="4" w:space="0" w:color="auto"/>
              <w:bottom w:val="single" w:sz="4" w:space="0" w:color="auto"/>
              <w:right w:val="single" w:sz="4" w:space="0" w:color="auto"/>
            </w:tcBorders>
          </w:tcPr>
          <w:p w14:paraId="1B9F0B60" w14:textId="77777777" w:rsidR="00321534" w:rsidRPr="00BD4E0F" w:rsidRDefault="00321534" w:rsidP="0027665E">
            <w:pPr>
              <w:autoSpaceDE w:val="0"/>
              <w:autoSpaceDN w:val="0"/>
              <w:adjustRightInd w:val="0"/>
              <w:spacing w:before="60" w:after="0"/>
              <w:rPr>
                <w:rFonts w:ascii="Arial" w:hAnsi="Arial"/>
                <w:color w:val="000000"/>
                <w:sz w:val="16"/>
                <w:szCs w:val="16"/>
              </w:rPr>
            </w:pPr>
            <w:r w:rsidRPr="00BD4E0F">
              <w:rPr>
                <w:rFonts w:ascii="Arial" w:hAnsi="Arial"/>
                <w:sz w:val="16"/>
                <w:szCs w:val="16"/>
                <w:lang w:val="en-AU"/>
              </w:rPr>
              <w:t xml:space="preserve">6.1: Defence is delivering the right future capability at the right time within the Integrated Investment Program to ensure it is equipped to respond to future security challenges as directed by the </w:t>
            </w:r>
            <w:r w:rsidRPr="00E00255">
              <w:rPr>
                <w:rFonts w:ascii="Arial" w:hAnsi="Arial"/>
                <w:i/>
                <w:sz w:val="16"/>
                <w:szCs w:val="16"/>
                <w:lang w:val="en-AU"/>
              </w:rPr>
              <w:t>2024 National Defence Strategy</w:t>
            </w:r>
            <w:r w:rsidRPr="00BD4E0F">
              <w:rPr>
                <w:rFonts w:ascii="Arial" w:hAnsi="Arial"/>
                <w:sz w:val="16"/>
                <w:szCs w:val="16"/>
                <w:lang w:val="en-AU"/>
              </w:rPr>
              <w:t>.</w:t>
            </w:r>
          </w:p>
        </w:tc>
        <w:tc>
          <w:tcPr>
            <w:tcW w:w="3379" w:type="dxa"/>
            <w:gridSpan w:val="2"/>
            <w:tcBorders>
              <w:top w:val="dotted" w:sz="4" w:space="0" w:color="auto"/>
              <w:left w:val="single" w:sz="4" w:space="0" w:color="auto"/>
              <w:bottom w:val="single" w:sz="4" w:space="0" w:color="auto"/>
            </w:tcBorders>
          </w:tcPr>
          <w:p w14:paraId="3F8423F6" w14:textId="77777777" w:rsidR="00321534" w:rsidRPr="00BD4E0F" w:rsidRDefault="00321534" w:rsidP="00321534">
            <w:pPr>
              <w:tabs>
                <w:tab w:val="left" w:pos="709"/>
              </w:tabs>
              <w:spacing w:before="60" w:after="60"/>
              <w:rPr>
                <w:rFonts w:ascii="Arial" w:hAnsi="Arial"/>
                <w:sz w:val="16"/>
                <w:szCs w:val="16"/>
                <w:lang w:val="en-AU"/>
              </w:rPr>
            </w:pPr>
            <w:r w:rsidRPr="00BD4E0F">
              <w:rPr>
                <w:rFonts w:ascii="Arial" w:hAnsi="Arial"/>
                <w:sz w:val="16"/>
                <w:szCs w:val="16"/>
                <w:lang w:val="en-AU"/>
              </w:rPr>
              <w:t>80 per cent or more of approved Integrated Investment Program projects across all domains are on track to deliver the scope approved by Government within Government approved cost and schedule.</w:t>
            </w:r>
          </w:p>
          <w:p w14:paraId="4B647626" w14:textId="63CB1596" w:rsidR="00321534" w:rsidRPr="00BD4E0F" w:rsidRDefault="00BD4E0F" w:rsidP="00321534">
            <w:pPr>
              <w:tabs>
                <w:tab w:val="left" w:pos="709"/>
              </w:tabs>
              <w:spacing w:before="60" w:after="60"/>
              <w:jc w:val="right"/>
              <w:rPr>
                <w:rFonts w:ascii="Arial" w:hAnsi="Arial"/>
                <w:sz w:val="16"/>
                <w:szCs w:val="16"/>
              </w:rPr>
            </w:pPr>
            <w:r w:rsidRPr="00BD4E0F">
              <w:rPr>
                <w:rFonts w:ascii="Arial" w:hAnsi="Arial"/>
                <w:i/>
                <w:sz w:val="16"/>
                <w:szCs w:val="16"/>
                <w:lang w:val="en-AU"/>
              </w:rPr>
              <w:t>Expected to be substantially achieved.</w:t>
            </w:r>
          </w:p>
        </w:tc>
      </w:tr>
      <w:tr w:rsidR="00F7100A" w:rsidRPr="00321534" w14:paraId="41A29C3B" w14:textId="77777777" w:rsidTr="000738A0">
        <w:tblPrEx>
          <w:shd w:val="clear" w:color="auto" w:fill="auto"/>
          <w:tblLook w:val="04A0" w:firstRow="1" w:lastRow="0" w:firstColumn="1" w:lastColumn="0" w:noHBand="0" w:noVBand="1"/>
        </w:tblPrEx>
        <w:trPr>
          <w:trHeight w:val="258"/>
        </w:trPr>
        <w:tc>
          <w:tcPr>
            <w:tcW w:w="1800" w:type="dxa"/>
            <w:tcBorders>
              <w:top w:val="single" w:sz="4" w:space="0" w:color="auto"/>
              <w:bottom w:val="single" w:sz="4" w:space="0" w:color="auto"/>
              <w:right w:val="single" w:sz="4" w:space="0" w:color="auto"/>
            </w:tcBorders>
          </w:tcPr>
          <w:p w14:paraId="18BF0DE6" w14:textId="77777777" w:rsidR="00F7100A" w:rsidRPr="00321534" w:rsidRDefault="00F7100A" w:rsidP="00072EF9">
            <w:pPr>
              <w:tabs>
                <w:tab w:val="left" w:pos="709"/>
              </w:tabs>
              <w:spacing w:before="60" w:after="60"/>
              <w:rPr>
                <w:rFonts w:ascii="Arial" w:hAnsi="Arial"/>
                <w:b/>
                <w:color w:val="000000"/>
                <w:sz w:val="16"/>
                <w:szCs w:val="16"/>
              </w:rPr>
            </w:pPr>
            <w:r w:rsidRPr="00321534">
              <w:rPr>
                <w:rFonts w:ascii="Arial" w:hAnsi="Arial"/>
                <w:b/>
                <w:color w:val="000000"/>
                <w:sz w:val="16"/>
                <w:szCs w:val="16"/>
              </w:rPr>
              <w:t>Year</w:t>
            </w:r>
          </w:p>
        </w:tc>
        <w:tc>
          <w:tcPr>
            <w:tcW w:w="3174" w:type="dxa"/>
            <w:tcBorders>
              <w:top w:val="single" w:sz="4" w:space="0" w:color="auto"/>
              <w:left w:val="single" w:sz="4" w:space="0" w:color="auto"/>
              <w:bottom w:val="single" w:sz="4" w:space="0" w:color="auto"/>
              <w:right w:val="single" w:sz="4" w:space="0" w:color="auto"/>
            </w:tcBorders>
          </w:tcPr>
          <w:p w14:paraId="74850020" w14:textId="77777777" w:rsidR="00F7100A" w:rsidRPr="00321534" w:rsidRDefault="00F7100A" w:rsidP="00072EF9">
            <w:pPr>
              <w:tabs>
                <w:tab w:val="left" w:pos="709"/>
                <w:tab w:val="center" w:pos="1818"/>
              </w:tabs>
              <w:spacing w:before="60" w:after="60"/>
              <w:rPr>
                <w:rFonts w:ascii="Arial" w:hAnsi="Arial"/>
                <w:b/>
                <w:color w:val="000000"/>
                <w:sz w:val="16"/>
                <w:szCs w:val="16"/>
              </w:rPr>
            </w:pPr>
            <w:r w:rsidRPr="00321534">
              <w:rPr>
                <w:rFonts w:ascii="Arial" w:hAnsi="Arial"/>
                <w:b/>
                <w:color w:val="000000"/>
                <w:sz w:val="16"/>
                <w:szCs w:val="16"/>
              </w:rPr>
              <w:t>Performance measures</w:t>
            </w:r>
          </w:p>
        </w:tc>
        <w:tc>
          <w:tcPr>
            <w:tcW w:w="3379" w:type="dxa"/>
            <w:gridSpan w:val="2"/>
            <w:tcBorders>
              <w:top w:val="single" w:sz="4" w:space="0" w:color="auto"/>
              <w:left w:val="single" w:sz="4" w:space="0" w:color="auto"/>
              <w:bottom w:val="single" w:sz="4" w:space="0" w:color="auto"/>
            </w:tcBorders>
          </w:tcPr>
          <w:p w14:paraId="2D62C815" w14:textId="77777777" w:rsidR="00F7100A" w:rsidRPr="00321534" w:rsidRDefault="00F7100A" w:rsidP="00072EF9">
            <w:pPr>
              <w:tabs>
                <w:tab w:val="left" w:pos="709"/>
              </w:tabs>
              <w:spacing w:before="60" w:after="60"/>
              <w:rPr>
                <w:rFonts w:ascii="Arial" w:hAnsi="Arial"/>
                <w:b/>
                <w:color w:val="000000"/>
                <w:sz w:val="16"/>
                <w:szCs w:val="16"/>
              </w:rPr>
            </w:pPr>
            <w:r w:rsidRPr="00321534">
              <w:rPr>
                <w:rFonts w:ascii="Arial" w:hAnsi="Arial"/>
                <w:b/>
                <w:color w:val="000000"/>
                <w:sz w:val="16"/>
                <w:szCs w:val="16"/>
              </w:rPr>
              <w:t>Planned Performance Results</w:t>
            </w:r>
          </w:p>
        </w:tc>
      </w:tr>
      <w:tr w:rsidR="00BD4E0F" w:rsidRPr="00BA1388" w14:paraId="7391EB21" w14:textId="77777777" w:rsidTr="00321534">
        <w:tblPrEx>
          <w:shd w:val="clear" w:color="auto" w:fill="auto"/>
          <w:tblLook w:val="04A0" w:firstRow="1" w:lastRow="0" w:firstColumn="1" w:lastColumn="0" w:noHBand="0" w:noVBand="1"/>
        </w:tblPrEx>
        <w:trPr>
          <w:trHeight w:val="320"/>
        </w:trPr>
        <w:tc>
          <w:tcPr>
            <w:tcW w:w="1800" w:type="dxa"/>
            <w:vMerge w:val="restart"/>
            <w:tcBorders>
              <w:top w:val="single" w:sz="4" w:space="0" w:color="auto"/>
              <w:right w:val="single" w:sz="4" w:space="0" w:color="auto"/>
            </w:tcBorders>
          </w:tcPr>
          <w:p w14:paraId="16504BAB" w14:textId="77777777" w:rsidR="00BD4E0F" w:rsidRPr="00321534" w:rsidRDefault="00BD4E0F" w:rsidP="00BD4E0F">
            <w:pPr>
              <w:tabs>
                <w:tab w:val="left" w:pos="709"/>
              </w:tabs>
              <w:spacing w:before="0" w:after="0"/>
              <w:rPr>
                <w:rFonts w:ascii="Arial" w:hAnsi="Arial"/>
                <w:color w:val="000000"/>
                <w:sz w:val="16"/>
                <w:szCs w:val="16"/>
              </w:rPr>
            </w:pPr>
            <w:r w:rsidRPr="00321534">
              <w:rPr>
                <w:rFonts w:ascii="Arial" w:hAnsi="Arial"/>
                <w:color w:val="000000"/>
                <w:sz w:val="16"/>
                <w:szCs w:val="16"/>
              </w:rPr>
              <w:t>Budget Year</w:t>
            </w:r>
          </w:p>
          <w:p w14:paraId="2173967F" w14:textId="77777777" w:rsidR="00BD4E0F" w:rsidRPr="00321534" w:rsidRDefault="00BD4E0F" w:rsidP="00BD4E0F">
            <w:pPr>
              <w:tabs>
                <w:tab w:val="left" w:pos="709"/>
              </w:tabs>
              <w:spacing w:before="0" w:after="0"/>
              <w:rPr>
                <w:rFonts w:ascii="Arial" w:hAnsi="Arial"/>
                <w:color w:val="000000"/>
                <w:sz w:val="16"/>
                <w:szCs w:val="16"/>
              </w:rPr>
            </w:pPr>
            <w:r w:rsidRPr="00321534">
              <w:rPr>
                <w:rFonts w:ascii="Arial" w:hAnsi="Arial"/>
                <w:color w:val="000000"/>
                <w:sz w:val="16"/>
                <w:szCs w:val="16"/>
              </w:rPr>
              <w:t>2025-26</w:t>
            </w:r>
            <w:r>
              <w:rPr>
                <w:rFonts w:ascii="Arial" w:hAnsi="Arial"/>
                <w:color w:val="000000"/>
                <w:sz w:val="16"/>
                <w:szCs w:val="16"/>
              </w:rPr>
              <w:t xml:space="preserve"> </w:t>
            </w:r>
            <w:r w:rsidRPr="00321534">
              <w:rPr>
                <w:rFonts w:ascii="Arial" w:hAnsi="Arial"/>
                <w:color w:val="000000"/>
                <w:sz w:val="16"/>
                <w:szCs w:val="16"/>
                <w:vertAlign w:val="superscript"/>
              </w:rPr>
              <w:t>[a]</w:t>
            </w:r>
          </w:p>
        </w:tc>
        <w:tc>
          <w:tcPr>
            <w:tcW w:w="3174" w:type="dxa"/>
            <w:tcBorders>
              <w:top w:val="single" w:sz="4" w:space="0" w:color="auto"/>
              <w:left w:val="single" w:sz="4" w:space="0" w:color="auto"/>
              <w:bottom w:val="dotted" w:sz="4" w:space="0" w:color="auto"/>
              <w:right w:val="single" w:sz="4" w:space="0" w:color="auto"/>
            </w:tcBorders>
          </w:tcPr>
          <w:p w14:paraId="6A614287" w14:textId="106DD747" w:rsidR="00BD4E0F" w:rsidRPr="00BD4E0F" w:rsidRDefault="00BD4E0F" w:rsidP="00BD4E0F">
            <w:pPr>
              <w:tabs>
                <w:tab w:val="left" w:pos="709"/>
              </w:tabs>
              <w:spacing w:before="60" w:after="60"/>
              <w:rPr>
                <w:rFonts w:ascii="Arial" w:hAnsi="Arial"/>
                <w:color w:val="000000"/>
                <w:sz w:val="16"/>
                <w:szCs w:val="16"/>
              </w:rPr>
            </w:pPr>
            <w:r w:rsidRPr="00BD4E0F">
              <w:rPr>
                <w:rFonts w:ascii="Arial" w:hAnsi="Arial"/>
                <w:sz w:val="16"/>
                <w:szCs w:val="16"/>
                <w:lang w:val="en-AU"/>
              </w:rPr>
              <w:t>3.1: Defence key stakeholder satisfaction of the alignment and impact of Defence Intelligence Enterprise (DIE) intelligence assessments and products.</w:t>
            </w:r>
          </w:p>
        </w:tc>
        <w:tc>
          <w:tcPr>
            <w:tcW w:w="3379" w:type="dxa"/>
            <w:gridSpan w:val="2"/>
            <w:tcBorders>
              <w:top w:val="single" w:sz="4" w:space="0" w:color="auto"/>
              <w:left w:val="single" w:sz="4" w:space="0" w:color="auto"/>
              <w:bottom w:val="dotted" w:sz="4" w:space="0" w:color="auto"/>
            </w:tcBorders>
          </w:tcPr>
          <w:p w14:paraId="30421E52" w14:textId="1120EDD4" w:rsidR="00BD4E0F" w:rsidRPr="00BD4E0F" w:rsidRDefault="001809FC" w:rsidP="00BD4E0F">
            <w:pPr>
              <w:tabs>
                <w:tab w:val="left" w:pos="709"/>
              </w:tabs>
              <w:spacing w:before="60" w:after="60"/>
              <w:rPr>
                <w:rFonts w:ascii="Arial" w:hAnsi="Arial"/>
                <w:i/>
                <w:color w:val="000000"/>
                <w:sz w:val="16"/>
                <w:szCs w:val="16"/>
              </w:rPr>
            </w:pPr>
            <w:r w:rsidRPr="00A12870">
              <w:rPr>
                <w:rFonts w:ascii="Arial" w:eastAsia="Calibri" w:hAnsi="Arial"/>
                <w:sz w:val="16"/>
                <w:szCs w:val="16"/>
                <w:lang w:val="en-AU" w:eastAsia="en-US"/>
              </w:rPr>
              <w:t>Percentage of DIE intelligence assessments and products aligned to the Defence Intelligence Prioritisation Framework and percentage of satisfaction key stakeholders report in the impact of intelligence assessments and products to their decision-making.</w:t>
            </w:r>
          </w:p>
        </w:tc>
      </w:tr>
      <w:tr w:rsidR="00321534" w:rsidRPr="00BA1388" w14:paraId="3D9DF4D9" w14:textId="77777777" w:rsidTr="00321534">
        <w:tblPrEx>
          <w:shd w:val="clear" w:color="auto" w:fill="auto"/>
          <w:tblLook w:val="04A0" w:firstRow="1" w:lastRow="0" w:firstColumn="1" w:lastColumn="0" w:noHBand="0" w:noVBand="1"/>
        </w:tblPrEx>
        <w:trPr>
          <w:trHeight w:val="320"/>
        </w:trPr>
        <w:tc>
          <w:tcPr>
            <w:tcW w:w="1800" w:type="dxa"/>
            <w:vMerge/>
            <w:tcBorders>
              <w:bottom w:val="dotted" w:sz="4" w:space="0" w:color="auto"/>
              <w:right w:val="single" w:sz="4" w:space="0" w:color="auto"/>
            </w:tcBorders>
          </w:tcPr>
          <w:p w14:paraId="3FF64BCC" w14:textId="77777777" w:rsidR="00321534" w:rsidRPr="00BA1388" w:rsidRDefault="00321534" w:rsidP="00321534">
            <w:pPr>
              <w:tabs>
                <w:tab w:val="left" w:pos="709"/>
              </w:tabs>
              <w:spacing w:before="60" w:after="60"/>
              <w:rPr>
                <w:rFonts w:ascii="Arial" w:hAnsi="Arial"/>
                <w:color w:val="000000"/>
                <w:sz w:val="16"/>
                <w:szCs w:val="16"/>
                <w:highlight w:val="yellow"/>
              </w:rPr>
            </w:pPr>
          </w:p>
        </w:tc>
        <w:tc>
          <w:tcPr>
            <w:tcW w:w="3174" w:type="dxa"/>
            <w:tcBorders>
              <w:top w:val="dotted" w:sz="4" w:space="0" w:color="auto"/>
              <w:left w:val="single" w:sz="4" w:space="0" w:color="auto"/>
              <w:bottom w:val="single" w:sz="4" w:space="0" w:color="auto"/>
              <w:right w:val="single" w:sz="4" w:space="0" w:color="auto"/>
            </w:tcBorders>
          </w:tcPr>
          <w:p w14:paraId="66C69FDB" w14:textId="77777777" w:rsidR="00321534" w:rsidRPr="00470FF0" w:rsidRDefault="00321534" w:rsidP="0027665E">
            <w:pPr>
              <w:autoSpaceDE w:val="0"/>
              <w:autoSpaceDN w:val="0"/>
              <w:adjustRightInd w:val="0"/>
              <w:spacing w:before="60" w:after="0"/>
              <w:rPr>
                <w:rFonts w:ascii="Arial" w:hAnsi="Arial"/>
                <w:color w:val="000000"/>
                <w:sz w:val="16"/>
                <w:szCs w:val="16"/>
              </w:rPr>
            </w:pPr>
            <w:r w:rsidRPr="00880166">
              <w:rPr>
                <w:rFonts w:ascii="Arial" w:hAnsi="Arial"/>
                <w:sz w:val="16"/>
                <w:szCs w:val="16"/>
                <w:lang w:val="en-AU"/>
              </w:rPr>
              <w:t xml:space="preserve">6.1: Defence is delivering the right future capability at the right time within the Integrated Investment Program to ensure it is equipped to respond to future security challenges as directed by the </w:t>
            </w:r>
            <w:r w:rsidRPr="00E00255">
              <w:rPr>
                <w:rFonts w:ascii="Arial" w:hAnsi="Arial"/>
                <w:i/>
                <w:sz w:val="16"/>
                <w:szCs w:val="16"/>
                <w:lang w:val="en-AU"/>
              </w:rPr>
              <w:t>2024 National Defence Strategy</w:t>
            </w:r>
            <w:r w:rsidRPr="00880166">
              <w:rPr>
                <w:rFonts w:ascii="Arial" w:hAnsi="Arial"/>
                <w:sz w:val="16"/>
                <w:szCs w:val="16"/>
                <w:lang w:val="en-AU"/>
              </w:rPr>
              <w:t>.</w:t>
            </w:r>
          </w:p>
        </w:tc>
        <w:tc>
          <w:tcPr>
            <w:tcW w:w="3379" w:type="dxa"/>
            <w:gridSpan w:val="2"/>
            <w:tcBorders>
              <w:top w:val="dotted" w:sz="4" w:space="0" w:color="auto"/>
              <w:left w:val="single" w:sz="4" w:space="0" w:color="auto"/>
              <w:bottom w:val="single" w:sz="4" w:space="0" w:color="auto"/>
            </w:tcBorders>
          </w:tcPr>
          <w:p w14:paraId="6CEF9116" w14:textId="77777777" w:rsidR="00321534" w:rsidRPr="0036429E" w:rsidRDefault="00321534" w:rsidP="00321534">
            <w:pPr>
              <w:tabs>
                <w:tab w:val="left" w:pos="709"/>
              </w:tabs>
              <w:spacing w:before="60" w:after="60"/>
              <w:rPr>
                <w:rFonts w:ascii="Arial" w:hAnsi="Arial"/>
                <w:sz w:val="16"/>
                <w:szCs w:val="16"/>
              </w:rPr>
            </w:pPr>
            <w:r w:rsidRPr="0036429E">
              <w:rPr>
                <w:rFonts w:ascii="Arial" w:hAnsi="Arial"/>
                <w:sz w:val="16"/>
                <w:szCs w:val="16"/>
                <w:lang w:val="en-AU"/>
              </w:rPr>
              <w:t>80 per cent or more of approved Integrated Investment Program projects across all domains are on track to deliver the scope approved by Government within Government approved cost and schedule.</w:t>
            </w:r>
          </w:p>
        </w:tc>
      </w:tr>
      <w:tr w:rsidR="00F7100A" w:rsidRPr="00321534" w14:paraId="1D0E0F17" w14:textId="77777777" w:rsidTr="00321534">
        <w:tblPrEx>
          <w:shd w:val="clear" w:color="auto" w:fill="auto"/>
          <w:tblLook w:val="04A0" w:firstRow="1" w:lastRow="0" w:firstColumn="1" w:lastColumn="0" w:noHBand="0" w:noVBand="1"/>
        </w:tblPrEx>
        <w:trPr>
          <w:trHeight w:val="491"/>
        </w:trPr>
        <w:tc>
          <w:tcPr>
            <w:tcW w:w="1800" w:type="dxa"/>
            <w:tcBorders>
              <w:top w:val="single" w:sz="4" w:space="0" w:color="auto"/>
              <w:bottom w:val="single" w:sz="4" w:space="0" w:color="auto"/>
              <w:right w:val="single" w:sz="4" w:space="0" w:color="auto"/>
            </w:tcBorders>
          </w:tcPr>
          <w:p w14:paraId="6FC70C69" w14:textId="77777777" w:rsidR="00F7100A" w:rsidRPr="00321534" w:rsidRDefault="00F7100A" w:rsidP="00321534">
            <w:pPr>
              <w:tabs>
                <w:tab w:val="left" w:pos="709"/>
              </w:tabs>
              <w:spacing w:before="0" w:after="0"/>
              <w:rPr>
                <w:rFonts w:ascii="Arial" w:hAnsi="Arial"/>
                <w:color w:val="000000"/>
                <w:sz w:val="16"/>
                <w:szCs w:val="16"/>
              </w:rPr>
            </w:pPr>
            <w:r w:rsidRPr="00321534">
              <w:rPr>
                <w:rFonts w:ascii="Arial" w:hAnsi="Arial"/>
                <w:color w:val="000000"/>
                <w:sz w:val="16"/>
                <w:szCs w:val="16"/>
              </w:rPr>
              <w:t>Forward Estimates</w:t>
            </w:r>
          </w:p>
          <w:p w14:paraId="42340158" w14:textId="77777777" w:rsidR="00F7100A" w:rsidRPr="00321534" w:rsidRDefault="00F7100A" w:rsidP="00321534">
            <w:pPr>
              <w:tabs>
                <w:tab w:val="left" w:pos="709"/>
              </w:tabs>
              <w:spacing w:before="0" w:after="0"/>
              <w:rPr>
                <w:rFonts w:ascii="Arial" w:hAnsi="Arial"/>
                <w:b/>
                <w:color w:val="000000"/>
                <w:sz w:val="16"/>
                <w:szCs w:val="16"/>
              </w:rPr>
            </w:pPr>
            <w:r w:rsidRPr="00321534">
              <w:rPr>
                <w:rFonts w:ascii="Arial" w:hAnsi="Arial"/>
                <w:color w:val="000000"/>
                <w:sz w:val="16"/>
                <w:szCs w:val="16"/>
              </w:rPr>
              <w:t>202</w:t>
            </w:r>
            <w:r w:rsidR="00120363" w:rsidRPr="00321534">
              <w:rPr>
                <w:rFonts w:ascii="Arial" w:hAnsi="Arial"/>
                <w:color w:val="000000"/>
                <w:sz w:val="16"/>
                <w:szCs w:val="16"/>
              </w:rPr>
              <w:t>6-29</w:t>
            </w:r>
          </w:p>
        </w:tc>
        <w:tc>
          <w:tcPr>
            <w:tcW w:w="3174" w:type="dxa"/>
            <w:tcBorders>
              <w:top w:val="single" w:sz="4" w:space="0" w:color="auto"/>
              <w:left w:val="single" w:sz="4" w:space="0" w:color="auto"/>
              <w:bottom w:val="single" w:sz="4" w:space="0" w:color="auto"/>
              <w:right w:val="single" w:sz="4" w:space="0" w:color="auto"/>
            </w:tcBorders>
          </w:tcPr>
          <w:p w14:paraId="602467B5" w14:textId="77777777" w:rsidR="00F7100A" w:rsidRPr="00321534" w:rsidRDefault="00321534" w:rsidP="00321534">
            <w:pPr>
              <w:tabs>
                <w:tab w:val="left" w:pos="709"/>
              </w:tabs>
              <w:spacing w:before="60" w:after="60"/>
              <w:rPr>
                <w:rFonts w:ascii="Arial" w:hAnsi="Arial"/>
                <w:b/>
                <w:color w:val="000000"/>
                <w:sz w:val="16"/>
                <w:szCs w:val="16"/>
              </w:rPr>
            </w:pPr>
            <w:r>
              <w:rPr>
                <w:rFonts w:ascii="Arial" w:hAnsi="Arial"/>
                <w:color w:val="000000"/>
                <w:sz w:val="16"/>
                <w:szCs w:val="16"/>
              </w:rPr>
              <w:t>As per 2025</w:t>
            </w:r>
            <w:r w:rsidR="00F7100A" w:rsidRPr="00321534">
              <w:rPr>
                <w:rFonts w:ascii="Arial" w:hAnsi="Arial"/>
                <w:color w:val="000000"/>
                <w:sz w:val="16"/>
                <w:szCs w:val="16"/>
              </w:rPr>
              <w:t>-2</w:t>
            </w:r>
            <w:r>
              <w:rPr>
                <w:rFonts w:ascii="Arial" w:hAnsi="Arial"/>
                <w:color w:val="000000"/>
                <w:sz w:val="16"/>
                <w:szCs w:val="16"/>
              </w:rPr>
              <w:t>6</w:t>
            </w:r>
            <w:r w:rsidR="00F7100A" w:rsidRPr="00321534">
              <w:rPr>
                <w:rFonts w:ascii="Arial" w:hAnsi="Arial"/>
                <w:color w:val="000000"/>
                <w:sz w:val="16"/>
                <w:szCs w:val="16"/>
              </w:rPr>
              <w:t>.</w:t>
            </w:r>
          </w:p>
        </w:tc>
        <w:tc>
          <w:tcPr>
            <w:tcW w:w="3379" w:type="dxa"/>
            <w:gridSpan w:val="2"/>
            <w:tcBorders>
              <w:top w:val="single" w:sz="4" w:space="0" w:color="auto"/>
              <w:left w:val="single" w:sz="4" w:space="0" w:color="auto"/>
              <w:bottom w:val="single" w:sz="4" w:space="0" w:color="auto"/>
            </w:tcBorders>
          </w:tcPr>
          <w:p w14:paraId="6FAB6351" w14:textId="77777777" w:rsidR="00F7100A" w:rsidRPr="00321534" w:rsidRDefault="00F7100A" w:rsidP="00321534">
            <w:pPr>
              <w:tabs>
                <w:tab w:val="left" w:pos="709"/>
              </w:tabs>
              <w:spacing w:before="60" w:after="60"/>
              <w:rPr>
                <w:rFonts w:ascii="Arial" w:hAnsi="Arial"/>
                <w:b/>
                <w:color w:val="000000"/>
                <w:sz w:val="16"/>
                <w:szCs w:val="16"/>
              </w:rPr>
            </w:pPr>
            <w:r w:rsidRPr="00321534">
              <w:rPr>
                <w:rFonts w:ascii="Arial" w:hAnsi="Arial"/>
                <w:color w:val="000000"/>
                <w:sz w:val="16"/>
                <w:szCs w:val="16"/>
              </w:rPr>
              <w:t>As per 202</w:t>
            </w:r>
            <w:r w:rsidR="00321534">
              <w:rPr>
                <w:rFonts w:ascii="Arial" w:hAnsi="Arial"/>
                <w:color w:val="000000"/>
                <w:sz w:val="16"/>
                <w:szCs w:val="16"/>
              </w:rPr>
              <w:t>5</w:t>
            </w:r>
            <w:r w:rsidRPr="00321534">
              <w:rPr>
                <w:rFonts w:ascii="Arial" w:hAnsi="Arial"/>
                <w:color w:val="000000"/>
                <w:sz w:val="16"/>
                <w:szCs w:val="16"/>
              </w:rPr>
              <w:t>-2</w:t>
            </w:r>
            <w:r w:rsidR="00321534">
              <w:rPr>
                <w:rFonts w:ascii="Arial" w:hAnsi="Arial"/>
                <w:color w:val="000000"/>
                <w:sz w:val="16"/>
                <w:szCs w:val="16"/>
              </w:rPr>
              <w:t>6</w:t>
            </w:r>
            <w:r w:rsidRPr="00321534">
              <w:rPr>
                <w:rFonts w:ascii="Arial" w:hAnsi="Arial"/>
                <w:color w:val="000000"/>
                <w:sz w:val="16"/>
                <w:szCs w:val="16"/>
              </w:rPr>
              <w:t>.</w:t>
            </w:r>
          </w:p>
        </w:tc>
      </w:tr>
      <w:tr w:rsidR="00F7100A" w:rsidRPr="00321534" w14:paraId="3C567EFE" w14:textId="77777777" w:rsidTr="00321534">
        <w:tblPrEx>
          <w:shd w:val="clear" w:color="auto" w:fill="auto"/>
          <w:tblLook w:val="04A0" w:firstRow="1" w:lastRow="0" w:firstColumn="1" w:lastColumn="0" w:noHBand="0" w:noVBand="1"/>
        </w:tblPrEx>
        <w:trPr>
          <w:trHeight w:val="291"/>
        </w:trPr>
        <w:tc>
          <w:tcPr>
            <w:tcW w:w="8353" w:type="dxa"/>
            <w:gridSpan w:val="4"/>
            <w:tcBorders>
              <w:top w:val="single" w:sz="4" w:space="0" w:color="auto"/>
            </w:tcBorders>
          </w:tcPr>
          <w:p w14:paraId="3F65B827" w14:textId="15F0B7B9" w:rsidR="00F7100A" w:rsidRPr="00321534" w:rsidRDefault="00F7100A" w:rsidP="00E364DF">
            <w:pPr>
              <w:tabs>
                <w:tab w:val="left" w:pos="709"/>
              </w:tabs>
              <w:spacing w:before="60" w:after="60"/>
              <w:rPr>
                <w:rFonts w:ascii="Arial" w:eastAsia="Cambria" w:hAnsi="Arial"/>
                <w:bCs/>
                <w:iCs/>
                <w:color w:val="000000"/>
                <w:spacing w:val="-6"/>
                <w:sz w:val="16"/>
                <w:szCs w:val="16"/>
                <w:lang w:val="x-none"/>
              </w:rPr>
            </w:pPr>
            <w:r w:rsidRPr="00321534">
              <w:rPr>
                <w:rFonts w:ascii="Arial" w:hAnsi="Arial"/>
                <w:color w:val="000000"/>
                <w:sz w:val="16"/>
                <w:szCs w:val="16"/>
              </w:rPr>
              <w:t>Material changes to Program 2.14 resulting from 202</w:t>
            </w:r>
            <w:r w:rsidR="00E364DF">
              <w:rPr>
                <w:rFonts w:ascii="Arial" w:hAnsi="Arial"/>
                <w:color w:val="000000"/>
                <w:sz w:val="16"/>
                <w:szCs w:val="16"/>
              </w:rPr>
              <w:t>5</w:t>
            </w:r>
            <w:r w:rsidRPr="00321534">
              <w:rPr>
                <w:rFonts w:ascii="Arial" w:hAnsi="Arial"/>
                <w:color w:val="000000"/>
                <w:sz w:val="16"/>
                <w:szCs w:val="16"/>
              </w:rPr>
              <w:t>-2</w:t>
            </w:r>
            <w:r w:rsidR="00E364DF">
              <w:rPr>
                <w:rFonts w:ascii="Arial" w:hAnsi="Arial"/>
                <w:color w:val="000000"/>
                <w:sz w:val="16"/>
                <w:szCs w:val="16"/>
              </w:rPr>
              <w:t>6</w:t>
            </w:r>
            <w:r w:rsidRPr="00321534">
              <w:rPr>
                <w:rFonts w:ascii="Arial" w:hAnsi="Arial"/>
                <w:color w:val="000000"/>
                <w:sz w:val="16"/>
                <w:szCs w:val="16"/>
              </w:rPr>
              <w:t xml:space="preserve"> Budget Measures:</w:t>
            </w:r>
            <w:r w:rsidRPr="00321534">
              <w:rPr>
                <w:rStyle w:val="BodyTextChar"/>
                <w:rFonts w:ascii="Arial" w:hAnsi="Arial"/>
                <w:bCs/>
                <w:iCs/>
                <w:color w:val="000000"/>
                <w:spacing w:val="-6"/>
                <w:sz w:val="16"/>
                <w:szCs w:val="16"/>
              </w:rPr>
              <w:t xml:space="preserve"> Nil.</w:t>
            </w:r>
          </w:p>
        </w:tc>
      </w:tr>
    </w:tbl>
    <w:p w14:paraId="5D52B368" w14:textId="77777777" w:rsidR="00F7100A" w:rsidRPr="00321534" w:rsidRDefault="00F7100A" w:rsidP="00F7100A">
      <w:pPr>
        <w:pStyle w:val="TableHeading"/>
        <w:spacing w:before="0" w:after="0"/>
        <w:rPr>
          <w:sz w:val="16"/>
          <w:szCs w:val="16"/>
        </w:rPr>
      </w:pPr>
    </w:p>
    <w:p w14:paraId="48B99484" w14:textId="77777777" w:rsidR="00F7100A" w:rsidRPr="00BD4E0F" w:rsidRDefault="00F7100A" w:rsidP="00F7100A">
      <w:pPr>
        <w:pStyle w:val="TableHeading"/>
        <w:spacing w:before="0" w:after="0"/>
        <w:rPr>
          <w:sz w:val="14"/>
          <w:szCs w:val="14"/>
        </w:rPr>
      </w:pPr>
      <w:r w:rsidRPr="00BD4E0F">
        <w:rPr>
          <w:sz w:val="14"/>
          <w:szCs w:val="14"/>
        </w:rPr>
        <w:t>Note</w:t>
      </w:r>
    </w:p>
    <w:p w14:paraId="2F395A35" w14:textId="2FE8EE0E" w:rsidR="00BD4E0F" w:rsidRPr="00BD4E0F" w:rsidRDefault="00BD4E0F" w:rsidP="00444A89">
      <w:pPr>
        <w:pStyle w:val="TableHeading"/>
        <w:numPr>
          <w:ilvl w:val="0"/>
          <w:numId w:val="38"/>
        </w:numPr>
        <w:tabs>
          <w:tab w:val="left" w:pos="284"/>
        </w:tabs>
        <w:spacing w:before="0" w:after="0"/>
        <w:ind w:left="284" w:hanging="284"/>
        <w:rPr>
          <w:b w:val="0"/>
          <w:sz w:val="14"/>
          <w:szCs w:val="14"/>
        </w:rPr>
      </w:pPr>
      <w:r w:rsidRPr="00BD4E0F">
        <w:rPr>
          <w:b w:val="0"/>
          <w:sz w:val="14"/>
          <w:szCs w:val="14"/>
        </w:rPr>
        <w:tab/>
      </w:r>
      <w:r w:rsidRPr="00BD4E0F">
        <w:rPr>
          <w:b w:val="0"/>
          <w:sz w:val="14"/>
          <w:szCs w:val="14"/>
          <w:lang w:val="en-AU"/>
        </w:rPr>
        <w:t>In accordance with Defence’s Enterprise Performance Framework, Defence is undertaking materiality assessments that may result in updates to the 2025-26 performance information in the 2025-29 Defence Corporate Plan, if required.</w:t>
      </w:r>
    </w:p>
    <w:p w14:paraId="12836FD6" w14:textId="456BCF3E" w:rsidR="002E3856" w:rsidRPr="00321534" w:rsidRDefault="002E3856" w:rsidP="009737EB">
      <w:pPr>
        <w:pStyle w:val="TableHeading"/>
        <w:tabs>
          <w:tab w:val="left" w:pos="284"/>
        </w:tabs>
        <w:spacing w:before="0" w:after="0"/>
        <w:ind w:left="284"/>
        <w:rPr>
          <w:b w:val="0"/>
          <w:sz w:val="14"/>
          <w:szCs w:val="14"/>
        </w:rPr>
      </w:pPr>
    </w:p>
    <w:p w14:paraId="57661D16" w14:textId="77777777" w:rsidR="007A3EA9" w:rsidRPr="00D14038" w:rsidRDefault="00933FBD" w:rsidP="00D9100A">
      <w:pPr>
        <w:pStyle w:val="TableHeading"/>
        <w:numPr>
          <w:ilvl w:val="0"/>
          <w:numId w:val="29"/>
        </w:numPr>
        <w:spacing w:before="0" w:after="120"/>
        <w:ind w:left="0" w:firstLine="0"/>
        <w:outlineLvl w:val="6"/>
      </w:pPr>
      <w:r w:rsidRPr="00167919">
        <w:rPr>
          <w:sz w:val="14"/>
          <w:szCs w:val="14"/>
        </w:rPr>
        <w:br w:type="page"/>
      </w:r>
      <w:r w:rsidR="007A3EA9" w:rsidRPr="00D14038">
        <w:lastRenderedPageBreak/>
        <w:t>Cost Summary for Program 2.1</w:t>
      </w:r>
      <w:r w:rsidR="004F08EA" w:rsidRPr="00D14038">
        <w:t>4</w:t>
      </w:r>
      <w:r w:rsidR="007A3EA9" w:rsidRPr="00D14038">
        <w:t xml:space="preserve"> Defence </w:t>
      </w:r>
      <w:r w:rsidR="004F08EA" w:rsidRPr="00D14038">
        <w:t>Intelligence</w:t>
      </w:r>
    </w:p>
    <w:p w14:paraId="0376C59D" w14:textId="5076AA4D" w:rsidR="007A3EA9" w:rsidRPr="00B56FAA" w:rsidRDefault="005F4285" w:rsidP="00656D60">
      <w:pPr>
        <w:spacing w:before="0" w:after="0"/>
      </w:pPr>
      <w:r w:rsidRPr="005F4285">
        <w:rPr>
          <w:noProof/>
          <w:lang w:val="en-AU"/>
        </w:rPr>
        <w:drawing>
          <wp:inline distT="0" distB="0" distL="0" distR="0" wp14:anchorId="23AD08B7" wp14:editId="0F7B1F8F">
            <wp:extent cx="4986020" cy="2547161"/>
            <wp:effectExtent l="0" t="0" r="508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86020" cy="2547161"/>
                    </a:xfrm>
                    <a:prstGeom prst="rect">
                      <a:avLst/>
                    </a:prstGeom>
                    <a:noFill/>
                    <a:ln>
                      <a:noFill/>
                    </a:ln>
                  </pic:spPr>
                </pic:pic>
              </a:graphicData>
            </a:graphic>
          </wp:inline>
        </w:drawing>
      </w:r>
    </w:p>
    <w:p w14:paraId="7E87CBBB" w14:textId="77777777" w:rsidR="00656D60" w:rsidRDefault="00656D60" w:rsidP="00656D60">
      <w:pPr>
        <w:spacing w:before="0" w:after="0"/>
        <w:rPr>
          <w:rFonts w:ascii="Arial" w:hAnsi="Arial"/>
          <w:b/>
          <w:sz w:val="14"/>
          <w:szCs w:val="14"/>
          <w:lang w:val="en-AU"/>
        </w:rPr>
      </w:pPr>
    </w:p>
    <w:p w14:paraId="3A9FD1E0" w14:textId="77777777" w:rsidR="00F51DAC" w:rsidRDefault="00F51DAC" w:rsidP="00656D60">
      <w:pPr>
        <w:spacing w:before="0" w:after="0"/>
        <w:rPr>
          <w:rFonts w:ascii="Arial" w:hAnsi="Arial"/>
          <w:b/>
          <w:sz w:val="14"/>
          <w:szCs w:val="14"/>
          <w:lang w:val="en-AU"/>
        </w:rPr>
      </w:pPr>
      <w:r>
        <w:rPr>
          <w:rFonts w:ascii="Arial" w:hAnsi="Arial"/>
          <w:b/>
          <w:sz w:val="14"/>
          <w:szCs w:val="14"/>
          <w:lang w:val="en-AU"/>
        </w:rPr>
        <w:t>Note</w:t>
      </w:r>
    </w:p>
    <w:p w14:paraId="20434B7A" w14:textId="436A9E56" w:rsidR="00F51DAC" w:rsidRDefault="00D14038" w:rsidP="00F51DAC">
      <w:pPr>
        <w:spacing w:before="0" w:after="0"/>
        <w:ind w:left="284" w:hanging="284"/>
        <w:rPr>
          <w:rFonts w:ascii="Arial" w:hAnsi="Arial"/>
          <w:sz w:val="14"/>
          <w:szCs w:val="14"/>
          <w:lang w:val="en-AU"/>
        </w:rPr>
      </w:pPr>
      <w:r w:rsidRPr="00D14038">
        <w:rPr>
          <w:rFonts w:ascii="Arial" w:hAnsi="Arial"/>
          <w:sz w:val="14"/>
          <w:szCs w:val="14"/>
          <w:lang w:val="en-AU"/>
        </w:rPr>
        <w:t xml:space="preserve">a. </w:t>
      </w:r>
      <w:r w:rsidR="00855CD3">
        <w:rPr>
          <w:rFonts w:ascii="Arial" w:hAnsi="Arial"/>
          <w:sz w:val="14"/>
          <w:szCs w:val="14"/>
          <w:lang w:val="en-AU"/>
        </w:rPr>
        <w:tab/>
      </w:r>
      <w:r w:rsidR="00855CD3" w:rsidRPr="00855CD3">
        <w:rPr>
          <w:rFonts w:ascii="Arial" w:hAnsi="Arial"/>
          <w:sz w:val="14"/>
          <w:szCs w:val="14"/>
          <w:lang w:val="en-AU"/>
        </w:rPr>
        <w:t>Total Program funded expenditure includes operating expenses and capital expenditure funded by appropriation and own source revenue. This excludes expenses not requiring appropriation.</w:t>
      </w:r>
      <w:r w:rsidR="00855CD3" w:rsidRPr="00855CD3">
        <w:rPr>
          <w:rFonts w:ascii="Arial" w:hAnsi="Arial"/>
          <w:sz w:val="14"/>
          <w:szCs w:val="14"/>
          <w:lang w:val="en-AU"/>
        </w:rPr>
        <w:tab/>
      </w:r>
      <w:r w:rsidR="00855CD3" w:rsidRPr="00855CD3">
        <w:rPr>
          <w:rFonts w:ascii="Arial" w:hAnsi="Arial"/>
          <w:sz w:val="14"/>
          <w:szCs w:val="14"/>
          <w:lang w:val="en-AU"/>
        </w:rPr>
        <w:tab/>
      </w:r>
      <w:r w:rsidR="00855CD3" w:rsidRPr="00855CD3">
        <w:rPr>
          <w:rFonts w:ascii="Arial" w:hAnsi="Arial"/>
          <w:sz w:val="14"/>
          <w:szCs w:val="14"/>
          <w:lang w:val="en-AU"/>
        </w:rPr>
        <w:tab/>
      </w:r>
      <w:r w:rsidR="00855CD3" w:rsidRPr="00855CD3">
        <w:rPr>
          <w:rFonts w:ascii="Arial" w:hAnsi="Arial"/>
          <w:sz w:val="14"/>
          <w:szCs w:val="14"/>
          <w:lang w:val="en-AU"/>
        </w:rPr>
        <w:tab/>
      </w:r>
      <w:r w:rsidR="00855CD3" w:rsidRPr="00855CD3">
        <w:rPr>
          <w:rFonts w:ascii="Arial" w:hAnsi="Arial"/>
          <w:sz w:val="14"/>
          <w:szCs w:val="14"/>
          <w:lang w:val="en-AU"/>
        </w:rPr>
        <w:tab/>
      </w:r>
    </w:p>
    <w:p w14:paraId="6C491BF6" w14:textId="679D0117" w:rsidR="00E71C26" w:rsidRDefault="00E71C26" w:rsidP="00F51DAC">
      <w:pPr>
        <w:spacing w:before="0" w:after="0"/>
        <w:ind w:left="284" w:hanging="284"/>
        <w:rPr>
          <w:rFonts w:ascii="Arial" w:hAnsi="Arial"/>
          <w:sz w:val="14"/>
          <w:szCs w:val="14"/>
          <w:lang w:val="en-AU"/>
        </w:rPr>
      </w:pPr>
    </w:p>
    <w:p w14:paraId="0D3FB4BD" w14:textId="77777777" w:rsidR="001575DA" w:rsidRDefault="001575DA" w:rsidP="00F51DAC">
      <w:pPr>
        <w:spacing w:before="0" w:after="0"/>
        <w:ind w:left="284" w:hanging="284"/>
        <w:rPr>
          <w:rFonts w:ascii="Arial" w:hAnsi="Arial"/>
          <w:sz w:val="14"/>
          <w:szCs w:val="14"/>
          <w:lang w:val="en-AU"/>
        </w:rPr>
      </w:pPr>
    </w:p>
    <w:p w14:paraId="6EA28FAD" w14:textId="77777777" w:rsidR="001575DA" w:rsidRDefault="001575DA" w:rsidP="00F51DAC">
      <w:pPr>
        <w:spacing w:before="0" w:after="0"/>
        <w:ind w:left="284" w:hanging="284"/>
        <w:rPr>
          <w:rFonts w:ascii="Arial" w:hAnsi="Arial"/>
          <w:sz w:val="14"/>
          <w:szCs w:val="14"/>
          <w:lang w:val="en-AU"/>
        </w:rPr>
      </w:pPr>
    </w:p>
    <w:p w14:paraId="6B134578" w14:textId="77777777" w:rsidR="001575DA" w:rsidRPr="00F51DAC" w:rsidRDefault="001575DA" w:rsidP="00F51DAC">
      <w:pPr>
        <w:spacing w:before="0" w:after="0"/>
        <w:ind w:left="284" w:hanging="284"/>
        <w:rPr>
          <w:rFonts w:ascii="Arial" w:hAnsi="Arial"/>
          <w:sz w:val="14"/>
          <w:szCs w:val="14"/>
          <w:lang w:val="en-AU"/>
        </w:rPr>
      </w:pPr>
    </w:p>
    <w:p w14:paraId="50B35DA3" w14:textId="5EACDC15" w:rsidR="005403E1" w:rsidRPr="00730548" w:rsidRDefault="005403E1" w:rsidP="00D9100A">
      <w:pPr>
        <w:pStyle w:val="TableHeading"/>
        <w:numPr>
          <w:ilvl w:val="0"/>
          <w:numId w:val="29"/>
        </w:numPr>
        <w:spacing w:before="0" w:after="120"/>
        <w:ind w:left="0" w:firstLine="0"/>
        <w:outlineLvl w:val="6"/>
      </w:pPr>
      <w:r w:rsidRPr="00730548">
        <w:t>Defence Intelligence Deliverables (Hydrographic Products and Services)</w:t>
      </w:r>
    </w:p>
    <w:tbl>
      <w:tblPr>
        <w:tblW w:w="4891"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0"/>
        <w:gridCol w:w="1045"/>
        <w:gridCol w:w="1014"/>
        <w:gridCol w:w="1014"/>
        <w:gridCol w:w="1014"/>
        <w:gridCol w:w="1014"/>
      </w:tblGrid>
      <w:tr w:rsidR="000D48CA" w:rsidRPr="00730548" w14:paraId="31420D89" w14:textId="77777777" w:rsidTr="009B5D17">
        <w:tc>
          <w:tcPr>
            <w:tcW w:w="3256" w:type="dxa"/>
            <w:shd w:val="clear" w:color="auto" w:fill="auto"/>
          </w:tcPr>
          <w:p w14:paraId="0C1C19A6" w14:textId="77777777" w:rsidR="000D48CA" w:rsidRPr="00730548" w:rsidRDefault="000D48CA" w:rsidP="000D48CA">
            <w:pPr>
              <w:rPr>
                <w:rFonts w:ascii="Arial" w:hAnsi="Arial"/>
                <w:b/>
                <w:sz w:val="16"/>
                <w:szCs w:val="16"/>
              </w:rPr>
            </w:pPr>
            <w:r w:rsidRPr="00730548">
              <w:rPr>
                <w:rFonts w:ascii="Arial" w:hAnsi="Arial"/>
                <w:b/>
                <w:sz w:val="16"/>
                <w:szCs w:val="16"/>
              </w:rPr>
              <w:t>Deliverables</w:t>
            </w:r>
          </w:p>
        </w:tc>
        <w:tc>
          <w:tcPr>
            <w:tcW w:w="1077" w:type="dxa"/>
            <w:shd w:val="clear" w:color="auto" w:fill="auto"/>
            <w:vAlign w:val="bottom"/>
          </w:tcPr>
          <w:p w14:paraId="2D10AA35" w14:textId="77777777" w:rsidR="000D48CA" w:rsidRPr="00730548" w:rsidRDefault="00EC2836" w:rsidP="00120363">
            <w:pPr>
              <w:pStyle w:val="TableTextHeadingRight"/>
              <w:rPr>
                <w:sz w:val="16"/>
                <w:szCs w:val="16"/>
              </w:rPr>
            </w:pPr>
            <w:r w:rsidRPr="00730548">
              <w:rPr>
                <w:sz w:val="16"/>
                <w:szCs w:val="16"/>
              </w:rPr>
              <w:t>202</w:t>
            </w:r>
            <w:r w:rsidR="00120363" w:rsidRPr="00730548">
              <w:rPr>
                <w:sz w:val="16"/>
                <w:szCs w:val="16"/>
              </w:rPr>
              <w:t>4</w:t>
            </w:r>
            <w:r w:rsidRPr="00730548">
              <w:rPr>
                <w:sz w:val="16"/>
                <w:szCs w:val="16"/>
              </w:rPr>
              <w:t>-2</w:t>
            </w:r>
            <w:r w:rsidR="00120363" w:rsidRPr="00730548">
              <w:rPr>
                <w:sz w:val="16"/>
                <w:szCs w:val="16"/>
              </w:rPr>
              <w:t>5</w:t>
            </w:r>
            <w:r w:rsidRPr="00730548">
              <w:rPr>
                <w:sz w:val="16"/>
                <w:szCs w:val="16"/>
              </w:rPr>
              <w:t xml:space="preserve"> Estimated Actual</w:t>
            </w:r>
          </w:p>
        </w:tc>
        <w:tc>
          <w:tcPr>
            <w:tcW w:w="1077" w:type="dxa"/>
            <w:shd w:val="clear" w:color="auto" w:fill="auto"/>
            <w:vAlign w:val="bottom"/>
          </w:tcPr>
          <w:p w14:paraId="735E6FDE" w14:textId="77777777" w:rsidR="000D48CA" w:rsidRPr="00730548" w:rsidRDefault="000D48CA" w:rsidP="00120363">
            <w:pPr>
              <w:pStyle w:val="TableTextHeadingRight"/>
              <w:rPr>
                <w:sz w:val="16"/>
                <w:szCs w:val="16"/>
              </w:rPr>
            </w:pPr>
            <w:r w:rsidRPr="00730548">
              <w:rPr>
                <w:sz w:val="16"/>
                <w:szCs w:val="16"/>
              </w:rPr>
              <w:t>202</w:t>
            </w:r>
            <w:r w:rsidR="00120363" w:rsidRPr="00730548">
              <w:rPr>
                <w:sz w:val="16"/>
                <w:szCs w:val="16"/>
              </w:rPr>
              <w:t>5</w:t>
            </w:r>
            <w:r w:rsidRPr="00730548">
              <w:rPr>
                <w:sz w:val="16"/>
                <w:szCs w:val="16"/>
              </w:rPr>
              <w:t>-2</w:t>
            </w:r>
            <w:r w:rsidR="00120363" w:rsidRPr="00730548">
              <w:rPr>
                <w:sz w:val="16"/>
                <w:szCs w:val="16"/>
              </w:rPr>
              <w:t>6</w:t>
            </w:r>
            <w:r w:rsidRPr="00730548">
              <w:rPr>
                <w:sz w:val="16"/>
                <w:szCs w:val="16"/>
              </w:rPr>
              <w:t xml:space="preserve"> Budget Estimate</w:t>
            </w:r>
          </w:p>
        </w:tc>
        <w:tc>
          <w:tcPr>
            <w:tcW w:w="1077" w:type="dxa"/>
            <w:shd w:val="clear" w:color="auto" w:fill="auto"/>
            <w:vAlign w:val="bottom"/>
          </w:tcPr>
          <w:p w14:paraId="08F695D5" w14:textId="77777777" w:rsidR="000D48CA" w:rsidRPr="00730548" w:rsidRDefault="000D48CA" w:rsidP="00120363">
            <w:pPr>
              <w:pStyle w:val="TableTextHeadingRight"/>
              <w:rPr>
                <w:sz w:val="16"/>
                <w:szCs w:val="16"/>
              </w:rPr>
            </w:pPr>
            <w:r w:rsidRPr="00730548">
              <w:rPr>
                <w:sz w:val="16"/>
                <w:szCs w:val="16"/>
              </w:rPr>
              <w:t>202</w:t>
            </w:r>
            <w:r w:rsidR="00120363" w:rsidRPr="00730548">
              <w:rPr>
                <w:sz w:val="16"/>
                <w:szCs w:val="16"/>
              </w:rPr>
              <w:t>6</w:t>
            </w:r>
            <w:r w:rsidRPr="00730548">
              <w:rPr>
                <w:sz w:val="16"/>
                <w:szCs w:val="16"/>
              </w:rPr>
              <w:t>-2</w:t>
            </w:r>
            <w:r w:rsidR="00120363" w:rsidRPr="00730548">
              <w:rPr>
                <w:sz w:val="16"/>
                <w:szCs w:val="16"/>
              </w:rPr>
              <w:t>7</w:t>
            </w:r>
            <w:r w:rsidRPr="00730548">
              <w:rPr>
                <w:sz w:val="16"/>
                <w:szCs w:val="16"/>
              </w:rPr>
              <w:t xml:space="preserve"> Forward Estimate</w:t>
            </w:r>
          </w:p>
        </w:tc>
        <w:tc>
          <w:tcPr>
            <w:tcW w:w="1077" w:type="dxa"/>
            <w:shd w:val="clear" w:color="auto" w:fill="auto"/>
            <w:vAlign w:val="bottom"/>
          </w:tcPr>
          <w:p w14:paraId="76DEBB5B" w14:textId="77777777" w:rsidR="000D48CA" w:rsidRPr="00730548" w:rsidRDefault="000D48CA" w:rsidP="00120363">
            <w:pPr>
              <w:pStyle w:val="TableTextHeadingRight"/>
              <w:rPr>
                <w:sz w:val="16"/>
                <w:szCs w:val="16"/>
              </w:rPr>
            </w:pPr>
            <w:r w:rsidRPr="00730548">
              <w:rPr>
                <w:sz w:val="16"/>
                <w:szCs w:val="16"/>
              </w:rPr>
              <w:t>2</w:t>
            </w:r>
            <w:r w:rsidR="00120363" w:rsidRPr="00730548">
              <w:rPr>
                <w:sz w:val="16"/>
                <w:szCs w:val="16"/>
              </w:rPr>
              <w:t>027</w:t>
            </w:r>
            <w:r w:rsidRPr="00730548">
              <w:rPr>
                <w:sz w:val="16"/>
                <w:szCs w:val="16"/>
              </w:rPr>
              <w:t>-2</w:t>
            </w:r>
            <w:r w:rsidR="00120363" w:rsidRPr="00730548">
              <w:rPr>
                <w:sz w:val="16"/>
                <w:szCs w:val="16"/>
              </w:rPr>
              <w:t>8</w:t>
            </w:r>
            <w:r w:rsidRPr="00730548">
              <w:rPr>
                <w:sz w:val="16"/>
                <w:szCs w:val="16"/>
              </w:rPr>
              <w:t xml:space="preserve"> Forward Estimate</w:t>
            </w:r>
          </w:p>
        </w:tc>
        <w:tc>
          <w:tcPr>
            <w:tcW w:w="1077" w:type="dxa"/>
            <w:shd w:val="clear" w:color="auto" w:fill="auto"/>
            <w:vAlign w:val="bottom"/>
          </w:tcPr>
          <w:p w14:paraId="59C68DFD" w14:textId="77777777" w:rsidR="000D48CA" w:rsidRPr="00730548" w:rsidRDefault="000D48CA" w:rsidP="00120363">
            <w:pPr>
              <w:pStyle w:val="TableTextHeadingRight"/>
              <w:rPr>
                <w:sz w:val="16"/>
                <w:szCs w:val="16"/>
              </w:rPr>
            </w:pPr>
            <w:r w:rsidRPr="00730548">
              <w:rPr>
                <w:sz w:val="16"/>
                <w:szCs w:val="16"/>
              </w:rPr>
              <w:t>202</w:t>
            </w:r>
            <w:r w:rsidR="00120363" w:rsidRPr="00730548">
              <w:rPr>
                <w:sz w:val="16"/>
                <w:szCs w:val="16"/>
              </w:rPr>
              <w:t>8</w:t>
            </w:r>
            <w:r w:rsidRPr="00730548">
              <w:rPr>
                <w:sz w:val="16"/>
                <w:szCs w:val="16"/>
              </w:rPr>
              <w:t>-2</w:t>
            </w:r>
            <w:r w:rsidR="00120363" w:rsidRPr="00730548">
              <w:rPr>
                <w:sz w:val="16"/>
                <w:szCs w:val="16"/>
              </w:rPr>
              <w:t>9</w:t>
            </w:r>
            <w:r w:rsidRPr="00730548">
              <w:rPr>
                <w:sz w:val="16"/>
                <w:szCs w:val="16"/>
              </w:rPr>
              <w:t xml:space="preserve"> Forward Estimate</w:t>
            </w:r>
          </w:p>
        </w:tc>
      </w:tr>
      <w:tr w:rsidR="00064B3B" w:rsidRPr="00730548" w14:paraId="0F1077EF" w14:textId="77777777" w:rsidTr="00E43F66">
        <w:tc>
          <w:tcPr>
            <w:tcW w:w="3256" w:type="dxa"/>
            <w:shd w:val="clear" w:color="auto" w:fill="auto"/>
            <w:vAlign w:val="center"/>
          </w:tcPr>
          <w:p w14:paraId="4E0E0674" w14:textId="77777777" w:rsidR="00064B3B" w:rsidRPr="00730548" w:rsidRDefault="00064B3B" w:rsidP="00064B3B">
            <w:pPr>
              <w:ind w:left="-57" w:right="-57"/>
              <w:rPr>
                <w:rFonts w:ascii="Arial" w:hAnsi="Arial"/>
                <w:sz w:val="16"/>
                <w:szCs w:val="16"/>
              </w:rPr>
            </w:pPr>
            <w:r w:rsidRPr="00730548">
              <w:rPr>
                <w:rFonts w:ascii="Arial" w:eastAsia="Calibri" w:hAnsi="Arial"/>
                <w:sz w:val="16"/>
                <w:szCs w:val="16"/>
                <w:lang w:eastAsia="en-US"/>
              </w:rPr>
              <w:t>Maritime Safety Updates</w:t>
            </w:r>
            <w:r w:rsidRPr="00730548">
              <w:rPr>
                <w:rFonts w:ascii="Arial" w:hAnsi="Arial"/>
                <w:sz w:val="16"/>
                <w:szCs w:val="16"/>
                <w:vertAlign w:val="superscript"/>
                <w:lang w:eastAsia="en-US"/>
              </w:rPr>
              <w:t xml:space="preserve"> [a]</w:t>
            </w:r>
          </w:p>
        </w:tc>
        <w:tc>
          <w:tcPr>
            <w:tcW w:w="1077" w:type="dxa"/>
            <w:shd w:val="clear" w:color="auto" w:fill="auto"/>
            <w:vAlign w:val="center"/>
          </w:tcPr>
          <w:p w14:paraId="0B1A6723" w14:textId="77777777" w:rsidR="00064B3B" w:rsidRPr="00730548" w:rsidRDefault="00064B3B" w:rsidP="00064B3B">
            <w:pPr>
              <w:jc w:val="right"/>
              <w:rPr>
                <w:rFonts w:ascii="Arial" w:hAnsi="Arial"/>
                <w:sz w:val="16"/>
                <w:szCs w:val="16"/>
              </w:rPr>
            </w:pPr>
            <w:r w:rsidRPr="00730548">
              <w:rPr>
                <w:rFonts w:ascii="Arial" w:hAnsi="Arial"/>
                <w:sz w:val="16"/>
                <w:szCs w:val="16"/>
              </w:rPr>
              <w:t>100%</w:t>
            </w:r>
          </w:p>
        </w:tc>
        <w:tc>
          <w:tcPr>
            <w:tcW w:w="1077" w:type="dxa"/>
            <w:shd w:val="clear" w:color="auto" w:fill="auto"/>
            <w:vAlign w:val="center"/>
          </w:tcPr>
          <w:p w14:paraId="0EF358C6" w14:textId="77777777" w:rsidR="00064B3B" w:rsidRPr="00730548" w:rsidRDefault="00064B3B" w:rsidP="00064B3B">
            <w:pPr>
              <w:jc w:val="right"/>
              <w:rPr>
                <w:rFonts w:ascii="Arial" w:hAnsi="Arial"/>
                <w:sz w:val="16"/>
                <w:szCs w:val="16"/>
              </w:rPr>
            </w:pPr>
            <w:r w:rsidRPr="00730548">
              <w:rPr>
                <w:rFonts w:ascii="Arial" w:hAnsi="Arial"/>
                <w:sz w:val="16"/>
                <w:szCs w:val="16"/>
              </w:rPr>
              <w:t>100%</w:t>
            </w:r>
          </w:p>
        </w:tc>
        <w:tc>
          <w:tcPr>
            <w:tcW w:w="1077" w:type="dxa"/>
            <w:shd w:val="clear" w:color="auto" w:fill="auto"/>
            <w:vAlign w:val="center"/>
          </w:tcPr>
          <w:p w14:paraId="28A15A1B" w14:textId="77777777" w:rsidR="00064B3B" w:rsidRPr="00730548" w:rsidRDefault="00064B3B" w:rsidP="00064B3B">
            <w:pPr>
              <w:jc w:val="right"/>
              <w:rPr>
                <w:rFonts w:ascii="Arial" w:hAnsi="Arial"/>
                <w:sz w:val="16"/>
                <w:szCs w:val="16"/>
              </w:rPr>
            </w:pPr>
            <w:r w:rsidRPr="00730548">
              <w:rPr>
                <w:rFonts w:ascii="Arial" w:hAnsi="Arial"/>
                <w:sz w:val="16"/>
                <w:szCs w:val="16"/>
              </w:rPr>
              <w:t>100%</w:t>
            </w:r>
          </w:p>
        </w:tc>
        <w:tc>
          <w:tcPr>
            <w:tcW w:w="1077" w:type="dxa"/>
            <w:shd w:val="clear" w:color="auto" w:fill="auto"/>
            <w:vAlign w:val="center"/>
          </w:tcPr>
          <w:p w14:paraId="510A7DCC" w14:textId="77777777" w:rsidR="00064B3B" w:rsidRPr="00730548" w:rsidRDefault="00064B3B" w:rsidP="00064B3B">
            <w:pPr>
              <w:jc w:val="right"/>
              <w:rPr>
                <w:rFonts w:ascii="Arial" w:hAnsi="Arial"/>
                <w:sz w:val="16"/>
                <w:szCs w:val="16"/>
              </w:rPr>
            </w:pPr>
            <w:r w:rsidRPr="00730548">
              <w:rPr>
                <w:rFonts w:ascii="Arial" w:hAnsi="Arial"/>
                <w:sz w:val="16"/>
                <w:szCs w:val="16"/>
              </w:rPr>
              <w:t>100%</w:t>
            </w:r>
          </w:p>
        </w:tc>
        <w:tc>
          <w:tcPr>
            <w:tcW w:w="1077" w:type="dxa"/>
            <w:shd w:val="clear" w:color="auto" w:fill="auto"/>
            <w:vAlign w:val="center"/>
          </w:tcPr>
          <w:p w14:paraId="1A88D999" w14:textId="77777777" w:rsidR="00064B3B" w:rsidRPr="00730548" w:rsidRDefault="00064B3B" w:rsidP="00064B3B">
            <w:pPr>
              <w:jc w:val="right"/>
              <w:rPr>
                <w:rFonts w:ascii="Arial" w:hAnsi="Arial"/>
                <w:sz w:val="16"/>
                <w:szCs w:val="16"/>
              </w:rPr>
            </w:pPr>
            <w:r w:rsidRPr="00730548">
              <w:rPr>
                <w:rFonts w:ascii="Arial" w:hAnsi="Arial"/>
                <w:sz w:val="16"/>
                <w:szCs w:val="16"/>
              </w:rPr>
              <w:t>100%</w:t>
            </w:r>
          </w:p>
        </w:tc>
      </w:tr>
      <w:tr w:rsidR="00064B3B" w:rsidRPr="00730548" w14:paraId="710CB0EA" w14:textId="77777777" w:rsidTr="00E43F66">
        <w:tc>
          <w:tcPr>
            <w:tcW w:w="3256" w:type="dxa"/>
            <w:shd w:val="clear" w:color="auto" w:fill="auto"/>
            <w:vAlign w:val="center"/>
          </w:tcPr>
          <w:p w14:paraId="05D5CBE4" w14:textId="77777777" w:rsidR="00064B3B" w:rsidRPr="00730548" w:rsidRDefault="00064B3B" w:rsidP="00064B3B">
            <w:pPr>
              <w:ind w:left="-57" w:right="-57"/>
              <w:rPr>
                <w:rFonts w:ascii="Arial" w:hAnsi="Arial"/>
                <w:sz w:val="16"/>
                <w:szCs w:val="16"/>
              </w:rPr>
            </w:pPr>
            <w:r w:rsidRPr="00730548">
              <w:rPr>
                <w:rFonts w:ascii="Arial" w:hAnsi="Arial"/>
                <w:sz w:val="16"/>
                <w:szCs w:val="16"/>
                <w:lang w:eastAsia="en-US"/>
              </w:rPr>
              <w:t>Charting Projects</w:t>
            </w:r>
            <w:r w:rsidRPr="00730548">
              <w:rPr>
                <w:rFonts w:ascii="Arial" w:hAnsi="Arial"/>
                <w:sz w:val="16"/>
                <w:szCs w:val="16"/>
                <w:vertAlign w:val="superscript"/>
                <w:lang w:eastAsia="en-US"/>
              </w:rPr>
              <w:t xml:space="preserve"> [b]</w:t>
            </w:r>
          </w:p>
        </w:tc>
        <w:tc>
          <w:tcPr>
            <w:tcW w:w="1077" w:type="dxa"/>
            <w:shd w:val="clear" w:color="auto" w:fill="auto"/>
            <w:vAlign w:val="center"/>
          </w:tcPr>
          <w:p w14:paraId="75FBA8EA" w14:textId="77777777" w:rsidR="00064B3B" w:rsidRPr="00730548" w:rsidRDefault="00064B3B" w:rsidP="00730548">
            <w:pPr>
              <w:jc w:val="right"/>
              <w:rPr>
                <w:rFonts w:ascii="Arial" w:hAnsi="Arial"/>
                <w:sz w:val="16"/>
                <w:szCs w:val="16"/>
              </w:rPr>
            </w:pPr>
            <w:r w:rsidRPr="00730548">
              <w:rPr>
                <w:rFonts w:ascii="Arial" w:hAnsi="Arial"/>
                <w:sz w:val="16"/>
                <w:szCs w:val="16"/>
              </w:rPr>
              <w:t>1</w:t>
            </w:r>
            <w:r w:rsidR="00730548">
              <w:rPr>
                <w:rFonts w:ascii="Arial" w:hAnsi="Arial"/>
                <w:sz w:val="16"/>
                <w:szCs w:val="16"/>
              </w:rPr>
              <w:t>5</w:t>
            </w:r>
          </w:p>
        </w:tc>
        <w:tc>
          <w:tcPr>
            <w:tcW w:w="1077" w:type="dxa"/>
            <w:shd w:val="clear" w:color="auto" w:fill="auto"/>
            <w:vAlign w:val="center"/>
          </w:tcPr>
          <w:p w14:paraId="528C16F6" w14:textId="77777777" w:rsidR="00064B3B" w:rsidRPr="00730548" w:rsidRDefault="00064B3B" w:rsidP="00064B3B">
            <w:pPr>
              <w:jc w:val="right"/>
              <w:rPr>
                <w:rFonts w:ascii="Arial" w:hAnsi="Arial"/>
                <w:sz w:val="16"/>
                <w:szCs w:val="16"/>
              </w:rPr>
            </w:pPr>
            <w:r w:rsidRPr="00730548">
              <w:rPr>
                <w:rFonts w:ascii="Arial" w:hAnsi="Arial"/>
                <w:sz w:val="16"/>
                <w:szCs w:val="16"/>
              </w:rPr>
              <w:t>15</w:t>
            </w:r>
          </w:p>
        </w:tc>
        <w:tc>
          <w:tcPr>
            <w:tcW w:w="1077" w:type="dxa"/>
            <w:shd w:val="clear" w:color="auto" w:fill="auto"/>
            <w:vAlign w:val="center"/>
          </w:tcPr>
          <w:p w14:paraId="6359C23E" w14:textId="77777777" w:rsidR="00064B3B" w:rsidRPr="00730548" w:rsidRDefault="00064B3B" w:rsidP="00064B3B">
            <w:pPr>
              <w:jc w:val="right"/>
              <w:rPr>
                <w:rFonts w:ascii="Arial" w:hAnsi="Arial"/>
                <w:sz w:val="16"/>
                <w:szCs w:val="16"/>
              </w:rPr>
            </w:pPr>
            <w:r w:rsidRPr="00730548">
              <w:rPr>
                <w:rFonts w:ascii="Arial" w:hAnsi="Arial"/>
                <w:sz w:val="16"/>
                <w:szCs w:val="16"/>
              </w:rPr>
              <w:t>15</w:t>
            </w:r>
          </w:p>
        </w:tc>
        <w:tc>
          <w:tcPr>
            <w:tcW w:w="1077" w:type="dxa"/>
            <w:shd w:val="clear" w:color="auto" w:fill="auto"/>
            <w:vAlign w:val="center"/>
          </w:tcPr>
          <w:p w14:paraId="057DAD6D" w14:textId="77777777" w:rsidR="00064B3B" w:rsidRPr="00730548" w:rsidRDefault="00064B3B" w:rsidP="00064B3B">
            <w:pPr>
              <w:jc w:val="right"/>
              <w:rPr>
                <w:rFonts w:ascii="Arial" w:hAnsi="Arial"/>
                <w:sz w:val="16"/>
                <w:szCs w:val="16"/>
              </w:rPr>
            </w:pPr>
            <w:r w:rsidRPr="00730548">
              <w:rPr>
                <w:rFonts w:ascii="Arial" w:hAnsi="Arial"/>
                <w:sz w:val="16"/>
                <w:szCs w:val="16"/>
              </w:rPr>
              <w:t>15</w:t>
            </w:r>
          </w:p>
        </w:tc>
        <w:tc>
          <w:tcPr>
            <w:tcW w:w="1077" w:type="dxa"/>
            <w:shd w:val="clear" w:color="auto" w:fill="auto"/>
            <w:vAlign w:val="center"/>
          </w:tcPr>
          <w:p w14:paraId="4172ED76" w14:textId="77777777" w:rsidR="00064B3B" w:rsidRPr="00730548" w:rsidRDefault="00064B3B" w:rsidP="00064B3B">
            <w:pPr>
              <w:jc w:val="right"/>
              <w:rPr>
                <w:rFonts w:ascii="Arial" w:hAnsi="Arial"/>
                <w:sz w:val="16"/>
                <w:szCs w:val="16"/>
              </w:rPr>
            </w:pPr>
            <w:r w:rsidRPr="00730548">
              <w:rPr>
                <w:rFonts w:ascii="Arial" w:hAnsi="Arial"/>
                <w:sz w:val="16"/>
                <w:szCs w:val="16"/>
              </w:rPr>
              <w:t>15</w:t>
            </w:r>
          </w:p>
        </w:tc>
      </w:tr>
      <w:tr w:rsidR="00064B3B" w:rsidRPr="00730548" w14:paraId="2B34AE8D" w14:textId="77777777" w:rsidTr="00E43F66">
        <w:tc>
          <w:tcPr>
            <w:tcW w:w="3256" w:type="dxa"/>
            <w:shd w:val="clear" w:color="auto" w:fill="auto"/>
            <w:vAlign w:val="center"/>
          </w:tcPr>
          <w:p w14:paraId="0EEBF42D" w14:textId="77777777" w:rsidR="00064B3B" w:rsidRPr="00730548" w:rsidRDefault="00064B3B" w:rsidP="00064B3B">
            <w:pPr>
              <w:ind w:left="-57" w:right="-57"/>
              <w:rPr>
                <w:rFonts w:ascii="Arial" w:hAnsi="Arial"/>
                <w:sz w:val="16"/>
                <w:szCs w:val="16"/>
              </w:rPr>
            </w:pPr>
            <w:r w:rsidRPr="00730548">
              <w:rPr>
                <w:rFonts w:ascii="Arial" w:hAnsi="Arial"/>
                <w:sz w:val="16"/>
                <w:szCs w:val="16"/>
                <w:lang w:eastAsia="en-US"/>
              </w:rPr>
              <w:t>Nautical Publications</w:t>
            </w:r>
            <w:r w:rsidRPr="00730548">
              <w:rPr>
                <w:rFonts w:ascii="Arial" w:hAnsi="Arial"/>
                <w:sz w:val="16"/>
                <w:szCs w:val="16"/>
                <w:vertAlign w:val="superscript"/>
                <w:lang w:eastAsia="en-US"/>
              </w:rPr>
              <w:t xml:space="preserve"> [c]</w:t>
            </w:r>
          </w:p>
        </w:tc>
        <w:tc>
          <w:tcPr>
            <w:tcW w:w="1077" w:type="dxa"/>
            <w:shd w:val="clear" w:color="auto" w:fill="auto"/>
            <w:vAlign w:val="center"/>
          </w:tcPr>
          <w:p w14:paraId="0D031CDF" w14:textId="77777777" w:rsidR="00064B3B" w:rsidRPr="00730548" w:rsidRDefault="00730548" w:rsidP="00064B3B">
            <w:pPr>
              <w:jc w:val="right"/>
              <w:rPr>
                <w:rFonts w:ascii="Arial" w:hAnsi="Arial"/>
                <w:sz w:val="16"/>
                <w:szCs w:val="16"/>
              </w:rPr>
            </w:pPr>
            <w:r>
              <w:rPr>
                <w:rFonts w:ascii="Arial" w:hAnsi="Arial"/>
                <w:sz w:val="16"/>
                <w:szCs w:val="16"/>
              </w:rPr>
              <w:t>31</w:t>
            </w:r>
          </w:p>
        </w:tc>
        <w:tc>
          <w:tcPr>
            <w:tcW w:w="1077" w:type="dxa"/>
            <w:shd w:val="clear" w:color="auto" w:fill="auto"/>
            <w:vAlign w:val="center"/>
          </w:tcPr>
          <w:p w14:paraId="4B77452B" w14:textId="77777777" w:rsidR="00064B3B" w:rsidRPr="00730548" w:rsidRDefault="00064B3B" w:rsidP="00064B3B">
            <w:pPr>
              <w:jc w:val="right"/>
              <w:rPr>
                <w:rFonts w:ascii="Arial" w:hAnsi="Arial"/>
                <w:sz w:val="16"/>
                <w:szCs w:val="16"/>
              </w:rPr>
            </w:pPr>
            <w:r w:rsidRPr="00730548">
              <w:rPr>
                <w:rFonts w:ascii="Arial" w:hAnsi="Arial"/>
                <w:sz w:val="16"/>
                <w:szCs w:val="16"/>
              </w:rPr>
              <w:t>31</w:t>
            </w:r>
          </w:p>
        </w:tc>
        <w:tc>
          <w:tcPr>
            <w:tcW w:w="1077" w:type="dxa"/>
            <w:shd w:val="clear" w:color="auto" w:fill="auto"/>
            <w:vAlign w:val="center"/>
          </w:tcPr>
          <w:p w14:paraId="39A55844" w14:textId="77777777" w:rsidR="00064B3B" w:rsidRPr="00730548" w:rsidRDefault="00730548" w:rsidP="00064B3B">
            <w:pPr>
              <w:jc w:val="right"/>
              <w:rPr>
                <w:rFonts w:ascii="Arial" w:hAnsi="Arial"/>
                <w:sz w:val="16"/>
                <w:szCs w:val="16"/>
              </w:rPr>
            </w:pPr>
            <w:r>
              <w:rPr>
                <w:rFonts w:ascii="Arial" w:hAnsi="Arial"/>
                <w:sz w:val="16"/>
                <w:szCs w:val="16"/>
              </w:rPr>
              <w:t>31</w:t>
            </w:r>
          </w:p>
        </w:tc>
        <w:tc>
          <w:tcPr>
            <w:tcW w:w="1077" w:type="dxa"/>
            <w:shd w:val="clear" w:color="auto" w:fill="auto"/>
            <w:vAlign w:val="center"/>
          </w:tcPr>
          <w:p w14:paraId="1737F3C9" w14:textId="77777777" w:rsidR="00064B3B" w:rsidRPr="00730548" w:rsidRDefault="00730548" w:rsidP="00064B3B">
            <w:pPr>
              <w:jc w:val="right"/>
              <w:rPr>
                <w:rFonts w:ascii="Arial" w:hAnsi="Arial"/>
                <w:sz w:val="16"/>
                <w:szCs w:val="16"/>
              </w:rPr>
            </w:pPr>
            <w:r>
              <w:rPr>
                <w:rFonts w:ascii="Arial" w:hAnsi="Arial"/>
                <w:sz w:val="16"/>
                <w:szCs w:val="16"/>
              </w:rPr>
              <w:t>31</w:t>
            </w:r>
          </w:p>
        </w:tc>
        <w:tc>
          <w:tcPr>
            <w:tcW w:w="1077" w:type="dxa"/>
            <w:shd w:val="clear" w:color="auto" w:fill="auto"/>
            <w:vAlign w:val="center"/>
          </w:tcPr>
          <w:p w14:paraId="589019A5" w14:textId="77777777" w:rsidR="00064B3B" w:rsidRPr="00730548" w:rsidRDefault="00064B3B" w:rsidP="00064B3B">
            <w:pPr>
              <w:jc w:val="right"/>
              <w:rPr>
                <w:rFonts w:ascii="Arial" w:hAnsi="Arial"/>
                <w:sz w:val="16"/>
                <w:szCs w:val="16"/>
              </w:rPr>
            </w:pPr>
            <w:r w:rsidRPr="00730548">
              <w:rPr>
                <w:rFonts w:ascii="Arial" w:hAnsi="Arial"/>
                <w:sz w:val="16"/>
                <w:szCs w:val="16"/>
              </w:rPr>
              <w:t>31</w:t>
            </w:r>
          </w:p>
        </w:tc>
      </w:tr>
      <w:tr w:rsidR="00064B3B" w:rsidRPr="00730548" w14:paraId="250EC0E5" w14:textId="77777777" w:rsidTr="00E43F66">
        <w:tc>
          <w:tcPr>
            <w:tcW w:w="3256" w:type="dxa"/>
            <w:shd w:val="clear" w:color="auto" w:fill="auto"/>
            <w:vAlign w:val="center"/>
          </w:tcPr>
          <w:p w14:paraId="1F19285F" w14:textId="2237BB91" w:rsidR="00064B3B" w:rsidRPr="00730548" w:rsidRDefault="00064B3B" w:rsidP="00064B3B">
            <w:pPr>
              <w:ind w:left="-57" w:right="-57"/>
              <w:rPr>
                <w:rFonts w:ascii="Arial" w:hAnsi="Arial"/>
                <w:sz w:val="16"/>
                <w:szCs w:val="16"/>
              </w:rPr>
            </w:pPr>
            <w:r w:rsidRPr="00730548">
              <w:rPr>
                <w:rFonts w:ascii="Arial" w:hAnsi="Arial"/>
                <w:sz w:val="16"/>
                <w:szCs w:val="16"/>
                <w:lang w:eastAsia="en-US"/>
              </w:rPr>
              <w:t>Survey Projects</w:t>
            </w:r>
            <w:r w:rsidR="009F0F8A">
              <w:rPr>
                <w:rFonts w:ascii="Arial" w:hAnsi="Arial"/>
                <w:sz w:val="16"/>
                <w:szCs w:val="16"/>
                <w:vertAlign w:val="superscript"/>
                <w:lang w:eastAsia="en-US"/>
              </w:rPr>
              <w:t xml:space="preserve"> </w:t>
            </w:r>
            <w:r w:rsidR="00805885">
              <w:rPr>
                <w:rFonts w:ascii="Arial" w:hAnsi="Arial"/>
                <w:sz w:val="16"/>
                <w:szCs w:val="16"/>
                <w:vertAlign w:val="superscript"/>
                <w:lang w:eastAsia="en-US"/>
              </w:rPr>
              <w:t>[d]</w:t>
            </w:r>
          </w:p>
        </w:tc>
        <w:tc>
          <w:tcPr>
            <w:tcW w:w="1077" w:type="dxa"/>
            <w:shd w:val="clear" w:color="auto" w:fill="auto"/>
            <w:vAlign w:val="center"/>
          </w:tcPr>
          <w:p w14:paraId="232E937D" w14:textId="77777777" w:rsidR="00064B3B" w:rsidRPr="00730548" w:rsidRDefault="00730548" w:rsidP="00064B3B">
            <w:pPr>
              <w:jc w:val="right"/>
              <w:rPr>
                <w:rFonts w:ascii="Arial" w:hAnsi="Arial"/>
                <w:sz w:val="16"/>
                <w:szCs w:val="16"/>
              </w:rPr>
            </w:pPr>
            <w:r>
              <w:rPr>
                <w:rFonts w:ascii="Arial" w:hAnsi="Arial"/>
                <w:sz w:val="16"/>
                <w:szCs w:val="16"/>
              </w:rPr>
              <w:t>10</w:t>
            </w:r>
          </w:p>
        </w:tc>
        <w:tc>
          <w:tcPr>
            <w:tcW w:w="1077" w:type="dxa"/>
            <w:shd w:val="clear" w:color="auto" w:fill="auto"/>
            <w:vAlign w:val="center"/>
          </w:tcPr>
          <w:p w14:paraId="4CDCE71E" w14:textId="77777777" w:rsidR="00064B3B" w:rsidRPr="00730548" w:rsidRDefault="00064B3B" w:rsidP="00064B3B">
            <w:pPr>
              <w:jc w:val="right"/>
              <w:rPr>
                <w:rFonts w:ascii="Arial" w:hAnsi="Arial"/>
                <w:sz w:val="16"/>
                <w:szCs w:val="16"/>
              </w:rPr>
            </w:pPr>
            <w:r w:rsidRPr="00730548">
              <w:rPr>
                <w:rFonts w:ascii="Arial" w:hAnsi="Arial"/>
                <w:sz w:val="16"/>
                <w:szCs w:val="16"/>
              </w:rPr>
              <w:t>10</w:t>
            </w:r>
          </w:p>
        </w:tc>
        <w:tc>
          <w:tcPr>
            <w:tcW w:w="1077" w:type="dxa"/>
            <w:shd w:val="clear" w:color="auto" w:fill="auto"/>
            <w:vAlign w:val="center"/>
          </w:tcPr>
          <w:p w14:paraId="519B5964" w14:textId="77777777" w:rsidR="00064B3B" w:rsidRPr="00730548" w:rsidRDefault="00730548" w:rsidP="00064B3B">
            <w:pPr>
              <w:jc w:val="right"/>
              <w:rPr>
                <w:rFonts w:ascii="Arial" w:hAnsi="Arial"/>
                <w:sz w:val="16"/>
                <w:szCs w:val="16"/>
              </w:rPr>
            </w:pPr>
            <w:r>
              <w:rPr>
                <w:rFonts w:ascii="Arial" w:hAnsi="Arial"/>
                <w:sz w:val="16"/>
                <w:szCs w:val="16"/>
              </w:rPr>
              <w:t>10</w:t>
            </w:r>
          </w:p>
        </w:tc>
        <w:tc>
          <w:tcPr>
            <w:tcW w:w="1077" w:type="dxa"/>
            <w:shd w:val="clear" w:color="auto" w:fill="auto"/>
            <w:vAlign w:val="center"/>
          </w:tcPr>
          <w:p w14:paraId="4FC135F5" w14:textId="77777777" w:rsidR="00064B3B" w:rsidRPr="00730548" w:rsidRDefault="00730548" w:rsidP="00064B3B">
            <w:pPr>
              <w:jc w:val="right"/>
              <w:rPr>
                <w:rFonts w:ascii="Arial" w:hAnsi="Arial"/>
                <w:sz w:val="16"/>
                <w:szCs w:val="16"/>
              </w:rPr>
            </w:pPr>
            <w:r>
              <w:rPr>
                <w:rFonts w:ascii="Arial" w:hAnsi="Arial"/>
                <w:sz w:val="16"/>
                <w:szCs w:val="16"/>
              </w:rPr>
              <w:t>12</w:t>
            </w:r>
          </w:p>
        </w:tc>
        <w:tc>
          <w:tcPr>
            <w:tcW w:w="1077" w:type="dxa"/>
            <w:shd w:val="clear" w:color="auto" w:fill="auto"/>
            <w:vAlign w:val="center"/>
          </w:tcPr>
          <w:p w14:paraId="423FCFAC" w14:textId="77777777" w:rsidR="00064B3B" w:rsidRPr="00730548" w:rsidRDefault="00730548" w:rsidP="00064B3B">
            <w:pPr>
              <w:jc w:val="right"/>
              <w:rPr>
                <w:rFonts w:ascii="Arial" w:hAnsi="Arial"/>
                <w:sz w:val="16"/>
                <w:szCs w:val="16"/>
              </w:rPr>
            </w:pPr>
            <w:r>
              <w:rPr>
                <w:rFonts w:ascii="Arial" w:hAnsi="Arial"/>
                <w:sz w:val="16"/>
                <w:szCs w:val="16"/>
              </w:rPr>
              <w:t>12</w:t>
            </w:r>
          </w:p>
        </w:tc>
      </w:tr>
      <w:tr w:rsidR="00064B3B" w:rsidRPr="00730548" w14:paraId="4ACDF521" w14:textId="77777777" w:rsidTr="00E43F66">
        <w:tc>
          <w:tcPr>
            <w:tcW w:w="3256" w:type="dxa"/>
            <w:shd w:val="clear" w:color="auto" w:fill="auto"/>
            <w:vAlign w:val="center"/>
          </w:tcPr>
          <w:p w14:paraId="420AC8A3" w14:textId="6A210486" w:rsidR="00064B3B" w:rsidRPr="00730548" w:rsidRDefault="00064B3B" w:rsidP="00805885">
            <w:pPr>
              <w:ind w:left="-57" w:right="-57"/>
              <w:rPr>
                <w:rFonts w:ascii="Arial" w:hAnsi="Arial"/>
                <w:sz w:val="16"/>
                <w:szCs w:val="16"/>
              </w:rPr>
            </w:pPr>
            <w:r w:rsidRPr="00730548">
              <w:rPr>
                <w:rFonts w:ascii="Arial" w:hAnsi="Arial"/>
                <w:sz w:val="16"/>
                <w:szCs w:val="16"/>
                <w:lang w:eastAsia="en-US"/>
              </w:rPr>
              <w:t>Australian Hydrographic Office Availability</w:t>
            </w:r>
            <w:r w:rsidRPr="00730548">
              <w:rPr>
                <w:rFonts w:ascii="Arial" w:hAnsi="Arial"/>
                <w:sz w:val="16"/>
                <w:szCs w:val="16"/>
                <w:vertAlign w:val="superscript"/>
                <w:lang w:eastAsia="en-US"/>
              </w:rPr>
              <w:t xml:space="preserve"> [</w:t>
            </w:r>
            <w:r w:rsidR="00805885">
              <w:rPr>
                <w:rFonts w:ascii="Arial" w:hAnsi="Arial"/>
                <w:sz w:val="16"/>
                <w:szCs w:val="16"/>
                <w:vertAlign w:val="superscript"/>
                <w:lang w:eastAsia="en-US"/>
              </w:rPr>
              <w:t>e</w:t>
            </w:r>
            <w:r w:rsidRPr="00730548">
              <w:rPr>
                <w:rFonts w:ascii="Arial" w:hAnsi="Arial"/>
                <w:sz w:val="16"/>
                <w:szCs w:val="16"/>
                <w:vertAlign w:val="superscript"/>
                <w:lang w:eastAsia="en-US"/>
              </w:rPr>
              <w:t>]</w:t>
            </w:r>
          </w:p>
        </w:tc>
        <w:tc>
          <w:tcPr>
            <w:tcW w:w="1077" w:type="dxa"/>
            <w:shd w:val="clear" w:color="auto" w:fill="auto"/>
            <w:vAlign w:val="center"/>
          </w:tcPr>
          <w:p w14:paraId="32BFFEF1" w14:textId="77777777" w:rsidR="00064B3B" w:rsidRPr="00730548" w:rsidRDefault="00064B3B" w:rsidP="00064B3B">
            <w:pPr>
              <w:jc w:val="right"/>
              <w:rPr>
                <w:rFonts w:ascii="Arial" w:hAnsi="Arial"/>
                <w:sz w:val="16"/>
                <w:szCs w:val="16"/>
              </w:rPr>
            </w:pPr>
            <w:r w:rsidRPr="00730548">
              <w:rPr>
                <w:rFonts w:ascii="Arial" w:hAnsi="Arial"/>
                <w:sz w:val="16"/>
                <w:szCs w:val="16"/>
              </w:rPr>
              <w:t>247</w:t>
            </w:r>
          </w:p>
        </w:tc>
        <w:tc>
          <w:tcPr>
            <w:tcW w:w="1077" w:type="dxa"/>
            <w:shd w:val="clear" w:color="auto" w:fill="auto"/>
            <w:vAlign w:val="center"/>
          </w:tcPr>
          <w:p w14:paraId="0AA42258" w14:textId="77777777" w:rsidR="00064B3B" w:rsidRPr="00730548" w:rsidRDefault="00064B3B" w:rsidP="00064B3B">
            <w:pPr>
              <w:jc w:val="right"/>
              <w:rPr>
                <w:rFonts w:ascii="Arial" w:hAnsi="Arial"/>
                <w:sz w:val="16"/>
                <w:szCs w:val="16"/>
              </w:rPr>
            </w:pPr>
            <w:r w:rsidRPr="00730548">
              <w:rPr>
                <w:rFonts w:ascii="Arial" w:hAnsi="Arial"/>
                <w:sz w:val="16"/>
                <w:szCs w:val="16"/>
              </w:rPr>
              <w:t>248</w:t>
            </w:r>
          </w:p>
        </w:tc>
        <w:tc>
          <w:tcPr>
            <w:tcW w:w="1077" w:type="dxa"/>
            <w:shd w:val="clear" w:color="auto" w:fill="auto"/>
            <w:vAlign w:val="center"/>
          </w:tcPr>
          <w:p w14:paraId="55C645B0" w14:textId="77777777" w:rsidR="00064B3B" w:rsidRPr="00730548" w:rsidRDefault="00064B3B" w:rsidP="00064B3B">
            <w:pPr>
              <w:jc w:val="right"/>
              <w:rPr>
                <w:rFonts w:ascii="Arial" w:hAnsi="Arial"/>
                <w:sz w:val="16"/>
                <w:szCs w:val="16"/>
              </w:rPr>
            </w:pPr>
            <w:r w:rsidRPr="00730548">
              <w:rPr>
                <w:rFonts w:ascii="Arial" w:hAnsi="Arial"/>
                <w:sz w:val="16"/>
                <w:szCs w:val="16"/>
              </w:rPr>
              <w:t>249</w:t>
            </w:r>
          </w:p>
        </w:tc>
        <w:tc>
          <w:tcPr>
            <w:tcW w:w="1077" w:type="dxa"/>
            <w:shd w:val="clear" w:color="auto" w:fill="auto"/>
            <w:vAlign w:val="center"/>
          </w:tcPr>
          <w:p w14:paraId="326C41DC" w14:textId="77777777" w:rsidR="00064B3B" w:rsidRPr="00730548" w:rsidRDefault="00064B3B" w:rsidP="00064B3B">
            <w:pPr>
              <w:jc w:val="right"/>
              <w:rPr>
                <w:rFonts w:ascii="Arial" w:hAnsi="Arial"/>
                <w:sz w:val="16"/>
                <w:szCs w:val="16"/>
              </w:rPr>
            </w:pPr>
            <w:r w:rsidRPr="00730548">
              <w:rPr>
                <w:rFonts w:ascii="Arial" w:hAnsi="Arial"/>
                <w:sz w:val="16"/>
                <w:szCs w:val="16"/>
              </w:rPr>
              <w:t>249</w:t>
            </w:r>
          </w:p>
        </w:tc>
        <w:tc>
          <w:tcPr>
            <w:tcW w:w="1077" w:type="dxa"/>
            <w:shd w:val="clear" w:color="auto" w:fill="auto"/>
            <w:vAlign w:val="center"/>
          </w:tcPr>
          <w:p w14:paraId="7E27755A" w14:textId="77777777" w:rsidR="00064B3B" w:rsidRPr="00730548" w:rsidRDefault="00730548" w:rsidP="00064B3B">
            <w:pPr>
              <w:jc w:val="right"/>
              <w:rPr>
                <w:rFonts w:ascii="Arial" w:hAnsi="Arial"/>
                <w:sz w:val="16"/>
                <w:szCs w:val="16"/>
              </w:rPr>
            </w:pPr>
            <w:r>
              <w:rPr>
                <w:rFonts w:ascii="Arial" w:hAnsi="Arial"/>
                <w:sz w:val="16"/>
                <w:szCs w:val="16"/>
              </w:rPr>
              <w:t>247</w:t>
            </w:r>
          </w:p>
        </w:tc>
      </w:tr>
    </w:tbl>
    <w:p w14:paraId="5A41E182" w14:textId="77777777" w:rsidR="005403E1" w:rsidRPr="00730548" w:rsidRDefault="005403E1" w:rsidP="00656D60">
      <w:pPr>
        <w:pStyle w:val="TableHeading"/>
        <w:spacing w:before="0" w:after="0"/>
        <w:rPr>
          <w:sz w:val="16"/>
          <w:szCs w:val="16"/>
        </w:rPr>
      </w:pPr>
    </w:p>
    <w:p w14:paraId="2C750EFF" w14:textId="77777777" w:rsidR="000D48CA" w:rsidRPr="00730548" w:rsidRDefault="005403E1" w:rsidP="000D48CA">
      <w:pPr>
        <w:spacing w:before="0" w:after="0"/>
        <w:rPr>
          <w:rFonts w:ascii="Arial" w:hAnsi="Arial"/>
          <w:b/>
          <w:sz w:val="14"/>
          <w:szCs w:val="14"/>
        </w:rPr>
      </w:pPr>
      <w:r w:rsidRPr="00730548">
        <w:rPr>
          <w:sz w:val="16"/>
          <w:szCs w:val="16"/>
          <w:lang w:val="en-AU"/>
        </w:rPr>
        <w:tab/>
      </w:r>
      <w:r w:rsidR="000D48CA" w:rsidRPr="00730548">
        <w:rPr>
          <w:rFonts w:ascii="Arial" w:hAnsi="Arial"/>
          <w:b/>
          <w:sz w:val="14"/>
          <w:szCs w:val="14"/>
        </w:rPr>
        <w:t>Notes</w:t>
      </w:r>
    </w:p>
    <w:p w14:paraId="21CD0D27" w14:textId="77777777" w:rsidR="00730548" w:rsidRPr="00730548" w:rsidRDefault="00730548" w:rsidP="00730548">
      <w:pPr>
        <w:numPr>
          <w:ilvl w:val="0"/>
          <w:numId w:val="26"/>
        </w:numPr>
        <w:tabs>
          <w:tab w:val="left" w:pos="57"/>
          <w:tab w:val="left" w:pos="284"/>
        </w:tabs>
        <w:spacing w:before="0" w:after="0"/>
        <w:ind w:left="284" w:hanging="284"/>
        <w:rPr>
          <w:rFonts w:ascii="Arial" w:hAnsi="Arial"/>
          <w:sz w:val="14"/>
          <w:szCs w:val="14"/>
          <w:lang w:val="en-AU"/>
        </w:rPr>
      </w:pPr>
      <w:r w:rsidRPr="001C2377">
        <w:rPr>
          <w:rFonts w:ascii="Arial" w:hAnsi="Arial"/>
          <w:sz w:val="14"/>
          <w:szCs w:val="14"/>
          <w:lang w:val="en-AU"/>
        </w:rPr>
        <w:t xml:space="preserve">Maritime Safety Updates (MSU) are urgent safety-critical revisions to nautical charts and publications or other hydrographic products </w:t>
      </w:r>
      <w:r w:rsidRPr="00730548">
        <w:rPr>
          <w:rFonts w:ascii="Arial" w:hAnsi="Arial"/>
          <w:sz w:val="14"/>
          <w:szCs w:val="14"/>
          <w:lang w:val="en-AU"/>
        </w:rPr>
        <w:t>and services. All Priority 1 MSU will be applied to product and released within the agreed 20 day timeframe, with a Portfolio Budget Statements Target of 100 per cent achievement.</w:t>
      </w:r>
    </w:p>
    <w:p w14:paraId="527E53B4" w14:textId="77777777" w:rsidR="00730548" w:rsidRPr="00730548" w:rsidRDefault="00730548" w:rsidP="00730548">
      <w:pPr>
        <w:numPr>
          <w:ilvl w:val="0"/>
          <w:numId w:val="26"/>
        </w:numPr>
        <w:tabs>
          <w:tab w:val="left" w:pos="57"/>
          <w:tab w:val="left" w:pos="284"/>
        </w:tabs>
        <w:spacing w:before="0" w:after="0"/>
        <w:ind w:left="284" w:hanging="284"/>
        <w:rPr>
          <w:rFonts w:ascii="Arial" w:hAnsi="Arial"/>
          <w:sz w:val="14"/>
          <w:szCs w:val="14"/>
          <w:lang w:val="en-AU"/>
        </w:rPr>
      </w:pPr>
      <w:r w:rsidRPr="00730548">
        <w:rPr>
          <w:rFonts w:ascii="Arial" w:hAnsi="Arial"/>
          <w:sz w:val="14"/>
          <w:szCs w:val="14"/>
          <w:lang w:val="en-AU"/>
        </w:rPr>
        <w:t>Charting Project includes all charting activities involved in compiling and publishing all paper and electronic charts or other charting services, for a particular geographic area. When all affected products are updated through different charting activities a Charting Project is considered complete.</w:t>
      </w:r>
    </w:p>
    <w:p w14:paraId="7E862776" w14:textId="77777777" w:rsidR="00805885" w:rsidRDefault="00730548" w:rsidP="00730548">
      <w:pPr>
        <w:numPr>
          <w:ilvl w:val="0"/>
          <w:numId w:val="26"/>
        </w:numPr>
        <w:tabs>
          <w:tab w:val="left" w:pos="57"/>
          <w:tab w:val="left" w:pos="284"/>
        </w:tabs>
        <w:spacing w:before="0" w:after="0"/>
        <w:ind w:left="284" w:hanging="284"/>
        <w:rPr>
          <w:rFonts w:ascii="Arial" w:hAnsi="Arial"/>
          <w:sz w:val="14"/>
          <w:szCs w:val="14"/>
          <w:lang w:val="en-AU"/>
        </w:rPr>
      </w:pPr>
      <w:r w:rsidRPr="00730548">
        <w:rPr>
          <w:rFonts w:ascii="Arial" w:hAnsi="Arial"/>
          <w:sz w:val="14"/>
          <w:szCs w:val="14"/>
          <w:lang w:val="en-AU"/>
        </w:rPr>
        <w:t>The Nautical Publications produced are 25 fortnightly Notices to Mariners, and six annual publications Variation to the forward estimates is plus one, as the Mariner’s Handbook for Australian Waters (AHP20) will be produced annually. Survey Project is a major hydrographic survey contract executed to support the Australian Hydrographic Office (AHO) national survey function under The</w:t>
      </w:r>
      <w:r w:rsidRPr="00730548">
        <w:rPr>
          <w:rFonts w:ascii="Arial" w:hAnsi="Arial"/>
          <w:i/>
          <w:sz w:val="14"/>
          <w:szCs w:val="14"/>
          <w:lang w:val="en-AU"/>
        </w:rPr>
        <w:t xml:space="preserve"> Navigation Act 2012</w:t>
      </w:r>
      <w:r w:rsidRPr="00730548">
        <w:rPr>
          <w:rFonts w:ascii="Arial" w:hAnsi="Arial"/>
          <w:sz w:val="14"/>
          <w:szCs w:val="14"/>
          <w:lang w:val="en-AU"/>
        </w:rPr>
        <w:t xml:space="preserve">. The HydroScheme Industry Partnership Program (HIPP) enables the AHO to undertake focused hydrographic survey data collection using commercial arrangements. </w:t>
      </w:r>
    </w:p>
    <w:p w14:paraId="535E059E" w14:textId="2D38FE72" w:rsidR="00730548" w:rsidRPr="00730548" w:rsidRDefault="00730548" w:rsidP="00730548">
      <w:pPr>
        <w:numPr>
          <w:ilvl w:val="0"/>
          <w:numId w:val="26"/>
        </w:numPr>
        <w:tabs>
          <w:tab w:val="left" w:pos="57"/>
          <w:tab w:val="left" w:pos="284"/>
        </w:tabs>
        <w:spacing w:before="0" w:after="0"/>
        <w:ind w:left="284" w:hanging="284"/>
        <w:rPr>
          <w:rFonts w:ascii="Arial" w:hAnsi="Arial"/>
          <w:sz w:val="14"/>
          <w:szCs w:val="14"/>
          <w:lang w:val="en-AU"/>
        </w:rPr>
      </w:pPr>
      <w:r w:rsidRPr="00730548">
        <w:rPr>
          <w:rFonts w:ascii="Arial" w:hAnsi="Arial"/>
          <w:sz w:val="14"/>
          <w:szCs w:val="14"/>
          <w:lang w:val="en-AU"/>
        </w:rPr>
        <w:t xml:space="preserve">The Survey Project rate of effort is aligned with the financial year </w:t>
      </w:r>
      <w:r w:rsidRPr="00730548">
        <w:rPr>
          <w:rFonts w:ascii="Arial" w:hAnsi="Arial"/>
          <w:bCs/>
          <w:sz w:val="14"/>
          <w:szCs w:val="14"/>
        </w:rPr>
        <w:t>HIPP budget guidance and available personnel to manage the planning and oversight of scheduled survey projects.</w:t>
      </w:r>
      <w:r w:rsidRPr="00730548">
        <w:rPr>
          <w:rFonts w:ascii="Arial" w:hAnsi="Arial"/>
          <w:spacing w:val="-8"/>
          <w:sz w:val="14"/>
          <w:szCs w:val="14"/>
        </w:rPr>
        <w:t xml:space="preserve"> Forward estimate survey numbers have reduced due to increasing the size of the areas surveyed.  Area coverage should therefore increase year on year with reduced administrative overheads.  </w:t>
      </w:r>
      <w:r w:rsidRPr="00730548">
        <w:rPr>
          <w:rFonts w:ascii="Arial" w:hAnsi="Arial"/>
          <w:sz w:val="14"/>
          <w:szCs w:val="14"/>
        </w:rPr>
        <w:t>HIPP Phase 2 commenced 01 July 2024 and is funded to financial year 2033-34.</w:t>
      </w:r>
    </w:p>
    <w:p w14:paraId="590A6772" w14:textId="77777777" w:rsidR="000D48CA" w:rsidRPr="00730548" w:rsidRDefault="00730548" w:rsidP="00730548">
      <w:pPr>
        <w:numPr>
          <w:ilvl w:val="0"/>
          <w:numId w:val="26"/>
        </w:numPr>
        <w:tabs>
          <w:tab w:val="left" w:pos="57"/>
          <w:tab w:val="left" w:pos="284"/>
        </w:tabs>
        <w:spacing w:before="0" w:after="0"/>
        <w:ind w:left="284" w:hanging="284"/>
        <w:rPr>
          <w:sz w:val="16"/>
          <w:szCs w:val="16"/>
        </w:rPr>
      </w:pPr>
      <w:r w:rsidRPr="00730548">
        <w:rPr>
          <w:rFonts w:ascii="Arial" w:hAnsi="Arial"/>
          <w:sz w:val="14"/>
          <w:szCs w:val="14"/>
          <w:lang w:val="en-AU"/>
        </w:rPr>
        <w:t xml:space="preserve">Australian Hydrographic Office (AHO) Availability is those periods the AHO, as a Defence capability, is materially ready and its personnel state and level of competence enables the AHO to provide hydrographic products and services immediately in accordance with the </w:t>
      </w:r>
      <w:r w:rsidRPr="00730548">
        <w:rPr>
          <w:rFonts w:ascii="Arial" w:hAnsi="Arial"/>
          <w:i/>
          <w:sz w:val="14"/>
          <w:szCs w:val="14"/>
          <w:lang w:val="en-AU"/>
        </w:rPr>
        <w:t>Navigation Act 2012</w:t>
      </w:r>
      <w:r w:rsidRPr="00730548">
        <w:rPr>
          <w:rFonts w:ascii="Arial" w:hAnsi="Arial"/>
          <w:sz w:val="14"/>
          <w:szCs w:val="14"/>
          <w:lang w:val="en-AU"/>
        </w:rPr>
        <w:t>. The AHO is open 0700-1830</w:t>
      </w:r>
      <w:r w:rsidRPr="001C2377">
        <w:rPr>
          <w:rFonts w:ascii="Arial" w:hAnsi="Arial"/>
          <w:sz w:val="14"/>
          <w:szCs w:val="14"/>
          <w:lang w:val="en-AU"/>
        </w:rPr>
        <w:t xml:space="preserve"> Monday to Friday, closed for Public Holidays and the Christmas stand down period availability outside these hours is upon request</w:t>
      </w:r>
      <w:r w:rsidR="000D48CA" w:rsidRPr="00730548">
        <w:rPr>
          <w:rFonts w:ascii="Arial" w:hAnsi="Arial"/>
          <w:sz w:val="14"/>
          <w:szCs w:val="14"/>
          <w:lang w:val="en-AU"/>
        </w:rPr>
        <w:t>.</w:t>
      </w:r>
    </w:p>
    <w:p w14:paraId="7F2F7393" w14:textId="77777777" w:rsidR="004535B1" w:rsidRPr="00B56FAA" w:rsidRDefault="00F220CD" w:rsidP="004535B1">
      <w:pPr>
        <w:spacing w:before="0" w:after="0"/>
        <w:outlineLvl w:val="5"/>
        <w:rPr>
          <w:color w:val="FFFFFF"/>
          <w:sz w:val="2"/>
          <w:szCs w:val="2"/>
        </w:rPr>
      </w:pPr>
      <w:r w:rsidRPr="00B56FAA">
        <w:rPr>
          <w:b/>
          <w:szCs w:val="16"/>
          <w:lang w:val="en-AU"/>
        </w:rPr>
        <w:br w:type="page"/>
      </w:r>
    </w:p>
    <w:p w14:paraId="5A71D592" w14:textId="77777777" w:rsidR="004535B1" w:rsidRPr="00B56FAA" w:rsidRDefault="004535B1" w:rsidP="004535B1">
      <w:pPr>
        <w:spacing w:before="0" w:after="0"/>
        <w:outlineLvl w:val="5"/>
        <w:rPr>
          <w:color w:val="FFFFFF"/>
          <w:sz w:val="2"/>
          <w:szCs w:val="2"/>
        </w:rPr>
      </w:pPr>
      <w:r w:rsidRPr="00B56FAA">
        <w:rPr>
          <w:color w:val="FFFFFF"/>
          <w:sz w:val="2"/>
          <w:szCs w:val="2"/>
        </w:rPr>
        <w:lastRenderedPageBreak/>
        <w:t>Program 2.15: Naval Shipbuilding and Sustainment</w:t>
      </w:r>
    </w:p>
    <w:tbl>
      <w:tblPr>
        <w:tblW w:w="4852" w:type="pct"/>
        <w:tblInd w:w="113" w:type="dxa"/>
        <w:tblBorders>
          <w:top w:val="single" w:sz="4" w:space="0" w:color="auto"/>
          <w:left w:val="single" w:sz="4" w:space="0" w:color="auto"/>
          <w:bottom w:val="single" w:sz="4" w:space="0" w:color="auto"/>
          <w:right w:val="single" w:sz="4" w:space="0" w:color="auto"/>
          <w:insideV w:val="single" w:sz="4" w:space="0" w:color="auto"/>
        </w:tblBorders>
        <w:shd w:val="clear" w:color="auto" w:fill="CCCCCC"/>
        <w:tblLook w:val="01E0" w:firstRow="1" w:lastRow="1" w:firstColumn="1" w:lastColumn="1" w:noHBand="0" w:noVBand="0"/>
      </w:tblPr>
      <w:tblGrid>
        <w:gridCol w:w="1671"/>
        <w:gridCol w:w="2884"/>
        <w:gridCol w:w="3032"/>
        <w:gridCol w:w="23"/>
      </w:tblGrid>
      <w:tr w:rsidR="00F7100A" w:rsidRPr="00B56FAA" w14:paraId="1AF1AB68" w14:textId="77777777" w:rsidTr="0027665E">
        <w:trPr>
          <w:gridAfter w:val="1"/>
          <w:wAfter w:w="23" w:type="dxa"/>
        </w:trPr>
        <w:tc>
          <w:tcPr>
            <w:tcW w:w="7587" w:type="dxa"/>
            <w:gridSpan w:val="3"/>
            <w:tcBorders>
              <w:top w:val="single" w:sz="4" w:space="0" w:color="auto"/>
              <w:bottom w:val="dotted" w:sz="4" w:space="0" w:color="auto"/>
            </w:tcBorders>
            <w:shd w:val="clear" w:color="auto" w:fill="CCCCCC"/>
          </w:tcPr>
          <w:p w14:paraId="5C1B35F4" w14:textId="77777777" w:rsidR="00F7100A" w:rsidRPr="00B56FAA" w:rsidRDefault="00F7100A" w:rsidP="00072EF9">
            <w:pPr>
              <w:pStyle w:val="Heading5"/>
              <w:spacing w:before="60" w:after="60"/>
            </w:pPr>
            <w:r w:rsidRPr="00B56FAA">
              <w:t>Program 2.15: Naval Shipbuilding and Sustainment</w:t>
            </w:r>
          </w:p>
        </w:tc>
      </w:tr>
      <w:tr w:rsidR="00F7100A" w:rsidRPr="00B56FAA" w14:paraId="52AC958E" w14:textId="77777777" w:rsidTr="0027665E">
        <w:trPr>
          <w:gridAfter w:val="1"/>
          <w:wAfter w:w="23" w:type="dxa"/>
          <w:trHeight w:val="170"/>
        </w:trPr>
        <w:tc>
          <w:tcPr>
            <w:tcW w:w="7587" w:type="dxa"/>
            <w:gridSpan w:val="3"/>
            <w:tcBorders>
              <w:top w:val="dotted" w:sz="4" w:space="0" w:color="auto"/>
              <w:left w:val="nil"/>
              <w:bottom w:val="dotted" w:sz="4" w:space="0" w:color="auto"/>
              <w:right w:val="nil"/>
            </w:tcBorders>
            <w:shd w:val="clear" w:color="auto" w:fill="auto"/>
          </w:tcPr>
          <w:p w14:paraId="44497F7C" w14:textId="77777777" w:rsidR="00F7100A" w:rsidRPr="00B56FAA" w:rsidRDefault="00F7100A" w:rsidP="00072EF9">
            <w:pPr>
              <w:pStyle w:val="Heading5"/>
              <w:spacing w:before="0" w:after="0"/>
              <w:rPr>
                <w:sz w:val="16"/>
                <w:szCs w:val="16"/>
              </w:rPr>
            </w:pPr>
          </w:p>
        </w:tc>
      </w:tr>
      <w:tr w:rsidR="00F7100A" w:rsidRPr="00321534" w14:paraId="4939C6F8" w14:textId="77777777" w:rsidTr="005F4285">
        <w:tblPrEx>
          <w:shd w:val="clear" w:color="auto" w:fill="auto"/>
          <w:tblLook w:val="04A0" w:firstRow="1" w:lastRow="0" w:firstColumn="1" w:lastColumn="0" w:noHBand="0" w:noVBand="1"/>
        </w:tblPrEx>
        <w:trPr>
          <w:tblHeader/>
        </w:trPr>
        <w:tc>
          <w:tcPr>
            <w:tcW w:w="7610" w:type="dxa"/>
            <w:gridSpan w:val="4"/>
            <w:tcBorders>
              <w:top w:val="single" w:sz="4" w:space="0" w:color="auto"/>
              <w:bottom w:val="single" w:sz="4" w:space="0" w:color="auto"/>
            </w:tcBorders>
            <w:shd w:val="clear" w:color="auto" w:fill="E6E6E6"/>
          </w:tcPr>
          <w:p w14:paraId="41F25CCD" w14:textId="77777777" w:rsidR="00F7100A" w:rsidRPr="00321534" w:rsidRDefault="00F7100A" w:rsidP="00072EF9">
            <w:pPr>
              <w:tabs>
                <w:tab w:val="left" w:pos="709"/>
              </w:tabs>
              <w:spacing w:before="60" w:after="60"/>
              <w:rPr>
                <w:rFonts w:ascii="Arial" w:hAnsi="Arial"/>
                <w:b/>
                <w:sz w:val="16"/>
                <w:szCs w:val="16"/>
              </w:rPr>
            </w:pPr>
            <w:r w:rsidRPr="00321534">
              <w:rPr>
                <w:rFonts w:ascii="Arial" w:hAnsi="Arial"/>
                <w:b/>
                <w:sz w:val="16"/>
                <w:szCs w:val="16"/>
              </w:rPr>
              <w:t>Program 2.15</w:t>
            </w:r>
            <w:r w:rsidRPr="00321534">
              <w:rPr>
                <w:rFonts w:ascii="Arial" w:hAnsi="Arial"/>
                <w:sz w:val="16"/>
                <w:szCs w:val="16"/>
              </w:rPr>
              <w:t xml:space="preserve"> </w:t>
            </w:r>
            <w:r w:rsidRPr="00321534">
              <w:rPr>
                <w:rFonts w:ascii="Arial" w:hAnsi="Arial"/>
                <w:b/>
                <w:sz w:val="16"/>
                <w:szCs w:val="16"/>
              </w:rPr>
              <w:t>Objective</w:t>
            </w:r>
          </w:p>
          <w:p w14:paraId="09DEF3C0" w14:textId="77777777" w:rsidR="00F7100A" w:rsidRPr="00321534" w:rsidRDefault="00F7100A" w:rsidP="00072EF9">
            <w:pPr>
              <w:tabs>
                <w:tab w:val="left" w:pos="709"/>
              </w:tabs>
              <w:spacing w:before="60" w:after="60"/>
              <w:rPr>
                <w:rFonts w:ascii="Arial" w:hAnsi="Arial"/>
                <w:sz w:val="16"/>
                <w:szCs w:val="16"/>
              </w:rPr>
            </w:pPr>
            <w:r w:rsidRPr="00321534">
              <w:rPr>
                <w:rFonts w:ascii="Arial" w:hAnsi="Arial"/>
                <w:sz w:val="16"/>
                <w:szCs w:val="16"/>
              </w:rPr>
              <w:t>To deliver maritime capability through the acquisition and sustainment of naval vessels for Navy and Army, while supporting the development of continuous naval shipbuilding key enablers in Australia, including the development of a secure, sovereign industrial base, infrastructure, and an appropriately skilled and experienced workforce.</w:t>
            </w:r>
          </w:p>
        </w:tc>
      </w:tr>
      <w:tr w:rsidR="00321534" w:rsidRPr="00321534" w14:paraId="665D0847" w14:textId="77777777" w:rsidTr="005F4285">
        <w:tblPrEx>
          <w:shd w:val="clear" w:color="auto" w:fill="auto"/>
          <w:tblLook w:val="04A0" w:firstRow="1" w:lastRow="0" w:firstColumn="1" w:lastColumn="0" w:noHBand="0" w:noVBand="1"/>
        </w:tblPrEx>
        <w:trPr>
          <w:trHeight w:val="312"/>
        </w:trPr>
        <w:tc>
          <w:tcPr>
            <w:tcW w:w="1671" w:type="dxa"/>
            <w:tcBorders>
              <w:top w:val="single" w:sz="4" w:space="0" w:color="auto"/>
              <w:bottom w:val="single" w:sz="4" w:space="0" w:color="auto"/>
            </w:tcBorders>
          </w:tcPr>
          <w:p w14:paraId="4892F71A" w14:textId="77777777" w:rsidR="00321534" w:rsidRPr="00321534" w:rsidRDefault="00321534" w:rsidP="00321534">
            <w:pPr>
              <w:tabs>
                <w:tab w:val="left" w:pos="709"/>
              </w:tabs>
              <w:spacing w:before="60" w:after="60"/>
              <w:rPr>
                <w:rFonts w:ascii="Arial" w:hAnsi="Arial"/>
                <w:b/>
                <w:color w:val="000000"/>
                <w:sz w:val="16"/>
                <w:szCs w:val="16"/>
              </w:rPr>
            </w:pPr>
            <w:r w:rsidRPr="00321534">
              <w:rPr>
                <w:rFonts w:ascii="Arial" w:hAnsi="Arial"/>
                <w:b/>
                <w:color w:val="000000"/>
                <w:sz w:val="16"/>
                <w:szCs w:val="16"/>
              </w:rPr>
              <w:t>Key Activities</w:t>
            </w:r>
          </w:p>
        </w:tc>
        <w:tc>
          <w:tcPr>
            <w:tcW w:w="5939" w:type="dxa"/>
            <w:gridSpan w:val="3"/>
            <w:tcBorders>
              <w:top w:val="single" w:sz="4" w:space="0" w:color="auto"/>
              <w:bottom w:val="single" w:sz="4" w:space="0" w:color="auto"/>
            </w:tcBorders>
            <w:shd w:val="clear" w:color="auto" w:fill="auto"/>
          </w:tcPr>
          <w:p w14:paraId="491E8693" w14:textId="77777777" w:rsidR="00321534" w:rsidRPr="00DA6484" w:rsidRDefault="00321534" w:rsidP="00321534">
            <w:pPr>
              <w:tabs>
                <w:tab w:val="left" w:pos="709"/>
              </w:tabs>
              <w:spacing w:before="60" w:after="60"/>
              <w:rPr>
                <w:rFonts w:ascii="Arial" w:hAnsi="Arial"/>
                <w:bCs/>
                <w:color w:val="000000"/>
                <w:sz w:val="16"/>
                <w:szCs w:val="16"/>
                <w:lang w:val="en-AU"/>
              </w:rPr>
            </w:pPr>
            <w:r w:rsidRPr="00DA6484">
              <w:rPr>
                <w:rFonts w:ascii="Arial" w:hAnsi="Arial"/>
                <w:bCs/>
                <w:color w:val="000000"/>
                <w:sz w:val="16"/>
                <w:szCs w:val="16"/>
                <w:lang w:val="en-AU"/>
              </w:rPr>
              <w:t>This program is achieve</w:t>
            </w:r>
            <w:r>
              <w:rPr>
                <w:rFonts w:ascii="Arial" w:hAnsi="Arial"/>
                <w:bCs/>
                <w:color w:val="000000"/>
                <w:sz w:val="16"/>
                <w:szCs w:val="16"/>
                <w:lang w:val="en-AU"/>
              </w:rPr>
              <w:t>d through the following activities</w:t>
            </w:r>
            <w:r w:rsidRPr="00DA6484">
              <w:rPr>
                <w:rFonts w:ascii="Arial" w:hAnsi="Arial"/>
                <w:bCs/>
                <w:color w:val="000000"/>
                <w:sz w:val="16"/>
                <w:szCs w:val="16"/>
                <w:lang w:val="en-AU"/>
              </w:rPr>
              <w:t>:</w:t>
            </w:r>
          </w:p>
          <w:p w14:paraId="331D7EFC" w14:textId="77777777" w:rsidR="00321534" w:rsidRDefault="00321534" w:rsidP="00321534">
            <w:pPr>
              <w:tabs>
                <w:tab w:val="left" w:pos="709"/>
              </w:tabs>
              <w:spacing w:before="60" w:after="60"/>
              <w:rPr>
                <w:rFonts w:ascii="Arial" w:hAnsi="Arial"/>
                <w:sz w:val="16"/>
                <w:szCs w:val="16"/>
                <w:lang w:val="en-AU"/>
              </w:rPr>
            </w:pPr>
            <w:r w:rsidRPr="00DA6484">
              <w:rPr>
                <w:rFonts w:ascii="Arial" w:hAnsi="Arial"/>
                <w:b/>
                <w:sz w:val="16"/>
                <w:szCs w:val="16"/>
                <w:lang w:val="en-AU"/>
              </w:rPr>
              <w:t>6. Deliver future capability</w:t>
            </w:r>
            <w:r w:rsidRPr="00DA6484">
              <w:rPr>
                <w:rFonts w:ascii="Arial" w:hAnsi="Arial"/>
                <w:sz w:val="16"/>
                <w:szCs w:val="16"/>
                <w:lang w:val="en-AU"/>
              </w:rPr>
              <w:t>. Defence will accelerate the development of important capabilities over the next decade to build an integrated, focused force across the maritime, land, air, space and cyber domains. This will ensure the Australian Defence Force has the capacity to defend Australia and its national interests in our evolving strategic circumstances and deter adversaries through a strategy of denial.</w:t>
            </w:r>
          </w:p>
          <w:p w14:paraId="0D9D4B43" w14:textId="77777777" w:rsidR="00321534" w:rsidRPr="00DA6484" w:rsidRDefault="00321534" w:rsidP="00321534">
            <w:pPr>
              <w:tabs>
                <w:tab w:val="left" w:pos="709"/>
              </w:tabs>
              <w:spacing w:before="60" w:after="60"/>
              <w:rPr>
                <w:rFonts w:ascii="Arial" w:hAnsi="Arial"/>
                <w:i/>
                <w:color w:val="000000"/>
                <w:sz w:val="16"/>
                <w:szCs w:val="16"/>
              </w:rPr>
            </w:pPr>
            <w:r w:rsidRPr="00DA6484">
              <w:rPr>
                <w:rFonts w:ascii="Arial" w:hAnsi="Arial"/>
                <w:b/>
                <w:sz w:val="16"/>
                <w:szCs w:val="16"/>
                <w:lang w:val="en-AU"/>
              </w:rPr>
              <w:t xml:space="preserve">7. Develop the sovereign defence industrial base required for our national security. </w:t>
            </w:r>
            <w:r w:rsidRPr="00DA6484">
              <w:rPr>
                <w:rFonts w:ascii="Arial" w:hAnsi="Arial"/>
                <w:sz w:val="16"/>
                <w:szCs w:val="16"/>
                <w:lang w:val="en-AU"/>
              </w:rPr>
              <w:t>The Government’s significant investment in Defence over the coming decade will advance Australia’s prosperity through expenditure on defence capabilities, support to new and existing defence industries and the creation of jobs.</w:t>
            </w:r>
          </w:p>
        </w:tc>
      </w:tr>
      <w:tr w:rsidR="00F7100A" w:rsidRPr="00321534" w14:paraId="2CB783DC" w14:textId="77777777" w:rsidTr="005F4285">
        <w:tblPrEx>
          <w:shd w:val="clear" w:color="auto" w:fill="auto"/>
          <w:tblLook w:val="04A0" w:firstRow="1" w:lastRow="0" w:firstColumn="1" w:lastColumn="0" w:noHBand="0" w:noVBand="1"/>
        </w:tblPrEx>
        <w:trPr>
          <w:trHeight w:val="100"/>
        </w:trPr>
        <w:tc>
          <w:tcPr>
            <w:tcW w:w="1671" w:type="dxa"/>
            <w:tcBorders>
              <w:top w:val="single" w:sz="4" w:space="0" w:color="auto"/>
              <w:bottom w:val="single" w:sz="4" w:space="0" w:color="auto"/>
            </w:tcBorders>
          </w:tcPr>
          <w:p w14:paraId="1A137BD0" w14:textId="77777777" w:rsidR="00F7100A" w:rsidRPr="00321534" w:rsidRDefault="00F7100A" w:rsidP="00072EF9">
            <w:pPr>
              <w:tabs>
                <w:tab w:val="left" w:pos="709"/>
              </w:tabs>
              <w:spacing w:before="60" w:after="60"/>
              <w:rPr>
                <w:rFonts w:ascii="Arial" w:hAnsi="Arial"/>
                <w:color w:val="000000"/>
                <w:sz w:val="16"/>
                <w:szCs w:val="16"/>
              </w:rPr>
            </w:pPr>
            <w:r w:rsidRPr="00321534">
              <w:rPr>
                <w:rFonts w:ascii="Arial" w:hAnsi="Arial"/>
                <w:b/>
                <w:color w:val="000000"/>
                <w:sz w:val="16"/>
                <w:szCs w:val="16"/>
              </w:rPr>
              <w:t>Year</w:t>
            </w:r>
          </w:p>
        </w:tc>
        <w:tc>
          <w:tcPr>
            <w:tcW w:w="2884" w:type="dxa"/>
            <w:tcBorders>
              <w:top w:val="single" w:sz="4" w:space="0" w:color="auto"/>
              <w:bottom w:val="single" w:sz="4" w:space="0" w:color="auto"/>
            </w:tcBorders>
          </w:tcPr>
          <w:p w14:paraId="7881A33D" w14:textId="77777777" w:rsidR="00F7100A" w:rsidRPr="00321534" w:rsidRDefault="00F7100A" w:rsidP="00072EF9">
            <w:pPr>
              <w:tabs>
                <w:tab w:val="left" w:pos="709"/>
              </w:tabs>
              <w:spacing w:before="60" w:after="60"/>
              <w:rPr>
                <w:rFonts w:ascii="Arial" w:hAnsi="Arial"/>
                <w:color w:val="000000"/>
              </w:rPr>
            </w:pPr>
            <w:r w:rsidRPr="00321534">
              <w:rPr>
                <w:rFonts w:ascii="Arial" w:hAnsi="Arial"/>
                <w:b/>
                <w:color w:val="000000"/>
                <w:sz w:val="16"/>
                <w:szCs w:val="16"/>
              </w:rPr>
              <w:t>Performance measures</w:t>
            </w:r>
          </w:p>
        </w:tc>
        <w:tc>
          <w:tcPr>
            <w:tcW w:w="3055" w:type="dxa"/>
            <w:gridSpan w:val="2"/>
            <w:tcBorders>
              <w:top w:val="single" w:sz="4" w:space="0" w:color="auto"/>
              <w:bottom w:val="single" w:sz="4" w:space="0" w:color="auto"/>
            </w:tcBorders>
          </w:tcPr>
          <w:p w14:paraId="206062B5" w14:textId="77777777" w:rsidR="00F7100A" w:rsidRPr="00321534" w:rsidRDefault="00F7100A" w:rsidP="00072EF9">
            <w:pPr>
              <w:tabs>
                <w:tab w:val="left" w:pos="709"/>
              </w:tabs>
              <w:spacing w:before="60" w:after="60"/>
              <w:rPr>
                <w:rFonts w:ascii="Arial" w:hAnsi="Arial"/>
                <w:i/>
                <w:color w:val="000000"/>
                <w:sz w:val="16"/>
                <w:szCs w:val="16"/>
              </w:rPr>
            </w:pPr>
            <w:r w:rsidRPr="00321534">
              <w:rPr>
                <w:rFonts w:ascii="Arial" w:hAnsi="Arial"/>
                <w:b/>
                <w:color w:val="000000"/>
                <w:sz w:val="16"/>
                <w:szCs w:val="16"/>
              </w:rPr>
              <w:t>Expected Performance Results</w:t>
            </w:r>
          </w:p>
        </w:tc>
      </w:tr>
      <w:tr w:rsidR="00B41377" w:rsidRPr="00321534" w14:paraId="089E51A8" w14:textId="77777777" w:rsidTr="005F4285">
        <w:tblPrEx>
          <w:shd w:val="clear" w:color="auto" w:fill="auto"/>
          <w:tblLook w:val="04A0" w:firstRow="1" w:lastRow="0" w:firstColumn="1" w:lastColumn="0" w:noHBand="0" w:noVBand="1"/>
        </w:tblPrEx>
        <w:trPr>
          <w:trHeight w:val="620"/>
        </w:trPr>
        <w:tc>
          <w:tcPr>
            <w:tcW w:w="1671" w:type="dxa"/>
            <w:vMerge w:val="restart"/>
            <w:tcBorders>
              <w:top w:val="single" w:sz="4" w:space="0" w:color="auto"/>
              <w:bottom w:val="dotted" w:sz="4" w:space="0" w:color="auto"/>
            </w:tcBorders>
          </w:tcPr>
          <w:p w14:paraId="174A5B0D" w14:textId="77777777" w:rsidR="00B41377" w:rsidRPr="00321534" w:rsidRDefault="00B41377" w:rsidP="00B41377">
            <w:pPr>
              <w:tabs>
                <w:tab w:val="left" w:pos="709"/>
              </w:tabs>
              <w:spacing w:before="0" w:after="0"/>
              <w:rPr>
                <w:rFonts w:ascii="Arial" w:hAnsi="Arial"/>
                <w:color w:val="000000"/>
                <w:sz w:val="16"/>
                <w:szCs w:val="16"/>
              </w:rPr>
            </w:pPr>
            <w:r w:rsidRPr="00321534">
              <w:rPr>
                <w:rFonts w:ascii="Arial" w:hAnsi="Arial"/>
                <w:color w:val="000000"/>
                <w:sz w:val="16"/>
                <w:szCs w:val="16"/>
              </w:rPr>
              <w:t>Current Year</w:t>
            </w:r>
          </w:p>
          <w:p w14:paraId="1A93CA2E" w14:textId="77777777" w:rsidR="00B41377" w:rsidRPr="00321534" w:rsidRDefault="00B41377" w:rsidP="00B41377">
            <w:pPr>
              <w:tabs>
                <w:tab w:val="left" w:pos="709"/>
              </w:tabs>
              <w:spacing w:before="0" w:after="0"/>
              <w:rPr>
                <w:rFonts w:ascii="Arial" w:hAnsi="Arial"/>
                <w:color w:val="000000"/>
                <w:sz w:val="16"/>
                <w:szCs w:val="16"/>
              </w:rPr>
            </w:pPr>
            <w:r w:rsidRPr="00321534">
              <w:rPr>
                <w:rFonts w:ascii="Arial" w:hAnsi="Arial"/>
                <w:color w:val="000000"/>
                <w:sz w:val="16"/>
                <w:szCs w:val="16"/>
              </w:rPr>
              <w:t>2024-25</w:t>
            </w:r>
          </w:p>
        </w:tc>
        <w:tc>
          <w:tcPr>
            <w:tcW w:w="2884" w:type="dxa"/>
            <w:tcBorders>
              <w:top w:val="single" w:sz="4" w:space="0" w:color="auto"/>
              <w:bottom w:val="dotted" w:sz="4" w:space="0" w:color="auto"/>
            </w:tcBorders>
          </w:tcPr>
          <w:p w14:paraId="32C012FD" w14:textId="77777777" w:rsidR="00B41377" w:rsidRPr="00B41377" w:rsidRDefault="00B41377" w:rsidP="0027665E">
            <w:pPr>
              <w:tabs>
                <w:tab w:val="left" w:pos="709"/>
              </w:tabs>
              <w:spacing w:before="60" w:after="60"/>
              <w:rPr>
                <w:rFonts w:ascii="Arial" w:hAnsi="Arial"/>
                <w:color w:val="000000"/>
                <w:sz w:val="16"/>
                <w:szCs w:val="16"/>
              </w:rPr>
            </w:pPr>
            <w:r w:rsidRPr="00B41377">
              <w:rPr>
                <w:rFonts w:ascii="Arial" w:hAnsi="Arial"/>
                <w:sz w:val="16"/>
                <w:szCs w:val="16"/>
                <w:lang w:val="en-AU"/>
              </w:rPr>
              <w:t xml:space="preserve">6.1: Defence is delivering the right future capability at the right time within the Integrated Investment Program to ensure it is equipped to respond to future security challenges as directed by the </w:t>
            </w:r>
            <w:r w:rsidRPr="00E00255">
              <w:rPr>
                <w:rFonts w:ascii="Arial" w:hAnsi="Arial"/>
                <w:i/>
                <w:sz w:val="16"/>
                <w:szCs w:val="16"/>
                <w:lang w:val="en-AU"/>
              </w:rPr>
              <w:t>2024 National Defence Strategy</w:t>
            </w:r>
            <w:r w:rsidRPr="00B41377">
              <w:rPr>
                <w:rFonts w:ascii="Arial" w:hAnsi="Arial"/>
                <w:sz w:val="16"/>
                <w:szCs w:val="16"/>
                <w:lang w:val="en-AU"/>
              </w:rPr>
              <w:t>.</w:t>
            </w:r>
          </w:p>
        </w:tc>
        <w:tc>
          <w:tcPr>
            <w:tcW w:w="3055" w:type="dxa"/>
            <w:gridSpan w:val="2"/>
            <w:tcBorders>
              <w:top w:val="single" w:sz="4" w:space="0" w:color="auto"/>
              <w:bottom w:val="dotted" w:sz="4" w:space="0" w:color="auto"/>
            </w:tcBorders>
          </w:tcPr>
          <w:p w14:paraId="0DA54A4E" w14:textId="77777777" w:rsidR="00B41377" w:rsidRPr="00B41377" w:rsidRDefault="00B41377" w:rsidP="00B41377">
            <w:pPr>
              <w:tabs>
                <w:tab w:val="left" w:pos="709"/>
              </w:tabs>
              <w:spacing w:before="60" w:after="60"/>
              <w:rPr>
                <w:rFonts w:ascii="Arial" w:hAnsi="Arial"/>
                <w:sz w:val="16"/>
                <w:szCs w:val="16"/>
                <w:lang w:val="en-AU"/>
              </w:rPr>
            </w:pPr>
            <w:r w:rsidRPr="00B41377">
              <w:rPr>
                <w:rFonts w:ascii="Arial" w:hAnsi="Arial"/>
                <w:sz w:val="16"/>
                <w:szCs w:val="16"/>
                <w:lang w:val="en-AU"/>
              </w:rPr>
              <w:t>80 per cent or more of approved Integrated Investment Program projects across all domains are on track to deliver the scope approved by Government within Government approved cost and schedule.</w:t>
            </w:r>
          </w:p>
          <w:p w14:paraId="19205660" w14:textId="4AF680FF" w:rsidR="00B41377" w:rsidRPr="00B41377" w:rsidRDefault="00BD4E0F" w:rsidP="00B41377">
            <w:pPr>
              <w:tabs>
                <w:tab w:val="left" w:pos="709"/>
              </w:tabs>
              <w:spacing w:before="60" w:after="60"/>
              <w:jc w:val="right"/>
              <w:rPr>
                <w:rFonts w:ascii="Arial" w:hAnsi="Arial"/>
                <w:sz w:val="16"/>
                <w:szCs w:val="16"/>
              </w:rPr>
            </w:pPr>
            <w:r w:rsidRPr="00BD4E0F">
              <w:rPr>
                <w:rFonts w:ascii="Arial" w:hAnsi="Arial"/>
                <w:i/>
                <w:sz w:val="16"/>
                <w:szCs w:val="16"/>
                <w:lang w:val="en-AU"/>
              </w:rPr>
              <w:t>Expected to be substantially achieved</w:t>
            </w:r>
            <w:r w:rsidR="00B41377" w:rsidRPr="00B41377">
              <w:rPr>
                <w:rFonts w:ascii="Arial" w:hAnsi="Arial"/>
                <w:i/>
                <w:sz w:val="16"/>
                <w:szCs w:val="16"/>
                <w:lang w:val="en-AU"/>
              </w:rPr>
              <w:t>.</w:t>
            </w:r>
          </w:p>
        </w:tc>
      </w:tr>
      <w:tr w:rsidR="00BD4E0F" w:rsidRPr="00321534" w14:paraId="1EACBBC5" w14:textId="77777777" w:rsidTr="005F4285">
        <w:tblPrEx>
          <w:shd w:val="clear" w:color="auto" w:fill="auto"/>
          <w:tblLook w:val="04A0" w:firstRow="1" w:lastRow="0" w:firstColumn="1" w:lastColumn="0" w:noHBand="0" w:noVBand="1"/>
        </w:tblPrEx>
        <w:trPr>
          <w:trHeight w:val="620"/>
        </w:trPr>
        <w:tc>
          <w:tcPr>
            <w:tcW w:w="1671" w:type="dxa"/>
            <w:vMerge/>
            <w:tcBorders>
              <w:top w:val="dotted" w:sz="4" w:space="0" w:color="auto"/>
              <w:bottom w:val="single" w:sz="4" w:space="0" w:color="auto"/>
            </w:tcBorders>
          </w:tcPr>
          <w:p w14:paraId="3CAF5706" w14:textId="77777777" w:rsidR="00BD4E0F" w:rsidRPr="00321534" w:rsidRDefault="00BD4E0F" w:rsidP="00BD4E0F">
            <w:pPr>
              <w:tabs>
                <w:tab w:val="left" w:pos="709"/>
              </w:tabs>
              <w:spacing w:before="0" w:after="0"/>
              <w:rPr>
                <w:rFonts w:ascii="Arial" w:hAnsi="Arial"/>
                <w:color w:val="000000"/>
                <w:sz w:val="16"/>
                <w:szCs w:val="16"/>
              </w:rPr>
            </w:pPr>
          </w:p>
        </w:tc>
        <w:tc>
          <w:tcPr>
            <w:tcW w:w="2884" w:type="dxa"/>
            <w:tcBorders>
              <w:top w:val="dotted" w:sz="4" w:space="0" w:color="auto"/>
              <w:bottom w:val="single" w:sz="4" w:space="0" w:color="auto"/>
            </w:tcBorders>
          </w:tcPr>
          <w:p w14:paraId="2DAA557A" w14:textId="0285F0A4" w:rsidR="00BD4E0F" w:rsidRPr="00BD4E0F" w:rsidRDefault="00BD4E0F" w:rsidP="00BA00D1">
            <w:pPr>
              <w:autoSpaceDE w:val="0"/>
              <w:autoSpaceDN w:val="0"/>
              <w:adjustRightInd w:val="0"/>
              <w:spacing w:before="60" w:after="0"/>
              <w:rPr>
                <w:rFonts w:ascii="Arial" w:hAnsi="Arial"/>
                <w:sz w:val="16"/>
                <w:szCs w:val="16"/>
                <w:lang w:val="en-AU"/>
              </w:rPr>
            </w:pPr>
            <w:r w:rsidRPr="0027665E">
              <w:rPr>
                <w:rFonts w:ascii="Arial" w:hAnsi="Arial"/>
                <w:color w:val="000000"/>
                <w:sz w:val="16"/>
                <w:szCs w:val="16"/>
              </w:rPr>
              <w:t>7.1: Defence strengthens the sovereign defence industr</w:t>
            </w:r>
            <w:r w:rsidR="00BA00D1">
              <w:rPr>
                <w:rFonts w:ascii="Arial" w:hAnsi="Arial"/>
                <w:color w:val="000000"/>
                <w:sz w:val="16"/>
                <w:szCs w:val="16"/>
              </w:rPr>
              <w:t>ial</w:t>
            </w:r>
            <w:r w:rsidRPr="0027665E">
              <w:rPr>
                <w:rFonts w:ascii="Arial" w:hAnsi="Arial"/>
                <w:color w:val="000000"/>
                <w:sz w:val="16"/>
                <w:szCs w:val="16"/>
              </w:rPr>
              <w:t xml:space="preserve"> base across critical industrial capabilities</w:t>
            </w:r>
            <w:r w:rsidRPr="00BD4E0F">
              <w:rPr>
                <w:rFonts w:ascii="Arial" w:hAnsi="Arial"/>
                <w:sz w:val="16"/>
                <w:szCs w:val="16"/>
                <w:lang w:val="en-AU"/>
              </w:rPr>
              <w:t>.</w:t>
            </w:r>
          </w:p>
        </w:tc>
        <w:tc>
          <w:tcPr>
            <w:tcW w:w="3055" w:type="dxa"/>
            <w:gridSpan w:val="2"/>
            <w:tcBorders>
              <w:top w:val="dotted" w:sz="4" w:space="0" w:color="auto"/>
              <w:bottom w:val="single" w:sz="4" w:space="0" w:color="auto"/>
            </w:tcBorders>
          </w:tcPr>
          <w:p w14:paraId="664E3D50" w14:textId="77777777" w:rsidR="00BD4E0F" w:rsidRPr="00BD4E0F" w:rsidRDefault="00BD4E0F" w:rsidP="00BD4E0F">
            <w:pPr>
              <w:tabs>
                <w:tab w:val="left" w:pos="709"/>
              </w:tabs>
              <w:spacing w:before="60" w:after="60"/>
              <w:rPr>
                <w:rFonts w:ascii="Arial" w:hAnsi="Arial"/>
                <w:color w:val="000000"/>
                <w:sz w:val="16"/>
                <w:szCs w:val="16"/>
              </w:rPr>
            </w:pPr>
            <w:r w:rsidRPr="00BD4E0F">
              <w:rPr>
                <w:rFonts w:ascii="Arial" w:hAnsi="Arial"/>
                <w:color w:val="000000"/>
                <w:sz w:val="16"/>
                <w:szCs w:val="16"/>
              </w:rPr>
              <w:t>80 per cent or more of the Defence Industry Development Grant Program budgeted allocation is awarded; supports Australian defence industry in international markets; provides a direct economic contribution to the Australian economy; drives investment in innovation, science and technology to deliver defence priorities; meets or exceeds Indigenous procurement targets; and supports the development of the domestic manufacture of guided weapons, explosive ordnance and munitions.</w:t>
            </w:r>
          </w:p>
          <w:p w14:paraId="172918E5" w14:textId="62930B37" w:rsidR="00BD4E0F" w:rsidRPr="00BD4E0F" w:rsidRDefault="00BD4E0F" w:rsidP="003E4A98">
            <w:pPr>
              <w:tabs>
                <w:tab w:val="left" w:pos="709"/>
              </w:tabs>
              <w:spacing w:before="60" w:after="60"/>
              <w:jc w:val="right"/>
              <w:rPr>
                <w:rFonts w:ascii="Arial" w:hAnsi="Arial"/>
                <w:sz w:val="16"/>
                <w:szCs w:val="16"/>
                <w:lang w:val="en-AU"/>
              </w:rPr>
            </w:pPr>
            <w:r w:rsidRPr="00BD4E0F">
              <w:rPr>
                <w:rFonts w:ascii="Arial" w:hAnsi="Arial"/>
                <w:i/>
                <w:sz w:val="16"/>
                <w:szCs w:val="16"/>
                <w:lang w:val="en-AU"/>
              </w:rPr>
              <w:t>Expected to be achieved.</w:t>
            </w:r>
          </w:p>
        </w:tc>
      </w:tr>
      <w:tr w:rsidR="00F7100A" w:rsidRPr="00321534" w14:paraId="4E990AE0" w14:textId="77777777" w:rsidTr="005F4285">
        <w:tblPrEx>
          <w:shd w:val="clear" w:color="auto" w:fill="auto"/>
          <w:tblLook w:val="04A0" w:firstRow="1" w:lastRow="0" w:firstColumn="1" w:lastColumn="0" w:noHBand="0" w:noVBand="1"/>
        </w:tblPrEx>
        <w:trPr>
          <w:trHeight w:val="258"/>
        </w:trPr>
        <w:tc>
          <w:tcPr>
            <w:tcW w:w="1671" w:type="dxa"/>
            <w:tcBorders>
              <w:top w:val="single" w:sz="4" w:space="0" w:color="auto"/>
              <w:bottom w:val="single" w:sz="4" w:space="0" w:color="auto"/>
            </w:tcBorders>
          </w:tcPr>
          <w:p w14:paraId="63AC3F58" w14:textId="77777777" w:rsidR="00F7100A" w:rsidRPr="00321534" w:rsidRDefault="00F7100A" w:rsidP="00072EF9">
            <w:pPr>
              <w:tabs>
                <w:tab w:val="left" w:pos="709"/>
              </w:tabs>
              <w:spacing w:before="60" w:after="60"/>
              <w:rPr>
                <w:rFonts w:ascii="Arial" w:hAnsi="Arial"/>
                <w:b/>
                <w:color w:val="000000"/>
                <w:sz w:val="16"/>
                <w:szCs w:val="16"/>
              </w:rPr>
            </w:pPr>
            <w:r w:rsidRPr="00321534">
              <w:rPr>
                <w:rFonts w:ascii="Arial" w:hAnsi="Arial"/>
                <w:b/>
                <w:color w:val="000000"/>
                <w:sz w:val="16"/>
                <w:szCs w:val="16"/>
              </w:rPr>
              <w:t>Year</w:t>
            </w:r>
          </w:p>
        </w:tc>
        <w:tc>
          <w:tcPr>
            <w:tcW w:w="2884" w:type="dxa"/>
            <w:tcBorders>
              <w:top w:val="single" w:sz="4" w:space="0" w:color="auto"/>
              <w:bottom w:val="single" w:sz="4" w:space="0" w:color="auto"/>
            </w:tcBorders>
          </w:tcPr>
          <w:p w14:paraId="6206F772" w14:textId="77777777" w:rsidR="00F7100A" w:rsidRPr="00321534" w:rsidRDefault="00F7100A" w:rsidP="00072EF9">
            <w:pPr>
              <w:tabs>
                <w:tab w:val="left" w:pos="709"/>
                <w:tab w:val="center" w:pos="1818"/>
              </w:tabs>
              <w:spacing w:before="60" w:after="60"/>
              <w:rPr>
                <w:rFonts w:ascii="Arial" w:hAnsi="Arial"/>
                <w:b/>
                <w:color w:val="000000"/>
                <w:sz w:val="16"/>
                <w:szCs w:val="16"/>
              </w:rPr>
            </w:pPr>
            <w:r w:rsidRPr="00321534">
              <w:rPr>
                <w:rFonts w:ascii="Arial" w:hAnsi="Arial"/>
                <w:b/>
                <w:color w:val="000000"/>
                <w:sz w:val="16"/>
                <w:szCs w:val="16"/>
              </w:rPr>
              <w:t>Performance measures</w:t>
            </w:r>
          </w:p>
        </w:tc>
        <w:tc>
          <w:tcPr>
            <w:tcW w:w="3055" w:type="dxa"/>
            <w:gridSpan w:val="2"/>
            <w:tcBorders>
              <w:top w:val="single" w:sz="4" w:space="0" w:color="auto"/>
              <w:bottom w:val="single" w:sz="4" w:space="0" w:color="auto"/>
            </w:tcBorders>
          </w:tcPr>
          <w:p w14:paraId="404FC082" w14:textId="77777777" w:rsidR="00F7100A" w:rsidRPr="00321534" w:rsidRDefault="00F7100A" w:rsidP="00072EF9">
            <w:pPr>
              <w:tabs>
                <w:tab w:val="left" w:pos="709"/>
              </w:tabs>
              <w:spacing w:before="60" w:after="60"/>
              <w:rPr>
                <w:rFonts w:ascii="Arial" w:hAnsi="Arial"/>
                <w:b/>
                <w:color w:val="000000"/>
                <w:sz w:val="16"/>
                <w:szCs w:val="16"/>
              </w:rPr>
            </w:pPr>
            <w:r w:rsidRPr="00321534">
              <w:rPr>
                <w:rFonts w:ascii="Arial" w:hAnsi="Arial"/>
                <w:b/>
                <w:color w:val="000000"/>
                <w:sz w:val="16"/>
                <w:szCs w:val="16"/>
              </w:rPr>
              <w:t>Planned Performance Results</w:t>
            </w:r>
          </w:p>
        </w:tc>
      </w:tr>
      <w:tr w:rsidR="00B41377" w:rsidRPr="00321534" w14:paraId="54B2D1E6" w14:textId="77777777" w:rsidTr="005F4285">
        <w:tblPrEx>
          <w:shd w:val="clear" w:color="auto" w:fill="auto"/>
          <w:tblLook w:val="04A0" w:firstRow="1" w:lastRow="0" w:firstColumn="1" w:lastColumn="0" w:noHBand="0" w:noVBand="1"/>
        </w:tblPrEx>
        <w:trPr>
          <w:trHeight w:val="642"/>
        </w:trPr>
        <w:tc>
          <w:tcPr>
            <w:tcW w:w="1671" w:type="dxa"/>
            <w:tcBorders>
              <w:top w:val="single" w:sz="4" w:space="0" w:color="auto"/>
              <w:bottom w:val="single" w:sz="4" w:space="0" w:color="auto"/>
            </w:tcBorders>
          </w:tcPr>
          <w:p w14:paraId="6043106F" w14:textId="77777777" w:rsidR="00B41377" w:rsidRPr="00321534" w:rsidRDefault="00B41377" w:rsidP="00B41377">
            <w:pPr>
              <w:tabs>
                <w:tab w:val="left" w:pos="709"/>
              </w:tabs>
              <w:spacing w:before="0" w:after="0"/>
              <w:rPr>
                <w:rFonts w:ascii="Arial" w:hAnsi="Arial"/>
                <w:color w:val="000000"/>
                <w:sz w:val="16"/>
                <w:szCs w:val="16"/>
              </w:rPr>
            </w:pPr>
            <w:r w:rsidRPr="00321534">
              <w:rPr>
                <w:rFonts w:ascii="Arial" w:hAnsi="Arial"/>
                <w:color w:val="000000"/>
                <w:sz w:val="16"/>
                <w:szCs w:val="16"/>
              </w:rPr>
              <w:t>Budget Year</w:t>
            </w:r>
          </w:p>
          <w:p w14:paraId="07DA6318" w14:textId="77777777" w:rsidR="00B41377" w:rsidRPr="00321534" w:rsidRDefault="00B41377" w:rsidP="00B41377">
            <w:pPr>
              <w:tabs>
                <w:tab w:val="left" w:pos="709"/>
              </w:tabs>
              <w:spacing w:before="0" w:after="0"/>
              <w:rPr>
                <w:rFonts w:ascii="Arial" w:hAnsi="Arial"/>
                <w:color w:val="000000"/>
                <w:sz w:val="16"/>
                <w:szCs w:val="16"/>
              </w:rPr>
            </w:pPr>
            <w:r w:rsidRPr="00321534">
              <w:rPr>
                <w:rFonts w:ascii="Arial" w:hAnsi="Arial"/>
                <w:color w:val="000000"/>
                <w:sz w:val="16"/>
                <w:szCs w:val="16"/>
              </w:rPr>
              <w:t>2025-26</w:t>
            </w:r>
            <w:r>
              <w:rPr>
                <w:rFonts w:ascii="Arial" w:hAnsi="Arial"/>
                <w:color w:val="000000"/>
                <w:sz w:val="16"/>
                <w:szCs w:val="16"/>
              </w:rPr>
              <w:t xml:space="preserve"> </w:t>
            </w:r>
            <w:r w:rsidRPr="00B41377">
              <w:rPr>
                <w:rFonts w:ascii="Arial" w:hAnsi="Arial"/>
                <w:color w:val="000000"/>
                <w:sz w:val="16"/>
                <w:szCs w:val="16"/>
                <w:vertAlign w:val="superscript"/>
              </w:rPr>
              <w:t>[a]</w:t>
            </w:r>
          </w:p>
        </w:tc>
        <w:tc>
          <w:tcPr>
            <w:tcW w:w="2884" w:type="dxa"/>
            <w:tcBorders>
              <w:top w:val="single" w:sz="4" w:space="0" w:color="auto"/>
              <w:bottom w:val="single" w:sz="4" w:space="0" w:color="auto"/>
            </w:tcBorders>
          </w:tcPr>
          <w:p w14:paraId="6018515B" w14:textId="77777777" w:rsidR="00B41377" w:rsidRPr="00B41377" w:rsidRDefault="00B41377" w:rsidP="0027665E">
            <w:pPr>
              <w:tabs>
                <w:tab w:val="left" w:pos="709"/>
              </w:tabs>
              <w:spacing w:before="60" w:after="60"/>
              <w:rPr>
                <w:rFonts w:ascii="Arial" w:hAnsi="Arial"/>
                <w:color w:val="000000"/>
                <w:sz w:val="16"/>
                <w:szCs w:val="16"/>
              </w:rPr>
            </w:pPr>
            <w:r w:rsidRPr="00B41377">
              <w:rPr>
                <w:rFonts w:ascii="Arial" w:hAnsi="Arial"/>
                <w:sz w:val="16"/>
                <w:szCs w:val="16"/>
                <w:lang w:val="en-AU"/>
              </w:rPr>
              <w:t xml:space="preserve">6.1: Defence is delivering the right future capability at the right time within the Integrated Investment Program to ensure it is equipped to respond to future security challenges as directed by the </w:t>
            </w:r>
            <w:r w:rsidRPr="00E00255">
              <w:rPr>
                <w:rFonts w:ascii="Arial" w:hAnsi="Arial"/>
                <w:i/>
                <w:sz w:val="16"/>
                <w:szCs w:val="16"/>
                <w:lang w:val="en-AU"/>
              </w:rPr>
              <w:t>2024 National Defence Strategy</w:t>
            </w:r>
            <w:r w:rsidRPr="00B41377">
              <w:rPr>
                <w:rFonts w:ascii="Arial" w:hAnsi="Arial"/>
                <w:sz w:val="16"/>
                <w:szCs w:val="16"/>
                <w:lang w:val="en-AU"/>
              </w:rPr>
              <w:t>.</w:t>
            </w:r>
          </w:p>
        </w:tc>
        <w:tc>
          <w:tcPr>
            <w:tcW w:w="3055" w:type="dxa"/>
            <w:gridSpan w:val="2"/>
            <w:tcBorders>
              <w:top w:val="single" w:sz="4" w:space="0" w:color="auto"/>
              <w:bottom w:val="single" w:sz="4" w:space="0" w:color="auto"/>
            </w:tcBorders>
          </w:tcPr>
          <w:p w14:paraId="1FF5EE65" w14:textId="77777777" w:rsidR="00B41377" w:rsidRPr="00B41377" w:rsidRDefault="00B41377" w:rsidP="00B41377">
            <w:pPr>
              <w:tabs>
                <w:tab w:val="left" w:pos="709"/>
              </w:tabs>
              <w:spacing w:before="60" w:after="60"/>
              <w:rPr>
                <w:rFonts w:ascii="Arial" w:hAnsi="Arial"/>
                <w:sz w:val="16"/>
                <w:szCs w:val="16"/>
                <w:lang w:val="en-AU"/>
              </w:rPr>
            </w:pPr>
            <w:r w:rsidRPr="00B41377">
              <w:rPr>
                <w:rFonts w:ascii="Arial" w:hAnsi="Arial"/>
                <w:sz w:val="16"/>
                <w:szCs w:val="16"/>
                <w:lang w:val="en-AU"/>
              </w:rPr>
              <w:t>80 per cent or more of approved Integrated Investment Program projects across all domains are on track to deliver the scope approved by Government within Government approved cost and schedule.</w:t>
            </w:r>
          </w:p>
          <w:p w14:paraId="38C76678" w14:textId="38CE93DF" w:rsidR="00B41377" w:rsidRPr="00B41377" w:rsidRDefault="00B41377" w:rsidP="00B41377">
            <w:pPr>
              <w:tabs>
                <w:tab w:val="left" w:pos="709"/>
              </w:tabs>
              <w:spacing w:before="60" w:after="60"/>
              <w:jc w:val="right"/>
              <w:rPr>
                <w:rFonts w:ascii="Arial" w:hAnsi="Arial"/>
                <w:sz w:val="16"/>
                <w:szCs w:val="16"/>
              </w:rPr>
            </w:pPr>
          </w:p>
        </w:tc>
      </w:tr>
      <w:tr w:rsidR="00C626B3" w:rsidRPr="00321534" w14:paraId="24388B2E" w14:textId="77777777" w:rsidTr="005F4285">
        <w:tblPrEx>
          <w:shd w:val="clear" w:color="auto" w:fill="auto"/>
          <w:tblLook w:val="04A0" w:firstRow="1" w:lastRow="0" w:firstColumn="1" w:lastColumn="0" w:noHBand="0" w:noVBand="1"/>
        </w:tblPrEx>
        <w:trPr>
          <w:trHeight w:val="245"/>
        </w:trPr>
        <w:tc>
          <w:tcPr>
            <w:tcW w:w="1671" w:type="dxa"/>
            <w:tcBorders>
              <w:top w:val="single" w:sz="4" w:space="0" w:color="auto"/>
              <w:bottom w:val="single" w:sz="4" w:space="0" w:color="auto"/>
            </w:tcBorders>
          </w:tcPr>
          <w:p w14:paraId="5E992BB2" w14:textId="5BA83295" w:rsidR="00C626B3" w:rsidRPr="00321534" w:rsidRDefault="00C626B3" w:rsidP="00C626B3">
            <w:pPr>
              <w:pageBreakBefore/>
              <w:tabs>
                <w:tab w:val="left" w:pos="709"/>
              </w:tabs>
              <w:spacing w:before="0" w:after="0"/>
              <w:rPr>
                <w:rFonts w:ascii="Arial" w:hAnsi="Arial"/>
                <w:color w:val="000000"/>
                <w:sz w:val="16"/>
                <w:szCs w:val="16"/>
              </w:rPr>
            </w:pPr>
            <w:r w:rsidRPr="00321534">
              <w:rPr>
                <w:rFonts w:ascii="Arial" w:hAnsi="Arial"/>
                <w:b/>
                <w:color w:val="000000"/>
                <w:sz w:val="16"/>
                <w:szCs w:val="16"/>
              </w:rPr>
              <w:lastRenderedPageBreak/>
              <w:t>Year</w:t>
            </w:r>
          </w:p>
        </w:tc>
        <w:tc>
          <w:tcPr>
            <w:tcW w:w="2884" w:type="dxa"/>
            <w:tcBorders>
              <w:top w:val="single" w:sz="4" w:space="0" w:color="auto"/>
              <w:bottom w:val="single" w:sz="4" w:space="0" w:color="auto"/>
            </w:tcBorders>
          </w:tcPr>
          <w:p w14:paraId="352E4712" w14:textId="5EA9599D" w:rsidR="00C626B3" w:rsidRPr="00B41377" w:rsidRDefault="00C626B3" w:rsidP="00C626B3">
            <w:pPr>
              <w:autoSpaceDE w:val="0"/>
              <w:autoSpaceDN w:val="0"/>
              <w:adjustRightInd w:val="0"/>
              <w:spacing w:before="0" w:after="0"/>
              <w:rPr>
                <w:rFonts w:ascii="Arial" w:hAnsi="Arial"/>
                <w:sz w:val="16"/>
                <w:szCs w:val="16"/>
                <w:lang w:val="en-AU"/>
              </w:rPr>
            </w:pPr>
            <w:r w:rsidRPr="00321534">
              <w:rPr>
                <w:rFonts w:ascii="Arial" w:hAnsi="Arial"/>
                <w:b/>
                <w:color w:val="000000"/>
                <w:sz w:val="16"/>
                <w:szCs w:val="16"/>
              </w:rPr>
              <w:t>Performance measures</w:t>
            </w:r>
          </w:p>
        </w:tc>
        <w:tc>
          <w:tcPr>
            <w:tcW w:w="3055" w:type="dxa"/>
            <w:gridSpan w:val="2"/>
            <w:tcBorders>
              <w:top w:val="single" w:sz="4" w:space="0" w:color="auto"/>
              <w:bottom w:val="single" w:sz="4" w:space="0" w:color="auto"/>
            </w:tcBorders>
          </w:tcPr>
          <w:p w14:paraId="4B695D99" w14:textId="21DFD3EC" w:rsidR="00C626B3" w:rsidRPr="00B41377" w:rsidRDefault="00C626B3" w:rsidP="00BC2119">
            <w:pPr>
              <w:pageBreakBefore/>
              <w:tabs>
                <w:tab w:val="left" w:pos="709"/>
              </w:tabs>
              <w:spacing w:before="0" w:after="0"/>
              <w:rPr>
                <w:rFonts w:ascii="Arial" w:hAnsi="Arial"/>
                <w:sz w:val="16"/>
                <w:szCs w:val="16"/>
                <w:lang w:val="en-AU"/>
              </w:rPr>
            </w:pPr>
            <w:r w:rsidRPr="00321534">
              <w:rPr>
                <w:rFonts w:ascii="Arial" w:hAnsi="Arial"/>
                <w:b/>
                <w:color w:val="000000"/>
                <w:sz w:val="16"/>
                <w:szCs w:val="16"/>
              </w:rPr>
              <w:t>Planned Performance Results</w:t>
            </w:r>
          </w:p>
        </w:tc>
      </w:tr>
      <w:tr w:rsidR="00C626B3" w:rsidRPr="00321534" w14:paraId="3E3FA8EC" w14:textId="77777777" w:rsidTr="005F4285">
        <w:tblPrEx>
          <w:shd w:val="clear" w:color="auto" w:fill="auto"/>
          <w:tblLook w:val="04A0" w:firstRow="1" w:lastRow="0" w:firstColumn="1" w:lastColumn="0" w:noHBand="0" w:noVBand="1"/>
        </w:tblPrEx>
        <w:trPr>
          <w:trHeight w:val="2692"/>
        </w:trPr>
        <w:tc>
          <w:tcPr>
            <w:tcW w:w="1671" w:type="dxa"/>
            <w:tcBorders>
              <w:top w:val="single" w:sz="4" w:space="0" w:color="auto"/>
              <w:bottom w:val="single" w:sz="4" w:space="0" w:color="auto"/>
            </w:tcBorders>
          </w:tcPr>
          <w:p w14:paraId="25700448" w14:textId="77777777" w:rsidR="00C626B3" w:rsidRPr="00321534" w:rsidRDefault="00C626B3" w:rsidP="00C626B3">
            <w:pPr>
              <w:tabs>
                <w:tab w:val="left" w:pos="709"/>
              </w:tabs>
              <w:spacing w:before="0" w:after="0"/>
              <w:rPr>
                <w:rFonts w:ascii="Arial" w:hAnsi="Arial"/>
                <w:color w:val="000000"/>
                <w:sz w:val="16"/>
                <w:szCs w:val="16"/>
              </w:rPr>
            </w:pPr>
            <w:r w:rsidRPr="00321534">
              <w:rPr>
                <w:rFonts w:ascii="Arial" w:hAnsi="Arial"/>
                <w:color w:val="000000"/>
                <w:sz w:val="16"/>
                <w:szCs w:val="16"/>
              </w:rPr>
              <w:t>Budget Year</w:t>
            </w:r>
          </w:p>
          <w:p w14:paraId="6B2B4942" w14:textId="5560FB5F" w:rsidR="00C626B3" w:rsidRPr="00321534" w:rsidRDefault="00C626B3" w:rsidP="00C626B3">
            <w:pPr>
              <w:tabs>
                <w:tab w:val="left" w:pos="709"/>
              </w:tabs>
              <w:spacing w:before="0" w:after="0"/>
              <w:rPr>
                <w:rFonts w:ascii="Arial" w:hAnsi="Arial"/>
                <w:color w:val="000000"/>
                <w:sz w:val="16"/>
                <w:szCs w:val="16"/>
              </w:rPr>
            </w:pPr>
            <w:r w:rsidRPr="00321534">
              <w:rPr>
                <w:rFonts w:ascii="Arial" w:hAnsi="Arial"/>
                <w:color w:val="000000"/>
                <w:sz w:val="16"/>
                <w:szCs w:val="16"/>
              </w:rPr>
              <w:t>2025-26</w:t>
            </w:r>
            <w:r>
              <w:rPr>
                <w:rFonts w:ascii="Arial" w:hAnsi="Arial"/>
                <w:color w:val="000000"/>
                <w:sz w:val="16"/>
                <w:szCs w:val="16"/>
              </w:rPr>
              <w:t xml:space="preserve"> </w:t>
            </w:r>
            <w:r w:rsidRPr="00B41377">
              <w:rPr>
                <w:rFonts w:ascii="Arial" w:hAnsi="Arial"/>
                <w:color w:val="000000"/>
                <w:sz w:val="16"/>
                <w:szCs w:val="16"/>
                <w:vertAlign w:val="superscript"/>
              </w:rPr>
              <w:t>[a]</w:t>
            </w:r>
          </w:p>
        </w:tc>
        <w:tc>
          <w:tcPr>
            <w:tcW w:w="2884" w:type="dxa"/>
            <w:tcBorders>
              <w:top w:val="single" w:sz="4" w:space="0" w:color="auto"/>
              <w:bottom w:val="single" w:sz="4" w:space="0" w:color="auto"/>
            </w:tcBorders>
          </w:tcPr>
          <w:p w14:paraId="76A6479C" w14:textId="10C5C39D" w:rsidR="00C626B3" w:rsidRPr="00BD4E0F" w:rsidRDefault="00C626B3" w:rsidP="00BA00D1">
            <w:pPr>
              <w:tabs>
                <w:tab w:val="left" w:pos="709"/>
              </w:tabs>
              <w:spacing w:before="60" w:after="60"/>
              <w:rPr>
                <w:rFonts w:ascii="Arial" w:hAnsi="Arial"/>
                <w:sz w:val="16"/>
                <w:szCs w:val="16"/>
                <w:lang w:val="en-AU"/>
              </w:rPr>
            </w:pPr>
            <w:r w:rsidRPr="0027665E">
              <w:rPr>
                <w:rFonts w:ascii="Arial" w:hAnsi="Arial"/>
                <w:color w:val="000000"/>
                <w:sz w:val="16"/>
                <w:szCs w:val="16"/>
              </w:rPr>
              <w:t>7.1: Defence strengthens the sovereign defence industr</w:t>
            </w:r>
            <w:r w:rsidR="00BA00D1">
              <w:rPr>
                <w:rFonts w:ascii="Arial" w:hAnsi="Arial"/>
                <w:color w:val="000000"/>
                <w:sz w:val="16"/>
                <w:szCs w:val="16"/>
              </w:rPr>
              <w:t>ial</w:t>
            </w:r>
            <w:r w:rsidRPr="0027665E">
              <w:rPr>
                <w:rFonts w:ascii="Arial" w:hAnsi="Arial"/>
                <w:color w:val="000000"/>
                <w:sz w:val="16"/>
                <w:szCs w:val="16"/>
              </w:rPr>
              <w:t xml:space="preserve"> base across critical industrial capabilities.</w:t>
            </w:r>
          </w:p>
        </w:tc>
        <w:tc>
          <w:tcPr>
            <w:tcW w:w="3055" w:type="dxa"/>
            <w:gridSpan w:val="2"/>
            <w:tcBorders>
              <w:top w:val="single" w:sz="4" w:space="0" w:color="auto"/>
              <w:bottom w:val="single" w:sz="4" w:space="0" w:color="auto"/>
            </w:tcBorders>
          </w:tcPr>
          <w:p w14:paraId="2CADAB17" w14:textId="77777777" w:rsidR="00C626B3" w:rsidRPr="00BD4E0F" w:rsidRDefault="00C626B3" w:rsidP="00C626B3">
            <w:pPr>
              <w:tabs>
                <w:tab w:val="left" w:pos="709"/>
              </w:tabs>
              <w:spacing w:before="60" w:after="60"/>
              <w:rPr>
                <w:rFonts w:ascii="Arial" w:hAnsi="Arial"/>
                <w:color w:val="000000"/>
                <w:sz w:val="16"/>
                <w:szCs w:val="16"/>
              </w:rPr>
            </w:pPr>
            <w:r w:rsidRPr="00BD4E0F">
              <w:rPr>
                <w:rFonts w:ascii="Arial" w:hAnsi="Arial"/>
                <w:color w:val="000000"/>
                <w:sz w:val="16"/>
                <w:szCs w:val="16"/>
              </w:rPr>
              <w:t>80 per cent or more of the Defence Industry Development Grant Program budgeted allocation is awarded; supports Australian defence industry in international markets; provides a direct economic contribution to the Australian economy; drives investment in innovation, science and technology to deliver defence priorities; meets or exceeds Indigenous procurement targets; and supports the development of the domestic manufacture of guided weapons, explosive ordnance and munitions.</w:t>
            </w:r>
          </w:p>
          <w:p w14:paraId="64161565" w14:textId="0DF93688" w:rsidR="00C626B3" w:rsidRPr="00BD4E0F" w:rsidRDefault="00C626B3" w:rsidP="00C626B3">
            <w:pPr>
              <w:spacing w:before="60" w:after="60"/>
              <w:rPr>
                <w:rFonts w:ascii="Arial" w:hAnsi="Arial"/>
                <w:i/>
                <w:color w:val="000000"/>
                <w:sz w:val="16"/>
                <w:szCs w:val="16"/>
              </w:rPr>
            </w:pPr>
          </w:p>
        </w:tc>
      </w:tr>
      <w:tr w:rsidR="00C626B3" w:rsidRPr="00321534" w14:paraId="4D1865C4" w14:textId="77777777" w:rsidTr="005F4285">
        <w:tblPrEx>
          <w:shd w:val="clear" w:color="auto" w:fill="auto"/>
          <w:tblLook w:val="04A0" w:firstRow="1" w:lastRow="0" w:firstColumn="1" w:lastColumn="0" w:noHBand="0" w:noVBand="1"/>
        </w:tblPrEx>
        <w:trPr>
          <w:trHeight w:val="491"/>
        </w:trPr>
        <w:tc>
          <w:tcPr>
            <w:tcW w:w="1671" w:type="dxa"/>
            <w:tcBorders>
              <w:top w:val="single" w:sz="4" w:space="0" w:color="auto"/>
              <w:bottom w:val="single" w:sz="4" w:space="0" w:color="auto"/>
            </w:tcBorders>
          </w:tcPr>
          <w:p w14:paraId="2B40286C" w14:textId="77777777" w:rsidR="00C626B3" w:rsidRPr="00321534" w:rsidRDefault="00C626B3" w:rsidP="00C626B3">
            <w:pPr>
              <w:keepNext/>
              <w:keepLines/>
              <w:tabs>
                <w:tab w:val="left" w:pos="709"/>
              </w:tabs>
              <w:spacing w:before="0" w:after="0"/>
              <w:rPr>
                <w:rFonts w:ascii="Arial" w:hAnsi="Arial"/>
                <w:color w:val="000000"/>
                <w:sz w:val="16"/>
                <w:szCs w:val="16"/>
              </w:rPr>
            </w:pPr>
            <w:r w:rsidRPr="00321534">
              <w:rPr>
                <w:rFonts w:ascii="Arial" w:hAnsi="Arial"/>
                <w:color w:val="000000"/>
                <w:sz w:val="16"/>
                <w:szCs w:val="16"/>
              </w:rPr>
              <w:t>Forward Estimates</w:t>
            </w:r>
          </w:p>
          <w:p w14:paraId="575B8409" w14:textId="77777777" w:rsidR="00C626B3" w:rsidRPr="00321534" w:rsidRDefault="00C626B3" w:rsidP="00C626B3">
            <w:pPr>
              <w:tabs>
                <w:tab w:val="left" w:pos="709"/>
              </w:tabs>
              <w:spacing w:before="0" w:after="0"/>
              <w:rPr>
                <w:rFonts w:ascii="Arial" w:hAnsi="Arial"/>
                <w:color w:val="000000"/>
                <w:sz w:val="16"/>
                <w:szCs w:val="16"/>
              </w:rPr>
            </w:pPr>
            <w:r w:rsidRPr="00321534">
              <w:rPr>
                <w:rFonts w:ascii="Arial" w:hAnsi="Arial"/>
                <w:color w:val="000000"/>
                <w:sz w:val="16"/>
                <w:szCs w:val="16"/>
              </w:rPr>
              <w:t>2026-29</w:t>
            </w:r>
          </w:p>
        </w:tc>
        <w:tc>
          <w:tcPr>
            <w:tcW w:w="2884" w:type="dxa"/>
            <w:tcBorders>
              <w:top w:val="single" w:sz="4" w:space="0" w:color="auto"/>
              <w:bottom w:val="single" w:sz="4" w:space="0" w:color="auto"/>
            </w:tcBorders>
          </w:tcPr>
          <w:p w14:paraId="6CE52E13" w14:textId="77777777" w:rsidR="00C626B3" w:rsidRPr="00321534" w:rsidRDefault="00C626B3" w:rsidP="00C626B3">
            <w:pPr>
              <w:tabs>
                <w:tab w:val="left" w:pos="709"/>
              </w:tabs>
              <w:spacing w:before="60" w:after="60"/>
              <w:rPr>
                <w:rFonts w:ascii="Arial" w:hAnsi="Arial"/>
                <w:b/>
                <w:color w:val="000000"/>
                <w:sz w:val="16"/>
                <w:szCs w:val="16"/>
              </w:rPr>
            </w:pPr>
            <w:r w:rsidRPr="00321534">
              <w:rPr>
                <w:rFonts w:ascii="Arial" w:hAnsi="Arial"/>
                <w:color w:val="000000"/>
                <w:sz w:val="16"/>
                <w:szCs w:val="16"/>
              </w:rPr>
              <w:t>As per 202</w:t>
            </w:r>
            <w:r>
              <w:rPr>
                <w:rFonts w:ascii="Arial" w:hAnsi="Arial"/>
                <w:color w:val="000000"/>
                <w:sz w:val="16"/>
                <w:szCs w:val="16"/>
              </w:rPr>
              <w:t>5</w:t>
            </w:r>
            <w:r w:rsidRPr="00321534">
              <w:rPr>
                <w:rFonts w:ascii="Arial" w:hAnsi="Arial"/>
                <w:color w:val="000000"/>
                <w:sz w:val="16"/>
                <w:szCs w:val="16"/>
              </w:rPr>
              <w:t>-2</w:t>
            </w:r>
            <w:r>
              <w:rPr>
                <w:rFonts w:ascii="Arial" w:hAnsi="Arial"/>
                <w:color w:val="000000"/>
                <w:sz w:val="16"/>
                <w:szCs w:val="16"/>
              </w:rPr>
              <w:t>6</w:t>
            </w:r>
            <w:r w:rsidRPr="00321534">
              <w:rPr>
                <w:rFonts w:ascii="Arial" w:hAnsi="Arial"/>
                <w:color w:val="000000"/>
                <w:sz w:val="16"/>
                <w:szCs w:val="16"/>
              </w:rPr>
              <w:t>.</w:t>
            </w:r>
          </w:p>
        </w:tc>
        <w:tc>
          <w:tcPr>
            <w:tcW w:w="3055" w:type="dxa"/>
            <w:gridSpan w:val="2"/>
            <w:tcBorders>
              <w:top w:val="single" w:sz="4" w:space="0" w:color="auto"/>
              <w:bottom w:val="single" w:sz="4" w:space="0" w:color="auto"/>
            </w:tcBorders>
          </w:tcPr>
          <w:p w14:paraId="2F2582D1" w14:textId="77777777" w:rsidR="00C626B3" w:rsidRPr="00321534" w:rsidRDefault="00C626B3" w:rsidP="00C626B3">
            <w:pPr>
              <w:tabs>
                <w:tab w:val="left" w:pos="709"/>
              </w:tabs>
              <w:spacing w:before="60" w:after="60"/>
              <w:rPr>
                <w:rFonts w:ascii="Arial" w:hAnsi="Arial"/>
                <w:b/>
                <w:color w:val="000000"/>
                <w:sz w:val="16"/>
                <w:szCs w:val="16"/>
              </w:rPr>
            </w:pPr>
            <w:r w:rsidRPr="00321534">
              <w:rPr>
                <w:rFonts w:ascii="Arial" w:hAnsi="Arial"/>
                <w:color w:val="000000"/>
                <w:sz w:val="16"/>
                <w:szCs w:val="16"/>
              </w:rPr>
              <w:t>As per 202</w:t>
            </w:r>
            <w:r>
              <w:rPr>
                <w:rFonts w:ascii="Arial" w:hAnsi="Arial"/>
                <w:color w:val="000000"/>
                <w:sz w:val="16"/>
                <w:szCs w:val="16"/>
              </w:rPr>
              <w:t>5</w:t>
            </w:r>
            <w:r w:rsidRPr="00321534">
              <w:rPr>
                <w:rFonts w:ascii="Arial" w:hAnsi="Arial"/>
                <w:color w:val="000000"/>
                <w:sz w:val="16"/>
                <w:szCs w:val="16"/>
              </w:rPr>
              <w:t>-2</w:t>
            </w:r>
            <w:r>
              <w:rPr>
                <w:rFonts w:ascii="Arial" w:hAnsi="Arial"/>
                <w:color w:val="000000"/>
                <w:sz w:val="16"/>
                <w:szCs w:val="16"/>
              </w:rPr>
              <w:t>6</w:t>
            </w:r>
            <w:r w:rsidRPr="00321534">
              <w:rPr>
                <w:rFonts w:ascii="Arial" w:hAnsi="Arial"/>
                <w:color w:val="000000"/>
                <w:sz w:val="16"/>
                <w:szCs w:val="16"/>
              </w:rPr>
              <w:t>.</w:t>
            </w:r>
          </w:p>
        </w:tc>
      </w:tr>
      <w:tr w:rsidR="00C626B3" w:rsidRPr="00BA1388" w14:paraId="225A27C4" w14:textId="77777777" w:rsidTr="005F4285">
        <w:tblPrEx>
          <w:shd w:val="clear" w:color="auto" w:fill="auto"/>
          <w:tblLook w:val="04A0" w:firstRow="1" w:lastRow="0" w:firstColumn="1" w:lastColumn="0" w:noHBand="0" w:noVBand="1"/>
        </w:tblPrEx>
        <w:trPr>
          <w:trHeight w:val="291"/>
        </w:trPr>
        <w:tc>
          <w:tcPr>
            <w:tcW w:w="7610" w:type="dxa"/>
            <w:gridSpan w:val="4"/>
            <w:tcBorders>
              <w:top w:val="single" w:sz="4" w:space="0" w:color="auto"/>
              <w:bottom w:val="single" w:sz="4" w:space="0" w:color="auto"/>
            </w:tcBorders>
          </w:tcPr>
          <w:p w14:paraId="3C04E1E0" w14:textId="6AB4D12E" w:rsidR="00C626B3" w:rsidRPr="00321534" w:rsidRDefault="00C626B3" w:rsidP="00C626B3">
            <w:pPr>
              <w:tabs>
                <w:tab w:val="left" w:pos="709"/>
              </w:tabs>
              <w:spacing w:before="60" w:after="60"/>
              <w:rPr>
                <w:rFonts w:ascii="Arial" w:eastAsia="Cambria" w:hAnsi="Arial"/>
                <w:bCs/>
                <w:iCs/>
                <w:color w:val="000000"/>
                <w:spacing w:val="-6"/>
                <w:sz w:val="16"/>
                <w:szCs w:val="16"/>
                <w:lang w:val="x-none"/>
              </w:rPr>
            </w:pPr>
            <w:r w:rsidRPr="00321534">
              <w:rPr>
                <w:rFonts w:ascii="Arial" w:hAnsi="Arial"/>
                <w:color w:val="000000"/>
                <w:sz w:val="16"/>
                <w:szCs w:val="16"/>
              </w:rPr>
              <w:t>Material changes to Program 2.15 resulting from 202</w:t>
            </w:r>
            <w:r>
              <w:rPr>
                <w:rFonts w:ascii="Arial" w:hAnsi="Arial"/>
                <w:color w:val="000000"/>
                <w:sz w:val="16"/>
                <w:szCs w:val="16"/>
              </w:rPr>
              <w:t>5</w:t>
            </w:r>
            <w:r w:rsidRPr="00321534">
              <w:rPr>
                <w:rFonts w:ascii="Arial" w:hAnsi="Arial"/>
                <w:color w:val="000000"/>
                <w:sz w:val="16"/>
                <w:szCs w:val="16"/>
              </w:rPr>
              <w:t>-2</w:t>
            </w:r>
            <w:r>
              <w:rPr>
                <w:rFonts w:ascii="Arial" w:hAnsi="Arial"/>
                <w:color w:val="000000"/>
                <w:sz w:val="16"/>
                <w:szCs w:val="16"/>
              </w:rPr>
              <w:t>6</w:t>
            </w:r>
            <w:r w:rsidRPr="00321534">
              <w:rPr>
                <w:rFonts w:ascii="Arial" w:hAnsi="Arial"/>
                <w:color w:val="000000"/>
                <w:sz w:val="16"/>
                <w:szCs w:val="16"/>
              </w:rPr>
              <w:t xml:space="preserve"> Budget Measures:</w:t>
            </w:r>
            <w:r w:rsidRPr="00321534">
              <w:rPr>
                <w:rStyle w:val="BodyTextChar"/>
                <w:rFonts w:ascii="Arial" w:hAnsi="Arial"/>
                <w:bCs/>
                <w:iCs/>
                <w:color w:val="000000"/>
                <w:spacing w:val="-6"/>
                <w:sz w:val="16"/>
                <w:szCs w:val="16"/>
              </w:rPr>
              <w:t xml:space="preserve"> Nil.</w:t>
            </w:r>
          </w:p>
        </w:tc>
      </w:tr>
    </w:tbl>
    <w:p w14:paraId="77B4586D" w14:textId="77777777" w:rsidR="00F7100A" w:rsidRPr="00BA1388" w:rsidRDefault="00F7100A" w:rsidP="00F7100A">
      <w:pPr>
        <w:pStyle w:val="TableHeading"/>
        <w:spacing w:before="0" w:after="0"/>
        <w:rPr>
          <w:sz w:val="16"/>
          <w:szCs w:val="16"/>
          <w:highlight w:val="yellow"/>
        </w:rPr>
      </w:pPr>
    </w:p>
    <w:p w14:paraId="5CB13FB6" w14:textId="77777777" w:rsidR="00F7100A" w:rsidRPr="00B41377" w:rsidRDefault="00F7100A" w:rsidP="00F7100A">
      <w:pPr>
        <w:pStyle w:val="TableHeading"/>
        <w:spacing w:before="0" w:after="0"/>
        <w:rPr>
          <w:sz w:val="14"/>
          <w:szCs w:val="14"/>
        </w:rPr>
      </w:pPr>
      <w:r w:rsidRPr="00B41377">
        <w:rPr>
          <w:sz w:val="14"/>
          <w:szCs w:val="14"/>
        </w:rPr>
        <w:t>Note</w:t>
      </w:r>
    </w:p>
    <w:p w14:paraId="1D93E5BF" w14:textId="7210C206" w:rsidR="009737EB" w:rsidRDefault="00BD4E0F" w:rsidP="00BD4E0F">
      <w:pPr>
        <w:pStyle w:val="TableHeading"/>
        <w:numPr>
          <w:ilvl w:val="1"/>
          <w:numId w:val="26"/>
        </w:numPr>
        <w:tabs>
          <w:tab w:val="left" w:pos="284"/>
        </w:tabs>
        <w:spacing w:before="0" w:after="0"/>
        <w:ind w:left="284" w:hanging="284"/>
        <w:rPr>
          <w:b w:val="0"/>
          <w:sz w:val="14"/>
          <w:szCs w:val="14"/>
          <w:lang w:val="en-AU"/>
        </w:rPr>
      </w:pPr>
      <w:r w:rsidRPr="00BD4E0F">
        <w:rPr>
          <w:b w:val="0"/>
          <w:sz w:val="14"/>
          <w:szCs w:val="14"/>
          <w:lang w:val="en-AU"/>
        </w:rPr>
        <w:t>In accordance with Defence’s Enterprise Performance Framework, Defence is undertaking materiality assessments that may result in updates to the 2025-26 performance information in the 2025-29 Defence Corporate Plan, if required</w:t>
      </w:r>
      <w:r w:rsidR="009737EB" w:rsidRPr="00BD4E0F">
        <w:rPr>
          <w:b w:val="0"/>
          <w:sz w:val="14"/>
          <w:szCs w:val="14"/>
          <w:lang w:val="en-AU"/>
        </w:rPr>
        <w:t xml:space="preserve">. </w:t>
      </w:r>
    </w:p>
    <w:p w14:paraId="07F04EED" w14:textId="77777777" w:rsidR="00E71C26" w:rsidRPr="00E71C26" w:rsidRDefault="00E71C26" w:rsidP="00E71C26">
      <w:pPr>
        <w:rPr>
          <w:lang w:val="en-AU"/>
        </w:rPr>
      </w:pPr>
    </w:p>
    <w:p w14:paraId="14BB1843" w14:textId="7ED9CD13" w:rsidR="00F220CD" w:rsidRPr="006D6434" w:rsidRDefault="00F220CD" w:rsidP="00BA1388">
      <w:pPr>
        <w:pStyle w:val="TableHeading"/>
        <w:numPr>
          <w:ilvl w:val="0"/>
          <w:numId w:val="29"/>
        </w:numPr>
        <w:spacing w:before="0" w:after="120"/>
        <w:ind w:left="0" w:firstLine="0"/>
        <w:outlineLvl w:val="6"/>
      </w:pPr>
      <w:r w:rsidRPr="006D6434">
        <w:t>Cost Summary for Program 2.15 Naval Shipbuilding and Sustainment</w:t>
      </w:r>
    </w:p>
    <w:p w14:paraId="689E6C5F" w14:textId="1E67EF50" w:rsidR="00A75507" w:rsidRPr="00B56FAA" w:rsidRDefault="005F4285" w:rsidP="00656D60">
      <w:pPr>
        <w:spacing w:before="0" w:after="0"/>
      </w:pPr>
      <w:r w:rsidRPr="005F4285">
        <w:rPr>
          <w:noProof/>
          <w:lang w:val="en-AU"/>
        </w:rPr>
        <w:drawing>
          <wp:inline distT="0" distB="0" distL="0" distR="0" wp14:anchorId="45787B5D" wp14:editId="6AE1F822">
            <wp:extent cx="4986020" cy="2604184"/>
            <wp:effectExtent l="0" t="0" r="508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86020" cy="2604184"/>
                    </a:xfrm>
                    <a:prstGeom prst="rect">
                      <a:avLst/>
                    </a:prstGeom>
                    <a:noFill/>
                    <a:ln>
                      <a:noFill/>
                    </a:ln>
                  </pic:spPr>
                </pic:pic>
              </a:graphicData>
            </a:graphic>
          </wp:inline>
        </w:drawing>
      </w:r>
    </w:p>
    <w:p w14:paraId="20B074E5" w14:textId="77777777" w:rsidR="00656D60" w:rsidRDefault="00656D60" w:rsidP="00656D60">
      <w:pPr>
        <w:spacing w:before="0" w:after="0"/>
        <w:rPr>
          <w:rFonts w:ascii="Arial" w:hAnsi="Arial"/>
          <w:b/>
          <w:sz w:val="14"/>
          <w:szCs w:val="14"/>
        </w:rPr>
      </w:pPr>
    </w:p>
    <w:p w14:paraId="2C813CC0" w14:textId="77777777" w:rsidR="00F51DAC" w:rsidRDefault="00F51DAC" w:rsidP="00656D60">
      <w:pPr>
        <w:spacing w:before="0" w:after="0"/>
        <w:rPr>
          <w:rFonts w:ascii="Arial" w:hAnsi="Arial"/>
          <w:b/>
          <w:sz w:val="14"/>
          <w:szCs w:val="14"/>
        </w:rPr>
      </w:pPr>
      <w:r>
        <w:rPr>
          <w:rFonts w:ascii="Arial" w:hAnsi="Arial"/>
          <w:b/>
          <w:sz w:val="14"/>
          <w:szCs w:val="14"/>
        </w:rPr>
        <w:t>Note</w:t>
      </w:r>
    </w:p>
    <w:p w14:paraId="75045721" w14:textId="79557E40" w:rsidR="00F51DAC" w:rsidRPr="00F51DAC" w:rsidRDefault="006D6434" w:rsidP="00F51DAC">
      <w:pPr>
        <w:spacing w:before="0" w:after="0"/>
        <w:ind w:left="284" w:hanging="284"/>
        <w:rPr>
          <w:rFonts w:ascii="Arial" w:hAnsi="Arial"/>
          <w:sz w:val="14"/>
          <w:szCs w:val="14"/>
        </w:rPr>
      </w:pPr>
      <w:r w:rsidRPr="006D6434">
        <w:rPr>
          <w:rFonts w:ascii="Arial" w:hAnsi="Arial"/>
          <w:sz w:val="14"/>
          <w:szCs w:val="14"/>
        </w:rPr>
        <w:t xml:space="preserve">a. </w:t>
      </w:r>
      <w:r w:rsidR="00855CD3">
        <w:rPr>
          <w:rFonts w:ascii="Arial" w:hAnsi="Arial"/>
          <w:sz w:val="14"/>
          <w:szCs w:val="14"/>
        </w:rPr>
        <w:tab/>
      </w:r>
      <w:r w:rsidR="00855CD3" w:rsidRPr="00855CD3">
        <w:rPr>
          <w:rFonts w:ascii="Arial" w:hAnsi="Arial"/>
          <w:sz w:val="14"/>
          <w:szCs w:val="14"/>
        </w:rPr>
        <w:t>Total Program funded expenditure includes operating expenses and capital expenditure funded by appropriation and own source revenue. This excludes expenses not requiring appropriation.</w:t>
      </w:r>
      <w:r w:rsidR="00855CD3" w:rsidRPr="00855CD3">
        <w:rPr>
          <w:rFonts w:ascii="Arial" w:hAnsi="Arial"/>
          <w:sz w:val="14"/>
          <w:szCs w:val="14"/>
        </w:rPr>
        <w:tab/>
      </w:r>
      <w:r w:rsidR="00855CD3" w:rsidRPr="00855CD3">
        <w:rPr>
          <w:rFonts w:ascii="Arial" w:hAnsi="Arial"/>
          <w:sz w:val="14"/>
          <w:szCs w:val="14"/>
        </w:rPr>
        <w:tab/>
      </w:r>
      <w:r w:rsidR="00855CD3" w:rsidRPr="00855CD3">
        <w:rPr>
          <w:rFonts w:ascii="Arial" w:hAnsi="Arial"/>
          <w:sz w:val="14"/>
          <w:szCs w:val="14"/>
        </w:rPr>
        <w:tab/>
      </w:r>
      <w:r w:rsidR="00855CD3" w:rsidRPr="00855CD3">
        <w:rPr>
          <w:rFonts w:ascii="Arial" w:hAnsi="Arial"/>
          <w:sz w:val="14"/>
          <w:szCs w:val="14"/>
        </w:rPr>
        <w:tab/>
      </w:r>
      <w:r w:rsidR="00855CD3" w:rsidRPr="00855CD3">
        <w:rPr>
          <w:rFonts w:ascii="Arial" w:hAnsi="Arial"/>
          <w:sz w:val="14"/>
          <w:szCs w:val="14"/>
        </w:rPr>
        <w:tab/>
      </w:r>
    </w:p>
    <w:p w14:paraId="428F94D5" w14:textId="77777777" w:rsidR="004535B1" w:rsidRPr="00B56FAA" w:rsidRDefault="00F220CD" w:rsidP="004535B1">
      <w:pPr>
        <w:spacing w:before="0" w:after="0"/>
        <w:outlineLvl w:val="5"/>
        <w:rPr>
          <w:color w:val="FFFFFF"/>
          <w:sz w:val="2"/>
          <w:szCs w:val="2"/>
        </w:rPr>
      </w:pPr>
      <w:r w:rsidRPr="00B56FAA">
        <w:rPr>
          <w:b/>
          <w:szCs w:val="16"/>
          <w:lang w:val="en-AU"/>
        </w:rPr>
        <w:br w:type="page"/>
      </w:r>
    </w:p>
    <w:p w14:paraId="194D955C" w14:textId="77777777" w:rsidR="004535B1" w:rsidRPr="00B56FAA" w:rsidRDefault="004535B1" w:rsidP="004535B1">
      <w:pPr>
        <w:spacing w:before="0" w:after="0"/>
        <w:outlineLvl w:val="5"/>
        <w:rPr>
          <w:color w:val="FFFFFF"/>
          <w:sz w:val="2"/>
          <w:szCs w:val="2"/>
        </w:rPr>
      </w:pPr>
      <w:r w:rsidRPr="00B56FAA">
        <w:rPr>
          <w:color w:val="FFFFFF"/>
          <w:sz w:val="2"/>
          <w:szCs w:val="2"/>
        </w:rPr>
        <w:lastRenderedPageBreak/>
        <w:t>Program 2.16: Nuclear Powered Submarines</w:t>
      </w:r>
    </w:p>
    <w:tbl>
      <w:tblPr>
        <w:tblW w:w="4896"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7679"/>
      </w:tblGrid>
      <w:tr w:rsidR="00F7100A" w:rsidRPr="00B56FAA" w14:paraId="335AA422" w14:textId="77777777" w:rsidTr="00AD3193">
        <w:tc>
          <w:tcPr>
            <w:tcW w:w="7679" w:type="dxa"/>
            <w:tcBorders>
              <w:left w:val="single" w:sz="4" w:space="0" w:color="auto"/>
              <w:bottom w:val="single" w:sz="4" w:space="0" w:color="auto"/>
              <w:right w:val="single" w:sz="4" w:space="0" w:color="auto"/>
            </w:tcBorders>
            <w:shd w:val="clear" w:color="auto" w:fill="CCCCCC"/>
          </w:tcPr>
          <w:p w14:paraId="5067A610" w14:textId="77777777" w:rsidR="00F7100A" w:rsidRPr="00B56FAA" w:rsidRDefault="00F7100A" w:rsidP="00072EF9">
            <w:pPr>
              <w:pStyle w:val="Heading5"/>
              <w:spacing w:before="60" w:after="60"/>
            </w:pPr>
            <w:r w:rsidRPr="00B56FAA">
              <w:t>Program 2.16: Nuclear-Powered Submarines</w:t>
            </w:r>
          </w:p>
        </w:tc>
      </w:tr>
    </w:tbl>
    <w:p w14:paraId="1A643B99" w14:textId="77777777" w:rsidR="00AD3193" w:rsidRPr="00AD3193" w:rsidRDefault="00AD3193" w:rsidP="00AD3193">
      <w:pPr>
        <w:spacing w:before="0" w:after="0"/>
        <w:rPr>
          <w:sz w:val="16"/>
          <w:szCs w:val="16"/>
        </w:rPr>
      </w:pPr>
    </w:p>
    <w:tbl>
      <w:tblPr>
        <w:tblW w:w="4896"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2884"/>
        <w:gridCol w:w="3124"/>
      </w:tblGrid>
      <w:tr w:rsidR="00F7100A" w:rsidRPr="00B41377" w14:paraId="6E90248A" w14:textId="77777777" w:rsidTr="00514075">
        <w:tc>
          <w:tcPr>
            <w:tcW w:w="7679" w:type="dxa"/>
            <w:gridSpan w:val="3"/>
            <w:tcBorders>
              <w:left w:val="single" w:sz="4" w:space="0" w:color="auto"/>
              <w:right w:val="single" w:sz="4" w:space="0" w:color="auto"/>
            </w:tcBorders>
            <w:shd w:val="clear" w:color="auto" w:fill="E6E6E6"/>
          </w:tcPr>
          <w:p w14:paraId="07AF74B2" w14:textId="77777777" w:rsidR="00F7100A" w:rsidRPr="00B41377" w:rsidRDefault="00F7100A" w:rsidP="00072EF9">
            <w:pPr>
              <w:tabs>
                <w:tab w:val="left" w:pos="709"/>
              </w:tabs>
              <w:spacing w:before="60" w:after="60"/>
              <w:rPr>
                <w:rFonts w:ascii="Arial" w:hAnsi="Arial"/>
                <w:b/>
                <w:sz w:val="16"/>
                <w:szCs w:val="16"/>
              </w:rPr>
            </w:pPr>
            <w:r w:rsidRPr="00B41377">
              <w:rPr>
                <w:rFonts w:ascii="Arial" w:hAnsi="Arial"/>
                <w:b/>
                <w:sz w:val="16"/>
                <w:szCs w:val="16"/>
              </w:rPr>
              <w:t>Program 2.16 Objective</w:t>
            </w:r>
          </w:p>
          <w:p w14:paraId="711C87BC" w14:textId="77777777" w:rsidR="00F7100A" w:rsidRPr="00B41377" w:rsidRDefault="00F7100A" w:rsidP="00072EF9">
            <w:pPr>
              <w:pStyle w:val="quotation1"/>
              <w:spacing w:before="60" w:after="60" w:line="240" w:lineRule="auto"/>
              <w:ind w:left="0"/>
              <w:rPr>
                <w:rFonts w:eastAsia="Times New Roman"/>
                <w:sz w:val="16"/>
                <w:szCs w:val="16"/>
                <w:lang w:val="en-US"/>
              </w:rPr>
            </w:pPr>
            <w:r w:rsidRPr="00B41377">
              <w:rPr>
                <w:rFonts w:eastAsia="Times New Roman"/>
                <w:sz w:val="16"/>
                <w:szCs w:val="16"/>
                <w:lang w:val="en-US"/>
              </w:rPr>
              <w:t>Protect and advance Australia’s national interests through the acquisition, delivery, construction, technical governance, sustainment and disposal of Australia’s nuclear-powered submarine capability, via the AUKUS partnership, as directed by Government.</w:t>
            </w:r>
          </w:p>
        </w:tc>
      </w:tr>
      <w:tr w:rsidR="00F7100A" w:rsidRPr="00B41377" w14:paraId="5E1F361E" w14:textId="77777777" w:rsidTr="00514075">
        <w:trPr>
          <w:trHeight w:val="312"/>
        </w:trPr>
        <w:tc>
          <w:tcPr>
            <w:tcW w:w="1671" w:type="dxa"/>
            <w:tcBorders>
              <w:left w:val="single" w:sz="4" w:space="0" w:color="auto"/>
              <w:bottom w:val="single" w:sz="4" w:space="0" w:color="auto"/>
            </w:tcBorders>
          </w:tcPr>
          <w:p w14:paraId="2AD6BC0B" w14:textId="77777777" w:rsidR="00F7100A" w:rsidRPr="00B41377" w:rsidRDefault="00F7100A" w:rsidP="00B41377">
            <w:pPr>
              <w:tabs>
                <w:tab w:val="left" w:pos="709"/>
              </w:tabs>
              <w:spacing w:before="60" w:after="60"/>
              <w:rPr>
                <w:rFonts w:ascii="Arial" w:hAnsi="Arial"/>
                <w:b/>
                <w:color w:val="000000"/>
                <w:sz w:val="16"/>
                <w:szCs w:val="16"/>
              </w:rPr>
            </w:pPr>
            <w:r w:rsidRPr="00B41377">
              <w:rPr>
                <w:rFonts w:ascii="Arial" w:hAnsi="Arial"/>
                <w:b/>
                <w:color w:val="000000"/>
                <w:sz w:val="16"/>
                <w:szCs w:val="16"/>
              </w:rPr>
              <w:t>Key Activities</w:t>
            </w:r>
          </w:p>
        </w:tc>
        <w:tc>
          <w:tcPr>
            <w:tcW w:w="6008" w:type="dxa"/>
            <w:gridSpan w:val="2"/>
            <w:tcBorders>
              <w:bottom w:val="single" w:sz="4" w:space="0" w:color="auto"/>
              <w:right w:val="single" w:sz="4" w:space="0" w:color="auto"/>
            </w:tcBorders>
          </w:tcPr>
          <w:p w14:paraId="0AF8B9DB" w14:textId="77777777" w:rsidR="00B41377" w:rsidRPr="00507EA7" w:rsidRDefault="00B41377" w:rsidP="00B41377">
            <w:pPr>
              <w:tabs>
                <w:tab w:val="left" w:pos="709"/>
              </w:tabs>
              <w:spacing w:before="60" w:after="60"/>
              <w:rPr>
                <w:rFonts w:ascii="Arial" w:hAnsi="Arial"/>
                <w:bCs/>
                <w:color w:val="000000"/>
                <w:sz w:val="16"/>
                <w:szCs w:val="16"/>
                <w:lang w:val="en-AU"/>
              </w:rPr>
            </w:pPr>
            <w:r w:rsidRPr="00507EA7">
              <w:rPr>
                <w:rFonts w:ascii="Arial" w:hAnsi="Arial"/>
                <w:bCs/>
                <w:color w:val="000000"/>
                <w:sz w:val="16"/>
                <w:szCs w:val="16"/>
                <w:lang w:val="en-AU"/>
              </w:rPr>
              <w:t>This program is achieve</w:t>
            </w:r>
            <w:r>
              <w:rPr>
                <w:rFonts w:ascii="Arial" w:hAnsi="Arial"/>
                <w:bCs/>
                <w:color w:val="000000"/>
                <w:sz w:val="16"/>
                <w:szCs w:val="16"/>
                <w:lang w:val="en-AU"/>
              </w:rPr>
              <w:t>d through the following activities</w:t>
            </w:r>
            <w:r w:rsidRPr="00507EA7">
              <w:rPr>
                <w:rFonts w:ascii="Arial" w:hAnsi="Arial"/>
                <w:bCs/>
                <w:color w:val="000000"/>
                <w:sz w:val="16"/>
                <w:szCs w:val="16"/>
                <w:lang w:val="en-AU"/>
              </w:rPr>
              <w:t>:</w:t>
            </w:r>
          </w:p>
          <w:p w14:paraId="02FEC175" w14:textId="77777777" w:rsidR="00B41377" w:rsidRDefault="00B41377" w:rsidP="00B41377">
            <w:pPr>
              <w:tabs>
                <w:tab w:val="left" w:pos="343"/>
              </w:tabs>
              <w:spacing w:before="60" w:after="60"/>
              <w:rPr>
                <w:rFonts w:ascii="Arial" w:hAnsi="Arial"/>
                <w:sz w:val="16"/>
                <w:szCs w:val="16"/>
              </w:rPr>
            </w:pPr>
            <w:r w:rsidRPr="00507EA7">
              <w:rPr>
                <w:rFonts w:ascii="Arial" w:hAnsi="Arial"/>
                <w:b/>
                <w:sz w:val="16"/>
                <w:szCs w:val="16"/>
                <w:lang w:val="en-AU"/>
              </w:rPr>
              <w:t>6. Deliver future capability</w:t>
            </w:r>
            <w:r w:rsidRPr="00507EA7">
              <w:rPr>
                <w:rFonts w:ascii="Arial" w:hAnsi="Arial"/>
                <w:sz w:val="16"/>
                <w:szCs w:val="16"/>
                <w:lang w:val="en-AU"/>
              </w:rPr>
              <w:t xml:space="preserve">. </w:t>
            </w:r>
            <w:r w:rsidRPr="00507EA7">
              <w:rPr>
                <w:rFonts w:ascii="Arial" w:hAnsi="Arial"/>
                <w:sz w:val="16"/>
                <w:szCs w:val="16"/>
              </w:rPr>
              <w:t>Defence will accelerate the development of important capabilities over the next decade to build an integrated, focused force across the maritime, land, air, space and cyber domains. This will ensure the Australian Defence Force has the capacity to defend Australia and its national interests in our evolving strategic circumstances and deter adversaries through a strategy of denial.</w:t>
            </w:r>
          </w:p>
          <w:p w14:paraId="02505024" w14:textId="33BC2C10" w:rsidR="00F7100A" w:rsidRPr="00B41377" w:rsidRDefault="00B41377" w:rsidP="00B41377">
            <w:pPr>
              <w:tabs>
                <w:tab w:val="left" w:pos="343"/>
              </w:tabs>
              <w:spacing w:before="60" w:after="60"/>
              <w:rPr>
                <w:rFonts w:ascii="Arial" w:hAnsi="Arial"/>
                <w:i/>
                <w:color w:val="000000"/>
                <w:sz w:val="16"/>
                <w:szCs w:val="16"/>
              </w:rPr>
            </w:pPr>
            <w:r w:rsidRPr="00DA6484">
              <w:rPr>
                <w:rFonts w:ascii="Arial" w:hAnsi="Arial"/>
                <w:b/>
                <w:sz w:val="16"/>
                <w:szCs w:val="16"/>
                <w:lang w:val="en-AU"/>
              </w:rPr>
              <w:t xml:space="preserve">7. Develop the sovereign defence industrial base required for our national security. </w:t>
            </w:r>
            <w:r w:rsidRPr="00DA6484">
              <w:rPr>
                <w:rFonts w:ascii="Arial" w:hAnsi="Arial"/>
                <w:sz w:val="16"/>
                <w:szCs w:val="16"/>
                <w:lang w:val="en-AU"/>
              </w:rPr>
              <w:t>The Government’s significant investment in Defence over the coming decade will advance Australia’s prosperity through expenditure on defence capabilities, support to new and existing defence industries and the creation of jobs</w:t>
            </w:r>
            <w:r w:rsidR="00BC2119">
              <w:rPr>
                <w:rFonts w:ascii="Arial" w:hAnsi="Arial"/>
                <w:sz w:val="16"/>
                <w:szCs w:val="16"/>
                <w:lang w:val="en-AU"/>
              </w:rPr>
              <w:t>.</w:t>
            </w:r>
          </w:p>
        </w:tc>
      </w:tr>
      <w:tr w:rsidR="00F7100A" w:rsidRPr="00B41377" w14:paraId="5132E7AB" w14:textId="77777777" w:rsidTr="00514075">
        <w:trPr>
          <w:trHeight w:val="100"/>
        </w:trPr>
        <w:tc>
          <w:tcPr>
            <w:tcW w:w="1671" w:type="dxa"/>
            <w:tcBorders>
              <w:top w:val="single" w:sz="4" w:space="0" w:color="auto"/>
              <w:left w:val="single" w:sz="4" w:space="0" w:color="auto"/>
              <w:bottom w:val="single" w:sz="4" w:space="0" w:color="auto"/>
              <w:right w:val="single" w:sz="4" w:space="0" w:color="auto"/>
            </w:tcBorders>
          </w:tcPr>
          <w:p w14:paraId="6E6C00D8" w14:textId="77777777" w:rsidR="00F7100A" w:rsidRPr="00B41377" w:rsidRDefault="00F7100A" w:rsidP="00072EF9">
            <w:pPr>
              <w:tabs>
                <w:tab w:val="left" w:pos="709"/>
              </w:tabs>
              <w:spacing w:before="60" w:after="60"/>
              <w:rPr>
                <w:rFonts w:ascii="Arial" w:hAnsi="Arial"/>
                <w:color w:val="000000"/>
                <w:sz w:val="16"/>
                <w:szCs w:val="16"/>
              </w:rPr>
            </w:pPr>
            <w:r w:rsidRPr="00B41377">
              <w:rPr>
                <w:rFonts w:ascii="Arial" w:hAnsi="Arial"/>
                <w:b/>
                <w:color w:val="000000"/>
                <w:sz w:val="16"/>
                <w:szCs w:val="16"/>
              </w:rPr>
              <w:t>Year</w:t>
            </w:r>
          </w:p>
        </w:tc>
        <w:tc>
          <w:tcPr>
            <w:tcW w:w="2884" w:type="dxa"/>
            <w:tcBorders>
              <w:top w:val="single" w:sz="4" w:space="0" w:color="auto"/>
              <w:left w:val="single" w:sz="4" w:space="0" w:color="auto"/>
              <w:bottom w:val="single" w:sz="4" w:space="0" w:color="auto"/>
              <w:right w:val="single" w:sz="4" w:space="0" w:color="auto"/>
            </w:tcBorders>
          </w:tcPr>
          <w:p w14:paraId="406962DE" w14:textId="77777777" w:rsidR="00F7100A" w:rsidRPr="00B41377" w:rsidRDefault="00F7100A" w:rsidP="00072EF9">
            <w:pPr>
              <w:tabs>
                <w:tab w:val="left" w:pos="709"/>
              </w:tabs>
              <w:spacing w:before="60" w:after="60"/>
              <w:rPr>
                <w:rFonts w:ascii="Arial" w:hAnsi="Arial"/>
                <w:color w:val="000000"/>
              </w:rPr>
            </w:pPr>
            <w:r w:rsidRPr="00B41377">
              <w:rPr>
                <w:rFonts w:ascii="Arial" w:hAnsi="Arial"/>
                <w:b/>
                <w:color w:val="000000"/>
                <w:sz w:val="16"/>
                <w:szCs w:val="16"/>
              </w:rPr>
              <w:t>Performance measures</w:t>
            </w:r>
          </w:p>
        </w:tc>
        <w:tc>
          <w:tcPr>
            <w:tcW w:w="3124" w:type="dxa"/>
            <w:tcBorders>
              <w:top w:val="single" w:sz="4" w:space="0" w:color="auto"/>
              <w:left w:val="single" w:sz="4" w:space="0" w:color="auto"/>
              <w:bottom w:val="single" w:sz="4" w:space="0" w:color="auto"/>
              <w:right w:val="single" w:sz="4" w:space="0" w:color="auto"/>
            </w:tcBorders>
          </w:tcPr>
          <w:p w14:paraId="2602B6FE" w14:textId="77777777" w:rsidR="00F7100A" w:rsidRPr="00B41377" w:rsidRDefault="00F7100A" w:rsidP="00072EF9">
            <w:pPr>
              <w:tabs>
                <w:tab w:val="left" w:pos="709"/>
              </w:tabs>
              <w:spacing w:before="60" w:after="60"/>
              <w:rPr>
                <w:rFonts w:ascii="Arial" w:hAnsi="Arial"/>
                <w:i/>
                <w:color w:val="000000"/>
                <w:sz w:val="16"/>
                <w:szCs w:val="16"/>
              </w:rPr>
            </w:pPr>
            <w:r w:rsidRPr="00B41377">
              <w:rPr>
                <w:rFonts w:ascii="Arial" w:hAnsi="Arial"/>
                <w:b/>
                <w:color w:val="000000"/>
                <w:sz w:val="16"/>
                <w:szCs w:val="16"/>
              </w:rPr>
              <w:t>Expected Performance Results</w:t>
            </w:r>
          </w:p>
        </w:tc>
      </w:tr>
      <w:tr w:rsidR="00B41377" w:rsidRPr="00B41377" w14:paraId="355E6033" w14:textId="77777777" w:rsidTr="00514075">
        <w:trPr>
          <w:trHeight w:val="620"/>
        </w:trPr>
        <w:tc>
          <w:tcPr>
            <w:tcW w:w="1671" w:type="dxa"/>
            <w:vMerge w:val="restart"/>
            <w:tcBorders>
              <w:top w:val="single" w:sz="4" w:space="0" w:color="auto"/>
              <w:left w:val="single" w:sz="4" w:space="0" w:color="auto"/>
              <w:bottom w:val="nil"/>
              <w:right w:val="single" w:sz="4" w:space="0" w:color="auto"/>
            </w:tcBorders>
          </w:tcPr>
          <w:p w14:paraId="28EE6A35" w14:textId="77777777" w:rsidR="00B41377" w:rsidRPr="00B41377" w:rsidRDefault="00B41377" w:rsidP="00B41377">
            <w:pPr>
              <w:tabs>
                <w:tab w:val="left" w:pos="709"/>
              </w:tabs>
              <w:spacing w:before="0" w:after="0"/>
              <w:rPr>
                <w:rFonts w:ascii="Arial" w:hAnsi="Arial"/>
                <w:color w:val="000000"/>
                <w:sz w:val="16"/>
                <w:szCs w:val="16"/>
              </w:rPr>
            </w:pPr>
            <w:r w:rsidRPr="00B41377">
              <w:rPr>
                <w:rFonts w:ascii="Arial" w:hAnsi="Arial"/>
                <w:color w:val="000000"/>
                <w:sz w:val="16"/>
                <w:szCs w:val="16"/>
              </w:rPr>
              <w:t>Current Year</w:t>
            </w:r>
          </w:p>
          <w:p w14:paraId="5D6D39FC" w14:textId="77777777" w:rsidR="00B41377" w:rsidRPr="00B41377" w:rsidRDefault="00B41377" w:rsidP="00B41377">
            <w:pPr>
              <w:tabs>
                <w:tab w:val="left" w:pos="709"/>
              </w:tabs>
              <w:spacing w:before="0" w:after="0"/>
              <w:rPr>
                <w:rFonts w:ascii="Arial" w:hAnsi="Arial"/>
                <w:color w:val="000000"/>
                <w:sz w:val="16"/>
                <w:szCs w:val="16"/>
              </w:rPr>
            </w:pPr>
            <w:r w:rsidRPr="00B41377">
              <w:rPr>
                <w:rFonts w:ascii="Arial" w:hAnsi="Arial"/>
                <w:color w:val="000000"/>
                <w:sz w:val="16"/>
                <w:szCs w:val="16"/>
              </w:rPr>
              <w:t>2024-25</w:t>
            </w:r>
          </w:p>
        </w:tc>
        <w:tc>
          <w:tcPr>
            <w:tcW w:w="2884" w:type="dxa"/>
            <w:tcBorders>
              <w:top w:val="single" w:sz="4" w:space="0" w:color="auto"/>
              <w:left w:val="single" w:sz="4" w:space="0" w:color="auto"/>
              <w:bottom w:val="dotted" w:sz="4" w:space="0" w:color="auto"/>
              <w:right w:val="single" w:sz="4" w:space="0" w:color="auto"/>
            </w:tcBorders>
          </w:tcPr>
          <w:p w14:paraId="4256645E" w14:textId="77777777" w:rsidR="00B41377" w:rsidRPr="00B41377" w:rsidRDefault="00B41377" w:rsidP="0027665E">
            <w:pPr>
              <w:autoSpaceDE w:val="0"/>
              <w:autoSpaceDN w:val="0"/>
              <w:adjustRightInd w:val="0"/>
              <w:spacing w:before="60" w:after="0"/>
              <w:rPr>
                <w:rFonts w:ascii="Arial" w:hAnsi="Arial"/>
                <w:color w:val="000000"/>
                <w:sz w:val="16"/>
                <w:szCs w:val="16"/>
              </w:rPr>
            </w:pPr>
            <w:r w:rsidRPr="0027665E">
              <w:rPr>
                <w:rFonts w:ascii="Arial" w:hAnsi="Arial"/>
                <w:color w:val="000000"/>
                <w:sz w:val="16"/>
                <w:szCs w:val="16"/>
              </w:rPr>
              <w:t xml:space="preserve">6.1: Defence is delivering the right future capability at the right time within the Integrated Investment Program to ensure it is equipped to respond to future security challenges as directed by the </w:t>
            </w:r>
            <w:r w:rsidRPr="00E00255">
              <w:rPr>
                <w:rFonts w:ascii="Arial" w:hAnsi="Arial"/>
                <w:i/>
                <w:color w:val="000000"/>
                <w:sz w:val="16"/>
                <w:szCs w:val="16"/>
              </w:rPr>
              <w:t>2024 National Defence Strategy</w:t>
            </w:r>
            <w:r w:rsidRPr="0027665E">
              <w:rPr>
                <w:rFonts w:ascii="Arial" w:hAnsi="Arial"/>
                <w:color w:val="000000"/>
                <w:sz w:val="16"/>
                <w:szCs w:val="16"/>
              </w:rPr>
              <w:t>.</w:t>
            </w:r>
          </w:p>
        </w:tc>
        <w:tc>
          <w:tcPr>
            <w:tcW w:w="3124" w:type="dxa"/>
            <w:tcBorders>
              <w:top w:val="single" w:sz="4" w:space="0" w:color="auto"/>
              <w:left w:val="single" w:sz="4" w:space="0" w:color="auto"/>
              <w:bottom w:val="dotted" w:sz="4" w:space="0" w:color="auto"/>
              <w:right w:val="single" w:sz="4" w:space="0" w:color="auto"/>
            </w:tcBorders>
          </w:tcPr>
          <w:p w14:paraId="0755529A" w14:textId="77777777" w:rsidR="00B41377" w:rsidRPr="00B41377" w:rsidRDefault="00B41377" w:rsidP="00B41377">
            <w:pPr>
              <w:tabs>
                <w:tab w:val="left" w:pos="709"/>
              </w:tabs>
              <w:spacing w:before="60" w:after="60"/>
              <w:rPr>
                <w:rFonts w:ascii="Arial" w:hAnsi="Arial"/>
                <w:sz w:val="16"/>
                <w:szCs w:val="16"/>
                <w:lang w:val="en-AU"/>
              </w:rPr>
            </w:pPr>
            <w:r w:rsidRPr="00B41377">
              <w:rPr>
                <w:rFonts w:ascii="Arial" w:hAnsi="Arial"/>
                <w:sz w:val="16"/>
                <w:szCs w:val="16"/>
                <w:lang w:val="en-AU"/>
              </w:rPr>
              <w:t>80 per cent or more of approved Integrated Investment Program projects across all domains are on track to deliver the scope approved by Government within Government approved cost and schedule.</w:t>
            </w:r>
          </w:p>
          <w:p w14:paraId="6F4E995C" w14:textId="251EB684" w:rsidR="00B41377" w:rsidRPr="00B41377" w:rsidRDefault="00BD4E0F" w:rsidP="00B41377">
            <w:pPr>
              <w:tabs>
                <w:tab w:val="left" w:pos="709"/>
              </w:tabs>
              <w:spacing w:before="60" w:after="60"/>
              <w:jc w:val="right"/>
              <w:rPr>
                <w:rFonts w:ascii="Arial" w:hAnsi="Arial"/>
                <w:sz w:val="16"/>
                <w:szCs w:val="16"/>
              </w:rPr>
            </w:pPr>
            <w:r w:rsidRPr="00BD4E0F">
              <w:rPr>
                <w:rFonts w:ascii="Arial" w:hAnsi="Arial"/>
                <w:i/>
                <w:sz w:val="16"/>
                <w:szCs w:val="16"/>
                <w:lang w:val="en-AU"/>
              </w:rPr>
              <w:t>Expected to be substantially achieved</w:t>
            </w:r>
            <w:r w:rsidR="00B41377" w:rsidRPr="00B41377">
              <w:rPr>
                <w:rFonts w:ascii="Arial" w:hAnsi="Arial"/>
                <w:i/>
                <w:sz w:val="16"/>
                <w:szCs w:val="16"/>
                <w:lang w:val="en-AU"/>
              </w:rPr>
              <w:t>.</w:t>
            </w:r>
          </w:p>
        </w:tc>
      </w:tr>
      <w:tr w:rsidR="00BD4E0F" w:rsidRPr="00B41377" w14:paraId="7613C846" w14:textId="77777777" w:rsidTr="00514075">
        <w:trPr>
          <w:trHeight w:val="620"/>
        </w:trPr>
        <w:tc>
          <w:tcPr>
            <w:tcW w:w="1671" w:type="dxa"/>
            <w:vMerge/>
            <w:tcBorders>
              <w:top w:val="nil"/>
              <w:left w:val="single" w:sz="4" w:space="0" w:color="auto"/>
              <w:bottom w:val="single" w:sz="4" w:space="0" w:color="auto"/>
              <w:right w:val="single" w:sz="4" w:space="0" w:color="auto"/>
            </w:tcBorders>
          </w:tcPr>
          <w:p w14:paraId="009D4F16" w14:textId="77777777" w:rsidR="00BD4E0F" w:rsidRPr="00B41377" w:rsidRDefault="00BD4E0F" w:rsidP="00BD4E0F">
            <w:pPr>
              <w:tabs>
                <w:tab w:val="left" w:pos="709"/>
              </w:tabs>
              <w:spacing w:before="0" w:after="0"/>
              <w:rPr>
                <w:rFonts w:ascii="Arial" w:hAnsi="Arial"/>
                <w:color w:val="000000"/>
                <w:sz w:val="16"/>
                <w:szCs w:val="16"/>
              </w:rPr>
            </w:pPr>
          </w:p>
        </w:tc>
        <w:tc>
          <w:tcPr>
            <w:tcW w:w="2884" w:type="dxa"/>
            <w:tcBorders>
              <w:top w:val="dotted" w:sz="4" w:space="0" w:color="auto"/>
              <w:left w:val="single" w:sz="4" w:space="0" w:color="auto"/>
              <w:bottom w:val="single" w:sz="4" w:space="0" w:color="auto"/>
              <w:right w:val="single" w:sz="4" w:space="0" w:color="auto"/>
            </w:tcBorders>
          </w:tcPr>
          <w:p w14:paraId="2DEFA834" w14:textId="69540CF0" w:rsidR="00BD4E0F" w:rsidRPr="00BD4E0F" w:rsidRDefault="00BD4E0F" w:rsidP="001809FC">
            <w:pPr>
              <w:autoSpaceDE w:val="0"/>
              <w:autoSpaceDN w:val="0"/>
              <w:adjustRightInd w:val="0"/>
              <w:spacing w:before="60" w:after="0"/>
              <w:rPr>
                <w:rFonts w:ascii="Arial" w:hAnsi="Arial"/>
                <w:sz w:val="16"/>
                <w:szCs w:val="16"/>
                <w:lang w:val="en-AU"/>
              </w:rPr>
            </w:pPr>
            <w:r w:rsidRPr="0027665E">
              <w:rPr>
                <w:rFonts w:ascii="Arial" w:hAnsi="Arial"/>
                <w:color w:val="000000"/>
                <w:sz w:val="16"/>
                <w:szCs w:val="16"/>
              </w:rPr>
              <w:t>7.1: Defence strengthens the sovereign defence industr</w:t>
            </w:r>
            <w:r w:rsidR="001809FC">
              <w:rPr>
                <w:rFonts w:ascii="Arial" w:hAnsi="Arial"/>
                <w:color w:val="000000"/>
                <w:sz w:val="16"/>
                <w:szCs w:val="16"/>
              </w:rPr>
              <w:t>ial</w:t>
            </w:r>
            <w:r w:rsidRPr="0027665E">
              <w:rPr>
                <w:rFonts w:ascii="Arial" w:hAnsi="Arial"/>
                <w:color w:val="000000"/>
                <w:sz w:val="16"/>
                <w:szCs w:val="16"/>
              </w:rPr>
              <w:t xml:space="preserve"> base across critical industrial capabilities</w:t>
            </w:r>
            <w:r w:rsidRPr="00BD4E0F">
              <w:rPr>
                <w:rFonts w:ascii="Arial" w:hAnsi="Arial"/>
                <w:sz w:val="16"/>
                <w:szCs w:val="16"/>
                <w:lang w:val="en-AU"/>
              </w:rPr>
              <w:t>.</w:t>
            </w:r>
          </w:p>
        </w:tc>
        <w:tc>
          <w:tcPr>
            <w:tcW w:w="3124" w:type="dxa"/>
            <w:tcBorders>
              <w:top w:val="dotted" w:sz="4" w:space="0" w:color="auto"/>
              <w:left w:val="single" w:sz="4" w:space="0" w:color="auto"/>
              <w:bottom w:val="single" w:sz="4" w:space="0" w:color="auto"/>
              <w:right w:val="single" w:sz="4" w:space="0" w:color="auto"/>
            </w:tcBorders>
          </w:tcPr>
          <w:p w14:paraId="0258116A" w14:textId="77777777" w:rsidR="00BD4E0F" w:rsidRPr="00BD4E0F" w:rsidRDefault="00BD4E0F" w:rsidP="00BD4E0F">
            <w:pPr>
              <w:tabs>
                <w:tab w:val="left" w:pos="709"/>
              </w:tabs>
              <w:spacing w:before="60" w:after="60"/>
              <w:rPr>
                <w:rFonts w:ascii="Arial" w:hAnsi="Arial"/>
                <w:color w:val="000000"/>
                <w:sz w:val="16"/>
                <w:szCs w:val="16"/>
              </w:rPr>
            </w:pPr>
            <w:r w:rsidRPr="00BD4E0F">
              <w:rPr>
                <w:rFonts w:ascii="Arial" w:hAnsi="Arial"/>
                <w:color w:val="000000"/>
                <w:sz w:val="16"/>
                <w:szCs w:val="16"/>
              </w:rPr>
              <w:t>80 per cent or more of the Defence Industry Development Grant Program budgeted allocation is awarded; supports Australian defence industry in international markets; provides a direct economic contribution to the Australian economy; drives investment in innovation, science and technology to deliver defence priorities; meets or exceeds Indigenous procurement targets; and supports the development of the domestic manufacture of guided weapons, explosive ordnance and munitions.</w:t>
            </w:r>
          </w:p>
          <w:p w14:paraId="59A3A592" w14:textId="07A0CCE1" w:rsidR="00BD4E0F" w:rsidRPr="00BD4E0F" w:rsidRDefault="00BD4E0F" w:rsidP="003E4A98">
            <w:pPr>
              <w:tabs>
                <w:tab w:val="left" w:pos="709"/>
              </w:tabs>
              <w:spacing w:before="60" w:after="60"/>
              <w:jc w:val="right"/>
              <w:rPr>
                <w:rFonts w:ascii="Arial" w:hAnsi="Arial"/>
                <w:sz w:val="16"/>
                <w:szCs w:val="16"/>
                <w:lang w:val="en-AU"/>
              </w:rPr>
            </w:pPr>
            <w:r w:rsidRPr="00BD4E0F">
              <w:rPr>
                <w:rFonts w:ascii="Arial" w:hAnsi="Arial"/>
                <w:i/>
                <w:sz w:val="16"/>
                <w:szCs w:val="16"/>
                <w:lang w:val="en-AU"/>
              </w:rPr>
              <w:t>Expected to be achieved.</w:t>
            </w:r>
          </w:p>
        </w:tc>
      </w:tr>
      <w:tr w:rsidR="00F7100A" w:rsidRPr="00B41377" w14:paraId="33934B13" w14:textId="77777777" w:rsidTr="00514075">
        <w:trPr>
          <w:trHeight w:val="258"/>
        </w:trPr>
        <w:tc>
          <w:tcPr>
            <w:tcW w:w="1671" w:type="dxa"/>
            <w:tcBorders>
              <w:top w:val="single" w:sz="4" w:space="0" w:color="auto"/>
              <w:left w:val="single" w:sz="4" w:space="0" w:color="auto"/>
              <w:bottom w:val="single" w:sz="4" w:space="0" w:color="auto"/>
              <w:right w:val="single" w:sz="4" w:space="0" w:color="auto"/>
            </w:tcBorders>
          </w:tcPr>
          <w:p w14:paraId="6FF71765" w14:textId="77777777" w:rsidR="00F7100A" w:rsidRPr="00B41377" w:rsidRDefault="00F7100A" w:rsidP="00072EF9">
            <w:pPr>
              <w:tabs>
                <w:tab w:val="left" w:pos="709"/>
              </w:tabs>
              <w:spacing w:before="60" w:after="60"/>
              <w:rPr>
                <w:rFonts w:ascii="Arial" w:hAnsi="Arial"/>
                <w:b/>
                <w:color w:val="000000"/>
                <w:sz w:val="16"/>
                <w:szCs w:val="16"/>
              </w:rPr>
            </w:pPr>
            <w:r w:rsidRPr="00B41377">
              <w:rPr>
                <w:rFonts w:ascii="Arial" w:hAnsi="Arial"/>
                <w:b/>
                <w:color w:val="000000"/>
                <w:sz w:val="16"/>
                <w:szCs w:val="16"/>
              </w:rPr>
              <w:t>Year</w:t>
            </w:r>
          </w:p>
        </w:tc>
        <w:tc>
          <w:tcPr>
            <w:tcW w:w="2884" w:type="dxa"/>
            <w:tcBorders>
              <w:top w:val="single" w:sz="4" w:space="0" w:color="auto"/>
              <w:left w:val="single" w:sz="4" w:space="0" w:color="auto"/>
              <w:bottom w:val="single" w:sz="4" w:space="0" w:color="auto"/>
              <w:right w:val="single" w:sz="4" w:space="0" w:color="auto"/>
            </w:tcBorders>
          </w:tcPr>
          <w:p w14:paraId="7549622B" w14:textId="77777777" w:rsidR="00F7100A" w:rsidRPr="00B41377" w:rsidRDefault="00F7100A" w:rsidP="00072EF9">
            <w:pPr>
              <w:tabs>
                <w:tab w:val="left" w:pos="709"/>
                <w:tab w:val="center" w:pos="1818"/>
              </w:tabs>
              <w:spacing w:before="60" w:after="60"/>
              <w:rPr>
                <w:rFonts w:ascii="Arial" w:hAnsi="Arial"/>
                <w:b/>
                <w:color w:val="000000"/>
                <w:sz w:val="16"/>
                <w:szCs w:val="16"/>
              </w:rPr>
            </w:pPr>
            <w:r w:rsidRPr="00B41377">
              <w:rPr>
                <w:rFonts w:ascii="Arial" w:hAnsi="Arial"/>
                <w:b/>
                <w:color w:val="000000"/>
                <w:sz w:val="16"/>
                <w:szCs w:val="16"/>
              </w:rPr>
              <w:t>Performance measures</w:t>
            </w:r>
          </w:p>
        </w:tc>
        <w:tc>
          <w:tcPr>
            <w:tcW w:w="3124" w:type="dxa"/>
            <w:tcBorders>
              <w:top w:val="single" w:sz="4" w:space="0" w:color="auto"/>
              <w:left w:val="single" w:sz="4" w:space="0" w:color="auto"/>
              <w:bottom w:val="single" w:sz="4" w:space="0" w:color="auto"/>
              <w:right w:val="single" w:sz="4" w:space="0" w:color="auto"/>
            </w:tcBorders>
          </w:tcPr>
          <w:p w14:paraId="1B47FBCB" w14:textId="77777777" w:rsidR="00F7100A" w:rsidRPr="00B41377" w:rsidRDefault="00F7100A" w:rsidP="00072EF9">
            <w:pPr>
              <w:tabs>
                <w:tab w:val="left" w:pos="709"/>
              </w:tabs>
              <w:spacing w:before="60" w:after="60"/>
              <w:rPr>
                <w:rFonts w:ascii="Arial" w:hAnsi="Arial"/>
                <w:b/>
                <w:color w:val="000000"/>
                <w:sz w:val="16"/>
                <w:szCs w:val="16"/>
              </w:rPr>
            </w:pPr>
            <w:r w:rsidRPr="00B41377">
              <w:rPr>
                <w:rFonts w:ascii="Arial" w:hAnsi="Arial"/>
                <w:b/>
                <w:color w:val="000000"/>
                <w:sz w:val="16"/>
                <w:szCs w:val="16"/>
              </w:rPr>
              <w:t>Planned Performance Results</w:t>
            </w:r>
          </w:p>
        </w:tc>
      </w:tr>
      <w:tr w:rsidR="00B41377" w:rsidRPr="00B41377" w14:paraId="1F86491C" w14:textId="77777777" w:rsidTr="00514075">
        <w:trPr>
          <w:trHeight w:val="642"/>
        </w:trPr>
        <w:tc>
          <w:tcPr>
            <w:tcW w:w="1671" w:type="dxa"/>
            <w:tcBorders>
              <w:top w:val="single" w:sz="4" w:space="0" w:color="auto"/>
              <w:left w:val="single" w:sz="4" w:space="0" w:color="auto"/>
              <w:bottom w:val="single" w:sz="4" w:space="0" w:color="auto"/>
              <w:right w:val="single" w:sz="4" w:space="0" w:color="auto"/>
            </w:tcBorders>
          </w:tcPr>
          <w:p w14:paraId="34B3F7D0" w14:textId="77777777" w:rsidR="00B41377" w:rsidRPr="00B41377" w:rsidRDefault="00B41377" w:rsidP="00B41377">
            <w:pPr>
              <w:tabs>
                <w:tab w:val="left" w:pos="709"/>
              </w:tabs>
              <w:spacing w:before="0" w:after="0"/>
              <w:rPr>
                <w:rFonts w:ascii="Arial" w:hAnsi="Arial"/>
                <w:color w:val="000000"/>
                <w:sz w:val="16"/>
                <w:szCs w:val="16"/>
              </w:rPr>
            </w:pPr>
            <w:r w:rsidRPr="00B41377">
              <w:rPr>
                <w:rFonts w:ascii="Arial" w:hAnsi="Arial"/>
                <w:color w:val="000000"/>
                <w:sz w:val="16"/>
                <w:szCs w:val="16"/>
              </w:rPr>
              <w:t>Budget Year</w:t>
            </w:r>
          </w:p>
          <w:p w14:paraId="7736AD38" w14:textId="77777777" w:rsidR="00B41377" w:rsidRPr="00B41377" w:rsidRDefault="00B41377" w:rsidP="00B41377">
            <w:pPr>
              <w:tabs>
                <w:tab w:val="left" w:pos="709"/>
              </w:tabs>
              <w:spacing w:before="0" w:after="0"/>
              <w:rPr>
                <w:rFonts w:ascii="Arial" w:hAnsi="Arial"/>
                <w:color w:val="000000"/>
                <w:sz w:val="16"/>
                <w:szCs w:val="16"/>
              </w:rPr>
            </w:pPr>
            <w:r w:rsidRPr="00B41377">
              <w:rPr>
                <w:rFonts w:ascii="Arial" w:hAnsi="Arial"/>
                <w:color w:val="000000"/>
                <w:sz w:val="16"/>
                <w:szCs w:val="16"/>
              </w:rPr>
              <w:t>2025-26</w:t>
            </w:r>
            <w:r>
              <w:rPr>
                <w:rFonts w:ascii="Arial" w:hAnsi="Arial"/>
                <w:color w:val="000000"/>
                <w:sz w:val="16"/>
                <w:szCs w:val="16"/>
              </w:rPr>
              <w:t xml:space="preserve"> </w:t>
            </w:r>
            <w:r w:rsidRPr="00B41377">
              <w:rPr>
                <w:rFonts w:ascii="Arial" w:hAnsi="Arial"/>
                <w:color w:val="000000"/>
                <w:sz w:val="16"/>
                <w:szCs w:val="16"/>
                <w:vertAlign w:val="superscript"/>
              </w:rPr>
              <w:t>[a]</w:t>
            </w:r>
          </w:p>
        </w:tc>
        <w:tc>
          <w:tcPr>
            <w:tcW w:w="2884" w:type="dxa"/>
            <w:tcBorders>
              <w:top w:val="single" w:sz="4" w:space="0" w:color="auto"/>
              <w:left w:val="single" w:sz="4" w:space="0" w:color="auto"/>
              <w:bottom w:val="single" w:sz="4" w:space="0" w:color="auto"/>
              <w:right w:val="single" w:sz="4" w:space="0" w:color="auto"/>
            </w:tcBorders>
          </w:tcPr>
          <w:p w14:paraId="07A02233" w14:textId="77777777" w:rsidR="00B41377" w:rsidRPr="0027665E" w:rsidRDefault="00B41377" w:rsidP="0027665E">
            <w:pPr>
              <w:tabs>
                <w:tab w:val="left" w:pos="709"/>
              </w:tabs>
              <w:spacing w:before="60" w:after="60"/>
              <w:rPr>
                <w:rFonts w:ascii="Arial" w:hAnsi="Arial"/>
                <w:sz w:val="16"/>
                <w:szCs w:val="16"/>
                <w:lang w:val="en-AU"/>
              </w:rPr>
            </w:pPr>
            <w:r w:rsidRPr="00880166">
              <w:rPr>
                <w:rFonts w:ascii="Arial" w:hAnsi="Arial"/>
                <w:sz w:val="16"/>
                <w:szCs w:val="16"/>
                <w:lang w:val="en-AU"/>
              </w:rPr>
              <w:t xml:space="preserve">6.1: Defence is delivering the right future capability at the right time within the Integrated Investment Program to ensure it is equipped to respond to future security challenges as directed by the </w:t>
            </w:r>
            <w:r w:rsidRPr="00E00255">
              <w:rPr>
                <w:rFonts w:ascii="Arial" w:hAnsi="Arial"/>
                <w:i/>
                <w:sz w:val="16"/>
                <w:szCs w:val="16"/>
                <w:lang w:val="en-AU"/>
              </w:rPr>
              <w:t>2024 National Defence Strategy</w:t>
            </w:r>
            <w:r w:rsidRPr="00880166">
              <w:rPr>
                <w:rFonts w:ascii="Arial" w:hAnsi="Arial"/>
                <w:sz w:val="16"/>
                <w:szCs w:val="16"/>
                <w:lang w:val="en-AU"/>
              </w:rPr>
              <w:t>.</w:t>
            </w:r>
          </w:p>
        </w:tc>
        <w:tc>
          <w:tcPr>
            <w:tcW w:w="3124" w:type="dxa"/>
            <w:tcBorders>
              <w:top w:val="single" w:sz="4" w:space="0" w:color="auto"/>
              <w:left w:val="single" w:sz="4" w:space="0" w:color="auto"/>
              <w:bottom w:val="single" w:sz="4" w:space="0" w:color="auto"/>
              <w:right w:val="single" w:sz="4" w:space="0" w:color="auto"/>
            </w:tcBorders>
          </w:tcPr>
          <w:p w14:paraId="254CC4E3" w14:textId="77777777" w:rsidR="00B41377" w:rsidRPr="00F92371" w:rsidRDefault="00B41377" w:rsidP="00B41377">
            <w:pPr>
              <w:tabs>
                <w:tab w:val="left" w:pos="709"/>
              </w:tabs>
              <w:spacing w:before="60" w:after="60"/>
              <w:rPr>
                <w:rFonts w:ascii="Arial" w:hAnsi="Arial"/>
                <w:sz w:val="16"/>
                <w:szCs w:val="16"/>
                <w:lang w:val="en-AU"/>
              </w:rPr>
            </w:pPr>
            <w:r w:rsidRPr="00F92371">
              <w:rPr>
                <w:rFonts w:ascii="Arial" w:hAnsi="Arial"/>
                <w:sz w:val="16"/>
                <w:szCs w:val="16"/>
                <w:lang w:val="en-AU"/>
              </w:rPr>
              <w:t>80 per cent or more of approved Integrated Investment Program projects across all domains are on track to deliver the scope approved by Government within Government approved cost and schedule.</w:t>
            </w:r>
          </w:p>
          <w:p w14:paraId="0D2A0173" w14:textId="5573C771" w:rsidR="00B41377" w:rsidRPr="00F92371" w:rsidRDefault="00B41377" w:rsidP="00E23E12">
            <w:pPr>
              <w:tabs>
                <w:tab w:val="left" w:pos="709"/>
              </w:tabs>
              <w:spacing w:before="60" w:after="60"/>
              <w:jc w:val="center"/>
              <w:rPr>
                <w:rFonts w:ascii="Arial" w:hAnsi="Arial"/>
                <w:sz w:val="16"/>
                <w:szCs w:val="16"/>
              </w:rPr>
            </w:pPr>
          </w:p>
        </w:tc>
      </w:tr>
      <w:tr w:rsidR="00C626B3" w:rsidRPr="00B41377" w14:paraId="29B5300D" w14:textId="77777777" w:rsidTr="00514075">
        <w:trPr>
          <w:trHeight w:val="245"/>
        </w:trPr>
        <w:tc>
          <w:tcPr>
            <w:tcW w:w="1671" w:type="dxa"/>
            <w:tcBorders>
              <w:top w:val="single" w:sz="4" w:space="0" w:color="auto"/>
              <w:left w:val="single" w:sz="4" w:space="0" w:color="auto"/>
              <w:bottom w:val="single" w:sz="4" w:space="0" w:color="auto"/>
              <w:right w:val="single" w:sz="4" w:space="0" w:color="auto"/>
            </w:tcBorders>
          </w:tcPr>
          <w:p w14:paraId="088976CC" w14:textId="7590487A" w:rsidR="00C626B3" w:rsidRPr="00B41377" w:rsidRDefault="00C626B3" w:rsidP="00C626B3">
            <w:pPr>
              <w:pageBreakBefore/>
              <w:tabs>
                <w:tab w:val="left" w:pos="709"/>
              </w:tabs>
              <w:spacing w:before="0" w:after="0"/>
              <w:rPr>
                <w:rFonts w:ascii="Arial" w:hAnsi="Arial"/>
                <w:color w:val="000000"/>
                <w:sz w:val="16"/>
                <w:szCs w:val="16"/>
              </w:rPr>
            </w:pPr>
            <w:r w:rsidRPr="00B41377">
              <w:rPr>
                <w:rFonts w:ascii="Arial" w:hAnsi="Arial"/>
                <w:b/>
                <w:color w:val="000000"/>
                <w:sz w:val="16"/>
                <w:szCs w:val="16"/>
              </w:rPr>
              <w:lastRenderedPageBreak/>
              <w:t>Year</w:t>
            </w:r>
          </w:p>
        </w:tc>
        <w:tc>
          <w:tcPr>
            <w:tcW w:w="2884" w:type="dxa"/>
            <w:tcBorders>
              <w:top w:val="single" w:sz="4" w:space="0" w:color="auto"/>
              <w:left w:val="single" w:sz="4" w:space="0" w:color="auto"/>
              <w:bottom w:val="single" w:sz="4" w:space="0" w:color="auto"/>
              <w:right w:val="single" w:sz="4" w:space="0" w:color="auto"/>
            </w:tcBorders>
          </w:tcPr>
          <w:p w14:paraId="1C9F1859" w14:textId="3B397731" w:rsidR="00C626B3" w:rsidRPr="00880166" w:rsidRDefault="00C626B3" w:rsidP="00C626B3">
            <w:pPr>
              <w:autoSpaceDE w:val="0"/>
              <w:autoSpaceDN w:val="0"/>
              <w:adjustRightInd w:val="0"/>
              <w:spacing w:before="0" w:after="0"/>
              <w:rPr>
                <w:rFonts w:ascii="Arial" w:hAnsi="Arial"/>
                <w:sz w:val="16"/>
                <w:szCs w:val="16"/>
                <w:lang w:val="en-AU"/>
              </w:rPr>
            </w:pPr>
            <w:r w:rsidRPr="00B41377">
              <w:rPr>
                <w:rFonts w:ascii="Arial" w:hAnsi="Arial"/>
                <w:b/>
                <w:color w:val="000000"/>
                <w:sz w:val="16"/>
                <w:szCs w:val="16"/>
              </w:rPr>
              <w:t>Performance measures</w:t>
            </w:r>
          </w:p>
        </w:tc>
        <w:tc>
          <w:tcPr>
            <w:tcW w:w="3124" w:type="dxa"/>
            <w:tcBorders>
              <w:top w:val="single" w:sz="4" w:space="0" w:color="auto"/>
              <w:left w:val="single" w:sz="4" w:space="0" w:color="auto"/>
              <w:bottom w:val="single" w:sz="4" w:space="0" w:color="auto"/>
              <w:right w:val="single" w:sz="4" w:space="0" w:color="auto"/>
            </w:tcBorders>
          </w:tcPr>
          <w:p w14:paraId="1E75D691" w14:textId="269E6AD8" w:rsidR="00C626B3" w:rsidRPr="00F92371" w:rsidRDefault="00C626B3" w:rsidP="00CC7AF9">
            <w:pPr>
              <w:pageBreakBefore/>
              <w:tabs>
                <w:tab w:val="left" w:pos="709"/>
              </w:tabs>
              <w:spacing w:before="0" w:after="0"/>
              <w:rPr>
                <w:rFonts w:ascii="Arial" w:hAnsi="Arial"/>
                <w:sz w:val="16"/>
                <w:szCs w:val="16"/>
                <w:lang w:val="en-AU"/>
              </w:rPr>
            </w:pPr>
            <w:r w:rsidRPr="00B41377">
              <w:rPr>
                <w:rFonts w:ascii="Arial" w:hAnsi="Arial"/>
                <w:b/>
                <w:color w:val="000000"/>
                <w:sz w:val="16"/>
                <w:szCs w:val="16"/>
              </w:rPr>
              <w:t>Planned Performance Results</w:t>
            </w:r>
          </w:p>
        </w:tc>
      </w:tr>
      <w:tr w:rsidR="00C626B3" w:rsidRPr="00B41377" w14:paraId="0FE64124" w14:textId="77777777" w:rsidTr="00514075">
        <w:trPr>
          <w:trHeight w:val="642"/>
        </w:trPr>
        <w:tc>
          <w:tcPr>
            <w:tcW w:w="1671" w:type="dxa"/>
            <w:tcBorders>
              <w:top w:val="single" w:sz="4" w:space="0" w:color="auto"/>
              <w:left w:val="single" w:sz="4" w:space="0" w:color="auto"/>
              <w:bottom w:val="single" w:sz="4" w:space="0" w:color="auto"/>
              <w:right w:val="single" w:sz="4" w:space="0" w:color="auto"/>
            </w:tcBorders>
          </w:tcPr>
          <w:p w14:paraId="7F1BA421" w14:textId="77777777" w:rsidR="00C626B3" w:rsidRPr="00B41377" w:rsidRDefault="00C626B3" w:rsidP="00C626B3">
            <w:pPr>
              <w:tabs>
                <w:tab w:val="left" w:pos="709"/>
              </w:tabs>
              <w:spacing w:before="0" w:after="0"/>
              <w:rPr>
                <w:rFonts w:ascii="Arial" w:hAnsi="Arial"/>
                <w:color w:val="000000"/>
                <w:sz w:val="16"/>
                <w:szCs w:val="16"/>
              </w:rPr>
            </w:pPr>
            <w:r w:rsidRPr="00B41377">
              <w:rPr>
                <w:rFonts w:ascii="Arial" w:hAnsi="Arial"/>
                <w:color w:val="000000"/>
                <w:sz w:val="16"/>
                <w:szCs w:val="16"/>
              </w:rPr>
              <w:t>Budget Year</w:t>
            </w:r>
          </w:p>
          <w:p w14:paraId="7DAF70B7" w14:textId="6274940D" w:rsidR="00C626B3" w:rsidRPr="00B41377" w:rsidRDefault="00C626B3" w:rsidP="00C626B3">
            <w:pPr>
              <w:tabs>
                <w:tab w:val="left" w:pos="709"/>
              </w:tabs>
              <w:spacing w:before="0" w:after="0"/>
              <w:rPr>
                <w:rFonts w:ascii="Arial" w:hAnsi="Arial"/>
                <w:color w:val="000000"/>
                <w:sz w:val="16"/>
                <w:szCs w:val="16"/>
              </w:rPr>
            </w:pPr>
            <w:r w:rsidRPr="00B41377">
              <w:rPr>
                <w:rFonts w:ascii="Arial" w:hAnsi="Arial"/>
                <w:color w:val="000000"/>
                <w:sz w:val="16"/>
                <w:szCs w:val="16"/>
              </w:rPr>
              <w:t>2025-26</w:t>
            </w:r>
            <w:r>
              <w:rPr>
                <w:rFonts w:ascii="Arial" w:hAnsi="Arial"/>
                <w:color w:val="000000"/>
                <w:sz w:val="16"/>
                <w:szCs w:val="16"/>
              </w:rPr>
              <w:t xml:space="preserve"> </w:t>
            </w:r>
            <w:r w:rsidRPr="00B41377">
              <w:rPr>
                <w:rFonts w:ascii="Arial" w:hAnsi="Arial"/>
                <w:color w:val="000000"/>
                <w:sz w:val="16"/>
                <w:szCs w:val="16"/>
                <w:vertAlign w:val="superscript"/>
              </w:rPr>
              <w:t>[a]</w:t>
            </w:r>
          </w:p>
        </w:tc>
        <w:tc>
          <w:tcPr>
            <w:tcW w:w="2884" w:type="dxa"/>
            <w:tcBorders>
              <w:top w:val="single" w:sz="4" w:space="0" w:color="auto"/>
              <w:left w:val="single" w:sz="4" w:space="0" w:color="auto"/>
              <w:bottom w:val="single" w:sz="4" w:space="0" w:color="auto"/>
              <w:right w:val="single" w:sz="4" w:space="0" w:color="auto"/>
            </w:tcBorders>
          </w:tcPr>
          <w:p w14:paraId="4E840980" w14:textId="295C5AD0" w:rsidR="00C626B3" w:rsidRPr="00BD4E0F" w:rsidRDefault="00C626B3" w:rsidP="001809FC">
            <w:pPr>
              <w:autoSpaceDE w:val="0"/>
              <w:autoSpaceDN w:val="0"/>
              <w:adjustRightInd w:val="0"/>
              <w:spacing w:before="60" w:after="0"/>
              <w:rPr>
                <w:rFonts w:ascii="Arial" w:hAnsi="Arial"/>
                <w:sz w:val="16"/>
                <w:szCs w:val="16"/>
                <w:lang w:val="en-AU"/>
              </w:rPr>
            </w:pPr>
            <w:r w:rsidRPr="0027665E">
              <w:rPr>
                <w:rFonts w:ascii="Arial" w:hAnsi="Arial"/>
                <w:color w:val="000000"/>
                <w:sz w:val="16"/>
                <w:szCs w:val="16"/>
              </w:rPr>
              <w:t>7.1: Defence strengthens the sovereign defence industr</w:t>
            </w:r>
            <w:r w:rsidR="001809FC">
              <w:rPr>
                <w:rFonts w:ascii="Arial" w:hAnsi="Arial"/>
                <w:color w:val="000000"/>
                <w:sz w:val="16"/>
                <w:szCs w:val="16"/>
              </w:rPr>
              <w:t>ial</w:t>
            </w:r>
            <w:r w:rsidRPr="0027665E">
              <w:rPr>
                <w:rFonts w:ascii="Arial" w:hAnsi="Arial"/>
                <w:color w:val="000000"/>
                <w:sz w:val="16"/>
                <w:szCs w:val="16"/>
              </w:rPr>
              <w:t xml:space="preserve"> base across critical industrial capabilities</w:t>
            </w:r>
            <w:r w:rsidRPr="00BD4E0F">
              <w:rPr>
                <w:rFonts w:ascii="Arial" w:hAnsi="Arial"/>
                <w:sz w:val="16"/>
                <w:szCs w:val="16"/>
                <w:lang w:val="en-AU"/>
              </w:rPr>
              <w:t>.</w:t>
            </w:r>
          </w:p>
        </w:tc>
        <w:tc>
          <w:tcPr>
            <w:tcW w:w="3124" w:type="dxa"/>
            <w:tcBorders>
              <w:top w:val="single" w:sz="4" w:space="0" w:color="auto"/>
              <w:left w:val="single" w:sz="4" w:space="0" w:color="auto"/>
              <w:bottom w:val="single" w:sz="4" w:space="0" w:color="auto"/>
              <w:right w:val="single" w:sz="4" w:space="0" w:color="auto"/>
            </w:tcBorders>
          </w:tcPr>
          <w:p w14:paraId="3A6D586E" w14:textId="3144CB45" w:rsidR="00C626B3" w:rsidRPr="00BD4E0F" w:rsidRDefault="00C626B3" w:rsidP="00C626B3">
            <w:pPr>
              <w:tabs>
                <w:tab w:val="left" w:pos="709"/>
              </w:tabs>
              <w:spacing w:before="60" w:after="60"/>
              <w:rPr>
                <w:rFonts w:ascii="Arial" w:hAnsi="Arial"/>
                <w:color w:val="000000"/>
                <w:sz w:val="16"/>
                <w:szCs w:val="16"/>
              </w:rPr>
            </w:pPr>
            <w:r w:rsidRPr="00BD4E0F">
              <w:rPr>
                <w:rFonts w:ascii="Arial" w:hAnsi="Arial"/>
                <w:color w:val="000000"/>
                <w:sz w:val="16"/>
                <w:szCs w:val="16"/>
              </w:rPr>
              <w:t>80 per cent or more of the Defence Industry Development Grant Program budgeted allocation is awarded; supports Australian defence industry in international markets; provides a direct economic contribution to the Australian economy; drives investment in innovation, science and technology to deliver defence priorities; meets or exceeds Indigenous procurement targets; and supports the development of the domestic manufacture of guided weapons, explosive ordnance and munitions.</w:t>
            </w:r>
          </w:p>
        </w:tc>
      </w:tr>
      <w:tr w:rsidR="00C626B3" w:rsidRPr="00B41377" w14:paraId="115DBF12" w14:textId="77777777" w:rsidTr="00514075">
        <w:trPr>
          <w:trHeight w:val="271"/>
        </w:trPr>
        <w:tc>
          <w:tcPr>
            <w:tcW w:w="1671" w:type="dxa"/>
            <w:tcBorders>
              <w:top w:val="single" w:sz="4" w:space="0" w:color="auto"/>
              <w:left w:val="single" w:sz="4" w:space="0" w:color="auto"/>
              <w:bottom w:val="single" w:sz="4" w:space="0" w:color="auto"/>
              <w:right w:val="single" w:sz="4" w:space="0" w:color="auto"/>
            </w:tcBorders>
          </w:tcPr>
          <w:p w14:paraId="40600352" w14:textId="7A16B424" w:rsidR="00C626B3" w:rsidRPr="00B41377" w:rsidRDefault="00C626B3" w:rsidP="00C626B3">
            <w:pPr>
              <w:keepNext/>
              <w:keepLines/>
              <w:tabs>
                <w:tab w:val="left" w:pos="709"/>
              </w:tabs>
              <w:spacing w:before="0" w:after="0"/>
              <w:rPr>
                <w:rFonts w:ascii="Arial" w:hAnsi="Arial"/>
                <w:color w:val="000000"/>
                <w:sz w:val="16"/>
                <w:szCs w:val="16"/>
              </w:rPr>
            </w:pPr>
            <w:r w:rsidRPr="00321534">
              <w:rPr>
                <w:rFonts w:ascii="Arial" w:hAnsi="Arial"/>
                <w:b/>
                <w:color w:val="000000"/>
                <w:sz w:val="16"/>
                <w:szCs w:val="16"/>
              </w:rPr>
              <w:t>Year</w:t>
            </w:r>
          </w:p>
        </w:tc>
        <w:tc>
          <w:tcPr>
            <w:tcW w:w="2884" w:type="dxa"/>
            <w:tcBorders>
              <w:top w:val="single" w:sz="4" w:space="0" w:color="auto"/>
              <w:left w:val="single" w:sz="4" w:space="0" w:color="auto"/>
              <w:bottom w:val="single" w:sz="4" w:space="0" w:color="auto"/>
              <w:right w:val="single" w:sz="4" w:space="0" w:color="auto"/>
            </w:tcBorders>
          </w:tcPr>
          <w:p w14:paraId="3E6C3F93" w14:textId="5409C2E9" w:rsidR="00C626B3" w:rsidRPr="00B41377" w:rsidRDefault="00C626B3" w:rsidP="00C626B3">
            <w:pPr>
              <w:tabs>
                <w:tab w:val="left" w:pos="709"/>
              </w:tabs>
              <w:spacing w:before="60" w:after="60"/>
              <w:rPr>
                <w:rFonts w:ascii="Arial" w:hAnsi="Arial"/>
                <w:color w:val="000000"/>
                <w:sz w:val="16"/>
                <w:szCs w:val="16"/>
              </w:rPr>
            </w:pPr>
            <w:r w:rsidRPr="00321534">
              <w:rPr>
                <w:rFonts w:ascii="Arial" w:hAnsi="Arial"/>
                <w:b/>
                <w:color w:val="000000"/>
                <w:sz w:val="16"/>
                <w:szCs w:val="16"/>
              </w:rPr>
              <w:t>Performance measures</w:t>
            </w:r>
          </w:p>
        </w:tc>
        <w:tc>
          <w:tcPr>
            <w:tcW w:w="3124" w:type="dxa"/>
            <w:tcBorders>
              <w:top w:val="single" w:sz="4" w:space="0" w:color="auto"/>
              <w:left w:val="single" w:sz="4" w:space="0" w:color="auto"/>
              <w:bottom w:val="single" w:sz="4" w:space="0" w:color="auto"/>
              <w:right w:val="single" w:sz="4" w:space="0" w:color="auto"/>
            </w:tcBorders>
          </w:tcPr>
          <w:p w14:paraId="59CFBBA0" w14:textId="15874BF9" w:rsidR="00C626B3" w:rsidRPr="00B41377" w:rsidRDefault="00C626B3" w:rsidP="00C626B3">
            <w:pPr>
              <w:tabs>
                <w:tab w:val="left" w:pos="709"/>
              </w:tabs>
              <w:spacing w:before="60" w:after="60"/>
              <w:rPr>
                <w:rFonts w:ascii="Arial" w:hAnsi="Arial"/>
                <w:color w:val="000000"/>
                <w:sz w:val="16"/>
                <w:szCs w:val="16"/>
              </w:rPr>
            </w:pPr>
            <w:r w:rsidRPr="00321534">
              <w:rPr>
                <w:rFonts w:ascii="Arial" w:hAnsi="Arial"/>
                <w:b/>
                <w:color w:val="000000"/>
                <w:sz w:val="16"/>
                <w:szCs w:val="16"/>
              </w:rPr>
              <w:t>Planned Performance Results</w:t>
            </w:r>
          </w:p>
        </w:tc>
      </w:tr>
      <w:tr w:rsidR="00C626B3" w:rsidRPr="00B41377" w14:paraId="59885C9A" w14:textId="77777777" w:rsidTr="00514075">
        <w:trPr>
          <w:trHeight w:val="491"/>
        </w:trPr>
        <w:tc>
          <w:tcPr>
            <w:tcW w:w="1671" w:type="dxa"/>
            <w:tcBorders>
              <w:top w:val="single" w:sz="4" w:space="0" w:color="auto"/>
              <w:left w:val="single" w:sz="4" w:space="0" w:color="auto"/>
              <w:bottom w:val="single" w:sz="4" w:space="0" w:color="auto"/>
              <w:right w:val="single" w:sz="4" w:space="0" w:color="auto"/>
            </w:tcBorders>
          </w:tcPr>
          <w:p w14:paraId="0F5DB901" w14:textId="77777777" w:rsidR="00C626B3" w:rsidRPr="00B41377" w:rsidRDefault="00C626B3" w:rsidP="00C626B3">
            <w:pPr>
              <w:keepNext/>
              <w:keepLines/>
              <w:tabs>
                <w:tab w:val="left" w:pos="709"/>
              </w:tabs>
              <w:spacing w:before="0" w:after="0"/>
              <w:rPr>
                <w:rFonts w:ascii="Arial" w:hAnsi="Arial"/>
                <w:color w:val="000000"/>
                <w:sz w:val="16"/>
                <w:szCs w:val="16"/>
              </w:rPr>
            </w:pPr>
            <w:r w:rsidRPr="00B41377">
              <w:rPr>
                <w:rFonts w:ascii="Arial" w:hAnsi="Arial"/>
                <w:color w:val="000000"/>
                <w:sz w:val="16"/>
                <w:szCs w:val="16"/>
              </w:rPr>
              <w:t>Forward Estimates</w:t>
            </w:r>
          </w:p>
          <w:p w14:paraId="198F1450" w14:textId="77777777" w:rsidR="00C626B3" w:rsidRPr="00B41377" w:rsidRDefault="00C626B3" w:rsidP="00C626B3">
            <w:pPr>
              <w:tabs>
                <w:tab w:val="left" w:pos="709"/>
              </w:tabs>
              <w:spacing w:before="0" w:after="0"/>
              <w:rPr>
                <w:rFonts w:ascii="Arial" w:hAnsi="Arial"/>
                <w:b/>
                <w:color w:val="000000"/>
                <w:sz w:val="16"/>
                <w:szCs w:val="16"/>
              </w:rPr>
            </w:pPr>
            <w:r w:rsidRPr="00B41377">
              <w:rPr>
                <w:rFonts w:ascii="Arial" w:hAnsi="Arial"/>
                <w:color w:val="000000"/>
                <w:sz w:val="16"/>
                <w:szCs w:val="16"/>
              </w:rPr>
              <w:t>2026-29</w:t>
            </w:r>
          </w:p>
        </w:tc>
        <w:tc>
          <w:tcPr>
            <w:tcW w:w="2884" w:type="dxa"/>
            <w:tcBorders>
              <w:top w:val="single" w:sz="4" w:space="0" w:color="auto"/>
              <w:left w:val="single" w:sz="4" w:space="0" w:color="auto"/>
              <w:bottom w:val="single" w:sz="4" w:space="0" w:color="auto"/>
              <w:right w:val="single" w:sz="4" w:space="0" w:color="auto"/>
            </w:tcBorders>
          </w:tcPr>
          <w:p w14:paraId="210AF657" w14:textId="77777777" w:rsidR="00C626B3" w:rsidRPr="00B41377" w:rsidRDefault="00C626B3" w:rsidP="00C626B3">
            <w:pPr>
              <w:tabs>
                <w:tab w:val="left" w:pos="709"/>
              </w:tabs>
              <w:spacing w:before="60" w:after="60"/>
              <w:rPr>
                <w:rFonts w:ascii="Arial" w:hAnsi="Arial"/>
                <w:b/>
                <w:color w:val="000000"/>
                <w:sz w:val="16"/>
                <w:szCs w:val="16"/>
              </w:rPr>
            </w:pPr>
            <w:r w:rsidRPr="00B41377">
              <w:rPr>
                <w:rFonts w:ascii="Arial" w:hAnsi="Arial"/>
                <w:color w:val="000000"/>
                <w:sz w:val="16"/>
                <w:szCs w:val="16"/>
              </w:rPr>
              <w:t>As per 202</w:t>
            </w:r>
            <w:r>
              <w:rPr>
                <w:rFonts w:ascii="Arial" w:hAnsi="Arial"/>
                <w:color w:val="000000"/>
                <w:sz w:val="16"/>
                <w:szCs w:val="16"/>
              </w:rPr>
              <w:t>5</w:t>
            </w:r>
            <w:r w:rsidRPr="00B41377">
              <w:rPr>
                <w:rFonts w:ascii="Arial" w:hAnsi="Arial"/>
                <w:color w:val="000000"/>
                <w:sz w:val="16"/>
                <w:szCs w:val="16"/>
              </w:rPr>
              <w:t>-2</w:t>
            </w:r>
            <w:r>
              <w:rPr>
                <w:rFonts w:ascii="Arial" w:hAnsi="Arial"/>
                <w:color w:val="000000"/>
                <w:sz w:val="16"/>
                <w:szCs w:val="16"/>
              </w:rPr>
              <w:t>6</w:t>
            </w:r>
            <w:r w:rsidRPr="00B41377">
              <w:rPr>
                <w:rFonts w:ascii="Arial" w:hAnsi="Arial"/>
                <w:color w:val="000000"/>
                <w:sz w:val="16"/>
                <w:szCs w:val="16"/>
              </w:rPr>
              <w:t>.</w:t>
            </w:r>
          </w:p>
        </w:tc>
        <w:tc>
          <w:tcPr>
            <w:tcW w:w="3124" w:type="dxa"/>
            <w:tcBorders>
              <w:top w:val="single" w:sz="4" w:space="0" w:color="auto"/>
              <w:left w:val="single" w:sz="4" w:space="0" w:color="auto"/>
              <w:bottom w:val="single" w:sz="4" w:space="0" w:color="auto"/>
              <w:right w:val="single" w:sz="4" w:space="0" w:color="auto"/>
            </w:tcBorders>
          </w:tcPr>
          <w:p w14:paraId="3C9920B4" w14:textId="77777777" w:rsidR="00C626B3" w:rsidRPr="00B41377" w:rsidRDefault="00C626B3" w:rsidP="00C626B3">
            <w:pPr>
              <w:tabs>
                <w:tab w:val="left" w:pos="709"/>
              </w:tabs>
              <w:spacing w:before="60" w:after="60"/>
              <w:rPr>
                <w:rFonts w:ascii="Arial" w:hAnsi="Arial"/>
                <w:b/>
                <w:color w:val="000000"/>
                <w:sz w:val="16"/>
                <w:szCs w:val="16"/>
              </w:rPr>
            </w:pPr>
            <w:r w:rsidRPr="00B41377">
              <w:rPr>
                <w:rFonts w:ascii="Arial" w:hAnsi="Arial"/>
                <w:color w:val="000000"/>
                <w:sz w:val="16"/>
                <w:szCs w:val="16"/>
              </w:rPr>
              <w:t>A</w:t>
            </w:r>
            <w:r>
              <w:rPr>
                <w:rFonts w:ascii="Arial" w:hAnsi="Arial"/>
                <w:color w:val="000000"/>
                <w:sz w:val="16"/>
                <w:szCs w:val="16"/>
              </w:rPr>
              <w:t>s per 2025</w:t>
            </w:r>
            <w:r w:rsidRPr="00B41377">
              <w:rPr>
                <w:rFonts w:ascii="Arial" w:hAnsi="Arial"/>
                <w:color w:val="000000"/>
                <w:sz w:val="16"/>
                <w:szCs w:val="16"/>
              </w:rPr>
              <w:t>-2</w:t>
            </w:r>
            <w:r>
              <w:rPr>
                <w:rFonts w:ascii="Arial" w:hAnsi="Arial"/>
                <w:color w:val="000000"/>
                <w:sz w:val="16"/>
                <w:szCs w:val="16"/>
              </w:rPr>
              <w:t>6</w:t>
            </w:r>
            <w:r w:rsidRPr="00B41377">
              <w:rPr>
                <w:rFonts w:ascii="Arial" w:hAnsi="Arial"/>
                <w:color w:val="000000"/>
                <w:sz w:val="16"/>
                <w:szCs w:val="16"/>
              </w:rPr>
              <w:t>.</w:t>
            </w:r>
          </w:p>
        </w:tc>
      </w:tr>
      <w:tr w:rsidR="00C626B3" w:rsidRPr="00B41377" w14:paraId="67FDAA37" w14:textId="77777777" w:rsidTr="00514075">
        <w:trPr>
          <w:trHeight w:val="291"/>
        </w:trPr>
        <w:tc>
          <w:tcPr>
            <w:tcW w:w="7679" w:type="dxa"/>
            <w:gridSpan w:val="3"/>
            <w:tcBorders>
              <w:top w:val="single" w:sz="4" w:space="0" w:color="auto"/>
              <w:left w:val="single" w:sz="4" w:space="0" w:color="auto"/>
              <w:right w:val="single" w:sz="4" w:space="0" w:color="auto"/>
            </w:tcBorders>
          </w:tcPr>
          <w:p w14:paraId="5F555729" w14:textId="493477DD" w:rsidR="00C626B3" w:rsidRPr="00B41377" w:rsidRDefault="00C626B3" w:rsidP="00C626B3">
            <w:pPr>
              <w:tabs>
                <w:tab w:val="left" w:pos="709"/>
              </w:tabs>
              <w:spacing w:before="60" w:after="60"/>
              <w:rPr>
                <w:rFonts w:ascii="Arial" w:hAnsi="Arial"/>
                <w:bCs/>
                <w:iCs/>
                <w:color w:val="000000"/>
                <w:spacing w:val="-6"/>
                <w:sz w:val="16"/>
                <w:szCs w:val="16"/>
              </w:rPr>
            </w:pPr>
            <w:r w:rsidRPr="00B41377">
              <w:rPr>
                <w:rFonts w:ascii="Arial" w:hAnsi="Arial"/>
                <w:color w:val="000000"/>
                <w:sz w:val="16"/>
                <w:szCs w:val="16"/>
              </w:rPr>
              <w:t>Material changes to Program 2.16 resulting from 202</w:t>
            </w:r>
            <w:r>
              <w:rPr>
                <w:rFonts w:ascii="Arial" w:hAnsi="Arial"/>
                <w:color w:val="000000"/>
                <w:sz w:val="16"/>
                <w:szCs w:val="16"/>
              </w:rPr>
              <w:t>5</w:t>
            </w:r>
            <w:r w:rsidRPr="00B41377">
              <w:rPr>
                <w:rFonts w:ascii="Arial" w:hAnsi="Arial"/>
                <w:color w:val="000000"/>
                <w:sz w:val="16"/>
                <w:szCs w:val="16"/>
              </w:rPr>
              <w:t>-2</w:t>
            </w:r>
            <w:r>
              <w:rPr>
                <w:rFonts w:ascii="Arial" w:hAnsi="Arial"/>
                <w:color w:val="000000"/>
                <w:sz w:val="16"/>
                <w:szCs w:val="16"/>
              </w:rPr>
              <w:t>6</w:t>
            </w:r>
            <w:r w:rsidRPr="00B41377">
              <w:rPr>
                <w:rFonts w:ascii="Arial" w:hAnsi="Arial"/>
                <w:color w:val="000000"/>
                <w:sz w:val="16"/>
                <w:szCs w:val="16"/>
              </w:rPr>
              <w:t xml:space="preserve"> Budget Measures: Nil.</w:t>
            </w:r>
          </w:p>
        </w:tc>
      </w:tr>
    </w:tbl>
    <w:p w14:paraId="0977F685" w14:textId="77777777" w:rsidR="00F7100A" w:rsidRPr="00B41377" w:rsidRDefault="00F7100A" w:rsidP="00F7100A">
      <w:pPr>
        <w:pStyle w:val="TableHeading"/>
        <w:spacing w:before="0" w:after="0"/>
        <w:rPr>
          <w:sz w:val="16"/>
          <w:szCs w:val="16"/>
        </w:rPr>
      </w:pPr>
    </w:p>
    <w:p w14:paraId="5A390D6E" w14:textId="77777777" w:rsidR="00F7100A" w:rsidRPr="00B41377" w:rsidRDefault="00F7100A" w:rsidP="00F7100A">
      <w:pPr>
        <w:pStyle w:val="TableHeading"/>
        <w:spacing w:before="0" w:after="0"/>
        <w:rPr>
          <w:sz w:val="14"/>
          <w:szCs w:val="14"/>
        </w:rPr>
      </w:pPr>
      <w:r w:rsidRPr="00B41377">
        <w:rPr>
          <w:sz w:val="14"/>
          <w:szCs w:val="14"/>
        </w:rPr>
        <w:t>Note</w:t>
      </w:r>
    </w:p>
    <w:p w14:paraId="1E19E69E" w14:textId="0E1A8BB2" w:rsidR="00D44592" w:rsidRPr="00D44592" w:rsidRDefault="00D44592" w:rsidP="00444A89">
      <w:pPr>
        <w:pStyle w:val="TableHeading"/>
        <w:numPr>
          <w:ilvl w:val="1"/>
          <w:numId w:val="38"/>
        </w:numPr>
        <w:tabs>
          <w:tab w:val="left" w:pos="284"/>
        </w:tabs>
        <w:spacing w:before="0" w:after="0"/>
        <w:ind w:left="284" w:hanging="284"/>
        <w:rPr>
          <w:b w:val="0"/>
          <w:sz w:val="14"/>
          <w:szCs w:val="14"/>
        </w:rPr>
      </w:pPr>
      <w:r w:rsidRPr="00D44592">
        <w:rPr>
          <w:b w:val="0"/>
          <w:sz w:val="14"/>
          <w:szCs w:val="14"/>
          <w:lang w:val="en-AU"/>
        </w:rPr>
        <w:t>In accordance with Defence’s Enterprise Performance Framework, Defence is undertaking materiality assessments that may result in updates to the 2025-26 performance information in the 2025-29 Defence Corporate Plan, if required.</w:t>
      </w:r>
    </w:p>
    <w:p w14:paraId="59C508E1" w14:textId="2B98A019" w:rsidR="00B41377" w:rsidRPr="00B41377" w:rsidRDefault="00B41377" w:rsidP="009737EB">
      <w:pPr>
        <w:pStyle w:val="TableHeading"/>
        <w:tabs>
          <w:tab w:val="left" w:pos="284"/>
        </w:tabs>
        <w:spacing w:before="0" w:after="0"/>
        <w:ind w:left="284"/>
        <w:rPr>
          <w:b w:val="0"/>
          <w:sz w:val="14"/>
          <w:szCs w:val="14"/>
        </w:rPr>
      </w:pPr>
    </w:p>
    <w:p w14:paraId="76F28A5C" w14:textId="76DE9D25" w:rsidR="00837542" w:rsidRPr="00A12678" w:rsidRDefault="00837542" w:rsidP="00BA1388">
      <w:pPr>
        <w:pStyle w:val="TableHeading"/>
        <w:numPr>
          <w:ilvl w:val="0"/>
          <w:numId w:val="29"/>
        </w:numPr>
        <w:spacing w:before="0" w:after="120"/>
        <w:ind w:left="0" w:firstLine="0"/>
        <w:outlineLvl w:val="6"/>
      </w:pPr>
      <w:r w:rsidRPr="00A12678">
        <w:t>Cost Summary for Program 2.16 Nuclear</w:t>
      </w:r>
      <w:r w:rsidR="00DD539A" w:rsidRPr="00A12678">
        <w:t>-</w:t>
      </w:r>
      <w:r w:rsidRPr="00A12678">
        <w:t>Powered Submarines</w:t>
      </w:r>
      <w:r w:rsidR="0049456D" w:rsidRPr="00A12678">
        <w:t xml:space="preserve"> </w:t>
      </w:r>
    </w:p>
    <w:p w14:paraId="51B2D778" w14:textId="0C18BDF8" w:rsidR="00D704E2" w:rsidRPr="00B56FAA" w:rsidRDefault="005F4285" w:rsidP="00656D60">
      <w:pPr>
        <w:spacing w:before="0" w:after="0"/>
      </w:pPr>
      <w:r w:rsidRPr="005F4285">
        <w:rPr>
          <w:noProof/>
          <w:lang w:val="en-AU"/>
        </w:rPr>
        <w:drawing>
          <wp:inline distT="0" distB="0" distL="0" distR="0" wp14:anchorId="083C6767" wp14:editId="565F1D1D">
            <wp:extent cx="4986020" cy="2604184"/>
            <wp:effectExtent l="0" t="0" r="508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86020" cy="2604184"/>
                    </a:xfrm>
                    <a:prstGeom prst="rect">
                      <a:avLst/>
                    </a:prstGeom>
                    <a:noFill/>
                    <a:ln>
                      <a:noFill/>
                    </a:ln>
                  </pic:spPr>
                </pic:pic>
              </a:graphicData>
            </a:graphic>
          </wp:inline>
        </w:drawing>
      </w:r>
    </w:p>
    <w:p w14:paraId="5500EDBC" w14:textId="77777777" w:rsidR="00656D60" w:rsidRPr="00B56FAA" w:rsidRDefault="00656D60" w:rsidP="00656D60">
      <w:pPr>
        <w:spacing w:before="0" w:after="0"/>
        <w:rPr>
          <w:rFonts w:ascii="Arial" w:hAnsi="Arial"/>
          <w:b/>
          <w:sz w:val="14"/>
          <w:szCs w:val="14"/>
        </w:rPr>
      </w:pPr>
    </w:p>
    <w:p w14:paraId="1FAD28A7" w14:textId="71339236" w:rsidR="000F1019" w:rsidRPr="006C3844" w:rsidRDefault="009F0F8A" w:rsidP="006C3844">
      <w:pPr>
        <w:pStyle w:val="BodyText"/>
        <w:spacing w:before="0" w:after="0"/>
        <w:ind w:left="284" w:hanging="284"/>
        <w:rPr>
          <w:rFonts w:ascii="Arial" w:hAnsi="Arial"/>
          <w:b/>
          <w:sz w:val="14"/>
          <w:szCs w:val="14"/>
        </w:rPr>
      </w:pPr>
      <w:r>
        <w:rPr>
          <w:rFonts w:ascii="Arial" w:hAnsi="Arial"/>
          <w:b/>
          <w:sz w:val="14"/>
          <w:szCs w:val="14"/>
        </w:rPr>
        <w:t>Note</w:t>
      </w:r>
    </w:p>
    <w:p w14:paraId="50FD62F6" w14:textId="1654E54D" w:rsidR="00BA1388" w:rsidRPr="006C3844" w:rsidRDefault="00D246C9" w:rsidP="00BA1388">
      <w:pPr>
        <w:pStyle w:val="BodyText"/>
        <w:spacing w:before="0" w:after="0"/>
        <w:ind w:left="284" w:hanging="284"/>
        <w:rPr>
          <w:rFonts w:ascii="Arial" w:hAnsi="Arial"/>
          <w:sz w:val="14"/>
          <w:szCs w:val="14"/>
        </w:rPr>
      </w:pPr>
      <w:r w:rsidRPr="006C3844">
        <w:rPr>
          <w:rFonts w:ascii="Arial" w:hAnsi="Arial"/>
          <w:sz w:val="14"/>
          <w:szCs w:val="14"/>
        </w:rPr>
        <w:t xml:space="preserve">a. </w:t>
      </w:r>
      <w:r w:rsidRPr="006C3844">
        <w:rPr>
          <w:rFonts w:ascii="Arial" w:hAnsi="Arial"/>
          <w:sz w:val="14"/>
          <w:szCs w:val="14"/>
        </w:rPr>
        <w:tab/>
      </w:r>
      <w:r w:rsidR="00855CD3" w:rsidRPr="00855CD3">
        <w:rPr>
          <w:rFonts w:ascii="Arial" w:hAnsi="Arial"/>
          <w:sz w:val="14"/>
          <w:szCs w:val="14"/>
        </w:rPr>
        <w:t>Total Program funded expenditure includes operating expenses and capital expenditure funded by appropriation and own source revenue. This excludes expenses not requiring appropriation.</w:t>
      </w:r>
      <w:r w:rsidR="00855CD3" w:rsidRPr="00855CD3">
        <w:rPr>
          <w:rFonts w:ascii="Arial" w:hAnsi="Arial"/>
          <w:sz w:val="14"/>
          <w:szCs w:val="14"/>
        </w:rPr>
        <w:tab/>
      </w:r>
      <w:r w:rsidR="00855CD3" w:rsidRPr="00855CD3">
        <w:rPr>
          <w:rFonts w:ascii="Arial" w:hAnsi="Arial"/>
          <w:sz w:val="14"/>
          <w:szCs w:val="14"/>
        </w:rPr>
        <w:tab/>
      </w:r>
      <w:r w:rsidR="00855CD3" w:rsidRPr="00855CD3">
        <w:rPr>
          <w:rFonts w:ascii="Arial" w:hAnsi="Arial"/>
          <w:sz w:val="14"/>
          <w:szCs w:val="14"/>
        </w:rPr>
        <w:tab/>
      </w:r>
      <w:r w:rsidR="00855CD3" w:rsidRPr="00855CD3">
        <w:rPr>
          <w:rFonts w:ascii="Arial" w:hAnsi="Arial"/>
          <w:sz w:val="14"/>
          <w:szCs w:val="14"/>
        </w:rPr>
        <w:tab/>
      </w:r>
      <w:r w:rsidR="00855CD3" w:rsidRPr="00855CD3">
        <w:rPr>
          <w:rFonts w:ascii="Arial" w:hAnsi="Arial"/>
          <w:sz w:val="14"/>
          <w:szCs w:val="14"/>
        </w:rPr>
        <w:tab/>
      </w:r>
    </w:p>
    <w:p w14:paraId="23CA5E78" w14:textId="77777777" w:rsidR="00F51DAC" w:rsidRPr="006C3844" w:rsidRDefault="00A12678" w:rsidP="006C3844">
      <w:pPr>
        <w:pStyle w:val="BodyText"/>
        <w:spacing w:before="0" w:after="0"/>
        <w:ind w:left="284" w:hanging="284"/>
        <w:rPr>
          <w:rFonts w:ascii="Arial" w:hAnsi="Arial"/>
          <w:sz w:val="14"/>
          <w:szCs w:val="14"/>
        </w:rPr>
      </w:pPr>
      <w:r w:rsidRPr="006C3844">
        <w:rPr>
          <w:rFonts w:ascii="Arial" w:hAnsi="Arial"/>
          <w:sz w:val="14"/>
          <w:szCs w:val="14"/>
        </w:rPr>
        <w:tab/>
      </w:r>
      <w:r w:rsidRPr="006C3844">
        <w:rPr>
          <w:rFonts w:ascii="Arial" w:hAnsi="Arial"/>
          <w:sz w:val="14"/>
          <w:szCs w:val="14"/>
        </w:rPr>
        <w:tab/>
      </w:r>
      <w:r w:rsidRPr="006C3844">
        <w:rPr>
          <w:rFonts w:ascii="Arial" w:hAnsi="Arial"/>
          <w:sz w:val="14"/>
          <w:szCs w:val="14"/>
        </w:rPr>
        <w:tab/>
      </w:r>
      <w:r w:rsidRPr="006C3844">
        <w:rPr>
          <w:rFonts w:ascii="Arial" w:hAnsi="Arial"/>
          <w:sz w:val="14"/>
          <w:szCs w:val="14"/>
        </w:rPr>
        <w:tab/>
      </w:r>
      <w:r w:rsidRPr="006C3844">
        <w:rPr>
          <w:rFonts w:ascii="Arial" w:hAnsi="Arial"/>
          <w:sz w:val="14"/>
          <w:szCs w:val="14"/>
        </w:rPr>
        <w:tab/>
      </w:r>
    </w:p>
    <w:p w14:paraId="2596F909" w14:textId="77777777" w:rsidR="00222A72" w:rsidRPr="00B56FAA" w:rsidRDefault="00222A72" w:rsidP="00222A72">
      <w:pPr>
        <w:spacing w:before="0" w:after="0"/>
        <w:outlineLvl w:val="5"/>
        <w:rPr>
          <w:color w:val="FFFFFF"/>
          <w:sz w:val="2"/>
          <w:szCs w:val="2"/>
        </w:rPr>
      </w:pPr>
      <w:r w:rsidRPr="00B56FAA">
        <w:rPr>
          <w:rFonts w:ascii="Arial" w:hAnsi="Arial"/>
          <w:sz w:val="14"/>
          <w:szCs w:val="14"/>
        </w:rPr>
        <w:br w:type="page"/>
      </w:r>
      <w:r w:rsidRPr="00B56FAA">
        <w:rPr>
          <w:color w:val="FFFFFF"/>
          <w:sz w:val="2"/>
          <w:szCs w:val="2"/>
        </w:rPr>
        <w:lastRenderedPageBreak/>
        <w:t>Program 2.19: Defence Trusts and Joint Accounts</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7842"/>
      </w:tblGrid>
      <w:tr w:rsidR="00F7100A" w:rsidRPr="00B56FAA" w14:paraId="4B04AD86" w14:textId="77777777" w:rsidTr="00E0479C">
        <w:tc>
          <w:tcPr>
            <w:tcW w:w="7938" w:type="dxa"/>
            <w:tcBorders>
              <w:bottom w:val="single" w:sz="4" w:space="0" w:color="auto"/>
            </w:tcBorders>
            <w:shd w:val="clear" w:color="auto" w:fill="CCCCCC"/>
          </w:tcPr>
          <w:p w14:paraId="2BDCA723" w14:textId="77777777" w:rsidR="00F7100A" w:rsidRPr="00B56FAA" w:rsidRDefault="00F7100A" w:rsidP="00072EF9">
            <w:pPr>
              <w:pStyle w:val="Heading5"/>
              <w:spacing w:before="60" w:after="60"/>
            </w:pPr>
            <w:r w:rsidRPr="00B56FAA">
              <w:rPr>
                <w:b w:val="0"/>
                <w:szCs w:val="16"/>
                <w:lang w:val="en-AU"/>
              </w:rPr>
              <w:br w:type="page"/>
            </w:r>
            <w:r w:rsidRPr="00B56FAA">
              <w:t>Program 2.19: Defence Trusts and Joint Accounts</w:t>
            </w:r>
          </w:p>
        </w:tc>
      </w:tr>
    </w:tbl>
    <w:p w14:paraId="0D81D648" w14:textId="77777777" w:rsidR="00F7100A" w:rsidRPr="00B56FAA" w:rsidRDefault="00F7100A" w:rsidP="00F7100A"/>
    <w:p w14:paraId="49065183" w14:textId="77777777" w:rsidR="00F7100A" w:rsidRPr="009B08E4" w:rsidRDefault="00F7100A" w:rsidP="00BA1388">
      <w:pPr>
        <w:pStyle w:val="TableHeading"/>
        <w:numPr>
          <w:ilvl w:val="0"/>
          <w:numId w:val="29"/>
        </w:numPr>
        <w:spacing w:before="0" w:after="120"/>
        <w:ind w:left="0" w:firstLine="0"/>
        <w:outlineLvl w:val="6"/>
      </w:pPr>
      <w:r w:rsidRPr="009B08E4">
        <w:t>Cost Summary for Program 2.19 Defence Trusts and Joint Accounts</w:t>
      </w:r>
    </w:p>
    <w:p w14:paraId="1271E1C3" w14:textId="5D7E57E9" w:rsidR="00F7100A" w:rsidRPr="00B56FAA" w:rsidRDefault="005F4285" w:rsidP="00F7100A">
      <w:pPr>
        <w:spacing w:before="0" w:after="0"/>
      </w:pPr>
      <w:r w:rsidRPr="005F4285">
        <w:rPr>
          <w:noProof/>
          <w:lang w:val="en-AU"/>
        </w:rPr>
        <w:drawing>
          <wp:inline distT="0" distB="0" distL="0" distR="0" wp14:anchorId="6FC5E9D5" wp14:editId="128229B0">
            <wp:extent cx="4986020" cy="2533213"/>
            <wp:effectExtent l="0" t="0" r="508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86020" cy="2533213"/>
                    </a:xfrm>
                    <a:prstGeom prst="rect">
                      <a:avLst/>
                    </a:prstGeom>
                    <a:noFill/>
                    <a:ln>
                      <a:noFill/>
                    </a:ln>
                  </pic:spPr>
                </pic:pic>
              </a:graphicData>
            </a:graphic>
          </wp:inline>
        </w:drawing>
      </w:r>
    </w:p>
    <w:p w14:paraId="35EEC125" w14:textId="77777777" w:rsidR="00F7100A" w:rsidRPr="00B56FAA" w:rsidRDefault="00F7100A" w:rsidP="00F7100A">
      <w:pPr>
        <w:spacing w:before="0" w:after="0"/>
        <w:rPr>
          <w:rFonts w:ascii="Arial" w:hAnsi="Arial"/>
          <w:b/>
          <w:sz w:val="14"/>
          <w:szCs w:val="14"/>
        </w:rPr>
      </w:pPr>
    </w:p>
    <w:p w14:paraId="237470F9" w14:textId="38F9E3FD" w:rsidR="00F7100A" w:rsidRPr="009B0759" w:rsidRDefault="00F7100A" w:rsidP="00F7100A">
      <w:pPr>
        <w:tabs>
          <w:tab w:val="left" w:pos="284"/>
        </w:tabs>
        <w:spacing w:before="0" w:after="0"/>
        <w:rPr>
          <w:rFonts w:ascii="Arial" w:hAnsi="Arial"/>
          <w:b/>
          <w:sz w:val="14"/>
          <w:szCs w:val="14"/>
        </w:rPr>
      </w:pPr>
      <w:r w:rsidRPr="009B0759">
        <w:rPr>
          <w:rFonts w:ascii="Arial" w:hAnsi="Arial"/>
          <w:b/>
          <w:sz w:val="14"/>
          <w:szCs w:val="14"/>
        </w:rPr>
        <w:t>Note</w:t>
      </w:r>
      <w:r w:rsidR="009F0F8A">
        <w:rPr>
          <w:rFonts w:ascii="Arial" w:hAnsi="Arial"/>
          <w:b/>
          <w:sz w:val="14"/>
          <w:szCs w:val="14"/>
        </w:rPr>
        <w:t>s</w:t>
      </w:r>
    </w:p>
    <w:p w14:paraId="573FEA54" w14:textId="425B78EB" w:rsidR="00855CD3" w:rsidRPr="00A96407" w:rsidRDefault="00A96407" w:rsidP="00A96407">
      <w:pPr>
        <w:tabs>
          <w:tab w:val="left" w:pos="284"/>
        </w:tabs>
        <w:spacing w:before="0" w:after="0"/>
        <w:rPr>
          <w:rFonts w:ascii="Arial" w:hAnsi="Arial"/>
          <w:sz w:val="14"/>
          <w:szCs w:val="14"/>
        </w:rPr>
      </w:pPr>
      <w:r w:rsidRPr="00A96407">
        <w:rPr>
          <w:rFonts w:ascii="Arial" w:hAnsi="Arial"/>
          <w:sz w:val="14"/>
          <w:szCs w:val="14"/>
        </w:rPr>
        <w:t>a.</w:t>
      </w:r>
      <w:r>
        <w:rPr>
          <w:rFonts w:ascii="Arial" w:hAnsi="Arial"/>
          <w:sz w:val="14"/>
          <w:szCs w:val="14"/>
        </w:rPr>
        <w:tab/>
      </w:r>
      <w:r w:rsidR="00855CD3" w:rsidRPr="00A96407">
        <w:rPr>
          <w:rFonts w:ascii="Arial" w:hAnsi="Arial"/>
          <w:sz w:val="14"/>
          <w:szCs w:val="14"/>
        </w:rPr>
        <w:t>Relates to assets forming part of the Australian-Singapore Military Training Initiative (ASMTI).</w:t>
      </w:r>
      <w:r w:rsidR="00855CD3" w:rsidRPr="00A96407">
        <w:rPr>
          <w:rFonts w:ascii="Arial" w:hAnsi="Arial"/>
          <w:sz w:val="14"/>
          <w:szCs w:val="14"/>
        </w:rPr>
        <w:tab/>
      </w:r>
      <w:r w:rsidR="00855CD3" w:rsidRPr="00A96407">
        <w:rPr>
          <w:rFonts w:ascii="Arial" w:hAnsi="Arial"/>
          <w:sz w:val="14"/>
          <w:szCs w:val="14"/>
        </w:rPr>
        <w:tab/>
      </w:r>
      <w:r w:rsidR="00855CD3" w:rsidRPr="00A96407">
        <w:rPr>
          <w:rFonts w:ascii="Arial" w:hAnsi="Arial"/>
          <w:sz w:val="14"/>
          <w:szCs w:val="14"/>
        </w:rPr>
        <w:tab/>
      </w:r>
      <w:r w:rsidR="00855CD3" w:rsidRPr="00A96407">
        <w:rPr>
          <w:rFonts w:ascii="Arial" w:hAnsi="Arial"/>
          <w:sz w:val="14"/>
          <w:szCs w:val="14"/>
        </w:rPr>
        <w:tab/>
      </w:r>
      <w:r w:rsidR="00855CD3" w:rsidRPr="00A96407">
        <w:rPr>
          <w:rFonts w:ascii="Arial" w:hAnsi="Arial"/>
          <w:sz w:val="14"/>
          <w:szCs w:val="14"/>
        </w:rPr>
        <w:tab/>
      </w:r>
    </w:p>
    <w:p w14:paraId="025FA412" w14:textId="5CAE1AFF" w:rsidR="00A96407" w:rsidRPr="00A96407" w:rsidRDefault="00A96407" w:rsidP="00A96407">
      <w:pPr>
        <w:tabs>
          <w:tab w:val="left" w:pos="284"/>
        </w:tabs>
        <w:spacing w:before="0" w:after="0"/>
        <w:ind w:left="284" w:hanging="284"/>
        <w:rPr>
          <w:rFonts w:ascii="Arial" w:hAnsi="Arial"/>
          <w:sz w:val="14"/>
          <w:szCs w:val="14"/>
        </w:rPr>
      </w:pPr>
      <w:r>
        <w:rPr>
          <w:rFonts w:ascii="Arial" w:hAnsi="Arial"/>
          <w:sz w:val="14"/>
          <w:szCs w:val="14"/>
        </w:rPr>
        <w:t>b.</w:t>
      </w:r>
      <w:r>
        <w:rPr>
          <w:rFonts w:ascii="Arial" w:hAnsi="Arial"/>
          <w:sz w:val="14"/>
          <w:szCs w:val="14"/>
        </w:rPr>
        <w:tab/>
        <w:t>The increase from 2025-26 Budget Estimate to the Forward Estimates reflects changes to the timing of the construction activity relating to ASMTI</w:t>
      </w:r>
      <w:r w:rsidR="00437882">
        <w:rPr>
          <w:rFonts w:ascii="Arial" w:hAnsi="Arial"/>
          <w:sz w:val="14"/>
          <w:szCs w:val="14"/>
        </w:rPr>
        <w:t>.</w:t>
      </w:r>
    </w:p>
    <w:p w14:paraId="451ED3B4" w14:textId="457B5E4E" w:rsidR="00F7100A" w:rsidRPr="00B56FAA" w:rsidRDefault="00A96407" w:rsidP="00855CD3">
      <w:pPr>
        <w:tabs>
          <w:tab w:val="left" w:pos="284"/>
        </w:tabs>
        <w:spacing w:before="0" w:after="0"/>
        <w:ind w:left="284" w:hanging="284"/>
        <w:rPr>
          <w:rFonts w:ascii="Arial" w:hAnsi="Arial"/>
          <w:sz w:val="14"/>
          <w:szCs w:val="14"/>
        </w:rPr>
      </w:pPr>
      <w:r>
        <w:rPr>
          <w:rFonts w:ascii="Arial" w:hAnsi="Arial"/>
          <w:sz w:val="14"/>
          <w:szCs w:val="14"/>
        </w:rPr>
        <w:t>c</w:t>
      </w:r>
      <w:r w:rsidR="00855CD3" w:rsidRPr="00855CD3">
        <w:rPr>
          <w:rFonts w:ascii="Arial" w:hAnsi="Arial"/>
          <w:sz w:val="14"/>
          <w:szCs w:val="14"/>
        </w:rPr>
        <w:t xml:space="preserve">. </w:t>
      </w:r>
      <w:r w:rsidR="00855CD3">
        <w:rPr>
          <w:rFonts w:ascii="Arial" w:hAnsi="Arial"/>
          <w:sz w:val="14"/>
          <w:szCs w:val="14"/>
        </w:rPr>
        <w:tab/>
      </w:r>
      <w:r w:rsidR="00855CD3" w:rsidRPr="00855CD3">
        <w:rPr>
          <w:rFonts w:ascii="Arial" w:hAnsi="Arial"/>
          <w:sz w:val="14"/>
          <w:szCs w:val="14"/>
        </w:rPr>
        <w:t>Total Program funded expenditure includes operating expenses and capital expenditure funded by own source revenue. This excludes expenses not requiring appropriation.</w:t>
      </w:r>
      <w:r w:rsidR="00855CD3" w:rsidRPr="00855CD3">
        <w:rPr>
          <w:rFonts w:ascii="Arial" w:hAnsi="Arial"/>
          <w:sz w:val="14"/>
          <w:szCs w:val="14"/>
        </w:rPr>
        <w:tab/>
      </w:r>
      <w:r w:rsidR="00855CD3" w:rsidRPr="00855CD3">
        <w:rPr>
          <w:rFonts w:ascii="Arial" w:hAnsi="Arial"/>
          <w:sz w:val="14"/>
          <w:szCs w:val="14"/>
        </w:rPr>
        <w:tab/>
      </w:r>
      <w:r w:rsidR="00855CD3" w:rsidRPr="00855CD3">
        <w:rPr>
          <w:rFonts w:ascii="Arial" w:hAnsi="Arial"/>
          <w:sz w:val="14"/>
          <w:szCs w:val="14"/>
        </w:rPr>
        <w:tab/>
      </w:r>
      <w:r w:rsidR="00855CD3" w:rsidRPr="00855CD3">
        <w:rPr>
          <w:rFonts w:ascii="Arial" w:hAnsi="Arial"/>
          <w:sz w:val="14"/>
          <w:szCs w:val="14"/>
        </w:rPr>
        <w:tab/>
      </w:r>
      <w:r w:rsidR="00855CD3" w:rsidRPr="00855CD3">
        <w:rPr>
          <w:rFonts w:ascii="Arial" w:hAnsi="Arial"/>
          <w:sz w:val="14"/>
          <w:szCs w:val="14"/>
        </w:rPr>
        <w:tab/>
      </w:r>
      <w:r w:rsidR="00F7100A">
        <w:rPr>
          <w:rFonts w:ascii="Arial" w:hAnsi="Arial"/>
          <w:sz w:val="14"/>
          <w:szCs w:val="14"/>
        </w:rPr>
        <w:tab/>
      </w:r>
    </w:p>
    <w:p w14:paraId="4AAC72A9" w14:textId="77777777" w:rsidR="00FB0BB6" w:rsidRPr="00B56FAA" w:rsidRDefault="00FB0BB6" w:rsidP="003867A7">
      <w:pPr>
        <w:spacing w:before="0" w:after="0"/>
        <w:outlineLvl w:val="5"/>
        <w:rPr>
          <w:color w:val="FFFFFF"/>
          <w:sz w:val="2"/>
          <w:szCs w:val="2"/>
        </w:rPr>
      </w:pPr>
      <w:r w:rsidRPr="001E0D7F">
        <w:rPr>
          <w:rFonts w:ascii="Arial" w:hAnsi="Arial"/>
          <w:sz w:val="14"/>
          <w:szCs w:val="14"/>
        </w:rPr>
        <w:br w:type="page"/>
      </w:r>
      <w:r w:rsidRPr="00B56FAA">
        <w:rPr>
          <w:color w:val="FFFFFF"/>
          <w:sz w:val="2"/>
          <w:szCs w:val="2"/>
        </w:rPr>
        <w:lastRenderedPageBreak/>
        <w:t>Administered Program 2.20: Defence Force Superannuation Benefits</w:t>
      </w:r>
    </w:p>
    <w:tbl>
      <w:tblPr>
        <w:tblW w:w="4852"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1661"/>
        <w:gridCol w:w="2865"/>
        <w:gridCol w:w="3084"/>
      </w:tblGrid>
      <w:tr w:rsidR="00F7100A" w:rsidRPr="00B56FAA" w14:paraId="24BB4D3E" w14:textId="77777777" w:rsidTr="00CC7AF9">
        <w:tc>
          <w:tcPr>
            <w:tcW w:w="7610" w:type="dxa"/>
            <w:gridSpan w:val="3"/>
            <w:tcBorders>
              <w:bottom w:val="single" w:sz="4" w:space="0" w:color="auto"/>
            </w:tcBorders>
            <w:shd w:val="clear" w:color="auto" w:fill="CCCCCC"/>
          </w:tcPr>
          <w:p w14:paraId="54B7A82B" w14:textId="77777777" w:rsidR="00F7100A" w:rsidRPr="00B56FAA" w:rsidRDefault="00F7100A" w:rsidP="00072EF9">
            <w:pPr>
              <w:pStyle w:val="Heading5"/>
              <w:spacing w:before="60" w:after="60"/>
            </w:pPr>
            <w:r w:rsidRPr="00B56FAA">
              <w:rPr>
                <w:sz w:val="14"/>
                <w:szCs w:val="14"/>
              </w:rPr>
              <w:br w:type="page"/>
            </w:r>
            <w:r w:rsidRPr="00B56FAA">
              <w:t>Administered Program 2.20: Defence Force Superannuation Benefits</w:t>
            </w:r>
          </w:p>
        </w:tc>
      </w:tr>
      <w:tr w:rsidR="00F7100A" w:rsidRPr="00B56FAA" w14:paraId="4BBCDD99" w14:textId="77777777" w:rsidTr="00CC7AF9">
        <w:tc>
          <w:tcPr>
            <w:tcW w:w="7610" w:type="dxa"/>
            <w:gridSpan w:val="3"/>
            <w:tcBorders>
              <w:left w:val="single" w:sz="4" w:space="0" w:color="auto"/>
              <w:bottom w:val="single" w:sz="4" w:space="0" w:color="auto"/>
              <w:right w:val="single" w:sz="4" w:space="0" w:color="auto"/>
            </w:tcBorders>
            <w:shd w:val="clear" w:color="auto" w:fill="auto"/>
          </w:tcPr>
          <w:p w14:paraId="408F1246" w14:textId="77777777" w:rsidR="00F7100A" w:rsidRPr="00B56FAA" w:rsidRDefault="00F7100A" w:rsidP="00072EF9">
            <w:pPr>
              <w:pStyle w:val="Heading5"/>
              <w:spacing w:before="0" w:after="0"/>
              <w:rPr>
                <w:sz w:val="16"/>
                <w:szCs w:val="16"/>
              </w:rPr>
            </w:pPr>
          </w:p>
        </w:tc>
      </w:tr>
      <w:tr w:rsidR="00F7100A" w:rsidRPr="00B41377" w14:paraId="271F3004" w14:textId="77777777" w:rsidTr="00CC7AF9">
        <w:tblPrEx>
          <w:shd w:val="clear" w:color="auto" w:fill="auto"/>
          <w:tblLook w:val="04A0" w:firstRow="1" w:lastRow="0" w:firstColumn="1" w:lastColumn="0" w:noHBand="0" w:noVBand="1"/>
        </w:tblPrEx>
        <w:trPr>
          <w:tblHeader/>
        </w:trPr>
        <w:tc>
          <w:tcPr>
            <w:tcW w:w="7610" w:type="dxa"/>
            <w:gridSpan w:val="3"/>
            <w:shd w:val="clear" w:color="auto" w:fill="E6E6E6"/>
          </w:tcPr>
          <w:p w14:paraId="278E0C14" w14:textId="77777777" w:rsidR="00F7100A" w:rsidRPr="00B41377" w:rsidRDefault="00F7100A" w:rsidP="00072EF9">
            <w:pPr>
              <w:tabs>
                <w:tab w:val="left" w:pos="709"/>
              </w:tabs>
              <w:spacing w:before="60" w:after="60"/>
              <w:rPr>
                <w:rFonts w:ascii="Arial" w:hAnsi="Arial"/>
                <w:sz w:val="16"/>
                <w:szCs w:val="16"/>
                <w:lang w:val="en-AU"/>
              </w:rPr>
            </w:pPr>
            <w:r w:rsidRPr="00B41377">
              <w:rPr>
                <w:rFonts w:ascii="Arial" w:hAnsi="Arial"/>
                <w:b/>
                <w:sz w:val="16"/>
                <w:szCs w:val="16"/>
                <w:lang w:val="en-AU"/>
              </w:rPr>
              <w:t>Administered Program 2.20</w:t>
            </w:r>
            <w:r w:rsidRPr="00B41377">
              <w:rPr>
                <w:rFonts w:ascii="Arial" w:hAnsi="Arial"/>
                <w:sz w:val="16"/>
                <w:szCs w:val="16"/>
                <w:lang w:val="en-AU"/>
              </w:rPr>
              <w:t xml:space="preserve"> </w:t>
            </w:r>
            <w:r w:rsidRPr="00B41377">
              <w:rPr>
                <w:rFonts w:ascii="Arial" w:hAnsi="Arial"/>
                <w:b/>
                <w:sz w:val="16"/>
                <w:szCs w:val="16"/>
                <w:lang w:val="en-AU"/>
              </w:rPr>
              <w:t>Objective</w:t>
            </w:r>
          </w:p>
          <w:p w14:paraId="0F721869" w14:textId="77777777" w:rsidR="00F7100A" w:rsidRPr="00B41377" w:rsidRDefault="00F7100A" w:rsidP="00072EF9">
            <w:pPr>
              <w:tabs>
                <w:tab w:val="left" w:pos="709"/>
              </w:tabs>
              <w:spacing w:before="60" w:after="60"/>
              <w:jc w:val="both"/>
              <w:rPr>
                <w:rFonts w:ascii="Arial" w:hAnsi="Arial"/>
                <w:sz w:val="16"/>
                <w:szCs w:val="16"/>
              </w:rPr>
            </w:pPr>
            <w:r w:rsidRPr="00B41377">
              <w:rPr>
                <w:rFonts w:ascii="Arial" w:hAnsi="Arial"/>
                <w:sz w:val="16"/>
                <w:szCs w:val="16"/>
                <w:lang w:val="en-AU"/>
              </w:rPr>
              <w:t>To administer and report member and employer contributions paid during the year to the Defence Force Retirement and Death Benefits (DFRDB) scheme, the Military Superannuation and Benefits Scheme (MSBS) and ADF Super. It accounts for the liability for these schemes plus the Defence Forces Retirement Benefits (DFRB) scheme and the statutory death and invalidity scheme, ADF Cover. This program includes payment of the MSBS Retention Benefit.</w:t>
            </w:r>
          </w:p>
        </w:tc>
      </w:tr>
      <w:tr w:rsidR="00F7100A" w:rsidRPr="00B41377" w14:paraId="2B75B9C8" w14:textId="77777777" w:rsidTr="00514075">
        <w:tblPrEx>
          <w:shd w:val="clear" w:color="auto" w:fill="auto"/>
          <w:tblLook w:val="04A0" w:firstRow="1" w:lastRow="0" w:firstColumn="1" w:lastColumn="0" w:noHBand="0" w:noVBand="1"/>
        </w:tblPrEx>
        <w:trPr>
          <w:trHeight w:val="312"/>
        </w:trPr>
        <w:tc>
          <w:tcPr>
            <w:tcW w:w="1661" w:type="dxa"/>
            <w:tcBorders>
              <w:bottom w:val="single" w:sz="4" w:space="0" w:color="auto"/>
            </w:tcBorders>
          </w:tcPr>
          <w:p w14:paraId="7281C1F2" w14:textId="77777777" w:rsidR="00F7100A" w:rsidRPr="00B41377" w:rsidRDefault="00F7100A" w:rsidP="00B41377">
            <w:pPr>
              <w:tabs>
                <w:tab w:val="left" w:pos="709"/>
              </w:tabs>
              <w:spacing w:before="60" w:after="60"/>
              <w:rPr>
                <w:rFonts w:ascii="Arial" w:hAnsi="Arial"/>
                <w:b/>
                <w:color w:val="000000"/>
                <w:sz w:val="16"/>
                <w:szCs w:val="16"/>
              </w:rPr>
            </w:pPr>
            <w:r w:rsidRPr="00B41377">
              <w:rPr>
                <w:rFonts w:ascii="Arial" w:hAnsi="Arial"/>
                <w:b/>
                <w:color w:val="000000"/>
                <w:sz w:val="16"/>
                <w:szCs w:val="16"/>
              </w:rPr>
              <w:t>Key Activit</w:t>
            </w:r>
            <w:r w:rsidR="00B41377">
              <w:rPr>
                <w:rFonts w:ascii="Arial" w:hAnsi="Arial"/>
                <w:b/>
                <w:color w:val="000000"/>
                <w:sz w:val="16"/>
                <w:szCs w:val="16"/>
              </w:rPr>
              <w:t>y</w:t>
            </w:r>
          </w:p>
        </w:tc>
        <w:tc>
          <w:tcPr>
            <w:tcW w:w="5949" w:type="dxa"/>
            <w:gridSpan w:val="2"/>
            <w:tcBorders>
              <w:bottom w:val="single" w:sz="4" w:space="0" w:color="auto"/>
            </w:tcBorders>
          </w:tcPr>
          <w:p w14:paraId="76FA5F77" w14:textId="77777777" w:rsidR="00F7100A" w:rsidRPr="00B41377" w:rsidRDefault="00F7100A" w:rsidP="00072EF9">
            <w:pPr>
              <w:tabs>
                <w:tab w:val="left" w:pos="709"/>
              </w:tabs>
              <w:spacing w:before="60" w:after="60"/>
              <w:rPr>
                <w:rFonts w:ascii="Arial" w:hAnsi="Arial"/>
                <w:bCs/>
                <w:color w:val="000000"/>
                <w:sz w:val="16"/>
                <w:szCs w:val="16"/>
                <w:lang w:val="en-AU"/>
              </w:rPr>
            </w:pPr>
            <w:r w:rsidRPr="00B41377">
              <w:rPr>
                <w:rFonts w:ascii="Arial" w:hAnsi="Arial"/>
                <w:bCs/>
                <w:color w:val="000000"/>
                <w:sz w:val="16"/>
                <w:szCs w:val="16"/>
                <w:lang w:val="en-AU"/>
              </w:rPr>
              <w:t>This program will be achieved through the following activity:</w:t>
            </w:r>
          </w:p>
          <w:p w14:paraId="7E2D507D" w14:textId="77777777" w:rsidR="00F7100A" w:rsidRPr="00B41377" w:rsidRDefault="00F7100A" w:rsidP="00072EF9">
            <w:pPr>
              <w:tabs>
                <w:tab w:val="left" w:pos="343"/>
              </w:tabs>
              <w:spacing w:before="60" w:after="120"/>
              <w:rPr>
                <w:rFonts w:ascii="Arial" w:hAnsi="Arial"/>
                <w:i/>
                <w:color w:val="000000"/>
                <w:sz w:val="16"/>
                <w:szCs w:val="16"/>
              </w:rPr>
            </w:pPr>
            <w:r w:rsidRPr="00B41377">
              <w:rPr>
                <w:rFonts w:ascii="Arial" w:hAnsi="Arial"/>
                <w:b/>
                <w:sz w:val="16"/>
                <w:szCs w:val="16"/>
                <w:lang w:val="en-AU"/>
              </w:rPr>
              <w:t>4. Invest in Defence People</w:t>
            </w:r>
            <w:r w:rsidRPr="00B41377">
              <w:rPr>
                <w:rFonts w:ascii="Arial" w:hAnsi="Arial"/>
                <w:sz w:val="16"/>
                <w:szCs w:val="16"/>
                <w:lang w:val="en-AU"/>
              </w:rPr>
              <w:t>. Defence has an integrated workforce comprised of Australian Defence Force members, Australian Public Service employees and contractors. We are committed to investing in the growth and retention of a highly skilled workforce to meet Australia’s defence and national security requirements.</w:t>
            </w:r>
          </w:p>
        </w:tc>
      </w:tr>
      <w:tr w:rsidR="00F7100A" w:rsidRPr="00B41377" w14:paraId="544FCB41" w14:textId="77777777" w:rsidTr="00514075">
        <w:tblPrEx>
          <w:shd w:val="clear" w:color="auto" w:fill="auto"/>
          <w:tblLook w:val="04A0" w:firstRow="1" w:lastRow="0" w:firstColumn="1" w:lastColumn="0" w:noHBand="0" w:noVBand="1"/>
        </w:tblPrEx>
        <w:trPr>
          <w:trHeight w:val="100"/>
        </w:trPr>
        <w:tc>
          <w:tcPr>
            <w:tcW w:w="1661" w:type="dxa"/>
            <w:tcBorders>
              <w:top w:val="single" w:sz="4" w:space="0" w:color="auto"/>
              <w:bottom w:val="single" w:sz="4" w:space="0" w:color="auto"/>
              <w:right w:val="single" w:sz="4" w:space="0" w:color="auto"/>
            </w:tcBorders>
          </w:tcPr>
          <w:p w14:paraId="5E64F68F" w14:textId="77777777" w:rsidR="00F7100A" w:rsidRPr="00B41377" w:rsidRDefault="00F7100A" w:rsidP="00072EF9">
            <w:pPr>
              <w:tabs>
                <w:tab w:val="left" w:pos="709"/>
              </w:tabs>
              <w:spacing w:before="60" w:after="60"/>
              <w:rPr>
                <w:rFonts w:ascii="Arial" w:hAnsi="Arial"/>
                <w:color w:val="000000"/>
                <w:sz w:val="16"/>
                <w:szCs w:val="16"/>
              </w:rPr>
            </w:pPr>
            <w:r w:rsidRPr="00B41377">
              <w:rPr>
                <w:rFonts w:ascii="Arial" w:hAnsi="Arial"/>
                <w:b/>
                <w:color w:val="000000"/>
                <w:sz w:val="16"/>
                <w:szCs w:val="16"/>
              </w:rPr>
              <w:t>Year</w:t>
            </w:r>
          </w:p>
        </w:tc>
        <w:tc>
          <w:tcPr>
            <w:tcW w:w="2865" w:type="dxa"/>
            <w:tcBorders>
              <w:top w:val="single" w:sz="4" w:space="0" w:color="auto"/>
              <w:left w:val="single" w:sz="4" w:space="0" w:color="auto"/>
              <w:bottom w:val="single" w:sz="4" w:space="0" w:color="auto"/>
              <w:right w:val="single" w:sz="4" w:space="0" w:color="auto"/>
            </w:tcBorders>
          </w:tcPr>
          <w:p w14:paraId="6253C209" w14:textId="77777777" w:rsidR="00F7100A" w:rsidRPr="00B41377" w:rsidRDefault="00F7100A" w:rsidP="00072EF9">
            <w:pPr>
              <w:tabs>
                <w:tab w:val="left" w:pos="709"/>
              </w:tabs>
              <w:spacing w:before="60" w:after="60"/>
              <w:rPr>
                <w:rFonts w:ascii="Arial" w:hAnsi="Arial"/>
                <w:color w:val="000000"/>
              </w:rPr>
            </w:pPr>
            <w:r w:rsidRPr="00B41377">
              <w:rPr>
                <w:rFonts w:ascii="Arial" w:hAnsi="Arial"/>
                <w:b/>
                <w:color w:val="000000"/>
                <w:sz w:val="16"/>
                <w:szCs w:val="16"/>
              </w:rPr>
              <w:t>Performance measures</w:t>
            </w:r>
          </w:p>
        </w:tc>
        <w:tc>
          <w:tcPr>
            <w:tcW w:w="3084" w:type="dxa"/>
            <w:tcBorders>
              <w:top w:val="single" w:sz="4" w:space="0" w:color="auto"/>
              <w:left w:val="single" w:sz="4" w:space="0" w:color="auto"/>
              <w:bottom w:val="single" w:sz="4" w:space="0" w:color="auto"/>
            </w:tcBorders>
          </w:tcPr>
          <w:p w14:paraId="4247B74D" w14:textId="77777777" w:rsidR="00F7100A" w:rsidRPr="00B41377" w:rsidRDefault="00F7100A" w:rsidP="00072EF9">
            <w:pPr>
              <w:tabs>
                <w:tab w:val="left" w:pos="709"/>
              </w:tabs>
              <w:spacing w:before="60" w:after="60"/>
              <w:rPr>
                <w:rFonts w:ascii="Arial" w:hAnsi="Arial"/>
                <w:i/>
                <w:color w:val="000000"/>
                <w:sz w:val="16"/>
                <w:szCs w:val="16"/>
              </w:rPr>
            </w:pPr>
            <w:r w:rsidRPr="00B41377">
              <w:rPr>
                <w:rFonts w:ascii="Arial" w:hAnsi="Arial"/>
                <w:b/>
                <w:color w:val="000000"/>
                <w:sz w:val="16"/>
                <w:szCs w:val="16"/>
              </w:rPr>
              <w:t>Expected Performance Results</w:t>
            </w:r>
          </w:p>
        </w:tc>
      </w:tr>
      <w:tr w:rsidR="00834FB2" w:rsidRPr="00B41377" w14:paraId="5290E23E" w14:textId="77777777" w:rsidTr="00C5782C">
        <w:tblPrEx>
          <w:shd w:val="clear" w:color="auto" w:fill="auto"/>
          <w:tblLook w:val="04A0" w:firstRow="1" w:lastRow="0" w:firstColumn="1" w:lastColumn="0" w:noHBand="0" w:noVBand="1"/>
        </w:tblPrEx>
        <w:trPr>
          <w:trHeight w:val="305"/>
        </w:trPr>
        <w:tc>
          <w:tcPr>
            <w:tcW w:w="1661" w:type="dxa"/>
            <w:vMerge w:val="restart"/>
            <w:tcBorders>
              <w:top w:val="single" w:sz="4" w:space="0" w:color="auto"/>
              <w:left w:val="single" w:sz="4" w:space="0" w:color="auto"/>
              <w:right w:val="single" w:sz="4" w:space="0" w:color="auto"/>
            </w:tcBorders>
          </w:tcPr>
          <w:p w14:paraId="143564FE" w14:textId="77777777" w:rsidR="00834FB2" w:rsidRPr="00B41377" w:rsidRDefault="00834FB2" w:rsidP="00D44592">
            <w:pPr>
              <w:tabs>
                <w:tab w:val="left" w:pos="709"/>
              </w:tabs>
              <w:spacing w:before="0" w:after="0"/>
              <w:rPr>
                <w:rFonts w:ascii="Arial" w:hAnsi="Arial"/>
                <w:color w:val="000000"/>
                <w:sz w:val="16"/>
                <w:szCs w:val="16"/>
              </w:rPr>
            </w:pPr>
            <w:r w:rsidRPr="00B41377">
              <w:rPr>
                <w:rFonts w:ascii="Arial" w:hAnsi="Arial"/>
                <w:color w:val="000000"/>
                <w:sz w:val="16"/>
                <w:szCs w:val="16"/>
              </w:rPr>
              <w:t>Current Year</w:t>
            </w:r>
          </w:p>
          <w:p w14:paraId="5F7018B9" w14:textId="77777777" w:rsidR="00834FB2" w:rsidRPr="00B41377" w:rsidRDefault="00834FB2" w:rsidP="00D44592">
            <w:pPr>
              <w:tabs>
                <w:tab w:val="left" w:pos="709"/>
              </w:tabs>
              <w:spacing w:before="0" w:after="0"/>
              <w:rPr>
                <w:rFonts w:ascii="Arial" w:hAnsi="Arial"/>
                <w:color w:val="000000"/>
                <w:sz w:val="16"/>
                <w:szCs w:val="16"/>
              </w:rPr>
            </w:pPr>
            <w:r w:rsidRPr="00B41377">
              <w:rPr>
                <w:rFonts w:ascii="Arial" w:hAnsi="Arial"/>
                <w:color w:val="000000"/>
                <w:sz w:val="16"/>
                <w:szCs w:val="16"/>
              </w:rPr>
              <w:t>2024-25</w:t>
            </w:r>
            <w:r>
              <w:rPr>
                <w:rFonts w:ascii="Arial" w:hAnsi="Arial"/>
                <w:color w:val="000000"/>
                <w:sz w:val="16"/>
                <w:szCs w:val="16"/>
              </w:rPr>
              <w:t xml:space="preserve"> </w:t>
            </w:r>
            <w:r w:rsidRPr="00B41377">
              <w:rPr>
                <w:rFonts w:ascii="Arial" w:hAnsi="Arial"/>
                <w:color w:val="000000"/>
                <w:sz w:val="16"/>
                <w:szCs w:val="16"/>
                <w:vertAlign w:val="superscript"/>
              </w:rPr>
              <w:t>[a]</w:t>
            </w:r>
          </w:p>
        </w:tc>
        <w:tc>
          <w:tcPr>
            <w:tcW w:w="2865" w:type="dxa"/>
            <w:tcBorders>
              <w:top w:val="single" w:sz="4" w:space="0" w:color="auto"/>
              <w:left w:val="single" w:sz="4" w:space="0" w:color="auto"/>
              <w:bottom w:val="dotted" w:sz="4" w:space="0" w:color="auto"/>
              <w:right w:val="single" w:sz="4" w:space="0" w:color="auto"/>
            </w:tcBorders>
          </w:tcPr>
          <w:p w14:paraId="6A7150BD" w14:textId="53861413" w:rsidR="00834FB2" w:rsidRPr="00D81099" w:rsidRDefault="00834FB2" w:rsidP="00D44592">
            <w:pPr>
              <w:tabs>
                <w:tab w:val="left" w:pos="709"/>
              </w:tabs>
              <w:spacing w:before="60" w:after="60"/>
              <w:rPr>
                <w:rFonts w:ascii="Arial" w:hAnsi="Arial"/>
                <w:sz w:val="16"/>
                <w:szCs w:val="16"/>
                <w:lang w:val="en-AU"/>
              </w:rPr>
            </w:pPr>
            <w:r w:rsidRPr="00D81099">
              <w:rPr>
                <w:rFonts w:ascii="Arial" w:hAnsi="Arial"/>
                <w:sz w:val="16"/>
                <w:szCs w:val="16"/>
                <w:lang w:val="en-AU"/>
              </w:rPr>
              <w:t>4.1: Defence recruits and retains an ADF and APS workforce to support the Defence mission.</w:t>
            </w:r>
          </w:p>
        </w:tc>
        <w:tc>
          <w:tcPr>
            <w:tcW w:w="3084" w:type="dxa"/>
            <w:tcBorders>
              <w:top w:val="single" w:sz="4" w:space="0" w:color="auto"/>
              <w:left w:val="single" w:sz="4" w:space="0" w:color="auto"/>
              <w:bottom w:val="dotted" w:sz="4" w:space="0" w:color="auto"/>
              <w:right w:val="single" w:sz="4" w:space="0" w:color="auto"/>
            </w:tcBorders>
          </w:tcPr>
          <w:p w14:paraId="0A8B6D58" w14:textId="77777777" w:rsidR="00834FB2" w:rsidRPr="00834FB2" w:rsidRDefault="00834FB2" w:rsidP="00D452D3">
            <w:pPr>
              <w:tabs>
                <w:tab w:val="left" w:pos="709"/>
              </w:tabs>
              <w:spacing w:before="60" w:after="60"/>
              <w:rPr>
                <w:rFonts w:ascii="Arial" w:hAnsi="Arial"/>
                <w:i/>
                <w:sz w:val="16"/>
                <w:szCs w:val="16"/>
                <w:lang w:val="en-AU"/>
              </w:rPr>
            </w:pPr>
            <w:r w:rsidRPr="00834FB2">
              <w:rPr>
                <w:rFonts w:ascii="Arial" w:hAnsi="Arial"/>
                <w:sz w:val="16"/>
                <w:szCs w:val="16"/>
                <w:lang w:val="en-AU"/>
              </w:rPr>
              <w:t>Defence achieves the ADF and APS Budgeted Workforce Requirement as set out in the 2024 Defence Workforce Plan, and the net flow of the ADF and APS workforce over a 12 month period is trending positive and is positioning Defence to achieve the Budgeted Workforce Requirement over the forward estimates.</w:t>
            </w:r>
            <w:r w:rsidRPr="00834FB2">
              <w:rPr>
                <w:rFonts w:ascii="Arial" w:hAnsi="Arial"/>
                <w:i/>
                <w:sz w:val="16"/>
                <w:szCs w:val="16"/>
                <w:lang w:val="en-AU"/>
              </w:rPr>
              <w:tab/>
            </w:r>
          </w:p>
          <w:p w14:paraId="040BC4FD" w14:textId="21EE7CBF" w:rsidR="00834FB2" w:rsidRPr="00834FB2" w:rsidRDefault="00834FB2" w:rsidP="00D452D3">
            <w:pPr>
              <w:jc w:val="right"/>
            </w:pPr>
            <w:r w:rsidRPr="00834FB2">
              <w:rPr>
                <w:rFonts w:ascii="Arial" w:hAnsi="Arial"/>
                <w:i/>
                <w:sz w:val="16"/>
                <w:szCs w:val="16"/>
                <w:lang w:val="en-AU"/>
              </w:rPr>
              <w:t>Expected to be partially achieved.</w:t>
            </w:r>
          </w:p>
        </w:tc>
      </w:tr>
      <w:tr w:rsidR="00834FB2" w:rsidRPr="00B41377" w14:paraId="3D5D4F9B" w14:textId="77777777" w:rsidTr="00834FB2">
        <w:tblPrEx>
          <w:shd w:val="clear" w:color="auto" w:fill="auto"/>
          <w:tblLook w:val="04A0" w:firstRow="1" w:lastRow="0" w:firstColumn="1" w:lastColumn="0" w:noHBand="0" w:noVBand="1"/>
        </w:tblPrEx>
        <w:trPr>
          <w:trHeight w:val="305"/>
        </w:trPr>
        <w:tc>
          <w:tcPr>
            <w:tcW w:w="1661" w:type="dxa"/>
            <w:vMerge/>
            <w:tcBorders>
              <w:left w:val="single" w:sz="4" w:space="0" w:color="auto"/>
              <w:right w:val="single" w:sz="4" w:space="0" w:color="auto"/>
            </w:tcBorders>
          </w:tcPr>
          <w:p w14:paraId="1B44578A" w14:textId="77777777" w:rsidR="00834FB2" w:rsidRPr="00B41377" w:rsidRDefault="00834FB2" w:rsidP="00D44592">
            <w:pPr>
              <w:tabs>
                <w:tab w:val="left" w:pos="709"/>
              </w:tabs>
              <w:spacing w:before="0" w:after="0"/>
              <w:rPr>
                <w:rFonts w:ascii="Arial" w:hAnsi="Arial"/>
                <w:color w:val="000000"/>
                <w:sz w:val="16"/>
                <w:szCs w:val="16"/>
              </w:rPr>
            </w:pPr>
          </w:p>
        </w:tc>
        <w:tc>
          <w:tcPr>
            <w:tcW w:w="2865" w:type="dxa"/>
            <w:tcBorders>
              <w:top w:val="dotted" w:sz="4" w:space="0" w:color="auto"/>
              <w:left w:val="single" w:sz="4" w:space="0" w:color="auto"/>
              <w:bottom w:val="dotted" w:sz="4" w:space="0" w:color="auto"/>
              <w:right w:val="single" w:sz="4" w:space="0" w:color="auto"/>
            </w:tcBorders>
          </w:tcPr>
          <w:p w14:paraId="27DF1C01" w14:textId="71A031D0" w:rsidR="00834FB2" w:rsidRPr="00D81099" w:rsidRDefault="00834FB2" w:rsidP="00D44592">
            <w:pPr>
              <w:tabs>
                <w:tab w:val="left" w:pos="709"/>
              </w:tabs>
              <w:spacing w:before="60" w:after="60"/>
              <w:rPr>
                <w:rFonts w:ascii="Arial" w:hAnsi="Arial"/>
                <w:sz w:val="16"/>
                <w:szCs w:val="16"/>
                <w:lang w:val="en-AU"/>
              </w:rPr>
            </w:pPr>
            <w:r w:rsidRPr="00D81099">
              <w:rPr>
                <w:rFonts w:ascii="Arial" w:hAnsi="Arial"/>
                <w:sz w:val="16"/>
                <w:szCs w:val="16"/>
                <w:lang w:val="en-AU"/>
              </w:rPr>
              <w:t>4.2: Defence grows the necessary skills and capabilities to enable the Defence mission.</w:t>
            </w:r>
          </w:p>
        </w:tc>
        <w:tc>
          <w:tcPr>
            <w:tcW w:w="3084" w:type="dxa"/>
            <w:tcBorders>
              <w:top w:val="dotted" w:sz="4" w:space="0" w:color="auto"/>
              <w:left w:val="single" w:sz="4" w:space="0" w:color="auto"/>
              <w:bottom w:val="dotted" w:sz="4" w:space="0" w:color="auto"/>
              <w:right w:val="single" w:sz="4" w:space="0" w:color="auto"/>
            </w:tcBorders>
          </w:tcPr>
          <w:p w14:paraId="70551EEE" w14:textId="77777777" w:rsidR="00834FB2" w:rsidRPr="00834FB2" w:rsidRDefault="00834FB2" w:rsidP="00D452D3">
            <w:pPr>
              <w:tabs>
                <w:tab w:val="left" w:pos="709"/>
              </w:tabs>
              <w:spacing w:before="60" w:after="60"/>
              <w:rPr>
                <w:rFonts w:ascii="Arial" w:hAnsi="Arial"/>
                <w:sz w:val="16"/>
                <w:szCs w:val="16"/>
                <w:lang w:val="en-AU"/>
              </w:rPr>
            </w:pPr>
            <w:r w:rsidRPr="00834FB2">
              <w:rPr>
                <w:rFonts w:ascii="Arial" w:hAnsi="Arial"/>
                <w:sz w:val="16"/>
                <w:szCs w:val="16"/>
                <w:lang w:val="en-AU"/>
              </w:rPr>
              <w:t>The Defence workforce has the technical skills required to deliver the National Defence Strategy as measured through the Defence Strategic Workforce Segments, and the net flow of the ADF and APS workforce over a 12 month period against the Budgeted Workforce Requirement by Strategic Workforce Segment.</w:t>
            </w:r>
          </w:p>
          <w:p w14:paraId="460B5F8C" w14:textId="0C909217" w:rsidR="00834FB2" w:rsidRPr="00834FB2" w:rsidRDefault="00834FB2" w:rsidP="0093219B">
            <w:pPr>
              <w:spacing w:before="0" w:after="60"/>
              <w:jc w:val="right"/>
              <w:rPr>
                <w:rFonts w:ascii="Arial" w:hAnsi="Arial"/>
                <w:color w:val="000000"/>
                <w:sz w:val="16"/>
                <w:szCs w:val="16"/>
              </w:rPr>
            </w:pPr>
            <w:r w:rsidRPr="00834FB2">
              <w:rPr>
                <w:rFonts w:ascii="Arial" w:hAnsi="Arial"/>
                <w:i/>
                <w:sz w:val="16"/>
                <w:szCs w:val="16"/>
                <w:lang w:val="en-AU"/>
              </w:rPr>
              <w:t>Expected to be partially achieved.</w:t>
            </w:r>
          </w:p>
        </w:tc>
      </w:tr>
      <w:tr w:rsidR="00834FB2" w:rsidRPr="00B41377" w14:paraId="3CB35FD3" w14:textId="77777777" w:rsidTr="00834FB2">
        <w:tblPrEx>
          <w:shd w:val="clear" w:color="auto" w:fill="auto"/>
          <w:tblLook w:val="04A0" w:firstRow="1" w:lastRow="0" w:firstColumn="1" w:lastColumn="0" w:noHBand="0" w:noVBand="1"/>
        </w:tblPrEx>
        <w:trPr>
          <w:trHeight w:val="305"/>
        </w:trPr>
        <w:tc>
          <w:tcPr>
            <w:tcW w:w="1661" w:type="dxa"/>
            <w:vMerge/>
            <w:tcBorders>
              <w:left w:val="single" w:sz="4" w:space="0" w:color="auto"/>
              <w:bottom w:val="single" w:sz="4" w:space="0" w:color="auto"/>
              <w:right w:val="single" w:sz="4" w:space="0" w:color="auto"/>
            </w:tcBorders>
          </w:tcPr>
          <w:p w14:paraId="3FC3CDAB" w14:textId="77777777" w:rsidR="00834FB2" w:rsidRPr="00B41377" w:rsidRDefault="00834FB2" w:rsidP="00D44592">
            <w:pPr>
              <w:tabs>
                <w:tab w:val="left" w:pos="709"/>
              </w:tabs>
              <w:spacing w:before="0" w:after="0"/>
              <w:rPr>
                <w:rFonts w:ascii="Arial" w:hAnsi="Arial"/>
                <w:color w:val="000000"/>
                <w:sz w:val="16"/>
                <w:szCs w:val="16"/>
              </w:rPr>
            </w:pPr>
          </w:p>
        </w:tc>
        <w:tc>
          <w:tcPr>
            <w:tcW w:w="2865" w:type="dxa"/>
            <w:tcBorders>
              <w:top w:val="dotted" w:sz="4" w:space="0" w:color="auto"/>
              <w:left w:val="single" w:sz="4" w:space="0" w:color="auto"/>
              <w:bottom w:val="single" w:sz="4" w:space="0" w:color="auto"/>
              <w:right w:val="single" w:sz="4" w:space="0" w:color="auto"/>
            </w:tcBorders>
          </w:tcPr>
          <w:p w14:paraId="55B5E339" w14:textId="327AC706" w:rsidR="00834FB2" w:rsidRPr="00D81099" w:rsidRDefault="00834FB2" w:rsidP="00D44592">
            <w:pPr>
              <w:tabs>
                <w:tab w:val="left" w:pos="709"/>
              </w:tabs>
              <w:spacing w:before="60" w:after="60"/>
              <w:rPr>
                <w:rFonts w:ascii="Arial" w:hAnsi="Arial"/>
                <w:sz w:val="16"/>
                <w:szCs w:val="16"/>
                <w:lang w:val="en-AU"/>
              </w:rPr>
            </w:pPr>
            <w:r w:rsidRPr="00D81099">
              <w:rPr>
                <w:rFonts w:ascii="Arial" w:hAnsi="Arial"/>
                <w:sz w:val="16"/>
                <w:szCs w:val="16"/>
                <w:lang w:val="en-AU"/>
              </w:rPr>
              <w:t>4.3: The Defence Values and Behaviours enable our people to deliver Australia’s National Defence.</w:t>
            </w:r>
          </w:p>
        </w:tc>
        <w:tc>
          <w:tcPr>
            <w:tcW w:w="3084" w:type="dxa"/>
            <w:tcBorders>
              <w:top w:val="dotted" w:sz="4" w:space="0" w:color="auto"/>
              <w:left w:val="single" w:sz="4" w:space="0" w:color="auto"/>
              <w:bottom w:val="single" w:sz="4" w:space="0" w:color="auto"/>
              <w:right w:val="single" w:sz="4" w:space="0" w:color="auto"/>
            </w:tcBorders>
          </w:tcPr>
          <w:p w14:paraId="733F345E" w14:textId="77777777" w:rsidR="00834FB2" w:rsidRPr="00834FB2" w:rsidRDefault="00834FB2" w:rsidP="00D452D3">
            <w:pPr>
              <w:tabs>
                <w:tab w:val="left" w:pos="709"/>
              </w:tabs>
              <w:spacing w:before="60" w:after="60"/>
              <w:rPr>
                <w:rFonts w:ascii="Arial" w:hAnsi="Arial"/>
                <w:sz w:val="16"/>
                <w:szCs w:val="16"/>
                <w:lang w:val="en-AU"/>
              </w:rPr>
            </w:pPr>
            <w:r w:rsidRPr="00834FB2">
              <w:rPr>
                <w:rFonts w:ascii="Arial" w:hAnsi="Arial"/>
                <w:sz w:val="16"/>
                <w:szCs w:val="16"/>
                <w:lang w:val="en-AU"/>
              </w:rPr>
              <w:t xml:space="preserve">The proportion of ADF and Defence APS personnel that believe appropriate action will be taken if they report an incident of unacceptable behaviour has increased in the last 12 months, the proportion of ADF and Defence APS personnel who have experienced any unacceptable behaviour in the workplace has decreased in the last 12 months, and proportion of ADF and Defence APS personnel who are of the view that Defence Values are being used in their work area has increased in the last 12 months. </w:t>
            </w:r>
          </w:p>
          <w:p w14:paraId="13D710FC" w14:textId="5AC8FCF9" w:rsidR="00834FB2" w:rsidRPr="00834FB2" w:rsidRDefault="00834FB2" w:rsidP="0093219B">
            <w:pPr>
              <w:spacing w:before="0" w:after="60"/>
              <w:jc w:val="right"/>
              <w:rPr>
                <w:rFonts w:ascii="Arial" w:hAnsi="Arial"/>
                <w:sz w:val="16"/>
                <w:szCs w:val="16"/>
                <w:lang w:val="en-AU"/>
              </w:rPr>
            </w:pPr>
            <w:r w:rsidRPr="00834FB2">
              <w:rPr>
                <w:rFonts w:ascii="Arial" w:hAnsi="Arial"/>
                <w:i/>
                <w:sz w:val="16"/>
                <w:szCs w:val="16"/>
                <w:lang w:val="en-AU"/>
              </w:rPr>
              <w:t>Expected to be substantially achieved.</w:t>
            </w:r>
          </w:p>
        </w:tc>
      </w:tr>
      <w:tr w:rsidR="00834FB2" w:rsidRPr="00B41377" w14:paraId="79A30BD1" w14:textId="77777777" w:rsidTr="00834FB2">
        <w:tblPrEx>
          <w:shd w:val="clear" w:color="auto" w:fill="auto"/>
          <w:tblLook w:val="04A0" w:firstRow="1" w:lastRow="0" w:firstColumn="1" w:lastColumn="0" w:noHBand="0" w:noVBand="1"/>
        </w:tblPrEx>
        <w:trPr>
          <w:trHeight w:val="305"/>
        </w:trPr>
        <w:tc>
          <w:tcPr>
            <w:tcW w:w="1661" w:type="dxa"/>
            <w:tcBorders>
              <w:top w:val="single" w:sz="4" w:space="0" w:color="auto"/>
              <w:left w:val="single" w:sz="4" w:space="0" w:color="auto"/>
              <w:bottom w:val="single" w:sz="4" w:space="0" w:color="auto"/>
              <w:right w:val="single" w:sz="4" w:space="0" w:color="auto"/>
            </w:tcBorders>
          </w:tcPr>
          <w:p w14:paraId="48537E73" w14:textId="3DDE724B" w:rsidR="00834FB2" w:rsidRPr="00B41377" w:rsidRDefault="00834FB2" w:rsidP="00834FB2">
            <w:pPr>
              <w:pageBreakBefore/>
              <w:tabs>
                <w:tab w:val="left" w:pos="709"/>
              </w:tabs>
              <w:spacing w:before="0" w:after="0"/>
              <w:rPr>
                <w:rFonts w:ascii="Arial" w:hAnsi="Arial"/>
                <w:color w:val="000000"/>
                <w:sz w:val="16"/>
                <w:szCs w:val="16"/>
              </w:rPr>
            </w:pPr>
            <w:r w:rsidRPr="00B41377">
              <w:rPr>
                <w:rFonts w:ascii="Arial" w:hAnsi="Arial"/>
                <w:b/>
                <w:color w:val="000000"/>
                <w:sz w:val="16"/>
                <w:szCs w:val="16"/>
              </w:rPr>
              <w:lastRenderedPageBreak/>
              <w:t>Year</w:t>
            </w:r>
          </w:p>
        </w:tc>
        <w:tc>
          <w:tcPr>
            <w:tcW w:w="2865" w:type="dxa"/>
            <w:tcBorders>
              <w:top w:val="single" w:sz="4" w:space="0" w:color="auto"/>
              <w:left w:val="single" w:sz="4" w:space="0" w:color="auto"/>
              <w:bottom w:val="single" w:sz="4" w:space="0" w:color="auto"/>
              <w:right w:val="single" w:sz="4" w:space="0" w:color="auto"/>
            </w:tcBorders>
          </w:tcPr>
          <w:p w14:paraId="4626DBB1" w14:textId="19D3856F" w:rsidR="00834FB2" w:rsidRPr="00D81099" w:rsidRDefault="00834FB2" w:rsidP="00834FB2">
            <w:pPr>
              <w:tabs>
                <w:tab w:val="left" w:pos="709"/>
              </w:tabs>
              <w:spacing w:before="60" w:after="60"/>
              <w:rPr>
                <w:rFonts w:ascii="Arial" w:hAnsi="Arial"/>
                <w:sz w:val="16"/>
                <w:szCs w:val="16"/>
                <w:lang w:val="en-AU"/>
              </w:rPr>
            </w:pPr>
            <w:r w:rsidRPr="00B41377">
              <w:rPr>
                <w:rFonts w:ascii="Arial" w:hAnsi="Arial"/>
                <w:b/>
                <w:color w:val="000000"/>
                <w:sz w:val="16"/>
                <w:szCs w:val="16"/>
              </w:rPr>
              <w:t>Performance measures</w:t>
            </w:r>
          </w:p>
        </w:tc>
        <w:tc>
          <w:tcPr>
            <w:tcW w:w="3084" w:type="dxa"/>
            <w:tcBorders>
              <w:top w:val="single" w:sz="4" w:space="0" w:color="auto"/>
              <w:left w:val="single" w:sz="4" w:space="0" w:color="auto"/>
              <w:bottom w:val="single" w:sz="4" w:space="0" w:color="auto"/>
              <w:right w:val="single" w:sz="4" w:space="0" w:color="auto"/>
            </w:tcBorders>
          </w:tcPr>
          <w:p w14:paraId="5BC6EDF1" w14:textId="62B2B329" w:rsidR="00834FB2" w:rsidRPr="00834FB2" w:rsidRDefault="00834FB2" w:rsidP="00834FB2">
            <w:pPr>
              <w:tabs>
                <w:tab w:val="left" w:pos="709"/>
              </w:tabs>
              <w:spacing w:before="60" w:after="60"/>
              <w:rPr>
                <w:rFonts w:ascii="Arial" w:hAnsi="Arial"/>
                <w:sz w:val="16"/>
                <w:szCs w:val="16"/>
                <w:lang w:val="en-AU"/>
              </w:rPr>
            </w:pPr>
            <w:r w:rsidRPr="00B41377">
              <w:rPr>
                <w:rFonts w:ascii="Arial" w:hAnsi="Arial"/>
                <w:b/>
                <w:color w:val="000000"/>
                <w:sz w:val="16"/>
                <w:szCs w:val="16"/>
              </w:rPr>
              <w:t>Expected Performance Results</w:t>
            </w:r>
          </w:p>
        </w:tc>
      </w:tr>
      <w:tr w:rsidR="00D44592" w:rsidRPr="00B41377" w14:paraId="1FC99F98" w14:textId="77777777" w:rsidTr="00514075">
        <w:tblPrEx>
          <w:shd w:val="clear" w:color="auto" w:fill="auto"/>
          <w:tblLook w:val="04A0" w:firstRow="1" w:lastRow="0" w:firstColumn="1" w:lastColumn="0" w:noHBand="0" w:noVBand="1"/>
        </w:tblPrEx>
        <w:trPr>
          <w:trHeight w:val="305"/>
        </w:trPr>
        <w:tc>
          <w:tcPr>
            <w:tcW w:w="1661" w:type="dxa"/>
            <w:tcBorders>
              <w:top w:val="single" w:sz="4" w:space="0" w:color="auto"/>
              <w:left w:val="single" w:sz="4" w:space="0" w:color="auto"/>
              <w:bottom w:val="single" w:sz="4" w:space="0" w:color="auto"/>
              <w:right w:val="single" w:sz="4" w:space="0" w:color="auto"/>
            </w:tcBorders>
          </w:tcPr>
          <w:p w14:paraId="7C85093A" w14:textId="77777777" w:rsidR="00834FB2" w:rsidRPr="00B41377" w:rsidRDefault="00834FB2" w:rsidP="00834FB2">
            <w:pPr>
              <w:tabs>
                <w:tab w:val="left" w:pos="709"/>
              </w:tabs>
              <w:spacing w:before="0" w:after="0"/>
              <w:rPr>
                <w:rFonts w:ascii="Arial" w:hAnsi="Arial"/>
                <w:color w:val="000000"/>
                <w:sz w:val="16"/>
                <w:szCs w:val="16"/>
              </w:rPr>
            </w:pPr>
            <w:r w:rsidRPr="00B41377">
              <w:rPr>
                <w:rFonts w:ascii="Arial" w:hAnsi="Arial"/>
                <w:color w:val="000000"/>
                <w:sz w:val="16"/>
                <w:szCs w:val="16"/>
              </w:rPr>
              <w:t>Current Year</w:t>
            </w:r>
          </w:p>
          <w:p w14:paraId="486FF80B" w14:textId="16BFE2A5" w:rsidR="00D44592" w:rsidRPr="00B41377" w:rsidRDefault="00834FB2" w:rsidP="00834FB2">
            <w:pPr>
              <w:tabs>
                <w:tab w:val="left" w:pos="709"/>
              </w:tabs>
              <w:spacing w:before="60" w:after="60"/>
              <w:rPr>
                <w:rFonts w:ascii="Arial" w:hAnsi="Arial"/>
                <w:color w:val="000000"/>
                <w:sz w:val="16"/>
                <w:szCs w:val="16"/>
              </w:rPr>
            </w:pPr>
            <w:r w:rsidRPr="00B41377">
              <w:rPr>
                <w:rFonts w:ascii="Arial" w:hAnsi="Arial"/>
                <w:color w:val="000000"/>
                <w:sz w:val="16"/>
                <w:szCs w:val="16"/>
              </w:rPr>
              <w:t>2024-25</w:t>
            </w:r>
            <w:r>
              <w:rPr>
                <w:rFonts w:ascii="Arial" w:hAnsi="Arial"/>
                <w:color w:val="000000"/>
                <w:sz w:val="16"/>
                <w:szCs w:val="16"/>
              </w:rPr>
              <w:t xml:space="preserve"> </w:t>
            </w:r>
            <w:r w:rsidRPr="00B41377">
              <w:rPr>
                <w:rFonts w:ascii="Arial" w:hAnsi="Arial"/>
                <w:color w:val="000000"/>
                <w:sz w:val="16"/>
                <w:szCs w:val="16"/>
                <w:vertAlign w:val="superscript"/>
              </w:rPr>
              <w:t>[a]</w:t>
            </w:r>
          </w:p>
        </w:tc>
        <w:tc>
          <w:tcPr>
            <w:tcW w:w="2865" w:type="dxa"/>
            <w:tcBorders>
              <w:top w:val="single" w:sz="4" w:space="0" w:color="auto"/>
              <w:left w:val="single" w:sz="4" w:space="0" w:color="auto"/>
              <w:bottom w:val="single" w:sz="4" w:space="0" w:color="auto"/>
              <w:right w:val="single" w:sz="4" w:space="0" w:color="auto"/>
            </w:tcBorders>
          </w:tcPr>
          <w:p w14:paraId="0A8BA866" w14:textId="18B11AB4" w:rsidR="00D44592" w:rsidRPr="00D81099" w:rsidRDefault="00D44592" w:rsidP="00D44592">
            <w:pPr>
              <w:tabs>
                <w:tab w:val="left" w:pos="709"/>
              </w:tabs>
              <w:spacing w:before="60" w:after="60"/>
              <w:rPr>
                <w:rFonts w:ascii="Arial" w:hAnsi="Arial"/>
                <w:sz w:val="16"/>
                <w:szCs w:val="16"/>
                <w:lang w:val="en-AU"/>
              </w:rPr>
            </w:pPr>
            <w:r w:rsidRPr="00D81099">
              <w:rPr>
                <w:rFonts w:ascii="Arial" w:hAnsi="Arial"/>
                <w:sz w:val="16"/>
                <w:szCs w:val="16"/>
                <w:lang w:val="en-AU"/>
              </w:rPr>
              <w:t>4.4: Defence supports ADF members and their families by providing access to support services and programs having regard to lifetime wellbeing.</w:t>
            </w:r>
          </w:p>
        </w:tc>
        <w:tc>
          <w:tcPr>
            <w:tcW w:w="3084" w:type="dxa"/>
            <w:tcBorders>
              <w:top w:val="single" w:sz="4" w:space="0" w:color="auto"/>
              <w:left w:val="single" w:sz="4" w:space="0" w:color="auto"/>
              <w:bottom w:val="single" w:sz="4" w:space="0" w:color="auto"/>
              <w:right w:val="single" w:sz="4" w:space="0" w:color="auto"/>
            </w:tcBorders>
          </w:tcPr>
          <w:p w14:paraId="6855DA2D" w14:textId="5E4BE5DC" w:rsidR="00D44592" w:rsidRPr="00834FB2" w:rsidRDefault="00D452D3" w:rsidP="00D44592">
            <w:pPr>
              <w:tabs>
                <w:tab w:val="left" w:pos="709"/>
              </w:tabs>
              <w:spacing w:before="60" w:after="60"/>
              <w:rPr>
                <w:rFonts w:ascii="Arial" w:hAnsi="Arial"/>
                <w:sz w:val="16"/>
                <w:szCs w:val="16"/>
                <w:lang w:val="en-AU"/>
              </w:rPr>
            </w:pPr>
            <w:r w:rsidRPr="00834FB2">
              <w:rPr>
                <w:rFonts w:ascii="Arial" w:hAnsi="Arial"/>
                <w:sz w:val="16"/>
                <w:szCs w:val="16"/>
                <w:lang w:val="en-AU"/>
              </w:rPr>
              <w:t>At least 75 per cent of eligible permanent ADF members and their families are registered with the ADF Family Health Program; 100 per cent of support services and programs are provided to permanent ADF and their families in accordance with identified service delivery timeframes; Defence’s suicide prevention training is practical, tailored, informed by lived experience and delivered in person; and 100 per cent of Defence-led, Government-agreed recommendations from the Royal Commission into Defence and Veteran Suicide Final Report which are on the Forward Work Plan for the Program Board in 2024-25, have approved Reform Management Plans by 30 June 2025</w:t>
            </w:r>
            <w:r w:rsidR="00D44592" w:rsidRPr="00834FB2">
              <w:rPr>
                <w:rFonts w:ascii="Arial" w:hAnsi="Arial"/>
                <w:sz w:val="16"/>
                <w:szCs w:val="16"/>
                <w:lang w:val="en-AU"/>
              </w:rPr>
              <w:t>.</w:t>
            </w:r>
          </w:p>
          <w:p w14:paraId="55FB2BBC" w14:textId="6623AD58" w:rsidR="00D44592" w:rsidRPr="00834FB2" w:rsidRDefault="00D452D3" w:rsidP="00D44592">
            <w:pPr>
              <w:tabs>
                <w:tab w:val="left" w:pos="709"/>
              </w:tabs>
              <w:spacing w:before="60" w:after="60"/>
              <w:jc w:val="right"/>
              <w:rPr>
                <w:rFonts w:ascii="Arial" w:hAnsi="Arial"/>
                <w:i/>
                <w:sz w:val="16"/>
                <w:szCs w:val="16"/>
                <w:lang w:val="en-AU"/>
              </w:rPr>
            </w:pPr>
            <w:r w:rsidRPr="00834FB2">
              <w:rPr>
                <w:rFonts w:ascii="Arial" w:hAnsi="Arial"/>
                <w:i/>
                <w:sz w:val="16"/>
                <w:szCs w:val="16"/>
                <w:lang w:val="en-AU"/>
              </w:rPr>
              <w:t>Expected to be partially achieved</w:t>
            </w:r>
            <w:r w:rsidR="00D44592" w:rsidRPr="00834FB2">
              <w:rPr>
                <w:rFonts w:ascii="Arial" w:hAnsi="Arial"/>
                <w:i/>
                <w:sz w:val="16"/>
                <w:szCs w:val="16"/>
                <w:lang w:val="en-AU"/>
              </w:rPr>
              <w:t>.</w:t>
            </w:r>
          </w:p>
        </w:tc>
      </w:tr>
      <w:tr w:rsidR="00F7100A" w:rsidRPr="00B41377" w14:paraId="48C6F3F7" w14:textId="77777777" w:rsidTr="00514075">
        <w:tblPrEx>
          <w:shd w:val="clear" w:color="auto" w:fill="auto"/>
          <w:tblLook w:val="04A0" w:firstRow="1" w:lastRow="0" w:firstColumn="1" w:lastColumn="0" w:noHBand="0" w:noVBand="1"/>
        </w:tblPrEx>
        <w:trPr>
          <w:trHeight w:val="258"/>
        </w:trPr>
        <w:tc>
          <w:tcPr>
            <w:tcW w:w="1661" w:type="dxa"/>
            <w:tcBorders>
              <w:top w:val="single" w:sz="4" w:space="0" w:color="auto"/>
              <w:bottom w:val="single" w:sz="4" w:space="0" w:color="auto"/>
              <w:right w:val="single" w:sz="4" w:space="0" w:color="auto"/>
            </w:tcBorders>
          </w:tcPr>
          <w:p w14:paraId="14FC4AF6" w14:textId="77777777" w:rsidR="00F7100A" w:rsidRPr="00B41377" w:rsidRDefault="00F7100A" w:rsidP="00834FB2">
            <w:pPr>
              <w:tabs>
                <w:tab w:val="left" w:pos="709"/>
              </w:tabs>
              <w:spacing w:before="60" w:after="60"/>
              <w:rPr>
                <w:rFonts w:ascii="Arial" w:hAnsi="Arial"/>
                <w:b/>
                <w:color w:val="000000"/>
                <w:sz w:val="16"/>
                <w:szCs w:val="16"/>
              </w:rPr>
            </w:pPr>
            <w:r w:rsidRPr="00B41377">
              <w:rPr>
                <w:rFonts w:ascii="Arial" w:hAnsi="Arial"/>
                <w:b/>
                <w:color w:val="000000"/>
                <w:sz w:val="16"/>
                <w:szCs w:val="16"/>
              </w:rPr>
              <w:t>Year</w:t>
            </w:r>
          </w:p>
        </w:tc>
        <w:tc>
          <w:tcPr>
            <w:tcW w:w="2865" w:type="dxa"/>
            <w:tcBorders>
              <w:top w:val="single" w:sz="4" w:space="0" w:color="auto"/>
              <w:left w:val="single" w:sz="4" w:space="0" w:color="auto"/>
              <w:bottom w:val="single" w:sz="4" w:space="0" w:color="auto"/>
              <w:right w:val="single" w:sz="4" w:space="0" w:color="auto"/>
            </w:tcBorders>
          </w:tcPr>
          <w:p w14:paraId="2DD47072" w14:textId="77777777" w:rsidR="00F7100A" w:rsidRPr="00B41377" w:rsidRDefault="00F7100A" w:rsidP="00072EF9">
            <w:pPr>
              <w:tabs>
                <w:tab w:val="left" w:pos="709"/>
                <w:tab w:val="center" w:pos="1818"/>
              </w:tabs>
              <w:spacing w:before="60" w:after="60"/>
              <w:rPr>
                <w:rFonts w:ascii="Arial" w:hAnsi="Arial"/>
                <w:b/>
                <w:color w:val="000000"/>
                <w:sz w:val="16"/>
                <w:szCs w:val="16"/>
              </w:rPr>
            </w:pPr>
            <w:r w:rsidRPr="00B41377">
              <w:rPr>
                <w:rFonts w:ascii="Arial" w:hAnsi="Arial"/>
                <w:b/>
                <w:color w:val="000000"/>
                <w:sz w:val="16"/>
                <w:szCs w:val="16"/>
              </w:rPr>
              <w:t>Performance measures</w:t>
            </w:r>
          </w:p>
        </w:tc>
        <w:tc>
          <w:tcPr>
            <w:tcW w:w="3084" w:type="dxa"/>
            <w:tcBorders>
              <w:top w:val="single" w:sz="4" w:space="0" w:color="auto"/>
              <w:left w:val="single" w:sz="4" w:space="0" w:color="auto"/>
              <w:bottom w:val="single" w:sz="4" w:space="0" w:color="auto"/>
            </w:tcBorders>
          </w:tcPr>
          <w:p w14:paraId="49EA9E47" w14:textId="77777777" w:rsidR="00F7100A" w:rsidRPr="00B41377" w:rsidRDefault="00F7100A" w:rsidP="00072EF9">
            <w:pPr>
              <w:tabs>
                <w:tab w:val="left" w:pos="709"/>
              </w:tabs>
              <w:spacing w:before="60" w:after="60"/>
              <w:rPr>
                <w:rFonts w:ascii="Arial" w:hAnsi="Arial"/>
                <w:b/>
                <w:color w:val="000000"/>
                <w:sz w:val="16"/>
                <w:szCs w:val="16"/>
              </w:rPr>
            </w:pPr>
            <w:r w:rsidRPr="00B41377">
              <w:rPr>
                <w:rFonts w:ascii="Arial" w:hAnsi="Arial"/>
                <w:b/>
                <w:color w:val="000000"/>
                <w:sz w:val="16"/>
                <w:szCs w:val="16"/>
              </w:rPr>
              <w:t>Planned Performance Results</w:t>
            </w:r>
          </w:p>
        </w:tc>
      </w:tr>
      <w:tr w:rsidR="007F5499" w:rsidRPr="00B41377" w14:paraId="4DD8A396" w14:textId="77777777" w:rsidTr="00CC7AF9">
        <w:tblPrEx>
          <w:shd w:val="clear" w:color="auto" w:fill="auto"/>
          <w:tblLook w:val="04A0" w:firstRow="1" w:lastRow="0" w:firstColumn="1" w:lastColumn="0" w:noHBand="0" w:noVBand="1"/>
        </w:tblPrEx>
        <w:trPr>
          <w:trHeight w:val="320"/>
        </w:trPr>
        <w:tc>
          <w:tcPr>
            <w:tcW w:w="1661" w:type="dxa"/>
            <w:vMerge w:val="restart"/>
            <w:tcBorders>
              <w:top w:val="single" w:sz="4" w:space="0" w:color="auto"/>
              <w:left w:val="single" w:sz="4" w:space="0" w:color="auto"/>
              <w:right w:val="single" w:sz="4" w:space="0" w:color="auto"/>
            </w:tcBorders>
          </w:tcPr>
          <w:p w14:paraId="138A3355" w14:textId="77777777" w:rsidR="007F5499" w:rsidRPr="00B41377" w:rsidRDefault="007F5499" w:rsidP="00D81099">
            <w:pPr>
              <w:tabs>
                <w:tab w:val="left" w:pos="709"/>
              </w:tabs>
              <w:spacing w:before="0" w:after="0"/>
              <w:rPr>
                <w:rFonts w:ascii="Arial" w:hAnsi="Arial"/>
                <w:color w:val="000000"/>
                <w:sz w:val="16"/>
                <w:szCs w:val="16"/>
              </w:rPr>
            </w:pPr>
            <w:r w:rsidRPr="00B41377">
              <w:rPr>
                <w:rFonts w:ascii="Arial" w:hAnsi="Arial"/>
                <w:color w:val="000000"/>
                <w:sz w:val="16"/>
                <w:szCs w:val="16"/>
              </w:rPr>
              <w:t>Budget Year</w:t>
            </w:r>
          </w:p>
          <w:p w14:paraId="573942FF" w14:textId="77777777" w:rsidR="007F5499" w:rsidRPr="00B41377" w:rsidRDefault="007F5499" w:rsidP="00D81099">
            <w:pPr>
              <w:tabs>
                <w:tab w:val="left" w:pos="709"/>
              </w:tabs>
              <w:spacing w:before="0" w:after="0"/>
              <w:rPr>
                <w:rFonts w:ascii="Arial" w:hAnsi="Arial"/>
                <w:color w:val="000000"/>
                <w:sz w:val="16"/>
                <w:szCs w:val="16"/>
              </w:rPr>
            </w:pPr>
            <w:r w:rsidRPr="00B41377">
              <w:rPr>
                <w:rFonts w:ascii="Arial" w:hAnsi="Arial"/>
                <w:color w:val="000000"/>
                <w:sz w:val="16"/>
                <w:szCs w:val="16"/>
              </w:rPr>
              <w:t>2025-26</w:t>
            </w:r>
            <w:r>
              <w:rPr>
                <w:rFonts w:ascii="Arial" w:hAnsi="Arial"/>
                <w:color w:val="000000"/>
                <w:sz w:val="16"/>
                <w:szCs w:val="16"/>
              </w:rPr>
              <w:t xml:space="preserve"> </w:t>
            </w:r>
            <w:r w:rsidRPr="00D81099">
              <w:rPr>
                <w:rFonts w:ascii="Arial" w:hAnsi="Arial"/>
                <w:color w:val="000000"/>
                <w:sz w:val="16"/>
                <w:szCs w:val="16"/>
                <w:vertAlign w:val="superscript"/>
              </w:rPr>
              <w:t>[b]</w:t>
            </w:r>
          </w:p>
          <w:p w14:paraId="37E00D3C" w14:textId="2C3B5982" w:rsidR="007F5499" w:rsidRPr="00B41377" w:rsidRDefault="007F5499" w:rsidP="00D44592">
            <w:pPr>
              <w:keepNext/>
              <w:keepLines/>
              <w:tabs>
                <w:tab w:val="left" w:pos="709"/>
              </w:tabs>
              <w:spacing w:before="0" w:after="0"/>
              <w:rPr>
                <w:rFonts w:ascii="Arial" w:hAnsi="Arial"/>
                <w:color w:val="000000"/>
                <w:sz w:val="16"/>
                <w:szCs w:val="16"/>
              </w:rPr>
            </w:pPr>
          </w:p>
        </w:tc>
        <w:tc>
          <w:tcPr>
            <w:tcW w:w="2865" w:type="dxa"/>
            <w:tcBorders>
              <w:top w:val="single" w:sz="4" w:space="0" w:color="auto"/>
              <w:left w:val="single" w:sz="4" w:space="0" w:color="auto"/>
              <w:bottom w:val="dotted" w:sz="4" w:space="0" w:color="auto"/>
              <w:right w:val="single" w:sz="4" w:space="0" w:color="auto"/>
            </w:tcBorders>
          </w:tcPr>
          <w:p w14:paraId="296889F8" w14:textId="77777777" w:rsidR="007F5499" w:rsidRPr="00DA6484" w:rsidRDefault="007F5499" w:rsidP="00D81099">
            <w:pPr>
              <w:tabs>
                <w:tab w:val="left" w:pos="709"/>
              </w:tabs>
              <w:spacing w:before="60" w:after="60"/>
              <w:rPr>
                <w:rFonts w:ascii="Arial" w:hAnsi="Arial"/>
                <w:sz w:val="16"/>
                <w:szCs w:val="16"/>
                <w:lang w:val="en-AU"/>
              </w:rPr>
            </w:pPr>
            <w:r w:rsidRPr="00DA6484">
              <w:rPr>
                <w:rFonts w:ascii="Arial" w:hAnsi="Arial"/>
                <w:sz w:val="16"/>
                <w:szCs w:val="16"/>
                <w:lang w:val="en-AU"/>
              </w:rPr>
              <w:t>4.1: Defence recruits and retains an ADF and APS workforce to support the Defence mission.</w:t>
            </w:r>
          </w:p>
        </w:tc>
        <w:tc>
          <w:tcPr>
            <w:tcW w:w="3084" w:type="dxa"/>
            <w:tcBorders>
              <w:top w:val="single" w:sz="4" w:space="0" w:color="auto"/>
              <w:left w:val="single" w:sz="4" w:space="0" w:color="auto"/>
              <w:bottom w:val="dotted" w:sz="4" w:space="0" w:color="auto"/>
              <w:right w:val="single" w:sz="4" w:space="0" w:color="auto"/>
            </w:tcBorders>
          </w:tcPr>
          <w:p w14:paraId="2A81BA66" w14:textId="66ED5FE8" w:rsidR="007F5499" w:rsidRPr="00834FB2" w:rsidRDefault="007F5499" w:rsidP="00D81099">
            <w:pPr>
              <w:tabs>
                <w:tab w:val="left" w:pos="709"/>
              </w:tabs>
              <w:spacing w:before="60" w:after="60"/>
              <w:rPr>
                <w:rFonts w:ascii="Arial" w:hAnsi="Arial"/>
                <w:sz w:val="16"/>
                <w:szCs w:val="16"/>
                <w:lang w:val="en-AU"/>
              </w:rPr>
            </w:pPr>
            <w:r w:rsidRPr="00834FB2">
              <w:rPr>
                <w:rFonts w:ascii="Arial" w:hAnsi="Arial"/>
                <w:sz w:val="16"/>
                <w:szCs w:val="16"/>
                <w:lang w:val="en-AU"/>
              </w:rPr>
              <w:t>Defence achieves the ADF and APS Budgeted Workforce Requirement as set out in the 2024 Defence Workforce Plan, and the net flow of the ADF and APS workforce over a 12 month period is trending positive and is positioning Defence to achieve the Budgeted Workforce Requirement over the forward estimates.</w:t>
            </w:r>
          </w:p>
        </w:tc>
      </w:tr>
      <w:tr w:rsidR="007F5499" w:rsidRPr="00B41377" w14:paraId="6B05CA6A" w14:textId="77777777" w:rsidTr="00514075">
        <w:tblPrEx>
          <w:shd w:val="clear" w:color="auto" w:fill="auto"/>
          <w:tblLook w:val="04A0" w:firstRow="1" w:lastRow="0" w:firstColumn="1" w:lastColumn="0" w:noHBand="0" w:noVBand="1"/>
        </w:tblPrEx>
        <w:trPr>
          <w:trHeight w:val="320"/>
        </w:trPr>
        <w:tc>
          <w:tcPr>
            <w:tcW w:w="1661" w:type="dxa"/>
            <w:vMerge/>
            <w:tcBorders>
              <w:left w:val="single" w:sz="4" w:space="0" w:color="auto"/>
              <w:right w:val="single" w:sz="4" w:space="0" w:color="auto"/>
            </w:tcBorders>
          </w:tcPr>
          <w:p w14:paraId="0B0884BE" w14:textId="202C1BF5" w:rsidR="007F5499" w:rsidRPr="00B41377" w:rsidRDefault="007F5499" w:rsidP="00D44592">
            <w:pPr>
              <w:keepNext/>
              <w:keepLines/>
              <w:tabs>
                <w:tab w:val="left" w:pos="709"/>
              </w:tabs>
              <w:spacing w:before="0" w:after="0"/>
              <w:rPr>
                <w:rFonts w:ascii="Arial" w:hAnsi="Arial"/>
                <w:color w:val="000000"/>
                <w:sz w:val="16"/>
                <w:szCs w:val="16"/>
              </w:rPr>
            </w:pPr>
          </w:p>
        </w:tc>
        <w:tc>
          <w:tcPr>
            <w:tcW w:w="2865" w:type="dxa"/>
            <w:tcBorders>
              <w:top w:val="dotted" w:sz="4" w:space="0" w:color="auto"/>
              <w:left w:val="single" w:sz="4" w:space="0" w:color="auto"/>
              <w:bottom w:val="dotted" w:sz="4" w:space="0" w:color="auto"/>
              <w:right w:val="single" w:sz="4" w:space="0" w:color="auto"/>
            </w:tcBorders>
          </w:tcPr>
          <w:p w14:paraId="60D918EE" w14:textId="77777777" w:rsidR="007F5499" w:rsidRPr="00DA6484" w:rsidRDefault="007F5499" w:rsidP="00D81099">
            <w:pPr>
              <w:tabs>
                <w:tab w:val="left" w:pos="709"/>
              </w:tabs>
              <w:spacing w:before="60" w:after="60"/>
              <w:rPr>
                <w:rFonts w:ascii="Arial" w:hAnsi="Arial"/>
                <w:sz w:val="16"/>
                <w:szCs w:val="16"/>
                <w:lang w:val="en-AU"/>
              </w:rPr>
            </w:pPr>
            <w:r w:rsidRPr="00DA6484">
              <w:rPr>
                <w:rFonts w:ascii="Arial" w:hAnsi="Arial"/>
                <w:sz w:val="16"/>
                <w:szCs w:val="16"/>
                <w:lang w:val="en-AU"/>
              </w:rPr>
              <w:t>4.2: Defence grows the necessary skills and capabilities to enable the Defence mission.</w:t>
            </w:r>
          </w:p>
        </w:tc>
        <w:tc>
          <w:tcPr>
            <w:tcW w:w="3084" w:type="dxa"/>
            <w:tcBorders>
              <w:top w:val="dotted" w:sz="4" w:space="0" w:color="auto"/>
              <w:left w:val="single" w:sz="4" w:space="0" w:color="auto"/>
              <w:bottom w:val="dotted" w:sz="4" w:space="0" w:color="auto"/>
              <w:right w:val="single" w:sz="4" w:space="0" w:color="auto"/>
            </w:tcBorders>
          </w:tcPr>
          <w:p w14:paraId="039E4D3D" w14:textId="6AD63E60" w:rsidR="007F5499" w:rsidRPr="00834FB2" w:rsidRDefault="007F5499" w:rsidP="00D81099">
            <w:pPr>
              <w:tabs>
                <w:tab w:val="left" w:pos="709"/>
              </w:tabs>
              <w:spacing w:before="60" w:after="60"/>
              <w:rPr>
                <w:rFonts w:ascii="Arial" w:hAnsi="Arial"/>
                <w:i/>
                <w:sz w:val="16"/>
                <w:szCs w:val="16"/>
                <w:lang w:val="en-AU"/>
              </w:rPr>
            </w:pPr>
            <w:r w:rsidRPr="00834FB2">
              <w:rPr>
                <w:rFonts w:ascii="Arial" w:hAnsi="Arial"/>
                <w:sz w:val="16"/>
                <w:szCs w:val="16"/>
                <w:lang w:val="en-AU"/>
              </w:rPr>
              <w:t>The Defence workforce has the technical skills required to deliver the National Defence Strategy as measured through the Defence Strategic Workforce Segments, and the net flow of the ADF and APS workforce over a 12 month period against the Budgeted Workforce Requirement by Strategic Workforce Segment.</w:t>
            </w:r>
          </w:p>
        </w:tc>
      </w:tr>
      <w:tr w:rsidR="007F5499" w:rsidRPr="00B41377" w14:paraId="437F4CC1" w14:textId="77777777" w:rsidTr="00514075">
        <w:tblPrEx>
          <w:shd w:val="clear" w:color="auto" w:fill="auto"/>
          <w:tblLook w:val="04A0" w:firstRow="1" w:lastRow="0" w:firstColumn="1" w:lastColumn="0" w:noHBand="0" w:noVBand="1"/>
        </w:tblPrEx>
        <w:trPr>
          <w:trHeight w:val="320"/>
        </w:trPr>
        <w:tc>
          <w:tcPr>
            <w:tcW w:w="1661" w:type="dxa"/>
            <w:vMerge/>
            <w:tcBorders>
              <w:left w:val="single" w:sz="4" w:space="0" w:color="auto"/>
              <w:bottom w:val="single" w:sz="4" w:space="0" w:color="auto"/>
              <w:right w:val="single" w:sz="4" w:space="0" w:color="auto"/>
            </w:tcBorders>
          </w:tcPr>
          <w:p w14:paraId="407E6E2D" w14:textId="72F91541" w:rsidR="007F5499" w:rsidRPr="00B41377" w:rsidRDefault="007F5499" w:rsidP="00D44592">
            <w:pPr>
              <w:keepNext/>
              <w:keepLines/>
              <w:tabs>
                <w:tab w:val="left" w:pos="709"/>
              </w:tabs>
              <w:spacing w:before="0" w:after="0"/>
              <w:rPr>
                <w:rFonts w:ascii="Arial" w:hAnsi="Arial"/>
                <w:color w:val="000000"/>
                <w:sz w:val="16"/>
                <w:szCs w:val="16"/>
              </w:rPr>
            </w:pPr>
          </w:p>
        </w:tc>
        <w:tc>
          <w:tcPr>
            <w:tcW w:w="2865" w:type="dxa"/>
            <w:tcBorders>
              <w:top w:val="dotted" w:sz="4" w:space="0" w:color="auto"/>
              <w:left w:val="single" w:sz="4" w:space="0" w:color="auto"/>
              <w:bottom w:val="single" w:sz="4" w:space="0" w:color="auto"/>
              <w:right w:val="single" w:sz="4" w:space="0" w:color="auto"/>
            </w:tcBorders>
          </w:tcPr>
          <w:p w14:paraId="4D559647" w14:textId="45B83805" w:rsidR="007F5499" w:rsidRPr="00DA6484" w:rsidRDefault="007F5499" w:rsidP="00D44592">
            <w:pPr>
              <w:tabs>
                <w:tab w:val="left" w:pos="709"/>
              </w:tabs>
              <w:spacing w:before="60" w:after="60"/>
              <w:rPr>
                <w:rFonts w:ascii="Arial" w:hAnsi="Arial"/>
                <w:sz w:val="16"/>
                <w:szCs w:val="16"/>
                <w:lang w:val="en-AU"/>
              </w:rPr>
            </w:pPr>
            <w:r w:rsidRPr="00455918">
              <w:rPr>
                <w:rFonts w:ascii="Arial" w:hAnsi="Arial"/>
                <w:sz w:val="16"/>
                <w:szCs w:val="16"/>
                <w:lang w:val="en-AU"/>
              </w:rPr>
              <w:t>4.3: The Defence Values and Behaviours enable our people to deliver Australia’s National Defence.</w:t>
            </w:r>
          </w:p>
        </w:tc>
        <w:tc>
          <w:tcPr>
            <w:tcW w:w="3084" w:type="dxa"/>
            <w:tcBorders>
              <w:top w:val="dotted" w:sz="4" w:space="0" w:color="auto"/>
              <w:left w:val="single" w:sz="4" w:space="0" w:color="auto"/>
              <w:bottom w:val="single" w:sz="4" w:space="0" w:color="auto"/>
              <w:right w:val="single" w:sz="4" w:space="0" w:color="auto"/>
            </w:tcBorders>
          </w:tcPr>
          <w:p w14:paraId="67730B24" w14:textId="63C393CD" w:rsidR="007F5499" w:rsidRPr="00834FB2" w:rsidRDefault="007F5499" w:rsidP="00D44592">
            <w:pPr>
              <w:tabs>
                <w:tab w:val="left" w:pos="709"/>
              </w:tabs>
              <w:spacing w:before="60" w:after="60"/>
              <w:rPr>
                <w:rFonts w:ascii="Arial" w:hAnsi="Arial"/>
                <w:sz w:val="16"/>
                <w:szCs w:val="16"/>
                <w:lang w:val="en-AU"/>
              </w:rPr>
            </w:pPr>
            <w:r w:rsidRPr="00834FB2">
              <w:rPr>
                <w:rFonts w:ascii="Arial" w:hAnsi="Arial"/>
                <w:sz w:val="16"/>
                <w:szCs w:val="16"/>
                <w:lang w:val="en-AU"/>
              </w:rPr>
              <w:t>The proportion of ADF and Defence APS personnel that believe appropriate action will be taken if they report an incident of unacceptable behaviour has increased in the last 12 months, the proportion of ADF and Defence APS personnel who have experienced any unacceptable behaviour in the workplace has decreased in the last 12 months, and proportion of ADF and Defence APS personnel who are of the view that Defence Values are being used in their work area has increased in the last 12 months.</w:t>
            </w:r>
          </w:p>
        </w:tc>
      </w:tr>
      <w:tr w:rsidR="00834FB2" w:rsidRPr="00B41377" w14:paraId="3E28EA4E" w14:textId="77777777" w:rsidTr="00514075">
        <w:tblPrEx>
          <w:shd w:val="clear" w:color="auto" w:fill="auto"/>
          <w:tblLook w:val="04A0" w:firstRow="1" w:lastRow="0" w:firstColumn="1" w:lastColumn="0" w:noHBand="0" w:noVBand="1"/>
        </w:tblPrEx>
        <w:trPr>
          <w:trHeight w:val="320"/>
        </w:trPr>
        <w:tc>
          <w:tcPr>
            <w:tcW w:w="1661" w:type="dxa"/>
            <w:tcBorders>
              <w:top w:val="single" w:sz="4" w:space="0" w:color="auto"/>
              <w:left w:val="single" w:sz="4" w:space="0" w:color="auto"/>
              <w:bottom w:val="single" w:sz="4" w:space="0" w:color="auto"/>
              <w:right w:val="single" w:sz="4" w:space="0" w:color="auto"/>
            </w:tcBorders>
          </w:tcPr>
          <w:p w14:paraId="36813A79" w14:textId="432EECDF" w:rsidR="00834FB2" w:rsidRPr="00B41377" w:rsidRDefault="00834FB2" w:rsidP="00834FB2">
            <w:pPr>
              <w:keepNext/>
              <w:keepLines/>
              <w:pageBreakBefore/>
              <w:tabs>
                <w:tab w:val="left" w:pos="709"/>
              </w:tabs>
              <w:spacing w:before="0" w:after="0"/>
              <w:rPr>
                <w:rFonts w:ascii="Arial" w:hAnsi="Arial"/>
                <w:color w:val="000000"/>
                <w:sz w:val="16"/>
                <w:szCs w:val="16"/>
              </w:rPr>
            </w:pPr>
            <w:r w:rsidRPr="00B41377">
              <w:rPr>
                <w:rFonts w:ascii="Arial" w:hAnsi="Arial"/>
                <w:b/>
                <w:color w:val="000000"/>
                <w:sz w:val="16"/>
                <w:szCs w:val="16"/>
              </w:rPr>
              <w:lastRenderedPageBreak/>
              <w:t>Year</w:t>
            </w:r>
          </w:p>
        </w:tc>
        <w:tc>
          <w:tcPr>
            <w:tcW w:w="2865" w:type="dxa"/>
            <w:tcBorders>
              <w:top w:val="single" w:sz="4" w:space="0" w:color="auto"/>
              <w:left w:val="single" w:sz="4" w:space="0" w:color="auto"/>
              <w:bottom w:val="single" w:sz="4" w:space="0" w:color="auto"/>
              <w:right w:val="single" w:sz="4" w:space="0" w:color="auto"/>
            </w:tcBorders>
          </w:tcPr>
          <w:p w14:paraId="16AD0149" w14:textId="7A41FCA7" w:rsidR="00834FB2" w:rsidRPr="00455918" w:rsidRDefault="00834FB2" w:rsidP="00834FB2">
            <w:pPr>
              <w:tabs>
                <w:tab w:val="left" w:pos="709"/>
              </w:tabs>
              <w:spacing w:before="60" w:after="60"/>
              <w:rPr>
                <w:rFonts w:ascii="Arial" w:hAnsi="Arial"/>
                <w:sz w:val="16"/>
                <w:szCs w:val="16"/>
                <w:lang w:val="en-AU"/>
              </w:rPr>
            </w:pPr>
            <w:r w:rsidRPr="00B41377">
              <w:rPr>
                <w:rFonts w:ascii="Arial" w:hAnsi="Arial"/>
                <w:b/>
                <w:color w:val="000000"/>
                <w:sz w:val="16"/>
                <w:szCs w:val="16"/>
              </w:rPr>
              <w:t>Performance measures</w:t>
            </w:r>
          </w:p>
        </w:tc>
        <w:tc>
          <w:tcPr>
            <w:tcW w:w="3084" w:type="dxa"/>
            <w:tcBorders>
              <w:top w:val="single" w:sz="4" w:space="0" w:color="auto"/>
              <w:left w:val="single" w:sz="4" w:space="0" w:color="auto"/>
              <w:bottom w:val="single" w:sz="4" w:space="0" w:color="auto"/>
              <w:right w:val="single" w:sz="4" w:space="0" w:color="auto"/>
            </w:tcBorders>
          </w:tcPr>
          <w:p w14:paraId="06171262" w14:textId="5086841C" w:rsidR="00834FB2" w:rsidRPr="00834FB2" w:rsidRDefault="00834FB2" w:rsidP="00834FB2">
            <w:pPr>
              <w:tabs>
                <w:tab w:val="left" w:pos="709"/>
              </w:tabs>
              <w:spacing w:before="60" w:after="60"/>
              <w:rPr>
                <w:rFonts w:ascii="Arial" w:hAnsi="Arial"/>
                <w:sz w:val="16"/>
                <w:szCs w:val="16"/>
                <w:lang w:val="en-AU"/>
              </w:rPr>
            </w:pPr>
            <w:r w:rsidRPr="00B41377">
              <w:rPr>
                <w:rFonts w:ascii="Arial" w:hAnsi="Arial"/>
                <w:b/>
                <w:color w:val="000000"/>
                <w:sz w:val="16"/>
                <w:szCs w:val="16"/>
              </w:rPr>
              <w:t>Planned Performance Results</w:t>
            </w:r>
          </w:p>
        </w:tc>
      </w:tr>
      <w:tr w:rsidR="00CC7AF9" w:rsidRPr="00B41377" w14:paraId="4865FB9D" w14:textId="77777777" w:rsidTr="006440D6">
        <w:tblPrEx>
          <w:shd w:val="clear" w:color="auto" w:fill="auto"/>
          <w:tblLook w:val="04A0" w:firstRow="1" w:lastRow="0" w:firstColumn="1" w:lastColumn="0" w:noHBand="0" w:noVBand="1"/>
        </w:tblPrEx>
        <w:trPr>
          <w:trHeight w:val="320"/>
        </w:trPr>
        <w:tc>
          <w:tcPr>
            <w:tcW w:w="1661" w:type="dxa"/>
            <w:tcBorders>
              <w:top w:val="single" w:sz="4" w:space="0" w:color="auto"/>
              <w:left w:val="single" w:sz="4" w:space="0" w:color="auto"/>
              <w:bottom w:val="single" w:sz="4" w:space="0" w:color="auto"/>
              <w:right w:val="single" w:sz="4" w:space="0" w:color="auto"/>
            </w:tcBorders>
          </w:tcPr>
          <w:p w14:paraId="28A671D9" w14:textId="77777777" w:rsidR="00834FB2" w:rsidRPr="00B41377" w:rsidRDefault="00834FB2" w:rsidP="00834FB2">
            <w:pPr>
              <w:tabs>
                <w:tab w:val="left" w:pos="709"/>
              </w:tabs>
              <w:spacing w:before="0" w:after="0"/>
              <w:rPr>
                <w:rFonts w:ascii="Arial" w:hAnsi="Arial"/>
                <w:color w:val="000000"/>
                <w:sz w:val="16"/>
                <w:szCs w:val="16"/>
              </w:rPr>
            </w:pPr>
            <w:r w:rsidRPr="00B41377">
              <w:rPr>
                <w:rFonts w:ascii="Arial" w:hAnsi="Arial"/>
                <w:color w:val="000000"/>
                <w:sz w:val="16"/>
                <w:szCs w:val="16"/>
              </w:rPr>
              <w:t>Budget Year</w:t>
            </w:r>
          </w:p>
          <w:p w14:paraId="146A58DE" w14:textId="77777777" w:rsidR="00834FB2" w:rsidRPr="00B41377" w:rsidRDefault="00834FB2" w:rsidP="00834FB2">
            <w:pPr>
              <w:tabs>
                <w:tab w:val="left" w:pos="709"/>
              </w:tabs>
              <w:spacing w:before="0" w:after="0"/>
              <w:rPr>
                <w:rFonts w:ascii="Arial" w:hAnsi="Arial"/>
                <w:color w:val="000000"/>
                <w:sz w:val="16"/>
                <w:szCs w:val="16"/>
              </w:rPr>
            </w:pPr>
            <w:r w:rsidRPr="00B41377">
              <w:rPr>
                <w:rFonts w:ascii="Arial" w:hAnsi="Arial"/>
                <w:color w:val="000000"/>
                <w:sz w:val="16"/>
                <w:szCs w:val="16"/>
              </w:rPr>
              <w:t>2025-26</w:t>
            </w:r>
            <w:r>
              <w:rPr>
                <w:rFonts w:ascii="Arial" w:hAnsi="Arial"/>
                <w:color w:val="000000"/>
                <w:sz w:val="16"/>
                <w:szCs w:val="16"/>
              </w:rPr>
              <w:t xml:space="preserve"> </w:t>
            </w:r>
            <w:r w:rsidRPr="00D81099">
              <w:rPr>
                <w:rFonts w:ascii="Arial" w:hAnsi="Arial"/>
                <w:color w:val="000000"/>
                <w:sz w:val="16"/>
                <w:szCs w:val="16"/>
                <w:vertAlign w:val="superscript"/>
              </w:rPr>
              <w:t>[b]</w:t>
            </w:r>
          </w:p>
          <w:p w14:paraId="05B05871" w14:textId="77777777" w:rsidR="00CC7AF9" w:rsidRPr="00B41377" w:rsidRDefault="00CC7AF9" w:rsidP="00D44592">
            <w:pPr>
              <w:tabs>
                <w:tab w:val="left" w:pos="709"/>
              </w:tabs>
              <w:spacing w:before="60" w:after="60"/>
              <w:rPr>
                <w:rFonts w:ascii="Arial" w:hAnsi="Arial"/>
                <w:color w:val="000000"/>
                <w:sz w:val="16"/>
                <w:szCs w:val="16"/>
              </w:rPr>
            </w:pPr>
          </w:p>
        </w:tc>
        <w:tc>
          <w:tcPr>
            <w:tcW w:w="2865" w:type="dxa"/>
            <w:tcBorders>
              <w:top w:val="single" w:sz="4" w:space="0" w:color="auto"/>
              <w:left w:val="single" w:sz="4" w:space="0" w:color="auto"/>
              <w:bottom w:val="single" w:sz="4" w:space="0" w:color="auto"/>
              <w:right w:val="single" w:sz="4" w:space="0" w:color="auto"/>
            </w:tcBorders>
          </w:tcPr>
          <w:p w14:paraId="593D8FBC" w14:textId="14BB442E" w:rsidR="00CC7AF9" w:rsidRPr="00DA6484" w:rsidRDefault="00CC7AF9" w:rsidP="00D44592">
            <w:pPr>
              <w:tabs>
                <w:tab w:val="left" w:pos="709"/>
              </w:tabs>
              <w:spacing w:before="60" w:after="60"/>
              <w:rPr>
                <w:rFonts w:ascii="Arial" w:hAnsi="Arial"/>
                <w:sz w:val="16"/>
                <w:szCs w:val="16"/>
                <w:lang w:val="en-AU"/>
              </w:rPr>
            </w:pPr>
            <w:r w:rsidRPr="00DA6484">
              <w:rPr>
                <w:rFonts w:ascii="Arial" w:hAnsi="Arial"/>
                <w:sz w:val="16"/>
                <w:szCs w:val="16"/>
                <w:lang w:val="en-AU"/>
              </w:rPr>
              <w:t>4.4: Defence supports ADF members and their families by providing access to support services and programs having regard to lifetime wellbeing.</w:t>
            </w:r>
          </w:p>
        </w:tc>
        <w:tc>
          <w:tcPr>
            <w:tcW w:w="3084" w:type="dxa"/>
            <w:tcBorders>
              <w:top w:val="single" w:sz="4" w:space="0" w:color="auto"/>
              <w:left w:val="single" w:sz="4" w:space="0" w:color="auto"/>
              <w:bottom w:val="single" w:sz="4" w:space="0" w:color="auto"/>
              <w:right w:val="single" w:sz="4" w:space="0" w:color="auto"/>
            </w:tcBorders>
          </w:tcPr>
          <w:p w14:paraId="29C01157" w14:textId="0365E75F" w:rsidR="00CC7AF9" w:rsidRPr="00D44592" w:rsidRDefault="00CC7AF9" w:rsidP="001809FC">
            <w:pPr>
              <w:tabs>
                <w:tab w:val="left" w:pos="709"/>
              </w:tabs>
              <w:spacing w:before="60" w:after="60"/>
              <w:rPr>
                <w:rFonts w:ascii="Arial" w:hAnsi="Arial"/>
                <w:sz w:val="16"/>
                <w:szCs w:val="16"/>
                <w:lang w:val="en-AU"/>
              </w:rPr>
            </w:pPr>
            <w:r w:rsidRPr="00D44592">
              <w:rPr>
                <w:rFonts w:ascii="Arial" w:hAnsi="Arial"/>
                <w:sz w:val="16"/>
                <w:szCs w:val="16"/>
                <w:lang w:val="en-AU"/>
              </w:rPr>
              <w:t>At least 75 per cent of eligible permanent ADF members and their families are registered with the ADF Family Health Program; 100 per cent of support services and programs are provided to permanent ADF and their families in accordance with identified service delivery timeframes; and 100 per cent of Defence-led, Government-agreed recommendations from the Royal Commission into Defence and Veteran Suicide Final Report which are on the Forward Work Plan for the Program Board in 2024-25, have approved Reform Management Plans place by 30 June 2025.</w:t>
            </w:r>
          </w:p>
        </w:tc>
      </w:tr>
      <w:tr w:rsidR="00F7100A" w:rsidRPr="00BA1388" w14:paraId="585C3E8D" w14:textId="77777777" w:rsidTr="00CC7AF9">
        <w:tblPrEx>
          <w:shd w:val="clear" w:color="auto" w:fill="auto"/>
          <w:tblLook w:val="04A0" w:firstRow="1" w:lastRow="0" w:firstColumn="1" w:lastColumn="0" w:noHBand="0" w:noVBand="1"/>
        </w:tblPrEx>
        <w:trPr>
          <w:trHeight w:val="491"/>
        </w:trPr>
        <w:tc>
          <w:tcPr>
            <w:tcW w:w="1661" w:type="dxa"/>
            <w:tcBorders>
              <w:top w:val="single" w:sz="4" w:space="0" w:color="auto"/>
              <w:bottom w:val="single" w:sz="4" w:space="0" w:color="auto"/>
              <w:right w:val="single" w:sz="4" w:space="0" w:color="auto"/>
            </w:tcBorders>
          </w:tcPr>
          <w:p w14:paraId="0B729B0B" w14:textId="77777777" w:rsidR="00F7100A" w:rsidRPr="00B41377" w:rsidRDefault="00F7100A" w:rsidP="00B41377">
            <w:pPr>
              <w:tabs>
                <w:tab w:val="left" w:pos="709"/>
              </w:tabs>
              <w:spacing w:before="0" w:after="0"/>
              <w:rPr>
                <w:rFonts w:ascii="Arial" w:hAnsi="Arial"/>
                <w:color w:val="000000"/>
                <w:sz w:val="16"/>
                <w:szCs w:val="16"/>
              </w:rPr>
            </w:pPr>
            <w:r w:rsidRPr="00B41377">
              <w:rPr>
                <w:rFonts w:ascii="Arial" w:hAnsi="Arial"/>
                <w:color w:val="000000"/>
                <w:sz w:val="16"/>
                <w:szCs w:val="16"/>
              </w:rPr>
              <w:t>Forward Estimates</w:t>
            </w:r>
          </w:p>
          <w:p w14:paraId="46B2A2C7" w14:textId="77777777" w:rsidR="00F7100A" w:rsidRPr="00B41377" w:rsidRDefault="00F7100A" w:rsidP="00B41377">
            <w:pPr>
              <w:tabs>
                <w:tab w:val="left" w:pos="709"/>
              </w:tabs>
              <w:spacing w:before="0" w:after="0"/>
              <w:rPr>
                <w:rFonts w:ascii="Arial" w:hAnsi="Arial"/>
                <w:b/>
                <w:color w:val="000000"/>
                <w:sz w:val="16"/>
                <w:szCs w:val="16"/>
              </w:rPr>
            </w:pPr>
            <w:r w:rsidRPr="00B41377">
              <w:rPr>
                <w:rFonts w:ascii="Arial" w:hAnsi="Arial"/>
                <w:color w:val="000000"/>
                <w:sz w:val="16"/>
                <w:szCs w:val="16"/>
              </w:rPr>
              <w:t>202</w:t>
            </w:r>
            <w:r w:rsidR="00120363" w:rsidRPr="00B41377">
              <w:rPr>
                <w:rFonts w:ascii="Arial" w:hAnsi="Arial"/>
                <w:color w:val="000000"/>
                <w:sz w:val="16"/>
                <w:szCs w:val="16"/>
              </w:rPr>
              <w:t>6</w:t>
            </w:r>
            <w:r w:rsidRPr="00B41377">
              <w:rPr>
                <w:rFonts w:ascii="Arial" w:hAnsi="Arial"/>
                <w:color w:val="000000"/>
                <w:sz w:val="16"/>
                <w:szCs w:val="16"/>
              </w:rPr>
              <w:t>-2</w:t>
            </w:r>
            <w:r w:rsidR="00120363" w:rsidRPr="00B41377">
              <w:rPr>
                <w:rFonts w:ascii="Arial" w:hAnsi="Arial"/>
                <w:color w:val="000000"/>
                <w:sz w:val="16"/>
                <w:szCs w:val="16"/>
              </w:rPr>
              <w:t>9</w:t>
            </w:r>
          </w:p>
        </w:tc>
        <w:tc>
          <w:tcPr>
            <w:tcW w:w="2865" w:type="dxa"/>
            <w:tcBorders>
              <w:top w:val="single" w:sz="4" w:space="0" w:color="auto"/>
              <w:left w:val="single" w:sz="4" w:space="0" w:color="auto"/>
              <w:bottom w:val="single" w:sz="4" w:space="0" w:color="auto"/>
              <w:right w:val="single" w:sz="4" w:space="0" w:color="auto"/>
            </w:tcBorders>
          </w:tcPr>
          <w:p w14:paraId="4E1B8575" w14:textId="77777777" w:rsidR="00F7100A" w:rsidRPr="00B41377" w:rsidRDefault="00D81099" w:rsidP="00D81099">
            <w:pPr>
              <w:tabs>
                <w:tab w:val="left" w:pos="709"/>
              </w:tabs>
              <w:spacing w:before="60" w:after="60"/>
              <w:rPr>
                <w:rFonts w:ascii="Arial" w:hAnsi="Arial"/>
                <w:b/>
                <w:color w:val="000000"/>
                <w:sz w:val="16"/>
                <w:szCs w:val="16"/>
              </w:rPr>
            </w:pPr>
            <w:r>
              <w:rPr>
                <w:rFonts w:ascii="Arial" w:hAnsi="Arial"/>
                <w:color w:val="000000"/>
                <w:sz w:val="16"/>
                <w:szCs w:val="16"/>
              </w:rPr>
              <w:t>As per 2025</w:t>
            </w:r>
            <w:r w:rsidR="00F7100A" w:rsidRPr="00B41377">
              <w:rPr>
                <w:rFonts w:ascii="Arial" w:hAnsi="Arial"/>
                <w:color w:val="000000"/>
                <w:sz w:val="16"/>
                <w:szCs w:val="16"/>
              </w:rPr>
              <w:t>-2</w:t>
            </w:r>
            <w:r>
              <w:rPr>
                <w:rFonts w:ascii="Arial" w:hAnsi="Arial"/>
                <w:color w:val="000000"/>
                <w:sz w:val="16"/>
                <w:szCs w:val="16"/>
              </w:rPr>
              <w:t>6</w:t>
            </w:r>
            <w:r w:rsidR="00F7100A" w:rsidRPr="00B41377">
              <w:rPr>
                <w:rFonts w:ascii="Arial" w:hAnsi="Arial"/>
                <w:color w:val="000000"/>
                <w:sz w:val="16"/>
                <w:szCs w:val="16"/>
              </w:rPr>
              <w:t>.</w:t>
            </w:r>
          </w:p>
        </w:tc>
        <w:tc>
          <w:tcPr>
            <w:tcW w:w="3084" w:type="dxa"/>
            <w:tcBorders>
              <w:top w:val="single" w:sz="4" w:space="0" w:color="auto"/>
              <w:left w:val="single" w:sz="4" w:space="0" w:color="auto"/>
              <w:bottom w:val="single" w:sz="4" w:space="0" w:color="auto"/>
            </w:tcBorders>
          </w:tcPr>
          <w:p w14:paraId="10DBB931" w14:textId="77777777" w:rsidR="00F7100A" w:rsidRPr="00B41377" w:rsidRDefault="00F7100A" w:rsidP="00D81099">
            <w:pPr>
              <w:tabs>
                <w:tab w:val="left" w:pos="709"/>
              </w:tabs>
              <w:spacing w:before="60" w:after="60"/>
              <w:rPr>
                <w:rFonts w:ascii="Arial" w:hAnsi="Arial"/>
                <w:b/>
                <w:color w:val="000000"/>
                <w:sz w:val="16"/>
                <w:szCs w:val="16"/>
              </w:rPr>
            </w:pPr>
            <w:r w:rsidRPr="00B41377">
              <w:rPr>
                <w:rFonts w:ascii="Arial" w:hAnsi="Arial"/>
                <w:color w:val="000000"/>
                <w:sz w:val="16"/>
                <w:szCs w:val="16"/>
              </w:rPr>
              <w:t>As per 202</w:t>
            </w:r>
            <w:r w:rsidR="00D81099">
              <w:rPr>
                <w:rFonts w:ascii="Arial" w:hAnsi="Arial"/>
                <w:color w:val="000000"/>
                <w:sz w:val="16"/>
                <w:szCs w:val="16"/>
              </w:rPr>
              <w:t>5</w:t>
            </w:r>
            <w:r w:rsidRPr="00B41377">
              <w:rPr>
                <w:rFonts w:ascii="Arial" w:hAnsi="Arial"/>
                <w:color w:val="000000"/>
                <w:sz w:val="16"/>
                <w:szCs w:val="16"/>
              </w:rPr>
              <w:t>-2</w:t>
            </w:r>
            <w:r w:rsidR="00D81099">
              <w:rPr>
                <w:rFonts w:ascii="Arial" w:hAnsi="Arial"/>
                <w:color w:val="000000"/>
                <w:sz w:val="16"/>
                <w:szCs w:val="16"/>
              </w:rPr>
              <w:t>6</w:t>
            </w:r>
            <w:r w:rsidRPr="00B41377">
              <w:rPr>
                <w:rFonts w:ascii="Arial" w:hAnsi="Arial"/>
                <w:color w:val="000000"/>
                <w:sz w:val="16"/>
                <w:szCs w:val="16"/>
              </w:rPr>
              <w:t>.</w:t>
            </w:r>
          </w:p>
        </w:tc>
      </w:tr>
      <w:tr w:rsidR="00F7100A" w:rsidRPr="00D81099" w14:paraId="415CEC23" w14:textId="77777777" w:rsidTr="00CC7AF9">
        <w:tblPrEx>
          <w:shd w:val="clear" w:color="auto" w:fill="auto"/>
          <w:tblLook w:val="04A0" w:firstRow="1" w:lastRow="0" w:firstColumn="1" w:lastColumn="0" w:noHBand="0" w:noVBand="1"/>
        </w:tblPrEx>
        <w:trPr>
          <w:trHeight w:val="60"/>
        </w:trPr>
        <w:tc>
          <w:tcPr>
            <w:tcW w:w="7610" w:type="dxa"/>
            <w:gridSpan w:val="3"/>
            <w:tcBorders>
              <w:top w:val="single" w:sz="4" w:space="0" w:color="auto"/>
            </w:tcBorders>
          </w:tcPr>
          <w:p w14:paraId="65D89870" w14:textId="3D3733CA" w:rsidR="00F7100A" w:rsidRPr="00D81099" w:rsidRDefault="00F7100A" w:rsidP="00C626B3">
            <w:pPr>
              <w:tabs>
                <w:tab w:val="left" w:pos="709"/>
              </w:tabs>
              <w:spacing w:before="60" w:after="60"/>
              <w:rPr>
                <w:rFonts w:ascii="Arial" w:eastAsia="Cambria" w:hAnsi="Arial"/>
                <w:bCs/>
                <w:iCs/>
                <w:color w:val="000000"/>
                <w:spacing w:val="-6"/>
                <w:sz w:val="16"/>
                <w:szCs w:val="16"/>
                <w:lang w:val="x-none"/>
              </w:rPr>
            </w:pPr>
            <w:r w:rsidRPr="00D81099">
              <w:rPr>
                <w:rFonts w:ascii="Arial" w:hAnsi="Arial"/>
                <w:color w:val="000000"/>
                <w:sz w:val="16"/>
                <w:szCs w:val="16"/>
              </w:rPr>
              <w:t>Material changes to Program 2.20 resulting from 202</w:t>
            </w:r>
            <w:r w:rsidR="00C626B3">
              <w:rPr>
                <w:rFonts w:ascii="Arial" w:hAnsi="Arial"/>
                <w:color w:val="000000"/>
                <w:sz w:val="16"/>
                <w:szCs w:val="16"/>
              </w:rPr>
              <w:t>5</w:t>
            </w:r>
            <w:r w:rsidRPr="00D81099">
              <w:rPr>
                <w:rFonts w:ascii="Arial" w:hAnsi="Arial"/>
                <w:color w:val="000000"/>
                <w:sz w:val="16"/>
                <w:szCs w:val="16"/>
              </w:rPr>
              <w:t>-2</w:t>
            </w:r>
            <w:r w:rsidR="00C626B3">
              <w:rPr>
                <w:rFonts w:ascii="Arial" w:hAnsi="Arial"/>
                <w:color w:val="000000"/>
                <w:sz w:val="16"/>
                <w:szCs w:val="16"/>
              </w:rPr>
              <w:t>6</w:t>
            </w:r>
            <w:r w:rsidRPr="00D81099">
              <w:rPr>
                <w:rFonts w:ascii="Arial" w:hAnsi="Arial"/>
                <w:color w:val="000000"/>
                <w:sz w:val="16"/>
                <w:szCs w:val="16"/>
              </w:rPr>
              <w:t xml:space="preserve"> Budget Measures:</w:t>
            </w:r>
            <w:r w:rsidRPr="00D81099">
              <w:rPr>
                <w:rStyle w:val="BodyTextChar"/>
                <w:rFonts w:ascii="Arial" w:hAnsi="Arial"/>
                <w:bCs/>
                <w:iCs/>
                <w:color w:val="000000"/>
                <w:spacing w:val="-6"/>
                <w:sz w:val="16"/>
                <w:szCs w:val="16"/>
              </w:rPr>
              <w:t xml:space="preserve"> Nil.</w:t>
            </w:r>
          </w:p>
        </w:tc>
      </w:tr>
    </w:tbl>
    <w:p w14:paraId="24DBC053" w14:textId="77777777" w:rsidR="00F7100A" w:rsidRPr="00D81099" w:rsidRDefault="00F7100A" w:rsidP="00F7100A">
      <w:pPr>
        <w:pStyle w:val="TableHeading"/>
        <w:spacing w:before="0" w:after="0"/>
        <w:rPr>
          <w:sz w:val="16"/>
          <w:szCs w:val="16"/>
        </w:rPr>
      </w:pPr>
    </w:p>
    <w:p w14:paraId="1D6E002E" w14:textId="77777777" w:rsidR="00F7100A" w:rsidRPr="00F92371" w:rsidRDefault="00F7100A" w:rsidP="00F7100A">
      <w:pPr>
        <w:pStyle w:val="TableHeading"/>
        <w:spacing w:before="0" w:after="0"/>
        <w:rPr>
          <w:sz w:val="14"/>
          <w:szCs w:val="14"/>
        </w:rPr>
      </w:pPr>
      <w:r w:rsidRPr="00F92371">
        <w:rPr>
          <w:sz w:val="14"/>
          <w:szCs w:val="14"/>
        </w:rPr>
        <w:t>Note</w:t>
      </w:r>
      <w:r w:rsidR="00AF08A6" w:rsidRPr="00F92371">
        <w:rPr>
          <w:sz w:val="14"/>
          <w:szCs w:val="14"/>
        </w:rPr>
        <w:t>s</w:t>
      </w:r>
    </w:p>
    <w:p w14:paraId="200997E4" w14:textId="56CC9C6B" w:rsidR="00F92371" w:rsidRDefault="00D81099" w:rsidP="00444A89">
      <w:pPr>
        <w:pStyle w:val="ListParagraph"/>
        <w:numPr>
          <w:ilvl w:val="0"/>
          <w:numId w:val="77"/>
        </w:numPr>
        <w:tabs>
          <w:tab w:val="left" w:pos="284"/>
        </w:tabs>
        <w:spacing w:before="0" w:after="0"/>
        <w:ind w:left="284" w:hanging="284"/>
        <w:rPr>
          <w:rFonts w:ascii="Arial" w:hAnsi="Arial"/>
          <w:sz w:val="14"/>
          <w:szCs w:val="14"/>
        </w:rPr>
      </w:pPr>
      <w:r w:rsidRPr="00F92371">
        <w:rPr>
          <w:rFonts w:ascii="Arial" w:hAnsi="Arial"/>
          <w:sz w:val="14"/>
          <w:szCs w:val="14"/>
        </w:rPr>
        <w:t>Performance Measures 4.1 and 4.2 have been amended, and Performance Measures 4.3 and 4.4 are new for 2024-25, as published in the updated 2024-28 Defence Corporate Plan in March 2025.</w:t>
      </w:r>
    </w:p>
    <w:p w14:paraId="4FA7CA48" w14:textId="0773588C" w:rsidR="009737EB" w:rsidRPr="00D44592" w:rsidRDefault="00D44592" w:rsidP="00444A89">
      <w:pPr>
        <w:pStyle w:val="TableHeading"/>
        <w:numPr>
          <w:ilvl w:val="0"/>
          <w:numId w:val="77"/>
        </w:numPr>
        <w:tabs>
          <w:tab w:val="left" w:pos="284"/>
        </w:tabs>
        <w:spacing w:before="0" w:after="0"/>
        <w:ind w:left="284" w:hanging="284"/>
        <w:rPr>
          <w:b w:val="0"/>
          <w:sz w:val="14"/>
          <w:szCs w:val="14"/>
        </w:rPr>
      </w:pPr>
      <w:r w:rsidRPr="00D44592">
        <w:rPr>
          <w:b w:val="0"/>
          <w:sz w:val="14"/>
          <w:szCs w:val="14"/>
          <w:lang w:val="en-AU"/>
        </w:rPr>
        <w:t>In accordance with Defence’s Enterprise Performance Framework, Defence is undertaking materiality assessments that may result in updates to the 2025-26 performance information in the 2025-29 Defence Corporate Plan, if required</w:t>
      </w:r>
      <w:r w:rsidR="009737EB" w:rsidRPr="00D44592">
        <w:rPr>
          <w:b w:val="0"/>
          <w:sz w:val="14"/>
          <w:szCs w:val="14"/>
          <w:lang w:val="en-AU"/>
        </w:rPr>
        <w:t xml:space="preserve">. </w:t>
      </w:r>
    </w:p>
    <w:p w14:paraId="556ED2FF" w14:textId="183117D4" w:rsidR="00077480" w:rsidRPr="009737EB" w:rsidRDefault="00077480" w:rsidP="00444A89">
      <w:pPr>
        <w:pStyle w:val="ListParagraph"/>
        <w:numPr>
          <w:ilvl w:val="0"/>
          <w:numId w:val="77"/>
        </w:numPr>
        <w:tabs>
          <w:tab w:val="left" w:pos="284"/>
        </w:tabs>
        <w:spacing w:before="0" w:after="0"/>
        <w:ind w:left="284" w:hanging="284"/>
        <w:outlineLvl w:val="5"/>
        <w:rPr>
          <w:color w:val="FFFFFF"/>
          <w:sz w:val="2"/>
          <w:szCs w:val="2"/>
        </w:rPr>
      </w:pPr>
      <w:r w:rsidRPr="00B56FAA">
        <w:br w:type="page"/>
      </w:r>
      <w:r w:rsidR="00DC2BC4" w:rsidRPr="009737EB">
        <w:rPr>
          <w:color w:val="FFFFFF"/>
          <w:sz w:val="2"/>
          <w:szCs w:val="2"/>
        </w:rPr>
        <w:lastRenderedPageBreak/>
        <w:t>Administered Program 2.21: Defence Force Superannuation Nominal Interest</w:t>
      </w:r>
    </w:p>
    <w:tbl>
      <w:tblPr>
        <w:tblW w:w="4852"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1661"/>
        <w:gridCol w:w="2865"/>
        <w:gridCol w:w="3084"/>
      </w:tblGrid>
      <w:tr w:rsidR="00F7100A" w:rsidRPr="00B56FAA" w14:paraId="27E18069" w14:textId="77777777" w:rsidTr="005F4285">
        <w:tc>
          <w:tcPr>
            <w:tcW w:w="7610" w:type="dxa"/>
            <w:gridSpan w:val="3"/>
            <w:tcBorders>
              <w:top w:val="single" w:sz="4" w:space="0" w:color="auto"/>
              <w:bottom w:val="single" w:sz="4" w:space="0" w:color="auto"/>
            </w:tcBorders>
            <w:shd w:val="clear" w:color="auto" w:fill="CCCCCC"/>
          </w:tcPr>
          <w:p w14:paraId="17A173BB" w14:textId="77777777" w:rsidR="00F7100A" w:rsidRPr="00B56FAA" w:rsidRDefault="00F7100A" w:rsidP="00072EF9">
            <w:pPr>
              <w:pStyle w:val="Heading5"/>
              <w:spacing w:before="60" w:after="60"/>
            </w:pPr>
            <w:r w:rsidRPr="00B56FAA">
              <w:br w:type="page"/>
            </w:r>
            <w:r w:rsidRPr="009C3616">
              <w:t>Administered</w:t>
            </w:r>
            <w:r w:rsidRPr="00B56FAA">
              <w:t xml:space="preserve"> Program 2.21: Defence Force Superannuation Nominal Interest</w:t>
            </w:r>
          </w:p>
        </w:tc>
      </w:tr>
      <w:tr w:rsidR="00F7100A" w:rsidRPr="00B56FAA" w14:paraId="7D06E450" w14:textId="77777777" w:rsidTr="00CC7AF9">
        <w:trPr>
          <w:trHeight w:val="113"/>
        </w:trPr>
        <w:tc>
          <w:tcPr>
            <w:tcW w:w="7610" w:type="dxa"/>
            <w:gridSpan w:val="3"/>
            <w:tcBorders>
              <w:left w:val="nil"/>
              <w:bottom w:val="single" w:sz="4" w:space="0" w:color="auto"/>
              <w:right w:val="nil"/>
            </w:tcBorders>
            <w:shd w:val="clear" w:color="auto" w:fill="auto"/>
          </w:tcPr>
          <w:p w14:paraId="11080DD2" w14:textId="77777777" w:rsidR="00F7100A" w:rsidRPr="00B56FAA" w:rsidRDefault="00F7100A" w:rsidP="00072EF9">
            <w:pPr>
              <w:pStyle w:val="Heading5"/>
              <w:spacing w:before="0" w:after="0"/>
              <w:rPr>
                <w:sz w:val="16"/>
                <w:szCs w:val="16"/>
              </w:rPr>
            </w:pPr>
          </w:p>
        </w:tc>
      </w:tr>
      <w:tr w:rsidR="00F7100A" w:rsidRPr="00F043DE" w14:paraId="53CAF236" w14:textId="77777777" w:rsidTr="00CC7AF9">
        <w:tblPrEx>
          <w:shd w:val="clear" w:color="auto" w:fill="auto"/>
          <w:tblLook w:val="04A0" w:firstRow="1" w:lastRow="0" w:firstColumn="1" w:lastColumn="0" w:noHBand="0" w:noVBand="1"/>
        </w:tblPrEx>
        <w:trPr>
          <w:tblHeader/>
        </w:trPr>
        <w:tc>
          <w:tcPr>
            <w:tcW w:w="7610" w:type="dxa"/>
            <w:gridSpan w:val="3"/>
            <w:shd w:val="clear" w:color="auto" w:fill="E6E6E6"/>
          </w:tcPr>
          <w:p w14:paraId="0C71C5A8" w14:textId="77777777" w:rsidR="00F7100A" w:rsidRPr="00F043DE" w:rsidRDefault="00F7100A" w:rsidP="00072EF9">
            <w:pPr>
              <w:tabs>
                <w:tab w:val="left" w:pos="709"/>
              </w:tabs>
              <w:spacing w:before="60" w:after="60"/>
              <w:rPr>
                <w:rFonts w:ascii="Arial" w:hAnsi="Arial"/>
                <w:sz w:val="16"/>
                <w:szCs w:val="16"/>
              </w:rPr>
            </w:pPr>
            <w:r w:rsidRPr="00F043DE">
              <w:rPr>
                <w:rFonts w:ascii="Arial" w:hAnsi="Arial"/>
                <w:b/>
                <w:sz w:val="16"/>
                <w:szCs w:val="16"/>
              </w:rPr>
              <w:t>Administered Program 2.21</w:t>
            </w:r>
            <w:r w:rsidRPr="00F043DE">
              <w:rPr>
                <w:rFonts w:ascii="Arial" w:hAnsi="Arial"/>
                <w:sz w:val="16"/>
                <w:szCs w:val="16"/>
              </w:rPr>
              <w:t xml:space="preserve"> </w:t>
            </w:r>
            <w:r w:rsidRPr="00F043DE">
              <w:rPr>
                <w:rFonts w:ascii="Arial" w:hAnsi="Arial"/>
                <w:b/>
                <w:sz w:val="16"/>
                <w:szCs w:val="16"/>
              </w:rPr>
              <w:t>Objective</w:t>
            </w:r>
          </w:p>
          <w:p w14:paraId="03B8636D" w14:textId="77777777" w:rsidR="00F7100A" w:rsidRPr="00F043DE" w:rsidRDefault="00F7100A" w:rsidP="00072EF9">
            <w:pPr>
              <w:tabs>
                <w:tab w:val="left" w:pos="709"/>
              </w:tabs>
              <w:spacing w:before="60" w:after="60"/>
              <w:jc w:val="both"/>
              <w:rPr>
                <w:rFonts w:ascii="Arial" w:hAnsi="Arial"/>
                <w:sz w:val="16"/>
                <w:szCs w:val="16"/>
              </w:rPr>
            </w:pPr>
            <w:r w:rsidRPr="00F043DE">
              <w:rPr>
                <w:rFonts w:ascii="Arial" w:hAnsi="Arial"/>
                <w:sz w:val="16"/>
                <w:szCs w:val="16"/>
                <w:lang w:val="en-AU"/>
              </w:rPr>
              <w:t>To administer nominal interest for the three defined benefit military superannuation schemes: the Defence Forces Retirement Benefits (DFRB) scheme, the Defence Force Retirement and Death Benefits (DFRDB) scheme and the Military Superannuation and Benefits Scheme (MSBS), as well as the statutory death and invalidity scheme, ADF Cover.</w:t>
            </w:r>
          </w:p>
        </w:tc>
      </w:tr>
      <w:tr w:rsidR="00F7100A" w:rsidRPr="00F043DE" w14:paraId="3FBB5FF2" w14:textId="77777777" w:rsidTr="00514075">
        <w:tblPrEx>
          <w:shd w:val="clear" w:color="auto" w:fill="auto"/>
          <w:tblLook w:val="04A0" w:firstRow="1" w:lastRow="0" w:firstColumn="1" w:lastColumn="0" w:noHBand="0" w:noVBand="1"/>
        </w:tblPrEx>
        <w:trPr>
          <w:trHeight w:val="312"/>
        </w:trPr>
        <w:tc>
          <w:tcPr>
            <w:tcW w:w="1661" w:type="dxa"/>
            <w:tcBorders>
              <w:bottom w:val="single" w:sz="4" w:space="0" w:color="auto"/>
            </w:tcBorders>
          </w:tcPr>
          <w:p w14:paraId="2BBAE280" w14:textId="77777777" w:rsidR="00F7100A" w:rsidRPr="00F043DE" w:rsidRDefault="00F7100A" w:rsidP="00F043DE">
            <w:pPr>
              <w:tabs>
                <w:tab w:val="left" w:pos="709"/>
              </w:tabs>
              <w:spacing w:before="60" w:after="60"/>
              <w:rPr>
                <w:rFonts w:ascii="Arial" w:hAnsi="Arial"/>
                <w:b/>
                <w:color w:val="000000"/>
                <w:sz w:val="16"/>
                <w:szCs w:val="16"/>
              </w:rPr>
            </w:pPr>
            <w:r w:rsidRPr="00F043DE">
              <w:rPr>
                <w:rFonts w:ascii="Arial" w:hAnsi="Arial"/>
                <w:b/>
                <w:color w:val="000000"/>
                <w:sz w:val="16"/>
                <w:szCs w:val="16"/>
              </w:rPr>
              <w:t>Key Activit</w:t>
            </w:r>
            <w:r w:rsidR="00F043DE">
              <w:rPr>
                <w:rFonts w:ascii="Arial" w:hAnsi="Arial"/>
                <w:b/>
                <w:color w:val="000000"/>
                <w:sz w:val="16"/>
                <w:szCs w:val="16"/>
              </w:rPr>
              <w:t>y</w:t>
            </w:r>
          </w:p>
        </w:tc>
        <w:tc>
          <w:tcPr>
            <w:tcW w:w="5949" w:type="dxa"/>
            <w:gridSpan w:val="2"/>
            <w:tcBorders>
              <w:bottom w:val="single" w:sz="4" w:space="0" w:color="auto"/>
            </w:tcBorders>
          </w:tcPr>
          <w:p w14:paraId="3B901D05" w14:textId="77777777" w:rsidR="00F7100A" w:rsidRPr="00F043DE" w:rsidRDefault="00F7100A" w:rsidP="00072EF9">
            <w:pPr>
              <w:tabs>
                <w:tab w:val="left" w:pos="709"/>
              </w:tabs>
              <w:spacing w:before="60" w:after="60"/>
              <w:rPr>
                <w:rFonts w:ascii="Arial" w:hAnsi="Arial"/>
                <w:b/>
                <w:sz w:val="16"/>
                <w:szCs w:val="16"/>
                <w:lang w:val="en-AU"/>
              </w:rPr>
            </w:pPr>
            <w:r w:rsidRPr="00F043DE">
              <w:rPr>
                <w:rFonts w:ascii="Arial" w:hAnsi="Arial"/>
                <w:bCs/>
                <w:color w:val="000000"/>
                <w:sz w:val="16"/>
                <w:szCs w:val="16"/>
                <w:lang w:val="en-AU"/>
              </w:rPr>
              <w:t>This program will be achieved through the following activity:</w:t>
            </w:r>
          </w:p>
          <w:p w14:paraId="22B61E76" w14:textId="77777777" w:rsidR="00F7100A" w:rsidRPr="00F043DE" w:rsidRDefault="00F7100A" w:rsidP="00072EF9">
            <w:pPr>
              <w:tabs>
                <w:tab w:val="left" w:pos="343"/>
              </w:tabs>
              <w:spacing w:before="60" w:after="60"/>
              <w:rPr>
                <w:rFonts w:ascii="Arial" w:hAnsi="Arial"/>
                <w:i/>
                <w:color w:val="000000"/>
                <w:sz w:val="16"/>
                <w:szCs w:val="16"/>
              </w:rPr>
            </w:pPr>
            <w:r w:rsidRPr="00F043DE">
              <w:rPr>
                <w:rFonts w:ascii="Arial" w:hAnsi="Arial"/>
                <w:b/>
                <w:sz w:val="16"/>
                <w:szCs w:val="16"/>
                <w:lang w:val="en-AU"/>
              </w:rPr>
              <w:t>4. Invest in Defence People</w:t>
            </w:r>
            <w:r w:rsidRPr="00F043DE">
              <w:rPr>
                <w:rFonts w:ascii="Arial" w:hAnsi="Arial"/>
                <w:sz w:val="16"/>
                <w:szCs w:val="16"/>
                <w:lang w:val="en-AU"/>
              </w:rPr>
              <w:t>. Defence has an integrated workforce comprised of Australian Defence Force members, Australian Public Service employees and contractors. We are committed to investing in the growth and retention of a highly skilled workforce to meet Australia’s defence and national security requirements.</w:t>
            </w:r>
          </w:p>
        </w:tc>
      </w:tr>
      <w:tr w:rsidR="00F7100A" w:rsidRPr="00F043DE" w14:paraId="213EC7C7" w14:textId="77777777" w:rsidTr="00514075">
        <w:tblPrEx>
          <w:shd w:val="clear" w:color="auto" w:fill="auto"/>
          <w:tblLook w:val="04A0" w:firstRow="1" w:lastRow="0" w:firstColumn="1" w:lastColumn="0" w:noHBand="0" w:noVBand="1"/>
        </w:tblPrEx>
        <w:trPr>
          <w:trHeight w:val="100"/>
        </w:trPr>
        <w:tc>
          <w:tcPr>
            <w:tcW w:w="1661" w:type="dxa"/>
            <w:tcBorders>
              <w:top w:val="single" w:sz="4" w:space="0" w:color="auto"/>
              <w:bottom w:val="single" w:sz="4" w:space="0" w:color="auto"/>
              <w:right w:val="single" w:sz="4" w:space="0" w:color="auto"/>
            </w:tcBorders>
          </w:tcPr>
          <w:p w14:paraId="125CA0E8" w14:textId="77777777" w:rsidR="00F7100A" w:rsidRPr="00F043DE" w:rsidRDefault="00F7100A" w:rsidP="00072EF9">
            <w:pPr>
              <w:tabs>
                <w:tab w:val="left" w:pos="709"/>
              </w:tabs>
              <w:spacing w:before="60" w:after="60"/>
              <w:rPr>
                <w:rFonts w:ascii="Arial" w:hAnsi="Arial"/>
                <w:color w:val="000000"/>
                <w:sz w:val="16"/>
                <w:szCs w:val="16"/>
              </w:rPr>
            </w:pPr>
            <w:r w:rsidRPr="00F043DE">
              <w:rPr>
                <w:rFonts w:ascii="Arial" w:hAnsi="Arial"/>
                <w:b/>
                <w:color w:val="000000"/>
                <w:sz w:val="16"/>
                <w:szCs w:val="16"/>
              </w:rPr>
              <w:t>Year</w:t>
            </w:r>
          </w:p>
        </w:tc>
        <w:tc>
          <w:tcPr>
            <w:tcW w:w="2865" w:type="dxa"/>
            <w:tcBorders>
              <w:top w:val="single" w:sz="4" w:space="0" w:color="auto"/>
              <w:left w:val="single" w:sz="4" w:space="0" w:color="auto"/>
              <w:bottom w:val="single" w:sz="4" w:space="0" w:color="auto"/>
              <w:right w:val="single" w:sz="4" w:space="0" w:color="auto"/>
            </w:tcBorders>
          </w:tcPr>
          <w:p w14:paraId="06959D88" w14:textId="77777777" w:rsidR="00F7100A" w:rsidRPr="00F043DE" w:rsidRDefault="00F7100A" w:rsidP="00072EF9">
            <w:pPr>
              <w:tabs>
                <w:tab w:val="left" w:pos="709"/>
              </w:tabs>
              <w:spacing w:before="60" w:after="60"/>
              <w:rPr>
                <w:rFonts w:ascii="Arial" w:hAnsi="Arial"/>
                <w:color w:val="000000"/>
              </w:rPr>
            </w:pPr>
            <w:r w:rsidRPr="00F043DE">
              <w:rPr>
                <w:rFonts w:ascii="Arial" w:hAnsi="Arial"/>
                <w:b/>
                <w:color w:val="000000"/>
                <w:sz w:val="16"/>
                <w:szCs w:val="16"/>
              </w:rPr>
              <w:t>Performance measures</w:t>
            </w:r>
          </w:p>
        </w:tc>
        <w:tc>
          <w:tcPr>
            <w:tcW w:w="3084" w:type="dxa"/>
            <w:tcBorders>
              <w:top w:val="single" w:sz="4" w:space="0" w:color="auto"/>
              <w:left w:val="single" w:sz="4" w:space="0" w:color="auto"/>
              <w:bottom w:val="single" w:sz="4" w:space="0" w:color="auto"/>
            </w:tcBorders>
          </w:tcPr>
          <w:p w14:paraId="34C91531" w14:textId="77777777" w:rsidR="00F7100A" w:rsidRPr="00F043DE" w:rsidRDefault="00F7100A" w:rsidP="00072EF9">
            <w:pPr>
              <w:tabs>
                <w:tab w:val="left" w:pos="709"/>
              </w:tabs>
              <w:spacing w:before="60" w:after="60"/>
              <w:rPr>
                <w:rFonts w:ascii="Arial" w:hAnsi="Arial"/>
                <w:i/>
                <w:color w:val="000000"/>
                <w:sz w:val="16"/>
                <w:szCs w:val="16"/>
              </w:rPr>
            </w:pPr>
            <w:r w:rsidRPr="00F043DE">
              <w:rPr>
                <w:rFonts w:ascii="Arial" w:hAnsi="Arial"/>
                <w:b/>
                <w:color w:val="000000"/>
                <w:sz w:val="16"/>
                <w:szCs w:val="16"/>
              </w:rPr>
              <w:t>Expected Performance Results</w:t>
            </w:r>
          </w:p>
        </w:tc>
      </w:tr>
      <w:tr w:rsidR="006440D6" w:rsidRPr="00F043DE" w14:paraId="46A62D02" w14:textId="77777777" w:rsidTr="00514075">
        <w:tblPrEx>
          <w:shd w:val="clear" w:color="auto" w:fill="auto"/>
          <w:tblLook w:val="04A0" w:firstRow="1" w:lastRow="0" w:firstColumn="1" w:lastColumn="0" w:noHBand="0" w:noVBand="1"/>
        </w:tblPrEx>
        <w:trPr>
          <w:trHeight w:val="305"/>
        </w:trPr>
        <w:tc>
          <w:tcPr>
            <w:tcW w:w="1661" w:type="dxa"/>
            <w:vMerge w:val="restart"/>
            <w:tcBorders>
              <w:top w:val="single" w:sz="4" w:space="0" w:color="auto"/>
              <w:left w:val="single" w:sz="4" w:space="0" w:color="auto"/>
              <w:right w:val="single" w:sz="4" w:space="0" w:color="auto"/>
            </w:tcBorders>
          </w:tcPr>
          <w:p w14:paraId="0082E202" w14:textId="77777777" w:rsidR="006440D6" w:rsidRPr="00F043DE" w:rsidRDefault="006440D6" w:rsidP="00F043DE">
            <w:pPr>
              <w:tabs>
                <w:tab w:val="left" w:pos="709"/>
              </w:tabs>
              <w:spacing w:before="0" w:after="0"/>
              <w:rPr>
                <w:rFonts w:ascii="Arial" w:hAnsi="Arial"/>
                <w:color w:val="000000"/>
                <w:sz w:val="16"/>
                <w:szCs w:val="16"/>
              </w:rPr>
            </w:pPr>
            <w:r w:rsidRPr="00F043DE">
              <w:rPr>
                <w:rFonts w:ascii="Arial" w:hAnsi="Arial"/>
                <w:color w:val="000000"/>
                <w:sz w:val="16"/>
                <w:szCs w:val="16"/>
              </w:rPr>
              <w:t>Current Year</w:t>
            </w:r>
          </w:p>
          <w:p w14:paraId="3825097E" w14:textId="77777777" w:rsidR="006440D6" w:rsidRPr="00F043DE" w:rsidRDefault="006440D6" w:rsidP="00F043DE">
            <w:pPr>
              <w:tabs>
                <w:tab w:val="left" w:pos="709"/>
              </w:tabs>
              <w:spacing w:before="0" w:after="0"/>
              <w:rPr>
                <w:rFonts w:ascii="Arial" w:hAnsi="Arial"/>
                <w:color w:val="000000"/>
                <w:sz w:val="16"/>
                <w:szCs w:val="16"/>
              </w:rPr>
            </w:pPr>
            <w:r w:rsidRPr="00F043DE">
              <w:rPr>
                <w:rFonts w:ascii="Arial" w:hAnsi="Arial"/>
                <w:color w:val="000000"/>
                <w:sz w:val="16"/>
                <w:szCs w:val="16"/>
              </w:rPr>
              <w:t>2024-25</w:t>
            </w:r>
            <w:r>
              <w:rPr>
                <w:rFonts w:ascii="Arial" w:hAnsi="Arial"/>
                <w:color w:val="000000"/>
                <w:sz w:val="16"/>
                <w:szCs w:val="16"/>
              </w:rPr>
              <w:t xml:space="preserve"> </w:t>
            </w:r>
            <w:r w:rsidRPr="00F043DE">
              <w:rPr>
                <w:rFonts w:ascii="Arial" w:hAnsi="Arial"/>
                <w:color w:val="000000"/>
                <w:sz w:val="16"/>
                <w:szCs w:val="16"/>
                <w:vertAlign w:val="superscript"/>
              </w:rPr>
              <w:t>[a]</w:t>
            </w:r>
          </w:p>
        </w:tc>
        <w:tc>
          <w:tcPr>
            <w:tcW w:w="2865" w:type="dxa"/>
            <w:tcBorders>
              <w:top w:val="single" w:sz="4" w:space="0" w:color="auto"/>
              <w:left w:val="single" w:sz="4" w:space="0" w:color="auto"/>
              <w:bottom w:val="dotted" w:sz="4" w:space="0" w:color="auto"/>
              <w:right w:val="single" w:sz="4" w:space="0" w:color="auto"/>
            </w:tcBorders>
          </w:tcPr>
          <w:p w14:paraId="7FEA0B66" w14:textId="77777777" w:rsidR="006440D6" w:rsidRPr="00F043DE" w:rsidRDefault="006440D6" w:rsidP="00F043DE">
            <w:pPr>
              <w:tabs>
                <w:tab w:val="left" w:pos="709"/>
              </w:tabs>
              <w:spacing w:before="60" w:after="60"/>
              <w:rPr>
                <w:rFonts w:ascii="Arial" w:hAnsi="Arial"/>
                <w:sz w:val="16"/>
                <w:szCs w:val="16"/>
                <w:lang w:val="en-AU"/>
              </w:rPr>
            </w:pPr>
            <w:r w:rsidRPr="00F043DE">
              <w:rPr>
                <w:rFonts w:ascii="Arial" w:hAnsi="Arial"/>
                <w:sz w:val="16"/>
                <w:szCs w:val="16"/>
                <w:lang w:val="en-AU"/>
              </w:rPr>
              <w:t>4.1: Defence recruits and retains an ADF and APS workforce to support the Defence mission.</w:t>
            </w:r>
          </w:p>
        </w:tc>
        <w:tc>
          <w:tcPr>
            <w:tcW w:w="3084" w:type="dxa"/>
            <w:tcBorders>
              <w:top w:val="single" w:sz="4" w:space="0" w:color="auto"/>
              <w:left w:val="single" w:sz="4" w:space="0" w:color="auto"/>
              <w:bottom w:val="dotted" w:sz="4" w:space="0" w:color="auto"/>
              <w:right w:val="single" w:sz="4" w:space="0" w:color="auto"/>
            </w:tcBorders>
          </w:tcPr>
          <w:p w14:paraId="3629382F" w14:textId="77777777" w:rsidR="006440D6" w:rsidRPr="006440D6" w:rsidRDefault="006440D6" w:rsidP="003C0905">
            <w:pPr>
              <w:tabs>
                <w:tab w:val="left" w:pos="709"/>
              </w:tabs>
              <w:spacing w:before="60" w:after="60"/>
              <w:rPr>
                <w:rFonts w:ascii="Arial" w:hAnsi="Arial"/>
                <w:i/>
                <w:sz w:val="16"/>
                <w:szCs w:val="16"/>
                <w:lang w:val="en-AU"/>
              </w:rPr>
            </w:pPr>
            <w:r w:rsidRPr="006440D6">
              <w:rPr>
                <w:rFonts w:ascii="Arial" w:hAnsi="Arial"/>
                <w:sz w:val="16"/>
                <w:szCs w:val="16"/>
                <w:lang w:val="en-AU"/>
              </w:rPr>
              <w:t>Defence achieves the ADF and APS Budgeted Workforce Requirement as set out in the 2024 Defence Workforce Plan, and the net flow of the ADF and APS workforce over a 12 month period is trending positive and is positioning Defence to achieve the Budgeted Workforce Requirement over the forward estimates.</w:t>
            </w:r>
            <w:r w:rsidRPr="006440D6">
              <w:rPr>
                <w:rFonts w:ascii="Arial" w:hAnsi="Arial"/>
                <w:i/>
                <w:sz w:val="16"/>
                <w:szCs w:val="16"/>
                <w:lang w:val="en-AU"/>
              </w:rPr>
              <w:tab/>
            </w:r>
          </w:p>
          <w:p w14:paraId="16794DB1" w14:textId="665D4022" w:rsidR="006440D6" w:rsidRPr="006440D6" w:rsidRDefault="006440D6" w:rsidP="003C0905">
            <w:pPr>
              <w:jc w:val="right"/>
            </w:pPr>
            <w:r w:rsidRPr="006440D6">
              <w:rPr>
                <w:rFonts w:ascii="Arial" w:hAnsi="Arial"/>
                <w:i/>
                <w:sz w:val="16"/>
                <w:szCs w:val="16"/>
                <w:lang w:val="en-AU"/>
              </w:rPr>
              <w:t>Expected to be partially achieved.</w:t>
            </w:r>
          </w:p>
        </w:tc>
      </w:tr>
      <w:tr w:rsidR="006440D6" w:rsidRPr="00F043DE" w14:paraId="1602FB71" w14:textId="77777777" w:rsidTr="00514075">
        <w:tblPrEx>
          <w:shd w:val="clear" w:color="auto" w:fill="auto"/>
          <w:tblLook w:val="04A0" w:firstRow="1" w:lastRow="0" w:firstColumn="1" w:lastColumn="0" w:noHBand="0" w:noVBand="1"/>
        </w:tblPrEx>
        <w:trPr>
          <w:trHeight w:val="305"/>
        </w:trPr>
        <w:tc>
          <w:tcPr>
            <w:tcW w:w="1661" w:type="dxa"/>
            <w:vMerge/>
            <w:tcBorders>
              <w:left w:val="single" w:sz="4" w:space="0" w:color="auto"/>
              <w:right w:val="single" w:sz="4" w:space="0" w:color="auto"/>
            </w:tcBorders>
          </w:tcPr>
          <w:p w14:paraId="701977EC" w14:textId="77777777" w:rsidR="006440D6" w:rsidRPr="00F043DE" w:rsidRDefault="006440D6" w:rsidP="00D44592">
            <w:pPr>
              <w:tabs>
                <w:tab w:val="left" w:pos="709"/>
              </w:tabs>
              <w:spacing w:before="0" w:after="0"/>
              <w:rPr>
                <w:rFonts w:ascii="Arial" w:hAnsi="Arial"/>
                <w:color w:val="000000"/>
                <w:sz w:val="16"/>
                <w:szCs w:val="16"/>
              </w:rPr>
            </w:pPr>
          </w:p>
        </w:tc>
        <w:tc>
          <w:tcPr>
            <w:tcW w:w="2865" w:type="dxa"/>
            <w:tcBorders>
              <w:top w:val="dotted" w:sz="4" w:space="0" w:color="auto"/>
              <w:left w:val="single" w:sz="4" w:space="0" w:color="auto"/>
              <w:bottom w:val="dotted" w:sz="4" w:space="0" w:color="auto"/>
              <w:right w:val="single" w:sz="4" w:space="0" w:color="auto"/>
            </w:tcBorders>
          </w:tcPr>
          <w:p w14:paraId="1C1A7C8B" w14:textId="77777777" w:rsidR="006440D6" w:rsidRPr="00F043DE" w:rsidRDefault="006440D6" w:rsidP="00D44592">
            <w:pPr>
              <w:tabs>
                <w:tab w:val="left" w:pos="709"/>
              </w:tabs>
              <w:spacing w:before="60" w:after="60"/>
              <w:rPr>
                <w:rFonts w:ascii="Arial" w:hAnsi="Arial"/>
                <w:sz w:val="16"/>
                <w:szCs w:val="16"/>
                <w:lang w:val="en-AU"/>
              </w:rPr>
            </w:pPr>
            <w:r w:rsidRPr="00F043DE">
              <w:rPr>
                <w:rFonts w:ascii="Arial" w:hAnsi="Arial"/>
                <w:sz w:val="16"/>
                <w:szCs w:val="16"/>
                <w:lang w:val="en-AU"/>
              </w:rPr>
              <w:t>4.2: Defence grows the necessary skills and capabilities to enable the Defence mission.</w:t>
            </w:r>
          </w:p>
        </w:tc>
        <w:tc>
          <w:tcPr>
            <w:tcW w:w="3084" w:type="dxa"/>
            <w:tcBorders>
              <w:top w:val="dotted" w:sz="4" w:space="0" w:color="auto"/>
              <w:left w:val="single" w:sz="4" w:space="0" w:color="auto"/>
              <w:bottom w:val="dotted" w:sz="4" w:space="0" w:color="auto"/>
              <w:right w:val="single" w:sz="4" w:space="0" w:color="auto"/>
            </w:tcBorders>
          </w:tcPr>
          <w:p w14:paraId="49BECBB8" w14:textId="77777777" w:rsidR="006440D6" w:rsidRPr="006440D6" w:rsidRDefault="006440D6" w:rsidP="003C0905">
            <w:pPr>
              <w:tabs>
                <w:tab w:val="left" w:pos="709"/>
              </w:tabs>
              <w:spacing w:before="60" w:after="60"/>
              <w:rPr>
                <w:rFonts w:ascii="Arial" w:hAnsi="Arial"/>
                <w:sz w:val="16"/>
                <w:szCs w:val="16"/>
                <w:lang w:val="en-AU"/>
              </w:rPr>
            </w:pPr>
            <w:r w:rsidRPr="006440D6">
              <w:rPr>
                <w:rFonts w:ascii="Arial" w:hAnsi="Arial"/>
                <w:sz w:val="16"/>
                <w:szCs w:val="16"/>
                <w:lang w:val="en-AU"/>
              </w:rPr>
              <w:t>The Defence workforce has the technical skills required to deliver the National Defence Strategy as measured through the Defence Strategic Workforce Segments, and the net flow of the ADF and APS workforce over a 12 month period against the Budgeted Workforce Requirement by Strategic Workforce Segment.</w:t>
            </w:r>
          </w:p>
          <w:p w14:paraId="12710CC1" w14:textId="379A3E1E" w:rsidR="006440D6" w:rsidRPr="006440D6" w:rsidRDefault="006440D6" w:rsidP="0093219B">
            <w:pPr>
              <w:spacing w:before="0" w:after="60"/>
              <w:jc w:val="right"/>
              <w:rPr>
                <w:rFonts w:ascii="Arial" w:hAnsi="Arial"/>
                <w:color w:val="000000"/>
                <w:sz w:val="16"/>
                <w:szCs w:val="16"/>
              </w:rPr>
            </w:pPr>
            <w:r w:rsidRPr="006440D6">
              <w:rPr>
                <w:rFonts w:ascii="Arial" w:hAnsi="Arial"/>
                <w:i/>
                <w:sz w:val="16"/>
                <w:szCs w:val="16"/>
                <w:lang w:val="en-AU"/>
              </w:rPr>
              <w:t>Expected to be partially achieved.</w:t>
            </w:r>
          </w:p>
        </w:tc>
      </w:tr>
      <w:tr w:rsidR="006440D6" w:rsidRPr="00F043DE" w14:paraId="35B73DFC" w14:textId="77777777" w:rsidTr="00514075">
        <w:tblPrEx>
          <w:shd w:val="clear" w:color="auto" w:fill="auto"/>
          <w:tblLook w:val="04A0" w:firstRow="1" w:lastRow="0" w:firstColumn="1" w:lastColumn="0" w:noHBand="0" w:noVBand="1"/>
        </w:tblPrEx>
        <w:trPr>
          <w:trHeight w:val="305"/>
        </w:trPr>
        <w:tc>
          <w:tcPr>
            <w:tcW w:w="1661" w:type="dxa"/>
            <w:vMerge/>
            <w:tcBorders>
              <w:left w:val="single" w:sz="4" w:space="0" w:color="auto"/>
              <w:bottom w:val="single" w:sz="4" w:space="0" w:color="auto"/>
              <w:right w:val="single" w:sz="4" w:space="0" w:color="auto"/>
            </w:tcBorders>
          </w:tcPr>
          <w:p w14:paraId="0B74E1CA" w14:textId="77777777" w:rsidR="006440D6" w:rsidRPr="00F043DE" w:rsidRDefault="006440D6" w:rsidP="00D44592">
            <w:pPr>
              <w:tabs>
                <w:tab w:val="left" w:pos="709"/>
              </w:tabs>
              <w:spacing w:before="0" w:after="0"/>
              <w:rPr>
                <w:rFonts w:ascii="Arial" w:hAnsi="Arial"/>
                <w:color w:val="000000"/>
                <w:sz w:val="16"/>
                <w:szCs w:val="16"/>
              </w:rPr>
            </w:pPr>
          </w:p>
        </w:tc>
        <w:tc>
          <w:tcPr>
            <w:tcW w:w="2865" w:type="dxa"/>
            <w:tcBorders>
              <w:top w:val="dotted" w:sz="4" w:space="0" w:color="auto"/>
              <w:left w:val="single" w:sz="4" w:space="0" w:color="auto"/>
              <w:bottom w:val="single" w:sz="4" w:space="0" w:color="auto"/>
              <w:right w:val="single" w:sz="4" w:space="0" w:color="auto"/>
            </w:tcBorders>
          </w:tcPr>
          <w:p w14:paraId="1E06BDA7" w14:textId="77777777" w:rsidR="006440D6" w:rsidRPr="00F043DE" w:rsidRDefault="006440D6" w:rsidP="00D44592">
            <w:pPr>
              <w:tabs>
                <w:tab w:val="left" w:pos="709"/>
              </w:tabs>
              <w:spacing w:before="60" w:after="60"/>
              <w:rPr>
                <w:rFonts w:ascii="Arial" w:hAnsi="Arial"/>
                <w:sz w:val="16"/>
                <w:szCs w:val="16"/>
                <w:lang w:val="en-AU"/>
              </w:rPr>
            </w:pPr>
            <w:r w:rsidRPr="00F043DE">
              <w:rPr>
                <w:rFonts w:ascii="Arial" w:hAnsi="Arial"/>
                <w:sz w:val="16"/>
                <w:szCs w:val="16"/>
                <w:lang w:val="en-AU"/>
              </w:rPr>
              <w:t>4.3: The Defence Values and Behaviours enable our people to deliver Australia’s National Defence.</w:t>
            </w:r>
          </w:p>
        </w:tc>
        <w:tc>
          <w:tcPr>
            <w:tcW w:w="3084" w:type="dxa"/>
            <w:tcBorders>
              <w:top w:val="dotted" w:sz="4" w:space="0" w:color="auto"/>
              <w:left w:val="single" w:sz="4" w:space="0" w:color="auto"/>
              <w:bottom w:val="single" w:sz="4" w:space="0" w:color="auto"/>
              <w:right w:val="single" w:sz="4" w:space="0" w:color="auto"/>
            </w:tcBorders>
          </w:tcPr>
          <w:p w14:paraId="13D77F1B" w14:textId="77777777" w:rsidR="006440D6" w:rsidRPr="006440D6" w:rsidRDefault="006440D6" w:rsidP="003C0905">
            <w:pPr>
              <w:tabs>
                <w:tab w:val="left" w:pos="709"/>
              </w:tabs>
              <w:spacing w:before="60" w:after="60"/>
              <w:rPr>
                <w:rFonts w:ascii="Arial" w:hAnsi="Arial"/>
                <w:sz w:val="16"/>
                <w:szCs w:val="16"/>
                <w:lang w:val="en-AU"/>
              </w:rPr>
            </w:pPr>
            <w:r w:rsidRPr="006440D6">
              <w:rPr>
                <w:rFonts w:ascii="Arial" w:hAnsi="Arial"/>
                <w:sz w:val="16"/>
                <w:szCs w:val="16"/>
                <w:lang w:val="en-AU"/>
              </w:rPr>
              <w:t xml:space="preserve">The proportion of ADF and Defence APS personnel that believe appropriate action will be taken if they report an incident of unacceptable behaviour has increased in the last 12 months, the proportion of ADF and Defence APS personnel who have experienced any unacceptable behaviour in the workplace has decreased in the last 12 months, and proportion of ADF and Defence APS personnel who are of the view that Defence Values are being used in their work area has increased in the last 12 months. </w:t>
            </w:r>
          </w:p>
          <w:p w14:paraId="251BC73D" w14:textId="4D33EC8D" w:rsidR="006440D6" w:rsidRPr="006440D6" w:rsidRDefault="006440D6" w:rsidP="0093219B">
            <w:pPr>
              <w:spacing w:before="0" w:after="60"/>
              <w:jc w:val="right"/>
              <w:rPr>
                <w:rFonts w:ascii="Arial" w:hAnsi="Arial"/>
                <w:sz w:val="16"/>
                <w:szCs w:val="16"/>
                <w:lang w:val="en-AU"/>
              </w:rPr>
            </w:pPr>
            <w:r w:rsidRPr="006440D6">
              <w:rPr>
                <w:rFonts w:ascii="Arial" w:hAnsi="Arial"/>
                <w:i/>
                <w:sz w:val="16"/>
                <w:szCs w:val="16"/>
                <w:lang w:val="en-AU"/>
              </w:rPr>
              <w:t>Expected to be substantially achieved.</w:t>
            </w:r>
          </w:p>
        </w:tc>
      </w:tr>
      <w:tr w:rsidR="006440D6" w:rsidRPr="00F043DE" w14:paraId="2F9774E2" w14:textId="77777777" w:rsidTr="00514075">
        <w:tblPrEx>
          <w:shd w:val="clear" w:color="auto" w:fill="auto"/>
          <w:tblLook w:val="04A0" w:firstRow="1" w:lastRow="0" w:firstColumn="1" w:lastColumn="0" w:noHBand="0" w:noVBand="1"/>
        </w:tblPrEx>
        <w:trPr>
          <w:trHeight w:val="305"/>
        </w:trPr>
        <w:tc>
          <w:tcPr>
            <w:tcW w:w="1661" w:type="dxa"/>
            <w:tcBorders>
              <w:top w:val="single" w:sz="4" w:space="0" w:color="auto"/>
              <w:left w:val="single" w:sz="4" w:space="0" w:color="auto"/>
              <w:bottom w:val="single" w:sz="4" w:space="0" w:color="auto"/>
              <w:right w:val="single" w:sz="4" w:space="0" w:color="auto"/>
            </w:tcBorders>
          </w:tcPr>
          <w:p w14:paraId="2A400556" w14:textId="7558B42E" w:rsidR="006440D6" w:rsidRPr="00F043DE" w:rsidRDefault="006440D6" w:rsidP="006440D6">
            <w:pPr>
              <w:pageBreakBefore/>
              <w:tabs>
                <w:tab w:val="left" w:pos="709"/>
              </w:tabs>
              <w:spacing w:before="0" w:after="0"/>
              <w:rPr>
                <w:rFonts w:ascii="Arial" w:hAnsi="Arial"/>
                <w:color w:val="000000"/>
                <w:sz w:val="16"/>
                <w:szCs w:val="16"/>
              </w:rPr>
            </w:pPr>
            <w:r w:rsidRPr="00F043DE">
              <w:rPr>
                <w:rFonts w:ascii="Arial" w:hAnsi="Arial"/>
                <w:b/>
                <w:color w:val="000000"/>
                <w:sz w:val="16"/>
                <w:szCs w:val="16"/>
              </w:rPr>
              <w:lastRenderedPageBreak/>
              <w:t>Year</w:t>
            </w:r>
          </w:p>
        </w:tc>
        <w:tc>
          <w:tcPr>
            <w:tcW w:w="2865" w:type="dxa"/>
            <w:tcBorders>
              <w:top w:val="single" w:sz="4" w:space="0" w:color="auto"/>
              <w:left w:val="single" w:sz="4" w:space="0" w:color="auto"/>
              <w:bottom w:val="single" w:sz="4" w:space="0" w:color="auto"/>
              <w:right w:val="single" w:sz="4" w:space="0" w:color="auto"/>
            </w:tcBorders>
          </w:tcPr>
          <w:p w14:paraId="7519750D" w14:textId="670532F5" w:rsidR="006440D6" w:rsidRPr="00F043DE" w:rsidRDefault="006440D6" w:rsidP="006440D6">
            <w:pPr>
              <w:tabs>
                <w:tab w:val="left" w:pos="709"/>
              </w:tabs>
              <w:spacing w:before="60" w:after="60"/>
              <w:rPr>
                <w:rFonts w:ascii="Arial" w:hAnsi="Arial"/>
                <w:sz w:val="16"/>
                <w:szCs w:val="16"/>
                <w:lang w:val="en-AU"/>
              </w:rPr>
            </w:pPr>
            <w:r w:rsidRPr="00F043DE">
              <w:rPr>
                <w:rFonts w:ascii="Arial" w:hAnsi="Arial"/>
                <w:b/>
                <w:color w:val="000000"/>
                <w:sz w:val="16"/>
                <w:szCs w:val="16"/>
              </w:rPr>
              <w:t>Performance measures</w:t>
            </w:r>
          </w:p>
        </w:tc>
        <w:tc>
          <w:tcPr>
            <w:tcW w:w="3084" w:type="dxa"/>
            <w:tcBorders>
              <w:top w:val="single" w:sz="4" w:space="0" w:color="auto"/>
              <w:left w:val="single" w:sz="4" w:space="0" w:color="auto"/>
              <w:bottom w:val="single" w:sz="4" w:space="0" w:color="auto"/>
              <w:right w:val="single" w:sz="4" w:space="0" w:color="auto"/>
            </w:tcBorders>
          </w:tcPr>
          <w:p w14:paraId="6CAC787E" w14:textId="4D80D0B9" w:rsidR="006440D6" w:rsidRPr="006440D6" w:rsidRDefault="006440D6" w:rsidP="006440D6">
            <w:pPr>
              <w:tabs>
                <w:tab w:val="left" w:pos="709"/>
              </w:tabs>
              <w:spacing w:before="60" w:after="60"/>
              <w:rPr>
                <w:rFonts w:ascii="Arial" w:hAnsi="Arial"/>
                <w:sz w:val="16"/>
                <w:szCs w:val="16"/>
                <w:lang w:val="en-AU"/>
              </w:rPr>
            </w:pPr>
            <w:r w:rsidRPr="00F043DE">
              <w:rPr>
                <w:rFonts w:ascii="Arial" w:hAnsi="Arial"/>
                <w:b/>
                <w:color w:val="000000"/>
                <w:sz w:val="16"/>
                <w:szCs w:val="16"/>
              </w:rPr>
              <w:t>Expected Performance Results</w:t>
            </w:r>
          </w:p>
        </w:tc>
      </w:tr>
      <w:tr w:rsidR="006440D6" w:rsidRPr="00F043DE" w14:paraId="3CF0FEA1" w14:textId="77777777" w:rsidTr="00514075">
        <w:tblPrEx>
          <w:shd w:val="clear" w:color="auto" w:fill="auto"/>
          <w:tblLook w:val="04A0" w:firstRow="1" w:lastRow="0" w:firstColumn="1" w:lastColumn="0" w:noHBand="0" w:noVBand="1"/>
        </w:tblPrEx>
        <w:trPr>
          <w:trHeight w:val="305"/>
        </w:trPr>
        <w:tc>
          <w:tcPr>
            <w:tcW w:w="1661" w:type="dxa"/>
            <w:tcBorders>
              <w:top w:val="single" w:sz="4" w:space="0" w:color="auto"/>
              <w:bottom w:val="single" w:sz="4" w:space="0" w:color="auto"/>
              <w:right w:val="single" w:sz="4" w:space="0" w:color="auto"/>
            </w:tcBorders>
          </w:tcPr>
          <w:p w14:paraId="3BB18947" w14:textId="77777777" w:rsidR="006440D6" w:rsidRPr="00F043DE" w:rsidRDefault="006440D6" w:rsidP="006440D6">
            <w:pPr>
              <w:tabs>
                <w:tab w:val="left" w:pos="709"/>
              </w:tabs>
              <w:spacing w:before="0" w:after="0"/>
              <w:rPr>
                <w:rFonts w:ascii="Arial" w:hAnsi="Arial"/>
                <w:color w:val="000000"/>
                <w:sz w:val="16"/>
                <w:szCs w:val="16"/>
              </w:rPr>
            </w:pPr>
            <w:r w:rsidRPr="00F043DE">
              <w:rPr>
                <w:rFonts w:ascii="Arial" w:hAnsi="Arial"/>
                <w:color w:val="000000"/>
                <w:sz w:val="16"/>
                <w:szCs w:val="16"/>
              </w:rPr>
              <w:t>Current Year</w:t>
            </w:r>
          </w:p>
          <w:p w14:paraId="51D1C9AF" w14:textId="24EC2EEE" w:rsidR="006440D6" w:rsidRPr="00F043DE" w:rsidRDefault="006440D6" w:rsidP="006440D6">
            <w:pPr>
              <w:tabs>
                <w:tab w:val="left" w:pos="709"/>
              </w:tabs>
              <w:spacing w:before="60" w:after="60"/>
              <w:rPr>
                <w:rFonts w:ascii="Arial" w:hAnsi="Arial"/>
                <w:color w:val="000000"/>
                <w:sz w:val="16"/>
                <w:szCs w:val="16"/>
              </w:rPr>
            </w:pPr>
            <w:r w:rsidRPr="00F043DE">
              <w:rPr>
                <w:rFonts w:ascii="Arial" w:hAnsi="Arial"/>
                <w:color w:val="000000"/>
                <w:sz w:val="16"/>
                <w:szCs w:val="16"/>
              </w:rPr>
              <w:t>2024-25</w:t>
            </w:r>
            <w:r>
              <w:rPr>
                <w:rFonts w:ascii="Arial" w:hAnsi="Arial"/>
                <w:color w:val="000000"/>
                <w:sz w:val="16"/>
                <w:szCs w:val="16"/>
              </w:rPr>
              <w:t xml:space="preserve"> </w:t>
            </w:r>
            <w:r w:rsidRPr="00F043DE">
              <w:rPr>
                <w:rFonts w:ascii="Arial" w:hAnsi="Arial"/>
                <w:color w:val="000000"/>
                <w:sz w:val="16"/>
                <w:szCs w:val="16"/>
                <w:vertAlign w:val="superscript"/>
              </w:rPr>
              <w:t>[a]</w:t>
            </w:r>
          </w:p>
        </w:tc>
        <w:tc>
          <w:tcPr>
            <w:tcW w:w="2865" w:type="dxa"/>
            <w:tcBorders>
              <w:top w:val="single" w:sz="4" w:space="0" w:color="auto"/>
              <w:left w:val="single" w:sz="4" w:space="0" w:color="auto"/>
              <w:bottom w:val="single" w:sz="4" w:space="0" w:color="auto"/>
              <w:right w:val="single" w:sz="4" w:space="0" w:color="auto"/>
            </w:tcBorders>
          </w:tcPr>
          <w:p w14:paraId="78330FF1" w14:textId="77777777" w:rsidR="006440D6" w:rsidRPr="00F043DE" w:rsidRDefault="006440D6" w:rsidP="006440D6">
            <w:pPr>
              <w:tabs>
                <w:tab w:val="left" w:pos="709"/>
              </w:tabs>
              <w:spacing w:before="60" w:after="60"/>
              <w:rPr>
                <w:rFonts w:ascii="Arial" w:hAnsi="Arial"/>
                <w:sz w:val="16"/>
                <w:szCs w:val="16"/>
                <w:lang w:val="en-AU"/>
              </w:rPr>
            </w:pPr>
            <w:r w:rsidRPr="00F043DE">
              <w:rPr>
                <w:rFonts w:ascii="Arial" w:hAnsi="Arial"/>
                <w:sz w:val="16"/>
                <w:szCs w:val="16"/>
                <w:lang w:val="en-AU"/>
              </w:rPr>
              <w:t>4.4: Defence supports ADF members and their families by providing access to support services and programs having regard to lifetime wellbeing.</w:t>
            </w:r>
          </w:p>
        </w:tc>
        <w:tc>
          <w:tcPr>
            <w:tcW w:w="3084" w:type="dxa"/>
            <w:tcBorders>
              <w:top w:val="single" w:sz="4" w:space="0" w:color="auto"/>
              <w:left w:val="single" w:sz="4" w:space="0" w:color="auto"/>
              <w:bottom w:val="single" w:sz="4" w:space="0" w:color="auto"/>
            </w:tcBorders>
          </w:tcPr>
          <w:p w14:paraId="17CF6576" w14:textId="7D237077" w:rsidR="006440D6" w:rsidRPr="006440D6" w:rsidRDefault="006440D6" w:rsidP="006440D6">
            <w:pPr>
              <w:tabs>
                <w:tab w:val="left" w:pos="709"/>
              </w:tabs>
              <w:spacing w:before="60" w:after="60"/>
              <w:rPr>
                <w:rFonts w:ascii="Arial" w:hAnsi="Arial"/>
                <w:sz w:val="16"/>
                <w:szCs w:val="16"/>
                <w:lang w:val="en-AU"/>
              </w:rPr>
            </w:pPr>
            <w:r w:rsidRPr="006440D6">
              <w:rPr>
                <w:rFonts w:ascii="Arial" w:hAnsi="Arial"/>
                <w:sz w:val="16"/>
                <w:szCs w:val="16"/>
                <w:lang w:val="en-AU"/>
              </w:rPr>
              <w:t>At least 75 per cent of eligible permanent ADF members and their families are registered with the ADF Family Health Program; 100 per cent of support services and programs are provided to permanent ADF and their families in accordance with identified service delivery timeframes; Defence’s suicide prevention training is practical, tailored, informed by lived experience and delivered in person; and 100 per cent of Defence-led, Government-agreed recommendations from the Royal Commission into Defence and Veteran Suicide Final Report which are on the Forward Work Plan for the Program Board in 2024-25, have approved Reform Management Plans by 30 June 2025.</w:t>
            </w:r>
          </w:p>
          <w:p w14:paraId="0AFA3C89" w14:textId="64EDFDA2" w:rsidR="006440D6" w:rsidRPr="006440D6" w:rsidRDefault="006440D6" w:rsidP="006440D6">
            <w:pPr>
              <w:tabs>
                <w:tab w:val="left" w:pos="709"/>
              </w:tabs>
              <w:spacing w:before="60" w:after="60"/>
              <w:jc w:val="right"/>
              <w:rPr>
                <w:rFonts w:ascii="Arial" w:hAnsi="Arial"/>
                <w:i/>
                <w:sz w:val="16"/>
                <w:szCs w:val="16"/>
                <w:lang w:val="en-AU"/>
              </w:rPr>
            </w:pPr>
            <w:r w:rsidRPr="006440D6">
              <w:rPr>
                <w:rFonts w:ascii="Arial" w:hAnsi="Arial"/>
                <w:i/>
                <w:sz w:val="16"/>
                <w:szCs w:val="16"/>
                <w:lang w:val="en-AU"/>
              </w:rPr>
              <w:t>Expected to be partially achieved.</w:t>
            </w:r>
          </w:p>
        </w:tc>
      </w:tr>
      <w:tr w:rsidR="006440D6" w:rsidRPr="00F043DE" w14:paraId="5024D2B2" w14:textId="77777777" w:rsidTr="00514075">
        <w:tblPrEx>
          <w:shd w:val="clear" w:color="auto" w:fill="auto"/>
          <w:tblLook w:val="04A0" w:firstRow="1" w:lastRow="0" w:firstColumn="1" w:lastColumn="0" w:noHBand="0" w:noVBand="1"/>
        </w:tblPrEx>
        <w:trPr>
          <w:trHeight w:val="258"/>
        </w:trPr>
        <w:tc>
          <w:tcPr>
            <w:tcW w:w="1661" w:type="dxa"/>
            <w:tcBorders>
              <w:top w:val="single" w:sz="4" w:space="0" w:color="auto"/>
              <w:bottom w:val="single" w:sz="4" w:space="0" w:color="auto"/>
              <w:right w:val="single" w:sz="4" w:space="0" w:color="auto"/>
            </w:tcBorders>
          </w:tcPr>
          <w:p w14:paraId="04653C6F" w14:textId="77777777" w:rsidR="006440D6" w:rsidRPr="00F043DE" w:rsidRDefault="006440D6" w:rsidP="006440D6">
            <w:pPr>
              <w:tabs>
                <w:tab w:val="left" w:pos="709"/>
              </w:tabs>
              <w:spacing w:before="60" w:after="60"/>
              <w:rPr>
                <w:rFonts w:ascii="Arial" w:hAnsi="Arial"/>
                <w:b/>
                <w:color w:val="000000"/>
                <w:sz w:val="16"/>
                <w:szCs w:val="16"/>
              </w:rPr>
            </w:pPr>
            <w:r w:rsidRPr="00F043DE">
              <w:rPr>
                <w:rFonts w:ascii="Arial" w:hAnsi="Arial"/>
                <w:b/>
                <w:color w:val="000000"/>
                <w:sz w:val="16"/>
                <w:szCs w:val="16"/>
              </w:rPr>
              <w:t>Year</w:t>
            </w:r>
          </w:p>
        </w:tc>
        <w:tc>
          <w:tcPr>
            <w:tcW w:w="2865" w:type="dxa"/>
            <w:tcBorders>
              <w:top w:val="single" w:sz="4" w:space="0" w:color="auto"/>
              <w:left w:val="single" w:sz="4" w:space="0" w:color="auto"/>
              <w:bottom w:val="single" w:sz="4" w:space="0" w:color="auto"/>
              <w:right w:val="single" w:sz="4" w:space="0" w:color="auto"/>
            </w:tcBorders>
          </w:tcPr>
          <w:p w14:paraId="3ACC2EEA" w14:textId="77777777" w:rsidR="006440D6" w:rsidRPr="00F043DE" w:rsidRDefault="006440D6" w:rsidP="006440D6">
            <w:pPr>
              <w:tabs>
                <w:tab w:val="left" w:pos="709"/>
                <w:tab w:val="center" w:pos="1818"/>
              </w:tabs>
              <w:spacing w:before="60" w:after="60"/>
              <w:rPr>
                <w:rFonts w:ascii="Arial" w:hAnsi="Arial"/>
                <w:b/>
                <w:color w:val="000000"/>
                <w:sz w:val="16"/>
                <w:szCs w:val="16"/>
              </w:rPr>
            </w:pPr>
            <w:r w:rsidRPr="00F043DE">
              <w:rPr>
                <w:rFonts w:ascii="Arial" w:hAnsi="Arial"/>
                <w:b/>
                <w:color w:val="000000"/>
                <w:sz w:val="16"/>
                <w:szCs w:val="16"/>
              </w:rPr>
              <w:t>Performance measures</w:t>
            </w:r>
          </w:p>
        </w:tc>
        <w:tc>
          <w:tcPr>
            <w:tcW w:w="3084" w:type="dxa"/>
            <w:tcBorders>
              <w:top w:val="single" w:sz="4" w:space="0" w:color="auto"/>
              <w:left w:val="single" w:sz="4" w:space="0" w:color="auto"/>
              <w:bottom w:val="single" w:sz="4" w:space="0" w:color="auto"/>
            </w:tcBorders>
          </w:tcPr>
          <w:p w14:paraId="46309083" w14:textId="77777777" w:rsidR="006440D6" w:rsidRPr="00F043DE" w:rsidRDefault="006440D6" w:rsidP="006440D6">
            <w:pPr>
              <w:tabs>
                <w:tab w:val="left" w:pos="709"/>
              </w:tabs>
              <w:spacing w:before="60" w:after="60"/>
              <w:rPr>
                <w:rFonts w:ascii="Arial" w:hAnsi="Arial"/>
                <w:b/>
                <w:color w:val="000000"/>
                <w:sz w:val="16"/>
                <w:szCs w:val="16"/>
              </w:rPr>
            </w:pPr>
            <w:r w:rsidRPr="00F043DE">
              <w:rPr>
                <w:rFonts w:ascii="Arial" w:hAnsi="Arial"/>
                <w:b/>
                <w:color w:val="000000"/>
                <w:sz w:val="16"/>
                <w:szCs w:val="16"/>
              </w:rPr>
              <w:t>Planned Performance Results</w:t>
            </w:r>
          </w:p>
        </w:tc>
      </w:tr>
      <w:tr w:rsidR="006440D6" w:rsidRPr="00F043DE" w14:paraId="36546BC4" w14:textId="77777777" w:rsidTr="00CC7AF9">
        <w:tblPrEx>
          <w:shd w:val="clear" w:color="auto" w:fill="auto"/>
          <w:tblLook w:val="04A0" w:firstRow="1" w:lastRow="0" w:firstColumn="1" w:lastColumn="0" w:noHBand="0" w:noVBand="1"/>
        </w:tblPrEx>
        <w:trPr>
          <w:trHeight w:val="320"/>
        </w:trPr>
        <w:tc>
          <w:tcPr>
            <w:tcW w:w="1661" w:type="dxa"/>
            <w:vMerge w:val="restart"/>
            <w:tcBorders>
              <w:top w:val="single" w:sz="4" w:space="0" w:color="auto"/>
              <w:left w:val="single" w:sz="4" w:space="0" w:color="auto"/>
              <w:right w:val="single" w:sz="4" w:space="0" w:color="auto"/>
            </w:tcBorders>
          </w:tcPr>
          <w:p w14:paraId="2FB3E017" w14:textId="77777777" w:rsidR="006440D6" w:rsidRPr="00F043DE" w:rsidRDefault="006440D6" w:rsidP="006440D6">
            <w:pPr>
              <w:tabs>
                <w:tab w:val="left" w:pos="709"/>
              </w:tabs>
              <w:spacing w:before="0" w:after="0"/>
              <w:rPr>
                <w:rFonts w:ascii="Arial" w:hAnsi="Arial"/>
                <w:color w:val="000000"/>
                <w:sz w:val="16"/>
                <w:szCs w:val="16"/>
              </w:rPr>
            </w:pPr>
            <w:r w:rsidRPr="00F043DE">
              <w:rPr>
                <w:rFonts w:ascii="Arial" w:hAnsi="Arial"/>
                <w:color w:val="000000"/>
                <w:sz w:val="16"/>
                <w:szCs w:val="16"/>
              </w:rPr>
              <w:t>Budget Year</w:t>
            </w:r>
          </w:p>
          <w:p w14:paraId="40D670E3" w14:textId="77777777" w:rsidR="006440D6" w:rsidRPr="00F043DE" w:rsidRDefault="006440D6" w:rsidP="006440D6">
            <w:pPr>
              <w:tabs>
                <w:tab w:val="left" w:pos="709"/>
              </w:tabs>
              <w:spacing w:before="0" w:after="0"/>
              <w:rPr>
                <w:rFonts w:ascii="Arial" w:hAnsi="Arial"/>
                <w:color w:val="000000"/>
                <w:sz w:val="16"/>
                <w:szCs w:val="16"/>
              </w:rPr>
            </w:pPr>
            <w:r w:rsidRPr="00F043DE">
              <w:rPr>
                <w:rFonts w:ascii="Arial" w:hAnsi="Arial"/>
                <w:color w:val="000000"/>
                <w:sz w:val="16"/>
                <w:szCs w:val="16"/>
              </w:rPr>
              <w:t>2025-26</w:t>
            </w:r>
            <w:r>
              <w:rPr>
                <w:rFonts w:ascii="Arial" w:hAnsi="Arial"/>
                <w:color w:val="000000"/>
                <w:sz w:val="16"/>
                <w:szCs w:val="16"/>
              </w:rPr>
              <w:t xml:space="preserve"> </w:t>
            </w:r>
            <w:r w:rsidRPr="00F043DE">
              <w:rPr>
                <w:rFonts w:ascii="Arial" w:hAnsi="Arial"/>
                <w:color w:val="000000"/>
                <w:sz w:val="16"/>
                <w:szCs w:val="16"/>
                <w:vertAlign w:val="superscript"/>
              </w:rPr>
              <w:t>[b]</w:t>
            </w:r>
          </w:p>
          <w:p w14:paraId="22A89BA3" w14:textId="4E1AADFB" w:rsidR="006440D6" w:rsidRPr="00F043DE" w:rsidRDefault="006440D6" w:rsidP="006440D6">
            <w:pPr>
              <w:tabs>
                <w:tab w:val="left" w:pos="709"/>
              </w:tabs>
              <w:spacing w:before="0" w:after="0"/>
              <w:rPr>
                <w:rFonts w:ascii="Arial" w:hAnsi="Arial"/>
                <w:color w:val="000000"/>
                <w:sz w:val="16"/>
                <w:szCs w:val="16"/>
              </w:rPr>
            </w:pPr>
          </w:p>
        </w:tc>
        <w:tc>
          <w:tcPr>
            <w:tcW w:w="2865" w:type="dxa"/>
            <w:tcBorders>
              <w:top w:val="single" w:sz="4" w:space="0" w:color="auto"/>
              <w:left w:val="single" w:sz="4" w:space="0" w:color="auto"/>
              <w:bottom w:val="dotted" w:sz="4" w:space="0" w:color="auto"/>
              <w:right w:val="single" w:sz="4" w:space="0" w:color="auto"/>
            </w:tcBorders>
          </w:tcPr>
          <w:p w14:paraId="3967886B" w14:textId="77777777" w:rsidR="006440D6" w:rsidRPr="00DA6484" w:rsidRDefault="006440D6" w:rsidP="006440D6">
            <w:pPr>
              <w:tabs>
                <w:tab w:val="left" w:pos="709"/>
              </w:tabs>
              <w:spacing w:before="60" w:after="60"/>
              <w:rPr>
                <w:rFonts w:ascii="Arial" w:hAnsi="Arial"/>
                <w:sz w:val="16"/>
                <w:szCs w:val="16"/>
                <w:lang w:val="en-AU"/>
              </w:rPr>
            </w:pPr>
            <w:r w:rsidRPr="00DA6484">
              <w:rPr>
                <w:rFonts w:ascii="Arial" w:hAnsi="Arial"/>
                <w:sz w:val="16"/>
                <w:szCs w:val="16"/>
                <w:lang w:val="en-AU"/>
              </w:rPr>
              <w:t>4.1: Defence recruits and retains an ADF and APS workforce to support the Defence mission.</w:t>
            </w:r>
          </w:p>
        </w:tc>
        <w:tc>
          <w:tcPr>
            <w:tcW w:w="3084" w:type="dxa"/>
            <w:tcBorders>
              <w:top w:val="single" w:sz="4" w:space="0" w:color="auto"/>
              <w:left w:val="single" w:sz="4" w:space="0" w:color="auto"/>
              <w:bottom w:val="dotted" w:sz="4" w:space="0" w:color="auto"/>
              <w:right w:val="single" w:sz="4" w:space="0" w:color="auto"/>
            </w:tcBorders>
          </w:tcPr>
          <w:p w14:paraId="53E9404B" w14:textId="29657D75" w:rsidR="006440D6" w:rsidRPr="006440D6" w:rsidRDefault="006440D6" w:rsidP="006440D6">
            <w:pPr>
              <w:tabs>
                <w:tab w:val="left" w:pos="709"/>
              </w:tabs>
              <w:spacing w:before="60" w:after="60"/>
              <w:rPr>
                <w:rFonts w:ascii="Arial" w:hAnsi="Arial"/>
                <w:sz w:val="16"/>
                <w:szCs w:val="16"/>
                <w:lang w:val="en-AU"/>
              </w:rPr>
            </w:pPr>
            <w:r w:rsidRPr="006440D6">
              <w:rPr>
                <w:rFonts w:ascii="Arial" w:hAnsi="Arial"/>
                <w:sz w:val="16"/>
                <w:szCs w:val="16"/>
                <w:lang w:val="en-AU"/>
              </w:rPr>
              <w:t>Defence achieves the ADF and APS Budgeted Workforce Requirement as set out in the 2024 Defence Workforce Plan, and the net flow of the ADF and APS workforce over a 12 month period is trending positive and is positioning Defence to achieve the Budgeted Workforce Requirement over the forward estimates.</w:t>
            </w:r>
          </w:p>
        </w:tc>
      </w:tr>
      <w:tr w:rsidR="006440D6" w:rsidRPr="00F043DE" w14:paraId="0D617381" w14:textId="77777777" w:rsidTr="00514075">
        <w:tblPrEx>
          <w:shd w:val="clear" w:color="auto" w:fill="auto"/>
          <w:tblLook w:val="04A0" w:firstRow="1" w:lastRow="0" w:firstColumn="1" w:lastColumn="0" w:noHBand="0" w:noVBand="1"/>
        </w:tblPrEx>
        <w:trPr>
          <w:trHeight w:val="320"/>
        </w:trPr>
        <w:tc>
          <w:tcPr>
            <w:tcW w:w="1661" w:type="dxa"/>
            <w:vMerge/>
            <w:tcBorders>
              <w:left w:val="single" w:sz="4" w:space="0" w:color="auto"/>
              <w:right w:val="single" w:sz="4" w:space="0" w:color="auto"/>
            </w:tcBorders>
          </w:tcPr>
          <w:p w14:paraId="5FB714F8" w14:textId="190A727A" w:rsidR="006440D6" w:rsidRPr="00F043DE" w:rsidRDefault="006440D6" w:rsidP="006440D6">
            <w:pPr>
              <w:tabs>
                <w:tab w:val="left" w:pos="709"/>
              </w:tabs>
              <w:spacing w:before="0" w:after="0"/>
              <w:rPr>
                <w:rFonts w:ascii="Arial" w:hAnsi="Arial"/>
                <w:color w:val="000000"/>
                <w:sz w:val="16"/>
                <w:szCs w:val="16"/>
              </w:rPr>
            </w:pPr>
          </w:p>
        </w:tc>
        <w:tc>
          <w:tcPr>
            <w:tcW w:w="2865" w:type="dxa"/>
            <w:tcBorders>
              <w:top w:val="dotted" w:sz="4" w:space="0" w:color="auto"/>
              <w:left w:val="single" w:sz="4" w:space="0" w:color="auto"/>
              <w:bottom w:val="dotted" w:sz="4" w:space="0" w:color="auto"/>
              <w:right w:val="single" w:sz="4" w:space="0" w:color="auto"/>
            </w:tcBorders>
          </w:tcPr>
          <w:p w14:paraId="0DAC54F9" w14:textId="77777777" w:rsidR="006440D6" w:rsidRPr="00DA6484" w:rsidRDefault="006440D6" w:rsidP="006440D6">
            <w:pPr>
              <w:tabs>
                <w:tab w:val="left" w:pos="709"/>
              </w:tabs>
              <w:spacing w:before="60" w:after="60"/>
              <w:rPr>
                <w:rFonts w:ascii="Arial" w:hAnsi="Arial"/>
                <w:sz w:val="16"/>
                <w:szCs w:val="16"/>
                <w:lang w:val="en-AU"/>
              </w:rPr>
            </w:pPr>
            <w:r w:rsidRPr="00DA6484">
              <w:rPr>
                <w:rFonts w:ascii="Arial" w:hAnsi="Arial"/>
                <w:sz w:val="16"/>
                <w:szCs w:val="16"/>
                <w:lang w:val="en-AU"/>
              </w:rPr>
              <w:t>4.2: Defence grows the necessary skills and capabilities to enable the Defence mission.</w:t>
            </w:r>
          </w:p>
        </w:tc>
        <w:tc>
          <w:tcPr>
            <w:tcW w:w="3084" w:type="dxa"/>
            <w:tcBorders>
              <w:top w:val="dotted" w:sz="4" w:space="0" w:color="auto"/>
              <w:left w:val="single" w:sz="4" w:space="0" w:color="auto"/>
              <w:bottom w:val="dotted" w:sz="4" w:space="0" w:color="auto"/>
              <w:right w:val="single" w:sz="4" w:space="0" w:color="auto"/>
            </w:tcBorders>
          </w:tcPr>
          <w:p w14:paraId="274496FF" w14:textId="2FA1BD26" w:rsidR="006440D6" w:rsidRPr="006440D6" w:rsidRDefault="006440D6" w:rsidP="006440D6">
            <w:pPr>
              <w:tabs>
                <w:tab w:val="left" w:pos="709"/>
              </w:tabs>
              <w:spacing w:before="60" w:after="60"/>
              <w:rPr>
                <w:rFonts w:ascii="Arial" w:hAnsi="Arial"/>
                <w:i/>
                <w:sz w:val="16"/>
                <w:szCs w:val="16"/>
                <w:lang w:val="en-AU"/>
              </w:rPr>
            </w:pPr>
            <w:r w:rsidRPr="006440D6">
              <w:rPr>
                <w:rFonts w:ascii="Arial" w:hAnsi="Arial"/>
                <w:sz w:val="16"/>
                <w:szCs w:val="16"/>
                <w:lang w:val="en-AU"/>
              </w:rPr>
              <w:t>The Defence workforce has the technical skills required to deliver the National Defence Strategy as measured through the Defence Strategic Workforce Segments, and the net flow of the ADF and APS workforce over a 12 month period against the Budgeted Workforce Requirement by Strategic Workforce Segment.</w:t>
            </w:r>
          </w:p>
        </w:tc>
      </w:tr>
      <w:tr w:rsidR="006440D6" w:rsidRPr="00F043DE" w14:paraId="1E7ACE29" w14:textId="77777777" w:rsidTr="00514075">
        <w:tblPrEx>
          <w:shd w:val="clear" w:color="auto" w:fill="auto"/>
          <w:tblLook w:val="04A0" w:firstRow="1" w:lastRow="0" w:firstColumn="1" w:lastColumn="0" w:noHBand="0" w:noVBand="1"/>
        </w:tblPrEx>
        <w:trPr>
          <w:trHeight w:val="320"/>
        </w:trPr>
        <w:tc>
          <w:tcPr>
            <w:tcW w:w="1661" w:type="dxa"/>
            <w:vMerge/>
            <w:tcBorders>
              <w:left w:val="single" w:sz="4" w:space="0" w:color="auto"/>
              <w:bottom w:val="single" w:sz="4" w:space="0" w:color="auto"/>
              <w:right w:val="single" w:sz="4" w:space="0" w:color="auto"/>
            </w:tcBorders>
          </w:tcPr>
          <w:p w14:paraId="57E394A6" w14:textId="10A92735" w:rsidR="006440D6" w:rsidRPr="00F043DE" w:rsidRDefault="006440D6" w:rsidP="006440D6">
            <w:pPr>
              <w:tabs>
                <w:tab w:val="left" w:pos="709"/>
              </w:tabs>
              <w:spacing w:before="0" w:after="0"/>
              <w:rPr>
                <w:rFonts w:ascii="Arial" w:hAnsi="Arial"/>
                <w:color w:val="000000"/>
                <w:sz w:val="16"/>
                <w:szCs w:val="16"/>
              </w:rPr>
            </w:pPr>
          </w:p>
        </w:tc>
        <w:tc>
          <w:tcPr>
            <w:tcW w:w="2865" w:type="dxa"/>
            <w:tcBorders>
              <w:top w:val="dotted" w:sz="4" w:space="0" w:color="auto"/>
              <w:left w:val="single" w:sz="4" w:space="0" w:color="auto"/>
              <w:bottom w:val="single" w:sz="4" w:space="0" w:color="auto"/>
              <w:right w:val="single" w:sz="4" w:space="0" w:color="auto"/>
            </w:tcBorders>
          </w:tcPr>
          <w:p w14:paraId="50CA7EAB" w14:textId="77777777" w:rsidR="006440D6" w:rsidRPr="00DA6484" w:rsidRDefault="006440D6" w:rsidP="006440D6">
            <w:pPr>
              <w:tabs>
                <w:tab w:val="left" w:pos="709"/>
              </w:tabs>
              <w:spacing w:before="60" w:after="60"/>
              <w:rPr>
                <w:rFonts w:ascii="Arial" w:hAnsi="Arial"/>
                <w:sz w:val="16"/>
                <w:szCs w:val="16"/>
                <w:lang w:val="en-AU"/>
              </w:rPr>
            </w:pPr>
            <w:r w:rsidRPr="00DA6484">
              <w:rPr>
                <w:rFonts w:ascii="Arial" w:hAnsi="Arial"/>
                <w:sz w:val="16"/>
                <w:szCs w:val="16"/>
                <w:lang w:val="en-AU"/>
              </w:rPr>
              <w:t xml:space="preserve">4.3: The Defence Values and Behaviours enable our people to deliver Australia’s </w:t>
            </w:r>
            <w:r>
              <w:rPr>
                <w:rFonts w:ascii="Arial" w:hAnsi="Arial"/>
                <w:sz w:val="16"/>
                <w:szCs w:val="16"/>
                <w:lang w:val="en-AU"/>
              </w:rPr>
              <w:t>N</w:t>
            </w:r>
            <w:r w:rsidRPr="00DA6484">
              <w:rPr>
                <w:rFonts w:ascii="Arial" w:hAnsi="Arial"/>
                <w:sz w:val="16"/>
                <w:szCs w:val="16"/>
                <w:lang w:val="en-AU"/>
              </w:rPr>
              <w:t xml:space="preserve">ational </w:t>
            </w:r>
            <w:r>
              <w:rPr>
                <w:rFonts w:ascii="Arial" w:hAnsi="Arial"/>
                <w:sz w:val="16"/>
                <w:szCs w:val="16"/>
                <w:lang w:val="en-AU"/>
              </w:rPr>
              <w:t>D</w:t>
            </w:r>
            <w:r w:rsidRPr="00DA6484">
              <w:rPr>
                <w:rFonts w:ascii="Arial" w:hAnsi="Arial"/>
                <w:sz w:val="16"/>
                <w:szCs w:val="16"/>
                <w:lang w:val="en-AU"/>
              </w:rPr>
              <w:t>efence.</w:t>
            </w:r>
          </w:p>
        </w:tc>
        <w:tc>
          <w:tcPr>
            <w:tcW w:w="3084" w:type="dxa"/>
            <w:tcBorders>
              <w:top w:val="dotted" w:sz="4" w:space="0" w:color="auto"/>
              <w:left w:val="single" w:sz="4" w:space="0" w:color="auto"/>
              <w:bottom w:val="single" w:sz="4" w:space="0" w:color="auto"/>
              <w:right w:val="single" w:sz="4" w:space="0" w:color="auto"/>
            </w:tcBorders>
          </w:tcPr>
          <w:p w14:paraId="036A4236" w14:textId="616F1223" w:rsidR="006440D6" w:rsidRPr="006440D6" w:rsidRDefault="006440D6" w:rsidP="006440D6">
            <w:pPr>
              <w:tabs>
                <w:tab w:val="left" w:pos="709"/>
              </w:tabs>
              <w:spacing w:before="60" w:after="60"/>
              <w:rPr>
                <w:rFonts w:ascii="Arial" w:hAnsi="Arial"/>
                <w:sz w:val="16"/>
                <w:szCs w:val="16"/>
                <w:lang w:val="en-AU"/>
              </w:rPr>
            </w:pPr>
            <w:r w:rsidRPr="006440D6">
              <w:rPr>
                <w:rFonts w:ascii="Arial" w:hAnsi="Arial"/>
                <w:sz w:val="16"/>
                <w:szCs w:val="16"/>
                <w:lang w:val="en-AU"/>
              </w:rPr>
              <w:t>The proportion of ADF and Defence APS personnel that believe appropriate action will be taken if they report an incident of unacceptable behaviour has increased in the last 12 months, the proportion of ADF and Defence APS personnel who have experienced any unacceptable behaviour in the workplace has decreased in the last 12 months, and proportion of ADF and Defence APS personnel who are of the view that Defence Values are being used in their work area has increased in the last 12 months.</w:t>
            </w:r>
          </w:p>
        </w:tc>
      </w:tr>
      <w:tr w:rsidR="006440D6" w:rsidRPr="00F043DE" w14:paraId="4F4CAF6F" w14:textId="77777777" w:rsidTr="00514075">
        <w:tblPrEx>
          <w:shd w:val="clear" w:color="auto" w:fill="auto"/>
          <w:tblLook w:val="04A0" w:firstRow="1" w:lastRow="0" w:firstColumn="1" w:lastColumn="0" w:noHBand="0" w:noVBand="1"/>
        </w:tblPrEx>
        <w:trPr>
          <w:trHeight w:val="320"/>
        </w:trPr>
        <w:tc>
          <w:tcPr>
            <w:tcW w:w="1661" w:type="dxa"/>
            <w:tcBorders>
              <w:top w:val="single" w:sz="4" w:space="0" w:color="auto"/>
              <w:left w:val="single" w:sz="4" w:space="0" w:color="auto"/>
              <w:bottom w:val="single" w:sz="4" w:space="0" w:color="auto"/>
              <w:right w:val="single" w:sz="4" w:space="0" w:color="auto"/>
            </w:tcBorders>
          </w:tcPr>
          <w:p w14:paraId="7F77D811" w14:textId="13253BA6" w:rsidR="006440D6" w:rsidRPr="00F043DE" w:rsidRDefault="006440D6" w:rsidP="006440D6">
            <w:pPr>
              <w:pageBreakBefore/>
              <w:tabs>
                <w:tab w:val="left" w:pos="709"/>
              </w:tabs>
              <w:spacing w:before="0" w:after="0"/>
              <w:rPr>
                <w:rFonts w:ascii="Arial" w:hAnsi="Arial"/>
                <w:color w:val="000000"/>
                <w:sz w:val="16"/>
                <w:szCs w:val="16"/>
              </w:rPr>
            </w:pPr>
            <w:r w:rsidRPr="00F043DE">
              <w:rPr>
                <w:rFonts w:ascii="Arial" w:hAnsi="Arial"/>
                <w:b/>
                <w:color w:val="000000"/>
                <w:sz w:val="16"/>
                <w:szCs w:val="16"/>
              </w:rPr>
              <w:lastRenderedPageBreak/>
              <w:t>Year</w:t>
            </w:r>
          </w:p>
        </w:tc>
        <w:tc>
          <w:tcPr>
            <w:tcW w:w="2865" w:type="dxa"/>
            <w:tcBorders>
              <w:top w:val="single" w:sz="4" w:space="0" w:color="auto"/>
              <w:left w:val="single" w:sz="4" w:space="0" w:color="auto"/>
              <w:bottom w:val="single" w:sz="4" w:space="0" w:color="auto"/>
              <w:right w:val="single" w:sz="4" w:space="0" w:color="auto"/>
            </w:tcBorders>
          </w:tcPr>
          <w:p w14:paraId="33A90355" w14:textId="166E0C86" w:rsidR="006440D6" w:rsidRPr="00DA6484" w:rsidRDefault="006440D6" w:rsidP="006440D6">
            <w:pPr>
              <w:tabs>
                <w:tab w:val="left" w:pos="709"/>
              </w:tabs>
              <w:spacing w:before="60" w:after="60"/>
              <w:rPr>
                <w:rFonts w:ascii="Arial" w:hAnsi="Arial"/>
                <w:sz w:val="16"/>
                <w:szCs w:val="16"/>
                <w:lang w:val="en-AU"/>
              </w:rPr>
            </w:pPr>
            <w:r w:rsidRPr="00F043DE">
              <w:rPr>
                <w:rFonts w:ascii="Arial" w:hAnsi="Arial"/>
                <w:b/>
                <w:color w:val="000000"/>
                <w:sz w:val="16"/>
                <w:szCs w:val="16"/>
              </w:rPr>
              <w:t>Performance measures</w:t>
            </w:r>
          </w:p>
        </w:tc>
        <w:tc>
          <w:tcPr>
            <w:tcW w:w="3084" w:type="dxa"/>
            <w:tcBorders>
              <w:top w:val="single" w:sz="4" w:space="0" w:color="auto"/>
              <w:left w:val="single" w:sz="4" w:space="0" w:color="auto"/>
              <w:bottom w:val="single" w:sz="4" w:space="0" w:color="auto"/>
              <w:right w:val="single" w:sz="4" w:space="0" w:color="auto"/>
            </w:tcBorders>
          </w:tcPr>
          <w:p w14:paraId="75F190CB" w14:textId="16E33385" w:rsidR="006440D6" w:rsidRPr="006440D6" w:rsidRDefault="006440D6" w:rsidP="006440D6">
            <w:pPr>
              <w:tabs>
                <w:tab w:val="left" w:pos="709"/>
              </w:tabs>
              <w:spacing w:before="60" w:after="60"/>
              <w:rPr>
                <w:rFonts w:ascii="Arial" w:hAnsi="Arial"/>
                <w:sz w:val="16"/>
                <w:szCs w:val="16"/>
                <w:lang w:val="en-AU"/>
              </w:rPr>
            </w:pPr>
            <w:r w:rsidRPr="00F043DE">
              <w:rPr>
                <w:rFonts w:ascii="Arial" w:hAnsi="Arial"/>
                <w:b/>
                <w:color w:val="000000"/>
                <w:sz w:val="16"/>
                <w:szCs w:val="16"/>
              </w:rPr>
              <w:t>Planned Performance Results</w:t>
            </w:r>
          </w:p>
        </w:tc>
      </w:tr>
      <w:tr w:rsidR="006440D6" w:rsidRPr="00F043DE" w14:paraId="78E1AAF0" w14:textId="77777777" w:rsidTr="006440D6">
        <w:tblPrEx>
          <w:shd w:val="clear" w:color="auto" w:fill="auto"/>
          <w:tblLook w:val="04A0" w:firstRow="1" w:lastRow="0" w:firstColumn="1" w:lastColumn="0" w:noHBand="0" w:noVBand="1"/>
        </w:tblPrEx>
        <w:trPr>
          <w:trHeight w:val="320"/>
        </w:trPr>
        <w:tc>
          <w:tcPr>
            <w:tcW w:w="1661" w:type="dxa"/>
            <w:tcBorders>
              <w:top w:val="single" w:sz="4" w:space="0" w:color="auto"/>
              <w:left w:val="single" w:sz="4" w:space="0" w:color="auto"/>
              <w:bottom w:val="single" w:sz="4" w:space="0" w:color="auto"/>
              <w:right w:val="single" w:sz="4" w:space="0" w:color="auto"/>
            </w:tcBorders>
          </w:tcPr>
          <w:p w14:paraId="44A9223D" w14:textId="77777777" w:rsidR="006440D6" w:rsidRPr="00F043DE" w:rsidRDefault="006440D6" w:rsidP="006440D6">
            <w:pPr>
              <w:tabs>
                <w:tab w:val="left" w:pos="709"/>
              </w:tabs>
              <w:spacing w:before="0" w:after="0"/>
              <w:rPr>
                <w:rFonts w:ascii="Arial" w:hAnsi="Arial"/>
                <w:color w:val="000000"/>
                <w:sz w:val="16"/>
                <w:szCs w:val="16"/>
              </w:rPr>
            </w:pPr>
            <w:r w:rsidRPr="00F043DE">
              <w:rPr>
                <w:rFonts w:ascii="Arial" w:hAnsi="Arial"/>
                <w:color w:val="000000"/>
                <w:sz w:val="16"/>
                <w:szCs w:val="16"/>
              </w:rPr>
              <w:t>Budget Year</w:t>
            </w:r>
          </w:p>
          <w:p w14:paraId="27936530" w14:textId="77777777" w:rsidR="006440D6" w:rsidRPr="00F043DE" w:rsidRDefault="006440D6" w:rsidP="006440D6">
            <w:pPr>
              <w:tabs>
                <w:tab w:val="left" w:pos="709"/>
              </w:tabs>
              <w:spacing w:before="0" w:after="0"/>
              <w:rPr>
                <w:rFonts w:ascii="Arial" w:hAnsi="Arial"/>
                <w:color w:val="000000"/>
                <w:sz w:val="16"/>
                <w:szCs w:val="16"/>
              </w:rPr>
            </w:pPr>
            <w:r w:rsidRPr="00F043DE">
              <w:rPr>
                <w:rFonts w:ascii="Arial" w:hAnsi="Arial"/>
                <w:color w:val="000000"/>
                <w:sz w:val="16"/>
                <w:szCs w:val="16"/>
              </w:rPr>
              <w:t>2025-26</w:t>
            </w:r>
            <w:r>
              <w:rPr>
                <w:rFonts w:ascii="Arial" w:hAnsi="Arial"/>
                <w:color w:val="000000"/>
                <w:sz w:val="16"/>
                <w:szCs w:val="16"/>
              </w:rPr>
              <w:t xml:space="preserve"> </w:t>
            </w:r>
            <w:r w:rsidRPr="00F043DE">
              <w:rPr>
                <w:rFonts w:ascii="Arial" w:hAnsi="Arial"/>
                <w:color w:val="000000"/>
                <w:sz w:val="16"/>
                <w:szCs w:val="16"/>
                <w:vertAlign w:val="superscript"/>
              </w:rPr>
              <w:t>[b]</w:t>
            </w:r>
          </w:p>
          <w:p w14:paraId="6843CBBD" w14:textId="77777777" w:rsidR="006440D6" w:rsidRPr="00F043DE" w:rsidRDefault="006440D6" w:rsidP="006440D6">
            <w:pPr>
              <w:tabs>
                <w:tab w:val="left" w:pos="709"/>
              </w:tabs>
              <w:spacing w:before="60" w:after="60"/>
              <w:rPr>
                <w:rFonts w:ascii="Arial" w:hAnsi="Arial"/>
                <w:color w:val="000000"/>
                <w:sz w:val="16"/>
                <w:szCs w:val="16"/>
              </w:rPr>
            </w:pPr>
          </w:p>
        </w:tc>
        <w:tc>
          <w:tcPr>
            <w:tcW w:w="2865" w:type="dxa"/>
            <w:tcBorders>
              <w:top w:val="single" w:sz="4" w:space="0" w:color="auto"/>
              <w:left w:val="single" w:sz="4" w:space="0" w:color="auto"/>
              <w:bottom w:val="single" w:sz="4" w:space="0" w:color="auto"/>
              <w:right w:val="single" w:sz="4" w:space="0" w:color="auto"/>
            </w:tcBorders>
          </w:tcPr>
          <w:p w14:paraId="0BEC117E" w14:textId="77777777" w:rsidR="006440D6" w:rsidRPr="00DA6484" w:rsidRDefault="006440D6" w:rsidP="006440D6">
            <w:pPr>
              <w:tabs>
                <w:tab w:val="left" w:pos="709"/>
              </w:tabs>
              <w:spacing w:before="60" w:after="60"/>
              <w:rPr>
                <w:rFonts w:ascii="Arial" w:hAnsi="Arial"/>
                <w:sz w:val="16"/>
                <w:szCs w:val="16"/>
                <w:lang w:val="en-AU"/>
              </w:rPr>
            </w:pPr>
            <w:r w:rsidRPr="00DA6484">
              <w:rPr>
                <w:rFonts w:ascii="Arial" w:hAnsi="Arial"/>
                <w:sz w:val="16"/>
                <w:szCs w:val="16"/>
                <w:lang w:val="en-AU"/>
              </w:rPr>
              <w:t>4.4: Defence supports ADF members and their families by providing access to support services and programs having regard to lifetime wellbeing.</w:t>
            </w:r>
          </w:p>
        </w:tc>
        <w:tc>
          <w:tcPr>
            <w:tcW w:w="3084" w:type="dxa"/>
            <w:tcBorders>
              <w:top w:val="single" w:sz="4" w:space="0" w:color="auto"/>
              <w:left w:val="single" w:sz="4" w:space="0" w:color="auto"/>
              <w:bottom w:val="single" w:sz="4" w:space="0" w:color="auto"/>
              <w:right w:val="single" w:sz="4" w:space="0" w:color="auto"/>
            </w:tcBorders>
          </w:tcPr>
          <w:p w14:paraId="7A67BD9A" w14:textId="0D36D3D9" w:rsidR="006440D6" w:rsidRPr="00D44592" w:rsidRDefault="006440D6" w:rsidP="00BA00D1">
            <w:pPr>
              <w:tabs>
                <w:tab w:val="left" w:pos="709"/>
              </w:tabs>
              <w:spacing w:before="60" w:after="60"/>
              <w:rPr>
                <w:rFonts w:ascii="Arial" w:hAnsi="Arial"/>
                <w:sz w:val="16"/>
                <w:szCs w:val="16"/>
                <w:lang w:val="en-AU"/>
              </w:rPr>
            </w:pPr>
            <w:r w:rsidRPr="00D44592">
              <w:rPr>
                <w:rFonts w:ascii="Arial" w:hAnsi="Arial"/>
                <w:sz w:val="16"/>
                <w:szCs w:val="16"/>
                <w:lang w:val="en-AU"/>
              </w:rPr>
              <w:t>At least 75 per cent of eligible permanent ADF members and their families are registered with the ADF Family Health Program; 100 per cent of support services and programs are provided to permanent ADF and their families in accordance with identified service delivery timeframes; and 100 per cent of Defence-led, Government-agreed recommendations from the Royal Commission into Defence and Veteran Suicide Final Report which are on the Forward Work Plan for the Program Board in 2024-25, have approved Reform Management Plans by 30 June 2025.</w:t>
            </w:r>
          </w:p>
        </w:tc>
      </w:tr>
      <w:tr w:rsidR="006440D6" w:rsidRPr="00F043DE" w14:paraId="0D4EC720" w14:textId="77777777" w:rsidTr="00935FB4">
        <w:tblPrEx>
          <w:shd w:val="clear" w:color="auto" w:fill="auto"/>
          <w:tblLook w:val="04A0" w:firstRow="1" w:lastRow="0" w:firstColumn="1" w:lastColumn="0" w:noHBand="0" w:noVBand="1"/>
        </w:tblPrEx>
        <w:trPr>
          <w:trHeight w:val="491"/>
        </w:trPr>
        <w:tc>
          <w:tcPr>
            <w:tcW w:w="1661" w:type="dxa"/>
            <w:tcBorders>
              <w:top w:val="single" w:sz="4" w:space="0" w:color="auto"/>
              <w:bottom w:val="single" w:sz="4" w:space="0" w:color="auto"/>
              <w:right w:val="single" w:sz="4" w:space="0" w:color="auto"/>
            </w:tcBorders>
          </w:tcPr>
          <w:p w14:paraId="0467ABE8" w14:textId="77777777" w:rsidR="006440D6" w:rsidRPr="00F043DE" w:rsidRDefault="006440D6" w:rsidP="006440D6">
            <w:pPr>
              <w:tabs>
                <w:tab w:val="left" w:pos="709"/>
              </w:tabs>
              <w:spacing w:before="0" w:after="0"/>
              <w:rPr>
                <w:rFonts w:ascii="Arial" w:hAnsi="Arial"/>
                <w:color w:val="000000"/>
                <w:sz w:val="16"/>
                <w:szCs w:val="16"/>
              </w:rPr>
            </w:pPr>
            <w:r w:rsidRPr="00F043DE">
              <w:rPr>
                <w:rFonts w:ascii="Arial" w:hAnsi="Arial"/>
                <w:color w:val="000000"/>
                <w:sz w:val="16"/>
                <w:szCs w:val="16"/>
              </w:rPr>
              <w:t>Forward Estimates</w:t>
            </w:r>
          </w:p>
          <w:p w14:paraId="183A9A5B" w14:textId="77777777" w:rsidR="006440D6" w:rsidRPr="00F043DE" w:rsidRDefault="006440D6" w:rsidP="006440D6">
            <w:pPr>
              <w:tabs>
                <w:tab w:val="left" w:pos="709"/>
              </w:tabs>
              <w:spacing w:before="0" w:after="0"/>
              <w:rPr>
                <w:rFonts w:ascii="Arial" w:hAnsi="Arial"/>
                <w:b/>
                <w:color w:val="000000"/>
                <w:sz w:val="16"/>
                <w:szCs w:val="16"/>
              </w:rPr>
            </w:pPr>
            <w:r w:rsidRPr="00F043DE">
              <w:rPr>
                <w:rFonts w:ascii="Arial" w:hAnsi="Arial"/>
                <w:color w:val="000000"/>
                <w:sz w:val="16"/>
                <w:szCs w:val="16"/>
              </w:rPr>
              <w:t>2026-29</w:t>
            </w:r>
          </w:p>
        </w:tc>
        <w:tc>
          <w:tcPr>
            <w:tcW w:w="2865" w:type="dxa"/>
            <w:tcBorders>
              <w:top w:val="single" w:sz="4" w:space="0" w:color="auto"/>
              <w:left w:val="single" w:sz="4" w:space="0" w:color="auto"/>
              <w:bottom w:val="single" w:sz="4" w:space="0" w:color="auto"/>
              <w:right w:val="single" w:sz="4" w:space="0" w:color="auto"/>
            </w:tcBorders>
          </w:tcPr>
          <w:p w14:paraId="1B405BF1" w14:textId="77777777" w:rsidR="006440D6" w:rsidRPr="00F043DE" w:rsidRDefault="006440D6" w:rsidP="006440D6">
            <w:pPr>
              <w:tabs>
                <w:tab w:val="left" w:pos="709"/>
              </w:tabs>
              <w:spacing w:before="60" w:after="60"/>
              <w:rPr>
                <w:rFonts w:ascii="Arial" w:hAnsi="Arial"/>
                <w:b/>
                <w:color w:val="000000"/>
                <w:sz w:val="16"/>
                <w:szCs w:val="16"/>
              </w:rPr>
            </w:pPr>
            <w:r w:rsidRPr="00F043DE">
              <w:rPr>
                <w:rFonts w:ascii="Arial" w:hAnsi="Arial"/>
                <w:color w:val="000000"/>
                <w:sz w:val="16"/>
                <w:szCs w:val="16"/>
              </w:rPr>
              <w:t>As per 202</w:t>
            </w:r>
            <w:r>
              <w:rPr>
                <w:rFonts w:ascii="Arial" w:hAnsi="Arial"/>
                <w:color w:val="000000"/>
                <w:sz w:val="16"/>
                <w:szCs w:val="16"/>
              </w:rPr>
              <w:t>5</w:t>
            </w:r>
            <w:r w:rsidRPr="00F043DE">
              <w:rPr>
                <w:rFonts w:ascii="Arial" w:hAnsi="Arial"/>
                <w:color w:val="000000"/>
                <w:sz w:val="16"/>
                <w:szCs w:val="16"/>
              </w:rPr>
              <w:t>-2</w:t>
            </w:r>
            <w:r>
              <w:rPr>
                <w:rFonts w:ascii="Arial" w:hAnsi="Arial"/>
                <w:color w:val="000000"/>
                <w:sz w:val="16"/>
                <w:szCs w:val="16"/>
              </w:rPr>
              <w:t>6</w:t>
            </w:r>
            <w:r w:rsidRPr="00F043DE">
              <w:rPr>
                <w:rFonts w:ascii="Arial" w:hAnsi="Arial"/>
                <w:color w:val="000000"/>
                <w:sz w:val="16"/>
                <w:szCs w:val="16"/>
              </w:rPr>
              <w:t>.</w:t>
            </w:r>
          </w:p>
        </w:tc>
        <w:tc>
          <w:tcPr>
            <w:tcW w:w="3084" w:type="dxa"/>
            <w:tcBorders>
              <w:top w:val="single" w:sz="4" w:space="0" w:color="auto"/>
              <w:left w:val="single" w:sz="4" w:space="0" w:color="auto"/>
              <w:bottom w:val="single" w:sz="4" w:space="0" w:color="auto"/>
            </w:tcBorders>
          </w:tcPr>
          <w:p w14:paraId="0F13FFF3" w14:textId="77777777" w:rsidR="006440D6" w:rsidRPr="00F043DE" w:rsidRDefault="006440D6" w:rsidP="006440D6">
            <w:pPr>
              <w:tabs>
                <w:tab w:val="left" w:pos="709"/>
              </w:tabs>
              <w:spacing w:before="60" w:after="60"/>
              <w:rPr>
                <w:rFonts w:ascii="Arial" w:hAnsi="Arial"/>
                <w:b/>
                <w:color w:val="000000"/>
                <w:sz w:val="16"/>
                <w:szCs w:val="16"/>
              </w:rPr>
            </w:pPr>
            <w:r w:rsidRPr="00F043DE">
              <w:rPr>
                <w:rFonts w:ascii="Arial" w:hAnsi="Arial"/>
                <w:color w:val="000000"/>
                <w:sz w:val="16"/>
                <w:szCs w:val="16"/>
              </w:rPr>
              <w:t>As per 202</w:t>
            </w:r>
            <w:r>
              <w:rPr>
                <w:rFonts w:ascii="Arial" w:hAnsi="Arial"/>
                <w:color w:val="000000"/>
                <w:sz w:val="16"/>
                <w:szCs w:val="16"/>
              </w:rPr>
              <w:t>5</w:t>
            </w:r>
            <w:r w:rsidRPr="00F043DE">
              <w:rPr>
                <w:rFonts w:ascii="Arial" w:hAnsi="Arial"/>
                <w:color w:val="000000"/>
                <w:sz w:val="16"/>
                <w:szCs w:val="16"/>
              </w:rPr>
              <w:t>-2</w:t>
            </w:r>
            <w:r>
              <w:rPr>
                <w:rFonts w:ascii="Arial" w:hAnsi="Arial"/>
                <w:color w:val="000000"/>
                <w:sz w:val="16"/>
                <w:szCs w:val="16"/>
              </w:rPr>
              <w:t>6</w:t>
            </w:r>
            <w:r w:rsidRPr="00F043DE">
              <w:rPr>
                <w:rFonts w:ascii="Arial" w:hAnsi="Arial"/>
                <w:color w:val="000000"/>
                <w:sz w:val="16"/>
                <w:szCs w:val="16"/>
              </w:rPr>
              <w:t>.</w:t>
            </w:r>
          </w:p>
        </w:tc>
      </w:tr>
      <w:tr w:rsidR="006440D6" w:rsidRPr="00BA1388" w14:paraId="1F588A1E" w14:textId="77777777" w:rsidTr="00935FB4">
        <w:tblPrEx>
          <w:shd w:val="clear" w:color="auto" w:fill="auto"/>
          <w:tblLook w:val="04A0" w:firstRow="1" w:lastRow="0" w:firstColumn="1" w:lastColumn="0" w:noHBand="0" w:noVBand="1"/>
        </w:tblPrEx>
        <w:trPr>
          <w:trHeight w:val="291"/>
        </w:trPr>
        <w:tc>
          <w:tcPr>
            <w:tcW w:w="7610" w:type="dxa"/>
            <w:gridSpan w:val="3"/>
            <w:tcBorders>
              <w:top w:val="single" w:sz="4" w:space="0" w:color="auto"/>
              <w:bottom w:val="single" w:sz="4" w:space="0" w:color="auto"/>
            </w:tcBorders>
          </w:tcPr>
          <w:p w14:paraId="2239D2CB" w14:textId="4B6BA6D3" w:rsidR="006440D6" w:rsidRPr="00F043DE" w:rsidRDefault="006440D6" w:rsidP="006440D6">
            <w:pPr>
              <w:tabs>
                <w:tab w:val="left" w:pos="709"/>
              </w:tabs>
              <w:spacing w:before="60" w:after="60"/>
              <w:rPr>
                <w:rFonts w:ascii="Arial" w:eastAsia="Cambria" w:hAnsi="Arial"/>
                <w:bCs/>
                <w:iCs/>
                <w:color w:val="000000"/>
                <w:spacing w:val="-6"/>
                <w:sz w:val="16"/>
                <w:szCs w:val="16"/>
                <w:lang w:val="x-none"/>
              </w:rPr>
            </w:pPr>
            <w:r w:rsidRPr="00F043DE">
              <w:rPr>
                <w:rFonts w:ascii="Arial" w:hAnsi="Arial"/>
                <w:color w:val="000000"/>
                <w:sz w:val="16"/>
                <w:szCs w:val="16"/>
              </w:rPr>
              <w:t>Material changes to Program 2.21 resulting from 202</w:t>
            </w:r>
            <w:r>
              <w:rPr>
                <w:rFonts w:ascii="Arial" w:hAnsi="Arial"/>
                <w:color w:val="000000"/>
                <w:sz w:val="16"/>
                <w:szCs w:val="16"/>
              </w:rPr>
              <w:t>5</w:t>
            </w:r>
            <w:r w:rsidRPr="00F043DE">
              <w:rPr>
                <w:rFonts w:ascii="Arial" w:hAnsi="Arial"/>
                <w:color w:val="000000"/>
                <w:sz w:val="16"/>
                <w:szCs w:val="16"/>
              </w:rPr>
              <w:t>-2</w:t>
            </w:r>
            <w:r>
              <w:rPr>
                <w:rFonts w:ascii="Arial" w:hAnsi="Arial"/>
                <w:color w:val="000000"/>
                <w:sz w:val="16"/>
                <w:szCs w:val="16"/>
              </w:rPr>
              <w:t>6</w:t>
            </w:r>
            <w:r w:rsidRPr="00F043DE">
              <w:rPr>
                <w:rFonts w:ascii="Arial" w:hAnsi="Arial"/>
                <w:color w:val="000000"/>
                <w:sz w:val="16"/>
                <w:szCs w:val="16"/>
              </w:rPr>
              <w:t xml:space="preserve"> Budget Measures:</w:t>
            </w:r>
            <w:r w:rsidRPr="00F043DE">
              <w:rPr>
                <w:rStyle w:val="BodyTextChar"/>
                <w:rFonts w:ascii="Arial" w:hAnsi="Arial"/>
                <w:bCs/>
                <w:iCs/>
                <w:color w:val="000000"/>
                <w:spacing w:val="-6"/>
                <w:sz w:val="16"/>
                <w:szCs w:val="16"/>
              </w:rPr>
              <w:t xml:space="preserve"> Nil.</w:t>
            </w:r>
          </w:p>
        </w:tc>
      </w:tr>
    </w:tbl>
    <w:p w14:paraId="22B7689B" w14:textId="77777777" w:rsidR="00F7100A" w:rsidRPr="00BA1388" w:rsidRDefault="00F7100A" w:rsidP="00F7100A">
      <w:pPr>
        <w:pStyle w:val="TableHeading"/>
        <w:spacing w:before="0" w:after="0"/>
        <w:rPr>
          <w:sz w:val="16"/>
          <w:szCs w:val="16"/>
          <w:highlight w:val="yellow"/>
        </w:rPr>
      </w:pPr>
    </w:p>
    <w:p w14:paraId="7134D5A0" w14:textId="77777777" w:rsidR="00F7100A" w:rsidRPr="00F043DE" w:rsidRDefault="00F7100A" w:rsidP="00F7100A">
      <w:pPr>
        <w:pStyle w:val="TableHeading"/>
        <w:spacing w:before="0" w:after="0"/>
        <w:rPr>
          <w:sz w:val="14"/>
          <w:szCs w:val="14"/>
        </w:rPr>
      </w:pPr>
      <w:r w:rsidRPr="00F043DE">
        <w:rPr>
          <w:sz w:val="14"/>
          <w:szCs w:val="14"/>
        </w:rPr>
        <w:t>Note</w:t>
      </w:r>
      <w:r w:rsidR="00AF08A6" w:rsidRPr="00F043DE">
        <w:rPr>
          <w:sz w:val="14"/>
          <w:szCs w:val="14"/>
        </w:rPr>
        <w:t>s</w:t>
      </w:r>
    </w:p>
    <w:p w14:paraId="12F45ABB" w14:textId="77777777" w:rsidR="00F043DE" w:rsidRPr="0058446B" w:rsidRDefault="00F043DE" w:rsidP="00444A89">
      <w:pPr>
        <w:pStyle w:val="ListParagraph"/>
        <w:numPr>
          <w:ilvl w:val="0"/>
          <w:numId w:val="39"/>
        </w:numPr>
        <w:tabs>
          <w:tab w:val="left" w:pos="284"/>
        </w:tabs>
        <w:spacing w:before="0" w:after="0"/>
        <w:ind w:left="284" w:hanging="284"/>
        <w:rPr>
          <w:rFonts w:ascii="Arial" w:hAnsi="Arial"/>
          <w:sz w:val="14"/>
          <w:szCs w:val="14"/>
        </w:rPr>
      </w:pPr>
      <w:r w:rsidRPr="0058446B">
        <w:rPr>
          <w:rFonts w:ascii="Arial" w:hAnsi="Arial"/>
          <w:sz w:val="14"/>
          <w:szCs w:val="14"/>
        </w:rPr>
        <w:t xml:space="preserve">Performance Measures 4.1 and 4.2 have been amended, and Performance Measures 4.3 and 4.4 are new for 2024-25, as published in the </w:t>
      </w:r>
      <w:r w:rsidRPr="00082BC7">
        <w:rPr>
          <w:rFonts w:ascii="Arial" w:hAnsi="Arial"/>
          <w:sz w:val="14"/>
          <w:szCs w:val="14"/>
        </w:rPr>
        <w:t>updated 2024-28 Defence Corporate Plan in March</w:t>
      </w:r>
      <w:r w:rsidRPr="0058446B">
        <w:rPr>
          <w:rFonts w:ascii="Arial" w:hAnsi="Arial"/>
          <w:sz w:val="14"/>
          <w:szCs w:val="14"/>
        </w:rPr>
        <w:t xml:space="preserve"> 2025.</w:t>
      </w:r>
    </w:p>
    <w:p w14:paraId="086BDCE2" w14:textId="651DB862" w:rsidR="009737EB" w:rsidRPr="00D44592" w:rsidRDefault="00D44592" w:rsidP="00444A89">
      <w:pPr>
        <w:pStyle w:val="TableHeading"/>
        <w:numPr>
          <w:ilvl w:val="0"/>
          <w:numId w:val="39"/>
        </w:numPr>
        <w:tabs>
          <w:tab w:val="left" w:pos="284"/>
        </w:tabs>
        <w:spacing w:before="0" w:after="0"/>
        <w:ind w:left="284" w:hanging="284"/>
        <w:rPr>
          <w:b w:val="0"/>
          <w:sz w:val="14"/>
          <w:szCs w:val="14"/>
        </w:rPr>
      </w:pPr>
      <w:r w:rsidRPr="00D44592">
        <w:rPr>
          <w:b w:val="0"/>
          <w:sz w:val="14"/>
          <w:szCs w:val="14"/>
          <w:lang w:val="en-AU"/>
        </w:rPr>
        <w:t>In accordance with Defence’s Enterprise Performance Framework, Defence is undertaking materiality assessments that may result in updates to the 2025-26 performance information in the 2025-29 Defence Corporate Plan, if required</w:t>
      </w:r>
      <w:r w:rsidR="009737EB" w:rsidRPr="00D44592">
        <w:rPr>
          <w:b w:val="0"/>
          <w:sz w:val="14"/>
          <w:szCs w:val="14"/>
          <w:lang w:val="en-AU"/>
        </w:rPr>
        <w:t xml:space="preserve">. </w:t>
      </w:r>
    </w:p>
    <w:p w14:paraId="4349784C" w14:textId="236110AF" w:rsidR="008A23D4" w:rsidRPr="00F043DE" w:rsidRDefault="008A23D4" w:rsidP="009737EB">
      <w:pPr>
        <w:pStyle w:val="TableHeading"/>
        <w:tabs>
          <w:tab w:val="left" w:pos="284"/>
        </w:tabs>
        <w:spacing w:before="0" w:after="0"/>
        <w:rPr>
          <w:b w:val="0"/>
          <w:sz w:val="14"/>
          <w:szCs w:val="14"/>
        </w:rPr>
      </w:pPr>
    </w:p>
    <w:p w14:paraId="7498D692" w14:textId="42794329" w:rsidR="00F70553" w:rsidRPr="00A55A8F" w:rsidRDefault="00462712" w:rsidP="00462712">
      <w:pPr>
        <w:pStyle w:val="TableHeading"/>
        <w:numPr>
          <w:ilvl w:val="0"/>
          <w:numId w:val="29"/>
        </w:numPr>
        <w:spacing w:before="0" w:after="120"/>
        <w:ind w:left="0" w:firstLine="0"/>
        <w:outlineLvl w:val="6"/>
      </w:pPr>
      <w:r w:rsidRPr="00462712">
        <w:t>Cost Summary for Program 2.20 Defence Force Superannuation Benefits and Cost Summary for Administered Program 2.21 Defence Force Superannuation Nominal Interest</w:t>
      </w:r>
    </w:p>
    <w:p w14:paraId="266C8C83" w14:textId="374E036C" w:rsidR="00186BE0" w:rsidRPr="00B56FAA" w:rsidRDefault="00CB71E0" w:rsidP="00656D60">
      <w:pPr>
        <w:spacing w:before="0" w:after="0"/>
      </w:pPr>
      <w:r w:rsidRPr="00CB71E0">
        <w:rPr>
          <w:noProof/>
          <w:lang w:val="en-AU"/>
        </w:rPr>
        <w:drawing>
          <wp:inline distT="0" distB="0" distL="0" distR="0" wp14:anchorId="331A7CC7" wp14:editId="4F968423">
            <wp:extent cx="4986020" cy="2195209"/>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86020" cy="2195209"/>
                    </a:xfrm>
                    <a:prstGeom prst="rect">
                      <a:avLst/>
                    </a:prstGeom>
                    <a:noFill/>
                    <a:ln>
                      <a:noFill/>
                    </a:ln>
                  </pic:spPr>
                </pic:pic>
              </a:graphicData>
            </a:graphic>
          </wp:inline>
        </w:drawing>
      </w:r>
    </w:p>
    <w:p w14:paraId="2D573F9A" w14:textId="77777777" w:rsidR="00656D60" w:rsidRPr="00B56FAA" w:rsidRDefault="00656D60" w:rsidP="00656D60">
      <w:pPr>
        <w:spacing w:before="0" w:after="0"/>
        <w:rPr>
          <w:rFonts w:ascii="Arial" w:hAnsi="Arial"/>
          <w:b/>
          <w:sz w:val="14"/>
          <w:szCs w:val="14"/>
        </w:rPr>
      </w:pPr>
    </w:p>
    <w:p w14:paraId="072FD1C3" w14:textId="77777777" w:rsidR="00CB045C" w:rsidRPr="00AD4526" w:rsidRDefault="00AD4526" w:rsidP="007F32E1">
      <w:pPr>
        <w:tabs>
          <w:tab w:val="left" w:pos="284"/>
        </w:tabs>
        <w:spacing w:before="0" w:after="0"/>
        <w:ind w:left="284" w:hanging="284"/>
        <w:rPr>
          <w:rFonts w:ascii="Arial" w:hAnsi="Arial"/>
          <w:b/>
          <w:sz w:val="14"/>
          <w:szCs w:val="14"/>
        </w:rPr>
      </w:pPr>
      <w:r w:rsidRPr="00AD4526">
        <w:rPr>
          <w:rFonts w:ascii="Arial" w:hAnsi="Arial"/>
          <w:b/>
          <w:sz w:val="14"/>
          <w:szCs w:val="14"/>
        </w:rPr>
        <w:t>Notes</w:t>
      </w:r>
    </w:p>
    <w:p w14:paraId="388F777D" w14:textId="36141EEC" w:rsidR="00855CD3" w:rsidRPr="00855CD3" w:rsidRDefault="00AD4526" w:rsidP="00855CD3">
      <w:pPr>
        <w:tabs>
          <w:tab w:val="left" w:pos="284"/>
        </w:tabs>
        <w:spacing w:before="0" w:after="0"/>
        <w:ind w:left="284" w:hanging="284"/>
        <w:rPr>
          <w:rFonts w:ascii="Arial" w:hAnsi="Arial"/>
          <w:sz w:val="14"/>
          <w:szCs w:val="14"/>
        </w:rPr>
      </w:pPr>
      <w:r w:rsidRPr="00AD4526">
        <w:rPr>
          <w:rFonts w:ascii="Arial" w:hAnsi="Arial"/>
          <w:sz w:val="14"/>
          <w:szCs w:val="14"/>
        </w:rPr>
        <w:t xml:space="preserve">a. </w:t>
      </w:r>
      <w:r>
        <w:rPr>
          <w:rFonts w:ascii="Arial" w:hAnsi="Arial"/>
          <w:sz w:val="14"/>
          <w:szCs w:val="14"/>
        </w:rPr>
        <w:tab/>
      </w:r>
      <w:r w:rsidR="00855CD3" w:rsidRPr="00855CD3">
        <w:rPr>
          <w:rFonts w:ascii="Arial" w:hAnsi="Arial"/>
          <w:sz w:val="14"/>
          <w:szCs w:val="14"/>
        </w:rPr>
        <w:t xml:space="preserve">Figures for 2024-25 have been calculated using the applicable AASB 119 interest rate. Forward years are estimated based on the discount rate determined by the superannuation scheme actuaries in preparing the latest Long Term Cost Reports, being CPI plus 2.5 per cent. </w:t>
      </w:r>
      <w:r w:rsidR="00855CD3" w:rsidRPr="00855CD3">
        <w:rPr>
          <w:rFonts w:ascii="Arial" w:hAnsi="Arial"/>
          <w:sz w:val="14"/>
          <w:szCs w:val="14"/>
        </w:rPr>
        <w:tab/>
      </w:r>
      <w:r w:rsidR="00855CD3" w:rsidRPr="00855CD3">
        <w:rPr>
          <w:rFonts w:ascii="Arial" w:hAnsi="Arial"/>
          <w:sz w:val="14"/>
          <w:szCs w:val="14"/>
        </w:rPr>
        <w:tab/>
      </w:r>
      <w:r w:rsidR="00855CD3" w:rsidRPr="00855CD3">
        <w:rPr>
          <w:rFonts w:ascii="Arial" w:hAnsi="Arial"/>
          <w:sz w:val="14"/>
          <w:szCs w:val="14"/>
        </w:rPr>
        <w:tab/>
      </w:r>
      <w:r w:rsidR="00855CD3" w:rsidRPr="00855CD3">
        <w:rPr>
          <w:rFonts w:ascii="Arial" w:hAnsi="Arial"/>
          <w:sz w:val="14"/>
          <w:szCs w:val="14"/>
        </w:rPr>
        <w:tab/>
      </w:r>
      <w:r w:rsidR="00855CD3" w:rsidRPr="00855CD3">
        <w:rPr>
          <w:rFonts w:ascii="Arial" w:hAnsi="Arial"/>
          <w:sz w:val="14"/>
          <w:szCs w:val="14"/>
        </w:rPr>
        <w:tab/>
      </w:r>
    </w:p>
    <w:p w14:paraId="508EDF02" w14:textId="7B35F487" w:rsidR="00BA1388" w:rsidRPr="00026BF6" w:rsidRDefault="00855CD3" w:rsidP="00855CD3">
      <w:pPr>
        <w:tabs>
          <w:tab w:val="left" w:pos="284"/>
        </w:tabs>
        <w:spacing w:before="0" w:after="0"/>
        <w:ind w:left="284" w:hanging="284"/>
        <w:rPr>
          <w:rFonts w:ascii="Arial" w:hAnsi="Arial"/>
          <w:sz w:val="14"/>
          <w:szCs w:val="14"/>
        </w:rPr>
      </w:pPr>
      <w:r w:rsidRPr="00855CD3">
        <w:rPr>
          <w:rFonts w:ascii="Arial" w:hAnsi="Arial"/>
          <w:sz w:val="14"/>
          <w:szCs w:val="14"/>
        </w:rPr>
        <w:t xml:space="preserve">b. </w:t>
      </w:r>
      <w:r>
        <w:rPr>
          <w:rFonts w:ascii="Arial" w:hAnsi="Arial"/>
          <w:sz w:val="14"/>
          <w:szCs w:val="14"/>
        </w:rPr>
        <w:tab/>
      </w:r>
      <w:r w:rsidRPr="00855CD3">
        <w:rPr>
          <w:rFonts w:ascii="Arial" w:hAnsi="Arial"/>
          <w:sz w:val="14"/>
          <w:szCs w:val="14"/>
        </w:rPr>
        <w:t xml:space="preserve">Negative amounts denote revenue. </w:t>
      </w:r>
      <w:r w:rsidRPr="00855CD3">
        <w:rPr>
          <w:rFonts w:ascii="Arial" w:hAnsi="Arial"/>
          <w:sz w:val="14"/>
          <w:szCs w:val="14"/>
        </w:rPr>
        <w:tab/>
      </w:r>
      <w:r w:rsidRPr="00855CD3">
        <w:rPr>
          <w:rFonts w:ascii="Arial" w:hAnsi="Arial"/>
          <w:sz w:val="14"/>
          <w:szCs w:val="14"/>
        </w:rPr>
        <w:tab/>
      </w:r>
      <w:r w:rsidRPr="00855CD3">
        <w:rPr>
          <w:rFonts w:ascii="Arial" w:hAnsi="Arial"/>
          <w:sz w:val="14"/>
          <w:szCs w:val="14"/>
        </w:rPr>
        <w:tab/>
      </w:r>
      <w:r w:rsidRPr="00855CD3">
        <w:rPr>
          <w:rFonts w:ascii="Arial" w:hAnsi="Arial"/>
          <w:sz w:val="14"/>
          <w:szCs w:val="14"/>
        </w:rPr>
        <w:tab/>
      </w:r>
      <w:r w:rsidRPr="00855CD3">
        <w:rPr>
          <w:rFonts w:ascii="Arial" w:hAnsi="Arial"/>
          <w:sz w:val="14"/>
          <w:szCs w:val="14"/>
        </w:rPr>
        <w:tab/>
      </w:r>
    </w:p>
    <w:p w14:paraId="140E4046" w14:textId="6E258B94" w:rsidR="00AD4526" w:rsidRPr="00B56FAA" w:rsidRDefault="00530761" w:rsidP="00026BF6">
      <w:pPr>
        <w:tabs>
          <w:tab w:val="left" w:pos="284"/>
        </w:tabs>
        <w:spacing w:before="0" w:after="0"/>
        <w:ind w:left="284" w:hanging="284"/>
        <w:rPr>
          <w:rFonts w:ascii="Arial" w:hAnsi="Arial"/>
          <w:sz w:val="14"/>
          <w:szCs w:val="14"/>
        </w:rPr>
      </w:pPr>
      <w:r>
        <w:rPr>
          <w:rFonts w:ascii="Arial" w:hAnsi="Arial"/>
          <w:sz w:val="14"/>
          <w:szCs w:val="14"/>
        </w:rPr>
        <w:t>c.</w:t>
      </w:r>
      <w:r w:rsidR="00026BF6" w:rsidRPr="00026BF6">
        <w:rPr>
          <w:rFonts w:ascii="Arial" w:hAnsi="Arial"/>
          <w:sz w:val="14"/>
          <w:szCs w:val="14"/>
        </w:rPr>
        <w:tab/>
      </w:r>
      <w:r>
        <w:rPr>
          <w:rFonts w:ascii="Arial" w:hAnsi="Arial"/>
          <w:sz w:val="14"/>
          <w:szCs w:val="14"/>
        </w:rPr>
        <w:t>The decrease in Military superannuation contributions from 2024-25 is attributable to the closure of Military Superannuation and Benefits Scheme (MSBS) to new ADF personnel, resulting in a gradual decline in the number of contributing members in MSBS.</w:t>
      </w:r>
    </w:p>
    <w:p w14:paraId="01C46A2A" w14:textId="77777777" w:rsidR="004A57C6" w:rsidRPr="00B56FAA" w:rsidRDefault="00FA1512" w:rsidP="00777CE3">
      <w:pPr>
        <w:spacing w:before="0" w:after="0"/>
        <w:outlineLvl w:val="5"/>
        <w:rPr>
          <w:color w:val="FFFFFF"/>
          <w:sz w:val="2"/>
          <w:szCs w:val="2"/>
        </w:rPr>
      </w:pPr>
      <w:r w:rsidRPr="00B56FAA">
        <w:rPr>
          <w:lang w:val="en-AU"/>
        </w:rPr>
        <w:br w:type="page"/>
      </w:r>
      <w:r w:rsidR="00777CE3" w:rsidRPr="00B56FAA">
        <w:rPr>
          <w:color w:val="FFFFFF"/>
          <w:sz w:val="2"/>
          <w:szCs w:val="2"/>
        </w:rPr>
        <w:lastRenderedPageBreak/>
        <w:t>Administered Program 2.22</w:t>
      </w:r>
      <w:r w:rsidR="004A57C6" w:rsidRPr="00B56FAA">
        <w:rPr>
          <w:color w:val="FFFFFF"/>
          <w:sz w:val="2"/>
          <w:szCs w:val="2"/>
        </w:rPr>
        <w:t>: Housing Assistance</w:t>
      </w:r>
    </w:p>
    <w:tbl>
      <w:tblPr>
        <w:tblW w:w="4852"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1661"/>
        <w:gridCol w:w="2865"/>
        <w:gridCol w:w="3084"/>
      </w:tblGrid>
      <w:tr w:rsidR="00F7100A" w:rsidRPr="00B56FAA" w14:paraId="40C340DF" w14:textId="77777777" w:rsidTr="006440D6">
        <w:tc>
          <w:tcPr>
            <w:tcW w:w="7610" w:type="dxa"/>
            <w:gridSpan w:val="3"/>
            <w:tcBorders>
              <w:bottom w:val="single" w:sz="4" w:space="0" w:color="auto"/>
            </w:tcBorders>
            <w:shd w:val="clear" w:color="auto" w:fill="CCCCCC"/>
          </w:tcPr>
          <w:p w14:paraId="67299197" w14:textId="77777777" w:rsidR="00F7100A" w:rsidRPr="00B56FAA" w:rsidRDefault="00F7100A" w:rsidP="00072EF9">
            <w:pPr>
              <w:pStyle w:val="Heading5"/>
              <w:spacing w:before="60" w:after="60"/>
            </w:pPr>
            <w:r w:rsidRPr="00B56FAA">
              <w:t>Administered Program 2.22: Housing Assistance</w:t>
            </w:r>
          </w:p>
        </w:tc>
      </w:tr>
      <w:tr w:rsidR="00F7100A" w:rsidRPr="00B56FAA" w14:paraId="1B089532" w14:textId="77777777" w:rsidTr="006440D6">
        <w:trPr>
          <w:trHeight w:val="170"/>
        </w:trPr>
        <w:tc>
          <w:tcPr>
            <w:tcW w:w="7610" w:type="dxa"/>
            <w:gridSpan w:val="3"/>
            <w:tcBorders>
              <w:left w:val="single" w:sz="4" w:space="0" w:color="auto"/>
              <w:bottom w:val="single" w:sz="4" w:space="0" w:color="auto"/>
              <w:right w:val="single" w:sz="4" w:space="0" w:color="auto"/>
            </w:tcBorders>
            <w:shd w:val="clear" w:color="auto" w:fill="auto"/>
          </w:tcPr>
          <w:p w14:paraId="1D9C94E3" w14:textId="77777777" w:rsidR="00F7100A" w:rsidRPr="00B56FAA" w:rsidRDefault="00F7100A" w:rsidP="00072EF9">
            <w:pPr>
              <w:pStyle w:val="Heading5"/>
              <w:spacing w:before="0" w:after="0"/>
              <w:rPr>
                <w:sz w:val="16"/>
                <w:szCs w:val="16"/>
              </w:rPr>
            </w:pPr>
          </w:p>
        </w:tc>
      </w:tr>
      <w:tr w:rsidR="00F7100A" w:rsidRPr="00F043DE" w14:paraId="494483A4" w14:textId="77777777" w:rsidTr="006440D6">
        <w:tblPrEx>
          <w:shd w:val="clear" w:color="auto" w:fill="auto"/>
          <w:tblLook w:val="04A0" w:firstRow="1" w:lastRow="0" w:firstColumn="1" w:lastColumn="0" w:noHBand="0" w:noVBand="1"/>
        </w:tblPrEx>
        <w:trPr>
          <w:tblHeader/>
        </w:trPr>
        <w:tc>
          <w:tcPr>
            <w:tcW w:w="7610" w:type="dxa"/>
            <w:gridSpan w:val="3"/>
            <w:shd w:val="clear" w:color="auto" w:fill="E6E6E6"/>
          </w:tcPr>
          <w:p w14:paraId="335052A4" w14:textId="77777777" w:rsidR="00F7100A" w:rsidRPr="00F043DE" w:rsidRDefault="00F7100A" w:rsidP="00072EF9">
            <w:pPr>
              <w:tabs>
                <w:tab w:val="left" w:pos="709"/>
              </w:tabs>
              <w:spacing w:before="60" w:after="60"/>
              <w:rPr>
                <w:rFonts w:ascii="Arial" w:hAnsi="Arial"/>
                <w:sz w:val="16"/>
                <w:szCs w:val="16"/>
                <w:lang w:val="en-AU"/>
              </w:rPr>
            </w:pPr>
            <w:r w:rsidRPr="00F043DE">
              <w:rPr>
                <w:rFonts w:ascii="Arial" w:hAnsi="Arial"/>
                <w:b/>
                <w:sz w:val="16"/>
                <w:szCs w:val="16"/>
                <w:lang w:val="en-AU"/>
              </w:rPr>
              <w:t>Administered Program 2.22</w:t>
            </w:r>
            <w:r w:rsidRPr="00F043DE">
              <w:rPr>
                <w:rFonts w:ascii="Arial" w:hAnsi="Arial"/>
                <w:sz w:val="16"/>
                <w:szCs w:val="16"/>
                <w:lang w:val="en-AU"/>
              </w:rPr>
              <w:t xml:space="preserve"> </w:t>
            </w:r>
            <w:r w:rsidRPr="00F043DE">
              <w:rPr>
                <w:rFonts w:ascii="Arial" w:hAnsi="Arial"/>
                <w:b/>
                <w:sz w:val="16"/>
                <w:szCs w:val="16"/>
                <w:lang w:val="en-AU"/>
              </w:rPr>
              <w:t>Objective</w:t>
            </w:r>
          </w:p>
          <w:p w14:paraId="2B7F2F40" w14:textId="77777777" w:rsidR="00F7100A" w:rsidRPr="00F043DE" w:rsidRDefault="00F7100A" w:rsidP="00072EF9">
            <w:pPr>
              <w:tabs>
                <w:tab w:val="left" w:pos="709"/>
              </w:tabs>
              <w:spacing w:before="60" w:after="60"/>
              <w:jc w:val="both"/>
              <w:rPr>
                <w:rFonts w:ascii="Arial" w:hAnsi="Arial"/>
                <w:sz w:val="16"/>
                <w:szCs w:val="16"/>
              </w:rPr>
            </w:pPr>
            <w:r w:rsidRPr="00F043DE">
              <w:rPr>
                <w:rFonts w:ascii="Arial" w:hAnsi="Arial"/>
                <w:sz w:val="16"/>
                <w:szCs w:val="16"/>
                <w:lang w:val="en-AU"/>
              </w:rPr>
              <w:t>The Defence Home Ownership Assistance Scheme (DHOAS) was established in order to support the Government’s retention and recruitment initiatives and influence ADF members’ decision to stay beyond critical career points. The scheme came into effect on 1 July 2008.</w:t>
            </w:r>
          </w:p>
        </w:tc>
      </w:tr>
      <w:tr w:rsidR="00F7100A" w:rsidRPr="00F043DE" w14:paraId="11045A44" w14:textId="77777777" w:rsidTr="00514075">
        <w:tblPrEx>
          <w:shd w:val="clear" w:color="auto" w:fill="auto"/>
          <w:tblLook w:val="04A0" w:firstRow="1" w:lastRow="0" w:firstColumn="1" w:lastColumn="0" w:noHBand="0" w:noVBand="1"/>
        </w:tblPrEx>
        <w:trPr>
          <w:trHeight w:val="312"/>
        </w:trPr>
        <w:tc>
          <w:tcPr>
            <w:tcW w:w="1661" w:type="dxa"/>
            <w:tcBorders>
              <w:bottom w:val="single" w:sz="4" w:space="0" w:color="auto"/>
            </w:tcBorders>
          </w:tcPr>
          <w:p w14:paraId="647AF8CD" w14:textId="77777777" w:rsidR="00F7100A" w:rsidRPr="00F043DE" w:rsidRDefault="00FF6EA0" w:rsidP="00FF6EA0">
            <w:pPr>
              <w:tabs>
                <w:tab w:val="left" w:pos="709"/>
              </w:tabs>
              <w:spacing w:before="60" w:after="60"/>
              <w:rPr>
                <w:rFonts w:ascii="Arial" w:hAnsi="Arial"/>
                <w:b/>
                <w:color w:val="000000"/>
                <w:sz w:val="16"/>
                <w:szCs w:val="16"/>
              </w:rPr>
            </w:pPr>
            <w:r>
              <w:rPr>
                <w:rFonts w:ascii="Arial" w:hAnsi="Arial"/>
                <w:b/>
                <w:color w:val="000000"/>
                <w:sz w:val="16"/>
                <w:szCs w:val="16"/>
              </w:rPr>
              <w:t>Key Activity</w:t>
            </w:r>
          </w:p>
        </w:tc>
        <w:tc>
          <w:tcPr>
            <w:tcW w:w="5949" w:type="dxa"/>
            <w:gridSpan w:val="2"/>
            <w:tcBorders>
              <w:bottom w:val="single" w:sz="4" w:space="0" w:color="auto"/>
            </w:tcBorders>
          </w:tcPr>
          <w:p w14:paraId="5CA7C296" w14:textId="77777777" w:rsidR="00F7100A" w:rsidRPr="00F043DE" w:rsidRDefault="00F7100A" w:rsidP="00072EF9">
            <w:pPr>
              <w:tabs>
                <w:tab w:val="left" w:pos="343"/>
              </w:tabs>
              <w:spacing w:before="60" w:after="60"/>
              <w:rPr>
                <w:rFonts w:ascii="Arial" w:hAnsi="Arial"/>
                <w:bCs/>
                <w:color w:val="000000"/>
                <w:sz w:val="16"/>
                <w:szCs w:val="16"/>
                <w:lang w:val="en-AU"/>
              </w:rPr>
            </w:pPr>
            <w:r w:rsidRPr="00F043DE">
              <w:rPr>
                <w:rFonts w:ascii="Arial" w:hAnsi="Arial"/>
                <w:bCs/>
                <w:color w:val="000000"/>
                <w:sz w:val="16"/>
                <w:szCs w:val="16"/>
                <w:lang w:val="en-AU"/>
              </w:rPr>
              <w:t>This program will be achieved through the following activity:</w:t>
            </w:r>
          </w:p>
          <w:p w14:paraId="2AE0E6D6" w14:textId="77777777" w:rsidR="00F7100A" w:rsidRPr="00F043DE" w:rsidRDefault="00F7100A" w:rsidP="00072EF9">
            <w:pPr>
              <w:tabs>
                <w:tab w:val="left" w:pos="343"/>
              </w:tabs>
              <w:spacing w:before="60" w:after="60"/>
              <w:rPr>
                <w:rFonts w:ascii="Arial" w:hAnsi="Arial"/>
                <w:bCs/>
                <w:color w:val="000000"/>
                <w:sz w:val="16"/>
                <w:szCs w:val="16"/>
              </w:rPr>
            </w:pPr>
            <w:r w:rsidRPr="00F043DE">
              <w:rPr>
                <w:rFonts w:ascii="Arial" w:hAnsi="Arial"/>
                <w:b/>
                <w:sz w:val="16"/>
                <w:szCs w:val="16"/>
                <w:lang w:val="en-AU"/>
              </w:rPr>
              <w:t>4. Invest in Defence People</w:t>
            </w:r>
            <w:r w:rsidRPr="00F043DE">
              <w:rPr>
                <w:rFonts w:ascii="Arial" w:hAnsi="Arial"/>
                <w:sz w:val="16"/>
                <w:szCs w:val="16"/>
                <w:lang w:val="en-AU"/>
              </w:rPr>
              <w:t>. Defence has an integrated workforce comprised of Australian Defence Force members, Australian Public Service employees and contractors. We are committed to investing in the growth and retention of a highly skilled workforce to meet Australia’s defence and national security requirements.</w:t>
            </w:r>
          </w:p>
        </w:tc>
      </w:tr>
      <w:tr w:rsidR="00F7100A" w:rsidRPr="00F043DE" w14:paraId="7469BBF8" w14:textId="77777777" w:rsidTr="00514075">
        <w:tblPrEx>
          <w:shd w:val="clear" w:color="auto" w:fill="auto"/>
          <w:tblLook w:val="04A0" w:firstRow="1" w:lastRow="0" w:firstColumn="1" w:lastColumn="0" w:noHBand="0" w:noVBand="1"/>
        </w:tblPrEx>
        <w:trPr>
          <w:trHeight w:val="100"/>
        </w:trPr>
        <w:tc>
          <w:tcPr>
            <w:tcW w:w="1661" w:type="dxa"/>
            <w:tcBorders>
              <w:top w:val="single" w:sz="4" w:space="0" w:color="auto"/>
              <w:bottom w:val="single" w:sz="4" w:space="0" w:color="auto"/>
              <w:right w:val="single" w:sz="4" w:space="0" w:color="auto"/>
            </w:tcBorders>
          </w:tcPr>
          <w:p w14:paraId="6F0790DB" w14:textId="77777777" w:rsidR="00F7100A" w:rsidRPr="00F043DE" w:rsidRDefault="00F7100A" w:rsidP="00072EF9">
            <w:pPr>
              <w:tabs>
                <w:tab w:val="left" w:pos="709"/>
              </w:tabs>
              <w:spacing w:before="60" w:after="60"/>
              <w:rPr>
                <w:rFonts w:ascii="Arial" w:hAnsi="Arial"/>
                <w:color w:val="000000"/>
                <w:sz w:val="16"/>
                <w:szCs w:val="16"/>
              </w:rPr>
            </w:pPr>
            <w:r w:rsidRPr="00F043DE">
              <w:rPr>
                <w:rFonts w:ascii="Arial" w:hAnsi="Arial"/>
                <w:b/>
                <w:color w:val="000000"/>
                <w:sz w:val="16"/>
                <w:szCs w:val="16"/>
              </w:rPr>
              <w:t>Year</w:t>
            </w:r>
          </w:p>
        </w:tc>
        <w:tc>
          <w:tcPr>
            <w:tcW w:w="2865" w:type="dxa"/>
            <w:tcBorders>
              <w:top w:val="single" w:sz="4" w:space="0" w:color="auto"/>
              <w:left w:val="single" w:sz="4" w:space="0" w:color="auto"/>
              <w:bottom w:val="single" w:sz="4" w:space="0" w:color="auto"/>
              <w:right w:val="single" w:sz="4" w:space="0" w:color="auto"/>
            </w:tcBorders>
          </w:tcPr>
          <w:p w14:paraId="104D1D91" w14:textId="77777777" w:rsidR="00F7100A" w:rsidRPr="00F043DE" w:rsidRDefault="00F7100A" w:rsidP="00072EF9">
            <w:pPr>
              <w:tabs>
                <w:tab w:val="left" w:pos="709"/>
              </w:tabs>
              <w:spacing w:before="60" w:after="60"/>
              <w:rPr>
                <w:rFonts w:ascii="Arial" w:hAnsi="Arial"/>
                <w:color w:val="000000"/>
              </w:rPr>
            </w:pPr>
            <w:r w:rsidRPr="00F043DE">
              <w:rPr>
                <w:rFonts w:ascii="Arial" w:hAnsi="Arial"/>
                <w:b/>
                <w:color w:val="000000"/>
                <w:sz w:val="16"/>
                <w:szCs w:val="16"/>
              </w:rPr>
              <w:t>Performance measures</w:t>
            </w:r>
          </w:p>
        </w:tc>
        <w:tc>
          <w:tcPr>
            <w:tcW w:w="3084" w:type="dxa"/>
            <w:tcBorders>
              <w:top w:val="single" w:sz="4" w:space="0" w:color="auto"/>
              <w:left w:val="single" w:sz="4" w:space="0" w:color="auto"/>
              <w:bottom w:val="single" w:sz="4" w:space="0" w:color="auto"/>
            </w:tcBorders>
          </w:tcPr>
          <w:p w14:paraId="79740ED3" w14:textId="77777777" w:rsidR="00F7100A" w:rsidRPr="00F043DE" w:rsidRDefault="00F7100A" w:rsidP="00072EF9">
            <w:pPr>
              <w:tabs>
                <w:tab w:val="left" w:pos="709"/>
              </w:tabs>
              <w:spacing w:before="60" w:after="60"/>
              <w:rPr>
                <w:rFonts w:ascii="Arial" w:hAnsi="Arial"/>
                <w:i/>
                <w:color w:val="000000"/>
                <w:sz w:val="16"/>
                <w:szCs w:val="16"/>
              </w:rPr>
            </w:pPr>
            <w:r w:rsidRPr="00F043DE">
              <w:rPr>
                <w:rFonts w:ascii="Arial" w:hAnsi="Arial"/>
                <w:b/>
                <w:color w:val="000000"/>
                <w:sz w:val="16"/>
                <w:szCs w:val="16"/>
              </w:rPr>
              <w:t>Expected Performance Results</w:t>
            </w:r>
          </w:p>
        </w:tc>
      </w:tr>
      <w:tr w:rsidR="006440D6" w:rsidRPr="00F043DE" w14:paraId="2AFF4D7D" w14:textId="77777777" w:rsidTr="00C5782C">
        <w:tblPrEx>
          <w:shd w:val="clear" w:color="auto" w:fill="auto"/>
          <w:tblLook w:val="04A0" w:firstRow="1" w:lastRow="0" w:firstColumn="1" w:lastColumn="0" w:noHBand="0" w:noVBand="1"/>
        </w:tblPrEx>
        <w:trPr>
          <w:trHeight w:val="305"/>
        </w:trPr>
        <w:tc>
          <w:tcPr>
            <w:tcW w:w="1661" w:type="dxa"/>
            <w:vMerge w:val="restart"/>
            <w:tcBorders>
              <w:top w:val="single" w:sz="4" w:space="0" w:color="auto"/>
              <w:left w:val="single" w:sz="4" w:space="0" w:color="auto"/>
              <w:right w:val="single" w:sz="4" w:space="0" w:color="auto"/>
            </w:tcBorders>
          </w:tcPr>
          <w:p w14:paraId="175D1B19" w14:textId="77777777" w:rsidR="006440D6" w:rsidRPr="00F043DE" w:rsidRDefault="006440D6" w:rsidP="00FF6EA0">
            <w:pPr>
              <w:tabs>
                <w:tab w:val="left" w:pos="709"/>
              </w:tabs>
              <w:spacing w:before="0" w:after="0"/>
              <w:rPr>
                <w:rFonts w:ascii="Arial" w:hAnsi="Arial"/>
                <w:color w:val="000000"/>
                <w:sz w:val="16"/>
                <w:szCs w:val="16"/>
              </w:rPr>
            </w:pPr>
            <w:r w:rsidRPr="00F043DE">
              <w:rPr>
                <w:rFonts w:ascii="Arial" w:hAnsi="Arial"/>
                <w:color w:val="000000"/>
                <w:sz w:val="16"/>
                <w:szCs w:val="16"/>
              </w:rPr>
              <w:t>Current Year</w:t>
            </w:r>
          </w:p>
          <w:p w14:paraId="69E54740" w14:textId="77777777" w:rsidR="006440D6" w:rsidRPr="00F043DE" w:rsidRDefault="006440D6" w:rsidP="00FF6EA0">
            <w:pPr>
              <w:tabs>
                <w:tab w:val="left" w:pos="709"/>
              </w:tabs>
              <w:spacing w:before="0" w:after="0"/>
              <w:rPr>
                <w:rFonts w:ascii="Arial" w:hAnsi="Arial"/>
                <w:color w:val="000000"/>
                <w:sz w:val="16"/>
                <w:szCs w:val="16"/>
              </w:rPr>
            </w:pPr>
            <w:r w:rsidRPr="00F043DE">
              <w:rPr>
                <w:rFonts w:ascii="Arial" w:hAnsi="Arial"/>
                <w:color w:val="000000"/>
                <w:sz w:val="16"/>
                <w:szCs w:val="16"/>
              </w:rPr>
              <w:t>2024-25</w:t>
            </w:r>
            <w:r>
              <w:rPr>
                <w:rFonts w:ascii="Arial" w:hAnsi="Arial"/>
                <w:color w:val="000000"/>
                <w:sz w:val="16"/>
                <w:szCs w:val="16"/>
              </w:rPr>
              <w:t xml:space="preserve"> </w:t>
            </w:r>
            <w:r w:rsidRPr="00F043DE">
              <w:rPr>
                <w:rFonts w:ascii="Arial" w:hAnsi="Arial"/>
                <w:color w:val="000000"/>
                <w:sz w:val="16"/>
                <w:szCs w:val="16"/>
                <w:vertAlign w:val="superscript"/>
              </w:rPr>
              <w:t>[a]</w:t>
            </w:r>
          </w:p>
        </w:tc>
        <w:tc>
          <w:tcPr>
            <w:tcW w:w="2865" w:type="dxa"/>
            <w:tcBorders>
              <w:top w:val="single" w:sz="4" w:space="0" w:color="auto"/>
              <w:left w:val="single" w:sz="4" w:space="0" w:color="auto"/>
              <w:bottom w:val="dotted" w:sz="4" w:space="0" w:color="auto"/>
              <w:right w:val="single" w:sz="4" w:space="0" w:color="auto"/>
            </w:tcBorders>
          </w:tcPr>
          <w:p w14:paraId="1BEB52CB" w14:textId="77777777" w:rsidR="006440D6" w:rsidRPr="00FF6EA0" w:rsidRDefault="006440D6" w:rsidP="00FF6EA0">
            <w:pPr>
              <w:tabs>
                <w:tab w:val="left" w:pos="709"/>
              </w:tabs>
              <w:spacing w:before="60" w:after="60"/>
              <w:rPr>
                <w:rFonts w:ascii="Arial" w:hAnsi="Arial"/>
                <w:sz w:val="16"/>
                <w:szCs w:val="16"/>
                <w:lang w:val="en-AU"/>
              </w:rPr>
            </w:pPr>
            <w:r w:rsidRPr="00FF6EA0">
              <w:rPr>
                <w:rFonts w:ascii="Arial" w:hAnsi="Arial"/>
                <w:sz w:val="16"/>
                <w:szCs w:val="16"/>
                <w:lang w:val="en-AU"/>
              </w:rPr>
              <w:t>4.1: Defence recruits and retains an ADF and APS workforce to support the Defence mission.</w:t>
            </w:r>
          </w:p>
        </w:tc>
        <w:tc>
          <w:tcPr>
            <w:tcW w:w="3084" w:type="dxa"/>
            <w:tcBorders>
              <w:top w:val="single" w:sz="4" w:space="0" w:color="auto"/>
              <w:left w:val="single" w:sz="4" w:space="0" w:color="auto"/>
              <w:bottom w:val="dotted" w:sz="4" w:space="0" w:color="auto"/>
              <w:right w:val="single" w:sz="4" w:space="0" w:color="auto"/>
            </w:tcBorders>
          </w:tcPr>
          <w:p w14:paraId="2DD408D8" w14:textId="22EF3152" w:rsidR="006440D6" w:rsidRPr="006440D6" w:rsidRDefault="006440D6" w:rsidP="00FF6EA0">
            <w:pPr>
              <w:tabs>
                <w:tab w:val="left" w:pos="709"/>
              </w:tabs>
              <w:spacing w:before="60" w:after="60"/>
              <w:rPr>
                <w:rFonts w:ascii="Arial" w:hAnsi="Arial"/>
                <w:sz w:val="16"/>
                <w:szCs w:val="16"/>
                <w:lang w:val="en-AU"/>
              </w:rPr>
            </w:pPr>
            <w:r w:rsidRPr="006440D6">
              <w:rPr>
                <w:rFonts w:ascii="Arial" w:hAnsi="Arial"/>
                <w:sz w:val="16"/>
                <w:szCs w:val="16"/>
                <w:lang w:val="en-AU"/>
              </w:rPr>
              <w:t>Defence achieves the ADF and APS Budgeted Workforce Requirement as set out in the 2024 Defence Workforce Plan, and the net flow of the ADF and APS workforce over a 12 month period is trending positive and is positioning Defence to achieve the Budgeted Workforce Requirement over the forward estimates.</w:t>
            </w:r>
          </w:p>
          <w:p w14:paraId="3A640ACE" w14:textId="2F735C69" w:rsidR="006440D6" w:rsidRPr="006440D6" w:rsidRDefault="006440D6" w:rsidP="00FF6EA0">
            <w:pPr>
              <w:jc w:val="right"/>
            </w:pPr>
            <w:r w:rsidRPr="006440D6">
              <w:rPr>
                <w:rFonts w:ascii="Arial" w:hAnsi="Arial"/>
                <w:i/>
                <w:sz w:val="16"/>
                <w:szCs w:val="16"/>
                <w:lang w:val="en-AU"/>
              </w:rPr>
              <w:t>Expected to be partially achieved.</w:t>
            </w:r>
          </w:p>
        </w:tc>
      </w:tr>
      <w:tr w:rsidR="006440D6" w:rsidRPr="00F043DE" w14:paraId="7AA1F3A1" w14:textId="77777777" w:rsidTr="00514075">
        <w:tblPrEx>
          <w:shd w:val="clear" w:color="auto" w:fill="auto"/>
          <w:tblLook w:val="04A0" w:firstRow="1" w:lastRow="0" w:firstColumn="1" w:lastColumn="0" w:noHBand="0" w:noVBand="1"/>
        </w:tblPrEx>
        <w:trPr>
          <w:trHeight w:val="305"/>
        </w:trPr>
        <w:tc>
          <w:tcPr>
            <w:tcW w:w="1661" w:type="dxa"/>
            <w:vMerge/>
            <w:tcBorders>
              <w:left w:val="single" w:sz="4" w:space="0" w:color="auto"/>
              <w:right w:val="single" w:sz="4" w:space="0" w:color="auto"/>
            </w:tcBorders>
          </w:tcPr>
          <w:p w14:paraId="1F4C8748" w14:textId="77777777" w:rsidR="006440D6" w:rsidRPr="00F043DE" w:rsidRDefault="006440D6" w:rsidP="00204309">
            <w:pPr>
              <w:tabs>
                <w:tab w:val="left" w:pos="709"/>
              </w:tabs>
              <w:spacing w:before="0" w:after="0"/>
              <w:rPr>
                <w:rFonts w:ascii="Arial" w:hAnsi="Arial"/>
                <w:color w:val="000000"/>
                <w:sz w:val="16"/>
                <w:szCs w:val="16"/>
              </w:rPr>
            </w:pPr>
          </w:p>
        </w:tc>
        <w:tc>
          <w:tcPr>
            <w:tcW w:w="2865" w:type="dxa"/>
            <w:tcBorders>
              <w:top w:val="dotted" w:sz="4" w:space="0" w:color="auto"/>
              <w:left w:val="single" w:sz="4" w:space="0" w:color="auto"/>
              <w:bottom w:val="dotted" w:sz="4" w:space="0" w:color="auto"/>
              <w:right w:val="single" w:sz="4" w:space="0" w:color="auto"/>
            </w:tcBorders>
          </w:tcPr>
          <w:p w14:paraId="55EEAAF3" w14:textId="77777777" w:rsidR="006440D6" w:rsidRPr="00FF6EA0" w:rsidRDefault="006440D6" w:rsidP="00204309">
            <w:pPr>
              <w:tabs>
                <w:tab w:val="left" w:pos="709"/>
              </w:tabs>
              <w:spacing w:before="60" w:after="60"/>
              <w:rPr>
                <w:rFonts w:ascii="Arial" w:hAnsi="Arial"/>
                <w:sz w:val="16"/>
                <w:szCs w:val="16"/>
                <w:lang w:val="en-AU"/>
              </w:rPr>
            </w:pPr>
            <w:r w:rsidRPr="00FF6EA0">
              <w:rPr>
                <w:rFonts w:ascii="Arial" w:hAnsi="Arial"/>
                <w:sz w:val="16"/>
                <w:szCs w:val="16"/>
                <w:lang w:val="en-AU"/>
              </w:rPr>
              <w:t>4.2: Defence grows the necessary skills and capabilities to enable the Defence mission.</w:t>
            </w:r>
          </w:p>
        </w:tc>
        <w:tc>
          <w:tcPr>
            <w:tcW w:w="3084" w:type="dxa"/>
            <w:tcBorders>
              <w:top w:val="dotted" w:sz="4" w:space="0" w:color="auto"/>
              <w:left w:val="single" w:sz="4" w:space="0" w:color="auto"/>
              <w:bottom w:val="dotted" w:sz="4" w:space="0" w:color="auto"/>
              <w:right w:val="single" w:sz="4" w:space="0" w:color="auto"/>
            </w:tcBorders>
          </w:tcPr>
          <w:p w14:paraId="049F2D76" w14:textId="77777777" w:rsidR="006440D6" w:rsidRPr="006440D6" w:rsidRDefault="006440D6" w:rsidP="003C0905">
            <w:pPr>
              <w:tabs>
                <w:tab w:val="left" w:pos="709"/>
              </w:tabs>
              <w:spacing w:before="60" w:after="60"/>
              <w:rPr>
                <w:rFonts w:ascii="Arial" w:hAnsi="Arial"/>
                <w:sz w:val="16"/>
                <w:szCs w:val="16"/>
                <w:lang w:val="en-AU"/>
              </w:rPr>
            </w:pPr>
            <w:r w:rsidRPr="006440D6">
              <w:rPr>
                <w:rFonts w:ascii="Arial" w:hAnsi="Arial"/>
                <w:sz w:val="16"/>
                <w:szCs w:val="16"/>
                <w:lang w:val="en-AU"/>
              </w:rPr>
              <w:t>The Defence workforce has the technical skills required to deliver the National Defence Strategy as measured through the Defence Strategic Workforce Segments, and the net flow of the ADF and APS workforce over a 12 month period against the Budgeted Workforce Requirement by Strategic Workforce Segment.</w:t>
            </w:r>
          </w:p>
          <w:p w14:paraId="4DD4DFFE" w14:textId="699FAEFA" w:rsidR="006440D6" w:rsidRPr="006440D6" w:rsidRDefault="006440D6" w:rsidP="003D2400">
            <w:pPr>
              <w:spacing w:before="0" w:after="60"/>
              <w:jc w:val="right"/>
              <w:rPr>
                <w:rFonts w:ascii="Arial" w:hAnsi="Arial"/>
                <w:color w:val="000000"/>
                <w:sz w:val="16"/>
                <w:szCs w:val="16"/>
              </w:rPr>
            </w:pPr>
            <w:r w:rsidRPr="006440D6">
              <w:rPr>
                <w:rFonts w:ascii="Arial" w:hAnsi="Arial"/>
                <w:i/>
                <w:sz w:val="16"/>
                <w:szCs w:val="16"/>
                <w:lang w:val="en-AU"/>
              </w:rPr>
              <w:t>Expected to be partially achieved.</w:t>
            </w:r>
          </w:p>
        </w:tc>
      </w:tr>
      <w:tr w:rsidR="006440D6" w:rsidRPr="00F043DE" w14:paraId="7428D1EA" w14:textId="77777777" w:rsidTr="00514075">
        <w:tblPrEx>
          <w:shd w:val="clear" w:color="auto" w:fill="auto"/>
          <w:tblLook w:val="04A0" w:firstRow="1" w:lastRow="0" w:firstColumn="1" w:lastColumn="0" w:noHBand="0" w:noVBand="1"/>
        </w:tblPrEx>
        <w:trPr>
          <w:trHeight w:val="305"/>
        </w:trPr>
        <w:tc>
          <w:tcPr>
            <w:tcW w:w="1661" w:type="dxa"/>
            <w:vMerge/>
            <w:tcBorders>
              <w:left w:val="single" w:sz="4" w:space="0" w:color="auto"/>
              <w:bottom w:val="single" w:sz="4" w:space="0" w:color="auto"/>
              <w:right w:val="single" w:sz="4" w:space="0" w:color="auto"/>
            </w:tcBorders>
          </w:tcPr>
          <w:p w14:paraId="320C57F5" w14:textId="77777777" w:rsidR="006440D6" w:rsidRPr="00F043DE" w:rsidRDefault="006440D6" w:rsidP="00204309">
            <w:pPr>
              <w:tabs>
                <w:tab w:val="left" w:pos="709"/>
              </w:tabs>
              <w:spacing w:before="0" w:after="0"/>
              <w:rPr>
                <w:rFonts w:ascii="Arial" w:hAnsi="Arial"/>
                <w:color w:val="000000"/>
                <w:sz w:val="16"/>
                <w:szCs w:val="16"/>
              </w:rPr>
            </w:pPr>
          </w:p>
        </w:tc>
        <w:tc>
          <w:tcPr>
            <w:tcW w:w="2865" w:type="dxa"/>
            <w:tcBorders>
              <w:top w:val="dotted" w:sz="4" w:space="0" w:color="auto"/>
              <w:left w:val="single" w:sz="4" w:space="0" w:color="auto"/>
              <w:bottom w:val="single" w:sz="4" w:space="0" w:color="auto"/>
              <w:right w:val="single" w:sz="4" w:space="0" w:color="auto"/>
            </w:tcBorders>
          </w:tcPr>
          <w:p w14:paraId="1E971E35" w14:textId="77777777" w:rsidR="006440D6" w:rsidRPr="00FF6EA0" w:rsidRDefault="006440D6" w:rsidP="00204309">
            <w:pPr>
              <w:tabs>
                <w:tab w:val="left" w:pos="709"/>
              </w:tabs>
              <w:spacing w:before="60" w:after="60"/>
              <w:rPr>
                <w:rFonts w:ascii="Arial" w:hAnsi="Arial"/>
                <w:sz w:val="16"/>
                <w:szCs w:val="16"/>
                <w:lang w:val="en-AU"/>
              </w:rPr>
            </w:pPr>
            <w:r w:rsidRPr="00FF6EA0">
              <w:rPr>
                <w:rFonts w:ascii="Arial" w:hAnsi="Arial"/>
                <w:sz w:val="16"/>
                <w:szCs w:val="16"/>
                <w:lang w:val="en-AU"/>
              </w:rPr>
              <w:t>4.3: The Defence Values and Behaviours enable our people to deliver Australia’s National Defence.</w:t>
            </w:r>
          </w:p>
        </w:tc>
        <w:tc>
          <w:tcPr>
            <w:tcW w:w="3084" w:type="dxa"/>
            <w:tcBorders>
              <w:top w:val="dotted" w:sz="4" w:space="0" w:color="auto"/>
              <w:left w:val="single" w:sz="4" w:space="0" w:color="auto"/>
              <w:bottom w:val="single" w:sz="4" w:space="0" w:color="auto"/>
              <w:right w:val="single" w:sz="4" w:space="0" w:color="auto"/>
            </w:tcBorders>
          </w:tcPr>
          <w:p w14:paraId="1C025ACC" w14:textId="77777777" w:rsidR="006440D6" w:rsidRPr="006440D6" w:rsidRDefault="006440D6" w:rsidP="003C0905">
            <w:pPr>
              <w:tabs>
                <w:tab w:val="left" w:pos="709"/>
              </w:tabs>
              <w:spacing w:before="60" w:after="60"/>
              <w:rPr>
                <w:rFonts w:ascii="Arial" w:hAnsi="Arial"/>
                <w:sz w:val="16"/>
                <w:szCs w:val="16"/>
                <w:lang w:val="en-AU"/>
              </w:rPr>
            </w:pPr>
            <w:r w:rsidRPr="006440D6">
              <w:rPr>
                <w:rFonts w:ascii="Arial" w:hAnsi="Arial"/>
                <w:sz w:val="16"/>
                <w:szCs w:val="16"/>
                <w:lang w:val="en-AU"/>
              </w:rPr>
              <w:t xml:space="preserve">The proportion of ADF and Defence APS personnel that believe appropriate action will be taken if they report an incident of unacceptable behaviour has increased in the last 12 months, the proportion of ADF and Defence APS personnel who have experienced any unacceptable behaviour in the workplace has decreased in the last 12 months, and proportion of ADF and Defence APS personnel who are of the view that Defence Values are being used in their work area has increased in the last 12 months. </w:t>
            </w:r>
          </w:p>
          <w:p w14:paraId="7DFD295D" w14:textId="2161F6D7" w:rsidR="006440D6" w:rsidRPr="006440D6" w:rsidRDefault="006440D6" w:rsidP="003D2400">
            <w:pPr>
              <w:spacing w:before="0" w:after="60"/>
              <w:jc w:val="right"/>
              <w:rPr>
                <w:rFonts w:ascii="Arial" w:hAnsi="Arial"/>
                <w:sz w:val="16"/>
                <w:szCs w:val="16"/>
                <w:lang w:val="en-AU"/>
              </w:rPr>
            </w:pPr>
            <w:r w:rsidRPr="006440D6">
              <w:rPr>
                <w:rFonts w:ascii="Arial" w:hAnsi="Arial"/>
                <w:i/>
                <w:sz w:val="16"/>
                <w:szCs w:val="16"/>
                <w:lang w:val="en-AU"/>
              </w:rPr>
              <w:t>Expected to be substantially achieved.</w:t>
            </w:r>
          </w:p>
        </w:tc>
      </w:tr>
      <w:tr w:rsidR="006440D6" w:rsidRPr="00F043DE" w14:paraId="3D91D8ED" w14:textId="77777777" w:rsidTr="00514075">
        <w:tblPrEx>
          <w:shd w:val="clear" w:color="auto" w:fill="auto"/>
          <w:tblLook w:val="04A0" w:firstRow="1" w:lastRow="0" w:firstColumn="1" w:lastColumn="0" w:noHBand="0" w:noVBand="1"/>
        </w:tblPrEx>
        <w:trPr>
          <w:trHeight w:val="305"/>
        </w:trPr>
        <w:tc>
          <w:tcPr>
            <w:tcW w:w="1661" w:type="dxa"/>
            <w:tcBorders>
              <w:top w:val="single" w:sz="4" w:space="0" w:color="auto"/>
              <w:left w:val="single" w:sz="4" w:space="0" w:color="auto"/>
              <w:bottom w:val="single" w:sz="4" w:space="0" w:color="auto"/>
              <w:right w:val="single" w:sz="4" w:space="0" w:color="auto"/>
            </w:tcBorders>
          </w:tcPr>
          <w:p w14:paraId="4F95274D" w14:textId="676439C3" w:rsidR="006440D6" w:rsidRPr="00F043DE" w:rsidRDefault="006440D6" w:rsidP="006440D6">
            <w:pPr>
              <w:pageBreakBefore/>
              <w:tabs>
                <w:tab w:val="left" w:pos="709"/>
              </w:tabs>
              <w:spacing w:before="0" w:after="0"/>
              <w:rPr>
                <w:rFonts w:ascii="Arial" w:hAnsi="Arial"/>
                <w:color w:val="000000"/>
                <w:sz w:val="16"/>
                <w:szCs w:val="16"/>
              </w:rPr>
            </w:pPr>
            <w:r w:rsidRPr="00F043DE">
              <w:rPr>
                <w:rFonts w:ascii="Arial" w:hAnsi="Arial"/>
                <w:b/>
                <w:color w:val="000000"/>
                <w:sz w:val="16"/>
                <w:szCs w:val="16"/>
              </w:rPr>
              <w:lastRenderedPageBreak/>
              <w:t>Year</w:t>
            </w:r>
          </w:p>
        </w:tc>
        <w:tc>
          <w:tcPr>
            <w:tcW w:w="2865" w:type="dxa"/>
            <w:tcBorders>
              <w:top w:val="single" w:sz="4" w:space="0" w:color="auto"/>
              <w:left w:val="single" w:sz="4" w:space="0" w:color="auto"/>
              <w:bottom w:val="single" w:sz="4" w:space="0" w:color="auto"/>
              <w:right w:val="single" w:sz="4" w:space="0" w:color="auto"/>
            </w:tcBorders>
          </w:tcPr>
          <w:p w14:paraId="28119688" w14:textId="0B08CECD" w:rsidR="006440D6" w:rsidRPr="00FF6EA0" w:rsidRDefault="006440D6" w:rsidP="006440D6">
            <w:pPr>
              <w:tabs>
                <w:tab w:val="left" w:pos="709"/>
              </w:tabs>
              <w:spacing w:before="60" w:after="60"/>
              <w:rPr>
                <w:rFonts w:ascii="Arial" w:hAnsi="Arial"/>
                <w:sz w:val="16"/>
                <w:szCs w:val="16"/>
                <w:lang w:val="en-AU"/>
              </w:rPr>
            </w:pPr>
            <w:r w:rsidRPr="00F043DE">
              <w:rPr>
                <w:rFonts w:ascii="Arial" w:hAnsi="Arial"/>
                <w:b/>
                <w:color w:val="000000"/>
                <w:sz w:val="16"/>
                <w:szCs w:val="16"/>
              </w:rPr>
              <w:t>Performance measures</w:t>
            </w:r>
          </w:p>
        </w:tc>
        <w:tc>
          <w:tcPr>
            <w:tcW w:w="3084" w:type="dxa"/>
            <w:tcBorders>
              <w:top w:val="single" w:sz="4" w:space="0" w:color="auto"/>
              <w:left w:val="single" w:sz="4" w:space="0" w:color="auto"/>
              <w:bottom w:val="single" w:sz="4" w:space="0" w:color="auto"/>
              <w:right w:val="single" w:sz="4" w:space="0" w:color="auto"/>
            </w:tcBorders>
          </w:tcPr>
          <w:p w14:paraId="45C8A5EA" w14:textId="6BF24398" w:rsidR="006440D6" w:rsidRPr="006440D6" w:rsidRDefault="006440D6" w:rsidP="006440D6">
            <w:pPr>
              <w:tabs>
                <w:tab w:val="left" w:pos="709"/>
              </w:tabs>
              <w:spacing w:before="60" w:after="60"/>
              <w:rPr>
                <w:rFonts w:ascii="Arial" w:hAnsi="Arial"/>
                <w:sz w:val="16"/>
                <w:szCs w:val="16"/>
                <w:lang w:val="en-AU"/>
              </w:rPr>
            </w:pPr>
            <w:r w:rsidRPr="00F043DE">
              <w:rPr>
                <w:rFonts w:ascii="Arial" w:hAnsi="Arial"/>
                <w:b/>
                <w:color w:val="000000"/>
                <w:sz w:val="16"/>
                <w:szCs w:val="16"/>
              </w:rPr>
              <w:t>Expected Performance Results</w:t>
            </w:r>
          </w:p>
        </w:tc>
      </w:tr>
      <w:tr w:rsidR="00204309" w:rsidRPr="00F043DE" w14:paraId="5CB63701" w14:textId="77777777" w:rsidTr="00514075">
        <w:tblPrEx>
          <w:shd w:val="clear" w:color="auto" w:fill="auto"/>
          <w:tblLook w:val="04A0" w:firstRow="1" w:lastRow="0" w:firstColumn="1" w:lastColumn="0" w:noHBand="0" w:noVBand="1"/>
        </w:tblPrEx>
        <w:trPr>
          <w:trHeight w:val="305"/>
        </w:trPr>
        <w:tc>
          <w:tcPr>
            <w:tcW w:w="1661" w:type="dxa"/>
            <w:tcBorders>
              <w:top w:val="single" w:sz="4" w:space="0" w:color="auto"/>
              <w:left w:val="single" w:sz="4" w:space="0" w:color="auto"/>
              <w:bottom w:val="single" w:sz="4" w:space="0" w:color="auto"/>
              <w:right w:val="single" w:sz="4" w:space="0" w:color="auto"/>
            </w:tcBorders>
          </w:tcPr>
          <w:p w14:paraId="3A3BAEB0" w14:textId="77777777" w:rsidR="006440D6" w:rsidRPr="00F043DE" w:rsidRDefault="006440D6" w:rsidP="006440D6">
            <w:pPr>
              <w:tabs>
                <w:tab w:val="left" w:pos="709"/>
              </w:tabs>
              <w:spacing w:before="0" w:after="0"/>
              <w:rPr>
                <w:rFonts w:ascii="Arial" w:hAnsi="Arial"/>
                <w:color w:val="000000"/>
                <w:sz w:val="16"/>
                <w:szCs w:val="16"/>
              </w:rPr>
            </w:pPr>
            <w:r w:rsidRPr="00F043DE">
              <w:rPr>
                <w:rFonts w:ascii="Arial" w:hAnsi="Arial"/>
                <w:color w:val="000000"/>
                <w:sz w:val="16"/>
                <w:szCs w:val="16"/>
              </w:rPr>
              <w:t>Current Year</w:t>
            </w:r>
          </w:p>
          <w:p w14:paraId="5D09E508" w14:textId="1EA96C7B" w:rsidR="00204309" w:rsidRPr="00F043DE" w:rsidRDefault="006440D6" w:rsidP="00FC5572">
            <w:pPr>
              <w:tabs>
                <w:tab w:val="left" w:pos="709"/>
              </w:tabs>
              <w:spacing w:before="0" w:after="0"/>
              <w:rPr>
                <w:rFonts w:ascii="Arial" w:hAnsi="Arial"/>
                <w:color w:val="000000"/>
                <w:sz w:val="16"/>
                <w:szCs w:val="16"/>
              </w:rPr>
            </w:pPr>
            <w:r w:rsidRPr="00F043DE">
              <w:rPr>
                <w:rFonts w:ascii="Arial" w:hAnsi="Arial"/>
                <w:color w:val="000000"/>
                <w:sz w:val="16"/>
                <w:szCs w:val="16"/>
              </w:rPr>
              <w:t>2024-25</w:t>
            </w:r>
            <w:r>
              <w:rPr>
                <w:rFonts w:ascii="Arial" w:hAnsi="Arial"/>
                <w:color w:val="000000"/>
                <w:sz w:val="16"/>
                <w:szCs w:val="16"/>
              </w:rPr>
              <w:t xml:space="preserve"> </w:t>
            </w:r>
            <w:r w:rsidRPr="00994944">
              <w:rPr>
                <w:rFonts w:ascii="Arial" w:hAnsi="Arial"/>
                <w:color w:val="000000"/>
                <w:sz w:val="16"/>
                <w:szCs w:val="16"/>
                <w:vertAlign w:val="superscript"/>
              </w:rPr>
              <w:t>[a]</w:t>
            </w:r>
          </w:p>
        </w:tc>
        <w:tc>
          <w:tcPr>
            <w:tcW w:w="2865" w:type="dxa"/>
            <w:tcBorders>
              <w:top w:val="single" w:sz="4" w:space="0" w:color="auto"/>
              <w:left w:val="single" w:sz="4" w:space="0" w:color="auto"/>
              <w:bottom w:val="single" w:sz="4" w:space="0" w:color="auto"/>
              <w:right w:val="single" w:sz="4" w:space="0" w:color="auto"/>
            </w:tcBorders>
          </w:tcPr>
          <w:p w14:paraId="5FA45AD1" w14:textId="77777777" w:rsidR="00204309" w:rsidRPr="00FF6EA0" w:rsidRDefault="00204309" w:rsidP="00204309">
            <w:pPr>
              <w:tabs>
                <w:tab w:val="left" w:pos="709"/>
              </w:tabs>
              <w:spacing w:before="60" w:after="60"/>
              <w:rPr>
                <w:rFonts w:ascii="Arial" w:hAnsi="Arial"/>
                <w:sz w:val="16"/>
                <w:szCs w:val="16"/>
                <w:lang w:val="en-AU"/>
              </w:rPr>
            </w:pPr>
            <w:r w:rsidRPr="00FF6EA0">
              <w:rPr>
                <w:rFonts w:ascii="Arial" w:hAnsi="Arial"/>
                <w:sz w:val="16"/>
                <w:szCs w:val="16"/>
                <w:lang w:val="en-AU"/>
              </w:rPr>
              <w:t>4.4: Defence supports ADF members and their families by providing access to support services and programs having regard to lifetime wellbeing.</w:t>
            </w:r>
          </w:p>
        </w:tc>
        <w:tc>
          <w:tcPr>
            <w:tcW w:w="3084" w:type="dxa"/>
            <w:tcBorders>
              <w:top w:val="single" w:sz="4" w:space="0" w:color="auto"/>
              <w:left w:val="single" w:sz="4" w:space="0" w:color="auto"/>
              <w:bottom w:val="single" w:sz="4" w:space="0" w:color="auto"/>
              <w:right w:val="single" w:sz="4" w:space="0" w:color="auto"/>
            </w:tcBorders>
          </w:tcPr>
          <w:p w14:paraId="703CA44B" w14:textId="20C343D5" w:rsidR="00204309" w:rsidRPr="00204309" w:rsidRDefault="00204309" w:rsidP="00204309">
            <w:pPr>
              <w:tabs>
                <w:tab w:val="left" w:pos="709"/>
              </w:tabs>
              <w:spacing w:before="60" w:after="60"/>
              <w:rPr>
                <w:rFonts w:ascii="Arial" w:hAnsi="Arial"/>
                <w:sz w:val="16"/>
                <w:szCs w:val="16"/>
                <w:lang w:val="en-AU"/>
              </w:rPr>
            </w:pPr>
            <w:r w:rsidRPr="00204309">
              <w:rPr>
                <w:rFonts w:ascii="Arial" w:hAnsi="Arial"/>
                <w:sz w:val="16"/>
                <w:szCs w:val="16"/>
                <w:lang w:val="en-AU"/>
              </w:rPr>
              <w:t>At least 75 per cent of eligible permanent ADF members and their families are registered with the ADF Family Health Program; 100 per cent of support services and programs are provided to permanent ADF and their families in accordance with identified service delivery timeframes; and 100 per cent of Defence-led, Government-agreed recommendations from the Royal Commission into Defence and Veteran Suicide Final Report which are on the Forward Work Plan for the Program Board in 2024-25, have approved Reform Management Plans by 30 June 2025.</w:t>
            </w:r>
          </w:p>
          <w:p w14:paraId="1E98886B" w14:textId="765A04C1" w:rsidR="00204309" w:rsidRPr="00204309" w:rsidRDefault="003C0905" w:rsidP="00204309">
            <w:pPr>
              <w:tabs>
                <w:tab w:val="left" w:pos="709"/>
              </w:tabs>
              <w:spacing w:before="60" w:after="60"/>
              <w:jc w:val="right"/>
              <w:rPr>
                <w:rFonts w:ascii="Arial" w:hAnsi="Arial"/>
                <w:i/>
                <w:sz w:val="16"/>
                <w:szCs w:val="16"/>
                <w:lang w:val="en-AU"/>
              </w:rPr>
            </w:pPr>
            <w:r w:rsidRPr="006440D6">
              <w:rPr>
                <w:rFonts w:ascii="Arial" w:hAnsi="Arial"/>
                <w:i/>
                <w:sz w:val="16"/>
                <w:szCs w:val="16"/>
                <w:lang w:val="en-AU"/>
              </w:rPr>
              <w:t>Expected to be partially achieved</w:t>
            </w:r>
            <w:r w:rsidR="00204309" w:rsidRPr="00204309">
              <w:rPr>
                <w:rFonts w:ascii="Arial" w:hAnsi="Arial"/>
                <w:i/>
                <w:sz w:val="16"/>
                <w:szCs w:val="16"/>
                <w:lang w:val="en-AU"/>
              </w:rPr>
              <w:t>.</w:t>
            </w:r>
          </w:p>
        </w:tc>
      </w:tr>
      <w:tr w:rsidR="00F7100A" w:rsidRPr="00F043DE" w14:paraId="1BB9453E" w14:textId="77777777" w:rsidTr="00514075">
        <w:tblPrEx>
          <w:shd w:val="clear" w:color="auto" w:fill="auto"/>
          <w:tblLook w:val="04A0" w:firstRow="1" w:lastRow="0" w:firstColumn="1" w:lastColumn="0" w:noHBand="0" w:noVBand="1"/>
        </w:tblPrEx>
        <w:trPr>
          <w:trHeight w:val="258"/>
        </w:trPr>
        <w:tc>
          <w:tcPr>
            <w:tcW w:w="1661" w:type="dxa"/>
            <w:tcBorders>
              <w:top w:val="single" w:sz="4" w:space="0" w:color="auto"/>
              <w:bottom w:val="single" w:sz="4" w:space="0" w:color="auto"/>
              <w:right w:val="single" w:sz="4" w:space="0" w:color="auto"/>
            </w:tcBorders>
          </w:tcPr>
          <w:p w14:paraId="5568FBCD" w14:textId="77777777" w:rsidR="00F7100A" w:rsidRPr="00F043DE" w:rsidRDefault="00F7100A" w:rsidP="006440D6">
            <w:pPr>
              <w:tabs>
                <w:tab w:val="left" w:pos="709"/>
              </w:tabs>
              <w:spacing w:before="60" w:after="60"/>
              <w:rPr>
                <w:rFonts w:ascii="Arial" w:hAnsi="Arial"/>
                <w:b/>
                <w:color w:val="000000"/>
                <w:sz w:val="16"/>
                <w:szCs w:val="16"/>
              </w:rPr>
            </w:pPr>
            <w:r w:rsidRPr="00F043DE">
              <w:rPr>
                <w:rFonts w:ascii="Arial" w:hAnsi="Arial"/>
                <w:b/>
                <w:color w:val="000000"/>
                <w:sz w:val="16"/>
                <w:szCs w:val="16"/>
              </w:rPr>
              <w:t>Year</w:t>
            </w:r>
          </w:p>
        </w:tc>
        <w:tc>
          <w:tcPr>
            <w:tcW w:w="2865" w:type="dxa"/>
            <w:tcBorders>
              <w:top w:val="single" w:sz="4" w:space="0" w:color="auto"/>
              <w:left w:val="single" w:sz="4" w:space="0" w:color="auto"/>
              <w:bottom w:val="single" w:sz="4" w:space="0" w:color="auto"/>
              <w:right w:val="single" w:sz="4" w:space="0" w:color="auto"/>
            </w:tcBorders>
          </w:tcPr>
          <w:p w14:paraId="3790CA87" w14:textId="77777777" w:rsidR="00F7100A" w:rsidRPr="00F043DE" w:rsidRDefault="00F7100A" w:rsidP="00072EF9">
            <w:pPr>
              <w:tabs>
                <w:tab w:val="left" w:pos="709"/>
                <w:tab w:val="center" w:pos="1818"/>
              </w:tabs>
              <w:spacing w:before="60" w:after="60"/>
              <w:rPr>
                <w:rFonts w:ascii="Arial" w:hAnsi="Arial"/>
                <w:b/>
                <w:color w:val="000000"/>
                <w:sz w:val="16"/>
                <w:szCs w:val="16"/>
              </w:rPr>
            </w:pPr>
            <w:r w:rsidRPr="00F043DE">
              <w:rPr>
                <w:rFonts w:ascii="Arial" w:hAnsi="Arial"/>
                <w:b/>
                <w:color w:val="000000"/>
                <w:sz w:val="16"/>
                <w:szCs w:val="16"/>
              </w:rPr>
              <w:t>Performance measures</w:t>
            </w:r>
          </w:p>
        </w:tc>
        <w:tc>
          <w:tcPr>
            <w:tcW w:w="3084" w:type="dxa"/>
            <w:tcBorders>
              <w:top w:val="single" w:sz="4" w:space="0" w:color="auto"/>
              <w:left w:val="single" w:sz="4" w:space="0" w:color="auto"/>
              <w:bottom w:val="single" w:sz="4" w:space="0" w:color="auto"/>
            </w:tcBorders>
          </w:tcPr>
          <w:p w14:paraId="48B67BD4" w14:textId="77777777" w:rsidR="00F7100A" w:rsidRPr="00F043DE" w:rsidRDefault="00F7100A" w:rsidP="00072EF9">
            <w:pPr>
              <w:tabs>
                <w:tab w:val="left" w:pos="709"/>
              </w:tabs>
              <w:spacing w:before="60" w:after="60"/>
              <w:rPr>
                <w:rFonts w:ascii="Arial" w:hAnsi="Arial"/>
                <w:b/>
                <w:color w:val="000000"/>
                <w:sz w:val="16"/>
                <w:szCs w:val="16"/>
              </w:rPr>
            </w:pPr>
            <w:r w:rsidRPr="00F043DE">
              <w:rPr>
                <w:rFonts w:ascii="Arial" w:hAnsi="Arial"/>
                <w:b/>
                <w:color w:val="000000"/>
                <w:sz w:val="16"/>
                <w:szCs w:val="16"/>
              </w:rPr>
              <w:t>Planned Performance Results</w:t>
            </w:r>
          </w:p>
        </w:tc>
      </w:tr>
      <w:tr w:rsidR="006440D6" w:rsidRPr="00F043DE" w14:paraId="1CFFCE83" w14:textId="77777777" w:rsidTr="006440D6">
        <w:tblPrEx>
          <w:shd w:val="clear" w:color="auto" w:fill="auto"/>
          <w:tblLook w:val="04A0" w:firstRow="1" w:lastRow="0" w:firstColumn="1" w:lastColumn="0" w:noHBand="0" w:noVBand="1"/>
        </w:tblPrEx>
        <w:trPr>
          <w:trHeight w:val="1126"/>
        </w:trPr>
        <w:tc>
          <w:tcPr>
            <w:tcW w:w="1661" w:type="dxa"/>
            <w:vMerge w:val="restart"/>
            <w:tcBorders>
              <w:top w:val="single" w:sz="4" w:space="0" w:color="auto"/>
              <w:right w:val="single" w:sz="4" w:space="0" w:color="auto"/>
            </w:tcBorders>
          </w:tcPr>
          <w:p w14:paraId="2DA20B1B" w14:textId="77777777" w:rsidR="006440D6" w:rsidRPr="00F043DE" w:rsidRDefault="006440D6" w:rsidP="00FF6EA0">
            <w:pPr>
              <w:tabs>
                <w:tab w:val="left" w:pos="709"/>
              </w:tabs>
              <w:spacing w:before="0" w:after="0"/>
              <w:rPr>
                <w:rFonts w:ascii="Arial" w:hAnsi="Arial"/>
                <w:color w:val="000000"/>
                <w:sz w:val="16"/>
                <w:szCs w:val="16"/>
              </w:rPr>
            </w:pPr>
            <w:r w:rsidRPr="00F043DE">
              <w:rPr>
                <w:rFonts w:ascii="Arial" w:hAnsi="Arial"/>
                <w:color w:val="000000"/>
                <w:sz w:val="16"/>
                <w:szCs w:val="16"/>
              </w:rPr>
              <w:t>Budget Year</w:t>
            </w:r>
          </w:p>
          <w:p w14:paraId="3C90CB66" w14:textId="00A4D400" w:rsidR="006440D6" w:rsidRPr="00F043DE" w:rsidRDefault="006440D6" w:rsidP="00A54DB4">
            <w:pPr>
              <w:tabs>
                <w:tab w:val="left" w:pos="709"/>
              </w:tabs>
              <w:spacing w:before="0" w:after="0"/>
              <w:rPr>
                <w:rFonts w:ascii="Arial" w:hAnsi="Arial"/>
                <w:color w:val="000000"/>
                <w:sz w:val="16"/>
                <w:szCs w:val="16"/>
              </w:rPr>
            </w:pPr>
            <w:r w:rsidRPr="00F043DE">
              <w:rPr>
                <w:rFonts w:ascii="Arial" w:hAnsi="Arial"/>
                <w:color w:val="000000"/>
                <w:sz w:val="16"/>
                <w:szCs w:val="16"/>
              </w:rPr>
              <w:t>2025-26</w:t>
            </w:r>
            <w:r>
              <w:rPr>
                <w:rFonts w:ascii="Arial" w:hAnsi="Arial"/>
                <w:color w:val="000000"/>
                <w:sz w:val="16"/>
                <w:szCs w:val="16"/>
              </w:rPr>
              <w:t xml:space="preserve"> </w:t>
            </w:r>
            <w:r w:rsidRPr="00FF6EA0">
              <w:rPr>
                <w:rFonts w:ascii="Arial" w:hAnsi="Arial"/>
                <w:color w:val="000000"/>
                <w:sz w:val="16"/>
                <w:szCs w:val="16"/>
                <w:vertAlign w:val="superscript"/>
              </w:rPr>
              <w:t>[b]</w:t>
            </w:r>
          </w:p>
        </w:tc>
        <w:tc>
          <w:tcPr>
            <w:tcW w:w="2865" w:type="dxa"/>
            <w:tcBorders>
              <w:top w:val="single" w:sz="4" w:space="0" w:color="auto"/>
              <w:left w:val="single" w:sz="4" w:space="0" w:color="auto"/>
              <w:bottom w:val="single" w:sz="4" w:space="0" w:color="auto"/>
              <w:right w:val="single" w:sz="4" w:space="0" w:color="auto"/>
            </w:tcBorders>
          </w:tcPr>
          <w:p w14:paraId="19D7D190" w14:textId="77777777" w:rsidR="006440D6" w:rsidRPr="00DA6484" w:rsidRDefault="006440D6" w:rsidP="00FF6EA0">
            <w:pPr>
              <w:tabs>
                <w:tab w:val="left" w:pos="709"/>
              </w:tabs>
              <w:spacing w:before="60" w:after="60"/>
              <w:rPr>
                <w:rFonts w:ascii="Arial" w:hAnsi="Arial"/>
                <w:sz w:val="16"/>
                <w:szCs w:val="16"/>
                <w:lang w:val="en-AU"/>
              </w:rPr>
            </w:pPr>
            <w:r w:rsidRPr="00DA6484">
              <w:rPr>
                <w:rFonts w:ascii="Arial" w:hAnsi="Arial"/>
                <w:sz w:val="16"/>
                <w:szCs w:val="16"/>
                <w:lang w:val="en-AU"/>
              </w:rPr>
              <w:t>4.1: Defence recruits and retains an ADF and APS workforce to support the Defence mission.</w:t>
            </w:r>
          </w:p>
        </w:tc>
        <w:tc>
          <w:tcPr>
            <w:tcW w:w="3084" w:type="dxa"/>
            <w:tcBorders>
              <w:top w:val="single" w:sz="4" w:space="0" w:color="auto"/>
              <w:left w:val="single" w:sz="4" w:space="0" w:color="auto"/>
              <w:bottom w:val="single" w:sz="4" w:space="0" w:color="auto"/>
            </w:tcBorders>
          </w:tcPr>
          <w:p w14:paraId="078F3C0F" w14:textId="2483545B" w:rsidR="006440D6" w:rsidRPr="006440D6" w:rsidRDefault="006440D6" w:rsidP="00FF6EA0">
            <w:pPr>
              <w:tabs>
                <w:tab w:val="left" w:pos="709"/>
              </w:tabs>
              <w:spacing w:before="60" w:after="60"/>
              <w:rPr>
                <w:rFonts w:ascii="Arial" w:hAnsi="Arial"/>
                <w:sz w:val="16"/>
                <w:szCs w:val="16"/>
                <w:lang w:val="en-AU"/>
              </w:rPr>
            </w:pPr>
            <w:r w:rsidRPr="006440D6">
              <w:rPr>
                <w:rFonts w:ascii="Arial" w:hAnsi="Arial"/>
                <w:sz w:val="16"/>
                <w:szCs w:val="16"/>
                <w:lang w:val="en-AU"/>
              </w:rPr>
              <w:t>Defence achieves the ADF and APS Budgeted Workforce Requirement as set out in the 2024 Defence Workforce Plan, and the net flow of the ADF and APS workforce over a 12 month period is trending positive and is positioning Defence to achieve the Budgeted Workforce Requirement over the forward estimates.</w:t>
            </w:r>
          </w:p>
        </w:tc>
      </w:tr>
      <w:tr w:rsidR="006440D6" w:rsidRPr="00F043DE" w14:paraId="3C2AC4E5" w14:textId="77777777" w:rsidTr="00C5782C">
        <w:tblPrEx>
          <w:shd w:val="clear" w:color="auto" w:fill="auto"/>
          <w:tblLook w:val="04A0" w:firstRow="1" w:lastRow="0" w:firstColumn="1" w:lastColumn="0" w:noHBand="0" w:noVBand="1"/>
        </w:tblPrEx>
        <w:trPr>
          <w:trHeight w:val="258"/>
        </w:trPr>
        <w:tc>
          <w:tcPr>
            <w:tcW w:w="1661" w:type="dxa"/>
            <w:vMerge/>
            <w:tcBorders>
              <w:right w:val="single" w:sz="4" w:space="0" w:color="auto"/>
            </w:tcBorders>
          </w:tcPr>
          <w:p w14:paraId="0736975C" w14:textId="26C99EE0" w:rsidR="006440D6" w:rsidRPr="00F043DE" w:rsidRDefault="006440D6" w:rsidP="00A54DB4">
            <w:pPr>
              <w:tabs>
                <w:tab w:val="left" w:pos="709"/>
              </w:tabs>
              <w:spacing w:before="0" w:after="0"/>
              <w:rPr>
                <w:rFonts w:ascii="Arial" w:hAnsi="Arial"/>
                <w:b/>
                <w:color w:val="000000"/>
                <w:sz w:val="16"/>
                <w:szCs w:val="16"/>
              </w:rPr>
            </w:pPr>
          </w:p>
        </w:tc>
        <w:tc>
          <w:tcPr>
            <w:tcW w:w="2865" w:type="dxa"/>
            <w:tcBorders>
              <w:top w:val="single" w:sz="4" w:space="0" w:color="auto"/>
              <w:left w:val="single" w:sz="4" w:space="0" w:color="auto"/>
              <w:bottom w:val="dotted" w:sz="4" w:space="0" w:color="auto"/>
              <w:right w:val="single" w:sz="4" w:space="0" w:color="auto"/>
            </w:tcBorders>
          </w:tcPr>
          <w:p w14:paraId="54594E02" w14:textId="43CA49DB" w:rsidR="006440D6" w:rsidRPr="00F043DE" w:rsidRDefault="006440D6" w:rsidP="00204309">
            <w:pPr>
              <w:tabs>
                <w:tab w:val="left" w:pos="709"/>
                <w:tab w:val="center" w:pos="1818"/>
              </w:tabs>
              <w:spacing w:before="60" w:after="60"/>
              <w:rPr>
                <w:rFonts w:ascii="Arial" w:hAnsi="Arial"/>
                <w:b/>
                <w:color w:val="000000"/>
                <w:sz w:val="16"/>
                <w:szCs w:val="16"/>
              </w:rPr>
            </w:pPr>
            <w:r w:rsidRPr="00DA6484">
              <w:rPr>
                <w:rFonts w:ascii="Arial" w:hAnsi="Arial"/>
                <w:sz w:val="16"/>
                <w:szCs w:val="16"/>
                <w:lang w:val="en-AU"/>
              </w:rPr>
              <w:t>4.2: Defence grows the necessary skills and capabilities to enable the Defence mission.</w:t>
            </w:r>
          </w:p>
        </w:tc>
        <w:tc>
          <w:tcPr>
            <w:tcW w:w="3084" w:type="dxa"/>
            <w:tcBorders>
              <w:top w:val="single" w:sz="4" w:space="0" w:color="auto"/>
              <w:left w:val="single" w:sz="4" w:space="0" w:color="auto"/>
              <w:bottom w:val="dotted" w:sz="4" w:space="0" w:color="auto"/>
            </w:tcBorders>
          </w:tcPr>
          <w:p w14:paraId="0112754D" w14:textId="485FCD39" w:rsidR="006440D6" w:rsidRPr="006440D6" w:rsidRDefault="006440D6" w:rsidP="00204309">
            <w:pPr>
              <w:tabs>
                <w:tab w:val="left" w:pos="709"/>
              </w:tabs>
              <w:spacing w:before="60" w:after="60"/>
              <w:rPr>
                <w:rFonts w:ascii="Arial" w:hAnsi="Arial"/>
                <w:b/>
                <w:color w:val="000000"/>
                <w:sz w:val="16"/>
                <w:szCs w:val="16"/>
              </w:rPr>
            </w:pPr>
            <w:r w:rsidRPr="006440D6">
              <w:rPr>
                <w:rFonts w:ascii="Arial" w:hAnsi="Arial"/>
                <w:sz w:val="16"/>
                <w:szCs w:val="16"/>
                <w:lang w:val="en-AU"/>
              </w:rPr>
              <w:t>The Defence workforce has the technical skills required to deliver the National Defence Strategy as measured through the Defence Strategic Workforce Segments, and the net flow of the ADF and APS workforce over a 12 month period against the Budgeted Workforce Requirement by Strategic Workforce Segment.</w:t>
            </w:r>
          </w:p>
        </w:tc>
      </w:tr>
      <w:tr w:rsidR="006440D6" w:rsidRPr="00F043DE" w14:paraId="6C6CAF01" w14:textId="77777777" w:rsidTr="00514075">
        <w:tblPrEx>
          <w:shd w:val="clear" w:color="auto" w:fill="auto"/>
          <w:tblLook w:val="04A0" w:firstRow="1" w:lastRow="0" w:firstColumn="1" w:lastColumn="0" w:noHBand="0" w:noVBand="1"/>
        </w:tblPrEx>
        <w:trPr>
          <w:trHeight w:val="1126"/>
        </w:trPr>
        <w:tc>
          <w:tcPr>
            <w:tcW w:w="1661" w:type="dxa"/>
            <w:vMerge/>
            <w:tcBorders>
              <w:right w:val="single" w:sz="4" w:space="0" w:color="auto"/>
            </w:tcBorders>
          </w:tcPr>
          <w:p w14:paraId="2533E253" w14:textId="321398FE" w:rsidR="006440D6" w:rsidRPr="00F043DE" w:rsidRDefault="006440D6" w:rsidP="00A54DB4">
            <w:pPr>
              <w:tabs>
                <w:tab w:val="left" w:pos="709"/>
              </w:tabs>
              <w:spacing w:before="0" w:after="0"/>
              <w:rPr>
                <w:rFonts w:ascii="Arial" w:hAnsi="Arial"/>
                <w:color w:val="000000"/>
                <w:sz w:val="16"/>
                <w:szCs w:val="16"/>
              </w:rPr>
            </w:pPr>
          </w:p>
        </w:tc>
        <w:tc>
          <w:tcPr>
            <w:tcW w:w="2865" w:type="dxa"/>
            <w:tcBorders>
              <w:top w:val="dotted" w:sz="4" w:space="0" w:color="auto"/>
              <w:left w:val="single" w:sz="4" w:space="0" w:color="auto"/>
              <w:bottom w:val="dotted" w:sz="4" w:space="0" w:color="auto"/>
              <w:right w:val="single" w:sz="4" w:space="0" w:color="auto"/>
            </w:tcBorders>
          </w:tcPr>
          <w:p w14:paraId="527E44AC" w14:textId="77777777" w:rsidR="006440D6" w:rsidRPr="00DA6484" w:rsidRDefault="006440D6" w:rsidP="00A54DB4">
            <w:pPr>
              <w:tabs>
                <w:tab w:val="left" w:pos="709"/>
              </w:tabs>
              <w:spacing w:before="60" w:after="60"/>
              <w:rPr>
                <w:rFonts w:ascii="Arial" w:hAnsi="Arial"/>
                <w:sz w:val="16"/>
                <w:szCs w:val="16"/>
                <w:lang w:val="en-AU"/>
              </w:rPr>
            </w:pPr>
            <w:r w:rsidRPr="00DA6484">
              <w:rPr>
                <w:rFonts w:ascii="Arial" w:hAnsi="Arial"/>
                <w:sz w:val="16"/>
                <w:szCs w:val="16"/>
                <w:lang w:val="en-AU"/>
              </w:rPr>
              <w:t xml:space="preserve">4.3: The Defence Values and Behaviours enable our people to deliver Australia’s </w:t>
            </w:r>
            <w:r>
              <w:rPr>
                <w:rFonts w:ascii="Arial" w:hAnsi="Arial"/>
                <w:sz w:val="16"/>
                <w:szCs w:val="16"/>
                <w:lang w:val="en-AU"/>
              </w:rPr>
              <w:t>N</w:t>
            </w:r>
            <w:r w:rsidRPr="00DA6484">
              <w:rPr>
                <w:rFonts w:ascii="Arial" w:hAnsi="Arial"/>
                <w:sz w:val="16"/>
                <w:szCs w:val="16"/>
                <w:lang w:val="en-AU"/>
              </w:rPr>
              <w:t xml:space="preserve">ational </w:t>
            </w:r>
            <w:r>
              <w:rPr>
                <w:rFonts w:ascii="Arial" w:hAnsi="Arial"/>
                <w:sz w:val="16"/>
                <w:szCs w:val="16"/>
                <w:lang w:val="en-AU"/>
              </w:rPr>
              <w:t>D</w:t>
            </w:r>
            <w:r w:rsidRPr="00DA6484">
              <w:rPr>
                <w:rFonts w:ascii="Arial" w:hAnsi="Arial"/>
                <w:sz w:val="16"/>
                <w:szCs w:val="16"/>
                <w:lang w:val="en-AU"/>
              </w:rPr>
              <w:t>efence.</w:t>
            </w:r>
          </w:p>
        </w:tc>
        <w:tc>
          <w:tcPr>
            <w:tcW w:w="3084" w:type="dxa"/>
            <w:tcBorders>
              <w:top w:val="dotted" w:sz="4" w:space="0" w:color="auto"/>
              <w:left w:val="single" w:sz="4" w:space="0" w:color="auto"/>
              <w:bottom w:val="dotted" w:sz="4" w:space="0" w:color="auto"/>
            </w:tcBorders>
          </w:tcPr>
          <w:p w14:paraId="511D4F01" w14:textId="57FA1310" w:rsidR="006440D6" w:rsidRPr="006440D6" w:rsidRDefault="006440D6" w:rsidP="00A54DB4">
            <w:pPr>
              <w:tabs>
                <w:tab w:val="left" w:pos="709"/>
              </w:tabs>
              <w:spacing w:before="60" w:after="60"/>
              <w:rPr>
                <w:rFonts w:ascii="Arial" w:hAnsi="Arial"/>
                <w:sz w:val="16"/>
                <w:szCs w:val="16"/>
                <w:lang w:val="en-AU"/>
              </w:rPr>
            </w:pPr>
            <w:r w:rsidRPr="006440D6">
              <w:rPr>
                <w:rFonts w:ascii="Arial" w:hAnsi="Arial"/>
                <w:sz w:val="16"/>
                <w:szCs w:val="16"/>
                <w:lang w:val="en-AU"/>
              </w:rPr>
              <w:t>The proportion of ADF and Defence APS personnel that believe appropriate action will be taken if they report an incident of unacceptable behaviour has increased in the last 12 months, the proportion of ADF and Defence APS personnel who have experienced any unacceptable behaviour in the workplace has decreased in the last 12 months, and proportion of ADF and Defence APS personnel who are of the view that Defence Values are being used in their work area has increased in the last 12 months.</w:t>
            </w:r>
          </w:p>
        </w:tc>
      </w:tr>
      <w:tr w:rsidR="006440D6" w:rsidRPr="00F043DE" w14:paraId="2B0A3F45" w14:textId="77777777" w:rsidTr="00514075">
        <w:tblPrEx>
          <w:shd w:val="clear" w:color="auto" w:fill="auto"/>
          <w:tblLook w:val="04A0" w:firstRow="1" w:lastRow="0" w:firstColumn="1" w:lastColumn="0" w:noHBand="0" w:noVBand="1"/>
        </w:tblPrEx>
        <w:trPr>
          <w:trHeight w:val="1126"/>
        </w:trPr>
        <w:tc>
          <w:tcPr>
            <w:tcW w:w="1661" w:type="dxa"/>
            <w:vMerge/>
            <w:tcBorders>
              <w:bottom w:val="single" w:sz="4" w:space="0" w:color="auto"/>
              <w:right w:val="single" w:sz="4" w:space="0" w:color="auto"/>
            </w:tcBorders>
          </w:tcPr>
          <w:p w14:paraId="2082AACF" w14:textId="77777777" w:rsidR="006440D6" w:rsidRPr="00F043DE" w:rsidRDefault="006440D6" w:rsidP="00A54DB4">
            <w:pPr>
              <w:tabs>
                <w:tab w:val="left" w:pos="709"/>
              </w:tabs>
              <w:spacing w:before="0" w:after="0"/>
              <w:rPr>
                <w:rFonts w:ascii="Arial" w:hAnsi="Arial"/>
                <w:color w:val="000000"/>
                <w:sz w:val="16"/>
                <w:szCs w:val="16"/>
              </w:rPr>
            </w:pPr>
          </w:p>
        </w:tc>
        <w:tc>
          <w:tcPr>
            <w:tcW w:w="2865" w:type="dxa"/>
            <w:tcBorders>
              <w:top w:val="dotted" w:sz="4" w:space="0" w:color="auto"/>
              <w:left w:val="single" w:sz="4" w:space="0" w:color="auto"/>
              <w:bottom w:val="single" w:sz="4" w:space="0" w:color="auto"/>
              <w:right w:val="single" w:sz="4" w:space="0" w:color="auto"/>
            </w:tcBorders>
          </w:tcPr>
          <w:p w14:paraId="4FDF7AF9" w14:textId="77777777" w:rsidR="006440D6" w:rsidRPr="00DA6484" w:rsidRDefault="006440D6" w:rsidP="00A54DB4">
            <w:pPr>
              <w:tabs>
                <w:tab w:val="left" w:pos="709"/>
              </w:tabs>
              <w:spacing w:before="60" w:after="60"/>
              <w:rPr>
                <w:rFonts w:ascii="Arial" w:hAnsi="Arial"/>
                <w:sz w:val="16"/>
                <w:szCs w:val="16"/>
                <w:lang w:val="en-AU"/>
              </w:rPr>
            </w:pPr>
            <w:r w:rsidRPr="00DA6484">
              <w:rPr>
                <w:rFonts w:ascii="Arial" w:hAnsi="Arial"/>
                <w:sz w:val="16"/>
                <w:szCs w:val="16"/>
                <w:lang w:val="en-AU"/>
              </w:rPr>
              <w:t>4.4: Defence supports ADF members and their families by providing access to support services and programs having regard to lifetime wellbeing.</w:t>
            </w:r>
          </w:p>
        </w:tc>
        <w:tc>
          <w:tcPr>
            <w:tcW w:w="3084" w:type="dxa"/>
            <w:tcBorders>
              <w:top w:val="dotted" w:sz="4" w:space="0" w:color="auto"/>
              <w:left w:val="single" w:sz="4" w:space="0" w:color="auto"/>
              <w:bottom w:val="single" w:sz="4" w:space="0" w:color="auto"/>
            </w:tcBorders>
          </w:tcPr>
          <w:p w14:paraId="4B7D9000" w14:textId="4385C40D" w:rsidR="006440D6" w:rsidRPr="00A54DB4" w:rsidRDefault="006440D6" w:rsidP="008B59EF">
            <w:pPr>
              <w:tabs>
                <w:tab w:val="left" w:pos="709"/>
              </w:tabs>
              <w:spacing w:before="60" w:after="60"/>
              <w:rPr>
                <w:rFonts w:ascii="Arial" w:hAnsi="Arial"/>
                <w:sz w:val="16"/>
                <w:szCs w:val="16"/>
                <w:lang w:val="en-AU"/>
              </w:rPr>
            </w:pPr>
            <w:r w:rsidRPr="00A54DB4">
              <w:rPr>
                <w:rFonts w:ascii="Arial" w:hAnsi="Arial"/>
                <w:sz w:val="16"/>
                <w:szCs w:val="16"/>
                <w:lang w:val="en-AU"/>
              </w:rPr>
              <w:t>At least 75 per cent of eligible permanent ADF members and their families are registered with the ADF Family Health Program; 100 per cent of support services and programs are provided to permanent ADF and their families in accordance with identified service delivery timeframes; and 100 per cent of Defence-led, Government-agreed recommendations from the Royal Commission into Defence and Veteran Suicide Final Report which are on the Forward Work Plan for the Program Board in 2024-25, have approved Reform Management Plans by 30 June 2025.</w:t>
            </w:r>
          </w:p>
        </w:tc>
      </w:tr>
      <w:tr w:rsidR="00F0724F" w:rsidRPr="00F043DE" w14:paraId="4AE140F1" w14:textId="77777777" w:rsidTr="001D1654">
        <w:tblPrEx>
          <w:shd w:val="clear" w:color="auto" w:fill="auto"/>
          <w:tblLook w:val="04A0" w:firstRow="1" w:lastRow="0" w:firstColumn="1" w:lastColumn="0" w:noHBand="0" w:noVBand="1"/>
        </w:tblPrEx>
        <w:trPr>
          <w:trHeight w:val="305"/>
        </w:trPr>
        <w:tc>
          <w:tcPr>
            <w:tcW w:w="1661" w:type="dxa"/>
            <w:tcBorders>
              <w:top w:val="single" w:sz="4" w:space="0" w:color="auto"/>
              <w:left w:val="single" w:sz="4" w:space="0" w:color="auto"/>
              <w:bottom w:val="single" w:sz="4" w:space="0" w:color="auto"/>
              <w:right w:val="single" w:sz="4" w:space="0" w:color="auto"/>
            </w:tcBorders>
          </w:tcPr>
          <w:p w14:paraId="68BFAF71" w14:textId="77777777" w:rsidR="00F0724F" w:rsidRPr="00F043DE" w:rsidRDefault="00F0724F" w:rsidP="001D1654">
            <w:pPr>
              <w:pageBreakBefore/>
              <w:tabs>
                <w:tab w:val="left" w:pos="709"/>
              </w:tabs>
              <w:spacing w:before="0" w:after="0"/>
              <w:rPr>
                <w:rFonts w:ascii="Arial" w:hAnsi="Arial"/>
                <w:color w:val="000000"/>
                <w:sz w:val="16"/>
                <w:szCs w:val="16"/>
              </w:rPr>
            </w:pPr>
            <w:r w:rsidRPr="00F043DE">
              <w:rPr>
                <w:rFonts w:ascii="Arial" w:hAnsi="Arial"/>
                <w:b/>
                <w:color w:val="000000"/>
                <w:sz w:val="16"/>
                <w:szCs w:val="16"/>
              </w:rPr>
              <w:lastRenderedPageBreak/>
              <w:t>Year</w:t>
            </w:r>
          </w:p>
        </w:tc>
        <w:tc>
          <w:tcPr>
            <w:tcW w:w="2865" w:type="dxa"/>
            <w:tcBorders>
              <w:top w:val="single" w:sz="4" w:space="0" w:color="auto"/>
              <w:left w:val="single" w:sz="4" w:space="0" w:color="auto"/>
              <w:bottom w:val="single" w:sz="4" w:space="0" w:color="auto"/>
              <w:right w:val="single" w:sz="4" w:space="0" w:color="auto"/>
            </w:tcBorders>
          </w:tcPr>
          <w:p w14:paraId="1CBA839B" w14:textId="77777777" w:rsidR="00F0724F" w:rsidRPr="00FF6EA0" w:rsidRDefault="00F0724F" w:rsidP="001D1654">
            <w:pPr>
              <w:tabs>
                <w:tab w:val="left" w:pos="709"/>
              </w:tabs>
              <w:spacing w:before="60" w:after="60"/>
              <w:rPr>
                <w:rFonts w:ascii="Arial" w:hAnsi="Arial"/>
                <w:sz w:val="16"/>
                <w:szCs w:val="16"/>
                <w:lang w:val="en-AU"/>
              </w:rPr>
            </w:pPr>
            <w:r w:rsidRPr="00F043DE">
              <w:rPr>
                <w:rFonts w:ascii="Arial" w:hAnsi="Arial"/>
                <w:b/>
                <w:color w:val="000000"/>
                <w:sz w:val="16"/>
                <w:szCs w:val="16"/>
              </w:rPr>
              <w:t>Performance measures</w:t>
            </w:r>
          </w:p>
        </w:tc>
        <w:tc>
          <w:tcPr>
            <w:tcW w:w="3084" w:type="dxa"/>
            <w:tcBorders>
              <w:top w:val="single" w:sz="4" w:space="0" w:color="auto"/>
              <w:left w:val="single" w:sz="4" w:space="0" w:color="auto"/>
              <w:bottom w:val="single" w:sz="4" w:space="0" w:color="auto"/>
              <w:right w:val="single" w:sz="4" w:space="0" w:color="auto"/>
            </w:tcBorders>
          </w:tcPr>
          <w:p w14:paraId="3A5786F5" w14:textId="77777777" w:rsidR="00F0724F" w:rsidRPr="006440D6" w:rsidRDefault="00F0724F" w:rsidP="001D1654">
            <w:pPr>
              <w:tabs>
                <w:tab w:val="left" w:pos="709"/>
              </w:tabs>
              <w:spacing w:before="60" w:after="60"/>
              <w:rPr>
                <w:rFonts w:ascii="Arial" w:hAnsi="Arial"/>
                <w:sz w:val="16"/>
                <w:szCs w:val="16"/>
                <w:lang w:val="en-AU"/>
              </w:rPr>
            </w:pPr>
            <w:r w:rsidRPr="00F043DE">
              <w:rPr>
                <w:rFonts w:ascii="Arial" w:hAnsi="Arial"/>
                <w:b/>
                <w:color w:val="000000"/>
                <w:sz w:val="16"/>
                <w:szCs w:val="16"/>
              </w:rPr>
              <w:t>Expected Performance Results</w:t>
            </w:r>
          </w:p>
        </w:tc>
      </w:tr>
      <w:tr w:rsidR="00204309" w:rsidRPr="00BA1388" w14:paraId="15DF544B" w14:textId="77777777" w:rsidTr="00514075">
        <w:tblPrEx>
          <w:shd w:val="clear" w:color="auto" w:fill="auto"/>
          <w:tblLook w:val="04A0" w:firstRow="1" w:lastRow="0" w:firstColumn="1" w:lastColumn="0" w:noHBand="0" w:noVBand="1"/>
        </w:tblPrEx>
        <w:trPr>
          <w:trHeight w:val="491"/>
        </w:trPr>
        <w:tc>
          <w:tcPr>
            <w:tcW w:w="1661" w:type="dxa"/>
            <w:tcBorders>
              <w:top w:val="single" w:sz="4" w:space="0" w:color="auto"/>
              <w:bottom w:val="single" w:sz="4" w:space="0" w:color="auto"/>
              <w:right w:val="single" w:sz="4" w:space="0" w:color="auto"/>
            </w:tcBorders>
          </w:tcPr>
          <w:p w14:paraId="432A09CA" w14:textId="77777777" w:rsidR="00204309" w:rsidRPr="00F043DE" w:rsidRDefault="00204309" w:rsidP="00204309">
            <w:pPr>
              <w:tabs>
                <w:tab w:val="left" w:pos="709"/>
              </w:tabs>
              <w:spacing w:before="0" w:after="0"/>
              <w:rPr>
                <w:rFonts w:ascii="Arial" w:hAnsi="Arial"/>
                <w:color w:val="000000"/>
                <w:sz w:val="16"/>
                <w:szCs w:val="16"/>
              </w:rPr>
            </w:pPr>
            <w:r w:rsidRPr="00F043DE">
              <w:rPr>
                <w:rFonts w:ascii="Arial" w:hAnsi="Arial"/>
                <w:color w:val="000000"/>
                <w:sz w:val="16"/>
                <w:szCs w:val="16"/>
              </w:rPr>
              <w:t>Forward Estimates</w:t>
            </w:r>
          </w:p>
          <w:p w14:paraId="3EC66E6A" w14:textId="77777777" w:rsidR="00204309" w:rsidRPr="00F043DE" w:rsidRDefault="00204309" w:rsidP="00204309">
            <w:pPr>
              <w:tabs>
                <w:tab w:val="left" w:pos="709"/>
              </w:tabs>
              <w:spacing w:before="0" w:after="0"/>
              <w:rPr>
                <w:rFonts w:ascii="Arial" w:hAnsi="Arial"/>
                <w:b/>
                <w:color w:val="000000"/>
                <w:sz w:val="16"/>
                <w:szCs w:val="16"/>
              </w:rPr>
            </w:pPr>
            <w:r w:rsidRPr="00F043DE">
              <w:rPr>
                <w:rFonts w:ascii="Arial" w:hAnsi="Arial"/>
                <w:color w:val="000000"/>
                <w:sz w:val="16"/>
                <w:szCs w:val="16"/>
              </w:rPr>
              <w:t>2026-29</w:t>
            </w:r>
          </w:p>
        </w:tc>
        <w:tc>
          <w:tcPr>
            <w:tcW w:w="2865" w:type="dxa"/>
            <w:tcBorders>
              <w:top w:val="single" w:sz="4" w:space="0" w:color="auto"/>
              <w:left w:val="single" w:sz="4" w:space="0" w:color="auto"/>
              <w:bottom w:val="single" w:sz="4" w:space="0" w:color="auto"/>
              <w:right w:val="single" w:sz="4" w:space="0" w:color="auto"/>
            </w:tcBorders>
          </w:tcPr>
          <w:p w14:paraId="5D869ECA" w14:textId="77777777" w:rsidR="00204309" w:rsidRPr="00F043DE" w:rsidRDefault="00204309" w:rsidP="00204309">
            <w:pPr>
              <w:tabs>
                <w:tab w:val="left" w:pos="709"/>
              </w:tabs>
              <w:spacing w:before="60" w:after="60"/>
              <w:rPr>
                <w:rFonts w:ascii="Arial" w:hAnsi="Arial"/>
                <w:b/>
                <w:color w:val="000000"/>
                <w:sz w:val="16"/>
                <w:szCs w:val="16"/>
              </w:rPr>
            </w:pPr>
            <w:r w:rsidRPr="00F043DE">
              <w:rPr>
                <w:rFonts w:ascii="Arial" w:hAnsi="Arial"/>
                <w:color w:val="000000"/>
                <w:sz w:val="16"/>
                <w:szCs w:val="16"/>
              </w:rPr>
              <w:t>As per 202</w:t>
            </w:r>
            <w:r>
              <w:rPr>
                <w:rFonts w:ascii="Arial" w:hAnsi="Arial"/>
                <w:color w:val="000000"/>
                <w:sz w:val="16"/>
                <w:szCs w:val="16"/>
              </w:rPr>
              <w:t>5</w:t>
            </w:r>
            <w:r w:rsidRPr="00F043DE">
              <w:rPr>
                <w:rFonts w:ascii="Arial" w:hAnsi="Arial"/>
                <w:color w:val="000000"/>
                <w:sz w:val="16"/>
                <w:szCs w:val="16"/>
              </w:rPr>
              <w:t>-2</w:t>
            </w:r>
            <w:r>
              <w:rPr>
                <w:rFonts w:ascii="Arial" w:hAnsi="Arial"/>
                <w:color w:val="000000"/>
                <w:sz w:val="16"/>
                <w:szCs w:val="16"/>
              </w:rPr>
              <w:t>6</w:t>
            </w:r>
            <w:r w:rsidRPr="00F043DE">
              <w:rPr>
                <w:rFonts w:ascii="Arial" w:hAnsi="Arial"/>
                <w:color w:val="000000"/>
                <w:sz w:val="16"/>
                <w:szCs w:val="16"/>
              </w:rPr>
              <w:t>.</w:t>
            </w:r>
          </w:p>
        </w:tc>
        <w:tc>
          <w:tcPr>
            <w:tcW w:w="3084" w:type="dxa"/>
            <w:tcBorders>
              <w:top w:val="single" w:sz="4" w:space="0" w:color="auto"/>
              <w:left w:val="single" w:sz="4" w:space="0" w:color="auto"/>
              <w:bottom w:val="single" w:sz="4" w:space="0" w:color="auto"/>
            </w:tcBorders>
          </w:tcPr>
          <w:p w14:paraId="108693C3" w14:textId="77777777" w:rsidR="00204309" w:rsidRPr="00F043DE" w:rsidRDefault="00204309" w:rsidP="00204309">
            <w:pPr>
              <w:tabs>
                <w:tab w:val="left" w:pos="709"/>
              </w:tabs>
              <w:spacing w:before="60" w:after="60"/>
              <w:rPr>
                <w:rFonts w:ascii="Arial" w:hAnsi="Arial"/>
                <w:b/>
                <w:color w:val="000000"/>
                <w:sz w:val="16"/>
                <w:szCs w:val="16"/>
              </w:rPr>
            </w:pPr>
            <w:r w:rsidRPr="00F043DE">
              <w:rPr>
                <w:rFonts w:ascii="Arial" w:hAnsi="Arial"/>
                <w:color w:val="000000"/>
                <w:sz w:val="16"/>
                <w:szCs w:val="16"/>
              </w:rPr>
              <w:t>As per 202</w:t>
            </w:r>
            <w:r>
              <w:rPr>
                <w:rFonts w:ascii="Arial" w:hAnsi="Arial"/>
                <w:color w:val="000000"/>
                <w:sz w:val="16"/>
                <w:szCs w:val="16"/>
              </w:rPr>
              <w:t>5</w:t>
            </w:r>
            <w:r w:rsidRPr="00F043DE">
              <w:rPr>
                <w:rFonts w:ascii="Arial" w:hAnsi="Arial"/>
                <w:color w:val="000000"/>
                <w:sz w:val="16"/>
                <w:szCs w:val="16"/>
              </w:rPr>
              <w:t>-2</w:t>
            </w:r>
            <w:r>
              <w:rPr>
                <w:rFonts w:ascii="Arial" w:hAnsi="Arial"/>
                <w:color w:val="000000"/>
                <w:sz w:val="16"/>
                <w:szCs w:val="16"/>
              </w:rPr>
              <w:t>6</w:t>
            </w:r>
            <w:r w:rsidRPr="00F043DE">
              <w:rPr>
                <w:rFonts w:ascii="Arial" w:hAnsi="Arial"/>
                <w:color w:val="000000"/>
                <w:sz w:val="16"/>
                <w:szCs w:val="16"/>
              </w:rPr>
              <w:t>.</w:t>
            </w:r>
          </w:p>
        </w:tc>
      </w:tr>
      <w:tr w:rsidR="00204309" w:rsidRPr="00FF6EA0" w14:paraId="3AB2250D" w14:textId="77777777" w:rsidTr="006440D6">
        <w:tblPrEx>
          <w:shd w:val="clear" w:color="auto" w:fill="auto"/>
          <w:tblLook w:val="04A0" w:firstRow="1" w:lastRow="0" w:firstColumn="1" w:lastColumn="0" w:noHBand="0" w:noVBand="1"/>
        </w:tblPrEx>
        <w:trPr>
          <w:trHeight w:val="291"/>
        </w:trPr>
        <w:tc>
          <w:tcPr>
            <w:tcW w:w="7610" w:type="dxa"/>
            <w:gridSpan w:val="3"/>
            <w:tcBorders>
              <w:top w:val="single" w:sz="4" w:space="0" w:color="auto"/>
            </w:tcBorders>
          </w:tcPr>
          <w:p w14:paraId="33B17A6B" w14:textId="6E4789F3" w:rsidR="00204309" w:rsidRPr="00FF6EA0" w:rsidRDefault="00204309" w:rsidP="00DA185E">
            <w:pPr>
              <w:tabs>
                <w:tab w:val="left" w:pos="709"/>
              </w:tabs>
              <w:spacing w:before="60" w:after="60"/>
              <w:rPr>
                <w:rFonts w:ascii="Arial" w:eastAsia="Cambria" w:hAnsi="Arial"/>
                <w:bCs/>
                <w:iCs/>
                <w:color w:val="000000"/>
                <w:spacing w:val="-6"/>
                <w:sz w:val="16"/>
                <w:szCs w:val="16"/>
                <w:lang w:val="x-none"/>
              </w:rPr>
            </w:pPr>
            <w:r w:rsidRPr="00FF6EA0">
              <w:rPr>
                <w:rFonts w:ascii="Arial" w:hAnsi="Arial"/>
                <w:color w:val="000000"/>
                <w:sz w:val="16"/>
                <w:szCs w:val="16"/>
              </w:rPr>
              <w:t>Material changes to Program 2.22 resulting from 202</w:t>
            </w:r>
            <w:r w:rsidR="00DA185E">
              <w:rPr>
                <w:rFonts w:ascii="Arial" w:hAnsi="Arial"/>
                <w:color w:val="000000"/>
                <w:sz w:val="16"/>
                <w:szCs w:val="16"/>
              </w:rPr>
              <w:t>5</w:t>
            </w:r>
            <w:r w:rsidRPr="00FF6EA0">
              <w:rPr>
                <w:rFonts w:ascii="Arial" w:hAnsi="Arial"/>
                <w:color w:val="000000"/>
                <w:sz w:val="16"/>
                <w:szCs w:val="16"/>
              </w:rPr>
              <w:t>-2</w:t>
            </w:r>
            <w:r w:rsidR="00DA185E">
              <w:rPr>
                <w:rFonts w:ascii="Arial" w:hAnsi="Arial"/>
                <w:color w:val="000000"/>
                <w:sz w:val="16"/>
                <w:szCs w:val="16"/>
              </w:rPr>
              <w:t>6</w:t>
            </w:r>
            <w:r w:rsidRPr="00FF6EA0">
              <w:rPr>
                <w:rFonts w:ascii="Arial" w:hAnsi="Arial"/>
                <w:color w:val="000000"/>
                <w:sz w:val="16"/>
                <w:szCs w:val="16"/>
              </w:rPr>
              <w:t xml:space="preserve"> Budget Measures: Nil.</w:t>
            </w:r>
          </w:p>
        </w:tc>
      </w:tr>
    </w:tbl>
    <w:p w14:paraId="5F4436D1" w14:textId="77777777" w:rsidR="00F7100A" w:rsidRPr="00FF6EA0" w:rsidRDefault="00F7100A" w:rsidP="00F7100A">
      <w:pPr>
        <w:pStyle w:val="TableHeading"/>
        <w:spacing w:before="0" w:after="0"/>
        <w:rPr>
          <w:sz w:val="16"/>
          <w:szCs w:val="16"/>
        </w:rPr>
      </w:pPr>
    </w:p>
    <w:p w14:paraId="56F7DA9F" w14:textId="77777777" w:rsidR="00F7100A" w:rsidRPr="00FF6EA0" w:rsidRDefault="00F7100A" w:rsidP="00F7100A">
      <w:pPr>
        <w:pStyle w:val="TableHeading"/>
        <w:spacing w:before="0" w:after="0"/>
        <w:rPr>
          <w:sz w:val="14"/>
          <w:szCs w:val="14"/>
        </w:rPr>
      </w:pPr>
      <w:r w:rsidRPr="00FF6EA0">
        <w:rPr>
          <w:sz w:val="14"/>
          <w:szCs w:val="14"/>
        </w:rPr>
        <w:t>Note</w:t>
      </w:r>
      <w:r w:rsidR="00AF08A6" w:rsidRPr="00FF6EA0">
        <w:rPr>
          <w:sz w:val="14"/>
          <w:szCs w:val="14"/>
        </w:rPr>
        <w:t>s</w:t>
      </w:r>
    </w:p>
    <w:p w14:paraId="7D8AF8C6" w14:textId="77777777" w:rsidR="00FF6EA0" w:rsidRPr="0058446B" w:rsidRDefault="00FF6EA0" w:rsidP="00444A89">
      <w:pPr>
        <w:pStyle w:val="TableHeading"/>
        <w:numPr>
          <w:ilvl w:val="0"/>
          <w:numId w:val="78"/>
        </w:numPr>
        <w:tabs>
          <w:tab w:val="left" w:pos="426"/>
        </w:tabs>
        <w:spacing w:before="0" w:after="0"/>
        <w:ind w:left="284" w:hanging="284"/>
        <w:rPr>
          <w:b w:val="0"/>
          <w:sz w:val="14"/>
          <w:szCs w:val="14"/>
          <w:lang w:val="en-AU"/>
        </w:rPr>
      </w:pPr>
      <w:r w:rsidRPr="0058446B">
        <w:rPr>
          <w:b w:val="0"/>
          <w:sz w:val="14"/>
          <w:szCs w:val="14"/>
          <w:lang w:val="en-AU"/>
        </w:rPr>
        <w:t xml:space="preserve">Performance Measures 4.1 and 4.2 have been amended, and Performance Measures 4.3 and 4.4 are new for 2024-25, as published in the updated 2024-28 Defence Corporate Plan in March 2025. </w:t>
      </w:r>
    </w:p>
    <w:p w14:paraId="1A99CEE5" w14:textId="6A7542FB" w:rsidR="009737EB" w:rsidRPr="00A54DB4" w:rsidRDefault="00A54DB4" w:rsidP="00444A89">
      <w:pPr>
        <w:pStyle w:val="TableHeading"/>
        <w:numPr>
          <w:ilvl w:val="0"/>
          <w:numId w:val="78"/>
        </w:numPr>
        <w:tabs>
          <w:tab w:val="left" w:pos="284"/>
        </w:tabs>
        <w:spacing w:before="0" w:after="0"/>
        <w:ind w:left="284" w:hanging="284"/>
        <w:rPr>
          <w:b w:val="0"/>
          <w:sz w:val="14"/>
          <w:szCs w:val="14"/>
        </w:rPr>
      </w:pPr>
      <w:r w:rsidRPr="00A54DB4">
        <w:rPr>
          <w:b w:val="0"/>
          <w:sz w:val="14"/>
          <w:szCs w:val="14"/>
          <w:lang w:val="en-AU"/>
        </w:rPr>
        <w:t>In accordance with Defence’s Enterprise Performance Framework, Defence is undertaking materiality assessments that may result in updates to the 2025-26 performance information in the 2025-29 Defence Corporate Plan, if required</w:t>
      </w:r>
      <w:r w:rsidR="009737EB" w:rsidRPr="00A54DB4">
        <w:rPr>
          <w:b w:val="0"/>
          <w:sz w:val="14"/>
          <w:szCs w:val="14"/>
          <w:lang w:val="en-AU"/>
        </w:rPr>
        <w:t xml:space="preserve">. </w:t>
      </w:r>
    </w:p>
    <w:p w14:paraId="5776BD2A" w14:textId="226CBF03" w:rsidR="008A23D4" w:rsidRDefault="008A23D4" w:rsidP="009737EB">
      <w:pPr>
        <w:pStyle w:val="TableHeading"/>
        <w:tabs>
          <w:tab w:val="left" w:pos="284"/>
        </w:tabs>
        <w:spacing w:before="0" w:after="0"/>
        <w:ind w:left="284"/>
        <w:rPr>
          <w:b w:val="0"/>
          <w:sz w:val="14"/>
          <w:szCs w:val="14"/>
        </w:rPr>
      </w:pPr>
    </w:p>
    <w:p w14:paraId="40E890E9" w14:textId="77777777" w:rsidR="00F0724F" w:rsidRPr="00F0724F" w:rsidRDefault="00F0724F" w:rsidP="00F0724F"/>
    <w:p w14:paraId="0143CA34" w14:textId="0F000E62" w:rsidR="00F70553" w:rsidRPr="007F1A2C" w:rsidRDefault="00F70553" w:rsidP="00D9100A">
      <w:pPr>
        <w:pStyle w:val="TableHeading"/>
        <w:numPr>
          <w:ilvl w:val="0"/>
          <w:numId w:val="29"/>
        </w:numPr>
        <w:spacing w:before="0" w:after="120"/>
        <w:ind w:left="0" w:firstLine="0"/>
        <w:outlineLvl w:val="6"/>
      </w:pPr>
      <w:r w:rsidRPr="007F1A2C">
        <w:t>Cost Summary for Administered Program 2</w:t>
      </w:r>
      <w:r w:rsidR="005F39C7" w:rsidRPr="007F1A2C">
        <w:t>.</w:t>
      </w:r>
      <w:r w:rsidR="00126610" w:rsidRPr="007F1A2C">
        <w:t>22</w:t>
      </w:r>
      <w:r w:rsidR="005F39C7" w:rsidRPr="007F1A2C">
        <w:t xml:space="preserve"> Housing Assistance</w:t>
      </w:r>
    </w:p>
    <w:p w14:paraId="20B0ED7B" w14:textId="3FD507CE" w:rsidR="00D3202A" w:rsidRPr="00B56FAA" w:rsidRDefault="00CB71E0" w:rsidP="00C11436">
      <w:pPr>
        <w:spacing w:before="0" w:after="0"/>
      </w:pPr>
      <w:r w:rsidRPr="00CB71E0">
        <w:rPr>
          <w:noProof/>
          <w:lang w:val="en-AU"/>
        </w:rPr>
        <w:drawing>
          <wp:inline distT="0" distB="0" distL="0" distR="0" wp14:anchorId="4C378278" wp14:editId="2BD16770">
            <wp:extent cx="4986020" cy="1961129"/>
            <wp:effectExtent l="0" t="0" r="508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86020" cy="1961129"/>
                    </a:xfrm>
                    <a:prstGeom prst="rect">
                      <a:avLst/>
                    </a:prstGeom>
                    <a:noFill/>
                    <a:ln>
                      <a:noFill/>
                    </a:ln>
                  </pic:spPr>
                </pic:pic>
              </a:graphicData>
            </a:graphic>
          </wp:inline>
        </w:drawing>
      </w:r>
    </w:p>
    <w:p w14:paraId="3E935131" w14:textId="77777777" w:rsidR="00C11436" w:rsidRDefault="00C11436" w:rsidP="00C11436">
      <w:pPr>
        <w:spacing w:before="0" w:after="0"/>
        <w:rPr>
          <w:rFonts w:ascii="Arial" w:hAnsi="Arial"/>
          <w:b/>
          <w:sz w:val="14"/>
          <w:szCs w:val="14"/>
          <w:lang w:val="en-AU"/>
        </w:rPr>
      </w:pPr>
    </w:p>
    <w:p w14:paraId="349E8B0C" w14:textId="77777777" w:rsidR="000D2EB8" w:rsidRDefault="000D2EB8" w:rsidP="00C11436">
      <w:pPr>
        <w:spacing w:before="0" w:after="0"/>
        <w:rPr>
          <w:rFonts w:ascii="Arial" w:hAnsi="Arial"/>
          <w:b/>
          <w:sz w:val="14"/>
          <w:szCs w:val="14"/>
          <w:lang w:val="en-AU"/>
        </w:rPr>
      </w:pPr>
      <w:r>
        <w:rPr>
          <w:rFonts w:ascii="Arial" w:hAnsi="Arial"/>
          <w:b/>
          <w:sz w:val="14"/>
          <w:szCs w:val="14"/>
          <w:lang w:val="en-AU"/>
        </w:rPr>
        <w:t>Notes</w:t>
      </w:r>
    </w:p>
    <w:p w14:paraId="2B3647F2" w14:textId="2484F50D" w:rsidR="00855CD3" w:rsidRPr="00855CD3" w:rsidRDefault="000D2EB8" w:rsidP="00855CD3">
      <w:pPr>
        <w:spacing w:before="0" w:after="0"/>
        <w:ind w:left="284" w:hanging="284"/>
        <w:rPr>
          <w:rFonts w:ascii="Arial" w:hAnsi="Arial"/>
          <w:sz w:val="14"/>
          <w:szCs w:val="14"/>
          <w:lang w:val="en-AU"/>
        </w:rPr>
      </w:pPr>
      <w:r w:rsidRPr="000D2EB8">
        <w:rPr>
          <w:rFonts w:ascii="Arial" w:hAnsi="Arial"/>
          <w:sz w:val="14"/>
          <w:szCs w:val="14"/>
          <w:lang w:val="en-AU"/>
        </w:rPr>
        <w:t xml:space="preserve">a. </w:t>
      </w:r>
      <w:r>
        <w:rPr>
          <w:rFonts w:ascii="Arial" w:hAnsi="Arial"/>
          <w:sz w:val="14"/>
          <w:szCs w:val="14"/>
          <w:lang w:val="en-AU"/>
        </w:rPr>
        <w:tab/>
      </w:r>
      <w:r>
        <w:rPr>
          <w:rFonts w:ascii="Arial" w:hAnsi="Arial"/>
          <w:sz w:val="14"/>
          <w:szCs w:val="14"/>
          <w:lang w:val="en-AU"/>
        </w:rPr>
        <w:tab/>
      </w:r>
      <w:r>
        <w:rPr>
          <w:rFonts w:ascii="Arial" w:hAnsi="Arial"/>
          <w:sz w:val="14"/>
          <w:szCs w:val="14"/>
          <w:lang w:val="en-AU"/>
        </w:rPr>
        <w:tab/>
      </w:r>
      <w:r w:rsidR="00855CD3" w:rsidRPr="00855CD3">
        <w:rPr>
          <w:rFonts w:ascii="Arial" w:hAnsi="Arial"/>
          <w:sz w:val="14"/>
          <w:szCs w:val="14"/>
          <w:lang w:val="en-AU"/>
        </w:rPr>
        <w:t xml:space="preserve">Negative amounts denote revenue. </w:t>
      </w:r>
      <w:r w:rsidR="00855CD3" w:rsidRPr="00855CD3">
        <w:rPr>
          <w:rFonts w:ascii="Arial" w:hAnsi="Arial"/>
          <w:sz w:val="14"/>
          <w:szCs w:val="14"/>
          <w:lang w:val="en-AU"/>
        </w:rPr>
        <w:tab/>
      </w:r>
      <w:r w:rsidR="00855CD3" w:rsidRPr="00855CD3">
        <w:rPr>
          <w:rFonts w:ascii="Arial" w:hAnsi="Arial"/>
          <w:sz w:val="14"/>
          <w:szCs w:val="14"/>
          <w:lang w:val="en-AU"/>
        </w:rPr>
        <w:tab/>
      </w:r>
      <w:r w:rsidR="00855CD3" w:rsidRPr="00855CD3">
        <w:rPr>
          <w:rFonts w:ascii="Arial" w:hAnsi="Arial"/>
          <w:sz w:val="14"/>
          <w:szCs w:val="14"/>
          <w:lang w:val="en-AU"/>
        </w:rPr>
        <w:tab/>
      </w:r>
      <w:r w:rsidR="00855CD3" w:rsidRPr="00855CD3">
        <w:rPr>
          <w:rFonts w:ascii="Arial" w:hAnsi="Arial"/>
          <w:sz w:val="14"/>
          <w:szCs w:val="14"/>
          <w:lang w:val="en-AU"/>
        </w:rPr>
        <w:tab/>
      </w:r>
      <w:r w:rsidR="00855CD3" w:rsidRPr="00855CD3">
        <w:rPr>
          <w:rFonts w:ascii="Arial" w:hAnsi="Arial"/>
          <w:sz w:val="14"/>
          <w:szCs w:val="14"/>
          <w:lang w:val="en-AU"/>
        </w:rPr>
        <w:tab/>
      </w:r>
    </w:p>
    <w:p w14:paraId="41491D08" w14:textId="078E051A" w:rsidR="00BA1388" w:rsidRPr="000F665C" w:rsidRDefault="00855CD3" w:rsidP="00855CD3">
      <w:pPr>
        <w:spacing w:before="0" w:after="0"/>
        <w:ind w:left="284" w:hanging="284"/>
        <w:rPr>
          <w:rFonts w:ascii="Arial" w:hAnsi="Arial"/>
          <w:sz w:val="14"/>
          <w:szCs w:val="14"/>
          <w:lang w:val="en-AU"/>
        </w:rPr>
      </w:pPr>
      <w:r w:rsidRPr="00855CD3">
        <w:rPr>
          <w:rFonts w:ascii="Arial" w:hAnsi="Arial"/>
          <w:sz w:val="14"/>
          <w:szCs w:val="14"/>
          <w:lang w:val="en-AU"/>
        </w:rPr>
        <w:t xml:space="preserve">b. </w:t>
      </w:r>
      <w:r>
        <w:rPr>
          <w:rFonts w:ascii="Arial" w:hAnsi="Arial"/>
          <w:sz w:val="14"/>
          <w:szCs w:val="14"/>
          <w:lang w:val="en-AU"/>
        </w:rPr>
        <w:tab/>
      </w:r>
      <w:r w:rsidRPr="00855CD3">
        <w:rPr>
          <w:rFonts w:ascii="Arial" w:hAnsi="Arial"/>
          <w:sz w:val="14"/>
          <w:szCs w:val="14"/>
          <w:lang w:val="en-AU"/>
        </w:rPr>
        <w:t xml:space="preserve">Licence fees are charged to home loan providers under the Defence Home Ownership Assistance Scheme. The home loan providers are required to remit a portion of home loan revenue to the Australian Government. </w:t>
      </w:r>
      <w:r w:rsidRPr="00855CD3">
        <w:rPr>
          <w:rFonts w:ascii="Arial" w:hAnsi="Arial"/>
          <w:sz w:val="14"/>
          <w:szCs w:val="14"/>
          <w:lang w:val="en-AU"/>
        </w:rPr>
        <w:tab/>
      </w:r>
      <w:r w:rsidRPr="00855CD3">
        <w:rPr>
          <w:rFonts w:ascii="Arial" w:hAnsi="Arial"/>
          <w:sz w:val="14"/>
          <w:szCs w:val="14"/>
          <w:lang w:val="en-AU"/>
        </w:rPr>
        <w:tab/>
      </w:r>
      <w:r w:rsidRPr="00855CD3">
        <w:rPr>
          <w:rFonts w:ascii="Arial" w:hAnsi="Arial"/>
          <w:sz w:val="14"/>
          <w:szCs w:val="14"/>
          <w:lang w:val="en-AU"/>
        </w:rPr>
        <w:tab/>
      </w:r>
      <w:r w:rsidRPr="00855CD3">
        <w:rPr>
          <w:rFonts w:ascii="Arial" w:hAnsi="Arial"/>
          <w:sz w:val="14"/>
          <w:szCs w:val="14"/>
          <w:lang w:val="en-AU"/>
        </w:rPr>
        <w:tab/>
      </w:r>
      <w:r w:rsidRPr="00855CD3">
        <w:rPr>
          <w:rFonts w:ascii="Arial" w:hAnsi="Arial"/>
          <w:sz w:val="14"/>
          <w:szCs w:val="14"/>
          <w:lang w:val="en-AU"/>
        </w:rPr>
        <w:tab/>
      </w:r>
    </w:p>
    <w:p w14:paraId="2CEB954C" w14:textId="77777777" w:rsidR="000D2EB8" w:rsidRPr="000D2EB8" w:rsidRDefault="000D2EB8" w:rsidP="000D2EB8">
      <w:pPr>
        <w:spacing w:before="0" w:after="0"/>
        <w:ind w:left="284" w:hanging="284"/>
        <w:rPr>
          <w:rFonts w:ascii="Arial" w:hAnsi="Arial"/>
          <w:sz w:val="14"/>
          <w:szCs w:val="14"/>
          <w:lang w:val="en-AU"/>
        </w:rPr>
      </w:pPr>
      <w:r w:rsidRPr="000D2EB8">
        <w:rPr>
          <w:rFonts w:ascii="Arial" w:hAnsi="Arial"/>
          <w:sz w:val="14"/>
          <w:szCs w:val="14"/>
          <w:lang w:val="en-AU"/>
        </w:rPr>
        <w:t xml:space="preserve"> </w:t>
      </w:r>
      <w:r w:rsidRPr="000D2EB8">
        <w:rPr>
          <w:rFonts w:ascii="Arial" w:hAnsi="Arial"/>
          <w:sz w:val="14"/>
          <w:szCs w:val="14"/>
          <w:lang w:val="en-AU"/>
        </w:rPr>
        <w:tab/>
      </w:r>
      <w:r w:rsidRPr="000D2EB8">
        <w:rPr>
          <w:rFonts w:ascii="Arial" w:hAnsi="Arial"/>
          <w:sz w:val="14"/>
          <w:szCs w:val="14"/>
          <w:lang w:val="en-AU"/>
        </w:rPr>
        <w:tab/>
      </w:r>
      <w:r w:rsidRPr="000D2EB8">
        <w:rPr>
          <w:rFonts w:ascii="Arial" w:hAnsi="Arial"/>
          <w:sz w:val="14"/>
          <w:szCs w:val="14"/>
          <w:lang w:val="en-AU"/>
        </w:rPr>
        <w:tab/>
      </w:r>
      <w:r w:rsidRPr="000D2EB8">
        <w:rPr>
          <w:rFonts w:ascii="Arial" w:hAnsi="Arial"/>
          <w:sz w:val="14"/>
          <w:szCs w:val="14"/>
          <w:lang w:val="en-AU"/>
        </w:rPr>
        <w:tab/>
      </w:r>
      <w:r w:rsidRPr="000D2EB8">
        <w:rPr>
          <w:rFonts w:ascii="Arial" w:hAnsi="Arial"/>
          <w:sz w:val="14"/>
          <w:szCs w:val="14"/>
          <w:lang w:val="en-AU"/>
        </w:rPr>
        <w:tab/>
      </w:r>
    </w:p>
    <w:p w14:paraId="64CB52D5" w14:textId="77777777" w:rsidR="005C0D6D" w:rsidRPr="00B56FAA" w:rsidRDefault="00FA1512" w:rsidP="007563DC">
      <w:pPr>
        <w:rPr>
          <w:color w:val="FFFFFF"/>
          <w:lang w:val="en-AU"/>
        </w:rPr>
      </w:pPr>
      <w:r w:rsidRPr="00B56FAA">
        <w:rPr>
          <w:color w:val="FFFFFF"/>
          <w:lang w:val="en-AU"/>
        </w:rPr>
        <w:br w:type="page"/>
      </w:r>
    </w:p>
    <w:p w14:paraId="6735A77E" w14:textId="77777777" w:rsidR="00B71852" w:rsidRPr="00B56FAA" w:rsidRDefault="00B71852" w:rsidP="00B71852">
      <w:pPr>
        <w:spacing w:before="0" w:after="0"/>
        <w:outlineLvl w:val="5"/>
        <w:rPr>
          <w:color w:val="FFFFFF"/>
          <w:sz w:val="2"/>
          <w:szCs w:val="2"/>
        </w:rPr>
      </w:pPr>
      <w:r w:rsidRPr="00B56FAA">
        <w:rPr>
          <w:color w:val="FFFFFF"/>
          <w:sz w:val="2"/>
          <w:szCs w:val="2"/>
        </w:rPr>
        <w:lastRenderedPageBreak/>
        <w:t>Administered Program 2.</w:t>
      </w:r>
      <w:r w:rsidR="00777CE3" w:rsidRPr="00B56FAA">
        <w:rPr>
          <w:color w:val="FFFFFF"/>
          <w:sz w:val="2"/>
          <w:szCs w:val="2"/>
        </w:rPr>
        <w:t>23</w:t>
      </w:r>
      <w:r w:rsidRPr="00B56FAA">
        <w:rPr>
          <w:color w:val="FFFFFF"/>
          <w:sz w:val="2"/>
          <w:szCs w:val="2"/>
        </w:rPr>
        <w:t>: Other Administered</w:t>
      </w:r>
    </w:p>
    <w:tbl>
      <w:tblPr>
        <w:tblW w:w="4852"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1661"/>
        <w:gridCol w:w="2865"/>
        <w:gridCol w:w="3084"/>
      </w:tblGrid>
      <w:tr w:rsidR="00F7100A" w:rsidRPr="00B56FAA" w14:paraId="6D845C6A" w14:textId="77777777" w:rsidTr="00DA185E">
        <w:tc>
          <w:tcPr>
            <w:tcW w:w="7610" w:type="dxa"/>
            <w:gridSpan w:val="3"/>
            <w:tcBorders>
              <w:bottom w:val="single" w:sz="4" w:space="0" w:color="auto"/>
            </w:tcBorders>
            <w:shd w:val="clear" w:color="auto" w:fill="CCCCCC"/>
          </w:tcPr>
          <w:p w14:paraId="10677F1E" w14:textId="77777777" w:rsidR="00F7100A" w:rsidRPr="00B56FAA" w:rsidRDefault="00F7100A" w:rsidP="00072EF9">
            <w:pPr>
              <w:pStyle w:val="Heading5"/>
              <w:spacing w:before="60" w:after="60"/>
            </w:pPr>
            <w:r w:rsidRPr="00B56FAA">
              <w:t>Administered Program 2.23: Other Administered</w:t>
            </w:r>
          </w:p>
        </w:tc>
      </w:tr>
      <w:tr w:rsidR="00F7100A" w:rsidRPr="00B56FAA" w14:paraId="163E56F9" w14:textId="77777777" w:rsidTr="00DA185E">
        <w:tc>
          <w:tcPr>
            <w:tcW w:w="7610" w:type="dxa"/>
            <w:gridSpan w:val="3"/>
            <w:tcBorders>
              <w:left w:val="nil"/>
              <w:bottom w:val="single" w:sz="4" w:space="0" w:color="auto"/>
              <w:right w:val="nil"/>
            </w:tcBorders>
            <w:shd w:val="clear" w:color="auto" w:fill="auto"/>
          </w:tcPr>
          <w:p w14:paraId="09DA4965" w14:textId="77777777" w:rsidR="00F7100A" w:rsidRPr="00B56FAA" w:rsidRDefault="00F7100A" w:rsidP="00072EF9">
            <w:pPr>
              <w:pStyle w:val="Heading5"/>
              <w:spacing w:before="0" w:after="0"/>
              <w:rPr>
                <w:sz w:val="16"/>
                <w:szCs w:val="16"/>
              </w:rPr>
            </w:pPr>
          </w:p>
        </w:tc>
      </w:tr>
      <w:tr w:rsidR="00F7100A" w:rsidRPr="00FF6EA0" w14:paraId="3A162713" w14:textId="77777777" w:rsidTr="00DA185E">
        <w:tblPrEx>
          <w:shd w:val="clear" w:color="auto" w:fill="auto"/>
          <w:tblLook w:val="04A0" w:firstRow="1" w:lastRow="0" w:firstColumn="1" w:lastColumn="0" w:noHBand="0" w:noVBand="1"/>
        </w:tblPrEx>
        <w:trPr>
          <w:trHeight w:val="340"/>
          <w:tblHeader/>
        </w:trPr>
        <w:tc>
          <w:tcPr>
            <w:tcW w:w="7610" w:type="dxa"/>
            <w:gridSpan w:val="3"/>
            <w:shd w:val="clear" w:color="auto" w:fill="E6E6E6"/>
          </w:tcPr>
          <w:p w14:paraId="709B5988" w14:textId="77777777" w:rsidR="00F7100A" w:rsidRPr="00FF6EA0" w:rsidRDefault="00F7100A" w:rsidP="00072EF9">
            <w:pPr>
              <w:tabs>
                <w:tab w:val="left" w:pos="709"/>
              </w:tabs>
              <w:spacing w:before="60" w:after="60"/>
              <w:rPr>
                <w:rFonts w:ascii="Arial" w:hAnsi="Arial"/>
                <w:sz w:val="16"/>
                <w:szCs w:val="16"/>
                <w:lang w:val="en-AU"/>
              </w:rPr>
            </w:pPr>
            <w:r w:rsidRPr="00FF6EA0">
              <w:rPr>
                <w:rFonts w:ascii="Arial" w:hAnsi="Arial"/>
                <w:b/>
                <w:sz w:val="16"/>
                <w:szCs w:val="16"/>
                <w:lang w:val="en-AU"/>
              </w:rPr>
              <w:t>Administered Program 2.23</w:t>
            </w:r>
            <w:r w:rsidRPr="00FF6EA0">
              <w:rPr>
                <w:rFonts w:ascii="Arial" w:hAnsi="Arial"/>
                <w:sz w:val="16"/>
                <w:szCs w:val="16"/>
                <w:lang w:val="en-AU"/>
              </w:rPr>
              <w:t xml:space="preserve"> </w:t>
            </w:r>
            <w:r w:rsidRPr="00FF6EA0">
              <w:rPr>
                <w:rFonts w:ascii="Arial" w:hAnsi="Arial"/>
                <w:b/>
                <w:sz w:val="16"/>
                <w:szCs w:val="16"/>
                <w:lang w:val="en-AU"/>
              </w:rPr>
              <w:t>Objective</w:t>
            </w:r>
          </w:p>
          <w:p w14:paraId="12C6B6C3" w14:textId="77777777" w:rsidR="00F7100A" w:rsidRPr="00FF6EA0" w:rsidRDefault="00F7100A" w:rsidP="00072EF9">
            <w:pPr>
              <w:spacing w:before="60" w:after="60"/>
              <w:rPr>
                <w:rFonts w:ascii="Arial" w:hAnsi="Arial"/>
                <w:sz w:val="16"/>
                <w:szCs w:val="16"/>
                <w:lang w:val="en-AU"/>
              </w:rPr>
            </w:pPr>
            <w:r w:rsidRPr="00FF6EA0">
              <w:rPr>
                <w:rFonts w:ascii="Arial" w:hAnsi="Arial"/>
                <w:sz w:val="16"/>
                <w:szCs w:val="16"/>
                <w:lang w:val="en-AU"/>
              </w:rPr>
              <w:t>This program comprises three elements:</w:t>
            </w:r>
          </w:p>
          <w:p w14:paraId="6C5E1028" w14:textId="77777777" w:rsidR="00F7100A" w:rsidRPr="00FF6EA0" w:rsidRDefault="00F7100A" w:rsidP="00444A89">
            <w:pPr>
              <w:numPr>
                <w:ilvl w:val="0"/>
                <w:numId w:val="41"/>
              </w:numPr>
              <w:tabs>
                <w:tab w:val="clear" w:pos="720"/>
                <w:tab w:val="num" w:pos="453"/>
              </w:tabs>
              <w:spacing w:before="60" w:after="60"/>
              <w:ind w:left="434"/>
              <w:rPr>
                <w:rFonts w:ascii="Arial" w:hAnsi="Arial"/>
                <w:sz w:val="16"/>
                <w:szCs w:val="16"/>
                <w:lang w:val="en-AU"/>
              </w:rPr>
            </w:pPr>
            <w:r w:rsidRPr="00FF6EA0">
              <w:rPr>
                <w:rFonts w:ascii="Arial" w:hAnsi="Arial"/>
                <w:sz w:val="16"/>
                <w:szCs w:val="16"/>
                <w:lang w:val="en-AU"/>
              </w:rPr>
              <w:t>Interest earned on overdue accounts and on official bank accounts held to facilitate operational requirements.</w:t>
            </w:r>
          </w:p>
          <w:p w14:paraId="6F9ECD02" w14:textId="77777777" w:rsidR="00F7100A" w:rsidRPr="00FF6EA0" w:rsidRDefault="00F7100A" w:rsidP="00444A89">
            <w:pPr>
              <w:numPr>
                <w:ilvl w:val="0"/>
                <w:numId w:val="41"/>
              </w:numPr>
              <w:tabs>
                <w:tab w:val="clear" w:pos="720"/>
                <w:tab w:val="num" w:pos="453"/>
              </w:tabs>
              <w:spacing w:before="60" w:after="60"/>
              <w:ind w:left="434"/>
              <w:rPr>
                <w:rFonts w:ascii="Arial" w:hAnsi="Arial"/>
                <w:sz w:val="16"/>
                <w:szCs w:val="16"/>
                <w:lang w:val="en-AU"/>
              </w:rPr>
            </w:pPr>
            <w:r w:rsidRPr="00FF6EA0">
              <w:rPr>
                <w:rFonts w:ascii="Arial" w:hAnsi="Arial"/>
                <w:sz w:val="16"/>
                <w:szCs w:val="16"/>
                <w:lang w:val="en-AU"/>
              </w:rPr>
              <w:t>Interest on Government loans to fund the building of new accommodation, dividends and tax equivalent payments received from the DHA.</w:t>
            </w:r>
          </w:p>
          <w:p w14:paraId="3A2BB6F2" w14:textId="77777777" w:rsidR="00F7100A" w:rsidRPr="00FF6EA0" w:rsidRDefault="00F7100A" w:rsidP="00444A89">
            <w:pPr>
              <w:numPr>
                <w:ilvl w:val="0"/>
                <w:numId w:val="41"/>
              </w:numPr>
              <w:tabs>
                <w:tab w:val="clear" w:pos="720"/>
                <w:tab w:val="num" w:pos="453"/>
              </w:tabs>
              <w:spacing w:before="60" w:after="60"/>
              <w:ind w:left="434"/>
              <w:rPr>
                <w:rFonts w:ascii="Arial" w:hAnsi="Arial"/>
                <w:sz w:val="16"/>
                <w:szCs w:val="16"/>
              </w:rPr>
            </w:pPr>
            <w:r w:rsidRPr="00FF6EA0">
              <w:rPr>
                <w:rFonts w:ascii="Arial" w:hAnsi="Arial"/>
                <w:sz w:val="16"/>
                <w:szCs w:val="16"/>
                <w:lang w:val="en-AU"/>
              </w:rPr>
              <w:t>Revenue received from science and technology royalt</w:t>
            </w:r>
            <w:r w:rsidR="00551510" w:rsidRPr="00FF6EA0">
              <w:rPr>
                <w:rFonts w:ascii="Arial" w:hAnsi="Arial"/>
                <w:sz w:val="16"/>
                <w:szCs w:val="16"/>
                <w:lang w:val="en-AU"/>
              </w:rPr>
              <w:t>ies where the royalties offset D</w:t>
            </w:r>
            <w:r w:rsidRPr="00FF6EA0">
              <w:rPr>
                <w:rFonts w:ascii="Arial" w:hAnsi="Arial"/>
                <w:sz w:val="16"/>
                <w:szCs w:val="16"/>
                <w:lang w:val="en-AU"/>
              </w:rPr>
              <w:t>epartmental cost of an activity, to the extent there was no appropriation for the activity.</w:t>
            </w:r>
          </w:p>
        </w:tc>
      </w:tr>
      <w:tr w:rsidR="00F7100A" w:rsidRPr="00FF6EA0" w14:paraId="49C06C4B" w14:textId="77777777" w:rsidTr="00514075">
        <w:tblPrEx>
          <w:shd w:val="clear" w:color="auto" w:fill="auto"/>
          <w:tblLook w:val="04A0" w:firstRow="1" w:lastRow="0" w:firstColumn="1" w:lastColumn="0" w:noHBand="0" w:noVBand="1"/>
        </w:tblPrEx>
        <w:trPr>
          <w:trHeight w:val="312"/>
        </w:trPr>
        <w:tc>
          <w:tcPr>
            <w:tcW w:w="1661" w:type="dxa"/>
            <w:tcBorders>
              <w:bottom w:val="single" w:sz="4" w:space="0" w:color="auto"/>
            </w:tcBorders>
          </w:tcPr>
          <w:p w14:paraId="7EE5D07A" w14:textId="77777777" w:rsidR="00F7100A" w:rsidRPr="00FF6EA0" w:rsidRDefault="00FF6EA0" w:rsidP="00FF6EA0">
            <w:pPr>
              <w:tabs>
                <w:tab w:val="left" w:pos="709"/>
              </w:tabs>
              <w:spacing w:before="60" w:after="60"/>
              <w:rPr>
                <w:rFonts w:ascii="Arial" w:hAnsi="Arial"/>
                <w:b/>
                <w:color w:val="000000"/>
                <w:sz w:val="16"/>
                <w:szCs w:val="16"/>
              </w:rPr>
            </w:pPr>
            <w:r>
              <w:rPr>
                <w:rFonts w:ascii="Arial" w:hAnsi="Arial"/>
                <w:b/>
                <w:color w:val="000000"/>
                <w:sz w:val="16"/>
                <w:szCs w:val="16"/>
              </w:rPr>
              <w:t>Key Activity</w:t>
            </w:r>
          </w:p>
        </w:tc>
        <w:tc>
          <w:tcPr>
            <w:tcW w:w="5949" w:type="dxa"/>
            <w:gridSpan w:val="2"/>
            <w:tcBorders>
              <w:bottom w:val="single" w:sz="4" w:space="0" w:color="auto"/>
            </w:tcBorders>
          </w:tcPr>
          <w:p w14:paraId="517BCA96" w14:textId="77777777" w:rsidR="00F7100A" w:rsidRPr="00FF6EA0" w:rsidRDefault="00F7100A" w:rsidP="00072EF9">
            <w:pPr>
              <w:tabs>
                <w:tab w:val="left" w:pos="709"/>
              </w:tabs>
              <w:spacing w:before="60" w:after="60"/>
              <w:rPr>
                <w:rFonts w:ascii="Arial" w:hAnsi="Arial"/>
                <w:color w:val="000000"/>
                <w:sz w:val="16"/>
                <w:szCs w:val="16"/>
                <w:lang w:val="en-AU"/>
              </w:rPr>
            </w:pPr>
            <w:r w:rsidRPr="00FF6EA0">
              <w:rPr>
                <w:rFonts w:ascii="Arial" w:hAnsi="Arial"/>
                <w:color w:val="000000"/>
                <w:sz w:val="16"/>
                <w:szCs w:val="16"/>
                <w:lang w:val="en-AU"/>
              </w:rPr>
              <w:t xml:space="preserve">This program will be achieved </w:t>
            </w:r>
            <w:r w:rsidRPr="00FF6EA0">
              <w:rPr>
                <w:rFonts w:ascii="Arial" w:hAnsi="Arial"/>
                <w:bCs/>
                <w:color w:val="000000"/>
                <w:sz w:val="16"/>
                <w:szCs w:val="16"/>
                <w:lang w:val="en-AU"/>
              </w:rPr>
              <w:t>through the following activity</w:t>
            </w:r>
            <w:r w:rsidRPr="00FF6EA0">
              <w:rPr>
                <w:rFonts w:ascii="Arial" w:hAnsi="Arial"/>
                <w:color w:val="000000"/>
                <w:sz w:val="16"/>
                <w:szCs w:val="16"/>
                <w:lang w:val="en-AU"/>
              </w:rPr>
              <w:t>:</w:t>
            </w:r>
          </w:p>
          <w:p w14:paraId="1517B67C" w14:textId="77777777" w:rsidR="00F7100A" w:rsidRPr="00FF6EA0" w:rsidRDefault="00F7100A" w:rsidP="00072EF9">
            <w:pPr>
              <w:tabs>
                <w:tab w:val="left" w:pos="709"/>
              </w:tabs>
              <w:spacing w:before="60" w:after="60"/>
              <w:rPr>
                <w:rFonts w:ascii="Arial" w:hAnsi="Arial"/>
                <w:i/>
                <w:color w:val="000000"/>
                <w:sz w:val="16"/>
                <w:szCs w:val="16"/>
              </w:rPr>
            </w:pPr>
            <w:r w:rsidRPr="00FF6EA0">
              <w:rPr>
                <w:rFonts w:ascii="Arial" w:hAnsi="Arial"/>
                <w:b/>
                <w:sz w:val="16"/>
                <w:szCs w:val="16"/>
                <w:lang w:val="en-AU"/>
              </w:rPr>
              <w:t>4. Invest in Defence People</w:t>
            </w:r>
            <w:r w:rsidRPr="00FF6EA0">
              <w:rPr>
                <w:rFonts w:ascii="Arial" w:hAnsi="Arial"/>
                <w:sz w:val="16"/>
                <w:szCs w:val="16"/>
                <w:lang w:val="en-AU"/>
              </w:rPr>
              <w:t>. Defence has an integrated workforce comprised of Australian Defence Force members, Australian Public Service employees and contractors. We are committed to investing in the growth and retention of a highly skilled workforce to meet Australia’s defence and national security requirements.</w:t>
            </w:r>
          </w:p>
        </w:tc>
      </w:tr>
      <w:tr w:rsidR="00F7100A" w:rsidRPr="00FF6EA0" w14:paraId="61CE7340" w14:textId="77777777" w:rsidTr="00514075">
        <w:tblPrEx>
          <w:shd w:val="clear" w:color="auto" w:fill="auto"/>
          <w:tblLook w:val="04A0" w:firstRow="1" w:lastRow="0" w:firstColumn="1" w:lastColumn="0" w:noHBand="0" w:noVBand="1"/>
        </w:tblPrEx>
        <w:trPr>
          <w:trHeight w:val="100"/>
        </w:trPr>
        <w:tc>
          <w:tcPr>
            <w:tcW w:w="1661" w:type="dxa"/>
            <w:tcBorders>
              <w:top w:val="single" w:sz="4" w:space="0" w:color="auto"/>
              <w:bottom w:val="single" w:sz="4" w:space="0" w:color="auto"/>
              <w:right w:val="single" w:sz="4" w:space="0" w:color="auto"/>
            </w:tcBorders>
          </w:tcPr>
          <w:p w14:paraId="76074A64" w14:textId="77777777" w:rsidR="00F7100A" w:rsidRPr="00FF6EA0" w:rsidRDefault="00F7100A" w:rsidP="00072EF9">
            <w:pPr>
              <w:tabs>
                <w:tab w:val="left" w:pos="709"/>
              </w:tabs>
              <w:spacing w:before="60" w:after="60"/>
              <w:rPr>
                <w:rFonts w:ascii="Arial" w:hAnsi="Arial"/>
                <w:color w:val="000000"/>
                <w:sz w:val="16"/>
                <w:szCs w:val="16"/>
              </w:rPr>
            </w:pPr>
            <w:r w:rsidRPr="00FF6EA0">
              <w:rPr>
                <w:rFonts w:ascii="Arial" w:hAnsi="Arial"/>
                <w:b/>
                <w:color w:val="000000"/>
                <w:sz w:val="16"/>
                <w:szCs w:val="16"/>
              </w:rPr>
              <w:t>Year</w:t>
            </w:r>
          </w:p>
        </w:tc>
        <w:tc>
          <w:tcPr>
            <w:tcW w:w="2865" w:type="dxa"/>
            <w:tcBorders>
              <w:top w:val="single" w:sz="4" w:space="0" w:color="auto"/>
              <w:left w:val="single" w:sz="4" w:space="0" w:color="auto"/>
              <w:bottom w:val="single" w:sz="4" w:space="0" w:color="auto"/>
              <w:right w:val="single" w:sz="4" w:space="0" w:color="auto"/>
            </w:tcBorders>
          </w:tcPr>
          <w:p w14:paraId="10BDD3AB" w14:textId="77777777" w:rsidR="00F7100A" w:rsidRPr="00FF6EA0" w:rsidRDefault="00F7100A" w:rsidP="00072EF9">
            <w:pPr>
              <w:tabs>
                <w:tab w:val="left" w:pos="709"/>
              </w:tabs>
              <w:spacing w:before="60" w:after="60"/>
              <w:rPr>
                <w:rFonts w:ascii="Arial" w:hAnsi="Arial"/>
                <w:color w:val="000000"/>
              </w:rPr>
            </w:pPr>
            <w:r w:rsidRPr="00FF6EA0">
              <w:rPr>
                <w:rFonts w:ascii="Arial" w:hAnsi="Arial"/>
                <w:b/>
                <w:color w:val="000000"/>
                <w:sz w:val="16"/>
                <w:szCs w:val="16"/>
              </w:rPr>
              <w:t>Performance measures</w:t>
            </w:r>
          </w:p>
        </w:tc>
        <w:tc>
          <w:tcPr>
            <w:tcW w:w="3084" w:type="dxa"/>
            <w:tcBorders>
              <w:top w:val="single" w:sz="4" w:space="0" w:color="auto"/>
              <w:left w:val="single" w:sz="4" w:space="0" w:color="auto"/>
              <w:bottom w:val="single" w:sz="4" w:space="0" w:color="auto"/>
            </w:tcBorders>
          </w:tcPr>
          <w:p w14:paraId="5D6E0BFB" w14:textId="77777777" w:rsidR="00F7100A" w:rsidRPr="00FF6EA0" w:rsidRDefault="00F7100A" w:rsidP="00072EF9">
            <w:pPr>
              <w:tabs>
                <w:tab w:val="left" w:pos="709"/>
              </w:tabs>
              <w:spacing w:before="60" w:after="60"/>
              <w:rPr>
                <w:rFonts w:ascii="Arial" w:hAnsi="Arial"/>
                <w:i/>
                <w:color w:val="000000"/>
                <w:sz w:val="16"/>
                <w:szCs w:val="16"/>
              </w:rPr>
            </w:pPr>
            <w:r w:rsidRPr="00FF6EA0">
              <w:rPr>
                <w:rFonts w:ascii="Arial" w:hAnsi="Arial"/>
                <w:b/>
                <w:color w:val="000000"/>
                <w:sz w:val="16"/>
                <w:szCs w:val="16"/>
              </w:rPr>
              <w:t>Expected Performance Results</w:t>
            </w:r>
          </w:p>
        </w:tc>
      </w:tr>
      <w:tr w:rsidR="00DA185E" w:rsidRPr="00FF6EA0" w14:paraId="47FFA91E" w14:textId="77777777" w:rsidTr="00DA185E">
        <w:tblPrEx>
          <w:shd w:val="clear" w:color="auto" w:fill="auto"/>
          <w:tblLook w:val="04A0" w:firstRow="1" w:lastRow="0" w:firstColumn="1" w:lastColumn="0" w:noHBand="0" w:noVBand="1"/>
        </w:tblPrEx>
        <w:trPr>
          <w:trHeight w:val="305"/>
        </w:trPr>
        <w:tc>
          <w:tcPr>
            <w:tcW w:w="1661" w:type="dxa"/>
            <w:vMerge w:val="restart"/>
            <w:tcBorders>
              <w:top w:val="single" w:sz="4" w:space="0" w:color="auto"/>
              <w:left w:val="single" w:sz="4" w:space="0" w:color="auto"/>
              <w:right w:val="single" w:sz="4" w:space="0" w:color="auto"/>
            </w:tcBorders>
          </w:tcPr>
          <w:p w14:paraId="48283AA3" w14:textId="77777777" w:rsidR="00DA185E" w:rsidRPr="00FF6EA0" w:rsidRDefault="00DA185E" w:rsidP="00BB33F5">
            <w:pPr>
              <w:tabs>
                <w:tab w:val="left" w:pos="709"/>
              </w:tabs>
              <w:spacing w:before="0" w:after="0"/>
              <w:rPr>
                <w:rFonts w:ascii="Arial" w:hAnsi="Arial"/>
                <w:color w:val="000000"/>
                <w:sz w:val="16"/>
                <w:szCs w:val="16"/>
              </w:rPr>
            </w:pPr>
            <w:r w:rsidRPr="00FF6EA0">
              <w:rPr>
                <w:rFonts w:ascii="Arial" w:hAnsi="Arial"/>
                <w:color w:val="000000"/>
                <w:sz w:val="16"/>
                <w:szCs w:val="16"/>
              </w:rPr>
              <w:t>Current Year</w:t>
            </w:r>
          </w:p>
          <w:p w14:paraId="4A5E57A1" w14:textId="77777777" w:rsidR="00DA185E" w:rsidRPr="00FF6EA0" w:rsidRDefault="00DA185E" w:rsidP="00BB33F5">
            <w:pPr>
              <w:tabs>
                <w:tab w:val="left" w:pos="709"/>
              </w:tabs>
              <w:spacing w:before="0" w:after="0"/>
              <w:rPr>
                <w:rFonts w:ascii="Arial" w:hAnsi="Arial"/>
                <w:color w:val="000000"/>
                <w:sz w:val="16"/>
                <w:szCs w:val="16"/>
              </w:rPr>
            </w:pPr>
            <w:r w:rsidRPr="00FF6EA0">
              <w:rPr>
                <w:rFonts w:ascii="Arial" w:hAnsi="Arial"/>
                <w:color w:val="000000"/>
                <w:sz w:val="16"/>
                <w:szCs w:val="16"/>
              </w:rPr>
              <w:t>2024-25</w:t>
            </w:r>
            <w:r>
              <w:rPr>
                <w:rFonts w:ascii="Arial" w:hAnsi="Arial"/>
                <w:color w:val="000000"/>
                <w:sz w:val="16"/>
                <w:szCs w:val="16"/>
              </w:rPr>
              <w:t xml:space="preserve"> </w:t>
            </w:r>
            <w:r w:rsidRPr="00FF6EA0">
              <w:rPr>
                <w:rFonts w:ascii="Arial" w:hAnsi="Arial"/>
                <w:color w:val="000000"/>
                <w:sz w:val="16"/>
                <w:szCs w:val="16"/>
                <w:vertAlign w:val="superscript"/>
              </w:rPr>
              <w:t>[a]</w:t>
            </w:r>
          </w:p>
        </w:tc>
        <w:tc>
          <w:tcPr>
            <w:tcW w:w="2865" w:type="dxa"/>
            <w:tcBorders>
              <w:top w:val="single" w:sz="4" w:space="0" w:color="auto"/>
              <w:left w:val="single" w:sz="4" w:space="0" w:color="auto"/>
              <w:bottom w:val="dotted" w:sz="4" w:space="0" w:color="auto"/>
              <w:right w:val="single" w:sz="4" w:space="0" w:color="auto"/>
            </w:tcBorders>
          </w:tcPr>
          <w:p w14:paraId="2054A238" w14:textId="77777777" w:rsidR="00DA185E" w:rsidRPr="00BB33F5" w:rsidRDefault="00DA185E" w:rsidP="00BB33F5">
            <w:pPr>
              <w:tabs>
                <w:tab w:val="left" w:pos="709"/>
              </w:tabs>
              <w:spacing w:before="60" w:after="60"/>
              <w:rPr>
                <w:rFonts w:ascii="Arial" w:hAnsi="Arial"/>
                <w:sz w:val="16"/>
                <w:szCs w:val="16"/>
                <w:lang w:val="en-AU"/>
              </w:rPr>
            </w:pPr>
            <w:r w:rsidRPr="00BB33F5">
              <w:rPr>
                <w:rFonts w:ascii="Arial" w:hAnsi="Arial"/>
                <w:sz w:val="16"/>
                <w:szCs w:val="16"/>
                <w:lang w:val="en-AU"/>
              </w:rPr>
              <w:t>4.1: Defence recruits and retains an ADF and APS workforce to support the Defence mission.</w:t>
            </w:r>
          </w:p>
        </w:tc>
        <w:tc>
          <w:tcPr>
            <w:tcW w:w="3084" w:type="dxa"/>
            <w:tcBorders>
              <w:top w:val="single" w:sz="4" w:space="0" w:color="auto"/>
              <w:left w:val="single" w:sz="4" w:space="0" w:color="auto"/>
              <w:bottom w:val="dotted" w:sz="4" w:space="0" w:color="auto"/>
              <w:right w:val="single" w:sz="4" w:space="0" w:color="auto"/>
            </w:tcBorders>
          </w:tcPr>
          <w:p w14:paraId="69DFF2F1" w14:textId="6AF45036" w:rsidR="00DA185E" w:rsidRPr="00212B82" w:rsidRDefault="003C0905" w:rsidP="00BB33F5">
            <w:pPr>
              <w:tabs>
                <w:tab w:val="left" w:pos="709"/>
              </w:tabs>
              <w:spacing w:before="60" w:after="60"/>
              <w:rPr>
                <w:rFonts w:ascii="Arial" w:hAnsi="Arial"/>
                <w:sz w:val="16"/>
                <w:szCs w:val="16"/>
                <w:lang w:val="en-AU"/>
              </w:rPr>
            </w:pPr>
            <w:r w:rsidRPr="00212B82">
              <w:rPr>
                <w:rFonts w:ascii="Arial" w:hAnsi="Arial"/>
                <w:sz w:val="16"/>
                <w:szCs w:val="16"/>
                <w:lang w:val="en-AU"/>
              </w:rPr>
              <w:t>Defence achieves the ADF and APS Budgeted Workforce Requirement as set out in the 2024 Defence Workforce Plan, and the net flow of the ADF and APS workforce over a 12 month period is trending positive and is positioning Defence to achieve the Budgeted Workforce Requirement over the forward estimates</w:t>
            </w:r>
            <w:r w:rsidR="00DA185E" w:rsidRPr="00212B82">
              <w:rPr>
                <w:rFonts w:ascii="Arial" w:hAnsi="Arial"/>
                <w:sz w:val="16"/>
                <w:szCs w:val="16"/>
                <w:lang w:val="en-AU"/>
              </w:rPr>
              <w:t>.</w:t>
            </w:r>
          </w:p>
          <w:p w14:paraId="4F77F505" w14:textId="19A21CD0" w:rsidR="00DA185E" w:rsidRPr="00212B82" w:rsidRDefault="003C0905" w:rsidP="00CE3B2C">
            <w:pPr>
              <w:spacing w:before="0"/>
              <w:jc w:val="right"/>
            </w:pPr>
            <w:r w:rsidRPr="00212B82">
              <w:rPr>
                <w:rFonts w:ascii="Arial" w:hAnsi="Arial"/>
                <w:i/>
                <w:sz w:val="16"/>
                <w:szCs w:val="16"/>
                <w:lang w:val="en-AU"/>
              </w:rPr>
              <w:t>Expected to be partially achieved</w:t>
            </w:r>
            <w:r w:rsidR="00DA185E" w:rsidRPr="00212B82">
              <w:rPr>
                <w:rFonts w:ascii="Arial" w:hAnsi="Arial"/>
                <w:i/>
                <w:sz w:val="16"/>
                <w:szCs w:val="16"/>
                <w:lang w:val="en-AU"/>
              </w:rPr>
              <w:t>.</w:t>
            </w:r>
          </w:p>
        </w:tc>
      </w:tr>
      <w:tr w:rsidR="00DA185E" w:rsidRPr="00FF6EA0" w14:paraId="15D9F37B" w14:textId="77777777" w:rsidTr="00514075">
        <w:tblPrEx>
          <w:shd w:val="clear" w:color="auto" w:fill="auto"/>
          <w:tblLook w:val="04A0" w:firstRow="1" w:lastRow="0" w:firstColumn="1" w:lastColumn="0" w:noHBand="0" w:noVBand="1"/>
        </w:tblPrEx>
        <w:trPr>
          <w:trHeight w:val="305"/>
        </w:trPr>
        <w:tc>
          <w:tcPr>
            <w:tcW w:w="1661" w:type="dxa"/>
            <w:vMerge/>
            <w:tcBorders>
              <w:left w:val="single" w:sz="4" w:space="0" w:color="auto"/>
              <w:right w:val="single" w:sz="4" w:space="0" w:color="auto"/>
            </w:tcBorders>
          </w:tcPr>
          <w:p w14:paraId="3607B7BE" w14:textId="77777777" w:rsidR="00DA185E" w:rsidRPr="00FF6EA0" w:rsidRDefault="00DA185E" w:rsidP="00A54DB4">
            <w:pPr>
              <w:tabs>
                <w:tab w:val="left" w:pos="709"/>
              </w:tabs>
              <w:spacing w:before="0" w:after="0"/>
              <w:rPr>
                <w:rFonts w:ascii="Arial" w:hAnsi="Arial"/>
                <w:color w:val="000000"/>
                <w:sz w:val="16"/>
                <w:szCs w:val="16"/>
              </w:rPr>
            </w:pPr>
          </w:p>
        </w:tc>
        <w:tc>
          <w:tcPr>
            <w:tcW w:w="2865" w:type="dxa"/>
            <w:tcBorders>
              <w:top w:val="dotted" w:sz="4" w:space="0" w:color="auto"/>
              <w:left w:val="single" w:sz="4" w:space="0" w:color="auto"/>
              <w:bottom w:val="dotted" w:sz="4" w:space="0" w:color="auto"/>
              <w:right w:val="single" w:sz="4" w:space="0" w:color="auto"/>
            </w:tcBorders>
          </w:tcPr>
          <w:p w14:paraId="6120D7AD" w14:textId="77777777" w:rsidR="00DA185E" w:rsidRPr="00BB33F5" w:rsidRDefault="00DA185E" w:rsidP="00A54DB4">
            <w:pPr>
              <w:tabs>
                <w:tab w:val="left" w:pos="709"/>
              </w:tabs>
              <w:spacing w:before="60" w:after="60"/>
              <w:rPr>
                <w:rFonts w:ascii="Arial" w:hAnsi="Arial"/>
                <w:sz w:val="16"/>
                <w:szCs w:val="16"/>
                <w:lang w:val="en-AU"/>
              </w:rPr>
            </w:pPr>
            <w:r w:rsidRPr="00BB33F5">
              <w:rPr>
                <w:rFonts w:ascii="Arial" w:hAnsi="Arial"/>
                <w:sz w:val="16"/>
                <w:szCs w:val="16"/>
                <w:lang w:val="en-AU"/>
              </w:rPr>
              <w:t>4.2: Defence grows the necessary skills and capabilities to enable the Defence mission.</w:t>
            </w:r>
          </w:p>
        </w:tc>
        <w:tc>
          <w:tcPr>
            <w:tcW w:w="3084" w:type="dxa"/>
            <w:tcBorders>
              <w:top w:val="dotted" w:sz="4" w:space="0" w:color="auto"/>
              <w:left w:val="single" w:sz="4" w:space="0" w:color="auto"/>
              <w:bottom w:val="dotted" w:sz="4" w:space="0" w:color="auto"/>
              <w:right w:val="single" w:sz="4" w:space="0" w:color="auto"/>
            </w:tcBorders>
          </w:tcPr>
          <w:p w14:paraId="55123BE4" w14:textId="77777777" w:rsidR="003C0905" w:rsidRPr="00212B82" w:rsidRDefault="003C0905" w:rsidP="003C0905">
            <w:pPr>
              <w:tabs>
                <w:tab w:val="left" w:pos="709"/>
              </w:tabs>
              <w:spacing w:before="60" w:after="60"/>
              <w:rPr>
                <w:rFonts w:ascii="Arial" w:hAnsi="Arial"/>
                <w:sz w:val="16"/>
                <w:szCs w:val="16"/>
                <w:lang w:val="en-AU"/>
              </w:rPr>
            </w:pPr>
            <w:r w:rsidRPr="00212B82">
              <w:rPr>
                <w:rFonts w:ascii="Arial" w:hAnsi="Arial"/>
                <w:sz w:val="16"/>
                <w:szCs w:val="16"/>
                <w:lang w:val="en-AU"/>
              </w:rPr>
              <w:t>The Defence workforce has the technical skills required to deliver the National Defence Strategy as measured through the Defence Strategic Workforce Segments, and the net flow of the ADF and APS workforce over a 12 month period against the Budgeted Workforce Requirement by Strategic Workforce Segment.</w:t>
            </w:r>
          </w:p>
          <w:p w14:paraId="277D8812" w14:textId="37907EFB" w:rsidR="00DA185E" w:rsidRPr="00212B82" w:rsidRDefault="003C0905" w:rsidP="003D2400">
            <w:pPr>
              <w:spacing w:before="0" w:after="60"/>
              <w:jc w:val="right"/>
              <w:rPr>
                <w:rFonts w:ascii="Arial" w:hAnsi="Arial"/>
                <w:color w:val="000000"/>
                <w:sz w:val="16"/>
                <w:szCs w:val="16"/>
              </w:rPr>
            </w:pPr>
            <w:r w:rsidRPr="00212B82">
              <w:rPr>
                <w:rFonts w:ascii="Arial" w:hAnsi="Arial"/>
                <w:i/>
                <w:sz w:val="16"/>
                <w:szCs w:val="16"/>
                <w:lang w:val="en-AU"/>
              </w:rPr>
              <w:t>Expected to be partially achieved</w:t>
            </w:r>
            <w:r w:rsidR="00DA185E" w:rsidRPr="00212B82">
              <w:rPr>
                <w:rFonts w:ascii="Arial" w:hAnsi="Arial"/>
                <w:i/>
                <w:sz w:val="16"/>
                <w:szCs w:val="16"/>
                <w:lang w:val="en-AU"/>
              </w:rPr>
              <w:t>.</w:t>
            </w:r>
          </w:p>
        </w:tc>
      </w:tr>
      <w:tr w:rsidR="00DA185E" w:rsidRPr="00FF6EA0" w14:paraId="7DBD4BED" w14:textId="77777777" w:rsidTr="00514075">
        <w:tblPrEx>
          <w:shd w:val="clear" w:color="auto" w:fill="auto"/>
          <w:tblLook w:val="04A0" w:firstRow="1" w:lastRow="0" w:firstColumn="1" w:lastColumn="0" w:noHBand="0" w:noVBand="1"/>
        </w:tblPrEx>
        <w:trPr>
          <w:trHeight w:val="305"/>
        </w:trPr>
        <w:tc>
          <w:tcPr>
            <w:tcW w:w="1661" w:type="dxa"/>
            <w:vMerge/>
            <w:tcBorders>
              <w:left w:val="single" w:sz="4" w:space="0" w:color="auto"/>
              <w:bottom w:val="single" w:sz="4" w:space="0" w:color="auto"/>
              <w:right w:val="single" w:sz="4" w:space="0" w:color="auto"/>
            </w:tcBorders>
          </w:tcPr>
          <w:p w14:paraId="655E8076" w14:textId="77777777" w:rsidR="00DA185E" w:rsidRPr="00FF6EA0" w:rsidRDefault="00DA185E" w:rsidP="00A54DB4">
            <w:pPr>
              <w:tabs>
                <w:tab w:val="left" w:pos="709"/>
              </w:tabs>
              <w:spacing w:before="0" w:after="0"/>
              <w:rPr>
                <w:rFonts w:ascii="Arial" w:hAnsi="Arial"/>
                <w:color w:val="000000"/>
                <w:sz w:val="16"/>
                <w:szCs w:val="16"/>
              </w:rPr>
            </w:pPr>
          </w:p>
        </w:tc>
        <w:tc>
          <w:tcPr>
            <w:tcW w:w="2865" w:type="dxa"/>
            <w:tcBorders>
              <w:top w:val="dotted" w:sz="4" w:space="0" w:color="auto"/>
              <w:left w:val="single" w:sz="4" w:space="0" w:color="auto"/>
              <w:bottom w:val="single" w:sz="4" w:space="0" w:color="auto"/>
              <w:right w:val="single" w:sz="4" w:space="0" w:color="auto"/>
            </w:tcBorders>
          </w:tcPr>
          <w:p w14:paraId="75731358" w14:textId="77777777" w:rsidR="00DA185E" w:rsidRPr="00BB33F5" w:rsidRDefault="00DA185E" w:rsidP="00A54DB4">
            <w:pPr>
              <w:tabs>
                <w:tab w:val="left" w:pos="709"/>
              </w:tabs>
              <w:spacing w:before="60" w:after="60"/>
              <w:rPr>
                <w:rFonts w:ascii="Arial" w:hAnsi="Arial"/>
                <w:sz w:val="16"/>
                <w:szCs w:val="16"/>
                <w:lang w:val="en-AU"/>
              </w:rPr>
            </w:pPr>
            <w:r w:rsidRPr="00BB33F5">
              <w:rPr>
                <w:rFonts w:ascii="Arial" w:hAnsi="Arial"/>
                <w:sz w:val="16"/>
                <w:szCs w:val="16"/>
                <w:lang w:val="en-AU"/>
              </w:rPr>
              <w:t>4.3: The Defence Values and Behaviours enable our people to deliver Australia’s National Defence.</w:t>
            </w:r>
          </w:p>
        </w:tc>
        <w:tc>
          <w:tcPr>
            <w:tcW w:w="3084" w:type="dxa"/>
            <w:tcBorders>
              <w:top w:val="dotted" w:sz="4" w:space="0" w:color="auto"/>
              <w:left w:val="single" w:sz="4" w:space="0" w:color="auto"/>
              <w:bottom w:val="single" w:sz="4" w:space="0" w:color="auto"/>
              <w:right w:val="single" w:sz="4" w:space="0" w:color="auto"/>
            </w:tcBorders>
          </w:tcPr>
          <w:p w14:paraId="0FB46BB0" w14:textId="77777777" w:rsidR="003C0905" w:rsidRPr="00212B82" w:rsidRDefault="003C0905" w:rsidP="003C0905">
            <w:pPr>
              <w:tabs>
                <w:tab w:val="left" w:pos="709"/>
              </w:tabs>
              <w:spacing w:before="60" w:after="60"/>
              <w:rPr>
                <w:rFonts w:ascii="Arial" w:hAnsi="Arial"/>
                <w:sz w:val="16"/>
                <w:szCs w:val="16"/>
                <w:lang w:val="en-AU"/>
              </w:rPr>
            </w:pPr>
            <w:r w:rsidRPr="00212B82">
              <w:rPr>
                <w:rFonts w:ascii="Arial" w:hAnsi="Arial"/>
                <w:sz w:val="16"/>
                <w:szCs w:val="16"/>
                <w:lang w:val="en-AU"/>
              </w:rPr>
              <w:t xml:space="preserve">The proportion of ADF and Defence APS personnel that believe appropriate action will be taken if they report an incident of unacceptable behaviour has increased in the last 12 months, the proportion of ADF and Defence APS personnel who have experienced any unacceptable behaviour in the workplace has decreased in the last 12 months, and proportion of ADF and Defence APS personnel who are of the view that Defence Values are being used in their work area has increased in the last 12 months. </w:t>
            </w:r>
          </w:p>
          <w:p w14:paraId="2DADC076" w14:textId="17940287" w:rsidR="00DA185E" w:rsidRPr="00212B82" w:rsidRDefault="003C0905" w:rsidP="003D2400">
            <w:pPr>
              <w:spacing w:before="0" w:after="60"/>
              <w:jc w:val="right"/>
              <w:rPr>
                <w:rFonts w:ascii="Arial" w:hAnsi="Arial"/>
                <w:sz w:val="16"/>
                <w:szCs w:val="16"/>
                <w:lang w:val="en-AU"/>
              </w:rPr>
            </w:pPr>
            <w:r w:rsidRPr="00212B82">
              <w:rPr>
                <w:rFonts w:ascii="Arial" w:hAnsi="Arial"/>
                <w:i/>
                <w:sz w:val="16"/>
                <w:szCs w:val="16"/>
                <w:lang w:val="en-AU"/>
              </w:rPr>
              <w:t>Expected to be substantially achieved</w:t>
            </w:r>
            <w:r w:rsidR="00DA185E" w:rsidRPr="00212B82">
              <w:rPr>
                <w:rFonts w:ascii="Arial" w:hAnsi="Arial"/>
                <w:i/>
                <w:sz w:val="16"/>
                <w:szCs w:val="16"/>
                <w:lang w:val="en-AU"/>
              </w:rPr>
              <w:t>.</w:t>
            </w:r>
          </w:p>
        </w:tc>
      </w:tr>
      <w:tr w:rsidR="00DA185E" w:rsidRPr="00FF6EA0" w14:paraId="65E6C4CF" w14:textId="77777777" w:rsidTr="00514075">
        <w:tblPrEx>
          <w:shd w:val="clear" w:color="auto" w:fill="auto"/>
          <w:tblLook w:val="04A0" w:firstRow="1" w:lastRow="0" w:firstColumn="1" w:lastColumn="0" w:noHBand="0" w:noVBand="1"/>
        </w:tblPrEx>
        <w:trPr>
          <w:trHeight w:val="305"/>
        </w:trPr>
        <w:tc>
          <w:tcPr>
            <w:tcW w:w="1661" w:type="dxa"/>
            <w:tcBorders>
              <w:top w:val="single" w:sz="4" w:space="0" w:color="auto"/>
              <w:left w:val="single" w:sz="4" w:space="0" w:color="auto"/>
              <w:bottom w:val="single" w:sz="4" w:space="0" w:color="auto"/>
              <w:right w:val="single" w:sz="4" w:space="0" w:color="auto"/>
            </w:tcBorders>
          </w:tcPr>
          <w:p w14:paraId="43F61C57" w14:textId="3CC6523A" w:rsidR="00DA185E" w:rsidRPr="00FF6EA0" w:rsidRDefault="00DA185E" w:rsidP="00DA185E">
            <w:pPr>
              <w:pageBreakBefore/>
              <w:tabs>
                <w:tab w:val="left" w:pos="709"/>
              </w:tabs>
              <w:spacing w:before="0" w:after="0"/>
              <w:rPr>
                <w:rFonts w:ascii="Arial" w:hAnsi="Arial"/>
                <w:color w:val="000000"/>
                <w:sz w:val="16"/>
                <w:szCs w:val="16"/>
              </w:rPr>
            </w:pPr>
            <w:r w:rsidRPr="00FF6EA0">
              <w:rPr>
                <w:rFonts w:ascii="Arial" w:hAnsi="Arial"/>
                <w:b/>
                <w:color w:val="000000"/>
                <w:sz w:val="16"/>
                <w:szCs w:val="16"/>
              </w:rPr>
              <w:lastRenderedPageBreak/>
              <w:t>Year</w:t>
            </w:r>
          </w:p>
        </w:tc>
        <w:tc>
          <w:tcPr>
            <w:tcW w:w="2865" w:type="dxa"/>
            <w:tcBorders>
              <w:top w:val="single" w:sz="4" w:space="0" w:color="auto"/>
              <w:left w:val="single" w:sz="4" w:space="0" w:color="auto"/>
              <w:bottom w:val="single" w:sz="4" w:space="0" w:color="auto"/>
              <w:right w:val="single" w:sz="4" w:space="0" w:color="auto"/>
            </w:tcBorders>
          </w:tcPr>
          <w:p w14:paraId="53AA00C2" w14:textId="1F4D4327" w:rsidR="00DA185E" w:rsidRPr="00BB33F5" w:rsidRDefault="00DA185E" w:rsidP="00DA185E">
            <w:pPr>
              <w:tabs>
                <w:tab w:val="left" w:pos="709"/>
              </w:tabs>
              <w:spacing w:before="60" w:after="60"/>
              <w:rPr>
                <w:rFonts w:ascii="Arial" w:hAnsi="Arial"/>
                <w:sz w:val="16"/>
                <w:szCs w:val="16"/>
                <w:lang w:val="en-AU"/>
              </w:rPr>
            </w:pPr>
            <w:r w:rsidRPr="00FF6EA0">
              <w:rPr>
                <w:rFonts w:ascii="Arial" w:hAnsi="Arial"/>
                <w:b/>
                <w:color w:val="000000"/>
                <w:sz w:val="16"/>
                <w:szCs w:val="16"/>
              </w:rPr>
              <w:t>Performance measures</w:t>
            </w:r>
          </w:p>
        </w:tc>
        <w:tc>
          <w:tcPr>
            <w:tcW w:w="3084" w:type="dxa"/>
            <w:tcBorders>
              <w:top w:val="single" w:sz="4" w:space="0" w:color="auto"/>
              <w:left w:val="single" w:sz="4" w:space="0" w:color="auto"/>
              <w:bottom w:val="single" w:sz="4" w:space="0" w:color="auto"/>
              <w:right w:val="single" w:sz="4" w:space="0" w:color="auto"/>
            </w:tcBorders>
          </w:tcPr>
          <w:p w14:paraId="3BEBF36F" w14:textId="7215FEF7" w:rsidR="00DA185E" w:rsidRPr="00A54DB4" w:rsidRDefault="00DA185E" w:rsidP="00DA185E">
            <w:pPr>
              <w:tabs>
                <w:tab w:val="left" w:pos="709"/>
              </w:tabs>
              <w:spacing w:before="60" w:after="60"/>
              <w:rPr>
                <w:rFonts w:ascii="Arial" w:hAnsi="Arial"/>
                <w:sz w:val="16"/>
                <w:szCs w:val="16"/>
                <w:lang w:val="en-AU"/>
              </w:rPr>
            </w:pPr>
            <w:r w:rsidRPr="00FF6EA0">
              <w:rPr>
                <w:rFonts w:ascii="Arial" w:hAnsi="Arial"/>
                <w:b/>
                <w:color w:val="000000"/>
                <w:sz w:val="16"/>
                <w:szCs w:val="16"/>
              </w:rPr>
              <w:t>Expected Performance Results</w:t>
            </w:r>
          </w:p>
        </w:tc>
      </w:tr>
      <w:tr w:rsidR="00A54DB4" w:rsidRPr="00FF6EA0" w14:paraId="537CBDC0" w14:textId="77777777" w:rsidTr="00514075">
        <w:tblPrEx>
          <w:shd w:val="clear" w:color="auto" w:fill="auto"/>
          <w:tblLook w:val="04A0" w:firstRow="1" w:lastRow="0" w:firstColumn="1" w:lastColumn="0" w:noHBand="0" w:noVBand="1"/>
        </w:tblPrEx>
        <w:trPr>
          <w:trHeight w:val="305"/>
        </w:trPr>
        <w:tc>
          <w:tcPr>
            <w:tcW w:w="1661" w:type="dxa"/>
            <w:tcBorders>
              <w:top w:val="single" w:sz="4" w:space="0" w:color="auto"/>
              <w:left w:val="single" w:sz="4" w:space="0" w:color="auto"/>
              <w:bottom w:val="single" w:sz="4" w:space="0" w:color="auto"/>
              <w:right w:val="single" w:sz="4" w:space="0" w:color="auto"/>
            </w:tcBorders>
          </w:tcPr>
          <w:p w14:paraId="02708051" w14:textId="77777777" w:rsidR="00DA185E" w:rsidRPr="00FF6EA0" w:rsidRDefault="00DA185E" w:rsidP="00DA185E">
            <w:pPr>
              <w:tabs>
                <w:tab w:val="left" w:pos="709"/>
              </w:tabs>
              <w:spacing w:before="0" w:after="0"/>
              <w:rPr>
                <w:rFonts w:ascii="Arial" w:hAnsi="Arial"/>
                <w:color w:val="000000"/>
                <w:sz w:val="16"/>
                <w:szCs w:val="16"/>
              </w:rPr>
            </w:pPr>
            <w:r w:rsidRPr="00FF6EA0">
              <w:rPr>
                <w:rFonts w:ascii="Arial" w:hAnsi="Arial"/>
                <w:color w:val="000000"/>
                <w:sz w:val="16"/>
                <w:szCs w:val="16"/>
              </w:rPr>
              <w:t>Current Year</w:t>
            </w:r>
          </w:p>
          <w:p w14:paraId="6216B3DD" w14:textId="187F8ED1" w:rsidR="00A54DB4" w:rsidRPr="00FF6EA0" w:rsidRDefault="00DA185E" w:rsidP="00F0724F">
            <w:pPr>
              <w:tabs>
                <w:tab w:val="left" w:pos="709"/>
              </w:tabs>
              <w:spacing w:before="0" w:after="0"/>
              <w:rPr>
                <w:rFonts w:ascii="Arial" w:hAnsi="Arial"/>
                <w:color w:val="000000"/>
                <w:sz w:val="16"/>
                <w:szCs w:val="16"/>
              </w:rPr>
            </w:pPr>
            <w:r w:rsidRPr="00FF6EA0">
              <w:rPr>
                <w:rFonts w:ascii="Arial" w:hAnsi="Arial"/>
                <w:color w:val="000000"/>
                <w:sz w:val="16"/>
                <w:szCs w:val="16"/>
              </w:rPr>
              <w:t>2024-25</w:t>
            </w:r>
            <w:r w:rsidR="00994944">
              <w:rPr>
                <w:rFonts w:ascii="Arial" w:hAnsi="Arial"/>
                <w:color w:val="000000"/>
                <w:sz w:val="16"/>
                <w:szCs w:val="16"/>
              </w:rPr>
              <w:t xml:space="preserve"> </w:t>
            </w:r>
            <w:r w:rsidRPr="00F0724F">
              <w:rPr>
                <w:rFonts w:ascii="Arial" w:hAnsi="Arial"/>
                <w:color w:val="000000"/>
                <w:sz w:val="16"/>
                <w:szCs w:val="16"/>
                <w:vertAlign w:val="superscript"/>
              </w:rPr>
              <w:t>[a]</w:t>
            </w:r>
          </w:p>
        </w:tc>
        <w:tc>
          <w:tcPr>
            <w:tcW w:w="2865" w:type="dxa"/>
            <w:tcBorders>
              <w:top w:val="single" w:sz="4" w:space="0" w:color="auto"/>
              <w:left w:val="single" w:sz="4" w:space="0" w:color="auto"/>
              <w:bottom w:val="single" w:sz="4" w:space="0" w:color="auto"/>
              <w:right w:val="single" w:sz="4" w:space="0" w:color="auto"/>
            </w:tcBorders>
          </w:tcPr>
          <w:p w14:paraId="1BFF0D5D" w14:textId="77777777" w:rsidR="00A54DB4" w:rsidRPr="00BB33F5" w:rsidRDefault="00A54DB4" w:rsidP="00A54DB4">
            <w:pPr>
              <w:tabs>
                <w:tab w:val="left" w:pos="709"/>
              </w:tabs>
              <w:spacing w:before="60" w:after="60"/>
              <w:rPr>
                <w:rFonts w:ascii="Arial" w:hAnsi="Arial"/>
                <w:sz w:val="16"/>
                <w:szCs w:val="16"/>
                <w:lang w:val="en-AU"/>
              </w:rPr>
            </w:pPr>
            <w:r w:rsidRPr="00BB33F5">
              <w:rPr>
                <w:rFonts w:ascii="Arial" w:hAnsi="Arial"/>
                <w:sz w:val="16"/>
                <w:szCs w:val="16"/>
                <w:lang w:val="en-AU"/>
              </w:rPr>
              <w:t>4.4: Defence supports ADF members and their families by providing access to support services and programs having regard to lifetime wellbeing.</w:t>
            </w:r>
          </w:p>
        </w:tc>
        <w:tc>
          <w:tcPr>
            <w:tcW w:w="3084" w:type="dxa"/>
            <w:tcBorders>
              <w:top w:val="single" w:sz="4" w:space="0" w:color="auto"/>
              <w:left w:val="single" w:sz="4" w:space="0" w:color="auto"/>
              <w:bottom w:val="single" w:sz="4" w:space="0" w:color="auto"/>
              <w:right w:val="single" w:sz="4" w:space="0" w:color="auto"/>
            </w:tcBorders>
          </w:tcPr>
          <w:p w14:paraId="527DE022" w14:textId="65092180" w:rsidR="00A54DB4" w:rsidRPr="00212B82" w:rsidRDefault="00A54DB4" w:rsidP="00A54DB4">
            <w:pPr>
              <w:tabs>
                <w:tab w:val="left" w:pos="709"/>
              </w:tabs>
              <w:spacing w:before="60" w:after="60"/>
              <w:rPr>
                <w:rFonts w:ascii="Arial" w:hAnsi="Arial"/>
                <w:sz w:val="16"/>
                <w:szCs w:val="16"/>
                <w:lang w:val="en-AU"/>
              </w:rPr>
            </w:pPr>
            <w:r w:rsidRPr="00212B82">
              <w:rPr>
                <w:rFonts w:ascii="Arial" w:hAnsi="Arial"/>
                <w:sz w:val="16"/>
                <w:szCs w:val="16"/>
                <w:lang w:val="en-AU"/>
              </w:rPr>
              <w:t>At least 75 per cent of eligible permanent ADF members and their families are registered with the ADF Family Health Program; 100 per cent of support services and programs are provided to permanent ADF and their families in accordance with identified service delivery timeframes; and 100 per cent of Defence-led, Government-agreed recommendations from the Royal Commission into Defence and Veteran Suicide Final Report which are on the Forward Work Plan for the Program Board in 2024-25, have approved Reform Management Plans by 30 June 2025.</w:t>
            </w:r>
          </w:p>
          <w:p w14:paraId="64881439" w14:textId="2D4981AC" w:rsidR="00A54DB4" w:rsidRPr="00212B82" w:rsidRDefault="003C0905" w:rsidP="00A54DB4">
            <w:pPr>
              <w:tabs>
                <w:tab w:val="left" w:pos="709"/>
              </w:tabs>
              <w:spacing w:before="60" w:after="60"/>
              <w:jc w:val="right"/>
              <w:rPr>
                <w:rFonts w:ascii="Arial" w:hAnsi="Arial"/>
                <w:i/>
                <w:sz w:val="16"/>
                <w:szCs w:val="16"/>
                <w:lang w:val="en-AU"/>
              </w:rPr>
            </w:pPr>
            <w:r w:rsidRPr="00212B82">
              <w:rPr>
                <w:rFonts w:ascii="Arial" w:hAnsi="Arial"/>
                <w:i/>
                <w:sz w:val="16"/>
                <w:szCs w:val="16"/>
                <w:lang w:val="en-AU"/>
              </w:rPr>
              <w:t>Expected to be partially achieved</w:t>
            </w:r>
            <w:r w:rsidR="00A54DB4" w:rsidRPr="00212B82">
              <w:rPr>
                <w:rFonts w:ascii="Arial" w:hAnsi="Arial"/>
                <w:i/>
                <w:sz w:val="16"/>
                <w:szCs w:val="16"/>
                <w:lang w:val="en-AU"/>
              </w:rPr>
              <w:t>.</w:t>
            </w:r>
          </w:p>
        </w:tc>
      </w:tr>
      <w:tr w:rsidR="00F7100A" w:rsidRPr="00FF6EA0" w14:paraId="3C38526C" w14:textId="77777777" w:rsidTr="00514075">
        <w:tblPrEx>
          <w:shd w:val="clear" w:color="auto" w:fill="auto"/>
          <w:tblLook w:val="04A0" w:firstRow="1" w:lastRow="0" w:firstColumn="1" w:lastColumn="0" w:noHBand="0" w:noVBand="1"/>
        </w:tblPrEx>
        <w:trPr>
          <w:trHeight w:val="258"/>
        </w:trPr>
        <w:tc>
          <w:tcPr>
            <w:tcW w:w="1661" w:type="dxa"/>
            <w:tcBorders>
              <w:top w:val="single" w:sz="4" w:space="0" w:color="auto"/>
              <w:left w:val="single" w:sz="4" w:space="0" w:color="auto"/>
              <w:bottom w:val="single" w:sz="4" w:space="0" w:color="auto"/>
              <w:right w:val="single" w:sz="4" w:space="0" w:color="auto"/>
            </w:tcBorders>
          </w:tcPr>
          <w:p w14:paraId="73884FEE" w14:textId="77777777" w:rsidR="00F7100A" w:rsidRPr="00FF6EA0" w:rsidRDefault="00F7100A" w:rsidP="00072EF9">
            <w:pPr>
              <w:tabs>
                <w:tab w:val="left" w:pos="709"/>
              </w:tabs>
              <w:spacing w:before="60" w:after="60"/>
              <w:rPr>
                <w:rFonts w:ascii="Arial" w:hAnsi="Arial"/>
                <w:b/>
                <w:color w:val="000000"/>
                <w:sz w:val="16"/>
                <w:szCs w:val="16"/>
              </w:rPr>
            </w:pPr>
            <w:r w:rsidRPr="00FF6EA0">
              <w:rPr>
                <w:rFonts w:ascii="Arial" w:hAnsi="Arial"/>
                <w:b/>
                <w:color w:val="000000"/>
                <w:sz w:val="16"/>
                <w:szCs w:val="16"/>
              </w:rPr>
              <w:t>Year</w:t>
            </w:r>
          </w:p>
        </w:tc>
        <w:tc>
          <w:tcPr>
            <w:tcW w:w="2865" w:type="dxa"/>
            <w:tcBorders>
              <w:top w:val="single" w:sz="4" w:space="0" w:color="auto"/>
              <w:left w:val="single" w:sz="4" w:space="0" w:color="auto"/>
              <w:bottom w:val="single" w:sz="4" w:space="0" w:color="auto"/>
              <w:right w:val="single" w:sz="4" w:space="0" w:color="auto"/>
            </w:tcBorders>
          </w:tcPr>
          <w:p w14:paraId="4F6F4DDA" w14:textId="77777777" w:rsidR="00F7100A" w:rsidRPr="00FF6EA0" w:rsidRDefault="00F7100A" w:rsidP="00072EF9">
            <w:pPr>
              <w:tabs>
                <w:tab w:val="left" w:pos="709"/>
                <w:tab w:val="center" w:pos="1818"/>
              </w:tabs>
              <w:spacing w:before="60" w:after="60"/>
              <w:rPr>
                <w:rFonts w:ascii="Arial" w:hAnsi="Arial"/>
                <w:b/>
                <w:color w:val="000000"/>
                <w:sz w:val="16"/>
                <w:szCs w:val="16"/>
              </w:rPr>
            </w:pPr>
            <w:r w:rsidRPr="00FF6EA0">
              <w:rPr>
                <w:rFonts w:ascii="Arial" w:hAnsi="Arial"/>
                <w:b/>
                <w:color w:val="000000"/>
                <w:sz w:val="16"/>
                <w:szCs w:val="16"/>
              </w:rPr>
              <w:t>Performance measures</w:t>
            </w:r>
          </w:p>
        </w:tc>
        <w:tc>
          <w:tcPr>
            <w:tcW w:w="3084" w:type="dxa"/>
            <w:tcBorders>
              <w:top w:val="single" w:sz="4" w:space="0" w:color="auto"/>
              <w:left w:val="single" w:sz="4" w:space="0" w:color="auto"/>
              <w:bottom w:val="single" w:sz="4" w:space="0" w:color="auto"/>
              <w:right w:val="single" w:sz="4" w:space="0" w:color="auto"/>
            </w:tcBorders>
          </w:tcPr>
          <w:p w14:paraId="7C0A8FB7" w14:textId="77777777" w:rsidR="00F7100A" w:rsidRPr="00212B82" w:rsidRDefault="00F7100A" w:rsidP="00072EF9">
            <w:pPr>
              <w:tabs>
                <w:tab w:val="left" w:pos="709"/>
              </w:tabs>
              <w:spacing w:before="60" w:after="60"/>
              <w:rPr>
                <w:rFonts w:ascii="Arial" w:hAnsi="Arial"/>
                <w:b/>
                <w:color w:val="000000"/>
                <w:sz w:val="16"/>
                <w:szCs w:val="16"/>
              </w:rPr>
            </w:pPr>
            <w:r w:rsidRPr="00212B82">
              <w:rPr>
                <w:rFonts w:ascii="Arial" w:hAnsi="Arial"/>
                <w:b/>
                <w:color w:val="000000"/>
                <w:sz w:val="16"/>
                <w:szCs w:val="16"/>
              </w:rPr>
              <w:t>Planned Performance Results</w:t>
            </w:r>
          </w:p>
        </w:tc>
      </w:tr>
      <w:tr w:rsidR="00DA185E" w:rsidRPr="00FF6EA0" w14:paraId="7A507A50" w14:textId="77777777" w:rsidTr="00913DBF">
        <w:tblPrEx>
          <w:shd w:val="clear" w:color="auto" w:fill="auto"/>
          <w:tblLook w:val="04A0" w:firstRow="1" w:lastRow="0" w:firstColumn="1" w:lastColumn="0" w:noHBand="0" w:noVBand="1"/>
        </w:tblPrEx>
        <w:trPr>
          <w:trHeight w:val="320"/>
        </w:trPr>
        <w:tc>
          <w:tcPr>
            <w:tcW w:w="1661" w:type="dxa"/>
            <w:vMerge w:val="restart"/>
            <w:tcBorders>
              <w:top w:val="single" w:sz="4" w:space="0" w:color="auto"/>
              <w:left w:val="single" w:sz="4" w:space="0" w:color="auto"/>
              <w:right w:val="single" w:sz="4" w:space="0" w:color="auto"/>
            </w:tcBorders>
          </w:tcPr>
          <w:p w14:paraId="57BEC549" w14:textId="77777777" w:rsidR="00DA185E" w:rsidRPr="00FF6EA0" w:rsidRDefault="00DA185E" w:rsidP="00BB33F5">
            <w:pPr>
              <w:tabs>
                <w:tab w:val="left" w:pos="709"/>
              </w:tabs>
              <w:spacing w:before="0" w:after="0"/>
              <w:rPr>
                <w:rFonts w:ascii="Arial" w:hAnsi="Arial"/>
                <w:color w:val="000000"/>
                <w:sz w:val="16"/>
                <w:szCs w:val="16"/>
              </w:rPr>
            </w:pPr>
            <w:r w:rsidRPr="00FF6EA0">
              <w:rPr>
                <w:rFonts w:ascii="Arial" w:hAnsi="Arial"/>
                <w:color w:val="000000"/>
                <w:sz w:val="16"/>
                <w:szCs w:val="16"/>
              </w:rPr>
              <w:t>Budget Year</w:t>
            </w:r>
          </w:p>
          <w:p w14:paraId="4CA3695F" w14:textId="77777777" w:rsidR="00DA185E" w:rsidRPr="00FF6EA0" w:rsidRDefault="00DA185E" w:rsidP="00BB33F5">
            <w:pPr>
              <w:tabs>
                <w:tab w:val="left" w:pos="709"/>
              </w:tabs>
              <w:spacing w:before="0" w:after="0"/>
              <w:rPr>
                <w:rFonts w:ascii="Arial" w:hAnsi="Arial"/>
                <w:color w:val="000000"/>
                <w:sz w:val="16"/>
                <w:szCs w:val="16"/>
              </w:rPr>
            </w:pPr>
            <w:r w:rsidRPr="00FF6EA0">
              <w:rPr>
                <w:rFonts w:ascii="Arial" w:hAnsi="Arial"/>
                <w:color w:val="000000"/>
                <w:sz w:val="16"/>
                <w:szCs w:val="16"/>
              </w:rPr>
              <w:t>2025-26</w:t>
            </w:r>
            <w:r>
              <w:rPr>
                <w:rFonts w:ascii="Arial" w:hAnsi="Arial"/>
                <w:color w:val="000000"/>
                <w:sz w:val="16"/>
                <w:szCs w:val="16"/>
              </w:rPr>
              <w:t xml:space="preserve"> </w:t>
            </w:r>
            <w:r w:rsidRPr="00BB33F5">
              <w:rPr>
                <w:rFonts w:ascii="Arial" w:hAnsi="Arial"/>
                <w:color w:val="000000"/>
                <w:sz w:val="16"/>
                <w:szCs w:val="16"/>
                <w:vertAlign w:val="superscript"/>
              </w:rPr>
              <w:t>[b]</w:t>
            </w:r>
          </w:p>
        </w:tc>
        <w:tc>
          <w:tcPr>
            <w:tcW w:w="2865" w:type="dxa"/>
            <w:tcBorders>
              <w:top w:val="single" w:sz="4" w:space="0" w:color="auto"/>
              <w:left w:val="single" w:sz="4" w:space="0" w:color="auto"/>
              <w:bottom w:val="dotted" w:sz="4" w:space="0" w:color="auto"/>
              <w:right w:val="single" w:sz="4" w:space="0" w:color="auto"/>
            </w:tcBorders>
          </w:tcPr>
          <w:p w14:paraId="340E31E9" w14:textId="77777777" w:rsidR="00DA185E" w:rsidRPr="00DA6484" w:rsidRDefault="00DA185E" w:rsidP="00BB33F5">
            <w:pPr>
              <w:tabs>
                <w:tab w:val="left" w:pos="709"/>
              </w:tabs>
              <w:spacing w:before="60" w:after="60"/>
              <w:rPr>
                <w:rFonts w:ascii="Arial" w:hAnsi="Arial"/>
                <w:sz w:val="16"/>
                <w:szCs w:val="16"/>
                <w:lang w:val="en-AU"/>
              </w:rPr>
            </w:pPr>
            <w:r w:rsidRPr="00DA6484">
              <w:rPr>
                <w:rFonts w:ascii="Arial" w:hAnsi="Arial"/>
                <w:sz w:val="16"/>
                <w:szCs w:val="16"/>
                <w:lang w:val="en-AU"/>
              </w:rPr>
              <w:t>4.1: Defence recruits and retains an ADF and APS workforce to support the Defence mission.</w:t>
            </w:r>
          </w:p>
        </w:tc>
        <w:tc>
          <w:tcPr>
            <w:tcW w:w="3084" w:type="dxa"/>
            <w:tcBorders>
              <w:top w:val="single" w:sz="4" w:space="0" w:color="auto"/>
              <w:left w:val="single" w:sz="4" w:space="0" w:color="auto"/>
              <w:bottom w:val="dotted" w:sz="4" w:space="0" w:color="auto"/>
              <w:right w:val="single" w:sz="4" w:space="0" w:color="auto"/>
            </w:tcBorders>
          </w:tcPr>
          <w:p w14:paraId="1F9D8DAA" w14:textId="4EA3D055" w:rsidR="00DA185E" w:rsidRPr="00212B82" w:rsidRDefault="003C0905" w:rsidP="00BB33F5">
            <w:pPr>
              <w:tabs>
                <w:tab w:val="left" w:pos="709"/>
              </w:tabs>
              <w:spacing w:before="60" w:after="60"/>
              <w:rPr>
                <w:rFonts w:ascii="Arial" w:hAnsi="Arial"/>
                <w:sz w:val="16"/>
                <w:szCs w:val="16"/>
                <w:lang w:val="en-AU"/>
              </w:rPr>
            </w:pPr>
            <w:r w:rsidRPr="00212B82">
              <w:rPr>
                <w:rFonts w:ascii="Arial" w:hAnsi="Arial"/>
                <w:sz w:val="16"/>
                <w:szCs w:val="16"/>
                <w:lang w:val="en-AU"/>
              </w:rPr>
              <w:t>Defence achieves the ADF and APS Budgeted Workforce Requirement as set out in the 2024 Defence Workforce Plan, and the net flow of the ADF and APS workforce over a 12 month period is trending positive and is positioning Defence to achieve the Budgeted Workforce Requirement over the forward estimates</w:t>
            </w:r>
            <w:r w:rsidR="00DA185E" w:rsidRPr="00212B82">
              <w:rPr>
                <w:rFonts w:ascii="Arial" w:hAnsi="Arial"/>
                <w:sz w:val="16"/>
                <w:szCs w:val="16"/>
                <w:lang w:val="en-AU"/>
              </w:rPr>
              <w:t>.</w:t>
            </w:r>
          </w:p>
        </w:tc>
      </w:tr>
      <w:tr w:rsidR="00DA185E" w:rsidRPr="00FF6EA0" w14:paraId="278B143A" w14:textId="77777777" w:rsidTr="00913DBF">
        <w:tblPrEx>
          <w:shd w:val="clear" w:color="auto" w:fill="auto"/>
          <w:tblLook w:val="04A0" w:firstRow="1" w:lastRow="0" w:firstColumn="1" w:lastColumn="0" w:noHBand="0" w:noVBand="1"/>
        </w:tblPrEx>
        <w:trPr>
          <w:trHeight w:val="320"/>
        </w:trPr>
        <w:tc>
          <w:tcPr>
            <w:tcW w:w="1661" w:type="dxa"/>
            <w:vMerge/>
            <w:tcBorders>
              <w:left w:val="single" w:sz="4" w:space="0" w:color="auto"/>
              <w:right w:val="single" w:sz="4" w:space="0" w:color="auto"/>
            </w:tcBorders>
          </w:tcPr>
          <w:p w14:paraId="7C713ACE" w14:textId="7EDF8814" w:rsidR="00DA185E" w:rsidRPr="00FF6EA0" w:rsidRDefault="00DA185E" w:rsidP="00A54DB4">
            <w:pPr>
              <w:tabs>
                <w:tab w:val="left" w:pos="709"/>
              </w:tabs>
              <w:spacing w:before="0" w:after="0"/>
              <w:rPr>
                <w:rFonts w:ascii="Arial" w:hAnsi="Arial"/>
                <w:color w:val="000000"/>
                <w:sz w:val="16"/>
                <w:szCs w:val="16"/>
              </w:rPr>
            </w:pPr>
          </w:p>
        </w:tc>
        <w:tc>
          <w:tcPr>
            <w:tcW w:w="2865" w:type="dxa"/>
            <w:tcBorders>
              <w:top w:val="dotted" w:sz="4" w:space="0" w:color="auto"/>
              <w:left w:val="single" w:sz="4" w:space="0" w:color="auto"/>
              <w:bottom w:val="dotted" w:sz="4" w:space="0" w:color="auto"/>
              <w:right w:val="single" w:sz="4" w:space="0" w:color="auto"/>
            </w:tcBorders>
          </w:tcPr>
          <w:p w14:paraId="1EE9F8D5" w14:textId="77777777" w:rsidR="00DA185E" w:rsidRPr="00DA6484" w:rsidRDefault="00DA185E" w:rsidP="00BB33F5">
            <w:pPr>
              <w:tabs>
                <w:tab w:val="left" w:pos="709"/>
              </w:tabs>
              <w:spacing w:before="60" w:after="60"/>
              <w:rPr>
                <w:rFonts w:ascii="Arial" w:hAnsi="Arial"/>
                <w:sz w:val="16"/>
                <w:szCs w:val="16"/>
                <w:lang w:val="en-AU"/>
              </w:rPr>
            </w:pPr>
            <w:r w:rsidRPr="00DA6484">
              <w:rPr>
                <w:rFonts w:ascii="Arial" w:hAnsi="Arial"/>
                <w:sz w:val="16"/>
                <w:szCs w:val="16"/>
                <w:lang w:val="en-AU"/>
              </w:rPr>
              <w:t>4.2: Defence grows the necessary skills and capabilities to enable the Defence mission.</w:t>
            </w:r>
          </w:p>
        </w:tc>
        <w:tc>
          <w:tcPr>
            <w:tcW w:w="3084" w:type="dxa"/>
            <w:tcBorders>
              <w:top w:val="dotted" w:sz="4" w:space="0" w:color="auto"/>
              <w:left w:val="single" w:sz="4" w:space="0" w:color="auto"/>
              <w:bottom w:val="dotted" w:sz="4" w:space="0" w:color="auto"/>
              <w:right w:val="single" w:sz="4" w:space="0" w:color="auto"/>
            </w:tcBorders>
          </w:tcPr>
          <w:p w14:paraId="10FBD0EF" w14:textId="7530F4F7" w:rsidR="00DA185E" w:rsidRPr="00212B82" w:rsidRDefault="003C0905" w:rsidP="00BB33F5">
            <w:pPr>
              <w:tabs>
                <w:tab w:val="left" w:pos="709"/>
              </w:tabs>
              <w:spacing w:before="60" w:after="60"/>
              <w:rPr>
                <w:rFonts w:ascii="Arial" w:hAnsi="Arial"/>
                <w:i/>
                <w:sz w:val="16"/>
                <w:szCs w:val="16"/>
                <w:lang w:val="en-AU"/>
              </w:rPr>
            </w:pPr>
            <w:r w:rsidRPr="00212B82">
              <w:rPr>
                <w:rFonts w:ascii="Arial" w:hAnsi="Arial"/>
                <w:sz w:val="16"/>
                <w:szCs w:val="16"/>
                <w:lang w:val="en-AU"/>
              </w:rPr>
              <w:t>The Defence workforce has the technical skills required to deliver the National Defence Strategy as measured through the Defence Strategic Workforce Segments, and the net flow of the ADF and APS workforce over a 12 month period against the Budgeted Workforce Requirement by Strategic Workforce Segment</w:t>
            </w:r>
            <w:r w:rsidR="00CC7AF9" w:rsidRPr="00212B82">
              <w:rPr>
                <w:rFonts w:ascii="Arial" w:hAnsi="Arial"/>
                <w:sz w:val="16"/>
                <w:szCs w:val="16"/>
                <w:lang w:val="en-AU"/>
              </w:rPr>
              <w:t>.</w:t>
            </w:r>
          </w:p>
        </w:tc>
      </w:tr>
      <w:tr w:rsidR="00DA185E" w:rsidRPr="00FF6EA0" w14:paraId="2B4B09AC" w14:textId="77777777" w:rsidTr="00514075">
        <w:tblPrEx>
          <w:shd w:val="clear" w:color="auto" w:fill="auto"/>
          <w:tblLook w:val="04A0" w:firstRow="1" w:lastRow="0" w:firstColumn="1" w:lastColumn="0" w:noHBand="0" w:noVBand="1"/>
        </w:tblPrEx>
        <w:trPr>
          <w:trHeight w:val="320"/>
        </w:trPr>
        <w:tc>
          <w:tcPr>
            <w:tcW w:w="1661" w:type="dxa"/>
            <w:vMerge/>
            <w:tcBorders>
              <w:left w:val="single" w:sz="4" w:space="0" w:color="auto"/>
              <w:right w:val="single" w:sz="4" w:space="0" w:color="auto"/>
            </w:tcBorders>
          </w:tcPr>
          <w:p w14:paraId="75D2D39C" w14:textId="6763F8DB" w:rsidR="00DA185E" w:rsidRPr="00FF6EA0" w:rsidRDefault="00DA185E" w:rsidP="00A54DB4">
            <w:pPr>
              <w:tabs>
                <w:tab w:val="left" w:pos="709"/>
              </w:tabs>
              <w:spacing w:before="0" w:after="0"/>
              <w:rPr>
                <w:rFonts w:ascii="Arial" w:hAnsi="Arial"/>
                <w:color w:val="000000"/>
                <w:sz w:val="16"/>
                <w:szCs w:val="16"/>
              </w:rPr>
            </w:pPr>
          </w:p>
        </w:tc>
        <w:tc>
          <w:tcPr>
            <w:tcW w:w="2865" w:type="dxa"/>
            <w:tcBorders>
              <w:top w:val="dotted" w:sz="4" w:space="0" w:color="auto"/>
              <w:left w:val="single" w:sz="4" w:space="0" w:color="auto"/>
              <w:bottom w:val="dotted" w:sz="4" w:space="0" w:color="auto"/>
              <w:right w:val="single" w:sz="4" w:space="0" w:color="auto"/>
            </w:tcBorders>
          </w:tcPr>
          <w:p w14:paraId="340CEDCD" w14:textId="77777777" w:rsidR="00DA185E" w:rsidRPr="00DA6484" w:rsidRDefault="00DA185E" w:rsidP="00A54DB4">
            <w:pPr>
              <w:tabs>
                <w:tab w:val="left" w:pos="709"/>
              </w:tabs>
              <w:spacing w:before="60" w:after="60"/>
              <w:rPr>
                <w:rFonts w:ascii="Arial" w:hAnsi="Arial"/>
                <w:sz w:val="16"/>
                <w:szCs w:val="16"/>
                <w:lang w:val="en-AU"/>
              </w:rPr>
            </w:pPr>
            <w:r w:rsidRPr="00DA6484">
              <w:rPr>
                <w:rFonts w:ascii="Arial" w:hAnsi="Arial"/>
                <w:sz w:val="16"/>
                <w:szCs w:val="16"/>
                <w:lang w:val="en-AU"/>
              </w:rPr>
              <w:t xml:space="preserve">4.3: The Defence Values and Behaviours enable our people to deliver Australia’s </w:t>
            </w:r>
            <w:r>
              <w:rPr>
                <w:rFonts w:ascii="Arial" w:hAnsi="Arial"/>
                <w:sz w:val="16"/>
                <w:szCs w:val="16"/>
                <w:lang w:val="en-AU"/>
              </w:rPr>
              <w:t>N</w:t>
            </w:r>
            <w:r w:rsidRPr="00DA6484">
              <w:rPr>
                <w:rFonts w:ascii="Arial" w:hAnsi="Arial"/>
                <w:sz w:val="16"/>
                <w:szCs w:val="16"/>
                <w:lang w:val="en-AU"/>
              </w:rPr>
              <w:t xml:space="preserve">ational </w:t>
            </w:r>
            <w:r>
              <w:rPr>
                <w:rFonts w:ascii="Arial" w:hAnsi="Arial"/>
                <w:sz w:val="16"/>
                <w:szCs w:val="16"/>
                <w:lang w:val="en-AU"/>
              </w:rPr>
              <w:t>D</w:t>
            </w:r>
            <w:r w:rsidRPr="00DA6484">
              <w:rPr>
                <w:rFonts w:ascii="Arial" w:hAnsi="Arial"/>
                <w:sz w:val="16"/>
                <w:szCs w:val="16"/>
                <w:lang w:val="en-AU"/>
              </w:rPr>
              <w:t>efence.</w:t>
            </w:r>
          </w:p>
        </w:tc>
        <w:tc>
          <w:tcPr>
            <w:tcW w:w="3084" w:type="dxa"/>
            <w:tcBorders>
              <w:top w:val="dotted" w:sz="4" w:space="0" w:color="auto"/>
              <w:left w:val="single" w:sz="4" w:space="0" w:color="auto"/>
              <w:bottom w:val="dotted" w:sz="4" w:space="0" w:color="auto"/>
              <w:right w:val="single" w:sz="4" w:space="0" w:color="auto"/>
            </w:tcBorders>
          </w:tcPr>
          <w:p w14:paraId="6F0B9B20" w14:textId="36FB074D" w:rsidR="00DA185E" w:rsidRPr="00212B82" w:rsidRDefault="003C0905" w:rsidP="00A54DB4">
            <w:pPr>
              <w:tabs>
                <w:tab w:val="left" w:pos="709"/>
              </w:tabs>
              <w:spacing w:before="60" w:after="60"/>
              <w:rPr>
                <w:rFonts w:ascii="Arial" w:hAnsi="Arial"/>
                <w:sz w:val="16"/>
                <w:szCs w:val="16"/>
                <w:lang w:val="en-AU"/>
              </w:rPr>
            </w:pPr>
            <w:r w:rsidRPr="00212B82">
              <w:rPr>
                <w:rFonts w:ascii="Arial" w:hAnsi="Arial"/>
                <w:sz w:val="16"/>
                <w:szCs w:val="16"/>
                <w:lang w:val="en-AU"/>
              </w:rPr>
              <w:t>The proportion of ADF and Defence APS personnel that believe appropriate action will be taken if they report an incident of unacceptable behaviour has increased in the last 12 months, the proportion of ADF and Defence APS personnel who have experienced any unacceptable behaviour in the workplace has decreased in the last 12 months, and proportion of ADF and Defence APS personnel who are of the view that Defence Values are being used in their work area has increased in the last 12 months</w:t>
            </w:r>
            <w:r w:rsidR="00DA185E" w:rsidRPr="00212B82">
              <w:rPr>
                <w:rFonts w:ascii="Arial" w:hAnsi="Arial"/>
                <w:sz w:val="16"/>
                <w:szCs w:val="16"/>
                <w:lang w:val="en-AU"/>
              </w:rPr>
              <w:t>.</w:t>
            </w:r>
          </w:p>
        </w:tc>
      </w:tr>
      <w:tr w:rsidR="00DA185E" w:rsidRPr="00FF6EA0" w14:paraId="6DAE3A6C" w14:textId="77777777" w:rsidTr="00514075">
        <w:tblPrEx>
          <w:shd w:val="clear" w:color="auto" w:fill="auto"/>
          <w:tblLook w:val="04A0" w:firstRow="1" w:lastRow="0" w:firstColumn="1" w:lastColumn="0" w:noHBand="0" w:noVBand="1"/>
        </w:tblPrEx>
        <w:trPr>
          <w:trHeight w:val="320"/>
        </w:trPr>
        <w:tc>
          <w:tcPr>
            <w:tcW w:w="1661" w:type="dxa"/>
            <w:vMerge/>
            <w:tcBorders>
              <w:left w:val="single" w:sz="4" w:space="0" w:color="auto"/>
              <w:bottom w:val="single" w:sz="4" w:space="0" w:color="auto"/>
              <w:right w:val="single" w:sz="4" w:space="0" w:color="auto"/>
            </w:tcBorders>
          </w:tcPr>
          <w:p w14:paraId="78BEC673" w14:textId="77777777" w:rsidR="00DA185E" w:rsidRPr="00FF6EA0" w:rsidRDefault="00DA185E" w:rsidP="00A54DB4">
            <w:pPr>
              <w:tabs>
                <w:tab w:val="left" w:pos="709"/>
              </w:tabs>
              <w:spacing w:before="60" w:after="60"/>
              <w:rPr>
                <w:rFonts w:ascii="Arial" w:hAnsi="Arial"/>
                <w:color w:val="000000"/>
                <w:sz w:val="16"/>
                <w:szCs w:val="16"/>
              </w:rPr>
            </w:pPr>
          </w:p>
        </w:tc>
        <w:tc>
          <w:tcPr>
            <w:tcW w:w="2865" w:type="dxa"/>
            <w:tcBorders>
              <w:top w:val="dotted" w:sz="4" w:space="0" w:color="auto"/>
              <w:left w:val="single" w:sz="4" w:space="0" w:color="auto"/>
              <w:bottom w:val="single" w:sz="4" w:space="0" w:color="auto"/>
              <w:right w:val="single" w:sz="4" w:space="0" w:color="auto"/>
            </w:tcBorders>
          </w:tcPr>
          <w:p w14:paraId="49D0281B" w14:textId="77777777" w:rsidR="00DA185E" w:rsidRPr="00DA6484" w:rsidRDefault="00DA185E" w:rsidP="00A54DB4">
            <w:pPr>
              <w:tabs>
                <w:tab w:val="left" w:pos="709"/>
              </w:tabs>
              <w:spacing w:before="60" w:after="60"/>
              <w:rPr>
                <w:rFonts w:ascii="Arial" w:hAnsi="Arial"/>
                <w:sz w:val="16"/>
                <w:szCs w:val="16"/>
                <w:lang w:val="en-AU"/>
              </w:rPr>
            </w:pPr>
            <w:r w:rsidRPr="00DA6484">
              <w:rPr>
                <w:rFonts w:ascii="Arial" w:hAnsi="Arial"/>
                <w:sz w:val="16"/>
                <w:szCs w:val="16"/>
                <w:lang w:val="en-AU"/>
              </w:rPr>
              <w:t>4.4: Defence supports ADF members and their families by providing access to support services and programs having regard to lifetime wellbeing.</w:t>
            </w:r>
          </w:p>
        </w:tc>
        <w:tc>
          <w:tcPr>
            <w:tcW w:w="3084" w:type="dxa"/>
            <w:tcBorders>
              <w:top w:val="dotted" w:sz="4" w:space="0" w:color="auto"/>
              <w:left w:val="single" w:sz="4" w:space="0" w:color="auto"/>
              <w:bottom w:val="single" w:sz="4" w:space="0" w:color="auto"/>
              <w:right w:val="single" w:sz="4" w:space="0" w:color="auto"/>
            </w:tcBorders>
          </w:tcPr>
          <w:p w14:paraId="519F773D" w14:textId="79D4D754" w:rsidR="00DA185E" w:rsidRPr="00A54DB4" w:rsidRDefault="00DA185E" w:rsidP="008B59EF">
            <w:pPr>
              <w:tabs>
                <w:tab w:val="left" w:pos="709"/>
              </w:tabs>
              <w:spacing w:before="60" w:after="60"/>
              <w:rPr>
                <w:rFonts w:ascii="Arial" w:hAnsi="Arial"/>
                <w:sz w:val="16"/>
                <w:szCs w:val="16"/>
                <w:lang w:val="en-AU"/>
              </w:rPr>
            </w:pPr>
            <w:r w:rsidRPr="00A54DB4">
              <w:rPr>
                <w:rFonts w:ascii="Arial" w:hAnsi="Arial"/>
                <w:sz w:val="16"/>
                <w:szCs w:val="16"/>
                <w:lang w:val="en-AU"/>
              </w:rPr>
              <w:t>At least 75 per cent of eligible permanent ADF members and their families are registered with the ADF Family Health Program; 100 per cent of support services and programs are provided to permanent ADF and their families in accordance with identified service delivery timeframes; and 100 per cent of Defence-led, Government-agreed recommendations from the Royal Commission into Defence and Veteran Suicide Final Report which are on the Forward Work Plan for the Program Board in 2024-25, have approved Reform Management Plans by 30 June 2025.</w:t>
            </w:r>
          </w:p>
        </w:tc>
      </w:tr>
      <w:tr w:rsidR="00FC5572" w:rsidRPr="00FF6EA0" w14:paraId="402D1691" w14:textId="77777777" w:rsidTr="00514075">
        <w:tblPrEx>
          <w:shd w:val="clear" w:color="auto" w:fill="auto"/>
          <w:tblLook w:val="04A0" w:firstRow="1" w:lastRow="0" w:firstColumn="1" w:lastColumn="0" w:noHBand="0" w:noVBand="1"/>
        </w:tblPrEx>
        <w:trPr>
          <w:trHeight w:val="254"/>
        </w:trPr>
        <w:tc>
          <w:tcPr>
            <w:tcW w:w="1661" w:type="dxa"/>
            <w:tcBorders>
              <w:top w:val="single" w:sz="4" w:space="0" w:color="auto"/>
              <w:bottom w:val="single" w:sz="4" w:space="0" w:color="auto"/>
              <w:right w:val="single" w:sz="4" w:space="0" w:color="auto"/>
            </w:tcBorders>
          </w:tcPr>
          <w:p w14:paraId="254C6E6A" w14:textId="07365F4A" w:rsidR="00FC5572" w:rsidRPr="00FF6EA0" w:rsidRDefault="00FC5572" w:rsidP="00FC5572">
            <w:pPr>
              <w:tabs>
                <w:tab w:val="left" w:pos="709"/>
              </w:tabs>
              <w:spacing w:before="0" w:after="0"/>
              <w:rPr>
                <w:rFonts w:ascii="Arial" w:hAnsi="Arial"/>
                <w:color w:val="000000"/>
                <w:sz w:val="16"/>
                <w:szCs w:val="16"/>
              </w:rPr>
            </w:pPr>
            <w:r w:rsidRPr="00FF6EA0">
              <w:rPr>
                <w:rFonts w:ascii="Arial" w:hAnsi="Arial"/>
                <w:b/>
                <w:color w:val="000000"/>
                <w:sz w:val="16"/>
                <w:szCs w:val="16"/>
              </w:rPr>
              <w:lastRenderedPageBreak/>
              <w:t>Year</w:t>
            </w:r>
          </w:p>
        </w:tc>
        <w:tc>
          <w:tcPr>
            <w:tcW w:w="2865" w:type="dxa"/>
            <w:tcBorders>
              <w:top w:val="single" w:sz="4" w:space="0" w:color="auto"/>
              <w:left w:val="single" w:sz="4" w:space="0" w:color="auto"/>
              <w:bottom w:val="single" w:sz="4" w:space="0" w:color="auto"/>
              <w:right w:val="single" w:sz="4" w:space="0" w:color="auto"/>
            </w:tcBorders>
          </w:tcPr>
          <w:p w14:paraId="0034AF0E" w14:textId="4BF25A2C" w:rsidR="00FC5572" w:rsidRPr="00FC5572" w:rsidRDefault="00FC5572" w:rsidP="00FC5572">
            <w:pPr>
              <w:tabs>
                <w:tab w:val="left" w:pos="709"/>
              </w:tabs>
              <w:spacing w:before="0" w:after="0"/>
              <w:rPr>
                <w:rFonts w:ascii="Arial" w:hAnsi="Arial"/>
                <w:b/>
                <w:color w:val="000000"/>
                <w:sz w:val="16"/>
                <w:szCs w:val="16"/>
              </w:rPr>
            </w:pPr>
            <w:r w:rsidRPr="00FF6EA0">
              <w:rPr>
                <w:rFonts w:ascii="Arial" w:hAnsi="Arial"/>
                <w:b/>
                <w:color w:val="000000"/>
                <w:sz w:val="16"/>
                <w:szCs w:val="16"/>
              </w:rPr>
              <w:t>Performance measures</w:t>
            </w:r>
          </w:p>
        </w:tc>
        <w:tc>
          <w:tcPr>
            <w:tcW w:w="3084" w:type="dxa"/>
            <w:tcBorders>
              <w:top w:val="single" w:sz="4" w:space="0" w:color="auto"/>
              <w:left w:val="single" w:sz="4" w:space="0" w:color="auto"/>
              <w:bottom w:val="single" w:sz="4" w:space="0" w:color="auto"/>
            </w:tcBorders>
          </w:tcPr>
          <w:p w14:paraId="002C57B3" w14:textId="2B7A1DFB" w:rsidR="00FC5572" w:rsidRPr="00FF6EA0" w:rsidRDefault="00FC5572" w:rsidP="00FC5572">
            <w:pPr>
              <w:tabs>
                <w:tab w:val="left" w:pos="709"/>
              </w:tabs>
              <w:spacing w:before="0" w:after="0"/>
              <w:rPr>
                <w:rFonts w:ascii="Arial" w:hAnsi="Arial"/>
                <w:color w:val="000000"/>
                <w:sz w:val="16"/>
                <w:szCs w:val="16"/>
                <w:lang w:val="en-AU"/>
              </w:rPr>
            </w:pPr>
            <w:r w:rsidRPr="00212B82">
              <w:rPr>
                <w:rFonts w:ascii="Arial" w:hAnsi="Arial"/>
                <w:b/>
                <w:color w:val="000000"/>
                <w:sz w:val="16"/>
                <w:szCs w:val="16"/>
              </w:rPr>
              <w:t>Planned Performance Results</w:t>
            </w:r>
          </w:p>
        </w:tc>
      </w:tr>
      <w:tr w:rsidR="00F7100A" w:rsidRPr="00FF6EA0" w14:paraId="7A66016D" w14:textId="77777777" w:rsidTr="00514075">
        <w:tblPrEx>
          <w:shd w:val="clear" w:color="auto" w:fill="auto"/>
          <w:tblLook w:val="04A0" w:firstRow="1" w:lastRow="0" w:firstColumn="1" w:lastColumn="0" w:noHBand="0" w:noVBand="1"/>
        </w:tblPrEx>
        <w:trPr>
          <w:trHeight w:val="491"/>
        </w:trPr>
        <w:tc>
          <w:tcPr>
            <w:tcW w:w="1661" w:type="dxa"/>
            <w:tcBorders>
              <w:top w:val="single" w:sz="4" w:space="0" w:color="auto"/>
              <w:bottom w:val="single" w:sz="4" w:space="0" w:color="auto"/>
              <w:right w:val="single" w:sz="4" w:space="0" w:color="auto"/>
            </w:tcBorders>
          </w:tcPr>
          <w:p w14:paraId="50042437" w14:textId="77777777" w:rsidR="00F7100A" w:rsidRPr="00FF6EA0" w:rsidRDefault="00F7100A" w:rsidP="00FF6EA0">
            <w:pPr>
              <w:tabs>
                <w:tab w:val="left" w:pos="709"/>
              </w:tabs>
              <w:spacing w:before="0" w:after="0"/>
              <w:rPr>
                <w:rFonts w:ascii="Arial" w:hAnsi="Arial"/>
                <w:color w:val="000000"/>
                <w:sz w:val="16"/>
                <w:szCs w:val="16"/>
              </w:rPr>
            </w:pPr>
            <w:r w:rsidRPr="00FF6EA0">
              <w:rPr>
                <w:rFonts w:ascii="Arial" w:hAnsi="Arial"/>
                <w:color w:val="000000"/>
                <w:sz w:val="16"/>
                <w:szCs w:val="16"/>
              </w:rPr>
              <w:t>Forward Estimates</w:t>
            </w:r>
          </w:p>
          <w:p w14:paraId="49EE29DF" w14:textId="77777777" w:rsidR="00F7100A" w:rsidRPr="00FF6EA0" w:rsidRDefault="00F7100A" w:rsidP="00FF6EA0">
            <w:pPr>
              <w:tabs>
                <w:tab w:val="left" w:pos="709"/>
              </w:tabs>
              <w:spacing w:before="0" w:after="0"/>
              <w:rPr>
                <w:rFonts w:ascii="Arial" w:hAnsi="Arial"/>
                <w:b/>
                <w:color w:val="000000"/>
                <w:sz w:val="16"/>
                <w:szCs w:val="16"/>
              </w:rPr>
            </w:pPr>
            <w:r w:rsidRPr="00FF6EA0">
              <w:rPr>
                <w:rFonts w:ascii="Arial" w:hAnsi="Arial"/>
                <w:color w:val="000000"/>
                <w:sz w:val="16"/>
                <w:szCs w:val="16"/>
              </w:rPr>
              <w:t>202</w:t>
            </w:r>
            <w:r w:rsidR="00120363" w:rsidRPr="00FF6EA0">
              <w:rPr>
                <w:rFonts w:ascii="Arial" w:hAnsi="Arial"/>
                <w:color w:val="000000"/>
                <w:sz w:val="16"/>
                <w:szCs w:val="16"/>
              </w:rPr>
              <w:t>6</w:t>
            </w:r>
            <w:r w:rsidRPr="00FF6EA0">
              <w:rPr>
                <w:rFonts w:ascii="Arial" w:hAnsi="Arial"/>
                <w:color w:val="000000"/>
                <w:sz w:val="16"/>
                <w:szCs w:val="16"/>
              </w:rPr>
              <w:t>-2</w:t>
            </w:r>
            <w:r w:rsidR="00120363" w:rsidRPr="00FF6EA0">
              <w:rPr>
                <w:rFonts w:ascii="Arial" w:hAnsi="Arial"/>
                <w:color w:val="000000"/>
                <w:sz w:val="16"/>
                <w:szCs w:val="16"/>
              </w:rPr>
              <w:t>9</w:t>
            </w:r>
          </w:p>
        </w:tc>
        <w:tc>
          <w:tcPr>
            <w:tcW w:w="2865" w:type="dxa"/>
            <w:tcBorders>
              <w:top w:val="single" w:sz="4" w:space="0" w:color="auto"/>
              <w:left w:val="single" w:sz="4" w:space="0" w:color="auto"/>
              <w:bottom w:val="single" w:sz="4" w:space="0" w:color="auto"/>
              <w:right w:val="single" w:sz="4" w:space="0" w:color="auto"/>
            </w:tcBorders>
          </w:tcPr>
          <w:p w14:paraId="50C92C53" w14:textId="77777777" w:rsidR="00F7100A" w:rsidRPr="00FF6EA0" w:rsidRDefault="00F7100A" w:rsidP="00BB33F5">
            <w:pPr>
              <w:tabs>
                <w:tab w:val="left" w:pos="709"/>
              </w:tabs>
              <w:spacing w:before="60" w:after="60"/>
              <w:rPr>
                <w:rFonts w:ascii="Arial" w:hAnsi="Arial"/>
                <w:b/>
                <w:color w:val="000000"/>
                <w:sz w:val="16"/>
                <w:szCs w:val="16"/>
              </w:rPr>
            </w:pPr>
            <w:r w:rsidRPr="00FF6EA0">
              <w:rPr>
                <w:rFonts w:ascii="Arial" w:hAnsi="Arial"/>
                <w:color w:val="000000"/>
                <w:sz w:val="16"/>
                <w:szCs w:val="16"/>
                <w:lang w:val="en-AU"/>
              </w:rPr>
              <w:t>As per 202</w:t>
            </w:r>
            <w:r w:rsidR="00BB33F5">
              <w:rPr>
                <w:rFonts w:ascii="Arial" w:hAnsi="Arial"/>
                <w:color w:val="000000"/>
                <w:sz w:val="16"/>
                <w:szCs w:val="16"/>
                <w:lang w:val="en-AU"/>
              </w:rPr>
              <w:t>5</w:t>
            </w:r>
            <w:r w:rsidRPr="00FF6EA0">
              <w:rPr>
                <w:rFonts w:ascii="Arial" w:hAnsi="Arial"/>
                <w:color w:val="000000"/>
                <w:sz w:val="16"/>
                <w:szCs w:val="16"/>
                <w:lang w:val="en-AU"/>
              </w:rPr>
              <w:t>-2</w:t>
            </w:r>
            <w:r w:rsidR="00BB33F5">
              <w:rPr>
                <w:rFonts w:ascii="Arial" w:hAnsi="Arial"/>
                <w:color w:val="000000"/>
                <w:sz w:val="16"/>
                <w:szCs w:val="16"/>
                <w:lang w:val="en-AU"/>
              </w:rPr>
              <w:t>6</w:t>
            </w:r>
            <w:r w:rsidRPr="00FF6EA0">
              <w:rPr>
                <w:rFonts w:ascii="Arial" w:hAnsi="Arial"/>
                <w:color w:val="000000"/>
                <w:sz w:val="16"/>
                <w:szCs w:val="16"/>
                <w:lang w:val="en-AU"/>
              </w:rPr>
              <w:t>.</w:t>
            </w:r>
          </w:p>
        </w:tc>
        <w:tc>
          <w:tcPr>
            <w:tcW w:w="3084" w:type="dxa"/>
            <w:tcBorders>
              <w:top w:val="single" w:sz="4" w:space="0" w:color="auto"/>
              <w:left w:val="single" w:sz="4" w:space="0" w:color="auto"/>
              <w:bottom w:val="single" w:sz="4" w:space="0" w:color="auto"/>
            </w:tcBorders>
          </w:tcPr>
          <w:p w14:paraId="50B63D99" w14:textId="77777777" w:rsidR="00F7100A" w:rsidRPr="00FF6EA0" w:rsidRDefault="00F7100A" w:rsidP="00BB33F5">
            <w:pPr>
              <w:tabs>
                <w:tab w:val="left" w:pos="709"/>
              </w:tabs>
              <w:spacing w:before="60" w:after="60"/>
              <w:rPr>
                <w:rFonts w:ascii="Arial" w:hAnsi="Arial"/>
                <w:b/>
                <w:color w:val="000000"/>
                <w:sz w:val="16"/>
                <w:szCs w:val="16"/>
              </w:rPr>
            </w:pPr>
            <w:r w:rsidRPr="00FF6EA0">
              <w:rPr>
                <w:rFonts w:ascii="Arial" w:hAnsi="Arial"/>
                <w:color w:val="000000"/>
                <w:sz w:val="16"/>
                <w:szCs w:val="16"/>
                <w:lang w:val="en-AU"/>
              </w:rPr>
              <w:t>As per 202</w:t>
            </w:r>
            <w:r w:rsidR="00BB33F5">
              <w:rPr>
                <w:rFonts w:ascii="Arial" w:hAnsi="Arial"/>
                <w:color w:val="000000"/>
                <w:sz w:val="16"/>
                <w:szCs w:val="16"/>
                <w:lang w:val="en-AU"/>
              </w:rPr>
              <w:t>5</w:t>
            </w:r>
            <w:r w:rsidRPr="00FF6EA0">
              <w:rPr>
                <w:rFonts w:ascii="Arial" w:hAnsi="Arial"/>
                <w:color w:val="000000"/>
                <w:sz w:val="16"/>
                <w:szCs w:val="16"/>
                <w:lang w:val="en-AU"/>
              </w:rPr>
              <w:t>-2</w:t>
            </w:r>
            <w:r w:rsidR="00BB33F5">
              <w:rPr>
                <w:rFonts w:ascii="Arial" w:hAnsi="Arial"/>
                <w:color w:val="000000"/>
                <w:sz w:val="16"/>
                <w:szCs w:val="16"/>
                <w:lang w:val="en-AU"/>
              </w:rPr>
              <w:t>6</w:t>
            </w:r>
            <w:r w:rsidRPr="00FF6EA0">
              <w:rPr>
                <w:rFonts w:ascii="Arial" w:hAnsi="Arial"/>
                <w:color w:val="000000"/>
                <w:sz w:val="16"/>
                <w:szCs w:val="16"/>
                <w:lang w:val="en-AU"/>
              </w:rPr>
              <w:t>.</w:t>
            </w:r>
          </w:p>
        </w:tc>
      </w:tr>
      <w:tr w:rsidR="00F7100A" w:rsidRPr="00FF6EA0" w14:paraId="7761F2EC" w14:textId="77777777" w:rsidTr="00DA185E">
        <w:tblPrEx>
          <w:shd w:val="clear" w:color="auto" w:fill="auto"/>
          <w:tblLook w:val="04A0" w:firstRow="1" w:lastRow="0" w:firstColumn="1" w:lastColumn="0" w:noHBand="0" w:noVBand="1"/>
        </w:tblPrEx>
        <w:trPr>
          <w:trHeight w:val="291"/>
        </w:trPr>
        <w:tc>
          <w:tcPr>
            <w:tcW w:w="7610" w:type="dxa"/>
            <w:gridSpan w:val="3"/>
            <w:tcBorders>
              <w:top w:val="single" w:sz="4" w:space="0" w:color="auto"/>
            </w:tcBorders>
          </w:tcPr>
          <w:p w14:paraId="3651B38D" w14:textId="2825FFB2" w:rsidR="00F7100A" w:rsidRPr="00FF6EA0" w:rsidRDefault="00F7100A" w:rsidP="00DA185E">
            <w:pPr>
              <w:tabs>
                <w:tab w:val="left" w:pos="709"/>
              </w:tabs>
              <w:spacing w:before="60" w:after="60"/>
              <w:rPr>
                <w:rFonts w:ascii="Arial" w:eastAsia="Cambria" w:hAnsi="Arial"/>
                <w:bCs/>
                <w:iCs/>
                <w:color w:val="000000"/>
                <w:spacing w:val="-6"/>
                <w:sz w:val="16"/>
                <w:szCs w:val="16"/>
                <w:lang w:val="x-none"/>
              </w:rPr>
            </w:pPr>
            <w:r w:rsidRPr="00FF6EA0">
              <w:rPr>
                <w:rFonts w:ascii="Arial" w:hAnsi="Arial"/>
                <w:color w:val="000000"/>
                <w:sz w:val="16"/>
                <w:szCs w:val="16"/>
              </w:rPr>
              <w:t>Material changes to Program 2.23 resulting from 202</w:t>
            </w:r>
            <w:r w:rsidR="00DA185E">
              <w:rPr>
                <w:rFonts w:ascii="Arial" w:hAnsi="Arial"/>
                <w:color w:val="000000"/>
                <w:sz w:val="16"/>
                <w:szCs w:val="16"/>
              </w:rPr>
              <w:t>5</w:t>
            </w:r>
            <w:r w:rsidRPr="00FF6EA0">
              <w:rPr>
                <w:rFonts w:ascii="Arial" w:hAnsi="Arial"/>
                <w:color w:val="000000"/>
                <w:sz w:val="16"/>
                <w:szCs w:val="16"/>
              </w:rPr>
              <w:t>-2</w:t>
            </w:r>
            <w:r w:rsidR="00DA185E">
              <w:rPr>
                <w:rFonts w:ascii="Arial" w:hAnsi="Arial"/>
                <w:color w:val="000000"/>
                <w:sz w:val="16"/>
                <w:szCs w:val="16"/>
              </w:rPr>
              <w:t>6</w:t>
            </w:r>
            <w:r w:rsidRPr="00FF6EA0">
              <w:rPr>
                <w:rFonts w:ascii="Arial" w:hAnsi="Arial"/>
                <w:color w:val="000000"/>
                <w:sz w:val="16"/>
                <w:szCs w:val="16"/>
              </w:rPr>
              <w:t xml:space="preserve"> Budget Measures:</w:t>
            </w:r>
            <w:r w:rsidRPr="00FF6EA0">
              <w:rPr>
                <w:rStyle w:val="BodyTextChar"/>
                <w:rFonts w:ascii="Arial" w:hAnsi="Arial"/>
                <w:bCs/>
                <w:iCs/>
                <w:color w:val="000000"/>
                <w:spacing w:val="-6"/>
                <w:sz w:val="16"/>
                <w:szCs w:val="16"/>
              </w:rPr>
              <w:t xml:space="preserve"> Nil.</w:t>
            </w:r>
          </w:p>
        </w:tc>
      </w:tr>
    </w:tbl>
    <w:p w14:paraId="03B14B9D" w14:textId="77777777" w:rsidR="00F7100A" w:rsidRPr="00FF6EA0" w:rsidRDefault="00F7100A" w:rsidP="00F7100A">
      <w:pPr>
        <w:pStyle w:val="TableHeading"/>
        <w:spacing w:before="0" w:after="0"/>
        <w:rPr>
          <w:sz w:val="14"/>
          <w:szCs w:val="14"/>
        </w:rPr>
      </w:pPr>
    </w:p>
    <w:p w14:paraId="43AE6D86" w14:textId="77777777" w:rsidR="00F7100A" w:rsidRPr="00BB33F5" w:rsidRDefault="00F7100A" w:rsidP="00F7100A">
      <w:pPr>
        <w:pStyle w:val="TableHeading"/>
        <w:spacing w:before="0" w:after="0"/>
        <w:rPr>
          <w:sz w:val="14"/>
          <w:szCs w:val="14"/>
        </w:rPr>
      </w:pPr>
      <w:r w:rsidRPr="00BB33F5">
        <w:rPr>
          <w:sz w:val="14"/>
          <w:szCs w:val="14"/>
        </w:rPr>
        <w:t>Note</w:t>
      </w:r>
      <w:r w:rsidR="00AF08A6" w:rsidRPr="00BB33F5">
        <w:rPr>
          <w:sz w:val="14"/>
          <w:szCs w:val="14"/>
        </w:rPr>
        <w:t>s</w:t>
      </w:r>
    </w:p>
    <w:p w14:paraId="15AC7CF5" w14:textId="77777777" w:rsidR="00BB33F5" w:rsidRPr="0058446B" w:rsidRDefault="00BB33F5" w:rsidP="00444A89">
      <w:pPr>
        <w:pStyle w:val="ListParagraph"/>
        <w:numPr>
          <w:ilvl w:val="0"/>
          <w:numId w:val="40"/>
        </w:numPr>
        <w:tabs>
          <w:tab w:val="left" w:pos="284"/>
        </w:tabs>
        <w:spacing w:before="0" w:after="0"/>
        <w:ind w:left="284" w:hanging="284"/>
        <w:rPr>
          <w:rFonts w:ascii="Arial" w:hAnsi="Arial"/>
          <w:sz w:val="14"/>
          <w:szCs w:val="14"/>
        </w:rPr>
      </w:pPr>
      <w:r w:rsidRPr="0058446B">
        <w:rPr>
          <w:rFonts w:ascii="Arial" w:hAnsi="Arial"/>
          <w:sz w:val="14"/>
          <w:szCs w:val="14"/>
        </w:rPr>
        <w:t xml:space="preserve">Performance Measures 4.1 and 4.2 have been amended, and Performance Measures 4.3 and 4.4 are new for 2024-25, as published in the updated </w:t>
      </w:r>
      <w:r w:rsidRPr="004B103C">
        <w:rPr>
          <w:rFonts w:ascii="Arial" w:hAnsi="Arial"/>
          <w:sz w:val="14"/>
          <w:szCs w:val="14"/>
        </w:rPr>
        <w:t>2024-28 Defence Corporate Plan</w:t>
      </w:r>
      <w:r w:rsidRPr="0058446B">
        <w:rPr>
          <w:rFonts w:ascii="Arial" w:hAnsi="Arial"/>
          <w:sz w:val="14"/>
          <w:szCs w:val="14"/>
        </w:rPr>
        <w:t xml:space="preserve"> in March 2025.</w:t>
      </w:r>
    </w:p>
    <w:p w14:paraId="15427D3A" w14:textId="527161F8" w:rsidR="008A23D4" w:rsidRDefault="00A54DB4" w:rsidP="00444A89">
      <w:pPr>
        <w:pStyle w:val="TableHeading"/>
        <w:numPr>
          <w:ilvl w:val="0"/>
          <w:numId w:val="40"/>
        </w:numPr>
        <w:tabs>
          <w:tab w:val="left" w:pos="284"/>
        </w:tabs>
        <w:spacing w:before="0" w:after="0"/>
        <w:ind w:left="284" w:hanging="284"/>
        <w:rPr>
          <w:b w:val="0"/>
          <w:sz w:val="14"/>
          <w:szCs w:val="14"/>
          <w:lang w:val="en-AU"/>
        </w:rPr>
      </w:pPr>
      <w:r w:rsidRPr="00A54DB4">
        <w:rPr>
          <w:b w:val="0"/>
          <w:sz w:val="14"/>
          <w:szCs w:val="14"/>
          <w:lang w:val="en-AU"/>
        </w:rPr>
        <w:t>In accordance with Defence’s Enterprise Performance Framework, Defence is undertaking materiality assessments that may result in updates to the 2025-26 performance information in the 2025-29 Defence Corporate Plan, if required</w:t>
      </w:r>
      <w:r w:rsidR="009737EB" w:rsidRPr="00A54DB4">
        <w:rPr>
          <w:b w:val="0"/>
          <w:sz w:val="14"/>
          <w:szCs w:val="14"/>
          <w:lang w:val="en-AU"/>
        </w:rPr>
        <w:t xml:space="preserve">. </w:t>
      </w:r>
    </w:p>
    <w:p w14:paraId="62C842E1" w14:textId="77777777" w:rsidR="00C846F7" w:rsidRPr="00C846F7" w:rsidRDefault="00C846F7" w:rsidP="00C846F7">
      <w:pPr>
        <w:rPr>
          <w:lang w:val="en-AU"/>
        </w:rPr>
      </w:pPr>
    </w:p>
    <w:p w14:paraId="32CAD2B8" w14:textId="30568D93" w:rsidR="00F70553" w:rsidRPr="007F1A2C" w:rsidRDefault="00F70553" w:rsidP="00D9100A">
      <w:pPr>
        <w:pStyle w:val="TableHeading"/>
        <w:numPr>
          <w:ilvl w:val="0"/>
          <w:numId w:val="29"/>
        </w:numPr>
        <w:spacing w:before="0" w:after="120"/>
        <w:ind w:left="0" w:firstLine="0"/>
        <w:outlineLvl w:val="6"/>
      </w:pPr>
      <w:r w:rsidRPr="007F1A2C">
        <w:t>Cost Summary for Administered Program 2</w:t>
      </w:r>
      <w:r w:rsidR="005F39C7" w:rsidRPr="007F1A2C">
        <w:t>.</w:t>
      </w:r>
      <w:r w:rsidR="00126610" w:rsidRPr="007F1A2C">
        <w:t>23</w:t>
      </w:r>
      <w:r w:rsidR="005F39C7" w:rsidRPr="007F1A2C">
        <w:t xml:space="preserve"> Other Administered</w:t>
      </w:r>
    </w:p>
    <w:p w14:paraId="2A029C9C" w14:textId="261A0B3C" w:rsidR="006D5735" w:rsidRPr="00B56FAA" w:rsidRDefault="00CB71E0" w:rsidP="0008019D">
      <w:pPr>
        <w:spacing w:before="0" w:after="0"/>
      </w:pPr>
      <w:r w:rsidRPr="00CB71E0">
        <w:rPr>
          <w:noProof/>
          <w:lang w:val="en-AU"/>
        </w:rPr>
        <w:drawing>
          <wp:inline distT="0" distB="0" distL="0" distR="0" wp14:anchorId="77F94C8C" wp14:editId="5D337FD3">
            <wp:extent cx="4986020" cy="1663760"/>
            <wp:effectExtent l="0" t="0" r="508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986020" cy="1663760"/>
                    </a:xfrm>
                    <a:prstGeom prst="rect">
                      <a:avLst/>
                    </a:prstGeom>
                    <a:noFill/>
                    <a:ln>
                      <a:noFill/>
                    </a:ln>
                  </pic:spPr>
                </pic:pic>
              </a:graphicData>
            </a:graphic>
          </wp:inline>
        </w:drawing>
      </w:r>
    </w:p>
    <w:p w14:paraId="413ED640" w14:textId="77777777" w:rsidR="0008019D" w:rsidRPr="00B56FAA" w:rsidRDefault="0008019D" w:rsidP="0008019D">
      <w:pPr>
        <w:spacing w:before="0" w:after="0"/>
        <w:rPr>
          <w:rFonts w:ascii="Arial" w:hAnsi="Arial"/>
          <w:b/>
          <w:sz w:val="14"/>
          <w:szCs w:val="14"/>
          <w:lang w:val="en-AU"/>
        </w:rPr>
      </w:pPr>
    </w:p>
    <w:p w14:paraId="22AE3D54" w14:textId="77777777" w:rsidR="00EA126B" w:rsidRPr="007F1A2C" w:rsidRDefault="007F1A2C" w:rsidP="009F1A5C">
      <w:pPr>
        <w:tabs>
          <w:tab w:val="left" w:pos="284"/>
        </w:tabs>
        <w:spacing w:before="0" w:after="0"/>
        <w:rPr>
          <w:rFonts w:ascii="Arial" w:hAnsi="Arial"/>
          <w:b/>
          <w:sz w:val="14"/>
          <w:szCs w:val="14"/>
          <w:lang w:val="en-AU"/>
        </w:rPr>
      </w:pPr>
      <w:r w:rsidRPr="007F1A2C">
        <w:rPr>
          <w:rFonts w:ascii="Arial" w:hAnsi="Arial"/>
          <w:b/>
          <w:sz w:val="14"/>
          <w:szCs w:val="14"/>
          <w:lang w:val="en-AU"/>
        </w:rPr>
        <w:t>Note</w:t>
      </w:r>
      <w:r w:rsidR="00AF08A6">
        <w:rPr>
          <w:rFonts w:ascii="Arial" w:hAnsi="Arial"/>
          <w:b/>
          <w:sz w:val="14"/>
          <w:szCs w:val="14"/>
          <w:lang w:val="en-AU"/>
        </w:rPr>
        <w:t>s</w:t>
      </w:r>
    </w:p>
    <w:p w14:paraId="24E7DE93" w14:textId="7CCC7D9C" w:rsidR="00855CD3" w:rsidRPr="00855CD3" w:rsidRDefault="00855CD3" w:rsidP="00444A89">
      <w:pPr>
        <w:pStyle w:val="TableHeading"/>
        <w:numPr>
          <w:ilvl w:val="0"/>
          <w:numId w:val="71"/>
        </w:numPr>
        <w:tabs>
          <w:tab w:val="left" w:pos="284"/>
        </w:tabs>
        <w:spacing w:before="0" w:after="0"/>
        <w:rPr>
          <w:b w:val="0"/>
          <w:sz w:val="14"/>
          <w:szCs w:val="14"/>
        </w:rPr>
      </w:pPr>
      <w:r w:rsidRPr="00855CD3">
        <w:rPr>
          <w:b w:val="0"/>
          <w:sz w:val="14"/>
          <w:szCs w:val="14"/>
        </w:rPr>
        <w:t xml:space="preserve">Negative amounts denote revenue. </w:t>
      </w:r>
      <w:r w:rsidRPr="00855CD3">
        <w:rPr>
          <w:b w:val="0"/>
          <w:sz w:val="14"/>
          <w:szCs w:val="14"/>
        </w:rPr>
        <w:tab/>
      </w:r>
      <w:r w:rsidRPr="00855CD3">
        <w:rPr>
          <w:b w:val="0"/>
          <w:sz w:val="14"/>
          <w:szCs w:val="14"/>
        </w:rPr>
        <w:tab/>
      </w:r>
      <w:r w:rsidRPr="00855CD3">
        <w:rPr>
          <w:b w:val="0"/>
          <w:sz w:val="14"/>
          <w:szCs w:val="14"/>
        </w:rPr>
        <w:tab/>
      </w:r>
      <w:r w:rsidRPr="00855CD3">
        <w:rPr>
          <w:b w:val="0"/>
          <w:sz w:val="14"/>
          <w:szCs w:val="14"/>
        </w:rPr>
        <w:tab/>
      </w:r>
      <w:r w:rsidRPr="00855CD3">
        <w:rPr>
          <w:b w:val="0"/>
          <w:sz w:val="14"/>
          <w:szCs w:val="14"/>
        </w:rPr>
        <w:tab/>
      </w:r>
    </w:p>
    <w:p w14:paraId="11737E75" w14:textId="00C150F9" w:rsidR="006C35FE" w:rsidRPr="006C35FE" w:rsidRDefault="00855CD3" w:rsidP="00444A89">
      <w:pPr>
        <w:pStyle w:val="TableHeading"/>
        <w:numPr>
          <w:ilvl w:val="0"/>
          <w:numId w:val="71"/>
        </w:numPr>
        <w:tabs>
          <w:tab w:val="left" w:pos="284"/>
        </w:tabs>
        <w:spacing w:before="0" w:after="0"/>
        <w:rPr>
          <w:b w:val="0"/>
          <w:sz w:val="14"/>
          <w:szCs w:val="14"/>
        </w:rPr>
      </w:pPr>
      <w:r w:rsidRPr="00855CD3">
        <w:rPr>
          <w:b w:val="0"/>
          <w:sz w:val="14"/>
          <w:szCs w:val="14"/>
        </w:rPr>
        <w:t xml:space="preserve">Other revenue predominantly includes competitive neutrality revenue from Defence Housing Australia. </w:t>
      </w:r>
      <w:r w:rsidRPr="00855CD3">
        <w:rPr>
          <w:b w:val="0"/>
          <w:sz w:val="14"/>
          <w:szCs w:val="14"/>
        </w:rPr>
        <w:tab/>
      </w:r>
      <w:r w:rsidRPr="00855CD3">
        <w:rPr>
          <w:b w:val="0"/>
          <w:sz w:val="14"/>
          <w:szCs w:val="14"/>
        </w:rPr>
        <w:tab/>
      </w:r>
      <w:r w:rsidRPr="00855CD3">
        <w:rPr>
          <w:b w:val="0"/>
          <w:sz w:val="14"/>
          <w:szCs w:val="14"/>
        </w:rPr>
        <w:tab/>
      </w:r>
      <w:r w:rsidRPr="00855CD3">
        <w:rPr>
          <w:b w:val="0"/>
          <w:sz w:val="14"/>
          <w:szCs w:val="14"/>
        </w:rPr>
        <w:tab/>
      </w:r>
      <w:r w:rsidRPr="00855CD3">
        <w:rPr>
          <w:b w:val="0"/>
          <w:sz w:val="14"/>
          <w:szCs w:val="14"/>
        </w:rPr>
        <w:tab/>
      </w:r>
    </w:p>
    <w:p w14:paraId="16C71829" w14:textId="77777777" w:rsidR="000F665C" w:rsidRPr="00B56FAA" w:rsidRDefault="000F665C" w:rsidP="000F665C">
      <w:pPr>
        <w:spacing w:before="0" w:after="0"/>
        <w:rPr>
          <w:lang w:val="en-AU"/>
        </w:rPr>
      </w:pPr>
    </w:p>
    <w:p w14:paraId="6EF6A593" w14:textId="77777777" w:rsidR="001C2D62" w:rsidRPr="00B56FAA" w:rsidRDefault="001C2D62" w:rsidP="001C2D62">
      <w:pPr>
        <w:sectPr w:rsidR="001C2D62" w:rsidRPr="00B56FAA" w:rsidSect="00037742">
          <w:headerReference w:type="first" r:id="rId80"/>
          <w:pgSz w:w="11907" w:h="16840" w:code="9"/>
          <w:pgMar w:top="1701" w:right="1361" w:bottom="1701" w:left="2694" w:header="720" w:footer="720" w:gutter="0"/>
          <w:cols w:space="720"/>
          <w:noEndnote/>
        </w:sectPr>
      </w:pPr>
      <w:bookmarkStart w:id="785" w:name="_Toc476581151"/>
      <w:bookmarkStart w:id="786" w:name="_Toc507595423"/>
    </w:p>
    <w:p w14:paraId="073AD997" w14:textId="77777777" w:rsidR="00F70553" w:rsidRPr="00F24030" w:rsidRDefault="00F70553" w:rsidP="008C1AC5">
      <w:pPr>
        <w:pStyle w:val="Heading2level3"/>
        <w:spacing w:before="120" w:after="120"/>
        <w:rPr>
          <w:sz w:val="26"/>
          <w:szCs w:val="26"/>
        </w:rPr>
      </w:pPr>
      <w:bookmarkStart w:id="787" w:name="_Toc536089231"/>
      <w:bookmarkStart w:id="788" w:name="_Toc536089491"/>
      <w:bookmarkStart w:id="789" w:name="_Toc536089597"/>
      <w:bookmarkStart w:id="790" w:name="_Toc69729047"/>
      <w:bookmarkStart w:id="791" w:name="_Toc97747831"/>
      <w:bookmarkStart w:id="792" w:name="_Toc108088942"/>
      <w:bookmarkStart w:id="793" w:name="_Toc108089021"/>
      <w:bookmarkStart w:id="794" w:name="_Toc108089416"/>
      <w:bookmarkStart w:id="795" w:name="_Toc109227294"/>
      <w:bookmarkStart w:id="796" w:name="_Toc158896247"/>
      <w:bookmarkStart w:id="797" w:name="_Toc158896304"/>
      <w:bookmarkStart w:id="798" w:name="_Toc159499686"/>
      <w:bookmarkStart w:id="799" w:name="_Toc159857675"/>
      <w:bookmarkStart w:id="800" w:name="_Toc159857754"/>
      <w:bookmarkStart w:id="801" w:name="_Toc159858150"/>
      <w:bookmarkStart w:id="802" w:name="_Toc159858815"/>
      <w:bookmarkStart w:id="803" w:name="_Toc159858885"/>
      <w:bookmarkStart w:id="804" w:name="_Toc159859103"/>
      <w:bookmarkStart w:id="805" w:name="_Toc159859255"/>
      <w:bookmarkStart w:id="806" w:name="_Toc159862285"/>
      <w:bookmarkStart w:id="807" w:name="_Toc159862475"/>
      <w:r w:rsidRPr="00F24030">
        <w:rPr>
          <w:sz w:val="26"/>
          <w:szCs w:val="26"/>
        </w:rPr>
        <w:lastRenderedPageBreak/>
        <w:t xml:space="preserve">Section 3: </w:t>
      </w:r>
      <w:r w:rsidRPr="00F24030">
        <w:rPr>
          <w:rStyle w:val="Heading2Char"/>
          <w:sz w:val="26"/>
          <w:szCs w:val="26"/>
        </w:rPr>
        <w:t>Defence</w:t>
      </w:r>
      <w:r w:rsidRPr="00F24030">
        <w:rPr>
          <w:sz w:val="26"/>
          <w:szCs w:val="26"/>
        </w:rPr>
        <w:t xml:space="preserve"> Budgeted Financial Statements</w:t>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p>
    <w:p w14:paraId="77BA1998" w14:textId="24B6DEFF" w:rsidR="006B20D8" w:rsidRPr="00B56FAA" w:rsidRDefault="006B20D8" w:rsidP="0042174E">
      <w:pPr>
        <w:spacing w:before="120" w:after="120"/>
      </w:pPr>
      <w:bookmarkStart w:id="808" w:name="_Toc476581152"/>
      <w:bookmarkStart w:id="809" w:name="_Toc507595424"/>
      <w:bookmarkStart w:id="810" w:name="_Toc536089232"/>
      <w:bookmarkStart w:id="811" w:name="_Toc536089492"/>
      <w:bookmarkStart w:id="812" w:name="_Toc536089598"/>
      <w:r w:rsidRPr="00B56FAA">
        <w:t xml:space="preserve">Section 3 presents budgeted financial statements which provide a comprehensive snapshot of </w:t>
      </w:r>
      <w:r w:rsidR="00A97765" w:rsidRPr="00B56FAA">
        <w:t>entity</w:t>
      </w:r>
      <w:r w:rsidRPr="00B56FAA">
        <w:t xml:space="preserve"> finances </w:t>
      </w:r>
      <w:r w:rsidRPr="007F1A2C">
        <w:t>for the 202</w:t>
      </w:r>
      <w:r w:rsidR="00CC7AF9">
        <w:t>5</w:t>
      </w:r>
      <w:r w:rsidRPr="007F1A2C">
        <w:t>-2</w:t>
      </w:r>
      <w:r w:rsidR="00CC7AF9">
        <w:t>6</w:t>
      </w:r>
      <w:r w:rsidRPr="007F1A2C">
        <w:rPr>
          <w:color w:val="00B050"/>
        </w:rPr>
        <w:t xml:space="preserve"> </w:t>
      </w:r>
      <w:r w:rsidR="00262A5C" w:rsidRPr="007F1A2C">
        <w:t>B</w:t>
      </w:r>
      <w:r w:rsidRPr="007F1A2C">
        <w:t>udget year</w:t>
      </w:r>
      <w:r w:rsidRPr="00B56FAA">
        <w:t xml:space="preserve">, including the impact of </w:t>
      </w:r>
      <w:r w:rsidR="00A07B99" w:rsidRPr="00B56FAA">
        <w:t>B</w:t>
      </w:r>
      <w:r w:rsidRPr="00B56FAA">
        <w:t xml:space="preserve">udget </w:t>
      </w:r>
      <w:r w:rsidR="00A07B99" w:rsidRPr="00B56FAA">
        <w:t>M</w:t>
      </w:r>
      <w:r w:rsidRPr="00B56FAA">
        <w:t>easures and resourcing on financial statements.</w:t>
      </w:r>
    </w:p>
    <w:p w14:paraId="3974CEB6" w14:textId="77777777" w:rsidR="009533CB" w:rsidRPr="00CF1300" w:rsidRDefault="00641988" w:rsidP="00CF1300">
      <w:pPr>
        <w:pStyle w:val="Heading4"/>
      </w:pPr>
      <w:bookmarkStart w:id="813" w:name="_Toc159499687"/>
      <w:bookmarkStart w:id="814" w:name="_Toc159859104"/>
      <w:bookmarkStart w:id="815" w:name="_Toc159859256"/>
      <w:bookmarkEnd w:id="808"/>
      <w:bookmarkEnd w:id="809"/>
      <w:bookmarkEnd w:id="810"/>
      <w:bookmarkEnd w:id="811"/>
      <w:bookmarkEnd w:id="812"/>
      <w:r w:rsidRPr="00CF1300">
        <w:t>3.1</w:t>
      </w:r>
      <w:r w:rsidR="00483241" w:rsidRPr="00CF1300">
        <w:t xml:space="preserve"> </w:t>
      </w:r>
      <w:r w:rsidR="00EC423F" w:rsidRPr="00CF1300">
        <w:t>Grants</w:t>
      </w:r>
      <w:bookmarkEnd w:id="813"/>
      <w:bookmarkEnd w:id="814"/>
      <w:bookmarkEnd w:id="815"/>
    </w:p>
    <w:p w14:paraId="512AE492" w14:textId="77777777" w:rsidR="00126610" w:rsidRPr="00BB7383" w:rsidRDefault="00126610" w:rsidP="0042174E">
      <w:pPr>
        <w:spacing w:before="120" w:after="120"/>
      </w:pPr>
      <w:r w:rsidRPr="00BB7383">
        <w:t>The Department of Defence provides grants to support the achievement of Defence’s strategic priorities to defend Australia and its national interests; and to protect and advance Australian strategic interests. The provision of funding by Defence is subject to meeting the Australian Government Policy Objectives associated with Defence and its outcomes.</w:t>
      </w:r>
    </w:p>
    <w:p w14:paraId="758FA7AD" w14:textId="77777777" w:rsidR="00126610" w:rsidRPr="00B56FAA" w:rsidRDefault="00126610" w:rsidP="0042174E">
      <w:pPr>
        <w:spacing w:before="120" w:after="120"/>
        <w:rPr>
          <w:szCs w:val="20"/>
        </w:rPr>
      </w:pPr>
      <w:r w:rsidRPr="00BB7383">
        <w:t>Commonwealth grant opportunities and their guidelines, including the Department of Defence grant opportunities, are published on the Government grants portal GrantConnect (</w:t>
      </w:r>
      <w:hyperlink r:id="rId81" w:history="1">
        <w:r w:rsidRPr="00BB7383">
          <w:rPr>
            <w:rStyle w:val="Hyperlink"/>
          </w:rPr>
          <w:t>www.grants.gov.au</w:t>
        </w:r>
      </w:hyperlink>
      <w:r w:rsidRPr="00BB7383">
        <w:t xml:space="preserve">). Further information on Defence grant programs </w:t>
      </w:r>
      <w:r w:rsidR="000C074A" w:rsidRPr="00BB7383">
        <w:t>is</w:t>
      </w:r>
      <w:r w:rsidRPr="00BB7383">
        <w:t xml:space="preserve"> available on the Department’s grants </w:t>
      </w:r>
      <w:r w:rsidRPr="00BB7383">
        <w:rPr>
          <w:szCs w:val="20"/>
        </w:rPr>
        <w:t>webpage (</w:t>
      </w:r>
      <w:hyperlink r:id="rId82" w:history="1">
        <w:r w:rsidR="00E91411" w:rsidRPr="00BB7383">
          <w:rPr>
            <w:rStyle w:val="Hyperlink"/>
            <w:szCs w:val="20"/>
          </w:rPr>
          <w:t>Home:</w:t>
        </w:r>
        <w:r w:rsidRPr="00BB7383">
          <w:rPr>
            <w:rStyle w:val="Hyperlink"/>
            <w:szCs w:val="20"/>
          </w:rPr>
          <w:t xml:space="preserve"> </w:t>
        </w:r>
        <w:r w:rsidR="00E91411" w:rsidRPr="00BB7383">
          <w:rPr>
            <w:rStyle w:val="Hyperlink"/>
            <w:szCs w:val="20"/>
          </w:rPr>
          <w:t>Grants:</w:t>
        </w:r>
        <w:r w:rsidRPr="00BB7383">
          <w:rPr>
            <w:rStyle w:val="Hyperlink"/>
            <w:szCs w:val="20"/>
          </w:rPr>
          <w:t xml:space="preserve"> Department of Defence</w:t>
        </w:r>
      </w:hyperlink>
      <w:r w:rsidRPr="00BB7383">
        <w:rPr>
          <w:szCs w:val="20"/>
        </w:rPr>
        <w:t>).</w:t>
      </w:r>
    </w:p>
    <w:p w14:paraId="2320949B" w14:textId="77777777" w:rsidR="00483241" w:rsidRPr="00CF1300" w:rsidRDefault="00F70553" w:rsidP="00CF1300">
      <w:pPr>
        <w:pStyle w:val="Heading4"/>
      </w:pPr>
      <w:r w:rsidRPr="00B56FAA">
        <w:rPr>
          <w:lang w:val="en-AU"/>
        </w:rPr>
        <w:br w:type="page"/>
      </w:r>
      <w:bookmarkStart w:id="816" w:name="_Toc476581153"/>
      <w:bookmarkStart w:id="817" w:name="_Toc507595425"/>
      <w:bookmarkStart w:id="818" w:name="_Toc536089233"/>
      <w:bookmarkStart w:id="819" w:name="_Toc536089493"/>
      <w:bookmarkStart w:id="820" w:name="_Toc536089599"/>
      <w:bookmarkStart w:id="821" w:name="_Toc69729049"/>
      <w:bookmarkStart w:id="822" w:name="_Toc97747833"/>
      <w:bookmarkStart w:id="823" w:name="_Toc108088944"/>
      <w:bookmarkStart w:id="824" w:name="_Toc108089023"/>
      <w:bookmarkStart w:id="825" w:name="_Toc108089418"/>
      <w:bookmarkStart w:id="826" w:name="_Toc159499688"/>
      <w:bookmarkStart w:id="827" w:name="_Toc159859105"/>
      <w:bookmarkStart w:id="828" w:name="_Toc159859257"/>
      <w:r w:rsidR="00483241" w:rsidRPr="00CF1300">
        <w:lastRenderedPageBreak/>
        <w:t>3.2 Resource Summary</w:t>
      </w:r>
      <w:bookmarkEnd w:id="816"/>
      <w:bookmarkEnd w:id="817"/>
      <w:bookmarkEnd w:id="818"/>
      <w:bookmarkEnd w:id="819"/>
      <w:bookmarkEnd w:id="820"/>
      <w:bookmarkEnd w:id="821"/>
      <w:bookmarkEnd w:id="822"/>
      <w:bookmarkEnd w:id="823"/>
      <w:bookmarkEnd w:id="824"/>
      <w:bookmarkEnd w:id="825"/>
      <w:bookmarkEnd w:id="826"/>
      <w:bookmarkEnd w:id="827"/>
      <w:bookmarkEnd w:id="828"/>
    </w:p>
    <w:p w14:paraId="33F1C26B" w14:textId="77777777" w:rsidR="00483241" w:rsidRPr="006A5A85" w:rsidRDefault="00483241" w:rsidP="00D9100A">
      <w:pPr>
        <w:pStyle w:val="TableHeading"/>
        <w:numPr>
          <w:ilvl w:val="0"/>
          <w:numId w:val="29"/>
        </w:numPr>
        <w:spacing w:before="0" w:after="120"/>
        <w:ind w:left="0" w:firstLine="0"/>
        <w:outlineLvl w:val="5"/>
      </w:pPr>
      <w:r w:rsidRPr="006A5A85">
        <w:t>Defence Resource Statement</w:t>
      </w:r>
      <w:r w:rsidR="004F39B8" w:rsidRPr="006A5A85">
        <w:t xml:space="preserve"> — </w:t>
      </w:r>
      <w:r w:rsidRPr="006A5A85">
        <w:t xml:space="preserve">Budget Estimates for </w:t>
      </w:r>
      <w:r w:rsidR="00E77BB4" w:rsidRPr="006A5A85">
        <w:t>202</w:t>
      </w:r>
      <w:r w:rsidR="00120363">
        <w:t>5</w:t>
      </w:r>
      <w:r w:rsidR="00E77BB4" w:rsidRPr="006A5A85">
        <w:t>-2</w:t>
      </w:r>
      <w:r w:rsidR="00120363">
        <w:t>6</w:t>
      </w:r>
      <w:r w:rsidRPr="006A5A85">
        <w:t xml:space="preserve"> </w:t>
      </w:r>
      <w:r w:rsidR="005030D5" w:rsidRPr="006A5A85">
        <w:t>as at</w:t>
      </w:r>
      <w:r w:rsidR="007A3EA9" w:rsidRPr="006A5A85">
        <w:br/>
      </w:r>
      <w:r w:rsidR="000A381E" w:rsidRPr="006A5A85">
        <w:t>Ma</w:t>
      </w:r>
      <w:r w:rsidR="00120363">
        <w:t>rch</w:t>
      </w:r>
      <w:r w:rsidR="000A381E" w:rsidRPr="006A5A85">
        <w:t xml:space="preserve"> </w:t>
      </w:r>
      <w:r w:rsidR="00565D3C" w:rsidRPr="006A5A85">
        <w:t xml:space="preserve">Budget </w:t>
      </w:r>
      <w:r w:rsidR="00235216" w:rsidRPr="006A5A85">
        <w:t>202</w:t>
      </w:r>
      <w:r w:rsidR="00120363">
        <w:t>5</w:t>
      </w:r>
      <w:r w:rsidR="006A5A85" w:rsidRPr="006A5A85">
        <w:t xml:space="preserve"> </w:t>
      </w:r>
      <w:r w:rsidR="006A5A85" w:rsidRPr="006A5A85">
        <w:rPr>
          <w:vertAlign w:val="superscript"/>
        </w:rPr>
        <w:t>[a]</w:t>
      </w:r>
    </w:p>
    <w:p w14:paraId="5CBC60FB" w14:textId="4D435DB0" w:rsidR="001835C6" w:rsidRPr="00B56FAA" w:rsidRDefault="00BC2C62" w:rsidP="0008019D">
      <w:pPr>
        <w:spacing w:before="0" w:after="0"/>
      </w:pPr>
      <w:r w:rsidRPr="00BC2C62">
        <w:rPr>
          <w:noProof/>
          <w:lang w:val="en-AU"/>
        </w:rPr>
        <w:drawing>
          <wp:inline distT="0" distB="0" distL="0" distR="0" wp14:anchorId="13E2FB3A" wp14:editId="6BB353D6">
            <wp:extent cx="5472430" cy="3217674"/>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72430" cy="3217674"/>
                    </a:xfrm>
                    <a:prstGeom prst="rect">
                      <a:avLst/>
                    </a:prstGeom>
                    <a:noFill/>
                    <a:ln>
                      <a:noFill/>
                    </a:ln>
                  </pic:spPr>
                </pic:pic>
              </a:graphicData>
            </a:graphic>
          </wp:inline>
        </w:drawing>
      </w:r>
    </w:p>
    <w:p w14:paraId="41E15C6B" w14:textId="77777777" w:rsidR="0008019D" w:rsidRPr="00B56FAA" w:rsidRDefault="0008019D" w:rsidP="0008019D">
      <w:pPr>
        <w:spacing w:before="0" w:after="0"/>
        <w:rPr>
          <w:rFonts w:ascii="Arial" w:hAnsi="Arial"/>
          <w:b/>
          <w:sz w:val="14"/>
          <w:szCs w:val="14"/>
          <w:lang w:val="en-AU"/>
        </w:rPr>
      </w:pPr>
    </w:p>
    <w:p w14:paraId="7DA34989" w14:textId="77777777" w:rsidR="00E73DBC" w:rsidRPr="006A5A85" w:rsidRDefault="006A5A85" w:rsidP="007F32E1">
      <w:pPr>
        <w:tabs>
          <w:tab w:val="left" w:pos="284"/>
        </w:tabs>
        <w:spacing w:before="0" w:after="0"/>
        <w:ind w:left="284" w:hanging="284"/>
        <w:rPr>
          <w:rFonts w:ascii="Arial" w:hAnsi="Arial"/>
          <w:b/>
          <w:sz w:val="14"/>
          <w:szCs w:val="14"/>
          <w:lang w:val="en-AU"/>
        </w:rPr>
      </w:pPr>
      <w:r w:rsidRPr="006A5A85">
        <w:rPr>
          <w:rFonts w:ascii="Arial" w:hAnsi="Arial"/>
          <w:b/>
          <w:sz w:val="14"/>
          <w:szCs w:val="14"/>
          <w:lang w:val="en-AU"/>
        </w:rPr>
        <w:t>Note</w:t>
      </w:r>
      <w:r w:rsidR="00CB3422">
        <w:rPr>
          <w:rFonts w:ascii="Arial" w:hAnsi="Arial"/>
          <w:b/>
          <w:sz w:val="14"/>
          <w:szCs w:val="14"/>
          <w:lang w:val="en-AU"/>
        </w:rPr>
        <w:t>s</w:t>
      </w:r>
    </w:p>
    <w:p w14:paraId="7C182E65" w14:textId="1B08A24A" w:rsidR="00C5676E" w:rsidRPr="00C5676E" w:rsidRDefault="00816434" w:rsidP="00C5676E">
      <w:pPr>
        <w:spacing w:before="0" w:after="0"/>
        <w:ind w:left="284" w:hanging="284"/>
        <w:rPr>
          <w:rFonts w:ascii="Arial" w:hAnsi="Arial"/>
          <w:color w:val="000000"/>
          <w:sz w:val="14"/>
          <w:szCs w:val="16"/>
          <w:lang w:val="en-AU"/>
        </w:rPr>
      </w:pPr>
      <w:r>
        <w:rPr>
          <w:rFonts w:ascii="Arial" w:hAnsi="Arial"/>
          <w:color w:val="000000"/>
          <w:sz w:val="14"/>
          <w:szCs w:val="16"/>
          <w:lang w:val="en-AU"/>
        </w:rPr>
        <w:t xml:space="preserve">a. </w:t>
      </w:r>
      <w:r>
        <w:rPr>
          <w:rFonts w:ascii="Arial" w:hAnsi="Arial"/>
          <w:color w:val="000000"/>
          <w:sz w:val="14"/>
          <w:szCs w:val="16"/>
          <w:lang w:val="en-AU"/>
        </w:rPr>
        <w:tab/>
      </w:r>
      <w:r w:rsidR="00C5676E" w:rsidRPr="00C5676E">
        <w:rPr>
          <w:rFonts w:ascii="Arial" w:hAnsi="Arial"/>
          <w:color w:val="000000"/>
          <w:sz w:val="14"/>
          <w:szCs w:val="16"/>
          <w:lang w:val="en-AU"/>
        </w:rPr>
        <w:t xml:space="preserve">This table is prepared on the same basis as Table 1. </w:t>
      </w:r>
      <w:r w:rsidR="00C5676E" w:rsidRPr="00C5676E">
        <w:rPr>
          <w:rFonts w:ascii="Arial" w:hAnsi="Arial"/>
          <w:color w:val="000000"/>
          <w:sz w:val="14"/>
          <w:szCs w:val="16"/>
          <w:lang w:val="en-AU"/>
        </w:rPr>
        <w:tab/>
      </w:r>
      <w:r w:rsidR="00C5676E" w:rsidRPr="00C5676E">
        <w:rPr>
          <w:rFonts w:ascii="Arial" w:hAnsi="Arial"/>
          <w:color w:val="000000"/>
          <w:sz w:val="14"/>
          <w:szCs w:val="16"/>
          <w:lang w:val="en-AU"/>
        </w:rPr>
        <w:tab/>
      </w:r>
      <w:r w:rsidR="00C5676E" w:rsidRPr="00C5676E">
        <w:rPr>
          <w:rFonts w:ascii="Arial" w:hAnsi="Arial"/>
          <w:color w:val="000000"/>
          <w:sz w:val="14"/>
          <w:szCs w:val="16"/>
          <w:lang w:val="en-AU"/>
        </w:rPr>
        <w:tab/>
      </w:r>
      <w:r w:rsidR="00C5676E" w:rsidRPr="00C5676E">
        <w:rPr>
          <w:rFonts w:ascii="Arial" w:hAnsi="Arial"/>
          <w:color w:val="000000"/>
          <w:sz w:val="14"/>
          <w:szCs w:val="16"/>
          <w:lang w:val="en-AU"/>
        </w:rPr>
        <w:tab/>
      </w:r>
    </w:p>
    <w:p w14:paraId="3BDBA125" w14:textId="009D04BA" w:rsidR="00C5676E" w:rsidRPr="00C5676E" w:rsidRDefault="00C5676E" w:rsidP="002533F1">
      <w:pPr>
        <w:spacing w:before="0" w:after="0"/>
        <w:ind w:left="284" w:hanging="284"/>
        <w:rPr>
          <w:rFonts w:ascii="Arial" w:hAnsi="Arial"/>
          <w:color w:val="000000"/>
          <w:sz w:val="14"/>
          <w:szCs w:val="16"/>
          <w:lang w:val="en-AU"/>
        </w:rPr>
      </w:pPr>
      <w:r w:rsidRPr="00C5676E">
        <w:rPr>
          <w:rFonts w:ascii="Arial" w:hAnsi="Arial"/>
          <w:color w:val="000000"/>
          <w:sz w:val="14"/>
          <w:szCs w:val="16"/>
          <w:lang w:val="en-AU"/>
        </w:rPr>
        <w:t xml:space="preserve">b. </w:t>
      </w:r>
      <w:r>
        <w:rPr>
          <w:rFonts w:ascii="Arial" w:hAnsi="Arial"/>
          <w:color w:val="000000"/>
          <w:sz w:val="14"/>
          <w:szCs w:val="16"/>
          <w:lang w:val="en-AU"/>
        </w:rPr>
        <w:tab/>
      </w:r>
      <w:r w:rsidRPr="00C5676E">
        <w:rPr>
          <w:rFonts w:ascii="Arial" w:hAnsi="Arial"/>
          <w:color w:val="000000"/>
          <w:sz w:val="14"/>
          <w:szCs w:val="16"/>
          <w:lang w:val="en-AU"/>
        </w:rPr>
        <w:t xml:space="preserve">The funding movement from 2027-28 to 2024-25 of $700 million is to partly address Defence’s ongoing working capital requirements. This adjustment provides short term relief to increase cash reserves to meet Defence industry commitments as and when they fall due for payment. Refer Table 1 Serial 4. While the increase in working capital in 2024-25 is by way of the movement of appropriation from 2027-28, the movement will be represented as an equity injection and not as increased Defence funding. This is because the injection will be used to address existing expenditure commitments already incurred / recognised. </w:t>
      </w:r>
      <w:r w:rsidRPr="00C5676E">
        <w:rPr>
          <w:rFonts w:ascii="Arial" w:hAnsi="Arial"/>
          <w:color w:val="000000"/>
          <w:sz w:val="14"/>
          <w:szCs w:val="16"/>
          <w:lang w:val="en-AU"/>
        </w:rPr>
        <w:tab/>
      </w:r>
      <w:r w:rsidRPr="00C5676E">
        <w:rPr>
          <w:rFonts w:ascii="Arial" w:hAnsi="Arial"/>
          <w:color w:val="000000"/>
          <w:sz w:val="14"/>
          <w:szCs w:val="16"/>
          <w:lang w:val="en-AU"/>
        </w:rPr>
        <w:tab/>
      </w:r>
      <w:r w:rsidRPr="00C5676E">
        <w:rPr>
          <w:rFonts w:ascii="Arial" w:hAnsi="Arial"/>
          <w:color w:val="000000"/>
          <w:sz w:val="14"/>
          <w:szCs w:val="16"/>
          <w:lang w:val="en-AU"/>
        </w:rPr>
        <w:tab/>
      </w:r>
      <w:r w:rsidRPr="00C5676E">
        <w:rPr>
          <w:rFonts w:ascii="Arial" w:hAnsi="Arial"/>
          <w:color w:val="000000"/>
          <w:sz w:val="14"/>
          <w:szCs w:val="16"/>
          <w:lang w:val="en-AU"/>
        </w:rPr>
        <w:tab/>
        <w:t>In 2027-28, the reduction of appropriation will not impact planned capital expenditure levels as Government has agreed Defence will operate with a Net Capital Deficit in that financia</w:t>
      </w:r>
      <w:r w:rsidR="0030332C">
        <w:rPr>
          <w:rFonts w:ascii="Arial" w:hAnsi="Arial"/>
          <w:color w:val="000000"/>
          <w:sz w:val="14"/>
          <w:szCs w:val="16"/>
          <w:lang w:val="en-AU"/>
        </w:rPr>
        <w:t>l year</w:t>
      </w:r>
      <w:r w:rsidRPr="00C5676E">
        <w:rPr>
          <w:rFonts w:ascii="Arial" w:hAnsi="Arial"/>
          <w:color w:val="000000"/>
          <w:sz w:val="14"/>
          <w:szCs w:val="16"/>
          <w:lang w:val="en-AU"/>
        </w:rPr>
        <w:t>.</w:t>
      </w:r>
      <w:r w:rsidRPr="00C5676E">
        <w:rPr>
          <w:rFonts w:ascii="Arial" w:hAnsi="Arial"/>
          <w:color w:val="000000"/>
          <w:sz w:val="14"/>
          <w:szCs w:val="16"/>
          <w:lang w:val="en-AU"/>
        </w:rPr>
        <w:tab/>
      </w:r>
      <w:r w:rsidRPr="00C5676E">
        <w:rPr>
          <w:rFonts w:ascii="Arial" w:hAnsi="Arial"/>
          <w:color w:val="000000"/>
          <w:sz w:val="14"/>
          <w:szCs w:val="16"/>
          <w:lang w:val="en-AU"/>
        </w:rPr>
        <w:tab/>
      </w:r>
      <w:r w:rsidRPr="00C5676E">
        <w:rPr>
          <w:rFonts w:ascii="Arial" w:hAnsi="Arial"/>
          <w:color w:val="000000"/>
          <w:sz w:val="14"/>
          <w:szCs w:val="16"/>
          <w:lang w:val="en-AU"/>
        </w:rPr>
        <w:tab/>
      </w:r>
      <w:r w:rsidRPr="00C5676E">
        <w:rPr>
          <w:rFonts w:ascii="Arial" w:hAnsi="Arial"/>
          <w:color w:val="000000"/>
          <w:sz w:val="14"/>
          <w:szCs w:val="16"/>
          <w:lang w:val="en-AU"/>
        </w:rPr>
        <w:tab/>
      </w:r>
    </w:p>
    <w:p w14:paraId="73C1EECA" w14:textId="471F635C" w:rsidR="00C5676E" w:rsidRPr="00C5676E" w:rsidRDefault="00C5676E" w:rsidP="00C5676E">
      <w:pPr>
        <w:spacing w:before="0" w:after="0"/>
        <w:ind w:left="284" w:hanging="284"/>
        <w:rPr>
          <w:rFonts w:ascii="Arial" w:hAnsi="Arial"/>
          <w:color w:val="000000"/>
          <w:sz w:val="14"/>
          <w:szCs w:val="16"/>
          <w:lang w:val="en-AU"/>
        </w:rPr>
      </w:pPr>
      <w:r w:rsidRPr="00C5676E">
        <w:rPr>
          <w:rFonts w:ascii="Arial" w:hAnsi="Arial"/>
          <w:color w:val="000000"/>
          <w:sz w:val="14"/>
          <w:szCs w:val="16"/>
          <w:lang w:val="en-AU"/>
        </w:rPr>
        <w:t xml:space="preserve">c. </w:t>
      </w:r>
      <w:r w:rsidR="00056649">
        <w:rPr>
          <w:rFonts w:ascii="Arial" w:hAnsi="Arial"/>
          <w:color w:val="000000"/>
          <w:sz w:val="14"/>
          <w:szCs w:val="16"/>
          <w:lang w:val="en-AU"/>
        </w:rPr>
        <w:tab/>
      </w:r>
      <w:r w:rsidRPr="00C5676E">
        <w:rPr>
          <w:rFonts w:ascii="Arial" w:hAnsi="Arial"/>
          <w:color w:val="000000"/>
          <w:sz w:val="14"/>
          <w:szCs w:val="16"/>
          <w:lang w:val="en-AU"/>
        </w:rPr>
        <w:t>The appropriations for 2024-25 include amounts which are yet to receive royal assent.</w:t>
      </w:r>
      <w:r w:rsidRPr="00C5676E">
        <w:rPr>
          <w:rFonts w:ascii="Arial" w:hAnsi="Arial"/>
          <w:color w:val="000000"/>
          <w:sz w:val="14"/>
          <w:szCs w:val="16"/>
          <w:lang w:val="en-AU"/>
        </w:rPr>
        <w:tab/>
      </w:r>
      <w:r w:rsidRPr="00C5676E">
        <w:rPr>
          <w:rFonts w:ascii="Arial" w:hAnsi="Arial"/>
          <w:color w:val="000000"/>
          <w:sz w:val="14"/>
          <w:szCs w:val="16"/>
          <w:lang w:val="en-AU"/>
        </w:rPr>
        <w:tab/>
      </w:r>
      <w:r w:rsidRPr="00C5676E">
        <w:rPr>
          <w:rFonts w:ascii="Arial" w:hAnsi="Arial"/>
          <w:color w:val="000000"/>
          <w:sz w:val="14"/>
          <w:szCs w:val="16"/>
          <w:lang w:val="en-AU"/>
        </w:rPr>
        <w:tab/>
      </w:r>
      <w:r w:rsidRPr="00C5676E">
        <w:rPr>
          <w:rFonts w:ascii="Arial" w:hAnsi="Arial"/>
          <w:color w:val="000000"/>
          <w:sz w:val="14"/>
          <w:szCs w:val="16"/>
          <w:lang w:val="en-AU"/>
        </w:rPr>
        <w:tab/>
      </w:r>
    </w:p>
    <w:p w14:paraId="19E49CE0" w14:textId="09E8AF30" w:rsidR="00855CD3" w:rsidRPr="00855CD3" w:rsidRDefault="00C5676E" w:rsidP="00C5676E">
      <w:pPr>
        <w:spacing w:before="0" w:after="0"/>
        <w:ind w:left="284" w:hanging="284"/>
        <w:rPr>
          <w:rFonts w:ascii="Arial" w:hAnsi="Arial"/>
          <w:color w:val="000000"/>
          <w:sz w:val="14"/>
          <w:szCs w:val="16"/>
          <w:lang w:val="en-AU"/>
        </w:rPr>
      </w:pPr>
      <w:r w:rsidRPr="00C5676E">
        <w:rPr>
          <w:rFonts w:ascii="Arial" w:hAnsi="Arial"/>
          <w:color w:val="000000"/>
          <w:sz w:val="14"/>
          <w:szCs w:val="16"/>
          <w:lang w:val="en-AU"/>
        </w:rPr>
        <w:t xml:space="preserve">d. </w:t>
      </w:r>
      <w:r w:rsidR="00056649">
        <w:rPr>
          <w:rFonts w:ascii="Arial" w:hAnsi="Arial"/>
          <w:color w:val="000000"/>
          <w:sz w:val="14"/>
          <w:szCs w:val="16"/>
          <w:lang w:val="en-AU"/>
        </w:rPr>
        <w:tab/>
      </w:r>
      <w:r w:rsidRPr="00C5676E">
        <w:rPr>
          <w:rFonts w:ascii="Arial" w:hAnsi="Arial"/>
          <w:color w:val="000000"/>
          <w:sz w:val="14"/>
          <w:szCs w:val="16"/>
          <w:lang w:val="en-AU"/>
        </w:rPr>
        <w:t>Does not include Defence Trusts and Joints Accounts, as expenses are incurred on behalf of such trusts and joint accounts and are offset by revenues. Refer Table 1, serials 17-19, and Table 38</w:t>
      </w:r>
      <w:r w:rsidRPr="00C5676E">
        <w:rPr>
          <w:rFonts w:ascii="Arial" w:hAnsi="Arial"/>
          <w:color w:val="000000"/>
          <w:sz w:val="14"/>
          <w:szCs w:val="16"/>
          <w:lang w:val="en-AU"/>
        </w:rPr>
        <w:tab/>
      </w:r>
      <w:r w:rsidRPr="00C5676E">
        <w:rPr>
          <w:rFonts w:ascii="Arial" w:hAnsi="Arial"/>
          <w:color w:val="000000"/>
          <w:sz w:val="14"/>
          <w:szCs w:val="16"/>
          <w:lang w:val="en-AU"/>
        </w:rPr>
        <w:tab/>
      </w:r>
      <w:r w:rsidR="00816434" w:rsidRPr="00816434">
        <w:rPr>
          <w:rFonts w:ascii="Arial" w:hAnsi="Arial"/>
          <w:color w:val="000000"/>
          <w:sz w:val="14"/>
          <w:szCs w:val="16"/>
          <w:lang w:val="en-AU"/>
        </w:rPr>
        <w:t>.</w:t>
      </w:r>
      <w:r w:rsidR="00816434" w:rsidRPr="00816434">
        <w:rPr>
          <w:rFonts w:ascii="Arial" w:hAnsi="Arial"/>
          <w:color w:val="000000"/>
          <w:sz w:val="14"/>
          <w:szCs w:val="16"/>
          <w:lang w:val="en-AU"/>
        </w:rPr>
        <w:tab/>
      </w:r>
      <w:r w:rsidR="00816434" w:rsidRPr="00816434">
        <w:rPr>
          <w:rFonts w:ascii="Arial" w:hAnsi="Arial"/>
          <w:color w:val="000000"/>
          <w:sz w:val="14"/>
          <w:szCs w:val="16"/>
          <w:lang w:val="en-AU"/>
        </w:rPr>
        <w:tab/>
      </w:r>
      <w:r w:rsidR="00816434" w:rsidRPr="00816434">
        <w:rPr>
          <w:rFonts w:ascii="Arial" w:hAnsi="Arial"/>
          <w:color w:val="000000"/>
          <w:sz w:val="14"/>
          <w:szCs w:val="16"/>
          <w:lang w:val="en-AU"/>
        </w:rPr>
        <w:tab/>
      </w:r>
      <w:r w:rsidR="00816434" w:rsidRPr="00816434">
        <w:rPr>
          <w:rFonts w:ascii="Arial" w:hAnsi="Arial"/>
          <w:color w:val="000000"/>
          <w:sz w:val="14"/>
          <w:szCs w:val="16"/>
          <w:lang w:val="en-AU"/>
        </w:rPr>
        <w:tab/>
      </w:r>
      <w:r w:rsidR="00056649">
        <w:rPr>
          <w:rFonts w:ascii="Arial" w:hAnsi="Arial"/>
          <w:color w:val="000000"/>
          <w:sz w:val="14"/>
          <w:szCs w:val="16"/>
          <w:lang w:val="en-AU"/>
        </w:rPr>
        <w:tab/>
      </w:r>
      <w:r w:rsidR="00056649">
        <w:rPr>
          <w:rFonts w:ascii="Arial" w:hAnsi="Arial"/>
          <w:color w:val="000000"/>
          <w:sz w:val="14"/>
          <w:szCs w:val="16"/>
          <w:lang w:val="en-AU"/>
        </w:rPr>
        <w:tab/>
      </w:r>
      <w:r w:rsidR="00855CD3" w:rsidRPr="00855CD3">
        <w:rPr>
          <w:rFonts w:ascii="Arial" w:hAnsi="Arial"/>
          <w:color w:val="000000"/>
          <w:sz w:val="14"/>
          <w:szCs w:val="16"/>
          <w:lang w:val="en-AU"/>
        </w:rPr>
        <w:t xml:space="preserve"> </w:t>
      </w:r>
      <w:r w:rsidR="00855CD3" w:rsidRPr="00855CD3">
        <w:rPr>
          <w:rFonts w:ascii="Arial" w:hAnsi="Arial"/>
          <w:color w:val="000000"/>
          <w:sz w:val="14"/>
          <w:szCs w:val="16"/>
          <w:lang w:val="en-AU"/>
        </w:rPr>
        <w:tab/>
      </w:r>
      <w:r w:rsidR="00855CD3" w:rsidRPr="00855CD3">
        <w:rPr>
          <w:rFonts w:ascii="Arial" w:hAnsi="Arial"/>
          <w:color w:val="000000"/>
          <w:sz w:val="14"/>
          <w:szCs w:val="16"/>
          <w:lang w:val="en-AU"/>
        </w:rPr>
        <w:tab/>
      </w:r>
      <w:r w:rsidR="00855CD3" w:rsidRPr="00855CD3">
        <w:rPr>
          <w:rFonts w:ascii="Arial" w:hAnsi="Arial"/>
          <w:color w:val="000000"/>
          <w:sz w:val="14"/>
          <w:szCs w:val="16"/>
          <w:lang w:val="en-AU"/>
        </w:rPr>
        <w:tab/>
      </w:r>
      <w:r w:rsidR="00855CD3" w:rsidRPr="00855CD3">
        <w:rPr>
          <w:rFonts w:ascii="Arial" w:hAnsi="Arial"/>
          <w:color w:val="000000"/>
          <w:sz w:val="14"/>
          <w:szCs w:val="16"/>
          <w:lang w:val="en-AU"/>
        </w:rPr>
        <w:tab/>
      </w:r>
    </w:p>
    <w:p w14:paraId="1AF92D65" w14:textId="43FE4670" w:rsidR="006A5A85" w:rsidRPr="00B56FAA" w:rsidRDefault="00855CD3" w:rsidP="00056649">
      <w:pPr>
        <w:spacing w:before="0" w:after="0"/>
        <w:ind w:left="284" w:hanging="284"/>
        <w:rPr>
          <w:rFonts w:ascii="Arial" w:hAnsi="Arial"/>
          <w:sz w:val="14"/>
          <w:szCs w:val="14"/>
          <w:lang w:val="en-AU"/>
        </w:rPr>
      </w:pPr>
      <w:r w:rsidRPr="00855CD3">
        <w:rPr>
          <w:rFonts w:ascii="Arial" w:hAnsi="Arial"/>
          <w:color w:val="000000"/>
          <w:sz w:val="14"/>
          <w:szCs w:val="16"/>
          <w:lang w:val="en-AU"/>
        </w:rPr>
        <w:tab/>
      </w:r>
      <w:r w:rsidRPr="00855CD3">
        <w:rPr>
          <w:rFonts w:ascii="Arial" w:hAnsi="Arial"/>
          <w:color w:val="000000"/>
          <w:sz w:val="14"/>
          <w:szCs w:val="16"/>
          <w:lang w:val="en-AU"/>
        </w:rPr>
        <w:tab/>
      </w:r>
      <w:r w:rsidRPr="00855CD3">
        <w:rPr>
          <w:rFonts w:ascii="Arial" w:hAnsi="Arial"/>
          <w:color w:val="000000"/>
          <w:sz w:val="14"/>
          <w:szCs w:val="16"/>
          <w:lang w:val="en-AU"/>
        </w:rPr>
        <w:tab/>
      </w:r>
      <w:r w:rsidRPr="00855CD3">
        <w:rPr>
          <w:rFonts w:ascii="Arial" w:hAnsi="Arial"/>
          <w:color w:val="000000"/>
          <w:sz w:val="14"/>
          <w:szCs w:val="16"/>
          <w:lang w:val="en-AU"/>
        </w:rPr>
        <w:tab/>
      </w:r>
      <w:r w:rsidR="006A5A85" w:rsidRPr="006A5A85">
        <w:rPr>
          <w:rFonts w:ascii="Arial" w:hAnsi="Arial"/>
          <w:color w:val="000000"/>
          <w:sz w:val="16"/>
          <w:szCs w:val="16"/>
          <w:lang w:val="en-AU"/>
        </w:rPr>
        <w:t xml:space="preserve"> </w:t>
      </w:r>
    </w:p>
    <w:p w14:paraId="644F371C" w14:textId="77777777" w:rsidR="00CE08E0" w:rsidRPr="00AC7160" w:rsidRDefault="00483241" w:rsidP="00D9100A">
      <w:pPr>
        <w:pStyle w:val="TableHeading"/>
        <w:numPr>
          <w:ilvl w:val="0"/>
          <w:numId w:val="29"/>
        </w:numPr>
        <w:spacing w:before="0" w:after="120"/>
        <w:ind w:left="0" w:firstLine="0"/>
        <w:outlineLvl w:val="5"/>
      </w:pPr>
      <w:r w:rsidRPr="00B56FAA">
        <w:rPr>
          <w:lang w:val="en-AU"/>
        </w:rPr>
        <w:br w:type="page"/>
      </w:r>
      <w:bookmarkStart w:id="829" w:name="_Toc476581154"/>
      <w:bookmarkStart w:id="830" w:name="_Toc507595426"/>
      <w:bookmarkStart w:id="831" w:name="_Toc536089234"/>
      <w:bookmarkStart w:id="832" w:name="_Toc536089494"/>
      <w:bookmarkStart w:id="833" w:name="_Toc536089600"/>
      <w:r w:rsidR="00CE08E0" w:rsidRPr="00AC7160">
        <w:lastRenderedPageBreak/>
        <w:t>Third Party Payments to and from other Agencies</w:t>
      </w:r>
      <w:r w:rsidR="00CE08E0" w:rsidRPr="00AC7160">
        <w:rPr>
          <w:vertAlign w:val="superscript"/>
        </w:rPr>
        <w:t xml:space="preserve"> [a]</w:t>
      </w:r>
    </w:p>
    <w:p w14:paraId="4E020895" w14:textId="57516D79" w:rsidR="00CE08E0" w:rsidRPr="00B56FAA" w:rsidRDefault="00CB71E0" w:rsidP="0008019D">
      <w:pPr>
        <w:spacing w:before="0" w:after="0"/>
      </w:pPr>
      <w:r w:rsidRPr="00CB71E0">
        <w:rPr>
          <w:noProof/>
          <w:lang w:val="en-AU"/>
        </w:rPr>
        <w:drawing>
          <wp:inline distT="0" distB="0" distL="0" distR="0" wp14:anchorId="06C98C3A" wp14:editId="0816A37B">
            <wp:extent cx="5369356" cy="2647823"/>
            <wp:effectExtent l="0" t="0" r="3175" b="635"/>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77434" cy="2651807"/>
                    </a:xfrm>
                    <a:prstGeom prst="rect">
                      <a:avLst/>
                    </a:prstGeom>
                    <a:noFill/>
                    <a:ln>
                      <a:noFill/>
                    </a:ln>
                  </pic:spPr>
                </pic:pic>
              </a:graphicData>
            </a:graphic>
          </wp:inline>
        </w:drawing>
      </w:r>
    </w:p>
    <w:p w14:paraId="3F102D0C" w14:textId="77777777" w:rsidR="00E73DBC" w:rsidRPr="00B56FAA" w:rsidRDefault="00E73DBC" w:rsidP="0008019D">
      <w:pPr>
        <w:spacing w:before="0" w:after="0"/>
        <w:rPr>
          <w:rFonts w:ascii="Arial" w:hAnsi="Arial"/>
          <w:b/>
          <w:sz w:val="14"/>
          <w:szCs w:val="14"/>
          <w:lang w:val="en-AU"/>
        </w:rPr>
      </w:pPr>
    </w:p>
    <w:p w14:paraId="6A9CF4EE" w14:textId="77777777" w:rsidR="0020361A" w:rsidRPr="009973C3" w:rsidRDefault="00AC7160" w:rsidP="0008019D">
      <w:pPr>
        <w:tabs>
          <w:tab w:val="left" w:pos="284"/>
        </w:tabs>
        <w:spacing w:before="0" w:after="0"/>
        <w:ind w:firstLine="1"/>
        <w:rPr>
          <w:rFonts w:ascii="Arial" w:hAnsi="Arial"/>
          <w:b/>
          <w:sz w:val="14"/>
          <w:szCs w:val="14"/>
          <w:lang w:val="en-AU"/>
        </w:rPr>
      </w:pPr>
      <w:r w:rsidRPr="009973C3">
        <w:rPr>
          <w:rFonts w:ascii="Arial" w:hAnsi="Arial"/>
          <w:b/>
          <w:sz w:val="14"/>
          <w:szCs w:val="14"/>
          <w:lang w:val="en-AU"/>
        </w:rPr>
        <w:t>Note</w:t>
      </w:r>
    </w:p>
    <w:p w14:paraId="23E3788E" w14:textId="6F001B4B" w:rsidR="00855CD3" w:rsidRPr="00855CD3" w:rsidRDefault="00AC7160" w:rsidP="00855CD3">
      <w:pPr>
        <w:tabs>
          <w:tab w:val="left" w:pos="284"/>
        </w:tabs>
        <w:spacing w:before="0" w:after="0"/>
        <w:ind w:firstLine="1"/>
        <w:rPr>
          <w:rFonts w:ascii="Arial" w:hAnsi="Arial"/>
          <w:sz w:val="14"/>
          <w:szCs w:val="14"/>
          <w:lang w:val="en-AU"/>
        </w:rPr>
      </w:pPr>
      <w:r w:rsidRPr="00AC7160">
        <w:rPr>
          <w:rFonts w:ascii="Arial" w:hAnsi="Arial"/>
          <w:sz w:val="14"/>
          <w:szCs w:val="14"/>
          <w:lang w:val="en-AU"/>
        </w:rPr>
        <w:t xml:space="preserve">a. </w:t>
      </w:r>
      <w:r w:rsidR="00855CD3">
        <w:rPr>
          <w:rFonts w:ascii="Arial" w:hAnsi="Arial"/>
          <w:sz w:val="14"/>
          <w:szCs w:val="14"/>
          <w:lang w:val="en-AU"/>
        </w:rPr>
        <w:tab/>
      </w:r>
      <w:r w:rsidR="00855CD3" w:rsidRPr="00855CD3">
        <w:rPr>
          <w:rFonts w:ascii="Arial" w:hAnsi="Arial"/>
          <w:sz w:val="14"/>
          <w:szCs w:val="14"/>
          <w:lang w:val="en-AU"/>
        </w:rPr>
        <w:t xml:space="preserve">Third party payments to and from other Agencies include:  </w:t>
      </w:r>
      <w:r w:rsidR="00855CD3" w:rsidRPr="00855CD3">
        <w:rPr>
          <w:rFonts w:ascii="Arial" w:hAnsi="Arial"/>
          <w:sz w:val="14"/>
          <w:szCs w:val="14"/>
          <w:lang w:val="en-AU"/>
        </w:rPr>
        <w:tab/>
      </w:r>
      <w:r w:rsidR="00855CD3" w:rsidRPr="00855CD3">
        <w:rPr>
          <w:rFonts w:ascii="Arial" w:hAnsi="Arial"/>
          <w:sz w:val="14"/>
          <w:szCs w:val="14"/>
          <w:lang w:val="en-AU"/>
        </w:rPr>
        <w:tab/>
      </w:r>
    </w:p>
    <w:p w14:paraId="68949A54" w14:textId="25ACF080" w:rsidR="00855CD3" w:rsidRPr="00855CD3" w:rsidRDefault="00855CD3" w:rsidP="00855CD3">
      <w:pPr>
        <w:tabs>
          <w:tab w:val="left" w:pos="284"/>
        </w:tabs>
        <w:spacing w:before="0" w:after="0"/>
        <w:ind w:firstLine="1"/>
        <w:rPr>
          <w:rFonts w:ascii="Arial" w:hAnsi="Arial"/>
          <w:sz w:val="14"/>
          <w:szCs w:val="14"/>
          <w:lang w:val="en-AU"/>
        </w:rPr>
      </w:pPr>
      <w:r w:rsidRPr="00855CD3">
        <w:rPr>
          <w:rFonts w:ascii="Arial" w:hAnsi="Arial"/>
          <w:sz w:val="14"/>
          <w:szCs w:val="14"/>
          <w:lang w:val="en-AU"/>
        </w:rPr>
        <w:t xml:space="preserve">  </w:t>
      </w:r>
      <w:r>
        <w:rPr>
          <w:rFonts w:ascii="Arial" w:hAnsi="Arial"/>
          <w:sz w:val="14"/>
          <w:szCs w:val="14"/>
          <w:lang w:val="en-AU"/>
        </w:rPr>
        <w:tab/>
      </w:r>
      <w:r w:rsidRPr="00855CD3">
        <w:rPr>
          <w:rFonts w:ascii="Arial" w:hAnsi="Arial"/>
          <w:sz w:val="14"/>
          <w:szCs w:val="14"/>
          <w:lang w:val="en-AU"/>
        </w:rPr>
        <w:t>- Inter-agency transactions in excess of $20</w:t>
      </w:r>
      <w:r w:rsidR="00D73F23">
        <w:rPr>
          <w:rFonts w:ascii="Arial" w:hAnsi="Arial"/>
          <w:sz w:val="14"/>
          <w:szCs w:val="14"/>
          <w:lang w:val="en-AU"/>
        </w:rPr>
        <w:t xml:space="preserve"> </w:t>
      </w:r>
      <w:r w:rsidRPr="00855CD3">
        <w:rPr>
          <w:rFonts w:ascii="Arial" w:hAnsi="Arial"/>
          <w:sz w:val="14"/>
          <w:szCs w:val="14"/>
          <w:lang w:val="en-AU"/>
        </w:rPr>
        <w:t>m</w:t>
      </w:r>
      <w:r w:rsidR="00D73F23">
        <w:rPr>
          <w:rFonts w:ascii="Arial" w:hAnsi="Arial"/>
          <w:sz w:val="14"/>
          <w:szCs w:val="14"/>
          <w:lang w:val="en-AU"/>
        </w:rPr>
        <w:t>illion</w:t>
      </w:r>
      <w:r w:rsidRPr="00855CD3">
        <w:rPr>
          <w:rFonts w:ascii="Arial" w:hAnsi="Arial"/>
          <w:sz w:val="14"/>
          <w:szCs w:val="14"/>
          <w:lang w:val="en-AU"/>
        </w:rPr>
        <w:t xml:space="preserve"> per annum;  </w:t>
      </w:r>
      <w:r w:rsidRPr="00855CD3">
        <w:rPr>
          <w:rFonts w:ascii="Arial" w:hAnsi="Arial"/>
          <w:sz w:val="14"/>
          <w:szCs w:val="14"/>
          <w:lang w:val="en-AU"/>
        </w:rPr>
        <w:tab/>
      </w:r>
      <w:r w:rsidRPr="00855CD3">
        <w:rPr>
          <w:rFonts w:ascii="Arial" w:hAnsi="Arial"/>
          <w:sz w:val="14"/>
          <w:szCs w:val="14"/>
          <w:lang w:val="en-AU"/>
        </w:rPr>
        <w:tab/>
      </w:r>
    </w:p>
    <w:p w14:paraId="27F171F1" w14:textId="20A7623B" w:rsidR="00855CD3" w:rsidRPr="00855CD3" w:rsidRDefault="00855CD3" w:rsidP="00855CD3">
      <w:pPr>
        <w:tabs>
          <w:tab w:val="left" w:pos="284"/>
        </w:tabs>
        <w:spacing w:before="0" w:after="0"/>
        <w:ind w:firstLine="1"/>
        <w:rPr>
          <w:rFonts w:ascii="Arial" w:hAnsi="Arial"/>
          <w:sz w:val="14"/>
          <w:szCs w:val="14"/>
          <w:lang w:val="en-AU"/>
        </w:rPr>
      </w:pPr>
      <w:r w:rsidRPr="00855CD3">
        <w:rPr>
          <w:rFonts w:ascii="Arial" w:hAnsi="Arial"/>
          <w:sz w:val="14"/>
          <w:szCs w:val="14"/>
          <w:lang w:val="en-AU"/>
        </w:rPr>
        <w:t xml:space="preserve">  </w:t>
      </w:r>
      <w:r>
        <w:rPr>
          <w:rFonts w:ascii="Arial" w:hAnsi="Arial"/>
          <w:sz w:val="14"/>
          <w:szCs w:val="14"/>
          <w:lang w:val="en-AU"/>
        </w:rPr>
        <w:tab/>
      </w:r>
      <w:r w:rsidRPr="00855CD3">
        <w:rPr>
          <w:rFonts w:ascii="Arial" w:hAnsi="Arial"/>
          <w:sz w:val="14"/>
          <w:szCs w:val="14"/>
          <w:lang w:val="en-AU"/>
        </w:rPr>
        <w:t>- Inter-agency transactions that were in excess of $20</w:t>
      </w:r>
      <w:r w:rsidR="00D73F23">
        <w:rPr>
          <w:rFonts w:ascii="Arial" w:hAnsi="Arial"/>
          <w:sz w:val="14"/>
          <w:szCs w:val="14"/>
          <w:lang w:val="en-AU"/>
        </w:rPr>
        <w:t xml:space="preserve"> </w:t>
      </w:r>
      <w:r w:rsidRPr="00855CD3">
        <w:rPr>
          <w:rFonts w:ascii="Arial" w:hAnsi="Arial"/>
          <w:sz w:val="14"/>
          <w:szCs w:val="14"/>
          <w:lang w:val="en-AU"/>
        </w:rPr>
        <w:t>m</w:t>
      </w:r>
      <w:r w:rsidR="00D73F23">
        <w:rPr>
          <w:rFonts w:ascii="Arial" w:hAnsi="Arial"/>
          <w:sz w:val="14"/>
          <w:szCs w:val="14"/>
          <w:lang w:val="en-AU"/>
        </w:rPr>
        <w:t>illion</w:t>
      </w:r>
      <w:r w:rsidRPr="00855CD3">
        <w:rPr>
          <w:rFonts w:ascii="Arial" w:hAnsi="Arial"/>
          <w:sz w:val="14"/>
          <w:szCs w:val="14"/>
          <w:lang w:val="en-AU"/>
        </w:rPr>
        <w:t xml:space="preserve"> in the previous year's annual statements; and </w:t>
      </w:r>
      <w:r w:rsidRPr="00855CD3">
        <w:rPr>
          <w:rFonts w:ascii="Arial" w:hAnsi="Arial"/>
          <w:sz w:val="14"/>
          <w:szCs w:val="14"/>
          <w:lang w:val="en-AU"/>
        </w:rPr>
        <w:tab/>
      </w:r>
      <w:r w:rsidRPr="00855CD3">
        <w:rPr>
          <w:rFonts w:ascii="Arial" w:hAnsi="Arial"/>
          <w:sz w:val="14"/>
          <w:szCs w:val="14"/>
          <w:lang w:val="en-AU"/>
        </w:rPr>
        <w:tab/>
      </w:r>
    </w:p>
    <w:p w14:paraId="226D4AEB" w14:textId="04033E19" w:rsidR="00BA1388" w:rsidRPr="00AC7160" w:rsidRDefault="00855CD3" w:rsidP="00855CD3">
      <w:pPr>
        <w:tabs>
          <w:tab w:val="left" w:pos="284"/>
        </w:tabs>
        <w:spacing w:before="0" w:after="0"/>
        <w:ind w:firstLine="1"/>
        <w:rPr>
          <w:rFonts w:ascii="Arial" w:hAnsi="Arial"/>
          <w:sz w:val="14"/>
          <w:szCs w:val="14"/>
          <w:lang w:val="en-AU"/>
        </w:rPr>
      </w:pPr>
      <w:r w:rsidRPr="00855CD3">
        <w:rPr>
          <w:rFonts w:ascii="Arial" w:hAnsi="Arial"/>
          <w:sz w:val="14"/>
          <w:szCs w:val="14"/>
          <w:lang w:val="en-AU"/>
        </w:rPr>
        <w:t xml:space="preserve">  </w:t>
      </w:r>
      <w:r>
        <w:rPr>
          <w:rFonts w:ascii="Arial" w:hAnsi="Arial"/>
          <w:sz w:val="14"/>
          <w:szCs w:val="14"/>
          <w:lang w:val="en-AU"/>
        </w:rPr>
        <w:tab/>
      </w:r>
      <w:r w:rsidRPr="00855CD3">
        <w:rPr>
          <w:rFonts w:ascii="Arial" w:hAnsi="Arial"/>
          <w:sz w:val="14"/>
          <w:szCs w:val="14"/>
          <w:lang w:val="en-AU"/>
        </w:rPr>
        <w:t xml:space="preserve">- Inter-agency transactions relating to Budget Measures as disclosed in Defence Budget Measures. </w:t>
      </w:r>
      <w:r w:rsidRPr="00855CD3">
        <w:rPr>
          <w:rFonts w:ascii="Arial" w:hAnsi="Arial"/>
          <w:sz w:val="14"/>
          <w:szCs w:val="14"/>
          <w:lang w:val="en-AU"/>
        </w:rPr>
        <w:tab/>
      </w:r>
      <w:r w:rsidRPr="00855CD3">
        <w:rPr>
          <w:rFonts w:ascii="Arial" w:hAnsi="Arial"/>
          <w:sz w:val="14"/>
          <w:szCs w:val="14"/>
          <w:lang w:val="en-AU"/>
        </w:rPr>
        <w:tab/>
      </w:r>
    </w:p>
    <w:p w14:paraId="55DFE7E5" w14:textId="00BC81A6" w:rsidR="00AC7160" w:rsidRPr="00B56FAA" w:rsidRDefault="00D73F23" w:rsidP="00AC7160">
      <w:pPr>
        <w:tabs>
          <w:tab w:val="left" w:pos="284"/>
        </w:tabs>
        <w:spacing w:before="0" w:after="0"/>
        <w:ind w:firstLine="1"/>
        <w:rPr>
          <w:rFonts w:ascii="Arial" w:hAnsi="Arial"/>
          <w:sz w:val="14"/>
          <w:szCs w:val="14"/>
          <w:lang w:val="en-AU"/>
        </w:rPr>
      </w:pPr>
      <w:r>
        <w:rPr>
          <w:rFonts w:ascii="Arial" w:hAnsi="Arial"/>
          <w:sz w:val="14"/>
          <w:szCs w:val="14"/>
          <w:lang w:val="en-AU"/>
        </w:rPr>
        <w:t xml:space="preserve"> </w:t>
      </w:r>
      <w:r>
        <w:rPr>
          <w:rFonts w:ascii="Arial" w:hAnsi="Arial"/>
          <w:sz w:val="14"/>
          <w:szCs w:val="14"/>
          <w:lang w:val="en-AU"/>
        </w:rPr>
        <w:tab/>
      </w:r>
    </w:p>
    <w:p w14:paraId="09D023D2" w14:textId="77777777" w:rsidR="00CE08E0" w:rsidRPr="00B56FAA" w:rsidRDefault="00CE08E0" w:rsidP="00CE08E0">
      <w:pPr>
        <w:spacing w:before="0" w:after="0"/>
        <w:rPr>
          <w:rFonts w:ascii="Arial" w:hAnsi="Arial" w:cs="Times New Roman"/>
          <w:b/>
          <w:bCs/>
          <w:sz w:val="2"/>
          <w:szCs w:val="2"/>
          <w:lang w:val="en-AU"/>
        </w:rPr>
      </w:pPr>
      <w:r w:rsidRPr="00B56FAA">
        <w:rPr>
          <w:lang w:val="en-AU"/>
        </w:rPr>
        <w:br w:type="page"/>
      </w:r>
    </w:p>
    <w:p w14:paraId="10FAEAC9" w14:textId="77777777" w:rsidR="0017690F" w:rsidRPr="00CF1300" w:rsidRDefault="0017690F" w:rsidP="00CF1300">
      <w:pPr>
        <w:pStyle w:val="Heading4"/>
      </w:pPr>
      <w:bookmarkStart w:id="834" w:name="_Toc69729050"/>
      <w:bookmarkStart w:id="835" w:name="_Toc97747834"/>
      <w:bookmarkStart w:id="836" w:name="_Toc108088945"/>
      <w:bookmarkStart w:id="837" w:name="_Toc108089024"/>
      <w:bookmarkStart w:id="838" w:name="_Toc108089419"/>
      <w:bookmarkStart w:id="839" w:name="_Toc159499689"/>
      <w:bookmarkStart w:id="840" w:name="_Toc159859106"/>
      <w:bookmarkStart w:id="841" w:name="_Toc159859258"/>
      <w:r w:rsidRPr="00CF1300">
        <w:lastRenderedPageBreak/>
        <w:t>3.</w:t>
      </w:r>
      <w:r w:rsidR="00B40A07" w:rsidRPr="00CF1300">
        <w:t>3 Budgeted Financial Statements</w:t>
      </w:r>
      <w:bookmarkEnd w:id="829"/>
      <w:bookmarkEnd w:id="830"/>
      <w:bookmarkEnd w:id="831"/>
      <w:bookmarkEnd w:id="832"/>
      <w:bookmarkEnd w:id="833"/>
      <w:bookmarkEnd w:id="834"/>
      <w:bookmarkEnd w:id="835"/>
      <w:bookmarkEnd w:id="836"/>
      <w:bookmarkEnd w:id="837"/>
      <w:bookmarkEnd w:id="838"/>
      <w:bookmarkEnd w:id="839"/>
      <w:bookmarkEnd w:id="840"/>
      <w:bookmarkEnd w:id="841"/>
    </w:p>
    <w:p w14:paraId="050DDD0B" w14:textId="77777777" w:rsidR="0017690F" w:rsidRPr="00B56FAA" w:rsidRDefault="0017690F" w:rsidP="00211FF9">
      <w:pPr>
        <w:pStyle w:val="Heading4level5"/>
        <w:spacing w:before="0" w:after="200"/>
      </w:pPr>
      <w:r w:rsidRPr="002B4F51">
        <w:t>3.3.1 Departmental and Administered Budgeted Financial Statements</w:t>
      </w:r>
    </w:p>
    <w:p w14:paraId="7FE58F10" w14:textId="77777777" w:rsidR="00211FF9" w:rsidRPr="00BB7383" w:rsidRDefault="0017690F" w:rsidP="00D9100A">
      <w:pPr>
        <w:pStyle w:val="TableHeading"/>
        <w:numPr>
          <w:ilvl w:val="0"/>
          <w:numId w:val="29"/>
        </w:numPr>
        <w:spacing w:before="0" w:after="120"/>
        <w:ind w:left="0" w:firstLine="0"/>
        <w:outlineLvl w:val="5"/>
      </w:pPr>
      <w:r w:rsidRPr="00290A26">
        <w:t xml:space="preserve">Budgeted Departmental Comprehensive Income Statement (Showing Net Cost of </w:t>
      </w:r>
      <w:r w:rsidRPr="00BB7383">
        <w:t>Services) (for the period ended 30 June)</w:t>
      </w:r>
    </w:p>
    <w:p w14:paraId="24AE4F20" w14:textId="02895471" w:rsidR="00792C88" w:rsidRDefault="00CB71E0" w:rsidP="00792C88">
      <w:r w:rsidRPr="00CB71E0">
        <w:rPr>
          <w:noProof/>
          <w:lang w:val="en-AU"/>
        </w:rPr>
        <w:drawing>
          <wp:inline distT="0" distB="0" distL="0" distR="0" wp14:anchorId="30952146" wp14:editId="31B86602">
            <wp:extent cx="5472430" cy="6686196"/>
            <wp:effectExtent l="0" t="0" r="0" b="63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72430" cy="6686196"/>
                    </a:xfrm>
                    <a:prstGeom prst="rect">
                      <a:avLst/>
                    </a:prstGeom>
                    <a:noFill/>
                    <a:ln>
                      <a:noFill/>
                    </a:ln>
                  </pic:spPr>
                </pic:pic>
              </a:graphicData>
            </a:graphic>
          </wp:inline>
        </w:drawing>
      </w:r>
    </w:p>
    <w:p w14:paraId="4E1E5145" w14:textId="4A35D042" w:rsidR="00912C0B" w:rsidRDefault="00912C0B">
      <w:pPr>
        <w:spacing w:before="0" w:after="0"/>
      </w:pPr>
      <w:r>
        <w:br w:type="page"/>
      </w:r>
    </w:p>
    <w:p w14:paraId="0D8354CA" w14:textId="77777777" w:rsidR="00575543" w:rsidRDefault="00575543" w:rsidP="00792C88"/>
    <w:p w14:paraId="7C20AB50" w14:textId="77777777" w:rsidR="00792C88" w:rsidRPr="00290A26" w:rsidRDefault="00792C88" w:rsidP="00792C88">
      <w:pPr>
        <w:pStyle w:val="TableHeading"/>
        <w:spacing w:before="0" w:after="120"/>
        <w:outlineLvl w:val="5"/>
      </w:pPr>
      <w:r>
        <w:t xml:space="preserve">Table 44: </w:t>
      </w:r>
      <w:r w:rsidRPr="00290A26">
        <w:t xml:space="preserve">Budgeted Departmental Comprehensive Income Statement (Showing Net Cost of </w:t>
      </w:r>
      <w:r w:rsidRPr="00BB7383">
        <w:t>Services) (for the period ended 30 June) (Continued)</w:t>
      </w:r>
    </w:p>
    <w:p w14:paraId="0C5927CF" w14:textId="7BF3327D" w:rsidR="00792C88" w:rsidRPr="00792C88" w:rsidRDefault="008B7C95" w:rsidP="00792C88">
      <w:r w:rsidRPr="008B7C95">
        <w:rPr>
          <w:noProof/>
          <w:lang w:val="en-AU"/>
        </w:rPr>
        <w:drawing>
          <wp:inline distT="0" distB="0" distL="0" distR="0" wp14:anchorId="79C81B85" wp14:editId="3AF95815">
            <wp:extent cx="5472430" cy="2581751"/>
            <wp:effectExtent l="0" t="0" r="0" b="9525"/>
            <wp:docPr id="24575511" name="Picture 2457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72430" cy="2581751"/>
                    </a:xfrm>
                    <a:prstGeom prst="rect">
                      <a:avLst/>
                    </a:prstGeom>
                    <a:noFill/>
                    <a:ln>
                      <a:noFill/>
                    </a:ln>
                  </pic:spPr>
                </pic:pic>
              </a:graphicData>
            </a:graphic>
          </wp:inline>
        </w:drawing>
      </w:r>
    </w:p>
    <w:p w14:paraId="3D734899" w14:textId="77777777" w:rsidR="00D43F69" w:rsidRPr="009973C3" w:rsidRDefault="00D43F69" w:rsidP="00D43F69">
      <w:pPr>
        <w:tabs>
          <w:tab w:val="left" w:pos="284"/>
        </w:tabs>
        <w:spacing w:before="0" w:after="0"/>
        <w:ind w:firstLine="1"/>
        <w:rPr>
          <w:rFonts w:ascii="Arial" w:hAnsi="Arial"/>
          <w:b/>
          <w:sz w:val="14"/>
          <w:szCs w:val="14"/>
          <w:lang w:val="en-AU"/>
        </w:rPr>
      </w:pPr>
      <w:r w:rsidRPr="009973C3">
        <w:rPr>
          <w:rFonts w:ascii="Arial" w:hAnsi="Arial"/>
          <w:b/>
          <w:sz w:val="14"/>
          <w:szCs w:val="14"/>
          <w:lang w:val="en-AU"/>
        </w:rPr>
        <w:t>Note</w:t>
      </w:r>
    </w:p>
    <w:p w14:paraId="6BCBD02D" w14:textId="3AECCF9D" w:rsidR="00D43F69" w:rsidRPr="00D43F69" w:rsidRDefault="00D43F69" w:rsidP="00D43F69">
      <w:pPr>
        <w:spacing w:before="0" w:after="0"/>
        <w:ind w:left="284" w:hanging="284"/>
        <w:rPr>
          <w:rFonts w:ascii="Arial" w:hAnsi="Arial"/>
          <w:color w:val="000000"/>
          <w:sz w:val="14"/>
          <w:szCs w:val="14"/>
          <w:lang w:val="en-AU"/>
        </w:rPr>
      </w:pPr>
      <w:r w:rsidRPr="00D43F69">
        <w:rPr>
          <w:rFonts w:ascii="Arial" w:hAnsi="Arial"/>
          <w:sz w:val="14"/>
          <w:szCs w:val="14"/>
          <w:lang w:val="en-AU"/>
        </w:rPr>
        <w:t xml:space="preserve">a. </w:t>
      </w:r>
      <w:r w:rsidRPr="00D43F69">
        <w:rPr>
          <w:rFonts w:ascii="Arial" w:hAnsi="Arial"/>
          <w:sz w:val="14"/>
          <w:szCs w:val="14"/>
          <w:lang w:val="en-AU"/>
        </w:rPr>
        <w:tab/>
      </w:r>
      <w:r w:rsidRPr="00D43F69">
        <w:rPr>
          <w:rFonts w:ascii="Arial" w:hAnsi="Arial"/>
          <w:sz w:val="14"/>
          <w:szCs w:val="14"/>
          <w:lang w:val="en-AU"/>
        </w:rPr>
        <w:tab/>
      </w:r>
      <w:r w:rsidRPr="00D43F69">
        <w:rPr>
          <w:rFonts w:ascii="Arial" w:hAnsi="Arial"/>
          <w:sz w:val="14"/>
          <w:szCs w:val="14"/>
          <w:lang w:val="en-AU"/>
        </w:rPr>
        <w:tab/>
      </w:r>
      <w:r w:rsidRPr="00D43F69">
        <w:rPr>
          <w:rFonts w:ascii="Arial" w:hAnsi="Arial"/>
          <w:sz w:val="14"/>
          <w:szCs w:val="14"/>
          <w:lang w:val="en-AU"/>
        </w:rPr>
        <w:tab/>
      </w:r>
      <w:r w:rsidRPr="00D43F69">
        <w:rPr>
          <w:rFonts w:ascii="Arial" w:hAnsi="Arial"/>
          <w:color w:val="000000"/>
          <w:sz w:val="14"/>
          <w:szCs w:val="14"/>
          <w:lang w:val="en-AU"/>
        </w:rPr>
        <w:t>Grants does not include the gifting of assets to foreign governments.</w:t>
      </w:r>
    </w:p>
    <w:p w14:paraId="5358DA88" w14:textId="7B56D70B" w:rsidR="00000111" w:rsidRPr="00B56FAA" w:rsidRDefault="00000111" w:rsidP="00D43F69">
      <w:pPr>
        <w:rPr>
          <w:sz w:val="12"/>
          <w:szCs w:val="12"/>
        </w:rPr>
      </w:pPr>
    </w:p>
    <w:p w14:paraId="12C4854D" w14:textId="77777777" w:rsidR="008A4A10" w:rsidRPr="00B56FAA" w:rsidRDefault="00A25475" w:rsidP="00BD01F5">
      <w:pPr>
        <w:pStyle w:val="TableHeading"/>
        <w:spacing w:before="0" w:after="120"/>
        <w:outlineLvl w:val="5"/>
        <w:rPr>
          <w:b w:val="0"/>
        </w:rPr>
      </w:pPr>
      <w:r w:rsidRPr="00B56FAA">
        <w:br w:type="page"/>
      </w:r>
    </w:p>
    <w:p w14:paraId="183A920C" w14:textId="77777777" w:rsidR="00E73DBC" w:rsidRPr="00BB7383" w:rsidRDefault="00E73DBC" w:rsidP="00D9100A">
      <w:pPr>
        <w:pStyle w:val="TableHeading"/>
        <w:numPr>
          <w:ilvl w:val="0"/>
          <w:numId w:val="29"/>
        </w:numPr>
        <w:spacing w:before="0"/>
        <w:ind w:left="0" w:firstLine="0"/>
        <w:outlineLvl w:val="5"/>
      </w:pPr>
      <w:r w:rsidRPr="00BB7383">
        <w:lastRenderedPageBreak/>
        <w:t>Budgeted Departmental Balance Sheet (as at 30 June)</w:t>
      </w:r>
    </w:p>
    <w:p w14:paraId="1A019D3F" w14:textId="7BA4E7D8" w:rsidR="006D5735" w:rsidRPr="00B56FAA" w:rsidRDefault="00ED421F" w:rsidP="001835C6">
      <w:pPr>
        <w:rPr>
          <w:lang w:val="en-AU"/>
        </w:rPr>
      </w:pPr>
      <w:r w:rsidRPr="00ED421F">
        <w:rPr>
          <w:noProof/>
          <w:lang w:val="en-AU"/>
        </w:rPr>
        <w:drawing>
          <wp:inline distT="0" distB="0" distL="0" distR="0" wp14:anchorId="0EAEAB0B" wp14:editId="72013039">
            <wp:extent cx="5472430" cy="7124807"/>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72430" cy="7124807"/>
                    </a:xfrm>
                    <a:prstGeom prst="rect">
                      <a:avLst/>
                    </a:prstGeom>
                    <a:noFill/>
                    <a:ln>
                      <a:noFill/>
                    </a:ln>
                  </pic:spPr>
                </pic:pic>
              </a:graphicData>
            </a:graphic>
          </wp:inline>
        </w:drawing>
      </w:r>
    </w:p>
    <w:p w14:paraId="4AFA26EB" w14:textId="77777777" w:rsidR="006C579D" w:rsidRPr="00BB7383" w:rsidRDefault="00483241" w:rsidP="00D9100A">
      <w:pPr>
        <w:pStyle w:val="TableHeading"/>
        <w:numPr>
          <w:ilvl w:val="0"/>
          <w:numId w:val="29"/>
        </w:numPr>
        <w:spacing w:before="0"/>
        <w:ind w:left="0" w:firstLine="0"/>
        <w:outlineLvl w:val="5"/>
      </w:pPr>
      <w:r w:rsidRPr="00B56FAA">
        <w:rPr>
          <w:lang w:val="en-AU"/>
        </w:rPr>
        <w:br w:type="page"/>
      </w:r>
      <w:r w:rsidR="006C579D" w:rsidRPr="00BB7383">
        <w:lastRenderedPageBreak/>
        <w:t>Budgeted Departmental Statement of Cash Flows (for the period ended 30 June)</w:t>
      </w:r>
    </w:p>
    <w:p w14:paraId="79B3E593" w14:textId="453BF2C0" w:rsidR="006D5735" w:rsidRPr="00B56FAA" w:rsidRDefault="00ED421F" w:rsidP="001835C6">
      <w:r w:rsidRPr="00ED421F">
        <w:rPr>
          <w:noProof/>
          <w:lang w:val="en-AU"/>
        </w:rPr>
        <w:drawing>
          <wp:inline distT="0" distB="0" distL="0" distR="0" wp14:anchorId="46C08E62" wp14:editId="5A5EBA47">
            <wp:extent cx="5472430" cy="6949386"/>
            <wp:effectExtent l="0" t="0" r="0" b="4445"/>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72430" cy="6949386"/>
                    </a:xfrm>
                    <a:prstGeom prst="rect">
                      <a:avLst/>
                    </a:prstGeom>
                    <a:noFill/>
                    <a:ln>
                      <a:noFill/>
                    </a:ln>
                  </pic:spPr>
                </pic:pic>
              </a:graphicData>
            </a:graphic>
          </wp:inline>
        </w:drawing>
      </w:r>
    </w:p>
    <w:p w14:paraId="057B414D" w14:textId="77777777" w:rsidR="008A40CC" w:rsidRPr="00B56FAA" w:rsidRDefault="008A40CC" w:rsidP="003B237F">
      <w:pPr>
        <w:pStyle w:val="TableHeading"/>
        <w:spacing w:before="0" w:after="120"/>
      </w:pPr>
      <w:r w:rsidRPr="00B56FAA">
        <w:br w:type="page"/>
      </w:r>
      <w:r w:rsidRPr="00BB7383">
        <w:lastRenderedPageBreak/>
        <w:t xml:space="preserve">Table </w:t>
      </w:r>
      <w:r w:rsidR="00EB0021" w:rsidRPr="00BB7383">
        <w:t>4</w:t>
      </w:r>
      <w:r w:rsidR="00F220F2" w:rsidRPr="00BB7383">
        <w:t>6</w:t>
      </w:r>
      <w:r w:rsidR="000F74ED" w:rsidRPr="00BB7383">
        <w:t>:</w:t>
      </w:r>
      <w:r w:rsidRPr="00BB7383">
        <w:t xml:space="preserve"> Budgeted Departmental Statement of Cash Flows (for the period ended 30 June)</w:t>
      </w:r>
      <w:r w:rsidRPr="003C38F8">
        <w:t xml:space="preserve"> (Continued)</w:t>
      </w:r>
    </w:p>
    <w:p w14:paraId="6484D50D" w14:textId="58EEEBB1" w:rsidR="008A40CC" w:rsidRPr="00B56FAA" w:rsidRDefault="00ED421F" w:rsidP="008A40CC">
      <w:pPr>
        <w:rPr>
          <w:lang w:val="en-AU"/>
        </w:rPr>
      </w:pPr>
      <w:r w:rsidRPr="00ED421F">
        <w:rPr>
          <w:noProof/>
          <w:lang w:val="en-AU"/>
        </w:rPr>
        <w:drawing>
          <wp:inline distT="0" distB="0" distL="0" distR="0" wp14:anchorId="15C3744E" wp14:editId="5ADD2197">
            <wp:extent cx="5362042" cy="4171302"/>
            <wp:effectExtent l="0" t="0" r="0" b="127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71027" cy="4178292"/>
                    </a:xfrm>
                    <a:prstGeom prst="rect">
                      <a:avLst/>
                    </a:prstGeom>
                    <a:noFill/>
                    <a:ln>
                      <a:noFill/>
                    </a:ln>
                  </pic:spPr>
                </pic:pic>
              </a:graphicData>
            </a:graphic>
          </wp:inline>
        </w:drawing>
      </w:r>
    </w:p>
    <w:p w14:paraId="56EE48C2" w14:textId="77777777" w:rsidR="00C01706" w:rsidRPr="00415CB3" w:rsidRDefault="00483241" w:rsidP="00D9100A">
      <w:pPr>
        <w:pStyle w:val="TableHeading"/>
        <w:numPr>
          <w:ilvl w:val="0"/>
          <w:numId w:val="29"/>
        </w:numPr>
        <w:spacing w:before="0" w:after="120"/>
        <w:ind w:left="0" w:firstLine="0"/>
        <w:outlineLvl w:val="5"/>
      </w:pPr>
      <w:r w:rsidRPr="00B56FAA">
        <w:rPr>
          <w:lang w:val="en-AU"/>
        </w:rPr>
        <w:br w:type="page"/>
      </w:r>
      <w:r w:rsidR="00C01706" w:rsidRPr="00415CB3">
        <w:lastRenderedPageBreak/>
        <w:t xml:space="preserve">Departmental Statement of Changes in Equity — Summary of Movement (Budget year </w:t>
      </w:r>
      <w:r w:rsidR="00E77BB4" w:rsidRPr="00415CB3">
        <w:t>202</w:t>
      </w:r>
      <w:r w:rsidR="00120363">
        <w:t>5</w:t>
      </w:r>
      <w:r w:rsidR="002269D3" w:rsidRPr="00415CB3">
        <w:t>-</w:t>
      </w:r>
      <w:r w:rsidR="00E77BB4" w:rsidRPr="00415CB3">
        <w:t>2</w:t>
      </w:r>
      <w:r w:rsidR="00120363">
        <w:t>6</w:t>
      </w:r>
      <w:r w:rsidR="00C01706" w:rsidRPr="00415CB3">
        <w:t>)</w:t>
      </w:r>
    </w:p>
    <w:p w14:paraId="0E6A300B" w14:textId="1AD86BC7" w:rsidR="0092795E" w:rsidRPr="00B56FAA" w:rsidRDefault="00BC2C62" w:rsidP="001835C6">
      <w:pPr>
        <w:rPr>
          <w:lang w:val="en-AU"/>
        </w:rPr>
      </w:pPr>
      <w:r w:rsidRPr="00BC2C62">
        <w:rPr>
          <w:noProof/>
          <w:lang w:val="en-AU"/>
        </w:rPr>
        <w:drawing>
          <wp:inline distT="0" distB="0" distL="0" distR="0" wp14:anchorId="0D54FF06" wp14:editId="2F0B7F6E">
            <wp:extent cx="5472430" cy="426532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72430" cy="4265325"/>
                    </a:xfrm>
                    <a:prstGeom prst="rect">
                      <a:avLst/>
                    </a:prstGeom>
                    <a:noFill/>
                    <a:ln>
                      <a:noFill/>
                    </a:ln>
                  </pic:spPr>
                </pic:pic>
              </a:graphicData>
            </a:graphic>
          </wp:inline>
        </w:drawing>
      </w:r>
    </w:p>
    <w:p w14:paraId="1AC1C940" w14:textId="77777777" w:rsidR="00C01706" w:rsidRPr="00BB7383" w:rsidRDefault="00483241" w:rsidP="00D9100A">
      <w:pPr>
        <w:pStyle w:val="TableHeading"/>
        <w:numPr>
          <w:ilvl w:val="0"/>
          <w:numId w:val="29"/>
        </w:numPr>
        <w:spacing w:before="0" w:after="120"/>
        <w:ind w:left="0" w:firstLine="0"/>
        <w:outlineLvl w:val="5"/>
      </w:pPr>
      <w:r w:rsidRPr="00B56FAA">
        <w:rPr>
          <w:lang w:val="en-AU"/>
        </w:rPr>
        <w:br w:type="page"/>
      </w:r>
      <w:r w:rsidR="00C01706" w:rsidRPr="00BB7383">
        <w:lastRenderedPageBreak/>
        <w:t>Departmental Capital Budget Statement</w:t>
      </w:r>
      <w:r w:rsidR="00CB02AB" w:rsidRPr="00BB7383">
        <w:t xml:space="preserve"> (for the period ended 30 June)</w:t>
      </w:r>
    </w:p>
    <w:p w14:paraId="17525905" w14:textId="7B5F88B4" w:rsidR="006D5735" w:rsidRPr="00B56FAA" w:rsidRDefault="00ED421F" w:rsidP="0008019D">
      <w:pPr>
        <w:spacing w:before="0" w:after="0"/>
      </w:pPr>
      <w:r w:rsidRPr="00ED421F">
        <w:rPr>
          <w:noProof/>
          <w:lang w:val="en-AU"/>
        </w:rPr>
        <w:drawing>
          <wp:inline distT="0" distB="0" distL="0" distR="0" wp14:anchorId="7DCFF6B3" wp14:editId="62103381">
            <wp:extent cx="5472430" cy="4792748"/>
            <wp:effectExtent l="0" t="0" r="0" b="825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72430" cy="4792748"/>
                    </a:xfrm>
                    <a:prstGeom prst="rect">
                      <a:avLst/>
                    </a:prstGeom>
                    <a:noFill/>
                    <a:ln>
                      <a:noFill/>
                    </a:ln>
                  </pic:spPr>
                </pic:pic>
              </a:graphicData>
            </a:graphic>
          </wp:inline>
        </w:drawing>
      </w:r>
    </w:p>
    <w:p w14:paraId="4D2DD435" w14:textId="77777777" w:rsidR="00E73DBC" w:rsidRPr="00B56FAA" w:rsidRDefault="00E73DBC" w:rsidP="0008019D">
      <w:pPr>
        <w:spacing w:before="0" w:after="0"/>
        <w:rPr>
          <w:rFonts w:ascii="Arial" w:hAnsi="Arial"/>
          <w:b/>
          <w:sz w:val="14"/>
          <w:szCs w:val="14"/>
          <w:lang w:val="en-AU"/>
        </w:rPr>
      </w:pPr>
    </w:p>
    <w:p w14:paraId="7232C25A" w14:textId="4560A420" w:rsidR="00CB045C" w:rsidRPr="009973C3" w:rsidRDefault="00415CB3" w:rsidP="003A1B33">
      <w:pPr>
        <w:tabs>
          <w:tab w:val="left" w:pos="284"/>
        </w:tabs>
        <w:spacing w:before="0" w:after="0"/>
        <w:rPr>
          <w:rFonts w:ascii="Arial" w:hAnsi="Arial"/>
          <w:b/>
          <w:sz w:val="14"/>
          <w:szCs w:val="14"/>
          <w:lang w:val="en-AU"/>
        </w:rPr>
      </w:pPr>
      <w:r w:rsidRPr="009973C3">
        <w:rPr>
          <w:rFonts w:ascii="Arial" w:hAnsi="Arial"/>
          <w:b/>
          <w:sz w:val="14"/>
          <w:szCs w:val="14"/>
          <w:lang w:val="en-AU"/>
        </w:rPr>
        <w:t>Note</w:t>
      </w:r>
      <w:r w:rsidR="00D73F23">
        <w:rPr>
          <w:rFonts w:ascii="Arial" w:hAnsi="Arial"/>
          <w:b/>
          <w:sz w:val="14"/>
          <w:szCs w:val="14"/>
          <w:lang w:val="en-AU"/>
        </w:rPr>
        <w:t>s</w:t>
      </w:r>
    </w:p>
    <w:p w14:paraId="2C72592A" w14:textId="27E6ACEB" w:rsidR="001F3351" w:rsidRPr="001F3351" w:rsidRDefault="00415CB3" w:rsidP="002533F1">
      <w:pPr>
        <w:spacing w:before="0" w:after="0"/>
        <w:ind w:left="284" w:hanging="284"/>
        <w:rPr>
          <w:rFonts w:ascii="Arial" w:hAnsi="Arial"/>
          <w:sz w:val="14"/>
          <w:szCs w:val="14"/>
          <w:lang w:val="en-AU"/>
        </w:rPr>
      </w:pPr>
      <w:r w:rsidRPr="00415CB3">
        <w:rPr>
          <w:rFonts w:ascii="Arial" w:hAnsi="Arial"/>
          <w:sz w:val="14"/>
          <w:szCs w:val="14"/>
          <w:lang w:val="en-AU"/>
        </w:rPr>
        <w:t xml:space="preserve">a. </w:t>
      </w:r>
      <w:r w:rsidR="00816434">
        <w:rPr>
          <w:rFonts w:ascii="Arial" w:hAnsi="Arial"/>
          <w:sz w:val="14"/>
          <w:szCs w:val="14"/>
          <w:lang w:val="en-AU"/>
        </w:rPr>
        <w:tab/>
      </w:r>
      <w:r w:rsidR="006C72DB" w:rsidRPr="006C72DB">
        <w:rPr>
          <w:rFonts w:ascii="Arial" w:hAnsi="Arial"/>
          <w:color w:val="000000"/>
          <w:sz w:val="14"/>
          <w:szCs w:val="16"/>
          <w:lang w:val="en-AU"/>
        </w:rPr>
        <w:t xml:space="preserve">The funding movement from 2027-28 to 2024-25 of $700 million is to partly address Defence’s ongoing working capital requirements. This adjustment provides short term relief to increase cash reserves to meet Defence industry commitments as and when they fall due for payment. Refer Table 1 Serial 4. While the increase in working capital in 2024-25 is by way of the movement of appropriation from 2027-28, the movement will be represented as an equity injection and not as increased Defence funding. This is because the injection will be used to address existing expenditure commitments already incurred / recognised. </w:t>
      </w:r>
      <w:r w:rsidR="006C72DB" w:rsidRPr="006C72DB">
        <w:rPr>
          <w:rFonts w:ascii="Arial" w:hAnsi="Arial"/>
          <w:color w:val="000000"/>
          <w:sz w:val="14"/>
          <w:szCs w:val="16"/>
          <w:lang w:val="en-AU"/>
        </w:rPr>
        <w:tab/>
      </w:r>
      <w:r w:rsidR="006C72DB" w:rsidRPr="006C72DB">
        <w:rPr>
          <w:rFonts w:ascii="Arial" w:hAnsi="Arial"/>
          <w:color w:val="000000"/>
          <w:sz w:val="14"/>
          <w:szCs w:val="16"/>
          <w:lang w:val="en-AU"/>
        </w:rPr>
        <w:tab/>
      </w:r>
      <w:r w:rsidR="006C72DB" w:rsidRPr="006C72DB">
        <w:rPr>
          <w:rFonts w:ascii="Arial" w:hAnsi="Arial"/>
          <w:color w:val="000000"/>
          <w:sz w:val="14"/>
          <w:szCs w:val="16"/>
          <w:lang w:val="en-AU"/>
        </w:rPr>
        <w:tab/>
      </w:r>
      <w:r w:rsidR="006C72DB" w:rsidRPr="006C72DB">
        <w:rPr>
          <w:rFonts w:ascii="Arial" w:hAnsi="Arial"/>
          <w:color w:val="000000"/>
          <w:sz w:val="14"/>
          <w:szCs w:val="16"/>
          <w:lang w:val="en-AU"/>
        </w:rPr>
        <w:tab/>
      </w:r>
      <w:r w:rsidR="006C72DB" w:rsidRPr="006C72DB">
        <w:rPr>
          <w:rFonts w:ascii="Arial" w:hAnsi="Arial"/>
          <w:color w:val="000000"/>
          <w:sz w:val="14"/>
          <w:szCs w:val="16"/>
          <w:lang w:val="en-AU"/>
        </w:rPr>
        <w:tab/>
        <w:t>In 2027-28, the reduction of appropriation will not impact planned capital expenditure levels as Government has agreed Defence will operate with a Net Capital</w:t>
      </w:r>
      <w:r w:rsidR="0030332C">
        <w:rPr>
          <w:rFonts w:ascii="Arial" w:hAnsi="Arial"/>
          <w:color w:val="000000"/>
          <w:sz w:val="14"/>
          <w:szCs w:val="16"/>
          <w:lang w:val="en-AU"/>
        </w:rPr>
        <w:t xml:space="preserve"> Deficit in that financial year</w:t>
      </w:r>
      <w:r w:rsidR="006C72DB" w:rsidRPr="006C72DB">
        <w:rPr>
          <w:rFonts w:ascii="Arial" w:hAnsi="Arial"/>
          <w:color w:val="000000"/>
          <w:sz w:val="14"/>
          <w:szCs w:val="16"/>
          <w:lang w:val="en-AU"/>
        </w:rPr>
        <w:tab/>
      </w:r>
      <w:r w:rsidR="006C72DB" w:rsidRPr="006C72DB">
        <w:rPr>
          <w:rFonts w:ascii="Arial" w:hAnsi="Arial"/>
          <w:color w:val="000000"/>
          <w:sz w:val="14"/>
          <w:szCs w:val="16"/>
          <w:lang w:val="en-AU"/>
        </w:rPr>
        <w:tab/>
      </w:r>
      <w:r w:rsidR="006C72DB" w:rsidRPr="006C72DB">
        <w:rPr>
          <w:rFonts w:ascii="Arial" w:hAnsi="Arial"/>
          <w:color w:val="000000"/>
          <w:sz w:val="14"/>
          <w:szCs w:val="16"/>
          <w:lang w:val="en-AU"/>
        </w:rPr>
        <w:tab/>
      </w:r>
      <w:r w:rsidR="006C72DB" w:rsidRPr="006C72DB">
        <w:rPr>
          <w:rFonts w:ascii="Arial" w:hAnsi="Arial"/>
          <w:color w:val="000000"/>
          <w:sz w:val="14"/>
          <w:szCs w:val="16"/>
          <w:lang w:val="en-AU"/>
        </w:rPr>
        <w:tab/>
      </w:r>
      <w:r w:rsidR="0099605A">
        <w:rPr>
          <w:rFonts w:ascii="Arial" w:hAnsi="Arial"/>
          <w:color w:val="000000"/>
          <w:sz w:val="14"/>
          <w:szCs w:val="16"/>
          <w:lang w:val="en-AU"/>
        </w:rPr>
        <w:t>.</w:t>
      </w:r>
    </w:p>
    <w:p w14:paraId="39D37DFE" w14:textId="5A0499E6" w:rsidR="001F3351" w:rsidRPr="001F3351" w:rsidRDefault="001F3351" w:rsidP="001F3351">
      <w:pPr>
        <w:tabs>
          <w:tab w:val="left" w:pos="284"/>
        </w:tabs>
        <w:spacing w:before="0" w:after="0"/>
        <w:rPr>
          <w:rFonts w:ascii="Arial" w:hAnsi="Arial"/>
          <w:sz w:val="14"/>
          <w:szCs w:val="14"/>
          <w:lang w:val="en-AU"/>
        </w:rPr>
      </w:pPr>
      <w:r w:rsidRPr="001F3351">
        <w:rPr>
          <w:rFonts w:ascii="Arial" w:hAnsi="Arial"/>
          <w:sz w:val="14"/>
          <w:szCs w:val="14"/>
          <w:lang w:val="en-AU"/>
        </w:rPr>
        <w:t xml:space="preserve">b. </w:t>
      </w:r>
      <w:r>
        <w:rPr>
          <w:rFonts w:ascii="Arial" w:hAnsi="Arial"/>
          <w:sz w:val="14"/>
          <w:szCs w:val="14"/>
          <w:lang w:val="en-AU"/>
        </w:rPr>
        <w:tab/>
      </w:r>
      <w:r w:rsidRPr="001F3351">
        <w:rPr>
          <w:rFonts w:ascii="Arial" w:hAnsi="Arial"/>
          <w:sz w:val="14"/>
          <w:szCs w:val="14"/>
          <w:lang w:val="en-AU"/>
        </w:rPr>
        <w:t>Includes the following sources of funding:</w:t>
      </w:r>
      <w:r w:rsidRPr="001F3351">
        <w:rPr>
          <w:rFonts w:ascii="Arial" w:hAnsi="Arial"/>
          <w:sz w:val="14"/>
          <w:szCs w:val="14"/>
          <w:lang w:val="en-AU"/>
        </w:rPr>
        <w:tab/>
      </w:r>
      <w:r w:rsidRPr="001F3351">
        <w:rPr>
          <w:rFonts w:ascii="Arial" w:hAnsi="Arial"/>
          <w:sz w:val="14"/>
          <w:szCs w:val="14"/>
          <w:lang w:val="en-AU"/>
        </w:rPr>
        <w:tab/>
      </w:r>
      <w:r w:rsidRPr="001F3351">
        <w:rPr>
          <w:rFonts w:ascii="Arial" w:hAnsi="Arial"/>
          <w:sz w:val="14"/>
          <w:szCs w:val="14"/>
          <w:lang w:val="en-AU"/>
        </w:rPr>
        <w:tab/>
      </w:r>
    </w:p>
    <w:p w14:paraId="01955C08" w14:textId="37DED294" w:rsidR="001F3351" w:rsidRPr="001F3351" w:rsidRDefault="001F3351" w:rsidP="001F3351">
      <w:pPr>
        <w:tabs>
          <w:tab w:val="left" w:pos="284"/>
        </w:tabs>
        <w:spacing w:before="0" w:after="0"/>
        <w:rPr>
          <w:rFonts w:ascii="Arial" w:hAnsi="Arial"/>
          <w:sz w:val="14"/>
          <w:szCs w:val="14"/>
          <w:lang w:val="en-AU"/>
        </w:rPr>
      </w:pPr>
      <w:r w:rsidRPr="001F3351">
        <w:rPr>
          <w:rFonts w:ascii="Arial" w:hAnsi="Arial"/>
          <w:sz w:val="14"/>
          <w:szCs w:val="14"/>
          <w:lang w:val="en-AU"/>
        </w:rPr>
        <w:t xml:space="preserve">    </w:t>
      </w:r>
      <w:r>
        <w:rPr>
          <w:rFonts w:ascii="Arial" w:hAnsi="Arial"/>
          <w:sz w:val="14"/>
          <w:szCs w:val="14"/>
          <w:lang w:val="en-AU"/>
        </w:rPr>
        <w:tab/>
      </w:r>
      <w:r w:rsidRPr="001F3351">
        <w:rPr>
          <w:rFonts w:ascii="Arial" w:hAnsi="Arial"/>
          <w:sz w:val="14"/>
          <w:szCs w:val="14"/>
          <w:lang w:val="en-AU"/>
        </w:rPr>
        <w:t>- annual appropriations;</w:t>
      </w:r>
      <w:r w:rsidRPr="001F3351">
        <w:rPr>
          <w:rFonts w:ascii="Arial" w:hAnsi="Arial"/>
          <w:sz w:val="14"/>
          <w:szCs w:val="14"/>
          <w:lang w:val="en-AU"/>
        </w:rPr>
        <w:tab/>
      </w:r>
      <w:r w:rsidRPr="001F3351">
        <w:rPr>
          <w:rFonts w:ascii="Arial" w:hAnsi="Arial"/>
          <w:sz w:val="14"/>
          <w:szCs w:val="14"/>
          <w:lang w:val="en-AU"/>
        </w:rPr>
        <w:tab/>
      </w:r>
      <w:r w:rsidRPr="001F3351">
        <w:rPr>
          <w:rFonts w:ascii="Arial" w:hAnsi="Arial"/>
          <w:sz w:val="14"/>
          <w:szCs w:val="14"/>
          <w:lang w:val="en-AU"/>
        </w:rPr>
        <w:tab/>
      </w:r>
    </w:p>
    <w:p w14:paraId="59F861D1" w14:textId="1B04E545" w:rsidR="001F3351" w:rsidRPr="001F3351" w:rsidRDefault="001F3351" w:rsidP="001F3351">
      <w:pPr>
        <w:tabs>
          <w:tab w:val="left" w:pos="284"/>
        </w:tabs>
        <w:spacing w:before="0" w:after="0"/>
        <w:rPr>
          <w:rFonts w:ascii="Arial" w:hAnsi="Arial"/>
          <w:sz w:val="14"/>
          <w:szCs w:val="14"/>
          <w:lang w:val="en-AU"/>
        </w:rPr>
      </w:pPr>
      <w:r w:rsidRPr="001F3351">
        <w:rPr>
          <w:rFonts w:ascii="Arial" w:hAnsi="Arial"/>
          <w:sz w:val="14"/>
          <w:szCs w:val="14"/>
          <w:lang w:val="en-AU"/>
        </w:rPr>
        <w:t xml:space="preserve">    </w:t>
      </w:r>
      <w:r>
        <w:rPr>
          <w:rFonts w:ascii="Arial" w:hAnsi="Arial"/>
          <w:sz w:val="14"/>
          <w:szCs w:val="14"/>
          <w:lang w:val="en-AU"/>
        </w:rPr>
        <w:tab/>
      </w:r>
      <w:r w:rsidRPr="001F3351">
        <w:rPr>
          <w:rFonts w:ascii="Arial" w:hAnsi="Arial"/>
          <w:sz w:val="14"/>
          <w:szCs w:val="14"/>
          <w:lang w:val="en-AU"/>
        </w:rPr>
        <w:t>- donations and contributions;</w:t>
      </w:r>
      <w:r w:rsidRPr="001F3351">
        <w:rPr>
          <w:rFonts w:ascii="Arial" w:hAnsi="Arial"/>
          <w:sz w:val="14"/>
          <w:szCs w:val="14"/>
          <w:lang w:val="en-AU"/>
        </w:rPr>
        <w:tab/>
      </w:r>
      <w:r w:rsidRPr="001F3351">
        <w:rPr>
          <w:rFonts w:ascii="Arial" w:hAnsi="Arial"/>
          <w:sz w:val="14"/>
          <w:szCs w:val="14"/>
          <w:lang w:val="en-AU"/>
        </w:rPr>
        <w:tab/>
      </w:r>
      <w:r w:rsidRPr="001F3351">
        <w:rPr>
          <w:rFonts w:ascii="Arial" w:hAnsi="Arial"/>
          <w:sz w:val="14"/>
          <w:szCs w:val="14"/>
          <w:lang w:val="en-AU"/>
        </w:rPr>
        <w:tab/>
      </w:r>
    </w:p>
    <w:p w14:paraId="28CD70A3" w14:textId="14960753" w:rsidR="001F3351" w:rsidRPr="001F3351" w:rsidRDefault="001F3351" w:rsidP="001F3351">
      <w:pPr>
        <w:tabs>
          <w:tab w:val="left" w:pos="284"/>
        </w:tabs>
        <w:spacing w:before="0" w:after="0"/>
        <w:rPr>
          <w:rFonts w:ascii="Arial" w:hAnsi="Arial"/>
          <w:sz w:val="14"/>
          <w:szCs w:val="14"/>
          <w:lang w:val="en-AU"/>
        </w:rPr>
      </w:pPr>
      <w:r w:rsidRPr="001F3351">
        <w:rPr>
          <w:rFonts w:ascii="Arial" w:hAnsi="Arial"/>
          <w:sz w:val="14"/>
          <w:szCs w:val="14"/>
          <w:lang w:val="en-AU"/>
        </w:rPr>
        <w:t xml:space="preserve">    </w:t>
      </w:r>
      <w:r>
        <w:rPr>
          <w:rFonts w:ascii="Arial" w:hAnsi="Arial"/>
          <w:sz w:val="14"/>
          <w:szCs w:val="14"/>
          <w:lang w:val="en-AU"/>
        </w:rPr>
        <w:tab/>
      </w:r>
      <w:r w:rsidRPr="001F3351">
        <w:rPr>
          <w:rFonts w:ascii="Arial" w:hAnsi="Arial"/>
          <w:sz w:val="14"/>
          <w:szCs w:val="14"/>
          <w:lang w:val="en-AU"/>
        </w:rPr>
        <w:t>- gifts;</w:t>
      </w:r>
      <w:r w:rsidRPr="001F3351">
        <w:rPr>
          <w:rFonts w:ascii="Arial" w:hAnsi="Arial"/>
          <w:sz w:val="14"/>
          <w:szCs w:val="14"/>
          <w:lang w:val="en-AU"/>
        </w:rPr>
        <w:tab/>
      </w:r>
      <w:r w:rsidRPr="001F3351">
        <w:rPr>
          <w:rFonts w:ascii="Arial" w:hAnsi="Arial"/>
          <w:sz w:val="14"/>
          <w:szCs w:val="14"/>
          <w:lang w:val="en-AU"/>
        </w:rPr>
        <w:tab/>
      </w:r>
      <w:r w:rsidRPr="001F3351">
        <w:rPr>
          <w:rFonts w:ascii="Arial" w:hAnsi="Arial"/>
          <w:sz w:val="14"/>
          <w:szCs w:val="14"/>
          <w:lang w:val="en-AU"/>
        </w:rPr>
        <w:tab/>
      </w:r>
    </w:p>
    <w:p w14:paraId="6C66D6C2" w14:textId="08A5C09C" w:rsidR="001F3351" w:rsidRPr="001F3351" w:rsidRDefault="001F3351" w:rsidP="001F3351">
      <w:pPr>
        <w:tabs>
          <w:tab w:val="left" w:pos="284"/>
        </w:tabs>
        <w:spacing w:before="0" w:after="0"/>
        <w:rPr>
          <w:rFonts w:ascii="Arial" w:hAnsi="Arial"/>
          <w:sz w:val="14"/>
          <w:szCs w:val="14"/>
          <w:lang w:val="en-AU"/>
        </w:rPr>
      </w:pPr>
      <w:r w:rsidRPr="001F3351">
        <w:rPr>
          <w:rFonts w:ascii="Arial" w:hAnsi="Arial"/>
          <w:sz w:val="14"/>
          <w:szCs w:val="14"/>
          <w:lang w:val="en-AU"/>
        </w:rPr>
        <w:t xml:space="preserve">    </w:t>
      </w:r>
      <w:r>
        <w:rPr>
          <w:rFonts w:ascii="Arial" w:hAnsi="Arial"/>
          <w:sz w:val="14"/>
          <w:szCs w:val="14"/>
          <w:lang w:val="en-AU"/>
        </w:rPr>
        <w:tab/>
      </w:r>
      <w:r w:rsidRPr="001F3351">
        <w:rPr>
          <w:rFonts w:ascii="Arial" w:hAnsi="Arial"/>
          <w:sz w:val="14"/>
          <w:szCs w:val="14"/>
          <w:lang w:val="en-AU"/>
        </w:rPr>
        <w:t>- internally developed assets;</w:t>
      </w:r>
      <w:r w:rsidRPr="001F3351">
        <w:rPr>
          <w:rFonts w:ascii="Arial" w:hAnsi="Arial"/>
          <w:sz w:val="14"/>
          <w:szCs w:val="14"/>
          <w:lang w:val="en-AU"/>
        </w:rPr>
        <w:tab/>
      </w:r>
      <w:r w:rsidRPr="001F3351">
        <w:rPr>
          <w:rFonts w:ascii="Arial" w:hAnsi="Arial"/>
          <w:sz w:val="14"/>
          <w:szCs w:val="14"/>
          <w:lang w:val="en-AU"/>
        </w:rPr>
        <w:tab/>
      </w:r>
      <w:r w:rsidRPr="001F3351">
        <w:rPr>
          <w:rFonts w:ascii="Arial" w:hAnsi="Arial"/>
          <w:sz w:val="14"/>
          <w:szCs w:val="14"/>
          <w:lang w:val="en-AU"/>
        </w:rPr>
        <w:tab/>
      </w:r>
    </w:p>
    <w:p w14:paraId="4049BD7F" w14:textId="70EE6A02" w:rsidR="001F3351" w:rsidRPr="001F3351" w:rsidRDefault="001F3351" w:rsidP="001F3351">
      <w:pPr>
        <w:tabs>
          <w:tab w:val="left" w:pos="284"/>
        </w:tabs>
        <w:spacing w:before="0" w:after="0"/>
        <w:rPr>
          <w:rFonts w:ascii="Arial" w:hAnsi="Arial"/>
          <w:sz w:val="14"/>
          <w:szCs w:val="14"/>
          <w:lang w:val="en-AU"/>
        </w:rPr>
      </w:pPr>
      <w:r w:rsidRPr="001F3351">
        <w:rPr>
          <w:rFonts w:ascii="Arial" w:hAnsi="Arial"/>
          <w:sz w:val="14"/>
          <w:szCs w:val="14"/>
          <w:lang w:val="en-AU"/>
        </w:rPr>
        <w:t xml:space="preserve">    </w:t>
      </w:r>
      <w:r>
        <w:rPr>
          <w:rFonts w:ascii="Arial" w:hAnsi="Arial"/>
          <w:sz w:val="14"/>
          <w:szCs w:val="14"/>
          <w:lang w:val="en-AU"/>
        </w:rPr>
        <w:tab/>
      </w:r>
      <w:r w:rsidRPr="001F3351">
        <w:rPr>
          <w:rFonts w:ascii="Arial" w:hAnsi="Arial"/>
          <w:sz w:val="14"/>
          <w:szCs w:val="14"/>
          <w:lang w:val="en-AU"/>
        </w:rPr>
        <w:t>- s74 relevant agency receipts; and</w:t>
      </w:r>
      <w:r w:rsidRPr="001F3351">
        <w:rPr>
          <w:rFonts w:ascii="Arial" w:hAnsi="Arial"/>
          <w:sz w:val="14"/>
          <w:szCs w:val="14"/>
          <w:lang w:val="en-AU"/>
        </w:rPr>
        <w:tab/>
      </w:r>
      <w:r w:rsidRPr="001F3351">
        <w:rPr>
          <w:rFonts w:ascii="Arial" w:hAnsi="Arial"/>
          <w:sz w:val="14"/>
          <w:szCs w:val="14"/>
          <w:lang w:val="en-AU"/>
        </w:rPr>
        <w:tab/>
      </w:r>
      <w:r w:rsidRPr="001F3351">
        <w:rPr>
          <w:rFonts w:ascii="Arial" w:hAnsi="Arial"/>
          <w:sz w:val="14"/>
          <w:szCs w:val="14"/>
          <w:lang w:val="en-AU"/>
        </w:rPr>
        <w:tab/>
      </w:r>
    </w:p>
    <w:p w14:paraId="2056F361" w14:textId="7972C4D0" w:rsidR="00BA1388" w:rsidRPr="00415CB3" w:rsidRDefault="001F3351" w:rsidP="001F3351">
      <w:pPr>
        <w:tabs>
          <w:tab w:val="left" w:pos="284"/>
        </w:tabs>
        <w:spacing w:before="0" w:after="0"/>
        <w:rPr>
          <w:rFonts w:ascii="Arial" w:hAnsi="Arial"/>
          <w:sz w:val="14"/>
          <w:szCs w:val="14"/>
          <w:lang w:val="en-AU"/>
        </w:rPr>
      </w:pPr>
      <w:r w:rsidRPr="001F3351">
        <w:rPr>
          <w:rFonts w:ascii="Arial" w:hAnsi="Arial"/>
          <w:sz w:val="14"/>
          <w:szCs w:val="14"/>
          <w:lang w:val="en-AU"/>
        </w:rPr>
        <w:t xml:space="preserve">    </w:t>
      </w:r>
      <w:r>
        <w:rPr>
          <w:rFonts w:ascii="Arial" w:hAnsi="Arial"/>
          <w:sz w:val="14"/>
          <w:szCs w:val="14"/>
          <w:lang w:val="en-AU"/>
        </w:rPr>
        <w:tab/>
      </w:r>
      <w:r w:rsidRPr="001F3351">
        <w:rPr>
          <w:rFonts w:ascii="Arial" w:hAnsi="Arial"/>
          <w:sz w:val="14"/>
          <w:szCs w:val="14"/>
          <w:lang w:val="en-AU"/>
        </w:rPr>
        <w:t>- proceeds from the sale of assets.</w:t>
      </w:r>
      <w:r w:rsidRPr="001F3351">
        <w:rPr>
          <w:rFonts w:ascii="Arial" w:hAnsi="Arial"/>
          <w:sz w:val="14"/>
          <w:szCs w:val="14"/>
          <w:lang w:val="en-AU"/>
        </w:rPr>
        <w:tab/>
      </w:r>
      <w:r w:rsidRPr="001F3351">
        <w:rPr>
          <w:rFonts w:ascii="Arial" w:hAnsi="Arial"/>
          <w:sz w:val="14"/>
          <w:szCs w:val="14"/>
          <w:lang w:val="en-AU"/>
        </w:rPr>
        <w:tab/>
      </w:r>
      <w:r w:rsidRPr="001F3351">
        <w:rPr>
          <w:rFonts w:ascii="Arial" w:hAnsi="Arial"/>
          <w:sz w:val="14"/>
          <w:szCs w:val="14"/>
          <w:lang w:val="en-AU"/>
        </w:rPr>
        <w:tab/>
      </w:r>
    </w:p>
    <w:p w14:paraId="6310C499" w14:textId="77777777" w:rsidR="0092795E" w:rsidRPr="00B56FAA" w:rsidRDefault="0092795E" w:rsidP="001835C6">
      <w:pPr>
        <w:rPr>
          <w:lang w:val="en-AU"/>
        </w:rPr>
      </w:pPr>
    </w:p>
    <w:p w14:paraId="15530491" w14:textId="77777777" w:rsidR="00C40279" w:rsidRPr="00B56FAA" w:rsidRDefault="00C40279" w:rsidP="00D9100A">
      <w:pPr>
        <w:pStyle w:val="TableHeading"/>
        <w:numPr>
          <w:ilvl w:val="0"/>
          <w:numId w:val="29"/>
        </w:numPr>
        <w:ind w:left="0" w:firstLine="0"/>
        <w:rPr>
          <w:lang w:val="en-AU"/>
        </w:rPr>
        <w:sectPr w:rsidR="00C40279" w:rsidRPr="00B56FAA" w:rsidSect="00C30BE6">
          <w:pgSz w:w="11907" w:h="16840" w:code="9"/>
          <w:pgMar w:top="1701" w:right="1361" w:bottom="1701" w:left="1928" w:header="720" w:footer="720" w:gutter="0"/>
          <w:cols w:space="720"/>
          <w:noEndnote/>
        </w:sectPr>
      </w:pPr>
    </w:p>
    <w:p w14:paraId="2CE2E021" w14:textId="77777777" w:rsidR="005C2A0B" w:rsidRPr="005C2A0B" w:rsidRDefault="00003B8B" w:rsidP="00D9100A">
      <w:pPr>
        <w:pStyle w:val="TableHeading"/>
        <w:numPr>
          <w:ilvl w:val="0"/>
          <w:numId w:val="29"/>
        </w:numPr>
        <w:spacing w:before="0" w:after="80"/>
        <w:ind w:left="0" w:firstLine="0"/>
        <w:outlineLvl w:val="5"/>
      </w:pPr>
      <w:r w:rsidRPr="00D439F4">
        <w:lastRenderedPageBreak/>
        <w:t>Statement of Departmental Asset Movements (</w:t>
      </w:r>
      <w:r w:rsidR="00113DC6">
        <w:t>Budget y</w:t>
      </w:r>
      <w:r w:rsidR="00CB02AB" w:rsidRPr="00D439F4">
        <w:t xml:space="preserve">ear </w:t>
      </w:r>
      <w:r w:rsidR="0067552D" w:rsidRPr="00D439F4">
        <w:t>202</w:t>
      </w:r>
      <w:r w:rsidR="00120363">
        <w:t>5</w:t>
      </w:r>
      <w:r w:rsidR="0067552D" w:rsidRPr="00D439F4">
        <w:t>-2</w:t>
      </w:r>
      <w:r w:rsidR="00120363">
        <w:t>6</w:t>
      </w:r>
      <w:r w:rsidRPr="00D439F4">
        <w:t>)</w:t>
      </w:r>
    </w:p>
    <w:p w14:paraId="16BD2756" w14:textId="526ABDF6" w:rsidR="005738C3" w:rsidRPr="00B56FAA" w:rsidRDefault="00ED421F" w:rsidP="0008019D">
      <w:pPr>
        <w:spacing w:before="0" w:after="0"/>
      </w:pPr>
      <w:r w:rsidRPr="00ED421F">
        <w:rPr>
          <w:noProof/>
          <w:lang w:val="en-AU"/>
        </w:rPr>
        <w:drawing>
          <wp:inline distT="0" distB="0" distL="0" distR="0" wp14:anchorId="0AF954FA" wp14:editId="5A0A4629">
            <wp:extent cx="7973568" cy="4927794"/>
            <wp:effectExtent l="0" t="0" r="8890" b="6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004648" cy="4947002"/>
                    </a:xfrm>
                    <a:prstGeom prst="rect">
                      <a:avLst/>
                    </a:prstGeom>
                    <a:noFill/>
                    <a:ln>
                      <a:noFill/>
                    </a:ln>
                  </pic:spPr>
                </pic:pic>
              </a:graphicData>
            </a:graphic>
          </wp:inline>
        </w:drawing>
      </w:r>
    </w:p>
    <w:p w14:paraId="719ABD72" w14:textId="77777777" w:rsidR="00D439F4" w:rsidRDefault="00D439F4" w:rsidP="0008019D">
      <w:pPr>
        <w:spacing w:before="0" w:after="0"/>
        <w:rPr>
          <w:rFonts w:ascii="Arial" w:hAnsi="Arial"/>
          <w:b/>
          <w:sz w:val="14"/>
          <w:szCs w:val="14"/>
        </w:rPr>
      </w:pPr>
      <w:r>
        <w:rPr>
          <w:rFonts w:ascii="Arial" w:hAnsi="Arial"/>
          <w:b/>
          <w:sz w:val="14"/>
          <w:szCs w:val="14"/>
        </w:rPr>
        <w:t>Notes</w:t>
      </w:r>
    </w:p>
    <w:p w14:paraId="481F456B" w14:textId="0F042F0A" w:rsidR="00912C0B" w:rsidRPr="00912C0B" w:rsidRDefault="00D439F4" w:rsidP="00912C0B">
      <w:pPr>
        <w:spacing w:before="0" w:after="0"/>
        <w:ind w:left="284" w:hanging="284"/>
        <w:rPr>
          <w:rFonts w:ascii="Arial" w:hAnsi="Arial"/>
          <w:sz w:val="14"/>
          <w:szCs w:val="14"/>
        </w:rPr>
      </w:pPr>
      <w:r w:rsidRPr="00D439F4">
        <w:rPr>
          <w:rFonts w:ascii="Arial" w:hAnsi="Arial"/>
          <w:sz w:val="14"/>
          <w:szCs w:val="14"/>
        </w:rPr>
        <w:t xml:space="preserve">a. </w:t>
      </w:r>
      <w:r w:rsidR="00912C0B">
        <w:rPr>
          <w:rFonts w:ascii="Arial" w:hAnsi="Arial"/>
          <w:sz w:val="14"/>
          <w:szCs w:val="14"/>
        </w:rPr>
        <w:tab/>
      </w:r>
      <w:r w:rsidR="00912C0B" w:rsidRPr="00912C0B">
        <w:rPr>
          <w:rFonts w:ascii="Arial" w:hAnsi="Arial"/>
          <w:sz w:val="14"/>
          <w:szCs w:val="14"/>
        </w:rPr>
        <w:t>Reclassifications includes assets first found.</w:t>
      </w:r>
    </w:p>
    <w:p w14:paraId="5BF5EAA6" w14:textId="75E6D24E" w:rsidR="00C40279" w:rsidRDefault="00912C0B" w:rsidP="009973C3">
      <w:pPr>
        <w:spacing w:before="0" w:after="0"/>
        <w:ind w:left="284" w:hanging="284"/>
        <w:rPr>
          <w:lang w:val="en-AU"/>
        </w:rPr>
      </w:pPr>
      <w:r w:rsidRPr="00912C0B">
        <w:rPr>
          <w:rFonts w:ascii="Arial" w:hAnsi="Arial"/>
          <w:sz w:val="14"/>
          <w:szCs w:val="14"/>
        </w:rPr>
        <w:t xml:space="preserve">b. </w:t>
      </w:r>
      <w:r>
        <w:rPr>
          <w:rFonts w:ascii="Arial" w:hAnsi="Arial"/>
          <w:sz w:val="14"/>
          <w:szCs w:val="14"/>
        </w:rPr>
        <w:tab/>
      </w:r>
      <w:r w:rsidRPr="00912C0B">
        <w:rPr>
          <w:rFonts w:ascii="Arial" w:hAnsi="Arial"/>
          <w:sz w:val="14"/>
          <w:szCs w:val="14"/>
        </w:rPr>
        <w:t>Other disposals includes write-offs.</w:t>
      </w:r>
      <w:r w:rsidR="009973C3">
        <w:rPr>
          <w:rFonts w:ascii="Arial" w:hAnsi="Arial"/>
          <w:sz w:val="14"/>
          <w:szCs w:val="14"/>
        </w:rPr>
        <w:tab/>
      </w:r>
    </w:p>
    <w:p w14:paraId="0437C883" w14:textId="77777777" w:rsidR="003A1B33" w:rsidRPr="003A1B33" w:rsidRDefault="003A1B33" w:rsidP="003A1B33">
      <w:pPr>
        <w:rPr>
          <w:lang w:val="en-AU"/>
        </w:rPr>
        <w:sectPr w:rsidR="003A1B33" w:rsidRPr="003A1B33" w:rsidSect="00C30BE6">
          <w:headerReference w:type="even" r:id="rId93"/>
          <w:headerReference w:type="default" r:id="rId94"/>
          <w:footerReference w:type="even" r:id="rId95"/>
          <w:footerReference w:type="default" r:id="rId96"/>
          <w:pgSz w:w="16840" w:h="11907" w:orient="landscape" w:code="9"/>
          <w:pgMar w:top="1928" w:right="1701" w:bottom="1361" w:left="1701" w:header="720" w:footer="720" w:gutter="0"/>
          <w:cols w:space="720"/>
          <w:noEndnote/>
          <w:docGrid w:linePitch="272"/>
        </w:sectPr>
      </w:pPr>
    </w:p>
    <w:p w14:paraId="6B13F3C6" w14:textId="77777777" w:rsidR="00003B8B" w:rsidRPr="00BB7383" w:rsidRDefault="00003B8B" w:rsidP="00D9100A">
      <w:pPr>
        <w:pStyle w:val="TableHeading"/>
        <w:numPr>
          <w:ilvl w:val="0"/>
          <w:numId w:val="29"/>
        </w:numPr>
        <w:spacing w:before="0"/>
        <w:ind w:left="0" w:firstLine="0"/>
        <w:outlineLvl w:val="5"/>
      </w:pPr>
      <w:r w:rsidRPr="00BB7383">
        <w:lastRenderedPageBreak/>
        <w:t>Schedule of Budgeted Income and Expenses Administered on Behalf of Government (for the period ended 30 June)</w:t>
      </w:r>
    </w:p>
    <w:p w14:paraId="777BD6E2" w14:textId="607395EA" w:rsidR="0092795E" w:rsidRDefault="00ED421F" w:rsidP="001835C6">
      <w:pPr>
        <w:rPr>
          <w:lang w:val="en-AU"/>
        </w:rPr>
      </w:pPr>
      <w:r w:rsidRPr="00ED421F">
        <w:rPr>
          <w:noProof/>
          <w:lang w:val="en-AU"/>
        </w:rPr>
        <w:drawing>
          <wp:inline distT="0" distB="0" distL="0" distR="0" wp14:anchorId="110CA3B8" wp14:editId="5FF20C55">
            <wp:extent cx="5472430" cy="2913891"/>
            <wp:effectExtent l="0" t="0" r="0" b="127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72430" cy="2913891"/>
                    </a:xfrm>
                    <a:prstGeom prst="rect">
                      <a:avLst/>
                    </a:prstGeom>
                    <a:noFill/>
                    <a:ln>
                      <a:noFill/>
                    </a:ln>
                  </pic:spPr>
                </pic:pic>
              </a:graphicData>
            </a:graphic>
          </wp:inline>
        </w:drawing>
      </w:r>
    </w:p>
    <w:p w14:paraId="4D4B0BFF" w14:textId="77777777" w:rsidR="00A30136" w:rsidRPr="00B56FAA" w:rsidRDefault="00A30136" w:rsidP="001835C6">
      <w:pPr>
        <w:rPr>
          <w:lang w:val="en-AU"/>
        </w:rPr>
      </w:pPr>
    </w:p>
    <w:p w14:paraId="64EF81ED" w14:textId="5FB4DF02" w:rsidR="00003B8B" w:rsidRPr="00BB7383" w:rsidRDefault="00003B8B" w:rsidP="00D9100A">
      <w:pPr>
        <w:pStyle w:val="TableHeading"/>
        <w:numPr>
          <w:ilvl w:val="0"/>
          <w:numId w:val="29"/>
        </w:numPr>
        <w:spacing w:before="0" w:after="120"/>
        <w:ind w:left="0" w:firstLine="0"/>
        <w:outlineLvl w:val="5"/>
      </w:pPr>
      <w:r w:rsidRPr="00BB7383">
        <w:t>Schedule of Budgeted Assets and Liabilities Administered on Behalf of Government (as at 30 June)</w:t>
      </w:r>
    </w:p>
    <w:p w14:paraId="53585B9B" w14:textId="251C1577" w:rsidR="0092795E" w:rsidRPr="00B56FAA" w:rsidRDefault="00ED421F" w:rsidP="0008019D">
      <w:pPr>
        <w:spacing w:before="0" w:after="0"/>
      </w:pPr>
      <w:r w:rsidRPr="00ED421F">
        <w:rPr>
          <w:noProof/>
          <w:lang w:val="en-AU"/>
        </w:rPr>
        <w:drawing>
          <wp:inline distT="0" distB="0" distL="0" distR="0" wp14:anchorId="4320FD77" wp14:editId="531DC612">
            <wp:extent cx="5472430" cy="3858711"/>
            <wp:effectExtent l="0" t="0" r="0" b="889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72430" cy="3858711"/>
                    </a:xfrm>
                    <a:prstGeom prst="rect">
                      <a:avLst/>
                    </a:prstGeom>
                    <a:noFill/>
                    <a:ln>
                      <a:noFill/>
                    </a:ln>
                  </pic:spPr>
                </pic:pic>
              </a:graphicData>
            </a:graphic>
          </wp:inline>
        </w:drawing>
      </w:r>
    </w:p>
    <w:p w14:paraId="7FBF2278" w14:textId="77777777" w:rsidR="0008019D" w:rsidRPr="00B56FAA" w:rsidRDefault="0008019D" w:rsidP="0008019D">
      <w:pPr>
        <w:spacing w:before="0" w:after="0"/>
        <w:rPr>
          <w:rFonts w:ascii="Arial" w:hAnsi="Arial"/>
          <w:b/>
          <w:sz w:val="14"/>
          <w:szCs w:val="14"/>
          <w:lang w:val="en-AU"/>
        </w:rPr>
      </w:pPr>
    </w:p>
    <w:p w14:paraId="629A5BA4" w14:textId="77777777" w:rsidR="00CB045C" w:rsidRPr="00B56FAA" w:rsidRDefault="00CB045C" w:rsidP="003B237F">
      <w:pPr>
        <w:tabs>
          <w:tab w:val="left" w:pos="284"/>
        </w:tabs>
        <w:spacing w:before="0" w:after="0"/>
        <w:rPr>
          <w:rFonts w:ascii="Arial" w:hAnsi="Arial"/>
          <w:sz w:val="14"/>
          <w:szCs w:val="14"/>
          <w:lang w:val="en-AU"/>
        </w:rPr>
      </w:pPr>
    </w:p>
    <w:p w14:paraId="56BA7AC5" w14:textId="77777777" w:rsidR="00003B8B" w:rsidRPr="00373A38" w:rsidRDefault="00C01706" w:rsidP="00D9100A">
      <w:pPr>
        <w:pStyle w:val="TableHeading"/>
        <w:numPr>
          <w:ilvl w:val="0"/>
          <w:numId w:val="29"/>
        </w:numPr>
        <w:spacing w:before="0" w:after="120"/>
        <w:ind w:left="0" w:firstLine="0"/>
        <w:outlineLvl w:val="5"/>
      </w:pPr>
      <w:r w:rsidRPr="00B56FAA">
        <w:rPr>
          <w:lang w:val="en-AU"/>
        </w:rPr>
        <w:br w:type="page"/>
      </w:r>
      <w:r w:rsidR="00003B8B" w:rsidRPr="00373A38">
        <w:lastRenderedPageBreak/>
        <w:t>Schedule of Budgeted Administered Cash Flows (for the period ended 30 June)</w:t>
      </w:r>
    </w:p>
    <w:p w14:paraId="4B04A963" w14:textId="1BA8EB2F" w:rsidR="0092795E" w:rsidRPr="00B56FAA" w:rsidRDefault="00ED421F" w:rsidP="0008019D">
      <w:pPr>
        <w:spacing w:before="0" w:after="0"/>
      </w:pPr>
      <w:r w:rsidRPr="00ED421F">
        <w:rPr>
          <w:noProof/>
          <w:lang w:val="en-AU"/>
        </w:rPr>
        <w:drawing>
          <wp:inline distT="0" distB="0" distL="0" distR="0" wp14:anchorId="614CD7A8" wp14:editId="7910D07E">
            <wp:extent cx="5472430" cy="4845909"/>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72430" cy="4845909"/>
                    </a:xfrm>
                    <a:prstGeom prst="rect">
                      <a:avLst/>
                    </a:prstGeom>
                    <a:noFill/>
                    <a:ln>
                      <a:noFill/>
                    </a:ln>
                  </pic:spPr>
                </pic:pic>
              </a:graphicData>
            </a:graphic>
          </wp:inline>
        </w:drawing>
      </w:r>
    </w:p>
    <w:p w14:paraId="0CE3224B" w14:textId="44FE0DC6" w:rsidR="0008019D" w:rsidRDefault="0008019D" w:rsidP="0008019D">
      <w:pPr>
        <w:spacing w:before="0" w:after="0"/>
        <w:rPr>
          <w:rFonts w:ascii="Arial" w:hAnsi="Arial"/>
          <w:b/>
          <w:sz w:val="14"/>
          <w:szCs w:val="14"/>
          <w:lang w:val="en-AU"/>
        </w:rPr>
      </w:pPr>
    </w:p>
    <w:p w14:paraId="616335C7" w14:textId="49EE6BAC" w:rsidR="00833A15" w:rsidRDefault="00833A15" w:rsidP="0008019D">
      <w:pPr>
        <w:spacing w:before="0" w:after="0"/>
        <w:rPr>
          <w:rFonts w:ascii="Arial" w:hAnsi="Arial"/>
          <w:b/>
          <w:sz w:val="14"/>
          <w:szCs w:val="14"/>
          <w:lang w:val="en-AU"/>
        </w:rPr>
      </w:pPr>
    </w:p>
    <w:p w14:paraId="5AA574D5" w14:textId="10B678D1" w:rsidR="00833A15" w:rsidRDefault="00833A15" w:rsidP="0008019D">
      <w:pPr>
        <w:spacing w:before="0" w:after="0"/>
        <w:rPr>
          <w:rFonts w:ascii="Arial" w:hAnsi="Arial"/>
          <w:b/>
          <w:sz w:val="14"/>
          <w:szCs w:val="14"/>
          <w:lang w:val="en-AU"/>
        </w:rPr>
      </w:pPr>
    </w:p>
    <w:p w14:paraId="3CA4583F" w14:textId="77777777" w:rsidR="00833A15" w:rsidRPr="00B56FAA" w:rsidRDefault="00833A15" w:rsidP="0008019D">
      <w:pPr>
        <w:spacing w:before="0" w:after="0"/>
        <w:rPr>
          <w:rFonts w:ascii="Arial" w:hAnsi="Arial"/>
          <w:b/>
          <w:sz w:val="14"/>
          <w:szCs w:val="14"/>
          <w:lang w:val="en-AU"/>
        </w:rPr>
      </w:pPr>
    </w:p>
    <w:p w14:paraId="4A55A83E" w14:textId="77777777" w:rsidR="00A30136" w:rsidRDefault="00A30136" w:rsidP="002E39F8">
      <w:pPr>
        <w:pStyle w:val="Heading4level5"/>
        <w:spacing w:before="0" w:after="200"/>
      </w:pPr>
    </w:p>
    <w:p w14:paraId="00A75D3C" w14:textId="59EBE8FA" w:rsidR="00003B8B" w:rsidRPr="00B56FAA" w:rsidRDefault="00003B8B" w:rsidP="002E39F8">
      <w:pPr>
        <w:pStyle w:val="Heading4level5"/>
        <w:spacing w:before="0" w:after="200"/>
      </w:pPr>
      <w:r w:rsidRPr="00B56FAA">
        <w:t>3.3.2 No</w:t>
      </w:r>
      <w:r w:rsidR="0092795E" w:rsidRPr="00B56FAA">
        <w:t>tes to the</w:t>
      </w:r>
      <w:r w:rsidR="0064795B" w:rsidRPr="00B56FAA">
        <w:t xml:space="preserve"> Budgeted</w:t>
      </w:r>
      <w:r w:rsidR="0092795E" w:rsidRPr="00B56FAA">
        <w:t xml:space="preserve"> Financial Statements</w:t>
      </w:r>
    </w:p>
    <w:p w14:paraId="1E4FF820" w14:textId="2943CC61" w:rsidR="00415EEF" w:rsidRPr="00B56FAA" w:rsidRDefault="00003B8B" w:rsidP="007F0122">
      <w:pPr>
        <w:spacing w:before="120" w:after="120"/>
        <w:rPr>
          <w:lang w:val="en-AU"/>
        </w:rPr>
      </w:pPr>
      <w:r w:rsidRPr="00B56FAA">
        <w:t xml:space="preserve">The </w:t>
      </w:r>
      <w:r w:rsidR="0064795B" w:rsidRPr="00B56FAA">
        <w:t xml:space="preserve">budgeted </w:t>
      </w:r>
      <w:r w:rsidRPr="00B56FAA">
        <w:t xml:space="preserve">financial statements have been prepared in accordance with the Australian Accounting Standards and the </w:t>
      </w:r>
      <w:r w:rsidRPr="00B56FAA">
        <w:rPr>
          <w:i/>
        </w:rPr>
        <w:t>Public Governance, Performance and Accountability (Financial Reporting) Rule 2015 (FRR)</w:t>
      </w:r>
      <w:r w:rsidRPr="00B56FAA">
        <w:t>.</w:t>
      </w:r>
      <w:bookmarkStart w:id="842" w:name="_Toc512946463"/>
      <w:bookmarkStart w:id="843" w:name="_Toc512946537"/>
      <w:bookmarkStart w:id="844" w:name="_Toc536089235"/>
      <w:bookmarkStart w:id="845" w:name="_Toc536089495"/>
      <w:bookmarkStart w:id="846" w:name="_Toc536089601"/>
      <w:bookmarkStart w:id="847" w:name="_Toc1561686"/>
      <w:bookmarkStart w:id="848" w:name="_Toc51691683"/>
      <w:r w:rsidR="00415EEF" w:rsidRPr="00B56FAA">
        <w:rPr>
          <w:lang w:val="en-AU"/>
        </w:rPr>
        <w:br w:type="page"/>
      </w:r>
    </w:p>
    <w:p w14:paraId="7CEEA6CB" w14:textId="77777777" w:rsidR="00415EEF" w:rsidRPr="00B56FAA" w:rsidRDefault="00415EEF" w:rsidP="00415EEF">
      <w:pPr>
        <w:ind w:left="2" w:firstLine="1"/>
        <w:jc w:val="center"/>
        <w:rPr>
          <w:lang w:val="en-AU"/>
        </w:rPr>
      </w:pPr>
    </w:p>
    <w:p w14:paraId="6A81C705" w14:textId="77777777" w:rsidR="00415EEF" w:rsidRPr="00B56FAA" w:rsidRDefault="00415EEF" w:rsidP="00415EEF">
      <w:pPr>
        <w:ind w:left="2" w:firstLine="1"/>
        <w:jc w:val="center"/>
        <w:rPr>
          <w:lang w:val="en-AU"/>
        </w:rPr>
      </w:pPr>
    </w:p>
    <w:p w14:paraId="0FBD0A6C" w14:textId="77777777" w:rsidR="00415EEF" w:rsidRPr="00B56FAA" w:rsidRDefault="00415EEF" w:rsidP="00415EEF">
      <w:pPr>
        <w:ind w:left="2" w:firstLine="1"/>
        <w:jc w:val="center"/>
        <w:rPr>
          <w:lang w:val="en-AU"/>
        </w:rPr>
      </w:pPr>
    </w:p>
    <w:p w14:paraId="62459185" w14:textId="77777777" w:rsidR="00415EEF" w:rsidRPr="00B56FAA" w:rsidRDefault="00415EEF" w:rsidP="00415EEF">
      <w:pPr>
        <w:ind w:left="2" w:firstLine="1"/>
        <w:jc w:val="center"/>
        <w:rPr>
          <w:lang w:val="en-AU"/>
        </w:rPr>
      </w:pPr>
    </w:p>
    <w:p w14:paraId="21EC95AD" w14:textId="77777777" w:rsidR="00415EEF" w:rsidRPr="00B56FAA" w:rsidRDefault="00415EEF" w:rsidP="00415EEF">
      <w:pPr>
        <w:ind w:left="2" w:firstLine="1"/>
        <w:jc w:val="center"/>
        <w:rPr>
          <w:lang w:val="en-AU"/>
        </w:rPr>
      </w:pPr>
    </w:p>
    <w:p w14:paraId="0C36D914" w14:textId="77777777" w:rsidR="00415EEF" w:rsidRPr="00B56FAA" w:rsidRDefault="00415EEF" w:rsidP="00415EEF">
      <w:pPr>
        <w:ind w:left="2" w:firstLine="1"/>
        <w:jc w:val="center"/>
        <w:rPr>
          <w:lang w:val="en-AU"/>
        </w:rPr>
      </w:pPr>
    </w:p>
    <w:p w14:paraId="2F3295D4" w14:textId="77777777" w:rsidR="00415EEF" w:rsidRPr="00B56FAA" w:rsidRDefault="00415EEF" w:rsidP="00415EEF">
      <w:pPr>
        <w:ind w:left="2" w:firstLine="1"/>
        <w:jc w:val="center"/>
        <w:rPr>
          <w:lang w:val="en-AU"/>
        </w:rPr>
      </w:pPr>
    </w:p>
    <w:p w14:paraId="42AABD62" w14:textId="77777777" w:rsidR="00415EEF" w:rsidRPr="00B56FAA" w:rsidRDefault="00415EEF" w:rsidP="00415EEF">
      <w:pPr>
        <w:ind w:left="2" w:firstLine="1"/>
        <w:jc w:val="center"/>
        <w:rPr>
          <w:lang w:val="en-AU"/>
        </w:rPr>
      </w:pPr>
    </w:p>
    <w:p w14:paraId="2B302A80" w14:textId="77777777" w:rsidR="00415EEF" w:rsidRPr="00B56FAA" w:rsidRDefault="00415EEF" w:rsidP="00415EEF">
      <w:pPr>
        <w:ind w:left="2" w:firstLine="1"/>
        <w:jc w:val="center"/>
        <w:rPr>
          <w:lang w:val="en-AU"/>
        </w:rPr>
      </w:pPr>
    </w:p>
    <w:p w14:paraId="71DB386E" w14:textId="77777777" w:rsidR="00415EEF" w:rsidRPr="00B56FAA" w:rsidRDefault="00415EEF" w:rsidP="00415EEF">
      <w:pPr>
        <w:ind w:left="2" w:firstLine="1"/>
        <w:jc w:val="center"/>
        <w:rPr>
          <w:lang w:val="en-AU"/>
        </w:rPr>
      </w:pPr>
    </w:p>
    <w:p w14:paraId="0210BC31" w14:textId="77777777" w:rsidR="00415EEF" w:rsidRPr="00B56FAA" w:rsidRDefault="00415EEF" w:rsidP="00415EEF">
      <w:pPr>
        <w:ind w:left="2" w:firstLine="1"/>
        <w:jc w:val="center"/>
        <w:rPr>
          <w:lang w:val="en-AU"/>
        </w:rPr>
      </w:pPr>
    </w:p>
    <w:p w14:paraId="57104A63" w14:textId="77777777" w:rsidR="00415EEF" w:rsidRPr="00B56FAA" w:rsidRDefault="00415EEF" w:rsidP="00415EEF">
      <w:pPr>
        <w:ind w:left="2" w:firstLine="1"/>
        <w:jc w:val="center"/>
        <w:rPr>
          <w:lang w:val="en-AU"/>
        </w:rPr>
      </w:pPr>
    </w:p>
    <w:p w14:paraId="2702A6B7" w14:textId="77777777" w:rsidR="00415EEF" w:rsidRPr="00B56FAA" w:rsidRDefault="00415EEF" w:rsidP="00415EEF">
      <w:pPr>
        <w:ind w:left="2" w:firstLine="1"/>
        <w:jc w:val="center"/>
        <w:rPr>
          <w:lang w:val="en-AU"/>
        </w:rPr>
      </w:pPr>
      <w:r w:rsidRPr="00B56FAA">
        <w:rPr>
          <w:lang w:val="en-AU"/>
        </w:rPr>
        <w:t>This page intentionally left blank.</w:t>
      </w:r>
    </w:p>
    <w:p w14:paraId="2BC2706E" w14:textId="77777777" w:rsidR="00415EEF" w:rsidRPr="00B56FAA" w:rsidRDefault="00415EEF" w:rsidP="00415EEF">
      <w:pPr>
        <w:pStyle w:val="BodyText"/>
        <w:rPr>
          <w:lang w:val="en-AU"/>
        </w:rPr>
      </w:pPr>
    </w:p>
    <w:p w14:paraId="5D5FFD68" w14:textId="77777777" w:rsidR="00EC1C4B" w:rsidRPr="00B56FAA" w:rsidRDefault="00EC1C4B" w:rsidP="00EC1C4B">
      <w:pPr>
        <w:ind w:left="2" w:firstLine="1"/>
        <w:rPr>
          <w:lang w:val="en-AU"/>
        </w:rPr>
      </w:pPr>
    </w:p>
    <w:p w14:paraId="468969A1" w14:textId="77777777" w:rsidR="00EC1C4B" w:rsidRPr="00B56FAA" w:rsidRDefault="00EC1C4B" w:rsidP="00EC1C4B">
      <w:pPr>
        <w:ind w:left="2" w:firstLine="1"/>
        <w:sectPr w:rsidR="00EC1C4B" w:rsidRPr="00B56FAA" w:rsidSect="00C30BE6">
          <w:headerReference w:type="even" r:id="rId100"/>
          <w:headerReference w:type="default" r:id="rId101"/>
          <w:footerReference w:type="even" r:id="rId102"/>
          <w:footerReference w:type="default" r:id="rId103"/>
          <w:pgSz w:w="11907" w:h="16840" w:code="9"/>
          <w:pgMar w:top="1701" w:right="1361" w:bottom="1701" w:left="1928" w:header="720" w:footer="720" w:gutter="0"/>
          <w:cols w:space="720"/>
          <w:noEndnote/>
        </w:sectPr>
      </w:pPr>
    </w:p>
    <w:p w14:paraId="20A62014" w14:textId="77777777" w:rsidR="00454427" w:rsidRPr="00B56FAA" w:rsidRDefault="001C2D62" w:rsidP="000570FA">
      <w:pPr>
        <w:pStyle w:val="Heading2level3"/>
        <w:spacing w:before="0" w:after="360"/>
        <w:rPr>
          <w:noProof/>
          <w:sz w:val="20"/>
          <w:szCs w:val="20"/>
        </w:rPr>
      </w:pPr>
      <w:bookmarkStart w:id="849" w:name="_Toc69729051"/>
      <w:bookmarkStart w:id="850" w:name="_Toc69917846"/>
      <w:bookmarkStart w:id="851" w:name="_Toc97747835"/>
      <w:bookmarkStart w:id="852" w:name="_Toc108088946"/>
      <w:bookmarkStart w:id="853" w:name="_Toc108089420"/>
      <w:bookmarkStart w:id="854" w:name="_Toc109227295"/>
      <w:bookmarkStart w:id="855" w:name="_Toc109227742"/>
      <w:bookmarkStart w:id="856" w:name="_Toc158896248"/>
      <w:bookmarkStart w:id="857" w:name="_Toc158896305"/>
      <w:bookmarkStart w:id="858" w:name="_Toc159499690"/>
      <w:bookmarkStart w:id="859" w:name="_Toc159857676"/>
      <w:bookmarkStart w:id="860" w:name="_Toc159857755"/>
      <w:bookmarkStart w:id="861" w:name="_Toc159858151"/>
      <w:bookmarkStart w:id="862" w:name="_Toc159858816"/>
      <w:bookmarkStart w:id="863" w:name="_Toc159858886"/>
      <w:bookmarkStart w:id="864" w:name="_Toc159859107"/>
      <w:bookmarkStart w:id="865" w:name="_Toc159859259"/>
      <w:bookmarkStart w:id="866" w:name="_Toc159862286"/>
      <w:bookmarkStart w:id="867" w:name="_Toc159862476"/>
      <w:bookmarkStart w:id="868" w:name="_Toc108089025"/>
      <w:r w:rsidRPr="00B56FAA">
        <w:rPr>
          <w:rFonts w:ascii="Arial Bold" w:hAnsi="Arial Bold"/>
          <w:b/>
          <w:sz w:val="34"/>
          <w:szCs w:val="34"/>
        </w:rPr>
        <w:lastRenderedPageBreak/>
        <w:t>Appendices</w:t>
      </w:r>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r w:rsidR="00EC72F7" w:rsidRPr="00B56FAA">
        <w:rPr>
          <w:b/>
          <w:kern w:val="32"/>
          <w:sz w:val="20"/>
          <w:szCs w:val="20"/>
        </w:rPr>
        <w:fldChar w:fldCharType="begin"/>
      </w:r>
      <w:r w:rsidR="00EC72F7" w:rsidRPr="00B56FAA">
        <w:rPr>
          <w:b/>
          <w:kern w:val="32"/>
          <w:sz w:val="20"/>
          <w:szCs w:val="20"/>
        </w:rPr>
        <w:instrText xml:space="preserve"> TOC \o "1-4" \h \z \u </w:instrText>
      </w:r>
      <w:r w:rsidR="00EC72F7" w:rsidRPr="00B56FAA">
        <w:rPr>
          <w:b/>
          <w:kern w:val="32"/>
          <w:sz w:val="20"/>
          <w:szCs w:val="20"/>
        </w:rPr>
        <w:fldChar w:fldCharType="separate"/>
      </w:r>
    </w:p>
    <w:p w14:paraId="202969E5" w14:textId="35C24E13" w:rsidR="00454427" w:rsidRPr="00B56FAA" w:rsidRDefault="00004E68" w:rsidP="008C00B8">
      <w:pPr>
        <w:pStyle w:val="TOC4"/>
        <w:rPr>
          <w:lang w:val="en-AU"/>
        </w:rPr>
      </w:pPr>
      <w:hyperlink w:anchor="_Toc108089421" w:history="1">
        <w:r w:rsidR="00454427" w:rsidRPr="00B56FAA">
          <w:rPr>
            <w:rStyle w:val="Hyperlink"/>
            <w:rFonts w:ascii="Arial" w:hAnsi="Arial"/>
            <w:szCs w:val="20"/>
          </w:rPr>
          <w:t>Appendix A: Defence Cooperation Program</w:t>
        </w:r>
        <w:r w:rsidR="00454427" w:rsidRPr="00B56FAA">
          <w:rPr>
            <w:webHidden/>
          </w:rPr>
          <w:tab/>
        </w:r>
        <w:r w:rsidR="00454427" w:rsidRPr="00B56FAA">
          <w:rPr>
            <w:webHidden/>
          </w:rPr>
          <w:fldChar w:fldCharType="begin"/>
        </w:r>
        <w:r w:rsidR="00454427" w:rsidRPr="00B56FAA">
          <w:rPr>
            <w:webHidden/>
          </w:rPr>
          <w:instrText xml:space="preserve"> PAGEREF _Toc108089421 \h </w:instrText>
        </w:r>
        <w:r w:rsidR="00454427" w:rsidRPr="00B56FAA">
          <w:rPr>
            <w:webHidden/>
          </w:rPr>
        </w:r>
        <w:r w:rsidR="00454427" w:rsidRPr="00B56FAA">
          <w:rPr>
            <w:webHidden/>
          </w:rPr>
          <w:fldChar w:fldCharType="separate"/>
        </w:r>
        <w:r w:rsidR="002533F1">
          <w:rPr>
            <w:webHidden/>
          </w:rPr>
          <w:t>118</w:t>
        </w:r>
        <w:r w:rsidR="00454427" w:rsidRPr="00B56FAA">
          <w:rPr>
            <w:webHidden/>
          </w:rPr>
          <w:fldChar w:fldCharType="end"/>
        </w:r>
      </w:hyperlink>
    </w:p>
    <w:p w14:paraId="6FD04CBB" w14:textId="0733FAB4" w:rsidR="00454427" w:rsidRPr="00B56FAA" w:rsidRDefault="00004E68" w:rsidP="008C00B8">
      <w:pPr>
        <w:pStyle w:val="TOC4"/>
        <w:rPr>
          <w:lang w:val="en-AU"/>
        </w:rPr>
      </w:pPr>
      <w:hyperlink w:anchor="_Toc108089422" w:history="1">
        <w:r w:rsidR="00454427" w:rsidRPr="00B56FAA">
          <w:rPr>
            <w:rStyle w:val="Hyperlink"/>
            <w:rFonts w:ascii="Arial" w:hAnsi="Arial"/>
            <w:szCs w:val="20"/>
          </w:rPr>
          <w:t>Appendix B: Top 30 Military Equipment Acquisition Program Approved Projects</w:t>
        </w:r>
        <w:r w:rsidR="00454427" w:rsidRPr="00B56FAA">
          <w:rPr>
            <w:webHidden/>
          </w:rPr>
          <w:tab/>
        </w:r>
        <w:r w:rsidR="00454427" w:rsidRPr="00B56FAA">
          <w:rPr>
            <w:webHidden/>
          </w:rPr>
          <w:fldChar w:fldCharType="begin"/>
        </w:r>
        <w:r w:rsidR="00454427" w:rsidRPr="00B56FAA">
          <w:rPr>
            <w:webHidden/>
          </w:rPr>
          <w:instrText xml:space="preserve"> PAGEREF _Toc108089422 \h </w:instrText>
        </w:r>
        <w:r w:rsidR="00454427" w:rsidRPr="00B56FAA">
          <w:rPr>
            <w:webHidden/>
          </w:rPr>
        </w:r>
        <w:r w:rsidR="00454427" w:rsidRPr="00B56FAA">
          <w:rPr>
            <w:webHidden/>
          </w:rPr>
          <w:fldChar w:fldCharType="separate"/>
        </w:r>
        <w:r w:rsidR="002533F1">
          <w:rPr>
            <w:webHidden/>
          </w:rPr>
          <w:t>120</w:t>
        </w:r>
        <w:r w:rsidR="00454427" w:rsidRPr="00B56FAA">
          <w:rPr>
            <w:webHidden/>
          </w:rPr>
          <w:fldChar w:fldCharType="end"/>
        </w:r>
      </w:hyperlink>
    </w:p>
    <w:p w14:paraId="251C9A45" w14:textId="32E51E5E" w:rsidR="00454427" w:rsidRPr="00B56FAA" w:rsidRDefault="00004E68" w:rsidP="008C00B8">
      <w:pPr>
        <w:pStyle w:val="TOC4"/>
        <w:rPr>
          <w:lang w:val="en-AU"/>
        </w:rPr>
      </w:pPr>
      <w:hyperlink w:anchor="_Toc108089423" w:history="1">
        <w:r w:rsidR="00454427" w:rsidRPr="00B56FAA">
          <w:rPr>
            <w:rStyle w:val="Hyperlink"/>
            <w:rFonts w:ascii="Arial" w:hAnsi="Arial"/>
            <w:szCs w:val="20"/>
          </w:rPr>
          <w:t>Appendix C: Top 30 Capability Sustainment Products</w:t>
        </w:r>
        <w:r w:rsidR="00454427" w:rsidRPr="00B56FAA">
          <w:rPr>
            <w:webHidden/>
          </w:rPr>
          <w:tab/>
        </w:r>
        <w:r w:rsidR="00454427" w:rsidRPr="00B56FAA">
          <w:rPr>
            <w:webHidden/>
          </w:rPr>
          <w:fldChar w:fldCharType="begin"/>
        </w:r>
        <w:r w:rsidR="00454427" w:rsidRPr="00B56FAA">
          <w:rPr>
            <w:webHidden/>
          </w:rPr>
          <w:instrText xml:space="preserve"> PAGEREF _Toc108089423 \h </w:instrText>
        </w:r>
        <w:r w:rsidR="00454427" w:rsidRPr="00B56FAA">
          <w:rPr>
            <w:webHidden/>
          </w:rPr>
        </w:r>
        <w:r w:rsidR="00454427" w:rsidRPr="00B56FAA">
          <w:rPr>
            <w:webHidden/>
          </w:rPr>
          <w:fldChar w:fldCharType="separate"/>
        </w:r>
        <w:r w:rsidR="002533F1">
          <w:rPr>
            <w:webHidden/>
          </w:rPr>
          <w:t>135</w:t>
        </w:r>
        <w:r w:rsidR="00454427" w:rsidRPr="00B56FAA">
          <w:rPr>
            <w:webHidden/>
          </w:rPr>
          <w:fldChar w:fldCharType="end"/>
        </w:r>
      </w:hyperlink>
    </w:p>
    <w:p w14:paraId="5557181D" w14:textId="269837D7" w:rsidR="00454427" w:rsidRPr="00B56FAA" w:rsidRDefault="00004E68" w:rsidP="008C00B8">
      <w:pPr>
        <w:pStyle w:val="TOC4"/>
        <w:rPr>
          <w:lang w:val="en-AU"/>
        </w:rPr>
      </w:pPr>
      <w:hyperlink w:anchor="_Toc108089424" w:history="1">
        <w:r w:rsidR="00454427" w:rsidRPr="00B56FAA">
          <w:rPr>
            <w:rStyle w:val="Hyperlink"/>
            <w:rFonts w:ascii="Arial" w:hAnsi="Arial"/>
            <w:szCs w:val="20"/>
          </w:rPr>
          <w:t>Appendix D: Enterprise Estate and Infrastructure Program</w:t>
        </w:r>
        <w:r w:rsidR="00454427" w:rsidRPr="00B56FAA">
          <w:rPr>
            <w:webHidden/>
          </w:rPr>
          <w:tab/>
        </w:r>
        <w:r w:rsidR="00454427" w:rsidRPr="00B56FAA">
          <w:rPr>
            <w:webHidden/>
          </w:rPr>
          <w:fldChar w:fldCharType="begin"/>
        </w:r>
        <w:r w:rsidR="00454427" w:rsidRPr="00B56FAA">
          <w:rPr>
            <w:webHidden/>
          </w:rPr>
          <w:instrText xml:space="preserve"> PAGEREF _Toc108089424 \h </w:instrText>
        </w:r>
        <w:r w:rsidR="00454427" w:rsidRPr="00B56FAA">
          <w:rPr>
            <w:webHidden/>
          </w:rPr>
        </w:r>
        <w:r w:rsidR="00454427" w:rsidRPr="00B56FAA">
          <w:rPr>
            <w:webHidden/>
          </w:rPr>
          <w:fldChar w:fldCharType="separate"/>
        </w:r>
        <w:r w:rsidR="002533F1">
          <w:rPr>
            <w:webHidden/>
          </w:rPr>
          <w:t>143</w:t>
        </w:r>
        <w:r w:rsidR="00454427" w:rsidRPr="00B56FAA">
          <w:rPr>
            <w:webHidden/>
          </w:rPr>
          <w:fldChar w:fldCharType="end"/>
        </w:r>
      </w:hyperlink>
    </w:p>
    <w:p w14:paraId="09450294" w14:textId="0960EFA6" w:rsidR="00454427" w:rsidRPr="00B56FAA" w:rsidRDefault="00004E68" w:rsidP="008C00B8">
      <w:pPr>
        <w:pStyle w:val="TOC4"/>
        <w:rPr>
          <w:lang w:val="en-AU"/>
        </w:rPr>
      </w:pPr>
      <w:hyperlink w:anchor="_Toc108089425" w:history="1">
        <w:r w:rsidR="00454427" w:rsidRPr="00B56FAA">
          <w:rPr>
            <w:rStyle w:val="Hyperlink"/>
            <w:rFonts w:ascii="Arial" w:hAnsi="Arial"/>
            <w:szCs w:val="20"/>
          </w:rPr>
          <w:t>Appendix E: Status of Projects Foreshadowed for Government and Parliamentary Standing Committee on Public Works Consideration in 202</w:t>
        </w:r>
        <w:r w:rsidR="00756FEA">
          <w:rPr>
            <w:rStyle w:val="Hyperlink"/>
            <w:rFonts w:ascii="Arial" w:hAnsi="Arial"/>
            <w:szCs w:val="20"/>
          </w:rPr>
          <w:t>5</w:t>
        </w:r>
        <w:r w:rsidR="00454427" w:rsidRPr="00B56FAA">
          <w:rPr>
            <w:rStyle w:val="Hyperlink"/>
            <w:rFonts w:ascii="Arial" w:hAnsi="Arial"/>
            <w:szCs w:val="20"/>
          </w:rPr>
          <w:t>-2</w:t>
        </w:r>
        <w:r w:rsidR="00756FEA">
          <w:rPr>
            <w:rStyle w:val="Hyperlink"/>
            <w:rFonts w:ascii="Arial" w:hAnsi="Arial"/>
            <w:szCs w:val="20"/>
          </w:rPr>
          <w:t>6</w:t>
        </w:r>
        <w:r w:rsidR="00454427" w:rsidRPr="00B56FAA">
          <w:rPr>
            <w:webHidden/>
          </w:rPr>
          <w:tab/>
        </w:r>
        <w:r w:rsidR="00454427" w:rsidRPr="00B56FAA">
          <w:rPr>
            <w:webHidden/>
          </w:rPr>
          <w:fldChar w:fldCharType="begin"/>
        </w:r>
        <w:r w:rsidR="00454427" w:rsidRPr="00B56FAA">
          <w:rPr>
            <w:webHidden/>
          </w:rPr>
          <w:instrText xml:space="preserve"> PAGEREF _Toc108089425 \h </w:instrText>
        </w:r>
        <w:r w:rsidR="00454427" w:rsidRPr="00B56FAA">
          <w:rPr>
            <w:webHidden/>
          </w:rPr>
        </w:r>
        <w:r w:rsidR="00454427" w:rsidRPr="00B56FAA">
          <w:rPr>
            <w:webHidden/>
          </w:rPr>
          <w:fldChar w:fldCharType="separate"/>
        </w:r>
        <w:r w:rsidR="002533F1">
          <w:rPr>
            <w:webHidden/>
          </w:rPr>
          <w:t>159</w:t>
        </w:r>
        <w:r w:rsidR="00454427" w:rsidRPr="00B56FAA">
          <w:rPr>
            <w:webHidden/>
          </w:rPr>
          <w:fldChar w:fldCharType="end"/>
        </w:r>
      </w:hyperlink>
    </w:p>
    <w:p w14:paraId="3780ACC7" w14:textId="5EEDD8B6" w:rsidR="00454427" w:rsidRPr="00B56FAA" w:rsidRDefault="00004E68" w:rsidP="008C00B8">
      <w:pPr>
        <w:pStyle w:val="TOC4"/>
        <w:rPr>
          <w:lang w:val="en-AU"/>
        </w:rPr>
      </w:pPr>
      <w:hyperlink w:anchor="_Toc108089426" w:history="1">
        <w:r w:rsidR="00454427" w:rsidRPr="00B56FAA">
          <w:rPr>
            <w:rStyle w:val="Hyperlink"/>
            <w:rFonts w:ascii="Arial" w:hAnsi="Arial"/>
            <w:szCs w:val="20"/>
          </w:rPr>
          <w:t>Appendix F: Top 5 Information and Communication Technology Approved Projects</w:t>
        </w:r>
        <w:r w:rsidR="00454427" w:rsidRPr="00B56FAA">
          <w:rPr>
            <w:webHidden/>
          </w:rPr>
          <w:tab/>
        </w:r>
        <w:r w:rsidR="00454427" w:rsidRPr="00B56FAA">
          <w:rPr>
            <w:webHidden/>
          </w:rPr>
          <w:fldChar w:fldCharType="begin"/>
        </w:r>
        <w:r w:rsidR="00454427" w:rsidRPr="00B56FAA">
          <w:rPr>
            <w:webHidden/>
          </w:rPr>
          <w:instrText xml:space="preserve"> PAGEREF _Toc108089426 \h </w:instrText>
        </w:r>
        <w:r w:rsidR="00454427" w:rsidRPr="00B56FAA">
          <w:rPr>
            <w:webHidden/>
          </w:rPr>
        </w:r>
        <w:r w:rsidR="00454427" w:rsidRPr="00B56FAA">
          <w:rPr>
            <w:webHidden/>
          </w:rPr>
          <w:fldChar w:fldCharType="separate"/>
        </w:r>
        <w:r w:rsidR="002533F1">
          <w:rPr>
            <w:webHidden/>
          </w:rPr>
          <w:t>162</w:t>
        </w:r>
        <w:r w:rsidR="00454427" w:rsidRPr="00B56FAA">
          <w:rPr>
            <w:webHidden/>
          </w:rPr>
          <w:fldChar w:fldCharType="end"/>
        </w:r>
      </w:hyperlink>
    </w:p>
    <w:p w14:paraId="5E710CEE" w14:textId="13C77E58" w:rsidR="00454427" w:rsidRPr="00B56FAA" w:rsidRDefault="00004E68" w:rsidP="008C00B8">
      <w:pPr>
        <w:pStyle w:val="TOC4"/>
        <w:rPr>
          <w:lang w:val="en-AU"/>
        </w:rPr>
      </w:pPr>
      <w:hyperlink w:anchor="_Toc108089427" w:history="1">
        <w:r w:rsidR="00454427" w:rsidRPr="00B56FAA">
          <w:rPr>
            <w:rStyle w:val="Hyperlink"/>
            <w:rFonts w:ascii="Arial" w:hAnsi="Arial"/>
            <w:szCs w:val="20"/>
          </w:rPr>
          <w:t>Appendix G: Australian Government Indigenous Expenditure</w:t>
        </w:r>
        <w:r w:rsidR="00454427" w:rsidRPr="00B56FAA">
          <w:rPr>
            <w:webHidden/>
          </w:rPr>
          <w:tab/>
        </w:r>
        <w:r w:rsidR="00454427" w:rsidRPr="00B56FAA">
          <w:rPr>
            <w:webHidden/>
          </w:rPr>
          <w:fldChar w:fldCharType="begin"/>
        </w:r>
        <w:r w:rsidR="00454427" w:rsidRPr="00B56FAA">
          <w:rPr>
            <w:webHidden/>
          </w:rPr>
          <w:instrText xml:space="preserve"> PAGEREF _Toc108089427 \h </w:instrText>
        </w:r>
        <w:r w:rsidR="00454427" w:rsidRPr="00B56FAA">
          <w:rPr>
            <w:webHidden/>
          </w:rPr>
        </w:r>
        <w:r w:rsidR="00454427" w:rsidRPr="00B56FAA">
          <w:rPr>
            <w:webHidden/>
          </w:rPr>
          <w:fldChar w:fldCharType="separate"/>
        </w:r>
        <w:r w:rsidR="002533F1">
          <w:rPr>
            <w:webHidden/>
          </w:rPr>
          <w:t>164</w:t>
        </w:r>
        <w:r w:rsidR="00454427" w:rsidRPr="00B56FAA">
          <w:rPr>
            <w:webHidden/>
          </w:rPr>
          <w:fldChar w:fldCharType="end"/>
        </w:r>
      </w:hyperlink>
    </w:p>
    <w:p w14:paraId="320A00F8" w14:textId="77777777" w:rsidR="00003B8B" w:rsidRPr="00B56FAA" w:rsidRDefault="006F7D0A" w:rsidP="008C1AC5">
      <w:pPr>
        <w:pStyle w:val="Heading4"/>
        <w:spacing w:before="120" w:after="120"/>
        <w:rPr>
          <w:rFonts w:cs="Arial"/>
          <w:sz w:val="26"/>
          <w:szCs w:val="26"/>
        </w:rPr>
      </w:pPr>
      <w:r w:rsidRPr="00B56FAA">
        <w:rPr>
          <w:noProof/>
          <w:lang w:val="en-AU"/>
        </w:rPr>
        <w:br w:type="page"/>
      </w:r>
      <w:r w:rsidR="00EC72F7" w:rsidRPr="00B56FAA">
        <w:lastRenderedPageBreak/>
        <w:fldChar w:fldCharType="end"/>
      </w:r>
      <w:bookmarkStart w:id="869" w:name="_Toc476581156"/>
      <w:bookmarkStart w:id="870" w:name="_Toc507595428"/>
      <w:bookmarkStart w:id="871" w:name="_Toc536089236"/>
      <w:bookmarkStart w:id="872" w:name="_Toc536089496"/>
      <w:bookmarkStart w:id="873" w:name="_Toc1561687"/>
      <w:bookmarkStart w:id="874" w:name="_Toc51691684"/>
      <w:bookmarkStart w:id="875" w:name="_Toc69917847"/>
      <w:bookmarkStart w:id="876" w:name="_Toc97747836"/>
      <w:bookmarkStart w:id="877" w:name="_Toc108088947"/>
      <w:bookmarkStart w:id="878" w:name="_Toc108089421"/>
      <w:bookmarkStart w:id="879" w:name="_Toc109227743"/>
      <w:bookmarkStart w:id="880" w:name="_Toc159499691"/>
      <w:bookmarkStart w:id="881" w:name="_Toc159859108"/>
      <w:bookmarkStart w:id="882" w:name="_Toc159859260"/>
      <w:r w:rsidR="00003B8B" w:rsidRPr="00B56FAA">
        <w:rPr>
          <w:rFonts w:cs="Arial"/>
          <w:sz w:val="26"/>
          <w:szCs w:val="26"/>
        </w:rPr>
        <w:t>Appendix A: Defence Cooperation Program</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p w14:paraId="4E1D695E" w14:textId="77777777" w:rsidR="00647E33" w:rsidRPr="00E6722A" w:rsidRDefault="00647E33" w:rsidP="00647E33">
      <w:r w:rsidRPr="00E6722A">
        <w:t>The Defence Cooperation Program (DCP) has made a significant contribution to Australia’s international defence engagement since the 1960s. The DCP was originally formed through bilateral military to military engagements in Singapore and Malaysia in the 1960’s. It now supports engagement with military and police/security forces in over 30 countries across the Indo-Pacific</w:t>
      </w:r>
      <w:r>
        <w:t>.</w:t>
      </w:r>
    </w:p>
    <w:p w14:paraId="59600DDF" w14:textId="77777777" w:rsidR="00647E33" w:rsidRPr="00E6722A" w:rsidRDefault="00647E33" w:rsidP="003647C9">
      <w:pPr>
        <w:spacing w:before="0" w:after="0"/>
        <w:rPr>
          <w:rFonts w:cs="Book Antiqua"/>
        </w:rPr>
      </w:pPr>
      <w:r w:rsidRPr="00E6722A">
        <w:t>The program:</w:t>
      </w:r>
    </w:p>
    <w:p w14:paraId="550102DF" w14:textId="77777777" w:rsidR="00647E33" w:rsidRPr="00E6722A" w:rsidRDefault="00647E33" w:rsidP="003C2A1B">
      <w:pPr>
        <w:pStyle w:val="Bullet"/>
        <w:numPr>
          <w:ilvl w:val="0"/>
          <w:numId w:val="63"/>
        </w:numPr>
        <w:tabs>
          <w:tab w:val="num" w:pos="284"/>
        </w:tabs>
        <w:ind w:left="284" w:hanging="284"/>
        <w:rPr>
          <w:szCs w:val="20"/>
        </w:rPr>
      </w:pPr>
      <w:r w:rsidRPr="00E6722A">
        <w:rPr>
          <w:szCs w:val="20"/>
        </w:rPr>
        <w:t>enables cooperative development of capability;</w:t>
      </w:r>
    </w:p>
    <w:p w14:paraId="22D7FD34" w14:textId="77777777" w:rsidR="00647E33" w:rsidRPr="00E6722A" w:rsidRDefault="00647E33" w:rsidP="003C2A1B">
      <w:pPr>
        <w:pStyle w:val="Bullet"/>
        <w:numPr>
          <w:ilvl w:val="0"/>
          <w:numId w:val="63"/>
        </w:numPr>
        <w:tabs>
          <w:tab w:val="num" w:pos="284"/>
        </w:tabs>
        <w:ind w:left="284" w:hanging="284"/>
        <w:rPr>
          <w:szCs w:val="20"/>
        </w:rPr>
      </w:pPr>
      <w:r w:rsidRPr="00E6722A">
        <w:rPr>
          <w:szCs w:val="20"/>
        </w:rPr>
        <w:t>improves Australia’s capacity to work with partners in response to common security challenges; and</w:t>
      </w:r>
    </w:p>
    <w:p w14:paraId="531985B6" w14:textId="77777777" w:rsidR="00647E33" w:rsidRPr="00E6722A" w:rsidRDefault="00647E33" w:rsidP="003C2A1B">
      <w:pPr>
        <w:pStyle w:val="Bullet"/>
        <w:numPr>
          <w:ilvl w:val="0"/>
          <w:numId w:val="63"/>
        </w:numPr>
        <w:tabs>
          <w:tab w:val="num" w:pos="284"/>
        </w:tabs>
        <w:ind w:left="284" w:hanging="284"/>
        <w:rPr>
          <w:szCs w:val="20"/>
        </w:rPr>
      </w:pPr>
      <w:r w:rsidRPr="00E6722A">
        <w:rPr>
          <w:szCs w:val="20"/>
        </w:rPr>
        <w:t>builds strong people-to-people links with partner militaries at the tactical, operational and strategic levels.</w:t>
      </w:r>
    </w:p>
    <w:p w14:paraId="152B7E72" w14:textId="5D22D376" w:rsidR="00647E33" w:rsidRDefault="00647E33" w:rsidP="008F394C">
      <w:pPr>
        <w:spacing w:before="0"/>
        <w:rPr>
          <w:rFonts w:cs="Book Antiqua"/>
          <w:szCs w:val="20"/>
        </w:rPr>
      </w:pPr>
      <w:r w:rsidRPr="00E6722A">
        <w:t xml:space="preserve">The </w:t>
      </w:r>
      <w:r w:rsidRPr="00D73F23">
        <w:rPr>
          <w:i/>
        </w:rPr>
        <w:t>2024</w:t>
      </w:r>
      <w:r w:rsidRPr="00E6722A">
        <w:t xml:space="preserve"> </w:t>
      </w:r>
      <w:r w:rsidRPr="00E6722A">
        <w:rPr>
          <w:i/>
        </w:rPr>
        <w:t>National Defence Strategy</w:t>
      </w:r>
      <w:r w:rsidRPr="00E6722A">
        <w:t xml:space="preserve"> affirms the importance of the DCP as the primary mechanism for Australia’s practical engagement in the Indo-Pacific. The DCP is a key lever of Defence to apply strategic </w:t>
      </w:r>
      <w:r w:rsidR="00791611">
        <w:t xml:space="preserve">effects throughout the region. </w:t>
      </w:r>
      <w:r w:rsidRPr="00E6722A">
        <w:rPr>
          <w:rFonts w:cs="Book Antiqua"/>
          <w:szCs w:val="20"/>
        </w:rPr>
        <w:t>Priority regions are our primary area of military interest, with the immediate region encompassing the Northeast Indian Ocean through maritime Southeast Asia into the Pacific. The objective is to maximise Australia’s security through developing close and enduring links with partners that support their capacity to protect their sovereignty, work effectively with the Australian Defence Force, and contribute to regional resilience and security.</w:t>
      </w:r>
    </w:p>
    <w:p w14:paraId="409EA166" w14:textId="77777777" w:rsidR="00647E33" w:rsidRPr="00E6722A" w:rsidRDefault="00647E33" w:rsidP="003647C9">
      <w:pPr>
        <w:spacing w:before="0"/>
        <w:rPr>
          <w:rFonts w:cs="Book Antiqua"/>
          <w:szCs w:val="20"/>
        </w:rPr>
      </w:pPr>
      <w:r w:rsidRPr="00E6722A">
        <w:rPr>
          <w:rFonts w:cs="Book Antiqua"/>
          <w:szCs w:val="20"/>
        </w:rPr>
        <w:t>To achieve its objectives, the DCP suite of activities includes education courses, training, personnel exchanges, capacity building, military secondments, strategic dialogues, visits, infrastructure support, and exercises and operations.</w:t>
      </w:r>
    </w:p>
    <w:p w14:paraId="20A2928F" w14:textId="269BFDD9" w:rsidR="00647E33" w:rsidRPr="00E6722A" w:rsidRDefault="00647E33" w:rsidP="003647C9">
      <w:pPr>
        <w:spacing w:before="0"/>
        <w:rPr>
          <w:rFonts w:cs="Book Antiqua"/>
          <w:szCs w:val="20"/>
        </w:rPr>
      </w:pPr>
      <w:r w:rsidRPr="00E6722A">
        <w:rPr>
          <w:rFonts w:cs="Book Antiqua"/>
          <w:szCs w:val="20"/>
        </w:rPr>
        <w:t>The DCP supports the provision of education and training positions in Australia for international military personnel. Junior and senior officers from regional countries undertake short and long</w:t>
      </w:r>
      <w:r>
        <w:rPr>
          <w:rFonts w:cs="Book Antiqua"/>
          <w:szCs w:val="20"/>
        </w:rPr>
        <w:noBreakHyphen/>
      </w:r>
      <w:r w:rsidRPr="00E6722A">
        <w:rPr>
          <w:rFonts w:cs="Book Antiqua"/>
          <w:szCs w:val="20"/>
        </w:rPr>
        <w:t>term courses at Australian military and civilian educational institutions. This training builds military professionalism by equipping participants with the skills they will use throughout their military careers. International military personnel also return home having developed a better understanding of Australia and having built networks with counterparts in the Australian Defence Force. These people-to-people links are further maintained through defence alumni associations.</w:t>
      </w:r>
    </w:p>
    <w:p w14:paraId="17DD3CE3" w14:textId="77777777" w:rsidR="00647E33" w:rsidRPr="00E6722A" w:rsidRDefault="00647E33" w:rsidP="003647C9">
      <w:pPr>
        <w:spacing w:before="0"/>
        <w:rPr>
          <w:rFonts w:cs="Book Antiqua"/>
          <w:szCs w:val="20"/>
        </w:rPr>
      </w:pPr>
      <w:r w:rsidRPr="00E6722A">
        <w:rPr>
          <w:rFonts w:cs="Book Antiqua"/>
          <w:szCs w:val="20"/>
        </w:rPr>
        <w:t>Australia maintains regular defence talks with regional countries in order to exchange views on regional security issues and to discuss defence cooperation priorities. The DCP also supports a program of visits by senior defence representatives to and from Australia. These visits provide an opportunity for Australia and regional partners to improve their mutual understanding of each other’s strategic perspectives and military capability.</w:t>
      </w:r>
    </w:p>
    <w:p w14:paraId="1D758824" w14:textId="77777777" w:rsidR="00647E33" w:rsidRPr="00E6722A" w:rsidRDefault="00647E33" w:rsidP="003647C9">
      <w:pPr>
        <w:spacing w:before="0"/>
        <w:rPr>
          <w:rFonts w:cs="Book Antiqua"/>
          <w:szCs w:val="20"/>
        </w:rPr>
      </w:pPr>
      <w:r w:rsidRPr="00E6722A">
        <w:rPr>
          <w:rFonts w:cs="Book Antiqua"/>
          <w:szCs w:val="20"/>
        </w:rPr>
        <w:t>Defence seeks to develop the institutional and governance frameworks of regional defence organisations as well as the capabilities of their security forces. The DCP achieves these objectives through Australian Defence Force mobile training teams, support for logistics and infrastructure development, and the posting of Defence personnel as advisers to regional defence and security organisations. It is in Australia’s interest to support professional and capable regional militaries that we can operate with in support of regional security and stability.</w:t>
      </w:r>
    </w:p>
    <w:p w14:paraId="40F47EFB" w14:textId="2F2361FC" w:rsidR="00647E33" w:rsidRDefault="00647E33" w:rsidP="00647E33">
      <w:pPr>
        <w:rPr>
          <w:rFonts w:cs="Book Antiqua"/>
          <w:color w:val="000000"/>
          <w:szCs w:val="20"/>
        </w:rPr>
      </w:pPr>
      <w:r w:rsidRPr="00E6722A">
        <w:rPr>
          <w:rFonts w:cs="Book Antiqua"/>
          <w:szCs w:val="20"/>
        </w:rPr>
        <w:t xml:space="preserve">The Papua New Guinea (PNG) DCP, our largest with any country, supports the PNG Defence Force and Defence to be a more capable, sustainable and professional regional security partner, and supports current and future leaders to build a strong and resilient Defence Force. The PNG DCP will continue to facilitate the conduct of bilateral exercises, mobile training teams, logistics support, capability development, governance, </w:t>
      </w:r>
      <w:r w:rsidRPr="00E6722A">
        <w:rPr>
          <w:rFonts w:cs="Book Antiqua"/>
          <w:color w:val="000000"/>
          <w:szCs w:val="20"/>
        </w:rPr>
        <w:t>training support and information sharing.</w:t>
      </w:r>
    </w:p>
    <w:p w14:paraId="7EB83BF8" w14:textId="77777777" w:rsidR="00647E33" w:rsidRPr="00E6722A" w:rsidRDefault="00647E33" w:rsidP="00647E33">
      <w:pPr>
        <w:rPr>
          <w:rFonts w:cs="Book Antiqua"/>
          <w:szCs w:val="20"/>
        </w:rPr>
      </w:pPr>
      <w:r w:rsidRPr="00E6722A">
        <w:rPr>
          <w:rFonts w:cs="Book Antiqua"/>
          <w:szCs w:val="20"/>
        </w:rPr>
        <w:lastRenderedPageBreak/>
        <w:t>In the Pacific, a key element of the DCP, and the centrepiece of Australia’s defence engagement, is the Pacific Maritime Security Program</w:t>
      </w:r>
      <w:r>
        <w:rPr>
          <w:rFonts w:cs="Book Antiqua"/>
          <w:szCs w:val="20"/>
        </w:rPr>
        <w:t xml:space="preserve"> (PMSP)</w:t>
      </w:r>
      <w:r w:rsidRPr="00E6722A">
        <w:rPr>
          <w:rFonts w:cs="Book Antiqua"/>
          <w:szCs w:val="20"/>
        </w:rPr>
        <w:t xml:space="preserve">. The </w:t>
      </w:r>
      <w:r>
        <w:rPr>
          <w:rFonts w:cs="Book Antiqua"/>
          <w:szCs w:val="20"/>
        </w:rPr>
        <w:t>PMSP</w:t>
      </w:r>
      <w:r w:rsidRPr="00E6722A">
        <w:rPr>
          <w:rFonts w:cs="Book Antiqua"/>
          <w:szCs w:val="20"/>
        </w:rPr>
        <w:t xml:space="preserve"> is the successor to the original Pacific Patrol Boat Program, through which Australia </w:t>
      </w:r>
      <w:r>
        <w:rPr>
          <w:rFonts w:cs="Book Antiqua"/>
          <w:szCs w:val="20"/>
        </w:rPr>
        <w:t xml:space="preserve">will </w:t>
      </w:r>
      <w:r w:rsidRPr="00E6722A">
        <w:rPr>
          <w:rFonts w:cs="Book Antiqua"/>
          <w:szCs w:val="20"/>
        </w:rPr>
        <w:t>provid</w:t>
      </w:r>
      <w:r>
        <w:rPr>
          <w:rFonts w:cs="Book Antiqua"/>
          <w:szCs w:val="20"/>
        </w:rPr>
        <w:t>e</w:t>
      </w:r>
      <w:r w:rsidRPr="00E6722A">
        <w:rPr>
          <w:rFonts w:cs="Book Antiqua"/>
          <w:szCs w:val="20"/>
        </w:rPr>
        <w:t xml:space="preserve"> 2</w:t>
      </w:r>
      <w:r>
        <w:rPr>
          <w:rFonts w:cs="Book Antiqua"/>
          <w:szCs w:val="20"/>
        </w:rPr>
        <w:t>4</w:t>
      </w:r>
      <w:r w:rsidRPr="00E6722A">
        <w:rPr>
          <w:rFonts w:cs="Book Antiqua"/>
          <w:szCs w:val="20"/>
        </w:rPr>
        <w:t> Guardian</w:t>
      </w:r>
      <w:r>
        <w:rPr>
          <w:rFonts w:cs="Book Antiqua"/>
          <w:szCs w:val="20"/>
        </w:rPr>
        <w:t>-c</w:t>
      </w:r>
      <w:r w:rsidRPr="00E6722A">
        <w:rPr>
          <w:rFonts w:cs="Book Antiqua"/>
          <w:szCs w:val="20"/>
        </w:rPr>
        <w:t xml:space="preserve">lass </w:t>
      </w:r>
      <w:r>
        <w:rPr>
          <w:rFonts w:cs="Book Antiqua"/>
          <w:szCs w:val="20"/>
        </w:rPr>
        <w:t>P</w:t>
      </w:r>
      <w:r w:rsidRPr="00E6722A">
        <w:rPr>
          <w:rFonts w:cs="Book Antiqua"/>
          <w:szCs w:val="20"/>
        </w:rPr>
        <w:t xml:space="preserve">atrol </w:t>
      </w:r>
      <w:r>
        <w:rPr>
          <w:rFonts w:cs="Book Antiqua"/>
          <w:szCs w:val="20"/>
        </w:rPr>
        <w:t>B</w:t>
      </w:r>
      <w:r w:rsidRPr="00E6722A">
        <w:rPr>
          <w:rFonts w:cs="Book Antiqua"/>
          <w:szCs w:val="20"/>
        </w:rPr>
        <w:t>oats (with in-country advisory personnel, maintenance support, crew training and technical assistance)</w:t>
      </w:r>
      <w:r>
        <w:rPr>
          <w:rFonts w:cs="Book Antiqua"/>
          <w:szCs w:val="20"/>
        </w:rPr>
        <w:t>. Australia has delivered 22 boats</w:t>
      </w:r>
      <w:r w:rsidRPr="00E6722A">
        <w:rPr>
          <w:rFonts w:cs="Book Antiqua"/>
          <w:szCs w:val="20"/>
        </w:rPr>
        <w:t xml:space="preserve"> to 1</w:t>
      </w:r>
      <w:r>
        <w:rPr>
          <w:rFonts w:cs="Book Antiqua"/>
          <w:szCs w:val="20"/>
        </w:rPr>
        <w:t>1</w:t>
      </w:r>
      <w:r w:rsidRPr="00E6722A">
        <w:rPr>
          <w:rFonts w:cs="Book Antiqua"/>
          <w:szCs w:val="20"/>
        </w:rPr>
        <w:t xml:space="preserve"> Pacific Island nations</w:t>
      </w:r>
      <w:r>
        <w:rPr>
          <w:rFonts w:cs="Book Antiqua"/>
          <w:szCs w:val="20"/>
        </w:rPr>
        <w:t xml:space="preserve"> to date</w:t>
      </w:r>
      <w:r w:rsidRPr="00E6722A">
        <w:rPr>
          <w:rFonts w:cs="Book Antiqua"/>
          <w:szCs w:val="20"/>
        </w:rPr>
        <w:t xml:space="preserve">. </w:t>
      </w:r>
    </w:p>
    <w:p w14:paraId="7CE1A2A9" w14:textId="77777777" w:rsidR="00647E33" w:rsidRPr="00E6722A" w:rsidRDefault="00647E33" w:rsidP="00647E33">
      <w:pPr>
        <w:rPr>
          <w:rFonts w:cs="Book Antiqua"/>
          <w:szCs w:val="20"/>
        </w:rPr>
      </w:pPr>
      <w:r w:rsidRPr="00E6722A">
        <w:rPr>
          <w:rFonts w:cs="Book Antiqua"/>
          <w:szCs w:val="20"/>
        </w:rPr>
        <w:t xml:space="preserve">Under the </w:t>
      </w:r>
      <w:r>
        <w:rPr>
          <w:rFonts w:cs="Book Antiqua"/>
          <w:szCs w:val="20"/>
        </w:rPr>
        <w:t>PMSP</w:t>
      </w:r>
      <w:r w:rsidRPr="00E6722A">
        <w:rPr>
          <w:rFonts w:cs="Book Antiqua"/>
          <w:szCs w:val="20"/>
        </w:rPr>
        <w:t>, Australia is replacing the existing fleet of Pacific Patrol Boats with new larger and more capable vessels. Austal Ships Pty Ltd is constructing the Guardian</w:t>
      </w:r>
      <w:r>
        <w:rPr>
          <w:rFonts w:cs="Book Antiqua"/>
          <w:szCs w:val="20"/>
        </w:rPr>
        <w:t>-c</w:t>
      </w:r>
      <w:r w:rsidRPr="00E6722A">
        <w:rPr>
          <w:rFonts w:cs="Book Antiqua"/>
          <w:szCs w:val="20"/>
        </w:rPr>
        <w:t xml:space="preserve">lass </w:t>
      </w:r>
      <w:r>
        <w:rPr>
          <w:rFonts w:cs="Book Antiqua"/>
          <w:szCs w:val="20"/>
        </w:rPr>
        <w:t>P</w:t>
      </w:r>
      <w:r w:rsidRPr="00E6722A">
        <w:rPr>
          <w:rFonts w:cs="Book Antiqua"/>
          <w:szCs w:val="20"/>
        </w:rPr>
        <w:t xml:space="preserve">atrol </w:t>
      </w:r>
      <w:r>
        <w:rPr>
          <w:rFonts w:cs="Book Antiqua"/>
          <w:szCs w:val="20"/>
        </w:rPr>
        <w:t>B</w:t>
      </w:r>
      <w:r w:rsidRPr="00E6722A">
        <w:rPr>
          <w:rFonts w:cs="Book Antiqua"/>
          <w:szCs w:val="20"/>
        </w:rPr>
        <w:t>oats for gifting between 2018 and 202</w:t>
      </w:r>
      <w:r>
        <w:rPr>
          <w:rFonts w:cs="Book Antiqua"/>
          <w:szCs w:val="20"/>
        </w:rPr>
        <w:t>6</w:t>
      </w:r>
      <w:r w:rsidRPr="00E6722A">
        <w:rPr>
          <w:rFonts w:cs="Book Antiqua"/>
          <w:szCs w:val="20"/>
        </w:rPr>
        <w:t xml:space="preserve">. The </w:t>
      </w:r>
      <w:r>
        <w:rPr>
          <w:rFonts w:cs="Book Antiqua"/>
          <w:szCs w:val="20"/>
        </w:rPr>
        <w:t>PMSP</w:t>
      </w:r>
      <w:r w:rsidRPr="00E6722A">
        <w:rPr>
          <w:rFonts w:cs="Book Antiqua"/>
          <w:szCs w:val="20"/>
        </w:rPr>
        <w:t xml:space="preserve"> expands the scope of the Pacific Patrol Boat Program by including a region-wide integrated aerial surveillance capability and support for enhancing regional coordination. The Program engages Pacific navies and police maritime wings and is designed to enhance the sovereign capability of partner Pacific Island nations to independently police their maritime zones. </w:t>
      </w:r>
    </w:p>
    <w:p w14:paraId="772A1A1D" w14:textId="77777777" w:rsidR="00647E33" w:rsidRPr="00FF4AFD" w:rsidRDefault="00647E33" w:rsidP="00647E33">
      <w:pPr>
        <w:rPr>
          <w:rFonts w:cs="Book Antiqua"/>
          <w:szCs w:val="20"/>
        </w:rPr>
      </w:pPr>
      <w:r w:rsidRPr="00E6722A">
        <w:rPr>
          <w:rFonts w:cs="Book Antiqua"/>
          <w:szCs w:val="20"/>
        </w:rPr>
        <w:t>The Australian Defence Force conducts exercises with other militaries in order to build our shared capacity to work together in response to regional security contingencies. These include humanitarian assistance and disaster relief, peacekeeping, counter-terrorism, maritime security, and military governance and professionalism. These exercises are conducted in the air, land and maritime domains and take place both in Australia and across the region. Exercising together promotes interoperability and builds familiarity between our armed forces and those of our regional military partners.</w:t>
      </w:r>
    </w:p>
    <w:p w14:paraId="2CE83CBA" w14:textId="61467E1F" w:rsidR="00003B8B" w:rsidRPr="002B2BCC" w:rsidRDefault="00003B8B" w:rsidP="00D9100A">
      <w:pPr>
        <w:pStyle w:val="TableHeading"/>
        <w:numPr>
          <w:ilvl w:val="0"/>
          <w:numId w:val="29"/>
        </w:numPr>
        <w:spacing w:before="120" w:after="120"/>
        <w:ind w:left="0" w:firstLine="0"/>
        <w:outlineLvl w:val="5"/>
      </w:pPr>
      <w:r w:rsidRPr="002B2BCC">
        <w:t>Defence</w:t>
      </w:r>
      <w:r w:rsidR="00FB4CB6" w:rsidRPr="002B2BCC">
        <w:t xml:space="preserve"> Cooperation Program </w:t>
      </w:r>
      <w:r w:rsidR="00C505F9" w:rsidRPr="002B2BCC">
        <w:t>B</w:t>
      </w:r>
      <w:r w:rsidR="00FB4CB6" w:rsidRPr="002B2BCC">
        <w:t xml:space="preserve">udget </w:t>
      </w:r>
      <w:r w:rsidR="0067552D" w:rsidRPr="002B2BCC">
        <w:t>202</w:t>
      </w:r>
      <w:r w:rsidR="00BD6C7A">
        <w:t>5</w:t>
      </w:r>
      <w:r w:rsidR="0067552D" w:rsidRPr="002B2BCC">
        <w:t>-2</w:t>
      </w:r>
      <w:r w:rsidR="00BD6C7A">
        <w:t>6</w:t>
      </w:r>
      <w:r w:rsidR="00FB6EE5" w:rsidRPr="002B2BCC">
        <w:t xml:space="preserve"> </w:t>
      </w:r>
      <w:r w:rsidR="00FB6EE5" w:rsidRPr="002B2BCC">
        <w:rPr>
          <w:bCs/>
          <w:sz w:val="16"/>
          <w:szCs w:val="16"/>
          <w:vertAlign w:val="superscript"/>
          <w:lang w:val="en-AU"/>
        </w:rPr>
        <w:t>[a]</w:t>
      </w:r>
    </w:p>
    <w:p w14:paraId="14B7FA35" w14:textId="32A9CE76" w:rsidR="00647E33" w:rsidRDefault="00647E33" w:rsidP="00647E33">
      <w:pPr>
        <w:autoSpaceDE w:val="0"/>
        <w:autoSpaceDN w:val="0"/>
        <w:adjustRightInd w:val="0"/>
        <w:spacing w:before="0" w:after="0"/>
      </w:pPr>
      <w:r w:rsidRPr="00E6722A">
        <w:t xml:space="preserve">The DCP </w:t>
      </w:r>
      <w:r>
        <w:t>is</w:t>
      </w:r>
      <w:r w:rsidRPr="00E6722A">
        <w:t xml:space="preserve"> a flexible funding mechanism to respond to partners’ needs. The </w:t>
      </w:r>
      <w:r>
        <w:t>PMSP</w:t>
      </w:r>
      <w:r w:rsidR="00674B0E">
        <w:t xml:space="preserve"> and Indo</w:t>
      </w:r>
      <w:r w:rsidR="00674B0E">
        <w:noBreakHyphen/>
      </w:r>
      <w:r w:rsidRPr="00E6722A">
        <w:t>Pacific Infrastructure Program fall under the DCP architecture, bringing investment and holistic strategic effect across domains to support and complement bilateral defence programs.</w:t>
      </w:r>
    </w:p>
    <w:p w14:paraId="71068470" w14:textId="77777777" w:rsidR="00647E33" w:rsidRDefault="00647E33" w:rsidP="00647E33">
      <w:r w:rsidRPr="00E6722A">
        <w:t>Defence is committed to being flexible and responsive to the needs of our international partners. The global strategic environment is dynamic and can result in shifting demands requiring the re</w:t>
      </w:r>
      <w:r w:rsidRPr="00E6722A">
        <w:noBreakHyphen/>
        <w:t>allocation of funds between nations or at a regional level. In our near region in particular, the threat posed by climate change and other non-traditional security threats are shifting the priorities of our partner security forces to focus on shared regional resilience and disaster preparedness. In order to remain flexible and responsive to emerging and long-term needs of our partners, the DCP budget allocation occur</w:t>
      </w:r>
      <w:r>
        <w:t>s</w:t>
      </w:r>
      <w:r w:rsidRPr="00C81D48">
        <w:t xml:space="preserve"> at the regional level.</w:t>
      </w:r>
    </w:p>
    <w:p w14:paraId="646E79CB" w14:textId="0815BEBB" w:rsidR="009B6B18" w:rsidRPr="00BA1388" w:rsidRDefault="00647E33" w:rsidP="00647E33">
      <w:pPr>
        <w:rPr>
          <w:highlight w:val="yellow"/>
        </w:rPr>
      </w:pPr>
      <w:r w:rsidRPr="00C81D48">
        <w:t xml:space="preserve">The total DCP budget estimate </w:t>
      </w:r>
      <w:r>
        <w:t xml:space="preserve">in 2025-26 is </w:t>
      </w:r>
      <w:r w:rsidRPr="00791611">
        <w:t>$</w:t>
      </w:r>
      <w:r w:rsidR="00791611" w:rsidRPr="00791611">
        <w:t>4</w:t>
      </w:r>
      <w:r w:rsidR="00287DC6">
        <w:t>0</w:t>
      </w:r>
      <w:r w:rsidR="00791611" w:rsidRPr="00791611">
        <w:t>1.</w:t>
      </w:r>
      <w:r w:rsidR="00287DC6">
        <w:t>3</w:t>
      </w:r>
      <w:r w:rsidRPr="00791611">
        <w:t xml:space="preserve"> million</w:t>
      </w:r>
      <w:r w:rsidRPr="00C81D48">
        <w:t>, up from $</w:t>
      </w:r>
      <w:r w:rsidR="00791611">
        <w:t>327.7</w:t>
      </w:r>
      <w:r w:rsidRPr="00C81D48">
        <w:t xml:space="preserve"> million in 202</w:t>
      </w:r>
      <w:r w:rsidR="00791611">
        <w:t>4-25</w:t>
      </w:r>
      <w:r w:rsidRPr="00C81D48">
        <w:t>, reflecting the importanc</w:t>
      </w:r>
      <w:r>
        <w:t>e of the Program in supporting D</w:t>
      </w:r>
      <w:r w:rsidRPr="00C81D48">
        <w:t>efence and Australia’s strategic interest</w:t>
      </w:r>
      <w:r w:rsidRPr="006278E0">
        <w:t>s</w:t>
      </w:r>
      <w:r w:rsidR="009E67AE" w:rsidRPr="006278E0">
        <w:t>.</w:t>
      </w:r>
    </w:p>
    <w:tbl>
      <w:tblPr>
        <w:tblW w:w="7964" w:type="dxa"/>
        <w:tblInd w:w="108" w:type="dxa"/>
        <w:tblLayout w:type="fixed"/>
        <w:tblLook w:val="04A0" w:firstRow="1" w:lastRow="0" w:firstColumn="1" w:lastColumn="0" w:noHBand="0" w:noVBand="1"/>
      </w:tblPr>
      <w:tblGrid>
        <w:gridCol w:w="4678"/>
        <w:gridCol w:w="1174"/>
        <w:gridCol w:w="1070"/>
        <w:gridCol w:w="1042"/>
      </w:tblGrid>
      <w:tr w:rsidR="00042A95" w:rsidRPr="00B34B38" w14:paraId="5EA6E47E" w14:textId="77777777" w:rsidTr="002B2BCC">
        <w:trPr>
          <w:trHeight w:val="900"/>
        </w:trPr>
        <w:tc>
          <w:tcPr>
            <w:tcW w:w="4678" w:type="dxa"/>
            <w:tcBorders>
              <w:top w:val="single" w:sz="4" w:space="0" w:color="auto"/>
              <w:left w:val="nil"/>
              <w:bottom w:val="single" w:sz="4" w:space="0" w:color="auto"/>
              <w:right w:val="nil"/>
            </w:tcBorders>
            <w:shd w:val="clear" w:color="auto" w:fill="auto"/>
            <w:vAlign w:val="bottom"/>
            <w:hideMark/>
          </w:tcPr>
          <w:p w14:paraId="7D4352DC" w14:textId="77777777" w:rsidR="00042A95" w:rsidRPr="00B34B38" w:rsidRDefault="00042A95" w:rsidP="00042A95">
            <w:pPr>
              <w:spacing w:before="0" w:after="0"/>
              <w:jc w:val="right"/>
              <w:rPr>
                <w:rFonts w:ascii="Arial" w:hAnsi="Arial"/>
                <w:b/>
                <w:bCs/>
                <w:sz w:val="16"/>
                <w:szCs w:val="16"/>
                <w:lang w:val="en-AU"/>
              </w:rPr>
            </w:pPr>
          </w:p>
        </w:tc>
        <w:tc>
          <w:tcPr>
            <w:tcW w:w="1174" w:type="dxa"/>
            <w:tcBorders>
              <w:top w:val="single" w:sz="4" w:space="0" w:color="auto"/>
              <w:left w:val="nil"/>
              <w:bottom w:val="single" w:sz="4" w:space="0" w:color="auto"/>
              <w:right w:val="nil"/>
            </w:tcBorders>
            <w:shd w:val="clear" w:color="auto" w:fill="auto"/>
            <w:vAlign w:val="bottom"/>
            <w:hideMark/>
          </w:tcPr>
          <w:p w14:paraId="1ACEB444" w14:textId="77777777" w:rsidR="00042A95" w:rsidRPr="00B34B38" w:rsidRDefault="00042A95" w:rsidP="00120363">
            <w:pPr>
              <w:spacing w:before="0" w:after="0"/>
              <w:jc w:val="right"/>
              <w:rPr>
                <w:rFonts w:ascii="Arial" w:hAnsi="Arial"/>
                <w:b/>
                <w:bCs/>
                <w:sz w:val="16"/>
                <w:szCs w:val="16"/>
                <w:lang w:val="en-AU"/>
              </w:rPr>
            </w:pPr>
            <w:r w:rsidRPr="00B34B38">
              <w:rPr>
                <w:rFonts w:ascii="Arial" w:hAnsi="Arial"/>
                <w:b/>
                <w:bCs/>
                <w:sz w:val="16"/>
                <w:szCs w:val="16"/>
                <w:lang w:val="en-AU"/>
              </w:rPr>
              <w:t>202</w:t>
            </w:r>
            <w:r w:rsidR="00120363" w:rsidRPr="00B34B38">
              <w:rPr>
                <w:rFonts w:ascii="Arial" w:hAnsi="Arial"/>
                <w:b/>
                <w:bCs/>
                <w:sz w:val="16"/>
                <w:szCs w:val="16"/>
                <w:lang w:val="en-AU"/>
              </w:rPr>
              <w:t>4</w:t>
            </w:r>
            <w:r w:rsidRPr="00B34B38">
              <w:rPr>
                <w:rFonts w:ascii="Arial" w:hAnsi="Arial"/>
                <w:b/>
                <w:bCs/>
                <w:sz w:val="16"/>
                <w:szCs w:val="16"/>
                <w:lang w:val="en-AU"/>
              </w:rPr>
              <w:t>-2</w:t>
            </w:r>
            <w:r w:rsidR="00120363" w:rsidRPr="00B34B38">
              <w:rPr>
                <w:rFonts w:ascii="Arial" w:hAnsi="Arial"/>
                <w:b/>
                <w:bCs/>
                <w:sz w:val="16"/>
                <w:szCs w:val="16"/>
                <w:lang w:val="en-AU"/>
              </w:rPr>
              <w:t>5</w:t>
            </w:r>
            <w:r w:rsidRPr="00B34B38">
              <w:rPr>
                <w:rFonts w:ascii="Arial" w:hAnsi="Arial"/>
                <w:b/>
                <w:bCs/>
                <w:sz w:val="16"/>
                <w:szCs w:val="16"/>
                <w:lang w:val="en-AU"/>
              </w:rPr>
              <w:t xml:space="preserve"> </w:t>
            </w:r>
            <w:r w:rsidR="0077065D" w:rsidRPr="00B34B38">
              <w:rPr>
                <w:rFonts w:ascii="Arial" w:hAnsi="Arial"/>
                <w:b/>
                <w:bCs/>
                <w:sz w:val="16"/>
                <w:szCs w:val="16"/>
                <w:lang w:val="en-AU"/>
              </w:rPr>
              <w:t>Revised</w:t>
            </w:r>
            <w:r w:rsidRPr="00B34B38">
              <w:rPr>
                <w:rFonts w:ascii="Arial" w:hAnsi="Arial"/>
                <w:b/>
                <w:bCs/>
                <w:sz w:val="16"/>
                <w:szCs w:val="16"/>
                <w:lang w:val="en-AU"/>
              </w:rPr>
              <w:t xml:space="preserve"> Estimate $’000</w:t>
            </w:r>
          </w:p>
        </w:tc>
        <w:tc>
          <w:tcPr>
            <w:tcW w:w="1070" w:type="dxa"/>
            <w:tcBorders>
              <w:top w:val="single" w:sz="4" w:space="0" w:color="auto"/>
              <w:left w:val="nil"/>
              <w:bottom w:val="single" w:sz="4" w:space="0" w:color="auto"/>
              <w:right w:val="nil"/>
            </w:tcBorders>
            <w:shd w:val="clear" w:color="auto" w:fill="auto"/>
            <w:vAlign w:val="bottom"/>
            <w:hideMark/>
          </w:tcPr>
          <w:p w14:paraId="06E64F60" w14:textId="77777777" w:rsidR="00042A95" w:rsidRPr="00B34B38" w:rsidRDefault="00042A95" w:rsidP="00120363">
            <w:pPr>
              <w:spacing w:before="0" w:after="0"/>
              <w:jc w:val="right"/>
              <w:rPr>
                <w:rFonts w:ascii="Arial" w:hAnsi="Arial"/>
                <w:b/>
                <w:bCs/>
                <w:sz w:val="16"/>
                <w:szCs w:val="16"/>
                <w:lang w:val="en-AU"/>
              </w:rPr>
            </w:pPr>
            <w:r w:rsidRPr="00B34B38">
              <w:rPr>
                <w:rFonts w:ascii="Arial" w:hAnsi="Arial"/>
                <w:b/>
                <w:bCs/>
                <w:sz w:val="16"/>
                <w:szCs w:val="16"/>
                <w:lang w:val="en-AU"/>
              </w:rPr>
              <w:t>202</w:t>
            </w:r>
            <w:r w:rsidR="00120363" w:rsidRPr="00B34B38">
              <w:rPr>
                <w:rFonts w:ascii="Arial" w:hAnsi="Arial"/>
                <w:b/>
                <w:bCs/>
                <w:sz w:val="16"/>
                <w:szCs w:val="16"/>
                <w:lang w:val="en-AU"/>
              </w:rPr>
              <w:t>4</w:t>
            </w:r>
            <w:r w:rsidRPr="00B34B38">
              <w:rPr>
                <w:rFonts w:ascii="Arial" w:hAnsi="Arial"/>
                <w:b/>
                <w:bCs/>
                <w:sz w:val="16"/>
                <w:szCs w:val="16"/>
                <w:lang w:val="en-AU"/>
              </w:rPr>
              <w:t>-2</w:t>
            </w:r>
            <w:r w:rsidR="00120363" w:rsidRPr="00B34B38">
              <w:rPr>
                <w:rFonts w:ascii="Arial" w:hAnsi="Arial"/>
                <w:b/>
                <w:bCs/>
                <w:sz w:val="16"/>
                <w:szCs w:val="16"/>
                <w:lang w:val="en-AU"/>
              </w:rPr>
              <w:t>5</w:t>
            </w:r>
            <w:r w:rsidR="009B6B18" w:rsidRPr="00B34B38">
              <w:rPr>
                <w:rFonts w:ascii="Arial" w:hAnsi="Arial"/>
                <w:b/>
                <w:bCs/>
                <w:sz w:val="16"/>
                <w:szCs w:val="16"/>
                <w:lang w:val="en-AU"/>
              </w:rPr>
              <w:t xml:space="preserve"> </w:t>
            </w:r>
            <w:r w:rsidRPr="00B34B38">
              <w:rPr>
                <w:rFonts w:ascii="Arial" w:hAnsi="Arial"/>
                <w:b/>
                <w:bCs/>
                <w:sz w:val="16"/>
                <w:szCs w:val="16"/>
                <w:lang w:val="en-AU"/>
              </w:rPr>
              <w:t>Estimated Actual</w:t>
            </w:r>
            <w:r w:rsidR="009B6B18" w:rsidRPr="00B34B38">
              <w:rPr>
                <w:rFonts w:ascii="Arial" w:hAnsi="Arial"/>
                <w:b/>
                <w:bCs/>
                <w:sz w:val="16"/>
                <w:szCs w:val="16"/>
                <w:lang w:val="en-AU"/>
              </w:rPr>
              <w:t xml:space="preserve"> </w:t>
            </w:r>
            <w:r w:rsidRPr="00B34B38">
              <w:rPr>
                <w:rFonts w:ascii="Arial" w:hAnsi="Arial"/>
                <w:b/>
                <w:bCs/>
                <w:sz w:val="16"/>
                <w:szCs w:val="16"/>
                <w:lang w:val="en-AU"/>
              </w:rPr>
              <w:t>$’000</w:t>
            </w:r>
          </w:p>
        </w:tc>
        <w:tc>
          <w:tcPr>
            <w:tcW w:w="1042" w:type="dxa"/>
            <w:tcBorders>
              <w:top w:val="single" w:sz="4" w:space="0" w:color="auto"/>
              <w:left w:val="nil"/>
              <w:bottom w:val="single" w:sz="4" w:space="0" w:color="auto"/>
              <w:right w:val="nil"/>
            </w:tcBorders>
            <w:shd w:val="clear" w:color="auto" w:fill="auto"/>
            <w:vAlign w:val="bottom"/>
            <w:hideMark/>
          </w:tcPr>
          <w:p w14:paraId="4C7FD1F8" w14:textId="77777777" w:rsidR="00042A95" w:rsidRPr="00B34B38" w:rsidRDefault="00042A95" w:rsidP="00120363">
            <w:pPr>
              <w:spacing w:before="0" w:after="0"/>
              <w:jc w:val="right"/>
              <w:rPr>
                <w:rFonts w:ascii="Arial" w:hAnsi="Arial"/>
                <w:b/>
                <w:bCs/>
                <w:sz w:val="16"/>
                <w:szCs w:val="16"/>
                <w:lang w:val="en-AU"/>
              </w:rPr>
            </w:pPr>
            <w:r w:rsidRPr="00B34B38">
              <w:rPr>
                <w:rFonts w:ascii="Arial" w:hAnsi="Arial"/>
                <w:b/>
                <w:bCs/>
                <w:sz w:val="16"/>
                <w:szCs w:val="16"/>
                <w:lang w:val="en-AU"/>
              </w:rPr>
              <w:t>202</w:t>
            </w:r>
            <w:r w:rsidR="00120363" w:rsidRPr="00B34B38">
              <w:rPr>
                <w:rFonts w:ascii="Arial" w:hAnsi="Arial"/>
                <w:b/>
                <w:bCs/>
                <w:sz w:val="16"/>
                <w:szCs w:val="16"/>
                <w:lang w:val="en-AU"/>
              </w:rPr>
              <w:t>5</w:t>
            </w:r>
            <w:r w:rsidRPr="00B34B38">
              <w:rPr>
                <w:rFonts w:ascii="Arial" w:hAnsi="Arial"/>
                <w:b/>
                <w:bCs/>
                <w:sz w:val="16"/>
                <w:szCs w:val="16"/>
                <w:lang w:val="en-AU"/>
              </w:rPr>
              <w:t>-2</w:t>
            </w:r>
            <w:r w:rsidR="00120363" w:rsidRPr="00B34B38">
              <w:rPr>
                <w:rFonts w:ascii="Arial" w:hAnsi="Arial"/>
                <w:b/>
                <w:bCs/>
                <w:sz w:val="16"/>
                <w:szCs w:val="16"/>
                <w:lang w:val="en-AU"/>
              </w:rPr>
              <w:t>6</w:t>
            </w:r>
            <w:r w:rsidRPr="00B34B38">
              <w:rPr>
                <w:rFonts w:ascii="Arial" w:hAnsi="Arial"/>
                <w:b/>
                <w:bCs/>
                <w:sz w:val="16"/>
                <w:szCs w:val="16"/>
                <w:lang w:val="en-AU"/>
              </w:rPr>
              <w:t xml:space="preserve"> Budget Estimate $’000</w:t>
            </w:r>
          </w:p>
        </w:tc>
      </w:tr>
      <w:tr w:rsidR="00B419EE" w:rsidRPr="00B34B38" w14:paraId="15FB23CD" w14:textId="77777777" w:rsidTr="002B2BCC">
        <w:trPr>
          <w:trHeight w:val="290"/>
        </w:trPr>
        <w:tc>
          <w:tcPr>
            <w:tcW w:w="4678" w:type="dxa"/>
            <w:tcBorders>
              <w:top w:val="nil"/>
              <w:left w:val="nil"/>
              <w:bottom w:val="nil"/>
              <w:right w:val="nil"/>
            </w:tcBorders>
            <w:shd w:val="clear" w:color="auto" w:fill="auto"/>
            <w:vAlign w:val="center"/>
            <w:hideMark/>
          </w:tcPr>
          <w:p w14:paraId="4398A7F7" w14:textId="04D75CFB" w:rsidR="00B419EE" w:rsidRPr="00B34B38" w:rsidRDefault="00B34B38" w:rsidP="00B34B38">
            <w:pPr>
              <w:spacing w:before="0" w:after="0"/>
              <w:rPr>
                <w:rFonts w:ascii="Arial" w:hAnsi="Arial"/>
                <w:sz w:val="16"/>
                <w:szCs w:val="16"/>
                <w:lang w:val="en-AU"/>
              </w:rPr>
            </w:pPr>
            <w:r w:rsidRPr="00B34B38">
              <w:rPr>
                <w:rFonts w:ascii="Arial" w:hAnsi="Arial"/>
                <w:sz w:val="16"/>
                <w:szCs w:val="16"/>
                <w:lang w:val="en-AU"/>
              </w:rPr>
              <w:t>Pacific Region</w:t>
            </w:r>
            <w:r w:rsidR="00A30136">
              <w:rPr>
                <w:rFonts w:ascii="Arial" w:hAnsi="Arial"/>
                <w:sz w:val="16"/>
                <w:szCs w:val="16"/>
                <w:lang w:val="en-AU"/>
              </w:rPr>
              <w:t xml:space="preserve"> </w:t>
            </w:r>
          </w:p>
        </w:tc>
        <w:tc>
          <w:tcPr>
            <w:tcW w:w="1174" w:type="dxa"/>
            <w:tcBorders>
              <w:top w:val="nil"/>
              <w:left w:val="nil"/>
              <w:bottom w:val="nil"/>
              <w:right w:val="nil"/>
            </w:tcBorders>
            <w:shd w:val="clear" w:color="auto" w:fill="auto"/>
            <w:vAlign w:val="center"/>
          </w:tcPr>
          <w:p w14:paraId="527081AD" w14:textId="77777777" w:rsidR="00B419EE" w:rsidRPr="00B34B38" w:rsidRDefault="00B34B38" w:rsidP="00B34B38">
            <w:pPr>
              <w:spacing w:before="0" w:after="0"/>
              <w:jc w:val="right"/>
              <w:rPr>
                <w:rFonts w:ascii="Arial" w:hAnsi="Arial"/>
                <w:sz w:val="16"/>
                <w:szCs w:val="16"/>
                <w:lang w:val="en-AU"/>
              </w:rPr>
            </w:pPr>
            <w:r>
              <w:rPr>
                <w:rFonts w:ascii="Arial" w:hAnsi="Arial"/>
                <w:sz w:val="16"/>
                <w:szCs w:val="16"/>
                <w:lang w:val="en-AU"/>
              </w:rPr>
              <w:t>262</w:t>
            </w:r>
            <w:r w:rsidR="00F43CF5" w:rsidRPr="00B34B38">
              <w:rPr>
                <w:rFonts w:ascii="Arial" w:hAnsi="Arial"/>
                <w:sz w:val="16"/>
                <w:szCs w:val="16"/>
                <w:lang w:val="en-AU"/>
              </w:rPr>
              <w:t>,</w:t>
            </w:r>
            <w:r>
              <w:rPr>
                <w:rFonts w:ascii="Arial" w:hAnsi="Arial"/>
                <w:sz w:val="16"/>
                <w:szCs w:val="16"/>
                <w:lang w:val="en-AU"/>
              </w:rPr>
              <w:t>317</w:t>
            </w:r>
          </w:p>
        </w:tc>
        <w:tc>
          <w:tcPr>
            <w:tcW w:w="1070" w:type="dxa"/>
            <w:tcBorders>
              <w:top w:val="nil"/>
              <w:left w:val="nil"/>
              <w:bottom w:val="nil"/>
              <w:right w:val="nil"/>
            </w:tcBorders>
            <w:shd w:val="clear" w:color="auto" w:fill="auto"/>
            <w:vAlign w:val="center"/>
          </w:tcPr>
          <w:p w14:paraId="412BA69C" w14:textId="77777777" w:rsidR="00B419EE" w:rsidRPr="00B34B38" w:rsidRDefault="00F43CF5" w:rsidP="00B34B38">
            <w:pPr>
              <w:spacing w:before="0" w:after="0"/>
              <w:jc w:val="right"/>
              <w:rPr>
                <w:rFonts w:ascii="Arial" w:hAnsi="Arial"/>
                <w:sz w:val="16"/>
                <w:szCs w:val="16"/>
                <w:lang w:val="en-AU"/>
              </w:rPr>
            </w:pPr>
            <w:r w:rsidRPr="00B34B38">
              <w:rPr>
                <w:rFonts w:ascii="Arial" w:hAnsi="Arial"/>
                <w:sz w:val="16"/>
                <w:szCs w:val="16"/>
                <w:lang w:val="en-AU"/>
              </w:rPr>
              <w:t>2</w:t>
            </w:r>
            <w:r w:rsidR="00B34B38">
              <w:rPr>
                <w:rFonts w:ascii="Arial" w:hAnsi="Arial"/>
                <w:sz w:val="16"/>
                <w:szCs w:val="16"/>
                <w:lang w:val="en-AU"/>
              </w:rPr>
              <w:t>6</w:t>
            </w:r>
            <w:r w:rsidRPr="00B34B38">
              <w:rPr>
                <w:rFonts w:ascii="Arial" w:hAnsi="Arial"/>
                <w:sz w:val="16"/>
                <w:szCs w:val="16"/>
                <w:lang w:val="en-AU"/>
              </w:rPr>
              <w:t>2,</w:t>
            </w:r>
            <w:r w:rsidR="00B34B38">
              <w:rPr>
                <w:rFonts w:ascii="Arial" w:hAnsi="Arial"/>
                <w:sz w:val="16"/>
                <w:szCs w:val="16"/>
                <w:lang w:val="en-AU"/>
              </w:rPr>
              <w:t>374</w:t>
            </w:r>
          </w:p>
        </w:tc>
        <w:tc>
          <w:tcPr>
            <w:tcW w:w="1042" w:type="dxa"/>
            <w:tcBorders>
              <w:top w:val="nil"/>
              <w:left w:val="nil"/>
              <w:bottom w:val="nil"/>
              <w:right w:val="nil"/>
            </w:tcBorders>
            <w:shd w:val="clear" w:color="auto" w:fill="auto"/>
            <w:vAlign w:val="center"/>
          </w:tcPr>
          <w:p w14:paraId="42A38391" w14:textId="77777777" w:rsidR="00B419EE" w:rsidRPr="00B34B38" w:rsidRDefault="00F43CF5" w:rsidP="00B34B38">
            <w:pPr>
              <w:spacing w:before="0" w:after="0"/>
              <w:jc w:val="right"/>
              <w:rPr>
                <w:rFonts w:ascii="Arial" w:hAnsi="Arial"/>
                <w:sz w:val="16"/>
                <w:szCs w:val="16"/>
                <w:lang w:val="en-AU"/>
              </w:rPr>
            </w:pPr>
            <w:r w:rsidRPr="00B34B38">
              <w:rPr>
                <w:rFonts w:ascii="Arial" w:hAnsi="Arial"/>
                <w:sz w:val="16"/>
                <w:szCs w:val="16"/>
                <w:lang w:val="en-AU"/>
              </w:rPr>
              <w:t>3</w:t>
            </w:r>
            <w:r w:rsidR="00B34B38">
              <w:rPr>
                <w:rFonts w:ascii="Arial" w:hAnsi="Arial"/>
                <w:sz w:val="16"/>
                <w:szCs w:val="16"/>
                <w:lang w:val="en-AU"/>
              </w:rPr>
              <w:t>35</w:t>
            </w:r>
            <w:r w:rsidRPr="00B34B38">
              <w:rPr>
                <w:rFonts w:ascii="Arial" w:hAnsi="Arial"/>
                <w:sz w:val="16"/>
                <w:szCs w:val="16"/>
                <w:lang w:val="en-AU"/>
              </w:rPr>
              <w:t>,</w:t>
            </w:r>
            <w:r w:rsidR="00B34B38">
              <w:rPr>
                <w:rFonts w:ascii="Arial" w:hAnsi="Arial"/>
                <w:sz w:val="16"/>
                <w:szCs w:val="16"/>
                <w:lang w:val="en-AU"/>
              </w:rPr>
              <w:t>191</w:t>
            </w:r>
          </w:p>
        </w:tc>
      </w:tr>
      <w:tr w:rsidR="00B419EE" w:rsidRPr="00B34B38" w14:paraId="216B42D9" w14:textId="77777777" w:rsidTr="002B2BCC">
        <w:trPr>
          <w:trHeight w:val="290"/>
        </w:trPr>
        <w:tc>
          <w:tcPr>
            <w:tcW w:w="4678" w:type="dxa"/>
            <w:tcBorders>
              <w:top w:val="nil"/>
              <w:left w:val="nil"/>
              <w:bottom w:val="nil"/>
              <w:right w:val="nil"/>
            </w:tcBorders>
            <w:shd w:val="clear" w:color="auto" w:fill="auto"/>
            <w:vAlign w:val="center"/>
            <w:hideMark/>
          </w:tcPr>
          <w:p w14:paraId="5E9925F2" w14:textId="77777777" w:rsidR="00B419EE" w:rsidRPr="00B34B38" w:rsidRDefault="00B419EE" w:rsidP="00B419EE">
            <w:pPr>
              <w:spacing w:before="0" w:after="0"/>
              <w:rPr>
                <w:rFonts w:ascii="Arial" w:hAnsi="Arial"/>
                <w:sz w:val="16"/>
                <w:szCs w:val="16"/>
                <w:lang w:val="en-AU"/>
              </w:rPr>
            </w:pPr>
            <w:r w:rsidRPr="00B34B38">
              <w:rPr>
                <w:rFonts w:ascii="Arial" w:hAnsi="Arial"/>
                <w:sz w:val="16"/>
                <w:szCs w:val="16"/>
                <w:lang w:val="en-AU"/>
              </w:rPr>
              <w:t>Southeast Asia</w:t>
            </w:r>
          </w:p>
        </w:tc>
        <w:tc>
          <w:tcPr>
            <w:tcW w:w="1174" w:type="dxa"/>
            <w:tcBorders>
              <w:top w:val="nil"/>
              <w:left w:val="nil"/>
              <w:bottom w:val="nil"/>
              <w:right w:val="nil"/>
            </w:tcBorders>
            <w:shd w:val="clear" w:color="auto" w:fill="auto"/>
            <w:vAlign w:val="center"/>
          </w:tcPr>
          <w:p w14:paraId="345190C7" w14:textId="77777777" w:rsidR="00B419EE" w:rsidRPr="00B34B38" w:rsidRDefault="00B34B38" w:rsidP="00B34B38">
            <w:pPr>
              <w:spacing w:before="0" w:after="0"/>
              <w:jc w:val="right"/>
              <w:rPr>
                <w:rFonts w:ascii="Arial" w:hAnsi="Arial"/>
                <w:sz w:val="16"/>
                <w:szCs w:val="16"/>
                <w:lang w:val="en-AU"/>
              </w:rPr>
            </w:pPr>
            <w:r>
              <w:rPr>
                <w:rFonts w:ascii="Arial" w:hAnsi="Arial"/>
                <w:sz w:val="16"/>
                <w:szCs w:val="16"/>
                <w:lang w:val="en-AU"/>
              </w:rPr>
              <w:t>36</w:t>
            </w:r>
            <w:r w:rsidR="00F43CF5" w:rsidRPr="00B34B38">
              <w:rPr>
                <w:rFonts w:ascii="Arial" w:hAnsi="Arial"/>
                <w:sz w:val="16"/>
                <w:szCs w:val="16"/>
                <w:lang w:val="en-AU"/>
              </w:rPr>
              <w:t>,</w:t>
            </w:r>
            <w:r>
              <w:rPr>
                <w:rFonts w:ascii="Arial" w:hAnsi="Arial"/>
                <w:sz w:val="16"/>
                <w:szCs w:val="16"/>
                <w:lang w:val="en-AU"/>
              </w:rPr>
              <w:t>553</w:t>
            </w:r>
          </w:p>
        </w:tc>
        <w:tc>
          <w:tcPr>
            <w:tcW w:w="1070" w:type="dxa"/>
            <w:tcBorders>
              <w:top w:val="nil"/>
              <w:left w:val="nil"/>
              <w:bottom w:val="nil"/>
              <w:right w:val="nil"/>
            </w:tcBorders>
            <w:shd w:val="clear" w:color="auto" w:fill="auto"/>
            <w:vAlign w:val="center"/>
          </w:tcPr>
          <w:p w14:paraId="382BF04B" w14:textId="62EB0D05" w:rsidR="00B419EE" w:rsidRPr="00B34B38" w:rsidRDefault="00E86A98" w:rsidP="00B34B38">
            <w:pPr>
              <w:spacing w:before="0" w:after="0"/>
              <w:jc w:val="right"/>
              <w:rPr>
                <w:rFonts w:ascii="Arial" w:hAnsi="Arial"/>
                <w:sz w:val="16"/>
                <w:szCs w:val="16"/>
                <w:lang w:val="en-AU"/>
              </w:rPr>
            </w:pPr>
            <w:r>
              <w:rPr>
                <w:rFonts w:ascii="Arial" w:hAnsi="Arial"/>
                <w:sz w:val="16"/>
                <w:szCs w:val="16"/>
                <w:lang w:val="en-AU"/>
              </w:rPr>
              <w:t>30,463</w:t>
            </w:r>
          </w:p>
        </w:tc>
        <w:tc>
          <w:tcPr>
            <w:tcW w:w="1042" w:type="dxa"/>
            <w:tcBorders>
              <w:top w:val="nil"/>
              <w:left w:val="nil"/>
              <w:bottom w:val="nil"/>
              <w:right w:val="nil"/>
            </w:tcBorders>
            <w:shd w:val="clear" w:color="auto" w:fill="auto"/>
            <w:vAlign w:val="center"/>
          </w:tcPr>
          <w:p w14:paraId="08AE4A76" w14:textId="77777777" w:rsidR="00B419EE" w:rsidRPr="00B34B38" w:rsidRDefault="00F43CF5" w:rsidP="00B419EE">
            <w:pPr>
              <w:spacing w:before="0" w:after="0"/>
              <w:jc w:val="right"/>
              <w:rPr>
                <w:rFonts w:ascii="Arial" w:hAnsi="Arial"/>
                <w:sz w:val="16"/>
                <w:szCs w:val="16"/>
                <w:lang w:val="en-AU"/>
              </w:rPr>
            </w:pPr>
            <w:r w:rsidRPr="00B34B38">
              <w:rPr>
                <w:rFonts w:ascii="Arial" w:hAnsi="Arial"/>
                <w:sz w:val="16"/>
                <w:szCs w:val="16"/>
                <w:lang w:val="en-AU"/>
              </w:rPr>
              <w:t>3</w:t>
            </w:r>
            <w:r w:rsidR="00B34B38">
              <w:rPr>
                <w:rFonts w:ascii="Arial" w:hAnsi="Arial"/>
                <w:sz w:val="16"/>
                <w:szCs w:val="16"/>
                <w:lang w:val="en-AU"/>
              </w:rPr>
              <w:t>6,887</w:t>
            </w:r>
          </w:p>
        </w:tc>
      </w:tr>
      <w:tr w:rsidR="00B419EE" w:rsidRPr="00B34B38" w14:paraId="37ADA06C" w14:textId="77777777" w:rsidTr="002B2BCC">
        <w:trPr>
          <w:trHeight w:val="290"/>
        </w:trPr>
        <w:tc>
          <w:tcPr>
            <w:tcW w:w="4678" w:type="dxa"/>
            <w:tcBorders>
              <w:top w:val="nil"/>
              <w:left w:val="nil"/>
              <w:bottom w:val="nil"/>
              <w:right w:val="nil"/>
            </w:tcBorders>
            <w:shd w:val="clear" w:color="auto" w:fill="auto"/>
            <w:vAlign w:val="center"/>
            <w:hideMark/>
          </w:tcPr>
          <w:p w14:paraId="2AF0383B" w14:textId="77777777" w:rsidR="00B419EE" w:rsidRPr="00B34B38" w:rsidRDefault="00B419EE" w:rsidP="00B419EE">
            <w:pPr>
              <w:spacing w:before="0" w:after="0"/>
              <w:rPr>
                <w:rFonts w:ascii="Arial" w:hAnsi="Arial"/>
                <w:sz w:val="16"/>
                <w:szCs w:val="16"/>
                <w:lang w:val="en-AU"/>
              </w:rPr>
            </w:pPr>
            <w:r w:rsidRPr="00B34B38">
              <w:rPr>
                <w:rFonts w:ascii="Arial" w:hAnsi="Arial"/>
                <w:sz w:val="16"/>
                <w:szCs w:val="16"/>
                <w:lang w:val="en-AU"/>
              </w:rPr>
              <w:t>Other regional activities</w:t>
            </w:r>
          </w:p>
        </w:tc>
        <w:tc>
          <w:tcPr>
            <w:tcW w:w="1174" w:type="dxa"/>
            <w:tcBorders>
              <w:top w:val="nil"/>
              <w:left w:val="nil"/>
              <w:bottom w:val="nil"/>
              <w:right w:val="nil"/>
            </w:tcBorders>
            <w:shd w:val="clear" w:color="auto" w:fill="auto"/>
            <w:vAlign w:val="center"/>
          </w:tcPr>
          <w:p w14:paraId="5CA9E827" w14:textId="77777777" w:rsidR="00B419EE" w:rsidRPr="00B34B38" w:rsidRDefault="00B34B38" w:rsidP="00CB2A33">
            <w:pPr>
              <w:spacing w:before="0" w:after="0"/>
              <w:jc w:val="right"/>
              <w:rPr>
                <w:rFonts w:ascii="Arial" w:hAnsi="Arial"/>
                <w:sz w:val="16"/>
                <w:szCs w:val="16"/>
                <w:lang w:val="en-AU"/>
              </w:rPr>
            </w:pPr>
            <w:r>
              <w:rPr>
                <w:rFonts w:ascii="Arial" w:hAnsi="Arial"/>
                <w:sz w:val="16"/>
                <w:szCs w:val="16"/>
                <w:lang w:val="en-AU"/>
              </w:rPr>
              <w:t>28,008</w:t>
            </w:r>
          </w:p>
        </w:tc>
        <w:tc>
          <w:tcPr>
            <w:tcW w:w="1070" w:type="dxa"/>
            <w:tcBorders>
              <w:top w:val="nil"/>
              <w:left w:val="nil"/>
              <w:bottom w:val="nil"/>
              <w:right w:val="nil"/>
            </w:tcBorders>
            <w:shd w:val="clear" w:color="auto" w:fill="auto"/>
            <w:vAlign w:val="center"/>
          </w:tcPr>
          <w:p w14:paraId="7D3C0D43" w14:textId="1FBB95BC" w:rsidR="00B419EE" w:rsidRPr="00B34B38" w:rsidRDefault="00E86A98" w:rsidP="00B419EE">
            <w:pPr>
              <w:spacing w:before="0" w:after="0"/>
              <w:jc w:val="right"/>
              <w:rPr>
                <w:rFonts w:ascii="Arial" w:hAnsi="Arial"/>
                <w:sz w:val="16"/>
                <w:szCs w:val="16"/>
                <w:lang w:val="en-AU"/>
              </w:rPr>
            </w:pPr>
            <w:r>
              <w:rPr>
                <w:rFonts w:ascii="Arial" w:hAnsi="Arial"/>
                <w:sz w:val="16"/>
                <w:szCs w:val="16"/>
                <w:lang w:val="en-AU"/>
              </w:rPr>
              <w:t>20,538</w:t>
            </w:r>
          </w:p>
        </w:tc>
        <w:tc>
          <w:tcPr>
            <w:tcW w:w="1042" w:type="dxa"/>
            <w:tcBorders>
              <w:top w:val="nil"/>
              <w:left w:val="nil"/>
              <w:bottom w:val="nil"/>
              <w:right w:val="nil"/>
            </w:tcBorders>
            <w:shd w:val="clear" w:color="auto" w:fill="auto"/>
            <w:vAlign w:val="center"/>
          </w:tcPr>
          <w:p w14:paraId="03D5AF2A" w14:textId="7878213E" w:rsidR="00B419EE" w:rsidRPr="00B34B38" w:rsidRDefault="00E86A98" w:rsidP="00B419EE">
            <w:pPr>
              <w:spacing w:before="0" w:after="0"/>
              <w:jc w:val="right"/>
              <w:rPr>
                <w:rFonts w:ascii="Arial" w:hAnsi="Arial"/>
                <w:sz w:val="16"/>
                <w:szCs w:val="16"/>
                <w:lang w:val="en-AU"/>
              </w:rPr>
            </w:pPr>
            <w:r>
              <w:rPr>
                <w:rFonts w:ascii="Arial" w:hAnsi="Arial"/>
                <w:sz w:val="16"/>
                <w:szCs w:val="16"/>
                <w:lang w:val="en-AU"/>
              </w:rPr>
              <w:t>28,668</w:t>
            </w:r>
          </w:p>
        </w:tc>
      </w:tr>
      <w:tr w:rsidR="00B419EE" w:rsidRPr="00B34B38" w14:paraId="182529CB" w14:textId="77777777" w:rsidTr="00AE3062">
        <w:trPr>
          <w:trHeight w:val="290"/>
        </w:trPr>
        <w:tc>
          <w:tcPr>
            <w:tcW w:w="4678" w:type="dxa"/>
            <w:tcBorders>
              <w:top w:val="nil"/>
              <w:left w:val="nil"/>
              <w:bottom w:val="nil"/>
              <w:right w:val="nil"/>
            </w:tcBorders>
            <w:shd w:val="clear" w:color="auto" w:fill="auto"/>
            <w:vAlign w:val="center"/>
            <w:hideMark/>
          </w:tcPr>
          <w:p w14:paraId="1AF011A0" w14:textId="77777777" w:rsidR="00B419EE" w:rsidRPr="00B34B38" w:rsidRDefault="00B419EE" w:rsidP="00B34B38">
            <w:pPr>
              <w:spacing w:before="0" w:after="0"/>
              <w:rPr>
                <w:rFonts w:ascii="Arial" w:hAnsi="Arial"/>
                <w:sz w:val="16"/>
                <w:szCs w:val="16"/>
                <w:lang w:val="en-AU"/>
              </w:rPr>
            </w:pPr>
            <w:r w:rsidRPr="00B34B38">
              <w:rPr>
                <w:rFonts w:ascii="Arial" w:hAnsi="Arial"/>
                <w:sz w:val="16"/>
                <w:szCs w:val="16"/>
                <w:lang w:val="en-AU"/>
              </w:rPr>
              <w:t>Defence International Training Centre</w:t>
            </w:r>
          </w:p>
        </w:tc>
        <w:tc>
          <w:tcPr>
            <w:tcW w:w="1174" w:type="dxa"/>
            <w:tcBorders>
              <w:top w:val="nil"/>
              <w:left w:val="nil"/>
              <w:bottom w:val="nil"/>
              <w:right w:val="nil"/>
            </w:tcBorders>
            <w:shd w:val="clear" w:color="auto" w:fill="auto"/>
            <w:vAlign w:val="center"/>
          </w:tcPr>
          <w:p w14:paraId="06E0D80F" w14:textId="77777777" w:rsidR="00B419EE" w:rsidRPr="00B34B38" w:rsidRDefault="00B34B38" w:rsidP="00B419EE">
            <w:pPr>
              <w:spacing w:before="0" w:after="0"/>
              <w:jc w:val="right"/>
              <w:rPr>
                <w:rFonts w:ascii="Arial" w:hAnsi="Arial"/>
                <w:sz w:val="16"/>
                <w:szCs w:val="16"/>
                <w:lang w:val="en-AU"/>
              </w:rPr>
            </w:pPr>
            <w:r>
              <w:rPr>
                <w:rFonts w:ascii="Arial" w:hAnsi="Arial"/>
                <w:sz w:val="16"/>
                <w:szCs w:val="16"/>
                <w:lang w:val="en-AU"/>
              </w:rPr>
              <w:t>778</w:t>
            </w:r>
          </w:p>
        </w:tc>
        <w:tc>
          <w:tcPr>
            <w:tcW w:w="1070" w:type="dxa"/>
            <w:tcBorders>
              <w:top w:val="nil"/>
              <w:left w:val="nil"/>
              <w:bottom w:val="nil"/>
              <w:right w:val="nil"/>
            </w:tcBorders>
            <w:shd w:val="clear" w:color="auto" w:fill="auto"/>
            <w:vAlign w:val="center"/>
          </w:tcPr>
          <w:p w14:paraId="7ACD5C03" w14:textId="77777777" w:rsidR="00B419EE" w:rsidRPr="00B34B38" w:rsidRDefault="00B34B38" w:rsidP="00AE3062">
            <w:pPr>
              <w:spacing w:before="0" w:after="0"/>
              <w:jc w:val="right"/>
              <w:rPr>
                <w:rFonts w:ascii="Arial" w:hAnsi="Arial"/>
                <w:sz w:val="16"/>
                <w:szCs w:val="16"/>
                <w:lang w:val="en-AU"/>
              </w:rPr>
            </w:pPr>
            <w:r>
              <w:rPr>
                <w:rFonts w:ascii="Arial" w:hAnsi="Arial"/>
                <w:sz w:val="16"/>
                <w:szCs w:val="16"/>
                <w:lang w:val="en-AU"/>
              </w:rPr>
              <w:t>1,327</w:t>
            </w:r>
          </w:p>
        </w:tc>
        <w:tc>
          <w:tcPr>
            <w:tcW w:w="1042" w:type="dxa"/>
            <w:tcBorders>
              <w:top w:val="nil"/>
              <w:left w:val="nil"/>
              <w:bottom w:val="nil"/>
              <w:right w:val="nil"/>
            </w:tcBorders>
            <w:shd w:val="clear" w:color="auto" w:fill="auto"/>
            <w:vAlign w:val="center"/>
          </w:tcPr>
          <w:p w14:paraId="334FD182" w14:textId="77777777" w:rsidR="00B419EE" w:rsidRPr="00B34B38" w:rsidRDefault="00B34B38" w:rsidP="00AE3062">
            <w:pPr>
              <w:spacing w:before="0" w:after="0"/>
              <w:jc w:val="right"/>
              <w:rPr>
                <w:rFonts w:ascii="Arial" w:hAnsi="Arial"/>
                <w:sz w:val="16"/>
                <w:szCs w:val="16"/>
                <w:lang w:val="en-AU"/>
              </w:rPr>
            </w:pPr>
            <w:r>
              <w:rPr>
                <w:rFonts w:ascii="Arial" w:hAnsi="Arial"/>
                <w:sz w:val="16"/>
                <w:szCs w:val="16"/>
                <w:lang w:val="en-AU"/>
              </w:rPr>
              <w:t>537</w:t>
            </w:r>
          </w:p>
        </w:tc>
      </w:tr>
      <w:tr w:rsidR="00B419EE" w:rsidRPr="00B34B38" w14:paraId="2B7FED22" w14:textId="77777777" w:rsidTr="002B2BCC">
        <w:trPr>
          <w:trHeight w:val="290"/>
        </w:trPr>
        <w:tc>
          <w:tcPr>
            <w:tcW w:w="4678" w:type="dxa"/>
            <w:tcBorders>
              <w:top w:val="single" w:sz="4" w:space="0" w:color="auto"/>
              <w:left w:val="nil"/>
              <w:bottom w:val="single" w:sz="4" w:space="0" w:color="auto"/>
              <w:right w:val="nil"/>
            </w:tcBorders>
            <w:shd w:val="clear" w:color="auto" w:fill="auto"/>
            <w:vAlign w:val="center"/>
            <w:hideMark/>
          </w:tcPr>
          <w:p w14:paraId="64C101BF" w14:textId="77777777" w:rsidR="00B419EE" w:rsidRPr="00B34B38" w:rsidRDefault="00B419EE" w:rsidP="00B419EE">
            <w:pPr>
              <w:spacing w:before="0" w:after="0"/>
              <w:rPr>
                <w:rFonts w:ascii="Arial" w:hAnsi="Arial"/>
                <w:b/>
                <w:bCs/>
                <w:sz w:val="16"/>
                <w:szCs w:val="16"/>
                <w:lang w:val="en-AU"/>
              </w:rPr>
            </w:pPr>
            <w:r w:rsidRPr="00B34B38">
              <w:rPr>
                <w:rFonts w:ascii="Arial" w:hAnsi="Arial"/>
                <w:b/>
                <w:bCs/>
                <w:sz w:val="16"/>
                <w:szCs w:val="16"/>
                <w:lang w:val="en-AU"/>
              </w:rPr>
              <w:t>Total</w:t>
            </w:r>
          </w:p>
        </w:tc>
        <w:tc>
          <w:tcPr>
            <w:tcW w:w="1174" w:type="dxa"/>
            <w:tcBorders>
              <w:top w:val="single" w:sz="4" w:space="0" w:color="auto"/>
              <w:left w:val="nil"/>
              <w:bottom w:val="single" w:sz="4" w:space="0" w:color="auto"/>
              <w:right w:val="nil"/>
            </w:tcBorders>
            <w:shd w:val="clear" w:color="auto" w:fill="auto"/>
            <w:vAlign w:val="center"/>
          </w:tcPr>
          <w:p w14:paraId="5B6CF4A5" w14:textId="77777777" w:rsidR="00B419EE" w:rsidRPr="00B34B38" w:rsidRDefault="00F43CF5" w:rsidP="00B34B38">
            <w:pPr>
              <w:spacing w:before="0" w:after="0"/>
              <w:jc w:val="right"/>
              <w:rPr>
                <w:rFonts w:ascii="Arial" w:hAnsi="Arial"/>
                <w:b/>
                <w:bCs/>
                <w:sz w:val="16"/>
                <w:szCs w:val="16"/>
                <w:lang w:val="en-AU"/>
              </w:rPr>
            </w:pPr>
            <w:r w:rsidRPr="00B34B38">
              <w:rPr>
                <w:rFonts w:ascii="Arial" w:hAnsi="Arial"/>
                <w:b/>
                <w:bCs/>
                <w:sz w:val="16"/>
                <w:szCs w:val="16"/>
                <w:lang w:val="en-AU"/>
              </w:rPr>
              <w:t>3</w:t>
            </w:r>
            <w:r w:rsidR="00B34B38">
              <w:rPr>
                <w:rFonts w:ascii="Arial" w:hAnsi="Arial"/>
                <w:b/>
                <w:bCs/>
                <w:sz w:val="16"/>
                <w:szCs w:val="16"/>
                <w:lang w:val="en-AU"/>
              </w:rPr>
              <w:t>27</w:t>
            </w:r>
            <w:r w:rsidRPr="00B34B38">
              <w:rPr>
                <w:rFonts w:ascii="Arial" w:hAnsi="Arial"/>
                <w:b/>
                <w:bCs/>
                <w:sz w:val="16"/>
                <w:szCs w:val="16"/>
                <w:lang w:val="en-AU"/>
              </w:rPr>
              <w:t>,</w:t>
            </w:r>
            <w:r w:rsidR="00B34B38">
              <w:rPr>
                <w:rFonts w:ascii="Arial" w:hAnsi="Arial"/>
                <w:b/>
                <w:bCs/>
                <w:sz w:val="16"/>
                <w:szCs w:val="16"/>
                <w:lang w:val="en-AU"/>
              </w:rPr>
              <w:t>656</w:t>
            </w:r>
          </w:p>
        </w:tc>
        <w:tc>
          <w:tcPr>
            <w:tcW w:w="1070" w:type="dxa"/>
            <w:tcBorders>
              <w:top w:val="single" w:sz="4" w:space="0" w:color="auto"/>
              <w:left w:val="nil"/>
              <w:bottom w:val="single" w:sz="4" w:space="0" w:color="auto"/>
              <w:right w:val="nil"/>
            </w:tcBorders>
            <w:shd w:val="clear" w:color="auto" w:fill="auto"/>
            <w:vAlign w:val="center"/>
          </w:tcPr>
          <w:p w14:paraId="7DF24C3B" w14:textId="62E048F8" w:rsidR="00B419EE" w:rsidRPr="00B34B38" w:rsidRDefault="00E86A98" w:rsidP="00B34B38">
            <w:pPr>
              <w:spacing w:before="0" w:after="0"/>
              <w:jc w:val="right"/>
              <w:rPr>
                <w:rFonts w:ascii="Arial" w:hAnsi="Arial"/>
                <w:b/>
                <w:bCs/>
                <w:sz w:val="16"/>
                <w:szCs w:val="16"/>
                <w:lang w:val="en-AU"/>
              </w:rPr>
            </w:pPr>
            <w:r>
              <w:rPr>
                <w:rFonts w:ascii="Arial" w:hAnsi="Arial"/>
                <w:b/>
                <w:bCs/>
                <w:sz w:val="16"/>
                <w:szCs w:val="16"/>
                <w:lang w:val="en-AU"/>
              </w:rPr>
              <w:t>314,701</w:t>
            </w:r>
          </w:p>
        </w:tc>
        <w:tc>
          <w:tcPr>
            <w:tcW w:w="1042" w:type="dxa"/>
            <w:tcBorders>
              <w:top w:val="single" w:sz="4" w:space="0" w:color="auto"/>
              <w:left w:val="nil"/>
              <w:bottom w:val="single" w:sz="4" w:space="0" w:color="auto"/>
              <w:right w:val="nil"/>
            </w:tcBorders>
            <w:shd w:val="clear" w:color="auto" w:fill="auto"/>
            <w:vAlign w:val="center"/>
          </w:tcPr>
          <w:p w14:paraId="53638205" w14:textId="50917F59" w:rsidR="00B419EE" w:rsidRPr="00B34B38" w:rsidRDefault="00E86A98" w:rsidP="00B34B38">
            <w:pPr>
              <w:spacing w:before="0" w:after="0"/>
              <w:jc w:val="right"/>
              <w:rPr>
                <w:rFonts w:ascii="Arial" w:hAnsi="Arial"/>
                <w:b/>
                <w:bCs/>
                <w:sz w:val="16"/>
                <w:szCs w:val="16"/>
                <w:lang w:val="en-AU"/>
              </w:rPr>
            </w:pPr>
            <w:r>
              <w:rPr>
                <w:rFonts w:ascii="Arial" w:hAnsi="Arial"/>
                <w:b/>
                <w:bCs/>
                <w:sz w:val="16"/>
                <w:szCs w:val="16"/>
                <w:lang w:val="en-AU"/>
              </w:rPr>
              <w:t>401,282</w:t>
            </w:r>
          </w:p>
        </w:tc>
      </w:tr>
    </w:tbl>
    <w:p w14:paraId="65B8F9BB" w14:textId="77777777" w:rsidR="00042A95" w:rsidRPr="00BA1388" w:rsidRDefault="00042A95" w:rsidP="00042A95">
      <w:pPr>
        <w:tabs>
          <w:tab w:val="left" w:pos="4968"/>
          <w:tab w:val="left" w:pos="5932"/>
          <w:tab w:val="left" w:pos="7012"/>
        </w:tabs>
        <w:spacing w:before="0" w:after="0"/>
        <w:rPr>
          <w:rFonts w:ascii="Arial" w:hAnsi="Arial"/>
          <w:sz w:val="16"/>
          <w:szCs w:val="16"/>
          <w:highlight w:val="yellow"/>
          <w:lang w:val="en-AU"/>
        </w:rPr>
      </w:pPr>
    </w:p>
    <w:p w14:paraId="0451669C" w14:textId="53CD9BA6" w:rsidR="00042A95" w:rsidRPr="00B34B38" w:rsidRDefault="008A470F" w:rsidP="00FB6EE5">
      <w:pPr>
        <w:tabs>
          <w:tab w:val="left" w:pos="4968"/>
          <w:tab w:val="left" w:pos="5932"/>
          <w:tab w:val="left" w:pos="7012"/>
        </w:tabs>
        <w:spacing w:before="0" w:after="0"/>
        <w:rPr>
          <w:rFonts w:ascii="Arial" w:hAnsi="Arial"/>
          <w:b/>
          <w:bCs/>
          <w:sz w:val="14"/>
          <w:szCs w:val="14"/>
          <w:lang w:val="en-AU"/>
        </w:rPr>
      </w:pPr>
      <w:r>
        <w:rPr>
          <w:rFonts w:ascii="Arial" w:hAnsi="Arial"/>
          <w:b/>
          <w:bCs/>
          <w:sz w:val="14"/>
          <w:szCs w:val="14"/>
          <w:lang w:val="en-AU"/>
        </w:rPr>
        <w:t>Note</w:t>
      </w:r>
    </w:p>
    <w:p w14:paraId="6876BC4F" w14:textId="69FDC8E9" w:rsidR="00DD7B7C" w:rsidRPr="000D7DE5" w:rsidRDefault="00381571" w:rsidP="000D7DE5">
      <w:pPr>
        <w:pStyle w:val="ListParagraph"/>
        <w:numPr>
          <w:ilvl w:val="0"/>
          <w:numId w:val="80"/>
        </w:numPr>
        <w:spacing w:before="0" w:after="0"/>
        <w:ind w:left="284" w:hanging="284"/>
        <w:rPr>
          <w:rFonts w:ascii="Arial" w:hAnsi="Arial"/>
          <w:sz w:val="14"/>
          <w:szCs w:val="14"/>
          <w:lang w:val="en-AU"/>
        </w:rPr>
      </w:pPr>
      <w:r w:rsidRPr="00703E05">
        <w:rPr>
          <w:rFonts w:ascii="Arial" w:hAnsi="Arial"/>
          <w:sz w:val="14"/>
          <w:szCs w:val="14"/>
          <w:lang w:val="en-AU"/>
        </w:rPr>
        <w:t>DCP funding does not include support provided through the Capability Acquisition Program.</w:t>
      </w:r>
    </w:p>
    <w:p w14:paraId="2E2323BA" w14:textId="77777777" w:rsidR="00E65A0A" w:rsidRPr="00B56FAA" w:rsidRDefault="00E65A0A" w:rsidP="004B20B8">
      <w:pPr>
        <w:pStyle w:val="Heading3"/>
        <w:rPr>
          <w:lang w:val="en-AU"/>
        </w:rPr>
        <w:sectPr w:rsidR="00E65A0A" w:rsidRPr="00B56FAA" w:rsidSect="00C30BE6">
          <w:pgSz w:w="11907" w:h="16840" w:code="9"/>
          <w:pgMar w:top="1701" w:right="1361" w:bottom="1701" w:left="1928" w:header="720" w:footer="720" w:gutter="0"/>
          <w:cols w:space="720"/>
          <w:noEndnote/>
        </w:sectPr>
      </w:pPr>
      <w:bookmarkStart w:id="883" w:name="_Toc476581158"/>
      <w:bookmarkStart w:id="884" w:name="_Toc507595430"/>
      <w:bookmarkStart w:id="885" w:name="_Toc536089237"/>
      <w:bookmarkStart w:id="886" w:name="_Toc536089497"/>
    </w:p>
    <w:p w14:paraId="151E682C" w14:textId="77777777" w:rsidR="00003B8B" w:rsidRPr="00B56FAA" w:rsidRDefault="00003B8B" w:rsidP="00601219">
      <w:pPr>
        <w:pStyle w:val="Heading4"/>
        <w:spacing w:before="0" w:after="200"/>
        <w:rPr>
          <w:rFonts w:cs="Arial"/>
          <w:sz w:val="26"/>
          <w:szCs w:val="26"/>
        </w:rPr>
      </w:pPr>
      <w:bookmarkStart w:id="887" w:name="_Toc1561688"/>
      <w:bookmarkStart w:id="888" w:name="_Toc51691685"/>
      <w:bookmarkStart w:id="889" w:name="_Toc69917848"/>
      <w:bookmarkStart w:id="890" w:name="_Toc97747837"/>
      <w:bookmarkStart w:id="891" w:name="_Toc108088948"/>
      <w:bookmarkStart w:id="892" w:name="_Toc108089422"/>
      <w:bookmarkStart w:id="893" w:name="_Toc109227744"/>
      <w:bookmarkStart w:id="894" w:name="_Toc159499692"/>
      <w:bookmarkStart w:id="895" w:name="_Toc159859109"/>
      <w:bookmarkStart w:id="896" w:name="_Toc159859261"/>
      <w:r w:rsidRPr="00B56FAA">
        <w:rPr>
          <w:rFonts w:cs="Arial"/>
          <w:sz w:val="26"/>
          <w:szCs w:val="26"/>
        </w:rPr>
        <w:lastRenderedPageBreak/>
        <w:t xml:space="preserve">Appendix </w:t>
      </w:r>
      <w:r w:rsidR="00F800D6" w:rsidRPr="00B56FAA">
        <w:rPr>
          <w:rFonts w:cs="Arial"/>
          <w:sz w:val="26"/>
          <w:szCs w:val="26"/>
        </w:rPr>
        <w:t>B</w:t>
      </w:r>
      <w:r w:rsidRPr="00B56FAA">
        <w:rPr>
          <w:rFonts w:cs="Arial"/>
          <w:sz w:val="26"/>
          <w:szCs w:val="26"/>
        </w:rPr>
        <w:t xml:space="preserve">: </w:t>
      </w:r>
      <w:r w:rsidRPr="00B56FAA">
        <w:rPr>
          <w:rFonts w:cs="Arial"/>
          <w:sz w:val="26"/>
          <w:szCs w:val="26"/>
        </w:rPr>
        <w:tab/>
        <w:t xml:space="preserve">Top 30 </w:t>
      </w:r>
      <w:r w:rsidR="009026EF" w:rsidRPr="00B56FAA">
        <w:rPr>
          <w:rFonts w:cs="Arial"/>
          <w:sz w:val="26"/>
          <w:szCs w:val="26"/>
        </w:rPr>
        <w:t xml:space="preserve">Military Equipment </w:t>
      </w:r>
      <w:r w:rsidRPr="00B56FAA">
        <w:rPr>
          <w:rFonts w:cs="Arial"/>
          <w:sz w:val="26"/>
          <w:szCs w:val="26"/>
        </w:rPr>
        <w:t xml:space="preserve">Acquisition </w:t>
      </w:r>
      <w:r w:rsidR="009026EF" w:rsidRPr="00B56FAA">
        <w:rPr>
          <w:rFonts w:cs="Arial"/>
          <w:sz w:val="26"/>
          <w:szCs w:val="26"/>
        </w:rPr>
        <w:t xml:space="preserve">Program Approved </w:t>
      </w:r>
      <w:r w:rsidRPr="00B56FAA">
        <w:rPr>
          <w:rFonts w:cs="Arial"/>
          <w:sz w:val="26"/>
          <w:szCs w:val="26"/>
        </w:rPr>
        <w:t>Projects</w:t>
      </w:r>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p>
    <w:p w14:paraId="4A8F0C0B" w14:textId="77777777" w:rsidR="00BA4E91" w:rsidRPr="00A91845" w:rsidRDefault="00ED43A5" w:rsidP="008C1AC5">
      <w:pPr>
        <w:spacing w:before="120" w:after="120"/>
      </w:pPr>
      <w:r w:rsidRPr="00A91845">
        <w:t xml:space="preserve">The Top 30 </w:t>
      </w:r>
      <w:r w:rsidR="009035F1" w:rsidRPr="00A91845">
        <w:t xml:space="preserve">Military Equipment </w:t>
      </w:r>
      <w:r w:rsidRPr="00A91845">
        <w:t xml:space="preserve">Acquisition </w:t>
      </w:r>
      <w:r w:rsidR="00477B09" w:rsidRPr="00A91845">
        <w:t xml:space="preserve">Program Approved </w:t>
      </w:r>
      <w:r w:rsidRPr="00A91845">
        <w:t>Projects table includes other elements of acquisition that contribute to an overall capability (excluding workforce).</w:t>
      </w:r>
    </w:p>
    <w:p w14:paraId="6CCDD457" w14:textId="77777777" w:rsidR="00ED43A5" w:rsidRPr="00A91845" w:rsidRDefault="00ED43A5" w:rsidP="008C1AC5">
      <w:pPr>
        <w:spacing w:before="120" w:after="120"/>
      </w:pPr>
      <w:r w:rsidRPr="00A91845">
        <w:t xml:space="preserve">The Military Equipment Acquisition line </w:t>
      </w:r>
      <w:r w:rsidR="000B2382" w:rsidRPr="00A91845">
        <w:t xml:space="preserve">in the table </w:t>
      </w:r>
      <w:r w:rsidRPr="00A91845">
        <w:t>corresponds to the historical presentation for this table, which would principally include the project elements relating to the acquisition of major systems, such as aircraft, ships or vehicles.</w:t>
      </w:r>
      <w:r w:rsidR="00BA4E91" w:rsidRPr="00A91845">
        <w:t xml:space="preserve"> </w:t>
      </w:r>
      <w:r w:rsidRPr="00A91845">
        <w:t>Where projects involve other elements that are not part of the major capability system, these have been included within the Other Project Inputs to Capability line. This could include facilities, information communications technology, and research and development.</w:t>
      </w:r>
    </w:p>
    <w:p w14:paraId="2F57FF59" w14:textId="77777777" w:rsidR="00022F1F" w:rsidRPr="00A91845" w:rsidRDefault="00F0485E" w:rsidP="00D9100A">
      <w:pPr>
        <w:pStyle w:val="TableHeading"/>
        <w:numPr>
          <w:ilvl w:val="0"/>
          <w:numId w:val="29"/>
        </w:numPr>
        <w:spacing w:before="0" w:after="120"/>
        <w:ind w:left="0" w:firstLine="0"/>
        <w:outlineLvl w:val="5"/>
        <w:rPr>
          <w:vertAlign w:val="superscript"/>
        </w:rPr>
      </w:pPr>
      <w:r w:rsidRPr="00A91845">
        <w:t xml:space="preserve">Top 30 </w:t>
      </w:r>
      <w:r w:rsidR="009035F1" w:rsidRPr="00A91845">
        <w:t xml:space="preserve">Military Equipment </w:t>
      </w:r>
      <w:r w:rsidRPr="00A91845">
        <w:rPr>
          <w:szCs w:val="20"/>
        </w:rPr>
        <w:t>Acquisition</w:t>
      </w:r>
      <w:r w:rsidRPr="00A91845">
        <w:t xml:space="preserve"> </w:t>
      </w:r>
      <w:r w:rsidR="00603874" w:rsidRPr="00A91845">
        <w:t xml:space="preserve">Program Approved </w:t>
      </w:r>
      <w:r w:rsidRPr="00A91845">
        <w:t>Projects by 202</w:t>
      </w:r>
      <w:r w:rsidR="00120363" w:rsidRPr="00A91845">
        <w:t>5</w:t>
      </w:r>
      <w:r w:rsidRPr="00A91845">
        <w:t>-2</w:t>
      </w:r>
      <w:r w:rsidR="00120363" w:rsidRPr="00A91845">
        <w:t>6</w:t>
      </w:r>
      <w:r w:rsidRPr="00A91845">
        <w:t xml:space="preserve"> Forecast Expenditure (Gross Plan)</w:t>
      </w:r>
      <w:r w:rsidR="002271CB" w:rsidRPr="00A91845">
        <w:rPr>
          <w:vertAlign w:val="superscript"/>
        </w:rPr>
        <w:t xml:space="preserve"> [a]</w:t>
      </w:r>
      <w:r w:rsidR="002A27D0" w:rsidRPr="00A91845">
        <w:rPr>
          <w:vertAlign w:val="superscript"/>
        </w:rPr>
        <w:t xml:space="preserve"> [b]</w:t>
      </w:r>
      <w:r w:rsidR="00B04D30" w:rsidRPr="00A91845">
        <w:rPr>
          <w:vertAlign w:val="superscript"/>
        </w:rPr>
        <w:t xml:space="preserve"> [c]</w:t>
      </w:r>
    </w:p>
    <w:tbl>
      <w:tblPr>
        <w:tblW w:w="5000" w:type="pct"/>
        <w:tblLook w:val="04A0" w:firstRow="1" w:lastRow="0" w:firstColumn="1" w:lastColumn="0" w:noHBand="0" w:noVBand="1"/>
      </w:tblPr>
      <w:tblGrid>
        <w:gridCol w:w="1769"/>
        <w:gridCol w:w="1096"/>
        <w:gridCol w:w="1503"/>
        <w:gridCol w:w="1232"/>
        <w:gridCol w:w="1368"/>
        <w:gridCol w:w="960"/>
        <w:gridCol w:w="5500"/>
      </w:tblGrid>
      <w:tr w:rsidR="00624AC0" w:rsidRPr="00BA1388" w14:paraId="549032E8" w14:textId="77777777" w:rsidTr="00C460C8">
        <w:trPr>
          <w:trHeight w:val="853"/>
          <w:tblHeader/>
        </w:trPr>
        <w:tc>
          <w:tcPr>
            <w:tcW w:w="1769"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5DEBC8FB" w14:textId="77777777" w:rsidR="00624AC0" w:rsidRPr="00A91845" w:rsidRDefault="00624AC0" w:rsidP="00624AC0">
            <w:pPr>
              <w:spacing w:after="0"/>
              <w:rPr>
                <w:rFonts w:ascii="Arial" w:hAnsi="Arial"/>
                <w:b/>
                <w:bCs/>
                <w:sz w:val="16"/>
                <w:szCs w:val="16"/>
              </w:rPr>
            </w:pPr>
            <w:bookmarkStart w:id="897" w:name="_Toc476581162"/>
            <w:bookmarkStart w:id="898" w:name="_Toc507595431"/>
            <w:bookmarkStart w:id="899" w:name="_Toc536089238"/>
            <w:bookmarkStart w:id="900" w:name="_Toc536089498"/>
            <w:bookmarkStart w:id="901" w:name="_Toc1561689"/>
            <w:bookmarkStart w:id="902" w:name="_Toc51691686"/>
            <w:bookmarkStart w:id="903" w:name="_Toc69917849"/>
            <w:r w:rsidRPr="00A91845">
              <w:rPr>
                <w:rFonts w:ascii="Arial" w:hAnsi="Arial"/>
                <w:b/>
                <w:bCs/>
                <w:sz w:val="16"/>
                <w:szCs w:val="16"/>
              </w:rPr>
              <w:t>Domain/Project Name</w:t>
            </w:r>
          </w:p>
        </w:tc>
        <w:tc>
          <w:tcPr>
            <w:tcW w:w="1096" w:type="dxa"/>
            <w:tcBorders>
              <w:top w:val="single" w:sz="4" w:space="0" w:color="auto"/>
              <w:left w:val="nil"/>
              <w:bottom w:val="single" w:sz="4" w:space="0" w:color="auto"/>
              <w:right w:val="single" w:sz="4" w:space="0" w:color="auto"/>
            </w:tcBorders>
            <w:shd w:val="clear" w:color="000000" w:fill="auto"/>
            <w:vAlign w:val="center"/>
            <w:hideMark/>
          </w:tcPr>
          <w:p w14:paraId="398A223F" w14:textId="77777777" w:rsidR="00624AC0" w:rsidRPr="00A91845" w:rsidRDefault="00624AC0" w:rsidP="00624AC0">
            <w:pPr>
              <w:spacing w:after="0"/>
              <w:jc w:val="center"/>
              <w:rPr>
                <w:rFonts w:ascii="Arial" w:hAnsi="Arial"/>
                <w:b/>
                <w:bCs/>
                <w:sz w:val="16"/>
                <w:szCs w:val="16"/>
              </w:rPr>
            </w:pPr>
            <w:r w:rsidRPr="00A91845">
              <w:rPr>
                <w:rFonts w:ascii="Arial" w:hAnsi="Arial"/>
                <w:b/>
                <w:bCs/>
                <w:sz w:val="16"/>
                <w:szCs w:val="16"/>
              </w:rPr>
              <w:t>Project Number/</w:t>
            </w:r>
            <w:r w:rsidRPr="00A91845">
              <w:rPr>
                <w:rFonts w:ascii="Arial" w:hAnsi="Arial"/>
                <w:b/>
                <w:bCs/>
                <w:sz w:val="16"/>
                <w:szCs w:val="16"/>
              </w:rPr>
              <w:br/>
              <w:t>Phase</w:t>
            </w:r>
          </w:p>
        </w:tc>
        <w:tc>
          <w:tcPr>
            <w:tcW w:w="1503" w:type="dxa"/>
            <w:tcBorders>
              <w:top w:val="single" w:sz="4" w:space="0" w:color="auto"/>
              <w:left w:val="nil"/>
              <w:bottom w:val="single" w:sz="4" w:space="0" w:color="auto"/>
              <w:right w:val="single" w:sz="4" w:space="0" w:color="auto"/>
            </w:tcBorders>
            <w:shd w:val="clear" w:color="000000" w:fill="auto"/>
            <w:vAlign w:val="center"/>
            <w:hideMark/>
          </w:tcPr>
          <w:p w14:paraId="0350954B" w14:textId="77777777" w:rsidR="00624AC0" w:rsidRPr="00A91845" w:rsidRDefault="00624AC0" w:rsidP="00B91E52">
            <w:pPr>
              <w:spacing w:after="0"/>
              <w:rPr>
                <w:rFonts w:ascii="Arial" w:hAnsi="Arial"/>
                <w:b/>
                <w:bCs/>
                <w:sz w:val="16"/>
                <w:szCs w:val="16"/>
              </w:rPr>
            </w:pPr>
            <w:r w:rsidRPr="00A91845">
              <w:rPr>
                <w:rFonts w:ascii="Arial" w:hAnsi="Arial"/>
                <w:b/>
                <w:bCs/>
                <w:sz w:val="16"/>
                <w:szCs w:val="16"/>
              </w:rPr>
              <w:t>Project Inputs to Capability</w:t>
            </w:r>
          </w:p>
        </w:tc>
        <w:tc>
          <w:tcPr>
            <w:tcW w:w="1232" w:type="dxa"/>
            <w:tcBorders>
              <w:top w:val="single" w:sz="4" w:space="0" w:color="auto"/>
              <w:left w:val="nil"/>
              <w:bottom w:val="single" w:sz="4" w:space="0" w:color="auto"/>
              <w:right w:val="single" w:sz="4" w:space="0" w:color="auto"/>
            </w:tcBorders>
            <w:shd w:val="clear" w:color="000000" w:fill="auto"/>
            <w:vAlign w:val="center"/>
            <w:hideMark/>
          </w:tcPr>
          <w:p w14:paraId="2CD0DA09" w14:textId="7A835921" w:rsidR="00FF4B36" w:rsidRDefault="00624AC0" w:rsidP="00650F5D">
            <w:pPr>
              <w:spacing w:before="0" w:after="0"/>
              <w:jc w:val="right"/>
              <w:rPr>
                <w:rFonts w:ascii="Arial" w:hAnsi="Arial"/>
                <w:b/>
                <w:bCs/>
                <w:sz w:val="16"/>
                <w:szCs w:val="16"/>
              </w:rPr>
            </w:pPr>
            <w:r w:rsidRPr="00A91845">
              <w:rPr>
                <w:rFonts w:ascii="Arial" w:hAnsi="Arial"/>
                <w:b/>
                <w:bCs/>
                <w:sz w:val="16"/>
                <w:szCs w:val="16"/>
              </w:rPr>
              <w:t>Approved Project Expenditure</w:t>
            </w:r>
          </w:p>
          <w:p w14:paraId="1BFF514F" w14:textId="77777777" w:rsidR="00650F5D" w:rsidRDefault="00650F5D" w:rsidP="00650F5D">
            <w:pPr>
              <w:spacing w:before="0" w:after="0"/>
              <w:jc w:val="right"/>
              <w:rPr>
                <w:rFonts w:ascii="Arial" w:hAnsi="Arial"/>
                <w:b/>
                <w:bCs/>
                <w:sz w:val="16"/>
                <w:szCs w:val="16"/>
              </w:rPr>
            </w:pPr>
          </w:p>
          <w:p w14:paraId="457C1FE2" w14:textId="3457F14D" w:rsidR="00624AC0" w:rsidRPr="00A91845" w:rsidRDefault="00624AC0" w:rsidP="00B91E52">
            <w:pPr>
              <w:spacing w:after="0"/>
              <w:jc w:val="right"/>
              <w:rPr>
                <w:rFonts w:ascii="Arial" w:hAnsi="Arial"/>
                <w:b/>
                <w:bCs/>
                <w:sz w:val="16"/>
                <w:szCs w:val="16"/>
              </w:rPr>
            </w:pPr>
            <w:r w:rsidRPr="00A91845">
              <w:rPr>
                <w:rFonts w:ascii="Arial" w:hAnsi="Arial"/>
                <w:b/>
                <w:bCs/>
                <w:sz w:val="16"/>
                <w:szCs w:val="16"/>
              </w:rPr>
              <w:t xml:space="preserve"> $m</w:t>
            </w:r>
          </w:p>
        </w:tc>
        <w:tc>
          <w:tcPr>
            <w:tcW w:w="1368" w:type="dxa"/>
            <w:tcBorders>
              <w:top w:val="single" w:sz="4" w:space="0" w:color="auto"/>
              <w:left w:val="nil"/>
              <w:bottom w:val="single" w:sz="4" w:space="0" w:color="auto"/>
              <w:right w:val="single" w:sz="4" w:space="0" w:color="auto"/>
            </w:tcBorders>
            <w:shd w:val="clear" w:color="000000" w:fill="auto"/>
            <w:vAlign w:val="center"/>
            <w:hideMark/>
          </w:tcPr>
          <w:p w14:paraId="5C4732CD" w14:textId="77777777" w:rsidR="00FF4B36" w:rsidRDefault="00624AC0" w:rsidP="00FF4B36">
            <w:pPr>
              <w:spacing w:before="0" w:after="0"/>
              <w:jc w:val="right"/>
              <w:rPr>
                <w:rFonts w:ascii="Arial" w:hAnsi="Arial"/>
                <w:b/>
                <w:bCs/>
                <w:sz w:val="16"/>
                <w:szCs w:val="16"/>
              </w:rPr>
            </w:pPr>
            <w:r w:rsidRPr="00A91845">
              <w:rPr>
                <w:rFonts w:ascii="Arial" w:hAnsi="Arial"/>
                <w:b/>
                <w:bCs/>
                <w:sz w:val="16"/>
                <w:szCs w:val="16"/>
              </w:rPr>
              <w:t>Estimated Cumulative Expenditure to 30 June 202</w:t>
            </w:r>
            <w:r w:rsidR="00783A8E" w:rsidRPr="00A91845">
              <w:rPr>
                <w:rFonts w:ascii="Arial" w:hAnsi="Arial"/>
                <w:b/>
                <w:bCs/>
                <w:sz w:val="16"/>
                <w:szCs w:val="16"/>
              </w:rPr>
              <w:t>5</w:t>
            </w:r>
          </w:p>
          <w:p w14:paraId="45DFFF70" w14:textId="2CABF79E" w:rsidR="00624AC0" w:rsidRPr="00A91845" w:rsidRDefault="00624AC0" w:rsidP="00783A8E">
            <w:pPr>
              <w:spacing w:after="0"/>
              <w:jc w:val="right"/>
              <w:rPr>
                <w:rFonts w:ascii="Arial" w:hAnsi="Arial"/>
                <w:b/>
                <w:bCs/>
                <w:sz w:val="16"/>
                <w:szCs w:val="16"/>
              </w:rPr>
            </w:pPr>
            <w:r w:rsidRPr="00A91845">
              <w:rPr>
                <w:rFonts w:ascii="Arial" w:hAnsi="Arial"/>
                <w:b/>
                <w:bCs/>
                <w:sz w:val="16"/>
                <w:szCs w:val="16"/>
              </w:rPr>
              <w:t xml:space="preserve"> $m</w:t>
            </w:r>
          </w:p>
        </w:tc>
        <w:tc>
          <w:tcPr>
            <w:tcW w:w="960" w:type="dxa"/>
            <w:tcBorders>
              <w:top w:val="single" w:sz="4" w:space="0" w:color="auto"/>
              <w:left w:val="nil"/>
              <w:bottom w:val="single" w:sz="4" w:space="0" w:color="auto"/>
              <w:right w:val="single" w:sz="4" w:space="0" w:color="auto"/>
            </w:tcBorders>
            <w:shd w:val="clear" w:color="000000" w:fill="auto"/>
            <w:vAlign w:val="center"/>
            <w:hideMark/>
          </w:tcPr>
          <w:p w14:paraId="752F5EDE" w14:textId="6FAFB84E" w:rsidR="00650F5D" w:rsidRDefault="00624AC0" w:rsidP="00650F5D">
            <w:pPr>
              <w:spacing w:before="0" w:after="0"/>
              <w:jc w:val="right"/>
              <w:rPr>
                <w:rFonts w:ascii="Arial" w:hAnsi="Arial"/>
                <w:b/>
                <w:bCs/>
                <w:sz w:val="16"/>
                <w:szCs w:val="16"/>
              </w:rPr>
            </w:pPr>
            <w:r w:rsidRPr="00A91845">
              <w:rPr>
                <w:rFonts w:ascii="Arial" w:hAnsi="Arial"/>
                <w:b/>
                <w:bCs/>
                <w:sz w:val="16"/>
                <w:szCs w:val="16"/>
              </w:rPr>
              <w:t>Budget Estimate 202</w:t>
            </w:r>
            <w:r w:rsidR="004B232A" w:rsidRPr="00A91845">
              <w:rPr>
                <w:rFonts w:ascii="Arial" w:hAnsi="Arial"/>
                <w:b/>
                <w:bCs/>
                <w:sz w:val="16"/>
                <w:szCs w:val="16"/>
              </w:rPr>
              <w:t>5</w:t>
            </w:r>
            <w:r w:rsidRPr="00A91845">
              <w:rPr>
                <w:rFonts w:ascii="Arial" w:hAnsi="Arial"/>
                <w:b/>
                <w:bCs/>
                <w:sz w:val="16"/>
                <w:szCs w:val="16"/>
              </w:rPr>
              <w:t>-2</w:t>
            </w:r>
            <w:r w:rsidR="004B232A" w:rsidRPr="00A91845">
              <w:rPr>
                <w:rFonts w:ascii="Arial" w:hAnsi="Arial"/>
                <w:b/>
                <w:bCs/>
                <w:sz w:val="16"/>
                <w:szCs w:val="16"/>
              </w:rPr>
              <w:t>6</w:t>
            </w:r>
            <w:r w:rsidRPr="00A91845">
              <w:rPr>
                <w:rFonts w:ascii="Arial" w:hAnsi="Arial"/>
                <w:b/>
                <w:bCs/>
                <w:sz w:val="16"/>
                <w:szCs w:val="16"/>
              </w:rPr>
              <w:t xml:space="preserve"> </w:t>
            </w:r>
          </w:p>
          <w:p w14:paraId="433E6B17" w14:textId="77777777" w:rsidR="00650F5D" w:rsidRDefault="00650F5D" w:rsidP="00650F5D">
            <w:pPr>
              <w:spacing w:before="0" w:after="0"/>
              <w:jc w:val="right"/>
              <w:rPr>
                <w:rFonts w:ascii="Arial" w:hAnsi="Arial"/>
                <w:b/>
                <w:bCs/>
                <w:sz w:val="16"/>
                <w:szCs w:val="16"/>
              </w:rPr>
            </w:pPr>
          </w:p>
          <w:p w14:paraId="3D575077" w14:textId="5EAB858D" w:rsidR="00624AC0" w:rsidRPr="00A91845" w:rsidRDefault="00624AC0" w:rsidP="004B232A">
            <w:pPr>
              <w:spacing w:after="0"/>
              <w:jc w:val="right"/>
              <w:rPr>
                <w:rFonts w:ascii="Arial" w:hAnsi="Arial"/>
                <w:b/>
                <w:bCs/>
                <w:sz w:val="16"/>
                <w:szCs w:val="16"/>
              </w:rPr>
            </w:pPr>
            <w:r w:rsidRPr="00A91845">
              <w:rPr>
                <w:rFonts w:ascii="Arial" w:hAnsi="Arial"/>
                <w:b/>
                <w:bCs/>
                <w:sz w:val="16"/>
                <w:szCs w:val="16"/>
              </w:rPr>
              <w:t>$m</w:t>
            </w:r>
          </w:p>
        </w:tc>
        <w:tc>
          <w:tcPr>
            <w:tcW w:w="5500" w:type="dxa"/>
            <w:tcBorders>
              <w:top w:val="single" w:sz="4" w:space="0" w:color="auto"/>
              <w:left w:val="nil"/>
              <w:bottom w:val="single" w:sz="4" w:space="0" w:color="auto"/>
              <w:right w:val="single" w:sz="4" w:space="0" w:color="auto"/>
            </w:tcBorders>
            <w:shd w:val="clear" w:color="000000" w:fill="auto"/>
            <w:vAlign w:val="center"/>
            <w:hideMark/>
          </w:tcPr>
          <w:p w14:paraId="59B6CAD5" w14:textId="77777777" w:rsidR="00624AC0" w:rsidRPr="00A91845" w:rsidRDefault="00624AC0" w:rsidP="00624AC0">
            <w:pPr>
              <w:spacing w:after="0"/>
              <w:jc w:val="center"/>
              <w:rPr>
                <w:rFonts w:ascii="Arial" w:hAnsi="Arial"/>
                <w:b/>
                <w:bCs/>
                <w:sz w:val="16"/>
                <w:szCs w:val="16"/>
              </w:rPr>
            </w:pPr>
            <w:r w:rsidRPr="00A91845">
              <w:rPr>
                <w:rFonts w:ascii="Arial" w:hAnsi="Arial"/>
                <w:b/>
                <w:bCs/>
                <w:sz w:val="16"/>
                <w:szCs w:val="16"/>
              </w:rPr>
              <w:t>Top 30 Military Equipment Acquisition Project Descriptions</w:t>
            </w:r>
          </w:p>
        </w:tc>
      </w:tr>
      <w:tr w:rsidR="00624AC0" w:rsidRPr="00BA1388" w14:paraId="35A836C9" w14:textId="77777777" w:rsidTr="00B86D3B">
        <w:trPr>
          <w:trHeight w:hRule="exact" w:val="301"/>
        </w:trPr>
        <w:tc>
          <w:tcPr>
            <w:tcW w:w="13428" w:type="dxa"/>
            <w:gridSpan w:val="7"/>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3AFDCCD7" w14:textId="77777777" w:rsidR="00624AC0" w:rsidRPr="00BA1388" w:rsidRDefault="00624AC0" w:rsidP="00F57384">
            <w:pPr>
              <w:spacing w:before="0" w:after="0"/>
              <w:rPr>
                <w:rFonts w:ascii="Arial" w:hAnsi="Arial"/>
                <w:sz w:val="16"/>
                <w:szCs w:val="16"/>
                <w:highlight w:val="yellow"/>
              </w:rPr>
            </w:pPr>
            <w:r w:rsidRPr="00A91845">
              <w:rPr>
                <w:rFonts w:ascii="Arial" w:hAnsi="Arial"/>
                <w:b/>
                <w:bCs/>
                <w:sz w:val="16"/>
                <w:szCs w:val="16"/>
              </w:rPr>
              <w:t>Air Domain</w:t>
            </w:r>
          </w:p>
        </w:tc>
      </w:tr>
      <w:tr w:rsidR="00E91999" w:rsidRPr="00BA1388" w14:paraId="613A70EF" w14:textId="77777777" w:rsidTr="00EC2992">
        <w:trPr>
          <w:trHeight w:hRule="exact" w:val="1388"/>
        </w:trPr>
        <w:tc>
          <w:tcPr>
            <w:tcW w:w="1769" w:type="dxa"/>
            <w:vMerge w:val="restart"/>
            <w:tcBorders>
              <w:top w:val="nil"/>
              <w:left w:val="single" w:sz="4" w:space="0" w:color="auto"/>
              <w:right w:val="single" w:sz="4" w:space="0" w:color="auto"/>
            </w:tcBorders>
            <w:shd w:val="clear" w:color="auto" w:fill="auto"/>
            <w:vAlign w:val="center"/>
            <w:hideMark/>
          </w:tcPr>
          <w:p w14:paraId="114A9F54" w14:textId="57E0F152" w:rsidR="00E91999" w:rsidRPr="00B86D3B" w:rsidRDefault="00E91999" w:rsidP="00D73F23">
            <w:pPr>
              <w:spacing w:after="0"/>
              <w:rPr>
                <w:rFonts w:ascii="Arial" w:hAnsi="Arial"/>
                <w:sz w:val="16"/>
                <w:szCs w:val="16"/>
              </w:rPr>
            </w:pPr>
            <w:r w:rsidRPr="00B86D3B">
              <w:rPr>
                <w:rFonts w:ascii="Arial" w:hAnsi="Arial"/>
                <w:sz w:val="16"/>
                <w:szCs w:val="16"/>
              </w:rPr>
              <w:t>Air Launched Multi Domain Strike</w:t>
            </w:r>
          </w:p>
        </w:tc>
        <w:tc>
          <w:tcPr>
            <w:tcW w:w="1096" w:type="dxa"/>
            <w:vMerge w:val="restart"/>
            <w:tcBorders>
              <w:top w:val="nil"/>
              <w:left w:val="single" w:sz="4" w:space="0" w:color="auto"/>
              <w:right w:val="single" w:sz="4" w:space="0" w:color="auto"/>
            </w:tcBorders>
            <w:shd w:val="clear" w:color="auto" w:fill="auto"/>
            <w:vAlign w:val="center"/>
            <w:hideMark/>
          </w:tcPr>
          <w:p w14:paraId="76CF18FA" w14:textId="77777777" w:rsidR="00E91999" w:rsidRPr="00B86D3B" w:rsidRDefault="00E91999" w:rsidP="00B91E52">
            <w:pPr>
              <w:spacing w:after="0"/>
              <w:jc w:val="center"/>
              <w:rPr>
                <w:rFonts w:ascii="Arial" w:hAnsi="Arial"/>
                <w:b/>
                <w:bCs/>
                <w:sz w:val="16"/>
                <w:szCs w:val="16"/>
              </w:rPr>
            </w:pPr>
            <w:r w:rsidRPr="00B86D3B">
              <w:rPr>
                <w:rFonts w:ascii="Arial" w:hAnsi="Arial"/>
                <w:b/>
                <w:bCs/>
                <w:sz w:val="16"/>
                <w:szCs w:val="16"/>
              </w:rPr>
              <w:t>AIR 6004</w:t>
            </w:r>
          </w:p>
        </w:tc>
        <w:tc>
          <w:tcPr>
            <w:tcW w:w="1503" w:type="dxa"/>
            <w:tcBorders>
              <w:top w:val="nil"/>
              <w:left w:val="nil"/>
              <w:bottom w:val="single" w:sz="4" w:space="0" w:color="auto"/>
              <w:right w:val="single" w:sz="4" w:space="0" w:color="auto"/>
            </w:tcBorders>
            <w:shd w:val="clear" w:color="auto" w:fill="auto"/>
            <w:vAlign w:val="center"/>
            <w:hideMark/>
          </w:tcPr>
          <w:p w14:paraId="01FE2942" w14:textId="77777777" w:rsidR="00E91999" w:rsidRPr="00F83D16" w:rsidRDefault="00E91999" w:rsidP="00B91E52">
            <w:pPr>
              <w:spacing w:after="0"/>
              <w:rPr>
                <w:rFonts w:ascii="Arial" w:hAnsi="Arial"/>
                <w:sz w:val="16"/>
                <w:szCs w:val="16"/>
              </w:rPr>
            </w:pPr>
            <w:r w:rsidRPr="00F83D16">
              <w:rPr>
                <w:rFonts w:ascii="Arial" w:hAnsi="Arial"/>
                <w:sz w:val="16"/>
                <w:szCs w:val="16"/>
              </w:rPr>
              <w:t>Military Equipment Acquisition</w:t>
            </w:r>
          </w:p>
        </w:tc>
        <w:tc>
          <w:tcPr>
            <w:tcW w:w="1232" w:type="dxa"/>
            <w:tcBorders>
              <w:top w:val="nil"/>
              <w:left w:val="nil"/>
              <w:bottom w:val="single" w:sz="4" w:space="0" w:color="auto"/>
              <w:right w:val="single" w:sz="4" w:space="0" w:color="auto"/>
            </w:tcBorders>
            <w:shd w:val="clear" w:color="auto" w:fill="auto"/>
            <w:noWrap/>
            <w:vAlign w:val="center"/>
            <w:hideMark/>
          </w:tcPr>
          <w:p w14:paraId="0E8174F6" w14:textId="2C48DDDC" w:rsidR="00E91999" w:rsidRPr="00F102BD" w:rsidRDefault="00E91999" w:rsidP="00F102BD">
            <w:pPr>
              <w:spacing w:after="0"/>
              <w:jc w:val="right"/>
              <w:rPr>
                <w:rFonts w:ascii="Arial" w:hAnsi="Arial"/>
                <w:sz w:val="16"/>
                <w:szCs w:val="16"/>
              </w:rPr>
            </w:pPr>
            <w:r w:rsidRPr="00F102BD">
              <w:rPr>
                <w:rFonts w:ascii="Arial" w:hAnsi="Arial"/>
                <w:sz w:val="16"/>
                <w:szCs w:val="16"/>
              </w:rPr>
              <w:t>2,5</w:t>
            </w:r>
            <w:r>
              <w:rPr>
                <w:rFonts w:ascii="Arial" w:hAnsi="Arial"/>
                <w:sz w:val="16"/>
                <w:szCs w:val="16"/>
              </w:rPr>
              <w:t>38</w:t>
            </w:r>
          </w:p>
        </w:tc>
        <w:tc>
          <w:tcPr>
            <w:tcW w:w="1368" w:type="dxa"/>
            <w:tcBorders>
              <w:top w:val="nil"/>
              <w:left w:val="nil"/>
              <w:bottom w:val="single" w:sz="4" w:space="0" w:color="auto"/>
              <w:right w:val="single" w:sz="4" w:space="0" w:color="auto"/>
            </w:tcBorders>
            <w:shd w:val="clear" w:color="auto" w:fill="auto"/>
            <w:noWrap/>
            <w:vAlign w:val="center"/>
            <w:hideMark/>
          </w:tcPr>
          <w:p w14:paraId="1770CCC0" w14:textId="56DE3F4B" w:rsidR="00E91999" w:rsidRPr="00F102BD" w:rsidRDefault="00E91999" w:rsidP="00F102BD">
            <w:pPr>
              <w:spacing w:after="0"/>
              <w:jc w:val="right"/>
              <w:rPr>
                <w:rFonts w:ascii="Arial" w:hAnsi="Arial"/>
                <w:sz w:val="16"/>
                <w:szCs w:val="16"/>
              </w:rPr>
            </w:pPr>
            <w:r>
              <w:rPr>
                <w:rFonts w:ascii="Arial" w:hAnsi="Arial"/>
                <w:sz w:val="16"/>
                <w:szCs w:val="16"/>
              </w:rPr>
              <w:t>1,044</w:t>
            </w:r>
          </w:p>
        </w:tc>
        <w:tc>
          <w:tcPr>
            <w:tcW w:w="960" w:type="dxa"/>
            <w:tcBorders>
              <w:top w:val="nil"/>
              <w:left w:val="nil"/>
              <w:bottom w:val="single" w:sz="4" w:space="0" w:color="auto"/>
              <w:right w:val="single" w:sz="4" w:space="0" w:color="auto"/>
            </w:tcBorders>
            <w:shd w:val="clear" w:color="auto" w:fill="auto"/>
            <w:noWrap/>
            <w:vAlign w:val="center"/>
            <w:hideMark/>
          </w:tcPr>
          <w:p w14:paraId="5D6BA1E3" w14:textId="12B0641C" w:rsidR="00E91999" w:rsidRPr="00F102BD" w:rsidRDefault="00E91999" w:rsidP="00F102BD">
            <w:pPr>
              <w:spacing w:after="0"/>
              <w:jc w:val="right"/>
              <w:rPr>
                <w:rFonts w:ascii="Arial" w:hAnsi="Arial"/>
                <w:sz w:val="16"/>
                <w:szCs w:val="16"/>
              </w:rPr>
            </w:pPr>
            <w:r>
              <w:rPr>
                <w:rFonts w:ascii="Arial" w:hAnsi="Arial"/>
                <w:sz w:val="16"/>
                <w:szCs w:val="16"/>
              </w:rPr>
              <w:t>308</w:t>
            </w:r>
          </w:p>
        </w:tc>
        <w:tc>
          <w:tcPr>
            <w:tcW w:w="5500" w:type="dxa"/>
            <w:vMerge w:val="restart"/>
            <w:tcBorders>
              <w:top w:val="nil"/>
              <w:left w:val="single" w:sz="4" w:space="0" w:color="auto"/>
              <w:right w:val="single" w:sz="4" w:space="0" w:color="auto"/>
            </w:tcBorders>
            <w:shd w:val="clear" w:color="auto" w:fill="auto"/>
            <w:vAlign w:val="center"/>
            <w:hideMark/>
          </w:tcPr>
          <w:p w14:paraId="6B08734D" w14:textId="1647DD5A" w:rsidR="00EC2992" w:rsidRPr="00EC2992" w:rsidRDefault="00237B43" w:rsidP="00EC2992">
            <w:pPr>
              <w:spacing w:after="80"/>
              <w:rPr>
                <w:rFonts w:ascii="Arial" w:hAnsi="Arial"/>
                <w:sz w:val="16"/>
                <w:szCs w:val="16"/>
                <w:lang w:val="en-AU"/>
              </w:rPr>
            </w:pPr>
            <w:r>
              <w:rPr>
                <w:rFonts w:ascii="Arial" w:hAnsi="Arial"/>
                <w:sz w:val="16"/>
                <w:szCs w:val="16"/>
              </w:rPr>
              <w:t>The p</w:t>
            </w:r>
            <w:r w:rsidR="00EC2992" w:rsidRPr="00EC2992">
              <w:rPr>
                <w:rFonts w:ascii="Arial" w:hAnsi="Arial"/>
                <w:sz w:val="16"/>
                <w:szCs w:val="16"/>
              </w:rPr>
              <w:t xml:space="preserve">roject </w:t>
            </w:r>
            <w:r>
              <w:rPr>
                <w:rFonts w:ascii="Arial" w:hAnsi="Arial"/>
                <w:sz w:val="16"/>
                <w:szCs w:val="16"/>
              </w:rPr>
              <w:t>is delivered through</w:t>
            </w:r>
            <w:r w:rsidR="00EC2992" w:rsidRPr="00EC2992">
              <w:rPr>
                <w:rFonts w:ascii="Arial" w:hAnsi="Arial"/>
                <w:sz w:val="16"/>
                <w:szCs w:val="16"/>
              </w:rPr>
              <w:t xml:space="preserve"> a programmatic approach </w:t>
            </w:r>
            <w:r>
              <w:rPr>
                <w:rFonts w:ascii="Arial" w:hAnsi="Arial"/>
                <w:sz w:val="16"/>
                <w:szCs w:val="16"/>
              </w:rPr>
              <w:t xml:space="preserve">and is approved </w:t>
            </w:r>
            <w:r w:rsidR="00EC2992" w:rsidRPr="00EC2992">
              <w:rPr>
                <w:rFonts w:ascii="Arial" w:hAnsi="Arial"/>
                <w:sz w:val="16"/>
                <w:szCs w:val="16"/>
              </w:rPr>
              <w:t>to acquire land and maritime strike weapons, associated ancillaries and sufficient air-to-surface ordnance to conduct air launched strike. These capabilities will be used by Air Force aircraft including the F/A-18F Super Hornet, P-8A Poseidon and, in the future, the F-35A Lightning II. Equipment will be acquired through the United States Government Foreign Military Sales program or via direct commercial sales, including supply of general purpose bombs through Australian Munitions.</w:t>
            </w:r>
          </w:p>
          <w:p w14:paraId="052E6DE4" w14:textId="70A5029A" w:rsidR="00E91999" w:rsidRPr="00B86D3B" w:rsidRDefault="00EC2992" w:rsidP="00232C65">
            <w:pPr>
              <w:spacing w:before="40" w:after="80"/>
              <w:rPr>
                <w:rFonts w:ascii="Arial" w:hAnsi="Arial"/>
                <w:sz w:val="16"/>
                <w:szCs w:val="16"/>
                <w:highlight w:val="yellow"/>
              </w:rPr>
            </w:pPr>
            <w:r w:rsidRPr="00EC2992">
              <w:rPr>
                <w:rFonts w:ascii="Arial" w:hAnsi="Arial"/>
                <w:sz w:val="16"/>
                <w:szCs w:val="16"/>
              </w:rPr>
              <w:t>During 2025-26, the project will deliver an initial tranche of Long Range Anti-Ship Missiles, an initial quantity of Joint Air-to-Surface Standoff Missiles – Extended Range, and final qua</w:t>
            </w:r>
            <w:r w:rsidR="003D2400">
              <w:rPr>
                <w:rFonts w:ascii="Arial" w:hAnsi="Arial"/>
                <w:sz w:val="16"/>
                <w:szCs w:val="16"/>
              </w:rPr>
              <w:t>ntities of Small Diameter Bombs </w:t>
            </w:r>
            <w:r w:rsidRPr="00EC2992">
              <w:rPr>
                <w:rFonts w:ascii="Arial" w:hAnsi="Arial"/>
                <w:sz w:val="16"/>
                <w:szCs w:val="16"/>
              </w:rPr>
              <w:t>II.</w:t>
            </w:r>
          </w:p>
        </w:tc>
      </w:tr>
      <w:tr w:rsidR="00E91999" w:rsidRPr="00BA1388" w14:paraId="3DBF4FBD" w14:textId="77777777" w:rsidTr="001A6A19">
        <w:trPr>
          <w:trHeight w:hRule="exact" w:val="1588"/>
        </w:trPr>
        <w:tc>
          <w:tcPr>
            <w:tcW w:w="1769" w:type="dxa"/>
            <w:vMerge/>
            <w:tcBorders>
              <w:left w:val="single" w:sz="4" w:space="0" w:color="auto"/>
              <w:bottom w:val="single" w:sz="4" w:space="0" w:color="000000"/>
              <w:right w:val="single" w:sz="4" w:space="0" w:color="auto"/>
            </w:tcBorders>
            <w:shd w:val="clear" w:color="auto" w:fill="auto"/>
            <w:vAlign w:val="center"/>
            <w:hideMark/>
          </w:tcPr>
          <w:p w14:paraId="1A0B6801" w14:textId="77777777" w:rsidR="00E91999" w:rsidRPr="00BA1388" w:rsidRDefault="00E91999" w:rsidP="00B91E52">
            <w:pPr>
              <w:spacing w:after="0"/>
              <w:rPr>
                <w:rFonts w:ascii="Arial" w:hAnsi="Arial"/>
                <w:sz w:val="16"/>
                <w:szCs w:val="16"/>
                <w:highlight w:val="yellow"/>
              </w:rPr>
            </w:pPr>
          </w:p>
        </w:tc>
        <w:tc>
          <w:tcPr>
            <w:tcW w:w="1096" w:type="dxa"/>
            <w:vMerge/>
            <w:tcBorders>
              <w:left w:val="single" w:sz="4" w:space="0" w:color="auto"/>
              <w:bottom w:val="single" w:sz="4" w:space="0" w:color="000000"/>
              <w:right w:val="single" w:sz="4" w:space="0" w:color="auto"/>
            </w:tcBorders>
            <w:shd w:val="clear" w:color="auto" w:fill="auto"/>
            <w:vAlign w:val="center"/>
            <w:hideMark/>
          </w:tcPr>
          <w:p w14:paraId="42A1A669" w14:textId="77777777" w:rsidR="00E91999" w:rsidRPr="00BA1388" w:rsidRDefault="00E91999" w:rsidP="00B91E52">
            <w:pPr>
              <w:spacing w:after="0"/>
              <w:rPr>
                <w:rFonts w:ascii="Arial" w:hAnsi="Arial"/>
                <w:b/>
                <w:bCs/>
                <w:sz w:val="16"/>
                <w:szCs w:val="16"/>
                <w:highlight w:val="yellow"/>
              </w:rPr>
            </w:pPr>
          </w:p>
        </w:tc>
        <w:tc>
          <w:tcPr>
            <w:tcW w:w="1503" w:type="dxa"/>
            <w:tcBorders>
              <w:top w:val="nil"/>
              <w:left w:val="nil"/>
              <w:bottom w:val="single" w:sz="4" w:space="0" w:color="auto"/>
              <w:right w:val="single" w:sz="4" w:space="0" w:color="auto"/>
            </w:tcBorders>
            <w:shd w:val="clear" w:color="auto" w:fill="auto"/>
            <w:vAlign w:val="center"/>
            <w:hideMark/>
          </w:tcPr>
          <w:p w14:paraId="4E79DEE3" w14:textId="77777777" w:rsidR="00E91999" w:rsidRPr="00F83D16" w:rsidRDefault="00E91999" w:rsidP="00B91E52">
            <w:pPr>
              <w:spacing w:after="0"/>
              <w:rPr>
                <w:rFonts w:ascii="Arial" w:hAnsi="Arial"/>
                <w:sz w:val="16"/>
                <w:szCs w:val="16"/>
              </w:rPr>
            </w:pPr>
            <w:r w:rsidRPr="00F83D16">
              <w:rPr>
                <w:rFonts w:ascii="Arial" w:hAnsi="Arial"/>
                <w:sz w:val="16"/>
                <w:szCs w:val="16"/>
              </w:rPr>
              <w:t>Other Project Inputs to Capability</w:t>
            </w:r>
          </w:p>
        </w:tc>
        <w:tc>
          <w:tcPr>
            <w:tcW w:w="1232" w:type="dxa"/>
            <w:tcBorders>
              <w:top w:val="nil"/>
              <w:left w:val="nil"/>
              <w:bottom w:val="single" w:sz="4" w:space="0" w:color="auto"/>
              <w:right w:val="single" w:sz="4" w:space="0" w:color="auto"/>
            </w:tcBorders>
            <w:shd w:val="clear" w:color="auto" w:fill="auto"/>
            <w:noWrap/>
            <w:vAlign w:val="center"/>
            <w:hideMark/>
          </w:tcPr>
          <w:p w14:paraId="34689504" w14:textId="14F66CF5" w:rsidR="00E91999" w:rsidRPr="00F102BD" w:rsidRDefault="00E91999" w:rsidP="00F102BD">
            <w:pPr>
              <w:spacing w:after="0"/>
              <w:jc w:val="right"/>
              <w:rPr>
                <w:rFonts w:ascii="Arial" w:hAnsi="Arial"/>
                <w:sz w:val="16"/>
                <w:szCs w:val="16"/>
              </w:rPr>
            </w:pPr>
            <w:r w:rsidRPr="00F102BD">
              <w:rPr>
                <w:rFonts w:ascii="Arial" w:hAnsi="Arial"/>
                <w:sz w:val="16"/>
                <w:szCs w:val="16"/>
              </w:rPr>
              <w:t>5</w:t>
            </w:r>
          </w:p>
        </w:tc>
        <w:tc>
          <w:tcPr>
            <w:tcW w:w="1368" w:type="dxa"/>
            <w:tcBorders>
              <w:top w:val="nil"/>
              <w:left w:val="nil"/>
              <w:bottom w:val="single" w:sz="4" w:space="0" w:color="auto"/>
              <w:right w:val="single" w:sz="4" w:space="0" w:color="auto"/>
            </w:tcBorders>
            <w:shd w:val="clear" w:color="auto" w:fill="auto"/>
            <w:noWrap/>
            <w:vAlign w:val="center"/>
            <w:hideMark/>
          </w:tcPr>
          <w:p w14:paraId="2B29792B" w14:textId="5E9DF1C6" w:rsidR="00E91999" w:rsidRPr="00F102BD" w:rsidRDefault="00E91999" w:rsidP="00F102BD">
            <w:pPr>
              <w:spacing w:after="0"/>
              <w:jc w:val="right"/>
              <w:rPr>
                <w:rFonts w:ascii="Arial" w:hAnsi="Arial"/>
                <w:sz w:val="16"/>
                <w:szCs w:val="16"/>
              </w:rPr>
            </w:pPr>
            <w:r w:rsidRPr="00F102BD">
              <w:rPr>
                <w:rFonts w:ascii="Arial" w:hAnsi="Arial"/>
                <w:sz w:val="16"/>
                <w:szCs w:val="16"/>
              </w:rPr>
              <w:t>5</w:t>
            </w:r>
          </w:p>
        </w:tc>
        <w:tc>
          <w:tcPr>
            <w:tcW w:w="960" w:type="dxa"/>
            <w:tcBorders>
              <w:top w:val="nil"/>
              <w:left w:val="nil"/>
              <w:bottom w:val="single" w:sz="4" w:space="0" w:color="auto"/>
              <w:right w:val="single" w:sz="4" w:space="0" w:color="auto"/>
            </w:tcBorders>
            <w:shd w:val="clear" w:color="auto" w:fill="auto"/>
            <w:noWrap/>
            <w:vAlign w:val="center"/>
            <w:hideMark/>
          </w:tcPr>
          <w:p w14:paraId="711A41BB" w14:textId="18CFEBAA" w:rsidR="00E91999" w:rsidRPr="00F102BD" w:rsidRDefault="00E91999" w:rsidP="00F102BD">
            <w:pPr>
              <w:spacing w:after="0"/>
              <w:jc w:val="right"/>
              <w:rPr>
                <w:rFonts w:ascii="Arial" w:hAnsi="Arial"/>
                <w:sz w:val="16"/>
                <w:szCs w:val="16"/>
              </w:rPr>
            </w:pPr>
            <w:r w:rsidRPr="00F102BD">
              <w:rPr>
                <w:rFonts w:ascii="Arial" w:hAnsi="Arial"/>
                <w:sz w:val="16"/>
                <w:szCs w:val="16"/>
              </w:rPr>
              <w:t>0</w:t>
            </w:r>
          </w:p>
        </w:tc>
        <w:tc>
          <w:tcPr>
            <w:tcW w:w="5500" w:type="dxa"/>
            <w:vMerge/>
            <w:tcBorders>
              <w:left w:val="single" w:sz="4" w:space="0" w:color="auto"/>
              <w:bottom w:val="single" w:sz="4" w:space="0" w:color="000000"/>
              <w:right w:val="single" w:sz="4" w:space="0" w:color="auto"/>
            </w:tcBorders>
            <w:shd w:val="clear" w:color="auto" w:fill="auto"/>
            <w:vAlign w:val="center"/>
            <w:hideMark/>
          </w:tcPr>
          <w:p w14:paraId="17589E58" w14:textId="77777777" w:rsidR="00E91999" w:rsidRPr="00BA1388" w:rsidRDefault="00E91999" w:rsidP="00B91E52">
            <w:pPr>
              <w:spacing w:after="80"/>
              <w:rPr>
                <w:rFonts w:ascii="Arial" w:hAnsi="Arial"/>
                <w:sz w:val="16"/>
                <w:szCs w:val="16"/>
                <w:highlight w:val="yellow"/>
              </w:rPr>
            </w:pPr>
          </w:p>
        </w:tc>
      </w:tr>
    </w:tbl>
    <w:p w14:paraId="5AB70101" w14:textId="77777777" w:rsidR="00624AC0" w:rsidRPr="00BA1388" w:rsidRDefault="00624AC0" w:rsidP="00624AC0">
      <w:pPr>
        <w:rPr>
          <w:highlight w:val="yellow"/>
        </w:rPr>
      </w:pPr>
      <w:r w:rsidRPr="00BA1388">
        <w:rPr>
          <w:highlight w:val="yellow"/>
        </w:rPr>
        <w:br w:type="page"/>
      </w:r>
    </w:p>
    <w:tbl>
      <w:tblPr>
        <w:tblW w:w="13958" w:type="dxa"/>
        <w:tblLook w:val="04A0" w:firstRow="1" w:lastRow="0" w:firstColumn="1" w:lastColumn="0" w:noHBand="0" w:noVBand="1"/>
      </w:tblPr>
      <w:tblGrid>
        <w:gridCol w:w="1839"/>
        <w:gridCol w:w="1135"/>
        <w:gridCol w:w="1560"/>
        <w:gridCol w:w="1277"/>
        <w:gridCol w:w="1419"/>
        <w:gridCol w:w="993"/>
        <w:gridCol w:w="5735"/>
      </w:tblGrid>
      <w:tr w:rsidR="00624AC0" w:rsidRPr="00A91845" w14:paraId="71852233" w14:textId="77777777" w:rsidTr="00CD317B">
        <w:trPr>
          <w:trHeight w:val="255"/>
          <w:tblHeader/>
        </w:trPr>
        <w:tc>
          <w:tcPr>
            <w:tcW w:w="13958" w:type="dxa"/>
            <w:gridSpan w:val="7"/>
            <w:tcBorders>
              <w:bottom w:val="single" w:sz="4" w:space="0" w:color="auto"/>
            </w:tcBorders>
            <w:shd w:val="clear" w:color="auto" w:fill="auto"/>
            <w:vAlign w:val="center"/>
          </w:tcPr>
          <w:p w14:paraId="39AE5F27" w14:textId="2B0F0C09" w:rsidR="00624AC0" w:rsidRPr="00A91845" w:rsidRDefault="00624AC0" w:rsidP="00643E95">
            <w:pPr>
              <w:spacing w:after="80"/>
              <w:rPr>
                <w:rFonts w:ascii="Arial" w:hAnsi="Arial"/>
                <w:b/>
                <w:bCs/>
                <w:sz w:val="16"/>
                <w:szCs w:val="16"/>
              </w:rPr>
            </w:pPr>
            <w:r w:rsidRPr="00A91845">
              <w:rPr>
                <w:rFonts w:ascii="Arial" w:hAnsi="Arial"/>
                <w:b/>
                <w:bCs/>
                <w:szCs w:val="20"/>
              </w:rPr>
              <w:lastRenderedPageBreak/>
              <w:t>Table 5</w:t>
            </w:r>
            <w:r w:rsidR="007668C7">
              <w:rPr>
                <w:rFonts w:ascii="Arial" w:hAnsi="Arial"/>
                <w:b/>
                <w:bCs/>
                <w:szCs w:val="20"/>
              </w:rPr>
              <w:t>4</w:t>
            </w:r>
            <w:r w:rsidRPr="00A91845">
              <w:rPr>
                <w:rFonts w:ascii="Arial" w:hAnsi="Arial"/>
                <w:b/>
                <w:bCs/>
                <w:szCs w:val="20"/>
              </w:rPr>
              <w:t>: Top 30 Military Equipment Acquisition Program Approved Projects by 202</w:t>
            </w:r>
            <w:r w:rsidR="00120363" w:rsidRPr="00A91845">
              <w:rPr>
                <w:rFonts w:ascii="Arial" w:hAnsi="Arial"/>
                <w:b/>
                <w:bCs/>
                <w:szCs w:val="20"/>
              </w:rPr>
              <w:t>5</w:t>
            </w:r>
            <w:r w:rsidRPr="00A91845">
              <w:rPr>
                <w:rFonts w:ascii="Arial" w:hAnsi="Arial"/>
                <w:b/>
                <w:bCs/>
                <w:szCs w:val="20"/>
              </w:rPr>
              <w:t>-2</w:t>
            </w:r>
            <w:r w:rsidR="00120363" w:rsidRPr="00A91845">
              <w:rPr>
                <w:rFonts w:ascii="Arial" w:hAnsi="Arial"/>
                <w:b/>
                <w:bCs/>
                <w:szCs w:val="20"/>
              </w:rPr>
              <w:t>6</w:t>
            </w:r>
            <w:r w:rsidRPr="00A91845">
              <w:rPr>
                <w:rFonts w:ascii="Arial" w:hAnsi="Arial"/>
                <w:b/>
                <w:bCs/>
                <w:szCs w:val="20"/>
              </w:rPr>
              <w:t xml:space="preserve"> Forecast Expenditure (Gross Plan)</w:t>
            </w:r>
            <w:r w:rsidR="00D53208" w:rsidRPr="00A91845">
              <w:rPr>
                <w:rFonts w:ascii="Arial" w:hAnsi="Arial"/>
                <w:b/>
                <w:bCs/>
                <w:szCs w:val="20"/>
              </w:rPr>
              <w:t xml:space="preserve"> </w:t>
            </w:r>
            <w:r w:rsidRPr="00A91845">
              <w:rPr>
                <w:rFonts w:ascii="Arial" w:hAnsi="Arial"/>
                <w:b/>
                <w:bCs/>
                <w:szCs w:val="20"/>
              </w:rPr>
              <w:t>(Continued)</w:t>
            </w:r>
            <w:r w:rsidRPr="00A91845">
              <w:rPr>
                <w:rFonts w:ascii="Arial" w:hAnsi="Arial"/>
                <w:b/>
                <w:bCs/>
                <w:szCs w:val="20"/>
                <w:vertAlign w:val="superscript"/>
              </w:rPr>
              <w:t xml:space="preserve"> [a] [b]</w:t>
            </w:r>
            <w:r w:rsidR="00E3266D" w:rsidRPr="00A91845">
              <w:rPr>
                <w:rFonts w:ascii="Arial" w:hAnsi="Arial"/>
                <w:b/>
                <w:bCs/>
                <w:szCs w:val="20"/>
                <w:vertAlign w:val="superscript"/>
              </w:rPr>
              <w:t xml:space="preserve"> [c]</w:t>
            </w:r>
          </w:p>
        </w:tc>
      </w:tr>
      <w:tr w:rsidR="00624AC0" w:rsidRPr="00A91845" w14:paraId="7B3C3BBA" w14:textId="77777777" w:rsidTr="00CD317B">
        <w:trPr>
          <w:trHeight w:val="794"/>
          <w:tblHeader/>
        </w:trPr>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14:paraId="1B7DDFDD" w14:textId="77777777" w:rsidR="00624AC0" w:rsidRPr="00A91845" w:rsidRDefault="00624AC0" w:rsidP="00B91E52">
            <w:pPr>
              <w:spacing w:after="0"/>
              <w:rPr>
                <w:rFonts w:ascii="Arial" w:hAnsi="Arial"/>
                <w:b/>
                <w:bCs/>
                <w:sz w:val="16"/>
                <w:szCs w:val="16"/>
              </w:rPr>
            </w:pPr>
            <w:r w:rsidRPr="00A91845">
              <w:rPr>
                <w:rFonts w:ascii="Arial" w:hAnsi="Arial"/>
                <w:b/>
                <w:bCs/>
                <w:sz w:val="16"/>
                <w:szCs w:val="16"/>
              </w:rPr>
              <w:t>Domain/Project Name</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4701D2F6" w14:textId="77777777" w:rsidR="00624AC0" w:rsidRPr="00A91845" w:rsidRDefault="00624AC0" w:rsidP="00B91E52">
            <w:pPr>
              <w:spacing w:after="0"/>
              <w:jc w:val="center"/>
              <w:rPr>
                <w:rFonts w:ascii="Arial" w:hAnsi="Arial"/>
                <w:b/>
                <w:bCs/>
                <w:sz w:val="16"/>
                <w:szCs w:val="16"/>
              </w:rPr>
            </w:pPr>
            <w:r w:rsidRPr="00A91845">
              <w:rPr>
                <w:rFonts w:ascii="Arial" w:hAnsi="Arial"/>
                <w:b/>
                <w:bCs/>
                <w:sz w:val="16"/>
                <w:szCs w:val="16"/>
              </w:rPr>
              <w:t>Project Number/</w:t>
            </w:r>
            <w:r w:rsidRPr="00A91845">
              <w:rPr>
                <w:rFonts w:ascii="Arial" w:hAnsi="Arial"/>
                <w:b/>
                <w:bCs/>
                <w:sz w:val="16"/>
                <w:szCs w:val="16"/>
              </w:rPr>
              <w:br/>
              <w:t>Phase</w:t>
            </w:r>
          </w:p>
        </w:tc>
        <w:tc>
          <w:tcPr>
            <w:tcW w:w="1560" w:type="dxa"/>
            <w:tcBorders>
              <w:top w:val="single" w:sz="4" w:space="0" w:color="auto"/>
              <w:left w:val="nil"/>
              <w:bottom w:val="single" w:sz="4" w:space="0" w:color="auto"/>
              <w:right w:val="single" w:sz="4" w:space="0" w:color="auto"/>
            </w:tcBorders>
            <w:shd w:val="clear" w:color="auto" w:fill="auto"/>
            <w:vAlign w:val="center"/>
          </w:tcPr>
          <w:p w14:paraId="2C07119E" w14:textId="77777777" w:rsidR="00624AC0" w:rsidRPr="00A91845" w:rsidRDefault="00624AC0" w:rsidP="00B91E52">
            <w:pPr>
              <w:spacing w:after="0"/>
              <w:rPr>
                <w:rFonts w:ascii="Arial" w:hAnsi="Arial"/>
                <w:b/>
                <w:bCs/>
                <w:sz w:val="16"/>
                <w:szCs w:val="16"/>
              </w:rPr>
            </w:pPr>
            <w:r w:rsidRPr="00A91845">
              <w:rPr>
                <w:rFonts w:ascii="Arial" w:hAnsi="Arial"/>
                <w:b/>
                <w:bCs/>
                <w:sz w:val="16"/>
                <w:szCs w:val="16"/>
              </w:rPr>
              <w:t>Project Inputs to Capability</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5535AC6A" w14:textId="2504A400" w:rsidR="00650F5D" w:rsidRDefault="00624AC0" w:rsidP="00650F5D">
            <w:pPr>
              <w:spacing w:before="0" w:after="0"/>
              <w:jc w:val="right"/>
              <w:rPr>
                <w:rFonts w:ascii="Arial" w:hAnsi="Arial"/>
                <w:b/>
                <w:bCs/>
                <w:sz w:val="16"/>
                <w:szCs w:val="16"/>
              </w:rPr>
            </w:pPr>
            <w:r w:rsidRPr="00A91845">
              <w:rPr>
                <w:rFonts w:ascii="Arial" w:hAnsi="Arial"/>
                <w:b/>
                <w:bCs/>
                <w:sz w:val="16"/>
                <w:szCs w:val="16"/>
              </w:rPr>
              <w:t>Approved Project Expenditure</w:t>
            </w:r>
          </w:p>
          <w:p w14:paraId="3E1451F7" w14:textId="77777777" w:rsidR="00650F5D" w:rsidRDefault="00650F5D" w:rsidP="00650F5D">
            <w:pPr>
              <w:spacing w:before="0" w:after="0"/>
              <w:jc w:val="right"/>
              <w:rPr>
                <w:rFonts w:ascii="Arial" w:hAnsi="Arial"/>
                <w:b/>
                <w:bCs/>
                <w:sz w:val="16"/>
                <w:szCs w:val="16"/>
              </w:rPr>
            </w:pPr>
          </w:p>
          <w:p w14:paraId="263BA39B" w14:textId="16083DC0" w:rsidR="00624AC0" w:rsidRPr="00A91845" w:rsidRDefault="00624AC0" w:rsidP="00B91E52">
            <w:pPr>
              <w:spacing w:after="0"/>
              <w:jc w:val="right"/>
              <w:rPr>
                <w:rFonts w:ascii="Arial" w:hAnsi="Arial"/>
                <w:b/>
                <w:bCs/>
                <w:sz w:val="16"/>
                <w:szCs w:val="16"/>
              </w:rPr>
            </w:pPr>
            <w:r w:rsidRPr="00A91845">
              <w:rPr>
                <w:rFonts w:ascii="Arial" w:hAnsi="Arial"/>
                <w:b/>
                <w:bCs/>
                <w:sz w:val="16"/>
                <w:szCs w:val="16"/>
              </w:rPr>
              <w:t xml:space="preserve"> $m</w:t>
            </w:r>
          </w:p>
        </w:tc>
        <w:tc>
          <w:tcPr>
            <w:tcW w:w="1419" w:type="dxa"/>
            <w:tcBorders>
              <w:top w:val="single" w:sz="4" w:space="0" w:color="auto"/>
              <w:left w:val="nil"/>
              <w:bottom w:val="single" w:sz="4" w:space="0" w:color="auto"/>
              <w:right w:val="single" w:sz="4" w:space="0" w:color="auto"/>
            </w:tcBorders>
            <w:shd w:val="clear" w:color="auto" w:fill="auto"/>
            <w:noWrap/>
            <w:vAlign w:val="center"/>
          </w:tcPr>
          <w:p w14:paraId="4C0EFA45" w14:textId="77777777" w:rsidR="00650F5D" w:rsidRDefault="00624AC0" w:rsidP="00650F5D">
            <w:pPr>
              <w:spacing w:before="0" w:after="0"/>
              <w:jc w:val="right"/>
              <w:rPr>
                <w:rFonts w:ascii="Arial" w:hAnsi="Arial"/>
                <w:b/>
                <w:bCs/>
                <w:sz w:val="16"/>
                <w:szCs w:val="16"/>
              </w:rPr>
            </w:pPr>
            <w:r w:rsidRPr="00A91845">
              <w:rPr>
                <w:rFonts w:ascii="Arial" w:hAnsi="Arial"/>
                <w:b/>
                <w:bCs/>
                <w:sz w:val="16"/>
                <w:szCs w:val="16"/>
              </w:rPr>
              <w:t>Estimated Cumulative Expenditure to 30 June 202</w:t>
            </w:r>
            <w:r w:rsidR="00783A8E" w:rsidRPr="00A91845">
              <w:rPr>
                <w:rFonts w:ascii="Arial" w:hAnsi="Arial"/>
                <w:b/>
                <w:bCs/>
                <w:sz w:val="16"/>
                <w:szCs w:val="16"/>
              </w:rPr>
              <w:t>5</w:t>
            </w:r>
          </w:p>
          <w:p w14:paraId="5900368B" w14:textId="5C51E019" w:rsidR="00624AC0" w:rsidRPr="00A91845" w:rsidRDefault="00624AC0" w:rsidP="00783A8E">
            <w:pPr>
              <w:spacing w:after="0"/>
              <w:jc w:val="right"/>
              <w:rPr>
                <w:rFonts w:ascii="Arial" w:hAnsi="Arial"/>
                <w:b/>
                <w:bCs/>
                <w:sz w:val="16"/>
                <w:szCs w:val="16"/>
              </w:rPr>
            </w:pPr>
            <w:r w:rsidRPr="00A91845">
              <w:rPr>
                <w:rFonts w:ascii="Arial" w:hAnsi="Arial"/>
                <w:b/>
                <w:bCs/>
                <w:sz w:val="16"/>
                <w:szCs w:val="16"/>
              </w:rPr>
              <w:t xml:space="preserve"> $m</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3C3C90F8" w14:textId="7853DD27" w:rsidR="00650F5D" w:rsidRDefault="00624AC0" w:rsidP="00650F5D">
            <w:pPr>
              <w:spacing w:before="0" w:after="0"/>
              <w:jc w:val="right"/>
              <w:rPr>
                <w:rFonts w:ascii="Arial" w:hAnsi="Arial"/>
                <w:b/>
                <w:bCs/>
                <w:sz w:val="16"/>
                <w:szCs w:val="16"/>
              </w:rPr>
            </w:pPr>
            <w:r w:rsidRPr="00A91845">
              <w:rPr>
                <w:rFonts w:ascii="Arial" w:hAnsi="Arial"/>
                <w:b/>
                <w:bCs/>
                <w:sz w:val="16"/>
                <w:szCs w:val="16"/>
              </w:rPr>
              <w:t>Budget Estimate 202</w:t>
            </w:r>
            <w:r w:rsidR="004B232A" w:rsidRPr="00A91845">
              <w:rPr>
                <w:rFonts w:ascii="Arial" w:hAnsi="Arial"/>
                <w:b/>
                <w:bCs/>
                <w:sz w:val="16"/>
                <w:szCs w:val="16"/>
              </w:rPr>
              <w:t>5</w:t>
            </w:r>
            <w:r w:rsidRPr="00A91845">
              <w:rPr>
                <w:rFonts w:ascii="Arial" w:hAnsi="Arial"/>
                <w:b/>
                <w:bCs/>
                <w:sz w:val="16"/>
                <w:szCs w:val="16"/>
              </w:rPr>
              <w:t>-2</w:t>
            </w:r>
            <w:r w:rsidR="004B232A" w:rsidRPr="00A91845">
              <w:rPr>
                <w:rFonts w:ascii="Arial" w:hAnsi="Arial"/>
                <w:b/>
                <w:bCs/>
                <w:sz w:val="16"/>
                <w:szCs w:val="16"/>
              </w:rPr>
              <w:t>6</w:t>
            </w:r>
          </w:p>
          <w:p w14:paraId="44581049" w14:textId="77777777" w:rsidR="00650F5D" w:rsidRDefault="00650F5D" w:rsidP="00650F5D">
            <w:pPr>
              <w:spacing w:before="0" w:after="0"/>
              <w:jc w:val="right"/>
              <w:rPr>
                <w:rFonts w:ascii="Arial" w:hAnsi="Arial"/>
                <w:b/>
                <w:bCs/>
                <w:sz w:val="16"/>
                <w:szCs w:val="16"/>
              </w:rPr>
            </w:pPr>
          </w:p>
          <w:p w14:paraId="7839460A" w14:textId="74B41954" w:rsidR="00624AC0" w:rsidRPr="00A91845" w:rsidRDefault="00624AC0" w:rsidP="004B232A">
            <w:pPr>
              <w:spacing w:after="0"/>
              <w:jc w:val="right"/>
              <w:rPr>
                <w:rFonts w:ascii="Arial" w:hAnsi="Arial"/>
                <w:b/>
                <w:bCs/>
                <w:sz w:val="16"/>
                <w:szCs w:val="16"/>
              </w:rPr>
            </w:pPr>
            <w:r w:rsidRPr="00A91845">
              <w:rPr>
                <w:rFonts w:ascii="Arial" w:hAnsi="Arial"/>
                <w:b/>
                <w:bCs/>
                <w:sz w:val="16"/>
                <w:szCs w:val="16"/>
              </w:rPr>
              <w:t xml:space="preserve"> $m</w:t>
            </w:r>
          </w:p>
        </w:tc>
        <w:tc>
          <w:tcPr>
            <w:tcW w:w="5735" w:type="dxa"/>
            <w:tcBorders>
              <w:top w:val="single" w:sz="4" w:space="0" w:color="auto"/>
              <w:left w:val="single" w:sz="4" w:space="0" w:color="auto"/>
              <w:bottom w:val="single" w:sz="4" w:space="0" w:color="auto"/>
              <w:right w:val="single" w:sz="4" w:space="0" w:color="auto"/>
            </w:tcBorders>
            <w:shd w:val="clear" w:color="auto" w:fill="auto"/>
            <w:vAlign w:val="center"/>
          </w:tcPr>
          <w:p w14:paraId="4840DBC7" w14:textId="77777777" w:rsidR="00624AC0" w:rsidRPr="00A91845" w:rsidRDefault="005E1259" w:rsidP="00B91E52">
            <w:pPr>
              <w:spacing w:after="0"/>
              <w:jc w:val="center"/>
              <w:rPr>
                <w:rFonts w:ascii="Arial" w:hAnsi="Arial"/>
                <w:b/>
                <w:bCs/>
                <w:sz w:val="16"/>
                <w:szCs w:val="16"/>
              </w:rPr>
            </w:pPr>
            <w:r w:rsidRPr="00A91845">
              <w:rPr>
                <w:rFonts w:ascii="Arial" w:hAnsi="Arial"/>
                <w:b/>
                <w:bCs/>
                <w:sz w:val="16"/>
                <w:szCs w:val="16"/>
              </w:rPr>
              <w:t>Top 30 Military Equipment Acquisition Project Descriptions</w:t>
            </w:r>
          </w:p>
        </w:tc>
      </w:tr>
      <w:tr w:rsidR="00624AC0" w:rsidRPr="00BA1388" w14:paraId="4A5863D8" w14:textId="77777777" w:rsidTr="00CD317B">
        <w:trPr>
          <w:trHeight w:hRule="exact" w:val="301"/>
        </w:trPr>
        <w:tc>
          <w:tcPr>
            <w:tcW w:w="13958" w:type="dxa"/>
            <w:gridSpan w:val="7"/>
            <w:tcBorders>
              <w:top w:val="single" w:sz="4" w:space="0" w:color="auto"/>
              <w:left w:val="single" w:sz="4" w:space="0" w:color="auto"/>
              <w:bottom w:val="single" w:sz="4" w:space="0" w:color="000000"/>
              <w:right w:val="single" w:sz="4" w:space="0" w:color="auto"/>
            </w:tcBorders>
            <w:shd w:val="clear" w:color="auto" w:fill="E6E6E6"/>
            <w:vAlign w:val="center"/>
          </w:tcPr>
          <w:p w14:paraId="50CC57FD" w14:textId="77777777" w:rsidR="00624AC0" w:rsidRPr="00A91845" w:rsidRDefault="00624AC0" w:rsidP="00F57384">
            <w:pPr>
              <w:spacing w:before="0" w:after="0"/>
              <w:rPr>
                <w:rFonts w:ascii="Arial" w:hAnsi="Arial"/>
                <w:sz w:val="16"/>
                <w:szCs w:val="16"/>
              </w:rPr>
            </w:pPr>
            <w:r w:rsidRPr="00A91845">
              <w:rPr>
                <w:rFonts w:ascii="Arial" w:hAnsi="Arial"/>
                <w:b/>
                <w:bCs/>
                <w:sz w:val="16"/>
                <w:szCs w:val="16"/>
              </w:rPr>
              <w:t>Air Domain (Continued)</w:t>
            </w:r>
          </w:p>
        </w:tc>
      </w:tr>
      <w:tr w:rsidR="00B86D3B" w:rsidRPr="00BA1388" w14:paraId="2EE84C86" w14:textId="77777777" w:rsidTr="00B86D3B">
        <w:trPr>
          <w:trHeight w:hRule="exact" w:val="737"/>
        </w:trPr>
        <w:tc>
          <w:tcPr>
            <w:tcW w:w="1839" w:type="dxa"/>
            <w:vMerge w:val="restart"/>
            <w:tcBorders>
              <w:top w:val="nil"/>
              <w:left w:val="single" w:sz="4" w:space="0" w:color="auto"/>
              <w:right w:val="single" w:sz="4" w:space="0" w:color="auto"/>
            </w:tcBorders>
            <w:shd w:val="clear" w:color="auto" w:fill="auto"/>
            <w:vAlign w:val="center"/>
          </w:tcPr>
          <w:p w14:paraId="4EBE63F8" w14:textId="2FFD8228" w:rsidR="00B86D3B" w:rsidRPr="00840A4C" w:rsidRDefault="00B86D3B" w:rsidP="00D73F23">
            <w:pPr>
              <w:spacing w:after="0"/>
              <w:rPr>
                <w:rFonts w:ascii="Arial" w:hAnsi="Arial"/>
                <w:sz w:val="16"/>
                <w:szCs w:val="16"/>
              </w:rPr>
            </w:pPr>
            <w:r w:rsidRPr="00840A4C">
              <w:rPr>
                <w:rFonts w:ascii="Arial" w:hAnsi="Arial"/>
                <w:sz w:val="16"/>
                <w:szCs w:val="16"/>
              </w:rPr>
              <w:t>MQ-4C Triton</w:t>
            </w:r>
            <w:r w:rsidR="00840A4C">
              <w:rPr>
                <w:rFonts w:ascii="Arial" w:hAnsi="Arial"/>
                <w:sz w:val="16"/>
                <w:szCs w:val="16"/>
              </w:rPr>
              <w:t xml:space="preserve"> </w:t>
            </w:r>
          </w:p>
        </w:tc>
        <w:tc>
          <w:tcPr>
            <w:tcW w:w="1135" w:type="dxa"/>
            <w:vMerge w:val="restart"/>
            <w:tcBorders>
              <w:top w:val="nil"/>
              <w:left w:val="single" w:sz="4" w:space="0" w:color="auto"/>
              <w:right w:val="single" w:sz="4" w:space="0" w:color="auto"/>
            </w:tcBorders>
            <w:shd w:val="clear" w:color="auto" w:fill="auto"/>
            <w:vAlign w:val="center"/>
          </w:tcPr>
          <w:p w14:paraId="790DED71" w14:textId="2BED6FF9" w:rsidR="00B86D3B" w:rsidRPr="00840A4C" w:rsidRDefault="00B86D3B" w:rsidP="00B86D3B">
            <w:pPr>
              <w:spacing w:after="0"/>
              <w:jc w:val="center"/>
              <w:rPr>
                <w:rFonts w:ascii="Arial" w:hAnsi="Arial"/>
                <w:b/>
                <w:bCs/>
                <w:sz w:val="16"/>
                <w:szCs w:val="16"/>
              </w:rPr>
            </w:pPr>
            <w:r w:rsidRPr="00840A4C">
              <w:rPr>
                <w:rFonts w:ascii="Arial" w:hAnsi="Arial"/>
                <w:b/>
                <w:bCs/>
                <w:sz w:val="16"/>
                <w:szCs w:val="16"/>
              </w:rPr>
              <w:t>AIR 7001</w:t>
            </w:r>
          </w:p>
        </w:tc>
        <w:tc>
          <w:tcPr>
            <w:tcW w:w="1560" w:type="dxa"/>
            <w:tcBorders>
              <w:top w:val="nil"/>
              <w:left w:val="nil"/>
              <w:bottom w:val="single" w:sz="4" w:space="0" w:color="auto"/>
              <w:right w:val="single" w:sz="4" w:space="0" w:color="auto"/>
            </w:tcBorders>
            <w:shd w:val="clear" w:color="auto" w:fill="auto"/>
            <w:vAlign w:val="center"/>
          </w:tcPr>
          <w:p w14:paraId="265B0BC7" w14:textId="38B08FEF" w:rsidR="00B86D3B" w:rsidRPr="00F83D16" w:rsidRDefault="00B86D3B" w:rsidP="00B86D3B">
            <w:pPr>
              <w:spacing w:after="0"/>
              <w:rPr>
                <w:rFonts w:ascii="Arial" w:hAnsi="Arial"/>
                <w:sz w:val="16"/>
                <w:szCs w:val="16"/>
              </w:rPr>
            </w:pPr>
            <w:r w:rsidRPr="00F83D16">
              <w:rPr>
                <w:rFonts w:ascii="Arial" w:hAnsi="Arial"/>
                <w:sz w:val="16"/>
                <w:szCs w:val="16"/>
              </w:rPr>
              <w:t>Military Equipment Acquisition</w:t>
            </w:r>
          </w:p>
        </w:tc>
        <w:tc>
          <w:tcPr>
            <w:tcW w:w="1277" w:type="dxa"/>
            <w:tcBorders>
              <w:top w:val="nil"/>
              <w:left w:val="nil"/>
              <w:bottom w:val="single" w:sz="4" w:space="0" w:color="auto"/>
              <w:right w:val="single" w:sz="4" w:space="0" w:color="auto"/>
            </w:tcBorders>
            <w:shd w:val="clear" w:color="auto" w:fill="auto"/>
            <w:noWrap/>
            <w:vAlign w:val="center"/>
          </w:tcPr>
          <w:p w14:paraId="0DDF915C" w14:textId="4D18A2C5" w:rsidR="00B86D3B" w:rsidRDefault="00B86D3B" w:rsidP="00B86D3B">
            <w:pPr>
              <w:spacing w:after="0"/>
              <w:jc w:val="right"/>
              <w:rPr>
                <w:rFonts w:ascii="Arial" w:hAnsi="Arial"/>
                <w:sz w:val="16"/>
                <w:szCs w:val="16"/>
              </w:rPr>
            </w:pPr>
            <w:r w:rsidRPr="00F102BD">
              <w:rPr>
                <w:rFonts w:ascii="Arial" w:hAnsi="Arial"/>
                <w:sz w:val="16"/>
                <w:szCs w:val="16"/>
              </w:rPr>
              <w:t>2,44</w:t>
            </w:r>
            <w:r>
              <w:rPr>
                <w:rFonts w:ascii="Arial" w:hAnsi="Arial"/>
                <w:sz w:val="16"/>
                <w:szCs w:val="16"/>
              </w:rPr>
              <w:t>4</w:t>
            </w:r>
          </w:p>
        </w:tc>
        <w:tc>
          <w:tcPr>
            <w:tcW w:w="1419" w:type="dxa"/>
            <w:tcBorders>
              <w:top w:val="nil"/>
              <w:left w:val="nil"/>
              <w:bottom w:val="single" w:sz="4" w:space="0" w:color="auto"/>
              <w:right w:val="single" w:sz="4" w:space="0" w:color="auto"/>
            </w:tcBorders>
            <w:shd w:val="clear" w:color="auto" w:fill="auto"/>
            <w:noWrap/>
            <w:vAlign w:val="center"/>
          </w:tcPr>
          <w:p w14:paraId="54D83583" w14:textId="45293DC0" w:rsidR="00B86D3B" w:rsidRDefault="00B86D3B" w:rsidP="00B86D3B">
            <w:pPr>
              <w:spacing w:after="0"/>
              <w:jc w:val="right"/>
              <w:rPr>
                <w:rFonts w:ascii="Arial" w:hAnsi="Arial"/>
                <w:sz w:val="16"/>
                <w:szCs w:val="16"/>
              </w:rPr>
            </w:pPr>
            <w:r w:rsidRPr="00F102BD">
              <w:rPr>
                <w:rFonts w:ascii="Arial" w:hAnsi="Arial"/>
                <w:sz w:val="16"/>
                <w:szCs w:val="16"/>
              </w:rPr>
              <w:t>1,4</w:t>
            </w:r>
            <w:r>
              <w:rPr>
                <w:rFonts w:ascii="Arial" w:hAnsi="Arial"/>
                <w:sz w:val="16"/>
                <w:szCs w:val="16"/>
              </w:rPr>
              <w:t>77</w:t>
            </w:r>
          </w:p>
        </w:tc>
        <w:tc>
          <w:tcPr>
            <w:tcW w:w="993" w:type="dxa"/>
            <w:tcBorders>
              <w:top w:val="nil"/>
              <w:left w:val="nil"/>
              <w:bottom w:val="single" w:sz="4" w:space="0" w:color="auto"/>
              <w:right w:val="single" w:sz="4" w:space="0" w:color="auto"/>
            </w:tcBorders>
            <w:shd w:val="clear" w:color="auto" w:fill="auto"/>
            <w:noWrap/>
            <w:vAlign w:val="center"/>
          </w:tcPr>
          <w:p w14:paraId="0589BA2F" w14:textId="5A32D4F3" w:rsidR="00B86D3B" w:rsidRDefault="00B86D3B" w:rsidP="00B86D3B">
            <w:pPr>
              <w:spacing w:after="0"/>
              <w:jc w:val="right"/>
              <w:rPr>
                <w:rFonts w:ascii="Arial" w:hAnsi="Arial"/>
                <w:sz w:val="16"/>
                <w:szCs w:val="16"/>
              </w:rPr>
            </w:pPr>
            <w:r>
              <w:rPr>
                <w:rFonts w:ascii="Arial" w:hAnsi="Arial"/>
                <w:sz w:val="16"/>
                <w:szCs w:val="16"/>
              </w:rPr>
              <w:t>232</w:t>
            </w:r>
          </w:p>
        </w:tc>
        <w:tc>
          <w:tcPr>
            <w:tcW w:w="5735" w:type="dxa"/>
            <w:vMerge w:val="restart"/>
            <w:tcBorders>
              <w:top w:val="nil"/>
              <w:left w:val="single" w:sz="4" w:space="0" w:color="auto"/>
              <w:right w:val="single" w:sz="4" w:space="0" w:color="auto"/>
            </w:tcBorders>
            <w:shd w:val="clear" w:color="auto" w:fill="auto"/>
            <w:vAlign w:val="center"/>
          </w:tcPr>
          <w:p w14:paraId="06FB356D" w14:textId="77777777" w:rsidR="00B86D3B" w:rsidRPr="00840A4C" w:rsidRDefault="00B86D3B" w:rsidP="00B86D3B">
            <w:pPr>
              <w:spacing w:after="80"/>
              <w:rPr>
                <w:rFonts w:ascii="Arial" w:hAnsi="Arial"/>
                <w:sz w:val="16"/>
                <w:szCs w:val="16"/>
              </w:rPr>
            </w:pPr>
            <w:r w:rsidRPr="00840A4C">
              <w:rPr>
                <w:rFonts w:ascii="Arial" w:hAnsi="Arial"/>
                <w:sz w:val="16"/>
                <w:szCs w:val="16"/>
              </w:rPr>
              <w:t>This project is approved to acquire the MQ-4C Triton Remotely Piloted Aircraft System for maritime patrol and other intelligence, surveillance and reconnaissance roles. The aircraft and systems are being procured through a cooperative program with the United States Navy. The approved scope includes the first three aircraft, associated operations and training systems and facilities, and integration into Defence networks.</w:t>
            </w:r>
          </w:p>
          <w:p w14:paraId="0FB85D84" w14:textId="4FE6E383" w:rsidR="00B86D3B" w:rsidRPr="00BA1388" w:rsidRDefault="00840A4C" w:rsidP="00B86D3B">
            <w:pPr>
              <w:spacing w:before="0" w:after="80"/>
              <w:rPr>
                <w:rFonts w:ascii="Arial" w:hAnsi="Arial"/>
                <w:sz w:val="16"/>
                <w:szCs w:val="16"/>
                <w:highlight w:val="yellow"/>
              </w:rPr>
            </w:pPr>
            <w:r w:rsidRPr="00840A4C">
              <w:rPr>
                <w:rFonts w:ascii="Arial" w:hAnsi="Arial"/>
                <w:sz w:val="16"/>
                <w:szCs w:val="16"/>
              </w:rPr>
              <w:t>During 2025-26, the project will deliver the second and third Triton aircraft, remaining ground segments, and complete required facility works to establish permanent operations out of RAAF Base Tindal. The project will also continue progression towards Initial Operating Capability, inclusive of integration to Australian networks and associated test and evaluation activities.</w:t>
            </w:r>
          </w:p>
        </w:tc>
      </w:tr>
      <w:tr w:rsidR="00B86D3B" w:rsidRPr="00BA1388" w14:paraId="04446DBD" w14:textId="77777777" w:rsidTr="00840A4C">
        <w:trPr>
          <w:trHeight w:hRule="exact" w:val="1505"/>
        </w:trPr>
        <w:tc>
          <w:tcPr>
            <w:tcW w:w="1839" w:type="dxa"/>
            <w:vMerge/>
            <w:tcBorders>
              <w:left w:val="single" w:sz="4" w:space="0" w:color="auto"/>
              <w:bottom w:val="single" w:sz="4" w:space="0" w:color="000000"/>
              <w:right w:val="single" w:sz="4" w:space="0" w:color="auto"/>
            </w:tcBorders>
            <w:shd w:val="clear" w:color="auto" w:fill="auto"/>
            <w:vAlign w:val="center"/>
          </w:tcPr>
          <w:p w14:paraId="0AAE2C6C" w14:textId="77777777" w:rsidR="00B86D3B" w:rsidRPr="00BA1388" w:rsidRDefault="00B86D3B" w:rsidP="00B86D3B">
            <w:pPr>
              <w:spacing w:after="0"/>
              <w:rPr>
                <w:rFonts w:ascii="Arial" w:hAnsi="Arial"/>
                <w:sz w:val="16"/>
                <w:szCs w:val="16"/>
                <w:highlight w:val="yellow"/>
              </w:rPr>
            </w:pPr>
          </w:p>
        </w:tc>
        <w:tc>
          <w:tcPr>
            <w:tcW w:w="1135" w:type="dxa"/>
            <w:vMerge/>
            <w:tcBorders>
              <w:left w:val="single" w:sz="4" w:space="0" w:color="auto"/>
              <w:bottom w:val="single" w:sz="4" w:space="0" w:color="000000"/>
              <w:right w:val="single" w:sz="4" w:space="0" w:color="auto"/>
            </w:tcBorders>
            <w:shd w:val="clear" w:color="auto" w:fill="auto"/>
            <w:vAlign w:val="center"/>
          </w:tcPr>
          <w:p w14:paraId="56EAE17B" w14:textId="77777777" w:rsidR="00B86D3B" w:rsidRPr="00BA1388" w:rsidRDefault="00B86D3B" w:rsidP="00B86D3B">
            <w:pPr>
              <w:spacing w:after="0"/>
              <w:jc w:val="center"/>
              <w:rPr>
                <w:rFonts w:ascii="Arial" w:hAnsi="Arial"/>
                <w:b/>
                <w:bCs/>
                <w:sz w:val="16"/>
                <w:szCs w:val="16"/>
                <w:highlight w:val="yellow"/>
              </w:rPr>
            </w:pPr>
          </w:p>
        </w:tc>
        <w:tc>
          <w:tcPr>
            <w:tcW w:w="1560" w:type="dxa"/>
            <w:tcBorders>
              <w:top w:val="nil"/>
              <w:left w:val="nil"/>
              <w:bottom w:val="single" w:sz="4" w:space="0" w:color="auto"/>
              <w:right w:val="single" w:sz="4" w:space="0" w:color="auto"/>
            </w:tcBorders>
            <w:shd w:val="clear" w:color="auto" w:fill="auto"/>
            <w:vAlign w:val="center"/>
          </w:tcPr>
          <w:p w14:paraId="0BD91902" w14:textId="688EA049" w:rsidR="00B86D3B" w:rsidRPr="00F83D16" w:rsidRDefault="00B86D3B" w:rsidP="00B86D3B">
            <w:pPr>
              <w:spacing w:after="0"/>
              <w:rPr>
                <w:rFonts w:ascii="Arial" w:hAnsi="Arial"/>
                <w:sz w:val="16"/>
                <w:szCs w:val="16"/>
              </w:rPr>
            </w:pPr>
            <w:r w:rsidRPr="00F83D16">
              <w:rPr>
                <w:rFonts w:ascii="Arial" w:hAnsi="Arial"/>
                <w:sz w:val="16"/>
                <w:szCs w:val="16"/>
              </w:rPr>
              <w:t>Other Project Inputs to Capability</w:t>
            </w:r>
          </w:p>
        </w:tc>
        <w:tc>
          <w:tcPr>
            <w:tcW w:w="1277" w:type="dxa"/>
            <w:tcBorders>
              <w:top w:val="nil"/>
              <w:left w:val="nil"/>
              <w:bottom w:val="single" w:sz="4" w:space="0" w:color="auto"/>
              <w:right w:val="single" w:sz="4" w:space="0" w:color="auto"/>
            </w:tcBorders>
            <w:shd w:val="clear" w:color="auto" w:fill="auto"/>
            <w:noWrap/>
            <w:vAlign w:val="center"/>
          </w:tcPr>
          <w:p w14:paraId="22A115BB" w14:textId="6B206530" w:rsidR="00B86D3B" w:rsidRDefault="00B86D3B" w:rsidP="00B86D3B">
            <w:pPr>
              <w:spacing w:after="0"/>
              <w:jc w:val="right"/>
              <w:rPr>
                <w:rFonts w:ascii="Arial" w:hAnsi="Arial"/>
                <w:sz w:val="16"/>
                <w:szCs w:val="16"/>
              </w:rPr>
            </w:pPr>
            <w:r w:rsidRPr="00F102BD">
              <w:rPr>
                <w:rFonts w:ascii="Arial" w:hAnsi="Arial"/>
                <w:sz w:val="16"/>
                <w:szCs w:val="16"/>
              </w:rPr>
              <w:t>6</w:t>
            </w:r>
            <w:r>
              <w:rPr>
                <w:rFonts w:ascii="Arial" w:hAnsi="Arial"/>
                <w:sz w:val="16"/>
                <w:szCs w:val="16"/>
              </w:rPr>
              <w:t>74</w:t>
            </w:r>
          </w:p>
        </w:tc>
        <w:tc>
          <w:tcPr>
            <w:tcW w:w="1419" w:type="dxa"/>
            <w:tcBorders>
              <w:top w:val="nil"/>
              <w:left w:val="nil"/>
              <w:bottom w:val="single" w:sz="4" w:space="0" w:color="auto"/>
              <w:right w:val="single" w:sz="4" w:space="0" w:color="auto"/>
            </w:tcBorders>
            <w:shd w:val="clear" w:color="auto" w:fill="auto"/>
            <w:noWrap/>
            <w:vAlign w:val="center"/>
          </w:tcPr>
          <w:p w14:paraId="18CB5CA9" w14:textId="54D6C664" w:rsidR="00B86D3B" w:rsidRDefault="00B86D3B" w:rsidP="00B86D3B">
            <w:pPr>
              <w:spacing w:after="0"/>
              <w:jc w:val="right"/>
              <w:rPr>
                <w:rFonts w:ascii="Arial" w:hAnsi="Arial"/>
                <w:sz w:val="16"/>
                <w:szCs w:val="16"/>
              </w:rPr>
            </w:pPr>
            <w:r>
              <w:rPr>
                <w:rFonts w:ascii="Arial" w:hAnsi="Arial"/>
                <w:sz w:val="16"/>
                <w:szCs w:val="16"/>
              </w:rPr>
              <w:t>418</w:t>
            </w:r>
          </w:p>
        </w:tc>
        <w:tc>
          <w:tcPr>
            <w:tcW w:w="993" w:type="dxa"/>
            <w:tcBorders>
              <w:top w:val="nil"/>
              <w:left w:val="nil"/>
              <w:bottom w:val="single" w:sz="4" w:space="0" w:color="auto"/>
              <w:right w:val="single" w:sz="4" w:space="0" w:color="auto"/>
            </w:tcBorders>
            <w:shd w:val="clear" w:color="auto" w:fill="auto"/>
            <w:noWrap/>
            <w:vAlign w:val="center"/>
          </w:tcPr>
          <w:p w14:paraId="4CAE7BF0" w14:textId="4E85D028" w:rsidR="00B86D3B" w:rsidRDefault="00B86D3B" w:rsidP="00B86D3B">
            <w:pPr>
              <w:spacing w:after="0"/>
              <w:jc w:val="right"/>
              <w:rPr>
                <w:rFonts w:ascii="Arial" w:hAnsi="Arial"/>
                <w:sz w:val="16"/>
                <w:szCs w:val="16"/>
              </w:rPr>
            </w:pPr>
            <w:r>
              <w:rPr>
                <w:rFonts w:ascii="Arial" w:hAnsi="Arial"/>
                <w:sz w:val="16"/>
                <w:szCs w:val="16"/>
              </w:rPr>
              <w:t>72</w:t>
            </w:r>
          </w:p>
        </w:tc>
        <w:tc>
          <w:tcPr>
            <w:tcW w:w="5735" w:type="dxa"/>
            <w:vMerge/>
            <w:tcBorders>
              <w:left w:val="single" w:sz="4" w:space="0" w:color="auto"/>
              <w:bottom w:val="single" w:sz="4" w:space="0" w:color="000000"/>
              <w:right w:val="single" w:sz="4" w:space="0" w:color="auto"/>
            </w:tcBorders>
            <w:shd w:val="clear" w:color="auto" w:fill="auto"/>
            <w:vAlign w:val="center"/>
          </w:tcPr>
          <w:p w14:paraId="5CD57709" w14:textId="77777777" w:rsidR="00B86D3B" w:rsidRPr="00BA1388" w:rsidRDefault="00B86D3B" w:rsidP="00B86D3B">
            <w:pPr>
              <w:spacing w:before="0" w:after="80"/>
              <w:rPr>
                <w:rFonts w:ascii="Arial" w:hAnsi="Arial"/>
                <w:sz w:val="16"/>
                <w:szCs w:val="16"/>
                <w:highlight w:val="yellow"/>
              </w:rPr>
            </w:pPr>
          </w:p>
        </w:tc>
      </w:tr>
      <w:tr w:rsidR="00B86D3B" w:rsidRPr="00BA1388" w14:paraId="4A6F52A5" w14:textId="77777777" w:rsidTr="00F102BD">
        <w:trPr>
          <w:trHeight w:hRule="exact" w:val="737"/>
        </w:trPr>
        <w:tc>
          <w:tcPr>
            <w:tcW w:w="1839" w:type="dxa"/>
            <w:vMerge w:val="restart"/>
            <w:tcBorders>
              <w:top w:val="nil"/>
              <w:left w:val="single" w:sz="4" w:space="0" w:color="auto"/>
              <w:bottom w:val="single" w:sz="4" w:space="0" w:color="000000"/>
              <w:right w:val="single" w:sz="4" w:space="0" w:color="auto"/>
            </w:tcBorders>
            <w:shd w:val="clear" w:color="auto" w:fill="auto"/>
            <w:vAlign w:val="center"/>
            <w:hideMark/>
          </w:tcPr>
          <w:p w14:paraId="3BFB34A1" w14:textId="630685DF" w:rsidR="00B86D3B" w:rsidRPr="00840A4C" w:rsidRDefault="00B86D3B" w:rsidP="00D73F23">
            <w:pPr>
              <w:spacing w:after="0"/>
              <w:rPr>
                <w:rFonts w:ascii="Arial" w:hAnsi="Arial"/>
                <w:sz w:val="16"/>
                <w:szCs w:val="16"/>
              </w:rPr>
            </w:pPr>
            <w:r w:rsidRPr="00840A4C">
              <w:rPr>
                <w:rFonts w:ascii="Arial" w:hAnsi="Arial"/>
                <w:sz w:val="16"/>
                <w:szCs w:val="16"/>
              </w:rPr>
              <w:t>F-35A Lightning II Acquisition</w:t>
            </w:r>
            <w:r w:rsidR="00840A4C">
              <w:rPr>
                <w:rFonts w:ascii="Arial" w:hAnsi="Arial"/>
                <w:sz w:val="16"/>
                <w:szCs w:val="16"/>
              </w:rPr>
              <w:t xml:space="preserve"> </w:t>
            </w:r>
          </w:p>
        </w:tc>
        <w:tc>
          <w:tcPr>
            <w:tcW w:w="1135" w:type="dxa"/>
            <w:vMerge w:val="restart"/>
            <w:tcBorders>
              <w:top w:val="nil"/>
              <w:left w:val="single" w:sz="4" w:space="0" w:color="auto"/>
              <w:bottom w:val="single" w:sz="4" w:space="0" w:color="000000"/>
              <w:right w:val="single" w:sz="4" w:space="0" w:color="auto"/>
            </w:tcBorders>
            <w:shd w:val="clear" w:color="auto" w:fill="auto"/>
            <w:vAlign w:val="center"/>
            <w:hideMark/>
          </w:tcPr>
          <w:p w14:paraId="2F1ED231" w14:textId="77777777" w:rsidR="00B86D3B" w:rsidRPr="00840A4C" w:rsidRDefault="00B86D3B" w:rsidP="00B86D3B">
            <w:pPr>
              <w:spacing w:after="0"/>
              <w:jc w:val="center"/>
              <w:rPr>
                <w:rFonts w:ascii="Arial" w:hAnsi="Arial"/>
                <w:b/>
                <w:bCs/>
                <w:sz w:val="16"/>
                <w:szCs w:val="16"/>
              </w:rPr>
            </w:pPr>
            <w:r w:rsidRPr="00840A4C">
              <w:rPr>
                <w:rFonts w:ascii="Arial" w:hAnsi="Arial"/>
                <w:b/>
                <w:bCs/>
                <w:sz w:val="16"/>
                <w:szCs w:val="16"/>
              </w:rPr>
              <w:t>AIR 6000 Phase 2A/B</w:t>
            </w:r>
          </w:p>
        </w:tc>
        <w:tc>
          <w:tcPr>
            <w:tcW w:w="1560" w:type="dxa"/>
            <w:tcBorders>
              <w:top w:val="nil"/>
              <w:left w:val="nil"/>
              <w:bottom w:val="single" w:sz="4" w:space="0" w:color="auto"/>
              <w:right w:val="single" w:sz="4" w:space="0" w:color="auto"/>
            </w:tcBorders>
            <w:shd w:val="clear" w:color="auto" w:fill="auto"/>
            <w:vAlign w:val="center"/>
            <w:hideMark/>
          </w:tcPr>
          <w:p w14:paraId="4C726323" w14:textId="77777777" w:rsidR="00B86D3B" w:rsidRPr="00F83D16" w:rsidRDefault="00B86D3B" w:rsidP="00B86D3B">
            <w:pPr>
              <w:spacing w:after="0"/>
              <w:rPr>
                <w:rFonts w:ascii="Arial" w:hAnsi="Arial"/>
                <w:sz w:val="16"/>
                <w:szCs w:val="16"/>
              </w:rPr>
            </w:pPr>
            <w:r w:rsidRPr="00F83D16">
              <w:rPr>
                <w:rFonts w:ascii="Arial" w:hAnsi="Arial"/>
                <w:sz w:val="16"/>
                <w:szCs w:val="16"/>
              </w:rPr>
              <w:t>Military Equipment Acquisition</w:t>
            </w:r>
          </w:p>
        </w:tc>
        <w:tc>
          <w:tcPr>
            <w:tcW w:w="1277" w:type="dxa"/>
            <w:tcBorders>
              <w:top w:val="nil"/>
              <w:left w:val="nil"/>
              <w:bottom w:val="single" w:sz="4" w:space="0" w:color="auto"/>
              <w:right w:val="single" w:sz="4" w:space="0" w:color="auto"/>
            </w:tcBorders>
            <w:shd w:val="clear" w:color="auto" w:fill="auto"/>
            <w:noWrap/>
            <w:vAlign w:val="center"/>
          </w:tcPr>
          <w:p w14:paraId="5B521E8A" w14:textId="32791495" w:rsidR="00B86D3B" w:rsidRPr="00F102BD" w:rsidRDefault="00B86D3B" w:rsidP="00B86D3B">
            <w:pPr>
              <w:spacing w:after="0"/>
              <w:jc w:val="right"/>
              <w:rPr>
                <w:rFonts w:ascii="Arial" w:hAnsi="Arial"/>
                <w:sz w:val="16"/>
                <w:szCs w:val="16"/>
              </w:rPr>
            </w:pPr>
            <w:r>
              <w:rPr>
                <w:rFonts w:ascii="Arial" w:hAnsi="Arial"/>
                <w:sz w:val="16"/>
                <w:szCs w:val="16"/>
              </w:rPr>
              <w:t>16,708</w:t>
            </w:r>
          </w:p>
        </w:tc>
        <w:tc>
          <w:tcPr>
            <w:tcW w:w="1419" w:type="dxa"/>
            <w:tcBorders>
              <w:top w:val="nil"/>
              <w:left w:val="nil"/>
              <w:bottom w:val="single" w:sz="4" w:space="0" w:color="auto"/>
              <w:right w:val="single" w:sz="4" w:space="0" w:color="auto"/>
            </w:tcBorders>
            <w:shd w:val="clear" w:color="auto" w:fill="auto"/>
            <w:noWrap/>
            <w:vAlign w:val="center"/>
          </w:tcPr>
          <w:p w14:paraId="786A7264" w14:textId="56779C20" w:rsidR="00B86D3B" w:rsidRPr="00F102BD" w:rsidRDefault="00B86D3B" w:rsidP="00B86D3B">
            <w:pPr>
              <w:spacing w:after="0"/>
              <w:jc w:val="right"/>
              <w:rPr>
                <w:rFonts w:ascii="Arial" w:hAnsi="Arial"/>
                <w:sz w:val="16"/>
                <w:szCs w:val="16"/>
              </w:rPr>
            </w:pPr>
            <w:r>
              <w:rPr>
                <w:rFonts w:ascii="Arial" w:hAnsi="Arial"/>
                <w:sz w:val="16"/>
                <w:szCs w:val="16"/>
              </w:rPr>
              <w:t>12,730</w:t>
            </w:r>
          </w:p>
        </w:tc>
        <w:tc>
          <w:tcPr>
            <w:tcW w:w="993" w:type="dxa"/>
            <w:tcBorders>
              <w:top w:val="nil"/>
              <w:left w:val="nil"/>
              <w:bottom w:val="single" w:sz="4" w:space="0" w:color="auto"/>
              <w:right w:val="single" w:sz="4" w:space="0" w:color="auto"/>
            </w:tcBorders>
            <w:shd w:val="clear" w:color="auto" w:fill="auto"/>
            <w:noWrap/>
            <w:vAlign w:val="center"/>
          </w:tcPr>
          <w:p w14:paraId="26B35380" w14:textId="17B6CD7D" w:rsidR="00B86D3B" w:rsidRPr="00F102BD" w:rsidRDefault="00B86D3B" w:rsidP="00B86D3B">
            <w:pPr>
              <w:spacing w:after="0"/>
              <w:jc w:val="right"/>
              <w:rPr>
                <w:rFonts w:ascii="Arial" w:hAnsi="Arial"/>
                <w:sz w:val="16"/>
                <w:szCs w:val="16"/>
              </w:rPr>
            </w:pPr>
            <w:r>
              <w:rPr>
                <w:rFonts w:ascii="Arial" w:hAnsi="Arial"/>
                <w:sz w:val="16"/>
                <w:szCs w:val="16"/>
              </w:rPr>
              <w:t>238</w:t>
            </w:r>
          </w:p>
        </w:tc>
        <w:tc>
          <w:tcPr>
            <w:tcW w:w="5735" w:type="dxa"/>
            <w:vMerge w:val="restart"/>
            <w:tcBorders>
              <w:top w:val="nil"/>
              <w:left w:val="single" w:sz="4" w:space="0" w:color="auto"/>
              <w:bottom w:val="single" w:sz="4" w:space="0" w:color="000000"/>
              <w:right w:val="single" w:sz="4" w:space="0" w:color="auto"/>
            </w:tcBorders>
            <w:shd w:val="clear" w:color="auto" w:fill="auto"/>
            <w:vAlign w:val="center"/>
            <w:hideMark/>
          </w:tcPr>
          <w:p w14:paraId="48972200" w14:textId="77777777" w:rsidR="00B86D3B" w:rsidRPr="00BA1388" w:rsidRDefault="00B86D3B" w:rsidP="00B86D3B">
            <w:pPr>
              <w:spacing w:before="0" w:after="80"/>
              <w:rPr>
                <w:rFonts w:ascii="Arial" w:hAnsi="Arial"/>
                <w:sz w:val="16"/>
                <w:szCs w:val="16"/>
                <w:highlight w:val="yellow"/>
              </w:rPr>
            </w:pPr>
            <w:r w:rsidRPr="00840A4C">
              <w:rPr>
                <w:rFonts w:ascii="Arial" w:hAnsi="Arial"/>
                <w:sz w:val="16"/>
                <w:szCs w:val="16"/>
              </w:rPr>
              <w:t>This project is approved to acquire 72 F-35A Lightning II (Joint Strike Fighter) aircraft and supporting elements. The prime contractor, Lockheed Martin, is contracted to the United States Government to develop and produce F-35A aircraft. Australia is procuring the aircraft through a cooperative partnership.</w:t>
            </w:r>
          </w:p>
          <w:p w14:paraId="6900454C" w14:textId="21235AF2" w:rsidR="00B86D3B" w:rsidRPr="00BA1388" w:rsidRDefault="00840A4C" w:rsidP="00B86D3B">
            <w:pPr>
              <w:spacing w:before="0" w:after="80"/>
              <w:rPr>
                <w:rFonts w:ascii="Arial" w:hAnsi="Arial"/>
                <w:sz w:val="16"/>
                <w:szCs w:val="16"/>
                <w:highlight w:val="yellow"/>
              </w:rPr>
            </w:pPr>
            <w:r w:rsidRPr="00840A4C">
              <w:rPr>
                <w:rFonts w:ascii="Arial" w:hAnsi="Arial"/>
                <w:sz w:val="16"/>
                <w:szCs w:val="16"/>
              </w:rPr>
              <w:t>During 2025-26, the project will deliver the next tranche of spares, continue to upgrade the U.S. based software laboratories, and finalise the sovereign Maintenance Repair Overhaul and Upgrade capability.</w:t>
            </w:r>
          </w:p>
        </w:tc>
      </w:tr>
      <w:tr w:rsidR="00B86D3B" w:rsidRPr="00BA1388" w14:paraId="0C163B36" w14:textId="77777777" w:rsidTr="00840A4C">
        <w:trPr>
          <w:trHeight w:hRule="exact" w:val="837"/>
        </w:trPr>
        <w:tc>
          <w:tcPr>
            <w:tcW w:w="1839" w:type="dxa"/>
            <w:vMerge/>
            <w:tcBorders>
              <w:top w:val="nil"/>
              <w:left w:val="single" w:sz="4" w:space="0" w:color="auto"/>
              <w:bottom w:val="single" w:sz="4" w:space="0" w:color="000000"/>
              <w:right w:val="single" w:sz="4" w:space="0" w:color="auto"/>
            </w:tcBorders>
            <w:vAlign w:val="center"/>
            <w:hideMark/>
          </w:tcPr>
          <w:p w14:paraId="2BC25C35" w14:textId="77777777" w:rsidR="00B86D3B" w:rsidRPr="00BA1388" w:rsidRDefault="00B86D3B" w:rsidP="00B86D3B">
            <w:pPr>
              <w:spacing w:after="0"/>
              <w:rPr>
                <w:rFonts w:ascii="Arial" w:hAnsi="Arial"/>
                <w:sz w:val="16"/>
                <w:szCs w:val="16"/>
                <w:highlight w:val="yellow"/>
              </w:rPr>
            </w:pPr>
          </w:p>
        </w:tc>
        <w:tc>
          <w:tcPr>
            <w:tcW w:w="1135" w:type="dxa"/>
            <w:vMerge/>
            <w:tcBorders>
              <w:top w:val="nil"/>
              <w:left w:val="single" w:sz="4" w:space="0" w:color="auto"/>
              <w:bottom w:val="single" w:sz="4" w:space="0" w:color="000000"/>
              <w:right w:val="single" w:sz="4" w:space="0" w:color="auto"/>
            </w:tcBorders>
            <w:vAlign w:val="center"/>
            <w:hideMark/>
          </w:tcPr>
          <w:p w14:paraId="5A58360B" w14:textId="77777777" w:rsidR="00B86D3B" w:rsidRPr="00BA1388" w:rsidRDefault="00B86D3B" w:rsidP="00B86D3B">
            <w:pPr>
              <w:spacing w:after="0"/>
              <w:rPr>
                <w:rFonts w:ascii="Arial" w:hAnsi="Arial"/>
                <w:b/>
                <w:bCs/>
                <w:sz w:val="16"/>
                <w:szCs w:val="16"/>
                <w:highlight w:val="yellow"/>
              </w:rPr>
            </w:pPr>
          </w:p>
        </w:tc>
        <w:tc>
          <w:tcPr>
            <w:tcW w:w="1560" w:type="dxa"/>
            <w:tcBorders>
              <w:top w:val="nil"/>
              <w:left w:val="nil"/>
              <w:bottom w:val="single" w:sz="4" w:space="0" w:color="auto"/>
              <w:right w:val="single" w:sz="4" w:space="0" w:color="auto"/>
            </w:tcBorders>
            <w:shd w:val="clear" w:color="auto" w:fill="auto"/>
            <w:vAlign w:val="center"/>
            <w:hideMark/>
          </w:tcPr>
          <w:p w14:paraId="051E2734" w14:textId="77777777" w:rsidR="00B86D3B" w:rsidRPr="00F83D16" w:rsidRDefault="00B86D3B" w:rsidP="00B86D3B">
            <w:pPr>
              <w:spacing w:after="0"/>
              <w:rPr>
                <w:rFonts w:ascii="Arial" w:hAnsi="Arial"/>
                <w:sz w:val="16"/>
                <w:szCs w:val="16"/>
              </w:rPr>
            </w:pPr>
            <w:r w:rsidRPr="00F83D16">
              <w:rPr>
                <w:rFonts w:ascii="Arial" w:hAnsi="Arial"/>
                <w:sz w:val="16"/>
                <w:szCs w:val="16"/>
              </w:rPr>
              <w:t>Other Project Inputs to Capability</w:t>
            </w:r>
          </w:p>
        </w:tc>
        <w:tc>
          <w:tcPr>
            <w:tcW w:w="1277" w:type="dxa"/>
            <w:tcBorders>
              <w:top w:val="nil"/>
              <w:left w:val="nil"/>
              <w:bottom w:val="single" w:sz="4" w:space="0" w:color="auto"/>
              <w:right w:val="single" w:sz="4" w:space="0" w:color="auto"/>
            </w:tcBorders>
            <w:shd w:val="clear" w:color="auto" w:fill="auto"/>
            <w:noWrap/>
            <w:vAlign w:val="center"/>
          </w:tcPr>
          <w:p w14:paraId="70D2BC3F" w14:textId="362182E7" w:rsidR="00B86D3B" w:rsidRPr="00F102BD" w:rsidRDefault="00B86D3B" w:rsidP="00B86D3B">
            <w:pPr>
              <w:spacing w:after="0"/>
              <w:jc w:val="right"/>
              <w:rPr>
                <w:rFonts w:ascii="Arial" w:hAnsi="Arial"/>
                <w:sz w:val="16"/>
                <w:szCs w:val="16"/>
              </w:rPr>
            </w:pPr>
            <w:r>
              <w:rPr>
                <w:rFonts w:ascii="Arial" w:hAnsi="Arial"/>
                <w:sz w:val="16"/>
                <w:szCs w:val="16"/>
              </w:rPr>
              <w:t>1,726</w:t>
            </w:r>
          </w:p>
        </w:tc>
        <w:tc>
          <w:tcPr>
            <w:tcW w:w="1419" w:type="dxa"/>
            <w:tcBorders>
              <w:top w:val="nil"/>
              <w:left w:val="nil"/>
              <w:bottom w:val="single" w:sz="4" w:space="0" w:color="auto"/>
              <w:right w:val="single" w:sz="4" w:space="0" w:color="auto"/>
            </w:tcBorders>
            <w:shd w:val="clear" w:color="auto" w:fill="auto"/>
            <w:noWrap/>
            <w:vAlign w:val="center"/>
          </w:tcPr>
          <w:p w14:paraId="5F8CAC3B" w14:textId="40C92E1E" w:rsidR="00B86D3B" w:rsidRPr="00F102BD" w:rsidRDefault="00B86D3B" w:rsidP="00B86D3B">
            <w:pPr>
              <w:spacing w:after="0"/>
              <w:jc w:val="right"/>
              <w:rPr>
                <w:rFonts w:ascii="Arial" w:hAnsi="Arial"/>
                <w:sz w:val="16"/>
                <w:szCs w:val="16"/>
              </w:rPr>
            </w:pPr>
            <w:r>
              <w:rPr>
                <w:rFonts w:ascii="Arial" w:hAnsi="Arial"/>
                <w:sz w:val="16"/>
                <w:szCs w:val="16"/>
              </w:rPr>
              <w:t>1,541</w:t>
            </w:r>
          </w:p>
        </w:tc>
        <w:tc>
          <w:tcPr>
            <w:tcW w:w="993" w:type="dxa"/>
            <w:tcBorders>
              <w:top w:val="nil"/>
              <w:left w:val="nil"/>
              <w:bottom w:val="single" w:sz="4" w:space="0" w:color="auto"/>
              <w:right w:val="single" w:sz="4" w:space="0" w:color="auto"/>
            </w:tcBorders>
            <w:shd w:val="clear" w:color="auto" w:fill="auto"/>
            <w:noWrap/>
            <w:vAlign w:val="center"/>
          </w:tcPr>
          <w:p w14:paraId="32B82A47" w14:textId="086E3925" w:rsidR="00B86D3B" w:rsidRPr="00F102BD" w:rsidRDefault="00B86D3B" w:rsidP="00B86D3B">
            <w:pPr>
              <w:spacing w:after="0"/>
              <w:jc w:val="right"/>
              <w:rPr>
                <w:rFonts w:ascii="Arial" w:hAnsi="Arial"/>
                <w:sz w:val="16"/>
                <w:szCs w:val="16"/>
              </w:rPr>
            </w:pPr>
            <w:r>
              <w:rPr>
                <w:rFonts w:ascii="Arial" w:hAnsi="Arial"/>
                <w:sz w:val="16"/>
                <w:szCs w:val="16"/>
              </w:rPr>
              <w:t>-</w:t>
            </w:r>
          </w:p>
        </w:tc>
        <w:tc>
          <w:tcPr>
            <w:tcW w:w="5735" w:type="dxa"/>
            <w:vMerge/>
            <w:tcBorders>
              <w:top w:val="nil"/>
              <w:left w:val="single" w:sz="4" w:space="0" w:color="auto"/>
              <w:bottom w:val="single" w:sz="4" w:space="0" w:color="000000"/>
              <w:right w:val="single" w:sz="4" w:space="0" w:color="auto"/>
            </w:tcBorders>
            <w:vAlign w:val="center"/>
            <w:hideMark/>
          </w:tcPr>
          <w:p w14:paraId="5E3AAD46" w14:textId="77777777" w:rsidR="00B86D3B" w:rsidRPr="00BA1388" w:rsidRDefault="00B86D3B" w:rsidP="00B86D3B">
            <w:pPr>
              <w:spacing w:before="0" w:after="80"/>
              <w:rPr>
                <w:rFonts w:ascii="Arial" w:hAnsi="Arial"/>
                <w:sz w:val="16"/>
                <w:szCs w:val="16"/>
                <w:highlight w:val="yellow"/>
              </w:rPr>
            </w:pPr>
          </w:p>
        </w:tc>
      </w:tr>
      <w:tr w:rsidR="007C17A8" w:rsidRPr="00BA1388" w14:paraId="3286FB14" w14:textId="77777777" w:rsidTr="00E364DF">
        <w:trPr>
          <w:trHeight w:hRule="exact" w:val="301"/>
        </w:trPr>
        <w:tc>
          <w:tcPr>
            <w:tcW w:w="13958" w:type="dxa"/>
            <w:gridSpan w:val="7"/>
            <w:tcBorders>
              <w:top w:val="single" w:sz="4" w:space="0" w:color="auto"/>
              <w:left w:val="single" w:sz="4" w:space="0" w:color="auto"/>
              <w:bottom w:val="single" w:sz="4" w:space="0" w:color="auto"/>
              <w:right w:val="single" w:sz="4" w:space="0" w:color="auto"/>
            </w:tcBorders>
            <w:shd w:val="clear" w:color="auto" w:fill="E6E6E6"/>
            <w:vAlign w:val="center"/>
          </w:tcPr>
          <w:p w14:paraId="0501D64D" w14:textId="77777777" w:rsidR="007C17A8" w:rsidRPr="00A91845" w:rsidRDefault="007C17A8" w:rsidP="007C17A8">
            <w:pPr>
              <w:keepNext/>
              <w:keepLines/>
              <w:pageBreakBefore/>
              <w:spacing w:before="0" w:after="0"/>
              <w:rPr>
                <w:rFonts w:ascii="Arial" w:hAnsi="Arial"/>
                <w:sz w:val="16"/>
                <w:szCs w:val="16"/>
              </w:rPr>
            </w:pPr>
            <w:r w:rsidRPr="00A91845">
              <w:rPr>
                <w:rFonts w:ascii="Arial" w:hAnsi="Arial"/>
                <w:b/>
                <w:bCs/>
                <w:sz w:val="16"/>
                <w:szCs w:val="16"/>
              </w:rPr>
              <w:lastRenderedPageBreak/>
              <w:t>Air Domain (Continued)</w:t>
            </w:r>
          </w:p>
        </w:tc>
      </w:tr>
      <w:tr w:rsidR="00B86D3B" w:rsidRPr="00BA1388" w14:paraId="57C44B5A" w14:textId="77777777" w:rsidTr="00F102BD">
        <w:trPr>
          <w:trHeight w:hRule="exact" w:val="1247"/>
        </w:trPr>
        <w:tc>
          <w:tcPr>
            <w:tcW w:w="1839" w:type="dxa"/>
            <w:vMerge w:val="restart"/>
            <w:tcBorders>
              <w:top w:val="nil"/>
              <w:left w:val="single" w:sz="4" w:space="0" w:color="auto"/>
              <w:bottom w:val="single" w:sz="4" w:space="0" w:color="000000"/>
              <w:right w:val="single" w:sz="4" w:space="0" w:color="auto"/>
            </w:tcBorders>
            <w:shd w:val="clear" w:color="auto" w:fill="auto"/>
            <w:vAlign w:val="center"/>
            <w:hideMark/>
          </w:tcPr>
          <w:p w14:paraId="4BEA45DB" w14:textId="29E29B59" w:rsidR="00840A4C" w:rsidRPr="00840A4C" w:rsidRDefault="00B86D3B" w:rsidP="00B86D3B">
            <w:pPr>
              <w:spacing w:after="0"/>
              <w:rPr>
                <w:rFonts w:ascii="Arial" w:hAnsi="Arial"/>
                <w:sz w:val="16"/>
                <w:szCs w:val="16"/>
              </w:rPr>
            </w:pPr>
            <w:r w:rsidRPr="00840A4C">
              <w:rPr>
                <w:rFonts w:ascii="Arial" w:hAnsi="Arial"/>
                <w:sz w:val="16"/>
                <w:szCs w:val="16"/>
              </w:rPr>
              <w:t xml:space="preserve">EA-18G </w:t>
            </w:r>
            <w:r w:rsidR="00840A4C">
              <w:rPr>
                <w:rFonts w:ascii="Arial" w:hAnsi="Arial"/>
                <w:sz w:val="16"/>
                <w:szCs w:val="16"/>
              </w:rPr>
              <w:t>–</w:t>
            </w:r>
            <w:r w:rsidRPr="00840A4C">
              <w:rPr>
                <w:rFonts w:ascii="Arial" w:hAnsi="Arial"/>
                <w:sz w:val="16"/>
                <w:szCs w:val="16"/>
              </w:rPr>
              <w:t xml:space="preserve"> Growler</w:t>
            </w:r>
          </w:p>
        </w:tc>
        <w:tc>
          <w:tcPr>
            <w:tcW w:w="1135" w:type="dxa"/>
            <w:vMerge w:val="restart"/>
            <w:tcBorders>
              <w:top w:val="nil"/>
              <w:left w:val="single" w:sz="4" w:space="0" w:color="auto"/>
              <w:bottom w:val="single" w:sz="4" w:space="0" w:color="000000"/>
              <w:right w:val="single" w:sz="4" w:space="0" w:color="auto"/>
            </w:tcBorders>
            <w:shd w:val="clear" w:color="auto" w:fill="auto"/>
            <w:vAlign w:val="center"/>
            <w:hideMark/>
          </w:tcPr>
          <w:p w14:paraId="7586C815" w14:textId="77777777" w:rsidR="00B86D3B" w:rsidRPr="00840A4C" w:rsidRDefault="00B86D3B" w:rsidP="00B86D3B">
            <w:pPr>
              <w:spacing w:after="0"/>
              <w:jc w:val="center"/>
              <w:rPr>
                <w:rFonts w:ascii="Arial" w:hAnsi="Arial"/>
                <w:b/>
                <w:bCs/>
                <w:sz w:val="16"/>
                <w:szCs w:val="16"/>
              </w:rPr>
            </w:pPr>
            <w:r w:rsidRPr="00840A4C">
              <w:rPr>
                <w:rFonts w:ascii="Arial" w:hAnsi="Arial"/>
                <w:b/>
                <w:bCs/>
                <w:sz w:val="16"/>
                <w:szCs w:val="16"/>
              </w:rPr>
              <w:t>AIR 5349</w:t>
            </w:r>
          </w:p>
        </w:tc>
        <w:tc>
          <w:tcPr>
            <w:tcW w:w="1560" w:type="dxa"/>
            <w:tcBorders>
              <w:top w:val="nil"/>
              <w:left w:val="nil"/>
              <w:bottom w:val="single" w:sz="4" w:space="0" w:color="auto"/>
              <w:right w:val="single" w:sz="4" w:space="0" w:color="auto"/>
            </w:tcBorders>
            <w:shd w:val="clear" w:color="auto" w:fill="auto"/>
            <w:vAlign w:val="center"/>
            <w:hideMark/>
          </w:tcPr>
          <w:p w14:paraId="4EB6D28D" w14:textId="77777777" w:rsidR="00B86D3B" w:rsidRPr="00F83D16" w:rsidRDefault="00B86D3B" w:rsidP="00B86D3B">
            <w:pPr>
              <w:spacing w:after="0"/>
              <w:rPr>
                <w:rFonts w:ascii="Arial" w:hAnsi="Arial"/>
                <w:sz w:val="16"/>
                <w:szCs w:val="16"/>
              </w:rPr>
            </w:pPr>
            <w:r w:rsidRPr="00F83D16">
              <w:rPr>
                <w:rFonts w:ascii="Arial" w:hAnsi="Arial"/>
                <w:sz w:val="16"/>
                <w:szCs w:val="16"/>
              </w:rPr>
              <w:t>Military Equipment Acquisition</w:t>
            </w:r>
          </w:p>
        </w:tc>
        <w:tc>
          <w:tcPr>
            <w:tcW w:w="1277" w:type="dxa"/>
            <w:tcBorders>
              <w:top w:val="nil"/>
              <w:left w:val="nil"/>
              <w:bottom w:val="single" w:sz="4" w:space="0" w:color="auto"/>
              <w:right w:val="single" w:sz="4" w:space="0" w:color="auto"/>
            </w:tcBorders>
            <w:shd w:val="clear" w:color="auto" w:fill="auto"/>
            <w:noWrap/>
            <w:vAlign w:val="center"/>
          </w:tcPr>
          <w:p w14:paraId="56B84E0D" w14:textId="5AFF3091" w:rsidR="00B86D3B" w:rsidRPr="00F102BD" w:rsidRDefault="00B86D3B" w:rsidP="00B86D3B">
            <w:pPr>
              <w:spacing w:after="0"/>
              <w:jc w:val="right"/>
              <w:rPr>
                <w:rFonts w:ascii="Arial" w:hAnsi="Arial"/>
                <w:sz w:val="16"/>
                <w:szCs w:val="16"/>
              </w:rPr>
            </w:pPr>
            <w:r>
              <w:rPr>
                <w:rFonts w:ascii="Arial" w:hAnsi="Arial"/>
                <w:sz w:val="16"/>
                <w:szCs w:val="16"/>
              </w:rPr>
              <w:t>6,829</w:t>
            </w:r>
          </w:p>
        </w:tc>
        <w:tc>
          <w:tcPr>
            <w:tcW w:w="1419" w:type="dxa"/>
            <w:tcBorders>
              <w:top w:val="nil"/>
              <w:left w:val="nil"/>
              <w:bottom w:val="single" w:sz="4" w:space="0" w:color="auto"/>
              <w:right w:val="single" w:sz="4" w:space="0" w:color="auto"/>
            </w:tcBorders>
            <w:shd w:val="clear" w:color="auto" w:fill="auto"/>
            <w:noWrap/>
            <w:vAlign w:val="center"/>
          </w:tcPr>
          <w:p w14:paraId="779738F6" w14:textId="6ECCE9E4" w:rsidR="00B86D3B" w:rsidRPr="00F102BD" w:rsidRDefault="00B86D3B" w:rsidP="00B86D3B">
            <w:pPr>
              <w:spacing w:after="0"/>
              <w:jc w:val="right"/>
              <w:rPr>
                <w:rFonts w:ascii="Arial" w:hAnsi="Arial"/>
                <w:sz w:val="16"/>
                <w:szCs w:val="16"/>
              </w:rPr>
            </w:pPr>
            <w:r>
              <w:rPr>
                <w:rFonts w:ascii="Arial" w:hAnsi="Arial"/>
                <w:sz w:val="16"/>
                <w:szCs w:val="16"/>
              </w:rPr>
              <w:t>3,998</w:t>
            </w:r>
          </w:p>
        </w:tc>
        <w:tc>
          <w:tcPr>
            <w:tcW w:w="993" w:type="dxa"/>
            <w:tcBorders>
              <w:top w:val="nil"/>
              <w:left w:val="nil"/>
              <w:bottom w:val="single" w:sz="4" w:space="0" w:color="auto"/>
              <w:right w:val="single" w:sz="4" w:space="0" w:color="auto"/>
            </w:tcBorders>
            <w:shd w:val="clear" w:color="auto" w:fill="auto"/>
            <w:noWrap/>
            <w:vAlign w:val="center"/>
          </w:tcPr>
          <w:p w14:paraId="7F713950" w14:textId="1B3B1E42" w:rsidR="00B86D3B" w:rsidRPr="00F102BD" w:rsidRDefault="00B86D3B" w:rsidP="00B86D3B">
            <w:pPr>
              <w:spacing w:after="0"/>
              <w:jc w:val="right"/>
              <w:rPr>
                <w:rFonts w:ascii="Arial" w:hAnsi="Arial"/>
                <w:sz w:val="16"/>
                <w:szCs w:val="16"/>
              </w:rPr>
            </w:pPr>
            <w:r>
              <w:rPr>
                <w:rFonts w:ascii="Arial" w:hAnsi="Arial"/>
                <w:sz w:val="16"/>
                <w:szCs w:val="16"/>
              </w:rPr>
              <w:t>260</w:t>
            </w:r>
          </w:p>
        </w:tc>
        <w:tc>
          <w:tcPr>
            <w:tcW w:w="5735" w:type="dxa"/>
            <w:vMerge w:val="restart"/>
            <w:tcBorders>
              <w:top w:val="nil"/>
              <w:left w:val="single" w:sz="4" w:space="0" w:color="auto"/>
              <w:bottom w:val="single" w:sz="4" w:space="0" w:color="000000"/>
              <w:right w:val="single" w:sz="4" w:space="0" w:color="auto"/>
            </w:tcBorders>
            <w:shd w:val="clear" w:color="auto" w:fill="auto"/>
            <w:vAlign w:val="center"/>
            <w:hideMark/>
          </w:tcPr>
          <w:p w14:paraId="35B0AD52" w14:textId="77777777" w:rsidR="00B86D3B" w:rsidRPr="00840A4C" w:rsidRDefault="00B86D3B" w:rsidP="00B86D3B">
            <w:pPr>
              <w:spacing w:before="0" w:after="80"/>
              <w:rPr>
                <w:rFonts w:ascii="Arial" w:hAnsi="Arial"/>
                <w:sz w:val="16"/>
                <w:szCs w:val="16"/>
              </w:rPr>
            </w:pPr>
            <w:r w:rsidRPr="00840A4C">
              <w:rPr>
                <w:rFonts w:ascii="Arial" w:hAnsi="Arial"/>
                <w:sz w:val="16"/>
                <w:szCs w:val="16"/>
              </w:rPr>
              <w:t>This project is approved to acquire a number of upgrades to the airborne electronic attack capability, centred on the EA-18G Growler aircraft. The upgrades include the Next Generation Jammer being developed and procured through a cooperative program with the United States Navy. Other elements will be procured through a range of avenues and include anti</w:t>
            </w:r>
            <w:r w:rsidRPr="00840A4C">
              <w:rPr>
                <w:rFonts w:ascii="Arial" w:hAnsi="Arial"/>
                <w:sz w:val="16"/>
                <w:szCs w:val="16"/>
              </w:rPr>
              <w:noBreakHyphen/>
              <w:t>radiation missiles, airborne decoys, aircraft system upgrades, establishment of enhanced sovereign maintenance capabilities for the aircraft ALQ-99 Tactical Jammer System and electronic warfare training range enhancements.</w:t>
            </w:r>
          </w:p>
          <w:p w14:paraId="55F5F4FC" w14:textId="7BB2B473" w:rsidR="00B86D3B" w:rsidRPr="00BA1388" w:rsidRDefault="00840A4C" w:rsidP="00237B43">
            <w:pPr>
              <w:spacing w:before="0" w:after="80"/>
              <w:rPr>
                <w:rFonts w:ascii="Arial" w:hAnsi="Arial"/>
                <w:sz w:val="16"/>
                <w:szCs w:val="16"/>
                <w:highlight w:val="yellow"/>
              </w:rPr>
            </w:pPr>
            <w:r w:rsidRPr="00840A4C">
              <w:rPr>
                <w:rFonts w:ascii="Arial" w:hAnsi="Arial"/>
                <w:sz w:val="16"/>
                <w:szCs w:val="16"/>
              </w:rPr>
              <w:t xml:space="preserve">During 2025-26, the </w:t>
            </w:r>
            <w:r w:rsidR="00237B43">
              <w:rPr>
                <w:rFonts w:ascii="Arial" w:hAnsi="Arial"/>
                <w:sz w:val="16"/>
                <w:szCs w:val="16"/>
              </w:rPr>
              <w:t>p</w:t>
            </w:r>
            <w:r w:rsidRPr="00840A4C">
              <w:rPr>
                <w:rFonts w:ascii="Arial" w:hAnsi="Arial"/>
                <w:sz w:val="16"/>
                <w:szCs w:val="16"/>
              </w:rPr>
              <w:t xml:space="preserve">roject will commence the introduction into service of the first ALQ-249v1 Next Generation Jammer – Mid Band shipsets for the Australian Growler fleet. The </w:t>
            </w:r>
            <w:r w:rsidR="00237B43">
              <w:rPr>
                <w:rFonts w:ascii="Arial" w:hAnsi="Arial"/>
                <w:sz w:val="16"/>
                <w:szCs w:val="16"/>
              </w:rPr>
              <w:t>p</w:t>
            </w:r>
            <w:r w:rsidRPr="00840A4C">
              <w:rPr>
                <w:rFonts w:ascii="Arial" w:hAnsi="Arial"/>
                <w:sz w:val="16"/>
                <w:szCs w:val="16"/>
              </w:rPr>
              <w:t>roject will also commence the operation of its ALQ-99 Tactical Jammer System’s enhanced sovereign maintenance capability. Additionally, aircraft will be upgraded as part of the Growler weapon systems enhancement.</w:t>
            </w:r>
          </w:p>
        </w:tc>
      </w:tr>
      <w:tr w:rsidR="00B86D3B" w:rsidRPr="00BA1388" w14:paraId="18578E8B" w14:textId="77777777" w:rsidTr="00F102BD">
        <w:trPr>
          <w:trHeight w:hRule="exact" w:val="1910"/>
        </w:trPr>
        <w:tc>
          <w:tcPr>
            <w:tcW w:w="1839" w:type="dxa"/>
            <w:vMerge/>
            <w:tcBorders>
              <w:top w:val="nil"/>
              <w:left w:val="single" w:sz="4" w:space="0" w:color="auto"/>
              <w:bottom w:val="single" w:sz="4" w:space="0" w:color="auto"/>
              <w:right w:val="single" w:sz="4" w:space="0" w:color="auto"/>
            </w:tcBorders>
            <w:vAlign w:val="center"/>
            <w:hideMark/>
          </w:tcPr>
          <w:p w14:paraId="208B9370" w14:textId="77777777" w:rsidR="00B86D3B" w:rsidRPr="00BA1388" w:rsidRDefault="00B86D3B" w:rsidP="00B86D3B">
            <w:pPr>
              <w:spacing w:after="0"/>
              <w:rPr>
                <w:rFonts w:ascii="Arial" w:hAnsi="Arial"/>
                <w:sz w:val="16"/>
                <w:szCs w:val="16"/>
                <w:highlight w:val="yellow"/>
              </w:rPr>
            </w:pPr>
          </w:p>
        </w:tc>
        <w:tc>
          <w:tcPr>
            <w:tcW w:w="1135" w:type="dxa"/>
            <w:vMerge/>
            <w:tcBorders>
              <w:top w:val="nil"/>
              <w:left w:val="single" w:sz="4" w:space="0" w:color="auto"/>
              <w:bottom w:val="single" w:sz="4" w:space="0" w:color="auto"/>
              <w:right w:val="single" w:sz="4" w:space="0" w:color="auto"/>
            </w:tcBorders>
            <w:vAlign w:val="center"/>
            <w:hideMark/>
          </w:tcPr>
          <w:p w14:paraId="25A3FE10" w14:textId="77777777" w:rsidR="00B86D3B" w:rsidRPr="00BA1388" w:rsidRDefault="00B86D3B" w:rsidP="00B86D3B">
            <w:pPr>
              <w:spacing w:after="0"/>
              <w:rPr>
                <w:rFonts w:ascii="Arial" w:hAnsi="Arial"/>
                <w:b/>
                <w:bCs/>
                <w:sz w:val="16"/>
                <w:szCs w:val="16"/>
                <w:highlight w:val="yellow"/>
              </w:rPr>
            </w:pPr>
          </w:p>
        </w:tc>
        <w:tc>
          <w:tcPr>
            <w:tcW w:w="1560" w:type="dxa"/>
            <w:tcBorders>
              <w:top w:val="nil"/>
              <w:left w:val="nil"/>
              <w:bottom w:val="single" w:sz="4" w:space="0" w:color="auto"/>
              <w:right w:val="single" w:sz="4" w:space="0" w:color="auto"/>
            </w:tcBorders>
            <w:shd w:val="clear" w:color="auto" w:fill="auto"/>
            <w:vAlign w:val="center"/>
            <w:hideMark/>
          </w:tcPr>
          <w:p w14:paraId="1F568581" w14:textId="77777777" w:rsidR="00B86D3B" w:rsidRPr="00F83D16" w:rsidRDefault="00B86D3B" w:rsidP="00B86D3B">
            <w:pPr>
              <w:spacing w:after="0"/>
              <w:rPr>
                <w:rFonts w:ascii="Arial" w:hAnsi="Arial"/>
                <w:sz w:val="16"/>
                <w:szCs w:val="16"/>
              </w:rPr>
            </w:pPr>
            <w:r w:rsidRPr="00F83D16">
              <w:rPr>
                <w:rFonts w:ascii="Arial" w:hAnsi="Arial"/>
                <w:sz w:val="16"/>
                <w:szCs w:val="16"/>
              </w:rPr>
              <w:t>Other Project Inputs to Capability</w:t>
            </w:r>
          </w:p>
        </w:tc>
        <w:tc>
          <w:tcPr>
            <w:tcW w:w="1277" w:type="dxa"/>
            <w:tcBorders>
              <w:top w:val="nil"/>
              <w:left w:val="nil"/>
              <w:bottom w:val="single" w:sz="4" w:space="0" w:color="auto"/>
              <w:right w:val="single" w:sz="4" w:space="0" w:color="auto"/>
            </w:tcBorders>
            <w:shd w:val="clear" w:color="auto" w:fill="auto"/>
            <w:noWrap/>
            <w:vAlign w:val="center"/>
          </w:tcPr>
          <w:p w14:paraId="554C6999" w14:textId="0E9B8949" w:rsidR="00B86D3B" w:rsidRPr="00F102BD" w:rsidRDefault="00B86D3B" w:rsidP="00B86D3B">
            <w:pPr>
              <w:spacing w:after="0"/>
              <w:jc w:val="right"/>
              <w:rPr>
                <w:rFonts w:ascii="Arial" w:hAnsi="Arial"/>
                <w:sz w:val="16"/>
                <w:szCs w:val="16"/>
              </w:rPr>
            </w:pPr>
            <w:r>
              <w:rPr>
                <w:rFonts w:ascii="Arial" w:hAnsi="Arial"/>
                <w:sz w:val="16"/>
                <w:szCs w:val="16"/>
              </w:rPr>
              <w:t>800</w:t>
            </w:r>
          </w:p>
        </w:tc>
        <w:tc>
          <w:tcPr>
            <w:tcW w:w="1419" w:type="dxa"/>
            <w:tcBorders>
              <w:top w:val="nil"/>
              <w:left w:val="nil"/>
              <w:bottom w:val="single" w:sz="4" w:space="0" w:color="auto"/>
              <w:right w:val="single" w:sz="4" w:space="0" w:color="auto"/>
            </w:tcBorders>
            <w:shd w:val="clear" w:color="auto" w:fill="auto"/>
            <w:noWrap/>
            <w:vAlign w:val="center"/>
          </w:tcPr>
          <w:p w14:paraId="6F7BF436" w14:textId="726A8B02" w:rsidR="00B86D3B" w:rsidRPr="00F102BD" w:rsidRDefault="00B86D3B" w:rsidP="00B86D3B">
            <w:pPr>
              <w:spacing w:after="0"/>
              <w:jc w:val="right"/>
              <w:rPr>
                <w:rFonts w:ascii="Arial" w:hAnsi="Arial"/>
                <w:sz w:val="16"/>
                <w:szCs w:val="16"/>
              </w:rPr>
            </w:pPr>
            <w:r>
              <w:rPr>
                <w:rFonts w:ascii="Arial" w:hAnsi="Arial"/>
                <w:sz w:val="16"/>
                <w:szCs w:val="16"/>
              </w:rPr>
              <w:t>536</w:t>
            </w:r>
          </w:p>
        </w:tc>
        <w:tc>
          <w:tcPr>
            <w:tcW w:w="993" w:type="dxa"/>
            <w:tcBorders>
              <w:top w:val="nil"/>
              <w:left w:val="nil"/>
              <w:bottom w:val="single" w:sz="4" w:space="0" w:color="auto"/>
              <w:right w:val="single" w:sz="4" w:space="0" w:color="auto"/>
            </w:tcBorders>
            <w:shd w:val="clear" w:color="auto" w:fill="auto"/>
            <w:noWrap/>
            <w:vAlign w:val="center"/>
          </w:tcPr>
          <w:p w14:paraId="0154AF76" w14:textId="4A850897" w:rsidR="00B86D3B" w:rsidRPr="00F102BD" w:rsidRDefault="00B86D3B" w:rsidP="00B86D3B">
            <w:pPr>
              <w:spacing w:after="0"/>
              <w:jc w:val="right"/>
              <w:rPr>
                <w:rFonts w:ascii="Arial" w:hAnsi="Arial"/>
                <w:sz w:val="16"/>
                <w:szCs w:val="16"/>
              </w:rPr>
            </w:pPr>
            <w:r>
              <w:rPr>
                <w:rFonts w:ascii="Arial" w:hAnsi="Arial"/>
                <w:sz w:val="16"/>
                <w:szCs w:val="16"/>
              </w:rPr>
              <w:t>148</w:t>
            </w:r>
          </w:p>
        </w:tc>
        <w:tc>
          <w:tcPr>
            <w:tcW w:w="5735" w:type="dxa"/>
            <w:vMerge/>
            <w:tcBorders>
              <w:top w:val="nil"/>
              <w:left w:val="single" w:sz="4" w:space="0" w:color="auto"/>
              <w:bottom w:val="single" w:sz="4" w:space="0" w:color="auto"/>
              <w:right w:val="single" w:sz="4" w:space="0" w:color="auto"/>
            </w:tcBorders>
            <w:shd w:val="clear" w:color="auto" w:fill="auto"/>
            <w:vAlign w:val="center"/>
            <w:hideMark/>
          </w:tcPr>
          <w:p w14:paraId="28DBEE74" w14:textId="77777777" w:rsidR="00B86D3B" w:rsidRPr="00BA1388" w:rsidRDefault="00B86D3B" w:rsidP="00B86D3B">
            <w:pPr>
              <w:spacing w:before="0" w:after="80"/>
              <w:rPr>
                <w:rFonts w:ascii="Arial" w:hAnsi="Arial"/>
                <w:sz w:val="16"/>
                <w:szCs w:val="16"/>
                <w:highlight w:val="yellow"/>
              </w:rPr>
            </w:pPr>
          </w:p>
        </w:tc>
      </w:tr>
      <w:tr w:rsidR="00B86D3B" w:rsidRPr="00BA1388" w14:paraId="1C547531" w14:textId="77777777" w:rsidTr="00F102BD">
        <w:trPr>
          <w:trHeight w:hRule="exact" w:val="851"/>
        </w:trPr>
        <w:tc>
          <w:tcPr>
            <w:tcW w:w="18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042486" w14:textId="58299F10" w:rsidR="00B86D3B" w:rsidRPr="00EC2CA0" w:rsidRDefault="00B86D3B" w:rsidP="00DE289E">
            <w:pPr>
              <w:spacing w:after="0"/>
              <w:rPr>
                <w:rFonts w:ascii="Arial" w:hAnsi="Arial"/>
                <w:sz w:val="16"/>
                <w:szCs w:val="16"/>
              </w:rPr>
            </w:pPr>
            <w:r w:rsidRPr="00EC2CA0">
              <w:rPr>
                <w:rFonts w:ascii="Arial" w:hAnsi="Arial"/>
                <w:sz w:val="16"/>
                <w:szCs w:val="16"/>
              </w:rPr>
              <w:t>P-8A Poseidon</w:t>
            </w:r>
            <w:r w:rsidR="00EC2CA0">
              <w:rPr>
                <w:rFonts w:ascii="Arial" w:hAnsi="Arial"/>
                <w:sz w:val="16"/>
                <w:szCs w:val="16"/>
              </w:rPr>
              <w:t xml:space="preserve"> </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FA2FD1" w14:textId="77777777" w:rsidR="00B86D3B" w:rsidRPr="00EC2CA0" w:rsidRDefault="00B86D3B" w:rsidP="00B86D3B">
            <w:pPr>
              <w:spacing w:after="0"/>
              <w:jc w:val="center"/>
              <w:rPr>
                <w:rFonts w:ascii="Arial" w:hAnsi="Arial"/>
                <w:b/>
                <w:bCs/>
                <w:sz w:val="16"/>
                <w:szCs w:val="16"/>
              </w:rPr>
            </w:pPr>
            <w:r w:rsidRPr="00EC2CA0">
              <w:rPr>
                <w:rFonts w:ascii="Arial" w:hAnsi="Arial"/>
                <w:b/>
                <w:bCs/>
                <w:sz w:val="16"/>
                <w:szCs w:val="16"/>
              </w:rPr>
              <w:t>AIR 7000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0091BD9" w14:textId="77777777" w:rsidR="00B86D3B" w:rsidRPr="00F83D16" w:rsidRDefault="00B86D3B" w:rsidP="00B86D3B">
            <w:pPr>
              <w:spacing w:after="0"/>
              <w:rPr>
                <w:rFonts w:ascii="Arial" w:hAnsi="Arial"/>
                <w:sz w:val="16"/>
                <w:szCs w:val="16"/>
              </w:rPr>
            </w:pPr>
            <w:r w:rsidRPr="00F83D16">
              <w:rPr>
                <w:rFonts w:ascii="Arial" w:hAnsi="Arial"/>
                <w:sz w:val="16"/>
                <w:szCs w:val="16"/>
              </w:rPr>
              <w:t>Military Equipment Acquisition</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087E3325" w14:textId="01DC62D1" w:rsidR="00B86D3B" w:rsidRPr="00F102BD" w:rsidRDefault="00B86D3B" w:rsidP="00B86D3B">
            <w:pPr>
              <w:spacing w:after="0"/>
              <w:jc w:val="right"/>
              <w:rPr>
                <w:rFonts w:ascii="Arial" w:hAnsi="Arial"/>
                <w:sz w:val="16"/>
                <w:szCs w:val="16"/>
              </w:rPr>
            </w:pPr>
            <w:r>
              <w:rPr>
                <w:rFonts w:ascii="Arial" w:hAnsi="Arial"/>
                <w:sz w:val="16"/>
                <w:szCs w:val="16"/>
              </w:rPr>
              <w:t>7,529</w:t>
            </w:r>
          </w:p>
        </w:tc>
        <w:tc>
          <w:tcPr>
            <w:tcW w:w="1419" w:type="dxa"/>
            <w:tcBorders>
              <w:top w:val="single" w:sz="4" w:space="0" w:color="auto"/>
              <w:left w:val="nil"/>
              <w:bottom w:val="single" w:sz="4" w:space="0" w:color="auto"/>
              <w:right w:val="single" w:sz="4" w:space="0" w:color="auto"/>
            </w:tcBorders>
            <w:shd w:val="clear" w:color="auto" w:fill="auto"/>
            <w:noWrap/>
            <w:vAlign w:val="center"/>
          </w:tcPr>
          <w:p w14:paraId="6C7CC7B7" w14:textId="7B9F9930" w:rsidR="00B86D3B" w:rsidRPr="00F102BD" w:rsidRDefault="00B86D3B" w:rsidP="00B86D3B">
            <w:pPr>
              <w:spacing w:after="0"/>
              <w:jc w:val="right"/>
              <w:rPr>
                <w:rFonts w:ascii="Arial" w:hAnsi="Arial"/>
                <w:sz w:val="16"/>
                <w:szCs w:val="16"/>
              </w:rPr>
            </w:pPr>
            <w:r>
              <w:rPr>
                <w:rFonts w:ascii="Arial" w:hAnsi="Arial"/>
                <w:sz w:val="16"/>
                <w:szCs w:val="16"/>
              </w:rPr>
              <w:t>5,399</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A0696F1" w14:textId="63EF064F" w:rsidR="00B86D3B" w:rsidRPr="00F102BD" w:rsidRDefault="00B86D3B" w:rsidP="00B86D3B">
            <w:pPr>
              <w:spacing w:after="0"/>
              <w:jc w:val="right"/>
              <w:rPr>
                <w:rFonts w:ascii="Arial" w:hAnsi="Arial"/>
                <w:sz w:val="16"/>
                <w:szCs w:val="16"/>
              </w:rPr>
            </w:pPr>
            <w:r>
              <w:rPr>
                <w:rFonts w:ascii="Arial" w:hAnsi="Arial"/>
                <w:sz w:val="16"/>
                <w:szCs w:val="16"/>
              </w:rPr>
              <w:t>261</w:t>
            </w:r>
          </w:p>
        </w:tc>
        <w:tc>
          <w:tcPr>
            <w:tcW w:w="57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D95EE9" w14:textId="59608500" w:rsidR="00B86D3B" w:rsidRPr="00840A4C" w:rsidRDefault="00B86D3B" w:rsidP="00B86D3B">
            <w:pPr>
              <w:spacing w:before="0" w:after="80"/>
              <w:rPr>
                <w:rFonts w:ascii="Arial" w:hAnsi="Arial"/>
                <w:sz w:val="16"/>
                <w:szCs w:val="16"/>
              </w:rPr>
            </w:pPr>
            <w:r w:rsidRPr="00840A4C">
              <w:rPr>
                <w:rFonts w:ascii="Arial" w:hAnsi="Arial"/>
                <w:sz w:val="16"/>
                <w:szCs w:val="16"/>
              </w:rPr>
              <w:t xml:space="preserve">This project </w:t>
            </w:r>
            <w:r w:rsidR="00237B43">
              <w:rPr>
                <w:rFonts w:ascii="Arial" w:hAnsi="Arial"/>
                <w:sz w:val="16"/>
                <w:szCs w:val="16"/>
              </w:rPr>
              <w:t xml:space="preserve">is approved to </w:t>
            </w:r>
            <w:r w:rsidRPr="00840A4C">
              <w:rPr>
                <w:rFonts w:ascii="Arial" w:hAnsi="Arial"/>
                <w:sz w:val="16"/>
                <w:szCs w:val="16"/>
              </w:rPr>
              <w:t>acquire P-8A aircraft, associated support systems as well as undertake capability upgrades for the fleet. The equipment is being procured through a cooperative program with the United States Navy.</w:t>
            </w:r>
          </w:p>
          <w:p w14:paraId="631AF5CC" w14:textId="182856BD" w:rsidR="00B86D3B" w:rsidRPr="00BA1388" w:rsidRDefault="00840A4C" w:rsidP="00237B43">
            <w:pPr>
              <w:spacing w:before="0" w:after="80"/>
              <w:rPr>
                <w:rFonts w:ascii="Arial" w:hAnsi="Arial"/>
                <w:sz w:val="16"/>
                <w:szCs w:val="16"/>
                <w:highlight w:val="yellow"/>
              </w:rPr>
            </w:pPr>
            <w:r w:rsidRPr="00840A4C">
              <w:rPr>
                <w:rFonts w:ascii="Arial" w:hAnsi="Arial"/>
                <w:sz w:val="16"/>
                <w:szCs w:val="16"/>
              </w:rPr>
              <w:t xml:space="preserve">During 2025-26, the project will commence upgrade of the P-8A Fleet. The first two </w:t>
            </w:r>
            <w:r w:rsidR="00237B43">
              <w:rPr>
                <w:rFonts w:ascii="Arial" w:hAnsi="Arial"/>
                <w:sz w:val="16"/>
                <w:szCs w:val="16"/>
              </w:rPr>
              <w:t>a</w:t>
            </w:r>
            <w:r w:rsidRPr="00840A4C">
              <w:rPr>
                <w:rFonts w:ascii="Arial" w:hAnsi="Arial"/>
                <w:sz w:val="16"/>
                <w:szCs w:val="16"/>
              </w:rPr>
              <w:t>ircraft will be modified in the USA, while the remainder will be modified in Australia by Boeing Defence Australia in the Deep Maintenance and Modification Facility currently under construction at RAAF Base Edinburgh, South Australia.</w:t>
            </w:r>
          </w:p>
        </w:tc>
      </w:tr>
      <w:tr w:rsidR="00B86D3B" w:rsidRPr="00BA1388" w14:paraId="7DBB5C35" w14:textId="77777777" w:rsidTr="00F102BD">
        <w:trPr>
          <w:trHeight w:hRule="exact" w:val="851"/>
        </w:trPr>
        <w:tc>
          <w:tcPr>
            <w:tcW w:w="1839" w:type="dxa"/>
            <w:vMerge/>
            <w:tcBorders>
              <w:top w:val="single" w:sz="4" w:space="0" w:color="auto"/>
              <w:left w:val="single" w:sz="4" w:space="0" w:color="auto"/>
              <w:bottom w:val="single" w:sz="4" w:space="0" w:color="auto"/>
              <w:right w:val="single" w:sz="4" w:space="0" w:color="auto"/>
            </w:tcBorders>
            <w:vAlign w:val="center"/>
            <w:hideMark/>
          </w:tcPr>
          <w:p w14:paraId="6F20A9B9" w14:textId="77777777" w:rsidR="00B86D3B" w:rsidRPr="00BA1388" w:rsidRDefault="00B86D3B" w:rsidP="00B86D3B">
            <w:pPr>
              <w:spacing w:after="0"/>
              <w:rPr>
                <w:rFonts w:ascii="Arial" w:hAnsi="Arial"/>
                <w:sz w:val="16"/>
                <w:szCs w:val="16"/>
                <w:highlight w:val="yellow"/>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531BFEA4" w14:textId="77777777" w:rsidR="00B86D3B" w:rsidRPr="00BA1388" w:rsidRDefault="00B86D3B" w:rsidP="00B86D3B">
            <w:pPr>
              <w:spacing w:after="0"/>
              <w:rPr>
                <w:rFonts w:ascii="Arial" w:hAnsi="Arial"/>
                <w:b/>
                <w:bCs/>
                <w:sz w:val="16"/>
                <w:szCs w:val="16"/>
                <w:highlight w:val="yellow"/>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404AAB9" w14:textId="77777777" w:rsidR="00B86D3B" w:rsidRPr="00F83D16" w:rsidRDefault="00B86D3B" w:rsidP="00B86D3B">
            <w:pPr>
              <w:spacing w:after="0"/>
              <w:rPr>
                <w:rFonts w:ascii="Arial" w:hAnsi="Arial"/>
                <w:sz w:val="16"/>
                <w:szCs w:val="16"/>
              </w:rPr>
            </w:pPr>
            <w:r w:rsidRPr="00F83D16">
              <w:rPr>
                <w:rFonts w:ascii="Arial" w:hAnsi="Arial"/>
                <w:sz w:val="16"/>
                <w:szCs w:val="16"/>
              </w:rPr>
              <w:t>Other Project Inputs to Capability</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7216708B" w14:textId="405F2956" w:rsidR="00B86D3B" w:rsidRPr="00F102BD" w:rsidRDefault="00B86D3B" w:rsidP="00B86D3B">
            <w:pPr>
              <w:spacing w:after="0"/>
              <w:jc w:val="right"/>
              <w:rPr>
                <w:rFonts w:ascii="Arial" w:hAnsi="Arial"/>
                <w:sz w:val="16"/>
                <w:szCs w:val="16"/>
              </w:rPr>
            </w:pPr>
            <w:r>
              <w:rPr>
                <w:rFonts w:ascii="Arial" w:hAnsi="Arial"/>
                <w:sz w:val="16"/>
                <w:szCs w:val="16"/>
              </w:rPr>
              <w:t>986</w:t>
            </w:r>
          </w:p>
        </w:tc>
        <w:tc>
          <w:tcPr>
            <w:tcW w:w="1419" w:type="dxa"/>
            <w:tcBorders>
              <w:top w:val="single" w:sz="4" w:space="0" w:color="auto"/>
              <w:left w:val="nil"/>
              <w:bottom w:val="single" w:sz="4" w:space="0" w:color="auto"/>
              <w:right w:val="single" w:sz="4" w:space="0" w:color="auto"/>
            </w:tcBorders>
            <w:shd w:val="clear" w:color="auto" w:fill="auto"/>
            <w:noWrap/>
            <w:vAlign w:val="center"/>
          </w:tcPr>
          <w:p w14:paraId="61E86FB7" w14:textId="7AEC6346" w:rsidR="00B86D3B" w:rsidRPr="00F102BD" w:rsidRDefault="00B86D3B" w:rsidP="00B86D3B">
            <w:pPr>
              <w:spacing w:after="0"/>
              <w:jc w:val="right"/>
              <w:rPr>
                <w:rFonts w:ascii="Arial" w:hAnsi="Arial"/>
                <w:sz w:val="16"/>
                <w:szCs w:val="16"/>
              </w:rPr>
            </w:pPr>
            <w:r>
              <w:rPr>
                <w:rFonts w:ascii="Arial" w:hAnsi="Arial"/>
                <w:sz w:val="16"/>
                <w:szCs w:val="16"/>
              </w:rPr>
              <w:t>853</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D12BCFD" w14:textId="0A7319EA" w:rsidR="00B86D3B" w:rsidRPr="00F102BD" w:rsidRDefault="00B86D3B" w:rsidP="00B86D3B">
            <w:pPr>
              <w:spacing w:after="0"/>
              <w:jc w:val="right"/>
              <w:rPr>
                <w:rFonts w:ascii="Arial" w:hAnsi="Arial"/>
                <w:sz w:val="16"/>
                <w:szCs w:val="16"/>
              </w:rPr>
            </w:pPr>
            <w:r>
              <w:rPr>
                <w:rFonts w:ascii="Arial" w:hAnsi="Arial"/>
                <w:sz w:val="16"/>
                <w:szCs w:val="16"/>
              </w:rPr>
              <w:t>42</w:t>
            </w:r>
          </w:p>
        </w:tc>
        <w:tc>
          <w:tcPr>
            <w:tcW w:w="57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E8F2E7" w14:textId="77777777" w:rsidR="00B86D3B" w:rsidRPr="00BA1388" w:rsidRDefault="00B86D3B" w:rsidP="00B86D3B">
            <w:pPr>
              <w:spacing w:before="0" w:after="80"/>
              <w:rPr>
                <w:rFonts w:ascii="Arial" w:hAnsi="Arial"/>
                <w:sz w:val="16"/>
                <w:szCs w:val="16"/>
                <w:highlight w:val="yellow"/>
              </w:rPr>
            </w:pPr>
          </w:p>
        </w:tc>
      </w:tr>
      <w:tr w:rsidR="00B86D3B" w:rsidRPr="00BA1388" w14:paraId="3E83EC49" w14:textId="77777777" w:rsidTr="00954C72">
        <w:trPr>
          <w:trHeight w:hRule="exact" w:val="301"/>
        </w:trPr>
        <w:tc>
          <w:tcPr>
            <w:tcW w:w="13958" w:type="dxa"/>
            <w:gridSpan w:val="7"/>
            <w:tcBorders>
              <w:top w:val="single" w:sz="4" w:space="0" w:color="auto"/>
              <w:left w:val="single" w:sz="4" w:space="0" w:color="auto"/>
              <w:bottom w:val="single" w:sz="4" w:space="0" w:color="auto"/>
              <w:right w:val="single" w:sz="4" w:space="0" w:color="auto"/>
            </w:tcBorders>
            <w:shd w:val="clear" w:color="auto" w:fill="E6E6E6"/>
            <w:vAlign w:val="center"/>
          </w:tcPr>
          <w:p w14:paraId="17CD6AB9" w14:textId="77777777" w:rsidR="00B86D3B" w:rsidRPr="00A91845" w:rsidRDefault="00B86D3B" w:rsidP="00B86D3B">
            <w:pPr>
              <w:keepNext/>
              <w:keepLines/>
              <w:spacing w:before="0" w:after="0"/>
              <w:rPr>
                <w:rFonts w:ascii="Arial" w:hAnsi="Arial"/>
                <w:sz w:val="16"/>
                <w:szCs w:val="16"/>
              </w:rPr>
            </w:pPr>
            <w:r w:rsidRPr="00A91845">
              <w:rPr>
                <w:rFonts w:ascii="Arial" w:hAnsi="Arial"/>
                <w:b/>
                <w:bCs/>
                <w:sz w:val="16"/>
                <w:szCs w:val="16"/>
              </w:rPr>
              <w:lastRenderedPageBreak/>
              <w:t>Air Domain (Continued)</w:t>
            </w:r>
          </w:p>
        </w:tc>
      </w:tr>
      <w:tr w:rsidR="00B86D3B" w:rsidRPr="00BA1388" w14:paraId="7F5CA3EA" w14:textId="77777777" w:rsidTr="00F102BD">
        <w:trPr>
          <w:trHeight w:val="907"/>
        </w:trPr>
        <w:tc>
          <w:tcPr>
            <w:tcW w:w="183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660C8562" w14:textId="6BC16873" w:rsidR="00B86D3B" w:rsidRPr="00EC2CA0" w:rsidRDefault="00B86D3B" w:rsidP="00DE289E">
            <w:pPr>
              <w:keepNext/>
              <w:keepLines/>
              <w:spacing w:after="0"/>
              <w:rPr>
                <w:rFonts w:ascii="Arial" w:hAnsi="Arial"/>
                <w:sz w:val="16"/>
                <w:szCs w:val="16"/>
              </w:rPr>
            </w:pPr>
            <w:r w:rsidRPr="00EC2CA0">
              <w:rPr>
                <w:rFonts w:ascii="Arial" w:hAnsi="Arial"/>
                <w:sz w:val="16"/>
                <w:szCs w:val="16"/>
              </w:rPr>
              <w:t>Integrated Air and Missile Defence Command and Control</w:t>
            </w:r>
            <w:r w:rsidR="00EC2CA0">
              <w:rPr>
                <w:rFonts w:ascii="Arial" w:hAnsi="Arial"/>
                <w:sz w:val="16"/>
                <w:szCs w:val="16"/>
              </w:rPr>
              <w:t xml:space="preserve"> </w:t>
            </w:r>
          </w:p>
        </w:tc>
        <w:tc>
          <w:tcPr>
            <w:tcW w:w="113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0965EAC7" w14:textId="1EEE3852" w:rsidR="00B86D3B" w:rsidRPr="00EC2CA0" w:rsidRDefault="00B86D3B" w:rsidP="00B86D3B">
            <w:pPr>
              <w:keepNext/>
              <w:keepLines/>
              <w:spacing w:after="0"/>
              <w:jc w:val="center"/>
              <w:rPr>
                <w:rFonts w:ascii="Arial" w:hAnsi="Arial"/>
                <w:b/>
                <w:bCs/>
                <w:sz w:val="16"/>
                <w:szCs w:val="16"/>
              </w:rPr>
            </w:pPr>
            <w:r w:rsidRPr="00EC2CA0">
              <w:rPr>
                <w:rFonts w:ascii="Arial" w:hAnsi="Arial"/>
                <w:b/>
                <w:bCs/>
                <w:sz w:val="16"/>
                <w:szCs w:val="16"/>
              </w:rPr>
              <w:t>AIR 6500</w:t>
            </w:r>
          </w:p>
        </w:tc>
        <w:tc>
          <w:tcPr>
            <w:tcW w:w="1560" w:type="dxa"/>
            <w:tcBorders>
              <w:top w:val="single" w:sz="4" w:space="0" w:color="auto"/>
              <w:left w:val="nil"/>
              <w:bottom w:val="single" w:sz="4" w:space="0" w:color="auto"/>
              <w:right w:val="single" w:sz="4" w:space="0" w:color="auto"/>
            </w:tcBorders>
            <w:shd w:val="clear" w:color="auto" w:fill="auto"/>
            <w:vAlign w:val="center"/>
          </w:tcPr>
          <w:p w14:paraId="25EC9688" w14:textId="33F35591" w:rsidR="00B86D3B" w:rsidRPr="00F83D16" w:rsidRDefault="00B86D3B" w:rsidP="00B86D3B">
            <w:pPr>
              <w:keepNext/>
              <w:keepLines/>
              <w:spacing w:after="0"/>
              <w:rPr>
                <w:rFonts w:ascii="Arial" w:hAnsi="Arial"/>
                <w:sz w:val="16"/>
                <w:szCs w:val="16"/>
              </w:rPr>
            </w:pPr>
            <w:r w:rsidRPr="00F83D16">
              <w:rPr>
                <w:rFonts w:ascii="Arial" w:hAnsi="Arial"/>
                <w:sz w:val="16"/>
                <w:szCs w:val="16"/>
              </w:rPr>
              <w:t>Military Equipment Acquisition</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0057A8C4" w14:textId="192662DC" w:rsidR="00B86D3B" w:rsidRPr="00BA1388" w:rsidRDefault="00B86D3B" w:rsidP="00B86D3B">
            <w:pPr>
              <w:keepNext/>
              <w:keepLines/>
              <w:spacing w:after="0"/>
              <w:jc w:val="right"/>
              <w:rPr>
                <w:rFonts w:ascii="Arial" w:hAnsi="Arial"/>
                <w:sz w:val="16"/>
                <w:szCs w:val="16"/>
                <w:highlight w:val="yellow"/>
              </w:rPr>
            </w:pPr>
            <w:r>
              <w:rPr>
                <w:rFonts w:ascii="Arial" w:hAnsi="Arial"/>
                <w:sz w:val="16"/>
                <w:szCs w:val="16"/>
              </w:rPr>
              <w:t>1,097</w:t>
            </w:r>
          </w:p>
        </w:tc>
        <w:tc>
          <w:tcPr>
            <w:tcW w:w="1419" w:type="dxa"/>
            <w:tcBorders>
              <w:top w:val="single" w:sz="4" w:space="0" w:color="auto"/>
              <w:left w:val="nil"/>
              <w:bottom w:val="single" w:sz="4" w:space="0" w:color="auto"/>
              <w:right w:val="single" w:sz="4" w:space="0" w:color="auto"/>
            </w:tcBorders>
            <w:shd w:val="clear" w:color="auto" w:fill="auto"/>
            <w:noWrap/>
            <w:vAlign w:val="center"/>
          </w:tcPr>
          <w:p w14:paraId="3DF21403" w14:textId="70AB5AD3" w:rsidR="00B86D3B" w:rsidRPr="00BA1388" w:rsidRDefault="00B86D3B" w:rsidP="00B86D3B">
            <w:pPr>
              <w:keepNext/>
              <w:keepLines/>
              <w:spacing w:after="0"/>
              <w:jc w:val="right"/>
              <w:rPr>
                <w:rFonts w:ascii="Arial" w:hAnsi="Arial"/>
                <w:sz w:val="16"/>
                <w:szCs w:val="16"/>
                <w:highlight w:val="yellow"/>
              </w:rPr>
            </w:pPr>
            <w:r>
              <w:rPr>
                <w:rFonts w:ascii="Arial" w:hAnsi="Arial"/>
                <w:sz w:val="16"/>
                <w:szCs w:val="16"/>
              </w:rPr>
              <w:t>612</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AF68266" w14:textId="78C846BC" w:rsidR="00B86D3B" w:rsidRPr="00BA1388" w:rsidRDefault="00B86D3B" w:rsidP="00B86D3B">
            <w:pPr>
              <w:keepNext/>
              <w:keepLines/>
              <w:spacing w:after="0"/>
              <w:jc w:val="right"/>
              <w:rPr>
                <w:rFonts w:ascii="Arial" w:hAnsi="Arial"/>
                <w:sz w:val="16"/>
                <w:szCs w:val="16"/>
                <w:highlight w:val="yellow"/>
              </w:rPr>
            </w:pPr>
            <w:r>
              <w:rPr>
                <w:rFonts w:ascii="Arial" w:hAnsi="Arial"/>
                <w:sz w:val="16"/>
                <w:szCs w:val="16"/>
              </w:rPr>
              <w:t>263</w:t>
            </w:r>
          </w:p>
        </w:tc>
        <w:tc>
          <w:tcPr>
            <w:tcW w:w="573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2971697B" w14:textId="7137EDDD" w:rsidR="00B86D3B" w:rsidRPr="00EC2CA0" w:rsidRDefault="00B86D3B" w:rsidP="00B86D3B">
            <w:pPr>
              <w:spacing w:before="0" w:after="80"/>
              <w:rPr>
                <w:rFonts w:ascii="Arial" w:hAnsi="Arial"/>
                <w:sz w:val="16"/>
                <w:szCs w:val="16"/>
              </w:rPr>
            </w:pPr>
            <w:r w:rsidRPr="00EC2CA0">
              <w:rPr>
                <w:rFonts w:ascii="Arial" w:hAnsi="Arial"/>
                <w:sz w:val="16"/>
                <w:szCs w:val="16"/>
              </w:rPr>
              <w:t>The project is deliver</w:t>
            </w:r>
            <w:r w:rsidR="00BD784D">
              <w:rPr>
                <w:rFonts w:ascii="Arial" w:hAnsi="Arial"/>
                <w:sz w:val="16"/>
                <w:szCs w:val="16"/>
              </w:rPr>
              <w:t>ing</w:t>
            </w:r>
            <w:r w:rsidRPr="00EC2CA0">
              <w:rPr>
                <w:rFonts w:ascii="Arial" w:hAnsi="Arial"/>
                <w:sz w:val="16"/>
                <w:szCs w:val="16"/>
              </w:rPr>
              <w:t xml:space="preserve"> new air defence radars and a Joint Air Battle Management System that will coordinate and synchronise Defence’s air and missile defence capabilities. </w:t>
            </w:r>
          </w:p>
          <w:p w14:paraId="32C9B61F" w14:textId="34903E90" w:rsidR="00B86D3B" w:rsidRPr="00BA1388" w:rsidRDefault="00EC2CA0" w:rsidP="00B86D3B">
            <w:pPr>
              <w:keepNext/>
              <w:keepLines/>
              <w:spacing w:before="0" w:after="80"/>
              <w:rPr>
                <w:rFonts w:ascii="Arial" w:hAnsi="Arial"/>
                <w:sz w:val="16"/>
                <w:szCs w:val="16"/>
                <w:highlight w:val="yellow"/>
              </w:rPr>
            </w:pPr>
            <w:r w:rsidRPr="00EC2CA0">
              <w:rPr>
                <w:rFonts w:ascii="Arial" w:hAnsi="Arial"/>
                <w:sz w:val="16"/>
                <w:szCs w:val="16"/>
              </w:rPr>
              <w:t>During 2025-26, the project will finalise delivery of new air defence radars and deliver a Minimum Viable Capability Joint Air Battle Management System to address obsolescence in the current in-service Air Battle Management System.</w:t>
            </w:r>
            <w:r w:rsidR="00B86D3B" w:rsidRPr="00EC2CA0">
              <w:rPr>
                <w:rFonts w:ascii="Arial" w:hAnsi="Arial"/>
                <w:sz w:val="16"/>
                <w:szCs w:val="16"/>
              </w:rPr>
              <w:t xml:space="preserve">  </w:t>
            </w:r>
          </w:p>
        </w:tc>
      </w:tr>
      <w:tr w:rsidR="00B86D3B" w:rsidRPr="00BA1388" w14:paraId="13FED17B" w14:textId="77777777" w:rsidTr="00274DC3">
        <w:trPr>
          <w:trHeight w:val="738"/>
        </w:trPr>
        <w:tc>
          <w:tcPr>
            <w:tcW w:w="1839" w:type="dxa"/>
            <w:vMerge/>
            <w:tcBorders>
              <w:top w:val="nil"/>
              <w:left w:val="single" w:sz="4" w:space="0" w:color="auto"/>
              <w:bottom w:val="single" w:sz="4" w:space="0" w:color="000000"/>
              <w:right w:val="single" w:sz="4" w:space="0" w:color="auto"/>
            </w:tcBorders>
            <w:vAlign w:val="center"/>
          </w:tcPr>
          <w:p w14:paraId="2009545A" w14:textId="77777777" w:rsidR="00B86D3B" w:rsidRPr="00BA1388" w:rsidRDefault="00B86D3B" w:rsidP="00B86D3B">
            <w:pPr>
              <w:keepNext/>
              <w:keepLines/>
              <w:spacing w:after="0"/>
              <w:rPr>
                <w:rFonts w:ascii="Arial" w:hAnsi="Arial"/>
                <w:sz w:val="16"/>
                <w:szCs w:val="16"/>
                <w:highlight w:val="yellow"/>
              </w:rPr>
            </w:pPr>
          </w:p>
        </w:tc>
        <w:tc>
          <w:tcPr>
            <w:tcW w:w="1135" w:type="dxa"/>
            <w:vMerge/>
            <w:tcBorders>
              <w:top w:val="nil"/>
              <w:left w:val="single" w:sz="4" w:space="0" w:color="auto"/>
              <w:bottom w:val="single" w:sz="4" w:space="0" w:color="000000"/>
              <w:right w:val="single" w:sz="4" w:space="0" w:color="auto"/>
            </w:tcBorders>
            <w:vAlign w:val="center"/>
          </w:tcPr>
          <w:p w14:paraId="20F5BC6A" w14:textId="77777777" w:rsidR="00B86D3B" w:rsidRPr="00BA1388" w:rsidRDefault="00B86D3B" w:rsidP="00B86D3B">
            <w:pPr>
              <w:keepNext/>
              <w:keepLines/>
              <w:spacing w:after="0"/>
              <w:rPr>
                <w:rFonts w:ascii="Arial" w:hAnsi="Arial"/>
                <w:b/>
                <w:bCs/>
                <w:sz w:val="16"/>
                <w:szCs w:val="16"/>
                <w:highlight w:val="yellow"/>
              </w:rPr>
            </w:pPr>
          </w:p>
        </w:tc>
        <w:tc>
          <w:tcPr>
            <w:tcW w:w="1560" w:type="dxa"/>
            <w:tcBorders>
              <w:top w:val="nil"/>
              <w:left w:val="nil"/>
              <w:bottom w:val="single" w:sz="4" w:space="0" w:color="auto"/>
              <w:right w:val="single" w:sz="4" w:space="0" w:color="auto"/>
            </w:tcBorders>
            <w:shd w:val="clear" w:color="auto" w:fill="auto"/>
            <w:vAlign w:val="center"/>
          </w:tcPr>
          <w:p w14:paraId="0E49FF6F" w14:textId="364EA4B1" w:rsidR="00B86D3B" w:rsidRPr="00F83D16" w:rsidRDefault="00B86D3B" w:rsidP="00B86D3B">
            <w:pPr>
              <w:keepNext/>
              <w:keepLines/>
              <w:spacing w:after="0"/>
              <w:rPr>
                <w:rFonts w:ascii="Arial" w:hAnsi="Arial"/>
                <w:sz w:val="16"/>
                <w:szCs w:val="16"/>
              </w:rPr>
            </w:pPr>
            <w:r w:rsidRPr="00F83D16">
              <w:rPr>
                <w:rFonts w:ascii="Arial" w:hAnsi="Arial"/>
                <w:sz w:val="16"/>
                <w:szCs w:val="16"/>
              </w:rPr>
              <w:t>Other Project Inputs to Capability</w:t>
            </w:r>
          </w:p>
        </w:tc>
        <w:tc>
          <w:tcPr>
            <w:tcW w:w="1277" w:type="dxa"/>
            <w:tcBorders>
              <w:top w:val="nil"/>
              <w:left w:val="nil"/>
              <w:bottom w:val="single" w:sz="4" w:space="0" w:color="auto"/>
              <w:right w:val="single" w:sz="4" w:space="0" w:color="auto"/>
            </w:tcBorders>
            <w:shd w:val="clear" w:color="auto" w:fill="auto"/>
            <w:noWrap/>
            <w:vAlign w:val="center"/>
          </w:tcPr>
          <w:p w14:paraId="47D8FF65" w14:textId="0210E0AA" w:rsidR="00B86D3B" w:rsidRPr="00BA1388" w:rsidRDefault="00B86D3B" w:rsidP="00B86D3B">
            <w:pPr>
              <w:keepNext/>
              <w:keepLines/>
              <w:spacing w:after="0"/>
              <w:jc w:val="right"/>
              <w:rPr>
                <w:rFonts w:ascii="Arial" w:hAnsi="Arial"/>
                <w:sz w:val="16"/>
                <w:szCs w:val="16"/>
                <w:highlight w:val="yellow"/>
              </w:rPr>
            </w:pPr>
            <w:r>
              <w:rPr>
                <w:rFonts w:ascii="Arial" w:hAnsi="Arial"/>
                <w:sz w:val="16"/>
                <w:szCs w:val="16"/>
              </w:rPr>
              <w:t>115</w:t>
            </w:r>
          </w:p>
        </w:tc>
        <w:tc>
          <w:tcPr>
            <w:tcW w:w="1419" w:type="dxa"/>
            <w:tcBorders>
              <w:top w:val="nil"/>
              <w:left w:val="nil"/>
              <w:bottom w:val="single" w:sz="4" w:space="0" w:color="auto"/>
              <w:right w:val="single" w:sz="4" w:space="0" w:color="auto"/>
            </w:tcBorders>
            <w:shd w:val="clear" w:color="auto" w:fill="auto"/>
            <w:noWrap/>
            <w:vAlign w:val="center"/>
          </w:tcPr>
          <w:p w14:paraId="6ACA96C3" w14:textId="5C877C60" w:rsidR="00B86D3B" w:rsidRPr="00BA1388" w:rsidRDefault="00B86D3B" w:rsidP="00B86D3B">
            <w:pPr>
              <w:keepNext/>
              <w:keepLines/>
              <w:spacing w:after="0"/>
              <w:jc w:val="right"/>
              <w:rPr>
                <w:rFonts w:ascii="Arial" w:hAnsi="Arial"/>
                <w:sz w:val="16"/>
                <w:szCs w:val="16"/>
                <w:highlight w:val="yellow"/>
              </w:rPr>
            </w:pPr>
            <w:r>
              <w:rPr>
                <w:rFonts w:ascii="Arial" w:hAnsi="Arial"/>
                <w:sz w:val="16"/>
                <w:szCs w:val="16"/>
              </w:rPr>
              <w:t>28</w:t>
            </w:r>
          </w:p>
        </w:tc>
        <w:tc>
          <w:tcPr>
            <w:tcW w:w="993" w:type="dxa"/>
            <w:tcBorders>
              <w:top w:val="nil"/>
              <w:left w:val="nil"/>
              <w:bottom w:val="single" w:sz="4" w:space="0" w:color="auto"/>
              <w:right w:val="single" w:sz="4" w:space="0" w:color="auto"/>
            </w:tcBorders>
            <w:shd w:val="clear" w:color="auto" w:fill="auto"/>
            <w:noWrap/>
            <w:vAlign w:val="center"/>
          </w:tcPr>
          <w:p w14:paraId="7906A535" w14:textId="54BB4592" w:rsidR="00B86D3B" w:rsidRPr="00BA1388" w:rsidRDefault="00B86D3B" w:rsidP="00B86D3B">
            <w:pPr>
              <w:keepNext/>
              <w:keepLines/>
              <w:spacing w:after="0"/>
              <w:jc w:val="right"/>
              <w:rPr>
                <w:rFonts w:ascii="Arial" w:hAnsi="Arial"/>
                <w:sz w:val="16"/>
                <w:szCs w:val="16"/>
                <w:highlight w:val="yellow"/>
              </w:rPr>
            </w:pPr>
            <w:r>
              <w:rPr>
                <w:rFonts w:ascii="Arial" w:hAnsi="Arial"/>
                <w:sz w:val="16"/>
                <w:szCs w:val="16"/>
              </w:rPr>
              <w:t>10</w:t>
            </w:r>
          </w:p>
        </w:tc>
        <w:tc>
          <w:tcPr>
            <w:tcW w:w="5735" w:type="dxa"/>
            <w:vMerge/>
            <w:tcBorders>
              <w:top w:val="nil"/>
              <w:left w:val="single" w:sz="4" w:space="0" w:color="auto"/>
              <w:bottom w:val="single" w:sz="4" w:space="0" w:color="000000"/>
              <w:right w:val="single" w:sz="4" w:space="0" w:color="auto"/>
            </w:tcBorders>
            <w:vAlign w:val="center"/>
            <w:hideMark/>
          </w:tcPr>
          <w:p w14:paraId="0EFCD187" w14:textId="77777777" w:rsidR="00B86D3B" w:rsidRPr="00BA1388" w:rsidRDefault="00B86D3B" w:rsidP="00B86D3B">
            <w:pPr>
              <w:spacing w:before="0" w:after="80"/>
              <w:rPr>
                <w:rFonts w:ascii="Arial" w:hAnsi="Arial"/>
                <w:sz w:val="16"/>
                <w:szCs w:val="16"/>
                <w:highlight w:val="yellow"/>
              </w:rPr>
            </w:pPr>
          </w:p>
        </w:tc>
      </w:tr>
      <w:tr w:rsidR="00B86D3B" w:rsidRPr="00BA1388" w14:paraId="2E5074EA" w14:textId="77777777" w:rsidTr="00274DC3">
        <w:trPr>
          <w:trHeight w:hRule="exact" w:val="853"/>
        </w:trPr>
        <w:tc>
          <w:tcPr>
            <w:tcW w:w="1839" w:type="dxa"/>
            <w:vMerge w:val="restart"/>
            <w:tcBorders>
              <w:top w:val="nil"/>
              <w:left w:val="single" w:sz="4" w:space="0" w:color="auto"/>
              <w:bottom w:val="single" w:sz="4" w:space="0" w:color="000000"/>
              <w:right w:val="single" w:sz="4" w:space="0" w:color="auto"/>
            </w:tcBorders>
            <w:shd w:val="clear" w:color="auto" w:fill="auto"/>
            <w:vAlign w:val="center"/>
          </w:tcPr>
          <w:p w14:paraId="31B72052" w14:textId="7EF28579" w:rsidR="00B86D3B" w:rsidRPr="00643E95" w:rsidRDefault="00B86D3B" w:rsidP="00B86D3B">
            <w:pPr>
              <w:spacing w:after="0"/>
              <w:rPr>
                <w:rFonts w:ascii="Arial" w:hAnsi="Arial"/>
                <w:sz w:val="16"/>
                <w:szCs w:val="16"/>
                <w:highlight w:val="yellow"/>
              </w:rPr>
            </w:pPr>
            <w:r w:rsidRPr="00274DC3">
              <w:rPr>
                <w:rFonts w:ascii="Arial" w:hAnsi="Arial"/>
                <w:sz w:val="16"/>
                <w:szCs w:val="16"/>
              </w:rPr>
              <w:t>Medium Air Mobility Aircraft</w:t>
            </w:r>
          </w:p>
        </w:tc>
        <w:tc>
          <w:tcPr>
            <w:tcW w:w="1135" w:type="dxa"/>
            <w:vMerge w:val="restart"/>
            <w:tcBorders>
              <w:top w:val="nil"/>
              <w:left w:val="single" w:sz="4" w:space="0" w:color="auto"/>
              <w:bottom w:val="single" w:sz="4" w:space="0" w:color="000000"/>
              <w:right w:val="single" w:sz="4" w:space="0" w:color="auto"/>
            </w:tcBorders>
            <w:shd w:val="clear" w:color="auto" w:fill="auto"/>
            <w:vAlign w:val="center"/>
          </w:tcPr>
          <w:p w14:paraId="595FABF3" w14:textId="38F77A6E" w:rsidR="00B86D3B" w:rsidRPr="00BA1388" w:rsidRDefault="00B86D3B" w:rsidP="00B86D3B">
            <w:pPr>
              <w:spacing w:after="0"/>
              <w:jc w:val="center"/>
              <w:rPr>
                <w:rFonts w:ascii="Arial" w:hAnsi="Arial"/>
                <w:b/>
                <w:bCs/>
                <w:sz w:val="16"/>
                <w:szCs w:val="16"/>
                <w:highlight w:val="yellow"/>
              </w:rPr>
            </w:pPr>
            <w:r w:rsidRPr="00BC6543">
              <w:rPr>
                <w:rFonts w:ascii="Arial" w:hAnsi="Arial"/>
                <w:b/>
                <w:bCs/>
                <w:sz w:val="16"/>
                <w:szCs w:val="16"/>
              </w:rPr>
              <w:t>AIR 7404</w:t>
            </w:r>
          </w:p>
        </w:tc>
        <w:tc>
          <w:tcPr>
            <w:tcW w:w="1560" w:type="dxa"/>
            <w:tcBorders>
              <w:top w:val="nil"/>
              <w:left w:val="nil"/>
              <w:bottom w:val="single" w:sz="4" w:space="0" w:color="auto"/>
              <w:right w:val="single" w:sz="4" w:space="0" w:color="auto"/>
            </w:tcBorders>
            <w:shd w:val="clear" w:color="auto" w:fill="auto"/>
            <w:vAlign w:val="center"/>
          </w:tcPr>
          <w:p w14:paraId="46547207" w14:textId="09209107" w:rsidR="00B86D3B" w:rsidRPr="00BA1388" w:rsidRDefault="00B86D3B" w:rsidP="00B86D3B">
            <w:pPr>
              <w:spacing w:after="0"/>
              <w:rPr>
                <w:rFonts w:ascii="Arial" w:hAnsi="Arial"/>
                <w:sz w:val="16"/>
                <w:szCs w:val="16"/>
                <w:highlight w:val="yellow"/>
              </w:rPr>
            </w:pPr>
            <w:r w:rsidRPr="00BC6543">
              <w:rPr>
                <w:rFonts w:ascii="Arial" w:hAnsi="Arial"/>
                <w:sz w:val="16"/>
                <w:szCs w:val="16"/>
              </w:rPr>
              <w:t>Military Equipment Acquisition</w:t>
            </w:r>
          </w:p>
        </w:tc>
        <w:tc>
          <w:tcPr>
            <w:tcW w:w="1277" w:type="dxa"/>
            <w:tcBorders>
              <w:top w:val="nil"/>
              <w:left w:val="nil"/>
              <w:bottom w:val="single" w:sz="4" w:space="0" w:color="auto"/>
              <w:right w:val="single" w:sz="4" w:space="0" w:color="auto"/>
            </w:tcBorders>
            <w:shd w:val="clear" w:color="auto" w:fill="auto"/>
            <w:noWrap/>
            <w:vAlign w:val="center"/>
          </w:tcPr>
          <w:p w14:paraId="30A74DD6" w14:textId="41685C76" w:rsidR="00B86D3B" w:rsidRPr="00F102BD" w:rsidRDefault="00B86D3B" w:rsidP="00B86D3B">
            <w:pPr>
              <w:spacing w:after="0"/>
              <w:jc w:val="right"/>
              <w:rPr>
                <w:rFonts w:ascii="Arial" w:hAnsi="Arial"/>
                <w:sz w:val="16"/>
                <w:szCs w:val="16"/>
              </w:rPr>
            </w:pPr>
            <w:r>
              <w:rPr>
                <w:rFonts w:ascii="Arial" w:hAnsi="Arial"/>
                <w:sz w:val="16"/>
                <w:szCs w:val="16"/>
              </w:rPr>
              <w:t>10,460</w:t>
            </w:r>
          </w:p>
        </w:tc>
        <w:tc>
          <w:tcPr>
            <w:tcW w:w="1419" w:type="dxa"/>
            <w:tcBorders>
              <w:top w:val="nil"/>
              <w:left w:val="nil"/>
              <w:bottom w:val="single" w:sz="4" w:space="0" w:color="auto"/>
              <w:right w:val="single" w:sz="4" w:space="0" w:color="auto"/>
            </w:tcBorders>
            <w:shd w:val="clear" w:color="auto" w:fill="auto"/>
            <w:noWrap/>
            <w:vAlign w:val="center"/>
          </w:tcPr>
          <w:p w14:paraId="1D61D5AC" w14:textId="5BAFE711" w:rsidR="00B86D3B" w:rsidRPr="00F102BD" w:rsidRDefault="00B86D3B" w:rsidP="00B86D3B">
            <w:pPr>
              <w:spacing w:after="0"/>
              <w:jc w:val="right"/>
              <w:rPr>
                <w:rFonts w:ascii="Arial" w:hAnsi="Arial"/>
                <w:sz w:val="16"/>
                <w:szCs w:val="16"/>
              </w:rPr>
            </w:pPr>
            <w:r>
              <w:rPr>
                <w:rFonts w:ascii="Arial" w:hAnsi="Arial"/>
                <w:sz w:val="16"/>
                <w:szCs w:val="16"/>
              </w:rPr>
              <w:t>163</w:t>
            </w:r>
          </w:p>
        </w:tc>
        <w:tc>
          <w:tcPr>
            <w:tcW w:w="993" w:type="dxa"/>
            <w:tcBorders>
              <w:top w:val="nil"/>
              <w:left w:val="nil"/>
              <w:bottom w:val="single" w:sz="4" w:space="0" w:color="auto"/>
              <w:right w:val="single" w:sz="4" w:space="0" w:color="auto"/>
            </w:tcBorders>
            <w:shd w:val="clear" w:color="auto" w:fill="auto"/>
            <w:noWrap/>
            <w:vAlign w:val="center"/>
          </w:tcPr>
          <w:p w14:paraId="4D4EF389" w14:textId="06406CF8" w:rsidR="00B86D3B" w:rsidRPr="00F102BD" w:rsidRDefault="00B86D3B" w:rsidP="00B86D3B">
            <w:pPr>
              <w:spacing w:after="0"/>
              <w:jc w:val="right"/>
              <w:rPr>
                <w:rFonts w:ascii="Arial" w:hAnsi="Arial"/>
                <w:sz w:val="16"/>
                <w:szCs w:val="16"/>
              </w:rPr>
            </w:pPr>
            <w:r>
              <w:rPr>
                <w:rFonts w:ascii="Arial" w:hAnsi="Arial"/>
                <w:sz w:val="16"/>
                <w:szCs w:val="16"/>
              </w:rPr>
              <w:t>182</w:t>
            </w:r>
          </w:p>
        </w:tc>
        <w:tc>
          <w:tcPr>
            <w:tcW w:w="5735" w:type="dxa"/>
            <w:vMerge w:val="restart"/>
            <w:tcBorders>
              <w:top w:val="nil"/>
              <w:left w:val="single" w:sz="4" w:space="0" w:color="auto"/>
              <w:bottom w:val="single" w:sz="4" w:space="0" w:color="000000"/>
              <w:right w:val="single" w:sz="4" w:space="0" w:color="auto"/>
            </w:tcBorders>
            <w:shd w:val="clear" w:color="auto" w:fill="auto"/>
            <w:vAlign w:val="center"/>
            <w:hideMark/>
          </w:tcPr>
          <w:p w14:paraId="1791287C" w14:textId="77777777" w:rsidR="00277870" w:rsidRPr="00277870" w:rsidRDefault="00277870" w:rsidP="00277870">
            <w:pPr>
              <w:spacing w:after="80" w:line="252" w:lineRule="auto"/>
              <w:rPr>
                <w:rFonts w:ascii="Arial" w:hAnsi="Arial"/>
                <w:sz w:val="16"/>
                <w:szCs w:val="16"/>
                <w:lang w:val="en-AU"/>
              </w:rPr>
            </w:pPr>
            <w:r w:rsidRPr="00277870">
              <w:rPr>
                <w:rFonts w:ascii="Arial" w:hAnsi="Arial"/>
                <w:sz w:val="16"/>
                <w:szCs w:val="16"/>
              </w:rPr>
              <w:t xml:space="preserve">This project is approved to acquire 20 C-130J-30 Hercules aircraft, aircraft sub-systems, training devices, supplies and support services. The project will deliver these products through a combination of Foreign Military Sales and Direct Commercial Sales. Lockheed Martin Corporation is contracted by the United States Government to develop and manufacture the C-130J-30 aircraft. </w:t>
            </w:r>
          </w:p>
          <w:p w14:paraId="36CAE654" w14:textId="503087E6" w:rsidR="00277870" w:rsidRDefault="00237B43" w:rsidP="00277870">
            <w:pPr>
              <w:rPr>
                <w:rFonts w:ascii="Calibri" w:hAnsi="Calibri" w:cs="Calibri"/>
                <w:b/>
                <w:bCs/>
                <w:color w:val="1F497D"/>
                <w:sz w:val="22"/>
                <w:szCs w:val="22"/>
              </w:rPr>
            </w:pPr>
            <w:r>
              <w:rPr>
                <w:rFonts w:ascii="Arial" w:hAnsi="Arial"/>
                <w:sz w:val="16"/>
                <w:szCs w:val="16"/>
              </w:rPr>
              <w:t xml:space="preserve">During </w:t>
            </w:r>
            <w:r w:rsidR="00277870" w:rsidRPr="00277870">
              <w:rPr>
                <w:rFonts w:ascii="Arial" w:hAnsi="Arial"/>
                <w:sz w:val="16"/>
                <w:szCs w:val="16"/>
              </w:rPr>
              <w:t xml:space="preserve">2025-26 </w:t>
            </w:r>
            <w:r>
              <w:rPr>
                <w:rFonts w:ascii="Arial" w:hAnsi="Arial"/>
                <w:sz w:val="16"/>
                <w:szCs w:val="16"/>
              </w:rPr>
              <w:t xml:space="preserve">the project </w:t>
            </w:r>
            <w:r w:rsidR="00277870" w:rsidRPr="00277870">
              <w:rPr>
                <w:rFonts w:ascii="Arial" w:hAnsi="Arial"/>
                <w:sz w:val="16"/>
                <w:szCs w:val="16"/>
              </w:rPr>
              <w:t>will commence aircraft production activities, and the establishment of contracts to acquire aircraft simulators.</w:t>
            </w:r>
          </w:p>
          <w:p w14:paraId="3627C229" w14:textId="1E2F4C5C" w:rsidR="00B86D3B" w:rsidRPr="00BA1388" w:rsidRDefault="00B86D3B" w:rsidP="00274DC3">
            <w:pPr>
              <w:spacing w:before="0" w:after="80"/>
              <w:rPr>
                <w:rFonts w:ascii="Arial" w:hAnsi="Arial"/>
                <w:sz w:val="16"/>
                <w:szCs w:val="16"/>
                <w:highlight w:val="yellow"/>
              </w:rPr>
            </w:pPr>
          </w:p>
        </w:tc>
      </w:tr>
      <w:tr w:rsidR="00B86D3B" w:rsidRPr="00BA1388" w14:paraId="575F8AF8" w14:textId="77777777" w:rsidTr="00274DC3">
        <w:trPr>
          <w:trHeight w:hRule="exact" w:val="1174"/>
        </w:trPr>
        <w:tc>
          <w:tcPr>
            <w:tcW w:w="1839" w:type="dxa"/>
            <w:vMerge/>
            <w:tcBorders>
              <w:top w:val="nil"/>
              <w:left w:val="single" w:sz="4" w:space="0" w:color="auto"/>
              <w:bottom w:val="single" w:sz="4" w:space="0" w:color="000000"/>
              <w:right w:val="single" w:sz="4" w:space="0" w:color="auto"/>
            </w:tcBorders>
            <w:vAlign w:val="center"/>
          </w:tcPr>
          <w:p w14:paraId="5FA1FC90" w14:textId="77777777" w:rsidR="00B86D3B" w:rsidRPr="00643E95" w:rsidRDefault="00B86D3B" w:rsidP="00B86D3B">
            <w:pPr>
              <w:spacing w:after="0"/>
              <w:rPr>
                <w:rFonts w:ascii="Arial" w:hAnsi="Arial"/>
                <w:sz w:val="16"/>
                <w:szCs w:val="16"/>
                <w:highlight w:val="yellow"/>
              </w:rPr>
            </w:pPr>
          </w:p>
        </w:tc>
        <w:tc>
          <w:tcPr>
            <w:tcW w:w="1135" w:type="dxa"/>
            <w:vMerge/>
            <w:tcBorders>
              <w:top w:val="nil"/>
              <w:left w:val="single" w:sz="4" w:space="0" w:color="auto"/>
              <w:bottom w:val="single" w:sz="4" w:space="0" w:color="000000"/>
              <w:right w:val="single" w:sz="4" w:space="0" w:color="auto"/>
            </w:tcBorders>
            <w:vAlign w:val="center"/>
          </w:tcPr>
          <w:p w14:paraId="64630C0F" w14:textId="77777777" w:rsidR="00B86D3B" w:rsidRPr="00BA1388" w:rsidRDefault="00B86D3B" w:rsidP="00B86D3B">
            <w:pPr>
              <w:spacing w:after="0"/>
              <w:rPr>
                <w:rFonts w:ascii="Arial" w:hAnsi="Arial"/>
                <w:b/>
                <w:bCs/>
                <w:sz w:val="16"/>
                <w:szCs w:val="16"/>
                <w:highlight w:val="yellow"/>
              </w:rPr>
            </w:pPr>
          </w:p>
        </w:tc>
        <w:tc>
          <w:tcPr>
            <w:tcW w:w="1560" w:type="dxa"/>
            <w:tcBorders>
              <w:top w:val="nil"/>
              <w:left w:val="nil"/>
              <w:bottom w:val="single" w:sz="4" w:space="0" w:color="auto"/>
              <w:right w:val="single" w:sz="4" w:space="0" w:color="auto"/>
            </w:tcBorders>
            <w:shd w:val="clear" w:color="auto" w:fill="auto"/>
            <w:vAlign w:val="center"/>
          </w:tcPr>
          <w:p w14:paraId="46D27CEE" w14:textId="70A107E2" w:rsidR="00B86D3B" w:rsidRPr="00BA1388" w:rsidRDefault="00B86D3B" w:rsidP="00B86D3B">
            <w:pPr>
              <w:spacing w:after="0"/>
              <w:rPr>
                <w:rFonts w:ascii="Arial" w:hAnsi="Arial"/>
                <w:sz w:val="16"/>
                <w:szCs w:val="16"/>
                <w:highlight w:val="yellow"/>
              </w:rPr>
            </w:pPr>
            <w:r w:rsidRPr="00BC6543">
              <w:rPr>
                <w:rFonts w:ascii="Arial" w:hAnsi="Arial"/>
                <w:sz w:val="16"/>
                <w:szCs w:val="16"/>
              </w:rPr>
              <w:t>Other Project Inputs to Capability</w:t>
            </w:r>
          </w:p>
        </w:tc>
        <w:tc>
          <w:tcPr>
            <w:tcW w:w="1277" w:type="dxa"/>
            <w:tcBorders>
              <w:top w:val="nil"/>
              <w:left w:val="nil"/>
              <w:bottom w:val="single" w:sz="4" w:space="0" w:color="auto"/>
              <w:right w:val="single" w:sz="4" w:space="0" w:color="auto"/>
            </w:tcBorders>
            <w:shd w:val="clear" w:color="auto" w:fill="auto"/>
            <w:noWrap/>
            <w:vAlign w:val="center"/>
          </w:tcPr>
          <w:p w14:paraId="140F9C5E" w14:textId="6CB8663B" w:rsidR="00B86D3B" w:rsidRPr="00F102BD" w:rsidRDefault="00B86D3B" w:rsidP="00B86D3B">
            <w:pPr>
              <w:spacing w:after="0"/>
              <w:jc w:val="right"/>
              <w:rPr>
                <w:rFonts w:ascii="Arial" w:hAnsi="Arial"/>
                <w:sz w:val="16"/>
                <w:szCs w:val="16"/>
              </w:rPr>
            </w:pPr>
            <w:r>
              <w:rPr>
                <w:rFonts w:ascii="Arial" w:hAnsi="Arial"/>
                <w:sz w:val="16"/>
                <w:szCs w:val="16"/>
              </w:rPr>
              <w:t>60</w:t>
            </w:r>
          </w:p>
        </w:tc>
        <w:tc>
          <w:tcPr>
            <w:tcW w:w="1419" w:type="dxa"/>
            <w:tcBorders>
              <w:top w:val="nil"/>
              <w:left w:val="nil"/>
              <w:bottom w:val="single" w:sz="4" w:space="0" w:color="auto"/>
              <w:right w:val="single" w:sz="4" w:space="0" w:color="auto"/>
            </w:tcBorders>
            <w:shd w:val="clear" w:color="auto" w:fill="auto"/>
            <w:noWrap/>
            <w:vAlign w:val="center"/>
          </w:tcPr>
          <w:p w14:paraId="35EE76D3" w14:textId="7936CC75" w:rsidR="00B86D3B" w:rsidRPr="00F102BD" w:rsidRDefault="00B86D3B" w:rsidP="00B86D3B">
            <w:pPr>
              <w:spacing w:after="0"/>
              <w:jc w:val="right"/>
              <w:rPr>
                <w:rFonts w:ascii="Arial" w:hAnsi="Arial"/>
                <w:sz w:val="16"/>
                <w:szCs w:val="16"/>
              </w:rPr>
            </w:pPr>
            <w:r>
              <w:rPr>
                <w:rFonts w:ascii="Arial" w:hAnsi="Arial"/>
                <w:sz w:val="16"/>
                <w:szCs w:val="16"/>
              </w:rPr>
              <w:t>20</w:t>
            </w:r>
          </w:p>
        </w:tc>
        <w:tc>
          <w:tcPr>
            <w:tcW w:w="993" w:type="dxa"/>
            <w:tcBorders>
              <w:top w:val="nil"/>
              <w:left w:val="nil"/>
              <w:bottom w:val="single" w:sz="4" w:space="0" w:color="auto"/>
              <w:right w:val="single" w:sz="4" w:space="0" w:color="auto"/>
            </w:tcBorders>
            <w:shd w:val="clear" w:color="auto" w:fill="auto"/>
            <w:noWrap/>
            <w:vAlign w:val="center"/>
          </w:tcPr>
          <w:p w14:paraId="18514ABB" w14:textId="464E9B6A" w:rsidR="00B86D3B" w:rsidRPr="00F102BD" w:rsidRDefault="00B86D3B" w:rsidP="00B86D3B">
            <w:pPr>
              <w:spacing w:after="0"/>
              <w:jc w:val="right"/>
              <w:rPr>
                <w:rFonts w:ascii="Arial" w:hAnsi="Arial"/>
                <w:sz w:val="16"/>
                <w:szCs w:val="16"/>
              </w:rPr>
            </w:pPr>
            <w:r>
              <w:rPr>
                <w:rFonts w:ascii="Arial" w:hAnsi="Arial"/>
                <w:sz w:val="16"/>
                <w:szCs w:val="16"/>
              </w:rPr>
              <w:t>11</w:t>
            </w:r>
          </w:p>
        </w:tc>
        <w:tc>
          <w:tcPr>
            <w:tcW w:w="5735" w:type="dxa"/>
            <w:vMerge/>
            <w:tcBorders>
              <w:top w:val="nil"/>
              <w:left w:val="single" w:sz="4" w:space="0" w:color="auto"/>
              <w:bottom w:val="single" w:sz="4" w:space="0" w:color="000000"/>
              <w:right w:val="single" w:sz="4" w:space="0" w:color="auto"/>
            </w:tcBorders>
            <w:vAlign w:val="center"/>
            <w:hideMark/>
          </w:tcPr>
          <w:p w14:paraId="01ACA5C1" w14:textId="77777777" w:rsidR="00B86D3B" w:rsidRPr="00BA1388" w:rsidRDefault="00B86D3B" w:rsidP="00B86D3B">
            <w:pPr>
              <w:spacing w:before="0" w:after="80"/>
              <w:rPr>
                <w:rFonts w:ascii="Arial" w:hAnsi="Arial"/>
                <w:sz w:val="16"/>
                <w:szCs w:val="16"/>
                <w:highlight w:val="yellow"/>
              </w:rPr>
            </w:pPr>
          </w:p>
        </w:tc>
      </w:tr>
      <w:tr w:rsidR="00B86D3B" w:rsidRPr="00BA1388" w14:paraId="700408E7" w14:textId="77777777" w:rsidTr="00E14A25">
        <w:trPr>
          <w:trHeight w:hRule="exact" w:val="737"/>
        </w:trPr>
        <w:tc>
          <w:tcPr>
            <w:tcW w:w="1839" w:type="dxa"/>
            <w:vMerge w:val="restart"/>
            <w:tcBorders>
              <w:top w:val="nil"/>
              <w:left w:val="single" w:sz="4" w:space="0" w:color="auto"/>
              <w:bottom w:val="single" w:sz="4" w:space="0" w:color="000000"/>
              <w:right w:val="single" w:sz="4" w:space="0" w:color="auto"/>
            </w:tcBorders>
            <w:shd w:val="clear" w:color="auto" w:fill="auto"/>
            <w:vAlign w:val="center"/>
          </w:tcPr>
          <w:p w14:paraId="07632C3C" w14:textId="7D46E8AB" w:rsidR="00B86D3B" w:rsidRPr="00643E95" w:rsidRDefault="00B86D3B" w:rsidP="00B86D3B">
            <w:pPr>
              <w:spacing w:after="0"/>
              <w:rPr>
                <w:rFonts w:ascii="Arial" w:hAnsi="Arial"/>
                <w:sz w:val="16"/>
                <w:szCs w:val="16"/>
                <w:highlight w:val="yellow"/>
              </w:rPr>
            </w:pPr>
            <w:r w:rsidRPr="00277870">
              <w:rPr>
                <w:rFonts w:ascii="Arial" w:hAnsi="Arial"/>
                <w:sz w:val="16"/>
                <w:szCs w:val="16"/>
              </w:rPr>
              <w:t>Joint Strike Fighter Follow-on Development</w:t>
            </w:r>
          </w:p>
        </w:tc>
        <w:tc>
          <w:tcPr>
            <w:tcW w:w="1135" w:type="dxa"/>
            <w:vMerge w:val="restart"/>
            <w:tcBorders>
              <w:top w:val="nil"/>
              <w:left w:val="single" w:sz="4" w:space="0" w:color="auto"/>
              <w:bottom w:val="single" w:sz="4" w:space="0" w:color="000000"/>
              <w:right w:val="single" w:sz="4" w:space="0" w:color="auto"/>
            </w:tcBorders>
            <w:shd w:val="clear" w:color="auto" w:fill="auto"/>
            <w:vAlign w:val="center"/>
          </w:tcPr>
          <w:p w14:paraId="02A49FA4" w14:textId="2458EFAB" w:rsidR="00B86D3B" w:rsidRPr="00BA1388" w:rsidRDefault="00B86D3B" w:rsidP="00B86D3B">
            <w:pPr>
              <w:spacing w:after="0"/>
              <w:jc w:val="center"/>
              <w:rPr>
                <w:rFonts w:ascii="Arial" w:hAnsi="Arial"/>
                <w:b/>
                <w:bCs/>
                <w:sz w:val="16"/>
                <w:szCs w:val="16"/>
                <w:highlight w:val="yellow"/>
              </w:rPr>
            </w:pPr>
            <w:r w:rsidRPr="00BC6543">
              <w:rPr>
                <w:rFonts w:ascii="Arial" w:hAnsi="Arial"/>
                <w:b/>
                <w:bCs/>
                <w:sz w:val="16"/>
                <w:szCs w:val="16"/>
              </w:rPr>
              <w:t>AIR 6000 Phase 6</w:t>
            </w:r>
          </w:p>
        </w:tc>
        <w:tc>
          <w:tcPr>
            <w:tcW w:w="1560" w:type="dxa"/>
            <w:tcBorders>
              <w:top w:val="nil"/>
              <w:left w:val="nil"/>
              <w:bottom w:val="single" w:sz="4" w:space="0" w:color="auto"/>
              <w:right w:val="single" w:sz="4" w:space="0" w:color="auto"/>
            </w:tcBorders>
            <w:shd w:val="clear" w:color="auto" w:fill="auto"/>
            <w:vAlign w:val="center"/>
          </w:tcPr>
          <w:p w14:paraId="008CFFA5" w14:textId="02EF3D3B" w:rsidR="00B86D3B" w:rsidRPr="00BC6543" w:rsidRDefault="00B86D3B" w:rsidP="00B86D3B">
            <w:pPr>
              <w:spacing w:after="0"/>
              <w:rPr>
                <w:rFonts w:ascii="Arial" w:hAnsi="Arial"/>
                <w:sz w:val="16"/>
                <w:szCs w:val="16"/>
              </w:rPr>
            </w:pPr>
            <w:r w:rsidRPr="00BC6543">
              <w:rPr>
                <w:rFonts w:ascii="Arial" w:hAnsi="Arial"/>
                <w:sz w:val="16"/>
                <w:szCs w:val="16"/>
              </w:rPr>
              <w:t>Military Equipment Acquisition</w:t>
            </w:r>
          </w:p>
        </w:tc>
        <w:tc>
          <w:tcPr>
            <w:tcW w:w="1277" w:type="dxa"/>
            <w:tcBorders>
              <w:top w:val="nil"/>
              <w:left w:val="nil"/>
              <w:bottom w:val="single" w:sz="4" w:space="0" w:color="auto"/>
              <w:right w:val="single" w:sz="4" w:space="0" w:color="auto"/>
            </w:tcBorders>
            <w:shd w:val="clear" w:color="auto" w:fill="auto"/>
            <w:noWrap/>
            <w:vAlign w:val="center"/>
          </w:tcPr>
          <w:p w14:paraId="3C37FEBD" w14:textId="2F0CA633" w:rsidR="00B86D3B" w:rsidRPr="00F102BD" w:rsidRDefault="00B86D3B" w:rsidP="00B86D3B">
            <w:pPr>
              <w:spacing w:after="0"/>
              <w:jc w:val="right"/>
              <w:rPr>
                <w:rFonts w:ascii="Arial" w:hAnsi="Arial"/>
                <w:sz w:val="16"/>
                <w:szCs w:val="16"/>
              </w:rPr>
            </w:pPr>
            <w:r>
              <w:rPr>
                <w:rFonts w:ascii="Arial" w:hAnsi="Arial"/>
                <w:sz w:val="16"/>
                <w:szCs w:val="16"/>
              </w:rPr>
              <w:t>2,183</w:t>
            </w:r>
          </w:p>
        </w:tc>
        <w:tc>
          <w:tcPr>
            <w:tcW w:w="1419" w:type="dxa"/>
            <w:tcBorders>
              <w:top w:val="nil"/>
              <w:left w:val="nil"/>
              <w:bottom w:val="single" w:sz="4" w:space="0" w:color="auto"/>
              <w:right w:val="single" w:sz="4" w:space="0" w:color="auto"/>
            </w:tcBorders>
            <w:shd w:val="clear" w:color="auto" w:fill="auto"/>
            <w:noWrap/>
            <w:vAlign w:val="center"/>
          </w:tcPr>
          <w:p w14:paraId="4B346010" w14:textId="77042D45" w:rsidR="00B86D3B" w:rsidRPr="00F102BD" w:rsidRDefault="001F34A0" w:rsidP="00B86D3B">
            <w:pPr>
              <w:spacing w:after="0"/>
              <w:jc w:val="right"/>
              <w:rPr>
                <w:rFonts w:ascii="Arial" w:hAnsi="Arial"/>
                <w:sz w:val="16"/>
                <w:szCs w:val="16"/>
              </w:rPr>
            </w:pPr>
            <w:r>
              <w:rPr>
                <w:rFonts w:ascii="Arial" w:hAnsi="Arial"/>
                <w:sz w:val="16"/>
                <w:szCs w:val="16"/>
              </w:rPr>
              <w:t>132</w:t>
            </w:r>
          </w:p>
        </w:tc>
        <w:tc>
          <w:tcPr>
            <w:tcW w:w="993" w:type="dxa"/>
            <w:tcBorders>
              <w:top w:val="nil"/>
              <w:left w:val="nil"/>
              <w:bottom w:val="single" w:sz="4" w:space="0" w:color="auto"/>
              <w:right w:val="single" w:sz="4" w:space="0" w:color="auto"/>
            </w:tcBorders>
            <w:shd w:val="clear" w:color="auto" w:fill="auto"/>
            <w:noWrap/>
            <w:vAlign w:val="center"/>
          </w:tcPr>
          <w:p w14:paraId="33561084" w14:textId="1B2238D4" w:rsidR="00B86D3B" w:rsidRPr="00F102BD" w:rsidRDefault="00B86D3B" w:rsidP="00B86D3B">
            <w:pPr>
              <w:spacing w:after="0"/>
              <w:jc w:val="right"/>
              <w:rPr>
                <w:rFonts w:ascii="Arial" w:hAnsi="Arial"/>
                <w:sz w:val="16"/>
                <w:szCs w:val="16"/>
              </w:rPr>
            </w:pPr>
            <w:r>
              <w:rPr>
                <w:rFonts w:ascii="Arial" w:hAnsi="Arial"/>
                <w:sz w:val="16"/>
                <w:szCs w:val="16"/>
              </w:rPr>
              <w:t>139</w:t>
            </w:r>
          </w:p>
        </w:tc>
        <w:tc>
          <w:tcPr>
            <w:tcW w:w="5735" w:type="dxa"/>
            <w:vMerge w:val="restart"/>
            <w:tcBorders>
              <w:top w:val="nil"/>
              <w:left w:val="single" w:sz="4" w:space="0" w:color="auto"/>
              <w:bottom w:val="single" w:sz="4" w:space="0" w:color="000000"/>
              <w:right w:val="single" w:sz="4" w:space="0" w:color="auto"/>
            </w:tcBorders>
            <w:shd w:val="clear" w:color="auto" w:fill="auto"/>
            <w:vAlign w:val="center"/>
            <w:hideMark/>
          </w:tcPr>
          <w:p w14:paraId="293F88C4" w14:textId="1E7D6CF8" w:rsidR="00277870" w:rsidRPr="00277870" w:rsidRDefault="00277870" w:rsidP="00277870">
            <w:pPr>
              <w:autoSpaceDE w:val="0"/>
              <w:autoSpaceDN w:val="0"/>
              <w:adjustRightInd w:val="0"/>
              <w:spacing w:before="0" w:after="0"/>
              <w:rPr>
                <w:rFonts w:ascii="Arial" w:hAnsi="Arial"/>
                <w:sz w:val="16"/>
                <w:szCs w:val="16"/>
              </w:rPr>
            </w:pPr>
            <w:r w:rsidRPr="00277870">
              <w:rPr>
                <w:rFonts w:ascii="Arial" w:hAnsi="Arial"/>
                <w:sz w:val="16"/>
                <w:szCs w:val="16"/>
              </w:rPr>
              <w:t xml:space="preserve">This project is approved to </w:t>
            </w:r>
            <w:r w:rsidR="00237B43">
              <w:rPr>
                <w:rFonts w:ascii="Arial" w:hAnsi="Arial"/>
                <w:sz w:val="16"/>
                <w:szCs w:val="16"/>
              </w:rPr>
              <w:t>deliver</w:t>
            </w:r>
            <w:r w:rsidRPr="00277870">
              <w:rPr>
                <w:rFonts w:ascii="Arial" w:hAnsi="Arial"/>
                <w:sz w:val="16"/>
                <w:szCs w:val="16"/>
              </w:rPr>
              <w:t xml:space="preserve"> through</w:t>
            </w:r>
            <w:r w:rsidR="00237B43">
              <w:rPr>
                <w:rFonts w:ascii="Arial" w:hAnsi="Arial"/>
                <w:sz w:val="16"/>
                <w:szCs w:val="16"/>
              </w:rPr>
              <w:t>-</w:t>
            </w:r>
            <w:r w:rsidRPr="00277870">
              <w:rPr>
                <w:rFonts w:ascii="Arial" w:hAnsi="Arial"/>
                <w:sz w:val="16"/>
                <w:szCs w:val="16"/>
              </w:rPr>
              <w:t xml:space="preserve">life capability upgrades for the Australian F-35A fleet to ensure Australia’s F-35A remains lethal, survivable, and interoperable with ADF and allied capability.  The project will utilise the established F-35 cooperative program with the US and other allied partners.   </w:t>
            </w:r>
          </w:p>
          <w:p w14:paraId="056E8DF0" w14:textId="77777777" w:rsidR="00277870" w:rsidRPr="00277870" w:rsidRDefault="00277870" w:rsidP="00277870">
            <w:pPr>
              <w:autoSpaceDE w:val="0"/>
              <w:autoSpaceDN w:val="0"/>
              <w:adjustRightInd w:val="0"/>
              <w:spacing w:before="0" w:after="0"/>
              <w:rPr>
                <w:rFonts w:ascii="Arial" w:hAnsi="Arial"/>
                <w:sz w:val="16"/>
                <w:szCs w:val="16"/>
              </w:rPr>
            </w:pPr>
          </w:p>
          <w:p w14:paraId="16DB2415" w14:textId="7D47F5A5" w:rsidR="00B86D3B" w:rsidRPr="00BA1388" w:rsidRDefault="00277870" w:rsidP="00277870">
            <w:pPr>
              <w:spacing w:before="0" w:after="80"/>
              <w:rPr>
                <w:rFonts w:ascii="Arial" w:hAnsi="Arial"/>
                <w:sz w:val="16"/>
                <w:szCs w:val="16"/>
                <w:highlight w:val="yellow"/>
              </w:rPr>
            </w:pPr>
            <w:r w:rsidRPr="00277870">
              <w:rPr>
                <w:rFonts w:ascii="Arial" w:hAnsi="Arial"/>
                <w:sz w:val="16"/>
                <w:szCs w:val="16"/>
              </w:rPr>
              <w:t>During 2025-26 the project will commence aircraft upgrade activities to incorporate TR3 capabilities across the F-35A fleet.</w:t>
            </w:r>
          </w:p>
        </w:tc>
      </w:tr>
      <w:tr w:rsidR="00B86D3B" w:rsidRPr="00BA1388" w14:paraId="2DAA718E" w14:textId="77777777" w:rsidTr="00E14A25">
        <w:trPr>
          <w:trHeight w:hRule="exact" w:val="737"/>
        </w:trPr>
        <w:tc>
          <w:tcPr>
            <w:tcW w:w="1839" w:type="dxa"/>
            <w:vMerge/>
            <w:tcBorders>
              <w:top w:val="nil"/>
              <w:left w:val="single" w:sz="4" w:space="0" w:color="auto"/>
              <w:bottom w:val="single" w:sz="4" w:space="0" w:color="000000"/>
              <w:right w:val="single" w:sz="4" w:space="0" w:color="auto"/>
            </w:tcBorders>
            <w:vAlign w:val="center"/>
          </w:tcPr>
          <w:p w14:paraId="65D66680" w14:textId="77777777" w:rsidR="00B86D3B" w:rsidRPr="00BC6543" w:rsidRDefault="00B86D3B" w:rsidP="00B86D3B">
            <w:pPr>
              <w:spacing w:after="0"/>
              <w:rPr>
                <w:rFonts w:ascii="Arial" w:hAnsi="Arial"/>
                <w:sz w:val="16"/>
                <w:szCs w:val="16"/>
              </w:rPr>
            </w:pPr>
          </w:p>
        </w:tc>
        <w:tc>
          <w:tcPr>
            <w:tcW w:w="1135" w:type="dxa"/>
            <w:vMerge/>
            <w:tcBorders>
              <w:top w:val="nil"/>
              <w:left w:val="single" w:sz="4" w:space="0" w:color="auto"/>
              <w:bottom w:val="single" w:sz="4" w:space="0" w:color="000000"/>
              <w:right w:val="single" w:sz="4" w:space="0" w:color="auto"/>
            </w:tcBorders>
            <w:vAlign w:val="center"/>
          </w:tcPr>
          <w:p w14:paraId="6D271B95" w14:textId="77777777" w:rsidR="00B86D3B" w:rsidRPr="00BA1388" w:rsidRDefault="00B86D3B" w:rsidP="00B86D3B">
            <w:pPr>
              <w:spacing w:after="0"/>
              <w:rPr>
                <w:rFonts w:ascii="Arial" w:hAnsi="Arial"/>
                <w:b/>
                <w:bCs/>
                <w:sz w:val="16"/>
                <w:szCs w:val="16"/>
                <w:highlight w:val="yellow"/>
              </w:rPr>
            </w:pPr>
          </w:p>
        </w:tc>
        <w:tc>
          <w:tcPr>
            <w:tcW w:w="1560" w:type="dxa"/>
            <w:tcBorders>
              <w:top w:val="nil"/>
              <w:left w:val="nil"/>
              <w:bottom w:val="single" w:sz="4" w:space="0" w:color="auto"/>
              <w:right w:val="single" w:sz="4" w:space="0" w:color="auto"/>
            </w:tcBorders>
            <w:shd w:val="clear" w:color="auto" w:fill="auto"/>
            <w:vAlign w:val="center"/>
          </w:tcPr>
          <w:p w14:paraId="105A103A" w14:textId="0AEAEA58" w:rsidR="00B86D3B" w:rsidRPr="00BC6543" w:rsidRDefault="00B86D3B" w:rsidP="00B86D3B">
            <w:pPr>
              <w:spacing w:after="0"/>
              <w:rPr>
                <w:rFonts w:ascii="Arial" w:hAnsi="Arial"/>
                <w:sz w:val="16"/>
                <w:szCs w:val="16"/>
              </w:rPr>
            </w:pPr>
            <w:r w:rsidRPr="00BC6543">
              <w:rPr>
                <w:rFonts w:ascii="Arial" w:hAnsi="Arial"/>
                <w:sz w:val="16"/>
                <w:szCs w:val="16"/>
              </w:rPr>
              <w:t>Other Project Inputs to Capability</w:t>
            </w:r>
          </w:p>
        </w:tc>
        <w:tc>
          <w:tcPr>
            <w:tcW w:w="1277" w:type="dxa"/>
            <w:tcBorders>
              <w:top w:val="nil"/>
              <w:left w:val="nil"/>
              <w:bottom w:val="single" w:sz="4" w:space="0" w:color="auto"/>
              <w:right w:val="single" w:sz="4" w:space="0" w:color="auto"/>
            </w:tcBorders>
            <w:shd w:val="clear" w:color="auto" w:fill="auto"/>
            <w:noWrap/>
            <w:vAlign w:val="center"/>
          </w:tcPr>
          <w:p w14:paraId="6A2D4687" w14:textId="712CF6D3" w:rsidR="00B86D3B" w:rsidRPr="00F102BD" w:rsidRDefault="00B86D3B" w:rsidP="00B86D3B">
            <w:pPr>
              <w:spacing w:after="0"/>
              <w:jc w:val="right"/>
              <w:rPr>
                <w:rFonts w:ascii="Arial" w:hAnsi="Arial"/>
                <w:sz w:val="16"/>
                <w:szCs w:val="16"/>
              </w:rPr>
            </w:pPr>
            <w:r>
              <w:rPr>
                <w:rFonts w:ascii="Arial" w:hAnsi="Arial"/>
                <w:sz w:val="16"/>
                <w:szCs w:val="16"/>
              </w:rPr>
              <w:t>-</w:t>
            </w:r>
          </w:p>
        </w:tc>
        <w:tc>
          <w:tcPr>
            <w:tcW w:w="1419" w:type="dxa"/>
            <w:tcBorders>
              <w:top w:val="nil"/>
              <w:left w:val="nil"/>
              <w:bottom w:val="single" w:sz="4" w:space="0" w:color="auto"/>
              <w:right w:val="single" w:sz="4" w:space="0" w:color="auto"/>
            </w:tcBorders>
            <w:shd w:val="clear" w:color="auto" w:fill="auto"/>
            <w:noWrap/>
            <w:vAlign w:val="center"/>
          </w:tcPr>
          <w:p w14:paraId="65F7917E" w14:textId="6505FA15" w:rsidR="00B86D3B" w:rsidRPr="00F102BD" w:rsidRDefault="00B86D3B" w:rsidP="00B86D3B">
            <w:pPr>
              <w:spacing w:after="0"/>
              <w:jc w:val="right"/>
              <w:rPr>
                <w:rFonts w:ascii="Arial" w:hAnsi="Arial"/>
                <w:sz w:val="16"/>
                <w:szCs w:val="16"/>
              </w:rPr>
            </w:pPr>
            <w:r>
              <w:rPr>
                <w:rFonts w:ascii="Arial" w:hAnsi="Arial"/>
                <w:sz w:val="16"/>
                <w:szCs w:val="16"/>
              </w:rPr>
              <w:t>-</w:t>
            </w:r>
          </w:p>
        </w:tc>
        <w:tc>
          <w:tcPr>
            <w:tcW w:w="993" w:type="dxa"/>
            <w:tcBorders>
              <w:top w:val="nil"/>
              <w:left w:val="nil"/>
              <w:bottom w:val="single" w:sz="4" w:space="0" w:color="auto"/>
              <w:right w:val="single" w:sz="4" w:space="0" w:color="auto"/>
            </w:tcBorders>
            <w:shd w:val="clear" w:color="auto" w:fill="auto"/>
            <w:noWrap/>
            <w:vAlign w:val="center"/>
          </w:tcPr>
          <w:p w14:paraId="6595708E" w14:textId="3157D42B" w:rsidR="00B86D3B" w:rsidRPr="00F102BD" w:rsidRDefault="00B86D3B" w:rsidP="00B86D3B">
            <w:pPr>
              <w:spacing w:after="0"/>
              <w:jc w:val="right"/>
              <w:rPr>
                <w:rFonts w:ascii="Arial" w:hAnsi="Arial"/>
                <w:sz w:val="16"/>
                <w:szCs w:val="16"/>
              </w:rPr>
            </w:pPr>
            <w:r>
              <w:rPr>
                <w:rFonts w:ascii="Arial" w:hAnsi="Arial"/>
                <w:sz w:val="16"/>
                <w:szCs w:val="16"/>
              </w:rPr>
              <w:t>-</w:t>
            </w:r>
          </w:p>
        </w:tc>
        <w:tc>
          <w:tcPr>
            <w:tcW w:w="5735" w:type="dxa"/>
            <w:vMerge/>
            <w:tcBorders>
              <w:top w:val="nil"/>
              <w:left w:val="single" w:sz="4" w:space="0" w:color="auto"/>
              <w:bottom w:val="single" w:sz="4" w:space="0" w:color="000000"/>
              <w:right w:val="single" w:sz="4" w:space="0" w:color="auto"/>
            </w:tcBorders>
            <w:vAlign w:val="center"/>
            <w:hideMark/>
          </w:tcPr>
          <w:p w14:paraId="310BD300" w14:textId="77777777" w:rsidR="00B86D3B" w:rsidRPr="00BA1388" w:rsidRDefault="00B86D3B" w:rsidP="00B86D3B">
            <w:pPr>
              <w:spacing w:before="0" w:after="80"/>
              <w:rPr>
                <w:rFonts w:ascii="Arial" w:hAnsi="Arial"/>
                <w:sz w:val="16"/>
                <w:szCs w:val="16"/>
                <w:highlight w:val="yellow"/>
              </w:rPr>
            </w:pPr>
          </w:p>
        </w:tc>
      </w:tr>
      <w:tr w:rsidR="00B86D3B" w:rsidRPr="00BA1388" w14:paraId="50C256EF" w14:textId="77777777" w:rsidTr="00CD539A">
        <w:trPr>
          <w:trHeight w:hRule="exact" w:val="301"/>
        </w:trPr>
        <w:tc>
          <w:tcPr>
            <w:tcW w:w="13958" w:type="dxa"/>
            <w:gridSpan w:val="7"/>
            <w:tcBorders>
              <w:top w:val="nil"/>
              <w:left w:val="single" w:sz="4" w:space="0" w:color="auto"/>
              <w:bottom w:val="single" w:sz="4" w:space="0" w:color="auto"/>
              <w:right w:val="single" w:sz="4" w:space="0" w:color="auto"/>
            </w:tcBorders>
            <w:shd w:val="clear" w:color="000000" w:fill="E6E6E6"/>
            <w:noWrap/>
            <w:vAlign w:val="center"/>
            <w:hideMark/>
          </w:tcPr>
          <w:p w14:paraId="0447C7A2" w14:textId="77777777" w:rsidR="00B86D3B" w:rsidRPr="00BA1388" w:rsidRDefault="00B86D3B" w:rsidP="00B86D3B">
            <w:pPr>
              <w:keepNext/>
              <w:keepLines/>
              <w:pageBreakBefore/>
              <w:spacing w:before="0" w:after="0"/>
              <w:rPr>
                <w:rFonts w:ascii="Arial" w:hAnsi="Arial"/>
                <w:sz w:val="16"/>
                <w:szCs w:val="16"/>
                <w:highlight w:val="yellow"/>
              </w:rPr>
            </w:pPr>
            <w:r w:rsidRPr="00BC6543">
              <w:rPr>
                <w:rFonts w:ascii="Arial" w:hAnsi="Arial"/>
                <w:b/>
                <w:bCs/>
                <w:sz w:val="16"/>
                <w:szCs w:val="16"/>
              </w:rPr>
              <w:lastRenderedPageBreak/>
              <w:t>Enterprise and Enabling</w:t>
            </w:r>
          </w:p>
        </w:tc>
      </w:tr>
      <w:tr w:rsidR="00B86D3B" w:rsidRPr="00BA1388" w14:paraId="2849B4D4" w14:textId="77777777" w:rsidTr="004377C8">
        <w:trPr>
          <w:trHeight w:val="907"/>
        </w:trPr>
        <w:tc>
          <w:tcPr>
            <w:tcW w:w="1839" w:type="dxa"/>
            <w:vMerge w:val="restart"/>
            <w:tcBorders>
              <w:top w:val="nil"/>
              <w:left w:val="single" w:sz="4" w:space="0" w:color="auto"/>
              <w:bottom w:val="single" w:sz="4" w:space="0" w:color="000000"/>
              <w:right w:val="single" w:sz="4" w:space="0" w:color="auto"/>
            </w:tcBorders>
            <w:shd w:val="clear" w:color="auto" w:fill="auto"/>
            <w:vAlign w:val="center"/>
          </w:tcPr>
          <w:p w14:paraId="7ED32428" w14:textId="7A9E74FD" w:rsidR="00B86D3B" w:rsidRPr="00643E95" w:rsidRDefault="00B86D3B" w:rsidP="00DE289E">
            <w:pPr>
              <w:spacing w:after="0"/>
              <w:rPr>
                <w:rFonts w:ascii="Arial" w:hAnsi="Arial"/>
                <w:sz w:val="16"/>
                <w:szCs w:val="16"/>
                <w:highlight w:val="yellow"/>
              </w:rPr>
            </w:pPr>
            <w:r w:rsidRPr="004377C8">
              <w:rPr>
                <w:rFonts w:ascii="Arial" w:hAnsi="Arial"/>
                <w:sz w:val="16"/>
                <w:szCs w:val="16"/>
              </w:rPr>
              <w:t>Sovereign Weapons Manufacturing</w:t>
            </w:r>
            <w:r w:rsidR="001A6A19">
              <w:rPr>
                <w:rFonts w:ascii="Arial" w:hAnsi="Arial"/>
                <w:sz w:val="16"/>
                <w:szCs w:val="16"/>
              </w:rPr>
              <w:t xml:space="preserve"> </w:t>
            </w:r>
          </w:p>
        </w:tc>
        <w:tc>
          <w:tcPr>
            <w:tcW w:w="1135" w:type="dxa"/>
            <w:vMerge w:val="restart"/>
            <w:tcBorders>
              <w:top w:val="nil"/>
              <w:left w:val="single" w:sz="4" w:space="0" w:color="auto"/>
              <w:bottom w:val="single" w:sz="4" w:space="0" w:color="000000"/>
              <w:right w:val="single" w:sz="4" w:space="0" w:color="auto"/>
            </w:tcBorders>
            <w:shd w:val="clear" w:color="auto" w:fill="auto"/>
            <w:vAlign w:val="center"/>
          </w:tcPr>
          <w:p w14:paraId="051F0EFE" w14:textId="6AB90D33" w:rsidR="00B86D3B" w:rsidRPr="00BA1388" w:rsidRDefault="00B86D3B" w:rsidP="00B86D3B">
            <w:pPr>
              <w:spacing w:after="0"/>
              <w:jc w:val="center"/>
              <w:rPr>
                <w:rFonts w:ascii="Arial" w:hAnsi="Arial"/>
                <w:b/>
                <w:bCs/>
                <w:sz w:val="16"/>
                <w:szCs w:val="16"/>
                <w:highlight w:val="yellow"/>
              </w:rPr>
            </w:pPr>
            <w:r w:rsidRPr="00BC6543">
              <w:rPr>
                <w:rFonts w:ascii="Arial" w:hAnsi="Arial"/>
                <w:b/>
                <w:bCs/>
                <w:sz w:val="16"/>
                <w:szCs w:val="16"/>
              </w:rPr>
              <w:t>JP 2087</w:t>
            </w:r>
          </w:p>
        </w:tc>
        <w:tc>
          <w:tcPr>
            <w:tcW w:w="1560" w:type="dxa"/>
            <w:tcBorders>
              <w:top w:val="nil"/>
              <w:left w:val="nil"/>
              <w:bottom w:val="single" w:sz="4" w:space="0" w:color="auto"/>
              <w:right w:val="single" w:sz="4" w:space="0" w:color="auto"/>
            </w:tcBorders>
            <w:shd w:val="clear" w:color="auto" w:fill="auto"/>
            <w:vAlign w:val="center"/>
          </w:tcPr>
          <w:p w14:paraId="138ECE83" w14:textId="583C43BB" w:rsidR="00B86D3B" w:rsidRPr="00BC6543" w:rsidRDefault="00B86D3B" w:rsidP="00B86D3B">
            <w:pPr>
              <w:spacing w:after="0"/>
              <w:rPr>
                <w:rFonts w:ascii="Arial" w:hAnsi="Arial"/>
                <w:sz w:val="16"/>
                <w:szCs w:val="16"/>
              </w:rPr>
            </w:pPr>
            <w:r w:rsidRPr="00BC6543">
              <w:rPr>
                <w:rFonts w:ascii="Arial" w:hAnsi="Arial"/>
                <w:sz w:val="16"/>
                <w:szCs w:val="16"/>
              </w:rPr>
              <w:t>Military Equipment Acquisition</w:t>
            </w:r>
          </w:p>
        </w:tc>
        <w:tc>
          <w:tcPr>
            <w:tcW w:w="1277" w:type="dxa"/>
            <w:tcBorders>
              <w:top w:val="nil"/>
              <w:left w:val="nil"/>
              <w:bottom w:val="single" w:sz="4" w:space="0" w:color="auto"/>
              <w:right w:val="single" w:sz="4" w:space="0" w:color="auto"/>
            </w:tcBorders>
            <w:shd w:val="clear" w:color="auto" w:fill="auto"/>
            <w:noWrap/>
            <w:vAlign w:val="center"/>
          </w:tcPr>
          <w:p w14:paraId="68953FD2" w14:textId="1AFF447D" w:rsidR="00B86D3B" w:rsidRPr="00F102BD" w:rsidRDefault="00B86D3B" w:rsidP="00B86D3B">
            <w:pPr>
              <w:spacing w:after="0"/>
              <w:jc w:val="right"/>
              <w:rPr>
                <w:rFonts w:ascii="Arial" w:hAnsi="Arial"/>
                <w:sz w:val="16"/>
                <w:szCs w:val="16"/>
              </w:rPr>
            </w:pPr>
            <w:r>
              <w:rPr>
                <w:rFonts w:ascii="Arial" w:hAnsi="Arial"/>
                <w:sz w:val="16"/>
                <w:szCs w:val="16"/>
              </w:rPr>
              <w:t>2,368</w:t>
            </w:r>
          </w:p>
        </w:tc>
        <w:tc>
          <w:tcPr>
            <w:tcW w:w="1419" w:type="dxa"/>
            <w:tcBorders>
              <w:top w:val="nil"/>
              <w:left w:val="nil"/>
              <w:bottom w:val="single" w:sz="4" w:space="0" w:color="auto"/>
              <w:right w:val="single" w:sz="4" w:space="0" w:color="auto"/>
            </w:tcBorders>
            <w:shd w:val="clear" w:color="auto" w:fill="auto"/>
            <w:noWrap/>
            <w:vAlign w:val="center"/>
          </w:tcPr>
          <w:p w14:paraId="40BE3906" w14:textId="4DF323EF" w:rsidR="00B86D3B" w:rsidRPr="00F102BD" w:rsidRDefault="00B86D3B" w:rsidP="00B86D3B">
            <w:pPr>
              <w:spacing w:after="0"/>
              <w:jc w:val="right"/>
              <w:rPr>
                <w:rFonts w:ascii="Arial" w:hAnsi="Arial"/>
                <w:sz w:val="16"/>
                <w:szCs w:val="16"/>
              </w:rPr>
            </w:pPr>
            <w:r>
              <w:rPr>
                <w:rFonts w:ascii="Arial" w:hAnsi="Arial"/>
                <w:sz w:val="16"/>
                <w:szCs w:val="16"/>
              </w:rPr>
              <w:t>137</w:t>
            </w:r>
          </w:p>
        </w:tc>
        <w:tc>
          <w:tcPr>
            <w:tcW w:w="993" w:type="dxa"/>
            <w:tcBorders>
              <w:top w:val="nil"/>
              <w:left w:val="nil"/>
              <w:bottom w:val="single" w:sz="4" w:space="0" w:color="auto"/>
              <w:right w:val="single" w:sz="4" w:space="0" w:color="auto"/>
            </w:tcBorders>
            <w:shd w:val="clear" w:color="auto" w:fill="auto"/>
            <w:noWrap/>
            <w:vAlign w:val="center"/>
          </w:tcPr>
          <w:p w14:paraId="5C9E7DEF" w14:textId="03B66E55" w:rsidR="00B86D3B" w:rsidRPr="00F102BD" w:rsidRDefault="00B86D3B" w:rsidP="00B86D3B">
            <w:pPr>
              <w:spacing w:after="0"/>
              <w:jc w:val="right"/>
              <w:rPr>
                <w:rFonts w:ascii="Arial" w:hAnsi="Arial"/>
                <w:sz w:val="16"/>
                <w:szCs w:val="16"/>
              </w:rPr>
            </w:pPr>
            <w:r>
              <w:rPr>
                <w:rFonts w:ascii="Arial" w:hAnsi="Arial"/>
                <w:sz w:val="16"/>
                <w:szCs w:val="16"/>
              </w:rPr>
              <w:t>402</w:t>
            </w:r>
          </w:p>
        </w:tc>
        <w:tc>
          <w:tcPr>
            <w:tcW w:w="5735" w:type="dxa"/>
            <w:vMerge w:val="restart"/>
            <w:tcBorders>
              <w:top w:val="single" w:sz="4" w:space="0" w:color="000000"/>
              <w:left w:val="single" w:sz="4" w:space="0" w:color="auto"/>
              <w:bottom w:val="single" w:sz="4" w:space="0" w:color="000000"/>
              <w:right w:val="single" w:sz="4" w:space="0" w:color="auto"/>
            </w:tcBorders>
            <w:shd w:val="clear" w:color="auto" w:fill="auto"/>
            <w:hideMark/>
          </w:tcPr>
          <w:p w14:paraId="0F358408" w14:textId="77777777" w:rsidR="001A6A19" w:rsidRPr="001A6A19" w:rsidRDefault="001A6A19" w:rsidP="001A6A19">
            <w:pPr>
              <w:spacing w:before="0" w:after="80"/>
              <w:rPr>
                <w:rFonts w:ascii="Arial" w:hAnsi="Arial"/>
                <w:sz w:val="16"/>
                <w:szCs w:val="16"/>
              </w:rPr>
            </w:pPr>
            <w:r w:rsidRPr="001A6A19">
              <w:rPr>
                <w:rFonts w:ascii="Arial" w:hAnsi="Arial"/>
                <w:sz w:val="16"/>
                <w:szCs w:val="16"/>
              </w:rPr>
              <w:t>This Project uses a programmatic approach to strengthen Australia’s industrial base of Guided Weapons and Explosive Ordnance to improve supply chain resilience and uplift Australia’s industrial capabilities. The project scope balances a mix of weapons and ordnance, including domestic production and maintenance of Naval Strike Missile and Joint Strike Missiles, Guided Multiple Launch Rocket System missiles, and forging of large calibre munitions.</w:t>
            </w:r>
          </w:p>
          <w:p w14:paraId="351957CA" w14:textId="6DFB7C53" w:rsidR="00B86D3B" w:rsidRPr="00BC6543" w:rsidRDefault="001A6A19" w:rsidP="001A6A19">
            <w:pPr>
              <w:spacing w:before="0" w:after="80"/>
              <w:rPr>
                <w:rFonts w:ascii="Arial" w:hAnsi="Arial"/>
                <w:sz w:val="16"/>
                <w:szCs w:val="16"/>
              </w:rPr>
            </w:pPr>
            <w:r w:rsidRPr="001A6A19">
              <w:rPr>
                <w:rFonts w:ascii="Arial" w:hAnsi="Arial"/>
                <w:sz w:val="16"/>
                <w:szCs w:val="16"/>
              </w:rPr>
              <w:t>During 2025-26, the project will focus on: manufacture of select guided weapons, commencing with assembly of imported sections and components; manufacture of expanded types and quantities of non-guided munitions; uplift of industry for the development of technologies through research and development; and co-assembly and co-production activities with trusted partners.</w:t>
            </w:r>
          </w:p>
        </w:tc>
      </w:tr>
      <w:tr w:rsidR="00B86D3B" w:rsidRPr="00BA1388" w14:paraId="478B68C6" w14:textId="77777777" w:rsidTr="00C460C8">
        <w:trPr>
          <w:trHeight w:val="1446"/>
        </w:trPr>
        <w:tc>
          <w:tcPr>
            <w:tcW w:w="1839" w:type="dxa"/>
            <w:vMerge/>
            <w:tcBorders>
              <w:top w:val="nil"/>
              <w:left w:val="single" w:sz="4" w:space="0" w:color="auto"/>
              <w:bottom w:val="single" w:sz="4" w:space="0" w:color="auto"/>
              <w:right w:val="single" w:sz="4" w:space="0" w:color="auto"/>
            </w:tcBorders>
            <w:vAlign w:val="center"/>
          </w:tcPr>
          <w:p w14:paraId="2EAAF7B1" w14:textId="77777777" w:rsidR="00B86D3B" w:rsidRPr="00643E95" w:rsidRDefault="00B86D3B" w:rsidP="00B86D3B">
            <w:pPr>
              <w:spacing w:after="0"/>
              <w:rPr>
                <w:rFonts w:ascii="Arial" w:hAnsi="Arial"/>
                <w:sz w:val="16"/>
                <w:szCs w:val="16"/>
                <w:highlight w:val="yellow"/>
              </w:rPr>
            </w:pPr>
          </w:p>
        </w:tc>
        <w:tc>
          <w:tcPr>
            <w:tcW w:w="1135" w:type="dxa"/>
            <w:vMerge/>
            <w:tcBorders>
              <w:top w:val="nil"/>
              <w:left w:val="single" w:sz="4" w:space="0" w:color="auto"/>
              <w:bottom w:val="single" w:sz="4" w:space="0" w:color="auto"/>
              <w:right w:val="single" w:sz="4" w:space="0" w:color="auto"/>
            </w:tcBorders>
            <w:vAlign w:val="center"/>
          </w:tcPr>
          <w:p w14:paraId="6FED107F" w14:textId="77777777" w:rsidR="00B86D3B" w:rsidRPr="00BA1388" w:rsidRDefault="00B86D3B" w:rsidP="00B86D3B">
            <w:pPr>
              <w:spacing w:after="0"/>
              <w:rPr>
                <w:rFonts w:ascii="Arial" w:hAnsi="Arial"/>
                <w:b/>
                <w:bCs/>
                <w:sz w:val="16"/>
                <w:szCs w:val="16"/>
                <w:highlight w:val="yellow"/>
              </w:rPr>
            </w:pPr>
          </w:p>
        </w:tc>
        <w:tc>
          <w:tcPr>
            <w:tcW w:w="1560" w:type="dxa"/>
            <w:tcBorders>
              <w:top w:val="nil"/>
              <w:left w:val="nil"/>
              <w:bottom w:val="single" w:sz="4" w:space="0" w:color="auto"/>
              <w:right w:val="single" w:sz="4" w:space="0" w:color="auto"/>
            </w:tcBorders>
            <w:shd w:val="clear" w:color="auto" w:fill="auto"/>
            <w:vAlign w:val="center"/>
          </w:tcPr>
          <w:p w14:paraId="749ED81D" w14:textId="08B35294" w:rsidR="00B86D3B" w:rsidRPr="00BC6543" w:rsidRDefault="00B86D3B" w:rsidP="00B86D3B">
            <w:pPr>
              <w:spacing w:after="0"/>
              <w:rPr>
                <w:rFonts w:ascii="Arial" w:hAnsi="Arial"/>
                <w:sz w:val="16"/>
                <w:szCs w:val="16"/>
              </w:rPr>
            </w:pPr>
            <w:r w:rsidRPr="00BC6543">
              <w:rPr>
                <w:rFonts w:ascii="Arial" w:hAnsi="Arial"/>
                <w:sz w:val="16"/>
                <w:szCs w:val="16"/>
              </w:rPr>
              <w:t>Other Project Inputs to Capability</w:t>
            </w:r>
          </w:p>
        </w:tc>
        <w:tc>
          <w:tcPr>
            <w:tcW w:w="1277" w:type="dxa"/>
            <w:tcBorders>
              <w:top w:val="nil"/>
              <w:left w:val="nil"/>
              <w:bottom w:val="single" w:sz="4" w:space="0" w:color="auto"/>
              <w:right w:val="single" w:sz="4" w:space="0" w:color="auto"/>
            </w:tcBorders>
            <w:shd w:val="clear" w:color="auto" w:fill="auto"/>
            <w:noWrap/>
            <w:vAlign w:val="center"/>
          </w:tcPr>
          <w:p w14:paraId="0CD5B3AB" w14:textId="6273A4DF" w:rsidR="00B86D3B" w:rsidRPr="00F102BD" w:rsidRDefault="00B86D3B" w:rsidP="00B86D3B">
            <w:pPr>
              <w:spacing w:after="0"/>
              <w:jc w:val="right"/>
              <w:rPr>
                <w:rFonts w:ascii="Arial" w:hAnsi="Arial"/>
                <w:sz w:val="16"/>
                <w:szCs w:val="16"/>
              </w:rPr>
            </w:pPr>
            <w:r>
              <w:rPr>
                <w:rFonts w:ascii="Arial" w:hAnsi="Arial"/>
                <w:sz w:val="16"/>
                <w:szCs w:val="16"/>
              </w:rPr>
              <w:t>-</w:t>
            </w:r>
          </w:p>
        </w:tc>
        <w:tc>
          <w:tcPr>
            <w:tcW w:w="1419" w:type="dxa"/>
            <w:tcBorders>
              <w:top w:val="nil"/>
              <w:left w:val="nil"/>
              <w:bottom w:val="single" w:sz="4" w:space="0" w:color="auto"/>
              <w:right w:val="single" w:sz="4" w:space="0" w:color="auto"/>
            </w:tcBorders>
            <w:shd w:val="clear" w:color="auto" w:fill="auto"/>
            <w:noWrap/>
            <w:vAlign w:val="center"/>
          </w:tcPr>
          <w:p w14:paraId="7D5A6695" w14:textId="0988E631" w:rsidR="00B86D3B" w:rsidRPr="00F102BD" w:rsidRDefault="00B86D3B" w:rsidP="00B86D3B">
            <w:pPr>
              <w:spacing w:after="0"/>
              <w:jc w:val="right"/>
              <w:rPr>
                <w:rFonts w:ascii="Arial" w:hAnsi="Arial"/>
                <w:sz w:val="16"/>
                <w:szCs w:val="16"/>
              </w:rPr>
            </w:pPr>
            <w:r>
              <w:rPr>
                <w:rFonts w:ascii="Arial" w:hAnsi="Arial"/>
                <w:sz w:val="16"/>
                <w:szCs w:val="16"/>
              </w:rPr>
              <w:t>-</w:t>
            </w:r>
          </w:p>
        </w:tc>
        <w:tc>
          <w:tcPr>
            <w:tcW w:w="993" w:type="dxa"/>
            <w:tcBorders>
              <w:top w:val="nil"/>
              <w:left w:val="nil"/>
              <w:bottom w:val="single" w:sz="4" w:space="0" w:color="auto"/>
              <w:right w:val="single" w:sz="4" w:space="0" w:color="auto"/>
            </w:tcBorders>
            <w:shd w:val="clear" w:color="auto" w:fill="auto"/>
            <w:noWrap/>
            <w:vAlign w:val="center"/>
          </w:tcPr>
          <w:p w14:paraId="101E5C91" w14:textId="63F39DD8" w:rsidR="00B86D3B" w:rsidRPr="00F102BD" w:rsidRDefault="00B86D3B" w:rsidP="00B86D3B">
            <w:pPr>
              <w:spacing w:after="0"/>
              <w:jc w:val="right"/>
              <w:rPr>
                <w:rFonts w:ascii="Arial" w:hAnsi="Arial"/>
                <w:sz w:val="16"/>
                <w:szCs w:val="16"/>
              </w:rPr>
            </w:pPr>
            <w:r>
              <w:rPr>
                <w:rFonts w:ascii="Arial" w:hAnsi="Arial"/>
                <w:sz w:val="16"/>
                <w:szCs w:val="16"/>
              </w:rPr>
              <w:t>-</w:t>
            </w:r>
          </w:p>
        </w:tc>
        <w:tc>
          <w:tcPr>
            <w:tcW w:w="5735" w:type="dxa"/>
            <w:vMerge/>
            <w:tcBorders>
              <w:top w:val="single" w:sz="4" w:space="0" w:color="000000"/>
              <w:left w:val="single" w:sz="4" w:space="0" w:color="auto"/>
              <w:bottom w:val="single" w:sz="4" w:space="0" w:color="000000"/>
              <w:right w:val="single" w:sz="4" w:space="0" w:color="auto"/>
            </w:tcBorders>
            <w:vAlign w:val="center"/>
            <w:hideMark/>
          </w:tcPr>
          <w:p w14:paraId="77D1D2A8" w14:textId="77777777" w:rsidR="00B86D3B" w:rsidRPr="00BA1388" w:rsidRDefault="00B86D3B" w:rsidP="00B86D3B">
            <w:pPr>
              <w:spacing w:before="0" w:after="80"/>
              <w:rPr>
                <w:rFonts w:ascii="Arial" w:hAnsi="Arial"/>
                <w:sz w:val="16"/>
                <w:szCs w:val="16"/>
                <w:highlight w:val="yellow"/>
              </w:rPr>
            </w:pPr>
          </w:p>
        </w:tc>
      </w:tr>
      <w:tr w:rsidR="00B86D3B" w:rsidRPr="00BA1388" w14:paraId="65C53421" w14:textId="77777777" w:rsidTr="00E14A25">
        <w:trPr>
          <w:trHeight w:hRule="exact" w:val="737"/>
        </w:trPr>
        <w:tc>
          <w:tcPr>
            <w:tcW w:w="1839" w:type="dxa"/>
            <w:vMerge w:val="restart"/>
            <w:tcBorders>
              <w:top w:val="nil"/>
              <w:left w:val="single" w:sz="4" w:space="0" w:color="auto"/>
              <w:bottom w:val="single" w:sz="4" w:space="0" w:color="000000"/>
              <w:right w:val="single" w:sz="4" w:space="0" w:color="auto"/>
            </w:tcBorders>
            <w:shd w:val="clear" w:color="auto" w:fill="auto"/>
            <w:vAlign w:val="center"/>
          </w:tcPr>
          <w:p w14:paraId="2785CC6C" w14:textId="69A70841" w:rsidR="00B86D3B" w:rsidRPr="00643E95" w:rsidRDefault="00B86D3B" w:rsidP="00DE289E">
            <w:pPr>
              <w:spacing w:after="0"/>
              <w:rPr>
                <w:rFonts w:ascii="Arial" w:hAnsi="Arial"/>
                <w:sz w:val="16"/>
                <w:szCs w:val="16"/>
                <w:highlight w:val="yellow"/>
              </w:rPr>
            </w:pPr>
            <w:r w:rsidRPr="001A6A19">
              <w:rPr>
                <w:rFonts w:ascii="Arial" w:hAnsi="Arial"/>
                <w:sz w:val="16"/>
                <w:szCs w:val="16"/>
              </w:rPr>
              <w:t>Guided Weapons and Explosive Ordnance Enterprise</w:t>
            </w:r>
            <w:r w:rsidR="001A6A19">
              <w:rPr>
                <w:rFonts w:ascii="Arial" w:hAnsi="Arial"/>
                <w:sz w:val="16"/>
                <w:szCs w:val="16"/>
              </w:rPr>
              <w:t xml:space="preserve"> </w:t>
            </w:r>
          </w:p>
        </w:tc>
        <w:tc>
          <w:tcPr>
            <w:tcW w:w="1135" w:type="dxa"/>
            <w:vMerge w:val="restart"/>
            <w:tcBorders>
              <w:top w:val="nil"/>
              <w:left w:val="single" w:sz="4" w:space="0" w:color="auto"/>
              <w:bottom w:val="single" w:sz="4" w:space="0" w:color="000000"/>
              <w:right w:val="single" w:sz="4" w:space="0" w:color="auto"/>
            </w:tcBorders>
            <w:shd w:val="clear" w:color="auto" w:fill="auto"/>
            <w:vAlign w:val="center"/>
          </w:tcPr>
          <w:p w14:paraId="53000CF2" w14:textId="0C84B744" w:rsidR="00B86D3B" w:rsidRPr="00BC6543" w:rsidRDefault="00B86D3B" w:rsidP="00B86D3B">
            <w:pPr>
              <w:spacing w:after="0"/>
              <w:jc w:val="center"/>
              <w:rPr>
                <w:rFonts w:ascii="Arial" w:hAnsi="Arial"/>
                <w:b/>
                <w:bCs/>
                <w:sz w:val="16"/>
                <w:szCs w:val="16"/>
              </w:rPr>
            </w:pPr>
            <w:r>
              <w:rPr>
                <w:rFonts w:ascii="Arial" w:hAnsi="Arial"/>
                <w:b/>
                <w:bCs/>
                <w:sz w:val="16"/>
                <w:szCs w:val="16"/>
              </w:rPr>
              <w:t>JP 2092</w:t>
            </w:r>
          </w:p>
        </w:tc>
        <w:tc>
          <w:tcPr>
            <w:tcW w:w="1560" w:type="dxa"/>
            <w:tcBorders>
              <w:top w:val="nil"/>
              <w:left w:val="nil"/>
              <w:bottom w:val="single" w:sz="4" w:space="0" w:color="auto"/>
              <w:right w:val="single" w:sz="4" w:space="0" w:color="auto"/>
            </w:tcBorders>
            <w:shd w:val="clear" w:color="auto" w:fill="auto"/>
            <w:vAlign w:val="center"/>
          </w:tcPr>
          <w:p w14:paraId="43FD8538" w14:textId="5A776193" w:rsidR="00B86D3B" w:rsidRPr="00BC6543" w:rsidRDefault="00B86D3B" w:rsidP="00B86D3B">
            <w:pPr>
              <w:spacing w:after="0"/>
              <w:rPr>
                <w:rFonts w:ascii="Arial" w:hAnsi="Arial"/>
                <w:sz w:val="16"/>
                <w:szCs w:val="16"/>
              </w:rPr>
            </w:pPr>
            <w:r w:rsidRPr="00F83D16">
              <w:rPr>
                <w:rFonts w:ascii="Arial" w:hAnsi="Arial"/>
                <w:sz w:val="16"/>
                <w:szCs w:val="16"/>
              </w:rPr>
              <w:t>Military Equipment Acquisition</w:t>
            </w:r>
          </w:p>
        </w:tc>
        <w:tc>
          <w:tcPr>
            <w:tcW w:w="1277" w:type="dxa"/>
            <w:tcBorders>
              <w:top w:val="nil"/>
              <w:left w:val="nil"/>
              <w:bottom w:val="single" w:sz="4" w:space="0" w:color="auto"/>
              <w:right w:val="single" w:sz="4" w:space="0" w:color="auto"/>
            </w:tcBorders>
            <w:shd w:val="clear" w:color="auto" w:fill="auto"/>
            <w:noWrap/>
            <w:vAlign w:val="center"/>
          </w:tcPr>
          <w:p w14:paraId="6FEC7EFF" w14:textId="64123B81" w:rsidR="00B86D3B" w:rsidRPr="00F83D16" w:rsidRDefault="00B86D3B" w:rsidP="00B86D3B">
            <w:pPr>
              <w:spacing w:after="0"/>
              <w:jc w:val="right"/>
              <w:rPr>
                <w:rFonts w:ascii="Arial" w:hAnsi="Arial"/>
                <w:sz w:val="16"/>
                <w:szCs w:val="16"/>
              </w:rPr>
            </w:pPr>
            <w:r w:rsidRPr="00F83D16">
              <w:rPr>
                <w:rFonts w:ascii="Arial" w:hAnsi="Arial"/>
                <w:sz w:val="16"/>
                <w:szCs w:val="16"/>
              </w:rPr>
              <w:t>809</w:t>
            </w:r>
          </w:p>
        </w:tc>
        <w:tc>
          <w:tcPr>
            <w:tcW w:w="1419" w:type="dxa"/>
            <w:tcBorders>
              <w:top w:val="nil"/>
              <w:left w:val="nil"/>
              <w:bottom w:val="single" w:sz="4" w:space="0" w:color="auto"/>
              <w:right w:val="single" w:sz="4" w:space="0" w:color="auto"/>
            </w:tcBorders>
            <w:shd w:val="clear" w:color="auto" w:fill="auto"/>
            <w:noWrap/>
            <w:vAlign w:val="center"/>
          </w:tcPr>
          <w:p w14:paraId="5ED0EBAE" w14:textId="180A5282" w:rsidR="00B86D3B" w:rsidRPr="00F83D16" w:rsidRDefault="00B86D3B" w:rsidP="00B86D3B">
            <w:pPr>
              <w:spacing w:after="0"/>
              <w:jc w:val="right"/>
              <w:rPr>
                <w:rFonts w:ascii="Arial" w:hAnsi="Arial"/>
                <w:sz w:val="16"/>
                <w:szCs w:val="16"/>
              </w:rPr>
            </w:pPr>
            <w:r w:rsidRPr="00F83D16">
              <w:rPr>
                <w:rFonts w:ascii="Arial" w:hAnsi="Arial"/>
                <w:sz w:val="16"/>
                <w:szCs w:val="16"/>
              </w:rPr>
              <w:t>294</w:t>
            </w:r>
          </w:p>
        </w:tc>
        <w:tc>
          <w:tcPr>
            <w:tcW w:w="993" w:type="dxa"/>
            <w:tcBorders>
              <w:top w:val="nil"/>
              <w:left w:val="nil"/>
              <w:bottom w:val="single" w:sz="4" w:space="0" w:color="auto"/>
              <w:right w:val="single" w:sz="4" w:space="0" w:color="auto"/>
            </w:tcBorders>
            <w:shd w:val="clear" w:color="auto" w:fill="auto"/>
            <w:noWrap/>
            <w:vAlign w:val="center"/>
          </w:tcPr>
          <w:p w14:paraId="0FEE538C" w14:textId="39ACA2E9" w:rsidR="00B86D3B" w:rsidRPr="00F83D16" w:rsidRDefault="00B86D3B" w:rsidP="00B86D3B">
            <w:pPr>
              <w:spacing w:after="0"/>
              <w:jc w:val="right"/>
              <w:rPr>
                <w:rFonts w:ascii="Arial" w:hAnsi="Arial"/>
                <w:sz w:val="16"/>
                <w:szCs w:val="16"/>
              </w:rPr>
            </w:pPr>
            <w:r w:rsidRPr="00F83D16">
              <w:rPr>
                <w:rFonts w:ascii="Arial" w:hAnsi="Arial"/>
                <w:sz w:val="16"/>
                <w:szCs w:val="16"/>
              </w:rPr>
              <w:t>193</w:t>
            </w:r>
          </w:p>
        </w:tc>
        <w:tc>
          <w:tcPr>
            <w:tcW w:w="5735" w:type="dxa"/>
            <w:vMerge w:val="restart"/>
            <w:tcBorders>
              <w:top w:val="nil"/>
              <w:left w:val="single" w:sz="4" w:space="0" w:color="auto"/>
              <w:bottom w:val="single" w:sz="4" w:space="0" w:color="000000"/>
              <w:right w:val="single" w:sz="4" w:space="0" w:color="auto"/>
            </w:tcBorders>
            <w:shd w:val="clear" w:color="auto" w:fill="auto"/>
            <w:vAlign w:val="center"/>
          </w:tcPr>
          <w:p w14:paraId="74823D93" w14:textId="77777777" w:rsidR="001A6A19" w:rsidRPr="001A6A19" w:rsidRDefault="001A6A19" w:rsidP="001A6A19">
            <w:pPr>
              <w:spacing w:before="0" w:after="80"/>
              <w:rPr>
                <w:rFonts w:ascii="Arial" w:hAnsi="Arial"/>
                <w:sz w:val="16"/>
                <w:szCs w:val="16"/>
              </w:rPr>
            </w:pPr>
            <w:r w:rsidRPr="001A6A19">
              <w:rPr>
                <w:rFonts w:ascii="Arial" w:hAnsi="Arial"/>
                <w:sz w:val="16"/>
                <w:szCs w:val="16"/>
              </w:rPr>
              <w:t xml:space="preserve">This Project uses a programmatic approach to increase inventory of priority weapons and invest in Guided Weapons and Explosive Ordnance enabling capability elements such as storage and distribution, test and evaluation, disposal and demilitarisation, research and development, and education and training, to improve ADF preparedness. </w:t>
            </w:r>
          </w:p>
          <w:p w14:paraId="58483925" w14:textId="2E55277F" w:rsidR="00B86D3B" w:rsidRPr="00BA1388" w:rsidRDefault="001A6A19" w:rsidP="00232C65">
            <w:pPr>
              <w:spacing w:before="0" w:after="80"/>
              <w:rPr>
                <w:rFonts w:ascii="Arial" w:hAnsi="Arial"/>
                <w:sz w:val="16"/>
                <w:szCs w:val="16"/>
                <w:highlight w:val="yellow"/>
              </w:rPr>
            </w:pPr>
            <w:r w:rsidRPr="001A6A19">
              <w:rPr>
                <w:rFonts w:ascii="Arial" w:hAnsi="Arial"/>
                <w:sz w:val="16"/>
                <w:szCs w:val="16"/>
              </w:rPr>
              <w:t xml:space="preserve">During 2025-26, the Project will progress development and acquisition activities to increase warstock inventory levels, including accelerated delivery </w:t>
            </w:r>
            <w:r w:rsidR="00232C65">
              <w:rPr>
                <w:rFonts w:ascii="Arial" w:hAnsi="Arial"/>
                <w:sz w:val="16"/>
                <w:szCs w:val="16"/>
              </w:rPr>
              <w:t>of m</w:t>
            </w:r>
            <w:r w:rsidRPr="001A6A19">
              <w:rPr>
                <w:rFonts w:ascii="Arial" w:hAnsi="Arial"/>
                <w:sz w:val="16"/>
                <w:szCs w:val="16"/>
              </w:rPr>
              <w:t>issiles, as well as the progressive delivery of Guided Weapons and Explosive Ordnance enabling capability elements.</w:t>
            </w:r>
          </w:p>
        </w:tc>
      </w:tr>
      <w:tr w:rsidR="00B86D3B" w:rsidRPr="00BA1388" w14:paraId="6D66BBF4" w14:textId="77777777" w:rsidTr="001A6A19">
        <w:trPr>
          <w:trHeight w:hRule="exact" w:val="1075"/>
        </w:trPr>
        <w:tc>
          <w:tcPr>
            <w:tcW w:w="1839" w:type="dxa"/>
            <w:vMerge/>
            <w:tcBorders>
              <w:top w:val="nil"/>
              <w:left w:val="single" w:sz="4" w:space="0" w:color="auto"/>
              <w:bottom w:val="single" w:sz="4" w:space="0" w:color="auto"/>
              <w:right w:val="single" w:sz="4" w:space="0" w:color="auto"/>
            </w:tcBorders>
            <w:vAlign w:val="center"/>
          </w:tcPr>
          <w:p w14:paraId="596DC136" w14:textId="77777777" w:rsidR="00B86D3B" w:rsidRPr="00643E95" w:rsidRDefault="00B86D3B" w:rsidP="00B86D3B">
            <w:pPr>
              <w:spacing w:after="0"/>
              <w:rPr>
                <w:rFonts w:ascii="Arial" w:hAnsi="Arial"/>
                <w:sz w:val="16"/>
                <w:szCs w:val="16"/>
                <w:highlight w:val="yellow"/>
              </w:rPr>
            </w:pPr>
          </w:p>
        </w:tc>
        <w:tc>
          <w:tcPr>
            <w:tcW w:w="1135" w:type="dxa"/>
            <w:vMerge/>
            <w:tcBorders>
              <w:top w:val="nil"/>
              <w:left w:val="single" w:sz="4" w:space="0" w:color="auto"/>
              <w:bottom w:val="single" w:sz="4" w:space="0" w:color="auto"/>
              <w:right w:val="single" w:sz="4" w:space="0" w:color="auto"/>
            </w:tcBorders>
            <w:vAlign w:val="center"/>
          </w:tcPr>
          <w:p w14:paraId="629A0BAF" w14:textId="77777777" w:rsidR="00B86D3B" w:rsidRPr="00BC6543" w:rsidRDefault="00B86D3B" w:rsidP="00B86D3B">
            <w:pPr>
              <w:spacing w:after="0"/>
              <w:rPr>
                <w:rFonts w:ascii="Arial" w:hAnsi="Arial"/>
                <w:b/>
                <w:bCs/>
                <w:sz w:val="16"/>
                <w:szCs w:val="16"/>
              </w:rPr>
            </w:pPr>
          </w:p>
        </w:tc>
        <w:tc>
          <w:tcPr>
            <w:tcW w:w="1560" w:type="dxa"/>
            <w:tcBorders>
              <w:top w:val="nil"/>
              <w:left w:val="nil"/>
              <w:bottom w:val="single" w:sz="4" w:space="0" w:color="auto"/>
              <w:right w:val="single" w:sz="4" w:space="0" w:color="auto"/>
            </w:tcBorders>
            <w:shd w:val="clear" w:color="auto" w:fill="auto"/>
            <w:vAlign w:val="center"/>
          </w:tcPr>
          <w:p w14:paraId="4ABF14F6" w14:textId="23EF7110" w:rsidR="00B86D3B" w:rsidRPr="00F83D16" w:rsidRDefault="00B86D3B" w:rsidP="00B86D3B">
            <w:pPr>
              <w:spacing w:after="0"/>
              <w:rPr>
                <w:rFonts w:ascii="Arial" w:hAnsi="Arial"/>
                <w:sz w:val="16"/>
                <w:szCs w:val="16"/>
              </w:rPr>
            </w:pPr>
            <w:r w:rsidRPr="00F83D16">
              <w:rPr>
                <w:rFonts w:ascii="Arial" w:hAnsi="Arial"/>
                <w:sz w:val="16"/>
                <w:szCs w:val="16"/>
              </w:rPr>
              <w:t>Other Project Inputs to Capability</w:t>
            </w:r>
          </w:p>
        </w:tc>
        <w:tc>
          <w:tcPr>
            <w:tcW w:w="1277" w:type="dxa"/>
            <w:tcBorders>
              <w:top w:val="nil"/>
              <w:left w:val="nil"/>
              <w:bottom w:val="single" w:sz="4" w:space="0" w:color="auto"/>
              <w:right w:val="single" w:sz="4" w:space="0" w:color="auto"/>
            </w:tcBorders>
            <w:shd w:val="clear" w:color="auto" w:fill="auto"/>
            <w:noWrap/>
            <w:vAlign w:val="center"/>
          </w:tcPr>
          <w:p w14:paraId="1F93F9C9" w14:textId="585341B3" w:rsidR="00B86D3B" w:rsidRPr="00F83D16" w:rsidRDefault="00B86D3B" w:rsidP="00B86D3B">
            <w:pPr>
              <w:spacing w:after="0"/>
              <w:jc w:val="right"/>
              <w:rPr>
                <w:rFonts w:ascii="Arial" w:hAnsi="Arial"/>
                <w:sz w:val="16"/>
                <w:szCs w:val="16"/>
              </w:rPr>
            </w:pPr>
            <w:r w:rsidRPr="00F83D16">
              <w:rPr>
                <w:rFonts w:ascii="Arial" w:hAnsi="Arial"/>
                <w:sz w:val="16"/>
                <w:szCs w:val="16"/>
              </w:rPr>
              <w:t>441</w:t>
            </w:r>
          </w:p>
        </w:tc>
        <w:tc>
          <w:tcPr>
            <w:tcW w:w="1419" w:type="dxa"/>
            <w:tcBorders>
              <w:top w:val="nil"/>
              <w:left w:val="nil"/>
              <w:bottom w:val="single" w:sz="4" w:space="0" w:color="auto"/>
              <w:right w:val="single" w:sz="4" w:space="0" w:color="auto"/>
            </w:tcBorders>
            <w:shd w:val="clear" w:color="auto" w:fill="auto"/>
            <w:noWrap/>
            <w:vAlign w:val="center"/>
          </w:tcPr>
          <w:p w14:paraId="0AE25463" w14:textId="561CC26A" w:rsidR="00B86D3B" w:rsidRPr="00F83D16" w:rsidRDefault="00B86D3B" w:rsidP="00B86D3B">
            <w:pPr>
              <w:spacing w:after="0"/>
              <w:jc w:val="right"/>
              <w:rPr>
                <w:rFonts w:ascii="Arial" w:hAnsi="Arial"/>
                <w:sz w:val="16"/>
                <w:szCs w:val="16"/>
              </w:rPr>
            </w:pPr>
            <w:r w:rsidRPr="00F83D16">
              <w:rPr>
                <w:rFonts w:ascii="Arial" w:hAnsi="Arial"/>
                <w:sz w:val="16"/>
                <w:szCs w:val="16"/>
              </w:rPr>
              <w:t>119</w:t>
            </w:r>
          </w:p>
        </w:tc>
        <w:tc>
          <w:tcPr>
            <w:tcW w:w="993" w:type="dxa"/>
            <w:tcBorders>
              <w:top w:val="nil"/>
              <w:left w:val="nil"/>
              <w:bottom w:val="single" w:sz="4" w:space="0" w:color="auto"/>
              <w:right w:val="single" w:sz="4" w:space="0" w:color="auto"/>
            </w:tcBorders>
            <w:shd w:val="clear" w:color="auto" w:fill="auto"/>
            <w:noWrap/>
            <w:vAlign w:val="center"/>
          </w:tcPr>
          <w:p w14:paraId="27CC0E91" w14:textId="1B82F10E" w:rsidR="00B86D3B" w:rsidRPr="00F83D16" w:rsidRDefault="00B86D3B" w:rsidP="00B86D3B">
            <w:pPr>
              <w:spacing w:after="0"/>
              <w:jc w:val="right"/>
              <w:rPr>
                <w:rFonts w:ascii="Arial" w:hAnsi="Arial"/>
                <w:sz w:val="16"/>
                <w:szCs w:val="16"/>
              </w:rPr>
            </w:pPr>
            <w:r w:rsidRPr="00F83D16">
              <w:rPr>
                <w:rFonts w:ascii="Arial" w:hAnsi="Arial"/>
                <w:sz w:val="16"/>
                <w:szCs w:val="16"/>
              </w:rPr>
              <w:t>149</w:t>
            </w:r>
          </w:p>
        </w:tc>
        <w:tc>
          <w:tcPr>
            <w:tcW w:w="5735" w:type="dxa"/>
            <w:vMerge/>
            <w:tcBorders>
              <w:top w:val="nil"/>
              <w:left w:val="single" w:sz="4" w:space="0" w:color="auto"/>
              <w:bottom w:val="single" w:sz="4" w:space="0" w:color="auto"/>
              <w:right w:val="single" w:sz="4" w:space="0" w:color="auto"/>
            </w:tcBorders>
            <w:shd w:val="clear" w:color="auto" w:fill="auto"/>
            <w:vAlign w:val="center"/>
          </w:tcPr>
          <w:p w14:paraId="5A5797C8" w14:textId="77777777" w:rsidR="00B86D3B" w:rsidRPr="00BA1388" w:rsidRDefault="00B86D3B" w:rsidP="00B86D3B">
            <w:pPr>
              <w:spacing w:before="0" w:after="80"/>
              <w:rPr>
                <w:rFonts w:ascii="Arial" w:hAnsi="Arial"/>
                <w:sz w:val="16"/>
                <w:szCs w:val="16"/>
                <w:highlight w:val="yellow"/>
              </w:rPr>
            </w:pPr>
          </w:p>
        </w:tc>
      </w:tr>
      <w:tr w:rsidR="00B86D3B" w:rsidRPr="00BA1388" w14:paraId="3EC4082E" w14:textId="77777777" w:rsidTr="00E14A25">
        <w:trPr>
          <w:trHeight w:hRule="exact" w:val="964"/>
        </w:trPr>
        <w:tc>
          <w:tcPr>
            <w:tcW w:w="1839" w:type="dxa"/>
            <w:vMerge w:val="restart"/>
            <w:tcBorders>
              <w:top w:val="nil"/>
              <w:left w:val="single" w:sz="4" w:space="0" w:color="auto"/>
              <w:bottom w:val="single" w:sz="4" w:space="0" w:color="000000"/>
              <w:right w:val="single" w:sz="4" w:space="0" w:color="auto"/>
            </w:tcBorders>
            <w:shd w:val="clear" w:color="auto" w:fill="auto"/>
            <w:vAlign w:val="center"/>
          </w:tcPr>
          <w:p w14:paraId="194579DA" w14:textId="4ECA0E1E" w:rsidR="00B86D3B" w:rsidRPr="00643E95" w:rsidRDefault="00C460C8" w:rsidP="00B86D3B">
            <w:pPr>
              <w:spacing w:after="0"/>
              <w:rPr>
                <w:rFonts w:ascii="Arial" w:hAnsi="Arial"/>
                <w:sz w:val="16"/>
                <w:szCs w:val="16"/>
                <w:highlight w:val="yellow"/>
              </w:rPr>
            </w:pPr>
            <w:r w:rsidRPr="00C460C8">
              <w:rPr>
                <w:rFonts w:ascii="Arial" w:hAnsi="Arial"/>
                <w:sz w:val="16"/>
                <w:szCs w:val="16"/>
              </w:rPr>
              <w:t>Theatre Logistics</w:t>
            </w:r>
          </w:p>
        </w:tc>
        <w:tc>
          <w:tcPr>
            <w:tcW w:w="1135" w:type="dxa"/>
            <w:vMerge w:val="restart"/>
            <w:tcBorders>
              <w:top w:val="nil"/>
              <w:left w:val="single" w:sz="4" w:space="0" w:color="auto"/>
              <w:bottom w:val="single" w:sz="4" w:space="0" w:color="000000"/>
              <w:right w:val="single" w:sz="4" w:space="0" w:color="auto"/>
            </w:tcBorders>
            <w:shd w:val="clear" w:color="auto" w:fill="auto"/>
            <w:vAlign w:val="center"/>
          </w:tcPr>
          <w:p w14:paraId="19605D90" w14:textId="6DDEAD6C" w:rsidR="00B86D3B" w:rsidRPr="00F83D16" w:rsidRDefault="00B86D3B" w:rsidP="00B86D3B">
            <w:pPr>
              <w:spacing w:after="0"/>
              <w:jc w:val="center"/>
              <w:rPr>
                <w:rFonts w:ascii="Arial" w:hAnsi="Arial"/>
                <w:b/>
                <w:bCs/>
                <w:sz w:val="16"/>
                <w:szCs w:val="16"/>
              </w:rPr>
            </w:pPr>
            <w:r w:rsidRPr="00F83D16">
              <w:rPr>
                <w:rFonts w:ascii="Arial" w:hAnsi="Arial"/>
                <w:b/>
                <w:bCs/>
                <w:sz w:val="16"/>
                <w:szCs w:val="16"/>
              </w:rPr>
              <w:t>JP 8218</w:t>
            </w:r>
          </w:p>
        </w:tc>
        <w:tc>
          <w:tcPr>
            <w:tcW w:w="1560" w:type="dxa"/>
            <w:tcBorders>
              <w:top w:val="nil"/>
              <w:left w:val="nil"/>
              <w:bottom w:val="single" w:sz="4" w:space="0" w:color="auto"/>
              <w:right w:val="single" w:sz="4" w:space="0" w:color="auto"/>
            </w:tcBorders>
            <w:shd w:val="clear" w:color="auto" w:fill="auto"/>
            <w:vAlign w:val="center"/>
          </w:tcPr>
          <w:p w14:paraId="20F22E16" w14:textId="12AFFEC6" w:rsidR="00B86D3B" w:rsidRPr="00F83D16" w:rsidRDefault="00B86D3B" w:rsidP="00B86D3B">
            <w:pPr>
              <w:spacing w:after="0"/>
              <w:rPr>
                <w:rFonts w:ascii="Arial" w:hAnsi="Arial"/>
                <w:sz w:val="16"/>
                <w:szCs w:val="16"/>
              </w:rPr>
            </w:pPr>
            <w:r w:rsidRPr="00F83D16">
              <w:rPr>
                <w:rFonts w:ascii="Arial" w:hAnsi="Arial"/>
                <w:sz w:val="16"/>
                <w:szCs w:val="16"/>
              </w:rPr>
              <w:t>Military Equipment Acquisition</w:t>
            </w:r>
          </w:p>
        </w:tc>
        <w:tc>
          <w:tcPr>
            <w:tcW w:w="1277" w:type="dxa"/>
            <w:tcBorders>
              <w:top w:val="nil"/>
              <w:left w:val="nil"/>
              <w:bottom w:val="single" w:sz="4" w:space="0" w:color="auto"/>
              <w:right w:val="single" w:sz="4" w:space="0" w:color="auto"/>
            </w:tcBorders>
            <w:shd w:val="clear" w:color="auto" w:fill="auto"/>
            <w:noWrap/>
            <w:vAlign w:val="center"/>
          </w:tcPr>
          <w:p w14:paraId="05DED47E" w14:textId="36D08488" w:rsidR="00B86D3B" w:rsidRPr="00F83D16" w:rsidRDefault="00B86D3B" w:rsidP="00B86D3B">
            <w:pPr>
              <w:spacing w:after="0"/>
              <w:jc w:val="right"/>
              <w:rPr>
                <w:rFonts w:ascii="Arial" w:hAnsi="Arial"/>
                <w:sz w:val="16"/>
                <w:szCs w:val="16"/>
              </w:rPr>
            </w:pPr>
            <w:r w:rsidRPr="00F83D16">
              <w:rPr>
                <w:rFonts w:ascii="Arial" w:hAnsi="Arial"/>
                <w:sz w:val="16"/>
                <w:szCs w:val="16"/>
              </w:rPr>
              <w:t>8</w:t>
            </w:r>
          </w:p>
        </w:tc>
        <w:tc>
          <w:tcPr>
            <w:tcW w:w="1419" w:type="dxa"/>
            <w:tcBorders>
              <w:top w:val="nil"/>
              <w:left w:val="nil"/>
              <w:bottom w:val="single" w:sz="4" w:space="0" w:color="auto"/>
              <w:right w:val="single" w:sz="4" w:space="0" w:color="auto"/>
            </w:tcBorders>
            <w:shd w:val="clear" w:color="auto" w:fill="auto"/>
            <w:noWrap/>
            <w:vAlign w:val="center"/>
          </w:tcPr>
          <w:p w14:paraId="508A98B9" w14:textId="41FEE541" w:rsidR="00B86D3B" w:rsidRPr="00F83D16" w:rsidRDefault="00B86D3B" w:rsidP="00B86D3B">
            <w:pPr>
              <w:spacing w:after="0"/>
              <w:jc w:val="right"/>
              <w:rPr>
                <w:rFonts w:ascii="Arial" w:hAnsi="Arial"/>
                <w:sz w:val="16"/>
                <w:szCs w:val="16"/>
              </w:rPr>
            </w:pPr>
            <w:r w:rsidRPr="00F83D16">
              <w:rPr>
                <w:rFonts w:ascii="Arial" w:hAnsi="Arial"/>
                <w:sz w:val="16"/>
                <w:szCs w:val="16"/>
              </w:rPr>
              <w:t>0</w:t>
            </w:r>
          </w:p>
        </w:tc>
        <w:tc>
          <w:tcPr>
            <w:tcW w:w="993" w:type="dxa"/>
            <w:tcBorders>
              <w:top w:val="nil"/>
              <w:left w:val="nil"/>
              <w:bottom w:val="single" w:sz="4" w:space="0" w:color="auto"/>
              <w:right w:val="single" w:sz="4" w:space="0" w:color="auto"/>
            </w:tcBorders>
            <w:shd w:val="clear" w:color="auto" w:fill="auto"/>
            <w:noWrap/>
            <w:vAlign w:val="center"/>
          </w:tcPr>
          <w:p w14:paraId="7011DED3" w14:textId="110842BE" w:rsidR="00B86D3B" w:rsidRPr="00F83D16" w:rsidRDefault="00B86D3B" w:rsidP="00B86D3B">
            <w:pPr>
              <w:spacing w:after="0"/>
              <w:jc w:val="right"/>
              <w:rPr>
                <w:rFonts w:ascii="Arial" w:hAnsi="Arial"/>
                <w:sz w:val="16"/>
                <w:szCs w:val="16"/>
              </w:rPr>
            </w:pPr>
            <w:r w:rsidRPr="00F83D16">
              <w:rPr>
                <w:rFonts w:ascii="Arial" w:hAnsi="Arial"/>
                <w:sz w:val="16"/>
                <w:szCs w:val="16"/>
              </w:rPr>
              <w:t>2</w:t>
            </w:r>
          </w:p>
        </w:tc>
        <w:tc>
          <w:tcPr>
            <w:tcW w:w="5735" w:type="dxa"/>
            <w:vMerge w:val="restart"/>
            <w:tcBorders>
              <w:top w:val="nil"/>
              <w:left w:val="single" w:sz="4" w:space="0" w:color="auto"/>
              <w:bottom w:val="single" w:sz="4" w:space="0" w:color="000000"/>
              <w:right w:val="single" w:sz="4" w:space="0" w:color="auto"/>
            </w:tcBorders>
            <w:shd w:val="clear" w:color="auto" w:fill="auto"/>
            <w:vAlign w:val="center"/>
          </w:tcPr>
          <w:p w14:paraId="043DC19A" w14:textId="77777777" w:rsidR="008D2AA8" w:rsidRDefault="00C460C8" w:rsidP="008D2AA8">
            <w:pPr>
              <w:rPr>
                <w:rFonts w:ascii="Arial" w:hAnsi="Arial"/>
                <w:sz w:val="16"/>
                <w:szCs w:val="16"/>
              </w:rPr>
            </w:pPr>
            <w:r w:rsidRPr="00C460C8">
              <w:rPr>
                <w:rFonts w:ascii="Arial" w:hAnsi="Arial"/>
                <w:sz w:val="16"/>
                <w:szCs w:val="16"/>
              </w:rPr>
              <w:t>This project will incrementally deliver the theatre logistics capabilities required to sustain the ADF in protracted combat operations. This includes facilities, infrastructure, deployable assets, equipment, supplies, ICT hardware and software, and data and services.</w:t>
            </w:r>
          </w:p>
          <w:p w14:paraId="69460894" w14:textId="2E18B0A7" w:rsidR="00B86D3B" w:rsidRPr="00E14A25" w:rsidRDefault="00C460C8" w:rsidP="008D2AA8">
            <w:pPr>
              <w:rPr>
                <w:rFonts w:ascii="Arial" w:hAnsi="Arial"/>
                <w:sz w:val="16"/>
                <w:szCs w:val="16"/>
              </w:rPr>
            </w:pPr>
            <w:r w:rsidRPr="00C460C8">
              <w:rPr>
                <w:rFonts w:ascii="Arial" w:hAnsi="Arial"/>
                <w:sz w:val="16"/>
                <w:szCs w:val="16"/>
              </w:rPr>
              <w:t>During 2025-26, the project will continue to deliver increased</w:t>
            </w:r>
            <w:r>
              <w:rPr>
                <w:rFonts w:ascii="Arial" w:hAnsi="Arial"/>
              </w:rPr>
              <w:t xml:space="preserve"> </w:t>
            </w:r>
            <w:r w:rsidRPr="00C460C8">
              <w:rPr>
                <w:rFonts w:ascii="Arial" w:hAnsi="Arial"/>
                <w:sz w:val="16"/>
                <w:szCs w:val="16"/>
              </w:rPr>
              <w:t>storage, distribution, and maintenance capacity at existing logistics sites. The project will also progress detailed planning and</w:t>
            </w:r>
            <w:r>
              <w:rPr>
                <w:rFonts w:ascii="Arial" w:hAnsi="Arial"/>
              </w:rPr>
              <w:t xml:space="preserve"> </w:t>
            </w:r>
            <w:r w:rsidRPr="00C460C8">
              <w:rPr>
                <w:rFonts w:ascii="Arial" w:hAnsi="Arial"/>
                <w:sz w:val="16"/>
                <w:szCs w:val="16"/>
              </w:rPr>
              <w:t xml:space="preserve">design work for new logistics facilities, deployable logistics equipment, and logistics ICT. </w:t>
            </w:r>
          </w:p>
        </w:tc>
      </w:tr>
      <w:tr w:rsidR="00B86D3B" w:rsidRPr="00BA1388" w14:paraId="66BFCBF0" w14:textId="77777777" w:rsidTr="00E14A25">
        <w:trPr>
          <w:trHeight w:hRule="exact" w:val="964"/>
        </w:trPr>
        <w:tc>
          <w:tcPr>
            <w:tcW w:w="1839" w:type="dxa"/>
            <w:vMerge/>
            <w:tcBorders>
              <w:top w:val="nil"/>
              <w:left w:val="single" w:sz="4" w:space="0" w:color="auto"/>
              <w:bottom w:val="single" w:sz="4" w:space="0" w:color="000000"/>
              <w:right w:val="single" w:sz="4" w:space="0" w:color="auto"/>
            </w:tcBorders>
            <w:vAlign w:val="center"/>
          </w:tcPr>
          <w:p w14:paraId="017AB491" w14:textId="77777777" w:rsidR="00B86D3B" w:rsidRPr="00BA1388" w:rsidRDefault="00B86D3B" w:rsidP="00B86D3B">
            <w:pPr>
              <w:spacing w:after="0"/>
              <w:rPr>
                <w:rFonts w:ascii="Arial" w:hAnsi="Arial"/>
                <w:sz w:val="16"/>
                <w:szCs w:val="16"/>
                <w:highlight w:val="yellow"/>
              </w:rPr>
            </w:pPr>
          </w:p>
        </w:tc>
        <w:tc>
          <w:tcPr>
            <w:tcW w:w="1135" w:type="dxa"/>
            <w:vMerge/>
            <w:tcBorders>
              <w:top w:val="nil"/>
              <w:left w:val="single" w:sz="4" w:space="0" w:color="auto"/>
              <w:bottom w:val="single" w:sz="4" w:space="0" w:color="000000"/>
              <w:right w:val="single" w:sz="4" w:space="0" w:color="auto"/>
            </w:tcBorders>
            <w:vAlign w:val="center"/>
          </w:tcPr>
          <w:p w14:paraId="5B6DC8B6" w14:textId="77777777" w:rsidR="00B86D3B" w:rsidRPr="00BA1388" w:rsidRDefault="00B86D3B" w:rsidP="00B86D3B">
            <w:pPr>
              <w:spacing w:after="0"/>
              <w:rPr>
                <w:rFonts w:ascii="Arial" w:hAnsi="Arial"/>
                <w:b/>
                <w:bCs/>
                <w:sz w:val="16"/>
                <w:szCs w:val="16"/>
                <w:highlight w:val="yellow"/>
              </w:rPr>
            </w:pPr>
          </w:p>
        </w:tc>
        <w:tc>
          <w:tcPr>
            <w:tcW w:w="1560" w:type="dxa"/>
            <w:tcBorders>
              <w:top w:val="nil"/>
              <w:left w:val="nil"/>
              <w:bottom w:val="single" w:sz="4" w:space="0" w:color="auto"/>
              <w:right w:val="single" w:sz="4" w:space="0" w:color="auto"/>
            </w:tcBorders>
            <w:shd w:val="clear" w:color="auto" w:fill="auto"/>
            <w:vAlign w:val="center"/>
          </w:tcPr>
          <w:p w14:paraId="1DB9C423" w14:textId="2AFC5BF1" w:rsidR="00B86D3B" w:rsidRPr="00F83D16" w:rsidRDefault="00B86D3B" w:rsidP="00B86D3B">
            <w:pPr>
              <w:spacing w:after="0"/>
              <w:rPr>
                <w:rFonts w:ascii="Arial" w:hAnsi="Arial"/>
                <w:sz w:val="16"/>
                <w:szCs w:val="16"/>
              </w:rPr>
            </w:pPr>
            <w:r w:rsidRPr="00F83D16">
              <w:rPr>
                <w:rFonts w:ascii="Arial" w:hAnsi="Arial"/>
                <w:sz w:val="16"/>
                <w:szCs w:val="16"/>
              </w:rPr>
              <w:t>Other Project Inputs to Capability</w:t>
            </w:r>
          </w:p>
        </w:tc>
        <w:tc>
          <w:tcPr>
            <w:tcW w:w="1277" w:type="dxa"/>
            <w:tcBorders>
              <w:top w:val="nil"/>
              <w:left w:val="nil"/>
              <w:bottom w:val="single" w:sz="4" w:space="0" w:color="auto"/>
              <w:right w:val="single" w:sz="4" w:space="0" w:color="auto"/>
            </w:tcBorders>
            <w:shd w:val="clear" w:color="auto" w:fill="auto"/>
            <w:noWrap/>
            <w:vAlign w:val="center"/>
          </w:tcPr>
          <w:p w14:paraId="7AA645BB" w14:textId="6FC74A4F" w:rsidR="00B86D3B" w:rsidRPr="00F83D16" w:rsidRDefault="00B86D3B" w:rsidP="00B86D3B">
            <w:pPr>
              <w:spacing w:after="0"/>
              <w:jc w:val="right"/>
              <w:rPr>
                <w:rFonts w:ascii="Arial" w:hAnsi="Arial"/>
                <w:sz w:val="16"/>
                <w:szCs w:val="16"/>
              </w:rPr>
            </w:pPr>
            <w:r w:rsidRPr="00F83D16">
              <w:rPr>
                <w:rFonts w:ascii="Arial" w:hAnsi="Arial"/>
                <w:sz w:val="16"/>
                <w:szCs w:val="16"/>
              </w:rPr>
              <w:t>413</w:t>
            </w:r>
          </w:p>
        </w:tc>
        <w:tc>
          <w:tcPr>
            <w:tcW w:w="1419" w:type="dxa"/>
            <w:tcBorders>
              <w:top w:val="nil"/>
              <w:left w:val="nil"/>
              <w:bottom w:val="single" w:sz="4" w:space="0" w:color="auto"/>
              <w:right w:val="single" w:sz="4" w:space="0" w:color="auto"/>
            </w:tcBorders>
            <w:shd w:val="clear" w:color="auto" w:fill="auto"/>
            <w:noWrap/>
            <w:vAlign w:val="center"/>
          </w:tcPr>
          <w:p w14:paraId="57CE2106" w14:textId="7580C8DF" w:rsidR="00B86D3B" w:rsidRPr="00F83D16" w:rsidRDefault="00B86D3B" w:rsidP="00B86D3B">
            <w:pPr>
              <w:spacing w:after="0"/>
              <w:jc w:val="right"/>
              <w:rPr>
                <w:rFonts w:ascii="Arial" w:hAnsi="Arial"/>
                <w:sz w:val="16"/>
                <w:szCs w:val="16"/>
              </w:rPr>
            </w:pPr>
            <w:r w:rsidRPr="00F83D16">
              <w:rPr>
                <w:rFonts w:ascii="Arial" w:hAnsi="Arial"/>
                <w:sz w:val="16"/>
                <w:szCs w:val="16"/>
              </w:rPr>
              <w:t>74</w:t>
            </w:r>
          </w:p>
        </w:tc>
        <w:tc>
          <w:tcPr>
            <w:tcW w:w="993" w:type="dxa"/>
            <w:tcBorders>
              <w:top w:val="nil"/>
              <w:left w:val="nil"/>
              <w:bottom w:val="single" w:sz="4" w:space="0" w:color="auto"/>
              <w:right w:val="single" w:sz="4" w:space="0" w:color="auto"/>
            </w:tcBorders>
            <w:shd w:val="clear" w:color="auto" w:fill="auto"/>
            <w:noWrap/>
            <w:vAlign w:val="center"/>
          </w:tcPr>
          <w:p w14:paraId="19D5DA65" w14:textId="63BC818E" w:rsidR="00B86D3B" w:rsidRPr="00F83D16" w:rsidRDefault="00B86D3B" w:rsidP="00B86D3B">
            <w:pPr>
              <w:spacing w:after="0"/>
              <w:jc w:val="right"/>
              <w:rPr>
                <w:rFonts w:ascii="Arial" w:hAnsi="Arial"/>
                <w:sz w:val="16"/>
                <w:szCs w:val="16"/>
              </w:rPr>
            </w:pPr>
            <w:r w:rsidRPr="00F83D16">
              <w:rPr>
                <w:rFonts w:ascii="Arial" w:hAnsi="Arial"/>
                <w:sz w:val="16"/>
                <w:szCs w:val="16"/>
              </w:rPr>
              <w:t>221</w:t>
            </w:r>
          </w:p>
        </w:tc>
        <w:tc>
          <w:tcPr>
            <w:tcW w:w="5735" w:type="dxa"/>
            <w:vMerge/>
            <w:tcBorders>
              <w:top w:val="nil"/>
              <w:left w:val="single" w:sz="4" w:space="0" w:color="auto"/>
              <w:bottom w:val="single" w:sz="4" w:space="0" w:color="000000"/>
              <w:right w:val="single" w:sz="4" w:space="0" w:color="auto"/>
            </w:tcBorders>
            <w:vAlign w:val="center"/>
          </w:tcPr>
          <w:p w14:paraId="3C2807CB" w14:textId="77777777" w:rsidR="00B86D3B" w:rsidRPr="00BA1388" w:rsidRDefault="00B86D3B" w:rsidP="00B86D3B">
            <w:pPr>
              <w:spacing w:before="0" w:after="80"/>
              <w:rPr>
                <w:rFonts w:ascii="Arial" w:hAnsi="Arial"/>
                <w:sz w:val="16"/>
                <w:szCs w:val="16"/>
                <w:highlight w:val="yellow"/>
              </w:rPr>
            </w:pPr>
          </w:p>
        </w:tc>
      </w:tr>
      <w:tr w:rsidR="00B86D3B" w:rsidRPr="00BA1388" w14:paraId="00632C83" w14:textId="77777777" w:rsidTr="00E14A25">
        <w:trPr>
          <w:trHeight w:hRule="exact" w:val="396"/>
        </w:trPr>
        <w:tc>
          <w:tcPr>
            <w:tcW w:w="13958" w:type="dxa"/>
            <w:gridSpan w:val="7"/>
            <w:tcBorders>
              <w:top w:val="nil"/>
              <w:left w:val="single" w:sz="4" w:space="0" w:color="auto"/>
              <w:bottom w:val="single" w:sz="4" w:space="0" w:color="auto"/>
              <w:right w:val="single" w:sz="4" w:space="0" w:color="auto"/>
            </w:tcBorders>
            <w:shd w:val="clear" w:color="auto" w:fill="D9D9D9" w:themeFill="background1" w:themeFillShade="D9"/>
            <w:vAlign w:val="center"/>
          </w:tcPr>
          <w:p w14:paraId="4A001645" w14:textId="0B883B51" w:rsidR="00B86D3B" w:rsidRPr="00F83D16" w:rsidRDefault="00B86D3B" w:rsidP="00B86D3B">
            <w:pPr>
              <w:pageBreakBefore/>
              <w:spacing w:before="0" w:after="80"/>
              <w:rPr>
                <w:rFonts w:ascii="Arial" w:hAnsi="Arial"/>
                <w:sz w:val="16"/>
                <w:szCs w:val="16"/>
              </w:rPr>
            </w:pPr>
            <w:r w:rsidRPr="00F83D16">
              <w:rPr>
                <w:rFonts w:ascii="Arial" w:hAnsi="Arial"/>
                <w:b/>
                <w:bCs/>
                <w:sz w:val="16"/>
                <w:szCs w:val="16"/>
              </w:rPr>
              <w:lastRenderedPageBreak/>
              <w:t>Information and Cyber</w:t>
            </w:r>
            <w:r w:rsidRPr="00F83D16">
              <w:rPr>
                <w:rFonts w:ascii="Arial" w:hAnsi="Arial"/>
                <w:sz w:val="16"/>
                <w:szCs w:val="16"/>
              </w:rPr>
              <w:t> </w:t>
            </w:r>
          </w:p>
        </w:tc>
      </w:tr>
      <w:tr w:rsidR="00B86D3B" w:rsidRPr="00202446" w14:paraId="2A944631" w14:textId="77777777" w:rsidTr="00E14A25">
        <w:trPr>
          <w:trHeight w:hRule="exact" w:val="794"/>
        </w:trPr>
        <w:tc>
          <w:tcPr>
            <w:tcW w:w="1839" w:type="dxa"/>
            <w:vMerge w:val="restart"/>
            <w:tcBorders>
              <w:top w:val="nil"/>
              <w:left w:val="single" w:sz="4" w:space="0" w:color="auto"/>
              <w:bottom w:val="single" w:sz="4" w:space="0" w:color="auto"/>
              <w:right w:val="single" w:sz="4" w:space="0" w:color="auto"/>
            </w:tcBorders>
            <w:shd w:val="clear" w:color="auto" w:fill="auto"/>
            <w:vAlign w:val="center"/>
          </w:tcPr>
          <w:p w14:paraId="66FFA42E" w14:textId="43F31257" w:rsidR="00B86D3B" w:rsidRPr="00F83D16" w:rsidRDefault="00B86D3B" w:rsidP="00D73F23">
            <w:pPr>
              <w:spacing w:after="0"/>
              <w:rPr>
                <w:rFonts w:ascii="Arial" w:hAnsi="Arial"/>
                <w:sz w:val="16"/>
                <w:szCs w:val="16"/>
              </w:rPr>
            </w:pPr>
            <w:r w:rsidRPr="00202446">
              <w:rPr>
                <w:rFonts w:ascii="Arial" w:hAnsi="Arial"/>
                <w:sz w:val="16"/>
                <w:szCs w:val="16"/>
              </w:rPr>
              <w:t>Communications Security Modernisation</w:t>
            </w:r>
            <w:r w:rsidR="00202446">
              <w:rPr>
                <w:rFonts w:ascii="Arial" w:hAnsi="Arial"/>
                <w:sz w:val="16"/>
                <w:szCs w:val="16"/>
              </w:rPr>
              <w:t xml:space="preserve"> </w:t>
            </w:r>
          </w:p>
        </w:tc>
        <w:tc>
          <w:tcPr>
            <w:tcW w:w="1135" w:type="dxa"/>
            <w:vMerge w:val="restart"/>
            <w:tcBorders>
              <w:top w:val="nil"/>
              <w:left w:val="single" w:sz="4" w:space="0" w:color="auto"/>
              <w:bottom w:val="single" w:sz="4" w:space="0" w:color="auto"/>
              <w:right w:val="single" w:sz="4" w:space="0" w:color="auto"/>
            </w:tcBorders>
            <w:shd w:val="clear" w:color="auto" w:fill="auto"/>
            <w:vAlign w:val="center"/>
          </w:tcPr>
          <w:p w14:paraId="784A6B6C" w14:textId="031E81E6" w:rsidR="00B86D3B" w:rsidRPr="00F83D16" w:rsidRDefault="00B86D3B" w:rsidP="00B86D3B">
            <w:pPr>
              <w:spacing w:after="0"/>
              <w:jc w:val="center"/>
              <w:rPr>
                <w:rFonts w:ascii="Arial" w:hAnsi="Arial"/>
                <w:b/>
                <w:bCs/>
                <w:sz w:val="16"/>
                <w:szCs w:val="16"/>
              </w:rPr>
            </w:pPr>
            <w:r w:rsidRPr="00F83D16">
              <w:rPr>
                <w:rFonts w:ascii="Arial" w:hAnsi="Arial"/>
                <w:b/>
                <w:bCs/>
                <w:sz w:val="16"/>
                <w:szCs w:val="16"/>
              </w:rPr>
              <w:t>JP 9141</w:t>
            </w:r>
          </w:p>
        </w:tc>
        <w:tc>
          <w:tcPr>
            <w:tcW w:w="1560" w:type="dxa"/>
            <w:tcBorders>
              <w:top w:val="nil"/>
              <w:left w:val="nil"/>
              <w:bottom w:val="single" w:sz="4" w:space="0" w:color="auto"/>
              <w:right w:val="single" w:sz="4" w:space="0" w:color="auto"/>
            </w:tcBorders>
            <w:shd w:val="clear" w:color="auto" w:fill="auto"/>
            <w:vAlign w:val="center"/>
          </w:tcPr>
          <w:p w14:paraId="5A0811F5" w14:textId="446A125F" w:rsidR="00B86D3B" w:rsidRPr="00F83D16" w:rsidRDefault="00B86D3B" w:rsidP="00B86D3B">
            <w:pPr>
              <w:spacing w:after="0"/>
              <w:rPr>
                <w:rFonts w:ascii="Arial" w:hAnsi="Arial"/>
                <w:sz w:val="16"/>
                <w:szCs w:val="16"/>
              </w:rPr>
            </w:pPr>
            <w:r w:rsidRPr="00F83D16">
              <w:rPr>
                <w:rFonts w:ascii="Arial" w:hAnsi="Arial"/>
                <w:sz w:val="16"/>
                <w:szCs w:val="16"/>
              </w:rPr>
              <w:t>Military Equipment Acquisition</w:t>
            </w:r>
          </w:p>
        </w:tc>
        <w:tc>
          <w:tcPr>
            <w:tcW w:w="1277" w:type="dxa"/>
            <w:tcBorders>
              <w:top w:val="nil"/>
              <w:left w:val="nil"/>
              <w:bottom w:val="single" w:sz="4" w:space="0" w:color="auto"/>
              <w:right w:val="single" w:sz="4" w:space="0" w:color="auto"/>
            </w:tcBorders>
            <w:shd w:val="clear" w:color="auto" w:fill="auto"/>
            <w:noWrap/>
            <w:vAlign w:val="center"/>
          </w:tcPr>
          <w:p w14:paraId="02A5CA6F" w14:textId="344FB1BB" w:rsidR="00B86D3B" w:rsidRPr="00F83D16" w:rsidRDefault="00B86D3B" w:rsidP="00B86D3B">
            <w:pPr>
              <w:spacing w:after="0"/>
              <w:jc w:val="right"/>
              <w:rPr>
                <w:rFonts w:ascii="Arial" w:hAnsi="Arial"/>
                <w:sz w:val="16"/>
                <w:szCs w:val="16"/>
              </w:rPr>
            </w:pPr>
            <w:r w:rsidRPr="00F83D16">
              <w:rPr>
                <w:rFonts w:ascii="Arial" w:hAnsi="Arial"/>
                <w:sz w:val="16"/>
                <w:szCs w:val="16"/>
              </w:rPr>
              <w:t>1,329</w:t>
            </w:r>
          </w:p>
        </w:tc>
        <w:tc>
          <w:tcPr>
            <w:tcW w:w="1419" w:type="dxa"/>
            <w:tcBorders>
              <w:top w:val="nil"/>
              <w:left w:val="nil"/>
              <w:bottom w:val="single" w:sz="4" w:space="0" w:color="auto"/>
              <w:right w:val="single" w:sz="4" w:space="0" w:color="auto"/>
            </w:tcBorders>
            <w:shd w:val="clear" w:color="auto" w:fill="auto"/>
            <w:noWrap/>
            <w:vAlign w:val="center"/>
          </w:tcPr>
          <w:p w14:paraId="2D53C36A" w14:textId="7062225B" w:rsidR="00B86D3B" w:rsidRPr="00F83D16" w:rsidRDefault="00B86D3B" w:rsidP="00B86D3B">
            <w:pPr>
              <w:spacing w:after="0"/>
              <w:jc w:val="right"/>
              <w:rPr>
                <w:rFonts w:ascii="Arial" w:hAnsi="Arial"/>
                <w:sz w:val="16"/>
                <w:szCs w:val="16"/>
              </w:rPr>
            </w:pPr>
            <w:r w:rsidRPr="00F83D16">
              <w:rPr>
                <w:rFonts w:ascii="Arial" w:hAnsi="Arial"/>
                <w:sz w:val="16"/>
                <w:szCs w:val="16"/>
              </w:rPr>
              <w:t>796</w:t>
            </w:r>
          </w:p>
        </w:tc>
        <w:tc>
          <w:tcPr>
            <w:tcW w:w="993" w:type="dxa"/>
            <w:tcBorders>
              <w:top w:val="nil"/>
              <w:left w:val="nil"/>
              <w:bottom w:val="single" w:sz="4" w:space="0" w:color="auto"/>
              <w:right w:val="single" w:sz="4" w:space="0" w:color="auto"/>
            </w:tcBorders>
            <w:shd w:val="clear" w:color="auto" w:fill="auto"/>
            <w:noWrap/>
            <w:vAlign w:val="center"/>
          </w:tcPr>
          <w:p w14:paraId="017C911B" w14:textId="7FCCEB93" w:rsidR="00B86D3B" w:rsidRPr="00F83D16" w:rsidRDefault="00B86D3B" w:rsidP="00B86D3B">
            <w:pPr>
              <w:spacing w:after="0"/>
              <w:jc w:val="right"/>
              <w:rPr>
                <w:rFonts w:ascii="Arial" w:hAnsi="Arial"/>
                <w:sz w:val="16"/>
                <w:szCs w:val="16"/>
              </w:rPr>
            </w:pPr>
            <w:r w:rsidRPr="00F83D16">
              <w:rPr>
                <w:rFonts w:ascii="Arial" w:hAnsi="Arial"/>
                <w:sz w:val="16"/>
                <w:szCs w:val="16"/>
              </w:rPr>
              <w:t>168</w:t>
            </w:r>
          </w:p>
        </w:tc>
        <w:tc>
          <w:tcPr>
            <w:tcW w:w="5735" w:type="dxa"/>
            <w:vMerge w:val="restart"/>
            <w:tcBorders>
              <w:top w:val="single" w:sz="4" w:space="0" w:color="000000"/>
              <w:left w:val="single" w:sz="4" w:space="0" w:color="auto"/>
              <w:bottom w:val="single" w:sz="4" w:space="0" w:color="auto"/>
              <w:right w:val="single" w:sz="4" w:space="0" w:color="auto"/>
            </w:tcBorders>
            <w:shd w:val="clear" w:color="auto" w:fill="auto"/>
            <w:vAlign w:val="center"/>
          </w:tcPr>
          <w:p w14:paraId="562E3FCD" w14:textId="151E17C2" w:rsidR="00202446" w:rsidRPr="00202446" w:rsidRDefault="00202446" w:rsidP="00202446">
            <w:pPr>
              <w:keepNext/>
              <w:keepLines/>
              <w:rPr>
                <w:rFonts w:ascii="Arial" w:hAnsi="Arial"/>
                <w:sz w:val="16"/>
                <w:szCs w:val="16"/>
              </w:rPr>
            </w:pPr>
            <w:r w:rsidRPr="00202446">
              <w:rPr>
                <w:rFonts w:ascii="Arial" w:hAnsi="Arial"/>
                <w:sz w:val="16"/>
                <w:szCs w:val="16"/>
              </w:rPr>
              <w:t>This project will remediate and modernise selected ADF radios. This will ensure ongoing availability of secure communications in support of Defence operations, and interoperability with key partner communications and intelligence networks.</w:t>
            </w:r>
          </w:p>
          <w:p w14:paraId="3D060255" w14:textId="4752814D" w:rsidR="00B86D3B" w:rsidRPr="00202446" w:rsidRDefault="00202446" w:rsidP="00202446">
            <w:pPr>
              <w:spacing w:before="0" w:after="80"/>
              <w:rPr>
                <w:rFonts w:ascii="Arial" w:hAnsi="Arial"/>
                <w:sz w:val="16"/>
                <w:szCs w:val="16"/>
                <w:highlight w:val="yellow"/>
              </w:rPr>
            </w:pPr>
            <w:r w:rsidRPr="00202446">
              <w:rPr>
                <w:rFonts w:ascii="Arial" w:hAnsi="Arial"/>
                <w:sz w:val="16"/>
                <w:szCs w:val="16"/>
              </w:rPr>
              <w:t>During 2025-26, the project will continue to upgrade secure communications on ADF platforms and facilities with the focus on the delivery of training and software updates to provide upgraded waveforms.</w:t>
            </w:r>
          </w:p>
        </w:tc>
      </w:tr>
      <w:tr w:rsidR="00B86D3B" w:rsidRPr="00202446" w14:paraId="37F08029" w14:textId="77777777" w:rsidTr="00D73F23">
        <w:trPr>
          <w:trHeight w:hRule="exact" w:val="786"/>
        </w:trPr>
        <w:tc>
          <w:tcPr>
            <w:tcW w:w="1839" w:type="dxa"/>
            <w:vMerge/>
            <w:tcBorders>
              <w:top w:val="single" w:sz="4" w:space="0" w:color="auto"/>
              <w:left w:val="single" w:sz="4" w:space="0" w:color="auto"/>
              <w:bottom w:val="single" w:sz="4" w:space="0" w:color="auto"/>
              <w:right w:val="single" w:sz="4" w:space="0" w:color="auto"/>
            </w:tcBorders>
            <w:vAlign w:val="center"/>
          </w:tcPr>
          <w:p w14:paraId="155596BA" w14:textId="77777777" w:rsidR="00B86D3B" w:rsidRPr="00F83D16" w:rsidRDefault="00B86D3B" w:rsidP="00B86D3B">
            <w:pPr>
              <w:spacing w:after="0"/>
              <w:rPr>
                <w:rFonts w:ascii="Arial" w:hAnsi="Arial"/>
                <w:sz w:val="16"/>
                <w:szCs w:val="16"/>
              </w:rPr>
            </w:pPr>
          </w:p>
        </w:tc>
        <w:tc>
          <w:tcPr>
            <w:tcW w:w="1135" w:type="dxa"/>
            <w:vMerge/>
            <w:tcBorders>
              <w:top w:val="single" w:sz="4" w:space="0" w:color="auto"/>
              <w:left w:val="single" w:sz="4" w:space="0" w:color="auto"/>
              <w:bottom w:val="single" w:sz="4" w:space="0" w:color="auto"/>
              <w:right w:val="single" w:sz="4" w:space="0" w:color="auto"/>
            </w:tcBorders>
            <w:vAlign w:val="center"/>
          </w:tcPr>
          <w:p w14:paraId="0F8417A5" w14:textId="77777777" w:rsidR="00B86D3B" w:rsidRPr="00F83D16" w:rsidRDefault="00B86D3B" w:rsidP="00B86D3B">
            <w:pPr>
              <w:spacing w:after="0"/>
              <w:rPr>
                <w:rFonts w:ascii="Arial" w:hAnsi="Arial"/>
                <w:b/>
                <w:bCs/>
                <w:sz w:val="16"/>
                <w:szCs w:val="16"/>
              </w:rPr>
            </w:pPr>
          </w:p>
        </w:tc>
        <w:tc>
          <w:tcPr>
            <w:tcW w:w="1560" w:type="dxa"/>
            <w:tcBorders>
              <w:top w:val="single" w:sz="4" w:space="0" w:color="auto"/>
              <w:left w:val="nil"/>
              <w:bottom w:val="single" w:sz="4" w:space="0" w:color="auto"/>
              <w:right w:val="single" w:sz="4" w:space="0" w:color="auto"/>
            </w:tcBorders>
            <w:shd w:val="clear" w:color="auto" w:fill="auto"/>
            <w:vAlign w:val="center"/>
          </w:tcPr>
          <w:p w14:paraId="598BBFA6" w14:textId="7376639B" w:rsidR="00B86D3B" w:rsidRPr="00F83D16" w:rsidRDefault="00B86D3B" w:rsidP="00B86D3B">
            <w:pPr>
              <w:spacing w:after="0"/>
              <w:rPr>
                <w:rFonts w:ascii="Arial" w:hAnsi="Arial"/>
                <w:sz w:val="16"/>
                <w:szCs w:val="16"/>
              </w:rPr>
            </w:pPr>
            <w:r w:rsidRPr="00F83D16">
              <w:rPr>
                <w:rFonts w:ascii="Arial" w:hAnsi="Arial"/>
                <w:sz w:val="16"/>
                <w:szCs w:val="16"/>
              </w:rPr>
              <w:t>Other Project Inputs to Capability</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614431AC" w14:textId="1FD81F3B" w:rsidR="00B86D3B" w:rsidRPr="00F83D16" w:rsidRDefault="00B86D3B" w:rsidP="00B86D3B">
            <w:pPr>
              <w:spacing w:after="0"/>
              <w:jc w:val="right"/>
              <w:rPr>
                <w:rFonts w:ascii="Arial" w:hAnsi="Arial"/>
                <w:sz w:val="16"/>
                <w:szCs w:val="16"/>
              </w:rPr>
            </w:pPr>
            <w:r w:rsidRPr="00F83D16">
              <w:rPr>
                <w:rFonts w:ascii="Arial" w:hAnsi="Arial"/>
                <w:sz w:val="16"/>
                <w:szCs w:val="16"/>
              </w:rPr>
              <w:t>94</w:t>
            </w:r>
          </w:p>
        </w:tc>
        <w:tc>
          <w:tcPr>
            <w:tcW w:w="1419" w:type="dxa"/>
            <w:tcBorders>
              <w:top w:val="single" w:sz="4" w:space="0" w:color="auto"/>
              <w:left w:val="nil"/>
              <w:bottom w:val="single" w:sz="4" w:space="0" w:color="auto"/>
              <w:right w:val="single" w:sz="4" w:space="0" w:color="auto"/>
            </w:tcBorders>
            <w:shd w:val="clear" w:color="auto" w:fill="auto"/>
            <w:noWrap/>
            <w:vAlign w:val="center"/>
          </w:tcPr>
          <w:p w14:paraId="103282AE" w14:textId="4132DFE4" w:rsidR="00B86D3B" w:rsidRPr="00F83D16" w:rsidRDefault="00B86D3B" w:rsidP="00B86D3B">
            <w:pPr>
              <w:spacing w:after="0"/>
              <w:jc w:val="right"/>
              <w:rPr>
                <w:rFonts w:ascii="Arial" w:hAnsi="Arial"/>
                <w:sz w:val="16"/>
                <w:szCs w:val="16"/>
              </w:rPr>
            </w:pPr>
            <w:r w:rsidRPr="00F83D16">
              <w:rPr>
                <w:rFonts w:ascii="Arial" w:hAnsi="Arial"/>
                <w:sz w:val="16"/>
                <w:szCs w:val="16"/>
              </w:rPr>
              <w:t>35</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7CCC15F7" w14:textId="57C41647" w:rsidR="00B86D3B" w:rsidRPr="00F83D16" w:rsidRDefault="00B86D3B" w:rsidP="00B86D3B">
            <w:pPr>
              <w:spacing w:after="0"/>
              <w:jc w:val="right"/>
              <w:rPr>
                <w:rFonts w:ascii="Arial" w:hAnsi="Arial"/>
                <w:sz w:val="16"/>
                <w:szCs w:val="16"/>
              </w:rPr>
            </w:pPr>
            <w:r w:rsidRPr="00F83D16">
              <w:rPr>
                <w:rFonts w:ascii="Arial" w:hAnsi="Arial"/>
                <w:sz w:val="16"/>
                <w:szCs w:val="16"/>
              </w:rPr>
              <w:t>9</w:t>
            </w:r>
          </w:p>
        </w:tc>
        <w:tc>
          <w:tcPr>
            <w:tcW w:w="5735" w:type="dxa"/>
            <w:vMerge/>
            <w:tcBorders>
              <w:top w:val="single" w:sz="4" w:space="0" w:color="auto"/>
              <w:left w:val="single" w:sz="4" w:space="0" w:color="auto"/>
              <w:bottom w:val="single" w:sz="4" w:space="0" w:color="auto"/>
              <w:right w:val="single" w:sz="4" w:space="0" w:color="auto"/>
            </w:tcBorders>
            <w:vAlign w:val="center"/>
          </w:tcPr>
          <w:p w14:paraId="3C738CE2" w14:textId="77777777" w:rsidR="00B86D3B" w:rsidRPr="00202446" w:rsidRDefault="00B86D3B" w:rsidP="00B86D3B">
            <w:pPr>
              <w:spacing w:before="0" w:after="80"/>
              <w:rPr>
                <w:rFonts w:ascii="Arial" w:hAnsi="Arial"/>
                <w:sz w:val="16"/>
                <w:szCs w:val="16"/>
                <w:highlight w:val="yellow"/>
              </w:rPr>
            </w:pPr>
          </w:p>
        </w:tc>
      </w:tr>
      <w:tr w:rsidR="00B86D3B" w:rsidRPr="00BA1388" w14:paraId="3C236EF6" w14:textId="77777777" w:rsidTr="00954C72">
        <w:trPr>
          <w:trHeight w:hRule="exact" w:val="301"/>
        </w:trPr>
        <w:tc>
          <w:tcPr>
            <w:tcW w:w="13958" w:type="dxa"/>
            <w:gridSpan w:val="7"/>
            <w:tcBorders>
              <w:top w:val="nil"/>
              <w:left w:val="single" w:sz="4" w:space="0" w:color="auto"/>
              <w:bottom w:val="single" w:sz="4" w:space="0" w:color="auto"/>
              <w:right w:val="single" w:sz="4" w:space="0" w:color="auto"/>
            </w:tcBorders>
            <w:shd w:val="clear" w:color="000000" w:fill="E6E6E6"/>
            <w:noWrap/>
            <w:vAlign w:val="center"/>
            <w:hideMark/>
          </w:tcPr>
          <w:p w14:paraId="2071785E" w14:textId="77777777" w:rsidR="00B86D3B" w:rsidRPr="00A91845" w:rsidRDefault="00B86D3B" w:rsidP="00DE289E">
            <w:pPr>
              <w:spacing w:before="0" w:after="0"/>
              <w:rPr>
                <w:rFonts w:ascii="Arial" w:hAnsi="Arial"/>
                <w:sz w:val="16"/>
                <w:szCs w:val="16"/>
              </w:rPr>
            </w:pPr>
            <w:r w:rsidRPr="00A91845">
              <w:rPr>
                <w:rFonts w:ascii="Arial" w:hAnsi="Arial"/>
                <w:b/>
                <w:bCs/>
                <w:sz w:val="16"/>
                <w:szCs w:val="16"/>
              </w:rPr>
              <w:t>Land Domain</w:t>
            </w:r>
          </w:p>
        </w:tc>
      </w:tr>
      <w:tr w:rsidR="00B86D3B" w:rsidRPr="00BA1388" w14:paraId="06102C6D" w14:textId="77777777" w:rsidTr="00F67496">
        <w:trPr>
          <w:trHeight w:hRule="exact" w:val="1396"/>
        </w:trPr>
        <w:tc>
          <w:tcPr>
            <w:tcW w:w="1839" w:type="dxa"/>
            <w:vMerge w:val="restart"/>
            <w:tcBorders>
              <w:top w:val="nil"/>
              <w:left w:val="single" w:sz="4" w:space="0" w:color="auto"/>
              <w:bottom w:val="single" w:sz="4" w:space="0" w:color="000000"/>
              <w:right w:val="single" w:sz="4" w:space="0" w:color="auto"/>
            </w:tcBorders>
            <w:shd w:val="clear" w:color="auto" w:fill="auto"/>
            <w:vAlign w:val="center"/>
            <w:hideMark/>
          </w:tcPr>
          <w:p w14:paraId="3664B1C7" w14:textId="278F00D5" w:rsidR="00B86D3B" w:rsidRPr="00EC2CA0" w:rsidRDefault="00B86D3B" w:rsidP="00DE289E">
            <w:pPr>
              <w:spacing w:after="0"/>
              <w:rPr>
                <w:rFonts w:ascii="Arial" w:hAnsi="Arial"/>
                <w:sz w:val="16"/>
                <w:szCs w:val="16"/>
              </w:rPr>
            </w:pPr>
            <w:r w:rsidRPr="00EC2CA0">
              <w:rPr>
                <w:rFonts w:ascii="Arial" w:hAnsi="Arial"/>
                <w:sz w:val="16"/>
                <w:szCs w:val="16"/>
              </w:rPr>
              <w:t>Boxer Combat Reconnaissance Vehicles</w:t>
            </w:r>
          </w:p>
        </w:tc>
        <w:tc>
          <w:tcPr>
            <w:tcW w:w="1135" w:type="dxa"/>
            <w:vMerge w:val="restart"/>
            <w:tcBorders>
              <w:top w:val="nil"/>
              <w:left w:val="single" w:sz="4" w:space="0" w:color="auto"/>
              <w:bottom w:val="single" w:sz="4" w:space="0" w:color="000000"/>
              <w:right w:val="single" w:sz="4" w:space="0" w:color="auto"/>
            </w:tcBorders>
            <w:shd w:val="clear" w:color="auto" w:fill="auto"/>
            <w:vAlign w:val="center"/>
            <w:hideMark/>
          </w:tcPr>
          <w:p w14:paraId="5004F409" w14:textId="77777777" w:rsidR="00B86D3B" w:rsidRPr="00EC2CA0" w:rsidRDefault="00B86D3B" w:rsidP="00DE289E">
            <w:pPr>
              <w:spacing w:after="0"/>
              <w:jc w:val="center"/>
              <w:rPr>
                <w:rFonts w:ascii="Arial" w:hAnsi="Arial"/>
                <w:b/>
                <w:bCs/>
                <w:sz w:val="16"/>
                <w:szCs w:val="16"/>
              </w:rPr>
            </w:pPr>
            <w:r w:rsidRPr="00EC2CA0">
              <w:rPr>
                <w:rFonts w:ascii="Arial" w:hAnsi="Arial"/>
                <w:b/>
                <w:bCs/>
                <w:sz w:val="16"/>
                <w:szCs w:val="16"/>
              </w:rPr>
              <w:t>LAND 400 Phase 2</w:t>
            </w:r>
          </w:p>
        </w:tc>
        <w:tc>
          <w:tcPr>
            <w:tcW w:w="1560" w:type="dxa"/>
            <w:tcBorders>
              <w:top w:val="nil"/>
              <w:left w:val="nil"/>
              <w:bottom w:val="single" w:sz="4" w:space="0" w:color="auto"/>
              <w:right w:val="single" w:sz="4" w:space="0" w:color="auto"/>
            </w:tcBorders>
            <w:shd w:val="clear" w:color="auto" w:fill="auto"/>
            <w:vAlign w:val="center"/>
            <w:hideMark/>
          </w:tcPr>
          <w:p w14:paraId="6912E7D1" w14:textId="77777777" w:rsidR="00B86D3B" w:rsidRPr="00F83D16" w:rsidRDefault="00B86D3B" w:rsidP="00DE289E">
            <w:pPr>
              <w:spacing w:after="0"/>
              <w:rPr>
                <w:rFonts w:ascii="Arial" w:hAnsi="Arial"/>
                <w:sz w:val="16"/>
                <w:szCs w:val="16"/>
              </w:rPr>
            </w:pPr>
            <w:r w:rsidRPr="00F83D16">
              <w:rPr>
                <w:rFonts w:ascii="Arial" w:hAnsi="Arial"/>
                <w:sz w:val="16"/>
                <w:szCs w:val="16"/>
              </w:rPr>
              <w:t>Military Equipment Acquisition</w:t>
            </w:r>
          </w:p>
        </w:tc>
        <w:tc>
          <w:tcPr>
            <w:tcW w:w="1277" w:type="dxa"/>
            <w:tcBorders>
              <w:top w:val="nil"/>
              <w:left w:val="nil"/>
              <w:bottom w:val="single" w:sz="4" w:space="0" w:color="auto"/>
              <w:right w:val="single" w:sz="4" w:space="0" w:color="auto"/>
            </w:tcBorders>
            <w:shd w:val="clear" w:color="auto" w:fill="auto"/>
            <w:noWrap/>
            <w:vAlign w:val="center"/>
            <w:hideMark/>
          </w:tcPr>
          <w:p w14:paraId="15542202" w14:textId="27865252" w:rsidR="00B86D3B" w:rsidRPr="00F83D16" w:rsidRDefault="00B86D3B" w:rsidP="00DE289E">
            <w:pPr>
              <w:spacing w:after="0"/>
              <w:jc w:val="right"/>
              <w:rPr>
                <w:rFonts w:ascii="Arial" w:hAnsi="Arial"/>
                <w:sz w:val="16"/>
                <w:szCs w:val="16"/>
              </w:rPr>
            </w:pPr>
            <w:r w:rsidRPr="00F83D16">
              <w:rPr>
                <w:rFonts w:ascii="Arial" w:hAnsi="Arial"/>
                <w:sz w:val="16"/>
                <w:szCs w:val="16"/>
              </w:rPr>
              <w:t>5,780</w:t>
            </w:r>
          </w:p>
        </w:tc>
        <w:tc>
          <w:tcPr>
            <w:tcW w:w="1419" w:type="dxa"/>
            <w:tcBorders>
              <w:top w:val="nil"/>
              <w:left w:val="nil"/>
              <w:bottom w:val="single" w:sz="4" w:space="0" w:color="auto"/>
              <w:right w:val="single" w:sz="4" w:space="0" w:color="auto"/>
            </w:tcBorders>
            <w:shd w:val="clear" w:color="auto" w:fill="auto"/>
            <w:noWrap/>
            <w:vAlign w:val="center"/>
            <w:hideMark/>
          </w:tcPr>
          <w:p w14:paraId="57A95B7A" w14:textId="51DE2726" w:rsidR="00B86D3B" w:rsidRPr="00F83D16" w:rsidRDefault="00B86D3B" w:rsidP="00DE289E">
            <w:pPr>
              <w:spacing w:after="0"/>
              <w:jc w:val="right"/>
              <w:rPr>
                <w:rFonts w:ascii="Arial" w:hAnsi="Arial"/>
                <w:sz w:val="16"/>
                <w:szCs w:val="16"/>
              </w:rPr>
            </w:pPr>
            <w:r w:rsidRPr="00F83D16">
              <w:rPr>
                <w:rFonts w:ascii="Arial" w:hAnsi="Arial"/>
                <w:sz w:val="16"/>
                <w:szCs w:val="16"/>
              </w:rPr>
              <w:t>3,177</w:t>
            </w:r>
          </w:p>
        </w:tc>
        <w:tc>
          <w:tcPr>
            <w:tcW w:w="993" w:type="dxa"/>
            <w:tcBorders>
              <w:top w:val="nil"/>
              <w:left w:val="nil"/>
              <w:bottom w:val="single" w:sz="4" w:space="0" w:color="auto"/>
              <w:right w:val="single" w:sz="4" w:space="0" w:color="auto"/>
            </w:tcBorders>
            <w:shd w:val="clear" w:color="auto" w:fill="auto"/>
            <w:noWrap/>
            <w:vAlign w:val="center"/>
            <w:hideMark/>
          </w:tcPr>
          <w:p w14:paraId="17272C5E" w14:textId="1551B000" w:rsidR="00B86D3B" w:rsidRPr="00F83D16" w:rsidRDefault="00B86D3B" w:rsidP="00DE289E">
            <w:pPr>
              <w:spacing w:after="0"/>
              <w:jc w:val="right"/>
              <w:rPr>
                <w:rFonts w:ascii="Arial" w:hAnsi="Arial"/>
                <w:sz w:val="16"/>
                <w:szCs w:val="16"/>
              </w:rPr>
            </w:pPr>
            <w:r w:rsidRPr="00F83D16">
              <w:rPr>
                <w:rFonts w:ascii="Arial" w:hAnsi="Arial"/>
                <w:sz w:val="16"/>
                <w:szCs w:val="16"/>
              </w:rPr>
              <w:t>513</w:t>
            </w:r>
          </w:p>
        </w:tc>
        <w:tc>
          <w:tcPr>
            <w:tcW w:w="5735" w:type="dxa"/>
            <w:vMerge w:val="restart"/>
            <w:tcBorders>
              <w:top w:val="nil"/>
              <w:left w:val="single" w:sz="4" w:space="0" w:color="auto"/>
              <w:bottom w:val="single" w:sz="4" w:space="0" w:color="000000"/>
              <w:right w:val="single" w:sz="4" w:space="0" w:color="auto"/>
            </w:tcBorders>
            <w:shd w:val="clear" w:color="auto" w:fill="auto"/>
            <w:vAlign w:val="center"/>
            <w:hideMark/>
          </w:tcPr>
          <w:p w14:paraId="54DDCBD8" w14:textId="77777777" w:rsidR="00B86D3B" w:rsidRPr="00EC2CA0" w:rsidRDefault="00B86D3B" w:rsidP="00DE289E">
            <w:pPr>
              <w:spacing w:before="0" w:after="80"/>
              <w:rPr>
                <w:rFonts w:ascii="Arial" w:hAnsi="Arial"/>
                <w:sz w:val="16"/>
                <w:szCs w:val="16"/>
              </w:rPr>
            </w:pPr>
            <w:r w:rsidRPr="00EC2CA0">
              <w:rPr>
                <w:rFonts w:ascii="Arial" w:hAnsi="Arial"/>
                <w:sz w:val="16"/>
                <w:szCs w:val="16"/>
              </w:rPr>
              <w:t>This project will deliver 211 Boxer 8x8 Combat Reconnaissance Vehicles for Reconnaissance, Joint Fires and Surveillance, Multi-Purpose, Command, Repair and Recovery roles. An additional 12 Mission Modules will be acquired, providing Army with the ability to rapidly re-role from one variant to another. The vehicles will replace the Australian Defence Force’s current combat reconnaissance vehicle capability, the Australian Light Armoured Vehicle. The primary role of the vehicles will be to perform ground-based reconnaissance and counter-reconnaissance activities.</w:t>
            </w:r>
          </w:p>
          <w:p w14:paraId="5BE1F210" w14:textId="7B6690A2" w:rsidR="00B86D3B" w:rsidRPr="00EC2CA0" w:rsidRDefault="00EC2CA0" w:rsidP="00DE289E">
            <w:pPr>
              <w:spacing w:before="0" w:after="80"/>
              <w:rPr>
                <w:rFonts w:ascii="Arial" w:hAnsi="Arial"/>
                <w:sz w:val="16"/>
                <w:szCs w:val="16"/>
              </w:rPr>
            </w:pPr>
            <w:r w:rsidRPr="00EC2CA0">
              <w:rPr>
                <w:rFonts w:ascii="Arial" w:hAnsi="Arial"/>
                <w:sz w:val="16"/>
                <w:szCs w:val="16"/>
              </w:rPr>
              <w:t>During 2025-26, the project will continue delivery and acceptance activities for the Block II Reconnaissance (turreted) variant, with related introduction into service activities ongoing. The project will continue to progress the design review program and testing activities for the Block II non-turreted Joint Fires and Surveillance, Command, Repair, and Recovery variants.</w:t>
            </w:r>
          </w:p>
        </w:tc>
      </w:tr>
      <w:tr w:rsidR="00B86D3B" w:rsidRPr="00BA1388" w14:paraId="1AD614F9" w14:textId="77777777" w:rsidTr="00D73F23">
        <w:trPr>
          <w:trHeight w:hRule="exact" w:val="1217"/>
        </w:trPr>
        <w:tc>
          <w:tcPr>
            <w:tcW w:w="1839" w:type="dxa"/>
            <w:vMerge/>
            <w:tcBorders>
              <w:top w:val="nil"/>
              <w:left w:val="single" w:sz="4" w:space="0" w:color="auto"/>
              <w:bottom w:val="single" w:sz="4" w:space="0" w:color="000000"/>
              <w:right w:val="single" w:sz="4" w:space="0" w:color="auto"/>
            </w:tcBorders>
            <w:shd w:val="clear" w:color="auto" w:fill="auto"/>
            <w:vAlign w:val="center"/>
            <w:hideMark/>
          </w:tcPr>
          <w:p w14:paraId="3585188E" w14:textId="77777777" w:rsidR="00B86D3B" w:rsidRPr="00BA1388" w:rsidRDefault="00B86D3B" w:rsidP="00DE289E">
            <w:pPr>
              <w:spacing w:after="0"/>
              <w:rPr>
                <w:rFonts w:ascii="Arial" w:hAnsi="Arial"/>
                <w:sz w:val="16"/>
                <w:szCs w:val="16"/>
                <w:highlight w:val="yellow"/>
              </w:rPr>
            </w:pPr>
          </w:p>
        </w:tc>
        <w:tc>
          <w:tcPr>
            <w:tcW w:w="1135" w:type="dxa"/>
            <w:vMerge/>
            <w:tcBorders>
              <w:top w:val="nil"/>
              <w:left w:val="single" w:sz="4" w:space="0" w:color="auto"/>
              <w:bottom w:val="single" w:sz="4" w:space="0" w:color="000000"/>
              <w:right w:val="single" w:sz="4" w:space="0" w:color="auto"/>
            </w:tcBorders>
            <w:vAlign w:val="center"/>
            <w:hideMark/>
          </w:tcPr>
          <w:p w14:paraId="4E0BD9F3" w14:textId="77777777" w:rsidR="00B86D3B" w:rsidRPr="00BA1388" w:rsidRDefault="00B86D3B" w:rsidP="00DE289E">
            <w:pPr>
              <w:spacing w:after="0"/>
              <w:rPr>
                <w:rFonts w:ascii="Arial" w:hAnsi="Arial"/>
                <w:b/>
                <w:bCs/>
                <w:sz w:val="16"/>
                <w:szCs w:val="16"/>
                <w:highlight w:val="yellow"/>
              </w:rPr>
            </w:pPr>
          </w:p>
        </w:tc>
        <w:tc>
          <w:tcPr>
            <w:tcW w:w="1560" w:type="dxa"/>
            <w:tcBorders>
              <w:top w:val="nil"/>
              <w:left w:val="nil"/>
              <w:bottom w:val="single" w:sz="4" w:space="0" w:color="auto"/>
              <w:right w:val="single" w:sz="4" w:space="0" w:color="auto"/>
            </w:tcBorders>
            <w:shd w:val="clear" w:color="auto" w:fill="auto"/>
            <w:vAlign w:val="center"/>
            <w:hideMark/>
          </w:tcPr>
          <w:p w14:paraId="37B51B5D" w14:textId="77777777" w:rsidR="00B86D3B" w:rsidRPr="00F83D16" w:rsidRDefault="00B86D3B" w:rsidP="00DE289E">
            <w:pPr>
              <w:spacing w:after="0"/>
              <w:rPr>
                <w:rFonts w:ascii="Arial" w:hAnsi="Arial"/>
                <w:sz w:val="16"/>
                <w:szCs w:val="16"/>
              </w:rPr>
            </w:pPr>
            <w:r w:rsidRPr="00F83D16">
              <w:rPr>
                <w:rFonts w:ascii="Arial" w:hAnsi="Arial"/>
                <w:sz w:val="16"/>
                <w:szCs w:val="16"/>
              </w:rPr>
              <w:t>Other Project Inputs to Capability</w:t>
            </w:r>
          </w:p>
        </w:tc>
        <w:tc>
          <w:tcPr>
            <w:tcW w:w="1277" w:type="dxa"/>
            <w:tcBorders>
              <w:top w:val="nil"/>
              <w:left w:val="nil"/>
              <w:bottom w:val="single" w:sz="4" w:space="0" w:color="auto"/>
              <w:right w:val="single" w:sz="4" w:space="0" w:color="auto"/>
            </w:tcBorders>
            <w:shd w:val="clear" w:color="auto" w:fill="auto"/>
            <w:noWrap/>
            <w:vAlign w:val="center"/>
            <w:hideMark/>
          </w:tcPr>
          <w:p w14:paraId="39E7A1B1" w14:textId="164377A4" w:rsidR="00B86D3B" w:rsidRPr="00F83D16" w:rsidRDefault="00B86D3B" w:rsidP="00DE289E">
            <w:pPr>
              <w:spacing w:after="0"/>
              <w:jc w:val="right"/>
              <w:rPr>
                <w:rFonts w:ascii="Arial" w:hAnsi="Arial"/>
                <w:sz w:val="16"/>
                <w:szCs w:val="16"/>
              </w:rPr>
            </w:pPr>
            <w:r w:rsidRPr="00F83D16">
              <w:rPr>
                <w:rFonts w:ascii="Arial" w:hAnsi="Arial"/>
                <w:sz w:val="16"/>
                <w:szCs w:val="16"/>
              </w:rPr>
              <w:t>128</w:t>
            </w:r>
          </w:p>
        </w:tc>
        <w:tc>
          <w:tcPr>
            <w:tcW w:w="1419" w:type="dxa"/>
            <w:tcBorders>
              <w:top w:val="nil"/>
              <w:left w:val="nil"/>
              <w:bottom w:val="single" w:sz="4" w:space="0" w:color="auto"/>
              <w:right w:val="single" w:sz="4" w:space="0" w:color="auto"/>
            </w:tcBorders>
            <w:shd w:val="clear" w:color="auto" w:fill="auto"/>
            <w:noWrap/>
            <w:vAlign w:val="center"/>
            <w:hideMark/>
          </w:tcPr>
          <w:p w14:paraId="0632D427" w14:textId="39C5932D" w:rsidR="00B86D3B" w:rsidRPr="00F83D16" w:rsidRDefault="00B86D3B" w:rsidP="00DE289E">
            <w:pPr>
              <w:spacing w:after="0"/>
              <w:jc w:val="right"/>
              <w:rPr>
                <w:rFonts w:ascii="Arial" w:hAnsi="Arial"/>
                <w:sz w:val="16"/>
                <w:szCs w:val="16"/>
              </w:rPr>
            </w:pPr>
            <w:r w:rsidRPr="00F83D16">
              <w:rPr>
                <w:rFonts w:ascii="Arial" w:hAnsi="Arial"/>
                <w:sz w:val="16"/>
                <w:szCs w:val="16"/>
              </w:rPr>
              <w:t>72</w:t>
            </w:r>
          </w:p>
        </w:tc>
        <w:tc>
          <w:tcPr>
            <w:tcW w:w="993" w:type="dxa"/>
            <w:tcBorders>
              <w:top w:val="nil"/>
              <w:left w:val="nil"/>
              <w:bottom w:val="single" w:sz="4" w:space="0" w:color="auto"/>
              <w:right w:val="single" w:sz="4" w:space="0" w:color="auto"/>
            </w:tcBorders>
            <w:shd w:val="clear" w:color="auto" w:fill="auto"/>
            <w:noWrap/>
            <w:vAlign w:val="center"/>
            <w:hideMark/>
          </w:tcPr>
          <w:p w14:paraId="67018F44" w14:textId="1710E255" w:rsidR="00B86D3B" w:rsidRPr="00F83D16" w:rsidRDefault="00B86D3B" w:rsidP="00DE289E">
            <w:pPr>
              <w:spacing w:after="0"/>
              <w:jc w:val="right"/>
              <w:rPr>
                <w:rFonts w:ascii="Arial" w:hAnsi="Arial"/>
                <w:sz w:val="16"/>
                <w:szCs w:val="16"/>
              </w:rPr>
            </w:pPr>
            <w:r w:rsidRPr="00F83D16">
              <w:rPr>
                <w:rFonts w:ascii="Arial" w:hAnsi="Arial"/>
                <w:sz w:val="16"/>
                <w:szCs w:val="16"/>
              </w:rPr>
              <w:t>10</w:t>
            </w:r>
          </w:p>
        </w:tc>
        <w:tc>
          <w:tcPr>
            <w:tcW w:w="5735" w:type="dxa"/>
            <w:vMerge/>
            <w:tcBorders>
              <w:top w:val="nil"/>
              <w:left w:val="single" w:sz="4" w:space="0" w:color="auto"/>
              <w:bottom w:val="single" w:sz="4" w:space="0" w:color="000000"/>
              <w:right w:val="single" w:sz="4" w:space="0" w:color="auto"/>
            </w:tcBorders>
            <w:vAlign w:val="center"/>
            <w:hideMark/>
          </w:tcPr>
          <w:p w14:paraId="41E21F43" w14:textId="77777777" w:rsidR="00B86D3B" w:rsidRPr="00BA1388" w:rsidRDefault="00B86D3B" w:rsidP="00DE289E">
            <w:pPr>
              <w:spacing w:before="0" w:after="80"/>
              <w:rPr>
                <w:rFonts w:ascii="Arial" w:hAnsi="Arial"/>
                <w:sz w:val="16"/>
                <w:szCs w:val="16"/>
                <w:highlight w:val="yellow"/>
              </w:rPr>
            </w:pPr>
          </w:p>
        </w:tc>
      </w:tr>
      <w:tr w:rsidR="00DE289E" w:rsidRPr="00BA1388" w14:paraId="5634388B" w14:textId="77777777" w:rsidTr="00DE289E">
        <w:trPr>
          <w:trHeight w:hRule="exact" w:val="415"/>
        </w:trPr>
        <w:tc>
          <w:tcPr>
            <w:tcW w:w="13958"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791556" w14:textId="77777777" w:rsidR="00DE289E" w:rsidRPr="00BA1388" w:rsidRDefault="00DE289E" w:rsidP="00DE289E">
            <w:pPr>
              <w:pageBreakBefore/>
              <w:spacing w:before="0" w:after="80"/>
              <w:rPr>
                <w:rFonts w:ascii="Arial" w:hAnsi="Arial"/>
                <w:sz w:val="16"/>
                <w:szCs w:val="16"/>
                <w:highlight w:val="yellow"/>
              </w:rPr>
            </w:pPr>
            <w:r w:rsidRPr="00042FF0">
              <w:rPr>
                <w:rFonts w:ascii="Arial" w:hAnsi="Arial"/>
                <w:b/>
                <w:bCs/>
                <w:sz w:val="16"/>
                <w:szCs w:val="16"/>
              </w:rPr>
              <w:lastRenderedPageBreak/>
              <w:t>Land Domain (Continued)</w:t>
            </w:r>
          </w:p>
        </w:tc>
      </w:tr>
      <w:tr w:rsidR="00B86D3B" w:rsidRPr="00202446" w14:paraId="04D0C8E4" w14:textId="77777777" w:rsidTr="00DE289E">
        <w:trPr>
          <w:trHeight w:hRule="exact" w:val="1432"/>
        </w:trPr>
        <w:tc>
          <w:tcPr>
            <w:tcW w:w="1839" w:type="dxa"/>
            <w:vMerge w:val="restart"/>
            <w:tcBorders>
              <w:top w:val="nil"/>
              <w:left w:val="single" w:sz="4" w:space="0" w:color="auto"/>
              <w:bottom w:val="single" w:sz="4" w:space="0" w:color="000000"/>
              <w:right w:val="single" w:sz="4" w:space="0" w:color="auto"/>
            </w:tcBorders>
            <w:shd w:val="clear" w:color="auto" w:fill="auto"/>
            <w:vAlign w:val="center"/>
            <w:hideMark/>
          </w:tcPr>
          <w:p w14:paraId="21EF60D0" w14:textId="1F45D457" w:rsidR="00B86D3B" w:rsidRPr="00202446" w:rsidRDefault="00B86D3B" w:rsidP="00DE289E">
            <w:pPr>
              <w:keepNext/>
              <w:keepLines/>
              <w:spacing w:after="0"/>
              <w:rPr>
                <w:rFonts w:ascii="Arial" w:hAnsi="Arial"/>
                <w:sz w:val="16"/>
                <w:szCs w:val="16"/>
              </w:rPr>
            </w:pPr>
            <w:r w:rsidRPr="00202446">
              <w:rPr>
                <w:rFonts w:ascii="Arial" w:hAnsi="Arial"/>
                <w:sz w:val="16"/>
                <w:szCs w:val="16"/>
              </w:rPr>
              <w:t>UH-60M Black Hawk Utility Helicopter</w:t>
            </w:r>
          </w:p>
        </w:tc>
        <w:tc>
          <w:tcPr>
            <w:tcW w:w="1135" w:type="dxa"/>
            <w:vMerge w:val="restart"/>
            <w:tcBorders>
              <w:top w:val="nil"/>
              <w:left w:val="single" w:sz="4" w:space="0" w:color="auto"/>
              <w:bottom w:val="single" w:sz="4" w:space="0" w:color="000000"/>
              <w:right w:val="single" w:sz="4" w:space="0" w:color="auto"/>
            </w:tcBorders>
            <w:shd w:val="clear" w:color="auto" w:fill="auto"/>
            <w:vAlign w:val="center"/>
            <w:hideMark/>
          </w:tcPr>
          <w:p w14:paraId="7761C28F" w14:textId="77777777" w:rsidR="00B86D3B" w:rsidRPr="00202446" w:rsidRDefault="00B86D3B" w:rsidP="00DE289E">
            <w:pPr>
              <w:keepNext/>
              <w:keepLines/>
              <w:spacing w:after="0"/>
              <w:jc w:val="center"/>
              <w:rPr>
                <w:rFonts w:ascii="Arial" w:hAnsi="Arial"/>
                <w:b/>
                <w:bCs/>
                <w:sz w:val="16"/>
                <w:szCs w:val="16"/>
              </w:rPr>
            </w:pPr>
            <w:r w:rsidRPr="00202446">
              <w:rPr>
                <w:rFonts w:ascii="Arial" w:hAnsi="Arial"/>
                <w:b/>
                <w:bCs/>
                <w:sz w:val="16"/>
                <w:szCs w:val="16"/>
              </w:rPr>
              <w:t>LAND 4507</w:t>
            </w:r>
          </w:p>
        </w:tc>
        <w:tc>
          <w:tcPr>
            <w:tcW w:w="1560" w:type="dxa"/>
            <w:tcBorders>
              <w:top w:val="nil"/>
              <w:left w:val="nil"/>
              <w:bottom w:val="single" w:sz="4" w:space="0" w:color="auto"/>
              <w:right w:val="single" w:sz="4" w:space="0" w:color="auto"/>
            </w:tcBorders>
            <w:shd w:val="clear" w:color="auto" w:fill="auto"/>
            <w:vAlign w:val="center"/>
            <w:hideMark/>
          </w:tcPr>
          <w:p w14:paraId="7C71CE39" w14:textId="77777777" w:rsidR="00B86D3B" w:rsidRPr="00F83D16" w:rsidRDefault="00B86D3B" w:rsidP="00DE289E">
            <w:pPr>
              <w:keepNext/>
              <w:keepLines/>
              <w:spacing w:after="0"/>
              <w:rPr>
                <w:rFonts w:ascii="Arial" w:hAnsi="Arial"/>
                <w:sz w:val="16"/>
                <w:szCs w:val="16"/>
              </w:rPr>
            </w:pPr>
            <w:r w:rsidRPr="00F83D16">
              <w:rPr>
                <w:rFonts w:ascii="Arial" w:hAnsi="Arial"/>
                <w:sz w:val="16"/>
                <w:szCs w:val="16"/>
              </w:rPr>
              <w:t>Military Equipment Acquisition</w:t>
            </w:r>
          </w:p>
        </w:tc>
        <w:tc>
          <w:tcPr>
            <w:tcW w:w="1277" w:type="dxa"/>
            <w:tcBorders>
              <w:top w:val="nil"/>
              <w:left w:val="nil"/>
              <w:bottom w:val="single" w:sz="4" w:space="0" w:color="auto"/>
              <w:right w:val="single" w:sz="4" w:space="0" w:color="auto"/>
            </w:tcBorders>
            <w:shd w:val="clear" w:color="auto" w:fill="auto"/>
            <w:noWrap/>
            <w:vAlign w:val="center"/>
            <w:hideMark/>
          </w:tcPr>
          <w:p w14:paraId="35015EAA" w14:textId="1E326FA4" w:rsidR="00B86D3B" w:rsidRPr="00F83D16" w:rsidRDefault="00B86D3B" w:rsidP="00DE289E">
            <w:pPr>
              <w:keepNext/>
              <w:keepLines/>
              <w:spacing w:after="0"/>
              <w:jc w:val="right"/>
              <w:rPr>
                <w:rFonts w:ascii="Arial" w:hAnsi="Arial"/>
                <w:sz w:val="16"/>
                <w:szCs w:val="16"/>
              </w:rPr>
            </w:pPr>
            <w:r w:rsidRPr="00F83D16">
              <w:rPr>
                <w:rFonts w:ascii="Arial" w:hAnsi="Arial"/>
                <w:sz w:val="16"/>
                <w:szCs w:val="16"/>
              </w:rPr>
              <w:t>3,572</w:t>
            </w:r>
          </w:p>
        </w:tc>
        <w:tc>
          <w:tcPr>
            <w:tcW w:w="1419" w:type="dxa"/>
            <w:tcBorders>
              <w:top w:val="nil"/>
              <w:left w:val="nil"/>
              <w:bottom w:val="single" w:sz="4" w:space="0" w:color="auto"/>
              <w:right w:val="single" w:sz="4" w:space="0" w:color="auto"/>
            </w:tcBorders>
            <w:shd w:val="clear" w:color="auto" w:fill="auto"/>
            <w:noWrap/>
            <w:vAlign w:val="center"/>
            <w:hideMark/>
          </w:tcPr>
          <w:p w14:paraId="10996046" w14:textId="377C513F" w:rsidR="00B86D3B" w:rsidRPr="00F83D16" w:rsidRDefault="00B86D3B" w:rsidP="00DE289E">
            <w:pPr>
              <w:keepNext/>
              <w:keepLines/>
              <w:spacing w:after="0"/>
              <w:jc w:val="right"/>
              <w:rPr>
                <w:rFonts w:ascii="Arial" w:hAnsi="Arial"/>
                <w:sz w:val="16"/>
                <w:szCs w:val="16"/>
              </w:rPr>
            </w:pPr>
            <w:r w:rsidRPr="00F83D16">
              <w:rPr>
                <w:rFonts w:ascii="Arial" w:hAnsi="Arial"/>
                <w:sz w:val="16"/>
                <w:szCs w:val="16"/>
              </w:rPr>
              <w:t>1</w:t>
            </w:r>
            <w:r>
              <w:rPr>
                <w:rFonts w:ascii="Arial" w:hAnsi="Arial"/>
                <w:sz w:val="16"/>
                <w:szCs w:val="16"/>
              </w:rPr>
              <w:t>,013</w:t>
            </w:r>
          </w:p>
        </w:tc>
        <w:tc>
          <w:tcPr>
            <w:tcW w:w="993" w:type="dxa"/>
            <w:tcBorders>
              <w:top w:val="nil"/>
              <w:left w:val="nil"/>
              <w:bottom w:val="single" w:sz="4" w:space="0" w:color="auto"/>
              <w:right w:val="single" w:sz="4" w:space="0" w:color="auto"/>
            </w:tcBorders>
            <w:shd w:val="clear" w:color="auto" w:fill="auto"/>
            <w:noWrap/>
            <w:vAlign w:val="center"/>
            <w:hideMark/>
          </w:tcPr>
          <w:p w14:paraId="670F1FF7" w14:textId="0CDB33FA" w:rsidR="00B86D3B" w:rsidRPr="00F83D16" w:rsidRDefault="00B86D3B" w:rsidP="00DE289E">
            <w:pPr>
              <w:keepNext/>
              <w:keepLines/>
              <w:spacing w:after="0"/>
              <w:jc w:val="right"/>
              <w:rPr>
                <w:rFonts w:ascii="Arial" w:hAnsi="Arial"/>
                <w:sz w:val="16"/>
                <w:szCs w:val="16"/>
              </w:rPr>
            </w:pPr>
            <w:r w:rsidRPr="00F83D16">
              <w:rPr>
                <w:rFonts w:ascii="Arial" w:hAnsi="Arial"/>
                <w:sz w:val="16"/>
                <w:szCs w:val="16"/>
              </w:rPr>
              <w:t>705</w:t>
            </w:r>
          </w:p>
        </w:tc>
        <w:tc>
          <w:tcPr>
            <w:tcW w:w="5735" w:type="dxa"/>
            <w:vMerge w:val="restart"/>
            <w:tcBorders>
              <w:top w:val="nil"/>
              <w:left w:val="single" w:sz="4" w:space="0" w:color="auto"/>
              <w:bottom w:val="single" w:sz="4" w:space="0" w:color="000000"/>
              <w:right w:val="single" w:sz="4" w:space="0" w:color="auto"/>
            </w:tcBorders>
            <w:shd w:val="clear" w:color="auto" w:fill="auto"/>
            <w:vAlign w:val="center"/>
            <w:hideMark/>
          </w:tcPr>
          <w:p w14:paraId="4EDCC930" w14:textId="19B69CE9" w:rsidR="00202446" w:rsidRDefault="00202446" w:rsidP="00DE289E">
            <w:pPr>
              <w:keepNext/>
              <w:keepLines/>
              <w:spacing w:before="0" w:after="0"/>
              <w:rPr>
                <w:rFonts w:ascii="Arial" w:hAnsi="Arial"/>
                <w:sz w:val="16"/>
                <w:szCs w:val="16"/>
              </w:rPr>
            </w:pPr>
            <w:r w:rsidRPr="00202446">
              <w:rPr>
                <w:rFonts w:ascii="Arial" w:hAnsi="Arial"/>
                <w:sz w:val="16"/>
                <w:szCs w:val="16"/>
              </w:rPr>
              <w:t>This project will acquire 40 UH-60M Black Hawks with associated role and mission equipment, training devices, spares and support via the United States Government Foreign Military Sales (FMS) program. The UH-60M Black Hawk is a proven, mature and low-risk combat capability able to rapidly deploy in a wide variety of air mobility and battlefield support roles.</w:t>
            </w:r>
          </w:p>
          <w:p w14:paraId="0DAE4AF3" w14:textId="77777777" w:rsidR="00232C65" w:rsidRPr="00202446" w:rsidRDefault="00232C65" w:rsidP="00DE289E">
            <w:pPr>
              <w:keepNext/>
              <w:keepLines/>
              <w:spacing w:before="0" w:after="0"/>
              <w:rPr>
                <w:rFonts w:ascii="Arial" w:hAnsi="Arial"/>
                <w:sz w:val="16"/>
                <w:szCs w:val="16"/>
              </w:rPr>
            </w:pPr>
          </w:p>
          <w:p w14:paraId="1A853F0E" w14:textId="49D1B696" w:rsidR="00B86D3B" w:rsidRPr="00202446" w:rsidRDefault="00202446" w:rsidP="00232C65">
            <w:pPr>
              <w:keepNext/>
              <w:keepLines/>
              <w:spacing w:before="0" w:after="80"/>
              <w:rPr>
                <w:rFonts w:ascii="Arial" w:hAnsi="Arial"/>
                <w:sz w:val="16"/>
                <w:szCs w:val="16"/>
                <w:highlight w:val="yellow"/>
              </w:rPr>
            </w:pPr>
            <w:r w:rsidRPr="00202446">
              <w:rPr>
                <w:rFonts w:ascii="Arial" w:hAnsi="Arial"/>
                <w:sz w:val="16"/>
                <w:szCs w:val="16"/>
              </w:rPr>
              <w:t>During 2025-26, further UH-60M</w:t>
            </w:r>
            <w:r w:rsidR="00232C65">
              <w:rPr>
                <w:rFonts w:ascii="Arial" w:hAnsi="Arial"/>
                <w:sz w:val="16"/>
                <w:szCs w:val="16"/>
              </w:rPr>
              <w:t xml:space="preserve"> Black Hawks will be delivered, </w:t>
            </w:r>
            <w:r w:rsidRPr="00202446">
              <w:rPr>
                <w:rFonts w:ascii="Arial" w:hAnsi="Arial"/>
                <w:sz w:val="16"/>
                <w:szCs w:val="16"/>
              </w:rPr>
              <w:t>along with the second Black Hawk Aircrew Trainer simulator. A second Black Hawk operating node will also be established in Oakey, QLD.</w:t>
            </w:r>
            <w:r w:rsidR="00232C65">
              <w:rPr>
                <w:rFonts w:ascii="Arial" w:hAnsi="Arial"/>
                <w:sz w:val="16"/>
                <w:szCs w:val="16"/>
              </w:rPr>
              <w:t xml:space="preserve"> </w:t>
            </w:r>
            <w:r w:rsidRPr="00202446">
              <w:rPr>
                <w:rFonts w:ascii="Arial" w:hAnsi="Arial"/>
                <w:sz w:val="16"/>
                <w:szCs w:val="16"/>
              </w:rPr>
              <w:t>Retrofit activities will commence under FMS arrangements and will see the initial fleet of UH-60M upgraded to a common capability baseline.</w:t>
            </w:r>
          </w:p>
        </w:tc>
      </w:tr>
      <w:tr w:rsidR="00B86D3B" w:rsidRPr="00202446" w14:paraId="2D2215A8" w14:textId="77777777" w:rsidTr="00D73F23">
        <w:trPr>
          <w:trHeight w:hRule="exact" w:val="1416"/>
        </w:trPr>
        <w:tc>
          <w:tcPr>
            <w:tcW w:w="1839" w:type="dxa"/>
            <w:vMerge/>
            <w:tcBorders>
              <w:top w:val="nil"/>
              <w:left w:val="single" w:sz="4" w:space="0" w:color="auto"/>
              <w:bottom w:val="single" w:sz="4" w:space="0" w:color="auto"/>
              <w:right w:val="single" w:sz="4" w:space="0" w:color="auto"/>
            </w:tcBorders>
            <w:vAlign w:val="center"/>
            <w:hideMark/>
          </w:tcPr>
          <w:p w14:paraId="58B78D45" w14:textId="77777777" w:rsidR="00B86D3B" w:rsidRPr="00BA1388" w:rsidRDefault="00B86D3B" w:rsidP="00B86D3B">
            <w:pPr>
              <w:spacing w:after="0"/>
              <w:rPr>
                <w:rFonts w:ascii="Arial" w:hAnsi="Arial"/>
                <w:sz w:val="16"/>
                <w:szCs w:val="16"/>
                <w:highlight w:val="yellow"/>
              </w:rPr>
            </w:pPr>
          </w:p>
        </w:tc>
        <w:tc>
          <w:tcPr>
            <w:tcW w:w="1135" w:type="dxa"/>
            <w:vMerge/>
            <w:tcBorders>
              <w:top w:val="nil"/>
              <w:left w:val="single" w:sz="4" w:space="0" w:color="auto"/>
              <w:bottom w:val="single" w:sz="4" w:space="0" w:color="auto"/>
              <w:right w:val="single" w:sz="4" w:space="0" w:color="auto"/>
            </w:tcBorders>
            <w:vAlign w:val="center"/>
            <w:hideMark/>
          </w:tcPr>
          <w:p w14:paraId="14B383FC" w14:textId="77777777" w:rsidR="00B86D3B" w:rsidRPr="00BA1388" w:rsidRDefault="00B86D3B" w:rsidP="00B86D3B">
            <w:pPr>
              <w:spacing w:after="0"/>
              <w:rPr>
                <w:rFonts w:ascii="Arial" w:hAnsi="Arial"/>
                <w:b/>
                <w:bCs/>
                <w:sz w:val="16"/>
                <w:szCs w:val="16"/>
                <w:highlight w:val="yellow"/>
              </w:rPr>
            </w:pPr>
          </w:p>
        </w:tc>
        <w:tc>
          <w:tcPr>
            <w:tcW w:w="1560" w:type="dxa"/>
            <w:tcBorders>
              <w:top w:val="nil"/>
              <w:left w:val="nil"/>
              <w:bottom w:val="single" w:sz="4" w:space="0" w:color="auto"/>
              <w:right w:val="single" w:sz="4" w:space="0" w:color="auto"/>
            </w:tcBorders>
            <w:shd w:val="clear" w:color="auto" w:fill="auto"/>
            <w:vAlign w:val="center"/>
            <w:hideMark/>
          </w:tcPr>
          <w:p w14:paraId="45DB0DF3" w14:textId="77777777" w:rsidR="00B86D3B" w:rsidRPr="00F83D16" w:rsidRDefault="00B86D3B" w:rsidP="00B86D3B">
            <w:pPr>
              <w:spacing w:after="0"/>
              <w:rPr>
                <w:rFonts w:ascii="Arial" w:hAnsi="Arial"/>
                <w:sz w:val="16"/>
                <w:szCs w:val="16"/>
              </w:rPr>
            </w:pPr>
            <w:r w:rsidRPr="00F83D16">
              <w:rPr>
                <w:rFonts w:ascii="Arial" w:hAnsi="Arial"/>
                <w:sz w:val="16"/>
                <w:szCs w:val="16"/>
              </w:rPr>
              <w:t>Other Project Inputs to Capability</w:t>
            </w:r>
          </w:p>
        </w:tc>
        <w:tc>
          <w:tcPr>
            <w:tcW w:w="1277" w:type="dxa"/>
            <w:tcBorders>
              <w:top w:val="nil"/>
              <w:left w:val="nil"/>
              <w:bottom w:val="single" w:sz="4" w:space="0" w:color="auto"/>
              <w:right w:val="single" w:sz="4" w:space="0" w:color="auto"/>
            </w:tcBorders>
            <w:shd w:val="clear" w:color="auto" w:fill="auto"/>
            <w:noWrap/>
            <w:vAlign w:val="center"/>
            <w:hideMark/>
          </w:tcPr>
          <w:p w14:paraId="7FB2EDFA" w14:textId="3FF4B686" w:rsidR="00B86D3B" w:rsidRPr="00F83D16" w:rsidRDefault="00B86D3B" w:rsidP="00B86D3B">
            <w:pPr>
              <w:spacing w:after="0"/>
              <w:jc w:val="right"/>
              <w:rPr>
                <w:rFonts w:ascii="Arial" w:hAnsi="Arial"/>
                <w:sz w:val="16"/>
                <w:szCs w:val="16"/>
              </w:rPr>
            </w:pPr>
            <w:r w:rsidRPr="00F83D16">
              <w:rPr>
                <w:rFonts w:ascii="Arial" w:hAnsi="Arial"/>
                <w:sz w:val="16"/>
                <w:szCs w:val="16"/>
              </w:rPr>
              <w:t>379</w:t>
            </w:r>
          </w:p>
        </w:tc>
        <w:tc>
          <w:tcPr>
            <w:tcW w:w="1419" w:type="dxa"/>
            <w:tcBorders>
              <w:top w:val="nil"/>
              <w:left w:val="nil"/>
              <w:bottom w:val="single" w:sz="4" w:space="0" w:color="auto"/>
              <w:right w:val="single" w:sz="4" w:space="0" w:color="auto"/>
            </w:tcBorders>
            <w:shd w:val="clear" w:color="auto" w:fill="auto"/>
            <w:noWrap/>
            <w:vAlign w:val="center"/>
            <w:hideMark/>
          </w:tcPr>
          <w:p w14:paraId="0E6093B3" w14:textId="7977C90C" w:rsidR="00B86D3B" w:rsidRPr="00F83D16" w:rsidRDefault="00B86D3B" w:rsidP="00B86D3B">
            <w:pPr>
              <w:spacing w:after="0"/>
              <w:jc w:val="right"/>
              <w:rPr>
                <w:rFonts w:ascii="Arial" w:hAnsi="Arial"/>
                <w:sz w:val="16"/>
                <w:szCs w:val="16"/>
              </w:rPr>
            </w:pPr>
            <w:r w:rsidRPr="00F83D16">
              <w:rPr>
                <w:rFonts w:ascii="Arial" w:hAnsi="Arial"/>
                <w:sz w:val="16"/>
                <w:szCs w:val="16"/>
              </w:rPr>
              <w:t>39</w:t>
            </w:r>
          </w:p>
        </w:tc>
        <w:tc>
          <w:tcPr>
            <w:tcW w:w="993" w:type="dxa"/>
            <w:tcBorders>
              <w:top w:val="nil"/>
              <w:left w:val="nil"/>
              <w:bottom w:val="single" w:sz="4" w:space="0" w:color="auto"/>
              <w:right w:val="single" w:sz="4" w:space="0" w:color="auto"/>
            </w:tcBorders>
            <w:shd w:val="clear" w:color="auto" w:fill="auto"/>
            <w:noWrap/>
            <w:vAlign w:val="center"/>
            <w:hideMark/>
          </w:tcPr>
          <w:p w14:paraId="2A0EE184" w14:textId="56ECD719" w:rsidR="00B86D3B" w:rsidRPr="00F83D16" w:rsidRDefault="00B86D3B" w:rsidP="00B86D3B">
            <w:pPr>
              <w:spacing w:after="0"/>
              <w:jc w:val="right"/>
              <w:rPr>
                <w:rFonts w:ascii="Arial" w:hAnsi="Arial"/>
                <w:sz w:val="16"/>
                <w:szCs w:val="16"/>
              </w:rPr>
            </w:pPr>
            <w:r w:rsidRPr="00F83D16">
              <w:rPr>
                <w:rFonts w:ascii="Arial" w:hAnsi="Arial"/>
                <w:sz w:val="16"/>
                <w:szCs w:val="16"/>
              </w:rPr>
              <w:t>16</w:t>
            </w:r>
          </w:p>
        </w:tc>
        <w:tc>
          <w:tcPr>
            <w:tcW w:w="5735" w:type="dxa"/>
            <w:vMerge/>
            <w:tcBorders>
              <w:top w:val="nil"/>
              <w:left w:val="single" w:sz="4" w:space="0" w:color="auto"/>
              <w:bottom w:val="single" w:sz="4" w:space="0" w:color="000000"/>
              <w:right w:val="single" w:sz="4" w:space="0" w:color="auto"/>
            </w:tcBorders>
            <w:vAlign w:val="center"/>
            <w:hideMark/>
          </w:tcPr>
          <w:p w14:paraId="17EE543B" w14:textId="77777777" w:rsidR="00B86D3B" w:rsidRPr="00202446" w:rsidRDefault="00B86D3B" w:rsidP="00B86D3B">
            <w:pPr>
              <w:spacing w:before="0" w:after="80"/>
              <w:rPr>
                <w:rFonts w:ascii="Arial" w:hAnsi="Arial"/>
                <w:sz w:val="16"/>
                <w:szCs w:val="16"/>
                <w:highlight w:val="yellow"/>
              </w:rPr>
            </w:pPr>
          </w:p>
        </w:tc>
      </w:tr>
      <w:tr w:rsidR="00B86D3B" w:rsidRPr="00BA1388" w14:paraId="3FA896F9" w14:textId="77777777" w:rsidTr="00954C72">
        <w:trPr>
          <w:trHeight w:hRule="exact" w:val="907"/>
        </w:trPr>
        <w:tc>
          <w:tcPr>
            <w:tcW w:w="18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A586AE" w14:textId="790DEA68" w:rsidR="00B86D3B" w:rsidRPr="00F472CB" w:rsidRDefault="00B86D3B" w:rsidP="00DE289E">
            <w:pPr>
              <w:spacing w:after="0"/>
              <w:rPr>
                <w:rFonts w:ascii="Arial" w:hAnsi="Arial"/>
                <w:sz w:val="16"/>
                <w:szCs w:val="16"/>
              </w:rPr>
            </w:pPr>
            <w:r w:rsidRPr="00F472CB">
              <w:rPr>
                <w:rFonts w:ascii="Arial" w:hAnsi="Arial"/>
                <w:sz w:val="16"/>
                <w:szCs w:val="16"/>
              </w:rPr>
              <w:t>Redback Infantry Fighting Vehicle</w:t>
            </w:r>
            <w:r w:rsidR="00F472CB">
              <w:rPr>
                <w:rFonts w:ascii="Arial" w:hAnsi="Arial"/>
                <w:sz w:val="16"/>
                <w:szCs w:val="16"/>
              </w:rPr>
              <w:t xml:space="preserve"> </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2C80F9" w14:textId="77777777" w:rsidR="00B86D3B" w:rsidRPr="00F472CB" w:rsidRDefault="00B86D3B" w:rsidP="00DE289E">
            <w:pPr>
              <w:spacing w:after="0"/>
              <w:jc w:val="center"/>
              <w:rPr>
                <w:rFonts w:ascii="Arial" w:hAnsi="Arial"/>
                <w:b/>
                <w:bCs/>
                <w:sz w:val="16"/>
                <w:szCs w:val="16"/>
              </w:rPr>
            </w:pPr>
            <w:r w:rsidRPr="00F472CB">
              <w:rPr>
                <w:rFonts w:ascii="Arial" w:hAnsi="Arial"/>
                <w:b/>
                <w:bCs/>
                <w:sz w:val="16"/>
                <w:szCs w:val="16"/>
              </w:rPr>
              <w:t>LAND 400 Phase 3</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25CC067" w14:textId="77777777" w:rsidR="00B86D3B" w:rsidRPr="00F83D16" w:rsidRDefault="00B86D3B" w:rsidP="00DE289E">
            <w:pPr>
              <w:spacing w:after="0"/>
              <w:rPr>
                <w:rFonts w:ascii="Arial" w:hAnsi="Arial"/>
                <w:sz w:val="16"/>
                <w:szCs w:val="16"/>
              </w:rPr>
            </w:pPr>
            <w:r w:rsidRPr="00F83D16">
              <w:rPr>
                <w:rFonts w:ascii="Arial" w:hAnsi="Arial"/>
                <w:sz w:val="16"/>
                <w:szCs w:val="16"/>
              </w:rPr>
              <w:t>Military Equipment Acquisition</w:t>
            </w:r>
          </w:p>
        </w:tc>
        <w:tc>
          <w:tcPr>
            <w:tcW w:w="1277" w:type="dxa"/>
            <w:tcBorders>
              <w:top w:val="single" w:sz="4" w:space="0" w:color="auto"/>
              <w:left w:val="nil"/>
              <w:bottom w:val="single" w:sz="4" w:space="0" w:color="auto"/>
              <w:right w:val="single" w:sz="4" w:space="0" w:color="auto"/>
            </w:tcBorders>
            <w:shd w:val="clear" w:color="auto" w:fill="auto"/>
            <w:noWrap/>
            <w:vAlign w:val="center"/>
            <w:hideMark/>
          </w:tcPr>
          <w:p w14:paraId="2B4DF122" w14:textId="1E96A185" w:rsidR="00B86D3B" w:rsidRPr="00F83D16" w:rsidRDefault="00B86D3B" w:rsidP="00DE289E">
            <w:pPr>
              <w:spacing w:after="0"/>
              <w:jc w:val="right"/>
              <w:rPr>
                <w:rFonts w:ascii="Arial" w:hAnsi="Arial"/>
                <w:sz w:val="16"/>
                <w:szCs w:val="16"/>
              </w:rPr>
            </w:pPr>
            <w:r w:rsidRPr="00F83D16">
              <w:rPr>
                <w:rFonts w:ascii="Arial" w:hAnsi="Arial"/>
                <w:sz w:val="16"/>
                <w:szCs w:val="16"/>
              </w:rPr>
              <w:t>6,924</w:t>
            </w:r>
          </w:p>
        </w:tc>
        <w:tc>
          <w:tcPr>
            <w:tcW w:w="1419" w:type="dxa"/>
            <w:tcBorders>
              <w:top w:val="single" w:sz="4" w:space="0" w:color="auto"/>
              <w:left w:val="nil"/>
              <w:bottom w:val="single" w:sz="4" w:space="0" w:color="auto"/>
              <w:right w:val="single" w:sz="4" w:space="0" w:color="auto"/>
            </w:tcBorders>
            <w:shd w:val="clear" w:color="auto" w:fill="auto"/>
            <w:noWrap/>
            <w:vAlign w:val="center"/>
            <w:hideMark/>
          </w:tcPr>
          <w:p w14:paraId="6828644A" w14:textId="513D1CD5" w:rsidR="00B86D3B" w:rsidRPr="00F83D16" w:rsidRDefault="00B86D3B" w:rsidP="00DE289E">
            <w:pPr>
              <w:spacing w:after="0"/>
              <w:jc w:val="right"/>
              <w:rPr>
                <w:rFonts w:ascii="Arial" w:hAnsi="Arial"/>
                <w:sz w:val="16"/>
                <w:szCs w:val="16"/>
              </w:rPr>
            </w:pPr>
            <w:r w:rsidRPr="00F83D16">
              <w:rPr>
                <w:rFonts w:ascii="Arial" w:hAnsi="Arial"/>
                <w:sz w:val="16"/>
                <w:szCs w:val="16"/>
              </w:rPr>
              <w:t>973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709C5AE6" w14:textId="4F5AEFAF" w:rsidR="00B86D3B" w:rsidRPr="00F83D16" w:rsidRDefault="00B86D3B" w:rsidP="00DE289E">
            <w:pPr>
              <w:spacing w:after="0"/>
              <w:jc w:val="right"/>
              <w:rPr>
                <w:rFonts w:ascii="Arial" w:hAnsi="Arial"/>
                <w:sz w:val="16"/>
                <w:szCs w:val="16"/>
              </w:rPr>
            </w:pPr>
            <w:r w:rsidRPr="00F83D16">
              <w:rPr>
                <w:rFonts w:ascii="Arial" w:hAnsi="Arial"/>
                <w:sz w:val="16"/>
                <w:szCs w:val="16"/>
              </w:rPr>
              <w:t>773</w:t>
            </w:r>
          </w:p>
        </w:tc>
        <w:tc>
          <w:tcPr>
            <w:tcW w:w="5735" w:type="dxa"/>
            <w:vMerge w:val="restart"/>
            <w:tcBorders>
              <w:top w:val="single" w:sz="4" w:space="0" w:color="000000"/>
              <w:left w:val="single" w:sz="4" w:space="0" w:color="auto"/>
              <w:bottom w:val="single" w:sz="4" w:space="0" w:color="000000"/>
              <w:right w:val="single" w:sz="4" w:space="0" w:color="auto"/>
            </w:tcBorders>
            <w:shd w:val="clear" w:color="auto" w:fill="auto"/>
            <w:vAlign w:val="center"/>
            <w:hideMark/>
          </w:tcPr>
          <w:p w14:paraId="39581899" w14:textId="0475DBF8" w:rsidR="00B86D3B" w:rsidRPr="00F472CB" w:rsidRDefault="00B86D3B" w:rsidP="00DE289E">
            <w:pPr>
              <w:spacing w:before="0" w:after="80"/>
              <w:rPr>
                <w:rFonts w:ascii="Arial" w:hAnsi="Arial"/>
                <w:sz w:val="16"/>
                <w:szCs w:val="16"/>
              </w:rPr>
            </w:pPr>
            <w:r w:rsidRPr="00F472CB">
              <w:rPr>
                <w:rFonts w:ascii="Arial" w:hAnsi="Arial"/>
                <w:sz w:val="16"/>
                <w:szCs w:val="16"/>
              </w:rPr>
              <w:t>This project will deliver 129 Redback Infantry Fighting Vehicles to replace the M113 Armoured Personnel Carrier fleet. The vehicles will be delivered across two variants, the Infantry Fighting Role and the Command and Control/Joint Fires Role. The Infantry Fighting Vehicle will provide high levels of protection, mobility and lethality and is capable of carrying six dismounted soldiers in addition to a crew of three.</w:t>
            </w:r>
          </w:p>
          <w:p w14:paraId="03B486EB" w14:textId="0FF15FF2" w:rsidR="00B86D3B" w:rsidRPr="00BA1388" w:rsidRDefault="00F472CB" w:rsidP="00232C65">
            <w:pPr>
              <w:spacing w:before="0" w:after="80"/>
              <w:rPr>
                <w:rFonts w:ascii="Arial" w:hAnsi="Arial"/>
                <w:sz w:val="16"/>
                <w:szCs w:val="16"/>
                <w:highlight w:val="yellow"/>
              </w:rPr>
            </w:pPr>
            <w:r w:rsidRPr="00F472CB">
              <w:rPr>
                <w:rFonts w:ascii="Arial" w:hAnsi="Arial"/>
                <w:sz w:val="16"/>
                <w:szCs w:val="16"/>
              </w:rPr>
              <w:t xml:space="preserve">During 2025-26, the project will perform verification and testing activities, </w:t>
            </w:r>
            <w:r w:rsidR="00232C65">
              <w:rPr>
                <w:rFonts w:ascii="Arial" w:hAnsi="Arial"/>
                <w:sz w:val="16"/>
                <w:szCs w:val="16"/>
              </w:rPr>
              <w:t xml:space="preserve">prior to commencement of </w:t>
            </w:r>
            <w:r w:rsidRPr="00F472CB">
              <w:rPr>
                <w:rFonts w:ascii="Arial" w:hAnsi="Arial"/>
                <w:sz w:val="16"/>
                <w:szCs w:val="16"/>
              </w:rPr>
              <w:t>local hull production.</w:t>
            </w:r>
          </w:p>
        </w:tc>
      </w:tr>
      <w:tr w:rsidR="00B86D3B" w:rsidRPr="00BA1388" w14:paraId="41688BF4" w14:textId="77777777" w:rsidTr="00954C72">
        <w:trPr>
          <w:trHeight w:hRule="exact" w:val="907"/>
        </w:trPr>
        <w:tc>
          <w:tcPr>
            <w:tcW w:w="1839" w:type="dxa"/>
            <w:vMerge/>
            <w:tcBorders>
              <w:top w:val="single" w:sz="4" w:space="0" w:color="auto"/>
              <w:left w:val="single" w:sz="4" w:space="0" w:color="auto"/>
              <w:bottom w:val="single" w:sz="4" w:space="0" w:color="auto"/>
              <w:right w:val="single" w:sz="4" w:space="0" w:color="auto"/>
            </w:tcBorders>
            <w:vAlign w:val="center"/>
            <w:hideMark/>
          </w:tcPr>
          <w:p w14:paraId="41B4B1BD" w14:textId="77777777" w:rsidR="00B86D3B" w:rsidRPr="00BA1388" w:rsidRDefault="00B86D3B" w:rsidP="00DE289E">
            <w:pPr>
              <w:spacing w:after="0"/>
              <w:rPr>
                <w:rFonts w:ascii="Arial" w:hAnsi="Arial"/>
                <w:sz w:val="16"/>
                <w:szCs w:val="16"/>
                <w:highlight w:val="yellow"/>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4C136CFC" w14:textId="77777777" w:rsidR="00B86D3B" w:rsidRPr="00BA1388" w:rsidRDefault="00B86D3B" w:rsidP="00DE289E">
            <w:pPr>
              <w:spacing w:after="0"/>
              <w:rPr>
                <w:rFonts w:ascii="Arial" w:hAnsi="Arial"/>
                <w:b/>
                <w:bCs/>
                <w:sz w:val="16"/>
                <w:szCs w:val="16"/>
                <w:highlight w:val="yellow"/>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048EAC6" w14:textId="77777777" w:rsidR="00B86D3B" w:rsidRPr="00F83D16" w:rsidRDefault="00B86D3B" w:rsidP="00DE289E">
            <w:pPr>
              <w:spacing w:after="0"/>
              <w:rPr>
                <w:rFonts w:ascii="Arial" w:hAnsi="Arial"/>
                <w:sz w:val="16"/>
                <w:szCs w:val="16"/>
              </w:rPr>
            </w:pPr>
            <w:r w:rsidRPr="00F83D16">
              <w:rPr>
                <w:rFonts w:ascii="Arial" w:hAnsi="Arial"/>
                <w:sz w:val="16"/>
                <w:szCs w:val="16"/>
              </w:rPr>
              <w:t>Other Project Inputs to Capability</w:t>
            </w:r>
          </w:p>
        </w:tc>
        <w:tc>
          <w:tcPr>
            <w:tcW w:w="1277" w:type="dxa"/>
            <w:tcBorders>
              <w:top w:val="single" w:sz="4" w:space="0" w:color="auto"/>
              <w:left w:val="nil"/>
              <w:bottom w:val="single" w:sz="4" w:space="0" w:color="auto"/>
              <w:right w:val="single" w:sz="4" w:space="0" w:color="auto"/>
            </w:tcBorders>
            <w:shd w:val="clear" w:color="auto" w:fill="auto"/>
            <w:noWrap/>
            <w:vAlign w:val="center"/>
            <w:hideMark/>
          </w:tcPr>
          <w:p w14:paraId="28635EA3" w14:textId="3CF35FF7" w:rsidR="00B86D3B" w:rsidRPr="00F83D16" w:rsidRDefault="00B86D3B" w:rsidP="00DE289E">
            <w:pPr>
              <w:spacing w:after="0"/>
              <w:jc w:val="right"/>
              <w:rPr>
                <w:rFonts w:ascii="Arial" w:hAnsi="Arial"/>
                <w:sz w:val="16"/>
                <w:szCs w:val="16"/>
              </w:rPr>
            </w:pPr>
            <w:r w:rsidRPr="00F83D16">
              <w:rPr>
                <w:rFonts w:ascii="Arial" w:hAnsi="Arial"/>
                <w:sz w:val="16"/>
                <w:szCs w:val="16"/>
              </w:rPr>
              <w:t>390</w:t>
            </w:r>
          </w:p>
        </w:tc>
        <w:tc>
          <w:tcPr>
            <w:tcW w:w="1419" w:type="dxa"/>
            <w:tcBorders>
              <w:top w:val="single" w:sz="4" w:space="0" w:color="auto"/>
              <w:left w:val="nil"/>
              <w:bottom w:val="single" w:sz="4" w:space="0" w:color="auto"/>
              <w:right w:val="single" w:sz="4" w:space="0" w:color="auto"/>
            </w:tcBorders>
            <w:shd w:val="clear" w:color="auto" w:fill="auto"/>
            <w:noWrap/>
            <w:vAlign w:val="center"/>
            <w:hideMark/>
          </w:tcPr>
          <w:p w14:paraId="0732493E" w14:textId="136A2C31" w:rsidR="00B86D3B" w:rsidRPr="00F83D16" w:rsidRDefault="00B86D3B" w:rsidP="00DE289E">
            <w:pPr>
              <w:spacing w:after="0"/>
              <w:jc w:val="right"/>
              <w:rPr>
                <w:rFonts w:ascii="Arial" w:hAnsi="Arial"/>
                <w:sz w:val="16"/>
                <w:szCs w:val="16"/>
              </w:rPr>
            </w:pPr>
            <w:r w:rsidRPr="00F83D16">
              <w:rPr>
                <w:rFonts w:ascii="Arial" w:hAnsi="Arial"/>
                <w:sz w:val="16"/>
                <w:szCs w:val="16"/>
              </w:rPr>
              <w:t>38</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2F308194" w14:textId="4E31CEDD" w:rsidR="00B86D3B" w:rsidRPr="00F83D16" w:rsidRDefault="00B86D3B" w:rsidP="00DE289E">
            <w:pPr>
              <w:spacing w:after="0"/>
              <w:jc w:val="right"/>
              <w:rPr>
                <w:rFonts w:ascii="Arial" w:hAnsi="Arial"/>
                <w:sz w:val="16"/>
                <w:szCs w:val="16"/>
              </w:rPr>
            </w:pPr>
            <w:r w:rsidRPr="00F83D16">
              <w:rPr>
                <w:rFonts w:ascii="Arial" w:hAnsi="Arial"/>
                <w:sz w:val="16"/>
                <w:szCs w:val="16"/>
              </w:rPr>
              <w:t>21</w:t>
            </w:r>
          </w:p>
        </w:tc>
        <w:tc>
          <w:tcPr>
            <w:tcW w:w="5735" w:type="dxa"/>
            <w:vMerge/>
            <w:tcBorders>
              <w:top w:val="single" w:sz="4" w:space="0" w:color="000000"/>
              <w:left w:val="single" w:sz="4" w:space="0" w:color="auto"/>
              <w:bottom w:val="single" w:sz="4" w:space="0" w:color="000000"/>
              <w:right w:val="single" w:sz="4" w:space="0" w:color="auto"/>
            </w:tcBorders>
            <w:vAlign w:val="center"/>
            <w:hideMark/>
          </w:tcPr>
          <w:p w14:paraId="72E7CB20" w14:textId="77777777" w:rsidR="00B86D3B" w:rsidRPr="00BA1388" w:rsidRDefault="00B86D3B" w:rsidP="00DE289E">
            <w:pPr>
              <w:spacing w:before="0" w:after="80"/>
              <w:rPr>
                <w:rFonts w:ascii="Arial" w:hAnsi="Arial"/>
                <w:sz w:val="16"/>
                <w:szCs w:val="16"/>
                <w:highlight w:val="yellow"/>
              </w:rPr>
            </w:pPr>
          </w:p>
        </w:tc>
      </w:tr>
      <w:tr w:rsidR="00DE289E" w:rsidRPr="00BA1388" w14:paraId="7B4A18F3" w14:textId="77777777" w:rsidTr="00DE289E">
        <w:trPr>
          <w:trHeight w:hRule="exact" w:val="415"/>
        </w:trPr>
        <w:tc>
          <w:tcPr>
            <w:tcW w:w="13958"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591367" w14:textId="77777777" w:rsidR="00DE289E" w:rsidRPr="00BA1388" w:rsidRDefault="00DE289E" w:rsidP="00DE289E">
            <w:pPr>
              <w:keepNext/>
              <w:keepLines/>
              <w:spacing w:before="0" w:after="80"/>
              <w:rPr>
                <w:rFonts w:ascii="Arial" w:hAnsi="Arial"/>
                <w:sz w:val="16"/>
                <w:szCs w:val="16"/>
                <w:highlight w:val="yellow"/>
              </w:rPr>
            </w:pPr>
            <w:r w:rsidRPr="00042FF0">
              <w:rPr>
                <w:rFonts w:ascii="Arial" w:hAnsi="Arial"/>
                <w:b/>
                <w:bCs/>
                <w:sz w:val="16"/>
                <w:szCs w:val="16"/>
              </w:rPr>
              <w:lastRenderedPageBreak/>
              <w:t>Land Domain (Continued)</w:t>
            </w:r>
          </w:p>
        </w:tc>
      </w:tr>
      <w:tr w:rsidR="00B86D3B" w:rsidRPr="00BA1388" w14:paraId="6C0195C3" w14:textId="77777777" w:rsidTr="00954C72">
        <w:trPr>
          <w:trHeight w:hRule="exact" w:val="1134"/>
        </w:trPr>
        <w:tc>
          <w:tcPr>
            <w:tcW w:w="1839" w:type="dxa"/>
            <w:vMerge w:val="restart"/>
            <w:tcBorders>
              <w:top w:val="nil"/>
              <w:left w:val="single" w:sz="4" w:space="0" w:color="auto"/>
              <w:bottom w:val="single" w:sz="4" w:space="0" w:color="000000"/>
              <w:right w:val="single" w:sz="4" w:space="0" w:color="auto"/>
            </w:tcBorders>
            <w:shd w:val="clear" w:color="auto" w:fill="auto"/>
            <w:vAlign w:val="center"/>
            <w:hideMark/>
          </w:tcPr>
          <w:p w14:paraId="346F1891" w14:textId="774C0690" w:rsidR="00B86D3B" w:rsidRPr="006A0259" w:rsidRDefault="00B86D3B" w:rsidP="00DE289E">
            <w:pPr>
              <w:keepNext/>
              <w:keepLines/>
              <w:spacing w:after="0"/>
              <w:rPr>
                <w:rFonts w:ascii="Arial" w:hAnsi="Arial"/>
                <w:sz w:val="16"/>
                <w:szCs w:val="16"/>
              </w:rPr>
            </w:pPr>
            <w:r w:rsidRPr="006A0259">
              <w:rPr>
                <w:rFonts w:ascii="Arial" w:hAnsi="Arial"/>
                <w:sz w:val="16"/>
                <w:szCs w:val="16"/>
              </w:rPr>
              <w:t>Armoured Comba</w:t>
            </w:r>
            <w:r w:rsidR="00136A55">
              <w:rPr>
                <w:rFonts w:ascii="Arial" w:hAnsi="Arial"/>
                <w:sz w:val="16"/>
                <w:szCs w:val="16"/>
              </w:rPr>
              <w:t>t</w:t>
            </w:r>
            <w:r w:rsidR="006A0259">
              <w:rPr>
                <w:rFonts w:ascii="Arial" w:hAnsi="Arial"/>
                <w:sz w:val="16"/>
                <w:szCs w:val="16"/>
              </w:rPr>
              <w:t xml:space="preserve"> </w:t>
            </w:r>
          </w:p>
        </w:tc>
        <w:tc>
          <w:tcPr>
            <w:tcW w:w="1135" w:type="dxa"/>
            <w:vMerge w:val="restart"/>
            <w:tcBorders>
              <w:top w:val="nil"/>
              <w:left w:val="single" w:sz="4" w:space="0" w:color="auto"/>
              <w:bottom w:val="single" w:sz="4" w:space="0" w:color="000000"/>
              <w:right w:val="single" w:sz="4" w:space="0" w:color="auto"/>
            </w:tcBorders>
            <w:shd w:val="clear" w:color="auto" w:fill="auto"/>
            <w:vAlign w:val="center"/>
            <w:hideMark/>
          </w:tcPr>
          <w:p w14:paraId="250E30B8" w14:textId="77777777" w:rsidR="00B86D3B" w:rsidRPr="006A0259" w:rsidRDefault="00B86D3B" w:rsidP="00DE289E">
            <w:pPr>
              <w:keepNext/>
              <w:keepLines/>
              <w:spacing w:after="0"/>
              <w:jc w:val="center"/>
              <w:rPr>
                <w:rFonts w:ascii="Arial" w:hAnsi="Arial"/>
                <w:b/>
                <w:bCs/>
                <w:sz w:val="16"/>
                <w:szCs w:val="16"/>
              </w:rPr>
            </w:pPr>
            <w:r w:rsidRPr="006A0259">
              <w:rPr>
                <w:rFonts w:ascii="Arial" w:hAnsi="Arial"/>
                <w:b/>
                <w:bCs/>
                <w:sz w:val="16"/>
                <w:szCs w:val="16"/>
              </w:rPr>
              <w:t>LAND 907</w:t>
            </w:r>
          </w:p>
        </w:tc>
        <w:tc>
          <w:tcPr>
            <w:tcW w:w="1560" w:type="dxa"/>
            <w:tcBorders>
              <w:top w:val="nil"/>
              <w:left w:val="nil"/>
              <w:bottom w:val="single" w:sz="4" w:space="0" w:color="auto"/>
              <w:right w:val="single" w:sz="4" w:space="0" w:color="auto"/>
            </w:tcBorders>
            <w:shd w:val="clear" w:color="auto" w:fill="auto"/>
            <w:vAlign w:val="center"/>
            <w:hideMark/>
          </w:tcPr>
          <w:p w14:paraId="2C6FC59B" w14:textId="77777777" w:rsidR="00B86D3B" w:rsidRPr="00F83D16" w:rsidRDefault="00B86D3B" w:rsidP="00DE289E">
            <w:pPr>
              <w:keepNext/>
              <w:keepLines/>
              <w:spacing w:after="0"/>
              <w:rPr>
                <w:rFonts w:ascii="Arial" w:hAnsi="Arial"/>
                <w:sz w:val="16"/>
                <w:szCs w:val="16"/>
              </w:rPr>
            </w:pPr>
            <w:r w:rsidRPr="00F83D16">
              <w:rPr>
                <w:rFonts w:ascii="Arial" w:hAnsi="Arial"/>
                <w:sz w:val="16"/>
                <w:szCs w:val="16"/>
              </w:rPr>
              <w:t>Military Equipment Acquisition</w:t>
            </w:r>
          </w:p>
        </w:tc>
        <w:tc>
          <w:tcPr>
            <w:tcW w:w="1277" w:type="dxa"/>
            <w:tcBorders>
              <w:top w:val="nil"/>
              <w:left w:val="nil"/>
              <w:bottom w:val="single" w:sz="4" w:space="0" w:color="auto"/>
              <w:right w:val="single" w:sz="4" w:space="0" w:color="auto"/>
            </w:tcBorders>
            <w:shd w:val="clear" w:color="auto" w:fill="auto"/>
            <w:noWrap/>
            <w:vAlign w:val="center"/>
            <w:hideMark/>
          </w:tcPr>
          <w:p w14:paraId="56FC9F14" w14:textId="7C8D8C5D" w:rsidR="00B86D3B" w:rsidRPr="00F83D16" w:rsidRDefault="00B86D3B" w:rsidP="00DE289E">
            <w:pPr>
              <w:keepNext/>
              <w:keepLines/>
              <w:spacing w:after="0"/>
              <w:jc w:val="right"/>
              <w:rPr>
                <w:rFonts w:ascii="Arial" w:hAnsi="Arial"/>
                <w:sz w:val="16"/>
                <w:szCs w:val="16"/>
              </w:rPr>
            </w:pPr>
            <w:r w:rsidRPr="00F83D16">
              <w:rPr>
                <w:rFonts w:ascii="Arial" w:hAnsi="Arial"/>
                <w:sz w:val="16"/>
                <w:szCs w:val="16"/>
              </w:rPr>
              <w:t>2,388</w:t>
            </w:r>
          </w:p>
        </w:tc>
        <w:tc>
          <w:tcPr>
            <w:tcW w:w="1419" w:type="dxa"/>
            <w:tcBorders>
              <w:top w:val="nil"/>
              <w:left w:val="nil"/>
              <w:bottom w:val="single" w:sz="4" w:space="0" w:color="auto"/>
              <w:right w:val="single" w:sz="4" w:space="0" w:color="auto"/>
            </w:tcBorders>
            <w:shd w:val="clear" w:color="auto" w:fill="auto"/>
            <w:noWrap/>
            <w:vAlign w:val="center"/>
            <w:hideMark/>
          </w:tcPr>
          <w:p w14:paraId="346F9EF4" w14:textId="486878C0" w:rsidR="00B86D3B" w:rsidRPr="00F83D16" w:rsidRDefault="00B86D3B" w:rsidP="00DE289E">
            <w:pPr>
              <w:keepNext/>
              <w:keepLines/>
              <w:spacing w:after="0"/>
              <w:jc w:val="right"/>
              <w:rPr>
                <w:rFonts w:ascii="Arial" w:hAnsi="Arial"/>
                <w:sz w:val="16"/>
                <w:szCs w:val="16"/>
              </w:rPr>
            </w:pPr>
            <w:r w:rsidRPr="00F83D16">
              <w:rPr>
                <w:rFonts w:ascii="Arial" w:hAnsi="Arial"/>
                <w:sz w:val="16"/>
                <w:szCs w:val="16"/>
              </w:rPr>
              <w:t>1,301</w:t>
            </w:r>
          </w:p>
        </w:tc>
        <w:tc>
          <w:tcPr>
            <w:tcW w:w="993" w:type="dxa"/>
            <w:tcBorders>
              <w:top w:val="nil"/>
              <w:left w:val="nil"/>
              <w:bottom w:val="single" w:sz="4" w:space="0" w:color="auto"/>
              <w:right w:val="single" w:sz="4" w:space="0" w:color="auto"/>
            </w:tcBorders>
            <w:shd w:val="clear" w:color="auto" w:fill="auto"/>
            <w:noWrap/>
            <w:vAlign w:val="center"/>
            <w:hideMark/>
          </w:tcPr>
          <w:p w14:paraId="3931C491" w14:textId="7774FF36" w:rsidR="00B86D3B" w:rsidRPr="00F83D16" w:rsidRDefault="00B86D3B" w:rsidP="00DE289E">
            <w:pPr>
              <w:keepNext/>
              <w:keepLines/>
              <w:spacing w:after="0"/>
              <w:jc w:val="right"/>
              <w:rPr>
                <w:rFonts w:ascii="Arial" w:hAnsi="Arial"/>
                <w:sz w:val="16"/>
                <w:szCs w:val="16"/>
              </w:rPr>
            </w:pPr>
            <w:r w:rsidRPr="00F83D16">
              <w:rPr>
                <w:rFonts w:ascii="Arial" w:hAnsi="Arial"/>
                <w:sz w:val="16"/>
                <w:szCs w:val="16"/>
              </w:rPr>
              <w:t>611</w:t>
            </w:r>
          </w:p>
        </w:tc>
        <w:tc>
          <w:tcPr>
            <w:tcW w:w="5735" w:type="dxa"/>
            <w:vMerge w:val="restart"/>
            <w:tcBorders>
              <w:top w:val="nil"/>
              <w:left w:val="single" w:sz="4" w:space="0" w:color="auto"/>
              <w:bottom w:val="single" w:sz="4" w:space="0" w:color="000000"/>
              <w:right w:val="single" w:sz="4" w:space="0" w:color="auto"/>
            </w:tcBorders>
            <w:shd w:val="clear" w:color="auto" w:fill="auto"/>
            <w:vAlign w:val="center"/>
            <w:hideMark/>
          </w:tcPr>
          <w:p w14:paraId="1DA21983" w14:textId="77777777" w:rsidR="006A0259" w:rsidRPr="006D70AC" w:rsidRDefault="006A0259" w:rsidP="00DE289E">
            <w:pPr>
              <w:keepNext/>
              <w:keepLines/>
              <w:rPr>
                <w:rFonts w:ascii="Arial" w:hAnsi="Arial"/>
                <w:sz w:val="16"/>
                <w:szCs w:val="16"/>
              </w:rPr>
            </w:pPr>
            <w:r w:rsidRPr="006D70AC">
              <w:rPr>
                <w:rFonts w:ascii="Arial" w:hAnsi="Arial"/>
                <w:sz w:val="16"/>
                <w:szCs w:val="16"/>
              </w:rPr>
              <w:t>This project will deliver 75 M1A2 Abrams Main Battle Tanks to replace the in-service M1A1 variant, 52 Combat Engineering Vehicles and associated training and simulation systems. The upgraded Main Battle Tanks and Combat Engineering Vehicles will be acquired through the United States Government Foreign Military Sales program.</w:t>
            </w:r>
          </w:p>
          <w:p w14:paraId="79E547D4" w14:textId="6EB96EC9" w:rsidR="00B86D3B" w:rsidRPr="00BA1388" w:rsidRDefault="006A0259" w:rsidP="00DE289E">
            <w:pPr>
              <w:keepNext/>
              <w:keepLines/>
              <w:spacing w:before="0" w:after="80"/>
              <w:rPr>
                <w:rFonts w:ascii="Arial" w:hAnsi="Arial"/>
                <w:sz w:val="16"/>
                <w:szCs w:val="16"/>
                <w:highlight w:val="yellow"/>
              </w:rPr>
            </w:pPr>
            <w:r w:rsidRPr="006D70AC">
              <w:rPr>
                <w:rFonts w:ascii="Arial" w:hAnsi="Arial"/>
                <w:sz w:val="16"/>
                <w:szCs w:val="16"/>
              </w:rPr>
              <w:t>During 2025-26, the project will continue delivery and acceptance of M1A2 Abrams Main Battle Tanks and Combat Engineering Vehicles. Introduction into service activities will continue, together with the establishment and implementation of contracts with Australian industry for the support of the capabilities.</w:t>
            </w:r>
          </w:p>
        </w:tc>
      </w:tr>
      <w:tr w:rsidR="00B86D3B" w:rsidRPr="00BA1388" w14:paraId="692C91C2" w14:textId="77777777" w:rsidTr="00136A55">
        <w:trPr>
          <w:trHeight w:hRule="exact" w:val="1015"/>
        </w:trPr>
        <w:tc>
          <w:tcPr>
            <w:tcW w:w="1839" w:type="dxa"/>
            <w:vMerge/>
            <w:tcBorders>
              <w:top w:val="nil"/>
              <w:left w:val="single" w:sz="4" w:space="0" w:color="auto"/>
              <w:bottom w:val="single" w:sz="4" w:space="0" w:color="000000"/>
              <w:right w:val="single" w:sz="4" w:space="0" w:color="auto"/>
            </w:tcBorders>
            <w:vAlign w:val="center"/>
            <w:hideMark/>
          </w:tcPr>
          <w:p w14:paraId="13DB3C86" w14:textId="77777777" w:rsidR="00B86D3B" w:rsidRPr="00BA1388" w:rsidRDefault="00B86D3B" w:rsidP="00DE289E">
            <w:pPr>
              <w:keepNext/>
              <w:keepLines/>
              <w:spacing w:after="0"/>
              <w:rPr>
                <w:rFonts w:ascii="Arial" w:hAnsi="Arial"/>
                <w:sz w:val="16"/>
                <w:szCs w:val="16"/>
                <w:highlight w:val="yellow"/>
              </w:rPr>
            </w:pPr>
          </w:p>
        </w:tc>
        <w:tc>
          <w:tcPr>
            <w:tcW w:w="1135" w:type="dxa"/>
            <w:vMerge/>
            <w:tcBorders>
              <w:top w:val="nil"/>
              <w:left w:val="single" w:sz="4" w:space="0" w:color="auto"/>
              <w:bottom w:val="single" w:sz="4" w:space="0" w:color="000000"/>
              <w:right w:val="single" w:sz="4" w:space="0" w:color="auto"/>
            </w:tcBorders>
            <w:vAlign w:val="center"/>
            <w:hideMark/>
          </w:tcPr>
          <w:p w14:paraId="5CAD9CB2" w14:textId="77777777" w:rsidR="00B86D3B" w:rsidRPr="00BA1388" w:rsidRDefault="00B86D3B" w:rsidP="00DE289E">
            <w:pPr>
              <w:keepNext/>
              <w:keepLines/>
              <w:spacing w:after="0"/>
              <w:rPr>
                <w:rFonts w:ascii="Arial" w:hAnsi="Arial"/>
                <w:b/>
                <w:bCs/>
                <w:sz w:val="16"/>
                <w:szCs w:val="16"/>
                <w:highlight w:val="yellow"/>
              </w:rPr>
            </w:pPr>
          </w:p>
        </w:tc>
        <w:tc>
          <w:tcPr>
            <w:tcW w:w="1560" w:type="dxa"/>
            <w:tcBorders>
              <w:top w:val="nil"/>
              <w:left w:val="nil"/>
              <w:bottom w:val="single" w:sz="4" w:space="0" w:color="auto"/>
              <w:right w:val="single" w:sz="4" w:space="0" w:color="auto"/>
            </w:tcBorders>
            <w:shd w:val="clear" w:color="auto" w:fill="auto"/>
            <w:vAlign w:val="center"/>
            <w:hideMark/>
          </w:tcPr>
          <w:p w14:paraId="0B614577" w14:textId="77777777" w:rsidR="00B86D3B" w:rsidRPr="00F83D16" w:rsidRDefault="00B86D3B" w:rsidP="00DE289E">
            <w:pPr>
              <w:keepNext/>
              <w:keepLines/>
              <w:spacing w:after="0"/>
              <w:rPr>
                <w:rFonts w:ascii="Arial" w:hAnsi="Arial"/>
                <w:sz w:val="16"/>
                <w:szCs w:val="16"/>
              </w:rPr>
            </w:pPr>
            <w:r w:rsidRPr="00F83D16">
              <w:rPr>
                <w:rFonts w:ascii="Arial" w:hAnsi="Arial"/>
                <w:sz w:val="16"/>
                <w:szCs w:val="16"/>
              </w:rPr>
              <w:t>Other Project Inputs to Capability</w:t>
            </w:r>
          </w:p>
        </w:tc>
        <w:tc>
          <w:tcPr>
            <w:tcW w:w="1277" w:type="dxa"/>
            <w:tcBorders>
              <w:top w:val="nil"/>
              <w:left w:val="nil"/>
              <w:bottom w:val="single" w:sz="4" w:space="0" w:color="auto"/>
              <w:right w:val="single" w:sz="4" w:space="0" w:color="auto"/>
            </w:tcBorders>
            <w:shd w:val="clear" w:color="auto" w:fill="auto"/>
            <w:noWrap/>
            <w:vAlign w:val="center"/>
            <w:hideMark/>
          </w:tcPr>
          <w:p w14:paraId="2DB28FD1" w14:textId="40E086BA" w:rsidR="00B86D3B" w:rsidRPr="00F83D16" w:rsidRDefault="00B86D3B" w:rsidP="00DE289E">
            <w:pPr>
              <w:keepNext/>
              <w:keepLines/>
              <w:spacing w:after="0"/>
              <w:jc w:val="right"/>
              <w:rPr>
                <w:rFonts w:ascii="Arial" w:hAnsi="Arial"/>
                <w:sz w:val="16"/>
                <w:szCs w:val="16"/>
              </w:rPr>
            </w:pPr>
            <w:r w:rsidRPr="00F83D16">
              <w:rPr>
                <w:rFonts w:ascii="Arial" w:hAnsi="Arial"/>
                <w:sz w:val="16"/>
                <w:szCs w:val="16"/>
              </w:rPr>
              <w:t>68</w:t>
            </w:r>
          </w:p>
        </w:tc>
        <w:tc>
          <w:tcPr>
            <w:tcW w:w="1419" w:type="dxa"/>
            <w:tcBorders>
              <w:top w:val="nil"/>
              <w:left w:val="nil"/>
              <w:bottom w:val="single" w:sz="4" w:space="0" w:color="auto"/>
              <w:right w:val="single" w:sz="4" w:space="0" w:color="auto"/>
            </w:tcBorders>
            <w:shd w:val="clear" w:color="auto" w:fill="auto"/>
            <w:noWrap/>
            <w:vAlign w:val="center"/>
            <w:hideMark/>
          </w:tcPr>
          <w:p w14:paraId="3644177F" w14:textId="71765002" w:rsidR="00B86D3B" w:rsidRPr="00F83D16" w:rsidRDefault="00B86D3B" w:rsidP="00DE289E">
            <w:pPr>
              <w:keepNext/>
              <w:keepLines/>
              <w:spacing w:after="0"/>
              <w:jc w:val="right"/>
              <w:rPr>
                <w:rFonts w:ascii="Arial" w:hAnsi="Arial"/>
                <w:sz w:val="16"/>
                <w:szCs w:val="16"/>
              </w:rPr>
            </w:pPr>
            <w:r w:rsidRPr="00F83D16">
              <w:rPr>
                <w:rFonts w:ascii="Arial" w:hAnsi="Arial"/>
                <w:sz w:val="16"/>
                <w:szCs w:val="16"/>
              </w:rPr>
              <w:t>34</w:t>
            </w:r>
          </w:p>
        </w:tc>
        <w:tc>
          <w:tcPr>
            <w:tcW w:w="993" w:type="dxa"/>
            <w:tcBorders>
              <w:top w:val="nil"/>
              <w:left w:val="nil"/>
              <w:bottom w:val="single" w:sz="4" w:space="0" w:color="auto"/>
              <w:right w:val="single" w:sz="4" w:space="0" w:color="auto"/>
            </w:tcBorders>
            <w:shd w:val="clear" w:color="auto" w:fill="auto"/>
            <w:noWrap/>
            <w:vAlign w:val="center"/>
            <w:hideMark/>
          </w:tcPr>
          <w:p w14:paraId="6D46436B" w14:textId="43059BFB" w:rsidR="00B86D3B" w:rsidRPr="00F83D16" w:rsidRDefault="00B86D3B" w:rsidP="00DE289E">
            <w:pPr>
              <w:keepNext/>
              <w:keepLines/>
              <w:spacing w:after="0"/>
              <w:jc w:val="right"/>
              <w:rPr>
                <w:rFonts w:ascii="Arial" w:hAnsi="Arial"/>
                <w:sz w:val="16"/>
                <w:szCs w:val="16"/>
              </w:rPr>
            </w:pPr>
            <w:r w:rsidRPr="00F83D16">
              <w:rPr>
                <w:rFonts w:ascii="Arial" w:hAnsi="Arial"/>
                <w:sz w:val="16"/>
                <w:szCs w:val="16"/>
              </w:rPr>
              <w:t>10</w:t>
            </w:r>
          </w:p>
        </w:tc>
        <w:tc>
          <w:tcPr>
            <w:tcW w:w="5735" w:type="dxa"/>
            <w:vMerge/>
            <w:tcBorders>
              <w:top w:val="nil"/>
              <w:left w:val="single" w:sz="4" w:space="0" w:color="auto"/>
              <w:bottom w:val="single" w:sz="4" w:space="0" w:color="000000"/>
              <w:right w:val="single" w:sz="4" w:space="0" w:color="auto"/>
            </w:tcBorders>
            <w:shd w:val="clear" w:color="auto" w:fill="auto"/>
            <w:vAlign w:val="center"/>
            <w:hideMark/>
          </w:tcPr>
          <w:p w14:paraId="3B95495F" w14:textId="77777777" w:rsidR="00B86D3B" w:rsidRPr="00BA1388" w:rsidRDefault="00B86D3B" w:rsidP="00DE289E">
            <w:pPr>
              <w:keepNext/>
              <w:keepLines/>
              <w:spacing w:before="0" w:after="80"/>
              <w:rPr>
                <w:rFonts w:ascii="Arial" w:hAnsi="Arial"/>
                <w:sz w:val="16"/>
                <w:szCs w:val="16"/>
                <w:highlight w:val="yellow"/>
              </w:rPr>
            </w:pPr>
          </w:p>
        </w:tc>
      </w:tr>
      <w:tr w:rsidR="00B86D3B" w:rsidRPr="00BA1388" w14:paraId="4CB022EC" w14:textId="77777777" w:rsidTr="00F67496">
        <w:trPr>
          <w:trHeight w:hRule="exact" w:val="961"/>
        </w:trPr>
        <w:tc>
          <w:tcPr>
            <w:tcW w:w="1839" w:type="dxa"/>
            <w:vMerge w:val="restart"/>
            <w:tcBorders>
              <w:top w:val="nil"/>
              <w:left w:val="single" w:sz="4" w:space="0" w:color="auto"/>
              <w:bottom w:val="single" w:sz="4" w:space="0" w:color="000000"/>
              <w:right w:val="single" w:sz="4" w:space="0" w:color="auto"/>
            </w:tcBorders>
            <w:shd w:val="clear" w:color="auto" w:fill="auto"/>
            <w:vAlign w:val="center"/>
            <w:hideMark/>
          </w:tcPr>
          <w:p w14:paraId="6DE0ADEB" w14:textId="5CF74B40" w:rsidR="00B86D3B" w:rsidRPr="006A0259" w:rsidRDefault="00B86D3B" w:rsidP="00DE289E">
            <w:pPr>
              <w:spacing w:after="0"/>
              <w:rPr>
                <w:rFonts w:ascii="Arial" w:hAnsi="Arial"/>
                <w:sz w:val="16"/>
                <w:szCs w:val="16"/>
              </w:rPr>
            </w:pPr>
            <w:r w:rsidRPr="006A0259">
              <w:rPr>
                <w:rFonts w:ascii="Arial" w:hAnsi="Arial"/>
                <w:sz w:val="16"/>
                <w:szCs w:val="16"/>
              </w:rPr>
              <w:t>AH-64E Apache Attack Helicopter</w:t>
            </w:r>
            <w:r w:rsidR="006A0259">
              <w:rPr>
                <w:rFonts w:ascii="Arial" w:hAnsi="Arial"/>
                <w:sz w:val="16"/>
                <w:szCs w:val="16"/>
              </w:rPr>
              <w:t xml:space="preserve"> </w:t>
            </w:r>
          </w:p>
        </w:tc>
        <w:tc>
          <w:tcPr>
            <w:tcW w:w="1135" w:type="dxa"/>
            <w:vMerge w:val="restart"/>
            <w:tcBorders>
              <w:top w:val="nil"/>
              <w:left w:val="single" w:sz="4" w:space="0" w:color="auto"/>
              <w:bottom w:val="single" w:sz="4" w:space="0" w:color="000000"/>
              <w:right w:val="single" w:sz="4" w:space="0" w:color="auto"/>
            </w:tcBorders>
            <w:shd w:val="clear" w:color="auto" w:fill="auto"/>
            <w:vAlign w:val="center"/>
            <w:hideMark/>
          </w:tcPr>
          <w:p w14:paraId="5F7D0688" w14:textId="77777777" w:rsidR="00B86D3B" w:rsidRPr="006A0259" w:rsidRDefault="00B86D3B" w:rsidP="00B86D3B">
            <w:pPr>
              <w:spacing w:after="0"/>
              <w:jc w:val="center"/>
              <w:rPr>
                <w:rFonts w:ascii="Arial" w:hAnsi="Arial"/>
                <w:b/>
                <w:bCs/>
                <w:sz w:val="16"/>
                <w:szCs w:val="16"/>
              </w:rPr>
            </w:pPr>
            <w:r w:rsidRPr="006A0259">
              <w:rPr>
                <w:rFonts w:ascii="Arial" w:hAnsi="Arial"/>
                <w:b/>
                <w:bCs/>
                <w:sz w:val="16"/>
                <w:szCs w:val="16"/>
              </w:rPr>
              <w:t>LAND 4503</w:t>
            </w:r>
          </w:p>
        </w:tc>
        <w:tc>
          <w:tcPr>
            <w:tcW w:w="1560" w:type="dxa"/>
            <w:tcBorders>
              <w:top w:val="nil"/>
              <w:left w:val="nil"/>
              <w:bottom w:val="single" w:sz="4" w:space="0" w:color="auto"/>
              <w:right w:val="single" w:sz="4" w:space="0" w:color="auto"/>
            </w:tcBorders>
            <w:shd w:val="clear" w:color="auto" w:fill="auto"/>
            <w:vAlign w:val="center"/>
            <w:hideMark/>
          </w:tcPr>
          <w:p w14:paraId="5A707A7A" w14:textId="77777777" w:rsidR="00B86D3B" w:rsidRPr="00F83D16" w:rsidRDefault="00B86D3B" w:rsidP="00B86D3B">
            <w:pPr>
              <w:spacing w:after="0"/>
              <w:rPr>
                <w:rFonts w:ascii="Arial" w:hAnsi="Arial"/>
                <w:sz w:val="16"/>
                <w:szCs w:val="16"/>
              </w:rPr>
            </w:pPr>
            <w:r w:rsidRPr="00F83D16">
              <w:rPr>
                <w:rFonts w:ascii="Arial" w:hAnsi="Arial"/>
                <w:sz w:val="16"/>
                <w:szCs w:val="16"/>
              </w:rPr>
              <w:t>Military Equipment Acquisition</w:t>
            </w:r>
          </w:p>
        </w:tc>
        <w:tc>
          <w:tcPr>
            <w:tcW w:w="1277" w:type="dxa"/>
            <w:tcBorders>
              <w:top w:val="nil"/>
              <w:left w:val="nil"/>
              <w:bottom w:val="single" w:sz="4" w:space="0" w:color="auto"/>
              <w:right w:val="single" w:sz="4" w:space="0" w:color="auto"/>
            </w:tcBorders>
            <w:shd w:val="clear" w:color="auto" w:fill="auto"/>
            <w:noWrap/>
            <w:vAlign w:val="center"/>
            <w:hideMark/>
          </w:tcPr>
          <w:p w14:paraId="281789D1" w14:textId="259368EE" w:rsidR="00B86D3B" w:rsidRPr="00F83D16" w:rsidRDefault="00B86D3B" w:rsidP="00B86D3B">
            <w:pPr>
              <w:spacing w:after="0"/>
              <w:jc w:val="right"/>
              <w:rPr>
                <w:rFonts w:ascii="Arial" w:hAnsi="Arial"/>
                <w:sz w:val="16"/>
                <w:szCs w:val="16"/>
              </w:rPr>
            </w:pPr>
            <w:r w:rsidRPr="00F83D16">
              <w:rPr>
                <w:rFonts w:ascii="Arial" w:hAnsi="Arial"/>
                <w:sz w:val="16"/>
                <w:szCs w:val="16"/>
              </w:rPr>
              <w:t>4,685</w:t>
            </w:r>
          </w:p>
        </w:tc>
        <w:tc>
          <w:tcPr>
            <w:tcW w:w="1419" w:type="dxa"/>
            <w:tcBorders>
              <w:top w:val="nil"/>
              <w:left w:val="nil"/>
              <w:bottom w:val="single" w:sz="4" w:space="0" w:color="auto"/>
              <w:right w:val="single" w:sz="4" w:space="0" w:color="auto"/>
            </w:tcBorders>
            <w:shd w:val="clear" w:color="auto" w:fill="auto"/>
            <w:noWrap/>
            <w:vAlign w:val="center"/>
            <w:hideMark/>
          </w:tcPr>
          <w:p w14:paraId="2A0ED531" w14:textId="4D9BE659" w:rsidR="00B86D3B" w:rsidRPr="00F83D16" w:rsidRDefault="00B86D3B" w:rsidP="00B86D3B">
            <w:pPr>
              <w:spacing w:after="0"/>
              <w:jc w:val="right"/>
              <w:rPr>
                <w:rFonts w:ascii="Arial" w:hAnsi="Arial"/>
                <w:sz w:val="16"/>
                <w:szCs w:val="16"/>
              </w:rPr>
            </w:pPr>
            <w:r w:rsidRPr="00F83D16">
              <w:rPr>
                <w:rFonts w:ascii="Arial" w:hAnsi="Arial"/>
                <w:sz w:val="16"/>
                <w:szCs w:val="16"/>
              </w:rPr>
              <w:t>921</w:t>
            </w:r>
          </w:p>
        </w:tc>
        <w:tc>
          <w:tcPr>
            <w:tcW w:w="993" w:type="dxa"/>
            <w:tcBorders>
              <w:top w:val="nil"/>
              <w:left w:val="nil"/>
              <w:bottom w:val="single" w:sz="4" w:space="0" w:color="auto"/>
              <w:right w:val="single" w:sz="4" w:space="0" w:color="auto"/>
            </w:tcBorders>
            <w:shd w:val="clear" w:color="auto" w:fill="auto"/>
            <w:noWrap/>
            <w:vAlign w:val="center"/>
            <w:hideMark/>
          </w:tcPr>
          <w:p w14:paraId="16159078" w14:textId="4E81D536" w:rsidR="00B86D3B" w:rsidRPr="00F83D16" w:rsidRDefault="00B86D3B" w:rsidP="00B86D3B">
            <w:pPr>
              <w:spacing w:after="0"/>
              <w:jc w:val="right"/>
              <w:rPr>
                <w:rFonts w:ascii="Arial" w:hAnsi="Arial"/>
                <w:sz w:val="16"/>
                <w:szCs w:val="16"/>
              </w:rPr>
            </w:pPr>
            <w:r w:rsidRPr="00F83D16">
              <w:rPr>
                <w:rFonts w:ascii="Arial" w:hAnsi="Arial"/>
                <w:sz w:val="16"/>
                <w:szCs w:val="16"/>
              </w:rPr>
              <w:t>989</w:t>
            </w:r>
          </w:p>
        </w:tc>
        <w:tc>
          <w:tcPr>
            <w:tcW w:w="5735" w:type="dxa"/>
            <w:vMerge w:val="restart"/>
            <w:tcBorders>
              <w:top w:val="nil"/>
              <w:left w:val="single" w:sz="4" w:space="0" w:color="auto"/>
              <w:bottom w:val="single" w:sz="4" w:space="0" w:color="000000"/>
              <w:right w:val="single" w:sz="4" w:space="0" w:color="auto"/>
            </w:tcBorders>
            <w:shd w:val="clear" w:color="auto" w:fill="auto"/>
            <w:vAlign w:val="center"/>
            <w:hideMark/>
          </w:tcPr>
          <w:p w14:paraId="1BED55C5" w14:textId="77777777" w:rsidR="006A0259" w:rsidRPr="006D70AC" w:rsidRDefault="006A0259" w:rsidP="006A0259">
            <w:pPr>
              <w:rPr>
                <w:rFonts w:ascii="Arial" w:hAnsi="Arial"/>
                <w:sz w:val="16"/>
                <w:szCs w:val="16"/>
              </w:rPr>
            </w:pPr>
            <w:r w:rsidRPr="006D70AC">
              <w:rPr>
                <w:rFonts w:ascii="Arial" w:hAnsi="Arial"/>
                <w:sz w:val="16"/>
                <w:szCs w:val="16"/>
              </w:rPr>
              <w:t>This project will acquire 29 AH-64E Apache as a proven and mature helicopter to replace the current Tiger helicopter capability.</w:t>
            </w:r>
          </w:p>
          <w:p w14:paraId="3869C4D0" w14:textId="2AE3CDDA" w:rsidR="00B86D3B" w:rsidRPr="00BA1388" w:rsidRDefault="006A0259" w:rsidP="00232C65">
            <w:pPr>
              <w:spacing w:before="0" w:after="80"/>
              <w:rPr>
                <w:rFonts w:ascii="Arial" w:hAnsi="Arial"/>
                <w:sz w:val="16"/>
                <w:szCs w:val="16"/>
                <w:highlight w:val="yellow"/>
              </w:rPr>
            </w:pPr>
            <w:r w:rsidRPr="006D70AC">
              <w:rPr>
                <w:rFonts w:ascii="Arial" w:hAnsi="Arial"/>
                <w:sz w:val="16"/>
                <w:szCs w:val="16"/>
              </w:rPr>
              <w:t xml:space="preserve">During 2025-26, the project </w:t>
            </w:r>
            <w:r w:rsidR="00232C65">
              <w:rPr>
                <w:rFonts w:ascii="Arial" w:hAnsi="Arial"/>
                <w:sz w:val="16"/>
                <w:szCs w:val="16"/>
              </w:rPr>
              <w:t xml:space="preserve">aims to take </w:t>
            </w:r>
            <w:r w:rsidRPr="006D70AC">
              <w:rPr>
                <w:rFonts w:ascii="Arial" w:hAnsi="Arial"/>
                <w:sz w:val="16"/>
                <w:szCs w:val="16"/>
              </w:rPr>
              <w:t>deliver</w:t>
            </w:r>
            <w:r w:rsidR="00232C65">
              <w:rPr>
                <w:rFonts w:ascii="Arial" w:hAnsi="Arial"/>
                <w:sz w:val="16"/>
                <w:szCs w:val="16"/>
              </w:rPr>
              <w:t>y of</w:t>
            </w:r>
            <w:r w:rsidRPr="006D70AC">
              <w:rPr>
                <w:rFonts w:ascii="Arial" w:hAnsi="Arial"/>
                <w:sz w:val="16"/>
                <w:szCs w:val="16"/>
              </w:rPr>
              <w:t xml:space="preserve"> the first Apache aircraft with essential role and mission equipment, as well as the first flight simulator. The project will continue to procure spares and support equipment, train personnel and provide essential support services required for introduction into service of the capability.</w:t>
            </w:r>
          </w:p>
        </w:tc>
      </w:tr>
      <w:tr w:rsidR="00B86D3B" w:rsidRPr="00BA1388" w14:paraId="3A3F7ADB" w14:textId="77777777" w:rsidTr="00274DC3">
        <w:trPr>
          <w:trHeight w:hRule="exact" w:val="1022"/>
        </w:trPr>
        <w:tc>
          <w:tcPr>
            <w:tcW w:w="1839" w:type="dxa"/>
            <w:vMerge/>
            <w:tcBorders>
              <w:top w:val="nil"/>
              <w:left w:val="single" w:sz="4" w:space="0" w:color="auto"/>
              <w:bottom w:val="single" w:sz="4" w:space="0" w:color="000000"/>
              <w:right w:val="single" w:sz="4" w:space="0" w:color="auto"/>
            </w:tcBorders>
            <w:vAlign w:val="center"/>
            <w:hideMark/>
          </w:tcPr>
          <w:p w14:paraId="1C389CE4" w14:textId="77777777" w:rsidR="00B86D3B" w:rsidRPr="00BA1388" w:rsidRDefault="00B86D3B" w:rsidP="00B86D3B">
            <w:pPr>
              <w:spacing w:after="0"/>
              <w:rPr>
                <w:rFonts w:ascii="Arial" w:hAnsi="Arial"/>
                <w:sz w:val="16"/>
                <w:szCs w:val="16"/>
                <w:highlight w:val="yellow"/>
              </w:rPr>
            </w:pPr>
          </w:p>
        </w:tc>
        <w:tc>
          <w:tcPr>
            <w:tcW w:w="1135" w:type="dxa"/>
            <w:vMerge/>
            <w:tcBorders>
              <w:top w:val="nil"/>
              <w:left w:val="single" w:sz="4" w:space="0" w:color="auto"/>
              <w:bottom w:val="single" w:sz="4" w:space="0" w:color="000000"/>
              <w:right w:val="single" w:sz="4" w:space="0" w:color="auto"/>
            </w:tcBorders>
            <w:vAlign w:val="center"/>
            <w:hideMark/>
          </w:tcPr>
          <w:p w14:paraId="42E7928C" w14:textId="77777777" w:rsidR="00B86D3B" w:rsidRPr="00BA1388" w:rsidRDefault="00B86D3B" w:rsidP="00B86D3B">
            <w:pPr>
              <w:spacing w:after="0"/>
              <w:rPr>
                <w:rFonts w:ascii="Arial" w:hAnsi="Arial"/>
                <w:b/>
                <w:bCs/>
                <w:sz w:val="16"/>
                <w:szCs w:val="16"/>
                <w:highlight w:val="yellow"/>
              </w:rPr>
            </w:pPr>
          </w:p>
        </w:tc>
        <w:tc>
          <w:tcPr>
            <w:tcW w:w="1560" w:type="dxa"/>
            <w:tcBorders>
              <w:top w:val="nil"/>
              <w:left w:val="nil"/>
              <w:bottom w:val="single" w:sz="4" w:space="0" w:color="auto"/>
              <w:right w:val="single" w:sz="4" w:space="0" w:color="auto"/>
            </w:tcBorders>
            <w:shd w:val="clear" w:color="auto" w:fill="auto"/>
            <w:vAlign w:val="center"/>
            <w:hideMark/>
          </w:tcPr>
          <w:p w14:paraId="48EDD5C8" w14:textId="77777777" w:rsidR="00B86D3B" w:rsidRPr="00F83D16" w:rsidRDefault="00B86D3B" w:rsidP="00B86D3B">
            <w:pPr>
              <w:spacing w:after="0"/>
              <w:rPr>
                <w:rFonts w:ascii="Arial" w:hAnsi="Arial"/>
                <w:sz w:val="16"/>
                <w:szCs w:val="16"/>
              </w:rPr>
            </w:pPr>
            <w:r w:rsidRPr="00F83D16">
              <w:rPr>
                <w:rFonts w:ascii="Arial" w:hAnsi="Arial"/>
                <w:sz w:val="16"/>
                <w:szCs w:val="16"/>
              </w:rPr>
              <w:t>Other Project Inputs to Capability</w:t>
            </w:r>
          </w:p>
        </w:tc>
        <w:tc>
          <w:tcPr>
            <w:tcW w:w="1277" w:type="dxa"/>
            <w:tcBorders>
              <w:top w:val="nil"/>
              <w:left w:val="nil"/>
              <w:bottom w:val="single" w:sz="4" w:space="0" w:color="auto"/>
              <w:right w:val="single" w:sz="4" w:space="0" w:color="auto"/>
            </w:tcBorders>
            <w:shd w:val="clear" w:color="auto" w:fill="auto"/>
            <w:noWrap/>
            <w:vAlign w:val="center"/>
            <w:hideMark/>
          </w:tcPr>
          <w:p w14:paraId="672F3A16" w14:textId="4C8E8D11" w:rsidR="00B86D3B" w:rsidRPr="00F83D16" w:rsidRDefault="00B86D3B" w:rsidP="00B86D3B">
            <w:pPr>
              <w:spacing w:after="0"/>
              <w:jc w:val="right"/>
              <w:rPr>
                <w:rFonts w:ascii="Arial" w:hAnsi="Arial"/>
                <w:sz w:val="16"/>
                <w:szCs w:val="16"/>
              </w:rPr>
            </w:pPr>
            <w:r w:rsidRPr="00F83D16">
              <w:rPr>
                <w:rFonts w:ascii="Arial" w:hAnsi="Arial"/>
                <w:sz w:val="16"/>
                <w:szCs w:val="16"/>
              </w:rPr>
              <w:t>584</w:t>
            </w:r>
          </w:p>
        </w:tc>
        <w:tc>
          <w:tcPr>
            <w:tcW w:w="1419" w:type="dxa"/>
            <w:tcBorders>
              <w:top w:val="nil"/>
              <w:left w:val="nil"/>
              <w:bottom w:val="single" w:sz="4" w:space="0" w:color="auto"/>
              <w:right w:val="single" w:sz="4" w:space="0" w:color="auto"/>
            </w:tcBorders>
            <w:shd w:val="clear" w:color="auto" w:fill="auto"/>
            <w:noWrap/>
            <w:vAlign w:val="center"/>
            <w:hideMark/>
          </w:tcPr>
          <w:p w14:paraId="19D4556E" w14:textId="35B95A14" w:rsidR="00B86D3B" w:rsidRPr="00F83D16" w:rsidRDefault="00B86D3B" w:rsidP="00B86D3B">
            <w:pPr>
              <w:spacing w:after="0"/>
              <w:jc w:val="right"/>
              <w:rPr>
                <w:rFonts w:ascii="Arial" w:hAnsi="Arial"/>
                <w:sz w:val="16"/>
                <w:szCs w:val="16"/>
              </w:rPr>
            </w:pPr>
            <w:r w:rsidRPr="00F83D16">
              <w:rPr>
                <w:rFonts w:ascii="Arial" w:hAnsi="Arial"/>
                <w:sz w:val="16"/>
                <w:szCs w:val="16"/>
              </w:rPr>
              <w:t>53</w:t>
            </w:r>
          </w:p>
        </w:tc>
        <w:tc>
          <w:tcPr>
            <w:tcW w:w="993" w:type="dxa"/>
            <w:tcBorders>
              <w:top w:val="nil"/>
              <w:left w:val="nil"/>
              <w:bottom w:val="single" w:sz="4" w:space="0" w:color="auto"/>
              <w:right w:val="single" w:sz="4" w:space="0" w:color="auto"/>
            </w:tcBorders>
            <w:shd w:val="clear" w:color="auto" w:fill="auto"/>
            <w:noWrap/>
            <w:vAlign w:val="center"/>
            <w:hideMark/>
          </w:tcPr>
          <w:p w14:paraId="01DE24F9" w14:textId="0C08E912" w:rsidR="00B86D3B" w:rsidRPr="00F83D16" w:rsidRDefault="00B86D3B" w:rsidP="00B86D3B">
            <w:pPr>
              <w:spacing w:after="0"/>
              <w:jc w:val="right"/>
              <w:rPr>
                <w:rFonts w:ascii="Arial" w:hAnsi="Arial"/>
                <w:sz w:val="16"/>
                <w:szCs w:val="16"/>
              </w:rPr>
            </w:pPr>
            <w:r w:rsidRPr="00F83D16">
              <w:rPr>
                <w:rFonts w:ascii="Arial" w:hAnsi="Arial"/>
                <w:sz w:val="16"/>
                <w:szCs w:val="16"/>
              </w:rPr>
              <w:t>116</w:t>
            </w:r>
          </w:p>
        </w:tc>
        <w:tc>
          <w:tcPr>
            <w:tcW w:w="5735" w:type="dxa"/>
            <w:vMerge/>
            <w:tcBorders>
              <w:top w:val="nil"/>
              <w:left w:val="single" w:sz="4" w:space="0" w:color="auto"/>
              <w:bottom w:val="single" w:sz="4" w:space="0" w:color="000000"/>
              <w:right w:val="single" w:sz="4" w:space="0" w:color="auto"/>
            </w:tcBorders>
            <w:vAlign w:val="center"/>
            <w:hideMark/>
          </w:tcPr>
          <w:p w14:paraId="423D06ED" w14:textId="77777777" w:rsidR="00B86D3B" w:rsidRPr="00BA1388" w:rsidRDefault="00B86D3B" w:rsidP="00B86D3B">
            <w:pPr>
              <w:spacing w:before="0" w:after="80"/>
              <w:rPr>
                <w:rFonts w:ascii="Arial" w:hAnsi="Arial"/>
                <w:sz w:val="16"/>
                <w:szCs w:val="16"/>
                <w:highlight w:val="yellow"/>
              </w:rPr>
            </w:pPr>
          </w:p>
        </w:tc>
      </w:tr>
      <w:tr w:rsidR="00B86D3B" w:rsidRPr="00BA1388" w14:paraId="6E702CC3" w14:textId="77777777" w:rsidTr="00042FF0">
        <w:trPr>
          <w:trHeight w:hRule="exact" w:val="415"/>
        </w:trPr>
        <w:tc>
          <w:tcPr>
            <w:tcW w:w="13958" w:type="dxa"/>
            <w:gridSpan w:val="7"/>
            <w:tcBorders>
              <w:top w:val="nil"/>
              <w:left w:val="single" w:sz="4" w:space="0" w:color="auto"/>
              <w:bottom w:val="single" w:sz="4" w:space="0" w:color="000000"/>
              <w:right w:val="single" w:sz="4" w:space="0" w:color="auto"/>
            </w:tcBorders>
            <w:shd w:val="clear" w:color="auto" w:fill="D9D9D9" w:themeFill="background1" w:themeFillShade="D9"/>
            <w:vAlign w:val="center"/>
          </w:tcPr>
          <w:p w14:paraId="75DB0588" w14:textId="4634C2E3" w:rsidR="00B86D3B" w:rsidRPr="00BA1388" w:rsidRDefault="00B86D3B" w:rsidP="00B86D3B">
            <w:pPr>
              <w:pageBreakBefore/>
              <w:spacing w:before="0" w:after="80"/>
              <w:rPr>
                <w:rFonts w:ascii="Arial" w:hAnsi="Arial"/>
                <w:sz w:val="16"/>
                <w:szCs w:val="16"/>
                <w:highlight w:val="yellow"/>
              </w:rPr>
            </w:pPr>
            <w:r w:rsidRPr="00042FF0">
              <w:rPr>
                <w:rFonts w:ascii="Arial" w:hAnsi="Arial"/>
                <w:b/>
                <w:bCs/>
                <w:sz w:val="16"/>
                <w:szCs w:val="16"/>
              </w:rPr>
              <w:lastRenderedPageBreak/>
              <w:t>Land Domain (Continued)</w:t>
            </w:r>
          </w:p>
        </w:tc>
      </w:tr>
      <w:tr w:rsidR="00B86D3B" w:rsidRPr="00BA1388" w14:paraId="0931A068" w14:textId="77777777" w:rsidTr="00714569">
        <w:trPr>
          <w:trHeight w:hRule="exact" w:val="718"/>
        </w:trPr>
        <w:tc>
          <w:tcPr>
            <w:tcW w:w="1839" w:type="dxa"/>
            <w:vMerge w:val="restart"/>
            <w:tcBorders>
              <w:top w:val="nil"/>
              <w:left w:val="single" w:sz="4" w:space="0" w:color="auto"/>
              <w:bottom w:val="single" w:sz="4" w:space="0" w:color="000000"/>
              <w:right w:val="single" w:sz="4" w:space="0" w:color="auto"/>
            </w:tcBorders>
            <w:shd w:val="clear" w:color="auto" w:fill="auto"/>
            <w:vAlign w:val="center"/>
            <w:hideMark/>
          </w:tcPr>
          <w:p w14:paraId="3058FC5A" w14:textId="35C10C7A" w:rsidR="00B86D3B" w:rsidRPr="00F472CB" w:rsidRDefault="00B86D3B" w:rsidP="00DE289E">
            <w:pPr>
              <w:spacing w:after="0"/>
              <w:rPr>
                <w:rFonts w:ascii="Arial" w:hAnsi="Arial"/>
                <w:sz w:val="16"/>
                <w:szCs w:val="16"/>
              </w:rPr>
            </w:pPr>
            <w:r w:rsidRPr="00F472CB">
              <w:rPr>
                <w:rFonts w:ascii="Arial" w:hAnsi="Arial"/>
                <w:sz w:val="16"/>
                <w:szCs w:val="16"/>
              </w:rPr>
              <w:t xml:space="preserve">AS9 Huntsmen </w:t>
            </w:r>
            <w:r w:rsidRPr="00F472CB">
              <w:rPr>
                <w:rFonts w:ascii="Arial" w:hAnsi="Arial"/>
                <w:sz w:val="16"/>
                <w:szCs w:val="16"/>
              </w:rPr>
              <w:br/>
              <w:t>Self-Propelled Howitzers</w:t>
            </w:r>
            <w:r w:rsidR="00F472CB">
              <w:rPr>
                <w:rFonts w:ascii="Arial" w:hAnsi="Arial"/>
                <w:sz w:val="16"/>
                <w:szCs w:val="16"/>
              </w:rPr>
              <w:t xml:space="preserve"> </w:t>
            </w:r>
          </w:p>
        </w:tc>
        <w:tc>
          <w:tcPr>
            <w:tcW w:w="1135" w:type="dxa"/>
            <w:vMerge w:val="restart"/>
            <w:tcBorders>
              <w:top w:val="nil"/>
              <w:left w:val="single" w:sz="4" w:space="0" w:color="auto"/>
              <w:bottom w:val="single" w:sz="4" w:space="0" w:color="000000"/>
              <w:right w:val="single" w:sz="4" w:space="0" w:color="auto"/>
            </w:tcBorders>
            <w:shd w:val="clear" w:color="auto" w:fill="auto"/>
            <w:vAlign w:val="center"/>
            <w:hideMark/>
          </w:tcPr>
          <w:p w14:paraId="60D5C589" w14:textId="77777777" w:rsidR="00B86D3B" w:rsidRPr="00F472CB" w:rsidRDefault="00B86D3B" w:rsidP="00B86D3B">
            <w:pPr>
              <w:spacing w:after="0"/>
              <w:jc w:val="center"/>
              <w:rPr>
                <w:rFonts w:ascii="Arial" w:hAnsi="Arial"/>
                <w:b/>
                <w:bCs/>
                <w:sz w:val="16"/>
                <w:szCs w:val="16"/>
              </w:rPr>
            </w:pPr>
            <w:r w:rsidRPr="00F472CB">
              <w:rPr>
                <w:rFonts w:ascii="Arial" w:hAnsi="Arial"/>
                <w:b/>
                <w:bCs/>
                <w:sz w:val="16"/>
                <w:szCs w:val="16"/>
              </w:rPr>
              <w:t>LAND 8116</w:t>
            </w:r>
          </w:p>
        </w:tc>
        <w:tc>
          <w:tcPr>
            <w:tcW w:w="1560" w:type="dxa"/>
            <w:tcBorders>
              <w:top w:val="nil"/>
              <w:left w:val="nil"/>
              <w:bottom w:val="single" w:sz="4" w:space="0" w:color="auto"/>
              <w:right w:val="single" w:sz="4" w:space="0" w:color="auto"/>
            </w:tcBorders>
            <w:shd w:val="clear" w:color="auto" w:fill="auto"/>
            <w:vAlign w:val="center"/>
            <w:hideMark/>
          </w:tcPr>
          <w:p w14:paraId="0408057F" w14:textId="77777777" w:rsidR="00B86D3B" w:rsidRPr="00F83D16" w:rsidRDefault="00B86D3B" w:rsidP="00B86D3B">
            <w:pPr>
              <w:spacing w:after="0"/>
              <w:rPr>
                <w:rFonts w:ascii="Arial" w:hAnsi="Arial"/>
                <w:sz w:val="16"/>
                <w:szCs w:val="16"/>
              </w:rPr>
            </w:pPr>
            <w:r w:rsidRPr="00F83D16">
              <w:rPr>
                <w:rFonts w:ascii="Arial" w:hAnsi="Arial"/>
                <w:sz w:val="16"/>
                <w:szCs w:val="16"/>
              </w:rPr>
              <w:t>Military Equipment Acquisition</w:t>
            </w:r>
          </w:p>
        </w:tc>
        <w:tc>
          <w:tcPr>
            <w:tcW w:w="1277" w:type="dxa"/>
            <w:tcBorders>
              <w:top w:val="nil"/>
              <w:left w:val="nil"/>
              <w:bottom w:val="single" w:sz="4" w:space="0" w:color="auto"/>
              <w:right w:val="single" w:sz="4" w:space="0" w:color="auto"/>
            </w:tcBorders>
            <w:shd w:val="clear" w:color="auto" w:fill="auto"/>
            <w:noWrap/>
            <w:vAlign w:val="center"/>
            <w:hideMark/>
          </w:tcPr>
          <w:p w14:paraId="42C77BC1" w14:textId="6B192AFC" w:rsidR="00B86D3B" w:rsidRPr="00F83D16" w:rsidRDefault="00B86D3B" w:rsidP="00B86D3B">
            <w:pPr>
              <w:spacing w:after="0"/>
              <w:jc w:val="right"/>
              <w:rPr>
                <w:rFonts w:ascii="Arial" w:hAnsi="Arial"/>
                <w:sz w:val="16"/>
                <w:szCs w:val="16"/>
              </w:rPr>
            </w:pPr>
            <w:r w:rsidRPr="00F83D16">
              <w:rPr>
                <w:rFonts w:ascii="Arial" w:hAnsi="Arial"/>
                <w:sz w:val="16"/>
                <w:szCs w:val="16"/>
              </w:rPr>
              <w:t>1,323</w:t>
            </w:r>
          </w:p>
        </w:tc>
        <w:tc>
          <w:tcPr>
            <w:tcW w:w="1419" w:type="dxa"/>
            <w:tcBorders>
              <w:top w:val="nil"/>
              <w:left w:val="nil"/>
              <w:bottom w:val="single" w:sz="4" w:space="0" w:color="auto"/>
              <w:right w:val="single" w:sz="4" w:space="0" w:color="auto"/>
            </w:tcBorders>
            <w:shd w:val="clear" w:color="auto" w:fill="auto"/>
            <w:noWrap/>
            <w:vAlign w:val="center"/>
            <w:hideMark/>
          </w:tcPr>
          <w:p w14:paraId="79E371CD" w14:textId="75F69447" w:rsidR="00B86D3B" w:rsidRPr="00F83D16" w:rsidRDefault="00B86D3B" w:rsidP="00B86D3B">
            <w:pPr>
              <w:spacing w:after="0"/>
              <w:jc w:val="right"/>
              <w:rPr>
                <w:rFonts w:ascii="Arial" w:hAnsi="Arial"/>
                <w:sz w:val="16"/>
                <w:szCs w:val="16"/>
              </w:rPr>
            </w:pPr>
            <w:r w:rsidRPr="00F83D16">
              <w:rPr>
                <w:rFonts w:ascii="Arial" w:hAnsi="Arial"/>
                <w:sz w:val="16"/>
                <w:szCs w:val="16"/>
              </w:rPr>
              <w:t>873</w:t>
            </w:r>
          </w:p>
        </w:tc>
        <w:tc>
          <w:tcPr>
            <w:tcW w:w="993" w:type="dxa"/>
            <w:tcBorders>
              <w:top w:val="nil"/>
              <w:left w:val="nil"/>
              <w:bottom w:val="single" w:sz="4" w:space="0" w:color="auto"/>
              <w:right w:val="single" w:sz="4" w:space="0" w:color="auto"/>
            </w:tcBorders>
            <w:shd w:val="clear" w:color="auto" w:fill="auto"/>
            <w:noWrap/>
            <w:vAlign w:val="center"/>
            <w:hideMark/>
          </w:tcPr>
          <w:p w14:paraId="2591CBBF" w14:textId="58D7E17A" w:rsidR="00B86D3B" w:rsidRPr="00F83D16" w:rsidRDefault="00B86D3B" w:rsidP="00B86D3B">
            <w:pPr>
              <w:spacing w:after="0"/>
              <w:jc w:val="right"/>
              <w:rPr>
                <w:rFonts w:ascii="Arial" w:hAnsi="Arial"/>
                <w:sz w:val="16"/>
                <w:szCs w:val="16"/>
              </w:rPr>
            </w:pPr>
            <w:r w:rsidRPr="00F83D16">
              <w:rPr>
                <w:rFonts w:ascii="Arial" w:hAnsi="Arial"/>
                <w:sz w:val="16"/>
                <w:szCs w:val="16"/>
              </w:rPr>
              <w:t>214</w:t>
            </w:r>
          </w:p>
        </w:tc>
        <w:tc>
          <w:tcPr>
            <w:tcW w:w="5735" w:type="dxa"/>
            <w:vMerge w:val="restart"/>
            <w:tcBorders>
              <w:top w:val="nil"/>
              <w:left w:val="single" w:sz="4" w:space="0" w:color="auto"/>
              <w:bottom w:val="single" w:sz="4" w:space="0" w:color="000000"/>
              <w:right w:val="single" w:sz="4" w:space="0" w:color="auto"/>
            </w:tcBorders>
            <w:shd w:val="clear" w:color="auto" w:fill="auto"/>
            <w:vAlign w:val="center"/>
            <w:hideMark/>
          </w:tcPr>
          <w:p w14:paraId="6542250B" w14:textId="77777777" w:rsidR="00B86D3B" w:rsidRPr="00F472CB" w:rsidRDefault="00B86D3B" w:rsidP="00B86D3B">
            <w:pPr>
              <w:spacing w:before="0" w:after="80"/>
              <w:rPr>
                <w:rFonts w:ascii="Arial" w:hAnsi="Arial"/>
                <w:sz w:val="16"/>
                <w:szCs w:val="16"/>
              </w:rPr>
            </w:pPr>
            <w:r w:rsidRPr="00F472CB">
              <w:rPr>
                <w:rFonts w:ascii="Arial" w:hAnsi="Arial"/>
                <w:sz w:val="16"/>
                <w:szCs w:val="16"/>
              </w:rPr>
              <w:t>This project will deliver 30 Self-Propelled Howitzers and 15 Armoured Ammunition Resupply Vehicles.</w:t>
            </w:r>
          </w:p>
          <w:p w14:paraId="3593FBDA" w14:textId="53523EB1" w:rsidR="00B86D3B" w:rsidRPr="00BA1388" w:rsidRDefault="00F472CB" w:rsidP="00A20205">
            <w:pPr>
              <w:spacing w:before="0" w:after="80"/>
              <w:rPr>
                <w:rFonts w:ascii="Arial" w:hAnsi="Arial"/>
                <w:sz w:val="16"/>
                <w:szCs w:val="16"/>
                <w:highlight w:val="yellow"/>
              </w:rPr>
            </w:pPr>
            <w:r w:rsidRPr="00F472CB">
              <w:rPr>
                <w:rFonts w:ascii="Arial" w:hAnsi="Arial"/>
                <w:sz w:val="16"/>
                <w:szCs w:val="16"/>
              </w:rPr>
              <w:t>During 2025-26, the project will continue with vehicle production in Australia and testing and integration activities.</w:t>
            </w:r>
          </w:p>
        </w:tc>
      </w:tr>
      <w:tr w:rsidR="00B86D3B" w:rsidRPr="00BA1388" w14:paraId="654546EC" w14:textId="77777777" w:rsidTr="00714569">
        <w:trPr>
          <w:trHeight w:hRule="exact" w:val="686"/>
        </w:trPr>
        <w:tc>
          <w:tcPr>
            <w:tcW w:w="1839" w:type="dxa"/>
            <w:vMerge/>
            <w:tcBorders>
              <w:top w:val="nil"/>
              <w:left w:val="single" w:sz="4" w:space="0" w:color="auto"/>
              <w:bottom w:val="single" w:sz="4" w:space="0" w:color="auto"/>
              <w:right w:val="single" w:sz="4" w:space="0" w:color="auto"/>
            </w:tcBorders>
            <w:vAlign w:val="center"/>
            <w:hideMark/>
          </w:tcPr>
          <w:p w14:paraId="4FE370D3" w14:textId="77777777" w:rsidR="00B86D3B" w:rsidRPr="00BA1388" w:rsidRDefault="00B86D3B" w:rsidP="00B86D3B">
            <w:pPr>
              <w:spacing w:after="0"/>
              <w:rPr>
                <w:rFonts w:ascii="Arial" w:hAnsi="Arial"/>
                <w:sz w:val="16"/>
                <w:szCs w:val="16"/>
                <w:highlight w:val="yellow"/>
              </w:rPr>
            </w:pPr>
          </w:p>
        </w:tc>
        <w:tc>
          <w:tcPr>
            <w:tcW w:w="1135" w:type="dxa"/>
            <w:vMerge/>
            <w:tcBorders>
              <w:top w:val="nil"/>
              <w:left w:val="single" w:sz="4" w:space="0" w:color="auto"/>
              <w:bottom w:val="single" w:sz="4" w:space="0" w:color="auto"/>
              <w:right w:val="single" w:sz="4" w:space="0" w:color="auto"/>
            </w:tcBorders>
            <w:vAlign w:val="center"/>
            <w:hideMark/>
          </w:tcPr>
          <w:p w14:paraId="636C2D96" w14:textId="77777777" w:rsidR="00B86D3B" w:rsidRPr="00BA1388" w:rsidRDefault="00B86D3B" w:rsidP="00B86D3B">
            <w:pPr>
              <w:spacing w:after="0"/>
              <w:rPr>
                <w:rFonts w:ascii="Arial" w:hAnsi="Arial"/>
                <w:b/>
                <w:bCs/>
                <w:sz w:val="16"/>
                <w:szCs w:val="16"/>
                <w:highlight w:val="yellow"/>
              </w:rPr>
            </w:pPr>
          </w:p>
        </w:tc>
        <w:tc>
          <w:tcPr>
            <w:tcW w:w="1560" w:type="dxa"/>
            <w:tcBorders>
              <w:top w:val="nil"/>
              <w:left w:val="nil"/>
              <w:bottom w:val="single" w:sz="4" w:space="0" w:color="auto"/>
              <w:right w:val="single" w:sz="4" w:space="0" w:color="auto"/>
            </w:tcBorders>
            <w:shd w:val="clear" w:color="auto" w:fill="auto"/>
            <w:vAlign w:val="center"/>
            <w:hideMark/>
          </w:tcPr>
          <w:p w14:paraId="481DB2A7" w14:textId="77777777" w:rsidR="00B86D3B" w:rsidRPr="00F83D16" w:rsidRDefault="00B86D3B" w:rsidP="00B86D3B">
            <w:pPr>
              <w:spacing w:after="0"/>
              <w:rPr>
                <w:rFonts w:ascii="Arial" w:hAnsi="Arial"/>
                <w:sz w:val="16"/>
                <w:szCs w:val="16"/>
              </w:rPr>
            </w:pPr>
            <w:r w:rsidRPr="00F83D16">
              <w:rPr>
                <w:rFonts w:ascii="Arial" w:hAnsi="Arial"/>
                <w:sz w:val="16"/>
                <w:szCs w:val="16"/>
              </w:rPr>
              <w:t>Other Project Inputs to Capability</w:t>
            </w:r>
          </w:p>
        </w:tc>
        <w:tc>
          <w:tcPr>
            <w:tcW w:w="1277" w:type="dxa"/>
            <w:tcBorders>
              <w:top w:val="nil"/>
              <w:left w:val="nil"/>
              <w:bottom w:val="single" w:sz="4" w:space="0" w:color="auto"/>
              <w:right w:val="single" w:sz="4" w:space="0" w:color="auto"/>
            </w:tcBorders>
            <w:shd w:val="clear" w:color="auto" w:fill="auto"/>
            <w:noWrap/>
            <w:vAlign w:val="center"/>
            <w:hideMark/>
          </w:tcPr>
          <w:p w14:paraId="365B7E5F" w14:textId="6D55C1FA" w:rsidR="00B86D3B" w:rsidRPr="00F83D16" w:rsidRDefault="00B86D3B" w:rsidP="00B86D3B">
            <w:pPr>
              <w:spacing w:after="0"/>
              <w:jc w:val="right"/>
              <w:rPr>
                <w:rFonts w:ascii="Arial" w:hAnsi="Arial"/>
                <w:sz w:val="16"/>
                <w:szCs w:val="16"/>
              </w:rPr>
            </w:pPr>
            <w:r w:rsidRPr="00F83D16">
              <w:rPr>
                <w:rFonts w:ascii="Arial" w:hAnsi="Arial"/>
                <w:sz w:val="16"/>
                <w:szCs w:val="16"/>
              </w:rPr>
              <w:t>42</w:t>
            </w:r>
          </w:p>
        </w:tc>
        <w:tc>
          <w:tcPr>
            <w:tcW w:w="1419" w:type="dxa"/>
            <w:tcBorders>
              <w:top w:val="nil"/>
              <w:left w:val="nil"/>
              <w:bottom w:val="single" w:sz="4" w:space="0" w:color="auto"/>
              <w:right w:val="single" w:sz="4" w:space="0" w:color="auto"/>
            </w:tcBorders>
            <w:shd w:val="clear" w:color="auto" w:fill="auto"/>
            <w:noWrap/>
            <w:vAlign w:val="center"/>
            <w:hideMark/>
          </w:tcPr>
          <w:p w14:paraId="6F0BC3D9" w14:textId="2FFEA881" w:rsidR="00B86D3B" w:rsidRPr="00F83D16" w:rsidRDefault="00B86D3B" w:rsidP="00B86D3B">
            <w:pPr>
              <w:spacing w:after="0"/>
              <w:jc w:val="right"/>
              <w:rPr>
                <w:rFonts w:ascii="Arial" w:hAnsi="Arial"/>
                <w:sz w:val="16"/>
                <w:szCs w:val="16"/>
              </w:rPr>
            </w:pPr>
            <w:r w:rsidRPr="00F83D16">
              <w:rPr>
                <w:rFonts w:ascii="Arial" w:hAnsi="Arial"/>
                <w:sz w:val="16"/>
                <w:szCs w:val="16"/>
              </w:rPr>
              <w:t>20</w:t>
            </w:r>
          </w:p>
        </w:tc>
        <w:tc>
          <w:tcPr>
            <w:tcW w:w="993" w:type="dxa"/>
            <w:tcBorders>
              <w:top w:val="nil"/>
              <w:left w:val="nil"/>
              <w:bottom w:val="single" w:sz="4" w:space="0" w:color="auto"/>
              <w:right w:val="single" w:sz="4" w:space="0" w:color="auto"/>
            </w:tcBorders>
            <w:shd w:val="clear" w:color="auto" w:fill="auto"/>
            <w:noWrap/>
            <w:vAlign w:val="center"/>
            <w:hideMark/>
          </w:tcPr>
          <w:p w14:paraId="316544A8" w14:textId="7E3E6101" w:rsidR="00B86D3B" w:rsidRPr="00F83D16" w:rsidRDefault="00B86D3B" w:rsidP="00B86D3B">
            <w:pPr>
              <w:spacing w:after="0"/>
              <w:jc w:val="right"/>
              <w:rPr>
                <w:rFonts w:ascii="Arial" w:hAnsi="Arial"/>
                <w:sz w:val="16"/>
                <w:szCs w:val="16"/>
              </w:rPr>
            </w:pPr>
            <w:r w:rsidRPr="00F83D16">
              <w:rPr>
                <w:rFonts w:ascii="Arial" w:hAnsi="Arial"/>
                <w:sz w:val="16"/>
                <w:szCs w:val="16"/>
              </w:rPr>
              <w:t>17</w:t>
            </w:r>
          </w:p>
        </w:tc>
        <w:tc>
          <w:tcPr>
            <w:tcW w:w="5735" w:type="dxa"/>
            <w:vMerge/>
            <w:tcBorders>
              <w:top w:val="nil"/>
              <w:left w:val="single" w:sz="4" w:space="0" w:color="auto"/>
              <w:bottom w:val="single" w:sz="4" w:space="0" w:color="auto"/>
              <w:right w:val="single" w:sz="4" w:space="0" w:color="auto"/>
            </w:tcBorders>
            <w:vAlign w:val="center"/>
            <w:hideMark/>
          </w:tcPr>
          <w:p w14:paraId="1507BF5E" w14:textId="77777777" w:rsidR="00B86D3B" w:rsidRPr="00BA1388" w:rsidRDefault="00B86D3B" w:rsidP="00B86D3B">
            <w:pPr>
              <w:spacing w:before="0" w:after="80"/>
              <w:rPr>
                <w:rFonts w:ascii="Arial" w:hAnsi="Arial"/>
                <w:sz w:val="16"/>
                <w:szCs w:val="16"/>
                <w:highlight w:val="yellow"/>
              </w:rPr>
            </w:pPr>
          </w:p>
        </w:tc>
      </w:tr>
      <w:tr w:rsidR="00B86D3B" w:rsidRPr="00BA1388" w14:paraId="60A179AB" w14:textId="77777777" w:rsidTr="00954C72">
        <w:trPr>
          <w:trHeight w:val="794"/>
        </w:trPr>
        <w:tc>
          <w:tcPr>
            <w:tcW w:w="18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BEBA68" w14:textId="3079C08D" w:rsidR="00B86D3B" w:rsidRPr="00F472CB" w:rsidRDefault="00B86D3B" w:rsidP="00DE289E">
            <w:pPr>
              <w:spacing w:after="0"/>
              <w:rPr>
                <w:rFonts w:ascii="Arial" w:hAnsi="Arial"/>
                <w:sz w:val="16"/>
                <w:szCs w:val="16"/>
              </w:rPr>
            </w:pPr>
            <w:r w:rsidRPr="00F472CB">
              <w:rPr>
                <w:rFonts w:ascii="Arial" w:hAnsi="Arial"/>
                <w:sz w:val="16"/>
                <w:szCs w:val="16"/>
              </w:rPr>
              <w:t>First Long Range Fires Regiment</w:t>
            </w:r>
            <w:r w:rsidR="00F472CB">
              <w:rPr>
                <w:rFonts w:ascii="Arial" w:hAnsi="Arial"/>
                <w:sz w:val="16"/>
                <w:szCs w:val="16"/>
              </w:rPr>
              <w:t xml:space="preserve"> </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01E620" w14:textId="77777777" w:rsidR="00B86D3B" w:rsidRPr="00F472CB" w:rsidRDefault="00B86D3B" w:rsidP="00B86D3B">
            <w:pPr>
              <w:spacing w:after="0"/>
              <w:jc w:val="center"/>
              <w:rPr>
                <w:rFonts w:ascii="Arial" w:hAnsi="Arial"/>
                <w:b/>
                <w:bCs/>
                <w:sz w:val="16"/>
                <w:szCs w:val="16"/>
              </w:rPr>
            </w:pPr>
            <w:r w:rsidRPr="00F472CB">
              <w:rPr>
                <w:rFonts w:ascii="Arial" w:hAnsi="Arial"/>
                <w:b/>
                <w:bCs/>
                <w:sz w:val="16"/>
                <w:szCs w:val="16"/>
              </w:rPr>
              <w:t>LAND 8113 Phase 1</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8E611E6" w14:textId="77777777" w:rsidR="00B86D3B" w:rsidRPr="00F83D16" w:rsidRDefault="00B86D3B" w:rsidP="00B86D3B">
            <w:pPr>
              <w:spacing w:after="0"/>
              <w:rPr>
                <w:rFonts w:ascii="Arial" w:hAnsi="Arial"/>
                <w:sz w:val="16"/>
                <w:szCs w:val="16"/>
              </w:rPr>
            </w:pPr>
            <w:r w:rsidRPr="00F83D16">
              <w:rPr>
                <w:rFonts w:ascii="Arial" w:hAnsi="Arial"/>
                <w:sz w:val="16"/>
                <w:szCs w:val="16"/>
              </w:rPr>
              <w:t>Military Equipment Acquisition</w:t>
            </w:r>
          </w:p>
        </w:tc>
        <w:tc>
          <w:tcPr>
            <w:tcW w:w="1277" w:type="dxa"/>
            <w:tcBorders>
              <w:top w:val="single" w:sz="4" w:space="0" w:color="auto"/>
              <w:left w:val="nil"/>
              <w:bottom w:val="single" w:sz="4" w:space="0" w:color="auto"/>
              <w:right w:val="single" w:sz="4" w:space="0" w:color="auto"/>
            </w:tcBorders>
            <w:shd w:val="clear" w:color="auto" w:fill="auto"/>
            <w:noWrap/>
            <w:vAlign w:val="center"/>
            <w:hideMark/>
          </w:tcPr>
          <w:p w14:paraId="1D4967D8" w14:textId="36E2DA7C" w:rsidR="00B86D3B" w:rsidRPr="00F83D16" w:rsidRDefault="00B86D3B" w:rsidP="00B86D3B">
            <w:pPr>
              <w:spacing w:after="0"/>
              <w:jc w:val="right"/>
              <w:rPr>
                <w:rFonts w:ascii="Arial" w:hAnsi="Arial"/>
                <w:sz w:val="16"/>
                <w:szCs w:val="16"/>
              </w:rPr>
            </w:pPr>
            <w:r w:rsidRPr="00F83D16">
              <w:rPr>
                <w:rFonts w:ascii="Arial" w:hAnsi="Arial"/>
                <w:sz w:val="16"/>
                <w:szCs w:val="16"/>
              </w:rPr>
              <w:t>2,388</w:t>
            </w:r>
          </w:p>
        </w:tc>
        <w:tc>
          <w:tcPr>
            <w:tcW w:w="1419" w:type="dxa"/>
            <w:tcBorders>
              <w:top w:val="single" w:sz="4" w:space="0" w:color="auto"/>
              <w:left w:val="nil"/>
              <w:bottom w:val="single" w:sz="4" w:space="0" w:color="auto"/>
              <w:right w:val="single" w:sz="4" w:space="0" w:color="auto"/>
            </w:tcBorders>
            <w:shd w:val="clear" w:color="auto" w:fill="auto"/>
            <w:noWrap/>
            <w:vAlign w:val="center"/>
            <w:hideMark/>
          </w:tcPr>
          <w:p w14:paraId="2421814B" w14:textId="1313D233" w:rsidR="00B86D3B" w:rsidRPr="00F83D16" w:rsidRDefault="00B86D3B" w:rsidP="00B86D3B">
            <w:pPr>
              <w:spacing w:after="0"/>
              <w:jc w:val="right"/>
              <w:rPr>
                <w:rFonts w:ascii="Arial" w:hAnsi="Arial"/>
                <w:sz w:val="16"/>
                <w:szCs w:val="16"/>
              </w:rPr>
            </w:pPr>
            <w:r w:rsidRPr="00F83D16">
              <w:rPr>
                <w:rFonts w:ascii="Arial" w:hAnsi="Arial"/>
                <w:sz w:val="16"/>
                <w:szCs w:val="16"/>
              </w:rPr>
              <w:t>197</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3469DA16" w14:textId="0A2C1E0E" w:rsidR="00B86D3B" w:rsidRPr="00F83D16" w:rsidRDefault="00B86D3B" w:rsidP="00B86D3B">
            <w:pPr>
              <w:spacing w:after="0"/>
              <w:jc w:val="right"/>
              <w:rPr>
                <w:rFonts w:ascii="Arial" w:hAnsi="Arial"/>
                <w:sz w:val="16"/>
                <w:szCs w:val="16"/>
              </w:rPr>
            </w:pPr>
            <w:r w:rsidRPr="00F83D16">
              <w:rPr>
                <w:rFonts w:ascii="Arial" w:hAnsi="Arial"/>
                <w:sz w:val="16"/>
                <w:szCs w:val="16"/>
              </w:rPr>
              <w:t>419</w:t>
            </w:r>
          </w:p>
        </w:tc>
        <w:tc>
          <w:tcPr>
            <w:tcW w:w="57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E04E8A" w14:textId="6B4B907C" w:rsidR="00B86D3B" w:rsidRPr="00F472CB" w:rsidRDefault="00B86D3B" w:rsidP="00B86D3B">
            <w:pPr>
              <w:spacing w:before="0" w:after="80"/>
              <w:rPr>
                <w:rFonts w:ascii="Arial" w:hAnsi="Arial"/>
                <w:sz w:val="16"/>
                <w:szCs w:val="16"/>
              </w:rPr>
            </w:pPr>
            <w:r w:rsidRPr="00F472CB">
              <w:rPr>
                <w:rFonts w:ascii="Arial" w:hAnsi="Arial"/>
                <w:sz w:val="16"/>
                <w:szCs w:val="16"/>
              </w:rPr>
              <w:t xml:space="preserve">This project will deliver Army’s first long range fires regiment, providing High Mobility Artillery Rocket Systems </w:t>
            </w:r>
            <w:r w:rsidR="001665F7">
              <w:rPr>
                <w:rFonts w:ascii="Arial" w:hAnsi="Arial"/>
                <w:sz w:val="16"/>
                <w:szCs w:val="16"/>
              </w:rPr>
              <w:t xml:space="preserve">(HIMARS) </w:t>
            </w:r>
            <w:r w:rsidRPr="00F472CB">
              <w:rPr>
                <w:rFonts w:ascii="Arial" w:hAnsi="Arial"/>
                <w:sz w:val="16"/>
                <w:szCs w:val="16"/>
              </w:rPr>
              <w:t>armed with Precision Strike Missile and Guided Multiple Launch Rocket System munitions. The capability will enhance land and maritime strike and strengthen Army’s ability to prevent an adversary’s forces from entering an operational area.</w:t>
            </w:r>
          </w:p>
          <w:p w14:paraId="4731E816" w14:textId="2EA39CBF" w:rsidR="00B86D3B" w:rsidRPr="00BA1388" w:rsidRDefault="00F472CB" w:rsidP="00B86D3B">
            <w:pPr>
              <w:spacing w:before="0" w:after="80"/>
              <w:rPr>
                <w:rFonts w:ascii="Arial" w:hAnsi="Arial"/>
                <w:sz w:val="16"/>
                <w:szCs w:val="16"/>
                <w:highlight w:val="yellow"/>
              </w:rPr>
            </w:pPr>
            <w:r w:rsidRPr="00F472CB">
              <w:rPr>
                <w:rFonts w:ascii="Arial" w:hAnsi="Arial"/>
                <w:sz w:val="16"/>
                <w:szCs w:val="16"/>
              </w:rPr>
              <w:t>During 2025-26, the project will deliver additional HIMARS launchers and associated munitions, and continue with introduction into service activities.</w:t>
            </w:r>
          </w:p>
        </w:tc>
      </w:tr>
      <w:tr w:rsidR="00B86D3B" w:rsidRPr="00BA1388" w14:paraId="6B9F6370" w14:textId="77777777" w:rsidTr="00714569">
        <w:trPr>
          <w:trHeight w:val="673"/>
        </w:trPr>
        <w:tc>
          <w:tcPr>
            <w:tcW w:w="1839" w:type="dxa"/>
            <w:vMerge/>
            <w:tcBorders>
              <w:top w:val="single" w:sz="4" w:space="0" w:color="auto"/>
              <w:left w:val="single" w:sz="4" w:space="0" w:color="auto"/>
              <w:bottom w:val="single" w:sz="4" w:space="0" w:color="auto"/>
              <w:right w:val="single" w:sz="4" w:space="0" w:color="auto"/>
            </w:tcBorders>
            <w:vAlign w:val="center"/>
            <w:hideMark/>
          </w:tcPr>
          <w:p w14:paraId="2DC5819E" w14:textId="77777777" w:rsidR="00B86D3B" w:rsidRPr="00BA1388" w:rsidRDefault="00B86D3B" w:rsidP="00B86D3B">
            <w:pPr>
              <w:spacing w:after="0"/>
              <w:rPr>
                <w:rFonts w:ascii="Arial" w:hAnsi="Arial"/>
                <w:sz w:val="16"/>
                <w:szCs w:val="16"/>
                <w:highlight w:val="yellow"/>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0D0A64D7" w14:textId="77777777" w:rsidR="00B86D3B" w:rsidRPr="00BA1388" w:rsidRDefault="00B86D3B" w:rsidP="00B86D3B">
            <w:pPr>
              <w:spacing w:after="0"/>
              <w:rPr>
                <w:rFonts w:ascii="Arial" w:hAnsi="Arial"/>
                <w:b/>
                <w:bCs/>
                <w:sz w:val="16"/>
                <w:szCs w:val="16"/>
                <w:highlight w:val="yellow"/>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2CB48CC" w14:textId="77777777" w:rsidR="00B86D3B" w:rsidRPr="00F83D16" w:rsidRDefault="00B86D3B" w:rsidP="00B86D3B">
            <w:pPr>
              <w:spacing w:after="0"/>
              <w:rPr>
                <w:rFonts w:ascii="Arial" w:hAnsi="Arial"/>
                <w:sz w:val="16"/>
                <w:szCs w:val="16"/>
              </w:rPr>
            </w:pPr>
            <w:r w:rsidRPr="00F83D16">
              <w:rPr>
                <w:rFonts w:ascii="Arial" w:hAnsi="Arial"/>
                <w:sz w:val="16"/>
                <w:szCs w:val="16"/>
              </w:rPr>
              <w:t>Other Project Inputs to Capability</w:t>
            </w:r>
          </w:p>
        </w:tc>
        <w:tc>
          <w:tcPr>
            <w:tcW w:w="1277" w:type="dxa"/>
            <w:tcBorders>
              <w:top w:val="single" w:sz="4" w:space="0" w:color="auto"/>
              <w:left w:val="nil"/>
              <w:bottom w:val="single" w:sz="4" w:space="0" w:color="auto"/>
              <w:right w:val="single" w:sz="4" w:space="0" w:color="auto"/>
            </w:tcBorders>
            <w:shd w:val="clear" w:color="auto" w:fill="auto"/>
            <w:noWrap/>
            <w:vAlign w:val="center"/>
            <w:hideMark/>
          </w:tcPr>
          <w:p w14:paraId="2BB498E5" w14:textId="54577972" w:rsidR="00B86D3B" w:rsidRPr="00F83D16" w:rsidRDefault="00B86D3B" w:rsidP="00B86D3B">
            <w:pPr>
              <w:spacing w:after="0"/>
              <w:jc w:val="right"/>
              <w:rPr>
                <w:rFonts w:ascii="Arial" w:hAnsi="Arial"/>
                <w:sz w:val="16"/>
                <w:szCs w:val="16"/>
              </w:rPr>
            </w:pPr>
            <w:r w:rsidRPr="00F83D16">
              <w:rPr>
                <w:rFonts w:ascii="Arial" w:hAnsi="Arial"/>
                <w:sz w:val="16"/>
                <w:szCs w:val="16"/>
              </w:rPr>
              <w:t>481</w:t>
            </w:r>
          </w:p>
        </w:tc>
        <w:tc>
          <w:tcPr>
            <w:tcW w:w="1419" w:type="dxa"/>
            <w:tcBorders>
              <w:top w:val="single" w:sz="4" w:space="0" w:color="auto"/>
              <w:left w:val="nil"/>
              <w:bottom w:val="single" w:sz="4" w:space="0" w:color="auto"/>
              <w:right w:val="single" w:sz="4" w:space="0" w:color="auto"/>
            </w:tcBorders>
            <w:shd w:val="clear" w:color="auto" w:fill="auto"/>
            <w:noWrap/>
            <w:vAlign w:val="center"/>
            <w:hideMark/>
          </w:tcPr>
          <w:p w14:paraId="4A5A5A6A" w14:textId="5B9FBFE0" w:rsidR="00B86D3B" w:rsidRPr="00F83D16" w:rsidRDefault="00B86D3B" w:rsidP="00B86D3B">
            <w:pPr>
              <w:spacing w:after="0"/>
              <w:jc w:val="right"/>
              <w:rPr>
                <w:rFonts w:ascii="Arial" w:hAnsi="Arial"/>
                <w:sz w:val="16"/>
                <w:szCs w:val="16"/>
              </w:rPr>
            </w:pPr>
            <w:r w:rsidRPr="00F83D16">
              <w:rPr>
                <w:rFonts w:ascii="Arial" w:hAnsi="Arial"/>
                <w:sz w:val="16"/>
                <w:szCs w:val="16"/>
              </w:rPr>
              <w:t>107</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074B6A74" w14:textId="4A84F595" w:rsidR="00B86D3B" w:rsidRPr="00F83D16" w:rsidRDefault="00B86D3B" w:rsidP="00B86D3B">
            <w:pPr>
              <w:spacing w:after="0"/>
              <w:jc w:val="right"/>
              <w:rPr>
                <w:rFonts w:ascii="Arial" w:hAnsi="Arial"/>
                <w:sz w:val="16"/>
                <w:szCs w:val="16"/>
              </w:rPr>
            </w:pPr>
            <w:r w:rsidRPr="00F83D16">
              <w:rPr>
                <w:rFonts w:ascii="Arial" w:hAnsi="Arial"/>
                <w:sz w:val="16"/>
                <w:szCs w:val="16"/>
              </w:rPr>
              <w:t>60</w:t>
            </w:r>
          </w:p>
        </w:tc>
        <w:tc>
          <w:tcPr>
            <w:tcW w:w="57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3FA4BA" w14:textId="77777777" w:rsidR="00B86D3B" w:rsidRPr="00BA1388" w:rsidRDefault="00B86D3B" w:rsidP="00B86D3B">
            <w:pPr>
              <w:spacing w:before="0" w:after="80"/>
              <w:rPr>
                <w:rFonts w:ascii="Arial" w:hAnsi="Arial"/>
                <w:sz w:val="16"/>
                <w:szCs w:val="16"/>
                <w:highlight w:val="yellow"/>
              </w:rPr>
            </w:pPr>
          </w:p>
        </w:tc>
      </w:tr>
      <w:tr w:rsidR="00B86D3B" w:rsidRPr="00BA1388" w14:paraId="0C901EA8" w14:textId="77777777" w:rsidTr="00714569">
        <w:trPr>
          <w:trHeight w:hRule="exact" w:val="1793"/>
        </w:trPr>
        <w:tc>
          <w:tcPr>
            <w:tcW w:w="183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563C2C06" w14:textId="55A319B0" w:rsidR="00B86D3B" w:rsidRPr="00714569" w:rsidRDefault="00B86D3B" w:rsidP="00797D90">
            <w:pPr>
              <w:spacing w:after="0"/>
              <w:rPr>
                <w:rFonts w:ascii="Arial" w:hAnsi="Arial"/>
                <w:sz w:val="16"/>
                <w:szCs w:val="16"/>
              </w:rPr>
            </w:pPr>
            <w:r w:rsidRPr="00714569">
              <w:rPr>
                <w:rFonts w:ascii="Arial" w:hAnsi="Arial"/>
                <w:sz w:val="16"/>
                <w:szCs w:val="16"/>
              </w:rPr>
              <w:t>Army Water Transport</w:t>
            </w:r>
            <w:r w:rsidR="00FE45A1" w:rsidRPr="00714569">
              <w:rPr>
                <w:rFonts w:ascii="Arial" w:hAnsi="Arial"/>
                <w:sz w:val="16"/>
                <w:szCs w:val="16"/>
              </w:rPr>
              <w:t xml:space="preserve"> </w:t>
            </w:r>
          </w:p>
        </w:tc>
        <w:tc>
          <w:tcPr>
            <w:tcW w:w="113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5D71D0FF" w14:textId="01A42FD4" w:rsidR="00B86D3B" w:rsidRPr="00714569" w:rsidRDefault="00B86D3B" w:rsidP="00B86D3B">
            <w:pPr>
              <w:spacing w:after="0"/>
              <w:jc w:val="center"/>
              <w:rPr>
                <w:rFonts w:ascii="Arial" w:hAnsi="Arial"/>
                <w:b/>
                <w:bCs/>
                <w:sz w:val="16"/>
                <w:szCs w:val="16"/>
              </w:rPr>
            </w:pPr>
            <w:r w:rsidRPr="00714569">
              <w:rPr>
                <w:rFonts w:ascii="Arial" w:hAnsi="Arial"/>
                <w:b/>
                <w:bCs/>
                <w:sz w:val="16"/>
                <w:szCs w:val="16"/>
              </w:rPr>
              <w:t>LAND 8710 Phase 1</w:t>
            </w:r>
          </w:p>
        </w:tc>
        <w:tc>
          <w:tcPr>
            <w:tcW w:w="1560" w:type="dxa"/>
            <w:tcBorders>
              <w:top w:val="single" w:sz="4" w:space="0" w:color="auto"/>
              <w:left w:val="nil"/>
              <w:bottom w:val="single" w:sz="4" w:space="0" w:color="auto"/>
              <w:right w:val="single" w:sz="4" w:space="0" w:color="auto"/>
            </w:tcBorders>
            <w:shd w:val="clear" w:color="auto" w:fill="auto"/>
            <w:vAlign w:val="center"/>
          </w:tcPr>
          <w:p w14:paraId="726BB946" w14:textId="2C07EA10" w:rsidR="00B86D3B" w:rsidRPr="00F83D16" w:rsidRDefault="00B86D3B" w:rsidP="00B86D3B">
            <w:pPr>
              <w:spacing w:after="0"/>
              <w:rPr>
                <w:rFonts w:ascii="Arial" w:hAnsi="Arial"/>
                <w:sz w:val="16"/>
                <w:szCs w:val="16"/>
              </w:rPr>
            </w:pPr>
            <w:r w:rsidRPr="00F83D16">
              <w:rPr>
                <w:rFonts w:ascii="Arial" w:hAnsi="Arial"/>
                <w:sz w:val="16"/>
                <w:szCs w:val="16"/>
              </w:rPr>
              <w:t>Military Equipment Acquisition</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29AFAF30" w14:textId="2DE08144" w:rsidR="00B86D3B" w:rsidRPr="00F83D16" w:rsidRDefault="00B86D3B" w:rsidP="00B86D3B">
            <w:pPr>
              <w:spacing w:after="0"/>
              <w:jc w:val="right"/>
              <w:rPr>
                <w:rFonts w:ascii="Arial" w:hAnsi="Arial"/>
                <w:sz w:val="16"/>
                <w:szCs w:val="16"/>
              </w:rPr>
            </w:pPr>
            <w:r w:rsidRPr="00F83D16">
              <w:rPr>
                <w:rFonts w:ascii="Arial" w:hAnsi="Arial"/>
                <w:sz w:val="16"/>
                <w:szCs w:val="16"/>
              </w:rPr>
              <w:t>2,306</w:t>
            </w:r>
          </w:p>
        </w:tc>
        <w:tc>
          <w:tcPr>
            <w:tcW w:w="1419" w:type="dxa"/>
            <w:tcBorders>
              <w:top w:val="single" w:sz="4" w:space="0" w:color="auto"/>
              <w:left w:val="nil"/>
              <w:bottom w:val="single" w:sz="4" w:space="0" w:color="auto"/>
              <w:right w:val="single" w:sz="4" w:space="0" w:color="auto"/>
            </w:tcBorders>
            <w:shd w:val="clear" w:color="auto" w:fill="auto"/>
            <w:noWrap/>
            <w:vAlign w:val="center"/>
          </w:tcPr>
          <w:p w14:paraId="53E0888C" w14:textId="60111903" w:rsidR="00B86D3B" w:rsidRPr="00F83D16" w:rsidRDefault="00B86D3B" w:rsidP="00B86D3B">
            <w:pPr>
              <w:spacing w:after="0"/>
              <w:jc w:val="right"/>
              <w:rPr>
                <w:rFonts w:ascii="Arial" w:hAnsi="Arial"/>
                <w:sz w:val="16"/>
                <w:szCs w:val="16"/>
              </w:rPr>
            </w:pPr>
            <w:r w:rsidRPr="00F83D16">
              <w:rPr>
                <w:rFonts w:ascii="Arial" w:hAnsi="Arial"/>
                <w:sz w:val="16"/>
                <w:szCs w:val="16"/>
              </w:rPr>
              <w:t>108</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7E340F8" w14:textId="7372399B" w:rsidR="00B86D3B" w:rsidRPr="00F83D16" w:rsidRDefault="00B86D3B" w:rsidP="00B86D3B">
            <w:pPr>
              <w:spacing w:after="0"/>
              <w:jc w:val="right"/>
              <w:rPr>
                <w:rFonts w:ascii="Arial" w:hAnsi="Arial"/>
                <w:sz w:val="16"/>
                <w:szCs w:val="16"/>
              </w:rPr>
            </w:pPr>
            <w:r w:rsidRPr="00F83D16">
              <w:rPr>
                <w:rFonts w:ascii="Arial" w:hAnsi="Arial"/>
                <w:sz w:val="16"/>
                <w:szCs w:val="16"/>
              </w:rPr>
              <w:t>233</w:t>
            </w:r>
          </w:p>
        </w:tc>
        <w:tc>
          <w:tcPr>
            <w:tcW w:w="573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1997C221" w14:textId="0F83EA3A" w:rsidR="00714569" w:rsidRDefault="00714569" w:rsidP="00714569">
            <w:pPr>
              <w:rPr>
                <w:rFonts w:ascii="Arial" w:hAnsi="Arial"/>
                <w:sz w:val="16"/>
                <w:szCs w:val="16"/>
              </w:rPr>
            </w:pPr>
            <w:r w:rsidRPr="00714569">
              <w:rPr>
                <w:rFonts w:ascii="Arial" w:hAnsi="Arial"/>
                <w:sz w:val="16"/>
                <w:szCs w:val="16"/>
              </w:rPr>
              <w:t>LAND 8710 Phase 1 will acquire 18 Landing Craft Medium (LCM) and 15 Amphibious Vehicle Logistics (AVL), allowing Army to replace the legacy landing craft (Landing Craft Mechanized, Mark 8) and the legacy over-the-shore capability (Lighter Amphibious Re-supply Cargo 5(V) ton) respectively providing a significant increase in capability.</w:t>
            </w:r>
          </w:p>
          <w:p w14:paraId="0149F030" w14:textId="383F63B3" w:rsidR="00B86D3B" w:rsidRPr="00BA1388" w:rsidRDefault="00714569" w:rsidP="00714569">
            <w:pPr>
              <w:rPr>
                <w:rFonts w:ascii="Arial" w:hAnsi="Arial"/>
                <w:sz w:val="16"/>
                <w:szCs w:val="16"/>
                <w:highlight w:val="yellow"/>
              </w:rPr>
            </w:pPr>
            <w:r w:rsidRPr="00714569">
              <w:rPr>
                <w:rFonts w:ascii="Arial" w:hAnsi="Arial"/>
                <w:sz w:val="16"/>
                <w:szCs w:val="16"/>
              </w:rPr>
              <w:t>The Amphibious Vehicle Logistics will provide over-the-shore mobility and sustainment of the Integrated</w:t>
            </w:r>
            <w:r>
              <w:rPr>
                <w:i/>
                <w:iCs/>
                <w:color w:val="1F497D"/>
              </w:rPr>
              <w:t xml:space="preserve"> </w:t>
            </w:r>
            <w:r w:rsidRPr="00714569">
              <w:rPr>
                <w:rFonts w:ascii="Arial" w:hAnsi="Arial"/>
                <w:sz w:val="16"/>
                <w:szCs w:val="16"/>
              </w:rPr>
              <w:t>Force in littoral environments inaccessible to landing craft or vehicles. It will be able to pro</w:t>
            </w:r>
            <w:r w:rsidR="001665F7">
              <w:rPr>
                <w:rFonts w:ascii="Arial" w:hAnsi="Arial"/>
                <w:sz w:val="16"/>
                <w:szCs w:val="16"/>
              </w:rPr>
              <w:t>ject cargo loads of around five </w:t>
            </w:r>
            <w:r w:rsidRPr="00714569">
              <w:rPr>
                <w:rFonts w:ascii="Arial" w:hAnsi="Arial"/>
                <w:sz w:val="16"/>
                <w:szCs w:val="16"/>
              </w:rPr>
              <w:t>tonnes, playing an essential role in providing access over beaches and through waterways that may be obstructed by obstacles or debris.</w:t>
            </w:r>
          </w:p>
        </w:tc>
      </w:tr>
      <w:tr w:rsidR="00B86D3B" w:rsidRPr="00BA1388" w14:paraId="2A74D955" w14:textId="77777777" w:rsidTr="00714569">
        <w:trPr>
          <w:trHeight w:hRule="exact" w:val="1181"/>
        </w:trPr>
        <w:tc>
          <w:tcPr>
            <w:tcW w:w="1839" w:type="dxa"/>
            <w:vMerge/>
            <w:tcBorders>
              <w:top w:val="nil"/>
              <w:left w:val="single" w:sz="4" w:space="0" w:color="auto"/>
              <w:bottom w:val="single" w:sz="4" w:space="0" w:color="auto"/>
              <w:right w:val="single" w:sz="4" w:space="0" w:color="auto"/>
            </w:tcBorders>
            <w:vAlign w:val="center"/>
          </w:tcPr>
          <w:p w14:paraId="0FF4D5DF" w14:textId="77777777" w:rsidR="00B86D3B" w:rsidRPr="00F83D16" w:rsidRDefault="00B86D3B" w:rsidP="00B86D3B">
            <w:pPr>
              <w:spacing w:after="0"/>
              <w:rPr>
                <w:rFonts w:ascii="Arial" w:hAnsi="Arial"/>
                <w:sz w:val="16"/>
                <w:szCs w:val="16"/>
                <w:highlight w:val="yellow"/>
              </w:rPr>
            </w:pPr>
          </w:p>
        </w:tc>
        <w:tc>
          <w:tcPr>
            <w:tcW w:w="1135" w:type="dxa"/>
            <w:vMerge/>
            <w:tcBorders>
              <w:top w:val="nil"/>
              <w:left w:val="single" w:sz="4" w:space="0" w:color="auto"/>
              <w:bottom w:val="single" w:sz="4" w:space="0" w:color="auto"/>
              <w:right w:val="single" w:sz="4" w:space="0" w:color="auto"/>
            </w:tcBorders>
            <w:vAlign w:val="center"/>
          </w:tcPr>
          <w:p w14:paraId="3EBD8BE3" w14:textId="77777777" w:rsidR="00B86D3B" w:rsidRPr="00F83D16" w:rsidRDefault="00B86D3B" w:rsidP="00B86D3B">
            <w:pPr>
              <w:spacing w:after="0"/>
              <w:rPr>
                <w:rFonts w:ascii="Arial" w:hAnsi="Arial"/>
                <w:b/>
                <w:bCs/>
                <w:sz w:val="16"/>
                <w:szCs w:val="16"/>
                <w:highlight w:val="yellow"/>
              </w:rPr>
            </w:pPr>
          </w:p>
        </w:tc>
        <w:tc>
          <w:tcPr>
            <w:tcW w:w="1560" w:type="dxa"/>
            <w:tcBorders>
              <w:top w:val="nil"/>
              <w:left w:val="nil"/>
              <w:bottom w:val="single" w:sz="4" w:space="0" w:color="auto"/>
              <w:right w:val="single" w:sz="4" w:space="0" w:color="auto"/>
            </w:tcBorders>
            <w:shd w:val="clear" w:color="auto" w:fill="auto"/>
            <w:vAlign w:val="center"/>
          </w:tcPr>
          <w:p w14:paraId="08AC6AAF" w14:textId="46AB2807" w:rsidR="00B86D3B" w:rsidRPr="00F83D16" w:rsidRDefault="00B86D3B" w:rsidP="00B86D3B">
            <w:pPr>
              <w:spacing w:after="0"/>
              <w:rPr>
                <w:rFonts w:ascii="Arial" w:hAnsi="Arial"/>
                <w:sz w:val="16"/>
                <w:szCs w:val="16"/>
              </w:rPr>
            </w:pPr>
            <w:r w:rsidRPr="00F83D16">
              <w:rPr>
                <w:rFonts w:ascii="Arial" w:hAnsi="Arial"/>
                <w:sz w:val="16"/>
                <w:szCs w:val="16"/>
              </w:rPr>
              <w:t>Other Project Inputs to Capability</w:t>
            </w:r>
          </w:p>
        </w:tc>
        <w:tc>
          <w:tcPr>
            <w:tcW w:w="1277" w:type="dxa"/>
            <w:tcBorders>
              <w:top w:val="nil"/>
              <w:left w:val="nil"/>
              <w:bottom w:val="single" w:sz="4" w:space="0" w:color="auto"/>
              <w:right w:val="single" w:sz="4" w:space="0" w:color="auto"/>
            </w:tcBorders>
            <w:shd w:val="clear" w:color="auto" w:fill="auto"/>
            <w:noWrap/>
            <w:vAlign w:val="center"/>
          </w:tcPr>
          <w:p w14:paraId="598563E2" w14:textId="2F807A36" w:rsidR="00B86D3B" w:rsidRPr="00F83D16" w:rsidRDefault="00B86D3B" w:rsidP="00B86D3B">
            <w:pPr>
              <w:spacing w:after="0"/>
              <w:jc w:val="right"/>
              <w:rPr>
                <w:rFonts w:ascii="Arial" w:hAnsi="Arial"/>
                <w:sz w:val="16"/>
                <w:szCs w:val="16"/>
              </w:rPr>
            </w:pPr>
            <w:r w:rsidRPr="00F83D16">
              <w:rPr>
                <w:rFonts w:ascii="Arial" w:hAnsi="Arial"/>
                <w:sz w:val="16"/>
                <w:szCs w:val="16"/>
              </w:rPr>
              <w:t>291</w:t>
            </w:r>
          </w:p>
        </w:tc>
        <w:tc>
          <w:tcPr>
            <w:tcW w:w="1419" w:type="dxa"/>
            <w:tcBorders>
              <w:top w:val="nil"/>
              <w:left w:val="nil"/>
              <w:bottom w:val="single" w:sz="4" w:space="0" w:color="auto"/>
              <w:right w:val="single" w:sz="4" w:space="0" w:color="auto"/>
            </w:tcBorders>
            <w:shd w:val="clear" w:color="auto" w:fill="auto"/>
            <w:noWrap/>
            <w:vAlign w:val="center"/>
          </w:tcPr>
          <w:p w14:paraId="6D55CAA9" w14:textId="3704B236" w:rsidR="00B86D3B" w:rsidRPr="00F83D16" w:rsidRDefault="00B86D3B" w:rsidP="00B86D3B">
            <w:pPr>
              <w:spacing w:after="0"/>
              <w:jc w:val="right"/>
              <w:rPr>
                <w:rFonts w:ascii="Arial" w:hAnsi="Arial"/>
                <w:sz w:val="16"/>
                <w:szCs w:val="16"/>
              </w:rPr>
            </w:pPr>
            <w:r w:rsidRPr="00F83D16">
              <w:rPr>
                <w:rFonts w:ascii="Arial" w:hAnsi="Arial"/>
                <w:sz w:val="16"/>
                <w:szCs w:val="16"/>
              </w:rPr>
              <w:t>21</w:t>
            </w:r>
          </w:p>
        </w:tc>
        <w:tc>
          <w:tcPr>
            <w:tcW w:w="993" w:type="dxa"/>
            <w:tcBorders>
              <w:top w:val="nil"/>
              <w:left w:val="nil"/>
              <w:bottom w:val="single" w:sz="4" w:space="0" w:color="auto"/>
              <w:right w:val="single" w:sz="4" w:space="0" w:color="auto"/>
            </w:tcBorders>
            <w:shd w:val="clear" w:color="auto" w:fill="auto"/>
            <w:noWrap/>
            <w:vAlign w:val="center"/>
          </w:tcPr>
          <w:p w14:paraId="0F4CB560" w14:textId="17C18AFC" w:rsidR="00B86D3B" w:rsidRPr="00F83D16" w:rsidRDefault="00B86D3B" w:rsidP="00B86D3B">
            <w:pPr>
              <w:spacing w:after="0"/>
              <w:jc w:val="right"/>
              <w:rPr>
                <w:rFonts w:ascii="Arial" w:hAnsi="Arial"/>
                <w:sz w:val="16"/>
                <w:szCs w:val="16"/>
              </w:rPr>
            </w:pPr>
            <w:r w:rsidRPr="00F83D16">
              <w:rPr>
                <w:rFonts w:ascii="Arial" w:hAnsi="Arial"/>
                <w:sz w:val="16"/>
                <w:szCs w:val="16"/>
              </w:rPr>
              <w:t>42</w:t>
            </w:r>
          </w:p>
        </w:tc>
        <w:tc>
          <w:tcPr>
            <w:tcW w:w="5735" w:type="dxa"/>
            <w:vMerge/>
            <w:tcBorders>
              <w:top w:val="nil"/>
              <w:left w:val="single" w:sz="4" w:space="0" w:color="auto"/>
              <w:bottom w:val="single" w:sz="4" w:space="0" w:color="auto"/>
              <w:right w:val="single" w:sz="4" w:space="0" w:color="auto"/>
            </w:tcBorders>
            <w:vAlign w:val="center"/>
          </w:tcPr>
          <w:p w14:paraId="0CD6E0A5" w14:textId="77777777" w:rsidR="00B86D3B" w:rsidRPr="00BA1388" w:rsidRDefault="00B86D3B" w:rsidP="00B86D3B">
            <w:pPr>
              <w:spacing w:before="0" w:after="80"/>
              <w:rPr>
                <w:rFonts w:ascii="Arial" w:hAnsi="Arial"/>
                <w:sz w:val="16"/>
                <w:szCs w:val="16"/>
                <w:highlight w:val="yellow"/>
              </w:rPr>
            </w:pPr>
          </w:p>
        </w:tc>
      </w:tr>
      <w:tr w:rsidR="00B86D3B" w:rsidRPr="00BA1388" w14:paraId="74FAD1D1" w14:textId="77777777" w:rsidTr="00042FF0">
        <w:trPr>
          <w:trHeight w:hRule="exact" w:val="415"/>
        </w:trPr>
        <w:tc>
          <w:tcPr>
            <w:tcW w:w="13958" w:type="dxa"/>
            <w:gridSpan w:val="7"/>
            <w:tcBorders>
              <w:top w:val="single" w:sz="4" w:space="0" w:color="auto"/>
              <w:left w:val="single" w:sz="4" w:space="0" w:color="auto"/>
              <w:right w:val="single" w:sz="4" w:space="0" w:color="auto"/>
            </w:tcBorders>
            <w:shd w:val="clear" w:color="auto" w:fill="D9D9D9" w:themeFill="background1" w:themeFillShade="D9"/>
            <w:vAlign w:val="center"/>
          </w:tcPr>
          <w:p w14:paraId="5170F1D8" w14:textId="251D5B52" w:rsidR="00B86D3B" w:rsidRPr="00BA1388" w:rsidRDefault="00B86D3B" w:rsidP="00B86D3B">
            <w:pPr>
              <w:pageBreakBefore/>
              <w:spacing w:before="0" w:after="80"/>
              <w:rPr>
                <w:rFonts w:ascii="Arial" w:hAnsi="Arial"/>
                <w:sz w:val="16"/>
                <w:szCs w:val="16"/>
                <w:highlight w:val="yellow"/>
              </w:rPr>
            </w:pPr>
            <w:r w:rsidRPr="00042FF0">
              <w:rPr>
                <w:rFonts w:ascii="Arial" w:hAnsi="Arial"/>
                <w:b/>
                <w:bCs/>
                <w:sz w:val="16"/>
                <w:szCs w:val="16"/>
              </w:rPr>
              <w:lastRenderedPageBreak/>
              <w:t>Land Domain (Continued)</w:t>
            </w:r>
          </w:p>
        </w:tc>
      </w:tr>
      <w:tr w:rsidR="00714569" w:rsidRPr="00BA1388" w14:paraId="2F72C12B" w14:textId="77777777" w:rsidTr="004735F3">
        <w:trPr>
          <w:trHeight w:hRule="exact" w:val="594"/>
        </w:trPr>
        <w:tc>
          <w:tcPr>
            <w:tcW w:w="1839" w:type="dxa"/>
            <w:vMerge w:val="restart"/>
            <w:tcBorders>
              <w:top w:val="single" w:sz="4" w:space="0" w:color="auto"/>
              <w:left w:val="single" w:sz="4" w:space="0" w:color="auto"/>
              <w:right w:val="single" w:sz="4" w:space="0" w:color="auto"/>
            </w:tcBorders>
            <w:shd w:val="clear" w:color="auto" w:fill="auto"/>
            <w:vAlign w:val="center"/>
          </w:tcPr>
          <w:p w14:paraId="770C42CA" w14:textId="77777777" w:rsidR="00714569" w:rsidRPr="00DA501F" w:rsidRDefault="00714569" w:rsidP="004735F3">
            <w:pPr>
              <w:spacing w:after="0"/>
              <w:rPr>
                <w:rFonts w:ascii="Arial" w:hAnsi="Arial"/>
                <w:sz w:val="16"/>
                <w:szCs w:val="16"/>
              </w:rPr>
            </w:pPr>
            <w:r w:rsidRPr="00DA501F">
              <w:rPr>
                <w:rFonts w:ascii="Arial" w:hAnsi="Arial"/>
                <w:sz w:val="16"/>
                <w:szCs w:val="16"/>
              </w:rPr>
              <w:t>Special Operations Capability Enhancements</w:t>
            </w:r>
            <w:r>
              <w:rPr>
                <w:rFonts w:ascii="Arial" w:hAnsi="Arial"/>
                <w:sz w:val="16"/>
                <w:szCs w:val="16"/>
              </w:rPr>
              <w:t xml:space="preserve"> </w:t>
            </w:r>
          </w:p>
        </w:tc>
        <w:tc>
          <w:tcPr>
            <w:tcW w:w="1135" w:type="dxa"/>
            <w:vMerge w:val="restart"/>
            <w:tcBorders>
              <w:top w:val="single" w:sz="4" w:space="0" w:color="auto"/>
              <w:left w:val="single" w:sz="4" w:space="0" w:color="auto"/>
              <w:right w:val="single" w:sz="4" w:space="0" w:color="auto"/>
            </w:tcBorders>
            <w:shd w:val="clear" w:color="auto" w:fill="auto"/>
            <w:vAlign w:val="center"/>
          </w:tcPr>
          <w:p w14:paraId="2C6B3D7D" w14:textId="77777777" w:rsidR="00714569" w:rsidRPr="00DA501F" w:rsidRDefault="00714569" w:rsidP="004735F3">
            <w:pPr>
              <w:spacing w:after="0"/>
              <w:jc w:val="center"/>
              <w:rPr>
                <w:rFonts w:ascii="Arial" w:hAnsi="Arial"/>
                <w:b/>
                <w:bCs/>
                <w:sz w:val="16"/>
                <w:szCs w:val="16"/>
              </w:rPr>
            </w:pPr>
            <w:r w:rsidRPr="00DA501F">
              <w:rPr>
                <w:rFonts w:ascii="Arial" w:hAnsi="Arial"/>
                <w:b/>
                <w:bCs/>
                <w:sz w:val="16"/>
                <w:szCs w:val="16"/>
              </w:rPr>
              <w:t>LAND 1508</w:t>
            </w:r>
          </w:p>
        </w:tc>
        <w:tc>
          <w:tcPr>
            <w:tcW w:w="1560" w:type="dxa"/>
            <w:tcBorders>
              <w:top w:val="single" w:sz="4" w:space="0" w:color="auto"/>
              <w:left w:val="nil"/>
              <w:bottom w:val="single" w:sz="4" w:space="0" w:color="auto"/>
              <w:right w:val="single" w:sz="4" w:space="0" w:color="auto"/>
            </w:tcBorders>
            <w:shd w:val="clear" w:color="auto" w:fill="auto"/>
            <w:vAlign w:val="center"/>
          </w:tcPr>
          <w:p w14:paraId="2922B2DD" w14:textId="77777777" w:rsidR="00714569" w:rsidRPr="00F83D16" w:rsidRDefault="00714569" w:rsidP="004735F3">
            <w:pPr>
              <w:spacing w:after="0"/>
              <w:rPr>
                <w:rFonts w:ascii="Arial" w:hAnsi="Arial"/>
                <w:sz w:val="16"/>
                <w:szCs w:val="16"/>
              </w:rPr>
            </w:pPr>
            <w:r w:rsidRPr="00F83D16">
              <w:rPr>
                <w:rFonts w:ascii="Arial" w:hAnsi="Arial"/>
                <w:sz w:val="16"/>
                <w:szCs w:val="16"/>
              </w:rPr>
              <w:t>Military Equipment Acquisition</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33348295" w14:textId="77777777" w:rsidR="00714569" w:rsidRPr="00F83D16" w:rsidRDefault="00714569" w:rsidP="004735F3">
            <w:pPr>
              <w:spacing w:before="0" w:after="0"/>
              <w:jc w:val="right"/>
              <w:rPr>
                <w:rFonts w:ascii="Arial" w:hAnsi="Arial"/>
                <w:sz w:val="16"/>
                <w:szCs w:val="16"/>
              </w:rPr>
            </w:pPr>
            <w:r w:rsidRPr="00F83D16">
              <w:rPr>
                <w:rFonts w:ascii="Arial" w:hAnsi="Arial"/>
                <w:sz w:val="16"/>
                <w:szCs w:val="16"/>
              </w:rPr>
              <w:t>339</w:t>
            </w:r>
          </w:p>
        </w:tc>
        <w:tc>
          <w:tcPr>
            <w:tcW w:w="1419" w:type="dxa"/>
            <w:tcBorders>
              <w:top w:val="single" w:sz="4" w:space="0" w:color="auto"/>
              <w:left w:val="nil"/>
              <w:bottom w:val="single" w:sz="4" w:space="0" w:color="auto"/>
              <w:right w:val="single" w:sz="4" w:space="0" w:color="auto"/>
            </w:tcBorders>
            <w:shd w:val="clear" w:color="auto" w:fill="auto"/>
            <w:noWrap/>
            <w:vAlign w:val="center"/>
          </w:tcPr>
          <w:p w14:paraId="00824DBF" w14:textId="77777777" w:rsidR="00714569" w:rsidRPr="00F83D16" w:rsidRDefault="00714569" w:rsidP="004735F3">
            <w:pPr>
              <w:spacing w:before="0" w:after="0"/>
              <w:jc w:val="right"/>
              <w:rPr>
                <w:rFonts w:ascii="Arial" w:hAnsi="Arial"/>
                <w:sz w:val="16"/>
                <w:szCs w:val="16"/>
              </w:rPr>
            </w:pPr>
            <w:r w:rsidRPr="00F83D16">
              <w:rPr>
                <w:rFonts w:ascii="Arial" w:hAnsi="Arial"/>
                <w:sz w:val="16"/>
                <w:szCs w:val="16"/>
              </w:rPr>
              <w:t>222</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1ED5408" w14:textId="77777777" w:rsidR="00714569" w:rsidRPr="00F83D16" w:rsidRDefault="00714569" w:rsidP="004735F3">
            <w:pPr>
              <w:spacing w:before="0" w:after="0"/>
              <w:jc w:val="right"/>
              <w:rPr>
                <w:rFonts w:ascii="Arial" w:hAnsi="Arial"/>
                <w:sz w:val="16"/>
                <w:szCs w:val="16"/>
              </w:rPr>
            </w:pPr>
            <w:r w:rsidRPr="00F83D16">
              <w:rPr>
                <w:rFonts w:ascii="Arial" w:hAnsi="Arial"/>
                <w:sz w:val="16"/>
                <w:szCs w:val="16"/>
              </w:rPr>
              <w:t>37</w:t>
            </w:r>
          </w:p>
        </w:tc>
        <w:tc>
          <w:tcPr>
            <w:tcW w:w="5735" w:type="dxa"/>
            <w:vMerge w:val="restart"/>
            <w:tcBorders>
              <w:top w:val="single" w:sz="4" w:space="0" w:color="auto"/>
              <w:left w:val="single" w:sz="4" w:space="0" w:color="auto"/>
              <w:right w:val="single" w:sz="4" w:space="0" w:color="auto"/>
            </w:tcBorders>
            <w:shd w:val="clear" w:color="auto" w:fill="auto"/>
            <w:vAlign w:val="center"/>
          </w:tcPr>
          <w:p w14:paraId="28BD80DD" w14:textId="77777777" w:rsidR="00714569" w:rsidRDefault="00714569" w:rsidP="004735F3">
            <w:pPr>
              <w:autoSpaceDE w:val="0"/>
              <w:autoSpaceDN w:val="0"/>
              <w:rPr>
                <w:rFonts w:ascii="Arial" w:hAnsi="Arial"/>
                <w:color w:val="000000"/>
                <w:sz w:val="16"/>
                <w:szCs w:val="16"/>
                <w:lang w:val="en-AU"/>
              </w:rPr>
            </w:pPr>
            <w:r>
              <w:rPr>
                <w:rFonts w:ascii="Arial" w:hAnsi="Arial"/>
                <w:color w:val="000000"/>
                <w:sz w:val="16"/>
                <w:szCs w:val="16"/>
              </w:rPr>
              <w:t xml:space="preserve">The Special Operations Capability Enhancement project will continue to rapidly evolve leading edge capability in response to the changing operational environment, emerging threats and advancing technology. </w:t>
            </w:r>
          </w:p>
          <w:p w14:paraId="090567FB" w14:textId="77777777" w:rsidR="00714569" w:rsidRPr="00BA1388" w:rsidRDefault="00714569" w:rsidP="004735F3">
            <w:pPr>
              <w:spacing w:before="0" w:after="80"/>
              <w:rPr>
                <w:rFonts w:ascii="Arial" w:hAnsi="Arial"/>
                <w:sz w:val="16"/>
                <w:szCs w:val="16"/>
                <w:highlight w:val="yellow"/>
              </w:rPr>
            </w:pPr>
            <w:r>
              <w:rPr>
                <w:rFonts w:ascii="Arial" w:hAnsi="Arial"/>
                <w:color w:val="000000"/>
                <w:sz w:val="16"/>
                <w:szCs w:val="16"/>
              </w:rPr>
              <w:t>During 2025-26, the project is focusing on the final Materiel Releases under Tranche 1, and delivery of the first Tranche 2 capabilities.</w:t>
            </w:r>
          </w:p>
        </w:tc>
      </w:tr>
      <w:tr w:rsidR="00714569" w:rsidRPr="00BA1388" w14:paraId="6B29944E" w14:textId="77777777" w:rsidTr="004735F3">
        <w:trPr>
          <w:trHeight w:hRule="exact" w:val="651"/>
        </w:trPr>
        <w:tc>
          <w:tcPr>
            <w:tcW w:w="1839" w:type="dxa"/>
            <w:vMerge/>
            <w:tcBorders>
              <w:left w:val="single" w:sz="4" w:space="0" w:color="auto"/>
              <w:bottom w:val="single" w:sz="4" w:space="0" w:color="auto"/>
              <w:right w:val="single" w:sz="4" w:space="0" w:color="auto"/>
            </w:tcBorders>
            <w:shd w:val="clear" w:color="auto" w:fill="auto"/>
            <w:vAlign w:val="center"/>
          </w:tcPr>
          <w:p w14:paraId="60695A8F" w14:textId="77777777" w:rsidR="00714569" w:rsidRPr="00F83D16" w:rsidRDefault="00714569" w:rsidP="004735F3">
            <w:pPr>
              <w:spacing w:after="0"/>
              <w:rPr>
                <w:rFonts w:ascii="Arial" w:hAnsi="Arial"/>
                <w:sz w:val="16"/>
                <w:szCs w:val="16"/>
                <w:highlight w:val="yellow"/>
              </w:rPr>
            </w:pPr>
          </w:p>
        </w:tc>
        <w:tc>
          <w:tcPr>
            <w:tcW w:w="1135" w:type="dxa"/>
            <w:vMerge/>
            <w:tcBorders>
              <w:left w:val="single" w:sz="4" w:space="0" w:color="auto"/>
              <w:bottom w:val="single" w:sz="4" w:space="0" w:color="auto"/>
              <w:right w:val="single" w:sz="4" w:space="0" w:color="auto"/>
            </w:tcBorders>
            <w:shd w:val="clear" w:color="auto" w:fill="auto"/>
            <w:vAlign w:val="center"/>
          </w:tcPr>
          <w:p w14:paraId="44C41087" w14:textId="77777777" w:rsidR="00714569" w:rsidRPr="00F83D16" w:rsidRDefault="00714569" w:rsidP="004735F3">
            <w:pPr>
              <w:spacing w:after="0"/>
              <w:jc w:val="center"/>
              <w:rPr>
                <w:rFonts w:ascii="Arial" w:hAnsi="Arial"/>
                <w:b/>
                <w:bCs/>
                <w:sz w:val="16"/>
                <w:szCs w:val="16"/>
                <w:highlight w:val="yellow"/>
              </w:rPr>
            </w:pPr>
          </w:p>
        </w:tc>
        <w:tc>
          <w:tcPr>
            <w:tcW w:w="1560" w:type="dxa"/>
            <w:tcBorders>
              <w:top w:val="single" w:sz="4" w:space="0" w:color="auto"/>
              <w:left w:val="nil"/>
              <w:bottom w:val="single" w:sz="4" w:space="0" w:color="auto"/>
              <w:right w:val="single" w:sz="4" w:space="0" w:color="auto"/>
            </w:tcBorders>
            <w:shd w:val="clear" w:color="auto" w:fill="auto"/>
            <w:vAlign w:val="center"/>
          </w:tcPr>
          <w:p w14:paraId="30BAF4D8" w14:textId="77777777" w:rsidR="00714569" w:rsidRPr="00F83D16" w:rsidRDefault="00714569" w:rsidP="004735F3">
            <w:pPr>
              <w:spacing w:after="0"/>
              <w:rPr>
                <w:rFonts w:ascii="Arial" w:hAnsi="Arial"/>
                <w:sz w:val="16"/>
                <w:szCs w:val="16"/>
              </w:rPr>
            </w:pPr>
            <w:r w:rsidRPr="00F83D16">
              <w:rPr>
                <w:rFonts w:ascii="Arial" w:hAnsi="Arial"/>
                <w:sz w:val="16"/>
                <w:szCs w:val="16"/>
              </w:rPr>
              <w:t>Other Project Inputs to Capability</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0F4FC83B" w14:textId="77777777" w:rsidR="00714569" w:rsidRPr="00F83D16" w:rsidRDefault="00714569" w:rsidP="004735F3">
            <w:pPr>
              <w:spacing w:before="0" w:after="0"/>
              <w:jc w:val="right"/>
              <w:rPr>
                <w:rFonts w:ascii="Arial" w:hAnsi="Arial"/>
                <w:sz w:val="16"/>
                <w:szCs w:val="16"/>
              </w:rPr>
            </w:pPr>
            <w:r w:rsidRPr="00F83D16">
              <w:rPr>
                <w:rFonts w:ascii="Arial" w:hAnsi="Arial"/>
                <w:sz w:val="16"/>
                <w:szCs w:val="16"/>
              </w:rPr>
              <w:t>565</w:t>
            </w:r>
          </w:p>
        </w:tc>
        <w:tc>
          <w:tcPr>
            <w:tcW w:w="1419" w:type="dxa"/>
            <w:tcBorders>
              <w:top w:val="single" w:sz="4" w:space="0" w:color="auto"/>
              <w:left w:val="nil"/>
              <w:bottom w:val="single" w:sz="4" w:space="0" w:color="auto"/>
              <w:right w:val="single" w:sz="4" w:space="0" w:color="auto"/>
            </w:tcBorders>
            <w:shd w:val="clear" w:color="auto" w:fill="auto"/>
            <w:noWrap/>
            <w:vAlign w:val="center"/>
          </w:tcPr>
          <w:p w14:paraId="02C13709" w14:textId="77777777" w:rsidR="00714569" w:rsidRPr="00F83D16" w:rsidRDefault="00714569" w:rsidP="004735F3">
            <w:pPr>
              <w:spacing w:before="0" w:after="0"/>
              <w:jc w:val="right"/>
              <w:rPr>
                <w:rFonts w:ascii="Arial" w:hAnsi="Arial"/>
                <w:sz w:val="16"/>
                <w:szCs w:val="16"/>
              </w:rPr>
            </w:pPr>
            <w:r w:rsidRPr="00F83D16">
              <w:rPr>
                <w:rFonts w:ascii="Arial" w:hAnsi="Arial"/>
                <w:sz w:val="16"/>
                <w:szCs w:val="16"/>
              </w:rPr>
              <w:t>146</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968FF34" w14:textId="77777777" w:rsidR="00714569" w:rsidRPr="00F83D16" w:rsidRDefault="00714569" w:rsidP="004735F3">
            <w:pPr>
              <w:spacing w:before="0" w:after="0"/>
              <w:jc w:val="right"/>
              <w:rPr>
                <w:rFonts w:ascii="Arial" w:hAnsi="Arial"/>
                <w:sz w:val="16"/>
                <w:szCs w:val="16"/>
              </w:rPr>
            </w:pPr>
            <w:r w:rsidRPr="00F83D16">
              <w:rPr>
                <w:rFonts w:ascii="Arial" w:hAnsi="Arial"/>
                <w:sz w:val="16"/>
                <w:szCs w:val="16"/>
              </w:rPr>
              <w:t>169</w:t>
            </w:r>
          </w:p>
        </w:tc>
        <w:tc>
          <w:tcPr>
            <w:tcW w:w="5735" w:type="dxa"/>
            <w:vMerge/>
            <w:tcBorders>
              <w:left w:val="single" w:sz="4" w:space="0" w:color="auto"/>
              <w:bottom w:val="single" w:sz="4" w:space="0" w:color="auto"/>
              <w:right w:val="single" w:sz="4" w:space="0" w:color="auto"/>
            </w:tcBorders>
            <w:shd w:val="clear" w:color="auto" w:fill="auto"/>
            <w:vAlign w:val="center"/>
          </w:tcPr>
          <w:p w14:paraId="5C134ACD" w14:textId="77777777" w:rsidR="00714569" w:rsidRPr="00BA1388" w:rsidRDefault="00714569" w:rsidP="004735F3">
            <w:pPr>
              <w:spacing w:before="0" w:after="80"/>
              <w:rPr>
                <w:rFonts w:ascii="Arial" w:hAnsi="Arial"/>
                <w:sz w:val="16"/>
                <w:szCs w:val="16"/>
                <w:highlight w:val="yellow"/>
              </w:rPr>
            </w:pPr>
          </w:p>
        </w:tc>
      </w:tr>
      <w:tr w:rsidR="00B86D3B" w:rsidRPr="00BA1388" w14:paraId="502CE221" w14:textId="77777777" w:rsidTr="00B63C52">
        <w:trPr>
          <w:trHeight w:hRule="exact" w:val="626"/>
        </w:trPr>
        <w:tc>
          <w:tcPr>
            <w:tcW w:w="1839" w:type="dxa"/>
            <w:vMerge w:val="restart"/>
            <w:tcBorders>
              <w:top w:val="single" w:sz="4" w:space="0" w:color="auto"/>
              <w:left w:val="single" w:sz="4" w:space="0" w:color="auto"/>
              <w:right w:val="single" w:sz="4" w:space="0" w:color="auto"/>
            </w:tcBorders>
            <w:shd w:val="clear" w:color="auto" w:fill="auto"/>
            <w:vAlign w:val="center"/>
          </w:tcPr>
          <w:p w14:paraId="2B3FC124" w14:textId="24D01E6B" w:rsidR="00B86D3B" w:rsidRPr="00274DC3" w:rsidRDefault="00B86D3B" w:rsidP="00B86D3B">
            <w:pPr>
              <w:spacing w:after="0"/>
              <w:rPr>
                <w:rFonts w:ascii="Arial" w:hAnsi="Arial"/>
                <w:sz w:val="16"/>
                <w:szCs w:val="16"/>
              </w:rPr>
            </w:pPr>
            <w:r w:rsidRPr="00274DC3">
              <w:rPr>
                <w:rFonts w:ascii="Arial" w:hAnsi="Arial"/>
                <w:sz w:val="16"/>
                <w:szCs w:val="16"/>
              </w:rPr>
              <w:t>Uncrewed Aerial Vehicles</w:t>
            </w:r>
          </w:p>
        </w:tc>
        <w:tc>
          <w:tcPr>
            <w:tcW w:w="1135" w:type="dxa"/>
            <w:vMerge w:val="restart"/>
            <w:tcBorders>
              <w:top w:val="single" w:sz="4" w:space="0" w:color="auto"/>
              <w:left w:val="single" w:sz="4" w:space="0" w:color="auto"/>
              <w:right w:val="single" w:sz="4" w:space="0" w:color="auto"/>
            </w:tcBorders>
            <w:shd w:val="clear" w:color="auto" w:fill="auto"/>
            <w:vAlign w:val="center"/>
          </w:tcPr>
          <w:p w14:paraId="47E15420" w14:textId="273A20DC" w:rsidR="00B86D3B" w:rsidRPr="00274DC3" w:rsidRDefault="00B86D3B" w:rsidP="00B86D3B">
            <w:pPr>
              <w:spacing w:after="0"/>
              <w:jc w:val="center"/>
              <w:rPr>
                <w:rFonts w:ascii="Arial" w:hAnsi="Arial"/>
                <w:b/>
                <w:bCs/>
                <w:sz w:val="16"/>
                <w:szCs w:val="16"/>
              </w:rPr>
            </w:pPr>
            <w:r w:rsidRPr="00274DC3">
              <w:rPr>
                <w:rFonts w:ascii="Arial" w:hAnsi="Arial"/>
                <w:b/>
                <w:bCs/>
                <w:sz w:val="16"/>
                <w:szCs w:val="16"/>
              </w:rPr>
              <w:t>DEF 129</w:t>
            </w:r>
          </w:p>
        </w:tc>
        <w:tc>
          <w:tcPr>
            <w:tcW w:w="1560" w:type="dxa"/>
            <w:tcBorders>
              <w:top w:val="single" w:sz="4" w:space="0" w:color="auto"/>
              <w:left w:val="nil"/>
              <w:bottom w:val="single" w:sz="4" w:space="0" w:color="auto"/>
              <w:right w:val="single" w:sz="4" w:space="0" w:color="auto"/>
            </w:tcBorders>
            <w:shd w:val="clear" w:color="auto" w:fill="auto"/>
            <w:vAlign w:val="center"/>
          </w:tcPr>
          <w:p w14:paraId="2A65257F" w14:textId="0B81D685" w:rsidR="00B86D3B" w:rsidRPr="00274DC3" w:rsidRDefault="00B86D3B" w:rsidP="00B86D3B">
            <w:pPr>
              <w:spacing w:after="0"/>
              <w:rPr>
                <w:rFonts w:ascii="Arial" w:hAnsi="Arial"/>
                <w:sz w:val="16"/>
                <w:szCs w:val="16"/>
              </w:rPr>
            </w:pPr>
            <w:r w:rsidRPr="00274DC3">
              <w:rPr>
                <w:rFonts w:ascii="Arial" w:hAnsi="Arial"/>
                <w:sz w:val="16"/>
                <w:szCs w:val="16"/>
              </w:rPr>
              <w:t>Military Equipment Acquisition</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055C32C3" w14:textId="5AB81CA5" w:rsidR="00B86D3B" w:rsidRPr="00274DC3" w:rsidRDefault="00B86D3B" w:rsidP="00B86D3B">
            <w:pPr>
              <w:spacing w:before="0" w:after="0"/>
              <w:jc w:val="right"/>
              <w:rPr>
                <w:rFonts w:ascii="Arial" w:hAnsi="Arial"/>
                <w:sz w:val="16"/>
                <w:szCs w:val="16"/>
              </w:rPr>
            </w:pPr>
            <w:r w:rsidRPr="00274DC3">
              <w:rPr>
                <w:rFonts w:ascii="Arial" w:hAnsi="Arial"/>
                <w:sz w:val="16"/>
                <w:szCs w:val="16"/>
              </w:rPr>
              <w:t>586</w:t>
            </w:r>
          </w:p>
        </w:tc>
        <w:tc>
          <w:tcPr>
            <w:tcW w:w="1419" w:type="dxa"/>
            <w:tcBorders>
              <w:top w:val="single" w:sz="4" w:space="0" w:color="auto"/>
              <w:left w:val="nil"/>
              <w:bottom w:val="single" w:sz="4" w:space="0" w:color="auto"/>
              <w:right w:val="single" w:sz="4" w:space="0" w:color="auto"/>
            </w:tcBorders>
            <w:shd w:val="clear" w:color="auto" w:fill="auto"/>
            <w:noWrap/>
            <w:vAlign w:val="center"/>
          </w:tcPr>
          <w:p w14:paraId="3D140A1A" w14:textId="642FDE0D" w:rsidR="00B86D3B" w:rsidRPr="00274DC3" w:rsidRDefault="00B86D3B" w:rsidP="00B86D3B">
            <w:pPr>
              <w:spacing w:before="0" w:after="0"/>
              <w:jc w:val="right"/>
              <w:rPr>
                <w:rFonts w:ascii="Arial" w:hAnsi="Arial"/>
                <w:sz w:val="16"/>
                <w:szCs w:val="16"/>
              </w:rPr>
            </w:pPr>
            <w:r w:rsidRPr="00274DC3">
              <w:rPr>
                <w:rFonts w:ascii="Arial" w:hAnsi="Arial"/>
                <w:sz w:val="16"/>
                <w:szCs w:val="16"/>
              </w:rPr>
              <w:t>373</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4D4682E" w14:textId="1B667915" w:rsidR="00B86D3B" w:rsidRPr="00274DC3" w:rsidRDefault="00B86D3B" w:rsidP="00B86D3B">
            <w:pPr>
              <w:spacing w:before="0" w:after="0"/>
              <w:jc w:val="right"/>
              <w:rPr>
                <w:rFonts w:ascii="Arial" w:hAnsi="Arial"/>
                <w:sz w:val="16"/>
                <w:szCs w:val="16"/>
              </w:rPr>
            </w:pPr>
            <w:r w:rsidRPr="00274DC3">
              <w:rPr>
                <w:rFonts w:ascii="Arial" w:hAnsi="Arial"/>
                <w:sz w:val="16"/>
                <w:szCs w:val="16"/>
              </w:rPr>
              <w:t>130</w:t>
            </w:r>
          </w:p>
        </w:tc>
        <w:tc>
          <w:tcPr>
            <w:tcW w:w="5735" w:type="dxa"/>
            <w:vMerge w:val="restart"/>
            <w:tcBorders>
              <w:top w:val="single" w:sz="4" w:space="0" w:color="auto"/>
              <w:left w:val="single" w:sz="4" w:space="0" w:color="auto"/>
              <w:right w:val="single" w:sz="4" w:space="0" w:color="auto"/>
            </w:tcBorders>
            <w:shd w:val="clear" w:color="auto" w:fill="auto"/>
            <w:vAlign w:val="center"/>
          </w:tcPr>
          <w:p w14:paraId="4243772F" w14:textId="5FEFD31B" w:rsidR="00274DC3" w:rsidRPr="00274DC3" w:rsidRDefault="00274DC3" w:rsidP="00274DC3">
            <w:pPr>
              <w:pStyle w:val="CommentText"/>
              <w:rPr>
                <w:rFonts w:ascii="Arial" w:hAnsi="Arial" w:cs="Arial"/>
                <w:sz w:val="16"/>
                <w:szCs w:val="16"/>
                <w:lang w:val="en-US"/>
              </w:rPr>
            </w:pPr>
            <w:r w:rsidRPr="00274DC3">
              <w:rPr>
                <w:rFonts w:ascii="Arial" w:hAnsi="Arial" w:cs="Arial"/>
                <w:sz w:val="16"/>
                <w:szCs w:val="16"/>
                <w:lang w:val="en-US"/>
              </w:rPr>
              <w:t>The 2024 IIP amalgamated existing ADF Tactical and Small Uncrewed Aerial Systems (UAS) projects into a single project.</w:t>
            </w:r>
          </w:p>
          <w:p w14:paraId="0E82A6A7" w14:textId="77777777" w:rsidR="00274DC3" w:rsidRPr="00274DC3" w:rsidRDefault="00274DC3" w:rsidP="00274DC3">
            <w:pPr>
              <w:pStyle w:val="CommentText"/>
              <w:rPr>
                <w:rFonts w:ascii="Arial" w:hAnsi="Arial" w:cs="Arial"/>
                <w:sz w:val="16"/>
                <w:szCs w:val="16"/>
                <w:lang w:val="en-US"/>
              </w:rPr>
            </w:pPr>
          </w:p>
          <w:p w14:paraId="3140181F" w14:textId="77777777" w:rsidR="00274DC3" w:rsidRPr="00274DC3" w:rsidRDefault="00274DC3" w:rsidP="00274DC3">
            <w:pPr>
              <w:pStyle w:val="CommentText"/>
              <w:rPr>
                <w:rFonts w:ascii="Arial" w:hAnsi="Arial" w:cs="Arial"/>
                <w:sz w:val="16"/>
                <w:szCs w:val="16"/>
                <w:lang w:val="en-US"/>
              </w:rPr>
            </w:pPr>
            <w:r w:rsidRPr="00274DC3">
              <w:rPr>
                <w:rFonts w:ascii="Arial" w:hAnsi="Arial" w:cs="Arial"/>
                <w:sz w:val="16"/>
                <w:szCs w:val="16"/>
                <w:lang w:val="en-US"/>
              </w:rPr>
              <w:t xml:space="preserve">This project will deliver the ADF’s newest Tactical UAS, the Insitu Integrator and the ADF’s newest Small UAS, the Sypaq Systems CorvoX and Quantum Systems Vector 2-in-1. </w:t>
            </w:r>
          </w:p>
          <w:p w14:paraId="23AD734C" w14:textId="77777777" w:rsidR="00B86D3B" w:rsidRPr="00274DC3" w:rsidRDefault="00B86D3B" w:rsidP="00B86D3B">
            <w:pPr>
              <w:spacing w:before="0" w:after="80"/>
              <w:rPr>
                <w:rFonts w:ascii="Arial" w:hAnsi="Arial"/>
                <w:sz w:val="16"/>
                <w:szCs w:val="16"/>
              </w:rPr>
            </w:pPr>
          </w:p>
        </w:tc>
      </w:tr>
      <w:tr w:rsidR="00B86D3B" w:rsidRPr="00BA1388" w14:paraId="260A7E71" w14:textId="77777777" w:rsidTr="00B63C52">
        <w:trPr>
          <w:trHeight w:hRule="exact" w:val="705"/>
        </w:trPr>
        <w:tc>
          <w:tcPr>
            <w:tcW w:w="1839" w:type="dxa"/>
            <w:vMerge/>
            <w:tcBorders>
              <w:left w:val="single" w:sz="4" w:space="0" w:color="auto"/>
              <w:bottom w:val="single" w:sz="4" w:space="0" w:color="auto"/>
              <w:right w:val="single" w:sz="4" w:space="0" w:color="auto"/>
            </w:tcBorders>
            <w:shd w:val="clear" w:color="auto" w:fill="auto"/>
            <w:vAlign w:val="center"/>
          </w:tcPr>
          <w:p w14:paraId="62E2574B" w14:textId="77777777" w:rsidR="00B86D3B" w:rsidRPr="00F83D16" w:rsidRDefault="00B86D3B" w:rsidP="00B86D3B">
            <w:pPr>
              <w:spacing w:after="0"/>
              <w:rPr>
                <w:rFonts w:ascii="Arial" w:hAnsi="Arial"/>
                <w:sz w:val="16"/>
                <w:szCs w:val="16"/>
                <w:highlight w:val="yellow"/>
              </w:rPr>
            </w:pPr>
          </w:p>
        </w:tc>
        <w:tc>
          <w:tcPr>
            <w:tcW w:w="1135" w:type="dxa"/>
            <w:vMerge/>
            <w:tcBorders>
              <w:left w:val="single" w:sz="4" w:space="0" w:color="auto"/>
              <w:bottom w:val="single" w:sz="4" w:space="0" w:color="auto"/>
              <w:right w:val="single" w:sz="4" w:space="0" w:color="auto"/>
            </w:tcBorders>
            <w:shd w:val="clear" w:color="auto" w:fill="auto"/>
            <w:vAlign w:val="center"/>
          </w:tcPr>
          <w:p w14:paraId="203BCA5D" w14:textId="77777777" w:rsidR="00B86D3B" w:rsidRPr="00F83D16" w:rsidRDefault="00B86D3B" w:rsidP="00B86D3B">
            <w:pPr>
              <w:spacing w:after="0"/>
              <w:jc w:val="center"/>
              <w:rPr>
                <w:rFonts w:ascii="Arial" w:hAnsi="Arial"/>
                <w:b/>
                <w:bCs/>
                <w:sz w:val="16"/>
                <w:szCs w:val="16"/>
                <w:highlight w:val="yellow"/>
              </w:rPr>
            </w:pPr>
          </w:p>
        </w:tc>
        <w:tc>
          <w:tcPr>
            <w:tcW w:w="1560" w:type="dxa"/>
            <w:tcBorders>
              <w:top w:val="single" w:sz="4" w:space="0" w:color="auto"/>
              <w:left w:val="nil"/>
              <w:bottom w:val="single" w:sz="4" w:space="0" w:color="auto"/>
              <w:right w:val="single" w:sz="4" w:space="0" w:color="auto"/>
            </w:tcBorders>
            <w:shd w:val="clear" w:color="auto" w:fill="auto"/>
            <w:vAlign w:val="center"/>
          </w:tcPr>
          <w:p w14:paraId="30CF1DC4" w14:textId="0F0F60D8" w:rsidR="00B86D3B" w:rsidRPr="00F83D16" w:rsidRDefault="00B86D3B" w:rsidP="00B86D3B">
            <w:pPr>
              <w:spacing w:after="0"/>
              <w:rPr>
                <w:rFonts w:ascii="Arial" w:hAnsi="Arial"/>
                <w:sz w:val="16"/>
                <w:szCs w:val="16"/>
              </w:rPr>
            </w:pPr>
            <w:r w:rsidRPr="00F83D16">
              <w:rPr>
                <w:rFonts w:ascii="Arial" w:hAnsi="Arial"/>
                <w:sz w:val="16"/>
                <w:szCs w:val="16"/>
              </w:rPr>
              <w:t>Other Project Inputs to Capability</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14B5A2BA" w14:textId="453FE4BC" w:rsidR="00B86D3B" w:rsidRPr="00F83D16" w:rsidRDefault="00B86D3B" w:rsidP="00B86D3B">
            <w:pPr>
              <w:spacing w:before="0" w:after="0"/>
              <w:jc w:val="right"/>
              <w:rPr>
                <w:rFonts w:ascii="Arial" w:hAnsi="Arial"/>
                <w:sz w:val="16"/>
                <w:szCs w:val="16"/>
              </w:rPr>
            </w:pPr>
            <w:r w:rsidRPr="00F83D16">
              <w:rPr>
                <w:rFonts w:ascii="Arial" w:hAnsi="Arial"/>
                <w:sz w:val="16"/>
                <w:szCs w:val="16"/>
              </w:rPr>
              <w:t>77</w:t>
            </w:r>
          </w:p>
        </w:tc>
        <w:tc>
          <w:tcPr>
            <w:tcW w:w="1419" w:type="dxa"/>
            <w:tcBorders>
              <w:top w:val="single" w:sz="4" w:space="0" w:color="auto"/>
              <w:left w:val="nil"/>
              <w:bottom w:val="single" w:sz="4" w:space="0" w:color="auto"/>
              <w:right w:val="single" w:sz="4" w:space="0" w:color="auto"/>
            </w:tcBorders>
            <w:shd w:val="clear" w:color="auto" w:fill="auto"/>
            <w:noWrap/>
            <w:vAlign w:val="center"/>
          </w:tcPr>
          <w:p w14:paraId="173067BB" w14:textId="3F36CC6D" w:rsidR="00B86D3B" w:rsidRPr="00F83D16" w:rsidRDefault="00B86D3B" w:rsidP="00B86D3B">
            <w:pPr>
              <w:spacing w:before="0" w:after="0"/>
              <w:jc w:val="right"/>
              <w:rPr>
                <w:rFonts w:ascii="Arial" w:hAnsi="Arial"/>
                <w:sz w:val="16"/>
                <w:szCs w:val="16"/>
              </w:rPr>
            </w:pPr>
            <w:r w:rsidRPr="00F83D16">
              <w:rPr>
                <w:rFonts w:ascii="Arial" w:hAnsi="Arial"/>
                <w:sz w:val="16"/>
                <w:szCs w:val="16"/>
              </w:rPr>
              <w:t>26</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37082037" w14:textId="344D3A0E" w:rsidR="00B86D3B" w:rsidRPr="00F83D16" w:rsidRDefault="00B86D3B" w:rsidP="00B86D3B">
            <w:pPr>
              <w:spacing w:before="0" w:after="0"/>
              <w:jc w:val="right"/>
              <w:rPr>
                <w:rFonts w:ascii="Arial" w:hAnsi="Arial"/>
                <w:sz w:val="16"/>
                <w:szCs w:val="16"/>
              </w:rPr>
            </w:pPr>
            <w:r w:rsidRPr="00F83D16">
              <w:rPr>
                <w:rFonts w:ascii="Arial" w:hAnsi="Arial"/>
                <w:sz w:val="16"/>
                <w:szCs w:val="16"/>
              </w:rPr>
              <w:t>32</w:t>
            </w:r>
          </w:p>
        </w:tc>
        <w:tc>
          <w:tcPr>
            <w:tcW w:w="5735" w:type="dxa"/>
            <w:vMerge/>
            <w:tcBorders>
              <w:left w:val="single" w:sz="4" w:space="0" w:color="auto"/>
              <w:bottom w:val="single" w:sz="4" w:space="0" w:color="auto"/>
              <w:right w:val="single" w:sz="4" w:space="0" w:color="auto"/>
            </w:tcBorders>
            <w:shd w:val="clear" w:color="auto" w:fill="auto"/>
            <w:vAlign w:val="center"/>
          </w:tcPr>
          <w:p w14:paraId="4DC8A90F" w14:textId="77777777" w:rsidR="00B86D3B" w:rsidRPr="00BA1388" w:rsidRDefault="00B86D3B" w:rsidP="00B86D3B">
            <w:pPr>
              <w:spacing w:before="0" w:after="80"/>
              <w:rPr>
                <w:rFonts w:ascii="Arial" w:hAnsi="Arial"/>
                <w:sz w:val="16"/>
                <w:szCs w:val="16"/>
                <w:highlight w:val="yellow"/>
              </w:rPr>
            </w:pPr>
          </w:p>
        </w:tc>
      </w:tr>
      <w:tr w:rsidR="00B86D3B" w:rsidRPr="00BA1388" w14:paraId="2FB7F693" w14:textId="77777777" w:rsidTr="00B63C52">
        <w:trPr>
          <w:trHeight w:hRule="exact" w:val="1077"/>
        </w:trPr>
        <w:tc>
          <w:tcPr>
            <w:tcW w:w="183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C25EFA" w14:textId="1B3C657D" w:rsidR="00B86D3B" w:rsidRPr="006A0259" w:rsidRDefault="00B86D3B" w:rsidP="00DE289E">
            <w:pPr>
              <w:spacing w:after="0"/>
              <w:rPr>
                <w:rFonts w:ascii="Arial" w:hAnsi="Arial"/>
                <w:sz w:val="16"/>
                <w:szCs w:val="16"/>
              </w:rPr>
            </w:pPr>
            <w:r w:rsidRPr="006A0259">
              <w:rPr>
                <w:rFonts w:ascii="Arial" w:hAnsi="Arial"/>
                <w:sz w:val="16"/>
                <w:szCs w:val="16"/>
              </w:rPr>
              <w:t>Short Range Ground Based Air Defence</w:t>
            </w:r>
            <w:r w:rsidR="006A0259">
              <w:rPr>
                <w:rFonts w:ascii="Arial" w:hAnsi="Arial"/>
                <w:sz w:val="16"/>
                <w:szCs w:val="16"/>
              </w:rPr>
              <w:t xml:space="preserve"> </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EC29980" w14:textId="7C0B656F" w:rsidR="00B86D3B" w:rsidRPr="006A0259" w:rsidRDefault="00B86D3B" w:rsidP="00B86D3B">
            <w:pPr>
              <w:spacing w:after="0"/>
              <w:jc w:val="center"/>
              <w:rPr>
                <w:rFonts w:ascii="Arial" w:hAnsi="Arial"/>
                <w:b/>
                <w:bCs/>
                <w:sz w:val="16"/>
                <w:szCs w:val="16"/>
              </w:rPr>
            </w:pPr>
            <w:r w:rsidRPr="006A0259">
              <w:rPr>
                <w:rFonts w:ascii="Arial" w:hAnsi="Arial"/>
                <w:b/>
                <w:bCs/>
                <w:sz w:val="16"/>
                <w:szCs w:val="16"/>
              </w:rPr>
              <w:t>LAND 19</w:t>
            </w:r>
          </w:p>
        </w:tc>
        <w:tc>
          <w:tcPr>
            <w:tcW w:w="1560" w:type="dxa"/>
            <w:tcBorders>
              <w:top w:val="single" w:sz="4" w:space="0" w:color="auto"/>
              <w:left w:val="nil"/>
              <w:bottom w:val="single" w:sz="4" w:space="0" w:color="auto"/>
              <w:right w:val="single" w:sz="4" w:space="0" w:color="auto"/>
            </w:tcBorders>
            <w:shd w:val="clear" w:color="auto" w:fill="auto"/>
            <w:vAlign w:val="center"/>
          </w:tcPr>
          <w:p w14:paraId="4A87A6EE" w14:textId="5C02FE9B" w:rsidR="00B86D3B" w:rsidRPr="00F83D16" w:rsidRDefault="00B86D3B" w:rsidP="00B86D3B">
            <w:pPr>
              <w:spacing w:after="0"/>
              <w:rPr>
                <w:rFonts w:ascii="Arial" w:hAnsi="Arial"/>
                <w:sz w:val="16"/>
                <w:szCs w:val="16"/>
              </w:rPr>
            </w:pPr>
            <w:r w:rsidRPr="00F83D16">
              <w:rPr>
                <w:rFonts w:ascii="Arial" w:hAnsi="Arial"/>
                <w:sz w:val="16"/>
                <w:szCs w:val="16"/>
              </w:rPr>
              <w:t>Military Equipment Acquisition</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511BD3B9" w14:textId="11B8F75E" w:rsidR="00B86D3B" w:rsidRPr="00F83D16" w:rsidRDefault="00B86D3B" w:rsidP="00B86D3B">
            <w:pPr>
              <w:spacing w:before="0" w:after="0"/>
              <w:jc w:val="right"/>
              <w:rPr>
                <w:rFonts w:ascii="Arial" w:hAnsi="Arial"/>
                <w:sz w:val="16"/>
                <w:szCs w:val="16"/>
              </w:rPr>
            </w:pPr>
            <w:r w:rsidRPr="00F83D16">
              <w:rPr>
                <w:rFonts w:ascii="Arial" w:hAnsi="Arial"/>
                <w:sz w:val="16"/>
                <w:szCs w:val="16"/>
              </w:rPr>
              <w:t>1,246</w:t>
            </w:r>
          </w:p>
        </w:tc>
        <w:tc>
          <w:tcPr>
            <w:tcW w:w="1419" w:type="dxa"/>
            <w:tcBorders>
              <w:top w:val="single" w:sz="4" w:space="0" w:color="auto"/>
              <w:left w:val="nil"/>
              <w:bottom w:val="single" w:sz="4" w:space="0" w:color="auto"/>
              <w:right w:val="single" w:sz="4" w:space="0" w:color="auto"/>
            </w:tcBorders>
            <w:shd w:val="clear" w:color="auto" w:fill="auto"/>
            <w:noWrap/>
            <w:vAlign w:val="center"/>
          </w:tcPr>
          <w:p w14:paraId="33964330" w14:textId="7FF6812D" w:rsidR="00B86D3B" w:rsidRPr="00F83D16" w:rsidRDefault="00B86D3B" w:rsidP="00B86D3B">
            <w:pPr>
              <w:spacing w:before="0" w:after="0"/>
              <w:jc w:val="right"/>
              <w:rPr>
                <w:rFonts w:ascii="Arial" w:hAnsi="Arial"/>
                <w:sz w:val="16"/>
                <w:szCs w:val="16"/>
              </w:rPr>
            </w:pPr>
            <w:r w:rsidRPr="00F83D16">
              <w:rPr>
                <w:rFonts w:ascii="Arial" w:hAnsi="Arial"/>
                <w:sz w:val="16"/>
                <w:szCs w:val="16"/>
              </w:rPr>
              <w:t>1,050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69C6041" w14:textId="2EC685BF" w:rsidR="00B86D3B" w:rsidRPr="00F83D16" w:rsidRDefault="00B86D3B" w:rsidP="00B86D3B">
            <w:pPr>
              <w:spacing w:before="0" w:after="0"/>
              <w:jc w:val="right"/>
              <w:rPr>
                <w:rFonts w:ascii="Arial" w:hAnsi="Arial"/>
                <w:sz w:val="16"/>
                <w:szCs w:val="16"/>
              </w:rPr>
            </w:pPr>
            <w:r w:rsidRPr="00F83D16">
              <w:rPr>
                <w:rFonts w:ascii="Arial" w:hAnsi="Arial"/>
                <w:sz w:val="16"/>
                <w:szCs w:val="16"/>
              </w:rPr>
              <w:t>109</w:t>
            </w:r>
          </w:p>
        </w:tc>
        <w:tc>
          <w:tcPr>
            <w:tcW w:w="57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782714" w14:textId="77777777" w:rsidR="006A0259" w:rsidRPr="006D70AC" w:rsidRDefault="006A0259" w:rsidP="006A0259">
            <w:pPr>
              <w:rPr>
                <w:rFonts w:ascii="Arial" w:hAnsi="Arial"/>
                <w:sz w:val="16"/>
                <w:szCs w:val="16"/>
              </w:rPr>
            </w:pPr>
            <w:r w:rsidRPr="006D70AC">
              <w:rPr>
                <w:rFonts w:ascii="Arial" w:hAnsi="Arial"/>
                <w:sz w:val="16"/>
                <w:szCs w:val="16"/>
              </w:rPr>
              <w:t xml:space="preserve">This project will deliver Army's new Short Range Ground Based Air Defence system. This is an enhanced version of the Raytheon/Kongsberg National Advanced Surface to Air Missile System, which incorporates guided missiles and missile launchers, command and control shelters, electro-optical sensors and radars mounted on current Army vehicles. This project includes acquiring Australian-developed radars from CEA Technologies. </w:t>
            </w:r>
          </w:p>
          <w:p w14:paraId="582572F5" w14:textId="267FF6C5" w:rsidR="00B86D3B" w:rsidRPr="00BA1388" w:rsidRDefault="006A0259" w:rsidP="006A0259">
            <w:pPr>
              <w:spacing w:before="0" w:after="80"/>
              <w:rPr>
                <w:rFonts w:ascii="Arial" w:hAnsi="Arial"/>
                <w:sz w:val="16"/>
                <w:szCs w:val="16"/>
                <w:highlight w:val="yellow"/>
              </w:rPr>
            </w:pPr>
            <w:r w:rsidRPr="006D70AC">
              <w:rPr>
                <w:rFonts w:ascii="Arial" w:hAnsi="Arial"/>
                <w:sz w:val="16"/>
                <w:szCs w:val="16"/>
              </w:rPr>
              <w:t>During 2025-26, the project will continue final introduction into service tasks, certification activities and trials.</w:t>
            </w:r>
          </w:p>
        </w:tc>
      </w:tr>
      <w:tr w:rsidR="00B86D3B" w:rsidRPr="00BA1388" w14:paraId="236F732A" w14:textId="77777777" w:rsidTr="00B63C52">
        <w:trPr>
          <w:trHeight w:hRule="exact" w:val="1077"/>
        </w:trPr>
        <w:tc>
          <w:tcPr>
            <w:tcW w:w="1839" w:type="dxa"/>
            <w:vMerge/>
            <w:tcBorders>
              <w:top w:val="single" w:sz="4" w:space="0" w:color="auto"/>
              <w:left w:val="single" w:sz="4" w:space="0" w:color="auto"/>
              <w:bottom w:val="single" w:sz="4" w:space="0" w:color="auto"/>
              <w:right w:val="single" w:sz="4" w:space="0" w:color="auto"/>
            </w:tcBorders>
            <w:vAlign w:val="center"/>
            <w:hideMark/>
          </w:tcPr>
          <w:p w14:paraId="3F7B2983" w14:textId="77777777" w:rsidR="00B86D3B" w:rsidRPr="00BA1388" w:rsidRDefault="00B86D3B" w:rsidP="00B86D3B">
            <w:pPr>
              <w:spacing w:after="0"/>
              <w:rPr>
                <w:rFonts w:ascii="Arial" w:hAnsi="Arial"/>
                <w:sz w:val="16"/>
                <w:szCs w:val="16"/>
                <w:highlight w:val="yellow"/>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72F464B2" w14:textId="77777777" w:rsidR="00B86D3B" w:rsidRPr="00BA1388" w:rsidRDefault="00B86D3B" w:rsidP="00B86D3B">
            <w:pPr>
              <w:spacing w:after="0"/>
              <w:rPr>
                <w:rFonts w:ascii="Arial" w:hAnsi="Arial"/>
                <w:b/>
                <w:bCs/>
                <w:sz w:val="16"/>
                <w:szCs w:val="16"/>
                <w:highlight w:val="yellow"/>
              </w:rPr>
            </w:pPr>
          </w:p>
        </w:tc>
        <w:tc>
          <w:tcPr>
            <w:tcW w:w="1560" w:type="dxa"/>
            <w:tcBorders>
              <w:top w:val="single" w:sz="4" w:space="0" w:color="auto"/>
              <w:left w:val="nil"/>
              <w:bottom w:val="single" w:sz="4" w:space="0" w:color="auto"/>
              <w:right w:val="single" w:sz="4" w:space="0" w:color="auto"/>
            </w:tcBorders>
            <w:shd w:val="clear" w:color="auto" w:fill="auto"/>
            <w:vAlign w:val="center"/>
          </w:tcPr>
          <w:p w14:paraId="24C80643" w14:textId="79EE6CBA" w:rsidR="00B86D3B" w:rsidRPr="00F83D16" w:rsidRDefault="00B86D3B" w:rsidP="00B86D3B">
            <w:pPr>
              <w:spacing w:after="0"/>
              <w:rPr>
                <w:rFonts w:ascii="Arial" w:hAnsi="Arial"/>
                <w:sz w:val="16"/>
                <w:szCs w:val="16"/>
              </w:rPr>
            </w:pPr>
            <w:r w:rsidRPr="00F83D16">
              <w:rPr>
                <w:rFonts w:ascii="Arial" w:hAnsi="Arial"/>
                <w:sz w:val="16"/>
                <w:szCs w:val="16"/>
              </w:rPr>
              <w:t>Other Project Inputs to Capability</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28A50D16" w14:textId="1105C788" w:rsidR="00B86D3B" w:rsidRPr="00F83D16" w:rsidRDefault="00B86D3B" w:rsidP="00B86D3B">
            <w:pPr>
              <w:spacing w:before="0" w:after="0"/>
              <w:jc w:val="right"/>
              <w:rPr>
                <w:rFonts w:ascii="Arial" w:hAnsi="Arial"/>
                <w:sz w:val="16"/>
                <w:szCs w:val="16"/>
              </w:rPr>
            </w:pPr>
            <w:r w:rsidRPr="00F83D16">
              <w:rPr>
                <w:rFonts w:ascii="Arial" w:hAnsi="Arial"/>
                <w:sz w:val="16"/>
                <w:szCs w:val="16"/>
              </w:rPr>
              <w:t>286</w:t>
            </w:r>
          </w:p>
        </w:tc>
        <w:tc>
          <w:tcPr>
            <w:tcW w:w="1419" w:type="dxa"/>
            <w:tcBorders>
              <w:top w:val="single" w:sz="4" w:space="0" w:color="auto"/>
              <w:left w:val="nil"/>
              <w:bottom w:val="single" w:sz="4" w:space="0" w:color="auto"/>
              <w:right w:val="single" w:sz="4" w:space="0" w:color="auto"/>
            </w:tcBorders>
            <w:shd w:val="clear" w:color="auto" w:fill="auto"/>
            <w:noWrap/>
            <w:vAlign w:val="center"/>
          </w:tcPr>
          <w:p w14:paraId="5EF3C92D" w14:textId="25C46966" w:rsidR="00B86D3B" w:rsidRPr="00F83D16" w:rsidRDefault="00B86D3B" w:rsidP="00B86D3B">
            <w:pPr>
              <w:spacing w:before="0" w:after="0"/>
              <w:jc w:val="right"/>
              <w:rPr>
                <w:rFonts w:ascii="Arial" w:hAnsi="Arial"/>
                <w:sz w:val="16"/>
                <w:szCs w:val="16"/>
              </w:rPr>
            </w:pPr>
            <w:r w:rsidRPr="00F83D16">
              <w:rPr>
                <w:rFonts w:ascii="Arial" w:hAnsi="Arial"/>
                <w:sz w:val="16"/>
                <w:szCs w:val="16"/>
              </w:rPr>
              <w:t>229</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979A86D" w14:textId="7B0C4259" w:rsidR="00B86D3B" w:rsidRPr="00F83D16" w:rsidRDefault="00B86D3B" w:rsidP="00B86D3B">
            <w:pPr>
              <w:spacing w:before="0" w:after="0"/>
              <w:jc w:val="right"/>
              <w:rPr>
                <w:rFonts w:ascii="Arial" w:hAnsi="Arial"/>
                <w:sz w:val="16"/>
                <w:szCs w:val="16"/>
              </w:rPr>
            </w:pPr>
            <w:r w:rsidRPr="00F83D16">
              <w:rPr>
                <w:rFonts w:ascii="Arial" w:hAnsi="Arial"/>
                <w:sz w:val="16"/>
                <w:szCs w:val="16"/>
              </w:rPr>
              <w:t>41</w:t>
            </w:r>
          </w:p>
        </w:tc>
        <w:tc>
          <w:tcPr>
            <w:tcW w:w="57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B3F38B6" w14:textId="77777777" w:rsidR="00B86D3B" w:rsidRPr="00BA1388" w:rsidRDefault="00B86D3B" w:rsidP="00B86D3B">
            <w:pPr>
              <w:spacing w:before="0" w:after="80"/>
              <w:rPr>
                <w:rFonts w:ascii="Arial" w:hAnsi="Arial"/>
                <w:sz w:val="16"/>
                <w:szCs w:val="16"/>
                <w:highlight w:val="yellow"/>
              </w:rPr>
            </w:pPr>
          </w:p>
        </w:tc>
      </w:tr>
      <w:tr w:rsidR="00B86D3B" w:rsidRPr="00BA1388" w14:paraId="2B1A243C" w14:textId="77777777" w:rsidTr="00954C72">
        <w:trPr>
          <w:trHeight w:val="255"/>
        </w:trPr>
        <w:tc>
          <w:tcPr>
            <w:tcW w:w="13958" w:type="dxa"/>
            <w:gridSpan w:val="7"/>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05A1CBF5" w14:textId="77777777" w:rsidR="00B86D3B" w:rsidRPr="00A91845" w:rsidRDefault="00B86D3B" w:rsidP="00B86D3B">
            <w:pPr>
              <w:keepNext/>
              <w:keepLines/>
              <w:spacing w:before="0" w:after="0"/>
              <w:rPr>
                <w:rFonts w:ascii="Arial" w:hAnsi="Arial"/>
                <w:b/>
                <w:bCs/>
                <w:sz w:val="16"/>
                <w:szCs w:val="16"/>
              </w:rPr>
            </w:pPr>
            <w:r w:rsidRPr="00A91845">
              <w:rPr>
                <w:rFonts w:ascii="Arial" w:hAnsi="Arial"/>
                <w:b/>
                <w:bCs/>
                <w:sz w:val="16"/>
                <w:szCs w:val="16"/>
              </w:rPr>
              <w:lastRenderedPageBreak/>
              <w:t>Maritime Domain</w:t>
            </w:r>
          </w:p>
        </w:tc>
      </w:tr>
      <w:tr w:rsidR="00B86D3B" w:rsidRPr="00BA1388" w14:paraId="7DAF86EA" w14:textId="77777777" w:rsidTr="00074E68">
        <w:trPr>
          <w:trHeight w:hRule="exact" w:val="1928"/>
        </w:trPr>
        <w:tc>
          <w:tcPr>
            <w:tcW w:w="18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ECEE69" w14:textId="77777777" w:rsidR="00B86D3B" w:rsidRPr="00913DBF" w:rsidRDefault="00B86D3B" w:rsidP="00B86D3B">
            <w:pPr>
              <w:keepNext/>
              <w:keepLines/>
              <w:spacing w:after="0"/>
              <w:rPr>
                <w:rFonts w:ascii="Arial" w:hAnsi="Arial"/>
                <w:sz w:val="16"/>
                <w:szCs w:val="16"/>
              </w:rPr>
            </w:pPr>
            <w:r w:rsidRPr="00913DBF">
              <w:rPr>
                <w:rFonts w:ascii="Arial" w:hAnsi="Arial"/>
                <w:sz w:val="16"/>
                <w:szCs w:val="16"/>
              </w:rPr>
              <w:t>Nuclear-Powered Submarines</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82F91A" w14:textId="77777777" w:rsidR="00B86D3B" w:rsidRPr="00913DBF" w:rsidRDefault="00B86D3B" w:rsidP="00B86D3B">
            <w:pPr>
              <w:keepNext/>
              <w:keepLines/>
              <w:spacing w:after="0"/>
              <w:jc w:val="center"/>
              <w:rPr>
                <w:rFonts w:ascii="Arial" w:hAnsi="Arial"/>
                <w:b/>
                <w:bCs/>
                <w:sz w:val="16"/>
                <w:szCs w:val="16"/>
              </w:rPr>
            </w:pPr>
            <w:r w:rsidRPr="00913DBF">
              <w:rPr>
                <w:rFonts w:ascii="Arial" w:hAnsi="Arial"/>
                <w:b/>
                <w:bCs/>
                <w:sz w:val="16"/>
                <w:szCs w:val="16"/>
              </w:rPr>
              <w:t>DEF 1</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B9B34CF" w14:textId="77777777" w:rsidR="00B86D3B" w:rsidRPr="00913DBF" w:rsidRDefault="00B86D3B" w:rsidP="00B86D3B">
            <w:pPr>
              <w:keepNext/>
              <w:keepLines/>
              <w:spacing w:after="0"/>
              <w:rPr>
                <w:rFonts w:ascii="Arial" w:hAnsi="Arial"/>
                <w:sz w:val="16"/>
                <w:szCs w:val="16"/>
              </w:rPr>
            </w:pPr>
            <w:r w:rsidRPr="00913DBF">
              <w:rPr>
                <w:rFonts w:ascii="Arial" w:hAnsi="Arial"/>
                <w:sz w:val="16"/>
                <w:szCs w:val="16"/>
              </w:rPr>
              <w:t>Military Equipment Acquisition</w:t>
            </w:r>
          </w:p>
        </w:tc>
        <w:tc>
          <w:tcPr>
            <w:tcW w:w="1277" w:type="dxa"/>
            <w:tcBorders>
              <w:top w:val="single" w:sz="4" w:space="0" w:color="auto"/>
              <w:left w:val="nil"/>
              <w:bottom w:val="single" w:sz="4" w:space="0" w:color="auto"/>
              <w:right w:val="single" w:sz="4" w:space="0" w:color="auto"/>
            </w:tcBorders>
            <w:shd w:val="clear" w:color="auto" w:fill="auto"/>
            <w:noWrap/>
            <w:vAlign w:val="center"/>
            <w:hideMark/>
          </w:tcPr>
          <w:p w14:paraId="7C45C548" w14:textId="3DFD167B" w:rsidR="00B86D3B" w:rsidRPr="00913DBF" w:rsidRDefault="00B86D3B" w:rsidP="00B86D3B">
            <w:pPr>
              <w:keepNext/>
              <w:keepLines/>
              <w:spacing w:after="0"/>
              <w:jc w:val="right"/>
              <w:rPr>
                <w:rFonts w:ascii="Arial" w:hAnsi="Arial"/>
                <w:sz w:val="16"/>
                <w:szCs w:val="16"/>
              </w:rPr>
            </w:pPr>
            <w:r w:rsidRPr="00913DBF">
              <w:rPr>
                <w:rFonts w:ascii="Arial" w:hAnsi="Arial"/>
                <w:sz w:val="16"/>
                <w:szCs w:val="16"/>
              </w:rPr>
              <w:t>13,674</w:t>
            </w:r>
          </w:p>
        </w:tc>
        <w:tc>
          <w:tcPr>
            <w:tcW w:w="1419" w:type="dxa"/>
            <w:tcBorders>
              <w:top w:val="single" w:sz="4" w:space="0" w:color="auto"/>
              <w:left w:val="nil"/>
              <w:bottom w:val="single" w:sz="4" w:space="0" w:color="auto"/>
              <w:right w:val="single" w:sz="4" w:space="0" w:color="auto"/>
            </w:tcBorders>
            <w:shd w:val="clear" w:color="auto" w:fill="auto"/>
            <w:noWrap/>
            <w:vAlign w:val="center"/>
            <w:hideMark/>
          </w:tcPr>
          <w:p w14:paraId="1BAE646D" w14:textId="1337AF27" w:rsidR="00B86D3B" w:rsidRPr="00913DBF" w:rsidRDefault="00B86D3B" w:rsidP="00B86D3B">
            <w:pPr>
              <w:keepNext/>
              <w:keepLines/>
              <w:spacing w:after="0"/>
              <w:jc w:val="right"/>
              <w:rPr>
                <w:rFonts w:ascii="Arial" w:hAnsi="Arial"/>
                <w:sz w:val="16"/>
                <w:szCs w:val="16"/>
              </w:rPr>
            </w:pPr>
            <w:r w:rsidRPr="00913DBF">
              <w:rPr>
                <w:rFonts w:ascii="Arial" w:hAnsi="Arial"/>
                <w:sz w:val="16"/>
                <w:szCs w:val="16"/>
              </w:rPr>
              <w:t>2,596</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0C4F7A73" w14:textId="3306CD52" w:rsidR="00B86D3B" w:rsidRPr="00913DBF" w:rsidRDefault="00B86D3B" w:rsidP="00B86D3B">
            <w:pPr>
              <w:keepNext/>
              <w:keepLines/>
              <w:spacing w:after="0"/>
              <w:jc w:val="right"/>
              <w:rPr>
                <w:rFonts w:ascii="Arial" w:hAnsi="Arial"/>
                <w:sz w:val="16"/>
                <w:szCs w:val="16"/>
              </w:rPr>
            </w:pPr>
            <w:r w:rsidRPr="00913DBF">
              <w:rPr>
                <w:rFonts w:ascii="Arial" w:hAnsi="Arial"/>
                <w:sz w:val="16"/>
                <w:szCs w:val="16"/>
              </w:rPr>
              <w:t>2,684</w:t>
            </w:r>
          </w:p>
        </w:tc>
        <w:tc>
          <w:tcPr>
            <w:tcW w:w="57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4B4713" w14:textId="433EFFE1" w:rsidR="00AB455C" w:rsidRPr="00AB455C" w:rsidRDefault="00AB455C" w:rsidP="00AB455C">
            <w:pPr>
              <w:keepNext/>
              <w:keepLines/>
              <w:spacing w:before="0" w:after="80"/>
              <w:rPr>
                <w:rFonts w:ascii="Arial" w:hAnsi="Arial"/>
                <w:sz w:val="16"/>
                <w:szCs w:val="16"/>
              </w:rPr>
            </w:pPr>
            <w:r w:rsidRPr="00AB455C">
              <w:rPr>
                <w:rFonts w:ascii="Arial" w:hAnsi="Arial"/>
                <w:sz w:val="16"/>
                <w:szCs w:val="16"/>
              </w:rPr>
              <w:t>Through the AUKUS partnership, this project will acquire, operate and sust</w:t>
            </w:r>
            <w:r w:rsidR="00223335">
              <w:rPr>
                <w:rFonts w:ascii="Arial" w:hAnsi="Arial"/>
                <w:sz w:val="16"/>
                <w:szCs w:val="16"/>
              </w:rPr>
              <w:t>ain a sovereign, conventionally-</w:t>
            </w:r>
            <w:r w:rsidRPr="00AB455C">
              <w:rPr>
                <w:rFonts w:ascii="Arial" w:hAnsi="Arial"/>
                <w:sz w:val="16"/>
                <w:szCs w:val="16"/>
              </w:rPr>
              <w:t>armed fleet of nuclear-powered submarines. This will deliver Australia a more capable and potent submarine force to enhance Australia’s ability to deter threats to its security and contribute to the security and stability of the Indo-Pacific. This project includes delivery of the associated infrastructure and support systems necessary to safely and securely sustain, operate, build and dispose of nuclear-powered submarines.</w:t>
            </w:r>
          </w:p>
          <w:p w14:paraId="04EF82D9" w14:textId="77777777" w:rsidR="00AB455C" w:rsidRPr="00AB455C" w:rsidRDefault="00AB455C" w:rsidP="00AB455C">
            <w:pPr>
              <w:keepNext/>
              <w:keepLines/>
              <w:spacing w:before="0" w:after="80"/>
              <w:rPr>
                <w:rFonts w:ascii="Arial" w:hAnsi="Arial"/>
                <w:sz w:val="16"/>
                <w:szCs w:val="16"/>
              </w:rPr>
            </w:pPr>
            <w:r w:rsidRPr="00AB455C">
              <w:rPr>
                <w:rFonts w:ascii="Arial" w:hAnsi="Arial"/>
                <w:sz w:val="16"/>
                <w:szCs w:val="16"/>
              </w:rPr>
              <w:t xml:space="preserve">Work over this period includes upgrades to infrastructure at HMAS </w:t>
            </w:r>
            <w:r w:rsidRPr="00D178FF">
              <w:rPr>
                <w:rFonts w:ascii="Arial" w:hAnsi="Arial"/>
                <w:i/>
                <w:sz w:val="16"/>
                <w:szCs w:val="16"/>
              </w:rPr>
              <w:t>Stirling</w:t>
            </w:r>
            <w:r w:rsidRPr="00AB455C">
              <w:rPr>
                <w:rFonts w:ascii="Arial" w:hAnsi="Arial"/>
                <w:sz w:val="16"/>
                <w:szCs w:val="16"/>
              </w:rPr>
              <w:t>, mobilisation of our Sovereign Submarine Partners for Build (ASC SSN AUKUS Pty Ltd and BAE Systems Australia Submarine) and Sustainment (ASC Pty Ltd), workforce development activities and Australian industry uplift initiatives.</w:t>
            </w:r>
          </w:p>
          <w:p w14:paraId="35BBB8DB" w14:textId="62784B63" w:rsidR="00B86D3B" w:rsidRPr="00913DBF" w:rsidRDefault="00AB455C" w:rsidP="00AB455C">
            <w:pPr>
              <w:keepNext/>
              <w:keepLines/>
              <w:spacing w:before="0" w:after="80"/>
              <w:rPr>
                <w:rFonts w:ascii="Arial" w:hAnsi="Arial"/>
                <w:sz w:val="16"/>
                <w:szCs w:val="16"/>
              </w:rPr>
            </w:pPr>
            <w:r w:rsidRPr="00AB455C">
              <w:rPr>
                <w:rFonts w:ascii="Arial" w:hAnsi="Arial"/>
                <w:sz w:val="16"/>
                <w:szCs w:val="16"/>
              </w:rPr>
              <w:t>The project includes a fair and proportionate contribution to our AUKUS partners’ submarine industrial bases to provide the additional capacity needed to deliver Australia’s conventionally-armed nuclear-powered submarines.</w:t>
            </w:r>
          </w:p>
        </w:tc>
      </w:tr>
      <w:tr w:rsidR="00B86D3B" w:rsidRPr="00BA1388" w14:paraId="0CE3683B" w14:textId="77777777" w:rsidTr="00074E68">
        <w:trPr>
          <w:trHeight w:hRule="exact" w:val="1928"/>
        </w:trPr>
        <w:tc>
          <w:tcPr>
            <w:tcW w:w="1839" w:type="dxa"/>
            <w:vMerge/>
            <w:tcBorders>
              <w:top w:val="single" w:sz="4" w:space="0" w:color="auto"/>
              <w:left w:val="single" w:sz="4" w:space="0" w:color="auto"/>
              <w:bottom w:val="single" w:sz="4" w:space="0" w:color="auto"/>
              <w:right w:val="single" w:sz="4" w:space="0" w:color="auto"/>
            </w:tcBorders>
            <w:vAlign w:val="center"/>
            <w:hideMark/>
          </w:tcPr>
          <w:p w14:paraId="51D7CBA6" w14:textId="77777777" w:rsidR="00B86D3B" w:rsidRPr="00BA1388" w:rsidRDefault="00B86D3B" w:rsidP="00B86D3B">
            <w:pPr>
              <w:spacing w:after="0"/>
              <w:rPr>
                <w:rFonts w:ascii="Arial" w:hAnsi="Arial"/>
                <w:sz w:val="16"/>
                <w:szCs w:val="16"/>
                <w:highlight w:val="yellow"/>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5EAC76E5" w14:textId="77777777" w:rsidR="00B86D3B" w:rsidRPr="00BA1388" w:rsidRDefault="00B86D3B" w:rsidP="00B86D3B">
            <w:pPr>
              <w:spacing w:after="0"/>
              <w:rPr>
                <w:rFonts w:ascii="Arial" w:hAnsi="Arial"/>
                <w:b/>
                <w:bCs/>
                <w:sz w:val="16"/>
                <w:szCs w:val="16"/>
                <w:highlight w:val="yellow"/>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95A15FF" w14:textId="77777777" w:rsidR="00B86D3B" w:rsidRPr="00F83D16" w:rsidRDefault="00B86D3B" w:rsidP="00B86D3B">
            <w:pPr>
              <w:spacing w:after="0"/>
              <w:rPr>
                <w:rFonts w:ascii="Arial" w:hAnsi="Arial"/>
                <w:sz w:val="16"/>
                <w:szCs w:val="16"/>
              </w:rPr>
            </w:pPr>
            <w:r w:rsidRPr="00F83D16">
              <w:rPr>
                <w:rFonts w:ascii="Arial" w:hAnsi="Arial"/>
                <w:sz w:val="16"/>
                <w:szCs w:val="16"/>
              </w:rPr>
              <w:t>Other Project Inputs to Capability</w:t>
            </w:r>
          </w:p>
        </w:tc>
        <w:tc>
          <w:tcPr>
            <w:tcW w:w="1277" w:type="dxa"/>
            <w:tcBorders>
              <w:top w:val="single" w:sz="4" w:space="0" w:color="auto"/>
              <w:left w:val="nil"/>
              <w:bottom w:val="single" w:sz="4" w:space="0" w:color="auto"/>
              <w:right w:val="single" w:sz="4" w:space="0" w:color="auto"/>
            </w:tcBorders>
            <w:shd w:val="clear" w:color="auto" w:fill="auto"/>
            <w:noWrap/>
            <w:vAlign w:val="center"/>
            <w:hideMark/>
          </w:tcPr>
          <w:p w14:paraId="300A9335" w14:textId="152FF654" w:rsidR="00B86D3B" w:rsidRPr="00F83D16" w:rsidRDefault="00B86D3B" w:rsidP="00B86D3B">
            <w:pPr>
              <w:spacing w:after="0"/>
              <w:jc w:val="right"/>
              <w:rPr>
                <w:rFonts w:ascii="Arial" w:hAnsi="Arial"/>
                <w:sz w:val="16"/>
                <w:szCs w:val="16"/>
              </w:rPr>
            </w:pPr>
            <w:r w:rsidRPr="00F83D16">
              <w:rPr>
                <w:rFonts w:ascii="Arial" w:hAnsi="Arial"/>
                <w:sz w:val="16"/>
                <w:szCs w:val="16"/>
              </w:rPr>
              <w:t>1,774</w:t>
            </w:r>
          </w:p>
        </w:tc>
        <w:tc>
          <w:tcPr>
            <w:tcW w:w="1419" w:type="dxa"/>
            <w:tcBorders>
              <w:top w:val="single" w:sz="4" w:space="0" w:color="auto"/>
              <w:left w:val="nil"/>
              <w:bottom w:val="single" w:sz="4" w:space="0" w:color="auto"/>
              <w:right w:val="single" w:sz="4" w:space="0" w:color="auto"/>
            </w:tcBorders>
            <w:shd w:val="clear" w:color="auto" w:fill="auto"/>
            <w:noWrap/>
            <w:vAlign w:val="center"/>
            <w:hideMark/>
          </w:tcPr>
          <w:p w14:paraId="20BE1B3E" w14:textId="0148E96A" w:rsidR="00B86D3B" w:rsidRPr="00F83D16" w:rsidRDefault="00B86D3B" w:rsidP="00B86D3B">
            <w:pPr>
              <w:spacing w:after="0"/>
              <w:jc w:val="right"/>
              <w:rPr>
                <w:rFonts w:ascii="Arial" w:hAnsi="Arial"/>
                <w:sz w:val="16"/>
                <w:szCs w:val="16"/>
              </w:rPr>
            </w:pPr>
            <w:r w:rsidRPr="00F83D16">
              <w:rPr>
                <w:rFonts w:ascii="Arial" w:hAnsi="Arial"/>
                <w:sz w:val="16"/>
                <w:szCs w:val="16"/>
              </w:rPr>
              <w:t>309</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3827DBD6" w14:textId="2E84DBF9" w:rsidR="00B86D3B" w:rsidRPr="00F83D16" w:rsidRDefault="00B86D3B" w:rsidP="00B86D3B">
            <w:pPr>
              <w:spacing w:after="0"/>
              <w:jc w:val="right"/>
              <w:rPr>
                <w:rFonts w:ascii="Arial" w:hAnsi="Arial"/>
                <w:sz w:val="16"/>
                <w:szCs w:val="16"/>
              </w:rPr>
            </w:pPr>
            <w:r w:rsidRPr="00F83D16">
              <w:rPr>
                <w:rFonts w:ascii="Arial" w:hAnsi="Arial"/>
                <w:sz w:val="16"/>
                <w:szCs w:val="16"/>
              </w:rPr>
              <w:t>642</w:t>
            </w:r>
          </w:p>
        </w:tc>
        <w:tc>
          <w:tcPr>
            <w:tcW w:w="5735" w:type="dxa"/>
            <w:vMerge/>
            <w:tcBorders>
              <w:top w:val="single" w:sz="4" w:space="0" w:color="auto"/>
              <w:left w:val="single" w:sz="4" w:space="0" w:color="auto"/>
              <w:bottom w:val="single" w:sz="4" w:space="0" w:color="auto"/>
              <w:right w:val="single" w:sz="4" w:space="0" w:color="auto"/>
            </w:tcBorders>
            <w:vAlign w:val="center"/>
            <w:hideMark/>
          </w:tcPr>
          <w:p w14:paraId="6C297110" w14:textId="77777777" w:rsidR="00B86D3B" w:rsidRPr="00BA1388" w:rsidRDefault="00B86D3B" w:rsidP="00B86D3B">
            <w:pPr>
              <w:spacing w:before="0" w:after="80"/>
              <w:rPr>
                <w:rFonts w:ascii="Arial" w:hAnsi="Arial"/>
                <w:sz w:val="16"/>
                <w:szCs w:val="16"/>
                <w:highlight w:val="yellow"/>
              </w:rPr>
            </w:pPr>
          </w:p>
        </w:tc>
      </w:tr>
      <w:tr w:rsidR="00B86D3B" w:rsidRPr="00BA1388" w14:paraId="3CB71EA1" w14:textId="77777777" w:rsidTr="00954C72">
        <w:trPr>
          <w:trHeight w:hRule="exact" w:val="301"/>
        </w:trPr>
        <w:tc>
          <w:tcPr>
            <w:tcW w:w="13958" w:type="dxa"/>
            <w:gridSpan w:val="7"/>
            <w:tcBorders>
              <w:top w:val="single" w:sz="4" w:space="0" w:color="auto"/>
              <w:left w:val="single" w:sz="4" w:space="0" w:color="auto"/>
              <w:bottom w:val="single" w:sz="4" w:space="0" w:color="auto"/>
              <w:right w:val="single" w:sz="4" w:space="0" w:color="auto"/>
            </w:tcBorders>
            <w:shd w:val="clear" w:color="auto" w:fill="E6E6E6"/>
            <w:vAlign w:val="center"/>
          </w:tcPr>
          <w:p w14:paraId="0B2244D4" w14:textId="77777777" w:rsidR="00B86D3B" w:rsidRPr="00A91845" w:rsidRDefault="00B86D3B" w:rsidP="00B86D3B">
            <w:pPr>
              <w:keepNext/>
              <w:keepLines/>
              <w:spacing w:before="0" w:after="0"/>
              <w:rPr>
                <w:rFonts w:ascii="Arial" w:hAnsi="Arial"/>
                <w:sz w:val="16"/>
                <w:szCs w:val="16"/>
              </w:rPr>
            </w:pPr>
            <w:r w:rsidRPr="00A91845">
              <w:rPr>
                <w:rFonts w:ascii="Arial" w:hAnsi="Arial"/>
                <w:b/>
                <w:bCs/>
                <w:sz w:val="16"/>
                <w:szCs w:val="16"/>
              </w:rPr>
              <w:lastRenderedPageBreak/>
              <w:t>Maritime Domain (Continued)</w:t>
            </w:r>
          </w:p>
        </w:tc>
      </w:tr>
      <w:tr w:rsidR="00B86D3B" w:rsidRPr="00BA1388" w14:paraId="677B3446" w14:textId="77777777" w:rsidTr="00954C72">
        <w:trPr>
          <w:trHeight w:hRule="exact" w:val="1531"/>
        </w:trPr>
        <w:tc>
          <w:tcPr>
            <w:tcW w:w="18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1EE75F" w14:textId="0CF47732" w:rsidR="00B86D3B" w:rsidRPr="00E229E2" w:rsidRDefault="00B86D3B" w:rsidP="00A13DDC">
            <w:pPr>
              <w:keepNext/>
              <w:keepLines/>
              <w:spacing w:after="0"/>
              <w:rPr>
                <w:rFonts w:ascii="Arial" w:hAnsi="Arial"/>
                <w:sz w:val="16"/>
                <w:szCs w:val="16"/>
              </w:rPr>
            </w:pPr>
            <w:r w:rsidRPr="00E229E2">
              <w:rPr>
                <w:rFonts w:ascii="Arial" w:hAnsi="Arial"/>
                <w:sz w:val="16"/>
                <w:szCs w:val="16"/>
              </w:rPr>
              <w:t>Hunter Class Frigate</w:t>
            </w:r>
          </w:p>
        </w:tc>
        <w:tc>
          <w:tcPr>
            <w:tcW w:w="11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9EFC08" w14:textId="77777777" w:rsidR="00B86D3B" w:rsidRPr="00E229E2" w:rsidRDefault="00B86D3B" w:rsidP="00B86D3B">
            <w:pPr>
              <w:keepNext/>
              <w:keepLines/>
              <w:spacing w:after="0"/>
              <w:jc w:val="center"/>
              <w:rPr>
                <w:rFonts w:ascii="Arial" w:hAnsi="Arial"/>
                <w:b/>
                <w:bCs/>
                <w:sz w:val="16"/>
                <w:szCs w:val="16"/>
              </w:rPr>
            </w:pPr>
            <w:r w:rsidRPr="00E229E2">
              <w:rPr>
                <w:rFonts w:ascii="Arial" w:hAnsi="Arial"/>
                <w:b/>
                <w:bCs/>
                <w:sz w:val="16"/>
                <w:szCs w:val="16"/>
              </w:rPr>
              <w:t>SEA 5000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237948C" w14:textId="77777777" w:rsidR="00B86D3B" w:rsidRPr="00F83D16" w:rsidRDefault="00B86D3B" w:rsidP="00B86D3B">
            <w:pPr>
              <w:keepNext/>
              <w:keepLines/>
              <w:spacing w:after="0"/>
              <w:rPr>
                <w:rFonts w:ascii="Arial" w:hAnsi="Arial"/>
                <w:sz w:val="16"/>
                <w:szCs w:val="16"/>
              </w:rPr>
            </w:pPr>
            <w:r w:rsidRPr="00F83D16">
              <w:rPr>
                <w:rFonts w:ascii="Arial" w:hAnsi="Arial"/>
                <w:sz w:val="16"/>
                <w:szCs w:val="16"/>
              </w:rPr>
              <w:t>Military Equipment Acquisition</w:t>
            </w:r>
          </w:p>
        </w:tc>
        <w:tc>
          <w:tcPr>
            <w:tcW w:w="1277" w:type="dxa"/>
            <w:tcBorders>
              <w:top w:val="single" w:sz="4" w:space="0" w:color="auto"/>
              <w:left w:val="nil"/>
              <w:bottom w:val="single" w:sz="4" w:space="0" w:color="auto"/>
              <w:right w:val="single" w:sz="4" w:space="0" w:color="auto"/>
            </w:tcBorders>
            <w:shd w:val="clear" w:color="auto" w:fill="auto"/>
            <w:noWrap/>
            <w:vAlign w:val="center"/>
            <w:hideMark/>
          </w:tcPr>
          <w:p w14:paraId="394AB04D" w14:textId="5C5DC5D0" w:rsidR="00B86D3B" w:rsidRPr="00F83D16" w:rsidRDefault="00B86D3B" w:rsidP="00B86D3B">
            <w:pPr>
              <w:keepNext/>
              <w:keepLines/>
              <w:spacing w:after="0"/>
              <w:jc w:val="right"/>
              <w:rPr>
                <w:rFonts w:ascii="Arial" w:hAnsi="Arial"/>
                <w:sz w:val="16"/>
                <w:szCs w:val="16"/>
              </w:rPr>
            </w:pPr>
            <w:r w:rsidRPr="00F83D16">
              <w:rPr>
                <w:rFonts w:ascii="Arial" w:hAnsi="Arial"/>
                <w:sz w:val="16"/>
                <w:szCs w:val="16"/>
              </w:rPr>
              <w:t>26,055</w:t>
            </w:r>
          </w:p>
        </w:tc>
        <w:tc>
          <w:tcPr>
            <w:tcW w:w="1419" w:type="dxa"/>
            <w:tcBorders>
              <w:top w:val="single" w:sz="4" w:space="0" w:color="auto"/>
              <w:left w:val="nil"/>
              <w:bottom w:val="single" w:sz="4" w:space="0" w:color="auto"/>
              <w:right w:val="single" w:sz="4" w:space="0" w:color="auto"/>
            </w:tcBorders>
            <w:shd w:val="clear" w:color="auto" w:fill="auto"/>
            <w:noWrap/>
            <w:vAlign w:val="center"/>
            <w:hideMark/>
          </w:tcPr>
          <w:p w14:paraId="015A53F7" w14:textId="0876C04E" w:rsidR="00B86D3B" w:rsidRPr="00F83D16" w:rsidRDefault="00B86D3B" w:rsidP="00B86D3B">
            <w:pPr>
              <w:keepNext/>
              <w:keepLines/>
              <w:spacing w:after="0"/>
              <w:jc w:val="right"/>
              <w:rPr>
                <w:rFonts w:ascii="Arial" w:hAnsi="Arial"/>
                <w:sz w:val="16"/>
                <w:szCs w:val="16"/>
              </w:rPr>
            </w:pPr>
            <w:r w:rsidRPr="00F83D16">
              <w:rPr>
                <w:rFonts w:ascii="Arial" w:hAnsi="Arial"/>
                <w:sz w:val="16"/>
                <w:szCs w:val="16"/>
              </w:rPr>
              <w:t>5,004</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0153E3FB" w14:textId="5C0F3232" w:rsidR="00B86D3B" w:rsidRPr="00F83D16" w:rsidRDefault="00B86D3B" w:rsidP="00B86D3B">
            <w:pPr>
              <w:keepNext/>
              <w:keepLines/>
              <w:spacing w:after="0"/>
              <w:jc w:val="right"/>
              <w:rPr>
                <w:rFonts w:ascii="Arial" w:hAnsi="Arial"/>
                <w:sz w:val="16"/>
                <w:szCs w:val="16"/>
              </w:rPr>
            </w:pPr>
            <w:r w:rsidRPr="00F83D16">
              <w:rPr>
                <w:rFonts w:ascii="Arial" w:hAnsi="Arial"/>
                <w:sz w:val="16"/>
                <w:szCs w:val="16"/>
              </w:rPr>
              <w:t>1,902</w:t>
            </w:r>
          </w:p>
        </w:tc>
        <w:tc>
          <w:tcPr>
            <w:tcW w:w="57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B416E1" w14:textId="4DD5B4D2" w:rsidR="00B86D3B" w:rsidRPr="00E229E2" w:rsidRDefault="00B86D3B" w:rsidP="00B86D3B">
            <w:pPr>
              <w:keepNext/>
              <w:keepLines/>
              <w:spacing w:before="0" w:after="80"/>
              <w:rPr>
                <w:rFonts w:ascii="Arial" w:hAnsi="Arial"/>
                <w:sz w:val="16"/>
                <w:szCs w:val="16"/>
              </w:rPr>
            </w:pPr>
            <w:r w:rsidRPr="00E229E2">
              <w:rPr>
                <w:rFonts w:ascii="Arial" w:hAnsi="Arial"/>
                <w:sz w:val="16"/>
                <w:szCs w:val="16"/>
              </w:rPr>
              <w:t xml:space="preserve">The Hunter Class frigate will deliver to the Royal Australian Navy six new anti-submarine warfare frigates and an associated support system. The Hunter Class frigates will be optimised for anti-submarine warfare to maintain the Royal Australian Navy’s Tier 1 Surface Combatant capability. </w:t>
            </w:r>
          </w:p>
          <w:p w14:paraId="34DE877C" w14:textId="136FF350" w:rsidR="00B86D3B" w:rsidRPr="00E229E2" w:rsidRDefault="00B86D3B" w:rsidP="00B86D3B">
            <w:pPr>
              <w:keepNext/>
              <w:keepLines/>
              <w:spacing w:before="0" w:after="80"/>
              <w:rPr>
                <w:rFonts w:ascii="Arial" w:hAnsi="Arial"/>
                <w:sz w:val="16"/>
                <w:szCs w:val="16"/>
              </w:rPr>
            </w:pPr>
            <w:r w:rsidRPr="00E229E2">
              <w:rPr>
                <w:rFonts w:ascii="Arial" w:hAnsi="Arial"/>
                <w:sz w:val="16"/>
                <w:szCs w:val="16"/>
              </w:rPr>
              <w:t>The current approved scopes cover the Design and Productionisation phase and Construction phase for the first three ships. The Design and Productionisation phase of the project is progressing as planned and will continue until 2027-28. This phase also includes finalising long lead-time item contracts.</w:t>
            </w:r>
          </w:p>
          <w:p w14:paraId="03C63F68" w14:textId="3C2EED19" w:rsidR="00B86D3B" w:rsidRPr="00BA1388" w:rsidRDefault="00B86D3B" w:rsidP="00A20205">
            <w:pPr>
              <w:keepNext/>
              <w:keepLines/>
              <w:spacing w:before="0" w:after="80"/>
              <w:rPr>
                <w:rFonts w:ascii="Arial" w:hAnsi="Arial"/>
                <w:sz w:val="16"/>
                <w:szCs w:val="16"/>
                <w:highlight w:val="yellow"/>
              </w:rPr>
            </w:pPr>
            <w:r w:rsidRPr="00E229E2">
              <w:rPr>
                <w:rFonts w:ascii="Arial" w:hAnsi="Arial"/>
                <w:sz w:val="16"/>
                <w:szCs w:val="16"/>
              </w:rPr>
              <w:t>The project transitioned to the Construction phase on 1 July 2024 following Government approval of the first three frigates.</w:t>
            </w:r>
          </w:p>
        </w:tc>
      </w:tr>
      <w:tr w:rsidR="00B86D3B" w:rsidRPr="00BA1388" w14:paraId="06402DAC" w14:textId="77777777" w:rsidTr="00954C72">
        <w:trPr>
          <w:trHeight w:hRule="exact" w:val="1531"/>
        </w:trPr>
        <w:tc>
          <w:tcPr>
            <w:tcW w:w="1839" w:type="dxa"/>
            <w:vMerge/>
            <w:tcBorders>
              <w:top w:val="nil"/>
              <w:left w:val="single" w:sz="4" w:space="0" w:color="auto"/>
              <w:bottom w:val="single" w:sz="4" w:space="0" w:color="auto"/>
              <w:right w:val="single" w:sz="4" w:space="0" w:color="auto"/>
            </w:tcBorders>
            <w:vAlign w:val="center"/>
            <w:hideMark/>
          </w:tcPr>
          <w:p w14:paraId="7C9143CF" w14:textId="77777777" w:rsidR="00B86D3B" w:rsidRPr="00BA1388" w:rsidRDefault="00B86D3B" w:rsidP="00B86D3B">
            <w:pPr>
              <w:spacing w:after="0"/>
              <w:rPr>
                <w:rFonts w:ascii="Arial" w:hAnsi="Arial"/>
                <w:sz w:val="16"/>
                <w:szCs w:val="16"/>
                <w:highlight w:val="yellow"/>
              </w:rPr>
            </w:pPr>
          </w:p>
        </w:tc>
        <w:tc>
          <w:tcPr>
            <w:tcW w:w="1135" w:type="dxa"/>
            <w:vMerge/>
            <w:tcBorders>
              <w:top w:val="nil"/>
              <w:left w:val="single" w:sz="4" w:space="0" w:color="auto"/>
              <w:bottom w:val="single" w:sz="4" w:space="0" w:color="auto"/>
              <w:right w:val="single" w:sz="4" w:space="0" w:color="auto"/>
            </w:tcBorders>
            <w:vAlign w:val="center"/>
            <w:hideMark/>
          </w:tcPr>
          <w:p w14:paraId="6BE348FE" w14:textId="77777777" w:rsidR="00B86D3B" w:rsidRPr="00BA1388" w:rsidRDefault="00B86D3B" w:rsidP="00B86D3B">
            <w:pPr>
              <w:spacing w:after="0"/>
              <w:rPr>
                <w:rFonts w:ascii="Arial" w:hAnsi="Arial"/>
                <w:b/>
                <w:bCs/>
                <w:sz w:val="16"/>
                <w:szCs w:val="16"/>
                <w:highlight w:val="yellow"/>
              </w:rPr>
            </w:pPr>
          </w:p>
        </w:tc>
        <w:tc>
          <w:tcPr>
            <w:tcW w:w="1560" w:type="dxa"/>
            <w:tcBorders>
              <w:top w:val="nil"/>
              <w:left w:val="nil"/>
              <w:bottom w:val="single" w:sz="4" w:space="0" w:color="auto"/>
              <w:right w:val="single" w:sz="4" w:space="0" w:color="auto"/>
            </w:tcBorders>
            <w:shd w:val="clear" w:color="auto" w:fill="auto"/>
            <w:vAlign w:val="center"/>
            <w:hideMark/>
          </w:tcPr>
          <w:p w14:paraId="09742E97" w14:textId="77777777" w:rsidR="00B86D3B" w:rsidRPr="00F83D16" w:rsidRDefault="00B86D3B" w:rsidP="00B86D3B">
            <w:pPr>
              <w:spacing w:after="0"/>
              <w:rPr>
                <w:rFonts w:ascii="Arial" w:hAnsi="Arial"/>
                <w:sz w:val="16"/>
                <w:szCs w:val="16"/>
              </w:rPr>
            </w:pPr>
            <w:r w:rsidRPr="00F83D16">
              <w:rPr>
                <w:rFonts w:ascii="Arial" w:hAnsi="Arial"/>
                <w:sz w:val="16"/>
                <w:szCs w:val="16"/>
              </w:rPr>
              <w:t>Other Project Inputs to Capability</w:t>
            </w:r>
          </w:p>
        </w:tc>
        <w:tc>
          <w:tcPr>
            <w:tcW w:w="1277" w:type="dxa"/>
            <w:tcBorders>
              <w:top w:val="nil"/>
              <w:left w:val="nil"/>
              <w:bottom w:val="single" w:sz="4" w:space="0" w:color="auto"/>
              <w:right w:val="single" w:sz="4" w:space="0" w:color="auto"/>
            </w:tcBorders>
            <w:shd w:val="clear" w:color="auto" w:fill="auto"/>
            <w:noWrap/>
            <w:vAlign w:val="center"/>
            <w:hideMark/>
          </w:tcPr>
          <w:p w14:paraId="492C0323" w14:textId="5C26F436" w:rsidR="00B86D3B" w:rsidRPr="00F83D16" w:rsidRDefault="00B86D3B" w:rsidP="00B86D3B">
            <w:pPr>
              <w:spacing w:after="0"/>
              <w:jc w:val="right"/>
              <w:rPr>
                <w:rFonts w:ascii="Arial" w:hAnsi="Arial"/>
                <w:sz w:val="16"/>
                <w:szCs w:val="16"/>
              </w:rPr>
            </w:pPr>
            <w:r w:rsidRPr="00F83D16">
              <w:rPr>
                <w:rFonts w:ascii="Arial" w:hAnsi="Arial"/>
                <w:sz w:val="16"/>
                <w:szCs w:val="16"/>
              </w:rPr>
              <w:t>1,200</w:t>
            </w:r>
          </w:p>
        </w:tc>
        <w:tc>
          <w:tcPr>
            <w:tcW w:w="1419" w:type="dxa"/>
            <w:tcBorders>
              <w:top w:val="nil"/>
              <w:left w:val="nil"/>
              <w:bottom w:val="single" w:sz="4" w:space="0" w:color="auto"/>
              <w:right w:val="single" w:sz="4" w:space="0" w:color="auto"/>
            </w:tcBorders>
            <w:shd w:val="clear" w:color="auto" w:fill="auto"/>
            <w:noWrap/>
            <w:vAlign w:val="center"/>
            <w:hideMark/>
          </w:tcPr>
          <w:p w14:paraId="38813CF8" w14:textId="4C14D74B" w:rsidR="00B86D3B" w:rsidRPr="00F83D16" w:rsidRDefault="00B86D3B" w:rsidP="00B86D3B">
            <w:pPr>
              <w:spacing w:after="0"/>
              <w:jc w:val="right"/>
              <w:rPr>
                <w:rFonts w:ascii="Arial" w:hAnsi="Arial"/>
                <w:sz w:val="16"/>
                <w:szCs w:val="16"/>
              </w:rPr>
            </w:pPr>
            <w:r w:rsidRPr="00F83D16">
              <w:rPr>
                <w:rFonts w:ascii="Arial" w:hAnsi="Arial"/>
                <w:sz w:val="16"/>
                <w:szCs w:val="16"/>
              </w:rPr>
              <w:t>708</w:t>
            </w:r>
          </w:p>
        </w:tc>
        <w:tc>
          <w:tcPr>
            <w:tcW w:w="993" w:type="dxa"/>
            <w:tcBorders>
              <w:top w:val="nil"/>
              <w:left w:val="nil"/>
              <w:bottom w:val="single" w:sz="4" w:space="0" w:color="auto"/>
              <w:right w:val="single" w:sz="4" w:space="0" w:color="auto"/>
            </w:tcBorders>
            <w:shd w:val="clear" w:color="auto" w:fill="auto"/>
            <w:noWrap/>
            <w:vAlign w:val="center"/>
            <w:hideMark/>
          </w:tcPr>
          <w:p w14:paraId="510CB51C" w14:textId="0B31CFBA" w:rsidR="00B86D3B" w:rsidRPr="00F83D16" w:rsidRDefault="00B86D3B" w:rsidP="00B86D3B">
            <w:pPr>
              <w:spacing w:after="0"/>
              <w:jc w:val="right"/>
              <w:rPr>
                <w:rFonts w:ascii="Arial" w:hAnsi="Arial"/>
                <w:sz w:val="16"/>
                <w:szCs w:val="16"/>
              </w:rPr>
            </w:pPr>
            <w:r w:rsidRPr="00F83D16">
              <w:rPr>
                <w:rFonts w:ascii="Arial" w:hAnsi="Arial"/>
                <w:sz w:val="16"/>
                <w:szCs w:val="16"/>
              </w:rPr>
              <w:t>30</w:t>
            </w:r>
          </w:p>
        </w:tc>
        <w:tc>
          <w:tcPr>
            <w:tcW w:w="5735" w:type="dxa"/>
            <w:vMerge/>
            <w:tcBorders>
              <w:top w:val="nil"/>
              <w:left w:val="single" w:sz="4" w:space="0" w:color="auto"/>
              <w:bottom w:val="single" w:sz="4" w:space="0" w:color="auto"/>
              <w:right w:val="single" w:sz="4" w:space="0" w:color="auto"/>
            </w:tcBorders>
            <w:vAlign w:val="center"/>
            <w:hideMark/>
          </w:tcPr>
          <w:p w14:paraId="6F8CC3CB" w14:textId="77777777" w:rsidR="00B86D3B" w:rsidRPr="00BA1388" w:rsidRDefault="00B86D3B" w:rsidP="00B86D3B">
            <w:pPr>
              <w:spacing w:before="0" w:after="80"/>
              <w:rPr>
                <w:rFonts w:ascii="Arial" w:hAnsi="Arial"/>
                <w:sz w:val="16"/>
                <w:szCs w:val="16"/>
                <w:highlight w:val="yellow"/>
              </w:rPr>
            </w:pPr>
          </w:p>
        </w:tc>
      </w:tr>
      <w:tr w:rsidR="00B86D3B" w:rsidRPr="00BA1388" w14:paraId="5E124B22" w14:textId="77777777" w:rsidTr="00FE7051">
        <w:trPr>
          <w:trHeight w:hRule="exact" w:val="1015"/>
        </w:trPr>
        <w:tc>
          <w:tcPr>
            <w:tcW w:w="18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24DAC0" w14:textId="18AA26EB" w:rsidR="00B86D3B" w:rsidRPr="001A6A19" w:rsidRDefault="00B86D3B" w:rsidP="00DE289E">
            <w:pPr>
              <w:spacing w:after="0"/>
              <w:rPr>
                <w:rFonts w:ascii="Arial" w:hAnsi="Arial"/>
                <w:sz w:val="16"/>
                <w:szCs w:val="16"/>
              </w:rPr>
            </w:pPr>
            <w:r w:rsidRPr="001A6A19">
              <w:rPr>
                <w:rFonts w:ascii="Arial" w:hAnsi="Arial"/>
                <w:sz w:val="16"/>
                <w:szCs w:val="16"/>
              </w:rPr>
              <w:t>Maritime Guided Weapons and Munitions</w:t>
            </w:r>
            <w:r w:rsidR="001A6A19">
              <w:rPr>
                <w:rFonts w:ascii="Arial" w:hAnsi="Arial"/>
                <w:sz w:val="16"/>
                <w:szCs w:val="16"/>
              </w:rPr>
              <w:t xml:space="preserve"> </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E8EB98" w14:textId="77777777" w:rsidR="00B86D3B" w:rsidRPr="001A6A19" w:rsidRDefault="00B86D3B" w:rsidP="00B86D3B">
            <w:pPr>
              <w:spacing w:after="0"/>
              <w:jc w:val="center"/>
              <w:rPr>
                <w:rFonts w:ascii="Arial" w:hAnsi="Arial"/>
                <w:b/>
                <w:bCs/>
                <w:sz w:val="16"/>
                <w:szCs w:val="16"/>
              </w:rPr>
            </w:pPr>
            <w:r w:rsidRPr="001A6A19">
              <w:rPr>
                <w:rFonts w:ascii="Arial" w:hAnsi="Arial"/>
                <w:b/>
                <w:bCs/>
                <w:sz w:val="16"/>
                <w:szCs w:val="16"/>
              </w:rPr>
              <w:t>SEA 1300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1A2D2A8" w14:textId="77777777" w:rsidR="00B86D3B" w:rsidRPr="00F83D16" w:rsidRDefault="00B86D3B" w:rsidP="00B86D3B">
            <w:pPr>
              <w:spacing w:after="0"/>
              <w:rPr>
                <w:rFonts w:ascii="Arial" w:hAnsi="Arial"/>
                <w:sz w:val="16"/>
                <w:szCs w:val="16"/>
              </w:rPr>
            </w:pPr>
            <w:r w:rsidRPr="00F83D16">
              <w:rPr>
                <w:rFonts w:ascii="Arial" w:hAnsi="Arial"/>
                <w:sz w:val="16"/>
                <w:szCs w:val="16"/>
              </w:rPr>
              <w:t>Military Equipment Acquisition</w:t>
            </w:r>
          </w:p>
        </w:tc>
        <w:tc>
          <w:tcPr>
            <w:tcW w:w="1277" w:type="dxa"/>
            <w:tcBorders>
              <w:top w:val="single" w:sz="4" w:space="0" w:color="auto"/>
              <w:left w:val="nil"/>
              <w:bottom w:val="single" w:sz="4" w:space="0" w:color="auto"/>
              <w:right w:val="single" w:sz="4" w:space="0" w:color="auto"/>
            </w:tcBorders>
            <w:shd w:val="clear" w:color="auto" w:fill="auto"/>
            <w:noWrap/>
            <w:vAlign w:val="center"/>
            <w:hideMark/>
          </w:tcPr>
          <w:p w14:paraId="5E781F7E" w14:textId="26E01704" w:rsidR="00B86D3B" w:rsidRPr="00F83D16" w:rsidRDefault="00B86D3B" w:rsidP="00B86D3B">
            <w:pPr>
              <w:spacing w:after="0"/>
              <w:jc w:val="right"/>
              <w:rPr>
                <w:rFonts w:ascii="Arial" w:hAnsi="Arial"/>
                <w:sz w:val="16"/>
                <w:szCs w:val="16"/>
              </w:rPr>
            </w:pPr>
            <w:r w:rsidRPr="00F83D16">
              <w:rPr>
                <w:rFonts w:ascii="Arial" w:hAnsi="Arial"/>
                <w:sz w:val="16"/>
                <w:szCs w:val="16"/>
              </w:rPr>
              <w:t>16,750</w:t>
            </w:r>
          </w:p>
        </w:tc>
        <w:tc>
          <w:tcPr>
            <w:tcW w:w="1419" w:type="dxa"/>
            <w:tcBorders>
              <w:top w:val="single" w:sz="4" w:space="0" w:color="auto"/>
              <w:left w:val="nil"/>
              <w:bottom w:val="single" w:sz="4" w:space="0" w:color="auto"/>
              <w:right w:val="single" w:sz="4" w:space="0" w:color="auto"/>
            </w:tcBorders>
            <w:shd w:val="clear" w:color="auto" w:fill="auto"/>
            <w:noWrap/>
            <w:vAlign w:val="center"/>
            <w:hideMark/>
          </w:tcPr>
          <w:p w14:paraId="415D01E9" w14:textId="53E2F7EC" w:rsidR="00B86D3B" w:rsidRPr="00F83D16" w:rsidRDefault="00B86D3B" w:rsidP="00B86D3B">
            <w:pPr>
              <w:spacing w:after="0"/>
              <w:jc w:val="right"/>
              <w:rPr>
                <w:rFonts w:ascii="Arial" w:hAnsi="Arial"/>
                <w:sz w:val="16"/>
                <w:szCs w:val="16"/>
              </w:rPr>
            </w:pPr>
            <w:r w:rsidRPr="00F83D16">
              <w:rPr>
                <w:rFonts w:ascii="Arial" w:hAnsi="Arial"/>
                <w:sz w:val="16"/>
                <w:szCs w:val="16"/>
              </w:rPr>
              <w:t>2,356</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281F247C" w14:textId="5E4DA278" w:rsidR="00B86D3B" w:rsidRPr="00F83D16" w:rsidRDefault="00B86D3B" w:rsidP="00B86D3B">
            <w:pPr>
              <w:spacing w:after="0"/>
              <w:jc w:val="right"/>
              <w:rPr>
                <w:rFonts w:ascii="Arial" w:hAnsi="Arial"/>
                <w:sz w:val="16"/>
                <w:szCs w:val="16"/>
              </w:rPr>
            </w:pPr>
            <w:r w:rsidRPr="00F83D16">
              <w:rPr>
                <w:rFonts w:ascii="Arial" w:hAnsi="Arial"/>
                <w:sz w:val="16"/>
                <w:szCs w:val="16"/>
              </w:rPr>
              <w:t>769</w:t>
            </w:r>
          </w:p>
        </w:tc>
        <w:tc>
          <w:tcPr>
            <w:tcW w:w="573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38A22A0" w14:textId="77777777" w:rsidR="001A6A19" w:rsidRPr="001A6A19" w:rsidRDefault="001A6A19" w:rsidP="001A6A19">
            <w:pPr>
              <w:keepNext/>
              <w:keepLines/>
              <w:spacing w:before="0" w:after="80"/>
              <w:rPr>
                <w:rFonts w:ascii="Arial" w:hAnsi="Arial"/>
                <w:sz w:val="16"/>
                <w:szCs w:val="16"/>
              </w:rPr>
            </w:pPr>
            <w:r w:rsidRPr="001A6A19">
              <w:rPr>
                <w:rFonts w:ascii="Arial" w:hAnsi="Arial"/>
                <w:sz w:val="16"/>
                <w:szCs w:val="16"/>
              </w:rPr>
              <w:t xml:space="preserve">This Project uses a programmatic approach to deliver Navy guided weapons and munitions capabilities. The project executes through three teams: air and missile defence, maritime strike and undersea weapons. Procurement is through a range of mechanisms including the United States Government Foreign Military Sales program, direct commercial sales and various cooperative arrangements. </w:t>
            </w:r>
          </w:p>
          <w:p w14:paraId="7482EEDB" w14:textId="0EC361E6" w:rsidR="00B86D3B" w:rsidRPr="00B86D3B" w:rsidRDefault="001A6A19" w:rsidP="001A6A19">
            <w:pPr>
              <w:keepNext/>
              <w:keepLines/>
              <w:spacing w:before="0" w:after="80"/>
              <w:rPr>
                <w:rFonts w:ascii="Arial" w:hAnsi="Arial"/>
                <w:sz w:val="16"/>
                <w:szCs w:val="16"/>
              </w:rPr>
            </w:pPr>
            <w:r w:rsidRPr="001A6A19">
              <w:rPr>
                <w:rFonts w:ascii="Arial" w:hAnsi="Arial"/>
                <w:sz w:val="16"/>
                <w:szCs w:val="16"/>
              </w:rPr>
              <w:t>During 2025-26, the project will continue to develop, upgrade and acquire long-range strike missiles, extended range surface-to-air missiles, advanced lightweight torpedoes, and heavyweight torpedoes.</w:t>
            </w:r>
          </w:p>
        </w:tc>
      </w:tr>
      <w:tr w:rsidR="00B86D3B" w:rsidRPr="00BA1388" w14:paraId="73A33024" w14:textId="77777777" w:rsidTr="00FE7051">
        <w:trPr>
          <w:trHeight w:hRule="exact" w:val="845"/>
        </w:trPr>
        <w:tc>
          <w:tcPr>
            <w:tcW w:w="1839" w:type="dxa"/>
            <w:vMerge/>
            <w:tcBorders>
              <w:top w:val="single" w:sz="4" w:space="0" w:color="auto"/>
              <w:left w:val="single" w:sz="4" w:space="0" w:color="auto"/>
              <w:bottom w:val="single" w:sz="4" w:space="0" w:color="auto"/>
              <w:right w:val="single" w:sz="4" w:space="0" w:color="auto"/>
            </w:tcBorders>
            <w:vAlign w:val="center"/>
            <w:hideMark/>
          </w:tcPr>
          <w:p w14:paraId="7ED92FB0" w14:textId="77777777" w:rsidR="00B86D3B" w:rsidRPr="00BA1388" w:rsidRDefault="00B86D3B" w:rsidP="00B86D3B">
            <w:pPr>
              <w:spacing w:after="0"/>
              <w:rPr>
                <w:rFonts w:ascii="Arial" w:hAnsi="Arial"/>
                <w:sz w:val="16"/>
                <w:szCs w:val="16"/>
                <w:highlight w:val="yellow"/>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6D07790F" w14:textId="77777777" w:rsidR="00B86D3B" w:rsidRPr="00BA1388" w:rsidRDefault="00B86D3B" w:rsidP="00B86D3B">
            <w:pPr>
              <w:spacing w:after="0"/>
              <w:rPr>
                <w:rFonts w:ascii="Arial" w:hAnsi="Arial"/>
                <w:b/>
                <w:bCs/>
                <w:sz w:val="16"/>
                <w:szCs w:val="16"/>
                <w:highlight w:val="yellow"/>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2BC13AF" w14:textId="77777777" w:rsidR="00B86D3B" w:rsidRPr="00F83D16" w:rsidRDefault="00B86D3B" w:rsidP="00B86D3B">
            <w:pPr>
              <w:spacing w:after="0"/>
              <w:rPr>
                <w:rFonts w:ascii="Arial" w:hAnsi="Arial"/>
                <w:sz w:val="16"/>
                <w:szCs w:val="16"/>
              </w:rPr>
            </w:pPr>
            <w:r w:rsidRPr="00F83D16">
              <w:rPr>
                <w:rFonts w:ascii="Arial" w:hAnsi="Arial"/>
                <w:sz w:val="16"/>
                <w:szCs w:val="16"/>
              </w:rPr>
              <w:t>Other Project Inputs to Capability</w:t>
            </w:r>
          </w:p>
        </w:tc>
        <w:tc>
          <w:tcPr>
            <w:tcW w:w="1277" w:type="dxa"/>
            <w:tcBorders>
              <w:top w:val="single" w:sz="4" w:space="0" w:color="auto"/>
              <w:left w:val="nil"/>
              <w:bottom w:val="single" w:sz="4" w:space="0" w:color="auto"/>
              <w:right w:val="single" w:sz="4" w:space="0" w:color="auto"/>
            </w:tcBorders>
            <w:shd w:val="clear" w:color="auto" w:fill="auto"/>
            <w:noWrap/>
            <w:vAlign w:val="center"/>
            <w:hideMark/>
          </w:tcPr>
          <w:p w14:paraId="144BF552" w14:textId="1D7BF502" w:rsidR="00B86D3B" w:rsidRPr="00F83D16" w:rsidRDefault="00B86D3B" w:rsidP="00B86D3B">
            <w:pPr>
              <w:spacing w:after="0"/>
              <w:jc w:val="right"/>
              <w:rPr>
                <w:rFonts w:ascii="Arial" w:hAnsi="Arial"/>
                <w:sz w:val="16"/>
                <w:szCs w:val="16"/>
              </w:rPr>
            </w:pPr>
            <w:r w:rsidRPr="00F83D16">
              <w:rPr>
                <w:rFonts w:ascii="Arial" w:hAnsi="Arial"/>
                <w:sz w:val="16"/>
                <w:szCs w:val="16"/>
              </w:rPr>
              <w:t>86</w:t>
            </w:r>
          </w:p>
        </w:tc>
        <w:tc>
          <w:tcPr>
            <w:tcW w:w="1419" w:type="dxa"/>
            <w:tcBorders>
              <w:top w:val="single" w:sz="4" w:space="0" w:color="auto"/>
              <w:left w:val="nil"/>
              <w:bottom w:val="single" w:sz="4" w:space="0" w:color="auto"/>
              <w:right w:val="single" w:sz="4" w:space="0" w:color="auto"/>
            </w:tcBorders>
            <w:shd w:val="clear" w:color="auto" w:fill="auto"/>
            <w:noWrap/>
            <w:vAlign w:val="center"/>
            <w:hideMark/>
          </w:tcPr>
          <w:p w14:paraId="410F0EF9" w14:textId="730C4E02" w:rsidR="00B86D3B" w:rsidRPr="00F83D16" w:rsidRDefault="00B86D3B" w:rsidP="00B86D3B">
            <w:pPr>
              <w:spacing w:after="0"/>
              <w:jc w:val="right"/>
              <w:rPr>
                <w:rFonts w:ascii="Arial" w:hAnsi="Arial"/>
                <w:sz w:val="16"/>
                <w:szCs w:val="16"/>
              </w:rPr>
            </w:pPr>
            <w:r w:rsidRPr="00F83D16">
              <w:rPr>
                <w:rFonts w:ascii="Arial" w:hAnsi="Arial"/>
                <w:sz w:val="16"/>
                <w:szCs w:val="16"/>
              </w:rPr>
              <w:t>15</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79BE4B88" w14:textId="1C6FC9C6" w:rsidR="00B86D3B" w:rsidRPr="00F83D16" w:rsidRDefault="00B86D3B" w:rsidP="00B86D3B">
            <w:pPr>
              <w:spacing w:after="0"/>
              <w:jc w:val="right"/>
              <w:rPr>
                <w:rFonts w:ascii="Arial" w:hAnsi="Arial"/>
                <w:sz w:val="16"/>
                <w:szCs w:val="16"/>
              </w:rPr>
            </w:pPr>
            <w:r w:rsidRPr="00F83D16">
              <w:rPr>
                <w:rFonts w:ascii="Arial" w:hAnsi="Arial"/>
                <w:sz w:val="16"/>
                <w:szCs w:val="16"/>
              </w:rPr>
              <w:t>12</w:t>
            </w:r>
          </w:p>
        </w:tc>
        <w:tc>
          <w:tcPr>
            <w:tcW w:w="5735" w:type="dxa"/>
            <w:vMerge/>
            <w:tcBorders>
              <w:top w:val="single" w:sz="4" w:space="0" w:color="auto"/>
              <w:left w:val="single" w:sz="4" w:space="0" w:color="auto"/>
              <w:bottom w:val="single" w:sz="4" w:space="0" w:color="auto"/>
              <w:right w:val="single" w:sz="4" w:space="0" w:color="auto"/>
            </w:tcBorders>
            <w:vAlign w:val="center"/>
            <w:hideMark/>
          </w:tcPr>
          <w:p w14:paraId="1464A1E3" w14:textId="77777777" w:rsidR="00B86D3B" w:rsidRPr="00BA1388" w:rsidRDefault="00B86D3B" w:rsidP="00B86D3B">
            <w:pPr>
              <w:spacing w:before="0" w:after="80"/>
              <w:rPr>
                <w:rFonts w:ascii="Arial" w:hAnsi="Arial"/>
                <w:sz w:val="16"/>
                <w:szCs w:val="16"/>
                <w:highlight w:val="yellow"/>
              </w:rPr>
            </w:pPr>
          </w:p>
        </w:tc>
      </w:tr>
      <w:tr w:rsidR="00B86D3B" w:rsidRPr="00BA1388" w14:paraId="4243923E" w14:textId="77777777" w:rsidTr="00954C72">
        <w:trPr>
          <w:trHeight w:hRule="exact" w:val="301"/>
        </w:trPr>
        <w:tc>
          <w:tcPr>
            <w:tcW w:w="13958" w:type="dxa"/>
            <w:gridSpan w:val="7"/>
            <w:tcBorders>
              <w:top w:val="single" w:sz="4" w:space="0" w:color="auto"/>
              <w:left w:val="single" w:sz="4" w:space="0" w:color="auto"/>
              <w:bottom w:val="single" w:sz="4" w:space="0" w:color="auto"/>
              <w:right w:val="single" w:sz="4" w:space="0" w:color="auto"/>
            </w:tcBorders>
            <w:shd w:val="clear" w:color="auto" w:fill="E6E6E6"/>
            <w:vAlign w:val="center"/>
          </w:tcPr>
          <w:p w14:paraId="567ADB80" w14:textId="77777777" w:rsidR="00B86D3B" w:rsidRPr="00BA1388" w:rsidRDefault="00B86D3B" w:rsidP="00B86D3B">
            <w:pPr>
              <w:keepNext/>
              <w:keepLines/>
              <w:spacing w:before="0" w:after="0"/>
              <w:rPr>
                <w:rFonts w:ascii="Arial" w:hAnsi="Arial"/>
                <w:sz w:val="16"/>
                <w:szCs w:val="16"/>
                <w:highlight w:val="yellow"/>
              </w:rPr>
            </w:pPr>
            <w:r w:rsidRPr="00E229E2">
              <w:rPr>
                <w:rFonts w:ascii="Arial" w:hAnsi="Arial"/>
                <w:b/>
                <w:bCs/>
                <w:sz w:val="16"/>
                <w:szCs w:val="16"/>
              </w:rPr>
              <w:lastRenderedPageBreak/>
              <w:t>Maritime Domain (Continued)</w:t>
            </w:r>
          </w:p>
        </w:tc>
      </w:tr>
      <w:tr w:rsidR="00B86D3B" w:rsidRPr="00BA1388" w14:paraId="17A91E5A" w14:textId="77777777" w:rsidTr="00954C72">
        <w:trPr>
          <w:trHeight w:hRule="exact" w:val="1446"/>
        </w:trPr>
        <w:tc>
          <w:tcPr>
            <w:tcW w:w="18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4E3F13" w14:textId="6A5FC3FF" w:rsidR="00B86D3B" w:rsidRPr="00E229E2" w:rsidRDefault="00B86D3B" w:rsidP="00DE289E">
            <w:pPr>
              <w:keepNext/>
              <w:keepLines/>
              <w:spacing w:after="0"/>
              <w:rPr>
                <w:rFonts w:ascii="Arial" w:hAnsi="Arial"/>
                <w:sz w:val="16"/>
                <w:szCs w:val="16"/>
              </w:rPr>
            </w:pPr>
            <w:r w:rsidRPr="00E229E2">
              <w:rPr>
                <w:rFonts w:ascii="Arial" w:hAnsi="Arial"/>
                <w:sz w:val="16"/>
                <w:szCs w:val="16"/>
              </w:rPr>
              <w:t>Arafura Class</w:t>
            </w:r>
            <w:r w:rsidR="00764FBD">
              <w:rPr>
                <w:rFonts w:ascii="Arial" w:hAnsi="Arial"/>
                <w:sz w:val="16"/>
                <w:szCs w:val="16"/>
              </w:rPr>
              <w:t xml:space="preserve"> </w:t>
            </w:r>
          </w:p>
        </w:tc>
        <w:tc>
          <w:tcPr>
            <w:tcW w:w="11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D67A9F" w14:textId="77777777" w:rsidR="00B86D3B" w:rsidRPr="00E229E2" w:rsidRDefault="00B86D3B" w:rsidP="00B86D3B">
            <w:pPr>
              <w:keepNext/>
              <w:keepLines/>
              <w:spacing w:after="0"/>
              <w:jc w:val="center"/>
              <w:rPr>
                <w:rFonts w:ascii="Arial" w:hAnsi="Arial"/>
                <w:b/>
                <w:bCs/>
                <w:sz w:val="16"/>
                <w:szCs w:val="16"/>
              </w:rPr>
            </w:pPr>
            <w:r w:rsidRPr="00E229E2">
              <w:rPr>
                <w:rFonts w:ascii="Arial" w:hAnsi="Arial"/>
                <w:b/>
                <w:bCs/>
                <w:sz w:val="16"/>
                <w:szCs w:val="16"/>
              </w:rPr>
              <w:t>SEA 1180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02ADA82" w14:textId="77777777" w:rsidR="00B86D3B" w:rsidRPr="00F83D16" w:rsidRDefault="00B86D3B" w:rsidP="00B86D3B">
            <w:pPr>
              <w:keepNext/>
              <w:keepLines/>
              <w:spacing w:after="0"/>
              <w:rPr>
                <w:rFonts w:ascii="Arial" w:hAnsi="Arial"/>
                <w:sz w:val="16"/>
                <w:szCs w:val="16"/>
              </w:rPr>
            </w:pPr>
            <w:r w:rsidRPr="00F83D16">
              <w:rPr>
                <w:rFonts w:ascii="Arial" w:hAnsi="Arial"/>
                <w:sz w:val="16"/>
                <w:szCs w:val="16"/>
              </w:rPr>
              <w:t>Military Equipment Acquisition</w:t>
            </w:r>
          </w:p>
        </w:tc>
        <w:tc>
          <w:tcPr>
            <w:tcW w:w="1277" w:type="dxa"/>
            <w:tcBorders>
              <w:top w:val="single" w:sz="4" w:space="0" w:color="auto"/>
              <w:left w:val="nil"/>
              <w:bottom w:val="single" w:sz="4" w:space="0" w:color="auto"/>
              <w:right w:val="single" w:sz="4" w:space="0" w:color="auto"/>
            </w:tcBorders>
            <w:shd w:val="clear" w:color="auto" w:fill="auto"/>
            <w:noWrap/>
            <w:vAlign w:val="center"/>
            <w:hideMark/>
          </w:tcPr>
          <w:p w14:paraId="670DA8A2" w14:textId="53DCAF44" w:rsidR="00B86D3B" w:rsidRPr="00F83D16" w:rsidRDefault="00B86D3B" w:rsidP="00B86D3B">
            <w:pPr>
              <w:keepNext/>
              <w:keepLines/>
              <w:spacing w:after="0"/>
              <w:jc w:val="right"/>
              <w:rPr>
                <w:rFonts w:ascii="Arial" w:hAnsi="Arial"/>
                <w:sz w:val="16"/>
                <w:szCs w:val="16"/>
              </w:rPr>
            </w:pPr>
            <w:r w:rsidRPr="00F83D16">
              <w:rPr>
                <w:rFonts w:ascii="Arial" w:hAnsi="Arial"/>
                <w:sz w:val="16"/>
                <w:szCs w:val="16"/>
              </w:rPr>
              <w:t>3,707</w:t>
            </w:r>
          </w:p>
        </w:tc>
        <w:tc>
          <w:tcPr>
            <w:tcW w:w="1419" w:type="dxa"/>
            <w:tcBorders>
              <w:top w:val="single" w:sz="4" w:space="0" w:color="auto"/>
              <w:left w:val="nil"/>
              <w:bottom w:val="single" w:sz="4" w:space="0" w:color="auto"/>
              <w:right w:val="single" w:sz="4" w:space="0" w:color="auto"/>
            </w:tcBorders>
            <w:shd w:val="clear" w:color="auto" w:fill="auto"/>
            <w:noWrap/>
            <w:vAlign w:val="center"/>
            <w:hideMark/>
          </w:tcPr>
          <w:p w14:paraId="120B2EEA" w14:textId="43DCC2D3" w:rsidR="00B86D3B" w:rsidRPr="00F83D16" w:rsidRDefault="00B86D3B" w:rsidP="00B86D3B">
            <w:pPr>
              <w:keepNext/>
              <w:keepLines/>
              <w:spacing w:after="0"/>
              <w:jc w:val="right"/>
              <w:rPr>
                <w:rFonts w:ascii="Arial" w:hAnsi="Arial"/>
                <w:sz w:val="16"/>
                <w:szCs w:val="16"/>
              </w:rPr>
            </w:pPr>
            <w:r w:rsidRPr="00F83D16">
              <w:rPr>
                <w:rFonts w:ascii="Arial" w:hAnsi="Arial"/>
                <w:sz w:val="16"/>
                <w:szCs w:val="16"/>
              </w:rPr>
              <w:t>1,943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5213753D" w14:textId="3409C1E5" w:rsidR="00B86D3B" w:rsidRPr="00F83D16" w:rsidRDefault="00B86D3B" w:rsidP="00B86D3B">
            <w:pPr>
              <w:keepNext/>
              <w:keepLines/>
              <w:spacing w:after="0"/>
              <w:jc w:val="right"/>
              <w:rPr>
                <w:rFonts w:ascii="Arial" w:hAnsi="Arial"/>
                <w:sz w:val="16"/>
                <w:szCs w:val="16"/>
              </w:rPr>
            </w:pPr>
            <w:r w:rsidRPr="00F83D16">
              <w:rPr>
                <w:rFonts w:ascii="Arial" w:hAnsi="Arial"/>
                <w:sz w:val="16"/>
                <w:szCs w:val="16"/>
              </w:rPr>
              <w:t>325</w:t>
            </w:r>
          </w:p>
        </w:tc>
        <w:tc>
          <w:tcPr>
            <w:tcW w:w="57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B8B7CC" w14:textId="5484E69A" w:rsidR="00B86D3B" w:rsidRPr="00E229E2" w:rsidRDefault="00B86D3B" w:rsidP="00B86D3B">
            <w:pPr>
              <w:spacing w:before="0" w:after="80"/>
              <w:rPr>
                <w:rFonts w:ascii="Arial" w:hAnsi="Arial"/>
                <w:sz w:val="16"/>
                <w:szCs w:val="16"/>
              </w:rPr>
            </w:pPr>
            <w:r w:rsidRPr="00E229E2">
              <w:rPr>
                <w:rFonts w:ascii="Arial" w:hAnsi="Arial"/>
                <w:sz w:val="16"/>
                <w:szCs w:val="16"/>
              </w:rPr>
              <w:t xml:space="preserve">This project will acquire </w:t>
            </w:r>
            <w:r w:rsidR="00A20205">
              <w:rPr>
                <w:rFonts w:ascii="Arial" w:hAnsi="Arial"/>
                <w:sz w:val="16"/>
                <w:szCs w:val="16"/>
              </w:rPr>
              <w:t>six</w:t>
            </w:r>
            <w:r w:rsidRPr="00E229E2">
              <w:rPr>
                <w:rFonts w:ascii="Arial" w:hAnsi="Arial"/>
                <w:sz w:val="16"/>
                <w:szCs w:val="16"/>
              </w:rPr>
              <w:t xml:space="preserve"> Arafura class </w:t>
            </w:r>
            <w:r w:rsidR="00BB661B">
              <w:rPr>
                <w:rFonts w:ascii="Arial" w:hAnsi="Arial"/>
                <w:sz w:val="16"/>
                <w:szCs w:val="16"/>
              </w:rPr>
              <w:t>Offshore Patrol V</w:t>
            </w:r>
            <w:r w:rsidRPr="00E229E2">
              <w:rPr>
                <w:rFonts w:ascii="Arial" w:hAnsi="Arial"/>
                <w:sz w:val="16"/>
                <w:szCs w:val="16"/>
              </w:rPr>
              <w:t xml:space="preserve">essel (OPV) to support maritime border patrol and response. </w:t>
            </w:r>
          </w:p>
          <w:p w14:paraId="56084E1A" w14:textId="1D7164FB" w:rsidR="00B86D3B" w:rsidRPr="00E229E2" w:rsidRDefault="00B86D3B" w:rsidP="00A20205">
            <w:pPr>
              <w:spacing w:before="0" w:after="80"/>
              <w:rPr>
                <w:rFonts w:ascii="Arial" w:hAnsi="Arial"/>
                <w:sz w:val="16"/>
                <w:szCs w:val="16"/>
              </w:rPr>
            </w:pPr>
            <w:r w:rsidRPr="00E229E2">
              <w:rPr>
                <w:rFonts w:ascii="Arial" w:hAnsi="Arial"/>
                <w:sz w:val="16"/>
                <w:szCs w:val="16"/>
              </w:rPr>
              <w:t xml:space="preserve">Build commenced on OPV 1 at Osborne, South Australia in November 2018. Construction of OPV 2 commenced in June 2019 at Osborne. Subsequent OPVs will all be built at Henderson, Western Australia. OPV 1 was accepted by Defence on 30 January 2025. </w:t>
            </w:r>
          </w:p>
        </w:tc>
      </w:tr>
      <w:tr w:rsidR="00B86D3B" w:rsidRPr="00BA1388" w14:paraId="3AA05CDF" w14:textId="77777777" w:rsidTr="00274DC3">
        <w:trPr>
          <w:trHeight w:hRule="exact" w:val="1077"/>
        </w:trPr>
        <w:tc>
          <w:tcPr>
            <w:tcW w:w="1839" w:type="dxa"/>
            <w:vMerge/>
            <w:tcBorders>
              <w:top w:val="nil"/>
              <w:left w:val="single" w:sz="4" w:space="0" w:color="auto"/>
              <w:bottom w:val="single" w:sz="4" w:space="0" w:color="auto"/>
              <w:right w:val="single" w:sz="4" w:space="0" w:color="auto"/>
            </w:tcBorders>
            <w:vAlign w:val="center"/>
            <w:hideMark/>
          </w:tcPr>
          <w:p w14:paraId="4DFE338B" w14:textId="77777777" w:rsidR="00B86D3B" w:rsidRPr="00BA1388" w:rsidRDefault="00B86D3B" w:rsidP="00B86D3B">
            <w:pPr>
              <w:keepNext/>
              <w:keepLines/>
              <w:spacing w:after="0"/>
              <w:rPr>
                <w:rFonts w:ascii="Arial" w:hAnsi="Arial"/>
                <w:sz w:val="16"/>
                <w:szCs w:val="16"/>
                <w:highlight w:val="yellow"/>
              </w:rPr>
            </w:pPr>
          </w:p>
        </w:tc>
        <w:tc>
          <w:tcPr>
            <w:tcW w:w="1135" w:type="dxa"/>
            <w:vMerge/>
            <w:tcBorders>
              <w:top w:val="nil"/>
              <w:left w:val="single" w:sz="4" w:space="0" w:color="auto"/>
              <w:bottom w:val="single" w:sz="4" w:space="0" w:color="auto"/>
              <w:right w:val="single" w:sz="4" w:space="0" w:color="auto"/>
            </w:tcBorders>
            <w:vAlign w:val="center"/>
            <w:hideMark/>
          </w:tcPr>
          <w:p w14:paraId="2C0C34F6" w14:textId="77777777" w:rsidR="00B86D3B" w:rsidRPr="00BA1388" w:rsidRDefault="00B86D3B" w:rsidP="00B86D3B">
            <w:pPr>
              <w:keepNext/>
              <w:keepLines/>
              <w:spacing w:after="0"/>
              <w:rPr>
                <w:rFonts w:ascii="Arial" w:hAnsi="Arial"/>
                <w:b/>
                <w:bCs/>
                <w:sz w:val="16"/>
                <w:szCs w:val="16"/>
                <w:highlight w:val="yellow"/>
              </w:rPr>
            </w:pPr>
          </w:p>
        </w:tc>
        <w:tc>
          <w:tcPr>
            <w:tcW w:w="1560" w:type="dxa"/>
            <w:tcBorders>
              <w:top w:val="nil"/>
              <w:left w:val="nil"/>
              <w:bottom w:val="single" w:sz="4" w:space="0" w:color="auto"/>
              <w:right w:val="single" w:sz="4" w:space="0" w:color="auto"/>
            </w:tcBorders>
            <w:shd w:val="clear" w:color="auto" w:fill="auto"/>
            <w:vAlign w:val="center"/>
            <w:hideMark/>
          </w:tcPr>
          <w:p w14:paraId="6B58968F" w14:textId="77777777" w:rsidR="00B86D3B" w:rsidRPr="00F83D16" w:rsidRDefault="00B86D3B" w:rsidP="00B86D3B">
            <w:pPr>
              <w:keepNext/>
              <w:keepLines/>
              <w:spacing w:after="0"/>
              <w:rPr>
                <w:rFonts w:ascii="Arial" w:hAnsi="Arial"/>
                <w:sz w:val="16"/>
                <w:szCs w:val="16"/>
              </w:rPr>
            </w:pPr>
            <w:r w:rsidRPr="00F83D16">
              <w:rPr>
                <w:rFonts w:ascii="Arial" w:hAnsi="Arial"/>
                <w:sz w:val="16"/>
                <w:szCs w:val="16"/>
              </w:rPr>
              <w:t>Other Project Inputs to Capability</w:t>
            </w:r>
          </w:p>
        </w:tc>
        <w:tc>
          <w:tcPr>
            <w:tcW w:w="1277" w:type="dxa"/>
            <w:tcBorders>
              <w:top w:val="nil"/>
              <w:left w:val="nil"/>
              <w:bottom w:val="single" w:sz="4" w:space="0" w:color="auto"/>
              <w:right w:val="single" w:sz="4" w:space="0" w:color="auto"/>
            </w:tcBorders>
            <w:shd w:val="clear" w:color="auto" w:fill="auto"/>
            <w:noWrap/>
            <w:vAlign w:val="center"/>
            <w:hideMark/>
          </w:tcPr>
          <w:p w14:paraId="4094D9F2" w14:textId="0FBDBB6B" w:rsidR="00B86D3B" w:rsidRPr="00F83D16" w:rsidRDefault="00B86D3B" w:rsidP="00B86D3B">
            <w:pPr>
              <w:keepNext/>
              <w:keepLines/>
              <w:spacing w:after="0"/>
              <w:jc w:val="right"/>
              <w:rPr>
                <w:rFonts w:ascii="Arial" w:hAnsi="Arial"/>
                <w:sz w:val="16"/>
                <w:szCs w:val="16"/>
              </w:rPr>
            </w:pPr>
            <w:r w:rsidRPr="00F83D16">
              <w:rPr>
                <w:rFonts w:ascii="Arial" w:hAnsi="Arial"/>
                <w:sz w:val="16"/>
                <w:szCs w:val="16"/>
              </w:rPr>
              <w:t>984</w:t>
            </w:r>
          </w:p>
        </w:tc>
        <w:tc>
          <w:tcPr>
            <w:tcW w:w="1419" w:type="dxa"/>
            <w:tcBorders>
              <w:top w:val="nil"/>
              <w:left w:val="nil"/>
              <w:bottom w:val="single" w:sz="4" w:space="0" w:color="auto"/>
              <w:right w:val="single" w:sz="4" w:space="0" w:color="auto"/>
            </w:tcBorders>
            <w:shd w:val="clear" w:color="auto" w:fill="auto"/>
            <w:noWrap/>
            <w:vAlign w:val="center"/>
            <w:hideMark/>
          </w:tcPr>
          <w:p w14:paraId="2979E545" w14:textId="2B23FA89" w:rsidR="00B86D3B" w:rsidRPr="00F83D16" w:rsidRDefault="00B86D3B" w:rsidP="00B86D3B">
            <w:pPr>
              <w:keepNext/>
              <w:keepLines/>
              <w:spacing w:after="0"/>
              <w:jc w:val="right"/>
              <w:rPr>
                <w:rFonts w:ascii="Arial" w:hAnsi="Arial"/>
                <w:sz w:val="16"/>
                <w:szCs w:val="16"/>
              </w:rPr>
            </w:pPr>
            <w:r w:rsidRPr="00F83D16">
              <w:rPr>
                <w:rFonts w:ascii="Arial" w:hAnsi="Arial"/>
                <w:sz w:val="16"/>
                <w:szCs w:val="16"/>
              </w:rPr>
              <w:t>644</w:t>
            </w:r>
          </w:p>
        </w:tc>
        <w:tc>
          <w:tcPr>
            <w:tcW w:w="993" w:type="dxa"/>
            <w:tcBorders>
              <w:top w:val="nil"/>
              <w:left w:val="nil"/>
              <w:bottom w:val="single" w:sz="4" w:space="0" w:color="auto"/>
              <w:right w:val="single" w:sz="4" w:space="0" w:color="auto"/>
            </w:tcBorders>
            <w:shd w:val="clear" w:color="auto" w:fill="auto"/>
            <w:noWrap/>
            <w:vAlign w:val="center"/>
            <w:hideMark/>
          </w:tcPr>
          <w:p w14:paraId="445D3F10" w14:textId="4F6A5413" w:rsidR="00B86D3B" w:rsidRPr="00F83D16" w:rsidRDefault="00B86D3B" w:rsidP="00B86D3B">
            <w:pPr>
              <w:keepNext/>
              <w:keepLines/>
              <w:spacing w:after="0"/>
              <w:jc w:val="right"/>
              <w:rPr>
                <w:rFonts w:ascii="Arial" w:hAnsi="Arial"/>
                <w:sz w:val="16"/>
                <w:szCs w:val="16"/>
              </w:rPr>
            </w:pPr>
            <w:r w:rsidRPr="00F83D16">
              <w:rPr>
                <w:rFonts w:ascii="Arial" w:hAnsi="Arial"/>
                <w:sz w:val="16"/>
                <w:szCs w:val="16"/>
              </w:rPr>
              <w:t>161</w:t>
            </w:r>
          </w:p>
        </w:tc>
        <w:tc>
          <w:tcPr>
            <w:tcW w:w="5735" w:type="dxa"/>
            <w:vMerge/>
            <w:tcBorders>
              <w:top w:val="single" w:sz="4" w:space="0" w:color="000000"/>
              <w:left w:val="single" w:sz="4" w:space="0" w:color="auto"/>
              <w:bottom w:val="single" w:sz="4" w:space="0" w:color="000000"/>
              <w:right w:val="single" w:sz="4" w:space="0" w:color="auto"/>
            </w:tcBorders>
            <w:vAlign w:val="center"/>
            <w:hideMark/>
          </w:tcPr>
          <w:p w14:paraId="48492F17" w14:textId="77777777" w:rsidR="00B86D3B" w:rsidRPr="00BA1388" w:rsidRDefault="00B86D3B" w:rsidP="00B86D3B">
            <w:pPr>
              <w:spacing w:before="0" w:after="80"/>
              <w:rPr>
                <w:rFonts w:ascii="Arial" w:hAnsi="Arial"/>
                <w:sz w:val="16"/>
                <w:szCs w:val="16"/>
                <w:highlight w:val="yellow"/>
              </w:rPr>
            </w:pPr>
          </w:p>
        </w:tc>
      </w:tr>
      <w:tr w:rsidR="00B86D3B" w:rsidRPr="00BA1388" w14:paraId="273F0528" w14:textId="77777777" w:rsidTr="00436E0B">
        <w:trPr>
          <w:trHeight w:hRule="exact" w:val="1418"/>
        </w:trPr>
        <w:tc>
          <w:tcPr>
            <w:tcW w:w="1839" w:type="dxa"/>
            <w:vMerge w:val="restart"/>
            <w:tcBorders>
              <w:top w:val="nil"/>
              <w:left w:val="single" w:sz="4" w:space="0" w:color="auto"/>
              <w:bottom w:val="single" w:sz="4" w:space="0" w:color="000000"/>
              <w:right w:val="single" w:sz="4" w:space="0" w:color="auto"/>
            </w:tcBorders>
            <w:shd w:val="clear" w:color="auto" w:fill="auto"/>
            <w:vAlign w:val="center"/>
            <w:hideMark/>
          </w:tcPr>
          <w:p w14:paraId="3517B6D9" w14:textId="285FAAAD" w:rsidR="00B86D3B" w:rsidRPr="002D105C" w:rsidRDefault="00B86D3B" w:rsidP="00DE289E">
            <w:pPr>
              <w:spacing w:after="0"/>
              <w:rPr>
                <w:rFonts w:ascii="Arial" w:hAnsi="Arial"/>
                <w:sz w:val="16"/>
                <w:szCs w:val="16"/>
              </w:rPr>
            </w:pPr>
            <w:r w:rsidRPr="002D105C">
              <w:rPr>
                <w:rFonts w:ascii="Arial" w:hAnsi="Arial"/>
                <w:sz w:val="16"/>
                <w:szCs w:val="16"/>
              </w:rPr>
              <w:t>Aegis Baseline</w:t>
            </w:r>
            <w:r w:rsidR="00764FBD">
              <w:rPr>
                <w:rFonts w:ascii="Arial" w:hAnsi="Arial"/>
                <w:sz w:val="16"/>
                <w:szCs w:val="16"/>
              </w:rPr>
              <w:t xml:space="preserve"> </w:t>
            </w:r>
          </w:p>
        </w:tc>
        <w:tc>
          <w:tcPr>
            <w:tcW w:w="1135" w:type="dxa"/>
            <w:vMerge w:val="restart"/>
            <w:tcBorders>
              <w:top w:val="nil"/>
              <w:left w:val="single" w:sz="4" w:space="0" w:color="auto"/>
              <w:bottom w:val="single" w:sz="4" w:space="0" w:color="000000"/>
              <w:right w:val="single" w:sz="4" w:space="0" w:color="auto"/>
            </w:tcBorders>
            <w:shd w:val="clear" w:color="auto" w:fill="auto"/>
            <w:vAlign w:val="center"/>
            <w:hideMark/>
          </w:tcPr>
          <w:p w14:paraId="69CE6285" w14:textId="77777777" w:rsidR="00B86D3B" w:rsidRPr="002D105C" w:rsidRDefault="00B86D3B" w:rsidP="00B86D3B">
            <w:pPr>
              <w:spacing w:after="0"/>
              <w:jc w:val="center"/>
              <w:rPr>
                <w:rFonts w:ascii="Arial" w:hAnsi="Arial"/>
                <w:b/>
                <w:bCs/>
                <w:sz w:val="16"/>
                <w:szCs w:val="16"/>
              </w:rPr>
            </w:pPr>
            <w:r w:rsidRPr="002D105C">
              <w:rPr>
                <w:rFonts w:ascii="Arial" w:hAnsi="Arial"/>
                <w:b/>
                <w:bCs/>
                <w:sz w:val="16"/>
                <w:szCs w:val="16"/>
              </w:rPr>
              <w:t>SEA 4000 Phase 6</w:t>
            </w:r>
          </w:p>
        </w:tc>
        <w:tc>
          <w:tcPr>
            <w:tcW w:w="1560" w:type="dxa"/>
            <w:tcBorders>
              <w:top w:val="nil"/>
              <w:left w:val="nil"/>
              <w:bottom w:val="single" w:sz="4" w:space="0" w:color="auto"/>
              <w:right w:val="single" w:sz="4" w:space="0" w:color="auto"/>
            </w:tcBorders>
            <w:shd w:val="clear" w:color="auto" w:fill="auto"/>
            <w:vAlign w:val="center"/>
            <w:hideMark/>
          </w:tcPr>
          <w:p w14:paraId="2DA6714B" w14:textId="77777777" w:rsidR="00B86D3B" w:rsidRPr="00F83D16" w:rsidRDefault="00B86D3B" w:rsidP="00B86D3B">
            <w:pPr>
              <w:spacing w:after="0"/>
              <w:rPr>
                <w:rFonts w:ascii="Arial" w:hAnsi="Arial"/>
                <w:sz w:val="16"/>
                <w:szCs w:val="16"/>
              </w:rPr>
            </w:pPr>
            <w:r w:rsidRPr="00F83D16">
              <w:rPr>
                <w:rFonts w:ascii="Arial" w:hAnsi="Arial"/>
                <w:sz w:val="16"/>
                <w:szCs w:val="16"/>
              </w:rPr>
              <w:t>Military Equipment Acquisition</w:t>
            </w:r>
          </w:p>
        </w:tc>
        <w:tc>
          <w:tcPr>
            <w:tcW w:w="1277" w:type="dxa"/>
            <w:tcBorders>
              <w:top w:val="nil"/>
              <w:left w:val="nil"/>
              <w:bottom w:val="single" w:sz="4" w:space="0" w:color="auto"/>
              <w:right w:val="single" w:sz="4" w:space="0" w:color="auto"/>
            </w:tcBorders>
            <w:shd w:val="clear" w:color="auto" w:fill="auto"/>
            <w:noWrap/>
            <w:vAlign w:val="center"/>
            <w:hideMark/>
          </w:tcPr>
          <w:p w14:paraId="65551014" w14:textId="7CB6AAC1" w:rsidR="00B86D3B" w:rsidRPr="00F83D16" w:rsidRDefault="00B86D3B" w:rsidP="00B86D3B">
            <w:pPr>
              <w:spacing w:after="0"/>
              <w:jc w:val="right"/>
              <w:rPr>
                <w:rFonts w:ascii="Arial" w:hAnsi="Arial"/>
                <w:sz w:val="16"/>
                <w:szCs w:val="16"/>
              </w:rPr>
            </w:pPr>
            <w:r w:rsidRPr="00F83D16">
              <w:rPr>
                <w:rFonts w:ascii="Arial" w:hAnsi="Arial"/>
                <w:sz w:val="16"/>
                <w:szCs w:val="16"/>
              </w:rPr>
              <w:t>4,409</w:t>
            </w:r>
          </w:p>
        </w:tc>
        <w:tc>
          <w:tcPr>
            <w:tcW w:w="1419" w:type="dxa"/>
            <w:tcBorders>
              <w:top w:val="nil"/>
              <w:left w:val="nil"/>
              <w:bottom w:val="single" w:sz="4" w:space="0" w:color="auto"/>
              <w:right w:val="single" w:sz="4" w:space="0" w:color="auto"/>
            </w:tcBorders>
            <w:shd w:val="clear" w:color="auto" w:fill="auto"/>
            <w:noWrap/>
            <w:vAlign w:val="center"/>
            <w:hideMark/>
          </w:tcPr>
          <w:p w14:paraId="0B56B433" w14:textId="7C9B95F3" w:rsidR="00B86D3B" w:rsidRPr="00F83D16" w:rsidRDefault="00B86D3B" w:rsidP="00B86D3B">
            <w:pPr>
              <w:spacing w:after="0"/>
              <w:jc w:val="right"/>
              <w:rPr>
                <w:rFonts w:ascii="Arial" w:hAnsi="Arial"/>
                <w:sz w:val="16"/>
                <w:szCs w:val="16"/>
              </w:rPr>
            </w:pPr>
            <w:r w:rsidRPr="00F83D16">
              <w:rPr>
                <w:rFonts w:ascii="Arial" w:hAnsi="Arial"/>
                <w:sz w:val="16"/>
                <w:szCs w:val="16"/>
              </w:rPr>
              <w:t>1,066</w:t>
            </w:r>
          </w:p>
        </w:tc>
        <w:tc>
          <w:tcPr>
            <w:tcW w:w="993" w:type="dxa"/>
            <w:tcBorders>
              <w:top w:val="nil"/>
              <w:left w:val="nil"/>
              <w:bottom w:val="single" w:sz="4" w:space="0" w:color="auto"/>
              <w:right w:val="single" w:sz="4" w:space="0" w:color="auto"/>
            </w:tcBorders>
            <w:shd w:val="clear" w:color="auto" w:fill="auto"/>
            <w:noWrap/>
            <w:vAlign w:val="center"/>
            <w:hideMark/>
          </w:tcPr>
          <w:p w14:paraId="184BAF58" w14:textId="4053325C" w:rsidR="00B86D3B" w:rsidRPr="00F83D16" w:rsidRDefault="00B86D3B" w:rsidP="00B86D3B">
            <w:pPr>
              <w:spacing w:after="0"/>
              <w:jc w:val="right"/>
              <w:rPr>
                <w:rFonts w:ascii="Arial" w:hAnsi="Arial"/>
                <w:sz w:val="16"/>
                <w:szCs w:val="16"/>
              </w:rPr>
            </w:pPr>
            <w:r w:rsidRPr="00F83D16">
              <w:rPr>
                <w:rFonts w:ascii="Arial" w:hAnsi="Arial"/>
                <w:sz w:val="16"/>
                <w:szCs w:val="16"/>
              </w:rPr>
              <w:t>786</w:t>
            </w:r>
          </w:p>
        </w:tc>
        <w:tc>
          <w:tcPr>
            <w:tcW w:w="5735" w:type="dxa"/>
            <w:vMerge w:val="restart"/>
            <w:tcBorders>
              <w:top w:val="nil"/>
              <w:left w:val="single" w:sz="4" w:space="0" w:color="auto"/>
              <w:bottom w:val="single" w:sz="4" w:space="0" w:color="000000"/>
              <w:right w:val="single" w:sz="4" w:space="0" w:color="auto"/>
            </w:tcBorders>
            <w:shd w:val="clear" w:color="auto" w:fill="auto"/>
            <w:vAlign w:val="center"/>
            <w:hideMark/>
          </w:tcPr>
          <w:p w14:paraId="1A5E1DB8" w14:textId="77777777" w:rsidR="00B86D3B" w:rsidRPr="002D105C" w:rsidRDefault="00B86D3B" w:rsidP="00B86D3B">
            <w:pPr>
              <w:spacing w:before="0" w:after="80"/>
              <w:rPr>
                <w:rFonts w:ascii="Arial" w:hAnsi="Arial"/>
                <w:color w:val="000000"/>
                <w:sz w:val="16"/>
                <w:szCs w:val="16"/>
              </w:rPr>
            </w:pPr>
            <w:r w:rsidRPr="002D105C">
              <w:rPr>
                <w:rFonts w:ascii="Arial" w:hAnsi="Arial"/>
                <w:color w:val="000000"/>
                <w:sz w:val="16"/>
                <w:szCs w:val="16"/>
              </w:rPr>
              <w:t>This project will increase the ADF air and missile defence capability. The project will upgrade the three Hobart class destroyers’ Aegis combat system to Aegis Baseline 9, and replace the Australian Tactical Interface with a Saab Australia developed Australian Interface.</w:t>
            </w:r>
          </w:p>
          <w:p w14:paraId="27A6DA30" w14:textId="4D499931" w:rsidR="00B86D3B" w:rsidRDefault="00B86D3B" w:rsidP="00B86D3B">
            <w:pPr>
              <w:keepNext/>
              <w:keepLines/>
              <w:spacing w:before="0" w:after="80"/>
              <w:rPr>
                <w:rFonts w:ascii="Arial" w:hAnsi="Arial"/>
                <w:color w:val="000000"/>
                <w:sz w:val="16"/>
                <w:szCs w:val="16"/>
              </w:rPr>
            </w:pPr>
            <w:r w:rsidRPr="002D105C">
              <w:rPr>
                <w:rFonts w:ascii="Arial" w:hAnsi="Arial"/>
                <w:color w:val="000000"/>
                <w:sz w:val="16"/>
                <w:szCs w:val="16"/>
              </w:rPr>
              <w:t>In 2025-26 the delivery of the Support System will include Australian interface training simulator design and long lead time item procurement to support the production phase of Ship 1.</w:t>
            </w:r>
            <w:r>
              <w:rPr>
                <w:rFonts w:ascii="Arial" w:hAnsi="Arial"/>
                <w:color w:val="000000"/>
                <w:sz w:val="16"/>
                <w:szCs w:val="16"/>
              </w:rPr>
              <w:t xml:space="preserve"> </w:t>
            </w:r>
          </w:p>
          <w:p w14:paraId="4DFABD5A" w14:textId="7038DEC4" w:rsidR="00B86D3B" w:rsidRPr="00BA1388" w:rsidRDefault="00B86D3B" w:rsidP="00B86D3B">
            <w:pPr>
              <w:spacing w:before="0" w:after="80"/>
              <w:rPr>
                <w:rFonts w:ascii="Arial" w:hAnsi="Arial"/>
                <w:color w:val="000000"/>
                <w:sz w:val="16"/>
                <w:szCs w:val="16"/>
                <w:highlight w:val="yellow"/>
              </w:rPr>
            </w:pPr>
          </w:p>
        </w:tc>
      </w:tr>
      <w:tr w:rsidR="00B86D3B" w:rsidRPr="00BA1388" w14:paraId="588FDCB8" w14:textId="77777777" w:rsidTr="00954C72">
        <w:trPr>
          <w:trHeight w:hRule="exact" w:val="1361"/>
        </w:trPr>
        <w:tc>
          <w:tcPr>
            <w:tcW w:w="1839" w:type="dxa"/>
            <w:vMerge/>
            <w:tcBorders>
              <w:top w:val="nil"/>
              <w:left w:val="single" w:sz="4" w:space="0" w:color="auto"/>
              <w:bottom w:val="single" w:sz="4" w:space="0" w:color="000000"/>
              <w:right w:val="single" w:sz="4" w:space="0" w:color="auto"/>
            </w:tcBorders>
            <w:vAlign w:val="center"/>
            <w:hideMark/>
          </w:tcPr>
          <w:p w14:paraId="37B592BE" w14:textId="77777777" w:rsidR="00B86D3B" w:rsidRPr="00BA1388" w:rsidRDefault="00B86D3B" w:rsidP="00B86D3B">
            <w:pPr>
              <w:spacing w:after="0"/>
              <w:rPr>
                <w:rFonts w:ascii="Arial" w:hAnsi="Arial"/>
                <w:sz w:val="16"/>
                <w:szCs w:val="16"/>
                <w:highlight w:val="yellow"/>
              </w:rPr>
            </w:pPr>
          </w:p>
        </w:tc>
        <w:tc>
          <w:tcPr>
            <w:tcW w:w="1135" w:type="dxa"/>
            <w:vMerge/>
            <w:tcBorders>
              <w:top w:val="nil"/>
              <w:left w:val="single" w:sz="4" w:space="0" w:color="auto"/>
              <w:bottom w:val="single" w:sz="4" w:space="0" w:color="000000"/>
              <w:right w:val="single" w:sz="4" w:space="0" w:color="auto"/>
            </w:tcBorders>
            <w:vAlign w:val="center"/>
            <w:hideMark/>
          </w:tcPr>
          <w:p w14:paraId="4BCB5A3D" w14:textId="77777777" w:rsidR="00B86D3B" w:rsidRPr="00BA1388" w:rsidRDefault="00B86D3B" w:rsidP="00B86D3B">
            <w:pPr>
              <w:spacing w:after="0"/>
              <w:rPr>
                <w:rFonts w:ascii="Arial" w:hAnsi="Arial"/>
                <w:b/>
                <w:bCs/>
                <w:sz w:val="16"/>
                <w:szCs w:val="16"/>
                <w:highlight w:val="yellow"/>
              </w:rPr>
            </w:pPr>
          </w:p>
        </w:tc>
        <w:tc>
          <w:tcPr>
            <w:tcW w:w="1560" w:type="dxa"/>
            <w:tcBorders>
              <w:top w:val="nil"/>
              <w:left w:val="nil"/>
              <w:bottom w:val="single" w:sz="4" w:space="0" w:color="auto"/>
              <w:right w:val="single" w:sz="4" w:space="0" w:color="auto"/>
            </w:tcBorders>
            <w:shd w:val="clear" w:color="auto" w:fill="auto"/>
            <w:vAlign w:val="center"/>
            <w:hideMark/>
          </w:tcPr>
          <w:p w14:paraId="5351C07C" w14:textId="77777777" w:rsidR="00B86D3B" w:rsidRPr="00F83D16" w:rsidRDefault="00B86D3B" w:rsidP="00B86D3B">
            <w:pPr>
              <w:spacing w:after="0"/>
              <w:rPr>
                <w:rFonts w:ascii="Arial" w:hAnsi="Arial"/>
                <w:sz w:val="16"/>
                <w:szCs w:val="16"/>
              </w:rPr>
            </w:pPr>
            <w:r w:rsidRPr="00F83D16">
              <w:rPr>
                <w:rFonts w:ascii="Arial" w:hAnsi="Arial"/>
                <w:sz w:val="16"/>
                <w:szCs w:val="16"/>
              </w:rPr>
              <w:t>Other Project Inputs to Capability</w:t>
            </w:r>
          </w:p>
        </w:tc>
        <w:tc>
          <w:tcPr>
            <w:tcW w:w="1277" w:type="dxa"/>
            <w:tcBorders>
              <w:top w:val="nil"/>
              <w:left w:val="nil"/>
              <w:bottom w:val="single" w:sz="4" w:space="0" w:color="auto"/>
              <w:right w:val="single" w:sz="4" w:space="0" w:color="auto"/>
            </w:tcBorders>
            <w:shd w:val="clear" w:color="auto" w:fill="auto"/>
            <w:noWrap/>
            <w:vAlign w:val="center"/>
            <w:hideMark/>
          </w:tcPr>
          <w:p w14:paraId="02522539" w14:textId="66CB6CEA" w:rsidR="00B86D3B" w:rsidRPr="00F83D16" w:rsidRDefault="00B86D3B" w:rsidP="00B86D3B">
            <w:pPr>
              <w:spacing w:after="0"/>
              <w:jc w:val="right"/>
              <w:rPr>
                <w:rFonts w:ascii="Arial" w:hAnsi="Arial"/>
                <w:sz w:val="16"/>
                <w:szCs w:val="16"/>
              </w:rPr>
            </w:pPr>
            <w:r w:rsidRPr="00F83D16">
              <w:rPr>
                <w:rFonts w:ascii="Arial" w:hAnsi="Arial"/>
                <w:sz w:val="16"/>
                <w:szCs w:val="16"/>
              </w:rPr>
              <w:t>145</w:t>
            </w:r>
          </w:p>
        </w:tc>
        <w:tc>
          <w:tcPr>
            <w:tcW w:w="1419" w:type="dxa"/>
            <w:tcBorders>
              <w:top w:val="nil"/>
              <w:left w:val="nil"/>
              <w:bottom w:val="single" w:sz="4" w:space="0" w:color="auto"/>
              <w:right w:val="single" w:sz="4" w:space="0" w:color="auto"/>
            </w:tcBorders>
            <w:shd w:val="clear" w:color="auto" w:fill="auto"/>
            <w:noWrap/>
            <w:vAlign w:val="center"/>
            <w:hideMark/>
          </w:tcPr>
          <w:p w14:paraId="246ABCD2" w14:textId="1797F570" w:rsidR="00B86D3B" w:rsidRPr="00F83D16" w:rsidRDefault="00B86D3B" w:rsidP="00B86D3B">
            <w:pPr>
              <w:spacing w:after="0"/>
              <w:jc w:val="right"/>
              <w:rPr>
                <w:rFonts w:ascii="Arial" w:hAnsi="Arial"/>
                <w:sz w:val="16"/>
                <w:szCs w:val="16"/>
              </w:rPr>
            </w:pPr>
            <w:r w:rsidRPr="00F83D16">
              <w:rPr>
                <w:rFonts w:ascii="Arial" w:hAnsi="Arial"/>
                <w:sz w:val="16"/>
                <w:szCs w:val="16"/>
              </w:rPr>
              <w:t>17</w:t>
            </w:r>
          </w:p>
        </w:tc>
        <w:tc>
          <w:tcPr>
            <w:tcW w:w="993" w:type="dxa"/>
            <w:tcBorders>
              <w:top w:val="nil"/>
              <w:left w:val="nil"/>
              <w:bottom w:val="single" w:sz="4" w:space="0" w:color="auto"/>
              <w:right w:val="single" w:sz="4" w:space="0" w:color="auto"/>
            </w:tcBorders>
            <w:shd w:val="clear" w:color="auto" w:fill="auto"/>
            <w:noWrap/>
            <w:vAlign w:val="center"/>
            <w:hideMark/>
          </w:tcPr>
          <w:p w14:paraId="2DDA9836" w14:textId="5D4B90C5" w:rsidR="00B86D3B" w:rsidRPr="00F83D16" w:rsidRDefault="00B86D3B" w:rsidP="00B86D3B">
            <w:pPr>
              <w:spacing w:after="0"/>
              <w:jc w:val="right"/>
              <w:rPr>
                <w:rFonts w:ascii="Arial" w:hAnsi="Arial"/>
                <w:sz w:val="16"/>
                <w:szCs w:val="16"/>
              </w:rPr>
            </w:pPr>
            <w:r w:rsidRPr="00F83D16">
              <w:rPr>
                <w:rFonts w:ascii="Arial" w:hAnsi="Arial"/>
                <w:sz w:val="16"/>
                <w:szCs w:val="16"/>
              </w:rPr>
              <w:t>10</w:t>
            </w:r>
          </w:p>
        </w:tc>
        <w:tc>
          <w:tcPr>
            <w:tcW w:w="5735" w:type="dxa"/>
            <w:vMerge/>
            <w:tcBorders>
              <w:top w:val="nil"/>
              <w:left w:val="single" w:sz="4" w:space="0" w:color="auto"/>
              <w:bottom w:val="single" w:sz="4" w:space="0" w:color="000000"/>
              <w:right w:val="single" w:sz="4" w:space="0" w:color="auto"/>
            </w:tcBorders>
            <w:shd w:val="clear" w:color="auto" w:fill="auto"/>
            <w:vAlign w:val="center"/>
            <w:hideMark/>
          </w:tcPr>
          <w:p w14:paraId="360E2AE1" w14:textId="77777777" w:rsidR="00B86D3B" w:rsidRPr="00BA1388" w:rsidRDefault="00B86D3B" w:rsidP="00B86D3B">
            <w:pPr>
              <w:spacing w:before="0" w:after="80"/>
              <w:rPr>
                <w:rFonts w:ascii="Arial" w:hAnsi="Arial"/>
                <w:sz w:val="16"/>
                <w:szCs w:val="16"/>
                <w:highlight w:val="yellow"/>
              </w:rPr>
            </w:pPr>
          </w:p>
        </w:tc>
      </w:tr>
      <w:tr w:rsidR="00B86D3B" w:rsidRPr="00BA1388" w14:paraId="5AF066BD" w14:textId="77777777" w:rsidTr="00954C72">
        <w:trPr>
          <w:trHeight w:hRule="exact" w:val="301"/>
        </w:trPr>
        <w:tc>
          <w:tcPr>
            <w:tcW w:w="13958" w:type="dxa"/>
            <w:gridSpan w:val="7"/>
            <w:tcBorders>
              <w:top w:val="single" w:sz="4" w:space="0" w:color="auto"/>
              <w:left w:val="single" w:sz="4" w:space="0" w:color="auto"/>
              <w:bottom w:val="single" w:sz="4" w:space="0" w:color="auto"/>
              <w:right w:val="single" w:sz="4" w:space="0" w:color="auto"/>
            </w:tcBorders>
            <w:shd w:val="clear" w:color="auto" w:fill="E6E6E6"/>
            <w:vAlign w:val="center"/>
          </w:tcPr>
          <w:p w14:paraId="221356A9" w14:textId="77777777" w:rsidR="00B86D3B" w:rsidRPr="00BA1388" w:rsidRDefault="00B86D3B" w:rsidP="00B86D3B">
            <w:pPr>
              <w:keepNext/>
              <w:keepLines/>
              <w:spacing w:before="0" w:after="0"/>
              <w:rPr>
                <w:rFonts w:ascii="Arial" w:hAnsi="Arial"/>
                <w:sz w:val="16"/>
                <w:szCs w:val="16"/>
                <w:highlight w:val="yellow"/>
              </w:rPr>
            </w:pPr>
            <w:r w:rsidRPr="002D105C">
              <w:rPr>
                <w:rFonts w:ascii="Arial" w:hAnsi="Arial"/>
                <w:b/>
                <w:bCs/>
                <w:sz w:val="16"/>
                <w:szCs w:val="16"/>
              </w:rPr>
              <w:lastRenderedPageBreak/>
              <w:t>Maritime Domain (Continued)</w:t>
            </w:r>
          </w:p>
        </w:tc>
      </w:tr>
      <w:tr w:rsidR="00B86D3B" w:rsidRPr="00BA1388" w14:paraId="4FCEF94A" w14:textId="77777777" w:rsidTr="00A13DDC">
        <w:trPr>
          <w:trHeight w:hRule="exact" w:val="1808"/>
        </w:trPr>
        <w:tc>
          <w:tcPr>
            <w:tcW w:w="1839" w:type="dxa"/>
            <w:vMerge w:val="restart"/>
            <w:tcBorders>
              <w:top w:val="single" w:sz="4" w:space="0" w:color="auto"/>
              <w:left w:val="single" w:sz="4" w:space="0" w:color="auto"/>
              <w:right w:val="single" w:sz="4" w:space="0" w:color="auto"/>
            </w:tcBorders>
            <w:shd w:val="clear" w:color="auto" w:fill="auto"/>
            <w:vAlign w:val="center"/>
          </w:tcPr>
          <w:p w14:paraId="53A2363A" w14:textId="4DD4AE3A" w:rsidR="00B86D3B" w:rsidRPr="00BA1388" w:rsidRDefault="00B86D3B" w:rsidP="00DE289E">
            <w:pPr>
              <w:keepNext/>
              <w:keepLines/>
              <w:spacing w:after="0"/>
              <w:rPr>
                <w:rFonts w:ascii="Arial" w:hAnsi="Arial"/>
                <w:sz w:val="16"/>
                <w:szCs w:val="16"/>
                <w:highlight w:val="yellow"/>
              </w:rPr>
            </w:pPr>
            <w:r w:rsidRPr="00C460C8">
              <w:rPr>
                <w:rFonts w:ascii="Arial" w:hAnsi="Arial"/>
                <w:sz w:val="16"/>
                <w:szCs w:val="16"/>
              </w:rPr>
              <w:t>MH 60R Seahawk Helicopter</w:t>
            </w:r>
            <w:r w:rsidR="00C460C8">
              <w:rPr>
                <w:rFonts w:ascii="Arial" w:hAnsi="Arial"/>
                <w:sz w:val="16"/>
                <w:szCs w:val="16"/>
              </w:rPr>
              <w:t xml:space="preserve"> </w:t>
            </w:r>
          </w:p>
        </w:tc>
        <w:tc>
          <w:tcPr>
            <w:tcW w:w="1135" w:type="dxa"/>
            <w:vMerge w:val="restart"/>
            <w:tcBorders>
              <w:top w:val="single" w:sz="4" w:space="0" w:color="auto"/>
              <w:left w:val="single" w:sz="4" w:space="0" w:color="auto"/>
              <w:right w:val="single" w:sz="4" w:space="0" w:color="auto"/>
            </w:tcBorders>
            <w:shd w:val="clear" w:color="auto" w:fill="auto"/>
            <w:vAlign w:val="center"/>
          </w:tcPr>
          <w:p w14:paraId="1107398C" w14:textId="77777777" w:rsidR="00B86D3B" w:rsidRPr="00BA1388" w:rsidRDefault="00B86D3B" w:rsidP="00B86D3B">
            <w:pPr>
              <w:keepNext/>
              <w:keepLines/>
              <w:spacing w:after="0"/>
              <w:jc w:val="center"/>
              <w:rPr>
                <w:rFonts w:ascii="Arial" w:hAnsi="Arial"/>
                <w:b/>
                <w:bCs/>
                <w:sz w:val="16"/>
                <w:szCs w:val="16"/>
                <w:highlight w:val="yellow"/>
              </w:rPr>
            </w:pPr>
            <w:r w:rsidRPr="00C460C8">
              <w:rPr>
                <w:rFonts w:ascii="Arial" w:hAnsi="Arial"/>
                <w:b/>
                <w:bCs/>
                <w:sz w:val="16"/>
                <w:szCs w:val="16"/>
              </w:rPr>
              <w:t>SEA 9100</w:t>
            </w:r>
          </w:p>
        </w:tc>
        <w:tc>
          <w:tcPr>
            <w:tcW w:w="1560" w:type="dxa"/>
            <w:tcBorders>
              <w:top w:val="single" w:sz="4" w:space="0" w:color="auto"/>
              <w:left w:val="nil"/>
              <w:bottom w:val="single" w:sz="4" w:space="0" w:color="auto"/>
              <w:right w:val="single" w:sz="4" w:space="0" w:color="auto"/>
            </w:tcBorders>
            <w:shd w:val="clear" w:color="auto" w:fill="auto"/>
            <w:vAlign w:val="center"/>
          </w:tcPr>
          <w:p w14:paraId="5D37679B" w14:textId="77777777" w:rsidR="00B86D3B" w:rsidRPr="00F83D16" w:rsidRDefault="00B86D3B" w:rsidP="00B86D3B">
            <w:pPr>
              <w:keepNext/>
              <w:keepLines/>
              <w:spacing w:after="0"/>
              <w:rPr>
                <w:rFonts w:ascii="Arial" w:hAnsi="Arial"/>
                <w:sz w:val="16"/>
                <w:szCs w:val="16"/>
              </w:rPr>
            </w:pPr>
            <w:r w:rsidRPr="00F83D16">
              <w:rPr>
                <w:rFonts w:ascii="Arial" w:hAnsi="Arial"/>
                <w:sz w:val="16"/>
                <w:szCs w:val="16"/>
              </w:rPr>
              <w:t>Military Equipment Acquisition</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318E848B" w14:textId="282CF00D" w:rsidR="00B86D3B" w:rsidRPr="00F83D16" w:rsidRDefault="00B86D3B" w:rsidP="00B86D3B">
            <w:pPr>
              <w:keepNext/>
              <w:keepLines/>
              <w:spacing w:after="0"/>
              <w:jc w:val="right"/>
              <w:rPr>
                <w:rFonts w:ascii="Arial" w:hAnsi="Arial"/>
                <w:sz w:val="16"/>
                <w:szCs w:val="16"/>
              </w:rPr>
            </w:pPr>
            <w:r w:rsidRPr="00F83D16">
              <w:rPr>
                <w:rFonts w:ascii="Arial" w:hAnsi="Arial"/>
                <w:sz w:val="16"/>
                <w:szCs w:val="16"/>
              </w:rPr>
              <w:t>4,810</w:t>
            </w:r>
          </w:p>
        </w:tc>
        <w:tc>
          <w:tcPr>
            <w:tcW w:w="1419" w:type="dxa"/>
            <w:tcBorders>
              <w:top w:val="single" w:sz="4" w:space="0" w:color="auto"/>
              <w:left w:val="nil"/>
              <w:bottom w:val="single" w:sz="4" w:space="0" w:color="auto"/>
              <w:right w:val="single" w:sz="4" w:space="0" w:color="auto"/>
            </w:tcBorders>
            <w:shd w:val="clear" w:color="auto" w:fill="auto"/>
            <w:noWrap/>
            <w:vAlign w:val="center"/>
          </w:tcPr>
          <w:p w14:paraId="437F9D2A" w14:textId="6A69A1D6" w:rsidR="00B86D3B" w:rsidRPr="00F83D16" w:rsidRDefault="00B86D3B" w:rsidP="00B86D3B">
            <w:pPr>
              <w:keepNext/>
              <w:keepLines/>
              <w:spacing w:after="0"/>
              <w:jc w:val="right"/>
              <w:rPr>
                <w:rFonts w:ascii="Arial" w:hAnsi="Arial"/>
                <w:sz w:val="16"/>
                <w:szCs w:val="16"/>
              </w:rPr>
            </w:pPr>
            <w:r w:rsidRPr="00F83D16">
              <w:rPr>
                <w:rFonts w:ascii="Arial" w:hAnsi="Arial"/>
                <w:sz w:val="16"/>
                <w:szCs w:val="16"/>
              </w:rPr>
              <w:t>3,327</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1BD37D7" w14:textId="33EE8F2D" w:rsidR="00B86D3B" w:rsidRPr="00F83D16" w:rsidRDefault="00B86D3B" w:rsidP="00B86D3B">
            <w:pPr>
              <w:keepNext/>
              <w:keepLines/>
              <w:spacing w:after="0"/>
              <w:jc w:val="right"/>
              <w:rPr>
                <w:rFonts w:ascii="Arial" w:hAnsi="Arial"/>
                <w:sz w:val="16"/>
                <w:szCs w:val="16"/>
              </w:rPr>
            </w:pPr>
            <w:r w:rsidRPr="00F83D16">
              <w:rPr>
                <w:rFonts w:ascii="Arial" w:hAnsi="Arial"/>
                <w:sz w:val="16"/>
                <w:szCs w:val="16"/>
              </w:rPr>
              <w:t>391</w:t>
            </w:r>
          </w:p>
        </w:tc>
        <w:tc>
          <w:tcPr>
            <w:tcW w:w="5735" w:type="dxa"/>
            <w:vMerge w:val="restart"/>
            <w:tcBorders>
              <w:top w:val="single" w:sz="4" w:space="0" w:color="auto"/>
              <w:left w:val="single" w:sz="4" w:space="0" w:color="auto"/>
              <w:right w:val="single" w:sz="4" w:space="0" w:color="auto"/>
            </w:tcBorders>
            <w:shd w:val="clear" w:color="auto" w:fill="auto"/>
            <w:vAlign w:val="center"/>
          </w:tcPr>
          <w:p w14:paraId="716BF41E" w14:textId="29EE93D1" w:rsidR="00274DC3" w:rsidRPr="00274DC3" w:rsidRDefault="00274DC3" w:rsidP="00274DC3">
            <w:pPr>
              <w:spacing w:after="120"/>
              <w:rPr>
                <w:rFonts w:ascii="Arial" w:hAnsi="Arial"/>
                <w:sz w:val="16"/>
                <w:szCs w:val="18"/>
              </w:rPr>
            </w:pPr>
            <w:r w:rsidRPr="00274DC3">
              <w:rPr>
                <w:rFonts w:ascii="Arial" w:hAnsi="Arial"/>
                <w:sz w:val="16"/>
                <w:szCs w:val="18"/>
              </w:rPr>
              <w:t>This project amalgamates AIR</w:t>
            </w:r>
            <w:r w:rsidR="004735F3">
              <w:rPr>
                <w:rFonts w:ascii="Arial" w:hAnsi="Arial"/>
                <w:sz w:val="16"/>
                <w:szCs w:val="18"/>
              </w:rPr>
              <w:t xml:space="preserve"> </w:t>
            </w:r>
            <w:r w:rsidRPr="00274DC3">
              <w:rPr>
                <w:rFonts w:ascii="Arial" w:hAnsi="Arial"/>
                <w:sz w:val="16"/>
                <w:szCs w:val="18"/>
              </w:rPr>
              <w:t>9000 Phase 8, SEA</w:t>
            </w:r>
            <w:r w:rsidR="00A13DDC">
              <w:rPr>
                <w:rFonts w:ascii="Arial" w:hAnsi="Arial"/>
                <w:sz w:val="16"/>
                <w:szCs w:val="18"/>
              </w:rPr>
              <w:t xml:space="preserve"> </w:t>
            </w:r>
            <w:r w:rsidRPr="00274DC3">
              <w:rPr>
                <w:rFonts w:ascii="Arial" w:hAnsi="Arial"/>
                <w:sz w:val="16"/>
                <w:szCs w:val="18"/>
              </w:rPr>
              <w:t>5510 Phase 1 and SEA</w:t>
            </w:r>
            <w:r w:rsidR="004735F3">
              <w:rPr>
                <w:rFonts w:ascii="Arial" w:hAnsi="Arial"/>
                <w:sz w:val="16"/>
                <w:szCs w:val="18"/>
              </w:rPr>
              <w:t> </w:t>
            </w:r>
            <w:r w:rsidRPr="00274DC3">
              <w:rPr>
                <w:rFonts w:ascii="Arial" w:hAnsi="Arial"/>
                <w:sz w:val="16"/>
                <w:szCs w:val="18"/>
              </w:rPr>
              <w:t>9100 Phase 1. 24 Lockheed Martin-Sikorsky built MH-60R Seahawk Romeo multi-mission helicopters and associated mission and support systems have been delivered via a Foreign Military Sales (FMS) agreement with the United States Navy. In March 2022, Government approved a further FMS acquisition of additional MH-60R helicopters to improve embarked logistics helicopter support to the fleet, while rationalising Navy helicopters to a single operational type. This increases Navy’s MH-60R Seahawk Romeo fleet to 36 aircraft.</w:t>
            </w:r>
          </w:p>
          <w:p w14:paraId="558109B3" w14:textId="77777777" w:rsidR="00274DC3" w:rsidRPr="009B6FCD" w:rsidRDefault="00274DC3" w:rsidP="00274DC3">
            <w:pPr>
              <w:rPr>
                <w:rFonts w:ascii="Arial" w:hAnsi="Arial"/>
                <w:sz w:val="16"/>
                <w:szCs w:val="18"/>
              </w:rPr>
            </w:pPr>
            <w:r w:rsidRPr="00274DC3">
              <w:rPr>
                <w:rFonts w:ascii="Arial" w:hAnsi="Arial"/>
                <w:sz w:val="16"/>
                <w:szCs w:val="18"/>
              </w:rPr>
              <w:t>During 2025-26,</w:t>
            </w:r>
            <w:r w:rsidRPr="00274DC3">
              <w:t xml:space="preserve"> </w:t>
            </w:r>
            <w:r w:rsidRPr="00274DC3">
              <w:rPr>
                <w:rFonts w:ascii="Arial" w:hAnsi="Arial"/>
                <w:sz w:val="16"/>
                <w:szCs w:val="18"/>
              </w:rPr>
              <w:t>the project will continue to progress the acquisition of additional MH-60R helicopters to improve embarked logistics helicopter support to the fleet, while rationalising Navy helicopters to a single operational type.</w:t>
            </w:r>
          </w:p>
          <w:p w14:paraId="2313F5F2" w14:textId="1C4DD834" w:rsidR="00B86D3B" w:rsidRPr="00BA1388" w:rsidRDefault="00B86D3B" w:rsidP="00B86D3B">
            <w:pPr>
              <w:spacing w:before="0" w:after="80"/>
              <w:rPr>
                <w:rFonts w:ascii="Arial" w:hAnsi="Arial"/>
                <w:sz w:val="16"/>
                <w:szCs w:val="16"/>
                <w:highlight w:val="yellow"/>
              </w:rPr>
            </w:pPr>
          </w:p>
        </w:tc>
      </w:tr>
      <w:tr w:rsidR="00B86D3B" w:rsidRPr="00BA1388" w14:paraId="3874F4AC" w14:textId="77777777" w:rsidTr="00436E0B">
        <w:trPr>
          <w:trHeight w:hRule="exact" w:val="1989"/>
        </w:trPr>
        <w:tc>
          <w:tcPr>
            <w:tcW w:w="1839" w:type="dxa"/>
            <w:vMerge/>
            <w:tcBorders>
              <w:left w:val="single" w:sz="4" w:space="0" w:color="auto"/>
              <w:right w:val="single" w:sz="4" w:space="0" w:color="auto"/>
            </w:tcBorders>
            <w:shd w:val="clear" w:color="auto" w:fill="auto"/>
            <w:vAlign w:val="center"/>
          </w:tcPr>
          <w:p w14:paraId="523E6473" w14:textId="77777777" w:rsidR="00B86D3B" w:rsidRPr="00BA1388" w:rsidRDefault="00B86D3B" w:rsidP="00B86D3B">
            <w:pPr>
              <w:keepNext/>
              <w:keepLines/>
              <w:spacing w:after="0"/>
              <w:rPr>
                <w:rFonts w:ascii="Arial" w:hAnsi="Arial"/>
                <w:sz w:val="16"/>
                <w:szCs w:val="16"/>
                <w:highlight w:val="yellow"/>
              </w:rPr>
            </w:pPr>
          </w:p>
        </w:tc>
        <w:tc>
          <w:tcPr>
            <w:tcW w:w="1135" w:type="dxa"/>
            <w:vMerge/>
            <w:tcBorders>
              <w:left w:val="single" w:sz="4" w:space="0" w:color="auto"/>
              <w:right w:val="single" w:sz="4" w:space="0" w:color="auto"/>
            </w:tcBorders>
            <w:shd w:val="clear" w:color="auto" w:fill="auto"/>
            <w:vAlign w:val="center"/>
          </w:tcPr>
          <w:p w14:paraId="3EA05E14" w14:textId="77777777" w:rsidR="00B86D3B" w:rsidRPr="00BA1388" w:rsidRDefault="00B86D3B" w:rsidP="00B86D3B">
            <w:pPr>
              <w:keepNext/>
              <w:keepLines/>
              <w:spacing w:after="0"/>
              <w:jc w:val="center"/>
              <w:rPr>
                <w:rFonts w:ascii="Arial" w:hAnsi="Arial"/>
                <w:b/>
                <w:bCs/>
                <w:sz w:val="16"/>
                <w:szCs w:val="16"/>
                <w:highlight w:val="yellow"/>
              </w:rPr>
            </w:pPr>
          </w:p>
        </w:tc>
        <w:tc>
          <w:tcPr>
            <w:tcW w:w="1560" w:type="dxa"/>
            <w:tcBorders>
              <w:top w:val="single" w:sz="4" w:space="0" w:color="auto"/>
              <w:left w:val="nil"/>
              <w:bottom w:val="single" w:sz="4" w:space="0" w:color="auto"/>
              <w:right w:val="single" w:sz="4" w:space="0" w:color="auto"/>
            </w:tcBorders>
            <w:shd w:val="clear" w:color="auto" w:fill="auto"/>
            <w:vAlign w:val="center"/>
          </w:tcPr>
          <w:p w14:paraId="2945F7FD" w14:textId="77777777" w:rsidR="00B86D3B" w:rsidRPr="00F83D16" w:rsidRDefault="00B86D3B" w:rsidP="00B86D3B">
            <w:pPr>
              <w:keepNext/>
              <w:keepLines/>
              <w:spacing w:after="0"/>
              <w:rPr>
                <w:rFonts w:ascii="Arial" w:hAnsi="Arial"/>
                <w:sz w:val="16"/>
                <w:szCs w:val="16"/>
              </w:rPr>
            </w:pPr>
            <w:r w:rsidRPr="00F83D16">
              <w:rPr>
                <w:rFonts w:ascii="Arial" w:hAnsi="Arial"/>
                <w:sz w:val="16"/>
                <w:szCs w:val="16"/>
              </w:rPr>
              <w:t>Other Project Inputs to Capability</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7C476CC3" w14:textId="0EC8F906" w:rsidR="00B86D3B" w:rsidRPr="00F83D16" w:rsidRDefault="00B86D3B" w:rsidP="00B86D3B">
            <w:pPr>
              <w:keepNext/>
              <w:keepLines/>
              <w:spacing w:after="0"/>
              <w:jc w:val="right"/>
              <w:rPr>
                <w:rFonts w:ascii="Arial" w:hAnsi="Arial"/>
                <w:sz w:val="16"/>
                <w:szCs w:val="16"/>
              </w:rPr>
            </w:pPr>
            <w:r w:rsidRPr="00F83D16">
              <w:rPr>
                <w:rFonts w:ascii="Arial" w:hAnsi="Arial"/>
                <w:sz w:val="16"/>
                <w:szCs w:val="16"/>
              </w:rPr>
              <w:t>378</w:t>
            </w:r>
          </w:p>
        </w:tc>
        <w:tc>
          <w:tcPr>
            <w:tcW w:w="1419" w:type="dxa"/>
            <w:tcBorders>
              <w:top w:val="single" w:sz="4" w:space="0" w:color="auto"/>
              <w:left w:val="nil"/>
              <w:bottom w:val="single" w:sz="4" w:space="0" w:color="auto"/>
              <w:right w:val="single" w:sz="4" w:space="0" w:color="auto"/>
            </w:tcBorders>
            <w:shd w:val="clear" w:color="auto" w:fill="auto"/>
            <w:noWrap/>
            <w:vAlign w:val="center"/>
          </w:tcPr>
          <w:p w14:paraId="5B247C75" w14:textId="129632B0" w:rsidR="00B86D3B" w:rsidRPr="00F83D16" w:rsidRDefault="00B86D3B" w:rsidP="00B86D3B">
            <w:pPr>
              <w:keepNext/>
              <w:keepLines/>
              <w:spacing w:after="0"/>
              <w:jc w:val="right"/>
              <w:rPr>
                <w:rFonts w:ascii="Arial" w:hAnsi="Arial"/>
                <w:sz w:val="16"/>
                <w:szCs w:val="16"/>
              </w:rPr>
            </w:pPr>
            <w:r w:rsidRPr="00F83D16">
              <w:rPr>
                <w:rFonts w:ascii="Arial" w:hAnsi="Arial"/>
                <w:sz w:val="16"/>
                <w:szCs w:val="16"/>
              </w:rPr>
              <w:t>227</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1C78C04" w14:textId="51131D43" w:rsidR="00B86D3B" w:rsidRPr="00F83D16" w:rsidRDefault="00B86D3B" w:rsidP="00B86D3B">
            <w:pPr>
              <w:keepNext/>
              <w:keepLines/>
              <w:spacing w:after="0"/>
              <w:jc w:val="right"/>
              <w:rPr>
                <w:rFonts w:ascii="Arial" w:hAnsi="Arial"/>
                <w:sz w:val="16"/>
                <w:szCs w:val="16"/>
              </w:rPr>
            </w:pPr>
            <w:r w:rsidRPr="00F83D16">
              <w:rPr>
                <w:rFonts w:ascii="Arial" w:hAnsi="Arial"/>
                <w:sz w:val="16"/>
                <w:szCs w:val="16"/>
              </w:rPr>
              <w:t>60</w:t>
            </w:r>
          </w:p>
        </w:tc>
        <w:tc>
          <w:tcPr>
            <w:tcW w:w="5735" w:type="dxa"/>
            <w:vMerge/>
            <w:tcBorders>
              <w:left w:val="single" w:sz="4" w:space="0" w:color="auto"/>
              <w:bottom w:val="single" w:sz="4" w:space="0" w:color="auto"/>
              <w:right w:val="single" w:sz="4" w:space="0" w:color="auto"/>
            </w:tcBorders>
            <w:shd w:val="clear" w:color="auto" w:fill="auto"/>
            <w:vAlign w:val="center"/>
          </w:tcPr>
          <w:p w14:paraId="7F53446D" w14:textId="77777777" w:rsidR="00B86D3B" w:rsidRPr="00BA1388" w:rsidRDefault="00B86D3B" w:rsidP="00B86D3B">
            <w:pPr>
              <w:spacing w:before="0" w:after="80"/>
              <w:rPr>
                <w:rFonts w:ascii="Arial" w:hAnsi="Arial"/>
                <w:color w:val="000000"/>
                <w:sz w:val="16"/>
                <w:szCs w:val="16"/>
                <w:highlight w:val="yellow"/>
              </w:rPr>
            </w:pPr>
          </w:p>
        </w:tc>
      </w:tr>
      <w:tr w:rsidR="00B86D3B" w:rsidRPr="00BA1388" w14:paraId="3FE55D60" w14:textId="77777777" w:rsidTr="00783A8E">
        <w:trPr>
          <w:trHeight w:val="851"/>
        </w:trPr>
        <w:tc>
          <w:tcPr>
            <w:tcW w:w="1839" w:type="dxa"/>
            <w:vMerge w:val="restart"/>
            <w:tcBorders>
              <w:top w:val="single" w:sz="4" w:space="0" w:color="auto"/>
              <w:left w:val="single" w:sz="4" w:space="0" w:color="auto"/>
              <w:right w:val="single" w:sz="4" w:space="0" w:color="auto"/>
            </w:tcBorders>
            <w:shd w:val="clear" w:color="auto" w:fill="auto"/>
            <w:vAlign w:val="center"/>
          </w:tcPr>
          <w:p w14:paraId="79DB33B0" w14:textId="074C25F0" w:rsidR="00B86D3B" w:rsidRPr="00764FBD" w:rsidRDefault="00B86D3B" w:rsidP="00DE289E">
            <w:pPr>
              <w:spacing w:after="0"/>
              <w:rPr>
                <w:rFonts w:ascii="Arial" w:hAnsi="Arial"/>
                <w:sz w:val="16"/>
                <w:szCs w:val="16"/>
              </w:rPr>
            </w:pPr>
            <w:r w:rsidRPr="00764FBD">
              <w:rPr>
                <w:rFonts w:ascii="Arial" w:hAnsi="Arial"/>
                <w:sz w:val="16"/>
                <w:szCs w:val="16"/>
              </w:rPr>
              <w:t>Collins Life Of Type Extension</w:t>
            </w:r>
            <w:r w:rsidR="00764FBD">
              <w:rPr>
                <w:rFonts w:ascii="Arial" w:hAnsi="Arial"/>
                <w:sz w:val="16"/>
                <w:szCs w:val="16"/>
              </w:rPr>
              <w:t xml:space="preserve"> </w:t>
            </w:r>
          </w:p>
        </w:tc>
        <w:tc>
          <w:tcPr>
            <w:tcW w:w="1135" w:type="dxa"/>
            <w:vMerge w:val="restart"/>
            <w:tcBorders>
              <w:top w:val="single" w:sz="4" w:space="0" w:color="auto"/>
              <w:left w:val="single" w:sz="4" w:space="0" w:color="auto"/>
              <w:right w:val="single" w:sz="4" w:space="0" w:color="auto"/>
            </w:tcBorders>
            <w:shd w:val="clear" w:color="auto" w:fill="auto"/>
            <w:vAlign w:val="center"/>
          </w:tcPr>
          <w:p w14:paraId="695AD288" w14:textId="5699825E" w:rsidR="00B86D3B" w:rsidRPr="00764FBD" w:rsidRDefault="00B86D3B" w:rsidP="00B86D3B">
            <w:pPr>
              <w:spacing w:after="0"/>
              <w:jc w:val="center"/>
              <w:rPr>
                <w:rFonts w:ascii="Arial" w:hAnsi="Arial"/>
                <w:b/>
                <w:bCs/>
                <w:sz w:val="16"/>
                <w:szCs w:val="16"/>
              </w:rPr>
            </w:pPr>
            <w:r w:rsidRPr="00764FBD">
              <w:rPr>
                <w:rFonts w:ascii="Arial" w:hAnsi="Arial"/>
                <w:b/>
                <w:bCs/>
                <w:sz w:val="16"/>
                <w:szCs w:val="16"/>
              </w:rPr>
              <w:t>SEA 1450</w:t>
            </w:r>
          </w:p>
        </w:tc>
        <w:tc>
          <w:tcPr>
            <w:tcW w:w="1560" w:type="dxa"/>
            <w:tcBorders>
              <w:top w:val="single" w:sz="4" w:space="0" w:color="auto"/>
              <w:left w:val="nil"/>
              <w:bottom w:val="single" w:sz="4" w:space="0" w:color="auto"/>
              <w:right w:val="single" w:sz="4" w:space="0" w:color="auto"/>
            </w:tcBorders>
            <w:shd w:val="clear" w:color="auto" w:fill="auto"/>
            <w:vAlign w:val="center"/>
          </w:tcPr>
          <w:p w14:paraId="5C4BA550" w14:textId="77777777" w:rsidR="00B86D3B" w:rsidRPr="00764FBD" w:rsidRDefault="00B86D3B" w:rsidP="00B86D3B">
            <w:pPr>
              <w:spacing w:after="0"/>
              <w:rPr>
                <w:rFonts w:ascii="Arial" w:hAnsi="Arial"/>
                <w:sz w:val="16"/>
                <w:szCs w:val="16"/>
              </w:rPr>
            </w:pPr>
            <w:r w:rsidRPr="00764FBD">
              <w:rPr>
                <w:rFonts w:ascii="Arial" w:hAnsi="Arial"/>
                <w:sz w:val="16"/>
                <w:szCs w:val="16"/>
              </w:rPr>
              <w:t>Military Equipment Acquisition</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5D11DC35" w14:textId="429249AB" w:rsidR="00B86D3B" w:rsidRPr="00764FBD" w:rsidRDefault="00B86D3B" w:rsidP="00B86D3B">
            <w:pPr>
              <w:spacing w:after="0"/>
              <w:jc w:val="right"/>
              <w:rPr>
                <w:rFonts w:ascii="Arial" w:hAnsi="Arial"/>
                <w:sz w:val="16"/>
                <w:szCs w:val="16"/>
              </w:rPr>
            </w:pPr>
            <w:r w:rsidRPr="00764FBD">
              <w:rPr>
                <w:rFonts w:ascii="Arial" w:hAnsi="Arial"/>
                <w:sz w:val="16"/>
                <w:szCs w:val="16"/>
              </w:rPr>
              <w:t>1,410</w:t>
            </w:r>
          </w:p>
        </w:tc>
        <w:tc>
          <w:tcPr>
            <w:tcW w:w="1419" w:type="dxa"/>
            <w:tcBorders>
              <w:top w:val="single" w:sz="4" w:space="0" w:color="auto"/>
              <w:left w:val="nil"/>
              <w:bottom w:val="single" w:sz="4" w:space="0" w:color="auto"/>
              <w:right w:val="single" w:sz="4" w:space="0" w:color="auto"/>
            </w:tcBorders>
            <w:shd w:val="clear" w:color="auto" w:fill="auto"/>
            <w:noWrap/>
            <w:vAlign w:val="center"/>
          </w:tcPr>
          <w:p w14:paraId="1139B78C" w14:textId="4AA5527F" w:rsidR="00B86D3B" w:rsidRPr="00764FBD" w:rsidRDefault="00B86D3B" w:rsidP="00B86D3B">
            <w:pPr>
              <w:spacing w:after="0"/>
              <w:jc w:val="right"/>
              <w:rPr>
                <w:rFonts w:ascii="Arial" w:hAnsi="Arial"/>
                <w:sz w:val="16"/>
                <w:szCs w:val="16"/>
              </w:rPr>
            </w:pPr>
            <w:r w:rsidRPr="00764FBD">
              <w:rPr>
                <w:rFonts w:ascii="Arial" w:hAnsi="Arial"/>
                <w:sz w:val="16"/>
                <w:szCs w:val="16"/>
              </w:rPr>
              <w:t>346</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E43249D" w14:textId="6DF91659" w:rsidR="00B86D3B" w:rsidRPr="00764FBD" w:rsidRDefault="00B86D3B" w:rsidP="00B86D3B">
            <w:pPr>
              <w:spacing w:after="0"/>
              <w:jc w:val="right"/>
              <w:rPr>
                <w:rFonts w:ascii="Arial" w:hAnsi="Arial"/>
                <w:sz w:val="16"/>
                <w:szCs w:val="16"/>
              </w:rPr>
            </w:pPr>
            <w:r w:rsidRPr="00764FBD">
              <w:rPr>
                <w:rFonts w:ascii="Arial" w:hAnsi="Arial"/>
                <w:sz w:val="16"/>
                <w:szCs w:val="16"/>
              </w:rPr>
              <w:t>264</w:t>
            </w:r>
          </w:p>
        </w:tc>
        <w:tc>
          <w:tcPr>
            <w:tcW w:w="57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B31B6C0" w14:textId="77777777" w:rsidR="00764FBD" w:rsidRPr="00764FBD" w:rsidRDefault="00764FBD" w:rsidP="00764FBD">
            <w:pPr>
              <w:spacing w:before="0" w:after="80"/>
              <w:rPr>
                <w:rFonts w:ascii="Arial" w:hAnsi="Arial"/>
                <w:color w:val="000000"/>
                <w:sz w:val="16"/>
                <w:szCs w:val="16"/>
              </w:rPr>
            </w:pPr>
            <w:r w:rsidRPr="00764FBD">
              <w:rPr>
                <w:rFonts w:ascii="Arial" w:hAnsi="Arial"/>
                <w:color w:val="000000"/>
                <w:sz w:val="16"/>
                <w:szCs w:val="16"/>
              </w:rPr>
              <w:t>This project is one of the three elements of the Collins Class Submarine (CCSM) Life of Type Extension (CSMP LOTE) Program. This project will address the most significant risks to enduring availability and reliability of CCSM out to the Amended Planned Withdrawal Date.</w:t>
            </w:r>
          </w:p>
          <w:p w14:paraId="5FEA705C" w14:textId="7D3CCA06" w:rsidR="00B86D3B" w:rsidRPr="00764FBD" w:rsidRDefault="00764FBD" w:rsidP="00764FBD">
            <w:pPr>
              <w:spacing w:before="0" w:after="80"/>
              <w:rPr>
                <w:rFonts w:ascii="Arial" w:hAnsi="Arial"/>
                <w:sz w:val="16"/>
                <w:szCs w:val="16"/>
              </w:rPr>
            </w:pPr>
            <w:r w:rsidRPr="00764FBD">
              <w:rPr>
                <w:rFonts w:ascii="Arial" w:hAnsi="Arial"/>
                <w:sz w:val="16"/>
                <w:szCs w:val="16"/>
              </w:rPr>
              <w:t xml:space="preserve">During 2025-26, the project </w:t>
            </w:r>
            <w:r w:rsidRPr="00764FBD">
              <w:rPr>
                <w:rFonts w:ascii="Arial" w:hAnsi="Arial"/>
                <w:color w:val="000000"/>
                <w:sz w:val="16"/>
                <w:szCs w:val="16"/>
              </w:rPr>
              <w:t>will continue to progress core design elements through to production readiness.</w:t>
            </w:r>
          </w:p>
        </w:tc>
      </w:tr>
      <w:tr w:rsidR="00B86D3B" w:rsidRPr="00BA1388" w14:paraId="03CCD846" w14:textId="77777777" w:rsidTr="00783A8E">
        <w:trPr>
          <w:trHeight w:val="851"/>
        </w:trPr>
        <w:tc>
          <w:tcPr>
            <w:tcW w:w="1839" w:type="dxa"/>
            <w:vMerge/>
            <w:tcBorders>
              <w:left w:val="single" w:sz="4" w:space="0" w:color="auto"/>
              <w:bottom w:val="single" w:sz="4" w:space="0" w:color="auto"/>
              <w:right w:val="single" w:sz="4" w:space="0" w:color="auto"/>
            </w:tcBorders>
            <w:shd w:val="clear" w:color="auto" w:fill="auto"/>
            <w:vAlign w:val="center"/>
          </w:tcPr>
          <w:p w14:paraId="5D3C118D" w14:textId="77777777" w:rsidR="00B86D3B" w:rsidRPr="00BA1388" w:rsidRDefault="00B86D3B" w:rsidP="00B86D3B">
            <w:pPr>
              <w:spacing w:after="0"/>
              <w:rPr>
                <w:rFonts w:ascii="Arial" w:hAnsi="Arial"/>
                <w:sz w:val="16"/>
                <w:szCs w:val="16"/>
                <w:highlight w:val="yellow"/>
              </w:rPr>
            </w:pPr>
          </w:p>
        </w:tc>
        <w:tc>
          <w:tcPr>
            <w:tcW w:w="1135" w:type="dxa"/>
            <w:vMerge/>
            <w:tcBorders>
              <w:left w:val="single" w:sz="4" w:space="0" w:color="auto"/>
              <w:bottom w:val="single" w:sz="4" w:space="0" w:color="auto"/>
              <w:right w:val="single" w:sz="4" w:space="0" w:color="auto"/>
            </w:tcBorders>
            <w:shd w:val="clear" w:color="auto" w:fill="auto"/>
            <w:vAlign w:val="center"/>
          </w:tcPr>
          <w:p w14:paraId="647A3AB8" w14:textId="77777777" w:rsidR="00B86D3B" w:rsidRPr="00BA1388" w:rsidRDefault="00B86D3B" w:rsidP="00B86D3B">
            <w:pPr>
              <w:spacing w:after="0"/>
              <w:jc w:val="center"/>
              <w:rPr>
                <w:rFonts w:ascii="Arial" w:hAnsi="Arial"/>
                <w:b/>
                <w:bCs/>
                <w:sz w:val="16"/>
                <w:szCs w:val="16"/>
                <w:highlight w:val="yellow"/>
              </w:rPr>
            </w:pPr>
          </w:p>
        </w:tc>
        <w:tc>
          <w:tcPr>
            <w:tcW w:w="1560" w:type="dxa"/>
            <w:tcBorders>
              <w:top w:val="single" w:sz="4" w:space="0" w:color="auto"/>
              <w:left w:val="nil"/>
              <w:bottom w:val="single" w:sz="4" w:space="0" w:color="auto"/>
              <w:right w:val="single" w:sz="4" w:space="0" w:color="auto"/>
            </w:tcBorders>
            <w:shd w:val="clear" w:color="auto" w:fill="auto"/>
            <w:vAlign w:val="center"/>
          </w:tcPr>
          <w:p w14:paraId="402B7F48" w14:textId="77777777" w:rsidR="00B86D3B" w:rsidRPr="00F83D16" w:rsidRDefault="00B86D3B" w:rsidP="00B86D3B">
            <w:pPr>
              <w:spacing w:after="0"/>
              <w:rPr>
                <w:rFonts w:ascii="Arial" w:hAnsi="Arial"/>
                <w:sz w:val="16"/>
                <w:szCs w:val="16"/>
              </w:rPr>
            </w:pPr>
            <w:r w:rsidRPr="00F83D16">
              <w:rPr>
                <w:rFonts w:ascii="Arial" w:hAnsi="Arial"/>
                <w:sz w:val="16"/>
                <w:szCs w:val="16"/>
              </w:rPr>
              <w:t>Other Project Inputs to Capability</w:t>
            </w:r>
          </w:p>
        </w:tc>
        <w:tc>
          <w:tcPr>
            <w:tcW w:w="1277" w:type="dxa"/>
            <w:tcBorders>
              <w:top w:val="single" w:sz="4" w:space="0" w:color="auto"/>
              <w:left w:val="nil"/>
              <w:bottom w:val="single" w:sz="4" w:space="0" w:color="auto"/>
              <w:right w:val="single" w:sz="4" w:space="0" w:color="auto"/>
            </w:tcBorders>
            <w:shd w:val="clear" w:color="auto" w:fill="auto"/>
            <w:noWrap/>
            <w:vAlign w:val="center"/>
          </w:tcPr>
          <w:p w14:paraId="5FBED036" w14:textId="0B5E01A9" w:rsidR="00B86D3B" w:rsidRPr="00F83D16" w:rsidRDefault="00B86D3B" w:rsidP="00B86D3B">
            <w:pPr>
              <w:spacing w:after="0"/>
              <w:jc w:val="right"/>
              <w:rPr>
                <w:rFonts w:ascii="Arial" w:hAnsi="Arial"/>
                <w:sz w:val="16"/>
                <w:szCs w:val="16"/>
              </w:rPr>
            </w:pPr>
            <w:r w:rsidRPr="00F83D16">
              <w:rPr>
                <w:rFonts w:ascii="Arial" w:hAnsi="Arial"/>
                <w:sz w:val="16"/>
                <w:szCs w:val="16"/>
              </w:rPr>
              <w:t>15</w:t>
            </w:r>
          </w:p>
        </w:tc>
        <w:tc>
          <w:tcPr>
            <w:tcW w:w="1419" w:type="dxa"/>
            <w:tcBorders>
              <w:top w:val="single" w:sz="4" w:space="0" w:color="auto"/>
              <w:left w:val="nil"/>
              <w:bottom w:val="single" w:sz="4" w:space="0" w:color="auto"/>
              <w:right w:val="single" w:sz="4" w:space="0" w:color="auto"/>
            </w:tcBorders>
            <w:shd w:val="clear" w:color="auto" w:fill="auto"/>
            <w:noWrap/>
            <w:vAlign w:val="center"/>
          </w:tcPr>
          <w:p w14:paraId="36468667" w14:textId="53E47870" w:rsidR="00B86D3B" w:rsidRPr="00F83D16" w:rsidRDefault="00B86D3B" w:rsidP="00B86D3B">
            <w:pPr>
              <w:spacing w:after="0"/>
              <w:jc w:val="right"/>
              <w:rPr>
                <w:rFonts w:ascii="Arial" w:hAnsi="Arial"/>
                <w:sz w:val="16"/>
                <w:szCs w:val="16"/>
              </w:rPr>
            </w:pPr>
            <w:r w:rsidRPr="00F83D16">
              <w:rPr>
                <w:rFonts w:ascii="Arial" w:hAnsi="Arial"/>
                <w:sz w:val="16"/>
                <w:szCs w:val="16"/>
              </w:rPr>
              <w:t>1</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A9EEEA4" w14:textId="69CACF1E" w:rsidR="00B86D3B" w:rsidRPr="00F83D16" w:rsidRDefault="00B86D3B" w:rsidP="00B86D3B">
            <w:pPr>
              <w:spacing w:after="0"/>
              <w:jc w:val="right"/>
              <w:rPr>
                <w:rFonts w:ascii="Arial" w:hAnsi="Arial"/>
                <w:sz w:val="16"/>
                <w:szCs w:val="16"/>
              </w:rPr>
            </w:pPr>
            <w:r w:rsidRPr="00F83D16">
              <w:rPr>
                <w:rFonts w:ascii="Arial" w:hAnsi="Arial"/>
                <w:sz w:val="16"/>
                <w:szCs w:val="16"/>
              </w:rPr>
              <w:t>2</w:t>
            </w:r>
          </w:p>
        </w:tc>
        <w:tc>
          <w:tcPr>
            <w:tcW w:w="5735" w:type="dxa"/>
            <w:vMerge/>
            <w:tcBorders>
              <w:left w:val="single" w:sz="4" w:space="0" w:color="auto"/>
              <w:bottom w:val="single" w:sz="4" w:space="0" w:color="auto"/>
              <w:right w:val="single" w:sz="4" w:space="0" w:color="auto"/>
            </w:tcBorders>
            <w:shd w:val="clear" w:color="auto" w:fill="auto"/>
            <w:vAlign w:val="center"/>
          </w:tcPr>
          <w:p w14:paraId="4E35DF85" w14:textId="77777777" w:rsidR="00B86D3B" w:rsidRPr="00BA1388" w:rsidRDefault="00B86D3B" w:rsidP="00B86D3B">
            <w:pPr>
              <w:spacing w:before="0" w:after="80"/>
              <w:rPr>
                <w:rFonts w:ascii="Arial" w:hAnsi="Arial"/>
                <w:sz w:val="16"/>
                <w:szCs w:val="16"/>
                <w:highlight w:val="yellow"/>
              </w:rPr>
            </w:pPr>
          </w:p>
        </w:tc>
      </w:tr>
    </w:tbl>
    <w:p w14:paraId="5D7859D9" w14:textId="77777777" w:rsidR="00633505" w:rsidRPr="00BA1388" w:rsidRDefault="00633505" w:rsidP="008A5595">
      <w:pPr>
        <w:spacing w:before="0" w:after="0"/>
        <w:rPr>
          <w:rFonts w:ascii="Arial" w:hAnsi="Arial"/>
          <w:b/>
          <w:sz w:val="16"/>
          <w:szCs w:val="16"/>
          <w:highlight w:val="yellow"/>
          <w:lang w:val="en-AU"/>
        </w:rPr>
      </w:pPr>
      <w:r w:rsidRPr="00BA1388">
        <w:rPr>
          <w:rFonts w:ascii="Arial" w:hAnsi="Arial"/>
          <w:b/>
          <w:sz w:val="16"/>
          <w:szCs w:val="16"/>
          <w:highlight w:val="yellow"/>
          <w:lang w:val="en-AU"/>
        </w:rPr>
        <w:br w:type="page"/>
      </w:r>
    </w:p>
    <w:tbl>
      <w:tblPr>
        <w:tblW w:w="5035" w:type="pct"/>
        <w:tblInd w:w="108" w:type="dxa"/>
        <w:tblLook w:val="04A0" w:firstRow="1" w:lastRow="0" w:firstColumn="1" w:lastColumn="0" w:noHBand="0" w:noVBand="1"/>
      </w:tblPr>
      <w:tblGrid>
        <w:gridCol w:w="6760"/>
        <w:gridCol w:w="1383"/>
        <w:gridCol w:w="1383"/>
        <w:gridCol w:w="1383"/>
        <w:gridCol w:w="2623"/>
      </w:tblGrid>
      <w:tr w:rsidR="00633505" w:rsidRPr="00BA1388" w14:paraId="1019CA9F" w14:textId="77777777" w:rsidTr="00F83D16">
        <w:trPr>
          <w:trHeight w:val="255"/>
        </w:trPr>
        <w:tc>
          <w:tcPr>
            <w:tcW w:w="13532" w:type="dxa"/>
            <w:gridSpan w:val="5"/>
            <w:shd w:val="clear" w:color="000000" w:fill="auto"/>
            <w:vAlign w:val="center"/>
          </w:tcPr>
          <w:p w14:paraId="6D1BCDF8" w14:textId="7B84E700" w:rsidR="00633505" w:rsidRPr="00E610B4" w:rsidRDefault="00633505" w:rsidP="00F0230D">
            <w:pPr>
              <w:spacing w:before="0" w:after="0"/>
              <w:rPr>
                <w:rFonts w:ascii="Arial" w:hAnsi="Arial"/>
                <w:b/>
                <w:bCs/>
                <w:szCs w:val="20"/>
                <w:vertAlign w:val="superscript"/>
                <w:lang w:val="en-AU"/>
              </w:rPr>
            </w:pPr>
            <w:bookmarkStart w:id="904" w:name="OLE_LINK2"/>
            <w:r w:rsidRPr="00E610B4">
              <w:rPr>
                <w:rFonts w:ascii="Arial" w:hAnsi="Arial"/>
                <w:b/>
                <w:bCs/>
                <w:szCs w:val="20"/>
                <w:lang w:val="en-AU"/>
              </w:rPr>
              <w:lastRenderedPageBreak/>
              <w:t>Table 5</w:t>
            </w:r>
            <w:r w:rsidR="00674B0E" w:rsidRPr="00E610B4">
              <w:rPr>
                <w:rFonts w:ascii="Arial" w:hAnsi="Arial"/>
                <w:b/>
                <w:bCs/>
                <w:szCs w:val="20"/>
                <w:lang w:val="en-AU"/>
              </w:rPr>
              <w:t>4</w:t>
            </w:r>
            <w:r w:rsidRPr="00E610B4">
              <w:rPr>
                <w:rFonts w:ascii="Arial" w:hAnsi="Arial"/>
                <w:b/>
                <w:bCs/>
                <w:szCs w:val="20"/>
                <w:lang w:val="en-AU"/>
              </w:rPr>
              <w:t>: Top 30 Military Equipment Acquisition Program Approved Projects by 202</w:t>
            </w:r>
            <w:r w:rsidR="004B232A" w:rsidRPr="00E610B4">
              <w:rPr>
                <w:rFonts w:ascii="Arial" w:hAnsi="Arial"/>
                <w:b/>
                <w:bCs/>
                <w:szCs w:val="20"/>
                <w:lang w:val="en-AU"/>
              </w:rPr>
              <w:t>5</w:t>
            </w:r>
            <w:r w:rsidRPr="00E610B4">
              <w:rPr>
                <w:rFonts w:ascii="Arial" w:hAnsi="Arial"/>
                <w:b/>
                <w:bCs/>
                <w:szCs w:val="20"/>
                <w:lang w:val="en-AU"/>
              </w:rPr>
              <w:t>-2</w:t>
            </w:r>
            <w:r w:rsidR="004B232A" w:rsidRPr="00E610B4">
              <w:rPr>
                <w:rFonts w:ascii="Arial" w:hAnsi="Arial"/>
                <w:b/>
                <w:bCs/>
                <w:szCs w:val="20"/>
                <w:lang w:val="en-AU"/>
              </w:rPr>
              <w:t>6</w:t>
            </w:r>
            <w:r w:rsidRPr="00E610B4">
              <w:rPr>
                <w:rFonts w:ascii="Arial" w:hAnsi="Arial"/>
                <w:b/>
                <w:bCs/>
                <w:szCs w:val="20"/>
                <w:lang w:val="en-AU"/>
              </w:rPr>
              <w:t xml:space="preserve"> Forecast Expenditure (Gross Plan)(Continued)</w:t>
            </w:r>
            <w:r w:rsidR="00042FF0" w:rsidRPr="00E610B4">
              <w:rPr>
                <w:rFonts w:ascii="Arial" w:hAnsi="Arial"/>
                <w:b/>
                <w:bCs/>
                <w:szCs w:val="20"/>
                <w:vertAlign w:val="superscript"/>
                <w:lang w:val="en-AU"/>
              </w:rPr>
              <w:t>[a]</w:t>
            </w:r>
            <w:r w:rsidRPr="00E610B4">
              <w:rPr>
                <w:rFonts w:ascii="Arial" w:hAnsi="Arial"/>
                <w:b/>
                <w:bCs/>
                <w:szCs w:val="20"/>
                <w:vertAlign w:val="superscript"/>
                <w:lang w:val="en-AU"/>
              </w:rPr>
              <w:t>[b]</w:t>
            </w:r>
            <w:r w:rsidR="00074E68" w:rsidRPr="00E610B4">
              <w:rPr>
                <w:rFonts w:ascii="Arial" w:hAnsi="Arial"/>
                <w:b/>
                <w:bCs/>
                <w:szCs w:val="20"/>
                <w:vertAlign w:val="superscript"/>
                <w:lang w:val="en-AU"/>
              </w:rPr>
              <w:t>[c]</w:t>
            </w:r>
          </w:p>
          <w:p w14:paraId="5EB991C3" w14:textId="77777777" w:rsidR="00633505" w:rsidRPr="00E610B4" w:rsidRDefault="00633505" w:rsidP="00766BE1">
            <w:pPr>
              <w:spacing w:before="0" w:after="0"/>
              <w:rPr>
                <w:rFonts w:ascii="Arial" w:hAnsi="Arial"/>
                <w:b/>
                <w:bCs/>
                <w:sz w:val="16"/>
                <w:szCs w:val="16"/>
                <w:lang w:val="en-AU"/>
              </w:rPr>
            </w:pPr>
          </w:p>
        </w:tc>
      </w:tr>
      <w:tr w:rsidR="00633505" w:rsidRPr="00BA1388" w14:paraId="194FB6CB" w14:textId="77777777" w:rsidTr="00F83D16">
        <w:trPr>
          <w:gridAfter w:val="1"/>
          <w:wAfter w:w="2623" w:type="dxa"/>
          <w:trHeight w:val="255"/>
        </w:trPr>
        <w:tc>
          <w:tcPr>
            <w:tcW w:w="6760" w:type="dxa"/>
            <w:tcBorders>
              <w:top w:val="single" w:sz="4" w:space="0" w:color="auto"/>
              <w:left w:val="single" w:sz="4" w:space="0" w:color="auto"/>
              <w:bottom w:val="single" w:sz="4" w:space="0" w:color="auto"/>
              <w:right w:val="single" w:sz="4" w:space="0" w:color="auto"/>
            </w:tcBorders>
            <w:shd w:val="clear" w:color="000000" w:fill="auto"/>
            <w:vAlign w:val="bottom"/>
          </w:tcPr>
          <w:p w14:paraId="487EF500" w14:textId="77777777" w:rsidR="00633505" w:rsidRPr="00E610B4" w:rsidRDefault="00633505" w:rsidP="00766BE1">
            <w:pPr>
              <w:spacing w:before="0" w:after="0"/>
              <w:rPr>
                <w:rFonts w:ascii="Arial" w:hAnsi="Arial"/>
                <w:sz w:val="16"/>
                <w:szCs w:val="16"/>
                <w:lang w:val="en-AU"/>
              </w:rPr>
            </w:pPr>
          </w:p>
        </w:tc>
        <w:tc>
          <w:tcPr>
            <w:tcW w:w="1383" w:type="dxa"/>
            <w:tcBorders>
              <w:top w:val="single" w:sz="4" w:space="0" w:color="auto"/>
              <w:left w:val="single" w:sz="4" w:space="0" w:color="auto"/>
              <w:bottom w:val="single" w:sz="4" w:space="0" w:color="auto"/>
              <w:right w:val="single" w:sz="4" w:space="0" w:color="auto"/>
            </w:tcBorders>
            <w:shd w:val="clear" w:color="000000" w:fill="auto"/>
          </w:tcPr>
          <w:p w14:paraId="1B6A7340" w14:textId="77777777" w:rsidR="00AE0FC4" w:rsidRDefault="00633505" w:rsidP="00766BE1">
            <w:pPr>
              <w:spacing w:before="0" w:after="0"/>
              <w:jc w:val="right"/>
              <w:rPr>
                <w:rFonts w:ascii="Arial" w:hAnsi="Arial"/>
                <w:b/>
                <w:bCs/>
                <w:sz w:val="16"/>
                <w:szCs w:val="16"/>
                <w:lang w:val="en-AU"/>
              </w:rPr>
            </w:pPr>
            <w:r w:rsidRPr="00E610B4">
              <w:rPr>
                <w:rFonts w:ascii="Arial" w:hAnsi="Arial"/>
                <w:b/>
                <w:bCs/>
                <w:sz w:val="16"/>
                <w:szCs w:val="16"/>
                <w:lang w:val="en-AU"/>
              </w:rPr>
              <w:t xml:space="preserve">Approved Project Expenditure </w:t>
            </w:r>
          </w:p>
          <w:p w14:paraId="31B49668" w14:textId="77777777" w:rsidR="00AE0FC4" w:rsidRDefault="00AE0FC4" w:rsidP="00766BE1">
            <w:pPr>
              <w:spacing w:before="0" w:after="0"/>
              <w:jc w:val="right"/>
              <w:rPr>
                <w:rFonts w:ascii="Arial" w:hAnsi="Arial"/>
                <w:b/>
                <w:bCs/>
                <w:sz w:val="16"/>
                <w:szCs w:val="16"/>
                <w:lang w:val="en-AU"/>
              </w:rPr>
            </w:pPr>
          </w:p>
          <w:p w14:paraId="4989E687" w14:textId="760ED2A9" w:rsidR="00633505" w:rsidRPr="00E610B4" w:rsidRDefault="00633505" w:rsidP="00766BE1">
            <w:pPr>
              <w:spacing w:before="0" w:after="0"/>
              <w:jc w:val="right"/>
              <w:rPr>
                <w:rFonts w:ascii="Arial" w:hAnsi="Arial"/>
                <w:b/>
                <w:bCs/>
                <w:sz w:val="16"/>
                <w:szCs w:val="16"/>
                <w:lang w:val="en-AU"/>
              </w:rPr>
            </w:pPr>
            <w:r w:rsidRPr="00E610B4">
              <w:rPr>
                <w:rFonts w:ascii="Arial" w:hAnsi="Arial"/>
                <w:b/>
                <w:bCs/>
                <w:sz w:val="16"/>
                <w:szCs w:val="16"/>
                <w:lang w:val="en-AU"/>
              </w:rPr>
              <w:t>$m</w:t>
            </w:r>
          </w:p>
        </w:tc>
        <w:tc>
          <w:tcPr>
            <w:tcW w:w="1383" w:type="dxa"/>
            <w:tcBorders>
              <w:top w:val="single" w:sz="4" w:space="0" w:color="auto"/>
              <w:left w:val="single" w:sz="4" w:space="0" w:color="auto"/>
              <w:bottom w:val="single" w:sz="4" w:space="0" w:color="auto"/>
              <w:right w:val="single" w:sz="4" w:space="0" w:color="auto"/>
            </w:tcBorders>
            <w:shd w:val="clear" w:color="000000" w:fill="auto"/>
          </w:tcPr>
          <w:p w14:paraId="4A5DA79A" w14:textId="3710A9CD" w:rsidR="00633505" w:rsidRPr="00E610B4" w:rsidRDefault="00633505" w:rsidP="00783A8E">
            <w:pPr>
              <w:spacing w:before="0" w:after="0"/>
              <w:jc w:val="right"/>
              <w:rPr>
                <w:rFonts w:ascii="Arial" w:hAnsi="Arial"/>
                <w:b/>
                <w:bCs/>
                <w:sz w:val="16"/>
                <w:szCs w:val="16"/>
                <w:lang w:val="en-AU"/>
              </w:rPr>
            </w:pPr>
            <w:r w:rsidRPr="00E610B4">
              <w:rPr>
                <w:rFonts w:ascii="Arial" w:hAnsi="Arial"/>
                <w:b/>
                <w:bCs/>
                <w:sz w:val="16"/>
                <w:szCs w:val="16"/>
                <w:lang w:val="en-AU"/>
              </w:rPr>
              <w:t>Estimated Cumulative Expenditure to 30 June 202</w:t>
            </w:r>
            <w:r w:rsidR="00783A8E" w:rsidRPr="00E610B4">
              <w:rPr>
                <w:rFonts w:ascii="Arial" w:hAnsi="Arial"/>
                <w:b/>
                <w:bCs/>
                <w:sz w:val="16"/>
                <w:szCs w:val="16"/>
                <w:lang w:val="en-AU"/>
              </w:rPr>
              <w:t>5</w:t>
            </w:r>
            <w:r w:rsidRPr="00E610B4">
              <w:rPr>
                <w:rFonts w:ascii="Arial" w:hAnsi="Arial"/>
                <w:b/>
                <w:bCs/>
                <w:sz w:val="16"/>
                <w:szCs w:val="16"/>
                <w:lang w:val="en-AU"/>
              </w:rPr>
              <w:t xml:space="preserve"> $m</w:t>
            </w:r>
          </w:p>
        </w:tc>
        <w:tc>
          <w:tcPr>
            <w:tcW w:w="1383" w:type="dxa"/>
            <w:tcBorders>
              <w:top w:val="single" w:sz="4" w:space="0" w:color="auto"/>
              <w:left w:val="single" w:sz="4" w:space="0" w:color="auto"/>
              <w:bottom w:val="single" w:sz="4" w:space="0" w:color="auto"/>
              <w:right w:val="single" w:sz="4" w:space="0" w:color="auto"/>
            </w:tcBorders>
            <w:shd w:val="clear" w:color="000000" w:fill="auto"/>
          </w:tcPr>
          <w:p w14:paraId="05F3A1A1" w14:textId="77777777" w:rsidR="00633505" w:rsidRPr="00E610B4" w:rsidRDefault="00633505" w:rsidP="00766BE1">
            <w:pPr>
              <w:spacing w:before="0" w:after="0"/>
              <w:jc w:val="right"/>
              <w:rPr>
                <w:rFonts w:ascii="Arial" w:hAnsi="Arial"/>
                <w:b/>
                <w:bCs/>
                <w:sz w:val="16"/>
                <w:szCs w:val="16"/>
                <w:lang w:val="en-AU"/>
              </w:rPr>
            </w:pPr>
            <w:r w:rsidRPr="00E610B4">
              <w:rPr>
                <w:rFonts w:ascii="Arial" w:hAnsi="Arial"/>
                <w:b/>
                <w:bCs/>
                <w:sz w:val="16"/>
                <w:szCs w:val="16"/>
                <w:lang w:val="en-AU"/>
              </w:rPr>
              <w:t>Budget Estimate 202</w:t>
            </w:r>
            <w:r w:rsidR="004B232A" w:rsidRPr="00E610B4">
              <w:rPr>
                <w:rFonts w:ascii="Arial" w:hAnsi="Arial"/>
                <w:b/>
                <w:bCs/>
                <w:sz w:val="16"/>
                <w:szCs w:val="16"/>
                <w:lang w:val="en-AU"/>
              </w:rPr>
              <w:t>5</w:t>
            </w:r>
            <w:r w:rsidRPr="00E610B4">
              <w:rPr>
                <w:rFonts w:ascii="Arial" w:hAnsi="Arial"/>
                <w:b/>
                <w:bCs/>
                <w:sz w:val="16"/>
                <w:szCs w:val="16"/>
                <w:lang w:val="en-AU"/>
              </w:rPr>
              <w:noBreakHyphen/>
              <w:t>2</w:t>
            </w:r>
            <w:r w:rsidR="004B232A" w:rsidRPr="00E610B4">
              <w:rPr>
                <w:rFonts w:ascii="Arial" w:hAnsi="Arial"/>
                <w:b/>
                <w:bCs/>
                <w:sz w:val="16"/>
                <w:szCs w:val="16"/>
                <w:lang w:val="en-AU"/>
              </w:rPr>
              <w:t>6</w:t>
            </w:r>
            <w:r w:rsidRPr="00E610B4">
              <w:rPr>
                <w:rFonts w:ascii="Arial" w:hAnsi="Arial"/>
                <w:b/>
                <w:bCs/>
                <w:sz w:val="16"/>
                <w:szCs w:val="16"/>
                <w:lang w:val="en-AU"/>
              </w:rPr>
              <w:t xml:space="preserve"> </w:t>
            </w:r>
          </w:p>
          <w:p w14:paraId="199CF51C" w14:textId="77777777" w:rsidR="00AE0FC4" w:rsidRDefault="00AE0FC4" w:rsidP="00312C5D">
            <w:pPr>
              <w:spacing w:before="0" w:after="0"/>
              <w:jc w:val="right"/>
              <w:rPr>
                <w:rFonts w:ascii="Arial" w:hAnsi="Arial"/>
                <w:b/>
                <w:bCs/>
                <w:sz w:val="16"/>
                <w:szCs w:val="16"/>
                <w:lang w:val="en-AU"/>
              </w:rPr>
            </w:pPr>
          </w:p>
          <w:p w14:paraId="6E8C596E" w14:textId="13FADA7F" w:rsidR="00633505" w:rsidRPr="00E610B4" w:rsidRDefault="00633505" w:rsidP="00312C5D">
            <w:pPr>
              <w:spacing w:before="0" w:after="0"/>
              <w:jc w:val="right"/>
              <w:rPr>
                <w:rFonts w:ascii="Arial" w:hAnsi="Arial"/>
                <w:b/>
                <w:bCs/>
                <w:sz w:val="16"/>
                <w:szCs w:val="16"/>
                <w:lang w:val="en-AU"/>
              </w:rPr>
            </w:pPr>
            <w:r w:rsidRPr="00E610B4">
              <w:rPr>
                <w:rFonts w:ascii="Arial" w:hAnsi="Arial"/>
                <w:b/>
                <w:bCs/>
                <w:sz w:val="16"/>
                <w:szCs w:val="16"/>
                <w:lang w:val="en-AU"/>
              </w:rPr>
              <w:t>$m</w:t>
            </w:r>
          </w:p>
        </w:tc>
      </w:tr>
      <w:tr w:rsidR="00633505" w:rsidRPr="00BA1388" w14:paraId="386C4931" w14:textId="77777777" w:rsidTr="00F83D16">
        <w:trPr>
          <w:gridAfter w:val="1"/>
          <w:wAfter w:w="2623" w:type="dxa"/>
          <w:trHeight w:val="255"/>
        </w:trPr>
        <w:tc>
          <w:tcPr>
            <w:tcW w:w="6760" w:type="dxa"/>
            <w:tcBorders>
              <w:top w:val="single" w:sz="4" w:space="0" w:color="auto"/>
              <w:left w:val="single" w:sz="4" w:space="0" w:color="auto"/>
              <w:bottom w:val="nil"/>
              <w:right w:val="nil"/>
            </w:tcBorders>
            <w:shd w:val="clear" w:color="auto" w:fill="E6E6E6"/>
            <w:vAlign w:val="bottom"/>
          </w:tcPr>
          <w:p w14:paraId="22243788" w14:textId="77777777" w:rsidR="00633505" w:rsidRPr="00BA1388" w:rsidRDefault="00633505" w:rsidP="00766BE1">
            <w:pPr>
              <w:spacing w:before="0" w:after="0"/>
              <w:rPr>
                <w:rFonts w:ascii="Arial" w:hAnsi="Arial"/>
                <w:sz w:val="16"/>
                <w:szCs w:val="16"/>
                <w:highlight w:val="yellow"/>
                <w:lang w:val="en-AU"/>
              </w:rPr>
            </w:pPr>
          </w:p>
        </w:tc>
        <w:tc>
          <w:tcPr>
            <w:tcW w:w="1383" w:type="dxa"/>
            <w:tcBorders>
              <w:top w:val="single" w:sz="4" w:space="0" w:color="auto"/>
              <w:left w:val="nil"/>
              <w:bottom w:val="nil"/>
              <w:right w:val="nil"/>
            </w:tcBorders>
            <w:shd w:val="clear" w:color="auto" w:fill="E6E6E6"/>
            <w:vAlign w:val="bottom"/>
          </w:tcPr>
          <w:p w14:paraId="62730F35" w14:textId="77777777" w:rsidR="00633505" w:rsidRPr="00BA1388" w:rsidRDefault="00633505" w:rsidP="00766BE1">
            <w:pPr>
              <w:spacing w:before="0" w:after="0"/>
              <w:rPr>
                <w:rFonts w:ascii="Arial" w:hAnsi="Arial"/>
                <w:sz w:val="16"/>
                <w:szCs w:val="16"/>
                <w:highlight w:val="yellow"/>
                <w:lang w:val="en-AU"/>
              </w:rPr>
            </w:pPr>
          </w:p>
        </w:tc>
        <w:tc>
          <w:tcPr>
            <w:tcW w:w="1383" w:type="dxa"/>
            <w:tcBorders>
              <w:top w:val="single" w:sz="4" w:space="0" w:color="auto"/>
              <w:left w:val="nil"/>
              <w:bottom w:val="nil"/>
              <w:right w:val="nil"/>
            </w:tcBorders>
            <w:shd w:val="clear" w:color="auto" w:fill="E6E6E6"/>
            <w:vAlign w:val="bottom"/>
          </w:tcPr>
          <w:p w14:paraId="731B43EF" w14:textId="77777777" w:rsidR="00633505" w:rsidRPr="00BA1388" w:rsidRDefault="00633505" w:rsidP="00766BE1">
            <w:pPr>
              <w:spacing w:before="0" w:after="0"/>
              <w:rPr>
                <w:rFonts w:ascii="Arial" w:hAnsi="Arial"/>
                <w:sz w:val="16"/>
                <w:szCs w:val="16"/>
                <w:highlight w:val="yellow"/>
                <w:lang w:val="en-AU"/>
              </w:rPr>
            </w:pPr>
          </w:p>
        </w:tc>
        <w:tc>
          <w:tcPr>
            <w:tcW w:w="1383" w:type="dxa"/>
            <w:tcBorders>
              <w:top w:val="single" w:sz="4" w:space="0" w:color="auto"/>
              <w:left w:val="nil"/>
              <w:bottom w:val="single" w:sz="4" w:space="0" w:color="auto"/>
              <w:right w:val="single" w:sz="4" w:space="0" w:color="auto"/>
            </w:tcBorders>
            <w:shd w:val="clear" w:color="auto" w:fill="E6E6E6"/>
            <w:vAlign w:val="bottom"/>
          </w:tcPr>
          <w:p w14:paraId="780A264D" w14:textId="77777777" w:rsidR="00633505" w:rsidRPr="00BA1388" w:rsidRDefault="00633505" w:rsidP="00766BE1">
            <w:pPr>
              <w:spacing w:before="0" w:after="0"/>
              <w:rPr>
                <w:rFonts w:ascii="Arial" w:hAnsi="Arial"/>
                <w:sz w:val="16"/>
                <w:szCs w:val="16"/>
                <w:highlight w:val="yellow"/>
                <w:lang w:val="en-AU"/>
              </w:rPr>
            </w:pPr>
          </w:p>
        </w:tc>
      </w:tr>
      <w:tr w:rsidR="00F83D16" w:rsidRPr="00BA1388" w14:paraId="7CBD34BE" w14:textId="77777777" w:rsidTr="00F83D16">
        <w:trPr>
          <w:gridAfter w:val="1"/>
          <w:wAfter w:w="2623" w:type="dxa"/>
          <w:trHeight w:val="510"/>
        </w:trPr>
        <w:tc>
          <w:tcPr>
            <w:tcW w:w="6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40A1F6" w14:textId="77777777" w:rsidR="00F83D16" w:rsidRPr="00E610B4" w:rsidRDefault="00F83D16" w:rsidP="00F83D16">
            <w:pPr>
              <w:spacing w:before="0" w:after="0"/>
              <w:ind w:left="-57" w:right="-57"/>
              <w:rPr>
                <w:rFonts w:ascii="Arial" w:hAnsi="Arial"/>
                <w:b/>
                <w:bCs/>
                <w:sz w:val="16"/>
                <w:szCs w:val="16"/>
                <w:lang w:val="en-AU"/>
              </w:rPr>
            </w:pPr>
            <w:r w:rsidRPr="00E610B4">
              <w:rPr>
                <w:rFonts w:ascii="Arial" w:hAnsi="Arial"/>
                <w:b/>
                <w:bCs/>
                <w:sz w:val="16"/>
                <w:szCs w:val="16"/>
                <w:lang w:val="en-AU"/>
              </w:rPr>
              <w:t>Total Top 30 Projects (Gross Plan) – Total</w:t>
            </w:r>
          </w:p>
        </w:tc>
        <w:tc>
          <w:tcPr>
            <w:tcW w:w="13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9226F2" w14:textId="4E442ABE" w:rsidR="00F83D16" w:rsidRPr="00E610B4" w:rsidRDefault="00F83D16" w:rsidP="00F83D16">
            <w:pPr>
              <w:spacing w:before="0" w:after="0"/>
              <w:jc w:val="right"/>
              <w:rPr>
                <w:rFonts w:ascii="Arial" w:hAnsi="Arial"/>
                <w:b/>
                <w:bCs/>
                <w:sz w:val="16"/>
                <w:szCs w:val="16"/>
              </w:rPr>
            </w:pPr>
            <w:r w:rsidRPr="00E610B4">
              <w:rPr>
                <w:rFonts w:ascii="Arial" w:hAnsi="Arial"/>
                <w:b/>
                <w:bCs/>
                <w:sz w:val="16"/>
                <w:szCs w:val="16"/>
              </w:rPr>
              <w:t>169,840</w:t>
            </w:r>
          </w:p>
        </w:tc>
        <w:tc>
          <w:tcPr>
            <w:tcW w:w="1383" w:type="dxa"/>
            <w:tcBorders>
              <w:top w:val="single" w:sz="4" w:space="0" w:color="auto"/>
              <w:left w:val="nil"/>
              <w:bottom w:val="single" w:sz="4" w:space="0" w:color="auto"/>
              <w:right w:val="single" w:sz="4" w:space="0" w:color="auto"/>
            </w:tcBorders>
            <w:shd w:val="clear" w:color="auto" w:fill="auto"/>
            <w:noWrap/>
            <w:vAlign w:val="center"/>
          </w:tcPr>
          <w:p w14:paraId="38ECDDD1" w14:textId="4FCB9EA0" w:rsidR="00F83D16" w:rsidRPr="00E610B4" w:rsidRDefault="00F83D16" w:rsidP="00EE35AD">
            <w:pPr>
              <w:spacing w:before="0" w:after="0"/>
              <w:jc w:val="right"/>
              <w:rPr>
                <w:rFonts w:ascii="Arial" w:hAnsi="Arial"/>
                <w:b/>
                <w:bCs/>
                <w:sz w:val="16"/>
                <w:szCs w:val="16"/>
              </w:rPr>
            </w:pPr>
            <w:r w:rsidRPr="00E610B4">
              <w:rPr>
                <w:rFonts w:ascii="Arial" w:hAnsi="Arial"/>
                <w:b/>
                <w:bCs/>
                <w:sz w:val="16"/>
                <w:szCs w:val="16"/>
              </w:rPr>
              <w:t>59,9</w:t>
            </w:r>
            <w:r w:rsidR="001F34A0">
              <w:rPr>
                <w:rFonts w:ascii="Arial" w:hAnsi="Arial"/>
                <w:b/>
                <w:bCs/>
                <w:sz w:val="16"/>
                <w:szCs w:val="16"/>
              </w:rPr>
              <w:t>6</w:t>
            </w:r>
            <w:r w:rsidR="00EE35AD">
              <w:rPr>
                <w:rFonts w:ascii="Arial" w:hAnsi="Arial"/>
                <w:b/>
                <w:bCs/>
                <w:sz w:val="16"/>
                <w:szCs w:val="16"/>
              </w:rPr>
              <w:t>2</w:t>
            </w:r>
          </w:p>
        </w:tc>
        <w:tc>
          <w:tcPr>
            <w:tcW w:w="1383" w:type="dxa"/>
            <w:tcBorders>
              <w:top w:val="single" w:sz="4" w:space="0" w:color="auto"/>
              <w:left w:val="nil"/>
              <w:bottom w:val="single" w:sz="4" w:space="0" w:color="auto"/>
              <w:right w:val="single" w:sz="4" w:space="0" w:color="auto"/>
            </w:tcBorders>
            <w:shd w:val="clear" w:color="auto" w:fill="auto"/>
            <w:noWrap/>
            <w:vAlign w:val="center"/>
          </w:tcPr>
          <w:p w14:paraId="720674D6" w14:textId="3AA37A0E" w:rsidR="00F83D16" w:rsidRPr="00E610B4" w:rsidRDefault="00F83D16" w:rsidP="00F83D16">
            <w:pPr>
              <w:spacing w:before="0" w:after="0"/>
              <w:jc w:val="right"/>
              <w:rPr>
                <w:rFonts w:ascii="Arial" w:hAnsi="Arial"/>
                <w:b/>
                <w:bCs/>
                <w:sz w:val="16"/>
                <w:szCs w:val="16"/>
              </w:rPr>
            </w:pPr>
            <w:r w:rsidRPr="00E610B4">
              <w:rPr>
                <w:rFonts w:ascii="Arial" w:hAnsi="Arial"/>
                <w:b/>
                <w:bCs/>
                <w:sz w:val="16"/>
                <w:szCs w:val="16"/>
              </w:rPr>
              <w:t>16,612</w:t>
            </w:r>
          </w:p>
        </w:tc>
      </w:tr>
      <w:tr w:rsidR="00F83D16" w:rsidRPr="00BA1388" w14:paraId="6DE2D342" w14:textId="77777777" w:rsidTr="00F83D16">
        <w:trPr>
          <w:gridAfter w:val="1"/>
          <w:wAfter w:w="2623" w:type="dxa"/>
          <w:trHeight w:val="510"/>
        </w:trPr>
        <w:tc>
          <w:tcPr>
            <w:tcW w:w="6760" w:type="dxa"/>
            <w:tcBorders>
              <w:top w:val="nil"/>
              <w:left w:val="single" w:sz="4" w:space="0" w:color="auto"/>
              <w:bottom w:val="nil"/>
              <w:right w:val="single" w:sz="4" w:space="0" w:color="000000"/>
            </w:tcBorders>
            <w:shd w:val="clear" w:color="auto" w:fill="auto"/>
            <w:vAlign w:val="center"/>
            <w:hideMark/>
          </w:tcPr>
          <w:p w14:paraId="019D58BC" w14:textId="77777777" w:rsidR="00F83D16" w:rsidRPr="00E610B4" w:rsidRDefault="00F83D16" w:rsidP="00F83D16">
            <w:pPr>
              <w:spacing w:before="0" w:after="0"/>
              <w:ind w:left="-57" w:right="-57"/>
              <w:rPr>
                <w:rFonts w:ascii="Arial" w:hAnsi="Arial"/>
                <w:b/>
                <w:bCs/>
                <w:sz w:val="16"/>
                <w:szCs w:val="16"/>
                <w:lang w:val="en-AU"/>
              </w:rPr>
            </w:pPr>
            <w:r w:rsidRPr="00E610B4">
              <w:rPr>
                <w:rFonts w:ascii="Arial" w:hAnsi="Arial"/>
                <w:b/>
                <w:bCs/>
                <w:sz w:val="16"/>
                <w:szCs w:val="16"/>
                <w:lang w:val="en-AU"/>
              </w:rPr>
              <w:t>Total Top 30 Projects (Gross Plan) - Other Project Inputs to Capability</w:t>
            </w:r>
          </w:p>
        </w:tc>
        <w:tc>
          <w:tcPr>
            <w:tcW w:w="1383" w:type="dxa"/>
            <w:tcBorders>
              <w:top w:val="nil"/>
              <w:left w:val="single" w:sz="4" w:space="0" w:color="auto"/>
              <w:bottom w:val="single" w:sz="4" w:space="0" w:color="auto"/>
              <w:right w:val="single" w:sz="4" w:space="0" w:color="auto"/>
            </w:tcBorders>
            <w:shd w:val="clear" w:color="auto" w:fill="auto"/>
            <w:noWrap/>
            <w:vAlign w:val="center"/>
          </w:tcPr>
          <w:p w14:paraId="0C61D395" w14:textId="68C06C39" w:rsidR="00F83D16" w:rsidRPr="00E610B4" w:rsidRDefault="00F83D16" w:rsidP="00F83D16">
            <w:pPr>
              <w:spacing w:before="0" w:after="0"/>
              <w:jc w:val="right"/>
              <w:rPr>
                <w:rFonts w:ascii="Arial" w:hAnsi="Arial"/>
                <w:b/>
                <w:bCs/>
                <w:sz w:val="16"/>
                <w:szCs w:val="16"/>
              </w:rPr>
            </w:pPr>
            <w:r w:rsidRPr="00E610B4">
              <w:rPr>
                <w:rFonts w:ascii="Arial" w:hAnsi="Arial"/>
                <w:b/>
                <w:bCs/>
                <w:sz w:val="16"/>
                <w:szCs w:val="16"/>
              </w:rPr>
              <w:t>13,185</w:t>
            </w:r>
          </w:p>
        </w:tc>
        <w:tc>
          <w:tcPr>
            <w:tcW w:w="1383" w:type="dxa"/>
            <w:tcBorders>
              <w:top w:val="nil"/>
              <w:left w:val="nil"/>
              <w:bottom w:val="single" w:sz="4" w:space="0" w:color="auto"/>
              <w:right w:val="single" w:sz="4" w:space="0" w:color="auto"/>
            </w:tcBorders>
            <w:shd w:val="clear" w:color="auto" w:fill="auto"/>
            <w:noWrap/>
            <w:vAlign w:val="center"/>
          </w:tcPr>
          <w:p w14:paraId="1FFE9FD9" w14:textId="077AC861" w:rsidR="00F83D16" w:rsidRPr="00E610B4" w:rsidRDefault="00F83D16" w:rsidP="00F83D16">
            <w:pPr>
              <w:spacing w:before="0" w:after="0"/>
              <w:jc w:val="right"/>
              <w:rPr>
                <w:rFonts w:ascii="Arial" w:hAnsi="Arial"/>
                <w:b/>
                <w:bCs/>
                <w:sz w:val="16"/>
                <w:szCs w:val="16"/>
              </w:rPr>
            </w:pPr>
            <w:r w:rsidRPr="00E610B4">
              <w:rPr>
                <w:rFonts w:ascii="Arial" w:hAnsi="Arial"/>
                <w:b/>
                <w:bCs/>
                <w:sz w:val="16"/>
                <w:szCs w:val="16"/>
              </w:rPr>
              <w:t>6,335</w:t>
            </w:r>
          </w:p>
        </w:tc>
        <w:tc>
          <w:tcPr>
            <w:tcW w:w="1383" w:type="dxa"/>
            <w:tcBorders>
              <w:top w:val="nil"/>
              <w:left w:val="nil"/>
              <w:bottom w:val="single" w:sz="4" w:space="0" w:color="auto"/>
              <w:right w:val="single" w:sz="4" w:space="0" w:color="auto"/>
            </w:tcBorders>
            <w:shd w:val="clear" w:color="auto" w:fill="auto"/>
            <w:noWrap/>
            <w:vAlign w:val="center"/>
          </w:tcPr>
          <w:p w14:paraId="064706F7" w14:textId="3E2ED931" w:rsidR="00F83D16" w:rsidRPr="00E610B4" w:rsidRDefault="00F83D16" w:rsidP="00F83D16">
            <w:pPr>
              <w:spacing w:before="0" w:after="0"/>
              <w:jc w:val="right"/>
              <w:rPr>
                <w:rFonts w:ascii="Arial" w:hAnsi="Arial"/>
                <w:b/>
                <w:bCs/>
                <w:sz w:val="16"/>
                <w:szCs w:val="16"/>
              </w:rPr>
            </w:pPr>
            <w:r w:rsidRPr="00E610B4">
              <w:rPr>
                <w:rFonts w:ascii="Arial" w:hAnsi="Arial"/>
                <w:b/>
                <w:bCs/>
                <w:sz w:val="16"/>
                <w:szCs w:val="16"/>
              </w:rPr>
              <w:t>2,111</w:t>
            </w:r>
          </w:p>
        </w:tc>
      </w:tr>
      <w:tr w:rsidR="00F83D16" w:rsidRPr="00BA1388" w14:paraId="0109FEC0" w14:textId="77777777" w:rsidTr="00F83D16">
        <w:trPr>
          <w:gridAfter w:val="1"/>
          <w:wAfter w:w="2623" w:type="dxa"/>
          <w:trHeight w:val="510"/>
        </w:trPr>
        <w:tc>
          <w:tcPr>
            <w:tcW w:w="6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F82E7" w14:textId="77777777" w:rsidR="00F83D16" w:rsidRPr="00E610B4" w:rsidRDefault="00F83D16" w:rsidP="00F83D16">
            <w:pPr>
              <w:spacing w:before="0" w:after="0"/>
              <w:ind w:left="-57" w:right="-57"/>
              <w:rPr>
                <w:rFonts w:ascii="Arial" w:hAnsi="Arial"/>
                <w:b/>
                <w:bCs/>
                <w:sz w:val="16"/>
                <w:szCs w:val="16"/>
                <w:lang w:val="en-AU"/>
              </w:rPr>
            </w:pPr>
            <w:r w:rsidRPr="00E610B4">
              <w:rPr>
                <w:rFonts w:ascii="Arial" w:hAnsi="Arial"/>
                <w:b/>
                <w:bCs/>
                <w:sz w:val="16"/>
                <w:szCs w:val="16"/>
                <w:lang w:val="en-AU"/>
              </w:rPr>
              <w:t>Total Top 30 Projects (Gross Plan) - Military Equipment Acquisition</w:t>
            </w:r>
          </w:p>
        </w:tc>
        <w:tc>
          <w:tcPr>
            <w:tcW w:w="1383" w:type="dxa"/>
            <w:tcBorders>
              <w:top w:val="nil"/>
              <w:left w:val="single" w:sz="4" w:space="0" w:color="auto"/>
              <w:bottom w:val="single" w:sz="4" w:space="0" w:color="auto"/>
              <w:right w:val="single" w:sz="4" w:space="0" w:color="auto"/>
            </w:tcBorders>
            <w:shd w:val="clear" w:color="auto" w:fill="auto"/>
            <w:noWrap/>
            <w:vAlign w:val="center"/>
          </w:tcPr>
          <w:p w14:paraId="00DD93CA" w14:textId="4237224F" w:rsidR="00F83D16" w:rsidRPr="00E610B4" w:rsidRDefault="00F83D16" w:rsidP="00F83D16">
            <w:pPr>
              <w:spacing w:before="0" w:after="0"/>
              <w:jc w:val="right"/>
              <w:rPr>
                <w:rFonts w:ascii="Arial" w:hAnsi="Arial"/>
                <w:b/>
                <w:bCs/>
                <w:sz w:val="16"/>
                <w:szCs w:val="16"/>
              </w:rPr>
            </w:pPr>
            <w:r w:rsidRPr="00E610B4">
              <w:rPr>
                <w:rFonts w:ascii="Arial" w:hAnsi="Arial"/>
                <w:b/>
                <w:bCs/>
                <w:sz w:val="16"/>
                <w:szCs w:val="16"/>
              </w:rPr>
              <w:t>156,654</w:t>
            </w:r>
          </w:p>
        </w:tc>
        <w:tc>
          <w:tcPr>
            <w:tcW w:w="1383" w:type="dxa"/>
            <w:tcBorders>
              <w:top w:val="nil"/>
              <w:left w:val="nil"/>
              <w:bottom w:val="single" w:sz="4" w:space="0" w:color="auto"/>
              <w:right w:val="single" w:sz="4" w:space="0" w:color="auto"/>
            </w:tcBorders>
            <w:shd w:val="clear" w:color="auto" w:fill="auto"/>
            <w:noWrap/>
            <w:vAlign w:val="center"/>
          </w:tcPr>
          <w:p w14:paraId="4F7B64E1" w14:textId="2211AE6E" w:rsidR="00F83D16" w:rsidRPr="00E610B4" w:rsidRDefault="00F83D16" w:rsidP="00EE35AD">
            <w:pPr>
              <w:spacing w:before="0" w:after="0"/>
              <w:jc w:val="right"/>
              <w:rPr>
                <w:rFonts w:ascii="Arial" w:hAnsi="Arial"/>
                <w:b/>
                <w:bCs/>
                <w:sz w:val="16"/>
                <w:szCs w:val="16"/>
              </w:rPr>
            </w:pPr>
            <w:r w:rsidRPr="00E610B4">
              <w:rPr>
                <w:rFonts w:ascii="Arial" w:hAnsi="Arial"/>
                <w:b/>
                <w:bCs/>
                <w:sz w:val="16"/>
                <w:szCs w:val="16"/>
              </w:rPr>
              <w:t>53,</w:t>
            </w:r>
            <w:r w:rsidR="001F34A0">
              <w:rPr>
                <w:rFonts w:ascii="Arial" w:hAnsi="Arial"/>
                <w:b/>
                <w:bCs/>
                <w:sz w:val="16"/>
                <w:szCs w:val="16"/>
              </w:rPr>
              <w:t>62</w:t>
            </w:r>
            <w:r w:rsidR="00EE35AD">
              <w:rPr>
                <w:rFonts w:ascii="Arial" w:hAnsi="Arial"/>
                <w:b/>
                <w:bCs/>
                <w:sz w:val="16"/>
                <w:szCs w:val="16"/>
              </w:rPr>
              <w:t>6</w:t>
            </w:r>
          </w:p>
        </w:tc>
        <w:tc>
          <w:tcPr>
            <w:tcW w:w="1383" w:type="dxa"/>
            <w:tcBorders>
              <w:top w:val="nil"/>
              <w:left w:val="nil"/>
              <w:bottom w:val="single" w:sz="4" w:space="0" w:color="auto"/>
              <w:right w:val="single" w:sz="4" w:space="0" w:color="auto"/>
            </w:tcBorders>
            <w:shd w:val="clear" w:color="auto" w:fill="auto"/>
            <w:noWrap/>
            <w:vAlign w:val="center"/>
          </w:tcPr>
          <w:p w14:paraId="4BD9E3EE" w14:textId="1131C794" w:rsidR="00F83D16" w:rsidRPr="00E610B4" w:rsidRDefault="00F83D16" w:rsidP="00F83D16">
            <w:pPr>
              <w:spacing w:before="0" w:after="0"/>
              <w:jc w:val="right"/>
              <w:rPr>
                <w:rFonts w:ascii="Arial" w:hAnsi="Arial"/>
                <w:b/>
                <w:bCs/>
                <w:sz w:val="16"/>
                <w:szCs w:val="16"/>
              </w:rPr>
            </w:pPr>
            <w:r w:rsidRPr="00E610B4">
              <w:rPr>
                <w:rFonts w:ascii="Arial" w:hAnsi="Arial"/>
                <w:b/>
                <w:bCs/>
                <w:sz w:val="16"/>
                <w:szCs w:val="16"/>
              </w:rPr>
              <w:t>14,501</w:t>
            </w:r>
          </w:p>
        </w:tc>
      </w:tr>
      <w:tr w:rsidR="00FA2F24" w:rsidRPr="00BA1388" w14:paraId="4A7E4A0A" w14:textId="77777777" w:rsidTr="00F83D16">
        <w:trPr>
          <w:gridAfter w:val="1"/>
          <w:wAfter w:w="2623" w:type="dxa"/>
          <w:trHeight w:val="510"/>
        </w:trPr>
        <w:tc>
          <w:tcPr>
            <w:tcW w:w="6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7EC4B1" w14:textId="77777777" w:rsidR="00FA2F24" w:rsidRPr="00FA2F24" w:rsidRDefault="00FA2F24" w:rsidP="00FA2F24">
            <w:pPr>
              <w:spacing w:before="0" w:after="0"/>
              <w:ind w:left="-57" w:right="-57"/>
              <w:rPr>
                <w:rFonts w:ascii="Arial" w:hAnsi="Arial"/>
                <w:sz w:val="16"/>
                <w:szCs w:val="16"/>
                <w:lang w:val="en-AU"/>
              </w:rPr>
            </w:pPr>
            <w:r w:rsidRPr="00FA2F24">
              <w:rPr>
                <w:rFonts w:ascii="Arial" w:hAnsi="Arial"/>
                <w:sz w:val="16"/>
                <w:szCs w:val="16"/>
                <w:lang w:val="en-AU"/>
              </w:rPr>
              <w:t>Other Approved Project Gross Plans - Military Equipment Acquisition</w:t>
            </w:r>
          </w:p>
        </w:tc>
        <w:tc>
          <w:tcPr>
            <w:tcW w:w="1383" w:type="dxa"/>
            <w:tcBorders>
              <w:top w:val="nil"/>
              <w:left w:val="single" w:sz="4" w:space="0" w:color="auto"/>
              <w:bottom w:val="single" w:sz="4" w:space="0" w:color="auto"/>
              <w:right w:val="single" w:sz="4" w:space="0" w:color="auto"/>
            </w:tcBorders>
            <w:shd w:val="clear" w:color="auto" w:fill="auto"/>
            <w:noWrap/>
            <w:vAlign w:val="center"/>
          </w:tcPr>
          <w:p w14:paraId="554CBC4D" w14:textId="7B976DF0" w:rsidR="00FA2F24" w:rsidRPr="00FA2F24" w:rsidRDefault="00FA2F24" w:rsidP="00FA2F24">
            <w:pPr>
              <w:spacing w:before="0" w:after="0"/>
              <w:jc w:val="right"/>
              <w:rPr>
                <w:rFonts w:ascii="Arial" w:hAnsi="Arial"/>
                <w:sz w:val="16"/>
                <w:szCs w:val="16"/>
              </w:rPr>
            </w:pPr>
            <w:r w:rsidRPr="00FA2F24">
              <w:rPr>
                <w:rFonts w:ascii="Arial" w:hAnsi="Arial"/>
                <w:sz w:val="16"/>
                <w:szCs w:val="16"/>
              </w:rPr>
              <w:t>52,938</w:t>
            </w:r>
          </w:p>
        </w:tc>
        <w:tc>
          <w:tcPr>
            <w:tcW w:w="1383" w:type="dxa"/>
            <w:tcBorders>
              <w:top w:val="nil"/>
              <w:left w:val="nil"/>
              <w:bottom w:val="single" w:sz="4" w:space="0" w:color="auto"/>
              <w:right w:val="single" w:sz="4" w:space="0" w:color="auto"/>
            </w:tcBorders>
            <w:shd w:val="clear" w:color="auto" w:fill="auto"/>
            <w:noWrap/>
            <w:vAlign w:val="center"/>
          </w:tcPr>
          <w:p w14:paraId="7BE0C10B" w14:textId="6923BBB1" w:rsidR="00FA2F24" w:rsidRPr="00FA2F24" w:rsidRDefault="00FA2F24" w:rsidP="00FA2F24">
            <w:pPr>
              <w:spacing w:before="0" w:after="0"/>
              <w:jc w:val="right"/>
              <w:rPr>
                <w:rFonts w:ascii="Arial" w:hAnsi="Arial"/>
                <w:sz w:val="16"/>
                <w:szCs w:val="16"/>
              </w:rPr>
            </w:pPr>
            <w:r w:rsidRPr="00FA2F24">
              <w:rPr>
                <w:rFonts w:ascii="Arial" w:hAnsi="Arial"/>
                <w:sz w:val="16"/>
                <w:szCs w:val="16"/>
              </w:rPr>
              <w:t>33,616</w:t>
            </w:r>
          </w:p>
        </w:tc>
        <w:tc>
          <w:tcPr>
            <w:tcW w:w="1383" w:type="dxa"/>
            <w:tcBorders>
              <w:top w:val="nil"/>
              <w:left w:val="nil"/>
              <w:bottom w:val="single" w:sz="4" w:space="0" w:color="auto"/>
              <w:right w:val="single" w:sz="4" w:space="0" w:color="auto"/>
            </w:tcBorders>
            <w:shd w:val="clear" w:color="auto" w:fill="auto"/>
            <w:noWrap/>
            <w:vAlign w:val="center"/>
          </w:tcPr>
          <w:p w14:paraId="785AB27C" w14:textId="4588D50F" w:rsidR="00FA2F24" w:rsidRPr="00FA2F24" w:rsidRDefault="00FA2F24" w:rsidP="00FA2F24">
            <w:pPr>
              <w:spacing w:before="0" w:after="0"/>
              <w:jc w:val="right"/>
              <w:rPr>
                <w:rFonts w:ascii="Arial" w:hAnsi="Arial"/>
                <w:sz w:val="16"/>
                <w:szCs w:val="16"/>
              </w:rPr>
            </w:pPr>
            <w:r w:rsidRPr="00FA2F24">
              <w:rPr>
                <w:rFonts w:ascii="Arial" w:hAnsi="Arial"/>
                <w:sz w:val="16"/>
                <w:szCs w:val="16"/>
              </w:rPr>
              <w:t>3,942</w:t>
            </w:r>
          </w:p>
        </w:tc>
      </w:tr>
      <w:tr w:rsidR="00FA2F24" w:rsidRPr="00BA1388" w14:paraId="08560B04" w14:textId="77777777" w:rsidTr="00F83D16">
        <w:trPr>
          <w:gridAfter w:val="1"/>
          <w:wAfter w:w="2623" w:type="dxa"/>
          <w:trHeight w:val="510"/>
        </w:trPr>
        <w:tc>
          <w:tcPr>
            <w:tcW w:w="6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B395F" w14:textId="77777777" w:rsidR="00FA2F24" w:rsidRPr="00FA2F24" w:rsidRDefault="00FA2F24" w:rsidP="00FA2F24">
            <w:pPr>
              <w:spacing w:before="0" w:after="0"/>
              <w:ind w:left="-57" w:right="-57"/>
              <w:rPr>
                <w:rFonts w:ascii="Arial" w:hAnsi="Arial"/>
                <w:b/>
                <w:bCs/>
                <w:sz w:val="16"/>
                <w:szCs w:val="16"/>
                <w:lang w:val="en-AU"/>
              </w:rPr>
            </w:pPr>
            <w:r w:rsidRPr="00FA2F24">
              <w:rPr>
                <w:rFonts w:ascii="Arial" w:hAnsi="Arial"/>
                <w:b/>
                <w:bCs/>
                <w:sz w:val="16"/>
                <w:szCs w:val="16"/>
                <w:lang w:val="en-AU"/>
              </w:rPr>
              <w:t>Total Approved Projects (Gross Plan) - Military Equipment Acquisition</w:t>
            </w:r>
          </w:p>
        </w:tc>
        <w:tc>
          <w:tcPr>
            <w:tcW w:w="1383" w:type="dxa"/>
            <w:tcBorders>
              <w:top w:val="nil"/>
              <w:left w:val="single" w:sz="4" w:space="0" w:color="auto"/>
              <w:bottom w:val="single" w:sz="4" w:space="0" w:color="auto"/>
              <w:right w:val="single" w:sz="4" w:space="0" w:color="auto"/>
            </w:tcBorders>
            <w:shd w:val="clear" w:color="auto" w:fill="auto"/>
            <w:noWrap/>
            <w:vAlign w:val="center"/>
          </w:tcPr>
          <w:p w14:paraId="0004E641" w14:textId="34D507BF" w:rsidR="00FA2F24" w:rsidRPr="00FA2F24" w:rsidRDefault="00FA2F24" w:rsidP="00FA2F24">
            <w:pPr>
              <w:spacing w:before="0" w:after="0"/>
              <w:jc w:val="right"/>
              <w:rPr>
                <w:rFonts w:ascii="Arial" w:hAnsi="Arial"/>
                <w:b/>
                <w:bCs/>
                <w:sz w:val="16"/>
                <w:szCs w:val="16"/>
              </w:rPr>
            </w:pPr>
            <w:r w:rsidRPr="00FA2F24">
              <w:rPr>
                <w:rFonts w:ascii="Arial" w:hAnsi="Arial"/>
                <w:b/>
                <w:bCs/>
                <w:sz w:val="16"/>
                <w:szCs w:val="16"/>
              </w:rPr>
              <w:t>209,592</w:t>
            </w:r>
          </w:p>
        </w:tc>
        <w:tc>
          <w:tcPr>
            <w:tcW w:w="1383" w:type="dxa"/>
            <w:tcBorders>
              <w:top w:val="nil"/>
              <w:left w:val="nil"/>
              <w:bottom w:val="single" w:sz="4" w:space="0" w:color="auto"/>
              <w:right w:val="single" w:sz="4" w:space="0" w:color="auto"/>
            </w:tcBorders>
            <w:shd w:val="clear" w:color="auto" w:fill="auto"/>
            <w:noWrap/>
            <w:vAlign w:val="center"/>
          </w:tcPr>
          <w:p w14:paraId="5701FEF0" w14:textId="0A84FCE9" w:rsidR="00FA2F24" w:rsidRPr="00FA2F24" w:rsidRDefault="00FA2F24" w:rsidP="0079012C">
            <w:pPr>
              <w:spacing w:before="0" w:after="0"/>
              <w:jc w:val="right"/>
              <w:rPr>
                <w:rFonts w:ascii="Arial" w:hAnsi="Arial"/>
                <w:b/>
                <w:bCs/>
                <w:sz w:val="16"/>
                <w:szCs w:val="16"/>
              </w:rPr>
            </w:pPr>
            <w:r w:rsidRPr="00FA2F24">
              <w:rPr>
                <w:rFonts w:ascii="Arial" w:hAnsi="Arial"/>
                <w:b/>
                <w:bCs/>
                <w:sz w:val="16"/>
                <w:szCs w:val="16"/>
              </w:rPr>
              <w:t>87,</w:t>
            </w:r>
            <w:r w:rsidR="00911630">
              <w:rPr>
                <w:rFonts w:ascii="Arial" w:hAnsi="Arial"/>
                <w:b/>
                <w:bCs/>
                <w:sz w:val="16"/>
                <w:szCs w:val="16"/>
              </w:rPr>
              <w:t>2</w:t>
            </w:r>
            <w:r w:rsidR="001F34A0">
              <w:rPr>
                <w:rFonts w:ascii="Arial" w:hAnsi="Arial"/>
                <w:b/>
                <w:bCs/>
                <w:sz w:val="16"/>
                <w:szCs w:val="16"/>
              </w:rPr>
              <w:t>4</w:t>
            </w:r>
            <w:r w:rsidR="0079012C">
              <w:rPr>
                <w:rFonts w:ascii="Arial" w:hAnsi="Arial"/>
                <w:b/>
                <w:bCs/>
                <w:sz w:val="16"/>
                <w:szCs w:val="16"/>
              </w:rPr>
              <w:t>2</w:t>
            </w:r>
          </w:p>
        </w:tc>
        <w:tc>
          <w:tcPr>
            <w:tcW w:w="1383" w:type="dxa"/>
            <w:tcBorders>
              <w:top w:val="nil"/>
              <w:left w:val="nil"/>
              <w:bottom w:val="single" w:sz="4" w:space="0" w:color="auto"/>
              <w:right w:val="single" w:sz="4" w:space="0" w:color="auto"/>
            </w:tcBorders>
            <w:shd w:val="clear" w:color="auto" w:fill="auto"/>
            <w:noWrap/>
            <w:vAlign w:val="center"/>
          </w:tcPr>
          <w:p w14:paraId="029E274B" w14:textId="42E89ACC" w:rsidR="00FA2F24" w:rsidRPr="00FA2F24" w:rsidRDefault="00FA2F24" w:rsidP="00FA2F24">
            <w:pPr>
              <w:spacing w:before="0" w:after="0"/>
              <w:jc w:val="right"/>
              <w:rPr>
                <w:rFonts w:ascii="Arial" w:hAnsi="Arial"/>
                <w:b/>
                <w:bCs/>
                <w:sz w:val="16"/>
                <w:szCs w:val="16"/>
              </w:rPr>
            </w:pPr>
            <w:r w:rsidRPr="00FA2F24">
              <w:rPr>
                <w:rFonts w:ascii="Arial" w:hAnsi="Arial"/>
                <w:b/>
                <w:bCs/>
                <w:sz w:val="16"/>
                <w:szCs w:val="16"/>
              </w:rPr>
              <w:t>18,443</w:t>
            </w:r>
          </w:p>
        </w:tc>
      </w:tr>
      <w:tr w:rsidR="00FA2F24" w:rsidRPr="00BA1388" w14:paraId="0BD96FBB" w14:textId="77777777" w:rsidTr="00F83D16">
        <w:trPr>
          <w:gridAfter w:val="1"/>
          <w:wAfter w:w="2623" w:type="dxa"/>
          <w:trHeight w:val="510"/>
        </w:trPr>
        <w:tc>
          <w:tcPr>
            <w:tcW w:w="6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F156B8" w14:textId="3E6DF593" w:rsidR="00FA2F24" w:rsidRPr="00FA2F24" w:rsidRDefault="00FA2F24" w:rsidP="00FA2F24">
            <w:pPr>
              <w:spacing w:before="0" w:after="0"/>
              <w:rPr>
                <w:rFonts w:ascii="Arial" w:hAnsi="Arial"/>
                <w:sz w:val="16"/>
                <w:szCs w:val="16"/>
                <w:lang w:val="en-AU"/>
              </w:rPr>
            </w:pPr>
            <w:r w:rsidRPr="00FA2F24">
              <w:rPr>
                <w:rFonts w:ascii="Arial" w:hAnsi="Arial"/>
                <w:sz w:val="16"/>
                <w:szCs w:val="16"/>
                <w:lang w:val="en-AU"/>
              </w:rPr>
              <w:t>Over</w:t>
            </w:r>
            <w:r w:rsidR="00E556AB">
              <w:rPr>
                <w:rFonts w:ascii="Arial" w:hAnsi="Arial"/>
                <w:sz w:val="16"/>
                <w:szCs w:val="16"/>
                <w:lang w:val="en-AU"/>
              </w:rPr>
              <w:t>-</w:t>
            </w:r>
            <w:r w:rsidRPr="00FA2F24">
              <w:rPr>
                <w:rFonts w:ascii="Arial" w:hAnsi="Arial"/>
                <w:sz w:val="16"/>
                <w:szCs w:val="16"/>
                <w:lang w:val="en-AU"/>
              </w:rPr>
              <w:t>programming - Military Equipment Acquisition</w:t>
            </w:r>
          </w:p>
        </w:tc>
        <w:tc>
          <w:tcPr>
            <w:tcW w:w="1383" w:type="dxa"/>
            <w:tcBorders>
              <w:top w:val="nil"/>
              <w:left w:val="single" w:sz="4" w:space="0" w:color="auto"/>
              <w:bottom w:val="single" w:sz="4" w:space="0" w:color="auto"/>
              <w:right w:val="single" w:sz="4" w:space="0" w:color="auto"/>
            </w:tcBorders>
            <w:shd w:val="clear" w:color="auto" w:fill="auto"/>
            <w:noWrap/>
            <w:vAlign w:val="center"/>
          </w:tcPr>
          <w:p w14:paraId="3098BF81" w14:textId="77777777" w:rsidR="00FA2F24" w:rsidRPr="00FA2F24" w:rsidRDefault="00FA2F24" w:rsidP="00FA2F24">
            <w:pPr>
              <w:spacing w:before="0" w:after="0"/>
              <w:rPr>
                <w:rFonts w:ascii="Arial" w:hAnsi="Arial"/>
                <w:sz w:val="16"/>
                <w:szCs w:val="16"/>
              </w:rPr>
            </w:pPr>
          </w:p>
        </w:tc>
        <w:tc>
          <w:tcPr>
            <w:tcW w:w="1383" w:type="dxa"/>
            <w:tcBorders>
              <w:top w:val="nil"/>
              <w:left w:val="nil"/>
              <w:bottom w:val="single" w:sz="4" w:space="0" w:color="auto"/>
              <w:right w:val="single" w:sz="4" w:space="0" w:color="auto"/>
            </w:tcBorders>
            <w:shd w:val="clear" w:color="auto" w:fill="auto"/>
            <w:noWrap/>
            <w:vAlign w:val="center"/>
          </w:tcPr>
          <w:p w14:paraId="6EF78D47" w14:textId="141AC5BA" w:rsidR="00FA2F24" w:rsidRPr="00FA2F24" w:rsidRDefault="00FA2F24" w:rsidP="00FA2F24">
            <w:pPr>
              <w:spacing w:before="0" w:after="0"/>
              <w:rPr>
                <w:rFonts w:ascii="Arial" w:hAnsi="Arial"/>
                <w:szCs w:val="20"/>
              </w:rPr>
            </w:pPr>
            <w:r w:rsidRPr="00FA2F24">
              <w:rPr>
                <w:rFonts w:ascii="Arial" w:hAnsi="Arial"/>
                <w:szCs w:val="20"/>
              </w:rPr>
              <w:t> </w:t>
            </w:r>
          </w:p>
        </w:tc>
        <w:tc>
          <w:tcPr>
            <w:tcW w:w="1383" w:type="dxa"/>
            <w:tcBorders>
              <w:top w:val="nil"/>
              <w:left w:val="nil"/>
              <w:bottom w:val="single" w:sz="4" w:space="0" w:color="auto"/>
              <w:right w:val="single" w:sz="4" w:space="0" w:color="auto"/>
            </w:tcBorders>
            <w:shd w:val="clear" w:color="auto" w:fill="auto"/>
            <w:vAlign w:val="center"/>
          </w:tcPr>
          <w:p w14:paraId="29F3DFB2" w14:textId="09B70822" w:rsidR="00FA2F24" w:rsidRPr="00FA2F24" w:rsidRDefault="00FA2F24" w:rsidP="00FA2F24">
            <w:pPr>
              <w:spacing w:before="0" w:after="0"/>
              <w:jc w:val="right"/>
              <w:rPr>
                <w:rFonts w:ascii="Arial" w:hAnsi="Arial"/>
                <w:sz w:val="16"/>
                <w:szCs w:val="16"/>
              </w:rPr>
            </w:pPr>
            <w:r w:rsidRPr="00FA2F24">
              <w:rPr>
                <w:rFonts w:ascii="Arial" w:hAnsi="Arial"/>
                <w:sz w:val="16"/>
                <w:szCs w:val="16"/>
              </w:rPr>
              <w:t>-4,469</w:t>
            </w:r>
          </w:p>
        </w:tc>
      </w:tr>
      <w:tr w:rsidR="00FA2F24" w:rsidRPr="00BA1388" w14:paraId="03FF15B2" w14:textId="77777777" w:rsidTr="00F83D16">
        <w:trPr>
          <w:gridAfter w:val="1"/>
          <w:wAfter w:w="2623" w:type="dxa"/>
          <w:trHeight w:val="510"/>
        </w:trPr>
        <w:tc>
          <w:tcPr>
            <w:tcW w:w="6760" w:type="dxa"/>
            <w:tcBorders>
              <w:top w:val="single" w:sz="4" w:space="0" w:color="auto"/>
              <w:left w:val="single" w:sz="4" w:space="0" w:color="auto"/>
              <w:bottom w:val="single" w:sz="4" w:space="0" w:color="auto"/>
              <w:right w:val="single" w:sz="4" w:space="0" w:color="auto"/>
            </w:tcBorders>
            <w:shd w:val="clear" w:color="auto" w:fill="auto"/>
            <w:vAlign w:val="center"/>
          </w:tcPr>
          <w:p w14:paraId="2FA01806" w14:textId="77777777" w:rsidR="00FA2F24" w:rsidRPr="00FA2F24" w:rsidRDefault="00FA2F24" w:rsidP="00FA2F24">
            <w:pPr>
              <w:spacing w:before="0" w:after="0"/>
              <w:rPr>
                <w:rFonts w:ascii="Arial" w:hAnsi="Arial"/>
                <w:b/>
                <w:sz w:val="16"/>
                <w:szCs w:val="16"/>
                <w:lang w:val="en-AU"/>
              </w:rPr>
            </w:pPr>
            <w:r w:rsidRPr="00FA2F24">
              <w:rPr>
                <w:rFonts w:ascii="Arial" w:hAnsi="Arial"/>
                <w:b/>
                <w:sz w:val="16"/>
                <w:szCs w:val="16"/>
                <w:lang w:val="en-AU"/>
              </w:rPr>
              <w:t>Net Approved Program - Military Equipment Acquisition</w:t>
            </w:r>
          </w:p>
        </w:tc>
        <w:tc>
          <w:tcPr>
            <w:tcW w:w="1383" w:type="dxa"/>
            <w:tcBorders>
              <w:top w:val="nil"/>
              <w:left w:val="single" w:sz="4" w:space="0" w:color="auto"/>
              <w:bottom w:val="single" w:sz="4" w:space="0" w:color="auto"/>
              <w:right w:val="single" w:sz="4" w:space="0" w:color="auto"/>
            </w:tcBorders>
            <w:shd w:val="clear" w:color="auto" w:fill="auto"/>
            <w:noWrap/>
            <w:vAlign w:val="center"/>
          </w:tcPr>
          <w:p w14:paraId="2BC675C6" w14:textId="77777777" w:rsidR="00FA2F24" w:rsidRPr="00FA2F24" w:rsidRDefault="00FA2F24" w:rsidP="00FA2F24">
            <w:pPr>
              <w:spacing w:before="0" w:after="0"/>
              <w:rPr>
                <w:rFonts w:ascii="Arial" w:hAnsi="Arial"/>
                <w:b/>
                <w:bCs/>
                <w:sz w:val="16"/>
                <w:szCs w:val="16"/>
              </w:rPr>
            </w:pPr>
          </w:p>
        </w:tc>
        <w:tc>
          <w:tcPr>
            <w:tcW w:w="1383" w:type="dxa"/>
            <w:tcBorders>
              <w:top w:val="nil"/>
              <w:left w:val="nil"/>
              <w:bottom w:val="single" w:sz="4" w:space="0" w:color="auto"/>
              <w:right w:val="single" w:sz="4" w:space="0" w:color="auto"/>
            </w:tcBorders>
            <w:shd w:val="clear" w:color="auto" w:fill="auto"/>
            <w:noWrap/>
            <w:vAlign w:val="center"/>
          </w:tcPr>
          <w:p w14:paraId="77A0ED5D" w14:textId="4F70D188" w:rsidR="00FA2F24" w:rsidRPr="00FA2F24" w:rsidRDefault="00FA2F24" w:rsidP="00FA2F24">
            <w:pPr>
              <w:spacing w:before="0" w:after="0"/>
              <w:rPr>
                <w:rFonts w:ascii="Arial" w:hAnsi="Arial"/>
                <w:b/>
                <w:bCs/>
                <w:szCs w:val="20"/>
              </w:rPr>
            </w:pPr>
            <w:r w:rsidRPr="00FA2F24">
              <w:rPr>
                <w:rFonts w:ascii="Arial" w:hAnsi="Arial"/>
                <w:b/>
                <w:bCs/>
                <w:szCs w:val="20"/>
              </w:rPr>
              <w:t> </w:t>
            </w:r>
          </w:p>
        </w:tc>
        <w:tc>
          <w:tcPr>
            <w:tcW w:w="1383" w:type="dxa"/>
            <w:tcBorders>
              <w:top w:val="nil"/>
              <w:left w:val="nil"/>
              <w:bottom w:val="single" w:sz="4" w:space="0" w:color="auto"/>
              <w:right w:val="single" w:sz="4" w:space="0" w:color="auto"/>
            </w:tcBorders>
            <w:shd w:val="clear" w:color="auto" w:fill="auto"/>
            <w:vAlign w:val="center"/>
          </w:tcPr>
          <w:p w14:paraId="73BF1114" w14:textId="7D2AD1CC" w:rsidR="00FA2F24" w:rsidRPr="00FA2F24" w:rsidRDefault="00FA2F24" w:rsidP="00FA2F24">
            <w:pPr>
              <w:spacing w:before="0" w:after="0"/>
              <w:jc w:val="right"/>
              <w:rPr>
                <w:rFonts w:ascii="Arial" w:hAnsi="Arial"/>
                <w:b/>
                <w:bCs/>
                <w:sz w:val="16"/>
                <w:szCs w:val="16"/>
              </w:rPr>
            </w:pPr>
            <w:r w:rsidRPr="00FA2F24">
              <w:rPr>
                <w:rFonts w:ascii="Arial" w:hAnsi="Arial"/>
                <w:b/>
                <w:bCs/>
                <w:sz w:val="16"/>
                <w:szCs w:val="16"/>
              </w:rPr>
              <w:t>13,974</w:t>
            </w:r>
          </w:p>
        </w:tc>
      </w:tr>
      <w:bookmarkEnd w:id="904"/>
    </w:tbl>
    <w:p w14:paraId="6BEFF0A7" w14:textId="77777777" w:rsidR="00633505" w:rsidRPr="00BA1388" w:rsidRDefault="00633505" w:rsidP="008A5595">
      <w:pPr>
        <w:spacing w:before="0" w:after="0"/>
        <w:rPr>
          <w:rFonts w:ascii="Arial" w:hAnsi="Arial"/>
          <w:b/>
          <w:sz w:val="16"/>
          <w:szCs w:val="16"/>
          <w:highlight w:val="yellow"/>
          <w:lang w:val="en-AU"/>
        </w:rPr>
      </w:pPr>
    </w:p>
    <w:p w14:paraId="6EF03033" w14:textId="77777777" w:rsidR="008A5595" w:rsidRPr="00FA2F24" w:rsidRDefault="008A5595" w:rsidP="0008019D">
      <w:pPr>
        <w:spacing w:before="0" w:after="0"/>
        <w:rPr>
          <w:rFonts w:ascii="Arial" w:hAnsi="Arial"/>
          <w:b/>
          <w:sz w:val="14"/>
          <w:szCs w:val="14"/>
          <w:lang w:val="en-AU"/>
        </w:rPr>
      </w:pPr>
      <w:r w:rsidRPr="00FA2F24">
        <w:rPr>
          <w:rFonts w:ascii="Arial" w:hAnsi="Arial"/>
          <w:b/>
          <w:sz w:val="14"/>
          <w:szCs w:val="14"/>
          <w:lang w:val="en-AU"/>
        </w:rPr>
        <w:t>Note</w:t>
      </w:r>
      <w:r w:rsidR="00781E7F" w:rsidRPr="00FA2F24">
        <w:rPr>
          <w:rFonts w:ascii="Arial" w:hAnsi="Arial"/>
          <w:b/>
          <w:sz w:val="14"/>
          <w:szCs w:val="14"/>
          <w:lang w:val="en-AU"/>
        </w:rPr>
        <w:t>s</w:t>
      </w:r>
    </w:p>
    <w:p w14:paraId="0F760659" w14:textId="745CA610" w:rsidR="008A5595" w:rsidRPr="00FA2F24" w:rsidRDefault="008F7CE6" w:rsidP="000C3F23">
      <w:pPr>
        <w:pStyle w:val="ListParagraph"/>
        <w:spacing w:before="0" w:after="0"/>
        <w:ind w:left="284" w:hanging="284"/>
        <w:contextualSpacing w:val="0"/>
        <w:rPr>
          <w:rFonts w:ascii="Arial" w:hAnsi="Arial"/>
          <w:sz w:val="14"/>
          <w:szCs w:val="14"/>
          <w:lang w:val="en-AU"/>
        </w:rPr>
      </w:pPr>
      <w:r w:rsidRPr="00FA2F24">
        <w:rPr>
          <w:rFonts w:ascii="Arial" w:hAnsi="Arial"/>
          <w:sz w:val="14"/>
          <w:szCs w:val="14"/>
          <w:lang w:val="en-AU"/>
        </w:rPr>
        <w:t>a.</w:t>
      </w:r>
      <w:r w:rsidRPr="00FA2F24">
        <w:rPr>
          <w:rFonts w:ascii="Arial" w:hAnsi="Arial"/>
          <w:sz w:val="14"/>
          <w:szCs w:val="14"/>
          <w:lang w:val="en-AU"/>
        </w:rPr>
        <w:tab/>
      </w:r>
      <w:r w:rsidRPr="00FA2F24">
        <w:rPr>
          <w:rFonts w:ascii="Arial" w:hAnsi="Arial"/>
          <w:sz w:val="14"/>
          <w:szCs w:val="14"/>
          <w:lang w:val="en-AU"/>
        </w:rPr>
        <w:tab/>
      </w:r>
      <w:r w:rsidRPr="00FA2F24">
        <w:rPr>
          <w:rFonts w:ascii="Arial" w:hAnsi="Arial"/>
          <w:sz w:val="14"/>
          <w:szCs w:val="14"/>
          <w:lang w:val="en-AU"/>
        </w:rPr>
        <w:tab/>
      </w:r>
      <w:r w:rsidRPr="00FA2F24">
        <w:rPr>
          <w:rFonts w:ascii="Arial" w:hAnsi="Arial"/>
          <w:sz w:val="14"/>
          <w:szCs w:val="14"/>
          <w:lang w:val="en-AU"/>
        </w:rPr>
        <w:tab/>
      </w:r>
      <w:r w:rsidRPr="00FA2F24">
        <w:rPr>
          <w:rFonts w:ascii="Arial" w:hAnsi="Arial"/>
          <w:sz w:val="14"/>
          <w:szCs w:val="14"/>
          <w:lang w:val="en-AU"/>
        </w:rPr>
        <w:tab/>
      </w:r>
      <w:r w:rsidRPr="00FA2F24">
        <w:rPr>
          <w:rFonts w:ascii="Arial" w:hAnsi="Arial"/>
          <w:sz w:val="14"/>
          <w:szCs w:val="14"/>
          <w:lang w:val="en-AU"/>
        </w:rPr>
        <w:tab/>
      </w:r>
      <w:r w:rsidRPr="00FA2F24">
        <w:rPr>
          <w:rFonts w:ascii="Arial" w:hAnsi="Arial"/>
          <w:sz w:val="14"/>
          <w:szCs w:val="14"/>
          <w:lang w:val="en-AU"/>
        </w:rPr>
        <w:tab/>
      </w:r>
      <w:r w:rsidRPr="00FA2F24">
        <w:rPr>
          <w:rFonts w:ascii="Arial" w:hAnsi="Arial"/>
          <w:sz w:val="14"/>
          <w:szCs w:val="14"/>
          <w:lang w:val="en-AU"/>
        </w:rPr>
        <w:tab/>
      </w:r>
      <w:r w:rsidRPr="00FA2F24">
        <w:rPr>
          <w:rFonts w:ascii="Arial" w:hAnsi="Arial"/>
          <w:sz w:val="14"/>
          <w:szCs w:val="14"/>
          <w:lang w:val="en-AU"/>
        </w:rPr>
        <w:tab/>
      </w:r>
      <w:r w:rsidRPr="00FA2F24">
        <w:rPr>
          <w:rFonts w:ascii="Arial" w:hAnsi="Arial"/>
          <w:sz w:val="14"/>
          <w:szCs w:val="14"/>
          <w:lang w:val="en-AU"/>
        </w:rPr>
        <w:tab/>
      </w:r>
      <w:r w:rsidRPr="00FA2F24">
        <w:rPr>
          <w:rFonts w:ascii="Arial" w:hAnsi="Arial"/>
          <w:sz w:val="14"/>
          <w:szCs w:val="14"/>
          <w:lang w:val="en-AU"/>
        </w:rPr>
        <w:tab/>
      </w:r>
      <w:r w:rsidRPr="00FA2F24">
        <w:rPr>
          <w:rFonts w:ascii="Arial" w:hAnsi="Arial"/>
          <w:sz w:val="14"/>
          <w:szCs w:val="14"/>
          <w:lang w:val="en-AU"/>
        </w:rPr>
        <w:tab/>
      </w:r>
      <w:r w:rsidRPr="00FA2F24">
        <w:rPr>
          <w:rFonts w:ascii="Arial" w:hAnsi="Arial"/>
          <w:sz w:val="14"/>
          <w:szCs w:val="14"/>
          <w:lang w:val="en-AU"/>
        </w:rPr>
        <w:tab/>
      </w:r>
      <w:r w:rsidRPr="00FA2F24">
        <w:rPr>
          <w:rFonts w:ascii="Arial" w:hAnsi="Arial"/>
          <w:sz w:val="14"/>
          <w:szCs w:val="14"/>
          <w:lang w:val="en-AU"/>
        </w:rPr>
        <w:tab/>
      </w:r>
      <w:r w:rsidRPr="00FA2F24">
        <w:rPr>
          <w:rFonts w:ascii="Arial" w:hAnsi="Arial"/>
          <w:sz w:val="14"/>
          <w:szCs w:val="14"/>
          <w:lang w:val="en-AU"/>
        </w:rPr>
        <w:tab/>
      </w:r>
      <w:r w:rsidR="008A5595" w:rsidRPr="00FA2F24">
        <w:rPr>
          <w:rFonts w:ascii="Arial" w:hAnsi="Arial"/>
          <w:sz w:val="14"/>
          <w:szCs w:val="14"/>
          <w:lang w:val="en-AU"/>
        </w:rPr>
        <w:t xml:space="preserve">Approved Project Expenditure, </w:t>
      </w:r>
      <w:r w:rsidR="00F1623E" w:rsidRPr="00FA2F24">
        <w:rPr>
          <w:rFonts w:ascii="Arial" w:hAnsi="Arial"/>
          <w:sz w:val="14"/>
          <w:szCs w:val="14"/>
          <w:lang w:val="en-AU"/>
        </w:rPr>
        <w:t xml:space="preserve">Estimated </w:t>
      </w:r>
      <w:r w:rsidR="00422AAB" w:rsidRPr="00FA2F24">
        <w:rPr>
          <w:rFonts w:ascii="Arial" w:hAnsi="Arial"/>
          <w:sz w:val="14"/>
          <w:szCs w:val="14"/>
          <w:lang w:val="en-AU"/>
        </w:rPr>
        <w:t>Cumulative Expenditure to 30 </w:t>
      </w:r>
      <w:r w:rsidR="008A5595" w:rsidRPr="00FA2F24">
        <w:rPr>
          <w:rFonts w:ascii="Arial" w:hAnsi="Arial"/>
          <w:sz w:val="14"/>
          <w:szCs w:val="14"/>
          <w:lang w:val="en-AU"/>
        </w:rPr>
        <w:t>June</w:t>
      </w:r>
      <w:r w:rsidR="00422AAB" w:rsidRPr="00FA2F24">
        <w:rPr>
          <w:rFonts w:ascii="Arial" w:hAnsi="Arial"/>
          <w:sz w:val="14"/>
          <w:szCs w:val="14"/>
          <w:lang w:val="en-AU"/>
        </w:rPr>
        <w:t> </w:t>
      </w:r>
      <w:r w:rsidR="008A5595" w:rsidRPr="00FA2F24">
        <w:rPr>
          <w:rFonts w:ascii="Arial" w:hAnsi="Arial"/>
          <w:sz w:val="14"/>
          <w:szCs w:val="14"/>
          <w:lang w:val="en-AU"/>
        </w:rPr>
        <w:t>202</w:t>
      </w:r>
      <w:r w:rsidR="00EE35AD">
        <w:rPr>
          <w:rFonts w:ascii="Arial" w:hAnsi="Arial"/>
          <w:sz w:val="14"/>
          <w:szCs w:val="14"/>
          <w:lang w:val="en-AU"/>
        </w:rPr>
        <w:t>5</w:t>
      </w:r>
      <w:r w:rsidR="008A5595" w:rsidRPr="00FA2F24">
        <w:rPr>
          <w:rFonts w:ascii="Arial" w:hAnsi="Arial"/>
          <w:sz w:val="14"/>
          <w:szCs w:val="14"/>
          <w:lang w:val="en-AU"/>
        </w:rPr>
        <w:t xml:space="preserve"> and Budget Estimate 202</w:t>
      </w:r>
      <w:r w:rsidR="00EE35AD">
        <w:rPr>
          <w:rFonts w:ascii="Arial" w:hAnsi="Arial"/>
          <w:sz w:val="14"/>
          <w:szCs w:val="14"/>
          <w:lang w:val="en-AU"/>
        </w:rPr>
        <w:t>5</w:t>
      </w:r>
      <w:r w:rsidR="008A5595" w:rsidRPr="00FA2F24">
        <w:rPr>
          <w:rFonts w:ascii="Arial" w:hAnsi="Arial"/>
          <w:sz w:val="14"/>
          <w:szCs w:val="14"/>
          <w:lang w:val="en-AU"/>
        </w:rPr>
        <w:t>-2</w:t>
      </w:r>
      <w:r w:rsidR="00EE35AD">
        <w:rPr>
          <w:rFonts w:ascii="Arial" w:hAnsi="Arial"/>
          <w:sz w:val="14"/>
          <w:szCs w:val="14"/>
          <w:lang w:val="en-AU"/>
        </w:rPr>
        <w:t>6</w:t>
      </w:r>
      <w:r w:rsidR="008A5595" w:rsidRPr="00FA2F24">
        <w:rPr>
          <w:rFonts w:ascii="Arial" w:hAnsi="Arial"/>
          <w:sz w:val="14"/>
          <w:szCs w:val="14"/>
          <w:lang w:val="en-AU"/>
        </w:rPr>
        <w:t xml:space="preserve"> are on an accrual basis</w:t>
      </w:r>
      <w:r w:rsidR="002271CB" w:rsidRPr="00FA2F24">
        <w:rPr>
          <w:rFonts w:ascii="Arial" w:hAnsi="Arial"/>
          <w:sz w:val="14"/>
          <w:szCs w:val="14"/>
          <w:lang w:val="en-AU"/>
        </w:rPr>
        <w:t xml:space="preserve">, and </w:t>
      </w:r>
      <w:r w:rsidR="00D80AFE" w:rsidRPr="00FA2F24">
        <w:rPr>
          <w:rFonts w:ascii="Arial" w:hAnsi="Arial"/>
          <w:sz w:val="14"/>
          <w:szCs w:val="14"/>
          <w:lang w:val="en-AU"/>
        </w:rPr>
        <w:t>funded by appropriation</w:t>
      </w:r>
      <w:r w:rsidR="008A5595" w:rsidRPr="00FA2F24">
        <w:rPr>
          <w:rFonts w:ascii="Arial" w:hAnsi="Arial"/>
          <w:sz w:val="14"/>
          <w:szCs w:val="14"/>
          <w:lang w:val="en-AU"/>
        </w:rPr>
        <w:t>.</w:t>
      </w:r>
    </w:p>
    <w:p w14:paraId="3DDE3483" w14:textId="77777777" w:rsidR="002A27D0" w:rsidRPr="00FA2F24" w:rsidRDefault="009E55F4" w:rsidP="000C3F23">
      <w:pPr>
        <w:pStyle w:val="ListParagraph"/>
        <w:spacing w:before="0" w:after="0"/>
        <w:ind w:left="284" w:hanging="284"/>
        <w:contextualSpacing w:val="0"/>
        <w:rPr>
          <w:rFonts w:ascii="Arial" w:hAnsi="Arial"/>
          <w:sz w:val="14"/>
          <w:szCs w:val="14"/>
          <w:lang w:val="en-AU"/>
        </w:rPr>
      </w:pPr>
      <w:r w:rsidRPr="00FA2F24">
        <w:rPr>
          <w:rFonts w:ascii="Arial" w:hAnsi="Arial"/>
          <w:sz w:val="14"/>
          <w:szCs w:val="14"/>
          <w:lang w:val="en-AU"/>
        </w:rPr>
        <w:t>b.</w:t>
      </w:r>
      <w:r w:rsidR="008F7CE6" w:rsidRPr="00FA2F24">
        <w:rPr>
          <w:rFonts w:ascii="Arial" w:hAnsi="Arial"/>
          <w:sz w:val="14"/>
          <w:szCs w:val="14"/>
          <w:lang w:val="en-AU"/>
        </w:rPr>
        <w:tab/>
      </w:r>
      <w:r w:rsidR="002A27D0" w:rsidRPr="00FA2F24">
        <w:rPr>
          <w:rFonts w:ascii="Arial" w:hAnsi="Arial"/>
          <w:sz w:val="14"/>
          <w:szCs w:val="14"/>
          <w:lang w:val="en-AU"/>
        </w:rPr>
        <w:t>Budget estimates shown as 0 are amounts greater than $0 but less than $500,000.</w:t>
      </w:r>
    </w:p>
    <w:p w14:paraId="10915791" w14:textId="77777777" w:rsidR="00B04D30" w:rsidRPr="00167919" w:rsidRDefault="00B04D30" w:rsidP="000C3F23">
      <w:pPr>
        <w:pStyle w:val="ListParagraph"/>
        <w:spacing w:before="0" w:after="0"/>
        <w:ind w:left="284" w:hanging="284"/>
        <w:contextualSpacing w:val="0"/>
        <w:rPr>
          <w:rFonts w:ascii="Arial" w:hAnsi="Arial"/>
          <w:sz w:val="14"/>
          <w:szCs w:val="14"/>
          <w:lang w:val="en-AU"/>
        </w:rPr>
      </w:pPr>
      <w:r w:rsidRPr="00FA2F24">
        <w:rPr>
          <w:rFonts w:ascii="Arial" w:hAnsi="Arial"/>
          <w:sz w:val="14"/>
          <w:szCs w:val="14"/>
          <w:lang w:val="en-AU"/>
        </w:rPr>
        <w:t>c.</w:t>
      </w:r>
      <w:r w:rsidRPr="00FA2F24">
        <w:rPr>
          <w:rFonts w:ascii="Arial" w:hAnsi="Arial"/>
          <w:sz w:val="14"/>
          <w:szCs w:val="14"/>
          <w:lang w:val="en-AU"/>
        </w:rPr>
        <w:tab/>
        <w:t>Includes projects that may also be referenced in Appendix D – Table 56: Approved Major and Medium Enterprise Estate and Infrastructure Projects by State and Federal Electorate.</w:t>
      </w:r>
    </w:p>
    <w:p w14:paraId="32D8FE37" w14:textId="77777777" w:rsidR="00003B8B" w:rsidRPr="00B56FAA" w:rsidRDefault="00F0485E" w:rsidP="0008019D">
      <w:pPr>
        <w:pStyle w:val="Heading4"/>
        <w:spacing w:before="0" w:after="0"/>
        <w:rPr>
          <w:rFonts w:ascii="Arial Bold" w:hAnsi="Arial Bold"/>
          <w:sz w:val="26"/>
          <w:szCs w:val="26"/>
        </w:rPr>
      </w:pPr>
      <w:r w:rsidRPr="00B56FAA">
        <w:br w:type="page"/>
      </w:r>
      <w:bookmarkStart w:id="905" w:name="_Toc97747838"/>
      <w:bookmarkStart w:id="906" w:name="_Toc108088949"/>
      <w:bookmarkStart w:id="907" w:name="_Toc108089423"/>
      <w:bookmarkStart w:id="908" w:name="_Toc109227745"/>
      <w:bookmarkStart w:id="909" w:name="_Toc159499693"/>
      <w:bookmarkStart w:id="910" w:name="_Toc159859110"/>
      <w:bookmarkStart w:id="911" w:name="_Toc159859262"/>
      <w:r w:rsidR="00003B8B" w:rsidRPr="00B56FAA">
        <w:rPr>
          <w:rFonts w:ascii="Arial Bold" w:hAnsi="Arial Bold"/>
          <w:sz w:val="26"/>
          <w:szCs w:val="26"/>
        </w:rPr>
        <w:lastRenderedPageBreak/>
        <w:t xml:space="preserve">Appendix </w:t>
      </w:r>
      <w:r w:rsidR="00F800D6" w:rsidRPr="00B56FAA">
        <w:rPr>
          <w:rFonts w:ascii="Arial Bold" w:hAnsi="Arial Bold"/>
          <w:sz w:val="26"/>
          <w:szCs w:val="26"/>
        </w:rPr>
        <w:t>C</w:t>
      </w:r>
      <w:r w:rsidR="00003B8B" w:rsidRPr="00B56FAA">
        <w:rPr>
          <w:rFonts w:ascii="Arial Bold" w:hAnsi="Arial Bold"/>
          <w:sz w:val="26"/>
          <w:szCs w:val="26"/>
        </w:rPr>
        <w:tab/>
        <w:t xml:space="preserve">: Top 30 </w:t>
      </w:r>
      <w:r w:rsidR="009026EF" w:rsidRPr="00B56FAA">
        <w:rPr>
          <w:rFonts w:ascii="Arial Bold" w:hAnsi="Arial Bold"/>
          <w:sz w:val="26"/>
          <w:szCs w:val="26"/>
        </w:rPr>
        <w:t xml:space="preserve">Capability </w:t>
      </w:r>
      <w:r w:rsidR="00003B8B" w:rsidRPr="00B56FAA">
        <w:rPr>
          <w:rFonts w:ascii="Arial Bold" w:hAnsi="Arial Bold"/>
          <w:sz w:val="26"/>
          <w:szCs w:val="26"/>
        </w:rPr>
        <w:t>Sustainment Products</w:t>
      </w:r>
      <w:bookmarkEnd w:id="897"/>
      <w:bookmarkEnd w:id="898"/>
      <w:bookmarkEnd w:id="899"/>
      <w:bookmarkEnd w:id="900"/>
      <w:bookmarkEnd w:id="901"/>
      <w:bookmarkEnd w:id="902"/>
      <w:bookmarkEnd w:id="903"/>
      <w:bookmarkEnd w:id="905"/>
      <w:bookmarkEnd w:id="906"/>
      <w:bookmarkEnd w:id="907"/>
      <w:bookmarkEnd w:id="908"/>
      <w:bookmarkEnd w:id="909"/>
      <w:bookmarkEnd w:id="910"/>
      <w:bookmarkEnd w:id="911"/>
    </w:p>
    <w:p w14:paraId="499D41B9" w14:textId="77777777" w:rsidR="005859B6" w:rsidRPr="002D105C" w:rsidRDefault="005859B6" w:rsidP="005859B6">
      <w:pPr>
        <w:spacing w:before="0" w:after="120"/>
      </w:pPr>
      <w:r w:rsidRPr="002D105C">
        <w:t>The Top 30 Capability Sustainment products are grouped in the revised domain structure introduced through Defence’s Capability Program Architecture</w:t>
      </w:r>
      <w:r w:rsidR="00EA42BE" w:rsidRPr="002D105C">
        <w:t>.</w:t>
      </w:r>
    </w:p>
    <w:p w14:paraId="30EF2376" w14:textId="77777777" w:rsidR="00AB086F" w:rsidRPr="002D105C" w:rsidRDefault="00AB086F" w:rsidP="00D9100A">
      <w:pPr>
        <w:pStyle w:val="TableHeading"/>
        <w:numPr>
          <w:ilvl w:val="0"/>
          <w:numId w:val="29"/>
        </w:numPr>
        <w:spacing w:before="0"/>
        <w:ind w:left="0" w:firstLine="0"/>
        <w:outlineLvl w:val="5"/>
        <w:rPr>
          <w:szCs w:val="20"/>
        </w:rPr>
      </w:pPr>
      <w:r w:rsidRPr="002D105C">
        <w:rPr>
          <w:szCs w:val="20"/>
        </w:rPr>
        <w:t xml:space="preserve">Top 30 </w:t>
      </w:r>
      <w:r w:rsidR="00B62F44" w:rsidRPr="002D105C">
        <w:rPr>
          <w:szCs w:val="20"/>
        </w:rPr>
        <w:t xml:space="preserve">Capability </w:t>
      </w:r>
      <w:r w:rsidRPr="002D105C">
        <w:rPr>
          <w:szCs w:val="20"/>
        </w:rPr>
        <w:t>Sustainment Products</w:t>
      </w:r>
      <w:r w:rsidR="008F1D91" w:rsidRPr="002D105C">
        <w:rPr>
          <w:szCs w:val="20"/>
        </w:rPr>
        <w:t xml:space="preserve"> </w:t>
      </w:r>
      <w:r w:rsidRPr="002D105C">
        <w:rPr>
          <w:szCs w:val="20"/>
        </w:rPr>
        <w:t>by End of Financial Year Outcome 202</w:t>
      </w:r>
      <w:r w:rsidR="004B232A" w:rsidRPr="002D105C">
        <w:rPr>
          <w:szCs w:val="20"/>
        </w:rPr>
        <w:t>5</w:t>
      </w:r>
      <w:r w:rsidRPr="002D105C">
        <w:rPr>
          <w:szCs w:val="20"/>
        </w:rPr>
        <w:t>-2</w:t>
      </w:r>
      <w:r w:rsidR="004B232A" w:rsidRPr="002D105C">
        <w:rPr>
          <w:szCs w:val="20"/>
        </w:rPr>
        <w:t>6</w:t>
      </w:r>
    </w:p>
    <w:tbl>
      <w:tblPr>
        <w:tblW w:w="13492" w:type="dxa"/>
        <w:tblInd w:w="57" w:type="dxa"/>
        <w:tblLayout w:type="fixed"/>
        <w:tblLook w:val="04A0" w:firstRow="1" w:lastRow="0" w:firstColumn="1" w:lastColumn="0" w:noHBand="0" w:noVBand="1"/>
      </w:tblPr>
      <w:tblGrid>
        <w:gridCol w:w="1644"/>
        <w:gridCol w:w="850"/>
        <w:gridCol w:w="907"/>
        <w:gridCol w:w="10091"/>
      </w:tblGrid>
      <w:tr w:rsidR="0020394D" w:rsidRPr="00BA1388" w14:paraId="032057D6" w14:textId="77777777" w:rsidTr="00135BDE">
        <w:trPr>
          <w:trHeight w:val="720"/>
          <w:tblHeader/>
        </w:trPr>
        <w:tc>
          <w:tcPr>
            <w:tcW w:w="1644" w:type="dxa"/>
            <w:tcBorders>
              <w:top w:val="single" w:sz="4" w:space="0" w:color="auto"/>
              <w:left w:val="single" w:sz="4" w:space="0" w:color="auto"/>
              <w:bottom w:val="single" w:sz="4" w:space="0" w:color="auto"/>
              <w:right w:val="single" w:sz="4" w:space="0" w:color="auto"/>
            </w:tcBorders>
            <w:shd w:val="clear" w:color="auto" w:fill="auto"/>
            <w:hideMark/>
          </w:tcPr>
          <w:p w14:paraId="613023C2" w14:textId="77777777" w:rsidR="0020394D" w:rsidRPr="002D105C" w:rsidRDefault="0020394D" w:rsidP="00135BDE">
            <w:pPr>
              <w:spacing w:before="0" w:after="0"/>
              <w:rPr>
                <w:rFonts w:ascii="Arial" w:hAnsi="Arial"/>
                <w:b/>
                <w:bCs/>
                <w:sz w:val="16"/>
                <w:szCs w:val="16"/>
                <w:lang w:val="en-AU"/>
              </w:rPr>
            </w:pPr>
            <w:r w:rsidRPr="002D105C">
              <w:rPr>
                <w:rFonts w:ascii="Arial" w:hAnsi="Arial"/>
                <w:b/>
                <w:bCs/>
                <w:sz w:val="16"/>
                <w:szCs w:val="16"/>
                <w:lang w:val="en-AU"/>
              </w:rPr>
              <w:t>Domain/Product Name</w:t>
            </w:r>
          </w:p>
        </w:tc>
        <w:tc>
          <w:tcPr>
            <w:tcW w:w="850" w:type="dxa"/>
            <w:tcBorders>
              <w:top w:val="single" w:sz="4" w:space="0" w:color="auto"/>
              <w:left w:val="nil"/>
              <w:bottom w:val="single" w:sz="4" w:space="0" w:color="auto"/>
              <w:right w:val="single" w:sz="4" w:space="0" w:color="auto"/>
            </w:tcBorders>
            <w:shd w:val="clear" w:color="auto" w:fill="auto"/>
            <w:hideMark/>
          </w:tcPr>
          <w:p w14:paraId="0ED8A4AB" w14:textId="77777777" w:rsidR="0020394D" w:rsidRPr="002D105C" w:rsidRDefault="0020394D" w:rsidP="00135BDE">
            <w:pPr>
              <w:spacing w:before="0" w:after="0"/>
              <w:jc w:val="center"/>
              <w:rPr>
                <w:rFonts w:ascii="Arial" w:hAnsi="Arial"/>
                <w:b/>
                <w:bCs/>
                <w:sz w:val="16"/>
                <w:szCs w:val="16"/>
                <w:lang w:val="en-AU"/>
              </w:rPr>
            </w:pPr>
            <w:r w:rsidRPr="002D105C">
              <w:rPr>
                <w:rFonts w:ascii="Arial" w:hAnsi="Arial"/>
                <w:b/>
                <w:bCs/>
                <w:sz w:val="16"/>
                <w:szCs w:val="16"/>
                <w:lang w:val="en-AU"/>
              </w:rPr>
              <w:t>Product Serial</w:t>
            </w:r>
          </w:p>
        </w:tc>
        <w:tc>
          <w:tcPr>
            <w:tcW w:w="907" w:type="dxa"/>
            <w:tcBorders>
              <w:top w:val="single" w:sz="4" w:space="0" w:color="auto"/>
              <w:left w:val="nil"/>
              <w:bottom w:val="single" w:sz="4" w:space="0" w:color="auto"/>
              <w:right w:val="single" w:sz="4" w:space="0" w:color="auto"/>
            </w:tcBorders>
            <w:shd w:val="clear" w:color="auto" w:fill="auto"/>
            <w:hideMark/>
          </w:tcPr>
          <w:p w14:paraId="2831E9C6" w14:textId="77777777" w:rsidR="0020394D" w:rsidRPr="002D105C" w:rsidRDefault="0020394D" w:rsidP="004B232A">
            <w:pPr>
              <w:spacing w:before="0" w:after="0"/>
              <w:jc w:val="right"/>
              <w:rPr>
                <w:rFonts w:ascii="Arial" w:hAnsi="Arial"/>
                <w:b/>
                <w:bCs/>
                <w:sz w:val="16"/>
                <w:szCs w:val="16"/>
                <w:lang w:val="en-AU"/>
              </w:rPr>
            </w:pPr>
            <w:r w:rsidRPr="002D105C">
              <w:rPr>
                <w:rFonts w:ascii="Arial" w:hAnsi="Arial"/>
                <w:b/>
                <w:bCs/>
                <w:sz w:val="16"/>
                <w:szCs w:val="16"/>
                <w:lang w:val="en-AU"/>
              </w:rPr>
              <w:t>Budget Estimate 202</w:t>
            </w:r>
            <w:r w:rsidR="004B232A" w:rsidRPr="002D105C">
              <w:rPr>
                <w:rFonts w:ascii="Arial" w:hAnsi="Arial"/>
                <w:b/>
                <w:bCs/>
                <w:sz w:val="16"/>
                <w:szCs w:val="16"/>
                <w:lang w:val="en-AU"/>
              </w:rPr>
              <w:t>5</w:t>
            </w:r>
            <w:r w:rsidRPr="002D105C">
              <w:rPr>
                <w:rFonts w:ascii="Arial" w:hAnsi="Arial"/>
                <w:b/>
                <w:bCs/>
                <w:sz w:val="16"/>
                <w:szCs w:val="16"/>
                <w:lang w:val="en-AU"/>
              </w:rPr>
              <w:t>-2</w:t>
            </w:r>
            <w:r w:rsidR="004B232A" w:rsidRPr="002D105C">
              <w:rPr>
                <w:rFonts w:ascii="Arial" w:hAnsi="Arial"/>
                <w:b/>
                <w:bCs/>
                <w:sz w:val="16"/>
                <w:szCs w:val="16"/>
                <w:lang w:val="en-AU"/>
              </w:rPr>
              <w:t>6</w:t>
            </w:r>
            <w:r w:rsidRPr="002D105C">
              <w:rPr>
                <w:rFonts w:ascii="Arial" w:hAnsi="Arial"/>
                <w:b/>
                <w:bCs/>
                <w:sz w:val="16"/>
                <w:szCs w:val="16"/>
                <w:lang w:val="en-AU"/>
              </w:rPr>
              <w:t xml:space="preserve"> $m</w:t>
            </w:r>
            <w:r w:rsidRPr="002D105C">
              <w:rPr>
                <w:rFonts w:ascii="Arial" w:hAnsi="Arial"/>
                <w:b/>
                <w:bCs/>
                <w:sz w:val="16"/>
                <w:szCs w:val="16"/>
                <w:vertAlign w:val="superscript"/>
                <w:lang w:val="en-AU"/>
              </w:rPr>
              <w:t xml:space="preserve"> [a]</w:t>
            </w:r>
          </w:p>
        </w:tc>
        <w:tc>
          <w:tcPr>
            <w:tcW w:w="10091" w:type="dxa"/>
            <w:tcBorders>
              <w:top w:val="single" w:sz="4" w:space="0" w:color="auto"/>
              <w:left w:val="nil"/>
              <w:bottom w:val="single" w:sz="4" w:space="0" w:color="auto"/>
              <w:right w:val="single" w:sz="4" w:space="0" w:color="auto"/>
            </w:tcBorders>
            <w:shd w:val="clear" w:color="auto" w:fill="auto"/>
            <w:hideMark/>
          </w:tcPr>
          <w:p w14:paraId="1DE20681" w14:textId="77777777" w:rsidR="0020394D" w:rsidRPr="002D105C" w:rsidRDefault="0020394D" w:rsidP="00135BDE">
            <w:pPr>
              <w:spacing w:before="0" w:after="0"/>
              <w:rPr>
                <w:rFonts w:ascii="Arial" w:hAnsi="Arial"/>
                <w:b/>
                <w:bCs/>
                <w:sz w:val="16"/>
                <w:szCs w:val="16"/>
                <w:lang w:val="en-AU"/>
              </w:rPr>
            </w:pPr>
            <w:r w:rsidRPr="002D105C">
              <w:rPr>
                <w:rFonts w:ascii="Arial" w:hAnsi="Arial"/>
                <w:b/>
                <w:bCs/>
                <w:sz w:val="16"/>
                <w:szCs w:val="16"/>
                <w:lang w:val="en-AU"/>
              </w:rPr>
              <w:t>Top 30 Capability Sustainment Product Descriptions</w:t>
            </w:r>
          </w:p>
        </w:tc>
      </w:tr>
      <w:tr w:rsidR="0020394D" w:rsidRPr="00BA1388" w14:paraId="5D19574F" w14:textId="77777777" w:rsidTr="00135BDE">
        <w:trPr>
          <w:trHeight w:val="283"/>
        </w:trPr>
        <w:tc>
          <w:tcPr>
            <w:tcW w:w="13492"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0AD65F79" w14:textId="77777777" w:rsidR="0020394D" w:rsidRPr="002D105C" w:rsidRDefault="0020394D" w:rsidP="00135BDE">
            <w:pPr>
              <w:keepNext/>
              <w:keepLines/>
              <w:spacing w:before="0" w:after="0"/>
              <w:rPr>
                <w:rFonts w:ascii="Arial" w:hAnsi="Arial"/>
                <w:b/>
                <w:bCs/>
                <w:sz w:val="16"/>
                <w:szCs w:val="16"/>
              </w:rPr>
            </w:pPr>
            <w:r w:rsidRPr="002D105C">
              <w:rPr>
                <w:rFonts w:ascii="Arial" w:hAnsi="Arial"/>
                <w:b/>
                <w:bCs/>
                <w:sz w:val="16"/>
                <w:szCs w:val="16"/>
              </w:rPr>
              <w:t>Air Domain</w:t>
            </w:r>
          </w:p>
        </w:tc>
      </w:tr>
      <w:tr w:rsidR="00F83D16" w:rsidRPr="00BA1388" w14:paraId="11B3BBEC" w14:textId="77777777" w:rsidTr="00135BDE">
        <w:trPr>
          <w:trHeight w:val="283"/>
        </w:trPr>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303764EE" w14:textId="0BE1A76D" w:rsidR="00F83D16" w:rsidRPr="00811A48" w:rsidRDefault="00F83D16" w:rsidP="00DE289E">
            <w:pPr>
              <w:spacing w:before="0" w:after="0"/>
              <w:rPr>
                <w:rFonts w:ascii="Arial" w:hAnsi="Arial"/>
                <w:sz w:val="16"/>
                <w:szCs w:val="18"/>
                <w:lang w:val="en-AU"/>
              </w:rPr>
            </w:pPr>
            <w:r w:rsidRPr="00811A48">
              <w:rPr>
                <w:rFonts w:ascii="Arial" w:hAnsi="Arial"/>
                <w:sz w:val="16"/>
                <w:szCs w:val="18"/>
              </w:rPr>
              <w:t>F/A18F Super Hornet &amp; Growler Weapon System</w:t>
            </w:r>
            <w:r w:rsidR="00811A48">
              <w:rPr>
                <w:rFonts w:ascii="Arial" w:hAnsi="Arial"/>
                <w:sz w:val="16"/>
                <w:szCs w:val="18"/>
              </w:rPr>
              <w:t xml:space="preserve"> </w:t>
            </w:r>
          </w:p>
        </w:tc>
        <w:tc>
          <w:tcPr>
            <w:tcW w:w="850" w:type="dxa"/>
            <w:tcBorders>
              <w:top w:val="single" w:sz="4" w:space="0" w:color="auto"/>
              <w:left w:val="nil"/>
              <w:bottom w:val="single" w:sz="4" w:space="0" w:color="auto"/>
              <w:right w:val="single" w:sz="4" w:space="0" w:color="auto"/>
            </w:tcBorders>
            <w:shd w:val="clear" w:color="auto" w:fill="auto"/>
            <w:vAlign w:val="center"/>
          </w:tcPr>
          <w:p w14:paraId="5827D6F3" w14:textId="77777777" w:rsidR="00F83D16" w:rsidRPr="00811A48" w:rsidRDefault="00F83D16" w:rsidP="00F83D16">
            <w:pPr>
              <w:jc w:val="center"/>
              <w:rPr>
                <w:rFonts w:ascii="Arial" w:hAnsi="Arial"/>
                <w:b/>
                <w:bCs/>
                <w:sz w:val="16"/>
                <w:szCs w:val="18"/>
              </w:rPr>
            </w:pPr>
            <w:r w:rsidRPr="00811A48">
              <w:rPr>
                <w:rFonts w:ascii="Arial" w:hAnsi="Arial"/>
                <w:b/>
                <w:bCs/>
                <w:sz w:val="16"/>
                <w:szCs w:val="18"/>
              </w:rPr>
              <w:t>CAF21</w:t>
            </w:r>
          </w:p>
        </w:tc>
        <w:tc>
          <w:tcPr>
            <w:tcW w:w="907" w:type="dxa"/>
            <w:tcBorders>
              <w:top w:val="single" w:sz="4" w:space="0" w:color="auto"/>
              <w:left w:val="nil"/>
              <w:bottom w:val="single" w:sz="4" w:space="0" w:color="auto"/>
              <w:right w:val="single" w:sz="4" w:space="0" w:color="auto"/>
            </w:tcBorders>
            <w:shd w:val="clear" w:color="auto" w:fill="auto"/>
            <w:vAlign w:val="center"/>
          </w:tcPr>
          <w:p w14:paraId="0B6E15FA" w14:textId="70037D11" w:rsidR="00F83D16" w:rsidRPr="00207A36" w:rsidRDefault="00F83D16" w:rsidP="00F83D16">
            <w:pPr>
              <w:jc w:val="right"/>
              <w:rPr>
                <w:rFonts w:ascii="Arial" w:hAnsi="Arial"/>
                <w:sz w:val="16"/>
                <w:szCs w:val="18"/>
              </w:rPr>
            </w:pPr>
            <w:r w:rsidRPr="00207A36">
              <w:rPr>
                <w:rFonts w:ascii="Arial" w:hAnsi="Arial"/>
                <w:sz w:val="16"/>
                <w:szCs w:val="18"/>
              </w:rPr>
              <w:t>600</w:t>
            </w:r>
          </w:p>
        </w:tc>
        <w:tc>
          <w:tcPr>
            <w:tcW w:w="10091" w:type="dxa"/>
            <w:tcBorders>
              <w:top w:val="single" w:sz="4" w:space="0" w:color="auto"/>
              <w:left w:val="nil"/>
              <w:bottom w:val="single" w:sz="4" w:space="0" w:color="auto"/>
              <w:right w:val="single" w:sz="4" w:space="0" w:color="auto"/>
            </w:tcBorders>
            <w:shd w:val="clear" w:color="auto" w:fill="auto"/>
            <w:vAlign w:val="center"/>
          </w:tcPr>
          <w:p w14:paraId="5DD1D720" w14:textId="77777777" w:rsidR="00811A48" w:rsidRPr="00A46067" w:rsidRDefault="00811A48" w:rsidP="00811A48">
            <w:pPr>
              <w:spacing w:before="120" w:after="120"/>
              <w:rPr>
                <w:rFonts w:ascii="Arial" w:hAnsi="Arial"/>
                <w:sz w:val="16"/>
                <w:szCs w:val="16"/>
              </w:rPr>
            </w:pPr>
            <w:r w:rsidRPr="00A46067">
              <w:rPr>
                <w:rFonts w:ascii="Arial" w:hAnsi="Arial"/>
                <w:sz w:val="16"/>
                <w:szCs w:val="16"/>
              </w:rPr>
              <w:t xml:space="preserve">The Air Combat and Airborne Electronic Attack capability comprises a fleet of 24 F/A-18F Super Hornet and 12 EA-18G Growler aircraft, with associated support elements operating from RAAF Base Amberley. </w:t>
            </w:r>
          </w:p>
          <w:p w14:paraId="5809F974" w14:textId="2DB30173" w:rsidR="00F83D16" w:rsidRPr="00BA1388" w:rsidRDefault="00811A48" w:rsidP="00811A48">
            <w:pPr>
              <w:keepNext/>
              <w:keepLines/>
              <w:spacing w:before="80" w:after="0"/>
              <w:rPr>
                <w:rFonts w:ascii="Arial" w:hAnsi="Arial"/>
                <w:sz w:val="16"/>
                <w:szCs w:val="16"/>
                <w:highlight w:val="yellow"/>
              </w:rPr>
            </w:pPr>
            <w:r w:rsidRPr="00A46067">
              <w:rPr>
                <w:rFonts w:ascii="Arial" w:hAnsi="Arial"/>
                <w:sz w:val="16"/>
                <w:szCs w:val="16"/>
              </w:rPr>
              <w:t xml:space="preserve">During 2025-26, the Super Hornet and Growler fleet are undergoing capability upgrades. The Spiral Upgrade Program focuses on the introduction into service of the ALQ-249 Next Generation Jammer system for the EA-18G, and the integration of a range of new weapons and mission systems for the F/A-18F. This integration work will enhance the lethality and survivability of the platform, maintain configuration alignment with the United States Navy, and meet the objectives of the </w:t>
            </w:r>
            <w:r w:rsidR="001665F7" w:rsidRPr="00E00255">
              <w:rPr>
                <w:rFonts w:ascii="Arial" w:hAnsi="Arial"/>
                <w:i/>
                <w:sz w:val="16"/>
                <w:szCs w:val="16"/>
              </w:rPr>
              <w:t xml:space="preserve">2024 </w:t>
            </w:r>
            <w:r w:rsidRPr="00E00255">
              <w:rPr>
                <w:rFonts w:ascii="Arial" w:hAnsi="Arial"/>
                <w:i/>
                <w:sz w:val="16"/>
                <w:szCs w:val="16"/>
              </w:rPr>
              <w:t>National Defence Strategy</w:t>
            </w:r>
            <w:r w:rsidRPr="00A46067">
              <w:rPr>
                <w:rFonts w:ascii="Arial" w:hAnsi="Arial"/>
                <w:sz w:val="16"/>
                <w:szCs w:val="16"/>
              </w:rPr>
              <w:t>.</w:t>
            </w:r>
          </w:p>
        </w:tc>
      </w:tr>
      <w:tr w:rsidR="00F83D16" w:rsidRPr="00BA1388" w14:paraId="0E67D750" w14:textId="77777777" w:rsidTr="00135BDE">
        <w:trPr>
          <w:trHeight w:val="283"/>
        </w:trPr>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373D0BFA" w14:textId="063A7068" w:rsidR="00F83D16" w:rsidRPr="00C84105" w:rsidRDefault="00F83D16" w:rsidP="004609DC">
            <w:pPr>
              <w:rPr>
                <w:rFonts w:ascii="Arial" w:hAnsi="Arial"/>
                <w:sz w:val="16"/>
                <w:szCs w:val="18"/>
              </w:rPr>
            </w:pPr>
            <w:r w:rsidRPr="00C84105">
              <w:rPr>
                <w:rFonts w:ascii="Arial" w:hAnsi="Arial"/>
                <w:sz w:val="16"/>
                <w:szCs w:val="18"/>
              </w:rPr>
              <w:t>F-35 Joint Strike Fighter</w:t>
            </w:r>
            <w:r w:rsidR="00C84105">
              <w:rPr>
                <w:rFonts w:ascii="Arial" w:hAnsi="Arial"/>
                <w:sz w:val="16"/>
                <w:szCs w:val="18"/>
              </w:rPr>
              <w:t xml:space="preserve"> </w:t>
            </w:r>
          </w:p>
        </w:tc>
        <w:tc>
          <w:tcPr>
            <w:tcW w:w="850" w:type="dxa"/>
            <w:tcBorders>
              <w:top w:val="single" w:sz="4" w:space="0" w:color="auto"/>
              <w:left w:val="nil"/>
              <w:bottom w:val="single" w:sz="4" w:space="0" w:color="auto"/>
              <w:right w:val="single" w:sz="4" w:space="0" w:color="auto"/>
            </w:tcBorders>
            <w:shd w:val="clear" w:color="auto" w:fill="auto"/>
            <w:vAlign w:val="center"/>
          </w:tcPr>
          <w:p w14:paraId="3C0134FC" w14:textId="77777777" w:rsidR="00F83D16" w:rsidRPr="00C84105" w:rsidRDefault="00F83D16" w:rsidP="00F83D16">
            <w:pPr>
              <w:jc w:val="center"/>
              <w:rPr>
                <w:rFonts w:ascii="Arial" w:hAnsi="Arial"/>
                <w:b/>
                <w:bCs/>
                <w:sz w:val="16"/>
                <w:szCs w:val="18"/>
              </w:rPr>
            </w:pPr>
            <w:r w:rsidRPr="00C84105">
              <w:rPr>
                <w:rFonts w:ascii="Arial" w:hAnsi="Arial"/>
                <w:b/>
                <w:bCs/>
                <w:sz w:val="16"/>
                <w:szCs w:val="18"/>
              </w:rPr>
              <w:t>CAF30</w:t>
            </w:r>
          </w:p>
        </w:tc>
        <w:tc>
          <w:tcPr>
            <w:tcW w:w="907" w:type="dxa"/>
            <w:tcBorders>
              <w:top w:val="single" w:sz="4" w:space="0" w:color="auto"/>
              <w:left w:val="nil"/>
              <w:bottom w:val="single" w:sz="4" w:space="0" w:color="auto"/>
              <w:right w:val="single" w:sz="4" w:space="0" w:color="auto"/>
            </w:tcBorders>
            <w:shd w:val="clear" w:color="auto" w:fill="auto"/>
            <w:vAlign w:val="center"/>
          </w:tcPr>
          <w:p w14:paraId="155A861C" w14:textId="0508992A" w:rsidR="00F83D16" w:rsidRPr="00207A36" w:rsidRDefault="00F83D16" w:rsidP="00F83D16">
            <w:pPr>
              <w:jc w:val="right"/>
              <w:rPr>
                <w:rFonts w:ascii="Arial" w:hAnsi="Arial"/>
                <w:sz w:val="16"/>
                <w:szCs w:val="18"/>
              </w:rPr>
            </w:pPr>
            <w:r w:rsidRPr="00207A36">
              <w:rPr>
                <w:rFonts w:ascii="Arial" w:hAnsi="Arial"/>
                <w:sz w:val="16"/>
                <w:szCs w:val="18"/>
              </w:rPr>
              <w:t>716</w:t>
            </w:r>
          </w:p>
        </w:tc>
        <w:tc>
          <w:tcPr>
            <w:tcW w:w="10091" w:type="dxa"/>
            <w:tcBorders>
              <w:top w:val="single" w:sz="4" w:space="0" w:color="auto"/>
              <w:left w:val="nil"/>
              <w:bottom w:val="single" w:sz="4" w:space="0" w:color="auto"/>
              <w:right w:val="single" w:sz="4" w:space="0" w:color="auto"/>
            </w:tcBorders>
            <w:shd w:val="clear" w:color="auto" w:fill="auto"/>
            <w:vAlign w:val="center"/>
          </w:tcPr>
          <w:p w14:paraId="723CA2AE" w14:textId="0B0D16E4" w:rsidR="00C84105" w:rsidRPr="00F83BD0" w:rsidRDefault="00C84105" w:rsidP="00C84105">
            <w:pPr>
              <w:rPr>
                <w:rFonts w:ascii="Arial" w:hAnsi="Arial"/>
                <w:sz w:val="16"/>
                <w:szCs w:val="16"/>
              </w:rPr>
            </w:pPr>
            <w:r w:rsidRPr="00F83BD0">
              <w:rPr>
                <w:rFonts w:ascii="Arial" w:hAnsi="Arial"/>
                <w:sz w:val="16"/>
                <w:szCs w:val="16"/>
              </w:rPr>
              <w:t>The F-35A Lightning II capability comprises 72 aircraft (and associated support elements) operating from RAAF Base Williamtown, NSW and RAAF Base Tindal, NT. Sustainment is primarily delivered through the cooperative program, F-35 Global Support Solution, and is supplemented by sovereign commercial arrangements. The F-35A Lightning II capability provides Australia with a fifth-generation Air Combat capability.</w:t>
            </w:r>
          </w:p>
          <w:p w14:paraId="069B49B8" w14:textId="1B39D37E" w:rsidR="00F83D16" w:rsidRPr="00BA1388" w:rsidRDefault="00C84105" w:rsidP="00C84105">
            <w:pPr>
              <w:keepNext/>
              <w:keepLines/>
              <w:spacing w:before="80" w:after="0"/>
              <w:rPr>
                <w:rFonts w:ascii="Arial" w:hAnsi="Arial"/>
                <w:sz w:val="16"/>
                <w:szCs w:val="16"/>
                <w:highlight w:val="yellow"/>
              </w:rPr>
            </w:pPr>
            <w:r w:rsidRPr="00F83BD0">
              <w:rPr>
                <w:rFonts w:ascii="Arial" w:hAnsi="Arial"/>
                <w:sz w:val="16"/>
                <w:szCs w:val="16"/>
              </w:rPr>
              <w:t>During 2025-26, the first Australian F-35A Lightning II aircraft are scheduled to begin a Follow-on Modernisation program. Another key focus will be the continued maturation of the sustainment system.</w:t>
            </w:r>
          </w:p>
        </w:tc>
      </w:tr>
      <w:tr w:rsidR="00F83D16" w:rsidRPr="00BA1388" w14:paraId="4FBA9BF7" w14:textId="77777777" w:rsidTr="00135BDE">
        <w:trPr>
          <w:trHeight w:val="283"/>
        </w:trPr>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40BBC5C5" w14:textId="1FD0B5BF" w:rsidR="00F83D16" w:rsidRPr="00C84105" w:rsidRDefault="00F83D16" w:rsidP="004609DC">
            <w:pPr>
              <w:rPr>
                <w:rFonts w:ascii="Arial" w:hAnsi="Arial"/>
                <w:sz w:val="16"/>
                <w:szCs w:val="18"/>
              </w:rPr>
            </w:pPr>
            <w:r w:rsidRPr="00C84105">
              <w:rPr>
                <w:rFonts w:ascii="Arial" w:hAnsi="Arial"/>
                <w:sz w:val="16"/>
                <w:szCs w:val="18"/>
              </w:rPr>
              <w:t>Airborne Early Warning and Control System</w:t>
            </w:r>
            <w:r w:rsidR="00C84105">
              <w:rPr>
                <w:rFonts w:ascii="Arial" w:hAnsi="Arial"/>
                <w:sz w:val="16"/>
                <w:szCs w:val="18"/>
              </w:rPr>
              <w:t xml:space="preserve"> </w:t>
            </w:r>
          </w:p>
        </w:tc>
        <w:tc>
          <w:tcPr>
            <w:tcW w:w="850" w:type="dxa"/>
            <w:tcBorders>
              <w:top w:val="single" w:sz="4" w:space="0" w:color="auto"/>
              <w:left w:val="nil"/>
              <w:bottom w:val="single" w:sz="4" w:space="0" w:color="auto"/>
              <w:right w:val="single" w:sz="4" w:space="0" w:color="auto"/>
            </w:tcBorders>
            <w:shd w:val="clear" w:color="auto" w:fill="auto"/>
            <w:vAlign w:val="center"/>
          </w:tcPr>
          <w:p w14:paraId="7E9EE8C2" w14:textId="77777777" w:rsidR="00F83D16" w:rsidRPr="00C84105" w:rsidRDefault="00F83D16" w:rsidP="00F83D16">
            <w:pPr>
              <w:jc w:val="center"/>
              <w:rPr>
                <w:rFonts w:ascii="Arial" w:hAnsi="Arial"/>
                <w:b/>
                <w:bCs/>
                <w:sz w:val="16"/>
                <w:szCs w:val="18"/>
              </w:rPr>
            </w:pPr>
            <w:r w:rsidRPr="00C84105">
              <w:rPr>
                <w:rFonts w:ascii="Arial" w:hAnsi="Arial"/>
                <w:b/>
                <w:bCs/>
                <w:sz w:val="16"/>
                <w:szCs w:val="18"/>
              </w:rPr>
              <w:t>CAF20</w:t>
            </w:r>
          </w:p>
        </w:tc>
        <w:tc>
          <w:tcPr>
            <w:tcW w:w="907" w:type="dxa"/>
            <w:tcBorders>
              <w:top w:val="single" w:sz="4" w:space="0" w:color="auto"/>
              <w:left w:val="nil"/>
              <w:bottom w:val="single" w:sz="4" w:space="0" w:color="auto"/>
              <w:right w:val="single" w:sz="4" w:space="0" w:color="auto"/>
            </w:tcBorders>
            <w:shd w:val="clear" w:color="auto" w:fill="auto"/>
            <w:vAlign w:val="center"/>
          </w:tcPr>
          <w:p w14:paraId="315464A5" w14:textId="33B824A8" w:rsidR="00F83D16" w:rsidRPr="00207A36" w:rsidRDefault="00F83D16" w:rsidP="00F83D16">
            <w:pPr>
              <w:jc w:val="right"/>
              <w:rPr>
                <w:rFonts w:ascii="Arial" w:hAnsi="Arial"/>
                <w:sz w:val="16"/>
                <w:szCs w:val="18"/>
              </w:rPr>
            </w:pPr>
            <w:r w:rsidRPr="00207A36">
              <w:rPr>
                <w:rFonts w:ascii="Arial" w:hAnsi="Arial"/>
                <w:sz w:val="16"/>
                <w:szCs w:val="18"/>
              </w:rPr>
              <w:t>302</w:t>
            </w:r>
          </w:p>
        </w:tc>
        <w:tc>
          <w:tcPr>
            <w:tcW w:w="10091" w:type="dxa"/>
            <w:tcBorders>
              <w:top w:val="single" w:sz="4" w:space="0" w:color="auto"/>
              <w:left w:val="nil"/>
              <w:bottom w:val="single" w:sz="4" w:space="0" w:color="auto"/>
              <w:right w:val="single" w:sz="4" w:space="0" w:color="auto"/>
            </w:tcBorders>
            <w:shd w:val="clear" w:color="auto" w:fill="auto"/>
            <w:vAlign w:val="center"/>
          </w:tcPr>
          <w:p w14:paraId="5D1E997C" w14:textId="77777777" w:rsidR="00C84105" w:rsidRPr="00F83BD0" w:rsidRDefault="00C84105" w:rsidP="00C84105">
            <w:pPr>
              <w:spacing w:before="120" w:after="120"/>
              <w:rPr>
                <w:rFonts w:ascii="Arial" w:hAnsi="Arial"/>
                <w:sz w:val="16"/>
                <w:szCs w:val="16"/>
              </w:rPr>
            </w:pPr>
            <w:r w:rsidRPr="00F83BD0">
              <w:rPr>
                <w:rFonts w:ascii="Arial" w:hAnsi="Arial"/>
                <w:sz w:val="16"/>
                <w:szCs w:val="16"/>
              </w:rPr>
              <w:t>The Airborne Early Warning and Control capability comprises six E-7A Wedgetail aircraft and associated support elements operated from RAAF Base Williamtown, NSW. Sustainment is conducted under a performance-based arrangement for maintenance, logistics, engineering, training and program management to support the capability.</w:t>
            </w:r>
          </w:p>
          <w:p w14:paraId="306938F3" w14:textId="79F30A40" w:rsidR="00F83D16" w:rsidRPr="00BA1388" w:rsidRDefault="00C84105" w:rsidP="00C84105">
            <w:pPr>
              <w:keepNext/>
              <w:keepLines/>
              <w:spacing w:before="80" w:after="0"/>
              <w:rPr>
                <w:rFonts w:ascii="Arial" w:hAnsi="Arial"/>
                <w:sz w:val="16"/>
                <w:szCs w:val="16"/>
                <w:highlight w:val="yellow"/>
              </w:rPr>
            </w:pPr>
            <w:r w:rsidRPr="00F83BD0">
              <w:rPr>
                <w:rFonts w:ascii="Arial" w:hAnsi="Arial"/>
                <w:sz w:val="16"/>
                <w:szCs w:val="16"/>
              </w:rPr>
              <w:t>During 2025-26,</w:t>
            </w:r>
            <w:r w:rsidRPr="00F83BD0">
              <w:rPr>
                <w:rFonts w:ascii="Arial" w:hAnsi="Arial"/>
                <w:color w:val="000000" w:themeColor="text1"/>
                <w:sz w:val="16"/>
                <w:szCs w:val="16"/>
              </w:rPr>
              <w:t xml:space="preserve"> the focus will be on the treatment of obsolescence issues existing within the E-7A mission system and support systems, and improving the preparedness posture of the E-7A capability.</w:t>
            </w:r>
          </w:p>
        </w:tc>
      </w:tr>
      <w:tr w:rsidR="00F83D16" w:rsidRPr="00BA1388" w14:paraId="215126DE" w14:textId="77777777" w:rsidTr="00135BDE">
        <w:trPr>
          <w:trHeight w:val="283"/>
        </w:trPr>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44FE3CD4" w14:textId="2C891478" w:rsidR="00F83D16" w:rsidRPr="00C84105" w:rsidRDefault="00F83D16" w:rsidP="004609DC">
            <w:pPr>
              <w:spacing w:before="0" w:after="0"/>
              <w:rPr>
                <w:rFonts w:ascii="Arial" w:hAnsi="Arial"/>
                <w:sz w:val="16"/>
                <w:szCs w:val="18"/>
                <w:lang w:val="en-AU"/>
              </w:rPr>
            </w:pPr>
            <w:r w:rsidRPr="00C84105">
              <w:rPr>
                <w:rFonts w:ascii="Arial" w:hAnsi="Arial"/>
                <w:sz w:val="16"/>
                <w:szCs w:val="18"/>
              </w:rPr>
              <w:t>P-8A Poseidon Maritime Patrol and Response</w:t>
            </w:r>
            <w:r w:rsidR="00C84105">
              <w:rPr>
                <w:rFonts w:ascii="Arial" w:hAnsi="Arial"/>
                <w:sz w:val="16"/>
                <w:szCs w:val="18"/>
              </w:rPr>
              <w:t xml:space="preserve"> </w:t>
            </w:r>
          </w:p>
        </w:tc>
        <w:tc>
          <w:tcPr>
            <w:tcW w:w="850" w:type="dxa"/>
            <w:tcBorders>
              <w:top w:val="single" w:sz="4" w:space="0" w:color="auto"/>
              <w:left w:val="nil"/>
              <w:bottom w:val="single" w:sz="4" w:space="0" w:color="auto"/>
              <w:right w:val="single" w:sz="4" w:space="0" w:color="auto"/>
            </w:tcBorders>
            <w:shd w:val="clear" w:color="auto" w:fill="auto"/>
            <w:vAlign w:val="center"/>
          </w:tcPr>
          <w:p w14:paraId="687072A5" w14:textId="77777777" w:rsidR="00F83D16" w:rsidRPr="00C84105" w:rsidRDefault="00F83D16" w:rsidP="00F83D16">
            <w:pPr>
              <w:jc w:val="center"/>
              <w:rPr>
                <w:rFonts w:ascii="Arial" w:hAnsi="Arial"/>
                <w:b/>
                <w:bCs/>
                <w:sz w:val="16"/>
                <w:szCs w:val="18"/>
              </w:rPr>
            </w:pPr>
            <w:r w:rsidRPr="00C84105">
              <w:rPr>
                <w:rFonts w:ascii="Arial" w:hAnsi="Arial"/>
                <w:b/>
                <w:bCs/>
                <w:sz w:val="16"/>
                <w:szCs w:val="18"/>
              </w:rPr>
              <w:t>CAF35</w:t>
            </w:r>
          </w:p>
        </w:tc>
        <w:tc>
          <w:tcPr>
            <w:tcW w:w="907" w:type="dxa"/>
            <w:tcBorders>
              <w:top w:val="single" w:sz="4" w:space="0" w:color="auto"/>
              <w:left w:val="nil"/>
              <w:bottom w:val="single" w:sz="4" w:space="0" w:color="auto"/>
              <w:right w:val="single" w:sz="4" w:space="0" w:color="auto"/>
            </w:tcBorders>
            <w:shd w:val="clear" w:color="auto" w:fill="auto"/>
            <w:vAlign w:val="center"/>
          </w:tcPr>
          <w:p w14:paraId="3CEB17C8" w14:textId="030E3C99" w:rsidR="00F83D16" w:rsidRPr="00207A36" w:rsidRDefault="00F83D16" w:rsidP="00F83D16">
            <w:pPr>
              <w:jc w:val="right"/>
              <w:rPr>
                <w:rFonts w:ascii="Arial" w:hAnsi="Arial"/>
                <w:sz w:val="16"/>
                <w:szCs w:val="18"/>
              </w:rPr>
            </w:pPr>
            <w:r w:rsidRPr="00207A36">
              <w:rPr>
                <w:rFonts w:ascii="Arial" w:hAnsi="Arial"/>
                <w:sz w:val="16"/>
                <w:szCs w:val="18"/>
              </w:rPr>
              <w:t>309</w:t>
            </w:r>
          </w:p>
        </w:tc>
        <w:tc>
          <w:tcPr>
            <w:tcW w:w="10091" w:type="dxa"/>
            <w:tcBorders>
              <w:top w:val="single" w:sz="4" w:space="0" w:color="auto"/>
              <w:left w:val="nil"/>
              <w:bottom w:val="single" w:sz="4" w:space="0" w:color="auto"/>
              <w:right w:val="single" w:sz="4" w:space="0" w:color="auto"/>
            </w:tcBorders>
            <w:shd w:val="clear" w:color="auto" w:fill="auto"/>
            <w:vAlign w:val="center"/>
          </w:tcPr>
          <w:p w14:paraId="0A20D0E2" w14:textId="56E81FFD" w:rsidR="00C84105" w:rsidRPr="00F83BD0" w:rsidRDefault="00C84105" w:rsidP="00C84105">
            <w:pPr>
              <w:spacing w:before="120" w:after="120"/>
              <w:rPr>
                <w:rFonts w:ascii="Arial" w:hAnsi="Arial"/>
                <w:sz w:val="16"/>
                <w:szCs w:val="16"/>
              </w:rPr>
            </w:pPr>
            <w:r w:rsidRPr="00F83BD0">
              <w:rPr>
                <w:rFonts w:ascii="Arial" w:hAnsi="Arial"/>
                <w:sz w:val="16"/>
                <w:szCs w:val="16"/>
              </w:rPr>
              <w:t>The Maritime Patrol and Response capability currently comprises 12 P-8A Poseidon aircraft and support elements operated from RAAF Base Edinburgh, SA.</w:t>
            </w:r>
            <w:r w:rsidR="00885E3F">
              <w:rPr>
                <w:rFonts w:ascii="Arial" w:hAnsi="Arial"/>
                <w:sz w:val="16"/>
                <w:szCs w:val="16"/>
              </w:rPr>
              <w:t xml:space="preserve"> </w:t>
            </w:r>
            <w:r w:rsidRPr="00F83BD0">
              <w:rPr>
                <w:rFonts w:ascii="Arial" w:hAnsi="Arial"/>
                <w:sz w:val="16"/>
                <w:szCs w:val="16"/>
              </w:rPr>
              <w:t>Support elements include three Mobile Tactical Operation Centres including deployable flyaway kits, and various Training Support Systems including two Operational Flight Trainers and Weapons Tactics Trainers. The capability is supported via a cooperative program with the United States Navy and a Through Life Support contract for sustainment within Australia.</w:t>
            </w:r>
          </w:p>
          <w:p w14:paraId="615BFEF7" w14:textId="27FA12D1" w:rsidR="00F83D16" w:rsidRPr="00BA1388" w:rsidRDefault="00C84105" w:rsidP="00C84105">
            <w:pPr>
              <w:keepNext/>
              <w:keepLines/>
              <w:spacing w:before="80" w:after="0"/>
              <w:rPr>
                <w:rFonts w:ascii="Arial" w:hAnsi="Arial"/>
                <w:sz w:val="16"/>
                <w:szCs w:val="16"/>
                <w:highlight w:val="yellow"/>
              </w:rPr>
            </w:pPr>
            <w:r w:rsidRPr="00F83BD0">
              <w:rPr>
                <w:rFonts w:ascii="Arial" w:hAnsi="Arial"/>
                <w:sz w:val="16"/>
                <w:szCs w:val="16"/>
              </w:rPr>
              <w:t>During 2025-26, the focus will be preparing for the arrival of the final two P-8A aircraft, follow-on additional sustainment and improving the preparedness posture of the P-8A capability.</w:t>
            </w:r>
          </w:p>
        </w:tc>
      </w:tr>
    </w:tbl>
    <w:p w14:paraId="414CE405" w14:textId="77777777" w:rsidR="00633505" w:rsidRPr="00BA1388" w:rsidRDefault="00633505" w:rsidP="00633505">
      <w:pPr>
        <w:rPr>
          <w:rFonts w:ascii="Arial" w:hAnsi="Arial"/>
          <w:b/>
          <w:sz w:val="16"/>
          <w:szCs w:val="16"/>
          <w:highlight w:val="yellow"/>
        </w:rPr>
      </w:pPr>
      <w:r w:rsidRPr="00BA1388">
        <w:rPr>
          <w:rFonts w:ascii="Arial" w:hAnsi="Arial"/>
          <w:b/>
          <w:sz w:val="16"/>
          <w:szCs w:val="16"/>
          <w:highlight w:val="yellow"/>
        </w:rPr>
        <w:br w:type="page"/>
      </w:r>
    </w:p>
    <w:tbl>
      <w:tblPr>
        <w:tblW w:w="13453" w:type="dxa"/>
        <w:tblInd w:w="-34" w:type="dxa"/>
        <w:tblLayout w:type="fixed"/>
        <w:tblLook w:val="04A0" w:firstRow="1" w:lastRow="0" w:firstColumn="1" w:lastColumn="0" w:noHBand="0" w:noVBand="1"/>
      </w:tblPr>
      <w:tblGrid>
        <w:gridCol w:w="1558"/>
        <w:gridCol w:w="942"/>
        <w:gridCol w:w="899"/>
        <w:gridCol w:w="10054"/>
      </w:tblGrid>
      <w:tr w:rsidR="00633505" w:rsidRPr="002D105C" w14:paraId="1B00C660" w14:textId="77777777" w:rsidTr="00633505">
        <w:trPr>
          <w:trHeight w:val="283"/>
          <w:tblHeader/>
        </w:trPr>
        <w:tc>
          <w:tcPr>
            <w:tcW w:w="13453" w:type="dxa"/>
            <w:gridSpan w:val="4"/>
            <w:tcBorders>
              <w:bottom w:val="single" w:sz="4" w:space="0" w:color="auto"/>
            </w:tcBorders>
            <w:shd w:val="clear" w:color="auto" w:fill="auto"/>
            <w:vAlign w:val="bottom"/>
          </w:tcPr>
          <w:p w14:paraId="3DD477B2" w14:textId="4818E9A8" w:rsidR="00633505" w:rsidRPr="002D105C" w:rsidRDefault="00633505" w:rsidP="00674B0E">
            <w:pPr>
              <w:spacing w:before="0" w:after="60"/>
              <w:ind w:left="-113"/>
              <w:rPr>
                <w:rFonts w:ascii="Arial" w:hAnsi="Arial"/>
                <w:b/>
              </w:rPr>
            </w:pPr>
            <w:r w:rsidRPr="002D105C">
              <w:rPr>
                <w:rFonts w:ascii="Arial" w:hAnsi="Arial"/>
                <w:b/>
              </w:rPr>
              <w:lastRenderedPageBreak/>
              <w:t>Table 5</w:t>
            </w:r>
            <w:r w:rsidR="00674B0E">
              <w:rPr>
                <w:rFonts w:ascii="Arial" w:hAnsi="Arial"/>
                <w:b/>
              </w:rPr>
              <w:t>5</w:t>
            </w:r>
            <w:r w:rsidRPr="002D105C">
              <w:rPr>
                <w:rFonts w:ascii="Arial" w:hAnsi="Arial"/>
                <w:b/>
              </w:rPr>
              <w:t>: Top 30 Capability Sustainment Products by End of Financial Year Outcome 202</w:t>
            </w:r>
            <w:r w:rsidR="004B232A" w:rsidRPr="002D105C">
              <w:rPr>
                <w:rFonts w:ascii="Arial" w:hAnsi="Arial"/>
                <w:b/>
              </w:rPr>
              <w:t>5</w:t>
            </w:r>
            <w:r w:rsidRPr="002D105C">
              <w:rPr>
                <w:rFonts w:ascii="Arial" w:hAnsi="Arial"/>
                <w:b/>
              </w:rPr>
              <w:t>-2</w:t>
            </w:r>
            <w:r w:rsidR="004B232A" w:rsidRPr="002D105C">
              <w:rPr>
                <w:rFonts w:ascii="Arial" w:hAnsi="Arial"/>
                <w:b/>
              </w:rPr>
              <w:t>6</w:t>
            </w:r>
            <w:r w:rsidRPr="002D105C">
              <w:rPr>
                <w:rFonts w:ascii="Arial" w:hAnsi="Arial"/>
                <w:b/>
              </w:rPr>
              <w:t xml:space="preserve"> (Continued)</w:t>
            </w:r>
          </w:p>
        </w:tc>
      </w:tr>
      <w:tr w:rsidR="0020394D" w:rsidRPr="002D105C" w14:paraId="13D1B239" w14:textId="77777777" w:rsidTr="00135BDE">
        <w:trPr>
          <w:trHeight w:val="283"/>
          <w:tblHeader/>
        </w:trPr>
        <w:tc>
          <w:tcPr>
            <w:tcW w:w="1558" w:type="dxa"/>
            <w:tcBorders>
              <w:top w:val="single" w:sz="4" w:space="0" w:color="auto"/>
              <w:left w:val="single" w:sz="4" w:space="0" w:color="auto"/>
              <w:bottom w:val="single" w:sz="4" w:space="0" w:color="auto"/>
              <w:right w:val="single" w:sz="4" w:space="0" w:color="auto"/>
            </w:tcBorders>
            <w:shd w:val="clear" w:color="auto" w:fill="auto"/>
          </w:tcPr>
          <w:p w14:paraId="07C71B22" w14:textId="77777777" w:rsidR="0020394D" w:rsidRPr="002D105C" w:rsidRDefault="0020394D" w:rsidP="00135BDE">
            <w:pPr>
              <w:spacing w:before="0" w:after="0"/>
              <w:rPr>
                <w:rFonts w:ascii="Arial" w:hAnsi="Arial"/>
                <w:sz w:val="16"/>
                <w:szCs w:val="16"/>
                <w:lang w:val="en-AU"/>
              </w:rPr>
            </w:pPr>
            <w:r w:rsidRPr="002D105C">
              <w:rPr>
                <w:rFonts w:ascii="Arial" w:hAnsi="Arial"/>
                <w:b/>
                <w:bCs/>
                <w:sz w:val="16"/>
                <w:szCs w:val="16"/>
                <w:lang w:val="en-AU"/>
              </w:rPr>
              <w:t>Domain/Product Name</w:t>
            </w:r>
          </w:p>
        </w:tc>
        <w:tc>
          <w:tcPr>
            <w:tcW w:w="942" w:type="dxa"/>
            <w:tcBorders>
              <w:top w:val="single" w:sz="4" w:space="0" w:color="auto"/>
              <w:left w:val="single" w:sz="4" w:space="0" w:color="auto"/>
              <w:bottom w:val="single" w:sz="4" w:space="0" w:color="auto"/>
              <w:right w:val="single" w:sz="4" w:space="0" w:color="auto"/>
            </w:tcBorders>
            <w:shd w:val="clear" w:color="auto" w:fill="auto"/>
          </w:tcPr>
          <w:p w14:paraId="7C689B0C" w14:textId="77777777" w:rsidR="0020394D" w:rsidRPr="002D105C" w:rsidRDefault="0020394D" w:rsidP="00135BDE">
            <w:pPr>
              <w:spacing w:before="0" w:after="0"/>
              <w:jc w:val="center"/>
              <w:rPr>
                <w:rFonts w:ascii="Arial" w:hAnsi="Arial"/>
                <w:b/>
                <w:bCs/>
                <w:sz w:val="16"/>
                <w:szCs w:val="16"/>
                <w:lang w:val="en-AU"/>
              </w:rPr>
            </w:pPr>
            <w:r w:rsidRPr="002D105C">
              <w:rPr>
                <w:rFonts w:ascii="Arial" w:hAnsi="Arial"/>
                <w:b/>
                <w:bCs/>
                <w:sz w:val="16"/>
                <w:szCs w:val="16"/>
                <w:lang w:val="en-AU"/>
              </w:rPr>
              <w:t>Product Serial</w:t>
            </w:r>
          </w:p>
        </w:tc>
        <w:tc>
          <w:tcPr>
            <w:tcW w:w="899" w:type="dxa"/>
            <w:tcBorders>
              <w:top w:val="single" w:sz="4" w:space="0" w:color="auto"/>
              <w:left w:val="single" w:sz="4" w:space="0" w:color="auto"/>
              <w:bottom w:val="single" w:sz="4" w:space="0" w:color="auto"/>
              <w:right w:val="single" w:sz="4" w:space="0" w:color="auto"/>
            </w:tcBorders>
            <w:shd w:val="clear" w:color="auto" w:fill="auto"/>
          </w:tcPr>
          <w:p w14:paraId="5411284C" w14:textId="77777777" w:rsidR="0020394D" w:rsidRPr="002D105C" w:rsidRDefault="004B232A" w:rsidP="00135BDE">
            <w:pPr>
              <w:spacing w:before="0" w:after="0"/>
              <w:jc w:val="right"/>
              <w:rPr>
                <w:rFonts w:ascii="Arial" w:hAnsi="Arial"/>
                <w:sz w:val="16"/>
                <w:szCs w:val="16"/>
                <w:lang w:val="en-AU"/>
              </w:rPr>
            </w:pPr>
            <w:r w:rsidRPr="002D105C">
              <w:rPr>
                <w:rFonts w:ascii="Arial" w:hAnsi="Arial"/>
                <w:b/>
                <w:bCs/>
                <w:sz w:val="16"/>
                <w:szCs w:val="16"/>
                <w:lang w:val="en-AU"/>
              </w:rPr>
              <w:t>Budget Estimate 2025-26</w:t>
            </w:r>
            <w:r w:rsidR="0020394D" w:rsidRPr="002D105C">
              <w:rPr>
                <w:rFonts w:ascii="Arial" w:hAnsi="Arial"/>
                <w:b/>
                <w:bCs/>
                <w:sz w:val="16"/>
                <w:szCs w:val="16"/>
                <w:lang w:val="en-AU"/>
              </w:rPr>
              <w:t xml:space="preserve"> $m</w:t>
            </w:r>
            <w:r w:rsidR="0020394D" w:rsidRPr="002D105C">
              <w:rPr>
                <w:rFonts w:ascii="Arial" w:hAnsi="Arial"/>
                <w:b/>
                <w:bCs/>
                <w:sz w:val="16"/>
                <w:szCs w:val="16"/>
                <w:vertAlign w:val="superscript"/>
                <w:lang w:val="en-AU"/>
              </w:rPr>
              <w:t xml:space="preserve"> [a]</w:t>
            </w:r>
          </w:p>
        </w:tc>
        <w:tc>
          <w:tcPr>
            <w:tcW w:w="10054" w:type="dxa"/>
            <w:tcBorders>
              <w:top w:val="single" w:sz="4" w:space="0" w:color="auto"/>
              <w:left w:val="single" w:sz="4" w:space="0" w:color="auto"/>
              <w:bottom w:val="single" w:sz="4" w:space="0" w:color="auto"/>
              <w:right w:val="single" w:sz="4" w:space="0" w:color="auto"/>
            </w:tcBorders>
            <w:shd w:val="clear" w:color="auto" w:fill="auto"/>
          </w:tcPr>
          <w:p w14:paraId="3143DF13" w14:textId="77777777" w:rsidR="0020394D" w:rsidRPr="002D105C" w:rsidRDefault="0020394D" w:rsidP="00135BDE">
            <w:pPr>
              <w:spacing w:before="0" w:after="0"/>
              <w:rPr>
                <w:rFonts w:ascii="Arial" w:hAnsi="Arial"/>
                <w:sz w:val="16"/>
                <w:szCs w:val="16"/>
                <w:lang w:val="en-AU"/>
              </w:rPr>
            </w:pPr>
            <w:r w:rsidRPr="002D105C">
              <w:rPr>
                <w:rFonts w:ascii="Arial" w:hAnsi="Arial"/>
                <w:b/>
                <w:bCs/>
                <w:sz w:val="16"/>
                <w:szCs w:val="16"/>
                <w:lang w:val="en-AU"/>
              </w:rPr>
              <w:t>Top 30 Capability Sustainment Product Descriptions</w:t>
            </w:r>
          </w:p>
        </w:tc>
      </w:tr>
      <w:tr w:rsidR="0020394D" w:rsidRPr="00BA1388" w14:paraId="487E1431" w14:textId="77777777" w:rsidTr="00135BDE">
        <w:trPr>
          <w:trHeight w:val="283"/>
        </w:trPr>
        <w:tc>
          <w:tcPr>
            <w:tcW w:w="13453"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6EAEF1C5" w14:textId="77777777" w:rsidR="0020394D" w:rsidRPr="002D105C" w:rsidRDefault="0020394D" w:rsidP="00135BDE">
            <w:pPr>
              <w:keepNext/>
              <w:keepLines/>
              <w:spacing w:before="0" w:after="0"/>
              <w:rPr>
                <w:rFonts w:ascii="Arial" w:hAnsi="Arial"/>
                <w:b/>
                <w:bCs/>
                <w:sz w:val="16"/>
                <w:szCs w:val="16"/>
              </w:rPr>
            </w:pPr>
            <w:r w:rsidRPr="002D105C">
              <w:rPr>
                <w:rFonts w:ascii="Arial" w:hAnsi="Arial"/>
                <w:b/>
                <w:bCs/>
                <w:sz w:val="16"/>
                <w:szCs w:val="16"/>
              </w:rPr>
              <w:t>Air Domain (Continued)</w:t>
            </w:r>
          </w:p>
        </w:tc>
      </w:tr>
      <w:tr w:rsidR="003726E5" w:rsidRPr="00BA1388" w14:paraId="1F12B63C" w14:textId="77777777" w:rsidTr="00135BDE">
        <w:trPr>
          <w:trHeight w:val="283"/>
        </w:trPr>
        <w:tc>
          <w:tcPr>
            <w:tcW w:w="1558" w:type="dxa"/>
            <w:tcBorders>
              <w:top w:val="nil"/>
              <w:left w:val="single" w:sz="4" w:space="0" w:color="auto"/>
              <w:bottom w:val="single" w:sz="4" w:space="0" w:color="auto"/>
              <w:right w:val="single" w:sz="4" w:space="0" w:color="auto"/>
            </w:tcBorders>
            <w:shd w:val="clear" w:color="auto" w:fill="auto"/>
            <w:vAlign w:val="center"/>
          </w:tcPr>
          <w:p w14:paraId="27D97EEF" w14:textId="78FB6A8D" w:rsidR="003726E5" w:rsidRPr="00C84105" w:rsidRDefault="003726E5" w:rsidP="004609DC">
            <w:pPr>
              <w:rPr>
                <w:rFonts w:ascii="Arial" w:hAnsi="Arial"/>
                <w:sz w:val="16"/>
                <w:szCs w:val="18"/>
              </w:rPr>
            </w:pPr>
            <w:r w:rsidRPr="00C84105">
              <w:rPr>
                <w:rFonts w:ascii="Arial" w:hAnsi="Arial"/>
                <w:sz w:val="16"/>
                <w:szCs w:val="18"/>
              </w:rPr>
              <w:t>C-17 Heavy Air Lift Weapons System</w:t>
            </w:r>
            <w:r w:rsidR="00C84105">
              <w:rPr>
                <w:rFonts w:ascii="Arial" w:hAnsi="Arial"/>
                <w:sz w:val="16"/>
                <w:szCs w:val="18"/>
              </w:rPr>
              <w:t xml:space="preserve"> </w:t>
            </w:r>
          </w:p>
        </w:tc>
        <w:tc>
          <w:tcPr>
            <w:tcW w:w="942" w:type="dxa"/>
            <w:tcBorders>
              <w:top w:val="nil"/>
              <w:left w:val="nil"/>
              <w:bottom w:val="single" w:sz="4" w:space="0" w:color="auto"/>
              <w:right w:val="single" w:sz="4" w:space="0" w:color="auto"/>
            </w:tcBorders>
            <w:shd w:val="clear" w:color="auto" w:fill="auto"/>
            <w:vAlign w:val="center"/>
          </w:tcPr>
          <w:p w14:paraId="5DE75636" w14:textId="77777777" w:rsidR="003726E5" w:rsidRPr="00C84105" w:rsidRDefault="003726E5" w:rsidP="003726E5">
            <w:pPr>
              <w:jc w:val="center"/>
              <w:rPr>
                <w:rFonts w:ascii="Arial" w:hAnsi="Arial"/>
                <w:b/>
                <w:bCs/>
                <w:sz w:val="16"/>
                <w:szCs w:val="18"/>
              </w:rPr>
            </w:pPr>
            <w:r w:rsidRPr="00C84105">
              <w:rPr>
                <w:rFonts w:ascii="Arial" w:hAnsi="Arial"/>
                <w:b/>
                <w:bCs/>
                <w:sz w:val="16"/>
                <w:szCs w:val="18"/>
              </w:rPr>
              <w:t>CAF19</w:t>
            </w:r>
          </w:p>
        </w:tc>
        <w:tc>
          <w:tcPr>
            <w:tcW w:w="899" w:type="dxa"/>
            <w:tcBorders>
              <w:top w:val="nil"/>
              <w:left w:val="nil"/>
              <w:bottom w:val="single" w:sz="4" w:space="0" w:color="auto"/>
              <w:right w:val="single" w:sz="4" w:space="0" w:color="auto"/>
            </w:tcBorders>
            <w:shd w:val="clear" w:color="auto" w:fill="auto"/>
            <w:vAlign w:val="center"/>
          </w:tcPr>
          <w:p w14:paraId="0EE34916" w14:textId="493B7F5C" w:rsidR="003726E5" w:rsidRPr="003726E5" w:rsidRDefault="003726E5" w:rsidP="003726E5">
            <w:pPr>
              <w:jc w:val="right"/>
              <w:rPr>
                <w:rFonts w:ascii="Arial" w:hAnsi="Arial"/>
                <w:sz w:val="16"/>
                <w:szCs w:val="18"/>
              </w:rPr>
            </w:pPr>
            <w:r w:rsidRPr="003726E5">
              <w:rPr>
                <w:rFonts w:ascii="Arial" w:hAnsi="Arial"/>
                <w:sz w:val="16"/>
                <w:szCs w:val="18"/>
              </w:rPr>
              <w:t>191</w:t>
            </w:r>
          </w:p>
        </w:tc>
        <w:tc>
          <w:tcPr>
            <w:tcW w:w="10054" w:type="dxa"/>
            <w:tcBorders>
              <w:top w:val="nil"/>
              <w:left w:val="nil"/>
              <w:bottom w:val="single" w:sz="4" w:space="0" w:color="auto"/>
              <w:right w:val="single" w:sz="4" w:space="0" w:color="auto"/>
            </w:tcBorders>
            <w:shd w:val="clear" w:color="auto" w:fill="auto"/>
            <w:vAlign w:val="center"/>
          </w:tcPr>
          <w:p w14:paraId="5CEF6E31" w14:textId="77777777" w:rsidR="00C84105" w:rsidRPr="00F83BD0" w:rsidRDefault="00C84105" w:rsidP="00C84105">
            <w:pPr>
              <w:spacing w:before="120" w:after="120"/>
              <w:rPr>
                <w:rFonts w:ascii="Arial" w:hAnsi="Arial"/>
                <w:sz w:val="16"/>
                <w:szCs w:val="16"/>
              </w:rPr>
            </w:pPr>
            <w:r w:rsidRPr="00F83BD0">
              <w:rPr>
                <w:rFonts w:ascii="Arial" w:hAnsi="Arial"/>
                <w:sz w:val="16"/>
                <w:szCs w:val="16"/>
              </w:rPr>
              <w:t>The Heavy Airlift capability comprises eight C-17A Globemaster III aircraft, a flight simulator, and associated support elements operated from RAAF Base Amberley, QLD. The majority of sustainment support for aircraft and training systems is provided via United States Air Force Foreign Military Sales global support arrangements for the worldwide C-17A Globemaster fleet. These global sustainment arrangements are supplemented by a contract for support services within Australia.</w:t>
            </w:r>
          </w:p>
          <w:p w14:paraId="439AA758" w14:textId="661D6F56" w:rsidR="003726E5" w:rsidRPr="00BA1388" w:rsidRDefault="00C84105" w:rsidP="00B333F7">
            <w:pPr>
              <w:keepNext/>
              <w:keepLines/>
              <w:spacing w:before="80" w:after="0"/>
              <w:rPr>
                <w:rFonts w:ascii="Arial" w:hAnsi="Arial"/>
                <w:sz w:val="16"/>
                <w:szCs w:val="16"/>
                <w:highlight w:val="yellow"/>
              </w:rPr>
            </w:pPr>
            <w:r w:rsidRPr="00F83BD0">
              <w:rPr>
                <w:rFonts w:ascii="Arial" w:hAnsi="Arial"/>
                <w:sz w:val="16"/>
                <w:szCs w:val="16"/>
              </w:rPr>
              <w:t xml:space="preserve">During </w:t>
            </w:r>
            <w:r w:rsidR="00B333F7">
              <w:rPr>
                <w:rFonts w:ascii="Arial" w:hAnsi="Arial"/>
                <w:sz w:val="16"/>
                <w:szCs w:val="16"/>
              </w:rPr>
              <w:t>2025-26</w:t>
            </w:r>
            <w:r w:rsidRPr="00F83BD0">
              <w:rPr>
                <w:rFonts w:ascii="Arial" w:hAnsi="Arial"/>
                <w:sz w:val="16"/>
                <w:szCs w:val="16"/>
              </w:rPr>
              <w:t>, there continues to be a number of minor upgrades to the fleet to address obsolescence and maintain configuration alignment with the United States Air Force.</w:t>
            </w:r>
          </w:p>
        </w:tc>
      </w:tr>
      <w:tr w:rsidR="003726E5" w:rsidRPr="00BA1388" w14:paraId="6DA42378" w14:textId="77777777" w:rsidTr="00135BDE">
        <w:trPr>
          <w:trHeight w:val="283"/>
        </w:trPr>
        <w:tc>
          <w:tcPr>
            <w:tcW w:w="1558" w:type="dxa"/>
            <w:tcBorders>
              <w:top w:val="nil"/>
              <w:left w:val="single" w:sz="4" w:space="0" w:color="auto"/>
              <w:bottom w:val="single" w:sz="4" w:space="0" w:color="auto"/>
              <w:right w:val="single" w:sz="4" w:space="0" w:color="auto"/>
            </w:tcBorders>
            <w:shd w:val="clear" w:color="auto" w:fill="auto"/>
            <w:vAlign w:val="center"/>
          </w:tcPr>
          <w:p w14:paraId="2BE5D86A" w14:textId="60D08D8A" w:rsidR="003726E5" w:rsidRPr="00A56CE7" w:rsidRDefault="003726E5" w:rsidP="004609DC">
            <w:pPr>
              <w:rPr>
                <w:rFonts w:ascii="Arial" w:hAnsi="Arial"/>
                <w:sz w:val="16"/>
                <w:szCs w:val="18"/>
              </w:rPr>
            </w:pPr>
            <w:r w:rsidRPr="00A56CE7">
              <w:rPr>
                <w:rFonts w:ascii="Arial" w:hAnsi="Arial"/>
                <w:sz w:val="16"/>
                <w:szCs w:val="18"/>
              </w:rPr>
              <w:t>KC-30A Weapon System Multi-Role Tanker Transport</w:t>
            </w:r>
            <w:r w:rsidR="00A56CE7">
              <w:rPr>
                <w:rFonts w:ascii="Arial" w:hAnsi="Arial"/>
                <w:sz w:val="16"/>
                <w:szCs w:val="18"/>
              </w:rPr>
              <w:t xml:space="preserve"> </w:t>
            </w:r>
          </w:p>
        </w:tc>
        <w:tc>
          <w:tcPr>
            <w:tcW w:w="942" w:type="dxa"/>
            <w:tcBorders>
              <w:top w:val="nil"/>
              <w:left w:val="nil"/>
              <w:bottom w:val="single" w:sz="4" w:space="0" w:color="auto"/>
              <w:right w:val="single" w:sz="4" w:space="0" w:color="auto"/>
            </w:tcBorders>
            <w:shd w:val="clear" w:color="auto" w:fill="auto"/>
            <w:vAlign w:val="center"/>
          </w:tcPr>
          <w:p w14:paraId="2BAC3253" w14:textId="77777777" w:rsidR="003726E5" w:rsidRPr="00A56CE7" w:rsidRDefault="003726E5" w:rsidP="003726E5">
            <w:pPr>
              <w:jc w:val="center"/>
              <w:rPr>
                <w:rFonts w:ascii="Arial" w:hAnsi="Arial"/>
                <w:b/>
                <w:bCs/>
                <w:sz w:val="16"/>
                <w:szCs w:val="18"/>
              </w:rPr>
            </w:pPr>
            <w:r w:rsidRPr="00A56CE7">
              <w:rPr>
                <w:rFonts w:ascii="Arial" w:hAnsi="Arial"/>
                <w:b/>
                <w:bCs/>
                <w:sz w:val="16"/>
                <w:szCs w:val="18"/>
              </w:rPr>
              <w:t>CAF22</w:t>
            </w:r>
          </w:p>
        </w:tc>
        <w:tc>
          <w:tcPr>
            <w:tcW w:w="899" w:type="dxa"/>
            <w:tcBorders>
              <w:top w:val="nil"/>
              <w:left w:val="nil"/>
              <w:bottom w:val="single" w:sz="4" w:space="0" w:color="auto"/>
              <w:right w:val="single" w:sz="4" w:space="0" w:color="auto"/>
            </w:tcBorders>
            <w:shd w:val="clear" w:color="auto" w:fill="auto"/>
            <w:vAlign w:val="center"/>
          </w:tcPr>
          <w:p w14:paraId="08136F80" w14:textId="187DA6D6" w:rsidR="003726E5" w:rsidRPr="003726E5" w:rsidRDefault="003726E5" w:rsidP="003726E5">
            <w:pPr>
              <w:jc w:val="right"/>
              <w:rPr>
                <w:rFonts w:ascii="Arial" w:hAnsi="Arial"/>
                <w:sz w:val="16"/>
                <w:szCs w:val="18"/>
              </w:rPr>
            </w:pPr>
            <w:r w:rsidRPr="003726E5">
              <w:rPr>
                <w:rFonts w:ascii="Arial" w:hAnsi="Arial"/>
                <w:sz w:val="16"/>
                <w:szCs w:val="18"/>
              </w:rPr>
              <w:t>209</w:t>
            </w:r>
          </w:p>
        </w:tc>
        <w:tc>
          <w:tcPr>
            <w:tcW w:w="10054" w:type="dxa"/>
            <w:tcBorders>
              <w:top w:val="nil"/>
              <w:left w:val="nil"/>
              <w:bottom w:val="single" w:sz="4" w:space="0" w:color="auto"/>
              <w:right w:val="single" w:sz="4" w:space="0" w:color="auto"/>
            </w:tcBorders>
            <w:shd w:val="clear" w:color="auto" w:fill="auto"/>
            <w:vAlign w:val="center"/>
          </w:tcPr>
          <w:p w14:paraId="4D20AA61" w14:textId="77777777" w:rsidR="00A56CE7" w:rsidRPr="001E34D5" w:rsidRDefault="00A56CE7" w:rsidP="00A56CE7">
            <w:pPr>
              <w:spacing w:before="120" w:after="120"/>
              <w:rPr>
                <w:rFonts w:ascii="Arial" w:hAnsi="Arial"/>
                <w:sz w:val="16"/>
                <w:szCs w:val="16"/>
              </w:rPr>
            </w:pPr>
            <w:r w:rsidRPr="001E34D5">
              <w:rPr>
                <w:rFonts w:ascii="Arial" w:hAnsi="Arial"/>
                <w:sz w:val="16"/>
                <w:szCs w:val="16"/>
              </w:rPr>
              <w:t>The Multi-Role Tanker Transport capability comprises seven KC-30A aircraft, a flight simulator and associated support elements, operated from RAAF Base Amberley, QLD. All seven aircraft are capable of air-to-air refuelling from pod and boom systems and airlift logistics support. Support is provided through a performance-based arrangement for maintenance, logistics, engineering, training and program management.</w:t>
            </w:r>
          </w:p>
          <w:p w14:paraId="31BE53DD" w14:textId="79352D04" w:rsidR="003726E5" w:rsidRPr="00BA1388" w:rsidRDefault="00A56CE7" w:rsidP="00A56CE7">
            <w:pPr>
              <w:keepNext/>
              <w:keepLines/>
              <w:spacing w:before="80" w:after="0"/>
              <w:rPr>
                <w:rFonts w:ascii="Arial" w:hAnsi="Arial"/>
                <w:sz w:val="16"/>
                <w:szCs w:val="16"/>
                <w:highlight w:val="yellow"/>
              </w:rPr>
            </w:pPr>
            <w:r w:rsidRPr="001E34D5">
              <w:rPr>
                <w:rFonts w:ascii="Arial" w:hAnsi="Arial"/>
                <w:sz w:val="16"/>
                <w:szCs w:val="16"/>
              </w:rPr>
              <w:t>During 2025-26,</w:t>
            </w:r>
            <w:r w:rsidRPr="001E34D5">
              <w:rPr>
                <w:sz w:val="16"/>
                <w:szCs w:val="16"/>
              </w:rPr>
              <w:t xml:space="preserve"> </w:t>
            </w:r>
            <w:r w:rsidRPr="001E34D5">
              <w:rPr>
                <w:rFonts w:ascii="Arial" w:hAnsi="Arial"/>
                <w:sz w:val="16"/>
                <w:szCs w:val="16"/>
              </w:rPr>
              <w:t>the focus remains on supporting military operations, sustainment performance, progressing mid-life upgrade and obsolescence activities, and expansion of aircraft types certified as capable of air-to-air refuelling from the KC-30A Multi-Role Tanker Transport to improve the preparedness posture of the capability.</w:t>
            </w:r>
          </w:p>
        </w:tc>
      </w:tr>
      <w:tr w:rsidR="003726E5" w:rsidRPr="00BA1388" w14:paraId="25046F1D" w14:textId="77777777" w:rsidTr="00135BDE">
        <w:trPr>
          <w:cantSplit/>
          <w:trHeight w:val="283"/>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4CF198CC" w14:textId="3F704678" w:rsidR="003726E5" w:rsidRPr="00A56CE7" w:rsidRDefault="003726E5" w:rsidP="004609DC">
            <w:pPr>
              <w:rPr>
                <w:rFonts w:ascii="Arial" w:hAnsi="Arial"/>
                <w:sz w:val="16"/>
                <w:szCs w:val="18"/>
              </w:rPr>
            </w:pPr>
            <w:r w:rsidRPr="00A56CE7">
              <w:rPr>
                <w:rFonts w:ascii="Arial" w:hAnsi="Arial"/>
                <w:sz w:val="16"/>
                <w:szCs w:val="18"/>
              </w:rPr>
              <w:t>Pilot Training System</w:t>
            </w:r>
            <w:r w:rsidR="00A56CE7">
              <w:rPr>
                <w:rFonts w:ascii="Arial" w:hAnsi="Arial"/>
                <w:sz w:val="16"/>
                <w:szCs w:val="18"/>
              </w:rPr>
              <w:t xml:space="preserve"> </w:t>
            </w:r>
          </w:p>
        </w:tc>
        <w:tc>
          <w:tcPr>
            <w:tcW w:w="942" w:type="dxa"/>
            <w:tcBorders>
              <w:top w:val="single" w:sz="4" w:space="0" w:color="auto"/>
              <w:left w:val="nil"/>
              <w:bottom w:val="single" w:sz="4" w:space="0" w:color="auto"/>
              <w:right w:val="single" w:sz="4" w:space="0" w:color="auto"/>
            </w:tcBorders>
            <w:shd w:val="clear" w:color="auto" w:fill="auto"/>
            <w:vAlign w:val="center"/>
          </w:tcPr>
          <w:p w14:paraId="6B7F9AA8" w14:textId="77777777" w:rsidR="003726E5" w:rsidRPr="00A56CE7" w:rsidRDefault="003726E5" w:rsidP="003726E5">
            <w:pPr>
              <w:jc w:val="center"/>
              <w:rPr>
                <w:rFonts w:ascii="Arial" w:hAnsi="Arial"/>
                <w:b/>
                <w:bCs/>
                <w:sz w:val="16"/>
                <w:szCs w:val="18"/>
              </w:rPr>
            </w:pPr>
            <w:r w:rsidRPr="00A56CE7">
              <w:rPr>
                <w:rFonts w:ascii="Arial" w:hAnsi="Arial"/>
                <w:b/>
                <w:bCs/>
                <w:sz w:val="16"/>
                <w:szCs w:val="18"/>
              </w:rPr>
              <w:t>CAF37</w:t>
            </w:r>
          </w:p>
        </w:tc>
        <w:tc>
          <w:tcPr>
            <w:tcW w:w="899" w:type="dxa"/>
            <w:tcBorders>
              <w:top w:val="single" w:sz="4" w:space="0" w:color="auto"/>
              <w:left w:val="nil"/>
              <w:bottom w:val="single" w:sz="4" w:space="0" w:color="auto"/>
              <w:right w:val="single" w:sz="4" w:space="0" w:color="auto"/>
            </w:tcBorders>
            <w:shd w:val="clear" w:color="auto" w:fill="auto"/>
            <w:vAlign w:val="center"/>
          </w:tcPr>
          <w:p w14:paraId="195D02FD" w14:textId="7C38AA0F" w:rsidR="003726E5" w:rsidRPr="003726E5" w:rsidRDefault="003726E5" w:rsidP="003726E5">
            <w:pPr>
              <w:jc w:val="right"/>
              <w:rPr>
                <w:rFonts w:ascii="Arial" w:hAnsi="Arial"/>
                <w:sz w:val="16"/>
                <w:szCs w:val="18"/>
              </w:rPr>
            </w:pPr>
            <w:r w:rsidRPr="003726E5">
              <w:rPr>
                <w:rFonts w:ascii="Arial" w:hAnsi="Arial"/>
                <w:sz w:val="16"/>
                <w:szCs w:val="18"/>
              </w:rPr>
              <w:t>147</w:t>
            </w:r>
          </w:p>
        </w:tc>
        <w:tc>
          <w:tcPr>
            <w:tcW w:w="10054" w:type="dxa"/>
            <w:tcBorders>
              <w:top w:val="single" w:sz="4" w:space="0" w:color="auto"/>
              <w:left w:val="nil"/>
              <w:bottom w:val="single" w:sz="4" w:space="0" w:color="auto"/>
              <w:right w:val="single" w:sz="4" w:space="0" w:color="auto"/>
            </w:tcBorders>
            <w:shd w:val="clear" w:color="auto" w:fill="auto"/>
            <w:vAlign w:val="center"/>
          </w:tcPr>
          <w:p w14:paraId="588FC368" w14:textId="77777777" w:rsidR="00A56CE7" w:rsidRPr="001E34D5" w:rsidRDefault="00A56CE7" w:rsidP="00A56CE7">
            <w:pPr>
              <w:spacing w:before="120" w:after="120"/>
              <w:rPr>
                <w:rFonts w:ascii="Arial" w:hAnsi="Arial"/>
                <w:sz w:val="16"/>
                <w:szCs w:val="16"/>
              </w:rPr>
            </w:pPr>
            <w:r w:rsidRPr="001E34D5">
              <w:rPr>
                <w:rFonts w:ascii="Arial" w:hAnsi="Arial"/>
                <w:sz w:val="16"/>
                <w:szCs w:val="16"/>
              </w:rPr>
              <w:t>The Pilot Training System comprises 49 Pilatus PC-21 aircraft, seven flight training devices, six cockpit procedural trainers, mission pre-briefing and debriefing systems, personal learning devices, learning environments and courseware. The system is supported via a comprehensive through life support contract. This capability provides an integrated fixed wing pilot training system for ab-initio pilots and qualified flying instructors for Navy, Army and Air Force. Aircraft currently operate from RAAF Bases at East Sale VIC, Pearce WA, Edinburgh SA and Williamtown NSW.</w:t>
            </w:r>
          </w:p>
          <w:p w14:paraId="14192DF3" w14:textId="7E3E5038" w:rsidR="003726E5" w:rsidRPr="00BA1388" w:rsidRDefault="00A56CE7" w:rsidP="00885E3F">
            <w:pPr>
              <w:keepNext/>
              <w:keepLines/>
              <w:spacing w:before="80" w:after="0"/>
              <w:rPr>
                <w:rFonts w:ascii="Arial" w:hAnsi="Arial"/>
                <w:sz w:val="16"/>
                <w:szCs w:val="16"/>
                <w:highlight w:val="yellow"/>
              </w:rPr>
            </w:pPr>
            <w:r w:rsidRPr="001E34D5">
              <w:rPr>
                <w:rFonts w:ascii="Arial" w:hAnsi="Arial"/>
                <w:sz w:val="16"/>
                <w:szCs w:val="16"/>
              </w:rPr>
              <w:t>During 2025-26,</w:t>
            </w:r>
            <w:r w:rsidRPr="001E34D5">
              <w:rPr>
                <w:sz w:val="16"/>
                <w:szCs w:val="16"/>
              </w:rPr>
              <w:t xml:space="preserve"> </w:t>
            </w:r>
            <w:r w:rsidRPr="001E34D5">
              <w:rPr>
                <w:rFonts w:ascii="Arial" w:hAnsi="Arial"/>
                <w:sz w:val="16"/>
                <w:szCs w:val="16"/>
              </w:rPr>
              <w:t>the focus is on sustainable delivery of the Pilot Training System</w:t>
            </w:r>
            <w:r w:rsidR="00885E3F">
              <w:rPr>
                <w:rFonts w:ascii="Arial" w:hAnsi="Arial"/>
                <w:sz w:val="16"/>
                <w:szCs w:val="16"/>
              </w:rPr>
              <w:t>.</w:t>
            </w:r>
          </w:p>
        </w:tc>
      </w:tr>
      <w:tr w:rsidR="003726E5" w:rsidRPr="00BA1388" w14:paraId="5DBFE156" w14:textId="77777777" w:rsidTr="00135BDE">
        <w:trPr>
          <w:trHeight w:val="283"/>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362768FA" w14:textId="2767D69B" w:rsidR="003726E5" w:rsidRPr="00A56CE7" w:rsidRDefault="003726E5" w:rsidP="004609DC">
            <w:pPr>
              <w:rPr>
                <w:rFonts w:ascii="Arial" w:hAnsi="Arial"/>
                <w:sz w:val="16"/>
                <w:szCs w:val="18"/>
              </w:rPr>
            </w:pPr>
            <w:r w:rsidRPr="00A56CE7">
              <w:rPr>
                <w:rFonts w:ascii="Arial" w:hAnsi="Arial"/>
                <w:sz w:val="16"/>
                <w:szCs w:val="18"/>
              </w:rPr>
              <w:t>Lead-In Fighter Hawk 127 Weapon System</w:t>
            </w:r>
            <w:r w:rsidR="00A56CE7">
              <w:rPr>
                <w:rFonts w:ascii="Arial" w:hAnsi="Arial"/>
                <w:sz w:val="16"/>
                <w:szCs w:val="18"/>
              </w:rPr>
              <w:t xml:space="preserve"> </w:t>
            </w:r>
          </w:p>
        </w:tc>
        <w:tc>
          <w:tcPr>
            <w:tcW w:w="942" w:type="dxa"/>
            <w:tcBorders>
              <w:top w:val="single" w:sz="4" w:space="0" w:color="auto"/>
              <w:left w:val="nil"/>
              <w:bottom w:val="single" w:sz="4" w:space="0" w:color="auto"/>
              <w:right w:val="single" w:sz="4" w:space="0" w:color="auto"/>
            </w:tcBorders>
            <w:shd w:val="clear" w:color="auto" w:fill="auto"/>
            <w:vAlign w:val="center"/>
          </w:tcPr>
          <w:p w14:paraId="20F31690" w14:textId="77777777" w:rsidR="003726E5" w:rsidRPr="00A56CE7" w:rsidRDefault="003726E5" w:rsidP="003726E5">
            <w:pPr>
              <w:jc w:val="center"/>
              <w:rPr>
                <w:rFonts w:ascii="Arial" w:hAnsi="Arial"/>
                <w:b/>
                <w:bCs/>
                <w:sz w:val="16"/>
                <w:szCs w:val="18"/>
              </w:rPr>
            </w:pPr>
            <w:r w:rsidRPr="00A56CE7">
              <w:rPr>
                <w:rFonts w:ascii="Arial" w:hAnsi="Arial"/>
                <w:b/>
                <w:bCs/>
                <w:sz w:val="16"/>
                <w:szCs w:val="18"/>
              </w:rPr>
              <w:t>CAF03</w:t>
            </w:r>
          </w:p>
        </w:tc>
        <w:tc>
          <w:tcPr>
            <w:tcW w:w="899" w:type="dxa"/>
            <w:tcBorders>
              <w:top w:val="single" w:sz="4" w:space="0" w:color="auto"/>
              <w:left w:val="nil"/>
              <w:bottom w:val="single" w:sz="4" w:space="0" w:color="auto"/>
              <w:right w:val="single" w:sz="4" w:space="0" w:color="auto"/>
            </w:tcBorders>
            <w:shd w:val="clear" w:color="auto" w:fill="auto"/>
            <w:vAlign w:val="center"/>
          </w:tcPr>
          <w:p w14:paraId="28B560B0" w14:textId="651ACBA8" w:rsidR="003726E5" w:rsidRPr="003726E5" w:rsidRDefault="003726E5" w:rsidP="003726E5">
            <w:pPr>
              <w:jc w:val="right"/>
              <w:rPr>
                <w:rFonts w:ascii="Arial" w:hAnsi="Arial"/>
                <w:sz w:val="16"/>
                <w:szCs w:val="18"/>
              </w:rPr>
            </w:pPr>
            <w:r w:rsidRPr="003726E5">
              <w:rPr>
                <w:rFonts w:ascii="Arial" w:hAnsi="Arial"/>
                <w:sz w:val="16"/>
                <w:szCs w:val="18"/>
              </w:rPr>
              <w:t>144</w:t>
            </w:r>
          </w:p>
        </w:tc>
        <w:tc>
          <w:tcPr>
            <w:tcW w:w="10054" w:type="dxa"/>
            <w:tcBorders>
              <w:top w:val="single" w:sz="4" w:space="0" w:color="auto"/>
              <w:left w:val="nil"/>
              <w:bottom w:val="single" w:sz="4" w:space="0" w:color="auto"/>
              <w:right w:val="single" w:sz="4" w:space="0" w:color="auto"/>
            </w:tcBorders>
            <w:shd w:val="clear" w:color="auto" w:fill="auto"/>
            <w:vAlign w:val="center"/>
          </w:tcPr>
          <w:p w14:paraId="09E4B081" w14:textId="77777777" w:rsidR="00A56CE7" w:rsidRPr="001E34D5" w:rsidRDefault="00A56CE7" w:rsidP="00A56CE7">
            <w:pPr>
              <w:spacing w:before="120" w:after="120"/>
              <w:rPr>
                <w:rFonts w:ascii="Arial" w:hAnsi="Arial"/>
                <w:sz w:val="16"/>
                <w:szCs w:val="16"/>
              </w:rPr>
            </w:pPr>
            <w:r w:rsidRPr="001E34D5">
              <w:rPr>
                <w:rFonts w:ascii="Arial" w:hAnsi="Arial"/>
                <w:sz w:val="16"/>
                <w:szCs w:val="16"/>
              </w:rPr>
              <w:t>The Lead-In Fighter Training System comprises 33 Hawk 127 Lead-In Fighter aircraft and related support systems operated from RAAF Base Williamtown, NSW and RAAF Base Pearce, WA.</w:t>
            </w:r>
          </w:p>
          <w:p w14:paraId="4922F939" w14:textId="5E272214" w:rsidR="003726E5" w:rsidRPr="00BA1388" w:rsidRDefault="00A56CE7" w:rsidP="00F53B4B">
            <w:pPr>
              <w:keepNext/>
              <w:keepLines/>
              <w:spacing w:before="80" w:after="0"/>
              <w:rPr>
                <w:rFonts w:ascii="Arial" w:hAnsi="Arial"/>
                <w:sz w:val="16"/>
                <w:szCs w:val="16"/>
                <w:highlight w:val="yellow"/>
              </w:rPr>
            </w:pPr>
            <w:r w:rsidRPr="001E34D5">
              <w:rPr>
                <w:rFonts w:ascii="Arial" w:hAnsi="Arial"/>
                <w:sz w:val="16"/>
                <w:szCs w:val="16"/>
              </w:rPr>
              <w:t>During 2025-26, the focus remains on generating required rates of availability to support Air Force requirements, while supporting and governing the embodiment of new engines into the fleet, as procured and certified by the Lead-In Fighter Capability Assurance project AIR</w:t>
            </w:r>
            <w:r w:rsidR="00F53B4B">
              <w:rPr>
                <w:rFonts w:ascii="Arial" w:hAnsi="Arial"/>
                <w:sz w:val="16"/>
                <w:szCs w:val="16"/>
              </w:rPr>
              <w:t> </w:t>
            </w:r>
            <w:r w:rsidRPr="001E34D5">
              <w:rPr>
                <w:rFonts w:ascii="Arial" w:hAnsi="Arial"/>
                <w:sz w:val="16"/>
                <w:szCs w:val="16"/>
              </w:rPr>
              <w:t>5438 Phase 2.</w:t>
            </w:r>
          </w:p>
        </w:tc>
      </w:tr>
      <w:tr w:rsidR="0084711E" w:rsidRPr="00BA1388" w14:paraId="38EAAE73" w14:textId="77777777" w:rsidTr="00680B8D">
        <w:trPr>
          <w:trHeight w:hRule="exact" w:val="284"/>
        </w:trPr>
        <w:tc>
          <w:tcPr>
            <w:tcW w:w="13453"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6ECFE756" w14:textId="77777777" w:rsidR="0084711E" w:rsidRPr="002D105C" w:rsidRDefault="0084711E" w:rsidP="00680B8D">
            <w:pPr>
              <w:keepNext/>
              <w:keepLines/>
              <w:spacing w:before="0" w:after="0"/>
              <w:rPr>
                <w:rFonts w:ascii="Arial Bold" w:hAnsi="Arial Bold"/>
                <w:sz w:val="18"/>
                <w:szCs w:val="18"/>
              </w:rPr>
            </w:pPr>
            <w:r w:rsidRPr="002D105C">
              <w:rPr>
                <w:rFonts w:ascii="Arial Bold" w:hAnsi="Arial Bold"/>
                <w:b/>
                <w:bCs/>
                <w:sz w:val="16"/>
                <w:szCs w:val="16"/>
              </w:rPr>
              <w:lastRenderedPageBreak/>
              <w:t>Air Domain (Continued)</w:t>
            </w:r>
          </w:p>
        </w:tc>
      </w:tr>
      <w:tr w:rsidR="003726E5" w:rsidRPr="00BA1388" w14:paraId="4A7B16FB" w14:textId="77777777" w:rsidTr="00135BDE">
        <w:trPr>
          <w:trHeight w:val="283"/>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25349415" w14:textId="2BB2B3B4" w:rsidR="003726E5" w:rsidRPr="00A56CE7" w:rsidRDefault="003726E5" w:rsidP="004609DC">
            <w:pPr>
              <w:keepNext/>
              <w:keepLines/>
              <w:spacing w:before="0" w:after="0"/>
              <w:rPr>
                <w:rFonts w:ascii="Arial" w:hAnsi="Arial"/>
                <w:sz w:val="16"/>
                <w:szCs w:val="18"/>
                <w:lang w:val="en-AU"/>
              </w:rPr>
            </w:pPr>
            <w:r w:rsidRPr="00A56CE7">
              <w:rPr>
                <w:rFonts w:ascii="Arial" w:hAnsi="Arial"/>
                <w:sz w:val="16"/>
                <w:szCs w:val="18"/>
              </w:rPr>
              <w:t>C130J-30 Weapon System</w:t>
            </w:r>
            <w:r w:rsidR="00A56CE7">
              <w:rPr>
                <w:rFonts w:ascii="Arial" w:hAnsi="Arial"/>
                <w:sz w:val="16"/>
                <w:szCs w:val="18"/>
              </w:rPr>
              <w:t xml:space="preserve"> </w:t>
            </w:r>
          </w:p>
        </w:tc>
        <w:tc>
          <w:tcPr>
            <w:tcW w:w="942" w:type="dxa"/>
            <w:tcBorders>
              <w:top w:val="single" w:sz="4" w:space="0" w:color="auto"/>
              <w:left w:val="nil"/>
              <w:bottom w:val="single" w:sz="4" w:space="0" w:color="auto"/>
              <w:right w:val="single" w:sz="4" w:space="0" w:color="auto"/>
            </w:tcBorders>
            <w:shd w:val="clear" w:color="auto" w:fill="auto"/>
            <w:vAlign w:val="center"/>
          </w:tcPr>
          <w:p w14:paraId="6D21BC6C" w14:textId="77777777" w:rsidR="003726E5" w:rsidRPr="00A56CE7" w:rsidRDefault="003726E5" w:rsidP="0084711E">
            <w:pPr>
              <w:keepNext/>
              <w:keepLines/>
              <w:jc w:val="center"/>
              <w:rPr>
                <w:rFonts w:ascii="Arial" w:hAnsi="Arial"/>
                <w:b/>
                <w:bCs/>
                <w:sz w:val="16"/>
                <w:szCs w:val="18"/>
              </w:rPr>
            </w:pPr>
            <w:r w:rsidRPr="00A56CE7">
              <w:rPr>
                <w:rFonts w:ascii="Arial" w:hAnsi="Arial"/>
                <w:b/>
                <w:bCs/>
                <w:sz w:val="16"/>
                <w:szCs w:val="18"/>
              </w:rPr>
              <w:t>CAF06</w:t>
            </w:r>
          </w:p>
        </w:tc>
        <w:tc>
          <w:tcPr>
            <w:tcW w:w="899" w:type="dxa"/>
            <w:tcBorders>
              <w:top w:val="single" w:sz="4" w:space="0" w:color="auto"/>
              <w:left w:val="nil"/>
              <w:bottom w:val="single" w:sz="4" w:space="0" w:color="auto"/>
              <w:right w:val="single" w:sz="4" w:space="0" w:color="auto"/>
            </w:tcBorders>
            <w:shd w:val="clear" w:color="auto" w:fill="auto"/>
            <w:vAlign w:val="center"/>
          </w:tcPr>
          <w:p w14:paraId="4246706C" w14:textId="3F8242E1" w:rsidR="003726E5" w:rsidRPr="003726E5" w:rsidRDefault="003726E5" w:rsidP="0084711E">
            <w:pPr>
              <w:keepNext/>
              <w:keepLines/>
              <w:jc w:val="right"/>
              <w:rPr>
                <w:rFonts w:ascii="Arial" w:hAnsi="Arial"/>
                <w:sz w:val="16"/>
                <w:szCs w:val="18"/>
              </w:rPr>
            </w:pPr>
            <w:r w:rsidRPr="003726E5">
              <w:rPr>
                <w:rFonts w:ascii="Arial" w:hAnsi="Arial"/>
                <w:sz w:val="16"/>
                <w:szCs w:val="18"/>
              </w:rPr>
              <w:t>147</w:t>
            </w:r>
          </w:p>
        </w:tc>
        <w:tc>
          <w:tcPr>
            <w:tcW w:w="10054" w:type="dxa"/>
            <w:tcBorders>
              <w:top w:val="single" w:sz="4" w:space="0" w:color="auto"/>
              <w:left w:val="nil"/>
              <w:bottom w:val="single" w:sz="4" w:space="0" w:color="auto"/>
              <w:right w:val="single" w:sz="4" w:space="0" w:color="auto"/>
            </w:tcBorders>
            <w:shd w:val="clear" w:color="auto" w:fill="auto"/>
            <w:vAlign w:val="center"/>
          </w:tcPr>
          <w:p w14:paraId="28D3450D" w14:textId="77777777" w:rsidR="00A56CE7" w:rsidRPr="001E34D5" w:rsidRDefault="00A56CE7" w:rsidP="0084711E">
            <w:pPr>
              <w:keepNext/>
              <w:keepLines/>
              <w:spacing w:before="120" w:after="120"/>
              <w:rPr>
                <w:rFonts w:ascii="Arial" w:hAnsi="Arial"/>
                <w:sz w:val="16"/>
                <w:szCs w:val="16"/>
              </w:rPr>
            </w:pPr>
            <w:r w:rsidRPr="001E34D5">
              <w:rPr>
                <w:rFonts w:ascii="Arial" w:hAnsi="Arial"/>
                <w:sz w:val="16"/>
                <w:szCs w:val="16"/>
              </w:rPr>
              <w:t>The Medium Airlift capability consists of 12 C-130J Hercules aircraft, a flight simulator, and associated support elements operated from RAAF Base Richmond, NSW. The capability is supported by two performance-based contracts for deeper level maintenance, logistics and engineering support for the aircraft, and for support for the propulsion system.</w:t>
            </w:r>
          </w:p>
          <w:p w14:paraId="5E6E59E2" w14:textId="5D5C9C7D" w:rsidR="003726E5" w:rsidRPr="00BA1388" w:rsidRDefault="00A56CE7" w:rsidP="00885E3F">
            <w:pPr>
              <w:keepNext/>
              <w:keepLines/>
              <w:spacing w:before="80" w:after="0"/>
              <w:rPr>
                <w:rFonts w:ascii="Arial" w:hAnsi="Arial"/>
                <w:sz w:val="16"/>
                <w:szCs w:val="16"/>
                <w:highlight w:val="yellow"/>
              </w:rPr>
            </w:pPr>
            <w:r w:rsidRPr="001E34D5">
              <w:rPr>
                <w:rFonts w:ascii="Arial" w:hAnsi="Arial"/>
                <w:sz w:val="16"/>
                <w:szCs w:val="16"/>
              </w:rPr>
              <w:t xml:space="preserve">During 2025-26, the focus will be on </w:t>
            </w:r>
            <w:r w:rsidR="00885E3F">
              <w:rPr>
                <w:rFonts w:ascii="Arial" w:hAnsi="Arial"/>
                <w:sz w:val="16"/>
                <w:szCs w:val="16"/>
              </w:rPr>
              <w:t>continued delivery</w:t>
            </w:r>
            <w:r w:rsidRPr="001E34D5">
              <w:rPr>
                <w:rFonts w:ascii="Arial" w:hAnsi="Arial"/>
                <w:sz w:val="16"/>
                <w:szCs w:val="16"/>
              </w:rPr>
              <w:t xml:space="preserve"> of the deeper maintenance schedule, completion of the Block Upgrade Program, and contract evolution to ensure fit-for-purpose commercial agreements through to planned withdrawal date. Fleet draw-down and disposal strategies will be developed to mesh with planned delivery of new C-130J aircraft</w:t>
            </w:r>
            <w:r w:rsidRPr="001E34D5">
              <w:rPr>
                <w:sz w:val="16"/>
                <w:szCs w:val="16"/>
              </w:rPr>
              <w:t>.</w:t>
            </w:r>
          </w:p>
        </w:tc>
      </w:tr>
      <w:tr w:rsidR="003726E5" w:rsidRPr="00BA1388" w14:paraId="5028CBCE" w14:textId="77777777" w:rsidTr="00135BDE">
        <w:trPr>
          <w:trHeight w:val="283"/>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1D45BF8E" w14:textId="34511D3B" w:rsidR="003726E5" w:rsidRPr="00A56CE7" w:rsidRDefault="003726E5" w:rsidP="004609DC">
            <w:pPr>
              <w:rPr>
                <w:rFonts w:ascii="Arial" w:hAnsi="Arial"/>
                <w:sz w:val="16"/>
                <w:szCs w:val="18"/>
              </w:rPr>
            </w:pPr>
            <w:r w:rsidRPr="00A56CE7">
              <w:rPr>
                <w:rFonts w:ascii="Arial" w:hAnsi="Arial"/>
                <w:sz w:val="16"/>
                <w:szCs w:val="18"/>
              </w:rPr>
              <w:t>MC-55A Long Range ISREW Aircraft</w:t>
            </w:r>
            <w:r w:rsidR="00A56CE7">
              <w:rPr>
                <w:rFonts w:ascii="Arial" w:hAnsi="Arial"/>
                <w:sz w:val="16"/>
                <w:szCs w:val="18"/>
              </w:rPr>
              <w:t xml:space="preserve"> </w:t>
            </w:r>
          </w:p>
        </w:tc>
        <w:tc>
          <w:tcPr>
            <w:tcW w:w="942" w:type="dxa"/>
            <w:tcBorders>
              <w:top w:val="single" w:sz="4" w:space="0" w:color="auto"/>
              <w:left w:val="nil"/>
              <w:bottom w:val="single" w:sz="4" w:space="0" w:color="auto"/>
              <w:right w:val="single" w:sz="4" w:space="0" w:color="auto"/>
            </w:tcBorders>
            <w:shd w:val="clear" w:color="auto" w:fill="auto"/>
            <w:vAlign w:val="center"/>
          </w:tcPr>
          <w:p w14:paraId="17D271C5" w14:textId="77777777" w:rsidR="003726E5" w:rsidRPr="00A56CE7" w:rsidRDefault="003726E5" w:rsidP="003726E5">
            <w:pPr>
              <w:jc w:val="center"/>
              <w:rPr>
                <w:rFonts w:ascii="Arial" w:hAnsi="Arial"/>
                <w:b/>
                <w:bCs/>
                <w:sz w:val="16"/>
                <w:szCs w:val="18"/>
              </w:rPr>
            </w:pPr>
            <w:r w:rsidRPr="00A56CE7">
              <w:rPr>
                <w:rFonts w:ascii="Arial" w:hAnsi="Arial"/>
                <w:b/>
                <w:bCs/>
                <w:sz w:val="16"/>
                <w:szCs w:val="18"/>
              </w:rPr>
              <w:t>CAF40</w:t>
            </w:r>
          </w:p>
        </w:tc>
        <w:tc>
          <w:tcPr>
            <w:tcW w:w="899" w:type="dxa"/>
            <w:tcBorders>
              <w:top w:val="single" w:sz="4" w:space="0" w:color="auto"/>
              <w:left w:val="nil"/>
              <w:bottom w:val="single" w:sz="4" w:space="0" w:color="auto"/>
              <w:right w:val="single" w:sz="4" w:space="0" w:color="auto"/>
            </w:tcBorders>
            <w:shd w:val="clear" w:color="auto" w:fill="auto"/>
            <w:vAlign w:val="center"/>
          </w:tcPr>
          <w:p w14:paraId="7F635B78" w14:textId="7A742CDB" w:rsidR="003726E5" w:rsidRPr="003726E5" w:rsidRDefault="003726E5" w:rsidP="003726E5">
            <w:pPr>
              <w:jc w:val="right"/>
              <w:rPr>
                <w:rFonts w:ascii="Arial" w:hAnsi="Arial"/>
                <w:sz w:val="16"/>
                <w:szCs w:val="18"/>
              </w:rPr>
            </w:pPr>
            <w:r w:rsidRPr="003726E5">
              <w:rPr>
                <w:rFonts w:ascii="Arial" w:hAnsi="Arial"/>
                <w:sz w:val="16"/>
                <w:szCs w:val="18"/>
              </w:rPr>
              <w:t>128</w:t>
            </w:r>
          </w:p>
        </w:tc>
        <w:tc>
          <w:tcPr>
            <w:tcW w:w="10054" w:type="dxa"/>
            <w:tcBorders>
              <w:top w:val="single" w:sz="4" w:space="0" w:color="auto"/>
              <w:left w:val="nil"/>
              <w:bottom w:val="single" w:sz="4" w:space="0" w:color="auto"/>
              <w:right w:val="single" w:sz="4" w:space="0" w:color="auto"/>
            </w:tcBorders>
            <w:shd w:val="clear" w:color="auto" w:fill="auto"/>
            <w:vAlign w:val="center"/>
          </w:tcPr>
          <w:p w14:paraId="3A9A2759" w14:textId="77777777" w:rsidR="00A56CE7" w:rsidRPr="007E4E3A" w:rsidRDefault="00A56CE7" w:rsidP="00A56CE7">
            <w:pPr>
              <w:spacing w:before="120" w:after="120"/>
              <w:rPr>
                <w:rFonts w:ascii="Arial" w:hAnsi="Arial"/>
                <w:sz w:val="16"/>
                <w:szCs w:val="16"/>
              </w:rPr>
            </w:pPr>
            <w:r w:rsidRPr="007E4E3A">
              <w:rPr>
                <w:rFonts w:ascii="Arial" w:hAnsi="Arial"/>
                <w:sz w:val="16"/>
                <w:szCs w:val="16"/>
              </w:rPr>
              <w:t>The MC-55A Peregrine Airborne Intelligence Surveillance, Reconnaissance and Electronic Warfare Capability will sustain a fleet of MC 55A Peregrine aircraft and related support systems.</w:t>
            </w:r>
          </w:p>
          <w:p w14:paraId="515BF73D" w14:textId="46E44AFD" w:rsidR="003726E5" w:rsidRPr="00BA1388" w:rsidRDefault="00A56CE7" w:rsidP="00A56CE7">
            <w:pPr>
              <w:keepNext/>
              <w:keepLines/>
              <w:spacing w:before="80" w:after="0"/>
              <w:rPr>
                <w:rFonts w:ascii="Arial" w:hAnsi="Arial"/>
                <w:sz w:val="16"/>
                <w:szCs w:val="16"/>
                <w:highlight w:val="yellow"/>
              </w:rPr>
            </w:pPr>
            <w:r w:rsidRPr="007E4E3A">
              <w:rPr>
                <w:rFonts w:ascii="Arial" w:hAnsi="Arial"/>
                <w:sz w:val="16"/>
                <w:szCs w:val="16"/>
              </w:rPr>
              <w:t>During 2025-26, the focus is on the maturation of initial sustainment arrangements.</w:t>
            </w:r>
          </w:p>
        </w:tc>
      </w:tr>
      <w:tr w:rsidR="003726E5" w:rsidRPr="00BA1388" w14:paraId="4EBEC9C6" w14:textId="77777777" w:rsidTr="003E3FCD">
        <w:trPr>
          <w:trHeight w:val="1149"/>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481F8636" w14:textId="1AA7C43C" w:rsidR="003726E5" w:rsidRPr="00277870" w:rsidRDefault="003726E5" w:rsidP="003726E5">
            <w:pPr>
              <w:rPr>
                <w:rFonts w:ascii="Arial" w:hAnsi="Arial"/>
                <w:sz w:val="16"/>
                <w:szCs w:val="18"/>
              </w:rPr>
            </w:pPr>
            <w:r w:rsidRPr="00277870">
              <w:rPr>
                <w:rFonts w:ascii="Arial" w:hAnsi="Arial"/>
                <w:sz w:val="16"/>
                <w:szCs w:val="18"/>
              </w:rPr>
              <w:t>C27J Spartan Battlefield Airlifters</w:t>
            </w:r>
          </w:p>
        </w:tc>
        <w:tc>
          <w:tcPr>
            <w:tcW w:w="942" w:type="dxa"/>
            <w:tcBorders>
              <w:top w:val="single" w:sz="4" w:space="0" w:color="auto"/>
              <w:left w:val="nil"/>
              <w:bottom w:val="single" w:sz="4" w:space="0" w:color="auto"/>
              <w:right w:val="single" w:sz="4" w:space="0" w:color="auto"/>
            </w:tcBorders>
            <w:shd w:val="clear" w:color="auto" w:fill="auto"/>
            <w:vAlign w:val="center"/>
          </w:tcPr>
          <w:p w14:paraId="7C6CA06D" w14:textId="328B5EFF" w:rsidR="003726E5" w:rsidRPr="00277870" w:rsidRDefault="003726E5" w:rsidP="003726E5">
            <w:pPr>
              <w:jc w:val="center"/>
              <w:rPr>
                <w:rFonts w:ascii="Arial" w:hAnsi="Arial"/>
                <w:b/>
                <w:bCs/>
                <w:sz w:val="16"/>
                <w:szCs w:val="18"/>
              </w:rPr>
            </w:pPr>
            <w:r w:rsidRPr="00277870">
              <w:rPr>
                <w:rFonts w:ascii="Arial" w:hAnsi="Arial"/>
                <w:b/>
                <w:bCs/>
                <w:sz w:val="16"/>
                <w:szCs w:val="18"/>
              </w:rPr>
              <w:t>CAF34</w:t>
            </w:r>
          </w:p>
        </w:tc>
        <w:tc>
          <w:tcPr>
            <w:tcW w:w="899" w:type="dxa"/>
            <w:tcBorders>
              <w:top w:val="single" w:sz="4" w:space="0" w:color="auto"/>
              <w:left w:val="nil"/>
              <w:bottom w:val="single" w:sz="4" w:space="0" w:color="auto"/>
              <w:right w:val="single" w:sz="4" w:space="0" w:color="auto"/>
            </w:tcBorders>
            <w:shd w:val="clear" w:color="auto" w:fill="auto"/>
            <w:vAlign w:val="center"/>
          </w:tcPr>
          <w:p w14:paraId="6E537B7E" w14:textId="052B87BB" w:rsidR="003726E5" w:rsidRPr="00277870" w:rsidRDefault="003726E5" w:rsidP="003726E5">
            <w:pPr>
              <w:jc w:val="right"/>
              <w:rPr>
                <w:rFonts w:ascii="Arial" w:hAnsi="Arial"/>
                <w:sz w:val="16"/>
                <w:szCs w:val="18"/>
              </w:rPr>
            </w:pPr>
            <w:r w:rsidRPr="00277870">
              <w:rPr>
                <w:rFonts w:ascii="Arial" w:hAnsi="Arial"/>
                <w:sz w:val="16"/>
                <w:szCs w:val="18"/>
              </w:rPr>
              <w:t>134</w:t>
            </w:r>
          </w:p>
        </w:tc>
        <w:tc>
          <w:tcPr>
            <w:tcW w:w="10054" w:type="dxa"/>
            <w:tcBorders>
              <w:top w:val="single" w:sz="4" w:space="0" w:color="auto"/>
              <w:left w:val="nil"/>
              <w:bottom w:val="single" w:sz="4" w:space="0" w:color="auto"/>
              <w:right w:val="single" w:sz="4" w:space="0" w:color="auto"/>
            </w:tcBorders>
            <w:shd w:val="clear" w:color="auto" w:fill="auto"/>
            <w:vAlign w:val="center"/>
          </w:tcPr>
          <w:p w14:paraId="1FA3637D" w14:textId="77777777" w:rsidR="00277870" w:rsidRPr="00277870" w:rsidRDefault="00277870" w:rsidP="00277870">
            <w:pPr>
              <w:keepNext/>
              <w:spacing w:before="80"/>
              <w:rPr>
                <w:rFonts w:ascii="Arial" w:hAnsi="Arial"/>
                <w:sz w:val="16"/>
                <w:szCs w:val="16"/>
                <w:lang w:val="en-AU"/>
              </w:rPr>
            </w:pPr>
            <w:r w:rsidRPr="00277870">
              <w:rPr>
                <w:rFonts w:ascii="Arial" w:hAnsi="Arial"/>
                <w:sz w:val="16"/>
                <w:szCs w:val="16"/>
              </w:rPr>
              <w:t xml:space="preserve">The C-27J provide Air Force with a Battlefield airlift capability based at RAAF Amberley, and tasked within the Australian domestic and regional area. </w:t>
            </w:r>
          </w:p>
          <w:p w14:paraId="5A2C7552" w14:textId="77777777" w:rsidR="00277870" w:rsidRPr="00277870" w:rsidRDefault="00277870" w:rsidP="00277870">
            <w:pPr>
              <w:rPr>
                <w:rFonts w:ascii="Calibri" w:hAnsi="Calibri" w:cs="Calibri"/>
                <w:color w:val="1F497D"/>
                <w:sz w:val="22"/>
                <w:szCs w:val="22"/>
                <w:lang w:eastAsia="en-US"/>
              </w:rPr>
            </w:pPr>
            <w:r w:rsidRPr="00277870">
              <w:rPr>
                <w:rFonts w:ascii="Arial" w:hAnsi="Arial"/>
                <w:sz w:val="16"/>
                <w:szCs w:val="16"/>
              </w:rPr>
              <w:t>During 2025-26 the focus remains improving sustainment support of the capability, while addressing the deeper maintenance schedule, and providing the necessary platform agility and resilience.</w:t>
            </w:r>
          </w:p>
          <w:p w14:paraId="3531B378" w14:textId="1685A1F8" w:rsidR="003726E5" w:rsidRPr="00277870" w:rsidRDefault="003726E5" w:rsidP="003726E5">
            <w:pPr>
              <w:keepNext/>
              <w:keepLines/>
              <w:spacing w:before="80" w:after="0"/>
              <w:rPr>
                <w:rFonts w:ascii="Arial" w:hAnsi="Arial"/>
                <w:sz w:val="16"/>
                <w:szCs w:val="16"/>
              </w:rPr>
            </w:pPr>
          </w:p>
        </w:tc>
      </w:tr>
      <w:tr w:rsidR="003726E5" w:rsidRPr="00BA1388" w14:paraId="6AA2EFD1" w14:textId="77777777" w:rsidTr="00135BDE">
        <w:trPr>
          <w:trHeight w:val="283"/>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3531619B" w14:textId="641A3AFF" w:rsidR="003726E5" w:rsidRPr="00AE692D" w:rsidRDefault="003726E5" w:rsidP="004609DC">
            <w:pPr>
              <w:rPr>
                <w:rFonts w:ascii="Arial" w:hAnsi="Arial"/>
                <w:sz w:val="16"/>
                <w:szCs w:val="18"/>
              </w:rPr>
            </w:pPr>
            <w:r w:rsidRPr="00AE692D">
              <w:rPr>
                <w:rFonts w:ascii="Arial" w:hAnsi="Arial"/>
                <w:sz w:val="16"/>
                <w:szCs w:val="18"/>
              </w:rPr>
              <w:t xml:space="preserve">Wide Area Surveillance </w:t>
            </w:r>
          </w:p>
        </w:tc>
        <w:tc>
          <w:tcPr>
            <w:tcW w:w="942" w:type="dxa"/>
            <w:tcBorders>
              <w:top w:val="single" w:sz="4" w:space="0" w:color="auto"/>
              <w:left w:val="nil"/>
              <w:bottom w:val="single" w:sz="4" w:space="0" w:color="auto"/>
              <w:right w:val="single" w:sz="4" w:space="0" w:color="auto"/>
            </w:tcBorders>
            <w:shd w:val="clear" w:color="auto" w:fill="auto"/>
            <w:vAlign w:val="center"/>
          </w:tcPr>
          <w:p w14:paraId="427A35B9" w14:textId="77777777" w:rsidR="003726E5" w:rsidRPr="00AE692D" w:rsidRDefault="003726E5" w:rsidP="003726E5">
            <w:pPr>
              <w:jc w:val="center"/>
              <w:rPr>
                <w:rFonts w:ascii="Arial" w:hAnsi="Arial"/>
                <w:b/>
                <w:bCs/>
                <w:sz w:val="16"/>
                <w:szCs w:val="18"/>
              </w:rPr>
            </w:pPr>
            <w:r w:rsidRPr="00AE692D">
              <w:rPr>
                <w:rFonts w:ascii="Arial" w:hAnsi="Arial"/>
                <w:b/>
                <w:bCs/>
                <w:sz w:val="16"/>
                <w:szCs w:val="18"/>
              </w:rPr>
              <w:t>CAF13</w:t>
            </w:r>
          </w:p>
        </w:tc>
        <w:tc>
          <w:tcPr>
            <w:tcW w:w="899" w:type="dxa"/>
            <w:tcBorders>
              <w:top w:val="single" w:sz="4" w:space="0" w:color="auto"/>
              <w:left w:val="nil"/>
              <w:bottom w:val="single" w:sz="4" w:space="0" w:color="auto"/>
              <w:right w:val="single" w:sz="4" w:space="0" w:color="auto"/>
            </w:tcBorders>
            <w:shd w:val="clear" w:color="auto" w:fill="auto"/>
            <w:vAlign w:val="center"/>
          </w:tcPr>
          <w:p w14:paraId="656BDFCF" w14:textId="715000D6" w:rsidR="003726E5" w:rsidRPr="00BA1388" w:rsidRDefault="003726E5" w:rsidP="003726E5">
            <w:pPr>
              <w:jc w:val="right"/>
              <w:rPr>
                <w:rFonts w:ascii="Arial" w:hAnsi="Arial"/>
                <w:sz w:val="16"/>
                <w:szCs w:val="18"/>
                <w:highlight w:val="yellow"/>
              </w:rPr>
            </w:pPr>
            <w:r w:rsidRPr="003726E5">
              <w:rPr>
                <w:rFonts w:ascii="Arial" w:hAnsi="Arial"/>
                <w:sz w:val="16"/>
                <w:szCs w:val="18"/>
              </w:rPr>
              <w:t>120</w:t>
            </w:r>
          </w:p>
        </w:tc>
        <w:tc>
          <w:tcPr>
            <w:tcW w:w="10054" w:type="dxa"/>
            <w:tcBorders>
              <w:top w:val="single" w:sz="4" w:space="0" w:color="auto"/>
              <w:left w:val="nil"/>
              <w:bottom w:val="single" w:sz="4" w:space="0" w:color="auto"/>
              <w:right w:val="single" w:sz="4" w:space="0" w:color="auto"/>
            </w:tcBorders>
            <w:shd w:val="clear" w:color="auto" w:fill="auto"/>
            <w:vAlign w:val="center"/>
          </w:tcPr>
          <w:p w14:paraId="6CEC3550" w14:textId="77777777" w:rsidR="00AE692D" w:rsidRPr="003F2A17" w:rsidRDefault="00AE692D" w:rsidP="00AE692D">
            <w:pPr>
              <w:keepNext/>
              <w:keepLines/>
              <w:spacing w:before="120" w:after="120"/>
              <w:rPr>
                <w:rFonts w:ascii="Arial" w:hAnsi="Arial"/>
                <w:color w:val="000000"/>
                <w:sz w:val="16"/>
                <w:szCs w:val="16"/>
              </w:rPr>
            </w:pPr>
            <w:r w:rsidRPr="003F2A17">
              <w:rPr>
                <w:rFonts w:ascii="Arial" w:hAnsi="Arial"/>
                <w:color w:val="000000"/>
                <w:sz w:val="16"/>
                <w:szCs w:val="16"/>
              </w:rPr>
              <w:t>The Wide Area Surveillance capability is delivered through the High Frequency Radar system known as the Jindalee Operational Radar Network (JORN). JORN comprises three Over-The-Horizon-Radars located in proximity to Longreach QLD, Laverton WA and Alice Springs NT. The radars are maintained and supported by BAE Systems Australia.</w:t>
            </w:r>
          </w:p>
          <w:p w14:paraId="252DD722" w14:textId="449A04CD" w:rsidR="003726E5" w:rsidRPr="00BA1388" w:rsidRDefault="00AE692D" w:rsidP="00885E3F">
            <w:pPr>
              <w:keepNext/>
              <w:keepLines/>
              <w:spacing w:before="80" w:after="0"/>
              <w:rPr>
                <w:rFonts w:ascii="Arial" w:hAnsi="Arial"/>
                <w:sz w:val="16"/>
                <w:szCs w:val="16"/>
                <w:highlight w:val="yellow"/>
              </w:rPr>
            </w:pPr>
            <w:r w:rsidRPr="003F2A17">
              <w:rPr>
                <w:rFonts w:ascii="Arial" w:hAnsi="Arial"/>
                <w:color w:val="000000"/>
                <w:sz w:val="16"/>
                <w:szCs w:val="16"/>
              </w:rPr>
              <w:t>During 2025-26, the focus remains on sustainment of new enhancements and upgrades to the JORN capability system.  The sustainment obsolescence program will contribute to enhanced supportability of current assets.</w:t>
            </w:r>
          </w:p>
        </w:tc>
      </w:tr>
      <w:tr w:rsidR="003726E5" w:rsidRPr="00BA1388" w14:paraId="5A2AE154" w14:textId="77777777" w:rsidTr="00135BDE">
        <w:trPr>
          <w:trHeight w:val="283"/>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C32F612" w14:textId="78CD59AF" w:rsidR="003726E5" w:rsidRPr="004377C8" w:rsidRDefault="003726E5" w:rsidP="004609DC">
            <w:pPr>
              <w:spacing w:before="0" w:after="0"/>
              <w:rPr>
                <w:rFonts w:ascii="Arial" w:hAnsi="Arial"/>
                <w:sz w:val="16"/>
                <w:szCs w:val="16"/>
                <w:lang w:val="en-AU"/>
              </w:rPr>
            </w:pPr>
            <w:r w:rsidRPr="004377C8">
              <w:rPr>
                <w:rFonts w:ascii="Arial" w:hAnsi="Arial"/>
                <w:sz w:val="16"/>
                <w:szCs w:val="16"/>
              </w:rPr>
              <w:t>Explosive Ordnance Manufacturing Facilities</w:t>
            </w:r>
            <w:r w:rsidR="00410154">
              <w:rPr>
                <w:rFonts w:ascii="Arial" w:hAnsi="Arial"/>
                <w:sz w:val="16"/>
                <w:szCs w:val="16"/>
              </w:rPr>
              <w:t xml:space="preserve"> </w:t>
            </w:r>
          </w:p>
        </w:tc>
        <w:tc>
          <w:tcPr>
            <w:tcW w:w="942" w:type="dxa"/>
            <w:tcBorders>
              <w:top w:val="single" w:sz="4" w:space="0" w:color="auto"/>
              <w:left w:val="nil"/>
              <w:bottom w:val="single" w:sz="4" w:space="0" w:color="auto"/>
              <w:right w:val="single" w:sz="4" w:space="0" w:color="auto"/>
            </w:tcBorders>
            <w:shd w:val="clear" w:color="auto" w:fill="auto"/>
            <w:vAlign w:val="center"/>
          </w:tcPr>
          <w:p w14:paraId="7A17020D" w14:textId="517A2B34" w:rsidR="003726E5" w:rsidRPr="004377C8" w:rsidRDefault="003726E5" w:rsidP="003726E5">
            <w:pPr>
              <w:jc w:val="center"/>
              <w:rPr>
                <w:rFonts w:ascii="Arial" w:hAnsi="Arial"/>
                <w:b/>
                <w:bCs/>
                <w:sz w:val="16"/>
                <w:szCs w:val="16"/>
              </w:rPr>
            </w:pPr>
            <w:r w:rsidRPr="004377C8">
              <w:rPr>
                <w:rFonts w:ascii="Arial" w:hAnsi="Arial"/>
                <w:b/>
                <w:bCs/>
                <w:sz w:val="16"/>
                <w:szCs w:val="16"/>
              </w:rPr>
              <w:t>GWEO01</w:t>
            </w:r>
          </w:p>
        </w:tc>
        <w:tc>
          <w:tcPr>
            <w:tcW w:w="899" w:type="dxa"/>
            <w:tcBorders>
              <w:top w:val="single" w:sz="4" w:space="0" w:color="auto"/>
              <w:left w:val="nil"/>
              <w:bottom w:val="single" w:sz="4" w:space="0" w:color="auto"/>
              <w:right w:val="single" w:sz="4" w:space="0" w:color="auto"/>
            </w:tcBorders>
            <w:shd w:val="clear" w:color="auto" w:fill="auto"/>
            <w:vAlign w:val="center"/>
          </w:tcPr>
          <w:p w14:paraId="5FB6B41E" w14:textId="409A1AE4" w:rsidR="003726E5" w:rsidRPr="003726E5" w:rsidRDefault="003726E5" w:rsidP="003726E5">
            <w:pPr>
              <w:jc w:val="right"/>
              <w:rPr>
                <w:rFonts w:ascii="Arial" w:hAnsi="Arial"/>
                <w:sz w:val="16"/>
                <w:szCs w:val="16"/>
              </w:rPr>
            </w:pPr>
            <w:r w:rsidRPr="003726E5">
              <w:rPr>
                <w:rFonts w:ascii="Arial" w:hAnsi="Arial"/>
                <w:sz w:val="16"/>
                <w:szCs w:val="16"/>
              </w:rPr>
              <w:t>144</w:t>
            </w:r>
          </w:p>
        </w:tc>
        <w:tc>
          <w:tcPr>
            <w:tcW w:w="10054" w:type="dxa"/>
            <w:tcBorders>
              <w:top w:val="single" w:sz="4" w:space="0" w:color="auto"/>
              <w:left w:val="nil"/>
              <w:bottom w:val="single" w:sz="4" w:space="0" w:color="auto"/>
              <w:right w:val="single" w:sz="4" w:space="0" w:color="auto"/>
            </w:tcBorders>
            <w:shd w:val="clear" w:color="auto" w:fill="auto"/>
            <w:vAlign w:val="center"/>
          </w:tcPr>
          <w:p w14:paraId="39D86375" w14:textId="77777777" w:rsidR="00410154" w:rsidRPr="00410154" w:rsidRDefault="00410154" w:rsidP="00410154">
            <w:pPr>
              <w:keepNext/>
              <w:keepLines/>
              <w:spacing w:before="80" w:after="0"/>
              <w:rPr>
                <w:rFonts w:ascii="Arial" w:hAnsi="Arial"/>
                <w:sz w:val="16"/>
                <w:szCs w:val="16"/>
              </w:rPr>
            </w:pPr>
            <w:r w:rsidRPr="00410154">
              <w:rPr>
                <w:rFonts w:ascii="Arial" w:hAnsi="Arial"/>
                <w:sz w:val="16"/>
                <w:szCs w:val="16"/>
              </w:rPr>
              <w:t>Explosive Ordnance Manufacturing Facilities provides for the safe, compliant, and sustainable operation of the Government Owned, Contractor Operated munitions and explosives factories at Benalla (VIC) and Mulwala (NSW). These facilities provide the Australian Defence Force with a supply of specified domestically manufactured munitions and a surge capability to be able to generate and maintain munitions stock surety.</w:t>
            </w:r>
          </w:p>
          <w:p w14:paraId="7F28C56D" w14:textId="7F1FA87C" w:rsidR="003726E5" w:rsidRPr="00BA1388" w:rsidRDefault="00410154" w:rsidP="00410154">
            <w:pPr>
              <w:keepNext/>
              <w:keepLines/>
              <w:spacing w:before="80" w:after="0"/>
              <w:rPr>
                <w:rFonts w:ascii="Arial" w:hAnsi="Arial"/>
                <w:sz w:val="16"/>
                <w:szCs w:val="16"/>
                <w:highlight w:val="yellow"/>
              </w:rPr>
            </w:pPr>
            <w:r w:rsidRPr="00410154">
              <w:rPr>
                <w:rFonts w:ascii="Arial" w:hAnsi="Arial"/>
                <w:sz w:val="16"/>
                <w:szCs w:val="16"/>
              </w:rPr>
              <w:t>During 2025-26, sustainment activities will continue to be delivered that provide safe and sustainable domestic manufacturing capability and increased surety of supply.</w:t>
            </w:r>
          </w:p>
        </w:tc>
      </w:tr>
      <w:tr w:rsidR="0084711E" w:rsidRPr="00BA1388" w14:paraId="4C50830A" w14:textId="77777777" w:rsidTr="00680B8D">
        <w:trPr>
          <w:trHeight w:val="283"/>
        </w:trPr>
        <w:tc>
          <w:tcPr>
            <w:tcW w:w="13453"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370B6C8F" w14:textId="77777777" w:rsidR="0084711E" w:rsidRPr="002D105C" w:rsidRDefault="0084711E" w:rsidP="0084711E">
            <w:pPr>
              <w:keepNext/>
              <w:keepLines/>
              <w:spacing w:before="0" w:after="0"/>
              <w:jc w:val="both"/>
              <w:rPr>
                <w:rFonts w:ascii="Arial" w:hAnsi="Arial"/>
                <w:sz w:val="16"/>
                <w:szCs w:val="16"/>
              </w:rPr>
            </w:pPr>
            <w:r w:rsidRPr="002D105C">
              <w:rPr>
                <w:rFonts w:ascii="Arial" w:hAnsi="Arial"/>
                <w:b/>
                <w:bCs/>
                <w:sz w:val="16"/>
                <w:szCs w:val="16"/>
              </w:rPr>
              <w:lastRenderedPageBreak/>
              <w:t>Defence Enterprise Programs</w:t>
            </w:r>
          </w:p>
        </w:tc>
      </w:tr>
      <w:tr w:rsidR="003726E5" w:rsidRPr="00BA1388" w14:paraId="3A215E3E" w14:textId="77777777" w:rsidTr="00135BDE">
        <w:trPr>
          <w:trHeight w:val="283"/>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068B43EE" w14:textId="2902D7EA" w:rsidR="003726E5" w:rsidRPr="008D0719" w:rsidRDefault="003726E5" w:rsidP="004609DC">
            <w:pPr>
              <w:keepNext/>
              <w:keepLines/>
              <w:spacing w:before="0" w:after="0"/>
              <w:rPr>
                <w:rFonts w:ascii="Arial" w:hAnsi="Arial"/>
                <w:sz w:val="16"/>
                <w:szCs w:val="16"/>
              </w:rPr>
            </w:pPr>
            <w:r w:rsidRPr="008D0719">
              <w:rPr>
                <w:rFonts w:ascii="Arial" w:hAnsi="Arial"/>
                <w:sz w:val="16"/>
                <w:szCs w:val="16"/>
              </w:rPr>
              <w:t>Defence Logistics</w:t>
            </w:r>
            <w:r w:rsidR="00C6109E">
              <w:rPr>
                <w:rFonts w:ascii="Arial" w:hAnsi="Arial"/>
                <w:sz w:val="16"/>
                <w:szCs w:val="16"/>
              </w:rPr>
              <w:t xml:space="preserve"> </w:t>
            </w:r>
          </w:p>
        </w:tc>
        <w:tc>
          <w:tcPr>
            <w:tcW w:w="942" w:type="dxa"/>
            <w:tcBorders>
              <w:top w:val="single" w:sz="4" w:space="0" w:color="auto"/>
              <w:left w:val="nil"/>
              <w:bottom w:val="single" w:sz="4" w:space="0" w:color="auto"/>
              <w:right w:val="single" w:sz="4" w:space="0" w:color="auto"/>
            </w:tcBorders>
            <w:shd w:val="clear" w:color="auto" w:fill="auto"/>
            <w:vAlign w:val="center"/>
          </w:tcPr>
          <w:p w14:paraId="27B9BE88" w14:textId="4A49CE7F" w:rsidR="003726E5" w:rsidRPr="008D0719" w:rsidRDefault="003726E5" w:rsidP="0084711E">
            <w:pPr>
              <w:keepNext/>
              <w:keepLines/>
              <w:jc w:val="center"/>
              <w:rPr>
                <w:rFonts w:ascii="Arial" w:hAnsi="Arial"/>
                <w:b/>
                <w:bCs/>
                <w:sz w:val="16"/>
                <w:szCs w:val="16"/>
              </w:rPr>
            </w:pPr>
            <w:r w:rsidRPr="008D0719">
              <w:rPr>
                <w:rFonts w:ascii="Arial" w:hAnsi="Arial"/>
                <w:b/>
                <w:bCs/>
                <w:sz w:val="16"/>
                <w:szCs w:val="16"/>
              </w:rPr>
              <w:t>CJC034</w:t>
            </w:r>
          </w:p>
        </w:tc>
        <w:tc>
          <w:tcPr>
            <w:tcW w:w="899" w:type="dxa"/>
            <w:tcBorders>
              <w:top w:val="single" w:sz="4" w:space="0" w:color="auto"/>
              <w:left w:val="nil"/>
              <w:bottom w:val="single" w:sz="4" w:space="0" w:color="auto"/>
              <w:right w:val="single" w:sz="4" w:space="0" w:color="auto"/>
            </w:tcBorders>
            <w:shd w:val="clear" w:color="auto" w:fill="auto"/>
            <w:vAlign w:val="center"/>
          </w:tcPr>
          <w:p w14:paraId="1BCF1C4F" w14:textId="0C83C64A" w:rsidR="003726E5" w:rsidRPr="003726E5" w:rsidRDefault="003726E5" w:rsidP="0084711E">
            <w:pPr>
              <w:keepNext/>
              <w:keepLines/>
              <w:jc w:val="right"/>
              <w:rPr>
                <w:rFonts w:ascii="Arial" w:hAnsi="Arial"/>
                <w:sz w:val="16"/>
                <w:szCs w:val="16"/>
              </w:rPr>
            </w:pPr>
            <w:r w:rsidRPr="003726E5">
              <w:rPr>
                <w:rFonts w:ascii="Arial" w:hAnsi="Arial"/>
                <w:sz w:val="16"/>
                <w:szCs w:val="16"/>
              </w:rPr>
              <w:t>133</w:t>
            </w:r>
          </w:p>
        </w:tc>
        <w:tc>
          <w:tcPr>
            <w:tcW w:w="10054" w:type="dxa"/>
            <w:tcBorders>
              <w:top w:val="single" w:sz="4" w:space="0" w:color="auto"/>
              <w:left w:val="nil"/>
              <w:bottom w:val="single" w:sz="4" w:space="0" w:color="auto"/>
              <w:right w:val="single" w:sz="4" w:space="0" w:color="auto"/>
            </w:tcBorders>
            <w:shd w:val="clear" w:color="auto" w:fill="auto"/>
            <w:vAlign w:val="center"/>
          </w:tcPr>
          <w:p w14:paraId="737DBF50" w14:textId="507E9F2D" w:rsidR="003726E5" w:rsidRPr="00BA1388" w:rsidRDefault="008D0719" w:rsidP="00885E3F">
            <w:pPr>
              <w:keepNext/>
              <w:keepLines/>
              <w:spacing w:before="80" w:after="0"/>
              <w:rPr>
                <w:rFonts w:ascii="Arial" w:hAnsi="Arial"/>
                <w:sz w:val="16"/>
                <w:szCs w:val="16"/>
                <w:highlight w:val="yellow"/>
              </w:rPr>
            </w:pPr>
            <w:r w:rsidRPr="008D0719">
              <w:rPr>
                <w:rFonts w:ascii="Arial" w:hAnsi="Arial"/>
                <w:sz w:val="16"/>
                <w:szCs w:val="16"/>
              </w:rPr>
              <w:t>The Logistics Product operates warehouses across the Logistic network to support the national support base including the provision of freight services (domestically and International), along with the provision of Clot</w:t>
            </w:r>
            <w:r w:rsidR="00AF0C40">
              <w:rPr>
                <w:rFonts w:ascii="Arial" w:hAnsi="Arial"/>
                <w:sz w:val="16"/>
                <w:szCs w:val="16"/>
              </w:rPr>
              <w:t>hing and retail stores services</w:t>
            </w:r>
            <w:r w:rsidR="007D0608">
              <w:rPr>
                <w:rFonts w:ascii="Arial" w:hAnsi="Arial"/>
                <w:sz w:val="16"/>
                <w:szCs w:val="16"/>
              </w:rPr>
              <w:t>. In 2025-</w:t>
            </w:r>
            <w:r w:rsidRPr="008D0719">
              <w:rPr>
                <w:rFonts w:ascii="Arial" w:hAnsi="Arial"/>
                <w:sz w:val="16"/>
                <w:szCs w:val="16"/>
              </w:rPr>
              <w:t>26 the focus will be on the tr</w:t>
            </w:r>
            <w:r>
              <w:rPr>
                <w:rFonts w:ascii="Arial" w:hAnsi="Arial"/>
                <w:sz w:val="16"/>
                <w:szCs w:val="16"/>
              </w:rPr>
              <w:t>ansition into service the amalga</w:t>
            </w:r>
            <w:r w:rsidRPr="008D0719">
              <w:rPr>
                <w:rFonts w:ascii="Arial" w:hAnsi="Arial"/>
                <w:sz w:val="16"/>
                <w:szCs w:val="16"/>
              </w:rPr>
              <w:t xml:space="preserve">mation of existing </w:t>
            </w:r>
            <w:r w:rsidR="00885E3F">
              <w:rPr>
                <w:rFonts w:ascii="Arial" w:hAnsi="Arial"/>
                <w:sz w:val="16"/>
                <w:szCs w:val="16"/>
              </w:rPr>
              <w:t>w</w:t>
            </w:r>
            <w:r w:rsidRPr="008D0719">
              <w:rPr>
                <w:rFonts w:ascii="Arial" w:hAnsi="Arial"/>
                <w:sz w:val="16"/>
                <w:szCs w:val="16"/>
              </w:rPr>
              <w:t xml:space="preserve">arehousing and </w:t>
            </w:r>
            <w:r w:rsidR="00885E3F">
              <w:rPr>
                <w:rFonts w:ascii="Arial" w:hAnsi="Arial"/>
                <w:sz w:val="16"/>
                <w:szCs w:val="16"/>
              </w:rPr>
              <w:t>d</w:t>
            </w:r>
            <w:r w:rsidRPr="008D0719">
              <w:rPr>
                <w:rFonts w:ascii="Arial" w:hAnsi="Arial"/>
                <w:sz w:val="16"/>
                <w:szCs w:val="16"/>
              </w:rPr>
              <w:t xml:space="preserve">istribution contract and the provision of </w:t>
            </w:r>
            <w:r w:rsidR="00885E3F">
              <w:rPr>
                <w:rFonts w:ascii="Arial" w:hAnsi="Arial"/>
                <w:sz w:val="16"/>
                <w:szCs w:val="16"/>
              </w:rPr>
              <w:t>r</w:t>
            </w:r>
            <w:r w:rsidRPr="008D0719">
              <w:rPr>
                <w:rFonts w:ascii="Arial" w:hAnsi="Arial"/>
                <w:sz w:val="16"/>
                <w:szCs w:val="16"/>
              </w:rPr>
              <w:t xml:space="preserve">etail </w:t>
            </w:r>
            <w:r w:rsidR="00885E3F">
              <w:rPr>
                <w:rFonts w:ascii="Arial" w:hAnsi="Arial"/>
                <w:sz w:val="16"/>
                <w:szCs w:val="16"/>
              </w:rPr>
              <w:t>s</w:t>
            </w:r>
            <w:r w:rsidRPr="008D0719">
              <w:rPr>
                <w:rFonts w:ascii="Arial" w:hAnsi="Arial"/>
                <w:sz w:val="16"/>
                <w:szCs w:val="16"/>
              </w:rPr>
              <w:t>tores into one encompassing contract whilst continuing to support the ADF and partners.</w:t>
            </w:r>
          </w:p>
        </w:tc>
      </w:tr>
      <w:tr w:rsidR="003726E5" w:rsidRPr="00BA1388" w14:paraId="0FCDAA8F" w14:textId="77777777" w:rsidTr="00135BDE">
        <w:trPr>
          <w:trHeight w:val="283"/>
        </w:trPr>
        <w:tc>
          <w:tcPr>
            <w:tcW w:w="13453"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3A1341BC" w14:textId="77777777" w:rsidR="003726E5" w:rsidRPr="002D105C" w:rsidRDefault="003726E5" w:rsidP="003726E5">
            <w:pPr>
              <w:keepNext/>
              <w:keepLines/>
              <w:spacing w:before="0" w:after="0"/>
              <w:rPr>
                <w:rFonts w:ascii="Arial" w:hAnsi="Arial"/>
                <w:b/>
                <w:bCs/>
                <w:sz w:val="16"/>
                <w:szCs w:val="16"/>
              </w:rPr>
            </w:pPr>
            <w:r w:rsidRPr="002D105C">
              <w:rPr>
                <w:rFonts w:ascii="Arial" w:hAnsi="Arial"/>
                <w:b/>
                <w:bCs/>
                <w:sz w:val="16"/>
                <w:szCs w:val="16"/>
              </w:rPr>
              <w:t>Land Domain </w:t>
            </w:r>
          </w:p>
        </w:tc>
      </w:tr>
      <w:tr w:rsidR="003726E5" w:rsidRPr="00BA1388" w14:paraId="46DF9025" w14:textId="77777777" w:rsidTr="00135BDE">
        <w:trPr>
          <w:trHeight w:val="283"/>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014DA95" w14:textId="19E62CEA" w:rsidR="003726E5" w:rsidRPr="000F3485" w:rsidRDefault="003726E5" w:rsidP="004609DC">
            <w:pPr>
              <w:spacing w:before="0" w:after="0"/>
              <w:rPr>
                <w:rFonts w:ascii="Arial" w:hAnsi="Arial"/>
                <w:sz w:val="16"/>
                <w:szCs w:val="16"/>
                <w:lang w:val="en-AU"/>
              </w:rPr>
            </w:pPr>
            <w:r w:rsidRPr="000F3485">
              <w:rPr>
                <w:rFonts w:ascii="Arial" w:hAnsi="Arial"/>
                <w:sz w:val="16"/>
                <w:szCs w:val="16"/>
              </w:rPr>
              <w:t>Explosive Ordnance - Army Munitions Branch</w:t>
            </w:r>
            <w:r w:rsidR="00410154">
              <w:rPr>
                <w:rFonts w:ascii="Arial" w:hAnsi="Arial"/>
                <w:sz w:val="16"/>
                <w:szCs w:val="16"/>
              </w:rPr>
              <w:t xml:space="preserve"> </w:t>
            </w:r>
          </w:p>
        </w:tc>
        <w:tc>
          <w:tcPr>
            <w:tcW w:w="942" w:type="dxa"/>
            <w:tcBorders>
              <w:top w:val="single" w:sz="4" w:space="0" w:color="auto"/>
              <w:left w:val="nil"/>
              <w:bottom w:val="single" w:sz="4" w:space="0" w:color="auto"/>
              <w:right w:val="single" w:sz="4" w:space="0" w:color="auto"/>
            </w:tcBorders>
            <w:shd w:val="clear" w:color="auto" w:fill="auto"/>
            <w:vAlign w:val="center"/>
          </w:tcPr>
          <w:p w14:paraId="1B126D88" w14:textId="77777777" w:rsidR="003726E5" w:rsidRPr="000F3485" w:rsidRDefault="003726E5" w:rsidP="003726E5">
            <w:pPr>
              <w:jc w:val="center"/>
              <w:rPr>
                <w:rFonts w:ascii="Arial" w:hAnsi="Arial"/>
                <w:b/>
                <w:bCs/>
                <w:sz w:val="16"/>
                <w:szCs w:val="16"/>
              </w:rPr>
            </w:pPr>
            <w:r w:rsidRPr="000F3485">
              <w:rPr>
                <w:rFonts w:ascii="Arial" w:hAnsi="Arial"/>
                <w:b/>
                <w:bCs/>
                <w:sz w:val="16"/>
                <w:szCs w:val="16"/>
              </w:rPr>
              <w:t>CA59</w:t>
            </w:r>
          </w:p>
        </w:tc>
        <w:tc>
          <w:tcPr>
            <w:tcW w:w="899" w:type="dxa"/>
            <w:tcBorders>
              <w:top w:val="single" w:sz="4" w:space="0" w:color="auto"/>
              <w:left w:val="nil"/>
              <w:bottom w:val="single" w:sz="4" w:space="0" w:color="auto"/>
              <w:right w:val="single" w:sz="4" w:space="0" w:color="auto"/>
            </w:tcBorders>
            <w:shd w:val="clear" w:color="auto" w:fill="auto"/>
            <w:vAlign w:val="center"/>
          </w:tcPr>
          <w:p w14:paraId="2D00C75C" w14:textId="5C249B00" w:rsidR="003726E5" w:rsidRPr="00BA1388" w:rsidRDefault="003726E5" w:rsidP="003726E5">
            <w:pPr>
              <w:jc w:val="right"/>
              <w:rPr>
                <w:rFonts w:ascii="Arial" w:hAnsi="Arial"/>
                <w:sz w:val="16"/>
                <w:szCs w:val="16"/>
                <w:highlight w:val="yellow"/>
              </w:rPr>
            </w:pPr>
            <w:r>
              <w:rPr>
                <w:rFonts w:ascii="Arial" w:hAnsi="Arial"/>
                <w:sz w:val="16"/>
                <w:szCs w:val="16"/>
              </w:rPr>
              <w:t>327</w:t>
            </w:r>
          </w:p>
        </w:tc>
        <w:tc>
          <w:tcPr>
            <w:tcW w:w="10054" w:type="dxa"/>
            <w:tcBorders>
              <w:top w:val="single" w:sz="4" w:space="0" w:color="auto"/>
              <w:left w:val="nil"/>
              <w:bottom w:val="single" w:sz="4" w:space="0" w:color="auto"/>
              <w:right w:val="single" w:sz="4" w:space="0" w:color="auto"/>
            </w:tcBorders>
            <w:shd w:val="clear" w:color="auto" w:fill="auto"/>
            <w:vAlign w:val="center"/>
          </w:tcPr>
          <w:p w14:paraId="2DBEACDF" w14:textId="77777777" w:rsidR="00410154" w:rsidRPr="00410154" w:rsidRDefault="00410154" w:rsidP="00410154">
            <w:pPr>
              <w:keepNext/>
              <w:keepLines/>
              <w:spacing w:before="80" w:after="0"/>
              <w:rPr>
                <w:rFonts w:ascii="Arial" w:hAnsi="Arial"/>
                <w:sz w:val="16"/>
                <w:szCs w:val="16"/>
              </w:rPr>
            </w:pPr>
            <w:r w:rsidRPr="00410154">
              <w:rPr>
                <w:rFonts w:ascii="Arial" w:hAnsi="Arial"/>
                <w:sz w:val="16"/>
                <w:szCs w:val="16"/>
              </w:rPr>
              <w:t>Sustainment of Army Munitions and Guided Weapons supports Army's explosive ordnance inventory which consists of small arms ammunition, pyrotechnics, mortar and artillery ammunition, special purpose ammunition, demolitions stores, vehicle ammunition, direct fire and Army guided weapons. This also includes sustainment of inventory used by Navy and Air Force where Army is the lead service.</w:t>
            </w:r>
          </w:p>
          <w:p w14:paraId="11ECDCCE" w14:textId="05B29161" w:rsidR="003726E5" w:rsidRPr="000F3485" w:rsidRDefault="00410154" w:rsidP="00885E3F">
            <w:pPr>
              <w:keepNext/>
              <w:keepLines/>
              <w:spacing w:before="80" w:after="0"/>
              <w:rPr>
                <w:rFonts w:ascii="Arial" w:hAnsi="Arial"/>
                <w:sz w:val="16"/>
                <w:szCs w:val="16"/>
              </w:rPr>
            </w:pPr>
            <w:r w:rsidRPr="00410154">
              <w:rPr>
                <w:rFonts w:ascii="Arial" w:hAnsi="Arial"/>
                <w:sz w:val="16"/>
                <w:szCs w:val="16"/>
              </w:rPr>
              <w:t xml:space="preserve">During 2025-26, the focus will be on </w:t>
            </w:r>
            <w:r w:rsidR="00885E3F">
              <w:rPr>
                <w:rFonts w:ascii="Arial" w:hAnsi="Arial"/>
                <w:sz w:val="16"/>
                <w:szCs w:val="16"/>
              </w:rPr>
              <w:t>the improvement</w:t>
            </w:r>
            <w:r w:rsidRPr="00410154">
              <w:rPr>
                <w:rFonts w:ascii="Arial" w:hAnsi="Arial"/>
                <w:sz w:val="16"/>
                <w:szCs w:val="16"/>
              </w:rPr>
              <w:t xml:space="preserve"> of the land explosive ordnance inventory, finalising through life management plans, and transitioning new capabilities procured by major projects, such as Future Artillery Ammunition to in-service support. This will also include consideration of domestic manufacturing opportunities and in-country maintenance, repair, overhaul and upgrades.</w:t>
            </w:r>
          </w:p>
        </w:tc>
      </w:tr>
      <w:tr w:rsidR="004411F4" w:rsidRPr="00BA1388" w14:paraId="4D977746" w14:textId="77777777" w:rsidTr="00135BDE">
        <w:trPr>
          <w:trHeight w:val="1124"/>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7F7EBAEF" w14:textId="7E52D501" w:rsidR="004411F4" w:rsidRPr="00AE692D" w:rsidRDefault="004411F4" w:rsidP="004609DC">
            <w:pPr>
              <w:rPr>
                <w:rFonts w:ascii="Arial" w:hAnsi="Arial"/>
                <w:sz w:val="16"/>
                <w:szCs w:val="16"/>
              </w:rPr>
            </w:pPr>
            <w:r w:rsidRPr="00AE692D">
              <w:rPr>
                <w:rFonts w:ascii="Arial" w:hAnsi="Arial"/>
                <w:sz w:val="16"/>
                <w:szCs w:val="16"/>
              </w:rPr>
              <w:t>Armed Reconnaissance Helicopter Weapons System</w:t>
            </w:r>
            <w:r w:rsidR="00AE692D">
              <w:rPr>
                <w:rFonts w:ascii="Arial" w:hAnsi="Arial"/>
                <w:sz w:val="16"/>
                <w:szCs w:val="16"/>
              </w:rPr>
              <w:t xml:space="preserve"> </w:t>
            </w:r>
          </w:p>
        </w:tc>
        <w:tc>
          <w:tcPr>
            <w:tcW w:w="942" w:type="dxa"/>
            <w:tcBorders>
              <w:top w:val="single" w:sz="4" w:space="0" w:color="auto"/>
              <w:left w:val="nil"/>
              <w:bottom w:val="single" w:sz="4" w:space="0" w:color="auto"/>
              <w:right w:val="single" w:sz="4" w:space="0" w:color="auto"/>
            </w:tcBorders>
            <w:shd w:val="clear" w:color="auto" w:fill="auto"/>
            <w:vAlign w:val="center"/>
          </w:tcPr>
          <w:p w14:paraId="3BD65192" w14:textId="43B08685" w:rsidR="004411F4" w:rsidRPr="00AE692D" w:rsidRDefault="004411F4" w:rsidP="004411F4">
            <w:pPr>
              <w:jc w:val="center"/>
              <w:rPr>
                <w:rFonts w:ascii="Arial" w:hAnsi="Arial"/>
                <w:b/>
                <w:bCs/>
                <w:sz w:val="16"/>
                <w:szCs w:val="16"/>
              </w:rPr>
            </w:pPr>
            <w:r w:rsidRPr="00AE692D">
              <w:rPr>
                <w:rFonts w:ascii="Arial" w:hAnsi="Arial"/>
                <w:b/>
                <w:bCs/>
                <w:sz w:val="16"/>
                <w:szCs w:val="16"/>
              </w:rPr>
              <w:t>CA12</w:t>
            </w:r>
          </w:p>
        </w:tc>
        <w:tc>
          <w:tcPr>
            <w:tcW w:w="899" w:type="dxa"/>
            <w:tcBorders>
              <w:top w:val="single" w:sz="4" w:space="0" w:color="auto"/>
              <w:left w:val="nil"/>
              <w:bottom w:val="single" w:sz="4" w:space="0" w:color="auto"/>
              <w:right w:val="single" w:sz="4" w:space="0" w:color="auto"/>
            </w:tcBorders>
            <w:shd w:val="clear" w:color="auto" w:fill="auto"/>
            <w:vAlign w:val="center"/>
          </w:tcPr>
          <w:p w14:paraId="28041380" w14:textId="662584D7" w:rsidR="004411F4" w:rsidRPr="003726E5" w:rsidRDefault="004411F4" w:rsidP="004411F4">
            <w:pPr>
              <w:jc w:val="right"/>
              <w:rPr>
                <w:rFonts w:ascii="Arial" w:hAnsi="Arial"/>
                <w:sz w:val="16"/>
                <w:szCs w:val="16"/>
              </w:rPr>
            </w:pPr>
            <w:r w:rsidRPr="003726E5">
              <w:rPr>
                <w:rFonts w:ascii="Arial" w:hAnsi="Arial"/>
                <w:sz w:val="16"/>
                <w:szCs w:val="16"/>
              </w:rPr>
              <w:t>146</w:t>
            </w:r>
          </w:p>
        </w:tc>
        <w:tc>
          <w:tcPr>
            <w:tcW w:w="10054" w:type="dxa"/>
            <w:tcBorders>
              <w:top w:val="single" w:sz="4" w:space="0" w:color="auto"/>
              <w:left w:val="nil"/>
              <w:bottom w:val="single" w:sz="4" w:space="0" w:color="auto"/>
              <w:right w:val="single" w:sz="4" w:space="0" w:color="auto"/>
            </w:tcBorders>
            <w:shd w:val="clear" w:color="auto" w:fill="auto"/>
            <w:vAlign w:val="center"/>
          </w:tcPr>
          <w:p w14:paraId="2D787623" w14:textId="5E2F9BFD" w:rsidR="00AE692D" w:rsidRPr="003F2A17" w:rsidRDefault="002D577D" w:rsidP="00AE692D">
            <w:pPr>
              <w:spacing w:before="120" w:after="120"/>
              <w:rPr>
                <w:rFonts w:ascii="Arial" w:hAnsi="Arial"/>
                <w:sz w:val="16"/>
                <w:szCs w:val="16"/>
              </w:rPr>
            </w:pPr>
            <w:r>
              <w:rPr>
                <w:rFonts w:ascii="Arial" w:hAnsi="Arial"/>
                <w:sz w:val="16"/>
                <w:szCs w:val="16"/>
              </w:rPr>
              <w:t>This product</w:t>
            </w:r>
            <w:r w:rsidR="00AE692D" w:rsidRPr="003F2A17">
              <w:rPr>
                <w:rFonts w:ascii="Arial" w:hAnsi="Arial"/>
                <w:sz w:val="16"/>
                <w:szCs w:val="16"/>
              </w:rPr>
              <w:t xml:space="preserve"> manages the sustainment of the Armed Reconnaissance Helicopter System (ARH).</w:t>
            </w:r>
          </w:p>
          <w:p w14:paraId="3F6CD796" w14:textId="6033BB8D" w:rsidR="004411F4" w:rsidRPr="00BA1388" w:rsidRDefault="00AE692D" w:rsidP="003E3FCD">
            <w:pPr>
              <w:keepNext/>
              <w:keepLines/>
              <w:spacing w:before="80" w:after="0"/>
              <w:rPr>
                <w:rFonts w:ascii="Arial" w:hAnsi="Arial"/>
                <w:sz w:val="16"/>
                <w:szCs w:val="16"/>
                <w:highlight w:val="yellow"/>
              </w:rPr>
            </w:pPr>
            <w:r w:rsidRPr="003F2A17">
              <w:rPr>
                <w:rFonts w:ascii="Arial" w:hAnsi="Arial"/>
                <w:sz w:val="16"/>
                <w:szCs w:val="16"/>
              </w:rPr>
              <w:t xml:space="preserve">During 2025-26, the ARH capability will continue </w:t>
            </w:r>
            <w:r w:rsidR="00885E3F">
              <w:rPr>
                <w:rFonts w:ascii="Arial" w:hAnsi="Arial"/>
                <w:sz w:val="16"/>
                <w:szCs w:val="16"/>
              </w:rPr>
              <w:t xml:space="preserve">to support the capability prior to its planned </w:t>
            </w:r>
            <w:r w:rsidRPr="003F2A17">
              <w:rPr>
                <w:rFonts w:ascii="Arial" w:hAnsi="Arial"/>
                <w:sz w:val="16"/>
                <w:szCs w:val="16"/>
              </w:rPr>
              <w:t>withdrawal from service.</w:t>
            </w:r>
          </w:p>
        </w:tc>
      </w:tr>
      <w:tr w:rsidR="004411F4" w:rsidRPr="00BA1388" w14:paraId="2B96AF8C" w14:textId="77777777" w:rsidTr="00135BDE">
        <w:trPr>
          <w:trHeight w:val="1124"/>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535A58C5" w14:textId="5F866C86" w:rsidR="004411F4" w:rsidRPr="00AE692D" w:rsidRDefault="004411F4" w:rsidP="004609DC">
            <w:pPr>
              <w:rPr>
                <w:rFonts w:ascii="Arial" w:hAnsi="Arial"/>
                <w:sz w:val="16"/>
                <w:szCs w:val="16"/>
              </w:rPr>
            </w:pPr>
            <w:r w:rsidRPr="00AE692D">
              <w:rPr>
                <w:rFonts w:ascii="Arial" w:hAnsi="Arial"/>
                <w:sz w:val="16"/>
                <w:szCs w:val="16"/>
              </w:rPr>
              <w:t xml:space="preserve">Protected Mobility Fleet </w:t>
            </w:r>
            <w:r w:rsidR="00AE692D">
              <w:rPr>
                <w:rFonts w:ascii="Arial" w:hAnsi="Arial"/>
                <w:sz w:val="16"/>
                <w:szCs w:val="16"/>
              </w:rPr>
              <w:t>–</w:t>
            </w:r>
            <w:r w:rsidRPr="00AE692D">
              <w:rPr>
                <w:rFonts w:ascii="Arial" w:hAnsi="Arial"/>
                <w:sz w:val="16"/>
                <w:szCs w:val="16"/>
              </w:rPr>
              <w:t xml:space="preserve"> Bushranger</w:t>
            </w:r>
            <w:r w:rsidR="00AE692D">
              <w:rPr>
                <w:rFonts w:ascii="Arial" w:hAnsi="Arial"/>
                <w:sz w:val="16"/>
                <w:szCs w:val="16"/>
              </w:rPr>
              <w:t xml:space="preserve"> </w:t>
            </w:r>
          </w:p>
        </w:tc>
        <w:tc>
          <w:tcPr>
            <w:tcW w:w="942" w:type="dxa"/>
            <w:tcBorders>
              <w:top w:val="single" w:sz="4" w:space="0" w:color="auto"/>
              <w:left w:val="nil"/>
              <w:bottom w:val="single" w:sz="4" w:space="0" w:color="auto"/>
              <w:right w:val="single" w:sz="4" w:space="0" w:color="auto"/>
            </w:tcBorders>
            <w:shd w:val="clear" w:color="auto" w:fill="auto"/>
            <w:vAlign w:val="center"/>
          </w:tcPr>
          <w:p w14:paraId="4C0C5AA0" w14:textId="77777777" w:rsidR="004411F4" w:rsidRPr="00AE692D" w:rsidRDefault="004411F4" w:rsidP="004411F4">
            <w:pPr>
              <w:jc w:val="center"/>
              <w:rPr>
                <w:rFonts w:ascii="Arial" w:hAnsi="Arial"/>
                <w:b/>
                <w:bCs/>
                <w:sz w:val="16"/>
                <w:szCs w:val="16"/>
              </w:rPr>
            </w:pPr>
            <w:r w:rsidRPr="00AE692D">
              <w:rPr>
                <w:rFonts w:ascii="Arial" w:hAnsi="Arial"/>
                <w:b/>
                <w:bCs/>
                <w:sz w:val="16"/>
                <w:szCs w:val="16"/>
              </w:rPr>
              <w:t>CA04</w:t>
            </w:r>
          </w:p>
        </w:tc>
        <w:tc>
          <w:tcPr>
            <w:tcW w:w="899" w:type="dxa"/>
            <w:tcBorders>
              <w:top w:val="single" w:sz="4" w:space="0" w:color="auto"/>
              <w:left w:val="nil"/>
              <w:bottom w:val="single" w:sz="4" w:space="0" w:color="auto"/>
              <w:right w:val="single" w:sz="4" w:space="0" w:color="auto"/>
            </w:tcBorders>
            <w:shd w:val="clear" w:color="auto" w:fill="auto"/>
            <w:vAlign w:val="center"/>
          </w:tcPr>
          <w:p w14:paraId="10FD9CE5" w14:textId="67340500" w:rsidR="004411F4" w:rsidRPr="00BA1388" w:rsidRDefault="004411F4" w:rsidP="004411F4">
            <w:pPr>
              <w:jc w:val="right"/>
              <w:rPr>
                <w:rFonts w:ascii="Arial" w:hAnsi="Arial"/>
                <w:sz w:val="16"/>
                <w:szCs w:val="16"/>
                <w:highlight w:val="yellow"/>
              </w:rPr>
            </w:pPr>
            <w:r>
              <w:rPr>
                <w:rFonts w:ascii="Arial" w:hAnsi="Arial"/>
                <w:sz w:val="16"/>
                <w:szCs w:val="16"/>
              </w:rPr>
              <w:t>162</w:t>
            </w:r>
          </w:p>
        </w:tc>
        <w:tc>
          <w:tcPr>
            <w:tcW w:w="10054" w:type="dxa"/>
            <w:tcBorders>
              <w:top w:val="single" w:sz="4" w:space="0" w:color="auto"/>
              <w:left w:val="nil"/>
              <w:bottom w:val="single" w:sz="4" w:space="0" w:color="auto"/>
              <w:right w:val="single" w:sz="4" w:space="0" w:color="auto"/>
            </w:tcBorders>
            <w:shd w:val="clear" w:color="auto" w:fill="auto"/>
            <w:vAlign w:val="center"/>
          </w:tcPr>
          <w:p w14:paraId="1C150707" w14:textId="77777777" w:rsidR="00AE692D" w:rsidRPr="003F2A17" w:rsidRDefault="00AE692D" w:rsidP="00AE692D">
            <w:pPr>
              <w:keepNext/>
              <w:keepLines/>
              <w:spacing w:before="120" w:after="120"/>
              <w:rPr>
                <w:rFonts w:ascii="Arial" w:hAnsi="Arial"/>
                <w:color w:val="000000"/>
                <w:sz w:val="16"/>
                <w:szCs w:val="16"/>
              </w:rPr>
            </w:pPr>
            <w:r w:rsidRPr="003F2A17">
              <w:rPr>
                <w:rFonts w:ascii="Arial" w:hAnsi="Arial"/>
                <w:color w:val="000000"/>
                <w:sz w:val="16"/>
                <w:szCs w:val="16"/>
              </w:rPr>
              <w:t>This product provides in-service support for the Bushmaster Medium Protected Mobility Vehicles and Hawkei Light Protected Mobility Vehicles. Support is provided by Regional Joint Logistics Units and the vehicle manufacturer Thales Australia. Contractor deliverables include engineering support, spare parts and heavy grade repair of the vehicles.</w:t>
            </w:r>
          </w:p>
          <w:p w14:paraId="6F3DA959" w14:textId="6DBB59B4" w:rsidR="004411F4" w:rsidRPr="00BA1388" w:rsidRDefault="00AE692D" w:rsidP="00AE692D">
            <w:pPr>
              <w:keepNext/>
              <w:keepLines/>
              <w:spacing w:before="80" w:after="0"/>
              <w:rPr>
                <w:rFonts w:ascii="Arial" w:hAnsi="Arial"/>
                <w:sz w:val="16"/>
                <w:szCs w:val="16"/>
                <w:highlight w:val="yellow"/>
              </w:rPr>
            </w:pPr>
            <w:r w:rsidRPr="003F2A17">
              <w:rPr>
                <w:rFonts w:ascii="Arial" w:hAnsi="Arial"/>
                <w:color w:val="000000"/>
                <w:sz w:val="16"/>
                <w:szCs w:val="16"/>
              </w:rPr>
              <w:t>During 2025-26, Defence will continue to sustain the Bushmaster and Hawkei fleets, as well as conduct risk reduction activities for both fleets to prepare for the LAND 4111 Protected Mobility Vehicle Technology Modernisation Program.</w:t>
            </w:r>
          </w:p>
        </w:tc>
      </w:tr>
      <w:tr w:rsidR="0084711E" w:rsidRPr="004411F4" w14:paraId="21180505" w14:textId="77777777" w:rsidTr="00680B8D">
        <w:trPr>
          <w:trHeight w:val="517"/>
        </w:trPr>
        <w:tc>
          <w:tcPr>
            <w:tcW w:w="1345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774828" w14:textId="77777777" w:rsidR="0084711E" w:rsidRPr="004411F4" w:rsidRDefault="0084711E" w:rsidP="00680B8D">
            <w:pPr>
              <w:keepNext/>
              <w:keepLines/>
              <w:spacing w:before="80" w:after="0"/>
              <w:rPr>
                <w:rFonts w:ascii="Arial" w:hAnsi="Arial"/>
                <w:b/>
                <w:bCs/>
                <w:sz w:val="16"/>
                <w:szCs w:val="16"/>
              </w:rPr>
            </w:pPr>
            <w:r w:rsidRPr="005A2BE2">
              <w:rPr>
                <w:rFonts w:ascii="Arial" w:hAnsi="Arial"/>
                <w:b/>
                <w:bCs/>
                <w:sz w:val="16"/>
                <w:szCs w:val="16"/>
              </w:rPr>
              <w:lastRenderedPageBreak/>
              <w:t>Land Domain (Continued)</w:t>
            </w:r>
          </w:p>
        </w:tc>
      </w:tr>
      <w:tr w:rsidR="004411F4" w:rsidRPr="00BA1388" w14:paraId="3492EFAD" w14:textId="77777777" w:rsidTr="003726E5">
        <w:trPr>
          <w:trHeight w:val="378"/>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538EF461" w14:textId="0AF726A2" w:rsidR="004411F4" w:rsidRPr="00FE45A1" w:rsidRDefault="004411F4" w:rsidP="004609DC">
            <w:pPr>
              <w:keepNext/>
              <w:keepLines/>
              <w:rPr>
                <w:rFonts w:ascii="Arial" w:hAnsi="Arial"/>
                <w:sz w:val="16"/>
                <w:szCs w:val="16"/>
              </w:rPr>
            </w:pPr>
            <w:r w:rsidRPr="00FE45A1">
              <w:rPr>
                <w:rFonts w:ascii="Arial" w:hAnsi="Arial"/>
                <w:sz w:val="16"/>
                <w:szCs w:val="16"/>
              </w:rPr>
              <w:t>Boxer</w:t>
            </w:r>
            <w:r w:rsidR="00FE45A1">
              <w:rPr>
                <w:rFonts w:ascii="Arial" w:hAnsi="Arial"/>
                <w:sz w:val="16"/>
                <w:szCs w:val="16"/>
              </w:rPr>
              <w:t xml:space="preserve"> </w:t>
            </w:r>
          </w:p>
        </w:tc>
        <w:tc>
          <w:tcPr>
            <w:tcW w:w="942" w:type="dxa"/>
            <w:tcBorders>
              <w:top w:val="single" w:sz="4" w:space="0" w:color="auto"/>
              <w:left w:val="nil"/>
              <w:bottom w:val="single" w:sz="4" w:space="0" w:color="auto"/>
              <w:right w:val="single" w:sz="4" w:space="0" w:color="auto"/>
            </w:tcBorders>
            <w:shd w:val="clear" w:color="auto" w:fill="auto"/>
            <w:vAlign w:val="center"/>
          </w:tcPr>
          <w:p w14:paraId="2E421EFB" w14:textId="4D6451C8" w:rsidR="004411F4" w:rsidRPr="00FE45A1" w:rsidRDefault="004411F4" w:rsidP="0084711E">
            <w:pPr>
              <w:keepNext/>
              <w:keepLines/>
              <w:jc w:val="center"/>
              <w:rPr>
                <w:rFonts w:ascii="Arial" w:hAnsi="Arial"/>
                <w:b/>
                <w:bCs/>
                <w:sz w:val="16"/>
                <w:szCs w:val="16"/>
              </w:rPr>
            </w:pPr>
            <w:r w:rsidRPr="00FE45A1">
              <w:rPr>
                <w:rFonts w:ascii="Arial" w:hAnsi="Arial"/>
                <w:b/>
                <w:bCs/>
                <w:sz w:val="16"/>
                <w:szCs w:val="16"/>
              </w:rPr>
              <w:t>CA82</w:t>
            </w:r>
          </w:p>
        </w:tc>
        <w:tc>
          <w:tcPr>
            <w:tcW w:w="899" w:type="dxa"/>
            <w:tcBorders>
              <w:top w:val="single" w:sz="4" w:space="0" w:color="auto"/>
              <w:left w:val="nil"/>
              <w:bottom w:val="single" w:sz="4" w:space="0" w:color="auto"/>
              <w:right w:val="single" w:sz="4" w:space="0" w:color="auto"/>
            </w:tcBorders>
            <w:shd w:val="clear" w:color="auto" w:fill="auto"/>
            <w:vAlign w:val="center"/>
          </w:tcPr>
          <w:p w14:paraId="39AB52AF" w14:textId="1CA243C5" w:rsidR="004411F4" w:rsidRDefault="004411F4" w:rsidP="0084711E">
            <w:pPr>
              <w:keepNext/>
              <w:keepLines/>
              <w:jc w:val="right"/>
              <w:rPr>
                <w:rFonts w:ascii="Arial" w:hAnsi="Arial"/>
                <w:sz w:val="16"/>
                <w:szCs w:val="16"/>
              </w:rPr>
            </w:pPr>
            <w:r w:rsidRPr="003726E5">
              <w:rPr>
                <w:rFonts w:ascii="Arial" w:hAnsi="Arial"/>
                <w:sz w:val="16"/>
                <w:szCs w:val="16"/>
              </w:rPr>
              <w:t>138</w:t>
            </w:r>
          </w:p>
        </w:tc>
        <w:tc>
          <w:tcPr>
            <w:tcW w:w="10054" w:type="dxa"/>
            <w:tcBorders>
              <w:top w:val="single" w:sz="4" w:space="0" w:color="auto"/>
              <w:left w:val="nil"/>
              <w:bottom w:val="single" w:sz="4" w:space="0" w:color="auto"/>
              <w:right w:val="single" w:sz="4" w:space="0" w:color="auto"/>
            </w:tcBorders>
            <w:shd w:val="clear" w:color="auto" w:fill="auto"/>
            <w:vAlign w:val="center"/>
          </w:tcPr>
          <w:p w14:paraId="2E08AC36" w14:textId="77777777" w:rsidR="00277870" w:rsidRPr="00D917C2" w:rsidRDefault="00277870" w:rsidP="0084711E">
            <w:pPr>
              <w:keepNext/>
              <w:keepLines/>
              <w:rPr>
                <w:rFonts w:ascii="Arial" w:eastAsiaTheme="minorHAnsi" w:hAnsi="Arial"/>
                <w:color w:val="000000"/>
                <w:sz w:val="16"/>
                <w:szCs w:val="16"/>
                <w:lang w:val="en-AU" w:eastAsia="en-US"/>
              </w:rPr>
            </w:pPr>
            <w:r w:rsidRPr="00D917C2">
              <w:rPr>
                <w:rFonts w:ascii="Arial" w:eastAsiaTheme="minorHAnsi" w:hAnsi="Arial"/>
                <w:color w:val="000000"/>
                <w:sz w:val="16"/>
                <w:szCs w:val="16"/>
                <w:lang w:val="en-AU" w:eastAsia="en-US"/>
              </w:rPr>
              <w:t>This product provides in-service support to the Boxer Block I Combat Reconnaissance Vehicles and the introduction of the Boxer Block II vehicles.  Delivery of all 25 initial Block I vehicles is complete. Delivery of the remaining Block II vehicles has commenced. Rheinmetall Defence Australia is using suppliers across Australia to assist in the design, build, assembly, test and support of the Boxer vehicles and training systems at the Military Vehicle Centre of Excellence facility, in Redbank, Queensland.</w:t>
            </w:r>
          </w:p>
          <w:p w14:paraId="7C8FD2B2" w14:textId="6987FE7F" w:rsidR="004411F4" w:rsidRPr="00BA1388" w:rsidRDefault="00277870" w:rsidP="0084711E">
            <w:pPr>
              <w:keepNext/>
              <w:keepLines/>
              <w:rPr>
                <w:rFonts w:ascii="Arial" w:hAnsi="Arial"/>
                <w:sz w:val="16"/>
                <w:szCs w:val="16"/>
                <w:highlight w:val="yellow"/>
              </w:rPr>
            </w:pPr>
            <w:r w:rsidRPr="00D917C2">
              <w:rPr>
                <w:rFonts w:ascii="Arial" w:eastAsiaTheme="minorHAnsi" w:hAnsi="Arial"/>
                <w:color w:val="000000"/>
                <w:sz w:val="16"/>
                <w:szCs w:val="16"/>
                <w:lang w:val="en-AU" w:eastAsia="en-US"/>
              </w:rPr>
              <w:t>During 2025-26, Defence will continue to sustain the Boxer Block I fleet, as well as work with Rheinmetall Defence Australia to ensure support requirements for the Block II fleet are optimised to meet Army’s requirements.</w:t>
            </w:r>
          </w:p>
        </w:tc>
      </w:tr>
      <w:tr w:rsidR="004411F4" w:rsidRPr="00BA1388" w14:paraId="35B2BE22" w14:textId="77777777" w:rsidTr="00135BDE">
        <w:trPr>
          <w:trHeight w:val="1416"/>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5B85D2D1" w14:textId="30A32A33" w:rsidR="004411F4" w:rsidRPr="00AE692D" w:rsidRDefault="004411F4" w:rsidP="004609DC">
            <w:pPr>
              <w:rPr>
                <w:rFonts w:ascii="Arial" w:hAnsi="Arial"/>
                <w:sz w:val="16"/>
                <w:szCs w:val="16"/>
              </w:rPr>
            </w:pPr>
            <w:r w:rsidRPr="00AE692D">
              <w:rPr>
                <w:rFonts w:ascii="Arial" w:hAnsi="Arial"/>
                <w:sz w:val="16"/>
                <w:szCs w:val="16"/>
              </w:rPr>
              <w:t>Battlespace Communication Systems</w:t>
            </w:r>
            <w:r w:rsidR="00AE692D">
              <w:rPr>
                <w:rFonts w:ascii="Arial" w:hAnsi="Arial"/>
                <w:sz w:val="16"/>
                <w:szCs w:val="16"/>
              </w:rPr>
              <w:t xml:space="preserve"> </w:t>
            </w:r>
          </w:p>
        </w:tc>
        <w:tc>
          <w:tcPr>
            <w:tcW w:w="942" w:type="dxa"/>
            <w:tcBorders>
              <w:top w:val="single" w:sz="4" w:space="0" w:color="auto"/>
              <w:left w:val="nil"/>
              <w:bottom w:val="single" w:sz="4" w:space="0" w:color="auto"/>
              <w:right w:val="single" w:sz="4" w:space="0" w:color="auto"/>
            </w:tcBorders>
            <w:shd w:val="clear" w:color="auto" w:fill="auto"/>
            <w:vAlign w:val="center"/>
          </w:tcPr>
          <w:p w14:paraId="37F58341" w14:textId="77777777" w:rsidR="004411F4" w:rsidRPr="00AE692D" w:rsidRDefault="004411F4" w:rsidP="004411F4">
            <w:pPr>
              <w:jc w:val="center"/>
              <w:rPr>
                <w:rFonts w:ascii="Arial" w:hAnsi="Arial"/>
                <w:b/>
                <w:bCs/>
                <w:sz w:val="16"/>
                <w:szCs w:val="16"/>
              </w:rPr>
            </w:pPr>
            <w:r w:rsidRPr="00AE692D">
              <w:rPr>
                <w:rFonts w:ascii="Arial" w:hAnsi="Arial"/>
                <w:b/>
                <w:bCs/>
                <w:sz w:val="16"/>
                <w:szCs w:val="16"/>
              </w:rPr>
              <w:t>CA31</w:t>
            </w:r>
          </w:p>
        </w:tc>
        <w:tc>
          <w:tcPr>
            <w:tcW w:w="899" w:type="dxa"/>
            <w:tcBorders>
              <w:top w:val="single" w:sz="4" w:space="0" w:color="auto"/>
              <w:left w:val="nil"/>
              <w:bottom w:val="single" w:sz="4" w:space="0" w:color="auto"/>
              <w:right w:val="single" w:sz="4" w:space="0" w:color="auto"/>
            </w:tcBorders>
            <w:shd w:val="clear" w:color="auto" w:fill="auto"/>
            <w:vAlign w:val="center"/>
          </w:tcPr>
          <w:p w14:paraId="60B91A98" w14:textId="33B4487F" w:rsidR="004411F4" w:rsidRPr="00BA1388" w:rsidRDefault="004411F4" w:rsidP="004411F4">
            <w:pPr>
              <w:jc w:val="right"/>
              <w:rPr>
                <w:rFonts w:ascii="Arial" w:hAnsi="Arial"/>
                <w:sz w:val="16"/>
                <w:szCs w:val="16"/>
                <w:highlight w:val="yellow"/>
              </w:rPr>
            </w:pPr>
            <w:r>
              <w:rPr>
                <w:rFonts w:ascii="Arial" w:hAnsi="Arial"/>
                <w:sz w:val="16"/>
                <w:szCs w:val="16"/>
              </w:rPr>
              <w:t>174</w:t>
            </w:r>
          </w:p>
        </w:tc>
        <w:tc>
          <w:tcPr>
            <w:tcW w:w="10054" w:type="dxa"/>
            <w:tcBorders>
              <w:top w:val="single" w:sz="4" w:space="0" w:color="auto"/>
              <w:left w:val="nil"/>
              <w:bottom w:val="single" w:sz="4" w:space="0" w:color="auto"/>
              <w:right w:val="single" w:sz="4" w:space="0" w:color="auto"/>
            </w:tcBorders>
            <w:shd w:val="clear" w:color="auto" w:fill="auto"/>
            <w:vAlign w:val="center"/>
          </w:tcPr>
          <w:p w14:paraId="51E0C9C7" w14:textId="77777777" w:rsidR="00AE692D" w:rsidRPr="003F2A17" w:rsidRDefault="00AE692D" w:rsidP="00AE692D">
            <w:pPr>
              <w:pStyle w:val="Default"/>
              <w:spacing w:before="120" w:after="120"/>
              <w:rPr>
                <w:rFonts w:asciiTheme="minorHAnsi" w:hAnsiTheme="minorHAnsi" w:cstheme="minorBidi"/>
                <w:color w:val="auto"/>
                <w:sz w:val="16"/>
                <w:szCs w:val="16"/>
              </w:rPr>
            </w:pPr>
            <w:r w:rsidRPr="003F2A17">
              <w:rPr>
                <w:sz w:val="16"/>
                <w:szCs w:val="16"/>
              </w:rPr>
              <w:t>The Battlespace Communication Systems product supports the sustainment of a range of deployable voice and data communications systems for battlespace command and control.</w:t>
            </w:r>
          </w:p>
          <w:p w14:paraId="442E0CED" w14:textId="37A9BF25" w:rsidR="004411F4" w:rsidRPr="00BA1388" w:rsidRDefault="00AE692D" w:rsidP="00AE692D">
            <w:pPr>
              <w:keepNext/>
              <w:keepLines/>
              <w:spacing w:before="80" w:after="0"/>
              <w:rPr>
                <w:rFonts w:ascii="Arial" w:hAnsi="Arial"/>
                <w:sz w:val="16"/>
                <w:szCs w:val="16"/>
                <w:highlight w:val="yellow"/>
              </w:rPr>
            </w:pPr>
            <w:r w:rsidRPr="003F2A17">
              <w:rPr>
                <w:rFonts w:ascii="Arial" w:hAnsi="Arial"/>
                <w:color w:val="000000"/>
                <w:sz w:val="16"/>
                <w:szCs w:val="16"/>
              </w:rPr>
              <w:t>During 2025-26, Defence will continue with capability enhancements to the Integrated Battlespace Telecommunications Network; the ongoing development and delivery of a Mobile Retransmission System; the ongoing management of Tactical Communication Network equipment; the reduction and disposal of obsolete radio systems; the continued rationalisation and improvement of Land Force headset fleets; and support for design, acquisition and sustainment of related systems.</w:t>
            </w:r>
          </w:p>
        </w:tc>
      </w:tr>
      <w:tr w:rsidR="004411F4" w:rsidRPr="00BA1388" w14:paraId="1CC47371" w14:textId="77777777" w:rsidTr="003726E5">
        <w:trPr>
          <w:trHeight w:val="761"/>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71D3BC7E" w14:textId="7F8CAD38" w:rsidR="004411F4" w:rsidRPr="00277870" w:rsidRDefault="004411F4" w:rsidP="004609DC">
            <w:pPr>
              <w:rPr>
                <w:rFonts w:ascii="Arial" w:hAnsi="Arial"/>
                <w:sz w:val="16"/>
                <w:szCs w:val="16"/>
              </w:rPr>
            </w:pPr>
            <w:r w:rsidRPr="00277870">
              <w:rPr>
                <w:rFonts w:ascii="Arial" w:hAnsi="Arial"/>
                <w:sz w:val="16"/>
                <w:szCs w:val="16"/>
              </w:rPr>
              <w:t>Black Hawk Weapons System</w:t>
            </w:r>
            <w:r w:rsidR="00277870">
              <w:rPr>
                <w:rFonts w:ascii="Arial" w:hAnsi="Arial"/>
                <w:sz w:val="16"/>
                <w:szCs w:val="16"/>
              </w:rPr>
              <w:t xml:space="preserve"> </w:t>
            </w:r>
          </w:p>
        </w:tc>
        <w:tc>
          <w:tcPr>
            <w:tcW w:w="942" w:type="dxa"/>
            <w:tcBorders>
              <w:top w:val="single" w:sz="4" w:space="0" w:color="auto"/>
              <w:left w:val="nil"/>
              <w:bottom w:val="single" w:sz="4" w:space="0" w:color="auto"/>
              <w:right w:val="single" w:sz="4" w:space="0" w:color="auto"/>
            </w:tcBorders>
            <w:shd w:val="clear" w:color="auto" w:fill="auto"/>
            <w:vAlign w:val="center"/>
          </w:tcPr>
          <w:p w14:paraId="62F32D4D" w14:textId="4614C53B" w:rsidR="004411F4" w:rsidRPr="00277870" w:rsidRDefault="004411F4" w:rsidP="004411F4">
            <w:pPr>
              <w:jc w:val="center"/>
              <w:rPr>
                <w:rFonts w:ascii="Arial" w:hAnsi="Arial"/>
                <w:b/>
                <w:bCs/>
                <w:sz w:val="16"/>
                <w:szCs w:val="16"/>
              </w:rPr>
            </w:pPr>
            <w:r w:rsidRPr="00277870">
              <w:rPr>
                <w:rFonts w:ascii="Arial" w:hAnsi="Arial"/>
                <w:b/>
                <w:bCs/>
                <w:sz w:val="16"/>
                <w:szCs w:val="16"/>
              </w:rPr>
              <w:t>CA11</w:t>
            </w:r>
          </w:p>
        </w:tc>
        <w:tc>
          <w:tcPr>
            <w:tcW w:w="899" w:type="dxa"/>
            <w:tcBorders>
              <w:top w:val="single" w:sz="4" w:space="0" w:color="auto"/>
              <w:left w:val="nil"/>
              <w:bottom w:val="single" w:sz="4" w:space="0" w:color="auto"/>
              <w:right w:val="single" w:sz="4" w:space="0" w:color="auto"/>
            </w:tcBorders>
            <w:shd w:val="clear" w:color="auto" w:fill="auto"/>
            <w:vAlign w:val="center"/>
          </w:tcPr>
          <w:p w14:paraId="261DC2CF" w14:textId="25DF5143" w:rsidR="004411F4" w:rsidRPr="00277870" w:rsidRDefault="004411F4" w:rsidP="004411F4">
            <w:pPr>
              <w:jc w:val="right"/>
              <w:rPr>
                <w:rFonts w:ascii="Arial" w:hAnsi="Arial"/>
                <w:sz w:val="16"/>
                <w:szCs w:val="16"/>
              </w:rPr>
            </w:pPr>
            <w:r w:rsidRPr="00277870">
              <w:rPr>
                <w:rFonts w:ascii="Arial" w:hAnsi="Arial"/>
                <w:sz w:val="16"/>
                <w:szCs w:val="16"/>
              </w:rPr>
              <w:t>120</w:t>
            </w:r>
          </w:p>
        </w:tc>
        <w:tc>
          <w:tcPr>
            <w:tcW w:w="10054" w:type="dxa"/>
            <w:tcBorders>
              <w:top w:val="single" w:sz="4" w:space="0" w:color="auto"/>
              <w:left w:val="nil"/>
              <w:bottom w:val="single" w:sz="4" w:space="0" w:color="auto"/>
              <w:right w:val="single" w:sz="4" w:space="0" w:color="auto"/>
            </w:tcBorders>
            <w:shd w:val="clear" w:color="auto" w:fill="auto"/>
            <w:vAlign w:val="center"/>
          </w:tcPr>
          <w:p w14:paraId="43B6DFAD" w14:textId="7AD91333" w:rsidR="00277870" w:rsidRPr="00277870" w:rsidRDefault="002D577D" w:rsidP="00277870">
            <w:pPr>
              <w:keepNext/>
              <w:keepLines/>
              <w:spacing w:before="80" w:after="0"/>
              <w:rPr>
                <w:rFonts w:ascii="Arial" w:hAnsi="Arial"/>
                <w:sz w:val="16"/>
                <w:szCs w:val="16"/>
              </w:rPr>
            </w:pPr>
            <w:r>
              <w:rPr>
                <w:rFonts w:ascii="Arial" w:hAnsi="Arial"/>
                <w:sz w:val="16"/>
                <w:szCs w:val="16"/>
              </w:rPr>
              <w:t>This product provides for the sustainment of t</w:t>
            </w:r>
            <w:r w:rsidR="00277870" w:rsidRPr="00277870">
              <w:rPr>
                <w:rFonts w:ascii="Arial" w:hAnsi="Arial"/>
                <w:sz w:val="16"/>
                <w:szCs w:val="16"/>
              </w:rPr>
              <w:t xml:space="preserve">he UH-60M Black Hawk </w:t>
            </w:r>
            <w:r>
              <w:rPr>
                <w:rFonts w:ascii="Arial" w:hAnsi="Arial"/>
                <w:sz w:val="16"/>
                <w:szCs w:val="16"/>
              </w:rPr>
              <w:t>platform a</w:t>
            </w:r>
            <w:r w:rsidR="00277870" w:rsidRPr="00277870">
              <w:rPr>
                <w:rFonts w:ascii="Arial" w:hAnsi="Arial"/>
                <w:sz w:val="16"/>
                <w:szCs w:val="16"/>
              </w:rPr>
              <w:t>s a proven, mature and low-risk combat capability able to rapidly deploy in a wide variety of air mobility and battlefield support roles. In-service support is led by the Utility Helicopter Systems Program Office and provided through an Integrated Support Contract with Lockheed Martin Australia and United States Government Foreign Military Sales cases.</w:t>
            </w:r>
          </w:p>
          <w:p w14:paraId="5EC73EE3" w14:textId="457C90EF" w:rsidR="004411F4" w:rsidRPr="00277870" w:rsidRDefault="00277870" w:rsidP="00885E3F">
            <w:pPr>
              <w:keepNext/>
              <w:keepLines/>
              <w:spacing w:before="80" w:after="0"/>
              <w:rPr>
                <w:rFonts w:ascii="Arial" w:hAnsi="Arial"/>
                <w:sz w:val="16"/>
                <w:szCs w:val="16"/>
              </w:rPr>
            </w:pPr>
            <w:r w:rsidRPr="00277870">
              <w:rPr>
                <w:rFonts w:ascii="Arial" w:hAnsi="Arial"/>
                <w:sz w:val="16"/>
                <w:szCs w:val="16"/>
              </w:rPr>
              <w:t>During 2025-26, sustainment arrangements to support the UH-60M operational fleet will be expanded in line with LAND</w:t>
            </w:r>
            <w:r w:rsidR="00F53B4B">
              <w:rPr>
                <w:rFonts w:ascii="Arial" w:hAnsi="Arial"/>
                <w:sz w:val="16"/>
                <w:szCs w:val="16"/>
              </w:rPr>
              <w:t xml:space="preserve"> </w:t>
            </w:r>
            <w:r w:rsidRPr="00277870">
              <w:rPr>
                <w:rFonts w:ascii="Arial" w:hAnsi="Arial"/>
                <w:sz w:val="16"/>
                <w:szCs w:val="16"/>
              </w:rPr>
              <w:t>4507 materiel deliveries and introduction into service activities.</w:t>
            </w:r>
            <w:r w:rsidR="00885E3F">
              <w:rPr>
                <w:rFonts w:ascii="Arial" w:hAnsi="Arial"/>
                <w:sz w:val="16"/>
                <w:szCs w:val="16"/>
              </w:rPr>
              <w:t xml:space="preserve"> </w:t>
            </w:r>
            <w:r w:rsidRPr="00277870">
              <w:rPr>
                <w:rFonts w:ascii="Arial" w:hAnsi="Arial"/>
                <w:sz w:val="16"/>
                <w:szCs w:val="16"/>
              </w:rPr>
              <w:t>The second UH-60M node at Swartz Barrack</w:t>
            </w:r>
            <w:r w:rsidR="00BF394C">
              <w:rPr>
                <w:rFonts w:ascii="Arial" w:hAnsi="Arial"/>
                <w:sz w:val="16"/>
                <w:szCs w:val="16"/>
              </w:rPr>
              <w:t>s</w:t>
            </w:r>
            <w:r w:rsidRPr="00277870">
              <w:rPr>
                <w:rFonts w:ascii="Arial" w:hAnsi="Arial"/>
                <w:sz w:val="16"/>
                <w:szCs w:val="16"/>
              </w:rPr>
              <w:t xml:space="preserve">, Oakey QLD </w:t>
            </w:r>
            <w:r w:rsidR="00885E3F">
              <w:rPr>
                <w:rFonts w:ascii="Arial" w:hAnsi="Arial"/>
                <w:sz w:val="16"/>
                <w:szCs w:val="16"/>
              </w:rPr>
              <w:t>is planned to</w:t>
            </w:r>
            <w:r w:rsidRPr="00277870">
              <w:rPr>
                <w:rFonts w:ascii="Arial" w:hAnsi="Arial"/>
                <w:sz w:val="16"/>
                <w:szCs w:val="16"/>
              </w:rPr>
              <w:t xml:space="preserve"> commence operations with the Army Aviation Training Centre.</w:t>
            </w:r>
          </w:p>
        </w:tc>
      </w:tr>
      <w:tr w:rsidR="004411F4" w:rsidRPr="00BA1388" w14:paraId="7BE5E42F" w14:textId="77777777" w:rsidTr="00135BDE">
        <w:trPr>
          <w:trHeight w:val="283"/>
        </w:trPr>
        <w:tc>
          <w:tcPr>
            <w:tcW w:w="13453"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2534F69E" w14:textId="77777777" w:rsidR="004411F4" w:rsidRPr="002D105C" w:rsidRDefault="004411F4" w:rsidP="004411F4">
            <w:pPr>
              <w:pageBreakBefore/>
              <w:spacing w:before="0" w:after="0"/>
              <w:rPr>
                <w:rFonts w:ascii="Arial" w:hAnsi="Arial"/>
                <w:b/>
                <w:bCs/>
                <w:sz w:val="16"/>
                <w:szCs w:val="16"/>
              </w:rPr>
            </w:pPr>
            <w:r w:rsidRPr="002D105C">
              <w:rPr>
                <w:rFonts w:ascii="Arial" w:hAnsi="Arial"/>
                <w:b/>
                <w:bCs/>
                <w:sz w:val="16"/>
                <w:szCs w:val="16"/>
              </w:rPr>
              <w:lastRenderedPageBreak/>
              <w:t>Maritime Domain</w:t>
            </w:r>
          </w:p>
        </w:tc>
      </w:tr>
      <w:tr w:rsidR="004411F4" w:rsidRPr="00BA1388" w14:paraId="251918C0" w14:textId="77777777" w:rsidTr="00135BDE">
        <w:trPr>
          <w:trHeight w:val="283"/>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238F4DE3" w14:textId="472CED27" w:rsidR="004411F4" w:rsidRPr="002D105C" w:rsidRDefault="004411F4" w:rsidP="004609DC">
            <w:pPr>
              <w:spacing w:before="0" w:after="0"/>
              <w:rPr>
                <w:rFonts w:ascii="Arial" w:hAnsi="Arial"/>
                <w:sz w:val="16"/>
                <w:szCs w:val="16"/>
              </w:rPr>
            </w:pPr>
            <w:r w:rsidRPr="002D105C">
              <w:rPr>
                <w:rFonts w:ascii="Arial" w:hAnsi="Arial"/>
                <w:sz w:val="16"/>
                <w:szCs w:val="16"/>
              </w:rPr>
              <w:t>Collins Class Submarine</w:t>
            </w:r>
            <w:r w:rsidR="00706713">
              <w:rPr>
                <w:rFonts w:ascii="Arial" w:hAnsi="Arial"/>
                <w:sz w:val="16"/>
                <w:szCs w:val="16"/>
              </w:rPr>
              <w:t xml:space="preserve"> </w:t>
            </w:r>
          </w:p>
        </w:tc>
        <w:tc>
          <w:tcPr>
            <w:tcW w:w="942" w:type="dxa"/>
            <w:tcBorders>
              <w:top w:val="single" w:sz="4" w:space="0" w:color="auto"/>
              <w:left w:val="nil"/>
              <w:bottom w:val="single" w:sz="4" w:space="0" w:color="auto"/>
              <w:right w:val="single" w:sz="4" w:space="0" w:color="auto"/>
            </w:tcBorders>
            <w:shd w:val="clear" w:color="auto" w:fill="auto"/>
            <w:vAlign w:val="center"/>
          </w:tcPr>
          <w:p w14:paraId="4BABBCEE" w14:textId="7465253C" w:rsidR="004411F4" w:rsidRPr="002D105C" w:rsidRDefault="004411F4" w:rsidP="004411F4">
            <w:pPr>
              <w:jc w:val="center"/>
              <w:rPr>
                <w:rFonts w:ascii="Arial" w:hAnsi="Arial"/>
                <w:b/>
                <w:bCs/>
                <w:sz w:val="16"/>
                <w:szCs w:val="16"/>
              </w:rPr>
            </w:pPr>
            <w:r w:rsidRPr="002D105C">
              <w:rPr>
                <w:rFonts w:ascii="Arial" w:hAnsi="Arial"/>
                <w:b/>
                <w:bCs/>
                <w:sz w:val="16"/>
                <w:szCs w:val="16"/>
              </w:rPr>
              <w:t>CN10</w:t>
            </w:r>
          </w:p>
        </w:tc>
        <w:tc>
          <w:tcPr>
            <w:tcW w:w="899" w:type="dxa"/>
            <w:tcBorders>
              <w:top w:val="single" w:sz="4" w:space="0" w:color="auto"/>
              <w:left w:val="nil"/>
              <w:bottom w:val="single" w:sz="4" w:space="0" w:color="auto"/>
              <w:right w:val="single" w:sz="4" w:space="0" w:color="auto"/>
            </w:tcBorders>
            <w:shd w:val="clear" w:color="auto" w:fill="auto"/>
            <w:vAlign w:val="center"/>
          </w:tcPr>
          <w:p w14:paraId="167BCA89" w14:textId="67526B8D" w:rsidR="004411F4" w:rsidRPr="002D105C" w:rsidRDefault="004411F4" w:rsidP="004411F4">
            <w:pPr>
              <w:jc w:val="right"/>
              <w:rPr>
                <w:rFonts w:ascii="Arial" w:hAnsi="Arial"/>
                <w:sz w:val="16"/>
                <w:szCs w:val="16"/>
              </w:rPr>
            </w:pPr>
            <w:r w:rsidRPr="002D105C">
              <w:rPr>
                <w:rFonts w:ascii="Arial" w:hAnsi="Arial"/>
                <w:sz w:val="16"/>
                <w:szCs w:val="16"/>
              </w:rPr>
              <w:t>1,004</w:t>
            </w:r>
          </w:p>
        </w:tc>
        <w:tc>
          <w:tcPr>
            <w:tcW w:w="10054" w:type="dxa"/>
            <w:tcBorders>
              <w:top w:val="single" w:sz="4" w:space="0" w:color="auto"/>
              <w:left w:val="nil"/>
              <w:bottom w:val="single" w:sz="4" w:space="0" w:color="auto"/>
              <w:right w:val="single" w:sz="4" w:space="0" w:color="auto"/>
            </w:tcBorders>
            <w:shd w:val="clear" w:color="auto" w:fill="auto"/>
            <w:vAlign w:val="center"/>
          </w:tcPr>
          <w:p w14:paraId="5FF4EAB2" w14:textId="77777777" w:rsidR="004411F4" w:rsidRPr="002D105C" w:rsidRDefault="004411F4" w:rsidP="004411F4">
            <w:pPr>
              <w:keepNext/>
              <w:keepLines/>
              <w:spacing w:before="80" w:after="0"/>
              <w:rPr>
                <w:rFonts w:ascii="Arial" w:hAnsi="Arial"/>
                <w:sz w:val="16"/>
                <w:szCs w:val="16"/>
              </w:rPr>
            </w:pPr>
            <w:r w:rsidRPr="002D105C">
              <w:rPr>
                <w:rFonts w:ascii="Arial" w:hAnsi="Arial"/>
                <w:sz w:val="16"/>
                <w:szCs w:val="16"/>
              </w:rPr>
              <w:t xml:space="preserve">This product manages the sustainment of Collins Class submarine materiel capability, assuring availability targets are met; that submarines are materially prepared (in conjunction with selected capability upgrades) to undertake scheduled operational activities; and to assure availability of the present submarine escape and rescue capability. This work is conducted under enterprise arrangements with industry and through key contracts with ASC, Raytheon Australia, Thales Australia, BAE Systems, PMB Defence, James Fisher Defence, and other providers. </w:t>
            </w:r>
          </w:p>
          <w:p w14:paraId="2615959B" w14:textId="65A1C12B" w:rsidR="004411F4" w:rsidRPr="002D105C" w:rsidRDefault="004411F4" w:rsidP="00885E3F">
            <w:pPr>
              <w:keepNext/>
              <w:keepLines/>
              <w:spacing w:before="80" w:after="0"/>
              <w:rPr>
                <w:rFonts w:ascii="Arial" w:hAnsi="Arial"/>
                <w:sz w:val="16"/>
                <w:szCs w:val="16"/>
              </w:rPr>
            </w:pPr>
            <w:r w:rsidRPr="002D105C">
              <w:rPr>
                <w:rFonts w:ascii="Arial" w:hAnsi="Arial"/>
                <w:sz w:val="16"/>
                <w:szCs w:val="16"/>
              </w:rPr>
              <w:t>Collins class sustainment was declared a Product of Concern in December 2024. During 2025-26, the program will continue to progress activities to remediate performance towards meeting Navy's agreed Collins Class s</w:t>
            </w:r>
            <w:r w:rsidR="00885E3F">
              <w:rPr>
                <w:rFonts w:ascii="Arial" w:hAnsi="Arial"/>
                <w:sz w:val="16"/>
                <w:szCs w:val="16"/>
              </w:rPr>
              <w:t>ubmarine performance targets</w:t>
            </w:r>
            <w:r w:rsidRPr="002D105C">
              <w:rPr>
                <w:rFonts w:ascii="Arial" w:hAnsi="Arial"/>
                <w:sz w:val="16"/>
                <w:szCs w:val="16"/>
              </w:rPr>
              <w:t>, as continual improvement and efficiency initiatives are implemented. Ongoing Collins Class submarine life-of-type extension work (through SEA 1450) will continue to inform sustainment plans for the Collins Class fleet.</w:t>
            </w:r>
          </w:p>
        </w:tc>
      </w:tr>
      <w:tr w:rsidR="004411F4" w:rsidRPr="00BA1388" w14:paraId="19500C82" w14:textId="77777777" w:rsidTr="00135BDE">
        <w:trPr>
          <w:cantSplit/>
          <w:trHeight w:val="283"/>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1A76242D" w14:textId="796889B3" w:rsidR="004411F4" w:rsidRPr="002D105C" w:rsidRDefault="004411F4" w:rsidP="004609DC">
            <w:pPr>
              <w:spacing w:before="0" w:after="0"/>
              <w:rPr>
                <w:rFonts w:ascii="Arial" w:hAnsi="Arial"/>
                <w:sz w:val="16"/>
                <w:szCs w:val="18"/>
                <w:lang w:val="en-AU"/>
              </w:rPr>
            </w:pPr>
            <w:r w:rsidRPr="002D105C">
              <w:rPr>
                <w:rFonts w:ascii="Arial" w:hAnsi="Arial"/>
                <w:sz w:val="16"/>
                <w:szCs w:val="18"/>
              </w:rPr>
              <w:t>Anzac Class Frigate</w:t>
            </w:r>
            <w:r w:rsidR="00706713">
              <w:rPr>
                <w:rFonts w:ascii="Arial" w:hAnsi="Arial"/>
                <w:sz w:val="16"/>
                <w:szCs w:val="18"/>
              </w:rPr>
              <w:t xml:space="preserve"> </w:t>
            </w:r>
          </w:p>
        </w:tc>
        <w:tc>
          <w:tcPr>
            <w:tcW w:w="942" w:type="dxa"/>
            <w:tcBorders>
              <w:top w:val="single" w:sz="4" w:space="0" w:color="auto"/>
              <w:left w:val="nil"/>
              <w:bottom w:val="single" w:sz="4" w:space="0" w:color="auto"/>
              <w:right w:val="single" w:sz="4" w:space="0" w:color="auto"/>
            </w:tcBorders>
            <w:shd w:val="clear" w:color="auto" w:fill="auto"/>
            <w:vAlign w:val="center"/>
          </w:tcPr>
          <w:p w14:paraId="41569CAD" w14:textId="77777777" w:rsidR="004411F4" w:rsidRPr="002D105C" w:rsidRDefault="004411F4" w:rsidP="004411F4">
            <w:pPr>
              <w:jc w:val="center"/>
              <w:rPr>
                <w:rFonts w:ascii="Arial" w:hAnsi="Arial"/>
                <w:b/>
                <w:bCs/>
                <w:sz w:val="16"/>
                <w:szCs w:val="18"/>
              </w:rPr>
            </w:pPr>
            <w:r w:rsidRPr="002D105C">
              <w:rPr>
                <w:rFonts w:ascii="Arial" w:hAnsi="Arial"/>
                <w:b/>
                <w:bCs/>
                <w:sz w:val="16"/>
                <w:szCs w:val="18"/>
              </w:rPr>
              <w:t>CN02</w:t>
            </w:r>
          </w:p>
        </w:tc>
        <w:tc>
          <w:tcPr>
            <w:tcW w:w="899" w:type="dxa"/>
            <w:tcBorders>
              <w:top w:val="single" w:sz="4" w:space="0" w:color="auto"/>
              <w:left w:val="nil"/>
              <w:bottom w:val="single" w:sz="4" w:space="0" w:color="auto"/>
              <w:right w:val="single" w:sz="4" w:space="0" w:color="auto"/>
            </w:tcBorders>
            <w:shd w:val="clear" w:color="auto" w:fill="auto"/>
            <w:vAlign w:val="center"/>
          </w:tcPr>
          <w:p w14:paraId="32C579E2" w14:textId="2A48BB11" w:rsidR="004411F4" w:rsidRPr="00BA1388" w:rsidRDefault="004411F4" w:rsidP="004411F4">
            <w:pPr>
              <w:jc w:val="right"/>
              <w:rPr>
                <w:rFonts w:ascii="Arial" w:hAnsi="Arial"/>
                <w:sz w:val="16"/>
                <w:szCs w:val="18"/>
                <w:highlight w:val="yellow"/>
              </w:rPr>
            </w:pPr>
            <w:r w:rsidRPr="003726E5">
              <w:rPr>
                <w:rFonts w:ascii="Arial" w:hAnsi="Arial"/>
                <w:sz w:val="16"/>
                <w:szCs w:val="18"/>
              </w:rPr>
              <w:t>339</w:t>
            </w:r>
          </w:p>
        </w:tc>
        <w:tc>
          <w:tcPr>
            <w:tcW w:w="10054" w:type="dxa"/>
            <w:tcBorders>
              <w:top w:val="single" w:sz="4" w:space="0" w:color="auto"/>
              <w:left w:val="nil"/>
              <w:bottom w:val="single" w:sz="4" w:space="0" w:color="auto"/>
              <w:right w:val="single" w:sz="4" w:space="0" w:color="auto"/>
            </w:tcBorders>
            <w:shd w:val="clear" w:color="auto" w:fill="auto"/>
            <w:vAlign w:val="center"/>
          </w:tcPr>
          <w:p w14:paraId="7A5BEE8D" w14:textId="77777777" w:rsidR="004411F4" w:rsidRPr="007D4A3B" w:rsidRDefault="004411F4" w:rsidP="004411F4">
            <w:pPr>
              <w:keepNext/>
              <w:keepLines/>
              <w:spacing w:before="80" w:after="0"/>
              <w:rPr>
                <w:rFonts w:ascii="Arial" w:hAnsi="Arial"/>
                <w:sz w:val="16"/>
                <w:szCs w:val="16"/>
              </w:rPr>
            </w:pPr>
            <w:r w:rsidRPr="007D4A3B">
              <w:rPr>
                <w:rFonts w:ascii="Arial" w:hAnsi="Arial"/>
                <w:sz w:val="16"/>
                <w:szCs w:val="16"/>
              </w:rPr>
              <w:t>This product supports seven Anzac Class frigates</w:t>
            </w:r>
            <w:r>
              <w:rPr>
                <w:rFonts w:ascii="Arial" w:hAnsi="Arial"/>
                <w:sz w:val="16"/>
                <w:szCs w:val="16"/>
              </w:rPr>
              <w:t xml:space="preserve"> </w:t>
            </w:r>
            <w:r w:rsidRPr="007D4A3B">
              <w:rPr>
                <w:rFonts w:ascii="Arial" w:hAnsi="Arial"/>
                <w:sz w:val="16"/>
                <w:szCs w:val="16"/>
              </w:rPr>
              <w:t>and associated support systems through the provision of materiel support, maintenance and engineering services.</w:t>
            </w:r>
          </w:p>
          <w:p w14:paraId="543F3E90" w14:textId="3A68581F" w:rsidR="004411F4" w:rsidRPr="00BA1388" w:rsidRDefault="004411F4" w:rsidP="00885E3F">
            <w:pPr>
              <w:keepNext/>
              <w:keepLines/>
              <w:spacing w:before="80" w:after="0"/>
              <w:rPr>
                <w:rFonts w:ascii="Arial" w:hAnsi="Arial"/>
                <w:sz w:val="16"/>
                <w:szCs w:val="16"/>
                <w:highlight w:val="yellow"/>
              </w:rPr>
            </w:pPr>
            <w:r w:rsidRPr="007D4A3B">
              <w:rPr>
                <w:rFonts w:ascii="Arial" w:hAnsi="Arial"/>
                <w:sz w:val="16"/>
                <w:szCs w:val="16"/>
              </w:rPr>
              <w:t xml:space="preserve">During 2025-26, the focus will be on completing the scheduled and corrective maintenance activities across the </w:t>
            </w:r>
            <w:r>
              <w:rPr>
                <w:rFonts w:ascii="Arial" w:hAnsi="Arial"/>
                <w:sz w:val="16"/>
                <w:szCs w:val="16"/>
              </w:rPr>
              <w:t xml:space="preserve">seven remaining </w:t>
            </w:r>
            <w:r w:rsidRPr="007D4A3B">
              <w:rPr>
                <w:rFonts w:ascii="Arial" w:hAnsi="Arial"/>
                <w:sz w:val="16"/>
                <w:szCs w:val="16"/>
              </w:rPr>
              <w:t>Anzac Class to ensure Navy’s availability and seaworthiness requirements are met;</w:t>
            </w:r>
            <w:r w:rsidR="00885E3F">
              <w:rPr>
                <w:rFonts w:ascii="Arial" w:hAnsi="Arial"/>
                <w:sz w:val="16"/>
                <w:szCs w:val="16"/>
              </w:rPr>
              <w:t xml:space="preserve"> </w:t>
            </w:r>
            <w:r w:rsidRPr="007D4A3B">
              <w:rPr>
                <w:rFonts w:ascii="Arial" w:hAnsi="Arial"/>
                <w:sz w:val="16"/>
                <w:szCs w:val="16"/>
              </w:rPr>
              <w:t>re-building and implementing the class usage and upkeep cycle to align with the delivery of the General Purpose Frigates</w:t>
            </w:r>
            <w:r>
              <w:rPr>
                <w:rFonts w:ascii="Arial" w:hAnsi="Arial"/>
                <w:sz w:val="16"/>
                <w:szCs w:val="16"/>
              </w:rPr>
              <w:t>;</w:t>
            </w:r>
            <w:r w:rsidRPr="007D4A3B">
              <w:rPr>
                <w:rFonts w:ascii="Arial" w:hAnsi="Arial"/>
                <w:sz w:val="16"/>
                <w:szCs w:val="16"/>
              </w:rPr>
              <w:t xml:space="preserve"> and completing </w:t>
            </w:r>
            <w:r>
              <w:rPr>
                <w:rFonts w:ascii="Arial" w:hAnsi="Arial"/>
                <w:sz w:val="16"/>
                <w:szCs w:val="16"/>
              </w:rPr>
              <w:t xml:space="preserve">the final </w:t>
            </w:r>
            <w:r w:rsidRPr="007D4A3B">
              <w:rPr>
                <w:rFonts w:ascii="Arial" w:hAnsi="Arial"/>
                <w:sz w:val="16"/>
                <w:szCs w:val="16"/>
              </w:rPr>
              <w:t>Anzac Midlife Capability Assurance Program (AMCAP).</w:t>
            </w:r>
          </w:p>
        </w:tc>
      </w:tr>
      <w:tr w:rsidR="004411F4" w:rsidRPr="00BA1388" w14:paraId="489C8241" w14:textId="77777777" w:rsidTr="00135BDE">
        <w:trPr>
          <w:cantSplit/>
          <w:trHeight w:val="1306"/>
        </w:trPr>
        <w:tc>
          <w:tcPr>
            <w:tcW w:w="1558" w:type="dxa"/>
            <w:tcBorders>
              <w:top w:val="nil"/>
              <w:left w:val="single" w:sz="4" w:space="0" w:color="auto"/>
              <w:bottom w:val="single" w:sz="4" w:space="0" w:color="auto"/>
              <w:right w:val="single" w:sz="4" w:space="0" w:color="auto"/>
            </w:tcBorders>
            <w:shd w:val="clear" w:color="auto" w:fill="auto"/>
            <w:vAlign w:val="center"/>
          </w:tcPr>
          <w:p w14:paraId="2EFC83CF" w14:textId="35FCBA3D" w:rsidR="004411F4" w:rsidRPr="00706713" w:rsidRDefault="004411F4" w:rsidP="004609DC">
            <w:pPr>
              <w:rPr>
                <w:rFonts w:ascii="Arial" w:hAnsi="Arial"/>
                <w:sz w:val="16"/>
                <w:szCs w:val="18"/>
              </w:rPr>
            </w:pPr>
            <w:r w:rsidRPr="00706713">
              <w:rPr>
                <w:rFonts w:ascii="Arial" w:hAnsi="Arial"/>
                <w:sz w:val="16"/>
                <w:szCs w:val="18"/>
              </w:rPr>
              <w:t>Hobart Class Destroyer</w:t>
            </w:r>
            <w:r w:rsidR="00706713" w:rsidRPr="00706713">
              <w:rPr>
                <w:rFonts w:ascii="Arial" w:hAnsi="Arial"/>
                <w:sz w:val="16"/>
                <w:szCs w:val="18"/>
              </w:rPr>
              <w:t xml:space="preserve"> </w:t>
            </w:r>
          </w:p>
        </w:tc>
        <w:tc>
          <w:tcPr>
            <w:tcW w:w="942" w:type="dxa"/>
            <w:tcBorders>
              <w:top w:val="nil"/>
              <w:left w:val="nil"/>
              <w:bottom w:val="single" w:sz="4" w:space="0" w:color="auto"/>
              <w:right w:val="single" w:sz="4" w:space="0" w:color="auto"/>
            </w:tcBorders>
            <w:shd w:val="clear" w:color="auto" w:fill="auto"/>
            <w:vAlign w:val="center"/>
          </w:tcPr>
          <w:p w14:paraId="285978F6" w14:textId="77777777" w:rsidR="004411F4" w:rsidRPr="00706713" w:rsidRDefault="004411F4" w:rsidP="004411F4">
            <w:pPr>
              <w:jc w:val="center"/>
              <w:rPr>
                <w:rFonts w:ascii="Arial" w:hAnsi="Arial"/>
                <w:b/>
                <w:bCs/>
                <w:sz w:val="16"/>
                <w:szCs w:val="18"/>
              </w:rPr>
            </w:pPr>
            <w:r w:rsidRPr="00706713">
              <w:rPr>
                <w:rFonts w:ascii="Arial" w:hAnsi="Arial"/>
                <w:b/>
                <w:bCs/>
                <w:sz w:val="16"/>
                <w:szCs w:val="18"/>
              </w:rPr>
              <w:t>CN40</w:t>
            </w:r>
          </w:p>
        </w:tc>
        <w:tc>
          <w:tcPr>
            <w:tcW w:w="899" w:type="dxa"/>
            <w:tcBorders>
              <w:top w:val="nil"/>
              <w:left w:val="nil"/>
              <w:bottom w:val="single" w:sz="4" w:space="0" w:color="auto"/>
              <w:right w:val="single" w:sz="4" w:space="0" w:color="auto"/>
            </w:tcBorders>
            <w:shd w:val="clear" w:color="auto" w:fill="auto"/>
            <w:vAlign w:val="center"/>
          </w:tcPr>
          <w:p w14:paraId="0B824A44" w14:textId="284BCA06" w:rsidR="004411F4" w:rsidRPr="00BA1388" w:rsidRDefault="004411F4" w:rsidP="004411F4">
            <w:pPr>
              <w:jc w:val="right"/>
              <w:rPr>
                <w:rFonts w:ascii="Arial" w:hAnsi="Arial"/>
                <w:sz w:val="16"/>
                <w:szCs w:val="18"/>
                <w:highlight w:val="yellow"/>
              </w:rPr>
            </w:pPr>
            <w:r>
              <w:rPr>
                <w:rFonts w:ascii="Arial" w:hAnsi="Arial"/>
                <w:sz w:val="16"/>
                <w:szCs w:val="18"/>
              </w:rPr>
              <w:t>284</w:t>
            </w:r>
          </w:p>
        </w:tc>
        <w:tc>
          <w:tcPr>
            <w:tcW w:w="10054" w:type="dxa"/>
            <w:tcBorders>
              <w:top w:val="nil"/>
              <w:left w:val="nil"/>
              <w:bottom w:val="single" w:sz="4" w:space="0" w:color="auto"/>
              <w:right w:val="single" w:sz="4" w:space="0" w:color="auto"/>
            </w:tcBorders>
            <w:shd w:val="clear" w:color="auto" w:fill="auto"/>
            <w:vAlign w:val="center"/>
          </w:tcPr>
          <w:p w14:paraId="4541AA90" w14:textId="77777777" w:rsidR="004411F4" w:rsidRPr="00935882" w:rsidRDefault="004411F4" w:rsidP="004411F4">
            <w:pPr>
              <w:keepNext/>
              <w:keepLines/>
              <w:spacing w:before="80" w:after="0"/>
              <w:rPr>
                <w:rFonts w:ascii="Arial" w:hAnsi="Arial"/>
                <w:sz w:val="16"/>
                <w:szCs w:val="16"/>
              </w:rPr>
            </w:pPr>
            <w:r w:rsidRPr="00935882">
              <w:rPr>
                <w:rFonts w:ascii="Arial" w:hAnsi="Arial"/>
                <w:sz w:val="16"/>
                <w:szCs w:val="16"/>
              </w:rPr>
              <w:t xml:space="preserve">This product supports three Hobart Class destroyers </w:t>
            </w:r>
            <w:r w:rsidRPr="007D4A3B">
              <w:rPr>
                <w:rFonts w:ascii="Arial" w:hAnsi="Arial"/>
                <w:sz w:val="16"/>
                <w:szCs w:val="16"/>
              </w:rPr>
              <w:t>and associated support systems</w:t>
            </w:r>
            <w:r w:rsidRPr="00935882">
              <w:rPr>
                <w:rFonts w:ascii="Arial" w:hAnsi="Arial"/>
                <w:sz w:val="16"/>
                <w:szCs w:val="16"/>
              </w:rPr>
              <w:t xml:space="preserve"> </w:t>
            </w:r>
            <w:r w:rsidRPr="007D4A3B">
              <w:rPr>
                <w:rFonts w:ascii="Arial" w:hAnsi="Arial"/>
                <w:sz w:val="16"/>
                <w:szCs w:val="16"/>
              </w:rPr>
              <w:t>through the provision of materiel support, maintenance and engineering services.</w:t>
            </w:r>
          </w:p>
          <w:p w14:paraId="470291B4" w14:textId="764934C3" w:rsidR="004411F4" w:rsidRPr="00BA1388" w:rsidRDefault="004411F4" w:rsidP="001665F7">
            <w:pPr>
              <w:keepNext/>
              <w:keepLines/>
              <w:spacing w:before="80" w:after="0"/>
              <w:rPr>
                <w:rFonts w:ascii="Arial" w:hAnsi="Arial"/>
                <w:sz w:val="16"/>
                <w:szCs w:val="16"/>
                <w:highlight w:val="yellow"/>
              </w:rPr>
            </w:pPr>
            <w:r w:rsidRPr="00935882">
              <w:rPr>
                <w:rFonts w:ascii="Arial" w:hAnsi="Arial"/>
                <w:sz w:val="16"/>
                <w:szCs w:val="16"/>
              </w:rPr>
              <w:t xml:space="preserve">During 2025-26, the focus will be on completing the scheduled </w:t>
            </w:r>
            <w:r w:rsidRPr="007D4A3B">
              <w:rPr>
                <w:rFonts w:ascii="Arial" w:hAnsi="Arial"/>
                <w:sz w:val="16"/>
                <w:szCs w:val="16"/>
              </w:rPr>
              <w:t xml:space="preserve">and corrective maintenance activities across the </w:t>
            </w:r>
            <w:r>
              <w:rPr>
                <w:rFonts w:ascii="Arial" w:hAnsi="Arial"/>
                <w:sz w:val="16"/>
                <w:szCs w:val="16"/>
              </w:rPr>
              <w:t xml:space="preserve">Hobart </w:t>
            </w:r>
            <w:r w:rsidRPr="007D4A3B">
              <w:rPr>
                <w:rFonts w:ascii="Arial" w:hAnsi="Arial"/>
                <w:sz w:val="16"/>
                <w:szCs w:val="16"/>
              </w:rPr>
              <w:t>Class to ensure Navy’s availability and seaworthiness requirements are met</w:t>
            </w:r>
            <w:r>
              <w:rPr>
                <w:rFonts w:ascii="Arial" w:hAnsi="Arial"/>
                <w:sz w:val="16"/>
                <w:szCs w:val="16"/>
              </w:rPr>
              <w:t xml:space="preserve">; and preparing the first DDG to enter the Destroyer Capability Enhancement Program, inclusive of the </w:t>
            </w:r>
            <w:r w:rsidRPr="00935882">
              <w:rPr>
                <w:rFonts w:ascii="Arial" w:hAnsi="Arial"/>
                <w:sz w:val="16"/>
                <w:szCs w:val="16"/>
              </w:rPr>
              <w:t>Aegis Upgrade Program (SEA 4000 Phase 6), taking place at the Osborne Naval Shipyard in Adelaide.</w:t>
            </w:r>
          </w:p>
        </w:tc>
      </w:tr>
      <w:tr w:rsidR="004411F4" w:rsidRPr="00BA1388" w14:paraId="0922C22E" w14:textId="77777777" w:rsidTr="00135BDE">
        <w:trPr>
          <w:cantSplit/>
          <w:trHeight w:val="283"/>
        </w:trPr>
        <w:tc>
          <w:tcPr>
            <w:tcW w:w="1558" w:type="dxa"/>
            <w:tcBorders>
              <w:top w:val="nil"/>
              <w:left w:val="single" w:sz="4" w:space="0" w:color="auto"/>
              <w:bottom w:val="single" w:sz="4" w:space="0" w:color="auto"/>
              <w:right w:val="single" w:sz="4" w:space="0" w:color="auto"/>
            </w:tcBorders>
            <w:shd w:val="clear" w:color="auto" w:fill="auto"/>
            <w:vAlign w:val="center"/>
          </w:tcPr>
          <w:p w14:paraId="373DC59D" w14:textId="0782000C" w:rsidR="004411F4" w:rsidRPr="0047694F" w:rsidRDefault="004411F4" w:rsidP="004609DC">
            <w:pPr>
              <w:rPr>
                <w:rFonts w:ascii="Arial" w:hAnsi="Arial"/>
                <w:sz w:val="16"/>
                <w:szCs w:val="18"/>
              </w:rPr>
            </w:pPr>
            <w:r w:rsidRPr="0047694F">
              <w:rPr>
                <w:rFonts w:ascii="Arial" w:hAnsi="Arial"/>
                <w:sz w:val="16"/>
                <w:szCs w:val="18"/>
              </w:rPr>
              <w:t>MH-60R Seahawk Romeo Helicopter</w:t>
            </w:r>
            <w:r w:rsidR="0047694F">
              <w:rPr>
                <w:rFonts w:ascii="Arial" w:hAnsi="Arial"/>
                <w:sz w:val="16"/>
                <w:szCs w:val="18"/>
              </w:rPr>
              <w:t xml:space="preserve"> </w:t>
            </w:r>
          </w:p>
        </w:tc>
        <w:tc>
          <w:tcPr>
            <w:tcW w:w="942" w:type="dxa"/>
            <w:tcBorders>
              <w:top w:val="nil"/>
              <w:left w:val="nil"/>
              <w:bottom w:val="single" w:sz="4" w:space="0" w:color="auto"/>
              <w:right w:val="single" w:sz="4" w:space="0" w:color="auto"/>
            </w:tcBorders>
            <w:shd w:val="clear" w:color="auto" w:fill="auto"/>
            <w:vAlign w:val="center"/>
          </w:tcPr>
          <w:p w14:paraId="57D2F53F" w14:textId="77777777" w:rsidR="004411F4" w:rsidRPr="0047694F" w:rsidRDefault="004411F4" w:rsidP="004411F4">
            <w:pPr>
              <w:jc w:val="center"/>
              <w:rPr>
                <w:rFonts w:ascii="Arial" w:hAnsi="Arial"/>
                <w:b/>
                <w:bCs/>
                <w:sz w:val="16"/>
                <w:szCs w:val="18"/>
              </w:rPr>
            </w:pPr>
            <w:r w:rsidRPr="0047694F">
              <w:rPr>
                <w:rFonts w:ascii="Arial" w:hAnsi="Arial"/>
                <w:b/>
                <w:bCs/>
                <w:sz w:val="16"/>
                <w:szCs w:val="18"/>
              </w:rPr>
              <w:t>CN35</w:t>
            </w:r>
          </w:p>
        </w:tc>
        <w:tc>
          <w:tcPr>
            <w:tcW w:w="899" w:type="dxa"/>
            <w:tcBorders>
              <w:top w:val="nil"/>
              <w:left w:val="nil"/>
              <w:bottom w:val="single" w:sz="4" w:space="0" w:color="auto"/>
              <w:right w:val="single" w:sz="4" w:space="0" w:color="auto"/>
            </w:tcBorders>
            <w:shd w:val="clear" w:color="auto" w:fill="auto"/>
            <w:vAlign w:val="center"/>
          </w:tcPr>
          <w:p w14:paraId="53174A3A" w14:textId="2AFD632B" w:rsidR="004411F4" w:rsidRPr="003726E5" w:rsidRDefault="004411F4" w:rsidP="004411F4">
            <w:pPr>
              <w:jc w:val="right"/>
              <w:rPr>
                <w:rFonts w:ascii="Arial" w:hAnsi="Arial"/>
                <w:sz w:val="16"/>
                <w:szCs w:val="18"/>
              </w:rPr>
            </w:pPr>
            <w:r w:rsidRPr="003726E5">
              <w:rPr>
                <w:rFonts w:ascii="Arial" w:hAnsi="Arial"/>
                <w:sz w:val="16"/>
                <w:szCs w:val="18"/>
              </w:rPr>
              <w:t>240</w:t>
            </w:r>
          </w:p>
        </w:tc>
        <w:tc>
          <w:tcPr>
            <w:tcW w:w="10054" w:type="dxa"/>
            <w:tcBorders>
              <w:top w:val="nil"/>
              <w:left w:val="nil"/>
              <w:bottom w:val="single" w:sz="4" w:space="0" w:color="auto"/>
              <w:right w:val="single" w:sz="4" w:space="0" w:color="auto"/>
            </w:tcBorders>
            <w:shd w:val="clear" w:color="auto" w:fill="auto"/>
            <w:vAlign w:val="center"/>
          </w:tcPr>
          <w:p w14:paraId="7C42F3B0" w14:textId="122B67F0" w:rsidR="0047694F" w:rsidRPr="002D56F1" w:rsidRDefault="0047694F" w:rsidP="0047694F">
            <w:pPr>
              <w:spacing w:before="120" w:after="120"/>
              <w:rPr>
                <w:rFonts w:ascii="Arial" w:hAnsi="Arial"/>
                <w:sz w:val="16"/>
                <w:szCs w:val="16"/>
              </w:rPr>
            </w:pPr>
            <w:r w:rsidRPr="002D56F1">
              <w:rPr>
                <w:rFonts w:ascii="Arial" w:hAnsi="Arial"/>
                <w:sz w:val="16"/>
                <w:szCs w:val="16"/>
              </w:rPr>
              <w:t xml:space="preserve">The MH-60R Seahawk ‘Romeo’ capability is operated from HMAS </w:t>
            </w:r>
            <w:r w:rsidRPr="004070E4">
              <w:rPr>
                <w:rFonts w:ascii="Arial" w:hAnsi="Arial"/>
                <w:i/>
                <w:sz w:val="16"/>
                <w:szCs w:val="16"/>
              </w:rPr>
              <w:t>Albatross</w:t>
            </w:r>
            <w:r w:rsidRPr="002D56F1">
              <w:rPr>
                <w:rFonts w:ascii="Arial" w:hAnsi="Arial"/>
                <w:sz w:val="16"/>
                <w:szCs w:val="16"/>
              </w:rPr>
              <w:t xml:space="preserve"> in Nowra NSW, supporting embarked flights in Navy ships. In-service support is led through four United States Government Foreign Military Sales cases.</w:t>
            </w:r>
          </w:p>
          <w:p w14:paraId="4A4D0E19" w14:textId="458AF09A" w:rsidR="004411F4" w:rsidRPr="00BA1388" w:rsidRDefault="0047694F" w:rsidP="00885E3F">
            <w:pPr>
              <w:keepNext/>
              <w:keepLines/>
              <w:spacing w:before="80" w:after="0"/>
              <w:rPr>
                <w:rFonts w:ascii="Arial" w:hAnsi="Arial"/>
                <w:sz w:val="16"/>
                <w:szCs w:val="16"/>
                <w:highlight w:val="yellow"/>
              </w:rPr>
            </w:pPr>
            <w:r w:rsidRPr="002D56F1">
              <w:rPr>
                <w:rFonts w:ascii="Arial" w:hAnsi="Arial"/>
                <w:sz w:val="16"/>
                <w:szCs w:val="16"/>
              </w:rPr>
              <w:t>During 2025-26, Defence will continue to expand current sustainment arrangements to support the additional helicopters delivered under the Improved Embarked Logistics Support Helicopter project (SEA 9100).</w:t>
            </w:r>
          </w:p>
        </w:tc>
      </w:tr>
      <w:tr w:rsidR="004411F4" w:rsidRPr="00BA1388" w14:paraId="2D0D2EE1" w14:textId="77777777" w:rsidTr="00135BDE">
        <w:trPr>
          <w:cantSplit/>
          <w:trHeight w:val="283"/>
        </w:trPr>
        <w:tc>
          <w:tcPr>
            <w:tcW w:w="1558" w:type="dxa"/>
            <w:tcBorders>
              <w:top w:val="nil"/>
              <w:left w:val="single" w:sz="4" w:space="0" w:color="auto"/>
              <w:bottom w:val="single" w:sz="4" w:space="0" w:color="auto"/>
              <w:right w:val="single" w:sz="4" w:space="0" w:color="auto"/>
            </w:tcBorders>
            <w:shd w:val="clear" w:color="auto" w:fill="auto"/>
            <w:vAlign w:val="center"/>
          </w:tcPr>
          <w:p w14:paraId="1580242C" w14:textId="53E26D15" w:rsidR="004411F4" w:rsidRPr="00EA6964" w:rsidRDefault="004411F4" w:rsidP="004609DC">
            <w:pPr>
              <w:rPr>
                <w:rFonts w:ascii="Arial" w:hAnsi="Arial"/>
                <w:sz w:val="16"/>
                <w:szCs w:val="18"/>
              </w:rPr>
            </w:pPr>
            <w:r w:rsidRPr="00EA6964">
              <w:rPr>
                <w:rFonts w:ascii="Arial" w:hAnsi="Arial"/>
                <w:sz w:val="16"/>
                <w:szCs w:val="18"/>
              </w:rPr>
              <w:t>Canberra Class Amphibious Ship</w:t>
            </w:r>
            <w:r w:rsidR="00887665">
              <w:rPr>
                <w:rFonts w:ascii="Arial" w:hAnsi="Arial"/>
                <w:sz w:val="16"/>
                <w:szCs w:val="18"/>
              </w:rPr>
              <w:t xml:space="preserve"> </w:t>
            </w:r>
          </w:p>
        </w:tc>
        <w:tc>
          <w:tcPr>
            <w:tcW w:w="942" w:type="dxa"/>
            <w:tcBorders>
              <w:top w:val="nil"/>
              <w:left w:val="nil"/>
              <w:bottom w:val="single" w:sz="4" w:space="0" w:color="auto"/>
              <w:right w:val="single" w:sz="4" w:space="0" w:color="auto"/>
            </w:tcBorders>
            <w:shd w:val="clear" w:color="auto" w:fill="auto"/>
            <w:vAlign w:val="center"/>
          </w:tcPr>
          <w:p w14:paraId="6FF86E12" w14:textId="77777777" w:rsidR="004411F4" w:rsidRPr="00EA6964" w:rsidRDefault="004411F4" w:rsidP="004411F4">
            <w:pPr>
              <w:jc w:val="center"/>
              <w:rPr>
                <w:rFonts w:ascii="Arial" w:hAnsi="Arial"/>
                <w:b/>
                <w:bCs/>
                <w:sz w:val="16"/>
                <w:szCs w:val="18"/>
              </w:rPr>
            </w:pPr>
            <w:r w:rsidRPr="00EA6964">
              <w:rPr>
                <w:rFonts w:ascii="Arial" w:hAnsi="Arial"/>
                <w:b/>
                <w:bCs/>
                <w:sz w:val="16"/>
                <w:szCs w:val="18"/>
              </w:rPr>
              <w:t>CN34</w:t>
            </w:r>
          </w:p>
        </w:tc>
        <w:tc>
          <w:tcPr>
            <w:tcW w:w="899" w:type="dxa"/>
            <w:tcBorders>
              <w:top w:val="nil"/>
              <w:left w:val="nil"/>
              <w:bottom w:val="single" w:sz="4" w:space="0" w:color="auto"/>
              <w:right w:val="single" w:sz="4" w:space="0" w:color="auto"/>
            </w:tcBorders>
            <w:shd w:val="clear" w:color="auto" w:fill="auto"/>
            <w:vAlign w:val="center"/>
          </w:tcPr>
          <w:p w14:paraId="28A38A52" w14:textId="7BC5B7A2" w:rsidR="004411F4" w:rsidRPr="003726E5" w:rsidRDefault="004411F4" w:rsidP="004411F4">
            <w:pPr>
              <w:jc w:val="right"/>
              <w:rPr>
                <w:rFonts w:ascii="Arial" w:hAnsi="Arial"/>
                <w:sz w:val="16"/>
                <w:szCs w:val="18"/>
              </w:rPr>
            </w:pPr>
            <w:r w:rsidRPr="003726E5">
              <w:rPr>
                <w:rFonts w:ascii="Arial" w:hAnsi="Arial"/>
                <w:sz w:val="16"/>
                <w:szCs w:val="18"/>
              </w:rPr>
              <w:t>188</w:t>
            </w:r>
          </w:p>
        </w:tc>
        <w:tc>
          <w:tcPr>
            <w:tcW w:w="10054" w:type="dxa"/>
            <w:tcBorders>
              <w:top w:val="nil"/>
              <w:left w:val="nil"/>
              <w:bottom w:val="single" w:sz="4" w:space="0" w:color="auto"/>
              <w:right w:val="single" w:sz="4" w:space="0" w:color="auto"/>
            </w:tcBorders>
            <w:shd w:val="clear" w:color="auto" w:fill="auto"/>
            <w:vAlign w:val="center"/>
          </w:tcPr>
          <w:p w14:paraId="314F046A" w14:textId="03FEB677" w:rsidR="004411F4" w:rsidRPr="007D4A3B" w:rsidRDefault="004411F4" w:rsidP="004411F4">
            <w:pPr>
              <w:keepNext/>
              <w:keepLines/>
              <w:spacing w:before="80" w:after="0"/>
              <w:rPr>
                <w:rFonts w:ascii="Arial" w:hAnsi="Arial"/>
                <w:sz w:val="16"/>
                <w:szCs w:val="16"/>
              </w:rPr>
            </w:pPr>
            <w:r w:rsidRPr="007D4A3B">
              <w:rPr>
                <w:rFonts w:ascii="Arial" w:hAnsi="Arial"/>
                <w:sz w:val="16"/>
                <w:szCs w:val="16"/>
              </w:rPr>
              <w:t xml:space="preserve">This product supports two Canberra Class </w:t>
            </w:r>
            <w:r w:rsidR="005B0A46">
              <w:rPr>
                <w:rFonts w:ascii="Arial" w:hAnsi="Arial"/>
                <w:sz w:val="16"/>
                <w:szCs w:val="16"/>
              </w:rPr>
              <w:t>Landing Helicopter Docks (</w:t>
            </w:r>
            <w:r w:rsidRPr="007D4A3B">
              <w:rPr>
                <w:rFonts w:ascii="Arial" w:hAnsi="Arial"/>
                <w:sz w:val="16"/>
                <w:szCs w:val="16"/>
              </w:rPr>
              <w:t>LHD</w:t>
            </w:r>
            <w:r w:rsidR="005B0A46">
              <w:rPr>
                <w:rFonts w:ascii="Arial" w:hAnsi="Arial"/>
                <w:sz w:val="16"/>
                <w:szCs w:val="16"/>
              </w:rPr>
              <w:t>)</w:t>
            </w:r>
            <w:r w:rsidRPr="007D4A3B">
              <w:rPr>
                <w:rFonts w:ascii="Arial" w:hAnsi="Arial"/>
                <w:sz w:val="16"/>
                <w:szCs w:val="16"/>
              </w:rPr>
              <w:t xml:space="preserve"> and 12 LHD landing craft</w:t>
            </w:r>
            <w:r>
              <w:rPr>
                <w:rFonts w:ascii="Arial" w:hAnsi="Arial"/>
                <w:sz w:val="16"/>
                <w:szCs w:val="16"/>
              </w:rPr>
              <w:t xml:space="preserve"> </w:t>
            </w:r>
            <w:r w:rsidRPr="007D4A3B">
              <w:rPr>
                <w:rFonts w:ascii="Arial" w:hAnsi="Arial"/>
                <w:sz w:val="16"/>
                <w:szCs w:val="16"/>
              </w:rPr>
              <w:t>and associated support systems, through the provision of materiel support, maintenance and engineering services.</w:t>
            </w:r>
          </w:p>
          <w:p w14:paraId="4A014051" w14:textId="30F366CF" w:rsidR="004411F4" w:rsidRPr="00BA1388" w:rsidRDefault="004411F4" w:rsidP="001665F7">
            <w:pPr>
              <w:keepNext/>
              <w:keepLines/>
              <w:spacing w:before="80" w:after="0"/>
              <w:rPr>
                <w:rFonts w:ascii="Arial" w:hAnsi="Arial"/>
                <w:sz w:val="16"/>
                <w:szCs w:val="16"/>
                <w:highlight w:val="yellow"/>
              </w:rPr>
            </w:pPr>
            <w:r w:rsidRPr="007D4A3B">
              <w:rPr>
                <w:rFonts w:ascii="Arial" w:hAnsi="Arial"/>
                <w:sz w:val="16"/>
                <w:szCs w:val="16"/>
              </w:rPr>
              <w:t xml:space="preserve">During </w:t>
            </w:r>
            <w:r>
              <w:rPr>
                <w:rFonts w:ascii="Arial" w:hAnsi="Arial"/>
                <w:sz w:val="16"/>
                <w:szCs w:val="16"/>
              </w:rPr>
              <w:t>2025-26</w:t>
            </w:r>
            <w:r w:rsidRPr="007D4A3B">
              <w:rPr>
                <w:rFonts w:ascii="Arial" w:hAnsi="Arial"/>
                <w:sz w:val="16"/>
                <w:szCs w:val="16"/>
              </w:rPr>
              <w:t xml:space="preserve">, the focus will be on completing the scheduled and corrective maintenance activities across the </w:t>
            </w:r>
            <w:r w:rsidR="00713F10">
              <w:rPr>
                <w:rFonts w:ascii="Arial" w:hAnsi="Arial"/>
                <w:sz w:val="16"/>
                <w:szCs w:val="16"/>
              </w:rPr>
              <w:t xml:space="preserve">Canberra </w:t>
            </w:r>
            <w:r w:rsidRPr="007D4A3B">
              <w:rPr>
                <w:rFonts w:ascii="Arial" w:hAnsi="Arial"/>
                <w:sz w:val="16"/>
                <w:szCs w:val="16"/>
              </w:rPr>
              <w:t>Class to ensure Navy’s availability and seaworthiness requirements are met</w:t>
            </w:r>
            <w:r>
              <w:rPr>
                <w:rFonts w:ascii="Arial" w:hAnsi="Arial"/>
                <w:sz w:val="16"/>
                <w:szCs w:val="16"/>
              </w:rPr>
              <w:t>;</w:t>
            </w:r>
            <w:r w:rsidRPr="007D4A3B">
              <w:rPr>
                <w:rFonts w:ascii="Arial" w:hAnsi="Arial"/>
                <w:sz w:val="16"/>
                <w:szCs w:val="16"/>
              </w:rPr>
              <w:t xml:space="preserve"> achieving a steady state for the in-service support arrangements</w:t>
            </w:r>
            <w:r>
              <w:rPr>
                <w:rFonts w:ascii="Arial" w:hAnsi="Arial"/>
                <w:sz w:val="16"/>
                <w:szCs w:val="16"/>
              </w:rPr>
              <w:t>;</w:t>
            </w:r>
            <w:r w:rsidRPr="007D4A3B">
              <w:rPr>
                <w:rFonts w:ascii="Arial" w:hAnsi="Arial"/>
                <w:sz w:val="16"/>
                <w:szCs w:val="16"/>
              </w:rPr>
              <w:t xml:space="preserve"> and </w:t>
            </w:r>
            <w:r>
              <w:rPr>
                <w:rFonts w:ascii="Arial" w:hAnsi="Arial"/>
                <w:sz w:val="16"/>
                <w:szCs w:val="16"/>
              </w:rPr>
              <w:t>supporting</w:t>
            </w:r>
            <w:r w:rsidRPr="007D4A3B">
              <w:rPr>
                <w:rFonts w:ascii="Arial" w:hAnsi="Arial"/>
                <w:sz w:val="16"/>
                <w:szCs w:val="16"/>
              </w:rPr>
              <w:t xml:space="preserve"> </w:t>
            </w:r>
            <w:r>
              <w:rPr>
                <w:rFonts w:ascii="Arial" w:hAnsi="Arial"/>
                <w:sz w:val="16"/>
                <w:szCs w:val="16"/>
              </w:rPr>
              <w:t xml:space="preserve">implementation </w:t>
            </w:r>
            <w:r w:rsidRPr="007D4A3B">
              <w:rPr>
                <w:rFonts w:ascii="Arial" w:hAnsi="Arial"/>
                <w:sz w:val="16"/>
                <w:szCs w:val="16"/>
              </w:rPr>
              <w:t>activities for the Canberra Class capability assurance program (SEA</w:t>
            </w:r>
            <w:r w:rsidR="00AF0C40">
              <w:rPr>
                <w:rFonts w:ascii="Arial" w:hAnsi="Arial"/>
                <w:sz w:val="16"/>
                <w:szCs w:val="16"/>
              </w:rPr>
              <w:t xml:space="preserve"> </w:t>
            </w:r>
            <w:r w:rsidRPr="007D4A3B">
              <w:rPr>
                <w:rFonts w:ascii="Arial" w:hAnsi="Arial"/>
                <w:sz w:val="16"/>
                <w:szCs w:val="16"/>
              </w:rPr>
              <w:t>2048</w:t>
            </w:r>
            <w:r>
              <w:rPr>
                <w:rFonts w:ascii="Arial" w:hAnsi="Arial"/>
                <w:sz w:val="16"/>
                <w:szCs w:val="16"/>
              </w:rPr>
              <w:t xml:space="preserve"> Phase 6</w:t>
            </w:r>
            <w:r w:rsidRPr="007D4A3B">
              <w:rPr>
                <w:rFonts w:ascii="Arial" w:hAnsi="Arial"/>
                <w:sz w:val="16"/>
                <w:szCs w:val="16"/>
              </w:rPr>
              <w:t>).</w:t>
            </w:r>
          </w:p>
        </w:tc>
      </w:tr>
      <w:tr w:rsidR="004411F4" w:rsidRPr="00BA1388" w14:paraId="3F3F6CF8" w14:textId="77777777" w:rsidTr="00E05EC9">
        <w:trPr>
          <w:cantSplit/>
          <w:trHeight w:hRule="exact" w:val="284"/>
        </w:trPr>
        <w:tc>
          <w:tcPr>
            <w:tcW w:w="13453"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58EAB570" w14:textId="77777777" w:rsidR="004411F4" w:rsidRPr="00BA1388" w:rsidRDefault="004411F4" w:rsidP="00E05EC9">
            <w:pPr>
              <w:keepNext/>
              <w:keepLines/>
              <w:spacing w:before="0" w:after="0"/>
              <w:rPr>
                <w:rFonts w:ascii="Arial" w:hAnsi="Arial"/>
                <w:b/>
                <w:bCs/>
                <w:sz w:val="16"/>
                <w:szCs w:val="16"/>
                <w:highlight w:val="yellow"/>
              </w:rPr>
            </w:pPr>
            <w:r w:rsidRPr="007A5324">
              <w:rPr>
                <w:rFonts w:ascii="Arial" w:hAnsi="Arial"/>
                <w:b/>
                <w:bCs/>
                <w:sz w:val="16"/>
                <w:szCs w:val="16"/>
              </w:rPr>
              <w:lastRenderedPageBreak/>
              <w:t>Maritime Domain (Continued)</w:t>
            </w:r>
          </w:p>
        </w:tc>
      </w:tr>
      <w:tr w:rsidR="004411F4" w:rsidRPr="00BA1388" w14:paraId="0BF57683" w14:textId="77777777" w:rsidTr="00135BDE">
        <w:trPr>
          <w:cantSplit/>
          <w:trHeight w:hRule="exact" w:val="1247"/>
        </w:trPr>
        <w:tc>
          <w:tcPr>
            <w:tcW w:w="1558" w:type="dxa"/>
            <w:tcBorders>
              <w:top w:val="nil"/>
              <w:left w:val="single" w:sz="4" w:space="0" w:color="auto"/>
              <w:bottom w:val="single" w:sz="4" w:space="0" w:color="auto"/>
              <w:right w:val="single" w:sz="4" w:space="0" w:color="auto"/>
            </w:tcBorders>
            <w:shd w:val="clear" w:color="auto" w:fill="auto"/>
            <w:vAlign w:val="center"/>
          </w:tcPr>
          <w:p w14:paraId="6DCC4434" w14:textId="1B278001" w:rsidR="004411F4" w:rsidRPr="00EA6964" w:rsidRDefault="004411F4" w:rsidP="004609DC">
            <w:pPr>
              <w:rPr>
                <w:rFonts w:ascii="Arial" w:hAnsi="Arial"/>
                <w:sz w:val="16"/>
                <w:szCs w:val="18"/>
              </w:rPr>
            </w:pPr>
            <w:r w:rsidRPr="00EA6964">
              <w:rPr>
                <w:rFonts w:ascii="Arial" w:hAnsi="Arial"/>
                <w:sz w:val="16"/>
                <w:szCs w:val="18"/>
              </w:rPr>
              <w:t>Anzac Class Frigate Capability Assurance Program</w:t>
            </w:r>
            <w:r w:rsidR="00887665">
              <w:rPr>
                <w:rFonts w:ascii="Arial" w:hAnsi="Arial"/>
                <w:sz w:val="16"/>
                <w:szCs w:val="18"/>
              </w:rPr>
              <w:t xml:space="preserve"> </w:t>
            </w:r>
          </w:p>
        </w:tc>
        <w:tc>
          <w:tcPr>
            <w:tcW w:w="942" w:type="dxa"/>
            <w:tcBorders>
              <w:top w:val="nil"/>
              <w:left w:val="nil"/>
              <w:bottom w:val="single" w:sz="4" w:space="0" w:color="auto"/>
              <w:right w:val="single" w:sz="4" w:space="0" w:color="auto"/>
            </w:tcBorders>
            <w:shd w:val="clear" w:color="auto" w:fill="auto"/>
            <w:vAlign w:val="center"/>
          </w:tcPr>
          <w:p w14:paraId="50617042" w14:textId="77777777" w:rsidR="004411F4" w:rsidRPr="00EA6964" w:rsidRDefault="004411F4" w:rsidP="004411F4">
            <w:pPr>
              <w:jc w:val="center"/>
              <w:rPr>
                <w:rFonts w:ascii="Arial" w:hAnsi="Arial"/>
                <w:b/>
                <w:bCs/>
                <w:sz w:val="16"/>
                <w:szCs w:val="18"/>
              </w:rPr>
            </w:pPr>
            <w:r w:rsidRPr="00EA6964">
              <w:rPr>
                <w:rFonts w:ascii="Arial" w:hAnsi="Arial"/>
                <w:b/>
                <w:bCs/>
                <w:sz w:val="16"/>
                <w:szCs w:val="18"/>
              </w:rPr>
              <w:t>CN65</w:t>
            </w:r>
          </w:p>
        </w:tc>
        <w:tc>
          <w:tcPr>
            <w:tcW w:w="899" w:type="dxa"/>
            <w:tcBorders>
              <w:top w:val="nil"/>
              <w:left w:val="nil"/>
              <w:bottom w:val="single" w:sz="4" w:space="0" w:color="auto"/>
              <w:right w:val="single" w:sz="4" w:space="0" w:color="auto"/>
            </w:tcBorders>
            <w:shd w:val="clear" w:color="auto" w:fill="auto"/>
            <w:vAlign w:val="center"/>
          </w:tcPr>
          <w:p w14:paraId="451C6712" w14:textId="2926052D" w:rsidR="004411F4" w:rsidRPr="00EA6964" w:rsidRDefault="004411F4" w:rsidP="004411F4">
            <w:pPr>
              <w:jc w:val="right"/>
              <w:rPr>
                <w:rFonts w:ascii="Arial" w:hAnsi="Arial"/>
                <w:sz w:val="16"/>
                <w:szCs w:val="18"/>
              </w:rPr>
            </w:pPr>
            <w:r w:rsidRPr="00EA6964">
              <w:rPr>
                <w:rFonts w:ascii="Arial" w:hAnsi="Arial"/>
                <w:sz w:val="16"/>
                <w:szCs w:val="18"/>
              </w:rPr>
              <w:t>154</w:t>
            </w:r>
          </w:p>
        </w:tc>
        <w:tc>
          <w:tcPr>
            <w:tcW w:w="10054" w:type="dxa"/>
            <w:tcBorders>
              <w:top w:val="nil"/>
              <w:left w:val="nil"/>
              <w:bottom w:val="single" w:sz="4" w:space="0" w:color="auto"/>
              <w:right w:val="single" w:sz="4" w:space="0" w:color="auto"/>
            </w:tcBorders>
            <w:shd w:val="clear" w:color="auto" w:fill="auto"/>
            <w:vAlign w:val="center"/>
          </w:tcPr>
          <w:p w14:paraId="68E31DF0" w14:textId="77777777" w:rsidR="00887665" w:rsidRPr="00935882" w:rsidRDefault="00887665" w:rsidP="00887665">
            <w:pPr>
              <w:keepNext/>
              <w:keepLines/>
              <w:spacing w:before="80" w:after="0"/>
              <w:rPr>
                <w:rFonts w:ascii="Arial" w:hAnsi="Arial"/>
                <w:sz w:val="16"/>
                <w:szCs w:val="16"/>
              </w:rPr>
            </w:pPr>
            <w:r w:rsidRPr="00935882">
              <w:rPr>
                <w:rFonts w:ascii="Arial" w:hAnsi="Arial"/>
                <w:sz w:val="16"/>
                <w:szCs w:val="16"/>
              </w:rPr>
              <w:t xml:space="preserve">This product supports the Transition Capability Assurance Program (TransCAP), an upgrade project to extend the life of type of the Anzac Class frigates and is funded from SEA 5014 Phase 1. </w:t>
            </w:r>
          </w:p>
          <w:p w14:paraId="5567D8D0" w14:textId="714FCA31" w:rsidR="004411F4" w:rsidRPr="00BA1388" w:rsidRDefault="00887665" w:rsidP="00885E3F">
            <w:pPr>
              <w:keepNext/>
              <w:keepLines/>
              <w:spacing w:before="80" w:after="0"/>
              <w:rPr>
                <w:rFonts w:ascii="Arial" w:hAnsi="Arial"/>
                <w:sz w:val="16"/>
                <w:szCs w:val="16"/>
                <w:highlight w:val="yellow"/>
              </w:rPr>
            </w:pPr>
            <w:r w:rsidRPr="00935882">
              <w:rPr>
                <w:rFonts w:ascii="Arial" w:hAnsi="Arial"/>
                <w:sz w:val="16"/>
                <w:szCs w:val="16"/>
              </w:rPr>
              <w:t>Following the Government decision in February 2024 that TransCAP would not proceed, the focus in 202</w:t>
            </w:r>
            <w:r>
              <w:rPr>
                <w:rFonts w:ascii="Arial" w:hAnsi="Arial"/>
                <w:sz w:val="16"/>
                <w:szCs w:val="16"/>
              </w:rPr>
              <w:t>5</w:t>
            </w:r>
            <w:r w:rsidRPr="00935882">
              <w:rPr>
                <w:rFonts w:ascii="Arial" w:hAnsi="Arial"/>
                <w:sz w:val="16"/>
                <w:szCs w:val="16"/>
              </w:rPr>
              <w:t>-2</w:t>
            </w:r>
            <w:r>
              <w:rPr>
                <w:rFonts w:ascii="Arial" w:hAnsi="Arial"/>
                <w:sz w:val="16"/>
                <w:szCs w:val="16"/>
              </w:rPr>
              <w:t>6</w:t>
            </w:r>
            <w:r w:rsidRPr="00935882">
              <w:rPr>
                <w:rFonts w:ascii="Arial" w:hAnsi="Arial"/>
                <w:sz w:val="16"/>
                <w:szCs w:val="16"/>
              </w:rPr>
              <w:t xml:space="preserve"> will be on closure and finalisation of the TransCAP design and procurement activities already underway, and close out </w:t>
            </w:r>
            <w:r>
              <w:rPr>
                <w:rFonts w:ascii="Arial" w:hAnsi="Arial"/>
                <w:sz w:val="16"/>
                <w:szCs w:val="16"/>
              </w:rPr>
              <w:t xml:space="preserve">of </w:t>
            </w:r>
            <w:r w:rsidRPr="00935882">
              <w:rPr>
                <w:rFonts w:ascii="Arial" w:hAnsi="Arial"/>
                <w:sz w:val="16"/>
                <w:szCs w:val="16"/>
              </w:rPr>
              <w:t>any matters arising from cancellation.</w:t>
            </w:r>
          </w:p>
        </w:tc>
      </w:tr>
      <w:tr w:rsidR="004411F4" w:rsidRPr="00BA1388" w14:paraId="15FAA5F8" w14:textId="77777777" w:rsidTr="00135BDE">
        <w:trPr>
          <w:cantSplit/>
          <w:trHeight w:val="283"/>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2D035FC" w14:textId="4A15E6C8" w:rsidR="004411F4" w:rsidRPr="000F3485" w:rsidRDefault="004411F4" w:rsidP="004609DC">
            <w:pPr>
              <w:rPr>
                <w:rFonts w:ascii="Arial" w:hAnsi="Arial"/>
                <w:sz w:val="16"/>
                <w:szCs w:val="18"/>
              </w:rPr>
            </w:pPr>
            <w:r w:rsidRPr="000F3485">
              <w:rPr>
                <w:rFonts w:ascii="Arial" w:hAnsi="Arial"/>
                <w:sz w:val="16"/>
                <w:szCs w:val="18"/>
              </w:rPr>
              <w:t>Navy Explosive Ordnance</w:t>
            </w:r>
            <w:r w:rsidR="00DE5CF0">
              <w:rPr>
                <w:rFonts w:ascii="Arial" w:hAnsi="Arial"/>
                <w:sz w:val="16"/>
                <w:szCs w:val="18"/>
              </w:rPr>
              <w:t xml:space="preserve"> </w:t>
            </w:r>
          </w:p>
        </w:tc>
        <w:tc>
          <w:tcPr>
            <w:tcW w:w="942" w:type="dxa"/>
            <w:tcBorders>
              <w:top w:val="single" w:sz="4" w:space="0" w:color="auto"/>
              <w:left w:val="nil"/>
              <w:bottom w:val="single" w:sz="4" w:space="0" w:color="auto"/>
              <w:right w:val="single" w:sz="4" w:space="0" w:color="auto"/>
            </w:tcBorders>
            <w:shd w:val="clear" w:color="auto" w:fill="auto"/>
            <w:vAlign w:val="center"/>
          </w:tcPr>
          <w:p w14:paraId="68B3FFCD" w14:textId="77777777" w:rsidR="004411F4" w:rsidRPr="000F3485" w:rsidRDefault="004411F4" w:rsidP="004411F4">
            <w:pPr>
              <w:jc w:val="center"/>
              <w:rPr>
                <w:rFonts w:ascii="Arial" w:hAnsi="Arial"/>
                <w:b/>
                <w:bCs/>
                <w:sz w:val="16"/>
                <w:szCs w:val="18"/>
              </w:rPr>
            </w:pPr>
            <w:r w:rsidRPr="000F3485">
              <w:rPr>
                <w:rFonts w:ascii="Arial" w:hAnsi="Arial"/>
                <w:b/>
                <w:bCs/>
                <w:sz w:val="16"/>
                <w:szCs w:val="18"/>
              </w:rPr>
              <w:t>CN54</w:t>
            </w:r>
          </w:p>
        </w:tc>
        <w:tc>
          <w:tcPr>
            <w:tcW w:w="899" w:type="dxa"/>
            <w:tcBorders>
              <w:top w:val="single" w:sz="4" w:space="0" w:color="auto"/>
              <w:left w:val="nil"/>
              <w:bottom w:val="single" w:sz="4" w:space="0" w:color="auto"/>
              <w:right w:val="single" w:sz="4" w:space="0" w:color="auto"/>
            </w:tcBorders>
            <w:shd w:val="clear" w:color="auto" w:fill="auto"/>
            <w:vAlign w:val="center"/>
          </w:tcPr>
          <w:p w14:paraId="5C6953F5" w14:textId="712597F5" w:rsidR="004411F4" w:rsidRPr="00BA1388" w:rsidRDefault="004411F4" w:rsidP="004411F4">
            <w:pPr>
              <w:jc w:val="right"/>
              <w:rPr>
                <w:rFonts w:ascii="Arial" w:hAnsi="Arial"/>
                <w:sz w:val="16"/>
                <w:szCs w:val="18"/>
                <w:highlight w:val="yellow"/>
              </w:rPr>
            </w:pPr>
            <w:r w:rsidRPr="00EA6964">
              <w:rPr>
                <w:rFonts w:ascii="Arial" w:hAnsi="Arial"/>
                <w:sz w:val="16"/>
                <w:szCs w:val="18"/>
              </w:rPr>
              <w:t>139</w:t>
            </w:r>
          </w:p>
        </w:tc>
        <w:tc>
          <w:tcPr>
            <w:tcW w:w="10054" w:type="dxa"/>
            <w:tcBorders>
              <w:top w:val="single" w:sz="4" w:space="0" w:color="auto"/>
              <w:left w:val="nil"/>
              <w:bottom w:val="single" w:sz="4" w:space="0" w:color="auto"/>
              <w:right w:val="single" w:sz="4" w:space="0" w:color="auto"/>
            </w:tcBorders>
            <w:shd w:val="clear" w:color="auto" w:fill="auto"/>
            <w:vAlign w:val="center"/>
          </w:tcPr>
          <w:p w14:paraId="1F4C9822" w14:textId="77777777" w:rsidR="00DE5CF0" w:rsidRPr="00DE5CF0" w:rsidRDefault="00DE5CF0" w:rsidP="00DE5CF0">
            <w:pPr>
              <w:keepNext/>
              <w:keepLines/>
              <w:spacing w:before="80" w:after="0"/>
              <w:rPr>
                <w:rFonts w:ascii="Arial" w:hAnsi="Arial"/>
                <w:sz w:val="16"/>
                <w:szCs w:val="16"/>
              </w:rPr>
            </w:pPr>
            <w:r w:rsidRPr="00DE5CF0">
              <w:rPr>
                <w:rFonts w:ascii="Arial" w:hAnsi="Arial"/>
                <w:sz w:val="16"/>
                <w:szCs w:val="16"/>
              </w:rPr>
              <w:t>Navy Explosive Ordnance supports Navy's guided weapons and munitions including countermeasures, navigational outfits and naval gunnery. Asset management is executed through three teams: air and missile defence, maritime strike and undersea weapons.</w:t>
            </w:r>
          </w:p>
          <w:p w14:paraId="4FC6BAD7" w14:textId="10036D44" w:rsidR="004411F4" w:rsidRPr="000F3485" w:rsidRDefault="00DE5CF0" w:rsidP="00DE5CF0">
            <w:pPr>
              <w:keepNext/>
              <w:keepLines/>
              <w:spacing w:before="80" w:after="0"/>
              <w:rPr>
                <w:rFonts w:ascii="Arial" w:hAnsi="Arial"/>
                <w:sz w:val="16"/>
                <w:szCs w:val="16"/>
              </w:rPr>
            </w:pPr>
            <w:r w:rsidRPr="00DE5CF0">
              <w:rPr>
                <w:rFonts w:ascii="Arial" w:hAnsi="Arial"/>
                <w:sz w:val="16"/>
                <w:szCs w:val="16"/>
              </w:rPr>
              <w:t>During 2025-26, activities to maximise readiness of in-service inventories will continue, including new and upgraded capabilities delivered through projects SEA</w:t>
            </w:r>
            <w:r w:rsidR="00F53B4B">
              <w:rPr>
                <w:rFonts w:ascii="Arial" w:hAnsi="Arial"/>
                <w:sz w:val="16"/>
                <w:szCs w:val="16"/>
              </w:rPr>
              <w:t xml:space="preserve"> </w:t>
            </w:r>
            <w:r w:rsidRPr="00DE5CF0">
              <w:rPr>
                <w:rFonts w:ascii="Arial" w:hAnsi="Arial"/>
                <w:sz w:val="16"/>
                <w:szCs w:val="16"/>
              </w:rPr>
              <w:t>1300 and SEA</w:t>
            </w:r>
            <w:r w:rsidR="00F53B4B">
              <w:rPr>
                <w:rFonts w:ascii="Arial" w:hAnsi="Arial"/>
                <w:sz w:val="16"/>
                <w:szCs w:val="16"/>
              </w:rPr>
              <w:t xml:space="preserve"> </w:t>
            </w:r>
            <w:r w:rsidRPr="00DE5CF0">
              <w:rPr>
                <w:rFonts w:ascii="Arial" w:hAnsi="Arial"/>
                <w:sz w:val="16"/>
                <w:szCs w:val="16"/>
              </w:rPr>
              <w:t xml:space="preserve">2000. This will also include improving in-country capacity </w:t>
            </w:r>
            <w:r w:rsidR="00EC2992">
              <w:rPr>
                <w:rFonts w:ascii="Arial" w:hAnsi="Arial"/>
                <w:sz w:val="16"/>
                <w:szCs w:val="16"/>
              </w:rPr>
              <w:t xml:space="preserve">to </w:t>
            </w:r>
            <w:r w:rsidRPr="00DE5CF0">
              <w:rPr>
                <w:rFonts w:ascii="Arial" w:hAnsi="Arial"/>
                <w:sz w:val="16"/>
                <w:szCs w:val="16"/>
              </w:rPr>
              <w:t>maintain, repair, overhaul and upgrade weapons to support larger inventories.</w:t>
            </w:r>
          </w:p>
        </w:tc>
      </w:tr>
      <w:tr w:rsidR="004411F4" w:rsidRPr="00BA1388" w14:paraId="19EE4C3D" w14:textId="77777777" w:rsidTr="00135BDE">
        <w:trPr>
          <w:cantSplit/>
          <w:trHeight w:val="283"/>
        </w:trPr>
        <w:tc>
          <w:tcPr>
            <w:tcW w:w="1558" w:type="dxa"/>
            <w:tcBorders>
              <w:top w:val="nil"/>
              <w:left w:val="single" w:sz="4" w:space="0" w:color="auto"/>
              <w:bottom w:val="single" w:sz="4" w:space="0" w:color="auto"/>
              <w:right w:val="single" w:sz="4" w:space="0" w:color="auto"/>
            </w:tcBorders>
            <w:shd w:val="clear" w:color="auto" w:fill="auto"/>
            <w:vAlign w:val="center"/>
          </w:tcPr>
          <w:p w14:paraId="65A9F4CD" w14:textId="40A5399B" w:rsidR="004411F4" w:rsidRPr="007B39BD" w:rsidRDefault="004411F4" w:rsidP="004609DC">
            <w:pPr>
              <w:rPr>
                <w:rFonts w:ascii="Arial" w:hAnsi="Arial"/>
                <w:sz w:val="16"/>
                <w:szCs w:val="18"/>
              </w:rPr>
            </w:pPr>
            <w:r w:rsidRPr="007B39BD">
              <w:rPr>
                <w:rFonts w:ascii="Arial" w:hAnsi="Arial"/>
                <w:sz w:val="16"/>
                <w:szCs w:val="18"/>
              </w:rPr>
              <w:t>Armidale Class Patrol</w:t>
            </w:r>
            <w:r w:rsidR="00373726" w:rsidRPr="007B39BD">
              <w:rPr>
                <w:rFonts w:ascii="Arial" w:hAnsi="Arial"/>
                <w:sz w:val="16"/>
                <w:szCs w:val="18"/>
              </w:rPr>
              <w:t xml:space="preserve"> </w:t>
            </w:r>
            <w:r w:rsidR="005B0A46">
              <w:rPr>
                <w:rFonts w:ascii="Arial" w:hAnsi="Arial"/>
                <w:sz w:val="16"/>
                <w:szCs w:val="18"/>
              </w:rPr>
              <w:t>Boat</w:t>
            </w:r>
          </w:p>
        </w:tc>
        <w:tc>
          <w:tcPr>
            <w:tcW w:w="942" w:type="dxa"/>
            <w:tcBorders>
              <w:top w:val="nil"/>
              <w:left w:val="nil"/>
              <w:bottom w:val="single" w:sz="4" w:space="0" w:color="auto"/>
              <w:right w:val="single" w:sz="4" w:space="0" w:color="auto"/>
            </w:tcBorders>
            <w:shd w:val="clear" w:color="auto" w:fill="auto"/>
            <w:vAlign w:val="center"/>
          </w:tcPr>
          <w:p w14:paraId="44213C3B" w14:textId="49AE519E" w:rsidR="004411F4" w:rsidRPr="007B39BD" w:rsidRDefault="004411F4" w:rsidP="004411F4">
            <w:pPr>
              <w:jc w:val="center"/>
              <w:rPr>
                <w:rFonts w:ascii="Arial" w:hAnsi="Arial"/>
                <w:b/>
                <w:bCs/>
                <w:sz w:val="16"/>
                <w:szCs w:val="18"/>
              </w:rPr>
            </w:pPr>
            <w:r w:rsidRPr="007B39BD">
              <w:rPr>
                <w:rFonts w:ascii="Arial" w:hAnsi="Arial"/>
                <w:b/>
                <w:bCs/>
                <w:sz w:val="16"/>
                <w:szCs w:val="18"/>
              </w:rPr>
              <w:t>CN09</w:t>
            </w:r>
          </w:p>
        </w:tc>
        <w:tc>
          <w:tcPr>
            <w:tcW w:w="899" w:type="dxa"/>
            <w:tcBorders>
              <w:top w:val="nil"/>
              <w:left w:val="nil"/>
              <w:bottom w:val="single" w:sz="4" w:space="0" w:color="auto"/>
              <w:right w:val="single" w:sz="4" w:space="0" w:color="auto"/>
            </w:tcBorders>
            <w:shd w:val="clear" w:color="auto" w:fill="auto"/>
            <w:vAlign w:val="center"/>
          </w:tcPr>
          <w:p w14:paraId="4A108284" w14:textId="5D6EA113" w:rsidR="004411F4" w:rsidRPr="003726E5" w:rsidRDefault="004411F4" w:rsidP="004411F4">
            <w:pPr>
              <w:jc w:val="right"/>
              <w:rPr>
                <w:rFonts w:ascii="Arial" w:hAnsi="Arial"/>
                <w:sz w:val="16"/>
                <w:szCs w:val="18"/>
              </w:rPr>
            </w:pPr>
            <w:r w:rsidRPr="003726E5">
              <w:rPr>
                <w:rFonts w:ascii="Arial" w:hAnsi="Arial"/>
                <w:sz w:val="16"/>
                <w:szCs w:val="18"/>
              </w:rPr>
              <w:t>149</w:t>
            </w:r>
          </w:p>
        </w:tc>
        <w:tc>
          <w:tcPr>
            <w:tcW w:w="10054" w:type="dxa"/>
            <w:tcBorders>
              <w:top w:val="nil"/>
              <w:left w:val="nil"/>
              <w:bottom w:val="single" w:sz="4" w:space="0" w:color="auto"/>
              <w:right w:val="single" w:sz="4" w:space="0" w:color="auto"/>
            </w:tcBorders>
            <w:shd w:val="clear" w:color="auto" w:fill="auto"/>
            <w:vAlign w:val="center"/>
          </w:tcPr>
          <w:p w14:paraId="5DC4F360" w14:textId="77777777" w:rsidR="007B39BD" w:rsidRPr="007B39BD" w:rsidRDefault="007B39BD" w:rsidP="007B39BD">
            <w:pPr>
              <w:keepNext/>
              <w:keepLines/>
              <w:spacing w:before="80" w:after="0"/>
              <w:rPr>
                <w:rFonts w:ascii="Arial" w:hAnsi="Arial"/>
                <w:sz w:val="16"/>
                <w:szCs w:val="16"/>
              </w:rPr>
            </w:pPr>
            <w:r w:rsidRPr="007B39BD">
              <w:rPr>
                <w:rFonts w:ascii="Arial" w:hAnsi="Arial"/>
                <w:sz w:val="16"/>
                <w:szCs w:val="16"/>
              </w:rPr>
              <w:t>This product comprises support arrangement to maintain the capability of the Armidale Class Patrol Boats and Cape Class Patrol Boats through the provision of materiel support of the ships and associated equipment and systems.</w:t>
            </w:r>
          </w:p>
          <w:p w14:paraId="67B9830A" w14:textId="2A28EBC7" w:rsidR="007B39BD" w:rsidRPr="007B39BD" w:rsidRDefault="007B39BD" w:rsidP="007B39BD">
            <w:pPr>
              <w:keepNext/>
              <w:keepLines/>
              <w:spacing w:before="80" w:after="0"/>
              <w:rPr>
                <w:rFonts w:ascii="Arial" w:hAnsi="Arial"/>
                <w:sz w:val="16"/>
                <w:szCs w:val="16"/>
              </w:rPr>
            </w:pPr>
            <w:r w:rsidRPr="007B39BD">
              <w:rPr>
                <w:rFonts w:ascii="Arial" w:hAnsi="Arial"/>
                <w:sz w:val="16"/>
                <w:szCs w:val="16"/>
              </w:rPr>
              <w:t>During 2025-26, the focus will be on continued delivery of operational c</w:t>
            </w:r>
            <w:r w:rsidR="00885E3F">
              <w:rPr>
                <w:rFonts w:ascii="Arial" w:hAnsi="Arial"/>
                <w:sz w:val="16"/>
                <w:szCs w:val="16"/>
              </w:rPr>
              <w:t xml:space="preserve">apability for the patrol force, </w:t>
            </w:r>
            <w:r w:rsidRPr="007B39BD">
              <w:rPr>
                <w:rFonts w:ascii="Arial" w:hAnsi="Arial"/>
                <w:sz w:val="16"/>
                <w:szCs w:val="16"/>
              </w:rPr>
              <w:t>continued support including asset management, engineering and logistics support for the Cape class patrol boats (including leased Cape class patrol boats), and the support system remediation for the Cape class patrol boats.</w:t>
            </w:r>
          </w:p>
          <w:p w14:paraId="25BE8B2F" w14:textId="53664173" w:rsidR="004411F4" w:rsidRPr="00BA1388" w:rsidRDefault="004411F4" w:rsidP="004411F4">
            <w:pPr>
              <w:keepNext/>
              <w:keepLines/>
              <w:spacing w:before="80" w:after="0"/>
              <w:rPr>
                <w:rFonts w:ascii="Arial" w:hAnsi="Arial"/>
                <w:sz w:val="16"/>
                <w:szCs w:val="16"/>
                <w:highlight w:val="yellow"/>
              </w:rPr>
            </w:pPr>
          </w:p>
        </w:tc>
      </w:tr>
      <w:tr w:rsidR="004411F4" w:rsidRPr="00BA1388" w14:paraId="130648FF" w14:textId="77777777" w:rsidTr="00135BDE">
        <w:trPr>
          <w:cantSplit/>
          <w:trHeight w:val="966"/>
        </w:trPr>
        <w:tc>
          <w:tcPr>
            <w:tcW w:w="1558" w:type="dxa"/>
            <w:tcBorders>
              <w:top w:val="nil"/>
              <w:left w:val="single" w:sz="4" w:space="0" w:color="auto"/>
              <w:bottom w:val="single" w:sz="4" w:space="0" w:color="auto"/>
              <w:right w:val="single" w:sz="4" w:space="0" w:color="auto"/>
            </w:tcBorders>
            <w:shd w:val="clear" w:color="auto" w:fill="auto"/>
            <w:vAlign w:val="center"/>
          </w:tcPr>
          <w:p w14:paraId="52FA21E6" w14:textId="27B8B9E2" w:rsidR="004411F4" w:rsidRPr="007A5324" w:rsidRDefault="004411F4" w:rsidP="004609DC">
            <w:pPr>
              <w:rPr>
                <w:rFonts w:ascii="Arial" w:hAnsi="Arial"/>
                <w:sz w:val="16"/>
                <w:szCs w:val="18"/>
              </w:rPr>
            </w:pPr>
            <w:r w:rsidRPr="007A5324">
              <w:rPr>
                <w:rFonts w:ascii="Arial" w:hAnsi="Arial"/>
                <w:sz w:val="16"/>
                <w:szCs w:val="18"/>
              </w:rPr>
              <w:t>Large Hull Vessels</w:t>
            </w:r>
            <w:r w:rsidR="00887665">
              <w:rPr>
                <w:rFonts w:ascii="Arial" w:hAnsi="Arial"/>
                <w:sz w:val="16"/>
                <w:szCs w:val="18"/>
              </w:rPr>
              <w:t xml:space="preserve"> </w:t>
            </w:r>
          </w:p>
        </w:tc>
        <w:tc>
          <w:tcPr>
            <w:tcW w:w="942" w:type="dxa"/>
            <w:tcBorders>
              <w:top w:val="nil"/>
              <w:left w:val="nil"/>
              <w:bottom w:val="single" w:sz="4" w:space="0" w:color="auto"/>
              <w:right w:val="single" w:sz="4" w:space="0" w:color="auto"/>
            </w:tcBorders>
            <w:shd w:val="clear" w:color="auto" w:fill="auto"/>
            <w:vAlign w:val="center"/>
          </w:tcPr>
          <w:p w14:paraId="60F36279" w14:textId="77777777" w:rsidR="004411F4" w:rsidRPr="007A5324" w:rsidRDefault="004411F4" w:rsidP="004411F4">
            <w:pPr>
              <w:jc w:val="center"/>
              <w:rPr>
                <w:rFonts w:ascii="Arial" w:hAnsi="Arial"/>
                <w:b/>
                <w:bCs/>
                <w:sz w:val="16"/>
                <w:szCs w:val="18"/>
              </w:rPr>
            </w:pPr>
            <w:r w:rsidRPr="007A5324">
              <w:rPr>
                <w:rFonts w:ascii="Arial" w:hAnsi="Arial"/>
                <w:b/>
                <w:bCs/>
                <w:sz w:val="16"/>
                <w:szCs w:val="18"/>
              </w:rPr>
              <w:t>CN58</w:t>
            </w:r>
          </w:p>
        </w:tc>
        <w:tc>
          <w:tcPr>
            <w:tcW w:w="899" w:type="dxa"/>
            <w:tcBorders>
              <w:top w:val="nil"/>
              <w:left w:val="nil"/>
              <w:bottom w:val="single" w:sz="4" w:space="0" w:color="auto"/>
              <w:right w:val="single" w:sz="4" w:space="0" w:color="auto"/>
            </w:tcBorders>
            <w:shd w:val="clear" w:color="auto" w:fill="auto"/>
            <w:vAlign w:val="center"/>
          </w:tcPr>
          <w:p w14:paraId="7415A7B3" w14:textId="4392DFD1" w:rsidR="004411F4" w:rsidRPr="003726E5" w:rsidRDefault="004411F4" w:rsidP="004411F4">
            <w:pPr>
              <w:jc w:val="right"/>
              <w:rPr>
                <w:rFonts w:ascii="Arial" w:hAnsi="Arial"/>
                <w:sz w:val="16"/>
                <w:szCs w:val="18"/>
              </w:rPr>
            </w:pPr>
            <w:r w:rsidRPr="003726E5">
              <w:rPr>
                <w:rFonts w:ascii="Arial" w:hAnsi="Arial"/>
                <w:sz w:val="16"/>
                <w:szCs w:val="18"/>
              </w:rPr>
              <w:t>149</w:t>
            </w:r>
          </w:p>
        </w:tc>
        <w:tc>
          <w:tcPr>
            <w:tcW w:w="10054" w:type="dxa"/>
            <w:tcBorders>
              <w:top w:val="nil"/>
              <w:left w:val="nil"/>
              <w:bottom w:val="single" w:sz="4" w:space="0" w:color="auto"/>
              <w:right w:val="single" w:sz="4" w:space="0" w:color="auto"/>
            </w:tcBorders>
            <w:shd w:val="clear" w:color="auto" w:fill="auto"/>
            <w:vAlign w:val="center"/>
          </w:tcPr>
          <w:p w14:paraId="1D2CFA1D" w14:textId="77777777" w:rsidR="00887665" w:rsidRPr="00935882" w:rsidRDefault="00887665" w:rsidP="00887665">
            <w:pPr>
              <w:keepNext/>
              <w:keepLines/>
              <w:spacing w:before="80" w:after="0"/>
              <w:rPr>
                <w:rFonts w:ascii="Arial" w:hAnsi="Arial"/>
                <w:sz w:val="16"/>
                <w:szCs w:val="16"/>
              </w:rPr>
            </w:pPr>
            <w:r w:rsidRPr="00935882">
              <w:rPr>
                <w:rFonts w:ascii="Arial" w:hAnsi="Arial"/>
                <w:sz w:val="16"/>
                <w:szCs w:val="16"/>
              </w:rPr>
              <w:t xml:space="preserve">This product supports </w:t>
            </w:r>
            <w:r>
              <w:rPr>
                <w:rFonts w:ascii="Arial" w:hAnsi="Arial"/>
                <w:sz w:val="16"/>
                <w:szCs w:val="16"/>
              </w:rPr>
              <w:t>seven</w:t>
            </w:r>
            <w:r w:rsidRPr="00935882">
              <w:rPr>
                <w:rFonts w:ascii="Arial" w:hAnsi="Arial"/>
                <w:sz w:val="16"/>
                <w:szCs w:val="16"/>
              </w:rPr>
              <w:t xml:space="preserve"> commercial auxiliary vessels including MV Sycamore, MV Bessant, MV Stoker, MV Mercator, ADV Ocean Protector</w:t>
            </w:r>
            <w:r>
              <w:rPr>
                <w:rFonts w:ascii="Arial" w:hAnsi="Arial"/>
                <w:sz w:val="16"/>
                <w:szCs w:val="16"/>
              </w:rPr>
              <w:t>,</w:t>
            </w:r>
            <w:r w:rsidRPr="00935882">
              <w:rPr>
                <w:rFonts w:ascii="Arial" w:hAnsi="Arial"/>
                <w:sz w:val="16"/>
                <w:szCs w:val="16"/>
              </w:rPr>
              <w:t xml:space="preserve"> ADV Reliant</w:t>
            </w:r>
            <w:r>
              <w:rPr>
                <w:rFonts w:ascii="Arial" w:hAnsi="Arial"/>
                <w:sz w:val="16"/>
                <w:szCs w:val="16"/>
              </w:rPr>
              <w:t xml:space="preserve"> and ADV Guidance</w:t>
            </w:r>
            <w:r w:rsidRPr="00935882">
              <w:rPr>
                <w:rFonts w:ascii="Arial" w:hAnsi="Arial"/>
                <w:sz w:val="16"/>
                <w:szCs w:val="16"/>
              </w:rPr>
              <w:t xml:space="preserve"> through the provision of materiel support, maintenance and engineering services.</w:t>
            </w:r>
          </w:p>
          <w:p w14:paraId="1D4FA1FE" w14:textId="6183F3AA" w:rsidR="004411F4" w:rsidRPr="00BA1388" w:rsidRDefault="00887665" w:rsidP="00887665">
            <w:pPr>
              <w:keepNext/>
              <w:keepLines/>
              <w:spacing w:before="80" w:after="0"/>
              <w:rPr>
                <w:rFonts w:ascii="Arial" w:hAnsi="Arial"/>
                <w:sz w:val="16"/>
                <w:szCs w:val="16"/>
                <w:highlight w:val="yellow"/>
              </w:rPr>
            </w:pPr>
            <w:r w:rsidRPr="00935882">
              <w:rPr>
                <w:rFonts w:ascii="Arial" w:hAnsi="Arial"/>
                <w:sz w:val="16"/>
                <w:szCs w:val="16"/>
              </w:rPr>
              <w:t xml:space="preserve">During </w:t>
            </w:r>
            <w:r>
              <w:rPr>
                <w:rFonts w:ascii="Arial" w:hAnsi="Arial"/>
                <w:sz w:val="16"/>
                <w:szCs w:val="16"/>
              </w:rPr>
              <w:t>2025-26</w:t>
            </w:r>
            <w:r w:rsidRPr="00935882">
              <w:rPr>
                <w:rFonts w:ascii="Arial" w:hAnsi="Arial"/>
                <w:sz w:val="16"/>
                <w:szCs w:val="16"/>
              </w:rPr>
              <w:t>, the focus will be on completing the scheduled and corrective maintenance activities across the commercial auxiliary fleet to ensure Navy’s availability and seaworthiness requirements are met.</w:t>
            </w:r>
          </w:p>
        </w:tc>
      </w:tr>
      <w:tr w:rsidR="004411F4" w:rsidRPr="00BA1388" w14:paraId="26023C44" w14:textId="77777777" w:rsidTr="00135BDE">
        <w:trPr>
          <w:cantSplit/>
          <w:trHeight w:val="1255"/>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732B0931" w14:textId="70677B35" w:rsidR="004411F4" w:rsidRPr="007A5324" w:rsidRDefault="004411F4" w:rsidP="004609DC">
            <w:pPr>
              <w:rPr>
                <w:rFonts w:ascii="Arial" w:hAnsi="Arial"/>
                <w:sz w:val="16"/>
                <w:szCs w:val="18"/>
              </w:rPr>
            </w:pPr>
            <w:r w:rsidRPr="007A5324">
              <w:rPr>
                <w:rFonts w:ascii="Arial" w:hAnsi="Arial"/>
                <w:sz w:val="16"/>
                <w:szCs w:val="18"/>
              </w:rPr>
              <w:t>Aegis Combat System</w:t>
            </w:r>
            <w:r w:rsidR="00887665">
              <w:rPr>
                <w:rFonts w:ascii="Arial" w:hAnsi="Arial"/>
                <w:sz w:val="16"/>
                <w:szCs w:val="18"/>
              </w:rPr>
              <w:t xml:space="preserve"> </w:t>
            </w:r>
          </w:p>
        </w:tc>
        <w:tc>
          <w:tcPr>
            <w:tcW w:w="942" w:type="dxa"/>
            <w:tcBorders>
              <w:top w:val="single" w:sz="4" w:space="0" w:color="auto"/>
              <w:left w:val="nil"/>
              <w:bottom w:val="single" w:sz="4" w:space="0" w:color="auto"/>
              <w:right w:val="single" w:sz="4" w:space="0" w:color="auto"/>
            </w:tcBorders>
            <w:shd w:val="clear" w:color="auto" w:fill="auto"/>
            <w:vAlign w:val="center"/>
          </w:tcPr>
          <w:p w14:paraId="550CA399" w14:textId="77777777" w:rsidR="004411F4" w:rsidRPr="007A5324" w:rsidRDefault="004411F4" w:rsidP="004411F4">
            <w:pPr>
              <w:jc w:val="center"/>
              <w:rPr>
                <w:rFonts w:ascii="Arial" w:hAnsi="Arial"/>
                <w:b/>
                <w:bCs/>
                <w:sz w:val="16"/>
                <w:szCs w:val="18"/>
              </w:rPr>
            </w:pPr>
            <w:r w:rsidRPr="007A5324">
              <w:rPr>
                <w:rFonts w:ascii="Arial" w:hAnsi="Arial"/>
                <w:b/>
                <w:bCs/>
                <w:sz w:val="16"/>
                <w:szCs w:val="18"/>
              </w:rPr>
              <w:t>CN60</w:t>
            </w:r>
          </w:p>
        </w:tc>
        <w:tc>
          <w:tcPr>
            <w:tcW w:w="899" w:type="dxa"/>
            <w:tcBorders>
              <w:top w:val="single" w:sz="4" w:space="0" w:color="auto"/>
              <w:left w:val="nil"/>
              <w:bottom w:val="single" w:sz="4" w:space="0" w:color="auto"/>
              <w:right w:val="single" w:sz="4" w:space="0" w:color="auto"/>
            </w:tcBorders>
            <w:shd w:val="clear" w:color="auto" w:fill="auto"/>
            <w:vAlign w:val="center"/>
          </w:tcPr>
          <w:p w14:paraId="60ECF5BA" w14:textId="66FEE1B3" w:rsidR="004411F4" w:rsidRPr="007A5324" w:rsidRDefault="004411F4" w:rsidP="004411F4">
            <w:pPr>
              <w:jc w:val="right"/>
              <w:rPr>
                <w:rFonts w:ascii="Arial" w:hAnsi="Arial"/>
                <w:sz w:val="16"/>
                <w:szCs w:val="18"/>
              </w:rPr>
            </w:pPr>
            <w:r w:rsidRPr="007A5324">
              <w:rPr>
                <w:rFonts w:ascii="Arial" w:hAnsi="Arial"/>
                <w:sz w:val="16"/>
                <w:szCs w:val="18"/>
              </w:rPr>
              <w:t>131</w:t>
            </w:r>
          </w:p>
        </w:tc>
        <w:tc>
          <w:tcPr>
            <w:tcW w:w="10054" w:type="dxa"/>
            <w:tcBorders>
              <w:top w:val="single" w:sz="4" w:space="0" w:color="auto"/>
              <w:left w:val="nil"/>
              <w:bottom w:val="single" w:sz="4" w:space="0" w:color="auto"/>
              <w:right w:val="single" w:sz="4" w:space="0" w:color="auto"/>
            </w:tcBorders>
            <w:shd w:val="clear" w:color="auto" w:fill="auto"/>
            <w:vAlign w:val="center"/>
          </w:tcPr>
          <w:p w14:paraId="5EDE8794" w14:textId="77777777" w:rsidR="00887665" w:rsidRPr="00887665" w:rsidRDefault="00887665" w:rsidP="00887665">
            <w:pPr>
              <w:keepNext/>
              <w:keepLines/>
              <w:spacing w:before="80" w:after="0"/>
              <w:rPr>
                <w:rFonts w:ascii="Arial" w:hAnsi="Arial"/>
                <w:sz w:val="16"/>
                <w:szCs w:val="16"/>
              </w:rPr>
            </w:pPr>
            <w:r w:rsidRPr="00887665">
              <w:rPr>
                <w:rFonts w:ascii="Arial" w:hAnsi="Arial"/>
                <w:sz w:val="16"/>
                <w:szCs w:val="16"/>
              </w:rPr>
              <w:t>This product covers the sustainment of Aegis Combat Systems in Surface Combatants and their related shore based test and training infrastructure both in Australia and the United States.</w:t>
            </w:r>
          </w:p>
          <w:p w14:paraId="5E6A105A" w14:textId="1A04183A" w:rsidR="004411F4" w:rsidRPr="007A5324" w:rsidRDefault="00887665" w:rsidP="00887665">
            <w:pPr>
              <w:keepNext/>
              <w:keepLines/>
              <w:spacing w:before="80" w:after="0"/>
              <w:rPr>
                <w:rFonts w:ascii="Arial" w:hAnsi="Arial"/>
                <w:sz w:val="16"/>
                <w:szCs w:val="16"/>
              </w:rPr>
            </w:pPr>
            <w:r w:rsidRPr="00887665">
              <w:rPr>
                <w:rFonts w:ascii="Arial" w:hAnsi="Arial"/>
                <w:sz w:val="16"/>
                <w:szCs w:val="16"/>
              </w:rPr>
              <w:t>During 2025-26, the focus will be the delivery of software and hardware updates for Aegis Combat System, the development of future updates and preparations for sustainment of major updates delivered through SEA 4000 Phase 6.</w:t>
            </w:r>
          </w:p>
        </w:tc>
      </w:tr>
    </w:tbl>
    <w:p w14:paraId="3ECEC1F0" w14:textId="15C0696D" w:rsidR="00BC42D4" w:rsidRDefault="00BC42D4" w:rsidP="00766BE1">
      <w:pPr>
        <w:tabs>
          <w:tab w:val="left" w:pos="6480"/>
        </w:tabs>
        <w:spacing w:before="0" w:after="0"/>
        <w:ind w:left="-34"/>
        <w:rPr>
          <w:rFonts w:ascii="Arial" w:hAnsi="Arial"/>
          <w:b/>
          <w:bCs/>
          <w:sz w:val="16"/>
          <w:szCs w:val="16"/>
          <w:highlight w:val="yellow"/>
          <w:lang w:val="en-AU"/>
        </w:rPr>
      </w:pPr>
    </w:p>
    <w:p w14:paraId="11994A06" w14:textId="110BB996" w:rsidR="00293514" w:rsidRDefault="00293514">
      <w:pPr>
        <w:spacing w:before="0" w:after="0"/>
        <w:rPr>
          <w:rFonts w:ascii="Arial" w:hAnsi="Arial"/>
          <w:b/>
          <w:bCs/>
          <w:sz w:val="16"/>
          <w:szCs w:val="16"/>
          <w:highlight w:val="yellow"/>
          <w:lang w:val="en-AU"/>
        </w:rPr>
      </w:pPr>
      <w:r>
        <w:rPr>
          <w:rFonts w:ascii="Arial" w:hAnsi="Arial"/>
          <w:b/>
          <w:bCs/>
          <w:sz w:val="16"/>
          <w:szCs w:val="16"/>
          <w:highlight w:val="yellow"/>
          <w:lang w:val="en-AU"/>
        </w:rPr>
        <w:br w:type="page"/>
      </w:r>
    </w:p>
    <w:p w14:paraId="16CE14A4" w14:textId="15A3882F" w:rsidR="00293514" w:rsidRPr="007A5324" w:rsidRDefault="00293514" w:rsidP="00293514">
      <w:pPr>
        <w:tabs>
          <w:tab w:val="left" w:pos="5183"/>
        </w:tabs>
        <w:spacing w:before="0" w:after="0"/>
        <w:ind w:left="79"/>
        <w:rPr>
          <w:rFonts w:ascii="Arial" w:hAnsi="Arial"/>
          <w:b/>
          <w:bCs/>
          <w:sz w:val="16"/>
          <w:szCs w:val="16"/>
          <w:lang w:val="en-AU"/>
        </w:rPr>
      </w:pPr>
      <w:r w:rsidRPr="005A5FC8">
        <w:rPr>
          <w:rFonts w:ascii="Arial" w:hAnsi="Arial"/>
          <w:b/>
          <w:bCs/>
          <w:szCs w:val="20"/>
        </w:rPr>
        <w:lastRenderedPageBreak/>
        <w:t xml:space="preserve">Table 55: </w:t>
      </w:r>
      <w:r w:rsidR="007B4BB9" w:rsidRPr="002D105C">
        <w:rPr>
          <w:rFonts w:ascii="Arial" w:hAnsi="Arial"/>
          <w:b/>
        </w:rPr>
        <w:t>Top 30 Capability Sustainment Products by End of Financial Year Outcome 2025-26 (Continued)</w:t>
      </w:r>
      <w:r w:rsidRPr="005A5FC8">
        <w:rPr>
          <w:rFonts w:ascii="Arial" w:hAnsi="Arial"/>
          <w:b/>
          <w:bCs/>
          <w:sz w:val="16"/>
          <w:szCs w:val="16"/>
        </w:rPr>
        <w:tab/>
      </w:r>
    </w:p>
    <w:tbl>
      <w:tblPr>
        <w:tblW w:w="8251" w:type="dxa"/>
        <w:tblInd w:w="-34" w:type="dxa"/>
        <w:tblLayout w:type="fixed"/>
        <w:tblLook w:val="04A0" w:firstRow="1" w:lastRow="0" w:firstColumn="1" w:lastColumn="0" w:noHBand="0" w:noVBand="1"/>
      </w:tblPr>
      <w:tblGrid>
        <w:gridCol w:w="5132"/>
        <w:gridCol w:w="3119"/>
      </w:tblGrid>
      <w:tr w:rsidR="00293514" w:rsidRPr="00BA1388" w14:paraId="3446F4E8" w14:textId="77777777" w:rsidTr="00C65DE5">
        <w:trPr>
          <w:trHeight w:val="283"/>
        </w:trPr>
        <w:tc>
          <w:tcPr>
            <w:tcW w:w="5132" w:type="dxa"/>
            <w:tcBorders>
              <w:top w:val="single" w:sz="4" w:space="0" w:color="auto"/>
              <w:left w:val="single" w:sz="4" w:space="0" w:color="auto"/>
              <w:bottom w:val="single" w:sz="4" w:space="0" w:color="auto"/>
              <w:right w:val="single" w:sz="4" w:space="0" w:color="auto"/>
            </w:tcBorders>
            <w:shd w:val="clear" w:color="auto" w:fill="E6E6E6"/>
            <w:vAlign w:val="center"/>
          </w:tcPr>
          <w:p w14:paraId="2473EF17" w14:textId="77777777" w:rsidR="00293514" w:rsidRPr="00BA1388" w:rsidRDefault="00293514" w:rsidP="00F27369">
            <w:pPr>
              <w:spacing w:before="0" w:after="0"/>
              <w:jc w:val="right"/>
              <w:rPr>
                <w:rFonts w:ascii="Arial" w:hAnsi="Arial"/>
                <w:b/>
                <w:bCs/>
                <w:sz w:val="16"/>
                <w:szCs w:val="16"/>
                <w:highlight w:val="yellow"/>
                <w:lang w:val="en-AU"/>
              </w:rPr>
            </w:pPr>
          </w:p>
        </w:tc>
        <w:tc>
          <w:tcPr>
            <w:tcW w:w="3119" w:type="dxa"/>
            <w:tcBorders>
              <w:top w:val="single" w:sz="4" w:space="0" w:color="auto"/>
              <w:left w:val="single" w:sz="4" w:space="0" w:color="auto"/>
              <w:bottom w:val="single" w:sz="4" w:space="0" w:color="auto"/>
              <w:right w:val="single" w:sz="4" w:space="0" w:color="auto"/>
            </w:tcBorders>
            <w:shd w:val="clear" w:color="auto" w:fill="E6E6E6"/>
            <w:vAlign w:val="center"/>
          </w:tcPr>
          <w:p w14:paraId="62B0D0CB" w14:textId="3840759F" w:rsidR="00293514" w:rsidRPr="00BA1388" w:rsidRDefault="00293514" w:rsidP="00F27369">
            <w:pPr>
              <w:spacing w:before="0" w:after="0"/>
              <w:jc w:val="right"/>
              <w:rPr>
                <w:rFonts w:ascii="Arial" w:hAnsi="Arial"/>
                <w:b/>
                <w:bCs/>
                <w:sz w:val="16"/>
                <w:szCs w:val="16"/>
                <w:highlight w:val="yellow"/>
                <w:lang w:val="en-AU"/>
              </w:rPr>
            </w:pPr>
            <w:r w:rsidRPr="007A5324">
              <w:rPr>
                <w:rFonts w:ascii="Arial" w:hAnsi="Arial"/>
                <w:b/>
                <w:bCs/>
                <w:sz w:val="16"/>
                <w:szCs w:val="16"/>
                <w:lang w:val="en-AU"/>
              </w:rPr>
              <w:t>Budget Estimate 2025-26 $m</w:t>
            </w:r>
            <w:r w:rsidRPr="007A5324">
              <w:rPr>
                <w:rFonts w:ascii="Arial" w:hAnsi="Arial"/>
                <w:b/>
                <w:bCs/>
                <w:sz w:val="16"/>
                <w:szCs w:val="16"/>
                <w:vertAlign w:val="superscript"/>
                <w:lang w:val="en-AU"/>
              </w:rPr>
              <w:t xml:space="preserve"> </w:t>
            </w:r>
            <w:r w:rsidR="00C65DE5" w:rsidRPr="00E610B4">
              <w:rPr>
                <w:rFonts w:ascii="Arial" w:hAnsi="Arial"/>
                <w:b/>
                <w:bCs/>
                <w:szCs w:val="20"/>
                <w:vertAlign w:val="superscript"/>
                <w:lang w:val="en-AU"/>
              </w:rPr>
              <w:t>[a]</w:t>
            </w:r>
          </w:p>
        </w:tc>
      </w:tr>
      <w:tr w:rsidR="005D50B4" w:rsidRPr="00BA1388" w14:paraId="32AD1F71" w14:textId="77777777" w:rsidTr="00C65DE5">
        <w:trPr>
          <w:trHeight w:val="283"/>
        </w:trPr>
        <w:tc>
          <w:tcPr>
            <w:tcW w:w="5132" w:type="dxa"/>
            <w:tcBorders>
              <w:top w:val="single" w:sz="4" w:space="0" w:color="auto"/>
              <w:left w:val="single" w:sz="4" w:space="0" w:color="auto"/>
              <w:bottom w:val="single" w:sz="4" w:space="0" w:color="auto"/>
              <w:right w:val="single" w:sz="4" w:space="0" w:color="auto"/>
            </w:tcBorders>
            <w:shd w:val="clear" w:color="auto" w:fill="auto"/>
            <w:vAlign w:val="center"/>
          </w:tcPr>
          <w:p w14:paraId="5F438158" w14:textId="77777777" w:rsidR="005D50B4" w:rsidRPr="007A5324" w:rsidRDefault="005D50B4" w:rsidP="005D50B4">
            <w:pPr>
              <w:spacing w:before="0" w:after="0"/>
              <w:rPr>
                <w:rFonts w:ascii="Arial" w:hAnsi="Arial"/>
                <w:b/>
                <w:bCs/>
                <w:sz w:val="16"/>
                <w:szCs w:val="16"/>
                <w:lang w:val="en-AU"/>
              </w:rPr>
            </w:pPr>
            <w:r w:rsidRPr="007A5324">
              <w:rPr>
                <w:rFonts w:ascii="Arial" w:hAnsi="Arial"/>
                <w:b/>
                <w:bCs/>
                <w:sz w:val="16"/>
                <w:szCs w:val="16"/>
              </w:rPr>
              <w:t>Total Top 30 Capability Sustainment Products</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C5E9F5" w14:textId="27B73547" w:rsidR="005D50B4" w:rsidRPr="00BA1388" w:rsidRDefault="007B39BD" w:rsidP="008E2043">
            <w:pPr>
              <w:spacing w:before="0" w:after="0"/>
              <w:jc w:val="right"/>
              <w:rPr>
                <w:rFonts w:ascii="Arial" w:hAnsi="Arial"/>
                <w:b/>
                <w:bCs/>
                <w:sz w:val="16"/>
                <w:szCs w:val="16"/>
                <w:highlight w:val="yellow"/>
                <w:lang w:val="en-AU"/>
              </w:rPr>
            </w:pPr>
            <w:r>
              <w:rPr>
                <w:rFonts w:ascii="Arial" w:hAnsi="Arial"/>
                <w:b/>
                <w:bCs/>
                <w:sz w:val="16"/>
                <w:szCs w:val="16"/>
              </w:rPr>
              <w:t>7,</w:t>
            </w:r>
            <w:r w:rsidR="00BF6306">
              <w:rPr>
                <w:rFonts w:ascii="Arial" w:hAnsi="Arial"/>
                <w:b/>
                <w:bCs/>
                <w:sz w:val="16"/>
                <w:szCs w:val="16"/>
              </w:rPr>
              <w:t>26</w:t>
            </w:r>
            <w:r w:rsidR="008E2043">
              <w:rPr>
                <w:rFonts w:ascii="Arial" w:hAnsi="Arial"/>
                <w:b/>
                <w:bCs/>
                <w:sz w:val="16"/>
                <w:szCs w:val="16"/>
              </w:rPr>
              <w:t>8</w:t>
            </w:r>
          </w:p>
        </w:tc>
      </w:tr>
      <w:tr w:rsidR="00FA2F24" w:rsidRPr="00BA1388" w14:paraId="4C865C31" w14:textId="77777777" w:rsidTr="00C65DE5">
        <w:trPr>
          <w:trHeight w:val="283"/>
        </w:trPr>
        <w:tc>
          <w:tcPr>
            <w:tcW w:w="5132" w:type="dxa"/>
            <w:tcBorders>
              <w:top w:val="nil"/>
              <w:left w:val="single" w:sz="4" w:space="0" w:color="auto"/>
              <w:bottom w:val="single" w:sz="4" w:space="0" w:color="auto"/>
              <w:right w:val="single" w:sz="4" w:space="0" w:color="auto"/>
            </w:tcBorders>
            <w:shd w:val="clear" w:color="auto" w:fill="auto"/>
            <w:vAlign w:val="center"/>
          </w:tcPr>
          <w:p w14:paraId="369BF7CF" w14:textId="77777777" w:rsidR="00FA2F24" w:rsidRPr="007A5324" w:rsidRDefault="00FA2F24" w:rsidP="00FA2F24">
            <w:pPr>
              <w:rPr>
                <w:rFonts w:ascii="Arial" w:hAnsi="Arial"/>
                <w:sz w:val="16"/>
                <w:szCs w:val="16"/>
              </w:rPr>
            </w:pPr>
            <w:r w:rsidRPr="007A5324">
              <w:rPr>
                <w:rFonts w:ascii="Arial" w:hAnsi="Arial"/>
                <w:sz w:val="16"/>
                <w:szCs w:val="16"/>
              </w:rPr>
              <w:t>Other Sustainment Product Estimates</w:t>
            </w:r>
          </w:p>
        </w:tc>
        <w:tc>
          <w:tcPr>
            <w:tcW w:w="3119" w:type="dxa"/>
            <w:tcBorders>
              <w:top w:val="nil"/>
              <w:left w:val="single" w:sz="4" w:space="0" w:color="auto"/>
              <w:bottom w:val="single" w:sz="4" w:space="0" w:color="auto"/>
              <w:right w:val="single" w:sz="4" w:space="0" w:color="auto"/>
            </w:tcBorders>
            <w:shd w:val="clear" w:color="auto" w:fill="auto"/>
            <w:noWrap/>
            <w:vAlign w:val="center"/>
          </w:tcPr>
          <w:p w14:paraId="187E9E29" w14:textId="6665AD92" w:rsidR="00FA2F24" w:rsidRPr="00FA2F24" w:rsidRDefault="00FA2F24" w:rsidP="0087528E">
            <w:pPr>
              <w:jc w:val="right"/>
              <w:rPr>
                <w:rFonts w:ascii="Arial" w:hAnsi="Arial"/>
                <w:sz w:val="16"/>
                <w:szCs w:val="16"/>
              </w:rPr>
            </w:pPr>
            <w:r w:rsidRPr="00FA2F24">
              <w:rPr>
                <w:rFonts w:ascii="Arial" w:hAnsi="Arial"/>
                <w:sz w:val="16"/>
                <w:szCs w:val="16"/>
              </w:rPr>
              <w:t>4,8</w:t>
            </w:r>
            <w:r w:rsidR="0087528E">
              <w:rPr>
                <w:rFonts w:ascii="Arial" w:hAnsi="Arial"/>
                <w:sz w:val="16"/>
                <w:szCs w:val="16"/>
              </w:rPr>
              <w:t>54</w:t>
            </w:r>
          </w:p>
        </w:tc>
      </w:tr>
      <w:tr w:rsidR="00FA2F24" w:rsidRPr="00BA1388" w14:paraId="32785C28" w14:textId="77777777" w:rsidTr="00C65DE5">
        <w:trPr>
          <w:trHeight w:val="340"/>
        </w:trPr>
        <w:tc>
          <w:tcPr>
            <w:tcW w:w="5132" w:type="dxa"/>
            <w:tcBorders>
              <w:top w:val="nil"/>
              <w:left w:val="single" w:sz="4" w:space="0" w:color="auto"/>
              <w:bottom w:val="single" w:sz="4" w:space="0" w:color="auto"/>
              <w:right w:val="single" w:sz="4" w:space="0" w:color="auto"/>
            </w:tcBorders>
            <w:shd w:val="clear" w:color="auto" w:fill="auto"/>
            <w:vAlign w:val="center"/>
          </w:tcPr>
          <w:p w14:paraId="598BA0B6" w14:textId="54755647" w:rsidR="00FA2F24" w:rsidRPr="007A5324" w:rsidRDefault="00FA2F24" w:rsidP="00BA00D1">
            <w:pPr>
              <w:rPr>
                <w:rFonts w:ascii="Arial" w:hAnsi="Arial"/>
                <w:b/>
                <w:bCs/>
                <w:sz w:val="16"/>
                <w:szCs w:val="16"/>
              </w:rPr>
            </w:pPr>
            <w:r w:rsidRPr="007A5324">
              <w:rPr>
                <w:rFonts w:ascii="Arial" w:hAnsi="Arial"/>
                <w:b/>
                <w:bCs/>
                <w:sz w:val="16"/>
                <w:szCs w:val="16"/>
              </w:rPr>
              <w:t>Total Capability Sustainment Product Funds Available</w:t>
            </w:r>
          </w:p>
        </w:tc>
        <w:tc>
          <w:tcPr>
            <w:tcW w:w="3119" w:type="dxa"/>
            <w:tcBorders>
              <w:top w:val="nil"/>
              <w:left w:val="single" w:sz="4" w:space="0" w:color="auto"/>
              <w:bottom w:val="single" w:sz="4" w:space="0" w:color="auto"/>
              <w:right w:val="single" w:sz="4" w:space="0" w:color="auto"/>
            </w:tcBorders>
            <w:shd w:val="clear" w:color="auto" w:fill="auto"/>
            <w:noWrap/>
            <w:vAlign w:val="center"/>
          </w:tcPr>
          <w:p w14:paraId="5CA148F2" w14:textId="4005C4C2" w:rsidR="00FA2F24" w:rsidRPr="00FA2F24" w:rsidRDefault="00FA2F24" w:rsidP="00EE35AD">
            <w:pPr>
              <w:jc w:val="right"/>
              <w:rPr>
                <w:rFonts w:ascii="Arial" w:hAnsi="Arial"/>
                <w:b/>
                <w:bCs/>
                <w:sz w:val="16"/>
                <w:szCs w:val="16"/>
              </w:rPr>
            </w:pPr>
            <w:r w:rsidRPr="00FA2F24">
              <w:rPr>
                <w:rFonts w:ascii="Arial" w:hAnsi="Arial"/>
                <w:b/>
                <w:bCs/>
                <w:sz w:val="16"/>
                <w:szCs w:val="16"/>
              </w:rPr>
              <w:t>12,1</w:t>
            </w:r>
            <w:r w:rsidR="0087528E">
              <w:rPr>
                <w:rFonts w:ascii="Arial" w:hAnsi="Arial"/>
                <w:b/>
                <w:bCs/>
                <w:sz w:val="16"/>
                <w:szCs w:val="16"/>
              </w:rPr>
              <w:t>2</w:t>
            </w:r>
            <w:r w:rsidR="00EE35AD">
              <w:rPr>
                <w:rFonts w:ascii="Arial" w:hAnsi="Arial"/>
                <w:b/>
                <w:bCs/>
                <w:sz w:val="16"/>
                <w:szCs w:val="16"/>
              </w:rPr>
              <w:t>1</w:t>
            </w:r>
          </w:p>
        </w:tc>
      </w:tr>
    </w:tbl>
    <w:p w14:paraId="4E74481E" w14:textId="77777777" w:rsidR="0008019D" w:rsidRPr="00BA1388" w:rsidRDefault="0008019D" w:rsidP="0008019D">
      <w:pPr>
        <w:spacing w:before="0" w:after="0"/>
        <w:ind w:left="-142"/>
        <w:rPr>
          <w:rFonts w:ascii="Arial" w:hAnsi="Arial"/>
          <w:b/>
          <w:sz w:val="16"/>
          <w:szCs w:val="16"/>
          <w:highlight w:val="yellow"/>
          <w:lang w:val="en-AU"/>
        </w:rPr>
      </w:pPr>
    </w:p>
    <w:p w14:paraId="5DFF7BB7" w14:textId="77777777" w:rsidR="00633505" w:rsidRPr="007A5324" w:rsidRDefault="00633505" w:rsidP="0008019D">
      <w:pPr>
        <w:spacing w:before="0" w:after="0"/>
        <w:ind w:left="-142"/>
        <w:rPr>
          <w:rFonts w:ascii="Arial" w:hAnsi="Arial"/>
          <w:b/>
          <w:sz w:val="14"/>
          <w:szCs w:val="14"/>
          <w:lang w:val="en-AU"/>
        </w:rPr>
      </w:pPr>
      <w:r w:rsidRPr="007A5324">
        <w:rPr>
          <w:rFonts w:ascii="Arial" w:hAnsi="Arial"/>
          <w:b/>
          <w:sz w:val="14"/>
          <w:szCs w:val="14"/>
          <w:lang w:val="en-AU"/>
        </w:rPr>
        <w:t>Note</w:t>
      </w:r>
    </w:p>
    <w:p w14:paraId="2D3A0D00" w14:textId="77777777" w:rsidR="006D5735" w:rsidRPr="007A5324" w:rsidRDefault="00633505" w:rsidP="00444A89">
      <w:pPr>
        <w:pStyle w:val="ListParagraph"/>
        <w:numPr>
          <w:ilvl w:val="0"/>
          <w:numId w:val="50"/>
        </w:numPr>
        <w:spacing w:before="0" w:after="0"/>
        <w:ind w:left="142" w:hanging="284"/>
        <w:contextualSpacing w:val="0"/>
        <w:rPr>
          <w:rFonts w:ascii="Arial" w:hAnsi="Arial"/>
          <w:sz w:val="14"/>
          <w:szCs w:val="14"/>
          <w:lang w:val="en-AU"/>
        </w:rPr>
      </w:pPr>
      <w:r w:rsidRPr="007A5324">
        <w:rPr>
          <w:rFonts w:ascii="Arial" w:hAnsi="Arial"/>
          <w:sz w:val="14"/>
          <w:szCs w:val="14"/>
          <w:lang w:val="en-AU"/>
        </w:rPr>
        <w:tab/>
        <w:t>Budget Estimate 202</w:t>
      </w:r>
      <w:r w:rsidR="003A5342" w:rsidRPr="007A5324">
        <w:rPr>
          <w:rFonts w:ascii="Arial" w:hAnsi="Arial"/>
          <w:sz w:val="14"/>
          <w:szCs w:val="14"/>
          <w:lang w:val="en-AU"/>
        </w:rPr>
        <w:t>5</w:t>
      </w:r>
      <w:r w:rsidRPr="007A5324">
        <w:rPr>
          <w:rFonts w:ascii="Arial" w:hAnsi="Arial"/>
          <w:sz w:val="14"/>
          <w:szCs w:val="14"/>
          <w:lang w:val="en-AU"/>
        </w:rPr>
        <w:t>-2</w:t>
      </w:r>
      <w:r w:rsidR="003A5342" w:rsidRPr="007A5324">
        <w:rPr>
          <w:rFonts w:ascii="Arial" w:hAnsi="Arial"/>
          <w:sz w:val="14"/>
          <w:szCs w:val="14"/>
          <w:lang w:val="en-AU"/>
        </w:rPr>
        <w:t>6</w:t>
      </w:r>
      <w:r w:rsidRPr="007A5324">
        <w:rPr>
          <w:rFonts w:ascii="Arial" w:hAnsi="Arial"/>
          <w:sz w:val="14"/>
          <w:szCs w:val="14"/>
          <w:lang w:val="en-AU"/>
        </w:rPr>
        <w:t xml:space="preserve"> is on an accrual basis, and funded by appropriation.</w:t>
      </w:r>
      <w:bookmarkStart w:id="912" w:name="_Toc476581164"/>
      <w:bookmarkStart w:id="913" w:name="_Toc507595432"/>
      <w:bookmarkStart w:id="914" w:name="_Toc536089239"/>
      <w:bookmarkStart w:id="915" w:name="_Toc536089499"/>
    </w:p>
    <w:p w14:paraId="27117399" w14:textId="77777777" w:rsidR="00633505" w:rsidRPr="00167919" w:rsidRDefault="00633505" w:rsidP="00633505">
      <w:pPr>
        <w:rPr>
          <w:sz w:val="14"/>
          <w:szCs w:val="14"/>
          <w:lang w:val="en-AU"/>
        </w:rPr>
        <w:sectPr w:rsidR="00633505" w:rsidRPr="00167919" w:rsidSect="00C30BE6">
          <w:headerReference w:type="even" r:id="rId104"/>
          <w:headerReference w:type="default" r:id="rId105"/>
          <w:footerReference w:type="even" r:id="rId106"/>
          <w:footerReference w:type="default" r:id="rId107"/>
          <w:pgSz w:w="16840" w:h="11907" w:orient="landscape" w:code="9"/>
          <w:pgMar w:top="1928" w:right="1701" w:bottom="1361" w:left="1701" w:header="720" w:footer="720" w:gutter="0"/>
          <w:cols w:space="720"/>
          <w:noEndnote/>
          <w:docGrid w:linePitch="272"/>
        </w:sectPr>
      </w:pPr>
    </w:p>
    <w:p w14:paraId="638C69B4" w14:textId="77777777" w:rsidR="00003B8B" w:rsidRPr="00B56FAA" w:rsidRDefault="00003B8B" w:rsidP="00787CE3">
      <w:pPr>
        <w:pStyle w:val="Heading4"/>
        <w:spacing w:before="0" w:after="120"/>
        <w:rPr>
          <w:rFonts w:ascii="Arial Bold" w:hAnsi="Arial Bold"/>
          <w:sz w:val="26"/>
          <w:szCs w:val="26"/>
        </w:rPr>
      </w:pPr>
      <w:bookmarkStart w:id="916" w:name="_Toc1561690"/>
      <w:bookmarkStart w:id="917" w:name="_Toc69917850"/>
      <w:bookmarkStart w:id="918" w:name="_Toc51691687"/>
      <w:bookmarkStart w:id="919" w:name="_Toc97747839"/>
      <w:bookmarkStart w:id="920" w:name="_Toc108088950"/>
      <w:bookmarkStart w:id="921" w:name="_Toc108089424"/>
      <w:bookmarkStart w:id="922" w:name="_Toc109227746"/>
      <w:bookmarkStart w:id="923" w:name="_Toc159499694"/>
      <w:bookmarkStart w:id="924" w:name="_Toc159859111"/>
      <w:bookmarkStart w:id="925" w:name="_Toc159859263"/>
      <w:r w:rsidRPr="00B56FAA">
        <w:rPr>
          <w:rFonts w:ascii="Arial Bold" w:hAnsi="Arial Bold"/>
          <w:sz w:val="26"/>
          <w:szCs w:val="26"/>
        </w:rPr>
        <w:lastRenderedPageBreak/>
        <w:t xml:space="preserve">Appendix </w:t>
      </w:r>
      <w:r w:rsidR="00F800D6" w:rsidRPr="00B56FAA">
        <w:rPr>
          <w:rFonts w:ascii="Arial Bold" w:hAnsi="Arial Bold"/>
          <w:sz w:val="26"/>
          <w:szCs w:val="26"/>
        </w:rPr>
        <w:t>D</w:t>
      </w:r>
      <w:r w:rsidRPr="00B56FAA">
        <w:rPr>
          <w:rFonts w:ascii="Arial Bold" w:hAnsi="Arial Bold"/>
          <w:sz w:val="26"/>
          <w:szCs w:val="26"/>
        </w:rPr>
        <w:t xml:space="preserve">: </w:t>
      </w:r>
      <w:r w:rsidR="00EB2D8F" w:rsidRPr="00B56FAA">
        <w:rPr>
          <w:rFonts w:ascii="Arial Bold" w:hAnsi="Arial Bold"/>
          <w:sz w:val="26"/>
          <w:szCs w:val="26"/>
        </w:rPr>
        <w:t>Enterprise Estate</w:t>
      </w:r>
      <w:r w:rsidRPr="00B56FAA">
        <w:rPr>
          <w:rFonts w:ascii="Arial Bold" w:hAnsi="Arial Bold"/>
          <w:sz w:val="26"/>
          <w:szCs w:val="26"/>
        </w:rPr>
        <w:t xml:space="preserve"> and Infrastructure</w:t>
      </w:r>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p>
    <w:p w14:paraId="1CC01647" w14:textId="78B6DE41" w:rsidR="006868B3" w:rsidRPr="008659FE" w:rsidRDefault="006868B3" w:rsidP="006868B3">
      <w:pPr>
        <w:spacing w:before="0" w:after="120"/>
      </w:pPr>
      <w:r w:rsidRPr="008659FE">
        <w:t xml:space="preserve">The Enterprise Estate and Infrastructure Program component of the Integrated Investment Program comprises approved and yet to be approved major and medium capital facilities and infrastructure projects. These projects are providing new and refurbished facilities and infrastructure works to sustain the existing Defence Estate, support current and future capability requirements, support Government initiatives, and ensure compliance with legislative obligations. Upgrades and development of Australia’s northern network of bases, ports and barracks are being prioritised to support implementation of the </w:t>
      </w:r>
      <w:r w:rsidRPr="008659FE">
        <w:rPr>
          <w:i/>
        </w:rPr>
        <w:t>2024 National Defence Strategy</w:t>
      </w:r>
      <w:r w:rsidRPr="008659FE">
        <w:t xml:space="preserve"> and the </w:t>
      </w:r>
      <w:r w:rsidRPr="008659FE">
        <w:rPr>
          <w:i/>
        </w:rPr>
        <w:t>2024</w:t>
      </w:r>
      <w:r w:rsidR="00DC692A">
        <w:rPr>
          <w:i/>
        </w:rPr>
        <w:t> </w:t>
      </w:r>
      <w:r w:rsidRPr="008659FE">
        <w:rPr>
          <w:i/>
        </w:rPr>
        <w:t>Integrated</w:t>
      </w:r>
      <w:r w:rsidR="00DC692A">
        <w:rPr>
          <w:i/>
        </w:rPr>
        <w:t> </w:t>
      </w:r>
      <w:r w:rsidRPr="008659FE">
        <w:rPr>
          <w:i/>
        </w:rPr>
        <w:t>Investment</w:t>
      </w:r>
      <w:r w:rsidR="00DC692A">
        <w:rPr>
          <w:i/>
        </w:rPr>
        <w:t> </w:t>
      </w:r>
      <w:r w:rsidRPr="008659FE">
        <w:rPr>
          <w:i/>
        </w:rPr>
        <w:t>Program.</w:t>
      </w:r>
      <w:r w:rsidRPr="008659FE">
        <w:t xml:space="preserve"> </w:t>
      </w:r>
    </w:p>
    <w:p w14:paraId="10236D40" w14:textId="77777777" w:rsidR="00EF0BBF" w:rsidRPr="00B56FAA" w:rsidRDefault="006868B3" w:rsidP="00BB661B">
      <w:pPr>
        <w:spacing w:before="0" w:after="120"/>
      </w:pPr>
      <w:r w:rsidRPr="008659FE">
        <w:t xml:space="preserve">Major capital facilities and infrastructure projects are defined as having expenditure of $75 million and over (excluding GST) and are subject to Government </w:t>
      </w:r>
      <w:r>
        <w:t>and</w:t>
      </w:r>
      <w:r w:rsidRPr="008659FE">
        <w:t xml:space="preserve"> parliamentary approval. Medium capital facilities and infrastructure projects have expenditure between $5 million and $75 million (excluding GST), and are subject to Government approval and notification to the Parliamentary Standing Committee on Public Works. Details of approved major and medium Enterprise Estate and Infrastructure Program projects are provided in this </w:t>
      </w:r>
      <w:r w:rsidRPr="006868B3">
        <w:t>Appendix</w:t>
      </w:r>
      <w:r w:rsidR="00EF0BBF" w:rsidRPr="006868B3">
        <w:t>.</w:t>
      </w:r>
    </w:p>
    <w:p w14:paraId="3A22E05B" w14:textId="77777777" w:rsidR="00003B8B" w:rsidRPr="00B56FAA" w:rsidRDefault="00003B8B" w:rsidP="00BB661B">
      <w:pPr>
        <w:pStyle w:val="Heading4level5"/>
        <w:spacing w:before="0" w:after="120"/>
      </w:pPr>
      <w:r w:rsidRPr="00B56FAA">
        <w:t xml:space="preserve">Approved </w:t>
      </w:r>
      <w:r w:rsidR="001A1F80" w:rsidRPr="00B56FAA">
        <w:t xml:space="preserve">Major and Medium </w:t>
      </w:r>
      <w:r w:rsidR="00195216" w:rsidRPr="00B56FAA">
        <w:t xml:space="preserve">Enterprise Estate and Infrastructure Program </w:t>
      </w:r>
      <w:r w:rsidRPr="00B56FAA">
        <w:t>Proj</w:t>
      </w:r>
      <w:r w:rsidR="00787CE3" w:rsidRPr="00B56FAA">
        <w:t>ects</w:t>
      </w:r>
    </w:p>
    <w:p w14:paraId="6705CE0F" w14:textId="77777777" w:rsidR="00EF0BBF" w:rsidRPr="006868B3" w:rsidRDefault="00EF0BBF" w:rsidP="00BB661B">
      <w:pPr>
        <w:spacing w:before="0" w:after="120"/>
      </w:pPr>
      <w:r w:rsidRPr="006868B3">
        <w:t>The table below, and the following descriptions, provide details on the progress and expenditure of approved major and medium Enterprise Estate and Infrastructure Program projects for 202</w:t>
      </w:r>
      <w:r w:rsidR="004B232A" w:rsidRPr="006868B3">
        <w:t>5</w:t>
      </w:r>
      <w:r w:rsidRPr="006868B3">
        <w:noBreakHyphen/>
        <w:t>2</w:t>
      </w:r>
      <w:r w:rsidR="004B232A" w:rsidRPr="006868B3">
        <w:t>6</w:t>
      </w:r>
      <w:r w:rsidRPr="006868B3">
        <w:t>.</w:t>
      </w:r>
    </w:p>
    <w:p w14:paraId="64BF0ED5" w14:textId="77777777" w:rsidR="0048530B" w:rsidRPr="006868B3" w:rsidRDefault="00EF0BBF" w:rsidP="008C1AC5">
      <w:pPr>
        <w:spacing w:before="120" w:after="120"/>
      </w:pPr>
      <w:r w:rsidRPr="006868B3">
        <w:t xml:space="preserve">Where projects contribute to broader capability acquisitions, as part of the Top 30 Military Equipment Acquisition Program Approved Projects, the value of these projects is included within the ‘Other Project Inputs to Capability’ lines in </w:t>
      </w:r>
      <w:r w:rsidR="0048530B" w:rsidRPr="006868B3">
        <w:t xml:space="preserve">Table </w:t>
      </w:r>
      <w:r w:rsidR="005D6556" w:rsidRPr="006868B3">
        <w:t>5</w:t>
      </w:r>
      <w:r w:rsidR="00646569" w:rsidRPr="006868B3">
        <w:t>4</w:t>
      </w:r>
      <w:r w:rsidR="001A143B" w:rsidRPr="006868B3">
        <w:t>.</w:t>
      </w:r>
    </w:p>
    <w:p w14:paraId="10A8E51D" w14:textId="77777777" w:rsidR="00003B8B" w:rsidRPr="006868B3" w:rsidRDefault="00003B8B" w:rsidP="00BB661B">
      <w:pPr>
        <w:pStyle w:val="TableHeading"/>
        <w:numPr>
          <w:ilvl w:val="0"/>
          <w:numId w:val="29"/>
        </w:numPr>
        <w:spacing w:before="0" w:after="120"/>
        <w:ind w:left="0" w:firstLine="0"/>
        <w:outlineLvl w:val="5"/>
      </w:pPr>
      <w:r w:rsidRPr="006868B3">
        <w:t>Approved</w:t>
      </w:r>
      <w:r w:rsidR="001A1F80" w:rsidRPr="006868B3">
        <w:t xml:space="preserve"> Major and Medium</w:t>
      </w:r>
      <w:r w:rsidRPr="006868B3">
        <w:t xml:space="preserve"> </w:t>
      </w:r>
      <w:r w:rsidR="00195216" w:rsidRPr="006868B3">
        <w:t xml:space="preserve">Enterprise Estate and Infrastructure Program </w:t>
      </w:r>
      <w:r w:rsidRPr="006868B3">
        <w:t xml:space="preserve">Projects </w:t>
      </w:r>
      <w:r w:rsidR="00DD6ABE" w:rsidRPr="006868B3">
        <w:t>by State and Federal Electorate</w:t>
      </w:r>
    </w:p>
    <w:tbl>
      <w:tblPr>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1757"/>
        <w:gridCol w:w="1191"/>
        <w:gridCol w:w="8"/>
        <w:gridCol w:w="1405"/>
        <w:gridCol w:w="1168"/>
      </w:tblGrid>
      <w:tr w:rsidR="00882B45" w:rsidRPr="00BA1388" w14:paraId="79390519" w14:textId="77777777" w:rsidTr="002311DD">
        <w:trPr>
          <w:trHeight w:val="874"/>
          <w:tblHeader/>
        </w:trPr>
        <w:tc>
          <w:tcPr>
            <w:tcW w:w="3118" w:type="dxa"/>
            <w:tcBorders>
              <w:left w:val="nil"/>
              <w:right w:val="nil"/>
            </w:tcBorders>
            <w:shd w:val="clear" w:color="FFFFFF" w:fill="auto"/>
            <w:noWrap/>
            <w:vAlign w:val="bottom"/>
            <w:hideMark/>
          </w:tcPr>
          <w:p w14:paraId="3A6A33F2" w14:textId="77777777" w:rsidR="00135463" w:rsidRPr="006868B3" w:rsidRDefault="007D2D2C" w:rsidP="00135463">
            <w:pPr>
              <w:spacing w:before="0" w:after="0"/>
              <w:rPr>
                <w:rFonts w:ascii="Arial" w:hAnsi="Arial"/>
                <w:b/>
                <w:sz w:val="16"/>
                <w:szCs w:val="16"/>
                <w:lang w:val="en-AU"/>
              </w:rPr>
            </w:pPr>
            <w:r w:rsidRPr="006868B3">
              <w:rPr>
                <w:rFonts w:ascii="Arial" w:hAnsi="Arial"/>
                <w:b/>
                <w:sz w:val="16"/>
                <w:szCs w:val="16"/>
                <w:lang w:val="en-AU"/>
              </w:rPr>
              <w:t>Project</w:t>
            </w:r>
          </w:p>
        </w:tc>
        <w:tc>
          <w:tcPr>
            <w:tcW w:w="1757" w:type="dxa"/>
            <w:tcBorders>
              <w:left w:val="nil"/>
              <w:right w:val="nil"/>
            </w:tcBorders>
            <w:shd w:val="clear" w:color="FFFFFF" w:fill="auto"/>
            <w:vAlign w:val="bottom"/>
            <w:hideMark/>
          </w:tcPr>
          <w:p w14:paraId="17579D6A" w14:textId="77777777" w:rsidR="00135463" w:rsidRPr="006868B3" w:rsidRDefault="00135463" w:rsidP="00F51818">
            <w:pPr>
              <w:spacing w:before="0" w:after="0"/>
              <w:jc w:val="right"/>
              <w:rPr>
                <w:rFonts w:ascii="Arial" w:hAnsi="Arial"/>
                <w:b/>
                <w:bCs/>
                <w:sz w:val="16"/>
                <w:szCs w:val="16"/>
                <w:lang w:val="en-AU"/>
              </w:rPr>
            </w:pPr>
            <w:r w:rsidRPr="006868B3">
              <w:rPr>
                <w:rFonts w:ascii="Arial" w:hAnsi="Arial"/>
                <w:b/>
                <w:bCs/>
                <w:sz w:val="16"/>
                <w:szCs w:val="16"/>
                <w:lang w:val="en-AU"/>
              </w:rPr>
              <w:t>State and</w:t>
            </w:r>
            <w:r w:rsidR="002F5EBA" w:rsidRPr="006868B3">
              <w:rPr>
                <w:rFonts w:ascii="Arial" w:hAnsi="Arial"/>
                <w:b/>
                <w:bCs/>
                <w:sz w:val="16"/>
                <w:szCs w:val="16"/>
                <w:lang w:val="en-AU"/>
              </w:rPr>
              <w:t xml:space="preserve"> </w:t>
            </w:r>
            <w:r w:rsidR="00D03479" w:rsidRPr="006868B3">
              <w:rPr>
                <w:rFonts w:ascii="Arial" w:hAnsi="Arial"/>
                <w:b/>
                <w:bCs/>
                <w:sz w:val="16"/>
                <w:szCs w:val="16"/>
                <w:lang w:val="en-AU"/>
              </w:rPr>
              <w:br/>
            </w:r>
            <w:r w:rsidR="002F5EBA" w:rsidRPr="006868B3">
              <w:rPr>
                <w:rFonts w:ascii="Arial" w:hAnsi="Arial"/>
                <w:b/>
                <w:bCs/>
                <w:sz w:val="16"/>
                <w:szCs w:val="16"/>
                <w:lang w:val="en-AU"/>
              </w:rPr>
              <w:t>Federal</w:t>
            </w:r>
            <w:r w:rsidRPr="006868B3">
              <w:rPr>
                <w:rFonts w:ascii="Arial" w:hAnsi="Arial"/>
                <w:b/>
                <w:bCs/>
                <w:sz w:val="16"/>
                <w:szCs w:val="16"/>
                <w:lang w:val="en-AU"/>
              </w:rPr>
              <w:br/>
              <w:t xml:space="preserve"> Electorate</w:t>
            </w:r>
          </w:p>
        </w:tc>
        <w:tc>
          <w:tcPr>
            <w:tcW w:w="1191" w:type="dxa"/>
            <w:tcBorders>
              <w:left w:val="nil"/>
              <w:right w:val="nil"/>
            </w:tcBorders>
            <w:shd w:val="clear" w:color="FFFFFF" w:fill="auto"/>
            <w:vAlign w:val="bottom"/>
            <w:hideMark/>
          </w:tcPr>
          <w:p w14:paraId="173E9E76" w14:textId="77777777" w:rsidR="00135463" w:rsidRPr="006868B3" w:rsidRDefault="00135463" w:rsidP="00F51818">
            <w:pPr>
              <w:spacing w:before="0" w:after="0"/>
              <w:jc w:val="right"/>
              <w:rPr>
                <w:rFonts w:ascii="Arial" w:hAnsi="Arial"/>
                <w:b/>
                <w:bCs/>
                <w:sz w:val="16"/>
                <w:szCs w:val="16"/>
                <w:lang w:val="en-AU"/>
              </w:rPr>
            </w:pPr>
            <w:r w:rsidRPr="006868B3">
              <w:rPr>
                <w:rFonts w:ascii="Arial" w:hAnsi="Arial"/>
                <w:b/>
                <w:bCs/>
                <w:sz w:val="16"/>
                <w:szCs w:val="16"/>
                <w:lang w:val="en-AU"/>
              </w:rPr>
              <w:t>Total</w:t>
            </w:r>
            <w:r w:rsidRPr="006868B3">
              <w:rPr>
                <w:rFonts w:ascii="Arial" w:hAnsi="Arial"/>
                <w:b/>
                <w:bCs/>
                <w:sz w:val="16"/>
                <w:szCs w:val="16"/>
                <w:lang w:val="en-AU"/>
              </w:rPr>
              <w:br/>
              <w:t>Estimated</w:t>
            </w:r>
            <w:r w:rsidRPr="006868B3">
              <w:rPr>
                <w:rFonts w:ascii="Arial" w:hAnsi="Arial"/>
                <w:b/>
                <w:bCs/>
                <w:sz w:val="16"/>
                <w:szCs w:val="16"/>
                <w:lang w:val="en-AU"/>
              </w:rPr>
              <w:br/>
              <w:t>Expenditure</w:t>
            </w:r>
            <w:r w:rsidRPr="006868B3">
              <w:rPr>
                <w:rFonts w:ascii="Arial" w:hAnsi="Arial"/>
                <w:b/>
                <w:bCs/>
                <w:sz w:val="16"/>
                <w:szCs w:val="16"/>
                <w:lang w:val="en-AU"/>
              </w:rPr>
              <w:br/>
              <w:t>$m</w:t>
            </w:r>
          </w:p>
        </w:tc>
        <w:tc>
          <w:tcPr>
            <w:tcW w:w="1413" w:type="dxa"/>
            <w:gridSpan w:val="2"/>
            <w:tcBorders>
              <w:left w:val="nil"/>
              <w:right w:val="nil"/>
            </w:tcBorders>
            <w:shd w:val="clear" w:color="FFFFFF" w:fill="auto"/>
            <w:vAlign w:val="bottom"/>
            <w:hideMark/>
          </w:tcPr>
          <w:p w14:paraId="5851DC1F" w14:textId="77777777" w:rsidR="00135463" w:rsidRPr="006868B3" w:rsidRDefault="006752C9" w:rsidP="006868B3">
            <w:pPr>
              <w:spacing w:before="0" w:after="0"/>
              <w:jc w:val="right"/>
              <w:rPr>
                <w:rFonts w:ascii="Arial" w:hAnsi="Arial"/>
                <w:b/>
                <w:bCs/>
                <w:sz w:val="16"/>
                <w:szCs w:val="16"/>
                <w:lang w:val="en-AU"/>
              </w:rPr>
            </w:pPr>
            <w:r w:rsidRPr="006868B3">
              <w:rPr>
                <w:rFonts w:ascii="Arial" w:hAnsi="Arial"/>
                <w:b/>
                <w:bCs/>
                <w:sz w:val="16"/>
                <w:szCs w:val="16"/>
                <w:lang w:val="en-AU"/>
              </w:rPr>
              <w:t xml:space="preserve">Estimated </w:t>
            </w:r>
            <w:r w:rsidR="00135463" w:rsidRPr="006868B3">
              <w:rPr>
                <w:rFonts w:ascii="Arial" w:hAnsi="Arial"/>
                <w:b/>
                <w:bCs/>
                <w:sz w:val="16"/>
                <w:szCs w:val="16"/>
                <w:lang w:val="en-AU"/>
              </w:rPr>
              <w:t>Cumulative</w:t>
            </w:r>
            <w:r w:rsidR="00135463" w:rsidRPr="006868B3">
              <w:rPr>
                <w:rFonts w:ascii="Arial" w:hAnsi="Arial"/>
                <w:b/>
                <w:bCs/>
                <w:sz w:val="16"/>
                <w:szCs w:val="16"/>
                <w:lang w:val="en-AU"/>
              </w:rPr>
              <w:br/>
              <w:t>Expenditure</w:t>
            </w:r>
            <w:r w:rsidR="00135463" w:rsidRPr="006868B3">
              <w:rPr>
                <w:rFonts w:ascii="Arial" w:hAnsi="Arial"/>
                <w:b/>
                <w:bCs/>
                <w:sz w:val="16"/>
                <w:szCs w:val="16"/>
                <w:lang w:val="en-AU"/>
              </w:rPr>
              <w:br/>
              <w:t>to 30 June 20</w:t>
            </w:r>
            <w:r w:rsidR="00E06423" w:rsidRPr="006868B3">
              <w:rPr>
                <w:rFonts w:ascii="Arial" w:hAnsi="Arial"/>
                <w:b/>
                <w:bCs/>
                <w:sz w:val="16"/>
                <w:szCs w:val="16"/>
                <w:lang w:val="en-AU"/>
              </w:rPr>
              <w:t>2</w:t>
            </w:r>
            <w:r w:rsidR="006868B3" w:rsidRPr="006868B3">
              <w:rPr>
                <w:rFonts w:ascii="Arial" w:hAnsi="Arial"/>
                <w:b/>
                <w:bCs/>
                <w:sz w:val="16"/>
                <w:szCs w:val="16"/>
                <w:lang w:val="en-AU"/>
              </w:rPr>
              <w:t>5</w:t>
            </w:r>
            <w:r w:rsidR="00135463" w:rsidRPr="006868B3">
              <w:rPr>
                <w:rFonts w:ascii="Arial" w:hAnsi="Arial"/>
                <w:b/>
                <w:bCs/>
                <w:sz w:val="16"/>
                <w:szCs w:val="16"/>
                <w:lang w:val="en-AU"/>
              </w:rPr>
              <w:br/>
              <w:t>$m</w:t>
            </w:r>
          </w:p>
        </w:tc>
        <w:tc>
          <w:tcPr>
            <w:tcW w:w="1168" w:type="dxa"/>
            <w:tcBorders>
              <w:left w:val="nil"/>
              <w:right w:val="nil"/>
            </w:tcBorders>
            <w:shd w:val="clear" w:color="FFFFFF" w:fill="auto"/>
            <w:vAlign w:val="bottom"/>
            <w:hideMark/>
          </w:tcPr>
          <w:p w14:paraId="5776877F" w14:textId="77777777" w:rsidR="00135463" w:rsidRPr="006868B3" w:rsidRDefault="00E06423" w:rsidP="004B232A">
            <w:pPr>
              <w:spacing w:before="0" w:after="0"/>
              <w:jc w:val="right"/>
              <w:rPr>
                <w:rFonts w:ascii="Arial" w:hAnsi="Arial"/>
                <w:b/>
                <w:bCs/>
                <w:sz w:val="16"/>
                <w:szCs w:val="16"/>
                <w:lang w:val="en-AU"/>
              </w:rPr>
            </w:pPr>
            <w:r w:rsidRPr="006868B3">
              <w:rPr>
                <w:rFonts w:ascii="Arial" w:hAnsi="Arial"/>
                <w:b/>
                <w:bCs/>
                <w:sz w:val="16"/>
                <w:szCs w:val="16"/>
                <w:lang w:val="en-AU"/>
              </w:rPr>
              <w:t>202</w:t>
            </w:r>
            <w:r w:rsidR="004B232A" w:rsidRPr="006868B3">
              <w:rPr>
                <w:rFonts w:ascii="Arial" w:hAnsi="Arial"/>
                <w:b/>
                <w:bCs/>
                <w:sz w:val="16"/>
                <w:szCs w:val="16"/>
                <w:lang w:val="en-AU"/>
              </w:rPr>
              <w:t>5</w:t>
            </w:r>
            <w:r w:rsidRPr="006868B3">
              <w:rPr>
                <w:rFonts w:ascii="Arial" w:hAnsi="Arial"/>
                <w:b/>
                <w:bCs/>
                <w:sz w:val="16"/>
                <w:szCs w:val="16"/>
                <w:lang w:val="en-AU"/>
              </w:rPr>
              <w:t>-2</w:t>
            </w:r>
            <w:r w:rsidR="004B232A" w:rsidRPr="006868B3">
              <w:rPr>
                <w:rFonts w:ascii="Arial" w:hAnsi="Arial"/>
                <w:b/>
                <w:bCs/>
                <w:sz w:val="16"/>
                <w:szCs w:val="16"/>
                <w:lang w:val="en-AU"/>
              </w:rPr>
              <w:t>6</w:t>
            </w:r>
            <w:r w:rsidR="00135463" w:rsidRPr="006868B3">
              <w:rPr>
                <w:rFonts w:ascii="Arial" w:hAnsi="Arial"/>
                <w:b/>
                <w:bCs/>
                <w:sz w:val="16"/>
                <w:szCs w:val="16"/>
                <w:lang w:val="en-AU"/>
              </w:rPr>
              <w:br/>
              <w:t>Budget</w:t>
            </w:r>
            <w:r w:rsidR="00135463" w:rsidRPr="006868B3">
              <w:rPr>
                <w:rFonts w:ascii="Arial" w:hAnsi="Arial"/>
                <w:b/>
                <w:bCs/>
                <w:sz w:val="16"/>
                <w:szCs w:val="16"/>
                <w:lang w:val="en-AU"/>
              </w:rPr>
              <w:br/>
              <w:t>Estimate</w:t>
            </w:r>
            <w:r w:rsidR="00135463" w:rsidRPr="006868B3">
              <w:rPr>
                <w:rFonts w:ascii="Arial" w:hAnsi="Arial"/>
                <w:b/>
                <w:bCs/>
                <w:sz w:val="16"/>
                <w:szCs w:val="16"/>
                <w:lang w:val="en-AU"/>
              </w:rPr>
              <w:br/>
              <w:t>$m</w:t>
            </w:r>
          </w:p>
        </w:tc>
      </w:tr>
      <w:tr w:rsidR="00C12E67" w:rsidRPr="00BA1388" w14:paraId="4575D22D" w14:textId="77777777" w:rsidTr="002311DD">
        <w:trPr>
          <w:trHeight w:val="227"/>
        </w:trPr>
        <w:tc>
          <w:tcPr>
            <w:tcW w:w="3118" w:type="dxa"/>
            <w:tcBorders>
              <w:left w:val="nil"/>
              <w:bottom w:val="nil"/>
              <w:right w:val="nil"/>
            </w:tcBorders>
            <w:shd w:val="clear" w:color="FFFFFF" w:fill="auto"/>
            <w:vAlign w:val="center"/>
            <w:hideMark/>
          </w:tcPr>
          <w:p w14:paraId="1B859ADA" w14:textId="77777777" w:rsidR="00C12E67" w:rsidRPr="006868B3" w:rsidRDefault="00A36877" w:rsidP="00A65910">
            <w:pPr>
              <w:spacing w:before="0" w:after="0"/>
              <w:rPr>
                <w:rFonts w:ascii="Arial" w:hAnsi="Arial"/>
                <w:b/>
                <w:bCs/>
                <w:sz w:val="16"/>
                <w:szCs w:val="16"/>
                <w:lang w:val="en-AU"/>
              </w:rPr>
            </w:pPr>
            <w:r w:rsidRPr="006868B3">
              <w:rPr>
                <w:rFonts w:ascii="Arial" w:hAnsi="Arial"/>
                <w:b/>
                <w:bCs/>
                <w:sz w:val="16"/>
                <w:szCs w:val="16"/>
                <w:lang w:val="en-AU"/>
              </w:rPr>
              <w:t xml:space="preserve">RAAF Base Tindal Redevelopment Stage 6 and United States Force Posture Initiative </w:t>
            </w:r>
            <w:r w:rsidR="00867B5D" w:rsidRPr="006868B3">
              <w:rPr>
                <w:rFonts w:ascii="Arial" w:hAnsi="Arial"/>
                <w:b/>
                <w:bCs/>
                <w:sz w:val="16"/>
                <w:szCs w:val="16"/>
                <w:lang w:val="en-AU"/>
              </w:rPr>
              <w:t xml:space="preserve">(USFPI) </w:t>
            </w:r>
            <w:r w:rsidRPr="006868B3">
              <w:rPr>
                <w:rFonts w:ascii="Arial" w:hAnsi="Arial"/>
                <w:b/>
                <w:bCs/>
                <w:sz w:val="16"/>
                <w:szCs w:val="16"/>
                <w:lang w:val="en-AU"/>
              </w:rPr>
              <w:t>Airfield Works</w:t>
            </w:r>
            <w:r w:rsidRPr="006868B3" w:rsidDel="00F93FC7">
              <w:rPr>
                <w:rFonts w:ascii="Arial" w:hAnsi="Arial"/>
                <w:b/>
                <w:bCs/>
                <w:sz w:val="16"/>
                <w:szCs w:val="16"/>
                <w:lang w:val="en-AU"/>
              </w:rPr>
              <w:t xml:space="preserve"> </w:t>
            </w:r>
            <w:r w:rsidRPr="006868B3">
              <w:rPr>
                <w:rFonts w:ascii="Arial" w:hAnsi="Arial"/>
                <w:b/>
                <w:bCs/>
                <w:sz w:val="16"/>
                <w:szCs w:val="16"/>
                <w:lang w:val="en-AU"/>
              </w:rPr>
              <w:t>and Associated Infrastructure</w:t>
            </w:r>
          </w:p>
        </w:tc>
        <w:tc>
          <w:tcPr>
            <w:tcW w:w="1757" w:type="dxa"/>
            <w:tcBorders>
              <w:left w:val="nil"/>
              <w:bottom w:val="nil"/>
              <w:right w:val="nil"/>
            </w:tcBorders>
            <w:shd w:val="clear" w:color="FFFFFF" w:fill="auto"/>
            <w:vAlign w:val="center"/>
            <w:hideMark/>
          </w:tcPr>
          <w:p w14:paraId="6F925FF4" w14:textId="77777777" w:rsidR="00C12E67" w:rsidRPr="006868B3" w:rsidRDefault="00C12E67" w:rsidP="00C12E67">
            <w:pPr>
              <w:spacing w:before="0" w:after="0"/>
              <w:jc w:val="right"/>
              <w:rPr>
                <w:rFonts w:ascii="Arial" w:hAnsi="Arial"/>
                <w:b/>
                <w:bCs/>
                <w:sz w:val="16"/>
                <w:szCs w:val="16"/>
                <w:lang w:val="en-AU"/>
              </w:rPr>
            </w:pPr>
          </w:p>
        </w:tc>
        <w:tc>
          <w:tcPr>
            <w:tcW w:w="1199" w:type="dxa"/>
            <w:gridSpan w:val="2"/>
            <w:tcBorders>
              <w:left w:val="nil"/>
              <w:bottom w:val="nil"/>
              <w:right w:val="nil"/>
            </w:tcBorders>
            <w:shd w:val="clear" w:color="FFFFFF" w:fill="auto"/>
            <w:noWrap/>
            <w:vAlign w:val="center"/>
          </w:tcPr>
          <w:p w14:paraId="5D780DC6" w14:textId="77777777" w:rsidR="00C12E67" w:rsidRPr="006868B3" w:rsidRDefault="00C12E67" w:rsidP="00C12E67">
            <w:pPr>
              <w:spacing w:before="0" w:after="0"/>
              <w:jc w:val="right"/>
              <w:rPr>
                <w:rFonts w:ascii="Arial" w:hAnsi="Arial"/>
                <w:sz w:val="16"/>
                <w:szCs w:val="16"/>
                <w:lang w:val="en-AU"/>
              </w:rPr>
            </w:pPr>
          </w:p>
        </w:tc>
        <w:tc>
          <w:tcPr>
            <w:tcW w:w="1405" w:type="dxa"/>
            <w:tcBorders>
              <w:left w:val="nil"/>
              <w:bottom w:val="nil"/>
              <w:right w:val="nil"/>
            </w:tcBorders>
            <w:shd w:val="clear" w:color="FFFFFF" w:fill="auto"/>
            <w:noWrap/>
            <w:vAlign w:val="center"/>
          </w:tcPr>
          <w:p w14:paraId="61B541C4" w14:textId="77777777" w:rsidR="00C12E67" w:rsidRPr="006868B3" w:rsidRDefault="00C12E67" w:rsidP="00C12E67">
            <w:pPr>
              <w:spacing w:before="0" w:after="0"/>
              <w:jc w:val="right"/>
              <w:rPr>
                <w:rFonts w:ascii="Arial" w:hAnsi="Arial"/>
                <w:sz w:val="16"/>
                <w:szCs w:val="16"/>
                <w:lang w:val="en-AU"/>
              </w:rPr>
            </w:pPr>
          </w:p>
        </w:tc>
        <w:tc>
          <w:tcPr>
            <w:tcW w:w="1168" w:type="dxa"/>
            <w:tcBorders>
              <w:left w:val="nil"/>
              <w:bottom w:val="nil"/>
              <w:right w:val="nil"/>
            </w:tcBorders>
            <w:shd w:val="clear" w:color="FFFFFF" w:fill="auto"/>
            <w:noWrap/>
            <w:vAlign w:val="center"/>
          </w:tcPr>
          <w:p w14:paraId="01A8D812" w14:textId="77777777" w:rsidR="00C12E67" w:rsidRPr="006868B3" w:rsidRDefault="00C12E67" w:rsidP="00C12E67">
            <w:pPr>
              <w:spacing w:before="0" w:after="0"/>
              <w:jc w:val="right"/>
              <w:rPr>
                <w:rFonts w:ascii="Arial" w:hAnsi="Arial"/>
                <w:sz w:val="16"/>
                <w:szCs w:val="16"/>
                <w:lang w:val="en-AU"/>
              </w:rPr>
            </w:pPr>
          </w:p>
        </w:tc>
      </w:tr>
      <w:tr w:rsidR="00EF0BBF" w:rsidRPr="00BA1388" w14:paraId="4024D56E" w14:textId="77777777" w:rsidTr="002311DD">
        <w:trPr>
          <w:trHeight w:val="210"/>
        </w:trPr>
        <w:tc>
          <w:tcPr>
            <w:tcW w:w="3118" w:type="dxa"/>
            <w:tcBorders>
              <w:top w:val="nil"/>
              <w:left w:val="nil"/>
              <w:bottom w:val="single" w:sz="4" w:space="0" w:color="auto"/>
              <w:right w:val="nil"/>
            </w:tcBorders>
            <w:shd w:val="clear" w:color="FFFFFF" w:fill="auto"/>
            <w:vAlign w:val="center"/>
            <w:hideMark/>
          </w:tcPr>
          <w:p w14:paraId="540CE58F" w14:textId="77777777" w:rsidR="00EF0BBF" w:rsidRPr="006868B3" w:rsidRDefault="00EF0BBF" w:rsidP="00EF0BBF">
            <w:pPr>
              <w:spacing w:before="0" w:after="0"/>
              <w:ind w:left="113"/>
              <w:rPr>
                <w:rFonts w:ascii="Arial" w:hAnsi="Arial"/>
                <w:sz w:val="16"/>
                <w:szCs w:val="16"/>
                <w:lang w:val="en-AU"/>
              </w:rPr>
            </w:pPr>
            <w:r w:rsidRPr="006868B3">
              <w:rPr>
                <w:rFonts w:ascii="Arial" w:hAnsi="Arial"/>
                <w:sz w:val="16"/>
                <w:szCs w:val="16"/>
                <w:lang w:val="en-AU"/>
              </w:rPr>
              <w:t>RAAF Tindal</w:t>
            </w:r>
          </w:p>
        </w:tc>
        <w:tc>
          <w:tcPr>
            <w:tcW w:w="1757" w:type="dxa"/>
            <w:tcBorders>
              <w:top w:val="nil"/>
              <w:left w:val="nil"/>
              <w:bottom w:val="single" w:sz="4" w:space="0" w:color="auto"/>
              <w:right w:val="nil"/>
            </w:tcBorders>
            <w:shd w:val="clear" w:color="FFFFFF" w:fill="auto"/>
            <w:vAlign w:val="center"/>
            <w:hideMark/>
          </w:tcPr>
          <w:p w14:paraId="0DCF82C2" w14:textId="77777777" w:rsidR="00EF0BBF" w:rsidRPr="006868B3" w:rsidRDefault="00EF0BBF" w:rsidP="00D53208">
            <w:pPr>
              <w:spacing w:before="0" w:after="0"/>
              <w:jc w:val="right"/>
              <w:rPr>
                <w:rFonts w:ascii="Arial" w:hAnsi="Arial"/>
                <w:sz w:val="16"/>
                <w:szCs w:val="16"/>
                <w:lang w:val="en-AU"/>
              </w:rPr>
            </w:pPr>
            <w:r w:rsidRPr="006868B3">
              <w:rPr>
                <w:rFonts w:ascii="Arial" w:hAnsi="Arial"/>
                <w:sz w:val="16"/>
                <w:szCs w:val="16"/>
                <w:lang w:val="en-AU"/>
              </w:rPr>
              <w:t>NT</w:t>
            </w:r>
            <w:r w:rsidR="00D53208" w:rsidRPr="006868B3">
              <w:rPr>
                <w:rFonts w:ascii="Arial" w:hAnsi="Arial"/>
                <w:sz w:val="16"/>
                <w:szCs w:val="16"/>
                <w:lang w:val="en-AU"/>
              </w:rPr>
              <w:t xml:space="preserve"> </w:t>
            </w:r>
            <w:r w:rsidRPr="006868B3">
              <w:rPr>
                <w:rFonts w:ascii="Arial" w:hAnsi="Arial"/>
                <w:sz w:val="16"/>
                <w:szCs w:val="16"/>
                <w:lang w:val="en-AU"/>
              </w:rPr>
              <w:t>-</w:t>
            </w:r>
            <w:r w:rsidR="00D53208" w:rsidRPr="006868B3">
              <w:rPr>
                <w:rFonts w:ascii="Arial" w:hAnsi="Arial"/>
                <w:sz w:val="16"/>
                <w:szCs w:val="16"/>
                <w:lang w:val="en-AU"/>
              </w:rPr>
              <w:t xml:space="preserve"> </w:t>
            </w:r>
            <w:r w:rsidRPr="006868B3">
              <w:rPr>
                <w:rFonts w:ascii="Arial" w:hAnsi="Arial"/>
                <w:sz w:val="16"/>
                <w:szCs w:val="16"/>
                <w:lang w:val="en-AU"/>
              </w:rPr>
              <w:t>Lingiari</w:t>
            </w:r>
          </w:p>
        </w:tc>
        <w:tc>
          <w:tcPr>
            <w:tcW w:w="1199" w:type="dxa"/>
            <w:gridSpan w:val="2"/>
            <w:tcBorders>
              <w:top w:val="nil"/>
              <w:left w:val="nil"/>
              <w:bottom w:val="single" w:sz="4" w:space="0" w:color="auto"/>
              <w:right w:val="nil"/>
            </w:tcBorders>
            <w:shd w:val="clear" w:color="FFFFFF" w:fill="auto"/>
            <w:noWrap/>
            <w:vAlign w:val="center"/>
          </w:tcPr>
          <w:p w14:paraId="6CD7FDDA" w14:textId="77777777" w:rsidR="00EF0BBF" w:rsidRPr="006868B3" w:rsidRDefault="00EF0BBF" w:rsidP="00EF0BBF">
            <w:pPr>
              <w:spacing w:before="0" w:after="0"/>
              <w:jc w:val="right"/>
              <w:rPr>
                <w:rFonts w:ascii="Arial" w:hAnsi="Arial"/>
                <w:b/>
                <w:sz w:val="16"/>
                <w:szCs w:val="16"/>
                <w:lang w:val="en-AU"/>
              </w:rPr>
            </w:pPr>
            <w:r w:rsidRPr="006868B3">
              <w:rPr>
                <w:rFonts w:ascii="Arial" w:hAnsi="Arial"/>
                <w:b/>
                <w:sz w:val="16"/>
                <w:szCs w:val="16"/>
                <w:lang w:val="en-AU"/>
              </w:rPr>
              <w:t>1,582.0</w:t>
            </w:r>
          </w:p>
        </w:tc>
        <w:tc>
          <w:tcPr>
            <w:tcW w:w="1405" w:type="dxa"/>
            <w:tcBorders>
              <w:top w:val="nil"/>
              <w:left w:val="nil"/>
              <w:bottom w:val="single" w:sz="4" w:space="0" w:color="auto"/>
              <w:right w:val="nil"/>
            </w:tcBorders>
            <w:shd w:val="clear" w:color="auto" w:fill="auto"/>
            <w:noWrap/>
            <w:vAlign w:val="center"/>
          </w:tcPr>
          <w:p w14:paraId="353288EF" w14:textId="77777777" w:rsidR="00EF0BBF" w:rsidRPr="006868B3" w:rsidRDefault="006868B3" w:rsidP="00EF0BBF">
            <w:pPr>
              <w:spacing w:before="0" w:after="0"/>
              <w:jc w:val="right"/>
              <w:rPr>
                <w:rFonts w:ascii="Arial" w:hAnsi="Arial"/>
                <w:b/>
                <w:sz w:val="16"/>
                <w:szCs w:val="16"/>
                <w:lang w:val="en-AU"/>
              </w:rPr>
            </w:pPr>
            <w:r w:rsidRPr="006868B3">
              <w:rPr>
                <w:rFonts w:ascii="Arial" w:hAnsi="Arial"/>
                <w:b/>
                <w:sz w:val="16"/>
                <w:szCs w:val="16"/>
                <w:lang w:val="en-AU"/>
              </w:rPr>
              <w:t>1,039.9</w:t>
            </w:r>
          </w:p>
        </w:tc>
        <w:tc>
          <w:tcPr>
            <w:tcW w:w="1168" w:type="dxa"/>
            <w:tcBorders>
              <w:top w:val="nil"/>
              <w:left w:val="nil"/>
              <w:bottom w:val="single" w:sz="4" w:space="0" w:color="auto"/>
              <w:right w:val="nil"/>
            </w:tcBorders>
            <w:shd w:val="clear" w:color="auto" w:fill="auto"/>
            <w:noWrap/>
            <w:vAlign w:val="center"/>
          </w:tcPr>
          <w:p w14:paraId="6EBC12A9" w14:textId="77777777" w:rsidR="00EF0BBF" w:rsidRPr="006868B3" w:rsidRDefault="006868B3" w:rsidP="00EF0BBF">
            <w:pPr>
              <w:spacing w:before="0" w:after="0"/>
              <w:jc w:val="right"/>
              <w:rPr>
                <w:rFonts w:ascii="Arial" w:hAnsi="Arial"/>
                <w:b/>
                <w:sz w:val="16"/>
                <w:szCs w:val="16"/>
                <w:lang w:val="en-AU"/>
              </w:rPr>
            </w:pPr>
            <w:r w:rsidRPr="006868B3">
              <w:rPr>
                <w:rFonts w:ascii="Arial" w:hAnsi="Arial"/>
                <w:b/>
                <w:sz w:val="16"/>
                <w:szCs w:val="16"/>
                <w:lang w:val="en-AU"/>
              </w:rPr>
              <w:t>231.6</w:t>
            </w:r>
          </w:p>
        </w:tc>
      </w:tr>
      <w:tr w:rsidR="006868B3" w:rsidRPr="00BA1388" w14:paraId="18ECB12B" w14:textId="77777777" w:rsidTr="002311DD">
        <w:trPr>
          <w:trHeight w:val="210"/>
        </w:trPr>
        <w:tc>
          <w:tcPr>
            <w:tcW w:w="3118" w:type="dxa"/>
            <w:tcBorders>
              <w:top w:val="single" w:sz="4" w:space="0" w:color="auto"/>
              <w:left w:val="nil"/>
              <w:bottom w:val="nil"/>
              <w:right w:val="nil"/>
            </w:tcBorders>
            <w:shd w:val="clear" w:color="FFFFFF" w:fill="auto"/>
            <w:vAlign w:val="bottom"/>
          </w:tcPr>
          <w:p w14:paraId="601CB680" w14:textId="77777777" w:rsidR="006868B3" w:rsidRPr="008659FE" w:rsidRDefault="006868B3" w:rsidP="006868B3">
            <w:pPr>
              <w:spacing w:before="0" w:after="0" w:line="276" w:lineRule="auto"/>
              <w:rPr>
                <w:rFonts w:ascii="Arial" w:hAnsi="Arial"/>
                <w:sz w:val="16"/>
                <w:szCs w:val="16"/>
                <w:lang w:val="en-AU"/>
              </w:rPr>
            </w:pPr>
            <w:r w:rsidRPr="008659FE">
              <w:rPr>
                <w:rFonts w:ascii="Arial" w:hAnsi="Arial"/>
                <w:b/>
                <w:bCs/>
                <w:sz w:val="16"/>
                <w:szCs w:val="16"/>
                <w:lang w:val="en-AU"/>
              </w:rPr>
              <w:t>DEF 01 Submarine Rotational Force - West Infrastructure Project Priority Works</w:t>
            </w:r>
          </w:p>
        </w:tc>
        <w:tc>
          <w:tcPr>
            <w:tcW w:w="1757" w:type="dxa"/>
            <w:tcBorders>
              <w:top w:val="single" w:sz="4" w:space="0" w:color="auto"/>
              <w:left w:val="nil"/>
              <w:bottom w:val="nil"/>
              <w:right w:val="nil"/>
            </w:tcBorders>
            <w:shd w:val="clear" w:color="FFFFFF" w:fill="auto"/>
            <w:vAlign w:val="center"/>
          </w:tcPr>
          <w:p w14:paraId="489228A9" w14:textId="77777777" w:rsidR="006868B3" w:rsidRPr="006868B3" w:rsidRDefault="006868B3" w:rsidP="006868B3">
            <w:pPr>
              <w:spacing w:before="0" w:after="0"/>
              <w:jc w:val="right"/>
              <w:rPr>
                <w:rFonts w:ascii="Arial" w:hAnsi="Arial"/>
                <w:sz w:val="16"/>
                <w:szCs w:val="16"/>
                <w:lang w:val="en-AU"/>
              </w:rPr>
            </w:pPr>
          </w:p>
        </w:tc>
        <w:tc>
          <w:tcPr>
            <w:tcW w:w="1199" w:type="dxa"/>
            <w:gridSpan w:val="2"/>
            <w:tcBorders>
              <w:top w:val="single" w:sz="4" w:space="0" w:color="auto"/>
              <w:left w:val="nil"/>
              <w:bottom w:val="nil"/>
              <w:right w:val="nil"/>
            </w:tcBorders>
            <w:shd w:val="clear" w:color="FFFFFF" w:fill="auto"/>
            <w:noWrap/>
            <w:vAlign w:val="center"/>
          </w:tcPr>
          <w:p w14:paraId="2A2EC545" w14:textId="77777777" w:rsidR="006868B3" w:rsidRPr="006868B3" w:rsidRDefault="006868B3" w:rsidP="006868B3">
            <w:pPr>
              <w:spacing w:before="0" w:after="0"/>
              <w:jc w:val="right"/>
              <w:rPr>
                <w:rFonts w:ascii="Arial" w:hAnsi="Arial"/>
                <w:b/>
                <w:sz w:val="16"/>
                <w:szCs w:val="16"/>
                <w:lang w:val="en-AU"/>
              </w:rPr>
            </w:pPr>
          </w:p>
        </w:tc>
        <w:tc>
          <w:tcPr>
            <w:tcW w:w="1405" w:type="dxa"/>
            <w:tcBorders>
              <w:top w:val="single" w:sz="4" w:space="0" w:color="auto"/>
              <w:left w:val="nil"/>
              <w:bottom w:val="nil"/>
              <w:right w:val="nil"/>
            </w:tcBorders>
            <w:shd w:val="clear" w:color="auto" w:fill="auto"/>
            <w:noWrap/>
            <w:vAlign w:val="center"/>
          </w:tcPr>
          <w:p w14:paraId="5F52B4CB" w14:textId="77777777" w:rsidR="006868B3" w:rsidRPr="006868B3" w:rsidRDefault="006868B3" w:rsidP="006868B3">
            <w:pPr>
              <w:spacing w:before="0" w:after="0"/>
              <w:jc w:val="right"/>
              <w:rPr>
                <w:rFonts w:ascii="Arial" w:hAnsi="Arial"/>
                <w:b/>
                <w:sz w:val="16"/>
                <w:szCs w:val="16"/>
                <w:lang w:val="en-AU"/>
              </w:rPr>
            </w:pPr>
          </w:p>
        </w:tc>
        <w:tc>
          <w:tcPr>
            <w:tcW w:w="1168" w:type="dxa"/>
            <w:tcBorders>
              <w:top w:val="single" w:sz="4" w:space="0" w:color="auto"/>
              <w:left w:val="nil"/>
              <w:bottom w:val="nil"/>
              <w:right w:val="nil"/>
            </w:tcBorders>
            <w:shd w:val="clear" w:color="auto" w:fill="auto"/>
            <w:noWrap/>
            <w:vAlign w:val="center"/>
          </w:tcPr>
          <w:p w14:paraId="02EEA997" w14:textId="77777777" w:rsidR="006868B3" w:rsidRPr="006868B3" w:rsidRDefault="006868B3" w:rsidP="006868B3">
            <w:pPr>
              <w:spacing w:before="0" w:after="0"/>
              <w:jc w:val="right"/>
              <w:rPr>
                <w:rFonts w:ascii="Arial" w:hAnsi="Arial"/>
                <w:b/>
                <w:sz w:val="16"/>
                <w:szCs w:val="16"/>
                <w:lang w:val="en-AU"/>
              </w:rPr>
            </w:pPr>
          </w:p>
        </w:tc>
      </w:tr>
      <w:tr w:rsidR="006868B3" w:rsidRPr="00BA1388" w14:paraId="01BBA6FF" w14:textId="77777777" w:rsidTr="002311DD">
        <w:trPr>
          <w:trHeight w:val="210"/>
        </w:trPr>
        <w:tc>
          <w:tcPr>
            <w:tcW w:w="3118" w:type="dxa"/>
            <w:tcBorders>
              <w:top w:val="nil"/>
              <w:left w:val="nil"/>
              <w:bottom w:val="nil"/>
              <w:right w:val="nil"/>
            </w:tcBorders>
            <w:shd w:val="clear" w:color="FFFFFF" w:fill="auto"/>
            <w:vAlign w:val="center"/>
          </w:tcPr>
          <w:p w14:paraId="4B5571A6" w14:textId="77777777" w:rsidR="006868B3" w:rsidRPr="006868B3" w:rsidRDefault="006868B3" w:rsidP="006868B3">
            <w:pPr>
              <w:spacing w:before="0" w:after="0"/>
              <w:ind w:left="113"/>
              <w:rPr>
                <w:rFonts w:ascii="Arial" w:hAnsi="Arial"/>
                <w:sz w:val="16"/>
                <w:szCs w:val="16"/>
                <w:lang w:val="en-AU"/>
              </w:rPr>
            </w:pPr>
            <w:r w:rsidRPr="008659FE">
              <w:rPr>
                <w:rFonts w:ascii="Arial" w:hAnsi="Arial"/>
                <w:sz w:val="16"/>
                <w:szCs w:val="16"/>
                <w:lang w:val="en-AU"/>
              </w:rPr>
              <w:t>HMAS</w:t>
            </w:r>
            <w:r w:rsidRPr="008659FE">
              <w:rPr>
                <w:rFonts w:ascii="Arial" w:hAnsi="Arial"/>
                <w:bCs/>
                <w:sz w:val="16"/>
                <w:szCs w:val="16"/>
                <w:lang w:val="en-AU"/>
              </w:rPr>
              <w:t xml:space="preserve"> </w:t>
            </w:r>
            <w:r w:rsidRPr="008659FE">
              <w:rPr>
                <w:rFonts w:ascii="Arial" w:hAnsi="Arial"/>
                <w:bCs/>
                <w:i/>
                <w:sz w:val="16"/>
                <w:szCs w:val="16"/>
                <w:lang w:val="en-AU"/>
              </w:rPr>
              <w:t>Stirling</w:t>
            </w:r>
          </w:p>
        </w:tc>
        <w:tc>
          <w:tcPr>
            <w:tcW w:w="1757" w:type="dxa"/>
            <w:tcBorders>
              <w:top w:val="nil"/>
              <w:left w:val="nil"/>
              <w:bottom w:val="nil"/>
              <w:right w:val="nil"/>
            </w:tcBorders>
            <w:shd w:val="clear" w:color="FFFFFF" w:fill="auto"/>
            <w:vAlign w:val="center"/>
          </w:tcPr>
          <w:p w14:paraId="27F5D289" w14:textId="77777777" w:rsidR="006868B3" w:rsidRPr="006868B3" w:rsidRDefault="006868B3" w:rsidP="006868B3">
            <w:pPr>
              <w:spacing w:before="0" w:after="0"/>
              <w:jc w:val="right"/>
              <w:rPr>
                <w:rFonts w:ascii="Arial" w:hAnsi="Arial"/>
                <w:sz w:val="16"/>
                <w:szCs w:val="16"/>
                <w:lang w:val="en-AU"/>
              </w:rPr>
            </w:pPr>
            <w:r w:rsidRPr="008659FE">
              <w:rPr>
                <w:rFonts w:ascii="Arial" w:hAnsi="Arial"/>
                <w:sz w:val="16"/>
                <w:szCs w:val="16"/>
                <w:lang w:val="en-AU"/>
              </w:rPr>
              <w:t>WA - Brand</w:t>
            </w:r>
          </w:p>
        </w:tc>
        <w:tc>
          <w:tcPr>
            <w:tcW w:w="1199" w:type="dxa"/>
            <w:gridSpan w:val="2"/>
            <w:tcBorders>
              <w:top w:val="nil"/>
              <w:left w:val="nil"/>
              <w:bottom w:val="nil"/>
              <w:right w:val="nil"/>
            </w:tcBorders>
            <w:shd w:val="clear" w:color="FFFFFF" w:fill="auto"/>
            <w:noWrap/>
            <w:vAlign w:val="bottom"/>
          </w:tcPr>
          <w:p w14:paraId="1C9A9475" w14:textId="77777777" w:rsidR="006868B3" w:rsidRPr="00353F8D" w:rsidRDefault="006868B3" w:rsidP="006868B3">
            <w:pPr>
              <w:spacing w:before="0" w:after="0" w:line="276" w:lineRule="auto"/>
              <w:jc w:val="right"/>
              <w:rPr>
                <w:rFonts w:ascii="Arial" w:hAnsi="Arial"/>
                <w:b/>
                <w:sz w:val="16"/>
                <w:szCs w:val="16"/>
                <w:lang w:val="en-AU"/>
              </w:rPr>
            </w:pPr>
            <w:r w:rsidRPr="00353F8D">
              <w:rPr>
                <w:rFonts w:ascii="Arial" w:hAnsi="Arial"/>
                <w:b/>
                <w:sz w:val="16"/>
                <w:szCs w:val="16"/>
                <w:lang w:val="en-AU"/>
              </w:rPr>
              <w:t>1,557.0</w:t>
            </w:r>
          </w:p>
        </w:tc>
        <w:tc>
          <w:tcPr>
            <w:tcW w:w="1405" w:type="dxa"/>
            <w:tcBorders>
              <w:top w:val="nil"/>
              <w:left w:val="nil"/>
              <w:bottom w:val="nil"/>
              <w:right w:val="nil"/>
            </w:tcBorders>
            <w:shd w:val="clear" w:color="auto" w:fill="auto"/>
            <w:noWrap/>
            <w:vAlign w:val="bottom"/>
          </w:tcPr>
          <w:p w14:paraId="713E194D" w14:textId="77777777" w:rsidR="006868B3" w:rsidRPr="008659FE" w:rsidRDefault="006868B3" w:rsidP="006868B3">
            <w:pPr>
              <w:spacing w:before="0" w:after="0" w:line="276" w:lineRule="auto"/>
              <w:jc w:val="right"/>
              <w:rPr>
                <w:rFonts w:ascii="Arial" w:hAnsi="Arial"/>
                <w:b/>
                <w:sz w:val="16"/>
                <w:szCs w:val="16"/>
                <w:lang w:eastAsia="en-US"/>
              </w:rPr>
            </w:pPr>
            <w:r w:rsidRPr="008659FE">
              <w:rPr>
                <w:rFonts w:ascii="Arial" w:hAnsi="Arial"/>
                <w:b/>
                <w:sz w:val="16"/>
                <w:szCs w:val="16"/>
                <w:lang w:eastAsia="en-US"/>
              </w:rPr>
              <w:t>197.1</w:t>
            </w:r>
          </w:p>
        </w:tc>
        <w:tc>
          <w:tcPr>
            <w:tcW w:w="1168" w:type="dxa"/>
            <w:tcBorders>
              <w:top w:val="nil"/>
              <w:left w:val="nil"/>
              <w:bottom w:val="nil"/>
              <w:right w:val="nil"/>
            </w:tcBorders>
            <w:shd w:val="clear" w:color="auto" w:fill="auto"/>
            <w:noWrap/>
            <w:vAlign w:val="bottom"/>
          </w:tcPr>
          <w:p w14:paraId="765DA624" w14:textId="77777777" w:rsidR="006868B3" w:rsidRPr="008659FE" w:rsidRDefault="006868B3" w:rsidP="006868B3">
            <w:pPr>
              <w:spacing w:before="0" w:after="0" w:line="276" w:lineRule="auto"/>
              <w:jc w:val="right"/>
              <w:rPr>
                <w:rFonts w:ascii="Arial" w:hAnsi="Arial"/>
                <w:b/>
                <w:sz w:val="16"/>
                <w:szCs w:val="16"/>
                <w:lang w:eastAsia="en-US"/>
              </w:rPr>
            </w:pPr>
            <w:r>
              <w:rPr>
                <w:rFonts w:ascii="Arial" w:hAnsi="Arial"/>
                <w:b/>
                <w:sz w:val="16"/>
                <w:szCs w:val="16"/>
                <w:lang w:eastAsia="en-US"/>
              </w:rPr>
              <w:t>642.3</w:t>
            </w:r>
          </w:p>
        </w:tc>
      </w:tr>
      <w:tr w:rsidR="006868B3" w:rsidRPr="00BA1388" w14:paraId="5648C5E2" w14:textId="77777777" w:rsidTr="002311DD">
        <w:trPr>
          <w:trHeight w:val="210"/>
        </w:trPr>
        <w:tc>
          <w:tcPr>
            <w:tcW w:w="4875" w:type="dxa"/>
            <w:gridSpan w:val="2"/>
            <w:tcBorders>
              <w:left w:val="nil"/>
              <w:bottom w:val="nil"/>
              <w:right w:val="nil"/>
            </w:tcBorders>
            <w:shd w:val="clear" w:color="FFFFFF" w:fill="auto"/>
            <w:vAlign w:val="center"/>
            <w:hideMark/>
          </w:tcPr>
          <w:p w14:paraId="1702381E" w14:textId="77777777" w:rsidR="006868B3" w:rsidRPr="006868B3" w:rsidRDefault="006868B3" w:rsidP="006868B3">
            <w:pPr>
              <w:spacing w:before="0" w:after="0"/>
              <w:rPr>
                <w:rFonts w:ascii="Arial" w:hAnsi="Arial"/>
                <w:b/>
                <w:bCs/>
                <w:sz w:val="16"/>
                <w:szCs w:val="16"/>
                <w:lang w:val="en-AU"/>
              </w:rPr>
            </w:pPr>
            <w:r w:rsidRPr="006868B3">
              <w:rPr>
                <w:rFonts w:ascii="Arial" w:hAnsi="Arial"/>
                <w:b/>
                <w:bCs/>
                <w:sz w:val="16"/>
                <w:szCs w:val="16"/>
                <w:lang w:val="en-AU"/>
              </w:rPr>
              <w:t>Enhanced Land Force (ELF) Stage 2</w:t>
            </w:r>
            <w:r w:rsidRPr="006868B3">
              <w:rPr>
                <w:rFonts w:ascii="Arial" w:hAnsi="Arial"/>
                <w:b/>
                <w:bCs/>
                <w:sz w:val="16"/>
                <w:szCs w:val="16"/>
                <w:vertAlign w:val="superscript"/>
                <w:lang w:val="en-AU"/>
              </w:rPr>
              <w:t xml:space="preserve"> </w:t>
            </w:r>
          </w:p>
        </w:tc>
        <w:tc>
          <w:tcPr>
            <w:tcW w:w="1199" w:type="dxa"/>
            <w:gridSpan w:val="2"/>
            <w:tcBorders>
              <w:left w:val="nil"/>
              <w:bottom w:val="nil"/>
              <w:right w:val="nil"/>
            </w:tcBorders>
            <w:shd w:val="clear" w:color="FFFFFF" w:fill="auto"/>
            <w:noWrap/>
            <w:vAlign w:val="center"/>
          </w:tcPr>
          <w:p w14:paraId="4B2F8235" w14:textId="77777777" w:rsidR="006868B3" w:rsidRPr="006868B3" w:rsidRDefault="006868B3" w:rsidP="006868B3">
            <w:pPr>
              <w:spacing w:before="0" w:after="0"/>
              <w:jc w:val="right"/>
              <w:rPr>
                <w:rFonts w:ascii="Arial" w:hAnsi="Arial"/>
                <w:sz w:val="16"/>
                <w:szCs w:val="16"/>
                <w:lang w:val="en-AU"/>
              </w:rPr>
            </w:pPr>
          </w:p>
        </w:tc>
        <w:tc>
          <w:tcPr>
            <w:tcW w:w="1405" w:type="dxa"/>
            <w:tcBorders>
              <w:left w:val="nil"/>
              <w:bottom w:val="nil"/>
              <w:right w:val="nil"/>
            </w:tcBorders>
            <w:shd w:val="clear" w:color="FFFFFF" w:fill="auto"/>
            <w:noWrap/>
            <w:vAlign w:val="center"/>
          </w:tcPr>
          <w:p w14:paraId="78A31BA5" w14:textId="77777777" w:rsidR="006868B3" w:rsidRPr="006868B3" w:rsidRDefault="006868B3" w:rsidP="006868B3">
            <w:pPr>
              <w:spacing w:before="0" w:after="0"/>
              <w:jc w:val="right"/>
              <w:rPr>
                <w:rFonts w:ascii="Arial" w:hAnsi="Arial"/>
                <w:sz w:val="16"/>
                <w:szCs w:val="16"/>
                <w:lang w:val="en-AU"/>
              </w:rPr>
            </w:pPr>
          </w:p>
        </w:tc>
        <w:tc>
          <w:tcPr>
            <w:tcW w:w="1168" w:type="dxa"/>
            <w:tcBorders>
              <w:left w:val="nil"/>
              <w:bottom w:val="nil"/>
              <w:right w:val="nil"/>
            </w:tcBorders>
            <w:shd w:val="clear" w:color="FFFFFF" w:fill="auto"/>
            <w:noWrap/>
            <w:vAlign w:val="center"/>
          </w:tcPr>
          <w:p w14:paraId="24687477" w14:textId="77777777" w:rsidR="006868B3" w:rsidRPr="006868B3" w:rsidRDefault="006868B3" w:rsidP="006868B3">
            <w:pPr>
              <w:spacing w:before="0" w:after="0"/>
              <w:jc w:val="right"/>
              <w:rPr>
                <w:rFonts w:ascii="Arial" w:hAnsi="Arial"/>
                <w:sz w:val="16"/>
                <w:szCs w:val="16"/>
                <w:lang w:val="en-AU"/>
              </w:rPr>
            </w:pPr>
          </w:p>
        </w:tc>
      </w:tr>
      <w:tr w:rsidR="006868B3" w:rsidRPr="00BA1388" w14:paraId="268709C4" w14:textId="77777777" w:rsidTr="002311DD">
        <w:trPr>
          <w:trHeight w:val="210"/>
        </w:trPr>
        <w:tc>
          <w:tcPr>
            <w:tcW w:w="3118" w:type="dxa"/>
            <w:tcBorders>
              <w:top w:val="nil"/>
              <w:left w:val="nil"/>
              <w:bottom w:val="nil"/>
              <w:right w:val="nil"/>
            </w:tcBorders>
            <w:shd w:val="clear" w:color="FFFFFF" w:fill="auto"/>
            <w:vAlign w:val="center"/>
            <w:hideMark/>
          </w:tcPr>
          <w:p w14:paraId="40DC41F9" w14:textId="77777777" w:rsidR="006868B3" w:rsidRPr="006868B3" w:rsidRDefault="006868B3" w:rsidP="006868B3">
            <w:pPr>
              <w:spacing w:before="0" w:after="0"/>
              <w:ind w:left="113"/>
              <w:rPr>
                <w:rFonts w:ascii="Arial" w:hAnsi="Arial"/>
                <w:sz w:val="16"/>
                <w:szCs w:val="16"/>
                <w:lang w:val="en-AU"/>
              </w:rPr>
            </w:pPr>
            <w:r w:rsidRPr="006868B3">
              <w:rPr>
                <w:rFonts w:ascii="Arial" w:hAnsi="Arial"/>
                <w:sz w:val="16"/>
                <w:szCs w:val="16"/>
                <w:lang w:val="en-AU"/>
              </w:rPr>
              <w:t>Lone Pine Barracks</w:t>
            </w:r>
          </w:p>
        </w:tc>
        <w:tc>
          <w:tcPr>
            <w:tcW w:w="1757" w:type="dxa"/>
            <w:tcBorders>
              <w:top w:val="nil"/>
              <w:left w:val="nil"/>
              <w:bottom w:val="nil"/>
              <w:right w:val="nil"/>
            </w:tcBorders>
            <w:shd w:val="clear" w:color="FFFFFF" w:fill="auto"/>
            <w:vAlign w:val="center"/>
            <w:hideMark/>
          </w:tcPr>
          <w:p w14:paraId="5CDBC340" w14:textId="77777777" w:rsidR="006868B3" w:rsidRPr="006868B3" w:rsidRDefault="006868B3" w:rsidP="006868B3">
            <w:pPr>
              <w:spacing w:before="0" w:after="0"/>
              <w:jc w:val="right"/>
              <w:rPr>
                <w:rFonts w:ascii="Arial" w:hAnsi="Arial"/>
                <w:sz w:val="16"/>
                <w:szCs w:val="16"/>
                <w:lang w:val="en-AU"/>
              </w:rPr>
            </w:pPr>
            <w:r w:rsidRPr="006868B3">
              <w:rPr>
                <w:rFonts w:ascii="Arial" w:hAnsi="Arial"/>
                <w:sz w:val="16"/>
                <w:szCs w:val="16"/>
                <w:lang w:val="en-AU"/>
              </w:rPr>
              <w:t>NSW - Hunter</w:t>
            </w:r>
          </w:p>
        </w:tc>
        <w:tc>
          <w:tcPr>
            <w:tcW w:w="1199" w:type="dxa"/>
            <w:gridSpan w:val="2"/>
            <w:tcBorders>
              <w:top w:val="nil"/>
              <w:left w:val="nil"/>
              <w:bottom w:val="nil"/>
              <w:right w:val="nil"/>
            </w:tcBorders>
            <w:shd w:val="clear" w:color="FFFFFF" w:fill="auto"/>
            <w:noWrap/>
            <w:vAlign w:val="center"/>
          </w:tcPr>
          <w:p w14:paraId="75DE4743" w14:textId="77777777" w:rsidR="006868B3" w:rsidRPr="006868B3" w:rsidRDefault="006868B3" w:rsidP="006868B3">
            <w:pPr>
              <w:spacing w:before="0" w:after="0"/>
              <w:jc w:val="right"/>
              <w:rPr>
                <w:rFonts w:ascii="Arial" w:hAnsi="Arial"/>
                <w:sz w:val="16"/>
                <w:szCs w:val="16"/>
                <w:lang w:val="en-AU"/>
              </w:rPr>
            </w:pPr>
          </w:p>
        </w:tc>
        <w:tc>
          <w:tcPr>
            <w:tcW w:w="1405" w:type="dxa"/>
            <w:tcBorders>
              <w:top w:val="nil"/>
              <w:left w:val="nil"/>
              <w:bottom w:val="nil"/>
              <w:right w:val="nil"/>
            </w:tcBorders>
            <w:shd w:val="clear" w:color="auto" w:fill="auto"/>
            <w:noWrap/>
            <w:vAlign w:val="center"/>
          </w:tcPr>
          <w:p w14:paraId="6B60CD73" w14:textId="77777777" w:rsidR="006868B3" w:rsidRPr="006868B3" w:rsidRDefault="006868B3" w:rsidP="006868B3">
            <w:pPr>
              <w:spacing w:before="0" w:after="0"/>
              <w:jc w:val="right"/>
              <w:rPr>
                <w:rFonts w:ascii="Arial" w:hAnsi="Arial"/>
                <w:sz w:val="16"/>
                <w:szCs w:val="16"/>
                <w:lang w:val="en-AU"/>
              </w:rPr>
            </w:pPr>
            <w:r w:rsidRPr="006868B3">
              <w:rPr>
                <w:rFonts w:ascii="Arial" w:hAnsi="Arial"/>
                <w:sz w:val="16"/>
                <w:szCs w:val="16"/>
                <w:lang w:val="en-AU"/>
              </w:rPr>
              <w:t>115.8</w:t>
            </w:r>
          </w:p>
        </w:tc>
        <w:tc>
          <w:tcPr>
            <w:tcW w:w="1168" w:type="dxa"/>
            <w:tcBorders>
              <w:top w:val="nil"/>
              <w:left w:val="nil"/>
              <w:bottom w:val="nil"/>
              <w:right w:val="nil"/>
            </w:tcBorders>
            <w:shd w:val="clear" w:color="auto" w:fill="auto"/>
            <w:noWrap/>
            <w:vAlign w:val="center"/>
          </w:tcPr>
          <w:p w14:paraId="7BB69535" w14:textId="77777777" w:rsidR="006868B3" w:rsidRPr="006868B3" w:rsidRDefault="006868B3" w:rsidP="006868B3">
            <w:pPr>
              <w:spacing w:before="0" w:after="0"/>
              <w:jc w:val="right"/>
              <w:rPr>
                <w:rFonts w:ascii="Arial" w:hAnsi="Arial"/>
                <w:sz w:val="16"/>
                <w:szCs w:val="16"/>
                <w:lang w:val="en-AU"/>
              </w:rPr>
            </w:pPr>
            <w:r w:rsidRPr="006868B3">
              <w:rPr>
                <w:rFonts w:ascii="Arial" w:hAnsi="Arial"/>
                <w:sz w:val="16"/>
                <w:szCs w:val="16"/>
                <w:lang w:val="en-AU"/>
              </w:rPr>
              <w:t>-</w:t>
            </w:r>
          </w:p>
        </w:tc>
      </w:tr>
      <w:tr w:rsidR="006868B3" w:rsidRPr="00BA1388" w14:paraId="03CB16BD" w14:textId="77777777" w:rsidTr="002311DD">
        <w:trPr>
          <w:trHeight w:val="210"/>
        </w:trPr>
        <w:tc>
          <w:tcPr>
            <w:tcW w:w="3118" w:type="dxa"/>
            <w:tcBorders>
              <w:top w:val="nil"/>
              <w:left w:val="nil"/>
              <w:bottom w:val="nil"/>
              <w:right w:val="nil"/>
            </w:tcBorders>
            <w:shd w:val="clear" w:color="FFFFFF" w:fill="auto"/>
            <w:vAlign w:val="center"/>
            <w:hideMark/>
          </w:tcPr>
          <w:p w14:paraId="258E7341" w14:textId="77777777" w:rsidR="006868B3" w:rsidRPr="006868B3" w:rsidRDefault="006868B3" w:rsidP="006868B3">
            <w:pPr>
              <w:spacing w:before="0" w:after="0"/>
              <w:ind w:left="113"/>
              <w:rPr>
                <w:rFonts w:ascii="Arial" w:hAnsi="Arial"/>
                <w:sz w:val="16"/>
                <w:szCs w:val="16"/>
                <w:lang w:val="en-AU"/>
              </w:rPr>
            </w:pPr>
            <w:r w:rsidRPr="006868B3">
              <w:rPr>
                <w:rFonts w:ascii="Arial" w:hAnsi="Arial"/>
                <w:sz w:val="16"/>
                <w:szCs w:val="16"/>
                <w:lang w:val="en-AU"/>
              </w:rPr>
              <w:t>Puckapunyal Training Area</w:t>
            </w:r>
          </w:p>
        </w:tc>
        <w:tc>
          <w:tcPr>
            <w:tcW w:w="1757" w:type="dxa"/>
            <w:tcBorders>
              <w:top w:val="nil"/>
              <w:left w:val="nil"/>
              <w:bottom w:val="nil"/>
              <w:right w:val="nil"/>
            </w:tcBorders>
            <w:shd w:val="clear" w:color="FFFFFF" w:fill="auto"/>
            <w:vAlign w:val="center"/>
            <w:hideMark/>
          </w:tcPr>
          <w:p w14:paraId="64E8504A" w14:textId="77777777" w:rsidR="006868B3" w:rsidRPr="006868B3" w:rsidRDefault="006868B3" w:rsidP="006868B3">
            <w:pPr>
              <w:spacing w:before="0" w:after="0"/>
              <w:jc w:val="right"/>
              <w:rPr>
                <w:rFonts w:ascii="Arial" w:hAnsi="Arial"/>
                <w:sz w:val="16"/>
                <w:szCs w:val="16"/>
                <w:lang w:val="en-AU"/>
              </w:rPr>
            </w:pPr>
            <w:r w:rsidRPr="006868B3">
              <w:rPr>
                <w:rFonts w:ascii="Arial" w:hAnsi="Arial"/>
                <w:sz w:val="16"/>
                <w:szCs w:val="16"/>
                <w:lang w:val="en-AU"/>
              </w:rPr>
              <w:t>VIC - Nicholls</w:t>
            </w:r>
          </w:p>
        </w:tc>
        <w:tc>
          <w:tcPr>
            <w:tcW w:w="1199" w:type="dxa"/>
            <w:gridSpan w:val="2"/>
            <w:tcBorders>
              <w:top w:val="nil"/>
              <w:left w:val="nil"/>
              <w:bottom w:val="nil"/>
              <w:right w:val="nil"/>
            </w:tcBorders>
            <w:shd w:val="clear" w:color="FFFFFF" w:fill="auto"/>
            <w:noWrap/>
            <w:vAlign w:val="center"/>
          </w:tcPr>
          <w:p w14:paraId="3F5D1241" w14:textId="77777777" w:rsidR="006868B3" w:rsidRPr="006868B3" w:rsidRDefault="006868B3" w:rsidP="006868B3">
            <w:pPr>
              <w:spacing w:before="0" w:after="0"/>
              <w:jc w:val="right"/>
              <w:rPr>
                <w:rFonts w:ascii="Arial" w:hAnsi="Arial"/>
                <w:sz w:val="16"/>
                <w:szCs w:val="16"/>
                <w:lang w:val="en-AU"/>
              </w:rPr>
            </w:pPr>
          </w:p>
        </w:tc>
        <w:tc>
          <w:tcPr>
            <w:tcW w:w="1405" w:type="dxa"/>
            <w:tcBorders>
              <w:top w:val="nil"/>
              <w:left w:val="nil"/>
              <w:bottom w:val="nil"/>
              <w:right w:val="nil"/>
            </w:tcBorders>
            <w:shd w:val="clear" w:color="auto" w:fill="auto"/>
            <w:noWrap/>
            <w:vAlign w:val="center"/>
          </w:tcPr>
          <w:p w14:paraId="70922C9D" w14:textId="77777777" w:rsidR="006868B3" w:rsidRPr="006868B3" w:rsidRDefault="006868B3" w:rsidP="006868B3">
            <w:pPr>
              <w:spacing w:before="0" w:after="0"/>
              <w:jc w:val="right"/>
              <w:rPr>
                <w:rFonts w:ascii="Arial" w:hAnsi="Arial"/>
                <w:sz w:val="16"/>
                <w:szCs w:val="16"/>
                <w:lang w:val="en-AU"/>
              </w:rPr>
            </w:pPr>
            <w:r w:rsidRPr="006868B3">
              <w:rPr>
                <w:rFonts w:ascii="Arial" w:hAnsi="Arial"/>
                <w:sz w:val="16"/>
                <w:szCs w:val="16"/>
                <w:lang w:val="en-AU"/>
              </w:rPr>
              <w:t>11.7</w:t>
            </w:r>
          </w:p>
        </w:tc>
        <w:tc>
          <w:tcPr>
            <w:tcW w:w="1168" w:type="dxa"/>
            <w:tcBorders>
              <w:top w:val="nil"/>
              <w:left w:val="nil"/>
              <w:bottom w:val="nil"/>
              <w:right w:val="nil"/>
            </w:tcBorders>
            <w:shd w:val="clear" w:color="auto" w:fill="auto"/>
            <w:noWrap/>
            <w:vAlign w:val="center"/>
          </w:tcPr>
          <w:p w14:paraId="32C67D8B" w14:textId="77777777" w:rsidR="006868B3" w:rsidRPr="006868B3" w:rsidRDefault="006868B3" w:rsidP="006868B3">
            <w:pPr>
              <w:spacing w:before="0" w:after="0"/>
              <w:jc w:val="right"/>
              <w:rPr>
                <w:rFonts w:ascii="Arial" w:hAnsi="Arial"/>
                <w:sz w:val="16"/>
                <w:szCs w:val="16"/>
                <w:lang w:val="en-AU"/>
              </w:rPr>
            </w:pPr>
            <w:r w:rsidRPr="006868B3">
              <w:rPr>
                <w:rFonts w:ascii="Arial" w:hAnsi="Arial"/>
                <w:sz w:val="16"/>
                <w:szCs w:val="16"/>
                <w:lang w:val="en-AU"/>
              </w:rPr>
              <w:t>-</w:t>
            </w:r>
          </w:p>
        </w:tc>
      </w:tr>
      <w:tr w:rsidR="006868B3" w:rsidRPr="00BA1388" w14:paraId="5CA62E68" w14:textId="77777777" w:rsidTr="002311DD">
        <w:trPr>
          <w:trHeight w:val="210"/>
        </w:trPr>
        <w:tc>
          <w:tcPr>
            <w:tcW w:w="3118" w:type="dxa"/>
            <w:tcBorders>
              <w:top w:val="nil"/>
              <w:left w:val="nil"/>
              <w:bottom w:val="nil"/>
              <w:right w:val="nil"/>
            </w:tcBorders>
            <w:shd w:val="clear" w:color="FFFFFF" w:fill="auto"/>
            <w:vAlign w:val="center"/>
            <w:hideMark/>
          </w:tcPr>
          <w:p w14:paraId="213410F3" w14:textId="77777777" w:rsidR="006868B3" w:rsidRPr="006868B3" w:rsidRDefault="006868B3" w:rsidP="006868B3">
            <w:pPr>
              <w:spacing w:before="0" w:after="0"/>
              <w:ind w:left="113"/>
              <w:rPr>
                <w:rFonts w:ascii="Arial" w:hAnsi="Arial"/>
                <w:sz w:val="16"/>
                <w:szCs w:val="16"/>
                <w:lang w:val="en-AU"/>
              </w:rPr>
            </w:pPr>
            <w:r w:rsidRPr="006868B3">
              <w:rPr>
                <w:rFonts w:ascii="Arial" w:hAnsi="Arial"/>
                <w:sz w:val="16"/>
                <w:szCs w:val="16"/>
                <w:lang w:val="en-AU"/>
              </w:rPr>
              <w:t>Simpson Barracks</w:t>
            </w:r>
          </w:p>
        </w:tc>
        <w:tc>
          <w:tcPr>
            <w:tcW w:w="1757" w:type="dxa"/>
            <w:tcBorders>
              <w:top w:val="nil"/>
              <w:left w:val="nil"/>
              <w:bottom w:val="nil"/>
              <w:right w:val="nil"/>
            </w:tcBorders>
            <w:shd w:val="clear" w:color="FFFFFF" w:fill="auto"/>
            <w:vAlign w:val="center"/>
            <w:hideMark/>
          </w:tcPr>
          <w:p w14:paraId="657B0E45" w14:textId="77777777" w:rsidR="006868B3" w:rsidRPr="006868B3" w:rsidRDefault="006868B3" w:rsidP="006868B3">
            <w:pPr>
              <w:spacing w:before="0" w:after="0"/>
              <w:jc w:val="right"/>
              <w:rPr>
                <w:rFonts w:ascii="Arial" w:hAnsi="Arial"/>
                <w:sz w:val="16"/>
                <w:szCs w:val="16"/>
                <w:lang w:val="en-AU"/>
              </w:rPr>
            </w:pPr>
            <w:r w:rsidRPr="006868B3">
              <w:rPr>
                <w:rFonts w:ascii="Arial" w:hAnsi="Arial"/>
                <w:sz w:val="16"/>
                <w:szCs w:val="16"/>
                <w:lang w:val="en-AU"/>
              </w:rPr>
              <w:t>VIC - Jagajaga</w:t>
            </w:r>
          </w:p>
        </w:tc>
        <w:tc>
          <w:tcPr>
            <w:tcW w:w="1199" w:type="dxa"/>
            <w:gridSpan w:val="2"/>
            <w:tcBorders>
              <w:top w:val="nil"/>
              <w:left w:val="nil"/>
              <w:bottom w:val="nil"/>
              <w:right w:val="nil"/>
            </w:tcBorders>
            <w:shd w:val="clear" w:color="FFFFFF" w:fill="auto"/>
            <w:noWrap/>
            <w:vAlign w:val="center"/>
          </w:tcPr>
          <w:p w14:paraId="3CDF5EA9" w14:textId="77777777" w:rsidR="006868B3" w:rsidRPr="006868B3" w:rsidRDefault="006868B3" w:rsidP="006868B3">
            <w:pPr>
              <w:spacing w:before="0" w:after="0"/>
              <w:jc w:val="right"/>
              <w:rPr>
                <w:rFonts w:ascii="Arial" w:hAnsi="Arial"/>
                <w:sz w:val="16"/>
                <w:szCs w:val="16"/>
                <w:lang w:val="en-AU"/>
              </w:rPr>
            </w:pPr>
          </w:p>
        </w:tc>
        <w:tc>
          <w:tcPr>
            <w:tcW w:w="1405" w:type="dxa"/>
            <w:tcBorders>
              <w:top w:val="nil"/>
              <w:left w:val="nil"/>
              <w:bottom w:val="nil"/>
              <w:right w:val="nil"/>
            </w:tcBorders>
            <w:shd w:val="clear" w:color="auto" w:fill="auto"/>
            <w:noWrap/>
            <w:vAlign w:val="center"/>
          </w:tcPr>
          <w:p w14:paraId="603F3AF5" w14:textId="77777777" w:rsidR="006868B3" w:rsidRPr="006868B3" w:rsidRDefault="006868B3" w:rsidP="006868B3">
            <w:pPr>
              <w:spacing w:before="0" w:after="0"/>
              <w:jc w:val="right"/>
              <w:rPr>
                <w:rFonts w:ascii="Arial" w:hAnsi="Arial"/>
                <w:sz w:val="16"/>
                <w:szCs w:val="16"/>
                <w:lang w:val="en-AU"/>
              </w:rPr>
            </w:pPr>
            <w:r w:rsidRPr="006868B3">
              <w:rPr>
                <w:rFonts w:ascii="Arial" w:hAnsi="Arial"/>
                <w:sz w:val="16"/>
                <w:szCs w:val="16"/>
                <w:lang w:val="en-AU"/>
              </w:rPr>
              <w:t>20.2</w:t>
            </w:r>
          </w:p>
        </w:tc>
        <w:tc>
          <w:tcPr>
            <w:tcW w:w="1168" w:type="dxa"/>
            <w:tcBorders>
              <w:top w:val="nil"/>
              <w:left w:val="nil"/>
              <w:bottom w:val="nil"/>
              <w:right w:val="nil"/>
            </w:tcBorders>
            <w:shd w:val="clear" w:color="auto" w:fill="auto"/>
            <w:noWrap/>
            <w:vAlign w:val="center"/>
          </w:tcPr>
          <w:p w14:paraId="74C5A05E" w14:textId="77777777" w:rsidR="006868B3" w:rsidRPr="006868B3" w:rsidRDefault="006868B3" w:rsidP="006868B3">
            <w:pPr>
              <w:spacing w:before="0" w:after="0"/>
              <w:jc w:val="right"/>
              <w:rPr>
                <w:rFonts w:ascii="Arial" w:hAnsi="Arial"/>
                <w:sz w:val="16"/>
                <w:szCs w:val="16"/>
                <w:lang w:val="en-AU"/>
              </w:rPr>
            </w:pPr>
            <w:r w:rsidRPr="006868B3">
              <w:rPr>
                <w:rFonts w:ascii="Arial" w:hAnsi="Arial"/>
                <w:sz w:val="16"/>
                <w:szCs w:val="16"/>
                <w:lang w:val="en-AU"/>
              </w:rPr>
              <w:t>-</w:t>
            </w:r>
          </w:p>
        </w:tc>
      </w:tr>
      <w:tr w:rsidR="006868B3" w:rsidRPr="00BA1388" w14:paraId="790E9375" w14:textId="77777777" w:rsidTr="002311DD">
        <w:trPr>
          <w:trHeight w:val="210"/>
        </w:trPr>
        <w:tc>
          <w:tcPr>
            <w:tcW w:w="3118" w:type="dxa"/>
            <w:tcBorders>
              <w:top w:val="nil"/>
              <w:left w:val="nil"/>
              <w:bottom w:val="nil"/>
              <w:right w:val="nil"/>
            </w:tcBorders>
            <w:shd w:val="clear" w:color="FFFFFF" w:fill="auto"/>
            <w:vAlign w:val="center"/>
            <w:hideMark/>
          </w:tcPr>
          <w:p w14:paraId="6E4F3A26" w14:textId="77777777" w:rsidR="006868B3" w:rsidRPr="006868B3" w:rsidRDefault="006868B3" w:rsidP="006868B3">
            <w:pPr>
              <w:spacing w:before="0" w:after="0"/>
              <w:ind w:left="113"/>
              <w:rPr>
                <w:rFonts w:ascii="Arial" w:hAnsi="Arial"/>
                <w:sz w:val="16"/>
                <w:szCs w:val="16"/>
                <w:lang w:val="en-AU"/>
              </w:rPr>
            </w:pPr>
            <w:r w:rsidRPr="006868B3">
              <w:rPr>
                <w:rFonts w:ascii="Arial" w:hAnsi="Arial"/>
                <w:sz w:val="16"/>
                <w:szCs w:val="16"/>
                <w:lang w:val="en-AU"/>
              </w:rPr>
              <w:t>RAAF Amberley</w:t>
            </w:r>
          </w:p>
        </w:tc>
        <w:tc>
          <w:tcPr>
            <w:tcW w:w="1757" w:type="dxa"/>
            <w:tcBorders>
              <w:top w:val="nil"/>
              <w:left w:val="nil"/>
              <w:bottom w:val="nil"/>
              <w:right w:val="nil"/>
            </w:tcBorders>
            <w:shd w:val="clear" w:color="FFFFFF" w:fill="auto"/>
            <w:vAlign w:val="center"/>
            <w:hideMark/>
          </w:tcPr>
          <w:p w14:paraId="7076B2FF" w14:textId="77777777" w:rsidR="006868B3" w:rsidRPr="006868B3" w:rsidRDefault="006868B3" w:rsidP="006868B3">
            <w:pPr>
              <w:spacing w:before="0" w:after="0"/>
              <w:jc w:val="right"/>
              <w:rPr>
                <w:rFonts w:ascii="Arial" w:hAnsi="Arial"/>
                <w:sz w:val="16"/>
                <w:szCs w:val="16"/>
                <w:lang w:val="en-AU"/>
              </w:rPr>
            </w:pPr>
            <w:r w:rsidRPr="006868B3">
              <w:rPr>
                <w:rFonts w:ascii="Arial" w:hAnsi="Arial"/>
                <w:sz w:val="16"/>
                <w:szCs w:val="16"/>
                <w:lang w:val="en-AU"/>
              </w:rPr>
              <w:t>QLD - Blair</w:t>
            </w:r>
          </w:p>
        </w:tc>
        <w:tc>
          <w:tcPr>
            <w:tcW w:w="1199" w:type="dxa"/>
            <w:gridSpan w:val="2"/>
            <w:tcBorders>
              <w:top w:val="nil"/>
              <w:left w:val="nil"/>
              <w:bottom w:val="nil"/>
              <w:right w:val="nil"/>
            </w:tcBorders>
            <w:shd w:val="clear" w:color="FFFFFF" w:fill="auto"/>
            <w:noWrap/>
            <w:vAlign w:val="center"/>
          </w:tcPr>
          <w:p w14:paraId="14BDCFC2" w14:textId="77777777" w:rsidR="006868B3" w:rsidRPr="006868B3" w:rsidRDefault="006868B3" w:rsidP="006868B3">
            <w:pPr>
              <w:spacing w:before="0" w:after="0"/>
              <w:jc w:val="right"/>
              <w:rPr>
                <w:rFonts w:ascii="Arial" w:hAnsi="Arial"/>
                <w:sz w:val="16"/>
                <w:szCs w:val="16"/>
                <w:lang w:val="en-AU"/>
              </w:rPr>
            </w:pPr>
          </w:p>
        </w:tc>
        <w:tc>
          <w:tcPr>
            <w:tcW w:w="1405" w:type="dxa"/>
            <w:tcBorders>
              <w:top w:val="nil"/>
              <w:left w:val="nil"/>
              <w:bottom w:val="nil"/>
              <w:right w:val="nil"/>
            </w:tcBorders>
            <w:shd w:val="clear" w:color="auto" w:fill="auto"/>
            <w:noWrap/>
            <w:vAlign w:val="center"/>
          </w:tcPr>
          <w:p w14:paraId="50D80756" w14:textId="77777777" w:rsidR="006868B3" w:rsidRPr="006868B3" w:rsidRDefault="006868B3" w:rsidP="006868B3">
            <w:pPr>
              <w:spacing w:before="0" w:after="0"/>
              <w:jc w:val="right"/>
              <w:rPr>
                <w:rFonts w:ascii="Arial" w:hAnsi="Arial"/>
                <w:sz w:val="16"/>
                <w:szCs w:val="16"/>
                <w:lang w:val="en-AU"/>
              </w:rPr>
            </w:pPr>
            <w:r w:rsidRPr="006868B3">
              <w:rPr>
                <w:rFonts w:ascii="Arial" w:hAnsi="Arial"/>
                <w:sz w:val="16"/>
                <w:szCs w:val="16"/>
                <w:lang w:val="en-AU"/>
              </w:rPr>
              <w:t>9.6</w:t>
            </w:r>
          </w:p>
        </w:tc>
        <w:tc>
          <w:tcPr>
            <w:tcW w:w="1168" w:type="dxa"/>
            <w:tcBorders>
              <w:top w:val="nil"/>
              <w:left w:val="nil"/>
              <w:bottom w:val="nil"/>
              <w:right w:val="nil"/>
            </w:tcBorders>
            <w:shd w:val="clear" w:color="auto" w:fill="auto"/>
            <w:noWrap/>
            <w:vAlign w:val="center"/>
          </w:tcPr>
          <w:p w14:paraId="0A9E617C" w14:textId="77777777" w:rsidR="006868B3" w:rsidRPr="006868B3" w:rsidRDefault="006868B3" w:rsidP="006868B3">
            <w:pPr>
              <w:spacing w:before="0" w:after="0"/>
              <w:jc w:val="right"/>
              <w:rPr>
                <w:rFonts w:ascii="Arial" w:hAnsi="Arial"/>
                <w:sz w:val="16"/>
                <w:szCs w:val="16"/>
                <w:lang w:val="en-AU"/>
              </w:rPr>
            </w:pPr>
            <w:r w:rsidRPr="006868B3">
              <w:rPr>
                <w:rFonts w:ascii="Arial" w:hAnsi="Arial"/>
                <w:sz w:val="16"/>
                <w:szCs w:val="16"/>
                <w:lang w:val="en-AU"/>
              </w:rPr>
              <w:t>-</w:t>
            </w:r>
          </w:p>
        </w:tc>
      </w:tr>
      <w:tr w:rsidR="006868B3" w:rsidRPr="00BA1388" w14:paraId="3AF962D8" w14:textId="77777777" w:rsidTr="002311DD">
        <w:trPr>
          <w:trHeight w:val="210"/>
        </w:trPr>
        <w:tc>
          <w:tcPr>
            <w:tcW w:w="3118" w:type="dxa"/>
            <w:tcBorders>
              <w:top w:val="nil"/>
              <w:left w:val="nil"/>
              <w:bottom w:val="nil"/>
              <w:right w:val="nil"/>
            </w:tcBorders>
            <w:shd w:val="clear" w:color="FFFFFF" w:fill="auto"/>
            <w:vAlign w:val="center"/>
            <w:hideMark/>
          </w:tcPr>
          <w:p w14:paraId="3F3BDF4C" w14:textId="77777777" w:rsidR="006868B3" w:rsidRPr="006868B3" w:rsidRDefault="006868B3" w:rsidP="006868B3">
            <w:pPr>
              <w:spacing w:before="0" w:after="0"/>
              <w:ind w:left="113"/>
              <w:rPr>
                <w:rFonts w:ascii="Arial" w:hAnsi="Arial"/>
                <w:sz w:val="16"/>
                <w:szCs w:val="16"/>
                <w:lang w:val="en-AU"/>
              </w:rPr>
            </w:pPr>
            <w:r w:rsidRPr="006868B3">
              <w:rPr>
                <w:rFonts w:ascii="Arial" w:hAnsi="Arial"/>
                <w:sz w:val="16"/>
                <w:szCs w:val="16"/>
                <w:lang w:val="en-AU"/>
              </w:rPr>
              <w:t>Lavarack Barracks</w:t>
            </w:r>
          </w:p>
        </w:tc>
        <w:tc>
          <w:tcPr>
            <w:tcW w:w="1757" w:type="dxa"/>
            <w:tcBorders>
              <w:top w:val="nil"/>
              <w:left w:val="nil"/>
              <w:bottom w:val="nil"/>
              <w:right w:val="nil"/>
            </w:tcBorders>
            <w:shd w:val="clear" w:color="FFFFFF" w:fill="auto"/>
            <w:vAlign w:val="center"/>
            <w:hideMark/>
          </w:tcPr>
          <w:p w14:paraId="76F240BF" w14:textId="77777777" w:rsidR="006868B3" w:rsidRPr="006868B3" w:rsidRDefault="006868B3" w:rsidP="006868B3">
            <w:pPr>
              <w:spacing w:before="0" w:after="0"/>
              <w:jc w:val="right"/>
              <w:rPr>
                <w:rFonts w:ascii="Arial" w:hAnsi="Arial"/>
                <w:sz w:val="16"/>
                <w:szCs w:val="16"/>
                <w:lang w:val="en-AU"/>
              </w:rPr>
            </w:pPr>
            <w:r w:rsidRPr="006868B3">
              <w:rPr>
                <w:rFonts w:ascii="Arial" w:hAnsi="Arial"/>
                <w:sz w:val="16"/>
                <w:szCs w:val="16"/>
                <w:lang w:val="en-AU"/>
              </w:rPr>
              <w:t>QLD - Herbert</w:t>
            </w:r>
          </w:p>
        </w:tc>
        <w:tc>
          <w:tcPr>
            <w:tcW w:w="1199" w:type="dxa"/>
            <w:gridSpan w:val="2"/>
            <w:tcBorders>
              <w:top w:val="nil"/>
              <w:left w:val="nil"/>
              <w:bottom w:val="nil"/>
              <w:right w:val="nil"/>
            </w:tcBorders>
            <w:shd w:val="clear" w:color="FFFFFF" w:fill="auto"/>
            <w:noWrap/>
            <w:vAlign w:val="center"/>
          </w:tcPr>
          <w:p w14:paraId="46AACCEF" w14:textId="77777777" w:rsidR="006868B3" w:rsidRPr="006868B3" w:rsidRDefault="006868B3" w:rsidP="006868B3">
            <w:pPr>
              <w:spacing w:before="0" w:after="0"/>
              <w:jc w:val="right"/>
              <w:rPr>
                <w:rFonts w:ascii="Arial" w:hAnsi="Arial"/>
                <w:sz w:val="16"/>
                <w:szCs w:val="16"/>
                <w:lang w:val="en-AU"/>
              </w:rPr>
            </w:pPr>
          </w:p>
        </w:tc>
        <w:tc>
          <w:tcPr>
            <w:tcW w:w="1405" w:type="dxa"/>
            <w:tcBorders>
              <w:top w:val="nil"/>
              <w:left w:val="nil"/>
              <w:bottom w:val="nil"/>
              <w:right w:val="nil"/>
            </w:tcBorders>
            <w:shd w:val="clear" w:color="auto" w:fill="auto"/>
            <w:noWrap/>
            <w:vAlign w:val="center"/>
          </w:tcPr>
          <w:p w14:paraId="2184B5E2" w14:textId="77777777" w:rsidR="006868B3" w:rsidRPr="006868B3" w:rsidRDefault="006868B3" w:rsidP="006868B3">
            <w:pPr>
              <w:spacing w:before="0" w:after="0"/>
              <w:jc w:val="right"/>
              <w:rPr>
                <w:rFonts w:ascii="Arial" w:hAnsi="Arial"/>
                <w:sz w:val="16"/>
                <w:szCs w:val="16"/>
                <w:lang w:val="en-AU"/>
              </w:rPr>
            </w:pPr>
            <w:r w:rsidRPr="006868B3">
              <w:rPr>
                <w:rFonts w:ascii="Arial" w:hAnsi="Arial"/>
                <w:sz w:val="16"/>
                <w:szCs w:val="16"/>
                <w:lang w:val="en-AU"/>
              </w:rPr>
              <w:t>62.0</w:t>
            </w:r>
          </w:p>
        </w:tc>
        <w:tc>
          <w:tcPr>
            <w:tcW w:w="1168" w:type="dxa"/>
            <w:tcBorders>
              <w:top w:val="nil"/>
              <w:left w:val="nil"/>
              <w:bottom w:val="nil"/>
              <w:right w:val="nil"/>
            </w:tcBorders>
            <w:shd w:val="clear" w:color="auto" w:fill="auto"/>
            <w:noWrap/>
            <w:vAlign w:val="center"/>
          </w:tcPr>
          <w:p w14:paraId="7B425665" w14:textId="77777777" w:rsidR="006868B3" w:rsidRPr="006868B3" w:rsidRDefault="006868B3" w:rsidP="006868B3">
            <w:pPr>
              <w:spacing w:before="0" w:after="0"/>
              <w:jc w:val="right"/>
              <w:rPr>
                <w:rFonts w:ascii="Arial" w:hAnsi="Arial"/>
                <w:sz w:val="16"/>
                <w:szCs w:val="16"/>
                <w:lang w:val="en-AU"/>
              </w:rPr>
            </w:pPr>
            <w:r w:rsidRPr="006868B3">
              <w:rPr>
                <w:rFonts w:ascii="Arial" w:hAnsi="Arial"/>
                <w:sz w:val="16"/>
                <w:szCs w:val="16"/>
                <w:lang w:val="en-AU"/>
              </w:rPr>
              <w:t>-</w:t>
            </w:r>
          </w:p>
        </w:tc>
      </w:tr>
      <w:tr w:rsidR="006868B3" w:rsidRPr="00BA1388" w14:paraId="28625588" w14:textId="77777777" w:rsidTr="002311DD">
        <w:trPr>
          <w:trHeight w:val="210"/>
        </w:trPr>
        <w:tc>
          <w:tcPr>
            <w:tcW w:w="3118" w:type="dxa"/>
            <w:tcBorders>
              <w:top w:val="nil"/>
              <w:left w:val="nil"/>
              <w:bottom w:val="nil"/>
              <w:right w:val="nil"/>
            </w:tcBorders>
            <w:shd w:val="clear" w:color="FFFFFF" w:fill="auto"/>
            <w:vAlign w:val="center"/>
            <w:hideMark/>
          </w:tcPr>
          <w:p w14:paraId="0C51BF94" w14:textId="77777777" w:rsidR="006868B3" w:rsidRPr="006868B3" w:rsidRDefault="006868B3" w:rsidP="006868B3">
            <w:pPr>
              <w:spacing w:before="0" w:after="0"/>
              <w:ind w:left="113"/>
              <w:rPr>
                <w:rFonts w:ascii="Arial" w:hAnsi="Arial"/>
                <w:sz w:val="16"/>
                <w:szCs w:val="16"/>
                <w:lang w:val="en-AU"/>
              </w:rPr>
            </w:pPr>
            <w:r w:rsidRPr="006868B3">
              <w:rPr>
                <w:rFonts w:ascii="Arial" w:hAnsi="Arial"/>
                <w:sz w:val="16"/>
                <w:szCs w:val="16"/>
                <w:lang w:val="en-AU"/>
              </w:rPr>
              <w:t>Townsville Training Area</w:t>
            </w:r>
          </w:p>
        </w:tc>
        <w:tc>
          <w:tcPr>
            <w:tcW w:w="1757" w:type="dxa"/>
            <w:tcBorders>
              <w:top w:val="nil"/>
              <w:left w:val="nil"/>
              <w:bottom w:val="nil"/>
              <w:right w:val="nil"/>
            </w:tcBorders>
            <w:shd w:val="clear" w:color="FFFFFF" w:fill="auto"/>
            <w:vAlign w:val="center"/>
            <w:hideMark/>
          </w:tcPr>
          <w:p w14:paraId="372F52B4" w14:textId="77777777" w:rsidR="006868B3" w:rsidRPr="006868B3" w:rsidRDefault="006868B3" w:rsidP="006868B3">
            <w:pPr>
              <w:spacing w:before="0" w:after="0"/>
              <w:jc w:val="right"/>
              <w:rPr>
                <w:rFonts w:ascii="Arial" w:hAnsi="Arial"/>
                <w:sz w:val="16"/>
                <w:szCs w:val="16"/>
                <w:lang w:val="en-AU"/>
              </w:rPr>
            </w:pPr>
            <w:r w:rsidRPr="006868B3">
              <w:rPr>
                <w:rFonts w:ascii="Arial" w:hAnsi="Arial"/>
                <w:sz w:val="16"/>
                <w:szCs w:val="16"/>
                <w:lang w:val="en-AU"/>
              </w:rPr>
              <w:t>QLD - Kennedy</w:t>
            </w:r>
          </w:p>
        </w:tc>
        <w:tc>
          <w:tcPr>
            <w:tcW w:w="1199" w:type="dxa"/>
            <w:gridSpan w:val="2"/>
            <w:tcBorders>
              <w:top w:val="nil"/>
              <w:left w:val="nil"/>
              <w:bottom w:val="nil"/>
              <w:right w:val="nil"/>
            </w:tcBorders>
            <w:shd w:val="clear" w:color="FFFFFF" w:fill="auto"/>
            <w:noWrap/>
            <w:vAlign w:val="center"/>
          </w:tcPr>
          <w:p w14:paraId="2D84973D" w14:textId="77777777" w:rsidR="006868B3" w:rsidRPr="006868B3" w:rsidRDefault="006868B3" w:rsidP="006868B3">
            <w:pPr>
              <w:spacing w:before="0" w:after="0"/>
              <w:jc w:val="right"/>
              <w:rPr>
                <w:rFonts w:ascii="Arial" w:hAnsi="Arial"/>
                <w:sz w:val="16"/>
                <w:szCs w:val="16"/>
                <w:lang w:val="en-AU"/>
              </w:rPr>
            </w:pPr>
          </w:p>
        </w:tc>
        <w:tc>
          <w:tcPr>
            <w:tcW w:w="1405" w:type="dxa"/>
            <w:tcBorders>
              <w:top w:val="nil"/>
              <w:left w:val="nil"/>
              <w:bottom w:val="nil"/>
              <w:right w:val="nil"/>
            </w:tcBorders>
            <w:shd w:val="clear" w:color="auto" w:fill="auto"/>
            <w:noWrap/>
            <w:vAlign w:val="center"/>
          </w:tcPr>
          <w:p w14:paraId="52AABC73" w14:textId="77777777" w:rsidR="006868B3" w:rsidRPr="006868B3" w:rsidRDefault="006868B3" w:rsidP="006868B3">
            <w:pPr>
              <w:spacing w:before="0" w:after="0"/>
              <w:jc w:val="right"/>
              <w:rPr>
                <w:rFonts w:ascii="Arial" w:hAnsi="Arial"/>
                <w:sz w:val="16"/>
                <w:szCs w:val="16"/>
                <w:lang w:val="en-AU"/>
              </w:rPr>
            </w:pPr>
            <w:r w:rsidRPr="006868B3">
              <w:rPr>
                <w:rFonts w:ascii="Arial" w:hAnsi="Arial"/>
                <w:sz w:val="16"/>
                <w:szCs w:val="16"/>
                <w:lang w:val="en-AU"/>
              </w:rPr>
              <w:t>3.9</w:t>
            </w:r>
          </w:p>
        </w:tc>
        <w:tc>
          <w:tcPr>
            <w:tcW w:w="1168" w:type="dxa"/>
            <w:tcBorders>
              <w:top w:val="nil"/>
              <w:left w:val="nil"/>
              <w:bottom w:val="nil"/>
              <w:right w:val="nil"/>
            </w:tcBorders>
            <w:shd w:val="clear" w:color="auto" w:fill="auto"/>
            <w:noWrap/>
            <w:vAlign w:val="center"/>
          </w:tcPr>
          <w:p w14:paraId="7B0C77F1" w14:textId="77777777" w:rsidR="006868B3" w:rsidRPr="006868B3" w:rsidRDefault="006868B3" w:rsidP="006868B3">
            <w:pPr>
              <w:spacing w:before="0" w:after="0"/>
              <w:jc w:val="right"/>
              <w:rPr>
                <w:rFonts w:ascii="Arial" w:hAnsi="Arial"/>
                <w:sz w:val="16"/>
                <w:szCs w:val="16"/>
                <w:lang w:val="en-AU"/>
              </w:rPr>
            </w:pPr>
            <w:r w:rsidRPr="006868B3">
              <w:rPr>
                <w:rFonts w:ascii="Arial" w:hAnsi="Arial"/>
                <w:sz w:val="16"/>
                <w:szCs w:val="16"/>
                <w:lang w:val="en-AU"/>
              </w:rPr>
              <w:t>-</w:t>
            </w:r>
          </w:p>
        </w:tc>
      </w:tr>
      <w:tr w:rsidR="006868B3" w:rsidRPr="00BA1388" w14:paraId="41533C74" w14:textId="77777777" w:rsidTr="002311DD">
        <w:trPr>
          <w:trHeight w:val="210"/>
        </w:trPr>
        <w:tc>
          <w:tcPr>
            <w:tcW w:w="3118" w:type="dxa"/>
            <w:tcBorders>
              <w:top w:val="nil"/>
              <w:left w:val="nil"/>
              <w:bottom w:val="nil"/>
              <w:right w:val="nil"/>
            </w:tcBorders>
            <w:shd w:val="clear" w:color="FFFFFF" w:fill="auto"/>
            <w:vAlign w:val="center"/>
            <w:hideMark/>
          </w:tcPr>
          <w:p w14:paraId="5F781B58" w14:textId="77777777" w:rsidR="006868B3" w:rsidRPr="006868B3" w:rsidRDefault="006868B3" w:rsidP="006868B3">
            <w:pPr>
              <w:spacing w:before="0" w:after="0"/>
              <w:ind w:left="113"/>
              <w:rPr>
                <w:rFonts w:ascii="Arial" w:hAnsi="Arial"/>
                <w:sz w:val="16"/>
                <w:szCs w:val="16"/>
                <w:lang w:val="en-AU"/>
              </w:rPr>
            </w:pPr>
            <w:r w:rsidRPr="006868B3">
              <w:rPr>
                <w:rFonts w:ascii="Arial" w:hAnsi="Arial"/>
                <w:sz w:val="16"/>
                <w:szCs w:val="16"/>
                <w:lang w:val="en-AU"/>
              </w:rPr>
              <w:t>Greenbank Training Area</w:t>
            </w:r>
          </w:p>
        </w:tc>
        <w:tc>
          <w:tcPr>
            <w:tcW w:w="1757" w:type="dxa"/>
            <w:tcBorders>
              <w:top w:val="nil"/>
              <w:left w:val="nil"/>
              <w:bottom w:val="nil"/>
              <w:right w:val="nil"/>
            </w:tcBorders>
            <w:shd w:val="clear" w:color="FFFFFF" w:fill="auto"/>
            <w:vAlign w:val="center"/>
            <w:hideMark/>
          </w:tcPr>
          <w:p w14:paraId="1DBDF01D" w14:textId="77777777" w:rsidR="006868B3" w:rsidRPr="006868B3" w:rsidRDefault="006868B3" w:rsidP="006868B3">
            <w:pPr>
              <w:spacing w:before="0" w:after="0"/>
              <w:jc w:val="right"/>
              <w:rPr>
                <w:rFonts w:ascii="Arial" w:hAnsi="Arial"/>
                <w:sz w:val="16"/>
                <w:szCs w:val="16"/>
                <w:lang w:val="en-AU"/>
              </w:rPr>
            </w:pPr>
            <w:r w:rsidRPr="006868B3">
              <w:rPr>
                <w:rFonts w:ascii="Arial" w:hAnsi="Arial"/>
                <w:sz w:val="16"/>
                <w:szCs w:val="16"/>
                <w:lang w:val="en-AU"/>
              </w:rPr>
              <w:t>QLD - Wright</w:t>
            </w:r>
          </w:p>
        </w:tc>
        <w:tc>
          <w:tcPr>
            <w:tcW w:w="1199" w:type="dxa"/>
            <w:gridSpan w:val="2"/>
            <w:tcBorders>
              <w:top w:val="nil"/>
              <w:left w:val="nil"/>
              <w:bottom w:val="nil"/>
              <w:right w:val="nil"/>
            </w:tcBorders>
            <w:shd w:val="clear" w:color="FFFFFF" w:fill="auto"/>
            <w:noWrap/>
            <w:vAlign w:val="center"/>
          </w:tcPr>
          <w:p w14:paraId="1AB146A7" w14:textId="77777777" w:rsidR="006868B3" w:rsidRPr="006868B3" w:rsidRDefault="006868B3" w:rsidP="006868B3">
            <w:pPr>
              <w:spacing w:before="0" w:after="0"/>
              <w:jc w:val="right"/>
              <w:rPr>
                <w:rFonts w:ascii="Arial" w:hAnsi="Arial"/>
                <w:sz w:val="16"/>
                <w:szCs w:val="16"/>
                <w:lang w:val="en-AU"/>
              </w:rPr>
            </w:pPr>
          </w:p>
        </w:tc>
        <w:tc>
          <w:tcPr>
            <w:tcW w:w="1405" w:type="dxa"/>
            <w:tcBorders>
              <w:top w:val="nil"/>
              <w:left w:val="nil"/>
              <w:bottom w:val="nil"/>
              <w:right w:val="nil"/>
            </w:tcBorders>
            <w:shd w:val="clear" w:color="auto" w:fill="auto"/>
            <w:noWrap/>
            <w:vAlign w:val="center"/>
          </w:tcPr>
          <w:p w14:paraId="1DF03E66" w14:textId="77777777" w:rsidR="006868B3" w:rsidRPr="006868B3" w:rsidRDefault="006868B3" w:rsidP="006868B3">
            <w:pPr>
              <w:spacing w:before="0" w:after="0"/>
              <w:jc w:val="right"/>
              <w:rPr>
                <w:rFonts w:ascii="Arial" w:hAnsi="Arial"/>
                <w:sz w:val="16"/>
                <w:szCs w:val="16"/>
                <w:lang w:val="en-AU"/>
              </w:rPr>
            </w:pPr>
            <w:r w:rsidRPr="006868B3">
              <w:rPr>
                <w:rFonts w:ascii="Arial" w:hAnsi="Arial"/>
                <w:sz w:val="16"/>
                <w:szCs w:val="16"/>
                <w:lang w:val="en-AU"/>
              </w:rPr>
              <w:t>120.7</w:t>
            </w:r>
          </w:p>
        </w:tc>
        <w:tc>
          <w:tcPr>
            <w:tcW w:w="1168" w:type="dxa"/>
            <w:tcBorders>
              <w:top w:val="nil"/>
              <w:left w:val="nil"/>
              <w:bottom w:val="nil"/>
              <w:right w:val="nil"/>
            </w:tcBorders>
            <w:shd w:val="clear" w:color="auto" w:fill="auto"/>
            <w:noWrap/>
            <w:vAlign w:val="center"/>
          </w:tcPr>
          <w:p w14:paraId="24969EB5" w14:textId="77777777" w:rsidR="006868B3" w:rsidRPr="006868B3" w:rsidRDefault="006868B3" w:rsidP="006868B3">
            <w:pPr>
              <w:spacing w:before="0" w:after="0"/>
              <w:jc w:val="right"/>
              <w:rPr>
                <w:rFonts w:ascii="Arial" w:hAnsi="Arial"/>
                <w:sz w:val="16"/>
                <w:szCs w:val="16"/>
                <w:lang w:val="en-AU"/>
              </w:rPr>
            </w:pPr>
            <w:r w:rsidRPr="006868B3">
              <w:rPr>
                <w:rFonts w:ascii="Arial" w:hAnsi="Arial"/>
                <w:sz w:val="16"/>
                <w:szCs w:val="16"/>
                <w:lang w:val="en-AU"/>
              </w:rPr>
              <w:t>-</w:t>
            </w:r>
          </w:p>
        </w:tc>
      </w:tr>
      <w:tr w:rsidR="006868B3" w:rsidRPr="00BA1388" w14:paraId="05DD3F8B" w14:textId="77777777" w:rsidTr="002311DD">
        <w:trPr>
          <w:trHeight w:val="210"/>
        </w:trPr>
        <w:tc>
          <w:tcPr>
            <w:tcW w:w="3118" w:type="dxa"/>
            <w:tcBorders>
              <w:top w:val="nil"/>
              <w:left w:val="nil"/>
              <w:bottom w:val="nil"/>
              <w:right w:val="nil"/>
            </w:tcBorders>
            <w:shd w:val="clear" w:color="FFFFFF" w:fill="auto"/>
            <w:vAlign w:val="center"/>
            <w:hideMark/>
          </w:tcPr>
          <w:p w14:paraId="3142F88C" w14:textId="77777777" w:rsidR="006868B3" w:rsidRPr="006868B3" w:rsidRDefault="006868B3" w:rsidP="006868B3">
            <w:pPr>
              <w:spacing w:before="0" w:after="0"/>
              <w:ind w:left="113"/>
              <w:rPr>
                <w:rFonts w:ascii="Arial" w:hAnsi="Arial"/>
                <w:sz w:val="16"/>
                <w:szCs w:val="16"/>
                <w:lang w:val="en-AU"/>
              </w:rPr>
            </w:pPr>
            <w:r w:rsidRPr="006868B3">
              <w:rPr>
                <w:rFonts w:ascii="Arial" w:hAnsi="Arial"/>
                <w:sz w:val="16"/>
                <w:szCs w:val="16"/>
                <w:lang w:val="en-AU"/>
              </w:rPr>
              <w:t>Gallipoli Barracks</w:t>
            </w:r>
          </w:p>
        </w:tc>
        <w:tc>
          <w:tcPr>
            <w:tcW w:w="1757" w:type="dxa"/>
            <w:tcBorders>
              <w:top w:val="nil"/>
              <w:left w:val="nil"/>
              <w:bottom w:val="nil"/>
              <w:right w:val="nil"/>
            </w:tcBorders>
            <w:shd w:val="clear" w:color="FFFFFF" w:fill="auto"/>
            <w:vAlign w:val="center"/>
            <w:hideMark/>
          </w:tcPr>
          <w:p w14:paraId="7145D47E" w14:textId="77777777" w:rsidR="006868B3" w:rsidRPr="006868B3" w:rsidRDefault="006868B3" w:rsidP="006868B3">
            <w:pPr>
              <w:spacing w:before="0" w:after="0"/>
              <w:jc w:val="right"/>
              <w:rPr>
                <w:rFonts w:ascii="Arial" w:hAnsi="Arial"/>
                <w:sz w:val="16"/>
                <w:szCs w:val="16"/>
                <w:lang w:val="en-AU"/>
              </w:rPr>
            </w:pPr>
            <w:r w:rsidRPr="006868B3">
              <w:rPr>
                <w:rFonts w:ascii="Arial" w:hAnsi="Arial"/>
                <w:sz w:val="16"/>
                <w:szCs w:val="16"/>
                <w:lang w:val="en-AU"/>
              </w:rPr>
              <w:t>QLD - Ryan</w:t>
            </w:r>
          </w:p>
        </w:tc>
        <w:tc>
          <w:tcPr>
            <w:tcW w:w="1199" w:type="dxa"/>
            <w:gridSpan w:val="2"/>
            <w:tcBorders>
              <w:top w:val="nil"/>
              <w:left w:val="nil"/>
              <w:bottom w:val="nil"/>
              <w:right w:val="nil"/>
            </w:tcBorders>
            <w:shd w:val="clear" w:color="FFFFFF" w:fill="auto"/>
            <w:noWrap/>
            <w:vAlign w:val="center"/>
          </w:tcPr>
          <w:p w14:paraId="1EF5EA79" w14:textId="77777777" w:rsidR="006868B3" w:rsidRPr="006868B3" w:rsidRDefault="006868B3" w:rsidP="006868B3">
            <w:pPr>
              <w:spacing w:before="0" w:after="0"/>
              <w:jc w:val="right"/>
              <w:rPr>
                <w:rFonts w:ascii="Arial" w:hAnsi="Arial"/>
                <w:sz w:val="16"/>
                <w:szCs w:val="16"/>
                <w:lang w:val="en-AU"/>
              </w:rPr>
            </w:pPr>
          </w:p>
        </w:tc>
        <w:tc>
          <w:tcPr>
            <w:tcW w:w="1405" w:type="dxa"/>
            <w:tcBorders>
              <w:top w:val="nil"/>
              <w:left w:val="nil"/>
              <w:bottom w:val="nil"/>
              <w:right w:val="nil"/>
            </w:tcBorders>
            <w:shd w:val="clear" w:color="auto" w:fill="auto"/>
            <w:noWrap/>
            <w:vAlign w:val="center"/>
          </w:tcPr>
          <w:p w14:paraId="5B30F1CE" w14:textId="77777777" w:rsidR="006868B3" w:rsidRPr="006868B3" w:rsidRDefault="006868B3" w:rsidP="006868B3">
            <w:pPr>
              <w:spacing w:before="0" w:after="0"/>
              <w:jc w:val="right"/>
              <w:rPr>
                <w:rFonts w:ascii="Arial" w:hAnsi="Arial"/>
                <w:sz w:val="16"/>
                <w:szCs w:val="16"/>
                <w:lang w:val="en-AU"/>
              </w:rPr>
            </w:pPr>
            <w:r w:rsidRPr="006868B3">
              <w:rPr>
                <w:rFonts w:ascii="Arial" w:hAnsi="Arial"/>
                <w:sz w:val="16"/>
                <w:szCs w:val="16"/>
                <w:lang w:val="en-AU"/>
              </w:rPr>
              <w:t>828.9</w:t>
            </w:r>
          </w:p>
        </w:tc>
        <w:tc>
          <w:tcPr>
            <w:tcW w:w="1168" w:type="dxa"/>
            <w:tcBorders>
              <w:top w:val="nil"/>
              <w:left w:val="nil"/>
              <w:bottom w:val="nil"/>
              <w:right w:val="nil"/>
            </w:tcBorders>
            <w:shd w:val="clear" w:color="auto" w:fill="auto"/>
            <w:noWrap/>
            <w:vAlign w:val="center"/>
          </w:tcPr>
          <w:p w14:paraId="7FB96178" w14:textId="77777777" w:rsidR="006868B3" w:rsidRPr="006868B3" w:rsidRDefault="006868B3" w:rsidP="006868B3">
            <w:pPr>
              <w:spacing w:before="0" w:after="0"/>
              <w:jc w:val="right"/>
              <w:rPr>
                <w:rFonts w:ascii="Arial" w:hAnsi="Arial"/>
                <w:sz w:val="16"/>
                <w:szCs w:val="16"/>
                <w:lang w:val="en-AU"/>
              </w:rPr>
            </w:pPr>
            <w:r w:rsidRPr="006868B3">
              <w:rPr>
                <w:rFonts w:ascii="Arial" w:hAnsi="Arial"/>
                <w:sz w:val="16"/>
                <w:szCs w:val="16"/>
                <w:lang w:val="en-AU"/>
              </w:rPr>
              <w:t>-</w:t>
            </w:r>
          </w:p>
        </w:tc>
      </w:tr>
      <w:tr w:rsidR="006868B3" w:rsidRPr="00BA1388" w14:paraId="1C4124FA" w14:textId="77777777" w:rsidTr="002311DD">
        <w:trPr>
          <w:trHeight w:val="210"/>
        </w:trPr>
        <w:tc>
          <w:tcPr>
            <w:tcW w:w="3118" w:type="dxa"/>
            <w:tcBorders>
              <w:top w:val="nil"/>
              <w:left w:val="nil"/>
              <w:bottom w:val="nil"/>
              <w:right w:val="nil"/>
            </w:tcBorders>
            <w:shd w:val="clear" w:color="FFFFFF" w:fill="auto"/>
            <w:vAlign w:val="center"/>
            <w:hideMark/>
          </w:tcPr>
          <w:p w14:paraId="13DB7038" w14:textId="77777777" w:rsidR="006868B3" w:rsidRPr="006868B3" w:rsidRDefault="006868B3" w:rsidP="006868B3">
            <w:pPr>
              <w:spacing w:before="0" w:after="0"/>
              <w:ind w:left="113"/>
              <w:rPr>
                <w:rFonts w:ascii="Arial" w:hAnsi="Arial"/>
                <w:sz w:val="16"/>
                <w:szCs w:val="16"/>
                <w:lang w:val="en-AU"/>
              </w:rPr>
            </w:pPr>
            <w:r w:rsidRPr="006868B3">
              <w:rPr>
                <w:rFonts w:ascii="Arial" w:hAnsi="Arial"/>
                <w:sz w:val="16"/>
                <w:szCs w:val="16"/>
                <w:lang w:val="en-AU"/>
              </w:rPr>
              <w:t>Wide Bay Training Area</w:t>
            </w:r>
          </w:p>
        </w:tc>
        <w:tc>
          <w:tcPr>
            <w:tcW w:w="1757" w:type="dxa"/>
            <w:tcBorders>
              <w:top w:val="nil"/>
              <w:left w:val="nil"/>
              <w:bottom w:val="nil"/>
              <w:right w:val="nil"/>
            </w:tcBorders>
            <w:shd w:val="clear" w:color="FFFFFF" w:fill="auto"/>
            <w:vAlign w:val="center"/>
            <w:hideMark/>
          </w:tcPr>
          <w:p w14:paraId="646CDB13" w14:textId="77777777" w:rsidR="006868B3" w:rsidRPr="006868B3" w:rsidRDefault="006868B3" w:rsidP="006868B3">
            <w:pPr>
              <w:spacing w:before="0" w:after="0"/>
              <w:jc w:val="right"/>
              <w:rPr>
                <w:rFonts w:ascii="Arial" w:hAnsi="Arial"/>
                <w:sz w:val="16"/>
                <w:szCs w:val="16"/>
                <w:lang w:val="en-AU"/>
              </w:rPr>
            </w:pPr>
            <w:r w:rsidRPr="006868B3">
              <w:rPr>
                <w:rFonts w:ascii="Arial" w:hAnsi="Arial"/>
                <w:sz w:val="16"/>
                <w:szCs w:val="16"/>
                <w:lang w:val="en-AU"/>
              </w:rPr>
              <w:t>QLD - Wide Bay</w:t>
            </w:r>
          </w:p>
        </w:tc>
        <w:tc>
          <w:tcPr>
            <w:tcW w:w="1199" w:type="dxa"/>
            <w:gridSpan w:val="2"/>
            <w:tcBorders>
              <w:top w:val="nil"/>
              <w:left w:val="nil"/>
              <w:bottom w:val="nil"/>
              <w:right w:val="nil"/>
            </w:tcBorders>
            <w:shd w:val="clear" w:color="FFFFFF" w:fill="auto"/>
            <w:noWrap/>
            <w:vAlign w:val="center"/>
          </w:tcPr>
          <w:p w14:paraId="3F1D53B9" w14:textId="77777777" w:rsidR="006868B3" w:rsidRPr="006868B3" w:rsidRDefault="006868B3" w:rsidP="006868B3">
            <w:pPr>
              <w:spacing w:before="0" w:after="0"/>
              <w:jc w:val="right"/>
              <w:rPr>
                <w:rFonts w:ascii="Arial" w:hAnsi="Arial"/>
                <w:sz w:val="16"/>
                <w:szCs w:val="16"/>
                <w:lang w:val="en-AU"/>
              </w:rPr>
            </w:pPr>
          </w:p>
        </w:tc>
        <w:tc>
          <w:tcPr>
            <w:tcW w:w="1405" w:type="dxa"/>
            <w:tcBorders>
              <w:top w:val="nil"/>
              <w:left w:val="nil"/>
              <w:bottom w:val="nil"/>
              <w:right w:val="nil"/>
            </w:tcBorders>
            <w:shd w:val="clear" w:color="auto" w:fill="auto"/>
            <w:noWrap/>
            <w:vAlign w:val="center"/>
          </w:tcPr>
          <w:p w14:paraId="6321C8A8" w14:textId="77777777" w:rsidR="006868B3" w:rsidRPr="006868B3" w:rsidRDefault="006868B3" w:rsidP="006868B3">
            <w:pPr>
              <w:spacing w:before="0" w:after="0"/>
              <w:jc w:val="right"/>
              <w:rPr>
                <w:rFonts w:ascii="Arial" w:hAnsi="Arial"/>
                <w:sz w:val="16"/>
                <w:szCs w:val="16"/>
                <w:lang w:val="en-AU"/>
              </w:rPr>
            </w:pPr>
            <w:r w:rsidRPr="006868B3">
              <w:rPr>
                <w:rFonts w:ascii="Arial" w:hAnsi="Arial"/>
                <w:sz w:val="16"/>
                <w:szCs w:val="16"/>
                <w:lang w:val="en-AU"/>
              </w:rPr>
              <w:t>78.3</w:t>
            </w:r>
          </w:p>
        </w:tc>
        <w:tc>
          <w:tcPr>
            <w:tcW w:w="1168" w:type="dxa"/>
            <w:tcBorders>
              <w:top w:val="nil"/>
              <w:left w:val="nil"/>
              <w:bottom w:val="nil"/>
              <w:right w:val="nil"/>
            </w:tcBorders>
            <w:shd w:val="clear" w:color="auto" w:fill="auto"/>
            <w:noWrap/>
            <w:vAlign w:val="center"/>
          </w:tcPr>
          <w:p w14:paraId="221BB6D1" w14:textId="77777777" w:rsidR="006868B3" w:rsidRPr="006868B3" w:rsidRDefault="006868B3" w:rsidP="006868B3">
            <w:pPr>
              <w:spacing w:before="0" w:after="0"/>
              <w:jc w:val="right"/>
              <w:rPr>
                <w:rFonts w:ascii="Arial" w:hAnsi="Arial"/>
                <w:sz w:val="16"/>
                <w:szCs w:val="16"/>
                <w:lang w:val="en-AU"/>
              </w:rPr>
            </w:pPr>
            <w:r w:rsidRPr="006868B3">
              <w:rPr>
                <w:rFonts w:ascii="Arial" w:hAnsi="Arial"/>
                <w:sz w:val="16"/>
                <w:szCs w:val="16"/>
                <w:lang w:val="en-AU"/>
              </w:rPr>
              <w:t>-</w:t>
            </w:r>
          </w:p>
        </w:tc>
      </w:tr>
      <w:tr w:rsidR="006868B3" w:rsidRPr="00BA1388" w14:paraId="6C29F08C" w14:textId="77777777" w:rsidTr="002311DD">
        <w:trPr>
          <w:trHeight w:val="210"/>
        </w:trPr>
        <w:tc>
          <w:tcPr>
            <w:tcW w:w="3118" w:type="dxa"/>
            <w:tcBorders>
              <w:top w:val="nil"/>
              <w:left w:val="nil"/>
              <w:bottom w:val="nil"/>
              <w:right w:val="nil"/>
            </w:tcBorders>
            <w:shd w:val="clear" w:color="FFFFFF" w:fill="auto"/>
            <w:vAlign w:val="center"/>
            <w:hideMark/>
          </w:tcPr>
          <w:p w14:paraId="0A345561" w14:textId="77777777" w:rsidR="006868B3" w:rsidRPr="006868B3" w:rsidRDefault="006868B3" w:rsidP="006868B3">
            <w:pPr>
              <w:spacing w:before="0" w:after="0"/>
              <w:ind w:left="113"/>
              <w:rPr>
                <w:rFonts w:ascii="Arial" w:hAnsi="Arial"/>
                <w:sz w:val="16"/>
                <w:szCs w:val="16"/>
                <w:lang w:val="en-AU"/>
              </w:rPr>
            </w:pPr>
            <w:r w:rsidRPr="006868B3">
              <w:rPr>
                <w:rFonts w:ascii="Arial" w:hAnsi="Arial"/>
                <w:sz w:val="16"/>
                <w:szCs w:val="16"/>
                <w:lang w:val="en-AU"/>
              </w:rPr>
              <w:t>Kokoda Barracks</w:t>
            </w:r>
          </w:p>
        </w:tc>
        <w:tc>
          <w:tcPr>
            <w:tcW w:w="1757" w:type="dxa"/>
            <w:tcBorders>
              <w:top w:val="nil"/>
              <w:left w:val="nil"/>
              <w:bottom w:val="nil"/>
              <w:right w:val="nil"/>
            </w:tcBorders>
            <w:shd w:val="clear" w:color="FFFFFF" w:fill="auto"/>
            <w:vAlign w:val="center"/>
            <w:hideMark/>
          </w:tcPr>
          <w:p w14:paraId="14BC1374" w14:textId="77777777" w:rsidR="006868B3" w:rsidRPr="006868B3" w:rsidRDefault="006868B3" w:rsidP="006868B3">
            <w:pPr>
              <w:spacing w:before="0" w:after="0"/>
              <w:jc w:val="right"/>
              <w:rPr>
                <w:rFonts w:ascii="Arial" w:hAnsi="Arial"/>
                <w:sz w:val="16"/>
                <w:szCs w:val="16"/>
                <w:lang w:val="en-AU"/>
              </w:rPr>
            </w:pPr>
            <w:r w:rsidRPr="006868B3">
              <w:rPr>
                <w:rFonts w:ascii="Arial" w:hAnsi="Arial"/>
                <w:sz w:val="16"/>
                <w:szCs w:val="16"/>
                <w:lang w:val="en-AU"/>
              </w:rPr>
              <w:t>QLD - Wright</w:t>
            </w:r>
          </w:p>
        </w:tc>
        <w:tc>
          <w:tcPr>
            <w:tcW w:w="1199" w:type="dxa"/>
            <w:gridSpan w:val="2"/>
            <w:tcBorders>
              <w:top w:val="nil"/>
              <w:left w:val="nil"/>
              <w:bottom w:val="nil"/>
              <w:right w:val="nil"/>
            </w:tcBorders>
            <w:shd w:val="clear" w:color="FFFFFF" w:fill="auto"/>
            <w:noWrap/>
            <w:vAlign w:val="center"/>
          </w:tcPr>
          <w:p w14:paraId="0E42F8E0" w14:textId="77777777" w:rsidR="006868B3" w:rsidRPr="006868B3" w:rsidRDefault="006868B3" w:rsidP="006868B3">
            <w:pPr>
              <w:spacing w:before="0" w:after="0"/>
              <w:jc w:val="right"/>
              <w:rPr>
                <w:rFonts w:ascii="Arial" w:hAnsi="Arial"/>
                <w:sz w:val="16"/>
                <w:szCs w:val="16"/>
                <w:lang w:val="en-AU"/>
              </w:rPr>
            </w:pPr>
          </w:p>
        </w:tc>
        <w:tc>
          <w:tcPr>
            <w:tcW w:w="1405" w:type="dxa"/>
            <w:tcBorders>
              <w:top w:val="nil"/>
              <w:left w:val="nil"/>
              <w:bottom w:val="nil"/>
              <w:right w:val="nil"/>
            </w:tcBorders>
            <w:shd w:val="clear" w:color="auto" w:fill="auto"/>
            <w:noWrap/>
            <w:vAlign w:val="center"/>
          </w:tcPr>
          <w:p w14:paraId="3A52518A" w14:textId="77777777" w:rsidR="006868B3" w:rsidRPr="006868B3" w:rsidRDefault="006868B3" w:rsidP="006868B3">
            <w:pPr>
              <w:spacing w:before="0" w:after="0"/>
              <w:jc w:val="right"/>
              <w:rPr>
                <w:rFonts w:ascii="Arial" w:hAnsi="Arial"/>
                <w:sz w:val="16"/>
                <w:szCs w:val="16"/>
                <w:lang w:val="en-AU"/>
              </w:rPr>
            </w:pPr>
            <w:r w:rsidRPr="006868B3">
              <w:rPr>
                <w:rFonts w:ascii="Arial" w:hAnsi="Arial"/>
                <w:sz w:val="16"/>
                <w:szCs w:val="16"/>
                <w:lang w:val="en-AU"/>
              </w:rPr>
              <w:t>71.8</w:t>
            </w:r>
          </w:p>
        </w:tc>
        <w:tc>
          <w:tcPr>
            <w:tcW w:w="1168" w:type="dxa"/>
            <w:tcBorders>
              <w:top w:val="nil"/>
              <w:left w:val="nil"/>
              <w:bottom w:val="nil"/>
              <w:right w:val="nil"/>
            </w:tcBorders>
            <w:shd w:val="clear" w:color="auto" w:fill="auto"/>
            <w:noWrap/>
            <w:vAlign w:val="center"/>
          </w:tcPr>
          <w:p w14:paraId="030EDC66" w14:textId="77777777" w:rsidR="006868B3" w:rsidRPr="006868B3" w:rsidRDefault="006868B3" w:rsidP="006868B3">
            <w:pPr>
              <w:spacing w:before="0" w:after="0"/>
              <w:jc w:val="right"/>
              <w:rPr>
                <w:rFonts w:ascii="Arial" w:hAnsi="Arial"/>
                <w:sz w:val="16"/>
                <w:szCs w:val="16"/>
                <w:lang w:val="en-AU"/>
              </w:rPr>
            </w:pPr>
            <w:r w:rsidRPr="006868B3">
              <w:rPr>
                <w:rFonts w:ascii="Arial" w:hAnsi="Arial"/>
                <w:sz w:val="16"/>
                <w:szCs w:val="16"/>
                <w:lang w:val="en-AU"/>
              </w:rPr>
              <w:t>-</w:t>
            </w:r>
          </w:p>
        </w:tc>
      </w:tr>
      <w:tr w:rsidR="006868B3" w:rsidRPr="00BA1388" w14:paraId="389CA81E" w14:textId="77777777" w:rsidTr="002311DD">
        <w:trPr>
          <w:trHeight w:val="210"/>
        </w:trPr>
        <w:tc>
          <w:tcPr>
            <w:tcW w:w="3118" w:type="dxa"/>
            <w:tcBorders>
              <w:top w:val="nil"/>
              <w:left w:val="nil"/>
              <w:bottom w:val="nil"/>
              <w:right w:val="nil"/>
            </w:tcBorders>
            <w:shd w:val="clear" w:color="FFFFFF" w:fill="auto"/>
            <w:vAlign w:val="center"/>
            <w:hideMark/>
          </w:tcPr>
          <w:p w14:paraId="1FFE0D3F" w14:textId="77777777" w:rsidR="006868B3" w:rsidRPr="006868B3" w:rsidRDefault="006868B3" w:rsidP="006868B3">
            <w:pPr>
              <w:spacing w:before="0" w:after="0"/>
              <w:ind w:left="113"/>
              <w:rPr>
                <w:rFonts w:ascii="Arial" w:hAnsi="Arial"/>
                <w:sz w:val="16"/>
                <w:szCs w:val="16"/>
                <w:lang w:val="en-AU"/>
              </w:rPr>
            </w:pPr>
            <w:r w:rsidRPr="006868B3">
              <w:rPr>
                <w:rFonts w:ascii="Arial" w:hAnsi="Arial"/>
                <w:sz w:val="16"/>
                <w:szCs w:val="16"/>
                <w:lang w:val="en-AU"/>
              </w:rPr>
              <w:t>Cultana Training Area</w:t>
            </w:r>
          </w:p>
        </w:tc>
        <w:tc>
          <w:tcPr>
            <w:tcW w:w="1757" w:type="dxa"/>
            <w:tcBorders>
              <w:top w:val="nil"/>
              <w:left w:val="nil"/>
              <w:bottom w:val="nil"/>
              <w:right w:val="nil"/>
            </w:tcBorders>
            <w:shd w:val="clear" w:color="FFFFFF" w:fill="auto"/>
            <w:vAlign w:val="center"/>
            <w:hideMark/>
          </w:tcPr>
          <w:p w14:paraId="704EE0F5" w14:textId="77777777" w:rsidR="006868B3" w:rsidRPr="006868B3" w:rsidRDefault="006868B3" w:rsidP="006868B3">
            <w:pPr>
              <w:spacing w:before="0" w:after="0"/>
              <w:jc w:val="right"/>
              <w:rPr>
                <w:rFonts w:ascii="Arial" w:hAnsi="Arial"/>
                <w:sz w:val="16"/>
                <w:szCs w:val="16"/>
                <w:lang w:val="en-AU"/>
              </w:rPr>
            </w:pPr>
            <w:r w:rsidRPr="006868B3">
              <w:rPr>
                <w:rFonts w:ascii="Arial" w:hAnsi="Arial"/>
                <w:sz w:val="16"/>
                <w:szCs w:val="16"/>
                <w:lang w:val="en-AU"/>
              </w:rPr>
              <w:t>SA - Grey</w:t>
            </w:r>
          </w:p>
        </w:tc>
        <w:tc>
          <w:tcPr>
            <w:tcW w:w="1199" w:type="dxa"/>
            <w:gridSpan w:val="2"/>
            <w:tcBorders>
              <w:top w:val="nil"/>
              <w:left w:val="nil"/>
              <w:bottom w:val="nil"/>
              <w:right w:val="nil"/>
            </w:tcBorders>
            <w:shd w:val="clear" w:color="FFFFFF" w:fill="auto"/>
            <w:noWrap/>
            <w:vAlign w:val="center"/>
          </w:tcPr>
          <w:p w14:paraId="1D190440" w14:textId="77777777" w:rsidR="006868B3" w:rsidRPr="006868B3" w:rsidRDefault="006868B3" w:rsidP="006868B3">
            <w:pPr>
              <w:spacing w:before="0" w:after="0"/>
              <w:jc w:val="right"/>
              <w:rPr>
                <w:rFonts w:ascii="Arial" w:hAnsi="Arial"/>
                <w:sz w:val="16"/>
                <w:szCs w:val="16"/>
                <w:lang w:val="en-AU"/>
              </w:rPr>
            </w:pPr>
          </w:p>
        </w:tc>
        <w:tc>
          <w:tcPr>
            <w:tcW w:w="1405" w:type="dxa"/>
            <w:tcBorders>
              <w:top w:val="nil"/>
              <w:left w:val="nil"/>
              <w:bottom w:val="nil"/>
              <w:right w:val="nil"/>
            </w:tcBorders>
            <w:shd w:val="clear" w:color="auto" w:fill="auto"/>
            <w:noWrap/>
            <w:vAlign w:val="center"/>
          </w:tcPr>
          <w:p w14:paraId="63C4DECB" w14:textId="77777777" w:rsidR="006868B3" w:rsidRPr="006868B3" w:rsidRDefault="006868B3" w:rsidP="006868B3">
            <w:pPr>
              <w:spacing w:before="0" w:after="0"/>
              <w:jc w:val="right"/>
              <w:rPr>
                <w:rFonts w:ascii="Arial" w:hAnsi="Arial"/>
                <w:sz w:val="16"/>
                <w:szCs w:val="16"/>
                <w:lang w:val="en-AU"/>
              </w:rPr>
            </w:pPr>
            <w:r>
              <w:rPr>
                <w:rFonts w:ascii="Arial" w:hAnsi="Arial"/>
                <w:sz w:val="16"/>
                <w:szCs w:val="16"/>
                <w:lang w:val="en-AU"/>
              </w:rPr>
              <w:t>70.0</w:t>
            </w:r>
          </w:p>
        </w:tc>
        <w:tc>
          <w:tcPr>
            <w:tcW w:w="1168" w:type="dxa"/>
            <w:tcBorders>
              <w:top w:val="nil"/>
              <w:left w:val="nil"/>
              <w:bottom w:val="nil"/>
              <w:right w:val="nil"/>
            </w:tcBorders>
            <w:shd w:val="clear" w:color="auto" w:fill="auto"/>
            <w:noWrap/>
            <w:vAlign w:val="center"/>
          </w:tcPr>
          <w:p w14:paraId="12A3FFE5" w14:textId="77777777" w:rsidR="006868B3" w:rsidRPr="006868B3" w:rsidRDefault="006868B3" w:rsidP="006868B3">
            <w:pPr>
              <w:spacing w:before="0" w:after="0"/>
              <w:ind w:firstLineChars="100" w:firstLine="160"/>
              <w:jc w:val="right"/>
              <w:outlineLvl w:val="0"/>
              <w:rPr>
                <w:rFonts w:ascii="Arial" w:hAnsi="Arial"/>
                <w:sz w:val="16"/>
                <w:szCs w:val="16"/>
                <w:lang w:val="en-AU"/>
              </w:rPr>
            </w:pPr>
            <w:r>
              <w:rPr>
                <w:rFonts w:ascii="Arial" w:hAnsi="Arial"/>
                <w:sz w:val="16"/>
                <w:szCs w:val="16"/>
                <w:lang w:val="en-AU"/>
              </w:rPr>
              <w:t>10.8</w:t>
            </w:r>
          </w:p>
        </w:tc>
      </w:tr>
      <w:tr w:rsidR="006868B3" w:rsidRPr="00BA1388" w14:paraId="2F4092F7" w14:textId="77777777" w:rsidTr="002311DD">
        <w:trPr>
          <w:trHeight w:val="210"/>
        </w:trPr>
        <w:tc>
          <w:tcPr>
            <w:tcW w:w="3118" w:type="dxa"/>
            <w:tcBorders>
              <w:top w:val="nil"/>
              <w:left w:val="nil"/>
              <w:bottom w:val="nil"/>
              <w:right w:val="nil"/>
            </w:tcBorders>
            <w:shd w:val="clear" w:color="FFFFFF" w:fill="auto"/>
            <w:vAlign w:val="center"/>
            <w:hideMark/>
          </w:tcPr>
          <w:p w14:paraId="6CEA5C04" w14:textId="77777777" w:rsidR="006868B3" w:rsidRPr="006868B3" w:rsidRDefault="006868B3" w:rsidP="006868B3">
            <w:pPr>
              <w:spacing w:before="0" w:after="0"/>
              <w:ind w:left="113"/>
              <w:rPr>
                <w:rFonts w:ascii="Arial" w:hAnsi="Arial"/>
                <w:sz w:val="16"/>
                <w:szCs w:val="16"/>
                <w:lang w:val="en-AU"/>
              </w:rPr>
            </w:pPr>
            <w:r w:rsidRPr="006868B3">
              <w:rPr>
                <w:rFonts w:ascii="Arial" w:hAnsi="Arial"/>
                <w:sz w:val="16"/>
                <w:szCs w:val="16"/>
                <w:lang w:val="en-AU"/>
              </w:rPr>
              <w:t>RAAF Edinburgh</w:t>
            </w:r>
          </w:p>
        </w:tc>
        <w:tc>
          <w:tcPr>
            <w:tcW w:w="1757" w:type="dxa"/>
            <w:tcBorders>
              <w:top w:val="nil"/>
              <w:left w:val="nil"/>
              <w:bottom w:val="nil"/>
              <w:right w:val="nil"/>
            </w:tcBorders>
            <w:shd w:val="clear" w:color="FFFFFF" w:fill="auto"/>
            <w:vAlign w:val="center"/>
            <w:hideMark/>
          </w:tcPr>
          <w:p w14:paraId="75D8EC7A" w14:textId="77777777" w:rsidR="006868B3" w:rsidRPr="006868B3" w:rsidRDefault="006868B3" w:rsidP="006868B3">
            <w:pPr>
              <w:spacing w:before="0" w:after="0"/>
              <w:jc w:val="right"/>
              <w:rPr>
                <w:rFonts w:ascii="Arial" w:hAnsi="Arial"/>
                <w:sz w:val="16"/>
                <w:szCs w:val="16"/>
                <w:lang w:val="en-AU"/>
              </w:rPr>
            </w:pPr>
            <w:r w:rsidRPr="006868B3">
              <w:rPr>
                <w:rFonts w:ascii="Arial" w:hAnsi="Arial"/>
                <w:sz w:val="16"/>
                <w:szCs w:val="16"/>
                <w:lang w:val="en-AU"/>
              </w:rPr>
              <w:t>SA - Spence</w:t>
            </w:r>
          </w:p>
        </w:tc>
        <w:tc>
          <w:tcPr>
            <w:tcW w:w="1199" w:type="dxa"/>
            <w:gridSpan w:val="2"/>
            <w:tcBorders>
              <w:top w:val="nil"/>
              <w:left w:val="nil"/>
              <w:bottom w:val="nil"/>
              <w:right w:val="nil"/>
            </w:tcBorders>
            <w:shd w:val="clear" w:color="FFFFFF" w:fill="auto"/>
            <w:noWrap/>
            <w:vAlign w:val="center"/>
          </w:tcPr>
          <w:p w14:paraId="1DF4FB3C" w14:textId="77777777" w:rsidR="006868B3" w:rsidRPr="006868B3" w:rsidRDefault="006868B3" w:rsidP="006868B3">
            <w:pPr>
              <w:spacing w:before="0" w:after="0"/>
              <w:jc w:val="right"/>
              <w:rPr>
                <w:rFonts w:ascii="Arial" w:hAnsi="Arial"/>
                <w:sz w:val="16"/>
                <w:szCs w:val="16"/>
                <w:lang w:val="en-AU"/>
              </w:rPr>
            </w:pPr>
          </w:p>
        </w:tc>
        <w:tc>
          <w:tcPr>
            <w:tcW w:w="1405" w:type="dxa"/>
            <w:tcBorders>
              <w:top w:val="nil"/>
              <w:left w:val="nil"/>
              <w:bottom w:val="nil"/>
              <w:right w:val="nil"/>
            </w:tcBorders>
            <w:shd w:val="clear" w:color="auto" w:fill="auto"/>
            <w:noWrap/>
            <w:vAlign w:val="center"/>
          </w:tcPr>
          <w:p w14:paraId="5A56EA76" w14:textId="77777777" w:rsidR="006868B3" w:rsidRPr="006868B3" w:rsidRDefault="006868B3" w:rsidP="006868B3">
            <w:pPr>
              <w:spacing w:before="0" w:after="0"/>
              <w:jc w:val="right"/>
              <w:rPr>
                <w:rFonts w:ascii="Arial" w:hAnsi="Arial"/>
                <w:sz w:val="16"/>
                <w:szCs w:val="16"/>
                <w:lang w:val="en-AU"/>
              </w:rPr>
            </w:pPr>
            <w:r w:rsidRPr="006868B3">
              <w:rPr>
                <w:rFonts w:ascii="Arial" w:hAnsi="Arial"/>
                <w:sz w:val="16"/>
                <w:szCs w:val="16"/>
                <w:lang w:val="en-AU"/>
              </w:rPr>
              <w:t>34.7</w:t>
            </w:r>
          </w:p>
        </w:tc>
        <w:tc>
          <w:tcPr>
            <w:tcW w:w="1168" w:type="dxa"/>
            <w:tcBorders>
              <w:top w:val="nil"/>
              <w:left w:val="nil"/>
              <w:bottom w:val="nil"/>
              <w:right w:val="nil"/>
            </w:tcBorders>
            <w:shd w:val="clear" w:color="auto" w:fill="auto"/>
            <w:noWrap/>
            <w:vAlign w:val="center"/>
          </w:tcPr>
          <w:p w14:paraId="536D9D83" w14:textId="77777777" w:rsidR="006868B3" w:rsidRPr="006868B3" w:rsidRDefault="006868B3" w:rsidP="006868B3">
            <w:pPr>
              <w:spacing w:before="0" w:after="0"/>
              <w:jc w:val="right"/>
              <w:rPr>
                <w:rFonts w:ascii="Arial" w:hAnsi="Arial"/>
                <w:sz w:val="16"/>
                <w:szCs w:val="16"/>
                <w:lang w:val="en-AU"/>
              </w:rPr>
            </w:pPr>
            <w:r w:rsidRPr="006868B3">
              <w:rPr>
                <w:rFonts w:ascii="Arial" w:hAnsi="Arial"/>
                <w:sz w:val="16"/>
                <w:szCs w:val="16"/>
                <w:lang w:val="en-AU"/>
              </w:rPr>
              <w:t>-</w:t>
            </w:r>
          </w:p>
        </w:tc>
      </w:tr>
      <w:tr w:rsidR="006868B3" w:rsidRPr="00BA1388" w14:paraId="6F9BD4D2" w14:textId="77777777" w:rsidTr="002311DD">
        <w:trPr>
          <w:trHeight w:val="210"/>
        </w:trPr>
        <w:tc>
          <w:tcPr>
            <w:tcW w:w="3118" w:type="dxa"/>
            <w:tcBorders>
              <w:top w:val="nil"/>
              <w:left w:val="nil"/>
              <w:bottom w:val="nil"/>
              <w:right w:val="nil"/>
            </w:tcBorders>
            <w:shd w:val="clear" w:color="FFFFFF" w:fill="auto"/>
            <w:vAlign w:val="center"/>
            <w:hideMark/>
          </w:tcPr>
          <w:p w14:paraId="5B52E88B" w14:textId="77777777" w:rsidR="006868B3" w:rsidRPr="006868B3" w:rsidRDefault="006868B3" w:rsidP="006868B3">
            <w:pPr>
              <w:spacing w:before="0" w:after="0"/>
              <w:ind w:left="113"/>
              <w:rPr>
                <w:rFonts w:ascii="Arial" w:hAnsi="Arial"/>
                <w:sz w:val="16"/>
                <w:szCs w:val="16"/>
                <w:lang w:val="en-AU"/>
              </w:rPr>
            </w:pPr>
            <w:r w:rsidRPr="006868B3">
              <w:rPr>
                <w:rFonts w:ascii="Arial" w:hAnsi="Arial"/>
                <w:sz w:val="16"/>
                <w:szCs w:val="16"/>
                <w:lang w:val="en-AU"/>
              </w:rPr>
              <w:t>Majura Field Training Area</w:t>
            </w:r>
          </w:p>
        </w:tc>
        <w:tc>
          <w:tcPr>
            <w:tcW w:w="1757" w:type="dxa"/>
            <w:tcBorders>
              <w:top w:val="nil"/>
              <w:left w:val="nil"/>
              <w:bottom w:val="nil"/>
              <w:right w:val="nil"/>
            </w:tcBorders>
            <w:shd w:val="clear" w:color="FFFFFF" w:fill="auto"/>
            <w:vAlign w:val="center"/>
            <w:hideMark/>
          </w:tcPr>
          <w:p w14:paraId="16AFFC08" w14:textId="77777777" w:rsidR="006868B3" w:rsidRPr="006868B3" w:rsidRDefault="006868B3" w:rsidP="006868B3">
            <w:pPr>
              <w:spacing w:before="0" w:after="0"/>
              <w:jc w:val="right"/>
              <w:rPr>
                <w:rFonts w:ascii="Arial" w:hAnsi="Arial"/>
                <w:sz w:val="16"/>
                <w:szCs w:val="16"/>
                <w:lang w:val="en-AU"/>
              </w:rPr>
            </w:pPr>
            <w:r w:rsidRPr="006868B3">
              <w:rPr>
                <w:rFonts w:ascii="Arial" w:hAnsi="Arial"/>
                <w:sz w:val="16"/>
                <w:szCs w:val="16"/>
                <w:lang w:val="en-AU"/>
              </w:rPr>
              <w:t>ACT - Canberra</w:t>
            </w:r>
          </w:p>
        </w:tc>
        <w:tc>
          <w:tcPr>
            <w:tcW w:w="1199" w:type="dxa"/>
            <w:gridSpan w:val="2"/>
            <w:tcBorders>
              <w:top w:val="nil"/>
              <w:left w:val="nil"/>
              <w:bottom w:val="nil"/>
              <w:right w:val="nil"/>
            </w:tcBorders>
            <w:shd w:val="clear" w:color="FFFFFF" w:fill="auto"/>
            <w:noWrap/>
            <w:vAlign w:val="center"/>
          </w:tcPr>
          <w:p w14:paraId="78648915" w14:textId="77777777" w:rsidR="006868B3" w:rsidRPr="006868B3" w:rsidRDefault="006868B3" w:rsidP="006868B3">
            <w:pPr>
              <w:spacing w:before="0" w:after="0"/>
              <w:jc w:val="right"/>
              <w:rPr>
                <w:rFonts w:ascii="Arial" w:hAnsi="Arial"/>
                <w:sz w:val="16"/>
                <w:szCs w:val="16"/>
                <w:lang w:val="en-AU"/>
              </w:rPr>
            </w:pPr>
          </w:p>
        </w:tc>
        <w:tc>
          <w:tcPr>
            <w:tcW w:w="1405" w:type="dxa"/>
            <w:tcBorders>
              <w:top w:val="nil"/>
              <w:left w:val="nil"/>
              <w:bottom w:val="nil"/>
              <w:right w:val="nil"/>
            </w:tcBorders>
            <w:shd w:val="clear" w:color="auto" w:fill="auto"/>
            <w:noWrap/>
            <w:vAlign w:val="center"/>
          </w:tcPr>
          <w:p w14:paraId="43EBE416" w14:textId="77777777" w:rsidR="006868B3" w:rsidRPr="006868B3" w:rsidRDefault="006868B3" w:rsidP="006868B3">
            <w:pPr>
              <w:spacing w:before="0" w:after="0"/>
              <w:jc w:val="right"/>
              <w:rPr>
                <w:rFonts w:ascii="Arial" w:hAnsi="Arial"/>
                <w:sz w:val="16"/>
                <w:szCs w:val="16"/>
                <w:lang w:val="en-AU"/>
              </w:rPr>
            </w:pPr>
            <w:r w:rsidRPr="006868B3">
              <w:rPr>
                <w:rFonts w:ascii="Arial" w:hAnsi="Arial"/>
                <w:sz w:val="16"/>
                <w:szCs w:val="16"/>
                <w:lang w:val="en-AU"/>
              </w:rPr>
              <w:t>13.4</w:t>
            </w:r>
          </w:p>
        </w:tc>
        <w:tc>
          <w:tcPr>
            <w:tcW w:w="1168" w:type="dxa"/>
            <w:tcBorders>
              <w:top w:val="nil"/>
              <w:left w:val="nil"/>
              <w:bottom w:val="nil"/>
              <w:right w:val="nil"/>
            </w:tcBorders>
            <w:shd w:val="clear" w:color="auto" w:fill="auto"/>
            <w:noWrap/>
            <w:vAlign w:val="center"/>
          </w:tcPr>
          <w:p w14:paraId="4B9A0AC4" w14:textId="77777777" w:rsidR="006868B3" w:rsidRPr="006868B3" w:rsidRDefault="006868B3" w:rsidP="006868B3">
            <w:pPr>
              <w:spacing w:before="0" w:after="0"/>
              <w:jc w:val="right"/>
              <w:rPr>
                <w:rFonts w:ascii="Arial" w:hAnsi="Arial"/>
                <w:sz w:val="16"/>
                <w:szCs w:val="16"/>
                <w:lang w:val="en-AU"/>
              </w:rPr>
            </w:pPr>
            <w:r w:rsidRPr="006868B3">
              <w:rPr>
                <w:rFonts w:ascii="Arial" w:hAnsi="Arial"/>
                <w:sz w:val="16"/>
                <w:szCs w:val="16"/>
                <w:lang w:val="en-AU"/>
              </w:rPr>
              <w:t>-</w:t>
            </w:r>
          </w:p>
        </w:tc>
      </w:tr>
      <w:tr w:rsidR="006868B3" w:rsidRPr="00BA1388" w14:paraId="402EBAA7" w14:textId="77777777" w:rsidTr="002311DD">
        <w:trPr>
          <w:trHeight w:val="210"/>
        </w:trPr>
        <w:tc>
          <w:tcPr>
            <w:tcW w:w="3118" w:type="dxa"/>
            <w:tcBorders>
              <w:top w:val="nil"/>
              <w:left w:val="nil"/>
              <w:bottom w:val="nil"/>
              <w:right w:val="nil"/>
            </w:tcBorders>
            <w:shd w:val="clear" w:color="FFFFFF" w:fill="auto"/>
            <w:vAlign w:val="center"/>
          </w:tcPr>
          <w:p w14:paraId="48407167" w14:textId="77777777" w:rsidR="006868B3" w:rsidRPr="006868B3" w:rsidRDefault="006868B3" w:rsidP="006868B3">
            <w:pPr>
              <w:spacing w:before="0" w:after="0"/>
              <w:ind w:left="113"/>
              <w:rPr>
                <w:rFonts w:ascii="Arial" w:hAnsi="Arial"/>
                <w:sz w:val="16"/>
                <w:szCs w:val="16"/>
                <w:lang w:val="en-AU"/>
              </w:rPr>
            </w:pPr>
            <w:r w:rsidRPr="006868B3">
              <w:rPr>
                <w:rFonts w:ascii="Arial" w:hAnsi="Arial"/>
                <w:sz w:val="16"/>
                <w:szCs w:val="16"/>
                <w:lang w:val="en-AU"/>
              </w:rPr>
              <w:t>Royal Military College Canberra</w:t>
            </w:r>
          </w:p>
        </w:tc>
        <w:tc>
          <w:tcPr>
            <w:tcW w:w="1757" w:type="dxa"/>
            <w:tcBorders>
              <w:top w:val="nil"/>
              <w:left w:val="nil"/>
              <w:bottom w:val="nil"/>
              <w:right w:val="nil"/>
            </w:tcBorders>
            <w:shd w:val="clear" w:color="FFFFFF" w:fill="auto"/>
            <w:vAlign w:val="center"/>
          </w:tcPr>
          <w:p w14:paraId="6B4B52A8" w14:textId="77777777" w:rsidR="006868B3" w:rsidRPr="006868B3" w:rsidRDefault="006868B3" w:rsidP="006868B3">
            <w:pPr>
              <w:spacing w:before="0" w:after="0"/>
              <w:jc w:val="right"/>
              <w:rPr>
                <w:rFonts w:ascii="Arial" w:hAnsi="Arial"/>
                <w:sz w:val="16"/>
                <w:szCs w:val="16"/>
                <w:lang w:val="en-AU"/>
              </w:rPr>
            </w:pPr>
            <w:r w:rsidRPr="006868B3">
              <w:rPr>
                <w:rFonts w:ascii="Arial" w:hAnsi="Arial"/>
                <w:sz w:val="16"/>
                <w:szCs w:val="16"/>
                <w:lang w:val="en-AU"/>
              </w:rPr>
              <w:t>ACT - Canberra</w:t>
            </w:r>
          </w:p>
        </w:tc>
        <w:tc>
          <w:tcPr>
            <w:tcW w:w="1199" w:type="dxa"/>
            <w:gridSpan w:val="2"/>
            <w:tcBorders>
              <w:top w:val="nil"/>
              <w:left w:val="nil"/>
              <w:bottom w:val="nil"/>
              <w:right w:val="nil"/>
            </w:tcBorders>
            <w:shd w:val="clear" w:color="FFFFFF" w:fill="auto"/>
            <w:noWrap/>
            <w:vAlign w:val="center"/>
          </w:tcPr>
          <w:p w14:paraId="43AEF9DB" w14:textId="77777777" w:rsidR="006868B3" w:rsidRPr="006868B3" w:rsidRDefault="006868B3" w:rsidP="006868B3">
            <w:pPr>
              <w:spacing w:before="0" w:after="0"/>
              <w:jc w:val="right"/>
              <w:rPr>
                <w:rFonts w:ascii="Arial" w:hAnsi="Arial"/>
                <w:sz w:val="16"/>
                <w:szCs w:val="16"/>
                <w:lang w:val="en-AU"/>
              </w:rPr>
            </w:pPr>
          </w:p>
        </w:tc>
        <w:tc>
          <w:tcPr>
            <w:tcW w:w="1405" w:type="dxa"/>
            <w:tcBorders>
              <w:top w:val="nil"/>
              <w:left w:val="nil"/>
              <w:bottom w:val="nil"/>
              <w:right w:val="nil"/>
            </w:tcBorders>
            <w:shd w:val="clear" w:color="auto" w:fill="auto"/>
            <w:noWrap/>
            <w:vAlign w:val="center"/>
          </w:tcPr>
          <w:p w14:paraId="2AB42618" w14:textId="77777777" w:rsidR="006868B3" w:rsidRPr="006868B3" w:rsidRDefault="006868B3" w:rsidP="006868B3">
            <w:pPr>
              <w:spacing w:before="0" w:after="0"/>
              <w:jc w:val="right"/>
              <w:rPr>
                <w:rFonts w:ascii="Arial" w:hAnsi="Arial"/>
                <w:sz w:val="16"/>
                <w:szCs w:val="16"/>
                <w:lang w:val="en-AU"/>
              </w:rPr>
            </w:pPr>
            <w:r w:rsidRPr="006868B3">
              <w:rPr>
                <w:rFonts w:ascii="Arial" w:hAnsi="Arial"/>
                <w:sz w:val="16"/>
                <w:szCs w:val="16"/>
                <w:lang w:val="en-AU"/>
              </w:rPr>
              <w:t>9.0</w:t>
            </w:r>
          </w:p>
        </w:tc>
        <w:tc>
          <w:tcPr>
            <w:tcW w:w="1168" w:type="dxa"/>
            <w:tcBorders>
              <w:top w:val="nil"/>
              <w:left w:val="nil"/>
              <w:bottom w:val="nil"/>
              <w:right w:val="nil"/>
            </w:tcBorders>
            <w:shd w:val="clear" w:color="auto" w:fill="auto"/>
            <w:noWrap/>
            <w:vAlign w:val="center"/>
          </w:tcPr>
          <w:p w14:paraId="5C2630E5" w14:textId="77777777" w:rsidR="006868B3" w:rsidRPr="006868B3" w:rsidRDefault="006868B3" w:rsidP="006868B3">
            <w:pPr>
              <w:spacing w:before="0" w:after="0"/>
              <w:jc w:val="right"/>
              <w:rPr>
                <w:rFonts w:ascii="Arial" w:hAnsi="Arial"/>
                <w:sz w:val="16"/>
                <w:szCs w:val="16"/>
                <w:lang w:val="en-AU"/>
              </w:rPr>
            </w:pPr>
            <w:r w:rsidRPr="006868B3">
              <w:rPr>
                <w:rFonts w:ascii="Arial" w:hAnsi="Arial"/>
                <w:sz w:val="16"/>
                <w:szCs w:val="16"/>
                <w:lang w:val="en-AU"/>
              </w:rPr>
              <w:t>-</w:t>
            </w:r>
          </w:p>
        </w:tc>
      </w:tr>
      <w:tr w:rsidR="006868B3" w:rsidRPr="00BA1388" w14:paraId="1DB36D36" w14:textId="77777777" w:rsidTr="002311DD">
        <w:trPr>
          <w:trHeight w:val="210"/>
        </w:trPr>
        <w:tc>
          <w:tcPr>
            <w:tcW w:w="3118" w:type="dxa"/>
            <w:tcBorders>
              <w:top w:val="nil"/>
              <w:left w:val="nil"/>
              <w:bottom w:val="nil"/>
              <w:right w:val="nil"/>
            </w:tcBorders>
            <w:shd w:val="clear" w:color="FFFFFF" w:fill="auto"/>
            <w:vAlign w:val="center"/>
          </w:tcPr>
          <w:p w14:paraId="5BBB5D00" w14:textId="77777777" w:rsidR="006868B3" w:rsidRPr="006868B3" w:rsidRDefault="006868B3" w:rsidP="006868B3">
            <w:pPr>
              <w:spacing w:before="0" w:after="0"/>
              <w:ind w:left="113"/>
              <w:rPr>
                <w:rFonts w:ascii="Arial" w:hAnsi="Arial"/>
                <w:sz w:val="16"/>
                <w:szCs w:val="16"/>
                <w:lang w:val="en-AU"/>
              </w:rPr>
            </w:pPr>
            <w:r w:rsidRPr="006868B3">
              <w:rPr>
                <w:rFonts w:ascii="Arial" w:hAnsi="Arial"/>
                <w:sz w:val="16"/>
                <w:szCs w:val="16"/>
                <w:lang w:val="en-AU"/>
              </w:rPr>
              <w:t>Mount Stuart</w:t>
            </w:r>
          </w:p>
        </w:tc>
        <w:tc>
          <w:tcPr>
            <w:tcW w:w="1757" w:type="dxa"/>
            <w:tcBorders>
              <w:top w:val="nil"/>
              <w:left w:val="nil"/>
              <w:bottom w:val="nil"/>
              <w:right w:val="nil"/>
            </w:tcBorders>
            <w:shd w:val="clear" w:color="FFFFFF" w:fill="auto"/>
            <w:vAlign w:val="center"/>
          </w:tcPr>
          <w:p w14:paraId="3DEBBC04" w14:textId="77777777" w:rsidR="006868B3" w:rsidRPr="006868B3" w:rsidRDefault="006868B3" w:rsidP="006868B3">
            <w:pPr>
              <w:spacing w:before="0" w:after="0"/>
              <w:jc w:val="right"/>
              <w:rPr>
                <w:rFonts w:ascii="Arial" w:hAnsi="Arial"/>
                <w:sz w:val="16"/>
                <w:szCs w:val="16"/>
                <w:lang w:val="en-AU"/>
              </w:rPr>
            </w:pPr>
            <w:r w:rsidRPr="006868B3">
              <w:rPr>
                <w:rFonts w:ascii="Arial" w:hAnsi="Arial"/>
                <w:sz w:val="16"/>
                <w:szCs w:val="16"/>
                <w:lang w:val="en-AU"/>
              </w:rPr>
              <w:t>QLD - Kennedy</w:t>
            </w:r>
          </w:p>
        </w:tc>
        <w:tc>
          <w:tcPr>
            <w:tcW w:w="1199" w:type="dxa"/>
            <w:gridSpan w:val="2"/>
            <w:tcBorders>
              <w:top w:val="nil"/>
              <w:left w:val="nil"/>
              <w:bottom w:val="nil"/>
              <w:right w:val="nil"/>
            </w:tcBorders>
            <w:shd w:val="clear" w:color="FFFFFF" w:fill="auto"/>
            <w:noWrap/>
            <w:vAlign w:val="center"/>
          </w:tcPr>
          <w:p w14:paraId="1798B854" w14:textId="77777777" w:rsidR="006868B3" w:rsidRPr="006868B3" w:rsidRDefault="006868B3" w:rsidP="006868B3">
            <w:pPr>
              <w:spacing w:before="0" w:after="0"/>
              <w:jc w:val="right"/>
              <w:rPr>
                <w:rFonts w:ascii="Arial" w:hAnsi="Arial"/>
                <w:sz w:val="16"/>
                <w:szCs w:val="16"/>
                <w:lang w:val="en-AU"/>
              </w:rPr>
            </w:pPr>
          </w:p>
        </w:tc>
        <w:tc>
          <w:tcPr>
            <w:tcW w:w="1405" w:type="dxa"/>
            <w:tcBorders>
              <w:top w:val="nil"/>
              <w:left w:val="nil"/>
              <w:bottom w:val="nil"/>
              <w:right w:val="nil"/>
            </w:tcBorders>
            <w:shd w:val="clear" w:color="auto" w:fill="auto"/>
            <w:noWrap/>
            <w:vAlign w:val="center"/>
          </w:tcPr>
          <w:p w14:paraId="58E41DF2" w14:textId="77777777" w:rsidR="006868B3" w:rsidRPr="006868B3" w:rsidRDefault="006868B3" w:rsidP="006868B3">
            <w:pPr>
              <w:spacing w:before="0" w:after="0"/>
              <w:jc w:val="right"/>
              <w:rPr>
                <w:rFonts w:ascii="Arial" w:hAnsi="Arial"/>
                <w:sz w:val="16"/>
                <w:szCs w:val="16"/>
                <w:lang w:val="en-AU"/>
              </w:rPr>
            </w:pPr>
            <w:r w:rsidRPr="006868B3">
              <w:rPr>
                <w:rFonts w:ascii="Arial" w:hAnsi="Arial"/>
                <w:sz w:val="16"/>
                <w:szCs w:val="16"/>
                <w:lang w:val="en-AU"/>
              </w:rPr>
              <w:t>4.1</w:t>
            </w:r>
          </w:p>
        </w:tc>
        <w:tc>
          <w:tcPr>
            <w:tcW w:w="1168" w:type="dxa"/>
            <w:tcBorders>
              <w:top w:val="nil"/>
              <w:left w:val="nil"/>
              <w:bottom w:val="nil"/>
              <w:right w:val="nil"/>
            </w:tcBorders>
            <w:shd w:val="clear" w:color="auto" w:fill="auto"/>
            <w:noWrap/>
            <w:vAlign w:val="center"/>
          </w:tcPr>
          <w:p w14:paraId="425DA5EE" w14:textId="77777777" w:rsidR="006868B3" w:rsidRPr="006868B3" w:rsidRDefault="006868B3" w:rsidP="006868B3">
            <w:pPr>
              <w:spacing w:before="0" w:after="0"/>
              <w:jc w:val="right"/>
              <w:rPr>
                <w:rFonts w:ascii="Arial" w:hAnsi="Arial"/>
                <w:sz w:val="16"/>
                <w:szCs w:val="16"/>
                <w:lang w:val="en-AU"/>
              </w:rPr>
            </w:pPr>
            <w:r w:rsidRPr="006868B3">
              <w:rPr>
                <w:rFonts w:ascii="Arial" w:hAnsi="Arial"/>
                <w:sz w:val="16"/>
                <w:szCs w:val="16"/>
                <w:lang w:val="en-AU"/>
              </w:rPr>
              <w:t>-</w:t>
            </w:r>
          </w:p>
        </w:tc>
      </w:tr>
      <w:tr w:rsidR="006868B3" w:rsidRPr="00BA1388" w14:paraId="41E7FC15" w14:textId="77777777" w:rsidTr="002311DD">
        <w:trPr>
          <w:trHeight w:val="210"/>
        </w:trPr>
        <w:tc>
          <w:tcPr>
            <w:tcW w:w="3118" w:type="dxa"/>
            <w:tcBorders>
              <w:top w:val="nil"/>
              <w:left w:val="nil"/>
              <w:bottom w:val="single" w:sz="4" w:space="0" w:color="auto"/>
              <w:right w:val="nil"/>
            </w:tcBorders>
            <w:shd w:val="clear" w:color="FFFFFF" w:fill="auto"/>
            <w:vAlign w:val="center"/>
            <w:hideMark/>
          </w:tcPr>
          <w:p w14:paraId="07716A9E" w14:textId="77777777" w:rsidR="006868B3" w:rsidRPr="006868B3" w:rsidRDefault="006868B3" w:rsidP="006868B3">
            <w:pPr>
              <w:spacing w:before="0" w:after="0"/>
              <w:rPr>
                <w:rFonts w:ascii="Arial" w:hAnsi="Arial"/>
                <w:b/>
                <w:bCs/>
                <w:sz w:val="16"/>
                <w:szCs w:val="16"/>
                <w:lang w:val="en-AU"/>
              </w:rPr>
            </w:pPr>
            <w:r w:rsidRPr="006868B3">
              <w:rPr>
                <w:rFonts w:ascii="Arial" w:hAnsi="Arial"/>
                <w:b/>
                <w:bCs/>
                <w:sz w:val="16"/>
                <w:szCs w:val="16"/>
                <w:lang w:val="en-AU"/>
              </w:rPr>
              <w:t>Total</w:t>
            </w:r>
          </w:p>
        </w:tc>
        <w:tc>
          <w:tcPr>
            <w:tcW w:w="1757" w:type="dxa"/>
            <w:tcBorders>
              <w:top w:val="nil"/>
              <w:left w:val="nil"/>
              <w:bottom w:val="single" w:sz="4" w:space="0" w:color="auto"/>
              <w:right w:val="nil"/>
            </w:tcBorders>
            <w:shd w:val="clear" w:color="FFFFFF" w:fill="auto"/>
            <w:noWrap/>
            <w:vAlign w:val="center"/>
            <w:hideMark/>
          </w:tcPr>
          <w:p w14:paraId="2513D324" w14:textId="77777777" w:rsidR="006868B3" w:rsidRPr="006868B3" w:rsidRDefault="006868B3" w:rsidP="006868B3">
            <w:pPr>
              <w:spacing w:before="0" w:after="0"/>
              <w:jc w:val="right"/>
              <w:rPr>
                <w:rFonts w:ascii="Arial" w:hAnsi="Arial"/>
                <w:b/>
                <w:bCs/>
                <w:sz w:val="16"/>
                <w:szCs w:val="16"/>
                <w:lang w:val="en-AU"/>
              </w:rPr>
            </w:pPr>
          </w:p>
        </w:tc>
        <w:tc>
          <w:tcPr>
            <w:tcW w:w="1199" w:type="dxa"/>
            <w:gridSpan w:val="2"/>
            <w:tcBorders>
              <w:top w:val="nil"/>
              <w:left w:val="nil"/>
              <w:bottom w:val="single" w:sz="4" w:space="0" w:color="auto"/>
              <w:right w:val="nil"/>
            </w:tcBorders>
            <w:shd w:val="clear" w:color="FFFFFF" w:fill="auto"/>
            <w:noWrap/>
            <w:vAlign w:val="center"/>
          </w:tcPr>
          <w:p w14:paraId="0497D836" w14:textId="77777777" w:rsidR="006868B3" w:rsidRPr="006868B3" w:rsidRDefault="006868B3" w:rsidP="006868B3">
            <w:pPr>
              <w:spacing w:before="0" w:after="0"/>
              <w:jc w:val="right"/>
              <w:rPr>
                <w:rFonts w:ascii="Arial" w:hAnsi="Arial"/>
                <w:b/>
                <w:bCs/>
                <w:sz w:val="16"/>
                <w:szCs w:val="16"/>
                <w:lang w:val="en-AU"/>
              </w:rPr>
            </w:pPr>
            <w:r w:rsidRPr="006868B3">
              <w:rPr>
                <w:rFonts w:ascii="Arial" w:hAnsi="Arial"/>
                <w:b/>
                <w:bCs/>
                <w:sz w:val="16"/>
                <w:szCs w:val="16"/>
                <w:lang w:val="en-AU"/>
              </w:rPr>
              <w:t>1,476.0</w:t>
            </w:r>
          </w:p>
        </w:tc>
        <w:tc>
          <w:tcPr>
            <w:tcW w:w="1405" w:type="dxa"/>
            <w:tcBorders>
              <w:top w:val="nil"/>
              <w:left w:val="nil"/>
              <w:bottom w:val="single" w:sz="4" w:space="0" w:color="auto"/>
              <w:right w:val="nil"/>
            </w:tcBorders>
            <w:shd w:val="clear" w:color="auto" w:fill="auto"/>
            <w:noWrap/>
            <w:vAlign w:val="center"/>
          </w:tcPr>
          <w:p w14:paraId="504E31B5" w14:textId="77777777" w:rsidR="006868B3" w:rsidRPr="006868B3" w:rsidRDefault="006868B3" w:rsidP="006868B3">
            <w:pPr>
              <w:spacing w:before="0" w:after="0"/>
              <w:jc w:val="right"/>
              <w:rPr>
                <w:rFonts w:ascii="Arial" w:hAnsi="Arial"/>
                <w:b/>
                <w:bCs/>
                <w:sz w:val="16"/>
                <w:szCs w:val="16"/>
                <w:lang w:val="en-AU"/>
              </w:rPr>
            </w:pPr>
            <w:r>
              <w:rPr>
                <w:rFonts w:ascii="Arial" w:hAnsi="Arial"/>
                <w:b/>
                <w:sz w:val="16"/>
                <w:szCs w:val="16"/>
                <w:lang w:val="en-AU"/>
              </w:rPr>
              <w:t>1,454.1</w:t>
            </w:r>
          </w:p>
        </w:tc>
        <w:tc>
          <w:tcPr>
            <w:tcW w:w="1168" w:type="dxa"/>
            <w:tcBorders>
              <w:top w:val="nil"/>
              <w:left w:val="nil"/>
              <w:bottom w:val="single" w:sz="4" w:space="0" w:color="auto"/>
              <w:right w:val="nil"/>
            </w:tcBorders>
            <w:shd w:val="clear" w:color="auto" w:fill="auto"/>
            <w:noWrap/>
            <w:vAlign w:val="center"/>
          </w:tcPr>
          <w:p w14:paraId="62D5DF64" w14:textId="77777777" w:rsidR="006868B3" w:rsidRPr="006868B3" w:rsidRDefault="006868B3" w:rsidP="006868B3">
            <w:pPr>
              <w:spacing w:before="0" w:after="0"/>
              <w:jc w:val="right"/>
              <w:rPr>
                <w:rFonts w:ascii="Arial" w:hAnsi="Arial"/>
                <w:b/>
                <w:bCs/>
                <w:sz w:val="16"/>
                <w:szCs w:val="16"/>
                <w:lang w:val="en-AU"/>
              </w:rPr>
            </w:pPr>
            <w:r>
              <w:rPr>
                <w:rFonts w:ascii="Arial" w:hAnsi="Arial"/>
                <w:b/>
                <w:sz w:val="16"/>
                <w:szCs w:val="16"/>
                <w:lang w:val="en-AU"/>
              </w:rPr>
              <w:t>10.8</w:t>
            </w:r>
          </w:p>
        </w:tc>
      </w:tr>
    </w:tbl>
    <w:p w14:paraId="64BA1D81" w14:textId="77777777" w:rsidR="002311DD" w:rsidRDefault="002311DD">
      <w:r>
        <w:br w:type="page"/>
      </w:r>
    </w:p>
    <w:tbl>
      <w:tblPr>
        <w:tblW w:w="8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790"/>
        <w:gridCol w:w="1191"/>
        <w:gridCol w:w="1413"/>
        <w:gridCol w:w="1195"/>
      </w:tblGrid>
      <w:tr w:rsidR="00174BDD" w:rsidRPr="00DC43FF" w14:paraId="6FA2E077" w14:textId="77777777" w:rsidTr="006868B3">
        <w:trPr>
          <w:trHeight w:val="227"/>
        </w:trPr>
        <w:tc>
          <w:tcPr>
            <w:tcW w:w="4875" w:type="dxa"/>
            <w:gridSpan w:val="2"/>
            <w:tcBorders>
              <w:top w:val="single" w:sz="4" w:space="0" w:color="auto"/>
              <w:left w:val="nil"/>
              <w:bottom w:val="nil"/>
              <w:right w:val="nil"/>
            </w:tcBorders>
            <w:shd w:val="clear" w:color="FFFFFF" w:fill="auto"/>
            <w:vAlign w:val="center"/>
          </w:tcPr>
          <w:p w14:paraId="7BBE9C06" w14:textId="38EFDB3A" w:rsidR="00174BDD" w:rsidRPr="00DC43FF" w:rsidRDefault="000F74ED" w:rsidP="00174BDD">
            <w:pPr>
              <w:spacing w:before="0" w:after="0"/>
              <w:rPr>
                <w:rFonts w:ascii="Arial" w:hAnsi="Arial"/>
                <w:b/>
                <w:bCs/>
                <w:sz w:val="16"/>
                <w:szCs w:val="16"/>
                <w:lang w:val="en-AU"/>
              </w:rPr>
            </w:pPr>
            <w:r w:rsidRPr="00DC43FF">
              <w:rPr>
                <w:rFonts w:ascii="Arial" w:hAnsi="Arial"/>
                <w:b/>
                <w:bCs/>
                <w:sz w:val="16"/>
                <w:szCs w:val="16"/>
                <w:lang w:val="en-AU"/>
              </w:rPr>
              <w:lastRenderedPageBreak/>
              <w:t>Navy Capability Infrastructure</w:t>
            </w:r>
          </w:p>
          <w:p w14:paraId="5A748FAF" w14:textId="77777777" w:rsidR="00174BDD" w:rsidRPr="00DC43FF" w:rsidRDefault="00174BDD" w:rsidP="00174BDD">
            <w:pPr>
              <w:spacing w:before="0" w:after="0"/>
              <w:rPr>
                <w:rFonts w:ascii="Arial" w:hAnsi="Arial"/>
                <w:b/>
                <w:bCs/>
                <w:sz w:val="16"/>
                <w:szCs w:val="16"/>
                <w:lang w:val="en-AU"/>
              </w:rPr>
            </w:pPr>
            <w:r w:rsidRPr="00DC43FF">
              <w:rPr>
                <w:rFonts w:ascii="Arial" w:hAnsi="Arial"/>
                <w:b/>
                <w:bCs/>
                <w:sz w:val="16"/>
                <w:szCs w:val="16"/>
                <w:lang w:val="en-AU"/>
              </w:rPr>
              <w:t>Sub-progra</w:t>
            </w:r>
            <w:r w:rsidR="00787CE3" w:rsidRPr="00DC43FF">
              <w:rPr>
                <w:rFonts w:ascii="Arial" w:hAnsi="Arial"/>
                <w:b/>
                <w:bCs/>
                <w:sz w:val="16"/>
                <w:szCs w:val="16"/>
                <w:lang w:val="en-AU"/>
              </w:rPr>
              <w:t>m: Offshore Patrol Vessel (OPV)</w:t>
            </w:r>
          </w:p>
          <w:p w14:paraId="44B91001" w14:textId="77777777" w:rsidR="00174BDD" w:rsidRPr="00DC43FF" w:rsidRDefault="00174BDD" w:rsidP="00174BDD">
            <w:pPr>
              <w:spacing w:before="0" w:after="0"/>
              <w:rPr>
                <w:rFonts w:ascii="Arial" w:hAnsi="Arial"/>
                <w:b/>
                <w:bCs/>
                <w:sz w:val="16"/>
                <w:szCs w:val="16"/>
                <w:lang w:val="en-AU"/>
              </w:rPr>
            </w:pPr>
            <w:r w:rsidRPr="00DC43FF">
              <w:rPr>
                <w:rFonts w:ascii="Arial" w:hAnsi="Arial"/>
                <w:b/>
                <w:bCs/>
                <w:sz w:val="16"/>
                <w:szCs w:val="16"/>
                <w:lang w:val="en-AU"/>
              </w:rPr>
              <w:t>Facilities (SEA 1180 Phase 1)</w:t>
            </w:r>
            <w:r w:rsidRPr="00DC43FF">
              <w:rPr>
                <w:rFonts w:ascii="Arial" w:hAnsi="Arial"/>
                <w:b/>
                <w:bCs/>
                <w:sz w:val="16"/>
                <w:szCs w:val="16"/>
                <w:vertAlign w:val="superscript"/>
                <w:lang w:val="en-AU"/>
              </w:rPr>
              <w:t xml:space="preserve"> </w:t>
            </w:r>
          </w:p>
        </w:tc>
        <w:tc>
          <w:tcPr>
            <w:tcW w:w="1191" w:type="dxa"/>
            <w:tcBorders>
              <w:top w:val="single" w:sz="4" w:space="0" w:color="auto"/>
              <w:left w:val="nil"/>
              <w:bottom w:val="nil"/>
              <w:right w:val="nil"/>
            </w:tcBorders>
            <w:shd w:val="clear" w:color="FFFFFF" w:fill="auto"/>
            <w:noWrap/>
            <w:vAlign w:val="center"/>
          </w:tcPr>
          <w:p w14:paraId="0AA7D1A1" w14:textId="77777777" w:rsidR="00174BDD" w:rsidRPr="00DC43FF" w:rsidRDefault="00174BDD" w:rsidP="00C12E67">
            <w:pPr>
              <w:spacing w:before="0" w:after="0"/>
              <w:jc w:val="right"/>
              <w:rPr>
                <w:rFonts w:ascii="Times New Roman" w:hAnsi="Times New Roman" w:cs="Times New Roman"/>
                <w:szCs w:val="20"/>
                <w:lang w:val="en-AU"/>
              </w:rPr>
            </w:pPr>
          </w:p>
        </w:tc>
        <w:tc>
          <w:tcPr>
            <w:tcW w:w="1413" w:type="dxa"/>
            <w:tcBorders>
              <w:top w:val="single" w:sz="4" w:space="0" w:color="auto"/>
              <w:left w:val="nil"/>
              <w:bottom w:val="nil"/>
              <w:right w:val="nil"/>
            </w:tcBorders>
            <w:shd w:val="clear" w:color="FFFFFF" w:fill="auto"/>
            <w:noWrap/>
            <w:vAlign w:val="center"/>
          </w:tcPr>
          <w:p w14:paraId="6321CA1A" w14:textId="77777777" w:rsidR="00174BDD" w:rsidRPr="00DC43FF" w:rsidRDefault="00174BDD" w:rsidP="00C12E67">
            <w:pPr>
              <w:spacing w:before="0" w:after="0"/>
              <w:jc w:val="right"/>
              <w:rPr>
                <w:rFonts w:ascii="Times New Roman" w:hAnsi="Times New Roman" w:cs="Times New Roman"/>
                <w:szCs w:val="20"/>
                <w:lang w:val="en-AU"/>
              </w:rPr>
            </w:pPr>
          </w:p>
        </w:tc>
        <w:tc>
          <w:tcPr>
            <w:tcW w:w="1195" w:type="dxa"/>
            <w:tcBorders>
              <w:top w:val="single" w:sz="4" w:space="0" w:color="auto"/>
              <w:left w:val="nil"/>
              <w:bottom w:val="nil"/>
              <w:right w:val="nil"/>
            </w:tcBorders>
            <w:shd w:val="clear" w:color="FFFFFF" w:fill="auto"/>
            <w:noWrap/>
            <w:vAlign w:val="center"/>
          </w:tcPr>
          <w:p w14:paraId="225345A0" w14:textId="77777777" w:rsidR="00174BDD" w:rsidRPr="00DC43FF" w:rsidRDefault="00174BDD" w:rsidP="00C12E67">
            <w:pPr>
              <w:spacing w:before="0" w:after="0"/>
              <w:jc w:val="right"/>
              <w:rPr>
                <w:rFonts w:ascii="Times New Roman" w:hAnsi="Times New Roman" w:cs="Times New Roman"/>
                <w:szCs w:val="20"/>
                <w:lang w:val="en-AU"/>
              </w:rPr>
            </w:pPr>
          </w:p>
        </w:tc>
      </w:tr>
      <w:tr w:rsidR="00DC43FF" w:rsidRPr="00DC43FF" w14:paraId="697BB9D6" w14:textId="77777777" w:rsidTr="00F600B5">
        <w:trPr>
          <w:trHeight w:val="227"/>
        </w:trPr>
        <w:tc>
          <w:tcPr>
            <w:tcW w:w="3085" w:type="dxa"/>
            <w:tcBorders>
              <w:top w:val="nil"/>
              <w:left w:val="nil"/>
              <w:bottom w:val="nil"/>
              <w:right w:val="nil"/>
            </w:tcBorders>
            <w:shd w:val="clear" w:color="FFFFFF" w:fill="auto"/>
            <w:vAlign w:val="center"/>
          </w:tcPr>
          <w:p w14:paraId="568A3129" w14:textId="77777777" w:rsidR="00DC43FF" w:rsidRPr="00DC43FF" w:rsidRDefault="00DC43FF" w:rsidP="00DC43FF">
            <w:pPr>
              <w:spacing w:before="0" w:after="0"/>
              <w:ind w:left="113"/>
              <w:rPr>
                <w:rFonts w:ascii="Arial" w:hAnsi="Arial"/>
                <w:sz w:val="16"/>
                <w:szCs w:val="16"/>
                <w:lang w:val="en-AU"/>
              </w:rPr>
            </w:pPr>
            <w:r w:rsidRPr="00DC43FF">
              <w:rPr>
                <w:rFonts w:ascii="Arial" w:hAnsi="Arial"/>
                <w:sz w:val="16"/>
                <w:szCs w:val="16"/>
                <w:lang w:val="en-AU"/>
              </w:rPr>
              <w:t xml:space="preserve">HMAS </w:t>
            </w:r>
            <w:r w:rsidRPr="00DC43FF">
              <w:rPr>
                <w:rFonts w:ascii="Arial" w:hAnsi="Arial"/>
                <w:i/>
                <w:sz w:val="16"/>
                <w:szCs w:val="16"/>
                <w:lang w:val="en-AU"/>
              </w:rPr>
              <w:t>Coonawarra</w:t>
            </w:r>
          </w:p>
        </w:tc>
        <w:tc>
          <w:tcPr>
            <w:tcW w:w="1790" w:type="dxa"/>
            <w:tcBorders>
              <w:top w:val="nil"/>
              <w:left w:val="nil"/>
              <w:bottom w:val="nil"/>
              <w:right w:val="nil"/>
            </w:tcBorders>
            <w:shd w:val="clear" w:color="FFFFFF" w:fill="auto"/>
            <w:noWrap/>
            <w:vAlign w:val="center"/>
          </w:tcPr>
          <w:p w14:paraId="0E8CDC85" w14:textId="77777777" w:rsidR="00DC43FF" w:rsidRPr="00DC43FF" w:rsidRDefault="00DC43FF" w:rsidP="00DC43FF">
            <w:pPr>
              <w:spacing w:before="0" w:after="0"/>
              <w:jc w:val="right"/>
              <w:rPr>
                <w:rFonts w:ascii="Arial" w:hAnsi="Arial"/>
                <w:bCs/>
                <w:sz w:val="16"/>
                <w:szCs w:val="16"/>
                <w:lang w:val="en-AU"/>
              </w:rPr>
            </w:pPr>
            <w:r w:rsidRPr="00DC43FF">
              <w:rPr>
                <w:rFonts w:ascii="Arial" w:hAnsi="Arial"/>
                <w:bCs/>
                <w:sz w:val="16"/>
                <w:szCs w:val="16"/>
                <w:lang w:val="en-AU"/>
              </w:rPr>
              <w:t>NT - Solomon</w:t>
            </w:r>
          </w:p>
        </w:tc>
        <w:tc>
          <w:tcPr>
            <w:tcW w:w="1191" w:type="dxa"/>
            <w:tcBorders>
              <w:top w:val="nil"/>
              <w:left w:val="nil"/>
              <w:bottom w:val="nil"/>
              <w:right w:val="nil"/>
            </w:tcBorders>
            <w:shd w:val="clear" w:color="FFFFFF" w:fill="auto"/>
            <w:noWrap/>
            <w:vAlign w:val="center"/>
          </w:tcPr>
          <w:p w14:paraId="4CF4A000" w14:textId="77777777" w:rsidR="00DC43FF" w:rsidRPr="00DC43FF" w:rsidRDefault="00DC43FF" w:rsidP="00DC43FF">
            <w:pPr>
              <w:spacing w:before="0" w:after="0"/>
              <w:jc w:val="right"/>
              <w:rPr>
                <w:rFonts w:ascii="Arial" w:hAnsi="Arial"/>
                <w:sz w:val="16"/>
                <w:szCs w:val="16"/>
                <w:lang w:val="en-AU"/>
              </w:rPr>
            </w:pPr>
          </w:p>
        </w:tc>
        <w:tc>
          <w:tcPr>
            <w:tcW w:w="1413" w:type="dxa"/>
            <w:tcBorders>
              <w:top w:val="nil"/>
              <w:left w:val="nil"/>
              <w:bottom w:val="nil"/>
              <w:right w:val="nil"/>
            </w:tcBorders>
            <w:shd w:val="clear" w:color="auto" w:fill="auto"/>
            <w:noWrap/>
            <w:vAlign w:val="bottom"/>
          </w:tcPr>
          <w:p w14:paraId="5FAAF6FD" w14:textId="77777777" w:rsidR="00DC43FF" w:rsidRPr="009E4B9D" w:rsidRDefault="00DC43FF" w:rsidP="00DC43FF">
            <w:pPr>
              <w:autoSpaceDE w:val="0"/>
              <w:autoSpaceDN w:val="0"/>
              <w:adjustRightInd w:val="0"/>
              <w:spacing w:before="0" w:after="0" w:line="276" w:lineRule="auto"/>
              <w:jc w:val="right"/>
              <w:rPr>
                <w:rFonts w:ascii="Arial" w:eastAsiaTheme="minorHAnsi" w:hAnsi="Arial"/>
                <w:color w:val="000000"/>
                <w:sz w:val="16"/>
                <w:szCs w:val="16"/>
                <w:lang w:val="en-AU" w:eastAsia="en-US"/>
              </w:rPr>
            </w:pPr>
            <w:r w:rsidRPr="009E4B9D">
              <w:rPr>
                <w:rFonts w:ascii="Arial" w:eastAsiaTheme="minorHAnsi" w:hAnsi="Arial"/>
                <w:color w:val="000000"/>
                <w:sz w:val="16"/>
                <w:szCs w:val="16"/>
                <w:lang w:val="en-AU" w:eastAsia="en-US"/>
              </w:rPr>
              <w:t>135.5</w:t>
            </w:r>
          </w:p>
        </w:tc>
        <w:tc>
          <w:tcPr>
            <w:tcW w:w="1195" w:type="dxa"/>
            <w:tcBorders>
              <w:top w:val="nil"/>
              <w:left w:val="nil"/>
              <w:bottom w:val="nil"/>
              <w:right w:val="nil"/>
            </w:tcBorders>
            <w:shd w:val="clear" w:color="auto" w:fill="auto"/>
            <w:noWrap/>
            <w:vAlign w:val="bottom"/>
          </w:tcPr>
          <w:p w14:paraId="3CD243B1" w14:textId="77777777" w:rsidR="00DC43FF" w:rsidRPr="009E4B9D" w:rsidRDefault="00DC43FF" w:rsidP="00DC43FF">
            <w:pPr>
              <w:spacing w:before="0" w:after="0" w:line="276" w:lineRule="auto"/>
              <w:jc w:val="right"/>
              <w:rPr>
                <w:rFonts w:ascii="Arial" w:hAnsi="Arial"/>
                <w:sz w:val="16"/>
                <w:szCs w:val="16"/>
                <w:lang w:eastAsia="en-US"/>
              </w:rPr>
            </w:pPr>
            <w:r w:rsidRPr="009E4B9D">
              <w:rPr>
                <w:rFonts w:ascii="Arial" w:hAnsi="Arial"/>
                <w:sz w:val="16"/>
                <w:szCs w:val="16"/>
                <w:lang w:eastAsia="en-US"/>
              </w:rPr>
              <w:t>0.5</w:t>
            </w:r>
          </w:p>
        </w:tc>
      </w:tr>
      <w:tr w:rsidR="00DC43FF" w:rsidRPr="00DC43FF" w14:paraId="22543053" w14:textId="77777777" w:rsidTr="00F600B5">
        <w:trPr>
          <w:trHeight w:val="227"/>
        </w:trPr>
        <w:tc>
          <w:tcPr>
            <w:tcW w:w="3085" w:type="dxa"/>
            <w:tcBorders>
              <w:top w:val="nil"/>
              <w:left w:val="nil"/>
              <w:bottom w:val="nil"/>
              <w:right w:val="nil"/>
            </w:tcBorders>
            <w:shd w:val="clear" w:color="FFFFFF" w:fill="auto"/>
            <w:vAlign w:val="center"/>
          </w:tcPr>
          <w:p w14:paraId="4A952D18" w14:textId="77777777" w:rsidR="00DC43FF" w:rsidRPr="00DC43FF" w:rsidRDefault="00DC43FF" w:rsidP="00DC43FF">
            <w:pPr>
              <w:spacing w:before="0" w:after="0"/>
              <w:ind w:left="113"/>
              <w:rPr>
                <w:rFonts w:ascii="Arial" w:hAnsi="Arial"/>
                <w:sz w:val="16"/>
                <w:szCs w:val="16"/>
                <w:lang w:val="en-AU"/>
              </w:rPr>
            </w:pPr>
            <w:r w:rsidRPr="00DC43FF">
              <w:rPr>
                <w:rFonts w:ascii="Arial" w:hAnsi="Arial"/>
                <w:sz w:val="16"/>
                <w:szCs w:val="16"/>
                <w:lang w:val="en-AU"/>
              </w:rPr>
              <w:t>RAAF Darwin</w:t>
            </w:r>
          </w:p>
        </w:tc>
        <w:tc>
          <w:tcPr>
            <w:tcW w:w="1790" w:type="dxa"/>
            <w:tcBorders>
              <w:top w:val="nil"/>
              <w:left w:val="nil"/>
              <w:bottom w:val="nil"/>
              <w:right w:val="nil"/>
            </w:tcBorders>
            <w:shd w:val="clear" w:color="FFFFFF" w:fill="auto"/>
            <w:noWrap/>
            <w:vAlign w:val="center"/>
          </w:tcPr>
          <w:p w14:paraId="57EFD034" w14:textId="77777777" w:rsidR="00DC43FF" w:rsidRPr="00DC43FF" w:rsidRDefault="00DC43FF" w:rsidP="00DC43FF">
            <w:pPr>
              <w:spacing w:before="0" w:after="0"/>
              <w:jc w:val="right"/>
              <w:rPr>
                <w:rFonts w:ascii="Arial" w:hAnsi="Arial"/>
                <w:bCs/>
                <w:sz w:val="16"/>
                <w:szCs w:val="16"/>
                <w:lang w:val="en-AU"/>
              </w:rPr>
            </w:pPr>
            <w:r w:rsidRPr="00DC43FF">
              <w:rPr>
                <w:rFonts w:ascii="Arial" w:hAnsi="Arial"/>
                <w:bCs/>
                <w:sz w:val="16"/>
                <w:szCs w:val="16"/>
                <w:lang w:val="en-AU"/>
              </w:rPr>
              <w:t>NT - Solomon</w:t>
            </w:r>
          </w:p>
        </w:tc>
        <w:tc>
          <w:tcPr>
            <w:tcW w:w="1191" w:type="dxa"/>
            <w:tcBorders>
              <w:top w:val="nil"/>
              <w:left w:val="nil"/>
              <w:bottom w:val="nil"/>
              <w:right w:val="nil"/>
            </w:tcBorders>
            <w:shd w:val="clear" w:color="FFFFFF" w:fill="auto"/>
            <w:noWrap/>
            <w:vAlign w:val="center"/>
          </w:tcPr>
          <w:p w14:paraId="2613369B" w14:textId="77777777" w:rsidR="00DC43FF" w:rsidRPr="00DC43FF" w:rsidRDefault="00DC43FF" w:rsidP="00DC43FF">
            <w:pPr>
              <w:spacing w:before="0" w:after="0"/>
              <w:jc w:val="right"/>
              <w:rPr>
                <w:rFonts w:ascii="Arial" w:hAnsi="Arial"/>
                <w:sz w:val="16"/>
                <w:szCs w:val="16"/>
                <w:lang w:val="en-AU"/>
              </w:rPr>
            </w:pPr>
          </w:p>
        </w:tc>
        <w:tc>
          <w:tcPr>
            <w:tcW w:w="1413" w:type="dxa"/>
            <w:tcBorders>
              <w:top w:val="nil"/>
              <w:left w:val="nil"/>
              <w:bottom w:val="nil"/>
              <w:right w:val="nil"/>
            </w:tcBorders>
            <w:shd w:val="clear" w:color="auto" w:fill="auto"/>
            <w:noWrap/>
            <w:vAlign w:val="bottom"/>
          </w:tcPr>
          <w:p w14:paraId="4A22985F" w14:textId="77777777" w:rsidR="00DC43FF" w:rsidRPr="009E4B9D" w:rsidRDefault="00DC43FF" w:rsidP="00DC43FF">
            <w:pPr>
              <w:autoSpaceDE w:val="0"/>
              <w:autoSpaceDN w:val="0"/>
              <w:adjustRightInd w:val="0"/>
              <w:spacing w:before="0" w:after="0" w:line="276" w:lineRule="auto"/>
              <w:jc w:val="right"/>
              <w:rPr>
                <w:rFonts w:ascii="Arial" w:eastAsiaTheme="minorHAnsi" w:hAnsi="Arial"/>
                <w:color w:val="000000"/>
                <w:sz w:val="16"/>
                <w:szCs w:val="16"/>
                <w:lang w:val="en-AU" w:eastAsia="en-US"/>
              </w:rPr>
            </w:pPr>
            <w:r w:rsidRPr="009E4B9D">
              <w:rPr>
                <w:rFonts w:ascii="Arial" w:eastAsiaTheme="minorHAnsi" w:hAnsi="Arial"/>
                <w:color w:val="000000"/>
                <w:sz w:val="16"/>
                <w:szCs w:val="16"/>
                <w:lang w:val="en-AU" w:eastAsia="en-US"/>
              </w:rPr>
              <w:t>78.4</w:t>
            </w:r>
          </w:p>
        </w:tc>
        <w:tc>
          <w:tcPr>
            <w:tcW w:w="1195" w:type="dxa"/>
            <w:tcBorders>
              <w:top w:val="nil"/>
              <w:left w:val="nil"/>
              <w:bottom w:val="nil"/>
              <w:right w:val="nil"/>
            </w:tcBorders>
            <w:shd w:val="clear" w:color="auto" w:fill="auto"/>
            <w:noWrap/>
            <w:vAlign w:val="bottom"/>
          </w:tcPr>
          <w:p w14:paraId="2C3C59F7" w14:textId="77777777" w:rsidR="00DC43FF" w:rsidRPr="009E4B9D" w:rsidRDefault="00DC43FF" w:rsidP="00DC43FF">
            <w:pPr>
              <w:spacing w:before="0" w:after="0" w:line="276" w:lineRule="auto"/>
              <w:jc w:val="right"/>
              <w:rPr>
                <w:rFonts w:ascii="Arial" w:hAnsi="Arial"/>
                <w:sz w:val="16"/>
                <w:szCs w:val="16"/>
                <w:lang w:eastAsia="en-US"/>
              </w:rPr>
            </w:pPr>
            <w:r w:rsidRPr="009E4B9D">
              <w:rPr>
                <w:rFonts w:ascii="Arial" w:hAnsi="Arial"/>
                <w:sz w:val="16"/>
                <w:szCs w:val="16"/>
                <w:lang w:eastAsia="en-US"/>
              </w:rPr>
              <w:t>32.0</w:t>
            </w:r>
          </w:p>
        </w:tc>
      </w:tr>
      <w:tr w:rsidR="00DC43FF" w:rsidRPr="00DC43FF" w14:paraId="2090F3BE" w14:textId="77777777" w:rsidTr="00F600B5">
        <w:trPr>
          <w:trHeight w:val="227"/>
        </w:trPr>
        <w:tc>
          <w:tcPr>
            <w:tcW w:w="3085" w:type="dxa"/>
            <w:tcBorders>
              <w:top w:val="nil"/>
              <w:left w:val="nil"/>
              <w:bottom w:val="nil"/>
              <w:right w:val="nil"/>
            </w:tcBorders>
            <w:shd w:val="clear" w:color="FFFFFF" w:fill="auto"/>
            <w:vAlign w:val="center"/>
          </w:tcPr>
          <w:p w14:paraId="12CEA098" w14:textId="77777777" w:rsidR="00DC43FF" w:rsidRPr="00DC43FF" w:rsidRDefault="00DC43FF" w:rsidP="00DC43FF">
            <w:pPr>
              <w:spacing w:before="0" w:after="0"/>
              <w:ind w:left="113"/>
              <w:rPr>
                <w:rFonts w:ascii="Arial" w:hAnsi="Arial"/>
                <w:sz w:val="16"/>
                <w:szCs w:val="16"/>
                <w:lang w:val="en-AU"/>
              </w:rPr>
            </w:pPr>
            <w:r w:rsidRPr="00DC43FF">
              <w:rPr>
                <w:rFonts w:ascii="Arial" w:hAnsi="Arial"/>
                <w:sz w:val="16"/>
                <w:szCs w:val="16"/>
                <w:lang w:val="en-AU"/>
              </w:rPr>
              <w:t xml:space="preserve">HMAS </w:t>
            </w:r>
            <w:r w:rsidRPr="00DC43FF">
              <w:rPr>
                <w:rFonts w:ascii="Arial" w:hAnsi="Arial"/>
                <w:i/>
                <w:sz w:val="16"/>
                <w:szCs w:val="16"/>
                <w:lang w:val="en-AU"/>
              </w:rPr>
              <w:t>Cairns</w:t>
            </w:r>
          </w:p>
        </w:tc>
        <w:tc>
          <w:tcPr>
            <w:tcW w:w="1790" w:type="dxa"/>
            <w:tcBorders>
              <w:top w:val="nil"/>
              <w:left w:val="nil"/>
              <w:bottom w:val="nil"/>
              <w:right w:val="nil"/>
            </w:tcBorders>
            <w:shd w:val="clear" w:color="FFFFFF" w:fill="auto"/>
            <w:noWrap/>
            <w:vAlign w:val="center"/>
          </w:tcPr>
          <w:p w14:paraId="1BF3A2CA" w14:textId="77777777" w:rsidR="00DC43FF" w:rsidRPr="00DC43FF" w:rsidRDefault="00DC43FF" w:rsidP="00DC43FF">
            <w:pPr>
              <w:spacing w:before="0" w:after="0"/>
              <w:jc w:val="right"/>
              <w:rPr>
                <w:rFonts w:ascii="Arial" w:hAnsi="Arial"/>
                <w:bCs/>
                <w:sz w:val="16"/>
                <w:szCs w:val="16"/>
                <w:lang w:val="en-AU"/>
              </w:rPr>
            </w:pPr>
            <w:r w:rsidRPr="00DC43FF">
              <w:rPr>
                <w:rFonts w:ascii="Arial" w:hAnsi="Arial"/>
                <w:bCs/>
                <w:sz w:val="16"/>
                <w:szCs w:val="16"/>
                <w:lang w:val="en-AU"/>
              </w:rPr>
              <w:t>QLD - Leichhardt</w:t>
            </w:r>
          </w:p>
        </w:tc>
        <w:tc>
          <w:tcPr>
            <w:tcW w:w="1191" w:type="dxa"/>
            <w:tcBorders>
              <w:top w:val="nil"/>
              <w:left w:val="nil"/>
              <w:bottom w:val="nil"/>
              <w:right w:val="nil"/>
            </w:tcBorders>
            <w:shd w:val="clear" w:color="FFFFFF" w:fill="auto"/>
            <w:noWrap/>
            <w:vAlign w:val="center"/>
          </w:tcPr>
          <w:p w14:paraId="6CB8E25E" w14:textId="77777777" w:rsidR="00DC43FF" w:rsidRPr="00DC43FF" w:rsidRDefault="00DC43FF" w:rsidP="00DC43FF">
            <w:pPr>
              <w:spacing w:before="0" w:after="0"/>
              <w:jc w:val="right"/>
              <w:rPr>
                <w:rFonts w:ascii="Arial" w:hAnsi="Arial"/>
                <w:sz w:val="16"/>
                <w:szCs w:val="16"/>
                <w:lang w:val="en-AU"/>
              </w:rPr>
            </w:pPr>
          </w:p>
        </w:tc>
        <w:tc>
          <w:tcPr>
            <w:tcW w:w="1413" w:type="dxa"/>
            <w:tcBorders>
              <w:top w:val="nil"/>
              <w:left w:val="nil"/>
              <w:bottom w:val="nil"/>
              <w:right w:val="nil"/>
            </w:tcBorders>
            <w:shd w:val="clear" w:color="auto" w:fill="auto"/>
            <w:noWrap/>
            <w:vAlign w:val="bottom"/>
          </w:tcPr>
          <w:p w14:paraId="0BD118D4" w14:textId="77777777" w:rsidR="00DC43FF" w:rsidRPr="009E4B9D" w:rsidRDefault="00DC43FF" w:rsidP="00DC43FF">
            <w:pPr>
              <w:autoSpaceDE w:val="0"/>
              <w:autoSpaceDN w:val="0"/>
              <w:adjustRightInd w:val="0"/>
              <w:spacing w:before="0" w:after="0" w:line="276" w:lineRule="auto"/>
              <w:jc w:val="right"/>
              <w:rPr>
                <w:rFonts w:ascii="Arial" w:eastAsiaTheme="minorHAnsi" w:hAnsi="Arial"/>
                <w:color w:val="000000"/>
                <w:sz w:val="16"/>
                <w:szCs w:val="16"/>
                <w:lang w:val="en-AU" w:eastAsia="en-US"/>
              </w:rPr>
            </w:pPr>
            <w:r w:rsidRPr="009E4B9D">
              <w:rPr>
                <w:rFonts w:ascii="Arial" w:eastAsiaTheme="minorHAnsi" w:hAnsi="Arial"/>
                <w:color w:val="000000"/>
                <w:sz w:val="16"/>
                <w:szCs w:val="16"/>
                <w:lang w:val="en-AU" w:eastAsia="en-US"/>
              </w:rPr>
              <w:t>115.5</w:t>
            </w:r>
          </w:p>
        </w:tc>
        <w:tc>
          <w:tcPr>
            <w:tcW w:w="1195" w:type="dxa"/>
            <w:tcBorders>
              <w:top w:val="nil"/>
              <w:left w:val="nil"/>
              <w:bottom w:val="nil"/>
              <w:right w:val="nil"/>
            </w:tcBorders>
            <w:shd w:val="clear" w:color="auto" w:fill="auto"/>
            <w:noWrap/>
            <w:vAlign w:val="bottom"/>
          </w:tcPr>
          <w:p w14:paraId="6FB2270C" w14:textId="77777777" w:rsidR="00DC43FF" w:rsidRPr="009E4B9D" w:rsidRDefault="00DC43FF" w:rsidP="00DC43FF">
            <w:pPr>
              <w:spacing w:before="0" w:after="0" w:line="276" w:lineRule="auto"/>
              <w:jc w:val="right"/>
              <w:rPr>
                <w:rFonts w:ascii="Arial" w:hAnsi="Arial"/>
                <w:sz w:val="16"/>
                <w:szCs w:val="16"/>
                <w:lang w:eastAsia="en-US"/>
              </w:rPr>
            </w:pPr>
            <w:r w:rsidRPr="009E4B9D">
              <w:rPr>
                <w:rFonts w:ascii="Arial" w:hAnsi="Arial"/>
                <w:sz w:val="16"/>
                <w:szCs w:val="16"/>
                <w:lang w:eastAsia="en-US"/>
              </w:rPr>
              <w:t>125.4</w:t>
            </w:r>
          </w:p>
        </w:tc>
      </w:tr>
      <w:tr w:rsidR="00DC43FF" w:rsidRPr="00DC43FF" w14:paraId="70ACF7E0" w14:textId="77777777" w:rsidTr="00F600B5">
        <w:trPr>
          <w:trHeight w:val="227"/>
        </w:trPr>
        <w:tc>
          <w:tcPr>
            <w:tcW w:w="3085" w:type="dxa"/>
            <w:tcBorders>
              <w:top w:val="nil"/>
              <w:left w:val="nil"/>
              <w:bottom w:val="nil"/>
              <w:right w:val="nil"/>
            </w:tcBorders>
            <w:shd w:val="clear" w:color="FFFFFF" w:fill="auto"/>
            <w:vAlign w:val="center"/>
          </w:tcPr>
          <w:p w14:paraId="73E38794" w14:textId="77777777" w:rsidR="00DC43FF" w:rsidRPr="00DC43FF" w:rsidRDefault="00DC43FF" w:rsidP="00DC43FF">
            <w:pPr>
              <w:spacing w:before="0" w:after="0"/>
              <w:ind w:left="113"/>
              <w:rPr>
                <w:rFonts w:ascii="Arial" w:hAnsi="Arial"/>
                <w:sz w:val="16"/>
                <w:szCs w:val="16"/>
                <w:lang w:val="en-AU"/>
              </w:rPr>
            </w:pPr>
            <w:r w:rsidRPr="00DC43FF">
              <w:rPr>
                <w:rFonts w:ascii="Arial" w:hAnsi="Arial"/>
                <w:sz w:val="16"/>
                <w:szCs w:val="16"/>
                <w:lang w:val="en-AU"/>
              </w:rPr>
              <w:t xml:space="preserve">HMAS </w:t>
            </w:r>
            <w:r w:rsidRPr="00DC43FF">
              <w:rPr>
                <w:rFonts w:ascii="Arial" w:hAnsi="Arial"/>
                <w:i/>
                <w:sz w:val="16"/>
                <w:szCs w:val="16"/>
                <w:lang w:val="en-AU"/>
              </w:rPr>
              <w:t>Stirling</w:t>
            </w:r>
          </w:p>
        </w:tc>
        <w:tc>
          <w:tcPr>
            <w:tcW w:w="1790" w:type="dxa"/>
            <w:tcBorders>
              <w:top w:val="nil"/>
              <w:left w:val="nil"/>
              <w:bottom w:val="nil"/>
              <w:right w:val="nil"/>
            </w:tcBorders>
            <w:shd w:val="clear" w:color="FFFFFF" w:fill="auto"/>
            <w:noWrap/>
            <w:vAlign w:val="center"/>
          </w:tcPr>
          <w:p w14:paraId="7AD52482" w14:textId="77777777" w:rsidR="00DC43FF" w:rsidRPr="00DC43FF" w:rsidRDefault="00DC43FF" w:rsidP="00DC43FF">
            <w:pPr>
              <w:spacing w:before="0" w:after="0"/>
              <w:jc w:val="right"/>
              <w:rPr>
                <w:rFonts w:ascii="Arial" w:hAnsi="Arial"/>
                <w:bCs/>
                <w:sz w:val="16"/>
                <w:szCs w:val="16"/>
                <w:lang w:val="en-AU"/>
              </w:rPr>
            </w:pPr>
            <w:r w:rsidRPr="00DC43FF">
              <w:rPr>
                <w:rFonts w:ascii="Arial" w:hAnsi="Arial"/>
                <w:bCs/>
                <w:sz w:val="16"/>
                <w:szCs w:val="16"/>
                <w:lang w:val="en-AU"/>
              </w:rPr>
              <w:t xml:space="preserve">WA - Brand </w:t>
            </w:r>
          </w:p>
        </w:tc>
        <w:tc>
          <w:tcPr>
            <w:tcW w:w="1191" w:type="dxa"/>
            <w:tcBorders>
              <w:top w:val="nil"/>
              <w:left w:val="nil"/>
              <w:bottom w:val="nil"/>
              <w:right w:val="nil"/>
            </w:tcBorders>
            <w:shd w:val="clear" w:color="FFFFFF" w:fill="auto"/>
            <w:noWrap/>
            <w:vAlign w:val="center"/>
          </w:tcPr>
          <w:p w14:paraId="5DE69738" w14:textId="77777777" w:rsidR="00DC43FF" w:rsidRPr="00DC43FF" w:rsidRDefault="00DC43FF" w:rsidP="00DC43FF">
            <w:pPr>
              <w:spacing w:before="0" w:after="0"/>
              <w:jc w:val="right"/>
              <w:rPr>
                <w:rFonts w:ascii="Arial" w:hAnsi="Arial"/>
                <w:sz w:val="16"/>
                <w:szCs w:val="16"/>
                <w:lang w:val="en-AU"/>
              </w:rPr>
            </w:pPr>
          </w:p>
        </w:tc>
        <w:tc>
          <w:tcPr>
            <w:tcW w:w="1413" w:type="dxa"/>
            <w:tcBorders>
              <w:top w:val="nil"/>
              <w:left w:val="nil"/>
              <w:bottom w:val="nil"/>
              <w:right w:val="nil"/>
            </w:tcBorders>
            <w:shd w:val="clear" w:color="auto" w:fill="auto"/>
            <w:noWrap/>
            <w:vAlign w:val="bottom"/>
          </w:tcPr>
          <w:p w14:paraId="72443341" w14:textId="77777777" w:rsidR="00DC43FF" w:rsidRPr="009E4B9D" w:rsidRDefault="00DC43FF" w:rsidP="00DC43FF">
            <w:pPr>
              <w:autoSpaceDE w:val="0"/>
              <w:autoSpaceDN w:val="0"/>
              <w:adjustRightInd w:val="0"/>
              <w:spacing w:before="0" w:after="0" w:line="276" w:lineRule="auto"/>
              <w:jc w:val="right"/>
              <w:rPr>
                <w:rFonts w:ascii="Arial" w:eastAsiaTheme="minorHAnsi" w:hAnsi="Arial"/>
                <w:color w:val="000000"/>
                <w:sz w:val="16"/>
                <w:szCs w:val="16"/>
                <w:lang w:val="en-AU" w:eastAsia="en-US"/>
              </w:rPr>
            </w:pPr>
            <w:r w:rsidRPr="009E4B9D">
              <w:rPr>
                <w:rFonts w:ascii="Arial" w:eastAsiaTheme="minorHAnsi" w:hAnsi="Arial"/>
                <w:color w:val="000000"/>
                <w:sz w:val="16"/>
                <w:szCs w:val="16"/>
                <w:lang w:val="en-AU" w:eastAsia="en-US"/>
              </w:rPr>
              <w:t>213.3</w:t>
            </w:r>
          </w:p>
        </w:tc>
        <w:tc>
          <w:tcPr>
            <w:tcW w:w="1195" w:type="dxa"/>
            <w:tcBorders>
              <w:top w:val="nil"/>
              <w:left w:val="nil"/>
              <w:bottom w:val="nil"/>
              <w:right w:val="nil"/>
            </w:tcBorders>
            <w:shd w:val="clear" w:color="auto" w:fill="auto"/>
            <w:noWrap/>
            <w:vAlign w:val="bottom"/>
          </w:tcPr>
          <w:p w14:paraId="3D6F44BE" w14:textId="77777777" w:rsidR="00DC43FF" w:rsidRPr="009E4B9D" w:rsidRDefault="00DC43FF" w:rsidP="00DC43FF">
            <w:pPr>
              <w:spacing w:before="0" w:after="0" w:line="276" w:lineRule="auto"/>
              <w:jc w:val="right"/>
              <w:rPr>
                <w:rFonts w:ascii="Arial" w:hAnsi="Arial"/>
                <w:sz w:val="16"/>
                <w:szCs w:val="16"/>
                <w:lang w:eastAsia="en-US"/>
              </w:rPr>
            </w:pPr>
            <w:r w:rsidRPr="009E4B9D">
              <w:rPr>
                <w:rFonts w:ascii="Arial" w:hAnsi="Arial"/>
                <w:sz w:val="16"/>
                <w:szCs w:val="16"/>
                <w:lang w:eastAsia="en-US"/>
              </w:rPr>
              <w:t>0.3</w:t>
            </w:r>
          </w:p>
        </w:tc>
      </w:tr>
      <w:tr w:rsidR="00DC43FF" w:rsidRPr="00DC43FF" w14:paraId="5428D3AC" w14:textId="77777777" w:rsidTr="00F600B5">
        <w:trPr>
          <w:trHeight w:val="227"/>
        </w:trPr>
        <w:tc>
          <w:tcPr>
            <w:tcW w:w="3085" w:type="dxa"/>
            <w:tcBorders>
              <w:top w:val="nil"/>
              <w:left w:val="nil"/>
              <w:bottom w:val="nil"/>
              <w:right w:val="nil"/>
            </w:tcBorders>
            <w:shd w:val="clear" w:color="FFFFFF" w:fill="auto"/>
            <w:vAlign w:val="center"/>
          </w:tcPr>
          <w:p w14:paraId="36AE37D3" w14:textId="77777777" w:rsidR="00DC43FF" w:rsidRPr="00DC43FF" w:rsidRDefault="00DC43FF" w:rsidP="00DC43FF">
            <w:pPr>
              <w:spacing w:before="0" w:after="0"/>
              <w:ind w:left="113"/>
              <w:rPr>
                <w:rFonts w:ascii="Arial" w:hAnsi="Arial"/>
                <w:sz w:val="16"/>
                <w:szCs w:val="16"/>
                <w:lang w:val="en-AU"/>
              </w:rPr>
            </w:pPr>
            <w:r w:rsidRPr="00DC43FF">
              <w:rPr>
                <w:rFonts w:ascii="Arial" w:hAnsi="Arial"/>
                <w:sz w:val="16"/>
                <w:szCs w:val="16"/>
                <w:lang w:val="en-AU"/>
              </w:rPr>
              <w:t>Henderson Maritime Precinct</w:t>
            </w:r>
          </w:p>
        </w:tc>
        <w:tc>
          <w:tcPr>
            <w:tcW w:w="1790" w:type="dxa"/>
            <w:tcBorders>
              <w:top w:val="nil"/>
              <w:left w:val="nil"/>
              <w:bottom w:val="nil"/>
              <w:right w:val="nil"/>
            </w:tcBorders>
            <w:shd w:val="clear" w:color="FFFFFF" w:fill="auto"/>
            <w:noWrap/>
            <w:vAlign w:val="center"/>
          </w:tcPr>
          <w:p w14:paraId="54A05F69" w14:textId="77777777" w:rsidR="00DC43FF" w:rsidRPr="00DC43FF" w:rsidRDefault="00DC43FF" w:rsidP="00DC43FF">
            <w:pPr>
              <w:spacing w:before="0" w:after="0"/>
              <w:jc w:val="right"/>
              <w:rPr>
                <w:rFonts w:ascii="Arial" w:hAnsi="Arial"/>
                <w:bCs/>
                <w:sz w:val="16"/>
                <w:szCs w:val="16"/>
                <w:lang w:val="en-AU"/>
              </w:rPr>
            </w:pPr>
            <w:r w:rsidRPr="00DC43FF">
              <w:rPr>
                <w:rFonts w:ascii="Arial" w:hAnsi="Arial"/>
                <w:bCs/>
                <w:sz w:val="16"/>
                <w:szCs w:val="16"/>
                <w:lang w:val="en-AU"/>
              </w:rPr>
              <w:t>WA - Fremantle</w:t>
            </w:r>
          </w:p>
        </w:tc>
        <w:tc>
          <w:tcPr>
            <w:tcW w:w="1191" w:type="dxa"/>
            <w:tcBorders>
              <w:top w:val="nil"/>
              <w:left w:val="nil"/>
              <w:bottom w:val="nil"/>
              <w:right w:val="nil"/>
            </w:tcBorders>
            <w:shd w:val="clear" w:color="FFFFFF" w:fill="auto"/>
            <w:noWrap/>
            <w:vAlign w:val="center"/>
          </w:tcPr>
          <w:p w14:paraId="27791D1B" w14:textId="77777777" w:rsidR="00DC43FF" w:rsidRPr="00DC43FF" w:rsidRDefault="00DC43FF" w:rsidP="00DC43FF">
            <w:pPr>
              <w:spacing w:before="0" w:after="0"/>
              <w:jc w:val="right"/>
              <w:rPr>
                <w:rFonts w:ascii="Arial" w:hAnsi="Arial"/>
                <w:sz w:val="16"/>
                <w:szCs w:val="16"/>
                <w:lang w:val="en-AU"/>
              </w:rPr>
            </w:pPr>
          </w:p>
        </w:tc>
        <w:tc>
          <w:tcPr>
            <w:tcW w:w="1413" w:type="dxa"/>
            <w:tcBorders>
              <w:top w:val="nil"/>
              <w:left w:val="nil"/>
              <w:bottom w:val="nil"/>
              <w:right w:val="nil"/>
            </w:tcBorders>
            <w:shd w:val="clear" w:color="auto" w:fill="auto"/>
            <w:noWrap/>
            <w:vAlign w:val="bottom"/>
          </w:tcPr>
          <w:p w14:paraId="6C5E661A" w14:textId="77777777" w:rsidR="00DC43FF" w:rsidRPr="009E4B9D" w:rsidRDefault="00DC43FF" w:rsidP="00DC43FF">
            <w:pPr>
              <w:autoSpaceDE w:val="0"/>
              <w:autoSpaceDN w:val="0"/>
              <w:adjustRightInd w:val="0"/>
              <w:spacing w:before="0" w:after="0" w:line="276" w:lineRule="auto"/>
              <w:jc w:val="right"/>
              <w:rPr>
                <w:rFonts w:ascii="Arial" w:eastAsiaTheme="minorHAnsi" w:hAnsi="Arial"/>
                <w:color w:val="000000"/>
                <w:sz w:val="16"/>
                <w:szCs w:val="16"/>
                <w:lang w:val="en-AU" w:eastAsia="en-US"/>
              </w:rPr>
            </w:pPr>
            <w:r w:rsidRPr="009E4B9D">
              <w:rPr>
                <w:rFonts w:ascii="Arial" w:eastAsiaTheme="minorHAnsi" w:hAnsi="Arial"/>
                <w:color w:val="000000"/>
                <w:sz w:val="16"/>
                <w:szCs w:val="16"/>
                <w:lang w:val="en-AU" w:eastAsia="en-US"/>
              </w:rPr>
              <w:t>54.7</w:t>
            </w:r>
          </w:p>
        </w:tc>
        <w:tc>
          <w:tcPr>
            <w:tcW w:w="1195" w:type="dxa"/>
            <w:tcBorders>
              <w:top w:val="nil"/>
              <w:left w:val="nil"/>
              <w:bottom w:val="nil"/>
              <w:right w:val="nil"/>
            </w:tcBorders>
            <w:shd w:val="clear" w:color="auto" w:fill="auto"/>
            <w:noWrap/>
            <w:vAlign w:val="bottom"/>
          </w:tcPr>
          <w:p w14:paraId="7C7FF6B7" w14:textId="77777777" w:rsidR="00DC43FF" w:rsidRPr="009E4B9D" w:rsidRDefault="00DC43FF" w:rsidP="00DC43FF">
            <w:pPr>
              <w:spacing w:before="0" w:after="0" w:line="276" w:lineRule="auto"/>
              <w:jc w:val="right"/>
              <w:rPr>
                <w:rFonts w:ascii="Arial" w:hAnsi="Arial"/>
                <w:sz w:val="16"/>
                <w:szCs w:val="16"/>
                <w:lang w:eastAsia="en-US"/>
              </w:rPr>
            </w:pPr>
            <w:r w:rsidRPr="009E4B9D">
              <w:rPr>
                <w:rFonts w:ascii="Arial" w:hAnsi="Arial"/>
                <w:sz w:val="16"/>
                <w:szCs w:val="16"/>
                <w:lang w:eastAsia="en-US"/>
              </w:rPr>
              <w:t>0.0</w:t>
            </w:r>
          </w:p>
        </w:tc>
      </w:tr>
      <w:tr w:rsidR="00DC43FF" w:rsidRPr="00BA1388" w14:paraId="438858DA" w14:textId="77777777" w:rsidTr="00F600B5">
        <w:trPr>
          <w:trHeight w:val="227"/>
        </w:trPr>
        <w:tc>
          <w:tcPr>
            <w:tcW w:w="3085" w:type="dxa"/>
            <w:tcBorders>
              <w:top w:val="nil"/>
              <w:left w:val="nil"/>
              <w:bottom w:val="nil"/>
              <w:right w:val="nil"/>
            </w:tcBorders>
            <w:shd w:val="clear" w:color="FFFFFF" w:fill="auto"/>
            <w:vAlign w:val="center"/>
          </w:tcPr>
          <w:p w14:paraId="3D4D5DCD" w14:textId="77777777" w:rsidR="00DC43FF" w:rsidRPr="00DC43FF" w:rsidRDefault="00DC43FF" w:rsidP="00DC43FF">
            <w:pPr>
              <w:spacing w:before="0" w:after="0"/>
              <w:rPr>
                <w:rFonts w:ascii="Arial" w:hAnsi="Arial"/>
                <w:b/>
                <w:bCs/>
                <w:sz w:val="16"/>
                <w:szCs w:val="16"/>
                <w:lang w:val="en-AU"/>
              </w:rPr>
            </w:pPr>
            <w:r w:rsidRPr="00DC43FF">
              <w:rPr>
                <w:rFonts w:ascii="Arial" w:hAnsi="Arial"/>
                <w:b/>
                <w:sz w:val="16"/>
                <w:szCs w:val="16"/>
                <w:lang w:val="en-AU"/>
              </w:rPr>
              <w:t>Total</w:t>
            </w:r>
          </w:p>
        </w:tc>
        <w:tc>
          <w:tcPr>
            <w:tcW w:w="1790" w:type="dxa"/>
            <w:tcBorders>
              <w:top w:val="nil"/>
              <w:left w:val="nil"/>
              <w:bottom w:val="nil"/>
              <w:right w:val="nil"/>
            </w:tcBorders>
            <w:shd w:val="clear" w:color="FFFFFF" w:fill="auto"/>
            <w:noWrap/>
            <w:vAlign w:val="center"/>
          </w:tcPr>
          <w:p w14:paraId="5C146606" w14:textId="77777777" w:rsidR="00DC43FF" w:rsidRPr="00DC43FF" w:rsidRDefault="00DC43FF" w:rsidP="00DC43FF">
            <w:pPr>
              <w:spacing w:before="0" w:after="0"/>
              <w:jc w:val="right"/>
              <w:rPr>
                <w:rFonts w:ascii="Arial" w:hAnsi="Arial"/>
                <w:b/>
                <w:bCs/>
                <w:sz w:val="16"/>
                <w:szCs w:val="16"/>
                <w:lang w:val="en-AU"/>
              </w:rPr>
            </w:pPr>
          </w:p>
        </w:tc>
        <w:tc>
          <w:tcPr>
            <w:tcW w:w="1191" w:type="dxa"/>
            <w:tcBorders>
              <w:top w:val="nil"/>
              <w:left w:val="nil"/>
              <w:bottom w:val="nil"/>
              <w:right w:val="nil"/>
            </w:tcBorders>
            <w:shd w:val="clear" w:color="auto" w:fill="auto"/>
            <w:noWrap/>
            <w:vAlign w:val="center"/>
          </w:tcPr>
          <w:p w14:paraId="159AEB3E" w14:textId="77777777" w:rsidR="00DC43FF" w:rsidRPr="00DC43FF" w:rsidRDefault="00DC43FF" w:rsidP="00DC43FF">
            <w:pPr>
              <w:spacing w:before="0" w:after="0"/>
              <w:jc w:val="right"/>
              <w:rPr>
                <w:rFonts w:ascii="Arial" w:hAnsi="Arial"/>
                <w:b/>
                <w:sz w:val="16"/>
                <w:szCs w:val="16"/>
                <w:lang w:val="en-AU"/>
              </w:rPr>
            </w:pPr>
            <w:r w:rsidRPr="00DC43FF">
              <w:rPr>
                <w:rFonts w:ascii="Arial" w:hAnsi="Arial"/>
                <w:b/>
                <w:sz w:val="16"/>
                <w:szCs w:val="16"/>
                <w:lang w:val="en-AU"/>
              </w:rPr>
              <w:t>918.5</w:t>
            </w:r>
          </w:p>
        </w:tc>
        <w:tc>
          <w:tcPr>
            <w:tcW w:w="1413" w:type="dxa"/>
            <w:tcBorders>
              <w:top w:val="nil"/>
              <w:left w:val="nil"/>
              <w:bottom w:val="nil"/>
              <w:right w:val="nil"/>
            </w:tcBorders>
            <w:shd w:val="clear" w:color="auto" w:fill="auto"/>
            <w:noWrap/>
            <w:vAlign w:val="center"/>
          </w:tcPr>
          <w:p w14:paraId="733F750C" w14:textId="77777777" w:rsidR="00DC43FF" w:rsidRPr="00DC43FF" w:rsidRDefault="00DC43FF" w:rsidP="00DC43FF">
            <w:pPr>
              <w:spacing w:before="0" w:after="0"/>
              <w:jc w:val="right"/>
              <w:rPr>
                <w:rFonts w:ascii="Arial" w:hAnsi="Arial"/>
                <w:b/>
                <w:sz w:val="16"/>
                <w:szCs w:val="16"/>
                <w:lang w:val="en-AU"/>
              </w:rPr>
            </w:pPr>
            <w:r w:rsidRPr="009E4B9D">
              <w:rPr>
                <w:rFonts w:ascii="Arial" w:eastAsiaTheme="minorHAnsi" w:hAnsi="Arial"/>
                <w:b/>
                <w:bCs/>
                <w:color w:val="000000"/>
                <w:sz w:val="16"/>
                <w:szCs w:val="16"/>
                <w:lang w:val="en-AU" w:eastAsia="en-US"/>
              </w:rPr>
              <w:t>597.4</w:t>
            </w:r>
          </w:p>
        </w:tc>
        <w:tc>
          <w:tcPr>
            <w:tcW w:w="1195" w:type="dxa"/>
            <w:tcBorders>
              <w:top w:val="nil"/>
              <w:left w:val="nil"/>
              <w:bottom w:val="nil"/>
              <w:right w:val="nil"/>
            </w:tcBorders>
            <w:shd w:val="clear" w:color="auto" w:fill="auto"/>
            <w:noWrap/>
            <w:vAlign w:val="bottom"/>
          </w:tcPr>
          <w:p w14:paraId="647A5128" w14:textId="77777777" w:rsidR="00DC43FF" w:rsidRPr="009E4B9D" w:rsidRDefault="00DC43FF" w:rsidP="00DC43FF">
            <w:pPr>
              <w:spacing w:before="0" w:after="0" w:line="276" w:lineRule="auto"/>
              <w:jc w:val="right"/>
              <w:rPr>
                <w:rFonts w:ascii="Arial" w:hAnsi="Arial"/>
                <w:b/>
                <w:sz w:val="16"/>
                <w:szCs w:val="16"/>
                <w:lang w:eastAsia="en-US"/>
              </w:rPr>
            </w:pPr>
            <w:r w:rsidRPr="009E4B9D">
              <w:rPr>
                <w:rFonts w:ascii="Arial" w:hAnsi="Arial"/>
                <w:b/>
                <w:sz w:val="16"/>
                <w:szCs w:val="16"/>
                <w:lang w:eastAsia="en-US"/>
              </w:rPr>
              <w:t>158.2</w:t>
            </w:r>
          </w:p>
        </w:tc>
      </w:tr>
      <w:tr w:rsidR="00EF0BBF" w:rsidRPr="00DC43FF" w14:paraId="42E3E5A1" w14:textId="77777777" w:rsidTr="006868B3">
        <w:trPr>
          <w:trHeight w:val="227"/>
        </w:trPr>
        <w:tc>
          <w:tcPr>
            <w:tcW w:w="4875" w:type="dxa"/>
            <w:gridSpan w:val="2"/>
            <w:tcBorders>
              <w:top w:val="single" w:sz="4" w:space="0" w:color="auto"/>
              <w:left w:val="nil"/>
              <w:bottom w:val="nil"/>
              <w:right w:val="nil"/>
            </w:tcBorders>
            <w:shd w:val="clear" w:color="auto" w:fill="auto"/>
            <w:vAlign w:val="center"/>
          </w:tcPr>
          <w:p w14:paraId="60C57D8F" w14:textId="77777777" w:rsidR="00EF0BBF" w:rsidRPr="00DC43FF" w:rsidRDefault="00EF0BBF" w:rsidP="00EF0BBF">
            <w:pPr>
              <w:spacing w:before="0" w:after="0"/>
              <w:rPr>
                <w:rFonts w:ascii="Arial" w:hAnsi="Arial"/>
                <w:b/>
                <w:bCs/>
                <w:sz w:val="16"/>
                <w:szCs w:val="16"/>
                <w:lang w:val="en-AU"/>
              </w:rPr>
            </w:pPr>
            <w:r w:rsidRPr="00DC43FF">
              <w:rPr>
                <w:rFonts w:ascii="Arial" w:hAnsi="Arial"/>
                <w:b/>
                <w:bCs/>
                <w:sz w:val="16"/>
                <w:szCs w:val="16"/>
                <w:lang w:val="en-AU"/>
              </w:rPr>
              <w:t>Navy Capability Infrastructure</w:t>
            </w:r>
            <w:r w:rsidRPr="00DC43FF">
              <w:rPr>
                <w:rFonts w:ascii="Arial" w:hAnsi="Arial"/>
                <w:b/>
                <w:bCs/>
                <w:sz w:val="16"/>
                <w:szCs w:val="16"/>
                <w:lang w:val="en-AU"/>
              </w:rPr>
              <w:br/>
              <w:t>Sub-program: Hunter Class Frigate</w:t>
            </w:r>
            <w:r w:rsidRPr="00DC43FF">
              <w:rPr>
                <w:rFonts w:ascii="Arial" w:hAnsi="Arial"/>
                <w:b/>
                <w:bCs/>
                <w:sz w:val="16"/>
                <w:szCs w:val="16"/>
                <w:lang w:val="en-AU"/>
              </w:rPr>
              <w:br/>
              <w:t>Program Facilities (SEA 5000 Phase 1)</w:t>
            </w:r>
            <w:r w:rsidRPr="00DC43FF">
              <w:rPr>
                <w:rFonts w:ascii="Arial" w:hAnsi="Arial"/>
                <w:b/>
                <w:bCs/>
                <w:sz w:val="16"/>
                <w:szCs w:val="16"/>
                <w:vertAlign w:val="superscript"/>
                <w:lang w:val="en-AU"/>
              </w:rPr>
              <w:t xml:space="preserve"> </w:t>
            </w:r>
          </w:p>
        </w:tc>
        <w:tc>
          <w:tcPr>
            <w:tcW w:w="1191" w:type="dxa"/>
            <w:tcBorders>
              <w:top w:val="single" w:sz="4" w:space="0" w:color="auto"/>
              <w:left w:val="nil"/>
              <w:bottom w:val="nil"/>
              <w:right w:val="nil"/>
            </w:tcBorders>
            <w:shd w:val="clear" w:color="auto" w:fill="auto"/>
            <w:noWrap/>
            <w:vAlign w:val="center"/>
          </w:tcPr>
          <w:p w14:paraId="136EB30A" w14:textId="77777777" w:rsidR="00EF0BBF" w:rsidRPr="00DC43FF" w:rsidRDefault="00EF0BBF" w:rsidP="00EF0BBF">
            <w:pPr>
              <w:spacing w:before="0" w:after="0"/>
              <w:jc w:val="right"/>
              <w:rPr>
                <w:rFonts w:ascii="Times New Roman" w:hAnsi="Times New Roman" w:cs="Times New Roman"/>
                <w:szCs w:val="20"/>
                <w:lang w:val="en-AU"/>
              </w:rPr>
            </w:pPr>
          </w:p>
        </w:tc>
        <w:tc>
          <w:tcPr>
            <w:tcW w:w="1413" w:type="dxa"/>
            <w:tcBorders>
              <w:top w:val="single" w:sz="4" w:space="0" w:color="auto"/>
              <w:left w:val="nil"/>
              <w:bottom w:val="nil"/>
              <w:right w:val="nil"/>
            </w:tcBorders>
            <w:shd w:val="clear" w:color="auto" w:fill="auto"/>
            <w:noWrap/>
            <w:vAlign w:val="center"/>
          </w:tcPr>
          <w:p w14:paraId="18D7432D" w14:textId="77777777" w:rsidR="00EF0BBF" w:rsidRPr="00DC43FF" w:rsidRDefault="00EF0BBF" w:rsidP="00EF0BBF">
            <w:pPr>
              <w:spacing w:before="0" w:after="0"/>
              <w:jc w:val="right"/>
              <w:rPr>
                <w:rFonts w:ascii="Times New Roman" w:hAnsi="Times New Roman" w:cs="Times New Roman"/>
                <w:szCs w:val="20"/>
                <w:lang w:val="en-AU"/>
              </w:rPr>
            </w:pPr>
          </w:p>
        </w:tc>
        <w:tc>
          <w:tcPr>
            <w:tcW w:w="1195" w:type="dxa"/>
            <w:tcBorders>
              <w:top w:val="single" w:sz="4" w:space="0" w:color="auto"/>
              <w:left w:val="nil"/>
              <w:bottom w:val="nil"/>
              <w:right w:val="nil"/>
            </w:tcBorders>
            <w:shd w:val="clear" w:color="auto" w:fill="auto"/>
            <w:noWrap/>
            <w:vAlign w:val="center"/>
          </w:tcPr>
          <w:p w14:paraId="1538E633" w14:textId="77777777" w:rsidR="00EF0BBF" w:rsidRPr="00DC43FF" w:rsidRDefault="00EF0BBF" w:rsidP="00EF0BBF">
            <w:pPr>
              <w:spacing w:before="0" w:after="0"/>
              <w:jc w:val="right"/>
              <w:rPr>
                <w:rFonts w:ascii="Times New Roman" w:hAnsi="Times New Roman" w:cs="Times New Roman"/>
                <w:szCs w:val="20"/>
                <w:lang w:val="en-AU"/>
              </w:rPr>
            </w:pPr>
          </w:p>
        </w:tc>
      </w:tr>
      <w:tr w:rsidR="00DC43FF" w:rsidRPr="00DC43FF" w14:paraId="42128D92" w14:textId="77777777" w:rsidTr="00F600B5">
        <w:trPr>
          <w:trHeight w:val="227"/>
        </w:trPr>
        <w:tc>
          <w:tcPr>
            <w:tcW w:w="3085" w:type="dxa"/>
            <w:tcBorders>
              <w:top w:val="nil"/>
              <w:left w:val="nil"/>
              <w:bottom w:val="nil"/>
              <w:right w:val="nil"/>
            </w:tcBorders>
            <w:shd w:val="clear" w:color="auto" w:fill="auto"/>
            <w:vAlign w:val="center"/>
          </w:tcPr>
          <w:p w14:paraId="3BED26AF" w14:textId="77777777" w:rsidR="00DC43FF" w:rsidRPr="00DC43FF" w:rsidRDefault="00DC43FF" w:rsidP="00DC43FF">
            <w:pPr>
              <w:spacing w:before="0" w:after="0"/>
              <w:ind w:left="113"/>
              <w:rPr>
                <w:rFonts w:ascii="Arial" w:hAnsi="Arial"/>
                <w:b/>
                <w:bCs/>
                <w:sz w:val="16"/>
                <w:szCs w:val="16"/>
                <w:lang w:val="en-AU"/>
              </w:rPr>
            </w:pPr>
            <w:r w:rsidRPr="00DC43FF">
              <w:rPr>
                <w:rFonts w:ascii="Arial" w:hAnsi="Arial"/>
                <w:sz w:val="16"/>
                <w:szCs w:val="16"/>
                <w:lang w:val="en-AU"/>
              </w:rPr>
              <w:t xml:space="preserve">HMAS </w:t>
            </w:r>
            <w:r w:rsidRPr="00DC43FF">
              <w:rPr>
                <w:rFonts w:ascii="Arial" w:hAnsi="Arial"/>
                <w:i/>
                <w:sz w:val="16"/>
                <w:szCs w:val="16"/>
                <w:lang w:val="en-AU"/>
              </w:rPr>
              <w:t>Watson</w:t>
            </w:r>
          </w:p>
        </w:tc>
        <w:tc>
          <w:tcPr>
            <w:tcW w:w="1790" w:type="dxa"/>
            <w:tcBorders>
              <w:top w:val="nil"/>
              <w:left w:val="nil"/>
              <w:bottom w:val="nil"/>
              <w:right w:val="nil"/>
            </w:tcBorders>
            <w:shd w:val="clear" w:color="auto" w:fill="auto"/>
            <w:noWrap/>
            <w:vAlign w:val="center"/>
          </w:tcPr>
          <w:p w14:paraId="13F1CF35" w14:textId="77777777" w:rsidR="00DC43FF" w:rsidRPr="00DC43FF" w:rsidRDefault="00DC43FF" w:rsidP="00DC43FF">
            <w:pPr>
              <w:spacing w:before="0" w:after="0"/>
              <w:jc w:val="right"/>
              <w:rPr>
                <w:rFonts w:ascii="Arial" w:hAnsi="Arial"/>
                <w:b/>
                <w:bCs/>
                <w:sz w:val="16"/>
                <w:szCs w:val="16"/>
                <w:lang w:val="en-AU"/>
              </w:rPr>
            </w:pPr>
            <w:r w:rsidRPr="00DC43FF">
              <w:rPr>
                <w:rFonts w:ascii="Arial" w:hAnsi="Arial"/>
                <w:sz w:val="16"/>
                <w:szCs w:val="16"/>
                <w:lang w:val="en-AU"/>
              </w:rPr>
              <w:t>NSW - Wentworth</w:t>
            </w:r>
          </w:p>
        </w:tc>
        <w:tc>
          <w:tcPr>
            <w:tcW w:w="1191" w:type="dxa"/>
            <w:tcBorders>
              <w:top w:val="nil"/>
              <w:left w:val="nil"/>
              <w:bottom w:val="nil"/>
              <w:right w:val="nil"/>
            </w:tcBorders>
            <w:shd w:val="clear" w:color="auto" w:fill="auto"/>
            <w:noWrap/>
            <w:vAlign w:val="center"/>
          </w:tcPr>
          <w:p w14:paraId="3EA6F09B" w14:textId="77777777" w:rsidR="00DC43FF" w:rsidRPr="00DC43FF" w:rsidRDefault="00DC43FF" w:rsidP="00DC43FF">
            <w:pPr>
              <w:spacing w:before="0" w:after="0"/>
              <w:jc w:val="right"/>
              <w:rPr>
                <w:rFonts w:ascii="Arial" w:hAnsi="Arial"/>
                <w:sz w:val="16"/>
                <w:szCs w:val="16"/>
                <w:lang w:val="en-AU"/>
              </w:rPr>
            </w:pPr>
          </w:p>
        </w:tc>
        <w:tc>
          <w:tcPr>
            <w:tcW w:w="1413" w:type="dxa"/>
            <w:tcBorders>
              <w:top w:val="nil"/>
              <w:left w:val="nil"/>
              <w:bottom w:val="nil"/>
              <w:right w:val="nil"/>
            </w:tcBorders>
            <w:shd w:val="clear" w:color="auto" w:fill="auto"/>
            <w:noWrap/>
            <w:vAlign w:val="bottom"/>
          </w:tcPr>
          <w:p w14:paraId="256947AC" w14:textId="77777777" w:rsidR="00DC43FF" w:rsidRPr="009E4B9D" w:rsidRDefault="00DC43FF" w:rsidP="00DC43FF">
            <w:pPr>
              <w:autoSpaceDE w:val="0"/>
              <w:autoSpaceDN w:val="0"/>
              <w:adjustRightInd w:val="0"/>
              <w:spacing w:before="0" w:after="0" w:line="276" w:lineRule="auto"/>
              <w:jc w:val="right"/>
              <w:rPr>
                <w:rFonts w:ascii="Arial" w:eastAsiaTheme="minorHAnsi" w:hAnsi="Arial"/>
                <w:color w:val="000000"/>
                <w:sz w:val="16"/>
                <w:szCs w:val="16"/>
                <w:lang w:val="en-AU" w:eastAsia="en-US"/>
              </w:rPr>
            </w:pPr>
            <w:r w:rsidRPr="009E4B9D">
              <w:rPr>
                <w:rFonts w:ascii="Arial" w:eastAsiaTheme="minorHAnsi" w:hAnsi="Arial"/>
                <w:color w:val="000000"/>
                <w:sz w:val="16"/>
                <w:szCs w:val="16"/>
                <w:lang w:val="en-AU" w:eastAsia="en-US"/>
              </w:rPr>
              <w:t>0.0</w:t>
            </w:r>
          </w:p>
        </w:tc>
        <w:tc>
          <w:tcPr>
            <w:tcW w:w="1195" w:type="dxa"/>
            <w:tcBorders>
              <w:top w:val="nil"/>
              <w:left w:val="nil"/>
              <w:bottom w:val="nil"/>
              <w:right w:val="nil"/>
            </w:tcBorders>
            <w:shd w:val="clear" w:color="auto" w:fill="auto"/>
            <w:noWrap/>
            <w:vAlign w:val="bottom"/>
          </w:tcPr>
          <w:p w14:paraId="52EF5166" w14:textId="77777777" w:rsidR="00DC43FF" w:rsidRPr="009E4B9D" w:rsidRDefault="00DC43FF" w:rsidP="00DC43FF">
            <w:pPr>
              <w:spacing w:before="0" w:after="0" w:line="276" w:lineRule="auto"/>
              <w:jc w:val="right"/>
              <w:rPr>
                <w:rFonts w:ascii="Arial" w:hAnsi="Arial"/>
                <w:sz w:val="16"/>
                <w:szCs w:val="16"/>
                <w:lang w:eastAsia="en-US"/>
              </w:rPr>
            </w:pPr>
            <w:r w:rsidRPr="009E4B9D">
              <w:rPr>
                <w:rFonts w:ascii="Arial" w:hAnsi="Arial"/>
                <w:sz w:val="16"/>
                <w:szCs w:val="16"/>
                <w:lang w:eastAsia="en-US"/>
              </w:rPr>
              <w:t>0.0</w:t>
            </w:r>
          </w:p>
        </w:tc>
      </w:tr>
      <w:tr w:rsidR="00DC43FF" w:rsidRPr="00DC43FF" w14:paraId="0B02E0D3" w14:textId="77777777" w:rsidTr="00F600B5">
        <w:trPr>
          <w:trHeight w:val="227"/>
        </w:trPr>
        <w:tc>
          <w:tcPr>
            <w:tcW w:w="3085" w:type="dxa"/>
            <w:tcBorders>
              <w:top w:val="nil"/>
              <w:left w:val="nil"/>
              <w:bottom w:val="nil"/>
              <w:right w:val="nil"/>
            </w:tcBorders>
            <w:shd w:val="clear" w:color="auto" w:fill="auto"/>
            <w:vAlign w:val="center"/>
          </w:tcPr>
          <w:p w14:paraId="5CCDF9DF" w14:textId="77777777" w:rsidR="00DC43FF" w:rsidRPr="00DC43FF" w:rsidRDefault="00DC43FF" w:rsidP="00DC43FF">
            <w:pPr>
              <w:spacing w:before="0" w:after="0"/>
              <w:ind w:left="113"/>
              <w:rPr>
                <w:rFonts w:ascii="Arial" w:hAnsi="Arial"/>
                <w:b/>
                <w:bCs/>
                <w:sz w:val="16"/>
                <w:szCs w:val="16"/>
                <w:lang w:val="en-AU"/>
              </w:rPr>
            </w:pPr>
            <w:r w:rsidRPr="00DC43FF">
              <w:rPr>
                <w:rFonts w:ascii="Arial" w:hAnsi="Arial"/>
                <w:sz w:val="16"/>
                <w:szCs w:val="16"/>
                <w:lang w:val="en-AU"/>
              </w:rPr>
              <w:t>Garden Island Defence Precinct</w:t>
            </w:r>
          </w:p>
        </w:tc>
        <w:tc>
          <w:tcPr>
            <w:tcW w:w="1790" w:type="dxa"/>
            <w:tcBorders>
              <w:top w:val="nil"/>
              <w:left w:val="nil"/>
              <w:bottom w:val="nil"/>
              <w:right w:val="nil"/>
            </w:tcBorders>
            <w:shd w:val="clear" w:color="auto" w:fill="auto"/>
            <w:noWrap/>
            <w:vAlign w:val="center"/>
          </w:tcPr>
          <w:p w14:paraId="64F7C610" w14:textId="77777777" w:rsidR="00DC43FF" w:rsidRPr="00DC43FF" w:rsidRDefault="00DC43FF" w:rsidP="00DC43FF">
            <w:pPr>
              <w:spacing w:before="0" w:after="0"/>
              <w:jc w:val="right"/>
              <w:rPr>
                <w:rFonts w:ascii="Arial" w:hAnsi="Arial"/>
                <w:b/>
                <w:bCs/>
                <w:sz w:val="16"/>
                <w:szCs w:val="16"/>
                <w:lang w:val="en-AU"/>
              </w:rPr>
            </w:pPr>
            <w:r w:rsidRPr="00DC43FF">
              <w:rPr>
                <w:rFonts w:ascii="Arial" w:hAnsi="Arial"/>
                <w:sz w:val="16"/>
                <w:szCs w:val="16"/>
                <w:lang w:val="en-AU"/>
              </w:rPr>
              <w:t>NSW - Sydney</w:t>
            </w:r>
          </w:p>
        </w:tc>
        <w:tc>
          <w:tcPr>
            <w:tcW w:w="1191" w:type="dxa"/>
            <w:tcBorders>
              <w:top w:val="nil"/>
              <w:left w:val="nil"/>
              <w:bottom w:val="nil"/>
              <w:right w:val="nil"/>
            </w:tcBorders>
            <w:shd w:val="clear" w:color="auto" w:fill="auto"/>
            <w:noWrap/>
            <w:vAlign w:val="center"/>
          </w:tcPr>
          <w:p w14:paraId="10763CCA" w14:textId="77777777" w:rsidR="00DC43FF" w:rsidRPr="00DC43FF" w:rsidRDefault="00DC43FF" w:rsidP="00DC43FF">
            <w:pPr>
              <w:spacing w:before="0" w:after="0"/>
              <w:jc w:val="right"/>
              <w:rPr>
                <w:rFonts w:ascii="Arial" w:hAnsi="Arial"/>
                <w:sz w:val="16"/>
                <w:szCs w:val="16"/>
                <w:lang w:val="en-AU"/>
              </w:rPr>
            </w:pPr>
          </w:p>
        </w:tc>
        <w:tc>
          <w:tcPr>
            <w:tcW w:w="1413" w:type="dxa"/>
            <w:tcBorders>
              <w:top w:val="nil"/>
              <w:left w:val="nil"/>
              <w:bottom w:val="nil"/>
              <w:right w:val="nil"/>
            </w:tcBorders>
            <w:shd w:val="clear" w:color="auto" w:fill="auto"/>
            <w:noWrap/>
            <w:vAlign w:val="bottom"/>
          </w:tcPr>
          <w:p w14:paraId="2306D738" w14:textId="77777777" w:rsidR="00DC43FF" w:rsidRPr="009E4B9D" w:rsidRDefault="00DC43FF" w:rsidP="00DC43FF">
            <w:pPr>
              <w:autoSpaceDE w:val="0"/>
              <w:autoSpaceDN w:val="0"/>
              <w:adjustRightInd w:val="0"/>
              <w:spacing w:before="0" w:after="0" w:line="276" w:lineRule="auto"/>
              <w:jc w:val="right"/>
              <w:rPr>
                <w:rFonts w:ascii="Arial" w:eastAsiaTheme="minorHAnsi" w:hAnsi="Arial"/>
                <w:color w:val="000000"/>
                <w:sz w:val="16"/>
                <w:szCs w:val="16"/>
                <w:lang w:val="en-AU" w:eastAsia="en-US"/>
              </w:rPr>
            </w:pPr>
            <w:r w:rsidRPr="009E4B9D">
              <w:rPr>
                <w:rFonts w:ascii="Arial" w:eastAsiaTheme="minorHAnsi" w:hAnsi="Arial"/>
                <w:color w:val="000000"/>
                <w:sz w:val="16"/>
                <w:szCs w:val="16"/>
                <w:lang w:val="en-AU" w:eastAsia="en-US"/>
              </w:rPr>
              <w:t>0.0</w:t>
            </w:r>
          </w:p>
        </w:tc>
        <w:tc>
          <w:tcPr>
            <w:tcW w:w="1195" w:type="dxa"/>
            <w:tcBorders>
              <w:top w:val="nil"/>
              <w:left w:val="nil"/>
              <w:bottom w:val="nil"/>
              <w:right w:val="nil"/>
            </w:tcBorders>
            <w:shd w:val="clear" w:color="auto" w:fill="auto"/>
            <w:noWrap/>
            <w:vAlign w:val="bottom"/>
          </w:tcPr>
          <w:p w14:paraId="587B3DE8" w14:textId="77777777" w:rsidR="00DC43FF" w:rsidRPr="009E4B9D" w:rsidRDefault="00DC43FF" w:rsidP="00DC43FF">
            <w:pPr>
              <w:spacing w:before="0" w:after="0" w:line="276" w:lineRule="auto"/>
              <w:jc w:val="right"/>
              <w:rPr>
                <w:rFonts w:ascii="Arial" w:hAnsi="Arial"/>
                <w:sz w:val="16"/>
                <w:szCs w:val="16"/>
                <w:lang w:eastAsia="en-US"/>
              </w:rPr>
            </w:pPr>
            <w:r w:rsidRPr="009E4B9D">
              <w:rPr>
                <w:rFonts w:ascii="Arial" w:hAnsi="Arial"/>
                <w:sz w:val="16"/>
                <w:szCs w:val="16"/>
                <w:lang w:eastAsia="en-US"/>
              </w:rPr>
              <w:t>0.0</w:t>
            </w:r>
          </w:p>
        </w:tc>
      </w:tr>
      <w:tr w:rsidR="00DC43FF" w:rsidRPr="00DC43FF" w14:paraId="7F10894A" w14:textId="77777777" w:rsidTr="00F600B5">
        <w:trPr>
          <w:trHeight w:val="227"/>
        </w:trPr>
        <w:tc>
          <w:tcPr>
            <w:tcW w:w="3085" w:type="dxa"/>
            <w:tcBorders>
              <w:top w:val="nil"/>
              <w:left w:val="nil"/>
              <w:bottom w:val="nil"/>
              <w:right w:val="nil"/>
            </w:tcBorders>
            <w:shd w:val="clear" w:color="auto" w:fill="auto"/>
            <w:vAlign w:val="center"/>
          </w:tcPr>
          <w:p w14:paraId="0877B594" w14:textId="77777777" w:rsidR="00DC43FF" w:rsidRPr="00DC43FF" w:rsidRDefault="00DC43FF" w:rsidP="00DC43FF">
            <w:pPr>
              <w:spacing w:before="0" w:after="0"/>
              <w:ind w:left="113"/>
              <w:rPr>
                <w:rFonts w:ascii="Arial" w:hAnsi="Arial"/>
                <w:b/>
                <w:bCs/>
                <w:sz w:val="16"/>
                <w:szCs w:val="16"/>
                <w:lang w:val="en-AU"/>
              </w:rPr>
            </w:pPr>
            <w:r w:rsidRPr="00DC43FF">
              <w:rPr>
                <w:rFonts w:ascii="Arial" w:hAnsi="Arial"/>
                <w:sz w:val="16"/>
                <w:szCs w:val="16"/>
                <w:lang w:val="en-AU"/>
              </w:rPr>
              <w:t>St Kilda</w:t>
            </w:r>
          </w:p>
        </w:tc>
        <w:tc>
          <w:tcPr>
            <w:tcW w:w="1790" w:type="dxa"/>
            <w:tcBorders>
              <w:top w:val="nil"/>
              <w:left w:val="nil"/>
              <w:bottom w:val="nil"/>
              <w:right w:val="nil"/>
            </w:tcBorders>
            <w:shd w:val="clear" w:color="auto" w:fill="auto"/>
            <w:noWrap/>
            <w:vAlign w:val="center"/>
          </w:tcPr>
          <w:p w14:paraId="737DA7B5" w14:textId="77777777" w:rsidR="00DC43FF" w:rsidRPr="00DC43FF" w:rsidRDefault="00DC43FF" w:rsidP="00DC43FF">
            <w:pPr>
              <w:spacing w:before="0" w:after="0"/>
              <w:jc w:val="right"/>
              <w:rPr>
                <w:rFonts w:ascii="Arial" w:hAnsi="Arial"/>
                <w:b/>
                <w:bCs/>
                <w:sz w:val="16"/>
                <w:szCs w:val="16"/>
                <w:lang w:val="en-AU"/>
              </w:rPr>
            </w:pPr>
            <w:r w:rsidRPr="00DC43FF">
              <w:rPr>
                <w:rFonts w:ascii="Arial" w:hAnsi="Arial"/>
                <w:bCs/>
                <w:sz w:val="16"/>
                <w:szCs w:val="16"/>
                <w:lang w:val="en-AU"/>
              </w:rPr>
              <w:t>SA - Spence</w:t>
            </w:r>
          </w:p>
        </w:tc>
        <w:tc>
          <w:tcPr>
            <w:tcW w:w="1191" w:type="dxa"/>
            <w:tcBorders>
              <w:top w:val="nil"/>
              <w:left w:val="nil"/>
              <w:bottom w:val="nil"/>
              <w:right w:val="nil"/>
            </w:tcBorders>
            <w:shd w:val="clear" w:color="auto" w:fill="auto"/>
            <w:noWrap/>
            <w:vAlign w:val="center"/>
          </w:tcPr>
          <w:p w14:paraId="3697CCC1" w14:textId="77777777" w:rsidR="00DC43FF" w:rsidRPr="00DC43FF" w:rsidRDefault="00DC43FF" w:rsidP="00DC43FF">
            <w:pPr>
              <w:spacing w:before="0" w:after="0"/>
              <w:jc w:val="right"/>
              <w:rPr>
                <w:rFonts w:ascii="Arial" w:hAnsi="Arial"/>
                <w:sz w:val="16"/>
                <w:szCs w:val="16"/>
                <w:lang w:val="en-AU"/>
              </w:rPr>
            </w:pPr>
          </w:p>
        </w:tc>
        <w:tc>
          <w:tcPr>
            <w:tcW w:w="1413" w:type="dxa"/>
            <w:tcBorders>
              <w:top w:val="nil"/>
              <w:left w:val="nil"/>
              <w:bottom w:val="nil"/>
              <w:right w:val="nil"/>
            </w:tcBorders>
            <w:shd w:val="clear" w:color="auto" w:fill="auto"/>
            <w:noWrap/>
            <w:vAlign w:val="bottom"/>
          </w:tcPr>
          <w:p w14:paraId="7896E7A5" w14:textId="77777777" w:rsidR="00DC43FF" w:rsidRPr="009E4B9D" w:rsidRDefault="00DC43FF" w:rsidP="00DC43FF">
            <w:pPr>
              <w:autoSpaceDE w:val="0"/>
              <w:autoSpaceDN w:val="0"/>
              <w:adjustRightInd w:val="0"/>
              <w:spacing w:before="0" w:after="0" w:line="276" w:lineRule="auto"/>
              <w:jc w:val="right"/>
              <w:rPr>
                <w:rFonts w:ascii="Arial" w:eastAsiaTheme="minorHAnsi" w:hAnsi="Arial"/>
                <w:color w:val="000000"/>
                <w:sz w:val="16"/>
                <w:szCs w:val="16"/>
                <w:lang w:val="en-AU" w:eastAsia="en-US"/>
              </w:rPr>
            </w:pPr>
            <w:r w:rsidRPr="009E4B9D">
              <w:rPr>
                <w:rFonts w:ascii="Arial" w:eastAsiaTheme="minorHAnsi" w:hAnsi="Arial"/>
                <w:color w:val="000000"/>
                <w:sz w:val="16"/>
                <w:szCs w:val="16"/>
                <w:lang w:val="en-AU" w:eastAsia="en-US"/>
              </w:rPr>
              <w:t>100.1</w:t>
            </w:r>
          </w:p>
        </w:tc>
        <w:tc>
          <w:tcPr>
            <w:tcW w:w="1195" w:type="dxa"/>
            <w:tcBorders>
              <w:top w:val="nil"/>
              <w:left w:val="nil"/>
              <w:bottom w:val="nil"/>
              <w:right w:val="nil"/>
            </w:tcBorders>
            <w:shd w:val="clear" w:color="auto" w:fill="auto"/>
            <w:noWrap/>
            <w:vAlign w:val="bottom"/>
          </w:tcPr>
          <w:p w14:paraId="5041957C" w14:textId="77777777" w:rsidR="00DC43FF" w:rsidRPr="009E4B9D" w:rsidRDefault="00DC43FF" w:rsidP="00DC43FF">
            <w:pPr>
              <w:spacing w:before="0" w:after="0" w:line="276" w:lineRule="auto"/>
              <w:jc w:val="right"/>
              <w:rPr>
                <w:rFonts w:ascii="Arial" w:hAnsi="Arial"/>
                <w:sz w:val="16"/>
                <w:szCs w:val="16"/>
                <w:lang w:eastAsia="en-US"/>
              </w:rPr>
            </w:pPr>
            <w:r w:rsidRPr="009E4B9D">
              <w:rPr>
                <w:rFonts w:ascii="Arial" w:hAnsi="Arial"/>
                <w:sz w:val="16"/>
                <w:szCs w:val="16"/>
                <w:lang w:eastAsia="en-US"/>
              </w:rPr>
              <w:t>8.8</w:t>
            </w:r>
          </w:p>
        </w:tc>
      </w:tr>
      <w:tr w:rsidR="00DC43FF" w:rsidRPr="00DC43FF" w14:paraId="6C68268F" w14:textId="77777777" w:rsidTr="00F600B5">
        <w:trPr>
          <w:trHeight w:val="227"/>
        </w:trPr>
        <w:tc>
          <w:tcPr>
            <w:tcW w:w="3085" w:type="dxa"/>
            <w:tcBorders>
              <w:top w:val="nil"/>
              <w:left w:val="nil"/>
              <w:bottom w:val="nil"/>
              <w:right w:val="nil"/>
            </w:tcBorders>
            <w:shd w:val="clear" w:color="auto" w:fill="auto"/>
            <w:vAlign w:val="center"/>
          </w:tcPr>
          <w:p w14:paraId="386FD485" w14:textId="77777777" w:rsidR="00DC43FF" w:rsidRPr="00DC43FF" w:rsidRDefault="00DC43FF" w:rsidP="00DC43FF">
            <w:pPr>
              <w:spacing w:before="0" w:after="0"/>
              <w:ind w:left="113"/>
              <w:rPr>
                <w:rFonts w:ascii="Arial" w:hAnsi="Arial"/>
                <w:b/>
                <w:bCs/>
                <w:sz w:val="16"/>
                <w:szCs w:val="16"/>
                <w:lang w:val="en-AU"/>
              </w:rPr>
            </w:pPr>
            <w:r w:rsidRPr="00DC43FF">
              <w:rPr>
                <w:rFonts w:ascii="Arial" w:hAnsi="Arial"/>
                <w:sz w:val="16"/>
                <w:szCs w:val="16"/>
                <w:lang w:val="en-AU"/>
              </w:rPr>
              <w:t>Osborne Naval Shipyard</w:t>
            </w:r>
          </w:p>
        </w:tc>
        <w:tc>
          <w:tcPr>
            <w:tcW w:w="1790" w:type="dxa"/>
            <w:tcBorders>
              <w:top w:val="nil"/>
              <w:left w:val="nil"/>
              <w:bottom w:val="nil"/>
              <w:right w:val="nil"/>
            </w:tcBorders>
            <w:shd w:val="clear" w:color="auto" w:fill="auto"/>
            <w:noWrap/>
            <w:vAlign w:val="center"/>
          </w:tcPr>
          <w:p w14:paraId="3538B6E0" w14:textId="77777777" w:rsidR="00DC43FF" w:rsidRPr="00DC43FF" w:rsidRDefault="00DC43FF" w:rsidP="00DC43FF">
            <w:pPr>
              <w:spacing w:before="0" w:after="0"/>
              <w:jc w:val="right"/>
              <w:rPr>
                <w:rFonts w:ascii="Arial" w:hAnsi="Arial"/>
                <w:b/>
                <w:bCs/>
                <w:sz w:val="16"/>
                <w:szCs w:val="16"/>
                <w:lang w:val="en-AU"/>
              </w:rPr>
            </w:pPr>
            <w:r w:rsidRPr="00DC43FF">
              <w:rPr>
                <w:rFonts w:ascii="Arial" w:hAnsi="Arial"/>
                <w:bCs/>
                <w:sz w:val="16"/>
                <w:szCs w:val="16"/>
                <w:lang w:val="en-AU"/>
              </w:rPr>
              <w:t xml:space="preserve">SA - Hindmarsh </w:t>
            </w:r>
          </w:p>
        </w:tc>
        <w:tc>
          <w:tcPr>
            <w:tcW w:w="1191" w:type="dxa"/>
            <w:tcBorders>
              <w:top w:val="nil"/>
              <w:left w:val="nil"/>
              <w:bottom w:val="nil"/>
              <w:right w:val="nil"/>
            </w:tcBorders>
            <w:shd w:val="clear" w:color="auto" w:fill="auto"/>
            <w:noWrap/>
            <w:vAlign w:val="center"/>
          </w:tcPr>
          <w:p w14:paraId="5BCC90EE" w14:textId="77777777" w:rsidR="00DC43FF" w:rsidRPr="00DC43FF" w:rsidRDefault="00DC43FF" w:rsidP="00DC43FF">
            <w:pPr>
              <w:spacing w:before="0" w:after="0"/>
              <w:jc w:val="right"/>
              <w:rPr>
                <w:rFonts w:ascii="Arial" w:hAnsi="Arial"/>
                <w:sz w:val="16"/>
                <w:szCs w:val="16"/>
                <w:lang w:val="en-AU"/>
              </w:rPr>
            </w:pPr>
          </w:p>
        </w:tc>
        <w:tc>
          <w:tcPr>
            <w:tcW w:w="1413" w:type="dxa"/>
            <w:tcBorders>
              <w:top w:val="nil"/>
              <w:left w:val="nil"/>
              <w:bottom w:val="nil"/>
              <w:right w:val="nil"/>
            </w:tcBorders>
            <w:shd w:val="clear" w:color="auto" w:fill="auto"/>
            <w:noWrap/>
            <w:vAlign w:val="bottom"/>
          </w:tcPr>
          <w:p w14:paraId="51E0E755" w14:textId="77777777" w:rsidR="00DC43FF" w:rsidRPr="009E4B9D" w:rsidRDefault="00DC43FF" w:rsidP="00DC43FF">
            <w:pPr>
              <w:autoSpaceDE w:val="0"/>
              <w:autoSpaceDN w:val="0"/>
              <w:adjustRightInd w:val="0"/>
              <w:spacing w:before="0" w:after="0" w:line="276" w:lineRule="auto"/>
              <w:jc w:val="right"/>
              <w:rPr>
                <w:rFonts w:ascii="Arial" w:eastAsiaTheme="minorHAnsi" w:hAnsi="Arial"/>
                <w:color w:val="000000"/>
                <w:sz w:val="16"/>
                <w:szCs w:val="16"/>
                <w:lang w:val="en-AU" w:eastAsia="en-US"/>
              </w:rPr>
            </w:pPr>
            <w:r w:rsidRPr="009E4B9D">
              <w:rPr>
                <w:rFonts w:ascii="Arial" w:eastAsiaTheme="minorHAnsi" w:hAnsi="Arial"/>
                <w:color w:val="000000"/>
                <w:sz w:val="16"/>
                <w:szCs w:val="16"/>
                <w:lang w:val="en-AU" w:eastAsia="en-US"/>
              </w:rPr>
              <w:t>137.2</w:t>
            </w:r>
          </w:p>
        </w:tc>
        <w:tc>
          <w:tcPr>
            <w:tcW w:w="1195" w:type="dxa"/>
            <w:tcBorders>
              <w:top w:val="nil"/>
              <w:left w:val="nil"/>
              <w:bottom w:val="nil"/>
              <w:right w:val="nil"/>
            </w:tcBorders>
            <w:shd w:val="clear" w:color="auto" w:fill="auto"/>
            <w:noWrap/>
            <w:vAlign w:val="bottom"/>
          </w:tcPr>
          <w:p w14:paraId="3C177ECC" w14:textId="77777777" w:rsidR="00DC43FF" w:rsidRPr="009E4B9D" w:rsidRDefault="00DC43FF" w:rsidP="00DC43FF">
            <w:pPr>
              <w:spacing w:before="0" w:after="0" w:line="276" w:lineRule="auto"/>
              <w:jc w:val="right"/>
              <w:rPr>
                <w:rFonts w:ascii="Arial" w:hAnsi="Arial"/>
                <w:sz w:val="16"/>
                <w:szCs w:val="16"/>
                <w:lang w:eastAsia="en-US"/>
              </w:rPr>
            </w:pPr>
            <w:r w:rsidRPr="009E4B9D">
              <w:rPr>
                <w:rFonts w:ascii="Arial" w:hAnsi="Arial"/>
                <w:sz w:val="16"/>
                <w:szCs w:val="16"/>
                <w:lang w:eastAsia="en-US"/>
              </w:rPr>
              <w:t>8.6</w:t>
            </w:r>
          </w:p>
        </w:tc>
      </w:tr>
      <w:tr w:rsidR="00DC43FF" w:rsidRPr="00DC43FF" w14:paraId="7E160041" w14:textId="77777777" w:rsidTr="00F600B5">
        <w:trPr>
          <w:trHeight w:val="227"/>
        </w:trPr>
        <w:tc>
          <w:tcPr>
            <w:tcW w:w="3085" w:type="dxa"/>
            <w:tcBorders>
              <w:top w:val="nil"/>
              <w:left w:val="nil"/>
              <w:bottom w:val="nil"/>
              <w:right w:val="nil"/>
            </w:tcBorders>
            <w:shd w:val="clear" w:color="auto" w:fill="auto"/>
            <w:vAlign w:val="center"/>
          </w:tcPr>
          <w:p w14:paraId="729C1C9B" w14:textId="77777777" w:rsidR="00DC43FF" w:rsidRPr="00DC43FF" w:rsidRDefault="00DC43FF" w:rsidP="00DC43FF">
            <w:pPr>
              <w:spacing w:before="0" w:after="0"/>
              <w:ind w:left="113"/>
              <w:rPr>
                <w:rFonts w:ascii="Arial" w:hAnsi="Arial"/>
                <w:b/>
                <w:bCs/>
                <w:sz w:val="16"/>
                <w:szCs w:val="16"/>
                <w:lang w:val="en-AU"/>
              </w:rPr>
            </w:pPr>
            <w:r w:rsidRPr="00DC43FF">
              <w:rPr>
                <w:rFonts w:ascii="Arial" w:hAnsi="Arial"/>
                <w:sz w:val="16"/>
                <w:szCs w:val="16"/>
                <w:lang w:val="en-AU"/>
              </w:rPr>
              <w:t xml:space="preserve">HMAS </w:t>
            </w:r>
            <w:r w:rsidRPr="00DC43FF">
              <w:rPr>
                <w:rFonts w:ascii="Arial" w:hAnsi="Arial"/>
                <w:i/>
                <w:sz w:val="16"/>
                <w:szCs w:val="16"/>
                <w:lang w:val="en-AU"/>
              </w:rPr>
              <w:t>Stirling</w:t>
            </w:r>
          </w:p>
        </w:tc>
        <w:tc>
          <w:tcPr>
            <w:tcW w:w="1790" w:type="dxa"/>
            <w:tcBorders>
              <w:top w:val="nil"/>
              <w:left w:val="nil"/>
              <w:bottom w:val="nil"/>
              <w:right w:val="nil"/>
            </w:tcBorders>
            <w:shd w:val="clear" w:color="auto" w:fill="auto"/>
            <w:noWrap/>
            <w:vAlign w:val="center"/>
          </w:tcPr>
          <w:p w14:paraId="6A024C6F" w14:textId="77777777" w:rsidR="00DC43FF" w:rsidRPr="00DC43FF" w:rsidRDefault="00DC43FF" w:rsidP="00DC43FF">
            <w:pPr>
              <w:spacing w:before="0" w:after="0"/>
              <w:jc w:val="right"/>
              <w:rPr>
                <w:rFonts w:ascii="Arial" w:hAnsi="Arial"/>
                <w:b/>
                <w:bCs/>
                <w:sz w:val="16"/>
                <w:szCs w:val="16"/>
                <w:lang w:val="en-AU"/>
              </w:rPr>
            </w:pPr>
            <w:r w:rsidRPr="00DC43FF">
              <w:rPr>
                <w:rFonts w:ascii="Arial" w:hAnsi="Arial"/>
                <w:bCs/>
                <w:sz w:val="16"/>
                <w:szCs w:val="16"/>
                <w:lang w:val="en-AU"/>
              </w:rPr>
              <w:t xml:space="preserve">WA - Brand </w:t>
            </w:r>
          </w:p>
        </w:tc>
        <w:tc>
          <w:tcPr>
            <w:tcW w:w="1191" w:type="dxa"/>
            <w:tcBorders>
              <w:top w:val="nil"/>
              <w:left w:val="nil"/>
              <w:bottom w:val="nil"/>
              <w:right w:val="nil"/>
            </w:tcBorders>
            <w:shd w:val="clear" w:color="auto" w:fill="auto"/>
            <w:noWrap/>
            <w:vAlign w:val="center"/>
          </w:tcPr>
          <w:p w14:paraId="753B2E57" w14:textId="77777777" w:rsidR="00DC43FF" w:rsidRPr="00DC43FF" w:rsidRDefault="00DC43FF" w:rsidP="00DC43FF">
            <w:pPr>
              <w:spacing w:before="0" w:after="0"/>
              <w:jc w:val="right"/>
              <w:rPr>
                <w:rFonts w:ascii="Arial" w:hAnsi="Arial"/>
                <w:sz w:val="16"/>
                <w:szCs w:val="16"/>
                <w:lang w:val="en-AU"/>
              </w:rPr>
            </w:pPr>
          </w:p>
        </w:tc>
        <w:tc>
          <w:tcPr>
            <w:tcW w:w="1413" w:type="dxa"/>
            <w:tcBorders>
              <w:top w:val="nil"/>
              <w:left w:val="nil"/>
              <w:bottom w:val="nil"/>
              <w:right w:val="nil"/>
            </w:tcBorders>
            <w:shd w:val="clear" w:color="auto" w:fill="auto"/>
            <w:noWrap/>
            <w:vAlign w:val="bottom"/>
          </w:tcPr>
          <w:p w14:paraId="7A6DAEA5" w14:textId="77777777" w:rsidR="00DC43FF" w:rsidRPr="009E4B9D" w:rsidRDefault="00DC43FF" w:rsidP="00DC43FF">
            <w:pPr>
              <w:autoSpaceDE w:val="0"/>
              <w:autoSpaceDN w:val="0"/>
              <w:adjustRightInd w:val="0"/>
              <w:spacing w:before="0" w:after="0" w:line="276" w:lineRule="auto"/>
              <w:jc w:val="right"/>
              <w:rPr>
                <w:rFonts w:ascii="Arial" w:eastAsiaTheme="minorHAnsi" w:hAnsi="Arial"/>
                <w:color w:val="000000"/>
                <w:sz w:val="16"/>
                <w:szCs w:val="16"/>
                <w:lang w:val="en-AU" w:eastAsia="en-US"/>
              </w:rPr>
            </w:pPr>
            <w:r w:rsidRPr="009E4B9D">
              <w:rPr>
                <w:rFonts w:ascii="Arial" w:eastAsiaTheme="minorHAnsi" w:hAnsi="Arial"/>
                <w:color w:val="000000"/>
                <w:sz w:val="16"/>
                <w:szCs w:val="16"/>
                <w:lang w:val="en-AU" w:eastAsia="en-US"/>
              </w:rPr>
              <w:t>268.7</w:t>
            </w:r>
          </w:p>
        </w:tc>
        <w:tc>
          <w:tcPr>
            <w:tcW w:w="1195" w:type="dxa"/>
            <w:tcBorders>
              <w:top w:val="nil"/>
              <w:left w:val="nil"/>
              <w:bottom w:val="nil"/>
              <w:right w:val="nil"/>
            </w:tcBorders>
            <w:shd w:val="clear" w:color="auto" w:fill="auto"/>
            <w:noWrap/>
            <w:vAlign w:val="bottom"/>
          </w:tcPr>
          <w:p w14:paraId="5CD1F7A3" w14:textId="77777777" w:rsidR="00DC43FF" w:rsidRPr="009E4B9D" w:rsidRDefault="00DC43FF" w:rsidP="00DC43FF">
            <w:pPr>
              <w:spacing w:before="0" w:after="0" w:line="276" w:lineRule="auto"/>
              <w:jc w:val="right"/>
              <w:rPr>
                <w:rFonts w:ascii="Arial" w:hAnsi="Arial"/>
                <w:sz w:val="16"/>
                <w:szCs w:val="16"/>
                <w:lang w:eastAsia="en-US"/>
              </w:rPr>
            </w:pPr>
            <w:r w:rsidRPr="009E4B9D">
              <w:rPr>
                <w:rFonts w:ascii="Arial" w:hAnsi="Arial"/>
                <w:sz w:val="16"/>
                <w:szCs w:val="16"/>
                <w:lang w:eastAsia="en-US"/>
              </w:rPr>
              <w:t>0.4</w:t>
            </w:r>
          </w:p>
        </w:tc>
      </w:tr>
      <w:tr w:rsidR="00DC43FF" w:rsidRPr="00DC43FF" w14:paraId="1A3A46A5" w14:textId="77777777" w:rsidTr="00F600B5">
        <w:trPr>
          <w:trHeight w:val="227"/>
        </w:trPr>
        <w:tc>
          <w:tcPr>
            <w:tcW w:w="3085" w:type="dxa"/>
            <w:tcBorders>
              <w:top w:val="nil"/>
              <w:left w:val="nil"/>
              <w:bottom w:val="nil"/>
              <w:right w:val="nil"/>
            </w:tcBorders>
            <w:shd w:val="clear" w:color="auto" w:fill="auto"/>
            <w:vAlign w:val="center"/>
          </w:tcPr>
          <w:p w14:paraId="2D14A7DD" w14:textId="77777777" w:rsidR="00DC43FF" w:rsidRPr="00DC43FF" w:rsidRDefault="00DC43FF" w:rsidP="00DC43FF">
            <w:pPr>
              <w:spacing w:before="0" w:after="0"/>
              <w:ind w:left="113"/>
              <w:rPr>
                <w:rFonts w:ascii="Arial" w:hAnsi="Arial"/>
                <w:b/>
                <w:bCs/>
                <w:sz w:val="16"/>
                <w:szCs w:val="16"/>
                <w:lang w:val="en-AU"/>
              </w:rPr>
            </w:pPr>
            <w:r w:rsidRPr="00DC43FF">
              <w:rPr>
                <w:rFonts w:ascii="Arial" w:hAnsi="Arial"/>
                <w:sz w:val="16"/>
                <w:szCs w:val="16"/>
                <w:lang w:val="en-AU"/>
              </w:rPr>
              <w:t>Henderson Maritime Precinct</w:t>
            </w:r>
          </w:p>
        </w:tc>
        <w:tc>
          <w:tcPr>
            <w:tcW w:w="1790" w:type="dxa"/>
            <w:tcBorders>
              <w:top w:val="nil"/>
              <w:left w:val="nil"/>
              <w:bottom w:val="nil"/>
              <w:right w:val="nil"/>
            </w:tcBorders>
            <w:shd w:val="clear" w:color="auto" w:fill="auto"/>
            <w:noWrap/>
            <w:vAlign w:val="center"/>
          </w:tcPr>
          <w:p w14:paraId="0C7892A5" w14:textId="77777777" w:rsidR="00DC43FF" w:rsidRPr="00DC43FF" w:rsidRDefault="00DC43FF" w:rsidP="00DC43FF">
            <w:pPr>
              <w:spacing w:before="0" w:after="0"/>
              <w:jc w:val="right"/>
              <w:rPr>
                <w:rFonts w:ascii="Arial" w:hAnsi="Arial"/>
                <w:b/>
                <w:bCs/>
                <w:sz w:val="16"/>
                <w:szCs w:val="16"/>
                <w:lang w:val="en-AU"/>
              </w:rPr>
            </w:pPr>
            <w:r w:rsidRPr="00DC43FF">
              <w:rPr>
                <w:rFonts w:ascii="Arial" w:hAnsi="Arial"/>
                <w:bCs/>
                <w:sz w:val="16"/>
                <w:szCs w:val="16"/>
                <w:lang w:val="en-AU"/>
              </w:rPr>
              <w:t xml:space="preserve">WA - Fremantle </w:t>
            </w:r>
          </w:p>
        </w:tc>
        <w:tc>
          <w:tcPr>
            <w:tcW w:w="1191" w:type="dxa"/>
            <w:tcBorders>
              <w:top w:val="nil"/>
              <w:left w:val="nil"/>
              <w:bottom w:val="nil"/>
              <w:right w:val="nil"/>
            </w:tcBorders>
            <w:shd w:val="clear" w:color="auto" w:fill="auto"/>
            <w:noWrap/>
            <w:vAlign w:val="center"/>
          </w:tcPr>
          <w:p w14:paraId="089E70C1" w14:textId="77777777" w:rsidR="00DC43FF" w:rsidRPr="00DC43FF" w:rsidRDefault="00DC43FF" w:rsidP="00DC43FF">
            <w:pPr>
              <w:spacing w:before="0" w:after="0"/>
              <w:jc w:val="right"/>
              <w:rPr>
                <w:rFonts w:ascii="Arial" w:hAnsi="Arial"/>
                <w:sz w:val="16"/>
                <w:szCs w:val="16"/>
                <w:lang w:val="en-AU"/>
              </w:rPr>
            </w:pPr>
          </w:p>
        </w:tc>
        <w:tc>
          <w:tcPr>
            <w:tcW w:w="1413" w:type="dxa"/>
            <w:tcBorders>
              <w:top w:val="nil"/>
              <w:left w:val="nil"/>
              <w:bottom w:val="nil"/>
              <w:right w:val="nil"/>
            </w:tcBorders>
            <w:shd w:val="clear" w:color="auto" w:fill="auto"/>
            <w:noWrap/>
            <w:vAlign w:val="bottom"/>
          </w:tcPr>
          <w:p w14:paraId="4158410E" w14:textId="77777777" w:rsidR="00DC43FF" w:rsidRPr="009E4B9D" w:rsidRDefault="00DC43FF" w:rsidP="00DC43FF">
            <w:pPr>
              <w:autoSpaceDE w:val="0"/>
              <w:autoSpaceDN w:val="0"/>
              <w:adjustRightInd w:val="0"/>
              <w:spacing w:before="0" w:after="0" w:line="276" w:lineRule="auto"/>
              <w:jc w:val="right"/>
              <w:rPr>
                <w:rFonts w:ascii="Arial" w:eastAsiaTheme="minorHAnsi" w:hAnsi="Arial"/>
                <w:color w:val="000000"/>
                <w:sz w:val="16"/>
                <w:szCs w:val="16"/>
                <w:lang w:val="en-AU" w:eastAsia="en-US"/>
              </w:rPr>
            </w:pPr>
            <w:r w:rsidRPr="009E4B9D">
              <w:rPr>
                <w:rFonts w:ascii="Arial" w:eastAsiaTheme="minorHAnsi" w:hAnsi="Arial"/>
                <w:color w:val="000000"/>
                <w:sz w:val="16"/>
                <w:szCs w:val="16"/>
                <w:lang w:val="en-AU" w:eastAsia="en-US"/>
              </w:rPr>
              <w:t>104.7</w:t>
            </w:r>
          </w:p>
        </w:tc>
        <w:tc>
          <w:tcPr>
            <w:tcW w:w="1195" w:type="dxa"/>
            <w:tcBorders>
              <w:top w:val="nil"/>
              <w:left w:val="nil"/>
              <w:bottom w:val="nil"/>
              <w:right w:val="nil"/>
            </w:tcBorders>
            <w:shd w:val="clear" w:color="auto" w:fill="auto"/>
            <w:noWrap/>
            <w:vAlign w:val="bottom"/>
          </w:tcPr>
          <w:p w14:paraId="71C47E9D" w14:textId="77777777" w:rsidR="00DC43FF" w:rsidRPr="009E4B9D" w:rsidRDefault="00DC43FF" w:rsidP="00DC43FF">
            <w:pPr>
              <w:spacing w:before="0" w:after="0" w:line="276" w:lineRule="auto"/>
              <w:jc w:val="right"/>
              <w:rPr>
                <w:rFonts w:ascii="Arial" w:hAnsi="Arial"/>
                <w:sz w:val="16"/>
                <w:szCs w:val="16"/>
                <w:lang w:eastAsia="en-US"/>
              </w:rPr>
            </w:pPr>
            <w:r w:rsidRPr="009E4B9D">
              <w:rPr>
                <w:rFonts w:ascii="Arial" w:hAnsi="Arial"/>
                <w:sz w:val="16"/>
                <w:szCs w:val="16"/>
                <w:lang w:eastAsia="en-US"/>
              </w:rPr>
              <w:t>0.0</w:t>
            </w:r>
          </w:p>
        </w:tc>
      </w:tr>
      <w:tr w:rsidR="00DC43FF" w:rsidRPr="00BA1388" w14:paraId="503B5884" w14:textId="77777777" w:rsidTr="00F600B5">
        <w:trPr>
          <w:trHeight w:val="227"/>
        </w:trPr>
        <w:tc>
          <w:tcPr>
            <w:tcW w:w="3085" w:type="dxa"/>
            <w:tcBorders>
              <w:top w:val="nil"/>
              <w:left w:val="nil"/>
              <w:bottom w:val="single" w:sz="4" w:space="0" w:color="auto"/>
              <w:right w:val="nil"/>
            </w:tcBorders>
            <w:shd w:val="clear" w:color="auto" w:fill="auto"/>
            <w:vAlign w:val="center"/>
          </w:tcPr>
          <w:p w14:paraId="48B4FA4A" w14:textId="77777777" w:rsidR="00DC43FF" w:rsidRPr="00DC43FF" w:rsidRDefault="00DC43FF" w:rsidP="00DC43FF">
            <w:pPr>
              <w:spacing w:before="0" w:after="0"/>
              <w:rPr>
                <w:rFonts w:ascii="Arial" w:hAnsi="Arial"/>
                <w:b/>
                <w:bCs/>
                <w:sz w:val="16"/>
                <w:szCs w:val="16"/>
                <w:lang w:val="en-AU"/>
              </w:rPr>
            </w:pPr>
            <w:r w:rsidRPr="00DC43FF">
              <w:rPr>
                <w:rFonts w:ascii="Arial" w:hAnsi="Arial"/>
                <w:b/>
                <w:sz w:val="16"/>
                <w:szCs w:val="16"/>
                <w:lang w:val="en-AU"/>
              </w:rPr>
              <w:t>Total</w:t>
            </w:r>
          </w:p>
        </w:tc>
        <w:tc>
          <w:tcPr>
            <w:tcW w:w="1790" w:type="dxa"/>
            <w:tcBorders>
              <w:top w:val="nil"/>
              <w:left w:val="nil"/>
              <w:bottom w:val="single" w:sz="4" w:space="0" w:color="auto"/>
              <w:right w:val="nil"/>
            </w:tcBorders>
            <w:shd w:val="clear" w:color="auto" w:fill="auto"/>
            <w:noWrap/>
            <w:vAlign w:val="center"/>
          </w:tcPr>
          <w:p w14:paraId="61F2B442" w14:textId="77777777" w:rsidR="00DC43FF" w:rsidRPr="00DC43FF" w:rsidRDefault="00DC43FF" w:rsidP="00DC43FF">
            <w:pPr>
              <w:spacing w:before="0" w:after="0"/>
              <w:jc w:val="right"/>
              <w:rPr>
                <w:rFonts w:ascii="Arial" w:hAnsi="Arial"/>
                <w:b/>
                <w:bCs/>
                <w:sz w:val="16"/>
                <w:szCs w:val="16"/>
                <w:lang w:val="en-AU"/>
              </w:rPr>
            </w:pPr>
          </w:p>
        </w:tc>
        <w:tc>
          <w:tcPr>
            <w:tcW w:w="1191" w:type="dxa"/>
            <w:tcBorders>
              <w:top w:val="nil"/>
              <w:left w:val="nil"/>
              <w:bottom w:val="single" w:sz="4" w:space="0" w:color="auto"/>
              <w:right w:val="nil"/>
            </w:tcBorders>
            <w:shd w:val="clear" w:color="auto" w:fill="auto"/>
            <w:noWrap/>
            <w:vAlign w:val="center"/>
          </w:tcPr>
          <w:p w14:paraId="36FA3DD7" w14:textId="77777777" w:rsidR="00DC43FF" w:rsidRPr="00DC43FF" w:rsidRDefault="00DC43FF" w:rsidP="00DC43FF">
            <w:pPr>
              <w:spacing w:before="0" w:after="0"/>
              <w:jc w:val="right"/>
              <w:rPr>
                <w:rFonts w:ascii="Arial" w:hAnsi="Arial"/>
                <w:b/>
                <w:sz w:val="16"/>
                <w:szCs w:val="16"/>
                <w:lang w:val="en-AU"/>
              </w:rPr>
            </w:pPr>
            <w:r w:rsidRPr="00DC43FF">
              <w:rPr>
                <w:rFonts w:ascii="Arial" w:hAnsi="Arial"/>
                <w:b/>
                <w:sz w:val="16"/>
                <w:szCs w:val="16"/>
                <w:lang w:val="en-AU"/>
              </w:rPr>
              <w:t>915.5</w:t>
            </w:r>
          </w:p>
        </w:tc>
        <w:tc>
          <w:tcPr>
            <w:tcW w:w="1413" w:type="dxa"/>
            <w:tcBorders>
              <w:top w:val="nil"/>
              <w:left w:val="nil"/>
              <w:bottom w:val="single" w:sz="4" w:space="0" w:color="auto"/>
              <w:right w:val="nil"/>
            </w:tcBorders>
            <w:shd w:val="clear" w:color="auto" w:fill="auto"/>
            <w:noWrap/>
            <w:vAlign w:val="bottom"/>
          </w:tcPr>
          <w:p w14:paraId="3923303B" w14:textId="77777777" w:rsidR="00DC43FF" w:rsidRPr="009E4B9D" w:rsidRDefault="00DC43FF" w:rsidP="00DC43FF">
            <w:pPr>
              <w:autoSpaceDE w:val="0"/>
              <w:autoSpaceDN w:val="0"/>
              <w:adjustRightInd w:val="0"/>
              <w:spacing w:before="0" w:after="0" w:line="276" w:lineRule="auto"/>
              <w:jc w:val="right"/>
              <w:rPr>
                <w:rFonts w:ascii="Arial" w:eastAsiaTheme="minorHAnsi" w:hAnsi="Arial"/>
                <w:b/>
                <w:bCs/>
                <w:color w:val="000000"/>
                <w:sz w:val="16"/>
                <w:szCs w:val="16"/>
                <w:lang w:val="en-AU" w:eastAsia="en-US"/>
              </w:rPr>
            </w:pPr>
            <w:r w:rsidRPr="009E4B9D">
              <w:rPr>
                <w:rFonts w:ascii="Arial" w:eastAsiaTheme="minorHAnsi" w:hAnsi="Arial"/>
                <w:b/>
                <w:bCs/>
                <w:color w:val="000000"/>
                <w:sz w:val="16"/>
                <w:szCs w:val="16"/>
                <w:lang w:val="en-AU" w:eastAsia="en-US"/>
              </w:rPr>
              <w:t>610.7</w:t>
            </w:r>
          </w:p>
        </w:tc>
        <w:tc>
          <w:tcPr>
            <w:tcW w:w="1195" w:type="dxa"/>
            <w:tcBorders>
              <w:top w:val="nil"/>
              <w:left w:val="nil"/>
              <w:bottom w:val="single" w:sz="4" w:space="0" w:color="auto"/>
              <w:right w:val="nil"/>
            </w:tcBorders>
            <w:shd w:val="clear" w:color="auto" w:fill="auto"/>
            <w:noWrap/>
            <w:vAlign w:val="bottom"/>
          </w:tcPr>
          <w:p w14:paraId="15FE1A15" w14:textId="77777777" w:rsidR="00DC43FF" w:rsidRPr="009E4B9D" w:rsidRDefault="00DC43FF" w:rsidP="00DC43FF">
            <w:pPr>
              <w:spacing w:before="0" w:after="0" w:line="276" w:lineRule="auto"/>
              <w:jc w:val="right"/>
              <w:rPr>
                <w:rFonts w:ascii="Arial" w:hAnsi="Arial"/>
                <w:b/>
                <w:sz w:val="16"/>
                <w:szCs w:val="16"/>
                <w:lang w:eastAsia="en-US"/>
              </w:rPr>
            </w:pPr>
            <w:r w:rsidRPr="009E4B9D">
              <w:rPr>
                <w:rFonts w:ascii="Arial" w:hAnsi="Arial"/>
                <w:b/>
                <w:sz w:val="16"/>
                <w:szCs w:val="16"/>
                <w:lang w:eastAsia="en-US"/>
              </w:rPr>
              <w:t>17.8</w:t>
            </w:r>
          </w:p>
        </w:tc>
      </w:tr>
      <w:tr w:rsidR="00BA0054" w:rsidRPr="00DC43FF" w14:paraId="472CA988" w14:textId="77777777" w:rsidTr="006868B3">
        <w:trPr>
          <w:trHeight w:val="227"/>
        </w:trPr>
        <w:tc>
          <w:tcPr>
            <w:tcW w:w="3085" w:type="dxa"/>
            <w:tcBorders>
              <w:top w:val="single" w:sz="4" w:space="0" w:color="auto"/>
              <w:left w:val="nil"/>
              <w:bottom w:val="nil"/>
              <w:right w:val="nil"/>
            </w:tcBorders>
            <w:shd w:val="clear" w:color="FFFFFF" w:fill="auto"/>
            <w:vAlign w:val="center"/>
            <w:hideMark/>
          </w:tcPr>
          <w:p w14:paraId="0FBFA556" w14:textId="77777777" w:rsidR="00BA0054" w:rsidRPr="00DC43FF" w:rsidRDefault="00BA0054" w:rsidP="00BA0054">
            <w:pPr>
              <w:spacing w:before="0" w:after="0"/>
              <w:rPr>
                <w:rFonts w:ascii="Arial" w:hAnsi="Arial"/>
                <w:b/>
                <w:bCs/>
                <w:sz w:val="16"/>
                <w:szCs w:val="16"/>
                <w:lang w:val="en-AU"/>
              </w:rPr>
            </w:pPr>
            <w:r w:rsidRPr="00DC43FF">
              <w:rPr>
                <w:rFonts w:ascii="Arial" w:hAnsi="Arial"/>
                <w:b/>
                <w:bCs/>
                <w:sz w:val="16"/>
                <w:szCs w:val="16"/>
                <w:lang w:val="en-AU"/>
              </w:rPr>
              <w:t>Maritime Patrol Aircraft Replacement (AIR 7000 Phase 2B)</w:t>
            </w:r>
            <w:r w:rsidRPr="00DC43FF">
              <w:rPr>
                <w:rFonts w:ascii="Arial" w:hAnsi="Arial"/>
                <w:b/>
                <w:bCs/>
                <w:sz w:val="16"/>
                <w:szCs w:val="16"/>
                <w:vertAlign w:val="superscript"/>
                <w:lang w:val="en-AU"/>
              </w:rPr>
              <w:t xml:space="preserve"> </w:t>
            </w:r>
          </w:p>
        </w:tc>
        <w:tc>
          <w:tcPr>
            <w:tcW w:w="1790" w:type="dxa"/>
            <w:tcBorders>
              <w:top w:val="single" w:sz="4" w:space="0" w:color="auto"/>
              <w:left w:val="nil"/>
              <w:bottom w:val="nil"/>
              <w:right w:val="nil"/>
            </w:tcBorders>
            <w:shd w:val="clear" w:color="FFFFFF" w:fill="auto"/>
            <w:noWrap/>
            <w:vAlign w:val="center"/>
            <w:hideMark/>
          </w:tcPr>
          <w:p w14:paraId="46367E80" w14:textId="77777777" w:rsidR="00BA0054" w:rsidRPr="00DC43FF" w:rsidRDefault="00BA0054" w:rsidP="00BA0054">
            <w:pPr>
              <w:spacing w:before="0" w:after="0"/>
              <w:jc w:val="right"/>
              <w:rPr>
                <w:rFonts w:ascii="Arial" w:hAnsi="Arial"/>
                <w:b/>
                <w:bCs/>
                <w:sz w:val="16"/>
                <w:szCs w:val="16"/>
                <w:lang w:val="en-AU"/>
              </w:rPr>
            </w:pPr>
          </w:p>
        </w:tc>
        <w:tc>
          <w:tcPr>
            <w:tcW w:w="1191" w:type="dxa"/>
            <w:tcBorders>
              <w:top w:val="single" w:sz="4" w:space="0" w:color="auto"/>
              <w:left w:val="nil"/>
              <w:bottom w:val="nil"/>
              <w:right w:val="nil"/>
            </w:tcBorders>
            <w:shd w:val="clear" w:color="FFFFFF" w:fill="auto"/>
            <w:noWrap/>
            <w:vAlign w:val="center"/>
          </w:tcPr>
          <w:p w14:paraId="339FDF6C" w14:textId="77777777" w:rsidR="00BA0054" w:rsidRPr="00DC43FF" w:rsidRDefault="00BA0054" w:rsidP="00BA0054">
            <w:pPr>
              <w:spacing w:before="0" w:after="0"/>
              <w:jc w:val="right"/>
              <w:rPr>
                <w:rFonts w:ascii="Times New Roman" w:hAnsi="Times New Roman" w:cs="Times New Roman"/>
                <w:szCs w:val="20"/>
                <w:lang w:val="en-AU"/>
              </w:rPr>
            </w:pPr>
          </w:p>
        </w:tc>
        <w:tc>
          <w:tcPr>
            <w:tcW w:w="1413" w:type="dxa"/>
            <w:tcBorders>
              <w:top w:val="single" w:sz="4" w:space="0" w:color="auto"/>
              <w:left w:val="nil"/>
              <w:bottom w:val="nil"/>
              <w:right w:val="nil"/>
            </w:tcBorders>
            <w:shd w:val="clear" w:color="FFFFFF" w:fill="auto"/>
            <w:noWrap/>
            <w:vAlign w:val="center"/>
          </w:tcPr>
          <w:p w14:paraId="174B13CB" w14:textId="77777777" w:rsidR="00BA0054" w:rsidRPr="00DC43FF" w:rsidRDefault="00BA0054" w:rsidP="00BA0054">
            <w:pPr>
              <w:spacing w:before="0" w:after="0"/>
              <w:jc w:val="right"/>
              <w:rPr>
                <w:rFonts w:ascii="Times New Roman" w:hAnsi="Times New Roman" w:cs="Times New Roman"/>
                <w:szCs w:val="20"/>
                <w:lang w:val="en-AU"/>
              </w:rPr>
            </w:pPr>
          </w:p>
        </w:tc>
        <w:tc>
          <w:tcPr>
            <w:tcW w:w="1195" w:type="dxa"/>
            <w:tcBorders>
              <w:top w:val="single" w:sz="4" w:space="0" w:color="auto"/>
              <w:left w:val="nil"/>
              <w:bottom w:val="nil"/>
              <w:right w:val="nil"/>
            </w:tcBorders>
            <w:shd w:val="clear" w:color="FFFFFF" w:fill="auto"/>
            <w:noWrap/>
            <w:vAlign w:val="center"/>
          </w:tcPr>
          <w:p w14:paraId="36431941" w14:textId="77777777" w:rsidR="00BA0054" w:rsidRPr="00DC43FF" w:rsidRDefault="00BA0054" w:rsidP="00BA0054">
            <w:pPr>
              <w:spacing w:before="0" w:after="0"/>
              <w:jc w:val="right"/>
              <w:rPr>
                <w:rFonts w:ascii="Times New Roman" w:hAnsi="Times New Roman" w:cs="Times New Roman"/>
                <w:szCs w:val="20"/>
                <w:lang w:val="en-AU"/>
              </w:rPr>
            </w:pPr>
          </w:p>
        </w:tc>
      </w:tr>
      <w:tr w:rsidR="00DC43FF" w:rsidRPr="00DC43FF" w14:paraId="3368D98D" w14:textId="77777777" w:rsidTr="00F600B5">
        <w:trPr>
          <w:trHeight w:val="227"/>
        </w:trPr>
        <w:tc>
          <w:tcPr>
            <w:tcW w:w="3085" w:type="dxa"/>
            <w:tcBorders>
              <w:top w:val="nil"/>
              <w:left w:val="nil"/>
              <w:bottom w:val="nil"/>
              <w:right w:val="nil"/>
            </w:tcBorders>
            <w:shd w:val="clear" w:color="FFFFFF" w:fill="auto"/>
            <w:vAlign w:val="center"/>
            <w:hideMark/>
          </w:tcPr>
          <w:p w14:paraId="177094DC" w14:textId="77777777" w:rsidR="00DC43FF" w:rsidRPr="00DC43FF" w:rsidRDefault="00DC43FF" w:rsidP="00DC43FF">
            <w:pPr>
              <w:spacing w:before="0" w:after="0"/>
              <w:ind w:left="113"/>
              <w:rPr>
                <w:rFonts w:ascii="Arial" w:hAnsi="Arial"/>
                <w:sz w:val="16"/>
                <w:szCs w:val="16"/>
                <w:lang w:val="en-AU"/>
              </w:rPr>
            </w:pPr>
            <w:r w:rsidRPr="00DC43FF">
              <w:rPr>
                <w:rFonts w:ascii="Arial" w:hAnsi="Arial"/>
                <w:sz w:val="16"/>
                <w:szCs w:val="16"/>
                <w:lang w:val="en-AU"/>
              </w:rPr>
              <w:t>RAAF Edinburgh</w:t>
            </w:r>
          </w:p>
        </w:tc>
        <w:tc>
          <w:tcPr>
            <w:tcW w:w="1790" w:type="dxa"/>
            <w:tcBorders>
              <w:top w:val="nil"/>
              <w:left w:val="nil"/>
              <w:bottom w:val="nil"/>
              <w:right w:val="nil"/>
            </w:tcBorders>
            <w:shd w:val="clear" w:color="FFFFFF" w:fill="auto"/>
            <w:vAlign w:val="center"/>
            <w:hideMark/>
          </w:tcPr>
          <w:p w14:paraId="550B7637" w14:textId="77777777" w:rsidR="00DC43FF" w:rsidRPr="00DC43FF" w:rsidRDefault="00DC43FF" w:rsidP="00DC43FF">
            <w:pPr>
              <w:spacing w:before="0" w:after="0"/>
              <w:jc w:val="right"/>
              <w:rPr>
                <w:rFonts w:ascii="Arial" w:hAnsi="Arial"/>
                <w:sz w:val="16"/>
                <w:szCs w:val="16"/>
                <w:lang w:val="en-AU"/>
              </w:rPr>
            </w:pPr>
            <w:r w:rsidRPr="00DC43FF">
              <w:rPr>
                <w:rFonts w:ascii="Arial" w:hAnsi="Arial"/>
                <w:sz w:val="16"/>
                <w:szCs w:val="16"/>
                <w:lang w:val="en-AU"/>
              </w:rPr>
              <w:t>SA - Spence</w:t>
            </w:r>
          </w:p>
        </w:tc>
        <w:tc>
          <w:tcPr>
            <w:tcW w:w="1191" w:type="dxa"/>
            <w:tcBorders>
              <w:top w:val="nil"/>
              <w:left w:val="nil"/>
              <w:bottom w:val="nil"/>
              <w:right w:val="nil"/>
            </w:tcBorders>
            <w:shd w:val="clear" w:color="FFFFFF" w:fill="auto"/>
            <w:noWrap/>
            <w:vAlign w:val="center"/>
          </w:tcPr>
          <w:p w14:paraId="33C301F5" w14:textId="77777777" w:rsidR="00DC43FF" w:rsidRPr="00DC43FF" w:rsidRDefault="00DC43FF" w:rsidP="00DC43FF">
            <w:pPr>
              <w:spacing w:before="0" w:after="0"/>
              <w:jc w:val="right"/>
              <w:rPr>
                <w:rFonts w:ascii="Arial" w:hAnsi="Arial"/>
                <w:sz w:val="16"/>
                <w:szCs w:val="16"/>
                <w:lang w:val="en-AU"/>
              </w:rPr>
            </w:pPr>
          </w:p>
        </w:tc>
        <w:tc>
          <w:tcPr>
            <w:tcW w:w="1413" w:type="dxa"/>
            <w:tcBorders>
              <w:top w:val="nil"/>
              <w:left w:val="nil"/>
              <w:bottom w:val="nil"/>
              <w:right w:val="nil"/>
            </w:tcBorders>
            <w:shd w:val="clear" w:color="auto" w:fill="auto"/>
            <w:noWrap/>
            <w:vAlign w:val="bottom"/>
          </w:tcPr>
          <w:p w14:paraId="5B2EF602" w14:textId="77777777" w:rsidR="00DC43FF" w:rsidRPr="009E4B9D" w:rsidRDefault="00DC43FF" w:rsidP="00DC43FF">
            <w:pPr>
              <w:autoSpaceDE w:val="0"/>
              <w:autoSpaceDN w:val="0"/>
              <w:adjustRightInd w:val="0"/>
              <w:spacing w:before="0" w:after="0" w:line="276" w:lineRule="auto"/>
              <w:jc w:val="right"/>
              <w:rPr>
                <w:rFonts w:ascii="Arial" w:eastAsiaTheme="minorHAnsi" w:hAnsi="Arial"/>
                <w:color w:val="000000"/>
                <w:sz w:val="16"/>
                <w:szCs w:val="16"/>
                <w:lang w:val="en-AU" w:eastAsia="en-US"/>
              </w:rPr>
            </w:pPr>
            <w:r w:rsidRPr="009E4B9D">
              <w:rPr>
                <w:rFonts w:ascii="Arial" w:eastAsiaTheme="minorHAnsi" w:hAnsi="Arial"/>
                <w:color w:val="000000"/>
                <w:sz w:val="16"/>
                <w:szCs w:val="16"/>
                <w:lang w:val="en-AU" w:eastAsia="en-US"/>
              </w:rPr>
              <w:t>526.4</w:t>
            </w:r>
          </w:p>
        </w:tc>
        <w:tc>
          <w:tcPr>
            <w:tcW w:w="1195" w:type="dxa"/>
            <w:tcBorders>
              <w:top w:val="nil"/>
              <w:left w:val="nil"/>
              <w:bottom w:val="nil"/>
              <w:right w:val="nil"/>
            </w:tcBorders>
            <w:shd w:val="clear" w:color="auto" w:fill="auto"/>
            <w:noWrap/>
            <w:vAlign w:val="bottom"/>
          </w:tcPr>
          <w:p w14:paraId="33A09B0C" w14:textId="77777777" w:rsidR="00DC43FF" w:rsidRPr="009E4B9D" w:rsidRDefault="00DC43FF" w:rsidP="00DC43FF">
            <w:pPr>
              <w:spacing w:before="0" w:after="0" w:line="276" w:lineRule="auto"/>
              <w:jc w:val="right"/>
              <w:rPr>
                <w:rFonts w:ascii="Arial" w:hAnsi="Arial"/>
                <w:sz w:val="16"/>
                <w:szCs w:val="16"/>
                <w:lang w:eastAsia="en-US"/>
              </w:rPr>
            </w:pPr>
            <w:r w:rsidRPr="009E4B9D">
              <w:rPr>
                <w:rFonts w:ascii="Arial" w:hAnsi="Arial"/>
                <w:sz w:val="16"/>
                <w:szCs w:val="16"/>
                <w:lang w:eastAsia="en-US"/>
              </w:rPr>
              <w:t>17.5</w:t>
            </w:r>
          </w:p>
        </w:tc>
      </w:tr>
      <w:tr w:rsidR="00DC43FF" w:rsidRPr="00DC43FF" w14:paraId="16E2713C" w14:textId="77777777" w:rsidTr="00F600B5">
        <w:trPr>
          <w:trHeight w:val="227"/>
        </w:trPr>
        <w:tc>
          <w:tcPr>
            <w:tcW w:w="3085" w:type="dxa"/>
            <w:tcBorders>
              <w:top w:val="nil"/>
              <w:left w:val="nil"/>
              <w:bottom w:val="nil"/>
              <w:right w:val="nil"/>
            </w:tcBorders>
            <w:shd w:val="clear" w:color="FFFFFF" w:fill="auto"/>
            <w:vAlign w:val="center"/>
            <w:hideMark/>
          </w:tcPr>
          <w:p w14:paraId="586EC6EB" w14:textId="77777777" w:rsidR="00DC43FF" w:rsidRPr="00DC43FF" w:rsidRDefault="00DC43FF" w:rsidP="00DC43FF">
            <w:pPr>
              <w:spacing w:before="0" w:after="0"/>
              <w:ind w:left="113"/>
              <w:rPr>
                <w:rFonts w:ascii="Arial" w:hAnsi="Arial"/>
                <w:sz w:val="16"/>
                <w:szCs w:val="16"/>
                <w:lang w:val="en-AU"/>
              </w:rPr>
            </w:pPr>
            <w:r w:rsidRPr="00DC43FF">
              <w:rPr>
                <w:rFonts w:ascii="Arial" w:hAnsi="Arial"/>
                <w:sz w:val="16"/>
                <w:szCs w:val="16"/>
                <w:lang w:val="en-AU"/>
              </w:rPr>
              <w:t>RAAF Darwin</w:t>
            </w:r>
          </w:p>
        </w:tc>
        <w:tc>
          <w:tcPr>
            <w:tcW w:w="1790" w:type="dxa"/>
            <w:tcBorders>
              <w:top w:val="nil"/>
              <w:left w:val="nil"/>
              <w:bottom w:val="nil"/>
              <w:right w:val="nil"/>
            </w:tcBorders>
            <w:shd w:val="clear" w:color="FFFFFF" w:fill="auto"/>
            <w:vAlign w:val="center"/>
            <w:hideMark/>
          </w:tcPr>
          <w:p w14:paraId="2CD21743" w14:textId="77777777" w:rsidR="00DC43FF" w:rsidRPr="00DC43FF" w:rsidRDefault="00DC43FF" w:rsidP="00DC43FF">
            <w:pPr>
              <w:spacing w:before="0" w:after="0"/>
              <w:jc w:val="right"/>
              <w:rPr>
                <w:rFonts w:ascii="Arial" w:hAnsi="Arial"/>
                <w:sz w:val="16"/>
                <w:szCs w:val="16"/>
                <w:lang w:val="en-AU"/>
              </w:rPr>
            </w:pPr>
            <w:r w:rsidRPr="00DC43FF">
              <w:rPr>
                <w:rFonts w:ascii="Arial" w:hAnsi="Arial"/>
                <w:sz w:val="16"/>
                <w:szCs w:val="16"/>
                <w:lang w:val="en-AU"/>
              </w:rPr>
              <w:t>NT - Solomon</w:t>
            </w:r>
          </w:p>
        </w:tc>
        <w:tc>
          <w:tcPr>
            <w:tcW w:w="1191" w:type="dxa"/>
            <w:tcBorders>
              <w:top w:val="nil"/>
              <w:left w:val="nil"/>
              <w:bottom w:val="nil"/>
              <w:right w:val="nil"/>
            </w:tcBorders>
            <w:shd w:val="clear" w:color="FFFFFF" w:fill="auto"/>
            <w:noWrap/>
            <w:vAlign w:val="center"/>
          </w:tcPr>
          <w:p w14:paraId="12D342C7" w14:textId="77777777" w:rsidR="00DC43FF" w:rsidRPr="00DC43FF" w:rsidRDefault="00DC43FF" w:rsidP="00DC43FF">
            <w:pPr>
              <w:spacing w:before="0" w:after="0"/>
              <w:jc w:val="right"/>
              <w:rPr>
                <w:rFonts w:ascii="Arial" w:hAnsi="Arial"/>
                <w:sz w:val="16"/>
                <w:szCs w:val="16"/>
                <w:lang w:val="en-AU"/>
              </w:rPr>
            </w:pPr>
          </w:p>
        </w:tc>
        <w:tc>
          <w:tcPr>
            <w:tcW w:w="1413" w:type="dxa"/>
            <w:tcBorders>
              <w:top w:val="nil"/>
              <w:left w:val="nil"/>
              <w:bottom w:val="nil"/>
              <w:right w:val="nil"/>
            </w:tcBorders>
            <w:shd w:val="clear" w:color="auto" w:fill="auto"/>
            <w:noWrap/>
            <w:vAlign w:val="bottom"/>
          </w:tcPr>
          <w:p w14:paraId="4DB5932D" w14:textId="77777777" w:rsidR="00DC43FF" w:rsidRPr="009E4B9D" w:rsidRDefault="00DC43FF" w:rsidP="00DC43FF">
            <w:pPr>
              <w:autoSpaceDE w:val="0"/>
              <w:autoSpaceDN w:val="0"/>
              <w:adjustRightInd w:val="0"/>
              <w:spacing w:before="0" w:after="0" w:line="276" w:lineRule="auto"/>
              <w:jc w:val="right"/>
              <w:rPr>
                <w:rFonts w:ascii="Arial" w:eastAsiaTheme="minorHAnsi" w:hAnsi="Arial"/>
                <w:color w:val="000000"/>
                <w:sz w:val="16"/>
                <w:szCs w:val="16"/>
                <w:lang w:val="en-AU" w:eastAsia="en-US"/>
              </w:rPr>
            </w:pPr>
            <w:r w:rsidRPr="009E4B9D">
              <w:rPr>
                <w:rFonts w:ascii="Arial" w:eastAsiaTheme="minorHAnsi" w:hAnsi="Arial"/>
                <w:color w:val="000000"/>
                <w:sz w:val="16"/>
                <w:szCs w:val="16"/>
                <w:lang w:val="en-AU" w:eastAsia="en-US"/>
              </w:rPr>
              <w:t>159.4</w:t>
            </w:r>
          </w:p>
        </w:tc>
        <w:tc>
          <w:tcPr>
            <w:tcW w:w="1195" w:type="dxa"/>
            <w:tcBorders>
              <w:top w:val="nil"/>
              <w:left w:val="nil"/>
              <w:bottom w:val="nil"/>
              <w:right w:val="nil"/>
            </w:tcBorders>
            <w:shd w:val="clear" w:color="auto" w:fill="auto"/>
            <w:noWrap/>
            <w:vAlign w:val="bottom"/>
          </w:tcPr>
          <w:p w14:paraId="49DBF8BE" w14:textId="77777777" w:rsidR="00DC43FF" w:rsidRPr="009E4B9D" w:rsidRDefault="00DC43FF" w:rsidP="00DC43FF">
            <w:pPr>
              <w:spacing w:before="0" w:after="0" w:line="276" w:lineRule="auto"/>
              <w:jc w:val="right"/>
              <w:rPr>
                <w:rFonts w:ascii="Arial" w:hAnsi="Arial"/>
                <w:sz w:val="16"/>
                <w:szCs w:val="16"/>
                <w:lang w:eastAsia="en-US"/>
              </w:rPr>
            </w:pPr>
            <w:r w:rsidRPr="009E4B9D">
              <w:rPr>
                <w:rFonts w:ascii="Arial" w:hAnsi="Arial"/>
                <w:sz w:val="16"/>
                <w:szCs w:val="16"/>
                <w:lang w:eastAsia="en-US"/>
              </w:rPr>
              <w:t>0.0</w:t>
            </w:r>
          </w:p>
        </w:tc>
      </w:tr>
      <w:tr w:rsidR="00DC43FF" w:rsidRPr="00DC43FF" w14:paraId="5D77D4F4" w14:textId="77777777" w:rsidTr="00F600B5">
        <w:trPr>
          <w:trHeight w:val="227"/>
        </w:trPr>
        <w:tc>
          <w:tcPr>
            <w:tcW w:w="3085" w:type="dxa"/>
            <w:tcBorders>
              <w:top w:val="nil"/>
              <w:left w:val="nil"/>
              <w:bottom w:val="nil"/>
              <w:right w:val="nil"/>
            </w:tcBorders>
            <w:shd w:val="clear" w:color="FFFFFF" w:fill="auto"/>
            <w:vAlign w:val="center"/>
            <w:hideMark/>
          </w:tcPr>
          <w:p w14:paraId="081EC6F8" w14:textId="77777777" w:rsidR="00DC43FF" w:rsidRPr="00DC43FF" w:rsidRDefault="00DC43FF" w:rsidP="00DC43FF">
            <w:pPr>
              <w:spacing w:before="0" w:after="0"/>
              <w:ind w:left="113"/>
              <w:rPr>
                <w:rFonts w:ascii="Arial" w:hAnsi="Arial"/>
                <w:sz w:val="16"/>
                <w:szCs w:val="16"/>
                <w:lang w:val="en-AU"/>
              </w:rPr>
            </w:pPr>
            <w:r w:rsidRPr="00DC43FF">
              <w:rPr>
                <w:rFonts w:ascii="Arial" w:hAnsi="Arial"/>
                <w:sz w:val="16"/>
                <w:szCs w:val="16"/>
                <w:lang w:val="en-AU"/>
              </w:rPr>
              <w:t>RAAF Townsville</w:t>
            </w:r>
          </w:p>
        </w:tc>
        <w:tc>
          <w:tcPr>
            <w:tcW w:w="1790" w:type="dxa"/>
            <w:tcBorders>
              <w:top w:val="nil"/>
              <w:left w:val="nil"/>
              <w:bottom w:val="nil"/>
              <w:right w:val="nil"/>
            </w:tcBorders>
            <w:shd w:val="clear" w:color="FFFFFF" w:fill="auto"/>
            <w:vAlign w:val="center"/>
            <w:hideMark/>
          </w:tcPr>
          <w:p w14:paraId="1FC3C61A" w14:textId="77777777" w:rsidR="00DC43FF" w:rsidRPr="00DC43FF" w:rsidRDefault="00DC43FF" w:rsidP="00DC43FF">
            <w:pPr>
              <w:spacing w:before="0" w:after="0"/>
              <w:jc w:val="right"/>
              <w:rPr>
                <w:rFonts w:ascii="Arial" w:hAnsi="Arial"/>
                <w:sz w:val="16"/>
                <w:szCs w:val="16"/>
                <w:lang w:val="en-AU"/>
              </w:rPr>
            </w:pPr>
            <w:r w:rsidRPr="00DC43FF">
              <w:rPr>
                <w:rFonts w:ascii="Arial" w:hAnsi="Arial"/>
                <w:sz w:val="16"/>
                <w:szCs w:val="16"/>
                <w:lang w:val="en-AU"/>
              </w:rPr>
              <w:t>QLD - Herbert</w:t>
            </w:r>
          </w:p>
        </w:tc>
        <w:tc>
          <w:tcPr>
            <w:tcW w:w="1191" w:type="dxa"/>
            <w:tcBorders>
              <w:top w:val="nil"/>
              <w:left w:val="nil"/>
              <w:bottom w:val="nil"/>
              <w:right w:val="nil"/>
            </w:tcBorders>
            <w:shd w:val="clear" w:color="FFFFFF" w:fill="auto"/>
            <w:noWrap/>
            <w:vAlign w:val="center"/>
          </w:tcPr>
          <w:p w14:paraId="34939B27" w14:textId="77777777" w:rsidR="00DC43FF" w:rsidRPr="00DC43FF" w:rsidRDefault="00DC43FF" w:rsidP="00DC43FF">
            <w:pPr>
              <w:spacing w:before="0" w:after="0"/>
              <w:jc w:val="right"/>
              <w:rPr>
                <w:rFonts w:ascii="Arial" w:hAnsi="Arial"/>
                <w:sz w:val="16"/>
                <w:szCs w:val="16"/>
                <w:lang w:val="en-AU"/>
              </w:rPr>
            </w:pPr>
          </w:p>
        </w:tc>
        <w:tc>
          <w:tcPr>
            <w:tcW w:w="1413" w:type="dxa"/>
            <w:tcBorders>
              <w:top w:val="nil"/>
              <w:left w:val="nil"/>
              <w:bottom w:val="nil"/>
              <w:right w:val="nil"/>
            </w:tcBorders>
            <w:shd w:val="clear" w:color="auto" w:fill="auto"/>
            <w:noWrap/>
            <w:vAlign w:val="bottom"/>
          </w:tcPr>
          <w:p w14:paraId="1DB3FA7E" w14:textId="77777777" w:rsidR="00DC43FF" w:rsidRPr="009E4B9D" w:rsidRDefault="00DC43FF" w:rsidP="00DC43FF">
            <w:pPr>
              <w:autoSpaceDE w:val="0"/>
              <w:autoSpaceDN w:val="0"/>
              <w:adjustRightInd w:val="0"/>
              <w:spacing w:before="0" w:after="0" w:line="276" w:lineRule="auto"/>
              <w:jc w:val="right"/>
              <w:rPr>
                <w:rFonts w:ascii="Arial" w:eastAsiaTheme="minorHAnsi" w:hAnsi="Arial"/>
                <w:color w:val="000000"/>
                <w:sz w:val="16"/>
                <w:szCs w:val="16"/>
                <w:lang w:val="en-AU" w:eastAsia="en-US"/>
              </w:rPr>
            </w:pPr>
            <w:r w:rsidRPr="009E4B9D">
              <w:rPr>
                <w:rFonts w:ascii="Arial" w:eastAsiaTheme="minorHAnsi" w:hAnsi="Arial"/>
                <w:color w:val="000000"/>
                <w:sz w:val="16"/>
                <w:szCs w:val="16"/>
                <w:lang w:val="en-AU" w:eastAsia="en-US"/>
              </w:rPr>
              <w:t>9.3</w:t>
            </w:r>
          </w:p>
        </w:tc>
        <w:tc>
          <w:tcPr>
            <w:tcW w:w="1195" w:type="dxa"/>
            <w:tcBorders>
              <w:top w:val="nil"/>
              <w:left w:val="nil"/>
              <w:bottom w:val="nil"/>
              <w:right w:val="nil"/>
            </w:tcBorders>
            <w:shd w:val="clear" w:color="auto" w:fill="auto"/>
            <w:noWrap/>
            <w:vAlign w:val="bottom"/>
          </w:tcPr>
          <w:p w14:paraId="1C9D66A7" w14:textId="77777777" w:rsidR="00DC43FF" w:rsidRPr="009E4B9D" w:rsidRDefault="00DC43FF" w:rsidP="00DC43FF">
            <w:pPr>
              <w:spacing w:before="0" w:after="0" w:line="276" w:lineRule="auto"/>
              <w:jc w:val="right"/>
              <w:rPr>
                <w:rFonts w:ascii="Arial" w:hAnsi="Arial"/>
                <w:sz w:val="16"/>
                <w:szCs w:val="16"/>
                <w:lang w:eastAsia="en-US"/>
              </w:rPr>
            </w:pPr>
            <w:r w:rsidRPr="009E4B9D">
              <w:rPr>
                <w:rFonts w:ascii="Arial" w:hAnsi="Arial"/>
                <w:sz w:val="16"/>
                <w:szCs w:val="16"/>
                <w:lang w:eastAsia="en-US"/>
              </w:rPr>
              <w:t>16.0</w:t>
            </w:r>
          </w:p>
        </w:tc>
      </w:tr>
      <w:tr w:rsidR="00DC43FF" w:rsidRPr="00DC43FF" w14:paraId="4D38FE45" w14:textId="77777777" w:rsidTr="00F600B5">
        <w:trPr>
          <w:trHeight w:val="227"/>
        </w:trPr>
        <w:tc>
          <w:tcPr>
            <w:tcW w:w="3085" w:type="dxa"/>
            <w:tcBorders>
              <w:top w:val="nil"/>
              <w:left w:val="nil"/>
              <w:bottom w:val="nil"/>
              <w:right w:val="nil"/>
            </w:tcBorders>
            <w:shd w:val="clear" w:color="FFFFFF" w:fill="auto"/>
            <w:vAlign w:val="center"/>
            <w:hideMark/>
          </w:tcPr>
          <w:p w14:paraId="59318EFF" w14:textId="77777777" w:rsidR="00DC43FF" w:rsidRPr="00DC43FF" w:rsidRDefault="00DC43FF" w:rsidP="00DC43FF">
            <w:pPr>
              <w:spacing w:before="0" w:after="0"/>
              <w:ind w:left="113"/>
              <w:rPr>
                <w:rFonts w:ascii="Arial" w:hAnsi="Arial"/>
                <w:sz w:val="16"/>
                <w:szCs w:val="16"/>
                <w:lang w:val="en-AU"/>
              </w:rPr>
            </w:pPr>
            <w:r w:rsidRPr="00DC43FF">
              <w:rPr>
                <w:rFonts w:ascii="Arial" w:hAnsi="Arial"/>
                <w:sz w:val="16"/>
                <w:szCs w:val="16"/>
                <w:lang w:val="en-AU"/>
              </w:rPr>
              <w:t>RAAF Pearce</w:t>
            </w:r>
          </w:p>
        </w:tc>
        <w:tc>
          <w:tcPr>
            <w:tcW w:w="1790" w:type="dxa"/>
            <w:tcBorders>
              <w:top w:val="nil"/>
              <w:left w:val="nil"/>
              <w:bottom w:val="nil"/>
              <w:right w:val="nil"/>
            </w:tcBorders>
            <w:shd w:val="clear" w:color="FFFFFF" w:fill="auto"/>
            <w:vAlign w:val="center"/>
            <w:hideMark/>
          </w:tcPr>
          <w:p w14:paraId="5D47BE3A" w14:textId="77777777" w:rsidR="00DC43FF" w:rsidRPr="00DC43FF" w:rsidRDefault="00DC43FF" w:rsidP="00DC43FF">
            <w:pPr>
              <w:spacing w:before="0" w:after="0"/>
              <w:jc w:val="right"/>
              <w:rPr>
                <w:rFonts w:ascii="Arial" w:hAnsi="Arial"/>
                <w:sz w:val="16"/>
                <w:szCs w:val="16"/>
                <w:lang w:val="en-AU"/>
              </w:rPr>
            </w:pPr>
            <w:r w:rsidRPr="00DC43FF">
              <w:rPr>
                <w:rFonts w:ascii="Arial" w:hAnsi="Arial"/>
                <w:sz w:val="16"/>
                <w:szCs w:val="16"/>
                <w:lang w:val="en-AU"/>
              </w:rPr>
              <w:t>WA - Pearce</w:t>
            </w:r>
          </w:p>
        </w:tc>
        <w:tc>
          <w:tcPr>
            <w:tcW w:w="1191" w:type="dxa"/>
            <w:tcBorders>
              <w:top w:val="nil"/>
              <w:left w:val="nil"/>
              <w:bottom w:val="nil"/>
              <w:right w:val="nil"/>
            </w:tcBorders>
            <w:shd w:val="clear" w:color="FFFFFF" w:fill="auto"/>
            <w:noWrap/>
            <w:vAlign w:val="center"/>
          </w:tcPr>
          <w:p w14:paraId="24599EFF" w14:textId="77777777" w:rsidR="00DC43FF" w:rsidRPr="00DC43FF" w:rsidRDefault="00DC43FF" w:rsidP="00DC43FF">
            <w:pPr>
              <w:spacing w:before="0" w:after="0"/>
              <w:jc w:val="right"/>
              <w:rPr>
                <w:rFonts w:ascii="Arial" w:hAnsi="Arial"/>
                <w:sz w:val="16"/>
                <w:szCs w:val="16"/>
                <w:lang w:val="en-AU"/>
              </w:rPr>
            </w:pPr>
          </w:p>
        </w:tc>
        <w:tc>
          <w:tcPr>
            <w:tcW w:w="1413" w:type="dxa"/>
            <w:tcBorders>
              <w:top w:val="nil"/>
              <w:left w:val="nil"/>
              <w:bottom w:val="nil"/>
              <w:right w:val="nil"/>
            </w:tcBorders>
            <w:shd w:val="clear" w:color="auto" w:fill="auto"/>
            <w:noWrap/>
            <w:vAlign w:val="bottom"/>
          </w:tcPr>
          <w:p w14:paraId="1D357401" w14:textId="77777777" w:rsidR="00DC43FF" w:rsidRPr="009E4B9D" w:rsidRDefault="00DC43FF" w:rsidP="00DC43FF">
            <w:pPr>
              <w:autoSpaceDE w:val="0"/>
              <w:autoSpaceDN w:val="0"/>
              <w:adjustRightInd w:val="0"/>
              <w:spacing w:before="0" w:after="0" w:line="276" w:lineRule="auto"/>
              <w:jc w:val="right"/>
              <w:rPr>
                <w:rFonts w:ascii="Arial" w:eastAsiaTheme="minorHAnsi" w:hAnsi="Arial"/>
                <w:color w:val="000000"/>
                <w:sz w:val="16"/>
                <w:szCs w:val="16"/>
                <w:lang w:val="en-AU" w:eastAsia="en-US"/>
              </w:rPr>
            </w:pPr>
            <w:r w:rsidRPr="009E4B9D">
              <w:rPr>
                <w:rFonts w:ascii="Arial" w:eastAsiaTheme="minorHAnsi" w:hAnsi="Arial"/>
                <w:color w:val="000000"/>
                <w:sz w:val="16"/>
                <w:szCs w:val="16"/>
                <w:lang w:val="en-AU" w:eastAsia="en-US"/>
              </w:rPr>
              <w:t>109.5</w:t>
            </w:r>
          </w:p>
        </w:tc>
        <w:tc>
          <w:tcPr>
            <w:tcW w:w="1195" w:type="dxa"/>
            <w:tcBorders>
              <w:top w:val="nil"/>
              <w:left w:val="nil"/>
              <w:bottom w:val="nil"/>
              <w:right w:val="nil"/>
            </w:tcBorders>
            <w:shd w:val="clear" w:color="auto" w:fill="auto"/>
            <w:noWrap/>
            <w:vAlign w:val="bottom"/>
          </w:tcPr>
          <w:p w14:paraId="26B01C43" w14:textId="77777777" w:rsidR="00DC43FF" w:rsidRPr="009E4B9D" w:rsidRDefault="00DC43FF" w:rsidP="00DC43FF">
            <w:pPr>
              <w:spacing w:before="0" w:after="0" w:line="276" w:lineRule="auto"/>
              <w:jc w:val="right"/>
              <w:rPr>
                <w:rFonts w:ascii="Arial" w:hAnsi="Arial"/>
                <w:sz w:val="16"/>
                <w:szCs w:val="16"/>
                <w:lang w:eastAsia="en-US"/>
              </w:rPr>
            </w:pPr>
            <w:r w:rsidRPr="009E4B9D">
              <w:rPr>
                <w:rFonts w:ascii="Arial" w:hAnsi="Arial"/>
                <w:sz w:val="16"/>
                <w:szCs w:val="16"/>
                <w:lang w:eastAsia="en-US"/>
              </w:rPr>
              <w:t>0.0</w:t>
            </w:r>
          </w:p>
        </w:tc>
      </w:tr>
      <w:tr w:rsidR="00DC43FF" w:rsidRPr="00DC43FF" w14:paraId="3B1197D3" w14:textId="77777777" w:rsidTr="00F600B5">
        <w:trPr>
          <w:trHeight w:val="227"/>
        </w:trPr>
        <w:tc>
          <w:tcPr>
            <w:tcW w:w="3085" w:type="dxa"/>
            <w:tcBorders>
              <w:top w:val="nil"/>
              <w:left w:val="nil"/>
              <w:bottom w:val="nil"/>
              <w:right w:val="nil"/>
            </w:tcBorders>
            <w:shd w:val="clear" w:color="FFFFFF" w:fill="auto"/>
            <w:vAlign w:val="center"/>
            <w:hideMark/>
          </w:tcPr>
          <w:p w14:paraId="1E7F854B" w14:textId="77777777" w:rsidR="00DC43FF" w:rsidRPr="00DC43FF" w:rsidRDefault="00DC43FF" w:rsidP="00DC43FF">
            <w:pPr>
              <w:spacing w:before="0" w:after="0"/>
              <w:ind w:left="113"/>
              <w:rPr>
                <w:rFonts w:ascii="Arial" w:hAnsi="Arial"/>
                <w:sz w:val="16"/>
                <w:szCs w:val="16"/>
                <w:lang w:val="en-AU"/>
              </w:rPr>
            </w:pPr>
            <w:r w:rsidRPr="00DC43FF">
              <w:rPr>
                <w:rFonts w:ascii="Arial" w:hAnsi="Arial"/>
                <w:sz w:val="16"/>
                <w:szCs w:val="16"/>
                <w:lang w:val="en-AU"/>
              </w:rPr>
              <w:t xml:space="preserve">HMAS </w:t>
            </w:r>
            <w:r w:rsidRPr="00DC43FF">
              <w:rPr>
                <w:rFonts w:ascii="Arial" w:hAnsi="Arial"/>
                <w:i/>
                <w:sz w:val="16"/>
                <w:szCs w:val="16"/>
                <w:lang w:val="en-AU"/>
              </w:rPr>
              <w:t>Stirling</w:t>
            </w:r>
          </w:p>
        </w:tc>
        <w:tc>
          <w:tcPr>
            <w:tcW w:w="1790" w:type="dxa"/>
            <w:tcBorders>
              <w:top w:val="nil"/>
              <w:left w:val="nil"/>
              <w:bottom w:val="nil"/>
              <w:right w:val="nil"/>
            </w:tcBorders>
            <w:shd w:val="clear" w:color="FFFFFF" w:fill="auto"/>
            <w:vAlign w:val="center"/>
            <w:hideMark/>
          </w:tcPr>
          <w:p w14:paraId="1D295B20" w14:textId="77777777" w:rsidR="00DC43FF" w:rsidRPr="00DC43FF" w:rsidRDefault="00DC43FF" w:rsidP="00DC43FF">
            <w:pPr>
              <w:spacing w:before="0" w:after="0"/>
              <w:jc w:val="right"/>
              <w:rPr>
                <w:rFonts w:ascii="Arial" w:hAnsi="Arial"/>
                <w:sz w:val="16"/>
                <w:szCs w:val="16"/>
                <w:lang w:val="en-AU"/>
              </w:rPr>
            </w:pPr>
            <w:r w:rsidRPr="00DC43FF">
              <w:rPr>
                <w:rFonts w:ascii="Arial" w:hAnsi="Arial"/>
                <w:sz w:val="16"/>
                <w:szCs w:val="16"/>
                <w:lang w:val="en-AU"/>
              </w:rPr>
              <w:t>WA - Brand</w:t>
            </w:r>
          </w:p>
        </w:tc>
        <w:tc>
          <w:tcPr>
            <w:tcW w:w="1191" w:type="dxa"/>
            <w:tcBorders>
              <w:top w:val="nil"/>
              <w:left w:val="nil"/>
              <w:bottom w:val="nil"/>
              <w:right w:val="nil"/>
            </w:tcBorders>
            <w:shd w:val="clear" w:color="FFFFFF" w:fill="auto"/>
            <w:noWrap/>
            <w:vAlign w:val="center"/>
          </w:tcPr>
          <w:p w14:paraId="56999C09" w14:textId="77777777" w:rsidR="00DC43FF" w:rsidRPr="00DC43FF" w:rsidRDefault="00DC43FF" w:rsidP="00DC43FF">
            <w:pPr>
              <w:spacing w:before="0" w:after="0"/>
              <w:jc w:val="right"/>
              <w:rPr>
                <w:rFonts w:ascii="Arial" w:hAnsi="Arial"/>
                <w:sz w:val="16"/>
                <w:szCs w:val="16"/>
                <w:lang w:val="en-AU"/>
              </w:rPr>
            </w:pPr>
          </w:p>
        </w:tc>
        <w:tc>
          <w:tcPr>
            <w:tcW w:w="1413" w:type="dxa"/>
            <w:tcBorders>
              <w:top w:val="nil"/>
              <w:left w:val="nil"/>
              <w:bottom w:val="nil"/>
              <w:right w:val="nil"/>
            </w:tcBorders>
            <w:shd w:val="clear" w:color="auto" w:fill="auto"/>
            <w:noWrap/>
            <w:vAlign w:val="bottom"/>
          </w:tcPr>
          <w:p w14:paraId="5E03F510" w14:textId="77777777" w:rsidR="00DC43FF" w:rsidRPr="009E4B9D" w:rsidRDefault="00DC43FF" w:rsidP="00DC43FF">
            <w:pPr>
              <w:autoSpaceDE w:val="0"/>
              <w:autoSpaceDN w:val="0"/>
              <w:adjustRightInd w:val="0"/>
              <w:spacing w:before="0" w:after="0" w:line="276" w:lineRule="auto"/>
              <w:jc w:val="right"/>
              <w:rPr>
                <w:rFonts w:ascii="Arial" w:eastAsiaTheme="minorHAnsi" w:hAnsi="Arial"/>
                <w:color w:val="000000"/>
                <w:sz w:val="16"/>
                <w:szCs w:val="16"/>
                <w:lang w:val="en-AU" w:eastAsia="en-US"/>
              </w:rPr>
            </w:pPr>
            <w:r w:rsidRPr="009E4B9D">
              <w:rPr>
                <w:rFonts w:ascii="Arial" w:eastAsiaTheme="minorHAnsi" w:hAnsi="Arial"/>
                <w:color w:val="000000"/>
                <w:sz w:val="16"/>
                <w:szCs w:val="16"/>
                <w:lang w:val="en-AU" w:eastAsia="en-US"/>
              </w:rPr>
              <w:t>4.6</w:t>
            </w:r>
          </w:p>
        </w:tc>
        <w:tc>
          <w:tcPr>
            <w:tcW w:w="1195" w:type="dxa"/>
            <w:tcBorders>
              <w:top w:val="nil"/>
              <w:left w:val="nil"/>
              <w:bottom w:val="nil"/>
              <w:right w:val="nil"/>
            </w:tcBorders>
            <w:shd w:val="clear" w:color="auto" w:fill="auto"/>
            <w:noWrap/>
            <w:vAlign w:val="bottom"/>
          </w:tcPr>
          <w:p w14:paraId="58DD40F3" w14:textId="77777777" w:rsidR="00DC43FF" w:rsidRPr="009E4B9D" w:rsidRDefault="00DC43FF" w:rsidP="00DC43FF">
            <w:pPr>
              <w:spacing w:before="0" w:after="0" w:line="276" w:lineRule="auto"/>
              <w:jc w:val="right"/>
              <w:rPr>
                <w:rFonts w:ascii="Arial" w:hAnsi="Arial"/>
                <w:sz w:val="16"/>
                <w:szCs w:val="16"/>
                <w:lang w:eastAsia="en-US"/>
              </w:rPr>
            </w:pPr>
            <w:r w:rsidRPr="009E4B9D">
              <w:rPr>
                <w:rFonts w:ascii="Arial" w:hAnsi="Arial"/>
                <w:sz w:val="16"/>
                <w:szCs w:val="16"/>
                <w:lang w:eastAsia="en-US"/>
              </w:rPr>
              <w:t>0.0</w:t>
            </w:r>
          </w:p>
        </w:tc>
      </w:tr>
      <w:tr w:rsidR="00DC43FF" w:rsidRPr="00BA1388" w14:paraId="29C8B7CD" w14:textId="77777777" w:rsidTr="00DC43FF">
        <w:trPr>
          <w:trHeight w:val="140"/>
        </w:trPr>
        <w:tc>
          <w:tcPr>
            <w:tcW w:w="3085" w:type="dxa"/>
            <w:tcBorders>
              <w:top w:val="nil"/>
              <w:left w:val="nil"/>
              <w:bottom w:val="single" w:sz="4" w:space="0" w:color="auto"/>
              <w:right w:val="nil"/>
            </w:tcBorders>
            <w:shd w:val="clear" w:color="FFFFFF" w:fill="auto"/>
            <w:vAlign w:val="center"/>
            <w:hideMark/>
          </w:tcPr>
          <w:p w14:paraId="2CFA428F" w14:textId="77777777" w:rsidR="00DC43FF" w:rsidRPr="00DC43FF" w:rsidRDefault="00DC43FF" w:rsidP="00DC43FF">
            <w:pPr>
              <w:spacing w:before="0" w:after="0"/>
              <w:rPr>
                <w:rFonts w:ascii="Arial" w:hAnsi="Arial"/>
                <w:b/>
                <w:bCs/>
                <w:sz w:val="16"/>
                <w:szCs w:val="16"/>
                <w:lang w:val="en-AU"/>
              </w:rPr>
            </w:pPr>
            <w:r w:rsidRPr="00DC43FF">
              <w:rPr>
                <w:rFonts w:ascii="Arial" w:hAnsi="Arial"/>
                <w:b/>
                <w:bCs/>
                <w:sz w:val="16"/>
                <w:szCs w:val="16"/>
                <w:lang w:val="en-AU"/>
              </w:rPr>
              <w:t>Total</w:t>
            </w:r>
          </w:p>
        </w:tc>
        <w:tc>
          <w:tcPr>
            <w:tcW w:w="1790" w:type="dxa"/>
            <w:tcBorders>
              <w:top w:val="nil"/>
              <w:left w:val="nil"/>
              <w:bottom w:val="single" w:sz="4" w:space="0" w:color="auto"/>
              <w:right w:val="nil"/>
            </w:tcBorders>
            <w:shd w:val="clear" w:color="FFFFFF" w:fill="auto"/>
            <w:noWrap/>
            <w:vAlign w:val="center"/>
            <w:hideMark/>
          </w:tcPr>
          <w:p w14:paraId="17D837AD" w14:textId="77777777" w:rsidR="00DC43FF" w:rsidRPr="00DC43FF" w:rsidRDefault="00DC43FF" w:rsidP="00DC43FF">
            <w:pPr>
              <w:spacing w:before="0" w:after="0"/>
              <w:jc w:val="right"/>
              <w:rPr>
                <w:rFonts w:ascii="Arial" w:hAnsi="Arial"/>
                <w:b/>
                <w:bCs/>
                <w:sz w:val="16"/>
                <w:szCs w:val="16"/>
                <w:lang w:val="en-AU"/>
              </w:rPr>
            </w:pPr>
          </w:p>
        </w:tc>
        <w:tc>
          <w:tcPr>
            <w:tcW w:w="1191" w:type="dxa"/>
            <w:tcBorders>
              <w:top w:val="nil"/>
              <w:left w:val="nil"/>
              <w:bottom w:val="single" w:sz="4" w:space="0" w:color="auto"/>
              <w:right w:val="nil"/>
            </w:tcBorders>
            <w:shd w:val="clear" w:color="auto" w:fill="auto"/>
            <w:noWrap/>
            <w:vAlign w:val="center"/>
          </w:tcPr>
          <w:p w14:paraId="5CDCA583" w14:textId="77777777" w:rsidR="00DC43FF" w:rsidRPr="00DC43FF" w:rsidRDefault="00DC43FF" w:rsidP="00DC43FF">
            <w:pPr>
              <w:spacing w:before="0" w:after="0"/>
              <w:jc w:val="right"/>
              <w:rPr>
                <w:rFonts w:ascii="Arial" w:hAnsi="Arial"/>
                <w:b/>
                <w:bCs/>
                <w:sz w:val="16"/>
                <w:szCs w:val="16"/>
                <w:lang w:val="en-AU"/>
              </w:rPr>
            </w:pPr>
            <w:r w:rsidRPr="00DC43FF">
              <w:rPr>
                <w:rFonts w:ascii="Arial" w:hAnsi="Arial"/>
                <w:b/>
                <w:bCs/>
                <w:sz w:val="16"/>
                <w:szCs w:val="16"/>
                <w:lang w:val="en-AU"/>
              </w:rPr>
              <w:t>896.9</w:t>
            </w:r>
          </w:p>
        </w:tc>
        <w:tc>
          <w:tcPr>
            <w:tcW w:w="1413" w:type="dxa"/>
            <w:tcBorders>
              <w:top w:val="nil"/>
              <w:left w:val="nil"/>
              <w:bottom w:val="single" w:sz="4" w:space="0" w:color="auto"/>
              <w:right w:val="nil"/>
            </w:tcBorders>
            <w:shd w:val="clear" w:color="auto" w:fill="auto"/>
            <w:noWrap/>
            <w:vAlign w:val="bottom"/>
          </w:tcPr>
          <w:p w14:paraId="17C67F3D" w14:textId="77777777" w:rsidR="00DC43FF" w:rsidRPr="009E4B9D" w:rsidRDefault="00DC43FF" w:rsidP="00DC43FF">
            <w:pPr>
              <w:autoSpaceDE w:val="0"/>
              <w:autoSpaceDN w:val="0"/>
              <w:adjustRightInd w:val="0"/>
              <w:spacing w:before="0" w:after="0" w:line="276" w:lineRule="auto"/>
              <w:jc w:val="right"/>
              <w:rPr>
                <w:rFonts w:ascii="Arial" w:eastAsiaTheme="minorHAnsi" w:hAnsi="Arial"/>
                <w:b/>
                <w:bCs/>
                <w:color w:val="000000"/>
                <w:sz w:val="16"/>
                <w:szCs w:val="16"/>
                <w:lang w:val="en-AU" w:eastAsia="en-US"/>
              </w:rPr>
            </w:pPr>
            <w:r w:rsidRPr="009E4B9D">
              <w:rPr>
                <w:rFonts w:ascii="Arial" w:eastAsiaTheme="minorHAnsi" w:hAnsi="Arial"/>
                <w:b/>
                <w:bCs/>
                <w:color w:val="000000"/>
                <w:sz w:val="16"/>
                <w:szCs w:val="16"/>
                <w:lang w:val="en-AU" w:eastAsia="en-US"/>
              </w:rPr>
              <w:t>809.1</w:t>
            </w:r>
          </w:p>
        </w:tc>
        <w:tc>
          <w:tcPr>
            <w:tcW w:w="1195" w:type="dxa"/>
            <w:tcBorders>
              <w:top w:val="nil"/>
              <w:left w:val="nil"/>
              <w:bottom w:val="single" w:sz="4" w:space="0" w:color="auto"/>
              <w:right w:val="nil"/>
            </w:tcBorders>
            <w:shd w:val="clear" w:color="auto" w:fill="auto"/>
            <w:noWrap/>
            <w:vAlign w:val="bottom"/>
          </w:tcPr>
          <w:p w14:paraId="350C092C" w14:textId="77777777" w:rsidR="00DC43FF" w:rsidRPr="009E4B9D" w:rsidRDefault="00DC43FF" w:rsidP="00DC43FF">
            <w:pPr>
              <w:spacing w:before="0" w:after="0" w:line="276" w:lineRule="auto"/>
              <w:jc w:val="right"/>
              <w:rPr>
                <w:rFonts w:ascii="Arial" w:hAnsi="Arial"/>
                <w:b/>
                <w:sz w:val="16"/>
                <w:szCs w:val="16"/>
                <w:lang w:eastAsia="en-US"/>
              </w:rPr>
            </w:pPr>
            <w:r w:rsidRPr="009E4B9D">
              <w:rPr>
                <w:rFonts w:ascii="Arial" w:hAnsi="Arial"/>
                <w:b/>
                <w:sz w:val="16"/>
                <w:szCs w:val="16"/>
                <w:lang w:eastAsia="en-US"/>
              </w:rPr>
              <w:t>33.5</w:t>
            </w:r>
          </w:p>
        </w:tc>
      </w:tr>
      <w:tr w:rsidR="00BA0054" w:rsidRPr="00DC43FF" w14:paraId="22EB7EC0" w14:textId="77777777" w:rsidTr="006868B3">
        <w:trPr>
          <w:trHeight w:val="227"/>
        </w:trPr>
        <w:tc>
          <w:tcPr>
            <w:tcW w:w="3085" w:type="dxa"/>
            <w:tcBorders>
              <w:left w:val="nil"/>
              <w:bottom w:val="nil"/>
              <w:right w:val="nil"/>
            </w:tcBorders>
            <w:shd w:val="clear" w:color="FFFFFF" w:fill="auto"/>
            <w:vAlign w:val="center"/>
          </w:tcPr>
          <w:p w14:paraId="143FECA5" w14:textId="77777777" w:rsidR="00BA0054" w:rsidRPr="00DC43FF" w:rsidRDefault="00BA0054" w:rsidP="00BA0054">
            <w:pPr>
              <w:spacing w:before="0" w:after="0"/>
              <w:rPr>
                <w:rFonts w:ascii="Arial" w:hAnsi="Arial"/>
                <w:b/>
                <w:bCs/>
                <w:sz w:val="16"/>
                <w:szCs w:val="16"/>
                <w:lang w:val="en-AU"/>
              </w:rPr>
            </w:pPr>
            <w:r w:rsidRPr="00DC43FF">
              <w:rPr>
                <w:rFonts w:ascii="Arial" w:hAnsi="Arial"/>
                <w:b/>
                <w:bCs/>
                <w:sz w:val="16"/>
                <w:szCs w:val="16"/>
                <w:lang w:val="en-AU"/>
              </w:rPr>
              <w:t xml:space="preserve">USFPI Northern Territory Training Areas and Ranges Upgrades </w:t>
            </w:r>
          </w:p>
        </w:tc>
        <w:tc>
          <w:tcPr>
            <w:tcW w:w="1790" w:type="dxa"/>
            <w:tcBorders>
              <w:left w:val="nil"/>
              <w:bottom w:val="nil"/>
              <w:right w:val="nil"/>
            </w:tcBorders>
            <w:shd w:val="clear" w:color="FFFFFF" w:fill="auto"/>
            <w:noWrap/>
            <w:vAlign w:val="center"/>
          </w:tcPr>
          <w:p w14:paraId="7366401E" w14:textId="77777777" w:rsidR="00BA0054" w:rsidRPr="00DC43FF" w:rsidRDefault="00BA0054" w:rsidP="00BA0054">
            <w:pPr>
              <w:spacing w:before="0" w:after="0"/>
              <w:jc w:val="right"/>
              <w:rPr>
                <w:rFonts w:ascii="Arial" w:hAnsi="Arial"/>
                <w:b/>
                <w:bCs/>
                <w:sz w:val="16"/>
                <w:szCs w:val="16"/>
                <w:lang w:val="en-AU"/>
              </w:rPr>
            </w:pPr>
          </w:p>
        </w:tc>
        <w:tc>
          <w:tcPr>
            <w:tcW w:w="1191" w:type="dxa"/>
            <w:tcBorders>
              <w:left w:val="nil"/>
              <w:bottom w:val="nil"/>
              <w:right w:val="nil"/>
            </w:tcBorders>
            <w:shd w:val="clear" w:color="FFFFFF" w:fill="auto"/>
            <w:noWrap/>
            <w:vAlign w:val="center"/>
          </w:tcPr>
          <w:p w14:paraId="34B6B85C" w14:textId="77777777" w:rsidR="00BA0054" w:rsidRPr="00DC43FF" w:rsidRDefault="00BA0054" w:rsidP="00BA0054">
            <w:pPr>
              <w:spacing w:before="0" w:after="0"/>
              <w:jc w:val="right"/>
              <w:rPr>
                <w:rFonts w:ascii="Times New Roman" w:hAnsi="Times New Roman" w:cs="Times New Roman"/>
                <w:szCs w:val="20"/>
                <w:lang w:val="en-AU"/>
              </w:rPr>
            </w:pPr>
          </w:p>
        </w:tc>
        <w:tc>
          <w:tcPr>
            <w:tcW w:w="1413" w:type="dxa"/>
            <w:tcBorders>
              <w:left w:val="nil"/>
              <w:bottom w:val="nil"/>
              <w:right w:val="nil"/>
            </w:tcBorders>
            <w:shd w:val="clear" w:color="FFFFFF" w:fill="auto"/>
            <w:noWrap/>
            <w:vAlign w:val="center"/>
          </w:tcPr>
          <w:p w14:paraId="60CB65D4" w14:textId="77777777" w:rsidR="00BA0054" w:rsidRPr="00DC43FF" w:rsidRDefault="00BA0054" w:rsidP="00BA0054">
            <w:pPr>
              <w:spacing w:before="0" w:after="0"/>
              <w:jc w:val="right"/>
              <w:rPr>
                <w:rFonts w:ascii="Times New Roman" w:hAnsi="Times New Roman" w:cs="Times New Roman"/>
                <w:szCs w:val="20"/>
                <w:lang w:val="en-AU"/>
              </w:rPr>
            </w:pPr>
          </w:p>
        </w:tc>
        <w:tc>
          <w:tcPr>
            <w:tcW w:w="1195" w:type="dxa"/>
            <w:tcBorders>
              <w:left w:val="nil"/>
              <w:bottom w:val="nil"/>
              <w:right w:val="nil"/>
            </w:tcBorders>
            <w:shd w:val="clear" w:color="FFFFFF" w:fill="auto"/>
            <w:noWrap/>
            <w:vAlign w:val="center"/>
          </w:tcPr>
          <w:p w14:paraId="760E6FFF" w14:textId="77777777" w:rsidR="00BA0054" w:rsidRPr="00DC43FF" w:rsidRDefault="00BA0054" w:rsidP="00BA0054">
            <w:pPr>
              <w:spacing w:before="0" w:after="0"/>
              <w:jc w:val="right"/>
              <w:rPr>
                <w:rFonts w:ascii="Times New Roman" w:hAnsi="Times New Roman" w:cs="Times New Roman"/>
                <w:szCs w:val="20"/>
                <w:lang w:val="en-AU"/>
              </w:rPr>
            </w:pPr>
          </w:p>
        </w:tc>
      </w:tr>
      <w:tr w:rsidR="00DC43FF" w:rsidRPr="00DC43FF" w14:paraId="7432C42D" w14:textId="77777777" w:rsidTr="00F600B5">
        <w:trPr>
          <w:trHeight w:val="227"/>
        </w:trPr>
        <w:tc>
          <w:tcPr>
            <w:tcW w:w="3085" w:type="dxa"/>
            <w:tcBorders>
              <w:top w:val="nil"/>
              <w:left w:val="nil"/>
              <w:bottom w:val="nil"/>
              <w:right w:val="nil"/>
            </w:tcBorders>
            <w:shd w:val="clear" w:color="FFFFFF" w:fill="auto"/>
            <w:vAlign w:val="center"/>
          </w:tcPr>
          <w:p w14:paraId="3F6A61FE" w14:textId="77777777" w:rsidR="00DC43FF" w:rsidRPr="00DC43FF" w:rsidRDefault="00DC43FF" w:rsidP="00DC43FF">
            <w:pPr>
              <w:spacing w:before="0" w:after="0"/>
              <w:ind w:left="113"/>
              <w:rPr>
                <w:rFonts w:ascii="Arial" w:hAnsi="Arial"/>
                <w:sz w:val="16"/>
                <w:szCs w:val="16"/>
                <w:lang w:val="en-AU"/>
              </w:rPr>
            </w:pPr>
            <w:r w:rsidRPr="00DC43FF">
              <w:rPr>
                <w:rFonts w:ascii="Arial" w:hAnsi="Arial"/>
                <w:sz w:val="16"/>
                <w:szCs w:val="16"/>
                <w:lang w:val="en-AU"/>
              </w:rPr>
              <w:t>Bradshaw Field Training Area</w:t>
            </w:r>
            <w:r w:rsidRPr="00DC43FF" w:rsidDel="00FA42CA">
              <w:rPr>
                <w:rFonts w:ascii="Arial" w:hAnsi="Arial"/>
                <w:sz w:val="16"/>
                <w:szCs w:val="16"/>
                <w:lang w:val="en-AU"/>
              </w:rPr>
              <w:t xml:space="preserve"> </w:t>
            </w:r>
          </w:p>
        </w:tc>
        <w:tc>
          <w:tcPr>
            <w:tcW w:w="1790" w:type="dxa"/>
            <w:tcBorders>
              <w:top w:val="nil"/>
              <w:left w:val="nil"/>
              <w:bottom w:val="nil"/>
              <w:right w:val="nil"/>
            </w:tcBorders>
            <w:shd w:val="clear" w:color="FFFFFF" w:fill="auto"/>
            <w:noWrap/>
            <w:vAlign w:val="center"/>
          </w:tcPr>
          <w:p w14:paraId="6F3E29BB" w14:textId="77777777" w:rsidR="00DC43FF" w:rsidRPr="00DC43FF" w:rsidRDefault="00DC43FF" w:rsidP="00DC43FF">
            <w:pPr>
              <w:spacing w:before="0" w:after="0"/>
              <w:jc w:val="right"/>
              <w:rPr>
                <w:rFonts w:ascii="Arial" w:hAnsi="Arial"/>
                <w:sz w:val="16"/>
                <w:szCs w:val="16"/>
                <w:lang w:val="en-AU"/>
              </w:rPr>
            </w:pPr>
            <w:r w:rsidRPr="00DC43FF">
              <w:rPr>
                <w:rFonts w:ascii="Arial" w:hAnsi="Arial"/>
                <w:sz w:val="16"/>
                <w:szCs w:val="16"/>
                <w:lang w:val="en-AU"/>
              </w:rPr>
              <w:t>NT - Lingiari</w:t>
            </w:r>
          </w:p>
        </w:tc>
        <w:tc>
          <w:tcPr>
            <w:tcW w:w="1191" w:type="dxa"/>
            <w:tcBorders>
              <w:top w:val="nil"/>
              <w:left w:val="nil"/>
              <w:bottom w:val="nil"/>
              <w:right w:val="nil"/>
            </w:tcBorders>
            <w:shd w:val="clear" w:color="FFFFFF" w:fill="auto"/>
            <w:noWrap/>
            <w:vAlign w:val="center"/>
          </w:tcPr>
          <w:p w14:paraId="3ED3F0AE" w14:textId="77777777" w:rsidR="00DC43FF" w:rsidRPr="00DC43FF" w:rsidRDefault="00DC43FF" w:rsidP="00DC43FF">
            <w:pPr>
              <w:spacing w:before="0" w:after="0"/>
              <w:jc w:val="right"/>
              <w:rPr>
                <w:rFonts w:ascii="Arial" w:hAnsi="Arial"/>
                <w:sz w:val="16"/>
                <w:szCs w:val="16"/>
                <w:lang w:val="en-AU"/>
              </w:rPr>
            </w:pPr>
          </w:p>
        </w:tc>
        <w:tc>
          <w:tcPr>
            <w:tcW w:w="1413" w:type="dxa"/>
            <w:tcBorders>
              <w:top w:val="nil"/>
              <w:left w:val="nil"/>
              <w:bottom w:val="nil"/>
              <w:right w:val="nil"/>
            </w:tcBorders>
            <w:shd w:val="clear" w:color="auto" w:fill="auto"/>
            <w:noWrap/>
            <w:vAlign w:val="bottom"/>
          </w:tcPr>
          <w:p w14:paraId="63C525E4" w14:textId="77777777" w:rsidR="00DC43FF" w:rsidRPr="009E4B9D" w:rsidRDefault="00DC43FF" w:rsidP="00DC43FF">
            <w:pPr>
              <w:autoSpaceDE w:val="0"/>
              <w:autoSpaceDN w:val="0"/>
              <w:adjustRightInd w:val="0"/>
              <w:spacing w:before="0" w:after="0" w:line="276" w:lineRule="auto"/>
              <w:jc w:val="right"/>
              <w:rPr>
                <w:rFonts w:ascii="Arial" w:eastAsiaTheme="minorHAnsi" w:hAnsi="Arial"/>
                <w:color w:val="000000"/>
                <w:sz w:val="16"/>
                <w:szCs w:val="16"/>
                <w:lang w:val="en-AU" w:eastAsia="en-US"/>
              </w:rPr>
            </w:pPr>
            <w:r w:rsidRPr="009E4B9D">
              <w:rPr>
                <w:rFonts w:ascii="Arial" w:eastAsiaTheme="minorHAnsi" w:hAnsi="Arial"/>
                <w:color w:val="000000"/>
                <w:sz w:val="16"/>
                <w:szCs w:val="16"/>
                <w:lang w:val="en-AU" w:eastAsia="en-US"/>
              </w:rPr>
              <w:t>294.8</w:t>
            </w:r>
          </w:p>
        </w:tc>
        <w:tc>
          <w:tcPr>
            <w:tcW w:w="1195" w:type="dxa"/>
            <w:tcBorders>
              <w:top w:val="nil"/>
              <w:left w:val="nil"/>
              <w:bottom w:val="nil"/>
              <w:right w:val="nil"/>
            </w:tcBorders>
            <w:shd w:val="clear" w:color="auto" w:fill="auto"/>
            <w:noWrap/>
            <w:vAlign w:val="bottom"/>
          </w:tcPr>
          <w:p w14:paraId="1D4B7E23" w14:textId="77777777" w:rsidR="00DC43FF" w:rsidRPr="009E4B9D" w:rsidRDefault="00DC43FF" w:rsidP="00DC43FF">
            <w:pPr>
              <w:spacing w:before="0" w:after="0" w:line="276" w:lineRule="auto"/>
              <w:jc w:val="right"/>
              <w:rPr>
                <w:rFonts w:ascii="Arial" w:hAnsi="Arial"/>
                <w:sz w:val="16"/>
                <w:szCs w:val="16"/>
                <w:lang w:eastAsia="en-US"/>
              </w:rPr>
            </w:pPr>
            <w:r w:rsidRPr="009E4B9D">
              <w:rPr>
                <w:rFonts w:ascii="Arial" w:hAnsi="Arial"/>
                <w:sz w:val="16"/>
                <w:szCs w:val="16"/>
                <w:lang w:eastAsia="en-US"/>
              </w:rPr>
              <w:t>65.9</w:t>
            </w:r>
          </w:p>
        </w:tc>
      </w:tr>
      <w:tr w:rsidR="00DC43FF" w:rsidRPr="00DC43FF" w14:paraId="721D9C7B" w14:textId="77777777" w:rsidTr="00F600B5">
        <w:trPr>
          <w:trHeight w:val="227"/>
        </w:trPr>
        <w:tc>
          <w:tcPr>
            <w:tcW w:w="3085" w:type="dxa"/>
            <w:tcBorders>
              <w:top w:val="nil"/>
              <w:left w:val="nil"/>
              <w:bottom w:val="nil"/>
              <w:right w:val="nil"/>
            </w:tcBorders>
            <w:shd w:val="clear" w:color="FFFFFF" w:fill="auto"/>
            <w:vAlign w:val="center"/>
          </w:tcPr>
          <w:p w14:paraId="5A9CECC7" w14:textId="77777777" w:rsidR="00DC43FF" w:rsidRPr="00DC43FF" w:rsidRDefault="00DC43FF" w:rsidP="00DC43FF">
            <w:pPr>
              <w:spacing w:before="0" w:after="0"/>
              <w:ind w:left="113"/>
              <w:rPr>
                <w:rFonts w:ascii="Arial" w:hAnsi="Arial"/>
                <w:sz w:val="16"/>
                <w:szCs w:val="16"/>
                <w:lang w:val="en-AU"/>
              </w:rPr>
            </w:pPr>
            <w:r w:rsidRPr="00DC43FF">
              <w:rPr>
                <w:rFonts w:ascii="Arial" w:hAnsi="Arial"/>
                <w:sz w:val="16"/>
                <w:szCs w:val="16"/>
                <w:lang w:val="en-AU"/>
              </w:rPr>
              <w:t>Kangaroo Flats Training Area</w:t>
            </w:r>
          </w:p>
        </w:tc>
        <w:tc>
          <w:tcPr>
            <w:tcW w:w="1790" w:type="dxa"/>
            <w:tcBorders>
              <w:top w:val="nil"/>
              <w:left w:val="nil"/>
              <w:bottom w:val="nil"/>
              <w:right w:val="nil"/>
            </w:tcBorders>
            <w:shd w:val="clear" w:color="FFFFFF" w:fill="auto"/>
            <w:noWrap/>
            <w:vAlign w:val="center"/>
          </w:tcPr>
          <w:p w14:paraId="51348700" w14:textId="77777777" w:rsidR="00DC43FF" w:rsidRPr="00DC43FF" w:rsidRDefault="00DC43FF" w:rsidP="00DC43FF">
            <w:pPr>
              <w:spacing w:before="0" w:after="0"/>
              <w:jc w:val="right"/>
              <w:rPr>
                <w:rFonts w:ascii="Arial" w:hAnsi="Arial"/>
                <w:sz w:val="16"/>
                <w:szCs w:val="16"/>
                <w:lang w:val="en-AU"/>
              </w:rPr>
            </w:pPr>
            <w:r w:rsidRPr="00DC43FF">
              <w:rPr>
                <w:rFonts w:ascii="Arial" w:hAnsi="Arial"/>
                <w:sz w:val="16"/>
                <w:szCs w:val="16"/>
                <w:lang w:val="en-AU"/>
              </w:rPr>
              <w:t>NT - Lingiari</w:t>
            </w:r>
          </w:p>
        </w:tc>
        <w:tc>
          <w:tcPr>
            <w:tcW w:w="1191" w:type="dxa"/>
            <w:tcBorders>
              <w:top w:val="nil"/>
              <w:left w:val="nil"/>
              <w:bottom w:val="nil"/>
              <w:right w:val="nil"/>
            </w:tcBorders>
            <w:shd w:val="clear" w:color="FFFFFF" w:fill="auto"/>
            <w:noWrap/>
            <w:vAlign w:val="center"/>
          </w:tcPr>
          <w:p w14:paraId="672BFCBD" w14:textId="77777777" w:rsidR="00DC43FF" w:rsidRPr="00DC43FF" w:rsidRDefault="00DC43FF" w:rsidP="00DC43FF">
            <w:pPr>
              <w:spacing w:before="0" w:after="0"/>
              <w:jc w:val="right"/>
              <w:rPr>
                <w:rFonts w:ascii="Arial" w:hAnsi="Arial"/>
                <w:sz w:val="16"/>
                <w:szCs w:val="16"/>
                <w:lang w:val="en-AU"/>
              </w:rPr>
            </w:pPr>
          </w:p>
        </w:tc>
        <w:tc>
          <w:tcPr>
            <w:tcW w:w="1413" w:type="dxa"/>
            <w:tcBorders>
              <w:top w:val="nil"/>
              <w:left w:val="nil"/>
              <w:bottom w:val="nil"/>
              <w:right w:val="nil"/>
            </w:tcBorders>
            <w:shd w:val="clear" w:color="auto" w:fill="auto"/>
            <w:noWrap/>
            <w:vAlign w:val="bottom"/>
          </w:tcPr>
          <w:p w14:paraId="1D8BD486" w14:textId="77777777" w:rsidR="00DC43FF" w:rsidRPr="009E4B9D" w:rsidRDefault="00DC43FF" w:rsidP="00DC43FF">
            <w:pPr>
              <w:autoSpaceDE w:val="0"/>
              <w:autoSpaceDN w:val="0"/>
              <w:adjustRightInd w:val="0"/>
              <w:spacing w:before="0" w:after="0" w:line="276" w:lineRule="auto"/>
              <w:jc w:val="right"/>
              <w:rPr>
                <w:rFonts w:ascii="Arial" w:eastAsiaTheme="minorHAnsi" w:hAnsi="Arial"/>
                <w:color w:val="000000"/>
                <w:sz w:val="16"/>
                <w:szCs w:val="16"/>
                <w:lang w:val="en-AU" w:eastAsia="en-US"/>
              </w:rPr>
            </w:pPr>
            <w:r w:rsidRPr="009E4B9D">
              <w:rPr>
                <w:rFonts w:ascii="Arial" w:eastAsiaTheme="minorHAnsi" w:hAnsi="Arial"/>
                <w:color w:val="000000"/>
                <w:sz w:val="16"/>
                <w:szCs w:val="16"/>
                <w:lang w:val="en-AU" w:eastAsia="en-US"/>
              </w:rPr>
              <w:t>97.1</w:t>
            </w:r>
          </w:p>
        </w:tc>
        <w:tc>
          <w:tcPr>
            <w:tcW w:w="1195" w:type="dxa"/>
            <w:tcBorders>
              <w:top w:val="nil"/>
              <w:left w:val="nil"/>
              <w:bottom w:val="nil"/>
              <w:right w:val="nil"/>
            </w:tcBorders>
            <w:shd w:val="clear" w:color="auto" w:fill="auto"/>
            <w:noWrap/>
            <w:vAlign w:val="bottom"/>
          </w:tcPr>
          <w:p w14:paraId="1864E7CF" w14:textId="77777777" w:rsidR="00DC43FF" w:rsidRPr="009E4B9D" w:rsidRDefault="00DC43FF" w:rsidP="00DC43FF">
            <w:pPr>
              <w:spacing w:before="0" w:after="0" w:line="276" w:lineRule="auto"/>
              <w:jc w:val="right"/>
              <w:rPr>
                <w:rFonts w:ascii="Arial" w:hAnsi="Arial"/>
                <w:sz w:val="16"/>
                <w:szCs w:val="16"/>
                <w:lang w:eastAsia="en-US"/>
              </w:rPr>
            </w:pPr>
            <w:r w:rsidRPr="009E4B9D">
              <w:rPr>
                <w:rFonts w:ascii="Arial" w:hAnsi="Arial"/>
                <w:sz w:val="16"/>
                <w:szCs w:val="16"/>
                <w:lang w:eastAsia="en-US"/>
              </w:rPr>
              <w:t>1.5</w:t>
            </w:r>
          </w:p>
        </w:tc>
      </w:tr>
      <w:tr w:rsidR="00DC43FF" w:rsidRPr="00DC43FF" w14:paraId="21A4CE04" w14:textId="77777777" w:rsidTr="00F600B5">
        <w:trPr>
          <w:trHeight w:val="227"/>
        </w:trPr>
        <w:tc>
          <w:tcPr>
            <w:tcW w:w="3085" w:type="dxa"/>
            <w:tcBorders>
              <w:top w:val="nil"/>
              <w:left w:val="nil"/>
              <w:bottom w:val="nil"/>
              <w:right w:val="nil"/>
            </w:tcBorders>
            <w:shd w:val="clear" w:color="FFFFFF" w:fill="auto"/>
            <w:vAlign w:val="center"/>
          </w:tcPr>
          <w:p w14:paraId="750901EF" w14:textId="77777777" w:rsidR="00DC43FF" w:rsidRPr="00DC43FF" w:rsidRDefault="00DC43FF" w:rsidP="00DC43FF">
            <w:pPr>
              <w:spacing w:before="0" w:after="0"/>
              <w:ind w:left="113"/>
              <w:rPr>
                <w:rFonts w:ascii="Arial" w:hAnsi="Arial"/>
                <w:sz w:val="16"/>
                <w:szCs w:val="16"/>
                <w:lang w:val="en-AU"/>
              </w:rPr>
            </w:pPr>
            <w:r w:rsidRPr="00DC43FF">
              <w:rPr>
                <w:rFonts w:ascii="Arial" w:hAnsi="Arial"/>
                <w:sz w:val="16"/>
                <w:szCs w:val="16"/>
                <w:lang w:val="en-AU"/>
              </w:rPr>
              <w:t>Mount Bundey Training Area</w:t>
            </w:r>
          </w:p>
        </w:tc>
        <w:tc>
          <w:tcPr>
            <w:tcW w:w="1790" w:type="dxa"/>
            <w:tcBorders>
              <w:top w:val="nil"/>
              <w:left w:val="nil"/>
              <w:bottom w:val="nil"/>
              <w:right w:val="nil"/>
            </w:tcBorders>
            <w:shd w:val="clear" w:color="FFFFFF" w:fill="auto"/>
            <w:noWrap/>
            <w:vAlign w:val="center"/>
          </w:tcPr>
          <w:p w14:paraId="759C1359" w14:textId="77777777" w:rsidR="00DC43FF" w:rsidRPr="00DC43FF" w:rsidRDefault="00DC43FF" w:rsidP="00DC43FF">
            <w:pPr>
              <w:spacing w:before="0" w:after="0"/>
              <w:jc w:val="right"/>
              <w:rPr>
                <w:rFonts w:ascii="Arial" w:hAnsi="Arial"/>
                <w:sz w:val="16"/>
                <w:szCs w:val="16"/>
                <w:lang w:val="en-AU"/>
              </w:rPr>
            </w:pPr>
            <w:r w:rsidRPr="00DC43FF">
              <w:rPr>
                <w:rFonts w:ascii="Arial" w:hAnsi="Arial"/>
                <w:sz w:val="16"/>
                <w:szCs w:val="16"/>
                <w:lang w:val="en-AU"/>
              </w:rPr>
              <w:t>NT - Lingiari</w:t>
            </w:r>
          </w:p>
        </w:tc>
        <w:tc>
          <w:tcPr>
            <w:tcW w:w="1191" w:type="dxa"/>
            <w:tcBorders>
              <w:top w:val="nil"/>
              <w:left w:val="nil"/>
              <w:bottom w:val="nil"/>
              <w:right w:val="nil"/>
            </w:tcBorders>
            <w:shd w:val="clear" w:color="FFFFFF" w:fill="auto"/>
            <w:noWrap/>
            <w:vAlign w:val="center"/>
          </w:tcPr>
          <w:p w14:paraId="7F9F4254" w14:textId="77777777" w:rsidR="00DC43FF" w:rsidRPr="00DC43FF" w:rsidRDefault="00DC43FF" w:rsidP="00DC43FF">
            <w:pPr>
              <w:spacing w:before="0" w:after="0"/>
              <w:jc w:val="right"/>
              <w:rPr>
                <w:rFonts w:ascii="Arial" w:hAnsi="Arial"/>
                <w:sz w:val="16"/>
                <w:szCs w:val="16"/>
                <w:lang w:val="en-AU"/>
              </w:rPr>
            </w:pPr>
          </w:p>
        </w:tc>
        <w:tc>
          <w:tcPr>
            <w:tcW w:w="1413" w:type="dxa"/>
            <w:tcBorders>
              <w:top w:val="nil"/>
              <w:left w:val="nil"/>
              <w:bottom w:val="nil"/>
              <w:right w:val="nil"/>
            </w:tcBorders>
            <w:shd w:val="clear" w:color="auto" w:fill="auto"/>
            <w:noWrap/>
            <w:vAlign w:val="bottom"/>
          </w:tcPr>
          <w:p w14:paraId="1BC07A3E" w14:textId="77777777" w:rsidR="00DC43FF" w:rsidRPr="009E4B9D" w:rsidRDefault="00DC43FF" w:rsidP="00DC43FF">
            <w:pPr>
              <w:autoSpaceDE w:val="0"/>
              <w:autoSpaceDN w:val="0"/>
              <w:adjustRightInd w:val="0"/>
              <w:spacing w:before="0" w:after="0" w:line="276" w:lineRule="auto"/>
              <w:jc w:val="right"/>
              <w:rPr>
                <w:rFonts w:ascii="Arial" w:eastAsiaTheme="minorHAnsi" w:hAnsi="Arial"/>
                <w:color w:val="000000"/>
                <w:sz w:val="16"/>
                <w:szCs w:val="16"/>
                <w:lang w:val="en-AU" w:eastAsia="en-US"/>
              </w:rPr>
            </w:pPr>
            <w:r w:rsidRPr="009E4B9D">
              <w:rPr>
                <w:rFonts w:ascii="Arial" w:eastAsiaTheme="minorHAnsi" w:hAnsi="Arial"/>
                <w:color w:val="000000"/>
                <w:sz w:val="16"/>
                <w:szCs w:val="16"/>
                <w:lang w:val="en-AU" w:eastAsia="en-US"/>
              </w:rPr>
              <w:t>60.7</w:t>
            </w:r>
          </w:p>
        </w:tc>
        <w:tc>
          <w:tcPr>
            <w:tcW w:w="1195" w:type="dxa"/>
            <w:tcBorders>
              <w:top w:val="nil"/>
              <w:left w:val="nil"/>
              <w:bottom w:val="nil"/>
              <w:right w:val="nil"/>
            </w:tcBorders>
            <w:shd w:val="clear" w:color="auto" w:fill="auto"/>
            <w:noWrap/>
            <w:vAlign w:val="bottom"/>
          </w:tcPr>
          <w:p w14:paraId="421E5B63" w14:textId="77777777" w:rsidR="00DC43FF" w:rsidRPr="009E4B9D" w:rsidRDefault="00DC43FF" w:rsidP="00DC43FF">
            <w:pPr>
              <w:spacing w:before="0" w:after="0" w:line="276" w:lineRule="auto"/>
              <w:jc w:val="right"/>
              <w:rPr>
                <w:rFonts w:ascii="Arial" w:hAnsi="Arial"/>
                <w:sz w:val="16"/>
                <w:szCs w:val="16"/>
                <w:lang w:eastAsia="en-US"/>
              </w:rPr>
            </w:pPr>
            <w:r w:rsidRPr="009E4B9D">
              <w:rPr>
                <w:rFonts w:ascii="Arial" w:hAnsi="Arial"/>
                <w:sz w:val="16"/>
                <w:szCs w:val="16"/>
                <w:lang w:eastAsia="en-US"/>
              </w:rPr>
              <w:t>31.9</w:t>
            </w:r>
          </w:p>
        </w:tc>
      </w:tr>
      <w:tr w:rsidR="00DC43FF" w:rsidRPr="00DC43FF" w14:paraId="326B69B8" w14:textId="77777777" w:rsidTr="00F600B5">
        <w:trPr>
          <w:trHeight w:val="227"/>
        </w:trPr>
        <w:tc>
          <w:tcPr>
            <w:tcW w:w="3085" w:type="dxa"/>
            <w:tcBorders>
              <w:top w:val="nil"/>
              <w:left w:val="nil"/>
              <w:bottom w:val="nil"/>
              <w:right w:val="nil"/>
            </w:tcBorders>
            <w:shd w:val="clear" w:color="FFFFFF" w:fill="auto"/>
            <w:vAlign w:val="center"/>
          </w:tcPr>
          <w:p w14:paraId="4A803C41" w14:textId="77777777" w:rsidR="00DC43FF" w:rsidRPr="00DC43FF" w:rsidRDefault="00DC43FF" w:rsidP="00DC43FF">
            <w:pPr>
              <w:spacing w:before="0" w:after="0"/>
              <w:ind w:left="113" w:right="-113"/>
              <w:rPr>
                <w:rFonts w:ascii="Arial" w:hAnsi="Arial"/>
                <w:sz w:val="16"/>
                <w:szCs w:val="16"/>
                <w:lang w:val="en-AU"/>
              </w:rPr>
            </w:pPr>
            <w:r w:rsidRPr="00DC43FF">
              <w:rPr>
                <w:rFonts w:ascii="Arial" w:hAnsi="Arial"/>
                <w:sz w:val="16"/>
                <w:szCs w:val="16"/>
                <w:lang w:val="en-AU"/>
              </w:rPr>
              <w:t>Robertson Barracks Close Training Area</w:t>
            </w:r>
            <w:r w:rsidRPr="00DC43FF" w:rsidDel="00FA42CA">
              <w:rPr>
                <w:rFonts w:ascii="Arial" w:hAnsi="Arial"/>
                <w:sz w:val="16"/>
                <w:szCs w:val="16"/>
                <w:lang w:val="en-AU"/>
              </w:rPr>
              <w:t xml:space="preserve"> </w:t>
            </w:r>
          </w:p>
        </w:tc>
        <w:tc>
          <w:tcPr>
            <w:tcW w:w="1790" w:type="dxa"/>
            <w:tcBorders>
              <w:top w:val="nil"/>
              <w:left w:val="nil"/>
              <w:bottom w:val="nil"/>
              <w:right w:val="nil"/>
            </w:tcBorders>
            <w:shd w:val="clear" w:color="FFFFFF" w:fill="auto"/>
            <w:noWrap/>
            <w:vAlign w:val="center"/>
          </w:tcPr>
          <w:p w14:paraId="34946A6C" w14:textId="77777777" w:rsidR="00DC43FF" w:rsidRPr="00DC43FF" w:rsidRDefault="00DC43FF" w:rsidP="00DC43FF">
            <w:pPr>
              <w:spacing w:before="0" w:after="0"/>
              <w:jc w:val="right"/>
              <w:rPr>
                <w:rFonts w:ascii="Arial" w:hAnsi="Arial"/>
                <w:sz w:val="16"/>
                <w:szCs w:val="16"/>
                <w:lang w:val="en-AU"/>
              </w:rPr>
            </w:pPr>
            <w:r w:rsidRPr="00DC43FF">
              <w:rPr>
                <w:rFonts w:ascii="Arial" w:hAnsi="Arial"/>
                <w:sz w:val="16"/>
                <w:szCs w:val="16"/>
                <w:lang w:val="en-AU"/>
              </w:rPr>
              <w:t>NT - Lingiari</w:t>
            </w:r>
          </w:p>
        </w:tc>
        <w:tc>
          <w:tcPr>
            <w:tcW w:w="1191" w:type="dxa"/>
            <w:tcBorders>
              <w:top w:val="nil"/>
              <w:left w:val="nil"/>
              <w:bottom w:val="nil"/>
              <w:right w:val="nil"/>
            </w:tcBorders>
            <w:shd w:val="clear" w:color="FFFFFF" w:fill="auto"/>
            <w:noWrap/>
            <w:vAlign w:val="center"/>
          </w:tcPr>
          <w:p w14:paraId="3CC37EC9" w14:textId="77777777" w:rsidR="00DC43FF" w:rsidRPr="00DC43FF" w:rsidRDefault="00DC43FF" w:rsidP="00DC43FF">
            <w:pPr>
              <w:spacing w:before="0" w:after="0"/>
              <w:jc w:val="right"/>
              <w:rPr>
                <w:rFonts w:ascii="Arial" w:hAnsi="Arial"/>
                <w:sz w:val="16"/>
                <w:szCs w:val="16"/>
                <w:lang w:val="en-AU"/>
              </w:rPr>
            </w:pPr>
          </w:p>
        </w:tc>
        <w:tc>
          <w:tcPr>
            <w:tcW w:w="1413" w:type="dxa"/>
            <w:tcBorders>
              <w:top w:val="nil"/>
              <w:left w:val="nil"/>
              <w:bottom w:val="nil"/>
              <w:right w:val="nil"/>
            </w:tcBorders>
            <w:shd w:val="clear" w:color="auto" w:fill="auto"/>
            <w:noWrap/>
            <w:vAlign w:val="bottom"/>
          </w:tcPr>
          <w:p w14:paraId="32E3BEC9" w14:textId="77777777" w:rsidR="00DC43FF" w:rsidRPr="009E4B9D" w:rsidRDefault="00DC43FF" w:rsidP="00DC43FF">
            <w:pPr>
              <w:autoSpaceDE w:val="0"/>
              <w:autoSpaceDN w:val="0"/>
              <w:adjustRightInd w:val="0"/>
              <w:spacing w:before="0" w:after="0" w:line="276" w:lineRule="auto"/>
              <w:jc w:val="right"/>
              <w:rPr>
                <w:rFonts w:ascii="Arial" w:eastAsiaTheme="minorHAnsi" w:hAnsi="Arial"/>
                <w:color w:val="000000"/>
                <w:sz w:val="16"/>
                <w:szCs w:val="16"/>
                <w:lang w:val="en-AU" w:eastAsia="en-US"/>
              </w:rPr>
            </w:pPr>
            <w:r w:rsidRPr="009E4B9D">
              <w:rPr>
                <w:rFonts w:ascii="Arial" w:eastAsiaTheme="minorHAnsi" w:hAnsi="Arial"/>
                <w:color w:val="000000"/>
                <w:sz w:val="16"/>
                <w:szCs w:val="16"/>
                <w:lang w:val="en-AU" w:eastAsia="en-US"/>
              </w:rPr>
              <w:t>108.3</w:t>
            </w:r>
          </w:p>
        </w:tc>
        <w:tc>
          <w:tcPr>
            <w:tcW w:w="1195" w:type="dxa"/>
            <w:tcBorders>
              <w:top w:val="nil"/>
              <w:left w:val="nil"/>
              <w:bottom w:val="nil"/>
              <w:right w:val="nil"/>
            </w:tcBorders>
            <w:shd w:val="clear" w:color="auto" w:fill="auto"/>
            <w:noWrap/>
            <w:vAlign w:val="bottom"/>
          </w:tcPr>
          <w:p w14:paraId="661AEFB9" w14:textId="77777777" w:rsidR="00DC43FF" w:rsidRPr="009E4B9D" w:rsidRDefault="00DC43FF" w:rsidP="00DC43FF">
            <w:pPr>
              <w:spacing w:before="0" w:after="0" w:line="276" w:lineRule="auto"/>
              <w:jc w:val="right"/>
              <w:rPr>
                <w:rFonts w:ascii="Arial" w:hAnsi="Arial"/>
                <w:sz w:val="16"/>
                <w:szCs w:val="16"/>
                <w:lang w:eastAsia="en-US"/>
              </w:rPr>
            </w:pPr>
            <w:r w:rsidRPr="009E4B9D">
              <w:rPr>
                <w:rFonts w:ascii="Arial" w:hAnsi="Arial"/>
                <w:sz w:val="16"/>
                <w:szCs w:val="16"/>
                <w:lang w:eastAsia="en-US"/>
              </w:rPr>
              <w:t>0.7</w:t>
            </w:r>
          </w:p>
        </w:tc>
      </w:tr>
      <w:tr w:rsidR="00DC43FF" w:rsidRPr="00BA1388" w14:paraId="7E6E86FB" w14:textId="77777777" w:rsidTr="00DC43FF">
        <w:trPr>
          <w:trHeight w:val="227"/>
        </w:trPr>
        <w:tc>
          <w:tcPr>
            <w:tcW w:w="3085" w:type="dxa"/>
            <w:tcBorders>
              <w:top w:val="nil"/>
              <w:left w:val="nil"/>
              <w:bottom w:val="single" w:sz="4" w:space="0" w:color="auto"/>
              <w:right w:val="nil"/>
            </w:tcBorders>
            <w:shd w:val="clear" w:color="FFFFFF" w:fill="auto"/>
            <w:vAlign w:val="center"/>
          </w:tcPr>
          <w:p w14:paraId="5DC385B1" w14:textId="77777777" w:rsidR="00DC43FF" w:rsidRPr="00DC43FF" w:rsidRDefault="00DC43FF" w:rsidP="00DC43FF">
            <w:pPr>
              <w:spacing w:before="0" w:after="0"/>
              <w:rPr>
                <w:rFonts w:ascii="Arial" w:hAnsi="Arial"/>
                <w:b/>
                <w:bCs/>
                <w:sz w:val="16"/>
                <w:szCs w:val="16"/>
                <w:lang w:val="en-AU"/>
              </w:rPr>
            </w:pPr>
            <w:r w:rsidRPr="00DC43FF">
              <w:rPr>
                <w:rFonts w:ascii="Arial" w:hAnsi="Arial"/>
                <w:b/>
                <w:bCs/>
                <w:sz w:val="16"/>
                <w:szCs w:val="16"/>
                <w:lang w:val="en-AU"/>
              </w:rPr>
              <w:t>Total</w:t>
            </w:r>
          </w:p>
        </w:tc>
        <w:tc>
          <w:tcPr>
            <w:tcW w:w="1790" w:type="dxa"/>
            <w:tcBorders>
              <w:top w:val="nil"/>
              <w:left w:val="nil"/>
              <w:bottom w:val="single" w:sz="4" w:space="0" w:color="auto"/>
              <w:right w:val="nil"/>
            </w:tcBorders>
            <w:shd w:val="clear" w:color="FFFFFF" w:fill="auto"/>
            <w:noWrap/>
            <w:vAlign w:val="center"/>
          </w:tcPr>
          <w:p w14:paraId="30ECCCF0" w14:textId="77777777" w:rsidR="00DC43FF" w:rsidRPr="00DC43FF" w:rsidRDefault="00DC43FF" w:rsidP="00DC43FF">
            <w:pPr>
              <w:spacing w:before="0" w:after="0"/>
              <w:jc w:val="right"/>
              <w:rPr>
                <w:rFonts w:ascii="Arial" w:hAnsi="Arial"/>
                <w:sz w:val="16"/>
                <w:szCs w:val="16"/>
                <w:lang w:val="en-AU"/>
              </w:rPr>
            </w:pPr>
          </w:p>
        </w:tc>
        <w:tc>
          <w:tcPr>
            <w:tcW w:w="1191" w:type="dxa"/>
            <w:tcBorders>
              <w:top w:val="nil"/>
              <w:left w:val="nil"/>
              <w:bottom w:val="single" w:sz="4" w:space="0" w:color="auto"/>
              <w:right w:val="nil"/>
            </w:tcBorders>
            <w:shd w:val="clear" w:color="FFFFFF" w:fill="auto"/>
            <w:noWrap/>
            <w:vAlign w:val="center"/>
          </w:tcPr>
          <w:p w14:paraId="077EF3C6" w14:textId="77777777" w:rsidR="00DC43FF" w:rsidRPr="00DC43FF" w:rsidRDefault="00DC43FF" w:rsidP="00DC43FF">
            <w:pPr>
              <w:spacing w:before="0" w:after="0"/>
              <w:jc w:val="right"/>
              <w:rPr>
                <w:rFonts w:ascii="Arial" w:hAnsi="Arial"/>
                <w:b/>
                <w:sz w:val="16"/>
                <w:szCs w:val="16"/>
                <w:lang w:val="en-AU"/>
              </w:rPr>
            </w:pPr>
            <w:r w:rsidRPr="00DC43FF">
              <w:rPr>
                <w:rFonts w:ascii="Arial" w:hAnsi="Arial"/>
                <w:b/>
                <w:sz w:val="16"/>
                <w:szCs w:val="16"/>
                <w:lang w:val="en-AU"/>
              </w:rPr>
              <w:t>747.0</w:t>
            </w:r>
          </w:p>
        </w:tc>
        <w:tc>
          <w:tcPr>
            <w:tcW w:w="1413" w:type="dxa"/>
            <w:tcBorders>
              <w:top w:val="nil"/>
              <w:left w:val="nil"/>
              <w:bottom w:val="single" w:sz="4" w:space="0" w:color="auto"/>
              <w:right w:val="nil"/>
            </w:tcBorders>
            <w:shd w:val="clear" w:color="auto" w:fill="auto"/>
            <w:noWrap/>
            <w:vAlign w:val="bottom"/>
          </w:tcPr>
          <w:p w14:paraId="2C5AAB94" w14:textId="77777777" w:rsidR="00DC43FF" w:rsidRPr="009E4B9D" w:rsidRDefault="00DC43FF" w:rsidP="00DC43FF">
            <w:pPr>
              <w:autoSpaceDE w:val="0"/>
              <w:autoSpaceDN w:val="0"/>
              <w:adjustRightInd w:val="0"/>
              <w:spacing w:before="0" w:after="0" w:line="276" w:lineRule="auto"/>
              <w:jc w:val="right"/>
              <w:rPr>
                <w:rFonts w:ascii="Arial" w:eastAsiaTheme="minorHAnsi" w:hAnsi="Arial"/>
                <w:b/>
                <w:bCs/>
                <w:color w:val="000000"/>
                <w:sz w:val="16"/>
                <w:szCs w:val="16"/>
                <w:lang w:val="en-AU" w:eastAsia="en-US"/>
              </w:rPr>
            </w:pPr>
            <w:r w:rsidRPr="009E4B9D">
              <w:rPr>
                <w:rFonts w:ascii="Arial" w:eastAsiaTheme="minorHAnsi" w:hAnsi="Arial"/>
                <w:b/>
                <w:bCs/>
                <w:color w:val="000000"/>
                <w:sz w:val="16"/>
                <w:szCs w:val="16"/>
                <w:lang w:val="en-AU" w:eastAsia="en-US"/>
              </w:rPr>
              <w:t>560.8</w:t>
            </w:r>
          </w:p>
        </w:tc>
        <w:tc>
          <w:tcPr>
            <w:tcW w:w="1195" w:type="dxa"/>
            <w:tcBorders>
              <w:top w:val="nil"/>
              <w:left w:val="nil"/>
              <w:bottom w:val="single" w:sz="4" w:space="0" w:color="auto"/>
              <w:right w:val="nil"/>
            </w:tcBorders>
            <w:shd w:val="clear" w:color="auto" w:fill="auto"/>
            <w:noWrap/>
            <w:vAlign w:val="bottom"/>
          </w:tcPr>
          <w:p w14:paraId="2D750C88" w14:textId="77777777" w:rsidR="00DC43FF" w:rsidRPr="009E4B9D" w:rsidRDefault="00DC43FF" w:rsidP="00DC43FF">
            <w:pPr>
              <w:spacing w:before="0" w:after="0" w:line="276" w:lineRule="auto"/>
              <w:jc w:val="right"/>
              <w:rPr>
                <w:rFonts w:ascii="Arial" w:hAnsi="Arial"/>
                <w:b/>
                <w:sz w:val="16"/>
                <w:szCs w:val="16"/>
                <w:lang w:eastAsia="en-US"/>
              </w:rPr>
            </w:pPr>
            <w:r w:rsidRPr="009E4B9D">
              <w:rPr>
                <w:rFonts w:ascii="Arial" w:hAnsi="Arial"/>
                <w:b/>
                <w:sz w:val="16"/>
                <w:szCs w:val="16"/>
                <w:lang w:eastAsia="en-US"/>
              </w:rPr>
              <w:t>100.0</w:t>
            </w:r>
          </w:p>
        </w:tc>
      </w:tr>
      <w:tr w:rsidR="00DC43FF" w:rsidRPr="00BA1388" w14:paraId="5C944373" w14:textId="77777777" w:rsidTr="00DC43FF">
        <w:trPr>
          <w:trHeight w:val="227"/>
        </w:trPr>
        <w:tc>
          <w:tcPr>
            <w:tcW w:w="3085" w:type="dxa"/>
            <w:tcBorders>
              <w:top w:val="single" w:sz="4" w:space="0" w:color="auto"/>
              <w:left w:val="nil"/>
              <w:bottom w:val="nil"/>
              <w:right w:val="nil"/>
            </w:tcBorders>
            <w:shd w:val="clear" w:color="FFFFFF" w:fill="auto"/>
            <w:vAlign w:val="center"/>
          </w:tcPr>
          <w:p w14:paraId="713D599F" w14:textId="77777777" w:rsidR="00DC43FF" w:rsidRPr="00DC43FF" w:rsidRDefault="00DC43FF" w:rsidP="00DC43FF">
            <w:pPr>
              <w:spacing w:before="0" w:after="0"/>
              <w:rPr>
                <w:rFonts w:ascii="Arial" w:hAnsi="Arial"/>
                <w:b/>
                <w:bCs/>
                <w:sz w:val="16"/>
                <w:szCs w:val="16"/>
                <w:lang w:val="en-AU"/>
              </w:rPr>
            </w:pPr>
            <w:r w:rsidRPr="008659FE">
              <w:rPr>
                <w:rFonts w:ascii="Arial" w:hAnsi="Arial"/>
                <w:b/>
                <w:bCs/>
                <w:sz w:val="16"/>
                <w:szCs w:val="16"/>
                <w:lang w:val="en-AU"/>
              </w:rPr>
              <w:t>Facilities to Support Highly Available ICT Project</w:t>
            </w:r>
          </w:p>
        </w:tc>
        <w:tc>
          <w:tcPr>
            <w:tcW w:w="1790" w:type="dxa"/>
            <w:tcBorders>
              <w:top w:val="single" w:sz="4" w:space="0" w:color="auto"/>
              <w:left w:val="nil"/>
              <w:bottom w:val="nil"/>
              <w:right w:val="nil"/>
            </w:tcBorders>
            <w:shd w:val="clear" w:color="FFFFFF" w:fill="auto"/>
            <w:noWrap/>
            <w:vAlign w:val="center"/>
          </w:tcPr>
          <w:p w14:paraId="59A40E23" w14:textId="77777777" w:rsidR="00DC43FF" w:rsidRPr="00DC43FF" w:rsidRDefault="00DC43FF" w:rsidP="00DC43FF">
            <w:pPr>
              <w:spacing w:before="0" w:after="0"/>
              <w:jc w:val="right"/>
              <w:rPr>
                <w:rFonts w:ascii="Arial" w:hAnsi="Arial"/>
                <w:sz w:val="16"/>
                <w:szCs w:val="16"/>
                <w:lang w:val="en-AU"/>
              </w:rPr>
            </w:pPr>
          </w:p>
        </w:tc>
        <w:tc>
          <w:tcPr>
            <w:tcW w:w="1191" w:type="dxa"/>
            <w:tcBorders>
              <w:top w:val="single" w:sz="4" w:space="0" w:color="auto"/>
              <w:left w:val="nil"/>
              <w:bottom w:val="nil"/>
              <w:right w:val="nil"/>
            </w:tcBorders>
            <w:shd w:val="clear" w:color="FFFFFF" w:fill="auto"/>
            <w:noWrap/>
            <w:vAlign w:val="center"/>
          </w:tcPr>
          <w:p w14:paraId="05BF4BC8" w14:textId="77777777" w:rsidR="00DC43FF" w:rsidRPr="00DC43FF" w:rsidRDefault="00DC43FF" w:rsidP="00DC43FF">
            <w:pPr>
              <w:spacing w:before="0" w:after="0"/>
              <w:jc w:val="right"/>
              <w:rPr>
                <w:rFonts w:ascii="Arial" w:hAnsi="Arial"/>
                <w:b/>
                <w:sz w:val="16"/>
                <w:szCs w:val="16"/>
                <w:lang w:val="en-AU"/>
              </w:rPr>
            </w:pPr>
          </w:p>
        </w:tc>
        <w:tc>
          <w:tcPr>
            <w:tcW w:w="1413" w:type="dxa"/>
            <w:tcBorders>
              <w:top w:val="single" w:sz="4" w:space="0" w:color="auto"/>
              <w:left w:val="nil"/>
              <w:bottom w:val="nil"/>
              <w:right w:val="nil"/>
            </w:tcBorders>
            <w:shd w:val="clear" w:color="auto" w:fill="auto"/>
            <w:noWrap/>
            <w:vAlign w:val="bottom"/>
          </w:tcPr>
          <w:p w14:paraId="16CADCD3" w14:textId="77777777" w:rsidR="00DC43FF" w:rsidRPr="009E4B9D" w:rsidRDefault="00DC43FF" w:rsidP="00DC43FF">
            <w:pPr>
              <w:autoSpaceDE w:val="0"/>
              <w:autoSpaceDN w:val="0"/>
              <w:adjustRightInd w:val="0"/>
              <w:spacing w:before="0" w:after="0" w:line="276" w:lineRule="auto"/>
              <w:jc w:val="right"/>
              <w:rPr>
                <w:rFonts w:ascii="Arial" w:eastAsiaTheme="minorHAnsi" w:hAnsi="Arial"/>
                <w:b/>
                <w:bCs/>
                <w:color w:val="000000"/>
                <w:sz w:val="16"/>
                <w:szCs w:val="16"/>
                <w:lang w:val="en-AU" w:eastAsia="en-US"/>
              </w:rPr>
            </w:pPr>
          </w:p>
        </w:tc>
        <w:tc>
          <w:tcPr>
            <w:tcW w:w="1195" w:type="dxa"/>
            <w:tcBorders>
              <w:top w:val="single" w:sz="4" w:space="0" w:color="auto"/>
              <w:left w:val="nil"/>
              <w:bottom w:val="nil"/>
              <w:right w:val="nil"/>
            </w:tcBorders>
            <w:shd w:val="clear" w:color="auto" w:fill="auto"/>
            <w:noWrap/>
            <w:vAlign w:val="bottom"/>
          </w:tcPr>
          <w:p w14:paraId="7F8641B9" w14:textId="77777777" w:rsidR="00DC43FF" w:rsidRPr="009E4B9D" w:rsidRDefault="00DC43FF" w:rsidP="00DC43FF">
            <w:pPr>
              <w:spacing w:before="0" w:after="0" w:line="276" w:lineRule="auto"/>
              <w:jc w:val="right"/>
              <w:rPr>
                <w:rFonts w:ascii="Arial" w:hAnsi="Arial"/>
                <w:b/>
                <w:sz w:val="16"/>
                <w:szCs w:val="16"/>
                <w:lang w:eastAsia="en-US"/>
              </w:rPr>
            </w:pPr>
          </w:p>
        </w:tc>
      </w:tr>
      <w:tr w:rsidR="003E5CB4" w:rsidRPr="00BA1388" w14:paraId="3A5C673C" w14:textId="77777777" w:rsidTr="00F600B5">
        <w:trPr>
          <w:trHeight w:val="227"/>
        </w:trPr>
        <w:tc>
          <w:tcPr>
            <w:tcW w:w="3085" w:type="dxa"/>
            <w:tcBorders>
              <w:top w:val="nil"/>
              <w:left w:val="nil"/>
              <w:bottom w:val="single" w:sz="4" w:space="0" w:color="auto"/>
              <w:right w:val="nil"/>
            </w:tcBorders>
            <w:shd w:val="clear" w:color="FFFFFF" w:fill="auto"/>
            <w:vAlign w:val="center"/>
          </w:tcPr>
          <w:p w14:paraId="3EEC8CB0" w14:textId="5BE2B64C" w:rsidR="003E5CB4" w:rsidRPr="00DC43FF" w:rsidRDefault="001E6EB3" w:rsidP="003E5CB4">
            <w:pPr>
              <w:spacing w:before="0" w:after="0"/>
              <w:ind w:left="173"/>
              <w:rPr>
                <w:rFonts w:ascii="Arial" w:hAnsi="Arial"/>
                <w:b/>
                <w:bCs/>
                <w:sz w:val="16"/>
                <w:szCs w:val="16"/>
                <w:lang w:val="en-AU"/>
              </w:rPr>
            </w:pPr>
            <w:r>
              <w:rPr>
                <w:rFonts w:ascii="Arial" w:hAnsi="Arial"/>
                <w:bCs/>
                <w:sz w:val="16"/>
                <w:szCs w:val="16"/>
                <w:lang w:val="en-AU"/>
              </w:rPr>
              <w:t>South Australia</w:t>
            </w:r>
          </w:p>
        </w:tc>
        <w:tc>
          <w:tcPr>
            <w:tcW w:w="1790" w:type="dxa"/>
            <w:tcBorders>
              <w:top w:val="nil"/>
              <w:left w:val="nil"/>
              <w:bottom w:val="single" w:sz="4" w:space="0" w:color="auto"/>
              <w:right w:val="nil"/>
            </w:tcBorders>
            <w:shd w:val="clear" w:color="FFFFFF" w:fill="auto"/>
            <w:noWrap/>
            <w:vAlign w:val="center"/>
          </w:tcPr>
          <w:p w14:paraId="13DE03B9" w14:textId="6CB37275" w:rsidR="003E5CB4" w:rsidRPr="00DC43FF" w:rsidRDefault="001E6EB3" w:rsidP="001E6EB3">
            <w:pPr>
              <w:spacing w:before="0" w:after="0"/>
              <w:jc w:val="right"/>
              <w:rPr>
                <w:rFonts w:ascii="Arial" w:hAnsi="Arial"/>
                <w:sz w:val="16"/>
                <w:szCs w:val="16"/>
                <w:lang w:val="en-AU"/>
              </w:rPr>
            </w:pPr>
            <w:r>
              <w:rPr>
                <w:rFonts w:ascii="Arial" w:hAnsi="Arial"/>
                <w:sz w:val="16"/>
                <w:szCs w:val="16"/>
                <w:lang w:val="en-AU"/>
              </w:rPr>
              <w:t>SA</w:t>
            </w:r>
          </w:p>
        </w:tc>
        <w:tc>
          <w:tcPr>
            <w:tcW w:w="1191" w:type="dxa"/>
            <w:tcBorders>
              <w:top w:val="nil"/>
              <w:left w:val="nil"/>
              <w:bottom w:val="single" w:sz="4" w:space="0" w:color="auto"/>
              <w:right w:val="nil"/>
            </w:tcBorders>
            <w:shd w:val="clear" w:color="FFFFFF" w:fill="auto"/>
            <w:noWrap/>
            <w:vAlign w:val="bottom"/>
          </w:tcPr>
          <w:p w14:paraId="47418422" w14:textId="77777777" w:rsidR="003E5CB4" w:rsidRPr="00353F8D" w:rsidRDefault="003E5CB4" w:rsidP="003E5CB4">
            <w:pPr>
              <w:spacing w:before="0" w:after="0" w:line="276" w:lineRule="auto"/>
              <w:jc w:val="right"/>
              <w:rPr>
                <w:rFonts w:ascii="Arial" w:hAnsi="Arial"/>
                <w:sz w:val="16"/>
                <w:szCs w:val="16"/>
                <w:lang w:val="en-AU"/>
              </w:rPr>
            </w:pPr>
            <w:r w:rsidRPr="00353F8D">
              <w:rPr>
                <w:rFonts w:ascii="Arial" w:hAnsi="Arial"/>
                <w:b/>
                <w:sz w:val="16"/>
                <w:szCs w:val="16"/>
                <w:lang w:val="en-AU"/>
              </w:rPr>
              <w:t>674.7</w:t>
            </w:r>
          </w:p>
        </w:tc>
        <w:tc>
          <w:tcPr>
            <w:tcW w:w="1413" w:type="dxa"/>
            <w:tcBorders>
              <w:top w:val="nil"/>
              <w:left w:val="nil"/>
              <w:bottom w:val="single" w:sz="4" w:space="0" w:color="auto"/>
              <w:right w:val="nil"/>
            </w:tcBorders>
            <w:shd w:val="clear" w:color="auto" w:fill="auto"/>
            <w:noWrap/>
            <w:vAlign w:val="bottom"/>
          </w:tcPr>
          <w:p w14:paraId="3776E179" w14:textId="77777777" w:rsidR="003E5CB4" w:rsidRPr="009E4B9D" w:rsidRDefault="003E5CB4" w:rsidP="003E5CB4">
            <w:pPr>
              <w:spacing w:before="0" w:after="0" w:line="276" w:lineRule="auto"/>
              <w:jc w:val="right"/>
              <w:rPr>
                <w:rFonts w:ascii="Arial" w:hAnsi="Arial"/>
                <w:b/>
                <w:sz w:val="16"/>
                <w:szCs w:val="16"/>
                <w:lang w:eastAsia="en-US"/>
              </w:rPr>
            </w:pPr>
            <w:r w:rsidRPr="009E4B9D">
              <w:rPr>
                <w:rFonts w:ascii="Arial" w:hAnsi="Arial"/>
                <w:b/>
                <w:sz w:val="16"/>
                <w:szCs w:val="16"/>
                <w:lang w:eastAsia="en-US"/>
              </w:rPr>
              <w:t>37.7</w:t>
            </w:r>
          </w:p>
        </w:tc>
        <w:tc>
          <w:tcPr>
            <w:tcW w:w="1195" w:type="dxa"/>
            <w:tcBorders>
              <w:top w:val="nil"/>
              <w:left w:val="nil"/>
              <w:bottom w:val="single" w:sz="4" w:space="0" w:color="auto"/>
              <w:right w:val="nil"/>
            </w:tcBorders>
            <w:shd w:val="clear" w:color="auto" w:fill="auto"/>
            <w:noWrap/>
            <w:vAlign w:val="bottom"/>
          </w:tcPr>
          <w:p w14:paraId="66B49F9E" w14:textId="77777777" w:rsidR="003E5CB4" w:rsidRPr="009E4B9D" w:rsidRDefault="003E5CB4" w:rsidP="003E5CB4">
            <w:pPr>
              <w:spacing w:before="0" w:after="0" w:line="276" w:lineRule="auto"/>
              <w:jc w:val="right"/>
              <w:rPr>
                <w:rFonts w:ascii="Arial" w:hAnsi="Arial"/>
                <w:b/>
                <w:sz w:val="16"/>
                <w:szCs w:val="16"/>
                <w:lang w:eastAsia="en-US"/>
              </w:rPr>
            </w:pPr>
            <w:r w:rsidRPr="009E4B9D">
              <w:rPr>
                <w:rFonts w:ascii="Arial" w:hAnsi="Arial"/>
                <w:b/>
                <w:sz w:val="16"/>
                <w:szCs w:val="16"/>
                <w:lang w:eastAsia="en-US"/>
              </w:rPr>
              <w:t>182.3</w:t>
            </w:r>
          </w:p>
        </w:tc>
      </w:tr>
      <w:tr w:rsidR="003E5CB4" w:rsidRPr="003E5CB4" w14:paraId="193753FB" w14:textId="77777777" w:rsidTr="00DC43FF">
        <w:trPr>
          <w:trHeight w:val="227"/>
        </w:trPr>
        <w:tc>
          <w:tcPr>
            <w:tcW w:w="3085" w:type="dxa"/>
            <w:tcBorders>
              <w:top w:val="single" w:sz="4" w:space="0" w:color="auto"/>
              <w:left w:val="nil"/>
              <w:bottom w:val="nil"/>
              <w:right w:val="nil"/>
            </w:tcBorders>
            <w:shd w:val="clear" w:color="FFFFFF" w:fill="auto"/>
            <w:vAlign w:val="center"/>
          </w:tcPr>
          <w:p w14:paraId="05F145C9" w14:textId="77777777" w:rsidR="003E5CB4" w:rsidRPr="003E5CB4" w:rsidRDefault="003E5CB4" w:rsidP="003E5CB4">
            <w:pPr>
              <w:spacing w:before="0" w:after="0"/>
              <w:rPr>
                <w:rFonts w:ascii="Arial" w:hAnsi="Arial"/>
                <w:b/>
                <w:bCs/>
                <w:sz w:val="16"/>
                <w:szCs w:val="16"/>
                <w:lang w:val="en-AU"/>
              </w:rPr>
            </w:pPr>
            <w:r w:rsidRPr="003E5CB4">
              <w:rPr>
                <w:rFonts w:ascii="Arial" w:hAnsi="Arial"/>
                <w:b/>
                <w:bCs/>
                <w:sz w:val="16"/>
                <w:szCs w:val="16"/>
                <w:lang w:val="en-AU"/>
              </w:rPr>
              <w:t>RAAF Base Learmonth Redevelopment Enabling KC-30 Operations</w:t>
            </w:r>
          </w:p>
        </w:tc>
        <w:tc>
          <w:tcPr>
            <w:tcW w:w="1790" w:type="dxa"/>
            <w:tcBorders>
              <w:top w:val="single" w:sz="4" w:space="0" w:color="auto"/>
              <w:left w:val="nil"/>
              <w:bottom w:val="nil"/>
              <w:right w:val="nil"/>
            </w:tcBorders>
            <w:shd w:val="clear" w:color="FFFFFF" w:fill="auto"/>
            <w:noWrap/>
            <w:vAlign w:val="center"/>
          </w:tcPr>
          <w:p w14:paraId="140EF375" w14:textId="77777777" w:rsidR="003E5CB4" w:rsidRPr="003E5CB4" w:rsidRDefault="003E5CB4" w:rsidP="003E5CB4">
            <w:pPr>
              <w:spacing w:before="0" w:after="0"/>
              <w:jc w:val="right"/>
              <w:rPr>
                <w:rFonts w:ascii="Arial" w:hAnsi="Arial"/>
                <w:sz w:val="16"/>
                <w:szCs w:val="16"/>
                <w:lang w:val="en-AU"/>
              </w:rPr>
            </w:pPr>
          </w:p>
        </w:tc>
        <w:tc>
          <w:tcPr>
            <w:tcW w:w="1191" w:type="dxa"/>
            <w:tcBorders>
              <w:top w:val="single" w:sz="4" w:space="0" w:color="auto"/>
              <w:left w:val="nil"/>
              <w:bottom w:val="nil"/>
              <w:right w:val="nil"/>
            </w:tcBorders>
            <w:shd w:val="clear" w:color="FFFFFF" w:fill="auto"/>
            <w:noWrap/>
            <w:vAlign w:val="center"/>
          </w:tcPr>
          <w:p w14:paraId="1C9E9544" w14:textId="77777777" w:rsidR="003E5CB4" w:rsidRPr="003E5CB4" w:rsidRDefault="003E5CB4" w:rsidP="003E5CB4">
            <w:pPr>
              <w:spacing w:before="0" w:after="0"/>
              <w:jc w:val="right"/>
              <w:rPr>
                <w:rFonts w:ascii="Arial" w:hAnsi="Arial"/>
                <w:b/>
                <w:sz w:val="16"/>
                <w:szCs w:val="16"/>
                <w:lang w:val="en-AU"/>
              </w:rPr>
            </w:pPr>
          </w:p>
        </w:tc>
        <w:tc>
          <w:tcPr>
            <w:tcW w:w="1413" w:type="dxa"/>
            <w:tcBorders>
              <w:top w:val="single" w:sz="4" w:space="0" w:color="auto"/>
              <w:left w:val="nil"/>
              <w:bottom w:val="nil"/>
              <w:right w:val="nil"/>
            </w:tcBorders>
            <w:shd w:val="clear" w:color="auto" w:fill="auto"/>
            <w:noWrap/>
            <w:vAlign w:val="center"/>
          </w:tcPr>
          <w:p w14:paraId="0AD1094E" w14:textId="77777777" w:rsidR="003E5CB4" w:rsidRPr="003E5CB4" w:rsidRDefault="003E5CB4" w:rsidP="003E5CB4">
            <w:pPr>
              <w:spacing w:before="0" w:after="0"/>
              <w:jc w:val="right"/>
              <w:rPr>
                <w:rFonts w:ascii="Arial" w:hAnsi="Arial"/>
                <w:b/>
                <w:sz w:val="16"/>
                <w:szCs w:val="16"/>
                <w:lang w:val="en-AU"/>
              </w:rPr>
            </w:pPr>
          </w:p>
        </w:tc>
        <w:tc>
          <w:tcPr>
            <w:tcW w:w="1195" w:type="dxa"/>
            <w:tcBorders>
              <w:top w:val="single" w:sz="4" w:space="0" w:color="auto"/>
              <w:left w:val="nil"/>
              <w:bottom w:val="nil"/>
              <w:right w:val="nil"/>
            </w:tcBorders>
            <w:shd w:val="clear" w:color="auto" w:fill="auto"/>
            <w:noWrap/>
            <w:vAlign w:val="center"/>
          </w:tcPr>
          <w:p w14:paraId="105EA046" w14:textId="77777777" w:rsidR="003E5CB4" w:rsidRPr="003E5CB4" w:rsidRDefault="003E5CB4" w:rsidP="003E5CB4">
            <w:pPr>
              <w:spacing w:before="0" w:after="0"/>
              <w:jc w:val="right"/>
              <w:rPr>
                <w:rFonts w:ascii="Arial" w:hAnsi="Arial"/>
                <w:b/>
                <w:sz w:val="16"/>
                <w:szCs w:val="16"/>
                <w:lang w:val="en-AU"/>
              </w:rPr>
            </w:pPr>
          </w:p>
        </w:tc>
      </w:tr>
      <w:tr w:rsidR="003E5CB4" w:rsidRPr="00BA1388" w14:paraId="3969D5A4" w14:textId="77777777" w:rsidTr="006868B3">
        <w:trPr>
          <w:trHeight w:val="227"/>
        </w:trPr>
        <w:tc>
          <w:tcPr>
            <w:tcW w:w="3085" w:type="dxa"/>
            <w:tcBorders>
              <w:top w:val="nil"/>
              <w:left w:val="nil"/>
              <w:bottom w:val="single" w:sz="4" w:space="0" w:color="auto"/>
              <w:right w:val="nil"/>
            </w:tcBorders>
            <w:shd w:val="clear" w:color="FFFFFF" w:fill="auto"/>
            <w:vAlign w:val="center"/>
          </w:tcPr>
          <w:p w14:paraId="7A9D80A6" w14:textId="77777777" w:rsidR="003E5CB4" w:rsidRPr="003E5CB4" w:rsidRDefault="003E5CB4" w:rsidP="003E5CB4">
            <w:pPr>
              <w:spacing w:before="0" w:after="0"/>
              <w:ind w:left="113"/>
              <w:rPr>
                <w:rFonts w:ascii="Arial" w:hAnsi="Arial"/>
                <w:sz w:val="16"/>
                <w:szCs w:val="16"/>
                <w:lang w:val="en-AU"/>
              </w:rPr>
            </w:pPr>
            <w:r w:rsidRPr="003E5CB4">
              <w:rPr>
                <w:rFonts w:ascii="Arial" w:hAnsi="Arial"/>
                <w:sz w:val="16"/>
                <w:szCs w:val="16"/>
                <w:lang w:val="en-AU"/>
              </w:rPr>
              <w:t>RAAF Learmonth</w:t>
            </w:r>
          </w:p>
        </w:tc>
        <w:tc>
          <w:tcPr>
            <w:tcW w:w="1790" w:type="dxa"/>
            <w:tcBorders>
              <w:top w:val="nil"/>
              <w:left w:val="nil"/>
              <w:bottom w:val="single" w:sz="4" w:space="0" w:color="auto"/>
              <w:right w:val="nil"/>
            </w:tcBorders>
            <w:shd w:val="clear" w:color="FFFFFF" w:fill="auto"/>
            <w:noWrap/>
            <w:vAlign w:val="center"/>
          </w:tcPr>
          <w:p w14:paraId="075D508D" w14:textId="77777777" w:rsidR="003E5CB4" w:rsidRPr="003E5CB4" w:rsidRDefault="003E5CB4" w:rsidP="003E5CB4">
            <w:pPr>
              <w:spacing w:before="0" w:after="0"/>
              <w:jc w:val="right"/>
              <w:rPr>
                <w:rFonts w:ascii="Arial" w:hAnsi="Arial"/>
                <w:sz w:val="16"/>
                <w:szCs w:val="16"/>
                <w:lang w:val="en-AU"/>
              </w:rPr>
            </w:pPr>
            <w:r w:rsidRPr="003E5CB4">
              <w:rPr>
                <w:rFonts w:ascii="Arial" w:hAnsi="Arial"/>
                <w:sz w:val="16"/>
                <w:szCs w:val="16"/>
                <w:lang w:val="en-AU"/>
              </w:rPr>
              <w:t>WA - Durack</w:t>
            </w:r>
          </w:p>
        </w:tc>
        <w:tc>
          <w:tcPr>
            <w:tcW w:w="1191" w:type="dxa"/>
            <w:tcBorders>
              <w:top w:val="nil"/>
              <w:left w:val="nil"/>
              <w:bottom w:val="single" w:sz="4" w:space="0" w:color="auto"/>
              <w:right w:val="nil"/>
            </w:tcBorders>
            <w:shd w:val="clear" w:color="FFFFFF" w:fill="auto"/>
            <w:noWrap/>
            <w:vAlign w:val="center"/>
          </w:tcPr>
          <w:p w14:paraId="21E7E899" w14:textId="77777777" w:rsidR="003E5CB4" w:rsidRPr="003E5CB4" w:rsidRDefault="003E5CB4" w:rsidP="003E5CB4">
            <w:pPr>
              <w:spacing w:before="0" w:after="0"/>
              <w:jc w:val="right"/>
              <w:rPr>
                <w:rFonts w:ascii="Arial" w:hAnsi="Arial"/>
                <w:b/>
                <w:sz w:val="16"/>
                <w:szCs w:val="16"/>
                <w:lang w:val="en-AU"/>
              </w:rPr>
            </w:pPr>
            <w:r w:rsidRPr="003E5CB4">
              <w:rPr>
                <w:rFonts w:ascii="Arial" w:hAnsi="Arial"/>
                <w:b/>
                <w:sz w:val="16"/>
                <w:szCs w:val="16"/>
                <w:lang w:val="en-AU"/>
              </w:rPr>
              <w:t>662.2</w:t>
            </w:r>
          </w:p>
        </w:tc>
        <w:tc>
          <w:tcPr>
            <w:tcW w:w="1413" w:type="dxa"/>
            <w:tcBorders>
              <w:top w:val="nil"/>
              <w:left w:val="nil"/>
              <w:bottom w:val="single" w:sz="4" w:space="0" w:color="auto"/>
              <w:right w:val="nil"/>
            </w:tcBorders>
            <w:shd w:val="clear" w:color="auto" w:fill="auto"/>
            <w:noWrap/>
            <w:vAlign w:val="center"/>
          </w:tcPr>
          <w:p w14:paraId="58D2F1F9" w14:textId="77777777" w:rsidR="003E5CB4" w:rsidRPr="003E5CB4" w:rsidRDefault="003E5CB4" w:rsidP="003E5CB4">
            <w:pPr>
              <w:spacing w:before="0" w:after="0"/>
              <w:jc w:val="right"/>
              <w:rPr>
                <w:rFonts w:ascii="Arial" w:hAnsi="Arial"/>
                <w:b/>
                <w:sz w:val="16"/>
                <w:szCs w:val="16"/>
                <w:lang w:val="en-AU"/>
              </w:rPr>
            </w:pPr>
            <w:r w:rsidRPr="003E5CB4">
              <w:rPr>
                <w:rFonts w:ascii="Arial" w:hAnsi="Arial"/>
                <w:b/>
                <w:sz w:val="16"/>
                <w:szCs w:val="16"/>
                <w:lang w:val="en-AU"/>
              </w:rPr>
              <w:t>187.9</w:t>
            </w:r>
          </w:p>
        </w:tc>
        <w:tc>
          <w:tcPr>
            <w:tcW w:w="1195" w:type="dxa"/>
            <w:tcBorders>
              <w:top w:val="nil"/>
              <w:left w:val="nil"/>
              <w:bottom w:val="single" w:sz="4" w:space="0" w:color="auto"/>
              <w:right w:val="nil"/>
            </w:tcBorders>
            <w:shd w:val="clear" w:color="auto" w:fill="auto"/>
            <w:noWrap/>
            <w:vAlign w:val="center"/>
          </w:tcPr>
          <w:p w14:paraId="2F99C6BC" w14:textId="77777777" w:rsidR="003E5CB4" w:rsidRPr="003E5CB4" w:rsidRDefault="003E5CB4" w:rsidP="003E5CB4">
            <w:pPr>
              <w:spacing w:before="0" w:after="0"/>
              <w:jc w:val="right"/>
              <w:rPr>
                <w:rFonts w:ascii="Arial" w:hAnsi="Arial"/>
                <w:b/>
                <w:sz w:val="16"/>
                <w:szCs w:val="16"/>
                <w:lang w:val="en-AU"/>
              </w:rPr>
            </w:pPr>
            <w:r w:rsidRPr="003E5CB4">
              <w:rPr>
                <w:rFonts w:ascii="Arial" w:hAnsi="Arial"/>
                <w:b/>
                <w:bCs/>
                <w:sz w:val="16"/>
                <w:szCs w:val="16"/>
                <w:lang w:val="en-AU"/>
              </w:rPr>
              <w:t>167.9</w:t>
            </w:r>
          </w:p>
        </w:tc>
      </w:tr>
      <w:tr w:rsidR="003E5CB4" w:rsidRPr="003E5CB4" w14:paraId="69B9D0DF" w14:textId="77777777" w:rsidTr="006868B3">
        <w:trPr>
          <w:trHeight w:val="227"/>
        </w:trPr>
        <w:tc>
          <w:tcPr>
            <w:tcW w:w="3085" w:type="dxa"/>
            <w:tcBorders>
              <w:top w:val="single" w:sz="4" w:space="0" w:color="auto"/>
              <w:left w:val="nil"/>
              <w:bottom w:val="nil"/>
              <w:right w:val="nil"/>
            </w:tcBorders>
            <w:shd w:val="clear" w:color="FFFFFF" w:fill="auto"/>
            <w:vAlign w:val="center"/>
            <w:hideMark/>
          </w:tcPr>
          <w:p w14:paraId="2C35C906" w14:textId="77777777" w:rsidR="003E5CB4" w:rsidRPr="003E5CB4" w:rsidRDefault="003E5CB4" w:rsidP="003E5CB4">
            <w:pPr>
              <w:spacing w:before="0" w:after="0"/>
              <w:rPr>
                <w:rFonts w:ascii="Arial" w:hAnsi="Arial"/>
                <w:b/>
                <w:bCs/>
                <w:sz w:val="16"/>
                <w:szCs w:val="16"/>
                <w:lang w:val="en-AU"/>
              </w:rPr>
            </w:pPr>
            <w:r w:rsidRPr="003E5CB4">
              <w:rPr>
                <w:rFonts w:ascii="Arial" w:hAnsi="Arial"/>
                <w:b/>
                <w:bCs/>
                <w:sz w:val="16"/>
                <w:szCs w:val="16"/>
                <w:lang w:val="en-AU"/>
              </w:rPr>
              <w:t>Larrakeyah Defence Precinct Redevelopment Program</w:t>
            </w:r>
          </w:p>
        </w:tc>
        <w:tc>
          <w:tcPr>
            <w:tcW w:w="1790" w:type="dxa"/>
            <w:tcBorders>
              <w:top w:val="single" w:sz="4" w:space="0" w:color="auto"/>
              <w:left w:val="nil"/>
              <w:bottom w:val="nil"/>
              <w:right w:val="nil"/>
            </w:tcBorders>
            <w:shd w:val="clear" w:color="FFFFFF" w:fill="auto"/>
            <w:noWrap/>
            <w:vAlign w:val="center"/>
            <w:hideMark/>
          </w:tcPr>
          <w:p w14:paraId="266DB9DB" w14:textId="77777777" w:rsidR="003E5CB4" w:rsidRPr="003E5CB4" w:rsidRDefault="003E5CB4" w:rsidP="003E5CB4">
            <w:pPr>
              <w:spacing w:before="0" w:after="0"/>
              <w:jc w:val="right"/>
              <w:rPr>
                <w:rFonts w:ascii="Arial" w:hAnsi="Arial"/>
                <w:b/>
                <w:bCs/>
                <w:sz w:val="16"/>
                <w:szCs w:val="16"/>
                <w:lang w:val="en-AU"/>
              </w:rPr>
            </w:pPr>
          </w:p>
        </w:tc>
        <w:tc>
          <w:tcPr>
            <w:tcW w:w="1191" w:type="dxa"/>
            <w:tcBorders>
              <w:top w:val="single" w:sz="4" w:space="0" w:color="auto"/>
              <w:left w:val="nil"/>
              <w:bottom w:val="nil"/>
              <w:right w:val="nil"/>
            </w:tcBorders>
            <w:shd w:val="clear" w:color="FFFFFF" w:fill="auto"/>
            <w:noWrap/>
            <w:vAlign w:val="center"/>
          </w:tcPr>
          <w:p w14:paraId="5A7FD5C2" w14:textId="77777777" w:rsidR="003E5CB4" w:rsidRPr="003E5CB4" w:rsidRDefault="003E5CB4" w:rsidP="003E5CB4">
            <w:pPr>
              <w:spacing w:before="0" w:after="0"/>
              <w:jc w:val="right"/>
              <w:rPr>
                <w:rFonts w:ascii="Times New Roman" w:hAnsi="Times New Roman" w:cs="Times New Roman"/>
                <w:szCs w:val="20"/>
                <w:lang w:val="en-AU"/>
              </w:rPr>
            </w:pPr>
          </w:p>
        </w:tc>
        <w:tc>
          <w:tcPr>
            <w:tcW w:w="1413" w:type="dxa"/>
            <w:tcBorders>
              <w:top w:val="single" w:sz="4" w:space="0" w:color="auto"/>
              <w:left w:val="nil"/>
              <w:bottom w:val="nil"/>
              <w:right w:val="nil"/>
            </w:tcBorders>
            <w:shd w:val="clear" w:color="FFFFFF" w:fill="auto"/>
            <w:noWrap/>
            <w:vAlign w:val="center"/>
          </w:tcPr>
          <w:p w14:paraId="75384D16" w14:textId="77777777" w:rsidR="003E5CB4" w:rsidRPr="003E5CB4" w:rsidRDefault="003E5CB4" w:rsidP="003E5CB4">
            <w:pPr>
              <w:spacing w:before="0" w:after="0"/>
              <w:jc w:val="right"/>
              <w:rPr>
                <w:rFonts w:ascii="Times New Roman" w:hAnsi="Times New Roman" w:cs="Times New Roman"/>
                <w:szCs w:val="20"/>
                <w:lang w:val="en-AU"/>
              </w:rPr>
            </w:pPr>
          </w:p>
        </w:tc>
        <w:tc>
          <w:tcPr>
            <w:tcW w:w="1195" w:type="dxa"/>
            <w:tcBorders>
              <w:top w:val="single" w:sz="4" w:space="0" w:color="auto"/>
              <w:left w:val="nil"/>
              <w:bottom w:val="nil"/>
              <w:right w:val="nil"/>
            </w:tcBorders>
            <w:shd w:val="clear" w:color="FFFFFF" w:fill="auto"/>
            <w:noWrap/>
            <w:vAlign w:val="center"/>
          </w:tcPr>
          <w:p w14:paraId="0BF24E7D" w14:textId="77777777" w:rsidR="003E5CB4" w:rsidRPr="003E5CB4" w:rsidRDefault="003E5CB4" w:rsidP="003E5CB4">
            <w:pPr>
              <w:spacing w:before="0" w:after="0"/>
              <w:jc w:val="right"/>
              <w:rPr>
                <w:rFonts w:ascii="Times New Roman" w:hAnsi="Times New Roman" w:cs="Times New Roman"/>
                <w:szCs w:val="20"/>
                <w:lang w:val="en-AU"/>
              </w:rPr>
            </w:pPr>
          </w:p>
        </w:tc>
      </w:tr>
      <w:tr w:rsidR="003E5CB4" w:rsidRPr="00BA1388" w14:paraId="09D6CB21" w14:textId="77777777" w:rsidTr="003E5CB4">
        <w:trPr>
          <w:trHeight w:val="255"/>
        </w:trPr>
        <w:tc>
          <w:tcPr>
            <w:tcW w:w="3085" w:type="dxa"/>
            <w:tcBorders>
              <w:top w:val="nil"/>
              <w:left w:val="nil"/>
              <w:bottom w:val="single" w:sz="4" w:space="0" w:color="auto"/>
              <w:right w:val="nil"/>
            </w:tcBorders>
            <w:shd w:val="clear" w:color="FFFFFF" w:fill="auto"/>
            <w:vAlign w:val="center"/>
            <w:hideMark/>
          </w:tcPr>
          <w:p w14:paraId="188EF573" w14:textId="77777777" w:rsidR="003E5CB4" w:rsidRPr="003E5CB4" w:rsidRDefault="003E5CB4" w:rsidP="003E5CB4">
            <w:pPr>
              <w:spacing w:before="0" w:after="0"/>
              <w:ind w:left="113"/>
              <w:rPr>
                <w:rFonts w:ascii="Arial" w:hAnsi="Arial"/>
                <w:sz w:val="16"/>
                <w:szCs w:val="16"/>
                <w:lang w:val="en-AU"/>
              </w:rPr>
            </w:pPr>
            <w:r w:rsidRPr="003E5CB4">
              <w:rPr>
                <w:rFonts w:ascii="Arial" w:hAnsi="Arial"/>
                <w:sz w:val="16"/>
                <w:szCs w:val="16"/>
                <w:lang w:val="en-AU"/>
              </w:rPr>
              <w:t>Larrakeyah Defence Precinct</w:t>
            </w:r>
          </w:p>
        </w:tc>
        <w:tc>
          <w:tcPr>
            <w:tcW w:w="1790" w:type="dxa"/>
            <w:tcBorders>
              <w:top w:val="nil"/>
              <w:left w:val="nil"/>
              <w:bottom w:val="single" w:sz="4" w:space="0" w:color="auto"/>
              <w:right w:val="nil"/>
            </w:tcBorders>
            <w:shd w:val="clear" w:color="FFFFFF" w:fill="auto"/>
            <w:vAlign w:val="center"/>
            <w:hideMark/>
          </w:tcPr>
          <w:p w14:paraId="3F6AE89C" w14:textId="77777777" w:rsidR="003E5CB4" w:rsidRPr="003E5CB4" w:rsidRDefault="003E5CB4" w:rsidP="003E5CB4">
            <w:pPr>
              <w:spacing w:before="0" w:after="0"/>
              <w:jc w:val="right"/>
              <w:rPr>
                <w:rFonts w:ascii="Arial" w:hAnsi="Arial"/>
                <w:sz w:val="16"/>
                <w:szCs w:val="16"/>
                <w:lang w:val="en-AU"/>
              </w:rPr>
            </w:pPr>
            <w:r w:rsidRPr="003E5CB4">
              <w:rPr>
                <w:rFonts w:ascii="Arial" w:hAnsi="Arial"/>
                <w:sz w:val="16"/>
                <w:szCs w:val="16"/>
                <w:lang w:val="en-AU"/>
              </w:rPr>
              <w:t>NT - Solomon</w:t>
            </w:r>
          </w:p>
        </w:tc>
        <w:tc>
          <w:tcPr>
            <w:tcW w:w="1191" w:type="dxa"/>
            <w:tcBorders>
              <w:top w:val="nil"/>
              <w:left w:val="nil"/>
              <w:bottom w:val="single" w:sz="4" w:space="0" w:color="auto"/>
              <w:right w:val="nil"/>
            </w:tcBorders>
            <w:shd w:val="clear" w:color="auto" w:fill="auto"/>
            <w:noWrap/>
            <w:vAlign w:val="center"/>
          </w:tcPr>
          <w:p w14:paraId="036A8C7B" w14:textId="3AAE709E" w:rsidR="003E5CB4" w:rsidRPr="003E5CB4" w:rsidRDefault="008B2430" w:rsidP="003E5CB4">
            <w:pPr>
              <w:spacing w:before="0" w:after="0"/>
              <w:jc w:val="right"/>
              <w:rPr>
                <w:rFonts w:ascii="Arial" w:hAnsi="Arial"/>
                <w:b/>
                <w:bCs/>
                <w:sz w:val="16"/>
                <w:szCs w:val="16"/>
                <w:lang w:val="en-AU"/>
              </w:rPr>
            </w:pPr>
            <w:r>
              <w:rPr>
                <w:rFonts w:ascii="Arial" w:hAnsi="Arial"/>
                <w:b/>
                <w:bCs/>
                <w:sz w:val="16"/>
                <w:szCs w:val="16"/>
                <w:lang w:val="en-AU"/>
              </w:rPr>
              <w:t>601.7</w:t>
            </w:r>
          </w:p>
        </w:tc>
        <w:tc>
          <w:tcPr>
            <w:tcW w:w="1413" w:type="dxa"/>
            <w:tcBorders>
              <w:top w:val="nil"/>
              <w:left w:val="nil"/>
              <w:bottom w:val="single" w:sz="4" w:space="0" w:color="auto"/>
              <w:right w:val="nil"/>
            </w:tcBorders>
            <w:shd w:val="clear" w:color="auto" w:fill="auto"/>
            <w:noWrap/>
            <w:vAlign w:val="center"/>
          </w:tcPr>
          <w:p w14:paraId="299BFC10" w14:textId="77777777" w:rsidR="003E5CB4" w:rsidRPr="003E5CB4" w:rsidRDefault="003E5CB4" w:rsidP="003E5CB4">
            <w:pPr>
              <w:spacing w:before="0" w:after="0"/>
              <w:jc w:val="right"/>
              <w:rPr>
                <w:rFonts w:ascii="Arial" w:hAnsi="Arial"/>
                <w:b/>
                <w:bCs/>
                <w:sz w:val="16"/>
                <w:szCs w:val="16"/>
                <w:lang w:val="en-AU"/>
              </w:rPr>
            </w:pPr>
            <w:r w:rsidRPr="003E5CB4">
              <w:rPr>
                <w:rFonts w:ascii="Arial" w:hAnsi="Arial"/>
                <w:b/>
                <w:bCs/>
                <w:sz w:val="16"/>
                <w:szCs w:val="16"/>
                <w:lang w:val="en-AU"/>
              </w:rPr>
              <w:t>521.9</w:t>
            </w:r>
          </w:p>
        </w:tc>
        <w:tc>
          <w:tcPr>
            <w:tcW w:w="1195" w:type="dxa"/>
            <w:tcBorders>
              <w:top w:val="nil"/>
              <w:left w:val="nil"/>
              <w:bottom w:val="single" w:sz="4" w:space="0" w:color="auto"/>
              <w:right w:val="nil"/>
            </w:tcBorders>
            <w:shd w:val="clear" w:color="auto" w:fill="auto"/>
            <w:noWrap/>
            <w:vAlign w:val="center"/>
          </w:tcPr>
          <w:p w14:paraId="6021C030" w14:textId="77777777" w:rsidR="003E5CB4" w:rsidRPr="003E5CB4" w:rsidRDefault="003E5CB4" w:rsidP="003E5CB4">
            <w:pPr>
              <w:spacing w:before="0" w:after="0"/>
              <w:jc w:val="right"/>
              <w:rPr>
                <w:rFonts w:ascii="Arial" w:hAnsi="Arial"/>
                <w:b/>
                <w:bCs/>
                <w:sz w:val="16"/>
                <w:szCs w:val="16"/>
                <w:lang w:val="en-AU"/>
              </w:rPr>
            </w:pPr>
            <w:r w:rsidRPr="003E5CB4">
              <w:rPr>
                <w:rFonts w:ascii="Arial" w:hAnsi="Arial"/>
                <w:b/>
                <w:bCs/>
                <w:sz w:val="16"/>
                <w:szCs w:val="16"/>
                <w:lang w:val="en-AU"/>
              </w:rPr>
              <w:t>39.5</w:t>
            </w:r>
          </w:p>
        </w:tc>
      </w:tr>
      <w:tr w:rsidR="003E5CB4" w:rsidRPr="00BA1388" w14:paraId="60B011DE" w14:textId="77777777" w:rsidTr="003E5CB4">
        <w:trPr>
          <w:trHeight w:val="255"/>
        </w:trPr>
        <w:tc>
          <w:tcPr>
            <w:tcW w:w="3085" w:type="dxa"/>
            <w:tcBorders>
              <w:top w:val="single" w:sz="4" w:space="0" w:color="auto"/>
              <w:left w:val="nil"/>
              <w:bottom w:val="nil"/>
              <w:right w:val="nil"/>
            </w:tcBorders>
            <w:shd w:val="clear" w:color="FFFFFF" w:fill="auto"/>
            <w:vAlign w:val="center"/>
          </w:tcPr>
          <w:p w14:paraId="103B74BA" w14:textId="77777777" w:rsidR="003E5CB4" w:rsidRPr="003E5CB4" w:rsidRDefault="003E5CB4" w:rsidP="003E5CB4">
            <w:pPr>
              <w:spacing w:before="0" w:after="0"/>
              <w:ind w:left="113" w:hanging="82"/>
              <w:rPr>
                <w:rFonts w:ascii="Arial" w:hAnsi="Arial"/>
                <w:sz w:val="16"/>
                <w:szCs w:val="16"/>
                <w:lang w:val="en-AU"/>
              </w:rPr>
            </w:pPr>
            <w:r w:rsidRPr="008659FE">
              <w:rPr>
                <w:rFonts w:ascii="Arial" w:hAnsi="Arial"/>
                <w:b/>
                <w:bCs/>
                <w:sz w:val="16"/>
                <w:szCs w:val="16"/>
                <w:lang w:val="en-AU"/>
              </w:rPr>
              <w:t>RAAF Base Wagga Redevelopment</w:t>
            </w:r>
          </w:p>
        </w:tc>
        <w:tc>
          <w:tcPr>
            <w:tcW w:w="1790" w:type="dxa"/>
            <w:tcBorders>
              <w:top w:val="single" w:sz="4" w:space="0" w:color="auto"/>
              <w:left w:val="nil"/>
              <w:bottom w:val="nil"/>
              <w:right w:val="nil"/>
            </w:tcBorders>
            <w:shd w:val="clear" w:color="FFFFFF" w:fill="auto"/>
            <w:vAlign w:val="center"/>
          </w:tcPr>
          <w:p w14:paraId="53F9BED6" w14:textId="77777777" w:rsidR="003E5CB4" w:rsidRPr="003E5CB4" w:rsidRDefault="003E5CB4" w:rsidP="003E5CB4">
            <w:pPr>
              <w:spacing w:before="0" w:after="0"/>
              <w:jc w:val="right"/>
              <w:rPr>
                <w:rFonts w:ascii="Arial" w:hAnsi="Arial"/>
                <w:sz w:val="16"/>
                <w:szCs w:val="16"/>
                <w:lang w:val="en-AU"/>
              </w:rPr>
            </w:pPr>
          </w:p>
        </w:tc>
        <w:tc>
          <w:tcPr>
            <w:tcW w:w="1191" w:type="dxa"/>
            <w:tcBorders>
              <w:top w:val="single" w:sz="4" w:space="0" w:color="auto"/>
              <w:left w:val="nil"/>
              <w:bottom w:val="nil"/>
              <w:right w:val="nil"/>
            </w:tcBorders>
            <w:shd w:val="clear" w:color="auto" w:fill="auto"/>
            <w:noWrap/>
            <w:vAlign w:val="center"/>
          </w:tcPr>
          <w:p w14:paraId="2F1B0B95" w14:textId="77777777" w:rsidR="003E5CB4" w:rsidRPr="003E5CB4" w:rsidRDefault="003E5CB4" w:rsidP="003E5CB4">
            <w:pPr>
              <w:spacing w:before="0" w:after="0"/>
              <w:jc w:val="right"/>
              <w:rPr>
                <w:rFonts w:ascii="Arial" w:hAnsi="Arial"/>
                <w:b/>
                <w:bCs/>
                <w:sz w:val="16"/>
                <w:szCs w:val="16"/>
                <w:lang w:val="en-AU"/>
              </w:rPr>
            </w:pPr>
          </w:p>
        </w:tc>
        <w:tc>
          <w:tcPr>
            <w:tcW w:w="1413" w:type="dxa"/>
            <w:tcBorders>
              <w:top w:val="single" w:sz="4" w:space="0" w:color="auto"/>
              <w:left w:val="nil"/>
              <w:bottom w:val="nil"/>
              <w:right w:val="nil"/>
            </w:tcBorders>
            <w:shd w:val="clear" w:color="auto" w:fill="auto"/>
            <w:noWrap/>
            <w:vAlign w:val="center"/>
          </w:tcPr>
          <w:p w14:paraId="3B9825ED" w14:textId="77777777" w:rsidR="003E5CB4" w:rsidRPr="003E5CB4" w:rsidRDefault="003E5CB4" w:rsidP="003E5CB4">
            <w:pPr>
              <w:spacing w:before="0" w:after="0"/>
              <w:jc w:val="right"/>
              <w:rPr>
                <w:rFonts w:ascii="Arial" w:hAnsi="Arial"/>
                <w:b/>
                <w:bCs/>
                <w:sz w:val="16"/>
                <w:szCs w:val="16"/>
                <w:lang w:val="en-AU"/>
              </w:rPr>
            </w:pPr>
          </w:p>
        </w:tc>
        <w:tc>
          <w:tcPr>
            <w:tcW w:w="1195" w:type="dxa"/>
            <w:tcBorders>
              <w:top w:val="single" w:sz="4" w:space="0" w:color="auto"/>
              <w:left w:val="nil"/>
              <w:bottom w:val="nil"/>
              <w:right w:val="nil"/>
            </w:tcBorders>
            <w:shd w:val="clear" w:color="auto" w:fill="auto"/>
            <w:noWrap/>
            <w:vAlign w:val="center"/>
          </w:tcPr>
          <w:p w14:paraId="56F3C3EC" w14:textId="77777777" w:rsidR="003E5CB4" w:rsidRPr="003E5CB4" w:rsidRDefault="003E5CB4" w:rsidP="003E5CB4">
            <w:pPr>
              <w:spacing w:before="0" w:after="0"/>
              <w:jc w:val="right"/>
              <w:rPr>
                <w:rFonts w:ascii="Arial" w:hAnsi="Arial"/>
                <w:b/>
                <w:bCs/>
                <w:sz w:val="16"/>
                <w:szCs w:val="16"/>
                <w:lang w:val="en-AU"/>
              </w:rPr>
            </w:pPr>
          </w:p>
        </w:tc>
      </w:tr>
      <w:tr w:rsidR="003E5CB4" w:rsidRPr="00BA1388" w14:paraId="06CBEB8D" w14:textId="77777777" w:rsidTr="00F600B5">
        <w:trPr>
          <w:trHeight w:val="255"/>
        </w:trPr>
        <w:tc>
          <w:tcPr>
            <w:tcW w:w="3085" w:type="dxa"/>
            <w:tcBorders>
              <w:top w:val="nil"/>
              <w:left w:val="nil"/>
              <w:bottom w:val="single" w:sz="4" w:space="0" w:color="auto"/>
              <w:right w:val="nil"/>
            </w:tcBorders>
            <w:shd w:val="clear" w:color="FFFFFF" w:fill="auto"/>
            <w:vAlign w:val="bottom"/>
          </w:tcPr>
          <w:p w14:paraId="5DAA6962" w14:textId="77777777" w:rsidR="003E5CB4" w:rsidRPr="008659FE" w:rsidRDefault="003E5CB4" w:rsidP="003E5CB4">
            <w:pPr>
              <w:spacing w:before="0" w:after="0" w:line="276" w:lineRule="auto"/>
              <w:ind w:left="179"/>
              <w:rPr>
                <w:rFonts w:ascii="Arial" w:hAnsi="Arial"/>
                <w:b/>
                <w:bCs/>
                <w:sz w:val="16"/>
                <w:szCs w:val="16"/>
                <w:lang w:val="en-AU"/>
              </w:rPr>
            </w:pPr>
            <w:r w:rsidRPr="008659FE">
              <w:rPr>
                <w:rFonts w:ascii="Arial" w:hAnsi="Arial"/>
                <w:sz w:val="16"/>
                <w:szCs w:val="16"/>
                <w:lang w:val="en-AU"/>
              </w:rPr>
              <w:t>RAAF Wagga</w:t>
            </w:r>
          </w:p>
        </w:tc>
        <w:tc>
          <w:tcPr>
            <w:tcW w:w="1790" w:type="dxa"/>
            <w:tcBorders>
              <w:top w:val="nil"/>
              <w:left w:val="nil"/>
              <w:bottom w:val="single" w:sz="4" w:space="0" w:color="auto"/>
              <w:right w:val="nil"/>
            </w:tcBorders>
            <w:shd w:val="clear" w:color="FFFFFF" w:fill="auto"/>
            <w:vAlign w:val="bottom"/>
          </w:tcPr>
          <w:p w14:paraId="6D99B87B" w14:textId="77777777" w:rsidR="003E5CB4" w:rsidRPr="008659FE" w:rsidRDefault="003E5CB4" w:rsidP="003E5CB4">
            <w:pPr>
              <w:spacing w:before="0" w:after="0" w:line="276" w:lineRule="auto"/>
              <w:jc w:val="right"/>
              <w:rPr>
                <w:rFonts w:ascii="Arial" w:hAnsi="Arial"/>
                <w:color w:val="000000"/>
                <w:sz w:val="16"/>
                <w:szCs w:val="16"/>
              </w:rPr>
            </w:pPr>
            <w:r w:rsidRPr="008659FE">
              <w:rPr>
                <w:rFonts w:ascii="Arial" w:hAnsi="Arial"/>
                <w:sz w:val="16"/>
                <w:szCs w:val="16"/>
                <w:lang w:val="en-AU"/>
              </w:rPr>
              <w:t>NSW - Riverina</w:t>
            </w:r>
          </w:p>
        </w:tc>
        <w:tc>
          <w:tcPr>
            <w:tcW w:w="1191" w:type="dxa"/>
            <w:tcBorders>
              <w:top w:val="nil"/>
              <w:left w:val="nil"/>
              <w:bottom w:val="single" w:sz="4" w:space="0" w:color="auto"/>
              <w:right w:val="nil"/>
            </w:tcBorders>
            <w:shd w:val="clear" w:color="auto" w:fill="auto"/>
            <w:noWrap/>
            <w:vAlign w:val="bottom"/>
          </w:tcPr>
          <w:p w14:paraId="3D472565" w14:textId="77777777" w:rsidR="003E5CB4" w:rsidRPr="00353F8D" w:rsidRDefault="003E5CB4" w:rsidP="003E5CB4">
            <w:pPr>
              <w:spacing w:before="0" w:after="0" w:line="276" w:lineRule="auto"/>
              <w:jc w:val="right"/>
              <w:rPr>
                <w:rFonts w:ascii="Arial" w:hAnsi="Arial"/>
                <w:b/>
                <w:sz w:val="16"/>
                <w:szCs w:val="16"/>
                <w:lang w:val="en-AU"/>
              </w:rPr>
            </w:pPr>
            <w:r w:rsidRPr="00353F8D">
              <w:rPr>
                <w:rFonts w:ascii="Arial" w:hAnsi="Arial"/>
                <w:b/>
                <w:sz w:val="16"/>
                <w:szCs w:val="16"/>
                <w:lang w:val="en-AU"/>
              </w:rPr>
              <w:t>590.0</w:t>
            </w:r>
          </w:p>
        </w:tc>
        <w:tc>
          <w:tcPr>
            <w:tcW w:w="1413" w:type="dxa"/>
            <w:tcBorders>
              <w:top w:val="nil"/>
              <w:left w:val="nil"/>
              <w:bottom w:val="single" w:sz="4" w:space="0" w:color="auto"/>
              <w:right w:val="nil"/>
            </w:tcBorders>
            <w:shd w:val="clear" w:color="auto" w:fill="auto"/>
            <w:noWrap/>
            <w:vAlign w:val="bottom"/>
          </w:tcPr>
          <w:p w14:paraId="6D725DF1" w14:textId="77777777" w:rsidR="003E5CB4" w:rsidRPr="009E4B9D" w:rsidRDefault="003E5CB4" w:rsidP="003E5CB4">
            <w:pPr>
              <w:spacing w:before="0" w:after="0" w:line="276" w:lineRule="auto"/>
              <w:jc w:val="right"/>
              <w:rPr>
                <w:rFonts w:ascii="Arial" w:hAnsi="Arial"/>
                <w:b/>
                <w:sz w:val="16"/>
                <w:szCs w:val="16"/>
                <w:lang w:eastAsia="en-US"/>
              </w:rPr>
            </w:pPr>
            <w:r w:rsidRPr="009E4B9D">
              <w:rPr>
                <w:rFonts w:ascii="Arial" w:hAnsi="Arial"/>
                <w:b/>
                <w:sz w:val="16"/>
                <w:szCs w:val="16"/>
                <w:lang w:eastAsia="en-US"/>
              </w:rPr>
              <w:t>10.4</w:t>
            </w:r>
          </w:p>
        </w:tc>
        <w:tc>
          <w:tcPr>
            <w:tcW w:w="1195" w:type="dxa"/>
            <w:tcBorders>
              <w:top w:val="nil"/>
              <w:left w:val="nil"/>
              <w:bottom w:val="single" w:sz="4" w:space="0" w:color="auto"/>
              <w:right w:val="nil"/>
            </w:tcBorders>
            <w:shd w:val="clear" w:color="auto" w:fill="auto"/>
            <w:noWrap/>
            <w:vAlign w:val="bottom"/>
          </w:tcPr>
          <w:p w14:paraId="578AE6FA" w14:textId="77777777" w:rsidR="003E5CB4" w:rsidRPr="009E4B9D" w:rsidRDefault="003E5CB4" w:rsidP="003E5CB4">
            <w:pPr>
              <w:spacing w:before="0" w:after="0" w:line="276" w:lineRule="auto"/>
              <w:jc w:val="right"/>
              <w:rPr>
                <w:rFonts w:ascii="Arial" w:hAnsi="Arial"/>
                <w:b/>
                <w:sz w:val="16"/>
                <w:szCs w:val="16"/>
                <w:lang w:eastAsia="en-US"/>
              </w:rPr>
            </w:pPr>
            <w:r w:rsidRPr="009E4B9D">
              <w:rPr>
                <w:rFonts w:ascii="Arial" w:hAnsi="Arial"/>
                <w:b/>
                <w:sz w:val="16"/>
                <w:szCs w:val="16"/>
                <w:lang w:eastAsia="en-US"/>
              </w:rPr>
              <w:t>50.0</w:t>
            </w:r>
          </w:p>
        </w:tc>
      </w:tr>
      <w:tr w:rsidR="003E5CB4" w:rsidRPr="003E5CB4" w14:paraId="06633152" w14:textId="77777777" w:rsidTr="003E5CB4">
        <w:trPr>
          <w:trHeight w:val="255"/>
        </w:trPr>
        <w:tc>
          <w:tcPr>
            <w:tcW w:w="3085" w:type="dxa"/>
            <w:tcBorders>
              <w:top w:val="single" w:sz="4" w:space="0" w:color="auto"/>
              <w:left w:val="nil"/>
              <w:bottom w:val="nil"/>
              <w:right w:val="nil"/>
            </w:tcBorders>
            <w:shd w:val="clear" w:color="FFFFFF" w:fill="auto"/>
            <w:vAlign w:val="center"/>
          </w:tcPr>
          <w:p w14:paraId="581834D2" w14:textId="77777777" w:rsidR="003E5CB4" w:rsidRPr="003E5CB4" w:rsidRDefault="003E5CB4" w:rsidP="003E5CB4">
            <w:pPr>
              <w:spacing w:before="0" w:after="0"/>
              <w:rPr>
                <w:rFonts w:ascii="Arial" w:hAnsi="Arial"/>
                <w:b/>
                <w:bCs/>
                <w:sz w:val="16"/>
                <w:szCs w:val="16"/>
                <w:lang w:val="en-AU"/>
              </w:rPr>
            </w:pPr>
            <w:r w:rsidRPr="003E5CB4">
              <w:rPr>
                <w:rFonts w:ascii="Arial" w:hAnsi="Arial"/>
                <w:b/>
                <w:bCs/>
                <w:sz w:val="16"/>
                <w:szCs w:val="16"/>
                <w:lang w:val="en-AU"/>
              </w:rPr>
              <w:t>Cocos (Keeling) Islands Airfield Upgrade</w:t>
            </w:r>
          </w:p>
        </w:tc>
        <w:tc>
          <w:tcPr>
            <w:tcW w:w="1790" w:type="dxa"/>
            <w:tcBorders>
              <w:top w:val="single" w:sz="4" w:space="0" w:color="auto"/>
              <w:left w:val="nil"/>
              <w:bottom w:val="nil"/>
              <w:right w:val="nil"/>
            </w:tcBorders>
            <w:shd w:val="clear" w:color="FFFFFF" w:fill="auto"/>
            <w:vAlign w:val="center"/>
          </w:tcPr>
          <w:p w14:paraId="33AF49C3" w14:textId="77777777" w:rsidR="003E5CB4" w:rsidRPr="003E5CB4" w:rsidRDefault="003E5CB4" w:rsidP="003E5CB4">
            <w:pPr>
              <w:spacing w:before="0" w:after="0"/>
              <w:jc w:val="right"/>
              <w:rPr>
                <w:rFonts w:ascii="Arial" w:hAnsi="Arial"/>
                <w:sz w:val="16"/>
                <w:szCs w:val="16"/>
                <w:lang w:val="en-AU"/>
              </w:rPr>
            </w:pPr>
          </w:p>
        </w:tc>
        <w:tc>
          <w:tcPr>
            <w:tcW w:w="1191" w:type="dxa"/>
            <w:tcBorders>
              <w:top w:val="single" w:sz="4" w:space="0" w:color="auto"/>
              <w:left w:val="nil"/>
              <w:bottom w:val="nil"/>
              <w:right w:val="nil"/>
            </w:tcBorders>
            <w:shd w:val="clear" w:color="auto" w:fill="auto"/>
            <w:noWrap/>
            <w:vAlign w:val="center"/>
          </w:tcPr>
          <w:p w14:paraId="66AD7FC6" w14:textId="77777777" w:rsidR="003E5CB4" w:rsidRPr="003E5CB4" w:rsidRDefault="003E5CB4" w:rsidP="003E5CB4">
            <w:pPr>
              <w:spacing w:before="0" w:after="0"/>
              <w:jc w:val="right"/>
              <w:rPr>
                <w:rFonts w:ascii="Arial" w:hAnsi="Arial"/>
                <w:b/>
                <w:bCs/>
                <w:sz w:val="16"/>
                <w:szCs w:val="16"/>
                <w:lang w:val="en-AU"/>
              </w:rPr>
            </w:pPr>
          </w:p>
        </w:tc>
        <w:tc>
          <w:tcPr>
            <w:tcW w:w="1413" w:type="dxa"/>
            <w:tcBorders>
              <w:top w:val="single" w:sz="4" w:space="0" w:color="auto"/>
              <w:left w:val="nil"/>
              <w:bottom w:val="nil"/>
              <w:right w:val="nil"/>
            </w:tcBorders>
            <w:shd w:val="clear" w:color="FFFFFF" w:fill="auto"/>
            <w:noWrap/>
            <w:vAlign w:val="center"/>
          </w:tcPr>
          <w:p w14:paraId="290BC924" w14:textId="77777777" w:rsidR="003E5CB4" w:rsidRPr="003E5CB4" w:rsidRDefault="003E5CB4" w:rsidP="003E5CB4">
            <w:pPr>
              <w:spacing w:before="0" w:after="0"/>
              <w:jc w:val="right"/>
              <w:rPr>
                <w:rFonts w:ascii="Arial" w:hAnsi="Arial"/>
                <w:b/>
                <w:bCs/>
                <w:sz w:val="16"/>
                <w:szCs w:val="16"/>
                <w:lang w:val="en-AU"/>
              </w:rPr>
            </w:pPr>
          </w:p>
        </w:tc>
        <w:tc>
          <w:tcPr>
            <w:tcW w:w="1195" w:type="dxa"/>
            <w:tcBorders>
              <w:top w:val="single" w:sz="4" w:space="0" w:color="auto"/>
              <w:left w:val="nil"/>
              <w:bottom w:val="nil"/>
              <w:right w:val="nil"/>
            </w:tcBorders>
            <w:shd w:val="clear" w:color="FFFFFF" w:fill="auto"/>
            <w:noWrap/>
            <w:vAlign w:val="center"/>
          </w:tcPr>
          <w:p w14:paraId="4430275F" w14:textId="77777777" w:rsidR="003E5CB4" w:rsidRPr="003E5CB4" w:rsidRDefault="003E5CB4" w:rsidP="003E5CB4">
            <w:pPr>
              <w:spacing w:before="0" w:after="0"/>
              <w:jc w:val="right"/>
              <w:rPr>
                <w:rFonts w:ascii="Arial" w:hAnsi="Arial"/>
                <w:b/>
                <w:bCs/>
                <w:sz w:val="16"/>
                <w:szCs w:val="16"/>
                <w:lang w:val="en-AU"/>
              </w:rPr>
            </w:pPr>
          </w:p>
        </w:tc>
      </w:tr>
      <w:tr w:rsidR="003E5CB4" w:rsidRPr="00BA1388" w14:paraId="1593BCC4" w14:textId="77777777" w:rsidTr="003E5CB4">
        <w:trPr>
          <w:trHeight w:val="255"/>
        </w:trPr>
        <w:tc>
          <w:tcPr>
            <w:tcW w:w="3085" w:type="dxa"/>
            <w:tcBorders>
              <w:top w:val="nil"/>
              <w:left w:val="nil"/>
              <w:bottom w:val="single" w:sz="4" w:space="0" w:color="auto"/>
              <w:right w:val="nil"/>
            </w:tcBorders>
            <w:shd w:val="clear" w:color="FFFFFF" w:fill="auto"/>
            <w:vAlign w:val="center"/>
          </w:tcPr>
          <w:p w14:paraId="2667C70B" w14:textId="77777777" w:rsidR="003E5CB4" w:rsidRPr="003E5CB4" w:rsidRDefault="003E5CB4" w:rsidP="003E5CB4">
            <w:pPr>
              <w:spacing w:before="0" w:after="0"/>
              <w:ind w:left="113"/>
              <w:rPr>
                <w:rFonts w:ascii="Arial" w:hAnsi="Arial"/>
                <w:sz w:val="16"/>
                <w:szCs w:val="16"/>
                <w:lang w:val="en-AU"/>
              </w:rPr>
            </w:pPr>
            <w:r w:rsidRPr="003E5CB4">
              <w:rPr>
                <w:rFonts w:ascii="Arial" w:hAnsi="Arial"/>
                <w:sz w:val="16"/>
                <w:szCs w:val="16"/>
                <w:lang w:val="en-AU"/>
              </w:rPr>
              <w:t>Cocos (Keeling) Islands</w:t>
            </w:r>
          </w:p>
        </w:tc>
        <w:tc>
          <w:tcPr>
            <w:tcW w:w="1790" w:type="dxa"/>
            <w:tcBorders>
              <w:top w:val="nil"/>
              <w:left w:val="nil"/>
              <w:bottom w:val="single" w:sz="4" w:space="0" w:color="auto"/>
              <w:right w:val="nil"/>
            </w:tcBorders>
            <w:shd w:val="clear" w:color="FFFFFF" w:fill="auto"/>
            <w:vAlign w:val="center"/>
          </w:tcPr>
          <w:p w14:paraId="764BC9EF" w14:textId="77777777" w:rsidR="003E5CB4" w:rsidRPr="003E5CB4" w:rsidRDefault="003E5CB4" w:rsidP="003E5CB4">
            <w:pPr>
              <w:spacing w:before="0" w:after="0"/>
              <w:jc w:val="right"/>
              <w:rPr>
                <w:rFonts w:ascii="Arial" w:hAnsi="Arial"/>
                <w:sz w:val="16"/>
                <w:szCs w:val="16"/>
                <w:lang w:val="en-AU"/>
              </w:rPr>
            </w:pPr>
            <w:r w:rsidRPr="003E5CB4">
              <w:rPr>
                <w:rFonts w:ascii="Arial" w:hAnsi="Arial"/>
                <w:sz w:val="16"/>
                <w:szCs w:val="16"/>
                <w:lang w:val="en-AU"/>
              </w:rPr>
              <w:t>NT - Lingiari</w:t>
            </w:r>
          </w:p>
        </w:tc>
        <w:tc>
          <w:tcPr>
            <w:tcW w:w="1191" w:type="dxa"/>
            <w:tcBorders>
              <w:top w:val="nil"/>
              <w:left w:val="nil"/>
              <w:bottom w:val="single" w:sz="4" w:space="0" w:color="auto"/>
              <w:right w:val="nil"/>
            </w:tcBorders>
            <w:shd w:val="clear" w:color="auto" w:fill="auto"/>
            <w:noWrap/>
            <w:vAlign w:val="center"/>
          </w:tcPr>
          <w:p w14:paraId="548EC6F7" w14:textId="77777777" w:rsidR="003E5CB4" w:rsidRPr="003E5CB4" w:rsidRDefault="003E5CB4" w:rsidP="003E5CB4">
            <w:pPr>
              <w:spacing w:before="0" w:after="0"/>
              <w:jc w:val="right"/>
              <w:rPr>
                <w:rFonts w:ascii="Arial" w:hAnsi="Arial"/>
                <w:b/>
                <w:bCs/>
                <w:sz w:val="16"/>
                <w:szCs w:val="16"/>
                <w:lang w:val="en-AU"/>
              </w:rPr>
            </w:pPr>
            <w:r w:rsidRPr="003E5CB4">
              <w:rPr>
                <w:rFonts w:ascii="Arial" w:hAnsi="Arial"/>
                <w:b/>
                <w:bCs/>
                <w:sz w:val="16"/>
                <w:szCs w:val="16"/>
                <w:lang w:val="en-AU"/>
              </w:rPr>
              <w:t>567.6</w:t>
            </w:r>
          </w:p>
        </w:tc>
        <w:tc>
          <w:tcPr>
            <w:tcW w:w="1413" w:type="dxa"/>
            <w:tcBorders>
              <w:top w:val="nil"/>
              <w:left w:val="nil"/>
              <w:bottom w:val="single" w:sz="4" w:space="0" w:color="auto"/>
              <w:right w:val="nil"/>
            </w:tcBorders>
            <w:shd w:val="clear" w:color="FFFFFF" w:fill="auto"/>
            <w:noWrap/>
            <w:vAlign w:val="center"/>
          </w:tcPr>
          <w:p w14:paraId="0473D65D" w14:textId="77777777" w:rsidR="003E5CB4" w:rsidRPr="003E5CB4" w:rsidRDefault="003E5CB4" w:rsidP="003E5CB4">
            <w:pPr>
              <w:spacing w:before="0" w:after="0"/>
              <w:jc w:val="right"/>
              <w:rPr>
                <w:rFonts w:ascii="Arial" w:hAnsi="Arial"/>
                <w:b/>
                <w:bCs/>
                <w:sz w:val="16"/>
                <w:szCs w:val="16"/>
                <w:lang w:val="en-AU"/>
              </w:rPr>
            </w:pPr>
            <w:r w:rsidRPr="003E5CB4">
              <w:rPr>
                <w:rFonts w:ascii="Arial" w:hAnsi="Arial"/>
                <w:b/>
                <w:bCs/>
                <w:sz w:val="16"/>
                <w:szCs w:val="16"/>
                <w:lang w:val="en-AU"/>
              </w:rPr>
              <w:t>79.0</w:t>
            </w:r>
          </w:p>
        </w:tc>
        <w:tc>
          <w:tcPr>
            <w:tcW w:w="1195" w:type="dxa"/>
            <w:tcBorders>
              <w:top w:val="nil"/>
              <w:left w:val="nil"/>
              <w:bottom w:val="single" w:sz="4" w:space="0" w:color="auto"/>
              <w:right w:val="nil"/>
            </w:tcBorders>
            <w:shd w:val="clear" w:color="FFFFFF" w:fill="auto"/>
            <w:noWrap/>
            <w:vAlign w:val="center"/>
          </w:tcPr>
          <w:p w14:paraId="6AF35F16" w14:textId="77777777" w:rsidR="003E5CB4" w:rsidRPr="003E5CB4" w:rsidRDefault="003E5CB4" w:rsidP="003E5CB4">
            <w:pPr>
              <w:spacing w:before="0" w:after="0"/>
              <w:jc w:val="right"/>
              <w:rPr>
                <w:rFonts w:ascii="Arial" w:hAnsi="Arial"/>
                <w:b/>
                <w:bCs/>
                <w:sz w:val="16"/>
                <w:szCs w:val="16"/>
                <w:lang w:val="en-AU"/>
              </w:rPr>
            </w:pPr>
            <w:r w:rsidRPr="003E5CB4">
              <w:rPr>
                <w:rFonts w:ascii="Arial" w:hAnsi="Arial"/>
                <w:b/>
                <w:bCs/>
                <w:sz w:val="16"/>
                <w:szCs w:val="16"/>
                <w:lang w:val="en-AU"/>
              </w:rPr>
              <w:t>136.5</w:t>
            </w:r>
          </w:p>
        </w:tc>
      </w:tr>
      <w:tr w:rsidR="003E5CB4" w:rsidRPr="00BA1388" w14:paraId="4D50EAEE" w14:textId="77777777" w:rsidTr="003E5CB4">
        <w:trPr>
          <w:trHeight w:val="255"/>
        </w:trPr>
        <w:tc>
          <w:tcPr>
            <w:tcW w:w="3085" w:type="dxa"/>
            <w:tcBorders>
              <w:top w:val="single" w:sz="4" w:space="0" w:color="auto"/>
              <w:left w:val="nil"/>
              <w:bottom w:val="nil"/>
              <w:right w:val="nil"/>
            </w:tcBorders>
            <w:shd w:val="clear" w:color="FFFFFF" w:fill="auto"/>
            <w:vAlign w:val="center"/>
          </w:tcPr>
          <w:p w14:paraId="5FBD62B9" w14:textId="77777777" w:rsidR="003E5CB4" w:rsidRPr="003E5CB4" w:rsidRDefault="003E5CB4" w:rsidP="003E5CB4">
            <w:pPr>
              <w:keepNext/>
              <w:keepLines/>
              <w:pageBreakBefore/>
              <w:spacing w:before="0" w:after="0"/>
              <w:rPr>
                <w:rFonts w:ascii="Arial" w:hAnsi="Arial"/>
                <w:sz w:val="16"/>
                <w:szCs w:val="16"/>
                <w:lang w:val="en-AU"/>
              </w:rPr>
            </w:pPr>
            <w:r w:rsidRPr="008659FE">
              <w:rPr>
                <w:rFonts w:ascii="Arial" w:hAnsi="Arial"/>
                <w:b/>
                <w:sz w:val="16"/>
                <w:szCs w:val="16"/>
                <w:lang w:val="en-AU"/>
              </w:rPr>
              <w:lastRenderedPageBreak/>
              <w:t>Army Aviation Program of Works</w:t>
            </w:r>
          </w:p>
        </w:tc>
        <w:tc>
          <w:tcPr>
            <w:tcW w:w="1790" w:type="dxa"/>
            <w:tcBorders>
              <w:top w:val="single" w:sz="4" w:space="0" w:color="auto"/>
              <w:left w:val="nil"/>
              <w:bottom w:val="nil"/>
              <w:right w:val="nil"/>
            </w:tcBorders>
            <w:shd w:val="clear" w:color="FFFFFF" w:fill="auto"/>
            <w:vAlign w:val="center"/>
          </w:tcPr>
          <w:p w14:paraId="7F8143E5" w14:textId="77777777" w:rsidR="003E5CB4" w:rsidRPr="003E5CB4" w:rsidRDefault="003E5CB4" w:rsidP="003E5CB4">
            <w:pPr>
              <w:spacing w:before="0" w:after="0"/>
              <w:jc w:val="right"/>
              <w:rPr>
                <w:rFonts w:ascii="Arial" w:hAnsi="Arial"/>
                <w:sz w:val="16"/>
                <w:szCs w:val="16"/>
                <w:lang w:val="en-AU"/>
              </w:rPr>
            </w:pPr>
          </w:p>
        </w:tc>
        <w:tc>
          <w:tcPr>
            <w:tcW w:w="1191" w:type="dxa"/>
            <w:tcBorders>
              <w:top w:val="single" w:sz="4" w:space="0" w:color="auto"/>
              <w:left w:val="nil"/>
              <w:bottom w:val="nil"/>
              <w:right w:val="nil"/>
            </w:tcBorders>
            <w:shd w:val="clear" w:color="auto" w:fill="auto"/>
            <w:noWrap/>
            <w:vAlign w:val="center"/>
          </w:tcPr>
          <w:p w14:paraId="1D16AF97" w14:textId="77777777" w:rsidR="003E5CB4" w:rsidRPr="003E5CB4" w:rsidRDefault="003E5CB4" w:rsidP="003E5CB4">
            <w:pPr>
              <w:spacing w:before="0" w:after="0"/>
              <w:jc w:val="right"/>
              <w:rPr>
                <w:rFonts w:ascii="Arial" w:hAnsi="Arial"/>
                <w:b/>
                <w:bCs/>
                <w:sz w:val="16"/>
                <w:szCs w:val="16"/>
                <w:lang w:val="en-AU"/>
              </w:rPr>
            </w:pPr>
          </w:p>
        </w:tc>
        <w:tc>
          <w:tcPr>
            <w:tcW w:w="1413" w:type="dxa"/>
            <w:tcBorders>
              <w:top w:val="single" w:sz="4" w:space="0" w:color="auto"/>
              <w:left w:val="nil"/>
              <w:bottom w:val="nil"/>
              <w:right w:val="nil"/>
            </w:tcBorders>
            <w:shd w:val="clear" w:color="auto" w:fill="auto"/>
            <w:noWrap/>
            <w:vAlign w:val="center"/>
          </w:tcPr>
          <w:p w14:paraId="0A5AF007" w14:textId="77777777" w:rsidR="003E5CB4" w:rsidRPr="003E5CB4" w:rsidRDefault="003E5CB4" w:rsidP="003E5CB4">
            <w:pPr>
              <w:spacing w:before="0" w:after="0"/>
              <w:jc w:val="right"/>
              <w:rPr>
                <w:rFonts w:ascii="Arial" w:hAnsi="Arial"/>
                <w:bCs/>
                <w:sz w:val="16"/>
                <w:szCs w:val="16"/>
                <w:lang w:val="en-AU"/>
              </w:rPr>
            </w:pPr>
          </w:p>
        </w:tc>
        <w:tc>
          <w:tcPr>
            <w:tcW w:w="1195" w:type="dxa"/>
            <w:tcBorders>
              <w:top w:val="single" w:sz="4" w:space="0" w:color="auto"/>
              <w:left w:val="nil"/>
              <w:bottom w:val="nil"/>
              <w:right w:val="nil"/>
            </w:tcBorders>
            <w:shd w:val="clear" w:color="auto" w:fill="auto"/>
            <w:noWrap/>
            <w:vAlign w:val="center"/>
          </w:tcPr>
          <w:p w14:paraId="5DB6EA8C" w14:textId="77777777" w:rsidR="003E5CB4" w:rsidRPr="003E5CB4" w:rsidRDefault="003E5CB4" w:rsidP="003E5CB4">
            <w:pPr>
              <w:spacing w:before="0" w:after="0"/>
              <w:jc w:val="right"/>
              <w:rPr>
                <w:rFonts w:ascii="Arial" w:hAnsi="Arial"/>
                <w:bCs/>
                <w:sz w:val="16"/>
                <w:szCs w:val="16"/>
                <w:lang w:val="en-AU"/>
              </w:rPr>
            </w:pPr>
          </w:p>
        </w:tc>
      </w:tr>
      <w:tr w:rsidR="003E5CB4" w:rsidRPr="00BA1388" w14:paraId="660B196D" w14:textId="77777777" w:rsidTr="00F600B5">
        <w:trPr>
          <w:trHeight w:val="255"/>
        </w:trPr>
        <w:tc>
          <w:tcPr>
            <w:tcW w:w="3085" w:type="dxa"/>
            <w:tcBorders>
              <w:top w:val="nil"/>
              <w:left w:val="nil"/>
              <w:bottom w:val="nil"/>
              <w:right w:val="nil"/>
            </w:tcBorders>
            <w:shd w:val="clear" w:color="FFFFFF" w:fill="auto"/>
            <w:vAlign w:val="bottom"/>
          </w:tcPr>
          <w:p w14:paraId="34517FC8" w14:textId="77777777" w:rsidR="003E5CB4" w:rsidRPr="008659FE" w:rsidRDefault="003E5CB4" w:rsidP="003E5CB4">
            <w:pPr>
              <w:spacing w:before="0" w:after="0" w:line="276" w:lineRule="auto"/>
              <w:ind w:left="179"/>
              <w:rPr>
                <w:rFonts w:ascii="Arial" w:hAnsi="Arial"/>
                <w:b/>
                <w:sz w:val="16"/>
                <w:szCs w:val="16"/>
                <w:lang w:val="en-AU"/>
              </w:rPr>
            </w:pPr>
            <w:r w:rsidRPr="008659FE">
              <w:rPr>
                <w:rFonts w:ascii="Arial" w:hAnsi="Arial"/>
                <w:sz w:val="16"/>
                <w:szCs w:val="16"/>
                <w:lang w:val="en-AU"/>
              </w:rPr>
              <w:t>RAAF Townsville</w:t>
            </w:r>
          </w:p>
        </w:tc>
        <w:tc>
          <w:tcPr>
            <w:tcW w:w="1790" w:type="dxa"/>
            <w:tcBorders>
              <w:top w:val="nil"/>
              <w:left w:val="nil"/>
              <w:bottom w:val="nil"/>
              <w:right w:val="nil"/>
            </w:tcBorders>
            <w:shd w:val="clear" w:color="FFFFFF" w:fill="auto"/>
            <w:vAlign w:val="bottom"/>
          </w:tcPr>
          <w:p w14:paraId="359FF4E6" w14:textId="77777777" w:rsidR="003E5CB4" w:rsidRPr="008659FE" w:rsidRDefault="003E5CB4" w:rsidP="003E5CB4">
            <w:pPr>
              <w:spacing w:before="0" w:after="0" w:line="276" w:lineRule="auto"/>
              <w:jc w:val="right"/>
              <w:rPr>
                <w:rFonts w:ascii="Arial" w:hAnsi="Arial"/>
                <w:sz w:val="16"/>
                <w:szCs w:val="16"/>
                <w:lang w:val="en-AU"/>
              </w:rPr>
            </w:pPr>
            <w:r w:rsidRPr="008659FE">
              <w:rPr>
                <w:rFonts w:ascii="Arial" w:hAnsi="Arial"/>
                <w:sz w:val="16"/>
                <w:szCs w:val="16"/>
                <w:lang w:val="en-AU"/>
              </w:rPr>
              <w:t>QLD - Herbert</w:t>
            </w:r>
          </w:p>
        </w:tc>
        <w:tc>
          <w:tcPr>
            <w:tcW w:w="1191" w:type="dxa"/>
            <w:tcBorders>
              <w:top w:val="nil"/>
              <w:left w:val="nil"/>
              <w:bottom w:val="nil"/>
              <w:right w:val="nil"/>
            </w:tcBorders>
            <w:shd w:val="clear" w:color="auto" w:fill="auto"/>
            <w:noWrap/>
            <w:vAlign w:val="center"/>
          </w:tcPr>
          <w:p w14:paraId="5482DBD8" w14:textId="77777777" w:rsidR="003E5CB4" w:rsidRPr="003E5CB4" w:rsidRDefault="003E5CB4" w:rsidP="003E5CB4">
            <w:pPr>
              <w:spacing w:before="0" w:after="0"/>
              <w:jc w:val="right"/>
              <w:rPr>
                <w:rFonts w:ascii="Arial" w:hAnsi="Arial"/>
                <w:b/>
                <w:bCs/>
                <w:sz w:val="16"/>
                <w:szCs w:val="16"/>
                <w:lang w:val="en-AU"/>
              </w:rPr>
            </w:pPr>
          </w:p>
        </w:tc>
        <w:tc>
          <w:tcPr>
            <w:tcW w:w="1413" w:type="dxa"/>
            <w:tcBorders>
              <w:top w:val="nil"/>
              <w:left w:val="nil"/>
              <w:bottom w:val="nil"/>
              <w:right w:val="nil"/>
            </w:tcBorders>
            <w:shd w:val="clear" w:color="auto" w:fill="auto"/>
            <w:noWrap/>
            <w:vAlign w:val="center"/>
          </w:tcPr>
          <w:p w14:paraId="3B38C177" w14:textId="77777777" w:rsidR="003E5CB4" w:rsidRPr="003E5CB4" w:rsidRDefault="003E5CB4" w:rsidP="003E5CB4">
            <w:pPr>
              <w:spacing w:before="0" w:after="0"/>
              <w:jc w:val="right"/>
              <w:rPr>
                <w:rFonts w:ascii="Arial" w:hAnsi="Arial"/>
                <w:b/>
                <w:bCs/>
                <w:sz w:val="16"/>
                <w:szCs w:val="16"/>
                <w:lang w:val="en-AU"/>
              </w:rPr>
            </w:pPr>
            <w:r w:rsidRPr="003E5CB4">
              <w:rPr>
                <w:rFonts w:ascii="Arial" w:hAnsi="Arial"/>
                <w:bCs/>
                <w:sz w:val="16"/>
                <w:szCs w:val="16"/>
                <w:lang w:val="en-AU"/>
              </w:rPr>
              <w:t>1</w:t>
            </w:r>
            <w:r>
              <w:rPr>
                <w:rFonts w:ascii="Arial" w:hAnsi="Arial"/>
                <w:bCs/>
                <w:sz w:val="16"/>
                <w:szCs w:val="16"/>
                <w:lang w:val="en-AU"/>
              </w:rPr>
              <w:t>8.9</w:t>
            </w:r>
          </w:p>
        </w:tc>
        <w:tc>
          <w:tcPr>
            <w:tcW w:w="1195" w:type="dxa"/>
            <w:tcBorders>
              <w:top w:val="nil"/>
              <w:left w:val="nil"/>
              <w:bottom w:val="nil"/>
              <w:right w:val="nil"/>
            </w:tcBorders>
            <w:shd w:val="clear" w:color="auto" w:fill="auto"/>
            <w:noWrap/>
            <w:vAlign w:val="center"/>
          </w:tcPr>
          <w:p w14:paraId="0B62BD76" w14:textId="77777777" w:rsidR="003E5CB4" w:rsidRPr="003E5CB4" w:rsidRDefault="003E5CB4" w:rsidP="003E5CB4">
            <w:pPr>
              <w:spacing w:before="0" w:after="0"/>
              <w:jc w:val="right"/>
              <w:rPr>
                <w:rFonts w:ascii="Arial" w:hAnsi="Arial"/>
                <w:bCs/>
                <w:sz w:val="16"/>
                <w:szCs w:val="16"/>
                <w:lang w:val="en-AU"/>
              </w:rPr>
            </w:pPr>
            <w:r w:rsidRPr="003E5CB4">
              <w:rPr>
                <w:rFonts w:ascii="Arial" w:hAnsi="Arial"/>
                <w:bCs/>
                <w:sz w:val="16"/>
                <w:szCs w:val="16"/>
                <w:lang w:val="en-AU"/>
              </w:rPr>
              <w:t>110.1</w:t>
            </w:r>
          </w:p>
        </w:tc>
      </w:tr>
      <w:tr w:rsidR="003E5CB4" w:rsidRPr="00BA1388" w14:paraId="0413C0E2" w14:textId="77777777" w:rsidTr="00F600B5">
        <w:trPr>
          <w:trHeight w:val="255"/>
        </w:trPr>
        <w:tc>
          <w:tcPr>
            <w:tcW w:w="3085" w:type="dxa"/>
            <w:tcBorders>
              <w:top w:val="nil"/>
              <w:left w:val="nil"/>
              <w:bottom w:val="nil"/>
              <w:right w:val="nil"/>
            </w:tcBorders>
            <w:shd w:val="clear" w:color="FFFFFF" w:fill="auto"/>
            <w:vAlign w:val="bottom"/>
          </w:tcPr>
          <w:p w14:paraId="52DB6854" w14:textId="77777777" w:rsidR="003E5CB4" w:rsidRPr="008659FE" w:rsidRDefault="003E5CB4" w:rsidP="003E5CB4">
            <w:pPr>
              <w:spacing w:before="0" w:after="0" w:line="276" w:lineRule="auto"/>
              <w:ind w:left="179"/>
              <w:rPr>
                <w:rFonts w:ascii="Arial" w:hAnsi="Arial"/>
                <w:b/>
                <w:sz w:val="16"/>
                <w:szCs w:val="16"/>
                <w:lang w:val="en-AU"/>
              </w:rPr>
            </w:pPr>
            <w:r w:rsidRPr="008659FE">
              <w:rPr>
                <w:rFonts w:ascii="Arial" w:hAnsi="Arial"/>
                <w:sz w:val="16"/>
                <w:szCs w:val="16"/>
                <w:lang w:val="en-AU"/>
              </w:rPr>
              <w:t>Townsville Field Training Area</w:t>
            </w:r>
          </w:p>
        </w:tc>
        <w:tc>
          <w:tcPr>
            <w:tcW w:w="1790" w:type="dxa"/>
            <w:tcBorders>
              <w:top w:val="nil"/>
              <w:left w:val="nil"/>
              <w:bottom w:val="nil"/>
              <w:right w:val="nil"/>
            </w:tcBorders>
            <w:shd w:val="clear" w:color="FFFFFF" w:fill="auto"/>
            <w:vAlign w:val="bottom"/>
          </w:tcPr>
          <w:p w14:paraId="463E306A" w14:textId="77777777" w:rsidR="003E5CB4" w:rsidRPr="008659FE" w:rsidRDefault="003E5CB4" w:rsidP="003E5CB4">
            <w:pPr>
              <w:spacing w:before="0" w:after="0" w:line="276" w:lineRule="auto"/>
              <w:jc w:val="right"/>
              <w:rPr>
                <w:rFonts w:ascii="Arial" w:hAnsi="Arial"/>
                <w:sz w:val="16"/>
                <w:szCs w:val="16"/>
                <w:lang w:val="en-AU"/>
              </w:rPr>
            </w:pPr>
            <w:r w:rsidRPr="008659FE">
              <w:rPr>
                <w:rFonts w:ascii="Arial" w:hAnsi="Arial"/>
                <w:sz w:val="16"/>
                <w:szCs w:val="16"/>
                <w:lang w:val="en-AU"/>
              </w:rPr>
              <w:t>QLD - Kennedy</w:t>
            </w:r>
          </w:p>
        </w:tc>
        <w:tc>
          <w:tcPr>
            <w:tcW w:w="1191" w:type="dxa"/>
            <w:tcBorders>
              <w:top w:val="nil"/>
              <w:left w:val="nil"/>
              <w:bottom w:val="nil"/>
              <w:right w:val="nil"/>
            </w:tcBorders>
            <w:shd w:val="clear" w:color="auto" w:fill="auto"/>
            <w:noWrap/>
            <w:vAlign w:val="center"/>
          </w:tcPr>
          <w:p w14:paraId="5AD41A70" w14:textId="77777777" w:rsidR="003E5CB4" w:rsidRPr="003E5CB4" w:rsidRDefault="003E5CB4" w:rsidP="003E5CB4">
            <w:pPr>
              <w:spacing w:before="0" w:after="0"/>
              <w:jc w:val="right"/>
              <w:rPr>
                <w:rFonts w:ascii="Arial" w:hAnsi="Arial"/>
                <w:b/>
                <w:bCs/>
                <w:sz w:val="16"/>
                <w:szCs w:val="16"/>
                <w:lang w:val="en-AU"/>
              </w:rPr>
            </w:pPr>
          </w:p>
        </w:tc>
        <w:tc>
          <w:tcPr>
            <w:tcW w:w="1413" w:type="dxa"/>
            <w:tcBorders>
              <w:top w:val="nil"/>
              <w:left w:val="nil"/>
              <w:bottom w:val="nil"/>
              <w:right w:val="nil"/>
            </w:tcBorders>
            <w:shd w:val="clear" w:color="auto" w:fill="auto"/>
            <w:noWrap/>
            <w:vAlign w:val="center"/>
          </w:tcPr>
          <w:p w14:paraId="160722EA" w14:textId="77777777" w:rsidR="003E5CB4" w:rsidRPr="003E5CB4" w:rsidRDefault="003E5CB4" w:rsidP="003E5CB4">
            <w:pPr>
              <w:spacing w:before="0" w:after="0"/>
              <w:jc w:val="right"/>
              <w:rPr>
                <w:rFonts w:ascii="Arial" w:hAnsi="Arial"/>
                <w:bCs/>
                <w:sz w:val="16"/>
                <w:szCs w:val="16"/>
                <w:lang w:val="en-AU"/>
              </w:rPr>
            </w:pPr>
            <w:r>
              <w:rPr>
                <w:rFonts w:ascii="Arial" w:hAnsi="Arial"/>
                <w:bCs/>
                <w:sz w:val="16"/>
                <w:szCs w:val="16"/>
                <w:lang w:val="en-AU"/>
              </w:rPr>
              <w:t>0.0</w:t>
            </w:r>
          </w:p>
        </w:tc>
        <w:tc>
          <w:tcPr>
            <w:tcW w:w="1195" w:type="dxa"/>
            <w:tcBorders>
              <w:top w:val="nil"/>
              <w:left w:val="nil"/>
              <w:bottom w:val="nil"/>
              <w:right w:val="nil"/>
            </w:tcBorders>
            <w:shd w:val="clear" w:color="auto" w:fill="auto"/>
            <w:noWrap/>
            <w:vAlign w:val="center"/>
          </w:tcPr>
          <w:p w14:paraId="2AD337E3" w14:textId="77777777" w:rsidR="003E5CB4" w:rsidRPr="003E5CB4" w:rsidRDefault="003E5CB4" w:rsidP="003E5CB4">
            <w:pPr>
              <w:spacing w:before="0" w:after="0"/>
              <w:jc w:val="right"/>
              <w:rPr>
                <w:rFonts w:ascii="Arial" w:hAnsi="Arial"/>
                <w:bCs/>
                <w:sz w:val="16"/>
                <w:szCs w:val="16"/>
                <w:lang w:val="en-AU"/>
              </w:rPr>
            </w:pPr>
            <w:r>
              <w:rPr>
                <w:rFonts w:ascii="Arial" w:hAnsi="Arial"/>
                <w:bCs/>
                <w:sz w:val="16"/>
                <w:szCs w:val="16"/>
                <w:lang w:val="en-AU"/>
              </w:rPr>
              <w:t>-</w:t>
            </w:r>
          </w:p>
        </w:tc>
      </w:tr>
      <w:tr w:rsidR="003E5CB4" w:rsidRPr="00BA1388" w14:paraId="036ECE62" w14:textId="77777777" w:rsidTr="00F600B5">
        <w:trPr>
          <w:trHeight w:val="255"/>
        </w:trPr>
        <w:tc>
          <w:tcPr>
            <w:tcW w:w="3085" w:type="dxa"/>
            <w:tcBorders>
              <w:top w:val="nil"/>
              <w:left w:val="nil"/>
              <w:bottom w:val="single" w:sz="4" w:space="0" w:color="auto"/>
              <w:right w:val="nil"/>
            </w:tcBorders>
            <w:shd w:val="clear" w:color="FFFFFF" w:fill="auto"/>
            <w:vAlign w:val="center"/>
          </w:tcPr>
          <w:p w14:paraId="04DB412C" w14:textId="77777777" w:rsidR="003E5CB4" w:rsidRPr="003E5CB4" w:rsidRDefault="003E5CB4" w:rsidP="003E5CB4">
            <w:pPr>
              <w:spacing w:before="0" w:after="0"/>
              <w:rPr>
                <w:rFonts w:ascii="Arial" w:hAnsi="Arial"/>
                <w:sz w:val="16"/>
                <w:szCs w:val="16"/>
                <w:lang w:val="en-AU"/>
              </w:rPr>
            </w:pPr>
            <w:r w:rsidRPr="003E5CB4">
              <w:rPr>
                <w:rFonts w:ascii="Arial" w:hAnsi="Arial"/>
                <w:b/>
                <w:bCs/>
                <w:sz w:val="16"/>
                <w:szCs w:val="16"/>
                <w:lang w:val="en-AU"/>
              </w:rPr>
              <w:t>Total</w:t>
            </w:r>
          </w:p>
        </w:tc>
        <w:tc>
          <w:tcPr>
            <w:tcW w:w="1790" w:type="dxa"/>
            <w:tcBorders>
              <w:top w:val="nil"/>
              <w:left w:val="nil"/>
              <w:bottom w:val="single" w:sz="4" w:space="0" w:color="auto"/>
              <w:right w:val="nil"/>
            </w:tcBorders>
            <w:shd w:val="clear" w:color="FFFFFF" w:fill="auto"/>
            <w:vAlign w:val="center"/>
          </w:tcPr>
          <w:p w14:paraId="6A5FE8C2" w14:textId="77777777" w:rsidR="003E5CB4" w:rsidRPr="003E5CB4" w:rsidRDefault="003E5CB4" w:rsidP="003E5CB4">
            <w:pPr>
              <w:spacing w:before="0" w:after="0"/>
              <w:jc w:val="right"/>
              <w:rPr>
                <w:rFonts w:ascii="Arial" w:hAnsi="Arial"/>
                <w:sz w:val="16"/>
                <w:szCs w:val="16"/>
                <w:lang w:val="en-AU"/>
              </w:rPr>
            </w:pPr>
          </w:p>
        </w:tc>
        <w:tc>
          <w:tcPr>
            <w:tcW w:w="1191" w:type="dxa"/>
            <w:tcBorders>
              <w:top w:val="nil"/>
              <w:left w:val="nil"/>
              <w:bottom w:val="single" w:sz="4" w:space="0" w:color="auto"/>
              <w:right w:val="nil"/>
            </w:tcBorders>
            <w:shd w:val="clear" w:color="auto" w:fill="auto"/>
            <w:noWrap/>
            <w:vAlign w:val="bottom"/>
          </w:tcPr>
          <w:p w14:paraId="7C714805" w14:textId="77777777" w:rsidR="003E5CB4" w:rsidRPr="00353F8D" w:rsidRDefault="003E5CB4" w:rsidP="003E5CB4">
            <w:pPr>
              <w:spacing w:before="0" w:after="0" w:line="276" w:lineRule="auto"/>
              <w:jc w:val="right"/>
              <w:rPr>
                <w:rFonts w:ascii="Arial" w:hAnsi="Arial"/>
                <w:b/>
                <w:bCs/>
                <w:sz w:val="16"/>
                <w:szCs w:val="16"/>
                <w:lang w:val="en-AU"/>
              </w:rPr>
            </w:pPr>
            <w:r w:rsidRPr="00353F8D">
              <w:rPr>
                <w:rFonts w:ascii="Arial" w:hAnsi="Arial"/>
                <w:b/>
                <w:bCs/>
                <w:sz w:val="16"/>
                <w:szCs w:val="16"/>
                <w:lang w:val="en-AU"/>
              </w:rPr>
              <w:t>518.3</w:t>
            </w:r>
          </w:p>
        </w:tc>
        <w:tc>
          <w:tcPr>
            <w:tcW w:w="1413" w:type="dxa"/>
            <w:tcBorders>
              <w:top w:val="nil"/>
              <w:left w:val="nil"/>
              <w:bottom w:val="single" w:sz="4" w:space="0" w:color="auto"/>
              <w:right w:val="nil"/>
            </w:tcBorders>
            <w:shd w:val="clear" w:color="auto" w:fill="auto"/>
            <w:noWrap/>
            <w:vAlign w:val="bottom"/>
          </w:tcPr>
          <w:p w14:paraId="20E4D716" w14:textId="77777777" w:rsidR="003E5CB4" w:rsidRPr="009E4B9D" w:rsidRDefault="003E5CB4" w:rsidP="003E5CB4">
            <w:pPr>
              <w:spacing w:before="0" w:after="0" w:line="276" w:lineRule="auto"/>
              <w:jc w:val="right"/>
              <w:rPr>
                <w:rFonts w:ascii="Arial" w:hAnsi="Arial"/>
                <w:b/>
                <w:sz w:val="16"/>
                <w:szCs w:val="16"/>
                <w:lang w:eastAsia="en-US"/>
              </w:rPr>
            </w:pPr>
            <w:r w:rsidRPr="009E4B9D">
              <w:rPr>
                <w:rFonts w:ascii="Arial" w:hAnsi="Arial"/>
                <w:b/>
                <w:sz w:val="16"/>
                <w:szCs w:val="16"/>
                <w:lang w:eastAsia="en-US"/>
              </w:rPr>
              <w:t>18.9</w:t>
            </w:r>
          </w:p>
        </w:tc>
        <w:tc>
          <w:tcPr>
            <w:tcW w:w="1195" w:type="dxa"/>
            <w:tcBorders>
              <w:top w:val="nil"/>
              <w:left w:val="nil"/>
              <w:bottom w:val="single" w:sz="4" w:space="0" w:color="auto"/>
              <w:right w:val="nil"/>
            </w:tcBorders>
            <w:shd w:val="clear" w:color="auto" w:fill="auto"/>
            <w:noWrap/>
            <w:vAlign w:val="bottom"/>
          </w:tcPr>
          <w:p w14:paraId="061C36CB" w14:textId="77777777" w:rsidR="003E5CB4" w:rsidRPr="009E4B9D" w:rsidRDefault="003E5CB4" w:rsidP="003E5CB4">
            <w:pPr>
              <w:spacing w:before="0" w:after="0" w:line="276" w:lineRule="auto"/>
              <w:jc w:val="right"/>
              <w:rPr>
                <w:rFonts w:ascii="Arial" w:hAnsi="Arial"/>
                <w:b/>
                <w:sz w:val="16"/>
                <w:szCs w:val="16"/>
                <w:lang w:eastAsia="en-US"/>
              </w:rPr>
            </w:pPr>
            <w:r w:rsidRPr="009E4B9D">
              <w:rPr>
                <w:rFonts w:ascii="Arial" w:hAnsi="Arial"/>
                <w:b/>
                <w:sz w:val="16"/>
                <w:szCs w:val="16"/>
                <w:lang w:eastAsia="en-US"/>
              </w:rPr>
              <w:t>110.1</w:t>
            </w:r>
          </w:p>
        </w:tc>
      </w:tr>
      <w:tr w:rsidR="003E5CB4" w:rsidRPr="00BA1388" w14:paraId="4F8EC1AE" w14:textId="77777777" w:rsidTr="006868B3">
        <w:trPr>
          <w:trHeight w:val="255"/>
        </w:trPr>
        <w:tc>
          <w:tcPr>
            <w:tcW w:w="3085" w:type="dxa"/>
            <w:tcBorders>
              <w:top w:val="single" w:sz="4" w:space="0" w:color="auto"/>
              <w:left w:val="nil"/>
              <w:bottom w:val="nil"/>
              <w:right w:val="nil"/>
            </w:tcBorders>
            <w:shd w:val="clear" w:color="FFFFFF" w:fill="auto"/>
            <w:vAlign w:val="center"/>
          </w:tcPr>
          <w:p w14:paraId="4CF047C3" w14:textId="77777777" w:rsidR="003E5CB4" w:rsidRPr="00BA1388" w:rsidRDefault="003E5CB4" w:rsidP="003E5CB4">
            <w:pPr>
              <w:keepNext/>
              <w:keepLines/>
              <w:spacing w:before="0" w:after="0"/>
              <w:rPr>
                <w:rFonts w:ascii="Arial" w:hAnsi="Arial"/>
                <w:b/>
                <w:sz w:val="16"/>
                <w:szCs w:val="16"/>
                <w:highlight w:val="yellow"/>
                <w:lang w:val="en-AU"/>
              </w:rPr>
            </w:pPr>
            <w:r w:rsidRPr="008659FE">
              <w:rPr>
                <w:rFonts w:ascii="Arial" w:hAnsi="Arial"/>
                <w:b/>
                <w:sz w:val="16"/>
                <w:szCs w:val="16"/>
                <w:lang w:val="en-AU"/>
              </w:rPr>
              <w:t>Facilities to Support DEF 2150 Joint Intelligence and Targeting Training Facility</w:t>
            </w:r>
          </w:p>
        </w:tc>
        <w:tc>
          <w:tcPr>
            <w:tcW w:w="1790" w:type="dxa"/>
            <w:tcBorders>
              <w:top w:val="single" w:sz="4" w:space="0" w:color="auto"/>
              <w:left w:val="nil"/>
              <w:bottom w:val="nil"/>
              <w:right w:val="nil"/>
            </w:tcBorders>
            <w:shd w:val="clear" w:color="FFFFFF" w:fill="auto"/>
            <w:vAlign w:val="center"/>
          </w:tcPr>
          <w:p w14:paraId="38FDEC97" w14:textId="77777777" w:rsidR="003E5CB4" w:rsidRPr="00BA1388" w:rsidRDefault="003E5CB4" w:rsidP="003E5CB4">
            <w:pPr>
              <w:spacing w:before="0" w:after="0"/>
              <w:jc w:val="right"/>
              <w:rPr>
                <w:rFonts w:ascii="Arial" w:hAnsi="Arial"/>
                <w:sz w:val="16"/>
                <w:szCs w:val="16"/>
                <w:highlight w:val="yellow"/>
                <w:lang w:val="en-AU"/>
              </w:rPr>
            </w:pPr>
          </w:p>
        </w:tc>
        <w:tc>
          <w:tcPr>
            <w:tcW w:w="1191" w:type="dxa"/>
            <w:tcBorders>
              <w:top w:val="single" w:sz="4" w:space="0" w:color="auto"/>
              <w:left w:val="nil"/>
              <w:bottom w:val="nil"/>
              <w:right w:val="nil"/>
            </w:tcBorders>
            <w:shd w:val="clear" w:color="auto" w:fill="auto"/>
            <w:noWrap/>
            <w:vAlign w:val="center"/>
          </w:tcPr>
          <w:p w14:paraId="006A3427" w14:textId="77777777" w:rsidR="003E5CB4" w:rsidRPr="00BA1388" w:rsidRDefault="003E5CB4" w:rsidP="003E5CB4">
            <w:pPr>
              <w:spacing w:before="0" w:after="0"/>
              <w:jc w:val="right"/>
              <w:rPr>
                <w:rFonts w:ascii="Arial" w:hAnsi="Arial"/>
                <w:b/>
                <w:bCs/>
                <w:sz w:val="16"/>
                <w:szCs w:val="16"/>
                <w:highlight w:val="yellow"/>
                <w:lang w:val="en-AU"/>
              </w:rPr>
            </w:pPr>
          </w:p>
        </w:tc>
        <w:tc>
          <w:tcPr>
            <w:tcW w:w="1413" w:type="dxa"/>
            <w:tcBorders>
              <w:top w:val="single" w:sz="4" w:space="0" w:color="auto"/>
              <w:left w:val="nil"/>
              <w:bottom w:val="nil"/>
              <w:right w:val="nil"/>
            </w:tcBorders>
            <w:shd w:val="clear" w:color="auto" w:fill="auto"/>
            <w:noWrap/>
            <w:vAlign w:val="center"/>
          </w:tcPr>
          <w:p w14:paraId="055F60BD" w14:textId="77777777" w:rsidR="003E5CB4" w:rsidRPr="00BA1388" w:rsidRDefault="003E5CB4" w:rsidP="003E5CB4">
            <w:pPr>
              <w:spacing w:before="0" w:after="0"/>
              <w:jc w:val="right"/>
              <w:rPr>
                <w:rFonts w:ascii="Arial" w:hAnsi="Arial"/>
                <w:b/>
                <w:bCs/>
                <w:sz w:val="16"/>
                <w:szCs w:val="16"/>
                <w:highlight w:val="yellow"/>
                <w:lang w:val="en-AU"/>
              </w:rPr>
            </w:pPr>
          </w:p>
        </w:tc>
        <w:tc>
          <w:tcPr>
            <w:tcW w:w="1195" w:type="dxa"/>
            <w:tcBorders>
              <w:top w:val="single" w:sz="4" w:space="0" w:color="auto"/>
              <w:left w:val="nil"/>
              <w:bottom w:val="nil"/>
              <w:right w:val="nil"/>
            </w:tcBorders>
            <w:shd w:val="clear" w:color="auto" w:fill="auto"/>
            <w:noWrap/>
            <w:vAlign w:val="center"/>
          </w:tcPr>
          <w:p w14:paraId="370ED85A" w14:textId="77777777" w:rsidR="003E5CB4" w:rsidRPr="00BA1388" w:rsidRDefault="003E5CB4" w:rsidP="003E5CB4">
            <w:pPr>
              <w:spacing w:before="0" w:after="0"/>
              <w:jc w:val="right"/>
              <w:rPr>
                <w:rFonts w:ascii="Arial" w:hAnsi="Arial"/>
                <w:b/>
                <w:bCs/>
                <w:sz w:val="16"/>
                <w:szCs w:val="16"/>
                <w:highlight w:val="yellow"/>
                <w:lang w:val="en-AU"/>
              </w:rPr>
            </w:pPr>
          </w:p>
        </w:tc>
      </w:tr>
      <w:tr w:rsidR="003E5CB4" w:rsidRPr="00BA1388" w14:paraId="7C497208" w14:textId="77777777" w:rsidTr="00F600B5">
        <w:trPr>
          <w:trHeight w:val="255"/>
        </w:trPr>
        <w:tc>
          <w:tcPr>
            <w:tcW w:w="3085" w:type="dxa"/>
            <w:tcBorders>
              <w:top w:val="nil"/>
              <w:left w:val="nil"/>
              <w:bottom w:val="nil"/>
              <w:right w:val="nil"/>
            </w:tcBorders>
            <w:shd w:val="clear" w:color="FFFFFF" w:fill="auto"/>
            <w:vAlign w:val="bottom"/>
          </w:tcPr>
          <w:p w14:paraId="32A907A7" w14:textId="77777777" w:rsidR="003E5CB4" w:rsidRPr="003E5CB4" w:rsidDel="002927CE" w:rsidRDefault="003E5CB4" w:rsidP="003E5CB4">
            <w:pPr>
              <w:spacing w:before="0" w:after="0" w:line="276" w:lineRule="auto"/>
              <w:ind w:left="179"/>
              <w:rPr>
                <w:rFonts w:ascii="Arial" w:hAnsi="Arial"/>
                <w:b/>
                <w:sz w:val="16"/>
                <w:szCs w:val="16"/>
                <w:lang w:val="en-AU"/>
              </w:rPr>
            </w:pPr>
            <w:r w:rsidRPr="003E5CB4">
              <w:rPr>
                <w:rFonts w:ascii="Arial" w:hAnsi="Arial"/>
                <w:sz w:val="16"/>
                <w:szCs w:val="16"/>
                <w:lang w:val="en-AU"/>
              </w:rPr>
              <w:t>RAAF Edinburgh</w:t>
            </w:r>
          </w:p>
        </w:tc>
        <w:tc>
          <w:tcPr>
            <w:tcW w:w="1790" w:type="dxa"/>
            <w:tcBorders>
              <w:top w:val="nil"/>
              <w:left w:val="nil"/>
              <w:bottom w:val="nil"/>
              <w:right w:val="nil"/>
            </w:tcBorders>
            <w:shd w:val="clear" w:color="FFFFFF" w:fill="auto"/>
            <w:vAlign w:val="bottom"/>
          </w:tcPr>
          <w:p w14:paraId="19976A89" w14:textId="77777777" w:rsidR="003E5CB4" w:rsidRPr="008659FE" w:rsidRDefault="003E5CB4" w:rsidP="003E5CB4">
            <w:pPr>
              <w:spacing w:before="0" w:after="0" w:line="276" w:lineRule="auto"/>
              <w:jc w:val="right"/>
              <w:rPr>
                <w:rFonts w:ascii="Arial" w:hAnsi="Arial"/>
                <w:sz w:val="16"/>
                <w:szCs w:val="16"/>
                <w:lang w:val="en-AU"/>
              </w:rPr>
            </w:pPr>
            <w:r w:rsidRPr="008659FE">
              <w:rPr>
                <w:rFonts w:ascii="Arial" w:hAnsi="Arial"/>
                <w:sz w:val="16"/>
                <w:szCs w:val="16"/>
                <w:lang w:val="en-AU"/>
              </w:rPr>
              <w:t>SA - Spence</w:t>
            </w:r>
          </w:p>
        </w:tc>
        <w:tc>
          <w:tcPr>
            <w:tcW w:w="1191" w:type="dxa"/>
            <w:tcBorders>
              <w:top w:val="nil"/>
              <w:left w:val="nil"/>
              <w:bottom w:val="nil"/>
              <w:right w:val="nil"/>
            </w:tcBorders>
            <w:shd w:val="clear" w:color="auto" w:fill="auto"/>
            <w:noWrap/>
            <w:vAlign w:val="center"/>
          </w:tcPr>
          <w:p w14:paraId="60DECD94" w14:textId="77777777" w:rsidR="003E5CB4" w:rsidRPr="003E5CB4" w:rsidRDefault="003E5CB4" w:rsidP="003E5CB4">
            <w:pPr>
              <w:spacing w:before="0" w:after="0"/>
              <w:jc w:val="right"/>
              <w:rPr>
                <w:rFonts w:ascii="Arial" w:hAnsi="Arial"/>
                <w:b/>
                <w:bCs/>
                <w:sz w:val="16"/>
                <w:szCs w:val="16"/>
                <w:lang w:val="en-AU"/>
              </w:rPr>
            </w:pPr>
          </w:p>
        </w:tc>
        <w:tc>
          <w:tcPr>
            <w:tcW w:w="1413" w:type="dxa"/>
            <w:tcBorders>
              <w:top w:val="nil"/>
              <w:left w:val="nil"/>
              <w:bottom w:val="nil"/>
              <w:right w:val="nil"/>
            </w:tcBorders>
            <w:shd w:val="clear" w:color="auto" w:fill="auto"/>
            <w:noWrap/>
            <w:vAlign w:val="center"/>
          </w:tcPr>
          <w:p w14:paraId="5E818F5D" w14:textId="77777777" w:rsidR="003E5CB4" w:rsidRPr="003E5CB4" w:rsidRDefault="003E5CB4" w:rsidP="003E5CB4">
            <w:pPr>
              <w:spacing w:before="0" w:after="0"/>
              <w:jc w:val="right"/>
              <w:rPr>
                <w:rFonts w:ascii="Arial" w:hAnsi="Arial"/>
                <w:bCs/>
                <w:sz w:val="16"/>
                <w:szCs w:val="16"/>
                <w:lang w:val="en-AU"/>
              </w:rPr>
            </w:pPr>
            <w:r w:rsidRPr="003E5CB4">
              <w:rPr>
                <w:rFonts w:ascii="Arial" w:hAnsi="Arial"/>
                <w:bCs/>
                <w:sz w:val="16"/>
                <w:szCs w:val="16"/>
                <w:lang w:val="en-AU"/>
              </w:rPr>
              <w:t>1.6</w:t>
            </w:r>
          </w:p>
        </w:tc>
        <w:tc>
          <w:tcPr>
            <w:tcW w:w="1195" w:type="dxa"/>
            <w:tcBorders>
              <w:top w:val="nil"/>
              <w:left w:val="nil"/>
              <w:bottom w:val="nil"/>
              <w:right w:val="nil"/>
            </w:tcBorders>
            <w:shd w:val="clear" w:color="auto" w:fill="auto"/>
            <w:noWrap/>
            <w:vAlign w:val="center"/>
          </w:tcPr>
          <w:p w14:paraId="2B65D281" w14:textId="77777777" w:rsidR="003E5CB4" w:rsidRPr="00E9668E" w:rsidRDefault="00E9668E" w:rsidP="003E5CB4">
            <w:pPr>
              <w:spacing w:before="0" w:after="0"/>
              <w:jc w:val="right"/>
              <w:rPr>
                <w:rFonts w:ascii="Arial" w:hAnsi="Arial"/>
                <w:bCs/>
                <w:sz w:val="16"/>
                <w:szCs w:val="16"/>
                <w:lang w:val="en-AU"/>
              </w:rPr>
            </w:pPr>
            <w:r w:rsidRPr="00E9668E">
              <w:rPr>
                <w:rFonts w:ascii="Arial" w:hAnsi="Arial"/>
                <w:bCs/>
                <w:sz w:val="16"/>
                <w:szCs w:val="16"/>
                <w:lang w:val="en-AU"/>
              </w:rPr>
              <w:t>48.6</w:t>
            </w:r>
          </w:p>
        </w:tc>
      </w:tr>
      <w:tr w:rsidR="003E5CB4" w:rsidRPr="00BA1388" w14:paraId="6302FB51" w14:textId="77777777" w:rsidTr="00F600B5">
        <w:trPr>
          <w:trHeight w:val="255"/>
        </w:trPr>
        <w:tc>
          <w:tcPr>
            <w:tcW w:w="3085" w:type="dxa"/>
            <w:tcBorders>
              <w:top w:val="nil"/>
              <w:left w:val="nil"/>
              <w:bottom w:val="nil"/>
              <w:right w:val="nil"/>
            </w:tcBorders>
            <w:shd w:val="clear" w:color="FFFFFF" w:fill="auto"/>
            <w:vAlign w:val="bottom"/>
          </w:tcPr>
          <w:p w14:paraId="28A88E93" w14:textId="77777777" w:rsidR="003E5CB4" w:rsidRPr="003E5CB4" w:rsidRDefault="003E5CB4" w:rsidP="003E5CB4">
            <w:pPr>
              <w:spacing w:before="0" w:after="0" w:line="276" w:lineRule="auto"/>
              <w:ind w:left="179"/>
              <w:rPr>
                <w:rFonts w:ascii="Arial" w:hAnsi="Arial"/>
                <w:b/>
                <w:sz w:val="16"/>
                <w:szCs w:val="16"/>
                <w:lang w:val="en-AU"/>
              </w:rPr>
            </w:pPr>
            <w:r w:rsidRPr="003E5CB4">
              <w:rPr>
                <w:rFonts w:ascii="Arial" w:hAnsi="Arial"/>
                <w:sz w:val="16"/>
                <w:szCs w:val="16"/>
                <w:lang w:val="en-AU"/>
              </w:rPr>
              <w:t>Canberra</w:t>
            </w:r>
          </w:p>
        </w:tc>
        <w:tc>
          <w:tcPr>
            <w:tcW w:w="1790" w:type="dxa"/>
            <w:tcBorders>
              <w:top w:val="nil"/>
              <w:left w:val="nil"/>
              <w:bottom w:val="nil"/>
              <w:right w:val="nil"/>
            </w:tcBorders>
            <w:shd w:val="clear" w:color="FFFFFF" w:fill="auto"/>
            <w:vAlign w:val="bottom"/>
          </w:tcPr>
          <w:p w14:paraId="65726602" w14:textId="77777777" w:rsidR="003E5CB4" w:rsidRPr="008659FE" w:rsidRDefault="003E5CB4" w:rsidP="003E5CB4">
            <w:pPr>
              <w:spacing w:before="0" w:after="0" w:line="276" w:lineRule="auto"/>
              <w:jc w:val="right"/>
              <w:rPr>
                <w:rFonts w:ascii="Arial" w:hAnsi="Arial"/>
                <w:sz w:val="16"/>
                <w:szCs w:val="16"/>
                <w:lang w:val="en-AU"/>
              </w:rPr>
            </w:pPr>
            <w:r w:rsidRPr="008659FE">
              <w:rPr>
                <w:rFonts w:ascii="Arial" w:hAnsi="Arial"/>
                <w:sz w:val="16"/>
                <w:szCs w:val="16"/>
                <w:lang w:val="en-AU"/>
              </w:rPr>
              <w:t>ACT - Bean</w:t>
            </w:r>
          </w:p>
        </w:tc>
        <w:tc>
          <w:tcPr>
            <w:tcW w:w="1191" w:type="dxa"/>
            <w:tcBorders>
              <w:top w:val="nil"/>
              <w:left w:val="nil"/>
              <w:bottom w:val="nil"/>
              <w:right w:val="nil"/>
            </w:tcBorders>
            <w:shd w:val="clear" w:color="auto" w:fill="auto"/>
            <w:noWrap/>
            <w:vAlign w:val="center"/>
          </w:tcPr>
          <w:p w14:paraId="70C034F0" w14:textId="77777777" w:rsidR="003E5CB4" w:rsidRPr="003E5CB4" w:rsidRDefault="003E5CB4" w:rsidP="003E5CB4">
            <w:pPr>
              <w:spacing w:before="0" w:after="0"/>
              <w:jc w:val="right"/>
              <w:rPr>
                <w:rFonts w:ascii="Arial" w:hAnsi="Arial"/>
                <w:b/>
                <w:bCs/>
                <w:sz w:val="16"/>
                <w:szCs w:val="16"/>
                <w:lang w:val="en-AU"/>
              </w:rPr>
            </w:pPr>
          </w:p>
        </w:tc>
        <w:tc>
          <w:tcPr>
            <w:tcW w:w="1413" w:type="dxa"/>
            <w:tcBorders>
              <w:top w:val="nil"/>
              <w:left w:val="nil"/>
              <w:bottom w:val="nil"/>
              <w:right w:val="nil"/>
            </w:tcBorders>
            <w:shd w:val="clear" w:color="auto" w:fill="auto"/>
            <w:noWrap/>
            <w:vAlign w:val="center"/>
          </w:tcPr>
          <w:p w14:paraId="18BBCFB4" w14:textId="77777777" w:rsidR="003E5CB4" w:rsidRPr="003E5CB4" w:rsidRDefault="003E5CB4" w:rsidP="003E5CB4">
            <w:pPr>
              <w:spacing w:before="0" w:after="0"/>
              <w:jc w:val="right"/>
              <w:rPr>
                <w:rFonts w:ascii="Arial" w:hAnsi="Arial"/>
                <w:b/>
                <w:bCs/>
                <w:sz w:val="16"/>
                <w:szCs w:val="16"/>
                <w:lang w:val="en-AU"/>
              </w:rPr>
            </w:pPr>
            <w:r>
              <w:rPr>
                <w:rFonts w:ascii="Arial" w:hAnsi="Arial"/>
                <w:bCs/>
                <w:sz w:val="16"/>
                <w:szCs w:val="16"/>
                <w:lang w:val="en-AU"/>
              </w:rPr>
              <w:t>8.0</w:t>
            </w:r>
          </w:p>
        </w:tc>
        <w:tc>
          <w:tcPr>
            <w:tcW w:w="1195" w:type="dxa"/>
            <w:tcBorders>
              <w:top w:val="nil"/>
              <w:left w:val="nil"/>
              <w:bottom w:val="nil"/>
              <w:right w:val="nil"/>
            </w:tcBorders>
            <w:shd w:val="clear" w:color="auto" w:fill="auto"/>
            <w:noWrap/>
            <w:vAlign w:val="center"/>
          </w:tcPr>
          <w:p w14:paraId="781BF13F" w14:textId="77777777" w:rsidR="003E5CB4" w:rsidRPr="00E9668E" w:rsidRDefault="00E9668E" w:rsidP="003E5CB4">
            <w:pPr>
              <w:spacing w:before="0" w:after="0"/>
              <w:jc w:val="right"/>
              <w:rPr>
                <w:rFonts w:ascii="Arial" w:hAnsi="Arial"/>
                <w:bCs/>
                <w:sz w:val="16"/>
                <w:szCs w:val="16"/>
                <w:lang w:val="en-AU"/>
              </w:rPr>
            </w:pPr>
            <w:r w:rsidRPr="00E9668E">
              <w:rPr>
                <w:rFonts w:ascii="Arial" w:hAnsi="Arial"/>
                <w:bCs/>
                <w:sz w:val="16"/>
                <w:szCs w:val="16"/>
                <w:lang w:val="en-AU"/>
              </w:rPr>
              <w:t>88.3</w:t>
            </w:r>
          </w:p>
        </w:tc>
      </w:tr>
      <w:tr w:rsidR="003E5CB4" w:rsidRPr="00BA1388" w14:paraId="62504896" w14:textId="77777777" w:rsidTr="006868B3">
        <w:trPr>
          <w:trHeight w:val="255"/>
        </w:trPr>
        <w:tc>
          <w:tcPr>
            <w:tcW w:w="3085" w:type="dxa"/>
            <w:tcBorders>
              <w:top w:val="nil"/>
              <w:left w:val="nil"/>
              <w:bottom w:val="single" w:sz="4" w:space="0" w:color="auto"/>
              <w:right w:val="nil"/>
            </w:tcBorders>
            <w:shd w:val="clear" w:color="FFFFFF" w:fill="auto"/>
            <w:vAlign w:val="center"/>
          </w:tcPr>
          <w:p w14:paraId="04702EF7" w14:textId="77777777" w:rsidR="003E5CB4" w:rsidRPr="003E5CB4" w:rsidRDefault="003E5CB4" w:rsidP="003E5CB4">
            <w:pPr>
              <w:spacing w:before="0" w:after="0"/>
              <w:rPr>
                <w:rFonts w:ascii="Arial" w:hAnsi="Arial"/>
                <w:b/>
                <w:sz w:val="16"/>
                <w:szCs w:val="16"/>
                <w:lang w:val="en-AU"/>
              </w:rPr>
            </w:pPr>
            <w:r w:rsidRPr="003E5CB4">
              <w:rPr>
                <w:rFonts w:ascii="Arial" w:hAnsi="Arial"/>
                <w:b/>
                <w:sz w:val="16"/>
                <w:szCs w:val="16"/>
                <w:lang w:val="en-AU"/>
              </w:rPr>
              <w:t>Total</w:t>
            </w:r>
          </w:p>
        </w:tc>
        <w:tc>
          <w:tcPr>
            <w:tcW w:w="1790" w:type="dxa"/>
            <w:tcBorders>
              <w:top w:val="nil"/>
              <w:left w:val="nil"/>
              <w:bottom w:val="single" w:sz="4" w:space="0" w:color="auto"/>
              <w:right w:val="nil"/>
            </w:tcBorders>
            <w:shd w:val="clear" w:color="FFFFFF" w:fill="auto"/>
            <w:vAlign w:val="center"/>
          </w:tcPr>
          <w:p w14:paraId="5EC679B8" w14:textId="77777777" w:rsidR="003E5CB4" w:rsidRPr="003E5CB4" w:rsidRDefault="003E5CB4" w:rsidP="003E5CB4">
            <w:pPr>
              <w:spacing w:before="0" w:after="0"/>
              <w:jc w:val="right"/>
              <w:rPr>
                <w:rFonts w:ascii="Arial" w:hAnsi="Arial"/>
                <w:b/>
                <w:sz w:val="16"/>
                <w:szCs w:val="16"/>
                <w:lang w:val="en-AU"/>
              </w:rPr>
            </w:pPr>
          </w:p>
        </w:tc>
        <w:tc>
          <w:tcPr>
            <w:tcW w:w="1191" w:type="dxa"/>
            <w:tcBorders>
              <w:top w:val="nil"/>
              <w:left w:val="nil"/>
              <w:bottom w:val="single" w:sz="4" w:space="0" w:color="auto"/>
              <w:right w:val="nil"/>
            </w:tcBorders>
            <w:shd w:val="clear" w:color="auto" w:fill="auto"/>
            <w:noWrap/>
            <w:vAlign w:val="center"/>
          </w:tcPr>
          <w:p w14:paraId="7F386653" w14:textId="77777777" w:rsidR="003E5CB4" w:rsidRPr="003E5CB4" w:rsidRDefault="003E5CB4" w:rsidP="003E5CB4">
            <w:pPr>
              <w:spacing w:before="0" w:after="0"/>
              <w:jc w:val="right"/>
              <w:rPr>
                <w:rFonts w:ascii="Arial" w:hAnsi="Arial"/>
                <w:b/>
                <w:bCs/>
                <w:sz w:val="16"/>
                <w:szCs w:val="16"/>
                <w:lang w:val="en-AU"/>
              </w:rPr>
            </w:pPr>
            <w:r>
              <w:rPr>
                <w:rFonts w:ascii="Arial" w:hAnsi="Arial"/>
                <w:b/>
                <w:bCs/>
                <w:sz w:val="16"/>
                <w:szCs w:val="16"/>
                <w:lang w:val="en-AU"/>
              </w:rPr>
              <w:t>433</w:t>
            </w:r>
            <w:r w:rsidRPr="003E5CB4">
              <w:rPr>
                <w:rFonts w:ascii="Arial" w:hAnsi="Arial"/>
                <w:b/>
                <w:bCs/>
                <w:sz w:val="16"/>
                <w:szCs w:val="16"/>
                <w:lang w:val="en-AU"/>
              </w:rPr>
              <w:t>.</w:t>
            </w:r>
            <w:r>
              <w:rPr>
                <w:rFonts w:ascii="Arial" w:hAnsi="Arial"/>
                <w:b/>
                <w:bCs/>
                <w:sz w:val="16"/>
                <w:szCs w:val="16"/>
                <w:lang w:val="en-AU"/>
              </w:rPr>
              <w:t>6</w:t>
            </w:r>
          </w:p>
        </w:tc>
        <w:tc>
          <w:tcPr>
            <w:tcW w:w="1413" w:type="dxa"/>
            <w:tcBorders>
              <w:top w:val="nil"/>
              <w:left w:val="nil"/>
              <w:bottom w:val="single" w:sz="4" w:space="0" w:color="auto"/>
              <w:right w:val="nil"/>
            </w:tcBorders>
            <w:shd w:val="clear" w:color="auto" w:fill="auto"/>
            <w:noWrap/>
            <w:vAlign w:val="center"/>
          </w:tcPr>
          <w:p w14:paraId="31BA803B" w14:textId="77777777" w:rsidR="003E5CB4" w:rsidRPr="003E5CB4" w:rsidRDefault="003E5CB4" w:rsidP="003E5CB4">
            <w:pPr>
              <w:spacing w:before="0" w:after="0"/>
              <w:jc w:val="right"/>
              <w:rPr>
                <w:rFonts w:ascii="Arial" w:hAnsi="Arial"/>
                <w:b/>
                <w:bCs/>
                <w:sz w:val="16"/>
                <w:szCs w:val="16"/>
                <w:lang w:val="en-AU"/>
              </w:rPr>
            </w:pPr>
            <w:r>
              <w:rPr>
                <w:rFonts w:ascii="Arial" w:hAnsi="Arial"/>
                <w:b/>
                <w:bCs/>
                <w:sz w:val="16"/>
                <w:szCs w:val="16"/>
                <w:lang w:val="en-AU"/>
              </w:rPr>
              <w:t>9.6</w:t>
            </w:r>
          </w:p>
        </w:tc>
        <w:tc>
          <w:tcPr>
            <w:tcW w:w="1195" w:type="dxa"/>
            <w:tcBorders>
              <w:top w:val="nil"/>
              <w:left w:val="nil"/>
              <w:bottom w:val="single" w:sz="4" w:space="0" w:color="auto"/>
              <w:right w:val="nil"/>
            </w:tcBorders>
            <w:shd w:val="clear" w:color="auto" w:fill="auto"/>
            <w:noWrap/>
            <w:vAlign w:val="center"/>
          </w:tcPr>
          <w:p w14:paraId="5AD6177F" w14:textId="77777777" w:rsidR="003E5CB4" w:rsidRPr="003E5CB4" w:rsidRDefault="00E9668E" w:rsidP="003E5CB4">
            <w:pPr>
              <w:spacing w:before="0" w:after="0"/>
              <w:jc w:val="right"/>
              <w:rPr>
                <w:rFonts w:ascii="Arial" w:hAnsi="Arial"/>
                <w:b/>
                <w:bCs/>
                <w:sz w:val="16"/>
                <w:szCs w:val="16"/>
                <w:lang w:val="en-AU"/>
              </w:rPr>
            </w:pPr>
            <w:r>
              <w:rPr>
                <w:rFonts w:ascii="Arial" w:hAnsi="Arial"/>
                <w:b/>
                <w:bCs/>
                <w:sz w:val="16"/>
                <w:szCs w:val="16"/>
                <w:lang w:val="en-AU"/>
              </w:rPr>
              <w:t>136.9</w:t>
            </w:r>
          </w:p>
        </w:tc>
      </w:tr>
      <w:tr w:rsidR="003E5CB4" w:rsidRPr="00BA1388" w14:paraId="62A67499" w14:textId="77777777" w:rsidTr="006868B3">
        <w:trPr>
          <w:trHeight w:val="255"/>
        </w:trPr>
        <w:tc>
          <w:tcPr>
            <w:tcW w:w="3085" w:type="dxa"/>
            <w:tcBorders>
              <w:top w:val="single" w:sz="4" w:space="0" w:color="auto"/>
              <w:left w:val="nil"/>
              <w:bottom w:val="nil"/>
              <w:right w:val="nil"/>
            </w:tcBorders>
            <w:shd w:val="clear" w:color="FFFFFF" w:fill="auto"/>
            <w:vAlign w:val="center"/>
          </w:tcPr>
          <w:p w14:paraId="3CFDA072" w14:textId="77777777" w:rsidR="003E5CB4" w:rsidRPr="00BA1388" w:rsidRDefault="00E9668E" w:rsidP="003E5CB4">
            <w:pPr>
              <w:spacing w:before="0" w:after="0"/>
              <w:rPr>
                <w:rFonts w:ascii="Arial" w:hAnsi="Arial"/>
                <w:b/>
                <w:sz w:val="16"/>
                <w:szCs w:val="16"/>
                <w:highlight w:val="yellow"/>
                <w:lang w:val="en-AU"/>
              </w:rPr>
            </w:pPr>
            <w:r w:rsidRPr="008659FE">
              <w:rPr>
                <w:rFonts w:ascii="Arial" w:hAnsi="Arial"/>
                <w:b/>
                <w:sz w:val="16"/>
                <w:szCs w:val="16"/>
                <w:lang w:val="en-AU"/>
              </w:rPr>
              <w:t xml:space="preserve">HMAS </w:t>
            </w:r>
            <w:r w:rsidRPr="008659FE">
              <w:rPr>
                <w:rFonts w:ascii="Arial" w:hAnsi="Arial"/>
                <w:b/>
                <w:i/>
                <w:sz w:val="16"/>
                <w:szCs w:val="16"/>
                <w:lang w:val="en-AU"/>
              </w:rPr>
              <w:t>Watson</w:t>
            </w:r>
            <w:r w:rsidRPr="008659FE">
              <w:rPr>
                <w:rFonts w:ascii="Arial" w:hAnsi="Arial"/>
                <w:b/>
                <w:sz w:val="16"/>
                <w:szCs w:val="16"/>
                <w:lang w:val="en-AU"/>
              </w:rPr>
              <w:t xml:space="preserve"> Redevelopment</w:t>
            </w:r>
          </w:p>
        </w:tc>
        <w:tc>
          <w:tcPr>
            <w:tcW w:w="1790" w:type="dxa"/>
            <w:tcBorders>
              <w:top w:val="single" w:sz="4" w:space="0" w:color="auto"/>
              <w:left w:val="nil"/>
              <w:bottom w:val="nil"/>
              <w:right w:val="nil"/>
            </w:tcBorders>
            <w:shd w:val="clear" w:color="FFFFFF" w:fill="auto"/>
            <w:vAlign w:val="center"/>
          </w:tcPr>
          <w:p w14:paraId="69011C37" w14:textId="77777777" w:rsidR="003E5CB4" w:rsidRPr="00BA1388" w:rsidRDefault="003E5CB4" w:rsidP="003E5CB4">
            <w:pPr>
              <w:spacing w:before="0" w:after="0"/>
              <w:jc w:val="right"/>
              <w:rPr>
                <w:rFonts w:ascii="Arial" w:hAnsi="Arial"/>
                <w:b/>
                <w:sz w:val="16"/>
                <w:szCs w:val="16"/>
                <w:highlight w:val="yellow"/>
                <w:lang w:val="en-AU"/>
              </w:rPr>
            </w:pPr>
          </w:p>
        </w:tc>
        <w:tc>
          <w:tcPr>
            <w:tcW w:w="1191" w:type="dxa"/>
            <w:tcBorders>
              <w:top w:val="single" w:sz="4" w:space="0" w:color="auto"/>
              <w:left w:val="nil"/>
              <w:bottom w:val="nil"/>
              <w:right w:val="nil"/>
            </w:tcBorders>
            <w:shd w:val="clear" w:color="auto" w:fill="auto"/>
            <w:noWrap/>
            <w:vAlign w:val="center"/>
          </w:tcPr>
          <w:p w14:paraId="6AA44BE9" w14:textId="77777777" w:rsidR="003E5CB4" w:rsidRPr="00BA1388" w:rsidRDefault="003E5CB4" w:rsidP="003E5CB4">
            <w:pPr>
              <w:spacing w:before="0" w:after="0"/>
              <w:jc w:val="right"/>
              <w:rPr>
                <w:rFonts w:ascii="Arial" w:hAnsi="Arial"/>
                <w:b/>
                <w:bCs/>
                <w:sz w:val="16"/>
                <w:szCs w:val="16"/>
                <w:highlight w:val="yellow"/>
                <w:lang w:val="en-AU"/>
              </w:rPr>
            </w:pPr>
          </w:p>
        </w:tc>
        <w:tc>
          <w:tcPr>
            <w:tcW w:w="1413" w:type="dxa"/>
            <w:tcBorders>
              <w:top w:val="single" w:sz="4" w:space="0" w:color="auto"/>
              <w:left w:val="nil"/>
              <w:bottom w:val="nil"/>
              <w:right w:val="nil"/>
            </w:tcBorders>
            <w:shd w:val="clear" w:color="auto" w:fill="auto"/>
            <w:noWrap/>
            <w:vAlign w:val="center"/>
          </w:tcPr>
          <w:p w14:paraId="3C0112FF" w14:textId="77777777" w:rsidR="003E5CB4" w:rsidRPr="00BA1388" w:rsidRDefault="003E5CB4" w:rsidP="003E5CB4">
            <w:pPr>
              <w:spacing w:before="0" w:after="0"/>
              <w:jc w:val="right"/>
              <w:rPr>
                <w:rFonts w:ascii="Arial" w:hAnsi="Arial"/>
                <w:b/>
                <w:bCs/>
                <w:sz w:val="16"/>
                <w:szCs w:val="16"/>
                <w:highlight w:val="yellow"/>
                <w:lang w:val="en-AU"/>
              </w:rPr>
            </w:pPr>
          </w:p>
        </w:tc>
        <w:tc>
          <w:tcPr>
            <w:tcW w:w="1195" w:type="dxa"/>
            <w:tcBorders>
              <w:top w:val="single" w:sz="4" w:space="0" w:color="auto"/>
              <w:left w:val="nil"/>
              <w:bottom w:val="nil"/>
              <w:right w:val="nil"/>
            </w:tcBorders>
            <w:shd w:val="clear" w:color="auto" w:fill="auto"/>
            <w:noWrap/>
            <w:vAlign w:val="center"/>
          </w:tcPr>
          <w:p w14:paraId="104282F4" w14:textId="77777777" w:rsidR="003E5CB4" w:rsidRPr="00BA1388" w:rsidRDefault="003E5CB4" w:rsidP="003E5CB4">
            <w:pPr>
              <w:spacing w:before="0" w:after="0"/>
              <w:jc w:val="right"/>
              <w:rPr>
                <w:rFonts w:ascii="Arial" w:hAnsi="Arial"/>
                <w:b/>
                <w:bCs/>
                <w:sz w:val="16"/>
                <w:szCs w:val="16"/>
                <w:highlight w:val="yellow"/>
                <w:lang w:val="en-AU"/>
              </w:rPr>
            </w:pPr>
          </w:p>
        </w:tc>
      </w:tr>
      <w:tr w:rsidR="003E5CB4" w:rsidRPr="00BA1388" w14:paraId="72D865A2" w14:textId="77777777" w:rsidTr="006868B3">
        <w:trPr>
          <w:trHeight w:val="255"/>
        </w:trPr>
        <w:tc>
          <w:tcPr>
            <w:tcW w:w="3085" w:type="dxa"/>
            <w:tcBorders>
              <w:top w:val="nil"/>
              <w:left w:val="nil"/>
              <w:bottom w:val="single" w:sz="4" w:space="0" w:color="auto"/>
              <w:right w:val="nil"/>
            </w:tcBorders>
            <w:shd w:val="clear" w:color="FFFFFF" w:fill="auto"/>
            <w:vAlign w:val="center"/>
          </w:tcPr>
          <w:p w14:paraId="26D406FF" w14:textId="77777777" w:rsidR="003E5CB4" w:rsidRPr="00BA1388" w:rsidRDefault="00E9668E" w:rsidP="003E5CB4">
            <w:pPr>
              <w:spacing w:before="0" w:after="0"/>
              <w:ind w:left="113"/>
              <w:rPr>
                <w:rFonts w:ascii="Arial" w:hAnsi="Arial"/>
                <w:b/>
                <w:sz w:val="16"/>
                <w:szCs w:val="16"/>
                <w:highlight w:val="yellow"/>
                <w:lang w:val="en-AU"/>
              </w:rPr>
            </w:pPr>
            <w:r w:rsidRPr="008659FE">
              <w:rPr>
                <w:rFonts w:ascii="Arial" w:hAnsi="Arial"/>
                <w:sz w:val="16"/>
                <w:szCs w:val="16"/>
                <w:lang w:val="en-AU"/>
              </w:rPr>
              <w:t xml:space="preserve">HMAS </w:t>
            </w:r>
            <w:r w:rsidRPr="008659FE">
              <w:rPr>
                <w:rFonts w:ascii="Arial" w:hAnsi="Arial"/>
                <w:i/>
                <w:sz w:val="16"/>
                <w:szCs w:val="16"/>
                <w:lang w:val="en-AU"/>
              </w:rPr>
              <w:t>Watson</w:t>
            </w:r>
          </w:p>
        </w:tc>
        <w:tc>
          <w:tcPr>
            <w:tcW w:w="1790" w:type="dxa"/>
            <w:tcBorders>
              <w:top w:val="nil"/>
              <w:left w:val="nil"/>
              <w:bottom w:val="single" w:sz="4" w:space="0" w:color="auto"/>
              <w:right w:val="nil"/>
            </w:tcBorders>
            <w:shd w:val="clear" w:color="FFFFFF" w:fill="auto"/>
            <w:vAlign w:val="center"/>
          </w:tcPr>
          <w:p w14:paraId="2F1D3051" w14:textId="77777777" w:rsidR="003E5CB4" w:rsidRPr="00BA1388" w:rsidRDefault="00E9668E" w:rsidP="003E5CB4">
            <w:pPr>
              <w:spacing w:before="0" w:after="0"/>
              <w:jc w:val="right"/>
              <w:rPr>
                <w:rFonts w:ascii="Arial" w:hAnsi="Arial"/>
                <w:b/>
                <w:sz w:val="16"/>
                <w:szCs w:val="16"/>
                <w:highlight w:val="yellow"/>
                <w:lang w:val="en-AU"/>
              </w:rPr>
            </w:pPr>
            <w:r w:rsidRPr="008659FE">
              <w:rPr>
                <w:rFonts w:ascii="Arial" w:hAnsi="Arial"/>
                <w:sz w:val="16"/>
                <w:szCs w:val="16"/>
                <w:lang w:val="en-AU"/>
              </w:rPr>
              <w:t>NSW - Wentworth</w:t>
            </w:r>
          </w:p>
        </w:tc>
        <w:tc>
          <w:tcPr>
            <w:tcW w:w="1191" w:type="dxa"/>
            <w:tcBorders>
              <w:top w:val="nil"/>
              <w:left w:val="nil"/>
              <w:bottom w:val="single" w:sz="4" w:space="0" w:color="auto"/>
              <w:right w:val="nil"/>
            </w:tcBorders>
            <w:shd w:val="clear" w:color="auto" w:fill="auto"/>
            <w:noWrap/>
            <w:vAlign w:val="center"/>
          </w:tcPr>
          <w:p w14:paraId="0DD35870" w14:textId="77777777" w:rsidR="003E5CB4" w:rsidRPr="00E9668E" w:rsidRDefault="00E9668E" w:rsidP="003E5CB4">
            <w:pPr>
              <w:spacing w:before="0" w:after="0"/>
              <w:jc w:val="right"/>
              <w:rPr>
                <w:rFonts w:ascii="Arial" w:hAnsi="Arial"/>
                <w:b/>
                <w:bCs/>
                <w:sz w:val="16"/>
                <w:szCs w:val="16"/>
                <w:lang w:val="en-AU"/>
              </w:rPr>
            </w:pPr>
            <w:r>
              <w:rPr>
                <w:rFonts w:ascii="Arial" w:hAnsi="Arial"/>
                <w:b/>
                <w:bCs/>
                <w:sz w:val="16"/>
                <w:szCs w:val="16"/>
                <w:lang w:val="en-AU"/>
              </w:rPr>
              <w:t>430.5</w:t>
            </w:r>
          </w:p>
        </w:tc>
        <w:tc>
          <w:tcPr>
            <w:tcW w:w="1413" w:type="dxa"/>
            <w:tcBorders>
              <w:top w:val="nil"/>
              <w:left w:val="nil"/>
              <w:bottom w:val="single" w:sz="4" w:space="0" w:color="auto"/>
              <w:right w:val="nil"/>
            </w:tcBorders>
            <w:shd w:val="clear" w:color="auto" w:fill="auto"/>
            <w:noWrap/>
            <w:vAlign w:val="center"/>
          </w:tcPr>
          <w:p w14:paraId="7FF47F53" w14:textId="77777777" w:rsidR="003E5CB4" w:rsidRPr="00E9668E" w:rsidRDefault="00E9668E" w:rsidP="003E5CB4">
            <w:pPr>
              <w:spacing w:before="0" w:after="0"/>
              <w:jc w:val="right"/>
              <w:rPr>
                <w:rFonts w:ascii="Arial" w:hAnsi="Arial"/>
                <w:b/>
                <w:bCs/>
                <w:sz w:val="16"/>
                <w:szCs w:val="16"/>
                <w:lang w:val="en-AU"/>
              </w:rPr>
            </w:pPr>
            <w:r>
              <w:rPr>
                <w:rFonts w:ascii="Arial" w:hAnsi="Arial"/>
                <w:b/>
                <w:bCs/>
                <w:sz w:val="16"/>
                <w:szCs w:val="16"/>
                <w:lang w:val="en-AU"/>
              </w:rPr>
              <w:t>305.1</w:t>
            </w:r>
          </w:p>
        </w:tc>
        <w:tc>
          <w:tcPr>
            <w:tcW w:w="1195" w:type="dxa"/>
            <w:tcBorders>
              <w:top w:val="nil"/>
              <w:left w:val="nil"/>
              <w:bottom w:val="single" w:sz="4" w:space="0" w:color="auto"/>
              <w:right w:val="nil"/>
            </w:tcBorders>
            <w:shd w:val="clear" w:color="auto" w:fill="auto"/>
            <w:noWrap/>
            <w:vAlign w:val="center"/>
          </w:tcPr>
          <w:p w14:paraId="61C58DA9" w14:textId="77777777" w:rsidR="003E5CB4" w:rsidRPr="00E9668E" w:rsidRDefault="00E9668E" w:rsidP="003E5CB4">
            <w:pPr>
              <w:spacing w:before="0" w:after="0"/>
              <w:jc w:val="right"/>
              <w:rPr>
                <w:rFonts w:ascii="Arial" w:hAnsi="Arial"/>
                <w:b/>
                <w:bCs/>
                <w:sz w:val="16"/>
                <w:szCs w:val="16"/>
                <w:lang w:val="en-AU"/>
              </w:rPr>
            </w:pPr>
            <w:r>
              <w:rPr>
                <w:rFonts w:ascii="Arial" w:hAnsi="Arial"/>
                <w:b/>
                <w:bCs/>
                <w:sz w:val="16"/>
                <w:szCs w:val="16"/>
                <w:lang w:val="en-AU"/>
              </w:rPr>
              <w:t>55.7</w:t>
            </w:r>
          </w:p>
        </w:tc>
      </w:tr>
      <w:tr w:rsidR="00E9668E" w:rsidRPr="00BA1388" w14:paraId="5B19C1CF" w14:textId="77777777" w:rsidTr="00F600B5">
        <w:trPr>
          <w:trHeight w:val="227"/>
        </w:trPr>
        <w:tc>
          <w:tcPr>
            <w:tcW w:w="3085" w:type="dxa"/>
            <w:tcBorders>
              <w:top w:val="nil"/>
              <w:left w:val="nil"/>
              <w:bottom w:val="nil"/>
              <w:right w:val="nil"/>
            </w:tcBorders>
            <w:shd w:val="clear" w:color="FFFFFF" w:fill="auto"/>
            <w:vAlign w:val="bottom"/>
          </w:tcPr>
          <w:p w14:paraId="72BFDE80" w14:textId="77777777" w:rsidR="00E9668E" w:rsidRPr="008659FE" w:rsidRDefault="00E9668E" w:rsidP="00E9668E">
            <w:pPr>
              <w:spacing w:before="0" w:after="0" w:line="276" w:lineRule="auto"/>
              <w:rPr>
                <w:rFonts w:ascii="Arial" w:hAnsi="Arial"/>
                <w:b/>
                <w:sz w:val="16"/>
                <w:szCs w:val="16"/>
                <w:lang w:val="en-AU"/>
              </w:rPr>
            </w:pPr>
            <w:r w:rsidRPr="008659FE">
              <w:rPr>
                <w:rFonts w:ascii="Arial" w:hAnsi="Arial"/>
                <w:b/>
                <w:sz w:val="16"/>
                <w:szCs w:val="16"/>
                <w:lang w:val="en-AU"/>
              </w:rPr>
              <w:t>Airfield</w:t>
            </w:r>
            <w:r w:rsidRPr="008659FE">
              <w:rPr>
                <w:rFonts w:ascii="Arial" w:hAnsi="Arial"/>
                <w:b/>
                <w:bCs/>
                <w:sz w:val="16"/>
                <w:szCs w:val="16"/>
                <w:lang w:val="en-AU"/>
              </w:rPr>
              <w:t xml:space="preserve"> Capital Works P0010 (Amberley, Pearce, Richmond and Albatross)</w:t>
            </w:r>
            <w:r w:rsidRPr="008659FE">
              <w:rPr>
                <w:rFonts w:ascii="Arial" w:hAnsi="Arial"/>
                <w:b/>
                <w:bCs/>
                <w:sz w:val="16"/>
                <w:szCs w:val="16"/>
                <w:vertAlign w:val="superscript"/>
                <w:lang w:val="en-AU"/>
              </w:rPr>
              <w:t xml:space="preserve"> </w:t>
            </w:r>
          </w:p>
        </w:tc>
        <w:tc>
          <w:tcPr>
            <w:tcW w:w="1790" w:type="dxa"/>
            <w:tcBorders>
              <w:top w:val="nil"/>
              <w:left w:val="nil"/>
              <w:bottom w:val="nil"/>
              <w:right w:val="nil"/>
            </w:tcBorders>
            <w:shd w:val="clear" w:color="FFFFFF" w:fill="auto"/>
            <w:noWrap/>
            <w:vAlign w:val="center"/>
          </w:tcPr>
          <w:p w14:paraId="45C7CF02" w14:textId="77777777" w:rsidR="00E9668E" w:rsidRPr="00BA1388" w:rsidRDefault="00E9668E" w:rsidP="00E9668E">
            <w:pPr>
              <w:spacing w:before="0" w:after="0"/>
              <w:jc w:val="right"/>
              <w:rPr>
                <w:rFonts w:ascii="Arial" w:hAnsi="Arial"/>
                <w:sz w:val="16"/>
                <w:szCs w:val="16"/>
                <w:highlight w:val="yellow"/>
                <w:lang w:val="en-AU"/>
              </w:rPr>
            </w:pPr>
          </w:p>
        </w:tc>
        <w:tc>
          <w:tcPr>
            <w:tcW w:w="1191" w:type="dxa"/>
            <w:tcBorders>
              <w:top w:val="nil"/>
              <w:left w:val="nil"/>
              <w:bottom w:val="nil"/>
              <w:right w:val="nil"/>
            </w:tcBorders>
            <w:shd w:val="clear" w:color="FFFFFF" w:fill="auto"/>
            <w:noWrap/>
            <w:vAlign w:val="center"/>
          </w:tcPr>
          <w:p w14:paraId="1D5D58F8" w14:textId="77777777" w:rsidR="00E9668E" w:rsidRPr="00BA1388" w:rsidRDefault="00E9668E" w:rsidP="00E9668E">
            <w:pPr>
              <w:spacing w:before="0" w:after="0"/>
              <w:jc w:val="right"/>
              <w:rPr>
                <w:rFonts w:ascii="Arial" w:hAnsi="Arial"/>
                <w:sz w:val="16"/>
                <w:szCs w:val="16"/>
                <w:highlight w:val="yellow"/>
                <w:lang w:val="en-AU"/>
              </w:rPr>
            </w:pPr>
          </w:p>
        </w:tc>
        <w:tc>
          <w:tcPr>
            <w:tcW w:w="1413" w:type="dxa"/>
            <w:tcBorders>
              <w:top w:val="nil"/>
              <w:left w:val="nil"/>
              <w:bottom w:val="nil"/>
              <w:right w:val="nil"/>
            </w:tcBorders>
            <w:shd w:val="clear" w:color="FFFFFF" w:fill="auto"/>
            <w:noWrap/>
            <w:vAlign w:val="center"/>
          </w:tcPr>
          <w:p w14:paraId="212AE262" w14:textId="77777777" w:rsidR="00E9668E" w:rsidRPr="00BA1388" w:rsidRDefault="00E9668E" w:rsidP="00E9668E">
            <w:pPr>
              <w:spacing w:before="0" w:after="0"/>
              <w:jc w:val="right"/>
              <w:rPr>
                <w:rFonts w:ascii="Arial" w:hAnsi="Arial"/>
                <w:sz w:val="16"/>
                <w:szCs w:val="16"/>
                <w:highlight w:val="yellow"/>
                <w:lang w:val="en-AU"/>
              </w:rPr>
            </w:pPr>
          </w:p>
        </w:tc>
        <w:tc>
          <w:tcPr>
            <w:tcW w:w="1195" w:type="dxa"/>
            <w:tcBorders>
              <w:top w:val="nil"/>
              <w:left w:val="nil"/>
              <w:bottom w:val="nil"/>
              <w:right w:val="nil"/>
            </w:tcBorders>
            <w:shd w:val="clear" w:color="FFFFFF" w:fill="auto"/>
            <w:noWrap/>
            <w:vAlign w:val="center"/>
          </w:tcPr>
          <w:p w14:paraId="053B9D9A" w14:textId="77777777" w:rsidR="00E9668E" w:rsidRPr="00BA1388" w:rsidRDefault="00E9668E" w:rsidP="00E9668E">
            <w:pPr>
              <w:spacing w:before="0" w:after="0"/>
              <w:jc w:val="right"/>
              <w:rPr>
                <w:rFonts w:ascii="Arial" w:hAnsi="Arial"/>
                <w:sz w:val="16"/>
                <w:szCs w:val="16"/>
                <w:highlight w:val="yellow"/>
                <w:lang w:val="en-AU"/>
              </w:rPr>
            </w:pPr>
          </w:p>
        </w:tc>
      </w:tr>
      <w:tr w:rsidR="00E9668E" w:rsidRPr="00E9668E" w14:paraId="21FDC4AD" w14:textId="77777777" w:rsidTr="00F600B5">
        <w:trPr>
          <w:trHeight w:val="227"/>
        </w:trPr>
        <w:tc>
          <w:tcPr>
            <w:tcW w:w="3085" w:type="dxa"/>
            <w:tcBorders>
              <w:top w:val="nil"/>
              <w:left w:val="nil"/>
              <w:bottom w:val="nil"/>
              <w:right w:val="nil"/>
            </w:tcBorders>
            <w:shd w:val="clear" w:color="FFFFFF" w:fill="auto"/>
            <w:vAlign w:val="bottom"/>
          </w:tcPr>
          <w:p w14:paraId="062D0A21" w14:textId="77777777" w:rsidR="00E9668E" w:rsidRPr="00E9668E" w:rsidRDefault="00E9668E" w:rsidP="00E9668E">
            <w:pPr>
              <w:spacing w:before="0" w:after="0" w:line="276" w:lineRule="auto"/>
              <w:ind w:left="179"/>
              <w:rPr>
                <w:rFonts w:ascii="Arial" w:hAnsi="Arial"/>
                <w:sz w:val="16"/>
                <w:szCs w:val="16"/>
                <w:lang w:val="en-AU"/>
              </w:rPr>
            </w:pPr>
            <w:r w:rsidRPr="00E9668E">
              <w:rPr>
                <w:rFonts w:ascii="Arial" w:hAnsi="Arial"/>
                <w:sz w:val="16"/>
                <w:szCs w:val="16"/>
                <w:lang w:val="en-AU"/>
              </w:rPr>
              <w:t xml:space="preserve">HMAS </w:t>
            </w:r>
            <w:r w:rsidRPr="00E9668E">
              <w:rPr>
                <w:rFonts w:ascii="Arial" w:hAnsi="Arial"/>
                <w:i/>
                <w:sz w:val="16"/>
                <w:szCs w:val="16"/>
                <w:lang w:val="en-AU"/>
              </w:rPr>
              <w:t>Albatross</w:t>
            </w:r>
          </w:p>
        </w:tc>
        <w:tc>
          <w:tcPr>
            <w:tcW w:w="1790" w:type="dxa"/>
            <w:tcBorders>
              <w:top w:val="nil"/>
              <w:left w:val="nil"/>
              <w:bottom w:val="nil"/>
              <w:right w:val="nil"/>
            </w:tcBorders>
            <w:shd w:val="clear" w:color="FFFFFF" w:fill="auto"/>
            <w:noWrap/>
            <w:vAlign w:val="bottom"/>
          </w:tcPr>
          <w:p w14:paraId="08EA44FF" w14:textId="77777777" w:rsidR="00E9668E" w:rsidRPr="008659FE" w:rsidRDefault="00E9668E" w:rsidP="00E9668E">
            <w:pPr>
              <w:spacing w:before="0" w:after="0" w:line="276" w:lineRule="auto"/>
              <w:jc w:val="right"/>
              <w:rPr>
                <w:rFonts w:ascii="Arial" w:hAnsi="Arial"/>
                <w:sz w:val="16"/>
                <w:szCs w:val="16"/>
                <w:lang w:val="en-AU"/>
              </w:rPr>
            </w:pPr>
            <w:r w:rsidRPr="008659FE">
              <w:rPr>
                <w:rFonts w:ascii="Arial" w:hAnsi="Arial"/>
                <w:sz w:val="16"/>
                <w:szCs w:val="16"/>
                <w:lang w:val="en-AU"/>
              </w:rPr>
              <w:t>NSW - Gilmore</w:t>
            </w:r>
          </w:p>
        </w:tc>
        <w:tc>
          <w:tcPr>
            <w:tcW w:w="1191" w:type="dxa"/>
            <w:tcBorders>
              <w:top w:val="nil"/>
              <w:left w:val="nil"/>
              <w:bottom w:val="nil"/>
              <w:right w:val="nil"/>
            </w:tcBorders>
            <w:shd w:val="clear" w:color="FFFFFF" w:fill="auto"/>
            <w:noWrap/>
            <w:vAlign w:val="center"/>
          </w:tcPr>
          <w:p w14:paraId="1E65962C" w14:textId="77777777" w:rsidR="00E9668E" w:rsidRPr="00E9668E" w:rsidRDefault="00E9668E" w:rsidP="00E9668E">
            <w:pPr>
              <w:spacing w:before="0" w:after="0"/>
              <w:jc w:val="right"/>
              <w:rPr>
                <w:rFonts w:ascii="Arial" w:hAnsi="Arial"/>
                <w:sz w:val="16"/>
                <w:szCs w:val="16"/>
                <w:lang w:val="en-AU"/>
              </w:rPr>
            </w:pPr>
          </w:p>
        </w:tc>
        <w:tc>
          <w:tcPr>
            <w:tcW w:w="1413" w:type="dxa"/>
            <w:tcBorders>
              <w:top w:val="nil"/>
              <w:left w:val="nil"/>
              <w:bottom w:val="nil"/>
              <w:right w:val="nil"/>
            </w:tcBorders>
            <w:shd w:val="clear" w:color="FFFFFF" w:fill="auto"/>
            <w:noWrap/>
            <w:vAlign w:val="bottom"/>
          </w:tcPr>
          <w:p w14:paraId="3A3EDDEB" w14:textId="77777777" w:rsidR="00E9668E" w:rsidRPr="009E4B9D" w:rsidRDefault="00E9668E" w:rsidP="00E9668E">
            <w:pPr>
              <w:spacing w:before="0" w:after="0" w:line="276" w:lineRule="auto"/>
              <w:jc w:val="right"/>
              <w:rPr>
                <w:rFonts w:ascii="Arial" w:hAnsi="Arial"/>
                <w:sz w:val="16"/>
                <w:szCs w:val="16"/>
                <w:lang w:eastAsia="en-US"/>
              </w:rPr>
            </w:pPr>
            <w:r w:rsidRPr="009E4B9D">
              <w:rPr>
                <w:rFonts w:ascii="Arial" w:hAnsi="Arial"/>
                <w:sz w:val="16"/>
                <w:szCs w:val="16"/>
                <w:lang w:eastAsia="en-US"/>
              </w:rPr>
              <w:t>78.7</w:t>
            </w:r>
          </w:p>
        </w:tc>
        <w:tc>
          <w:tcPr>
            <w:tcW w:w="1195" w:type="dxa"/>
            <w:tcBorders>
              <w:top w:val="nil"/>
              <w:left w:val="nil"/>
              <w:bottom w:val="nil"/>
              <w:right w:val="nil"/>
            </w:tcBorders>
            <w:shd w:val="clear" w:color="FFFFFF" w:fill="auto"/>
            <w:noWrap/>
            <w:vAlign w:val="bottom"/>
          </w:tcPr>
          <w:p w14:paraId="18D4423C" w14:textId="77777777" w:rsidR="00E9668E" w:rsidRPr="009E4B9D" w:rsidRDefault="00E9668E" w:rsidP="00E9668E">
            <w:pPr>
              <w:spacing w:before="0" w:after="0" w:line="276" w:lineRule="auto"/>
              <w:jc w:val="right"/>
              <w:rPr>
                <w:rFonts w:ascii="Arial" w:hAnsi="Arial"/>
                <w:sz w:val="16"/>
                <w:szCs w:val="16"/>
                <w:lang w:eastAsia="en-US"/>
              </w:rPr>
            </w:pPr>
            <w:r w:rsidRPr="009E4B9D">
              <w:rPr>
                <w:rFonts w:ascii="Arial" w:hAnsi="Arial"/>
                <w:sz w:val="16"/>
                <w:szCs w:val="16"/>
                <w:lang w:eastAsia="en-US"/>
              </w:rPr>
              <w:t>30.6</w:t>
            </w:r>
          </w:p>
        </w:tc>
      </w:tr>
      <w:tr w:rsidR="00E9668E" w:rsidRPr="00E9668E" w14:paraId="46E36034" w14:textId="77777777" w:rsidTr="00F600B5">
        <w:trPr>
          <w:trHeight w:val="227"/>
        </w:trPr>
        <w:tc>
          <w:tcPr>
            <w:tcW w:w="3085" w:type="dxa"/>
            <w:tcBorders>
              <w:top w:val="nil"/>
              <w:left w:val="nil"/>
              <w:bottom w:val="nil"/>
              <w:right w:val="nil"/>
            </w:tcBorders>
            <w:shd w:val="clear" w:color="FFFFFF" w:fill="auto"/>
            <w:vAlign w:val="bottom"/>
          </w:tcPr>
          <w:p w14:paraId="1F6EE243" w14:textId="77777777" w:rsidR="00E9668E" w:rsidRPr="00E9668E" w:rsidRDefault="00E9668E" w:rsidP="00E9668E">
            <w:pPr>
              <w:spacing w:before="0" w:after="0" w:line="276" w:lineRule="auto"/>
              <w:ind w:left="179"/>
              <w:rPr>
                <w:rFonts w:ascii="Arial" w:hAnsi="Arial"/>
                <w:sz w:val="16"/>
                <w:szCs w:val="16"/>
                <w:lang w:val="en-AU"/>
              </w:rPr>
            </w:pPr>
            <w:r w:rsidRPr="00E9668E">
              <w:rPr>
                <w:rFonts w:ascii="Arial" w:hAnsi="Arial"/>
                <w:sz w:val="16"/>
                <w:szCs w:val="16"/>
                <w:lang w:val="en-AU"/>
              </w:rPr>
              <w:t>RAAF Richmond</w:t>
            </w:r>
          </w:p>
        </w:tc>
        <w:tc>
          <w:tcPr>
            <w:tcW w:w="1790" w:type="dxa"/>
            <w:tcBorders>
              <w:top w:val="nil"/>
              <w:left w:val="nil"/>
              <w:bottom w:val="nil"/>
              <w:right w:val="nil"/>
            </w:tcBorders>
            <w:shd w:val="clear" w:color="FFFFFF" w:fill="auto"/>
            <w:noWrap/>
            <w:vAlign w:val="bottom"/>
          </w:tcPr>
          <w:p w14:paraId="7BEAEDC4" w14:textId="77777777" w:rsidR="00E9668E" w:rsidRPr="008659FE" w:rsidRDefault="00E9668E" w:rsidP="00E9668E">
            <w:pPr>
              <w:spacing w:before="0" w:after="0" w:line="276" w:lineRule="auto"/>
              <w:jc w:val="right"/>
              <w:rPr>
                <w:rFonts w:ascii="Arial" w:hAnsi="Arial"/>
                <w:sz w:val="16"/>
                <w:szCs w:val="16"/>
                <w:lang w:val="en-AU"/>
              </w:rPr>
            </w:pPr>
            <w:r w:rsidRPr="008659FE">
              <w:rPr>
                <w:rFonts w:ascii="Arial" w:hAnsi="Arial"/>
                <w:sz w:val="16"/>
                <w:szCs w:val="16"/>
                <w:lang w:val="en-AU"/>
              </w:rPr>
              <w:t>NSW - Macquarie</w:t>
            </w:r>
          </w:p>
        </w:tc>
        <w:tc>
          <w:tcPr>
            <w:tcW w:w="1191" w:type="dxa"/>
            <w:tcBorders>
              <w:top w:val="nil"/>
              <w:left w:val="nil"/>
              <w:bottom w:val="nil"/>
              <w:right w:val="nil"/>
            </w:tcBorders>
            <w:shd w:val="clear" w:color="FFFFFF" w:fill="auto"/>
            <w:noWrap/>
            <w:vAlign w:val="center"/>
          </w:tcPr>
          <w:p w14:paraId="7EB078B4" w14:textId="77777777" w:rsidR="00E9668E" w:rsidRPr="00E9668E" w:rsidRDefault="00E9668E" w:rsidP="00E9668E">
            <w:pPr>
              <w:spacing w:before="0" w:after="0"/>
              <w:jc w:val="right"/>
              <w:rPr>
                <w:rFonts w:ascii="Arial" w:hAnsi="Arial"/>
                <w:sz w:val="16"/>
                <w:szCs w:val="16"/>
                <w:lang w:val="en-AU"/>
              </w:rPr>
            </w:pPr>
          </w:p>
        </w:tc>
        <w:tc>
          <w:tcPr>
            <w:tcW w:w="1413" w:type="dxa"/>
            <w:tcBorders>
              <w:top w:val="nil"/>
              <w:left w:val="nil"/>
              <w:bottom w:val="nil"/>
              <w:right w:val="nil"/>
            </w:tcBorders>
            <w:shd w:val="clear" w:color="FFFFFF" w:fill="auto"/>
            <w:noWrap/>
            <w:vAlign w:val="bottom"/>
          </w:tcPr>
          <w:p w14:paraId="53137F03" w14:textId="77777777" w:rsidR="00E9668E" w:rsidRPr="009E4B9D" w:rsidRDefault="00E9668E" w:rsidP="00E9668E">
            <w:pPr>
              <w:spacing w:before="0" w:after="0" w:line="276" w:lineRule="auto"/>
              <w:jc w:val="right"/>
              <w:rPr>
                <w:rFonts w:ascii="Arial" w:hAnsi="Arial"/>
                <w:sz w:val="16"/>
                <w:szCs w:val="16"/>
                <w:lang w:eastAsia="en-US"/>
              </w:rPr>
            </w:pPr>
            <w:r w:rsidRPr="009E4B9D">
              <w:rPr>
                <w:rFonts w:ascii="Arial" w:hAnsi="Arial"/>
                <w:sz w:val="16"/>
                <w:szCs w:val="16"/>
                <w:lang w:eastAsia="en-US"/>
              </w:rPr>
              <w:t>57.9</w:t>
            </w:r>
          </w:p>
        </w:tc>
        <w:tc>
          <w:tcPr>
            <w:tcW w:w="1195" w:type="dxa"/>
            <w:tcBorders>
              <w:top w:val="nil"/>
              <w:left w:val="nil"/>
              <w:bottom w:val="nil"/>
              <w:right w:val="nil"/>
            </w:tcBorders>
            <w:shd w:val="clear" w:color="FFFFFF" w:fill="auto"/>
            <w:noWrap/>
            <w:vAlign w:val="bottom"/>
          </w:tcPr>
          <w:p w14:paraId="2DFC660A" w14:textId="77777777" w:rsidR="00E9668E" w:rsidRPr="009E4B9D" w:rsidRDefault="00E9668E" w:rsidP="00E9668E">
            <w:pPr>
              <w:spacing w:before="0" w:after="0" w:line="276" w:lineRule="auto"/>
              <w:jc w:val="right"/>
              <w:rPr>
                <w:rFonts w:ascii="Arial" w:hAnsi="Arial"/>
                <w:sz w:val="16"/>
                <w:szCs w:val="16"/>
                <w:lang w:eastAsia="en-US"/>
              </w:rPr>
            </w:pPr>
            <w:r w:rsidRPr="009E4B9D">
              <w:rPr>
                <w:rFonts w:ascii="Arial" w:hAnsi="Arial"/>
                <w:sz w:val="16"/>
                <w:szCs w:val="16"/>
                <w:lang w:eastAsia="en-US"/>
              </w:rPr>
              <w:t>23.4</w:t>
            </w:r>
          </w:p>
        </w:tc>
      </w:tr>
      <w:tr w:rsidR="00E9668E" w:rsidRPr="00E9668E" w14:paraId="671AA427" w14:textId="77777777" w:rsidTr="00F600B5">
        <w:trPr>
          <w:trHeight w:val="227"/>
        </w:trPr>
        <w:tc>
          <w:tcPr>
            <w:tcW w:w="3085" w:type="dxa"/>
            <w:tcBorders>
              <w:top w:val="nil"/>
              <w:left w:val="nil"/>
              <w:bottom w:val="nil"/>
              <w:right w:val="nil"/>
            </w:tcBorders>
            <w:shd w:val="clear" w:color="FFFFFF" w:fill="auto"/>
            <w:vAlign w:val="bottom"/>
          </w:tcPr>
          <w:p w14:paraId="1BEE8B2D" w14:textId="77777777" w:rsidR="00E9668E" w:rsidRPr="00E9668E" w:rsidRDefault="00E9668E" w:rsidP="00E9668E">
            <w:pPr>
              <w:spacing w:before="0" w:after="0" w:line="276" w:lineRule="auto"/>
              <w:ind w:left="179"/>
              <w:rPr>
                <w:rFonts w:ascii="Arial" w:hAnsi="Arial"/>
                <w:sz w:val="16"/>
                <w:szCs w:val="16"/>
                <w:lang w:val="en-AU"/>
              </w:rPr>
            </w:pPr>
            <w:r w:rsidRPr="00E9668E">
              <w:rPr>
                <w:rFonts w:ascii="Arial" w:hAnsi="Arial"/>
                <w:sz w:val="16"/>
                <w:szCs w:val="16"/>
                <w:lang w:val="en-AU"/>
              </w:rPr>
              <w:t>RAAF Amberley</w:t>
            </w:r>
          </w:p>
        </w:tc>
        <w:tc>
          <w:tcPr>
            <w:tcW w:w="1790" w:type="dxa"/>
            <w:tcBorders>
              <w:top w:val="nil"/>
              <w:left w:val="nil"/>
              <w:bottom w:val="nil"/>
              <w:right w:val="nil"/>
            </w:tcBorders>
            <w:shd w:val="clear" w:color="FFFFFF" w:fill="auto"/>
            <w:noWrap/>
            <w:vAlign w:val="bottom"/>
          </w:tcPr>
          <w:p w14:paraId="295E007C" w14:textId="77777777" w:rsidR="00E9668E" w:rsidRPr="008659FE" w:rsidRDefault="00E9668E" w:rsidP="00E9668E">
            <w:pPr>
              <w:spacing w:before="0" w:after="0" w:line="276" w:lineRule="auto"/>
              <w:jc w:val="right"/>
              <w:rPr>
                <w:rFonts w:ascii="Arial" w:hAnsi="Arial"/>
                <w:sz w:val="16"/>
                <w:szCs w:val="16"/>
                <w:lang w:val="en-AU"/>
              </w:rPr>
            </w:pPr>
            <w:r w:rsidRPr="008659FE">
              <w:rPr>
                <w:rFonts w:ascii="Arial" w:hAnsi="Arial"/>
                <w:sz w:val="16"/>
                <w:szCs w:val="16"/>
                <w:lang w:val="en-AU"/>
              </w:rPr>
              <w:t>QLD - Blair</w:t>
            </w:r>
          </w:p>
        </w:tc>
        <w:tc>
          <w:tcPr>
            <w:tcW w:w="1191" w:type="dxa"/>
            <w:tcBorders>
              <w:top w:val="nil"/>
              <w:left w:val="nil"/>
              <w:bottom w:val="nil"/>
              <w:right w:val="nil"/>
            </w:tcBorders>
            <w:shd w:val="clear" w:color="FFFFFF" w:fill="auto"/>
            <w:noWrap/>
            <w:vAlign w:val="center"/>
          </w:tcPr>
          <w:p w14:paraId="1645654C" w14:textId="77777777" w:rsidR="00E9668E" w:rsidRPr="00E9668E" w:rsidRDefault="00E9668E" w:rsidP="00E9668E">
            <w:pPr>
              <w:spacing w:before="0" w:after="0"/>
              <w:jc w:val="right"/>
              <w:rPr>
                <w:rFonts w:ascii="Arial" w:hAnsi="Arial"/>
                <w:sz w:val="16"/>
                <w:szCs w:val="16"/>
                <w:lang w:val="en-AU"/>
              </w:rPr>
            </w:pPr>
          </w:p>
        </w:tc>
        <w:tc>
          <w:tcPr>
            <w:tcW w:w="1413" w:type="dxa"/>
            <w:tcBorders>
              <w:top w:val="nil"/>
              <w:left w:val="nil"/>
              <w:bottom w:val="nil"/>
              <w:right w:val="nil"/>
            </w:tcBorders>
            <w:shd w:val="clear" w:color="FFFFFF" w:fill="auto"/>
            <w:noWrap/>
            <w:vAlign w:val="bottom"/>
          </w:tcPr>
          <w:p w14:paraId="7F4BDCB0" w14:textId="77777777" w:rsidR="00E9668E" w:rsidRPr="009E4B9D" w:rsidRDefault="00E9668E" w:rsidP="00E9668E">
            <w:pPr>
              <w:spacing w:before="0" w:after="0" w:line="276" w:lineRule="auto"/>
              <w:jc w:val="right"/>
              <w:rPr>
                <w:rFonts w:ascii="Arial" w:hAnsi="Arial"/>
                <w:sz w:val="16"/>
                <w:szCs w:val="16"/>
                <w:lang w:eastAsia="en-US"/>
              </w:rPr>
            </w:pPr>
            <w:r w:rsidRPr="009E4B9D">
              <w:rPr>
                <w:rFonts w:ascii="Arial" w:hAnsi="Arial"/>
                <w:sz w:val="16"/>
                <w:szCs w:val="16"/>
                <w:lang w:eastAsia="en-US"/>
              </w:rPr>
              <w:t>92.8</w:t>
            </w:r>
          </w:p>
        </w:tc>
        <w:tc>
          <w:tcPr>
            <w:tcW w:w="1195" w:type="dxa"/>
            <w:tcBorders>
              <w:top w:val="nil"/>
              <w:left w:val="nil"/>
              <w:bottom w:val="nil"/>
              <w:right w:val="nil"/>
            </w:tcBorders>
            <w:shd w:val="clear" w:color="FFFFFF" w:fill="auto"/>
            <w:noWrap/>
            <w:vAlign w:val="bottom"/>
          </w:tcPr>
          <w:p w14:paraId="1C5E421A" w14:textId="77777777" w:rsidR="00E9668E" w:rsidRPr="009E4B9D" w:rsidRDefault="00E9668E" w:rsidP="00E9668E">
            <w:pPr>
              <w:spacing w:before="0" w:after="0" w:line="276" w:lineRule="auto"/>
              <w:jc w:val="right"/>
              <w:rPr>
                <w:rFonts w:ascii="Arial" w:hAnsi="Arial"/>
                <w:sz w:val="16"/>
                <w:szCs w:val="16"/>
                <w:lang w:eastAsia="en-US"/>
              </w:rPr>
            </w:pPr>
            <w:r w:rsidRPr="009E4B9D">
              <w:rPr>
                <w:rFonts w:ascii="Arial" w:hAnsi="Arial"/>
                <w:sz w:val="16"/>
                <w:szCs w:val="16"/>
                <w:lang w:eastAsia="en-US"/>
              </w:rPr>
              <w:t>-</w:t>
            </w:r>
          </w:p>
        </w:tc>
      </w:tr>
      <w:tr w:rsidR="00E9668E" w:rsidRPr="00E9668E" w14:paraId="4E0BC4D1" w14:textId="77777777" w:rsidTr="00F600B5">
        <w:trPr>
          <w:trHeight w:val="227"/>
        </w:trPr>
        <w:tc>
          <w:tcPr>
            <w:tcW w:w="3085" w:type="dxa"/>
            <w:tcBorders>
              <w:top w:val="nil"/>
              <w:left w:val="nil"/>
              <w:bottom w:val="nil"/>
              <w:right w:val="nil"/>
            </w:tcBorders>
            <w:shd w:val="clear" w:color="FFFFFF" w:fill="auto"/>
            <w:vAlign w:val="bottom"/>
          </w:tcPr>
          <w:p w14:paraId="04185BAA" w14:textId="77777777" w:rsidR="00E9668E" w:rsidRPr="00E9668E" w:rsidRDefault="00E9668E" w:rsidP="00E9668E">
            <w:pPr>
              <w:spacing w:before="0" w:after="0" w:line="276" w:lineRule="auto"/>
              <w:ind w:left="179"/>
              <w:rPr>
                <w:rFonts w:ascii="Arial" w:hAnsi="Arial"/>
                <w:sz w:val="16"/>
                <w:szCs w:val="16"/>
                <w:lang w:val="en-AU"/>
              </w:rPr>
            </w:pPr>
            <w:r w:rsidRPr="00E9668E">
              <w:rPr>
                <w:rFonts w:ascii="Arial" w:hAnsi="Arial"/>
                <w:sz w:val="16"/>
                <w:szCs w:val="16"/>
                <w:lang w:val="en-AU"/>
              </w:rPr>
              <w:t>RAAF Pearce</w:t>
            </w:r>
          </w:p>
        </w:tc>
        <w:tc>
          <w:tcPr>
            <w:tcW w:w="1790" w:type="dxa"/>
            <w:tcBorders>
              <w:top w:val="nil"/>
              <w:left w:val="nil"/>
              <w:bottom w:val="nil"/>
              <w:right w:val="nil"/>
            </w:tcBorders>
            <w:shd w:val="clear" w:color="FFFFFF" w:fill="auto"/>
            <w:noWrap/>
            <w:vAlign w:val="bottom"/>
          </w:tcPr>
          <w:p w14:paraId="35814706" w14:textId="77777777" w:rsidR="00E9668E" w:rsidRPr="008659FE" w:rsidRDefault="00E9668E" w:rsidP="00E9668E">
            <w:pPr>
              <w:spacing w:before="0" w:after="0" w:line="276" w:lineRule="auto"/>
              <w:jc w:val="right"/>
              <w:rPr>
                <w:rFonts w:ascii="Arial" w:hAnsi="Arial"/>
                <w:sz w:val="16"/>
                <w:szCs w:val="16"/>
                <w:lang w:val="en-AU"/>
              </w:rPr>
            </w:pPr>
            <w:r w:rsidRPr="008659FE">
              <w:rPr>
                <w:rFonts w:ascii="Arial" w:hAnsi="Arial"/>
                <w:sz w:val="16"/>
                <w:szCs w:val="16"/>
                <w:lang w:val="en-AU"/>
              </w:rPr>
              <w:t>WA - Pearce</w:t>
            </w:r>
          </w:p>
        </w:tc>
        <w:tc>
          <w:tcPr>
            <w:tcW w:w="1191" w:type="dxa"/>
            <w:tcBorders>
              <w:top w:val="nil"/>
              <w:left w:val="nil"/>
              <w:bottom w:val="nil"/>
              <w:right w:val="nil"/>
            </w:tcBorders>
            <w:shd w:val="clear" w:color="FFFFFF" w:fill="auto"/>
            <w:noWrap/>
            <w:vAlign w:val="center"/>
          </w:tcPr>
          <w:p w14:paraId="3B8E88D9" w14:textId="77777777" w:rsidR="00E9668E" w:rsidRPr="00E9668E" w:rsidRDefault="00E9668E" w:rsidP="00E9668E">
            <w:pPr>
              <w:spacing w:before="0" w:after="0"/>
              <w:jc w:val="right"/>
              <w:rPr>
                <w:rFonts w:ascii="Arial" w:hAnsi="Arial"/>
                <w:sz w:val="16"/>
                <w:szCs w:val="16"/>
                <w:lang w:val="en-AU"/>
              </w:rPr>
            </w:pPr>
          </w:p>
        </w:tc>
        <w:tc>
          <w:tcPr>
            <w:tcW w:w="1413" w:type="dxa"/>
            <w:tcBorders>
              <w:top w:val="nil"/>
              <w:left w:val="nil"/>
              <w:bottom w:val="nil"/>
              <w:right w:val="nil"/>
            </w:tcBorders>
            <w:shd w:val="clear" w:color="FFFFFF" w:fill="auto"/>
            <w:noWrap/>
            <w:vAlign w:val="bottom"/>
          </w:tcPr>
          <w:p w14:paraId="6624B43D" w14:textId="77777777" w:rsidR="00E9668E" w:rsidRPr="009E4B9D" w:rsidRDefault="00E9668E" w:rsidP="00E9668E">
            <w:pPr>
              <w:spacing w:before="0" w:after="0" w:line="276" w:lineRule="auto"/>
              <w:jc w:val="right"/>
              <w:rPr>
                <w:rFonts w:ascii="Arial" w:hAnsi="Arial"/>
                <w:sz w:val="16"/>
                <w:szCs w:val="16"/>
                <w:lang w:eastAsia="en-US"/>
              </w:rPr>
            </w:pPr>
            <w:r w:rsidRPr="009E4B9D">
              <w:rPr>
                <w:rFonts w:ascii="Arial" w:hAnsi="Arial"/>
                <w:sz w:val="16"/>
                <w:szCs w:val="16"/>
                <w:lang w:eastAsia="en-US"/>
              </w:rPr>
              <w:t>107.4</w:t>
            </w:r>
          </w:p>
        </w:tc>
        <w:tc>
          <w:tcPr>
            <w:tcW w:w="1195" w:type="dxa"/>
            <w:tcBorders>
              <w:top w:val="nil"/>
              <w:left w:val="nil"/>
              <w:bottom w:val="nil"/>
              <w:right w:val="nil"/>
            </w:tcBorders>
            <w:shd w:val="clear" w:color="FFFFFF" w:fill="auto"/>
            <w:noWrap/>
            <w:vAlign w:val="bottom"/>
          </w:tcPr>
          <w:p w14:paraId="292365F9" w14:textId="77777777" w:rsidR="00E9668E" w:rsidRPr="009E4B9D" w:rsidRDefault="00E9668E" w:rsidP="00E9668E">
            <w:pPr>
              <w:spacing w:before="0" w:after="0" w:line="276" w:lineRule="auto"/>
              <w:jc w:val="right"/>
              <w:rPr>
                <w:rFonts w:ascii="Arial" w:hAnsi="Arial"/>
                <w:sz w:val="16"/>
                <w:szCs w:val="16"/>
                <w:lang w:eastAsia="en-US"/>
              </w:rPr>
            </w:pPr>
            <w:r w:rsidRPr="009E4B9D">
              <w:rPr>
                <w:rFonts w:ascii="Arial" w:hAnsi="Arial"/>
                <w:sz w:val="16"/>
                <w:szCs w:val="16"/>
                <w:lang w:eastAsia="en-US"/>
              </w:rPr>
              <w:t>9.5</w:t>
            </w:r>
          </w:p>
        </w:tc>
      </w:tr>
      <w:tr w:rsidR="00E9668E" w:rsidRPr="00BA1388" w14:paraId="2F540455" w14:textId="77777777" w:rsidTr="007D0CFE">
        <w:trPr>
          <w:trHeight w:val="227"/>
        </w:trPr>
        <w:tc>
          <w:tcPr>
            <w:tcW w:w="3085" w:type="dxa"/>
            <w:tcBorders>
              <w:top w:val="nil"/>
              <w:left w:val="nil"/>
              <w:bottom w:val="single" w:sz="4" w:space="0" w:color="auto"/>
              <w:right w:val="nil"/>
            </w:tcBorders>
            <w:shd w:val="clear" w:color="FFFFFF" w:fill="auto"/>
            <w:vAlign w:val="center"/>
          </w:tcPr>
          <w:p w14:paraId="348A6B14" w14:textId="77777777" w:rsidR="00E9668E" w:rsidRPr="00E9668E" w:rsidRDefault="00E9668E" w:rsidP="00E9668E">
            <w:pPr>
              <w:spacing w:before="0" w:after="0"/>
              <w:ind w:left="9"/>
              <w:rPr>
                <w:rFonts w:ascii="Arial" w:hAnsi="Arial"/>
                <w:sz w:val="16"/>
                <w:szCs w:val="16"/>
                <w:lang w:val="en-AU"/>
              </w:rPr>
            </w:pPr>
            <w:r w:rsidRPr="00E9668E">
              <w:rPr>
                <w:rFonts w:ascii="Arial" w:hAnsi="Arial"/>
                <w:b/>
                <w:sz w:val="16"/>
                <w:szCs w:val="16"/>
                <w:lang w:val="en-AU"/>
              </w:rPr>
              <w:t>Total</w:t>
            </w:r>
          </w:p>
        </w:tc>
        <w:tc>
          <w:tcPr>
            <w:tcW w:w="1790" w:type="dxa"/>
            <w:tcBorders>
              <w:top w:val="nil"/>
              <w:left w:val="nil"/>
              <w:bottom w:val="single" w:sz="4" w:space="0" w:color="auto"/>
              <w:right w:val="nil"/>
            </w:tcBorders>
            <w:shd w:val="clear" w:color="FFFFFF" w:fill="auto"/>
            <w:noWrap/>
            <w:vAlign w:val="center"/>
          </w:tcPr>
          <w:p w14:paraId="3D3AC059" w14:textId="77777777" w:rsidR="00E9668E" w:rsidRPr="00E9668E" w:rsidRDefault="00E9668E" w:rsidP="00E9668E">
            <w:pPr>
              <w:spacing w:before="0" w:after="0"/>
              <w:jc w:val="right"/>
              <w:rPr>
                <w:rFonts w:ascii="Arial" w:hAnsi="Arial"/>
                <w:sz w:val="16"/>
                <w:szCs w:val="16"/>
                <w:lang w:val="en-AU"/>
              </w:rPr>
            </w:pPr>
          </w:p>
        </w:tc>
        <w:tc>
          <w:tcPr>
            <w:tcW w:w="1191" w:type="dxa"/>
            <w:tcBorders>
              <w:top w:val="nil"/>
              <w:left w:val="nil"/>
              <w:bottom w:val="single" w:sz="4" w:space="0" w:color="auto"/>
              <w:right w:val="nil"/>
            </w:tcBorders>
            <w:shd w:val="clear" w:color="FFFFFF" w:fill="auto"/>
            <w:noWrap/>
            <w:vAlign w:val="center"/>
          </w:tcPr>
          <w:p w14:paraId="11F1E742" w14:textId="77777777" w:rsidR="00E9668E" w:rsidRPr="00E9668E" w:rsidRDefault="00E9668E" w:rsidP="00E9668E">
            <w:pPr>
              <w:spacing w:before="0" w:after="0"/>
              <w:jc w:val="right"/>
              <w:rPr>
                <w:rFonts w:ascii="Arial" w:hAnsi="Arial"/>
                <w:b/>
                <w:sz w:val="16"/>
                <w:szCs w:val="16"/>
                <w:lang w:val="en-AU"/>
              </w:rPr>
            </w:pPr>
            <w:r w:rsidRPr="00E9668E">
              <w:rPr>
                <w:rFonts w:ascii="Arial" w:hAnsi="Arial"/>
                <w:b/>
                <w:sz w:val="16"/>
                <w:szCs w:val="16"/>
                <w:lang w:val="en-AU"/>
              </w:rPr>
              <w:t>427.9</w:t>
            </w:r>
          </w:p>
        </w:tc>
        <w:tc>
          <w:tcPr>
            <w:tcW w:w="1413" w:type="dxa"/>
            <w:tcBorders>
              <w:top w:val="nil"/>
              <w:left w:val="nil"/>
              <w:bottom w:val="single" w:sz="4" w:space="0" w:color="auto"/>
              <w:right w:val="nil"/>
            </w:tcBorders>
            <w:shd w:val="clear" w:color="FFFFFF" w:fill="auto"/>
            <w:noWrap/>
            <w:vAlign w:val="bottom"/>
          </w:tcPr>
          <w:p w14:paraId="0841890D" w14:textId="77777777" w:rsidR="00E9668E" w:rsidRPr="009E4B9D" w:rsidRDefault="00E9668E" w:rsidP="00E9668E">
            <w:pPr>
              <w:spacing w:before="0" w:after="0" w:line="276" w:lineRule="auto"/>
              <w:jc w:val="right"/>
              <w:rPr>
                <w:rFonts w:ascii="Arial" w:hAnsi="Arial"/>
                <w:b/>
                <w:sz w:val="16"/>
                <w:szCs w:val="16"/>
                <w:lang w:eastAsia="en-US"/>
              </w:rPr>
            </w:pPr>
            <w:r w:rsidRPr="009E4B9D">
              <w:rPr>
                <w:rFonts w:ascii="Arial" w:hAnsi="Arial"/>
                <w:b/>
                <w:sz w:val="16"/>
                <w:szCs w:val="16"/>
                <w:lang w:eastAsia="en-US"/>
              </w:rPr>
              <w:t>336.9</w:t>
            </w:r>
          </w:p>
        </w:tc>
        <w:tc>
          <w:tcPr>
            <w:tcW w:w="1195" w:type="dxa"/>
            <w:tcBorders>
              <w:top w:val="nil"/>
              <w:left w:val="nil"/>
              <w:bottom w:val="single" w:sz="4" w:space="0" w:color="auto"/>
              <w:right w:val="nil"/>
            </w:tcBorders>
            <w:shd w:val="clear" w:color="FFFFFF" w:fill="auto"/>
            <w:noWrap/>
            <w:vAlign w:val="bottom"/>
          </w:tcPr>
          <w:p w14:paraId="5533626E" w14:textId="77777777" w:rsidR="00E9668E" w:rsidRPr="009E4B9D" w:rsidRDefault="00E9668E" w:rsidP="00E9668E">
            <w:pPr>
              <w:spacing w:before="0" w:after="0" w:line="276" w:lineRule="auto"/>
              <w:jc w:val="right"/>
              <w:rPr>
                <w:rFonts w:ascii="Arial" w:hAnsi="Arial"/>
                <w:b/>
                <w:sz w:val="16"/>
                <w:szCs w:val="16"/>
                <w:lang w:eastAsia="en-US"/>
              </w:rPr>
            </w:pPr>
            <w:r w:rsidRPr="009E4B9D">
              <w:rPr>
                <w:rFonts w:ascii="Arial" w:hAnsi="Arial"/>
                <w:b/>
                <w:sz w:val="16"/>
                <w:szCs w:val="16"/>
                <w:lang w:eastAsia="en-US"/>
              </w:rPr>
              <w:t>63.6</w:t>
            </w:r>
          </w:p>
        </w:tc>
      </w:tr>
      <w:tr w:rsidR="00E9668E" w:rsidRPr="00BA1388" w14:paraId="2B92AD97" w14:textId="77777777" w:rsidTr="007D0CFE">
        <w:trPr>
          <w:trHeight w:val="227"/>
        </w:trPr>
        <w:tc>
          <w:tcPr>
            <w:tcW w:w="3085" w:type="dxa"/>
            <w:tcBorders>
              <w:top w:val="single" w:sz="4" w:space="0" w:color="auto"/>
              <w:left w:val="nil"/>
              <w:bottom w:val="nil"/>
              <w:right w:val="nil"/>
            </w:tcBorders>
            <w:shd w:val="clear" w:color="FFFFFF" w:fill="auto"/>
            <w:vAlign w:val="center"/>
          </w:tcPr>
          <w:p w14:paraId="4536F9B6" w14:textId="77777777" w:rsidR="00E9668E" w:rsidRPr="00E9668E" w:rsidRDefault="007D0CFE" w:rsidP="00E9668E">
            <w:pPr>
              <w:spacing w:before="0" w:after="0"/>
              <w:rPr>
                <w:rFonts w:ascii="Arial" w:hAnsi="Arial"/>
                <w:b/>
                <w:sz w:val="16"/>
                <w:szCs w:val="16"/>
                <w:lang w:val="en-AU"/>
              </w:rPr>
            </w:pPr>
            <w:r w:rsidRPr="008659FE">
              <w:rPr>
                <w:rFonts w:ascii="Arial" w:hAnsi="Arial"/>
                <w:b/>
                <w:sz w:val="16"/>
                <w:szCs w:val="16"/>
                <w:lang w:val="en-AU"/>
              </w:rPr>
              <w:t>Facilities to Support AIR 7000 Phase 1B Remotely Piloted Aircraft System</w:t>
            </w:r>
          </w:p>
        </w:tc>
        <w:tc>
          <w:tcPr>
            <w:tcW w:w="1790" w:type="dxa"/>
            <w:tcBorders>
              <w:top w:val="single" w:sz="4" w:space="0" w:color="auto"/>
              <w:left w:val="nil"/>
              <w:bottom w:val="nil"/>
              <w:right w:val="nil"/>
            </w:tcBorders>
            <w:shd w:val="clear" w:color="FFFFFF" w:fill="auto"/>
            <w:noWrap/>
            <w:vAlign w:val="center"/>
          </w:tcPr>
          <w:p w14:paraId="691683DF" w14:textId="77777777" w:rsidR="00E9668E" w:rsidRPr="00E9668E" w:rsidRDefault="00E9668E" w:rsidP="00E9668E">
            <w:pPr>
              <w:spacing w:before="0" w:after="0"/>
              <w:jc w:val="right"/>
              <w:rPr>
                <w:rFonts w:ascii="Arial" w:hAnsi="Arial"/>
                <w:sz w:val="16"/>
                <w:szCs w:val="16"/>
                <w:lang w:val="en-AU"/>
              </w:rPr>
            </w:pPr>
          </w:p>
        </w:tc>
        <w:tc>
          <w:tcPr>
            <w:tcW w:w="1191" w:type="dxa"/>
            <w:tcBorders>
              <w:top w:val="single" w:sz="4" w:space="0" w:color="auto"/>
              <w:left w:val="nil"/>
              <w:bottom w:val="nil"/>
              <w:right w:val="nil"/>
            </w:tcBorders>
            <w:shd w:val="clear" w:color="FFFFFF" w:fill="auto"/>
            <w:noWrap/>
            <w:vAlign w:val="center"/>
          </w:tcPr>
          <w:p w14:paraId="1FCDEA2A" w14:textId="77777777" w:rsidR="00E9668E" w:rsidRPr="00E9668E" w:rsidRDefault="00E9668E" w:rsidP="00E9668E">
            <w:pPr>
              <w:spacing w:before="0" w:after="0"/>
              <w:jc w:val="right"/>
              <w:rPr>
                <w:rFonts w:ascii="Arial" w:hAnsi="Arial"/>
                <w:sz w:val="16"/>
                <w:szCs w:val="16"/>
                <w:lang w:val="en-AU"/>
              </w:rPr>
            </w:pPr>
          </w:p>
        </w:tc>
        <w:tc>
          <w:tcPr>
            <w:tcW w:w="1413" w:type="dxa"/>
            <w:tcBorders>
              <w:top w:val="single" w:sz="4" w:space="0" w:color="auto"/>
              <w:left w:val="nil"/>
              <w:bottom w:val="nil"/>
              <w:right w:val="nil"/>
            </w:tcBorders>
            <w:shd w:val="clear" w:color="FFFFFF" w:fill="auto"/>
            <w:noWrap/>
            <w:vAlign w:val="center"/>
          </w:tcPr>
          <w:p w14:paraId="399D132B" w14:textId="77777777" w:rsidR="00E9668E" w:rsidRPr="00E9668E" w:rsidRDefault="00E9668E" w:rsidP="00E9668E">
            <w:pPr>
              <w:spacing w:before="0" w:after="0"/>
              <w:jc w:val="right"/>
              <w:rPr>
                <w:rFonts w:ascii="Arial" w:hAnsi="Arial"/>
                <w:sz w:val="16"/>
                <w:szCs w:val="16"/>
                <w:lang w:val="en-AU"/>
              </w:rPr>
            </w:pPr>
          </w:p>
        </w:tc>
        <w:tc>
          <w:tcPr>
            <w:tcW w:w="1195" w:type="dxa"/>
            <w:tcBorders>
              <w:top w:val="single" w:sz="4" w:space="0" w:color="auto"/>
              <w:left w:val="nil"/>
              <w:bottom w:val="nil"/>
              <w:right w:val="nil"/>
            </w:tcBorders>
            <w:shd w:val="clear" w:color="FFFFFF" w:fill="auto"/>
            <w:noWrap/>
            <w:vAlign w:val="center"/>
          </w:tcPr>
          <w:p w14:paraId="59F51E27" w14:textId="77777777" w:rsidR="00E9668E" w:rsidRPr="00E9668E" w:rsidRDefault="00E9668E" w:rsidP="00E9668E">
            <w:pPr>
              <w:spacing w:before="0" w:after="0"/>
              <w:jc w:val="right"/>
              <w:rPr>
                <w:rFonts w:ascii="Arial" w:hAnsi="Arial"/>
                <w:sz w:val="16"/>
                <w:szCs w:val="16"/>
                <w:lang w:val="en-AU"/>
              </w:rPr>
            </w:pPr>
          </w:p>
        </w:tc>
      </w:tr>
      <w:tr w:rsidR="007D0CFE" w:rsidRPr="00BA1388" w14:paraId="1107ACED" w14:textId="77777777" w:rsidTr="00F600B5">
        <w:trPr>
          <w:trHeight w:val="227"/>
        </w:trPr>
        <w:tc>
          <w:tcPr>
            <w:tcW w:w="3085" w:type="dxa"/>
            <w:tcBorders>
              <w:top w:val="nil"/>
              <w:left w:val="nil"/>
              <w:bottom w:val="nil"/>
              <w:right w:val="nil"/>
            </w:tcBorders>
            <w:shd w:val="clear" w:color="FFFFFF" w:fill="auto"/>
            <w:vAlign w:val="bottom"/>
          </w:tcPr>
          <w:p w14:paraId="351A3127" w14:textId="77777777" w:rsidR="007D0CFE" w:rsidRPr="008659FE" w:rsidRDefault="007D0CFE" w:rsidP="007D0CFE">
            <w:pPr>
              <w:spacing w:before="0" w:after="0" w:line="276" w:lineRule="auto"/>
              <w:ind w:left="179"/>
              <w:rPr>
                <w:rFonts w:ascii="Arial" w:hAnsi="Arial"/>
                <w:sz w:val="16"/>
                <w:szCs w:val="16"/>
                <w:lang w:val="en-AU"/>
              </w:rPr>
            </w:pPr>
            <w:r w:rsidRPr="008659FE">
              <w:rPr>
                <w:rFonts w:ascii="Arial" w:hAnsi="Arial"/>
                <w:sz w:val="16"/>
                <w:szCs w:val="16"/>
                <w:lang w:val="en-AU"/>
              </w:rPr>
              <w:t>RAAF Tindal</w:t>
            </w:r>
          </w:p>
        </w:tc>
        <w:tc>
          <w:tcPr>
            <w:tcW w:w="1790" w:type="dxa"/>
            <w:tcBorders>
              <w:top w:val="nil"/>
              <w:left w:val="nil"/>
              <w:bottom w:val="nil"/>
              <w:right w:val="nil"/>
            </w:tcBorders>
            <w:shd w:val="clear" w:color="FFFFFF" w:fill="auto"/>
            <w:noWrap/>
            <w:vAlign w:val="bottom"/>
          </w:tcPr>
          <w:p w14:paraId="48DC80F4" w14:textId="77777777" w:rsidR="007D0CFE" w:rsidRPr="008659FE" w:rsidRDefault="007D0CFE" w:rsidP="007D0CFE">
            <w:pPr>
              <w:spacing w:before="0" w:after="0" w:line="276" w:lineRule="auto"/>
              <w:jc w:val="right"/>
              <w:rPr>
                <w:rFonts w:ascii="Arial" w:hAnsi="Arial"/>
                <w:sz w:val="16"/>
                <w:szCs w:val="16"/>
                <w:lang w:val="en-AU"/>
              </w:rPr>
            </w:pPr>
            <w:r w:rsidRPr="008659FE">
              <w:rPr>
                <w:rFonts w:ascii="Arial" w:hAnsi="Arial"/>
                <w:sz w:val="16"/>
                <w:szCs w:val="16"/>
                <w:lang w:val="en-AU"/>
              </w:rPr>
              <w:t>NT - Lingiari</w:t>
            </w:r>
          </w:p>
        </w:tc>
        <w:tc>
          <w:tcPr>
            <w:tcW w:w="1191" w:type="dxa"/>
            <w:tcBorders>
              <w:top w:val="nil"/>
              <w:left w:val="nil"/>
              <w:bottom w:val="nil"/>
              <w:right w:val="nil"/>
            </w:tcBorders>
            <w:shd w:val="clear" w:color="FFFFFF" w:fill="auto"/>
            <w:noWrap/>
            <w:vAlign w:val="center"/>
          </w:tcPr>
          <w:p w14:paraId="4E4BFE09" w14:textId="77777777" w:rsidR="007D0CFE" w:rsidRPr="00E9668E" w:rsidRDefault="007D0CFE" w:rsidP="007D0CFE">
            <w:pPr>
              <w:spacing w:before="0" w:after="0"/>
              <w:jc w:val="right"/>
              <w:rPr>
                <w:rFonts w:ascii="Arial" w:hAnsi="Arial"/>
                <w:sz w:val="16"/>
                <w:szCs w:val="16"/>
                <w:lang w:val="en-AU"/>
              </w:rPr>
            </w:pPr>
          </w:p>
        </w:tc>
        <w:tc>
          <w:tcPr>
            <w:tcW w:w="1413" w:type="dxa"/>
            <w:tcBorders>
              <w:top w:val="nil"/>
              <w:left w:val="nil"/>
              <w:bottom w:val="nil"/>
              <w:right w:val="nil"/>
            </w:tcBorders>
            <w:shd w:val="clear" w:color="FFFFFF" w:fill="auto"/>
            <w:noWrap/>
            <w:vAlign w:val="center"/>
          </w:tcPr>
          <w:p w14:paraId="545D809A" w14:textId="77777777" w:rsidR="007D0CFE" w:rsidRPr="00E9668E" w:rsidRDefault="007D0CFE" w:rsidP="007D0CFE">
            <w:pPr>
              <w:spacing w:before="0" w:after="0"/>
              <w:jc w:val="right"/>
              <w:rPr>
                <w:rFonts w:ascii="Arial" w:hAnsi="Arial"/>
                <w:sz w:val="16"/>
                <w:szCs w:val="16"/>
                <w:lang w:val="en-AU"/>
              </w:rPr>
            </w:pPr>
            <w:r>
              <w:rPr>
                <w:rFonts w:ascii="Arial" w:hAnsi="Arial"/>
                <w:sz w:val="16"/>
                <w:szCs w:val="16"/>
                <w:lang w:val="en-AU"/>
              </w:rPr>
              <w:t>272.1</w:t>
            </w:r>
          </w:p>
        </w:tc>
        <w:tc>
          <w:tcPr>
            <w:tcW w:w="1195" w:type="dxa"/>
            <w:tcBorders>
              <w:top w:val="nil"/>
              <w:left w:val="nil"/>
              <w:bottom w:val="nil"/>
              <w:right w:val="nil"/>
            </w:tcBorders>
            <w:shd w:val="clear" w:color="FFFFFF" w:fill="auto"/>
            <w:noWrap/>
            <w:vAlign w:val="center"/>
          </w:tcPr>
          <w:p w14:paraId="221B6BEA" w14:textId="77777777" w:rsidR="007D0CFE" w:rsidRPr="00E9668E" w:rsidRDefault="007D0CFE" w:rsidP="007D0CFE">
            <w:pPr>
              <w:spacing w:before="0" w:after="0"/>
              <w:jc w:val="right"/>
              <w:rPr>
                <w:rFonts w:ascii="Arial" w:hAnsi="Arial"/>
                <w:sz w:val="16"/>
                <w:szCs w:val="16"/>
                <w:lang w:val="en-AU"/>
              </w:rPr>
            </w:pPr>
            <w:r>
              <w:rPr>
                <w:rFonts w:ascii="Arial" w:hAnsi="Arial"/>
                <w:sz w:val="16"/>
                <w:szCs w:val="16"/>
                <w:lang w:val="en-AU"/>
              </w:rPr>
              <w:t>51.9</w:t>
            </w:r>
          </w:p>
        </w:tc>
      </w:tr>
      <w:tr w:rsidR="007D0CFE" w:rsidRPr="00BA1388" w14:paraId="6155A305" w14:textId="77777777" w:rsidTr="00F600B5">
        <w:trPr>
          <w:trHeight w:val="227"/>
        </w:trPr>
        <w:tc>
          <w:tcPr>
            <w:tcW w:w="3085" w:type="dxa"/>
            <w:tcBorders>
              <w:top w:val="nil"/>
              <w:left w:val="nil"/>
              <w:bottom w:val="nil"/>
              <w:right w:val="nil"/>
            </w:tcBorders>
            <w:shd w:val="clear" w:color="FFFFFF" w:fill="auto"/>
            <w:vAlign w:val="bottom"/>
          </w:tcPr>
          <w:p w14:paraId="6E81CD6C" w14:textId="77777777" w:rsidR="007D0CFE" w:rsidRPr="008659FE" w:rsidRDefault="007D0CFE" w:rsidP="007D0CFE">
            <w:pPr>
              <w:spacing w:before="0" w:after="0" w:line="276" w:lineRule="auto"/>
              <w:ind w:left="179"/>
              <w:rPr>
                <w:rFonts w:ascii="Arial" w:hAnsi="Arial"/>
                <w:sz w:val="16"/>
                <w:szCs w:val="16"/>
                <w:lang w:val="en-AU"/>
              </w:rPr>
            </w:pPr>
            <w:r w:rsidRPr="008659FE">
              <w:rPr>
                <w:rFonts w:ascii="Arial" w:hAnsi="Arial"/>
                <w:sz w:val="16"/>
                <w:szCs w:val="16"/>
                <w:lang w:val="en-AU"/>
              </w:rPr>
              <w:t>Edinburgh Defence Precinct</w:t>
            </w:r>
          </w:p>
        </w:tc>
        <w:tc>
          <w:tcPr>
            <w:tcW w:w="1790" w:type="dxa"/>
            <w:tcBorders>
              <w:top w:val="nil"/>
              <w:left w:val="nil"/>
              <w:bottom w:val="nil"/>
              <w:right w:val="nil"/>
            </w:tcBorders>
            <w:shd w:val="clear" w:color="FFFFFF" w:fill="auto"/>
            <w:noWrap/>
            <w:vAlign w:val="bottom"/>
          </w:tcPr>
          <w:p w14:paraId="04B29376" w14:textId="77777777" w:rsidR="007D0CFE" w:rsidRPr="008659FE" w:rsidRDefault="007D0CFE" w:rsidP="007D0CFE">
            <w:pPr>
              <w:spacing w:before="0" w:after="0" w:line="276" w:lineRule="auto"/>
              <w:jc w:val="right"/>
              <w:rPr>
                <w:rFonts w:ascii="Arial" w:hAnsi="Arial"/>
                <w:sz w:val="16"/>
                <w:szCs w:val="16"/>
                <w:lang w:val="en-AU"/>
              </w:rPr>
            </w:pPr>
            <w:r w:rsidRPr="008659FE">
              <w:rPr>
                <w:rFonts w:ascii="Arial" w:hAnsi="Arial"/>
                <w:sz w:val="16"/>
                <w:szCs w:val="16"/>
                <w:lang w:val="en-AU"/>
              </w:rPr>
              <w:t>SA - Spence</w:t>
            </w:r>
          </w:p>
        </w:tc>
        <w:tc>
          <w:tcPr>
            <w:tcW w:w="1191" w:type="dxa"/>
            <w:tcBorders>
              <w:top w:val="nil"/>
              <w:left w:val="nil"/>
              <w:bottom w:val="nil"/>
              <w:right w:val="nil"/>
            </w:tcBorders>
            <w:shd w:val="clear" w:color="FFFFFF" w:fill="auto"/>
            <w:noWrap/>
            <w:vAlign w:val="center"/>
          </w:tcPr>
          <w:p w14:paraId="51CFC6A5" w14:textId="77777777" w:rsidR="007D0CFE" w:rsidRPr="00E9668E" w:rsidRDefault="007D0CFE" w:rsidP="007D0CFE">
            <w:pPr>
              <w:spacing w:before="0" w:after="0"/>
              <w:jc w:val="right"/>
              <w:rPr>
                <w:rFonts w:ascii="Arial" w:hAnsi="Arial"/>
                <w:sz w:val="16"/>
                <w:szCs w:val="16"/>
                <w:lang w:val="en-AU"/>
              </w:rPr>
            </w:pPr>
          </w:p>
        </w:tc>
        <w:tc>
          <w:tcPr>
            <w:tcW w:w="1413" w:type="dxa"/>
            <w:tcBorders>
              <w:top w:val="nil"/>
              <w:left w:val="nil"/>
              <w:bottom w:val="nil"/>
              <w:right w:val="nil"/>
            </w:tcBorders>
            <w:shd w:val="clear" w:color="FFFFFF" w:fill="auto"/>
            <w:noWrap/>
            <w:vAlign w:val="center"/>
          </w:tcPr>
          <w:p w14:paraId="2B048B4C" w14:textId="77777777" w:rsidR="007D0CFE" w:rsidRPr="00E9668E" w:rsidRDefault="007D0CFE" w:rsidP="007D0CFE">
            <w:pPr>
              <w:spacing w:before="0" w:after="0"/>
              <w:jc w:val="right"/>
              <w:rPr>
                <w:rFonts w:ascii="Arial" w:hAnsi="Arial"/>
                <w:sz w:val="16"/>
                <w:szCs w:val="16"/>
                <w:lang w:val="en-AU"/>
              </w:rPr>
            </w:pPr>
            <w:r>
              <w:rPr>
                <w:rFonts w:ascii="Arial" w:hAnsi="Arial"/>
                <w:sz w:val="16"/>
                <w:szCs w:val="16"/>
                <w:lang w:val="en-AU"/>
              </w:rPr>
              <w:t>40.4</w:t>
            </w:r>
          </w:p>
        </w:tc>
        <w:tc>
          <w:tcPr>
            <w:tcW w:w="1195" w:type="dxa"/>
            <w:tcBorders>
              <w:top w:val="nil"/>
              <w:left w:val="nil"/>
              <w:bottom w:val="nil"/>
              <w:right w:val="nil"/>
            </w:tcBorders>
            <w:shd w:val="clear" w:color="FFFFFF" w:fill="auto"/>
            <w:noWrap/>
            <w:vAlign w:val="center"/>
          </w:tcPr>
          <w:p w14:paraId="6860B6E7" w14:textId="77777777" w:rsidR="007D0CFE" w:rsidRPr="00E9668E" w:rsidRDefault="007D0CFE" w:rsidP="007D0CFE">
            <w:pPr>
              <w:spacing w:before="0" w:after="0"/>
              <w:jc w:val="right"/>
              <w:rPr>
                <w:rFonts w:ascii="Arial" w:hAnsi="Arial"/>
                <w:sz w:val="16"/>
                <w:szCs w:val="16"/>
                <w:lang w:val="en-AU"/>
              </w:rPr>
            </w:pPr>
            <w:r>
              <w:rPr>
                <w:rFonts w:ascii="Arial" w:hAnsi="Arial"/>
                <w:sz w:val="16"/>
                <w:szCs w:val="16"/>
                <w:lang w:val="en-AU"/>
              </w:rPr>
              <w:t>0.1</w:t>
            </w:r>
          </w:p>
        </w:tc>
      </w:tr>
      <w:tr w:rsidR="007D0CFE" w:rsidRPr="00BA1388" w14:paraId="35FF2388" w14:textId="77777777" w:rsidTr="00F600B5">
        <w:trPr>
          <w:trHeight w:val="227"/>
        </w:trPr>
        <w:tc>
          <w:tcPr>
            <w:tcW w:w="3085" w:type="dxa"/>
            <w:tcBorders>
              <w:top w:val="nil"/>
              <w:left w:val="nil"/>
              <w:bottom w:val="nil"/>
              <w:right w:val="nil"/>
            </w:tcBorders>
            <w:shd w:val="clear" w:color="FFFFFF" w:fill="auto"/>
            <w:vAlign w:val="bottom"/>
          </w:tcPr>
          <w:p w14:paraId="2D5BCE42" w14:textId="77777777" w:rsidR="007D0CFE" w:rsidRPr="008659FE" w:rsidRDefault="007D0CFE" w:rsidP="007D0CFE">
            <w:pPr>
              <w:spacing w:before="0" w:after="0" w:line="276" w:lineRule="auto"/>
              <w:rPr>
                <w:rFonts w:ascii="Arial" w:hAnsi="Arial"/>
                <w:b/>
                <w:sz w:val="16"/>
                <w:szCs w:val="16"/>
                <w:lang w:val="en-AU"/>
              </w:rPr>
            </w:pPr>
            <w:r w:rsidRPr="008659FE">
              <w:rPr>
                <w:rFonts w:ascii="Arial" w:hAnsi="Arial"/>
                <w:b/>
                <w:sz w:val="16"/>
                <w:szCs w:val="16"/>
                <w:lang w:val="en-AU"/>
              </w:rPr>
              <w:t>Total</w:t>
            </w:r>
          </w:p>
        </w:tc>
        <w:tc>
          <w:tcPr>
            <w:tcW w:w="1790" w:type="dxa"/>
            <w:tcBorders>
              <w:top w:val="nil"/>
              <w:left w:val="nil"/>
              <w:bottom w:val="nil"/>
              <w:right w:val="nil"/>
            </w:tcBorders>
            <w:shd w:val="clear" w:color="FFFFFF" w:fill="auto"/>
            <w:noWrap/>
            <w:vAlign w:val="center"/>
          </w:tcPr>
          <w:p w14:paraId="360492D8" w14:textId="77777777" w:rsidR="007D0CFE" w:rsidRPr="00E9668E" w:rsidRDefault="007D0CFE" w:rsidP="007D0CFE">
            <w:pPr>
              <w:spacing w:before="0" w:after="0"/>
              <w:jc w:val="right"/>
              <w:rPr>
                <w:rFonts w:ascii="Arial" w:hAnsi="Arial"/>
                <w:sz w:val="16"/>
                <w:szCs w:val="16"/>
                <w:lang w:val="en-AU"/>
              </w:rPr>
            </w:pPr>
          </w:p>
        </w:tc>
        <w:tc>
          <w:tcPr>
            <w:tcW w:w="1191" w:type="dxa"/>
            <w:tcBorders>
              <w:top w:val="nil"/>
              <w:left w:val="nil"/>
              <w:bottom w:val="nil"/>
              <w:right w:val="nil"/>
            </w:tcBorders>
            <w:shd w:val="clear" w:color="FFFFFF" w:fill="auto"/>
            <w:noWrap/>
            <w:vAlign w:val="center"/>
          </w:tcPr>
          <w:p w14:paraId="68822C47" w14:textId="77777777" w:rsidR="007D0CFE" w:rsidRPr="007D0CFE" w:rsidRDefault="007D0CFE" w:rsidP="007D0CFE">
            <w:pPr>
              <w:spacing w:before="0" w:after="0"/>
              <w:jc w:val="right"/>
              <w:rPr>
                <w:rFonts w:ascii="Arial" w:hAnsi="Arial"/>
                <w:b/>
                <w:sz w:val="16"/>
                <w:szCs w:val="16"/>
                <w:lang w:val="en-AU"/>
              </w:rPr>
            </w:pPr>
            <w:r w:rsidRPr="007D0CFE">
              <w:rPr>
                <w:rFonts w:ascii="Arial" w:hAnsi="Arial"/>
                <w:b/>
                <w:sz w:val="16"/>
                <w:szCs w:val="16"/>
                <w:lang w:val="en-AU"/>
              </w:rPr>
              <w:t>427.1</w:t>
            </w:r>
          </w:p>
        </w:tc>
        <w:tc>
          <w:tcPr>
            <w:tcW w:w="1413" w:type="dxa"/>
            <w:tcBorders>
              <w:top w:val="nil"/>
              <w:left w:val="nil"/>
              <w:bottom w:val="nil"/>
              <w:right w:val="nil"/>
            </w:tcBorders>
            <w:shd w:val="clear" w:color="FFFFFF" w:fill="auto"/>
            <w:noWrap/>
            <w:vAlign w:val="center"/>
          </w:tcPr>
          <w:p w14:paraId="64E98864" w14:textId="77777777" w:rsidR="007D0CFE" w:rsidRPr="00E9668E" w:rsidRDefault="007D0CFE" w:rsidP="007D0CFE">
            <w:pPr>
              <w:spacing w:before="0" w:after="0"/>
              <w:jc w:val="right"/>
              <w:rPr>
                <w:rFonts w:ascii="Arial" w:hAnsi="Arial"/>
                <w:sz w:val="16"/>
                <w:szCs w:val="16"/>
                <w:lang w:val="en-AU"/>
              </w:rPr>
            </w:pPr>
            <w:r>
              <w:rPr>
                <w:rFonts w:ascii="Arial" w:hAnsi="Arial"/>
                <w:b/>
                <w:sz w:val="16"/>
                <w:szCs w:val="16"/>
                <w:lang w:val="en-AU"/>
              </w:rPr>
              <w:t>312.5</w:t>
            </w:r>
          </w:p>
        </w:tc>
        <w:tc>
          <w:tcPr>
            <w:tcW w:w="1195" w:type="dxa"/>
            <w:tcBorders>
              <w:top w:val="nil"/>
              <w:left w:val="nil"/>
              <w:bottom w:val="nil"/>
              <w:right w:val="nil"/>
            </w:tcBorders>
            <w:shd w:val="clear" w:color="FFFFFF" w:fill="auto"/>
            <w:noWrap/>
            <w:vAlign w:val="center"/>
          </w:tcPr>
          <w:p w14:paraId="6E22540B" w14:textId="77777777" w:rsidR="007D0CFE" w:rsidRPr="00E9668E" w:rsidRDefault="007D0CFE" w:rsidP="007D0CFE">
            <w:pPr>
              <w:spacing w:before="0" w:after="0"/>
              <w:jc w:val="right"/>
              <w:rPr>
                <w:rFonts w:ascii="Arial" w:hAnsi="Arial"/>
                <w:sz w:val="16"/>
                <w:szCs w:val="16"/>
                <w:lang w:val="en-AU"/>
              </w:rPr>
            </w:pPr>
            <w:r>
              <w:rPr>
                <w:rFonts w:ascii="Arial" w:hAnsi="Arial"/>
                <w:b/>
                <w:sz w:val="16"/>
                <w:szCs w:val="16"/>
                <w:lang w:val="en-AU"/>
              </w:rPr>
              <w:t>52.0</w:t>
            </w:r>
          </w:p>
        </w:tc>
      </w:tr>
      <w:tr w:rsidR="00E9668E" w:rsidRPr="00BA1388" w14:paraId="1B1C4F4B" w14:textId="77777777" w:rsidTr="007D0CFE">
        <w:trPr>
          <w:trHeight w:val="227"/>
        </w:trPr>
        <w:tc>
          <w:tcPr>
            <w:tcW w:w="3085" w:type="dxa"/>
            <w:tcBorders>
              <w:top w:val="single" w:sz="4" w:space="0" w:color="auto"/>
              <w:left w:val="nil"/>
              <w:bottom w:val="nil"/>
              <w:right w:val="nil"/>
            </w:tcBorders>
            <w:shd w:val="clear" w:color="FFFFFF" w:fill="auto"/>
            <w:vAlign w:val="center"/>
          </w:tcPr>
          <w:p w14:paraId="1802E3DD" w14:textId="77777777" w:rsidR="00E9668E" w:rsidRPr="00BA1388" w:rsidRDefault="007D0CFE" w:rsidP="00E9668E">
            <w:pPr>
              <w:spacing w:before="0" w:after="0"/>
              <w:rPr>
                <w:rFonts w:ascii="Arial" w:hAnsi="Arial"/>
                <w:b/>
                <w:bCs/>
                <w:sz w:val="16"/>
                <w:szCs w:val="16"/>
                <w:highlight w:val="yellow"/>
                <w:lang w:val="en-AU"/>
              </w:rPr>
            </w:pPr>
            <w:r>
              <w:rPr>
                <w:rFonts w:ascii="Arial" w:hAnsi="Arial"/>
                <w:b/>
                <w:sz w:val="16"/>
                <w:szCs w:val="16"/>
                <w:lang w:val="en-AU"/>
              </w:rPr>
              <w:t>Albury-</w:t>
            </w:r>
            <w:r w:rsidRPr="008659FE">
              <w:rPr>
                <w:rFonts w:ascii="Arial" w:hAnsi="Arial"/>
                <w:b/>
                <w:sz w:val="16"/>
                <w:szCs w:val="16"/>
                <w:lang w:val="en-AU"/>
              </w:rPr>
              <w:t>Wodonga Military Area Redevelopment</w:t>
            </w:r>
          </w:p>
        </w:tc>
        <w:tc>
          <w:tcPr>
            <w:tcW w:w="1790" w:type="dxa"/>
            <w:tcBorders>
              <w:top w:val="single" w:sz="4" w:space="0" w:color="auto"/>
              <w:left w:val="nil"/>
              <w:bottom w:val="nil"/>
              <w:right w:val="nil"/>
            </w:tcBorders>
            <w:shd w:val="clear" w:color="FFFFFF" w:fill="auto"/>
            <w:noWrap/>
            <w:vAlign w:val="center"/>
          </w:tcPr>
          <w:p w14:paraId="41EC4564" w14:textId="77777777" w:rsidR="00E9668E" w:rsidRPr="00BA1388" w:rsidRDefault="00E9668E" w:rsidP="00E9668E">
            <w:pPr>
              <w:spacing w:before="0" w:after="0"/>
              <w:jc w:val="right"/>
              <w:rPr>
                <w:rFonts w:ascii="Arial" w:hAnsi="Arial"/>
                <w:b/>
                <w:bCs/>
                <w:sz w:val="16"/>
                <w:szCs w:val="16"/>
                <w:highlight w:val="yellow"/>
                <w:lang w:val="en-AU"/>
              </w:rPr>
            </w:pPr>
          </w:p>
        </w:tc>
        <w:tc>
          <w:tcPr>
            <w:tcW w:w="1191" w:type="dxa"/>
            <w:tcBorders>
              <w:top w:val="single" w:sz="4" w:space="0" w:color="auto"/>
              <w:left w:val="nil"/>
              <w:bottom w:val="nil"/>
              <w:right w:val="nil"/>
            </w:tcBorders>
            <w:shd w:val="clear" w:color="FFFFFF" w:fill="auto"/>
            <w:noWrap/>
            <w:vAlign w:val="center"/>
          </w:tcPr>
          <w:p w14:paraId="202ED855" w14:textId="77777777" w:rsidR="00E9668E" w:rsidRPr="00BA1388" w:rsidRDefault="00E9668E" w:rsidP="00E9668E">
            <w:pPr>
              <w:spacing w:before="0" w:after="0"/>
              <w:jc w:val="right"/>
              <w:rPr>
                <w:rFonts w:ascii="Arial" w:hAnsi="Arial"/>
                <w:sz w:val="16"/>
                <w:szCs w:val="16"/>
                <w:highlight w:val="yellow"/>
                <w:lang w:val="en-AU"/>
              </w:rPr>
            </w:pPr>
          </w:p>
        </w:tc>
        <w:tc>
          <w:tcPr>
            <w:tcW w:w="1413" w:type="dxa"/>
            <w:tcBorders>
              <w:top w:val="single" w:sz="4" w:space="0" w:color="auto"/>
              <w:left w:val="nil"/>
              <w:bottom w:val="nil"/>
              <w:right w:val="nil"/>
            </w:tcBorders>
            <w:shd w:val="clear" w:color="FFFFFF" w:fill="auto"/>
            <w:noWrap/>
            <w:vAlign w:val="center"/>
          </w:tcPr>
          <w:p w14:paraId="402E07E6" w14:textId="77777777" w:rsidR="00E9668E" w:rsidRPr="00BA1388" w:rsidRDefault="00E9668E" w:rsidP="00E9668E">
            <w:pPr>
              <w:spacing w:before="0" w:after="0"/>
              <w:jc w:val="right"/>
              <w:rPr>
                <w:rFonts w:ascii="Arial" w:hAnsi="Arial"/>
                <w:sz w:val="16"/>
                <w:szCs w:val="16"/>
                <w:highlight w:val="yellow"/>
                <w:lang w:val="en-AU"/>
              </w:rPr>
            </w:pPr>
          </w:p>
        </w:tc>
        <w:tc>
          <w:tcPr>
            <w:tcW w:w="1195" w:type="dxa"/>
            <w:tcBorders>
              <w:top w:val="single" w:sz="4" w:space="0" w:color="auto"/>
              <w:left w:val="nil"/>
              <w:bottom w:val="nil"/>
              <w:right w:val="nil"/>
            </w:tcBorders>
            <w:shd w:val="clear" w:color="FFFFFF" w:fill="auto"/>
            <w:noWrap/>
            <w:vAlign w:val="center"/>
          </w:tcPr>
          <w:p w14:paraId="40F1E649" w14:textId="77777777" w:rsidR="00E9668E" w:rsidRPr="00BA1388" w:rsidRDefault="00E9668E" w:rsidP="00E9668E">
            <w:pPr>
              <w:spacing w:before="0" w:after="0"/>
              <w:jc w:val="right"/>
              <w:rPr>
                <w:rFonts w:ascii="Arial" w:hAnsi="Arial"/>
                <w:sz w:val="16"/>
                <w:szCs w:val="16"/>
                <w:highlight w:val="yellow"/>
                <w:lang w:val="en-AU"/>
              </w:rPr>
            </w:pPr>
          </w:p>
        </w:tc>
      </w:tr>
      <w:tr w:rsidR="007D0CFE" w:rsidRPr="00BA1388" w14:paraId="645F968A" w14:textId="77777777" w:rsidTr="007D0CFE">
        <w:trPr>
          <w:trHeight w:val="227"/>
        </w:trPr>
        <w:tc>
          <w:tcPr>
            <w:tcW w:w="3085" w:type="dxa"/>
            <w:tcBorders>
              <w:top w:val="nil"/>
              <w:left w:val="nil"/>
              <w:bottom w:val="single" w:sz="4" w:space="0" w:color="auto"/>
              <w:right w:val="nil"/>
            </w:tcBorders>
            <w:shd w:val="clear" w:color="FFFFFF" w:fill="auto"/>
            <w:vAlign w:val="center"/>
          </w:tcPr>
          <w:p w14:paraId="281AC2BE" w14:textId="77777777" w:rsidR="007D0CFE" w:rsidRPr="00BA1388" w:rsidRDefault="007D0CFE" w:rsidP="007D0CFE">
            <w:pPr>
              <w:spacing w:before="0" w:after="0"/>
              <w:ind w:left="113"/>
              <w:rPr>
                <w:rFonts w:ascii="Arial" w:hAnsi="Arial"/>
                <w:sz w:val="16"/>
                <w:szCs w:val="16"/>
                <w:highlight w:val="yellow"/>
                <w:lang w:val="en-AU"/>
              </w:rPr>
            </w:pPr>
            <w:r>
              <w:rPr>
                <w:rFonts w:ascii="Arial" w:hAnsi="Arial"/>
                <w:sz w:val="16"/>
                <w:szCs w:val="16"/>
                <w:lang w:val="en-AU"/>
              </w:rPr>
              <w:t>Albury-</w:t>
            </w:r>
            <w:r w:rsidRPr="008659FE">
              <w:rPr>
                <w:rFonts w:ascii="Arial" w:hAnsi="Arial"/>
                <w:sz w:val="16"/>
                <w:szCs w:val="16"/>
                <w:lang w:val="en-AU"/>
              </w:rPr>
              <w:t>Wodonga Military Area</w:t>
            </w:r>
          </w:p>
        </w:tc>
        <w:tc>
          <w:tcPr>
            <w:tcW w:w="1790" w:type="dxa"/>
            <w:tcBorders>
              <w:top w:val="nil"/>
              <w:left w:val="nil"/>
              <w:bottom w:val="single" w:sz="4" w:space="0" w:color="auto"/>
              <w:right w:val="nil"/>
            </w:tcBorders>
            <w:shd w:val="clear" w:color="FFFFFF" w:fill="auto"/>
            <w:noWrap/>
            <w:vAlign w:val="bottom"/>
          </w:tcPr>
          <w:p w14:paraId="25ADCC57" w14:textId="77777777" w:rsidR="007D0CFE" w:rsidRPr="008659FE" w:rsidRDefault="007D0CFE" w:rsidP="007D0CFE">
            <w:pPr>
              <w:spacing w:before="0" w:after="0" w:line="276" w:lineRule="auto"/>
              <w:jc w:val="right"/>
              <w:rPr>
                <w:rFonts w:ascii="Arial" w:hAnsi="Arial"/>
                <w:sz w:val="16"/>
                <w:szCs w:val="16"/>
                <w:lang w:val="en-AU"/>
              </w:rPr>
            </w:pPr>
            <w:r w:rsidRPr="008659FE">
              <w:rPr>
                <w:rFonts w:ascii="Arial" w:hAnsi="Arial"/>
                <w:sz w:val="16"/>
                <w:szCs w:val="16"/>
                <w:lang w:val="en-AU"/>
              </w:rPr>
              <w:t>VIC - Indi</w:t>
            </w:r>
          </w:p>
        </w:tc>
        <w:tc>
          <w:tcPr>
            <w:tcW w:w="1191" w:type="dxa"/>
            <w:tcBorders>
              <w:top w:val="nil"/>
              <w:left w:val="nil"/>
              <w:bottom w:val="single" w:sz="4" w:space="0" w:color="auto"/>
              <w:right w:val="nil"/>
            </w:tcBorders>
            <w:shd w:val="clear" w:color="FFFFFF" w:fill="auto"/>
            <w:noWrap/>
            <w:vAlign w:val="bottom"/>
          </w:tcPr>
          <w:p w14:paraId="1784ECDD" w14:textId="77777777" w:rsidR="007D0CFE" w:rsidRPr="00353F8D" w:rsidRDefault="007D0CFE" w:rsidP="007D0CFE">
            <w:pPr>
              <w:spacing w:before="0" w:after="0" w:line="276" w:lineRule="auto"/>
              <w:jc w:val="right"/>
              <w:rPr>
                <w:rFonts w:ascii="Arial" w:hAnsi="Arial"/>
                <w:b/>
                <w:bCs/>
                <w:sz w:val="16"/>
                <w:szCs w:val="16"/>
                <w:lang w:val="en-AU"/>
              </w:rPr>
            </w:pPr>
            <w:r w:rsidRPr="00353F8D">
              <w:rPr>
                <w:rFonts w:ascii="Arial" w:hAnsi="Arial"/>
                <w:b/>
                <w:bCs/>
                <w:sz w:val="16"/>
                <w:szCs w:val="16"/>
                <w:lang w:val="en-AU"/>
              </w:rPr>
              <w:t>395.7</w:t>
            </w:r>
          </w:p>
        </w:tc>
        <w:tc>
          <w:tcPr>
            <w:tcW w:w="1413" w:type="dxa"/>
            <w:tcBorders>
              <w:top w:val="nil"/>
              <w:left w:val="nil"/>
              <w:bottom w:val="single" w:sz="4" w:space="0" w:color="auto"/>
              <w:right w:val="nil"/>
            </w:tcBorders>
            <w:shd w:val="clear" w:color="auto" w:fill="auto"/>
            <w:noWrap/>
            <w:vAlign w:val="bottom"/>
          </w:tcPr>
          <w:p w14:paraId="617FAA28" w14:textId="77777777" w:rsidR="007D0CFE" w:rsidRPr="009E4B9D" w:rsidRDefault="007D0CFE" w:rsidP="007D0CFE">
            <w:pPr>
              <w:spacing w:before="0" w:after="0" w:line="276" w:lineRule="auto"/>
              <w:jc w:val="right"/>
              <w:rPr>
                <w:rFonts w:ascii="Arial" w:hAnsi="Arial"/>
                <w:b/>
                <w:sz w:val="16"/>
                <w:szCs w:val="16"/>
                <w:lang w:eastAsia="en-US"/>
              </w:rPr>
            </w:pPr>
            <w:r w:rsidRPr="009E4B9D">
              <w:rPr>
                <w:rFonts w:ascii="Arial" w:hAnsi="Arial"/>
                <w:b/>
                <w:sz w:val="16"/>
                <w:szCs w:val="16"/>
                <w:lang w:eastAsia="en-US"/>
              </w:rPr>
              <w:t>14.3</w:t>
            </w:r>
          </w:p>
        </w:tc>
        <w:tc>
          <w:tcPr>
            <w:tcW w:w="1195" w:type="dxa"/>
            <w:tcBorders>
              <w:top w:val="nil"/>
              <w:left w:val="nil"/>
              <w:bottom w:val="single" w:sz="4" w:space="0" w:color="auto"/>
              <w:right w:val="nil"/>
            </w:tcBorders>
            <w:shd w:val="clear" w:color="auto" w:fill="auto"/>
            <w:noWrap/>
            <w:vAlign w:val="bottom"/>
          </w:tcPr>
          <w:p w14:paraId="79AFB27E" w14:textId="77777777" w:rsidR="007D0CFE" w:rsidRPr="009E4B9D" w:rsidRDefault="007D0CFE" w:rsidP="007D0CFE">
            <w:pPr>
              <w:spacing w:before="0" w:after="0" w:line="276" w:lineRule="auto"/>
              <w:jc w:val="right"/>
              <w:rPr>
                <w:rFonts w:ascii="Arial" w:hAnsi="Arial"/>
                <w:b/>
                <w:sz w:val="16"/>
                <w:szCs w:val="16"/>
                <w:lang w:eastAsia="en-US"/>
              </w:rPr>
            </w:pPr>
            <w:r w:rsidRPr="009E4B9D">
              <w:rPr>
                <w:rFonts w:ascii="Arial" w:hAnsi="Arial"/>
                <w:b/>
                <w:sz w:val="16"/>
                <w:szCs w:val="16"/>
                <w:lang w:eastAsia="en-US"/>
              </w:rPr>
              <w:t>32.5</w:t>
            </w:r>
          </w:p>
        </w:tc>
      </w:tr>
      <w:tr w:rsidR="007D0CFE" w:rsidRPr="00BA1388" w14:paraId="5632A970" w14:textId="77777777" w:rsidTr="007D0CFE">
        <w:trPr>
          <w:trHeight w:val="227"/>
        </w:trPr>
        <w:tc>
          <w:tcPr>
            <w:tcW w:w="3085" w:type="dxa"/>
            <w:tcBorders>
              <w:top w:val="single" w:sz="4" w:space="0" w:color="auto"/>
              <w:left w:val="nil"/>
              <w:bottom w:val="nil"/>
              <w:right w:val="nil"/>
            </w:tcBorders>
            <w:shd w:val="clear" w:color="FFFFFF" w:fill="auto"/>
            <w:vAlign w:val="bottom"/>
          </w:tcPr>
          <w:p w14:paraId="421F1542" w14:textId="77777777" w:rsidR="007D0CFE" w:rsidRPr="008659FE" w:rsidRDefault="007D0CFE" w:rsidP="007D0CFE">
            <w:pPr>
              <w:spacing w:before="0" w:after="0" w:line="276" w:lineRule="auto"/>
              <w:rPr>
                <w:rFonts w:ascii="Arial" w:hAnsi="Arial"/>
                <w:b/>
                <w:sz w:val="16"/>
                <w:szCs w:val="16"/>
                <w:lang w:val="en-AU"/>
              </w:rPr>
            </w:pPr>
            <w:r w:rsidRPr="008659FE">
              <w:rPr>
                <w:rFonts w:ascii="Arial" w:hAnsi="Arial"/>
                <w:b/>
                <w:sz w:val="16"/>
                <w:szCs w:val="16"/>
                <w:lang w:val="en-AU"/>
              </w:rPr>
              <w:t>Robertson Barracks Base Improvements Project</w:t>
            </w:r>
          </w:p>
        </w:tc>
        <w:tc>
          <w:tcPr>
            <w:tcW w:w="1790" w:type="dxa"/>
            <w:tcBorders>
              <w:top w:val="single" w:sz="4" w:space="0" w:color="auto"/>
              <w:left w:val="nil"/>
              <w:bottom w:val="nil"/>
              <w:right w:val="nil"/>
            </w:tcBorders>
            <w:shd w:val="clear" w:color="FFFFFF" w:fill="auto"/>
            <w:noWrap/>
            <w:vAlign w:val="center"/>
          </w:tcPr>
          <w:p w14:paraId="3D7F58BF" w14:textId="77777777" w:rsidR="007D0CFE" w:rsidRPr="00BA1388" w:rsidRDefault="007D0CFE" w:rsidP="007D0CFE">
            <w:pPr>
              <w:spacing w:before="0" w:after="0"/>
              <w:jc w:val="right"/>
              <w:rPr>
                <w:rFonts w:ascii="Arial" w:hAnsi="Arial"/>
                <w:b/>
                <w:bCs/>
                <w:sz w:val="16"/>
                <w:szCs w:val="16"/>
                <w:highlight w:val="yellow"/>
                <w:lang w:val="en-AU"/>
              </w:rPr>
            </w:pPr>
          </w:p>
        </w:tc>
        <w:tc>
          <w:tcPr>
            <w:tcW w:w="1191" w:type="dxa"/>
            <w:tcBorders>
              <w:top w:val="single" w:sz="4" w:space="0" w:color="auto"/>
              <w:left w:val="nil"/>
              <w:bottom w:val="nil"/>
              <w:right w:val="nil"/>
            </w:tcBorders>
            <w:shd w:val="clear" w:color="FFFFFF" w:fill="auto"/>
            <w:noWrap/>
          </w:tcPr>
          <w:p w14:paraId="597C7412" w14:textId="77777777" w:rsidR="007D0CFE" w:rsidRPr="00BA1388" w:rsidRDefault="007D0CFE" w:rsidP="007D0CFE">
            <w:pPr>
              <w:spacing w:before="0" w:after="0"/>
              <w:jc w:val="right"/>
              <w:rPr>
                <w:rFonts w:ascii="Arial" w:hAnsi="Arial"/>
                <w:sz w:val="16"/>
                <w:szCs w:val="16"/>
                <w:highlight w:val="yellow"/>
                <w:lang w:val="en-AU"/>
              </w:rPr>
            </w:pPr>
          </w:p>
        </w:tc>
        <w:tc>
          <w:tcPr>
            <w:tcW w:w="1413" w:type="dxa"/>
            <w:tcBorders>
              <w:top w:val="single" w:sz="4" w:space="0" w:color="auto"/>
              <w:left w:val="nil"/>
              <w:bottom w:val="nil"/>
              <w:right w:val="nil"/>
            </w:tcBorders>
            <w:shd w:val="clear" w:color="auto" w:fill="auto"/>
            <w:noWrap/>
            <w:vAlign w:val="center"/>
          </w:tcPr>
          <w:p w14:paraId="167DCAD5" w14:textId="77777777" w:rsidR="007D0CFE" w:rsidRPr="00BA1388" w:rsidRDefault="007D0CFE" w:rsidP="007D0CFE">
            <w:pPr>
              <w:spacing w:before="0" w:after="0"/>
              <w:jc w:val="right"/>
              <w:rPr>
                <w:rFonts w:ascii="Arial" w:hAnsi="Arial"/>
                <w:sz w:val="16"/>
                <w:szCs w:val="16"/>
                <w:highlight w:val="yellow"/>
                <w:lang w:val="en-AU"/>
              </w:rPr>
            </w:pPr>
          </w:p>
        </w:tc>
        <w:tc>
          <w:tcPr>
            <w:tcW w:w="1195" w:type="dxa"/>
            <w:tcBorders>
              <w:top w:val="single" w:sz="4" w:space="0" w:color="auto"/>
              <w:left w:val="nil"/>
              <w:bottom w:val="nil"/>
              <w:right w:val="nil"/>
            </w:tcBorders>
            <w:shd w:val="clear" w:color="auto" w:fill="auto"/>
            <w:noWrap/>
            <w:vAlign w:val="center"/>
          </w:tcPr>
          <w:p w14:paraId="72DAFD41" w14:textId="77777777" w:rsidR="007D0CFE" w:rsidRPr="00BA1388" w:rsidRDefault="007D0CFE" w:rsidP="007D0CFE">
            <w:pPr>
              <w:spacing w:before="0" w:after="0"/>
              <w:jc w:val="right"/>
              <w:rPr>
                <w:rFonts w:ascii="Arial" w:hAnsi="Arial"/>
                <w:sz w:val="16"/>
                <w:szCs w:val="16"/>
                <w:highlight w:val="yellow"/>
                <w:lang w:val="en-AU"/>
              </w:rPr>
            </w:pPr>
          </w:p>
        </w:tc>
      </w:tr>
      <w:tr w:rsidR="007D0CFE" w:rsidRPr="00BA1388" w14:paraId="601F8E47" w14:textId="77777777" w:rsidTr="007D0CFE">
        <w:trPr>
          <w:trHeight w:val="227"/>
        </w:trPr>
        <w:tc>
          <w:tcPr>
            <w:tcW w:w="3085" w:type="dxa"/>
            <w:tcBorders>
              <w:top w:val="nil"/>
              <w:left w:val="nil"/>
              <w:bottom w:val="single" w:sz="4" w:space="0" w:color="auto"/>
              <w:right w:val="nil"/>
            </w:tcBorders>
            <w:shd w:val="clear" w:color="FFFFFF" w:fill="auto"/>
            <w:vAlign w:val="bottom"/>
          </w:tcPr>
          <w:p w14:paraId="709B0D38" w14:textId="77777777" w:rsidR="007D0CFE" w:rsidRPr="008659FE" w:rsidRDefault="007D0CFE" w:rsidP="007D0CFE">
            <w:pPr>
              <w:spacing w:before="0" w:after="0" w:line="276" w:lineRule="auto"/>
              <w:ind w:left="179"/>
              <w:rPr>
                <w:rFonts w:ascii="Arial" w:hAnsi="Arial"/>
                <w:b/>
                <w:sz w:val="16"/>
                <w:szCs w:val="16"/>
                <w:lang w:val="en-AU"/>
              </w:rPr>
            </w:pPr>
            <w:r w:rsidRPr="008659FE">
              <w:rPr>
                <w:rFonts w:ascii="Arial" w:hAnsi="Arial"/>
                <w:sz w:val="16"/>
                <w:szCs w:val="16"/>
                <w:lang w:val="en-AU"/>
              </w:rPr>
              <w:t>Robertson Barracks</w:t>
            </w:r>
          </w:p>
        </w:tc>
        <w:tc>
          <w:tcPr>
            <w:tcW w:w="1790" w:type="dxa"/>
            <w:tcBorders>
              <w:top w:val="nil"/>
              <w:left w:val="nil"/>
              <w:bottom w:val="single" w:sz="4" w:space="0" w:color="auto"/>
              <w:right w:val="nil"/>
            </w:tcBorders>
            <w:shd w:val="clear" w:color="FFFFFF" w:fill="auto"/>
            <w:noWrap/>
            <w:vAlign w:val="bottom"/>
          </w:tcPr>
          <w:p w14:paraId="07570DE4" w14:textId="77777777" w:rsidR="007D0CFE" w:rsidRPr="008659FE" w:rsidRDefault="007D0CFE" w:rsidP="007D0CFE">
            <w:pPr>
              <w:spacing w:before="0" w:after="0" w:line="276" w:lineRule="auto"/>
              <w:jc w:val="right"/>
              <w:rPr>
                <w:rFonts w:ascii="Arial" w:hAnsi="Arial"/>
                <w:sz w:val="16"/>
                <w:szCs w:val="16"/>
                <w:lang w:val="en-AU"/>
              </w:rPr>
            </w:pPr>
            <w:r w:rsidRPr="008659FE">
              <w:rPr>
                <w:rFonts w:ascii="Arial" w:hAnsi="Arial"/>
                <w:sz w:val="16"/>
                <w:szCs w:val="16"/>
                <w:lang w:val="en-AU"/>
              </w:rPr>
              <w:t>NT - Lingiari</w:t>
            </w:r>
          </w:p>
        </w:tc>
        <w:tc>
          <w:tcPr>
            <w:tcW w:w="1191" w:type="dxa"/>
            <w:tcBorders>
              <w:top w:val="nil"/>
              <w:left w:val="nil"/>
              <w:bottom w:val="single" w:sz="4" w:space="0" w:color="auto"/>
              <w:right w:val="nil"/>
            </w:tcBorders>
            <w:shd w:val="clear" w:color="FFFFFF" w:fill="auto"/>
            <w:noWrap/>
            <w:vAlign w:val="bottom"/>
          </w:tcPr>
          <w:p w14:paraId="31BC90B6" w14:textId="77777777" w:rsidR="007D0CFE" w:rsidRPr="00353F8D" w:rsidRDefault="007D0CFE" w:rsidP="007D0CFE">
            <w:pPr>
              <w:spacing w:before="0" w:after="0" w:line="276" w:lineRule="auto"/>
              <w:jc w:val="right"/>
              <w:rPr>
                <w:rFonts w:ascii="Arial" w:hAnsi="Arial"/>
                <w:b/>
                <w:bCs/>
                <w:sz w:val="16"/>
                <w:szCs w:val="16"/>
                <w:lang w:val="en-AU"/>
              </w:rPr>
            </w:pPr>
            <w:r w:rsidRPr="00353F8D">
              <w:rPr>
                <w:rFonts w:ascii="Arial" w:hAnsi="Arial"/>
                <w:b/>
                <w:bCs/>
                <w:sz w:val="16"/>
                <w:szCs w:val="16"/>
                <w:lang w:val="en-AU"/>
              </w:rPr>
              <w:t>389.1</w:t>
            </w:r>
          </w:p>
        </w:tc>
        <w:tc>
          <w:tcPr>
            <w:tcW w:w="1413" w:type="dxa"/>
            <w:tcBorders>
              <w:top w:val="nil"/>
              <w:left w:val="nil"/>
              <w:bottom w:val="single" w:sz="4" w:space="0" w:color="auto"/>
              <w:right w:val="nil"/>
            </w:tcBorders>
            <w:shd w:val="clear" w:color="auto" w:fill="auto"/>
            <w:noWrap/>
            <w:vAlign w:val="bottom"/>
          </w:tcPr>
          <w:p w14:paraId="2A086864" w14:textId="77777777" w:rsidR="007D0CFE" w:rsidRPr="009E4B9D" w:rsidRDefault="007D0CFE" w:rsidP="007D0CFE">
            <w:pPr>
              <w:spacing w:before="0" w:after="0" w:line="276" w:lineRule="auto"/>
              <w:jc w:val="right"/>
              <w:rPr>
                <w:rFonts w:ascii="Arial" w:hAnsi="Arial"/>
                <w:b/>
                <w:sz w:val="16"/>
                <w:szCs w:val="16"/>
                <w:lang w:eastAsia="en-US"/>
              </w:rPr>
            </w:pPr>
            <w:r w:rsidRPr="009E4B9D">
              <w:rPr>
                <w:rFonts w:ascii="Arial" w:hAnsi="Arial"/>
                <w:b/>
                <w:sz w:val="16"/>
                <w:szCs w:val="16"/>
                <w:lang w:eastAsia="en-US"/>
              </w:rPr>
              <w:t>70.1</w:t>
            </w:r>
          </w:p>
        </w:tc>
        <w:tc>
          <w:tcPr>
            <w:tcW w:w="1195" w:type="dxa"/>
            <w:tcBorders>
              <w:top w:val="nil"/>
              <w:left w:val="nil"/>
              <w:bottom w:val="single" w:sz="4" w:space="0" w:color="auto"/>
              <w:right w:val="nil"/>
            </w:tcBorders>
            <w:shd w:val="clear" w:color="auto" w:fill="auto"/>
            <w:noWrap/>
            <w:vAlign w:val="bottom"/>
          </w:tcPr>
          <w:p w14:paraId="1F9988BD" w14:textId="77777777" w:rsidR="007D0CFE" w:rsidRPr="009E4B9D" w:rsidRDefault="007D0CFE" w:rsidP="007D0CFE">
            <w:pPr>
              <w:spacing w:before="0" w:after="0" w:line="276" w:lineRule="auto"/>
              <w:jc w:val="right"/>
              <w:rPr>
                <w:rFonts w:ascii="Arial" w:hAnsi="Arial"/>
                <w:b/>
                <w:sz w:val="16"/>
                <w:szCs w:val="16"/>
                <w:lang w:eastAsia="en-US"/>
              </w:rPr>
            </w:pPr>
            <w:r w:rsidRPr="009E4B9D">
              <w:rPr>
                <w:rFonts w:ascii="Arial" w:hAnsi="Arial"/>
                <w:b/>
                <w:sz w:val="16"/>
                <w:szCs w:val="16"/>
                <w:lang w:eastAsia="en-US"/>
              </w:rPr>
              <w:t>170.2</w:t>
            </w:r>
          </w:p>
        </w:tc>
      </w:tr>
      <w:tr w:rsidR="007D0CFE" w:rsidRPr="00BA1388" w14:paraId="76563BFF" w14:textId="77777777" w:rsidTr="00F600B5">
        <w:trPr>
          <w:trHeight w:val="227"/>
        </w:trPr>
        <w:tc>
          <w:tcPr>
            <w:tcW w:w="3085" w:type="dxa"/>
            <w:tcBorders>
              <w:top w:val="single" w:sz="4" w:space="0" w:color="auto"/>
              <w:left w:val="nil"/>
              <w:bottom w:val="nil"/>
              <w:right w:val="nil"/>
            </w:tcBorders>
            <w:shd w:val="clear" w:color="FFFFFF" w:fill="auto"/>
            <w:vAlign w:val="bottom"/>
          </w:tcPr>
          <w:p w14:paraId="35A22EE8" w14:textId="77777777" w:rsidR="007D0CFE" w:rsidRPr="008659FE" w:rsidRDefault="007D0CFE" w:rsidP="007D0CFE">
            <w:pPr>
              <w:spacing w:before="0" w:after="0" w:line="276" w:lineRule="auto"/>
              <w:rPr>
                <w:rFonts w:ascii="Arial" w:hAnsi="Arial"/>
                <w:sz w:val="16"/>
                <w:szCs w:val="16"/>
                <w:lang w:val="en-AU"/>
              </w:rPr>
            </w:pPr>
            <w:r w:rsidRPr="008659FE">
              <w:rPr>
                <w:rFonts w:ascii="Arial" w:hAnsi="Arial"/>
                <w:b/>
                <w:sz w:val="16"/>
                <w:szCs w:val="16"/>
                <w:lang w:val="en-AU"/>
              </w:rPr>
              <w:t>Explosive Ordnance Facilities Northern NSW Redevelopment</w:t>
            </w:r>
          </w:p>
        </w:tc>
        <w:tc>
          <w:tcPr>
            <w:tcW w:w="1790" w:type="dxa"/>
            <w:tcBorders>
              <w:top w:val="single" w:sz="4" w:space="0" w:color="auto"/>
              <w:left w:val="nil"/>
              <w:bottom w:val="nil"/>
              <w:right w:val="nil"/>
            </w:tcBorders>
            <w:shd w:val="clear" w:color="FFFFFF" w:fill="auto"/>
            <w:noWrap/>
            <w:vAlign w:val="center"/>
          </w:tcPr>
          <w:p w14:paraId="29EE5073" w14:textId="77777777" w:rsidR="007D0CFE" w:rsidRPr="00BA1388" w:rsidRDefault="007D0CFE" w:rsidP="007D0CFE">
            <w:pPr>
              <w:spacing w:before="0" w:after="0"/>
              <w:jc w:val="right"/>
              <w:rPr>
                <w:rFonts w:ascii="Arial" w:hAnsi="Arial"/>
                <w:b/>
                <w:bCs/>
                <w:sz w:val="16"/>
                <w:szCs w:val="16"/>
                <w:highlight w:val="yellow"/>
                <w:lang w:val="en-AU"/>
              </w:rPr>
            </w:pPr>
          </w:p>
        </w:tc>
        <w:tc>
          <w:tcPr>
            <w:tcW w:w="1191" w:type="dxa"/>
            <w:tcBorders>
              <w:top w:val="single" w:sz="4" w:space="0" w:color="auto"/>
              <w:left w:val="nil"/>
              <w:bottom w:val="nil"/>
              <w:right w:val="nil"/>
            </w:tcBorders>
            <w:shd w:val="clear" w:color="FFFFFF" w:fill="auto"/>
            <w:noWrap/>
          </w:tcPr>
          <w:p w14:paraId="36912145" w14:textId="77777777" w:rsidR="007D0CFE" w:rsidRPr="00BA1388" w:rsidRDefault="007D0CFE" w:rsidP="007D0CFE">
            <w:pPr>
              <w:spacing w:before="0" w:after="0"/>
              <w:jc w:val="right"/>
              <w:rPr>
                <w:rFonts w:ascii="Arial" w:hAnsi="Arial"/>
                <w:sz w:val="16"/>
                <w:szCs w:val="16"/>
                <w:highlight w:val="yellow"/>
                <w:lang w:val="en-AU"/>
              </w:rPr>
            </w:pPr>
          </w:p>
        </w:tc>
        <w:tc>
          <w:tcPr>
            <w:tcW w:w="1413" w:type="dxa"/>
            <w:tcBorders>
              <w:top w:val="single" w:sz="4" w:space="0" w:color="auto"/>
              <w:left w:val="nil"/>
              <w:bottom w:val="nil"/>
              <w:right w:val="nil"/>
            </w:tcBorders>
            <w:shd w:val="clear" w:color="auto" w:fill="auto"/>
            <w:noWrap/>
            <w:vAlign w:val="center"/>
          </w:tcPr>
          <w:p w14:paraId="78B63791" w14:textId="77777777" w:rsidR="007D0CFE" w:rsidRPr="00BA1388" w:rsidRDefault="007D0CFE" w:rsidP="007D0CFE">
            <w:pPr>
              <w:spacing w:before="0" w:after="0"/>
              <w:jc w:val="right"/>
              <w:rPr>
                <w:rFonts w:ascii="Arial" w:hAnsi="Arial"/>
                <w:sz w:val="16"/>
                <w:szCs w:val="16"/>
                <w:highlight w:val="yellow"/>
                <w:lang w:val="en-AU"/>
              </w:rPr>
            </w:pPr>
          </w:p>
        </w:tc>
        <w:tc>
          <w:tcPr>
            <w:tcW w:w="1195" w:type="dxa"/>
            <w:tcBorders>
              <w:top w:val="single" w:sz="4" w:space="0" w:color="auto"/>
              <w:left w:val="nil"/>
              <w:bottom w:val="nil"/>
              <w:right w:val="nil"/>
            </w:tcBorders>
            <w:shd w:val="clear" w:color="auto" w:fill="auto"/>
            <w:noWrap/>
            <w:vAlign w:val="center"/>
          </w:tcPr>
          <w:p w14:paraId="017EBE46" w14:textId="77777777" w:rsidR="007D0CFE" w:rsidRPr="00BA1388" w:rsidRDefault="007D0CFE" w:rsidP="007D0CFE">
            <w:pPr>
              <w:spacing w:before="0" w:after="0"/>
              <w:jc w:val="right"/>
              <w:rPr>
                <w:rFonts w:ascii="Arial" w:hAnsi="Arial"/>
                <w:sz w:val="16"/>
                <w:szCs w:val="16"/>
                <w:highlight w:val="yellow"/>
                <w:lang w:val="en-AU"/>
              </w:rPr>
            </w:pPr>
          </w:p>
        </w:tc>
      </w:tr>
      <w:tr w:rsidR="007D0CFE" w:rsidRPr="00BA1388" w14:paraId="5BA77E3B" w14:textId="77777777" w:rsidTr="003F707C">
        <w:trPr>
          <w:trHeight w:val="227"/>
        </w:trPr>
        <w:tc>
          <w:tcPr>
            <w:tcW w:w="3085" w:type="dxa"/>
            <w:tcBorders>
              <w:top w:val="nil"/>
              <w:left w:val="nil"/>
              <w:bottom w:val="single" w:sz="4" w:space="0" w:color="auto"/>
              <w:right w:val="nil"/>
            </w:tcBorders>
            <w:shd w:val="clear" w:color="FFFFFF" w:fill="auto"/>
            <w:vAlign w:val="bottom"/>
          </w:tcPr>
          <w:p w14:paraId="6548AB28" w14:textId="77777777" w:rsidR="007D0CFE" w:rsidRPr="008659FE" w:rsidRDefault="007D0CFE" w:rsidP="007D0CFE">
            <w:pPr>
              <w:spacing w:before="0" w:after="0" w:line="276" w:lineRule="auto"/>
              <w:ind w:left="179"/>
              <w:rPr>
                <w:rFonts w:ascii="Arial" w:hAnsi="Arial"/>
                <w:b/>
                <w:sz w:val="16"/>
                <w:szCs w:val="16"/>
                <w:lang w:val="en-AU"/>
              </w:rPr>
            </w:pPr>
            <w:r w:rsidRPr="008659FE">
              <w:rPr>
                <w:rFonts w:ascii="Arial" w:hAnsi="Arial"/>
                <w:sz w:val="16"/>
                <w:szCs w:val="16"/>
                <w:lang w:val="en-AU"/>
              </w:rPr>
              <w:t>Defence Establishment Orchard Hills</w:t>
            </w:r>
          </w:p>
        </w:tc>
        <w:tc>
          <w:tcPr>
            <w:tcW w:w="1790" w:type="dxa"/>
            <w:tcBorders>
              <w:top w:val="nil"/>
              <w:left w:val="nil"/>
              <w:bottom w:val="single" w:sz="4" w:space="0" w:color="auto"/>
              <w:right w:val="nil"/>
            </w:tcBorders>
            <w:shd w:val="clear" w:color="FFFFFF" w:fill="auto"/>
            <w:noWrap/>
            <w:vAlign w:val="bottom"/>
          </w:tcPr>
          <w:p w14:paraId="2FDB1D23" w14:textId="77777777" w:rsidR="007D0CFE" w:rsidRPr="008659FE" w:rsidRDefault="007D0CFE" w:rsidP="007D0CFE">
            <w:pPr>
              <w:spacing w:before="0" w:after="0" w:line="276" w:lineRule="auto"/>
              <w:jc w:val="right"/>
              <w:rPr>
                <w:rFonts w:ascii="Arial" w:hAnsi="Arial"/>
                <w:sz w:val="16"/>
                <w:szCs w:val="16"/>
                <w:lang w:val="en-AU"/>
              </w:rPr>
            </w:pPr>
            <w:r w:rsidRPr="008659FE">
              <w:rPr>
                <w:rFonts w:ascii="Arial" w:hAnsi="Arial"/>
                <w:sz w:val="16"/>
                <w:szCs w:val="16"/>
                <w:lang w:val="en-AU"/>
              </w:rPr>
              <w:t>NSW - Lindsay</w:t>
            </w:r>
          </w:p>
        </w:tc>
        <w:tc>
          <w:tcPr>
            <w:tcW w:w="1191" w:type="dxa"/>
            <w:tcBorders>
              <w:top w:val="nil"/>
              <w:left w:val="nil"/>
              <w:bottom w:val="single" w:sz="4" w:space="0" w:color="auto"/>
              <w:right w:val="nil"/>
            </w:tcBorders>
            <w:shd w:val="clear" w:color="FFFFFF" w:fill="auto"/>
            <w:noWrap/>
            <w:vAlign w:val="bottom"/>
          </w:tcPr>
          <w:p w14:paraId="03F98802" w14:textId="77777777" w:rsidR="007D0CFE" w:rsidRPr="00353F8D" w:rsidRDefault="007D0CFE" w:rsidP="007D0CFE">
            <w:pPr>
              <w:spacing w:before="0" w:after="0" w:line="276" w:lineRule="auto"/>
              <w:jc w:val="right"/>
              <w:rPr>
                <w:rFonts w:ascii="Arial" w:hAnsi="Arial"/>
                <w:b/>
                <w:bCs/>
                <w:sz w:val="16"/>
                <w:szCs w:val="16"/>
                <w:lang w:val="en-AU"/>
              </w:rPr>
            </w:pPr>
            <w:r w:rsidRPr="00353F8D">
              <w:rPr>
                <w:rFonts w:ascii="Arial" w:hAnsi="Arial"/>
                <w:b/>
                <w:bCs/>
                <w:sz w:val="16"/>
                <w:szCs w:val="16"/>
                <w:lang w:val="en-AU"/>
              </w:rPr>
              <w:t>359.3</w:t>
            </w:r>
          </w:p>
        </w:tc>
        <w:tc>
          <w:tcPr>
            <w:tcW w:w="1413" w:type="dxa"/>
            <w:tcBorders>
              <w:top w:val="nil"/>
              <w:left w:val="nil"/>
              <w:bottom w:val="single" w:sz="4" w:space="0" w:color="auto"/>
              <w:right w:val="nil"/>
            </w:tcBorders>
            <w:shd w:val="clear" w:color="auto" w:fill="auto"/>
            <w:noWrap/>
            <w:vAlign w:val="bottom"/>
          </w:tcPr>
          <w:p w14:paraId="16E3625C" w14:textId="77777777" w:rsidR="007D0CFE" w:rsidRPr="009E4B9D" w:rsidRDefault="007D0CFE" w:rsidP="007D0CFE">
            <w:pPr>
              <w:spacing w:before="0" w:after="0" w:line="276" w:lineRule="auto"/>
              <w:jc w:val="right"/>
              <w:rPr>
                <w:rFonts w:ascii="Arial" w:hAnsi="Arial"/>
                <w:b/>
                <w:sz w:val="16"/>
                <w:szCs w:val="16"/>
                <w:lang w:eastAsia="en-US"/>
              </w:rPr>
            </w:pPr>
            <w:r w:rsidRPr="009E4B9D">
              <w:rPr>
                <w:rFonts w:ascii="Arial" w:hAnsi="Arial"/>
                <w:b/>
                <w:sz w:val="16"/>
                <w:szCs w:val="16"/>
                <w:lang w:eastAsia="en-US"/>
              </w:rPr>
              <w:t>6.0</w:t>
            </w:r>
          </w:p>
        </w:tc>
        <w:tc>
          <w:tcPr>
            <w:tcW w:w="1195" w:type="dxa"/>
            <w:tcBorders>
              <w:top w:val="nil"/>
              <w:left w:val="nil"/>
              <w:bottom w:val="single" w:sz="4" w:space="0" w:color="auto"/>
              <w:right w:val="nil"/>
            </w:tcBorders>
            <w:shd w:val="clear" w:color="auto" w:fill="auto"/>
            <w:noWrap/>
            <w:vAlign w:val="bottom"/>
          </w:tcPr>
          <w:p w14:paraId="2C412EA7" w14:textId="77777777" w:rsidR="007D0CFE" w:rsidRPr="009E4B9D" w:rsidRDefault="007D0CFE" w:rsidP="007D0CFE">
            <w:pPr>
              <w:spacing w:before="0" w:after="0" w:line="276" w:lineRule="auto"/>
              <w:jc w:val="right"/>
              <w:rPr>
                <w:rFonts w:ascii="Arial" w:hAnsi="Arial"/>
                <w:b/>
                <w:sz w:val="16"/>
                <w:szCs w:val="16"/>
                <w:lang w:eastAsia="en-US"/>
              </w:rPr>
            </w:pPr>
            <w:r w:rsidRPr="009E4B9D">
              <w:rPr>
                <w:rFonts w:ascii="Arial" w:hAnsi="Arial"/>
                <w:b/>
                <w:sz w:val="16"/>
                <w:szCs w:val="16"/>
                <w:lang w:eastAsia="en-US"/>
              </w:rPr>
              <w:t>30.0</w:t>
            </w:r>
          </w:p>
        </w:tc>
      </w:tr>
      <w:tr w:rsidR="003F707C" w:rsidRPr="00BA1388" w14:paraId="4CC128E5" w14:textId="77777777" w:rsidTr="003F707C">
        <w:trPr>
          <w:trHeight w:val="227"/>
        </w:trPr>
        <w:tc>
          <w:tcPr>
            <w:tcW w:w="3085" w:type="dxa"/>
            <w:tcBorders>
              <w:top w:val="single" w:sz="4" w:space="0" w:color="auto"/>
              <w:left w:val="nil"/>
              <w:bottom w:val="nil"/>
              <w:right w:val="nil"/>
            </w:tcBorders>
            <w:shd w:val="clear" w:color="FFFFFF" w:fill="auto"/>
            <w:vAlign w:val="bottom"/>
          </w:tcPr>
          <w:p w14:paraId="43A274CD" w14:textId="77777777" w:rsidR="003F707C" w:rsidRPr="008659FE" w:rsidRDefault="003F707C" w:rsidP="003F707C">
            <w:pPr>
              <w:spacing w:before="0" w:after="0" w:line="276" w:lineRule="auto"/>
              <w:rPr>
                <w:rFonts w:ascii="Arial" w:hAnsi="Arial"/>
                <w:sz w:val="16"/>
                <w:szCs w:val="16"/>
                <w:lang w:val="en-AU"/>
              </w:rPr>
            </w:pPr>
            <w:r w:rsidRPr="008659FE">
              <w:rPr>
                <w:rFonts w:ascii="Arial" w:hAnsi="Arial"/>
                <w:b/>
                <w:sz w:val="16"/>
                <w:szCs w:val="16"/>
                <w:lang w:val="en-AU"/>
              </w:rPr>
              <w:t>Airfield Capital Works P0009</w:t>
            </w:r>
            <w:r w:rsidRPr="008659FE">
              <w:rPr>
                <w:rFonts w:ascii="Arial" w:hAnsi="Arial"/>
                <w:b/>
                <w:sz w:val="16"/>
                <w:szCs w:val="16"/>
                <w:lang w:val="en-AU"/>
              </w:rPr>
              <w:br/>
              <w:t>(RAAF Darwin and Mount Bundey)</w:t>
            </w:r>
          </w:p>
        </w:tc>
        <w:tc>
          <w:tcPr>
            <w:tcW w:w="1790" w:type="dxa"/>
            <w:tcBorders>
              <w:top w:val="single" w:sz="4" w:space="0" w:color="auto"/>
              <w:left w:val="nil"/>
              <w:bottom w:val="nil"/>
              <w:right w:val="nil"/>
            </w:tcBorders>
            <w:shd w:val="clear" w:color="FFFFFF" w:fill="auto"/>
            <w:noWrap/>
            <w:vAlign w:val="bottom"/>
          </w:tcPr>
          <w:p w14:paraId="4A67AE5E" w14:textId="77777777" w:rsidR="003F707C" w:rsidRPr="008659FE" w:rsidRDefault="003F707C" w:rsidP="003F707C">
            <w:pPr>
              <w:spacing w:before="0" w:after="0" w:line="276" w:lineRule="auto"/>
              <w:jc w:val="right"/>
              <w:rPr>
                <w:rFonts w:ascii="Arial" w:hAnsi="Arial"/>
                <w:sz w:val="16"/>
                <w:szCs w:val="16"/>
                <w:lang w:val="en-AU"/>
              </w:rPr>
            </w:pPr>
          </w:p>
        </w:tc>
        <w:tc>
          <w:tcPr>
            <w:tcW w:w="1191" w:type="dxa"/>
            <w:tcBorders>
              <w:top w:val="single" w:sz="4" w:space="0" w:color="auto"/>
              <w:left w:val="nil"/>
              <w:bottom w:val="nil"/>
              <w:right w:val="nil"/>
            </w:tcBorders>
            <w:shd w:val="clear" w:color="FFFFFF" w:fill="auto"/>
            <w:noWrap/>
            <w:vAlign w:val="bottom"/>
          </w:tcPr>
          <w:p w14:paraId="06993A72" w14:textId="77777777" w:rsidR="003F707C" w:rsidRPr="00353F8D" w:rsidRDefault="003F707C" w:rsidP="003F707C">
            <w:pPr>
              <w:spacing w:before="0" w:after="0" w:line="276" w:lineRule="auto"/>
              <w:jc w:val="right"/>
              <w:rPr>
                <w:rFonts w:ascii="Arial" w:hAnsi="Arial"/>
                <w:b/>
                <w:bCs/>
                <w:sz w:val="16"/>
                <w:szCs w:val="16"/>
                <w:lang w:val="en-AU"/>
              </w:rPr>
            </w:pPr>
          </w:p>
        </w:tc>
        <w:tc>
          <w:tcPr>
            <w:tcW w:w="1413" w:type="dxa"/>
            <w:tcBorders>
              <w:top w:val="single" w:sz="4" w:space="0" w:color="auto"/>
              <w:left w:val="nil"/>
              <w:bottom w:val="nil"/>
              <w:right w:val="nil"/>
            </w:tcBorders>
            <w:shd w:val="clear" w:color="auto" w:fill="auto"/>
            <w:noWrap/>
            <w:vAlign w:val="bottom"/>
          </w:tcPr>
          <w:p w14:paraId="3F63E947" w14:textId="77777777" w:rsidR="003F707C" w:rsidRPr="009E4B9D" w:rsidRDefault="003F707C" w:rsidP="003F707C">
            <w:pPr>
              <w:spacing w:before="0" w:after="0" w:line="276" w:lineRule="auto"/>
              <w:jc w:val="right"/>
              <w:rPr>
                <w:rFonts w:ascii="Arial" w:hAnsi="Arial"/>
                <w:b/>
                <w:sz w:val="16"/>
                <w:szCs w:val="16"/>
                <w:lang w:eastAsia="en-US"/>
              </w:rPr>
            </w:pPr>
          </w:p>
        </w:tc>
        <w:tc>
          <w:tcPr>
            <w:tcW w:w="1195" w:type="dxa"/>
            <w:tcBorders>
              <w:top w:val="single" w:sz="4" w:space="0" w:color="auto"/>
              <w:left w:val="nil"/>
              <w:bottom w:val="nil"/>
              <w:right w:val="nil"/>
            </w:tcBorders>
            <w:shd w:val="clear" w:color="auto" w:fill="auto"/>
            <w:noWrap/>
            <w:vAlign w:val="bottom"/>
          </w:tcPr>
          <w:p w14:paraId="76F915AB" w14:textId="77777777" w:rsidR="003F707C" w:rsidRPr="009E4B9D" w:rsidRDefault="003F707C" w:rsidP="003F707C">
            <w:pPr>
              <w:spacing w:before="0" w:after="0" w:line="276" w:lineRule="auto"/>
              <w:jc w:val="right"/>
              <w:rPr>
                <w:rFonts w:ascii="Arial" w:hAnsi="Arial"/>
                <w:b/>
                <w:sz w:val="16"/>
                <w:szCs w:val="16"/>
                <w:lang w:eastAsia="en-US"/>
              </w:rPr>
            </w:pPr>
          </w:p>
        </w:tc>
      </w:tr>
      <w:tr w:rsidR="003F707C" w:rsidRPr="00BA1388" w14:paraId="4FDE69E7" w14:textId="77777777" w:rsidTr="003F707C">
        <w:trPr>
          <w:trHeight w:val="227"/>
        </w:trPr>
        <w:tc>
          <w:tcPr>
            <w:tcW w:w="3085" w:type="dxa"/>
            <w:tcBorders>
              <w:top w:val="nil"/>
              <w:left w:val="nil"/>
              <w:bottom w:val="nil"/>
              <w:right w:val="nil"/>
            </w:tcBorders>
            <w:shd w:val="clear" w:color="FFFFFF" w:fill="auto"/>
            <w:vAlign w:val="bottom"/>
          </w:tcPr>
          <w:p w14:paraId="294AC910" w14:textId="77777777" w:rsidR="003F707C" w:rsidRPr="008659FE" w:rsidRDefault="003F707C" w:rsidP="003F707C">
            <w:pPr>
              <w:spacing w:before="0" w:after="0" w:line="276" w:lineRule="auto"/>
              <w:ind w:left="179"/>
              <w:rPr>
                <w:rFonts w:ascii="Arial" w:hAnsi="Arial"/>
                <w:sz w:val="16"/>
                <w:szCs w:val="16"/>
                <w:lang w:val="en-AU"/>
              </w:rPr>
            </w:pPr>
            <w:r w:rsidRPr="008659FE">
              <w:rPr>
                <w:rFonts w:ascii="Arial" w:hAnsi="Arial"/>
                <w:sz w:val="16"/>
                <w:szCs w:val="16"/>
                <w:lang w:val="en-AU"/>
              </w:rPr>
              <w:t>RAAF Darwin</w:t>
            </w:r>
          </w:p>
        </w:tc>
        <w:tc>
          <w:tcPr>
            <w:tcW w:w="1790" w:type="dxa"/>
            <w:tcBorders>
              <w:top w:val="nil"/>
              <w:left w:val="nil"/>
              <w:bottom w:val="nil"/>
              <w:right w:val="nil"/>
            </w:tcBorders>
            <w:shd w:val="clear" w:color="FFFFFF" w:fill="auto"/>
            <w:noWrap/>
            <w:vAlign w:val="bottom"/>
          </w:tcPr>
          <w:p w14:paraId="3510258F" w14:textId="77777777" w:rsidR="003F707C" w:rsidRPr="008659FE" w:rsidRDefault="003F707C" w:rsidP="003F707C">
            <w:pPr>
              <w:spacing w:before="0" w:after="0" w:line="276" w:lineRule="auto"/>
              <w:jc w:val="right"/>
              <w:rPr>
                <w:rFonts w:ascii="Arial" w:hAnsi="Arial"/>
                <w:sz w:val="16"/>
                <w:szCs w:val="16"/>
                <w:lang w:val="en-AU"/>
              </w:rPr>
            </w:pPr>
            <w:r w:rsidRPr="008659FE">
              <w:rPr>
                <w:rFonts w:ascii="Arial" w:hAnsi="Arial"/>
                <w:sz w:val="16"/>
                <w:szCs w:val="16"/>
                <w:lang w:val="en-AU"/>
              </w:rPr>
              <w:t>NT - Solomon</w:t>
            </w:r>
          </w:p>
        </w:tc>
        <w:tc>
          <w:tcPr>
            <w:tcW w:w="1191" w:type="dxa"/>
            <w:tcBorders>
              <w:top w:val="nil"/>
              <w:left w:val="nil"/>
              <w:bottom w:val="nil"/>
              <w:right w:val="nil"/>
            </w:tcBorders>
            <w:shd w:val="clear" w:color="FFFFFF" w:fill="auto"/>
            <w:noWrap/>
            <w:vAlign w:val="bottom"/>
          </w:tcPr>
          <w:p w14:paraId="477DA203" w14:textId="77777777" w:rsidR="003F707C" w:rsidRPr="00353F8D" w:rsidRDefault="003F707C" w:rsidP="003F707C">
            <w:pPr>
              <w:spacing w:before="0" w:after="0" w:line="276" w:lineRule="auto"/>
              <w:jc w:val="right"/>
              <w:rPr>
                <w:rFonts w:ascii="Arial" w:hAnsi="Arial"/>
                <w:b/>
                <w:bCs/>
                <w:sz w:val="16"/>
                <w:szCs w:val="16"/>
                <w:lang w:val="en-AU"/>
              </w:rPr>
            </w:pPr>
          </w:p>
        </w:tc>
        <w:tc>
          <w:tcPr>
            <w:tcW w:w="1413" w:type="dxa"/>
            <w:tcBorders>
              <w:top w:val="nil"/>
              <w:left w:val="nil"/>
              <w:bottom w:val="nil"/>
              <w:right w:val="nil"/>
            </w:tcBorders>
            <w:shd w:val="clear" w:color="auto" w:fill="auto"/>
            <w:noWrap/>
            <w:vAlign w:val="bottom"/>
          </w:tcPr>
          <w:p w14:paraId="39BD165F" w14:textId="77777777" w:rsidR="003F707C" w:rsidRPr="009E4B9D" w:rsidRDefault="003F707C" w:rsidP="003F707C">
            <w:pPr>
              <w:spacing w:before="0" w:after="0" w:line="276" w:lineRule="auto"/>
              <w:jc w:val="right"/>
              <w:rPr>
                <w:rFonts w:ascii="Arial" w:hAnsi="Arial"/>
                <w:sz w:val="16"/>
                <w:szCs w:val="16"/>
                <w:lang w:eastAsia="en-US"/>
              </w:rPr>
            </w:pPr>
            <w:r w:rsidRPr="009E4B9D">
              <w:rPr>
                <w:rFonts w:ascii="Arial" w:hAnsi="Arial"/>
                <w:sz w:val="16"/>
                <w:szCs w:val="16"/>
                <w:lang w:eastAsia="en-US"/>
              </w:rPr>
              <w:t>287.7</w:t>
            </w:r>
          </w:p>
        </w:tc>
        <w:tc>
          <w:tcPr>
            <w:tcW w:w="1195" w:type="dxa"/>
            <w:tcBorders>
              <w:top w:val="nil"/>
              <w:left w:val="nil"/>
              <w:bottom w:val="nil"/>
              <w:right w:val="nil"/>
            </w:tcBorders>
            <w:shd w:val="clear" w:color="auto" w:fill="auto"/>
            <w:noWrap/>
            <w:vAlign w:val="bottom"/>
          </w:tcPr>
          <w:p w14:paraId="261006B7" w14:textId="77777777" w:rsidR="003F707C" w:rsidRPr="009E4B9D" w:rsidRDefault="003F707C" w:rsidP="003F707C">
            <w:pPr>
              <w:spacing w:before="0" w:after="0" w:line="276" w:lineRule="auto"/>
              <w:jc w:val="right"/>
              <w:rPr>
                <w:rFonts w:ascii="Arial" w:hAnsi="Arial"/>
                <w:sz w:val="16"/>
                <w:szCs w:val="16"/>
                <w:lang w:eastAsia="en-US"/>
              </w:rPr>
            </w:pPr>
            <w:r w:rsidRPr="009E4B9D">
              <w:rPr>
                <w:rFonts w:ascii="Arial" w:hAnsi="Arial"/>
                <w:sz w:val="16"/>
                <w:szCs w:val="16"/>
                <w:lang w:eastAsia="en-US"/>
              </w:rPr>
              <w:t>21.3</w:t>
            </w:r>
          </w:p>
        </w:tc>
      </w:tr>
      <w:tr w:rsidR="003F707C" w:rsidRPr="00BA1388" w14:paraId="2964AEC9" w14:textId="77777777" w:rsidTr="003F707C">
        <w:trPr>
          <w:trHeight w:val="227"/>
        </w:trPr>
        <w:tc>
          <w:tcPr>
            <w:tcW w:w="3085" w:type="dxa"/>
            <w:tcBorders>
              <w:top w:val="nil"/>
              <w:left w:val="nil"/>
              <w:bottom w:val="nil"/>
              <w:right w:val="nil"/>
            </w:tcBorders>
            <w:shd w:val="clear" w:color="FFFFFF" w:fill="auto"/>
            <w:vAlign w:val="bottom"/>
          </w:tcPr>
          <w:p w14:paraId="2291B170" w14:textId="77777777" w:rsidR="003F707C" w:rsidRPr="008659FE" w:rsidRDefault="003F707C" w:rsidP="003F707C">
            <w:pPr>
              <w:spacing w:before="0" w:after="0" w:line="276" w:lineRule="auto"/>
              <w:ind w:left="179"/>
              <w:rPr>
                <w:rFonts w:ascii="Arial" w:hAnsi="Arial"/>
                <w:sz w:val="16"/>
                <w:szCs w:val="16"/>
                <w:lang w:val="en-AU"/>
              </w:rPr>
            </w:pPr>
            <w:r w:rsidRPr="008659FE">
              <w:rPr>
                <w:rFonts w:ascii="Arial" w:hAnsi="Arial"/>
                <w:sz w:val="16"/>
                <w:szCs w:val="16"/>
                <w:lang w:val="en-AU"/>
              </w:rPr>
              <w:t>Mount Bundey</w:t>
            </w:r>
          </w:p>
        </w:tc>
        <w:tc>
          <w:tcPr>
            <w:tcW w:w="1790" w:type="dxa"/>
            <w:tcBorders>
              <w:top w:val="nil"/>
              <w:left w:val="nil"/>
              <w:bottom w:val="nil"/>
              <w:right w:val="nil"/>
            </w:tcBorders>
            <w:shd w:val="clear" w:color="FFFFFF" w:fill="auto"/>
            <w:noWrap/>
            <w:vAlign w:val="bottom"/>
          </w:tcPr>
          <w:p w14:paraId="4A50EC74" w14:textId="77777777" w:rsidR="003F707C" w:rsidRPr="008659FE" w:rsidRDefault="003F707C" w:rsidP="003F707C">
            <w:pPr>
              <w:spacing w:before="0" w:after="0" w:line="276" w:lineRule="auto"/>
              <w:jc w:val="right"/>
              <w:rPr>
                <w:rFonts w:ascii="Arial" w:hAnsi="Arial"/>
                <w:sz w:val="16"/>
                <w:szCs w:val="16"/>
                <w:lang w:val="en-AU"/>
              </w:rPr>
            </w:pPr>
            <w:r w:rsidRPr="008659FE">
              <w:rPr>
                <w:rFonts w:ascii="Arial" w:hAnsi="Arial"/>
                <w:sz w:val="16"/>
                <w:szCs w:val="16"/>
                <w:lang w:val="en-AU"/>
              </w:rPr>
              <w:t>NT - Lingiari</w:t>
            </w:r>
          </w:p>
        </w:tc>
        <w:tc>
          <w:tcPr>
            <w:tcW w:w="1191" w:type="dxa"/>
            <w:tcBorders>
              <w:top w:val="nil"/>
              <w:left w:val="nil"/>
              <w:bottom w:val="nil"/>
              <w:right w:val="nil"/>
            </w:tcBorders>
            <w:shd w:val="clear" w:color="FFFFFF" w:fill="auto"/>
            <w:noWrap/>
            <w:vAlign w:val="bottom"/>
          </w:tcPr>
          <w:p w14:paraId="1D8C0505" w14:textId="77777777" w:rsidR="003F707C" w:rsidRPr="00353F8D" w:rsidRDefault="003F707C" w:rsidP="003F707C">
            <w:pPr>
              <w:spacing w:before="0" w:after="0" w:line="276" w:lineRule="auto"/>
              <w:jc w:val="right"/>
              <w:rPr>
                <w:rFonts w:ascii="Arial" w:hAnsi="Arial"/>
                <w:b/>
                <w:bCs/>
                <w:sz w:val="16"/>
                <w:szCs w:val="16"/>
                <w:lang w:val="en-AU"/>
              </w:rPr>
            </w:pPr>
          </w:p>
        </w:tc>
        <w:tc>
          <w:tcPr>
            <w:tcW w:w="1413" w:type="dxa"/>
            <w:tcBorders>
              <w:top w:val="nil"/>
              <w:left w:val="nil"/>
              <w:bottom w:val="nil"/>
              <w:right w:val="nil"/>
            </w:tcBorders>
            <w:shd w:val="clear" w:color="auto" w:fill="auto"/>
            <w:noWrap/>
            <w:vAlign w:val="bottom"/>
          </w:tcPr>
          <w:p w14:paraId="1FA9535B" w14:textId="77777777" w:rsidR="003F707C" w:rsidRPr="009E4B9D" w:rsidRDefault="003F707C" w:rsidP="003F707C">
            <w:pPr>
              <w:spacing w:before="0" w:after="0" w:line="276" w:lineRule="auto"/>
              <w:jc w:val="right"/>
              <w:rPr>
                <w:rFonts w:ascii="Arial" w:hAnsi="Arial"/>
                <w:sz w:val="16"/>
                <w:szCs w:val="16"/>
                <w:lang w:eastAsia="en-US"/>
              </w:rPr>
            </w:pPr>
            <w:r w:rsidRPr="009E4B9D">
              <w:rPr>
                <w:rFonts w:ascii="Arial" w:hAnsi="Arial"/>
                <w:sz w:val="16"/>
                <w:szCs w:val="16"/>
                <w:lang w:eastAsia="en-US"/>
              </w:rPr>
              <w:t>5.1</w:t>
            </w:r>
          </w:p>
        </w:tc>
        <w:tc>
          <w:tcPr>
            <w:tcW w:w="1195" w:type="dxa"/>
            <w:tcBorders>
              <w:top w:val="nil"/>
              <w:left w:val="nil"/>
              <w:bottom w:val="nil"/>
              <w:right w:val="nil"/>
            </w:tcBorders>
            <w:shd w:val="clear" w:color="auto" w:fill="auto"/>
            <w:noWrap/>
            <w:vAlign w:val="bottom"/>
          </w:tcPr>
          <w:p w14:paraId="3DEF88ED" w14:textId="77777777" w:rsidR="003F707C" w:rsidRPr="009E4B9D" w:rsidRDefault="003F707C" w:rsidP="003F707C">
            <w:pPr>
              <w:spacing w:before="0" w:after="0" w:line="276" w:lineRule="auto"/>
              <w:jc w:val="right"/>
              <w:rPr>
                <w:rFonts w:ascii="Arial" w:hAnsi="Arial"/>
                <w:sz w:val="16"/>
                <w:szCs w:val="16"/>
                <w:lang w:eastAsia="en-US"/>
              </w:rPr>
            </w:pPr>
            <w:r w:rsidRPr="009E4B9D">
              <w:rPr>
                <w:rFonts w:ascii="Arial" w:hAnsi="Arial"/>
                <w:sz w:val="16"/>
                <w:szCs w:val="16"/>
                <w:lang w:eastAsia="en-US"/>
              </w:rPr>
              <w:t>8.2</w:t>
            </w:r>
          </w:p>
        </w:tc>
      </w:tr>
      <w:tr w:rsidR="003F707C" w:rsidRPr="00BA1388" w14:paraId="0B67D6DA" w14:textId="77777777" w:rsidTr="003F707C">
        <w:trPr>
          <w:trHeight w:val="227"/>
        </w:trPr>
        <w:tc>
          <w:tcPr>
            <w:tcW w:w="3085" w:type="dxa"/>
            <w:tcBorders>
              <w:top w:val="nil"/>
              <w:left w:val="nil"/>
              <w:bottom w:val="single" w:sz="4" w:space="0" w:color="auto"/>
              <w:right w:val="nil"/>
            </w:tcBorders>
            <w:shd w:val="clear" w:color="FFFFFF" w:fill="auto"/>
            <w:vAlign w:val="bottom"/>
          </w:tcPr>
          <w:p w14:paraId="169221D3" w14:textId="77777777" w:rsidR="003F707C" w:rsidRPr="008659FE" w:rsidRDefault="003F707C" w:rsidP="003F707C">
            <w:pPr>
              <w:spacing w:before="0" w:after="0" w:line="276" w:lineRule="auto"/>
              <w:rPr>
                <w:rFonts w:ascii="Arial" w:hAnsi="Arial"/>
                <w:sz w:val="16"/>
                <w:szCs w:val="16"/>
                <w:lang w:val="en-AU"/>
              </w:rPr>
            </w:pPr>
            <w:r w:rsidRPr="008659FE">
              <w:rPr>
                <w:rFonts w:ascii="Arial" w:hAnsi="Arial"/>
                <w:b/>
                <w:sz w:val="16"/>
                <w:szCs w:val="16"/>
                <w:lang w:val="en-AU"/>
              </w:rPr>
              <w:t>Total</w:t>
            </w:r>
          </w:p>
        </w:tc>
        <w:tc>
          <w:tcPr>
            <w:tcW w:w="1790" w:type="dxa"/>
            <w:tcBorders>
              <w:top w:val="nil"/>
              <w:left w:val="nil"/>
              <w:bottom w:val="single" w:sz="4" w:space="0" w:color="auto"/>
              <w:right w:val="nil"/>
            </w:tcBorders>
            <w:shd w:val="clear" w:color="FFFFFF" w:fill="auto"/>
            <w:noWrap/>
            <w:vAlign w:val="bottom"/>
          </w:tcPr>
          <w:p w14:paraId="7F285618" w14:textId="77777777" w:rsidR="003F707C" w:rsidRPr="008659FE" w:rsidRDefault="003F707C" w:rsidP="003F707C">
            <w:pPr>
              <w:spacing w:before="0" w:after="0" w:line="276" w:lineRule="auto"/>
              <w:jc w:val="right"/>
              <w:rPr>
                <w:rFonts w:ascii="Arial" w:hAnsi="Arial"/>
                <w:sz w:val="16"/>
                <w:szCs w:val="16"/>
                <w:lang w:val="en-AU"/>
              </w:rPr>
            </w:pPr>
          </w:p>
        </w:tc>
        <w:tc>
          <w:tcPr>
            <w:tcW w:w="1191" w:type="dxa"/>
            <w:tcBorders>
              <w:top w:val="nil"/>
              <w:left w:val="nil"/>
              <w:bottom w:val="single" w:sz="4" w:space="0" w:color="auto"/>
              <w:right w:val="nil"/>
            </w:tcBorders>
            <w:shd w:val="clear" w:color="FFFFFF" w:fill="auto"/>
            <w:noWrap/>
            <w:vAlign w:val="bottom"/>
          </w:tcPr>
          <w:p w14:paraId="497BCAA2" w14:textId="77777777" w:rsidR="003F707C" w:rsidRPr="00353F8D" w:rsidRDefault="003F707C" w:rsidP="003F707C">
            <w:pPr>
              <w:spacing w:before="0" w:after="0" w:line="276" w:lineRule="auto"/>
              <w:jc w:val="right"/>
              <w:rPr>
                <w:rFonts w:ascii="Arial" w:hAnsi="Arial"/>
                <w:b/>
                <w:bCs/>
                <w:sz w:val="16"/>
                <w:szCs w:val="16"/>
                <w:lang w:val="en-AU"/>
              </w:rPr>
            </w:pPr>
            <w:r w:rsidRPr="00353F8D">
              <w:rPr>
                <w:rFonts w:ascii="Arial" w:hAnsi="Arial"/>
                <w:b/>
                <w:bCs/>
                <w:sz w:val="16"/>
                <w:szCs w:val="16"/>
                <w:lang w:val="en-AU"/>
              </w:rPr>
              <w:t>351.7</w:t>
            </w:r>
          </w:p>
        </w:tc>
        <w:tc>
          <w:tcPr>
            <w:tcW w:w="1413" w:type="dxa"/>
            <w:tcBorders>
              <w:top w:val="nil"/>
              <w:left w:val="nil"/>
              <w:bottom w:val="single" w:sz="4" w:space="0" w:color="auto"/>
              <w:right w:val="nil"/>
            </w:tcBorders>
            <w:shd w:val="clear" w:color="auto" w:fill="auto"/>
            <w:noWrap/>
            <w:vAlign w:val="bottom"/>
          </w:tcPr>
          <w:p w14:paraId="2D1982B1" w14:textId="77777777" w:rsidR="003F707C" w:rsidRPr="009E4B9D" w:rsidRDefault="003F707C" w:rsidP="003F707C">
            <w:pPr>
              <w:spacing w:before="0" w:after="0" w:line="276" w:lineRule="auto"/>
              <w:jc w:val="right"/>
              <w:rPr>
                <w:rFonts w:ascii="Arial" w:hAnsi="Arial"/>
                <w:b/>
                <w:sz w:val="16"/>
                <w:szCs w:val="16"/>
                <w:lang w:eastAsia="en-US"/>
              </w:rPr>
            </w:pPr>
            <w:r w:rsidRPr="009E4B9D">
              <w:rPr>
                <w:rFonts w:ascii="Arial" w:hAnsi="Arial"/>
                <w:b/>
                <w:sz w:val="16"/>
                <w:szCs w:val="16"/>
                <w:lang w:eastAsia="en-US"/>
              </w:rPr>
              <w:t>292.8</w:t>
            </w:r>
          </w:p>
        </w:tc>
        <w:tc>
          <w:tcPr>
            <w:tcW w:w="1195" w:type="dxa"/>
            <w:tcBorders>
              <w:top w:val="nil"/>
              <w:left w:val="nil"/>
              <w:bottom w:val="single" w:sz="4" w:space="0" w:color="auto"/>
              <w:right w:val="nil"/>
            </w:tcBorders>
            <w:shd w:val="clear" w:color="auto" w:fill="auto"/>
            <w:noWrap/>
            <w:vAlign w:val="bottom"/>
          </w:tcPr>
          <w:p w14:paraId="46B791F9" w14:textId="77777777" w:rsidR="003F707C" w:rsidRPr="009E4B9D" w:rsidRDefault="003F707C" w:rsidP="003F707C">
            <w:pPr>
              <w:spacing w:before="0" w:after="0" w:line="276" w:lineRule="auto"/>
              <w:jc w:val="right"/>
              <w:rPr>
                <w:rFonts w:ascii="Arial" w:hAnsi="Arial"/>
                <w:b/>
                <w:sz w:val="16"/>
                <w:szCs w:val="16"/>
                <w:lang w:eastAsia="en-US"/>
              </w:rPr>
            </w:pPr>
            <w:r w:rsidRPr="009E4B9D">
              <w:rPr>
                <w:rFonts w:ascii="Arial" w:hAnsi="Arial"/>
                <w:b/>
                <w:sz w:val="16"/>
                <w:szCs w:val="16"/>
                <w:lang w:eastAsia="en-US"/>
              </w:rPr>
              <w:t>29.5</w:t>
            </w:r>
          </w:p>
        </w:tc>
      </w:tr>
      <w:tr w:rsidR="00FB0744" w:rsidRPr="00BA1388" w14:paraId="0C712187" w14:textId="77777777" w:rsidTr="003F707C">
        <w:trPr>
          <w:trHeight w:val="227"/>
        </w:trPr>
        <w:tc>
          <w:tcPr>
            <w:tcW w:w="3085" w:type="dxa"/>
            <w:tcBorders>
              <w:top w:val="single" w:sz="4" w:space="0" w:color="auto"/>
              <w:left w:val="nil"/>
              <w:bottom w:val="nil"/>
              <w:right w:val="nil"/>
            </w:tcBorders>
            <w:shd w:val="clear" w:color="FFFFFF" w:fill="auto"/>
            <w:vAlign w:val="bottom"/>
          </w:tcPr>
          <w:p w14:paraId="29AA110F" w14:textId="343F8BF4" w:rsidR="00FB0744" w:rsidRPr="008659FE" w:rsidRDefault="00A13DDC" w:rsidP="00A13DDC">
            <w:pPr>
              <w:spacing w:before="0" w:after="0" w:line="276" w:lineRule="auto"/>
              <w:rPr>
                <w:rFonts w:ascii="Arial" w:hAnsi="Arial"/>
                <w:b/>
                <w:sz w:val="16"/>
                <w:szCs w:val="16"/>
                <w:lang w:val="en-AU"/>
              </w:rPr>
            </w:pPr>
            <w:r>
              <w:rPr>
                <w:rFonts w:ascii="Arial" w:hAnsi="Arial"/>
                <w:b/>
                <w:sz w:val="16"/>
                <w:szCs w:val="16"/>
                <w:lang w:val="en-AU"/>
              </w:rPr>
              <w:t>Edinburgh Defence Precinct Mid</w:t>
            </w:r>
            <w:r>
              <w:rPr>
                <w:rFonts w:ascii="Arial" w:hAnsi="Arial"/>
                <w:b/>
                <w:sz w:val="16"/>
                <w:szCs w:val="16"/>
                <w:lang w:val="en-AU"/>
              </w:rPr>
              <w:noBreakHyphen/>
              <w:t>T</w:t>
            </w:r>
            <w:r w:rsidR="00FB0744" w:rsidRPr="008659FE">
              <w:rPr>
                <w:rFonts w:ascii="Arial" w:hAnsi="Arial"/>
                <w:b/>
                <w:sz w:val="16"/>
                <w:szCs w:val="16"/>
                <w:lang w:val="en-AU"/>
              </w:rPr>
              <w:t>erm Refresh</w:t>
            </w:r>
          </w:p>
        </w:tc>
        <w:tc>
          <w:tcPr>
            <w:tcW w:w="1790" w:type="dxa"/>
            <w:tcBorders>
              <w:top w:val="single" w:sz="4" w:space="0" w:color="auto"/>
              <w:left w:val="nil"/>
              <w:bottom w:val="nil"/>
              <w:right w:val="nil"/>
            </w:tcBorders>
            <w:shd w:val="clear" w:color="FFFFFF" w:fill="auto"/>
            <w:noWrap/>
            <w:vAlign w:val="bottom"/>
          </w:tcPr>
          <w:p w14:paraId="7C5D3833" w14:textId="77777777" w:rsidR="00FB0744" w:rsidRPr="008659FE" w:rsidRDefault="00FB0744" w:rsidP="00FB0744">
            <w:pPr>
              <w:spacing w:before="0" w:after="0" w:line="276" w:lineRule="auto"/>
              <w:jc w:val="right"/>
              <w:rPr>
                <w:rFonts w:ascii="Arial" w:hAnsi="Arial"/>
                <w:sz w:val="16"/>
                <w:szCs w:val="16"/>
                <w:lang w:val="en-AU"/>
              </w:rPr>
            </w:pPr>
          </w:p>
        </w:tc>
        <w:tc>
          <w:tcPr>
            <w:tcW w:w="1191" w:type="dxa"/>
            <w:tcBorders>
              <w:top w:val="single" w:sz="4" w:space="0" w:color="auto"/>
              <w:left w:val="nil"/>
              <w:bottom w:val="nil"/>
              <w:right w:val="nil"/>
            </w:tcBorders>
            <w:shd w:val="clear" w:color="FFFFFF" w:fill="auto"/>
            <w:noWrap/>
            <w:vAlign w:val="bottom"/>
          </w:tcPr>
          <w:p w14:paraId="1F41EEDF" w14:textId="77777777" w:rsidR="00FB0744" w:rsidRPr="00353F8D" w:rsidRDefault="00FB0744" w:rsidP="00FB0744">
            <w:pPr>
              <w:spacing w:before="0" w:after="0" w:line="276" w:lineRule="auto"/>
              <w:jc w:val="right"/>
              <w:rPr>
                <w:rFonts w:ascii="Arial" w:hAnsi="Arial"/>
                <w:b/>
                <w:bCs/>
                <w:sz w:val="16"/>
                <w:szCs w:val="16"/>
                <w:lang w:val="en-AU"/>
              </w:rPr>
            </w:pPr>
          </w:p>
        </w:tc>
        <w:tc>
          <w:tcPr>
            <w:tcW w:w="1413" w:type="dxa"/>
            <w:tcBorders>
              <w:top w:val="single" w:sz="4" w:space="0" w:color="auto"/>
              <w:left w:val="nil"/>
              <w:bottom w:val="nil"/>
              <w:right w:val="nil"/>
            </w:tcBorders>
            <w:shd w:val="clear" w:color="auto" w:fill="auto"/>
            <w:noWrap/>
            <w:vAlign w:val="bottom"/>
          </w:tcPr>
          <w:p w14:paraId="3F759BAE" w14:textId="77777777" w:rsidR="00FB0744" w:rsidRPr="009E4B9D" w:rsidRDefault="00FB0744" w:rsidP="00FB0744">
            <w:pPr>
              <w:spacing w:before="0" w:after="0" w:line="276" w:lineRule="auto"/>
              <w:jc w:val="right"/>
              <w:rPr>
                <w:rFonts w:ascii="Arial" w:hAnsi="Arial"/>
                <w:b/>
                <w:sz w:val="16"/>
                <w:szCs w:val="16"/>
                <w:lang w:eastAsia="en-US"/>
              </w:rPr>
            </w:pPr>
          </w:p>
        </w:tc>
        <w:tc>
          <w:tcPr>
            <w:tcW w:w="1195" w:type="dxa"/>
            <w:tcBorders>
              <w:top w:val="single" w:sz="4" w:space="0" w:color="auto"/>
              <w:left w:val="nil"/>
              <w:bottom w:val="nil"/>
              <w:right w:val="nil"/>
            </w:tcBorders>
            <w:shd w:val="clear" w:color="auto" w:fill="auto"/>
            <w:noWrap/>
            <w:vAlign w:val="bottom"/>
          </w:tcPr>
          <w:p w14:paraId="1DE244AB" w14:textId="77777777" w:rsidR="00FB0744" w:rsidRPr="009E4B9D" w:rsidRDefault="00FB0744" w:rsidP="00FB0744">
            <w:pPr>
              <w:spacing w:before="0" w:after="0" w:line="276" w:lineRule="auto"/>
              <w:jc w:val="right"/>
              <w:rPr>
                <w:rFonts w:ascii="Arial" w:hAnsi="Arial"/>
                <w:b/>
                <w:sz w:val="16"/>
                <w:szCs w:val="16"/>
                <w:lang w:eastAsia="en-US"/>
              </w:rPr>
            </w:pPr>
          </w:p>
        </w:tc>
      </w:tr>
      <w:tr w:rsidR="00FB0744" w:rsidRPr="00BA1388" w14:paraId="74DE1BD4" w14:textId="77777777" w:rsidTr="00FB0744">
        <w:trPr>
          <w:trHeight w:val="227"/>
        </w:trPr>
        <w:tc>
          <w:tcPr>
            <w:tcW w:w="3085" w:type="dxa"/>
            <w:tcBorders>
              <w:top w:val="nil"/>
              <w:left w:val="nil"/>
              <w:bottom w:val="single" w:sz="4" w:space="0" w:color="auto"/>
              <w:right w:val="nil"/>
            </w:tcBorders>
            <w:shd w:val="clear" w:color="FFFFFF" w:fill="auto"/>
            <w:vAlign w:val="bottom"/>
          </w:tcPr>
          <w:p w14:paraId="6B1FDD81" w14:textId="77777777" w:rsidR="00FB0744" w:rsidRPr="008659FE" w:rsidRDefault="00FB0744" w:rsidP="00FB0744">
            <w:pPr>
              <w:spacing w:before="0" w:after="0" w:line="276" w:lineRule="auto"/>
              <w:ind w:left="179"/>
              <w:rPr>
                <w:rFonts w:ascii="Arial" w:hAnsi="Arial"/>
                <w:b/>
                <w:sz w:val="16"/>
                <w:szCs w:val="16"/>
                <w:lang w:val="en-AU"/>
              </w:rPr>
            </w:pPr>
            <w:r w:rsidRPr="008659FE">
              <w:rPr>
                <w:rFonts w:ascii="Arial" w:hAnsi="Arial"/>
                <w:sz w:val="16"/>
                <w:szCs w:val="16"/>
                <w:lang w:val="en-AU"/>
              </w:rPr>
              <w:t>RAAF Edinburgh</w:t>
            </w:r>
          </w:p>
        </w:tc>
        <w:tc>
          <w:tcPr>
            <w:tcW w:w="1790" w:type="dxa"/>
            <w:tcBorders>
              <w:top w:val="nil"/>
              <w:left w:val="nil"/>
              <w:bottom w:val="single" w:sz="4" w:space="0" w:color="auto"/>
              <w:right w:val="nil"/>
            </w:tcBorders>
            <w:shd w:val="clear" w:color="FFFFFF" w:fill="auto"/>
            <w:noWrap/>
            <w:vAlign w:val="bottom"/>
          </w:tcPr>
          <w:p w14:paraId="4081972C" w14:textId="77777777" w:rsidR="00FB0744" w:rsidRPr="008659FE" w:rsidRDefault="00FB0744" w:rsidP="00FB0744">
            <w:pPr>
              <w:spacing w:before="0" w:after="0" w:line="276" w:lineRule="auto"/>
              <w:jc w:val="right"/>
              <w:rPr>
                <w:rFonts w:ascii="Arial" w:hAnsi="Arial"/>
                <w:sz w:val="16"/>
                <w:szCs w:val="16"/>
                <w:lang w:val="en-AU"/>
              </w:rPr>
            </w:pPr>
            <w:r w:rsidRPr="008659FE">
              <w:rPr>
                <w:rFonts w:ascii="Arial" w:hAnsi="Arial"/>
                <w:sz w:val="16"/>
                <w:szCs w:val="16"/>
                <w:lang w:val="en-AU"/>
              </w:rPr>
              <w:t>SA - Spence</w:t>
            </w:r>
          </w:p>
        </w:tc>
        <w:tc>
          <w:tcPr>
            <w:tcW w:w="1191" w:type="dxa"/>
            <w:tcBorders>
              <w:top w:val="nil"/>
              <w:left w:val="nil"/>
              <w:bottom w:val="single" w:sz="4" w:space="0" w:color="auto"/>
              <w:right w:val="nil"/>
            </w:tcBorders>
            <w:shd w:val="clear" w:color="FFFFFF" w:fill="auto"/>
            <w:noWrap/>
            <w:vAlign w:val="bottom"/>
          </w:tcPr>
          <w:p w14:paraId="46914FD2" w14:textId="77777777" w:rsidR="00FB0744" w:rsidRPr="00353F8D" w:rsidRDefault="00FB0744" w:rsidP="00FB0744">
            <w:pPr>
              <w:spacing w:before="0" w:after="0" w:line="276" w:lineRule="auto"/>
              <w:jc w:val="right"/>
              <w:rPr>
                <w:rFonts w:ascii="Arial" w:hAnsi="Arial"/>
                <w:b/>
                <w:bCs/>
                <w:sz w:val="16"/>
                <w:szCs w:val="16"/>
                <w:lang w:val="en-AU"/>
              </w:rPr>
            </w:pPr>
            <w:r w:rsidRPr="00353F8D">
              <w:rPr>
                <w:rFonts w:ascii="Arial" w:hAnsi="Arial"/>
                <w:b/>
                <w:bCs/>
                <w:sz w:val="16"/>
                <w:szCs w:val="16"/>
                <w:lang w:val="en-AU"/>
              </w:rPr>
              <w:t>311.9</w:t>
            </w:r>
          </w:p>
        </w:tc>
        <w:tc>
          <w:tcPr>
            <w:tcW w:w="1413" w:type="dxa"/>
            <w:tcBorders>
              <w:top w:val="nil"/>
              <w:left w:val="nil"/>
              <w:bottom w:val="single" w:sz="4" w:space="0" w:color="auto"/>
              <w:right w:val="nil"/>
            </w:tcBorders>
            <w:shd w:val="clear" w:color="auto" w:fill="auto"/>
            <w:noWrap/>
            <w:vAlign w:val="bottom"/>
          </w:tcPr>
          <w:p w14:paraId="4FB00727" w14:textId="77777777" w:rsidR="00FB0744" w:rsidRPr="009E4B9D" w:rsidRDefault="00FB0744" w:rsidP="00FB0744">
            <w:pPr>
              <w:spacing w:before="0" w:after="0" w:line="276" w:lineRule="auto"/>
              <w:jc w:val="right"/>
              <w:rPr>
                <w:rFonts w:ascii="Arial" w:hAnsi="Arial"/>
                <w:b/>
                <w:sz w:val="16"/>
                <w:szCs w:val="16"/>
                <w:lang w:eastAsia="en-US"/>
              </w:rPr>
            </w:pPr>
            <w:r w:rsidRPr="009E4B9D">
              <w:rPr>
                <w:rFonts w:ascii="Arial" w:hAnsi="Arial"/>
                <w:b/>
                <w:sz w:val="16"/>
                <w:szCs w:val="16"/>
                <w:lang w:eastAsia="en-US"/>
              </w:rPr>
              <w:t>17.9</w:t>
            </w:r>
          </w:p>
        </w:tc>
        <w:tc>
          <w:tcPr>
            <w:tcW w:w="1195" w:type="dxa"/>
            <w:tcBorders>
              <w:top w:val="nil"/>
              <w:left w:val="nil"/>
              <w:bottom w:val="single" w:sz="4" w:space="0" w:color="auto"/>
              <w:right w:val="nil"/>
            </w:tcBorders>
            <w:shd w:val="clear" w:color="auto" w:fill="auto"/>
            <w:noWrap/>
            <w:vAlign w:val="bottom"/>
          </w:tcPr>
          <w:p w14:paraId="2F0F312B" w14:textId="77777777" w:rsidR="00FB0744" w:rsidRPr="009E4B9D" w:rsidRDefault="00FB0744" w:rsidP="00FB0744">
            <w:pPr>
              <w:spacing w:before="0" w:after="0" w:line="276" w:lineRule="auto"/>
              <w:jc w:val="right"/>
              <w:rPr>
                <w:rFonts w:ascii="Arial" w:hAnsi="Arial"/>
                <w:b/>
                <w:sz w:val="16"/>
                <w:szCs w:val="16"/>
                <w:lang w:eastAsia="en-US"/>
              </w:rPr>
            </w:pPr>
            <w:r w:rsidRPr="009E4B9D">
              <w:rPr>
                <w:rFonts w:ascii="Arial" w:hAnsi="Arial"/>
                <w:b/>
                <w:sz w:val="16"/>
                <w:szCs w:val="16"/>
                <w:lang w:eastAsia="en-US"/>
              </w:rPr>
              <w:t>115.7</w:t>
            </w:r>
          </w:p>
        </w:tc>
      </w:tr>
      <w:tr w:rsidR="00FB0744" w:rsidRPr="00BA1388" w14:paraId="71AFB64D" w14:textId="77777777" w:rsidTr="00FB0744">
        <w:trPr>
          <w:trHeight w:val="227"/>
        </w:trPr>
        <w:tc>
          <w:tcPr>
            <w:tcW w:w="3085" w:type="dxa"/>
            <w:tcBorders>
              <w:top w:val="single" w:sz="4" w:space="0" w:color="auto"/>
              <w:left w:val="nil"/>
              <w:bottom w:val="nil"/>
              <w:right w:val="nil"/>
            </w:tcBorders>
            <w:shd w:val="clear" w:color="FFFFFF" w:fill="auto"/>
            <w:vAlign w:val="bottom"/>
          </w:tcPr>
          <w:p w14:paraId="07DE92B9" w14:textId="77777777" w:rsidR="00FB0744" w:rsidRPr="008659FE" w:rsidRDefault="00FB0744" w:rsidP="00FB0744">
            <w:pPr>
              <w:spacing w:before="0" w:after="0" w:line="276" w:lineRule="auto"/>
              <w:rPr>
                <w:rFonts w:ascii="Arial" w:hAnsi="Arial"/>
                <w:b/>
                <w:bCs/>
                <w:sz w:val="16"/>
                <w:szCs w:val="16"/>
                <w:lang w:val="en-AU"/>
              </w:rPr>
            </w:pPr>
            <w:r w:rsidRPr="008659FE">
              <w:rPr>
                <w:rFonts w:ascii="Arial" w:hAnsi="Arial"/>
                <w:b/>
                <w:bCs/>
                <w:sz w:val="16"/>
                <w:szCs w:val="16"/>
                <w:lang w:val="en-AU"/>
              </w:rPr>
              <w:t>Guided Weapons Explosive Ordnance Storage</w:t>
            </w:r>
          </w:p>
        </w:tc>
        <w:tc>
          <w:tcPr>
            <w:tcW w:w="1790" w:type="dxa"/>
            <w:tcBorders>
              <w:top w:val="single" w:sz="4" w:space="0" w:color="auto"/>
              <w:left w:val="nil"/>
              <w:bottom w:val="nil"/>
              <w:right w:val="nil"/>
            </w:tcBorders>
            <w:shd w:val="clear" w:color="FFFFFF" w:fill="auto"/>
            <w:noWrap/>
            <w:vAlign w:val="bottom"/>
          </w:tcPr>
          <w:p w14:paraId="00AF7CAE" w14:textId="77777777" w:rsidR="00FB0744" w:rsidRPr="008659FE" w:rsidRDefault="00FB0744" w:rsidP="00FB0744">
            <w:pPr>
              <w:spacing w:before="0" w:after="0" w:line="276" w:lineRule="auto"/>
              <w:jc w:val="right"/>
              <w:rPr>
                <w:rFonts w:ascii="Arial" w:hAnsi="Arial"/>
                <w:sz w:val="16"/>
                <w:szCs w:val="16"/>
                <w:lang w:val="en-AU"/>
              </w:rPr>
            </w:pPr>
          </w:p>
        </w:tc>
        <w:tc>
          <w:tcPr>
            <w:tcW w:w="1191" w:type="dxa"/>
            <w:tcBorders>
              <w:top w:val="single" w:sz="4" w:space="0" w:color="auto"/>
              <w:left w:val="nil"/>
              <w:bottom w:val="nil"/>
              <w:right w:val="nil"/>
            </w:tcBorders>
            <w:shd w:val="clear" w:color="FFFFFF" w:fill="auto"/>
            <w:noWrap/>
            <w:vAlign w:val="bottom"/>
          </w:tcPr>
          <w:p w14:paraId="674EDEE6" w14:textId="77777777" w:rsidR="00FB0744" w:rsidRPr="00353F8D" w:rsidRDefault="00FB0744" w:rsidP="00FB0744">
            <w:pPr>
              <w:spacing w:before="0" w:after="0" w:line="276" w:lineRule="auto"/>
              <w:jc w:val="right"/>
              <w:rPr>
                <w:rFonts w:ascii="Arial" w:hAnsi="Arial"/>
                <w:b/>
                <w:bCs/>
                <w:sz w:val="16"/>
                <w:szCs w:val="16"/>
                <w:lang w:val="en-AU"/>
              </w:rPr>
            </w:pPr>
          </w:p>
        </w:tc>
        <w:tc>
          <w:tcPr>
            <w:tcW w:w="1413" w:type="dxa"/>
            <w:tcBorders>
              <w:top w:val="single" w:sz="4" w:space="0" w:color="auto"/>
              <w:left w:val="nil"/>
              <w:bottom w:val="nil"/>
              <w:right w:val="nil"/>
            </w:tcBorders>
            <w:shd w:val="clear" w:color="auto" w:fill="auto"/>
            <w:noWrap/>
            <w:vAlign w:val="bottom"/>
          </w:tcPr>
          <w:p w14:paraId="57CA0687" w14:textId="77777777" w:rsidR="00FB0744" w:rsidRPr="009E4B9D" w:rsidRDefault="00FB0744" w:rsidP="00FB0744">
            <w:pPr>
              <w:spacing w:before="0" w:after="0" w:line="276" w:lineRule="auto"/>
              <w:jc w:val="right"/>
              <w:rPr>
                <w:rFonts w:ascii="Arial" w:hAnsi="Arial"/>
                <w:b/>
                <w:sz w:val="16"/>
                <w:szCs w:val="16"/>
                <w:lang w:eastAsia="en-US"/>
              </w:rPr>
            </w:pPr>
          </w:p>
        </w:tc>
        <w:tc>
          <w:tcPr>
            <w:tcW w:w="1195" w:type="dxa"/>
            <w:tcBorders>
              <w:top w:val="single" w:sz="4" w:space="0" w:color="auto"/>
              <w:left w:val="nil"/>
              <w:bottom w:val="nil"/>
              <w:right w:val="nil"/>
            </w:tcBorders>
            <w:shd w:val="clear" w:color="auto" w:fill="auto"/>
            <w:noWrap/>
            <w:vAlign w:val="bottom"/>
          </w:tcPr>
          <w:p w14:paraId="7C6960B3" w14:textId="77777777" w:rsidR="00FB0744" w:rsidRPr="009E4B9D" w:rsidRDefault="00FB0744" w:rsidP="00FB0744">
            <w:pPr>
              <w:spacing w:before="0" w:after="0" w:line="276" w:lineRule="auto"/>
              <w:jc w:val="right"/>
              <w:rPr>
                <w:rFonts w:ascii="Arial" w:hAnsi="Arial"/>
                <w:b/>
                <w:sz w:val="16"/>
                <w:szCs w:val="16"/>
                <w:lang w:eastAsia="en-US"/>
              </w:rPr>
            </w:pPr>
          </w:p>
        </w:tc>
      </w:tr>
      <w:tr w:rsidR="00FB0744" w:rsidRPr="00BA1388" w14:paraId="698266E9" w14:textId="77777777" w:rsidTr="00FB0744">
        <w:trPr>
          <w:trHeight w:val="227"/>
        </w:trPr>
        <w:tc>
          <w:tcPr>
            <w:tcW w:w="3085" w:type="dxa"/>
            <w:tcBorders>
              <w:top w:val="nil"/>
              <w:left w:val="nil"/>
              <w:bottom w:val="nil"/>
              <w:right w:val="nil"/>
            </w:tcBorders>
            <w:shd w:val="clear" w:color="FFFFFF" w:fill="auto"/>
            <w:vAlign w:val="bottom"/>
          </w:tcPr>
          <w:p w14:paraId="7CF18ACD" w14:textId="77777777" w:rsidR="00FB0744" w:rsidRPr="008659FE" w:rsidRDefault="00FB0744" w:rsidP="00FB0744">
            <w:pPr>
              <w:spacing w:before="0" w:after="0" w:line="276" w:lineRule="auto"/>
              <w:ind w:left="179"/>
              <w:rPr>
                <w:rFonts w:ascii="Arial" w:hAnsi="Arial"/>
                <w:b/>
                <w:bCs/>
                <w:sz w:val="16"/>
                <w:szCs w:val="16"/>
                <w:lang w:val="en-AU"/>
              </w:rPr>
            </w:pPr>
            <w:r w:rsidRPr="008659FE">
              <w:rPr>
                <w:rFonts w:ascii="Arial" w:hAnsi="Arial"/>
                <w:sz w:val="16"/>
                <w:szCs w:val="16"/>
                <w:lang w:val="en-AU"/>
              </w:rPr>
              <w:t>RAAF Amberley</w:t>
            </w:r>
          </w:p>
        </w:tc>
        <w:tc>
          <w:tcPr>
            <w:tcW w:w="1790" w:type="dxa"/>
            <w:tcBorders>
              <w:top w:val="nil"/>
              <w:left w:val="nil"/>
              <w:bottom w:val="nil"/>
              <w:right w:val="nil"/>
            </w:tcBorders>
            <w:shd w:val="clear" w:color="FFFFFF" w:fill="auto"/>
            <w:noWrap/>
            <w:vAlign w:val="bottom"/>
          </w:tcPr>
          <w:p w14:paraId="5966CACA" w14:textId="77777777" w:rsidR="00FB0744" w:rsidRPr="008659FE" w:rsidRDefault="00FB0744" w:rsidP="00FB0744">
            <w:pPr>
              <w:spacing w:before="0" w:after="0" w:line="276" w:lineRule="auto"/>
              <w:jc w:val="right"/>
              <w:rPr>
                <w:rFonts w:ascii="Arial" w:hAnsi="Arial"/>
                <w:sz w:val="16"/>
                <w:szCs w:val="16"/>
                <w:lang w:val="en-AU"/>
              </w:rPr>
            </w:pPr>
            <w:r w:rsidRPr="008659FE">
              <w:rPr>
                <w:rFonts w:ascii="Arial" w:hAnsi="Arial"/>
                <w:color w:val="000000"/>
                <w:sz w:val="16"/>
                <w:szCs w:val="16"/>
              </w:rPr>
              <w:t>QLD - Blair</w:t>
            </w:r>
          </w:p>
        </w:tc>
        <w:tc>
          <w:tcPr>
            <w:tcW w:w="1191" w:type="dxa"/>
            <w:tcBorders>
              <w:top w:val="nil"/>
              <w:left w:val="nil"/>
              <w:bottom w:val="nil"/>
              <w:right w:val="nil"/>
            </w:tcBorders>
            <w:shd w:val="clear" w:color="FFFFFF" w:fill="auto"/>
            <w:noWrap/>
            <w:vAlign w:val="bottom"/>
          </w:tcPr>
          <w:p w14:paraId="577E8C03" w14:textId="77777777" w:rsidR="00FB0744" w:rsidRPr="00353F8D" w:rsidRDefault="00FB0744" w:rsidP="00FB0744">
            <w:pPr>
              <w:spacing w:before="0" w:after="0" w:line="276" w:lineRule="auto"/>
              <w:jc w:val="right"/>
              <w:rPr>
                <w:rFonts w:ascii="Arial" w:hAnsi="Arial"/>
                <w:b/>
                <w:sz w:val="16"/>
                <w:szCs w:val="16"/>
                <w:lang w:val="en-AU"/>
              </w:rPr>
            </w:pPr>
          </w:p>
        </w:tc>
        <w:tc>
          <w:tcPr>
            <w:tcW w:w="1413" w:type="dxa"/>
            <w:tcBorders>
              <w:top w:val="nil"/>
              <w:left w:val="nil"/>
              <w:bottom w:val="nil"/>
              <w:right w:val="nil"/>
            </w:tcBorders>
            <w:shd w:val="clear" w:color="auto" w:fill="auto"/>
            <w:noWrap/>
            <w:vAlign w:val="bottom"/>
          </w:tcPr>
          <w:p w14:paraId="2CCE26C2"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13.5</w:t>
            </w:r>
          </w:p>
        </w:tc>
        <w:tc>
          <w:tcPr>
            <w:tcW w:w="1195" w:type="dxa"/>
            <w:tcBorders>
              <w:top w:val="nil"/>
              <w:left w:val="nil"/>
              <w:bottom w:val="nil"/>
              <w:right w:val="nil"/>
            </w:tcBorders>
            <w:shd w:val="clear" w:color="auto" w:fill="auto"/>
            <w:noWrap/>
            <w:vAlign w:val="bottom"/>
          </w:tcPr>
          <w:p w14:paraId="7BB1A7E1"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9.0</w:t>
            </w:r>
          </w:p>
        </w:tc>
      </w:tr>
      <w:tr w:rsidR="00FB0744" w:rsidRPr="00BA1388" w14:paraId="587349F7" w14:textId="77777777" w:rsidTr="00FB0744">
        <w:trPr>
          <w:trHeight w:val="227"/>
        </w:trPr>
        <w:tc>
          <w:tcPr>
            <w:tcW w:w="3085" w:type="dxa"/>
            <w:tcBorders>
              <w:top w:val="nil"/>
              <w:left w:val="nil"/>
              <w:bottom w:val="nil"/>
              <w:right w:val="nil"/>
            </w:tcBorders>
            <w:shd w:val="clear" w:color="FFFFFF" w:fill="auto"/>
            <w:vAlign w:val="bottom"/>
          </w:tcPr>
          <w:p w14:paraId="4AB2E25E" w14:textId="77777777" w:rsidR="00FB0744" w:rsidRPr="008659FE" w:rsidRDefault="00FB0744" w:rsidP="00FB0744">
            <w:pPr>
              <w:spacing w:before="0" w:after="0" w:line="276" w:lineRule="auto"/>
              <w:ind w:left="179"/>
              <w:rPr>
                <w:rFonts w:ascii="Arial" w:hAnsi="Arial"/>
                <w:b/>
                <w:bCs/>
                <w:sz w:val="16"/>
                <w:szCs w:val="16"/>
                <w:lang w:val="en-AU"/>
              </w:rPr>
            </w:pPr>
            <w:r w:rsidRPr="008659FE">
              <w:rPr>
                <w:rFonts w:ascii="Arial" w:hAnsi="Arial"/>
                <w:sz w:val="16"/>
                <w:szCs w:val="16"/>
                <w:lang w:val="en-AU"/>
              </w:rPr>
              <w:t xml:space="preserve">HMAS </w:t>
            </w:r>
            <w:r w:rsidRPr="008659FE">
              <w:rPr>
                <w:rFonts w:ascii="Arial" w:hAnsi="Arial"/>
                <w:i/>
                <w:sz w:val="16"/>
                <w:szCs w:val="16"/>
                <w:lang w:val="en-AU"/>
              </w:rPr>
              <w:t>Stirling</w:t>
            </w:r>
          </w:p>
        </w:tc>
        <w:tc>
          <w:tcPr>
            <w:tcW w:w="1790" w:type="dxa"/>
            <w:tcBorders>
              <w:top w:val="nil"/>
              <w:left w:val="nil"/>
              <w:bottom w:val="nil"/>
              <w:right w:val="nil"/>
            </w:tcBorders>
            <w:shd w:val="clear" w:color="FFFFFF" w:fill="auto"/>
            <w:noWrap/>
            <w:vAlign w:val="bottom"/>
          </w:tcPr>
          <w:p w14:paraId="4BA3154D" w14:textId="77777777" w:rsidR="00FB0744" w:rsidRPr="008659FE" w:rsidRDefault="00FB0744" w:rsidP="00FB0744">
            <w:pPr>
              <w:spacing w:before="0" w:after="0" w:line="276" w:lineRule="auto"/>
              <w:jc w:val="right"/>
              <w:rPr>
                <w:rFonts w:ascii="Arial" w:hAnsi="Arial"/>
                <w:sz w:val="16"/>
                <w:szCs w:val="16"/>
                <w:lang w:val="en-AU"/>
              </w:rPr>
            </w:pPr>
            <w:r w:rsidRPr="008659FE">
              <w:rPr>
                <w:rFonts w:ascii="Arial" w:hAnsi="Arial"/>
                <w:color w:val="000000"/>
                <w:sz w:val="16"/>
                <w:szCs w:val="16"/>
                <w:lang w:val="en-AU"/>
              </w:rPr>
              <w:t>WA - Brand</w:t>
            </w:r>
          </w:p>
        </w:tc>
        <w:tc>
          <w:tcPr>
            <w:tcW w:w="1191" w:type="dxa"/>
            <w:tcBorders>
              <w:top w:val="nil"/>
              <w:left w:val="nil"/>
              <w:bottom w:val="nil"/>
              <w:right w:val="nil"/>
            </w:tcBorders>
            <w:shd w:val="clear" w:color="FFFFFF" w:fill="auto"/>
            <w:noWrap/>
            <w:vAlign w:val="bottom"/>
          </w:tcPr>
          <w:p w14:paraId="4A750D0E" w14:textId="77777777" w:rsidR="00FB0744" w:rsidRPr="00353F8D" w:rsidRDefault="00FB0744" w:rsidP="00FB0744">
            <w:pPr>
              <w:spacing w:before="0" w:after="0" w:line="276" w:lineRule="auto"/>
              <w:jc w:val="right"/>
              <w:rPr>
                <w:rFonts w:ascii="Arial" w:hAnsi="Arial"/>
                <w:b/>
                <w:sz w:val="16"/>
                <w:szCs w:val="16"/>
                <w:lang w:val="en-AU"/>
              </w:rPr>
            </w:pPr>
          </w:p>
        </w:tc>
        <w:tc>
          <w:tcPr>
            <w:tcW w:w="1413" w:type="dxa"/>
            <w:tcBorders>
              <w:top w:val="nil"/>
              <w:left w:val="nil"/>
              <w:bottom w:val="nil"/>
              <w:right w:val="nil"/>
            </w:tcBorders>
            <w:shd w:val="clear" w:color="auto" w:fill="auto"/>
            <w:noWrap/>
            <w:vAlign w:val="bottom"/>
          </w:tcPr>
          <w:p w14:paraId="0782A303"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15.2</w:t>
            </w:r>
          </w:p>
        </w:tc>
        <w:tc>
          <w:tcPr>
            <w:tcW w:w="1195" w:type="dxa"/>
            <w:tcBorders>
              <w:top w:val="nil"/>
              <w:left w:val="nil"/>
              <w:bottom w:val="nil"/>
              <w:right w:val="nil"/>
            </w:tcBorders>
            <w:shd w:val="clear" w:color="auto" w:fill="auto"/>
            <w:noWrap/>
            <w:vAlign w:val="bottom"/>
          </w:tcPr>
          <w:p w14:paraId="39B46429"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3.3</w:t>
            </w:r>
          </w:p>
        </w:tc>
      </w:tr>
      <w:tr w:rsidR="00FB0744" w:rsidRPr="00BA1388" w14:paraId="7BC5746C" w14:textId="77777777" w:rsidTr="00FB0744">
        <w:trPr>
          <w:trHeight w:val="227"/>
        </w:trPr>
        <w:tc>
          <w:tcPr>
            <w:tcW w:w="3085" w:type="dxa"/>
            <w:tcBorders>
              <w:top w:val="nil"/>
              <w:left w:val="nil"/>
              <w:bottom w:val="nil"/>
              <w:right w:val="nil"/>
            </w:tcBorders>
            <w:shd w:val="clear" w:color="FFFFFF" w:fill="auto"/>
            <w:vAlign w:val="bottom"/>
          </w:tcPr>
          <w:p w14:paraId="59E97719" w14:textId="77777777" w:rsidR="00FB0744" w:rsidRPr="008659FE" w:rsidRDefault="00FB0744" w:rsidP="00FB0744">
            <w:pPr>
              <w:spacing w:before="0" w:after="0" w:line="276" w:lineRule="auto"/>
              <w:ind w:left="179"/>
              <w:rPr>
                <w:rFonts w:ascii="Arial" w:hAnsi="Arial"/>
                <w:b/>
                <w:bCs/>
                <w:sz w:val="16"/>
                <w:szCs w:val="16"/>
                <w:lang w:val="en-AU"/>
              </w:rPr>
            </w:pPr>
            <w:r w:rsidRPr="008659FE">
              <w:rPr>
                <w:rFonts w:ascii="Arial" w:hAnsi="Arial"/>
                <w:sz w:val="16"/>
                <w:szCs w:val="16"/>
                <w:lang w:val="en-AU"/>
              </w:rPr>
              <w:t>Defence Establishment Orchard Hills</w:t>
            </w:r>
          </w:p>
        </w:tc>
        <w:tc>
          <w:tcPr>
            <w:tcW w:w="1790" w:type="dxa"/>
            <w:tcBorders>
              <w:top w:val="nil"/>
              <w:left w:val="nil"/>
              <w:bottom w:val="nil"/>
              <w:right w:val="nil"/>
            </w:tcBorders>
            <w:shd w:val="clear" w:color="FFFFFF" w:fill="auto"/>
            <w:noWrap/>
            <w:vAlign w:val="bottom"/>
          </w:tcPr>
          <w:p w14:paraId="6C8AE946" w14:textId="77777777" w:rsidR="00FB0744" w:rsidRPr="008659FE" w:rsidRDefault="00FB0744" w:rsidP="00FB0744">
            <w:pPr>
              <w:spacing w:before="0" w:after="0" w:line="276" w:lineRule="auto"/>
              <w:jc w:val="right"/>
              <w:rPr>
                <w:rFonts w:ascii="Arial" w:hAnsi="Arial"/>
                <w:sz w:val="16"/>
                <w:szCs w:val="16"/>
                <w:lang w:val="en-AU"/>
              </w:rPr>
            </w:pPr>
            <w:r w:rsidRPr="008659FE">
              <w:rPr>
                <w:rFonts w:ascii="Arial" w:hAnsi="Arial"/>
                <w:color w:val="000000"/>
                <w:sz w:val="16"/>
                <w:szCs w:val="16"/>
                <w:lang w:val="en-AU"/>
              </w:rPr>
              <w:t>NSW - Lindsay</w:t>
            </w:r>
          </w:p>
        </w:tc>
        <w:tc>
          <w:tcPr>
            <w:tcW w:w="1191" w:type="dxa"/>
            <w:tcBorders>
              <w:top w:val="nil"/>
              <w:left w:val="nil"/>
              <w:bottom w:val="nil"/>
              <w:right w:val="nil"/>
            </w:tcBorders>
            <w:shd w:val="clear" w:color="FFFFFF" w:fill="auto"/>
            <w:noWrap/>
            <w:vAlign w:val="bottom"/>
          </w:tcPr>
          <w:p w14:paraId="2824118D" w14:textId="77777777" w:rsidR="00FB0744" w:rsidRPr="00353F8D" w:rsidRDefault="00FB0744" w:rsidP="00FB0744">
            <w:pPr>
              <w:spacing w:before="0" w:after="0" w:line="276" w:lineRule="auto"/>
              <w:jc w:val="right"/>
              <w:rPr>
                <w:rFonts w:ascii="Arial" w:hAnsi="Arial"/>
                <w:b/>
                <w:sz w:val="16"/>
                <w:szCs w:val="16"/>
                <w:lang w:val="en-AU"/>
              </w:rPr>
            </w:pPr>
          </w:p>
        </w:tc>
        <w:tc>
          <w:tcPr>
            <w:tcW w:w="1413" w:type="dxa"/>
            <w:tcBorders>
              <w:top w:val="nil"/>
              <w:left w:val="nil"/>
              <w:bottom w:val="nil"/>
              <w:right w:val="nil"/>
            </w:tcBorders>
            <w:shd w:val="clear" w:color="auto" w:fill="auto"/>
            <w:noWrap/>
            <w:vAlign w:val="bottom"/>
          </w:tcPr>
          <w:p w14:paraId="0AC21017"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30.2</w:t>
            </w:r>
          </w:p>
        </w:tc>
        <w:tc>
          <w:tcPr>
            <w:tcW w:w="1195" w:type="dxa"/>
            <w:tcBorders>
              <w:top w:val="nil"/>
              <w:left w:val="nil"/>
              <w:bottom w:val="nil"/>
              <w:right w:val="nil"/>
            </w:tcBorders>
            <w:shd w:val="clear" w:color="auto" w:fill="auto"/>
            <w:noWrap/>
            <w:vAlign w:val="bottom"/>
          </w:tcPr>
          <w:p w14:paraId="51EFE8DE"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79.4</w:t>
            </w:r>
          </w:p>
        </w:tc>
      </w:tr>
      <w:tr w:rsidR="00FB0744" w:rsidRPr="00BA1388" w14:paraId="6D64372E" w14:textId="77777777" w:rsidTr="00FB0744">
        <w:trPr>
          <w:trHeight w:val="227"/>
        </w:trPr>
        <w:tc>
          <w:tcPr>
            <w:tcW w:w="3085" w:type="dxa"/>
            <w:tcBorders>
              <w:top w:val="nil"/>
              <w:left w:val="nil"/>
              <w:bottom w:val="single" w:sz="4" w:space="0" w:color="auto"/>
              <w:right w:val="nil"/>
            </w:tcBorders>
            <w:shd w:val="clear" w:color="FFFFFF" w:fill="auto"/>
            <w:vAlign w:val="bottom"/>
          </w:tcPr>
          <w:p w14:paraId="61104307" w14:textId="77777777" w:rsidR="00FB0744" w:rsidRPr="008659FE" w:rsidRDefault="00FB0744" w:rsidP="00FB0744">
            <w:pPr>
              <w:spacing w:before="0" w:after="0" w:line="276" w:lineRule="auto"/>
              <w:rPr>
                <w:rFonts w:ascii="Arial" w:hAnsi="Arial"/>
                <w:b/>
                <w:bCs/>
                <w:sz w:val="16"/>
                <w:szCs w:val="16"/>
                <w:lang w:val="en-AU"/>
              </w:rPr>
            </w:pPr>
            <w:r w:rsidRPr="008659FE">
              <w:rPr>
                <w:rFonts w:ascii="Arial" w:hAnsi="Arial"/>
                <w:b/>
                <w:sz w:val="16"/>
                <w:szCs w:val="16"/>
                <w:lang w:val="en-AU"/>
              </w:rPr>
              <w:t>Total</w:t>
            </w:r>
          </w:p>
        </w:tc>
        <w:tc>
          <w:tcPr>
            <w:tcW w:w="1790" w:type="dxa"/>
            <w:tcBorders>
              <w:top w:val="nil"/>
              <w:left w:val="nil"/>
              <w:bottom w:val="single" w:sz="4" w:space="0" w:color="auto"/>
              <w:right w:val="nil"/>
            </w:tcBorders>
            <w:shd w:val="clear" w:color="FFFFFF" w:fill="auto"/>
            <w:noWrap/>
            <w:vAlign w:val="bottom"/>
          </w:tcPr>
          <w:p w14:paraId="47E83DAE" w14:textId="77777777" w:rsidR="00FB0744" w:rsidRPr="008659FE" w:rsidRDefault="00FB0744" w:rsidP="00FB0744">
            <w:pPr>
              <w:spacing w:before="0" w:after="0" w:line="276" w:lineRule="auto"/>
              <w:jc w:val="right"/>
              <w:rPr>
                <w:rFonts w:ascii="Arial" w:hAnsi="Arial"/>
                <w:sz w:val="16"/>
                <w:szCs w:val="16"/>
                <w:lang w:val="en-AU"/>
              </w:rPr>
            </w:pPr>
          </w:p>
        </w:tc>
        <w:tc>
          <w:tcPr>
            <w:tcW w:w="1191" w:type="dxa"/>
            <w:tcBorders>
              <w:top w:val="nil"/>
              <w:left w:val="nil"/>
              <w:bottom w:val="single" w:sz="4" w:space="0" w:color="auto"/>
              <w:right w:val="nil"/>
            </w:tcBorders>
            <w:shd w:val="clear" w:color="FFFFFF" w:fill="auto"/>
            <w:noWrap/>
            <w:vAlign w:val="bottom"/>
          </w:tcPr>
          <w:p w14:paraId="339329C2" w14:textId="77777777" w:rsidR="00FB0744" w:rsidRPr="00353F8D" w:rsidRDefault="00FB0744" w:rsidP="00FB0744">
            <w:pPr>
              <w:spacing w:before="0" w:after="0" w:line="276" w:lineRule="auto"/>
              <w:jc w:val="right"/>
              <w:rPr>
                <w:rFonts w:ascii="Arial" w:hAnsi="Arial"/>
                <w:b/>
                <w:sz w:val="16"/>
                <w:szCs w:val="16"/>
                <w:lang w:val="en-AU"/>
              </w:rPr>
            </w:pPr>
            <w:r w:rsidRPr="00353F8D">
              <w:rPr>
                <w:rFonts w:ascii="Arial" w:hAnsi="Arial"/>
                <w:b/>
                <w:sz w:val="16"/>
                <w:szCs w:val="16"/>
                <w:lang w:val="en-AU"/>
              </w:rPr>
              <w:t>302.0</w:t>
            </w:r>
          </w:p>
        </w:tc>
        <w:tc>
          <w:tcPr>
            <w:tcW w:w="1413" w:type="dxa"/>
            <w:tcBorders>
              <w:top w:val="nil"/>
              <w:left w:val="nil"/>
              <w:bottom w:val="single" w:sz="4" w:space="0" w:color="auto"/>
              <w:right w:val="nil"/>
            </w:tcBorders>
            <w:shd w:val="clear" w:color="auto" w:fill="auto"/>
            <w:noWrap/>
            <w:vAlign w:val="bottom"/>
          </w:tcPr>
          <w:p w14:paraId="2FB5C062" w14:textId="77777777" w:rsidR="00FB0744" w:rsidRPr="009E4B9D" w:rsidRDefault="00FB0744" w:rsidP="00FB0744">
            <w:pPr>
              <w:spacing w:before="0" w:after="0" w:line="276" w:lineRule="auto"/>
              <w:jc w:val="right"/>
              <w:rPr>
                <w:rFonts w:ascii="Arial" w:hAnsi="Arial"/>
                <w:b/>
                <w:sz w:val="16"/>
                <w:szCs w:val="16"/>
                <w:lang w:eastAsia="en-US"/>
              </w:rPr>
            </w:pPr>
            <w:r w:rsidRPr="009E4B9D">
              <w:rPr>
                <w:rFonts w:ascii="Arial" w:hAnsi="Arial"/>
                <w:b/>
                <w:sz w:val="16"/>
                <w:szCs w:val="16"/>
                <w:lang w:eastAsia="en-US"/>
              </w:rPr>
              <w:t>58.8</w:t>
            </w:r>
          </w:p>
        </w:tc>
        <w:tc>
          <w:tcPr>
            <w:tcW w:w="1195" w:type="dxa"/>
            <w:tcBorders>
              <w:top w:val="nil"/>
              <w:left w:val="nil"/>
              <w:bottom w:val="single" w:sz="4" w:space="0" w:color="auto"/>
              <w:right w:val="nil"/>
            </w:tcBorders>
            <w:shd w:val="clear" w:color="auto" w:fill="auto"/>
            <w:noWrap/>
            <w:vAlign w:val="bottom"/>
          </w:tcPr>
          <w:p w14:paraId="6AA23F53" w14:textId="77777777" w:rsidR="00FB0744" w:rsidRPr="009E4B9D" w:rsidRDefault="00FB0744" w:rsidP="00FB0744">
            <w:pPr>
              <w:spacing w:before="0" w:after="0" w:line="276" w:lineRule="auto"/>
              <w:jc w:val="right"/>
              <w:rPr>
                <w:rFonts w:ascii="Arial" w:hAnsi="Arial"/>
                <w:b/>
                <w:sz w:val="16"/>
                <w:szCs w:val="16"/>
                <w:lang w:eastAsia="en-US"/>
              </w:rPr>
            </w:pPr>
            <w:r w:rsidRPr="009E4B9D">
              <w:rPr>
                <w:rFonts w:ascii="Arial" w:hAnsi="Arial"/>
                <w:b/>
                <w:sz w:val="16"/>
                <w:szCs w:val="16"/>
                <w:lang w:eastAsia="en-US"/>
              </w:rPr>
              <w:t>91.7</w:t>
            </w:r>
          </w:p>
        </w:tc>
      </w:tr>
      <w:tr w:rsidR="00E9668E" w:rsidRPr="00FB0744" w14:paraId="69595C89" w14:textId="77777777" w:rsidTr="00FB0744">
        <w:trPr>
          <w:trHeight w:val="227"/>
        </w:trPr>
        <w:tc>
          <w:tcPr>
            <w:tcW w:w="3085" w:type="dxa"/>
            <w:tcBorders>
              <w:top w:val="single" w:sz="4" w:space="0" w:color="auto"/>
              <w:left w:val="nil"/>
              <w:bottom w:val="nil"/>
              <w:right w:val="nil"/>
            </w:tcBorders>
            <w:shd w:val="clear" w:color="FFFFFF" w:fill="auto"/>
            <w:vAlign w:val="center"/>
          </w:tcPr>
          <w:p w14:paraId="74F80138" w14:textId="77777777" w:rsidR="00E9668E" w:rsidRPr="00FB0744" w:rsidRDefault="00E9668E" w:rsidP="00E9668E">
            <w:pPr>
              <w:keepNext/>
              <w:keepLines/>
              <w:pageBreakBefore/>
              <w:spacing w:before="0" w:after="0"/>
              <w:rPr>
                <w:rFonts w:ascii="Arial" w:hAnsi="Arial"/>
                <w:b/>
                <w:bCs/>
                <w:sz w:val="16"/>
                <w:szCs w:val="16"/>
                <w:lang w:val="en-AU"/>
              </w:rPr>
            </w:pPr>
            <w:r w:rsidRPr="00FB0744">
              <w:rPr>
                <w:rFonts w:ascii="Arial" w:hAnsi="Arial"/>
                <w:b/>
                <w:bCs/>
                <w:sz w:val="16"/>
                <w:szCs w:val="16"/>
                <w:lang w:val="en-AU"/>
              </w:rPr>
              <w:lastRenderedPageBreak/>
              <w:t>Defence Fuel Transformation</w:t>
            </w:r>
          </w:p>
          <w:p w14:paraId="6953B8A1" w14:textId="77777777" w:rsidR="00E9668E" w:rsidRPr="00FB0744" w:rsidRDefault="00E9668E" w:rsidP="00E9668E">
            <w:pPr>
              <w:spacing w:before="0" w:after="0"/>
              <w:rPr>
                <w:rFonts w:ascii="Arial" w:hAnsi="Arial"/>
                <w:b/>
                <w:bCs/>
                <w:sz w:val="16"/>
                <w:szCs w:val="16"/>
                <w:lang w:val="en-AU"/>
              </w:rPr>
            </w:pPr>
            <w:r w:rsidRPr="00FB0744">
              <w:rPr>
                <w:rFonts w:ascii="Arial" w:hAnsi="Arial"/>
                <w:b/>
                <w:bCs/>
                <w:sz w:val="16"/>
                <w:szCs w:val="16"/>
                <w:lang w:val="en-AU"/>
              </w:rPr>
              <w:t>Program - Tranche 2 Facilities</w:t>
            </w:r>
          </w:p>
          <w:p w14:paraId="4BDED8EC" w14:textId="77777777" w:rsidR="00E9668E" w:rsidRPr="00FB0744" w:rsidRDefault="00E9668E" w:rsidP="00E9668E">
            <w:pPr>
              <w:spacing w:before="0" w:after="0"/>
              <w:ind w:left="113"/>
              <w:rPr>
                <w:rFonts w:ascii="Arial" w:hAnsi="Arial"/>
                <w:sz w:val="16"/>
                <w:szCs w:val="16"/>
                <w:lang w:val="en-AU"/>
              </w:rPr>
            </w:pPr>
            <w:r w:rsidRPr="00FB0744">
              <w:rPr>
                <w:rFonts w:ascii="Arial" w:hAnsi="Arial"/>
                <w:b/>
                <w:bCs/>
                <w:sz w:val="16"/>
                <w:szCs w:val="16"/>
                <w:lang w:val="en-AU"/>
              </w:rPr>
              <w:t>Project</w:t>
            </w:r>
          </w:p>
        </w:tc>
        <w:tc>
          <w:tcPr>
            <w:tcW w:w="1790" w:type="dxa"/>
            <w:tcBorders>
              <w:top w:val="single" w:sz="4" w:space="0" w:color="auto"/>
              <w:left w:val="nil"/>
              <w:bottom w:val="nil"/>
              <w:right w:val="nil"/>
            </w:tcBorders>
            <w:shd w:val="clear" w:color="FFFFFF" w:fill="auto"/>
            <w:noWrap/>
            <w:vAlign w:val="center"/>
          </w:tcPr>
          <w:p w14:paraId="3F34A6CF" w14:textId="77777777" w:rsidR="00E9668E" w:rsidRPr="00FB0744" w:rsidRDefault="00E9668E" w:rsidP="00E9668E">
            <w:pPr>
              <w:spacing w:before="0" w:after="0"/>
              <w:ind w:left="113"/>
              <w:jc w:val="right"/>
              <w:rPr>
                <w:rFonts w:ascii="Arial" w:hAnsi="Arial"/>
                <w:sz w:val="16"/>
                <w:szCs w:val="16"/>
                <w:lang w:val="en-AU"/>
              </w:rPr>
            </w:pPr>
          </w:p>
        </w:tc>
        <w:tc>
          <w:tcPr>
            <w:tcW w:w="1191" w:type="dxa"/>
            <w:tcBorders>
              <w:top w:val="single" w:sz="4" w:space="0" w:color="auto"/>
              <w:left w:val="nil"/>
              <w:bottom w:val="nil"/>
              <w:right w:val="nil"/>
            </w:tcBorders>
            <w:shd w:val="clear" w:color="FFFFFF" w:fill="auto"/>
            <w:noWrap/>
            <w:vAlign w:val="center"/>
          </w:tcPr>
          <w:p w14:paraId="61F01B34" w14:textId="77777777" w:rsidR="00E9668E" w:rsidRPr="00FB0744" w:rsidRDefault="00E9668E" w:rsidP="00E9668E">
            <w:pPr>
              <w:spacing w:before="0" w:after="0"/>
              <w:ind w:left="113"/>
              <w:jc w:val="right"/>
              <w:rPr>
                <w:rFonts w:ascii="Arial" w:hAnsi="Arial"/>
                <w:sz w:val="16"/>
                <w:szCs w:val="16"/>
                <w:lang w:val="en-AU"/>
              </w:rPr>
            </w:pPr>
          </w:p>
        </w:tc>
        <w:tc>
          <w:tcPr>
            <w:tcW w:w="1413" w:type="dxa"/>
            <w:tcBorders>
              <w:top w:val="single" w:sz="4" w:space="0" w:color="auto"/>
              <w:left w:val="nil"/>
              <w:bottom w:val="nil"/>
              <w:right w:val="nil"/>
            </w:tcBorders>
            <w:shd w:val="clear" w:color="FFFFFF" w:fill="auto"/>
            <w:noWrap/>
            <w:vAlign w:val="center"/>
          </w:tcPr>
          <w:p w14:paraId="53508915" w14:textId="77777777" w:rsidR="00E9668E" w:rsidRPr="00FB0744" w:rsidRDefault="00E9668E" w:rsidP="00E9668E">
            <w:pPr>
              <w:spacing w:before="0" w:after="0"/>
              <w:ind w:left="113"/>
              <w:jc w:val="right"/>
              <w:rPr>
                <w:rFonts w:ascii="Arial" w:hAnsi="Arial"/>
                <w:sz w:val="16"/>
                <w:szCs w:val="16"/>
                <w:lang w:val="en-AU"/>
              </w:rPr>
            </w:pPr>
          </w:p>
        </w:tc>
        <w:tc>
          <w:tcPr>
            <w:tcW w:w="1195" w:type="dxa"/>
            <w:tcBorders>
              <w:top w:val="single" w:sz="4" w:space="0" w:color="auto"/>
              <w:left w:val="nil"/>
              <w:bottom w:val="nil"/>
              <w:right w:val="nil"/>
            </w:tcBorders>
            <w:shd w:val="clear" w:color="FFFFFF" w:fill="auto"/>
            <w:noWrap/>
            <w:vAlign w:val="center"/>
          </w:tcPr>
          <w:p w14:paraId="53A7D9BF" w14:textId="77777777" w:rsidR="00E9668E" w:rsidRPr="00FB0744" w:rsidRDefault="00E9668E" w:rsidP="00E9668E">
            <w:pPr>
              <w:spacing w:before="0" w:after="0"/>
              <w:ind w:left="113"/>
              <w:jc w:val="right"/>
              <w:rPr>
                <w:rFonts w:ascii="Arial" w:hAnsi="Arial"/>
                <w:sz w:val="16"/>
                <w:szCs w:val="16"/>
                <w:lang w:val="en-AU"/>
              </w:rPr>
            </w:pPr>
          </w:p>
        </w:tc>
      </w:tr>
      <w:tr w:rsidR="00FB0744" w:rsidRPr="00FB0744" w14:paraId="35B82969" w14:textId="77777777" w:rsidTr="00F600B5">
        <w:trPr>
          <w:trHeight w:val="227"/>
        </w:trPr>
        <w:tc>
          <w:tcPr>
            <w:tcW w:w="3085" w:type="dxa"/>
            <w:tcBorders>
              <w:top w:val="nil"/>
              <w:left w:val="nil"/>
              <w:bottom w:val="nil"/>
              <w:right w:val="nil"/>
            </w:tcBorders>
            <w:shd w:val="clear" w:color="FFFFFF" w:fill="auto"/>
            <w:vAlign w:val="center"/>
          </w:tcPr>
          <w:p w14:paraId="243FE00B" w14:textId="77777777" w:rsidR="00FB0744" w:rsidRPr="00FB0744" w:rsidRDefault="00FB0744" w:rsidP="00FB0744">
            <w:pPr>
              <w:spacing w:before="0" w:after="0"/>
              <w:ind w:left="113"/>
              <w:rPr>
                <w:rFonts w:ascii="Arial" w:hAnsi="Arial"/>
                <w:sz w:val="16"/>
                <w:szCs w:val="16"/>
                <w:lang w:val="en-AU"/>
              </w:rPr>
            </w:pPr>
            <w:r w:rsidRPr="00FB0744">
              <w:rPr>
                <w:rFonts w:ascii="Arial" w:hAnsi="Arial"/>
                <w:sz w:val="16"/>
                <w:szCs w:val="16"/>
                <w:lang w:val="en-AU"/>
              </w:rPr>
              <w:t xml:space="preserve">HMAS </w:t>
            </w:r>
            <w:r w:rsidRPr="00FB0744">
              <w:rPr>
                <w:rFonts w:ascii="Arial" w:hAnsi="Arial"/>
                <w:i/>
                <w:sz w:val="16"/>
                <w:szCs w:val="16"/>
                <w:lang w:val="en-AU"/>
              </w:rPr>
              <w:t>Creswell</w:t>
            </w:r>
          </w:p>
        </w:tc>
        <w:tc>
          <w:tcPr>
            <w:tcW w:w="1790" w:type="dxa"/>
            <w:tcBorders>
              <w:top w:val="nil"/>
              <w:left w:val="nil"/>
              <w:bottom w:val="nil"/>
              <w:right w:val="nil"/>
            </w:tcBorders>
            <w:shd w:val="clear" w:color="FFFFFF" w:fill="auto"/>
            <w:noWrap/>
            <w:vAlign w:val="center"/>
          </w:tcPr>
          <w:p w14:paraId="4182CB88" w14:textId="77777777" w:rsidR="00FB0744" w:rsidRPr="00FB0744" w:rsidRDefault="00FB0744" w:rsidP="00FB0744">
            <w:pPr>
              <w:spacing w:before="0" w:after="0"/>
              <w:ind w:left="113"/>
              <w:jc w:val="right"/>
              <w:rPr>
                <w:rFonts w:ascii="Arial" w:hAnsi="Arial"/>
                <w:sz w:val="16"/>
                <w:szCs w:val="16"/>
                <w:lang w:val="en-AU"/>
              </w:rPr>
            </w:pPr>
            <w:r w:rsidRPr="00FB0744">
              <w:rPr>
                <w:rFonts w:ascii="Arial" w:hAnsi="Arial"/>
                <w:bCs/>
                <w:sz w:val="16"/>
                <w:szCs w:val="16"/>
                <w:lang w:val="en-AU"/>
              </w:rPr>
              <w:t>ACT - Fenner</w:t>
            </w:r>
          </w:p>
        </w:tc>
        <w:tc>
          <w:tcPr>
            <w:tcW w:w="1191" w:type="dxa"/>
            <w:tcBorders>
              <w:top w:val="nil"/>
              <w:left w:val="nil"/>
              <w:bottom w:val="nil"/>
              <w:right w:val="nil"/>
            </w:tcBorders>
            <w:shd w:val="clear" w:color="FFFFFF" w:fill="auto"/>
            <w:noWrap/>
            <w:vAlign w:val="center"/>
          </w:tcPr>
          <w:p w14:paraId="51C6E976" w14:textId="77777777" w:rsidR="00FB0744" w:rsidRPr="00FB0744" w:rsidRDefault="00FB0744" w:rsidP="00FB0744">
            <w:pPr>
              <w:spacing w:before="0" w:after="0"/>
              <w:ind w:left="113"/>
              <w:jc w:val="right"/>
              <w:rPr>
                <w:rFonts w:ascii="Arial" w:hAnsi="Arial"/>
                <w:sz w:val="16"/>
                <w:szCs w:val="16"/>
                <w:lang w:val="en-AU"/>
              </w:rPr>
            </w:pPr>
          </w:p>
        </w:tc>
        <w:tc>
          <w:tcPr>
            <w:tcW w:w="1413" w:type="dxa"/>
            <w:tcBorders>
              <w:top w:val="nil"/>
              <w:left w:val="nil"/>
              <w:bottom w:val="nil"/>
              <w:right w:val="nil"/>
            </w:tcBorders>
            <w:shd w:val="clear" w:color="FFFFFF" w:fill="auto"/>
            <w:noWrap/>
            <w:vAlign w:val="bottom"/>
          </w:tcPr>
          <w:p w14:paraId="56F73187"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0.1</w:t>
            </w:r>
          </w:p>
        </w:tc>
        <w:tc>
          <w:tcPr>
            <w:tcW w:w="1195" w:type="dxa"/>
            <w:tcBorders>
              <w:top w:val="nil"/>
              <w:left w:val="nil"/>
              <w:bottom w:val="nil"/>
              <w:right w:val="nil"/>
            </w:tcBorders>
            <w:shd w:val="clear" w:color="FFFFFF" w:fill="auto"/>
            <w:noWrap/>
            <w:vAlign w:val="bottom"/>
          </w:tcPr>
          <w:p w14:paraId="6433E3D4"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1.4</w:t>
            </w:r>
          </w:p>
        </w:tc>
      </w:tr>
      <w:tr w:rsidR="00FB0744" w:rsidRPr="00FB0744" w14:paraId="4C5D0D64" w14:textId="77777777" w:rsidTr="00F600B5">
        <w:trPr>
          <w:trHeight w:val="227"/>
        </w:trPr>
        <w:tc>
          <w:tcPr>
            <w:tcW w:w="3085" w:type="dxa"/>
            <w:tcBorders>
              <w:top w:val="nil"/>
              <w:left w:val="nil"/>
              <w:bottom w:val="nil"/>
              <w:right w:val="nil"/>
            </w:tcBorders>
            <w:shd w:val="clear" w:color="FFFFFF" w:fill="auto"/>
            <w:vAlign w:val="center"/>
          </w:tcPr>
          <w:p w14:paraId="75198279" w14:textId="77777777" w:rsidR="00FB0744" w:rsidRPr="00FB0744" w:rsidRDefault="00FB0744" w:rsidP="00FB0744">
            <w:pPr>
              <w:spacing w:before="0" w:after="0"/>
              <w:ind w:left="113"/>
              <w:rPr>
                <w:rFonts w:ascii="Arial" w:hAnsi="Arial"/>
                <w:sz w:val="16"/>
                <w:szCs w:val="16"/>
                <w:lang w:val="en-AU"/>
              </w:rPr>
            </w:pPr>
            <w:r w:rsidRPr="00FB0744">
              <w:rPr>
                <w:rFonts w:ascii="Arial" w:hAnsi="Arial"/>
                <w:sz w:val="16"/>
                <w:szCs w:val="16"/>
                <w:lang w:val="en-AU"/>
              </w:rPr>
              <w:t>Garden Island Defence Precinct</w:t>
            </w:r>
          </w:p>
        </w:tc>
        <w:tc>
          <w:tcPr>
            <w:tcW w:w="1790" w:type="dxa"/>
            <w:tcBorders>
              <w:top w:val="nil"/>
              <w:left w:val="nil"/>
              <w:bottom w:val="nil"/>
              <w:right w:val="nil"/>
            </w:tcBorders>
            <w:shd w:val="clear" w:color="FFFFFF" w:fill="auto"/>
            <w:noWrap/>
            <w:vAlign w:val="center"/>
          </w:tcPr>
          <w:p w14:paraId="6EAF5A49" w14:textId="77777777" w:rsidR="00FB0744" w:rsidRPr="00FB0744" w:rsidRDefault="00FB0744" w:rsidP="00FB0744">
            <w:pPr>
              <w:spacing w:before="0" w:after="0"/>
              <w:ind w:left="113"/>
              <w:jc w:val="right"/>
              <w:rPr>
                <w:rFonts w:ascii="Arial" w:hAnsi="Arial"/>
                <w:sz w:val="16"/>
                <w:szCs w:val="16"/>
                <w:lang w:val="en-AU"/>
              </w:rPr>
            </w:pPr>
            <w:r w:rsidRPr="00FB0744">
              <w:rPr>
                <w:rFonts w:ascii="Arial" w:hAnsi="Arial"/>
                <w:bCs/>
                <w:sz w:val="16"/>
                <w:szCs w:val="16"/>
                <w:lang w:val="en-AU"/>
              </w:rPr>
              <w:t>NSW - Sydney</w:t>
            </w:r>
          </w:p>
        </w:tc>
        <w:tc>
          <w:tcPr>
            <w:tcW w:w="1191" w:type="dxa"/>
            <w:tcBorders>
              <w:top w:val="nil"/>
              <w:left w:val="nil"/>
              <w:bottom w:val="nil"/>
              <w:right w:val="nil"/>
            </w:tcBorders>
            <w:shd w:val="clear" w:color="FFFFFF" w:fill="auto"/>
            <w:noWrap/>
            <w:vAlign w:val="center"/>
          </w:tcPr>
          <w:p w14:paraId="582785F3" w14:textId="77777777" w:rsidR="00FB0744" w:rsidRPr="00FB0744" w:rsidRDefault="00FB0744" w:rsidP="00FB0744">
            <w:pPr>
              <w:spacing w:before="0" w:after="0"/>
              <w:ind w:left="113"/>
              <w:jc w:val="right"/>
              <w:rPr>
                <w:rFonts w:ascii="Arial" w:hAnsi="Arial"/>
                <w:sz w:val="16"/>
                <w:szCs w:val="16"/>
                <w:lang w:val="en-AU"/>
              </w:rPr>
            </w:pPr>
          </w:p>
        </w:tc>
        <w:tc>
          <w:tcPr>
            <w:tcW w:w="1413" w:type="dxa"/>
            <w:tcBorders>
              <w:top w:val="nil"/>
              <w:left w:val="nil"/>
              <w:bottom w:val="nil"/>
              <w:right w:val="nil"/>
            </w:tcBorders>
            <w:shd w:val="clear" w:color="FFFFFF" w:fill="auto"/>
            <w:noWrap/>
            <w:vAlign w:val="bottom"/>
          </w:tcPr>
          <w:p w14:paraId="7F4A969D"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1.2</w:t>
            </w:r>
          </w:p>
        </w:tc>
        <w:tc>
          <w:tcPr>
            <w:tcW w:w="1195" w:type="dxa"/>
            <w:tcBorders>
              <w:top w:val="nil"/>
              <w:left w:val="nil"/>
              <w:bottom w:val="nil"/>
              <w:right w:val="nil"/>
            </w:tcBorders>
            <w:shd w:val="clear" w:color="FFFFFF" w:fill="auto"/>
            <w:noWrap/>
            <w:vAlign w:val="bottom"/>
          </w:tcPr>
          <w:p w14:paraId="6B80EEFB"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14.5</w:t>
            </w:r>
          </w:p>
        </w:tc>
      </w:tr>
      <w:tr w:rsidR="00FB0744" w:rsidRPr="00FB0744" w14:paraId="7749FD5A" w14:textId="77777777" w:rsidTr="00F600B5">
        <w:trPr>
          <w:trHeight w:val="227"/>
        </w:trPr>
        <w:tc>
          <w:tcPr>
            <w:tcW w:w="3085" w:type="dxa"/>
            <w:tcBorders>
              <w:top w:val="nil"/>
              <w:left w:val="nil"/>
              <w:bottom w:val="nil"/>
              <w:right w:val="nil"/>
            </w:tcBorders>
            <w:shd w:val="clear" w:color="FFFFFF" w:fill="auto"/>
            <w:vAlign w:val="center"/>
          </w:tcPr>
          <w:p w14:paraId="28D7990F" w14:textId="77777777" w:rsidR="00FB0744" w:rsidRPr="00FB0744" w:rsidRDefault="00FB0744" w:rsidP="00FB0744">
            <w:pPr>
              <w:spacing w:before="0" w:after="0"/>
              <w:ind w:left="113"/>
              <w:rPr>
                <w:rFonts w:ascii="Arial" w:hAnsi="Arial"/>
                <w:sz w:val="16"/>
                <w:szCs w:val="16"/>
                <w:lang w:val="en-AU"/>
              </w:rPr>
            </w:pPr>
            <w:r w:rsidRPr="00FB0744">
              <w:rPr>
                <w:rFonts w:ascii="Arial" w:hAnsi="Arial"/>
                <w:sz w:val="16"/>
                <w:szCs w:val="16"/>
                <w:lang w:val="en-AU"/>
              </w:rPr>
              <w:t xml:space="preserve">HMAS </w:t>
            </w:r>
            <w:r w:rsidRPr="00FB0744">
              <w:rPr>
                <w:rFonts w:ascii="Arial" w:hAnsi="Arial"/>
                <w:i/>
                <w:sz w:val="16"/>
                <w:szCs w:val="16"/>
                <w:lang w:val="en-AU"/>
              </w:rPr>
              <w:t>Albatross</w:t>
            </w:r>
          </w:p>
        </w:tc>
        <w:tc>
          <w:tcPr>
            <w:tcW w:w="1790" w:type="dxa"/>
            <w:tcBorders>
              <w:top w:val="nil"/>
              <w:left w:val="nil"/>
              <w:bottom w:val="nil"/>
              <w:right w:val="nil"/>
            </w:tcBorders>
            <w:shd w:val="clear" w:color="FFFFFF" w:fill="auto"/>
            <w:noWrap/>
            <w:vAlign w:val="center"/>
          </w:tcPr>
          <w:p w14:paraId="7217A538" w14:textId="77777777" w:rsidR="00FB0744" w:rsidRPr="00FB0744" w:rsidRDefault="00FB0744" w:rsidP="00FB0744">
            <w:pPr>
              <w:spacing w:before="0" w:after="0"/>
              <w:ind w:left="113"/>
              <w:jc w:val="right"/>
              <w:rPr>
                <w:rFonts w:ascii="Arial" w:hAnsi="Arial"/>
                <w:sz w:val="16"/>
                <w:szCs w:val="16"/>
                <w:lang w:val="en-AU"/>
              </w:rPr>
            </w:pPr>
            <w:r w:rsidRPr="00FB0744">
              <w:rPr>
                <w:rFonts w:ascii="Arial" w:hAnsi="Arial"/>
                <w:bCs/>
                <w:sz w:val="16"/>
                <w:szCs w:val="16"/>
                <w:lang w:val="en-AU"/>
              </w:rPr>
              <w:t>NSW - Gilmore</w:t>
            </w:r>
          </w:p>
        </w:tc>
        <w:tc>
          <w:tcPr>
            <w:tcW w:w="1191" w:type="dxa"/>
            <w:tcBorders>
              <w:top w:val="nil"/>
              <w:left w:val="nil"/>
              <w:bottom w:val="nil"/>
              <w:right w:val="nil"/>
            </w:tcBorders>
            <w:shd w:val="clear" w:color="FFFFFF" w:fill="auto"/>
            <w:noWrap/>
            <w:vAlign w:val="center"/>
          </w:tcPr>
          <w:p w14:paraId="102A4E35" w14:textId="77777777" w:rsidR="00FB0744" w:rsidRPr="00FB0744" w:rsidRDefault="00FB0744" w:rsidP="00FB0744">
            <w:pPr>
              <w:spacing w:before="0" w:after="0"/>
              <w:ind w:left="113"/>
              <w:jc w:val="right"/>
              <w:rPr>
                <w:rFonts w:ascii="Arial" w:hAnsi="Arial"/>
                <w:sz w:val="16"/>
                <w:szCs w:val="16"/>
                <w:lang w:val="en-AU"/>
              </w:rPr>
            </w:pPr>
          </w:p>
        </w:tc>
        <w:tc>
          <w:tcPr>
            <w:tcW w:w="1413" w:type="dxa"/>
            <w:tcBorders>
              <w:top w:val="nil"/>
              <w:left w:val="nil"/>
              <w:bottom w:val="nil"/>
              <w:right w:val="nil"/>
            </w:tcBorders>
            <w:shd w:val="clear" w:color="FFFFFF" w:fill="auto"/>
            <w:noWrap/>
            <w:vAlign w:val="bottom"/>
          </w:tcPr>
          <w:p w14:paraId="4206FA48"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0.2</w:t>
            </w:r>
          </w:p>
        </w:tc>
        <w:tc>
          <w:tcPr>
            <w:tcW w:w="1195" w:type="dxa"/>
            <w:tcBorders>
              <w:top w:val="nil"/>
              <w:left w:val="nil"/>
              <w:bottom w:val="nil"/>
              <w:right w:val="nil"/>
            </w:tcBorders>
            <w:shd w:val="clear" w:color="FFFFFF" w:fill="auto"/>
            <w:noWrap/>
            <w:vAlign w:val="bottom"/>
          </w:tcPr>
          <w:p w14:paraId="20BC6A62"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2.9</w:t>
            </w:r>
          </w:p>
        </w:tc>
      </w:tr>
      <w:tr w:rsidR="00FB0744" w:rsidRPr="00FB0744" w14:paraId="14A64214" w14:textId="77777777" w:rsidTr="00F600B5">
        <w:trPr>
          <w:trHeight w:val="227"/>
        </w:trPr>
        <w:tc>
          <w:tcPr>
            <w:tcW w:w="3085" w:type="dxa"/>
            <w:tcBorders>
              <w:top w:val="nil"/>
              <w:left w:val="nil"/>
              <w:bottom w:val="nil"/>
              <w:right w:val="nil"/>
            </w:tcBorders>
            <w:shd w:val="clear" w:color="FFFFFF" w:fill="auto"/>
            <w:vAlign w:val="center"/>
          </w:tcPr>
          <w:p w14:paraId="6C895809" w14:textId="77777777" w:rsidR="00FB0744" w:rsidRPr="00FB0744" w:rsidRDefault="00FB0744" w:rsidP="00FB0744">
            <w:pPr>
              <w:spacing w:before="0" w:after="0"/>
              <w:ind w:left="113"/>
              <w:rPr>
                <w:rFonts w:ascii="Arial" w:hAnsi="Arial"/>
                <w:sz w:val="16"/>
                <w:szCs w:val="16"/>
                <w:lang w:val="en-AU"/>
              </w:rPr>
            </w:pPr>
            <w:r w:rsidRPr="00FB0744">
              <w:rPr>
                <w:rFonts w:ascii="Arial" w:hAnsi="Arial"/>
                <w:sz w:val="16"/>
                <w:szCs w:val="16"/>
                <w:lang w:val="en-AU"/>
              </w:rPr>
              <w:t xml:space="preserve">HMAS </w:t>
            </w:r>
            <w:r w:rsidRPr="00FB0744">
              <w:rPr>
                <w:rFonts w:ascii="Arial" w:hAnsi="Arial"/>
                <w:i/>
                <w:sz w:val="16"/>
                <w:szCs w:val="16"/>
                <w:lang w:val="en-AU"/>
              </w:rPr>
              <w:t>Waterhen</w:t>
            </w:r>
          </w:p>
        </w:tc>
        <w:tc>
          <w:tcPr>
            <w:tcW w:w="1790" w:type="dxa"/>
            <w:tcBorders>
              <w:top w:val="nil"/>
              <w:left w:val="nil"/>
              <w:bottom w:val="nil"/>
              <w:right w:val="nil"/>
            </w:tcBorders>
            <w:shd w:val="clear" w:color="FFFFFF" w:fill="auto"/>
            <w:noWrap/>
            <w:vAlign w:val="center"/>
          </w:tcPr>
          <w:p w14:paraId="6C03324D" w14:textId="77777777" w:rsidR="00FB0744" w:rsidRPr="00FB0744" w:rsidRDefault="00FB0744" w:rsidP="00FB0744">
            <w:pPr>
              <w:spacing w:before="0" w:after="0"/>
              <w:ind w:left="113"/>
              <w:jc w:val="right"/>
              <w:rPr>
                <w:rFonts w:ascii="Arial" w:hAnsi="Arial"/>
                <w:sz w:val="16"/>
                <w:szCs w:val="16"/>
                <w:lang w:val="en-AU"/>
              </w:rPr>
            </w:pPr>
            <w:r w:rsidRPr="00FB0744">
              <w:rPr>
                <w:rFonts w:ascii="Arial" w:hAnsi="Arial"/>
                <w:bCs/>
                <w:sz w:val="16"/>
                <w:szCs w:val="16"/>
                <w:lang w:val="en-AU"/>
              </w:rPr>
              <w:t>NSW - North Sydney</w:t>
            </w:r>
          </w:p>
        </w:tc>
        <w:tc>
          <w:tcPr>
            <w:tcW w:w="1191" w:type="dxa"/>
            <w:tcBorders>
              <w:top w:val="nil"/>
              <w:left w:val="nil"/>
              <w:bottom w:val="nil"/>
              <w:right w:val="nil"/>
            </w:tcBorders>
            <w:shd w:val="clear" w:color="FFFFFF" w:fill="auto"/>
            <w:noWrap/>
            <w:vAlign w:val="center"/>
          </w:tcPr>
          <w:p w14:paraId="51AD9681" w14:textId="77777777" w:rsidR="00FB0744" w:rsidRPr="00FB0744" w:rsidRDefault="00FB0744" w:rsidP="00FB0744">
            <w:pPr>
              <w:spacing w:before="0" w:after="0"/>
              <w:ind w:left="113"/>
              <w:jc w:val="right"/>
              <w:rPr>
                <w:rFonts w:ascii="Arial" w:hAnsi="Arial"/>
                <w:sz w:val="16"/>
                <w:szCs w:val="16"/>
                <w:lang w:val="en-AU"/>
              </w:rPr>
            </w:pPr>
          </w:p>
        </w:tc>
        <w:tc>
          <w:tcPr>
            <w:tcW w:w="1413" w:type="dxa"/>
            <w:tcBorders>
              <w:top w:val="nil"/>
              <w:left w:val="nil"/>
              <w:bottom w:val="nil"/>
              <w:right w:val="nil"/>
            </w:tcBorders>
            <w:shd w:val="clear" w:color="FFFFFF" w:fill="auto"/>
            <w:noWrap/>
            <w:vAlign w:val="bottom"/>
          </w:tcPr>
          <w:p w14:paraId="0B73A750"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0.2</w:t>
            </w:r>
          </w:p>
        </w:tc>
        <w:tc>
          <w:tcPr>
            <w:tcW w:w="1195" w:type="dxa"/>
            <w:tcBorders>
              <w:top w:val="nil"/>
              <w:left w:val="nil"/>
              <w:bottom w:val="nil"/>
              <w:right w:val="nil"/>
            </w:tcBorders>
            <w:shd w:val="clear" w:color="FFFFFF" w:fill="auto"/>
            <w:noWrap/>
            <w:vAlign w:val="bottom"/>
          </w:tcPr>
          <w:p w14:paraId="6EE6505F"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1.4</w:t>
            </w:r>
          </w:p>
        </w:tc>
      </w:tr>
      <w:tr w:rsidR="00FB0744" w:rsidRPr="00FB0744" w14:paraId="6EA24CFA" w14:textId="77777777" w:rsidTr="00F600B5">
        <w:trPr>
          <w:trHeight w:val="227"/>
        </w:trPr>
        <w:tc>
          <w:tcPr>
            <w:tcW w:w="3085" w:type="dxa"/>
            <w:tcBorders>
              <w:top w:val="nil"/>
              <w:left w:val="nil"/>
              <w:bottom w:val="nil"/>
              <w:right w:val="nil"/>
            </w:tcBorders>
            <w:shd w:val="clear" w:color="FFFFFF" w:fill="auto"/>
            <w:vAlign w:val="center"/>
          </w:tcPr>
          <w:p w14:paraId="4941AC97" w14:textId="77777777" w:rsidR="00FB0744" w:rsidRPr="00FB0744" w:rsidRDefault="00FB0744" w:rsidP="00FB0744">
            <w:pPr>
              <w:spacing w:before="0" w:after="0"/>
              <w:ind w:left="113"/>
              <w:rPr>
                <w:rFonts w:ascii="Arial" w:hAnsi="Arial"/>
                <w:sz w:val="16"/>
                <w:szCs w:val="16"/>
                <w:lang w:val="en-AU"/>
              </w:rPr>
            </w:pPr>
            <w:r w:rsidRPr="00FB0744">
              <w:rPr>
                <w:rFonts w:ascii="Arial" w:hAnsi="Arial"/>
                <w:sz w:val="16"/>
                <w:szCs w:val="16"/>
                <w:lang w:val="en-AU"/>
              </w:rPr>
              <w:t>Holsworthy Barracks</w:t>
            </w:r>
          </w:p>
        </w:tc>
        <w:tc>
          <w:tcPr>
            <w:tcW w:w="1790" w:type="dxa"/>
            <w:tcBorders>
              <w:top w:val="nil"/>
              <w:left w:val="nil"/>
              <w:bottom w:val="nil"/>
              <w:right w:val="nil"/>
            </w:tcBorders>
            <w:shd w:val="clear" w:color="FFFFFF" w:fill="auto"/>
            <w:noWrap/>
            <w:vAlign w:val="center"/>
          </w:tcPr>
          <w:p w14:paraId="778706F3" w14:textId="77777777" w:rsidR="00FB0744" w:rsidRPr="00FB0744" w:rsidRDefault="00FB0744" w:rsidP="00FB0744">
            <w:pPr>
              <w:spacing w:before="0" w:after="0"/>
              <w:ind w:left="113"/>
              <w:jc w:val="right"/>
              <w:rPr>
                <w:rFonts w:ascii="Arial" w:hAnsi="Arial"/>
                <w:sz w:val="16"/>
                <w:szCs w:val="16"/>
                <w:lang w:val="en-AU"/>
              </w:rPr>
            </w:pPr>
            <w:r w:rsidRPr="00FB0744">
              <w:rPr>
                <w:rFonts w:ascii="Arial" w:hAnsi="Arial"/>
                <w:bCs/>
                <w:sz w:val="16"/>
                <w:szCs w:val="16"/>
                <w:lang w:val="en-AU"/>
              </w:rPr>
              <w:t>NSW - Hughes</w:t>
            </w:r>
          </w:p>
        </w:tc>
        <w:tc>
          <w:tcPr>
            <w:tcW w:w="1191" w:type="dxa"/>
            <w:tcBorders>
              <w:top w:val="nil"/>
              <w:left w:val="nil"/>
              <w:bottom w:val="nil"/>
              <w:right w:val="nil"/>
            </w:tcBorders>
            <w:shd w:val="clear" w:color="FFFFFF" w:fill="auto"/>
            <w:noWrap/>
            <w:vAlign w:val="center"/>
          </w:tcPr>
          <w:p w14:paraId="1222A046" w14:textId="77777777" w:rsidR="00FB0744" w:rsidRPr="00FB0744" w:rsidRDefault="00FB0744" w:rsidP="00FB0744">
            <w:pPr>
              <w:spacing w:before="0" w:after="0"/>
              <w:ind w:left="113"/>
              <w:jc w:val="right"/>
              <w:rPr>
                <w:rFonts w:ascii="Arial" w:hAnsi="Arial"/>
                <w:sz w:val="16"/>
                <w:szCs w:val="16"/>
                <w:lang w:val="en-AU"/>
              </w:rPr>
            </w:pPr>
          </w:p>
        </w:tc>
        <w:tc>
          <w:tcPr>
            <w:tcW w:w="1413" w:type="dxa"/>
            <w:tcBorders>
              <w:top w:val="nil"/>
              <w:left w:val="nil"/>
              <w:bottom w:val="nil"/>
              <w:right w:val="nil"/>
            </w:tcBorders>
            <w:shd w:val="clear" w:color="FFFFFF" w:fill="auto"/>
            <w:noWrap/>
            <w:vAlign w:val="bottom"/>
          </w:tcPr>
          <w:p w14:paraId="556B6AFB"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0.2</w:t>
            </w:r>
          </w:p>
        </w:tc>
        <w:tc>
          <w:tcPr>
            <w:tcW w:w="1195" w:type="dxa"/>
            <w:tcBorders>
              <w:top w:val="nil"/>
              <w:left w:val="nil"/>
              <w:bottom w:val="nil"/>
              <w:right w:val="nil"/>
            </w:tcBorders>
            <w:shd w:val="clear" w:color="FFFFFF" w:fill="auto"/>
            <w:noWrap/>
            <w:vAlign w:val="bottom"/>
          </w:tcPr>
          <w:p w14:paraId="14F3F8F3"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1.4</w:t>
            </w:r>
          </w:p>
        </w:tc>
      </w:tr>
      <w:tr w:rsidR="00FB0744" w:rsidRPr="00FB0744" w14:paraId="09BCC7FB" w14:textId="77777777" w:rsidTr="00F600B5">
        <w:trPr>
          <w:trHeight w:val="227"/>
        </w:trPr>
        <w:tc>
          <w:tcPr>
            <w:tcW w:w="3085" w:type="dxa"/>
            <w:tcBorders>
              <w:top w:val="nil"/>
              <w:left w:val="nil"/>
              <w:bottom w:val="nil"/>
              <w:right w:val="nil"/>
            </w:tcBorders>
            <w:shd w:val="clear" w:color="FFFFFF" w:fill="auto"/>
            <w:vAlign w:val="center"/>
          </w:tcPr>
          <w:p w14:paraId="637016B1" w14:textId="77777777" w:rsidR="00FB0744" w:rsidRPr="00FB0744" w:rsidRDefault="00FB0744" w:rsidP="00FB0744">
            <w:pPr>
              <w:spacing w:before="0" w:after="0"/>
              <w:ind w:left="113"/>
              <w:rPr>
                <w:rFonts w:ascii="Arial" w:hAnsi="Arial"/>
                <w:sz w:val="16"/>
                <w:szCs w:val="16"/>
                <w:lang w:val="en-AU"/>
              </w:rPr>
            </w:pPr>
            <w:r w:rsidRPr="00FB0744">
              <w:rPr>
                <w:rFonts w:ascii="Arial" w:hAnsi="Arial"/>
                <w:sz w:val="16"/>
                <w:szCs w:val="16"/>
                <w:lang w:val="en-AU"/>
              </w:rPr>
              <w:t xml:space="preserve">RAAF Williamtown </w:t>
            </w:r>
          </w:p>
        </w:tc>
        <w:tc>
          <w:tcPr>
            <w:tcW w:w="1790" w:type="dxa"/>
            <w:tcBorders>
              <w:top w:val="nil"/>
              <w:left w:val="nil"/>
              <w:bottom w:val="nil"/>
              <w:right w:val="nil"/>
            </w:tcBorders>
            <w:shd w:val="clear" w:color="FFFFFF" w:fill="auto"/>
            <w:noWrap/>
            <w:vAlign w:val="center"/>
          </w:tcPr>
          <w:p w14:paraId="5E237883" w14:textId="77777777" w:rsidR="00FB0744" w:rsidRPr="00FB0744" w:rsidRDefault="00FB0744" w:rsidP="00FB0744">
            <w:pPr>
              <w:spacing w:before="0" w:after="0"/>
              <w:ind w:left="113"/>
              <w:jc w:val="right"/>
              <w:rPr>
                <w:rFonts w:ascii="Arial" w:hAnsi="Arial"/>
                <w:sz w:val="16"/>
                <w:szCs w:val="16"/>
                <w:lang w:val="en-AU"/>
              </w:rPr>
            </w:pPr>
            <w:r w:rsidRPr="00FB0744">
              <w:rPr>
                <w:rFonts w:ascii="Arial" w:hAnsi="Arial"/>
                <w:bCs/>
                <w:sz w:val="16"/>
                <w:szCs w:val="16"/>
                <w:lang w:val="en-AU"/>
              </w:rPr>
              <w:t>NSW - Paterson</w:t>
            </w:r>
          </w:p>
        </w:tc>
        <w:tc>
          <w:tcPr>
            <w:tcW w:w="1191" w:type="dxa"/>
            <w:tcBorders>
              <w:top w:val="nil"/>
              <w:left w:val="nil"/>
              <w:bottom w:val="nil"/>
              <w:right w:val="nil"/>
            </w:tcBorders>
            <w:shd w:val="clear" w:color="FFFFFF" w:fill="auto"/>
            <w:noWrap/>
            <w:vAlign w:val="center"/>
          </w:tcPr>
          <w:p w14:paraId="11D32F3B" w14:textId="77777777" w:rsidR="00FB0744" w:rsidRPr="00FB0744" w:rsidRDefault="00FB0744" w:rsidP="00FB0744">
            <w:pPr>
              <w:spacing w:before="0" w:after="0"/>
              <w:ind w:left="113"/>
              <w:jc w:val="right"/>
              <w:rPr>
                <w:rFonts w:ascii="Arial" w:hAnsi="Arial"/>
                <w:sz w:val="16"/>
                <w:szCs w:val="16"/>
                <w:lang w:val="en-AU"/>
              </w:rPr>
            </w:pPr>
          </w:p>
        </w:tc>
        <w:tc>
          <w:tcPr>
            <w:tcW w:w="1413" w:type="dxa"/>
            <w:tcBorders>
              <w:top w:val="nil"/>
              <w:left w:val="nil"/>
              <w:bottom w:val="nil"/>
              <w:right w:val="nil"/>
            </w:tcBorders>
            <w:shd w:val="clear" w:color="FFFFFF" w:fill="auto"/>
            <w:noWrap/>
            <w:vAlign w:val="bottom"/>
          </w:tcPr>
          <w:p w14:paraId="6DC7A4A7"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0.3</w:t>
            </w:r>
          </w:p>
        </w:tc>
        <w:tc>
          <w:tcPr>
            <w:tcW w:w="1195" w:type="dxa"/>
            <w:tcBorders>
              <w:top w:val="nil"/>
              <w:left w:val="nil"/>
              <w:bottom w:val="nil"/>
              <w:right w:val="nil"/>
            </w:tcBorders>
            <w:shd w:val="clear" w:color="FFFFFF" w:fill="auto"/>
            <w:noWrap/>
            <w:vAlign w:val="bottom"/>
          </w:tcPr>
          <w:p w14:paraId="1F0479AE"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2.9</w:t>
            </w:r>
          </w:p>
        </w:tc>
      </w:tr>
      <w:tr w:rsidR="00FB0744" w:rsidRPr="00FB0744" w14:paraId="137B75C4" w14:textId="77777777" w:rsidTr="00F600B5">
        <w:trPr>
          <w:trHeight w:val="227"/>
        </w:trPr>
        <w:tc>
          <w:tcPr>
            <w:tcW w:w="3085" w:type="dxa"/>
            <w:tcBorders>
              <w:top w:val="nil"/>
              <w:left w:val="nil"/>
              <w:bottom w:val="nil"/>
              <w:right w:val="nil"/>
            </w:tcBorders>
            <w:shd w:val="clear" w:color="FFFFFF" w:fill="auto"/>
            <w:vAlign w:val="center"/>
          </w:tcPr>
          <w:p w14:paraId="2A508B67" w14:textId="77777777" w:rsidR="00FB0744" w:rsidRPr="00FB0744" w:rsidRDefault="00FB0744" w:rsidP="00FB0744">
            <w:pPr>
              <w:spacing w:before="0" w:after="0"/>
              <w:ind w:left="113"/>
              <w:rPr>
                <w:rFonts w:ascii="Arial" w:hAnsi="Arial"/>
                <w:sz w:val="16"/>
                <w:szCs w:val="16"/>
                <w:lang w:val="en-AU"/>
              </w:rPr>
            </w:pPr>
            <w:r w:rsidRPr="00FB0744">
              <w:rPr>
                <w:rFonts w:ascii="Arial" w:hAnsi="Arial"/>
                <w:sz w:val="16"/>
                <w:szCs w:val="16"/>
                <w:lang w:val="en-AU"/>
              </w:rPr>
              <w:t>RAAF Darwin</w:t>
            </w:r>
          </w:p>
        </w:tc>
        <w:tc>
          <w:tcPr>
            <w:tcW w:w="1790" w:type="dxa"/>
            <w:tcBorders>
              <w:top w:val="nil"/>
              <w:left w:val="nil"/>
              <w:bottom w:val="nil"/>
              <w:right w:val="nil"/>
            </w:tcBorders>
            <w:shd w:val="clear" w:color="FFFFFF" w:fill="auto"/>
            <w:noWrap/>
            <w:vAlign w:val="center"/>
          </w:tcPr>
          <w:p w14:paraId="6F00B021" w14:textId="77777777" w:rsidR="00FB0744" w:rsidRPr="00FB0744" w:rsidRDefault="00FB0744" w:rsidP="00FB0744">
            <w:pPr>
              <w:spacing w:before="0" w:after="0"/>
              <w:ind w:left="113"/>
              <w:jc w:val="right"/>
              <w:rPr>
                <w:rFonts w:ascii="Arial" w:hAnsi="Arial"/>
                <w:sz w:val="16"/>
                <w:szCs w:val="16"/>
                <w:lang w:val="en-AU"/>
              </w:rPr>
            </w:pPr>
            <w:r w:rsidRPr="00FB0744">
              <w:rPr>
                <w:rFonts w:ascii="Arial" w:hAnsi="Arial"/>
                <w:bCs/>
                <w:sz w:val="16"/>
                <w:szCs w:val="16"/>
                <w:lang w:val="en-AU"/>
              </w:rPr>
              <w:t>NT - Solomon</w:t>
            </w:r>
          </w:p>
        </w:tc>
        <w:tc>
          <w:tcPr>
            <w:tcW w:w="1191" w:type="dxa"/>
            <w:tcBorders>
              <w:top w:val="nil"/>
              <w:left w:val="nil"/>
              <w:bottom w:val="nil"/>
              <w:right w:val="nil"/>
            </w:tcBorders>
            <w:shd w:val="clear" w:color="FFFFFF" w:fill="auto"/>
            <w:noWrap/>
            <w:vAlign w:val="center"/>
          </w:tcPr>
          <w:p w14:paraId="0871C74C" w14:textId="77777777" w:rsidR="00FB0744" w:rsidRPr="00FB0744" w:rsidRDefault="00FB0744" w:rsidP="00FB0744">
            <w:pPr>
              <w:spacing w:before="0" w:after="0"/>
              <w:ind w:left="113"/>
              <w:jc w:val="right"/>
              <w:rPr>
                <w:rFonts w:ascii="Arial" w:hAnsi="Arial"/>
                <w:sz w:val="16"/>
                <w:szCs w:val="16"/>
                <w:lang w:val="en-AU"/>
              </w:rPr>
            </w:pPr>
          </w:p>
        </w:tc>
        <w:tc>
          <w:tcPr>
            <w:tcW w:w="1413" w:type="dxa"/>
            <w:tcBorders>
              <w:top w:val="nil"/>
              <w:left w:val="nil"/>
              <w:bottom w:val="nil"/>
              <w:right w:val="nil"/>
            </w:tcBorders>
            <w:shd w:val="clear" w:color="FFFFFF" w:fill="auto"/>
            <w:noWrap/>
            <w:vAlign w:val="bottom"/>
          </w:tcPr>
          <w:p w14:paraId="0FF751E7"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0.2</w:t>
            </w:r>
          </w:p>
        </w:tc>
        <w:tc>
          <w:tcPr>
            <w:tcW w:w="1195" w:type="dxa"/>
            <w:tcBorders>
              <w:top w:val="nil"/>
              <w:left w:val="nil"/>
              <w:bottom w:val="nil"/>
              <w:right w:val="nil"/>
            </w:tcBorders>
            <w:shd w:val="clear" w:color="FFFFFF" w:fill="auto"/>
            <w:noWrap/>
            <w:vAlign w:val="bottom"/>
          </w:tcPr>
          <w:p w14:paraId="1E0DD39A"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2.9</w:t>
            </w:r>
          </w:p>
        </w:tc>
      </w:tr>
      <w:tr w:rsidR="00FB0744" w:rsidRPr="00FB0744" w14:paraId="15606621" w14:textId="77777777" w:rsidTr="00F600B5">
        <w:trPr>
          <w:trHeight w:val="227"/>
        </w:trPr>
        <w:tc>
          <w:tcPr>
            <w:tcW w:w="3085" w:type="dxa"/>
            <w:tcBorders>
              <w:top w:val="nil"/>
              <w:left w:val="nil"/>
              <w:bottom w:val="nil"/>
              <w:right w:val="nil"/>
            </w:tcBorders>
            <w:shd w:val="clear" w:color="FFFFFF" w:fill="auto"/>
            <w:vAlign w:val="center"/>
          </w:tcPr>
          <w:p w14:paraId="0261AA3D" w14:textId="77777777" w:rsidR="00FB0744" w:rsidRPr="00FB0744" w:rsidRDefault="00FB0744" w:rsidP="00FB0744">
            <w:pPr>
              <w:spacing w:before="0" w:after="0"/>
              <w:ind w:left="113"/>
              <w:rPr>
                <w:rFonts w:ascii="Arial" w:hAnsi="Arial"/>
                <w:sz w:val="16"/>
                <w:szCs w:val="16"/>
                <w:lang w:val="en-AU"/>
              </w:rPr>
            </w:pPr>
            <w:r w:rsidRPr="00FB0744">
              <w:rPr>
                <w:rFonts w:ascii="Arial" w:hAnsi="Arial"/>
                <w:sz w:val="16"/>
                <w:szCs w:val="16"/>
                <w:lang w:val="en-AU"/>
              </w:rPr>
              <w:t>RAAF Tindal</w:t>
            </w:r>
          </w:p>
        </w:tc>
        <w:tc>
          <w:tcPr>
            <w:tcW w:w="1790" w:type="dxa"/>
            <w:tcBorders>
              <w:top w:val="nil"/>
              <w:left w:val="nil"/>
              <w:bottom w:val="nil"/>
              <w:right w:val="nil"/>
            </w:tcBorders>
            <w:shd w:val="clear" w:color="FFFFFF" w:fill="auto"/>
            <w:noWrap/>
            <w:vAlign w:val="center"/>
          </w:tcPr>
          <w:p w14:paraId="77CC84F4" w14:textId="77777777" w:rsidR="00FB0744" w:rsidRPr="00FB0744" w:rsidRDefault="00FB0744" w:rsidP="00FB0744">
            <w:pPr>
              <w:spacing w:before="0" w:after="0"/>
              <w:ind w:left="113"/>
              <w:jc w:val="right"/>
              <w:rPr>
                <w:rFonts w:ascii="Arial" w:hAnsi="Arial"/>
                <w:sz w:val="16"/>
                <w:szCs w:val="16"/>
                <w:lang w:val="en-AU"/>
              </w:rPr>
            </w:pPr>
            <w:r w:rsidRPr="00FB0744">
              <w:rPr>
                <w:rFonts w:ascii="Arial" w:hAnsi="Arial"/>
                <w:bCs/>
                <w:sz w:val="16"/>
                <w:szCs w:val="16"/>
                <w:lang w:val="en-AU"/>
              </w:rPr>
              <w:t>NT - Lingiari</w:t>
            </w:r>
          </w:p>
        </w:tc>
        <w:tc>
          <w:tcPr>
            <w:tcW w:w="1191" w:type="dxa"/>
            <w:tcBorders>
              <w:top w:val="nil"/>
              <w:left w:val="nil"/>
              <w:bottom w:val="nil"/>
              <w:right w:val="nil"/>
            </w:tcBorders>
            <w:shd w:val="clear" w:color="FFFFFF" w:fill="auto"/>
            <w:noWrap/>
            <w:vAlign w:val="center"/>
          </w:tcPr>
          <w:p w14:paraId="7C157794" w14:textId="77777777" w:rsidR="00FB0744" w:rsidRPr="00FB0744" w:rsidRDefault="00FB0744" w:rsidP="00FB0744">
            <w:pPr>
              <w:spacing w:before="0" w:after="0"/>
              <w:ind w:left="113"/>
              <w:jc w:val="right"/>
              <w:rPr>
                <w:rFonts w:ascii="Arial" w:hAnsi="Arial"/>
                <w:sz w:val="16"/>
                <w:szCs w:val="16"/>
                <w:lang w:val="en-AU"/>
              </w:rPr>
            </w:pPr>
          </w:p>
        </w:tc>
        <w:tc>
          <w:tcPr>
            <w:tcW w:w="1413" w:type="dxa"/>
            <w:tcBorders>
              <w:top w:val="nil"/>
              <w:left w:val="nil"/>
              <w:bottom w:val="nil"/>
              <w:right w:val="nil"/>
            </w:tcBorders>
            <w:shd w:val="clear" w:color="FFFFFF" w:fill="auto"/>
            <w:noWrap/>
            <w:vAlign w:val="bottom"/>
          </w:tcPr>
          <w:p w14:paraId="5E99721C"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0.4</w:t>
            </w:r>
          </w:p>
        </w:tc>
        <w:tc>
          <w:tcPr>
            <w:tcW w:w="1195" w:type="dxa"/>
            <w:tcBorders>
              <w:top w:val="nil"/>
              <w:left w:val="nil"/>
              <w:bottom w:val="nil"/>
              <w:right w:val="nil"/>
            </w:tcBorders>
            <w:shd w:val="clear" w:color="FFFFFF" w:fill="auto"/>
            <w:noWrap/>
            <w:vAlign w:val="bottom"/>
          </w:tcPr>
          <w:p w14:paraId="3FBB7410"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2.9</w:t>
            </w:r>
          </w:p>
        </w:tc>
      </w:tr>
      <w:tr w:rsidR="00FB0744" w:rsidRPr="00FB0744" w14:paraId="4AA438A7" w14:textId="77777777" w:rsidTr="00F600B5">
        <w:trPr>
          <w:trHeight w:val="227"/>
        </w:trPr>
        <w:tc>
          <w:tcPr>
            <w:tcW w:w="3085" w:type="dxa"/>
            <w:tcBorders>
              <w:top w:val="nil"/>
              <w:left w:val="nil"/>
              <w:bottom w:val="nil"/>
              <w:right w:val="nil"/>
            </w:tcBorders>
            <w:shd w:val="clear" w:color="FFFFFF" w:fill="auto"/>
            <w:vAlign w:val="center"/>
          </w:tcPr>
          <w:p w14:paraId="2E3AAB13" w14:textId="77777777" w:rsidR="00FB0744" w:rsidRPr="00FB0744" w:rsidRDefault="00FB0744" w:rsidP="00FB0744">
            <w:pPr>
              <w:spacing w:before="0" w:after="0"/>
              <w:ind w:left="113"/>
              <w:rPr>
                <w:rFonts w:ascii="Arial" w:hAnsi="Arial"/>
                <w:sz w:val="16"/>
                <w:szCs w:val="16"/>
                <w:lang w:val="en-AU"/>
              </w:rPr>
            </w:pPr>
            <w:r w:rsidRPr="00FB0744">
              <w:rPr>
                <w:rFonts w:ascii="Arial" w:hAnsi="Arial"/>
                <w:sz w:val="16"/>
                <w:szCs w:val="16"/>
                <w:lang w:val="en-AU"/>
              </w:rPr>
              <w:t>Borneo Barracks</w:t>
            </w:r>
          </w:p>
        </w:tc>
        <w:tc>
          <w:tcPr>
            <w:tcW w:w="1790" w:type="dxa"/>
            <w:tcBorders>
              <w:top w:val="nil"/>
              <w:left w:val="nil"/>
              <w:bottom w:val="nil"/>
              <w:right w:val="nil"/>
            </w:tcBorders>
            <w:shd w:val="clear" w:color="FFFFFF" w:fill="auto"/>
            <w:noWrap/>
            <w:vAlign w:val="center"/>
          </w:tcPr>
          <w:p w14:paraId="1BC1BC64" w14:textId="77777777" w:rsidR="00FB0744" w:rsidRPr="00FB0744" w:rsidRDefault="00FB0744" w:rsidP="00FB0744">
            <w:pPr>
              <w:spacing w:before="0" w:after="0"/>
              <w:ind w:left="113"/>
              <w:jc w:val="right"/>
              <w:rPr>
                <w:rFonts w:ascii="Arial" w:hAnsi="Arial"/>
                <w:sz w:val="16"/>
                <w:szCs w:val="16"/>
                <w:lang w:val="en-AU"/>
              </w:rPr>
            </w:pPr>
            <w:r w:rsidRPr="00FB0744">
              <w:rPr>
                <w:rFonts w:ascii="Arial" w:hAnsi="Arial"/>
                <w:bCs/>
                <w:sz w:val="16"/>
                <w:szCs w:val="16"/>
                <w:lang w:val="en-AU"/>
              </w:rPr>
              <w:t>QLD - Groom</w:t>
            </w:r>
          </w:p>
        </w:tc>
        <w:tc>
          <w:tcPr>
            <w:tcW w:w="1191" w:type="dxa"/>
            <w:tcBorders>
              <w:top w:val="nil"/>
              <w:left w:val="nil"/>
              <w:bottom w:val="nil"/>
              <w:right w:val="nil"/>
            </w:tcBorders>
            <w:shd w:val="clear" w:color="FFFFFF" w:fill="auto"/>
            <w:noWrap/>
            <w:vAlign w:val="center"/>
          </w:tcPr>
          <w:p w14:paraId="7264FC8D" w14:textId="77777777" w:rsidR="00FB0744" w:rsidRPr="00FB0744" w:rsidRDefault="00FB0744" w:rsidP="00FB0744">
            <w:pPr>
              <w:spacing w:before="0" w:after="0"/>
              <w:ind w:left="113"/>
              <w:jc w:val="right"/>
              <w:rPr>
                <w:rFonts w:ascii="Arial" w:hAnsi="Arial"/>
                <w:sz w:val="16"/>
                <w:szCs w:val="16"/>
                <w:lang w:val="en-AU"/>
              </w:rPr>
            </w:pPr>
          </w:p>
        </w:tc>
        <w:tc>
          <w:tcPr>
            <w:tcW w:w="1413" w:type="dxa"/>
            <w:tcBorders>
              <w:top w:val="nil"/>
              <w:left w:val="nil"/>
              <w:bottom w:val="nil"/>
              <w:right w:val="nil"/>
            </w:tcBorders>
            <w:shd w:val="clear" w:color="FFFFFF" w:fill="auto"/>
            <w:noWrap/>
            <w:vAlign w:val="bottom"/>
          </w:tcPr>
          <w:p w14:paraId="27399E37"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0.2</w:t>
            </w:r>
          </w:p>
        </w:tc>
        <w:tc>
          <w:tcPr>
            <w:tcW w:w="1195" w:type="dxa"/>
            <w:tcBorders>
              <w:top w:val="nil"/>
              <w:left w:val="nil"/>
              <w:bottom w:val="nil"/>
              <w:right w:val="nil"/>
            </w:tcBorders>
            <w:shd w:val="clear" w:color="FFFFFF" w:fill="auto"/>
            <w:noWrap/>
            <w:vAlign w:val="bottom"/>
          </w:tcPr>
          <w:p w14:paraId="68777A85"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1.4</w:t>
            </w:r>
          </w:p>
        </w:tc>
      </w:tr>
      <w:tr w:rsidR="00FB0744" w:rsidRPr="00FB0744" w14:paraId="6FDF9503" w14:textId="77777777" w:rsidTr="00F600B5">
        <w:trPr>
          <w:trHeight w:val="227"/>
        </w:trPr>
        <w:tc>
          <w:tcPr>
            <w:tcW w:w="3085" w:type="dxa"/>
            <w:tcBorders>
              <w:top w:val="nil"/>
              <w:left w:val="nil"/>
              <w:bottom w:val="nil"/>
              <w:right w:val="nil"/>
            </w:tcBorders>
            <w:shd w:val="clear" w:color="FFFFFF" w:fill="auto"/>
            <w:vAlign w:val="center"/>
          </w:tcPr>
          <w:p w14:paraId="191E2D92" w14:textId="77777777" w:rsidR="00FB0744" w:rsidRPr="00FB0744" w:rsidRDefault="00FB0744" w:rsidP="00FB0744">
            <w:pPr>
              <w:spacing w:before="0" w:after="0"/>
              <w:ind w:left="113"/>
              <w:rPr>
                <w:rFonts w:ascii="Arial" w:hAnsi="Arial"/>
                <w:sz w:val="16"/>
                <w:szCs w:val="16"/>
                <w:lang w:val="en-AU"/>
              </w:rPr>
            </w:pPr>
            <w:r w:rsidRPr="00FB0744">
              <w:rPr>
                <w:rFonts w:ascii="Arial" w:hAnsi="Arial"/>
                <w:sz w:val="16"/>
                <w:szCs w:val="16"/>
                <w:lang w:val="en-AU"/>
              </w:rPr>
              <w:t>Longreach</w:t>
            </w:r>
          </w:p>
        </w:tc>
        <w:tc>
          <w:tcPr>
            <w:tcW w:w="1790" w:type="dxa"/>
            <w:tcBorders>
              <w:top w:val="nil"/>
              <w:left w:val="nil"/>
              <w:bottom w:val="nil"/>
              <w:right w:val="nil"/>
            </w:tcBorders>
            <w:shd w:val="clear" w:color="FFFFFF" w:fill="auto"/>
            <w:noWrap/>
          </w:tcPr>
          <w:p w14:paraId="35C6F7C8" w14:textId="77777777" w:rsidR="00FB0744" w:rsidRPr="00FB0744" w:rsidRDefault="00FB0744" w:rsidP="00FB0744">
            <w:pPr>
              <w:spacing w:before="0" w:after="0"/>
              <w:ind w:left="113"/>
              <w:jc w:val="right"/>
              <w:rPr>
                <w:rFonts w:ascii="Arial" w:hAnsi="Arial"/>
                <w:sz w:val="16"/>
                <w:szCs w:val="16"/>
                <w:lang w:val="en-AU"/>
              </w:rPr>
            </w:pPr>
            <w:r w:rsidRPr="00FB0744">
              <w:rPr>
                <w:rFonts w:ascii="Arial" w:hAnsi="Arial"/>
                <w:bCs/>
                <w:sz w:val="16"/>
                <w:szCs w:val="16"/>
                <w:lang w:val="en-AU"/>
              </w:rPr>
              <w:t>QLD - Maranoa</w:t>
            </w:r>
          </w:p>
        </w:tc>
        <w:tc>
          <w:tcPr>
            <w:tcW w:w="1191" w:type="dxa"/>
            <w:tcBorders>
              <w:top w:val="nil"/>
              <w:left w:val="nil"/>
              <w:bottom w:val="nil"/>
              <w:right w:val="nil"/>
            </w:tcBorders>
            <w:shd w:val="clear" w:color="FFFFFF" w:fill="auto"/>
            <w:noWrap/>
            <w:vAlign w:val="center"/>
          </w:tcPr>
          <w:p w14:paraId="2D1C80E9" w14:textId="77777777" w:rsidR="00FB0744" w:rsidRPr="00FB0744" w:rsidRDefault="00FB0744" w:rsidP="00FB0744">
            <w:pPr>
              <w:spacing w:before="0" w:after="0"/>
              <w:ind w:left="113"/>
              <w:jc w:val="right"/>
              <w:rPr>
                <w:rFonts w:ascii="Arial" w:hAnsi="Arial"/>
                <w:sz w:val="16"/>
                <w:szCs w:val="16"/>
                <w:lang w:val="en-AU"/>
              </w:rPr>
            </w:pPr>
          </w:p>
        </w:tc>
        <w:tc>
          <w:tcPr>
            <w:tcW w:w="1413" w:type="dxa"/>
            <w:tcBorders>
              <w:top w:val="nil"/>
              <w:left w:val="nil"/>
              <w:bottom w:val="nil"/>
              <w:right w:val="nil"/>
            </w:tcBorders>
            <w:shd w:val="clear" w:color="FFFFFF" w:fill="auto"/>
            <w:noWrap/>
            <w:vAlign w:val="bottom"/>
          </w:tcPr>
          <w:p w14:paraId="398A2889"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0.2</w:t>
            </w:r>
          </w:p>
        </w:tc>
        <w:tc>
          <w:tcPr>
            <w:tcW w:w="1195" w:type="dxa"/>
            <w:tcBorders>
              <w:top w:val="nil"/>
              <w:left w:val="nil"/>
              <w:bottom w:val="nil"/>
              <w:right w:val="nil"/>
            </w:tcBorders>
            <w:shd w:val="clear" w:color="FFFFFF" w:fill="auto"/>
            <w:noWrap/>
            <w:vAlign w:val="bottom"/>
          </w:tcPr>
          <w:p w14:paraId="0441EAF6"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2.9</w:t>
            </w:r>
          </w:p>
        </w:tc>
      </w:tr>
      <w:tr w:rsidR="00FB0744" w:rsidRPr="00FB0744" w14:paraId="272E979B" w14:textId="77777777" w:rsidTr="00F600B5">
        <w:trPr>
          <w:trHeight w:val="227"/>
        </w:trPr>
        <w:tc>
          <w:tcPr>
            <w:tcW w:w="3085" w:type="dxa"/>
            <w:tcBorders>
              <w:top w:val="nil"/>
              <w:left w:val="nil"/>
              <w:bottom w:val="nil"/>
              <w:right w:val="nil"/>
            </w:tcBorders>
            <w:shd w:val="clear" w:color="FFFFFF" w:fill="auto"/>
            <w:vAlign w:val="center"/>
          </w:tcPr>
          <w:p w14:paraId="6F649663" w14:textId="77777777" w:rsidR="00FB0744" w:rsidRPr="00FB0744" w:rsidRDefault="00FB0744" w:rsidP="00FB0744">
            <w:pPr>
              <w:spacing w:before="0" w:after="0"/>
              <w:ind w:left="113"/>
              <w:rPr>
                <w:rFonts w:ascii="Arial" w:hAnsi="Arial"/>
                <w:sz w:val="16"/>
                <w:szCs w:val="16"/>
                <w:lang w:val="en-AU"/>
              </w:rPr>
            </w:pPr>
            <w:r w:rsidRPr="00FB0744">
              <w:rPr>
                <w:rFonts w:ascii="Arial" w:hAnsi="Arial"/>
                <w:sz w:val="16"/>
                <w:szCs w:val="16"/>
                <w:lang w:val="en-AU"/>
              </w:rPr>
              <w:t>Lavarack Barracks</w:t>
            </w:r>
          </w:p>
        </w:tc>
        <w:tc>
          <w:tcPr>
            <w:tcW w:w="1790" w:type="dxa"/>
            <w:tcBorders>
              <w:top w:val="nil"/>
              <w:left w:val="nil"/>
              <w:bottom w:val="nil"/>
              <w:right w:val="nil"/>
            </w:tcBorders>
            <w:shd w:val="clear" w:color="FFFFFF" w:fill="auto"/>
            <w:noWrap/>
          </w:tcPr>
          <w:p w14:paraId="00EA4F60" w14:textId="77777777" w:rsidR="00FB0744" w:rsidRPr="00FB0744" w:rsidRDefault="00FB0744" w:rsidP="00FB0744">
            <w:pPr>
              <w:spacing w:before="0" w:after="0"/>
              <w:ind w:left="113"/>
              <w:jc w:val="right"/>
              <w:rPr>
                <w:rFonts w:ascii="Arial" w:hAnsi="Arial"/>
                <w:sz w:val="16"/>
                <w:szCs w:val="16"/>
                <w:lang w:val="en-AU"/>
              </w:rPr>
            </w:pPr>
            <w:r w:rsidRPr="00FB0744">
              <w:rPr>
                <w:rFonts w:ascii="Arial" w:hAnsi="Arial"/>
                <w:bCs/>
                <w:sz w:val="16"/>
                <w:szCs w:val="16"/>
                <w:lang w:val="en-AU"/>
              </w:rPr>
              <w:t>QLD - Herbert</w:t>
            </w:r>
          </w:p>
        </w:tc>
        <w:tc>
          <w:tcPr>
            <w:tcW w:w="1191" w:type="dxa"/>
            <w:tcBorders>
              <w:top w:val="nil"/>
              <w:left w:val="nil"/>
              <w:bottom w:val="nil"/>
              <w:right w:val="nil"/>
            </w:tcBorders>
            <w:shd w:val="clear" w:color="FFFFFF" w:fill="auto"/>
            <w:noWrap/>
            <w:vAlign w:val="center"/>
          </w:tcPr>
          <w:p w14:paraId="37F3CFA5" w14:textId="77777777" w:rsidR="00FB0744" w:rsidRPr="00FB0744" w:rsidRDefault="00FB0744" w:rsidP="00FB0744">
            <w:pPr>
              <w:spacing w:before="0" w:after="0"/>
              <w:ind w:left="113"/>
              <w:jc w:val="right"/>
              <w:rPr>
                <w:rFonts w:ascii="Arial" w:hAnsi="Arial"/>
                <w:sz w:val="16"/>
                <w:szCs w:val="16"/>
                <w:lang w:val="en-AU"/>
              </w:rPr>
            </w:pPr>
          </w:p>
        </w:tc>
        <w:tc>
          <w:tcPr>
            <w:tcW w:w="1413" w:type="dxa"/>
            <w:tcBorders>
              <w:top w:val="nil"/>
              <w:left w:val="nil"/>
              <w:bottom w:val="nil"/>
              <w:right w:val="nil"/>
            </w:tcBorders>
            <w:shd w:val="clear" w:color="FFFFFF" w:fill="auto"/>
            <w:noWrap/>
            <w:vAlign w:val="bottom"/>
          </w:tcPr>
          <w:p w14:paraId="1F71C882"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0.2</w:t>
            </w:r>
          </w:p>
        </w:tc>
        <w:tc>
          <w:tcPr>
            <w:tcW w:w="1195" w:type="dxa"/>
            <w:tcBorders>
              <w:top w:val="nil"/>
              <w:left w:val="nil"/>
              <w:bottom w:val="nil"/>
              <w:right w:val="nil"/>
            </w:tcBorders>
            <w:shd w:val="clear" w:color="FFFFFF" w:fill="auto"/>
            <w:noWrap/>
            <w:vAlign w:val="bottom"/>
          </w:tcPr>
          <w:p w14:paraId="6B25E0D1"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2.9</w:t>
            </w:r>
          </w:p>
        </w:tc>
      </w:tr>
      <w:tr w:rsidR="00FB0744" w:rsidRPr="00FB0744" w14:paraId="5CF6C9B2" w14:textId="77777777" w:rsidTr="00F600B5">
        <w:trPr>
          <w:trHeight w:val="227"/>
        </w:trPr>
        <w:tc>
          <w:tcPr>
            <w:tcW w:w="3085" w:type="dxa"/>
            <w:tcBorders>
              <w:top w:val="nil"/>
              <w:left w:val="nil"/>
              <w:bottom w:val="nil"/>
              <w:right w:val="nil"/>
            </w:tcBorders>
            <w:shd w:val="clear" w:color="FFFFFF" w:fill="auto"/>
            <w:vAlign w:val="center"/>
          </w:tcPr>
          <w:p w14:paraId="417ADB84" w14:textId="77777777" w:rsidR="00FB0744" w:rsidRPr="00FB0744" w:rsidRDefault="00FB0744" w:rsidP="00FB0744">
            <w:pPr>
              <w:spacing w:before="0" w:after="0"/>
              <w:ind w:left="113"/>
              <w:rPr>
                <w:rFonts w:ascii="Arial" w:hAnsi="Arial"/>
                <w:sz w:val="16"/>
                <w:szCs w:val="16"/>
                <w:lang w:val="en-AU"/>
              </w:rPr>
            </w:pPr>
            <w:r w:rsidRPr="00FB0744">
              <w:rPr>
                <w:rFonts w:ascii="Arial" w:hAnsi="Arial"/>
                <w:sz w:val="16"/>
                <w:szCs w:val="16"/>
                <w:lang w:val="en-AU"/>
              </w:rPr>
              <w:t>RAAF Amberley</w:t>
            </w:r>
          </w:p>
        </w:tc>
        <w:tc>
          <w:tcPr>
            <w:tcW w:w="1790" w:type="dxa"/>
            <w:tcBorders>
              <w:top w:val="nil"/>
              <w:left w:val="nil"/>
              <w:bottom w:val="nil"/>
              <w:right w:val="nil"/>
            </w:tcBorders>
            <w:shd w:val="clear" w:color="FFFFFF" w:fill="auto"/>
            <w:noWrap/>
          </w:tcPr>
          <w:p w14:paraId="2144385D" w14:textId="77777777" w:rsidR="00FB0744" w:rsidRPr="00FB0744" w:rsidRDefault="00FB0744" w:rsidP="00FB0744">
            <w:pPr>
              <w:spacing w:before="0" w:after="0"/>
              <w:ind w:left="113"/>
              <w:jc w:val="right"/>
              <w:rPr>
                <w:rFonts w:ascii="Arial" w:hAnsi="Arial"/>
                <w:sz w:val="16"/>
                <w:szCs w:val="16"/>
                <w:lang w:val="en-AU"/>
              </w:rPr>
            </w:pPr>
            <w:r w:rsidRPr="00FB0744">
              <w:rPr>
                <w:rFonts w:ascii="Arial" w:hAnsi="Arial"/>
                <w:bCs/>
                <w:sz w:val="16"/>
                <w:szCs w:val="16"/>
                <w:lang w:val="en-AU"/>
              </w:rPr>
              <w:t>QLD - Blair</w:t>
            </w:r>
          </w:p>
        </w:tc>
        <w:tc>
          <w:tcPr>
            <w:tcW w:w="1191" w:type="dxa"/>
            <w:tcBorders>
              <w:top w:val="nil"/>
              <w:left w:val="nil"/>
              <w:bottom w:val="nil"/>
              <w:right w:val="nil"/>
            </w:tcBorders>
            <w:shd w:val="clear" w:color="FFFFFF" w:fill="auto"/>
            <w:noWrap/>
            <w:vAlign w:val="center"/>
          </w:tcPr>
          <w:p w14:paraId="5133005B" w14:textId="77777777" w:rsidR="00FB0744" w:rsidRPr="00FB0744" w:rsidRDefault="00FB0744" w:rsidP="00FB0744">
            <w:pPr>
              <w:spacing w:before="0" w:after="0"/>
              <w:ind w:left="113"/>
              <w:jc w:val="right"/>
              <w:rPr>
                <w:rFonts w:ascii="Arial" w:hAnsi="Arial"/>
                <w:sz w:val="16"/>
                <w:szCs w:val="16"/>
                <w:lang w:val="en-AU"/>
              </w:rPr>
            </w:pPr>
          </w:p>
        </w:tc>
        <w:tc>
          <w:tcPr>
            <w:tcW w:w="1413" w:type="dxa"/>
            <w:tcBorders>
              <w:top w:val="nil"/>
              <w:left w:val="nil"/>
              <w:bottom w:val="nil"/>
              <w:right w:val="nil"/>
            </w:tcBorders>
            <w:shd w:val="clear" w:color="FFFFFF" w:fill="auto"/>
            <w:noWrap/>
            <w:vAlign w:val="bottom"/>
          </w:tcPr>
          <w:p w14:paraId="2CA18238"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0.7</w:t>
            </w:r>
          </w:p>
        </w:tc>
        <w:tc>
          <w:tcPr>
            <w:tcW w:w="1195" w:type="dxa"/>
            <w:tcBorders>
              <w:top w:val="nil"/>
              <w:left w:val="nil"/>
              <w:bottom w:val="nil"/>
              <w:right w:val="nil"/>
            </w:tcBorders>
            <w:shd w:val="clear" w:color="FFFFFF" w:fill="auto"/>
            <w:noWrap/>
            <w:vAlign w:val="bottom"/>
          </w:tcPr>
          <w:p w14:paraId="4B0D6C0B"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5.8</w:t>
            </w:r>
          </w:p>
        </w:tc>
      </w:tr>
      <w:tr w:rsidR="00FB0744" w:rsidRPr="00FB0744" w14:paraId="07271928" w14:textId="77777777" w:rsidTr="00F600B5">
        <w:trPr>
          <w:trHeight w:val="227"/>
        </w:trPr>
        <w:tc>
          <w:tcPr>
            <w:tcW w:w="3085" w:type="dxa"/>
            <w:tcBorders>
              <w:top w:val="nil"/>
              <w:left w:val="nil"/>
              <w:bottom w:val="nil"/>
              <w:right w:val="nil"/>
            </w:tcBorders>
            <w:shd w:val="clear" w:color="FFFFFF" w:fill="auto"/>
            <w:vAlign w:val="center"/>
          </w:tcPr>
          <w:p w14:paraId="02A49A7E" w14:textId="77777777" w:rsidR="00FB0744" w:rsidRPr="00FB0744" w:rsidRDefault="00FB0744" w:rsidP="00FB0744">
            <w:pPr>
              <w:spacing w:before="0" w:after="0"/>
              <w:ind w:left="113"/>
              <w:rPr>
                <w:rFonts w:ascii="Arial" w:hAnsi="Arial"/>
                <w:sz w:val="16"/>
                <w:szCs w:val="16"/>
                <w:lang w:val="en-AU"/>
              </w:rPr>
            </w:pPr>
            <w:r w:rsidRPr="00FB0744">
              <w:rPr>
                <w:rFonts w:ascii="Arial" w:hAnsi="Arial"/>
                <w:sz w:val="16"/>
                <w:szCs w:val="16"/>
                <w:lang w:val="en-AU"/>
              </w:rPr>
              <w:t xml:space="preserve">RAAF Townsville </w:t>
            </w:r>
          </w:p>
        </w:tc>
        <w:tc>
          <w:tcPr>
            <w:tcW w:w="1790" w:type="dxa"/>
            <w:tcBorders>
              <w:top w:val="nil"/>
              <w:left w:val="nil"/>
              <w:bottom w:val="nil"/>
              <w:right w:val="nil"/>
            </w:tcBorders>
            <w:shd w:val="clear" w:color="FFFFFF" w:fill="auto"/>
            <w:noWrap/>
          </w:tcPr>
          <w:p w14:paraId="7FC78BAB" w14:textId="77777777" w:rsidR="00FB0744" w:rsidRPr="00FB0744" w:rsidRDefault="00FB0744" w:rsidP="00FB0744">
            <w:pPr>
              <w:spacing w:before="0" w:after="0"/>
              <w:ind w:left="113"/>
              <w:jc w:val="right"/>
              <w:rPr>
                <w:rFonts w:ascii="Arial" w:hAnsi="Arial"/>
                <w:sz w:val="16"/>
                <w:szCs w:val="16"/>
                <w:lang w:val="en-AU"/>
              </w:rPr>
            </w:pPr>
            <w:r w:rsidRPr="00FB0744">
              <w:rPr>
                <w:rFonts w:ascii="Arial" w:hAnsi="Arial"/>
                <w:bCs/>
                <w:sz w:val="16"/>
                <w:szCs w:val="16"/>
                <w:lang w:val="en-AU"/>
              </w:rPr>
              <w:t>QLD - Herbert</w:t>
            </w:r>
          </w:p>
        </w:tc>
        <w:tc>
          <w:tcPr>
            <w:tcW w:w="1191" w:type="dxa"/>
            <w:tcBorders>
              <w:top w:val="nil"/>
              <w:left w:val="nil"/>
              <w:bottom w:val="nil"/>
              <w:right w:val="nil"/>
            </w:tcBorders>
            <w:shd w:val="clear" w:color="FFFFFF" w:fill="auto"/>
            <w:noWrap/>
            <w:vAlign w:val="center"/>
          </w:tcPr>
          <w:p w14:paraId="25460C4C" w14:textId="77777777" w:rsidR="00FB0744" w:rsidRPr="00FB0744" w:rsidRDefault="00FB0744" w:rsidP="00FB0744">
            <w:pPr>
              <w:spacing w:before="0" w:after="0"/>
              <w:ind w:left="113"/>
              <w:jc w:val="right"/>
              <w:rPr>
                <w:rFonts w:ascii="Arial" w:hAnsi="Arial"/>
                <w:sz w:val="16"/>
                <w:szCs w:val="16"/>
                <w:lang w:val="en-AU"/>
              </w:rPr>
            </w:pPr>
          </w:p>
        </w:tc>
        <w:tc>
          <w:tcPr>
            <w:tcW w:w="1413" w:type="dxa"/>
            <w:tcBorders>
              <w:top w:val="nil"/>
              <w:left w:val="nil"/>
              <w:bottom w:val="nil"/>
              <w:right w:val="nil"/>
            </w:tcBorders>
            <w:shd w:val="clear" w:color="FFFFFF" w:fill="auto"/>
            <w:noWrap/>
            <w:vAlign w:val="bottom"/>
          </w:tcPr>
          <w:p w14:paraId="0B527CAE"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0.7</w:t>
            </w:r>
          </w:p>
        </w:tc>
        <w:tc>
          <w:tcPr>
            <w:tcW w:w="1195" w:type="dxa"/>
            <w:tcBorders>
              <w:top w:val="nil"/>
              <w:left w:val="nil"/>
              <w:bottom w:val="nil"/>
              <w:right w:val="nil"/>
            </w:tcBorders>
            <w:shd w:val="clear" w:color="FFFFFF" w:fill="auto"/>
            <w:noWrap/>
            <w:vAlign w:val="bottom"/>
          </w:tcPr>
          <w:p w14:paraId="7685D41B"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4.3</w:t>
            </w:r>
          </w:p>
        </w:tc>
      </w:tr>
      <w:tr w:rsidR="00FB0744" w:rsidRPr="00FB0744" w14:paraId="7FEFDAB8" w14:textId="77777777" w:rsidTr="00F600B5">
        <w:trPr>
          <w:trHeight w:val="227"/>
        </w:trPr>
        <w:tc>
          <w:tcPr>
            <w:tcW w:w="3085" w:type="dxa"/>
            <w:tcBorders>
              <w:top w:val="nil"/>
              <w:left w:val="nil"/>
              <w:bottom w:val="nil"/>
              <w:right w:val="nil"/>
            </w:tcBorders>
            <w:shd w:val="clear" w:color="FFFFFF" w:fill="auto"/>
            <w:vAlign w:val="center"/>
          </w:tcPr>
          <w:p w14:paraId="01FCC510" w14:textId="77777777" w:rsidR="00FB0744" w:rsidRPr="00FB0744" w:rsidRDefault="00FB0744" w:rsidP="00FB0744">
            <w:pPr>
              <w:spacing w:before="0" w:after="0"/>
              <w:ind w:left="113"/>
              <w:rPr>
                <w:rFonts w:ascii="Arial" w:hAnsi="Arial"/>
                <w:sz w:val="16"/>
                <w:szCs w:val="16"/>
                <w:lang w:val="en-AU"/>
              </w:rPr>
            </w:pPr>
            <w:r w:rsidRPr="00FB0744">
              <w:rPr>
                <w:rFonts w:ascii="Arial" w:hAnsi="Arial"/>
                <w:sz w:val="16"/>
                <w:szCs w:val="16"/>
                <w:lang w:val="en-AU"/>
              </w:rPr>
              <w:t>Port Wakefield</w:t>
            </w:r>
          </w:p>
        </w:tc>
        <w:tc>
          <w:tcPr>
            <w:tcW w:w="1790" w:type="dxa"/>
            <w:tcBorders>
              <w:top w:val="nil"/>
              <w:left w:val="nil"/>
              <w:bottom w:val="nil"/>
              <w:right w:val="nil"/>
            </w:tcBorders>
            <w:shd w:val="clear" w:color="FFFFFF" w:fill="auto"/>
            <w:noWrap/>
            <w:vAlign w:val="center"/>
          </w:tcPr>
          <w:p w14:paraId="5920ACC2" w14:textId="77777777" w:rsidR="00FB0744" w:rsidRPr="00FB0744" w:rsidRDefault="00FB0744" w:rsidP="00FB0744">
            <w:pPr>
              <w:spacing w:before="0" w:after="0"/>
              <w:ind w:left="113"/>
              <w:jc w:val="right"/>
              <w:rPr>
                <w:rFonts w:ascii="Arial" w:hAnsi="Arial"/>
                <w:sz w:val="16"/>
                <w:szCs w:val="16"/>
                <w:lang w:val="en-AU"/>
              </w:rPr>
            </w:pPr>
            <w:r w:rsidRPr="00FB0744">
              <w:rPr>
                <w:rFonts w:ascii="Arial" w:hAnsi="Arial"/>
                <w:bCs/>
                <w:sz w:val="16"/>
                <w:szCs w:val="16"/>
                <w:lang w:val="en-AU"/>
              </w:rPr>
              <w:t>SA - Grey</w:t>
            </w:r>
          </w:p>
        </w:tc>
        <w:tc>
          <w:tcPr>
            <w:tcW w:w="1191" w:type="dxa"/>
            <w:tcBorders>
              <w:top w:val="nil"/>
              <w:left w:val="nil"/>
              <w:bottom w:val="nil"/>
              <w:right w:val="nil"/>
            </w:tcBorders>
            <w:shd w:val="clear" w:color="FFFFFF" w:fill="auto"/>
            <w:noWrap/>
            <w:vAlign w:val="center"/>
          </w:tcPr>
          <w:p w14:paraId="5590864A" w14:textId="77777777" w:rsidR="00FB0744" w:rsidRPr="00FB0744" w:rsidRDefault="00FB0744" w:rsidP="00FB0744">
            <w:pPr>
              <w:spacing w:before="0" w:after="0"/>
              <w:ind w:left="113"/>
              <w:jc w:val="right"/>
              <w:rPr>
                <w:rFonts w:ascii="Arial" w:hAnsi="Arial"/>
                <w:sz w:val="16"/>
                <w:szCs w:val="16"/>
                <w:lang w:val="en-AU"/>
              </w:rPr>
            </w:pPr>
          </w:p>
        </w:tc>
        <w:tc>
          <w:tcPr>
            <w:tcW w:w="1413" w:type="dxa"/>
            <w:tcBorders>
              <w:top w:val="nil"/>
              <w:left w:val="nil"/>
              <w:bottom w:val="nil"/>
              <w:right w:val="nil"/>
            </w:tcBorders>
            <w:shd w:val="clear" w:color="FFFFFF" w:fill="auto"/>
            <w:noWrap/>
            <w:vAlign w:val="bottom"/>
          </w:tcPr>
          <w:p w14:paraId="247CA05F"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0.3</w:t>
            </w:r>
          </w:p>
        </w:tc>
        <w:tc>
          <w:tcPr>
            <w:tcW w:w="1195" w:type="dxa"/>
            <w:tcBorders>
              <w:top w:val="nil"/>
              <w:left w:val="nil"/>
              <w:bottom w:val="nil"/>
              <w:right w:val="nil"/>
            </w:tcBorders>
            <w:shd w:val="clear" w:color="FFFFFF" w:fill="auto"/>
            <w:noWrap/>
            <w:vAlign w:val="bottom"/>
          </w:tcPr>
          <w:p w14:paraId="5C212E08"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1.4</w:t>
            </w:r>
          </w:p>
        </w:tc>
      </w:tr>
      <w:tr w:rsidR="00FB0744" w:rsidRPr="00FB0744" w14:paraId="40E51D10" w14:textId="77777777" w:rsidTr="00F600B5">
        <w:trPr>
          <w:trHeight w:val="227"/>
        </w:trPr>
        <w:tc>
          <w:tcPr>
            <w:tcW w:w="3085" w:type="dxa"/>
            <w:tcBorders>
              <w:top w:val="nil"/>
              <w:left w:val="nil"/>
              <w:bottom w:val="nil"/>
              <w:right w:val="nil"/>
            </w:tcBorders>
            <w:shd w:val="clear" w:color="FFFFFF" w:fill="auto"/>
            <w:vAlign w:val="center"/>
          </w:tcPr>
          <w:p w14:paraId="2FA6C1AD" w14:textId="77777777" w:rsidR="00FB0744" w:rsidRPr="00FB0744" w:rsidRDefault="00FB0744" w:rsidP="00FB0744">
            <w:pPr>
              <w:spacing w:before="0" w:after="0"/>
              <w:ind w:left="113"/>
              <w:rPr>
                <w:rFonts w:ascii="Arial" w:hAnsi="Arial"/>
                <w:sz w:val="16"/>
                <w:szCs w:val="16"/>
                <w:lang w:val="en-AU"/>
              </w:rPr>
            </w:pPr>
            <w:r w:rsidRPr="00FB0744">
              <w:rPr>
                <w:rFonts w:ascii="Arial" w:hAnsi="Arial"/>
                <w:sz w:val="16"/>
                <w:szCs w:val="16"/>
                <w:lang w:val="en-AU"/>
              </w:rPr>
              <w:t>RAAF Edinburgh</w:t>
            </w:r>
            <w:r w:rsidRPr="00FB0744">
              <w:rPr>
                <w:rFonts w:ascii="Arial" w:hAnsi="Arial"/>
                <w:b/>
                <w:bCs/>
                <w:sz w:val="16"/>
                <w:szCs w:val="16"/>
                <w:lang w:val="en-AU"/>
              </w:rPr>
              <w:t xml:space="preserve"> </w:t>
            </w:r>
          </w:p>
        </w:tc>
        <w:tc>
          <w:tcPr>
            <w:tcW w:w="1790" w:type="dxa"/>
            <w:tcBorders>
              <w:top w:val="nil"/>
              <w:left w:val="nil"/>
              <w:bottom w:val="nil"/>
              <w:right w:val="nil"/>
            </w:tcBorders>
            <w:shd w:val="clear" w:color="FFFFFF" w:fill="auto"/>
            <w:noWrap/>
            <w:vAlign w:val="center"/>
          </w:tcPr>
          <w:p w14:paraId="2B60D501" w14:textId="77777777" w:rsidR="00FB0744" w:rsidRPr="00FB0744" w:rsidRDefault="00FB0744" w:rsidP="00FB0744">
            <w:pPr>
              <w:spacing w:before="0" w:after="0"/>
              <w:ind w:left="113"/>
              <w:jc w:val="right"/>
              <w:rPr>
                <w:rFonts w:ascii="Arial" w:hAnsi="Arial"/>
                <w:sz w:val="16"/>
                <w:szCs w:val="16"/>
                <w:lang w:val="en-AU"/>
              </w:rPr>
            </w:pPr>
            <w:r w:rsidRPr="00FB0744">
              <w:rPr>
                <w:rFonts w:ascii="Arial" w:hAnsi="Arial"/>
                <w:bCs/>
                <w:sz w:val="16"/>
                <w:szCs w:val="16"/>
                <w:lang w:val="en-AU"/>
              </w:rPr>
              <w:t>SA - Spence</w:t>
            </w:r>
          </w:p>
        </w:tc>
        <w:tc>
          <w:tcPr>
            <w:tcW w:w="1191" w:type="dxa"/>
            <w:tcBorders>
              <w:top w:val="nil"/>
              <w:left w:val="nil"/>
              <w:bottom w:val="nil"/>
              <w:right w:val="nil"/>
            </w:tcBorders>
            <w:shd w:val="clear" w:color="FFFFFF" w:fill="auto"/>
            <w:noWrap/>
            <w:vAlign w:val="center"/>
          </w:tcPr>
          <w:p w14:paraId="3CD841F5" w14:textId="77777777" w:rsidR="00FB0744" w:rsidRPr="00FB0744" w:rsidRDefault="00FB0744" w:rsidP="00FB0744">
            <w:pPr>
              <w:spacing w:before="0" w:after="0"/>
              <w:ind w:left="113"/>
              <w:jc w:val="right"/>
              <w:rPr>
                <w:rFonts w:ascii="Arial" w:hAnsi="Arial"/>
                <w:sz w:val="16"/>
                <w:szCs w:val="16"/>
                <w:lang w:val="en-AU"/>
              </w:rPr>
            </w:pPr>
          </w:p>
        </w:tc>
        <w:tc>
          <w:tcPr>
            <w:tcW w:w="1413" w:type="dxa"/>
            <w:tcBorders>
              <w:top w:val="nil"/>
              <w:left w:val="nil"/>
              <w:bottom w:val="nil"/>
              <w:right w:val="nil"/>
            </w:tcBorders>
            <w:shd w:val="clear" w:color="FFFFFF" w:fill="auto"/>
            <w:noWrap/>
            <w:vAlign w:val="bottom"/>
          </w:tcPr>
          <w:p w14:paraId="4F672F7E"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0.1</w:t>
            </w:r>
          </w:p>
        </w:tc>
        <w:tc>
          <w:tcPr>
            <w:tcW w:w="1195" w:type="dxa"/>
            <w:tcBorders>
              <w:top w:val="nil"/>
              <w:left w:val="nil"/>
              <w:bottom w:val="nil"/>
              <w:right w:val="nil"/>
            </w:tcBorders>
            <w:shd w:val="clear" w:color="FFFFFF" w:fill="auto"/>
            <w:noWrap/>
            <w:vAlign w:val="bottom"/>
          </w:tcPr>
          <w:p w14:paraId="4495C64C"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1.4</w:t>
            </w:r>
          </w:p>
        </w:tc>
      </w:tr>
      <w:tr w:rsidR="00FB0744" w:rsidRPr="00FB0744" w14:paraId="1CB098D3" w14:textId="77777777" w:rsidTr="00F600B5">
        <w:trPr>
          <w:trHeight w:val="227"/>
        </w:trPr>
        <w:tc>
          <w:tcPr>
            <w:tcW w:w="3085" w:type="dxa"/>
            <w:tcBorders>
              <w:top w:val="nil"/>
              <w:left w:val="nil"/>
              <w:bottom w:val="nil"/>
              <w:right w:val="nil"/>
            </w:tcBorders>
            <w:shd w:val="clear" w:color="FFFFFF" w:fill="auto"/>
            <w:vAlign w:val="center"/>
          </w:tcPr>
          <w:p w14:paraId="3098C548" w14:textId="77777777" w:rsidR="00FB0744" w:rsidRPr="00FB0744" w:rsidRDefault="00FB0744" w:rsidP="00FB0744">
            <w:pPr>
              <w:spacing w:before="0" w:after="0"/>
              <w:ind w:left="113"/>
              <w:rPr>
                <w:rFonts w:ascii="Arial" w:hAnsi="Arial"/>
                <w:sz w:val="16"/>
                <w:szCs w:val="16"/>
                <w:lang w:val="en-AU"/>
              </w:rPr>
            </w:pPr>
            <w:r w:rsidRPr="00FB0744">
              <w:rPr>
                <w:rFonts w:ascii="Arial" w:hAnsi="Arial"/>
                <w:sz w:val="16"/>
                <w:szCs w:val="16"/>
                <w:lang w:val="en-AU"/>
              </w:rPr>
              <w:t>Puckapunyal Military Area</w:t>
            </w:r>
          </w:p>
        </w:tc>
        <w:tc>
          <w:tcPr>
            <w:tcW w:w="1790" w:type="dxa"/>
            <w:tcBorders>
              <w:top w:val="nil"/>
              <w:left w:val="nil"/>
              <w:bottom w:val="nil"/>
              <w:right w:val="nil"/>
            </w:tcBorders>
            <w:shd w:val="clear" w:color="FFFFFF" w:fill="auto"/>
            <w:noWrap/>
            <w:vAlign w:val="center"/>
          </w:tcPr>
          <w:p w14:paraId="6FD52628" w14:textId="77777777" w:rsidR="00FB0744" w:rsidRPr="00FB0744" w:rsidRDefault="00FB0744" w:rsidP="00FB0744">
            <w:pPr>
              <w:spacing w:before="0" w:after="0"/>
              <w:ind w:left="113"/>
              <w:jc w:val="right"/>
              <w:rPr>
                <w:rFonts w:ascii="Arial" w:hAnsi="Arial"/>
                <w:sz w:val="16"/>
                <w:szCs w:val="16"/>
                <w:lang w:val="en-AU"/>
              </w:rPr>
            </w:pPr>
            <w:r w:rsidRPr="00FB0744">
              <w:rPr>
                <w:rFonts w:ascii="Arial" w:hAnsi="Arial"/>
                <w:bCs/>
                <w:sz w:val="16"/>
                <w:szCs w:val="16"/>
                <w:lang w:val="en-AU"/>
              </w:rPr>
              <w:t>VIC - Nicholls</w:t>
            </w:r>
          </w:p>
        </w:tc>
        <w:tc>
          <w:tcPr>
            <w:tcW w:w="1191" w:type="dxa"/>
            <w:tcBorders>
              <w:top w:val="nil"/>
              <w:left w:val="nil"/>
              <w:bottom w:val="nil"/>
              <w:right w:val="nil"/>
            </w:tcBorders>
            <w:shd w:val="clear" w:color="FFFFFF" w:fill="auto"/>
            <w:noWrap/>
            <w:vAlign w:val="center"/>
          </w:tcPr>
          <w:p w14:paraId="5F25C5EA" w14:textId="77777777" w:rsidR="00FB0744" w:rsidRPr="00FB0744" w:rsidRDefault="00FB0744" w:rsidP="00FB0744">
            <w:pPr>
              <w:spacing w:before="0" w:after="0"/>
              <w:ind w:left="113"/>
              <w:jc w:val="right"/>
              <w:rPr>
                <w:rFonts w:ascii="Arial" w:hAnsi="Arial"/>
                <w:sz w:val="16"/>
                <w:szCs w:val="16"/>
                <w:lang w:val="en-AU"/>
              </w:rPr>
            </w:pPr>
          </w:p>
        </w:tc>
        <w:tc>
          <w:tcPr>
            <w:tcW w:w="1413" w:type="dxa"/>
            <w:tcBorders>
              <w:top w:val="nil"/>
              <w:left w:val="nil"/>
              <w:bottom w:val="nil"/>
              <w:right w:val="nil"/>
            </w:tcBorders>
            <w:shd w:val="clear" w:color="FFFFFF" w:fill="auto"/>
            <w:noWrap/>
            <w:vAlign w:val="bottom"/>
          </w:tcPr>
          <w:p w14:paraId="472685BD"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0.8</w:t>
            </w:r>
          </w:p>
        </w:tc>
        <w:tc>
          <w:tcPr>
            <w:tcW w:w="1195" w:type="dxa"/>
            <w:tcBorders>
              <w:top w:val="nil"/>
              <w:left w:val="nil"/>
              <w:bottom w:val="nil"/>
              <w:right w:val="nil"/>
            </w:tcBorders>
            <w:shd w:val="clear" w:color="FFFFFF" w:fill="auto"/>
            <w:noWrap/>
            <w:vAlign w:val="bottom"/>
          </w:tcPr>
          <w:p w14:paraId="2BE5746F"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7.2</w:t>
            </w:r>
          </w:p>
        </w:tc>
      </w:tr>
      <w:tr w:rsidR="00FB0744" w:rsidRPr="00FB0744" w14:paraId="0B153D37" w14:textId="77777777" w:rsidTr="00F600B5">
        <w:trPr>
          <w:trHeight w:val="227"/>
        </w:trPr>
        <w:tc>
          <w:tcPr>
            <w:tcW w:w="3085" w:type="dxa"/>
            <w:tcBorders>
              <w:top w:val="nil"/>
              <w:left w:val="nil"/>
              <w:bottom w:val="nil"/>
              <w:right w:val="nil"/>
            </w:tcBorders>
            <w:shd w:val="clear" w:color="FFFFFF" w:fill="auto"/>
            <w:vAlign w:val="center"/>
          </w:tcPr>
          <w:p w14:paraId="3DE3899B" w14:textId="77777777" w:rsidR="00FB0744" w:rsidRPr="00FB0744" w:rsidRDefault="00FB0744" w:rsidP="00FB0744">
            <w:pPr>
              <w:spacing w:before="0" w:after="0"/>
              <w:ind w:left="113"/>
              <w:rPr>
                <w:rFonts w:ascii="Arial" w:hAnsi="Arial"/>
                <w:sz w:val="16"/>
                <w:szCs w:val="16"/>
                <w:lang w:val="en-AU"/>
              </w:rPr>
            </w:pPr>
            <w:r w:rsidRPr="00FB0744">
              <w:rPr>
                <w:rFonts w:ascii="Arial" w:hAnsi="Arial"/>
                <w:sz w:val="16"/>
                <w:szCs w:val="16"/>
                <w:lang w:val="en-AU"/>
              </w:rPr>
              <w:t xml:space="preserve">Army Testing Ground Monegeetta </w:t>
            </w:r>
          </w:p>
        </w:tc>
        <w:tc>
          <w:tcPr>
            <w:tcW w:w="1790" w:type="dxa"/>
            <w:tcBorders>
              <w:top w:val="nil"/>
              <w:left w:val="nil"/>
              <w:bottom w:val="nil"/>
              <w:right w:val="nil"/>
            </w:tcBorders>
            <w:shd w:val="clear" w:color="FFFFFF" w:fill="auto"/>
            <w:noWrap/>
            <w:vAlign w:val="center"/>
          </w:tcPr>
          <w:p w14:paraId="5D22C690" w14:textId="77777777" w:rsidR="00FB0744" w:rsidRPr="00FB0744" w:rsidRDefault="00FB0744" w:rsidP="00FB0744">
            <w:pPr>
              <w:spacing w:before="0" w:after="0"/>
              <w:ind w:left="113"/>
              <w:jc w:val="right"/>
              <w:rPr>
                <w:rFonts w:ascii="Arial" w:hAnsi="Arial"/>
                <w:sz w:val="16"/>
                <w:szCs w:val="16"/>
                <w:lang w:val="en-AU"/>
              </w:rPr>
            </w:pPr>
            <w:r w:rsidRPr="00FB0744">
              <w:rPr>
                <w:rFonts w:ascii="Arial" w:hAnsi="Arial"/>
                <w:bCs/>
                <w:sz w:val="16"/>
                <w:szCs w:val="16"/>
                <w:lang w:val="en-AU"/>
              </w:rPr>
              <w:t>VIC - McEwen</w:t>
            </w:r>
          </w:p>
        </w:tc>
        <w:tc>
          <w:tcPr>
            <w:tcW w:w="1191" w:type="dxa"/>
            <w:tcBorders>
              <w:top w:val="nil"/>
              <w:left w:val="nil"/>
              <w:bottom w:val="nil"/>
              <w:right w:val="nil"/>
            </w:tcBorders>
            <w:shd w:val="clear" w:color="FFFFFF" w:fill="auto"/>
            <w:noWrap/>
            <w:vAlign w:val="center"/>
          </w:tcPr>
          <w:p w14:paraId="1A28788D" w14:textId="77777777" w:rsidR="00FB0744" w:rsidRPr="00FB0744" w:rsidRDefault="00FB0744" w:rsidP="00FB0744">
            <w:pPr>
              <w:spacing w:before="0" w:after="0"/>
              <w:ind w:left="113"/>
              <w:jc w:val="right"/>
              <w:rPr>
                <w:rFonts w:ascii="Arial" w:hAnsi="Arial"/>
                <w:sz w:val="16"/>
                <w:szCs w:val="16"/>
                <w:lang w:val="en-AU"/>
              </w:rPr>
            </w:pPr>
          </w:p>
        </w:tc>
        <w:tc>
          <w:tcPr>
            <w:tcW w:w="1413" w:type="dxa"/>
            <w:tcBorders>
              <w:top w:val="nil"/>
              <w:left w:val="nil"/>
              <w:bottom w:val="nil"/>
              <w:right w:val="nil"/>
            </w:tcBorders>
            <w:shd w:val="clear" w:color="FFFFFF" w:fill="auto"/>
            <w:noWrap/>
            <w:vAlign w:val="bottom"/>
          </w:tcPr>
          <w:p w14:paraId="1DA584D4"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0.2</w:t>
            </w:r>
          </w:p>
        </w:tc>
        <w:tc>
          <w:tcPr>
            <w:tcW w:w="1195" w:type="dxa"/>
            <w:tcBorders>
              <w:top w:val="nil"/>
              <w:left w:val="nil"/>
              <w:bottom w:val="nil"/>
              <w:right w:val="nil"/>
            </w:tcBorders>
            <w:shd w:val="clear" w:color="FFFFFF" w:fill="auto"/>
            <w:noWrap/>
            <w:vAlign w:val="bottom"/>
          </w:tcPr>
          <w:p w14:paraId="71E5770E"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2.9</w:t>
            </w:r>
          </w:p>
        </w:tc>
      </w:tr>
      <w:tr w:rsidR="00FB0744" w:rsidRPr="00FB0744" w14:paraId="798BE0B1" w14:textId="77777777" w:rsidTr="00F600B5">
        <w:trPr>
          <w:trHeight w:val="227"/>
        </w:trPr>
        <w:tc>
          <w:tcPr>
            <w:tcW w:w="3085" w:type="dxa"/>
            <w:tcBorders>
              <w:top w:val="nil"/>
              <w:left w:val="nil"/>
              <w:bottom w:val="nil"/>
              <w:right w:val="nil"/>
            </w:tcBorders>
            <w:shd w:val="clear" w:color="FFFFFF" w:fill="auto"/>
            <w:vAlign w:val="center"/>
          </w:tcPr>
          <w:p w14:paraId="48DA1476" w14:textId="77777777" w:rsidR="00FB0744" w:rsidRPr="00FB0744" w:rsidRDefault="00FB0744" w:rsidP="00FB0744">
            <w:pPr>
              <w:spacing w:before="0" w:after="0"/>
              <w:ind w:left="113"/>
              <w:rPr>
                <w:rFonts w:ascii="Arial" w:hAnsi="Arial"/>
                <w:sz w:val="16"/>
                <w:szCs w:val="16"/>
                <w:lang w:val="en-AU"/>
              </w:rPr>
            </w:pPr>
            <w:r w:rsidRPr="00FB0744">
              <w:rPr>
                <w:rFonts w:ascii="Arial" w:hAnsi="Arial"/>
                <w:sz w:val="16"/>
                <w:szCs w:val="16"/>
                <w:lang w:val="en-AU"/>
              </w:rPr>
              <w:t>RAAF Learmonth</w:t>
            </w:r>
          </w:p>
        </w:tc>
        <w:tc>
          <w:tcPr>
            <w:tcW w:w="1790" w:type="dxa"/>
            <w:tcBorders>
              <w:top w:val="nil"/>
              <w:left w:val="nil"/>
              <w:bottom w:val="nil"/>
              <w:right w:val="nil"/>
            </w:tcBorders>
            <w:shd w:val="clear" w:color="FFFFFF" w:fill="auto"/>
            <w:noWrap/>
            <w:vAlign w:val="center"/>
          </w:tcPr>
          <w:p w14:paraId="714FD685" w14:textId="77777777" w:rsidR="00FB0744" w:rsidRPr="00FB0744" w:rsidRDefault="00FB0744" w:rsidP="00FB0744">
            <w:pPr>
              <w:spacing w:before="0" w:after="0"/>
              <w:ind w:left="113"/>
              <w:jc w:val="right"/>
              <w:rPr>
                <w:rFonts w:ascii="Arial" w:hAnsi="Arial"/>
                <w:sz w:val="16"/>
                <w:szCs w:val="16"/>
                <w:lang w:val="en-AU"/>
              </w:rPr>
            </w:pPr>
            <w:r w:rsidRPr="00FB0744">
              <w:rPr>
                <w:rFonts w:ascii="Arial" w:hAnsi="Arial"/>
                <w:bCs/>
                <w:sz w:val="16"/>
                <w:szCs w:val="16"/>
                <w:lang w:val="en-AU"/>
              </w:rPr>
              <w:t>WA - Durack</w:t>
            </w:r>
          </w:p>
        </w:tc>
        <w:tc>
          <w:tcPr>
            <w:tcW w:w="1191" w:type="dxa"/>
            <w:tcBorders>
              <w:top w:val="nil"/>
              <w:left w:val="nil"/>
              <w:bottom w:val="nil"/>
              <w:right w:val="nil"/>
            </w:tcBorders>
            <w:shd w:val="clear" w:color="FFFFFF" w:fill="auto"/>
            <w:noWrap/>
            <w:vAlign w:val="center"/>
          </w:tcPr>
          <w:p w14:paraId="1EE59C7D" w14:textId="77777777" w:rsidR="00FB0744" w:rsidRPr="00FB0744" w:rsidRDefault="00FB0744" w:rsidP="00FB0744">
            <w:pPr>
              <w:spacing w:before="0" w:after="0"/>
              <w:ind w:left="113"/>
              <w:jc w:val="right"/>
              <w:rPr>
                <w:rFonts w:ascii="Arial" w:hAnsi="Arial"/>
                <w:sz w:val="16"/>
                <w:szCs w:val="16"/>
                <w:lang w:val="en-AU"/>
              </w:rPr>
            </w:pPr>
          </w:p>
        </w:tc>
        <w:tc>
          <w:tcPr>
            <w:tcW w:w="1413" w:type="dxa"/>
            <w:tcBorders>
              <w:top w:val="nil"/>
              <w:left w:val="nil"/>
              <w:bottom w:val="nil"/>
              <w:right w:val="nil"/>
            </w:tcBorders>
            <w:shd w:val="clear" w:color="FFFFFF" w:fill="auto"/>
            <w:noWrap/>
            <w:vAlign w:val="bottom"/>
          </w:tcPr>
          <w:p w14:paraId="69B117BD"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8.8</w:t>
            </w:r>
          </w:p>
        </w:tc>
        <w:tc>
          <w:tcPr>
            <w:tcW w:w="1195" w:type="dxa"/>
            <w:tcBorders>
              <w:top w:val="nil"/>
              <w:left w:val="nil"/>
              <w:bottom w:val="nil"/>
              <w:right w:val="nil"/>
            </w:tcBorders>
            <w:shd w:val="clear" w:color="FFFFFF" w:fill="auto"/>
            <w:noWrap/>
            <w:vAlign w:val="bottom"/>
          </w:tcPr>
          <w:p w14:paraId="49E88D91"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78.1</w:t>
            </w:r>
          </w:p>
        </w:tc>
      </w:tr>
      <w:tr w:rsidR="00FB0744" w:rsidRPr="00FB0744" w14:paraId="390B306A" w14:textId="77777777" w:rsidTr="00F600B5">
        <w:trPr>
          <w:trHeight w:val="227"/>
        </w:trPr>
        <w:tc>
          <w:tcPr>
            <w:tcW w:w="3085" w:type="dxa"/>
            <w:tcBorders>
              <w:top w:val="nil"/>
              <w:left w:val="nil"/>
              <w:bottom w:val="nil"/>
              <w:right w:val="nil"/>
            </w:tcBorders>
            <w:shd w:val="clear" w:color="FFFFFF" w:fill="auto"/>
            <w:vAlign w:val="center"/>
          </w:tcPr>
          <w:p w14:paraId="0637F185" w14:textId="77777777" w:rsidR="00FB0744" w:rsidRPr="00FB0744" w:rsidRDefault="00FB0744" w:rsidP="00FB0744">
            <w:pPr>
              <w:spacing w:before="0" w:after="0"/>
              <w:ind w:left="113"/>
              <w:rPr>
                <w:rFonts w:ascii="Arial" w:hAnsi="Arial"/>
                <w:sz w:val="16"/>
                <w:szCs w:val="16"/>
                <w:lang w:val="en-AU"/>
              </w:rPr>
            </w:pPr>
            <w:r w:rsidRPr="00FB0744">
              <w:rPr>
                <w:rFonts w:ascii="Arial" w:hAnsi="Arial"/>
                <w:sz w:val="16"/>
                <w:szCs w:val="16"/>
                <w:lang w:val="en-AU"/>
              </w:rPr>
              <w:t>Geraldton</w:t>
            </w:r>
          </w:p>
        </w:tc>
        <w:tc>
          <w:tcPr>
            <w:tcW w:w="1790" w:type="dxa"/>
            <w:tcBorders>
              <w:top w:val="nil"/>
              <w:left w:val="nil"/>
              <w:bottom w:val="nil"/>
              <w:right w:val="nil"/>
            </w:tcBorders>
            <w:shd w:val="clear" w:color="FFFFFF" w:fill="auto"/>
            <w:noWrap/>
            <w:vAlign w:val="center"/>
          </w:tcPr>
          <w:p w14:paraId="2B3941AD" w14:textId="77777777" w:rsidR="00FB0744" w:rsidRPr="00FB0744" w:rsidRDefault="00FB0744" w:rsidP="00FB0744">
            <w:pPr>
              <w:spacing w:before="0" w:after="0"/>
              <w:ind w:left="113"/>
              <w:jc w:val="right"/>
              <w:rPr>
                <w:rFonts w:ascii="Arial" w:hAnsi="Arial"/>
                <w:sz w:val="16"/>
                <w:szCs w:val="16"/>
                <w:lang w:val="en-AU"/>
              </w:rPr>
            </w:pPr>
            <w:r w:rsidRPr="00FB0744">
              <w:rPr>
                <w:rFonts w:ascii="Arial" w:hAnsi="Arial"/>
                <w:bCs/>
                <w:sz w:val="16"/>
                <w:szCs w:val="16"/>
                <w:lang w:val="en-AU"/>
              </w:rPr>
              <w:t>WA - Durack</w:t>
            </w:r>
          </w:p>
        </w:tc>
        <w:tc>
          <w:tcPr>
            <w:tcW w:w="1191" w:type="dxa"/>
            <w:tcBorders>
              <w:top w:val="nil"/>
              <w:left w:val="nil"/>
              <w:bottom w:val="nil"/>
              <w:right w:val="nil"/>
            </w:tcBorders>
            <w:shd w:val="clear" w:color="FFFFFF" w:fill="auto"/>
            <w:noWrap/>
            <w:vAlign w:val="center"/>
          </w:tcPr>
          <w:p w14:paraId="4E9952D4" w14:textId="77777777" w:rsidR="00FB0744" w:rsidRPr="00FB0744" w:rsidRDefault="00FB0744" w:rsidP="00FB0744">
            <w:pPr>
              <w:spacing w:before="0" w:after="0"/>
              <w:ind w:left="113"/>
              <w:jc w:val="right"/>
              <w:rPr>
                <w:rFonts w:ascii="Arial" w:hAnsi="Arial"/>
                <w:sz w:val="16"/>
                <w:szCs w:val="16"/>
                <w:lang w:val="en-AU"/>
              </w:rPr>
            </w:pPr>
          </w:p>
        </w:tc>
        <w:tc>
          <w:tcPr>
            <w:tcW w:w="1413" w:type="dxa"/>
            <w:tcBorders>
              <w:top w:val="nil"/>
              <w:left w:val="nil"/>
              <w:bottom w:val="nil"/>
              <w:right w:val="nil"/>
            </w:tcBorders>
            <w:shd w:val="clear" w:color="FFFFFF" w:fill="auto"/>
            <w:noWrap/>
            <w:vAlign w:val="bottom"/>
          </w:tcPr>
          <w:p w14:paraId="6B0B65B5"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0.1</w:t>
            </w:r>
          </w:p>
        </w:tc>
        <w:tc>
          <w:tcPr>
            <w:tcW w:w="1195" w:type="dxa"/>
            <w:tcBorders>
              <w:top w:val="nil"/>
              <w:left w:val="nil"/>
              <w:bottom w:val="nil"/>
              <w:right w:val="nil"/>
            </w:tcBorders>
            <w:shd w:val="clear" w:color="FFFFFF" w:fill="auto"/>
            <w:noWrap/>
            <w:vAlign w:val="bottom"/>
          </w:tcPr>
          <w:p w14:paraId="2F49B0AA"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1.4</w:t>
            </w:r>
          </w:p>
        </w:tc>
      </w:tr>
      <w:tr w:rsidR="00FB0744" w:rsidRPr="00FB0744" w14:paraId="5DE21AD9" w14:textId="77777777" w:rsidTr="00F600B5">
        <w:trPr>
          <w:trHeight w:val="227"/>
        </w:trPr>
        <w:tc>
          <w:tcPr>
            <w:tcW w:w="3085" w:type="dxa"/>
            <w:tcBorders>
              <w:top w:val="nil"/>
              <w:left w:val="nil"/>
              <w:bottom w:val="nil"/>
              <w:right w:val="nil"/>
            </w:tcBorders>
            <w:shd w:val="clear" w:color="FFFFFF" w:fill="auto"/>
            <w:vAlign w:val="center"/>
          </w:tcPr>
          <w:p w14:paraId="7D4D375C" w14:textId="77777777" w:rsidR="00FB0744" w:rsidRPr="00FB0744" w:rsidRDefault="00FB0744" w:rsidP="00FB0744">
            <w:pPr>
              <w:spacing w:before="0" w:after="0"/>
              <w:ind w:left="113"/>
              <w:rPr>
                <w:rFonts w:ascii="Arial" w:hAnsi="Arial"/>
                <w:sz w:val="16"/>
                <w:szCs w:val="16"/>
                <w:lang w:val="en-AU"/>
              </w:rPr>
            </w:pPr>
            <w:r w:rsidRPr="00FB0744">
              <w:rPr>
                <w:rFonts w:ascii="Arial" w:hAnsi="Arial"/>
                <w:sz w:val="16"/>
                <w:szCs w:val="16"/>
                <w:lang w:val="en-AU"/>
              </w:rPr>
              <w:t>Laverton</w:t>
            </w:r>
          </w:p>
        </w:tc>
        <w:tc>
          <w:tcPr>
            <w:tcW w:w="1790" w:type="dxa"/>
            <w:tcBorders>
              <w:top w:val="nil"/>
              <w:left w:val="nil"/>
              <w:bottom w:val="nil"/>
              <w:right w:val="nil"/>
            </w:tcBorders>
            <w:shd w:val="clear" w:color="FFFFFF" w:fill="auto"/>
            <w:noWrap/>
            <w:vAlign w:val="center"/>
          </w:tcPr>
          <w:p w14:paraId="1651B0FF" w14:textId="77777777" w:rsidR="00FB0744" w:rsidRPr="00FB0744" w:rsidRDefault="00FB0744" w:rsidP="00FB0744">
            <w:pPr>
              <w:spacing w:before="0" w:after="0"/>
              <w:ind w:left="113"/>
              <w:jc w:val="right"/>
              <w:rPr>
                <w:rFonts w:ascii="Arial" w:hAnsi="Arial"/>
                <w:sz w:val="16"/>
                <w:szCs w:val="16"/>
                <w:lang w:val="en-AU"/>
              </w:rPr>
            </w:pPr>
            <w:r w:rsidRPr="00FB0744">
              <w:rPr>
                <w:rFonts w:ascii="Arial" w:hAnsi="Arial"/>
                <w:bCs/>
                <w:sz w:val="16"/>
                <w:szCs w:val="16"/>
                <w:lang w:val="en-AU"/>
              </w:rPr>
              <w:t>WA - O’Connor</w:t>
            </w:r>
          </w:p>
        </w:tc>
        <w:tc>
          <w:tcPr>
            <w:tcW w:w="1191" w:type="dxa"/>
            <w:tcBorders>
              <w:top w:val="nil"/>
              <w:left w:val="nil"/>
              <w:bottom w:val="nil"/>
              <w:right w:val="nil"/>
            </w:tcBorders>
            <w:shd w:val="clear" w:color="FFFFFF" w:fill="auto"/>
            <w:noWrap/>
            <w:vAlign w:val="center"/>
          </w:tcPr>
          <w:p w14:paraId="56FFE1C1" w14:textId="77777777" w:rsidR="00FB0744" w:rsidRPr="00FB0744" w:rsidRDefault="00FB0744" w:rsidP="00FB0744">
            <w:pPr>
              <w:spacing w:before="0" w:after="0"/>
              <w:ind w:left="113"/>
              <w:jc w:val="right"/>
              <w:rPr>
                <w:rFonts w:ascii="Arial" w:hAnsi="Arial"/>
                <w:sz w:val="16"/>
                <w:szCs w:val="16"/>
                <w:lang w:val="en-AU"/>
              </w:rPr>
            </w:pPr>
          </w:p>
        </w:tc>
        <w:tc>
          <w:tcPr>
            <w:tcW w:w="1413" w:type="dxa"/>
            <w:tcBorders>
              <w:top w:val="nil"/>
              <w:left w:val="nil"/>
              <w:bottom w:val="nil"/>
              <w:right w:val="nil"/>
            </w:tcBorders>
            <w:shd w:val="clear" w:color="FFFFFF" w:fill="auto"/>
            <w:noWrap/>
            <w:vAlign w:val="bottom"/>
          </w:tcPr>
          <w:p w14:paraId="31848F04"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0.1</w:t>
            </w:r>
          </w:p>
        </w:tc>
        <w:tc>
          <w:tcPr>
            <w:tcW w:w="1195" w:type="dxa"/>
            <w:tcBorders>
              <w:top w:val="nil"/>
              <w:left w:val="nil"/>
              <w:bottom w:val="nil"/>
              <w:right w:val="nil"/>
            </w:tcBorders>
            <w:shd w:val="clear" w:color="FFFFFF" w:fill="auto"/>
            <w:noWrap/>
            <w:vAlign w:val="bottom"/>
          </w:tcPr>
          <w:p w14:paraId="456F677E"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1.4</w:t>
            </w:r>
          </w:p>
        </w:tc>
      </w:tr>
      <w:tr w:rsidR="00FB0744" w:rsidRPr="00FB0744" w14:paraId="461F8554" w14:textId="77777777" w:rsidTr="00F600B5">
        <w:trPr>
          <w:trHeight w:val="227"/>
        </w:trPr>
        <w:tc>
          <w:tcPr>
            <w:tcW w:w="3085" w:type="dxa"/>
            <w:tcBorders>
              <w:top w:val="nil"/>
              <w:left w:val="nil"/>
              <w:bottom w:val="nil"/>
              <w:right w:val="nil"/>
            </w:tcBorders>
            <w:shd w:val="clear" w:color="FFFFFF" w:fill="auto"/>
            <w:vAlign w:val="center"/>
          </w:tcPr>
          <w:p w14:paraId="462CDB03" w14:textId="77777777" w:rsidR="00FB0744" w:rsidRPr="00FB0744" w:rsidRDefault="00FB0744" w:rsidP="00FB0744">
            <w:pPr>
              <w:spacing w:before="0" w:after="0"/>
              <w:ind w:left="113"/>
              <w:rPr>
                <w:rFonts w:ascii="Arial" w:hAnsi="Arial"/>
                <w:sz w:val="16"/>
                <w:szCs w:val="16"/>
                <w:lang w:val="en-AU"/>
              </w:rPr>
            </w:pPr>
            <w:r w:rsidRPr="00FB0744">
              <w:rPr>
                <w:rFonts w:ascii="Arial" w:hAnsi="Arial"/>
                <w:sz w:val="16"/>
                <w:szCs w:val="16"/>
                <w:lang w:val="en-AU"/>
              </w:rPr>
              <w:t xml:space="preserve">HMAS </w:t>
            </w:r>
            <w:r w:rsidRPr="00FB0744">
              <w:rPr>
                <w:rFonts w:ascii="Arial" w:hAnsi="Arial"/>
                <w:i/>
                <w:sz w:val="16"/>
                <w:szCs w:val="16"/>
                <w:lang w:val="en-AU"/>
              </w:rPr>
              <w:t>Stirling</w:t>
            </w:r>
            <w:r w:rsidRPr="00FB0744">
              <w:rPr>
                <w:rFonts w:ascii="Arial" w:hAnsi="Arial"/>
                <w:sz w:val="16"/>
                <w:szCs w:val="16"/>
                <w:lang w:val="en-AU"/>
              </w:rPr>
              <w:t xml:space="preserve"> </w:t>
            </w:r>
          </w:p>
        </w:tc>
        <w:tc>
          <w:tcPr>
            <w:tcW w:w="1790" w:type="dxa"/>
            <w:tcBorders>
              <w:top w:val="nil"/>
              <w:left w:val="nil"/>
              <w:bottom w:val="nil"/>
              <w:right w:val="nil"/>
            </w:tcBorders>
            <w:shd w:val="clear" w:color="FFFFFF" w:fill="auto"/>
            <w:noWrap/>
            <w:vAlign w:val="center"/>
          </w:tcPr>
          <w:p w14:paraId="41DAD64F" w14:textId="77777777" w:rsidR="00FB0744" w:rsidRPr="00FB0744" w:rsidRDefault="00FB0744" w:rsidP="00FB0744">
            <w:pPr>
              <w:spacing w:before="0" w:after="0"/>
              <w:ind w:left="113"/>
              <w:jc w:val="right"/>
              <w:rPr>
                <w:rFonts w:ascii="Arial" w:hAnsi="Arial"/>
                <w:sz w:val="16"/>
                <w:szCs w:val="16"/>
                <w:lang w:val="en-AU"/>
              </w:rPr>
            </w:pPr>
            <w:r w:rsidRPr="00FB0744">
              <w:rPr>
                <w:rFonts w:ascii="Arial" w:hAnsi="Arial"/>
                <w:bCs/>
                <w:sz w:val="16"/>
                <w:szCs w:val="16"/>
                <w:lang w:val="en-AU"/>
              </w:rPr>
              <w:t>WA - Brand</w:t>
            </w:r>
          </w:p>
        </w:tc>
        <w:tc>
          <w:tcPr>
            <w:tcW w:w="1191" w:type="dxa"/>
            <w:tcBorders>
              <w:top w:val="nil"/>
              <w:left w:val="nil"/>
              <w:bottom w:val="nil"/>
              <w:right w:val="nil"/>
            </w:tcBorders>
            <w:shd w:val="clear" w:color="FFFFFF" w:fill="auto"/>
            <w:noWrap/>
            <w:vAlign w:val="center"/>
          </w:tcPr>
          <w:p w14:paraId="035C74D6" w14:textId="77777777" w:rsidR="00FB0744" w:rsidRPr="00FB0744" w:rsidRDefault="00FB0744" w:rsidP="00FB0744">
            <w:pPr>
              <w:spacing w:before="0" w:after="0"/>
              <w:ind w:left="113"/>
              <w:jc w:val="right"/>
              <w:rPr>
                <w:rFonts w:ascii="Arial" w:hAnsi="Arial"/>
                <w:sz w:val="16"/>
                <w:szCs w:val="16"/>
                <w:lang w:val="en-AU"/>
              </w:rPr>
            </w:pPr>
          </w:p>
        </w:tc>
        <w:tc>
          <w:tcPr>
            <w:tcW w:w="1413" w:type="dxa"/>
            <w:tcBorders>
              <w:top w:val="nil"/>
              <w:left w:val="nil"/>
              <w:bottom w:val="nil"/>
              <w:right w:val="nil"/>
            </w:tcBorders>
            <w:shd w:val="clear" w:color="FFFFFF" w:fill="auto"/>
            <w:noWrap/>
            <w:vAlign w:val="bottom"/>
          </w:tcPr>
          <w:p w14:paraId="0CFAEAF2"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0.2</w:t>
            </w:r>
          </w:p>
        </w:tc>
        <w:tc>
          <w:tcPr>
            <w:tcW w:w="1195" w:type="dxa"/>
            <w:tcBorders>
              <w:top w:val="nil"/>
              <w:left w:val="nil"/>
              <w:bottom w:val="nil"/>
              <w:right w:val="nil"/>
            </w:tcBorders>
            <w:shd w:val="clear" w:color="FFFFFF" w:fill="auto"/>
            <w:noWrap/>
            <w:vAlign w:val="bottom"/>
          </w:tcPr>
          <w:p w14:paraId="1113F80B"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2.9</w:t>
            </w:r>
          </w:p>
        </w:tc>
      </w:tr>
      <w:tr w:rsidR="00FB0744" w:rsidRPr="00FB0744" w14:paraId="596F55FE" w14:textId="77777777" w:rsidTr="00F600B5">
        <w:trPr>
          <w:trHeight w:val="227"/>
        </w:trPr>
        <w:tc>
          <w:tcPr>
            <w:tcW w:w="3085" w:type="dxa"/>
            <w:tcBorders>
              <w:top w:val="nil"/>
              <w:left w:val="nil"/>
              <w:bottom w:val="nil"/>
              <w:right w:val="nil"/>
            </w:tcBorders>
            <w:shd w:val="clear" w:color="FFFFFF" w:fill="auto"/>
            <w:vAlign w:val="bottom"/>
          </w:tcPr>
          <w:p w14:paraId="424ABE5C" w14:textId="77777777" w:rsidR="00FB0744" w:rsidRPr="008659FE" w:rsidRDefault="00FB0744" w:rsidP="008F0E1D">
            <w:pPr>
              <w:spacing w:before="0" w:after="0"/>
              <w:ind w:left="113"/>
              <w:rPr>
                <w:rFonts w:ascii="Arial" w:hAnsi="Arial"/>
                <w:sz w:val="16"/>
                <w:szCs w:val="16"/>
                <w:lang w:val="en-AU"/>
              </w:rPr>
            </w:pPr>
            <w:r w:rsidRPr="008659FE">
              <w:rPr>
                <w:rFonts w:ascii="Arial" w:hAnsi="Arial"/>
                <w:sz w:val="16"/>
                <w:szCs w:val="16"/>
                <w:lang w:val="en-AU"/>
              </w:rPr>
              <w:t>Bindoon Training Area</w:t>
            </w:r>
          </w:p>
        </w:tc>
        <w:tc>
          <w:tcPr>
            <w:tcW w:w="1790" w:type="dxa"/>
            <w:tcBorders>
              <w:top w:val="nil"/>
              <w:left w:val="nil"/>
              <w:bottom w:val="nil"/>
              <w:right w:val="nil"/>
            </w:tcBorders>
            <w:shd w:val="clear" w:color="FFFFFF" w:fill="auto"/>
            <w:noWrap/>
            <w:vAlign w:val="bottom"/>
          </w:tcPr>
          <w:p w14:paraId="487596E7" w14:textId="77777777" w:rsidR="00FB0744" w:rsidRPr="008659FE" w:rsidRDefault="00FB0744" w:rsidP="00FB0744">
            <w:pPr>
              <w:spacing w:before="0" w:after="0" w:line="276" w:lineRule="auto"/>
              <w:ind w:left="113"/>
              <w:jc w:val="right"/>
              <w:rPr>
                <w:rFonts w:ascii="Arial" w:hAnsi="Arial"/>
                <w:bCs/>
                <w:sz w:val="15"/>
                <w:szCs w:val="15"/>
                <w:lang w:val="en-AU"/>
              </w:rPr>
            </w:pPr>
            <w:r w:rsidRPr="008659FE">
              <w:rPr>
                <w:rFonts w:ascii="Arial" w:hAnsi="Arial"/>
                <w:sz w:val="16"/>
                <w:szCs w:val="16"/>
                <w:lang w:val="en-AU"/>
              </w:rPr>
              <w:t>WA - Pearce</w:t>
            </w:r>
          </w:p>
        </w:tc>
        <w:tc>
          <w:tcPr>
            <w:tcW w:w="1191" w:type="dxa"/>
            <w:tcBorders>
              <w:top w:val="nil"/>
              <w:left w:val="nil"/>
              <w:bottom w:val="nil"/>
              <w:right w:val="nil"/>
            </w:tcBorders>
            <w:shd w:val="clear" w:color="FFFFFF" w:fill="auto"/>
            <w:noWrap/>
            <w:vAlign w:val="center"/>
          </w:tcPr>
          <w:p w14:paraId="622B00B2" w14:textId="77777777" w:rsidR="00FB0744" w:rsidRPr="00FB0744" w:rsidRDefault="00FB0744" w:rsidP="00FB0744">
            <w:pPr>
              <w:spacing w:before="0" w:after="0"/>
              <w:ind w:left="113"/>
              <w:jc w:val="right"/>
              <w:rPr>
                <w:rFonts w:ascii="Arial" w:hAnsi="Arial"/>
                <w:sz w:val="16"/>
                <w:szCs w:val="16"/>
                <w:lang w:val="en-AU"/>
              </w:rPr>
            </w:pPr>
          </w:p>
        </w:tc>
        <w:tc>
          <w:tcPr>
            <w:tcW w:w="1413" w:type="dxa"/>
            <w:tcBorders>
              <w:top w:val="nil"/>
              <w:left w:val="nil"/>
              <w:bottom w:val="nil"/>
              <w:right w:val="nil"/>
            </w:tcBorders>
            <w:shd w:val="clear" w:color="FFFFFF" w:fill="auto"/>
            <w:noWrap/>
            <w:vAlign w:val="bottom"/>
          </w:tcPr>
          <w:p w14:paraId="26C69245"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0.5</w:t>
            </w:r>
          </w:p>
        </w:tc>
        <w:tc>
          <w:tcPr>
            <w:tcW w:w="1195" w:type="dxa"/>
            <w:tcBorders>
              <w:top w:val="nil"/>
              <w:left w:val="nil"/>
              <w:bottom w:val="nil"/>
              <w:right w:val="nil"/>
            </w:tcBorders>
            <w:shd w:val="clear" w:color="FFFFFF" w:fill="auto"/>
            <w:noWrap/>
            <w:vAlign w:val="bottom"/>
          </w:tcPr>
          <w:p w14:paraId="2AE6203C"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0.0</w:t>
            </w:r>
          </w:p>
        </w:tc>
      </w:tr>
      <w:tr w:rsidR="00FB0744" w:rsidRPr="00BA1388" w14:paraId="253421E4" w14:textId="77777777" w:rsidTr="00F600B5">
        <w:trPr>
          <w:trHeight w:val="227"/>
        </w:trPr>
        <w:tc>
          <w:tcPr>
            <w:tcW w:w="3085" w:type="dxa"/>
            <w:tcBorders>
              <w:top w:val="nil"/>
              <w:left w:val="nil"/>
              <w:bottom w:val="nil"/>
              <w:right w:val="nil"/>
            </w:tcBorders>
            <w:shd w:val="clear" w:color="FFFFFF" w:fill="auto"/>
            <w:vAlign w:val="center"/>
          </w:tcPr>
          <w:p w14:paraId="1F42D3F5" w14:textId="77777777" w:rsidR="00FB0744" w:rsidRPr="00FB0744" w:rsidRDefault="00FB0744" w:rsidP="00FB0744">
            <w:pPr>
              <w:spacing w:before="0" w:after="0"/>
              <w:ind w:right="-57"/>
              <w:rPr>
                <w:rFonts w:ascii="Arial" w:hAnsi="Arial"/>
                <w:sz w:val="16"/>
                <w:szCs w:val="16"/>
                <w:lang w:val="en-AU"/>
              </w:rPr>
            </w:pPr>
            <w:r w:rsidRPr="00FB0744">
              <w:rPr>
                <w:rFonts w:ascii="Arial" w:hAnsi="Arial"/>
                <w:b/>
                <w:sz w:val="16"/>
                <w:szCs w:val="16"/>
                <w:lang w:val="en-AU"/>
              </w:rPr>
              <w:t xml:space="preserve">Total </w:t>
            </w:r>
          </w:p>
        </w:tc>
        <w:tc>
          <w:tcPr>
            <w:tcW w:w="1790" w:type="dxa"/>
            <w:tcBorders>
              <w:top w:val="nil"/>
              <w:left w:val="nil"/>
              <w:bottom w:val="nil"/>
              <w:right w:val="nil"/>
            </w:tcBorders>
            <w:shd w:val="clear" w:color="FFFFFF" w:fill="auto"/>
            <w:noWrap/>
            <w:vAlign w:val="center"/>
          </w:tcPr>
          <w:p w14:paraId="61CA19F2" w14:textId="77777777" w:rsidR="00FB0744" w:rsidRPr="00FB0744" w:rsidRDefault="00FB0744" w:rsidP="00FB0744">
            <w:pPr>
              <w:spacing w:before="0" w:after="0"/>
              <w:ind w:left="113"/>
              <w:jc w:val="right"/>
              <w:rPr>
                <w:rFonts w:ascii="Arial" w:hAnsi="Arial"/>
                <w:sz w:val="16"/>
                <w:szCs w:val="16"/>
                <w:lang w:val="en-AU"/>
              </w:rPr>
            </w:pPr>
          </w:p>
        </w:tc>
        <w:tc>
          <w:tcPr>
            <w:tcW w:w="1191" w:type="dxa"/>
            <w:tcBorders>
              <w:top w:val="nil"/>
              <w:left w:val="nil"/>
              <w:bottom w:val="nil"/>
              <w:right w:val="nil"/>
            </w:tcBorders>
            <w:shd w:val="clear" w:color="FFFFFF" w:fill="auto"/>
            <w:noWrap/>
            <w:vAlign w:val="center"/>
          </w:tcPr>
          <w:p w14:paraId="21523EBE" w14:textId="77777777" w:rsidR="00FB0744" w:rsidRPr="00FB0744" w:rsidRDefault="00FB0744" w:rsidP="00FB0744">
            <w:pPr>
              <w:spacing w:before="0" w:after="0"/>
              <w:ind w:left="113"/>
              <w:jc w:val="right"/>
              <w:rPr>
                <w:rFonts w:ascii="Arial" w:hAnsi="Arial"/>
                <w:sz w:val="16"/>
                <w:szCs w:val="16"/>
                <w:lang w:val="en-AU"/>
              </w:rPr>
            </w:pPr>
            <w:r w:rsidRPr="00FB0744">
              <w:rPr>
                <w:rFonts w:ascii="Arial" w:hAnsi="Arial"/>
                <w:b/>
                <w:bCs/>
                <w:sz w:val="16"/>
                <w:szCs w:val="16"/>
                <w:lang w:val="en-AU"/>
              </w:rPr>
              <w:t>286.9</w:t>
            </w:r>
          </w:p>
        </w:tc>
        <w:tc>
          <w:tcPr>
            <w:tcW w:w="1413" w:type="dxa"/>
            <w:tcBorders>
              <w:top w:val="nil"/>
              <w:left w:val="nil"/>
              <w:bottom w:val="nil"/>
              <w:right w:val="nil"/>
            </w:tcBorders>
            <w:shd w:val="clear" w:color="FFFFFF" w:fill="auto"/>
            <w:noWrap/>
            <w:vAlign w:val="bottom"/>
          </w:tcPr>
          <w:p w14:paraId="6B3DD317" w14:textId="77777777" w:rsidR="00FB0744" w:rsidRPr="009E4B9D" w:rsidRDefault="00FB0744" w:rsidP="00FB0744">
            <w:pPr>
              <w:spacing w:before="0" w:after="0" w:line="276" w:lineRule="auto"/>
              <w:jc w:val="right"/>
              <w:rPr>
                <w:rFonts w:ascii="Arial" w:hAnsi="Arial"/>
                <w:b/>
                <w:sz w:val="16"/>
                <w:szCs w:val="16"/>
                <w:lang w:eastAsia="en-US"/>
              </w:rPr>
            </w:pPr>
            <w:r w:rsidRPr="009E4B9D">
              <w:rPr>
                <w:rFonts w:ascii="Arial" w:hAnsi="Arial"/>
                <w:b/>
                <w:sz w:val="16"/>
                <w:szCs w:val="16"/>
                <w:lang w:eastAsia="en-US"/>
              </w:rPr>
              <w:t>16.1</w:t>
            </w:r>
          </w:p>
        </w:tc>
        <w:tc>
          <w:tcPr>
            <w:tcW w:w="1195" w:type="dxa"/>
            <w:tcBorders>
              <w:top w:val="nil"/>
              <w:left w:val="nil"/>
              <w:bottom w:val="nil"/>
              <w:right w:val="nil"/>
            </w:tcBorders>
            <w:shd w:val="clear" w:color="FFFFFF" w:fill="auto"/>
            <w:noWrap/>
            <w:vAlign w:val="bottom"/>
          </w:tcPr>
          <w:p w14:paraId="3DD811EA" w14:textId="77777777" w:rsidR="00FB0744" w:rsidRPr="009E4B9D" w:rsidRDefault="00FB0744" w:rsidP="00FB0744">
            <w:pPr>
              <w:spacing w:before="0" w:after="0" w:line="276" w:lineRule="auto"/>
              <w:jc w:val="right"/>
              <w:rPr>
                <w:rFonts w:ascii="Arial" w:hAnsi="Arial"/>
                <w:b/>
                <w:sz w:val="16"/>
                <w:szCs w:val="16"/>
                <w:lang w:eastAsia="en-US"/>
              </w:rPr>
            </w:pPr>
            <w:r w:rsidRPr="009E4B9D">
              <w:rPr>
                <w:rFonts w:ascii="Arial" w:hAnsi="Arial"/>
                <w:b/>
                <w:sz w:val="16"/>
                <w:szCs w:val="16"/>
                <w:lang w:eastAsia="en-US"/>
              </w:rPr>
              <w:t>144.7</w:t>
            </w:r>
          </w:p>
        </w:tc>
      </w:tr>
      <w:tr w:rsidR="00FB0744" w:rsidRPr="00FB0744" w14:paraId="5DE34122" w14:textId="77777777" w:rsidTr="006868B3">
        <w:trPr>
          <w:trHeight w:val="227"/>
        </w:trPr>
        <w:tc>
          <w:tcPr>
            <w:tcW w:w="3085" w:type="dxa"/>
            <w:tcBorders>
              <w:top w:val="single" w:sz="4" w:space="0" w:color="auto"/>
              <w:left w:val="nil"/>
              <w:bottom w:val="nil"/>
              <w:right w:val="nil"/>
            </w:tcBorders>
            <w:shd w:val="clear" w:color="FFFFFF" w:fill="auto"/>
            <w:vAlign w:val="center"/>
          </w:tcPr>
          <w:p w14:paraId="5C04E02C" w14:textId="77777777" w:rsidR="00FB0744" w:rsidRPr="00FB0744" w:rsidRDefault="00FB0744" w:rsidP="00FB0744">
            <w:pPr>
              <w:spacing w:before="0" w:after="0"/>
              <w:rPr>
                <w:rFonts w:ascii="Arial" w:hAnsi="Arial"/>
                <w:b/>
                <w:bCs/>
                <w:sz w:val="16"/>
                <w:szCs w:val="16"/>
                <w:lang w:val="en-AU"/>
              </w:rPr>
            </w:pPr>
            <w:r w:rsidRPr="00FB0744">
              <w:rPr>
                <w:rFonts w:ascii="Arial" w:hAnsi="Arial"/>
                <w:b/>
                <w:bCs/>
                <w:sz w:val="16"/>
                <w:szCs w:val="16"/>
                <w:lang w:val="en-AU"/>
              </w:rPr>
              <w:t>Garden Island Critical Infrastructure Recovery Program Stage 2</w:t>
            </w:r>
          </w:p>
        </w:tc>
        <w:tc>
          <w:tcPr>
            <w:tcW w:w="1790" w:type="dxa"/>
            <w:tcBorders>
              <w:top w:val="single" w:sz="4" w:space="0" w:color="auto"/>
              <w:left w:val="nil"/>
              <w:bottom w:val="nil"/>
              <w:right w:val="nil"/>
            </w:tcBorders>
            <w:shd w:val="clear" w:color="FFFFFF" w:fill="auto"/>
            <w:noWrap/>
            <w:vAlign w:val="center"/>
          </w:tcPr>
          <w:p w14:paraId="4218E89A" w14:textId="77777777" w:rsidR="00FB0744" w:rsidRPr="00FB0744" w:rsidRDefault="00FB0744" w:rsidP="00FB0744">
            <w:pPr>
              <w:spacing w:before="0" w:after="0"/>
              <w:jc w:val="right"/>
              <w:rPr>
                <w:rFonts w:ascii="Arial" w:hAnsi="Arial"/>
                <w:b/>
                <w:bCs/>
                <w:sz w:val="16"/>
                <w:szCs w:val="16"/>
                <w:lang w:val="en-AU"/>
              </w:rPr>
            </w:pPr>
          </w:p>
        </w:tc>
        <w:tc>
          <w:tcPr>
            <w:tcW w:w="1191" w:type="dxa"/>
            <w:tcBorders>
              <w:top w:val="single" w:sz="4" w:space="0" w:color="auto"/>
              <w:left w:val="nil"/>
              <w:bottom w:val="nil"/>
              <w:right w:val="nil"/>
            </w:tcBorders>
            <w:shd w:val="clear" w:color="FFFFFF" w:fill="auto"/>
            <w:noWrap/>
            <w:vAlign w:val="center"/>
          </w:tcPr>
          <w:p w14:paraId="50A03602" w14:textId="77777777" w:rsidR="00FB0744" w:rsidRPr="00FB0744" w:rsidRDefault="00FB0744" w:rsidP="00FB0744">
            <w:pPr>
              <w:spacing w:before="0" w:after="0"/>
              <w:jc w:val="right"/>
              <w:rPr>
                <w:rFonts w:ascii="Arial" w:hAnsi="Arial"/>
                <w:sz w:val="16"/>
                <w:szCs w:val="16"/>
                <w:lang w:val="en-AU"/>
              </w:rPr>
            </w:pPr>
          </w:p>
        </w:tc>
        <w:tc>
          <w:tcPr>
            <w:tcW w:w="1413" w:type="dxa"/>
            <w:tcBorders>
              <w:top w:val="single" w:sz="4" w:space="0" w:color="auto"/>
              <w:left w:val="nil"/>
              <w:bottom w:val="nil"/>
              <w:right w:val="nil"/>
            </w:tcBorders>
            <w:shd w:val="clear" w:color="FFFFFF" w:fill="auto"/>
            <w:noWrap/>
            <w:vAlign w:val="center"/>
          </w:tcPr>
          <w:p w14:paraId="2D44D14E" w14:textId="77777777" w:rsidR="00FB0744" w:rsidRPr="00FB0744" w:rsidRDefault="00FB0744" w:rsidP="00FB0744">
            <w:pPr>
              <w:spacing w:before="0" w:after="0"/>
              <w:jc w:val="right"/>
              <w:rPr>
                <w:rFonts w:ascii="Arial" w:hAnsi="Arial"/>
                <w:sz w:val="16"/>
                <w:szCs w:val="16"/>
                <w:lang w:val="en-AU"/>
              </w:rPr>
            </w:pPr>
          </w:p>
        </w:tc>
        <w:tc>
          <w:tcPr>
            <w:tcW w:w="1195" w:type="dxa"/>
            <w:tcBorders>
              <w:top w:val="single" w:sz="4" w:space="0" w:color="auto"/>
              <w:left w:val="nil"/>
              <w:bottom w:val="nil"/>
              <w:right w:val="nil"/>
            </w:tcBorders>
            <w:shd w:val="clear" w:color="FFFFFF" w:fill="auto"/>
            <w:noWrap/>
            <w:vAlign w:val="center"/>
          </w:tcPr>
          <w:p w14:paraId="441E6A5D" w14:textId="77777777" w:rsidR="00FB0744" w:rsidRPr="00FB0744" w:rsidRDefault="00FB0744" w:rsidP="00FB0744">
            <w:pPr>
              <w:spacing w:before="0" w:after="0"/>
              <w:jc w:val="right"/>
              <w:rPr>
                <w:rFonts w:ascii="Arial" w:hAnsi="Arial"/>
                <w:sz w:val="16"/>
                <w:szCs w:val="16"/>
                <w:lang w:val="en-AU"/>
              </w:rPr>
            </w:pPr>
          </w:p>
        </w:tc>
      </w:tr>
      <w:tr w:rsidR="00FB0744" w:rsidRPr="00BA1388" w14:paraId="028AA574" w14:textId="77777777" w:rsidTr="008B2430">
        <w:trPr>
          <w:trHeight w:val="227"/>
        </w:trPr>
        <w:tc>
          <w:tcPr>
            <w:tcW w:w="3085" w:type="dxa"/>
            <w:tcBorders>
              <w:top w:val="nil"/>
              <w:left w:val="nil"/>
              <w:bottom w:val="single" w:sz="4" w:space="0" w:color="auto"/>
              <w:right w:val="nil"/>
            </w:tcBorders>
            <w:shd w:val="clear" w:color="FFFFFF" w:fill="auto"/>
            <w:vAlign w:val="center"/>
          </w:tcPr>
          <w:p w14:paraId="72469CE6" w14:textId="77777777" w:rsidR="00FB0744" w:rsidRPr="00FB0744" w:rsidRDefault="00FB0744" w:rsidP="00FB0744">
            <w:pPr>
              <w:spacing w:before="0" w:after="0"/>
              <w:ind w:left="113"/>
              <w:rPr>
                <w:rFonts w:ascii="Arial" w:hAnsi="Arial"/>
                <w:b/>
                <w:bCs/>
                <w:sz w:val="16"/>
                <w:szCs w:val="16"/>
                <w:lang w:val="en-AU"/>
              </w:rPr>
            </w:pPr>
            <w:r w:rsidRPr="00FB0744">
              <w:rPr>
                <w:rFonts w:ascii="Arial" w:hAnsi="Arial"/>
                <w:sz w:val="16"/>
                <w:szCs w:val="16"/>
                <w:lang w:val="en-AU"/>
              </w:rPr>
              <w:t>Garden Island Defence Precinct</w:t>
            </w:r>
          </w:p>
        </w:tc>
        <w:tc>
          <w:tcPr>
            <w:tcW w:w="1790" w:type="dxa"/>
            <w:tcBorders>
              <w:top w:val="nil"/>
              <w:left w:val="nil"/>
              <w:bottom w:val="single" w:sz="4" w:space="0" w:color="auto"/>
              <w:right w:val="nil"/>
            </w:tcBorders>
            <w:shd w:val="clear" w:color="FFFFFF" w:fill="auto"/>
            <w:noWrap/>
            <w:vAlign w:val="center"/>
          </w:tcPr>
          <w:p w14:paraId="19FE24CF" w14:textId="77777777" w:rsidR="00FB0744" w:rsidRPr="00FB0744" w:rsidRDefault="00FB0744" w:rsidP="00FB0744">
            <w:pPr>
              <w:spacing w:before="0" w:after="0"/>
              <w:jc w:val="right"/>
              <w:rPr>
                <w:rFonts w:ascii="Arial" w:hAnsi="Arial"/>
                <w:b/>
                <w:bCs/>
                <w:sz w:val="16"/>
                <w:szCs w:val="16"/>
                <w:lang w:val="en-AU"/>
              </w:rPr>
            </w:pPr>
            <w:r w:rsidRPr="00FB0744">
              <w:rPr>
                <w:rFonts w:ascii="Arial" w:hAnsi="Arial"/>
                <w:sz w:val="16"/>
                <w:szCs w:val="16"/>
                <w:lang w:val="en-AU"/>
              </w:rPr>
              <w:t>NSW - Sydney</w:t>
            </w:r>
          </w:p>
        </w:tc>
        <w:tc>
          <w:tcPr>
            <w:tcW w:w="1191" w:type="dxa"/>
            <w:tcBorders>
              <w:top w:val="nil"/>
              <w:left w:val="nil"/>
              <w:bottom w:val="single" w:sz="4" w:space="0" w:color="auto"/>
              <w:right w:val="nil"/>
            </w:tcBorders>
            <w:shd w:val="clear" w:color="FFFFFF" w:fill="auto"/>
            <w:noWrap/>
            <w:vAlign w:val="center"/>
          </w:tcPr>
          <w:p w14:paraId="45D6D96A" w14:textId="77777777" w:rsidR="00FB0744" w:rsidRPr="00FB0744" w:rsidRDefault="00FB0744" w:rsidP="00FB0744">
            <w:pPr>
              <w:spacing w:before="0" w:after="0"/>
              <w:jc w:val="right"/>
              <w:rPr>
                <w:rFonts w:ascii="Arial" w:hAnsi="Arial"/>
                <w:b/>
                <w:sz w:val="16"/>
                <w:szCs w:val="16"/>
                <w:lang w:val="en-AU"/>
              </w:rPr>
            </w:pPr>
            <w:r w:rsidRPr="00FB0744">
              <w:rPr>
                <w:rFonts w:ascii="Arial" w:hAnsi="Arial"/>
                <w:b/>
                <w:sz w:val="16"/>
                <w:szCs w:val="16"/>
                <w:lang w:val="en-AU"/>
              </w:rPr>
              <w:t>286.5</w:t>
            </w:r>
          </w:p>
        </w:tc>
        <w:tc>
          <w:tcPr>
            <w:tcW w:w="1413" w:type="dxa"/>
            <w:tcBorders>
              <w:top w:val="nil"/>
              <w:left w:val="nil"/>
              <w:bottom w:val="single" w:sz="4" w:space="0" w:color="auto"/>
              <w:right w:val="nil"/>
            </w:tcBorders>
            <w:shd w:val="clear" w:color="auto" w:fill="auto"/>
            <w:noWrap/>
            <w:vAlign w:val="center"/>
          </w:tcPr>
          <w:p w14:paraId="5E5F8488" w14:textId="77777777" w:rsidR="00FB0744" w:rsidRPr="00FB0744" w:rsidRDefault="00FB0744" w:rsidP="00FB0744">
            <w:pPr>
              <w:spacing w:before="0" w:after="0"/>
              <w:jc w:val="right"/>
              <w:rPr>
                <w:rFonts w:ascii="Arial" w:hAnsi="Arial"/>
                <w:b/>
                <w:sz w:val="16"/>
                <w:szCs w:val="16"/>
                <w:lang w:val="en-AU"/>
              </w:rPr>
            </w:pPr>
            <w:r w:rsidRPr="00FB0744">
              <w:rPr>
                <w:rFonts w:ascii="Arial" w:hAnsi="Arial"/>
                <w:b/>
                <w:sz w:val="16"/>
                <w:szCs w:val="16"/>
                <w:lang w:val="en-AU"/>
              </w:rPr>
              <w:t>2</w:t>
            </w:r>
            <w:r>
              <w:rPr>
                <w:rFonts w:ascii="Arial" w:hAnsi="Arial"/>
                <w:b/>
                <w:sz w:val="16"/>
                <w:szCs w:val="16"/>
                <w:lang w:val="en-AU"/>
              </w:rPr>
              <w:t>83.6</w:t>
            </w:r>
          </w:p>
        </w:tc>
        <w:tc>
          <w:tcPr>
            <w:tcW w:w="1195" w:type="dxa"/>
            <w:tcBorders>
              <w:top w:val="nil"/>
              <w:left w:val="nil"/>
              <w:bottom w:val="single" w:sz="4" w:space="0" w:color="auto"/>
              <w:right w:val="nil"/>
            </w:tcBorders>
            <w:shd w:val="clear" w:color="auto" w:fill="auto"/>
            <w:noWrap/>
            <w:vAlign w:val="center"/>
          </w:tcPr>
          <w:p w14:paraId="116C4B1F" w14:textId="77777777" w:rsidR="00FB0744" w:rsidRPr="00FB0744" w:rsidRDefault="00FB0744" w:rsidP="00FB0744">
            <w:pPr>
              <w:spacing w:before="0" w:after="0"/>
              <w:jc w:val="right"/>
              <w:rPr>
                <w:rFonts w:ascii="Arial" w:hAnsi="Arial"/>
                <w:b/>
                <w:sz w:val="16"/>
                <w:szCs w:val="16"/>
                <w:lang w:val="en-AU"/>
              </w:rPr>
            </w:pPr>
            <w:r>
              <w:rPr>
                <w:rFonts w:ascii="Arial" w:hAnsi="Arial"/>
                <w:b/>
                <w:sz w:val="16"/>
                <w:szCs w:val="16"/>
                <w:lang w:val="en-AU"/>
              </w:rPr>
              <w:t>0.0</w:t>
            </w:r>
          </w:p>
        </w:tc>
      </w:tr>
      <w:tr w:rsidR="008B2430" w:rsidRPr="00BA1388" w14:paraId="69C9FFF0" w14:textId="77777777" w:rsidTr="00B66E97">
        <w:trPr>
          <w:trHeight w:val="227"/>
        </w:trPr>
        <w:tc>
          <w:tcPr>
            <w:tcW w:w="3085" w:type="dxa"/>
            <w:tcBorders>
              <w:top w:val="single" w:sz="4" w:space="0" w:color="auto"/>
              <w:left w:val="nil"/>
              <w:bottom w:val="nil"/>
              <w:right w:val="nil"/>
            </w:tcBorders>
            <w:shd w:val="clear" w:color="FFFFFF" w:fill="auto"/>
            <w:vAlign w:val="bottom"/>
          </w:tcPr>
          <w:p w14:paraId="2CC69F45" w14:textId="02144B1F" w:rsidR="008B2430" w:rsidRPr="00FB0744" w:rsidRDefault="008B2430" w:rsidP="004E1B03">
            <w:pPr>
              <w:spacing w:before="0" w:after="0"/>
              <w:ind w:left="34"/>
              <w:rPr>
                <w:rFonts w:ascii="Arial" w:hAnsi="Arial"/>
                <w:sz w:val="16"/>
                <w:szCs w:val="16"/>
                <w:lang w:val="en-AU"/>
              </w:rPr>
            </w:pPr>
            <w:r w:rsidRPr="008659FE">
              <w:rPr>
                <w:rFonts w:ascii="Arial" w:hAnsi="Arial"/>
                <w:b/>
                <w:bCs/>
                <w:sz w:val="16"/>
                <w:szCs w:val="16"/>
                <w:lang w:val="en-AU"/>
              </w:rPr>
              <w:t xml:space="preserve">AIR 555 Phase 1 Airborne Intelligence Surveillance Reconnaissance Electronic Warfare Capability Facilities </w:t>
            </w:r>
          </w:p>
        </w:tc>
        <w:tc>
          <w:tcPr>
            <w:tcW w:w="1790" w:type="dxa"/>
            <w:tcBorders>
              <w:top w:val="single" w:sz="4" w:space="0" w:color="auto"/>
              <w:left w:val="nil"/>
              <w:bottom w:val="nil"/>
              <w:right w:val="nil"/>
            </w:tcBorders>
            <w:shd w:val="clear" w:color="FFFFFF" w:fill="auto"/>
            <w:noWrap/>
            <w:vAlign w:val="center"/>
          </w:tcPr>
          <w:p w14:paraId="5AD8F2DB" w14:textId="77777777" w:rsidR="008B2430" w:rsidRPr="00FB0744" w:rsidRDefault="008B2430" w:rsidP="008B2430">
            <w:pPr>
              <w:spacing w:before="0" w:after="0"/>
              <w:jc w:val="right"/>
              <w:rPr>
                <w:rFonts w:ascii="Arial" w:hAnsi="Arial"/>
                <w:sz w:val="16"/>
                <w:szCs w:val="16"/>
                <w:lang w:val="en-AU"/>
              </w:rPr>
            </w:pPr>
          </w:p>
        </w:tc>
        <w:tc>
          <w:tcPr>
            <w:tcW w:w="1191" w:type="dxa"/>
            <w:tcBorders>
              <w:top w:val="single" w:sz="4" w:space="0" w:color="auto"/>
              <w:left w:val="nil"/>
              <w:bottom w:val="nil"/>
              <w:right w:val="nil"/>
            </w:tcBorders>
            <w:shd w:val="clear" w:color="FFFFFF" w:fill="auto"/>
            <w:noWrap/>
            <w:vAlign w:val="center"/>
          </w:tcPr>
          <w:p w14:paraId="4FE99EC3" w14:textId="77777777" w:rsidR="008B2430" w:rsidRPr="00FB0744" w:rsidRDefault="008B2430" w:rsidP="008B2430">
            <w:pPr>
              <w:spacing w:before="0" w:after="0"/>
              <w:jc w:val="right"/>
              <w:rPr>
                <w:rFonts w:ascii="Arial" w:hAnsi="Arial"/>
                <w:b/>
                <w:sz w:val="16"/>
                <w:szCs w:val="16"/>
                <w:lang w:val="en-AU"/>
              </w:rPr>
            </w:pPr>
          </w:p>
        </w:tc>
        <w:tc>
          <w:tcPr>
            <w:tcW w:w="1413" w:type="dxa"/>
            <w:tcBorders>
              <w:top w:val="single" w:sz="4" w:space="0" w:color="auto"/>
              <w:left w:val="nil"/>
              <w:bottom w:val="nil"/>
              <w:right w:val="nil"/>
            </w:tcBorders>
            <w:shd w:val="clear" w:color="auto" w:fill="auto"/>
            <w:noWrap/>
            <w:vAlign w:val="center"/>
          </w:tcPr>
          <w:p w14:paraId="507C8B8F" w14:textId="77777777" w:rsidR="008B2430" w:rsidRPr="00FB0744" w:rsidRDefault="008B2430" w:rsidP="008B2430">
            <w:pPr>
              <w:spacing w:before="0" w:after="0"/>
              <w:jc w:val="right"/>
              <w:rPr>
                <w:rFonts w:ascii="Arial" w:hAnsi="Arial"/>
                <w:b/>
                <w:sz w:val="16"/>
                <w:szCs w:val="16"/>
                <w:lang w:val="en-AU"/>
              </w:rPr>
            </w:pPr>
          </w:p>
        </w:tc>
        <w:tc>
          <w:tcPr>
            <w:tcW w:w="1195" w:type="dxa"/>
            <w:tcBorders>
              <w:top w:val="single" w:sz="4" w:space="0" w:color="auto"/>
              <w:left w:val="nil"/>
              <w:bottom w:val="nil"/>
              <w:right w:val="nil"/>
            </w:tcBorders>
            <w:shd w:val="clear" w:color="auto" w:fill="auto"/>
            <w:noWrap/>
            <w:vAlign w:val="center"/>
          </w:tcPr>
          <w:p w14:paraId="5502DC4B" w14:textId="77777777" w:rsidR="008B2430" w:rsidRDefault="008B2430" w:rsidP="008B2430">
            <w:pPr>
              <w:spacing w:before="0" w:after="0"/>
              <w:jc w:val="right"/>
              <w:rPr>
                <w:rFonts w:ascii="Arial" w:hAnsi="Arial"/>
                <w:b/>
                <w:sz w:val="16"/>
                <w:szCs w:val="16"/>
                <w:lang w:val="en-AU"/>
              </w:rPr>
            </w:pPr>
          </w:p>
        </w:tc>
      </w:tr>
      <w:tr w:rsidR="008B2430" w:rsidRPr="00BA1388" w14:paraId="69B476FD" w14:textId="77777777" w:rsidTr="00B66E97">
        <w:trPr>
          <w:trHeight w:val="227"/>
        </w:trPr>
        <w:tc>
          <w:tcPr>
            <w:tcW w:w="3085" w:type="dxa"/>
            <w:tcBorders>
              <w:top w:val="nil"/>
              <w:left w:val="nil"/>
              <w:bottom w:val="nil"/>
              <w:right w:val="nil"/>
            </w:tcBorders>
            <w:shd w:val="clear" w:color="FFFFFF" w:fill="auto"/>
            <w:vAlign w:val="bottom"/>
          </w:tcPr>
          <w:p w14:paraId="1A39C6EB" w14:textId="5F9286E1" w:rsidR="008B2430" w:rsidRPr="00FB0744" w:rsidRDefault="008B2430" w:rsidP="008B2430">
            <w:pPr>
              <w:spacing w:before="0" w:after="0"/>
              <w:ind w:left="113"/>
              <w:rPr>
                <w:rFonts w:ascii="Arial" w:hAnsi="Arial"/>
                <w:sz w:val="16"/>
                <w:szCs w:val="16"/>
                <w:lang w:val="en-AU"/>
              </w:rPr>
            </w:pPr>
            <w:r w:rsidRPr="008659FE">
              <w:rPr>
                <w:rFonts w:ascii="Arial" w:hAnsi="Arial"/>
                <w:sz w:val="16"/>
                <w:szCs w:val="16"/>
                <w:lang w:val="en-AU"/>
              </w:rPr>
              <w:t>Territory of Cocos (Keeling) Islands</w:t>
            </w:r>
          </w:p>
        </w:tc>
        <w:tc>
          <w:tcPr>
            <w:tcW w:w="1790" w:type="dxa"/>
            <w:tcBorders>
              <w:top w:val="nil"/>
              <w:left w:val="nil"/>
              <w:bottom w:val="nil"/>
              <w:right w:val="nil"/>
            </w:tcBorders>
            <w:shd w:val="clear" w:color="FFFFFF" w:fill="auto"/>
            <w:noWrap/>
            <w:vAlign w:val="bottom"/>
          </w:tcPr>
          <w:p w14:paraId="3590E9EE" w14:textId="12DFFC1A" w:rsidR="008B2430" w:rsidRPr="00FB0744" w:rsidRDefault="008B2430" w:rsidP="008B2430">
            <w:pPr>
              <w:spacing w:before="0" w:after="0"/>
              <w:jc w:val="right"/>
              <w:rPr>
                <w:rFonts w:ascii="Arial" w:hAnsi="Arial"/>
                <w:sz w:val="16"/>
                <w:szCs w:val="16"/>
                <w:lang w:val="en-AU"/>
              </w:rPr>
            </w:pPr>
            <w:r w:rsidRPr="008659FE">
              <w:rPr>
                <w:rFonts w:ascii="Arial" w:hAnsi="Arial"/>
                <w:sz w:val="16"/>
                <w:szCs w:val="16"/>
                <w:lang w:val="en-AU"/>
              </w:rPr>
              <w:t>NT - Lingiari</w:t>
            </w:r>
          </w:p>
        </w:tc>
        <w:tc>
          <w:tcPr>
            <w:tcW w:w="1191" w:type="dxa"/>
            <w:tcBorders>
              <w:top w:val="nil"/>
              <w:left w:val="nil"/>
              <w:bottom w:val="nil"/>
              <w:right w:val="nil"/>
            </w:tcBorders>
            <w:shd w:val="clear" w:color="FFFFFF" w:fill="auto"/>
            <w:noWrap/>
            <w:vAlign w:val="center"/>
          </w:tcPr>
          <w:p w14:paraId="136B3105" w14:textId="77777777" w:rsidR="008B2430" w:rsidRPr="00FB0744" w:rsidRDefault="008B2430" w:rsidP="008B2430">
            <w:pPr>
              <w:spacing w:before="0" w:after="0"/>
              <w:jc w:val="right"/>
              <w:rPr>
                <w:rFonts w:ascii="Arial" w:hAnsi="Arial"/>
                <w:b/>
                <w:sz w:val="16"/>
                <w:szCs w:val="16"/>
                <w:lang w:val="en-AU"/>
              </w:rPr>
            </w:pPr>
          </w:p>
        </w:tc>
        <w:tc>
          <w:tcPr>
            <w:tcW w:w="1413" w:type="dxa"/>
            <w:tcBorders>
              <w:top w:val="nil"/>
              <w:left w:val="nil"/>
              <w:bottom w:val="nil"/>
              <w:right w:val="nil"/>
            </w:tcBorders>
            <w:shd w:val="clear" w:color="auto" w:fill="auto"/>
            <w:noWrap/>
            <w:vAlign w:val="bottom"/>
          </w:tcPr>
          <w:p w14:paraId="12445354" w14:textId="361A30E4" w:rsidR="008B2430" w:rsidRPr="00FB0744" w:rsidRDefault="008B2430" w:rsidP="008B2430">
            <w:pPr>
              <w:spacing w:before="0" w:after="0"/>
              <w:jc w:val="right"/>
              <w:rPr>
                <w:rFonts w:ascii="Arial" w:hAnsi="Arial"/>
                <w:b/>
                <w:sz w:val="16"/>
                <w:szCs w:val="16"/>
                <w:lang w:val="en-AU"/>
              </w:rPr>
            </w:pPr>
            <w:r w:rsidRPr="009E4B9D">
              <w:rPr>
                <w:rFonts w:ascii="Arial" w:hAnsi="Arial"/>
                <w:sz w:val="16"/>
                <w:szCs w:val="16"/>
                <w:lang w:eastAsia="en-US"/>
              </w:rPr>
              <w:t>23.0</w:t>
            </w:r>
          </w:p>
        </w:tc>
        <w:tc>
          <w:tcPr>
            <w:tcW w:w="1195" w:type="dxa"/>
            <w:tcBorders>
              <w:top w:val="nil"/>
              <w:left w:val="nil"/>
              <w:bottom w:val="nil"/>
              <w:right w:val="nil"/>
            </w:tcBorders>
            <w:shd w:val="clear" w:color="auto" w:fill="auto"/>
            <w:noWrap/>
            <w:vAlign w:val="bottom"/>
          </w:tcPr>
          <w:p w14:paraId="623D6E11" w14:textId="25D27B7D" w:rsidR="008B2430" w:rsidRDefault="008B2430" w:rsidP="008B2430">
            <w:pPr>
              <w:spacing w:before="0" w:after="0"/>
              <w:jc w:val="right"/>
              <w:rPr>
                <w:rFonts w:ascii="Arial" w:hAnsi="Arial"/>
                <w:b/>
                <w:sz w:val="16"/>
                <w:szCs w:val="16"/>
                <w:lang w:val="en-AU"/>
              </w:rPr>
            </w:pPr>
            <w:r w:rsidRPr="009E4B9D">
              <w:rPr>
                <w:rFonts w:ascii="Arial" w:hAnsi="Arial"/>
                <w:sz w:val="16"/>
                <w:szCs w:val="16"/>
                <w:lang w:eastAsia="en-US"/>
              </w:rPr>
              <w:t>2.6</w:t>
            </w:r>
          </w:p>
        </w:tc>
      </w:tr>
      <w:tr w:rsidR="008B2430" w:rsidRPr="00BA1388" w14:paraId="7AEBB73C" w14:textId="77777777" w:rsidTr="00B66E97">
        <w:trPr>
          <w:trHeight w:val="227"/>
        </w:trPr>
        <w:tc>
          <w:tcPr>
            <w:tcW w:w="3085" w:type="dxa"/>
            <w:tcBorders>
              <w:top w:val="nil"/>
              <w:left w:val="nil"/>
              <w:bottom w:val="nil"/>
              <w:right w:val="nil"/>
            </w:tcBorders>
            <w:shd w:val="clear" w:color="FFFFFF" w:fill="auto"/>
            <w:vAlign w:val="bottom"/>
          </w:tcPr>
          <w:p w14:paraId="20E28D41" w14:textId="134D3C70" w:rsidR="008B2430" w:rsidRPr="00FB0744" w:rsidRDefault="008B2430" w:rsidP="008B2430">
            <w:pPr>
              <w:spacing w:before="0" w:after="0"/>
              <w:ind w:left="113"/>
              <w:rPr>
                <w:rFonts w:ascii="Arial" w:hAnsi="Arial"/>
                <w:sz w:val="16"/>
                <w:szCs w:val="16"/>
                <w:lang w:val="en-AU"/>
              </w:rPr>
            </w:pPr>
            <w:r w:rsidRPr="008659FE">
              <w:rPr>
                <w:rFonts w:ascii="Arial" w:hAnsi="Arial"/>
                <w:sz w:val="16"/>
                <w:szCs w:val="16"/>
                <w:lang w:val="en-AU"/>
              </w:rPr>
              <w:t>RAAF Darwin</w:t>
            </w:r>
          </w:p>
        </w:tc>
        <w:tc>
          <w:tcPr>
            <w:tcW w:w="1790" w:type="dxa"/>
            <w:tcBorders>
              <w:top w:val="nil"/>
              <w:left w:val="nil"/>
              <w:bottom w:val="nil"/>
              <w:right w:val="nil"/>
            </w:tcBorders>
            <w:shd w:val="clear" w:color="FFFFFF" w:fill="auto"/>
            <w:noWrap/>
            <w:vAlign w:val="bottom"/>
          </w:tcPr>
          <w:p w14:paraId="2E51C91C" w14:textId="35D71ABB" w:rsidR="008B2430" w:rsidRPr="00FB0744" w:rsidRDefault="008B2430" w:rsidP="008B2430">
            <w:pPr>
              <w:spacing w:before="0" w:after="0"/>
              <w:jc w:val="right"/>
              <w:rPr>
                <w:rFonts w:ascii="Arial" w:hAnsi="Arial"/>
                <w:sz w:val="16"/>
                <w:szCs w:val="16"/>
                <w:lang w:val="en-AU"/>
              </w:rPr>
            </w:pPr>
            <w:r w:rsidRPr="008659FE">
              <w:rPr>
                <w:rFonts w:ascii="Arial" w:hAnsi="Arial"/>
                <w:sz w:val="16"/>
                <w:szCs w:val="16"/>
              </w:rPr>
              <w:t>NT - Solomon</w:t>
            </w:r>
          </w:p>
        </w:tc>
        <w:tc>
          <w:tcPr>
            <w:tcW w:w="1191" w:type="dxa"/>
            <w:tcBorders>
              <w:top w:val="nil"/>
              <w:left w:val="nil"/>
              <w:bottom w:val="nil"/>
              <w:right w:val="nil"/>
            </w:tcBorders>
            <w:shd w:val="clear" w:color="FFFFFF" w:fill="auto"/>
            <w:noWrap/>
            <w:vAlign w:val="center"/>
          </w:tcPr>
          <w:p w14:paraId="129D107D" w14:textId="77777777" w:rsidR="008B2430" w:rsidRPr="00FB0744" w:rsidRDefault="008B2430" w:rsidP="008B2430">
            <w:pPr>
              <w:spacing w:before="0" w:after="0"/>
              <w:jc w:val="right"/>
              <w:rPr>
                <w:rFonts w:ascii="Arial" w:hAnsi="Arial"/>
                <w:b/>
                <w:sz w:val="16"/>
                <w:szCs w:val="16"/>
                <w:lang w:val="en-AU"/>
              </w:rPr>
            </w:pPr>
          </w:p>
        </w:tc>
        <w:tc>
          <w:tcPr>
            <w:tcW w:w="1413" w:type="dxa"/>
            <w:tcBorders>
              <w:top w:val="nil"/>
              <w:left w:val="nil"/>
              <w:bottom w:val="nil"/>
              <w:right w:val="nil"/>
            </w:tcBorders>
            <w:shd w:val="clear" w:color="auto" w:fill="auto"/>
            <w:noWrap/>
            <w:vAlign w:val="bottom"/>
          </w:tcPr>
          <w:p w14:paraId="2E8E52AB" w14:textId="16D82A07" w:rsidR="008B2430" w:rsidRPr="00FB0744" w:rsidRDefault="008B2430" w:rsidP="008B2430">
            <w:pPr>
              <w:spacing w:before="0" w:after="0"/>
              <w:jc w:val="right"/>
              <w:rPr>
                <w:rFonts w:ascii="Arial" w:hAnsi="Arial"/>
                <w:b/>
                <w:sz w:val="16"/>
                <w:szCs w:val="16"/>
                <w:lang w:val="en-AU"/>
              </w:rPr>
            </w:pPr>
            <w:r w:rsidRPr="009E4B9D">
              <w:rPr>
                <w:rFonts w:ascii="Arial" w:hAnsi="Arial"/>
                <w:sz w:val="16"/>
                <w:szCs w:val="16"/>
                <w:lang w:eastAsia="en-US"/>
              </w:rPr>
              <w:t>1.1</w:t>
            </w:r>
          </w:p>
        </w:tc>
        <w:tc>
          <w:tcPr>
            <w:tcW w:w="1195" w:type="dxa"/>
            <w:tcBorders>
              <w:top w:val="nil"/>
              <w:left w:val="nil"/>
              <w:bottom w:val="nil"/>
              <w:right w:val="nil"/>
            </w:tcBorders>
            <w:shd w:val="clear" w:color="auto" w:fill="auto"/>
            <w:noWrap/>
            <w:vAlign w:val="bottom"/>
          </w:tcPr>
          <w:p w14:paraId="250639FF" w14:textId="7DD10A2F" w:rsidR="008B2430" w:rsidRDefault="008B2430" w:rsidP="008B2430">
            <w:pPr>
              <w:spacing w:before="0" w:after="0"/>
              <w:jc w:val="right"/>
              <w:rPr>
                <w:rFonts w:ascii="Arial" w:hAnsi="Arial"/>
                <w:b/>
                <w:sz w:val="16"/>
                <w:szCs w:val="16"/>
                <w:lang w:val="en-AU"/>
              </w:rPr>
            </w:pPr>
            <w:r w:rsidRPr="009E4B9D">
              <w:rPr>
                <w:rFonts w:ascii="Arial" w:hAnsi="Arial"/>
                <w:sz w:val="16"/>
                <w:szCs w:val="16"/>
                <w:lang w:eastAsia="en-US"/>
              </w:rPr>
              <w:t>0.0</w:t>
            </w:r>
          </w:p>
        </w:tc>
      </w:tr>
      <w:tr w:rsidR="008B2430" w:rsidRPr="00BA1388" w14:paraId="1643BC74" w14:textId="77777777" w:rsidTr="00B66E97">
        <w:trPr>
          <w:trHeight w:val="227"/>
        </w:trPr>
        <w:tc>
          <w:tcPr>
            <w:tcW w:w="3085" w:type="dxa"/>
            <w:tcBorders>
              <w:top w:val="nil"/>
              <w:left w:val="nil"/>
              <w:bottom w:val="nil"/>
              <w:right w:val="nil"/>
            </w:tcBorders>
            <w:shd w:val="clear" w:color="FFFFFF" w:fill="auto"/>
            <w:vAlign w:val="bottom"/>
          </w:tcPr>
          <w:p w14:paraId="031DA298" w14:textId="15143EE0" w:rsidR="008B2430" w:rsidRPr="00FB0744" w:rsidRDefault="008B2430" w:rsidP="008B2430">
            <w:pPr>
              <w:spacing w:before="0" w:after="0"/>
              <w:ind w:left="113"/>
              <w:rPr>
                <w:rFonts w:ascii="Arial" w:hAnsi="Arial"/>
                <w:sz w:val="16"/>
                <w:szCs w:val="16"/>
                <w:lang w:val="en-AU"/>
              </w:rPr>
            </w:pPr>
            <w:r w:rsidRPr="008659FE">
              <w:rPr>
                <w:rFonts w:ascii="Arial" w:hAnsi="Arial"/>
                <w:sz w:val="16"/>
                <w:szCs w:val="16"/>
                <w:lang w:val="en-AU"/>
              </w:rPr>
              <w:t>RAAF Townsville</w:t>
            </w:r>
          </w:p>
        </w:tc>
        <w:tc>
          <w:tcPr>
            <w:tcW w:w="1790" w:type="dxa"/>
            <w:tcBorders>
              <w:top w:val="nil"/>
              <w:left w:val="nil"/>
              <w:bottom w:val="nil"/>
              <w:right w:val="nil"/>
            </w:tcBorders>
            <w:shd w:val="clear" w:color="FFFFFF" w:fill="auto"/>
            <w:noWrap/>
            <w:vAlign w:val="bottom"/>
          </w:tcPr>
          <w:p w14:paraId="22F346AF" w14:textId="182954FF" w:rsidR="008B2430" w:rsidRPr="00FB0744" w:rsidRDefault="008B2430" w:rsidP="008B2430">
            <w:pPr>
              <w:spacing w:before="0" w:after="0"/>
              <w:jc w:val="right"/>
              <w:rPr>
                <w:rFonts w:ascii="Arial" w:hAnsi="Arial"/>
                <w:sz w:val="16"/>
                <w:szCs w:val="16"/>
                <w:lang w:val="en-AU"/>
              </w:rPr>
            </w:pPr>
            <w:r w:rsidRPr="008659FE">
              <w:rPr>
                <w:rFonts w:ascii="Arial" w:hAnsi="Arial"/>
                <w:sz w:val="16"/>
                <w:szCs w:val="16"/>
              </w:rPr>
              <w:t>QLD - Herbert</w:t>
            </w:r>
          </w:p>
        </w:tc>
        <w:tc>
          <w:tcPr>
            <w:tcW w:w="1191" w:type="dxa"/>
            <w:tcBorders>
              <w:top w:val="nil"/>
              <w:left w:val="nil"/>
              <w:bottom w:val="nil"/>
              <w:right w:val="nil"/>
            </w:tcBorders>
            <w:shd w:val="clear" w:color="FFFFFF" w:fill="auto"/>
            <w:noWrap/>
            <w:vAlign w:val="center"/>
          </w:tcPr>
          <w:p w14:paraId="69EB7A85" w14:textId="77777777" w:rsidR="008B2430" w:rsidRPr="00FB0744" w:rsidRDefault="008B2430" w:rsidP="008B2430">
            <w:pPr>
              <w:spacing w:before="0" w:after="0"/>
              <w:jc w:val="right"/>
              <w:rPr>
                <w:rFonts w:ascii="Arial" w:hAnsi="Arial"/>
                <w:b/>
                <w:sz w:val="16"/>
                <w:szCs w:val="16"/>
                <w:lang w:val="en-AU"/>
              </w:rPr>
            </w:pPr>
          </w:p>
        </w:tc>
        <w:tc>
          <w:tcPr>
            <w:tcW w:w="1413" w:type="dxa"/>
            <w:tcBorders>
              <w:top w:val="nil"/>
              <w:left w:val="nil"/>
              <w:bottom w:val="nil"/>
              <w:right w:val="nil"/>
            </w:tcBorders>
            <w:shd w:val="clear" w:color="auto" w:fill="auto"/>
            <w:noWrap/>
            <w:vAlign w:val="bottom"/>
          </w:tcPr>
          <w:p w14:paraId="09C83416" w14:textId="57809D64" w:rsidR="008B2430" w:rsidRPr="00FB0744" w:rsidRDefault="008B2430" w:rsidP="008B2430">
            <w:pPr>
              <w:spacing w:before="0" w:after="0"/>
              <w:jc w:val="right"/>
              <w:rPr>
                <w:rFonts w:ascii="Arial" w:hAnsi="Arial"/>
                <w:b/>
                <w:sz w:val="16"/>
                <w:szCs w:val="16"/>
                <w:lang w:val="en-AU"/>
              </w:rPr>
            </w:pPr>
            <w:r w:rsidRPr="009E4B9D">
              <w:rPr>
                <w:rFonts w:ascii="Arial" w:hAnsi="Arial"/>
                <w:sz w:val="16"/>
                <w:szCs w:val="16"/>
                <w:lang w:eastAsia="en-US"/>
              </w:rPr>
              <w:t>13.8</w:t>
            </w:r>
          </w:p>
        </w:tc>
        <w:tc>
          <w:tcPr>
            <w:tcW w:w="1195" w:type="dxa"/>
            <w:tcBorders>
              <w:top w:val="nil"/>
              <w:left w:val="nil"/>
              <w:bottom w:val="nil"/>
              <w:right w:val="nil"/>
            </w:tcBorders>
            <w:shd w:val="clear" w:color="auto" w:fill="auto"/>
            <w:noWrap/>
            <w:vAlign w:val="bottom"/>
          </w:tcPr>
          <w:p w14:paraId="6082D574" w14:textId="7C22E9F4" w:rsidR="008B2430" w:rsidRDefault="008B2430" w:rsidP="008B2430">
            <w:pPr>
              <w:spacing w:before="0" w:after="0"/>
              <w:jc w:val="right"/>
              <w:rPr>
                <w:rFonts w:ascii="Arial" w:hAnsi="Arial"/>
                <w:b/>
                <w:sz w:val="16"/>
                <w:szCs w:val="16"/>
                <w:lang w:val="en-AU"/>
              </w:rPr>
            </w:pPr>
            <w:r w:rsidRPr="009E4B9D">
              <w:rPr>
                <w:rFonts w:ascii="Arial" w:hAnsi="Arial"/>
                <w:sz w:val="16"/>
                <w:szCs w:val="16"/>
                <w:lang w:eastAsia="en-US"/>
              </w:rPr>
              <w:t>0.1</w:t>
            </w:r>
          </w:p>
        </w:tc>
      </w:tr>
      <w:tr w:rsidR="008B2430" w:rsidRPr="00BA1388" w14:paraId="75F0531E" w14:textId="77777777" w:rsidTr="00B66E97">
        <w:trPr>
          <w:trHeight w:val="227"/>
        </w:trPr>
        <w:tc>
          <w:tcPr>
            <w:tcW w:w="3085" w:type="dxa"/>
            <w:tcBorders>
              <w:top w:val="nil"/>
              <w:left w:val="nil"/>
              <w:bottom w:val="nil"/>
              <w:right w:val="nil"/>
            </w:tcBorders>
            <w:shd w:val="clear" w:color="FFFFFF" w:fill="auto"/>
            <w:vAlign w:val="bottom"/>
          </w:tcPr>
          <w:p w14:paraId="5C550162" w14:textId="44BCD4F7" w:rsidR="008B2430" w:rsidRPr="00FB0744" w:rsidRDefault="008B2430" w:rsidP="008B2430">
            <w:pPr>
              <w:spacing w:before="0" w:after="0"/>
              <w:ind w:left="113"/>
              <w:rPr>
                <w:rFonts w:ascii="Arial" w:hAnsi="Arial"/>
                <w:sz w:val="16"/>
                <w:szCs w:val="16"/>
                <w:lang w:val="en-AU"/>
              </w:rPr>
            </w:pPr>
            <w:r w:rsidRPr="008659FE">
              <w:rPr>
                <w:rFonts w:ascii="Arial" w:hAnsi="Arial"/>
                <w:sz w:val="16"/>
                <w:szCs w:val="16"/>
                <w:lang w:val="en-AU"/>
              </w:rPr>
              <w:t>RAAF Edinburgh</w:t>
            </w:r>
          </w:p>
        </w:tc>
        <w:tc>
          <w:tcPr>
            <w:tcW w:w="1790" w:type="dxa"/>
            <w:tcBorders>
              <w:top w:val="nil"/>
              <w:left w:val="nil"/>
              <w:bottom w:val="nil"/>
              <w:right w:val="nil"/>
            </w:tcBorders>
            <w:shd w:val="clear" w:color="FFFFFF" w:fill="auto"/>
            <w:noWrap/>
            <w:vAlign w:val="bottom"/>
          </w:tcPr>
          <w:p w14:paraId="44230383" w14:textId="04AE850B" w:rsidR="008B2430" w:rsidRPr="00FB0744" w:rsidRDefault="008B2430" w:rsidP="008B2430">
            <w:pPr>
              <w:spacing w:before="0" w:after="0"/>
              <w:jc w:val="right"/>
              <w:rPr>
                <w:rFonts w:ascii="Arial" w:hAnsi="Arial"/>
                <w:sz w:val="16"/>
                <w:szCs w:val="16"/>
                <w:lang w:val="en-AU"/>
              </w:rPr>
            </w:pPr>
            <w:r w:rsidRPr="008659FE">
              <w:rPr>
                <w:rFonts w:ascii="Arial" w:hAnsi="Arial"/>
                <w:sz w:val="16"/>
                <w:szCs w:val="16"/>
              </w:rPr>
              <w:t>SA - Spence</w:t>
            </w:r>
          </w:p>
        </w:tc>
        <w:tc>
          <w:tcPr>
            <w:tcW w:w="1191" w:type="dxa"/>
            <w:tcBorders>
              <w:top w:val="nil"/>
              <w:left w:val="nil"/>
              <w:bottom w:val="nil"/>
              <w:right w:val="nil"/>
            </w:tcBorders>
            <w:shd w:val="clear" w:color="FFFFFF" w:fill="auto"/>
            <w:noWrap/>
            <w:vAlign w:val="center"/>
          </w:tcPr>
          <w:p w14:paraId="0E4A9C8C" w14:textId="77777777" w:rsidR="008B2430" w:rsidRPr="00FB0744" w:rsidRDefault="008B2430" w:rsidP="008B2430">
            <w:pPr>
              <w:spacing w:before="0" w:after="0"/>
              <w:jc w:val="right"/>
              <w:rPr>
                <w:rFonts w:ascii="Arial" w:hAnsi="Arial"/>
                <w:b/>
                <w:sz w:val="16"/>
                <w:szCs w:val="16"/>
                <w:lang w:val="en-AU"/>
              </w:rPr>
            </w:pPr>
          </w:p>
        </w:tc>
        <w:tc>
          <w:tcPr>
            <w:tcW w:w="1413" w:type="dxa"/>
            <w:tcBorders>
              <w:top w:val="nil"/>
              <w:left w:val="nil"/>
              <w:bottom w:val="nil"/>
              <w:right w:val="nil"/>
            </w:tcBorders>
            <w:shd w:val="clear" w:color="auto" w:fill="auto"/>
            <w:noWrap/>
            <w:vAlign w:val="bottom"/>
          </w:tcPr>
          <w:p w14:paraId="5F64662C" w14:textId="627633AB" w:rsidR="008B2430" w:rsidRPr="00FB0744" w:rsidRDefault="008B2430" w:rsidP="008B2430">
            <w:pPr>
              <w:spacing w:before="0" w:after="0"/>
              <w:jc w:val="right"/>
              <w:rPr>
                <w:rFonts w:ascii="Arial" w:hAnsi="Arial"/>
                <w:b/>
                <w:sz w:val="16"/>
                <w:szCs w:val="16"/>
                <w:lang w:val="en-AU"/>
              </w:rPr>
            </w:pPr>
            <w:r w:rsidRPr="009E4B9D">
              <w:rPr>
                <w:rFonts w:ascii="Arial" w:hAnsi="Arial"/>
                <w:sz w:val="16"/>
                <w:szCs w:val="16"/>
                <w:lang w:eastAsia="en-US"/>
              </w:rPr>
              <w:t>231.3</w:t>
            </w:r>
          </w:p>
        </w:tc>
        <w:tc>
          <w:tcPr>
            <w:tcW w:w="1195" w:type="dxa"/>
            <w:tcBorders>
              <w:top w:val="nil"/>
              <w:left w:val="nil"/>
              <w:bottom w:val="nil"/>
              <w:right w:val="nil"/>
            </w:tcBorders>
            <w:shd w:val="clear" w:color="auto" w:fill="auto"/>
            <w:noWrap/>
            <w:vAlign w:val="bottom"/>
          </w:tcPr>
          <w:p w14:paraId="29B0927B" w14:textId="6BA9150A" w:rsidR="008B2430" w:rsidRDefault="008B2430" w:rsidP="008B2430">
            <w:pPr>
              <w:spacing w:before="0" w:after="0"/>
              <w:jc w:val="right"/>
              <w:rPr>
                <w:rFonts w:ascii="Arial" w:hAnsi="Arial"/>
                <w:b/>
                <w:sz w:val="16"/>
                <w:szCs w:val="16"/>
                <w:lang w:val="en-AU"/>
              </w:rPr>
            </w:pPr>
            <w:r w:rsidRPr="009E4B9D">
              <w:rPr>
                <w:rFonts w:ascii="Arial" w:hAnsi="Arial"/>
                <w:sz w:val="16"/>
                <w:szCs w:val="16"/>
                <w:lang w:eastAsia="en-US"/>
              </w:rPr>
              <w:t>0.9</w:t>
            </w:r>
          </w:p>
        </w:tc>
      </w:tr>
      <w:tr w:rsidR="008B2430" w:rsidRPr="00BA1388" w14:paraId="127BBC1C" w14:textId="77777777" w:rsidTr="00B66E97">
        <w:trPr>
          <w:trHeight w:val="227"/>
        </w:trPr>
        <w:tc>
          <w:tcPr>
            <w:tcW w:w="3085" w:type="dxa"/>
            <w:tcBorders>
              <w:top w:val="nil"/>
              <w:left w:val="nil"/>
              <w:bottom w:val="single" w:sz="4" w:space="0" w:color="auto"/>
              <w:right w:val="nil"/>
            </w:tcBorders>
            <w:shd w:val="clear" w:color="FFFFFF" w:fill="auto"/>
            <w:vAlign w:val="bottom"/>
          </w:tcPr>
          <w:p w14:paraId="73A92667" w14:textId="1B42ED69" w:rsidR="008B2430" w:rsidRPr="00FB0744" w:rsidRDefault="008B2430" w:rsidP="004E1B03">
            <w:pPr>
              <w:spacing w:before="0" w:after="0"/>
              <w:ind w:left="113" w:hanging="113"/>
              <w:rPr>
                <w:rFonts w:ascii="Arial" w:hAnsi="Arial"/>
                <w:sz w:val="16"/>
                <w:szCs w:val="16"/>
                <w:lang w:val="en-AU"/>
              </w:rPr>
            </w:pPr>
            <w:r w:rsidRPr="008659FE">
              <w:rPr>
                <w:rFonts w:ascii="Arial" w:hAnsi="Arial"/>
                <w:b/>
                <w:bCs/>
                <w:sz w:val="16"/>
                <w:szCs w:val="16"/>
                <w:lang w:val="en-AU"/>
              </w:rPr>
              <w:t>Total</w:t>
            </w:r>
          </w:p>
        </w:tc>
        <w:tc>
          <w:tcPr>
            <w:tcW w:w="1790" w:type="dxa"/>
            <w:tcBorders>
              <w:top w:val="nil"/>
              <w:left w:val="nil"/>
              <w:bottom w:val="single" w:sz="4" w:space="0" w:color="auto"/>
              <w:right w:val="nil"/>
            </w:tcBorders>
            <w:shd w:val="clear" w:color="FFFFFF" w:fill="auto"/>
            <w:noWrap/>
            <w:vAlign w:val="center"/>
          </w:tcPr>
          <w:p w14:paraId="3B332AF7" w14:textId="77777777" w:rsidR="008B2430" w:rsidRPr="00FB0744" w:rsidRDefault="008B2430" w:rsidP="008B2430">
            <w:pPr>
              <w:spacing w:before="0" w:after="0"/>
              <w:jc w:val="right"/>
              <w:rPr>
                <w:rFonts w:ascii="Arial" w:hAnsi="Arial"/>
                <w:sz w:val="16"/>
                <w:szCs w:val="16"/>
                <w:lang w:val="en-AU"/>
              </w:rPr>
            </w:pPr>
          </w:p>
        </w:tc>
        <w:tc>
          <w:tcPr>
            <w:tcW w:w="1191" w:type="dxa"/>
            <w:tcBorders>
              <w:top w:val="nil"/>
              <w:left w:val="nil"/>
              <w:bottom w:val="single" w:sz="4" w:space="0" w:color="auto"/>
              <w:right w:val="nil"/>
            </w:tcBorders>
            <w:shd w:val="clear" w:color="FFFFFF" w:fill="auto"/>
            <w:noWrap/>
            <w:vAlign w:val="center"/>
          </w:tcPr>
          <w:p w14:paraId="35040EC9" w14:textId="125D5316" w:rsidR="008B2430" w:rsidRPr="00FB0744" w:rsidRDefault="008B2430" w:rsidP="008B2430">
            <w:pPr>
              <w:spacing w:before="0" w:after="0"/>
              <w:jc w:val="right"/>
              <w:rPr>
                <w:rFonts w:ascii="Arial" w:hAnsi="Arial"/>
                <w:b/>
                <w:sz w:val="16"/>
                <w:szCs w:val="16"/>
                <w:lang w:val="en-AU"/>
              </w:rPr>
            </w:pPr>
            <w:r w:rsidRPr="00353F8D">
              <w:rPr>
                <w:rFonts w:ascii="Arial" w:hAnsi="Arial"/>
                <w:b/>
                <w:sz w:val="16"/>
                <w:szCs w:val="16"/>
                <w:lang w:val="en-AU"/>
              </w:rPr>
              <w:t>284.8</w:t>
            </w:r>
          </w:p>
        </w:tc>
        <w:tc>
          <w:tcPr>
            <w:tcW w:w="1413" w:type="dxa"/>
            <w:tcBorders>
              <w:top w:val="nil"/>
              <w:left w:val="nil"/>
              <w:bottom w:val="single" w:sz="4" w:space="0" w:color="auto"/>
              <w:right w:val="nil"/>
            </w:tcBorders>
            <w:shd w:val="clear" w:color="auto" w:fill="auto"/>
            <w:noWrap/>
            <w:vAlign w:val="bottom"/>
          </w:tcPr>
          <w:p w14:paraId="77B812AD" w14:textId="50990C61" w:rsidR="008B2430" w:rsidRPr="00FB0744" w:rsidRDefault="008B2430" w:rsidP="008B2430">
            <w:pPr>
              <w:spacing w:before="0" w:after="0"/>
              <w:jc w:val="right"/>
              <w:rPr>
                <w:rFonts w:ascii="Arial" w:hAnsi="Arial"/>
                <w:b/>
                <w:sz w:val="16"/>
                <w:szCs w:val="16"/>
                <w:lang w:val="en-AU"/>
              </w:rPr>
            </w:pPr>
            <w:r w:rsidRPr="009E4B9D">
              <w:rPr>
                <w:rFonts w:ascii="Arial" w:hAnsi="Arial"/>
                <w:b/>
                <w:sz w:val="16"/>
                <w:szCs w:val="16"/>
                <w:lang w:eastAsia="en-US"/>
              </w:rPr>
              <w:t>269.3</w:t>
            </w:r>
          </w:p>
        </w:tc>
        <w:tc>
          <w:tcPr>
            <w:tcW w:w="1195" w:type="dxa"/>
            <w:tcBorders>
              <w:top w:val="nil"/>
              <w:left w:val="nil"/>
              <w:bottom w:val="single" w:sz="4" w:space="0" w:color="auto"/>
              <w:right w:val="nil"/>
            </w:tcBorders>
            <w:shd w:val="clear" w:color="auto" w:fill="auto"/>
            <w:noWrap/>
            <w:vAlign w:val="bottom"/>
          </w:tcPr>
          <w:p w14:paraId="6BB178FF" w14:textId="1A7CC6DF" w:rsidR="008B2430" w:rsidRDefault="008B2430" w:rsidP="008B2430">
            <w:pPr>
              <w:spacing w:before="0" w:after="0"/>
              <w:jc w:val="right"/>
              <w:rPr>
                <w:rFonts w:ascii="Arial" w:hAnsi="Arial"/>
                <w:b/>
                <w:sz w:val="16"/>
                <w:szCs w:val="16"/>
                <w:lang w:val="en-AU"/>
              </w:rPr>
            </w:pPr>
            <w:r w:rsidRPr="009E4B9D">
              <w:rPr>
                <w:rFonts w:ascii="Arial" w:hAnsi="Arial"/>
                <w:b/>
                <w:sz w:val="16"/>
                <w:szCs w:val="16"/>
                <w:lang w:eastAsia="en-US"/>
              </w:rPr>
              <w:t>3.6</w:t>
            </w:r>
          </w:p>
        </w:tc>
      </w:tr>
      <w:tr w:rsidR="00FB0744" w:rsidRPr="00FB0744" w14:paraId="6832D416" w14:textId="77777777" w:rsidTr="008B2430">
        <w:trPr>
          <w:trHeight w:val="227"/>
        </w:trPr>
        <w:tc>
          <w:tcPr>
            <w:tcW w:w="3085" w:type="dxa"/>
            <w:tcBorders>
              <w:top w:val="single" w:sz="4" w:space="0" w:color="auto"/>
              <w:left w:val="nil"/>
              <w:bottom w:val="nil"/>
              <w:right w:val="nil"/>
            </w:tcBorders>
            <w:shd w:val="clear" w:color="FFFFFF" w:fill="auto"/>
            <w:vAlign w:val="center"/>
          </w:tcPr>
          <w:p w14:paraId="1BFA07AB" w14:textId="77777777" w:rsidR="00FB0744" w:rsidRPr="00FB0744" w:rsidRDefault="00FB0744" w:rsidP="00FB0744">
            <w:pPr>
              <w:keepNext/>
              <w:keepLines/>
              <w:spacing w:before="0" w:after="0"/>
              <w:ind w:right="-57"/>
              <w:rPr>
                <w:rFonts w:ascii="Arial" w:hAnsi="Arial"/>
                <w:b/>
                <w:bCs/>
                <w:sz w:val="16"/>
                <w:szCs w:val="16"/>
                <w:lang w:val="en-AU"/>
              </w:rPr>
            </w:pPr>
            <w:r w:rsidRPr="00FB0744">
              <w:rPr>
                <w:rFonts w:ascii="Arial" w:hAnsi="Arial"/>
                <w:b/>
                <w:sz w:val="16"/>
                <w:szCs w:val="16"/>
                <w:lang w:val="en-AU"/>
              </w:rPr>
              <w:t>Facilities to Support J</w:t>
            </w:r>
            <w:r w:rsidRPr="00FB0744">
              <w:rPr>
                <w:rFonts w:ascii="Arial" w:hAnsi="Arial"/>
                <w:b/>
                <w:bCs/>
                <w:sz w:val="16"/>
                <w:szCs w:val="16"/>
                <w:lang w:val="en-AU"/>
              </w:rPr>
              <w:t>P 9101 Enhanced Defence Communications</w:t>
            </w:r>
            <w:r w:rsidRPr="00FB0744">
              <w:rPr>
                <w:rFonts w:ascii="Arial" w:hAnsi="Arial"/>
                <w:b/>
                <w:bCs/>
                <w:sz w:val="16"/>
                <w:szCs w:val="16"/>
                <w:vertAlign w:val="superscript"/>
                <w:lang w:val="en-AU"/>
              </w:rPr>
              <w:t xml:space="preserve"> </w:t>
            </w:r>
          </w:p>
        </w:tc>
        <w:tc>
          <w:tcPr>
            <w:tcW w:w="1790" w:type="dxa"/>
            <w:tcBorders>
              <w:top w:val="single" w:sz="4" w:space="0" w:color="auto"/>
              <w:left w:val="nil"/>
              <w:bottom w:val="nil"/>
              <w:right w:val="nil"/>
            </w:tcBorders>
            <w:shd w:val="clear" w:color="FFFFFF" w:fill="auto"/>
            <w:vAlign w:val="center"/>
          </w:tcPr>
          <w:p w14:paraId="6204EB43" w14:textId="77777777" w:rsidR="00FB0744" w:rsidRPr="00FB0744" w:rsidRDefault="00FB0744" w:rsidP="00FB0744">
            <w:pPr>
              <w:spacing w:before="0" w:after="0"/>
              <w:jc w:val="right"/>
              <w:rPr>
                <w:rFonts w:ascii="Arial" w:hAnsi="Arial"/>
                <w:sz w:val="16"/>
                <w:szCs w:val="16"/>
                <w:lang w:val="en-AU"/>
              </w:rPr>
            </w:pPr>
          </w:p>
        </w:tc>
        <w:tc>
          <w:tcPr>
            <w:tcW w:w="1191" w:type="dxa"/>
            <w:tcBorders>
              <w:top w:val="single" w:sz="4" w:space="0" w:color="auto"/>
              <w:left w:val="nil"/>
              <w:bottom w:val="nil"/>
              <w:right w:val="nil"/>
            </w:tcBorders>
            <w:shd w:val="clear" w:color="FFFFFF" w:fill="auto"/>
            <w:noWrap/>
            <w:vAlign w:val="center"/>
          </w:tcPr>
          <w:p w14:paraId="71C24666" w14:textId="77777777" w:rsidR="00FB0744" w:rsidRPr="00FB0744" w:rsidRDefault="00FB0744" w:rsidP="00FB0744">
            <w:pPr>
              <w:spacing w:before="0" w:after="0"/>
              <w:jc w:val="right"/>
              <w:rPr>
                <w:rFonts w:ascii="Arial" w:hAnsi="Arial"/>
                <w:sz w:val="16"/>
                <w:szCs w:val="16"/>
                <w:lang w:val="en-AU"/>
              </w:rPr>
            </w:pPr>
          </w:p>
        </w:tc>
        <w:tc>
          <w:tcPr>
            <w:tcW w:w="1413" w:type="dxa"/>
            <w:tcBorders>
              <w:top w:val="single" w:sz="4" w:space="0" w:color="auto"/>
              <w:left w:val="nil"/>
              <w:bottom w:val="nil"/>
              <w:right w:val="nil"/>
            </w:tcBorders>
            <w:shd w:val="clear" w:color="FFFFFF" w:fill="auto"/>
            <w:noWrap/>
            <w:vAlign w:val="center"/>
          </w:tcPr>
          <w:p w14:paraId="4513A7D2" w14:textId="77777777" w:rsidR="00FB0744" w:rsidRPr="00FB0744" w:rsidRDefault="00FB0744" w:rsidP="00FB0744">
            <w:pPr>
              <w:spacing w:before="0" w:after="0"/>
              <w:jc w:val="right"/>
              <w:rPr>
                <w:rFonts w:ascii="Arial" w:hAnsi="Arial"/>
                <w:sz w:val="16"/>
                <w:szCs w:val="16"/>
                <w:lang w:val="en-AU"/>
              </w:rPr>
            </w:pPr>
          </w:p>
        </w:tc>
        <w:tc>
          <w:tcPr>
            <w:tcW w:w="1195" w:type="dxa"/>
            <w:tcBorders>
              <w:top w:val="single" w:sz="4" w:space="0" w:color="auto"/>
              <w:left w:val="nil"/>
              <w:bottom w:val="nil"/>
              <w:right w:val="nil"/>
            </w:tcBorders>
            <w:shd w:val="clear" w:color="FFFFFF" w:fill="auto"/>
            <w:noWrap/>
            <w:vAlign w:val="center"/>
          </w:tcPr>
          <w:p w14:paraId="1E1A0B5E" w14:textId="77777777" w:rsidR="00FB0744" w:rsidRPr="00FB0744" w:rsidRDefault="00FB0744" w:rsidP="00FB0744">
            <w:pPr>
              <w:spacing w:before="0" w:after="0"/>
              <w:jc w:val="right"/>
              <w:rPr>
                <w:rFonts w:ascii="Arial" w:hAnsi="Arial"/>
                <w:sz w:val="16"/>
                <w:szCs w:val="16"/>
                <w:lang w:val="en-AU"/>
              </w:rPr>
            </w:pPr>
          </w:p>
        </w:tc>
      </w:tr>
      <w:tr w:rsidR="00FB0744" w:rsidRPr="00FB0744" w14:paraId="4E66C0C6" w14:textId="77777777" w:rsidTr="00F600B5">
        <w:trPr>
          <w:trHeight w:val="227"/>
        </w:trPr>
        <w:tc>
          <w:tcPr>
            <w:tcW w:w="3085" w:type="dxa"/>
            <w:tcBorders>
              <w:top w:val="nil"/>
              <w:left w:val="nil"/>
              <w:bottom w:val="nil"/>
              <w:right w:val="nil"/>
            </w:tcBorders>
            <w:shd w:val="clear" w:color="FFFFFF" w:fill="auto"/>
            <w:vAlign w:val="center"/>
          </w:tcPr>
          <w:p w14:paraId="00FF4004" w14:textId="77777777" w:rsidR="00FB0744" w:rsidRPr="00FB0744" w:rsidRDefault="00FB0744" w:rsidP="00FB0744">
            <w:pPr>
              <w:spacing w:before="0" w:after="0"/>
              <w:ind w:left="113"/>
              <w:rPr>
                <w:rFonts w:ascii="Arial" w:hAnsi="Arial"/>
                <w:b/>
                <w:bCs/>
                <w:sz w:val="16"/>
                <w:szCs w:val="16"/>
                <w:lang w:val="en-AU"/>
              </w:rPr>
            </w:pPr>
            <w:r w:rsidRPr="00FB0744">
              <w:rPr>
                <w:rFonts w:ascii="Arial" w:hAnsi="Arial"/>
                <w:sz w:val="16"/>
                <w:szCs w:val="16"/>
                <w:lang w:val="en-AU"/>
              </w:rPr>
              <w:t>Lyndoch</w:t>
            </w:r>
          </w:p>
        </w:tc>
        <w:tc>
          <w:tcPr>
            <w:tcW w:w="1790" w:type="dxa"/>
            <w:tcBorders>
              <w:top w:val="nil"/>
              <w:left w:val="nil"/>
              <w:bottom w:val="nil"/>
              <w:right w:val="nil"/>
            </w:tcBorders>
            <w:shd w:val="clear" w:color="FFFFFF" w:fill="auto"/>
            <w:vAlign w:val="center"/>
          </w:tcPr>
          <w:p w14:paraId="5B477BC5" w14:textId="77777777" w:rsidR="00FB0744" w:rsidRPr="00FB0744" w:rsidRDefault="00FB0744" w:rsidP="00FB0744">
            <w:pPr>
              <w:spacing w:before="0" w:after="0"/>
              <w:jc w:val="right"/>
              <w:rPr>
                <w:rFonts w:ascii="Arial" w:hAnsi="Arial"/>
                <w:sz w:val="16"/>
                <w:szCs w:val="16"/>
                <w:lang w:val="en-AU"/>
              </w:rPr>
            </w:pPr>
            <w:r w:rsidRPr="00FB0744">
              <w:rPr>
                <w:rFonts w:ascii="Arial" w:hAnsi="Arial"/>
                <w:sz w:val="16"/>
                <w:szCs w:val="16"/>
                <w:lang w:val="en-AU"/>
              </w:rPr>
              <w:t>NSW - Riverina</w:t>
            </w:r>
          </w:p>
        </w:tc>
        <w:tc>
          <w:tcPr>
            <w:tcW w:w="1191" w:type="dxa"/>
            <w:tcBorders>
              <w:top w:val="nil"/>
              <w:left w:val="nil"/>
              <w:bottom w:val="nil"/>
              <w:right w:val="nil"/>
            </w:tcBorders>
            <w:shd w:val="clear" w:color="FFFFFF" w:fill="auto"/>
            <w:noWrap/>
            <w:vAlign w:val="center"/>
          </w:tcPr>
          <w:p w14:paraId="606415BF" w14:textId="77777777" w:rsidR="00FB0744" w:rsidRPr="00FB0744" w:rsidRDefault="00FB0744" w:rsidP="00FB0744">
            <w:pPr>
              <w:spacing w:before="0" w:after="0"/>
              <w:jc w:val="right"/>
              <w:rPr>
                <w:rFonts w:ascii="Arial" w:hAnsi="Arial"/>
                <w:sz w:val="16"/>
                <w:szCs w:val="16"/>
                <w:lang w:val="en-AU"/>
              </w:rPr>
            </w:pPr>
          </w:p>
        </w:tc>
        <w:tc>
          <w:tcPr>
            <w:tcW w:w="1413" w:type="dxa"/>
            <w:tcBorders>
              <w:top w:val="nil"/>
              <w:left w:val="nil"/>
              <w:bottom w:val="nil"/>
              <w:right w:val="nil"/>
            </w:tcBorders>
            <w:shd w:val="clear" w:color="FFFFFF" w:fill="auto"/>
            <w:noWrap/>
            <w:vAlign w:val="bottom"/>
          </w:tcPr>
          <w:p w14:paraId="7AA33C3D"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16.3</w:t>
            </w:r>
          </w:p>
        </w:tc>
        <w:tc>
          <w:tcPr>
            <w:tcW w:w="1195" w:type="dxa"/>
            <w:tcBorders>
              <w:top w:val="nil"/>
              <w:left w:val="nil"/>
              <w:bottom w:val="nil"/>
              <w:right w:val="nil"/>
            </w:tcBorders>
            <w:shd w:val="clear" w:color="FFFFFF" w:fill="auto"/>
            <w:noWrap/>
            <w:vAlign w:val="bottom"/>
          </w:tcPr>
          <w:p w14:paraId="634AFA07"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4.7</w:t>
            </w:r>
          </w:p>
        </w:tc>
      </w:tr>
      <w:tr w:rsidR="00FB0744" w:rsidRPr="00FB0744" w14:paraId="05A8BB1E" w14:textId="77777777" w:rsidTr="00F600B5">
        <w:trPr>
          <w:trHeight w:val="227"/>
        </w:trPr>
        <w:tc>
          <w:tcPr>
            <w:tcW w:w="3085" w:type="dxa"/>
            <w:tcBorders>
              <w:top w:val="nil"/>
              <w:left w:val="nil"/>
              <w:bottom w:val="nil"/>
              <w:right w:val="nil"/>
            </w:tcBorders>
            <w:shd w:val="clear" w:color="FFFFFF" w:fill="auto"/>
            <w:vAlign w:val="center"/>
          </w:tcPr>
          <w:p w14:paraId="56FE4ACA" w14:textId="77777777" w:rsidR="00FB0744" w:rsidRPr="00FB0744" w:rsidRDefault="00FB0744" w:rsidP="00FB0744">
            <w:pPr>
              <w:spacing w:before="0" w:after="0"/>
              <w:ind w:left="113"/>
              <w:rPr>
                <w:rFonts w:ascii="Arial" w:hAnsi="Arial"/>
                <w:b/>
                <w:bCs/>
                <w:sz w:val="16"/>
                <w:szCs w:val="16"/>
                <w:lang w:val="en-AU"/>
              </w:rPr>
            </w:pPr>
            <w:r w:rsidRPr="00FB0744">
              <w:rPr>
                <w:rFonts w:ascii="Arial" w:hAnsi="Arial"/>
                <w:sz w:val="16"/>
                <w:szCs w:val="16"/>
                <w:lang w:val="en-AU"/>
              </w:rPr>
              <w:t>Morundah</w:t>
            </w:r>
          </w:p>
        </w:tc>
        <w:tc>
          <w:tcPr>
            <w:tcW w:w="1790" w:type="dxa"/>
            <w:tcBorders>
              <w:top w:val="nil"/>
              <w:left w:val="nil"/>
              <w:bottom w:val="nil"/>
              <w:right w:val="nil"/>
            </w:tcBorders>
            <w:shd w:val="clear" w:color="FFFFFF" w:fill="auto"/>
            <w:vAlign w:val="center"/>
          </w:tcPr>
          <w:p w14:paraId="7487FF92" w14:textId="77777777" w:rsidR="00FB0744" w:rsidRPr="00FB0744" w:rsidRDefault="00FB0744" w:rsidP="00FB0744">
            <w:pPr>
              <w:spacing w:before="0" w:after="0"/>
              <w:jc w:val="right"/>
              <w:rPr>
                <w:rFonts w:ascii="Arial" w:hAnsi="Arial"/>
                <w:sz w:val="16"/>
                <w:szCs w:val="16"/>
                <w:lang w:val="en-AU"/>
              </w:rPr>
            </w:pPr>
            <w:r w:rsidRPr="00FB0744">
              <w:rPr>
                <w:rFonts w:ascii="Arial" w:hAnsi="Arial"/>
                <w:sz w:val="16"/>
                <w:szCs w:val="16"/>
                <w:lang w:val="en-AU"/>
              </w:rPr>
              <w:t>NSW - Farrer</w:t>
            </w:r>
          </w:p>
        </w:tc>
        <w:tc>
          <w:tcPr>
            <w:tcW w:w="1191" w:type="dxa"/>
            <w:tcBorders>
              <w:top w:val="nil"/>
              <w:left w:val="nil"/>
              <w:bottom w:val="nil"/>
              <w:right w:val="nil"/>
            </w:tcBorders>
            <w:shd w:val="clear" w:color="FFFFFF" w:fill="auto"/>
            <w:noWrap/>
            <w:vAlign w:val="center"/>
          </w:tcPr>
          <w:p w14:paraId="20647C3A" w14:textId="77777777" w:rsidR="00FB0744" w:rsidRPr="00FB0744" w:rsidRDefault="00FB0744" w:rsidP="00FB0744">
            <w:pPr>
              <w:spacing w:before="0" w:after="0"/>
              <w:jc w:val="right"/>
              <w:rPr>
                <w:rFonts w:ascii="Arial" w:hAnsi="Arial"/>
                <w:sz w:val="16"/>
                <w:szCs w:val="16"/>
                <w:lang w:val="en-AU"/>
              </w:rPr>
            </w:pPr>
          </w:p>
        </w:tc>
        <w:tc>
          <w:tcPr>
            <w:tcW w:w="1413" w:type="dxa"/>
            <w:tcBorders>
              <w:top w:val="nil"/>
              <w:left w:val="nil"/>
              <w:bottom w:val="nil"/>
              <w:right w:val="nil"/>
            </w:tcBorders>
            <w:shd w:val="clear" w:color="FFFFFF" w:fill="auto"/>
            <w:noWrap/>
            <w:vAlign w:val="bottom"/>
          </w:tcPr>
          <w:p w14:paraId="49FE7E08"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16.4</w:t>
            </w:r>
          </w:p>
        </w:tc>
        <w:tc>
          <w:tcPr>
            <w:tcW w:w="1195" w:type="dxa"/>
            <w:tcBorders>
              <w:top w:val="nil"/>
              <w:left w:val="nil"/>
              <w:bottom w:val="nil"/>
              <w:right w:val="nil"/>
            </w:tcBorders>
            <w:shd w:val="clear" w:color="FFFFFF" w:fill="auto"/>
            <w:noWrap/>
            <w:vAlign w:val="bottom"/>
          </w:tcPr>
          <w:p w14:paraId="4335E541"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4.7</w:t>
            </w:r>
          </w:p>
        </w:tc>
      </w:tr>
      <w:tr w:rsidR="00FB0744" w:rsidRPr="00FB0744" w14:paraId="5C034014" w14:textId="77777777" w:rsidTr="00F600B5">
        <w:trPr>
          <w:trHeight w:val="227"/>
        </w:trPr>
        <w:tc>
          <w:tcPr>
            <w:tcW w:w="3085" w:type="dxa"/>
            <w:tcBorders>
              <w:top w:val="nil"/>
              <w:left w:val="nil"/>
              <w:bottom w:val="nil"/>
              <w:right w:val="nil"/>
            </w:tcBorders>
            <w:shd w:val="clear" w:color="FFFFFF" w:fill="auto"/>
            <w:vAlign w:val="center"/>
          </w:tcPr>
          <w:p w14:paraId="351F32D5" w14:textId="77777777" w:rsidR="00FB0744" w:rsidRPr="00FB0744" w:rsidRDefault="00FB0744" w:rsidP="00FB0744">
            <w:pPr>
              <w:spacing w:before="0" w:after="0"/>
              <w:ind w:left="113"/>
              <w:rPr>
                <w:rFonts w:ascii="Arial" w:hAnsi="Arial"/>
                <w:b/>
                <w:bCs/>
                <w:sz w:val="16"/>
                <w:szCs w:val="16"/>
                <w:lang w:val="en-AU"/>
              </w:rPr>
            </w:pPr>
            <w:r w:rsidRPr="00FB0744">
              <w:rPr>
                <w:rFonts w:ascii="Arial" w:hAnsi="Arial"/>
                <w:sz w:val="16"/>
                <w:szCs w:val="16"/>
                <w:lang w:val="en-AU"/>
              </w:rPr>
              <w:t>Humpty Doo</w:t>
            </w:r>
          </w:p>
        </w:tc>
        <w:tc>
          <w:tcPr>
            <w:tcW w:w="1790" w:type="dxa"/>
            <w:tcBorders>
              <w:top w:val="nil"/>
              <w:left w:val="nil"/>
              <w:bottom w:val="nil"/>
              <w:right w:val="nil"/>
            </w:tcBorders>
            <w:shd w:val="clear" w:color="FFFFFF" w:fill="auto"/>
            <w:vAlign w:val="center"/>
          </w:tcPr>
          <w:p w14:paraId="08EDF36B" w14:textId="77777777" w:rsidR="00FB0744" w:rsidRPr="00FB0744" w:rsidRDefault="00FB0744" w:rsidP="00FB0744">
            <w:pPr>
              <w:spacing w:before="0" w:after="0"/>
              <w:jc w:val="right"/>
              <w:rPr>
                <w:rFonts w:ascii="Arial" w:hAnsi="Arial"/>
                <w:sz w:val="16"/>
                <w:szCs w:val="16"/>
                <w:lang w:val="en-AU"/>
              </w:rPr>
            </w:pPr>
            <w:r w:rsidRPr="00FB0744">
              <w:rPr>
                <w:rFonts w:ascii="Arial" w:hAnsi="Arial"/>
                <w:sz w:val="16"/>
                <w:szCs w:val="16"/>
                <w:lang w:val="en-AU"/>
              </w:rPr>
              <w:t>NT - Lingiari</w:t>
            </w:r>
          </w:p>
        </w:tc>
        <w:tc>
          <w:tcPr>
            <w:tcW w:w="1191" w:type="dxa"/>
            <w:tcBorders>
              <w:top w:val="nil"/>
              <w:left w:val="nil"/>
              <w:bottom w:val="nil"/>
              <w:right w:val="nil"/>
            </w:tcBorders>
            <w:shd w:val="clear" w:color="FFFFFF" w:fill="auto"/>
            <w:noWrap/>
            <w:vAlign w:val="center"/>
          </w:tcPr>
          <w:p w14:paraId="2BA001C6" w14:textId="77777777" w:rsidR="00FB0744" w:rsidRPr="00FB0744" w:rsidRDefault="00FB0744" w:rsidP="00FB0744">
            <w:pPr>
              <w:spacing w:before="0" w:after="0"/>
              <w:jc w:val="right"/>
              <w:rPr>
                <w:rFonts w:ascii="Arial" w:hAnsi="Arial"/>
                <w:sz w:val="16"/>
                <w:szCs w:val="16"/>
                <w:lang w:val="en-AU"/>
              </w:rPr>
            </w:pPr>
          </w:p>
        </w:tc>
        <w:tc>
          <w:tcPr>
            <w:tcW w:w="1413" w:type="dxa"/>
            <w:tcBorders>
              <w:top w:val="nil"/>
              <w:left w:val="nil"/>
              <w:bottom w:val="nil"/>
              <w:right w:val="nil"/>
            </w:tcBorders>
            <w:shd w:val="clear" w:color="FFFFFF" w:fill="auto"/>
            <w:noWrap/>
            <w:vAlign w:val="bottom"/>
          </w:tcPr>
          <w:p w14:paraId="3470E1B9"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8.6</w:t>
            </w:r>
          </w:p>
        </w:tc>
        <w:tc>
          <w:tcPr>
            <w:tcW w:w="1195" w:type="dxa"/>
            <w:tcBorders>
              <w:top w:val="nil"/>
              <w:left w:val="nil"/>
              <w:bottom w:val="nil"/>
              <w:right w:val="nil"/>
            </w:tcBorders>
            <w:shd w:val="clear" w:color="FFFFFF" w:fill="auto"/>
            <w:noWrap/>
            <w:vAlign w:val="bottom"/>
          </w:tcPr>
          <w:p w14:paraId="6990330C"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2.4</w:t>
            </w:r>
          </w:p>
        </w:tc>
      </w:tr>
      <w:tr w:rsidR="00FB0744" w:rsidRPr="00FB0744" w14:paraId="04C82028" w14:textId="77777777" w:rsidTr="00F600B5">
        <w:trPr>
          <w:trHeight w:val="227"/>
        </w:trPr>
        <w:tc>
          <w:tcPr>
            <w:tcW w:w="3085" w:type="dxa"/>
            <w:tcBorders>
              <w:top w:val="nil"/>
              <w:left w:val="nil"/>
              <w:bottom w:val="nil"/>
              <w:right w:val="nil"/>
            </w:tcBorders>
            <w:shd w:val="clear" w:color="FFFFFF" w:fill="auto"/>
            <w:vAlign w:val="center"/>
          </w:tcPr>
          <w:p w14:paraId="03BE2E9D" w14:textId="77777777" w:rsidR="00FB0744" w:rsidRPr="00FB0744" w:rsidRDefault="00FB0744" w:rsidP="00FB0744">
            <w:pPr>
              <w:spacing w:before="0" w:after="0"/>
              <w:ind w:left="113"/>
              <w:rPr>
                <w:rFonts w:ascii="Arial" w:hAnsi="Arial"/>
                <w:sz w:val="16"/>
                <w:szCs w:val="16"/>
                <w:lang w:val="en-AU"/>
              </w:rPr>
            </w:pPr>
            <w:r w:rsidRPr="00FB0744">
              <w:rPr>
                <w:rFonts w:ascii="Arial" w:hAnsi="Arial"/>
                <w:sz w:val="16"/>
                <w:szCs w:val="16"/>
                <w:lang w:val="en-AU"/>
              </w:rPr>
              <w:t xml:space="preserve">Mount Bundey </w:t>
            </w:r>
          </w:p>
        </w:tc>
        <w:tc>
          <w:tcPr>
            <w:tcW w:w="1790" w:type="dxa"/>
            <w:tcBorders>
              <w:top w:val="nil"/>
              <w:left w:val="nil"/>
              <w:bottom w:val="nil"/>
              <w:right w:val="nil"/>
            </w:tcBorders>
            <w:shd w:val="clear" w:color="FFFFFF" w:fill="auto"/>
            <w:vAlign w:val="center"/>
          </w:tcPr>
          <w:p w14:paraId="320EED5D" w14:textId="77777777" w:rsidR="00FB0744" w:rsidRPr="00FB0744" w:rsidRDefault="00FB0744" w:rsidP="00FB0744">
            <w:pPr>
              <w:spacing w:before="0" w:after="0"/>
              <w:jc w:val="right"/>
              <w:rPr>
                <w:rFonts w:ascii="Arial" w:hAnsi="Arial"/>
                <w:sz w:val="16"/>
                <w:szCs w:val="16"/>
                <w:lang w:val="en-AU"/>
              </w:rPr>
            </w:pPr>
            <w:r w:rsidRPr="00FB0744">
              <w:rPr>
                <w:rFonts w:ascii="Arial" w:hAnsi="Arial"/>
                <w:sz w:val="16"/>
                <w:szCs w:val="16"/>
                <w:lang w:val="en-AU"/>
              </w:rPr>
              <w:t>NT - Lingiari</w:t>
            </w:r>
          </w:p>
        </w:tc>
        <w:tc>
          <w:tcPr>
            <w:tcW w:w="1191" w:type="dxa"/>
            <w:tcBorders>
              <w:top w:val="nil"/>
              <w:left w:val="nil"/>
              <w:bottom w:val="nil"/>
              <w:right w:val="nil"/>
            </w:tcBorders>
            <w:shd w:val="clear" w:color="FFFFFF" w:fill="auto"/>
            <w:noWrap/>
            <w:vAlign w:val="center"/>
          </w:tcPr>
          <w:p w14:paraId="01B4E8B3" w14:textId="77777777" w:rsidR="00FB0744" w:rsidRPr="00FB0744" w:rsidRDefault="00FB0744" w:rsidP="00FB0744">
            <w:pPr>
              <w:spacing w:before="0" w:after="0"/>
              <w:jc w:val="right"/>
              <w:rPr>
                <w:rFonts w:ascii="Arial" w:hAnsi="Arial"/>
                <w:sz w:val="16"/>
                <w:szCs w:val="16"/>
                <w:lang w:val="en-AU"/>
              </w:rPr>
            </w:pPr>
          </w:p>
        </w:tc>
        <w:tc>
          <w:tcPr>
            <w:tcW w:w="1413" w:type="dxa"/>
            <w:tcBorders>
              <w:top w:val="nil"/>
              <w:left w:val="nil"/>
              <w:bottom w:val="nil"/>
              <w:right w:val="nil"/>
            </w:tcBorders>
            <w:shd w:val="clear" w:color="FFFFFF" w:fill="auto"/>
            <w:noWrap/>
            <w:vAlign w:val="bottom"/>
          </w:tcPr>
          <w:p w14:paraId="144FBB53"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22.0</w:t>
            </w:r>
          </w:p>
        </w:tc>
        <w:tc>
          <w:tcPr>
            <w:tcW w:w="1195" w:type="dxa"/>
            <w:tcBorders>
              <w:top w:val="nil"/>
              <w:left w:val="nil"/>
              <w:bottom w:val="nil"/>
              <w:right w:val="nil"/>
            </w:tcBorders>
            <w:shd w:val="clear" w:color="FFFFFF" w:fill="auto"/>
            <w:noWrap/>
            <w:vAlign w:val="bottom"/>
          </w:tcPr>
          <w:p w14:paraId="51D21DA5"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31.2</w:t>
            </w:r>
          </w:p>
        </w:tc>
      </w:tr>
      <w:tr w:rsidR="00FB0744" w:rsidRPr="00FB0744" w14:paraId="314E1ECE" w14:textId="77777777" w:rsidTr="00F600B5">
        <w:trPr>
          <w:trHeight w:val="227"/>
        </w:trPr>
        <w:tc>
          <w:tcPr>
            <w:tcW w:w="3085" w:type="dxa"/>
            <w:tcBorders>
              <w:top w:val="nil"/>
              <w:left w:val="nil"/>
              <w:bottom w:val="nil"/>
              <w:right w:val="nil"/>
            </w:tcBorders>
            <w:shd w:val="clear" w:color="FFFFFF" w:fill="auto"/>
            <w:vAlign w:val="center"/>
          </w:tcPr>
          <w:p w14:paraId="0C865083" w14:textId="77777777" w:rsidR="00FB0744" w:rsidRPr="00FB0744" w:rsidRDefault="00FB0744" w:rsidP="00FB0744">
            <w:pPr>
              <w:spacing w:before="0" w:after="0"/>
              <w:ind w:left="113"/>
              <w:rPr>
                <w:rFonts w:ascii="Arial" w:hAnsi="Arial"/>
                <w:sz w:val="16"/>
                <w:szCs w:val="16"/>
                <w:lang w:val="en-AU"/>
              </w:rPr>
            </w:pPr>
            <w:r w:rsidRPr="00FB0744">
              <w:rPr>
                <w:rFonts w:ascii="Arial" w:hAnsi="Arial"/>
                <w:sz w:val="16"/>
                <w:szCs w:val="16"/>
                <w:lang w:val="en-AU"/>
              </w:rPr>
              <w:t xml:space="preserve">Shoal Bay </w:t>
            </w:r>
          </w:p>
        </w:tc>
        <w:tc>
          <w:tcPr>
            <w:tcW w:w="1790" w:type="dxa"/>
            <w:tcBorders>
              <w:top w:val="nil"/>
              <w:left w:val="nil"/>
              <w:bottom w:val="nil"/>
              <w:right w:val="nil"/>
            </w:tcBorders>
            <w:shd w:val="clear" w:color="FFFFFF" w:fill="auto"/>
            <w:vAlign w:val="center"/>
          </w:tcPr>
          <w:p w14:paraId="17CB6AFD" w14:textId="77777777" w:rsidR="00FB0744" w:rsidRPr="00FB0744" w:rsidRDefault="00FB0744" w:rsidP="00FB0744">
            <w:pPr>
              <w:spacing w:before="0" w:after="0"/>
              <w:jc w:val="right"/>
              <w:rPr>
                <w:rFonts w:ascii="Arial" w:hAnsi="Arial"/>
                <w:sz w:val="16"/>
                <w:szCs w:val="16"/>
                <w:lang w:val="en-AU"/>
              </w:rPr>
            </w:pPr>
            <w:r w:rsidRPr="00FB0744">
              <w:rPr>
                <w:rFonts w:ascii="Arial" w:hAnsi="Arial"/>
                <w:sz w:val="16"/>
                <w:szCs w:val="16"/>
                <w:lang w:val="en-AU"/>
              </w:rPr>
              <w:t>NT - Lingiari</w:t>
            </w:r>
          </w:p>
        </w:tc>
        <w:tc>
          <w:tcPr>
            <w:tcW w:w="1191" w:type="dxa"/>
            <w:tcBorders>
              <w:top w:val="nil"/>
              <w:left w:val="nil"/>
              <w:bottom w:val="nil"/>
              <w:right w:val="nil"/>
            </w:tcBorders>
            <w:shd w:val="clear" w:color="FFFFFF" w:fill="auto"/>
            <w:noWrap/>
            <w:vAlign w:val="center"/>
          </w:tcPr>
          <w:p w14:paraId="71D424A1" w14:textId="77777777" w:rsidR="00FB0744" w:rsidRPr="00FB0744" w:rsidRDefault="00FB0744" w:rsidP="00FB0744">
            <w:pPr>
              <w:spacing w:before="0" w:after="0"/>
              <w:jc w:val="right"/>
              <w:rPr>
                <w:rFonts w:ascii="Arial" w:hAnsi="Arial"/>
                <w:sz w:val="16"/>
                <w:szCs w:val="16"/>
                <w:lang w:val="en-AU"/>
              </w:rPr>
            </w:pPr>
          </w:p>
        </w:tc>
        <w:tc>
          <w:tcPr>
            <w:tcW w:w="1413" w:type="dxa"/>
            <w:tcBorders>
              <w:top w:val="nil"/>
              <w:left w:val="nil"/>
              <w:bottom w:val="nil"/>
              <w:right w:val="nil"/>
            </w:tcBorders>
            <w:shd w:val="clear" w:color="FFFFFF" w:fill="auto"/>
            <w:noWrap/>
            <w:vAlign w:val="bottom"/>
          </w:tcPr>
          <w:p w14:paraId="728E2195"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0.0</w:t>
            </w:r>
          </w:p>
        </w:tc>
        <w:tc>
          <w:tcPr>
            <w:tcW w:w="1195" w:type="dxa"/>
            <w:tcBorders>
              <w:top w:val="nil"/>
              <w:left w:val="nil"/>
              <w:bottom w:val="nil"/>
              <w:right w:val="nil"/>
            </w:tcBorders>
            <w:shd w:val="clear" w:color="FFFFFF" w:fill="auto"/>
            <w:noWrap/>
            <w:vAlign w:val="bottom"/>
          </w:tcPr>
          <w:p w14:paraId="51AB3CF3"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0.0</w:t>
            </w:r>
          </w:p>
        </w:tc>
      </w:tr>
      <w:tr w:rsidR="00FB0744" w:rsidRPr="00FB0744" w14:paraId="6D0424E9" w14:textId="77777777" w:rsidTr="00F600B5">
        <w:trPr>
          <w:trHeight w:val="227"/>
        </w:trPr>
        <w:tc>
          <w:tcPr>
            <w:tcW w:w="3085" w:type="dxa"/>
            <w:tcBorders>
              <w:top w:val="nil"/>
              <w:left w:val="nil"/>
              <w:bottom w:val="nil"/>
              <w:right w:val="nil"/>
            </w:tcBorders>
            <w:shd w:val="clear" w:color="FFFFFF" w:fill="auto"/>
            <w:vAlign w:val="center"/>
          </w:tcPr>
          <w:p w14:paraId="1D00873A" w14:textId="77777777" w:rsidR="00FB0744" w:rsidRPr="00FB0744" w:rsidRDefault="00FB0744" w:rsidP="00FB0744">
            <w:pPr>
              <w:spacing w:before="0" w:after="0"/>
              <w:ind w:left="113"/>
              <w:rPr>
                <w:rFonts w:ascii="Arial" w:hAnsi="Arial"/>
                <w:sz w:val="16"/>
                <w:szCs w:val="16"/>
                <w:lang w:val="en-AU"/>
              </w:rPr>
            </w:pPr>
            <w:r w:rsidRPr="00FB0744">
              <w:rPr>
                <w:rFonts w:ascii="Arial" w:hAnsi="Arial"/>
                <w:sz w:val="16"/>
                <w:szCs w:val="16"/>
                <w:lang w:val="en-AU"/>
              </w:rPr>
              <w:t>Bohle River</w:t>
            </w:r>
          </w:p>
        </w:tc>
        <w:tc>
          <w:tcPr>
            <w:tcW w:w="1790" w:type="dxa"/>
            <w:tcBorders>
              <w:top w:val="nil"/>
              <w:left w:val="nil"/>
              <w:bottom w:val="nil"/>
              <w:right w:val="nil"/>
            </w:tcBorders>
            <w:shd w:val="clear" w:color="FFFFFF" w:fill="auto"/>
            <w:vAlign w:val="center"/>
          </w:tcPr>
          <w:p w14:paraId="38506D00" w14:textId="77777777" w:rsidR="00FB0744" w:rsidRPr="00FB0744" w:rsidRDefault="00FB0744" w:rsidP="00FB0744">
            <w:pPr>
              <w:spacing w:before="0" w:after="0"/>
              <w:jc w:val="right"/>
              <w:rPr>
                <w:rFonts w:ascii="Arial" w:hAnsi="Arial"/>
                <w:sz w:val="16"/>
                <w:szCs w:val="16"/>
                <w:lang w:val="en-AU"/>
              </w:rPr>
            </w:pPr>
            <w:r w:rsidRPr="00FB0744">
              <w:rPr>
                <w:rFonts w:ascii="Arial" w:hAnsi="Arial"/>
                <w:sz w:val="16"/>
                <w:szCs w:val="16"/>
                <w:lang w:val="en-AU"/>
              </w:rPr>
              <w:t>QLD - Herbert</w:t>
            </w:r>
          </w:p>
        </w:tc>
        <w:tc>
          <w:tcPr>
            <w:tcW w:w="1191" w:type="dxa"/>
            <w:tcBorders>
              <w:top w:val="nil"/>
              <w:left w:val="nil"/>
              <w:bottom w:val="nil"/>
              <w:right w:val="nil"/>
            </w:tcBorders>
            <w:shd w:val="clear" w:color="FFFFFF" w:fill="auto"/>
            <w:noWrap/>
            <w:vAlign w:val="center"/>
          </w:tcPr>
          <w:p w14:paraId="007263EF" w14:textId="77777777" w:rsidR="00FB0744" w:rsidRPr="00FB0744" w:rsidRDefault="00FB0744" w:rsidP="00FB0744">
            <w:pPr>
              <w:spacing w:before="0" w:after="0"/>
              <w:jc w:val="right"/>
              <w:rPr>
                <w:rFonts w:ascii="Arial" w:hAnsi="Arial"/>
                <w:sz w:val="16"/>
                <w:szCs w:val="16"/>
                <w:lang w:val="en-AU"/>
              </w:rPr>
            </w:pPr>
          </w:p>
        </w:tc>
        <w:tc>
          <w:tcPr>
            <w:tcW w:w="1413" w:type="dxa"/>
            <w:tcBorders>
              <w:top w:val="nil"/>
              <w:left w:val="nil"/>
              <w:bottom w:val="nil"/>
              <w:right w:val="nil"/>
            </w:tcBorders>
            <w:shd w:val="clear" w:color="FFFFFF" w:fill="auto"/>
            <w:noWrap/>
            <w:vAlign w:val="bottom"/>
          </w:tcPr>
          <w:p w14:paraId="3F706D83"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18.5</w:t>
            </w:r>
          </w:p>
        </w:tc>
        <w:tc>
          <w:tcPr>
            <w:tcW w:w="1195" w:type="dxa"/>
            <w:tcBorders>
              <w:top w:val="nil"/>
              <w:left w:val="nil"/>
              <w:bottom w:val="nil"/>
              <w:right w:val="nil"/>
            </w:tcBorders>
            <w:shd w:val="clear" w:color="FFFFFF" w:fill="auto"/>
            <w:noWrap/>
            <w:vAlign w:val="bottom"/>
          </w:tcPr>
          <w:p w14:paraId="57262271"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3.4</w:t>
            </w:r>
          </w:p>
        </w:tc>
      </w:tr>
      <w:tr w:rsidR="00FB0744" w:rsidRPr="00FB0744" w14:paraId="7FDBABEB" w14:textId="77777777" w:rsidTr="00F600B5">
        <w:trPr>
          <w:trHeight w:val="227"/>
        </w:trPr>
        <w:tc>
          <w:tcPr>
            <w:tcW w:w="3085" w:type="dxa"/>
            <w:tcBorders>
              <w:top w:val="nil"/>
              <w:left w:val="nil"/>
              <w:bottom w:val="nil"/>
              <w:right w:val="nil"/>
            </w:tcBorders>
            <w:shd w:val="clear" w:color="FFFFFF" w:fill="auto"/>
            <w:vAlign w:val="center"/>
          </w:tcPr>
          <w:p w14:paraId="5308F302" w14:textId="77777777" w:rsidR="00FB0744" w:rsidRPr="00FB0744" w:rsidRDefault="00FB0744" w:rsidP="00FB0744">
            <w:pPr>
              <w:spacing w:before="0" w:after="0"/>
              <w:ind w:left="113"/>
              <w:rPr>
                <w:rFonts w:ascii="Arial" w:hAnsi="Arial"/>
                <w:sz w:val="16"/>
                <w:szCs w:val="16"/>
                <w:lang w:val="en-AU"/>
              </w:rPr>
            </w:pPr>
            <w:r w:rsidRPr="00FB0744">
              <w:rPr>
                <w:rFonts w:ascii="Arial" w:hAnsi="Arial"/>
                <w:sz w:val="16"/>
                <w:szCs w:val="16"/>
                <w:lang w:val="en-AU"/>
              </w:rPr>
              <w:t>Speed Creek</w:t>
            </w:r>
          </w:p>
        </w:tc>
        <w:tc>
          <w:tcPr>
            <w:tcW w:w="1790" w:type="dxa"/>
            <w:tcBorders>
              <w:top w:val="nil"/>
              <w:left w:val="nil"/>
              <w:bottom w:val="nil"/>
              <w:right w:val="nil"/>
            </w:tcBorders>
            <w:shd w:val="clear" w:color="FFFFFF" w:fill="auto"/>
            <w:vAlign w:val="center"/>
          </w:tcPr>
          <w:p w14:paraId="195F7104" w14:textId="77777777" w:rsidR="00FB0744" w:rsidRPr="00FB0744" w:rsidRDefault="00FB0744" w:rsidP="00FB0744">
            <w:pPr>
              <w:spacing w:before="0" w:after="0"/>
              <w:jc w:val="right"/>
              <w:rPr>
                <w:rFonts w:ascii="Arial" w:hAnsi="Arial"/>
                <w:sz w:val="16"/>
                <w:szCs w:val="16"/>
                <w:lang w:val="en-AU"/>
              </w:rPr>
            </w:pPr>
            <w:r w:rsidRPr="00FB0744">
              <w:rPr>
                <w:rFonts w:ascii="Arial" w:hAnsi="Arial"/>
                <w:sz w:val="16"/>
                <w:szCs w:val="16"/>
                <w:lang w:val="en-AU"/>
              </w:rPr>
              <w:t>QLD - Kennedy</w:t>
            </w:r>
          </w:p>
        </w:tc>
        <w:tc>
          <w:tcPr>
            <w:tcW w:w="1191" w:type="dxa"/>
            <w:tcBorders>
              <w:top w:val="nil"/>
              <w:left w:val="nil"/>
              <w:bottom w:val="nil"/>
              <w:right w:val="nil"/>
            </w:tcBorders>
            <w:shd w:val="clear" w:color="FFFFFF" w:fill="auto"/>
            <w:noWrap/>
            <w:vAlign w:val="center"/>
          </w:tcPr>
          <w:p w14:paraId="7D7F5F65" w14:textId="77777777" w:rsidR="00FB0744" w:rsidRPr="00FB0744" w:rsidRDefault="00FB0744" w:rsidP="00FB0744">
            <w:pPr>
              <w:spacing w:before="0" w:after="0"/>
              <w:jc w:val="right"/>
              <w:rPr>
                <w:rFonts w:ascii="Arial" w:hAnsi="Arial"/>
                <w:sz w:val="16"/>
                <w:szCs w:val="16"/>
                <w:lang w:val="en-AU"/>
              </w:rPr>
            </w:pPr>
          </w:p>
        </w:tc>
        <w:tc>
          <w:tcPr>
            <w:tcW w:w="1413" w:type="dxa"/>
            <w:tcBorders>
              <w:top w:val="nil"/>
              <w:left w:val="nil"/>
              <w:bottom w:val="nil"/>
              <w:right w:val="nil"/>
            </w:tcBorders>
            <w:shd w:val="clear" w:color="FFFFFF" w:fill="auto"/>
            <w:noWrap/>
            <w:vAlign w:val="bottom"/>
          </w:tcPr>
          <w:p w14:paraId="1A7BA7B2"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18.3</w:t>
            </w:r>
          </w:p>
        </w:tc>
        <w:tc>
          <w:tcPr>
            <w:tcW w:w="1195" w:type="dxa"/>
            <w:tcBorders>
              <w:top w:val="nil"/>
              <w:left w:val="nil"/>
              <w:bottom w:val="nil"/>
              <w:right w:val="nil"/>
            </w:tcBorders>
            <w:shd w:val="clear" w:color="FFFFFF" w:fill="auto"/>
            <w:noWrap/>
            <w:vAlign w:val="bottom"/>
          </w:tcPr>
          <w:p w14:paraId="14DD10D6"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3.4</w:t>
            </w:r>
          </w:p>
        </w:tc>
      </w:tr>
      <w:tr w:rsidR="00FB0744" w:rsidRPr="00FB0744" w14:paraId="6BCA60E2" w14:textId="77777777" w:rsidTr="00F600B5">
        <w:trPr>
          <w:trHeight w:val="227"/>
        </w:trPr>
        <w:tc>
          <w:tcPr>
            <w:tcW w:w="3085" w:type="dxa"/>
            <w:tcBorders>
              <w:top w:val="nil"/>
              <w:left w:val="nil"/>
              <w:bottom w:val="nil"/>
              <w:right w:val="nil"/>
            </w:tcBorders>
            <w:shd w:val="clear" w:color="FFFFFF" w:fill="auto"/>
            <w:vAlign w:val="center"/>
          </w:tcPr>
          <w:p w14:paraId="295F4FD5" w14:textId="77777777" w:rsidR="00FB0744" w:rsidRPr="00FB0744" w:rsidRDefault="00FB0744" w:rsidP="00FB0744">
            <w:pPr>
              <w:spacing w:before="0" w:after="0"/>
              <w:ind w:left="113"/>
              <w:rPr>
                <w:rFonts w:ascii="Arial" w:hAnsi="Arial"/>
                <w:sz w:val="16"/>
                <w:szCs w:val="16"/>
                <w:lang w:val="en-AU"/>
              </w:rPr>
            </w:pPr>
            <w:r w:rsidRPr="00FB0744">
              <w:rPr>
                <w:rFonts w:ascii="Arial" w:hAnsi="Arial"/>
                <w:sz w:val="16"/>
                <w:szCs w:val="16"/>
                <w:lang w:val="en-AU"/>
              </w:rPr>
              <w:t>Exmouth</w:t>
            </w:r>
          </w:p>
        </w:tc>
        <w:tc>
          <w:tcPr>
            <w:tcW w:w="1790" w:type="dxa"/>
            <w:tcBorders>
              <w:top w:val="nil"/>
              <w:left w:val="nil"/>
              <w:bottom w:val="nil"/>
              <w:right w:val="nil"/>
            </w:tcBorders>
            <w:shd w:val="clear" w:color="FFFFFF" w:fill="auto"/>
            <w:vAlign w:val="center"/>
          </w:tcPr>
          <w:p w14:paraId="488662CA" w14:textId="77777777" w:rsidR="00FB0744" w:rsidRPr="00FB0744" w:rsidRDefault="00FB0744" w:rsidP="00FB0744">
            <w:pPr>
              <w:spacing w:before="0" w:after="0"/>
              <w:jc w:val="right"/>
              <w:rPr>
                <w:rFonts w:ascii="Arial" w:hAnsi="Arial"/>
                <w:sz w:val="16"/>
                <w:szCs w:val="16"/>
                <w:lang w:val="en-AU"/>
              </w:rPr>
            </w:pPr>
            <w:r w:rsidRPr="00FB0744">
              <w:rPr>
                <w:rFonts w:ascii="Arial" w:hAnsi="Arial"/>
                <w:sz w:val="16"/>
                <w:szCs w:val="16"/>
                <w:lang w:val="en-AU"/>
              </w:rPr>
              <w:t>WA - Durack</w:t>
            </w:r>
          </w:p>
        </w:tc>
        <w:tc>
          <w:tcPr>
            <w:tcW w:w="1191" w:type="dxa"/>
            <w:tcBorders>
              <w:top w:val="nil"/>
              <w:left w:val="nil"/>
              <w:bottom w:val="nil"/>
              <w:right w:val="nil"/>
            </w:tcBorders>
            <w:shd w:val="clear" w:color="FFFFFF" w:fill="auto"/>
            <w:noWrap/>
            <w:vAlign w:val="center"/>
          </w:tcPr>
          <w:p w14:paraId="6688B300" w14:textId="77777777" w:rsidR="00FB0744" w:rsidRPr="00FB0744" w:rsidRDefault="00FB0744" w:rsidP="00FB0744">
            <w:pPr>
              <w:spacing w:before="0" w:after="0"/>
              <w:jc w:val="right"/>
              <w:rPr>
                <w:rFonts w:ascii="Arial" w:hAnsi="Arial"/>
                <w:sz w:val="16"/>
                <w:szCs w:val="16"/>
                <w:lang w:val="en-AU"/>
              </w:rPr>
            </w:pPr>
          </w:p>
        </w:tc>
        <w:tc>
          <w:tcPr>
            <w:tcW w:w="1413" w:type="dxa"/>
            <w:tcBorders>
              <w:top w:val="nil"/>
              <w:left w:val="nil"/>
              <w:bottom w:val="nil"/>
              <w:right w:val="nil"/>
            </w:tcBorders>
            <w:shd w:val="clear" w:color="FFFFFF" w:fill="auto"/>
            <w:noWrap/>
            <w:vAlign w:val="bottom"/>
          </w:tcPr>
          <w:p w14:paraId="2547FC1D"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8.8</w:t>
            </w:r>
          </w:p>
        </w:tc>
        <w:tc>
          <w:tcPr>
            <w:tcW w:w="1195" w:type="dxa"/>
            <w:tcBorders>
              <w:top w:val="nil"/>
              <w:left w:val="nil"/>
              <w:bottom w:val="nil"/>
              <w:right w:val="nil"/>
            </w:tcBorders>
            <w:shd w:val="clear" w:color="FFFFFF" w:fill="auto"/>
            <w:noWrap/>
            <w:vAlign w:val="bottom"/>
          </w:tcPr>
          <w:p w14:paraId="559FBAB4"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3.3</w:t>
            </w:r>
          </w:p>
        </w:tc>
      </w:tr>
      <w:tr w:rsidR="00FB0744" w:rsidRPr="00FB0744" w14:paraId="5DCA520C" w14:textId="77777777" w:rsidTr="00F600B5">
        <w:trPr>
          <w:trHeight w:val="227"/>
        </w:trPr>
        <w:tc>
          <w:tcPr>
            <w:tcW w:w="3085" w:type="dxa"/>
            <w:tcBorders>
              <w:top w:val="nil"/>
              <w:left w:val="nil"/>
              <w:bottom w:val="nil"/>
              <w:right w:val="nil"/>
            </w:tcBorders>
            <w:shd w:val="clear" w:color="FFFFFF" w:fill="auto"/>
            <w:vAlign w:val="center"/>
          </w:tcPr>
          <w:p w14:paraId="4DF3A19B" w14:textId="77777777" w:rsidR="00FB0744" w:rsidRPr="00FB0744" w:rsidRDefault="00FB0744" w:rsidP="00FB0744">
            <w:pPr>
              <w:spacing w:before="0" w:after="0"/>
              <w:ind w:left="113"/>
              <w:rPr>
                <w:rFonts w:ascii="Arial" w:hAnsi="Arial"/>
                <w:b/>
                <w:bCs/>
                <w:sz w:val="16"/>
                <w:szCs w:val="16"/>
                <w:lang w:val="en-AU"/>
              </w:rPr>
            </w:pPr>
            <w:r w:rsidRPr="00FB0744">
              <w:rPr>
                <w:rFonts w:ascii="Arial" w:hAnsi="Arial"/>
                <w:sz w:val="16"/>
                <w:szCs w:val="16"/>
                <w:lang w:val="en-AU"/>
              </w:rPr>
              <w:t>Rough Range</w:t>
            </w:r>
          </w:p>
        </w:tc>
        <w:tc>
          <w:tcPr>
            <w:tcW w:w="1790" w:type="dxa"/>
            <w:tcBorders>
              <w:top w:val="nil"/>
              <w:left w:val="nil"/>
              <w:bottom w:val="nil"/>
              <w:right w:val="nil"/>
            </w:tcBorders>
            <w:shd w:val="clear" w:color="FFFFFF" w:fill="auto"/>
            <w:vAlign w:val="center"/>
          </w:tcPr>
          <w:p w14:paraId="168B998B" w14:textId="77777777" w:rsidR="00FB0744" w:rsidRPr="00FB0744" w:rsidRDefault="00FB0744" w:rsidP="00FB0744">
            <w:pPr>
              <w:spacing w:before="0" w:after="0"/>
              <w:jc w:val="right"/>
              <w:rPr>
                <w:rFonts w:ascii="Arial" w:hAnsi="Arial"/>
                <w:sz w:val="16"/>
                <w:szCs w:val="16"/>
                <w:lang w:val="en-AU"/>
              </w:rPr>
            </w:pPr>
            <w:r w:rsidRPr="00FB0744">
              <w:rPr>
                <w:rFonts w:ascii="Arial" w:hAnsi="Arial"/>
                <w:sz w:val="16"/>
                <w:szCs w:val="16"/>
                <w:lang w:val="en-AU"/>
              </w:rPr>
              <w:t>WA - Durack</w:t>
            </w:r>
          </w:p>
        </w:tc>
        <w:tc>
          <w:tcPr>
            <w:tcW w:w="1191" w:type="dxa"/>
            <w:tcBorders>
              <w:top w:val="nil"/>
              <w:left w:val="nil"/>
              <w:bottom w:val="nil"/>
              <w:right w:val="nil"/>
            </w:tcBorders>
            <w:shd w:val="clear" w:color="FFFFFF" w:fill="auto"/>
            <w:noWrap/>
            <w:vAlign w:val="center"/>
          </w:tcPr>
          <w:p w14:paraId="048E21FF" w14:textId="77777777" w:rsidR="00FB0744" w:rsidRPr="00FB0744" w:rsidRDefault="00FB0744" w:rsidP="00FB0744">
            <w:pPr>
              <w:spacing w:before="0" w:after="0"/>
              <w:jc w:val="right"/>
              <w:rPr>
                <w:rFonts w:ascii="Arial" w:hAnsi="Arial"/>
                <w:sz w:val="16"/>
                <w:szCs w:val="16"/>
                <w:lang w:val="en-AU"/>
              </w:rPr>
            </w:pPr>
          </w:p>
        </w:tc>
        <w:tc>
          <w:tcPr>
            <w:tcW w:w="1413" w:type="dxa"/>
            <w:tcBorders>
              <w:top w:val="nil"/>
              <w:left w:val="nil"/>
              <w:bottom w:val="nil"/>
              <w:right w:val="nil"/>
            </w:tcBorders>
            <w:shd w:val="clear" w:color="FFFFFF" w:fill="auto"/>
            <w:noWrap/>
            <w:vAlign w:val="bottom"/>
          </w:tcPr>
          <w:p w14:paraId="5BBAE576"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8.8</w:t>
            </w:r>
          </w:p>
        </w:tc>
        <w:tc>
          <w:tcPr>
            <w:tcW w:w="1195" w:type="dxa"/>
            <w:tcBorders>
              <w:top w:val="nil"/>
              <w:left w:val="nil"/>
              <w:bottom w:val="nil"/>
              <w:right w:val="nil"/>
            </w:tcBorders>
            <w:shd w:val="clear" w:color="FFFFFF" w:fill="auto"/>
            <w:noWrap/>
            <w:vAlign w:val="bottom"/>
          </w:tcPr>
          <w:p w14:paraId="2C01D80E"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3.3</w:t>
            </w:r>
          </w:p>
        </w:tc>
      </w:tr>
      <w:tr w:rsidR="00FB0744" w:rsidRPr="00FB0744" w14:paraId="15AFD61D" w14:textId="77777777" w:rsidTr="00F600B5">
        <w:trPr>
          <w:trHeight w:val="227"/>
        </w:trPr>
        <w:tc>
          <w:tcPr>
            <w:tcW w:w="3085" w:type="dxa"/>
            <w:tcBorders>
              <w:top w:val="nil"/>
              <w:left w:val="nil"/>
              <w:bottom w:val="nil"/>
              <w:right w:val="nil"/>
            </w:tcBorders>
            <w:shd w:val="clear" w:color="FFFFFF" w:fill="auto"/>
            <w:vAlign w:val="center"/>
          </w:tcPr>
          <w:p w14:paraId="35BA82B5" w14:textId="77777777" w:rsidR="00FB0744" w:rsidRPr="00FB0744" w:rsidRDefault="00FB0744" w:rsidP="00FB0744">
            <w:pPr>
              <w:spacing w:before="0" w:after="0"/>
              <w:ind w:left="113"/>
              <w:rPr>
                <w:rFonts w:ascii="Arial" w:hAnsi="Arial"/>
                <w:b/>
                <w:bCs/>
                <w:sz w:val="16"/>
                <w:szCs w:val="16"/>
                <w:lang w:val="en-AU"/>
              </w:rPr>
            </w:pPr>
            <w:r w:rsidRPr="00FB0744">
              <w:rPr>
                <w:rFonts w:ascii="Arial" w:hAnsi="Arial"/>
                <w:sz w:val="16"/>
                <w:szCs w:val="16"/>
                <w:lang w:val="en-AU"/>
              </w:rPr>
              <w:t xml:space="preserve">HMAS </w:t>
            </w:r>
            <w:r w:rsidRPr="00FB0744">
              <w:rPr>
                <w:rFonts w:ascii="Arial" w:hAnsi="Arial"/>
                <w:i/>
                <w:sz w:val="16"/>
                <w:szCs w:val="16"/>
                <w:lang w:val="en-AU"/>
              </w:rPr>
              <w:t>Harman</w:t>
            </w:r>
          </w:p>
        </w:tc>
        <w:tc>
          <w:tcPr>
            <w:tcW w:w="1790" w:type="dxa"/>
            <w:tcBorders>
              <w:top w:val="nil"/>
              <w:left w:val="nil"/>
              <w:bottom w:val="nil"/>
              <w:right w:val="nil"/>
            </w:tcBorders>
            <w:shd w:val="clear" w:color="FFFFFF" w:fill="auto"/>
            <w:vAlign w:val="center"/>
          </w:tcPr>
          <w:p w14:paraId="4F352641" w14:textId="77777777" w:rsidR="00FB0744" w:rsidRPr="00FB0744" w:rsidRDefault="00FB0744" w:rsidP="00FB0744">
            <w:pPr>
              <w:spacing w:before="0" w:after="0"/>
              <w:jc w:val="right"/>
              <w:rPr>
                <w:rFonts w:ascii="Arial" w:hAnsi="Arial"/>
                <w:sz w:val="16"/>
                <w:szCs w:val="16"/>
                <w:lang w:val="en-AU"/>
              </w:rPr>
            </w:pPr>
            <w:r w:rsidRPr="00FB0744">
              <w:rPr>
                <w:rFonts w:ascii="Arial" w:hAnsi="Arial"/>
                <w:sz w:val="16"/>
                <w:szCs w:val="16"/>
                <w:lang w:val="en-AU"/>
              </w:rPr>
              <w:t>ACT - Bean</w:t>
            </w:r>
          </w:p>
        </w:tc>
        <w:tc>
          <w:tcPr>
            <w:tcW w:w="1191" w:type="dxa"/>
            <w:tcBorders>
              <w:top w:val="nil"/>
              <w:left w:val="nil"/>
              <w:bottom w:val="nil"/>
              <w:right w:val="nil"/>
            </w:tcBorders>
            <w:shd w:val="clear" w:color="FFFFFF" w:fill="auto"/>
            <w:noWrap/>
            <w:vAlign w:val="center"/>
          </w:tcPr>
          <w:p w14:paraId="450976E9" w14:textId="77777777" w:rsidR="00FB0744" w:rsidRPr="00FB0744" w:rsidRDefault="00FB0744" w:rsidP="00FB0744">
            <w:pPr>
              <w:spacing w:before="0" w:after="0"/>
              <w:jc w:val="right"/>
              <w:rPr>
                <w:rFonts w:ascii="Arial" w:hAnsi="Arial"/>
                <w:sz w:val="16"/>
                <w:szCs w:val="16"/>
                <w:lang w:val="en-AU"/>
              </w:rPr>
            </w:pPr>
          </w:p>
        </w:tc>
        <w:tc>
          <w:tcPr>
            <w:tcW w:w="1413" w:type="dxa"/>
            <w:tcBorders>
              <w:top w:val="nil"/>
              <w:left w:val="nil"/>
              <w:bottom w:val="nil"/>
              <w:right w:val="nil"/>
            </w:tcBorders>
            <w:shd w:val="clear" w:color="FFFFFF" w:fill="auto"/>
            <w:noWrap/>
            <w:vAlign w:val="bottom"/>
          </w:tcPr>
          <w:p w14:paraId="1723A6AF"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0.0</w:t>
            </w:r>
          </w:p>
        </w:tc>
        <w:tc>
          <w:tcPr>
            <w:tcW w:w="1195" w:type="dxa"/>
            <w:tcBorders>
              <w:top w:val="nil"/>
              <w:left w:val="nil"/>
              <w:bottom w:val="nil"/>
              <w:right w:val="nil"/>
            </w:tcBorders>
            <w:shd w:val="clear" w:color="FFFFFF" w:fill="auto"/>
            <w:noWrap/>
            <w:vAlign w:val="bottom"/>
          </w:tcPr>
          <w:p w14:paraId="4DBE397A"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0.0</w:t>
            </w:r>
          </w:p>
        </w:tc>
      </w:tr>
      <w:tr w:rsidR="00FB0744" w:rsidRPr="00BA1388" w14:paraId="3E87ACDE" w14:textId="77777777" w:rsidTr="00F600B5">
        <w:trPr>
          <w:trHeight w:val="227"/>
        </w:trPr>
        <w:tc>
          <w:tcPr>
            <w:tcW w:w="3085" w:type="dxa"/>
            <w:tcBorders>
              <w:top w:val="nil"/>
              <w:left w:val="nil"/>
              <w:bottom w:val="nil"/>
              <w:right w:val="nil"/>
            </w:tcBorders>
            <w:shd w:val="clear" w:color="FFFFFF" w:fill="auto"/>
            <w:vAlign w:val="center"/>
          </w:tcPr>
          <w:p w14:paraId="15B5D361" w14:textId="77777777" w:rsidR="00FB0744" w:rsidRPr="00FB0744" w:rsidRDefault="00FB0744" w:rsidP="00FB0744">
            <w:pPr>
              <w:spacing w:before="0" w:after="0"/>
              <w:ind w:left="113"/>
              <w:rPr>
                <w:rFonts w:ascii="Arial" w:hAnsi="Arial"/>
                <w:b/>
                <w:bCs/>
                <w:sz w:val="16"/>
                <w:szCs w:val="16"/>
                <w:lang w:val="en-AU"/>
              </w:rPr>
            </w:pPr>
            <w:r w:rsidRPr="00FB0744">
              <w:rPr>
                <w:rFonts w:ascii="Arial" w:hAnsi="Arial"/>
                <w:sz w:val="16"/>
                <w:szCs w:val="16"/>
                <w:lang w:val="en-AU"/>
              </w:rPr>
              <w:t>Russell Offices</w:t>
            </w:r>
          </w:p>
        </w:tc>
        <w:tc>
          <w:tcPr>
            <w:tcW w:w="1790" w:type="dxa"/>
            <w:tcBorders>
              <w:top w:val="nil"/>
              <w:left w:val="nil"/>
              <w:bottom w:val="nil"/>
              <w:right w:val="nil"/>
            </w:tcBorders>
            <w:shd w:val="clear" w:color="FFFFFF" w:fill="auto"/>
            <w:vAlign w:val="center"/>
          </w:tcPr>
          <w:p w14:paraId="7B7AF698" w14:textId="77777777" w:rsidR="00FB0744" w:rsidRPr="00FB0744" w:rsidRDefault="00FB0744" w:rsidP="00FB0744">
            <w:pPr>
              <w:spacing w:before="0" w:after="0"/>
              <w:jc w:val="right"/>
              <w:rPr>
                <w:rFonts w:ascii="Arial" w:hAnsi="Arial"/>
                <w:sz w:val="16"/>
                <w:szCs w:val="16"/>
                <w:lang w:val="en-AU"/>
              </w:rPr>
            </w:pPr>
            <w:r w:rsidRPr="00FB0744">
              <w:rPr>
                <w:rFonts w:ascii="Arial" w:hAnsi="Arial"/>
                <w:sz w:val="16"/>
                <w:szCs w:val="16"/>
                <w:lang w:val="en-AU"/>
              </w:rPr>
              <w:t>ACT - Canberra</w:t>
            </w:r>
          </w:p>
        </w:tc>
        <w:tc>
          <w:tcPr>
            <w:tcW w:w="1191" w:type="dxa"/>
            <w:tcBorders>
              <w:top w:val="nil"/>
              <w:left w:val="nil"/>
              <w:bottom w:val="nil"/>
              <w:right w:val="nil"/>
            </w:tcBorders>
            <w:shd w:val="clear" w:color="FFFFFF" w:fill="auto"/>
            <w:noWrap/>
            <w:vAlign w:val="center"/>
          </w:tcPr>
          <w:p w14:paraId="37531490" w14:textId="77777777" w:rsidR="00FB0744" w:rsidRPr="00FB0744" w:rsidRDefault="00FB0744" w:rsidP="00FB0744">
            <w:pPr>
              <w:spacing w:before="0" w:after="0"/>
              <w:jc w:val="right"/>
              <w:rPr>
                <w:rFonts w:ascii="Arial" w:hAnsi="Arial"/>
                <w:sz w:val="16"/>
                <w:szCs w:val="16"/>
                <w:lang w:val="en-AU"/>
              </w:rPr>
            </w:pPr>
          </w:p>
        </w:tc>
        <w:tc>
          <w:tcPr>
            <w:tcW w:w="1413" w:type="dxa"/>
            <w:tcBorders>
              <w:top w:val="nil"/>
              <w:left w:val="nil"/>
              <w:bottom w:val="nil"/>
              <w:right w:val="nil"/>
            </w:tcBorders>
            <w:shd w:val="clear" w:color="FFFFFF" w:fill="auto"/>
            <w:noWrap/>
            <w:vAlign w:val="bottom"/>
          </w:tcPr>
          <w:p w14:paraId="0948AF28"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0.0</w:t>
            </w:r>
          </w:p>
        </w:tc>
        <w:tc>
          <w:tcPr>
            <w:tcW w:w="1195" w:type="dxa"/>
            <w:tcBorders>
              <w:top w:val="nil"/>
              <w:left w:val="nil"/>
              <w:bottom w:val="nil"/>
              <w:right w:val="nil"/>
            </w:tcBorders>
            <w:shd w:val="clear" w:color="FFFFFF" w:fill="auto"/>
            <w:noWrap/>
            <w:vAlign w:val="bottom"/>
          </w:tcPr>
          <w:p w14:paraId="44745903"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0.0</w:t>
            </w:r>
          </w:p>
        </w:tc>
      </w:tr>
      <w:tr w:rsidR="00FB0744" w:rsidRPr="00BA1388" w14:paraId="66B18921" w14:textId="77777777" w:rsidTr="00F600B5">
        <w:trPr>
          <w:trHeight w:val="227"/>
        </w:trPr>
        <w:tc>
          <w:tcPr>
            <w:tcW w:w="3085" w:type="dxa"/>
            <w:tcBorders>
              <w:top w:val="nil"/>
              <w:left w:val="nil"/>
              <w:bottom w:val="nil"/>
              <w:right w:val="nil"/>
            </w:tcBorders>
            <w:shd w:val="clear" w:color="FFFFFF" w:fill="auto"/>
            <w:vAlign w:val="bottom"/>
          </w:tcPr>
          <w:p w14:paraId="75FFA640" w14:textId="77777777" w:rsidR="00FB0744" w:rsidRPr="008659FE" w:rsidRDefault="00FB0744" w:rsidP="008F0E1D">
            <w:pPr>
              <w:spacing w:before="0" w:after="0"/>
              <w:ind w:left="113"/>
              <w:rPr>
                <w:rFonts w:ascii="Arial" w:hAnsi="Arial"/>
                <w:sz w:val="16"/>
                <w:szCs w:val="16"/>
                <w:lang w:val="en-AU"/>
              </w:rPr>
            </w:pPr>
            <w:r w:rsidRPr="008F0E1D">
              <w:rPr>
                <w:rFonts w:ascii="Arial" w:hAnsi="Arial"/>
                <w:sz w:val="16"/>
                <w:szCs w:val="16"/>
                <w:lang w:val="en-AU"/>
              </w:rPr>
              <w:t>RAAF Darwin</w:t>
            </w:r>
          </w:p>
        </w:tc>
        <w:tc>
          <w:tcPr>
            <w:tcW w:w="1790" w:type="dxa"/>
            <w:tcBorders>
              <w:top w:val="nil"/>
              <w:left w:val="nil"/>
              <w:bottom w:val="nil"/>
              <w:right w:val="nil"/>
            </w:tcBorders>
            <w:shd w:val="clear" w:color="FFFFFF" w:fill="auto"/>
            <w:vAlign w:val="bottom"/>
          </w:tcPr>
          <w:p w14:paraId="6B99CAC7" w14:textId="77777777" w:rsidR="00FB0744" w:rsidRPr="008659FE" w:rsidRDefault="00FB0744" w:rsidP="00FB0744">
            <w:pPr>
              <w:spacing w:before="0" w:after="0" w:line="276" w:lineRule="auto"/>
              <w:jc w:val="right"/>
              <w:rPr>
                <w:rFonts w:ascii="Arial" w:hAnsi="Arial"/>
                <w:sz w:val="16"/>
                <w:szCs w:val="16"/>
                <w:lang w:val="en-AU"/>
              </w:rPr>
            </w:pPr>
            <w:r w:rsidRPr="008659FE">
              <w:rPr>
                <w:rFonts w:ascii="Arial" w:hAnsi="Arial"/>
                <w:sz w:val="16"/>
                <w:szCs w:val="16"/>
                <w:lang w:val="en-AU"/>
              </w:rPr>
              <w:t>NT - Solomon</w:t>
            </w:r>
          </w:p>
        </w:tc>
        <w:tc>
          <w:tcPr>
            <w:tcW w:w="1191" w:type="dxa"/>
            <w:tcBorders>
              <w:top w:val="nil"/>
              <w:left w:val="nil"/>
              <w:bottom w:val="nil"/>
              <w:right w:val="nil"/>
            </w:tcBorders>
            <w:shd w:val="clear" w:color="FFFFFF" w:fill="auto"/>
            <w:noWrap/>
            <w:vAlign w:val="center"/>
          </w:tcPr>
          <w:p w14:paraId="060512EE" w14:textId="77777777" w:rsidR="00FB0744" w:rsidRPr="00FB0744" w:rsidRDefault="00FB0744" w:rsidP="00FB0744">
            <w:pPr>
              <w:spacing w:before="0" w:after="0"/>
              <w:jc w:val="right"/>
              <w:rPr>
                <w:rFonts w:ascii="Arial" w:hAnsi="Arial"/>
                <w:sz w:val="16"/>
                <w:szCs w:val="16"/>
                <w:lang w:val="en-AU"/>
              </w:rPr>
            </w:pPr>
          </w:p>
        </w:tc>
        <w:tc>
          <w:tcPr>
            <w:tcW w:w="1413" w:type="dxa"/>
            <w:tcBorders>
              <w:top w:val="nil"/>
              <w:left w:val="nil"/>
              <w:bottom w:val="nil"/>
              <w:right w:val="nil"/>
            </w:tcBorders>
            <w:shd w:val="clear" w:color="FFFFFF" w:fill="auto"/>
            <w:noWrap/>
            <w:vAlign w:val="bottom"/>
          </w:tcPr>
          <w:p w14:paraId="0BB3F7D3"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0.0</w:t>
            </w:r>
          </w:p>
        </w:tc>
        <w:tc>
          <w:tcPr>
            <w:tcW w:w="1195" w:type="dxa"/>
            <w:tcBorders>
              <w:top w:val="nil"/>
              <w:left w:val="nil"/>
              <w:bottom w:val="nil"/>
              <w:right w:val="nil"/>
            </w:tcBorders>
            <w:shd w:val="clear" w:color="FFFFFF" w:fill="auto"/>
            <w:noWrap/>
            <w:vAlign w:val="bottom"/>
          </w:tcPr>
          <w:p w14:paraId="12371872" w14:textId="77777777" w:rsidR="00FB0744" w:rsidRPr="009E4B9D" w:rsidRDefault="00FB0744" w:rsidP="00FB0744">
            <w:pPr>
              <w:spacing w:before="0" w:after="0" w:line="276" w:lineRule="auto"/>
              <w:jc w:val="right"/>
              <w:rPr>
                <w:rFonts w:ascii="Arial" w:hAnsi="Arial"/>
                <w:sz w:val="16"/>
                <w:szCs w:val="16"/>
                <w:lang w:eastAsia="en-US"/>
              </w:rPr>
            </w:pPr>
            <w:r w:rsidRPr="009E4B9D">
              <w:rPr>
                <w:rFonts w:ascii="Arial" w:hAnsi="Arial"/>
                <w:sz w:val="16"/>
                <w:szCs w:val="16"/>
                <w:lang w:eastAsia="en-US"/>
              </w:rPr>
              <w:t>0.0</w:t>
            </w:r>
          </w:p>
        </w:tc>
      </w:tr>
      <w:tr w:rsidR="00FB0744" w:rsidRPr="00BA1388" w14:paraId="75406F80" w14:textId="77777777" w:rsidTr="00F600B5">
        <w:trPr>
          <w:trHeight w:val="227"/>
        </w:trPr>
        <w:tc>
          <w:tcPr>
            <w:tcW w:w="3085" w:type="dxa"/>
            <w:tcBorders>
              <w:top w:val="nil"/>
              <w:left w:val="nil"/>
              <w:bottom w:val="single" w:sz="4" w:space="0" w:color="auto"/>
              <w:right w:val="nil"/>
            </w:tcBorders>
            <w:shd w:val="clear" w:color="FFFFFF" w:fill="auto"/>
            <w:vAlign w:val="center"/>
          </w:tcPr>
          <w:p w14:paraId="43E6AE46" w14:textId="77777777" w:rsidR="00FB0744" w:rsidRPr="00FB0744" w:rsidRDefault="00FB0744" w:rsidP="00FB0744">
            <w:pPr>
              <w:spacing w:before="0" w:after="0"/>
              <w:ind w:right="-57"/>
              <w:rPr>
                <w:rFonts w:ascii="Arial" w:hAnsi="Arial"/>
                <w:b/>
                <w:bCs/>
                <w:sz w:val="16"/>
                <w:szCs w:val="16"/>
                <w:lang w:val="en-AU"/>
              </w:rPr>
            </w:pPr>
            <w:r w:rsidRPr="00FB0744">
              <w:rPr>
                <w:rFonts w:ascii="Arial" w:hAnsi="Arial"/>
                <w:b/>
                <w:sz w:val="16"/>
                <w:szCs w:val="16"/>
                <w:lang w:val="en-AU"/>
              </w:rPr>
              <w:t>Total</w:t>
            </w:r>
          </w:p>
        </w:tc>
        <w:tc>
          <w:tcPr>
            <w:tcW w:w="1790" w:type="dxa"/>
            <w:tcBorders>
              <w:top w:val="nil"/>
              <w:left w:val="nil"/>
              <w:bottom w:val="single" w:sz="4" w:space="0" w:color="auto"/>
              <w:right w:val="nil"/>
            </w:tcBorders>
            <w:shd w:val="clear" w:color="FFFFFF" w:fill="auto"/>
            <w:vAlign w:val="center"/>
          </w:tcPr>
          <w:p w14:paraId="03B893DE" w14:textId="77777777" w:rsidR="00FB0744" w:rsidRPr="00FB0744" w:rsidRDefault="00FB0744" w:rsidP="00FB0744">
            <w:pPr>
              <w:spacing w:before="0" w:after="0"/>
              <w:jc w:val="right"/>
              <w:rPr>
                <w:rFonts w:ascii="Arial" w:hAnsi="Arial"/>
                <w:sz w:val="16"/>
                <w:szCs w:val="16"/>
                <w:lang w:val="en-AU"/>
              </w:rPr>
            </w:pPr>
          </w:p>
        </w:tc>
        <w:tc>
          <w:tcPr>
            <w:tcW w:w="1191" w:type="dxa"/>
            <w:tcBorders>
              <w:top w:val="nil"/>
              <w:left w:val="nil"/>
              <w:bottom w:val="single" w:sz="4" w:space="0" w:color="auto"/>
              <w:right w:val="nil"/>
            </w:tcBorders>
            <w:shd w:val="clear" w:color="FFFFFF" w:fill="auto"/>
            <w:noWrap/>
            <w:vAlign w:val="center"/>
          </w:tcPr>
          <w:p w14:paraId="5B0D565B" w14:textId="77777777" w:rsidR="00FB0744" w:rsidRPr="00FB0744" w:rsidRDefault="00FB0744" w:rsidP="00FB0744">
            <w:pPr>
              <w:spacing w:before="0" w:after="0"/>
              <w:jc w:val="right"/>
              <w:rPr>
                <w:rFonts w:ascii="Arial" w:hAnsi="Arial"/>
                <w:sz w:val="16"/>
                <w:szCs w:val="16"/>
                <w:lang w:val="en-AU"/>
              </w:rPr>
            </w:pPr>
            <w:r w:rsidRPr="00FB0744">
              <w:rPr>
                <w:rFonts w:ascii="Arial" w:hAnsi="Arial"/>
                <w:b/>
                <w:sz w:val="16"/>
                <w:szCs w:val="16"/>
                <w:lang w:val="en-AU"/>
              </w:rPr>
              <w:t>280.3</w:t>
            </w:r>
          </w:p>
        </w:tc>
        <w:tc>
          <w:tcPr>
            <w:tcW w:w="1413" w:type="dxa"/>
            <w:tcBorders>
              <w:top w:val="nil"/>
              <w:left w:val="nil"/>
              <w:bottom w:val="single" w:sz="4" w:space="0" w:color="auto"/>
              <w:right w:val="nil"/>
            </w:tcBorders>
            <w:shd w:val="clear" w:color="FFFFFF" w:fill="auto"/>
            <w:noWrap/>
            <w:vAlign w:val="bottom"/>
          </w:tcPr>
          <w:p w14:paraId="29B6CF6E" w14:textId="77777777" w:rsidR="00FB0744" w:rsidRPr="009E4B9D" w:rsidRDefault="00FB0744" w:rsidP="00FB0744">
            <w:pPr>
              <w:spacing w:before="0" w:after="0" w:line="276" w:lineRule="auto"/>
              <w:jc w:val="right"/>
              <w:rPr>
                <w:rFonts w:ascii="Arial" w:hAnsi="Arial"/>
                <w:b/>
                <w:sz w:val="16"/>
                <w:szCs w:val="16"/>
                <w:lang w:eastAsia="en-US"/>
              </w:rPr>
            </w:pPr>
            <w:r w:rsidRPr="009E4B9D">
              <w:rPr>
                <w:rFonts w:ascii="Arial" w:hAnsi="Arial"/>
                <w:b/>
                <w:sz w:val="16"/>
                <w:szCs w:val="16"/>
                <w:lang w:eastAsia="en-US"/>
              </w:rPr>
              <w:t>117.7</w:t>
            </w:r>
          </w:p>
        </w:tc>
        <w:tc>
          <w:tcPr>
            <w:tcW w:w="1195" w:type="dxa"/>
            <w:tcBorders>
              <w:top w:val="nil"/>
              <w:left w:val="nil"/>
              <w:bottom w:val="single" w:sz="4" w:space="0" w:color="auto"/>
              <w:right w:val="nil"/>
            </w:tcBorders>
            <w:shd w:val="clear" w:color="FFFFFF" w:fill="auto"/>
            <w:noWrap/>
            <w:vAlign w:val="bottom"/>
          </w:tcPr>
          <w:p w14:paraId="654077CA" w14:textId="77777777" w:rsidR="00FB0744" w:rsidRPr="009E4B9D" w:rsidRDefault="00FB0744" w:rsidP="00FB0744">
            <w:pPr>
              <w:spacing w:before="0" w:after="0" w:line="276" w:lineRule="auto"/>
              <w:jc w:val="right"/>
              <w:rPr>
                <w:rFonts w:ascii="Arial" w:hAnsi="Arial"/>
                <w:b/>
                <w:sz w:val="16"/>
                <w:szCs w:val="16"/>
                <w:lang w:eastAsia="en-US"/>
              </w:rPr>
            </w:pPr>
            <w:r w:rsidRPr="009E4B9D">
              <w:rPr>
                <w:rFonts w:ascii="Arial" w:hAnsi="Arial"/>
                <w:b/>
                <w:sz w:val="16"/>
                <w:szCs w:val="16"/>
                <w:lang w:eastAsia="en-US"/>
              </w:rPr>
              <w:t>56.5</w:t>
            </w:r>
          </w:p>
        </w:tc>
      </w:tr>
      <w:tr w:rsidR="00FB0744" w:rsidRPr="00BA1388" w14:paraId="4C4E026A" w14:textId="77777777" w:rsidTr="006868B3">
        <w:trPr>
          <w:trHeight w:val="227"/>
        </w:trPr>
        <w:tc>
          <w:tcPr>
            <w:tcW w:w="3085" w:type="dxa"/>
            <w:tcBorders>
              <w:top w:val="single" w:sz="4" w:space="0" w:color="auto"/>
              <w:left w:val="nil"/>
              <w:bottom w:val="nil"/>
              <w:right w:val="nil"/>
            </w:tcBorders>
            <w:shd w:val="clear" w:color="FFFFFF" w:fill="auto"/>
            <w:vAlign w:val="center"/>
          </w:tcPr>
          <w:p w14:paraId="440269A7" w14:textId="77777777" w:rsidR="00FB0744" w:rsidRPr="00D547AD" w:rsidRDefault="00FB0744" w:rsidP="00FB0744">
            <w:pPr>
              <w:spacing w:before="0" w:after="0"/>
              <w:ind w:right="-57"/>
              <w:rPr>
                <w:rFonts w:ascii="Arial" w:hAnsi="Arial"/>
                <w:sz w:val="16"/>
                <w:szCs w:val="16"/>
                <w:lang w:val="en-AU"/>
              </w:rPr>
            </w:pPr>
            <w:r w:rsidRPr="00D547AD">
              <w:rPr>
                <w:rFonts w:ascii="Arial" w:hAnsi="Arial"/>
                <w:b/>
                <w:bCs/>
                <w:sz w:val="16"/>
                <w:szCs w:val="16"/>
                <w:lang w:val="en-AU"/>
              </w:rPr>
              <w:t xml:space="preserve">Facilities to Support LAND 19 </w:t>
            </w:r>
            <w:r w:rsidRPr="00D547AD">
              <w:rPr>
                <w:rFonts w:ascii="Arial" w:hAnsi="Arial"/>
                <w:b/>
                <w:bCs/>
                <w:sz w:val="16"/>
                <w:szCs w:val="16"/>
                <w:lang w:val="en-AU"/>
              </w:rPr>
              <w:br/>
              <w:t xml:space="preserve">Phase 7B Short Range Ground Based Air Defence </w:t>
            </w:r>
          </w:p>
        </w:tc>
        <w:tc>
          <w:tcPr>
            <w:tcW w:w="1790" w:type="dxa"/>
            <w:tcBorders>
              <w:top w:val="single" w:sz="4" w:space="0" w:color="auto"/>
              <w:left w:val="nil"/>
              <w:bottom w:val="nil"/>
              <w:right w:val="nil"/>
            </w:tcBorders>
            <w:shd w:val="clear" w:color="FFFFFF" w:fill="auto"/>
            <w:vAlign w:val="center"/>
          </w:tcPr>
          <w:p w14:paraId="2B9BF1BA" w14:textId="77777777" w:rsidR="00FB0744" w:rsidRPr="00D547AD" w:rsidRDefault="00FB0744" w:rsidP="00FB0744">
            <w:pPr>
              <w:spacing w:before="0" w:after="0"/>
              <w:jc w:val="right"/>
              <w:rPr>
                <w:rFonts w:ascii="Arial" w:hAnsi="Arial"/>
                <w:sz w:val="16"/>
                <w:szCs w:val="16"/>
                <w:lang w:val="en-AU"/>
              </w:rPr>
            </w:pPr>
          </w:p>
        </w:tc>
        <w:tc>
          <w:tcPr>
            <w:tcW w:w="1191" w:type="dxa"/>
            <w:tcBorders>
              <w:top w:val="single" w:sz="4" w:space="0" w:color="auto"/>
              <w:left w:val="nil"/>
              <w:bottom w:val="nil"/>
              <w:right w:val="nil"/>
            </w:tcBorders>
            <w:shd w:val="clear" w:color="FFFFFF" w:fill="auto"/>
            <w:noWrap/>
            <w:vAlign w:val="center"/>
          </w:tcPr>
          <w:p w14:paraId="1895400B" w14:textId="77777777" w:rsidR="00FB0744" w:rsidRPr="00D547AD" w:rsidRDefault="00FB0744" w:rsidP="00FB0744">
            <w:pPr>
              <w:spacing w:before="0" w:after="0"/>
              <w:jc w:val="right"/>
              <w:rPr>
                <w:rFonts w:ascii="Arial" w:hAnsi="Arial"/>
                <w:sz w:val="16"/>
                <w:szCs w:val="16"/>
                <w:lang w:val="en-AU"/>
              </w:rPr>
            </w:pPr>
          </w:p>
        </w:tc>
        <w:tc>
          <w:tcPr>
            <w:tcW w:w="1413" w:type="dxa"/>
            <w:tcBorders>
              <w:top w:val="single" w:sz="4" w:space="0" w:color="auto"/>
              <w:left w:val="nil"/>
              <w:bottom w:val="nil"/>
              <w:right w:val="nil"/>
            </w:tcBorders>
            <w:shd w:val="clear" w:color="FFFFFF" w:fill="auto"/>
            <w:noWrap/>
            <w:vAlign w:val="center"/>
          </w:tcPr>
          <w:p w14:paraId="30C6A6CF" w14:textId="77777777" w:rsidR="00FB0744" w:rsidRPr="00D547AD" w:rsidRDefault="00FB0744" w:rsidP="00FB0744">
            <w:pPr>
              <w:spacing w:before="0" w:after="0"/>
              <w:jc w:val="right"/>
              <w:rPr>
                <w:rFonts w:ascii="Arial" w:hAnsi="Arial"/>
                <w:sz w:val="16"/>
                <w:szCs w:val="16"/>
                <w:lang w:val="en-AU"/>
              </w:rPr>
            </w:pPr>
          </w:p>
        </w:tc>
        <w:tc>
          <w:tcPr>
            <w:tcW w:w="1195" w:type="dxa"/>
            <w:tcBorders>
              <w:top w:val="single" w:sz="4" w:space="0" w:color="auto"/>
              <w:left w:val="nil"/>
              <w:bottom w:val="nil"/>
              <w:right w:val="nil"/>
            </w:tcBorders>
            <w:shd w:val="clear" w:color="FFFFFF" w:fill="auto"/>
            <w:noWrap/>
            <w:vAlign w:val="center"/>
          </w:tcPr>
          <w:p w14:paraId="4FFA319C" w14:textId="77777777" w:rsidR="00FB0744" w:rsidRPr="00D547AD" w:rsidRDefault="00FB0744" w:rsidP="00FB0744">
            <w:pPr>
              <w:spacing w:before="0" w:after="0"/>
              <w:jc w:val="right"/>
              <w:rPr>
                <w:rFonts w:ascii="Arial" w:hAnsi="Arial"/>
                <w:sz w:val="16"/>
                <w:szCs w:val="16"/>
                <w:lang w:val="en-AU"/>
              </w:rPr>
            </w:pPr>
          </w:p>
        </w:tc>
      </w:tr>
      <w:tr w:rsidR="00FB0744" w:rsidRPr="00BA1388" w14:paraId="1F18298A" w14:textId="77777777" w:rsidTr="006868B3">
        <w:trPr>
          <w:trHeight w:val="227"/>
        </w:trPr>
        <w:tc>
          <w:tcPr>
            <w:tcW w:w="3085" w:type="dxa"/>
            <w:tcBorders>
              <w:top w:val="nil"/>
              <w:left w:val="nil"/>
              <w:bottom w:val="single" w:sz="4" w:space="0" w:color="auto"/>
              <w:right w:val="nil"/>
            </w:tcBorders>
            <w:shd w:val="clear" w:color="FFFFFF" w:fill="auto"/>
            <w:vAlign w:val="center"/>
          </w:tcPr>
          <w:p w14:paraId="67BF870E" w14:textId="77777777" w:rsidR="00FB0744" w:rsidRPr="00D547AD" w:rsidRDefault="00FB0744" w:rsidP="00FB0744">
            <w:pPr>
              <w:spacing w:before="0" w:after="0"/>
              <w:ind w:left="113"/>
              <w:rPr>
                <w:rFonts w:ascii="Arial" w:hAnsi="Arial"/>
                <w:sz w:val="16"/>
                <w:szCs w:val="16"/>
                <w:lang w:val="en-AU"/>
              </w:rPr>
            </w:pPr>
            <w:r w:rsidRPr="00D547AD">
              <w:rPr>
                <w:rFonts w:ascii="Arial" w:hAnsi="Arial"/>
                <w:sz w:val="16"/>
                <w:szCs w:val="16"/>
                <w:lang w:val="en-AU"/>
              </w:rPr>
              <w:t>RAAF Edinburgh</w:t>
            </w:r>
          </w:p>
        </w:tc>
        <w:tc>
          <w:tcPr>
            <w:tcW w:w="1790" w:type="dxa"/>
            <w:tcBorders>
              <w:top w:val="nil"/>
              <w:left w:val="nil"/>
              <w:bottom w:val="single" w:sz="4" w:space="0" w:color="auto"/>
              <w:right w:val="nil"/>
            </w:tcBorders>
            <w:shd w:val="clear" w:color="FFFFFF" w:fill="auto"/>
            <w:vAlign w:val="center"/>
          </w:tcPr>
          <w:p w14:paraId="39AD092A" w14:textId="77777777" w:rsidR="00FB0744" w:rsidRPr="00D547AD" w:rsidRDefault="00FB0744" w:rsidP="00FB0744">
            <w:pPr>
              <w:spacing w:before="0" w:after="0"/>
              <w:jc w:val="right"/>
              <w:rPr>
                <w:rFonts w:ascii="Arial" w:hAnsi="Arial"/>
                <w:sz w:val="16"/>
                <w:szCs w:val="16"/>
                <w:lang w:val="en-AU"/>
              </w:rPr>
            </w:pPr>
            <w:r w:rsidRPr="00D547AD">
              <w:rPr>
                <w:rFonts w:ascii="Arial" w:hAnsi="Arial"/>
                <w:sz w:val="16"/>
                <w:szCs w:val="16"/>
                <w:lang w:val="en-AU"/>
              </w:rPr>
              <w:t>SA - Spence</w:t>
            </w:r>
          </w:p>
        </w:tc>
        <w:tc>
          <w:tcPr>
            <w:tcW w:w="1191" w:type="dxa"/>
            <w:tcBorders>
              <w:top w:val="nil"/>
              <w:left w:val="nil"/>
              <w:bottom w:val="single" w:sz="4" w:space="0" w:color="auto"/>
              <w:right w:val="nil"/>
            </w:tcBorders>
            <w:shd w:val="clear" w:color="FFFFFF" w:fill="auto"/>
            <w:noWrap/>
            <w:vAlign w:val="center"/>
          </w:tcPr>
          <w:p w14:paraId="3E456B5F" w14:textId="77777777" w:rsidR="00FB0744" w:rsidRPr="00D547AD" w:rsidRDefault="00FB0744" w:rsidP="00FB0744">
            <w:pPr>
              <w:spacing w:before="0" w:after="0"/>
              <w:jc w:val="right"/>
              <w:rPr>
                <w:rFonts w:ascii="Arial" w:hAnsi="Arial"/>
                <w:b/>
                <w:sz w:val="16"/>
                <w:szCs w:val="16"/>
                <w:lang w:val="en-AU"/>
              </w:rPr>
            </w:pPr>
            <w:r w:rsidRPr="00D547AD">
              <w:rPr>
                <w:rFonts w:ascii="Arial" w:hAnsi="Arial"/>
                <w:b/>
                <w:sz w:val="16"/>
                <w:szCs w:val="16"/>
                <w:lang w:val="en-AU"/>
              </w:rPr>
              <w:t>266.1</w:t>
            </w:r>
          </w:p>
        </w:tc>
        <w:tc>
          <w:tcPr>
            <w:tcW w:w="1413" w:type="dxa"/>
            <w:tcBorders>
              <w:top w:val="nil"/>
              <w:left w:val="nil"/>
              <w:bottom w:val="single" w:sz="4" w:space="0" w:color="auto"/>
              <w:right w:val="nil"/>
            </w:tcBorders>
            <w:shd w:val="clear" w:color="auto" w:fill="auto"/>
            <w:noWrap/>
            <w:vAlign w:val="center"/>
          </w:tcPr>
          <w:p w14:paraId="0834F08F" w14:textId="77777777" w:rsidR="00FB0744" w:rsidRPr="00D547AD" w:rsidRDefault="00D547AD" w:rsidP="00FB0744">
            <w:pPr>
              <w:spacing w:before="0" w:after="0"/>
              <w:jc w:val="right"/>
              <w:rPr>
                <w:rFonts w:ascii="Arial" w:hAnsi="Arial"/>
                <w:b/>
                <w:sz w:val="16"/>
                <w:szCs w:val="16"/>
                <w:lang w:val="en-AU"/>
              </w:rPr>
            </w:pPr>
            <w:r w:rsidRPr="00D547AD">
              <w:rPr>
                <w:rFonts w:ascii="Arial" w:hAnsi="Arial"/>
                <w:b/>
                <w:sz w:val="16"/>
                <w:szCs w:val="16"/>
                <w:lang w:val="en-AU"/>
              </w:rPr>
              <w:t>214.8</w:t>
            </w:r>
          </w:p>
        </w:tc>
        <w:tc>
          <w:tcPr>
            <w:tcW w:w="1195" w:type="dxa"/>
            <w:tcBorders>
              <w:top w:val="nil"/>
              <w:left w:val="nil"/>
              <w:bottom w:val="single" w:sz="4" w:space="0" w:color="auto"/>
              <w:right w:val="nil"/>
            </w:tcBorders>
            <w:shd w:val="clear" w:color="auto" w:fill="auto"/>
            <w:noWrap/>
            <w:vAlign w:val="center"/>
          </w:tcPr>
          <w:p w14:paraId="71FD57A4" w14:textId="77777777" w:rsidR="00FB0744" w:rsidRPr="00D547AD" w:rsidRDefault="00D547AD" w:rsidP="00FB0744">
            <w:pPr>
              <w:spacing w:before="0" w:after="0"/>
              <w:jc w:val="right"/>
              <w:rPr>
                <w:rFonts w:ascii="Arial" w:hAnsi="Arial"/>
                <w:b/>
                <w:sz w:val="16"/>
                <w:szCs w:val="16"/>
                <w:lang w:val="en-AU"/>
              </w:rPr>
            </w:pPr>
            <w:r w:rsidRPr="00D547AD">
              <w:rPr>
                <w:rFonts w:ascii="Arial" w:hAnsi="Arial"/>
                <w:b/>
                <w:sz w:val="16"/>
                <w:szCs w:val="16"/>
                <w:lang w:val="en-AU"/>
              </w:rPr>
              <w:t>40.5</w:t>
            </w:r>
          </w:p>
        </w:tc>
      </w:tr>
      <w:tr w:rsidR="00FB0744" w:rsidRPr="00BA1388" w14:paraId="29D3D1F3" w14:textId="77777777" w:rsidTr="006868B3">
        <w:trPr>
          <w:trHeight w:val="227"/>
        </w:trPr>
        <w:tc>
          <w:tcPr>
            <w:tcW w:w="3085" w:type="dxa"/>
            <w:tcBorders>
              <w:top w:val="single" w:sz="4" w:space="0" w:color="auto"/>
              <w:left w:val="nil"/>
              <w:bottom w:val="nil"/>
              <w:right w:val="nil"/>
            </w:tcBorders>
            <w:shd w:val="clear" w:color="FFFFFF" w:fill="auto"/>
            <w:vAlign w:val="center"/>
          </w:tcPr>
          <w:p w14:paraId="7CFE4974" w14:textId="77777777" w:rsidR="00FB0744" w:rsidRPr="00D547AD" w:rsidRDefault="00FB0744" w:rsidP="00FB0744">
            <w:pPr>
              <w:keepNext/>
              <w:keepLines/>
              <w:pageBreakBefore/>
              <w:spacing w:before="0" w:after="0"/>
              <w:rPr>
                <w:rFonts w:ascii="Arial" w:hAnsi="Arial"/>
                <w:b/>
                <w:bCs/>
                <w:sz w:val="16"/>
                <w:szCs w:val="16"/>
                <w:lang w:val="en-AU"/>
              </w:rPr>
            </w:pPr>
            <w:r w:rsidRPr="00D547AD">
              <w:rPr>
                <w:rFonts w:ascii="Arial" w:hAnsi="Arial"/>
                <w:b/>
                <w:bCs/>
                <w:sz w:val="16"/>
                <w:szCs w:val="16"/>
                <w:lang w:val="en-AU"/>
              </w:rPr>
              <w:lastRenderedPageBreak/>
              <w:t>Joint Health Command Garrison Facilities Upgrades</w:t>
            </w:r>
            <w:r w:rsidRPr="00D547AD">
              <w:rPr>
                <w:rFonts w:ascii="Arial" w:hAnsi="Arial"/>
                <w:b/>
                <w:bCs/>
                <w:sz w:val="16"/>
                <w:szCs w:val="16"/>
                <w:vertAlign w:val="superscript"/>
                <w:lang w:val="en-AU"/>
              </w:rPr>
              <w:t xml:space="preserve"> </w:t>
            </w:r>
          </w:p>
        </w:tc>
        <w:tc>
          <w:tcPr>
            <w:tcW w:w="1790" w:type="dxa"/>
            <w:tcBorders>
              <w:top w:val="single" w:sz="4" w:space="0" w:color="auto"/>
              <w:left w:val="nil"/>
              <w:bottom w:val="nil"/>
              <w:right w:val="nil"/>
            </w:tcBorders>
            <w:shd w:val="clear" w:color="FFFFFF" w:fill="auto"/>
            <w:vAlign w:val="center"/>
          </w:tcPr>
          <w:p w14:paraId="4254DB6E" w14:textId="77777777" w:rsidR="00FB0744" w:rsidRPr="00D547AD" w:rsidRDefault="00FB0744" w:rsidP="00FB0744">
            <w:pPr>
              <w:spacing w:before="0" w:after="0"/>
              <w:jc w:val="right"/>
              <w:rPr>
                <w:rFonts w:ascii="Arial" w:hAnsi="Arial"/>
                <w:b/>
                <w:bCs/>
                <w:sz w:val="16"/>
                <w:szCs w:val="16"/>
                <w:lang w:val="en-AU"/>
              </w:rPr>
            </w:pPr>
          </w:p>
        </w:tc>
        <w:tc>
          <w:tcPr>
            <w:tcW w:w="1191" w:type="dxa"/>
            <w:tcBorders>
              <w:top w:val="single" w:sz="4" w:space="0" w:color="auto"/>
              <w:left w:val="nil"/>
              <w:bottom w:val="nil"/>
              <w:right w:val="nil"/>
            </w:tcBorders>
            <w:shd w:val="clear" w:color="FFFFFF" w:fill="auto"/>
            <w:noWrap/>
            <w:vAlign w:val="center"/>
          </w:tcPr>
          <w:p w14:paraId="4C72E134" w14:textId="77777777" w:rsidR="00FB0744" w:rsidRPr="00D547AD" w:rsidRDefault="00FB0744" w:rsidP="00FB0744">
            <w:pPr>
              <w:spacing w:before="0" w:after="0"/>
              <w:jc w:val="right"/>
              <w:rPr>
                <w:rFonts w:ascii="Arial" w:hAnsi="Arial"/>
                <w:b/>
                <w:bCs/>
                <w:sz w:val="16"/>
                <w:szCs w:val="16"/>
                <w:lang w:val="en-AU"/>
              </w:rPr>
            </w:pPr>
          </w:p>
        </w:tc>
        <w:tc>
          <w:tcPr>
            <w:tcW w:w="1413" w:type="dxa"/>
            <w:tcBorders>
              <w:top w:val="single" w:sz="4" w:space="0" w:color="auto"/>
              <w:left w:val="nil"/>
              <w:bottom w:val="nil"/>
              <w:right w:val="nil"/>
            </w:tcBorders>
            <w:shd w:val="clear" w:color="FFFFFF" w:fill="auto"/>
            <w:noWrap/>
            <w:vAlign w:val="center"/>
          </w:tcPr>
          <w:p w14:paraId="6E36645A" w14:textId="77777777" w:rsidR="00FB0744" w:rsidRPr="00D547AD" w:rsidRDefault="00FB0744" w:rsidP="00FB0744">
            <w:pPr>
              <w:spacing w:before="0" w:after="0"/>
              <w:jc w:val="right"/>
              <w:rPr>
                <w:rFonts w:ascii="Arial" w:hAnsi="Arial"/>
                <w:b/>
                <w:bCs/>
                <w:sz w:val="16"/>
                <w:szCs w:val="16"/>
                <w:lang w:val="en-AU"/>
              </w:rPr>
            </w:pPr>
          </w:p>
        </w:tc>
        <w:tc>
          <w:tcPr>
            <w:tcW w:w="1195" w:type="dxa"/>
            <w:tcBorders>
              <w:top w:val="single" w:sz="4" w:space="0" w:color="auto"/>
              <w:left w:val="nil"/>
              <w:bottom w:val="nil"/>
              <w:right w:val="nil"/>
            </w:tcBorders>
            <w:shd w:val="clear" w:color="FFFFFF" w:fill="auto"/>
            <w:noWrap/>
            <w:vAlign w:val="center"/>
          </w:tcPr>
          <w:p w14:paraId="37B4B014" w14:textId="77777777" w:rsidR="00FB0744" w:rsidRPr="00D547AD" w:rsidRDefault="00FB0744" w:rsidP="00FB0744">
            <w:pPr>
              <w:spacing w:before="0" w:after="0"/>
              <w:jc w:val="right"/>
              <w:rPr>
                <w:rFonts w:ascii="Arial" w:hAnsi="Arial"/>
                <w:b/>
                <w:bCs/>
                <w:sz w:val="16"/>
                <w:szCs w:val="16"/>
                <w:lang w:val="en-AU"/>
              </w:rPr>
            </w:pPr>
          </w:p>
        </w:tc>
      </w:tr>
      <w:tr w:rsidR="00D547AD" w:rsidRPr="00BA1388" w14:paraId="6C0C01E3" w14:textId="77777777" w:rsidTr="00F600B5">
        <w:trPr>
          <w:trHeight w:val="227"/>
        </w:trPr>
        <w:tc>
          <w:tcPr>
            <w:tcW w:w="3085" w:type="dxa"/>
            <w:tcBorders>
              <w:top w:val="nil"/>
              <w:left w:val="nil"/>
              <w:bottom w:val="nil"/>
              <w:right w:val="nil"/>
            </w:tcBorders>
            <w:shd w:val="clear" w:color="FFFFFF" w:fill="auto"/>
            <w:vAlign w:val="center"/>
          </w:tcPr>
          <w:p w14:paraId="3E2A1338" w14:textId="77777777" w:rsidR="00D547AD" w:rsidRPr="00D547AD" w:rsidRDefault="00D547AD" w:rsidP="00D547AD">
            <w:pPr>
              <w:spacing w:before="0" w:after="0"/>
              <w:ind w:left="113"/>
              <w:rPr>
                <w:rFonts w:ascii="Arial" w:hAnsi="Arial"/>
                <w:sz w:val="16"/>
                <w:szCs w:val="16"/>
                <w:lang w:val="en-AU"/>
              </w:rPr>
            </w:pPr>
            <w:r w:rsidRPr="00D547AD">
              <w:rPr>
                <w:rFonts w:ascii="Arial" w:hAnsi="Arial"/>
                <w:sz w:val="16"/>
                <w:szCs w:val="16"/>
                <w:lang w:val="en-AU"/>
              </w:rPr>
              <w:t>Simpson Barracks</w:t>
            </w:r>
          </w:p>
        </w:tc>
        <w:tc>
          <w:tcPr>
            <w:tcW w:w="1790" w:type="dxa"/>
            <w:tcBorders>
              <w:top w:val="nil"/>
              <w:left w:val="nil"/>
              <w:bottom w:val="nil"/>
              <w:right w:val="nil"/>
            </w:tcBorders>
            <w:shd w:val="clear" w:color="FFFFFF" w:fill="auto"/>
            <w:vAlign w:val="center"/>
          </w:tcPr>
          <w:p w14:paraId="6F30312B" w14:textId="77777777" w:rsidR="00D547AD" w:rsidRPr="00D547AD" w:rsidRDefault="00D547AD" w:rsidP="00D547AD">
            <w:pPr>
              <w:spacing w:before="0" w:after="0"/>
              <w:jc w:val="right"/>
              <w:rPr>
                <w:rFonts w:ascii="Arial" w:hAnsi="Arial"/>
                <w:sz w:val="16"/>
                <w:szCs w:val="16"/>
                <w:lang w:val="en-AU"/>
              </w:rPr>
            </w:pPr>
            <w:r w:rsidRPr="00D547AD">
              <w:rPr>
                <w:rFonts w:ascii="Arial" w:hAnsi="Arial"/>
                <w:sz w:val="16"/>
                <w:szCs w:val="16"/>
                <w:lang w:val="en-AU"/>
              </w:rPr>
              <w:t>VIC - Jagajaga</w:t>
            </w:r>
          </w:p>
        </w:tc>
        <w:tc>
          <w:tcPr>
            <w:tcW w:w="1191" w:type="dxa"/>
            <w:tcBorders>
              <w:top w:val="nil"/>
              <w:left w:val="nil"/>
              <w:bottom w:val="nil"/>
              <w:right w:val="nil"/>
            </w:tcBorders>
            <w:shd w:val="clear" w:color="FFFFFF" w:fill="auto"/>
            <w:noWrap/>
            <w:vAlign w:val="center"/>
          </w:tcPr>
          <w:p w14:paraId="26DB390E" w14:textId="77777777" w:rsidR="00D547AD" w:rsidRPr="00D547AD" w:rsidRDefault="00D547AD" w:rsidP="00D547AD">
            <w:pPr>
              <w:spacing w:before="0" w:after="0"/>
              <w:jc w:val="right"/>
              <w:rPr>
                <w:rFonts w:ascii="Arial" w:hAnsi="Arial"/>
                <w:sz w:val="16"/>
                <w:szCs w:val="16"/>
                <w:lang w:val="en-AU"/>
              </w:rPr>
            </w:pPr>
          </w:p>
        </w:tc>
        <w:tc>
          <w:tcPr>
            <w:tcW w:w="1413" w:type="dxa"/>
            <w:tcBorders>
              <w:top w:val="nil"/>
              <w:left w:val="nil"/>
              <w:bottom w:val="nil"/>
              <w:right w:val="nil"/>
            </w:tcBorders>
            <w:shd w:val="clear" w:color="auto" w:fill="auto"/>
            <w:noWrap/>
            <w:vAlign w:val="bottom"/>
          </w:tcPr>
          <w:p w14:paraId="4328A06F"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19.9</w:t>
            </w:r>
          </w:p>
        </w:tc>
        <w:tc>
          <w:tcPr>
            <w:tcW w:w="1195" w:type="dxa"/>
            <w:tcBorders>
              <w:top w:val="nil"/>
              <w:left w:val="nil"/>
              <w:bottom w:val="nil"/>
              <w:right w:val="nil"/>
            </w:tcBorders>
            <w:shd w:val="clear" w:color="auto" w:fill="auto"/>
            <w:noWrap/>
            <w:vAlign w:val="bottom"/>
          </w:tcPr>
          <w:p w14:paraId="089F8DB5"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w:t>
            </w:r>
          </w:p>
        </w:tc>
      </w:tr>
      <w:tr w:rsidR="00D547AD" w:rsidRPr="00BA1388" w14:paraId="086A7491" w14:textId="77777777" w:rsidTr="00F600B5">
        <w:trPr>
          <w:trHeight w:val="227"/>
        </w:trPr>
        <w:tc>
          <w:tcPr>
            <w:tcW w:w="3085" w:type="dxa"/>
            <w:tcBorders>
              <w:top w:val="nil"/>
              <w:left w:val="nil"/>
              <w:bottom w:val="nil"/>
              <w:right w:val="nil"/>
            </w:tcBorders>
            <w:shd w:val="clear" w:color="FFFFFF" w:fill="auto"/>
            <w:vAlign w:val="center"/>
          </w:tcPr>
          <w:p w14:paraId="23B156F4" w14:textId="77777777" w:rsidR="00D547AD" w:rsidRPr="00D547AD" w:rsidRDefault="00D547AD" w:rsidP="00D547AD">
            <w:pPr>
              <w:spacing w:before="0" w:after="0"/>
              <w:ind w:left="113"/>
              <w:rPr>
                <w:rFonts w:ascii="Arial" w:hAnsi="Arial"/>
                <w:sz w:val="16"/>
                <w:szCs w:val="16"/>
                <w:lang w:val="en-AU"/>
              </w:rPr>
            </w:pPr>
            <w:r w:rsidRPr="00D547AD">
              <w:rPr>
                <w:rFonts w:ascii="Arial" w:hAnsi="Arial"/>
                <w:sz w:val="16"/>
                <w:szCs w:val="16"/>
                <w:lang w:val="en-AU"/>
              </w:rPr>
              <w:t>Puckapunyal Training Area</w:t>
            </w:r>
          </w:p>
        </w:tc>
        <w:tc>
          <w:tcPr>
            <w:tcW w:w="1790" w:type="dxa"/>
            <w:tcBorders>
              <w:top w:val="nil"/>
              <w:left w:val="nil"/>
              <w:bottom w:val="nil"/>
              <w:right w:val="nil"/>
            </w:tcBorders>
            <w:shd w:val="clear" w:color="FFFFFF" w:fill="auto"/>
            <w:vAlign w:val="center"/>
          </w:tcPr>
          <w:p w14:paraId="6561A149" w14:textId="77777777" w:rsidR="00D547AD" w:rsidRPr="00D547AD" w:rsidRDefault="00D547AD" w:rsidP="00D547AD">
            <w:pPr>
              <w:spacing w:before="0" w:after="0"/>
              <w:jc w:val="right"/>
              <w:rPr>
                <w:rFonts w:ascii="Arial" w:hAnsi="Arial"/>
                <w:sz w:val="16"/>
                <w:szCs w:val="16"/>
                <w:lang w:val="en-AU"/>
              </w:rPr>
            </w:pPr>
            <w:r w:rsidRPr="00D547AD">
              <w:rPr>
                <w:rFonts w:ascii="Arial" w:hAnsi="Arial"/>
                <w:sz w:val="16"/>
                <w:szCs w:val="16"/>
                <w:lang w:val="en-AU"/>
              </w:rPr>
              <w:t>VIC - Nicholls</w:t>
            </w:r>
          </w:p>
        </w:tc>
        <w:tc>
          <w:tcPr>
            <w:tcW w:w="1191" w:type="dxa"/>
            <w:tcBorders>
              <w:top w:val="nil"/>
              <w:left w:val="nil"/>
              <w:bottom w:val="nil"/>
              <w:right w:val="nil"/>
            </w:tcBorders>
            <w:shd w:val="clear" w:color="FFFFFF" w:fill="auto"/>
            <w:noWrap/>
            <w:vAlign w:val="center"/>
          </w:tcPr>
          <w:p w14:paraId="6D7554C5" w14:textId="77777777" w:rsidR="00D547AD" w:rsidRPr="00D547AD" w:rsidRDefault="00D547AD" w:rsidP="00D547AD">
            <w:pPr>
              <w:spacing w:before="0" w:after="0"/>
              <w:jc w:val="right"/>
              <w:rPr>
                <w:rFonts w:ascii="Arial" w:hAnsi="Arial"/>
                <w:sz w:val="16"/>
                <w:szCs w:val="16"/>
                <w:lang w:val="en-AU"/>
              </w:rPr>
            </w:pPr>
          </w:p>
        </w:tc>
        <w:tc>
          <w:tcPr>
            <w:tcW w:w="1413" w:type="dxa"/>
            <w:tcBorders>
              <w:top w:val="nil"/>
              <w:left w:val="nil"/>
              <w:bottom w:val="nil"/>
              <w:right w:val="nil"/>
            </w:tcBorders>
            <w:shd w:val="clear" w:color="auto" w:fill="auto"/>
            <w:noWrap/>
            <w:vAlign w:val="bottom"/>
          </w:tcPr>
          <w:p w14:paraId="4941EEF2"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19.0</w:t>
            </w:r>
          </w:p>
        </w:tc>
        <w:tc>
          <w:tcPr>
            <w:tcW w:w="1195" w:type="dxa"/>
            <w:tcBorders>
              <w:top w:val="nil"/>
              <w:left w:val="nil"/>
              <w:bottom w:val="nil"/>
              <w:right w:val="nil"/>
            </w:tcBorders>
            <w:shd w:val="clear" w:color="auto" w:fill="auto"/>
            <w:noWrap/>
            <w:vAlign w:val="bottom"/>
          </w:tcPr>
          <w:p w14:paraId="01788A9E"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w:t>
            </w:r>
          </w:p>
        </w:tc>
      </w:tr>
      <w:tr w:rsidR="00D547AD" w:rsidRPr="00BA1388" w14:paraId="6D8BBDDC" w14:textId="77777777" w:rsidTr="00F600B5">
        <w:trPr>
          <w:trHeight w:val="227"/>
        </w:trPr>
        <w:tc>
          <w:tcPr>
            <w:tcW w:w="3085" w:type="dxa"/>
            <w:tcBorders>
              <w:top w:val="nil"/>
              <w:left w:val="nil"/>
              <w:bottom w:val="nil"/>
              <w:right w:val="nil"/>
            </w:tcBorders>
            <w:shd w:val="clear" w:color="FFFFFF" w:fill="auto"/>
            <w:vAlign w:val="center"/>
          </w:tcPr>
          <w:p w14:paraId="770695BF" w14:textId="77777777" w:rsidR="00D547AD" w:rsidRPr="00D547AD" w:rsidRDefault="00D547AD" w:rsidP="00D547AD">
            <w:pPr>
              <w:spacing w:before="0" w:after="0"/>
              <w:ind w:left="113"/>
              <w:rPr>
                <w:rFonts w:ascii="Arial" w:hAnsi="Arial"/>
                <w:sz w:val="16"/>
                <w:szCs w:val="16"/>
                <w:lang w:val="en-AU"/>
              </w:rPr>
            </w:pPr>
            <w:r w:rsidRPr="00D547AD">
              <w:rPr>
                <w:rFonts w:ascii="Arial" w:hAnsi="Arial"/>
                <w:sz w:val="16"/>
                <w:szCs w:val="16"/>
                <w:lang w:val="en-AU"/>
              </w:rPr>
              <w:t>Albury-Wodonga Military Area</w:t>
            </w:r>
          </w:p>
        </w:tc>
        <w:tc>
          <w:tcPr>
            <w:tcW w:w="1790" w:type="dxa"/>
            <w:tcBorders>
              <w:top w:val="nil"/>
              <w:left w:val="nil"/>
              <w:bottom w:val="nil"/>
              <w:right w:val="nil"/>
            </w:tcBorders>
            <w:shd w:val="clear" w:color="FFFFFF" w:fill="auto"/>
            <w:vAlign w:val="center"/>
          </w:tcPr>
          <w:p w14:paraId="52ABB922" w14:textId="77777777" w:rsidR="00D547AD" w:rsidRPr="00D547AD" w:rsidRDefault="00D547AD" w:rsidP="00D547AD">
            <w:pPr>
              <w:spacing w:before="0" w:after="0"/>
              <w:jc w:val="right"/>
              <w:rPr>
                <w:rFonts w:ascii="Arial" w:hAnsi="Arial"/>
                <w:sz w:val="16"/>
                <w:szCs w:val="16"/>
                <w:lang w:val="en-AU"/>
              </w:rPr>
            </w:pPr>
            <w:r w:rsidRPr="00D547AD">
              <w:rPr>
                <w:rFonts w:ascii="Arial" w:hAnsi="Arial"/>
                <w:sz w:val="16"/>
                <w:szCs w:val="16"/>
                <w:lang w:val="en-AU"/>
              </w:rPr>
              <w:t>VIC - Indi</w:t>
            </w:r>
          </w:p>
        </w:tc>
        <w:tc>
          <w:tcPr>
            <w:tcW w:w="1191" w:type="dxa"/>
            <w:tcBorders>
              <w:top w:val="nil"/>
              <w:left w:val="nil"/>
              <w:bottom w:val="nil"/>
              <w:right w:val="nil"/>
            </w:tcBorders>
            <w:shd w:val="clear" w:color="FFFFFF" w:fill="auto"/>
            <w:noWrap/>
            <w:vAlign w:val="center"/>
          </w:tcPr>
          <w:p w14:paraId="20EA2F6F" w14:textId="77777777" w:rsidR="00D547AD" w:rsidRPr="00D547AD" w:rsidRDefault="00D547AD" w:rsidP="00D547AD">
            <w:pPr>
              <w:spacing w:before="0" w:after="0"/>
              <w:jc w:val="right"/>
              <w:rPr>
                <w:rFonts w:ascii="Arial" w:hAnsi="Arial"/>
                <w:sz w:val="16"/>
                <w:szCs w:val="16"/>
                <w:lang w:val="en-AU"/>
              </w:rPr>
            </w:pPr>
          </w:p>
        </w:tc>
        <w:tc>
          <w:tcPr>
            <w:tcW w:w="1413" w:type="dxa"/>
            <w:tcBorders>
              <w:top w:val="nil"/>
              <w:left w:val="nil"/>
              <w:bottom w:val="nil"/>
              <w:right w:val="nil"/>
            </w:tcBorders>
            <w:shd w:val="clear" w:color="auto" w:fill="auto"/>
            <w:noWrap/>
            <w:vAlign w:val="bottom"/>
          </w:tcPr>
          <w:p w14:paraId="532A863F"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17.3</w:t>
            </w:r>
          </w:p>
        </w:tc>
        <w:tc>
          <w:tcPr>
            <w:tcW w:w="1195" w:type="dxa"/>
            <w:tcBorders>
              <w:top w:val="nil"/>
              <w:left w:val="nil"/>
              <w:bottom w:val="nil"/>
              <w:right w:val="nil"/>
            </w:tcBorders>
            <w:shd w:val="clear" w:color="auto" w:fill="auto"/>
            <w:noWrap/>
            <w:vAlign w:val="bottom"/>
          </w:tcPr>
          <w:p w14:paraId="216CFF52"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w:t>
            </w:r>
          </w:p>
        </w:tc>
      </w:tr>
      <w:tr w:rsidR="00D547AD" w:rsidRPr="00BA1388" w14:paraId="33A92336" w14:textId="77777777" w:rsidTr="00F600B5">
        <w:trPr>
          <w:trHeight w:val="227"/>
        </w:trPr>
        <w:tc>
          <w:tcPr>
            <w:tcW w:w="3085" w:type="dxa"/>
            <w:tcBorders>
              <w:top w:val="nil"/>
              <w:left w:val="nil"/>
              <w:bottom w:val="nil"/>
              <w:right w:val="nil"/>
            </w:tcBorders>
            <w:shd w:val="clear" w:color="FFFFFF" w:fill="auto"/>
            <w:vAlign w:val="center"/>
          </w:tcPr>
          <w:p w14:paraId="24FF8F4B" w14:textId="77777777" w:rsidR="00D547AD" w:rsidRPr="00D547AD" w:rsidRDefault="00D547AD" w:rsidP="00D547AD">
            <w:pPr>
              <w:spacing w:before="0" w:after="0"/>
              <w:ind w:left="113"/>
              <w:rPr>
                <w:rFonts w:ascii="Arial" w:hAnsi="Arial"/>
                <w:sz w:val="16"/>
                <w:szCs w:val="16"/>
                <w:lang w:val="en-AU"/>
              </w:rPr>
            </w:pPr>
            <w:r w:rsidRPr="00D547AD">
              <w:rPr>
                <w:rFonts w:ascii="Arial" w:hAnsi="Arial"/>
                <w:sz w:val="16"/>
                <w:szCs w:val="16"/>
                <w:lang w:val="en-AU"/>
              </w:rPr>
              <w:t>Royal Military College Canberra</w:t>
            </w:r>
          </w:p>
        </w:tc>
        <w:tc>
          <w:tcPr>
            <w:tcW w:w="1790" w:type="dxa"/>
            <w:tcBorders>
              <w:top w:val="nil"/>
              <w:left w:val="nil"/>
              <w:bottom w:val="nil"/>
              <w:right w:val="nil"/>
            </w:tcBorders>
            <w:shd w:val="clear" w:color="FFFFFF" w:fill="auto"/>
            <w:vAlign w:val="center"/>
          </w:tcPr>
          <w:p w14:paraId="7B28F926" w14:textId="77777777" w:rsidR="00D547AD" w:rsidRPr="00D547AD" w:rsidRDefault="00D547AD" w:rsidP="00D547AD">
            <w:pPr>
              <w:spacing w:before="0" w:after="0"/>
              <w:jc w:val="right"/>
              <w:rPr>
                <w:rFonts w:ascii="Arial" w:hAnsi="Arial"/>
                <w:sz w:val="16"/>
                <w:szCs w:val="16"/>
                <w:lang w:val="en-AU"/>
              </w:rPr>
            </w:pPr>
            <w:r w:rsidRPr="00D547AD">
              <w:rPr>
                <w:rFonts w:ascii="Arial" w:hAnsi="Arial"/>
                <w:sz w:val="16"/>
                <w:szCs w:val="16"/>
                <w:lang w:val="en-AU"/>
              </w:rPr>
              <w:t>ACT - Canberra</w:t>
            </w:r>
          </w:p>
        </w:tc>
        <w:tc>
          <w:tcPr>
            <w:tcW w:w="1191" w:type="dxa"/>
            <w:tcBorders>
              <w:top w:val="nil"/>
              <w:left w:val="nil"/>
              <w:bottom w:val="nil"/>
              <w:right w:val="nil"/>
            </w:tcBorders>
            <w:shd w:val="clear" w:color="FFFFFF" w:fill="auto"/>
            <w:noWrap/>
            <w:vAlign w:val="center"/>
          </w:tcPr>
          <w:p w14:paraId="6DEB1CE4" w14:textId="77777777" w:rsidR="00D547AD" w:rsidRPr="00D547AD" w:rsidRDefault="00D547AD" w:rsidP="00D547AD">
            <w:pPr>
              <w:spacing w:before="0" w:after="0"/>
              <w:jc w:val="right"/>
              <w:rPr>
                <w:rFonts w:ascii="Arial" w:hAnsi="Arial"/>
                <w:sz w:val="16"/>
                <w:szCs w:val="16"/>
                <w:lang w:val="en-AU"/>
              </w:rPr>
            </w:pPr>
          </w:p>
        </w:tc>
        <w:tc>
          <w:tcPr>
            <w:tcW w:w="1413" w:type="dxa"/>
            <w:tcBorders>
              <w:top w:val="nil"/>
              <w:left w:val="nil"/>
              <w:bottom w:val="nil"/>
              <w:right w:val="nil"/>
            </w:tcBorders>
            <w:shd w:val="clear" w:color="auto" w:fill="auto"/>
            <w:noWrap/>
            <w:vAlign w:val="bottom"/>
          </w:tcPr>
          <w:p w14:paraId="6FC03ADB"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49.5</w:t>
            </w:r>
          </w:p>
        </w:tc>
        <w:tc>
          <w:tcPr>
            <w:tcW w:w="1195" w:type="dxa"/>
            <w:tcBorders>
              <w:top w:val="nil"/>
              <w:left w:val="nil"/>
              <w:bottom w:val="nil"/>
              <w:right w:val="nil"/>
            </w:tcBorders>
            <w:shd w:val="clear" w:color="auto" w:fill="auto"/>
            <w:noWrap/>
            <w:vAlign w:val="bottom"/>
          </w:tcPr>
          <w:p w14:paraId="3C9ED048"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w:t>
            </w:r>
          </w:p>
        </w:tc>
      </w:tr>
      <w:tr w:rsidR="00D547AD" w:rsidRPr="00BA1388" w14:paraId="3A3779D4" w14:textId="77777777" w:rsidTr="00F600B5">
        <w:trPr>
          <w:trHeight w:val="227"/>
        </w:trPr>
        <w:tc>
          <w:tcPr>
            <w:tcW w:w="3085" w:type="dxa"/>
            <w:tcBorders>
              <w:top w:val="nil"/>
              <w:left w:val="nil"/>
              <w:bottom w:val="nil"/>
              <w:right w:val="nil"/>
            </w:tcBorders>
            <w:shd w:val="clear" w:color="FFFFFF" w:fill="auto"/>
            <w:vAlign w:val="center"/>
          </w:tcPr>
          <w:p w14:paraId="7AB8AC46" w14:textId="77777777" w:rsidR="00D547AD" w:rsidRPr="00D547AD" w:rsidRDefault="00D547AD" w:rsidP="00D547AD">
            <w:pPr>
              <w:spacing w:before="0" w:after="0"/>
              <w:ind w:left="113"/>
              <w:rPr>
                <w:rFonts w:ascii="Arial" w:hAnsi="Arial"/>
                <w:sz w:val="16"/>
                <w:szCs w:val="16"/>
                <w:lang w:val="en-AU"/>
              </w:rPr>
            </w:pPr>
            <w:r w:rsidRPr="00D547AD">
              <w:rPr>
                <w:rFonts w:ascii="Arial" w:hAnsi="Arial"/>
                <w:sz w:val="16"/>
                <w:szCs w:val="16"/>
                <w:lang w:val="en-AU"/>
              </w:rPr>
              <w:t>Russell Offices</w:t>
            </w:r>
          </w:p>
        </w:tc>
        <w:tc>
          <w:tcPr>
            <w:tcW w:w="1790" w:type="dxa"/>
            <w:tcBorders>
              <w:top w:val="nil"/>
              <w:left w:val="nil"/>
              <w:bottom w:val="nil"/>
              <w:right w:val="nil"/>
            </w:tcBorders>
            <w:shd w:val="clear" w:color="FFFFFF" w:fill="auto"/>
            <w:vAlign w:val="center"/>
          </w:tcPr>
          <w:p w14:paraId="19B5FB95" w14:textId="77777777" w:rsidR="00D547AD" w:rsidRPr="00D547AD" w:rsidRDefault="00D547AD" w:rsidP="00D547AD">
            <w:pPr>
              <w:spacing w:before="0" w:after="0"/>
              <w:jc w:val="right"/>
              <w:rPr>
                <w:rFonts w:ascii="Arial" w:hAnsi="Arial"/>
                <w:sz w:val="16"/>
                <w:szCs w:val="16"/>
                <w:lang w:val="en-AU"/>
              </w:rPr>
            </w:pPr>
            <w:r w:rsidRPr="00D547AD">
              <w:rPr>
                <w:rFonts w:ascii="Arial" w:hAnsi="Arial"/>
                <w:sz w:val="16"/>
                <w:szCs w:val="16"/>
                <w:lang w:val="en-AU"/>
              </w:rPr>
              <w:t>ACT - Canberra</w:t>
            </w:r>
          </w:p>
        </w:tc>
        <w:tc>
          <w:tcPr>
            <w:tcW w:w="1191" w:type="dxa"/>
            <w:tcBorders>
              <w:top w:val="nil"/>
              <w:left w:val="nil"/>
              <w:bottom w:val="nil"/>
              <w:right w:val="nil"/>
            </w:tcBorders>
            <w:shd w:val="clear" w:color="FFFFFF" w:fill="auto"/>
            <w:noWrap/>
            <w:vAlign w:val="center"/>
          </w:tcPr>
          <w:p w14:paraId="75814A3C" w14:textId="77777777" w:rsidR="00D547AD" w:rsidRPr="00D547AD" w:rsidRDefault="00D547AD" w:rsidP="00D547AD">
            <w:pPr>
              <w:spacing w:before="0" w:after="0"/>
              <w:jc w:val="right"/>
              <w:rPr>
                <w:rFonts w:ascii="Arial" w:hAnsi="Arial"/>
                <w:sz w:val="16"/>
                <w:szCs w:val="16"/>
                <w:lang w:val="en-AU"/>
              </w:rPr>
            </w:pPr>
          </w:p>
        </w:tc>
        <w:tc>
          <w:tcPr>
            <w:tcW w:w="1413" w:type="dxa"/>
            <w:tcBorders>
              <w:top w:val="nil"/>
              <w:left w:val="nil"/>
              <w:bottom w:val="nil"/>
              <w:right w:val="nil"/>
            </w:tcBorders>
            <w:shd w:val="clear" w:color="auto" w:fill="auto"/>
            <w:noWrap/>
            <w:vAlign w:val="bottom"/>
          </w:tcPr>
          <w:p w14:paraId="7C09C818"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0.0</w:t>
            </w:r>
          </w:p>
        </w:tc>
        <w:tc>
          <w:tcPr>
            <w:tcW w:w="1195" w:type="dxa"/>
            <w:tcBorders>
              <w:top w:val="nil"/>
              <w:left w:val="nil"/>
              <w:bottom w:val="nil"/>
              <w:right w:val="nil"/>
            </w:tcBorders>
            <w:shd w:val="clear" w:color="auto" w:fill="auto"/>
            <w:noWrap/>
            <w:vAlign w:val="bottom"/>
          </w:tcPr>
          <w:p w14:paraId="1E4E3AEE"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w:t>
            </w:r>
          </w:p>
        </w:tc>
      </w:tr>
      <w:tr w:rsidR="00D547AD" w:rsidRPr="00BA1388" w14:paraId="47DF5B46" w14:textId="77777777" w:rsidTr="00F600B5">
        <w:trPr>
          <w:trHeight w:val="227"/>
        </w:trPr>
        <w:tc>
          <w:tcPr>
            <w:tcW w:w="3085" w:type="dxa"/>
            <w:tcBorders>
              <w:top w:val="nil"/>
              <w:left w:val="nil"/>
              <w:bottom w:val="nil"/>
              <w:right w:val="nil"/>
            </w:tcBorders>
            <w:shd w:val="clear" w:color="FFFFFF" w:fill="auto"/>
            <w:vAlign w:val="center"/>
          </w:tcPr>
          <w:p w14:paraId="7D498AC9" w14:textId="77777777" w:rsidR="00D547AD" w:rsidRPr="00D547AD" w:rsidRDefault="00D547AD" w:rsidP="00D547AD">
            <w:pPr>
              <w:spacing w:before="0" w:after="0"/>
              <w:ind w:left="113"/>
              <w:rPr>
                <w:rFonts w:ascii="Arial" w:hAnsi="Arial"/>
                <w:sz w:val="16"/>
                <w:szCs w:val="16"/>
                <w:lang w:val="en-AU"/>
              </w:rPr>
            </w:pPr>
            <w:r w:rsidRPr="00D547AD">
              <w:rPr>
                <w:rFonts w:ascii="Arial" w:hAnsi="Arial"/>
                <w:sz w:val="16"/>
                <w:szCs w:val="16"/>
                <w:lang w:val="en-AU"/>
              </w:rPr>
              <w:t>Holsworthy Barracks</w:t>
            </w:r>
          </w:p>
        </w:tc>
        <w:tc>
          <w:tcPr>
            <w:tcW w:w="1790" w:type="dxa"/>
            <w:tcBorders>
              <w:top w:val="nil"/>
              <w:left w:val="nil"/>
              <w:bottom w:val="nil"/>
              <w:right w:val="nil"/>
            </w:tcBorders>
            <w:shd w:val="clear" w:color="FFFFFF" w:fill="auto"/>
            <w:vAlign w:val="center"/>
          </w:tcPr>
          <w:p w14:paraId="095E39E2" w14:textId="77777777" w:rsidR="00D547AD" w:rsidRPr="00D547AD" w:rsidRDefault="00D547AD" w:rsidP="00D547AD">
            <w:pPr>
              <w:spacing w:before="0" w:after="0"/>
              <w:jc w:val="right"/>
              <w:rPr>
                <w:rFonts w:ascii="Arial" w:hAnsi="Arial"/>
                <w:sz w:val="16"/>
                <w:szCs w:val="16"/>
                <w:lang w:val="en-AU"/>
              </w:rPr>
            </w:pPr>
            <w:r w:rsidRPr="00D547AD">
              <w:rPr>
                <w:rFonts w:ascii="Arial" w:hAnsi="Arial"/>
                <w:sz w:val="16"/>
                <w:szCs w:val="16"/>
                <w:lang w:val="en-AU"/>
              </w:rPr>
              <w:t>NSW - Hughes</w:t>
            </w:r>
          </w:p>
        </w:tc>
        <w:tc>
          <w:tcPr>
            <w:tcW w:w="1191" w:type="dxa"/>
            <w:tcBorders>
              <w:top w:val="nil"/>
              <w:left w:val="nil"/>
              <w:bottom w:val="nil"/>
              <w:right w:val="nil"/>
            </w:tcBorders>
            <w:shd w:val="clear" w:color="FFFFFF" w:fill="auto"/>
            <w:noWrap/>
            <w:vAlign w:val="center"/>
          </w:tcPr>
          <w:p w14:paraId="7EDF4620" w14:textId="77777777" w:rsidR="00D547AD" w:rsidRPr="00D547AD" w:rsidRDefault="00D547AD" w:rsidP="00D547AD">
            <w:pPr>
              <w:spacing w:before="0" w:after="0"/>
              <w:jc w:val="right"/>
              <w:rPr>
                <w:rFonts w:ascii="Arial" w:hAnsi="Arial"/>
                <w:sz w:val="16"/>
                <w:szCs w:val="16"/>
                <w:lang w:val="en-AU"/>
              </w:rPr>
            </w:pPr>
          </w:p>
        </w:tc>
        <w:tc>
          <w:tcPr>
            <w:tcW w:w="1413" w:type="dxa"/>
            <w:tcBorders>
              <w:top w:val="nil"/>
              <w:left w:val="nil"/>
              <w:bottom w:val="nil"/>
              <w:right w:val="nil"/>
            </w:tcBorders>
            <w:shd w:val="clear" w:color="auto" w:fill="auto"/>
            <w:noWrap/>
            <w:vAlign w:val="bottom"/>
          </w:tcPr>
          <w:p w14:paraId="56922E36"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8.0</w:t>
            </w:r>
          </w:p>
        </w:tc>
        <w:tc>
          <w:tcPr>
            <w:tcW w:w="1195" w:type="dxa"/>
            <w:tcBorders>
              <w:top w:val="nil"/>
              <w:left w:val="nil"/>
              <w:bottom w:val="nil"/>
              <w:right w:val="nil"/>
            </w:tcBorders>
            <w:shd w:val="clear" w:color="auto" w:fill="auto"/>
            <w:noWrap/>
            <w:vAlign w:val="bottom"/>
          </w:tcPr>
          <w:p w14:paraId="4103BFBC"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w:t>
            </w:r>
          </w:p>
        </w:tc>
      </w:tr>
      <w:tr w:rsidR="00D547AD" w:rsidRPr="00BA1388" w14:paraId="4740E017" w14:textId="77777777" w:rsidTr="00F600B5">
        <w:trPr>
          <w:trHeight w:val="227"/>
        </w:trPr>
        <w:tc>
          <w:tcPr>
            <w:tcW w:w="3085" w:type="dxa"/>
            <w:tcBorders>
              <w:top w:val="nil"/>
              <w:left w:val="nil"/>
              <w:bottom w:val="nil"/>
              <w:right w:val="nil"/>
            </w:tcBorders>
            <w:shd w:val="clear" w:color="FFFFFF" w:fill="auto"/>
            <w:vAlign w:val="center"/>
          </w:tcPr>
          <w:p w14:paraId="5EBD6D4F" w14:textId="77777777" w:rsidR="00D547AD" w:rsidRPr="00D547AD" w:rsidRDefault="00D547AD" w:rsidP="00D547AD">
            <w:pPr>
              <w:spacing w:before="0" w:after="0"/>
              <w:ind w:left="113"/>
              <w:rPr>
                <w:rFonts w:ascii="Arial" w:hAnsi="Arial"/>
                <w:sz w:val="16"/>
                <w:szCs w:val="16"/>
                <w:lang w:val="en-AU"/>
              </w:rPr>
            </w:pPr>
            <w:r w:rsidRPr="00D547AD">
              <w:rPr>
                <w:rFonts w:ascii="Arial" w:hAnsi="Arial"/>
                <w:sz w:val="16"/>
                <w:szCs w:val="16"/>
                <w:lang w:val="en-AU"/>
              </w:rPr>
              <w:t>Robertson Barracks</w:t>
            </w:r>
          </w:p>
        </w:tc>
        <w:tc>
          <w:tcPr>
            <w:tcW w:w="1790" w:type="dxa"/>
            <w:tcBorders>
              <w:top w:val="nil"/>
              <w:left w:val="nil"/>
              <w:bottom w:val="nil"/>
              <w:right w:val="nil"/>
            </w:tcBorders>
            <w:shd w:val="clear" w:color="FFFFFF" w:fill="auto"/>
            <w:vAlign w:val="center"/>
          </w:tcPr>
          <w:p w14:paraId="24176A95" w14:textId="77777777" w:rsidR="00D547AD" w:rsidRPr="00D547AD" w:rsidRDefault="00D547AD" w:rsidP="00D547AD">
            <w:pPr>
              <w:spacing w:before="0" w:after="0"/>
              <w:jc w:val="right"/>
              <w:rPr>
                <w:rFonts w:ascii="Arial" w:hAnsi="Arial"/>
                <w:sz w:val="16"/>
                <w:szCs w:val="16"/>
                <w:lang w:val="en-AU"/>
              </w:rPr>
            </w:pPr>
            <w:r w:rsidRPr="00D547AD">
              <w:rPr>
                <w:rFonts w:ascii="Arial" w:hAnsi="Arial"/>
                <w:sz w:val="16"/>
                <w:szCs w:val="16"/>
                <w:lang w:val="en-AU"/>
              </w:rPr>
              <w:t>NT - Lingiari</w:t>
            </w:r>
          </w:p>
        </w:tc>
        <w:tc>
          <w:tcPr>
            <w:tcW w:w="1191" w:type="dxa"/>
            <w:tcBorders>
              <w:top w:val="nil"/>
              <w:left w:val="nil"/>
              <w:bottom w:val="nil"/>
              <w:right w:val="nil"/>
            </w:tcBorders>
            <w:shd w:val="clear" w:color="FFFFFF" w:fill="auto"/>
            <w:noWrap/>
            <w:vAlign w:val="center"/>
          </w:tcPr>
          <w:p w14:paraId="3160ABC6" w14:textId="77777777" w:rsidR="00D547AD" w:rsidRPr="00D547AD" w:rsidRDefault="00D547AD" w:rsidP="00D547AD">
            <w:pPr>
              <w:spacing w:before="0" w:after="0"/>
              <w:jc w:val="right"/>
              <w:rPr>
                <w:rFonts w:ascii="Arial" w:hAnsi="Arial"/>
                <w:sz w:val="16"/>
                <w:szCs w:val="16"/>
                <w:lang w:val="en-AU"/>
              </w:rPr>
            </w:pPr>
          </w:p>
        </w:tc>
        <w:tc>
          <w:tcPr>
            <w:tcW w:w="1413" w:type="dxa"/>
            <w:tcBorders>
              <w:top w:val="nil"/>
              <w:left w:val="nil"/>
              <w:bottom w:val="nil"/>
              <w:right w:val="nil"/>
            </w:tcBorders>
            <w:shd w:val="clear" w:color="auto" w:fill="auto"/>
            <w:noWrap/>
            <w:vAlign w:val="bottom"/>
          </w:tcPr>
          <w:p w14:paraId="64AA9602"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5.1</w:t>
            </w:r>
          </w:p>
        </w:tc>
        <w:tc>
          <w:tcPr>
            <w:tcW w:w="1195" w:type="dxa"/>
            <w:tcBorders>
              <w:top w:val="nil"/>
              <w:left w:val="nil"/>
              <w:bottom w:val="nil"/>
              <w:right w:val="nil"/>
            </w:tcBorders>
            <w:shd w:val="clear" w:color="auto" w:fill="auto"/>
            <w:noWrap/>
            <w:vAlign w:val="bottom"/>
          </w:tcPr>
          <w:p w14:paraId="7F49A4B6"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w:t>
            </w:r>
          </w:p>
        </w:tc>
      </w:tr>
      <w:tr w:rsidR="00D547AD" w:rsidRPr="00BA1388" w14:paraId="1C62C626" w14:textId="77777777" w:rsidTr="00F600B5">
        <w:trPr>
          <w:trHeight w:val="227"/>
        </w:trPr>
        <w:tc>
          <w:tcPr>
            <w:tcW w:w="3085" w:type="dxa"/>
            <w:tcBorders>
              <w:top w:val="nil"/>
              <w:left w:val="nil"/>
              <w:bottom w:val="nil"/>
              <w:right w:val="nil"/>
            </w:tcBorders>
            <w:shd w:val="clear" w:color="FFFFFF" w:fill="auto"/>
            <w:vAlign w:val="center"/>
          </w:tcPr>
          <w:p w14:paraId="1EE1A381" w14:textId="77777777" w:rsidR="00D547AD" w:rsidRPr="00D547AD" w:rsidRDefault="00D547AD" w:rsidP="00D547AD">
            <w:pPr>
              <w:spacing w:before="0" w:after="0"/>
              <w:ind w:left="113"/>
              <w:rPr>
                <w:rFonts w:ascii="Arial" w:hAnsi="Arial"/>
                <w:sz w:val="16"/>
                <w:szCs w:val="16"/>
                <w:lang w:val="en-AU"/>
              </w:rPr>
            </w:pPr>
            <w:r w:rsidRPr="00D547AD">
              <w:rPr>
                <w:rFonts w:ascii="Arial" w:hAnsi="Arial"/>
                <w:sz w:val="16"/>
                <w:szCs w:val="16"/>
                <w:lang w:val="en-AU"/>
              </w:rPr>
              <w:t>Larrakeyah Barracks</w:t>
            </w:r>
          </w:p>
        </w:tc>
        <w:tc>
          <w:tcPr>
            <w:tcW w:w="1790" w:type="dxa"/>
            <w:tcBorders>
              <w:top w:val="nil"/>
              <w:left w:val="nil"/>
              <w:bottom w:val="nil"/>
              <w:right w:val="nil"/>
            </w:tcBorders>
            <w:shd w:val="clear" w:color="FFFFFF" w:fill="auto"/>
            <w:vAlign w:val="center"/>
          </w:tcPr>
          <w:p w14:paraId="514A5AD6" w14:textId="77777777" w:rsidR="00D547AD" w:rsidRPr="00D547AD" w:rsidRDefault="00D547AD" w:rsidP="00D547AD">
            <w:pPr>
              <w:spacing w:before="0" w:after="0"/>
              <w:jc w:val="right"/>
              <w:rPr>
                <w:rFonts w:ascii="Arial" w:hAnsi="Arial"/>
                <w:sz w:val="16"/>
                <w:szCs w:val="16"/>
                <w:lang w:val="en-AU"/>
              </w:rPr>
            </w:pPr>
            <w:r w:rsidRPr="00D547AD">
              <w:rPr>
                <w:rFonts w:ascii="Arial" w:hAnsi="Arial"/>
                <w:sz w:val="16"/>
                <w:szCs w:val="16"/>
                <w:lang w:val="en-AU"/>
              </w:rPr>
              <w:t>NT - Solomon</w:t>
            </w:r>
          </w:p>
        </w:tc>
        <w:tc>
          <w:tcPr>
            <w:tcW w:w="1191" w:type="dxa"/>
            <w:tcBorders>
              <w:top w:val="nil"/>
              <w:left w:val="nil"/>
              <w:bottom w:val="nil"/>
              <w:right w:val="nil"/>
            </w:tcBorders>
            <w:shd w:val="clear" w:color="FFFFFF" w:fill="auto"/>
            <w:noWrap/>
            <w:vAlign w:val="center"/>
          </w:tcPr>
          <w:p w14:paraId="2C8BAED1" w14:textId="77777777" w:rsidR="00D547AD" w:rsidRPr="00D547AD" w:rsidRDefault="00D547AD" w:rsidP="00D547AD">
            <w:pPr>
              <w:spacing w:before="0" w:after="0"/>
              <w:jc w:val="right"/>
              <w:rPr>
                <w:rFonts w:ascii="Arial" w:hAnsi="Arial"/>
                <w:sz w:val="16"/>
                <w:szCs w:val="16"/>
                <w:lang w:val="en-AU"/>
              </w:rPr>
            </w:pPr>
          </w:p>
        </w:tc>
        <w:tc>
          <w:tcPr>
            <w:tcW w:w="1413" w:type="dxa"/>
            <w:tcBorders>
              <w:top w:val="nil"/>
              <w:left w:val="nil"/>
              <w:bottom w:val="nil"/>
              <w:right w:val="nil"/>
            </w:tcBorders>
            <w:shd w:val="clear" w:color="auto" w:fill="auto"/>
            <w:noWrap/>
            <w:vAlign w:val="bottom"/>
          </w:tcPr>
          <w:p w14:paraId="05BE510F"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14.9</w:t>
            </w:r>
          </w:p>
        </w:tc>
        <w:tc>
          <w:tcPr>
            <w:tcW w:w="1195" w:type="dxa"/>
            <w:tcBorders>
              <w:top w:val="nil"/>
              <w:left w:val="nil"/>
              <w:bottom w:val="nil"/>
              <w:right w:val="nil"/>
            </w:tcBorders>
            <w:shd w:val="clear" w:color="auto" w:fill="auto"/>
            <w:noWrap/>
            <w:vAlign w:val="bottom"/>
          </w:tcPr>
          <w:p w14:paraId="71386AB6"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w:t>
            </w:r>
          </w:p>
        </w:tc>
      </w:tr>
      <w:tr w:rsidR="00D547AD" w:rsidRPr="00BA1388" w14:paraId="3E480517" w14:textId="77777777" w:rsidTr="00F600B5">
        <w:trPr>
          <w:trHeight w:val="227"/>
        </w:trPr>
        <w:tc>
          <w:tcPr>
            <w:tcW w:w="3085" w:type="dxa"/>
            <w:tcBorders>
              <w:top w:val="nil"/>
              <w:left w:val="nil"/>
              <w:bottom w:val="nil"/>
              <w:right w:val="nil"/>
            </w:tcBorders>
            <w:shd w:val="clear" w:color="FFFFFF" w:fill="auto"/>
            <w:vAlign w:val="center"/>
          </w:tcPr>
          <w:p w14:paraId="1458675D" w14:textId="77777777" w:rsidR="00D547AD" w:rsidRPr="00D547AD" w:rsidRDefault="00D547AD" w:rsidP="00D547AD">
            <w:pPr>
              <w:spacing w:before="0" w:after="0"/>
              <w:ind w:left="113"/>
              <w:rPr>
                <w:rFonts w:ascii="Arial" w:hAnsi="Arial"/>
                <w:sz w:val="16"/>
                <w:szCs w:val="16"/>
                <w:lang w:val="en-AU"/>
              </w:rPr>
            </w:pPr>
            <w:r w:rsidRPr="00D547AD">
              <w:rPr>
                <w:rFonts w:ascii="Arial" w:hAnsi="Arial"/>
                <w:sz w:val="16"/>
                <w:szCs w:val="16"/>
                <w:lang w:val="en-AU"/>
              </w:rPr>
              <w:t>Army Aviation Centre Oakey</w:t>
            </w:r>
          </w:p>
        </w:tc>
        <w:tc>
          <w:tcPr>
            <w:tcW w:w="1790" w:type="dxa"/>
            <w:tcBorders>
              <w:top w:val="nil"/>
              <w:left w:val="nil"/>
              <w:bottom w:val="nil"/>
              <w:right w:val="nil"/>
            </w:tcBorders>
            <w:shd w:val="clear" w:color="FFFFFF" w:fill="auto"/>
            <w:vAlign w:val="center"/>
          </w:tcPr>
          <w:p w14:paraId="1E82202C" w14:textId="77777777" w:rsidR="00D547AD" w:rsidRPr="00D547AD" w:rsidRDefault="00D547AD" w:rsidP="00D547AD">
            <w:pPr>
              <w:spacing w:before="0" w:after="0"/>
              <w:jc w:val="right"/>
              <w:rPr>
                <w:rFonts w:ascii="Arial" w:hAnsi="Arial"/>
                <w:sz w:val="16"/>
                <w:szCs w:val="16"/>
                <w:lang w:val="en-AU"/>
              </w:rPr>
            </w:pPr>
            <w:r w:rsidRPr="00D547AD">
              <w:rPr>
                <w:rFonts w:ascii="Arial" w:hAnsi="Arial"/>
                <w:sz w:val="16"/>
                <w:szCs w:val="16"/>
                <w:lang w:val="en-AU"/>
              </w:rPr>
              <w:t>QLD - Groom</w:t>
            </w:r>
          </w:p>
        </w:tc>
        <w:tc>
          <w:tcPr>
            <w:tcW w:w="1191" w:type="dxa"/>
            <w:tcBorders>
              <w:top w:val="nil"/>
              <w:left w:val="nil"/>
              <w:bottom w:val="nil"/>
              <w:right w:val="nil"/>
            </w:tcBorders>
            <w:shd w:val="clear" w:color="FFFFFF" w:fill="auto"/>
            <w:noWrap/>
            <w:vAlign w:val="center"/>
          </w:tcPr>
          <w:p w14:paraId="0118F31B" w14:textId="77777777" w:rsidR="00D547AD" w:rsidRPr="00D547AD" w:rsidRDefault="00D547AD" w:rsidP="00D547AD">
            <w:pPr>
              <w:spacing w:before="0" w:after="0"/>
              <w:jc w:val="right"/>
              <w:rPr>
                <w:rFonts w:ascii="Arial" w:hAnsi="Arial"/>
                <w:sz w:val="16"/>
                <w:szCs w:val="16"/>
                <w:lang w:val="en-AU"/>
              </w:rPr>
            </w:pPr>
          </w:p>
        </w:tc>
        <w:tc>
          <w:tcPr>
            <w:tcW w:w="1413" w:type="dxa"/>
            <w:tcBorders>
              <w:top w:val="nil"/>
              <w:left w:val="nil"/>
              <w:bottom w:val="nil"/>
              <w:right w:val="nil"/>
            </w:tcBorders>
            <w:shd w:val="clear" w:color="auto" w:fill="auto"/>
            <w:noWrap/>
            <w:vAlign w:val="bottom"/>
          </w:tcPr>
          <w:p w14:paraId="35331259"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18.6</w:t>
            </w:r>
          </w:p>
        </w:tc>
        <w:tc>
          <w:tcPr>
            <w:tcW w:w="1195" w:type="dxa"/>
            <w:tcBorders>
              <w:top w:val="nil"/>
              <w:left w:val="nil"/>
              <w:bottom w:val="nil"/>
              <w:right w:val="nil"/>
            </w:tcBorders>
            <w:shd w:val="clear" w:color="auto" w:fill="auto"/>
            <w:noWrap/>
            <w:vAlign w:val="bottom"/>
          </w:tcPr>
          <w:p w14:paraId="0353BB60"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w:t>
            </w:r>
          </w:p>
        </w:tc>
      </w:tr>
      <w:tr w:rsidR="00D547AD" w:rsidRPr="00BA1388" w14:paraId="05BFE818" w14:textId="77777777" w:rsidTr="00F600B5">
        <w:trPr>
          <w:trHeight w:val="227"/>
        </w:trPr>
        <w:tc>
          <w:tcPr>
            <w:tcW w:w="3085" w:type="dxa"/>
            <w:tcBorders>
              <w:top w:val="nil"/>
              <w:left w:val="nil"/>
              <w:bottom w:val="nil"/>
              <w:right w:val="nil"/>
            </w:tcBorders>
            <w:shd w:val="clear" w:color="FFFFFF" w:fill="auto"/>
            <w:vAlign w:val="center"/>
          </w:tcPr>
          <w:p w14:paraId="6BF80FD2" w14:textId="77777777" w:rsidR="00D547AD" w:rsidRPr="00D547AD" w:rsidRDefault="00D547AD" w:rsidP="00D547AD">
            <w:pPr>
              <w:spacing w:before="0" w:after="0"/>
              <w:ind w:left="113"/>
              <w:rPr>
                <w:rFonts w:ascii="Arial" w:hAnsi="Arial"/>
                <w:sz w:val="16"/>
                <w:szCs w:val="16"/>
                <w:lang w:val="en-AU"/>
              </w:rPr>
            </w:pPr>
            <w:r w:rsidRPr="00D547AD">
              <w:rPr>
                <w:rFonts w:ascii="Arial" w:hAnsi="Arial"/>
                <w:sz w:val="16"/>
                <w:szCs w:val="16"/>
                <w:lang w:val="en-AU"/>
              </w:rPr>
              <w:t>Gallipoli Barracks</w:t>
            </w:r>
          </w:p>
        </w:tc>
        <w:tc>
          <w:tcPr>
            <w:tcW w:w="1790" w:type="dxa"/>
            <w:tcBorders>
              <w:top w:val="nil"/>
              <w:left w:val="nil"/>
              <w:bottom w:val="nil"/>
              <w:right w:val="nil"/>
            </w:tcBorders>
            <w:shd w:val="clear" w:color="FFFFFF" w:fill="auto"/>
            <w:vAlign w:val="center"/>
          </w:tcPr>
          <w:p w14:paraId="2683D6E3" w14:textId="77777777" w:rsidR="00D547AD" w:rsidRPr="00D547AD" w:rsidRDefault="00D547AD" w:rsidP="00D547AD">
            <w:pPr>
              <w:spacing w:before="0" w:after="0"/>
              <w:jc w:val="right"/>
              <w:rPr>
                <w:rFonts w:ascii="Arial" w:hAnsi="Arial"/>
                <w:sz w:val="16"/>
                <w:szCs w:val="16"/>
                <w:lang w:val="en-AU"/>
              </w:rPr>
            </w:pPr>
            <w:r w:rsidRPr="00D547AD">
              <w:rPr>
                <w:rFonts w:ascii="Arial" w:hAnsi="Arial"/>
                <w:sz w:val="16"/>
                <w:szCs w:val="16"/>
                <w:lang w:val="en-AU"/>
              </w:rPr>
              <w:t>QLD - Ryan</w:t>
            </w:r>
          </w:p>
        </w:tc>
        <w:tc>
          <w:tcPr>
            <w:tcW w:w="1191" w:type="dxa"/>
            <w:tcBorders>
              <w:top w:val="nil"/>
              <w:left w:val="nil"/>
              <w:bottom w:val="nil"/>
              <w:right w:val="nil"/>
            </w:tcBorders>
            <w:shd w:val="clear" w:color="FFFFFF" w:fill="auto"/>
            <w:noWrap/>
            <w:vAlign w:val="center"/>
          </w:tcPr>
          <w:p w14:paraId="2AD79603" w14:textId="77777777" w:rsidR="00D547AD" w:rsidRPr="00D547AD" w:rsidRDefault="00D547AD" w:rsidP="00D547AD">
            <w:pPr>
              <w:spacing w:before="0" w:after="0"/>
              <w:jc w:val="right"/>
              <w:rPr>
                <w:rFonts w:ascii="Arial" w:hAnsi="Arial"/>
                <w:sz w:val="16"/>
                <w:szCs w:val="16"/>
                <w:lang w:val="en-AU"/>
              </w:rPr>
            </w:pPr>
          </w:p>
        </w:tc>
        <w:tc>
          <w:tcPr>
            <w:tcW w:w="1413" w:type="dxa"/>
            <w:tcBorders>
              <w:top w:val="nil"/>
              <w:left w:val="nil"/>
              <w:bottom w:val="nil"/>
              <w:right w:val="nil"/>
            </w:tcBorders>
            <w:shd w:val="clear" w:color="auto" w:fill="auto"/>
            <w:noWrap/>
            <w:vAlign w:val="bottom"/>
          </w:tcPr>
          <w:p w14:paraId="2BA2B8DF"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11.1</w:t>
            </w:r>
          </w:p>
        </w:tc>
        <w:tc>
          <w:tcPr>
            <w:tcW w:w="1195" w:type="dxa"/>
            <w:tcBorders>
              <w:top w:val="nil"/>
              <w:left w:val="nil"/>
              <w:bottom w:val="nil"/>
              <w:right w:val="nil"/>
            </w:tcBorders>
            <w:shd w:val="clear" w:color="auto" w:fill="auto"/>
            <w:noWrap/>
            <w:vAlign w:val="bottom"/>
          </w:tcPr>
          <w:p w14:paraId="1C9B1D4E"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w:t>
            </w:r>
          </w:p>
        </w:tc>
      </w:tr>
      <w:tr w:rsidR="00D547AD" w:rsidRPr="00BA1388" w14:paraId="29EEDED4" w14:textId="77777777" w:rsidTr="00F600B5">
        <w:trPr>
          <w:trHeight w:val="227"/>
        </w:trPr>
        <w:tc>
          <w:tcPr>
            <w:tcW w:w="3085" w:type="dxa"/>
            <w:tcBorders>
              <w:top w:val="nil"/>
              <w:left w:val="nil"/>
              <w:bottom w:val="nil"/>
              <w:right w:val="nil"/>
            </w:tcBorders>
            <w:shd w:val="clear" w:color="FFFFFF" w:fill="auto"/>
            <w:vAlign w:val="center"/>
          </w:tcPr>
          <w:p w14:paraId="2E37A162" w14:textId="77777777" w:rsidR="00D547AD" w:rsidRPr="00D547AD" w:rsidRDefault="00D547AD" w:rsidP="00D547AD">
            <w:pPr>
              <w:spacing w:before="0" w:after="0"/>
              <w:ind w:left="113"/>
              <w:rPr>
                <w:rFonts w:ascii="Arial" w:hAnsi="Arial"/>
                <w:sz w:val="16"/>
                <w:szCs w:val="16"/>
                <w:lang w:val="en-AU"/>
              </w:rPr>
            </w:pPr>
            <w:r w:rsidRPr="00D547AD">
              <w:rPr>
                <w:rFonts w:ascii="Arial" w:hAnsi="Arial"/>
                <w:sz w:val="16"/>
                <w:szCs w:val="16"/>
                <w:lang w:val="en-AU"/>
              </w:rPr>
              <w:t>Campbell Barracks</w:t>
            </w:r>
          </w:p>
        </w:tc>
        <w:tc>
          <w:tcPr>
            <w:tcW w:w="1790" w:type="dxa"/>
            <w:tcBorders>
              <w:top w:val="nil"/>
              <w:left w:val="nil"/>
              <w:bottom w:val="nil"/>
              <w:right w:val="nil"/>
            </w:tcBorders>
            <w:shd w:val="clear" w:color="FFFFFF" w:fill="auto"/>
            <w:vAlign w:val="center"/>
          </w:tcPr>
          <w:p w14:paraId="2736FD14" w14:textId="77777777" w:rsidR="00D547AD" w:rsidRPr="00D547AD" w:rsidRDefault="00D547AD" w:rsidP="00D547AD">
            <w:pPr>
              <w:spacing w:before="0" w:after="0"/>
              <w:jc w:val="right"/>
              <w:rPr>
                <w:rFonts w:ascii="Arial" w:hAnsi="Arial"/>
                <w:sz w:val="16"/>
                <w:szCs w:val="16"/>
                <w:lang w:val="en-AU"/>
              </w:rPr>
            </w:pPr>
            <w:r w:rsidRPr="00D547AD">
              <w:rPr>
                <w:rFonts w:ascii="Arial" w:hAnsi="Arial"/>
                <w:sz w:val="16"/>
                <w:szCs w:val="16"/>
                <w:lang w:val="en-AU"/>
              </w:rPr>
              <w:t>WA - Curtin</w:t>
            </w:r>
          </w:p>
        </w:tc>
        <w:tc>
          <w:tcPr>
            <w:tcW w:w="1191" w:type="dxa"/>
            <w:tcBorders>
              <w:top w:val="nil"/>
              <w:left w:val="nil"/>
              <w:bottom w:val="nil"/>
              <w:right w:val="nil"/>
            </w:tcBorders>
            <w:shd w:val="clear" w:color="FFFFFF" w:fill="auto"/>
            <w:noWrap/>
            <w:vAlign w:val="center"/>
          </w:tcPr>
          <w:p w14:paraId="03979EE4" w14:textId="77777777" w:rsidR="00D547AD" w:rsidRPr="00D547AD" w:rsidRDefault="00D547AD" w:rsidP="00D547AD">
            <w:pPr>
              <w:spacing w:before="0" w:after="0"/>
              <w:jc w:val="right"/>
              <w:rPr>
                <w:rFonts w:ascii="Arial" w:hAnsi="Arial"/>
                <w:sz w:val="16"/>
                <w:szCs w:val="16"/>
                <w:lang w:val="en-AU"/>
              </w:rPr>
            </w:pPr>
          </w:p>
        </w:tc>
        <w:tc>
          <w:tcPr>
            <w:tcW w:w="1413" w:type="dxa"/>
            <w:tcBorders>
              <w:top w:val="nil"/>
              <w:left w:val="nil"/>
              <w:bottom w:val="nil"/>
              <w:right w:val="nil"/>
            </w:tcBorders>
            <w:shd w:val="clear" w:color="auto" w:fill="auto"/>
            <w:noWrap/>
            <w:vAlign w:val="bottom"/>
          </w:tcPr>
          <w:p w14:paraId="6AB75443"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17.2</w:t>
            </w:r>
          </w:p>
        </w:tc>
        <w:tc>
          <w:tcPr>
            <w:tcW w:w="1195" w:type="dxa"/>
            <w:tcBorders>
              <w:top w:val="nil"/>
              <w:left w:val="nil"/>
              <w:bottom w:val="nil"/>
              <w:right w:val="nil"/>
            </w:tcBorders>
            <w:shd w:val="clear" w:color="auto" w:fill="auto"/>
            <w:noWrap/>
            <w:vAlign w:val="bottom"/>
          </w:tcPr>
          <w:p w14:paraId="16287A77"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w:t>
            </w:r>
          </w:p>
        </w:tc>
      </w:tr>
      <w:tr w:rsidR="00D547AD" w:rsidRPr="00BA1388" w14:paraId="250F88A2" w14:textId="77777777" w:rsidTr="00F600B5">
        <w:trPr>
          <w:trHeight w:val="227"/>
        </w:trPr>
        <w:tc>
          <w:tcPr>
            <w:tcW w:w="3085" w:type="dxa"/>
            <w:tcBorders>
              <w:top w:val="nil"/>
              <w:left w:val="nil"/>
              <w:bottom w:val="nil"/>
              <w:right w:val="nil"/>
            </w:tcBorders>
            <w:shd w:val="clear" w:color="FFFFFF" w:fill="auto"/>
            <w:vAlign w:val="center"/>
          </w:tcPr>
          <w:p w14:paraId="4BE73C50" w14:textId="77777777" w:rsidR="00D547AD" w:rsidRPr="00D547AD" w:rsidRDefault="00D547AD" w:rsidP="00D547AD">
            <w:pPr>
              <w:spacing w:before="0" w:after="0"/>
              <w:ind w:left="113"/>
              <w:rPr>
                <w:rFonts w:ascii="Arial" w:hAnsi="Arial"/>
                <w:sz w:val="16"/>
                <w:szCs w:val="16"/>
                <w:lang w:val="en-AU"/>
              </w:rPr>
            </w:pPr>
            <w:r w:rsidRPr="00D547AD">
              <w:rPr>
                <w:rFonts w:ascii="Arial" w:hAnsi="Arial"/>
                <w:sz w:val="16"/>
                <w:szCs w:val="16"/>
                <w:lang w:val="en-AU"/>
              </w:rPr>
              <w:t>RAAF Townsville</w:t>
            </w:r>
          </w:p>
        </w:tc>
        <w:tc>
          <w:tcPr>
            <w:tcW w:w="1790" w:type="dxa"/>
            <w:tcBorders>
              <w:top w:val="nil"/>
              <w:left w:val="nil"/>
              <w:bottom w:val="nil"/>
              <w:right w:val="nil"/>
            </w:tcBorders>
            <w:shd w:val="clear" w:color="FFFFFF" w:fill="auto"/>
            <w:vAlign w:val="center"/>
          </w:tcPr>
          <w:p w14:paraId="0101A5FA" w14:textId="77777777" w:rsidR="00D547AD" w:rsidRPr="00D547AD" w:rsidRDefault="00D547AD" w:rsidP="00D547AD">
            <w:pPr>
              <w:spacing w:before="0" w:after="0"/>
              <w:jc w:val="right"/>
              <w:rPr>
                <w:rFonts w:ascii="Arial" w:hAnsi="Arial"/>
                <w:sz w:val="16"/>
                <w:szCs w:val="16"/>
                <w:lang w:val="en-AU"/>
              </w:rPr>
            </w:pPr>
            <w:r w:rsidRPr="00D547AD">
              <w:rPr>
                <w:rFonts w:ascii="Arial" w:hAnsi="Arial"/>
                <w:sz w:val="16"/>
                <w:szCs w:val="16"/>
                <w:lang w:val="en-AU"/>
              </w:rPr>
              <w:t>QLD - Herbert</w:t>
            </w:r>
          </w:p>
        </w:tc>
        <w:tc>
          <w:tcPr>
            <w:tcW w:w="1191" w:type="dxa"/>
            <w:tcBorders>
              <w:top w:val="nil"/>
              <w:left w:val="nil"/>
              <w:bottom w:val="nil"/>
              <w:right w:val="nil"/>
            </w:tcBorders>
            <w:shd w:val="clear" w:color="FFFFFF" w:fill="auto"/>
            <w:noWrap/>
            <w:vAlign w:val="center"/>
          </w:tcPr>
          <w:p w14:paraId="3749244A" w14:textId="77777777" w:rsidR="00D547AD" w:rsidRPr="00D547AD" w:rsidRDefault="00D547AD" w:rsidP="00D547AD">
            <w:pPr>
              <w:spacing w:before="0" w:after="0"/>
              <w:jc w:val="right"/>
              <w:rPr>
                <w:rFonts w:ascii="Arial" w:hAnsi="Arial"/>
                <w:sz w:val="16"/>
                <w:szCs w:val="16"/>
                <w:lang w:val="en-AU"/>
              </w:rPr>
            </w:pPr>
          </w:p>
        </w:tc>
        <w:tc>
          <w:tcPr>
            <w:tcW w:w="1413" w:type="dxa"/>
            <w:tcBorders>
              <w:top w:val="nil"/>
              <w:left w:val="nil"/>
              <w:bottom w:val="nil"/>
              <w:right w:val="nil"/>
            </w:tcBorders>
            <w:shd w:val="clear" w:color="auto" w:fill="auto"/>
            <w:noWrap/>
            <w:vAlign w:val="bottom"/>
          </w:tcPr>
          <w:p w14:paraId="0C01F4C4"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15.4</w:t>
            </w:r>
          </w:p>
        </w:tc>
        <w:tc>
          <w:tcPr>
            <w:tcW w:w="1195" w:type="dxa"/>
            <w:tcBorders>
              <w:top w:val="nil"/>
              <w:left w:val="nil"/>
              <w:bottom w:val="nil"/>
              <w:right w:val="nil"/>
            </w:tcBorders>
            <w:shd w:val="clear" w:color="auto" w:fill="auto"/>
            <w:noWrap/>
            <w:vAlign w:val="bottom"/>
          </w:tcPr>
          <w:p w14:paraId="4217C5E4"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w:t>
            </w:r>
          </w:p>
        </w:tc>
      </w:tr>
      <w:tr w:rsidR="00D547AD" w:rsidRPr="00BA1388" w14:paraId="2E3CCEDA" w14:textId="77777777" w:rsidTr="00F600B5">
        <w:trPr>
          <w:trHeight w:val="227"/>
        </w:trPr>
        <w:tc>
          <w:tcPr>
            <w:tcW w:w="3085" w:type="dxa"/>
            <w:tcBorders>
              <w:top w:val="nil"/>
              <w:left w:val="nil"/>
              <w:bottom w:val="nil"/>
              <w:right w:val="nil"/>
            </w:tcBorders>
            <w:shd w:val="clear" w:color="FFFFFF" w:fill="auto"/>
            <w:vAlign w:val="center"/>
          </w:tcPr>
          <w:p w14:paraId="5FF9694B" w14:textId="77777777" w:rsidR="00D547AD" w:rsidRPr="00D547AD" w:rsidRDefault="00D547AD" w:rsidP="00D547AD">
            <w:pPr>
              <w:spacing w:before="0" w:after="0"/>
              <w:ind w:left="113"/>
              <w:rPr>
                <w:rFonts w:ascii="Arial" w:hAnsi="Arial"/>
                <w:sz w:val="16"/>
                <w:szCs w:val="16"/>
                <w:lang w:val="en-AU"/>
              </w:rPr>
            </w:pPr>
            <w:r w:rsidRPr="00D547AD">
              <w:rPr>
                <w:rFonts w:ascii="Arial" w:hAnsi="Arial"/>
                <w:sz w:val="16"/>
                <w:szCs w:val="16"/>
                <w:lang w:val="en-AU"/>
              </w:rPr>
              <w:t>RAAF Pearce</w:t>
            </w:r>
          </w:p>
        </w:tc>
        <w:tc>
          <w:tcPr>
            <w:tcW w:w="1790" w:type="dxa"/>
            <w:tcBorders>
              <w:top w:val="nil"/>
              <w:left w:val="nil"/>
              <w:bottom w:val="nil"/>
              <w:right w:val="nil"/>
            </w:tcBorders>
            <w:shd w:val="clear" w:color="FFFFFF" w:fill="auto"/>
            <w:vAlign w:val="center"/>
          </w:tcPr>
          <w:p w14:paraId="7E495628" w14:textId="77777777" w:rsidR="00D547AD" w:rsidRPr="00D547AD" w:rsidRDefault="00D547AD" w:rsidP="00D547AD">
            <w:pPr>
              <w:spacing w:before="0" w:after="0"/>
              <w:jc w:val="right"/>
              <w:rPr>
                <w:rFonts w:ascii="Arial" w:hAnsi="Arial"/>
                <w:sz w:val="16"/>
                <w:szCs w:val="16"/>
                <w:lang w:val="en-AU"/>
              </w:rPr>
            </w:pPr>
            <w:r w:rsidRPr="00D547AD">
              <w:rPr>
                <w:rFonts w:ascii="Arial" w:hAnsi="Arial"/>
                <w:sz w:val="16"/>
                <w:szCs w:val="16"/>
                <w:lang w:val="en-AU"/>
              </w:rPr>
              <w:t>WA - Pearce</w:t>
            </w:r>
          </w:p>
        </w:tc>
        <w:tc>
          <w:tcPr>
            <w:tcW w:w="1191" w:type="dxa"/>
            <w:tcBorders>
              <w:top w:val="nil"/>
              <w:left w:val="nil"/>
              <w:bottom w:val="nil"/>
              <w:right w:val="nil"/>
            </w:tcBorders>
            <w:shd w:val="clear" w:color="FFFFFF" w:fill="auto"/>
            <w:noWrap/>
            <w:vAlign w:val="center"/>
          </w:tcPr>
          <w:p w14:paraId="5E7B3CA8" w14:textId="77777777" w:rsidR="00D547AD" w:rsidRPr="00D547AD" w:rsidRDefault="00D547AD" w:rsidP="00D547AD">
            <w:pPr>
              <w:spacing w:before="0" w:after="0"/>
              <w:jc w:val="right"/>
              <w:rPr>
                <w:rFonts w:ascii="Arial" w:hAnsi="Arial"/>
                <w:sz w:val="16"/>
                <w:szCs w:val="16"/>
                <w:lang w:val="en-AU"/>
              </w:rPr>
            </w:pPr>
          </w:p>
        </w:tc>
        <w:tc>
          <w:tcPr>
            <w:tcW w:w="1413" w:type="dxa"/>
            <w:tcBorders>
              <w:top w:val="nil"/>
              <w:left w:val="nil"/>
              <w:bottom w:val="nil"/>
              <w:right w:val="nil"/>
            </w:tcBorders>
            <w:shd w:val="clear" w:color="auto" w:fill="auto"/>
            <w:noWrap/>
            <w:vAlign w:val="bottom"/>
          </w:tcPr>
          <w:p w14:paraId="38D2EA40"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5.7</w:t>
            </w:r>
          </w:p>
        </w:tc>
        <w:tc>
          <w:tcPr>
            <w:tcW w:w="1195" w:type="dxa"/>
            <w:tcBorders>
              <w:top w:val="nil"/>
              <w:left w:val="nil"/>
              <w:bottom w:val="nil"/>
              <w:right w:val="nil"/>
            </w:tcBorders>
            <w:shd w:val="clear" w:color="auto" w:fill="auto"/>
            <w:noWrap/>
            <w:vAlign w:val="bottom"/>
          </w:tcPr>
          <w:p w14:paraId="0E715E56"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w:t>
            </w:r>
          </w:p>
        </w:tc>
      </w:tr>
      <w:tr w:rsidR="00D547AD" w:rsidRPr="00BA1388" w14:paraId="119EAB8A" w14:textId="77777777" w:rsidTr="00F600B5">
        <w:trPr>
          <w:trHeight w:val="227"/>
        </w:trPr>
        <w:tc>
          <w:tcPr>
            <w:tcW w:w="3085" w:type="dxa"/>
            <w:tcBorders>
              <w:top w:val="nil"/>
              <w:left w:val="nil"/>
              <w:bottom w:val="nil"/>
              <w:right w:val="nil"/>
            </w:tcBorders>
            <w:shd w:val="clear" w:color="FFFFFF" w:fill="auto"/>
            <w:vAlign w:val="center"/>
          </w:tcPr>
          <w:p w14:paraId="6DD85137" w14:textId="77777777" w:rsidR="00D547AD" w:rsidRPr="00D547AD" w:rsidRDefault="00D547AD" w:rsidP="00D547AD">
            <w:pPr>
              <w:spacing w:before="0" w:after="0"/>
              <w:ind w:left="113"/>
              <w:rPr>
                <w:rFonts w:ascii="Arial" w:hAnsi="Arial"/>
                <w:b/>
                <w:bCs/>
                <w:sz w:val="16"/>
                <w:szCs w:val="16"/>
                <w:lang w:val="en-AU"/>
              </w:rPr>
            </w:pPr>
            <w:r w:rsidRPr="00D547AD">
              <w:rPr>
                <w:rFonts w:ascii="Arial" w:hAnsi="Arial"/>
                <w:sz w:val="16"/>
                <w:szCs w:val="16"/>
                <w:lang w:val="en-AU"/>
              </w:rPr>
              <w:t>RAAF Darwin</w:t>
            </w:r>
          </w:p>
        </w:tc>
        <w:tc>
          <w:tcPr>
            <w:tcW w:w="1790" w:type="dxa"/>
            <w:tcBorders>
              <w:top w:val="nil"/>
              <w:left w:val="nil"/>
              <w:bottom w:val="nil"/>
              <w:right w:val="nil"/>
            </w:tcBorders>
            <w:shd w:val="clear" w:color="FFFFFF" w:fill="auto"/>
            <w:vAlign w:val="center"/>
          </w:tcPr>
          <w:p w14:paraId="1EB0AAE3" w14:textId="77777777" w:rsidR="00D547AD" w:rsidRPr="00D547AD" w:rsidRDefault="00D547AD" w:rsidP="00D547AD">
            <w:pPr>
              <w:spacing w:before="0" w:after="0"/>
              <w:jc w:val="right"/>
              <w:rPr>
                <w:rFonts w:ascii="Arial" w:hAnsi="Arial"/>
                <w:sz w:val="16"/>
                <w:szCs w:val="16"/>
                <w:lang w:val="en-AU"/>
              </w:rPr>
            </w:pPr>
            <w:r w:rsidRPr="00D547AD">
              <w:rPr>
                <w:rFonts w:ascii="Arial" w:hAnsi="Arial"/>
                <w:sz w:val="16"/>
                <w:szCs w:val="16"/>
                <w:lang w:val="en-AU"/>
              </w:rPr>
              <w:t>NT - Solomon</w:t>
            </w:r>
          </w:p>
        </w:tc>
        <w:tc>
          <w:tcPr>
            <w:tcW w:w="1191" w:type="dxa"/>
            <w:tcBorders>
              <w:top w:val="nil"/>
              <w:left w:val="nil"/>
              <w:bottom w:val="nil"/>
              <w:right w:val="nil"/>
            </w:tcBorders>
            <w:shd w:val="clear" w:color="FFFFFF" w:fill="auto"/>
            <w:noWrap/>
            <w:vAlign w:val="center"/>
          </w:tcPr>
          <w:p w14:paraId="7A987C56" w14:textId="77777777" w:rsidR="00D547AD" w:rsidRPr="00D547AD" w:rsidRDefault="00D547AD" w:rsidP="00D547AD">
            <w:pPr>
              <w:spacing w:before="0" w:after="0"/>
              <w:jc w:val="right"/>
              <w:rPr>
                <w:rFonts w:ascii="Arial" w:hAnsi="Arial"/>
                <w:sz w:val="16"/>
                <w:szCs w:val="16"/>
                <w:lang w:val="en-AU"/>
              </w:rPr>
            </w:pPr>
          </w:p>
        </w:tc>
        <w:tc>
          <w:tcPr>
            <w:tcW w:w="1413" w:type="dxa"/>
            <w:tcBorders>
              <w:top w:val="nil"/>
              <w:left w:val="nil"/>
              <w:bottom w:val="nil"/>
              <w:right w:val="nil"/>
            </w:tcBorders>
            <w:shd w:val="clear" w:color="auto" w:fill="auto"/>
            <w:noWrap/>
            <w:vAlign w:val="bottom"/>
          </w:tcPr>
          <w:p w14:paraId="46E6E016"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37.7</w:t>
            </w:r>
          </w:p>
        </w:tc>
        <w:tc>
          <w:tcPr>
            <w:tcW w:w="1195" w:type="dxa"/>
            <w:tcBorders>
              <w:top w:val="nil"/>
              <w:left w:val="nil"/>
              <w:bottom w:val="nil"/>
              <w:right w:val="nil"/>
            </w:tcBorders>
            <w:shd w:val="clear" w:color="auto" w:fill="auto"/>
            <w:noWrap/>
            <w:vAlign w:val="bottom"/>
          </w:tcPr>
          <w:p w14:paraId="222F74C0" w14:textId="0A954A0D" w:rsidR="00D547AD" w:rsidRPr="009E4B9D" w:rsidRDefault="008B2430" w:rsidP="00D547AD">
            <w:pPr>
              <w:spacing w:before="0" w:after="0" w:line="276" w:lineRule="auto"/>
              <w:jc w:val="right"/>
              <w:rPr>
                <w:rFonts w:ascii="Arial" w:hAnsi="Arial"/>
                <w:sz w:val="16"/>
                <w:szCs w:val="16"/>
                <w:lang w:eastAsia="en-US"/>
              </w:rPr>
            </w:pPr>
            <w:r>
              <w:rPr>
                <w:rFonts w:ascii="Arial" w:hAnsi="Arial"/>
                <w:sz w:val="16"/>
                <w:szCs w:val="16"/>
                <w:lang w:eastAsia="en-US"/>
              </w:rPr>
              <w:t>0.0</w:t>
            </w:r>
          </w:p>
        </w:tc>
      </w:tr>
      <w:tr w:rsidR="00D547AD" w:rsidRPr="00BA1388" w14:paraId="6DF34A73" w14:textId="77777777" w:rsidTr="00F600B5">
        <w:trPr>
          <w:trHeight w:val="227"/>
        </w:trPr>
        <w:tc>
          <w:tcPr>
            <w:tcW w:w="3085" w:type="dxa"/>
            <w:tcBorders>
              <w:top w:val="nil"/>
              <w:left w:val="nil"/>
              <w:bottom w:val="single" w:sz="4" w:space="0" w:color="auto"/>
              <w:right w:val="nil"/>
            </w:tcBorders>
            <w:shd w:val="clear" w:color="FFFFFF" w:fill="auto"/>
            <w:vAlign w:val="center"/>
          </w:tcPr>
          <w:p w14:paraId="0F27930B" w14:textId="77777777" w:rsidR="00D547AD" w:rsidRPr="00D547AD" w:rsidRDefault="00D547AD" w:rsidP="00D547AD">
            <w:pPr>
              <w:spacing w:before="0" w:after="0"/>
              <w:rPr>
                <w:rFonts w:ascii="Arial" w:hAnsi="Arial"/>
                <w:b/>
                <w:bCs/>
                <w:sz w:val="16"/>
                <w:szCs w:val="16"/>
                <w:lang w:val="en-AU"/>
              </w:rPr>
            </w:pPr>
            <w:r w:rsidRPr="00D547AD">
              <w:rPr>
                <w:rFonts w:ascii="Arial" w:hAnsi="Arial"/>
                <w:b/>
                <w:bCs/>
                <w:sz w:val="16"/>
                <w:szCs w:val="16"/>
                <w:lang w:val="en-AU"/>
              </w:rPr>
              <w:t>Total</w:t>
            </w:r>
          </w:p>
        </w:tc>
        <w:tc>
          <w:tcPr>
            <w:tcW w:w="1790" w:type="dxa"/>
            <w:tcBorders>
              <w:top w:val="nil"/>
              <w:left w:val="nil"/>
              <w:bottom w:val="single" w:sz="4" w:space="0" w:color="auto"/>
              <w:right w:val="nil"/>
            </w:tcBorders>
            <w:shd w:val="clear" w:color="FFFFFF" w:fill="auto"/>
            <w:vAlign w:val="center"/>
          </w:tcPr>
          <w:p w14:paraId="7C40D287" w14:textId="77777777" w:rsidR="00D547AD" w:rsidRPr="00D547AD" w:rsidRDefault="00D547AD" w:rsidP="00D547AD">
            <w:pPr>
              <w:spacing w:before="0" w:after="0"/>
              <w:jc w:val="right"/>
              <w:rPr>
                <w:rFonts w:ascii="Arial" w:hAnsi="Arial"/>
                <w:sz w:val="16"/>
                <w:szCs w:val="16"/>
                <w:lang w:val="en-AU"/>
              </w:rPr>
            </w:pPr>
          </w:p>
        </w:tc>
        <w:tc>
          <w:tcPr>
            <w:tcW w:w="1191" w:type="dxa"/>
            <w:tcBorders>
              <w:top w:val="nil"/>
              <w:left w:val="nil"/>
              <w:bottom w:val="single" w:sz="4" w:space="0" w:color="auto"/>
              <w:right w:val="nil"/>
            </w:tcBorders>
            <w:shd w:val="clear" w:color="FFFFFF" w:fill="auto"/>
            <w:noWrap/>
            <w:vAlign w:val="center"/>
          </w:tcPr>
          <w:p w14:paraId="5DD97476" w14:textId="6FA18F0D" w:rsidR="00D547AD" w:rsidRPr="00D547AD" w:rsidRDefault="00D547AD" w:rsidP="008B2430">
            <w:pPr>
              <w:spacing w:before="0" w:after="0"/>
              <w:jc w:val="right"/>
              <w:rPr>
                <w:rFonts w:ascii="Arial" w:hAnsi="Arial"/>
                <w:b/>
                <w:bCs/>
                <w:sz w:val="16"/>
                <w:szCs w:val="16"/>
                <w:lang w:val="en-AU"/>
              </w:rPr>
            </w:pPr>
            <w:r>
              <w:rPr>
                <w:rFonts w:ascii="Arial" w:hAnsi="Arial"/>
                <w:b/>
                <w:bCs/>
                <w:sz w:val="16"/>
                <w:szCs w:val="16"/>
                <w:lang w:val="en-AU"/>
              </w:rPr>
              <w:t>2</w:t>
            </w:r>
            <w:r w:rsidR="008B2430">
              <w:rPr>
                <w:rFonts w:ascii="Arial" w:hAnsi="Arial"/>
                <w:b/>
                <w:bCs/>
                <w:sz w:val="16"/>
                <w:szCs w:val="16"/>
                <w:lang w:val="en-AU"/>
              </w:rPr>
              <w:t>51.8</w:t>
            </w:r>
          </w:p>
        </w:tc>
        <w:tc>
          <w:tcPr>
            <w:tcW w:w="1413" w:type="dxa"/>
            <w:tcBorders>
              <w:top w:val="nil"/>
              <w:left w:val="nil"/>
              <w:bottom w:val="single" w:sz="4" w:space="0" w:color="auto"/>
              <w:right w:val="nil"/>
            </w:tcBorders>
            <w:shd w:val="clear" w:color="auto" w:fill="auto"/>
            <w:noWrap/>
            <w:vAlign w:val="bottom"/>
          </w:tcPr>
          <w:p w14:paraId="7A55B099" w14:textId="77777777" w:rsidR="00D547AD" w:rsidRPr="009E4B9D" w:rsidRDefault="00D547AD" w:rsidP="00D547AD">
            <w:pPr>
              <w:spacing w:before="0" w:after="0" w:line="276" w:lineRule="auto"/>
              <w:jc w:val="right"/>
              <w:rPr>
                <w:rFonts w:ascii="Arial" w:hAnsi="Arial"/>
                <w:b/>
                <w:sz w:val="16"/>
                <w:szCs w:val="16"/>
                <w:lang w:eastAsia="en-US"/>
              </w:rPr>
            </w:pPr>
            <w:r w:rsidRPr="009E4B9D">
              <w:rPr>
                <w:rFonts w:ascii="Arial" w:hAnsi="Arial"/>
                <w:b/>
                <w:sz w:val="16"/>
                <w:szCs w:val="16"/>
                <w:lang w:eastAsia="en-US"/>
              </w:rPr>
              <w:t>239.4</w:t>
            </w:r>
          </w:p>
        </w:tc>
        <w:tc>
          <w:tcPr>
            <w:tcW w:w="1195" w:type="dxa"/>
            <w:tcBorders>
              <w:top w:val="nil"/>
              <w:left w:val="nil"/>
              <w:bottom w:val="single" w:sz="4" w:space="0" w:color="auto"/>
              <w:right w:val="nil"/>
            </w:tcBorders>
            <w:shd w:val="clear" w:color="auto" w:fill="auto"/>
            <w:noWrap/>
            <w:vAlign w:val="bottom"/>
          </w:tcPr>
          <w:p w14:paraId="4464E6B3" w14:textId="77777777" w:rsidR="00D547AD" w:rsidRPr="009E4B9D" w:rsidRDefault="00D547AD" w:rsidP="00D547AD">
            <w:pPr>
              <w:spacing w:before="0" w:after="0" w:line="276" w:lineRule="auto"/>
              <w:jc w:val="right"/>
              <w:rPr>
                <w:rFonts w:ascii="Arial" w:hAnsi="Arial"/>
                <w:b/>
                <w:sz w:val="16"/>
                <w:szCs w:val="16"/>
                <w:lang w:eastAsia="en-US"/>
              </w:rPr>
            </w:pPr>
            <w:r w:rsidRPr="009E4B9D">
              <w:rPr>
                <w:rFonts w:ascii="Arial" w:hAnsi="Arial"/>
                <w:b/>
                <w:sz w:val="16"/>
                <w:szCs w:val="16"/>
                <w:lang w:eastAsia="en-US"/>
              </w:rPr>
              <w:t>0.0</w:t>
            </w:r>
          </w:p>
        </w:tc>
      </w:tr>
      <w:tr w:rsidR="00FB0744" w:rsidRPr="00BA1388" w14:paraId="13DBF6CB" w14:textId="77777777" w:rsidTr="006868B3">
        <w:trPr>
          <w:trHeight w:val="227"/>
        </w:trPr>
        <w:tc>
          <w:tcPr>
            <w:tcW w:w="3085" w:type="dxa"/>
            <w:tcBorders>
              <w:top w:val="single" w:sz="4" w:space="0" w:color="auto"/>
              <w:left w:val="nil"/>
              <w:bottom w:val="nil"/>
              <w:right w:val="nil"/>
            </w:tcBorders>
            <w:shd w:val="clear" w:color="FFFFFF" w:fill="auto"/>
            <w:vAlign w:val="center"/>
            <w:hideMark/>
          </w:tcPr>
          <w:p w14:paraId="297C0D6C" w14:textId="77777777" w:rsidR="00FB0744" w:rsidRPr="00D547AD" w:rsidRDefault="00FB0744" w:rsidP="00FB0744">
            <w:pPr>
              <w:spacing w:before="0" w:after="0"/>
              <w:rPr>
                <w:rFonts w:ascii="Arial" w:hAnsi="Arial"/>
                <w:b/>
                <w:bCs/>
                <w:sz w:val="16"/>
                <w:szCs w:val="16"/>
                <w:lang w:val="en-AU"/>
              </w:rPr>
            </w:pPr>
            <w:r w:rsidRPr="00D547AD">
              <w:rPr>
                <w:rFonts w:ascii="Arial" w:hAnsi="Arial"/>
                <w:b/>
                <w:bCs/>
                <w:sz w:val="16"/>
                <w:szCs w:val="16"/>
                <w:lang w:val="en-AU"/>
              </w:rPr>
              <w:t>Armoured Fighting Vehicles Facilities Program Stage 1</w:t>
            </w:r>
            <w:r w:rsidRPr="00D547AD">
              <w:rPr>
                <w:rFonts w:ascii="Arial" w:hAnsi="Arial"/>
                <w:b/>
                <w:bCs/>
                <w:sz w:val="16"/>
                <w:szCs w:val="16"/>
                <w:vertAlign w:val="superscript"/>
                <w:lang w:val="en-AU"/>
              </w:rPr>
              <w:t xml:space="preserve"> </w:t>
            </w:r>
          </w:p>
        </w:tc>
        <w:tc>
          <w:tcPr>
            <w:tcW w:w="1790" w:type="dxa"/>
            <w:tcBorders>
              <w:top w:val="single" w:sz="4" w:space="0" w:color="auto"/>
              <w:left w:val="nil"/>
              <w:bottom w:val="nil"/>
              <w:right w:val="nil"/>
            </w:tcBorders>
            <w:shd w:val="clear" w:color="FFFFFF" w:fill="auto"/>
            <w:vAlign w:val="center"/>
            <w:hideMark/>
          </w:tcPr>
          <w:p w14:paraId="171BB497" w14:textId="77777777" w:rsidR="00FB0744" w:rsidRPr="00D547AD" w:rsidRDefault="00FB0744" w:rsidP="00FB0744">
            <w:pPr>
              <w:spacing w:before="0" w:after="0"/>
              <w:jc w:val="right"/>
              <w:rPr>
                <w:rFonts w:ascii="Arial" w:hAnsi="Arial"/>
                <w:sz w:val="16"/>
                <w:szCs w:val="16"/>
                <w:lang w:val="en-AU"/>
              </w:rPr>
            </w:pPr>
          </w:p>
        </w:tc>
        <w:tc>
          <w:tcPr>
            <w:tcW w:w="1191" w:type="dxa"/>
            <w:tcBorders>
              <w:top w:val="single" w:sz="4" w:space="0" w:color="auto"/>
              <w:left w:val="nil"/>
              <w:bottom w:val="nil"/>
              <w:right w:val="nil"/>
            </w:tcBorders>
            <w:shd w:val="clear" w:color="FFFFFF" w:fill="auto"/>
            <w:noWrap/>
            <w:vAlign w:val="center"/>
          </w:tcPr>
          <w:p w14:paraId="1CEBBBDB" w14:textId="77777777" w:rsidR="00FB0744" w:rsidRPr="00D547AD" w:rsidRDefault="00FB0744" w:rsidP="00FB0744">
            <w:pPr>
              <w:spacing w:before="0" w:after="0"/>
              <w:jc w:val="right"/>
              <w:rPr>
                <w:rFonts w:ascii="Arial" w:hAnsi="Arial"/>
                <w:b/>
                <w:bCs/>
                <w:sz w:val="16"/>
                <w:szCs w:val="16"/>
                <w:lang w:val="en-AU"/>
              </w:rPr>
            </w:pPr>
          </w:p>
        </w:tc>
        <w:tc>
          <w:tcPr>
            <w:tcW w:w="1413" w:type="dxa"/>
            <w:tcBorders>
              <w:top w:val="single" w:sz="4" w:space="0" w:color="auto"/>
              <w:left w:val="nil"/>
              <w:bottom w:val="nil"/>
              <w:right w:val="nil"/>
            </w:tcBorders>
            <w:shd w:val="clear" w:color="FFFFFF" w:fill="auto"/>
            <w:noWrap/>
            <w:vAlign w:val="center"/>
          </w:tcPr>
          <w:p w14:paraId="1A92807A" w14:textId="77777777" w:rsidR="00FB0744" w:rsidRPr="00D547AD" w:rsidRDefault="00FB0744" w:rsidP="00FB0744">
            <w:pPr>
              <w:spacing w:before="0" w:after="0"/>
              <w:jc w:val="right"/>
              <w:rPr>
                <w:rFonts w:ascii="Arial" w:hAnsi="Arial"/>
                <w:b/>
                <w:bCs/>
                <w:sz w:val="16"/>
                <w:szCs w:val="16"/>
                <w:lang w:val="en-AU"/>
              </w:rPr>
            </w:pPr>
          </w:p>
        </w:tc>
        <w:tc>
          <w:tcPr>
            <w:tcW w:w="1195" w:type="dxa"/>
            <w:tcBorders>
              <w:top w:val="single" w:sz="4" w:space="0" w:color="auto"/>
              <w:left w:val="nil"/>
              <w:bottom w:val="nil"/>
              <w:right w:val="nil"/>
            </w:tcBorders>
            <w:shd w:val="clear" w:color="FFFFFF" w:fill="auto"/>
            <w:noWrap/>
            <w:vAlign w:val="center"/>
          </w:tcPr>
          <w:p w14:paraId="0157797A" w14:textId="77777777" w:rsidR="00FB0744" w:rsidRPr="00D547AD" w:rsidRDefault="00FB0744" w:rsidP="00FB0744">
            <w:pPr>
              <w:spacing w:before="0" w:after="0"/>
              <w:jc w:val="right"/>
              <w:rPr>
                <w:rFonts w:ascii="Arial" w:hAnsi="Arial"/>
                <w:b/>
                <w:bCs/>
                <w:sz w:val="16"/>
                <w:szCs w:val="16"/>
                <w:lang w:val="en-AU"/>
              </w:rPr>
            </w:pPr>
          </w:p>
        </w:tc>
      </w:tr>
      <w:tr w:rsidR="00D547AD" w:rsidRPr="00BA1388" w14:paraId="2ECEF3F8" w14:textId="77777777" w:rsidTr="00F600B5">
        <w:trPr>
          <w:trHeight w:val="227"/>
        </w:trPr>
        <w:tc>
          <w:tcPr>
            <w:tcW w:w="3085" w:type="dxa"/>
            <w:tcBorders>
              <w:top w:val="nil"/>
              <w:left w:val="nil"/>
              <w:bottom w:val="nil"/>
              <w:right w:val="nil"/>
            </w:tcBorders>
            <w:shd w:val="clear" w:color="auto" w:fill="auto"/>
            <w:vAlign w:val="center"/>
            <w:hideMark/>
          </w:tcPr>
          <w:p w14:paraId="7897896F" w14:textId="77777777" w:rsidR="00D547AD" w:rsidRPr="00D547AD" w:rsidRDefault="00D547AD" w:rsidP="00D547AD">
            <w:pPr>
              <w:spacing w:before="0" w:after="0"/>
              <w:ind w:left="113"/>
              <w:rPr>
                <w:rFonts w:ascii="Arial" w:hAnsi="Arial"/>
                <w:b/>
                <w:bCs/>
                <w:sz w:val="16"/>
                <w:szCs w:val="16"/>
                <w:lang w:val="en-AU"/>
              </w:rPr>
            </w:pPr>
            <w:r w:rsidRPr="00D547AD">
              <w:rPr>
                <w:rFonts w:ascii="Arial" w:hAnsi="Arial"/>
                <w:sz w:val="16"/>
                <w:szCs w:val="16"/>
                <w:lang w:val="en-AU"/>
              </w:rPr>
              <w:t>Lavarack Barracks</w:t>
            </w:r>
          </w:p>
        </w:tc>
        <w:tc>
          <w:tcPr>
            <w:tcW w:w="1790" w:type="dxa"/>
            <w:tcBorders>
              <w:top w:val="nil"/>
              <w:left w:val="nil"/>
              <w:bottom w:val="nil"/>
              <w:right w:val="nil"/>
            </w:tcBorders>
            <w:shd w:val="clear" w:color="FFFFFF" w:fill="auto"/>
            <w:noWrap/>
            <w:vAlign w:val="center"/>
            <w:hideMark/>
          </w:tcPr>
          <w:p w14:paraId="68805BCC" w14:textId="77777777" w:rsidR="00D547AD" w:rsidRPr="00D547AD" w:rsidRDefault="00D547AD" w:rsidP="00D547AD">
            <w:pPr>
              <w:spacing w:before="0" w:after="0"/>
              <w:jc w:val="right"/>
              <w:rPr>
                <w:rFonts w:ascii="Arial" w:hAnsi="Arial"/>
                <w:b/>
                <w:bCs/>
                <w:sz w:val="16"/>
                <w:szCs w:val="16"/>
                <w:lang w:val="en-AU"/>
              </w:rPr>
            </w:pPr>
            <w:r w:rsidRPr="00D547AD">
              <w:rPr>
                <w:rFonts w:ascii="Arial" w:hAnsi="Arial"/>
                <w:sz w:val="16"/>
                <w:szCs w:val="16"/>
                <w:lang w:val="en-AU"/>
              </w:rPr>
              <w:t>QLD - Herbert</w:t>
            </w:r>
          </w:p>
        </w:tc>
        <w:tc>
          <w:tcPr>
            <w:tcW w:w="1191" w:type="dxa"/>
            <w:tcBorders>
              <w:top w:val="nil"/>
              <w:left w:val="nil"/>
              <w:bottom w:val="nil"/>
              <w:right w:val="nil"/>
            </w:tcBorders>
            <w:shd w:val="clear" w:color="FFFFFF" w:fill="auto"/>
            <w:noWrap/>
            <w:vAlign w:val="center"/>
          </w:tcPr>
          <w:p w14:paraId="1F4E9C12" w14:textId="77777777" w:rsidR="00D547AD" w:rsidRPr="00D547AD" w:rsidRDefault="00D547AD" w:rsidP="00D547AD">
            <w:pPr>
              <w:spacing w:before="0" w:after="0"/>
              <w:jc w:val="right"/>
              <w:rPr>
                <w:rFonts w:ascii="Arial" w:hAnsi="Arial"/>
                <w:sz w:val="16"/>
                <w:szCs w:val="16"/>
                <w:lang w:val="en-AU"/>
              </w:rPr>
            </w:pPr>
          </w:p>
        </w:tc>
        <w:tc>
          <w:tcPr>
            <w:tcW w:w="1413" w:type="dxa"/>
            <w:tcBorders>
              <w:top w:val="nil"/>
              <w:left w:val="nil"/>
              <w:bottom w:val="nil"/>
              <w:right w:val="nil"/>
            </w:tcBorders>
            <w:shd w:val="clear" w:color="auto" w:fill="auto"/>
            <w:noWrap/>
            <w:vAlign w:val="bottom"/>
          </w:tcPr>
          <w:p w14:paraId="25C614CA"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32.7</w:t>
            </w:r>
          </w:p>
        </w:tc>
        <w:tc>
          <w:tcPr>
            <w:tcW w:w="1195" w:type="dxa"/>
            <w:tcBorders>
              <w:top w:val="nil"/>
              <w:left w:val="nil"/>
              <w:bottom w:val="nil"/>
              <w:right w:val="nil"/>
            </w:tcBorders>
            <w:shd w:val="clear" w:color="auto" w:fill="auto"/>
            <w:noWrap/>
            <w:vAlign w:val="bottom"/>
          </w:tcPr>
          <w:p w14:paraId="3B185057"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w:t>
            </w:r>
          </w:p>
        </w:tc>
      </w:tr>
      <w:tr w:rsidR="00D547AD" w:rsidRPr="00BA1388" w14:paraId="13A0AF76" w14:textId="77777777" w:rsidTr="00F600B5">
        <w:trPr>
          <w:trHeight w:val="227"/>
        </w:trPr>
        <w:tc>
          <w:tcPr>
            <w:tcW w:w="3085" w:type="dxa"/>
            <w:tcBorders>
              <w:top w:val="nil"/>
              <w:left w:val="nil"/>
              <w:bottom w:val="nil"/>
              <w:right w:val="nil"/>
            </w:tcBorders>
            <w:shd w:val="clear" w:color="FFFFFF" w:fill="auto"/>
            <w:vAlign w:val="center"/>
            <w:hideMark/>
          </w:tcPr>
          <w:p w14:paraId="54724D2E" w14:textId="77777777" w:rsidR="00D547AD" w:rsidRPr="00D547AD" w:rsidRDefault="00D547AD" w:rsidP="00D547AD">
            <w:pPr>
              <w:spacing w:before="0" w:after="0"/>
              <w:ind w:left="113"/>
              <w:rPr>
                <w:rFonts w:ascii="Arial" w:hAnsi="Arial"/>
                <w:sz w:val="16"/>
                <w:szCs w:val="16"/>
                <w:lang w:val="en-AU"/>
              </w:rPr>
            </w:pPr>
            <w:r w:rsidRPr="00D547AD">
              <w:rPr>
                <w:rFonts w:ascii="Arial" w:hAnsi="Arial"/>
                <w:sz w:val="16"/>
                <w:szCs w:val="16"/>
                <w:lang w:val="en-AU"/>
              </w:rPr>
              <w:t>Edinburgh Defence Precinct</w:t>
            </w:r>
          </w:p>
        </w:tc>
        <w:tc>
          <w:tcPr>
            <w:tcW w:w="1790" w:type="dxa"/>
            <w:tcBorders>
              <w:top w:val="nil"/>
              <w:left w:val="nil"/>
              <w:bottom w:val="nil"/>
              <w:right w:val="nil"/>
            </w:tcBorders>
            <w:shd w:val="clear" w:color="FFFFFF" w:fill="auto"/>
            <w:vAlign w:val="center"/>
            <w:hideMark/>
          </w:tcPr>
          <w:p w14:paraId="4007C09E" w14:textId="77777777" w:rsidR="00D547AD" w:rsidRPr="00D547AD" w:rsidRDefault="00D547AD" w:rsidP="00D547AD">
            <w:pPr>
              <w:spacing w:before="0" w:after="0"/>
              <w:jc w:val="right"/>
              <w:rPr>
                <w:rFonts w:ascii="Arial" w:hAnsi="Arial"/>
                <w:sz w:val="16"/>
                <w:szCs w:val="16"/>
                <w:lang w:val="en-AU"/>
              </w:rPr>
            </w:pPr>
            <w:r w:rsidRPr="00D547AD">
              <w:rPr>
                <w:rFonts w:ascii="Arial" w:hAnsi="Arial"/>
                <w:sz w:val="16"/>
                <w:szCs w:val="16"/>
                <w:lang w:val="en-AU"/>
              </w:rPr>
              <w:t>SA - Spence</w:t>
            </w:r>
          </w:p>
        </w:tc>
        <w:tc>
          <w:tcPr>
            <w:tcW w:w="1191" w:type="dxa"/>
            <w:tcBorders>
              <w:top w:val="nil"/>
              <w:left w:val="nil"/>
              <w:bottom w:val="nil"/>
              <w:right w:val="nil"/>
            </w:tcBorders>
            <w:shd w:val="clear" w:color="FFFFFF" w:fill="auto"/>
            <w:noWrap/>
            <w:vAlign w:val="center"/>
          </w:tcPr>
          <w:p w14:paraId="04753E40" w14:textId="77777777" w:rsidR="00D547AD" w:rsidRPr="00D547AD" w:rsidRDefault="00D547AD" w:rsidP="00D547AD">
            <w:pPr>
              <w:spacing w:before="0" w:after="0"/>
              <w:jc w:val="right"/>
              <w:rPr>
                <w:rFonts w:ascii="Arial" w:hAnsi="Arial"/>
                <w:sz w:val="16"/>
                <w:szCs w:val="16"/>
                <w:lang w:val="en-AU"/>
              </w:rPr>
            </w:pPr>
          </w:p>
        </w:tc>
        <w:tc>
          <w:tcPr>
            <w:tcW w:w="1413" w:type="dxa"/>
            <w:tcBorders>
              <w:top w:val="nil"/>
              <w:left w:val="nil"/>
              <w:bottom w:val="nil"/>
              <w:right w:val="nil"/>
            </w:tcBorders>
            <w:shd w:val="clear" w:color="auto" w:fill="auto"/>
            <w:noWrap/>
            <w:vAlign w:val="bottom"/>
          </w:tcPr>
          <w:p w14:paraId="20E1D05A"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76.4</w:t>
            </w:r>
          </w:p>
        </w:tc>
        <w:tc>
          <w:tcPr>
            <w:tcW w:w="1195" w:type="dxa"/>
            <w:tcBorders>
              <w:top w:val="nil"/>
              <w:left w:val="nil"/>
              <w:bottom w:val="nil"/>
              <w:right w:val="nil"/>
            </w:tcBorders>
            <w:shd w:val="clear" w:color="auto" w:fill="auto"/>
            <w:noWrap/>
            <w:vAlign w:val="bottom"/>
          </w:tcPr>
          <w:p w14:paraId="1202E1E4"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w:t>
            </w:r>
          </w:p>
        </w:tc>
      </w:tr>
      <w:tr w:rsidR="00D547AD" w:rsidRPr="00BA1388" w14:paraId="41057C69" w14:textId="77777777" w:rsidTr="00F600B5">
        <w:trPr>
          <w:trHeight w:val="227"/>
        </w:trPr>
        <w:tc>
          <w:tcPr>
            <w:tcW w:w="3085" w:type="dxa"/>
            <w:tcBorders>
              <w:top w:val="nil"/>
              <w:left w:val="nil"/>
              <w:bottom w:val="nil"/>
              <w:right w:val="nil"/>
            </w:tcBorders>
            <w:shd w:val="clear" w:color="FFFFFF" w:fill="auto"/>
            <w:vAlign w:val="center"/>
            <w:hideMark/>
          </w:tcPr>
          <w:p w14:paraId="16780E39" w14:textId="77777777" w:rsidR="00D547AD" w:rsidRPr="00D547AD" w:rsidRDefault="00D547AD" w:rsidP="00D547AD">
            <w:pPr>
              <w:spacing w:before="0" w:after="0"/>
              <w:ind w:left="113"/>
              <w:rPr>
                <w:rFonts w:ascii="Arial" w:hAnsi="Arial"/>
                <w:sz w:val="16"/>
                <w:szCs w:val="16"/>
                <w:lang w:val="en-AU"/>
              </w:rPr>
            </w:pPr>
            <w:r w:rsidRPr="00D547AD">
              <w:rPr>
                <w:rFonts w:ascii="Arial" w:hAnsi="Arial"/>
                <w:sz w:val="16"/>
                <w:szCs w:val="16"/>
                <w:lang w:val="en-AU"/>
              </w:rPr>
              <w:t>Puckapunyal Military Area</w:t>
            </w:r>
          </w:p>
        </w:tc>
        <w:tc>
          <w:tcPr>
            <w:tcW w:w="1790" w:type="dxa"/>
            <w:tcBorders>
              <w:top w:val="nil"/>
              <w:left w:val="nil"/>
              <w:bottom w:val="nil"/>
              <w:right w:val="nil"/>
            </w:tcBorders>
            <w:shd w:val="clear" w:color="FFFFFF" w:fill="auto"/>
            <w:vAlign w:val="center"/>
            <w:hideMark/>
          </w:tcPr>
          <w:p w14:paraId="16C657B5" w14:textId="77777777" w:rsidR="00D547AD" w:rsidRPr="00D547AD" w:rsidRDefault="00D547AD" w:rsidP="00D547AD">
            <w:pPr>
              <w:spacing w:before="0" w:after="0"/>
              <w:jc w:val="right"/>
              <w:rPr>
                <w:rFonts w:ascii="Arial" w:hAnsi="Arial"/>
                <w:sz w:val="16"/>
                <w:szCs w:val="16"/>
                <w:lang w:val="en-AU"/>
              </w:rPr>
            </w:pPr>
            <w:r w:rsidRPr="00D547AD">
              <w:rPr>
                <w:rFonts w:ascii="Arial" w:hAnsi="Arial"/>
                <w:sz w:val="16"/>
                <w:szCs w:val="16"/>
                <w:lang w:val="en-AU"/>
              </w:rPr>
              <w:t>VIC - Nicholls</w:t>
            </w:r>
          </w:p>
        </w:tc>
        <w:tc>
          <w:tcPr>
            <w:tcW w:w="1191" w:type="dxa"/>
            <w:tcBorders>
              <w:top w:val="nil"/>
              <w:left w:val="nil"/>
              <w:bottom w:val="nil"/>
              <w:right w:val="nil"/>
            </w:tcBorders>
            <w:shd w:val="clear" w:color="FFFFFF" w:fill="auto"/>
            <w:noWrap/>
            <w:vAlign w:val="center"/>
          </w:tcPr>
          <w:p w14:paraId="521F7AAB" w14:textId="77777777" w:rsidR="00D547AD" w:rsidRPr="00D547AD" w:rsidRDefault="00D547AD" w:rsidP="00D547AD">
            <w:pPr>
              <w:spacing w:before="0" w:after="0"/>
              <w:jc w:val="right"/>
              <w:rPr>
                <w:rFonts w:ascii="Arial" w:hAnsi="Arial"/>
                <w:sz w:val="16"/>
                <w:szCs w:val="16"/>
                <w:lang w:val="en-AU"/>
              </w:rPr>
            </w:pPr>
          </w:p>
        </w:tc>
        <w:tc>
          <w:tcPr>
            <w:tcW w:w="1413" w:type="dxa"/>
            <w:tcBorders>
              <w:top w:val="nil"/>
              <w:left w:val="nil"/>
              <w:bottom w:val="nil"/>
              <w:right w:val="nil"/>
            </w:tcBorders>
            <w:shd w:val="clear" w:color="auto" w:fill="auto"/>
            <w:noWrap/>
            <w:vAlign w:val="bottom"/>
          </w:tcPr>
          <w:p w14:paraId="1CB1C9A4"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112.0</w:t>
            </w:r>
          </w:p>
        </w:tc>
        <w:tc>
          <w:tcPr>
            <w:tcW w:w="1195" w:type="dxa"/>
            <w:tcBorders>
              <w:top w:val="nil"/>
              <w:left w:val="nil"/>
              <w:bottom w:val="nil"/>
              <w:right w:val="nil"/>
            </w:tcBorders>
            <w:shd w:val="clear" w:color="auto" w:fill="auto"/>
            <w:noWrap/>
            <w:vAlign w:val="bottom"/>
          </w:tcPr>
          <w:p w14:paraId="6B91520C"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0.5</w:t>
            </w:r>
          </w:p>
        </w:tc>
      </w:tr>
      <w:tr w:rsidR="00D547AD" w:rsidRPr="00BA1388" w14:paraId="4E064C37" w14:textId="77777777" w:rsidTr="00F600B5">
        <w:trPr>
          <w:trHeight w:val="227"/>
        </w:trPr>
        <w:tc>
          <w:tcPr>
            <w:tcW w:w="3085" w:type="dxa"/>
            <w:tcBorders>
              <w:top w:val="nil"/>
              <w:left w:val="nil"/>
              <w:bottom w:val="single" w:sz="4" w:space="0" w:color="auto"/>
              <w:right w:val="nil"/>
            </w:tcBorders>
            <w:shd w:val="clear" w:color="FFFFFF" w:fill="auto"/>
            <w:vAlign w:val="center"/>
            <w:hideMark/>
          </w:tcPr>
          <w:p w14:paraId="0A82B146" w14:textId="77777777" w:rsidR="00D547AD" w:rsidRPr="00D547AD" w:rsidRDefault="00D547AD" w:rsidP="00D547AD">
            <w:pPr>
              <w:spacing w:before="0" w:after="0"/>
              <w:rPr>
                <w:rFonts w:ascii="Arial" w:hAnsi="Arial"/>
                <w:sz w:val="16"/>
                <w:szCs w:val="16"/>
                <w:lang w:val="en-AU"/>
              </w:rPr>
            </w:pPr>
            <w:r w:rsidRPr="00D547AD">
              <w:rPr>
                <w:rFonts w:ascii="Arial" w:hAnsi="Arial"/>
                <w:b/>
                <w:bCs/>
                <w:sz w:val="16"/>
                <w:szCs w:val="16"/>
                <w:lang w:val="en-AU"/>
              </w:rPr>
              <w:t>Total</w:t>
            </w:r>
          </w:p>
        </w:tc>
        <w:tc>
          <w:tcPr>
            <w:tcW w:w="1790" w:type="dxa"/>
            <w:tcBorders>
              <w:top w:val="nil"/>
              <w:left w:val="nil"/>
              <w:bottom w:val="single" w:sz="4" w:space="0" w:color="auto"/>
              <w:right w:val="nil"/>
            </w:tcBorders>
            <w:shd w:val="clear" w:color="FFFFFF" w:fill="auto"/>
            <w:vAlign w:val="center"/>
            <w:hideMark/>
          </w:tcPr>
          <w:p w14:paraId="52D777D6" w14:textId="77777777" w:rsidR="00D547AD" w:rsidRPr="00D547AD" w:rsidRDefault="00D547AD" w:rsidP="00D547AD">
            <w:pPr>
              <w:spacing w:before="0" w:after="0"/>
              <w:jc w:val="right"/>
              <w:rPr>
                <w:rFonts w:ascii="Arial" w:hAnsi="Arial"/>
                <w:sz w:val="16"/>
                <w:szCs w:val="16"/>
                <w:lang w:val="en-AU"/>
              </w:rPr>
            </w:pPr>
          </w:p>
        </w:tc>
        <w:tc>
          <w:tcPr>
            <w:tcW w:w="1191" w:type="dxa"/>
            <w:tcBorders>
              <w:top w:val="nil"/>
              <w:left w:val="nil"/>
              <w:bottom w:val="single" w:sz="4" w:space="0" w:color="auto"/>
              <w:right w:val="nil"/>
            </w:tcBorders>
            <w:shd w:val="clear" w:color="auto" w:fill="auto"/>
            <w:noWrap/>
            <w:vAlign w:val="center"/>
          </w:tcPr>
          <w:p w14:paraId="2F1D296E" w14:textId="77777777" w:rsidR="00D547AD" w:rsidRPr="00D547AD" w:rsidRDefault="00D547AD" w:rsidP="00D547AD">
            <w:pPr>
              <w:spacing w:before="0" w:after="0"/>
              <w:jc w:val="right"/>
              <w:rPr>
                <w:rFonts w:ascii="Arial" w:hAnsi="Arial"/>
                <w:b/>
                <w:sz w:val="16"/>
                <w:szCs w:val="16"/>
                <w:lang w:val="en-AU"/>
              </w:rPr>
            </w:pPr>
            <w:r w:rsidRPr="00D547AD">
              <w:rPr>
                <w:rFonts w:ascii="Arial" w:hAnsi="Arial"/>
                <w:b/>
                <w:sz w:val="16"/>
                <w:szCs w:val="16"/>
                <w:lang w:val="en-AU"/>
              </w:rPr>
              <w:t>248.5</w:t>
            </w:r>
          </w:p>
        </w:tc>
        <w:tc>
          <w:tcPr>
            <w:tcW w:w="1413" w:type="dxa"/>
            <w:tcBorders>
              <w:top w:val="nil"/>
              <w:left w:val="nil"/>
              <w:bottom w:val="single" w:sz="4" w:space="0" w:color="auto"/>
              <w:right w:val="nil"/>
            </w:tcBorders>
            <w:shd w:val="clear" w:color="auto" w:fill="auto"/>
            <w:noWrap/>
            <w:vAlign w:val="bottom"/>
          </w:tcPr>
          <w:p w14:paraId="0CCB2EE4" w14:textId="77777777" w:rsidR="00D547AD" w:rsidRPr="009E4B9D" w:rsidRDefault="00D547AD" w:rsidP="00D547AD">
            <w:pPr>
              <w:spacing w:before="0" w:after="0" w:line="276" w:lineRule="auto"/>
              <w:jc w:val="right"/>
              <w:rPr>
                <w:rFonts w:ascii="Arial" w:hAnsi="Arial"/>
                <w:b/>
                <w:sz w:val="16"/>
                <w:szCs w:val="16"/>
                <w:lang w:eastAsia="en-US"/>
              </w:rPr>
            </w:pPr>
            <w:r w:rsidRPr="009E4B9D">
              <w:rPr>
                <w:rFonts w:ascii="Arial" w:hAnsi="Arial"/>
                <w:b/>
                <w:sz w:val="16"/>
                <w:szCs w:val="16"/>
                <w:lang w:eastAsia="en-US"/>
              </w:rPr>
              <w:t>221.1</w:t>
            </w:r>
          </w:p>
        </w:tc>
        <w:tc>
          <w:tcPr>
            <w:tcW w:w="1195" w:type="dxa"/>
            <w:tcBorders>
              <w:top w:val="nil"/>
              <w:left w:val="nil"/>
              <w:bottom w:val="single" w:sz="4" w:space="0" w:color="auto"/>
              <w:right w:val="nil"/>
            </w:tcBorders>
            <w:shd w:val="clear" w:color="auto" w:fill="auto"/>
            <w:noWrap/>
            <w:vAlign w:val="bottom"/>
          </w:tcPr>
          <w:p w14:paraId="69D290B5" w14:textId="77777777" w:rsidR="00D547AD" w:rsidRPr="009E4B9D" w:rsidRDefault="00D547AD" w:rsidP="00D547AD">
            <w:pPr>
              <w:spacing w:before="0" w:after="0" w:line="276" w:lineRule="auto"/>
              <w:jc w:val="right"/>
              <w:rPr>
                <w:rFonts w:ascii="Arial" w:hAnsi="Arial"/>
                <w:b/>
                <w:sz w:val="16"/>
                <w:szCs w:val="16"/>
                <w:lang w:eastAsia="en-US"/>
              </w:rPr>
            </w:pPr>
            <w:r w:rsidRPr="009E4B9D">
              <w:rPr>
                <w:rFonts w:ascii="Arial" w:hAnsi="Arial"/>
                <w:b/>
                <w:sz w:val="16"/>
                <w:szCs w:val="16"/>
                <w:lang w:eastAsia="en-US"/>
              </w:rPr>
              <w:t>0.5</w:t>
            </w:r>
          </w:p>
        </w:tc>
      </w:tr>
      <w:tr w:rsidR="00FB0744" w:rsidRPr="00BA1388" w14:paraId="3A84DC73" w14:textId="77777777" w:rsidTr="006868B3">
        <w:trPr>
          <w:trHeight w:val="227"/>
        </w:trPr>
        <w:tc>
          <w:tcPr>
            <w:tcW w:w="4875" w:type="dxa"/>
            <w:gridSpan w:val="2"/>
            <w:tcBorders>
              <w:top w:val="single" w:sz="4" w:space="0" w:color="auto"/>
              <w:left w:val="nil"/>
              <w:bottom w:val="nil"/>
              <w:right w:val="nil"/>
            </w:tcBorders>
            <w:shd w:val="clear" w:color="FFFFFF" w:fill="auto"/>
            <w:vAlign w:val="center"/>
            <w:hideMark/>
          </w:tcPr>
          <w:p w14:paraId="62A6B95D" w14:textId="77777777" w:rsidR="00FB0744" w:rsidRPr="00D547AD" w:rsidRDefault="00D547AD" w:rsidP="00FB0744">
            <w:pPr>
              <w:spacing w:before="0" w:after="0"/>
              <w:rPr>
                <w:rFonts w:ascii="Arial" w:hAnsi="Arial"/>
                <w:b/>
                <w:bCs/>
                <w:sz w:val="16"/>
                <w:szCs w:val="16"/>
                <w:lang w:val="en-AU"/>
              </w:rPr>
            </w:pPr>
            <w:r w:rsidRPr="008659FE">
              <w:rPr>
                <w:rFonts w:ascii="Arial" w:hAnsi="Arial"/>
                <w:b/>
                <w:bCs/>
                <w:sz w:val="16"/>
                <w:szCs w:val="16"/>
                <w:lang w:val="en-AU"/>
              </w:rPr>
              <w:t xml:space="preserve">Airfield Capital Works P0013 </w:t>
            </w:r>
            <w:r w:rsidRPr="008659FE">
              <w:rPr>
                <w:rFonts w:ascii="Arial" w:hAnsi="Arial"/>
                <w:b/>
                <w:bCs/>
                <w:sz w:val="16"/>
                <w:szCs w:val="16"/>
                <w:lang w:val="en-AU"/>
              </w:rPr>
              <w:br/>
              <w:t>(Curtin and Learmonth)</w:t>
            </w:r>
          </w:p>
        </w:tc>
        <w:tc>
          <w:tcPr>
            <w:tcW w:w="1191" w:type="dxa"/>
            <w:tcBorders>
              <w:top w:val="single" w:sz="4" w:space="0" w:color="auto"/>
              <w:left w:val="nil"/>
              <w:bottom w:val="nil"/>
              <w:right w:val="nil"/>
            </w:tcBorders>
            <w:shd w:val="clear" w:color="FFFFFF" w:fill="auto"/>
            <w:noWrap/>
            <w:vAlign w:val="center"/>
          </w:tcPr>
          <w:p w14:paraId="31220764" w14:textId="77777777" w:rsidR="00FB0744" w:rsidRPr="00D547AD" w:rsidRDefault="00FB0744" w:rsidP="00FB0744">
            <w:pPr>
              <w:spacing w:before="0" w:after="0"/>
              <w:jc w:val="right"/>
              <w:rPr>
                <w:rFonts w:ascii="Arial" w:hAnsi="Arial"/>
                <w:sz w:val="16"/>
                <w:szCs w:val="16"/>
                <w:lang w:val="en-AU"/>
              </w:rPr>
            </w:pPr>
          </w:p>
        </w:tc>
        <w:tc>
          <w:tcPr>
            <w:tcW w:w="1413" w:type="dxa"/>
            <w:tcBorders>
              <w:top w:val="single" w:sz="4" w:space="0" w:color="auto"/>
              <w:left w:val="nil"/>
              <w:bottom w:val="nil"/>
              <w:right w:val="nil"/>
            </w:tcBorders>
            <w:shd w:val="clear" w:color="FFFFFF" w:fill="auto"/>
            <w:noWrap/>
            <w:vAlign w:val="center"/>
          </w:tcPr>
          <w:p w14:paraId="018262AB" w14:textId="77777777" w:rsidR="00FB0744" w:rsidRPr="00D547AD" w:rsidRDefault="00FB0744" w:rsidP="00FB0744">
            <w:pPr>
              <w:spacing w:before="0" w:after="0"/>
              <w:jc w:val="right"/>
              <w:rPr>
                <w:rFonts w:ascii="Arial" w:hAnsi="Arial"/>
                <w:sz w:val="16"/>
                <w:szCs w:val="16"/>
                <w:lang w:val="en-AU"/>
              </w:rPr>
            </w:pPr>
          </w:p>
        </w:tc>
        <w:tc>
          <w:tcPr>
            <w:tcW w:w="1195" w:type="dxa"/>
            <w:tcBorders>
              <w:top w:val="single" w:sz="4" w:space="0" w:color="auto"/>
              <w:left w:val="nil"/>
              <w:bottom w:val="nil"/>
              <w:right w:val="nil"/>
            </w:tcBorders>
            <w:shd w:val="clear" w:color="FFFFFF" w:fill="auto"/>
            <w:noWrap/>
            <w:vAlign w:val="center"/>
          </w:tcPr>
          <w:p w14:paraId="020FFDB6" w14:textId="77777777" w:rsidR="00FB0744" w:rsidRPr="00D547AD" w:rsidRDefault="00FB0744" w:rsidP="00FB0744">
            <w:pPr>
              <w:spacing w:before="0" w:after="0"/>
              <w:jc w:val="right"/>
              <w:rPr>
                <w:rFonts w:ascii="Arial" w:hAnsi="Arial"/>
                <w:sz w:val="16"/>
                <w:szCs w:val="16"/>
                <w:lang w:val="en-AU"/>
              </w:rPr>
            </w:pPr>
          </w:p>
        </w:tc>
      </w:tr>
      <w:tr w:rsidR="00D547AD" w:rsidRPr="00BA1388" w14:paraId="40FA5FF7" w14:textId="77777777" w:rsidTr="00F600B5">
        <w:trPr>
          <w:trHeight w:val="227"/>
        </w:trPr>
        <w:tc>
          <w:tcPr>
            <w:tcW w:w="3085" w:type="dxa"/>
            <w:tcBorders>
              <w:top w:val="nil"/>
              <w:left w:val="nil"/>
              <w:bottom w:val="nil"/>
              <w:right w:val="nil"/>
            </w:tcBorders>
            <w:shd w:val="clear" w:color="FFFFFF" w:fill="auto"/>
            <w:vAlign w:val="bottom"/>
            <w:hideMark/>
          </w:tcPr>
          <w:p w14:paraId="160A08FF" w14:textId="77777777" w:rsidR="00D547AD" w:rsidRPr="008659FE" w:rsidRDefault="00D547AD" w:rsidP="00D547AD">
            <w:pPr>
              <w:spacing w:before="0" w:after="0" w:line="276" w:lineRule="auto"/>
              <w:ind w:left="179"/>
              <w:rPr>
                <w:rFonts w:ascii="Arial" w:hAnsi="Arial"/>
                <w:sz w:val="16"/>
                <w:szCs w:val="16"/>
                <w:lang w:val="en-AU"/>
              </w:rPr>
            </w:pPr>
            <w:r w:rsidRPr="008659FE">
              <w:rPr>
                <w:rFonts w:ascii="Arial" w:hAnsi="Arial"/>
                <w:sz w:val="16"/>
                <w:szCs w:val="16"/>
                <w:lang w:val="en-AU"/>
              </w:rPr>
              <w:t>RAAF Curtin</w:t>
            </w:r>
          </w:p>
        </w:tc>
        <w:tc>
          <w:tcPr>
            <w:tcW w:w="1790" w:type="dxa"/>
            <w:tcBorders>
              <w:top w:val="nil"/>
              <w:left w:val="nil"/>
              <w:bottom w:val="nil"/>
              <w:right w:val="nil"/>
            </w:tcBorders>
            <w:shd w:val="clear" w:color="FFFFFF" w:fill="auto"/>
            <w:vAlign w:val="bottom"/>
            <w:hideMark/>
          </w:tcPr>
          <w:p w14:paraId="1A07E85E" w14:textId="77777777" w:rsidR="00D547AD" w:rsidRPr="008659FE" w:rsidRDefault="00D547AD" w:rsidP="00D547AD">
            <w:pPr>
              <w:spacing w:before="0" w:after="0" w:line="276" w:lineRule="auto"/>
              <w:jc w:val="right"/>
              <w:rPr>
                <w:rFonts w:ascii="Arial" w:hAnsi="Arial"/>
                <w:sz w:val="16"/>
                <w:szCs w:val="16"/>
                <w:lang w:val="en-AU"/>
              </w:rPr>
            </w:pPr>
            <w:r w:rsidRPr="008659FE">
              <w:rPr>
                <w:rFonts w:ascii="Arial" w:hAnsi="Arial"/>
                <w:sz w:val="16"/>
                <w:szCs w:val="16"/>
                <w:lang w:val="en-AU"/>
              </w:rPr>
              <w:t>WA - Durack</w:t>
            </w:r>
          </w:p>
        </w:tc>
        <w:tc>
          <w:tcPr>
            <w:tcW w:w="1191" w:type="dxa"/>
            <w:tcBorders>
              <w:top w:val="nil"/>
              <w:left w:val="nil"/>
              <w:bottom w:val="nil"/>
              <w:right w:val="nil"/>
            </w:tcBorders>
            <w:shd w:val="clear" w:color="FFFFFF" w:fill="auto"/>
            <w:noWrap/>
            <w:vAlign w:val="bottom"/>
          </w:tcPr>
          <w:p w14:paraId="3C6A2DCC" w14:textId="77777777" w:rsidR="00D547AD" w:rsidRPr="00353F8D" w:rsidRDefault="00D547AD" w:rsidP="00D547AD">
            <w:pPr>
              <w:spacing w:before="0" w:after="0" w:line="276" w:lineRule="auto"/>
              <w:jc w:val="right"/>
              <w:rPr>
                <w:rFonts w:ascii="Arial" w:hAnsi="Arial"/>
                <w:b/>
                <w:sz w:val="16"/>
                <w:szCs w:val="16"/>
                <w:lang w:val="en-AU"/>
              </w:rPr>
            </w:pPr>
          </w:p>
        </w:tc>
        <w:tc>
          <w:tcPr>
            <w:tcW w:w="1413" w:type="dxa"/>
            <w:tcBorders>
              <w:top w:val="nil"/>
              <w:left w:val="nil"/>
              <w:bottom w:val="nil"/>
              <w:right w:val="nil"/>
            </w:tcBorders>
            <w:shd w:val="clear" w:color="auto" w:fill="auto"/>
            <w:noWrap/>
            <w:vAlign w:val="bottom"/>
          </w:tcPr>
          <w:p w14:paraId="506BC82B"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0.0</w:t>
            </w:r>
          </w:p>
        </w:tc>
        <w:tc>
          <w:tcPr>
            <w:tcW w:w="1195" w:type="dxa"/>
            <w:tcBorders>
              <w:top w:val="nil"/>
              <w:left w:val="nil"/>
              <w:bottom w:val="nil"/>
              <w:right w:val="nil"/>
            </w:tcBorders>
            <w:shd w:val="clear" w:color="auto" w:fill="auto"/>
            <w:noWrap/>
            <w:vAlign w:val="bottom"/>
          </w:tcPr>
          <w:p w14:paraId="51EB0A63"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w:t>
            </w:r>
          </w:p>
        </w:tc>
      </w:tr>
      <w:tr w:rsidR="00D547AD" w:rsidRPr="00BA1388" w14:paraId="6D14428D" w14:textId="77777777" w:rsidTr="00D547AD">
        <w:trPr>
          <w:trHeight w:val="227"/>
        </w:trPr>
        <w:tc>
          <w:tcPr>
            <w:tcW w:w="3085" w:type="dxa"/>
            <w:tcBorders>
              <w:top w:val="nil"/>
              <w:left w:val="nil"/>
              <w:bottom w:val="nil"/>
              <w:right w:val="nil"/>
            </w:tcBorders>
            <w:shd w:val="clear" w:color="FFFFFF" w:fill="auto"/>
            <w:vAlign w:val="bottom"/>
            <w:hideMark/>
          </w:tcPr>
          <w:p w14:paraId="60406510" w14:textId="77777777" w:rsidR="00D547AD" w:rsidRPr="008659FE" w:rsidRDefault="00D547AD" w:rsidP="00D547AD">
            <w:pPr>
              <w:spacing w:before="0" w:after="0" w:line="276" w:lineRule="auto"/>
              <w:ind w:left="179"/>
              <w:rPr>
                <w:rFonts w:ascii="Arial" w:hAnsi="Arial"/>
                <w:sz w:val="16"/>
                <w:szCs w:val="16"/>
                <w:lang w:val="en-AU"/>
              </w:rPr>
            </w:pPr>
            <w:r w:rsidRPr="008659FE">
              <w:rPr>
                <w:rFonts w:ascii="Arial" w:hAnsi="Arial"/>
                <w:sz w:val="16"/>
                <w:szCs w:val="16"/>
                <w:lang w:val="en-AU"/>
              </w:rPr>
              <w:t>RAAF Learmonth</w:t>
            </w:r>
          </w:p>
        </w:tc>
        <w:tc>
          <w:tcPr>
            <w:tcW w:w="1790" w:type="dxa"/>
            <w:tcBorders>
              <w:top w:val="nil"/>
              <w:left w:val="nil"/>
              <w:bottom w:val="nil"/>
              <w:right w:val="nil"/>
            </w:tcBorders>
            <w:shd w:val="clear" w:color="FFFFFF" w:fill="auto"/>
            <w:vAlign w:val="bottom"/>
            <w:hideMark/>
          </w:tcPr>
          <w:p w14:paraId="21720AF4" w14:textId="77777777" w:rsidR="00D547AD" w:rsidRPr="008659FE" w:rsidRDefault="00D547AD" w:rsidP="00D547AD">
            <w:pPr>
              <w:spacing w:before="0" w:after="0" w:line="276" w:lineRule="auto"/>
              <w:jc w:val="right"/>
              <w:rPr>
                <w:rFonts w:ascii="Arial" w:hAnsi="Arial"/>
                <w:sz w:val="16"/>
                <w:szCs w:val="16"/>
                <w:lang w:val="en-AU"/>
              </w:rPr>
            </w:pPr>
            <w:r w:rsidRPr="008659FE">
              <w:rPr>
                <w:rFonts w:ascii="Arial" w:hAnsi="Arial"/>
                <w:sz w:val="16"/>
                <w:szCs w:val="16"/>
                <w:lang w:val="en-AU"/>
              </w:rPr>
              <w:t>WA - Durack</w:t>
            </w:r>
          </w:p>
        </w:tc>
        <w:tc>
          <w:tcPr>
            <w:tcW w:w="1191" w:type="dxa"/>
            <w:tcBorders>
              <w:top w:val="nil"/>
              <w:left w:val="nil"/>
              <w:bottom w:val="nil"/>
              <w:right w:val="nil"/>
            </w:tcBorders>
            <w:shd w:val="clear" w:color="FFFFFF" w:fill="auto"/>
            <w:noWrap/>
            <w:vAlign w:val="bottom"/>
          </w:tcPr>
          <w:p w14:paraId="2F1AFAF3" w14:textId="77777777" w:rsidR="00D547AD" w:rsidRPr="00353F8D" w:rsidRDefault="00D547AD" w:rsidP="00D547AD">
            <w:pPr>
              <w:spacing w:before="0" w:after="0" w:line="276" w:lineRule="auto"/>
              <w:jc w:val="right"/>
              <w:rPr>
                <w:rFonts w:ascii="Arial" w:hAnsi="Arial"/>
                <w:b/>
                <w:sz w:val="16"/>
                <w:szCs w:val="16"/>
                <w:lang w:val="en-AU"/>
              </w:rPr>
            </w:pPr>
          </w:p>
        </w:tc>
        <w:tc>
          <w:tcPr>
            <w:tcW w:w="1413" w:type="dxa"/>
            <w:tcBorders>
              <w:top w:val="nil"/>
              <w:left w:val="nil"/>
              <w:bottom w:val="nil"/>
              <w:right w:val="nil"/>
            </w:tcBorders>
            <w:shd w:val="clear" w:color="auto" w:fill="auto"/>
            <w:noWrap/>
            <w:vAlign w:val="bottom"/>
          </w:tcPr>
          <w:p w14:paraId="3919FA9E"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9.5</w:t>
            </w:r>
          </w:p>
        </w:tc>
        <w:tc>
          <w:tcPr>
            <w:tcW w:w="1195" w:type="dxa"/>
            <w:tcBorders>
              <w:top w:val="nil"/>
              <w:left w:val="nil"/>
              <w:bottom w:val="nil"/>
              <w:right w:val="nil"/>
            </w:tcBorders>
            <w:shd w:val="clear" w:color="auto" w:fill="auto"/>
            <w:noWrap/>
            <w:vAlign w:val="bottom"/>
          </w:tcPr>
          <w:p w14:paraId="34B05E09"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66.2</w:t>
            </w:r>
          </w:p>
        </w:tc>
      </w:tr>
      <w:tr w:rsidR="00D547AD" w:rsidRPr="00BA1388" w14:paraId="45FD64DB" w14:textId="77777777" w:rsidTr="00D547AD">
        <w:trPr>
          <w:trHeight w:val="227"/>
        </w:trPr>
        <w:tc>
          <w:tcPr>
            <w:tcW w:w="3085" w:type="dxa"/>
            <w:tcBorders>
              <w:top w:val="nil"/>
              <w:left w:val="nil"/>
              <w:bottom w:val="single" w:sz="4" w:space="0" w:color="auto"/>
              <w:right w:val="nil"/>
            </w:tcBorders>
            <w:shd w:val="clear" w:color="FFFFFF" w:fill="auto"/>
            <w:vAlign w:val="bottom"/>
            <w:hideMark/>
          </w:tcPr>
          <w:p w14:paraId="3D4A1FC5" w14:textId="77777777" w:rsidR="00D547AD" w:rsidRPr="008659FE" w:rsidRDefault="00D547AD" w:rsidP="00D547AD">
            <w:pPr>
              <w:spacing w:before="0" w:after="0" w:line="276" w:lineRule="auto"/>
              <w:rPr>
                <w:rFonts w:ascii="Arial" w:hAnsi="Arial"/>
                <w:sz w:val="16"/>
                <w:szCs w:val="16"/>
                <w:lang w:val="en-AU"/>
              </w:rPr>
            </w:pPr>
            <w:r w:rsidRPr="008659FE">
              <w:rPr>
                <w:rFonts w:ascii="Arial" w:hAnsi="Arial"/>
                <w:b/>
                <w:bCs/>
                <w:sz w:val="16"/>
                <w:szCs w:val="16"/>
                <w:lang w:val="en-AU"/>
              </w:rPr>
              <w:t>Total</w:t>
            </w:r>
          </w:p>
        </w:tc>
        <w:tc>
          <w:tcPr>
            <w:tcW w:w="1790" w:type="dxa"/>
            <w:tcBorders>
              <w:top w:val="nil"/>
              <w:left w:val="nil"/>
              <w:bottom w:val="single" w:sz="4" w:space="0" w:color="auto"/>
              <w:right w:val="nil"/>
            </w:tcBorders>
            <w:shd w:val="clear" w:color="FFFFFF" w:fill="auto"/>
            <w:vAlign w:val="bottom"/>
            <w:hideMark/>
          </w:tcPr>
          <w:p w14:paraId="5FB1AED8" w14:textId="77777777" w:rsidR="00D547AD" w:rsidRPr="008659FE" w:rsidRDefault="00D547AD" w:rsidP="00D547AD">
            <w:pPr>
              <w:spacing w:before="0" w:after="0" w:line="276" w:lineRule="auto"/>
              <w:jc w:val="right"/>
              <w:rPr>
                <w:rFonts w:ascii="Arial" w:hAnsi="Arial"/>
                <w:sz w:val="16"/>
                <w:szCs w:val="16"/>
                <w:lang w:val="en-AU"/>
              </w:rPr>
            </w:pPr>
          </w:p>
        </w:tc>
        <w:tc>
          <w:tcPr>
            <w:tcW w:w="1191" w:type="dxa"/>
            <w:tcBorders>
              <w:top w:val="nil"/>
              <w:left w:val="nil"/>
              <w:bottom w:val="single" w:sz="4" w:space="0" w:color="auto"/>
              <w:right w:val="nil"/>
            </w:tcBorders>
            <w:shd w:val="clear" w:color="FFFFFF" w:fill="auto"/>
            <w:noWrap/>
            <w:vAlign w:val="bottom"/>
          </w:tcPr>
          <w:p w14:paraId="3E8D6BFC" w14:textId="77777777" w:rsidR="00D547AD" w:rsidRPr="00353F8D" w:rsidRDefault="00D547AD" w:rsidP="00D547AD">
            <w:pPr>
              <w:spacing w:before="0" w:after="0" w:line="276" w:lineRule="auto"/>
              <w:jc w:val="right"/>
              <w:rPr>
                <w:rFonts w:ascii="Arial" w:hAnsi="Arial"/>
                <w:b/>
                <w:sz w:val="16"/>
                <w:szCs w:val="16"/>
                <w:lang w:val="en-AU"/>
              </w:rPr>
            </w:pPr>
            <w:r w:rsidRPr="00353F8D">
              <w:rPr>
                <w:rFonts w:ascii="Arial" w:hAnsi="Arial"/>
                <w:b/>
                <w:sz w:val="16"/>
                <w:szCs w:val="16"/>
                <w:lang w:val="en-AU"/>
              </w:rPr>
              <w:t>237.2</w:t>
            </w:r>
          </w:p>
        </w:tc>
        <w:tc>
          <w:tcPr>
            <w:tcW w:w="1413" w:type="dxa"/>
            <w:tcBorders>
              <w:top w:val="nil"/>
              <w:left w:val="nil"/>
              <w:bottom w:val="single" w:sz="4" w:space="0" w:color="auto"/>
              <w:right w:val="nil"/>
            </w:tcBorders>
            <w:shd w:val="clear" w:color="auto" w:fill="auto"/>
            <w:noWrap/>
            <w:vAlign w:val="bottom"/>
          </w:tcPr>
          <w:p w14:paraId="52748261" w14:textId="77777777" w:rsidR="00D547AD" w:rsidRPr="009E4B9D" w:rsidRDefault="00D547AD" w:rsidP="00D547AD">
            <w:pPr>
              <w:spacing w:before="0" w:after="0" w:line="276" w:lineRule="auto"/>
              <w:jc w:val="right"/>
              <w:rPr>
                <w:rFonts w:ascii="Arial" w:hAnsi="Arial"/>
                <w:b/>
                <w:sz w:val="16"/>
                <w:szCs w:val="16"/>
                <w:lang w:eastAsia="en-US"/>
              </w:rPr>
            </w:pPr>
            <w:r w:rsidRPr="009E4B9D">
              <w:rPr>
                <w:rFonts w:ascii="Arial" w:hAnsi="Arial"/>
                <w:b/>
                <w:sz w:val="16"/>
                <w:szCs w:val="16"/>
                <w:lang w:eastAsia="en-US"/>
              </w:rPr>
              <w:t>9.5</w:t>
            </w:r>
          </w:p>
        </w:tc>
        <w:tc>
          <w:tcPr>
            <w:tcW w:w="1195" w:type="dxa"/>
            <w:tcBorders>
              <w:top w:val="nil"/>
              <w:left w:val="nil"/>
              <w:bottom w:val="single" w:sz="4" w:space="0" w:color="auto"/>
              <w:right w:val="nil"/>
            </w:tcBorders>
            <w:shd w:val="clear" w:color="auto" w:fill="auto"/>
            <w:noWrap/>
            <w:vAlign w:val="bottom"/>
          </w:tcPr>
          <w:p w14:paraId="5ABAA94A" w14:textId="77777777" w:rsidR="00D547AD" w:rsidRPr="009E4B9D" w:rsidRDefault="00D547AD" w:rsidP="00D547AD">
            <w:pPr>
              <w:spacing w:before="0" w:after="0" w:line="276" w:lineRule="auto"/>
              <w:jc w:val="right"/>
              <w:rPr>
                <w:rFonts w:ascii="Arial" w:hAnsi="Arial"/>
                <w:b/>
                <w:sz w:val="16"/>
                <w:szCs w:val="16"/>
                <w:lang w:eastAsia="en-US"/>
              </w:rPr>
            </w:pPr>
            <w:r w:rsidRPr="009E4B9D">
              <w:rPr>
                <w:rFonts w:ascii="Arial" w:hAnsi="Arial"/>
                <w:b/>
                <w:sz w:val="16"/>
                <w:szCs w:val="16"/>
                <w:lang w:eastAsia="en-US"/>
              </w:rPr>
              <w:t>66.2</w:t>
            </w:r>
          </w:p>
        </w:tc>
      </w:tr>
      <w:tr w:rsidR="00D547AD" w:rsidRPr="00BA1388" w14:paraId="3BD9601E" w14:textId="77777777" w:rsidTr="00F600B5">
        <w:trPr>
          <w:trHeight w:val="227"/>
        </w:trPr>
        <w:tc>
          <w:tcPr>
            <w:tcW w:w="3085" w:type="dxa"/>
            <w:tcBorders>
              <w:top w:val="single" w:sz="4" w:space="0" w:color="auto"/>
              <w:left w:val="nil"/>
              <w:bottom w:val="nil"/>
              <w:right w:val="nil"/>
            </w:tcBorders>
            <w:shd w:val="clear" w:color="FFFFFF" w:fill="auto"/>
            <w:vAlign w:val="bottom"/>
            <w:hideMark/>
          </w:tcPr>
          <w:p w14:paraId="251311C2" w14:textId="77777777" w:rsidR="00D547AD" w:rsidRDefault="00D547AD" w:rsidP="00D547AD">
            <w:pPr>
              <w:spacing w:before="0" w:after="0" w:line="276" w:lineRule="auto"/>
              <w:rPr>
                <w:rFonts w:ascii="Arial" w:hAnsi="Arial"/>
                <w:b/>
                <w:bCs/>
                <w:sz w:val="16"/>
                <w:szCs w:val="16"/>
                <w:lang w:val="en-AU"/>
              </w:rPr>
            </w:pPr>
            <w:r w:rsidRPr="008659FE">
              <w:rPr>
                <w:rFonts w:ascii="Arial" w:hAnsi="Arial"/>
                <w:b/>
                <w:bCs/>
                <w:sz w:val="16"/>
                <w:szCs w:val="16"/>
                <w:lang w:val="en-AU"/>
              </w:rPr>
              <w:t>Facilities to Support AIR</w:t>
            </w:r>
            <w:r>
              <w:rPr>
                <w:rFonts w:ascii="Arial" w:hAnsi="Arial"/>
                <w:b/>
                <w:bCs/>
                <w:sz w:val="16"/>
                <w:szCs w:val="16"/>
                <w:lang w:val="en-AU"/>
              </w:rPr>
              <w:t xml:space="preserve"> </w:t>
            </w:r>
            <w:r w:rsidRPr="008659FE">
              <w:rPr>
                <w:rFonts w:ascii="Arial" w:hAnsi="Arial"/>
                <w:b/>
                <w:bCs/>
                <w:sz w:val="16"/>
                <w:szCs w:val="16"/>
                <w:lang w:val="en-AU"/>
              </w:rPr>
              <w:t xml:space="preserve">5349 </w:t>
            </w:r>
          </w:p>
          <w:p w14:paraId="679CFE0A" w14:textId="77777777" w:rsidR="00D547AD" w:rsidRPr="008659FE" w:rsidRDefault="00D547AD" w:rsidP="00D547AD">
            <w:pPr>
              <w:spacing w:before="0" w:after="0" w:line="276" w:lineRule="auto"/>
              <w:rPr>
                <w:rFonts w:ascii="Arial" w:hAnsi="Arial"/>
                <w:bCs/>
                <w:sz w:val="16"/>
                <w:szCs w:val="16"/>
                <w:lang w:val="en-AU"/>
              </w:rPr>
            </w:pPr>
            <w:r w:rsidRPr="008659FE">
              <w:rPr>
                <w:rFonts w:ascii="Arial" w:hAnsi="Arial"/>
                <w:b/>
                <w:bCs/>
                <w:sz w:val="16"/>
                <w:szCs w:val="16"/>
                <w:lang w:val="en-AU"/>
              </w:rPr>
              <w:t>Phase 6</w:t>
            </w:r>
            <w:r>
              <w:rPr>
                <w:rFonts w:ascii="Arial" w:hAnsi="Arial"/>
                <w:b/>
                <w:bCs/>
                <w:sz w:val="16"/>
                <w:szCs w:val="16"/>
                <w:lang w:val="en-AU"/>
              </w:rPr>
              <w:t xml:space="preserve"> </w:t>
            </w:r>
            <w:r w:rsidRPr="008659FE">
              <w:rPr>
                <w:rFonts w:ascii="Arial" w:hAnsi="Arial"/>
                <w:b/>
                <w:bCs/>
                <w:sz w:val="16"/>
                <w:szCs w:val="16"/>
                <w:lang w:val="en-AU"/>
              </w:rPr>
              <w:t xml:space="preserve">Advanced Growler </w:t>
            </w:r>
          </w:p>
        </w:tc>
        <w:tc>
          <w:tcPr>
            <w:tcW w:w="1790" w:type="dxa"/>
            <w:tcBorders>
              <w:top w:val="single" w:sz="4" w:space="0" w:color="auto"/>
              <w:left w:val="nil"/>
              <w:bottom w:val="nil"/>
              <w:right w:val="nil"/>
            </w:tcBorders>
            <w:shd w:val="clear" w:color="FFFFFF" w:fill="auto"/>
            <w:vAlign w:val="bottom"/>
            <w:hideMark/>
          </w:tcPr>
          <w:p w14:paraId="0CCAB92D" w14:textId="77777777" w:rsidR="00D547AD" w:rsidRPr="008659FE" w:rsidRDefault="00D547AD" w:rsidP="00D547AD">
            <w:pPr>
              <w:spacing w:before="0" w:after="0" w:line="276" w:lineRule="auto"/>
              <w:jc w:val="right"/>
              <w:rPr>
                <w:rFonts w:ascii="Arial" w:hAnsi="Arial"/>
                <w:sz w:val="16"/>
                <w:szCs w:val="16"/>
                <w:lang w:val="en-AU"/>
              </w:rPr>
            </w:pPr>
          </w:p>
          <w:p w14:paraId="582EAA45" w14:textId="77777777" w:rsidR="00D547AD" w:rsidRPr="008659FE" w:rsidRDefault="00D547AD" w:rsidP="00D547AD">
            <w:pPr>
              <w:spacing w:before="0" w:after="0" w:line="276" w:lineRule="auto"/>
              <w:jc w:val="right"/>
              <w:rPr>
                <w:rFonts w:ascii="Arial" w:hAnsi="Arial"/>
                <w:sz w:val="16"/>
                <w:szCs w:val="16"/>
                <w:lang w:val="en-AU"/>
              </w:rPr>
            </w:pPr>
          </w:p>
        </w:tc>
        <w:tc>
          <w:tcPr>
            <w:tcW w:w="1191" w:type="dxa"/>
            <w:tcBorders>
              <w:top w:val="single" w:sz="4" w:space="0" w:color="auto"/>
              <w:left w:val="nil"/>
              <w:bottom w:val="nil"/>
              <w:right w:val="nil"/>
            </w:tcBorders>
            <w:shd w:val="clear" w:color="FFFFFF" w:fill="auto"/>
            <w:noWrap/>
            <w:vAlign w:val="bottom"/>
          </w:tcPr>
          <w:p w14:paraId="1146F861" w14:textId="77777777" w:rsidR="00D547AD" w:rsidRPr="00353F8D" w:rsidRDefault="00D547AD" w:rsidP="00D547AD">
            <w:pPr>
              <w:spacing w:before="0" w:after="0" w:line="276" w:lineRule="auto"/>
              <w:jc w:val="right"/>
              <w:rPr>
                <w:rFonts w:ascii="Arial" w:hAnsi="Arial"/>
                <w:b/>
                <w:sz w:val="16"/>
                <w:szCs w:val="16"/>
                <w:lang w:val="en-AU"/>
              </w:rPr>
            </w:pPr>
          </w:p>
          <w:p w14:paraId="6AB35683" w14:textId="77777777" w:rsidR="00D547AD" w:rsidRPr="00353F8D" w:rsidRDefault="00D547AD" w:rsidP="00D547AD">
            <w:pPr>
              <w:spacing w:before="0" w:after="0" w:line="276" w:lineRule="auto"/>
              <w:jc w:val="right"/>
              <w:rPr>
                <w:rFonts w:ascii="Arial" w:hAnsi="Arial"/>
                <w:b/>
                <w:sz w:val="16"/>
                <w:szCs w:val="16"/>
                <w:lang w:val="en-AU"/>
              </w:rPr>
            </w:pPr>
          </w:p>
        </w:tc>
        <w:tc>
          <w:tcPr>
            <w:tcW w:w="1413" w:type="dxa"/>
            <w:tcBorders>
              <w:top w:val="single" w:sz="4" w:space="0" w:color="auto"/>
              <w:left w:val="nil"/>
              <w:bottom w:val="nil"/>
              <w:right w:val="nil"/>
            </w:tcBorders>
            <w:shd w:val="clear" w:color="auto" w:fill="auto"/>
            <w:noWrap/>
            <w:vAlign w:val="bottom"/>
          </w:tcPr>
          <w:p w14:paraId="7D0ABF0C" w14:textId="77777777" w:rsidR="00D547AD" w:rsidRPr="009E4B9D" w:rsidRDefault="00D547AD" w:rsidP="00D547AD">
            <w:pPr>
              <w:spacing w:before="0" w:after="0" w:line="276" w:lineRule="auto"/>
              <w:jc w:val="right"/>
              <w:rPr>
                <w:rFonts w:ascii="Arial" w:hAnsi="Arial"/>
                <w:b/>
                <w:sz w:val="16"/>
                <w:szCs w:val="16"/>
                <w:lang w:eastAsia="en-US"/>
              </w:rPr>
            </w:pPr>
          </w:p>
        </w:tc>
        <w:tc>
          <w:tcPr>
            <w:tcW w:w="1195" w:type="dxa"/>
            <w:tcBorders>
              <w:top w:val="single" w:sz="4" w:space="0" w:color="auto"/>
              <w:left w:val="nil"/>
              <w:bottom w:val="nil"/>
              <w:right w:val="nil"/>
            </w:tcBorders>
            <w:shd w:val="clear" w:color="auto" w:fill="auto"/>
            <w:noWrap/>
            <w:vAlign w:val="bottom"/>
          </w:tcPr>
          <w:p w14:paraId="205018F0" w14:textId="77777777" w:rsidR="00D547AD" w:rsidRPr="009E4B9D" w:rsidRDefault="00D547AD" w:rsidP="00D547AD">
            <w:pPr>
              <w:spacing w:before="0" w:after="0" w:line="276" w:lineRule="auto"/>
              <w:jc w:val="right"/>
              <w:rPr>
                <w:rFonts w:ascii="Arial" w:hAnsi="Arial"/>
                <w:b/>
                <w:sz w:val="16"/>
                <w:szCs w:val="16"/>
                <w:lang w:eastAsia="en-US"/>
              </w:rPr>
            </w:pPr>
          </w:p>
        </w:tc>
      </w:tr>
      <w:tr w:rsidR="00D547AD" w:rsidRPr="00BA1388" w14:paraId="05C84599" w14:textId="77777777" w:rsidTr="00F600B5">
        <w:trPr>
          <w:trHeight w:val="255"/>
        </w:trPr>
        <w:tc>
          <w:tcPr>
            <w:tcW w:w="3085" w:type="dxa"/>
            <w:tcBorders>
              <w:top w:val="nil"/>
              <w:left w:val="nil"/>
              <w:bottom w:val="nil"/>
              <w:right w:val="nil"/>
            </w:tcBorders>
            <w:shd w:val="clear" w:color="FFFFFF" w:fill="auto"/>
            <w:vAlign w:val="bottom"/>
            <w:hideMark/>
          </w:tcPr>
          <w:p w14:paraId="1D4929D4" w14:textId="77777777" w:rsidR="00D547AD" w:rsidRPr="008659FE" w:rsidRDefault="00D547AD" w:rsidP="00D547AD">
            <w:pPr>
              <w:spacing w:before="0" w:after="0" w:line="276" w:lineRule="auto"/>
              <w:ind w:left="179"/>
              <w:rPr>
                <w:rFonts w:ascii="Arial" w:hAnsi="Arial"/>
                <w:b/>
                <w:bCs/>
                <w:sz w:val="16"/>
                <w:szCs w:val="16"/>
                <w:lang w:val="en-AU"/>
              </w:rPr>
            </w:pPr>
            <w:r w:rsidRPr="008659FE">
              <w:rPr>
                <w:rFonts w:ascii="Arial" w:hAnsi="Arial"/>
                <w:bCs/>
                <w:sz w:val="16"/>
                <w:szCs w:val="16"/>
                <w:lang w:val="en-AU"/>
              </w:rPr>
              <w:t>RAAF Amberley</w:t>
            </w:r>
          </w:p>
        </w:tc>
        <w:tc>
          <w:tcPr>
            <w:tcW w:w="1790" w:type="dxa"/>
            <w:tcBorders>
              <w:top w:val="nil"/>
              <w:left w:val="nil"/>
              <w:bottom w:val="nil"/>
              <w:right w:val="nil"/>
            </w:tcBorders>
            <w:shd w:val="clear" w:color="FFFFFF" w:fill="auto"/>
            <w:noWrap/>
            <w:vAlign w:val="bottom"/>
            <w:hideMark/>
          </w:tcPr>
          <w:p w14:paraId="1AD67612" w14:textId="77777777" w:rsidR="00D547AD" w:rsidRPr="008659FE" w:rsidRDefault="00D547AD" w:rsidP="00D547AD">
            <w:pPr>
              <w:spacing w:before="0" w:after="0" w:line="276" w:lineRule="auto"/>
              <w:jc w:val="right"/>
              <w:rPr>
                <w:rFonts w:ascii="Arial" w:hAnsi="Arial"/>
                <w:sz w:val="16"/>
                <w:szCs w:val="16"/>
                <w:lang w:val="en-AU"/>
              </w:rPr>
            </w:pPr>
            <w:r w:rsidRPr="008659FE">
              <w:rPr>
                <w:rFonts w:ascii="Arial" w:hAnsi="Arial"/>
                <w:sz w:val="16"/>
                <w:szCs w:val="16"/>
                <w:lang w:val="en-AU"/>
              </w:rPr>
              <w:t>QLD - Blair</w:t>
            </w:r>
          </w:p>
        </w:tc>
        <w:tc>
          <w:tcPr>
            <w:tcW w:w="1191" w:type="dxa"/>
            <w:tcBorders>
              <w:top w:val="nil"/>
              <w:left w:val="nil"/>
              <w:bottom w:val="nil"/>
              <w:right w:val="nil"/>
            </w:tcBorders>
            <w:shd w:val="clear" w:color="FFFFFF" w:fill="auto"/>
            <w:noWrap/>
            <w:vAlign w:val="bottom"/>
          </w:tcPr>
          <w:p w14:paraId="307C5207" w14:textId="77777777" w:rsidR="00D547AD" w:rsidRPr="00353F8D" w:rsidRDefault="00D547AD" w:rsidP="00D547AD">
            <w:pPr>
              <w:spacing w:before="0" w:after="0" w:line="276" w:lineRule="auto"/>
              <w:jc w:val="right"/>
              <w:rPr>
                <w:rFonts w:ascii="Arial" w:hAnsi="Arial"/>
                <w:b/>
                <w:sz w:val="16"/>
                <w:szCs w:val="16"/>
                <w:lang w:val="en-AU"/>
              </w:rPr>
            </w:pPr>
          </w:p>
        </w:tc>
        <w:tc>
          <w:tcPr>
            <w:tcW w:w="1413" w:type="dxa"/>
            <w:tcBorders>
              <w:top w:val="nil"/>
              <w:left w:val="nil"/>
              <w:bottom w:val="nil"/>
              <w:right w:val="nil"/>
            </w:tcBorders>
            <w:shd w:val="clear" w:color="auto" w:fill="auto"/>
            <w:noWrap/>
            <w:vAlign w:val="bottom"/>
          </w:tcPr>
          <w:p w14:paraId="2C63A6F1"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2.0</w:t>
            </w:r>
          </w:p>
        </w:tc>
        <w:tc>
          <w:tcPr>
            <w:tcW w:w="1195" w:type="dxa"/>
            <w:tcBorders>
              <w:top w:val="nil"/>
              <w:left w:val="nil"/>
              <w:bottom w:val="nil"/>
              <w:right w:val="nil"/>
            </w:tcBorders>
            <w:shd w:val="clear" w:color="auto" w:fill="auto"/>
            <w:noWrap/>
            <w:vAlign w:val="bottom"/>
          </w:tcPr>
          <w:p w14:paraId="06084193"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39.9</w:t>
            </w:r>
          </w:p>
        </w:tc>
      </w:tr>
      <w:tr w:rsidR="00D547AD" w:rsidRPr="00BA1388" w14:paraId="2B3497BC" w14:textId="77777777" w:rsidTr="00F600B5">
        <w:trPr>
          <w:trHeight w:val="227"/>
        </w:trPr>
        <w:tc>
          <w:tcPr>
            <w:tcW w:w="3085" w:type="dxa"/>
            <w:tcBorders>
              <w:top w:val="nil"/>
              <w:left w:val="nil"/>
              <w:bottom w:val="nil"/>
              <w:right w:val="nil"/>
            </w:tcBorders>
            <w:shd w:val="clear" w:color="FFFFFF" w:fill="auto"/>
            <w:vAlign w:val="bottom"/>
            <w:hideMark/>
          </w:tcPr>
          <w:p w14:paraId="6F22C3F7" w14:textId="77777777" w:rsidR="00D547AD" w:rsidRPr="008659FE" w:rsidRDefault="00D547AD" w:rsidP="00D547AD">
            <w:pPr>
              <w:spacing w:before="0" w:after="0" w:line="276" w:lineRule="auto"/>
              <w:ind w:left="179"/>
              <w:rPr>
                <w:rFonts w:ascii="Arial" w:hAnsi="Arial"/>
                <w:b/>
                <w:bCs/>
                <w:sz w:val="16"/>
                <w:szCs w:val="16"/>
                <w:lang w:val="en-AU"/>
              </w:rPr>
            </w:pPr>
            <w:r w:rsidRPr="008659FE">
              <w:rPr>
                <w:rFonts w:ascii="Arial" w:hAnsi="Arial"/>
                <w:bCs/>
                <w:sz w:val="16"/>
                <w:szCs w:val="16"/>
                <w:lang w:val="en-AU"/>
              </w:rPr>
              <w:t>Delamere Air Weapons Range</w:t>
            </w:r>
          </w:p>
        </w:tc>
        <w:tc>
          <w:tcPr>
            <w:tcW w:w="1790" w:type="dxa"/>
            <w:tcBorders>
              <w:top w:val="nil"/>
              <w:left w:val="nil"/>
              <w:bottom w:val="nil"/>
              <w:right w:val="nil"/>
            </w:tcBorders>
            <w:shd w:val="clear" w:color="FFFFFF" w:fill="auto"/>
            <w:noWrap/>
            <w:vAlign w:val="bottom"/>
            <w:hideMark/>
          </w:tcPr>
          <w:p w14:paraId="23C4BC37" w14:textId="77777777" w:rsidR="00D547AD" w:rsidRPr="008659FE" w:rsidRDefault="00D547AD" w:rsidP="00D547AD">
            <w:pPr>
              <w:spacing w:before="0" w:after="0" w:line="276" w:lineRule="auto"/>
              <w:jc w:val="right"/>
              <w:rPr>
                <w:rFonts w:ascii="Arial" w:hAnsi="Arial"/>
                <w:sz w:val="16"/>
                <w:szCs w:val="16"/>
                <w:lang w:val="en-AU"/>
              </w:rPr>
            </w:pPr>
            <w:r w:rsidRPr="008659FE">
              <w:rPr>
                <w:rFonts w:ascii="Arial" w:hAnsi="Arial"/>
                <w:sz w:val="16"/>
                <w:szCs w:val="16"/>
                <w:lang w:val="en-AU"/>
              </w:rPr>
              <w:t>NT - Lingiari</w:t>
            </w:r>
          </w:p>
        </w:tc>
        <w:tc>
          <w:tcPr>
            <w:tcW w:w="1191" w:type="dxa"/>
            <w:tcBorders>
              <w:top w:val="nil"/>
              <w:left w:val="nil"/>
              <w:bottom w:val="nil"/>
              <w:right w:val="nil"/>
            </w:tcBorders>
            <w:shd w:val="clear" w:color="FFFFFF" w:fill="auto"/>
            <w:noWrap/>
            <w:vAlign w:val="bottom"/>
          </w:tcPr>
          <w:p w14:paraId="4D754998" w14:textId="77777777" w:rsidR="00D547AD" w:rsidRPr="00353F8D" w:rsidRDefault="00D547AD" w:rsidP="00D547AD">
            <w:pPr>
              <w:spacing w:before="0" w:after="0" w:line="276" w:lineRule="auto"/>
              <w:jc w:val="right"/>
              <w:rPr>
                <w:rFonts w:ascii="Arial" w:hAnsi="Arial"/>
                <w:b/>
                <w:sz w:val="16"/>
                <w:szCs w:val="16"/>
                <w:lang w:val="en-AU"/>
              </w:rPr>
            </w:pPr>
          </w:p>
        </w:tc>
        <w:tc>
          <w:tcPr>
            <w:tcW w:w="1413" w:type="dxa"/>
            <w:tcBorders>
              <w:top w:val="nil"/>
              <w:left w:val="nil"/>
              <w:bottom w:val="nil"/>
              <w:right w:val="nil"/>
            </w:tcBorders>
            <w:shd w:val="clear" w:color="auto" w:fill="auto"/>
            <w:noWrap/>
            <w:vAlign w:val="bottom"/>
          </w:tcPr>
          <w:p w14:paraId="27952E3A"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3.0</w:t>
            </w:r>
          </w:p>
        </w:tc>
        <w:tc>
          <w:tcPr>
            <w:tcW w:w="1195" w:type="dxa"/>
            <w:tcBorders>
              <w:top w:val="nil"/>
              <w:left w:val="nil"/>
              <w:bottom w:val="nil"/>
              <w:right w:val="nil"/>
            </w:tcBorders>
            <w:shd w:val="clear" w:color="auto" w:fill="auto"/>
            <w:noWrap/>
            <w:vAlign w:val="bottom"/>
          </w:tcPr>
          <w:p w14:paraId="211B3107"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100.4</w:t>
            </w:r>
          </w:p>
        </w:tc>
      </w:tr>
      <w:tr w:rsidR="00D547AD" w:rsidRPr="00BA1388" w14:paraId="04FF9DB7" w14:textId="77777777" w:rsidTr="00D547AD">
        <w:trPr>
          <w:trHeight w:val="227"/>
        </w:trPr>
        <w:tc>
          <w:tcPr>
            <w:tcW w:w="3085" w:type="dxa"/>
            <w:tcBorders>
              <w:top w:val="nil"/>
              <w:left w:val="nil"/>
              <w:bottom w:val="single" w:sz="4" w:space="0" w:color="auto"/>
              <w:right w:val="nil"/>
            </w:tcBorders>
            <w:shd w:val="clear" w:color="FFFFFF" w:fill="auto"/>
            <w:vAlign w:val="bottom"/>
          </w:tcPr>
          <w:p w14:paraId="1BADD7FF" w14:textId="77777777" w:rsidR="00D547AD" w:rsidRPr="008659FE" w:rsidRDefault="00D547AD" w:rsidP="00D547AD">
            <w:pPr>
              <w:spacing w:before="0" w:after="0" w:line="276" w:lineRule="auto"/>
              <w:rPr>
                <w:rFonts w:ascii="Arial" w:hAnsi="Arial"/>
                <w:b/>
                <w:bCs/>
                <w:sz w:val="16"/>
                <w:szCs w:val="16"/>
                <w:lang w:val="en-AU"/>
              </w:rPr>
            </w:pPr>
            <w:r w:rsidRPr="008659FE">
              <w:rPr>
                <w:rFonts w:ascii="Arial" w:hAnsi="Arial"/>
                <w:b/>
                <w:bCs/>
                <w:sz w:val="16"/>
                <w:szCs w:val="16"/>
                <w:lang w:val="en-AU"/>
              </w:rPr>
              <w:t>Total</w:t>
            </w:r>
          </w:p>
        </w:tc>
        <w:tc>
          <w:tcPr>
            <w:tcW w:w="1790" w:type="dxa"/>
            <w:tcBorders>
              <w:top w:val="nil"/>
              <w:left w:val="nil"/>
              <w:bottom w:val="single" w:sz="4" w:space="0" w:color="auto"/>
              <w:right w:val="nil"/>
            </w:tcBorders>
            <w:shd w:val="clear" w:color="FFFFFF" w:fill="auto"/>
            <w:noWrap/>
            <w:vAlign w:val="bottom"/>
          </w:tcPr>
          <w:p w14:paraId="77441D29" w14:textId="77777777" w:rsidR="00D547AD" w:rsidRPr="008659FE" w:rsidRDefault="00D547AD" w:rsidP="00D547AD">
            <w:pPr>
              <w:spacing w:before="0" w:after="0" w:line="276" w:lineRule="auto"/>
              <w:jc w:val="right"/>
              <w:rPr>
                <w:rFonts w:ascii="Arial" w:hAnsi="Arial"/>
                <w:sz w:val="16"/>
                <w:szCs w:val="16"/>
                <w:lang w:val="en-AU"/>
              </w:rPr>
            </w:pPr>
          </w:p>
        </w:tc>
        <w:tc>
          <w:tcPr>
            <w:tcW w:w="1191" w:type="dxa"/>
            <w:tcBorders>
              <w:top w:val="nil"/>
              <w:left w:val="nil"/>
              <w:bottom w:val="single" w:sz="4" w:space="0" w:color="auto"/>
              <w:right w:val="nil"/>
            </w:tcBorders>
            <w:shd w:val="clear" w:color="FFFFFF" w:fill="auto"/>
            <w:noWrap/>
            <w:vAlign w:val="bottom"/>
          </w:tcPr>
          <w:p w14:paraId="0B1FB1B2" w14:textId="77777777" w:rsidR="00D547AD" w:rsidRPr="00353F8D" w:rsidRDefault="00D547AD" w:rsidP="00D547AD">
            <w:pPr>
              <w:spacing w:before="0" w:after="0" w:line="276" w:lineRule="auto"/>
              <w:jc w:val="right"/>
              <w:rPr>
                <w:rFonts w:ascii="Arial" w:hAnsi="Arial"/>
                <w:b/>
                <w:sz w:val="16"/>
                <w:szCs w:val="16"/>
                <w:lang w:val="en-AU"/>
              </w:rPr>
            </w:pPr>
            <w:r w:rsidRPr="00353F8D">
              <w:rPr>
                <w:rFonts w:ascii="Arial" w:hAnsi="Arial"/>
                <w:b/>
                <w:sz w:val="16"/>
                <w:szCs w:val="16"/>
                <w:lang w:val="en-AU"/>
              </w:rPr>
              <w:t>228.2</w:t>
            </w:r>
          </w:p>
        </w:tc>
        <w:tc>
          <w:tcPr>
            <w:tcW w:w="1413" w:type="dxa"/>
            <w:tcBorders>
              <w:top w:val="nil"/>
              <w:left w:val="nil"/>
              <w:bottom w:val="single" w:sz="4" w:space="0" w:color="auto"/>
              <w:right w:val="nil"/>
            </w:tcBorders>
            <w:shd w:val="clear" w:color="auto" w:fill="auto"/>
            <w:noWrap/>
            <w:vAlign w:val="bottom"/>
          </w:tcPr>
          <w:p w14:paraId="59F0C09F" w14:textId="77777777" w:rsidR="00D547AD" w:rsidRPr="009E4B9D" w:rsidRDefault="00D547AD" w:rsidP="00D547AD">
            <w:pPr>
              <w:spacing w:before="0" w:after="0" w:line="276" w:lineRule="auto"/>
              <w:jc w:val="right"/>
              <w:rPr>
                <w:rFonts w:ascii="Arial" w:hAnsi="Arial"/>
                <w:b/>
                <w:sz w:val="16"/>
                <w:szCs w:val="16"/>
                <w:lang w:eastAsia="en-US"/>
              </w:rPr>
            </w:pPr>
            <w:r w:rsidRPr="009E4B9D">
              <w:rPr>
                <w:rFonts w:ascii="Arial" w:hAnsi="Arial"/>
                <w:b/>
                <w:sz w:val="16"/>
                <w:szCs w:val="16"/>
                <w:lang w:eastAsia="en-US"/>
              </w:rPr>
              <w:t>5.0</w:t>
            </w:r>
          </w:p>
        </w:tc>
        <w:tc>
          <w:tcPr>
            <w:tcW w:w="1195" w:type="dxa"/>
            <w:tcBorders>
              <w:top w:val="nil"/>
              <w:left w:val="nil"/>
              <w:bottom w:val="single" w:sz="4" w:space="0" w:color="auto"/>
              <w:right w:val="nil"/>
            </w:tcBorders>
            <w:shd w:val="clear" w:color="auto" w:fill="auto"/>
            <w:noWrap/>
            <w:vAlign w:val="bottom"/>
          </w:tcPr>
          <w:p w14:paraId="041A6E21" w14:textId="77777777" w:rsidR="00D547AD" w:rsidRPr="009E4B9D" w:rsidRDefault="00D547AD" w:rsidP="00D547AD">
            <w:pPr>
              <w:spacing w:before="0" w:after="0" w:line="276" w:lineRule="auto"/>
              <w:jc w:val="right"/>
              <w:rPr>
                <w:rFonts w:ascii="Arial" w:hAnsi="Arial"/>
                <w:b/>
                <w:sz w:val="16"/>
                <w:szCs w:val="16"/>
                <w:lang w:eastAsia="en-US"/>
              </w:rPr>
            </w:pPr>
            <w:r w:rsidRPr="009E4B9D">
              <w:rPr>
                <w:rFonts w:ascii="Arial" w:hAnsi="Arial"/>
                <w:b/>
                <w:sz w:val="16"/>
                <w:szCs w:val="16"/>
                <w:lang w:eastAsia="en-US"/>
              </w:rPr>
              <w:t>140.3</w:t>
            </w:r>
          </w:p>
        </w:tc>
      </w:tr>
      <w:tr w:rsidR="00D547AD" w:rsidRPr="00BA1388" w14:paraId="3A37EADD" w14:textId="77777777" w:rsidTr="00F600B5">
        <w:trPr>
          <w:trHeight w:val="227"/>
        </w:trPr>
        <w:tc>
          <w:tcPr>
            <w:tcW w:w="3085" w:type="dxa"/>
            <w:tcBorders>
              <w:top w:val="single" w:sz="4" w:space="0" w:color="auto"/>
              <w:left w:val="nil"/>
              <w:bottom w:val="nil"/>
              <w:right w:val="nil"/>
            </w:tcBorders>
            <w:shd w:val="clear" w:color="FFFFFF" w:fill="auto"/>
            <w:vAlign w:val="bottom"/>
          </w:tcPr>
          <w:p w14:paraId="5D523205" w14:textId="5ADEBC22" w:rsidR="00D547AD" w:rsidRPr="008659FE" w:rsidRDefault="00D547AD" w:rsidP="00D547AD">
            <w:pPr>
              <w:spacing w:before="0" w:after="0" w:line="276" w:lineRule="auto"/>
              <w:rPr>
                <w:rFonts w:ascii="Arial" w:hAnsi="Arial"/>
                <w:b/>
                <w:bCs/>
                <w:sz w:val="16"/>
                <w:szCs w:val="16"/>
                <w:lang w:val="en-AU"/>
              </w:rPr>
            </w:pPr>
            <w:r w:rsidRPr="008659FE">
              <w:rPr>
                <w:rFonts w:ascii="Arial" w:hAnsi="Arial"/>
                <w:b/>
                <w:bCs/>
                <w:sz w:val="16"/>
                <w:szCs w:val="16"/>
                <w:lang w:val="en-AU"/>
              </w:rPr>
              <w:t>Facilities to Support LAND</w:t>
            </w:r>
            <w:r w:rsidR="000F532D">
              <w:rPr>
                <w:rFonts w:ascii="Arial" w:hAnsi="Arial"/>
                <w:b/>
                <w:bCs/>
                <w:sz w:val="16"/>
                <w:szCs w:val="16"/>
                <w:lang w:val="en-AU"/>
              </w:rPr>
              <w:t xml:space="preserve"> </w:t>
            </w:r>
            <w:r w:rsidRPr="008659FE">
              <w:rPr>
                <w:rFonts w:ascii="Arial" w:hAnsi="Arial"/>
                <w:b/>
                <w:bCs/>
                <w:sz w:val="16"/>
                <w:szCs w:val="16"/>
                <w:lang w:val="en-AU"/>
              </w:rPr>
              <w:t xml:space="preserve">1508 </w:t>
            </w:r>
            <w:r w:rsidRPr="008659FE">
              <w:rPr>
                <w:rFonts w:ascii="Arial" w:hAnsi="Arial"/>
                <w:b/>
                <w:bCs/>
                <w:sz w:val="16"/>
                <w:szCs w:val="16"/>
                <w:lang w:val="en-AU"/>
              </w:rPr>
              <w:br/>
              <w:t xml:space="preserve">Phase 1 Special Operations Capability Enhancements </w:t>
            </w:r>
          </w:p>
        </w:tc>
        <w:tc>
          <w:tcPr>
            <w:tcW w:w="1790" w:type="dxa"/>
            <w:tcBorders>
              <w:top w:val="single" w:sz="4" w:space="0" w:color="auto"/>
              <w:left w:val="nil"/>
              <w:bottom w:val="nil"/>
              <w:right w:val="nil"/>
            </w:tcBorders>
            <w:shd w:val="clear" w:color="FFFFFF" w:fill="auto"/>
            <w:noWrap/>
            <w:vAlign w:val="bottom"/>
          </w:tcPr>
          <w:p w14:paraId="3555E107" w14:textId="77777777" w:rsidR="00D547AD" w:rsidRPr="008659FE" w:rsidRDefault="00D547AD" w:rsidP="00D547AD">
            <w:pPr>
              <w:spacing w:before="0" w:after="0" w:line="276" w:lineRule="auto"/>
              <w:jc w:val="right"/>
              <w:rPr>
                <w:rFonts w:ascii="Arial" w:hAnsi="Arial"/>
                <w:color w:val="000000"/>
                <w:sz w:val="16"/>
                <w:szCs w:val="16"/>
              </w:rPr>
            </w:pPr>
          </w:p>
          <w:p w14:paraId="3AA6A302" w14:textId="77777777" w:rsidR="00D547AD" w:rsidRPr="008659FE" w:rsidRDefault="00D547AD" w:rsidP="00D547AD">
            <w:pPr>
              <w:spacing w:before="0" w:after="0" w:line="276" w:lineRule="auto"/>
              <w:jc w:val="right"/>
              <w:rPr>
                <w:rFonts w:ascii="Arial" w:hAnsi="Arial"/>
                <w:color w:val="000000"/>
                <w:sz w:val="16"/>
                <w:szCs w:val="16"/>
                <w:lang w:val="en-AU"/>
              </w:rPr>
            </w:pPr>
          </w:p>
        </w:tc>
        <w:tc>
          <w:tcPr>
            <w:tcW w:w="1191" w:type="dxa"/>
            <w:tcBorders>
              <w:top w:val="single" w:sz="4" w:space="0" w:color="auto"/>
              <w:left w:val="nil"/>
              <w:bottom w:val="nil"/>
              <w:right w:val="nil"/>
            </w:tcBorders>
            <w:shd w:val="clear" w:color="FFFFFF" w:fill="auto"/>
            <w:noWrap/>
            <w:vAlign w:val="bottom"/>
          </w:tcPr>
          <w:p w14:paraId="25C858EC" w14:textId="77777777" w:rsidR="00D547AD" w:rsidRPr="00353F8D" w:rsidRDefault="00D547AD" w:rsidP="00D547AD">
            <w:pPr>
              <w:spacing w:before="0" w:after="0" w:line="276" w:lineRule="auto"/>
              <w:jc w:val="right"/>
              <w:rPr>
                <w:rFonts w:ascii="Arial" w:hAnsi="Arial"/>
                <w:b/>
                <w:bCs/>
                <w:color w:val="000000"/>
                <w:sz w:val="16"/>
                <w:szCs w:val="16"/>
                <w:lang w:val="en-AU"/>
              </w:rPr>
            </w:pPr>
          </w:p>
        </w:tc>
        <w:tc>
          <w:tcPr>
            <w:tcW w:w="1413" w:type="dxa"/>
            <w:tcBorders>
              <w:top w:val="single" w:sz="4" w:space="0" w:color="auto"/>
              <w:left w:val="nil"/>
              <w:bottom w:val="nil"/>
              <w:right w:val="nil"/>
            </w:tcBorders>
            <w:shd w:val="clear" w:color="FFFFFF" w:fill="auto"/>
            <w:noWrap/>
            <w:vAlign w:val="bottom"/>
          </w:tcPr>
          <w:p w14:paraId="12081D5E" w14:textId="77777777" w:rsidR="00D547AD" w:rsidRPr="009E4B9D" w:rsidRDefault="00D547AD" w:rsidP="00D547AD">
            <w:pPr>
              <w:spacing w:before="0" w:after="0" w:line="276" w:lineRule="auto"/>
              <w:jc w:val="right"/>
              <w:rPr>
                <w:rFonts w:ascii="Arial" w:hAnsi="Arial"/>
                <w:b/>
                <w:sz w:val="16"/>
                <w:szCs w:val="16"/>
                <w:lang w:eastAsia="en-US"/>
              </w:rPr>
            </w:pPr>
          </w:p>
        </w:tc>
        <w:tc>
          <w:tcPr>
            <w:tcW w:w="1195" w:type="dxa"/>
            <w:tcBorders>
              <w:top w:val="single" w:sz="4" w:space="0" w:color="auto"/>
              <w:left w:val="nil"/>
              <w:bottom w:val="nil"/>
              <w:right w:val="nil"/>
            </w:tcBorders>
            <w:shd w:val="clear" w:color="FFFFFF" w:fill="auto"/>
            <w:noWrap/>
            <w:vAlign w:val="bottom"/>
          </w:tcPr>
          <w:p w14:paraId="5C5B6B80" w14:textId="77777777" w:rsidR="00D547AD" w:rsidRPr="009E4B9D" w:rsidRDefault="00D547AD" w:rsidP="00D547AD">
            <w:pPr>
              <w:spacing w:before="0" w:after="0" w:line="276" w:lineRule="auto"/>
              <w:jc w:val="right"/>
              <w:rPr>
                <w:rFonts w:ascii="Arial" w:hAnsi="Arial"/>
                <w:b/>
                <w:sz w:val="16"/>
                <w:szCs w:val="16"/>
                <w:lang w:eastAsia="en-US"/>
              </w:rPr>
            </w:pPr>
          </w:p>
        </w:tc>
      </w:tr>
      <w:tr w:rsidR="00D547AD" w:rsidRPr="00BA1388" w14:paraId="6441AE01" w14:textId="77777777" w:rsidTr="00F600B5">
        <w:trPr>
          <w:trHeight w:val="227"/>
        </w:trPr>
        <w:tc>
          <w:tcPr>
            <w:tcW w:w="3085" w:type="dxa"/>
            <w:tcBorders>
              <w:top w:val="nil"/>
              <w:left w:val="nil"/>
              <w:bottom w:val="nil"/>
              <w:right w:val="nil"/>
            </w:tcBorders>
            <w:shd w:val="clear" w:color="FFFFFF" w:fill="auto"/>
            <w:vAlign w:val="bottom"/>
          </w:tcPr>
          <w:p w14:paraId="0E39E034" w14:textId="77777777" w:rsidR="00D547AD" w:rsidRPr="008659FE" w:rsidRDefault="00D547AD" w:rsidP="00D547AD">
            <w:pPr>
              <w:spacing w:before="0" w:after="0" w:line="276" w:lineRule="auto"/>
              <w:ind w:left="179"/>
              <w:rPr>
                <w:rFonts w:ascii="Arial" w:hAnsi="Arial"/>
                <w:b/>
                <w:bCs/>
                <w:sz w:val="16"/>
                <w:szCs w:val="16"/>
                <w:lang w:val="en-AU"/>
              </w:rPr>
            </w:pPr>
            <w:r w:rsidRPr="008659FE">
              <w:rPr>
                <w:rFonts w:ascii="Arial" w:hAnsi="Arial"/>
                <w:sz w:val="16"/>
                <w:szCs w:val="16"/>
                <w:lang w:val="en-AU"/>
              </w:rPr>
              <w:t>Holsworthy Barracks</w:t>
            </w:r>
          </w:p>
        </w:tc>
        <w:tc>
          <w:tcPr>
            <w:tcW w:w="1790" w:type="dxa"/>
            <w:tcBorders>
              <w:top w:val="nil"/>
              <w:left w:val="nil"/>
              <w:bottom w:val="nil"/>
              <w:right w:val="nil"/>
            </w:tcBorders>
            <w:shd w:val="clear" w:color="FFFFFF" w:fill="auto"/>
            <w:noWrap/>
            <w:vAlign w:val="bottom"/>
          </w:tcPr>
          <w:p w14:paraId="5D5ADC0B" w14:textId="77777777" w:rsidR="00D547AD" w:rsidRPr="008659FE" w:rsidRDefault="00D547AD" w:rsidP="00D547AD">
            <w:pPr>
              <w:spacing w:before="0" w:after="0" w:line="276" w:lineRule="auto"/>
              <w:jc w:val="right"/>
              <w:rPr>
                <w:rFonts w:ascii="Arial" w:hAnsi="Arial"/>
                <w:color w:val="000000"/>
                <w:sz w:val="16"/>
                <w:szCs w:val="16"/>
              </w:rPr>
            </w:pPr>
            <w:r w:rsidRPr="008659FE">
              <w:rPr>
                <w:rFonts w:ascii="Arial" w:hAnsi="Arial"/>
                <w:color w:val="000000"/>
                <w:sz w:val="16"/>
                <w:szCs w:val="16"/>
              </w:rPr>
              <w:t>NSW - Hughes</w:t>
            </w:r>
          </w:p>
        </w:tc>
        <w:tc>
          <w:tcPr>
            <w:tcW w:w="1191" w:type="dxa"/>
            <w:tcBorders>
              <w:top w:val="nil"/>
              <w:left w:val="nil"/>
              <w:bottom w:val="nil"/>
              <w:right w:val="nil"/>
            </w:tcBorders>
            <w:shd w:val="clear" w:color="FFFFFF" w:fill="auto"/>
            <w:noWrap/>
            <w:vAlign w:val="bottom"/>
          </w:tcPr>
          <w:p w14:paraId="01B871D5" w14:textId="77777777" w:rsidR="00D547AD" w:rsidRPr="00353F8D" w:rsidRDefault="00D547AD" w:rsidP="00D547AD">
            <w:pPr>
              <w:spacing w:before="0" w:after="0" w:line="276" w:lineRule="auto"/>
              <w:jc w:val="right"/>
              <w:rPr>
                <w:rFonts w:ascii="Arial" w:hAnsi="Arial"/>
                <w:b/>
                <w:bCs/>
                <w:color w:val="000000"/>
                <w:sz w:val="16"/>
                <w:szCs w:val="16"/>
              </w:rPr>
            </w:pPr>
          </w:p>
        </w:tc>
        <w:tc>
          <w:tcPr>
            <w:tcW w:w="1413" w:type="dxa"/>
            <w:tcBorders>
              <w:top w:val="nil"/>
              <w:left w:val="nil"/>
              <w:bottom w:val="nil"/>
              <w:right w:val="nil"/>
            </w:tcBorders>
            <w:shd w:val="clear" w:color="auto" w:fill="auto"/>
            <w:noWrap/>
            <w:vAlign w:val="bottom"/>
          </w:tcPr>
          <w:p w14:paraId="1BF3B812"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8.1</w:t>
            </w:r>
          </w:p>
        </w:tc>
        <w:tc>
          <w:tcPr>
            <w:tcW w:w="1195" w:type="dxa"/>
            <w:tcBorders>
              <w:top w:val="nil"/>
              <w:left w:val="nil"/>
              <w:bottom w:val="nil"/>
              <w:right w:val="nil"/>
            </w:tcBorders>
            <w:shd w:val="clear" w:color="auto" w:fill="auto"/>
            <w:noWrap/>
            <w:vAlign w:val="bottom"/>
          </w:tcPr>
          <w:p w14:paraId="6FE94D26"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51.6</w:t>
            </w:r>
          </w:p>
        </w:tc>
      </w:tr>
      <w:tr w:rsidR="00D547AD" w:rsidRPr="00BA1388" w14:paraId="44DCA487" w14:textId="77777777" w:rsidTr="00F600B5">
        <w:trPr>
          <w:trHeight w:val="255"/>
        </w:trPr>
        <w:tc>
          <w:tcPr>
            <w:tcW w:w="3085" w:type="dxa"/>
            <w:tcBorders>
              <w:top w:val="nil"/>
              <w:left w:val="nil"/>
              <w:bottom w:val="nil"/>
              <w:right w:val="nil"/>
            </w:tcBorders>
            <w:shd w:val="clear" w:color="FFFFFF" w:fill="auto"/>
            <w:vAlign w:val="bottom"/>
          </w:tcPr>
          <w:p w14:paraId="46BD384D" w14:textId="77777777" w:rsidR="00D547AD" w:rsidRPr="008659FE" w:rsidRDefault="00D547AD" w:rsidP="00D547AD">
            <w:pPr>
              <w:spacing w:before="0" w:after="0" w:line="276" w:lineRule="auto"/>
              <w:ind w:left="179"/>
              <w:rPr>
                <w:rFonts w:ascii="Arial" w:hAnsi="Arial"/>
                <w:b/>
                <w:bCs/>
                <w:sz w:val="16"/>
                <w:szCs w:val="16"/>
                <w:lang w:val="en-AU"/>
              </w:rPr>
            </w:pPr>
            <w:r w:rsidRPr="008659FE">
              <w:rPr>
                <w:rFonts w:ascii="Arial" w:hAnsi="Arial"/>
                <w:sz w:val="16"/>
                <w:szCs w:val="16"/>
                <w:lang w:val="en-AU"/>
              </w:rPr>
              <w:t>Campbell Barracks</w:t>
            </w:r>
          </w:p>
        </w:tc>
        <w:tc>
          <w:tcPr>
            <w:tcW w:w="1790" w:type="dxa"/>
            <w:tcBorders>
              <w:top w:val="nil"/>
              <w:left w:val="nil"/>
              <w:bottom w:val="nil"/>
              <w:right w:val="nil"/>
            </w:tcBorders>
            <w:shd w:val="clear" w:color="FFFFFF" w:fill="auto"/>
            <w:vAlign w:val="bottom"/>
          </w:tcPr>
          <w:p w14:paraId="6425B6F1" w14:textId="77777777" w:rsidR="00D547AD" w:rsidRPr="008659FE" w:rsidRDefault="00D547AD" w:rsidP="00D547AD">
            <w:pPr>
              <w:spacing w:before="0" w:after="0" w:line="276" w:lineRule="auto"/>
              <w:jc w:val="right"/>
              <w:rPr>
                <w:rFonts w:ascii="Arial" w:hAnsi="Arial"/>
                <w:color w:val="000000"/>
                <w:sz w:val="16"/>
                <w:szCs w:val="16"/>
              </w:rPr>
            </w:pPr>
            <w:r w:rsidRPr="008659FE">
              <w:rPr>
                <w:rFonts w:ascii="Arial" w:hAnsi="Arial"/>
                <w:color w:val="000000"/>
                <w:sz w:val="16"/>
                <w:szCs w:val="16"/>
              </w:rPr>
              <w:t>WA - Curtin</w:t>
            </w:r>
          </w:p>
        </w:tc>
        <w:tc>
          <w:tcPr>
            <w:tcW w:w="1191" w:type="dxa"/>
            <w:tcBorders>
              <w:top w:val="nil"/>
              <w:left w:val="nil"/>
              <w:bottom w:val="nil"/>
              <w:right w:val="nil"/>
            </w:tcBorders>
            <w:shd w:val="clear" w:color="FFFFFF" w:fill="auto"/>
            <w:noWrap/>
            <w:vAlign w:val="bottom"/>
          </w:tcPr>
          <w:p w14:paraId="15E814A5" w14:textId="77777777" w:rsidR="00D547AD" w:rsidRPr="00353F8D" w:rsidRDefault="00D547AD" w:rsidP="00D547AD">
            <w:pPr>
              <w:spacing w:before="0" w:after="0" w:line="276" w:lineRule="auto"/>
              <w:jc w:val="right"/>
              <w:rPr>
                <w:rFonts w:ascii="Arial" w:hAnsi="Arial"/>
                <w:b/>
                <w:bCs/>
                <w:color w:val="000000"/>
                <w:sz w:val="16"/>
                <w:szCs w:val="16"/>
              </w:rPr>
            </w:pPr>
          </w:p>
        </w:tc>
        <w:tc>
          <w:tcPr>
            <w:tcW w:w="1413" w:type="dxa"/>
            <w:tcBorders>
              <w:top w:val="nil"/>
              <w:left w:val="nil"/>
              <w:bottom w:val="nil"/>
              <w:right w:val="nil"/>
            </w:tcBorders>
            <w:shd w:val="clear" w:color="FFFFFF" w:fill="auto"/>
            <w:noWrap/>
            <w:vAlign w:val="bottom"/>
          </w:tcPr>
          <w:p w14:paraId="036CB04C"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9.9</w:t>
            </w:r>
          </w:p>
        </w:tc>
        <w:tc>
          <w:tcPr>
            <w:tcW w:w="1195" w:type="dxa"/>
            <w:tcBorders>
              <w:top w:val="nil"/>
              <w:left w:val="nil"/>
              <w:bottom w:val="nil"/>
              <w:right w:val="nil"/>
            </w:tcBorders>
            <w:shd w:val="clear" w:color="FFFFFF" w:fill="auto"/>
            <w:noWrap/>
            <w:vAlign w:val="bottom"/>
          </w:tcPr>
          <w:p w14:paraId="7BB4097B"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53.0</w:t>
            </w:r>
          </w:p>
        </w:tc>
      </w:tr>
      <w:tr w:rsidR="00D547AD" w:rsidRPr="00BA1388" w14:paraId="11A6AF91" w14:textId="77777777" w:rsidTr="00D547AD">
        <w:trPr>
          <w:trHeight w:val="255"/>
        </w:trPr>
        <w:tc>
          <w:tcPr>
            <w:tcW w:w="3085" w:type="dxa"/>
            <w:tcBorders>
              <w:top w:val="nil"/>
              <w:left w:val="nil"/>
              <w:bottom w:val="single" w:sz="4" w:space="0" w:color="auto"/>
              <w:right w:val="nil"/>
            </w:tcBorders>
            <w:shd w:val="clear" w:color="FFFFFF" w:fill="auto"/>
            <w:vAlign w:val="bottom"/>
          </w:tcPr>
          <w:p w14:paraId="5FA097CC" w14:textId="77777777" w:rsidR="00D547AD" w:rsidRPr="008659FE" w:rsidRDefault="00D547AD" w:rsidP="00D547AD">
            <w:pPr>
              <w:spacing w:before="0" w:after="0" w:line="276" w:lineRule="auto"/>
              <w:rPr>
                <w:rFonts w:ascii="Arial" w:hAnsi="Arial"/>
                <w:b/>
                <w:bCs/>
                <w:sz w:val="16"/>
                <w:szCs w:val="16"/>
                <w:lang w:val="en-AU"/>
              </w:rPr>
            </w:pPr>
            <w:r w:rsidRPr="008659FE">
              <w:rPr>
                <w:rFonts w:ascii="Arial" w:hAnsi="Arial"/>
                <w:b/>
                <w:bCs/>
                <w:sz w:val="16"/>
                <w:szCs w:val="16"/>
                <w:lang w:val="en-AU"/>
              </w:rPr>
              <w:t>Total</w:t>
            </w:r>
          </w:p>
        </w:tc>
        <w:tc>
          <w:tcPr>
            <w:tcW w:w="1790" w:type="dxa"/>
            <w:tcBorders>
              <w:top w:val="nil"/>
              <w:left w:val="nil"/>
              <w:bottom w:val="single" w:sz="4" w:space="0" w:color="auto"/>
              <w:right w:val="nil"/>
            </w:tcBorders>
            <w:shd w:val="clear" w:color="FFFFFF" w:fill="auto"/>
            <w:vAlign w:val="bottom"/>
          </w:tcPr>
          <w:p w14:paraId="2EEC5543" w14:textId="77777777" w:rsidR="00D547AD" w:rsidRPr="008659FE" w:rsidRDefault="00D547AD" w:rsidP="00D547AD">
            <w:pPr>
              <w:spacing w:before="0" w:after="0" w:line="276" w:lineRule="auto"/>
              <w:jc w:val="right"/>
              <w:rPr>
                <w:rFonts w:ascii="Arial" w:hAnsi="Arial"/>
                <w:color w:val="000000"/>
                <w:sz w:val="16"/>
                <w:szCs w:val="16"/>
              </w:rPr>
            </w:pPr>
          </w:p>
        </w:tc>
        <w:tc>
          <w:tcPr>
            <w:tcW w:w="1191" w:type="dxa"/>
            <w:tcBorders>
              <w:top w:val="nil"/>
              <w:left w:val="nil"/>
              <w:bottom w:val="single" w:sz="4" w:space="0" w:color="auto"/>
              <w:right w:val="nil"/>
            </w:tcBorders>
            <w:shd w:val="clear" w:color="FFFFFF" w:fill="auto"/>
            <w:noWrap/>
            <w:vAlign w:val="bottom"/>
          </w:tcPr>
          <w:p w14:paraId="3B8FB140" w14:textId="77777777" w:rsidR="00D547AD" w:rsidRPr="00353F8D" w:rsidRDefault="00D547AD" w:rsidP="00D547AD">
            <w:pPr>
              <w:spacing w:before="0" w:after="0" w:line="276" w:lineRule="auto"/>
              <w:jc w:val="right"/>
              <w:rPr>
                <w:rFonts w:ascii="Arial" w:hAnsi="Arial"/>
                <w:b/>
                <w:bCs/>
                <w:color w:val="000000"/>
                <w:sz w:val="16"/>
                <w:szCs w:val="16"/>
              </w:rPr>
            </w:pPr>
            <w:r w:rsidRPr="00353F8D">
              <w:rPr>
                <w:rFonts w:ascii="Arial" w:hAnsi="Arial"/>
                <w:b/>
                <w:bCs/>
                <w:color w:val="000000"/>
                <w:sz w:val="16"/>
                <w:szCs w:val="16"/>
              </w:rPr>
              <w:t>225.6</w:t>
            </w:r>
          </w:p>
        </w:tc>
        <w:tc>
          <w:tcPr>
            <w:tcW w:w="1413" w:type="dxa"/>
            <w:tcBorders>
              <w:top w:val="nil"/>
              <w:left w:val="nil"/>
              <w:bottom w:val="single" w:sz="4" w:space="0" w:color="auto"/>
              <w:right w:val="nil"/>
            </w:tcBorders>
            <w:shd w:val="clear" w:color="FFFFFF" w:fill="auto"/>
            <w:noWrap/>
            <w:vAlign w:val="bottom"/>
          </w:tcPr>
          <w:p w14:paraId="128FA9C9" w14:textId="77777777" w:rsidR="00D547AD" w:rsidRPr="009E4B9D" w:rsidRDefault="00D547AD" w:rsidP="00D547AD">
            <w:pPr>
              <w:spacing w:before="0" w:after="0" w:line="276" w:lineRule="auto"/>
              <w:jc w:val="right"/>
              <w:rPr>
                <w:rFonts w:ascii="Arial" w:hAnsi="Arial"/>
                <w:b/>
                <w:sz w:val="16"/>
                <w:szCs w:val="16"/>
                <w:lang w:eastAsia="en-US"/>
              </w:rPr>
            </w:pPr>
            <w:r w:rsidRPr="009E4B9D">
              <w:rPr>
                <w:rFonts w:ascii="Arial" w:hAnsi="Arial"/>
                <w:b/>
                <w:sz w:val="16"/>
                <w:szCs w:val="16"/>
                <w:lang w:eastAsia="en-US"/>
              </w:rPr>
              <w:t>18.0</w:t>
            </w:r>
          </w:p>
        </w:tc>
        <w:tc>
          <w:tcPr>
            <w:tcW w:w="1195" w:type="dxa"/>
            <w:tcBorders>
              <w:top w:val="nil"/>
              <w:left w:val="nil"/>
              <w:bottom w:val="single" w:sz="4" w:space="0" w:color="auto"/>
              <w:right w:val="nil"/>
            </w:tcBorders>
            <w:shd w:val="clear" w:color="FFFFFF" w:fill="auto"/>
            <w:noWrap/>
            <w:vAlign w:val="bottom"/>
          </w:tcPr>
          <w:p w14:paraId="2C714D13" w14:textId="77777777" w:rsidR="00D547AD" w:rsidRPr="009E4B9D" w:rsidRDefault="00D547AD" w:rsidP="00D547AD">
            <w:pPr>
              <w:spacing w:before="0" w:after="0" w:line="276" w:lineRule="auto"/>
              <w:jc w:val="right"/>
              <w:rPr>
                <w:rFonts w:ascii="Arial" w:hAnsi="Arial"/>
                <w:b/>
                <w:sz w:val="16"/>
                <w:szCs w:val="16"/>
                <w:lang w:eastAsia="en-US"/>
              </w:rPr>
            </w:pPr>
            <w:r w:rsidRPr="009E4B9D">
              <w:rPr>
                <w:rFonts w:ascii="Arial" w:hAnsi="Arial"/>
                <w:b/>
                <w:sz w:val="16"/>
                <w:szCs w:val="16"/>
                <w:lang w:eastAsia="en-US"/>
              </w:rPr>
              <w:t>104.6</w:t>
            </w:r>
          </w:p>
        </w:tc>
      </w:tr>
      <w:tr w:rsidR="00D547AD" w:rsidRPr="00BA1388" w14:paraId="777C8CAD" w14:textId="77777777" w:rsidTr="00F600B5">
        <w:trPr>
          <w:trHeight w:val="255"/>
        </w:trPr>
        <w:tc>
          <w:tcPr>
            <w:tcW w:w="3085" w:type="dxa"/>
            <w:tcBorders>
              <w:top w:val="single" w:sz="4" w:space="0" w:color="auto"/>
              <w:left w:val="nil"/>
              <w:bottom w:val="nil"/>
              <w:right w:val="nil"/>
            </w:tcBorders>
            <w:shd w:val="clear" w:color="FFFFFF" w:fill="auto"/>
            <w:vAlign w:val="bottom"/>
          </w:tcPr>
          <w:p w14:paraId="42AA031A" w14:textId="77777777" w:rsidR="00D547AD" w:rsidRPr="008659FE" w:rsidRDefault="00D547AD" w:rsidP="00D547AD">
            <w:pPr>
              <w:spacing w:before="0" w:after="0" w:line="276" w:lineRule="auto"/>
              <w:rPr>
                <w:rFonts w:ascii="Arial" w:hAnsi="Arial"/>
                <w:b/>
                <w:bCs/>
                <w:sz w:val="16"/>
                <w:szCs w:val="16"/>
                <w:lang w:val="en-AU"/>
              </w:rPr>
            </w:pPr>
            <w:r w:rsidRPr="008659FE">
              <w:rPr>
                <w:rFonts w:ascii="Arial" w:hAnsi="Arial"/>
                <w:b/>
                <w:bCs/>
                <w:sz w:val="16"/>
                <w:szCs w:val="16"/>
                <w:lang w:val="en-AU"/>
              </w:rPr>
              <w:t>Land 121 Phase 5B Facilities Project</w:t>
            </w:r>
          </w:p>
        </w:tc>
        <w:tc>
          <w:tcPr>
            <w:tcW w:w="1790" w:type="dxa"/>
            <w:tcBorders>
              <w:top w:val="single" w:sz="4" w:space="0" w:color="auto"/>
              <w:left w:val="nil"/>
              <w:bottom w:val="nil"/>
              <w:right w:val="nil"/>
            </w:tcBorders>
            <w:shd w:val="clear" w:color="FFFFFF" w:fill="auto"/>
            <w:vAlign w:val="bottom"/>
          </w:tcPr>
          <w:p w14:paraId="0F45C37B" w14:textId="77777777" w:rsidR="00D547AD" w:rsidRPr="008659FE" w:rsidRDefault="00D547AD" w:rsidP="00D547AD">
            <w:pPr>
              <w:spacing w:before="0" w:after="0" w:line="276" w:lineRule="auto"/>
              <w:jc w:val="right"/>
              <w:rPr>
                <w:rFonts w:ascii="Arial" w:hAnsi="Arial"/>
                <w:color w:val="000000"/>
                <w:sz w:val="16"/>
                <w:szCs w:val="16"/>
              </w:rPr>
            </w:pPr>
          </w:p>
        </w:tc>
        <w:tc>
          <w:tcPr>
            <w:tcW w:w="1191" w:type="dxa"/>
            <w:tcBorders>
              <w:top w:val="single" w:sz="4" w:space="0" w:color="auto"/>
              <w:left w:val="nil"/>
              <w:bottom w:val="nil"/>
              <w:right w:val="nil"/>
            </w:tcBorders>
            <w:shd w:val="clear" w:color="FFFFFF" w:fill="auto"/>
            <w:noWrap/>
            <w:vAlign w:val="bottom"/>
          </w:tcPr>
          <w:p w14:paraId="026900A8" w14:textId="77777777" w:rsidR="00D547AD" w:rsidRPr="00353F8D" w:rsidRDefault="00D547AD" w:rsidP="00D547AD">
            <w:pPr>
              <w:spacing w:before="0" w:after="0" w:line="276" w:lineRule="auto"/>
              <w:jc w:val="right"/>
              <w:rPr>
                <w:rFonts w:ascii="Arial" w:hAnsi="Arial"/>
                <w:b/>
                <w:bCs/>
                <w:color w:val="000000"/>
                <w:sz w:val="16"/>
                <w:szCs w:val="16"/>
              </w:rPr>
            </w:pPr>
          </w:p>
        </w:tc>
        <w:tc>
          <w:tcPr>
            <w:tcW w:w="1413" w:type="dxa"/>
            <w:tcBorders>
              <w:top w:val="single" w:sz="4" w:space="0" w:color="auto"/>
              <w:left w:val="nil"/>
              <w:bottom w:val="nil"/>
              <w:right w:val="nil"/>
            </w:tcBorders>
            <w:shd w:val="clear" w:color="FFFFFF" w:fill="auto"/>
            <w:noWrap/>
            <w:vAlign w:val="bottom"/>
          </w:tcPr>
          <w:p w14:paraId="114ADEA3" w14:textId="77777777" w:rsidR="00D547AD" w:rsidRPr="009E4B9D" w:rsidRDefault="00D547AD" w:rsidP="00D547AD">
            <w:pPr>
              <w:spacing w:before="0" w:after="0" w:line="276" w:lineRule="auto"/>
              <w:jc w:val="right"/>
              <w:rPr>
                <w:rFonts w:ascii="Arial" w:hAnsi="Arial"/>
                <w:b/>
                <w:sz w:val="16"/>
                <w:szCs w:val="16"/>
                <w:lang w:eastAsia="en-US"/>
              </w:rPr>
            </w:pPr>
          </w:p>
        </w:tc>
        <w:tc>
          <w:tcPr>
            <w:tcW w:w="1195" w:type="dxa"/>
            <w:tcBorders>
              <w:top w:val="single" w:sz="4" w:space="0" w:color="auto"/>
              <w:left w:val="nil"/>
              <w:bottom w:val="nil"/>
              <w:right w:val="nil"/>
            </w:tcBorders>
            <w:shd w:val="clear" w:color="FFFFFF" w:fill="auto"/>
            <w:noWrap/>
            <w:vAlign w:val="bottom"/>
          </w:tcPr>
          <w:p w14:paraId="004BD023" w14:textId="77777777" w:rsidR="00D547AD" w:rsidRPr="009E4B9D" w:rsidRDefault="00D547AD" w:rsidP="00D547AD">
            <w:pPr>
              <w:spacing w:before="0" w:after="0" w:line="276" w:lineRule="auto"/>
              <w:jc w:val="right"/>
              <w:rPr>
                <w:rFonts w:ascii="Arial" w:hAnsi="Arial"/>
                <w:b/>
                <w:sz w:val="16"/>
                <w:szCs w:val="16"/>
                <w:lang w:eastAsia="en-US"/>
              </w:rPr>
            </w:pPr>
          </w:p>
        </w:tc>
      </w:tr>
      <w:tr w:rsidR="00D547AD" w:rsidRPr="00BA1388" w14:paraId="2D029683" w14:textId="77777777" w:rsidTr="00F600B5">
        <w:trPr>
          <w:trHeight w:val="255"/>
        </w:trPr>
        <w:tc>
          <w:tcPr>
            <w:tcW w:w="3085" w:type="dxa"/>
            <w:tcBorders>
              <w:top w:val="nil"/>
              <w:left w:val="nil"/>
              <w:bottom w:val="nil"/>
              <w:right w:val="nil"/>
            </w:tcBorders>
            <w:shd w:val="clear" w:color="FFFFFF" w:fill="auto"/>
            <w:vAlign w:val="bottom"/>
          </w:tcPr>
          <w:p w14:paraId="002DD15F" w14:textId="77777777" w:rsidR="00D547AD" w:rsidRPr="008659FE" w:rsidRDefault="00D547AD" w:rsidP="00D547AD">
            <w:pPr>
              <w:spacing w:before="0" w:after="0" w:line="276" w:lineRule="auto"/>
              <w:ind w:left="179"/>
              <w:rPr>
                <w:rFonts w:ascii="Arial" w:hAnsi="Arial"/>
                <w:sz w:val="16"/>
                <w:szCs w:val="16"/>
                <w:lang w:val="en-AU"/>
              </w:rPr>
            </w:pPr>
            <w:r w:rsidRPr="008659FE">
              <w:rPr>
                <w:rFonts w:ascii="Arial" w:hAnsi="Arial"/>
                <w:sz w:val="16"/>
                <w:szCs w:val="16"/>
                <w:lang w:val="en-AU"/>
              </w:rPr>
              <w:t>Lavarack Barracks</w:t>
            </w:r>
          </w:p>
        </w:tc>
        <w:tc>
          <w:tcPr>
            <w:tcW w:w="1790" w:type="dxa"/>
            <w:tcBorders>
              <w:top w:val="nil"/>
              <w:left w:val="nil"/>
              <w:bottom w:val="nil"/>
              <w:right w:val="nil"/>
            </w:tcBorders>
            <w:shd w:val="clear" w:color="FFFFFF" w:fill="auto"/>
            <w:vAlign w:val="bottom"/>
          </w:tcPr>
          <w:p w14:paraId="78C5E96C" w14:textId="77777777" w:rsidR="00D547AD" w:rsidRPr="008659FE" w:rsidRDefault="00D547AD" w:rsidP="00D547AD">
            <w:pPr>
              <w:spacing w:before="0" w:after="0" w:line="276" w:lineRule="auto"/>
              <w:jc w:val="right"/>
              <w:rPr>
                <w:rFonts w:ascii="Arial" w:hAnsi="Arial"/>
                <w:sz w:val="16"/>
                <w:szCs w:val="16"/>
                <w:lang w:val="en-AU"/>
              </w:rPr>
            </w:pPr>
            <w:r w:rsidRPr="008659FE">
              <w:rPr>
                <w:rFonts w:ascii="Arial" w:hAnsi="Arial"/>
                <w:sz w:val="16"/>
                <w:szCs w:val="16"/>
                <w:lang w:val="en-AU"/>
              </w:rPr>
              <w:t>QLD - Herbert</w:t>
            </w:r>
          </w:p>
        </w:tc>
        <w:tc>
          <w:tcPr>
            <w:tcW w:w="1191" w:type="dxa"/>
            <w:tcBorders>
              <w:top w:val="nil"/>
              <w:left w:val="nil"/>
              <w:bottom w:val="nil"/>
              <w:right w:val="nil"/>
            </w:tcBorders>
            <w:shd w:val="clear" w:color="FFFFFF" w:fill="auto"/>
            <w:noWrap/>
            <w:vAlign w:val="bottom"/>
          </w:tcPr>
          <w:p w14:paraId="5B98D21D" w14:textId="77777777" w:rsidR="00D547AD" w:rsidRPr="00353F8D" w:rsidRDefault="00D547AD" w:rsidP="00D547AD">
            <w:pPr>
              <w:spacing w:before="0" w:after="0" w:line="276" w:lineRule="auto"/>
              <w:jc w:val="right"/>
              <w:rPr>
                <w:rFonts w:ascii="Arial" w:hAnsi="Arial"/>
                <w:b/>
                <w:bCs/>
                <w:color w:val="000000"/>
                <w:sz w:val="16"/>
                <w:szCs w:val="16"/>
              </w:rPr>
            </w:pPr>
          </w:p>
        </w:tc>
        <w:tc>
          <w:tcPr>
            <w:tcW w:w="1413" w:type="dxa"/>
            <w:tcBorders>
              <w:top w:val="nil"/>
              <w:left w:val="nil"/>
              <w:bottom w:val="nil"/>
              <w:right w:val="nil"/>
            </w:tcBorders>
            <w:shd w:val="clear" w:color="FFFFFF" w:fill="auto"/>
            <w:noWrap/>
            <w:vAlign w:val="bottom"/>
          </w:tcPr>
          <w:p w14:paraId="10C190C2"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7.0</w:t>
            </w:r>
          </w:p>
        </w:tc>
        <w:tc>
          <w:tcPr>
            <w:tcW w:w="1195" w:type="dxa"/>
            <w:tcBorders>
              <w:top w:val="nil"/>
              <w:left w:val="nil"/>
              <w:bottom w:val="nil"/>
              <w:right w:val="nil"/>
            </w:tcBorders>
            <w:shd w:val="clear" w:color="FFFFFF" w:fill="auto"/>
            <w:noWrap/>
            <w:vAlign w:val="bottom"/>
          </w:tcPr>
          <w:p w14:paraId="6CDB1D5E"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w:t>
            </w:r>
          </w:p>
        </w:tc>
      </w:tr>
      <w:tr w:rsidR="00D547AD" w:rsidRPr="00BA1388" w14:paraId="2F6BD2C2" w14:textId="77777777" w:rsidTr="00F600B5">
        <w:trPr>
          <w:trHeight w:val="255"/>
        </w:trPr>
        <w:tc>
          <w:tcPr>
            <w:tcW w:w="3085" w:type="dxa"/>
            <w:tcBorders>
              <w:top w:val="nil"/>
              <w:left w:val="nil"/>
              <w:bottom w:val="nil"/>
              <w:right w:val="nil"/>
            </w:tcBorders>
            <w:shd w:val="clear" w:color="FFFFFF" w:fill="auto"/>
            <w:vAlign w:val="bottom"/>
          </w:tcPr>
          <w:p w14:paraId="5754E0B4" w14:textId="77777777" w:rsidR="00D547AD" w:rsidRPr="008659FE" w:rsidRDefault="00D547AD" w:rsidP="00D547AD">
            <w:pPr>
              <w:spacing w:before="0" w:after="0" w:line="276" w:lineRule="auto"/>
              <w:ind w:left="179"/>
              <w:rPr>
                <w:rFonts w:ascii="Arial" w:hAnsi="Arial"/>
                <w:sz w:val="16"/>
                <w:szCs w:val="16"/>
                <w:lang w:val="en-AU"/>
              </w:rPr>
            </w:pPr>
            <w:r w:rsidRPr="008659FE">
              <w:rPr>
                <w:rFonts w:ascii="Arial" w:hAnsi="Arial"/>
                <w:sz w:val="16"/>
                <w:szCs w:val="16"/>
                <w:lang w:val="en-AU"/>
              </w:rPr>
              <w:t>Robertson Barracks</w:t>
            </w:r>
          </w:p>
        </w:tc>
        <w:tc>
          <w:tcPr>
            <w:tcW w:w="1790" w:type="dxa"/>
            <w:tcBorders>
              <w:top w:val="nil"/>
              <w:left w:val="nil"/>
              <w:bottom w:val="nil"/>
              <w:right w:val="nil"/>
            </w:tcBorders>
            <w:shd w:val="clear" w:color="FFFFFF" w:fill="auto"/>
            <w:vAlign w:val="bottom"/>
          </w:tcPr>
          <w:p w14:paraId="6E3D2D4F" w14:textId="77777777" w:rsidR="00D547AD" w:rsidRPr="008659FE" w:rsidRDefault="00D547AD" w:rsidP="00D547AD">
            <w:pPr>
              <w:spacing w:before="0" w:after="0" w:line="276" w:lineRule="auto"/>
              <w:jc w:val="right"/>
              <w:rPr>
                <w:rFonts w:ascii="Arial" w:hAnsi="Arial"/>
                <w:sz w:val="16"/>
                <w:szCs w:val="16"/>
                <w:lang w:val="en-AU"/>
              </w:rPr>
            </w:pPr>
            <w:r w:rsidRPr="008659FE">
              <w:rPr>
                <w:rFonts w:ascii="Arial" w:hAnsi="Arial"/>
                <w:sz w:val="16"/>
                <w:szCs w:val="16"/>
                <w:lang w:val="en-AU"/>
              </w:rPr>
              <w:t>NT - Lingiari</w:t>
            </w:r>
          </w:p>
        </w:tc>
        <w:tc>
          <w:tcPr>
            <w:tcW w:w="1191" w:type="dxa"/>
            <w:tcBorders>
              <w:top w:val="nil"/>
              <w:left w:val="nil"/>
              <w:bottom w:val="nil"/>
              <w:right w:val="nil"/>
            </w:tcBorders>
            <w:shd w:val="clear" w:color="FFFFFF" w:fill="auto"/>
            <w:noWrap/>
            <w:vAlign w:val="bottom"/>
          </w:tcPr>
          <w:p w14:paraId="3C001A53" w14:textId="77777777" w:rsidR="00D547AD" w:rsidRPr="00353F8D" w:rsidRDefault="00D547AD" w:rsidP="00D547AD">
            <w:pPr>
              <w:spacing w:before="0" w:after="0" w:line="276" w:lineRule="auto"/>
              <w:jc w:val="right"/>
              <w:rPr>
                <w:rFonts w:ascii="Arial" w:hAnsi="Arial"/>
                <w:b/>
                <w:bCs/>
                <w:color w:val="000000"/>
                <w:sz w:val="16"/>
                <w:szCs w:val="16"/>
              </w:rPr>
            </w:pPr>
          </w:p>
        </w:tc>
        <w:tc>
          <w:tcPr>
            <w:tcW w:w="1413" w:type="dxa"/>
            <w:tcBorders>
              <w:top w:val="nil"/>
              <w:left w:val="nil"/>
              <w:bottom w:val="nil"/>
              <w:right w:val="nil"/>
            </w:tcBorders>
            <w:shd w:val="clear" w:color="FFFFFF" w:fill="auto"/>
            <w:noWrap/>
            <w:vAlign w:val="bottom"/>
          </w:tcPr>
          <w:p w14:paraId="6AFEA7E9"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0.0</w:t>
            </w:r>
          </w:p>
        </w:tc>
        <w:tc>
          <w:tcPr>
            <w:tcW w:w="1195" w:type="dxa"/>
            <w:tcBorders>
              <w:top w:val="nil"/>
              <w:left w:val="nil"/>
              <w:bottom w:val="nil"/>
              <w:right w:val="nil"/>
            </w:tcBorders>
            <w:shd w:val="clear" w:color="FFFFFF" w:fill="auto"/>
            <w:noWrap/>
            <w:vAlign w:val="bottom"/>
          </w:tcPr>
          <w:p w14:paraId="467C739B"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w:t>
            </w:r>
          </w:p>
        </w:tc>
      </w:tr>
      <w:tr w:rsidR="00D547AD" w:rsidRPr="00BA1388" w14:paraId="39171D87" w14:textId="77777777" w:rsidTr="00F600B5">
        <w:trPr>
          <w:trHeight w:val="255"/>
        </w:trPr>
        <w:tc>
          <w:tcPr>
            <w:tcW w:w="3085" w:type="dxa"/>
            <w:tcBorders>
              <w:top w:val="nil"/>
              <w:left w:val="nil"/>
              <w:bottom w:val="nil"/>
              <w:right w:val="nil"/>
            </w:tcBorders>
            <w:shd w:val="clear" w:color="FFFFFF" w:fill="auto"/>
            <w:vAlign w:val="bottom"/>
          </w:tcPr>
          <w:p w14:paraId="568120F6" w14:textId="77777777" w:rsidR="00D547AD" w:rsidRPr="008659FE" w:rsidRDefault="00D547AD" w:rsidP="00D547AD">
            <w:pPr>
              <w:spacing w:before="0" w:after="0" w:line="276" w:lineRule="auto"/>
              <w:ind w:left="179"/>
              <w:rPr>
                <w:rFonts w:ascii="Arial" w:hAnsi="Arial"/>
                <w:sz w:val="16"/>
                <w:szCs w:val="16"/>
                <w:lang w:val="en-AU"/>
              </w:rPr>
            </w:pPr>
            <w:r w:rsidRPr="008659FE">
              <w:rPr>
                <w:rFonts w:ascii="Arial" w:hAnsi="Arial"/>
                <w:sz w:val="16"/>
                <w:szCs w:val="16"/>
                <w:lang w:val="en-AU"/>
              </w:rPr>
              <w:t>Gallipoli Barracks</w:t>
            </w:r>
          </w:p>
        </w:tc>
        <w:tc>
          <w:tcPr>
            <w:tcW w:w="1790" w:type="dxa"/>
            <w:tcBorders>
              <w:top w:val="nil"/>
              <w:left w:val="nil"/>
              <w:bottom w:val="nil"/>
              <w:right w:val="nil"/>
            </w:tcBorders>
            <w:shd w:val="clear" w:color="FFFFFF" w:fill="auto"/>
            <w:vAlign w:val="bottom"/>
          </w:tcPr>
          <w:p w14:paraId="32DA57F5" w14:textId="77777777" w:rsidR="00D547AD" w:rsidRPr="008659FE" w:rsidRDefault="00D547AD" w:rsidP="00D547AD">
            <w:pPr>
              <w:spacing w:before="0" w:after="0" w:line="276" w:lineRule="auto"/>
              <w:jc w:val="right"/>
              <w:rPr>
                <w:rFonts w:ascii="Arial" w:hAnsi="Arial"/>
                <w:sz w:val="16"/>
                <w:szCs w:val="16"/>
                <w:lang w:val="en-AU"/>
              </w:rPr>
            </w:pPr>
            <w:r w:rsidRPr="008659FE">
              <w:rPr>
                <w:rFonts w:ascii="Arial" w:hAnsi="Arial"/>
                <w:sz w:val="16"/>
                <w:szCs w:val="16"/>
                <w:lang w:val="en-AU"/>
              </w:rPr>
              <w:t>QLD - Ryan</w:t>
            </w:r>
          </w:p>
        </w:tc>
        <w:tc>
          <w:tcPr>
            <w:tcW w:w="1191" w:type="dxa"/>
            <w:tcBorders>
              <w:top w:val="nil"/>
              <w:left w:val="nil"/>
              <w:bottom w:val="nil"/>
              <w:right w:val="nil"/>
            </w:tcBorders>
            <w:shd w:val="clear" w:color="auto" w:fill="auto"/>
            <w:noWrap/>
            <w:vAlign w:val="bottom"/>
          </w:tcPr>
          <w:p w14:paraId="7D6D1CA1" w14:textId="77777777" w:rsidR="00D547AD" w:rsidRPr="00353F8D" w:rsidRDefault="00D547AD" w:rsidP="00D547AD">
            <w:pPr>
              <w:spacing w:before="0" w:after="0" w:line="276" w:lineRule="auto"/>
              <w:jc w:val="right"/>
              <w:rPr>
                <w:rFonts w:ascii="Arial" w:hAnsi="Arial"/>
                <w:b/>
                <w:bCs/>
                <w:color w:val="000000"/>
                <w:sz w:val="16"/>
                <w:szCs w:val="16"/>
              </w:rPr>
            </w:pPr>
          </w:p>
        </w:tc>
        <w:tc>
          <w:tcPr>
            <w:tcW w:w="1413" w:type="dxa"/>
            <w:tcBorders>
              <w:top w:val="nil"/>
              <w:left w:val="nil"/>
              <w:bottom w:val="nil"/>
              <w:right w:val="nil"/>
            </w:tcBorders>
            <w:shd w:val="clear" w:color="auto" w:fill="auto"/>
            <w:noWrap/>
            <w:vAlign w:val="bottom"/>
          </w:tcPr>
          <w:p w14:paraId="5DF04964"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107.9</w:t>
            </w:r>
          </w:p>
        </w:tc>
        <w:tc>
          <w:tcPr>
            <w:tcW w:w="1195" w:type="dxa"/>
            <w:tcBorders>
              <w:top w:val="nil"/>
              <w:left w:val="nil"/>
              <w:bottom w:val="nil"/>
              <w:right w:val="nil"/>
            </w:tcBorders>
            <w:shd w:val="clear" w:color="auto" w:fill="auto"/>
            <w:noWrap/>
            <w:vAlign w:val="bottom"/>
          </w:tcPr>
          <w:p w14:paraId="663C79BC"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6.6</w:t>
            </w:r>
          </w:p>
        </w:tc>
      </w:tr>
      <w:tr w:rsidR="00D547AD" w:rsidRPr="00BA1388" w14:paraId="7687454C" w14:textId="77777777" w:rsidTr="00F600B5">
        <w:trPr>
          <w:trHeight w:val="255"/>
        </w:trPr>
        <w:tc>
          <w:tcPr>
            <w:tcW w:w="3085" w:type="dxa"/>
            <w:tcBorders>
              <w:top w:val="nil"/>
              <w:left w:val="nil"/>
              <w:bottom w:val="nil"/>
              <w:right w:val="nil"/>
            </w:tcBorders>
            <w:shd w:val="clear" w:color="FFFFFF" w:fill="auto"/>
            <w:vAlign w:val="bottom"/>
          </w:tcPr>
          <w:p w14:paraId="46D4A407" w14:textId="77777777" w:rsidR="00D547AD" w:rsidRPr="008659FE" w:rsidRDefault="00D547AD" w:rsidP="00D547AD">
            <w:pPr>
              <w:spacing w:before="0" w:after="0" w:line="276" w:lineRule="auto"/>
              <w:ind w:left="179"/>
              <w:rPr>
                <w:rFonts w:ascii="Arial" w:hAnsi="Arial"/>
                <w:sz w:val="16"/>
                <w:szCs w:val="16"/>
                <w:lang w:val="en-AU"/>
              </w:rPr>
            </w:pPr>
            <w:r w:rsidRPr="008659FE">
              <w:rPr>
                <w:rFonts w:ascii="Arial" w:hAnsi="Arial"/>
                <w:sz w:val="16"/>
                <w:szCs w:val="16"/>
                <w:lang w:val="en-AU"/>
              </w:rPr>
              <w:t>Derwent Barracks</w:t>
            </w:r>
          </w:p>
        </w:tc>
        <w:tc>
          <w:tcPr>
            <w:tcW w:w="1790" w:type="dxa"/>
            <w:tcBorders>
              <w:top w:val="nil"/>
              <w:left w:val="nil"/>
              <w:bottom w:val="nil"/>
              <w:right w:val="nil"/>
            </w:tcBorders>
            <w:shd w:val="clear" w:color="FFFFFF" w:fill="auto"/>
            <w:vAlign w:val="bottom"/>
          </w:tcPr>
          <w:p w14:paraId="66A56E2B" w14:textId="77777777" w:rsidR="00D547AD" w:rsidRPr="008659FE" w:rsidRDefault="00D547AD" w:rsidP="00D547AD">
            <w:pPr>
              <w:spacing w:before="0" w:after="0" w:line="276" w:lineRule="auto"/>
              <w:jc w:val="right"/>
              <w:rPr>
                <w:rFonts w:ascii="Arial" w:hAnsi="Arial"/>
                <w:sz w:val="16"/>
                <w:szCs w:val="16"/>
                <w:lang w:val="en-AU"/>
              </w:rPr>
            </w:pPr>
            <w:r w:rsidRPr="008659FE">
              <w:rPr>
                <w:rFonts w:ascii="Arial" w:hAnsi="Arial"/>
                <w:sz w:val="16"/>
                <w:szCs w:val="16"/>
                <w:lang w:val="en-AU"/>
              </w:rPr>
              <w:t>TAS - Clark</w:t>
            </w:r>
          </w:p>
        </w:tc>
        <w:tc>
          <w:tcPr>
            <w:tcW w:w="1191" w:type="dxa"/>
            <w:tcBorders>
              <w:top w:val="nil"/>
              <w:left w:val="nil"/>
              <w:bottom w:val="nil"/>
              <w:right w:val="nil"/>
            </w:tcBorders>
            <w:shd w:val="clear" w:color="auto" w:fill="auto"/>
            <w:noWrap/>
            <w:vAlign w:val="bottom"/>
          </w:tcPr>
          <w:p w14:paraId="7380485A" w14:textId="77777777" w:rsidR="00D547AD" w:rsidRPr="00353F8D" w:rsidRDefault="00D547AD" w:rsidP="00D547AD">
            <w:pPr>
              <w:spacing w:before="0" w:after="0" w:line="276" w:lineRule="auto"/>
              <w:jc w:val="right"/>
              <w:rPr>
                <w:rFonts w:ascii="Arial" w:hAnsi="Arial"/>
                <w:b/>
                <w:bCs/>
                <w:color w:val="000000"/>
                <w:sz w:val="16"/>
                <w:szCs w:val="16"/>
              </w:rPr>
            </w:pPr>
          </w:p>
        </w:tc>
        <w:tc>
          <w:tcPr>
            <w:tcW w:w="1413" w:type="dxa"/>
            <w:tcBorders>
              <w:top w:val="nil"/>
              <w:left w:val="nil"/>
              <w:bottom w:val="nil"/>
              <w:right w:val="nil"/>
            </w:tcBorders>
            <w:shd w:val="clear" w:color="auto" w:fill="auto"/>
            <w:noWrap/>
            <w:vAlign w:val="bottom"/>
          </w:tcPr>
          <w:p w14:paraId="1B6491A5"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17.2</w:t>
            </w:r>
          </w:p>
        </w:tc>
        <w:tc>
          <w:tcPr>
            <w:tcW w:w="1195" w:type="dxa"/>
            <w:tcBorders>
              <w:top w:val="nil"/>
              <w:left w:val="nil"/>
              <w:bottom w:val="nil"/>
              <w:right w:val="nil"/>
            </w:tcBorders>
            <w:shd w:val="clear" w:color="auto" w:fill="auto"/>
            <w:noWrap/>
            <w:vAlign w:val="bottom"/>
          </w:tcPr>
          <w:p w14:paraId="7C341E9C"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w:t>
            </w:r>
          </w:p>
        </w:tc>
      </w:tr>
      <w:tr w:rsidR="00D547AD" w:rsidRPr="00BA1388" w14:paraId="564561D7" w14:textId="77777777" w:rsidTr="00F600B5">
        <w:trPr>
          <w:trHeight w:val="255"/>
        </w:trPr>
        <w:tc>
          <w:tcPr>
            <w:tcW w:w="3085" w:type="dxa"/>
            <w:tcBorders>
              <w:top w:val="nil"/>
              <w:left w:val="nil"/>
              <w:bottom w:val="nil"/>
              <w:right w:val="nil"/>
            </w:tcBorders>
            <w:shd w:val="clear" w:color="FFFFFF" w:fill="auto"/>
            <w:vAlign w:val="bottom"/>
          </w:tcPr>
          <w:p w14:paraId="3E7A73EA" w14:textId="77777777" w:rsidR="00D547AD" w:rsidRPr="008659FE" w:rsidRDefault="00D547AD" w:rsidP="00D547AD">
            <w:pPr>
              <w:spacing w:before="0" w:after="0" w:line="276" w:lineRule="auto"/>
              <w:ind w:left="179"/>
              <w:rPr>
                <w:rFonts w:ascii="Arial" w:hAnsi="Arial"/>
                <w:sz w:val="16"/>
                <w:szCs w:val="16"/>
                <w:lang w:val="en-AU"/>
              </w:rPr>
            </w:pPr>
            <w:r w:rsidRPr="008659FE">
              <w:rPr>
                <w:rFonts w:ascii="Arial" w:hAnsi="Arial"/>
                <w:sz w:val="16"/>
                <w:szCs w:val="16"/>
                <w:lang w:val="en-AU"/>
              </w:rPr>
              <w:t>Puckapunyal Military Area</w:t>
            </w:r>
          </w:p>
        </w:tc>
        <w:tc>
          <w:tcPr>
            <w:tcW w:w="1790" w:type="dxa"/>
            <w:tcBorders>
              <w:top w:val="nil"/>
              <w:left w:val="nil"/>
              <w:bottom w:val="nil"/>
              <w:right w:val="nil"/>
            </w:tcBorders>
            <w:shd w:val="clear" w:color="FFFFFF" w:fill="auto"/>
            <w:vAlign w:val="bottom"/>
          </w:tcPr>
          <w:p w14:paraId="7ABDA2DC" w14:textId="77777777" w:rsidR="00D547AD" w:rsidRPr="008659FE" w:rsidRDefault="00D547AD" w:rsidP="00D547AD">
            <w:pPr>
              <w:spacing w:before="0" w:after="0" w:line="276" w:lineRule="auto"/>
              <w:jc w:val="right"/>
              <w:rPr>
                <w:rFonts w:ascii="Arial" w:hAnsi="Arial"/>
                <w:b/>
                <w:bCs/>
                <w:sz w:val="16"/>
                <w:szCs w:val="16"/>
                <w:lang w:val="en-AU"/>
              </w:rPr>
            </w:pPr>
            <w:r w:rsidRPr="008659FE">
              <w:rPr>
                <w:rFonts w:ascii="Arial" w:hAnsi="Arial"/>
                <w:sz w:val="16"/>
                <w:szCs w:val="16"/>
                <w:lang w:val="en-AU"/>
              </w:rPr>
              <w:t>VIC - Nicholls</w:t>
            </w:r>
          </w:p>
        </w:tc>
        <w:tc>
          <w:tcPr>
            <w:tcW w:w="1191" w:type="dxa"/>
            <w:tcBorders>
              <w:top w:val="nil"/>
              <w:left w:val="nil"/>
              <w:bottom w:val="nil"/>
              <w:right w:val="nil"/>
            </w:tcBorders>
            <w:shd w:val="clear" w:color="auto" w:fill="auto"/>
            <w:noWrap/>
            <w:vAlign w:val="bottom"/>
          </w:tcPr>
          <w:p w14:paraId="581DBD5E" w14:textId="77777777" w:rsidR="00D547AD" w:rsidRPr="00353F8D" w:rsidRDefault="00D547AD" w:rsidP="00D547AD">
            <w:pPr>
              <w:spacing w:before="0" w:after="0" w:line="276" w:lineRule="auto"/>
              <w:jc w:val="right"/>
              <w:rPr>
                <w:rFonts w:ascii="Arial" w:hAnsi="Arial"/>
                <w:b/>
                <w:bCs/>
                <w:color w:val="000000"/>
                <w:sz w:val="16"/>
                <w:szCs w:val="16"/>
              </w:rPr>
            </w:pPr>
          </w:p>
        </w:tc>
        <w:tc>
          <w:tcPr>
            <w:tcW w:w="1413" w:type="dxa"/>
            <w:tcBorders>
              <w:top w:val="nil"/>
              <w:left w:val="nil"/>
              <w:bottom w:val="nil"/>
              <w:right w:val="nil"/>
            </w:tcBorders>
            <w:shd w:val="clear" w:color="auto" w:fill="auto"/>
            <w:noWrap/>
            <w:vAlign w:val="bottom"/>
          </w:tcPr>
          <w:p w14:paraId="07F6AB46"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9.0</w:t>
            </w:r>
          </w:p>
        </w:tc>
        <w:tc>
          <w:tcPr>
            <w:tcW w:w="1195" w:type="dxa"/>
            <w:tcBorders>
              <w:top w:val="nil"/>
              <w:left w:val="nil"/>
              <w:bottom w:val="nil"/>
              <w:right w:val="nil"/>
            </w:tcBorders>
            <w:shd w:val="clear" w:color="auto" w:fill="auto"/>
            <w:noWrap/>
            <w:vAlign w:val="bottom"/>
          </w:tcPr>
          <w:p w14:paraId="1D155407"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w:t>
            </w:r>
          </w:p>
        </w:tc>
      </w:tr>
      <w:tr w:rsidR="00D547AD" w:rsidRPr="00BA1388" w14:paraId="69434DFD" w14:textId="77777777" w:rsidTr="00F600B5">
        <w:trPr>
          <w:trHeight w:val="227"/>
        </w:trPr>
        <w:tc>
          <w:tcPr>
            <w:tcW w:w="3085" w:type="dxa"/>
            <w:tcBorders>
              <w:top w:val="nil"/>
              <w:left w:val="nil"/>
              <w:bottom w:val="nil"/>
              <w:right w:val="nil"/>
            </w:tcBorders>
            <w:shd w:val="clear" w:color="FFFFFF" w:fill="auto"/>
            <w:vAlign w:val="bottom"/>
          </w:tcPr>
          <w:p w14:paraId="3EC75204" w14:textId="77777777" w:rsidR="00D547AD" w:rsidRPr="008659FE" w:rsidRDefault="00D547AD" w:rsidP="00D547AD">
            <w:pPr>
              <w:spacing w:before="0" w:after="0" w:line="276" w:lineRule="auto"/>
              <w:ind w:left="179"/>
              <w:rPr>
                <w:rFonts w:ascii="Arial" w:hAnsi="Arial"/>
                <w:sz w:val="16"/>
                <w:szCs w:val="16"/>
                <w:lang w:val="en-AU"/>
              </w:rPr>
            </w:pPr>
            <w:r w:rsidRPr="008659FE">
              <w:rPr>
                <w:rFonts w:ascii="Arial" w:hAnsi="Arial"/>
                <w:sz w:val="16"/>
                <w:szCs w:val="16"/>
                <w:lang w:val="en-AU"/>
              </w:rPr>
              <w:t>Campbell Barracks</w:t>
            </w:r>
          </w:p>
        </w:tc>
        <w:tc>
          <w:tcPr>
            <w:tcW w:w="1790" w:type="dxa"/>
            <w:tcBorders>
              <w:top w:val="nil"/>
              <w:left w:val="nil"/>
              <w:bottom w:val="nil"/>
              <w:right w:val="nil"/>
            </w:tcBorders>
            <w:shd w:val="clear" w:color="FFFFFF" w:fill="auto"/>
            <w:vAlign w:val="bottom"/>
          </w:tcPr>
          <w:p w14:paraId="7FA24648" w14:textId="77777777" w:rsidR="00D547AD" w:rsidRPr="008659FE" w:rsidRDefault="00D547AD" w:rsidP="00D547AD">
            <w:pPr>
              <w:spacing w:before="0" w:after="0" w:line="276" w:lineRule="auto"/>
              <w:jc w:val="right"/>
              <w:rPr>
                <w:rFonts w:ascii="Arial" w:hAnsi="Arial"/>
                <w:b/>
                <w:bCs/>
                <w:sz w:val="16"/>
                <w:szCs w:val="16"/>
                <w:lang w:val="en-AU"/>
              </w:rPr>
            </w:pPr>
            <w:r w:rsidRPr="008659FE">
              <w:rPr>
                <w:rFonts w:ascii="Arial" w:hAnsi="Arial"/>
                <w:sz w:val="16"/>
                <w:szCs w:val="16"/>
                <w:lang w:val="en-AU"/>
              </w:rPr>
              <w:t>WA - Curtin</w:t>
            </w:r>
          </w:p>
        </w:tc>
        <w:tc>
          <w:tcPr>
            <w:tcW w:w="1191" w:type="dxa"/>
            <w:tcBorders>
              <w:top w:val="nil"/>
              <w:left w:val="nil"/>
              <w:bottom w:val="nil"/>
              <w:right w:val="nil"/>
            </w:tcBorders>
            <w:shd w:val="clear" w:color="FFFFFF" w:fill="auto"/>
            <w:noWrap/>
            <w:vAlign w:val="bottom"/>
          </w:tcPr>
          <w:p w14:paraId="0F6F2867" w14:textId="77777777" w:rsidR="00D547AD" w:rsidRPr="00353F8D" w:rsidRDefault="00D547AD" w:rsidP="00D547AD">
            <w:pPr>
              <w:spacing w:before="0" w:after="0" w:line="276" w:lineRule="auto"/>
              <w:jc w:val="right"/>
              <w:rPr>
                <w:rFonts w:ascii="Arial" w:hAnsi="Arial"/>
                <w:b/>
                <w:bCs/>
                <w:color w:val="000000"/>
                <w:sz w:val="16"/>
                <w:szCs w:val="16"/>
              </w:rPr>
            </w:pPr>
          </w:p>
        </w:tc>
        <w:tc>
          <w:tcPr>
            <w:tcW w:w="1413" w:type="dxa"/>
            <w:tcBorders>
              <w:top w:val="nil"/>
              <w:left w:val="nil"/>
              <w:bottom w:val="nil"/>
              <w:right w:val="nil"/>
            </w:tcBorders>
            <w:shd w:val="clear" w:color="FFFFFF" w:fill="auto"/>
            <w:noWrap/>
            <w:vAlign w:val="bottom"/>
          </w:tcPr>
          <w:p w14:paraId="366DAECA"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35.5</w:t>
            </w:r>
          </w:p>
        </w:tc>
        <w:tc>
          <w:tcPr>
            <w:tcW w:w="1195" w:type="dxa"/>
            <w:tcBorders>
              <w:top w:val="nil"/>
              <w:left w:val="nil"/>
              <w:bottom w:val="nil"/>
              <w:right w:val="nil"/>
            </w:tcBorders>
            <w:shd w:val="clear" w:color="FFFFFF" w:fill="auto"/>
            <w:noWrap/>
            <w:vAlign w:val="bottom"/>
          </w:tcPr>
          <w:p w14:paraId="28D75E24"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w:t>
            </w:r>
          </w:p>
        </w:tc>
      </w:tr>
      <w:tr w:rsidR="00D547AD" w:rsidRPr="00BA1388" w14:paraId="48B023EE" w14:textId="77777777" w:rsidTr="00F600B5">
        <w:trPr>
          <w:trHeight w:val="227"/>
        </w:trPr>
        <w:tc>
          <w:tcPr>
            <w:tcW w:w="3085" w:type="dxa"/>
            <w:tcBorders>
              <w:top w:val="nil"/>
              <w:left w:val="nil"/>
              <w:bottom w:val="nil"/>
              <w:right w:val="nil"/>
            </w:tcBorders>
            <w:shd w:val="clear" w:color="FFFFFF" w:fill="auto"/>
            <w:vAlign w:val="bottom"/>
          </w:tcPr>
          <w:p w14:paraId="5613C49E" w14:textId="77777777" w:rsidR="00D547AD" w:rsidRPr="008659FE" w:rsidRDefault="00D547AD" w:rsidP="00D547AD">
            <w:pPr>
              <w:spacing w:before="0" w:after="0" w:line="276" w:lineRule="auto"/>
              <w:ind w:left="179"/>
              <w:rPr>
                <w:rFonts w:ascii="Arial" w:hAnsi="Arial"/>
                <w:sz w:val="16"/>
                <w:szCs w:val="16"/>
                <w:lang w:val="en-AU"/>
              </w:rPr>
            </w:pPr>
            <w:r w:rsidRPr="008659FE">
              <w:rPr>
                <w:rFonts w:ascii="Arial" w:hAnsi="Arial"/>
                <w:sz w:val="16"/>
                <w:szCs w:val="16"/>
                <w:lang w:val="en-AU"/>
              </w:rPr>
              <w:t>Porton Barracks</w:t>
            </w:r>
          </w:p>
        </w:tc>
        <w:tc>
          <w:tcPr>
            <w:tcW w:w="1790" w:type="dxa"/>
            <w:tcBorders>
              <w:top w:val="nil"/>
              <w:left w:val="nil"/>
              <w:bottom w:val="nil"/>
              <w:right w:val="nil"/>
            </w:tcBorders>
            <w:shd w:val="clear" w:color="FFFFFF" w:fill="auto"/>
            <w:vAlign w:val="bottom"/>
          </w:tcPr>
          <w:p w14:paraId="4F6AB5D8" w14:textId="77777777" w:rsidR="00D547AD" w:rsidRPr="008659FE" w:rsidRDefault="00D547AD" w:rsidP="00D547AD">
            <w:pPr>
              <w:spacing w:before="0" w:after="0" w:line="276" w:lineRule="auto"/>
              <w:jc w:val="right"/>
              <w:rPr>
                <w:rFonts w:ascii="Arial" w:hAnsi="Arial"/>
                <w:sz w:val="16"/>
                <w:szCs w:val="16"/>
                <w:lang w:val="en-AU"/>
              </w:rPr>
            </w:pPr>
            <w:r w:rsidRPr="008659FE">
              <w:rPr>
                <w:rFonts w:ascii="Arial" w:hAnsi="Arial"/>
                <w:sz w:val="16"/>
                <w:szCs w:val="16"/>
                <w:lang w:val="en-AU"/>
              </w:rPr>
              <w:t>QLD - Kennedy</w:t>
            </w:r>
          </w:p>
        </w:tc>
        <w:tc>
          <w:tcPr>
            <w:tcW w:w="1191" w:type="dxa"/>
            <w:tcBorders>
              <w:top w:val="nil"/>
              <w:left w:val="nil"/>
              <w:bottom w:val="nil"/>
              <w:right w:val="nil"/>
            </w:tcBorders>
            <w:shd w:val="clear" w:color="FFFFFF" w:fill="auto"/>
            <w:noWrap/>
            <w:vAlign w:val="bottom"/>
          </w:tcPr>
          <w:p w14:paraId="4BCEEE25" w14:textId="77777777" w:rsidR="00D547AD" w:rsidRPr="00353F8D" w:rsidRDefault="00D547AD" w:rsidP="00D547AD">
            <w:pPr>
              <w:spacing w:before="0" w:after="0" w:line="276" w:lineRule="auto"/>
              <w:jc w:val="right"/>
              <w:rPr>
                <w:rFonts w:ascii="Arial" w:hAnsi="Arial"/>
                <w:b/>
                <w:bCs/>
                <w:color w:val="000000"/>
                <w:sz w:val="16"/>
                <w:szCs w:val="16"/>
              </w:rPr>
            </w:pPr>
          </w:p>
        </w:tc>
        <w:tc>
          <w:tcPr>
            <w:tcW w:w="1413" w:type="dxa"/>
            <w:tcBorders>
              <w:top w:val="nil"/>
              <w:left w:val="nil"/>
              <w:bottom w:val="nil"/>
              <w:right w:val="nil"/>
            </w:tcBorders>
            <w:shd w:val="clear" w:color="auto" w:fill="auto"/>
            <w:noWrap/>
            <w:vAlign w:val="bottom"/>
          </w:tcPr>
          <w:p w14:paraId="5C92D0A4"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0.1</w:t>
            </w:r>
          </w:p>
        </w:tc>
        <w:tc>
          <w:tcPr>
            <w:tcW w:w="1195" w:type="dxa"/>
            <w:tcBorders>
              <w:top w:val="nil"/>
              <w:left w:val="nil"/>
              <w:bottom w:val="nil"/>
              <w:right w:val="nil"/>
            </w:tcBorders>
            <w:shd w:val="clear" w:color="auto" w:fill="auto"/>
            <w:noWrap/>
            <w:vAlign w:val="bottom"/>
          </w:tcPr>
          <w:p w14:paraId="075AFD32" w14:textId="77777777" w:rsidR="00D547AD" w:rsidRPr="009E4B9D" w:rsidRDefault="00D547AD" w:rsidP="00D547AD">
            <w:pPr>
              <w:spacing w:before="0" w:after="0" w:line="276" w:lineRule="auto"/>
              <w:jc w:val="right"/>
              <w:rPr>
                <w:rFonts w:ascii="Arial" w:hAnsi="Arial"/>
                <w:sz w:val="16"/>
                <w:szCs w:val="16"/>
                <w:lang w:eastAsia="en-US"/>
              </w:rPr>
            </w:pPr>
            <w:r w:rsidRPr="009E4B9D">
              <w:rPr>
                <w:rFonts w:ascii="Arial" w:hAnsi="Arial"/>
                <w:sz w:val="16"/>
                <w:szCs w:val="16"/>
                <w:lang w:eastAsia="en-US"/>
              </w:rPr>
              <w:t>-</w:t>
            </w:r>
          </w:p>
        </w:tc>
      </w:tr>
      <w:tr w:rsidR="00D547AD" w:rsidRPr="00BA1388" w14:paraId="7FEBF569" w14:textId="77777777" w:rsidTr="00F600B5">
        <w:trPr>
          <w:trHeight w:val="227"/>
        </w:trPr>
        <w:tc>
          <w:tcPr>
            <w:tcW w:w="3085" w:type="dxa"/>
            <w:tcBorders>
              <w:top w:val="nil"/>
              <w:left w:val="nil"/>
              <w:bottom w:val="single" w:sz="4" w:space="0" w:color="auto"/>
              <w:right w:val="nil"/>
            </w:tcBorders>
            <w:shd w:val="clear" w:color="FFFFFF" w:fill="auto"/>
            <w:vAlign w:val="bottom"/>
          </w:tcPr>
          <w:p w14:paraId="285F4737" w14:textId="77777777" w:rsidR="00D547AD" w:rsidRPr="008659FE" w:rsidRDefault="00D547AD" w:rsidP="00D547AD">
            <w:pPr>
              <w:spacing w:before="0" w:after="0" w:line="276" w:lineRule="auto"/>
              <w:rPr>
                <w:rFonts w:ascii="Arial" w:hAnsi="Arial"/>
                <w:sz w:val="16"/>
                <w:szCs w:val="16"/>
                <w:lang w:val="en-AU"/>
              </w:rPr>
            </w:pPr>
            <w:r w:rsidRPr="008659FE">
              <w:rPr>
                <w:rFonts w:ascii="Arial" w:hAnsi="Arial"/>
                <w:b/>
                <w:bCs/>
                <w:sz w:val="16"/>
                <w:szCs w:val="16"/>
                <w:lang w:val="en-AU"/>
              </w:rPr>
              <w:t>Total</w:t>
            </w:r>
          </w:p>
        </w:tc>
        <w:tc>
          <w:tcPr>
            <w:tcW w:w="1790" w:type="dxa"/>
            <w:tcBorders>
              <w:top w:val="nil"/>
              <w:left w:val="nil"/>
              <w:bottom w:val="single" w:sz="4" w:space="0" w:color="auto"/>
              <w:right w:val="nil"/>
            </w:tcBorders>
            <w:shd w:val="clear" w:color="FFFFFF" w:fill="auto"/>
            <w:vAlign w:val="bottom"/>
          </w:tcPr>
          <w:p w14:paraId="6A3BD614" w14:textId="77777777" w:rsidR="00D547AD" w:rsidRPr="008659FE" w:rsidRDefault="00D547AD" w:rsidP="00D547AD">
            <w:pPr>
              <w:spacing w:before="0" w:after="0" w:line="276" w:lineRule="auto"/>
              <w:jc w:val="right"/>
              <w:rPr>
                <w:rFonts w:ascii="Arial" w:hAnsi="Arial"/>
                <w:sz w:val="16"/>
                <w:szCs w:val="16"/>
                <w:lang w:val="en-AU"/>
              </w:rPr>
            </w:pPr>
          </w:p>
        </w:tc>
        <w:tc>
          <w:tcPr>
            <w:tcW w:w="1191" w:type="dxa"/>
            <w:tcBorders>
              <w:top w:val="nil"/>
              <w:left w:val="nil"/>
              <w:bottom w:val="single" w:sz="4" w:space="0" w:color="auto"/>
              <w:right w:val="nil"/>
            </w:tcBorders>
            <w:shd w:val="clear" w:color="FFFFFF" w:fill="auto"/>
            <w:noWrap/>
            <w:vAlign w:val="bottom"/>
          </w:tcPr>
          <w:p w14:paraId="1490B9F3" w14:textId="77777777" w:rsidR="00D547AD" w:rsidRPr="00353F8D" w:rsidRDefault="00D547AD" w:rsidP="00D547AD">
            <w:pPr>
              <w:spacing w:before="0" w:after="0" w:line="276" w:lineRule="auto"/>
              <w:jc w:val="right"/>
              <w:rPr>
                <w:rFonts w:ascii="Arial" w:hAnsi="Arial"/>
                <w:b/>
                <w:bCs/>
                <w:sz w:val="16"/>
                <w:szCs w:val="16"/>
                <w:lang w:val="en-AU"/>
              </w:rPr>
            </w:pPr>
            <w:r w:rsidRPr="00353F8D">
              <w:rPr>
                <w:rFonts w:ascii="Arial" w:hAnsi="Arial"/>
                <w:b/>
                <w:sz w:val="16"/>
                <w:szCs w:val="16"/>
                <w:lang w:val="en-AU"/>
              </w:rPr>
              <w:t>183.3</w:t>
            </w:r>
          </w:p>
        </w:tc>
        <w:tc>
          <w:tcPr>
            <w:tcW w:w="1413" w:type="dxa"/>
            <w:tcBorders>
              <w:top w:val="nil"/>
              <w:left w:val="nil"/>
              <w:bottom w:val="single" w:sz="4" w:space="0" w:color="auto"/>
              <w:right w:val="nil"/>
            </w:tcBorders>
            <w:shd w:val="clear" w:color="auto" w:fill="auto"/>
            <w:noWrap/>
            <w:vAlign w:val="bottom"/>
          </w:tcPr>
          <w:p w14:paraId="0F3A5C59" w14:textId="77777777" w:rsidR="00D547AD" w:rsidRPr="009E4B9D" w:rsidRDefault="00D547AD" w:rsidP="00D547AD">
            <w:pPr>
              <w:spacing w:before="0" w:after="0" w:line="276" w:lineRule="auto"/>
              <w:jc w:val="right"/>
              <w:rPr>
                <w:rFonts w:ascii="Arial" w:hAnsi="Arial"/>
                <w:b/>
                <w:sz w:val="16"/>
                <w:szCs w:val="16"/>
                <w:lang w:eastAsia="en-US"/>
              </w:rPr>
            </w:pPr>
            <w:r w:rsidRPr="009E4B9D">
              <w:rPr>
                <w:rFonts w:ascii="Arial" w:hAnsi="Arial"/>
                <w:b/>
                <w:sz w:val="16"/>
                <w:szCs w:val="16"/>
                <w:lang w:eastAsia="en-US"/>
              </w:rPr>
              <w:t>176.6</w:t>
            </w:r>
          </w:p>
        </w:tc>
        <w:tc>
          <w:tcPr>
            <w:tcW w:w="1195" w:type="dxa"/>
            <w:tcBorders>
              <w:top w:val="nil"/>
              <w:left w:val="nil"/>
              <w:bottom w:val="single" w:sz="4" w:space="0" w:color="auto"/>
              <w:right w:val="nil"/>
            </w:tcBorders>
            <w:shd w:val="clear" w:color="auto" w:fill="auto"/>
            <w:noWrap/>
            <w:vAlign w:val="bottom"/>
          </w:tcPr>
          <w:p w14:paraId="4CF5773B" w14:textId="77777777" w:rsidR="00D547AD" w:rsidRPr="009E4B9D" w:rsidRDefault="00D547AD" w:rsidP="00D547AD">
            <w:pPr>
              <w:spacing w:before="0" w:after="0" w:line="276" w:lineRule="auto"/>
              <w:jc w:val="right"/>
              <w:rPr>
                <w:rFonts w:ascii="Arial" w:hAnsi="Arial"/>
                <w:b/>
                <w:sz w:val="16"/>
                <w:szCs w:val="16"/>
                <w:lang w:eastAsia="en-US"/>
              </w:rPr>
            </w:pPr>
            <w:r w:rsidRPr="009E4B9D">
              <w:rPr>
                <w:rFonts w:ascii="Arial" w:hAnsi="Arial"/>
                <w:b/>
                <w:sz w:val="16"/>
                <w:szCs w:val="16"/>
                <w:lang w:eastAsia="en-US"/>
              </w:rPr>
              <w:t>6.6</w:t>
            </w:r>
          </w:p>
        </w:tc>
      </w:tr>
      <w:tr w:rsidR="00BF10C7" w:rsidRPr="00BA1388" w14:paraId="0A178DEE" w14:textId="77777777" w:rsidTr="00F600B5">
        <w:trPr>
          <w:trHeight w:val="227"/>
        </w:trPr>
        <w:tc>
          <w:tcPr>
            <w:tcW w:w="3085" w:type="dxa"/>
            <w:tcBorders>
              <w:top w:val="single" w:sz="4" w:space="0" w:color="auto"/>
              <w:left w:val="nil"/>
              <w:bottom w:val="nil"/>
              <w:right w:val="nil"/>
            </w:tcBorders>
            <w:shd w:val="clear" w:color="FFFFFF" w:fill="auto"/>
            <w:vAlign w:val="bottom"/>
            <w:hideMark/>
          </w:tcPr>
          <w:p w14:paraId="1A32BB54" w14:textId="77777777" w:rsidR="00BF10C7" w:rsidRPr="008659FE" w:rsidRDefault="00BF10C7" w:rsidP="00BF10C7">
            <w:pPr>
              <w:spacing w:before="0" w:after="0" w:line="276" w:lineRule="auto"/>
              <w:rPr>
                <w:rFonts w:ascii="Arial" w:hAnsi="Arial"/>
                <w:b/>
                <w:bCs/>
                <w:sz w:val="16"/>
                <w:szCs w:val="16"/>
                <w:lang w:val="en-AU"/>
              </w:rPr>
            </w:pPr>
            <w:r w:rsidRPr="008659FE">
              <w:rPr>
                <w:rFonts w:ascii="Arial" w:hAnsi="Arial"/>
                <w:b/>
                <w:bCs/>
                <w:sz w:val="16"/>
                <w:szCs w:val="16"/>
                <w:lang w:val="en-AU"/>
              </w:rPr>
              <w:t xml:space="preserve">Airfield Capital Works P0008 </w:t>
            </w:r>
            <w:r w:rsidRPr="008659FE">
              <w:rPr>
                <w:rFonts w:ascii="Arial" w:hAnsi="Arial"/>
                <w:b/>
                <w:bCs/>
                <w:sz w:val="16"/>
                <w:szCs w:val="16"/>
                <w:lang w:val="en-AU"/>
              </w:rPr>
              <w:br/>
              <w:t>(RAAF Williamtown)</w:t>
            </w:r>
          </w:p>
        </w:tc>
        <w:tc>
          <w:tcPr>
            <w:tcW w:w="1790" w:type="dxa"/>
            <w:tcBorders>
              <w:top w:val="single" w:sz="4" w:space="0" w:color="auto"/>
              <w:left w:val="nil"/>
              <w:bottom w:val="nil"/>
              <w:right w:val="nil"/>
            </w:tcBorders>
            <w:shd w:val="clear" w:color="FFFFFF" w:fill="auto"/>
            <w:vAlign w:val="bottom"/>
            <w:hideMark/>
          </w:tcPr>
          <w:p w14:paraId="2749347F" w14:textId="77777777" w:rsidR="00BF10C7" w:rsidRPr="008659FE" w:rsidRDefault="00BF10C7" w:rsidP="00BF10C7">
            <w:pPr>
              <w:keepNext/>
              <w:spacing w:before="0" w:after="0" w:line="276" w:lineRule="auto"/>
              <w:jc w:val="right"/>
              <w:rPr>
                <w:rFonts w:ascii="Arial" w:hAnsi="Arial"/>
                <w:b/>
                <w:sz w:val="16"/>
                <w:szCs w:val="16"/>
                <w:lang w:val="en-AU"/>
              </w:rPr>
            </w:pPr>
          </w:p>
        </w:tc>
        <w:tc>
          <w:tcPr>
            <w:tcW w:w="1191" w:type="dxa"/>
            <w:tcBorders>
              <w:top w:val="single" w:sz="4" w:space="0" w:color="auto"/>
              <w:left w:val="nil"/>
              <w:bottom w:val="nil"/>
              <w:right w:val="nil"/>
            </w:tcBorders>
            <w:shd w:val="clear" w:color="FFFFFF" w:fill="auto"/>
            <w:noWrap/>
            <w:vAlign w:val="bottom"/>
          </w:tcPr>
          <w:p w14:paraId="3E6FC1B5" w14:textId="77777777" w:rsidR="00BF10C7" w:rsidRPr="00353F8D" w:rsidRDefault="00BF10C7" w:rsidP="00BF10C7">
            <w:pPr>
              <w:keepNext/>
              <w:spacing w:before="0" w:after="0" w:line="276" w:lineRule="auto"/>
              <w:jc w:val="right"/>
              <w:rPr>
                <w:rFonts w:ascii="Arial" w:hAnsi="Arial"/>
                <w:b/>
                <w:bCs/>
                <w:sz w:val="16"/>
                <w:szCs w:val="16"/>
                <w:lang w:val="en-AU"/>
              </w:rPr>
            </w:pPr>
          </w:p>
        </w:tc>
        <w:tc>
          <w:tcPr>
            <w:tcW w:w="1413" w:type="dxa"/>
            <w:tcBorders>
              <w:top w:val="single" w:sz="4" w:space="0" w:color="auto"/>
              <w:left w:val="nil"/>
              <w:bottom w:val="nil"/>
              <w:right w:val="nil"/>
            </w:tcBorders>
            <w:shd w:val="clear" w:color="auto" w:fill="auto"/>
            <w:noWrap/>
            <w:vAlign w:val="bottom"/>
          </w:tcPr>
          <w:p w14:paraId="606700DD" w14:textId="77777777" w:rsidR="00BF10C7" w:rsidRPr="009E4B9D" w:rsidRDefault="00BF10C7" w:rsidP="00BF10C7">
            <w:pPr>
              <w:spacing w:before="0" w:after="0" w:line="276" w:lineRule="auto"/>
              <w:jc w:val="right"/>
              <w:rPr>
                <w:rFonts w:ascii="Arial" w:hAnsi="Arial"/>
                <w:b/>
                <w:sz w:val="16"/>
                <w:szCs w:val="16"/>
                <w:lang w:eastAsia="en-US"/>
              </w:rPr>
            </w:pPr>
          </w:p>
        </w:tc>
        <w:tc>
          <w:tcPr>
            <w:tcW w:w="1195" w:type="dxa"/>
            <w:tcBorders>
              <w:top w:val="single" w:sz="4" w:space="0" w:color="auto"/>
              <w:left w:val="nil"/>
              <w:bottom w:val="nil"/>
              <w:right w:val="nil"/>
            </w:tcBorders>
            <w:shd w:val="clear" w:color="auto" w:fill="auto"/>
            <w:noWrap/>
            <w:vAlign w:val="bottom"/>
          </w:tcPr>
          <w:p w14:paraId="6A98FC65" w14:textId="77777777" w:rsidR="00BF10C7" w:rsidRPr="009E4B9D" w:rsidRDefault="00BF10C7" w:rsidP="00BF10C7">
            <w:pPr>
              <w:spacing w:before="0" w:after="0" w:line="276" w:lineRule="auto"/>
              <w:jc w:val="right"/>
              <w:rPr>
                <w:rFonts w:ascii="Arial" w:hAnsi="Arial"/>
                <w:b/>
                <w:sz w:val="16"/>
                <w:szCs w:val="16"/>
                <w:lang w:eastAsia="en-US"/>
              </w:rPr>
            </w:pPr>
          </w:p>
        </w:tc>
      </w:tr>
      <w:tr w:rsidR="00BF10C7" w:rsidRPr="00BA1388" w14:paraId="338BE8A6" w14:textId="77777777" w:rsidTr="00F600B5">
        <w:trPr>
          <w:trHeight w:val="227"/>
        </w:trPr>
        <w:tc>
          <w:tcPr>
            <w:tcW w:w="3085" w:type="dxa"/>
            <w:tcBorders>
              <w:top w:val="nil"/>
              <w:left w:val="nil"/>
              <w:bottom w:val="single" w:sz="4" w:space="0" w:color="auto"/>
              <w:right w:val="nil"/>
            </w:tcBorders>
            <w:shd w:val="clear" w:color="FFFFFF" w:fill="auto"/>
            <w:vAlign w:val="bottom"/>
            <w:hideMark/>
          </w:tcPr>
          <w:p w14:paraId="44AC91C4" w14:textId="77777777" w:rsidR="00BF10C7" w:rsidRPr="008659FE" w:rsidRDefault="00BF10C7" w:rsidP="00BF10C7">
            <w:pPr>
              <w:spacing w:before="0" w:after="0" w:line="276" w:lineRule="auto"/>
              <w:ind w:left="179"/>
              <w:rPr>
                <w:rFonts w:ascii="Arial" w:hAnsi="Arial"/>
                <w:sz w:val="16"/>
                <w:szCs w:val="16"/>
                <w:lang w:val="en-AU"/>
              </w:rPr>
            </w:pPr>
            <w:r w:rsidRPr="008659FE">
              <w:rPr>
                <w:rFonts w:ascii="Arial" w:hAnsi="Arial"/>
                <w:sz w:val="16"/>
                <w:szCs w:val="16"/>
                <w:lang w:val="en-AU"/>
              </w:rPr>
              <w:t>RAAF Williamtown</w:t>
            </w:r>
          </w:p>
        </w:tc>
        <w:tc>
          <w:tcPr>
            <w:tcW w:w="1790" w:type="dxa"/>
            <w:tcBorders>
              <w:top w:val="nil"/>
              <w:left w:val="nil"/>
              <w:bottom w:val="single" w:sz="4" w:space="0" w:color="auto"/>
              <w:right w:val="nil"/>
            </w:tcBorders>
            <w:shd w:val="clear" w:color="FFFFFF" w:fill="auto"/>
            <w:vAlign w:val="bottom"/>
            <w:hideMark/>
          </w:tcPr>
          <w:p w14:paraId="2B60EFC9" w14:textId="77777777" w:rsidR="00BF10C7" w:rsidRPr="008659FE" w:rsidRDefault="00BF10C7" w:rsidP="00BF10C7">
            <w:pPr>
              <w:spacing w:before="0" w:after="0" w:line="276" w:lineRule="auto"/>
              <w:jc w:val="right"/>
              <w:rPr>
                <w:rFonts w:ascii="Arial" w:hAnsi="Arial"/>
                <w:sz w:val="16"/>
                <w:szCs w:val="16"/>
                <w:lang w:val="en-AU"/>
              </w:rPr>
            </w:pPr>
            <w:r w:rsidRPr="008659FE">
              <w:rPr>
                <w:rFonts w:ascii="Arial" w:hAnsi="Arial"/>
                <w:sz w:val="16"/>
                <w:szCs w:val="16"/>
                <w:lang w:val="en-AU"/>
              </w:rPr>
              <w:t>NSW - Paterson</w:t>
            </w:r>
          </w:p>
        </w:tc>
        <w:tc>
          <w:tcPr>
            <w:tcW w:w="1191" w:type="dxa"/>
            <w:tcBorders>
              <w:top w:val="nil"/>
              <w:left w:val="nil"/>
              <w:bottom w:val="single" w:sz="4" w:space="0" w:color="auto"/>
              <w:right w:val="nil"/>
            </w:tcBorders>
            <w:shd w:val="clear" w:color="FFFFFF" w:fill="auto"/>
            <w:noWrap/>
            <w:vAlign w:val="bottom"/>
          </w:tcPr>
          <w:p w14:paraId="40DBB4DB" w14:textId="77777777" w:rsidR="00BF10C7" w:rsidRPr="00353F8D" w:rsidRDefault="00BF10C7" w:rsidP="00BF10C7">
            <w:pPr>
              <w:spacing w:before="0" w:after="0" w:line="276" w:lineRule="auto"/>
              <w:jc w:val="right"/>
              <w:rPr>
                <w:rFonts w:ascii="Arial" w:hAnsi="Arial"/>
                <w:b/>
                <w:sz w:val="16"/>
                <w:szCs w:val="16"/>
                <w:lang w:val="en-AU"/>
              </w:rPr>
            </w:pPr>
            <w:r w:rsidRPr="00353F8D">
              <w:rPr>
                <w:rFonts w:ascii="Arial" w:hAnsi="Arial"/>
                <w:b/>
                <w:sz w:val="16"/>
                <w:szCs w:val="16"/>
                <w:lang w:val="en-AU"/>
              </w:rPr>
              <w:t>181.3</w:t>
            </w:r>
          </w:p>
        </w:tc>
        <w:tc>
          <w:tcPr>
            <w:tcW w:w="1413" w:type="dxa"/>
            <w:tcBorders>
              <w:top w:val="nil"/>
              <w:left w:val="nil"/>
              <w:bottom w:val="single" w:sz="4" w:space="0" w:color="auto"/>
              <w:right w:val="nil"/>
            </w:tcBorders>
            <w:shd w:val="clear" w:color="auto" w:fill="auto"/>
            <w:noWrap/>
            <w:vAlign w:val="bottom"/>
          </w:tcPr>
          <w:p w14:paraId="47B6104C" w14:textId="77777777" w:rsidR="00BF10C7" w:rsidRPr="009E4B9D" w:rsidRDefault="00BF10C7" w:rsidP="00BF10C7">
            <w:pPr>
              <w:spacing w:before="0" w:after="0" w:line="276" w:lineRule="auto"/>
              <w:jc w:val="right"/>
              <w:rPr>
                <w:rFonts w:ascii="Arial" w:hAnsi="Arial"/>
                <w:b/>
                <w:sz w:val="16"/>
                <w:szCs w:val="16"/>
                <w:lang w:eastAsia="en-US"/>
              </w:rPr>
            </w:pPr>
            <w:r w:rsidRPr="009E4B9D">
              <w:rPr>
                <w:rFonts w:ascii="Arial" w:hAnsi="Arial"/>
                <w:b/>
                <w:sz w:val="16"/>
                <w:szCs w:val="16"/>
                <w:lang w:eastAsia="en-US"/>
              </w:rPr>
              <w:t>178.1</w:t>
            </w:r>
          </w:p>
        </w:tc>
        <w:tc>
          <w:tcPr>
            <w:tcW w:w="1195" w:type="dxa"/>
            <w:tcBorders>
              <w:top w:val="nil"/>
              <w:left w:val="nil"/>
              <w:bottom w:val="single" w:sz="4" w:space="0" w:color="auto"/>
              <w:right w:val="nil"/>
            </w:tcBorders>
            <w:shd w:val="clear" w:color="auto" w:fill="auto"/>
            <w:noWrap/>
            <w:vAlign w:val="bottom"/>
          </w:tcPr>
          <w:p w14:paraId="2E9C0C2D" w14:textId="77777777" w:rsidR="00BF10C7" w:rsidRPr="009E4B9D" w:rsidRDefault="00BF10C7" w:rsidP="00BF10C7">
            <w:pPr>
              <w:spacing w:before="0" w:after="0" w:line="276" w:lineRule="auto"/>
              <w:jc w:val="right"/>
              <w:rPr>
                <w:rFonts w:ascii="Arial" w:hAnsi="Arial"/>
                <w:b/>
                <w:sz w:val="16"/>
                <w:szCs w:val="16"/>
                <w:lang w:eastAsia="en-US"/>
              </w:rPr>
            </w:pPr>
            <w:r w:rsidRPr="009E4B9D">
              <w:rPr>
                <w:rFonts w:ascii="Arial" w:hAnsi="Arial"/>
                <w:b/>
                <w:sz w:val="16"/>
                <w:szCs w:val="16"/>
                <w:lang w:eastAsia="en-US"/>
              </w:rPr>
              <w:t>0.8</w:t>
            </w:r>
          </w:p>
        </w:tc>
      </w:tr>
      <w:tr w:rsidR="00BF10C7" w:rsidRPr="00BA1388" w14:paraId="59E61CED" w14:textId="77777777" w:rsidTr="00F600B5">
        <w:trPr>
          <w:trHeight w:val="227"/>
        </w:trPr>
        <w:tc>
          <w:tcPr>
            <w:tcW w:w="3085" w:type="dxa"/>
            <w:tcBorders>
              <w:top w:val="single" w:sz="4" w:space="0" w:color="auto"/>
              <w:left w:val="nil"/>
              <w:bottom w:val="nil"/>
              <w:right w:val="nil"/>
            </w:tcBorders>
            <w:shd w:val="clear" w:color="FFFFFF" w:fill="auto"/>
            <w:vAlign w:val="bottom"/>
          </w:tcPr>
          <w:p w14:paraId="1968FB07" w14:textId="77777777" w:rsidR="00BF10C7" w:rsidRPr="008659FE" w:rsidRDefault="00BF10C7" w:rsidP="00BF10C7">
            <w:pPr>
              <w:spacing w:before="0" w:after="0" w:line="276" w:lineRule="auto"/>
              <w:rPr>
                <w:rFonts w:ascii="Arial" w:hAnsi="Arial"/>
                <w:b/>
                <w:bCs/>
                <w:sz w:val="16"/>
                <w:szCs w:val="16"/>
                <w:lang w:val="en-AU"/>
              </w:rPr>
            </w:pPr>
            <w:r w:rsidRPr="008659FE">
              <w:rPr>
                <w:rFonts w:ascii="Arial" w:hAnsi="Arial"/>
                <w:b/>
                <w:bCs/>
                <w:sz w:val="16"/>
                <w:szCs w:val="16"/>
                <w:lang w:val="en-AU"/>
              </w:rPr>
              <w:t>Fishermans Bend Redevelopment</w:t>
            </w:r>
          </w:p>
        </w:tc>
        <w:tc>
          <w:tcPr>
            <w:tcW w:w="1790" w:type="dxa"/>
            <w:tcBorders>
              <w:top w:val="single" w:sz="4" w:space="0" w:color="auto"/>
              <w:left w:val="nil"/>
              <w:bottom w:val="nil"/>
              <w:right w:val="nil"/>
            </w:tcBorders>
            <w:shd w:val="clear" w:color="FFFFFF" w:fill="auto"/>
            <w:vAlign w:val="bottom"/>
          </w:tcPr>
          <w:p w14:paraId="6B730366" w14:textId="77777777" w:rsidR="00BF10C7" w:rsidRPr="008659FE" w:rsidRDefault="00BF10C7" w:rsidP="00BF10C7">
            <w:pPr>
              <w:keepNext/>
              <w:keepLines/>
              <w:spacing w:before="0" w:after="0" w:line="276" w:lineRule="auto"/>
              <w:jc w:val="right"/>
              <w:rPr>
                <w:rFonts w:ascii="Arial" w:hAnsi="Arial"/>
                <w:sz w:val="16"/>
                <w:szCs w:val="16"/>
                <w:lang w:val="en-AU"/>
              </w:rPr>
            </w:pPr>
          </w:p>
        </w:tc>
        <w:tc>
          <w:tcPr>
            <w:tcW w:w="1191" w:type="dxa"/>
            <w:tcBorders>
              <w:top w:val="single" w:sz="4" w:space="0" w:color="auto"/>
              <w:left w:val="nil"/>
              <w:bottom w:val="nil"/>
              <w:right w:val="nil"/>
            </w:tcBorders>
            <w:shd w:val="clear" w:color="FFFFFF" w:fill="auto"/>
            <w:noWrap/>
            <w:vAlign w:val="bottom"/>
          </w:tcPr>
          <w:p w14:paraId="36564150" w14:textId="77777777" w:rsidR="00BF10C7" w:rsidRPr="00353F8D" w:rsidRDefault="00BF10C7" w:rsidP="00BF10C7">
            <w:pPr>
              <w:keepNext/>
              <w:keepLines/>
              <w:spacing w:before="0" w:after="0" w:line="276" w:lineRule="auto"/>
              <w:jc w:val="right"/>
              <w:rPr>
                <w:rFonts w:ascii="Arial" w:hAnsi="Arial"/>
                <w:b/>
                <w:bCs/>
                <w:sz w:val="16"/>
                <w:szCs w:val="16"/>
                <w:lang w:val="en-AU"/>
              </w:rPr>
            </w:pPr>
          </w:p>
        </w:tc>
        <w:tc>
          <w:tcPr>
            <w:tcW w:w="1413" w:type="dxa"/>
            <w:tcBorders>
              <w:top w:val="single" w:sz="4" w:space="0" w:color="auto"/>
              <w:left w:val="nil"/>
              <w:bottom w:val="nil"/>
              <w:right w:val="nil"/>
            </w:tcBorders>
            <w:shd w:val="clear" w:color="auto" w:fill="auto"/>
            <w:noWrap/>
            <w:vAlign w:val="bottom"/>
          </w:tcPr>
          <w:p w14:paraId="26146B36" w14:textId="77777777" w:rsidR="00BF10C7" w:rsidRPr="009E4B9D" w:rsidRDefault="00BF10C7" w:rsidP="00BF10C7">
            <w:pPr>
              <w:spacing w:before="0" w:after="0" w:line="276" w:lineRule="auto"/>
              <w:jc w:val="right"/>
              <w:rPr>
                <w:rFonts w:ascii="Arial" w:hAnsi="Arial"/>
                <w:b/>
                <w:sz w:val="16"/>
                <w:szCs w:val="16"/>
                <w:lang w:eastAsia="en-US"/>
              </w:rPr>
            </w:pPr>
          </w:p>
        </w:tc>
        <w:tc>
          <w:tcPr>
            <w:tcW w:w="1195" w:type="dxa"/>
            <w:tcBorders>
              <w:top w:val="single" w:sz="4" w:space="0" w:color="auto"/>
              <w:left w:val="nil"/>
              <w:bottom w:val="nil"/>
              <w:right w:val="nil"/>
            </w:tcBorders>
            <w:shd w:val="clear" w:color="auto" w:fill="auto"/>
            <w:noWrap/>
            <w:vAlign w:val="bottom"/>
          </w:tcPr>
          <w:p w14:paraId="7861C597" w14:textId="77777777" w:rsidR="00BF10C7" w:rsidRPr="009E4B9D" w:rsidRDefault="00BF10C7" w:rsidP="00BF10C7">
            <w:pPr>
              <w:spacing w:before="0" w:after="0" w:line="276" w:lineRule="auto"/>
              <w:jc w:val="right"/>
              <w:rPr>
                <w:rFonts w:ascii="Arial" w:hAnsi="Arial"/>
                <w:b/>
                <w:sz w:val="16"/>
                <w:szCs w:val="16"/>
                <w:lang w:eastAsia="en-US"/>
              </w:rPr>
            </w:pPr>
          </w:p>
        </w:tc>
      </w:tr>
      <w:tr w:rsidR="00BF10C7" w:rsidRPr="00BA1388" w14:paraId="254FB310" w14:textId="77777777" w:rsidTr="00F600B5">
        <w:trPr>
          <w:trHeight w:val="227"/>
        </w:trPr>
        <w:tc>
          <w:tcPr>
            <w:tcW w:w="3085" w:type="dxa"/>
            <w:tcBorders>
              <w:top w:val="nil"/>
              <w:left w:val="nil"/>
              <w:bottom w:val="single" w:sz="4" w:space="0" w:color="auto"/>
              <w:right w:val="nil"/>
            </w:tcBorders>
            <w:shd w:val="clear" w:color="FFFFFF" w:fill="auto"/>
            <w:vAlign w:val="bottom"/>
          </w:tcPr>
          <w:p w14:paraId="6BF09FAA" w14:textId="77777777" w:rsidR="00BF10C7" w:rsidRPr="008659FE" w:rsidRDefault="00BF10C7" w:rsidP="00BF10C7">
            <w:pPr>
              <w:spacing w:before="0" w:after="0" w:line="276" w:lineRule="auto"/>
              <w:ind w:left="179"/>
              <w:rPr>
                <w:rFonts w:ascii="Arial" w:hAnsi="Arial"/>
                <w:b/>
                <w:bCs/>
                <w:sz w:val="16"/>
                <w:szCs w:val="16"/>
                <w:lang w:val="en-AU"/>
              </w:rPr>
            </w:pPr>
            <w:r w:rsidRPr="008659FE">
              <w:rPr>
                <w:rFonts w:ascii="Arial" w:hAnsi="Arial"/>
                <w:sz w:val="16"/>
                <w:szCs w:val="16"/>
                <w:lang w:val="en-AU"/>
              </w:rPr>
              <w:t>Fishermans Bend</w:t>
            </w:r>
          </w:p>
        </w:tc>
        <w:tc>
          <w:tcPr>
            <w:tcW w:w="1790" w:type="dxa"/>
            <w:tcBorders>
              <w:top w:val="nil"/>
              <w:left w:val="nil"/>
              <w:bottom w:val="single" w:sz="4" w:space="0" w:color="auto"/>
              <w:right w:val="nil"/>
            </w:tcBorders>
            <w:shd w:val="clear" w:color="FFFFFF" w:fill="auto"/>
            <w:vAlign w:val="bottom"/>
          </w:tcPr>
          <w:p w14:paraId="092A285C" w14:textId="77777777" w:rsidR="00BF10C7" w:rsidRPr="008659FE" w:rsidRDefault="00BF10C7" w:rsidP="00BF10C7">
            <w:pPr>
              <w:spacing w:before="0" w:after="0" w:line="276" w:lineRule="auto"/>
              <w:jc w:val="right"/>
              <w:rPr>
                <w:rFonts w:ascii="Arial" w:hAnsi="Arial"/>
                <w:b/>
                <w:bCs/>
                <w:sz w:val="16"/>
                <w:szCs w:val="16"/>
                <w:lang w:val="en-AU"/>
              </w:rPr>
            </w:pPr>
            <w:r w:rsidRPr="008659FE">
              <w:rPr>
                <w:rFonts w:ascii="Arial" w:hAnsi="Arial"/>
                <w:sz w:val="16"/>
                <w:szCs w:val="16"/>
                <w:lang w:val="en-AU"/>
              </w:rPr>
              <w:t>VIC - Macnamara</w:t>
            </w:r>
          </w:p>
        </w:tc>
        <w:tc>
          <w:tcPr>
            <w:tcW w:w="1191" w:type="dxa"/>
            <w:tcBorders>
              <w:top w:val="nil"/>
              <w:left w:val="nil"/>
              <w:bottom w:val="single" w:sz="4" w:space="0" w:color="auto"/>
              <w:right w:val="nil"/>
            </w:tcBorders>
            <w:shd w:val="clear" w:color="FFFFFF" w:fill="auto"/>
            <w:noWrap/>
            <w:vAlign w:val="bottom"/>
          </w:tcPr>
          <w:p w14:paraId="315AFE9B" w14:textId="77777777" w:rsidR="00BF10C7" w:rsidRPr="00353F8D" w:rsidRDefault="00BF10C7" w:rsidP="00BF10C7">
            <w:pPr>
              <w:spacing w:before="0" w:after="0" w:line="276" w:lineRule="auto"/>
              <w:jc w:val="right"/>
              <w:rPr>
                <w:rFonts w:ascii="Arial" w:hAnsi="Arial"/>
                <w:b/>
                <w:bCs/>
                <w:sz w:val="16"/>
                <w:szCs w:val="16"/>
                <w:lang w:val="en-AU"/>
              </w:rPr>
            </w:pPr>
            <w:r w:rsidRPr="00353F8D">
              <w:rPr>
                <w:rFonts w:ascii="Arial" w:hAnsi="Arial"/>
                <w:b/>
                <w:bCs/>
                <w:sz w:val="16"/>
                <w:szCs w:val="16"/>
                <w:lang w:val="en-AU"/>
              </w:rPr>
              <w:t>160.9</w:t>
            </w:r>
          </w:p>
        </w:tc>
        <w:tc>
          <w:tcPr>
            <w:tcW w:w="1413" w:type="dxa"/>
            <w:tcBorders>
              <w:top w:val="nil"/>
              <w:left w:val="nil"/>
              <w:bottom w:val="single" w:sz="4" w:space="0" w:color="auto"/>
              <w:right w:val="nil"/>
            </w:tcBorders>
            <w:shd w:val="clear" w:color="auto" w:fill="auto"/>
            <w:noWrap/>
            <w:vAlign w:val="bottom"/>
          </w:tcPr>
          <w:p w14:paraId="0AE64818" w14:textId="77777777" w:rsidR="00BF10C7" w:rsidRPr="009E4B9D" w:rsidRDefault="00BF10C7" w:rsidP="00BF10C7">
            <w:pPr>
              <w:spacing w:before="0" w:after="0" w:line="276" w:lineRule="auto"/>
              <w:jc w:val="right"/>
              <w:rPr>
                <w:rFonts w:ascii="Arial" w:hAnsi="Arial"/>
                <w:b/>
                <w:sz w:val="16"/>
                <w:szCs w:val="16"/>
                <w:lang w:eastAsia="en-US"/>
              </w:rPr>
            </w:pPr>
            <w:r w:rsidRPr="009E4B9D">
              <w:rPr>
                <w:rFonts w:ascii="Arial" w:hAnsi="Arial"/>
                <w:b/>
                <w:sz w:val="16"/>
                <w:szCs w:val="16"/>
                <w:lang w:eastAsia="en-US"/>
              </w:rPr>
              <w:t>42.</w:t>
            </w:r>
            <w:r>
              <w:rPr>
                <w:rFonts w:ascii="Arial" w:hAnsi="Arial"/>
                <w:b/>
                <w:sz w:val="16"/>
                <w:szCs w:val="16"/>
                <w:lang w:eastAsia="en-US"/>
              </w:rPr>
              <w:t>2</w:t>
            </w:r>
          </w:p>
        </w:tc>
        <w:tc>
          <w:tcPr>
            <w:tcW w:w="1195" w:type="dxa"/>
            <w:tcBorders>
              <w:top w:val="nil"/>
              <w:left w:val="nil"/>
              <w:bottom w:val="single" w:sz="4" w:space="0" w:color="auto"/>
              <w:right w:val="nil"/>
            </w:tcBorders>
            <w:shd w:val="clear" w:color="auto" w:fill="auto"/>
            <w:noWrap/>
            <w:vAlign w:val="bottom"/>
          </w:tcPr>
          <w:p w14:paraId="3F6874A5" w14:textId="77777777" w:rsidR="00BF10C7" w:rsidRPr="009E4B9D" w:rsidRDefault="00BF10C7" w:rsidP="00BF10C7">
            <w:pPr>
              <w:spacing w:before="0" w:after="0" w:line="276" w:lineRule="auto"/>
              <w:jc w:val="right"/>
              <w:rPr>
                <w:rFonts w:ascii="Arial" w:hAnsi="Arial"/>
                <w:b/>
                <w:sz w:val="16"/>
                <w:szCs w:val="16"/>
                <w:lang w:eastAsia="en-US"/>
              </w:rPr>
            </w:pPr>
            <w:r w:rsidRPr="009E4B9D">
              <w:rPr>
                <w:rFonts w:ascii="Arial" w:hAnsi="Arial"/>
                <w:b/>
                <w:sz w:val="16"/>
                <w:szCs w:val="16"/>
                <w:lang w:eastAsia="en-US"/>
              </w:rPr>
              <w:t>55.6</w:t>
            </w:r>
          </w:p>
        </w:tc>
      </w:tr>
      <w:tr w:rsidR="00BF10C7" w:rsidRPr="00BA1388" w14:paraId="2D53D174" w14:textId="77777777" w:rsidTr="00F600B5">
        <w:trPr>
          <w:trHeight w:val="227"/>
        </w:trPr>
        <w:tc>
          <w:tcPr>
            <w:tcW w:w="3085" w:type="dxa"/>
            <w:tcBorders>
              <w:top w:val="single" w:sz="4" w:space="0" w:color="auto"/>
              <w:left w:val="nil"/>
              <w:bottom w:val="nil"/>
              <w:right w:val="nil"/>
            </w:tcBorders>
            <w:shd w:val="clear" w:color="FFFFFF" w:fill="auto"/>
            <w:vAlign w:val="bottom"/>
          </w:tcPr>
          <w:p w14:paraId="7D952D79" w14:textId="0BA41996" w:rsidR="00BF10C7" w:rsidRPr="008659FE" w:rsidRDefault="00BF10C7" w:rsidP="00BF10C7">
            <w:pPr>
              <w:spacing w:before="0" w:after="0" w:line="276" w:lineRule="auto"/>
              <w:rPr>
                <w:rFonts w:ascii="Arial" w:hAnsi="Arial"/>
                <w:sz w:val="16"/>
                <w:szCs w:val="16"/>
                <w:lang w:val="en-AU"/>
              </w:rPr>
            </w:pPr>
            <w:r w:rsidRPr="008659FE">
              <w:rPr>
                <w:rFonts w:ascii="Arial" w:hAnsi="Arial"/>
                <w:b/>
                <w:bCs/>
                <w:sz w:val="16"/>
                <w:szCs w:val="16"/>
                <w:lang w:val="en-AU"/>
              </w:rPr>
              <w:t>R</w:t>
            </w:r>
            <w:r w:rsidRPr="008659FE">
              <w:rPr>
                <w:rFonts w:ascii="Arial" w:hAnsi="Arial"/>
                <w:b/>
                <w:sz w:val="16"/>
                <w:szCs w:val="16"/>
                <w:lang w:val="en-AU"/>
              </w:rPr>
              <w:t xml:space="preserve">AAF </w:t>
            </w:r>
            <w:r w:rsidR="008B2430">
              <w:rPr>
                <w:rFonts w:ascii="Arial" w:hAnsi="Arial"/>
                <w:b/>
                <w:sz w:val="16"/>
                <w:szCs w:val="16"/>
                <w:lang w:val="en-AU"/>
              </w:rPr>
              <w:t xml:space="preserve">Base </w:t>
            </w:r>
            <w:r w:rsidRPr="008659FE">
              <w:rPr>
                <w:rFonts w:ascii="Arial" w:hAnsi="Arial"/>
                <w:b/>
                <w:sz w:val="16"/>
                <w:szCs w:val="16"/>
                <w:lang w:val="en-AU"/>
              </w:rPr>
              <w:t>Darwin Mid-Term Refresh</w:t>
            </w:r>
          </w:p>
        </w:tc>
        <w:tc>
          <w:tcPr>
            <w:tcW w:w="1790" w:type="dxa"/>
            <w:tcBorders>
              <w:top w:val="single" w:sz="4" w:space="0" w:color="auto"/>
              <w:left w:val="nil"/>
              <w:bottom w:val="nil"/>
              <w:right w:val="nil"/>
            </w:tcBorders>
            <w:shd w:val="clear" w:color="FFFFFF" w:fill="auto"/>
            <w:vAlign w:val="bottom"/>
          </w:tcPr>
          <w:p w14:paraId="5EFE71CB" w14:textId="77777777" w:rsidR="00BF10C7" w:rsidRPr="008659FE" w:rsidRDefault="00BF10C7" w:rsidP="00BF10C7">
            <w:pPr>
              <w:keepNext/>
              <w:spacing w:before="0" w:after="0" w:line="276" w:lineRule="auto"/>
              <w:jc w:val="right"/>
              <w:rPr>
                <w:rFonts w:ascii="Arial" w:hAnsi="Arial"/>
                <w:sz w:val="16"/>
                <w:szCs w:val="16"/>
                <w:lang w:val="en-AU"/>
              </w:rPr>
            </w:pPr>
          </w:p>
        </w:tc>
        <w:tc>
          <w:tcPr>
            <w:tcW w:w="1191" w:type="dxa"/>
            <w:tcBorders>
              <w:top w:val="single" w:sz="4" w:space="0" w:color="auto"/>
              <w:left w:val="nil"/>
              <w:bottom w:val="nil"/>
              <w:right w:val="nil"/>
            </w:tcBorders>
            <w:shd w:val="clear" w:color="FFFFFF" w:fill="auto"/>
            <w:noWrap/>
            <w:vAlign w:val="bottom"/>
          </w:tcPr>
          <w:p w14:paraId="626055E1" w14:textId="77777777" w:rsidR="00BF10C7" w:rsidRPr="00353F8D" w:rsidRDefault="00BF10C7" w:rsidP="00BF10C7">
            <w:pPr>
              <w:keepNext/>
              <w:spacing w:before="0" w:after="0" w:line="276" w:lineRule="auto"/>
              <w:jc w:val="right"/>
              <w:rPr>
                <w:rFonts w:ascii="Arial" w:hAnsi="Arial"/>
                <w:b/>
                <w:bCs/>
                <w:sz w:val="16"/>
                <w:szCs w:val="16"/>
                <w:lang w:val="en-AU"/>
              </w:rPr>
            </w:pPr>
          </w:p>
        </w:tc>
        <w:tc>
          <w:tcPr>
            <w:tcW w:w="1413" w:type="dxa"/>
            <w:tcBorders>
              <w:top w:val="single" w:sz="4" w:space="0" w:color="auto"/>
              <w:left w:val="nil"/>
              <w:bottom w:val="nil"/>
              <w:right w:val="nil"/>
            </w:tcBorders>
            <w:shd w:val="clear" w:color="auto" w:fill="auto"/>
            <w:noWrap/>
            <w:vAlign w:val="bottom"/>
          </w:tcPr>
          <w:p w14:paraId="24CB907A" w14:textId="77777777" w:rsidR="00BF10C7" w:rsidRPr="009E4B9D" w:rsidRDefault="00BF10C7" w:rsidP="00BF10C7">
            <w:pPr>
              <w:spacing w:before="0" w:after="0" w:line="276" w:lineRule="auto"/>
              <w:jc w:val="right"/>
              <w:rPr>
                <w:rFonts w:ascii="Arial" w:hAnsi="Arial"/>
                <w:b/>
                <w:sz w:val="16"/>
                <w:szCs w:val="16"/>
                <w:lang w:eastAsia="en-US"/>
              </w:rPr>
            </w:pPr>
          </w:p>
        </w:tc>
        <w:tc>
          <w:tcPr>
            <w:tcW w:w="1195" w:type="dxa"/>
            <w:tcBorders>
              <w:top w:val="single" w:sz="4" w:space="0" w:color="auto"/>
              <w:left w:val="nil"/>
              <w:bottom w:val="nil"/>
              <w:right w:val="nil"/>
            </w:tcBorders>
            <w:shd w:val="clear" w:color="auto" w:fill="auto"/>
            <w:noWrap/>
            <w:vAlign w:val="bottom"/>
          </w:tcPr>
          <w:p w14:paraId="307255D6" w14:textId="77777777" w:rsidR="00BF10C7" w:rsidRPr="009E4B9D" w:rsidRDefault="00BF10C7" w:rsidP="00BF10C7">
            <w:pPr>
              <w:spacing w:before="0" w:after="0" w:line="276" w:lineRule="auto"/>
              <w:jc w:val="right"/>
              <w:rPr>
                <w:rFonts w:ascii="Arial" w:hAnsi="Arial"/>
                <w:b/>
                <w:sz w:val="16"/>
                <w:szCs w:val="16"/>
                <w:lang w:eastAsia="en-US"/>
              </w:rPr>
            </w:pPr>
          </w:p>
        </w:tc>
      </w:tr>
      <w:tr w:rsidR="00BF10C7" w:rsidRPr="00BA1388" w14:paraId="74E8DCD5" w14:textId="77777777" w:rsidTr="00E52F66">
        <w:trPr>
          <w:trHeight w:val="227"/>
        </w:trPr>
        <w:tc>
          <w:tcPr>
            <w:tcW w:w="3085" w:type="dxa"/>
            <w:tcBorders>
              <w:top w:val="nil"/>
              <w:left w:val="nil"/>
              <w:bottom w:val="single" w:sz="4" w:space="0" w:color="auto"/>
              <w:right w:val="nil"/>
            </w:tcBorders>
            <w:shd w:val="clear" w:color="FFFFFF" w:fill="auto"/>
            <w:vAlign w:val="bottom"/>
          </w:tcPr>
          <w:p w14:paraId="03971966" w14:textId="77777777" w:rsidR="00BF10C7" w:rsidRPr="008659FE" w:rsidRDefault="00BF10C7" w:rsidP="00BF10C7">
            <w:pPr>
              <w:spacing w:before="0" w:after="0" w:line="276" w:lineRule="auto"/>
              <w:ind w:left="179"/>
              <w:rPr>
                <w:rFonts w:ascii="Arial" w:hAnsi="Arial"/>
                <w:sz w:val="16"/>
                <w:szCs w:val="16"/>
                <w:lang w:val="en-AU"/>
              </w:rPr>
            </w:pPr>
            <w:r w:rsidRPr="008659FE">
              <w:rPr>
                <w:rFonts w:ascii="Arial" w:hAnsi="Arial"/>
                <w:sz w:val="16"/>
                <w:szCs w:val="16"/>
                <w:lang w:val="en-AU"/>
              </w:rPr>
              <w:t>RAAF Darwin</w:t>
            </w:r>
          </w:p>
        </w:tc>
        <w:tc>
          <w:tcPr>
            <w:tcW w:w="1790" w:type="dxa"/>
            <w:tcBorders>
              <w:top w:val="nil"/>
              <w:left w:val="nil"/>
              <w:bottom w:val="single" w:sz="4" w:space="0" w:color="auto"/>
              <w:right w:val="nil"/>
            </w:tcBorders>
            <w:shd w:val="clear" w:color="FFFFFF" w:fill="auto"/>
            <w:vAlign w:val="bottom"/>
          </w:tcPr>
          <w:p w14:paraId="56B611C1" w14:textId="77777777" w:rsidR="00BF10C7" w:rsidRPr="008659FE" w:rsidRDefault="00BF10C7" w:rsidP="00BF10C7">
            <w:pPr>
              <w:spacing w:before="0" w:after="0" w:line="276" w:lineRule="auto"/>
              <w:jc w:val="right"/>
              <w:rPr>
                <w:rFonts w:ascii="Arial" w:hAnsi="Arial"/>
                <w:sz w:val="16"/>
                <w:szCs w:val="16"/>
                <w:lang w:val="en-AU"/>
              </w:rPr>
            </w:pPr>
            <w:r w:rsidRPr="008659FE">
              <w:rPr>
                <w:rFonts w:ascii="Arial" w:hAnsi="Arial"/>
                <w:sz w:val="16"/>
                <w:szCs w:val="16"/>
                <w:lang w:val="en-AU"/>
              </w:rPr>
              <w:t>NT - Solomon</w:t>
            </w:r>
          </w:p>
        </w:tc>
        <w:tc>
          <w:tcPr>
            <w:tcW w:w="1191" w:type="dxa"/>
            <w:tcBorders>
              <w:top w:val="nil"/>
              <w:left w:val="nil"/>
              <w:bottom w:val="single" w:sz="4" w:space="0" w:color="auto"/>
              <w:right w:val="nil"/>
            </w:tcBorders>
            <w:shd w:val="clear" w:color="FFFFFF" w:fill="auto"/>
            <w:noWrap/>
            <w:vAlign w:val="bottom"/>
          </w:tcPr>
          <w:p w14:paraId="21D3FFB1" w14:textId="77777777" w:rsidR="00BF10C7" w:rsidRPr="00353F8D" w:rsidRDefault="00BF10C7" w:rsidP="00BF10C7">
            <w:pPr>
              <w:spacing w:before="0" w:after="0" w:line="276" w:lineRule="auto"/>
              <w:jc w:val="right"/>
              <w:rPr>
                <w:rFonts w:ascii="Arial" w:hAnsi="Arial"/>
                <w:b/>
                <w:bCs/>
                <w:sz w:val="16"/>
                <w:szCs w:val="16"/>
                <w:lang w:val="en-AU"/>
              </w:rPr>
            </w:pPr>
            <w:r w:rsidRPr="00353F8D">
              <w:rPr>
                <w:rFonts w:ascii="Arial" w:hAnsi="Arial"/>
                <w:b/>
                <w:sz w:val="16"/>
                <w:szCs w:val="16"/>
                <w:lang w:val="en-AU"/>
              </w:rPr>
              <w:t>159.9</w:t>
            </w:r>
          </w:p>
        </w:tc>
        <w:tc>
          <w:tcPr>
            <w:tcW w:w="1413" w:type="dxa"/>
            <w:tcBorders>
              <w:top w:val="nil"/>
              <w:left w:val="nil"/>
              <w:bottom w:val="single" w:sz="4" w:space="0" w:color="auto"/>
              <w:right w:val="nil"/>
            </w:tcBorders>
            <w:shd w:val="clear" w:color="auto" w:fill="auto"/>
            <w:noWrap/>
            <w:vAlign w:val="bottom"/>
          </w:tcPr>
          <w:p w14:paraId="5D04F653" w14:textId="77777777" w:rsidR="00BF10C7" w:rsidRPr="009E4B9D" w:rsidRDefault="00BF10C7" w:rsidP="00BF10C7">
            <w:pPr>
              <w:spacing w:before="0" w:after="0" w:line="276" w:lineRule="auto"/>
              <w:jc w:val="right"/>
              <w:rPr>
                <w:rFonts w:ascii="Arial" w:hAnsi="Arial"/>
                <w:b/>
                <w:sz w:val="16"/>
                <w:szCs w:val="16"/>
                <w:lang w:eastAsia="en-US"/>
              </w:rPr>
            </w:pPr>
            <w:r w:rsidRPr="009E4B9D">
              <w:rPr>
                <w:rFonts w:ascii="Arial" w:hAnsi="Arial"/>
                <w:b/>
                <w:sz w:val="16"/>
                <w:szCs w:val="16"/>
                <w:lang w:eastAsia="en-US"/>
              </w:rPr>
              <w:t>12.0</w:t>
            </w:r>
          </w:p>
        </w:tc>
        <w:tc>
          <w:tcPr>
            <w:tcW w:w="1195" w:type="dxa"/>
            <w:tcBorders>
              <w:top w:val="nil"/>
              <w:left w:val="nil"/>
              <w:bottom w:val="single" w:sz="4" w:space="0" w:color="auto"/>
              <w:right w:val="nil"/>
            </w:tcBorders>
            <w:shd w:val="clear" w:color="auto" w:fill="auto"/>
            <w:noWrap/>
            <w:vAlign w:val="bottom"/>
          </w:tcPr>
          <w:p w14:paraId="226AC3DE" w14:textId="77777777" w:rsidR="00BF10C7" w:rsidRPr="009E4B9D" w:rsidRDefault="00BF10C7" w:rsidP="00BF10C7">
            <w:pPr>
              <w:spacing w:before="0" w:after="0" w:line="276" w:lineRule="auto"/>
              <w:jc w:val="right"/>
              <w:rPr>
                <w:rFonts w:ascii="Arial" w:hAnsi="Arial"/>
                <w:b/>
                <w:sz w:val="16"/>
                <w:szCs w:val="16"/>
                <w:lang w:eastAsia="en-US"/>
              </w:rPr>
            </w:pPr>
            <w:r w:rsidRPr="009E4B9D">
              <w:rPr>
                <w:rFonts w:ascii="Arial" w:hAnsi="Arial"/>
                <w:b/>
                <w:sz w:val="16"/>
                <w:szCs w:val="16"/>
                <w:lang w:eastAsia="en-US"/>
              </w:rPr>
              <w:t>92.4</w:t>
            </w:r>
          </w:p>
        </w:tc>
      </w:tr>
      <w:tr w:rsidR="00E52F66" w:rsidRPr="00BA1388" w14:paraId="5CEF7601" w14:textId="77777777" w:rsidTr="00F600B5">
        <w:trPr>
          <w:trHeight w:val="255"/>
        </w:trPr>
        <w:tc>
          <w:tcPr>
            <w:tcW w:w="3085" w:type="dxa"/>
            <w:tcBorders>
              <w:top w:val="single" w:sz="4" w:space="0" w:color="auto"/>
              <w:left w:val="nil"/>
              <w:bottom w:val="nil"/>
              <w:right w:val="nil"/>
            </w:tcBorders>
            <w:shd w:val="clear" w:color="FFFFFF" w:fill="auto"/>
            <w:vAlign w:val="bottom"/>
          </w:tcPr>
          <w:p w14:paraId="246CD8A2" w14:textId="77777777" w:rsidR="00E52F66" w:rsidRPr="008659FE" w:rsidRDefault="00E52F66" w:rsidP="00E52F66">
            <w:pPr>
              <w:keepNext/>
              <w:keepLines/>
              <w:spacing w:before="0" w:after="0" w:line="276" w:lineRule="auto"/>
              <w:rPr>
                <w:rFonts w:ascii="Arial" w:hAnsi="Arial"/>
                <w:b/>
                <w:bCs/>
                <w:sz w:val="16"/>
                <w:szCs w:val="16"/>
                <w:lang w:val="en-AU"/>
              </w:rPr>
            </w:pPr>
            <w:r w:rsidRPr="008659FE">
              <w:rPr>
                <w:rFonts w:ascii="Arial" w:hAnsi="Arial"/>
                <w:b/>
                <w:bCs/>
                <w:sz w:val="16"/>
                <w:szCs w:val="16"/>
                <w:lang w:val="en-AU"/>
              </w:rPr>
              <w:lastRenderedPageBreak/>
              <w:t>Facilities to Support SEA 9100 Phase 1 Improved Embarked Logistics Support Helicopter Tranche 1</w:t>
            </w:r>
          </w:p>
        </w:tc>
        <w:tc>
          <w:tcPr>
            <w:tcW w:w="1790" w:type="dxa"/>
            <w:tcBorders>
              <w:top w:val="single" w:sz="4" w:space="0" w:color="auto"/>
              <w:left w:val="nil"/>
              <w:bottom w:val="nil"/>
              <w:right w:val="nil"/>
            </w:tcBorders>
            <w:shd w:val="clear" w:color="FFFFFF" w:fill="auto"/>
            <w:noWrap/>
            <w:vAlign w:val="bottom"/>
          </w:tcPr>
          <w:p w14:paraId="7EBF7F10" w14:textId="77777777" w:rsidR="00E52F66" w:rsidRPr="008659FE" w:rsidRDefault="00E52F66" w:rsidP="00E52F66">
            <w:pPr>
              <w:keepNext/>
              <w:keepLines/>
              <w:spacing w:before="0" w:after="0" w:line="276" w:lineRule="auto"/>
              <w:jc w:val="right"/>
              <w:rPr>
                <w:rFonts w:ascii="Arial" w:hAnsi="Arial"/>
                <w:b/>
                <w:sz w:val="16"/>
                <w:szCs w:val="16"/>
                <w:lang w:val="en-AU"/>
              </w:rPr>
            </w:pPr>
          </w:p>
        </w:tc>
        <w:tc>
          <w:tcPr>
            <w:tcW w:w="1191" w:type="dxa"/>
            <w:tcBorders>
              <w:top w:val="single" w:sz="4" w:space="0" w:color="auto"/>
              <w:left w:val="nil"/>
              <w:bottom w:val="nil"/>
              <w:right w:val="nil"/>
            </w:tcBorders>
            <w:shd w:val="clear" w:color="FFFFFF" w:fill="auto"/>
            <w:noWrap/>
            <w:vAlign w:val="bottom"/>
          </w:tcPr>
          <w:p w14:paraId="137A7C35" w14:textId="77777777" w:rsidR="00E52F66" w:rsidRPr="00353F8D" w:rsidRDefault="00E52F66" w:rsidP="00E52F66">
            <w:pPr>
              <w:keepNext/>
              <w:keepLines/>
              <w:spacing w:before="0" w:after="0" w:line="276" w:lineRule="auto"/>
              <w:jc w:val="right"/>
              <w:rPr>
                <w:rFonts w:ascii="Arial" w:hAnsi="Arial"/>
                <w:b/>
                <w:bCs/>
                <w:sz w:val="16"/>
                <w:szCs w:val="16"/>
                <w:lang w:val="en-AU"/>
              </w:rPr>
            </w:pPr>
          </w:p>
        </w:tc>
        <w:tc>
          <w:tcPr>
            <w:tcW w:w="1413" w:type="dxa"/>
            <w:tcBorders>
              <w:top w:val="single" w:sz="4" w:space="0" w:color="auto"/>
              <w:left w:val="nil"/>
              <w:bottom w:val="nil"/>
              <w:right w:val="nil"/>
            </w:tcBorders>
            <w:shd w:val="clear" w:color="FFFFFF" w:fill="auto"/>
            <w:noWrap/>
            <w:vAlign w:val="bottom"/>
          </w:tcPr>
          <w:p w14:paraId="5CFBA63D" w14:textId="77777777" w:rsidR="00E52F66" w:rsidRPr="009E4B9D" w:rsidRDefault="00E52F66" w:rsidP="00E52F66">
            <w:pPr>
              <w:spacing w:before="0" w:after="0" w:line="276" w:lineRule="auto"/>
              <w:jc w:val="right"/>
              <w:rPr>
                <w:rFonts w:ascii="Arial" w:hAnsi="Arial"/>
                <w:b/>
                <w:sz w:val="16"/>
                <w:szCs w:val="16"/>
                <w:lang w:eastAsia="en-US"/>
              </w:rPr>
            </w:pPr>
          </w:p>
        </w:tc>
        <w:tc>
          <w:tcPr>
            <w:tcW w:w="1195" w:type="dxa"/>
            <w:tcBorders>
              <w:top w:val="single" w:sz="4" w:space="0" w:color="auto"/>
              <w:left w:val="nil"/>
              <w:bottom w:val="nil"/>
              <w:right w:val="nil"/>
            </w:tcBorders>
            <w:shd w:val="clear" w:color="FFFFFF" w:fill="auto"/>
            <w:noWrap/>
            <w:vAlign w:val="bottom"/>
          </w:tcPr>
          <w:p w14:paraId="3D2559B6" w14:textId="77777777" w:rsidR="00E52F66" w:rsidRPr="009E4B9D" w:rsidRDefault="00E52F66" w:rsidP="00E52F66">
            <w:pPr>
              <w:spacing w:before="0" w:after="0" w:line="276" w:lineRule="auto"/>
              <w:jc w:val="right"/>
              <w:rPr>
                <w:rFonts w:ascii="Arial" w:hAnsi="Arial"/>
                <w:b/>
                <w:sz w:val="16"/>
                <w:szCs w:val="16"/>
                <w:lang w:eastAsia="en-US"/>
              </w:rPr>
            </w:pPr>
          </w:p>
        </w:tc>
      </w:tr>
      <w:tr w:rsidR="00E52F66" w:rsidRPr="00BA1388" w14:paraId="08A80656" w14:textId="77777777" w:rsidTr="00F600B5">
        <w:trPr>
          <w:trHeight w:val="227"/>
        </w:trPr>
        <w:tc>
          <w:tcPr>
            <w:tcW w:w="3085" w:type="dxa"/>
            <w:tcBorders>
              <w:top w:val="nil"/>
              <w:left w:val="nil"/>
              <w:bottom w:val="nil"/>
              <w:right w:val="nil"/>
            </w:tcBorders>
            <w:shd w:val="clear" w:color="auto" w:fill="auto"/>
            <w:vAlign w:val="bottom"/>
          </w:tcPr>
          <w:p w14:paraId="698EEADD" w14:textId="77777777" w:rsidR="00E52F66" w:rsidRPr="008659FE" w:rsidRDefault="00E52F66" w:rsidP="00E52F66">
            <w:pPr>
              <w:keepNext/>
              <w:keepLines/>
              <w:spacing w:before="0" w:after="0" w:line="276" w:lineRule="auto"/>
              <w:ind w:left="179"/>
              <w:rPr>
                <w:rFonts w:ascii="Arial" w:hAnsi="Arial"/>
                <w:sz w:val="16"/>
                <w:szCs w:val="16"/>
                <w:lang w:val="en-AU"/>
              </w:rPr>
            </w:pPr>
            <w:r w:rsidRPr="008659FE">
              <w:rPr>
                <w:rFonts w:ascii="Arial" w:hAnsi="Arial"/>
                <w:sz w:val="16"/>
                <w:szCs w:val="16"/>
                <w:lang w:val="en-AU"/>
              </w:rPr>
              <w:t xml:space="preserve">HMAS </w:t>
            </w:r>
            <w:r w:rsidRPr="008659FE">
              <w:rPr>
                <w:rFonts w:ascii="Arial" w:hAnsi="Arial"/>
                <w:i/>
                <w:sz w:val="16"/>
                <w:szCs w:val="16"/>
                <w:lang w:val="en-AU"/>
              </w:rPr>
              <w:t>Albatross</w:t>
            </w:r>
          </w:p>
        </w:tc>
        <w:tc>
          <w:tcPr>
            <w:tcW w:w="1790" w:type="dxa"/>
            <w:tcBorders>
              <w:top w:val="nil"/>
              <w:left w:val="nil"/>
              <w:bottom w:val="nil"/>
              <w:right w:val="nil"/>
            </w:tcBorders>
            <w:shd w:val="clear" w:color="FFFFFF" w:fill="auto"/>
            <w:vAlign w:val="bottom"/>
          </w:tcPr>
          <w:p w14:paraId="2AD50CB5" w14:textId="77777777" w:rsidR="00E52F66" w:rsidRPr="008659FE" w:rsidRDefault="00E52F66" w:rsidP="00E52F66">
            <w:pPr>
              <w:keepNext/>
              <w:keepLines/>
              <w:spacing w:before="0" w:after="0" w:line="276" w:lineRule="auto"/>
              <w:jc w:val="right"/>
              <w:rPr>
                <w:rFonts w:ascii="Arial" w:hAnsi="Arial"/>
                <w:sz w:val="16"/>
                <w:szCs w:val="16"/>
                <w:lang w:val="en-AU"/>
              </w:rPr>
            </w:pPr>
            <w:r w:rsidRPr="008659FE">
              <w:rPr>
                <w:rFonts w:ascii="Arial" w:hAnsi="Arial"/>
                <w:sz w:val="16"/>
                <w:szCs w:val="16"/>
                <w:lang w:val="en-AU"/>
              </w:rPr>
              <w:t>NSW - Gilmore</w:t>
            </w:r>
          </w:p>
        </w:tc>
        <w:tc>
          <w:tcPr>
            <w:tcW w:w="1191" w:type="dxa"/>
            <w:tcBorders>
              <w:top w:val="nil"/>
              <w:left w:val="nil"/>
              <w:bottom w:val="nil"/>
              <w:right w:val="nil"/>
            </w:tcBorders>
            <w:shd w:val="clear" w:color="FFFFFF" w:fill="auto"/>
            <w:vAlign w:val="bottom"/>
          </w:tcPr>
          <w:p w14:paraId="4A554F39" w14:textId="77777777" w:rsidR="00E52F66" w:rsidRPr="00353F8D" w:rsidRDefault="00E52F66" w:rsidP="00E52F66">
            <w:pPr>
              <w:keepNext/>
              <w:keepLines/>
              <w:spacing w:before="0" w:after="0" w:line="276" w:lineRule="auto"/>
              <w:jc w:val="right"/>
              <w:rPr>
                <w:rFonts w:ascii="Arial" w:hAnsi="Arial"/>
                <w:b/>
                <w:bCs/>
                <w:sz w:val="16"/>
                <w:szCs w:val="16"/>
                <w:lang w:val="en-AU"/>
              </w:rPr>
            </w:pPr>
          </w:p>
        </w:tc>
        <w:tc>
          <w:tcPr>
            <w:tcW w:w="1413" w:type="dxa"/>
            <w:tcBorders>
              <w:top w:val="nil"/>
              <w:left w:val="nil"/>
              <w:bottom w:val="nil"/>
              <w:right w:val="nil"/>
            </w:tcBorders>
            <w:shd w:val="clear" w:color="auto" w:fill="auto"/>
            <w:vAlign w:val="bottom"/>
          </w:tcPr>
          <w:p w14:paraId="45CD24E2" w14:textId="77777777" w:rsidR="00E52F66" w:rsidRPr="009E4B9D" w:rsidRDefault="00E52F66" w:rsidP="00E52F66">
            <w:pPr>
              <w:spacing w:before="0" w:after="0" w:line="276" w:lineRule="auto"/>
              <w:jc w:val="right"/>
              <w:rPr>
                <w:rFonts w:ascii="Arial" w:hAnsi="Arial"/>
                <w:sz w:val="16"/>
                <w:szCs w:val="16"/>
                <w:lang w:eastAsia="en-US"/>
              </w:rPr>
            </w:pPr>
            <w:r w:rsidRPr="009E4B9D">
              <w:rPr>
                <w:rFonts w:ascii="Arial" w:hAnsi="Arial"/>
                <w:sz w:val="16"/>
                <w:szCs w:val="16"/>
                <w:lang w:eastAsia="en-US"/>
              </w:rPr>
              <w:t>1.7</w:t>
            </w:r>
          </w:p>
        </w:tc>
        <w:tc>
          <w:tcPr>
            <w:tcW w:w="1195" w:type="dxa"/>
            <w:tcBorders>
              <w:top w:val="nil"/>
              <w:left w:val="nil"/>
              <w:bottom w:val="nil"/>
              <w:right w:val="nil"/>
            </w:tcBorders>
            <w:shd w:val="clear" w:color="auto" w:fill="auto"/>
            <w:vAlign w:val="bottom"/>
          </w:tcPr>
          <w:p w14:paraId="6A0CD082" w14:textId="77777777" w:rsidR="00E52F66" w:rsidRPr="009E4B9D" w:rsidRDefault="00E52F66" w:rsidP="00E52F66">
            <w:pPr>
              <w:spacing w:before="0" w:after="0" w:line="276" w:lineRule="auto"/>
              <w:jc w:val="right"/>
              <w:rPr>
                <w:rFonts w:ascii="Arial" w:hAnsi="Arial"/>
                <w:sz w:val="16"/>
                <w:szCs w:val="16"/>
                <w:lang w:eastAsia="en-US"/>
              </w:rPr>
            </w:pPr>
            <w:r w:rsidRPr="009E4B9D">
              <w:rPr>
                <w:rFonts w:ascii="Arial" w:hAnsi="Arial"/>
                <w:sz w:val="16"/>
                <w:szCs w:val="16"/>
                <w:lang w:eastAsia="en-US"/>
              </w:rPr>
              <w:t>56</w:t>
            </w:r>
          </w:p>
        </w:tc>
      </w:tr>
      <w:tr w:rsidR="00E52F66" w:rsidRPr="00BA1388" w14:paraId="742B5B5B" w14:textId="77777777" w:rsidTr="00F600B5">
        <w:trPr>
          <w:trHeight w:val="227"/>
        </w:trPr>
        <w:tc>
          <w:tcPr>
            <w:tcW w:w="3085" w:type="dxa"/>
            <w:tcBorders>
              <w:top w:val="nil"/>
              <w:left w:val="nil"/>
              <w:bottom w:val="nil"/>
              <w:right w:val="nil"/>
            </w:tcBorders>
            <w:shd w:val="clear" w:color="auto" w:fill="auto"/>
            <w:vAlign w:val="bottom"/>
          </w:tcPr>
          <w:p w14:paraId="3107D56E" w14:textId="77777777" w:rsidR="00E52F66" w:rsidRPr="008659FE" w:rsidRDefault="00E52F66" w:rsidP="00E52F66">
            <w:pPr>
              <w:keepNext/>
              <w:keepLines/>
              <w:spacing w:before="0" w:after="0" w:line="276" w:lineRule="auto"/>
              <w:ind w:left="179"/>
              <w:rPr>
                <w:rFonts w:ascii="Arial" w:hAnsi="Arial"/>
                <w:sz w:val="16"/>
                <w:szCs w:val="16"/>
                <w:lang w:val="en-AU"/>
              </w:rPr>
            </w:pPr>
            <w:r w:rsidRPr="008659FE">
              <w:rPr>
                <w:rFonts w:ascii="Arial" w:hAnsi="Arial"/>
                <w:sz w:val="16"/>
                <w:szCs w:val="16"/>
                <w:lang w:val="en-AU"/>
              </w:rPr>
              <w:t xml:space="preserve">HMAS </w:t>
            </w:r>
            <w:r w:rsidRPr="008659FE">
              <w:rPr>
                <w:rFonts w:ascii="Arial" w:hAnsi="Arial"/>
                <w:i/>
                <w:sz w:val="16"/>
                <w:szCs w:val="16"/>
                <w:lang w:val="en-AU"/>
              </w:rPr>
              <w:t>Stirling</w:t>
            </w:r>
          </w:p>
        </w:tc>
        <w:tc>
          <w:tcPr>
            <w:tcW w:w="1790" w:type="dxa"/>
            <w:tcBorders>
              <w:top w:val="nil"/>
              <w:left w:val="nil"/>
              <w:bottom w:val="nil"/>
              <w:right w:val="nil"/>
            </w:tcBorders>
            <w:shd w:val="clear" w:color="FFFFFF" w:fill="auto"/>
            <w:vAlign w:val="bottom"/>
          </w:tcPr>
          <w:p w14:paraId="14939BAE" w14:textId="77777777" w:rsidR="00E52F66" w:rsidRPr="008659FE" w:rsidRDefault="00E52F66" w:rsidP="00E52F66">
            <w:pPr>
              <w:keepNext/>
              <w:keepLines/>
              <w:spacing w:before="0" w:after="0" w:line="276" w:lineRule="auto"/>
              <w:jc w:val="right"/>
              <w:rPr>
                <w:rFonts w:ascii="Arial" w:hAnsi="Arial"/>
                <w:sz w:val="16"/>
                <w:szCs w:val="16"/>
                <w:lang w:val="en-AU"/>
              </w:rPr>
            </w:pPr>
            <w:r w:rsidRPr="008659FE">
              <w:rPr>
                <w:rFonts w:ascii="Arial" w:hAnsi="Arial"/>
                <w:sz w:val="16"/>
                <w:szCs w:val="16"/>
                <w:lang w:val="en-AU"/>
              </w:rPr>
              <w:t>WA - Brand</w:t>
            </w:r>
          </w:p>
        </w:tc>
        <w:tc>
          <w:tcPr>
            <w:tcW w:w="1191" w:type="dxa"/>
            <w:tcBorders>
              <w:top w:val="nil"/>
              <w:left w:val="nil"/>
              <w:bottom w:val="nil"/>
              <w:right w:val="nil"/>
            </w:tcBorders>
            <w:shd w:val="clear" w:color="FFFFFF" w:fill="auto"/>
            <w:vAlign w:val="bottom"/>
          </w:tcPr>
          <w:p w14:paraId="7DC816F5" w14:textId="77777777" w:rsidR="00E52F66" w:rsidRPr="00353F8D" w:rsidRDefault="00E52F66" w:rsidP="00E52F66">
            <w:pPr>
              <w:keepNext/>
              <w:keepLines/>
              <w:spacing w:before="0" w:after="0" w:line="276" w:lineRule="auto"/>
              <w:jc w:val="right"/>
              <w:rPr>
                <w:rFonts w:ascii="Arial" w:hAnsi="Arial"/>
                <w:b/>
                <w:bCs/>
                <w:sz w:val="16"/>
                <w:szCs w:val="16"/>
                <w:lang w:val="en-AU"/>
              </w:rPr>
            </w:pPr>
          </w:p>
        </w:tc>
        <w:tc>
          <w:tcPr>
            <w:tcW w:w="1413" w:type="dxa"/>
            <w:tcBorders>
              <w:top w:val="nil"/>
              <w:left w:val="nil"/>
              <w:bottom w:val="nil"/>
              <w:right w:val="nil"/>
            </w:tcBorders>
            <w:shd w:val="clear" w:color="auto" w:fill="auto"/>
            <w:vAlign w:val="bottom"/>
          </w:tcPr>
          <w:p w14:paraId="0025B06A" w14:textId="77777777" w:rsidR="00E52F66" w:rsidRPr="009E4B9D" w:rsidRDefault="00E52F66" w:rsidP="00E52F66">
            <w:pPr>
              <w:spacing w:before="0" w:after="0" w:line="276" w:lineRule="auto"/>
              <w:jc w:val="right"/>
              <w:rPr>
                <w:rFonts w:ascii="Arial" w:hAnsi="Arial"/>
                <w:sz w:val="16"/>
                <w:szCs w:val="16"/>
                <w:lang w:eastAsia="en-US"/>
              </w:rPr>
            </w:pPr>
            <w:r w:rsidRPr="009E4B9D">
              <w:rPr>
                <w:rFonts w:ascii="Arial" w:hAnsi="Arial"/>
                <w:sz w:val="16"/>
                <w:szCs w:val="16"/>
                <w:lang w:eastAsia="en-US"/>
              </w:rPr>
              <w:t>1.7</w:t>
            </w:r>
          </w:p>
        </w:tc>
        <w:tc>
          <w:tcPr>
            <w:tcW w:w="1195" w:type="dxa"/>
            <w:tcBorders>
              <w:top w:val="nil"/>
              <w:left w:val="nil"/>
              <w:bottom w:val="nil"/>
              <w:right w:val="nil"/>
            </w:tcBorders>
            <w:shd w:val="clear" w:color="auto" w:fill="auto"/>
            <w:vAlign w:val="bottom"/>
          </w:tcPr>
          <w:p w14:paraId="40ED8C47" w14:textId="77777777" w:rsidR="00E52F66" w:rsidRPr="009E4B9D" w:rsidRDefault="00E52F66" w:rsidP="00E52F66">
            <w:pPr>
              <w:spacing w:before="0" w:after="0" w:line="276" w:lineRule="auto"/>
              <w:jc w:val="right"/>
              <w:rPr>
                <w:rFonts w:ascii="Arial" w:hAnsi="Arial"/>
                <w:sz w:val="16"/>
                <w:szCs w:val="16"/>
                <w:lang w:eastAsia="en-US"/>
              </w:rPr>
            </w:pPr>
            <w:r w:rsidRPr="009E4B9D">
              <w:rPr>
                <w:rFonts w:ascii="Arial" w:hAnsi="Arial"/>
                <w:sz w:val="16"/>
                <w:szCs w:val="16"/>
                <w:lang w:eastAsia="en-US"/>
              </w:rPr>
              <w:t>1.5</w:t>
            </w:r>
          </w:p>
        </w:tc>
      </w:tr>
      <w:tr w:rsidR="00E52F66" w:rsidRPr="00BA1388" w14:paraId="49FA3DFA" w14:textId="77777777" w:rsidTr="00F600B5">
        <w:trPr>
          <w:trHeight w:val="227"/>
        </w:trPr>
        <w:tc>
          <w:tcPr>
            <w:tcW w:w="3085" w:type="dxa"/>
            <w:tcBorders>
              <w:top w:val="nil"/>
              <w:left w:val="nil"/>
              <w:bottom w:val="single" w:sz="4" w:space="0" w:color="auto"/>
              <w:right w:val="nil"/>
            </w:tcBorders>
            <w:shd w:val="clear" w:color="auto" w:fill="auto"/>
            <w:vAlign w:val="bottom"/>
          </w:tcPr>
          <w:p w14:paraId="3E5C98F0" w14:textId="77777777" w:rsidR="00E52F66" w:rsidRPr="008659FE" w:rsidRDefault="00E52F66" w:rsidP="00E52F66">
            <w:pPr>
              <w:keepNext/>
              <w:keepLines/>
              <w:spacing w:before="0" w:after="0" w:line="276" w:lineRule="auto"/>
              <w:rPr>
                <w:rFonts w:ascii="Arial" w:hAnsi="Arial"/>
                <w:b/>
                <w:sz w:val="16"/>
                <w:szCs w:val="16"/>
                <w:lang w:val="en-AU"/>
              </w:rPr>
            </w:pPr>
            <w:r w:rsidRPr="008659FE">
              <w:rPr>
                <w:rFonts w:ascii="Arial" w:hAnsi="Arial"/>
                <w:b/>
                <w:sz w:val="16"/>
                <w:szCs w:val="16"/>
                <w:lang w:val="en-AU"/>
              </w:rPr>
              <w:t>Total</w:t>
            </w:r>
          </w:p>
        </w:tc>
        <w:tc>
          <w:tcPr>
            <w:tcW w:w="1790" w:type="dxa"/>
            <w:tcBorders>
              <w:top w:val="nil"/>
              <w:left w:val="nil"/>
              <w:bottom w:val="single" w:sz="4" w:space="0" w:color="auto"/>
              <w:right w:val="nil"/>
            </w:tcBorders>
            <w:shd w:val="clear" w:color="FFFFFF" w:fill="auto"/>
            <w:vAlign w:val="bottom"/>
          </w:tcPr>
          <w:p w14:paraId="0163F1CE" w14:textId="77777777" w:rsidR="00E52F66" w:rsidRPr="008659FE" w:rsidRDefault="00E52F66" w:rsidP="00E52F66">
            <w:pPr>
              <w:keepNext/>
              <w:keepLines/>
              <w:spacing w:before="0" w:after="0" w:line="276" w:lineRule="auto"/>
              <w:jc w:val="right"/>
              <w:rPr>
                <w:rFonts w:ascii="Arial" w:hAnsi="Arial"/>
                <w:sz w:val="16"/>
                <w:szCs w:val="16"/>
                <w:lang w:val="en-AU"/>
              </w:rPr>
            </w:pPr>
          </w:p>
        </w:tc>
        <w:tc>
          <w:tcPr>
            <w:tcW w:w="1191" w:type="dxa"/>
            <w:tcBorders>
              <w:top w:val="nil"/>
              <w:left w:val="nil"/>
              <w:bottom w:val="single" w:sz="4" w:space="0" w:color="auto"/>
              <w:right w:val="nil"/>
            </w:tcBorders>
            <w:shd w:val="clear" w:color="FFFFFF" w:fill="auto"/>
            <w:vAlign w:val="bottom"/>
          </w:tcPr>
          <w:p w14:paraId="72400B4E" w14:textId="77777777" w:rsidR="00E52F66" w:rsidRPr="00353F8D" w:rsidRDefault="00E52F66" w:rsidP="00E52F66">
            <w:pPr>
              <w:keepNext/>
              <w:keepLines/>
              <w:spacing w:before="0" w:after="0" w:line="276" w:lineRule="auto"/>
              <w:jc w:val="right"/>
              <w:rPr>
                <w:rFonts w:ascii="Arial" w:hAnsi="Arial"/>
                <w:b/>
                <w:bCs/>
                <w:sz w:val="16"/>
                <w:szCs w:val="16"/>
                <w:lang w:val="en-AU"/>
              </w:rPr>
            </w:pPr>
            <w:r w:rsidRPr="00353F8D">
              <w:rPr>
                <w:rFonts w:ascii="Arial" w:hAnsi="Arial"/>
                <w:b/>
                <w:bCs/>
                <w:sz w:val="16"/>
                <w:szCs w:val="16"/>
                <w:lang w:val="en-AU"/>
              </w:rPr>
              <w:t>146.0</w:t>
            </w:r>
          </w:p>
        </w:tc>
        <w:tc>
          <w:tcPr>
            <w:tcW w:w="1413" w:type="dxa"/>
            <w:tcBorders>
              <w:top w:val="nil"/>
              <w:left w:val="nil"/>
              <w:bottom w:val="single" w:sz="4" w:space="0" w:color="auto"/>
              <w:right w:val="nil"/>
            </w:tcBorders>
            <w:shd w:val="clear" w:color="auto" w:fill="auto"/>
            <w:vAlign w:val="bottom"/>
          </w:tcPr>
          <w:p w14:paraId="1DFE9445" w14:textId="77777777" w:rsidR="00E52F66" w:rsidRPr="009E4B9D" w:rsidRDefault="00E52F66" w:rsidP="00E52F66">
            <w:pPr>
              <w:spacing w:before="0" w:after="0" w:line="276" w:lineRule="auto"/>
              <w:jc w:val="right"/>
              <w:rPr>
                <w:rFonts w:ascii="Arial" w:hAnsi="Arial"/>
                <w:b/>
                <w:sz w:val="16"/>
                <w:szCs w:val="16"/>
                <w:lang w:eastAsia="en-US"/>
              </w:rPr>
            </w:pPr>
            <w:r w:rsidRPr="009E4B9D">
              <w:rPr>
                <w:rFonts w:ascii="Arial" w:hAnsi="Arial"/>
                <w:b/>
                <w:sz w:val="16"/>
                <w:szCs w:val="16"/>
                <w:lang w:eastAsia="en-US"/>
              </w:rPr>
              <w:t>3.4</w:t>
            </w:r>
          </w:p>
        </w:tc>
        <w:tc>
          <w:tcPr>
            <w:tcW w:w="1195" w:type="dxa"/>
            <w:tcBorders>
              <w:top w:val="nil"/>
              <w:left w:val="nil"/>
              <w:bottom w:val="single" w:sz="4" w:space="0" w:color="auto"/>
              <w:right w:val="nil"/>
            </w:tcBorders>
            <w:shd w:val="clear" w:color="auto" w:fill="auto"/>
            <w:vAlign w:val="bottom"/>
          </w:tcPr>
          <w:p w14:paraId="4A8ACD7E" w14:textId="77777777" w:rsidR="00E52F66" w:rsidRPr="009E4B9D" w:rsidRDefault="00E52F66" w:rsidP="00E52F66">
            <w:pPr>
              <w:spacing w:before="0" w:after="0" w:line="276" w:lineRule="auto"/>
              <w:jc w:val="right"/>
              <w:rPr>
                <w:rFonts w:ascii="Arial" w:hAnsi="Arial"/>
                <w:b/>
                <w:sz w:val="16"/>
                <w:szCs w:val="16"/>
                <w:lang w:eastAsia="en-US"/>
              </w:rPr>
            </w:pPr>
            <w:r w:rsidRPr="009E4B9D">
              <w:rPr>
                <w:rFonts w:ascii="Arial" w:hAnsi="Arial"/>
                <w:b/>
                <w:sz w:val="16"/>
                <w:szCs w:val="16"/>
                <w:lang w:eastAsia="en-US"/>
              </w:rPr>
              <w:t>57.5</w:t>
            </w:r>
          </w:p>
        </w:tc>
      </w:tr>
      <w:tr w:rsidR="00E52F66" w:rsidRPr="00BA1388" w14:paraId="3AB48EE3" w14:textId="77777777" w:rsidTr="00F600B5">
        <w:trPr>
          <w:trHeight w:val="227"/>
        </w:trPr>
        <w:tc>
          <w:tcPr>
            <w:tcW w:w="3085" w:type="dxa"/>
            <w:tcBorders>
              <w:top w:val="single" w:sz="4" w:space="0" w:color="auto"/>
              <w:left w:val="nil"/>
              <w:bottom w:val="nil"/>
              <w:right w:val="nil"/>
            </w:tcBorders>
            <w:shd w:val="clear" w:color="auto" w:fill="auto"/>
            <w:vAlign w:val="bottom"/>
          </w:tcPr>
          <w:p w14:paraId="20288C8B" w14:textId="705DCBAD" w:rsidR="00E52F66" w:rsidRPr="008659FE" w:rsidRDefault="00E52F66" w:rsidP="00E52F66">
            <w:pPr>
              <w:spacing w:before="0" w:after="0" w:line="276" w:lineRule="auto"/>
              <w:rPr>
                <w:rFonts w:ascii="Arial" w:hAnsi="Arial"/>
                <w:b/>
                <w:bCs/>
                <w:sz w:val="16"/>
                <w:szCs w:val="16"/>
                <w:lang w:val="en-AU"/>
              </w:rPr>
            </w:pPr>
            <w:r w:rsidRPr="008659FE">
              <w:rPr>
                <w:rFonts w:ascii="Arial" w:hAnsi="Arial"/>
                <w:b/>
                <w:bCs/>
                <w:sz w:val="16"/>
                <w:szCs w:val="16"/>
                <w:lang w:val="en-AU"/>
              </w:rPr>
              <w:t>DEF</w:t>
            </w:r>
            <w:r w:rsidR="00A13DDC">
              <w:rPr>
                <w:rFonts w:ascii="Arial" w:hAnsi="Arial"/>
                <w:b/>
                <w:bCs/>
                <w:sz w:val="16"/>
                <w:szCs w:val="16"/>
                <w:lang w:val="en-AU"/>
              </w:rPr>
              <w:t xml:space="preserve"> </w:t>
            </w:r>
            <w:r w:rsidRPr="008659FE">
              <w:rPr>
                <w:rFonts w:ascii="Arial" w:hAnsi="Arial"/>
                <w:b/>
                <w:bCs/>
                <w:sz w:val="16"/>
                <w:szCs w:val="16"/>
                <w:lang w:val="en-AU"/>
              </w:rPr>
              <w:t>101 Data Centre Upgrade</w:t>
            </w:r>
          </w:p>
        </w:tc>
        <w:tc>
          <w:tcPr>
            <w:tcW w:w="1790" w:type="dxa"/>
            <w:tcBorders>
              <w:top w:val="single" w:sz="4" w:space="0" w:color="auto"/>
              <w:left w:val="nil"/>
              <w:bottom w:val="nil"/>
              <w:right w:val="nil"/>
            </w:tcBorders>
            <w:shd w:val="clear" w:color="FFFFFF" w:fill="auto"/>
            <w:vAlign w:val="bottom"/>
          </w:tcPr>
          <w:p w14:paraId="4EA4797A" w14:textId="77777777" w:rsidR="00E52F66" w:rsidRPr="008659FE" w:rsidRDefault="00E52F66" w:rsidP="00E52F66">
            <w:pPr>
              <w:spacing w:before="0" w:after="0" w:line="276" w:lineRule="auto"/>
              <w:jc w:val="right"/>
              <w:rPr>
                <w:rFonts w:ascii="Arial" w:hAnsi="Arial"/>
                <w:sz w:val="16"/>
                <w:szCs w:val="16"/>
                <w:lang w:val="en-AU"/>
              </w:rPr>
            </w:pPr>
          </w:p>
        </w:tc>
        <w:tc>
          <w:tcPr>
            <w:tcW w:w="1191" w:type="dxa"/>
            <w:tcBorders>
              <w:top w:val="single" w:sz="4" w:space="0" w:color="auto"/>
              <w:left w:val="nil"/>
              <w:bottom w:val="nil"/>
              <w:right w:val="nil"/>
            </w:tcBorders>
            <w:shd w:val="clear" w:color="FFFFFF" w:fill="auto"/>
            <w:vAlign w:val="bottom"/>
          </w:tcPr>
          <w:p w14:paraId="16D51404" w14:textId="77777777" w:rsidR="00E52F66" w:rsidRPr="00353F8D" w:rsidRDefault="00E52F66" w:rsidP="00E52F66">
            <w:pPr>
              <w:spacing w:before="0" w:after="0" w:line="276" w:lineRule="auto"/>
              <w:jc w:val="right"/>
              <w:rPr>
                <w:rFonts w:ascii="Arial" w:hAnsi="Arial"/>
                <w:b/>
                <w:sz w:val="16"/>
                <w:szCs w:val="16"/>
                <w:lang w:val="en-AU"/>
              </w:rPr>
            </w:pPr>
          </w:p>
        </w:tc>
        <w:tc>
          <w:tcPr>
            <w:tcW w:w="1413" w:type="dxa"/>
            <w:tcBorders>
              <w:top w:val="single" w:sz="4" w:space="0" w:color="auto"/>
              <w:left w:val="nil"/>
              <w:bottom w:val="nil"/>
              <w:right w:val="nil"/>
            </w:tcBorders>
            <w:shd w:val="clear" w:color="FFFFFF" w:fill="auto"/>
            <w:vAlign w:val="bottom"/>
          </w:tcPr>
          <w:p w14:paraId="076D9700" w14:textId="77777777" w:rsidR="00E52F66" w:rsidRPr="009E4B9D" w:rsidRDefault="00E52F66" w:rsidP="00E52F66">
            <w:pPr>
              <w:spacing w:before="0" w:after="0" w:line="276" w:lineRule="auto"/>
              <w:jc w:val="right"/>
              <w:rPr>
                <w:rFonts w:ascii="Arial" w:hAnsi="Arial"/>
                <w:b/>
                <w:sz w:val="16"/>
                <w:szCs w:val="16"/>
                <w:lang w:eastAsia="en-US"/>
              </w:rPr>
            </w:pPr>
          </w:p>
        </w:tc>
        <w:tc>
          <w:tcPr>
            <w:tcW w:w="1195" w:type="dxa"/>
            <w:tcBorders>
              <w:top w:val="single" w:sz="4" w:space="0" w:color="auto"/>
              <w:left w:val="nil"/>
              <w:bottom w:val="nil"/>
              <w:right w:val="nil"/>
            </w:tcBorders>
            <w:shd w:val="clear" w:color="FFFFFF" w:fill="auto"/>
            <w:vAlign w:val="bottom"/>
          </w:tcPr>
          <w:p w14:paraId="1246A1A9" w14:textId="77777777" w:rsidR="00E52F66" w:rsidRPr="009E4B9D" w:rsidRDefault="00E52F66" w:rsidP="00E52F66">
            <w:pPr>
              <w:spacing w:before="0" w:after="0" w:line="276" w:lineRule="auto"/>
              <w:jc w:val="right"/>
              <w:rPr>
                <w:rFonts w:ascii="Arial" w:hAnsi="Arial"/>
                <w:b/>
                <w:sz w:val="16"/>
                <w:szCs w:val="16"/>
                <w:lang w:eastAsia="en-US"/>
              </w:rPr>
            </w:pPr>
          </w:p>
        </w:tc>
      </w:tr>
      <w:tr w:rsidR="00E52F66" w:rsidRPr="00BA1388" w14:paraId="765E6FBA" w14:textId="77777777" w:rsidTr="00F600B5">
        <w:trPr>
          <w:trHeight w:val="227"/>
        </w:trPr>
        <w:tc>
          <w:tcPr>
            <w:tcW w:w="3085" w:type="dxa"/>
            <w:tcBorders>
              <w:top w:val="nil"/>
              <w:left w:val="nil"/>
              <w:bottom w:val="single" w:sz="4" w:space="0" w:color="auto"/>
              <w:right w:val="nil"/>
            </w:tcBorders>
            <w:shd w:val="clear" w:color="auto" w:fill="auto"/>
            <w:vAlign w:val="bottom"/>
          </w:tcPr>
          <w:p w14:paraId="3BDA60AC" w14:textId="77777777" w:rsidR="00E52F66" w:rsidRPr="008659FE" w:rsidRDefault="00E52F66" w:rsidP="00E52F66">
            <w:pPr>
              <w:spacing w:before="0" w:after="0" w:line="276" w:lineRule="auto"/>
              <w:ind w:left="179"/>
              <w:rPr>
                <w:rFonts w:ascii="Arial" w:hAnsi="Arial"/>
                <w:sz w:val="16"/>
                <w:szCs w:val="16"/>
                <w:lang w:val="en-AU"/>
              </w:rPr>
            </w:pPr>
            <w:r w:rsidRPr="008659FE">
              <w:rPr>
                <w:rFonts w:ascii="Arial" w:hAnsi="Arial"/>
                <w:sz w:val="16"/>
                <w:szCs w:val="16"/>
                <w:lang w:val="en-AU"/>
              </w:rPr>
              <w:t>HMAS</w:t>
            </w:r>
            <w:r w:rsidRPr="008659FE">
              <w:rPr>
                <w:rFonts w:ascii="Arial" w:hAnsi="Arial"/>
                <w:i/>
                <w:sz w:val="16"/>
                <w:szCs w:val="16"/>
                <w:lang w:val="en-AU"/>
              </w:rPr>
              <w:t xml:space="preserve"> Harman</w:t>
            </w:r>
          </w:p>
        </w:tc>
        <w:tc>
          <w:tcPr>
            <w:tcW w:w="1790" w:type="dxa"/>
            <w:tcBorders>
              <w:top w:val="nil"/>
              <w:left w:val="nil"/>
              <w:bottom w:val="single" w:sz="4" w:space="0" w:color="auto"/>
              <w:right w:val="nil"/>
            </w:tcBorders>
            <w:shd w:val="clear" w:color="FFFFFF" w:fill="auto"/>
            <w:vAlign w:val="bottom"/>
          </w:tcPr>
          <w:p w14:paraId="43BB87E4" w14:textId="77777777" w:rsidR="00E52F66" w:rsidRPr="008659FE" w:rsidRDefault="00E52F66" w:rsidP="00E52F66">
            <w:pPr>
              <w:spacing w:before="0" w:after="0" w:line="276" w:lineRule="auto"/>
              <w:jc w:val="right"/>
              <w:rPr>
                <w:rFonts w:ascii="Arial" w:hAnsi="Arial"/>
                <w:sz w:val="16"/>
                <w:szCs w:val="16"/>
                <w:lang w:val="en-AU"/>
              </w:rPr>
            </w:pPr>
            <w:r w:rsidRPr="008659FE">
              <w:rPr>
                <w:rFonts w:ascii="Arial" w:hAnsi="Arial"/>
                <w:sz w:val="16"/>
                <w:szCs w:val="16"/>
                <w:lang w:val="en-AU"/>
              </w:rPr>
              <w:t>ACT - Bean</w:t>
            </w:r>
          </w:p>
        </w:tc>
        <w:tc>
          <w:tcPr>
            <w:tcW w:w="1191" w:type="dxa"/>
            <w:tcBorders>
              <w:top w:val="nil"/>
              <w:left w:val="nil"/>
              <w:bottom w:val="single" w:sz="4" w:space="0" w:color="auto"/>
              <w:right w:val="nil"/>
            </w:tcBorders>
            <w:shd w:val="clear" w:color="FFFFFF" w:fill="auto"/>
            <w:vAlign w:val="bottom"/>
          </w:tcPr>
          <w:p w14:paraId="0C5914C4" w14:textId="77777777" w:rsidR="00E52F66" w:rsidRPr="00353F8D" w:rsidRDefault="00E52F66" w:rsidP="00E52F66">
            <w:pPr>
              <w:spacing w:before="0" w:after="0" w:line="276" w:lineRule="auto"/>
              <w:jc w:val="right"/>
              <w:rPr>
                <w:rFonts w:ascii="Arial" w:hAnsi="Arial"/>
                <w:b/>
                <w:sz w:val="16"/>
                <w:szCs w:val="16"/>
                <w:lang w:val="en-AU"/>
              </w:rPr>
            </w:pPr>
            <w:r w:rsidRPr="00353F8D">
              <w:rPr>
                <w:rFonts w:ascii="Arial" w:hAnsi="Arial"/>
                <w:b/>
                <w:sz w:val="16"/>
                <w:szCs w:val="16"/>
                <w:lang w:val="en-AU"/>
              </w:rPr>
              <w:t>131.5</w:t>
            </w:r>
          </w:p>
        </w:tc>
        <w:tc>
          <w:tcPr>
            <w:tcW w:w="1413" w:type="dxa"/>
            <w:tcBorders>
              <w:top w:val="nil"/>
              <w:left w:val="nil"/>
              <w:bottom w:val="single" w:sz="4" w:space="0" w:color="auto"/>
              <w:right w:val="nil"/>
            </w:tcBorders>
            <w:shd w:val="clear" w:color="auto" w:fill="auto"/>
            <w:vAlign w:val="bottom"/>
          </w:tcPr>
          <w:p w14:paraId="507E5C00" w14:textId="77777777" w:rsidR="00E52F66" w:rsidRPr="009E4B9D" w:rsidRDefault="00E52F66" w:rsidP="00E52F66">
            <w:pPr>
              <w:spacing w:before="0" w:after="0" w:line="276" w:lineRule="auto"/>
              <w:jc w:val="right"/>
              <w:rPr>
                <w:rFonts w:ascii="Arial" w:hAnsi="Arial"/>
                <w:b/>
                <w:sz w:val="16"/>
                <w:szCs w:val="16"/>
                <w:lang w:eastAsia="en-US"/>
              </w:rPr>
            </w:pPr>
            <w:r w:rsidRPr="009E4B9D">
              <w:rPr>
                <w:rFonts w:ascii="Arial" w:hAnsi="Arial"/>
                <w:b/>
                <w:sz w:val="16"/>
                <w:szCs w:val="16"/>
                <w:lang w:eastAsia="en-US"/>
              </w:rPr>
              <w:t>124.5</w:t>
            </w:r>
          </w:p>
        </w:tc>
        <w:tc>
          <w:tcPr>
            <w:tcW w:w="1195" w:type="dxa"/>
            <w:tcBorders>
              <w:top w:val="nil"/>
              <w:left w:val="nil"/>
              <w:bottom w:val="single" w:sz="4" w:space="0" w:color="auto"/>
              <w:right w:val="nil"/>
            </w:tcBorders>
            <w:shd w:val="clear" w:color="auto" w:fill="auto"/>
            <w:vAlign w:val="bottom"/>
          </w:tcPr>
          <w:p w14:paraId="1A9C39B4" w14:textId="77777777" w:rsidR="00E52F66" w:rsidRPr="009E4B9D" w:rsidRDefault="00E52F66" w:rsidP="00E52F66">
            <w:pPr>
              <w:spacing w:before="0" w:after="0" w:line="276" w:lineRule="auto"/>
              <w:jc w:val="right"/>
              <w:rPr>
                <w:rFonts w:ascii="Arial" w:hAnsi="Arial"/>
                <w:b/>
                <w:sz w:val="16"/>
                <w:szCs w:val="16"/>
                <w:lang w:eastAsia="en-US"/>
              </w:rPr>
            </w:pPr>
            <w:r w:rsidRPr="009E4B9D">
              <w:rPr>
                <w:rFonts w:ascii="Arial" w:hAnsi="Arial"/>
                <w:b/>
                <w:sz w:val="16"/>
                <w:szCs w:val="16"/>
                <w:lang w:eastAsia="en-US"/>
              </w:rPr>
              <w:t>0.0</w:t>
            </w:r>
          </w:p>
        </w:tc>
      </w:tr>
      <w:tr w:rsidR="00E52F66" w:rsidRPr="00BA1388" w14:paraId="6A2FD42F" w14:textId="77777777" w:rsidTr="00E52F66">
        <w:trPr>
          <w:trHeight w:val="227"/>
        </w:trPr>
        <w:tc>
          <w:tcPr>
            <w:tcW w:w="3085" w:type="dxa"/>
            <w:tcBorders>
              <w:top w:val="single" w:sz="4" w:space="0" w:color="auto"/>
              <w:left w:val="nil"/>
              <w:bottom w:val="nil"/>
              <w:right w:val="nil"/>
            </w:tcBorders>
            <w:shd w:val="clear" w:color="auto" w:fill="auto"/>
            <w:vAlign w:val="bottom"/>
          </w:tcPr>
          <w:p w14:paraId="1FF11B66" w14:textId="77777777" w:rsidR="00E52F66" w:rsidRPr="008659FE" w:rsidRDefault="00E52F66" w:rsidP="00E52F66">
            <w:pPr>
              <w:spacing w:before="0" w:after="0" w:line="276" w:lineRule="auto"/>
              <w:rPr>
                <w:rFonts w:ascii="Arial" w:hAnsi="Arial"/>
                <w:b/>
                <w:bCs/>
                <w:sz w:val="16"/>
                <w:szCs w:val="16"/>
                <w:lang w:val="en-AU"/>
              </w:rPr>
            </w:pPr>
            <w:r w:rsidRPr="008659FE">
              <w:rPr>
                <w:rFonts w:ascii="Arial" w:hAnsi="Arial"/>
                <w:b/>
                <w:bCs/>
                <w:sz w:val="16"/>
                <w:szCs w:val="16"/>
                <w:lang w:val="en-AU"/>
              </w:rPr>
              <w:t xml:space="preserve">Airfield Capital Works P0012 </w:t>
            </w:r>
            <w:r w:rsidRPr="008659FE">
              <w:rPr>
                <w:rFonts w:ascii="Arial" w:hAnsi="Arial"/>
                <w:b/>
                <w:bCs/>
                <w:sz w:val="16"/>
                <w:szCs w:val="16"/>
                <w:lang w:val="en-AU"/>
              </w:rPr>
              <w:br/>
              <w:t>(RAAF Townsville)</w:t>
            </w:r>
          </w:p>
        </w:tc>
        <w:tc>
          <w:tcPr>
            <w:tcW w:w="1790" w:type="dxa"/>
            <w:tcBorders>
              <w:top w:val="single" w:sz="4" w:space="0" w:color="auto"/>
              <w:left w:val="nil"/>
              <w:bottom w:val="nil"/>
              <w:right w:val="nil"/>
            </w:tcBorders>
            <w:shd w:val="clear" w:color="FFFFFF" w:fill="auto"/>
            <w:vAlign w:val="bottom"/>
          </w:tcPr>
          <w:p w14:paraId="7FB4D006" w14:textId="77777777" w:rsidR="00E52F66" w:rsidRPr="008659FE" w:rsidRDefault="00E52F66" w:rsidP="00E52F66">
            <w:pPr>
              <w:spacing w:before="0" w:after="0" w:line="276" w:lineRule="auto"/>
              <w:jc w:val="right"/>
              <w:rPr>
                <w:rFonts w:ascii="Arial" w:hAnsi="Arial"/>
                <w:b/>
                <w:sz w:val="16"/>
                <w:szCs w:val="16"/>
                <w:lang w:val="en-AU"/>
              </w:rPr>
            </w:pPr>
          </w:p>
          <w:p w14:paraId="569D6A51" w14:textId="77777777" w:rsidR="00E52F66" w:rsidRPr="008659FE" w:rsidRDefault="00E52F66" w:rsidP="00E52F66">
            <w:pPr>
              <w:spacing w:before="0" w:after="0" w:line="276" w:lineRule="auto"/>
              <w:jc w:val="right"/>
              <w:rPr>
                <w:rFonts w:ascii="Arial" w:hAnsi="Arial"/>
                <w:sz w:val="16"/>
                <w:szCs w:val="16"/>
                <w:lang w:val="en-AU"/>
              </w:rPr>
            </w:pPr>
          </w:p>
        </w:tc>
        <w:tc>
          <w:tcPr>
            <w:tcW w:w="1191" w:type="dxa"/>
            <w:tcBorders>
              <w:top w:val="single" w:sz="4" w:space="0" w:color="auto"/>
              <w:left w:val="nil"/>
              <w:bottom w:val="nil"/>
              <w:right w:val="nil"/>
            </w:tcBorders>
            <w:shd w:val="clear" w:color="FFFFFF" w:fill="auto"/>
            <w:vAlign w:val="bottom"/>
          </w:tcPr>
          <w:p w14:paraId="7004943E" w14:textId="77777777" w:rsidR="00E52F66" w:rsidRPr="00353F8D" w:rsidRDefault="00E52F66" w:rsidP="00E52F66">
            <w:pPr>
              <w:spacing w:before="0" w:after="0" w:line="276" w:lineRule="auto"/>
              <w:jc w:val="right"/>
              <w:rPr>
                <w:rFonts w:ascii="Arial" w:hAnsi="Arial"/>
                <w:b/>
                <w:bCs/>
                <w:sz w:val="16"/>
                <w:szCs w:val="16"/>
                <w:lang w:val="en-AU"/>
              </w:rPr>
            </w:pPr>
          </w:p>
          <w:p w14:paraId="7AB80129" w14:textId="77777777" w:rsidR="00E52F66" w:rsidRPr="00353F8D" w:rsidRDefault="00E52F66" w:rsidP="00E52F66">
            <w:pPr>
              <w:spacing w:before="0" w:after="0" w:line="276" w:lineRule="auto"/>
              <w:jc w:val="right"/>
              <w:rPr>
                <w:rFonts w:ascii="Arial" w:hAnsi="Arial"/>
                <w:b/>
                <w:bCs/>
                <w:sz w:val="16"/>
                <w:szCs w:val="16"/>
                <w:lang w:val="en-AU"/>
              </w:rPr>
            </w:pPr>
          </w:p>
        </w:tc>
        <w:tc>
          <w:tcPr>
            <w:tcW w:w="1413" w:type="dxa"/>
            <w:tcBorders>
              <w:top w:val="single" w:sz="4" w:space="0" w:color="auto"/>
              <w:left w:val="nil"/>
              <w:bottom w:val="nil"/>
              <w:right w:val="nil"/>
            </w:tcBorders>
            <w:shd w:val="clear" w:color="auto" w:fill="auto"/>
            <w:vAlign w:val="bottom"/>
          </w:tcPr>
          <w:p w14:paraId="00117ECE" w14:textId="77777777" w:rsidR="00E52F66" w:rsidRPr="009E4B9D" w:rsidRDefault="00E52F66" w:rsidP="00E52F66">
            <w:pPr>
              <w:spacing w:before="0" w:after="0" w:line="276" w:lineRule="auto"/>
              <w:jc w:val="right"/>
              <w:rPr>
                <w:rFonts w:ascii="Arial" w:hAnsi="Arial"/>
                <w:b/>
                <w:sz w:val="16"/>
                <w:szCs w:val="16"/>
                <w:lang w:eastAsia="en-US"/>
              </w:rPr>
            </w:pPr>
          </w:p>
        </w:tc>
        <w:tc>
          <w:tcPr>
            <w:tcW w:w="1195" w:type="dxa"/>
            <w:tcBorders>
              <w:top w:val="single" w:sz="4" w:space="0" w:color="auto"/>
              <w:left w:val="nil"/>
              <w:bottom w:val="nil"/>
              <w:right w:val="nil"/>
            </w:tcBorders>
            <w:shd w:val="clear" w:color="auto" w:fill="auto"/>
            <w:vAlign w:val="bottom"/>
          </w:tcPr>
          <w:p w14:paraId="3A3A5085" w14:textId="77777777" w:rsidR="00E52F66" w:rsidRPr="009E4B9D" w:rsidRDefault="00E52F66" w:rsidP="00E52F66">
            <w:pPr>
              <w:spacing w:before="0" w:after="0" w:line="276" w:lineRule="auto"/>
              <w:jc w:val="right"/>
              <w:rPr>
                <w:rFonts w:ascii="Arial" w:hAnsi="Arial"/>
                <w:b/>
                <w:sz w:val="16"/>
                <w:szCs w:val="16"/>
                <w:lang w:eastAsia="en-US"/>
              </w:rPr>
            </w:pPr>
          </w:p>
        </w:tc>
      </w:tr>
      <w:tr w:rsidR="00E52F66" w:rsidRPr="00BA1388" w14:paraId="144F6CF1" w14:textId="77777777" w:rsidTr="00E52F66">
        <w:trPr>
          <w:trHeight w:val="227"/>
        </w:trPr>
        <w:tc>
          <w:tcPr>
            <w:tcW w:w="3085" w:type="dxa"/>
            <w:tcBorders>
              <w:top w:val="nil"/>
              <w:left w:val="nil"/>
              <w:bottom w:val="single" w:sz="4" w:space="0" w:color="auto"/>
              <w:right w:val="nil"/>
            </w:tcBorders>
            <w:shd w:val="clear" w:color="auto" w:fill="auto"/>
            <w:vAlign w:val="bottom"/>
          </w:tcPr>
          <w:p w14:paraId="47EBFCB2" w14:textId="77777777" w:rsidR="00E52F66" w:rsidRPr="008659FE" w:rsidRDefault="00E52F66" w:rsidP="00E52F66">
            <w:pPr>
              <w:spacing w:before="0" w:after="0" w:line="276" w:lineRule="auto"/>
              <w:ind w:left="179"/>
              <w:rPr>
                <w:rFonts w:ascii="Arial" w:hAnsi="Arial"/>
                <w:b/>
                <w:bCs/>
                <w:sz w:val="16"/>
                <w:szCs w:val="16"/>
                <w:lang w:val="en-AU"/>
              </w:rPr>
            </w:pPr>
            <w:r w:rsidRPr="008659FE">
              <w:rPr>
                <w:rFonts w:ascii="Arial" w:hAnsi="Arial"/>
                <w:sz w:val="16"/>
                <w:szCs w:val="16"/>
                <w:lang w:val="en-AU"/>
              </w:rPr>
              <w:t>RAAF Townsville</w:t>
            </w:r>
          </w:p>
        </w:tc>
        <w:tc>
          <w:tcPr>
            <w:tcW w:w="1790" w:type="dxa"/>
            <w:tcBorders>
              <w:top w:val="nil"/>
              <w:left w:val="nil"/>
              <w:bottom w:val="single" w:sz="4" w:space="0" w:color="auto"/>
              <w:right w:val="nil"/>
            </w:tcBorders>
            <w:shd w:val="clear" w:color="FFFFFF" w:fill="auto"/>
            <w:vAlign w:val="bottom"/>
          </w:tcPr>
          <w:p w14:paraId="434A088A" w14:textId="77777777" w:rsidR="00E52F66" w:rsidRPr="008659FE" w:rsidRDefault="00E52F66" w:rsidP="00E52F66">
            <w:pPr>
              <w:spacing w:before="0" w:after="0" w:line="276" w:lineRule="auto"/>
              <w:jc w:val="right"/>
              <w:rPr>
                <w:rFonts w:ascii="Arial" w:hAnsi="Arial"/>
                <w:b/>
                <w:sz w:val="16"/>
                <w:szCs w:val="16"/>
                <w:lang w:val="en-AU"/>
              </w:rPr>
            </w:pPr>
            <w:r w:rsidRPr="008659FE">
              <w:rPr>
                <w:rFonts w:ascii="Arial" w:hAnsi="Arial"/>
                <w:sz w:val="16"/>
                <w:szCs w:val="16"/>
                <w:lang w:val="en-AU"/>
              </w:rPr>
              <w:t>QLD - Herbert</w:t>
            </w:r>
          </w:p>
        </w:tc>
        <w:tc>
          <w:tcPr>
            <w:tcW w:w="1191" w:type="dxa"/>
            <w:tcBorders>
              <w:top w:val="nil"/>
              <w:left w:val="nil"/>
              <w:bottom w:val="single" w:sz="4" w:space="0" w:color="auto"/>
              <w:right w:val="nil"/>
            </w:tcBorders>
            <w:shd w:val="clear" w:color="FFFFFF" w:fill="auto"/>
            <w:vAlign w:val="bottom"/>
          </w:tcPr>
          <w:p w14:paraId="0A3661BD" w14:textId="77777777" w:rsidR="00E52F66" w:rsidRPr="00353F8D" w:rsidRDefault="00E52F66" w:rsidP="00E52F66">
            <w:pPr>
              <w:spacing w:before="0" w:after="0" w:line="276" w:lineRule="auto"/>
              <w:jc w:val="right"/>
              <w:rPr>
                <w:rFonts w:ascii="Arial" w:hAnsi="Arial"/>
                <w:b/>
                <w:bCs/>
                <w:sz w:val="16"/>
                <w:szCs w:val="16"/>
                <w:lang w:val="en-AU"/>
              </w:rPr>
            </w:pPr>
            <w:r w:rsidRPr="00353F8D">
              <w:rPr>
                <w:rFonts w:ascii="Arial" w:hAnsi="Arial"/>
                <w:b/>
                <w:bCs/>
                <w:sz w:val="16"/>
                <w:szCs w:val="16"/>
                <w:lang w:val="en-AU"/>
              </w:rPr>
              <w:t>127.6</w:t>
            </w:r>
          </w:p>
        </w:tc>
        <w:tc>
          <w:tcPr>
            <w:tcW w:w="1413" w:type="dxa"/>
            <w:tcBorders>
              <w:top w:val="nil"/>
              <w:left w:val="nil"/>
              <w:bottom w:val="single" w:sz="4" w:space="0" w:color="auto"/>
              <w:right w:val="nil"/>
            </w:tcBorders>
            <w:shd w:val="clear" w:color="auto" w:fill="auto"/>
            <w:vAlign w:val="bottom"/>
          </w:tcPr>
          <w:p w14:paraId="63504DB3" w14:textId="77777777" w:rsidR="00E52F66" w:rsidRPr="009E4B9D" w:rsidRDefault="00E52F66" w:rsidP="00E52F66">
            <w:pPr>
              <w:spacing w:before="0" w:after="0" w:line="276" w:lineRule="auto"/>
              <w:jc w:val="right"/>
              <w:rPr>
                <w:rFonts w:ascii="Arial" w:hAnsi="Arial"/>
                <w:b/>
                <w:sz w:val="16"/>
                <w:szCs w:val="16"/>
                <w:lang w:eastAsia="en-US"/>
              </w:rPr>
            </w:pPr>
            <w:r w:rsidRPr="009E4B9D">
              <w:rPr>
                <w:rFonts w:ascii="Arial" w:hAnsi="Arial"/>
                <w:b/>
                <w:sz w:val="16"/>
                <w:szCs w:val="16"/>
                <w:lang w:eastAsia="en-US"/>
              </w:rPr>
              <w:t>5.2</w:t>
            </w:r>
          </w:p>
        </w:tc>
        <w:tc>
          <w:tcPr>
            <w:tcW w:w="1195" w:type="dxa"/>
            <w:tcBorders>
              <w:top w:val="nil"/>
              <w:left w:val="nil"/>
              <w:bottom w:val="single" w:sz="4" w:space="0" w:color="auto"/>
              <w:right w:val="nil"/>
            </w:tcBorders>
            <w:shd w:val="clear" w:color="auto" w:fill="auto"/>
            <w:vAlign w:val="bottom"/>
          </w:tcPr>
          <w:p w14:paraId="1AC1B528" w14:textId="77777777" w:rsidR="00E52F66" w:rsidRPr="009E4B9D" w:rsidRDefault="00E52F66" w:rsidP="00E52F66">
            <w:pPr>
              <w:spacing w:before="0" w:after="0" w:line="276" w:lineRule="auto"/>
              <w:jc w:val="right"/>
              <w:rPr>
                <w:rFonts w:ascii="Arial" w:hAnsi="Arial"/>
                <w:b/>
                <w:sz w:val="16"/>
                <w:szCs w:val="16"/>
                <w:lang w:eastAsia="en-US"/>
              </w:rPr>
            </w:pPr>
            <w:r w:rsidRPr="009E4B9D">
              <w:rPr>
                <w:rFonts w:ascii="Arial" w:hAnsi="Arial"/>
                <w:b/>
                <w:sz w:val="16"/>
                <w:szCs w:val="16"/>
                <w:lang w:eastAsia="en-US"/>
              </w:rPr>
              <w:t>59.9</w:t>
            </w:r>
          </w:p>
        </w:tc>
      </w:tr>
      <w:tr w:rsidR="00E52F66" w:rsidRPr="00BA1388" w14:paraId="1B8016EF" w14:textId="77777777" w:rsidTr="00F600B5">
        <w:trPr>
          <w:trHeight w:val="227"/>
        </w:trPr>
        <w:tc>
          <w:tcPr>
            <w:tcW w:w="3085" w:type="dxa"/>
            <w:tcBorders>
              <w:top w:val="single" w:sz="4" w:space="0" w:color="auto"/>
              <w:left w:val="nil"/>
              <w:bottom w:val="nil"/>
              <w:right w:val="nil"/>
            </w:tcBorders>
            <w:shd w:val="clear" w:color="auto" w:fill="auto"/>
            <w:vAlign w:val="bottom"/>
          </w:tcPr>
          <w:p w14:paraId="46130FE0" w14:textId="77777777" w:rsidR="00E52F66" w:rsidRPr="008659FE" w:rsidRDefault="00E52F66" w:rsidP="00E52F66">
            <w:pPr>
              <w:spacing w:before="0" w:after="0" w:line="276" w:lineRule="auto"/>
              <w:rPr>
                <w:rFonts w:ascii="Arial" w:hAnsi="Arial"/>
                <w:sz w:val="16"/>
                <w:szCs w:val="16"/>
                <w:lang w:val="en-AU"/>
              </w:rPr>
            </w:pPr>
            <w:r w:rsidRPr="008659FE">
              <w:rPr>
                <w:rFonts w:ascii="Arial" w:hAnsi="Arial"/>
                <w:b/>
                <w:bCs/>
                <w:sz w:val="16"/>
                <w:szCs w:val="16"/>
                <w:lang w:val="en-AU"/>
              </w:rPr>
              <w:t xml:space="preserve">HMAS </w:t>
            </w:r>
            <w:r w:rsidRPr="008659FE">
              <w:rPr>
                <w:rFonts w:ascii="Arial" w:hAnsi="Arial"/>
                <w:b/>
                <w:bCs/>
                <w:i/>
                <w:sz w:val="16"/>
                <w:szCs w:val="16"/>
                <w:lang w:val="en-AU"/>
              </w:rPr>
              <w:t>Harman</w:t>
            </w:r>
            <w:r w:rsidRPr="008659FE">
              <w:rPr>
                <w:rFonts w:ascii="Arial" w:hAnsi="Arial"/>
                <w:b/>
                <w:bCs/>
                <w:sz w:val="16"/>
                <w:szCs w:val="16"/>
                <w:lang w:val="en-AU"/>
              </w:rPr>
              <w:t xml:space="preserve"> Redevelopment</w:t>
            </w:r>
          </w:p>
        </w:tc>
        <w:tc>
          <w:tcPr>
            <w:tcW w:w="1790" w:type="dxa"/>
            <w:tcBorders>
              <w:top w:val="single" w:sz="4" w:space="0" w:color="auto"/>
              <w:left w:val="nil"/>
              <w:bottom w:val="nil"/>
              <w:right w:val="nil"/>
            </w:tcBorders>
            <w:shd w:val="clear" w:color="FFFFFF" w:fill="auto"/>
            <w:vAlign w:val="bottom"/>
          </w:tcPr>
          <w:p w14:paraId="6454D24C" w14:textId="77777777" w:rsidR="00E52F66" w:rsidRPr="008659FE" w:rsidRDefault="00E52F66" w:rsidP="00E52F66">
            <w:pPr>
              <w:spacing w:before="0" w:after="0" w:line="276" w:lineRule="auto"/>
              <w:jc w:val="right"/>
              <w:rPr>
                <w:rFonts w:ascii="Arial" w:hAnsi="Arial"/>
                <w:b/>
                <w:sz w:val="16"/>
                <w:szCs w:val="16"/>
                <w:lang w:val="en-AU"/>
              </w:rPr>
            </w:pPr>
          </w:p>
        </w:tc>
        <w:tc>
          <w:tcPr>
            <w:tcW w:w="1191" w:type="dxa"/>
            <w:tcBorders>
              <w:top w:val="single" w:sz="4" w:space="0" w:color="auto"/>
              <w:left w:val="nil"/>
              <w:bottom w:val="nil"/>
              <w:right w:val="nil"/>
            </w:tcBorders>
            <w:shd w:val="clear" w:color="FFFFFF" w:fill="auto"/>
            <w:vAlign w:val="bottom"/>
          </w:tcPr>
          <w:p w14:paraId="2514AA38" w14:textId="77777777" w:rsidR="00E52F66" w:rsidRPr="00353F8D" w:rsidRDefault="00E52F66" w:rsidP="00E52F66">
            <w:pPr>
              <w:spacing w:before="0" w:after="0" w:line="276" w:lineRule="auto"/>
              <w:jc w:val="right"/>
              <w:rPr>
                <w:rFonts w:ascii="Arial" w:hAnsi="Arial"/>
                <w:b/>
                <w:bCs/>
                <w:sz w:val="16"/>
                <w:szCs w:val="16"/>
                <w:lang w:val="en-AU"/>
              </w:rPr>
            </w:pPr>
          </w:p>
        </w:tc>
        <w:tc>
          <w:tcPr>
            <w:tcW w:w="1413" w:type="dxa"/>
            <w:tcBorders>
              <w:top w:val="single" w:sz="4" w:space="0" w:color="auto"/>
              <w:left w:val="nil"/>
              <w:bottom w:val="nil"/>
              <w:right w:val="nil"/>
            </w:tcBorders>
            <w:shd w:val="clear" w:color="auto" w:fill="auto"/>
            <w:vAlign w:val="bottom"/>
          </w:tcPr>
          <w:p w14:paraId="24D2DC72" w14:textId="77777777" w:rsidR="00E52F66" w:rsidRPr="009E4B9D" w:rsidRDefault="00E52F66" w:rsidP="00E52F66">
            <w:pPr>
              <w:spacing w:before="0" w:after="0" w:line="276" w:lineRule="auto"/>
              <w:jc w:val="right"/>
              <w:rPr>
                <w:rFonts w:ascii="Arial" w:hAnsi="Arial"/>
                <w:b/>
                <w:sz w:val="16"/>
                <w:szCs w:val="16"/>
                <w:lang w:eastAsia="en-US"/>
              </w:rPr>
            </w:pPr>
          </w:p>
        </w:tc>
        <w:tc>
          <w:tcPr>
            <w:tcW w:w="1195" w:type="dxa"/>
            <w:tcBorders>
              <w:top w:val="single" w:sz="4" w:space="0" w:color="auto"/>
              <w:left w:val="nil"/>
              <w:bottom w:val="nil"/>
              <w:right w:val="nil"/>
            </w:tcBorders>
            <w:shd w:val="clear" w:color="auto" w:fill="auto"/>
            <w:vAlign w:val="bottom"/>
          </w:tcPr>
          <w:p w14:paraId="485FBA6F" w14:textId="77777777" w:rsidR="00E52F66" w:rsidRPr="009E4B9D" w:rsidRDefault="00E52F66" w:rsidP="00E52F66">
            <w:pPr>
              <w:spacing w:before="0" w:after="0" w:line="276" w:lineRule="auto"/>
              <w:jc w:val="right"/>
              <w:rPr>
                <w:rFonts w:ascii="Arial" w:hAnsi="Arial"/>
                <w:b/>
                <w:sz w:val="16"/>
                <w:szCs w:val="16"/>
                <w:lang w:eastAsia="en-US"/>
              </w:rPr>
            </w:pPr>
          </w:p>
        </w:tc>
      </w:tr>
      <w:tr w:rsidR="00E52F66" w:rsidRPr="00BA1388" w14:paraId="7B245C7E" w14:textId="77777777" w:rsidTr="00F600B5">
        <w:trPr>
          <w:trHeight w:val="227"/>
        </w:trPr>
        <w:tc>
          <w:tcPr>
            <w:tcW w:w="3085" w:type="dxa"/>
            <w:tcBorders>
              <w:top w:val="nil"/>
              <w:left w:val="nil"/>
              <w:bottom w:val="single" w:sz="4" w:space="0" w:color="auto"/>
              <w:right w:val="nil"/>
            </w:tcBorders>
            <w:shd w:val="clear" w:color="auto" w:fill="auto"/>
            <w:vAlign w:val="bottom"/>
          </w:tcPr>
          <w:p w14:paraId="1BFC83CD" w14:textId="77777777" w:rsidR="00E52F66" w:rsidRPr="008659FE" w:rsidRDefault="00E52F66" w:rsidP="00E52F66">
            <w:pPr>
              <w:spacing w:before="0" w:after="0" w:line="276" w:lineRule="auto"/>
              <w:ind w:left="179"/>
              <w:rPr>
                <w:rFonts w:ascii="Arial" w:hAnsi="Arial"/>
                <w:b/>
                <w:bCs/>
                <w:sz w:val="16"/>
                <w:szCs w:val="16"/>
                <w:lang w:val="en-AU"/>
              </w:rPr>
            </w:pPr>
            <w:r w:rsidRPr="008659FE">
              <w:rPr>
                <w:rFonts w:ascii="Arial" w:hAnsi="Arial"/>
                <w:sz w:val="16"/>
                <w:szCs w:val="16"/>
                <w:lang w:val="en-AU"/>
              </w:rPr>
              <w:t>HMAS</w:t>
            </w:r>
            <w:r w:rsidRPr="008659FE">
              <w:rPr>
                <w:rFonts w:ascii="Arial" w:hAnsi="Arial"/>
                <w:i/>
                <w:sz w:val="16"/>
                <w:szCs w:val="16"/>
                <w:lang w:val="en-AU"/>
              </w:rPr>
              <w:t xml:space="preserve"> Harman</w:t>
            </w:r>
          </w:p>
        </w:tc>
        <w:tc>
          <w:tcPr>
            <w:tcW w:w="1790" w:type="dxa"/>
            <w:tcBorders>
              <w:top w:val="nil"/>
              <w:left w:val="nil"/>
              <w:bottom w:val="single" w:sz="4" w:space="0" w:color="auto"/>
              <w:right w:val="nil"/>
            </w:tcBorders>
            <w:shd w:val="clear" w:color="FFFFFF" w:fill="auto"/>
            <w:vAlign w:val="bottom"/>
          </w:tcPr>
          <w:p w14:paraId="4159130F" w14:textId="77777777" w:rsidR="00E52F66" w:rsidRPr="008659FE" w:rsidRDefault="00E52F66" w:rsidP="00E52F66">
            <w:pPr>
              <w:spacing w:before="0" w:after="0" w:line="276" w:lineRule="auto"/>
              <w:jc w:val="right"/>
              <w:rPr>
                <w:rFonts w:ascii="Arial" w:hAnsi="Arial"/>
                <w:sz w:val="16"/>
                <w:szCs w:val="16"/>
                <w:lang w:val="en-AU"/>
              </w:rPr>
            </w:pPr>
            <w:r w:rsidRPr="008659FE">
              <w:rPr>
                <w:rFonts w:ascii="Arial" w:hAnsi="Arial"/>
                <w:sz w:val="16"/>
                <w:szCs w:val="16"/>
                <w:lang w:val="en-AU"/>
              </w:rPr>
              <w:t>ACT - Bean</w:t>
            </w:r>
          </w:p>
        </w:tc>
        <w:tc>
          <w:tcPr>
            <w:tcW w:w="1191" w:type="dxa"/>
            <w:tcBorders>
              <w:top w:val="nil"/>
              <w:left w:val="nil"/>
              <w:bottom w:val="single" w:sz="4" w:space="0" w:color="auto"/>
              <w:right w:val="nil"/>
            </w:tcBorders>
            <w:shd w:val="clear" w:color="FFFFFF" w:fill="auto"/>
            <w:vAlign w:val="bottom"/>
          </w:tcPr>
          <w:p w14:paraId="113CFA26" w14:textId="77777777" w:rsidR="00E52F66" w:rsidRPr="00353F8D" w:rsidRDefault="00E52F66" w:rsidP="00E52F66">
            <w:pPr>
              <w:spacing w:before="0" w:after="0" w:line="276" w:lineRule="auto"/>
              <w:jc w:val="right"/>
              <w:rPr>
                <w:rFonts w:ascii="Arial" w:hAnsi="Arial"/>
                <w:b/>
                <w:sz w:val="16"/>
                <w:szCs w:val="16"/>
                <w:lang w:val="en-AU"/>
              </w:rPr>
            </w:pPr>
            <w:r w:rsidRPr="00353F8D">
              <w:rPr>
                <w:rFonts w:ascii="Arial" w:hAnsi="Arial"/>
                <w:b/>
                <w:sz w:val="16"/>
                <w:szCs w:val="16"/>
                <w:lang w:val="en-AU"/>
              </w:rPr>
              <w:t>116.4</w:t>
            </w:r>
          </w:p>
        </w:tc>
        <w:tc>
          <w:tcPr>
            <w:tcW w:w="1413" w:type="dxa"/>
            <w:tcBorders>
              <w:top w:val="nil"/>
              <w:left w:val="nil"/>
              <w:bottom w:val="single" w:sz="4" w:space="0" w:color="auto"/>
              <w:right w:val="nil"/>
            </w:tcBorders>
            <w:shd w:val="clear" w:color="auto" w:fill="auto"/>
            <w:vAlign w:val="bottom"/>
          </w:tcPr>
          <w:p w14:paraId="6B553328" w14:textId="77777777" w:rsidR="00E52F66" w:rsidRPr="009E4B9D" w:rsidRDefault="00E52F66" w:rsidP="00E52F66">
            <w:pPr>
              <w:spacing w:before="0" w:after="0" w:line="276" w:lineRule="auto"/>
              <w:jc w:val="right"/>
              <w:rPr>
                <w:rFonts w:ascii="Arial" w:hAnsi="Arial"/>
                <w:b/>
                <w:sz w:val="16"/>
                <w:szCs w:val="16"/>
                <w:lang w:eastAsia="en-US"/>
              </w:rPr>
            </w:pPr>
            <w:r w:rsidRPr="009E4B9D">
              <w:rPr>
                <w:rFonts w:ascii="Arial" w:hAnsi="Arial"/>
                <w:b/>
                <w:sz w:val="16"/>
                <w:szCs w:val="16"/>
                <w:lang w:eastAsia="en-US"/>
              </w:rPr>
              <w:t>43.5</w:t>
            </w:r>
          </w:p>
        </w:tc>
        <w:tc>
          <w:tcPr>
            <w:tcW w:w="1195" w:type="dxa"/>
            <w:tcBorders>
              <w:top w:val="nil"/>
              <w:left w:val="nil"/>
              <w:bottom w:val="single" w:sz="4" w:space="0" w:color="auto"/>
              <w:right w:val="nil"/>
            </w:tcBorders>
            <w:shd w:val="clear" w:color="auto" w:fill="auto"/>
            <w:vAlign w:val="bottom"/>
          </w:tcPr>
          <w:p w14:paraId="3E987DF1" w14:textId="77777777" w:rsidR="00E52F66" w:rsidRPr="009E4B9D" w:rsidRDefault="00E52F66" w:rsidP="00E52F66">
            <w:pPr>
              <w:spacing w:before="0" w:after="0" w:line="276" w:lineRule="auto"/>
              <w:jc w:val="right"/>
              <w:rPr>
                <w:rFonts w:ascii="Arial" w:hAnsi="Arial"/>
                <w:b/>
                <w:sz w:val="16"/>
                <w:szCs w:val="16"/>
                <w:lang w:eastAsia="en-US"/>
              </w:rPr>
            </w:pPr>
            <w:r w:rsidRPr="009E4B9D">
              <w:rPr>
                <w:rFonts w:ascii="Arial" w:hAnsi="Arial"/>
                <w:b/>
                <w:sz w:val="16"/>
                <w:szCs w:val="16"/>
                <w:lang w:eastAsia="en-US"/>
              </w:rPr>
              <w:t>53.1</w:t>
            </w:r>
          </w:p>
        </w:tc>
      </w:tr>
      <w:tr w:rsidR="00E52F66" w:rsidRPr="00BA1388" w14:paraId="3548576C" w14:textId="77777777" w:rsidTr="00F600B5">
        <w:trPr>
          <w:trHeight w:val="227"/>
        </w:trPr>
        <w:tc>
          <w:tcPr>
            <w:tcW w:w="3085" w:type="dxa"/>
            <w:tcBorders>
              <w:top w:val="single" w:sz="4" w:space="0" w:color="auto"/>
              <w:left w:val="nil"/>
              <w:bottom w:val="nil"/>
              <w:right w:val="nil"/>
            </w:tcBorders>
            <w:shd w:val="clear" w:color="auto" w:fill="auto"/>
            <w:vAlign w:val="bottom"/>
          </w:tcPr>
          <w:p w14:paraId="3CFD34BA" w14:textId="77777777" w:rsidR="00E52F66" w:rsidRPr="008659FE" w:rsidRDefault="00E52F66" w:rsidP="00E52F66">
            <w:pPr>
              <w:spacing w:before="0" w:after="0" w:line="276" w:lineRule="auto"/>
              <w:rPr>
                <w:rFonts w:ascii="Arial" w:hAnsi="Arial"/>
                <w:b/>
                <w:bCs/>
                <w:sz w:val="16"/>
                <w:szCs w:val="16"/>
                <w:lang w:val="en-AU"/>
              </w:rPr>
            </w:pPr>
            <w:r w:rsidRPr="008659FE">
              <w:rPr>
                <w:rFonts w:ascii="Arial" w:hAnsi="Arial"/>
                <w:b/>
                <w:bCs/>
                <w:sz w:val="16"/>
                <w:szCs w:val="16"/>
                <w:lang w:val="en-AU"/>
              </w:rPr>
              <w:t>Armoured Fighting Vehicles Facilities Program Stage 2</w:t>
            </w:r>
          </w:p>
        </w:tc>
        <w:tc>
          <w:tcPr>
            <w:tcW w:w="1790" w:type="dxa"/>
            <w:tcBorders>
              <w:top w:val="single" w:sz="4" w:space="0" w:color="auto"/>
              <w:left w:val="nil"/>
              <w:bottom w:val="nil"/>
              <w:right w:val="nil"/>
            </w:tcBorders>
            <w:shd w:val="clear" w:color="FFFFFF" w:fill="auto"/>
            <w:vAlign w:val="bottom"/>
          </w:tcPr>
          <w:p w14:paraId="58DC8D39" w14:textId="77777777" w:rsidR="00E52F66" w:rsidRPr="008659FE" w:rsidRDefault="00E52F66" w:rsidP="00E52F66">
            <w:pPr>
              <w:spacing w:before="0" w:after="0" w:line="276" w:lineRule="auto"/>
              <w:jc w:val="right"/>
              <w:rPr>
                <w:rFonts w:ascii="Arial" w:hAnsi="Arial"/>
                <w:color w:val="000000"/>
                <w:sz w:val="16"/>
                <w:szCs w:val="16"/>
                <w:lang w:val="en-AU"/>
              </w:rPr>
            </w:pPr>
          </w:p>
        </w:tc>
        <w:tc>
          <w:tcPr>
            <w:tcW w:w="1191" w:type="dxa"/>
            <w:tcBorders>
              <w:top w:val="single" w:sz="4" w:space="0" w:color="auto"/>
              <w:left w:val="nil"/>
              <w:bottom w:val="nil"/>
              <w:right w:val="nil"/>
            </w:tcBorders>
            <w:shd w:val="clear" w:color="FFFFFF" w:fill="auto"/>
            <w:vAlign w:val="bottom"/>
          </w:tcPr>
          <w:p w14:paraId="2022B2C1" w14:textId="77777777" w:rsidR="00E52F66" w:rsidRPr="00353F8D" w:rsidRDefault="00E52F66" w:rsidP="00E52F66">
            <w:pPr>
              <w:keepNext/>
              <w:spacing w:before="0" w:after="0" w:line="276" w:lineRule="auto"/>
              <w:jc w:val="right"/>
              <w:rPr>
                <w:rFonts w:ascii="Arial" w:hAnsi="Arial"/>
                <w:bCs/>
                <w:sz w:val="16"/>
                <w:szCs w:val="16"/>
                <w:lang w:val="en-AU"/>
              </w:rPr>
            </w:pPr>
          </w:p>
          <w:p w14:paraId="6E3050EE" w14:textId="77777777" w:rsidR="00E52F66" w:rsidRPr="00353F8D" w:rsidRDefault="00E52F66" w:rsidP="00E52F66">
            <w:pPr>
              <w:keepNext/>
              <w:spacing w:before="0" w:after="0" w:line="276" w:lineRule="auto"/>
              <w:jc w:val="right"/>
              <w:rPr>
                <w:rFonts w:ascii="Arial" w:hAnsi="Arial"/>
                <w:b/>
                <w:bCs/>
                <w:sz w:val="16"/>
                <w:szCs w:val="16"/>
                <w:lang w:val="en-AU"/>
              </w:rPr>
            </w:pPr>
          </w:p>
        </w:tc>
        <w:tc>
          <w:tcPr>
            <w:tcW w:w="1413" w:type="dxa"/>
            <w:tcBorders>
              <w:top w:val="single" w:sz="4" w:space="0" w:color="auto"/>
              <w:left w:val="nil"/>
              <w:bottom w:val="nil"/>
              <w:right w:val="nil"/>
            </w:tcBorders>
            <w:shd w:val="clear" w:color="FFFFFF" w:fill="auto"/>
            <w:vAlign w:val="bottom"/>
          </w:tcPr>
          <w:p w14:paraId="4E9DAADA" w14:textId="77777777" w:rsidR="00E52F66" w:rsidRPr="009E4B9D" w:rsidRDefault="00E52F66" w:rsidP="00E52F66">
            <w:pPr>
              <w:spacing w:before="0" w:after="0" w:line="276" w:lineRule="auto"/>
              <w:jc w:val="right"/>
              <w:rPr>
                <w:rFonts w:ascii="Arial" w:hAnsi="Arial"/>
                <w:b/>
                <w:sz w:val="16"/>
                <w:szCs w:val="16"/>
                <w:lang w:eastAsia="en-US"/>
              </w:rPr>
            </w:pPr>
          </w:p>
        </w:tc>
        <w:tc>
          <w:tcPr>
            <w:tcW w:w="1195" w:type="dxa"/>
            <w:tcBorders>
              <w:top w:val="single" w:sz="4" w:space="0" w:color="auto"/>
              <w:left w:val="nil"/>
              <w:bottom w:val="nil"/>
              <w:right w:val="nil"/>
            </w:tcBorders>
            <w:shd w:val="clear" w:color="FFFFFF" w:fill="auto"/>
            <w:vAlign w:val="bottom"/>
          </w:tcPr>
          <w:p w14:paraId="11B058B8" w14:textId="77777777" w:rsidR="00E52F66" w:rsidRPr="009E4B9D" w:rsidRDefault="00E52F66" w:rsidP="00E52F66">
            <w:pPr>
              <w:spacing w:before="0" w:after="0" w:line="276" w:lineRule="auto"/>
              <w:jc w:val="right"/>
              <w:rPr>
                <w:rFonts w:ascii="Arial" w:hAnsi="Arial"/>
                <w:b/>
                <w:sz w:val="16"/>
                <w:szCs w:val="16"/>
                <w:lang w:eastAsia="en-US"/>
              </w:rPr>
            </w:pPr>
          </w:p>
        </w:tc>
      </w:tr>
      <w:tr w:rsidR="00E52F66" w:rsidRPr="00BA1388" w14:paraId="5B4531FF" w14:textId="77777777" w:rsidTr="00F600B5">
        <w:trPr>
          <w:trHeight w:val="227"/>
        </w:trPr>
        <w:tc>
          <w:tcPr>
            <w:tcW w:w="3085" w:type="dxa"/>
            <w:tcBorders>
              <w:top w:val="nil"/>
              <w:left w:val="nil"/>
              <w:bottom w:val="nil"/>
              <w:right w:val="nil"/>
            </w:tcBorders>
            <w:shd w:val="clear" w:color="auto" w:fill="auto"/>
            <w:vAlign w:val="bottom"/>
          </w:tcPr>
          <w:p w14:paraId="334E9623" w14:textId="77777777" w:rsidR="00E52F66" w:rsidRPr="008659FE" w:rsidRDefault="00E52F66" w:rsidP="00E52F66">
            <w:pPr>
              <w:spacing w:before="0" w:after="0" w:line="276" w:lineRule="auto"/>
              <w:ind w:left="179"/>
              <w:rPr>
                <w:rFonts w:ascii="Arial" w:hAnsi="Arial"/>
                <w:b/>
                <w:bCs/>
                <w:sz w:val="16"/>
                <w:szCs w:val="16"/>
                <w:lang w:val="en-AU"/>
              </w:rPr>
            </w:pPr>
            <w:r w:rsidRPr="008659FE">
              <w:rPr>
                <w:rFonts w:ascii="Arial" w:hAnsi="Arial"/>
                <w:sz w:val="16"/>
                <w:szCs w:val="16"/>
                <w:lang w:val="en-AU"/>
              </w:rPr>
              <w:t>Gallipoli Barracks</w:t>
            </w:r>
          </w:p>
        </w:tc>
        <w:tc>
          <w:tcPr>
            <w:tcW w:w="1790" w:type="dxa"/>
            <w:tcBorders>
              <w:top w:val="nil"/>
              <w:left w:val="nil"/>
              <w:bottom w:val="nil"/>
              <w:right w:val="nil"/>
            </w:tcBorders>
            <w:shd w:val="clear" w:color="FFFFFF" w:fill="auto"/>
            <w:vAlign w:val="bottom"/>
          </w:tcPr>
          <w:p w14:paraId="68E296A0" w14:textId="77777777" w:rsidR="00E52F66" w:rsidRPr="008659FE" w:rsidRDefault="00E52F66" w:rsidP="00E52F66">
            <w:pPr>
              <w:spacing w:before="0" w:after="0" w:line="276" w:lineRule="auto"/>
              <w:jc w:val="right"/>
              <w:rPr>
                <w:rFonts w:ascii="Arial" w:hAnsi="Arial"/>
                <w:color w:val="000000"/>
                <w:sz w:val="16"/>
                <w:szCs w:val="16"/>
              </w:rPr>
            </w:pPr>
            <w:r w:rsidRPr="008659FE">
              <w:rPr>
                <w:rFonts w:ascii="Arial" w:hAnsi="Arial"/>
                <w:color w:val="000000"/>
                <w:sz w:val="16"/>
                <w:szCs w:val="16"/>
              </w:rPr>
              <w:t>QLD - Ryan</w:t>
            </w:r>
          </w:p>
        </w:tc>
        <w:tc>
          <w:tcPr>
            <w:tcW w:w="1191" w:type="dxa"/>
            <w:tcBorders>
              <w:top w:val="nil"/>
              <w:left w:val="nil"/>
              <w:bottom w:val="nil"/>
              <w:right w:val="nil"/>
            </w:tcBorders>
            <w:shd w:val="clear" w:color="FFFFFF" w:fill="auto"/>
            <w:vAlign w:val="bottom"/>
          </w:tcPr>
          <w:p w14:paraId="57B97721" w14:textId="77777777" w:rsidR="00E52F66" w:rsidRPr="00353F8D" w:rsidRDefault="00E52F66" w:rsidP="00E52F66">
            <w:pPr>
              <w:keepNext/>
              <w:spacing w:before="0" w:after="0" w:line="276" w:lineRule="auto"/>
              <w:jc w:val="right"/>
              <w:rPr>
                <w:rFonts w:ascii="Arial" w:hAnsi="Arial"/>
                <w:bCs/>
                <w:sz w:val="16"/>
                <w:szCs w:val="16"/>
                <w:lang w:val="en-AU"/>
              </w:rPr>
            </w:pPr>
          </w:p>
        </w:tc>
        <w:tc>
          <w:tcPr>
            <w:tcW w:w="1413" w:type="dxa"/>
            <w:tcBorders>
              <w:top w:val="nil"/>
              <w:left w:val="nil"/>
              <w:bottom w:val="nil"/>
              <w:right w:val="nil"/>
            </w:tcBorders>
            <w:shd w:val="clear" w:color="auto" w:fill="auto"/>
            <w:vAlign w:val="bottom"/>
          </w:tcPr>
          <w:p w14:paraId="011C0243" w14:textId="77777777" w:rsidR="00E52F66" w:rsidRPr="009E4B9D" w:rsidRDefault="00E52F66" w:rsidP="00E52F66">
            <w:pPr>
              <w:spacing w:before="0" w:after="0" w:line="276" w:lineRule="auto"/>
              <w:jc w:val="right"/>
              <w:rPr>
                <w:rFonts w:ascii="Arial" w:hAnsi="Arial"/>
                <w:sz w:val="16"/>
                <w:szCs w:val="16"/>
                <w:lang w:eastAsia="en-US"/>
              </w:rPr>
            </w:pPr>
            <w:r w:rsidRPr="009E4B9D">
              <w:rPr>
                <w:rFonts w:ascii="Arial" w:hAnsi="Arial"/>
                <w:sz w:val="16"/>
                <w:szCs w:val="16"/>
                <w:lang w:eastAsia="en-US"/>
              </w:rPr>
              <w:t>5.0</w:t>
            </w:r>
          </w:p>
        </w:tc>
        <w:tc>
          <w:tcPr>
            <w:tcW w:w="1195" w:type="dxa"/>
            <w:tcBorders>
              <w:top w:val="nil"/>
              <w:left w:val="nil"/>
              <w:bottom w:val="nil"/>
              <w:right w:val="nil"/>
            </w:tcBorders>
            <w:shd w:val="clear" w:color="auto" w:fill="auto"/>
            <w:vAlign w:val="bottom"/>
          </w:tcPr>
          <w:p w14:paraId="2A8F6C94" w14:textId="77777777" w:rsidR="00E52F66" w:rsidRPr="009E4B9D" w:rsidRDefault="00E52F66" w:rsidP="00E52F66">
            <w:pPr>
              <w:spacing w:before="0" w:after="0" w:line="276" w:lineRule="auto"/>
              <w:jc w:val="right"/>
              <w:rPr>
                <w:rFonts w:ascii="Arial" w:hAnsi="Arial"/>
                <w:sz w:val="16"/>
                <w:szCs w:val="16"/>
                <w:lang w:eastAsia="en-US"/>
              </w:rPr>
            </w:pPr>
            <w:r w:rsidRPr="009E4B9D">
              <w:rPr>
                <w:rFonts w:ascii="Arial" w:hAnsi="Arial"/>
                <w:sz w:val="16"/>
                <w:szCs w:val="16"/>
                <w:lang w:eastAsia="en-US"/>
              </w:rPr>
              <w:t>7.9</w:t>
            </w:r>
          </w:p>
        </w:tc>
      </w:tr>
      <w:tr w:rsidR="00E52F66" w:rsidRPr="00BA1388" w14:paraId="70A0B7E8" w14:textId="77777777" w:rsidTr="00F600B5">
        <w:trPr>
          <w:trHeight w:val="227"/>
        </w:trPr>
        <w:tc>
          <w:tcPr>
            <w:tcW w:w="3085" w:type="dxa"/>
            <w:tcBorders>
              <w:top w:val="nil"/>
              <w:left w:val="nil"/>
              <w:bottom w:val="nil"/>
              <w:right w:val="nil"/>
            </w:tcBorders>
            <w:shd w:val="clear" w:color="auto" w:fill="auto"/>
            <w:vAlign w:val="bottom"/>
          </w:tcPr>
          <w:p w14:paraId="089BECE1" w14:textId="77777777" w:rsidR="00E52F66" w:rsidRPr="008659FE" w:rsidRDefault="00E52F66" w:rsidP="00E52F66">
            <w:pPr>
              <w:spacing w:before="0" w:after="0" w:line="276" w:lineRule="auto"/>
              <w:ind w:left="179"/>
              <w:rPr>
                <w:rFonts w:ascii="Arial" w:hAnsi="Arial"/>
                <w:b/>
                <w:bCs/>
                <w:sz w:val="16"/>
                <w:szCs w:val="16"/>
                <w:lang w:val="en-AU"/>
              </w:rPr>
            </w:pPr>
            <w:r w:rsidRPr="008659FE">
              <w:rPr>
                <w:rFonts w:ascii="Arial" w:hAnsi="Arial"/>
                <w:sz w:val="16"/>
                <w:szCs w:val="16"/>
                <w:lang w:val="en-AU"/>
              </w:rPr>
              <w:t>Lavarack Barracks</w:t>
            </w:r>
          </w:p>
        </w:tc>
        <w:tc>
          <w:tcPr>
            <w:tcW w:w="1790" w:type="dxa"/>
            <w:tcBorders>
              <w:top w:val="nil"/>
              <w:left w:val="nil"/>
              <w:bottom w:val="nil"/>
              <w:right w:val="nil"/>
            </w:tcBorders>
            <w:shd w:val="clear" w:color="FFFFFF" w:fill="auto"/>
            <w:vAlign w:val="bottom"/>
          </w:tcPr>
          <w:p w14:paraId="60DB1874" w14:textId="77777777" w:rsidR="00E52F66" w:rsidRPr="008659FE" w:rsidRDefault="00E52F66" w:rsidP="00E52F66">
            <w:pPr>
              <w:spacing w:before="0" w:after="0" w:line="276" w:lineRule="auto"/>
              <w:jc w:val="right"/>
              <w:rPr>
                <w:rFonts w:ascii="Arial" w:hAnsi="Arial"/>
                <w:color w:val="000000"/>
                <w:sz w:val="16"/>
                <w:szCs w:val="16"/>
              </w:rPr>
            </w:pPr>
            <w:r w:rsidRPr="008659FE">
              <w:rPr>
                <w:rFonts w:ascii="Arial" w:hAnsi="Arial"/>
                <w:color w:val="000000"/>
                <w:sz w:val="16"/>
                <w:szCs w:val="16"/>
              </w:rPr>
              <w:t>QLD - Herbert</w:t>
            </w:r>
          </w:p>
        </w:tc>
        <w:tc>
          <w:tcPr>
            <w:tcW w:w="1191" w:type="dxa"/>
            <w:tcBorders>
              <w:top w:val="nil"/>
              <w:left w:val="nil"/>
              <w:bottom w:val="nil"/>
              <w:right w:val="nil"/>
            </w:tcBorders>
            <w:shd w:val="clear" w:color="FFFFFF" w:fill="auto"/>
            <w:vAlign w:val="bottom"/>
          </w:tcPr>
          <w:p w14:paraId="5045F421" w14:textId="77777777" w:rsidR="00E52F66" w:rsidRPr="00353F8D" w:rsidRDefault="00E52F66" w:rsidP="00E52F66">
            <w:pPr>
              <w:keepNext/>
              <w:spacing w:before="0" w:after="0" w:line="276" w:lineRule="auto"/>
              <w:jc w:val="right"/>
              <w:rPr>
                <w:rFonts w:ascii="Arial" w:hAnsi="Arial"/>
                <w:bCs/>
                <w:sz w:val="16"/>
                <w:szCs w:val="16"/>
                <w:lang w:val="en-AU"/>
              </w:rPr>
            </w:pPr>
          </w:p>
        </w:tc>
        <w:tc>
          <w:tcPr>
            <w:tcW w:w="1413" w:type="dxa"/>
            <w:tcBorders>
              <w:top w:val="nil"/>
              <w:left w:val="nil"/>
              <w:bottom w:val="nil"/>
              <w:right w:val="nil"/>
            </w:tcBorders>
            <w:shd w:val="clear" w:color="auto" w:fill="auto"/>
            <w:vAlign w:val="bottom"/>
          </w:tcPr>
          <w:p w14:paraId="26B37599" w14:textId="77777777" w:rsidR="00E52F66" w:rsidRPr="009E4B9D" w:rsidRDefault="00E52F66" w:rsidP="00E52F66">
            <w:pPr>
              <w:spacing w:before="0" w:after="0" w:line="276" w:lineRule="auto"/>
              <w:jc w:val="right"/>
              <w:rPr>
                <w:rFonts w:ascii="Arial" w:hAnsi="Arial"/>
                <w:sz w:val="16"/>
                <w:szCs w:val="16"/>
                <w:lang w:eastAsia="en-US"/>
              </w:rPr>
            </w:pPr>
            <w:r w:rsidRPr="009E4B9D">
              <w:rPr>
                <w:rFonts w:ascii="Arial" w:hAnsi="Arial"/>
                <w:sz w:val="16"/>
                <w:szCs w:val="16"/>
                <w:lang w:eastAsia="en-US"/>
              </w:rPr>
              <w:t>3.5</w:t>
            </w:r>
          </w:p>
        </w:tc>
        <w:tc>
          <w:tcPr>
            <w:tcW w:w="1195" w:type="dxa"/>
            <w:tcBorders>
              <w:top w:val="nil"/>
              <w:left w:val="nil"/>
              <w:bottom w:val="nil"/>
              <w:right w:val="nil"/>
            </w:tcBorders>
            <w:shd w:val="clear" w:color="auto" w:fill="auto"/>
            <w:vAlign w:val="bottom"/>
          </w:tcPr>
          <w:p w14:paraId="4DB33FBB" w14:textId="77777777" w:rsidR="00E52F66" w:rsidRPr="009E4B9D" w:rsidRDefault="00E52F66" w:rsidP="00E52F66">
            <w:pPr>
              <w:spacing w:before="0" w:after="0" w:line="276" w:lineRule="auto"/>
              <w:jc w:val="right"/>
              <w:rPr>
                <w:rFonts w:ascii="Arial" w:hAnsi="Arial"/>
                <w:sz w:val="16"/>
                <w:szCs w:val="16"/>
                <w:lang w:eastAsia="en-US"/>
              </w:rPr>
            </w:pPr>
            <w:r w:rsidRPr="009E4B9D">
              <w:rPr>
                <w:rFonts w:ascii="Arial" w:hAnsi="Arial"/>
                <w:sz w:val="16"/>
                <w:szCs w:val="16"/>
                <w:lang w:eastAsia="en-US"/>
              </w:rPr>
              <w:t>7.4</w:t>
            </w:r>
          </w:p>
        </w:tc>
      </w:tr>
      <w:tr w:rsidR="00E52F66" w:rsidRPr="00BA1388" w14:paraId="1284EE8F" w14:textId="77777777" w:rsidTr="00F600B5">
        <w:trPr>
          <w:trHeight w:val="227"/>
        </w:trPr>
        <w:tc>
          <w:tcPr>
            <w:tcW w:w="3085" w:type="dxa"/>
            <w:tcBorders>
              <w:top w:val="nil"/>
              <w:left w:val="nil"/>
              <w:bottom w:val="nil"/>
              <w:right w:val="nil"/>
            </w:tcBorders>
            <w:shd w:val="clear" w:color="auto" w:fill="auto"/>
            <w:vAlign w:val="bottom"/>
          </w:tcPr>
          <w:p w14:paraId="60BC2A5A" w14:textId="77777777" w:rsidR="00E52F66" w:rsidRPr="008659FE" w:rsidRDefault="00E52F66" w:rsidP="00E52F66">
            <w:pPr>
              <w:spacing w:before="0" w:after="0" w:line="276" w:lineRule="auto"/>
              <w:ind w:left="179"/>
              <w:rPr>
                <w:rFonts w:ascii="Arial" w:hAnsi="Arial"/>
                <w:b/>
                <w:bCs/>
                <w:sz w:val="16"/>
                <w:szCs w:val="16"/>
                <w:lang w:val="en-AU"/>
              </w:rPr>
            </w:pPr>
            <w:r w:rsidRPr="008659FE">
              <w:rPr>
                <w:rFonts w:ascii="Arial" w:hAnsi="Arial"/>
                <w:sz w:val="16"/>
                <w:szCs w:val="16"/>
                <w:lang w:val="en-AU"/>
              </w:rPr>
              <w:t>Gaza Ridge Barracks</w:t>
            </w:r>
          </w:p>
        </w:tc>
        <w:tc>
          <w:tcPr>
            <w:tcW w:w="1790" w:type="dxa"/>
            <w:tcBorders>
              <w:top w:val="nil"/>
              <w:left w:val="nil"/>
              <w:bottom w:val="nil"/>
              <w:right w:val="nil"/>
            </w:tcBorders>
            <w:shd w:val="clear" w:color="FFFFFF" w:fill="auto"/>
            <w:vAlign w:val="bottom"/>
          </w:tcPr>
          <w:p w14:paraId="2DB1AE44" w14:textId="77777777" w:rsidR="00E52F66" w:rsidRPr="008659FE" w:rsidRDefault="00E52F66" w:rsidP="00E52F66">
            <w:pPr>
              <w:spacing w:before="0" w:after="0" w:line="276" w:lineRule="auto"/>
              <w:jc w:val="right"/>
              <w:rPr>
                <w:rFonts w:ascii="Arial" w:hAnsi="Arial"/>
                <w:color w:val="000000"/>
                <w:sz w:val="16"/>
                <w:szCs w:val="16"/>
              </w:rPr>
            </w:pPr>
            <w:r w:rsidRPr="008659FE">
              <w:rPr>
                <w:rFonts w:ascii="Arial" w:hAnsi="Arial"/>
                <w:color w:val="000000"/>
                <w:sz w:val="16"/>
                <w:szCs w:val="16"/>
              </w:rPr>
              <w:t>VIC - Indi</w:t>
            </w:r>
          </w:p>
        </w:tc>
        <w:tc>
          <w:tcPr>
            <w:tcW w:w="1191" w:type="dxa"/>
            <w:tcBorders>
              <w:top w:val="nil"/>
              <w:left w:val="nil"/>
              <w:bottom w:val="nil"/>
              <w:right w:val="nil"/>
            </w:tcBorders>
            <w:shd w:val="clear" w:color="FFFFFF" w:fill="auto"/>
            <w:vAlign w:val="bottom"/>
          </w:tcPr>
          <w:p w14:paraId="14772BF1" w14:textId="77777777" w:rsidR="00E52F66" w:rsidRPr="00353F8D" w:rsidRDefault="00E52F66" w:rsidP="00E52F66">
            <w:pPr>
              <w:keepNext/>
              <w:spacing w:before="0" w:after="0" w:line="276" w:lineRule="auto"/>
              <w:jc w:val="right"/>
              <w:rPr>
                <w:rFonts w:ascii="Arial" w:hAnsi="Arial"/>
                <w:bCs/>
                <w:sz w:val="16"/>
                <w:szCs w:val="16"/>
                <w:lang w:val="en-AU"/>
              </w:rPr>
            </w:pPr>
          </w:p>
        </w:tc>
        <w:tc>
          <w:tcPr>
            <w:tcW w:w="1413" w:type="dxa"/>
            <w:tcBorders>
              <w:top w:val="nil"/>
              <w:left w:val="nil"/>
              <w:bottom w:val="nil"/>
              <w:right w:val="nil"/>
            </w:tcBorders>
            <w:shd w:val="clear" w:color="auto" w:fill="auto"/>
            <w:vAlign w:val="bottom"/>
          </w:tcPr>
          <w:p w14:paraId="3ADD69BC" w14:textId="77777777" w:rsidR="00E52F66" w:rsidRPr="009E4B9D" w:rsidRDefault="00E52F66" w:rsidP="00E52F66">
            <w:pPr>
              <w:spacing w:before="0" w:after="0" w:line="276" w:lineRule="auto"/>
              <w:jc w:val="right"/>
              <w:rPr>
                <w:rFonts w:ascii="Arial" w:hAnsi="Arial"/>
                <w:sz w:val="16"/>
                <w:szCs w:val="16"/>
                <w:lang w:eastAsia="en-US"/>
              </w:rPr>
            </w:pPr>
            <w:r w:rsidRPr="009E4B9D">
              <w:rPr>
                <w:rFonts w:ascii="Arial" w:hAnsi="Arial"/>
                <w:sz w:val="16"/>
                <w:szCs w:val="16"/>
                <w:lang w:eastAsia="en-US"/>
              </w:rPr>
              <w:t>1.6</w:t>
            </w:r>
          </w:p>
        </w:tc>
        <w:tc>
          <w:tcPr>
            <w:tcW w:w="1195" w:type="dxa"/>
            <w:tcBorders>
              <w:top w:val="nil"/>
              <w:left w:val="nil"/>
              <w:bottom w:val="nil"/>
              <w:right w:val="nil"/>
            </w:tcBorders>
            <w:shd w:val="clear" w:color="auto" w:fill="auto"/>
            <w:vAlign w:val="bottom"/>
          </w:tcPr>
          <w:p w14:paraId="5B2E1914" w14:textId="77777777" w:rsidR="00E52F66" w:rsidRPr="009E4B9D" w:rsidRDefault="00E52F66" w:rsidP="00E52F66">
            <w:pPr>
              <w:spacing w:before="0" w:after="0" w:line="276" w:lineRule="auto"/>
              <w:jc w:val="right"/>
              <w:rPr>
                <w:rFonts w:ascii="Arial" w:hAnsi="Arial"/>
                <w:sz w:val="16"/>
                <w:szCs w:val="16"/>
                <w:lang w:eastAsia="en-US"/>
              </w:rPr>
            </w:pPr>
            <w:r w:rsidRPr="009E4B9D">
              <w:rPr>
                <w:rFonts w:ascii="Arial" w:hAnsi="Arial"/>
                <w:sz w:val="16"/>
                <w:szCs w:val="16"/>
                <w:lang w:eastAsia="en-US"/>
              </w:rPr>
              <w:t>47.2</w:t>
            </w:r>
          </w:p>
        </w:tc>
      </w:tr>
      <w:tr w:rsidR="00E52F66" w:rsidRPr="00BA1388" w14:paraId="16C7B9D0" w14:textId="77777777" w:rsidTr="00E52F66">
        <w:trPr>
          <w:trHeight w:val="227"/>
        </w:trPr>
        <w:tc>
          <w:tcPr>
            <w:tcW w:w="3085" w:type="dxa"/>
            <w:tcBorders>
              <w:top w:val="nil"/>
              <w:left w:val="nil"/>
              <w:bottom w:val="nil"/>
              <w:right w:val="nil"/>
            </w:tcBorders>
            <w:shd w:val="clear" w:color="auto" w:fill="auto"/>
            <w:vAlign w:val="bottom"/>
          </w:tcPr>
          <w:p w14:paraId="10C092B5" w14:textId="77777777" w:rsidR="00E52F66" w:rsidRPr="008659FE" w:rsidRDefault="00E52F66" w:rsidP="00E52F66">
            <w:pPr>
              <w:spacing w:before="0" w:after="0" w:line="276" w:lineRule="auto"/>
              <w:ind w:left="179"/>
              <w:rPr>
                <w:rFonts w:ascii="Arial" w:hAnsi="Arial"/>
                <w:sz w:val="16"/>
                <w:szCs w:val="16"/>
                <w:lang w:val="en-AU"/>
              </w:rPr>
            </w:pPr>
            <w:r>
              <w:rPr>
                <w:rFonts w:ascii="Arial" w:hAnsi="Arial"/>
                <w:sz w:val="16"/>
                <w:szCs w:val="16"/>
                <w:lang w:val="en-AU"/>
              </w:rPr>
              <w:t>Puckapunyal Military Area</w:t>
            </w:r>
          </w:p>
        </w:tc>
        <w:tc>
          <w:tcPr>
            <w:tcW w:w="1790" w:type="dxa"/>
            <w:tcBorders>
              <w:top w:val="nil"/>
              <w:left w:val="nil"/>
              <w:bottom w:val="nil"/>
              <w:right w:val="nil"/>
            </w:tcBorders>
            <w:shd w:val="clear" w:color="FFFFFF" w:fill="auto"/>
            <w:vAlign w:val="bottom"/>
          </w:tcPr>
          <w:p w14:paraId="46C8EA6B" w14:textId="77777777" w:rsidR="00E52F66" w:rsidRPr="008659FE" w:rsidRDefault="00E52F66" w:rsidP="00E52F66">
            <w:pPr>
              <w:spacing w:before="0" w:after="0" w:line="276" w:lineRule="auto"/>
              <w:jc w:val="right"/>
              <w:rPr>
                <w:rFonts w:ascii="Arial" w:hAnsi="Arial"/>
                <w:color w:val="000000"/>
                <w:sz w:val="16"/>
                <w:szCs w:val="16"/>
              </w:rPr>
            </w:pPr>
            <w:r>
              <w:rPr>
                <w:rFonts w:ascii="Arial" w:hAnsi="Arial"/>
                <w:color w:val="000000"/>
                <w:sz w:val="16"/>
                <w:szCs w:val="16"/>
              </w:rPr>
              <w:t>VIC - Nicholls</w:t>
            </w:r>
          </w:p>
        </w:tc>
        <w:tc>
          <w:tcPr>
            <w:tcW w:w="1191" w:type="dxa"/>
            <w:tcBorders>
              <w:top w:val="nil"/>
              <w:left w:val="nil"/>
              <w:bottom w:val="nil"/>
              <w:right w:val="nil"/>
            </w:tcBorders>
            <w:shd w:val="clear" w:color="FFFFFF" w:fill="auto"/>
            <w:vAlign w:val="bottom"/>
          </w:tcPr>
          <w:p w14:paraId="24D5DB59" w14:textId="77777777" w:rsidR="00E52F66" w:rsidRPr="00353F8D" w:rsidRDefault="00E52F66" w:rsidP="00E52F66">
            <w:pPr>
              <w:keepNext/>
              <w:spacing w:before="0" w:after="0" w:line="276" w:lineRule="auto"/>
              <w:jc w:val="right"/>
              <w:rPr>
                <w:rFonts w:ascii="Arial" w:hAnsi="Arial"/>
                <w:bCs/>
                <w:sz w:val="16"/>
                <w:szCs w:val="16"/>
                <w:lang w:val="en-AU"/>
              </w:rPr>
            </w:pPr>
          </w:p>
        </w:tc>
        <w:tc>
          <w:tcPr>
            <w:tcW w:w="1413" w:type="dxa"/>
            <w:tcBorders>
              <w:top w:val="nil"/>
              <w:left w:val="nil"/>
              <w:bottom w:val="nil"/>
              <w:right w:val="nil"/>
            </w:tcBorders>
            <w:shd w:val="clear" w:color="auto" w:fill="auto"/>
            <w:vAlign w:val="bottom"/>
          </w:tcPr>
          <w:p w14:paraId="3B4C9BF5" w14:textId="77777777" w:rsidR="00E52F66" w:rsidRPr="009E4B9D" w:rsidRDefault="00E52F66" w:rsidP="00E52F66">
            <w:pPr>
              <w:spacing w:before="0" w:after="0" w:line="276" w:lineRule="auto"/>
              <w:jc w:val="right"/>
              <w:rPr>
                <w:rFonts w:ascii="Arial" w:hAnsi="Arial"/>
                <w:sz w:val="16"/>
                <w:szCs w:val="16"/>
                <w:lang w:eastAsia="en-US"/>
              </w:rPr>
            </w:pPr>
            <w:r w:rsidRPr="009E4B9D">
              <w:rPr>
                <w:rFonts w:ascii="Arial" w:hAnsi="Arial"/>
                <w:sz w:val="16"/>
                <w:szCs w:val="16"/>
                <w:lang w:eastAsia="en-US"/>
              </w:rPr>
              <w:t>2.1</w:t>
            </w:r>
          </w:p>
        </w:tc>
        <w:tc>
          <w:tcPr>
            <w:tcW w:w="1195" w:type="dxa"/>
            <w:tcBorders>
              <w:top w:val="nil"/>
              <w:left w:val="nil"/>
              <w:bottom w:val="nil"/>
              <w:right w:val="nil"/>
            </w:tcBorders>
            <w:shd w:val="clear" w:color="auto" w:fill="auto"/>
            <w:vAlign w:val="bottom"/>
          </w:tcPr>
          <w:p w14:paraId="0507C971" w14:textId="77777777" w:rsidR="00E52F66" w:rsidRPr="009E4B9D" w:rsidRDefault="00E52F66" w:rsidP="00E52F66">
            <w:pPr>
              <w:spacing w:before="0" w:after="0" w:line="276" w:lineRule="auto"/>
              <w:jc w:val="right"/>
              <w:rPr>
                <w:rFonts w:ascii="Arial" w:hAnsi="Arial"/>
                <w:sz w:val="16"/>
                <w:szCs w:val="16"/>
                <w:lang w:eastAsia="en-US"/>
              </w:rPr>
            </w:pPr>
            <w:r w:rsidRPr="009E4B9D">
              <w:rPr>
                <w:rFonts w:ascii="Arial" w:hAnsi="Arial"/>
                <w:sz w:val="16"/>
                <w:szCs w:val="16"/>
                <w:lang w:eastAsia="en-US"/>
              </w:rPr>
              <w:t>4.5</w:t>
            </w:r>
          </w:p>
        </w:tc>
      </w:tr>
      <w:tr w:rsidR="00E52F66" w:rsidRPr="00BA1388" w14:paraId="0A5A3A1F" w14:textId="77777777" w:rsidTr="00E52F66">
        <w:trPr>
          <w:trHeight w:val="227"/>
        </w:trPr>
        <w:tc>
          <w:tcPr>
            <w:tcW w:w="3085" w:type="dxa"/>
            <w:tcBorders>
              <w:top w:val="nil"/>
              <w:left w:val="nil"/>
              <w:bottom w:val="single" w:sz="4" w:space="0" w:color="auto"/>
              <w:right w:val="nil"/>
            </w:tcBorders>
            <w:shd w:val="clear" w:color="auto" w:fill="auto"/>
            <w:vAlign w:val="bottom"/>
          </w:tcPr>
          <w:p w14:paraId="0730182A" w14:textId="77777777" w:rsidR="00E52F66" w:rsidRPr="008659FE" w:rsidRDefault="00E52F66" w:rsidP="00E52F66">
            <w:pPr>
              <w:spacing w:before="0" w:after="0" w:line="276" w:lineRule="auto"/>
              <w:rPr>
                <w:rFonts w:ascii="Arial" w:hAnsi="Arial"/>
                <w:b/>
                <w:bCs/>
                <w:sz w:val="16"/>
                <w:szCs w:val="16"/>
                <w:lang w:val="en-AU"/>
              </w:rPr>
            </w:pPr>
            <w:r w:rsidRPr="008659FE">
              <w:rPr>
                <w:rFonts w:ascii="Arial" w:hAnsi="Arial"/>
                <w:b/>
                <w:bCs/>
                <w:sz w:val="16"/>
                <w:szCs w:val="16"/>
                <w:lang w:val="en-AU"/>
              </w:rPr>
              <w:t>Total</w:t>
            </w:r>
          </w:p>
        </w:tc>
        <w:tc>
          <w:tcPr>
            <w:tcW w:w="1790" w:type="dxa"/>
            <w:tcBorders>
              <w:top w:val="nil"/>
              <w:left w:val="nil"/>
              <w:bottom w:val="single" w:sz="4" w:space="0" w:color="auto"/>
              <w:right w:val="nil"/>
            </w:tcBorders>
            <w:shd w:val="clear" w:color="FFFFFF" w:fill="auto"/>
            <w:vAlign w:val="bottom"/>
          </w:tcPr>
          <w:p w14:paraId="5B1BAE31" w14:textId="77777777" w:rsidR="00E52F66" w:rsidRPr="008659FE" w:rsidRDefault="00E52F66" w:rsidP="00E52F66">
            <w:pPr>
              <w:spacing w:before="0" w:after="0" w:line="276" w:lineRule="auto"/>
              <w:jc w:val="right"/>
              <w:rPr>
                <w:rFonts w:ascii="Arial" w:hAnsi="Arial"/>
                <w:color w:val="000000"/>
                <w:sz w:val="16"/>
                <w:szCs w:val="16"/>
              </w:rPr>
            </w:pPr>
          </w:p>
        </w:tc>
        <w:tc>
          <w:tcPr>
            <w:tcW w:w="1191" w:type="dxa"/>
            <w:tcBorders>
              <w:top w:val="nil"/>
              <w:left w:val="nil"/>
              <w:bottom w:val="single" w:sz="4" w:space="0" w:color="auto"/>
              <w:right w:val="nil"/>
            </w:tcBorders>
            <w:shd w:val="clear" w:color="FFFFFF" w:fill="auto"/>
            <w:vAlign w:val="bottom"/>
          </w:tcPr>
          <w:p w14:paraId="4FF66AB6" w14:textId="77777777" w:rsidR="00E52F66" w:rsidRPr="00353F8D" w:rsidRDefault="00E52F66" w:rsidP="00E52F66">
            <w:pPr>
              <w:keepNext/>
              <w:spacing w:before="0" w:after="0" w:line="276" w:lineRule="auto"/>
              <w:jc w:val="right"/>
              <w:rPr>
                <w:rFonts w:ascii="Arial" w:hAnsi="Arial"/>
                <w:bCs/>
                <w:sz w:val="16"/>
                <w:szCs w:val="16"/>
                <w:lang w:val="en-AU"/>
              </w:rPr>
            </w:pPr>
            <w:r w:rsidRPr="00353F8D">
              <w:rPr>
                <w:rFonts w:ascii="Arial" w:hAnsi="Arial"/>
                <w:b/>
                <w:bCs/>
                <w:sz w:val="16"/>
                <w:szCs w:val="16"/>
                <w:lang w:val="en-AU"/>
              </w:rPr>
              <w:t>104.4</w:t>
            </w:r>
          </w:p>
        </w:tc>
        <w:tc>
          <w:tcPr>
            <w:tcW w:w="1413" w:type="dxa"/>
            <w:tcBorders>
              <w:top w:val="nil"/>
              <w:left w:val="nil"/>
              <w:bottom w:val="single" w:sz="4" w:space="0" w:color="auto"/>
              <w:right w:val="nil"/>
            </w:tcBorders>
            <w:shd w:val="clear" w:color="auto" w:fill="auto"/>
            <w:vAlign w:val="bottom"/>
          </w:tcPr>
          <w:p w14:paraId="3B68AAF3" w14:textId="77777777" w:rsidR="00E52F66" w:rsidRPr="009E4B9D" w:rsidRDefault="00E52F66" w:rsidP="00E52F66">
            <w:pPr>
              <w:spacing w:before="0" w:after="0" w:line="276" w:lineRule="auto"/>
              <w:jc w:val="right"/>
              <w:rPr>
                <w:rFonts w:ascii="Arial" w:hAnsi="Arial"/>
                <w:b/>
                <w:sz w:val="16"/>
                <w:szCs w:val="16"/>
                <w:lang w:eastAsia="en-US"/>
              </w:rPr>
            </w:pPr>
            <w:r w:rsidRPr="009E4B9D">
              <w:rPr>
                <w:rFonts w:ascii="Arial" w:hAnsi="Arial"/>
                <w:b/>
                <w:sz w:val="16"/>
                <w:szCs w:val="16"/>
                <w:lang w:eastAsia="en-US"/>
              </w:rPr>
              <w:t>12.2</w:t>
            </w:r>
          </w:p>
        </w:tc>
        <w:tc>
          <w:tcPr>
            <w:tcW w:w="1195" w:type="dxa"/>
            <w:tcBorders>
              <w:top w:val="nil"/>
              <w:left w:val="nil"/>
              <w:bottom w:val="single" w:sz="4" w:space="0" w:color="auto"/>
              <w:right w:val="nil"/>
            </w:tcBorders>
            <w:shd w:val="clear" w:color="auto" w:fill="auto"/>
            <w:vAlign w:val="bottom"/>
          </w:tcPr>
          <w:p w14:paraId="3972F628" w14:textId="77777777" w:rsidR="00E52F66" w:rsidRPr="009E4B9D" w:rsidRDefault="00E52F66" w:rsidP="00E52F66">
            <w:pPr>
              <w:spacing w:before="0" w:after="0" w:line="276" w:lineRule="auto"/>
              <w:jc w:val="right"/>
              <w:rPr>
                <w:rFonts w:ascii="Arial" w:hAnsi="Arial"/>
                <w:b/>
                <w:sz w:val="16"/>
                <w:szCs w:val="16"/>
                <w:lang w:eastAsia="en-US"/>
              </w:rPr>
            </w:pPr>
            <w:r w:rsidRPr="009E4B9D">
              <w:rPr>
                <w:rFonts w:ascii="Arial" w:hAnsi="Arial"/>
                <w:b/>
                <w:sz w:val="16"/>
                <w:szCs w:val="16"/>
                <w:lang w:eastAsia="en-US"/>
              </w:rPr>
              <w:t>67.0</w:t>
            </w:r>
          </w:p>
        </w:tc>
      </w:tr>
      <w:tr w:rsidR="00E52F66" w:rsidRPr="00BA1388" w14:paraId="783AEF1D" w14:textId="77777777" w:rsidTr="00F600B5">
        <w:trPr>
          <w:trHeight w:val="255"/>
        </w:trPr>
        <w:tc>
          <w:tcPr>
            <w:tcW w:w="3085" w:type="dxa"/>
            <w:tcBorders>
              <w:top w:val="single" w:sz="4" w:space="0" w:color="auto"/>
              <w:left w:val="nil"/>
              <w:bottom w:val="nil"/>
              <w:right w:val="nil"/>
            </w:tcBorders>
            <w:shd w:val="clear" w:color="auto" w:fill="auto"/>
            <w:vAlign w:val="bottom"/>
          </w:tcPr>
          <w:p w14:paraId="427465B8" w14:textId="77777777" w:rsidR="00E52F66" w:rsidRPr="008659FE" w:rsidRDefault="00E52F66" w:rsidP="00E52F66">
            <w:pPr>
              <w:spacing w:before="0" w:after="0" w:line="276" w:lineRule="auto"/>
              <w:rPr>
                <w:rFonts w:ascii="Arial" w:hAnsi="Arial"/>
                <w:sz w:val="16"/>
                <w:szCs w:val="16"/>
                <w:lang w:val="en-AU"/>
              </w:rPr>
            </w:pPr>
            <w:r w:rsidRPr="008659FE">
              <w:rPr>
                <w:rFonts w:ascii="Arial" w:hAnsi="Arial"/>
                <w:b/>
                <w:bCs/>
                <w:sz w:val="16"/>
                <w:szCs w:val="16"/>
                <w:lang w:val="en-AU"/>
              </w:rPr>
              <w:t>Airfield Capital Works P0006 (Curtin</w:t>
            </w:r>
            <w:r w:rsidRPr="008659FE">
              <w:rPr>
                <w:rFonts w:ascii="Arial" w:hAnsi="Arial"/>
                <w:b/>
                <w:bCs/>
                <w:sz w:val="12"/>
                <w:szCs w:val="16"/>
                <w:lang w:val="en-AU"/>
              </w:rPr>
              <w:t>,</w:t>
            </w:r>
            <w:r w:rsidRPr="008659FE">
              <w:rPr>
                <w:rFonts w:ascii="Arial" w:hAnsi="Arial"/>
                <w:b/>
                <w:bCs/>
                <w:sz w:val="16"/>
                <w:szCs w:val="16"/>
                <w:lang w:val="en-AU"/>
              </w:rPr>
              <w:t> Tindal and Townsville)</w:t>
            </w:r>
            <w:r w:rsidRPr="008659FE">
              <w:rPr>
                <w:rFonts w:ascii="Arial" w:hAnsi="Arial"/>
                <w:b/>
                <w:bCs/>
                <w:sz w:val="16"/>
                <w:szCs w:val="16"/>
                <w:vertAlign w:val="superscript"/>
                <w:lang w:val="en-AU"/>
              </w:rPr>
              <w:t xml:space="preserve"> </w:t>
            </w:r>
          </w:p>
        </w:tc>
        <w:tc>
          <w:tcPr>
            <w:tcW w:w="1790" w:type="dxa"/>
            <w:tcBorders>
              <w:top w:val="single" w:sz="4" w:space="0" w:color="auto"/>
              <w:left w:val="nil"/>
              <w:bottom w:val="nil"/>
              <w:right w:val="nil"/>
            </w:tcBorders>
            <w:shd w:val="clear" w:color="FFFFFF" w:fill="auto"/>
            <w:noWrap/>
            <w:vAlign w:val="bottom"/>
          </w:tcPr>
          <w:p w14:paraId="066F0F00" w14:textId="77777777" w:rsidR="00E52F66" w:rsidRPr="008659FE" w:rsidRDefault="00E52F66" w:rsidP="00E52F66">
            <w:pPr>
              <w:keepNext/>
              <w:spacing w:before="0" w:after="0" w:line="276" w:lineRule="auto"/>
              <w:jc w:val="right"/>
              <w:rPr>
                <w:rFonts w:ascii="Arial" w:hAnsi="Arial"/>
                <w:b/>
                <w:sz w:val="16"/>
                <w:szCs w:val="16"/>
                <w:lang w:val="en-AU"/>
              </w:rPr>
            </w:pPr>
          </w:p>
        </w:tc>
        <w:tc>
          <w:tcPr>
            <w:tcW w:w="1191" w:type="dxa"/>
            <w:tcBorders>
              <w:top w:val="single" w:sz="4" w:space="0" w:color="auto"/>
              <w:left w:val="nil"/>
              <w:bottom w:val="nil"/>
              <w:right w:val="nil"/>
            </w:tcBorders>
            <w:shd w:val="clear" w:color="FFFFFF" w:fill="auto"/>
            <w:noWrap/>
            <w:vAlign w:val="bottom"/>
          </w:tcPr>
          <w:p w14:paraId="6D9F2D97" w14:textId="77777777" w:rsidR="00E52F66" w:rsidRPr="00353F8D" w:rsidRDefault="00E52F66" w:rsidP="00E52F66">
            <w:pPr>
              <w:keepNext/>
              <w:spacing w:before="0" w:after="0" w:line="276" w:lineRule="auto"/>
              <w:jc w:val="right"/>
              <w:rPr>
                <w:rFonts w:ascii="Arial" w:hAnsi="Arial"/>
                <w:b/>
                <w:bCs/>
                <w:sz w:val="16"/>
                <w:szCs w:val="16"/>
                <w:lang w:val="en-AU"/>
              </w:rPr>
            </w:pPr>
          </w:p>
        </w:tc>
        <w:tc>
          <w:tcPr>
            <w:tcW w:w="1413" w:type="dxa"/>
            <w:tcBorders>
              <w:top w:val="single" w:sz="4" w:space="0" w:color="auto"/>
              <w:left w:val="nil"/>
              <w:bottom w:val="nil"/>
              <w:right w:val="nil"/>
            </w:tcBorders>
            <w:shd w:val="clear" w:color="auto" w:fill="auto"/>
            <w:noWrap/>
            <w:vAlign w:val="bottom"/>
          </w:tcPr>
          <w:p w14:paraId="0EA4FBB6" w14:textId="77777777" w:rsidR="00E52F66" w:rsidRPr="009E4B9D" w:rsidRDefault="00E52F66" w:rsidP="00E52F66">
            <w:pPr>
              <w:spacing w:before="0" w:after="0" w:line="276" w:lineRule="auto"/>
              <w:jc w:val="right"/>
              <w:rPr>
                <w:rFonts w:ascii="Arial" w:hAnsi="Arial"/>
                <w:b/>
                <w:sz w:val="16"/>
                <w:szCs w:val="16"/>
                <w:lang w:eastAsia="en-US"/>
              </w:rPr>
            </w:pPr>
          </w:p>
        </w:tc>
        <w:tc>
          <w:tcPr>
            <w:tcW w:w="1195" w:type="dxa"/>
            <w:tcBorders>
              <w:top w:val="single" w:sz="4" w:space="0" w:color="auto"/>
              <w:left w:val="nil"/>
              <w:bottom w:val="nil"/>
              <w:right w:val="nil"/>
            </w:tcBorders>
            <w:shd w:val="clear" w:color="auto" w:fill="auto"/>
            <w:noWrap/>
            <w:vAlign w:val="bottom"/>
          </w:tcPr>
          <w:p w14:paraId="6A592059" w14:textId="77777777" w:rsidR="00E52F66" w:rsidRPr="009E4B9D" w:rsidRDefault="00E52F66" w:rsidP="00E52F66">
            <w:pPr>
              <w:spacing w:before="0" w:after="0" w:line="276" w:lineRule="auto"/>
              <w:jc w:val="right"/>
              <w:rPr>
                <w:rFonts w:ascii="Arial" w:hAnsi="Arial"/>
                <w:b/>
                <w:sz w:val="16"/>
                <w:szCs w:val="16"/>
                <w:lang w:eastAsia="en-US"/>
              </w:rPr>
            </w:pPr>
          </w:p>
        </w:tc>
      </w:tr>
      <w:tr w:rsidR="00E52F66" w:rsidRPr="00BA1388" w14:paraId="00ABF3B5" w14:textId="77777777" w:rsidTr="00F600B5">
        <w:trPr>
          <w:trHeight w:val="255"/>
        </w:trPr>
        <w:tc>
          <w:tcPr>
            <w:tcW w:w="3085" w:type="dxa"/>
            <w:tcBorders>
              <w:top w:val="nil"/>
              <w:left w:val="nil"/>
              <w:bottom w:val="nil"/>
              <w:right w:val="nil"/>
            </w:tcBorders>
            <w:shd w:val="clear" w:color="auto" w:fill="auto"/>
            <w:vAlign w:val="bottom"/>
          </w:tcPr>
          <w:p w14:paraId="07F42440" w14:textId="77777777" w:rsidR="00E52F66" w:rsidRPr="008659FE" w:rsidRDefault="00E52F66" w:rsidP="00E52F66">
            <w:pPr>
              <w:spacing w:before="0" w:after="0" w:line="276" w:lineRule="auto"/>
              <w:ind w:left="179"/>
              <w:rPr>
                <w:rFonts w:ascii="Arial" w:hAnsi="Arial"/>
                <w:sz w:val="16"/>
                <w:szCs w:val="16"/>
                <w:lang w:val="en-AU"/>
              </w:rPr>
            </w:pPr>
            <w:r w:rsidRPr="008659FE">
              <w:rPr>
                <w:rFonts w:ascii="Arial" w:hAnsi="Arial"/>
                <w:sz w:val="16"/>
                <w:szCs w:val="16"/>
                <w:lang w:val="en-AU"/>
              </w:rPr>
              <w:t>RAAF Townsville</w:t>
            </w:r>
          </w:p>
        </w:tc>
        <w:tc>
          <w:tcPr>
            <w:tcW w:w="1790" w:type="dxa"/>
            <w:tcBorders>
              <w:top w:val="nil"/>
              <w:left w:val="nil"/>
              <w:bottom w:val="nil"/>
              <w:right w:val="nil"/>
            </w:tcBorders>
            <w:shd w:val="clear" w:color="FFFFFF" w:fill="auto"/>
            <w:noWrap/>
            <w:vAlign w:val="bottom"/>
          </w:tcPr>
          <w:p w14:paraId="3C1F5057" w14:textId="77777777" w:rsidR="00E52F66" w:rsidRPr="008659FE" w:rsidRDefault="00E52F66" w:rsidP="00E52F66">
            <w:pPr>
              <w:spacing w:before="0" w:after="0" w:line="276" w:lineRule="auto"/>
              <w:jc w:val="right"/>
              <w:rPr>
                <w:rFonts w:ascii="Arial" w:hAnsi="Arial"/>
                <w:sz w:val="16"/>
                <w:szCs w:val="16"/>
                <w:lang w:val="en-AU"/>
              </w:rPr>
            </w:pPr>
            <w:r w:rsidRPr="008659FE">
              <w:rPr>
                <w:rFonts w:ascii="Arial" w:hAnsi="Arial"/>
                <w:sz w:val="16"/>
                <w:szCs w:val="16"/>
                <w:lang w:val="en-AU"/>
              </w:rPr>
              <w:t>QLD - Herbert</w:t>
            </w:r>
          </w:p>
        </w:tc>
        <w:tc>
          <w:tcPr>
            <w:tcW w:w="1191" w:type="dxa"/>
            <w:tcBorders>
              <w:top w:val="nil"/>
              <w:left w:val="nil"/>
              <w:bottom w:val="nil"/>
              <w:right w:val="nil"/>
            </w:tcBorders>
            <w:shd w:val="clear" w:color="FFFFFF" w:fill="auto"/>
            <w:noWrap/>
            <w:vAlign w:val="bottom"/>
          </w:tcPr>
          <w:p w14:paraId="1859F013" w14:textId="77777777" w:rsidR="00E52F66" w:rsidRPr="00353F8D" w:rsidRDefault="00E52F66" w:rsidP="00E52F66">
            <w:pPr>
              <w:keepNext/>
              <w:spacing w:before="0" w:after="0" w:line="276" w:lineRule="auto"/>
              <w:jc w:val="right"/>
              <w:rPr>
                <w:rFonts w:ascii="Arial" w:hAnsi="Arial"/>
                <w:b/>
                <w:bCs/>
                <w:sz w:val="16"/>
                <w:szCs w:val="16"/>
                <w:lang w:val="en-AU"/>
              </w:rPr>
            </w:pPr>
          </w:p>
        </w:tc>
        <w:tc>
          <w:tcPr>
            <w:tcW w:w="1413" w:type="dxa"/>
            <w:tcBorders>
              <w:top w:val="nil"/>
              <w:left w:val="nil"/>
              <w:bottom w:val="nil"/>
              <w:right w:val="nil"/>
            </w:tcBorders>
            <w:shd w:val="clear" w:color="auto" w:fill="auto"/>
            <w:noWrap/>
            <w:vAlign w:val="bottom"/>
          </w:tcPr>
          <w:p w14:paraId="4D5BD3E8" w14:textId="77777777" w:rsidR="00E52F66" w:rsidRPr="009E4B9D" w:rsidRDefault="00E52F66" w:rsidP="00E52F66">
            <w:pPr>
              <w:spacing w:before="0" w:after="0" w:line="276" w:lineRule="auto"/>
              <w:jc w:val="right"/>
              <w:rPr>
                <w:rFonts w:ascii="Arial" w:hAnsi="Arial"/>
                <w:sz w:val="16"/>
                <w:szCs w:val="16"/>
                <w:lang w:eastAsia="en-US"/>
              </w:rPr>
            </w:pPr>
            <w:r w:rsidRPr="009E4B9D">
              <w:rPr>
                <w:rFonts w:ascii="Arial" w:hAnsi="Arial"/>
                <w:sz w:val="16"/>
                <w:szCs w:val="16"/>
                <w:lang w:eastAsia="en-US"/>
              </w:rPr>
              <w:t>1.0</w:t>
            </w:r>
          </w:p>
        </w:tc>
        <w:tc>
          <w:tcPr>
            <w:tcW w:w="1195" w:type="dxa"/>
            <w:tcBorders>
              <w:top w:val="nil"/>
              <w:left w:val="nil"/>
              <w:bottom w:val="nil"/>
              <w:right w:val="nil"/>
            </w:tcBorders>
            <w:shd w:val="clear" w:color="auto" w:fill="auto"/>
            <w:noWrap/>
            <w:vAlign w:val="bottom"/>
          </w:tcPr>
          <w:p w14:paraId="56DD3E4D" w14:textId="77777777" w:rsidR="00E52F66" w:rsidRPr="009E4B9D" w:rsidRDefault="00E52F66" w:rsidP="00E52F66">
            <w:pPr>
              <w:spacing w:before="0" w:after="0" w:line="276" w:lineRule="auto"/>
              <w:jc w:val="right"/>
              <w:rPr>
                <w:rFonts w:ascii="Arial" w:hAnsi="Arial"/>
                <w:sz w:val="16"/>
                <w:szCs w:val="16"/>
                <w:lang w:eastAsia="en-US"/>
              </w:rPr>
            </w:pPr>
            <w:r w:rsidRPr="009E4B9D">
              <w:rPr>
                <w:rFonts w:ascii="Arial" w:hAnsi="Arial"/>
                <w:sz w:val="16"/>
                <w:szCs w:val="16"/>
                <w:lang w:eastAsia="en-US"/>
              </w:rPr>
              <w:t>12.0</w:t>
            </w:r>
          </w:p>
        </w:tc>
      </w:tr>
      <w:tr w:rsidR="00E52F66" w:rsidRPr="00BA1388" w14:paraId="12F4E0F9" w14:textId="77777777" w:rsidTr="00F600B5">
        <w:trPr>
          <w:trHeight w:val="255"/>
        </w:trPr>
        <w:tc>
          <w:tcPr>
            <w:tcW w:w="3085" w:type="dxa"/>
            <w:tcBorders>
              <w:top w:val="nil"/>
              <w:left w:val="nil"/>
              <w:bottom w:val="nil"/>
              <w:right w:val="nil"/>
            </w:tcBorders>
            <w:shd w:val="clear" w:color="auto" w:fill="auto"/>
            <w:vAlign w:val="bottom"/>
          </w:tcPr>
          <w:p w14:paraId="5FB11129" w14:textId="77777777" w:rsidR="00E52F66" w:rsidRPr="008659FE" w:rsidRDefault="00E52F66" w:rsidP="00E52F66">
            <w:pPr>
              <w:spacing w:before="0" w:after="0" w:line="276" w:lineRule="auto"/>
              <w:ind w:left="179"/>
              <w:rPr>
                <w:rFonts w:ascii="Arial" w:hAnsi="Arial"/>
                <w:sz w:val="16"/>
                <w:szCs w:val="16"/>
                <w:lang w:val="en-AU"/>
              </w:rPr>
            </w:pPr>
            <w:r w:rsidRPr="008659FE">
              <w:rPr>
                <w:rFonts w:ascii="Arial" w:hAnsi="Arial"/>
                <w:sz w:val="16"/>
                <w:szCs w:val="16"/>
                <w:lang w:val="en-AU"/>
              </w:rPr>
              <w:t>RAAF Curtin</w:t>
            </w:r>
          </w:p>
        </w:tc>
        <w:tc>
          <w:tcPr>
            <w:tcW w:w="1790" w:type="dxa"/>
            <w:tcBorders>
              <w:top w:val="nil"/>
              <w:left w:val="nil"/>
              <w:bottom w:val="nil"/>
              <w:right w:val="nil"/>
            </w:tcBorders>
            <w:shd w:val="clear" w:color="FFFFFF" w:fill="auto"/>
            <w:noWrap/>
            <w:vAlign w:val="bottom"/>
          </w:tcPr>
          <w:p w14:paraId="26EC4AC2" w14:textId="77777777" w:rsidR="00E52F66" w:rsidRPr="008659FE" w:rsidRDefault="00E52F66" w:rsidP="00E52F66">
            <w:pPr>
              <w:spacing w:before="0" w:after="0" w:line="276" w:lineRule="auto"/>
              <w:jc w:val="right"/>
              <w:rPr>
                <w:rFonts w:ascii="Arial" w:hAnsi="Arial"/>
                <w:sz w:val="16"/>
                <w:szCs w:val="16"/>
                <w:lang w:val="en-AU"/>
              </w:rPr>
            </w:pPr>
            <w:r w:rsidRPr="008659FE">
              <w:rPr>
                <w:rFonts w:ascii="Arial" w:hAnsi="Arial"/>
                <w:sz w:val="16"/>
                <w:szCs w:val="16"/>
                <w:lang w:val="en-AU"/>
              </w:rPr>
              <w:t>WA - Durack</w:t>
            </w:r>
          </w:p>
        </w:tc>
        <w:tc>
          <w:tcPr>
            <w:tcW w:w="1191" w:type="dxa"/>
            <w:tcBorders>
              <w:top w:val="nil"/>
              <w:left w:val="nil"/>
              <w:bottom w:val="nil"/>
              <w:right w:val="nil"/>
            </w:tcBorders>
            <w:shd w:val="clear" w:color="FFFFFF" w:fill="auto"/>
            <w:noWrap/>
            <w:vAlign w:val="bottom"/>
          </w:tcPr>
          <w:p w14:paraId="51FCB2E4" w14:textId="77777777" w:rsidR="00E52F66" w:rsidRPr="00353F8D" w:rsidRDefault="00E52F66" w:rsidP="00E52F66">
            <w:pPr>
              <w:keepNext/>
              <w:spacing w:before="0" w:after="0" w:line="276" w:lineRule="auto"/>
              <w:jc w:val="right"/>
              <w:rPr>
                <w:rFonts w:ascii="Arial" w:hAnsi="Arial"/>
                <w:b/>
                <w:bCs/>
                <w:sz w:val="16"/>
                <w:szCs w:val="16"/>
                <w:lang w:val="en-AU"/>
              </w:rPr>
            </w:pPr>
          </w:p>
        </w:tc>
        <w:tc>
          <w:tcPr>
            <w:tcW w:w="1413" w:type="dxa"/>
            <w:tcBorders>
              <w:top w:val="nil"/>
              <w:left w:val="nil"/>
              <w:bottom w:val="nil"/>
              <w:right w:val="nil"/>
            </w:tcBorders>
            <w:shd w:val="clear" w:color="auto" w:fill="auto"/>
            <w:noWrap/>
            <w:vAlign w:val="bottom"/>
          </w:tcPr>
          <w:p w14:paraId="6667BA6E" w14:textId="77777777" w:rsidR="00E52F66" w:rsidRPr="009E4B9D" w:rsidRDefault="00E52F66" w:rsidP="00E52F66">
            <w:pPr>
              <w:spacing w:before="0" w:after="0" w:line="276" w:lineRule="auto"/>
              <w:jc w:val="right"/>
              <w:rPr>
                <w:rFonts w:ascii="Arial" w:hAnsi="Arial"/>
                <w:sz w:val="16"/>
                <w:szCs w:val="16"/>
                <w:lang w:eastAsia="en-US"/>
              </w:rPr>
            </w:pPr>
            <w:r w:rsidRPr="009E4B9D">
              <w:rPr>
                <w:rFonts w:ascii="Arial" w:hAnsi="Arial"/>
                <w:sz w:val="16"/>
                <w:szCs w:val="16"/>
                <w:lang w:eastAsia="en-US"/>
              </w:rPr>
              <w:t>15.2</w:t>
            </w:r>
          </w:p>
        </w:tc>
        <w:tc>
          <w:tcPr>
            <w:tcW w:w="1195" w:type="dxa"/>
            <w:tcBorders>
              <w:top w:val="nil"/>
              <w:left w:val="nil"/>
              <w:bottom w:val="nil"/>
              <w:right w:val="nil"/>
            </w:tcBorders>
            <w:shd w:val="clear" w:color="auto" w:fill="auto"/>
            <w:noWrap/>
            <w:vAlign w:val="bottom"/>
          </w:tcPr>
          <w:p w14:paraId="3467F37D" w14:textId="77777777" w:rsidR="00E52F66" w:rsidRPr="009E4B9D" w:rsidRDefault="00E52F66" w:rsidP="00E52F66">
            <w:pPr>
              <w:spacing w:before="0" w:after="0" w:line="276" w:lineRule="auto"/>
              <w:jc w:val="right"/>
              <w:rPr>
                <w:rFonts w:ascii="Arial" w:hAnsi="Arial"/>
                <w:sz w:val="16"/>
                <w:szCs w:val="16"/>
                <w:lang w:eastAsia="en-US"/>
              </w:rPr>
            </w:pPr>
            <w:r w:rsidRPr="009E4B9D">
              <w:rPr>
                <w:rFonts w:ascii="Arial" w:hAnsi="Arial"/>
                <w:sz w:val="16"/>
                <w:szCs w:val="16"/>
                <w:lang w:eastAsia="en-US"/>
              </w:rPr>
              <w:t>-</w:t>
            </w:r>
          </w:p>
        </w:tc>
      </w:tr>
      <w:tr w:rsidR="00E52F66" w:rsidRPr="00BA1388" w14:paraId="300BD43A" w14:textId="77777777" w:rsidTr="00F600B5">
        <w:trPr>
          <w:trHeight w:val="255"/>
        </w:trPr>
        <w:tc>
          <w:tcPr>
            <w:tcW w:w="3085" w:type="dxa"/>
            <w:tcBorders>
              <w:top w:val="nil"/>
              <w:left w:val="nil"/>
              <w:bottom w:val="nil"/>
              <w:right w:val="nil"/>
            </w:tcBorders>
            <w:shd w:val="clear" w:color="auto" w:fill="auto"/>
            <w:vAlign w:val="bottom"/>
          </w:tcPr>
          <w:p w14:paraId="57676CC6" w14:textId="77777777" w:rsidR="00E52F66" w:rsidRPr="008659FE" w:rsidRDefault="00E52F66" w:rsidP="00E52F66">
            <w:pPr>
              <w:spacing w:before="0" w:after="0" w:line="276" w:lineRule="auto"/>
              <w:ind w:left="179"/>
              <w:rPr>
                <w:rFonts w:ascii="Arial" w:hAnsi="Arial"/>
                <w:sz w:val="16"/>
                <w:szCs w:val="16"/>
                <w:lang w:val="en-AU"/>
              </w:rPr>
            </w:pPr>
            <w:r w:rsidRPr="008659FE">
              <w:rPr>
                <w:rFonts w:ascii="Arial" w:hAnsi="Arial"/>
                <w:sz w:val="16"/>
                <w:szCs w:val="16"/>
                <w:lang w:val="en-AU"/>
              </w:rPr>
              <w:t>RAAF Tindal</w:t>
            </w:r>
          </w:p>
        </w:tc>
        <w:tc>
          <w:tcPr>
            <w:tcW w:w="1790" w:type="dxa"/>
            <w:tcBorders>
              <w:top w:val="nil"/>
              <w:left w:val="nil"/>
              <w:bottom w:val="nil"/>
              <w:right w:val="nil"/>
            </w:tcBorders>
            <w:shd w:val="clear" w:color="FFFFFF" w:fill="auto"/>
            <w:noWrap/>
            <w:vAlign w:val="bottom"/>
          </w:tcPr>
          <w:p w14:paraId="35C4CA3D" w14:textId="77777777" w:rsidR="00E52F66" w:rsidRPr="008659FE" w:rsidRDefault="00E52F66" w:rsidP="00E52F66">
            <w:pPr>
              <w:spacing w:before="0" w:after="0" w:line="276" w:lineRule="auto"/>
              <w:jc w:val="right"/>
              <w:rPr>
                <w:rFonts w:ascii="Arial" w:hAnsi="Arial"/>
                <w:sz w:val="16"/>
                <w:szCs w:val="16"/>
                <w:lang w:val="en-AU"/>
              </w:rPr>
            </w:pPr>
            <w:r w:rsidRPr="008659FE">
              <w:rPr>
                <w:rFonts w:ascii="Arial" w:hAnsi="Arial"/>
                <w:sz w:val="16"/>
                <w:szCs w:val="16"/>
                <w:lang w:val="en-AU"/>
              </w:rPr>
              <w:t>NT - Lingiari</w:t>
            </w:r>
          </w:p>
        </w:tc>
        <w:tc>
          <w:tcPr>
            <w:tcW w:w="1191" w:type="dxa"/>
            <w:tcBorders>
              <w:top w:val="nil"/>
              <w:left w:val="nil"/>
              <w:bottom w:val="nil"/>
              <w:right w:val="nil"/>
            </w:tcBorders>
            <w:shd w:val="clear" w:color="FFFFFF" w:fill="auto"/>
            <w:noWrap/>
            <w:vAlign w:val="bottom"/>
          </w:tcPr>
          <w:p w14:paraId="598F45A0" w14:textId="77777777" w:rsidR="00E52F66" w:rsidRPr="00353F8D" w:rsidRDefault="00E52F66" w:rsidP="00E52F66">
            <w:pPr>
              <w:keepNext/>
              <w:spacing w:before="0" w:after="0" w:line="276" w:lineRule="auto"/>
              <w:jc w:val="right"/>
              <w:rPr>
                <w:rFonts w:ascii="Arial" w:hAnsi="Arial"/>
                <w:b/>
                <w:bCs/>
                <w:sz w:val="16"/>
                <w:szCs w:val="16"/>
                <w:lang w:val="en-AU"/>
              </w:rPr>
            </w:pPr>
          </w:p>
        </w:tc>
        <w:tc>
          <w:tcPr>
            <w:tcW w:w="1413" w:type="dxa"/>
            <w:tcBorders>
              <w:top w:val="nil"/>
              <w:left w:val="nil"/>
              <w:bottom w:val="nil"/>
              <w:right w:val="nil"/>
            </w:tcBorders>
            <w:shd w:val="clear" w:color="auto" w:fill="auto"/>
            <w:noWrap/>
            <w:vAlign w:val="bottom"/>
          </w:tcPr>
          <w:p w14:paraId="686EDF31" w14:textId="77777777" w:rsidR="00E52F66" w:rsidRPr="009E4B9D" w:rsidRDefault="00E52F66" w:rsidP="00E52F66">
            <w:pPr>
              <w:spacing w:before="0" w:after="0" w:line="276" w:lineRule="auto"/>
              <w:jc w:val="right"/>
              <w:rPr>
                <w:rFonts w:ascii="Arial" w:hAnsi="Arial"/>
                <w:sz w:val="16"/>
                <w:szCs w:val="16"/>
                <w:lang w:eastAsia="en-US"/>
              </w:rPr>
            </w:pPr>
            <w:r w:rsidRPr="009E4B9D">
              <w:rPr>
                <w:rFonts w:ascii="Arial" w:hAnsi="Arial"/>
                <w:sz w:val="16"/>
                <w:szCs w:val="16"/>
                <w:lang w:eastAsia="en-US"/>
              </w:rPr>
              <w:t>47.5</w:t>
            </w:r>
          </w:p>
        </w:tc>
        <w:tc>
          <w:tcPr>
            <w:tcW w:w="1195" w:type="dxa"/>
            <w:tcBorders>
              <w:top w:val="nil"/>
              <w:left w:val="nil"/>
              <w:bottom w:val="nil"/>
              <w:right w:val="nil"/>
            </w:tcBorders>
            <w:shd w:val="clear" w:color="auto" w:fill="auto"/>
            <w:noWrap/>
            <w:vAlign w:val="bottom"/>
          </w:tcPr>
          <w:p w14:paraId="0075535D" w14:textId="77777777" w:rsidR="00E52F66" w:rsidRPr="009E4B9D" w:rsidRDefault="00E52F66" w:rsidP="00E52F66">
            <w:pPr>
              <w:spacing w:before="0" w:after="0" w:line="276" w:lineRule="auto"/>
              <w:jc w:val="right"/>
              <w:rPr>
                <w:rFonts w:ascii="Arial" w:hAnsi="Arial"/>
                <w:sz w:val="16"/>
                <w:szCs w:val="16"/>
                <w:lang w:eastAsia="en-US"/>
              </w:rPr>
            </w:pPr>
            <w:r w:rsidRPr="009E4B9D">
              <w:rPr>
                <w:rFonts w:ascii="Arial" w:hAnsi="Arial"/>
                <w:sz w:val="16"/>
                <w:szCs w:val="16"/>
                <w:lang w:eastAsia="en-US"/>
              </w:rPr>
              <w:t>-</w:t>
            </w:r>
          </w:p>
        </w:tc>
      </w:tr>
      <w:tr w:rsidR="00E52F66" w:rsidRPr="00BA1388" w14:paraId="13B20860" w14:textId="77777777" w:rsidTr="00F600B5">
        <w:trPr>
          <w:trHeight w:val="255"/>
        </w:trPr>
        <w:tc>
          <w:tcPr>
            <w:tcW w:w="3085" w:type="dxa"/>
            <w:tcBorders>
              <w:top w:val="nil"/>
              <w:left w:val="nil"/>
              <w:bottom w:val="single" w:sz="4" w:space="0" w:color="auto"/>
              <w:right w:val="nil"/>
            </w:tcBorders>
            <w:shd w:val="clear" w:color="auto" w:fill="auto"/>
            <w:vAlign w:val="bottom"/>
          </w:tcPr>
          <w:p w14:paraId="50D98CD0" w14:textId="77777777" w:rsidR="00E52F66" w:rsidRPr="008659FE" w:rsidRDefault="00E52F66" w:rsidP="00E52F66">
            <w:pPr>
              <w:spacing w:before="0" w:after="0" w:line="276" w:lineRule="auto"/>
              <w:rPr>
                <w:rFonts w:ascii="Arial" w:hAnsi="Arial"/>
                <w:b/>
                <w:bCs/>
                <w:sz w:val="16"/>
                <w:szCs w:val="16"/>
                <w:lang w:val="en-AU"/>
              </w:rPr>
            </w:pPr>
            <w:r w:rsidRPr="008659FE">
              <w:rPr>
                <w:rFonts w:ascii="Arial" w:hAnsi="Arial"/>
                <w:b/>
                <w:bCs/>
                <w:sz w:val="16"/>
                <w:szCs w:val="16"/>
                <w:lang w:val="en-AU"/>
              </w:rPr>
              <w:t>Total</w:t>
            </w:r>
          </w:p>
        </w:tc>
        <w:tc>
          <w:tcPr>
            <w:tcW w:w="1790" w:type="dxa"/>
            <w:tcBorders>
              <w:top w:val="nil"/>
              <w:left w:val="nil"/>
              <w:bottom w:val="single" w:sz="4" w:space="0" w:color="auto"/>
              <w:right w:val="nil"/>
            </w:tcBorders>
            <w:shd w:val="clear" w:color="FFFFFF" w:fill="auto"/>
            <w:noWrap/>
            <w:vAlign w:val="bottom"/>
          </w:tcPr>
          <w:p w14:paraId="44FBE170" w14:textId="77777777" w:rsidR="00E52F66" w:rsidRPr="008659FE" w:rsidRDefault="00E52F66" w:rsidP="00E52F66">
            <w:pPr>
              <w:keepNext/>
              <w:spacing w:before="0" w:after="0" w:line="276" w:lineRule="auto"/>
              <w:jc w:val="right"/>
              <w:rPr>
                <w:rFonts w:ascii="Arial" w:hAnsi="Arial"/>
                <w:sz w:val="16"/>
                <w:szCs w:val="16"/>
                <w:lang w:val="en-AU"/>
              </w:rPr>
            </w:pPr>
          </w:p>
        </w:tc>
        <w:tc>
          <w:tcPr>
            <w:tcW w:w="1191" w:type="dxa"/>
            <w:tcBorders>
              <w:top w:val="nil"/>
              <w:left w:val="nil"/>
              <w:bottom w:val="single" w:sz="4" w:space="0" w:color="auto"/>
              <w:right w:val="nil"/>
            </w:tcBorders>
            <w:shd w:val="clear" w:color="FFFFFF" w:fill="auto"/>
            <w:noWrap/>
            <w:vAlign w:val="bottom"/>
          </w:tcPr>
          <w:p w14:paraId="0E046DFE" w14:textId="77777777" w:rsidR="00E52F66" w:rsidRPr="00353F8D" w:rsidRDefault="00E52F66" w:rsidP="00E52F66">
            <w:pPr>
              <w:keepNext/>
              <w:spacing w:before="0" w:after="0" w:line="276" w:lineRule="auto"/>
              <w:jc w:val="right"/>
              <w:rPr>
                <w:rFonts w:ascii="Arial" w:hAnsi="Arial"/>
                <w:b/>
                <w:bCs/>
                <w:sz w:val="16"/>
                <w:szCs w:val="16"/>
                <w:lang w:val="en-AU"/>
              </w:rPr>
            </w:pPr>
            <w:r w:rsidRPr="00353F8D">
              <w:rPr>
                <w:rFonts w:ascii="Arial" w:hAnsi="Arial"/>
                <w:b/>
                <w:sz w:val="16"/>
                <w:szCs w:val="16"/>
                <w:lang w:val="en-AU"/>
              </w:rPr>
              <w:t>95.3</w:t>
            </w:r>
          </w:p>
        </w:tc>
        <w:tc>
          <w:tcPr>
            <w:tcW w:w="1413" w:type="dxa"/>
            <w:tcBorders>
              <w:top w:val="nil"/>
              <w:left w:val="nil"/>
              <w:bottom w:val="single" w:sz="4" w:space="0" w:color="auto"/>
              <w:right w:val="nil"/>
            </w:tcBorders>
            <w:shd w:val="clear" w:color="auto" w:fill="auto"/>
            <w:noWrap/>
            <w:vAlign w:val="bottom"/>
          </w:tcPr>
          <w:p w14:paraId="5AFC56C1" w14:textId="77777777" w:rsidR="00E52F66" w:rsidRPr="009E4B9D" w:rsidRDefault="00E52F66" w:rsidP="00E52F66">
            <w:pPr>
              <w:spacing w:before="0" w:after="0" w:line="276" w:lineRule="auto"/>
              <w:jc w:val="right"/>
              <w:rPr>
                <w:rFonts w:ascii="Arial" w:hAnsi="Arial"/>
                <w:b/>
                <w:sz w:val="16"/>
                <w:szCs w:val="16"/>
                <w:lang w:eastAsia="en-US"/>
              </w:rPr>
            </w:pPr>
            <w:r w:rsidRPr="009E4B9D">
              <w:rPr>
                <w:rFonts w:ascii="Arial" w:hAnsi="Arial"/>
                <w:b/>
                <w:sz w:val="16"/>
                <w:szCs w:val="16"/>
                <w:lang w:eastAsia="en-US"/>
              </w:rPr>
              <w:t>63.8</w:t>
            </w:r>
          </w:p>
        </w:tc>
        <w:tc>
          <w:tcPr>
            <w:tcW w:w="1195" w:type="dxa"/>
            <w:tcBorders>
              <w:top w:val="nil"/>
              <w:left w:val="nil"/>
              <w:bottom w:val="single" w:sz="4" w:space="0" w:color="auto"/>
              <w:right w:val="nil"/>
            </w:tcBorders>
            <w:shd w:val="clear" w:color="auto" w:fill="auto"/>
            <w:noWrap/>
            <w:vAlign w:val="bottom"/>
          </w:tcPr>
          <w:p w14:paraId="1D990DC5" w14:textId="77777777" w:rsidR="00E52F66" w:rsidRPr="009E4B9D" w:rsidRDefault="00E52F66" w:rsidP="00E52F66">
            <w:pPr>
              <w:spacing w:before="0" w:after="0" w:line="276" w:lineRule="auto"/>
              <w:jc w:val="right"/>
              <w:rPr>
                <w:rFonts w:ascii="Arial" w:hAnsi="Arial"/>
                <w:b/>
                <w:sz w:val="16"/>
                <w:szCs w:val="16"/>
                <w:lang w:eastAsia="en-US"/>
              </w:rPr>
            </w:pPr>
            <w:r w:rsidRPr="009E4B9D">
              <w:rPr>
                <w:rFonts w:ascii="Arial" w:hAnsi="Arial"/>
                <w:b/>
                <w:sz w:val="16"/>
                <w:szCs w:val="16"/>
                <w:lang w:eastAsia="en-US"/>
              </w:rPr>
              <w:t>12.0</w:t>
            </w:r>
          </w:p>
        </w:tc>
      </w:tr>
      <w:tr w:rsidR="00E52F66" w:rsidRPr="00BA1388" w14:paraId="76BB4958" w14:textId="77777777" w:rsidTr="00E52F66">
        <w:trPr>
          <w:trHeight w:val="255"/>
        </w:trPr>
        <w:tc>
          <w:tcPr>
            <w:tcW w:w="3085" w:type="dxa"/>
            <w:tcBorders>
              <w:top w:val="single" w:sz="4" w:space="0" w:color="auto"/>
              <w:left w:val="nil"/>
              <w:bottom w:val="nil"/>
              <w:right w:val="nil"/>
            </w:tcBorders>
            <w:shd w:val="clear" w:color="auto" w:fill="auto"/>
            <w:vAlign w:val="bottom"/>
          </w:tcPr>
          <w:p w14:paraId="2FF7FB21" w14:textId="77777777" w:rsidR="00E52F66" w:rsidRPr="008659FE" w:rsidRDefault="00E52F66" w:rsidP="00E52F66">
            <w:pPr>
              <w:spacing w:before="0" w:after="0" w:line="276" w:lineRule="auto"/>
              <w:rPr>
                <w:rFonts w:ascii="Arial" w:hAnsi="Arial"/>
                <w:b/>
                <w:bCs/>
                <w:sz w:val="16"/>
                <w:szCs w:val="16"/>
                <w:lang w:val="en-AU"/>
              </w:rPr>
            </w:pPr>
            <w:r w:rsidRPr="008659FE">
              <w:rPr>
                <w:rFonts w:ascii="Arial" w:hAnsi="Arial"/>
                <w:b/>
                <w:bCs/>
                <w:sz w:val="16"/>
                <w:szCs w:val="16"/>
                <w:lang w:val="en-AU"/>
              </w:rPr>
              <w:t>Cultana Training Area Redevelopment Phase 2</w:t>
            </w:r>
          </w:p>
        </w:tc>
        <w:tc>
          <w:tcPr>
            <w:tcW w:w="1790" w:type="dxa"/>
            <w:tcBorders>
              <w:top w:val="single" w:sz="4" w:space="0" w:color="auto"/>
              <w:left w:val="nil"/>
              <w:bottom w:val="nil"/>
              <w:right w:val="nil"/>
            </w:tcBorders>
            <w:shd w:val="clear" w:color="FFFFFF" w:fill="auto"/>
            <w:noWrap/>
            <w:vAlign w:val="bottom"/>
          </w:tcPr>
          <w:p w14:paraId="5769F9ED" w14:textId="77777777" w:rsidR="00E52F66" w:rsidRPr="008659FE" w:rsidRDefault="00E52F66" w:rsidP="00E52F66">
            <w:pPr>
              <w:spacing w:before="0" w:after="0" w:line="276" w:lineRule="auto"/>
              <w:jc w:val="right"/>
              <w:rPr>
                <w:rFonts w:ascii="Arial" w:hAnsi="Arial"/>
                <w:b/>
                <w:sz w:val="16"/>
                <w:szCs w:val="16"/>
                <w:lang w:val="en-AU"/>
              </w:rPr>
            </w:pPr>
          </w:p>
        </w:tc>
        <w:tc>
          <w:tcPr>
            <w:tcW w:w="1191" w:type="dxa"/>
            <w:tcBorders>
              <w:top w:val="single" w:sz="4" w:space="0" w:color="auto"/>
              <w:left w:val="nil"/>
              <w:bottom w:val="nil"/>
              <w:right w:val="nil"/>
            </w:tcBorders>
            <w:shd w:val="clear" w:color="FFFFFF" w:fill="auto"/>
            <w:noWrap/>
            <w:vAlign w:val="bottom"/>
          </w:tcPr>
          <w:p w14:paraId="17A5EA3E" w14:textId="77777777" w:rsidR="00E52F66" w:rsidRPr="00353F8D" w:rsidRDefault="00E52F66" w:rsidP="00E52F66">
            <w:pPr>
              <w:spacing w:before="0" w:after="0" w:line="276" w:lineRule="auto"/>
              <w:jc w:val="right"/>
              <w:rPr>
                <w:rFonts w:ascii="Arial" w:hAnsi="Arial"/>
                <w:b/>
                <w:bCs/>
                <w:sz w:val="16"/>
                <w:szCs w:val="16"/>
                <w:lang w:val="en-AU"/>
              </w:rPr>
            </w:pPr>
          </w:p>
        </w:tc>
        <w:tc>
          <w:tcPr>
            <w:tcW w:w="1413" w:type="dxa"/>
            <w:tcBorders>
              <w:top w:val="single" w:sz="4" w:space="0" w:color="auto"/>
              <w:left w:val="nil"/>
              <w:bottom w:val="nil"/>
              <w:right w:val="nil"/>
            </w:tcBorders>
            <w:shd w:val="clear" w:color="auto" w:fill="auto"/>
            <w:noWrap/>
            <w:vAlign w:val="bottom"/>
          </w:tcPr>
          <w:p w14:paraId="53180AA3" w14:textId="77777777" w:rsidR="00E52F66" w:rsidRPr="009E4B9D" w:rsidRDefault="00E52F66" w:rsidP="00E52F66">
            <w:pPr>
              <w:spacing w:before="0" w:after="0" w:line="276" w:lineRule="auto"/>
              <w:jc w:val="right"/>
              <w:rPr>
                <w:rFonts w:ascii="Arial" w:hAnsi="Arial"/>
                <w:b/>
                <w:sz w:val="16"/>
                <w:szCs w:val="16"/>
                <w:lang w:eastAsia="en-US"/>
              </w:rPr>
            </w:pPr>
          </w:p>
        </w:tc>
        <w:tc>
          <w:tcPr>
            <w:tcW w:w="1195" w:type="dxa"/>
            <w:tcBorders>
              <w:top w:val="single" w:sz="4" w:space="0" w:color="auto"/>
              <w:left w:val="nil"/>
              <w:bottom w:val="nil"/>
              <w:right w:val="nil"/>
            </w:tcBorders>
            <w:shd w:val="clear" w:color="auto" w:fill="auto"/>
            <w:noWrap/>
            <w:vAlign w:val="bottom"/>
          </w:tcPr>
          <w:p w14:paraId="5C5CFF4E" w14:textId="77777777" w:rsidR="00E52F66" w:rsidRPr="009E4B9D" w:rsidRDefault="00E52F66" w:rsidP="00E52F66">
            <w:pPr>
              <w:spacing w:before="0" w:after="0" w:line="276" w:lineRule="auto"/>
              <w:jc w:val="right"/>
              <w:rPr>
                <w:rFonts w:ascii="Arial" w:hAnsi="Arial"/>
                <w:b/>
                <w:sz w:val="16"/>
                <w:szCs w:val="16"/>
                <w:lang w:eastAsia="en-US"/>
              </w:rPr>
            </w:pPr>
          </w:p>
        </w:tc>
      </w:tr>
      <w:tr w:rsidR="00E52F66" w:rsidRPr="00BA1388" w14:paraId="00EBEA75" w14:textId="77777777" w:rsidTr="00E52F66">
        <w:trPr>
          <w:trHeight w:val="255"/>
        </w:trPr>
        <w:tc>
          <w:tcPr>
            <w:tcW w:w="3085" w:type="dxa"/>
            <w:tcBorders>
              <w:top w:val="nil"/>
              <w:left w:val="nil"/>
              <w:bottom w:val="single" w:sz="4" w:space="0" w:color="auto"/>
              <w:right w:val="nil"/>
            </w:tcBorders>
            <w:shd w:val="clear" w:color="auto" w:fill="auto"/>
            <w:vAlign w:val="bottom"/>
          </w:tcPr>
          <w:p w14:paraId="09F9B866" w14:textId="77777777" w:rsidR="00E52F66" w:rsidRPr="008659FE" w:rsidRDefault="00E52F66" w:rsidP="00E52F66">
            <w:pPr>
              <w:spacing w:before="0" w:after="0" w:line="276" w:lineRule="auto"/>
              <w:ind w:left="179"/>
              <w:rPr>
                <w:rFonts w:ascii="Arial" w:hAnsi="Arial"/>
                <w:b/>
                <w:bCs/>
                <w:sz w:val="16"/>
                <w:szCs w:val="16"/>
                <w:lang w:val="en-AU"/>
              </w:rPr>
            </w:pPr>
            <w:r w:rsidRPr="008659FE">
              <w:rPr>
                <w:rFonts w:ascii="Arial" w:hAnsi="Arial"/>
                <w:sz w:val="16"/>
                <w:szCs w:val="16"/>
                <w:lang w:val="en-AU"/>
              </w:rPr>
              <w:t>Cultana Training Area</w:t>
            </w:r>
          </w:p>
        </w:tc>
        <w:tc>
          <w:tcPr>
            <w:tcW w:w="1790" w:type="dxa"/>
            <w:tcBorders>
              <w:top w:val="nil"/>
              <w:left w:val="nil"/>
              <w:bottom w:val="single" w:sz="4" w:space="0" w:color="auto"/>
              <w:right w:val="nil"/>
            </w:tcBorders>
            <w:shd w:val="clear" w:color="FFFFFF" w:fill="auto"/>
            <w:noWrap/>
            <w:vAlign w:val="bottom"/>
          </w:tcPr>
          <w:p w14:paraId="4C23C53F" w14:textId="77777777" w:rsidR="00E52F66" w:rsidRPr="008659FE" w:rsidRDefault="00E52F66" w:rsidP="00E52F66">
            <w:pPr>
              <w:spacing w:before="0" w:after="0" w:line="276" w:lineRule="auto"/>
              <w:jc w:val="right"/>
              <w:rPr>
                <w:rFonts w:ascii="Arial" w:hAnsi="Arial"/>
                <w:sz w:val="16"/>
                <w:szCs w:val="16"/>
                <w:lang w:val="en-AU"/>
              </w:rPr>
            </w:pPr>
            <w:r w:rsidRPr="008659FE">
              <w:rPr>
                <w:rFonts w:ascii="Arial" w:hAnsi="Arial"/>
                <w:sz w:val="16"/>
                <w:szCs w:val="16"/>
                <w:lang w:val="en-AU"/>
              </w:rPr>
              <w:t>SA - Grey</w:t>
            </w:r>
          </w:p>
        </w:tc>
        <w:tc>
          <w:tcPr>
            <w:tcW w:w="1191" w:type="dxa"/>
            <w:tcBorders>
              <w:top w:val="nil"/>
              <w:left w:val="nil"/>
              <w:bottom w:val="single" w:sz="4" w:space="0" w:color="auto"/>
              <w:right w:val="nil"/>
            </w:tcBorders>
            <w:shd w:val="clear" w:color="FFFFFF" w:fill="auto"/>
            <w:noWrap/>
            <w:vAlign w:val="bottom"/>
          </w:tcPr>
          <w:p w14:paraId="1352D177" w14:textId="77777777" w:rsidR="00E52F66" w:rsidRPr="00353F8D" w:rsidRDefault="00E52F66" w:rsidP="00E52F66">
            <w:pPr>
              <w:spacing w:before="0" w:after="0" w:line="276" w:lineRule="auto"/>
              <w:jc w:val="right"/>
              <w:rPr>
                <w:rFonts w:ascii="Arial" w:hAnsi="Arial"/>
                <w:b/>
                <w:sz w:val="16"/>
                <w:szCs w:val="16"/>
                <w:lang w:val="en-AU"/>
              </w:rPr>
            </w:pPr>
            <w:r w:rsidRPr="00353F8D">
              <w:rPr>
                <w:rFonts w:ascii="Arial" w:hAnsi="Arial"/>
                <w:b/>
                <w:sz w:val="16"/>
                <w:szCs w:val="16"/>
                <w:lang w:val="en-AU"/>
              </w:rPr>
              <w:t>79.8</w:t>
            </w:r>
          </w:p>
        </w:tc>
        <w:tc>
          <w:tcPr>
            <w:tcW w:w="1413" w:type="dxa"/>
            <w:tcBorders>
              <w:top w:val="nil"/>
              <w:left w:val="nil"/>
              <w:bottom w:val="single" w:sz="4" w:space="0" w:color="auto"/>
              <w:right w:val="nil"/>
            </w:tcBorders>
            <w:shd w:val="clear" w:color="auto" w:fill="auto"/>
            <w:noWrap/>
            <w:vAlign w:val="bottom"/>
          </w:tcPr>
          <w:p w14:paraId="6B3A71F5" w14:textId="77777777" w:rsidR="00E52F66" w:rsidRPr="009E4B9D" w:rsidRDefault="00E52F66" w:rsidP="00E52F66">
            <w:pPr>
              <w:spacing w:before="0" w:after="0" w:line="276" w:lineRule="auto"/>
              <w:jc w:val="right"/>
              <w:rPr>
                <w:rFonts w:ascii="Arial" w:hAnsi="Arial"/>
                <w:b/>
                <w:sz w:val="16"/>
                <w:szCs w:val="16"/>
                <w:lang w:eastAsia="en-US"/>
              </w:rPr>
            </w:pPr>
            <w:r w:rsidRPr="009E4B9D">
              <w:rPr>
                <w:rFonts w:ascii="Arial" w:hAnsi="Arial"/>
                <w:b/>
                <w:sz w:val="16"/>
                <w:szCs w:val="16"/>
                <w:lang w:eastAsia="en-US"/>
              </w:rPr>
              <w:t>9.3</w:t>
            </w:r>
          </w:p>
        </w:tc>
        <w:tc>
          <w:tcPr>
            <w:tcW w:w="1195" w:type="dxa"/>
            <w:tcBorders>
              <w:top w:val="nil"/>
              <w:left w:val="nil"/>
              <w:bottom w:val="single" w:sz="4" w:space="0" w:color="auto"/>
              <w:right w:val="nil"/>
            </w:tcBorders>
            <w:shd w:val="clear" w:color="auto" w:fill="auto"/>
            <w:noWrap/>
            <w:vAlign w:val="bottom"/>
          </w:tcPr>
          <w:p w14:paraId="3C32B8E5" w14:textId="77777777" w:rsidR="00E52F66" w:rsidRPr="009E4B9D" w:rsidRDefault="00E52F66" w:rsidP="00E52F66">
            <w:pPr>
              <w:spacing w:before="0" w:after="0" w:line="276" w:lineRule="auto"/>
              <w:jc w:val="right"/>
              <w:rPr>
                <w:rFonts w:ascii="Arial" w:hAnsi="Arial"/>
                <w:b/>
                <w:sz w:val="16"/>
                <w:szCs w:val="16"/>
                <w:lang w:eastAsia="en-US"/>
              </w:rPr>
            </w:pPr>
            <w:r w:rsidRPr="009E4B9D">
              <w:rPr>
                <w:rFonts w:ascii="Arial" w:hAnsi="Arial"/>
                <w:b/>
                <w:sz w:val="16"/>
                <w:szCs w:val="16"/>
                <w:lang w:eastAsia="en-US"/>
              </w:rPr>
              <w:t>20.9</w:t>
            </w:r>
          </w:p>
        </w:tc>
      </w:tr>
      <w:tr w:rsidR="00E52F66" w:rsidRPr="00BA1388" w14:paraId="2CE12C6B" w14:textId="77777777" w:rsidTr="00F600B5">
        <w:trPr>
          <w:trHeight w:val="255"/>
        </w:trPr>
        <w:tc>
          <w:tcPr>
            <w:tcW w:w="3085" w:type="dxa"/>
            <w:tcBorders>
              <w:top w:val="single" w:sz="4" w:space="0" w:color="auto"/>
              <w:left w:val="nil"/>
              <w:bottom w:val="nil"/>
              <w:right w:val="nil"/>
            </w:tcBorders>
            <w:shd w:val="clear" w:color="auto" w:fill="auto"/>
            <w:vAlign w:val="bottom"/>
          </w:tcPr>
          <w:p w14:paraId="758E45FE" w14:textId="7A872E23" w:rsidR="00E52F66" w:rsidRPr="008659FE" w:rsidRDefault="00E52F66" w:rsidP="00E52F66">
            <w:pPr>
              <w:spacing w:before="0" w:after="0" w:line="276" w:lineRule="auto"/>
              <w:rPr>
                <w:rFonts w:ascii="Arial" w:hAnsi="Arial"/>
                <w:b/>
                <w:sz w:val="16"/>
                <w:szCs w:val="16"/>
                <w:lang w:val="en-AU"/>
              </w:rPr>
            </w:pPr>
            <w:r w:rsidRPr="008659FE">
              <w:rPr>
                <w:rFonts w:ascii="Arial" w:hAnsi="Arial"/>
                <w:b/>
                <w:bCs/>
                <w:sz w:val="16"/>
                <w:szCs w:val="16"/>
                <w:lang w:val="en-AU"/>
              </w:rPr>
              <w:t>Facilities to Support JP</w:t>
            </w:r>
            <w:r w:rsidR="00A13DDC">
              <w:rPr>
                <w:rFonts w:ascii="Arial" w:hAnsi="Arial"/>
                <w:b/>
                <w:bCs/>
                <w:sz w:val="16"/>
                <w:szCs w:val="16"/>
                <w:lang w:val="en-AU"/>
              </w:rPr>
              <w:t xml:space="preserve"> </w:t>
            </w:r>
            <w:r w:rsidRPr="008659FE">
              <w:rPr>
                <w:rFonts w:ascii="Arial" w:hAnsi="Arial"/>
                <w:b/>
                <w:bCs/>
                <w:sz w:val="16"/>
                <w:szCs w:val="16"/>
                <w:lang w:val="en-AU"/>
              </w:rPr>
              <w:t>9111 Phase 1 Warfighting Networks and Applications Tranche 1 Early Works</w:t>
            </w:r>
          </w:p>
        </w:tc>
        <w:tc>
          <w:tcPr>
            <w:tcW w:w="1790" w:type="dxa"/>
            <w:tcBorders>
              <w:top w:val="single" w:sz="4" w:space="0" w:color="auto"/>
              <w:left w:val="nil"/>
              <w:bottom w:val="nil"/>
              <w:right w:val="nil"/>
            </w:tcBorders>
            <w:shd w:val="clear" w:color="FFFFFF" w:fill="auto"/>
            <w:noWrap/>
            <w:vAlign w:val="bottom"/>
          </w:tcPr>
          <w:p w14:paraId="6E202A04" w14:textId="77777777" w:rsidR="00E52F66" w:rsidRPr="008659FE" w:rsidRDefault="00E52F66" w:rsidP="00E52F66">
            <w:pPr>
              <w:spacing w:before="0" w:after="0" w:line="276" w:lineRule="auto"/>
              <w:jc w:val="right"/>
              <w:rPr>
                <w:rFonts w:ascii="Arial" w:hAnsi="Arial"/>
                <w:color w:val="000000"/>
                <w:sz w:val="16"/>
                <w:szCs w:val="16"/>
              </w:rPr>
            </w:pPr>
          </w:p>
          <w:p w14:paraId="62F8D3DC" w14:textId="77777777" w:rsidR="00E52F66" w:rsidRPr="008659FE" w:rsidRDefault="00E52F66" w:rsidP="00E52F66">
            <w:pPr>
              <w:spacing w:before="0" w:after="0" w:line="276" w:lineRule="auto"/>
              <w:jc w:val="right"/>
              <w:rPr>
                <w:rFonts w:ascii="Arial" w:hAnsi="Arial"/>
                <w:color w:val="000000"/>
                <w:sz w:val="16"/>
                <w:szCs w:val="16"/>
              </w:rPr>
            </w:pPr>
          </w:p>
          <w:p w14:paraId="7EE49B39" w14:textId="77777777" w:rsidR="00E52F66" w:rsidRPr="008659FE" w:rsidRDefault="00E52F66" w:rsidP="00E52F66">
            <w:pPr>
              <w:spacing w:before="0" w:after="0" w:line="276" w:lineRule="auto"/>
              <w:jc w:val="right"/>
              <w:rPr>
                <w:rFonts w:ascii="Arial" w:hAnsi="Arial"/>
                <w:color w:val="000000"/>
                <w:sz w:val="16"/>
                <w:szCs w:val="16"/>
                <w:lang w:val="en-AU"/>
              </w:rPr>
            </w:pPr>
          </w:p>
        </w:tc>
        <w:tc>
          <w:tcPr>
            <w:tcW w:w="1191" w:type="dxa"/>
            <w:tcBorders>
              <w:top w:val="single" w:sz="4" w:space="0" w:color="auto"/>
              <w:left w:val="nil"/>
              <w:bottom w:val="nil"/>
              <w:right w:val="nil"/>
            </w:tcBorders>
            <w:shd w:val="clear" w:color="FFFFFF" w:fill="auto"/>
            <w:noWrap/>
            <w:vAlign w:val="bottom"/>
          </w:tcPr>
          <w:p w14:paraId="2323E706" w14:textId="77777777" w:rsidR="00E52F66" w:rsidRPr="00353F8D" w:rsidRDefault="00E52F66" w:rsidP="00E52F66">
            <w:pPr>
              <w:keepNext/>
              <w:keepLines/>
              <w:spacing w:before="0" w:after="0" w:line="276" w:lineRule="auto"/>
              <w:jc w:val="right"/>
              <w:rPr>
                <w:rFonts w:ascii="Arial" w:hAnsi="Arial"/>
                <w:b/>
                <w:bCs/>
                <w:sz w:val="16"/>
                <w:szCs w:val="16"/>
                <w:lang w:val="en-AU"/>
              </w:rPr>
            </w:pPr>
          </w:p>
        </w:tc>
        <w:tc>
          <w:tcPr>
            <w:tcW w:w="1413" w:type="dxa"/>
            <w:tcBorders>
              <w:top w:val="single" w:sz="4" w:space="0" w:color="auto"/>
              <w:left w:val="nil"/>
              <w:bottom w:val="nil"/>
              <w:right w:val="nil"/>
            </w:tcBorders>
            <w:shd w:val="clear" w:color="auto" w:fill="auto"/>
            <w:noWrap/>
            <w:vAlign w:val="bottom"/>
          </w:tcPr>
          <w:p w14:paraId="33629AD6" w14:textId="77777777" w:rsidR="00E52F66" w:rsidRPr="009E4B9D" w:rsidRDefault="00E52F66" w:rsidP="00E52F66">
            <w:pPr>
              <w:spacing w:before="0" w:after="0" w:line="276" w:lineRule="auto"/>
              <w:jc w:val="right"/>
              <w:rPr>
                <w:rFonts w:ascii="Arial" w:hAnsi="Arial"/>
                <w:b/>
                <w:sz w:val="16"/>
                <w:szCs w:val="16"/>
                <w:lang w:eastAsia="en-US"/>
              </w:rPr>
            </w:pPr>
          </w:p>
        </w:tc>
        <w:tc>
          <w:tcPr>
            <w:tcW w:w="1195" w:type="dxa"/>
            <w:tcBorders>
              <w:top w:val="single" w:sz="4" w:space="0" w:color="auto"/>
              <w:left w:val="nil"/>
              <w:bottom w:val="nil"/>
              <w:right w:val="nil"/>
            </w:tcBorders>
            <w:shd w:val="clear" w:color="auto" w:fill="auto"/>
            <w:noWrap/>
            <w:vAlign w:val="bottom"/>
          </w:tcPr>
          <w:p w14:paraId="68DACC6C" w14:textId="77777777" w:rsidR="00E52F66" w:rsidRPr="009E4B9D" w:rsidRDefault="00E52F66" w:rsidP="00E52F66">
            <w:pPr>
              <w:spacing w:before="0" w:after="0" w:line="276" w:lineRule="auto"/>
              <w:jc w:val="right"/>
              <w:rPr>
                <w:rFonts w:ascii="Arial" w:hAnsi="Arial"/>
                <w:b/>
                <w:sz w:val="16"/>
                <w:szCs w:val="16"/>
                <w:lang w:eastAsia="en-US"/>
              </w:rPr>
            </w:pPr>
          </w:p>
        </w:tc>
      </w:tr>
      <w:tr w:rsidR="00E52F66" w:rsidRPr="00BA1388" w14:paraId="00BFA63E" w14:textId="77777777" w:rsidTr="00F600B5">
        <w:trPr>
          <w:trHeight w:val="255"/>
        </w:trPr>
        <w:tc>
          <w:tcPr>
            <w:tcW w:w="3085" w:type="dxa"/>
            <w:tcBorders>
              <w:top w:val="nil"/>
              <w:left w:val="nil"/>
              <w:bottom w:val="nil"/>
              <w:right w:val="nil"/>
            </w:tcBorders>
            <w:shd w:val="clear" w:color="auto" w:fill="auto"/>
            <w:vAlign w:val="bottom"/>
          </w:tcPr>
          <w:p w14:paraId="5571CEE6" w14:textId="77777777" w:rsidR="00E52F66" w:rsidRPr="008659FE" w:rsidRDefault="00E52F66" w:rsidP="00E52F66">
            <w:pPr>
              <w:spacing w:before="0" w:after="0" w:line="276" w:lineRule="auto"/>
              <w:ind w:left="179"/>
              <w:rPr>
                <w:rFonts w:ascii="Arial" w:hAnsi="Arial"/>
                <w:b/>
                <w:bCs/>
                <w:sz w:val="16"/>
                <w:szCs w:val="16"/>
                <w:lang w:val="en-AU"/>
              </w:rPr>
            </w:pPr>
            <w:r w:rsidRPr="008659FE">
              <w:rPr>
                <w:rFonts w:ascii="Arial" w:hAnsi="Arial"/>
                <w:sz w:val="16"/>
                <w:szCs w:val="16"/>
                <w:lang w:val="en-AU"/>
              </w:rPr>
              <w:t>Gallipoli Barracks</w:t>
            </w:r>
          </w:p>
        </w:tc>
        <w:tc>
          <w:tcPr>
            <w:tcW w:w="1790" w:type="dxa"/>
            <w:tcBorders>
              <w:top w:val="nil"/>
              <w:left w:val="nil"/>
              <w:bottom w:val="nil"/>
              <w:right w:val="nil"/>
            </w:tcBorders>
            <w:shd w:val="clear" w:color="FFFFFF" w:fill="auto"/>
            <w:noWrap/>
            <w:vAlign w:val="bottom"/>
          </w:tcPr>
          <w:p w14:paraId="0A1B3915" w14:textId="77777777" w:rsidR="00E52F66" w:rsidRPr="008659FE" w:rsidRDefault="00E52F66" w:rsidP="00E52F66">
            <w:pPr>
              <w:spacing w:before="0" w:after="0" w:line="276" w:lineRule="auto"/>
              <w:jc w:val="right"/>
              <w:rPr>
                <w:rFonts w:ascii="Arial" w:hAnsi="Arial"/>
                <w:color w:val="000000"/>
                <w:sz w:val="16"/>
                <w:szCs w:val="16"/>
              </w:rPr>
            </w:pPr>
            <w:r w:rsidRPr="008659FE">
              <w:rPr>
                <w:rFonts w:ascii="Arial" w:hAnsi="Arial"/>
                <w:color w:val="000000"/>
                <w:sz w:val="16"/>
                <w:szCs w:val="16"/>
              </w:rPr>
              <w:t>QLD - Ryan</w:t>
            </w:r>
          </w:p>
        </w:tc>
        <w:tc>
          <w:tcPr>
            <w:tcW w:w="1191" w:type="dxa"/>
            <w:tcBorders>
              <w:top w:val="nil"/>
              <w:left w:val="nil"/>
              <w:bottom w:val="nil"/>
              <w:right w:val="nil"/>
            </w:tcBorders>
            <w:shd w:val="clear" w:color="FFFFFF" w:fill="auto"/>
            <w:noWrap/>
            <w:vAlign w:val="bottom"/>
          </w:tcPr>
          <w:p w14:paraId="516980D7" w14:textId="77777777" w:rsidR="00E52F66" w:rsidRPr="00353F8D" w:rsidRDefault="00E52F66" w:rsidP="00E52F66">
            <w:pPr>
              <w:keepNext/>
              <w:keepLines/>
              <w:spacing w:before="0" w:after="0" w:line="276" w:lineRule="auto"/>
              <w:jc w:val="right"/>
              <w:rPr>
                <w:rFonts w:ascii="Arial" w:hAnsi="Arial"/>
                <w:b/>
                <w:bCs/>
                <w:sz w:val="16"/>
                <w:szCs w:val="16"/>
                <w:lang w:val="en-AU"/>
              </w:rPr>
            </w:pPr>
          </w:p>
        </w:tc>
        <w:tc>
          <w:tcPr>
            <w:tcW w:w="1413" w:type="dxa"/>
            <w:tcBorders>
              <w:top w:val="nil"/>
              <w:left w:val="nil"/>
              <w:bottom w:val="nil"/>
              <w:right w:val="nil"/>
            </w:tcBorders>
            <w:shd w:val="clear" w:color="auto" w:fill="auto"/>
            <w:noWrap/>
            <w:vAlign w:val="bottom"/>
          </w:tcPr>
          <w:p w14:paraId="5780AA5F" w14:textId="77777777" w:rsidR="00E52F66" w:rsidRPr="009E4B9D" w:rsidRDefault="00E52F66" w:rsidP="00E52F66">
            <w:pPr>
              <w:spacing w:before="0" w:after="0" w:line="276" w:lineRule="auto"/>
              <w:jc w:val="right"/>
              <w:rPr>
                <w:rFonts w:ascii="Arial" w:hAnsi="Arial"/>
                <w:sz w:val="16"/>
                <w:szCs w:val="16"/>
                <w:lang w:eastAsia="en-US"/>
              </w:rPr>
            </w:pPr>
            <w:r w:rsidRPr="009E4B9D">
              <w:rPr>
                <w:rFonts w:ascii="Arial" w:hAnsi="Arial"/>
                <w:sz w:val="16"/>
                <w:szCs w:val="16"/>
                <w:lang w:eastAsia="en-US"/>
              </w:rPr>
              <w:t>0.1</w:t>
            </w:r>
          </w:p>
        </w:tc>
        <w:tc>
          <w:tcPr>
            <w:tcW w:w="1195" w:type="dxa"/>
            <w:tcBorders>
              <w:top w:val="nil"/>
              <w:left w:val="nil"/>
              <w:bottom w:val="nil"/>
              <w:right w:val="nil"/>
            </w:tcBorders>
            <w:shd w:val="clear" w:color="auto" w:fill="auto"/>
            <w:noWrap/>
            <w:vAlign w:val="bottom"/>
          </w:tcPr>
          <w:p w14:paraId="7E14D86C" w14:textId="77777777" w:rsidR="00E52F66" w:rsidRPr="009E4B9D" w:rsidRDefault="00E52F66" w:rsidP="00E52F66">
            <w:pPr>
              <w:spacing w:before="0" w:after="0" w:line="276" w:lineRule="auto"/>
              <w:jc w:val="right"/>
              <w:rPr>
                <w:rFonts w:ascii="Arial" w:hAnsi="Arial"/>
                <w:sz w:val="16"/>
                <w:szCs w:val="16"/>
                <w:lang w:eastAsia="en-US"/>
              </w:rPr>
            </w:pPr>
            <w:r w:rsidRPr="009E4B9D">
              <w:rPr>
                <w:rFonts w:ascii="Arial" w:hAnsi="Arial"/>
                <w:sz w:val="16"/>
                <w:szCs w:val="16"/>
                <w:lang w:eastAsia="en-US"/>
              </w:rPr>
              <w:t>28.4</w:t>
            </w:r>
          </w:p>
        </w:tc>
      </w:tr>
      <w:tr w:rsidR="00E52F66" w:rsidRPr="00BA1388" w14:paraId="437B91A4" w14:textId="77777777" w:rsidTr="00F600B5">
        <w:trPr>
          <w:trHeight w:val="255"/>
        </w:trPr>
        <w:tc>
          <w:tcPr>
            <w:tcW w:w="3085" w:type="dxa"/>
            <w:tcBorders>
              <w:top w:val="nil"/>
              <w:left w:val="nil"/>
              <w:bottom w:val="nil"/>
              <w:right w:val="nil"/>
            </w:tcBorders>
            <w:shd w:val="clear" w:color="auto" w:fill="auto"/>
            <w:vAlign w:val="bottom"/>
          </w:tcPr>
          <w:p w14:paraId="53594781" w14:textId="77777777" w:rsidR="00E52F66" w:rsidRPr="008659FE" w:rsidRDefault="00E52F66" w:rsidP="00E52F66">
            <w:pPr>
              <w:spacing w:before="0" w:after="0" w:line="276" w:lineRule="auto"/>
              <w:ind w:left="179"/>
              <w:rPr>
                <w:rFonts w:ascii="Arial" w:hAnsi="Arial"/>
                <w:sz w:val="16"/>
                <w:szCs w:val="16"/>
                <w:lang w:val="en-AU"/>
              </w:rPr>
            </w:pPr>
            <w:r w:rsidRPr="008659FE">
              <w:rPr>
                <w:rFonts w:ascii="Arial" w:hAnsi="Arial"/>
                <w:sz w:val="16"/>
                <w:szCs w:val="16"/>
                <w:lang w:val="en-AU"/>
              </w:rPr>
              <w:t xml:space="preserve">Lavarack Barracks </w:t>
            </w:r>
          </w:p>
        </w:tc>
        <w:tc>
          <w:tcPr>
            <w:tcW w:w="1790" w:type="dxa"/>
            <w:tcBorders>
              <w:top w:val="nil"/>
              <w:left w:val="nil"/>
              <w:bottom w:val="nil"/>
              <w:right w:val="nil"/>
            </w:tcBorders>
            <w:shd w:val="clear" w:color="FFFFFF" w:fill="auto"/>
            <w:noWrap/>
            <w:vAlign w:val="bottom"/>
          </w:tcPr>
          <w:p w14:paraId="2318F56F" w14:textId="77777777" w:rsidR="00E52F66" w:rsidRPr="008659FE" w:rsidRDefault="00E52F66" w:rsidP="00E52F66">
            <w:pPr>
              <w:spacing w:before="0" w:after="0" w:line="276" w:lineRule="auto"/>
              <w:jc w:val="right"/>
              <w:rPr>
                <w:rFonts w:ascii="Arial" w:hAnsi="Arial"/>
                <w:color w:val="000000"/>
                <w:sz w:val="16"/>
                <w:szCs w:val="16"/>
              </w:rPr>
            </w:pPr>
            <w:r w:rsidRPr="008659FE">
              <w:rPr>
                <w:rFonts w:ascii="Arial" w:hAnsi="Arial"/>
                <w:color w:val="000000"/>
                <w:sz w:val="16"/>
                <w:szCs w:val="16"/>
              </w:rPr>
              <w:t>QLD - Herbert</w:t>
            </w:r>
          </w:p>
        </w:tc>
        <w:tc>
          <w:tcPr>
            <w:tcW w:w="1191" w:type="dxa"/>
            <w:tcBorders>
              <w:top w:val="nil"/>
              <w:left w:val="nil"/>
              <w:bottom w:val="nil"/>
              <w:right w:val="nil"/>
            </w:tcBorders>
            <w:shd w:val="clear" w:color="FFFFFF" w:fill="auto"/>
            <w:noWrap/>
            <w:vAlign w:val="bottom"/>
          </w:tcPr>
          <w:p w14:paraId="0F8C72E7" w14:textId="77777777" w:rsidR="00E52F66" w:rsidRPr="00353F8D" w:rsidRDefault="00E52F66" w:rsidP="00E52F66">
            <w:pPr>
              <w:keepNext/>
              <w:keepLines/>
              <w:spacing w:before="0" w:after="0" w:line="276" w:lineRule="auto"/>
              <w:jc w:val="right"/>
              <w:rPr>
                <w:rFonts w:ascii="Arial" w:hAnsi="Arial"/>
                <w:b/>
                <w:bCs/>
                <w:sz w:val="16"/>
                <w:szCs w:val="16"/>
                <w:lang w:val="en-AU"/>
              </w:rPr>
            </w:pPr>
          </w:p>
        </w:tc>
        <w:tc>
          <w:tcPr>
            <w:tcW w:w="1413" w:type="dxa"/>
            <w:tcBorders>
              <w:top w:val="nil"/>
              <w:left w:val="nil"/>
              <w:bottom w:val="nil"/>
              <w:right w:val="nil"/>
            </w:tcBorders>
            <w:shd w:val="clear" w:color="auto" w:fill="auto"/>
            <w:noWrap/>
            <w:vAlign w:val="bottom"/>
          </w:tcPr>
          <w:p w14:paraId="1A20B7A6" w14:textId="77777777" w:rsidR="00E52F66" w:rsidRPr="009E4B9D" w:rsidRDefault="00E52F66" w:rsidP="00E52F66">
            <w:pPr>
              <w:spacing w:before="0" w:after="0" w:line="276" w:lineRule="auto"/>
              <w:jc w:val="right"/>
              <w:rPr>
                <w:rFonts w:ascii="Arial" w:hAnsi="Arial"/>
                <w:sz w:val="16"/>
                <w:szCs w:val="16"/>
                <w:lang w:eastAsia="en-US"/>
              </w:rPr>
            </w:pPr>
            <w:r w:rsidRPr="009E4B9D">
              <w:rPr>
                <w:rFonts w:ascii="Arial" w:hAnsi="Arial"/>
                <w:sz w:val="16"/>
                <w:szCs w:val="16"/>
                <w:lang w:eastAsia="en-US"/>
              </w:rPr>
              <w:t>0.0</w:t>
            </w:r>
          </w:p>
        </w:tc>
        <w:tc>
          <w:tcPr>
            <w:tcW w:w="1195" w:type="dxa"/>
            <w:tcBorders>
              <w:top w:val="nil"/>
              <w:left w:val="nil"/>
              <w:bottom w:val="nil"/>
              <w:right w:val="nil"/>
            </w:tcBorders>
            <w:shd w:val="clear" w:color="auto" w:fill="auto"/>
            <w:noWrap/>
            <w:vAlign w:val="bottom"/>
          </w:tcPr>
          <w:p w14:paraId="743229D4" w14:textId="77777777" w:rsidR="00E52F66" w:rsidRPr="009E4B9D" w:rsidRDefault="00E52F66" w:rsidP="00E52F66">
            <w:pPr>
              <w:spacing w:before="0" w:after="0" w:line="276" w:lineRule="auto"/>
              <w:jc w:val="right"/>
              <w:rPr>
                <w:rFonts w:ascii="Arial" w:hAnsi="Arial"/>
                <w:sz w:val="16"/>
                <w:szCs w:val="16"/>
                <w:lang w:eastAsia="en-US"/>
              </w:rPr>
            </w:pPr>
            <w:r w:rsidRPr="009E4B9D">
              <w:rPr>
                <w:rFonts w:ascii="Arial" w:hAnsi="Arial"/>
                <w:sz w:val="16"/>
                <w:szCs w:val="16"/>
                <w:lang w:eastAsia="en-US"/>
              </w:rPr>
              <w:t>6.0</w:t>
            </w:r>
          </w:p>
        </w:tc>
      </w:tr>
      <w:tr w:rsidR="00E52F66" w:rsidRPr="00BA1388" w14:paraId="56FB4241" w14:textId="77777777" w:rsidTr="00F600B5">
        <w:trPr>
          <w:trHeight w:val="255"/>
        </w:trPr>
        <w:tc>
          <w:tcPr>
            <w:tcW w:w="3085" w:type="dxa"/>
            <w:tcBorders>
              <w:top w:val="nil"/>
              <w:left w:val="nil"/>
              <w:bottom w:val="nil"/>
              <w:right w:val="nil"/>
            </w:tcBorders>
            <w:shd w:val="clear" w:color="auto" w:fill="auto"/>
            <w:vAlign w:val="bottom"/>
          </w:tcPr>
          <w:p w14:paraId="768F2282" w14:textId="77777777" w:rsidR="00E52F66" w:rsidRPr="008659FE" w:rsidRDefault="00E52F66" w:rsidP="00E52F66">
            <w:pPr>
              <w:spacing w:before="0" w:after="0" w:line="276" w:lineRule="auto"/>
              <w:ind w:left="179"/>
              <w:rPr>
                <w:rFonts w:ascii="Arial" w:hAnsi="Arial"/>
                <w:sz w:val="16"/>
                <w:szCs w:val="16"/>
                <w:lang w:val="en-AU"/>
              </w:rPr>
            </w:pPr>
            <w:r w:rsidRPr="008659FE">
              <w:rPr>
                <w:rFonts w:ascii="Arial" w:hAnsi="Arial"/>
                <w:sz w:val="16"/>
                <w:szCs w:val="16"/>
                <w:lang w:val="en-AU"/>
              </w:rPr>
              <w:t>General John Baker Complex</w:t>
            </w:r>
          </w:p>
        </w:tc>
        <w:tc>
          <w:tcPr>
            <w:tcW w:w="1790" w:type="dxa"/>
            <w:tcBorders>
              <w:top w:val="nil"/>
              <w:left w:val="nil"/>
              <w:bottom w:val="nil"/>
              <w:right w:val="nil"/>
            </w:tcBorders>
            <w:shd w:val="clear" w:color="FFFFFF" w:fill="auto"/>
            <w:noWrap/>
            <w:vAlign w:val="bottom"/>
          </w:tcPr>
          <w:p w14:paraId="6C2BBE93" w14:textId="77777777" w:rsidR="00E52F66" w:rsidRPr="008659FE" w:rsidRDefault="00E52F66" w:rsidP="00E52F66">
            <w:pPr>
              <w:spacing w:before="0" w:after="0" w:line="276" w:lineRule="auto"/>
              <w:jc w:val="right"/>
              <w:rPr>
                <w:rFonts w:ascii="Arial" w:hAnsi="Arial"/>
                <w:color w:val="000000"/>
                <w:sz w:val="16"/>
                <w:szCs w:val="16"/>
              </w:rPr>
            </w:pPr>
            <w:r w:rsidRPr="008659FE">
              <w:rPr>
                <w:rFonts w:ascii="Arial" w:hAnsi="Arial"/>
                <w:color w:val="000000"/>
                <w:sz w:val="16"/>
                <w:szCs w:val="16"/>
              </w:rPr>
              <w:t>NSW - Eden Monaro</w:t>
            </w:r>
          </w:p>
        </w:tc>
        <w:tc>
          <w:tcPr>
            <w:tcW w:w="1191" w:type="dxa"/>
            <w:tcBorders>
              <w:top w:val="nil"/>
              <w:left w:val="nil"/>
              <w:bottom w:val="nil"/>
              <w:right w:val="nil"/>
            </w:tcBorders>
            <w:shd w:val="clear" w:color="FFFFFF" w:fill="auto"/>
            <w:noWrap/>
            <w:vAlign w:val="bottom"/>
          </w:tcPr>
          <w:p w14:paraId="653AF63A" w14:textId="77777777" w:rsidR="00E52F66" w:rsidRPr="00353F8D" w:rsidRDefault="00E52F66" w:rsidP="00E52F66">
            <w:pPr>
              <w:keepNext/>
              <w:keepLines/>
              <w:spacing w:before="0" w:after="0" w:line="276" w:lineRule="auto"/>
              <w:jc w:val="right"/>
              <w:rPr>
                <w:rFonts w:ascii="Arial" w:hAnsi="Arial"/>
                <w:b/>
                <w:bCs/>
                <w:sz w:val="16"/>
                <w:szCs w:val="16"/>
                <w:lang w:val="en-AU"/>
              </w:rPr>
            </w:pPr>
          </w:p>
        </w:tc>
        <w:tc>
          <w:tcPr>
            <w:tcW w:w="1413" w:type="dxa"/>
            <w:tcBorders>
              <w:top w:val="nil"/>
              <w:left w:val="nil"/>
              <w:bottom w:val="nil"/>
              <w:right w:val="nil"/>
            </w:tcBorders>
            <w:shd w:val="clear" w:color="auto" w:fill="auto"/>
            <w:noWrap/>
            <w:vAlign w:val="bottom"/>
          </w:tcPr>
          <w:p w14:paraId="2204ED68" w14:textId="77777777" w:rsidR="00E52F66" w:rsidRPr="009E4B9D" w:rsidRDefault="00E52F66" w:rsidP="00E52F66">
            <w:pPr>
              <w:spacing w:before="0" w:after="0" w:line="276" w:lineRule="auto"/>
              <w:jc w:val="right"/>
              <w:rPr>
                <w:rFonts w:ascii="Arial" w:hAnsi="Arial"/>
                <w:sz w:val="16"/>
                <w:szCs w:val="16"/>
                <w:lang w:eastAsia="en-US"/>
              </w:rPr>
            </w:pPr>
            <w:r w:rsidRPr="009E4B9D">
              <w:rPr>
                <w:rFonts w:ascii="Arial" w:hAnsi="Arial"/>
                <w:sz w:val="16"/>
                <w:szCs w:val="16"/>
                <w:lang w:eastAsia="en-US"/>
              </w:rPr>
              <w:t>0.0</w:t>
            </w:r>
          </w:p>
        </w:tc>
        <w:tc>
          <w:tcPr>
            <w:tcW w:w="1195" w:type="dxa"/>
            <w:tcBorders>
              <w:top w:val="nil"/>
              <w:left w:val="nil"/>
              <w:bottom w:val="nil"/>
              <w:right w:val="nil"/>
            </w:tcBorders>
            <w:shd w:val="clear" w:color="auto" w:fill="auto"/>
            <w:noWrap/>
            <w:vAlign w:val="bottom"/>
          </w:tcPr>
          <w:p w14:paraId="32147C8F" w14:textId="77777777" w:rsidR="00E52F66" w:rsidRPr="009E4B9D" w:rsidRDefault="00E52F66" w:rsidP="00E52F66">
            <w:pPr>
              <w:spacing w:before="0" w:after="0" w:line="276" w:lineRule="auto"/>
              <w:jc w:val="right"/>
              <w:rPr>
                <w:rFonts w:ascii="Arial" w:hAnsi="Arial"/>
                <w:sz w:val="16"/>
                <w:szCs w:val="16"/>
                <w:lang w:eastAsia="en-US"/>
              </w:rPr>
            </w:pPr>
            <w:r w:rsidRPr="009E4B9D">
              <w:rPr>
                <w:rFonts w:ascii="Arial" w:hAnsi="Arial"/>
                <w:sz w:val="16"/>
                <w:szCs w:val="16"/>
                <w:lang w:eastAsia="en-US"/>
              </w:rPr>
              <w:t>0.8</w:t>
            </w:r>
          </w:p>
        </w:tc>
      </w:tr>
      <w:tr w:rsidR="00E52F66" w:rsidRPr="00BA1388" w14:paraId="123C1DD7" w14:textId="77777777" w:rsidTr="00F600B5">
        <w:trPr>
          <w:trHeight w:val="255"/>
        </w:trPr>
        <w:tc>
          <w:tcPr>
            <w:tcW w:w="3085" w:type="dxa"/>
            <w:tcBorders>
              <w:top w:val="nil"/>
              <w:left w:val="nil"/>
              <w:bottom w:val="nil"/>
              <w:right w:val="nil"/>
            </w:tcBorders>
            <w:shd w:val="clear" w:color="FFFFFF" w:fill="auto"/>
            <w:vAlign w:val="bottom"/>
          </w:tcPr>
          <w:p w14:paraId="00299C52" w14:textId="77777777" w:rsidR="00E52F66" w:rsidRPr="008659FE" w:rsidRDefault="00E52F66" w:rsidP="00E52F66">
            <w:pPr>
              <w:spacing w:before="0" w:after="0" w:line="276" w:lineRule="auto"/>
              <w:ind w:left="179"/>
              <w:rPr>
                <w:rFonts w:ascii="Arial" w:hAnsi="Arial"/>
                <w:sz w:val="16"/>
                <w:szCs w:val="16"/>
                <w:lang w:val="en-AU"/>
              </w:rPr>
            </w:pPr>
            <w:r w:rsidRPr="008659FE">
              <w:rPr>
                <w:rFonts w:ascii="Arial" w:hAnsi="Arial"/>
                <w:sz w:val="16"/>
                <w:szCs w:val="16"/>
                <w:lang w:val="en-AU"/>
              </w:rPr>
              <w:t xml:space="preserve">RAAF Williamtown </w:t>
            </w:r>
          </w:p>
        </w:tc>
        <w:tc>
          <w:tcPr>
            <w:tcW w:w="1790" w:type="dxa"/>
            <w:tcBorders>
              <w:top w:val="nil"/>
              <w:left w:val="nil"/>
              <w:bottom w:val="nil"/>
              <w:right w:val="nil"/>
            </w:tcBorders>
            <w:shd w:val="clear" w:color="FFFFFF" w:fill="auto"/>
            <w:noWrap/>
            <w:vAlign w:val="bottom"/>
          </w:tcPr>
          <w:p w14:paraId="575EAE0F" w14:textId="77777777" w:rsidR="00E52F66" w:rsidRPr="008659FE" w:rsidRDefault="00E52F66" w:rsidP="00E52F66">
            <w:pPr>
              <w:spacing w:before="0" w:after="0" w:line="276" w:lineRule="auto"/>
              <w:jc w:val="right"/>
              <w:rPr>
                <w:rFonts w:ascii="Arial" w:hAnsi="Arial"/>
                <w:color w:val="000000"/>
                <w:sz w:val="16"/>
                <w:szCs w:val="16"/>
              </w:rPr>
            </w:pPr>
            <w:r w:rsidRPr="008659FE">
              <w:rPr>
                <w:rFonts w:ascii="Arial" w:hAnsi="Arial"/>
                <w:color w:val="000000"/>
                <w:sz w:val="16"/>
                <w:szCs w:val="16"/>
              </w:rPr>
              <w:t>NSW - Paterson</w:t>
            </w:r>
          </w:p>
        </w:tc>
        <w:tc>
          <w:tcPr>
            <w:tcW w:w="1191" w:type="dxa"/>
            <w:tcBorders>
              <w:top w:val="nil"/>
              <w:left w:val="nil"/>
              <w:bottom w:val="nil"/>
              <w:right w:val="nil"/>
            </w:tcBorders>
            <w:shd w:val="clear" w:color="FFFFFF" w:fill="auto"/>
            <w:noWrap/>
            <w:vAlign w:val="bottom"/>
          </w:tcPr>
          <w:p w14:paraId="66485F19" w14:textId="77777777" w:rsidR="00E52F66" w:rsidRPr="00353F8D" w:rsidRDefault="00E52F66" w:rsidP="00E52F66">
            <w:pPr>
              <w:keepNext/>
              <w:keepLines/>
              <w:spacing w:before="0" w:after="0" w:line="276" w:lineRule="auto"/>
              <w:jc w:val="right"/>
              <w:rPr>
                <w:rFonts w:ascii="Arial" w:hAnsi="Arial"/>
                <w:b/>
                <w:bCs/>
                <w:sz w:val="16"/>
                <w:szCs w:val="16"/>
                <w:lang w:val="en-AU"/>
              </w:rPr>
            </w:pPr>
          </w:p>
        </w:tc>
        <w:tc>
          <w:tcPr>
            <w:tcW w:w="1413" w:type="dxa"/>
            <w:tcBorders>
              <w:top w:val="nil"/>
              <w:left w:val="nil"/>
              <w:bottom w:val="nil"/>
              <w:right w:val="nil"/>
            </w:tcBorders>
            <w:shd w:val="clear" w:color="FFFFFF" w:fill="auto"/>
            <w:noWrap/>
            <w:vAlign w:val="bottom"/>
          </w:tcPr>
          <w:p w14:paraId="01752EA8" w14:textId="77777777" w:rsidR="00E52F66" w:rsidRPr="009E4B9D" w:rsidRDefault="00E52F66" w:rsidP="00E52F66">
            <w:pPr>
              <w:spacing w:before="0" w:after="0" w:line="276" w:lineRule="auto"/>
              <w:jc w:val="right"/>
              <w:rPr>
                <w:rFonts w:ascii="Arial" w:hAnsi="Arial"/>
                <w:sz w:val="16"/>
                <w:szCs w:val="16"/>
                <w:lang w:eastAsia="en-US"/>
              </w:rPr>
            </w:pPr>
            <w:r w:rsidRPr="009E4B9D">
              <w:rPr>
                <w:rFonts w:ascii="Arial" w:hAnsi="Arial"/>
                <w:sz w:val="16"/>
                <w:szCs w:val="16"/>
                <w:lang w:eastAsia="en-US"/>
              </w:rPr>
              <w:t>0.0</w:t>
            </w:r>
          </w:p>
        </w:tc>
        <w:tc>
          <w:tcPr>
            <w:tcW w:w="1195" w:type="dxa"/>
            <w:tcBorders>
              <w:top w:val="nil"/>
              <w:left w:val="nil"/>
              <w:bottom w:val="nil"/>
              <w:right w:val="nil"/>
            </w:tcBorders>
            <w:shd w:val="clear" w:color="FFFFFF" w:fill="auto"/>
            <w:noWrap/>
            <w:vAlign w:val="bottom"/>
          </w:tcPr>
          <w:p w14:paraId="078B9E14" w14:textId="77777777" w:rsidR="00E52F66" w:rsidRPr="009E4B9D" w:rsidRDefault="00E52F66" w:rsidP="00E52F66">
            <w:pPr>
              <w:spacing w:before="0" w:after="0" w:line="276" w:lineRule="auto"/>
              <w:jc w:val="right"/>
              <w:rPr>
                <w:rFonts w:ascii="Arial" w:hAnsi="Arial"/>
                <w:sz w:val="16"/>
                <w:szCs w:val="16"/>
                <w:lang w:eastAsia="en-US"/>
              </w:rPr>
            </w:pPr>
            <w:r w:rsidRPr="009E4B9D">
              <w:rPr>
                <w:rFonts w:ascii="Arial" w:hAnsi="Arial"/>
                <w:sz w:val="16"/>
                <w:szCs w:val="16"/>
                <w:lang w:eastAsia="en-US"/>
              </w:rPr>
              <w:t>5.7</w:t>
            </w:r>
          </w:p>
        </w:tc>
      </w:tr>
      <w:tr w:rsidR="00E52F66" w:rsidRPr="00BA1388" w14:paraId="5C7C1055" w14:textId="77777777" w:rsidTr="00F600B5">
        <w:trPr>
          <w:trHeight w:val="255"/>
        </w:trPr>
        <w:tc>
          <w:tcPr>
            <w:tcW w:w="3085" w:type="dxa"/>
            <w:tcBorders>
              <w:top w:val="nil"/>
              <w:left w:val="nil"/>
              <w:bottom w:val="nil"/>
              <w:right w:val="nil"/>
            </w:tcBorders>
            <w:shd w:val="clear" w:color="FFFFFF" w:fill="auto"/>
            <w:vAlign w:val="bottom"/>
          </w:tcPr>
          <w:p w14:paraId="27518568" w14:textId="77777777" w:rsidR="00E52F66" w:rsidRPr="008659FE" w:rsidRDefault="00E52F66" w:rsidP="00E52F66">
            <w:pPr>
              <w:spacing w:before="0" w:after="0" w:line="276" w:lineRule="auto"/>
              <w:ind w:left="179"/>
              <w:rPr>
                <w:rFonts w:ascii="Arial" w:hAnsi="Arial"/>
                <w:sz w:val="16"/>
                <w:szCs w:val="16"/>
                <w:lang w:val="en-AU"/>
              </w:rPr>
            </w:pPr>
            <w:r w:rsidRPr="008659FE">
              <w:rPr>
                <w:rFonts w:ascii="Arial" w:hAnsi="Arial"/>
                <w:sz w:val="16"/>
                <w:szCs w:val="16"/>
                <w:lang w:val="en-AU"/>
              </w:rPr>
              <w:t>RAAF Edinburgh</w:t>
            </w:r>
          </w:p>
        </w:tc>
        <w:tc>
          <w:tcPr>
            <w:tcW w:w="1790" w:type="dxa"/>
            <w:tcBorders>
              <w:top w:val="nil"/>
              <w:left w:val="nil"/>
              <w:bottom w:val="nil"/>
              <w:right w:val="nil"/>
            </w:tcBorders>
            <w:shd w:val="clear" w:color="FFFFFF" w:fill="auto"/>
            <w:noWrap/>
            <w:vAlign w:val="bottom"/>
          </w:tcPr>
          <w:p w14:paraId="7D779CC3" w14:textId="77777777" w:rsidR="00E52F66" w:rsidRPr="008659FE" w:rsidRDefault="00E52F66" w:rsidP="00E52F66">
            <w:pPr>
              <w:spacing w:before="0" w:after="0" w:line="276" w:lineRule="auto"/>
              <w:jc w:val="right"/>
              <w:rPr>
                <w:rFonts w:ascii="Arial" w:hAnsi="Arial"/>
                <w:color w:val="000000"/>
                <w:sz w:val="16"/>
                <w:szCs w:val="16"/>
              </w:rPr>
            </w:pPr>
            <w:r w:rsidRPr="008659FE">
              <w:rPr>
                <w:rFonts w:ascii="Arial" w:hAnsi="Arial"/>
                <w:color w:val="000000"/>
                <w:sz w:val="16"/>
                <w:szCs w:val="16"/>
              </w:rPr>
              <w:t>SA - Spence</w:t>
            </w:r>
          </w:p>
        </w:tc>
        <w:tc>
          <w:tcPr>
            <w:tcW w:w="1191" w:type="dxa"/>
            <w:tcBorders>
              <w:top w:val="nil"/>
              <w:left w:val="nil"/>
              <w:bottom w:val="nil"/>
              <w:right w:val="nil"/>
            </w:tcBorders>
            <w:shd w:val="clear" w:color="auto" w:fill="auto"/>
            <w:noWrap/>
            <w:vAlign w:val="bottom"/>
          </w:tcPr>
          <w:p w14:paraId="70C5F350" w14:textId="77777777" w:rsidR="00E52F66" w:rsidRPr="00353F8D" w:rsidRDefault="00E52F66" w:rsidP="00E52F66">
            <w:pPr>
              <w:keepNext/>
              <w:keepLines/>
              <w:spacing w:before="0" w:after="0" w:line="276" w:lineRule="auto"/>
              <w:jc w:val="right"/>
              <w:rPr>
                <w:rFonts w:ascii="Arial" w:hAnsi="Arial"/>
                <w:b/>
                <w:bCs/>
                <w:sz w:val="16"/>
                <w:szCs w:val="16"/>
                <w:lang w:val="en-AU"/>
              </w:rPr>
            </w:pPr>
          </w:p>
        </w:tc>
        <w:tc>
          <w:tcPr>
            <w:tcW w:w="1413" w:type="dxa"/>
            <w:tcBorders>
              <w:top w:val="nil"/>
              <w:left w:val="nil"/>
              <w:bottom w:val="nil"/>
              <w:right w:val="nil"/>
            </w:tcBorders>
            <w:shd w:val="clear" w:color="auto" w:fill="auto"/>
            <w:noWrap/>
            <w:vAlign w:val="bottom"/>
          </w:tcPr>
          <w:p w14:paraId="75144011" w14:textId="77777777" w:rsidR="00E52F66" w:rsidRPr="009E4B9D" w:rsidRDefault="00E52F66" w:rsidP="00E52F66">
            <w:pPr>
              <w:spacing w:before="0" w:after="0" w:line="276" w:lineRule="auto"/>
              <w:jc w:val="right"/>
              <w:rPr>
                <w:rFonts w:ascii="Arial" w:hAnsi="Arial"/>
                <w:sz w:val="16"/>
                <w:szCs w:val="16"/>
                <w:lang w:eastAsia="en-US"/>
              </w:rPr>
            </w:pPr>
            <w:r w:rsidRPr="009E4B9D">
              <w:rPr>
                <w:rFonts w:ascii="Arial" w:hAnsi="Arial"/>
                <w:sz w:val="16"/>
                <w:szCs w:val="16"/>
                <w:lang w:eastAsia="en-US"/>
              </w:rPr>
              <w:t>0.0</w:t>
            </w:r>
          </w:p>
        </w:tc>
        <w:tc>
          <w:tcPr>
            <w:tcW w:w="1195" w:type="dxa"/>
            <w:tcBorders>
              <w:top w:val="nil"/>
              <w:left w:val="nil"/>
              <w:bottom w:val="nil"/>
              <w:right w:val="nil"/>
            </w:tcBorders>
            <w:shd w:val="clear" w:color="auto" w:fill="auto"/>
            <w:noWrap/>
            <w:vAlign w:val="bottom"/>
          </w:tcPr>
          <w:p w14:paraId="24EABDB2" w14:textId="77777777" w:rsidR="00E52F66" w:rsidRPr="009E4B9D" w:rsidRDefault="00E52F66" w:rsidP="00E52F66">
            <w:pPr>
              <w:spacing w:before="0" w:after="0" w:line="276" w:lineRule="auto"/>
              <w:jc w:val="right"/>
              <w:rPr>
                <w:rFonts w:ascii="Arial" w:hAnsi="Arial"/>
                <w:sz w:val="16"/>
                <w:szCs w:val="16"/>
                <w:lang w:eastAsia="en-US"/>
              </w:rPr>
            </w:pPr>
            <w:r w:rsidRPr="009E4B9D">
              <w:rPr>
                <w:rFonts w:ascii="Arial" w:hAnsi="Arial"/>
                <w:sz w:val="16"/>
                <w:szCs w:val="16"/>
                <w:lang w:eastAsia="en-US"/>
              </w:rPr>
              <w:t>1.1</w:t>
            </w:r>
          </w:p>
        </w:tc>
      </w:tr>
      <w:tr w:rsidR="00E52F66" w:rsidRPr="00BA1388" w14:paraId="12D94718" w14:textId="77777777" w:rsidTr="00F600B5">
        <w:trPr>
          <w:trHeight w:val="255"/>
        </w:trPr>
        <w:tc>
          <w:tcPr>
            <w:tcW w:w="3085" w:type="dxa"/>
            <w:tcBorders>
              <w:top w:val="nil"/>
              <w:left w:val="nil"/>
              <w:bottom w:val="single" w:sz="4" w:space="0" w:color="auto"/>
              <w:right w:val="nil"/>
            </w:tcBorders>
            <w:shd w:val="clear" w:color="FFFFFF" w:fill="auto"/>
            <w:vAlign w:val="bottom"/>
          </w:tcPr>
          <w:p w14:paraId="1E8B6F56" w14:textId="77777777" w:rsidR="00E52F66" w:rsidRPr="008659FE" w:rsidRDefault="00E52F66" w:rsidP="00E52F66">
            <w:pPr>
              <w:spacing w:before="0" w:after="0" w:line="276" w:lineRule="auto"/>
              <w:ind w:left="10"/>
              <w:rPr>
                <w:rFonts w:ascii="Arial" w:hAnsi="Arial"/>
                <w:sz w:val="16"/>
                <w:szCs w:val="16"/>
                <w:lang w:val="en-AU"/>
              </w:rPr>
            </w:pPr>
            <w:r w:rsidRPr="008659FE">
              <w:rPr>
                <w:rFonts w:ascii="Arial" w:hAnsi="Arial"/>
                <w:b/>
                <w:sz w:val="16"/>
                <w:szCs w:val="16"/>
                <w:lang w:val="en-AU"/>
              </w:rPr>
              <w:t>Total</w:t>
            </w:r>
          </w:p>
        </w:tc>
        <w:tc>
          <w:tcPr>
            <w:tcW w:w="1790" w:type="dxa"/>
            <w:tcBorders>
              <w:top w:val="nil"/>
              <w:left w:val="nil"/>
              <w:bottom w:val="single" w:sz="4" w:space="0" w:color="auto"/>
              <w:right w:val="nil"/>
            </w:tcBorders>
            <w:shd w:val="clear" w:color="FFFFFF" w:fill="auto"/>
            <w:noWrap/>
            <w:vAlign w:val="bottom"/>
          </w:tcPr>
          <w:p w14:paraId="663B03A4" w14:textId="77777777" w:rsidR="00E52F66" w:rsidRPr="008659FE" w:rsidRDefault="00E52F66" w:rsidP="00E52F66">
            <w:pPr>
              <w:spacing w:before="0" w:after="0" w:line="276" w:lineRule="auto"/>
              <w:jc w:val="right"/>
              <w:rPr>
                <w:rFonts w:ascii="Arial" w:hAnsi="Arial"/>
                <w:color w:val="000000"/>
                <w:sz w:val="16"/>
                <w:szCs w:val="16"/>
              </w:rPr>
            </w:pPr>
          </w:p>
        </w:tc>
        <w:tc>
          <w:tcPr>
            <w:tcW w:w="1191" w:type="dxa"/>
            <w:tcBorders>
              <w:top w:val="nil"/>
              <w:left w:val="nil"/>
              <w:bottom w:val="single" w:sz="4" w:space="0" w:color="auto"/>
              <w:right w:val="nil"/>
            </w:tcBorders>
            <w:shd w:val="clear" w:color="FFFFFF" w:fill="auto"/>
            <w:noWrap/>
            <w:vAlign w:val="bottom"/>
          </w:tcPr>
          <w:p w14:paraId="01079CC6" w14:textId="77777777" w:rsidR="00E52F66" w:rsidRPr="00353F8D" w:rsidRDefault="00E52F66" w:rsidP="00E52F66">
            <w:pPr>
              <w:keepNext/>
              <w:keepLines/>
              <w:spacing w:before="0" w:after="0" w:line="276" w:lineRule="auto"/>
              <w:jc w:val="right"/>
              <w:rPr>
                <w:rFonts w:ascii="Arial" w:hAnsi="Arial"/>
                <w:b/>
                <w:bCs/>
                <w:sz w:val="16"/>
                <w:szCs w:val="16"/>
                <w:lang w:val="en-AU"/>
              </w:rPr>
            </w:pPr>
            <w:r w:rsidRPr="00353F8D">
              <w:rPr>
                <w:rFonts w:ascii="Arial" w:hAnsi="Arial"/>
                <w:b/>
                <w:bCs/>
                <w:sz w:val="16"/>
                <w:szCs w:val="16"/>
                <w:lang w:val="en-AU"/>
              </w:rPr>
              <w:t>73.8</w:t>
            </w:r>
          </w:p>
        </w:tc>
        <w:tc>
          <w:tcPr>
            <w:tcW w:w="1413" w:type="dxa"/>
            <w:tcBorders>
              <w:top w:val="nil"/>
              <w:left w:val="nil"/>
              <w:bottom w:val="single" w:sz="4" w:space="0" w:color="auto"/>
              <w:right w:val="nil"/>
            </w:tcBorders>
            <w:shd w:val="clear" w:color="FFFFFF" w:fill="auto"/>
            <w:noWrap/>
            <w:vAlign w:val="bottom"/>
          </w:tcPr>
          <w:p w14:paraId="1C160484" w14:textId="77777777" w:rsidR="00E52F66" w:rsidRPr="009E4B9D" w:rsidRDefault="00E52F66" w:rsidP="00E52F66">
            <w:pPr>
              <w:spacing w:before="0" w:after="0" w:line="276" w:lineRule="auto"/>
              <w:jc w:val="right"/>
              <w:rPr>
                <w:rFonts w:ascii="Arial" w:hAnsi="Arial"/>
                <w:b/>
                <w:sz w:val="16"/>
                <w:szCs w:val="16"/>
                <w:lang w:eastAsia="en-US"/>
              </w:rPr>
            </w:pPr>
            <w:r w:rsidRPr="009E4B9D">
              <w:rPr>
                <w:rFonts w:ascii="Arial" w:hAnsi="Arial"/>
                <w:b/>
                <w:sz w:val="16"/>
                <w:szCs w:val="16"/>
                <w:lang w:eastAsia="en-US"/>
              </w:rPr>
              <w:t>0.2</w:t>
            </w:r>
          </w:p>
        </w:tc>
        <w:tc>
          <w:tcPr>
            <w:tcW w:w="1195" w:type="dxa"/>
            <w:tcBorders>
              <w:top w:val="nil"/>
              <w:left w:val="nil"/>
              <w:bottom w:val="single" w:sz="4" w:space="0" w:color="auto"/>
              <w:right w:val="nil"/>
            </w:tcBorders>
            <w:shd w:val="clear" w:color="FFFFFF" w:fill="auto"/>
            <w:noWrap/>
            <w:vAlign w:val="bottom"/>
          </w:tcPr>
          <w:p w14:paraId="13B7F25B" w14:textId="77777777" w:rsidR="00E52F66" w:rsidRPr="009E4B9D" w:rsidRDefault="00E52F66" w:rsidP="00E52F66">
            <w:pPr>
              <w:spacing w:before="0" w:after="0" w:line="276" w:lineRule="auto"/>
              <w:jc w:val="right"/>
              <w:rPr>
                <w:rFonts w:ascii="Arial" w:hAnsi="Arial"/>
                <w:b/>
                <w:sz w:val="16"/>
                <w:szCs w:val="16"/>
                <w:lang w:eastAsia="en-US"/>
              </w:rPr>
            </w:pPr>
            <w:r w:rsidRPr="009E4B9D">
              <w:rPr>
                <w:rFonts w:ascii="Arial" w:hAnsi="Arial"/>
                <w:b/>
                <w:sz w:val="16"/>
                <w:szCs w:val="16"/>
                <w:lang w:eastAsia="en-US"/>
              </w:rPr>
              <w:t>42.0</w:t>
            </w:r>
          </w:p>
        </w:tc>
      </w:tr>
      <w:tr w:rsidR="00E52F66" w:rsidRPr="00BA1388" w14:paraId="4C42A2F2" w14:textId="77777777" w:rsidTr="00F600B5">
        <w:trPr>
          <w:trHeight w:val="227"/>
        </w:trPr>
        <w:tc>
          <w:tcPr>
            <w:tcW w:w="3085" w:type="dxa"/>
            <w:tcBorders>
              <w:top w:val="single" w:sz="4" w:space="0" w:color="auto"/>
              <w:left w:val="nil"/>
              <w:bottom w:val="nil"/>
              <w:right w:val="nil"/>
            </w:tcBorders>
            <w:shd w:val="clear" w:color="FFFFFF" w:fill="auto"/>
            <w:vAlign w:val="bottom"/>
          </w:tcPr>
          <w:p w14:paraId="34891E20" w14:textId="77777777" w:rsidR="00E52F66" w:rsidRPr="008659FE" w:rsidRDefault="00E52F66" w:rsidP="00E52F66">
            <w:pPr>
              <w:spacing w:before="0" w:after="0" w:line="276" w:lineRule="auto"/>
              <w:rPr>
                <w:rFonts w:ascii="Arial" w:hAnsi="Arial"/>
                <w:b/>
                <w:bCs/>
                <w:sz w:val="16"/>
                <w:szCs w:val="16"/>
                <w:lang w:val="en-AU"/>
              </w:rPr>
            </w:pPr>
            <w:r w:rsidRPr="008659FE">
              <w:rPr>
                <w:rFonts w:ascii="Arial" w:hAnsi="Arial"/>
                <w:b/>
                <w:bCs/>
                <w:sz w:val="16"/>
                <w:szCs w:val="16"/>
                <w:lang w:val="en-AU"/>
              </w:rPr>
              <w:t>North Queensland Mid-Term Refresh Program: RAAF Townsville Mid-Term Refresh Project</w:t>
            </w:r>
          </w:p>
        </w:tc>
        <w:tc>
          <w:tcPr>
            <w:tcW w:w="1790" w:type="dxa"/>
            <w:tcBorders>
              <w:top w:val="single" w:sz="4" w:space="0" w:color="auto"/>
              <w:left w:val="nil"/>
              <w:bottom w:val="nil"/>
              <w:right w:val="nil"/>
            </w:tcBorders>
            <w:shd w:val="clear" w:color="FFFFFF" w:fill="auto"/>
            <w:vAlign w:val="bottom"/>
          </w:tcPr>
          <w:p w14:paraId="0B558EE0" w14:textId="77777777" w:rsidR="00E52F66" w:rsidRPr="008659FE" w:rsidRDefault="00E52F66" w:rsidP="00E52F66">
            <w:pPr>
              <w:keepNext/>
              <w:keepLines/>
              <w:spacing w:before="0" w:after="0" w:line="276" w:lineRule="auto"/>
              <w:jc w:val="right"/>
              <w:rPr>
                <w:rFonts w:ascii="Arial" w:hAnsi="Arial"/>
                <w:sz w:val="16"/>
                <w:szCs w:val="16"/>
                <w:lang w:val="en-AU"/>
              </w:rPr>
            </w:pPr>
          </w:p>
        </w:tc>
        <w:tc>
          <w:tcPr>
            <w:tcW w:w="1191" w:type="dxa"/>
            <w:tcBorders>
              <w:top w:val="single" w:sz="4" w:space="0" w:color="auto"/>
              <w:left w:val="nil"/>
              <w:bottom w:val="nil"/>
              <w:right w:val="nil"/>
            </w:tcBorders>
            <w:shd w:val="clear" w:color="auto" w:fill="auto"/>
            <w:noWrap/>
            <w:vAlign w:val="bottom"/>
          </w:tcPr>
          <w:p w14:paraId="6C56F004" w14:textId="77777777" w:rsidR="00E52F66" w:rsidRPr="00353F8D" w:rsidRDefault="00E52F66" w:rsidP="00E52F66">
            <w:pPr>
              <w:keepNext/>
              <w:keepLines/>
              <w:spacing w:before="0" w:after="0" w:line="276" w:lineRule="auto"/>
              <w:jc w:val="right"/>
              <w:rPr>
                <w:rFonts w:ascii="Arial" w:hAnsi="Arial"/>
                <w:b/>
                <w:bCs/>
                <w:sz w:val="16"/>
                <w:szCs w:val="16"/>
                <w:lang w:val="en-AU"/>
              </w:rPr>
            </w:pPr>
          </w:p>
        </w:tc>
        <w:tc>
          <w:tcPr>
            <w:tcW w:w="1413" w:type="dxa"/>
            <w:tcBorders>
              <w:top w:val="single" w:sz="4" w:space="0" w:color="auto"/>
              <w:left w:val="nil"/>
              <w:bottom w:val="nil"/>
              <w:right w:val="nil"/>
            </w:tcBorders>
            <w:shd w:val="clear" w:color="auto" w:fill="auto"/>
            <w:noWrap/>
            <w:vAlign w:val="bottom"/>
          </w:tcPr>
          <w:p w14:paraId="5E42BA55" w14:textId="77777777" w:rsidR="00E52F66" w:rsidRPr="009E4B9D" w:rsidRDefault="00E52F66" w:rsidP="00E52F66">
            <w:pPr>
              <w:spacing w:before="0" w:after="0" w:line="276" w:lineRule="auto"/>
              <w:jc w:val="right"/>
              <w:rPr>
                <w:rFonts w:ascii="Arial" w:hAnsi="Arial"/>
                <w:b/>
                <w:sz w:val="16"/>
                <w:szCs w:val="16"/>
                <w:lang w:eastAsia="en-US"/>
              </w:rPr>
            </w:pPr>
          </w:p>
        </w:tc>
        <w:tc>
          <w:tcPr>
            <w:tcW w:w="1195" w:type="dxa"/>
            <w:tcBorders>
              <w:top w:val="single" w:sz="4" w:space="0" w:color="auto"/>
              <w:left w:val="nil"/>
              <w:bottom w:val="nil"/>
              <w:right w:val="nil"/>
            </w:tcBorders>
            <w:shd w:val="clear" w:color="auto" w:fill="auto"/>
            <w:noWrap/>
            <w:vAlign w:val="bottom"/>
          </w:tcPr>
          <w:p w14:paraId="40F32E43" w14:textId="77777777" w:rsidR="00E52F66" w:rsidRPr="009E4B9D" w:rsidRDefault="00E52F66" w:rsidP="00E52F66">
            <w:pPr>
              <w:spacing w:before="0" w:after="0" w:line="276" w:lineRule="auto"/>
              <w:jc w:val="right"/>
              <w:rPr>
                <w:rFonts w:ascii="Arial" w:hAnsi="Arial"/>
                <w:b/>
                <w:sz w:val="16"/>
                <w:szCs w:val="16"/>
                <w:lang w:eastAsia="en-US"/>
              </w:rPr>
            </w:pPr>
          </w:p>
        </w:tc>
      </w:tr>
      <w:tr w:rsidR="00E52F66" w:rsidRPr="00BA1388" w14:paraId="3DFB48CF" w14:textId="77777777" w:rsidTr="00F600B5">
        <w:trPr>
          <w:trHeight w:val="227"/>
        </w:trPr>
        <w:tc>
          <w:tcPr>
            <w:tcW w:w="3085" w:type="dxa"/>
            <w:tcBorders>
              <w:top w:val="nil"/>
              <w:left w:val="nil"/>
              <w:bottom w:val="single" w:sz="4" w:space="0" w:color="auto"/>
              <w:right w:val="nil"/>
            </w:tcBorders>
            <w:shd w:val="clear" w:color="FFFFFF" w:fill="auto"/>
            <w:vAlign w:val="bottom"/>
          </w:tcPr>
          <w:p w14:paraId="3371F941" w14:textId="77777777" w:rsidR="00E52F66" w:rsidRPr="008659FE" w:rsidRDefault="00E52F66" w:rsidP="00E52F66">
            <w:pPr>
              <w:spacing w:before="0" w:after="0" w:line="276" w:lineRule="auto"/>
              <w:ind w:left="179"/>
              <w:rPr>
                <w:rFonts w:ascii="Arial" w:hAnsi="Arial"/>
                <w:sz w:val="16"/>
                <w:szCs w:val="16"/>
                <w:lang w:val="en-AU"/>
              </w:rPr>
            </w:pPr>
            <w:r w:rsidRPr="008659FE">
              <w:rPr>
                <w:rFonts w:ascii="Arial" w:hAnsi="Arial"/>
                <w:sz w:val="16"/>
                <w:szCs w:val="16"/>
                <w:lang w:val="en-AU"/>
              </w:rPr>
              <w:t>RAAF Townsville</w:t>
            </w:r>
          </w:p>
        </w:tc>
        <w:tc>
          <w:tcPr>
            <w:tcW w:w="1790" w:type="dxa"/>
            <w:tcBorders>
              <w:top w:val="nil"/>
              <w:left w:val="nil"/>
              <w:bottom w:val="single" w:sz="4" w:space="0" w:color="auto"/>
              <w:right w:val="nil"/>
            </w:tcBorders>
            <w:shd w:val="clear" w:color="FFFFFF" w:fill="auto"/>
            <w:vAlign w:val="bottom"/>
          </w:tcPr>
          <w:p w14:paraId="3673F633" w14:textId="77777777" w:rsidR="00E52F66" w:rsidRPr="008659FE" w:rsidRDefault="00E52F66" w:rsidP="00E52F66">
            <w:pPr>
              <w:spacing w:before="0" w:after="0" w:line="276" w:lineRule="auto"/>
              <w:jc w:val="right"/>
              <w:rPr>
                <w:rFonts w:ascii="Arial" w:hAnsi="Arial"/>
                <w:sz w:val="16"/>
                <w:szCs w:val="16"/>
                <w:lang w:val="en-AU"/>
              </w:rPr>
            </w:pPr>
            <w:r w:rsidRPr="008659FE">
              <w:rPr>
                <w:rFonts w:ascii="Arial" w:hAnsi="Arial"/>
                <w:sz w:val="16"/>
                <w:szCs w:val="16"/>
                <w:lang w:val="en-AU"/>
              </w:rPr>
              <w:t>QLD - Herbert</w:t>
            </w:r>
          </w:p>
        </w:tc>
        <w:tc>
          <w:tcPr>
            <w:tcW w:w="1191" w:type="dxa"/>
            <w:tcBorders>
              <w:top w:val="nil"/>
              <w:left w:val="nil"/>
              <w:bottom w:val="single" w:sz="4" w:space="0" w:color="auto"/>
              <w:right w:val="nil"/>
            </w:tcBorders>
            <w:shd w:val="clear" w:color="auto" w:fill="auto"/>
            <w:noWrap/>
            <w:vAlign w:val="bottom"/>
          </w:tcPr>
          <w:p w14:paraId="19B8D63A" w14:textId="77777777" w:rsidR="00E52F66" w:rsidRPr="00353F8D" w:rsidRDefault="00E52F66" w:rsidP="00E52F66">
            <w:pPr>
              <w:spacing w:before="0" w:after="0" w:line="276" w:lineRule="auto"/>
              <w:jc w:val="right"/>
              <w:rPr>
                <w:rFonts w:ascii="Arial" w:hAnsi="Arial"/>
                <w:b/>
                <w:sz w:val="16"/>
                <w:szCs w:val="16"/>
                <w:lang w:val="en-AU"/>
              </w:rPr>
            </w:pPr>
            <w:r w:rsidRPr="00353F8D">
              <w:rPr>
                <w:rFonts w:ascii="Arial" w:hAnsi="Arial"/>
                <w:b/>
                <w:sz w:val="16"/>
                <w:szCs w:val="16"/>
                <w:lang w:val="en-AU"/>
              </w:rPr>
              <w:t>72.8</w:t>
            </w:r>
          </w:p>
        </w:tc>
        <w:tc>
          <w:tcPr>
            <w:tcW w:w="1413" w:type="dxa"/>
            <w:tcBorders>
              <w:top w:val="nil"/>
              <w:left w:val="nil"/>
              <w:bottom w:val="single" w:sz="4" w:space="0" w:color="auto"/>
              <w:right w:val="nil"/>
            </w:tcBorders>
            <w:shd w:val="clear" w:color="auto" w:fill="auto"/>
            <w:noWrap/>
            <w:vAlign w:val="bottom"/>
          </w:tcPr>
          <w:p w14:paraId="62FF1E6C" w14:textId="77777777" w:rsidR="00E52F66" w:rsidRPr="009E4B9D" w:rsidRDefault="00E52F66" w:rsidP="00E52F66">
            <w:pPr>
              <w:spacing w:before="0" w:after="0" w:line="276" w:lineRule="auto"/>
              <w:jc w:val="right"/>
              <w:rPr>
                <w:rFonts w:ascii="Arial" w:hAnsi="Arial"/>
                <w:b/>
                <w:sz w:val="16"/>
                <w:szCs w:val="16"/>
                <w:lang w:eastAsia="en-US"/>
              </w:rPr>
            </w:pPr>
            <w:r>
              <w:rPr>
                <w:rFonts w:ascii="Arial" w:hAnsi="Arial"/>
                <w:b/>
                <w:sz w:val="16"/>
                <w:szCs w:val="16"/>
                <w:lang w:eastAsia="en-US"/>
              </w:rPr>
              <w:t>59.6</w:t>
            </w:r>
          </w:p>
        </w:tc>
        <w:tc>
          <w:tcPr>
            <w:tcW w:w="1195" w:type="dxa"/>
            <w:tcBorders>
              <w:top w:val="nil"/>
              <w:left w:val="nil"/>
              <w:bottom w:val="single" w:sz="4" w:space="0" w:color="auto"/>
              <w:right w:val="nil"/>
            </w:tcBorders>
            <w:shd w:val="clear" w:color="auto" w:fill="auto"/>
            <w:noWrap/>
            <w:vAlign w:val="bottom"/>
          </w:tcPr>
          <w:p w14:paraId="703F0DA4" w14:textId="77777777" w:rsidR="00E52F66" w:rsidRPr="009E4B9D" w:rsidRDefault="00E52F66" w:rsidP="00E52F66">
            <w:pPr>
              <w:spacing w:before="0" w:after="0" w:line="276" w:lineRule="auto"/>
              <w:jc w:val="right"/>
              <w:rPr>
                <w:rFonts w:ascii="Arial" w:hAnsi="Arial"/>
                <w:b/>
                <w:sz w:val="16"/>
                <w:szCs w:val="16"/>
                <w:lang w:eastAsia="en-US"/>
              </w:rPr>
            </w:pPr>
            <w:r w:rsidRPr="009E4B9D">
              <w:rPr>
                <w:rFonts w:ascii="Arial" w:hAnsi="Arial"/>
                <w:b/>
                <w:sz w:val="16"/>
                <w:szCs w:val="16"/>
                <w:lang w:eastAsia="en-US"/>
              </w:rPr>
              <w:t>5.3</w:t>
            </w:r>
          </w:p>
        </w:tc>
      </w:tr>
      <w:tr w:rsidR="00E52F66" w:rsidRPr="00BA1388" w14:paraId="47C165CF" w14:textId="77777777" w:rsidTr="00E52F66">
        <w:trPr>
          <w:trHeight w:val="227"/>
        </w:trPr>
        <w:tc>
          <w:tcPr>
            <w:tcW w:w="3085" w:type="dxa"/>
            <w:tcBorders>
              <w:top w:val="single" w:sz="4" w:space="0" w:color="auto"/>
              <w:left w:val="nil"/>
              <w:bottom w:val="nil"/>
              <w:right w:val="nil"/>
            </w:tcBorders>
            <w:shd w:val="clear" w:color="FFFFFF" w:fill="auto"/>
            <w:vAlign w:val="bottom"/>
          </w:tcPr>
          <w:p w14:paraId="6C250D54" w14:textId="6DC28D37" w:rsidR="00E52F66" w:rsidRPr="008659FE" w:rsidRDefault="00E52F66" w:rsidP="00E52F66">
            <w:pPr>
              <w:spacing w:before="0" w:after="0" w:line="276" w:lineRule="auto"/>
              <w:rPr>
                <w:rFonts w:ascii="Arial" w:hAnsi="Arial"/>
                <w:b/>
                <w:bCs/>
                <w:sz w:val="16"/>
                <w:szCs w:val="16"/>
                <w:lang w:val="en-AU"/>
              </w:rPr>
            </w:pPr>
            <w:r w:rsidRPr="008659FE">
              <w:rPr>
                <w:rFonts w:ascii="Arial" w:hAnsi="Arial"/>
                <w:b/>
                <w:bCs/>
                <w:sz w:val="16"/>
                <w:szCs w:val="16"/>
                <w:lang w:val="en-AU"/>
              </w:rPr>
              <w:t>Facilities to Support JP</w:t>
            </w:r>
            <w:r w:rsidR="00A13DDC">
              <w:rPr>
                <w:rFonts w:ascii="Arial" w:hAnsi="Arial"/>
                <w:b/>
                <w:bCs/>
                <w:sz w:val="16"/>
                <w:szCs w:val="16"/>
                <w:lang w:val="en-AU"/>
              </w:rPr>
              <w:t xml:space="preserve"> </w:t>
            </w:r>
            <w:r w:rsidRPr="008659FE">
              <w:rPr>
                <w:rFonts w:ascii="Arial" w:hAnsi="Arial"/>
                <w:b/>
                <w:bCs/>
                <w:sz w:val="16"/>
                <w:szCs w:val="16"/>
                <w:lang w:val="en-AU"/>
              </w:rPr>
              <w:t>8218 Theatre Logistics</w:t>
            </w:r>
          </w:p>
        </w:tc>
        <w:tc>
          <w:tcPr>
            <w:tcW w:w="1790" w:type="dxa"/>
            <w:tcBorders>
              <w:top w:val="single" w:sz="4" w:space="0" w:color="auto"/>
              <w:left w:val="nil"/>
              <w:bottom w:val="nil"/>
              <w:right w:val="nil"/>
            </w:tcBorders>
            <w:shd w:val="clear" w:color="FFFFFF" w:fill="auto"/>
            <w:vAlign w:val="bottom"/>
          </w:tcPr>
          <w:p w14:paraId="647D5170" w14:textId="77777777" w:rsidR="00E52F66" w:rsidRPr="008659FE" w:rsidRDefault="00E52F66" w:rsidP="00E52F66">
            <w:pPr>
              <w:spacing w:before="0" w:after="0" w:line="276" w:lineRule="auto"/>
              <w:jc w:val="right"/>
              <w:rPr>
                <w:rFonts w:ascii="Arial" w:hAnsi="Arial"/>
                <w:color w:val="000000"/>
                <w:sz w:val="16"/>
                <w:szCs w:val="16"/>
                <w:lang w:val="en-AU"/>
              </w:rPr>
            </w:pPr>
          </w:p>
        </w:tc>
        <w:tc>
          <w:tcPr>
            <w:tcW w:w="1191" w:type="dxa"/>
            <w:tcBorders>
              <w:top w:val="single" w:sz="4" w:space="0" w:color="auto"/>
              <w:left w:val="nil"/>
              <w:bottom w:val="nil"/>
              <w:right w:val="nil"/>
            </w:tcBorders>
            <w:shd w:val="clear" w:color="auto" w:fill="auto"/>
            <w:noWrap/>
            <w:vAlign w:val="bottom"/>
          </w:tcPr>
          <w:p w14:paraId="36AA34B1" w14:textId="77777777" w:rsidR="00E52F66" w:rsidRPr="00353F8D" w:rsidRDefault="00E52F66" w:rsidP="00E52F66">
            <w:pPr>
              <w:spacing w:before="0" w:after="0" w:line="276" w:lineRule="auto"/>
              <w:jc w:val="right"/>
              <w:rPr>
                <w:rFonts w:ascii="Arial" w:hAnsi="Arial"/>
                <w:b/>
                <w:bCs/>
                <w:sz w:val="16"/>
                <w:szCs w:val="16"/>
                <w:lang w:val="en-AU"/>
              </w:rPr>
            </w:pPr>
          </w:p>
        </w:tc>
        <w:tc>
          <w:tcPr>
            <w:tcW w:w="1413" w:type="dxa"/>
            <w:tcBorders>
              <w:top w:val="single" w:sz="4" w:space="0" w:color="auto"/>
              <w:left w:val="nil"/>
              <w:bottom w:val="nil"/>
              <w:right w:val="nil"/>
            </w:tcBorders>
            <w:shd w:val="clear" w:color="auto" w:fill="auto"/>
            <w:noWrap/>
            <w:vAlign w:val="bottom"/>
          </w:tcPr>
          <w:p w14:paraId="3AB43F92" w14:textId="77777777" w:rsidR="00E52F66" w:rsidRPr="009E4B9D" w:rsidRDefault="00E52F66" w:rsidP="00E52F66">
            <w:pPr>
              <w:spacing w:before="0" w:after="0" w:line="276" w:lineRule="auto"/>
              <w:jc w:val="right"/>
              <w:rPr>
                <w:rFonts w:ascii="Arial" w:hAnsi="Arial"/>
                <w:b/>
                <w:sz w:val="16"/>
                <w:szCs w:val="16"/>
                <w:lang w:eastAsia="en-US"/>
              </w:rPr>
            </w:pPr>
          </w:p>
        </w:tc>
        <w:tc>
          <w:tcPr>
            <w:tcW w:w="1195" w:type="dxa"/>
            <w:tcBorders>
              <w:top w:val="single" w:sz="4" w:space="0" w:color="auto"/>
              <w:left w:val="nil"/>
              <w:bottom w:val="nil"/>
              <w:right w:val="nil"/>
            </w:tcBorders>
            <w:shd w:val="clear" w:color="auto" w:fill="auto"/>
            <w:noWrap/>
            <w:vAlign w:val="bottom"/>
          </w:tcPr>
          <w:p w14:paraId="2FF792A4" w14:textId="77777777" w:rsidR="00E52F66" w:rsidRPr="009E4B9D" w:rsidRDefault="00E52F66" w:rsidP="00E52F66">
            <w:pPr>
              <w:spacing w:before="0" w:after="0" w:line="276" w:lineRule="auto"/>
              <w:jc w:val="right"/>
              <w:rPr>
                <w:rFonts w:ascii="Arial" w:hAnsi="Arial"/>
                <w:b/>
                <w:sz w:val="16"/>
                <w:szCs w:val="16"/>
                <w:lang w:eastAsia="en-US"/>
              </w:rPr>
            </w:pPr>
          </w:p>
        </w:tc>
      </w:tr>
      <w:tr w:rsidR="00E52F66" w:rsidRPr="00BA1388" w14:paraId="1F8FA74A" w14:textId="77777777" w:rsidTr="00E52F66">
        <w:trPr>
          <w:trHeight w:val="227"/>
        </w:trPr>
        <w:tc>
          <w:tcPr>
            <w:tcW w:w="3085" w:type="dxa"/>
            <w:tcBorders>
              <w:top w:val="nil"/>
              <w:left w:val="nil"/>
              <w:bottom w:val="single" w:sz="4" w:space="0" w:color="auto"/>
              <w:right w:val="nil"/>
            </w:tcBorders>
            <w:shd w:val="clear" w:color="FFFFFF" w:fill="auto"/>
            <w:vAlign w:val="bottom"/>
          </w:tcPr>
          <w:p w14:paraId="616B93EF" w14:textId="77777777" w:rsidR="00E52F66" w:rsidRPr="008659FE" w:rsidRDefault="00E52F66" w:rsidP="00E52F66">
            <w:pPr>
              <w:spacing w:before="0" w:after="0" w:line="276" w:lineRule="auto"/>
              <w:ind w:left="179"/>
              <w:rPr>
                <w:rFonts w:ascii="Arial" w:hAnsi="Arial"/>
                <w:b/>
                <w:bCs/>
                <w:sz w:val="16"/>
                <w:szCs w:val="16"/>
                <w:lang w:val="en-AU"/>
              </w:rPr>
            </w:pPr>
            <w:r w:rsidRPr="008659FE">
              <w:rPr>
                <w:rFonts w:ascii="Arial" w:hAnsi="Arial"/>
                <w:sz w:val="16"/>
                <w:szCs w:val="16"/>
                <w:lang w:val="en-AU"/>
              </w:rPr>
              <w:t>North Bandiana</w:t>
            </w:r>
          </w:p>
        </w:tc>
        <w:tc>
          <w:tcPr>
            <w:tcW w:w="1790" w:type="dxa"/>
            <w:tcBorders>
              <w:top w:val="nil"/>
              <w:left w:val="nil"/>
              <w:bottom w:val="single" w:sz="4" w:space="0" w:color="auto"/>
              <w:right w:val="nil"/>
            </w:tcBorders>
            <w:shd w:val="clear" w:color="FFFFFF" w:fill="auto"/>
            <w:vAlign w:val="bottom"/>
          </w:tcPr>
          <w:p w14:paraId="77171A94" w14:textId="77777777" w:rsidR="00E52F66" w:rsidRPr="008659FE" w:rsidRDefault="00E52F66" w:rsidP="00E52F66">
            <w:pPr>
              <w:spacing w:before="0" w:after="0" w:line="276" w:lineRule="auto"/>
              <w:jc w:val="right"/>
              <w:rPr>
                <w:rFonts w:ascii="Arial" w:hAnsi="Arial"/>
                <w:color w:val="000000"/>
                <w:sz w:val="16"/>
                <w:szCs w:val="16"/>
              </w:rPr>
            </w:pPr>
            <w:r w:rsidRPr="008659FE">
              <w:rPr>
                <w:rFonts w:ascii="Arial" w:hAnsi="Arial"/>
                <w:color w:val="000000"/>
                <w:sz w:val="16"/>
                <w:szCs w:val="16"/>
              </w:rPr>
              <w:t>VIC - Indi</w:t>
            </w:r>
          </w:p>
        </w:tc>
        <w:tc>
          <w:tcPr>
            <w:tcW w:w="1191" w:type="dxa"/>
            <w:tcBorders>
              <w:top w:val="nil"/>
              <w:left w:val="nil"/>
              <w:bottom w:val="single" w:sz="4" w:space="0" w:color="auto"/>
              <w:right w:val="nil"/>
            </w:tcBorders>
            <w:shd w:val="clear" w:color="auto" w:fill="auto"/>
            <w:noWrap/>
            <w:vAlign w:val="bottom"/>
          </w:tcPr>
          <w:p w14:paraId="4C63890A" w14:textId="77777777" w:rsidR="00E52F66" w:rsidRPr="00353F8D" w:rsidRDefault="00E52F66" w:rsidP="00E52F66">
            <w:pPr>
              <w:spacing w:before="0" w:after="0" w:line="276" w:lineRule="auto"/>
              <w:jc w:val="right"/>
              <w:rPr>
                <w:rFonts w:ascii="Arial" w:hAnsi="Arial"/>
                <w:b/>
                <w:bCs/>
                <w:sz w:val="16"/>
                <w:szCs w:val="16"/>
                <w:lang w:val="en-AU"/>
              </w:rPr>
            </w:pPr>
            <w:r w:rsidRPr="00353F8D">
              <w:rPr>
                <w:rFonts w:ascii="Arial" w:hAnsi="Arial"/>
                <w:b/>
                <w:bCs/>
                <w:sz w:val="16"/>
                <w:szCs w:val="16"/>
                <w:lang w:val="en-AU"/>
              </w:rPr>
              <w:t>67.3</w:t>
            </w:r>
          </w:p>
        </w:tc>
        <w:tc>
          <w:tcPr>
            <w:tcW w:w="1413" w:type="dxa"/>
            <w:tcBorders>
              <w:top w:val="nil"/>
              <w:left w:val="nil"/>
              <w:bottom w:val="single" w:sz="4" w:space="0" w:color="auto"/>
              <w:right w:val="nil"/>
            </w:tcBorders>
            <w:shd w:val="clear" w:color="auto" w:fill="auto"/>
            <w:noWrap/>
            <w:vAlign w:val="bottom"/>
          </w:tcPr>
          <w:p w14:paraId="218D266B" w14:textId="77777777" w:rsidR="00E52F66" w:rsidRPr="009E4B9D" w:rsidRDefault="00E52F66" w:rsidP="00E52F66">
            <w:pPr>
              <w:spacing w:before="0" w:after="0" w:line="276" w:lineRule="auto"/>
              <w:jc w:val="right"/>
              <w:rPr>
                <w:rFonts w:ascii="Arial" w:hAnsi="Arial"/>
                <w:b/>
                <w:sz w:val="16"/>
                <w:szCs w:val="16"/>
                <w:lang w:eastAsia="en-US"/>
              </w:rPr>
            </w:pPr>
            <w:r w:rsidRPr="009E4B9D">
              <w:rPr>
                <w:rFonts w:ascii="Arial" w:hAnsi="Arial"/>
                <w:b/>
                <w:sz w:val="16"/>
                <w:szCs w:val="16"/>
                <w:lang w:eastAsia="en-US"/>
              </w:rPr>
              <w:t>1.0</w:t>
            </w:r>
          </w:p>
        </w:tc>
        <w:tc>
          <w:tcPr>
            <w:tcW w:w="1195" w:type="dxa"/>
            <w:tcBorders>
              <w:top w:val="nil"/>
              <w:left w:val="nil"/>
              <w:bottom w:val="single" w:sz="4" w:space="0" w:color="auto"/>
              <w:right w:val="nil"/>
            </w:tcBorders>
            <w:shd w:val="clear" w:color="auto" w:fill="auto"/>
            <w:noWrap/>
            <w:vAlign w:val="bottom"/>
          </w:tcPr>
          <w:p w14:paraId="3F078BEC" w14:textId="77777777" w:rsidR="00E52F66" w:rsidRPr="009E4B9D" w:rsidRDefault="00E52F66" w:rsidP="00E52F66">
            <w:pPr>
              <w:spacing w:before="0" w:after="0" w:line="276" w:lineRule="auto"/>
              <w:jc w:val="right"/>
              <w:rPr>
                <w:rFonts w:ascii="Arial" w:hAnsi="Arial"/>
                <w:b/>
                <w:sz w:val="16"/>
                <w:szCs w:val="16"/>
                <w:lang w:eastAsia="en-US"/>
              </w:rPr>
            </w:pPr>
            <w:r>
              <w:rPr>
                <w:rFonts w:ascii="Arial" w:hAnsi="Arial"/>
                <w:b/>
                <w:sz w:val="16"/>
                <w:szCs w:val="16"/>
                <w:lang w:eastAsia="en-US"/>
              </w:rPr>
              <w:t>57.0</w:t>
            </w:r>
          </w:p>
        </w:tc>
      </w:tr>
      <w:tr w:rsidR="00E52F66" w:rsidRPr="00BA1388" w14:paraId="6F0C0CF6" w14:textId="77777777" w:rsidTr="00F600B5">
        <w:trPr>
          <w:trHeight w:val="227"/>
        </w:trPr>
        <w:tc>
          <w:tcPr>
            <w:tcW w:w="3085" w:type="dxa"/>
            <w:tcBorders>
              <w:top w:val="single" w:sz="4" w:space="0" w:color="auto"/>
              <w:left w:val="nil"/>
              <w:bottom w:val="nil"/>
              <w:right w:val="nil"/>
            </w:tcBorders>
            <w:shd w:val="clear" w:color="FFFFFF" w:fill="auto"/>
            <w:vAlign w:val="bottom"/>
          </w:tcPr>
          <w:p w14:paraId="65119174" w14:textId="77777777" w:rsidR="00E52F66" w:rsidRPr="008659FE" w:rsidRDefault="00E52F66" w:rsidP="00E52F66">
            <w:pPr>
              <w:spacing w:before="0" w:after="0" w:line="276" w:lineRule="auto"/>
              <w:rPr>
                <w:rFonts w:ascii="Arial" w:hAnsi="Arial"/>
                <w:sz w:val="16"/>
                <w:szCs w:val="16"/>
                <w:lang w:val="en-AU"/>
              </w:rPr>
            </w:pPr>
            <w:r w:rsidRPr="008659FE">
              <w:rPr>
                <w:rFonts w:ascii="Arial" w:hAnsi="Arial"/>
                <w:b/>
                <w:bCs/>
                <w:sz w:val="16"/>
                <w:szCs w:val="16"/>
                <w:lang w:val="en-AU"/>
              </w:rPr>
              <w:t xml:space="preserve">AIR 2025 Phase 6 Jindalee Operational Radar Networks (JORN) Facilities Project </w:t>
            </w:r>
          </w:p>
        </w:tc>
        <w:tc>
          <w:tcPr>
            <w:tcW w:w="1790" w:type="dxa"/>
            <w:tcBorders>
              <w:top w:val="single" w:sz="4" w:space="0" w:color="auto"/>
              <w:left w:val="nil"/>
              <w:bottom w:val="nil"/>
              <w:right w:val="nil"/>
            </w:tcBorders>
            <w:shd w:val="clear" w:color="FFFFFF" w:fill="auto"/>
            <w:vAlign w:val="bottom"/>
          </w:tcPr>
          <w:p w14:paraId="6E060B98" w14:textId="77777777" w:rsidR="00E52F66" w:rsidRPr="008659FE" w:rsidRDefault="00E52F66" w:rsidP="00E52F66">
            <w:pPr>
              <w:spacing w:before="0" w:after="0" w:line="276" w:lineRule="auto"/>
              <w:jc w:val="right"/>
              <w:rPr>
                <w:rFonts w:ascii="Arial" w:hAnsi="Arial"/>
                <w:sz w:val="16"/>
                <w:szCs w:val="16"/>
                <w:lang w:val="en-AU"/>
              </w:rPr>
            </w:pPr>
          </w:p>
        </w:tc>
        <w:tc>
          <w:tcPr>
            <w:tcW w:w="1191" w:type="dxa"/>
            <w:tcBorders>
              <w:top w:val="single" w:sz="4" w:space="0" w:color="auto"/>
              <w:left w:val="nil"/>
              <w:bottom w:val="nil"/>
              <w:right w:val="nil"/>
            </w:tcBorders>
            <w:shd w:val="clear" w:color="auto" w:fill="auto"/>
            <w:noWrap/>
            <w:vAlign w:val="bottom"/>
          </w:tcPr>
          <w:p w14:paraId="78F7BB1B" w14:textId="77777777" w:rsidR="00E52F66" w:rsidRPr="00353F8D" w:rsidRDefault="00E52F66" w:rsidP="00E52F66">
            <w:pPr>
              <w:spacing w:before="0" w:after="0" w:line="276" w:lineRule="auto"/>
              <w:jc w:val="right"/>
              <w:rPr>
                <w:rFonts w:ascii="Arial" w:hAnsi="Arial"/>
                <w:b/>
                <w:bCs/>
                <w:sz w:val="16"/>
                <w:szCs w:val="16"/>
                <w:lang w:val="en-AU"/>
              </w:rPr>
            </w:pPr>
          </w:p>
        </w:tc>
        <w:tc>
          <w:tcPr>
            <w:tcW w:w="1413" w:type="dxa"/>
            <w:tcBorders>
              <w:top w:val="single" w:sz="4" w:space="0" w:color="auto"/>
              <w:left w:val="nil"/>
              <w:bottom w:val="nil"/>
              <w:right w:val="nil"/>
            </w:tcBorders>
            <w:shd w:val="clear" w:color="auto" w:fill="auto"/>
            <w:noWrap/>
            <w:vAlign w:val="bottom"/>
          </w:tcPr>
          <w:p w14:paraId="52D1E26F" w14:textId="77777777" w:rsidR="00E52F66" w:rsidRPr="009E4B9D" w:rsidRDefault="00E52F66" w:rsidP="00E52F66">
            <w:pPr>
              <w:spacing w:before="0" w:after="0" w:line="276" w:lineRule="auto"/>
              <w:jc w:val="right"/>
              <w:rPr>
                <w:rFonts w:ascii="Arial" w:hAnsi="Arial"/>
                <w:b/>
                <w:sz w:val="16"/>
                <w:szCs w:val="16"/>
                <w:lang w:eastAsia="en-US"/>
              </w:rPr>
            </w:pPr>
          </w:p>
        </w:tc>
        <w:tc>
          <w:tcPr>
            <w:tcW w:w="1195" w:type="dxa"/>
            <w:tcBorders>
              <w:top w:val="single" w:sz="4" w:space="0" w:color="auto"/>
              <w:left w:val="nil"/>
              <w:bottom w:val="nil"/>
              <w:right w:val="nil"/>
            </w:tcBorders>
            <w:shd w:val="clear" w:color="auto" w:fill="auto"/>
            <w:noWrap/>
            <w:vAlign w:val="bottom"/>
          </w:tcPr>
          <w:p w14:paraId="58E89E41" w14:textId="77777777" w:rsidR="00E52F66" w:rsidRPr="009E4B9D" w:rsidRDefault="00E52F66" w:rsidP="00E52F66">
            <w:pPr>
              <w:spacing w:before="0" w:after="0" w:line="276" w:lineRule="auto"/>
              <w:jc w:val="right"/>
              <w:rPr>
                <w:rFonts w:ascii="Arial" w:hAnsi="Arial"/>
                <w:b/>
                <w:sz w:val="16"/>
                <w:szCs w:val="16"/>
                <w:lang w:eastAsia="en-US"/>
              </w:rPr>
            </w:pPr>
          </w:p>
        </w:tc>
      </w:tr>
      <w:tr w:rsidR="00E52F66" w:rsidRPr="00BA1388" w14:paraId="6B993FEA" w14:textId="77777777" w:rsidTr="00F600B5">
        <w:trPr>
          <w:trHeight w:val="227"/>
        </w:trPr>
        <w:tc>
          <w:tcPr>
            <w:tcW w:w="3085" w:type="dxa"/>
            <w:tcBorders>
              <w:top w:val="nil"/>
              <w:left w:val="nil"/>
              <w:bottom w:val="nil"/>
              <w:right w:val="nil"/>
            </w:tcBorders>
            <w:shd w:val="clear" w:color="FFFFFF" w:fill="auto"/>
            <w:vAlign w:val="bottom"/>
          </w:tcPr>
          <w:p w14:paraId="3C5A220B" w14:textId="77777777" w:rsidR="00E52F66" w:rsidRPr="008659FE" w:rsidRDefault="00E52F66" w:rsidP="00E52F66">
            <w:pPr>
              <w:spacing w:before="0" w:after="0" w:line="276" w:lineRule="auto"/>
              <w:ind w:left="179"/>
              <w:rPr>
                <w:rFonts w:ascii="Arial" w:hAnsi="Arial"/>
                <w:sz w:val="16"/>
                <w:szCs w:val="16"/>
                <w:lang w:val="en-AU"/>
              </w:rPr>
            </w:pPr>
            <w:r w:rsidRPr="008659FE">
              <w:rPr>
                <w:rFonts w:ascii="Arial" w:hAnsi="Arial"/>
                <w:sz w:val="16"/>
                <w:szCs w:val="16"/>
                <w:lang w:val="en-AU"/>
              </w:rPr>
              <w:t>Alice Springs</w:t>
            </w:r>
          </w:p>
        </w:tc>
        <w:tc>
          <w:tcPr>
            <w:tcW w:w="1790" w:type="dxa"/>
            <w:tcBorders>
              <w:top w:val="nil"/>
              <w:left w:val="nil"/>
              <w:bottom w:val="nil"/>
              <w:right w:val="nil"/>
            </w:tcBorders>
            <w:shd w:val="clear" w:color="FFFFFF" w:fill="auto"/>
            <w:vAlign w:val="bottom"/>
          </w:tcPr>
          <w:p w14:paraId="68D8D064" w14:textId="77777777" w:rsidR="00E52F66" w:rsidRPr="008659FE" w:rsidRDefault="00E52F66" w:rsidP="00E52F66">
            <w:pPr>
              <w:spacing w:before="0" w:after="0" w:line="276" w:lineRule="auto"/>
              <w:jc w:val="right"/>
              <w:rPr>
                <w:rFonts w:ascii="Arial" w:hAnsi="Arial"/>
                <w:sz w:val="16"/>
                <w:szCs w:val="16"/>
                <w:lang w:val="en-AU"/>
              </w:rPr>
            </w:pPr>
            <w:r w:rsidRPr="008659FE">
              <w:rPr>
                <w:rFonts w:ascii="Arial" w:hAnsi="Arial"/>
                <w:sz w:val="16"/>
                <w:szCs w:val="16"/>
                <w:lang w:val="en-AU"/>
              </w:rPr>
              <w:t>NT - Lingiari</w:t>
            </w:r>
          </w:p>
        </w:tc>
        <w:tc>
          <w:tcPr>
            <w:tcW w:w="1191" w:type="dxa"/>
            <w:tcBorders>
              <w:top w:val="nil"/>
              <w:left w:val="nil"/>
              <w:bottom w:val="nil"/>
              <w:right w:val="nil"/>
            </w:tcBorders>
            <w:shd w:val="clear" w:color="auto" w:fill="auto"/>
            <w:noWrap/>
            <w:vAlign w:val="bottom"/>
          </w:tcPr>
          <w:p w14:paraId="60BF88B5" w14:textId="77777777" w:rsidR="00E52F66" w:rsidRPr="00353F8D" w:rsidRDefault="00E52F66" w:rsidP="00E52F66">
            <w:pPr>
              <w:spacing w:before="0" w:after="0" w:line="276" w:lineRule="auto"/>
              <w:jc w:val="right"/>
              <w:rPr>
                <w:rFonts w:ascii="Arial" w:hAnsi="Arial"/>
                <w:b/>
                <w:bCs/>
                <w:sz w:val="16"/>
                <w:szCs w:val="16"/>
                <w:lang w:val="en-AU"/>
              </w:rPr>
            </w:pPr>
          </w:p>
        </w:tc>
        <w:tc>
          <w:tcPr>
            <w:tcW w:w="1413" w:type="dxa"/>
            <w:tcBorders>
              <w:top w:val="nil"/>
              <w:left w:val="nil"/>
              <w:bottom w:val="nil"/>
              <w:right w:val="nil"/>
            </w:tcBorders>
            <w:shd w:val="clear" w:color="auto" w:fill="auto"/>
            <w:noWrap/>
            <w:vAlign w:val="bottom"/>
          </w:tcPr>
          <w:p w14:paraId="2EEC75AD" w14:textId="77777777" w:rsidR="00E52F66" w:rsidRPr="005E6122" w:rsidRDefault="00E52F66" w:rsidP="00E52F66">
            <w:pPr>
              <w:spacing w:before="0" w:after="0" w:line="276" w:lineRule="auto"/>
              <w:jc w:val="right"/>
              <w:rPr>
                <w:rFonts w:ascii="Arial" w:hAnsi="Arial"/>
                <w:sz w:val="16"/>
                <w:szCs w:val="16"/>
                <w:lang w:eastAsia="en-US"/>
              </w:rPr>
            </w:pPr>
            <w:r w:rsidRPr="005E6122">
              <w:rPr>
                <w:rFonts w:ascii="Arial" w:hAnsi="Arial"/>
                <w:sz w:val="16"/>
                <w:szCs w:val="16"/>
                <w:lang w:eastAsia="en-US"/>
              </w:rPr>
              <w:t>56.5</w:t>
            </w:r>
          </w:p>
        </w:tc>
        <w:tc>
          <w:tcPr>
            <w:tcW w:w="1195" w:type="dxa"/>
            <w:tcBorders>
              <w:top w:val="nil"/>
              <w:left w:val="nil"/>
              <w:bottom w:val="nil"/>
              <w:right w:val="nil"/>
            </w:tcBorders>
            <w:shd w:val="clear" w:color="auto" w:fill="auto"/>
            <w:noWrap/>
            <w:vAlign w:val="bottom"/>
          </w:tcPr>
          <w:p w14:paraId="406B333B" w14:textId="77777777" w:rsidR="00E52F66" w:rsidRPr="005E6122" w:rsidRDefault="00E52F66" w:rsidP="00E52F66">
            <w:pPr>
              <w:spacing w:before="0" w:after="0" w:line="276" w:lineRule="auto"/>
              <w:jc w:val="right"/>
              <w:rPr>
                <w:rFonts w:ascii="Arial" w:hAnsi="Arial"/>
                <w:sz w:val="16"/>
                <w:szCs w:val="16"/>
                <w:lang w:eastAsia="en-US"/>
              </w:rPr>
            </w:pPr>
            <w:r w:rsidRPr="005E6122">
              <w:rPr>
                <w:rFonts w:ascii="Arial" w:hAnsi="Arial"/>
                <w:sz w:val="16"/>
                <w:szCs w:val="16"/>
                <w:lang w:eastAsia="en-US"/>
              </w:rPr>
              <w:t>0.0</w:t>
            </w:r>
          </w:p>
        </w:tc>
      </w:tr>
      <w:tr w:rsidR="00E52F66" w:rsidRPr="00BA1388" w14:paraId="3D71471D" w14:textId="77777777" w:rsidTr="00F600B5">
        <w:trPr>
          <w:trHeight w:val="227"/>
        </w:trPr>
        <w:tc>
          <w:tcPr>
            <w:tcW w:w="3085" w:type="dxa"/>
            <w:tcBorders>
              <w:top w:val="nil"/>
              <w:left w:val="nil"/>
              <w:bottom w:val="nil"/>
              <w:right w:val="nil"/>
            </w:tcBorders>
            <w:shd w:val="clear" w:color="FFFFFF" w:fill="auto"/>
            <w:vAlign w:val="bottom"/>
          </w:tcPr>
          <w:p w14:paraId="7135D9E8" w14:textId="77777777" w:rsidR="00E52F66" w:rsidRPr="008659FE" w:rsidRDefault="00E52F66" w:rsidP="00E52F66">
            <w:pPr>
              <w:spacing w:before="0" w:after="0" w:line="276" w:lineRule="auto"/>
              <w:ind w:left="179"/>
              <w:rPr>
                <w:rFonts w:ascii="Arial" w:hAnsi="Arial"/>
                <w:sz w:val="16"/>
                <w:szCs w:val="16"/>
                <w:lang w:val="en-AU"/>
              </w:rPr>
            </w:pPr>
            <w:r w:rsidRPr="008659FE">
              <w:rPr>
                <w:rFonts w:ascii="Arial" w:hAnsi="Arial"/>
                <w:sz w:val="16"/>
                <w:szCs w:val="16"/>
                <w:lang w:val="en-AU"/>
              </w:rPr>
              <w:t>Murray Bridge Training Area</w:t>
            </w:r>
          </w:p>
        </w:tc>
        <w:tc>
          <w:tcPr>
            <w:tcW w:w="1790" w:type="dxa"/>
            <w:tcBorders>
              <w:top w:val="nil"/>
              <w:left w:val="nil"/>
              <w:bottom w:val="nil"/>
              <w:right w:val="nil"/>
            </w:tcBorders>
            <w:shd w:val="clear" w:color="FFFFFF" w:fill="auto"/>
            <w:vAlign w:val="bottom"/>
          </w:tcPr>
          <w:p w14:paraId="39F59AAF" w14:textId="77777777" w:rsidR="00E52F66" w:rsidRPr="008659FE" w:rsidRDefault="00E52F66" w:rsidP="00E52F66">
            <w:pPr>
              <w:spacing w:before="0" w:after="0" w:line="276" w:lineRule="auto"/>
              <w:jc w:val="right"/>
              <w:rPr>
                <w:rFonts w:ascii="Arial" w:hAnsi="Arial"/>
                <w:sz w:val="16"/>
                <w:szCs w:val="16"/>
                <w:lang w:val="en-AU"/>
              </w:rPr>
            </w:pPr>
            <w:r w:rsidRPr="008659FE">
              <w:rPr>
                <w:rFonts w:ascii="Arial" w:hAnsi="Arial"/>
                <w:sz w:val="16"/>
                <w:szCs w:val="16"/>
                <w:lang w:val="en-AU"/>
              </w:rPr>
              <w:t>SA - Barker</w:t>
            </w:r>
          </w:p>
        </w:tc>
        <w:tc>
          <w:tcPr>
            <w:tcW w:w="1191" w:type="dxa"/>
            <w:tcBorders>
              <w:top w:val="nil"/>
              <w:left w:val="nil"/>
              <w:bottom w:val="nil"/>
              <w:right w:val="nil"/>
            </w:tcBorders>
            <w:shd w:val="clear" w:color="FFFFFF" w:fill="auto"/>
            <w:noWrap/>
            <w:vAlign w:val="bottom"/>
          </w:tcPr>
          <w:p w14:paraId="1E3BF9BA" w14:textId="77777777" w:rsidR="00E52F66" w:rsidRPr="00353F8D" w:rsidRDefault="00E52F66" w:rsidP="00E52F66">
            <w:pPr>
              <w:spacing w:before="0" w:after="0" w:line="276" w:lineRule="auto"/>
              <w:jc w:val="right"/>
              <w:rPr>
                <w:rFonts w:ascii="Arial" w:hAnsi="Arial"/>
                <w:b/>
                <w:bCs/>
                <w:sz w:val="16"/>
                <w:szCs w:val="16"/>
                <w:lang w:val="en-AU"/>
              </w:rPr>
            </w:pPr>
          </w:p>
        </w:tc>
        <w:tc>
          <w:tcPr>
            <w:tcW w:w="1413" w:type="dxa"/>
            <w:tcBorders>
              <w:top w:val="nil"/>
              <w:left w:val="nil"/>
              <w:bottom w:val="nil"/>
              <w:right w:val="nil"/>
            </w:tcBorders>
            <w:shd w:val="clear" w:color="auto" w:fill="auto"/>
            <w:noWrap/>
            <w:vAlign w:val="bottom"/>
          </w:tcPr>
          <w:p w14:paraId="7DE8195A" w14:textId="77777777" w:rsidR="00E52F66" w:rsidRPr="005E6122" w:rsidRDefault="00E52F66" w:rsidP="00E52F66">
            <w:pPr>
              <w:spacing w:before="0" w:after="0" w:line="276" w:lineRule="auto"/>
              <w:jc w:val="right"/>
              <w:rPr>
                <w:rFonts w:ascii="Arial" w:hAnsi="Arial"/>
                <w:sz w:val="16"/>
                <w:szCs w:val="16"/>
                <w:lang w:eastAsia="en-US"/>
              </w:rPr>
            </w:pPr>
            <w:r w:rsidRPr="005E6122">
              <w:rPr>
                <w:rFonts w:ascii="Arial" w:hAnsi="Arial"/>
                <w:sz w:val="16"/>
                <w:szCs w:val="16"/>
                <w:lang w:eastAsia="en-US"/>
              </w:rPr>
              <w:t>1.4</w:t>
            </w:r>
          </w:p>
        </w:tc>
        <w:tc>
          <w:tcPr>
            <w:tcW w:w="1195" w:type="dxa"/>
            <w:tcBorders>
              <w:top w:val="nil"/>
              <w:left w:val="nil"/>
              <w:bottom w:val="nil"/>
              <w:right w:val="nil"/>
            </w:tcBorders>
            <w:shd w:val="clear" w:color="auto" w:fill="auto"/>
            <w:noWrap/>
            <w:vAlign w:val="bottom"/>
          </w:tcPr>
          <w:p w14:paraId="4C218828" w14:textId="77777777" w:rsidR="00E52F66" w:rsidRPr="005E6122" w:rsidRDefault="00E52F66" w:rsidP="00E52F66">
            <w:pPr>
              <w:spacing w:before="0" w:after="0" w:line="276" w:lineRule="auto"/>
              <w:jc w:val="right"/>
              <w:rPr>
                <w:rFonts w:ascii="Arial" w:hAnsi="Arial"/>
                <w:sz w:val="16"/>
                <w:szCs w:val="16"/>
                <w:lang w:eastAsia="en-US"/>
              </w:rPr>
            </w:pPr>
            <w:r w:rsidRPr="005E6122">
              <w:rPr>
                <w:rFonts w:ascii="Arial" w:hAnsi="Arial"/>
                <w:sz w:val="16"/>
                <w:szCs w:val="16"/>
                <w:lang w:eastAsia="en-US"/>
              </w:rPr>
              <w:t>0.0</w:t>
            </w:r>
          </w:p>
        </w:tc>
      </w:tr>
      <w:tr w:rsidR="00E52F66" w:rsidRPr="00BA1388" w14:paraId="1AD60F6D" w14:textId="77777777" w:rsidTr="00F600B5">
        <w:trPr>
          <w:trHeight w:val="227"/>
        </w:trPr>
        <w:tc>
          <w:tcPr>
            <w:tcW w:w="3085" w:type="dxa"/>
            <w:tcBorders>
              <w:top w:val="nil"/>
              <w:left w:val="nil"/>
              <w:bottom w:val="nil"/>
              <w:right w:val="nil"/>
            </w:tcBorders>
            <w:shd w:val="clear" w:color="FFFFFF" w:fill="auto"/>
            <w:vAlign w:val="bottom"/>
          </w:tcPr>
          <w:p w14:paraId="3DC2028B" w14:textId="77777777" w:rsidR="00E52F66" w:rsidRPr="008659FE" w:rsidRDefault="00E52F66" w:rsidP="00E52F66">
            <w:pPr>
              <w:spacing w:before="0" w:after="0" w:line="276" w:lineRule="auto"/>
              <w:ind w:left="179"/>
              <w:rPr>
                <w:rFonts w:ascii="Arial" w:hAnsi="Arial"/>
                <w:sz w:val="16"/>
                <w:szCs w:val="16"/>
                <w:lang w:val="en-AU"/>
              </w:rPr>
            </w:pPr>
            <w:r w:rsidRPr="008659FE">
              <w:rPr>
                <w:rFonts w:ascii="Arial" w:hAnsi="Arial"/>
                <w:sz w:val="16"/>
                <w:szCs w:val="16"/>
                <w:lang w:val="en-AU"/>
              </w:rPr>
              <w:t>RAAF Learmonth</w:t>
            </w:r>
          </w:p>
        </w:tc>
        <w:tc>
          <w:tcPr>
            <w:tcW w:w="1790" w:type="dxa"/>
            <w:tcBorders>
              <w:top w:val="nil"/>
              <w:left w:val="nil"/>
              <w:bottom w:val="nil"/>
              <w:right w:val="nil"/>
            </w:tcBorders>
            <w:shd w:val="clear" w:color="FFFFFF" w:fill="auto"/>
            <w:vAlign w:val="bottom"/>
          </w:tcPr>
          <w:p w14:paraId="56E8749F" w14:textId="77777777" w:rsidR="00E52F66" w:rsidRPr="008659FE" w:rsidRDefault="00E52F66" w:rsidP="00E52F66">
            <w:pPr>
              <w:spacing w:before="0" w:after="0" w:line="276" w:lineRule="auto"/>
              <w:jc w:val="right"/>
              <w:rPr>
                <w:rFonts w:ascii="Arial" w:hAnsi="Arial"/>
                <w:sz w:val="16"/>
                <w:szCs w:val="16"/>
                <w:lang w:val="en-AU"/>
              </w:rPr>
            </w:pPr>
            <w:r w:rsidRPr="008659FE">
              <w:rPr>
                <w:rFonts w:ascii="Arial" w:hAnsi="Arial"/>
                <w:sz w:val="16"/>
                <w:szCs w:val="16"/>
                <w:lang w:val="en-AU"/>
              </w:rPr>
              <w:t>WA - Durack</w:t>
            </w:r>
          </w:p>
        </w:tc>
        <w:tc>
          <w:tcPr>
            <w:tcW w:w="1191" w:type="dxa"/>
            <w:tcBorders>
              <w:top w:val="nil"/>
              <w:left w:val="nil"/>
              <w:bottom w:val="nil"/>
              <w:right w:val="nil"/>
            </w:tcBorders>
            <w:shd w:val="clear" w:color="auto" w:fill="auto"/>
            <w:noWrap/>
            <w:vAlign w:val="bottom"/>
          </w:tcPr>
          <w:p w14:paraId="2ECEE7B5" w14:textId="77777777" w:rsidR="00E52F66" w:rsidRPr="00353F8D" w:rsidRDefault="00E52F66" w:rsidP="00E52F66">
            <w:pPr>
              <w:spacing w:before="0" w:after="0" w:line="276" w:lineRule="auto"/>
              <w:jc w:val="right"/>
              <w:rPr>
                <w:rFonts w:ascii="Arial" w:hAnsi="Arial"/>
                <w:b/>
                <w:bCs/>
                <w:sz w:val="16"/>
                <w:szCs w:val="16"/>
                <w:lang w:val="en-AU"/>
              </w:rPr>
            </w:pPr>
          </w:p>
        </w:tc>
        <w:tc>
          <w:tcPr>
            <w:tcW w:w="1413" w:type="dxa"/>
            <w:tcBorders>
              <w:top w:val="nil"/>
              <w:left w:val="nil"/>
              <w:bottom w:val="nil"/>
              <w:right w:val="nil"/>
            </w:tcBorders>
            <w:shd w:val="clear" w:color="auto" w:fill="auto"/>
            <w:noWrap/>
            <w:vAlign w:val="bottom"/>
          </w:tcPr>
          <w:p w14:paraId="529BCC77" w14:textId="77777777" w:rsidR="00E52F66" w:rsidRPr="005E6122" w:rsidRDefault="00E52F66" w:rsidP="00E52F66">
            <w:pPr>
              <w:spacing w:before="0" w:after="0" w:line="276" w:lineRule="auto"/>
              <w:jc w:val="right"/>
              <w:rPr>
                <w:rFonts w:ascii="Arial" w:hAnsi="Arial"/>
                <w:sz w:val="16"/>
                <w:szCs w:val="16"/>
                <w:lang w:eastAsia="en-US"/>
              </w:rPr>
            </w:pPr>
            <w:r w:rsidRPr="005E6122">
              <w:rPr>
                <w:rFonts w:ascii="Arial" w:hAnsi="Arial"/>
                <w:sz w:val="16"/>
                <w:szCs w:val="16"/>
                <w:lang w:eastAsia="en-US"/>
              </w:rPr>
              <w:t>0.0</w:t>
            </w:r>
          </w:p>
        </w:tc>
        <w:tc>
          <w:tcPr>
            <w:tcW w:w="1195" w:type="dxa"/>
            <w:tcBorders>
              <w:top w:val="nil"/>
              <w:left w:val="nil"/>
              <w:bottom w:val="nil"/>
              <w:right w:val="nil"/>
            </w:tcBorders>
            <w:shd w:val="clear" w:color="auto" w:fill="auto"/>
            <w:noWrap/>
            <w:vAlign w:val="bottom"/>
          </w:tcPr>
          <w:p w14:paraId="3DFFD689" w14:textId="77777777" w:rsidR="00E52F66" w:rsidRPr="005E6122" w:rsidRDefault="00E52F66" w:rsidP="00E52F66">
            <w:pPr>
              <w:spacing w:before="0" w:after="0" w:line="276" w:lineRule="auto"/>
              <w:jc w:val="right"/>
              <w:rPr>
                <w:rFonts w:ascii="Arial" w:hAnsi="Arial"/>
                <w:sz w:val="16"/>
                <w:szCs w:val="16"/>
                <w:lang w:eastAsia="en-US"/>
              </w:rPr>
            </w:pPr>
            <w:r w:rsidRPr="005E6122">
              <w:rPr>
                <w:rFonts w:ascii="Arial" w:hAnsi="Arial"/>
                <w:sz w:val="16"/>
                <w:szCs w:val="16"/>
                <w:lang w:eastAsia="en-US"/>
              </w:rPr>
              <w:t>0.0</w:t>
            </w:r>
          </w:p>
        </w:tc>
      </w:tr>
      <w:tr w:rsidR="00E52F66" w:rsidRPr="00BA1388" w14:paraId="26F4BD45" w14:textId="77777777" w:rsidTr="00F600B5">
        <w:trPr>
          <w:trHeight w:val="227"/>
        </w:trPr>
        <w:tc>
          <w:tcPr>
            <w:tcW w:w="3085" w:type="dxa"/>
            <w:tcBorders>
              <w:top w:val="nil"/>
              <w:left w:val="nil"/>
              <w:bottom w:val="nil"/>
              <w:right w:val="nil"/>
            </w:tcBorders>
            <w:shd w:val="clear" w:color="FFFFFF" w:fill="auto"/>
            <w:vAlign w:val="bottom"/>
          </w:tcPr>
          <w:p w14:paraId="211A9148" w14:textId="77777777" w:rsidR="00E52F66" w:rsidRPr="008659FE" w:rsidRDefault="00E52F66" w:rsidP="00E52F66">
            <w:pPr>
              <w:spacing w:before="0" w:after="0" w:line="276" w:lineRule="auto"/>
              <w:ind w:left="179"/>
              <w:rPr>
                <w:rFonts w:ascii="Arial" w:hAnsi="Arial"/>
                <w:sz w:val="16"/>
                <w:szCs w:val="16"/>
                <w:lang w:val="en-AU"/>
              </w:rPr>
            </w:pPr>
            <w:r w:rsidRPr="008659FE">
              <w:rPr>
                <w:rFonts w:ascii="Arial" w:hAnsi="Arial"/>
                <w:sz w:val="16"/>
                <w:szCs w:val="16"/>
                <w:lang w:val="en-AU"/>
              </w:rPr>
              <w:t>Geraldton</w:t>
            </w:r>
          </w:p>
        </w:tc>
        <w:tc>
          <w:tcPr>
            <w:tcW w:w="1790" w:type="dxa"/>
            <w:tcBorders>
              <w:top w:val="nil"/>
              <w:left w:val="nil"/>
              <w:bottom w:val="nil"/>
              <w:right w:val="nil"/>
            </w:tcBorders>
            <w:shd w:val="clear" w:color="FFFFFF" w:fill="auto"/>
            <w:vAlign w:val="bottom"/>
          </w:tcPr>
          <w:p w14:paraId="134431FA" w14:textId="77777777" w:rsidR="00E52F66" w:rsidRPr="008659FE" w:rsidRDefault="00E52F66" w:rsidP="00E52F66">
            <w:pPr>
              <w:spacing w:before="0" w:after="0" w:line="276" w:lineRule="auto"/>
              <w:jc w:val="right"/>
              <w:rPr>
                <w:rFonts w:ascii="Arial" w:hAnsi="Arial"/>
                <w:sz w:val="16"/>
                <w:szCs w:val="16"/>
                <w:lang w:val="en-AU"/>
              </w:rPr>
            </w:pPr>
            <w:r w:rsidRPr="008659FE">
              <w:rPr>
                <w:rFonts w:ascii="Arial" w:hAnsi="Arial"/>
                <w:sz w:val="16"/>
                <w:szCs w:val="16"/>
                <w:lang w:val="en-AU"/>
              </w:rPr>
              <w:t>WA - Durack</w:t>
            </w:r>
          </w:p>
        </w:tc>
        <w:tc>
          <w:tcPr>
            <w:tcW w:w="1191" w:type="dxa"/>
            <w:tcBorders>
              <w:top w:val="nil"/>
              <w:left w:val="nil"/>
              <w:bottom w:val="nil"/>
              <w:right w:val="nil"/>
            </w:tcBorders>
            <w:shd w:val="clear" w:color="FFFFFF" w:fill="auto"/>
            <w:noWrap/>
            <w:vAlign w:val="bottom"/>
          </w:tcPr>
          <w:p w14:paraId="3A3E0DDA" w14:textId="77777777" w:rsidR="00E52F66" w:rsidRPr="00353F8D" w:rsidRDefault="00E52F66" w:rsidP="00E52F66">
            <w:pPr>
              <w:spacing w:before="0" w:after="0" w:line="276" w:lineRule="auto"/>
              <w:jc w:val="right"/>
              <w:rPr>
                <w:rFonts w:ascii="Arial" w:hAnsi="Arial"/>
                <w:b/>
                <w:bCs/>
                <w:sz w:val="16"/>
                <w:szCs w:val="16"/>
                <w:lang w:val="en-AU"/>
              </w:rPr>
            </w:pPr>
          </w:p>
        </w:tc>
        <w:tc>
          <w:tcPr>
            <w:tcW w:w="1413" w:type="dxa"/>
            <w:tcBorders>
              <w:top w:val="nil"/>
              <w:left w:val="nil"/>
              <w:bottom w:val="nil"/>
              <w:right w:val="nil"/>
            </w:tcBorders>
            <w:shd w:val="clear" w:color="FFFFFF" w:fill="auto"/>
            <w:noWrap/>
            <w:vAlign w:val="bottom"/>
          </w:tcPr>
          <w:p w14:paraId="79A6295A" w14:textId="77777777" w:rsidR="00E52F66" w:rsidRPr="005E6122" w:rsidRDefault="00E52F66" w:rsidP="00E52F66">
            <w:pPr>
              <w:spacing w:before="0" w:after="0" w:line="276" w:lineRule="auto"/>
              <w:jc w:val="right"/>
              <w:rPr>
                <w:rFonts w:ascii="Arial" w:hAnsi="Arial"/>
                <w:sz w:val="16"/>
                <w:szCs w:val="16"/>
                <w:lang w:eastAsia="en-US"/>
              </w:rPr>
            </w:pPr>
            <w:r w:rsidRPr="005E6122">
              <w:rPr>
                <w:rFonts w:ascii="Arial" w:hAnsi="Arial"/>
                <w:sz w:val="16"/>
                <w:szCs w:val="16"/>
                <w:lang w:eastAsia="en-US"/>
              </w:rPr>
              <w:t>3.2</w:t>
            </w:r>
          </w:p>
        </w:tc>
        <w:tc>
          <w:tcPr>
            <w:tcW w:w="1195" w:type="dxa"/>
            <w:tcBorders>
              <w:top w:val="nil"/>
              <w:left w:val="nil"/>
              <w:bottom w:val="nil"/>
              <w:right w:val="nil"/>
            </w:tcBorders>
            <w:shd w:val="clear" w:color="FFFFFF" w:fill="auto"/>
            <w:noWrap/>
            <w:vAlign w:val="bottom"/>
          </w:tcPr>
          <w:p w14:paraId="768D54A2" w14:textId="77777777" w:rsidR="00E52F66" w:rsidRPr="005E6122" w:rsidRDefault="00E52F66" w:rsidP="00E52F66">
            <w:pPr>
              <w:spacing w:before="0" w:after="0" w:line="276" w:lineRule="auto"/>
              <w:jc w:val="right"/>
              <w:rPr>
                <w:rFonts w:ascii="Arial" w:hAnsi="Arial"/>
                <w:sz w:val="16"/>
                <w:szCs w:val="16"/>
                <w:lang w:eastAsia="en-US"/>
              </w:rPr>
            </w:pPr>
            <w:r w:rsidRPr="005E6122">
              <w:rPr>
                <w:rFonts w:ascii="Arial" w:hAnsi="Arial"/>
                <w:sz w:val="16"/>
                <w:szCs w:val="16"/>
                <w:lang w:eastAsia="en-US"/>
              </w:rPr>
              <w:t>0.0</w:t>
            </w:r>
          </w:p>
        </w:tc>
      </w:tr>
      <w:tr w:rsidR="00E52F66" w:rsidRPr="00BA1388" w14:paraId="56786319" w14:textId="77777777" w:rsidTr="00F600B5">
        <w:trPr>
          <w:trHeight w:val="227"/>
        </w:trPr>
        <w:tc>
          <w:tcPr>
            <w:tcW w:w="3085" w:type="dxa"/>
            <w:tcBorders>
              <w:top w:val="nil"/>
              <w:left w:val="nil"/>
              <w:bottom w:val="single" w:sz="4" w:space="0" w:color="auto"/>
              <w:right w:val="nil"/>
            </w:tcBorders>
            <w:shd w:val="clear" w:color="FFFFFF" w:fill="auto"/>
            <w:vAlign w:val="bottom"/>
          </w:tcPr>
          <w:p w14:paraId="160DC1A2" w14:textId="77777777" w:rsidR="00E52F66" w:rsidRPr="008659FE" w:rsidRDefault="00E52F66" w:rsidP="00E52F66">
            <w:pPr>
              <w:spacing w:before="0" w:after="0" w:line="276" w:lineRule="auto"/>
              <w:rPr>
                <w:rFonts w:ascii="Arial" w:hAnsi="Arial"/>
                <w:b/>
                <w:bCs/>
                <w:sz w:val="16"/>
                <w:szCs w:val="16"/>
                <w:lang w:val="en-AU"/>
              </w:rPr>
            </w:pPr>
            <w:r w:rsidRPr="008659FE">
              <w:rPr>
                <w:rFonts w:ascii="Arial" w:hAnsi="Arial"/>
                <w:b/>
                <w:bCs/>
                <w:sz w:val="16"/>
                <w:szCs w:val="16"/>
                <w:lang w:val="en-AU"/>
              </w:rPr>
              <w:t>Total</w:t>
            </w:r>
          </w:p>
        </w:tc>
        <w:tc>
          <w:tcPr>
            <w:tcW w:w="1790" w:type="dxa"/>
            <w:tcBorders>
              <w:top w:val="nil"/>
              <w:left w:val="nil"/>
              <w:bottom w:val="single" w:sz="4" w:space="0" w:color="auto"/>
              <w:right w:val="nil"/>
            </w:tcBorders>
            <w:shd w:val="clear" w:color="FFFFFF" w:fill="auto"/>
            <w:vAlign w:val="bottom"/>
          </w:tcPr>
          <w:p w14:paraId="28CA14DB" w14:textId="77777777" w:rsidR="00E52F66" w:rsidRPr="008659FE" w:rsidRDefault="00E52F66" w:rsidP="00E52F66">
            <w:pPr>
              <w:spacing w:before="0" w:after="0" w:line="276" w:lineRule="auto"/>
              <w:jc w:val="right"/>
              <w:rPr>
                <w:rFonts w:ascii="Arial" w:hAnsi="Arial"/>
                <w:sz w:val="16"/>
                <w:szCs w:val="16"/>
                <w:lang w:val="en-AU"/>
              </w:rPr>
            </w:pPr>
          </w:p>
        </w:tc>
        <w:tc>
          <w:tcPr>
            <w:tcW w:w="1191" w:type="dxa"/>
            <w:tcBorders>
              <w:top w:val="nil"/>
              <w:left w:val="nil"/>
              <w:bottom w:val="single" w:sz="4" w:space="0" w:color="auto"/>
              <w:right w:val="nil"/>
            </w:tcBorders>
            <w:shd w:val="clear" w:color="FFFFFF" w:fill="auto"/>
            <w:noWrap/>
            <w:vAlign w:val="bottom"/>
          </w:tcPr>
          <w:p w14:paraId="6B8EE774" w14:textId="77777777" w:rsidR="00E52F66" w:rsidRPr="00353F8D" w:rsidRDefault="00E52F66" w:rsidP="00E52F66">
            <w:pPr>
              <w:spacing w:before="0" w:after="0" w:line="276" w:lineRule="auto"/>
              <w:jc w:val="right"/>
              <w:rPr>
                <w:rFonts w:ascii="Arial" w:hAnsi="Arial"/>
                <w:b/>
                <w:bCs/>
                <w:sz w:val="16"/>
                <w:szCs w:val="16"/>
                <w:lang w:val="en-AU"/>
              </w:rPr>
            </w:pPr>
            <w:r w:rsidRPr="00353F8D">
              <w:rPr>
                <w:rFonts w:ascii="Arial" w:hAnsi="Arial"/>
                <w:b/>
                <w:sz w:val="16"/>
                <w:szCs w:val="16"/>
                <w:lang w:val="en-AU"/>
              </w:rPr>
              <w:t>61.9</w:t>
            </w:r>
          </w:p>
        </w:tc>
        <w:tc>
          <w:tcPr>
            <w:tcW w:w="1413" w:type="dxa"/>
            <w:tcBorders>
              <w:top w:val="nil"/>
              <w:left w:val="nil"/>
              <w:bottom w:val="single" w:sz="4" w:space="0" w:color="auto"/>
              <w:right w:val="nil"/>
            </w:tcBorders>
            <w:shd w:val="clear" w:color="FFFFFF" w:fill="auto"/>
            <w:noWrap/>
            <w:vAlign w:val="bottom"/>
          </w:tcPr>
          <w:p w14:paraId="64523B6F" w14:textId="77777777" w:rsidR="00E52F66" w:rsidRPr="009E4B9D" w:rsidRDefault="00E52F66" w:rsidP="00E52F66">
            <w:pPr>
              <w:spacing w:before="0" w:after="0" w:line="276" w:lineRule="auto"/>
              <w:jc w:val="right"/>
              <w:rPr>
                <w:rFonts w:ascii="Arial" w:hAnsi="Arial"/>
                <w:b/>
                <w:sz w:val="16"/>
                <w:szCs w:val="16"/>
                <w:lang w:eastAsia="en-US"/>
              </w:rPr>
            </w:pPr>
            <w:r w:rsidRPr="009E4B9D">
              <w:rPr>
                <w:rFonts w:ascii="Arial" w:hAnsi="Arial"/>
                <w:b/>
                <w:sz w:val="16"/>
                <w:szCs w:val="16"/>
                <w:lang w:eastAsia="en-US"/>
              </w:rPr>
              <w:t>61.1</w:t>
            </w:r>
          </w:p>
        </w:tc>
        <w:tc>
          <w:tcPr>
            <w:tcW w:w="1195" w:type="dxa"/>
            <w:tcBorders>
              <w:top w:val="nil"/>
              <w:left w:val="nil"/>
              <w:bottom w:val="single" w:sz="4" w:space="0" w:color="auto"/>
              <w:right w:val="nil"/>
            </w:tcBorders>
            <w:shd w:val="clear" w:color="FFFFFF" w:fill="auto"/>
            <w:noWrap/>
            <w:vAlign w:val="bottom"/>
          </w:tcPr>
          <w:p w14:paraId="41BEF98D" w14:textId="77777777" w:rsidR="00E52F66" w:rsidRPr="009E4B9D" w:rsidRDefault="00E52F66" w:rsidP="00E52F66">
            <w:pPr>
              <w:spacing w:before="0" w:after="0" w:line="276" w:lineRule="auto"/>
              <w:jc w:val="right"/>
              <w:rPr>
                <w:rFonts w:ascii="Arial" w:hAnsi="Arial"/>
                <w:b/>
                <w:sz w:val="16"/>
                <w:szCs w:val="16"/>
                <w:lang w:eastAsia="en-US"/>
              </w:rPr>
            </w:pPr>
            <w:r w:rsidRPr="009E4B9D">
              <w:rPr>
                <w:rFonts w:ascii="Arial" w:hAnsi="Arial"/>
                <w:b/>
                <w:sz w:val="16"/>
                <w:szCs w:val="16"/>
                <w:lang w:eastAsia="en-US"/>
              </w:rPr>
              <w:t>0.0</w:t>
            </w:r>
          </w:p>
        </w:tc>
      </w:tr>
      <w:tr w:rsidR="00E52F66" w:rsidRPr="00BA1388" w14:paraId="43ED2A8D" w14:textId="77777777" w:rsidTr="00F600B5">
        <w:trPr>
          <w:trHeight w:val="227"/>
        </w:trPr>
        <w:tc>
          <w:tcPr>
            <w:tcW w:w="3085" w:type="dxa"/>
            <w:tcBorders>
              <w:top w:val="single" w:sz="4" w:space="0" w:color="auto"/>
              <w:left w:val="nil"/>
              <w:bottom w:val="nil"/>
              <w:right w:val="nil"/>
            </w:tcBorders>
            <w:shd w:val="clear" w:color="auto" w:fill="auto"/>
            <w:vAlign w:val="bottom"/>
          </w:tcPr>
          <w:p w14:paraId="637E9DDB" w14:textId="77777777" w:rsidR="00E52F66" w:rsidRPr="008659FE" w:rsidRDefault="00E52F66" w:rsidP="00E52F66">
            <w:pPr>
              <w:keepNext/>
              <w:keepLines/>
              <w:spacing w:before="0" w:after="0" w:line="276" w:lineRule="auto"/>
              <w:rPr>
                <w:rFonts w:ascii="Arial" w:hAnsi="Arial"/>
                <w:b/>
                <w:bCs/>
                <w:sz w:val="16"/>
                <w:szCs w:val="16"/>
                <w:lang w:val="en-AU"/>
              </w:rPr>
            </w:pPr>
            <w:r w:rsidRPr="008659FE">
              <w:rPr>
                <w:rFonts w:ascii="Arial" w:hAnsi="Arial"/>
                <w:b/>
                <w:bCs/>
                <w:sz w:val="16"/>
                <w:szCs w:val="16"/>
                <w:lang w:val="en-AU"/>
              </w:rPr>
              <w:t xml:space="preserve">LAND 4502 Phase 1 Additional </w:t>
            </w:r>
            <w:r w:rsidRPr="008659FE">
              <w:rPr>
                <w:rFonts w:ascii="Arial" w:hAnsi="Arial"/>
                <w:b/>
                <w:bCs/>
                <w:sz w:val="16"/>
                <w:szCs w:val="16"/>
                <w:lang w:val="en-AU"/>
              </w:rPr>
              <w:br/>
              <w:t>CH-47F Chinook Facilities</w:t>
            </w:r>
          </w:p>
        </w:tc>
        <w:tc>
          <w:tcPr>
            <w:tcW w:w="1790" w:type="dxa"/>
            <w:tcBorders>
              <w:top w:val="single" w:sz="4" w:space="0" w:color="auto"/>
              <w:left w:val="nil"/>
              <w:bottom w:val="nil"/>
              <w:right w:val="nil"/>
            </w:tcBorders>
            <w:shd w:val="clear" w:color="FFFFFF" w:fill="auto"/>
            <w:noWrap/>
            <w:vAlign w:val="bottom"/>
          </w:tcPr>
          <w:p w14:paraId="0B7ACA5B" w14:textId="77777777" w:rsidR="00E52F66" w:rsidRPr="008659FE" w:rsidRDefault="00E52F66" w:rsidP="00E52F66">
            <w:pPr>
              <w:spacing w:before="0" w:after="0" w:line="276" w:lineRule="auto"/>
              <w:jc w:val="right"/>
              <w:rPr>
                <w:rFonts w:ascii="Arial" w:hAnsi="Arial"/>
                <w:sz w:val="16"/>
                <w:szCs w:val="16"/>
                <w:lang w:val="en-AU"/>
              </w:rPr>
            </w:pPr>
          </w:p>
        </w:tc>
        <w:tc>
          <w:tcPr>
            <w:tcW w:w="1191" w:type="dxa"/>
            <w:tcBorders>
              <w:top w:val="single" w:sz="4" w:space="0" w:color="auto"/>
              <w:left w:val="nil"/>
              <w:bottom w:val="nil"/>
              <w:right w:val="nil"/>
            </w:tcBorders>
            <w:shd w:val="clear" w:color="auto" w:fill="auto"/>
            <w:noWrap/>
            <w:vAlign w:val="bottom"/>
          </w:tcPr>
          <w:p w14:paraId="00B1B8D7" w14:textId="77777777" w:rsidR="00E52F66" w:rsidRPr="00353F8D" w:rsidRDefault="00E52F66" w:rsidP="00E52F66">
            <w:pPr>
              <w:spacing w:before="0" w:after="0" w:line="276" w:lineRule="auto"/>
              <w:jc w:val="right"/>
              <w:rPr>
                <w:rFonts w:ascii="Arial" w:hAnsi="Arial"/>
                <w:b/>
                <w:bCs/>
                <w:sz w:val="16"/>
                <w:szCs w:val="16"/>
                <w:lang w:val="en-AU"/>
              </w:rPr>
            </w:pPr>
          </w:p>
        </w:tc>
        <w:tc>
          <w:tcPr>
            <w:tcW w:w="1413" w:type="dxa"/>
            <w:tcBorders>
              <w:top w:val="single" w:sz="4" w:space="0" w:color="auto"/>
              <w:left w:val="nil"/>
              <w:bottom w:val="nil"/>
              <w:right w:val="nil"/>
            </w:tcBorders>
            <w:shd w:val="clear" w:color="FFFFFF" w:fill="auto"/>
            <w:noWrap/>
            <w:vAlign w:val="bottom"/>
          </w:tcPr>
          <w:p w14:paraId="3D0CB0ED" w14:textId="77777777" w:rsidR="00E52F66" w:rsidRPr="009E4B9D" w:rsidRDefault="00E52F66" w:rsidP="00E52F66">
            <w:pPr>
              <w:spacing w:before="0" w:after="0" w:line="276" w:lineRule="auto"/>
              <w:jc w:val="right"/>
              <w:rPr>
                <w:rFonts w:ascii="Arial" w:hAnsi="Arial"/>
                <w:b/>
                <w:sz w:val="16"/>
                <w:szCs w:val="16"/>
                <w:lang w:eastAsia="en-US"/>
              </w:rPr>
            </w:pPr>
          </w:p>
        </w:tc>
        <w:tc>
          <w:tcPr>
            <w:tcW w:w="1195" w:type="dxa"/>
            <w:tcBorders>
              <w:top w:val="single" w:sz="4" w:space="0" w:color="auto"/>
              <w:left w:val="nil"/>
              <w:bottom w:val="nil"/>
              <w:right w:val="nil"/>
            </w:tcBorders>
            <w:shd w:val="clear" w:color="FFFFFF" w:fill="auto"/>
            <w:noWrap/>
            <w:vAlign w:val="bottom"/>
          </w:tcPr>
          <w:p w14:paraId="2AEC3D01" w14:textId="77777777" w:rsidR="00E52F66" w:rsidRPr="009E4B9D" w:rsidRDefault="00E52F66" w:rsidP="00E52F66">
            <w:pPr>
              <w:spacing w:before="0" w:after="0" w:line="276" w:lineRule="auto"/>
              <w:jc w:val="right"/>
              <w:rPr>
                <w:rFonts w:ascii="Arial" w:hAnsi="Arial"/>
                <w:b/>
                <w:sz w:val="16"/>
                <w:szCs w:val="16"/>
                <w:lang w:eastAsia="en-US"/>
              </w:rPr>
            </w:pPr>
          </w:p>
        </w:tc>
      </w:tr>
      <w:tr w:rsidR="00E52F66" w:rsidRPr="00BA1388" w14:paraId="023C2150" w14:textId="77777777" w:rsidTr="00F600B5">
        <w:trPr>
          <w:trHeight w:val="227"/>
        </w:trPr>
        <w:tc>
          <w:tcPr>
            <w:tcW w:w="3085" w:type="dxa"/>
            <w:tcBorders>
              <w:top w:val="nil"/>
              <w:left w:val="nil"/>
              <w:bottom w:val="single" w:sz="4" w:space="0" w:color="auto"/>
              <w:right w:val="nil"/>
            </w:tcBorders>
            <w:shd w:val="clear" w:color="FFFFFF" w:fill="auto"/>
            <w:vAlign w:val="bottom"/>
          </w:tcPr>
          <w:p w14:paraId="7C863F3B" w14:textId="77777777" w:rsidR="00E52F66" w:rsidRPr="008659FE" w:rsidRDefault="00E52F66" w:rsidP="00E52F66">
            <w:pPr>
              <w:spacing w:before="0" w:after="0" w:line="276" w:lineRule="auto"/>
              <w:ind w:left="179"/>
              <w:rPr>
                <w:rFonts w:ascii="Arial" w:hAnsi="Arial"/>
                <w:sz w:val="16"/>
                <w:szCs w:val="16"/>
                <w:lang w:val="en-AU"/>
              </w:rPr>
            </w:pPr>
            <w:r w:rsidRPr="008659FE">
              <w:rPr>
                <w:rFonts w:ascii="Arial" w:hAnsi="Arial"/>
                <w:sz w:val="16"/>
                <w:szCs w:val="16"/>
                <w:lang w:val="en-AU"/>
              </w:rPr>
              <w:t>RAAF Townsville</w:t>
            </w:r>
          </w:p>
        </w:tc>
        <w:tc>
          <w:tcPr>
            <w:tcW w:w="1790" w:type="dxa"/>
            <w:tcBorders>
              <w:top w:val="nil"/>
              <w:left w:val="nil"/>
              <w:bottom w:val="single" w:sz="4" w:space="0" w:color="auto"/>
              <w:right w:val="nil"/>
            </w:tcBorders>
            <w:shd w:val="clear" w:color="FFFFFF" w:fill="auto"/>
            <w:vAlign w:val="bottom"/>
          </w:tcPr>
          <w:p w14:paraId="4534BCBC" w14:textId="77777777" w:rsidR="00E52F66" w:rsidRPr="008659FE" w:rsidRDefault="00E52F66" w:rsidP="00E52F66">
            <w:pPr>
              <w:spacing w:before="0" w:after="0" w:line="276" w:lineRule="auto"/>
              <w:jc w:val="right"/>
              <w:rPr>
                <w:rFonts w:ascii="Arial" w:hAnsi="Arial"/>
                <w:sz w:val="16"/>
                <w:szCs w:val="16"/>
                <w:lang w:val="en-AU"/>
              </w:rPr>
            </w:pPr>
            <w:r w:rsidRPr="008659FE">
              <w:rPr>
                <w:rFonts w:ascii="Arial" w:hAnsi="Arial"/>
                <w:sz w:val="16"/>
                <w:szCs w:val="16"/>
                <w:lang w:val="en-AU"/>
              </w:rPr>
              <w:t>QLD - Herbert</w:t>
            </w:r>
          </w:p>
        </w:tc>
        <w:tc>
          <w:tcPr>
            <w:tcW w:w="1191" w:type="dxa"/>
            <w:tcBorders>
              <w:top w:val="nil"/>
              <w:left w:val="nil"/>
              <w:bottom w:val="single" w:sz="4" w:space="0" w:color="auto"/>
              <w:right w:val="nil"/>
            </w:tcBorders>
            <w:shd w:val="clear" w:color="FFFFFF" w:fill="auto"/>
            <w:noWrap/>
            <w:vAlign w:val="bottom"/>
          </w:tcPr>
          <w:p w14:paraId="13394D58" w14:textId="77777777" w:rsidR="00E52F66" w:rsidRPr="00353F8D" w:rsidRDefault="00E52F66" w:rsidP="00E52F66">
            <w:pPr>
              <w:spacing w:before="0" w:after="0" w:line="276" w:lineRule="auto"/>
              <w:jc w:val="right"/>
              <w:rPr>
                <w:rFonts w:ascii="Arial" w:hAnsi="Arial"/>
                <w:b/>
                <w:bCs/>
                <w:sz w:val="16"/>
                <w:szCs w:val="16"/>
                <w:lang w:val="en-AU"/>
              </w:rPr>
            </w:pPr>
            <w:r w:rsidRPr="00353F8D">
              <w:rPr>
                <w:rFonts w:ascii="Arial" w:hAnsi="Arial"/>
                <w:b/>
                <w:bCs/>
                <w:sz w:val="16"/>
                <w:szCs w:val="16"/>
                <w:lang w:val="en-AU"/>
              </w:rPr>
              <w:t>57.9</w:t>
            </w:r>
          </w:p>
        </w:tc>
        <w:tc>
          <w:tcPr>
            <w:tcW w:w="1413" w:type="dxa"/>
            <w:tcBorders>
              <w:top w:val="nil"/>
              <w:left w:val="nil"/>
              <w:bottom w:val="single" w:sz="4" w:space="0" w:color="auto"/>
              <w:right w:val="nil"/>
            </w:tcBorders>
            <w:shd w:val="clear" w:color="auto" w:fill="auto"/>
            <w:noWrap/>
            <w:vAlign w:val="bottom"/>
          </w:tcPr>
          <w:p w14:paraId="1858E2AB" w14:textId="77777777" w:rsidR="00E52F66" w:rsidRPr="009E4B9D" w:rsidRDefault="00E52F66" w:rsidP="00E52F66">
            <w:pPr>
              <w:spacing w:before="0" w:after="0" w:line="276" w:lineRule="auto"/>
              <w:jc w:val="right"/>
              <w:rPr>
                <w:rFonts w:ascii="Arial" w:hAnsi="Arial"/>
                <w:b/>
                <w:sz w:val="16"/>
                <w:szCs w:val="16"/>
                <w:lang w:eastAsia="en-US"/>
              </w:rPr>
            </w:pPr>
            <w:r w:rsidRPr="009E4B9D">
              <w:rPr>
                <w:rFonts w:ascii="Arial" w:hAnsi="Arial"/>
                <w:b/>
                <w:sz w:val="16"/>
                <w:szCs w:val="16"/>
                <w:lang w:eastAsia="en-US"/>
              </w:rPr>
              <w:t>55.4</w:t>
            </w:r>
          </w:p>
        </w:tc>
        <w:tc>
          <w:tcPr>
            <w:tcW w:w="1195" w:type="dxa"/>
            <w:tcBorders>
              <w:top w:val="nil"/>
              <w:left w:val="nil"/>
              <w:bottom w:val="single" w:sz="4" w:space="0" w:color="auto"/>
              <w:right w:val="nil"/>
            </w:tcBorders>
            <w:shd w:val="clear" w:color="auto" w:fill="auto"/>
            <w:noWrap/>
            <w:vAlign w:val="bottom"/>
          </w:tcPr>
          <w:p w14:paraId="24FC685B" w14:textId="77777777" w:rsidR="00E52F66" w:rsidRPr="009E4B9D" w:rsidRDefault="00E52F66" w:rsidP="00E52F66">
            <w:pPr>
              <w:spacing w:before="0" w:after="0" w:line="276" w:lineRule="auto"/>
              <w:jc w:val="right"/>
              <w:rPr>
                <w:rFonts w:ascii="Arial" w:hAnsi="Arial"/>
                <w:b/>
                <w:sz w:val="16"/>
                <w:szCs w:val="16"/>
                <w:lang w:eastAsia="en-US"/>
              </w:rPr>
            </w:pPr>
            <w:r w:rsidRPr="009E4B9D">
              <w:rPr>
                <w:rFonts w:ascii="Arial" w:hAnsi="Arial"/>
                <w:b/>
                <w:sz w:val="16"/>
                <w:szCs w:val="16"/>
                <w:lang w:eastAsia="en-US"/>
              </w:rPr>
              <w:t>0.3</w:t>
            </w:r>
          </w:p>
        </w:tc>
      </w:tr>
      <w:tr w:rsidR="00E52F66" w:rsidRPr="00BA1388" w14:paraId="04324798" w14:textId="77777777" w:rsidTr="00F600B5">
        <w:trPr>
          <w:trHeight w:val="227"/>
        </w:trPr>
        <w:tc>
          <w:tcPr>
            <w:tcW w:w="3085" w:type="dxa"/>
            <w:tcBorders>
              <w:top w:val="single" w:sz="4" w:space="0" w:color="auto"/>
              <w:left w:val="nil"/>
              <w:bottom w:val="nil"/>
              <w:right w:val="nil"/>
            </w:tcBorders>
            <w:shd w:val="clear" w:color="FFFFFF" w:fill="auto"/>
            <w:vAlign w:val="bottom"/>
          </w:tcPr>
          <w:p w14:paraId="57D69AA8" w14:textId="77777777" w:rsidR="00E52F66" w:rsidRPr="008659FE" w:rsidRDefault="00E52F66" w:rsidP="00CE3B2C">
            <w:pPr>
              <w:pageBreakBefore/>
              <w:spacing w:before="0" w:after="0" w:line="276" w:lineRule="auto"/>
              <w:rPr>
                <w:rFonts w:ascii="Arial" w:hAnsi="Arial"/>
                <w:b/>
                <w:bCs/>
                <w:sz w:val="16"/>
                <w:szCs w:val="16"/>
                <w:lang w:val="en-AU"/>
              </w:rPr>
            </w:pPr>
            <w:r w:rsidRPr="008659FE">
              <w:rPr>
                <w:rFonts w:ascii="Arial" w:hAnsi="Arial"/>
                <w:b/>
                <w:bCs/>
                <w:sz w:val="16"/>
                <w:szCs w:val="16"/>
                <w:lang w:val="en-AU"/>
              </w:rPr>
              <w:lastRenderedPageBreak/>
              <w:t xml:space="preserve">Anglesea Paterson Project </w:t>
            </w:r>
          </w:p>
        </w:tc>
        <w:tc>
          <w:tcPr>
            <w:tcW w:w="1790" w:type="dxa"/>
            <w:tcBorders>
              <w:top w:val="single" w:sz="4" w:space="0" w:color="auto"/>
              <w:left w:val="nil"/>
              <w:bottom w:val="nil"/>
              <w:right w:val="nil"/>
            </w:tcBorders>
            <w:shd w:val="clear" w:color="FFFFFF" w:fill="auto"/>
            <w:vAlign w:val="bottom"/>
          </w:tcPr>
          <w:p w14:paraId="5EF7F965" w14:textId="77777777" w:rsidR="00E52F66" w:rsidRPr="008659FE" w:rsidRDefault="00E52F66" w:rsidP="00E52F66">
            <w:pPr>
              <w:keepNext/>
              <w:spacing w:before="0" w:after="0" w:line="276" w:lineRule="auto"/>
              <w:jc w:val="right"/>
              <w:rPr>
                <w:rFonts w:ascii="Arial" w:hAnsi="Arial"/>
                <w:sz w:val="16"/>
                <w:szCs w:val="16"/>
                <w:lang w:val="en-AU"/>
              </w:rPr>
            </w:pPr>
          </w:p>
        </w:tc>
        <w:tc>
          <w:tcPr>
            <w:tcW w:w="1191" w:type="dxa"/>
            <w:tcBorders>
              <w:top w:val="single" w:sz="4" w:space="0" w:color="auto"/>
              <w:left w:val="nil"/>
              <w:bottom w:val="nil"/>
              <w:right w:val="nil"/>
            </w:tcBorders>
            <w:shd w:val="clear" w:color="FFFFFF" w:fill="auto"/>
            <w:noWrap/>
            <w:vAlign w:val="bottom"/>
          </w:tcPr>
          <w:p w14:paraId="6A278AC7" w14:textId="77777777" w:rsidR="00E52F66" w:rsidRPr="00353F8D" w:rsidRDefault="00E52F66" w:rsidP="00E52F66">
            <w:pPr>
              <w:keepNext/>
              <w:spacing w:before="0" w:after="0" w:line="276" w:lineRule="auto"/>
              <w:jc w:val="right"/>
              <w:rPr>
                <w:rFonts w:ascii="Arial" w:hAnsi="Arial"/>
                <w:b/>
                <w:bCs/>
                <w:sz w:val="16"/>
                <w:szCs w:val="16"/>
                <w:lang w:val="en-AU"/>
              </w:rPr>
            </w:pPr>
          </w:p>
        </w:tc>
        <w:tc>
          <w:tcPr>
            <w:tcW w:w="1413" w:type="dxa"/>
            <w:tcBorders>
              <w:top w:val="single" w:sz="4" w:space="0" w:color="auto"/>
              <w:left w:val="nil"/>
              <w:bottom w:val="nil"/>
              <w:right w:val="nil"/>
            </w:tcBorders>
            <w:shd w:val="clear" w:color="auto" w:fill="auto"/>
            <w:noWrap/>
            <w:vAlign w:val="bottom"/>
          </w:tcPr>
          <w:p w14:paraId="0A03F480" w14:textId="77777777" w:rsidR="00E52F66" w:rsidRPr="009E4B9D" w:rsidRDefault="00E52F66" w:rsidP="00E52F66">
            <w:pPr>
              <w:spacing w:before="0" w:after="0" w:line="276" w:lineRule="auto"/>
              <w:jc w:val="right"/>
              <w:rPr>
                <w:rFonts w:ascii="Arial" w:hAnsi="Arial"/>
                <w:b/>
                <w:sz w:val="16"/>
                <w:szCs w:val="16"/>
                <w:lang w:eastAsia="en-US"/>
              </w:rPr>
            </w:pPr>
          </w:p>
        </w:tc>
        <w:tc>
          <w:tcPr>
            <w:tcW w:w="1195" w:type="dxa"/>
            <w:tcBorders>
              <w:top w:val="single" w:sz="4" w:space="0" w:color="auto"/>
              <w:left w:val="nil"/>
              <w:bottom w:val="nil"/>
              <w:right w:val="nil"/>
            </w:tcBorders>
            <w:shd w:val="clear" w:color="auto" w:fill="auto"/>
            <w:noWrap/>
            <w:vAlign w:val="bottom"/>
          </w:tcPr>
          <w:p w14:paraId="54C77DCF" w14:textId="77777777" w:rsidR="00E52F66" w:rsidRPr="009E4B9D" w:rsidRDefault="00E52F66" w:rsidP="00E52F66">
            <w:pPr>
              <w:spacing w:before="0" w:after="0" w:line="276" w:lineRule="auto"/>
              <w:jc w:val="right"/>
              <w:rPr>
                <w:rFonts w:ascii="Arial" w:hAnsi="Arial"/>
                <w:b/>
                <w:sz w:val="16"/>
                <w:szCs w:val="16"/>
                <w:lang w:eastAsia="en-US"/>
              </w:rPr>
            </w:pPr>
          </w:p>
        </w:tc>
      </w:tr>
      <w:tr w:rsidR="00E52F66" w:rsidRPr="00BA1388" w14:paraId="71FC902A" w14:textId="77777777" w:rsidTr="00F600B5">
        <w:trPr>
          <w:trHeight w:val="227"/>
        </w:trPr>
        <w:tc>
          <w:tcPr>
            <w:tcW w:w="3085" w:type="dxa"/>
            <w:tcBorders>
              <w:top w:val="nil"/>
              <w:left w:val="nil"/>
              <w:bottom w:val="nil"/>
              <w:right w:val="nil"/>
            </w:tcBorders>
            <w:shd w:val="clear" w:color="FFFFFF" w:fill="auto"/>
            <w:vAlign w:val="bottom"/>
          </w:tcPr>
          <w:p w14:paraId="17F13A15" w14:textId="77777777" w:rsidR="00E52F66" w:rsidRPr="008659FE" w:rsidRDefault="00E52F66" w:rsidP="00E52F66">
            <w:pPr>
              <w:spacing w:before="0" w:after="0" w:line="276" w:lineRule="auto"/>
              <w:ind w:left="179"/>
              <w:rPr>
                <w:rFonts w:ascii="Arial" w:hAnsi="Arial"/>
                <w:b/>
                <w:bCs/>
                <w:sz w:val="16"/>
                <w:szCs w:val="16"/>
                <w:lang w:val="en-AU"/>
              </w:rPr>
            </w:pPr>
            <w:r w:rsidRPr="008659FE">
              <w:rPr>
                <w:rFonts w:ascii="Arial" w:hAnsi="Arial"/>
                <w:sz w:val="16"/>
                <w:szCs w:val="16"/>
                <w:lang w:val="en-AU"/>
              </w:rPr>
              <w:t>Anglesea Barracks</w:t>
            </w:r>
          </w:p>
        </w:tc>
        <w:tc>
          <w:tcPr>
            <w:tcW w:w="1790" w:type="dxa"/>
            <w:tcBorders>
              <w:top w:val="nil"/>
              <w:left w:val="nil"/>
              <w:bottom w:val="nil"/>
              <w:right w:val="nil"/>
            </w:tcBorders>
            <w:shd w:val="clear" w:color="FFFFFF" w:fill="auto"/>
            <w:vAlign w:val="bottom"/>
          </w:tcPr>
          <w:p w14:paraId="1C4E0362" w14:textId="77777777" w:rsidR="00E52F66" w:rsidRPr="008659FE" w:rsidRDefault="00E52F66" w:rsidP="00E52F66">
            <w:pPr>
              <w:spacing w:before="0" w:after="0" w:line="276" w:lineRule="auto"/>
              <w:jc w:val="right"/>
              <w:rPr>
                <w:rFonts w:ascii="Arial" w:hAnsi="Arial"/>
                <w:b/>
                <w:bCs/>
                <w:sz w:val="16"/>
                <w:szCs w:val="16"/>
                <w:lang w:val="en-AU"/>
              </w:rPr>
            </w:pPr>
            <w:r w:rsidRPr="008659FE">
              <w:rPr>
                <w:rFonts w:ascii="Arial" w:hAnsi="Arial"/>
                <w:sz w:val="16"/>
                <w:szCs w:val="16"/>
                <w:lang w:val="en-AU"/>
              </w:rPr>
              <w:t>TAS - Clark</w:t>
            </w:r>
          </w:p>
        </w:tc>
        <w:tc>
          <w:tcPr>
            <w:tcW w:w="1191" w:type="dxa"/>
            <w:tcBorders>
              <w:top w:val="nil"/>
              <w:left w:val="nil"/>
              <w:bottom w:val="nil"/>
              <w:right w:val="nil"/>
            </w:tcBorders>
            <w:shd w:val="clear" w:color="FFFFFF" w:fill="auto"/>
            <w:noWrap/>
            <w:vAlign w:val="bottom"/>
          </w:tcPr>
          <w:p w14:paraId="77E49293" w14:textId="77777777" w:rsidR="00E52F66" w:rsidRPr="00353F8D" w:rsidRDefault="00E52F66" w:rsidP="00E52F66">
            <w:pPr>
              <w:keepNext/>
              <w:spacing w:before="0" w:after="0" w:line="276" w:lineRule="auto"/>
              <w:jc w:val="right"/>
              <w:rPr>
                <w:rFonts w:ascii="Arial" w:hAnsi="Arial"/>
                <w:b/>
                <w:bCs/>
                <w:sz w:val="16"/>
                <w:szCs w:val="16"/>
                <w:lang w:val="en-AU"/>
              </w:rPr>
            </w:pPr>
          </w:p>
        </w:tc>
        <w:tc>
          <w:tcPr>
            <w:tcW w:w="1413" w:type="dxa"/>
            <w:tcBorders>
              <w:top w:val="nil"/>
              <w:left w:val="nil"/>
              <w:bottom w:val="nil"/>
              <w:right w:val="nil"/>
            </w:tcBorders>
            <w:shd w:val="clear" w:color="auto" w:fill="auto"/>
            <w:noWrap/>
            <w:vAlign w:val="bottom"/>
          </w:tcPr>
          <w:p w14:paraId="16D818A7" w14:textId="77777777" w:rsidR="00E52F66" w:rsidRPr="009E4B9D" w:rsidRDefault="00E52F66" w:rsidP="00E52F66">
            <w:pPr>
              <w:spacing w:before="0" w:after="0" w:line="276" w:lineRule="auto"/>
              <w:jc w:val="right"/>
              <w:rPr>
                <w:rFonts w:ascii="Arial" w:hAnsi="Arial"/>
                <w:sz w:val="16"/>
                <w:szCs w:val="16"/>
                <w:lang w:eastAsia="en-US"/>
              </w:rPr>
            </w:pPr>
            <w:r w:rsidRPr="009E4B9D">
              <w:rPr>
                <w:rFonts w:ascii="Arial" w:hAnsi="Arial"/>
                <w:sz w:val="16"/>
                <w:szCs w:val="16"/>
                <w:lang w:eastAsia="en-US"/>
              </w:rPr>
              <w:t>21.6</w:t>
            </w:r>
          </w:p>
        </w:tc>
        <w:tc>
          <w:tcPr>
            <w:tcW w:w="1195" w:type="dxa"/>
            <w:tcBorders>
              <w:top w:val="nil"/>
              <w:left w:val="nil"/>
              <w:bottom w:val="nil"/>
              <w:right w:val="nil"/>
            </w:tcBorders>
            <w:shd w:val="clear" w:color="auto" w:fill="auto"/>
            <w:noWrap/>
            <w:vAlign w:val="bottom"/>
          </w:tcPr>
          <w:p w14:paraId="7B366CE5" w14:textId="77777777" w:rsidR="00E52F66" w:rsidRPr="009E4B9D" w:rsidRDefault="00E52F66" w:rsidP="00E52F66">
            <w:pPr>
              <w:spacing w:before="0" w:after="0" w:line="276" w:lineRule="auto"/>
              <w:jc w:val="right"/>
              <w:rPr>
                <w:rFonts w:ascii="Arial" w:hAnsi="Arial"/>
                <w:sz w:val="16"/>
                <w:szCs w:val="16"/>
                <w:lang w:eastAsia="en-US"/>
              </w:rPr>
            </w:pPr>
            <w:r w:rsidRPr="009E4B9D">
              <w:rPr>
                <w:rFonts w:ascii="Arial" w:hAnsi="Arial"/>
                <w:sz w:val="16"/>
                <w:szCs w:val="16"/>
                <w:lang w:eastAsia="en-US"/>
              </w:rPr>
              <w:t>0.1</w:t>
            </w:r>
          </w:p>
        </w:tc>
      </w:tr>
      <w:tr w:rsidR="00E52F66" w:rsidRPr="00BA1388" w14:paraId="61B10268" w14:textId="77777777" w:rsidTr="00F600B5">
        <w:trPr>
          <w:trHeight w:val="227"/>
        </w:trPr>
        <w:tc>
          <w:tcPr>
            <w:tcW w:w="3085" w:type="dxa"/>
            <w:tcBorders>
              <w:top w:val="nil"/>
              <w:left w:val="nil"/>
              <w:bottom w:val="nil"/>
              <w:right w:val="nil"/>
            </w:tcBorders>
            <w:shd w:val="clear" w:color="FFFFFF" w:fill="auto"/>
            <w:vAlign w:val="bottom"/>
          </w:tcPr>
          <w:p w14:paraId="01338895" w14:textId="77777777" w:rsidR="00E52F66" w:rsidRPr="008659FE" w:rsidRDefault="00E52F66" w:rsidP="00E52F66">
            <w:pPr>
              <w:spacing w:before="0" w:after="0" w:line="276" w:lineRule="auto"/>
              <w:ind w:left="179"/>
              <w:rPr>
                <w:rFonts w:ascii="Arial" w:hAnsi="Arial"/>
                <w:b/>
                <w:bCs/>
                <w:sz w:val="16"/>
                <w:szCs w:val="16"/>
                <w:lang w:val="en-AU"/>
              </w:rPr>
            </w:pPr>
            <w:r w:rsidRPr="008659FE">
              <w:rPr>
                <w:rFonts w:ascii="Arial" w:hAnsi="Arial"/>
                <w:sz w:val="16"/>
                <w:szCs w:val="16"/>
                <w:lang w:val="en-AU"/>
              </w:rPr>
              <w:t>North Launceston</w:t>
            </w:r>
          </w:p>
        </w:tc>
        <w:tc>
          <w:tcPr>
            <w:tcW w:w="1790" w:type="dxa"/>
            <w:tcBorders>
              <w:top w:val="nil"/>
              <w:left w:val="nil"/>
              <w:bottom w:val="nil"/>
              <w:right w:val="nil"/>
            </w:tcBorders>
            <w:shd w:val="clear" w:color="FFFFFF" w:fill="auto"/>
            <w:vAlign w:val="bottom"/>
          </w:tcPr>
          <w:p w14:paraId="310B7035" w14:textId="77777777" w:rsidR="00E52F66" w:rsidRPr="008659FE" w:rsidRDefault="00E52F66" w:rsidP="00E52F66">
            <w:pPr>
              <w:spacing w:before="0" w:after="0" w:line="276" w:lineRule="auto"/>
              <w:jc w:val="right"/>
              <w:rPr>
                <w:rFonts w:ascii="Arial" w:hAnsi="Arial"/>
                <w:b/>
                <w:bCs/>
                <w:sz w:val="16"/>
                <w:szCs w:val="16"/>
                <w:lang w:val="en-AU"/>
              </w:rPr>
            </w:pPr>
            <w:r w:rsidRPr="008659FE">
              <w:rPr>
                <w:rFonts w:ascii="Arial" w:hAnsi="Arial"/>
                <w:sz w:val="16"/>
                <w:szCs w:val="16"/>
                <w:lang w:val="en-AU"/>
              </w:rPr>
              <w:t>TAS - Bass</w:t>
            </w:r>
          </w:p>
        </w:tc>
        <w:tc>
          <w:tcPr>
            <w:tcW w:w="1191" w:type="dxa"/>
            <w:tcBorders>
              <w:top w:val="nil"/>
              <w:left w:val="nil"/>
              <w:bottom w:val="nil"/>
              <w:right w:val="nil"/>
            </w:tcBorders>
            <w:shd w:val="clear" w:color="FFFFFF" w:fill="auto"/>
            <w:noWrap/>
            <w:vAlign w:val="bottom"/>
          </w:tcPr>
          <w:p w14:paraId="1EDC5DF3" w14:textId="77777777" w:rsidR="00E52F66" w:rsidRPr="00353F8D" w:rsidRDefault="00E52F66" w:rsidP="00E52F66">
            <w:pPr>
              <w:keepNext/>
              <w:spacing w:before="0" w:after="0" w:line="276" w:lineRule="auto"/>
              <w:jc w:val="right"/>
              <w:rPr>
                <w:rFonts w:ascii="Arial" w:hAnsi="Arial"/>
                <w:b/>
                <w:bCs/>
                <w:sz w:val="16"/>
                <w:szCs w:val="16"/>
                <w:lang w:val="en-AU"/>
              </w:rPr>
            </w:pPr>
          </w:p>
        </w:tc>
        <w:tc>
          <w:tcPr>
            <w:tcW w:w="1413" w:type="dxa"/>
            <w:tcBorders>
              <w:top w:val="nil"/>
              <w:left w:val="nil"/>
              <w:bottom w:val="nil"/>
              <w:right w:val="nil"/>
            </w:tcBorders>
            <w:shd w:val="clear" w:color="auto" w:fill="auto"/>
            <w:noWrap/>
            <w:vAlign w:val="bottom"/>
          </w:tcPr>
          <w:p w14:paraId="070CF734" w14:textId="77777777" w:rsidR="00E52F66" w:rsidRPr="009E4B9D" w:rsidRDefault="00E52F66" w:rsidP="00E52F66">
            <w:pPr>
              <w:spacing w:before="0" w:after="0" w:line="276" w:lineRule="auto"/>
              <w:jc w:val="right"/>
              <w:rPr>
                <w:rFonts w:ascii="Arial" w:hAnsi="Arial"/>
                <w:sz w:val="16"/>
                <w:szCs w:val="16"/>
                <w:lang w:eastAsia="en-US"/>
              </w:rPr>
            </w:pPr>
            <w:r w:rsidRPr="009E4B9D">
              <w:rPr>
                <w:rFonts w:ascii="Arial" w:hAnsi="Arial"/>
                <w:sz w:val="16"/>
                <w:szCs w:val="16"/>
                <w:lang w:eastAsia="en-US"/>
              </w:rPr>
              <w:t>2.0</w:t>
            </w:r>
          </w:p>
        </w:tc>
        <w:tc>
          <w:tcPr>
            <w:tcW w:w="1195" w:type="dxa"/>
            <w:tcBorders>
              <w:top w:val="nil"/>
              <w:left w:val="nil"/>
              <w:bottom w:val="nil"/>
              <w:right w:val="nil"/>
            </w:tcBorders>
            <w:shd w:val="clear" w:color="auto" w:fill="auto"/>
            <w:noWrap/>
            <w:vAlign w:val="bottom"/>
          </w:tcPr>
          <w:p w14:paraId="17743F67" w14:textId="77777777" w:rsidR="00E52F66" w:rsidRPr="009E4B9D" w:rsidRDefault="00E52F66" w:rsidP="00E52F66">
            <w:pPr>
              <w:spacing w:before="0" w:after="0" w:line="276" w:lineRule="auto"/>
              <w:jc w:val="right"/>
              <w:rPr>
                <w:rFonts w:ascii="Arial" w:hAnsi="Arial"/>
                <w:sz w:val="16"/>
                <w:szCs w:val="16"/>
                <w:lang w:eastAsia="en-US"/>
              </w:rPr>
            </w:pPr>
            <w:r w:rsidRPr="009E4B9D">
              <w:rPr>
                <w:rFonts w:ascii="Arial" w:hAnsi="Arial"/>
                <w:sz w:val="16"/>
                <w:szCs w:val="16"/>
                <w:lang w:eastAsia="en-US"/>
              </w:rPr>
              <w:t>0.8</w:t>
            </w:r>
          </w:p>
        </w:tc>
      </w:tr>
      <w:tr w:rsidR="00E52F66" w:rsidRPr="00BA1388" w14:paraId="384A58BE" w14:textId="77777777" w:rsidTr="00F600B5">
        <w:trPr>
          <w:trHeight w:val="227"/>
        </w:trPr>
        <w:tc>
          <w:tcPr>
            <w:tcW w:w="3085" w:type="dxa"/>
            <w:tcBorders>
              <w:top w:val="nil"/>
              <w:left w:val="nil"/>
              <w:bottom w:val="nil"/>
              <w:right w:val="nil"/>
            </w:tcBorders>
            <w:shd w:val="clear" w:color="FFFFFF" w:fill="auto"/>
            <w:vAlign w:val="bottom"/>
          </w:tcPr>
          <w:p w14:paraId="5EB649E0" w14:textId="77777777" w:rsidR="00E52F66" w:rsidRPr="008659FE" w:rsidRDefault="00E52F66" w:rsidP="00E52F66">
            <w:pPr>
              <w:spacing w:before="0" w:after="0" w:line="276" w:lineRule="auto"/>
              <w:ind w:left="179"/>
              <w:rPr>
                <w:rFonts w:ascii="Arial" w:hAnsi="Arial"/>
                <w:b/>
                <w:bCs/>
                <w:sz w:val="16"/>
                <w:szCs w:val="16"/>
                <w:lang w:val="en-AU"/>
              </w:rPr>
            </w:pPr>
            <w:r w:rsidRPr="008659FE">
              <w:rPr>
                <w:rFonts w:ascii="Arial" w:hAnsi="Arial"/>
                <w:sz w:val="16"/>
                <w:szCs w:val="16"/>
                <w:lang w:val="en-AU"/>
              </w:rPr>
              <w:t>Youngtown Depot</w:t>
            </w:r>
          </w:p>
        </w:tc>
        <w:tc>
          <w:tcPr>
            <w:tcW w:w="1790" w:type="dxa"/>
            <w:tcBorders>
              <w:top w:val="nil"/>
              <w:left w:val="nil"/>
              <w:bottom w:val="nil"/>
              <w:right w:val="nil"/>
            </w:tcBorders>
            <w:shd w:val="clear" w:color="FFFFFF" w:fill="auto"/>
            <w:vAlign w:val="bottom"/>
          </w:tcPr>
          <w:p w14:paraId="123D02B9" w14:textId="77777777" w:rsidR="00E52F66" w:rsidRPr="008659FE" w:rsidRDefault="00E52F66" w:rsidP="00E52F66">
            <w:pPr>
              <w:spacing w:before="0" w:after="0" w:line="276" w:lineRule="auto"/>
              <w:jc w:val="right"/>
              <w:rPr>
                <w:rFonts w:ascii="Arial" w:hAnsi="Arial"/>
                <w:b/>
                <w:bCs/>
                <w:sz w:val="16"/>
                <w:szCs w:val="16"/>
                <w:lang w:val="en-AU"/>
              </w:rPr>
            </w:pPr>
            <w:r w:rsidRPr="008659FE">
              <w:rPr>
                <w:rFonts w:ascii="Arial" w:hAnsi="Arial"/>
                <w:sz w:val="16"/>
                <w:szCs w:val="16"/>
                <w:lang w:val="en-AU"/>
              </w:rPr>
              <w:t>TAS - Bass</w:t>
            </w:r>
          </w:p>
        </w:tc>
        <w:tc>
          <w:tcPr>
            <w:tcW w:w="1191" w:type="dxa"/>
            <w:tcBorders>
              <w:top w:val="nil"/>
              <w:left w:val="nil"/>
              <w:bottom w:val="nil"/>
              <w:right w:val="nil"/>
            </w:tcBorders>
            <w:shd w:val="clear" w:color="FFFFFF" w:fill="auto"/>
            <w:noWrap/>
            <w:vAlign w:val="bottom"/>
          </w:tcPr>
          <w:p w14:paraId="499E3FB5" w14:textId="77777777" w:rsidR="00E52F66" w:rsidRPr="00353F8D" w:rsidRDefault="00E52F66" w:rsidP="00E52F66">
            <w:pPr>
              <w:keepNext/>
              <w:spacing w:before="0" w:after="0" w:line="276" w:lineRule="auto"/>
              <w:jc w:val="right"/>
              <w:rPr>
                <w:rFonts w:ascii="Arial" w:hAnsi="Arial"/>
                <w:b/>
                <w:bCs/>
                <w:sz w:val="16"/>
                <w:szCs w:val="16"/>
                <w:lang w:val="en-AU"/>
              </w:rPr>
            </w:pPr>
          </w:p>
        </w:tc>
        <w:tc>
          <w:tcPr>
            <w:tcW w:w="1413" w:type="dxa"/>
            <w:tcBorders>
              <w:top w:val="nil"/>
              <w:left w:val="nil"/>
              <w:bottom w:val="nil"/>
              <w:right w:val="nil"/>
            </w:tcBorders>
            <w:shd w:val="clear" w:color="auto" w:fill="auto"/>
            <w:noWrap/>
            <w:vAlign w:val="bottom"/>
          </w:tcPr>
          <w:p w14:paraId="56FEEE0D" w14:textId="77777777" w:rsidR="00E52F66" w:rsidRPr="009E4B9D" w:rsidRDefault="00E52F66" w:rsidP="00E52F66">
            <w:pPr>
              <w:spacing w:before="0" w:after="0" w:line="276" w:lineRule="auto"/>
              <w:jc w:val="right"/>
              <w:rPr>
                <w:rFonts w:ascii="Arial" w:hAnsi="Arial"/>
                <w:sz w:val="16"/>
                <w:szCs w:val="16"/>
                <w:lang w:eastAsia="en-US"/>
              </w:rPr>
            </w:pPr>
            <w:r w:rsidRPr="009E4B9D">
              <w:rPr>
                <w:rFonts w:ascii="Arial" w:hAnsi="Arial"/>
                <w:sz w:val="16"/>
                <w:szCs w:val="16"/>
                <w:lang w:eastAsia="en-US"/>
              </w:rPr>
              <w:t>2.9</w:t>
            </w:r>
          </w:p>
        </w:tc>
        <w:tc>
          <w:tcPr>
            <w:tcW w:w="1195" w:type="dxa"/>
            <w:tcBorders>
              <w:top w:val="nil"/>
              <w:left w:val="nil"/>
              <w:bottom w:val="nil"/>
              <w:right w:val="nil"/>
            </w:tcBorders>
            <w:shd w:val="clear" w:color="auto" w:fill="auto"/>
            <w:noWrap/>
            <w:vAlign w:val="bottom"/>
          </w:tcPr>
          <w:p w14:paraId="0CFF46C3" w14:textId="77777777" w:rsidR="00E52F66" w:rsidRPr="009E4B9D" w:rsidRDefault="00E52F66" w:rsidP="00E52F66">
            <w:pPr>
              <w:spacing w:before="0" w:after="0" w:line="276" w:lineRule="auto"/>
              <w:jc w:val="right"/>
              <w:rPr>
                <w:rFonts w:ascii="Arial" w:hAnsi="Arial"/>
                <w:sz w:val="16"/>
                <w:szCs w:val="16"/>
                <w:lang w:eastAsia="en-US"/>
              </w:rPr>
            </w:pPr>
            <w:r w:rsidRPr="009E4B9D">
              <w:rPr>
                <w:rFonts w:ascii="Arial" w:hAnsi="Arial"/>
                <w:sz w:val="16"/>
                <w:szCs w:val="16"/>
                <w:lang w:eastAsia="en-US"/>
              </w:rPr>
              <w:t>7.8</w:t>
            </w:r>
          </w:p>
        </w:tc>
      </w:tr>
      <w:tr w:rsidR="00E52F66" w:rsidRPr="00BA1388" w14:paraId="73DEA6BA" w14:textId="77777777" w:rsidTr="00F600B5">
        <w:trPr>
          <w:trHeight w:val="227"/>
        </w:trPr>
        <w:tc>
          <w:tcPr>
            <w:tcW w:w="3085" w:type="dxa"/>
            <w:tcBorders>
              <w:top w:val="nil"/>
              <w:left w:val="nil"/>
              <w:bottom w:val="single" w:sz="4" w:space="0" w:color="auto"/>
              <w:right w:val="nil"/>
            </w:tcBorders>
            <w:shd w:val="clear" w:color="FFFFFF" w:fill="auto"/>
            <w:vAlign w:val="bottom"/>
          </w:tcPr>
          <w:p w14:paraId="173B49D1" w14:textId="77777777" w:rsidR="00E52F66" w:rsidRPr="008659FE" w:rsidRDefault="00E52F66" w:rsidP="00E52F66">
            <w:pPr>
              <w:spacing w:before="0" w:after="0" w:line="276" w:lineRule="auto"/>
              <w:ind w:left="-57" w:right="-57"/>
              <w:rPr>
                <w:rFonts w:ascii="Arial" w:hAnsi="Arial"/>
                <w:b/>
                <w:bCs/>
                <w:sz w:val="16"/>
                <w:szCs w:val="16"/>
                <w:lang w:val="en-AU"/>
              </w:rPr>
            </w:pPr>
            <w:r w:rsidRPr="008659FE">
              <w:rPr>
                <w:rFonts w:ascii="Arial" w:hAnsi="Arial"/>
                <w:b/>
                <w:bCs/>
                <w:sz w:val="16"/>
                <w:szCs w:val="16"/>
                <w:lang w:val="en-AU"/>
              </w:rPr>
              <w:t>Total</w:t>
            </w:r>
          </w:p>
        </w:tc>
        <w:tc>
          <w:tcPr>
            <w:tcW w:w="1790" w:type="dxa"/>
            <w:tcBorders>
              <w:top w:val="nil"/>
              <w:left w:val="nil"/>
              <w:bottom w:val="single" w:sz="4" w:space="0" w:color="auto"/>
              <w:right w:val="nil"/>
            </w:tcBorders>
            <w:shd w:val="clear" w:color="FFFFFF" w:fill="auto"/>
            <w:vAlign w:val="bottom"/>
          </w:tcPr>
          <w:p w14:paraId="588B93C4" w14:textId="77777777" w:rsidR="00E52F66" w:rsidRPr="008659FE" w:rsidRDefault="00E52F66" w:rsidP="00E52F66">
            <w:pPr>
              <w:keepNext/>
              <w:spacing w:before="0" w:after="0" w:line="276" w:lineRule="auto"/>
              <w:jc w:val="right"/>
              <w:rPr>
                <w:rFonts w:ascii="Arial" w:hAnsi="Arial"/>
                <w:sz w:val="16"/>
                <w:szCs w:val="16"/>
                <w:lang w:val="en-AU"/>
              </w:rPr>
            </w:pPr>
          </w:p>
        </w:tc>
        <w:tc>
          <w:tcPr>
            <w:tcW w:w="1191" w:type="dxa"/>
            <w:tcBorders>
              <w:top w:val="nil"/>
              <w:left w:val="nil"/>
              <w:bottom w:val="single" w:sz="4" w:space="0" w:color="auto"/>
              <w:right w:val="nil"/>
            </w:tcBorders>
            <w:shd w:val="clear" w:color="FFFFFF" w:fill="auto"/>
            <w:noWrap/>
            <w:vAlign w:val="bottom"/>
          </w:tcPr>
          <w:p w14:paraId="7DB0B2EC" w14:textId="77777777" w:rsidR="00E52F66" w:rsidRPr="00353F8D" w:rsidRDefault="00E52F66" w:rsidP="00E52F66">
            <w:pPr>
              <w:keepNext/>
              <w:spacing w:before="0" w:after="0" w:line="276" w:lineRule="auto"/>
              <w:jc w:val="right"/>
              <w:rPr>
                <w:rFonts w:ascii="Arial" w:hAnsi="Arial"/>
                <w:b/>
                <w:bCs/>
                <w:sz w:val="16"/>
                <w:szCs w:val="16"/>
                <w:lang w:val="en-AU"/>
              </w:rPr>
            </w:pPr>
            <w:r w:rsidRPr="00353F8D">
              <w:rPr>
                <w:rFonts w:ascii="Arial" w:hAnsi="Arial"/>
                <w:b/>
                <w:bCs/>
                <w:sz w:val="16"/>
                <w:szCs w:val="16"/>
                <w:lang w:val="en-AU"/>
              </w:rPr>
              <w:t>57.4</w:t>
            </w:r>
          </w:p>
        </w:tc>
        <w:tc>
          <w:tcPr>
            <w:tcW w:w="1413" w:type="dxa"/>
            <w:tcBorders>
              <w:top w:val="nil"/>
              <w:left w:val="nil"/>
              <w:bottom w:val="single" w:sz="4" w:space="0" w:color="auto"/>
              <w:right w:val="nil"/>
            </w:tcBorders>
            <w:shd w:val="clear" w:color="auto" w:fill="auto"/>
            <w:noWrap/>
            <w:vAlign w:val="bottom"/>
          </w:tcPr>
          <w:p w14:paraId="7ECCF713" w14:textId="77777777" w:rsidR="00E52F66" w:rsidRPr="009E4B9D" w:rsidRDefault="00E52F66" w:rsidP="00E52F66">
            <w:pPr>
              <w:spacing w:before="0" w:after="0" w:line="276" w:lineRule="auto"/>
              <w:jc w:val="right"/>
              <w:rPr>
                <w:rFonts w:ascii="Arial" w:hAnsi="Arial"/>
                <w:b/>
                <w:sz w:val="16"/>
                <w:szCs w:val="16"/>
                <w:lang w:eastAsia="en-US"/>
              </w:rPr>
            </w:pPr>
            <w:r>
              <w:rPr>
                <w:rFonts w:ascii="Arial" w:hAnsi="Arial"/>
                <w:b/>
                <w:sz w:val="16"/>
                <w:szCs w:val="16"/>
                <w:lang w:eastAsia="en-US"/>
              </w:rPr>
              <w:t>26.5</w:t>
            </w:r>
          </w:p>
        </w:tc>
        <w:tc>
          <w:tcPr>
            <w:tcW w:w="1195" w:type="dxa"/>
            <w:tcBorders>
              <w:top w:val="nil"/>
              <w:left w:val="nil"/>
              <w:bottom w:val="single" w:sz="4" w:space="0" w:color="auto"/>
              <w:right w:val="nil"/>
            </w:tcBorders>
            <w:shd w:val="clear" w:color="auto" w:fill="auto"/>
            <w:noWrap/>
            <w:vAlign w:val="bottom"/>
          </w:tcPr>
          <w:p w14:paraId="182F911C" w14:textId="77777777" w:rsidR="00E52F66" w:rsidRPr="009E4B9D" w:rsidRDefault="00E52F66" w:rsidP="00E52F66">
            <w:pPr>
              <w:spacing w:before="0" w:after="0" w:line="276" w:lineRule="auto"/>
              <w:jc w:val="right"/>
              <w:rPr>
                <w:rFonts w:ascii="Arial" w:hAnsi="Arial"/>
                <w:b/>
                <w:sz w:val="16"/>
                <w:szCs w:val="16"/>
                <w:lang w:eastAsia="en-US"/>
              </w:rPr>
            </w:pPr>
            <w:r w:rsidRPr="009E4B9D">
              <w:rPr>
                <w:rFonts w:ascii="Arial" w:hAnsi="Arial"/>
                <w:b/>
                <w:sz w:val="16"/>
                <w:szCs w:val="16"/>
                <w:lang w:eastAsia="en-US"/>
              </w:rPr>
              <w:t>8.7</w:t>
            </w:r>
          </w:p>
        </w:tc>
      </w:tr>
      <w:tr w:rsidR="00F600B5" w:rsidRPr="00BA1388" w14:paraId="32EF1297" w14:textId="77777777" w:rsidTr="00F600B5">
        <w:trPr>
          <w:trHeight w:val="227"/>
        </w:trPr>
        <w:tc>
          <w:tcPr>
            <w:tcW w:w="3085" w:type="dxa"/>
            <w:tcBorders>
              <w:top w:val="single" w:sz="4" w:space="0" w:color="auto"/>
              <w:left w:val="nil"/>
              <w:bottom w:val="nil"/>
              <w:right w:val="nil"/>
            </w:tcBorders>
            <w:shd w:val="clear" w:color="FFFFFF" w:fill="auto"/>
            <w:vAlign w:val="bottom"/>
          </w:tcPr>
          <w:p w14:paraId="3FAF1951" w14:textId="77777777" w:rsidR="00F600B5" w:rsidRPr="008659FE" w:rsidRDefault="00F600B5" w:rsidP="00F600B5">
            <w:pPr>
              <w:spacing w:before="0" w:after="0" w:line="276" w:lineRule="auto"/>
              <w:rPr>
                <w:rFonts w:ascii="Arial" w:hAnsi="Arial"/>
                <w:b/>
                <w:bCs/>
                <w:sz w:val="16"/>
                <w:szCs w:val="16"/>
                <w:lang w:val="en-AU"/>
              </w:rPr>
            </w:pPr>
            <w:r w:rsidRPr="008659FE">
              <w:rPr>
                <w:rFonts w:ascii="Arial" w:hAnsi="Arial"/>
                <w:b/>
                <w:bCs/>
                <w:sz w:val="16"/>
                <w:szCs w:val="16"/>
                <w:lang w:val="en-AU"/>
              </w:rPr>
              <w:t xml:space="preserve">Facilities to Support SEA 2273 Fleet Information Environment Modernisation Project </w:t>
            </w:r>
          </w:p>
        </w:tc>
        <w:tc>
          <w:tcPr>
            <w:tcW w:w="1790" w:type="dxa"/>
            <w:tcBorders>
              <w:top w:val="single" w:sz="4" w:space="0" w:color="auto"/>
              <w:left w:val="nil"/>
              <w:bottom w:val="nil"/>
              <w:right w:val="nil"/>
            </w:tcBorders>
            <w:shd w:val="clear" w:color="FFFFFF" w:fill="auto"/>
            <w:vAlign w:val="bottom"/>
          </w:tcPr>
          <w:p w14:paraId="3B6B1A0F" w14:textId="77777777" w:rsidR="00F600B5" w:rsidRPr="008659FE" w:rsidRDefault="00F600B5" w:rsidP="00F600B5">
            <w:pPr>
              <w:spacing w:before="0" w:after="0" w:line="276" w:lineRule="auto"/>
              <w:jc w:val="right"/>
              <w:rPr>
                <w:rFonts w:ascii="Arial" w:hAnsi="Arial"/>
                <w:b/>
                <w:sz w:val="16"/>
                <w:szCs w:val="16"/>
                <w:lang w:val="en-AU"/>
              </w:rPr>
            </w:pPr>
          </w:p>
        </w:tc>
        <w:tc>
          <w:tcPr>
            <w:tcW w:w="1191" w:type="dxa"/>
            <w:tcBorders>
              <w:top w:val="single" w:sz="4" w:space="0" w:color="auto"/>
              <w:left w:val="nil"/>
              <w:bottom w:val="nil"/>
              <w:right w:val="nil"/>
            </w:tcBorders>
            <w:shd w:val="clear" w:color="FFFFFF" w:fill="auto"/>
            <w:noWrap/>
            <w:vAlign w:val="bottom"/>
          </w:tcPr>
          <w:p w14:paraId="16D37EEE" w14:textId="77777777" w:rsidR="00F600B5" w:rsidRPr="00353F8D" w:rsidRDefault="00F600B5" w:rsidP="00F600B5">
            <w:pPr>
              <w:spacing w:before="0" w:after="0" w:line="276" w:lineRule="auto"/>
              <w:jc w:val="right"/>
              <w:rPr>
                <w:rFonts w:ascii="Arial" w:hAnsi="Arial"/>
                <w:b/>
                <w:sz w:val="16"/>
                <w:szCs w:val="16"/>
                <w:lang w:val="en-AU"/>
              </w:rPr>
            </w:pPr>
          </w:p>
        </w:tc>
        <w:tc>
          <w:tcPr>
            <w:tcW w:w="1413" w:type="dxa"/>
            <w:tcBorders>
              <w:top w:val="single" w:sz="4" w:space="0" w:color="auto"/>
              <w:left w:val="nil"/>
              <w:bottom w:val="nil"/>
              <w:right w:val="nil"/>
            </w:tcBorders>
            <w:shd w:val="clear" w:color="auto" w:fill="auto"/>
            <w:noWrap/>
            <w:vAlign w:val="bottom"/>
          </w:tcPr>
          <w:p w14:paraId="4AB91CE5" w14:textId="77777777" w:rsidR="00F600B5" w:rsidRPr="009E4B9D" w:rsidRDefault="00F600B5" w:rsidP="00F600B5">
            <w:pPr>
              <w:spacing w:before="0" w:after="0" w:line="276" w:lineRule="auto"/>
              <w:jc w:val="right"/>
              <w:rPr>
                <w:rFonts w:ascii="Arial" w:hAnsi="Arial"/>
                <w:b/>
                <w:sz w:val="16"/>
                <w:szCs w:val="16"/>
                <w:lang w:eastAsia="en-US"/>
              </w:rPr>
            </w:pPr>
          </w:p>
        </w:tc>
        <w:tc>
          <w:tcPr>
            <w:tcW w:w="1195" w:type="dxa"/>
            <w:tcBorders>
              <w:top w:val="single" w:sz="4" w:space="0" w:color="auto"/>
              <w:left w:val="nil"/>
              <w:bottom w:val="nil"/>
              <w:right w:val="nil"/>
            </w:tcBorders>
            <w:shd w:val="clear" w:color="auto" w:fill="auto"/>
            <w:noWrap/>
            <w:vAlign w:val="bottom"/>
          </w:tcPr>
          <w:p w14:paraId="3A964C04" w14:textId="77777777" w:rsidR="00F600B5" w:rsidRPr="009E4B9D" w:rsidRDefault="00F600B5" w:rsidP="00F600B5">
            <w:pPr>
              <w:spacing w:before="0" w:after="0" w:line="276" w:lineRule="auto"/>
              <w:jc w:val="right"/>
              <w:rPr>
                <w:rFonts w:ascii="Arial" w:hAnsi="Arial"/>
                <w:b/>
                <w:sz w:val="16"/>
                <w:szCs w:val="16"/>
                <w:lang w:eastAsia="en-US"/>
              </w:rPr>
            </w:pPr>
          </w:p>
        </w:tc>
      </w:tr>
      <w:tr w:rsidR="00F600B5" w:rsidRPr="00BA1388" w14:paraId="3F207D5E" w14:textId="77777777" w:rsidTr="00F600B5">
        <w:trPr>
          <w:trHeight w:val="227"/>
        </w:trPr>
        <w:tc>
          <w:tcPr>
            <w:tcW w:w="3085" w:type="dxa"/>
            <w:tcBorders>
              <w:top w:val="nil"/>
              <w:left w:val="nil"/>
              <w:bottom w:val="nil"/>
              <w:right w:val="nil"/>
            </w:tcBorders>
            <w:shd w:val="clear" w:color="FFFFFF" w:fill="auto"/>
            <w:vAlign w:val="bottom"/>
          </w:tcPr>
          <w:p w14:paraId="18A8FC3B" w14:textId="77777777" w:rsidR="00F600B5" w:rsidRPr="008659FE" w:rsidRDefault="00F600B5" w:rsidP="00F600B5">
            <w:pPr>
              <w:spacing w:before="0" w:after="0" w:line="276" w:lineRule="auto"/>
              <w:ind w:left="179"/>
              <w:rPr>
                <w:rFonts w:ascii="Arial" w:hAnsi="Arial"/>
                <w:sz w:val="16"/>
                <w:szCs w:val="16"/>
                <w:lang w:val="en-AU"/>
              </w:rPr>
            </w:pPr>
            <w:r w:rsidRPr="008659FE">
              <w:rPr>
                <w:rFonts w:ascii="Arial" w:hAnsi="Arial"/>
                <w:sz w:val="16"/>
                <w:szCs w:val="16"/>
                <w:lang w:val="en-AU"/>
              </w:rPr>
              <w:t xml:space="preserve">HMAS </w:t>
            </w:r>
            <w:r w:rsidRPr="008659FE">
              <w:rPr>
                <w:rFonts w:ascii="Arial" w:hAnsi="Arial"/>
                <w:i/>
                <w:sz w:val="16"/>
                <w:szCs w:val="16"/>
                <w:lang w:val="en-AU"/>
              </w:rPr>
              <w:t>Kuttabul</w:t>
            </w:r>
            <w:r w:rsidRPr="008659FE">
              <w:rPr>
                <w:rFonts w:ascii="Arial" w:hAnsi="Arial"/>
                <w:sz w:val="16"/>
                <w:szCs w:val="16"/>
                <w:lang w:val="en-AU"/>
              </w:rPr>
              <w:t xml:space="preserve"> </w:t>
            </w:r>
          </w:p>
        </w:tc>
        <w:tc>
          <w:tcPr>
            <w:tcW w:w="1790" w:type="dxa"/>
            <w:tcBorders>
              <w:top w:val="nil"/>
              <w:left w:val="nil"/>
              <w:bottom w:val="nil"/>
              <w:right w:val="nil"/>
            </w:tcBorders>
            <w:shd w:val="clear" w:color="FFFFFF" w:fill="auto"/>
            <w:vAlign w:val="bottom"/>
          </w:tcPr>
          <w:p w14:paraId="25E120F4" w14:textId="77777777" w:rsidR="00F600B5" w:rsidRPr="008659FE" w:rsidRDefault="00F600B5" w:rsidP="00F600B5">
            <w:pPr>
              <w:spacing w:before="0" w:after="0" w:line="276" w:lineRule="auto"/>
              <w:jc w:val="right"/>
              <w:rPr>
                <w:rFonts w:ascii="Arial" w:hAnsi="Arial"/>
                <w:sz w:val="16"/>
                <w:szCs w:val="16"/>
                <w:lang w:val="en-AU"/>
              </w:rPr>
            </w:pPr>
            <w:r w:rsidRPr="008659FE">
              <w:rPr>
                <w:rFonts w:ascii="Arial" w:hAnsi="Arial"/>
                <w:sz w:val="16"/>
                <w:szCs w:val="16"/>
                <w:lang w:val="en-AU"/>
              </w:rPr>
              <w:t>NSW - Sydney</w:t>
            </w:r>
          </w:p>
        </w:tc>
        <w:tc>
          <w:tcPr>
            <w:tcW w:w="1191" w:type="dxa"/>
            <w:tcBorders>
              <w:top w:val="nil"/>
              <w:left w:val="nil"/>
              <w:bottom w:val="nil"/>
              <w:right w:val="nil"/>
            </w:tcBorders>
            <w:shd w:val="clear" w:color="FFFFFF" w:fill="auto"/>
            <w:noWrap/>
            <w:vAlign w:val="bottom"/>
          </w:tcPr>
          <w:p w14:paraId="48B9E8FD" w14:textId="77777777" w:rsidR="00F600B5" w:rsidRPr="00353F8D" w:rsidRDefault="00F600B5" w:rsidP="00F600B5">
            <w:pPr>
              <w:spacing w:before="0" w:after="0" w:line="276" w:lineRule="auto"/>
              <w:jc w:val="right"/>
              <w:rPr>
                <w:rFonts w:ascii="Arial" w:hAnsi="Arial"/>
                <w:b/>
                <w:sz w:val="16"/>
                <w:szCs w:val="16"/>
                <w:lang w:val="en-AU"/>
              </w:rPr>
            </w:pPr>
          </w:p>
        </w:tc>
        <w:tc>
          <w:tcPr>
            <w:tcW w:w="1413" w:type="dxa"/>
            <w:tcBorders>
              <w:top w:val="nil"/>
              <w:left w:val="nil"/>
              <w:bottom w:val="nil"/>
              <w:right w:val="nil"/>
            </w:tcBorders>
            <w:shd w:val="clear" w:color="auto" w:fill="auto"/>
            <w:noWrap/>
            <w:vAlign w:val="bottom"/>
          </w:tcPr>
          <w:p w14:paraId="1F2BFC2B" w14:textId="77777777" w:rsidR="00F600B5" w:rsidRPr="009E4B9D" w:rsidRDefault="00F600B5" w:rsidP="00F600B5">
            <w:pPr>
              <w:spacing w:before="0" w:after="0" w:line="276" w:lineRule="auto"/>
              <w:jc w:val="right"/>
              <w:rPr>
                <w:rFonts w:ascii="Arial" w:hAnsi="Arial"/>
                <w:sz w:val="16"/>
                <w:szCs w:val="16"/>
                <w:lang w:eastAsia="en-US"/>
              </w:rPr>
            </w:pPr>
            <w:r w:rsidRPr="009E4B9D">
              <w:rPr>
                <w:rFonts w:ascii="Arial" w:hAnsi="Arial"/>
                <w:sz w:val="16"/>
                <w:szCs w:val="16"/>
                <w:lang w:eastAsia="en-US"/>
              </w:rPr>
              <w:t>5.6</w:t>
            </w:r>
          </w:p>
        </w:tc>
        <w:tc>
          <w:tcPr>
            <w:tcW w:w="1195" w:type="dxa"/>
            <w:tcBorders>
              <w:top w:val="nil"/>
              <w:left w:val="nil"/>
              <w:bottom w:val="nil"/>
              <w:right w:val="nil"/>
            </w:tcBorders>
            <w:shd w:val="clear" w:color="auto" w:fill="auto"/>
            <w:noWrap/>
            <w:vAlign w:val="bottom"/>
          </w:tcPr>
          <w:p w14:paraId="7575B152" w14:textId="77777777" w:rsidR="00F600B5" w:rsidRPr="009E4B9D" w:rsidRDefault="00F600B5" w:rsidP="00F600B5">
            <w:pPr>
              <w:spacing w:before="0" w:after="0" w:line="276" w:lineRule="auto"/>
              <w:jc w:val="right"/>
              <w:rPr>
                <w:rFonts w:ascii="Arial" w:hAnsi="Arial"/>
                <w:sz w:val="16"/>
                <w:szCs w:val="16"/>
                <w:lang w:eastAsia="en-US"/>
              </w:rPr>
            </w:pPr>
            <w:r w:rsidRPr="009E4B9D">
              <w:rPr>
                <w:rFonts w:ascii="Arial" w:hAnsi="Arial"/>
                <w:sz w:val="16"/>
                <w:szCs w:val="16"/>
                <w:lang w:eastAsia="en-US"/>
              </w:rPr>
              <w:t>-</w:t>
            </w:r>
          </w:p>
        </w:tc>
      </w:tr>
      <w:tr w:rsidR="00F600B5" w:rsidRPr="00BA1388" w14:paraId="0553B523" w14:textId="77777777" w:rsidTr="00F600B5">
        <w:trPr>
          <w:trHeight w:val="227"/>
        </w:trPr>
        <w:tc>
          <w:tcPr>
            <w:tcW w:w="3085" w:type="dxa"/>
            <w:tcBorders>
              <w:top w:val="nil"/>
              <w:left w:val="nil"/>
              <w:bottom w:val="nil"/>
              <w:right w:val="nil"/>
            </w:tcBorders>
            <w:shd w:val="clear" w:color="FFFFFF" w:fill="auto"/>
            <w:vAlign w:val="bottom"/>
          </w:tcPr>
          <w:p w14:paraId="5C764C40" w14:textId="77777777" w:rsidR="00F600B5" w:rsidRPr="008659FE" w:rsidRDefault="00F600B5" w:rsidP="00F600B5">
            <w:pPr>
              <w:spacing w:before="0" w:after="0" w:line="276" w:lineRule="auto"/>
              <w:ind w:left="179"/>
              <w:rPr>
                <w:rFonts w:ascii="Arial" w:hAnsi="Arial"/>
                <w:sz w:val="16"/>
                <w:szCs w:val="16"/>
                <w:lang w:val="en-AU"/>
              </w:rPr>
            </w:pPr>
            <w:r w:rsidRPr="008659FE">
              <w:rPr>
                <w:rFonts w:ascii="Arial" w:hAnsi="Arial"/>
                <w:sz w:val="16"/>
                <w:szCs w:val="16"/>
                <w:lang w:val="en-AU"/>
              </w:rPr>
              <w:t xml:space="preserve">HMAS </w:t>
            </w:r>
            <w:r w:rsidRPr="008659FE">
              <w:rPr>
                <w:rFonts w:ascii="Arial" w:hAnsi="Arial"/>
                <w:i/>
                <w:sz w:val="16"/>
                <w:szCs w:val="16"/>
                <w:lang w:val="en-AU"/>
              </w:rPr>
              <w:t>Cerberus</w:t>
            </w:r>
          </w:p>
        </w:tc>
        <w:tc>
          <w:tcPr>
            <w:tcW w:w="1790" w:type="dxa"/>
            <w:tcBorders>
              <w:top w:val="nil"/>
              <w:left w:val="nil"/>
              <w:bottom w:val="nil"/>
              <w:right w:val="nil"/>
            </w:tcBorders>
            <w:shd w:val="clear" w:color="FFFFFF" w:fill="auto"/>
            <w:vAlign w:val="bottom"/>
          </w:tcPr>
          <w:p w14:paraId="41580991" w14:textId="77777777" w:rsidR="00F600B5" w:rsidRPr="008659FE" w:rsidRDefault="00F600B5" w:rsidP="00F600B5">
            <w:pPr>
              <w:spacing w:before="0" w:after="0" w:line="276" w:lineRule="auto"/>
              <w:jc w:val="right"/>
              <w:rPr>
                <w:rFonts w:ascii="Arial" w:hAnsi="Arial"/>
                <w:sz w:val="16"/>
                <w:szCs w:val="16"/>
                <w:lang w:val="en-AU"/>
              </w:rPr>
            </w:pPr>
            <w:r w:rsidRPr="008659FE">
              <w:rPr>
                <w:rFonts w:ascii="Arial" w:hAnsi="Arial"/>
                <w:sz w:val="16"/>
                <w:szCs w:val="16"/>
                <w:lang w:val="en-AU"/>
              </w:rPr>
              <w:t>VIC - Flinders</w:t>
            </w:r>
          </w:p>
        </w:tc>
        <w:tc>
          <w:tcPr>
            <w:tcW w:w="1191" w:type="dxa"/>
            <w:tcBorders>
              <w:top w:val="nil"/>
              <w:left w:val="nil"/>
              <w:bottom w:val="nil"/>
              <w:right w:val="nil"/>
            </w:tcBorders>
            <w:shd w:val="clear" w:color="FFFFFF" w:fill="auto"/>
            <w:noWrap/>
            <w:vAlign w:val="bottom"/>
          </w:tcPr>
          <w:p w14:paraId="6973E31A" w14:textId="77777777" w:rsidR="00F600B5" w:rsidRPr="00353F8D" w:rsidRDefault="00F600B5" w:rsidP="00F600B5">
            <w:pPr>
              <w:spacing w:before="0" w:after="0" w:line="276" w:lineRule="auto"/>
              <w:jc w:val="right"/>
              <w:rPr>
                <w:rFonts w:ascii="Arial" w:hAnsi="Arial"/>
                <w:b/>
                <w:sz w:val="16"/>
                <w:szCs w:val="16"/>
                <w:lang w:val="en-AU"/>
              </w:rPr>
            </w:pPr>
          </w:p>
        </w:tc>
        <w:tc>
          <w:tcPr>
            <w:tcW w:w="1413" w:type="dxa"/>
            <w:tcBorders>
              <w:top w:val="nil"/>
              <w:left w:val="nil"/>
              <w:bottom w:val="nil"/>
              <w:right w:val="nil"/>
            </w:tcBorders>
            <w:shd w:val="clear" w:color="auto" w:fill="auto"/>
            <w:noWrap/>
            <w:vAlign w:val="bottom"/>
          </w:tcPr>
          <w:p w14:paraId="1DDC5E13" w14:textId="77777777" w:rsidR="00F600B5" w:rsidRPr="009E4B9D" w:rsidRDefault="00F600B5" w:rsidP="00F600B5">
            <w:pPr>
              <w:spacing w:before="0" w:after="0" w:line="276" w:lineRule="auto"/>
              <w:jc w:val="right"/>
              <w:rPr>
                <w:rFonts w:ascii="Arial" w:hAnsi="Arial"/>
                <w:sz w:val="16"/>
                <w:szCs w:val="16"/>
                <w:lang w:eastAsia="en-US"/>
              </w:rPr>
            </w:pPr>
            <w:r w:rsidRPr="009E4B9D">
              <w:rPr>
                <w:rFonts w:ascii="Arial" w:hAnsi="Arial"/>
                <w:sz w:val="16"/>
                <w:szCs w:val="16"/>
                <w:lang w:eastAsia="en-US"/>
              </w:rPr>
              <w:t>0.5</w:t>
            </w:r>
          </w:p>
        </w:tc>
        <w:tc>
          <w:tcPr>
            <w:tcW w:w="1195" w:type="dxa"/>
            <w:tcBorders>
              <w:top w:val="nil"/>
              <w:left w:val="nil"/>
              <w:bottom w:val="nil"/>
              <w:right w:val="nil"/>
            </w:tcBorders>
            <w:shd w:val="clear" w:color="auto" w:fill="auto"/>
            <w:noWrap/>
            <w:vAlign w:val="bottom"/>
          </w:tcPr>
          <w:p w14:paraId="2A11BB85" w14:textId="77777777" w:rsidR="00F600B5" w:rsidRPr="009E4B9D" w:rsidRDefault="00F600B5" w:rsidP="00F600B5">
            <w:pPr>
              <w:spacing w:before="0" w:after="0" w:line="276" w:lineRule="auto"/>
              <w:jc w:val="right"/>
              <w:rPr>
                <w:rFonts w:ascii="Arial" w:hAnsi="Arial"/>
                <w:sz w:val="16"/>
                <w:szCs w:val="16"/>
                <w:lang w:eastAsia="en-US"/>
              </w:rPr>
            </w:pPr>
            <w:r w:rsidRPr="009E4B9D">
              <w:rPr>
                <w:rFonts w:ascii="Arial" w:hAnsi="Arial"/>
                <w:sz w:val="16"/>
                <w:szCs w:val="16"/>
                <w:lang w:eastAsia="en-US"/>
              </w:rPr>
              <w:t>-</w:t>
            </w:r>
          </w:p>
        </w:tc>
      </w:tr>
      <w:tr w:rsidR="00F600B5" w:rsidRPr="00BA1388" w14:paraId="4900C763" w14:textId="77777777" w:rsidTr="00F600B5">
        <w:trPr>
          <w:trHeight w:val="227"/>
        </w:trPr>
        <w:tc>
          <w:tcPr>
            <w:tcW w:w="3085" w:type="dxa"/>
            <w:tcBorders>
              <w:top w:val="nil"/>
              <w:left w:val="nil"/>
              <w:bottom w:val="nil"/>
              <w:right w:val="nil"/>
            </w:tcBorders>
            <w:shd w:val="clear" w:color="FFFFFF" w:fill="auto"/>
            <w:vAlign w:val="bottom"/>
          </w:tcPr>
          <w:p w14:paraId="7758AEB1" w14:textId="77777777" w:rsidR="00F600B5" w:rsidRPr="008659FE" w:rsidRDefault="00F600B5" w:rsidP="00F600B5">
            <w:pPr>
              <w:spacing w:before="0" w:after="0" w:line="276" w:lineRule="auto"/>
              <w:ind w:left="179"/>
              <w:rPr>
                <w:rFonts w:ascii="Arial" w:hAnsi="Arial"/>
                <w:sz w:val="16"/>
                <w:szCs w:val="16"/>
                <w:lang w:val="en-AU"/>
              </w:rPr>
            </w:pPr>
            <w:r w:rsidRPr="008659FE">
              <w:rPr>
                <w:rFonts w:ascii="Arial" w:hAnsi="Arial"/>
                <w:sz w:val="16"/>
                <w:szCs w:val="16"/>
                <w:lang w:val="en-AU"/>
              </w:rPr>
              <w:t xml:space="preserve">HMAS </w:t>
            </w:r>
            <w:r w:rsidRPr="008659FE">
              <w:rPr>
                <w:rFonts w:ascii="Arial" w:hAnsi="Arial"/>
                <w:i/>
                <w:sz w:val="16"/>
                <w:szCs w:val="16"/>
                <w:lang w:val="en-AU"/>
              </w:rPr>
              <w:t>Stirling</w:t>
            </w:r>
          </w:p>
        </w:tc>
        <w:tc>
          <w:tcPr>
            <w:tcW w:w="1790" w:type="dxa"/>
            <w:tcBorders>
              <w:top w:val="nil"/>
              <w:left w:val="nil"/>
              <w:bottom w:val="nil"/>
              <w:right w:val="nil"/>
            </w:tcBorders>
            <w:shd w:val="clear" w:color="FFFFFF" w:fill="auto"/>
            <w:vAlign w:val="bottom"/>
          </w:tcPr>
          <w:p w14:paraId="2032B83C" w14:textId="77777777" w:rsidR="00F600B5" w:rsidRPr="008659FE" w:rsidRDefault="00F600B5" w:rsidP="00F600B5">
            <w:pPr>
              <w:spacing w:before="0" w:after="0" w:line="276" w:lineRule="auto"/>
              <w:jc w:val="right"/>
              <w:rPr>
                <w:rFonts w:ascii="Arial" w:hAnsi="Arial"/>
                <w:sz w:val="16"/>
                <w:szCs w:val="16"/>
                <w:lang w:val="en-AU"/>
              </w:rPr>
            </w:pPr>
            <w:r w:rsidRPr="008659FE">
              <w:rPr>
                <w:rFonts w:ascii="Arial" w:hAnsi="Arial"/>
                <w:sz w:val="16"/>
                <w:szCs w:val="16"/>
                <w:lang w:val="en-AU"/>
              </w:rPr>
              <w:t>WA - Brand</w:t>
            </w:r>
          </w:p>
        </w:tc>
        <w:tc>
          <w:tcPr>
            <w:tcW w:w="1191" w:type="dxa"/>
            <w:tcBorders>
              <w:top w:val="nil"/>
              <w:left w:val="nil"/>
              <w:bottom w:val="nil"/>
              <w:right w:val="nil"/>
            </w:tcBorders>
            <w:shd w:val="clear" w:color="FFFFFF" w:fill="auto"/>
            <w:noWrap/>
            <w:vAlign w:val="bottom"/>
          </w:tcPr>
          <w:p w14:paraId="54D29A0E" w14:textId="77777777" w:rsidR="00F600B5" w:rsidRPr="00353F8D" w:rsidRDefault="00F600B5" w:rsidP="00F600B5">
            <w:pPr>
              <w:spacing w:before="0" w:after="0" w:line="276" w:lineRule="auto"/>
              <w:jc w:val="right"/>
              <w:rPr>
                <w:rFonts w:ascii="Arial" w:hAnsi="Arial"/>
                <w:b/>
                <w:sz w:val="16"/>
                <w:szCs w:val="16"/>
                <w:lang w:val="en-AU"/>
              </w:rPr>
            </w:pPr>
          </w:p>
        </w:tc>
        <w:tc>
          <w:tcPr>
            <w:tcW w:w="1413" w:type="dxa"/>
            <w:tcBorders>
              <w:top w:val="nil"/>
              <w:left w:val="nil"/>
              <w:bottom w:val="nil"/>
              <w:right w:val="nil"/>
            </w:tcBorders>
            <w:shd w:val="clear" w:color="auto" w:fill="auto"/>
            <w:noWrap/>
            <w:vAlign w:val="bottom"/>
          </w:tcPr>
          <w:p w14:paraId="2E6CF722" w14:textId="77777777" w:rsidR="00F600B5" w:rsidRPr="009E4B9D" w:rsidRDefault="00F600B5" w:rsidP="00F600B5">
            <w:pPr>
              <w:spacing w:before="0" w:after="0" w:line="276" w:lineRule="auto"/>
              <w:jc w:val="right"/>
              <w:rPr>
                <w:rFonts w:ascii="Arial" w:hAnsi="Arial"/>
                <w:sz w:val="16"/>
                <w:szCs w:val="16"/>
                <w:lang w:eastAsia="en-US"/>
              </w:rPr>
            </w:pPr>
            <w:r w:rsidRPr="009E4B9D">
              <w:rPr>
                <w:rFonts w:ascii="Arial" w:hAnsi="Arial"/>
                <w:sz w:val="16"/>
                <w:szCs w:val="16"/>
                <w:lang w:eastAsia="en-US"/>
              </w:rPr>
              <w:t>27.5</w:t>
            </w:r>
          </w:p>
        </w:tc>
        <w:tc>
          <w:tcPr>
            <w:tcW w:w="1195" w:type="dxa"/>
            <w:tcBorders>
              <w:top w:val="nil"/>
              <w:left w:val="nil"/>
              <w:bottom w:val="nil"/>
              <w:right w:val="nil"/>
            </w:tcBorders>
            <w:shd w:val="clear" w:color="auto" w:fill="auto"/>
            <w:noWrap/>
            <w:vAlign w:val="bottom"/>
          </w:tcPr>
          <w:p w14:paraId="2551AA58" w14:textId="77777777" w:rsidR="00F600B5" w:rsidRPr="009E4B9D" w:rsidRDefault="00F600B5" w:rsidP="00F600B5">
            <w:pPr>
              <w:spacing w:before="0" w:after="0" w:line="276" w:lineRule="auto"/>
              <w:jc w:val="right"/>
              <w:rPr>
                <w:rFonts w:ascii="Arial" w:hAnsi="Arial"/>
                <w:sz w:val="16"/>
                <w:szCs w:val="16"/>
                <w:lang w:eastAsia="en-US"/>
              </w:rPr>
            </w:pPr>
            <w:r w:rsidRPr="009E4B9D">
              <w:rPr>
                <w:rFonts w:ascii="Arial" w:hAnsi="Arial"/>
                <w:sz w:val="16"/>
                <w:szCs w:val="16"/>
                <w:lang w:eastAsia="en-US"/>
              </w:rPr>
              <w:t>2.2</w:t>
            </w:r>
          </w:p>
        </w:tc>
      </w:tr>
      <w:tr w:rsidR="00F600B5" w:rsidRPr="00BA1388" w14:paraId="5988403D" w14:textId="77777777" w:rsidTr="00F600B5">
        <w:trPr>
          <w:trHeight w:val="227"/>
        </w:trPr>
        <w:tc>
          <w:tcPr>
            <w:tcW w:w="3085" w:type="dxa"/>
            <w:tcBorders>
              <w:top w:val="nil"/>
              <w:left w:val="nil"/>
              <w:bottom w:val="nil"/>
              <w:right w:val="nil"/>
            </w:tcBorders>
            <w:shd w:val="clear" w:color="FFFFFF" w:fill="auto"/>
            <w:vAlign w:val="bottom"/>
          </w:tcPr>
          <w:p w14:paraId="3DEDFD80" w14:textId="77777777" w:rsidR="00F600B5" w:rsidRPr="008659FE" w:rsidRDefault="00F600B5" w:rsidP="00F600B5">
            <w:pPr>
              <w:spacing w:before="0" w:after="0" w:line="276" w:lineRule="auto"/>
              <w:ind w:left="179"/>
              <w:rPr>
                <w:rFonts w:ascii="Arial" w:hAnsi="Arial"/>
                <w:sz w:val="16"/>
                <w:szCs w:val="16"/>
                <w:lang w:val="en-AU"/>
              </w:rPr>
            </w:pPr>
            <w:r w:rsidRPr="008659FE">
              <w:rPr>
                <w:rFonts w:ascii="Arial" w:hAnsi="Arial"/>
                <w:sz w:val="16"/>
                <w:szCs w:val="16"/>
                <w:lang w:val="en-AU"/>
              </w:rPr>
              <w:t xml:space="preserve">HMAS </w:t>
            </w:r>
            <w:r w:rsidRPr="008659FE">
              <w:rPr>
                <w:rFonts w:ascii="Arial" w:hAnsi="Arial"/>
                <w:i/>
                <w:sz w:val="16"/>
                <w:szCs w:val="16"/>
                <w:lang w:val="en-AU"/>
              </w:rPr>
              <w:t>Coonawarra</w:t>
            </w:r>
          </w:p>
        </w:tc>
        <w:tc>
          <w:tcPr>
            <w:tcW w:w="1790" w:type="dxa"/>
            <w:tcBorders>
              <w:top w:val="nil"/>
              <w:left w:val="nil"/>
              <w:bottom w:val="nil"/>
              <w:right w:val="nil"/>
            </w:tcBorders>
            <w:shd w:val="clear" w:color="FFFFFF" w:fill="auto"/>
            <w:vAlign w:val="bottom"/>
          </w:tcPr>
          <w:p w14:paraId="6E22FDD9" w14:textId="77777777" w:rsidR="00F600B5" w:rsidRPr="008659FE" w:rsidRDefault="00F600B5" w:rsidP="00F600B5">
            <w:pPr>
              <w:spacing w:before="0" w:after="0" w:line="276" w:lineRule="auto"/>
              <w:jc w:val="right"/>
              <w:rPr>
                <w:rFonts w:ascii="Arial" w:hAnsi="Arial"/>
                <w:sz w:val="16"/>
                <w:szCs w:val="16"/>
                <w:lang w:val="en-AU"/>
              </w:rPr>
            </w:pPr>
            <w:r w:rsidRPr="008659FE">
              <w:rPr>
                <w:rFonts w:ascii="Arial" w:hAnsi="Arial"/>
                <w:sz w:val="16"/>
                <w:szCs w:val="16"/>
                <w:lang w:val="en-AU"/>
              </w:rPr>
              <w:t>NT - Solomon</w:t>
            </w:r>
          </w:p>
        </w:tc>
        <w:tc>
          <w:tcPr>
            <w:tcW w:w="1191" w:type="dxa"/>
            <w:tcBorders>
              <w:top w:val="nil"/>
              <w:left w:val="nil"/>
              <w:bottom w:val="nil"/>
              <w:right w:val="nil"/>
            </w:tcBorders>
            <w:shd w:val="clear" w:color="FFFFFF" w:fill="auto"/>
            <w:noWrap/>
            <w:vAlign w:val="bottom"/>
          </w:tcPr>
          <w:p w14:paraId="4F7172AE" w14:textId="77777777" w:rsidR="00F600B5" w:rsidRPr="00353F8D" w:rsidRDefault="00F600B5" w:rsidP="00F600B5">
            <w:pPr>
              <w:spacing w:before="0" w:after="0" w:line="276" w:lineRule="auto"/>
              <w:jc w:val="right"/>
              <w:rPr>
                <w:rFonts w:ascii="Arial" w:hAnsi="Arial"/>
                <w:b/>
                <w:sz w:val="16"/>
                <w:szCs w:val="16"/>
                <w:lang w:val="en-AU"/>
              </w:rPr>
            </w:pPr>
          </w:p>
        </w:tc>
        <w:tc>
          <w:tcPr>
            <w:tcW w:w="1413" w:type="dxa"/>
            <w:tcBorders>
              <w:top w:val="nil"/>
              <w:left w:val="nil"/>
              <w:bottom w:val="nil"/>
              <w:right w:val="nil"/>
            </w:tcBorders>
            <w:shd w:val="clear" w:color="auto" w:fill="auto"/>
            <w:noWrap/>
            <w:vAlign w:val="bottom"/>
          </w:tcPr>
          <w:p w14:paraId="4E4958FF" w14:textId="77777777" w:rsidR="00F600B5" w:rsidRPr="009E4B9D" w:rsidRDefault="00F600B5" w:rsidP="00F600B5">
            <w:pPr>
              <w:spacing w:before="0" w:after="0" w:line="276" w:lineRule="auto"/>
              <w:jc w:val="right"/>
              <w:rPr>
                <w:rFonts w:ascii="Arial" w:hAnsi="Arial"/>
                <w:sz w:val="16"/>
                <w:szCs w:val="16"/>
                <w:lang w:eastAsia="en-US"/>
              </w:rPr>
            </w:pPr>
            <w:r w:rsidRPr="009E4B9D">
              <w:rPr>
                <w:rFonts w:ascii="Arial" w:hAnsi="Arial"/>
                <w:sz w:val="16"/>
                <w:szCs w:val="16"/>
                <w:lang w:eastAsia="en-US"/>
              </w:rPr>
              <w:t>2.3</w:t>
            </w:r>
          </w:p>
        </w:tc>
        <w:tc>
          <w:tcPr>
            <w:tcW w:w="1195" w:type="dxa"/>
            <w:tcBorders>
              <w:top w:val="nil"/>
              <w:left w:val="nil"/>
              <w:bottom w:val="nil"/>
              <w:right w:val="nil"/>
            </w:tcBorders>
            <w:shd w:val="clear" w:color="auto" w:fill="auto"/>
            <w:noWrap/>
            <w:vAlign w:val="bottom"/>
          </w:tcPr>
          <w:p w14:paraId="6EE81C08" w14:textId="77777777" w:rsidR="00F600B5" w:rsidRPr="009E4B9D" w:rsidRDefault="00F600B5" w:rsidP="00F600B5">
            <w:pPr>
              <w:spacing w:before="0" w:after="0" w:line="276" w:lineRule="auto"/>
              <w:jc w:val="right"/>
              <w:rPr>
                <w:rFonts w:ascii="Arial" w:hAnsi="Arial"/>
                <w:sz w:val="16"/>
                <w:szCs w:val="16"/>
                <w:lang w:eastAsia="en-US"/>
              </w:rPr>
            </w:pPr>
            <w:r w:rsidRPr="009E4B9D">
              <w:rPr>
                <w:rFonts w:ascii="Arial" w:hAnsi="Arial"/>
                <w:sz w:val="16"/>
                <w:szCs w:val="16"/>
                <w:lang w:eastAsia="en-US"/>
              </w:rPr>
              <w:t>1.0</w:t>
            </w:r>
          </w:p>
        </w:tc>
      </w:tr>
      <w:tr w:rsidR="00F600B5" w:rsidRPr="00BA1388" w14:paraId="23F81541" w14:textId="77777777" w:rsidTr="00F600B5">
        <w:trPr>
          <w:trHeight w:val="227"/>
        </w:trPr>
        <w:tc>
          <w:tcPr>
            <w:tcW w:w="3085" w:type="dxa"/>
            <w:tcBorders>
              <w:top w:val="nil"/>
              <w:left w:val="nil"/>
              <w:bottom w:val="nil"/>
              <w:right w:val="nil"/>
            </w:tcBorders>
            <w:shd w:val="clear" w:color="FFFFFF" w:fill="auto"/>
            <w:vAlign w:val="bottom"/>
          </w:tcPr>
          <w:p w14:paraId="5B153C33" w14:textId="77777777" w:rsidR="00F600B5" w:rsidRPr="008659FE" w:rsidRDefault="00F600B5" w:rsidP="00F600B5">
            <w:pPr>
              <w:spacing w:before="0" w:after="0" w:line="276" w:lineRule="auto"/>
              <w:ind w:left="179"/>
              <w:rPr>
                <w:rFonts w:ascii="Arial" w:hAnsi="Arial"/>
                <w:sz w:val="16"/>
                <w:szCs w:val="16"/>
                <w:lang w:val="en-AU"/>
              </w:rPr>
            </w:pPr>
            <w:r w:rsidRPr="008659FE">
              <w:rPr>
                <w:rFonts w:ascii="Arial" w:hAnsi="Arial"/>
                <w:sz w:val="16"/>
                <w:szCs w:val="16"/>
                <w:lang w:val="en-AU"/>
              </w:rPr>
              <w:t xml:space="preserve">HMAS </w:t>
            </w:r>
            <w:r w:rsidRPr="008659FE">
              <w:rPr>
                <w:rFonts w:ascii="Arial" w:hAnsi="Arial"/>
                <w:i/>
                <w:sz w:val="16"/>
                <w:szCs w:val="16"/>
                <w:lang w:val="en-AU"/>
              </w:rPr>
              <w:t>Cairns</w:t>
            </w:r>
          </w:p>
        </w:tc>
        <w:tc>
          <w:tcPr>
            <w:tcW w:w="1790" w:type="dxa"/>
            <w:tcBorders>
              <w:top w:val="nil"/>
              <w:left w:val="nil"/>
              <w:bottom w:val="nil"/>
              <w:right w:val="nil"/>
            </w:tcBorders>
            <w:shd w:val="clear" w:color="FFFFFF" w:fill="auto"/>
            <w:vAlign w:val="bottom"/>
          </w:tcPr>
          <w:p w14:paraId="58B35AC6" w14:textId="77777777" w:rsidR="00F600B5" w:rsidRPr="008659FE" w:rsidRDefault="00F600B5" w:rsidP="00F600B5">
            <w:pPr>
              <w:spacing w:before="0" w:after="0" w:line="276" w:lineRule="auto"/>
              <w:jc w:val="right"/>
              <w:rPr>
                <w:rFonts w:ascii="Arial" w:hAnsi="Arial"/>
                <w:sz w:val="16"/>
                <w:szCs w:val="16"/>
                <w:lang w:val="en-AU"/>
              </w:rPr>
            </w:pPr>
            <w:r w:rsidRPr="008659FE">
              <w:rPr>
                <w:rFonts w:ascii="Arial" w:hAnsi="Arial"/>
                <w:sz w:val="16"/>
                <w:szCs w:val="16"/>
                <w:lang w:val="en-AU"/>
              </w:rPr>
              <w:t>QLD - Leichardt</w:t>
            </w:r>
          </w:p>
        </w:tc>
        <w:tc>
          <w:tcPr>
            <w:tcW w:w="1191" w:type="dxa"/>
            <w:tcBorders>
              <w:top w:val="nil"/>
              <w:left w:val="nil"/>
              <w:bottom w:val="nil"/>
              <w:right w:val="nil"/>
            </w:tcBorders>
            <w:shd w:val="clear" w:color="FFFFFF" w:fill="auto"/>
            <w:noWrap/>
            <w:vAlign w:val="bottom"/>
          </w:tcPr>
          <w:p w14:paraId="73AE4D7F" w14:textId="77777777" w:rsidR="00F600B5" w:rsidRPr="00353F8D" w:rsidRDefault="00F600B5" w:rsidP="00F600B5">
            <w:pPr>
              <w:spacing w:before="0" w:after="0" w:line="276" w:lineRule="auto"/>
              <w:jc w:val="right"/>
              <w:rPr>
                <w:rFonts w:ascii="Arial" w:hAnsi="Arial"/>
                <w:b/>
                <w:sz w:val="16"/>
                <w:szCs w:val="16"/>
                <w:lang w:val="en-AU"/>
              </w:rPr>
            </w:pPr>
          </w:p>
        </w:tc>
        <w:tc>
          <w:tcPr>
            <w:tcW w:w="1413" w:type="dxa"/>
            <w:tcBorders>
              <w:top w:val="nil"/>
              <w:left w:val="nil"/>
              <w:bottom w:val="nil"/>
              <w:right w:val="nil"/>
            </w:tcBorders>
            <w:shd w:val="clear" w:color="auto" w:fill="auto"/>
            <w:noWrap/>
            <w:vAlign w:val="bottom"/>
          </w:tcPr>
          <w:p w14:paraId="00DFECBD" w14:textId="77777777" w:rsidR="00F600B5" w:rsidRPr="009E4B9D" w:rsidRDefault="00F600B5" w:rsidP="00F600B5">
            <w:pPr>
              <w:spacing w:before="0" w:after="0" w:line="276" w:lineRule="auto"/>
              <w:jc w:val="right"/>
              <w:rPr>
                <w:rFonts w:ascii="Arial" w:hAnsi="Arial"/>
                <w:sz w:val="16"/>
                <w:szCs w:val="16"/>
                <w:lang w:eastAsia="en-US"/>
              </w:rPr>
            </w:pPr>
            <w:r w:rsidRPr="009E4B9D">
              <w:rPr>
                <w:rFonts w:ascii="Arial" w:hAnsi="Arial"/>
                <w:sz w:val="16"/>
                <w:szCs w:val="16"/>
                <w:lang w:eastAsia="en-US"/>
              </w:rPr>
              <w:t>0.3</w:t>
            </w:r>
          </w:p>
        </w:tc>
        <w:tc>
          <w:tcPr>
            <w:tcW w:w="1195" w:type="dxa"/>
            <w:tcBorders>
              <w:top w:val="nil"/>
              <w:left w:val="nil"/>
              <w:bottom w:val="nil"/>
              <w:right w:val="nil"/>
            </w:tcBorders>
            <w:shd w:val="clear" w:color="auto" w:fill="auto"/>
            <w:noWrap/>
            <w:vAlign w:val="bottom"/>
          </w:tcPr>
          <w:p w14:paraId="2989BBD8" w14:textId="77777777" w:rsidR="00F600B5" w:rsidRPr="009E4B9D" w:rsidRDefault="00F600B5" w:rsidP="00F600B5">
            <w:pPr>
              <w:spacing w:before="0" w:after="0" w:line="276" w:lineRule="auto"/>
              <w:jc w:val="right"/>
              <w:rPr>
                <w:rFonts w:ascii="Arial" w:hAnsi="Arial"/>
                <w:sz w:val="16"/>
                <w:szCs w:val="16"/>
                <w:lang w:eastAsia="en-US"/>
              </w:rPr>
            </w:pPr>
            <w:r w:rsidRPr="009E4B9D">
              <w:rPr>
                <w:rFonts w:ascii="Arial" w:hAnsi="Arial"/>
                <w:sz w:val="16"/>
                <w:szCs w:val="16"/>
                <w:lang w:eastAsia="en-US"/>
              </w:rPr>
              <w:t>0.5</w:t>
            </w:r>
          </w:p>
        </w:tc>
      </w:tr>
      <w:tr w:rsidR="00F600B5" w:rsidRPr="00BA1388" w14:paraId="7B786FF9" w14:textId="77777777" w:rsidTr="00F600B5">
        <w:trPr>
          <w:trHeight w:val="227"/>
        </w:trPr>
        <w:tc>
          <w:tcPr>
            <w:tcW w:w="3085" w:type="dxa"/>
            <w:tcBorders>
              <w:top w:val="nil"/>
              <w:left w:val="nil"/>
              <w:bottom w:val="single" w:sz="4" w:space="0" w:color="auto"/>
              <w:right w:val="nil"/>
            </w:tcBorders>
            <w:shd w:val="clear" w:color="FFFFFF" w:fill="auto"/>
            <w:vAlign w:val="bottom"/>
          </w:tcPr>
          <w:p w14:paraId="7F541E09" w14:textId="77777777" w:rsidR="00F600B5" w:rsidRPr="008659FE" w:rsidRDefault="00F600B5" w:rsidP="00F600B5">
            <w:pPr>
              <w:spacing w:before="0" w:after="0" w:line="276" w:lineRule="auto"/>
              <w:rPr>
                <w:rFonts w:ascii="Arial" w:hAnsi="Arial"/>
                <w:b/>
                <w:bCs/>
                <w:sz w:val="16"/>
                <w:szCs w:val="16"/>
                <w:lang w:val="en-AU"/>
              </w:rPr>
            </w:pPr>
            <w:r w:rsidRPr="008659FE">
              <w:rPr>
                <w:rFonts w:ascii="Arial" w:hAnsi="Arial"/>
                <w:b/>
                <w:bCs/>
                <w:sz w:val="16"/>
                <w:szCs w:val="16"/>
                <w:lang w:val="en-AU"/>
              </w:rPr>
              <w:t>Total</w:t>
            </w:r>
          </w:p>
        </w:tc>
        <w:tc>
          <w:tcPr>
            <w:tcW w:w="1790" w:type="dxa"/>
            <w:tcBorders>
              <w:top w:val="nil"/>
              <w:left w:val="nil"/>
              <w:bottom w:val="single" w:sz="4" w:space="0" w:color="auto"/>
              <w:right w:val="nil"/>
            </w:tcBorders>
            <w:shd w:val="clear" w:color="FFFFFF" w:fill="auto"/>
            <w:vAlign w:val="bottom"/>
          </w:tcPr>
          <w:p w14:paraId="59114966" w14:textId="77777777" w:rsidR="00F600B5" w:rsidRPr="008659FE" w:rsidRDefault="00F600B5" w:rsidP="00F600B5">
            <w:pPr>
              <w:spacing w:before="0" w:after="0" w:line="276" w:lineRule="auto"/>
              <w:jc w:val="right"/>
              <w:rPr>
                <w:rFonts w:ascii="Arial" w:hAnsi="Arial"/>
                <w:b/>
                <w:bCs/>
                <w:sz w:val="16"/>
                <w:szCs w:val="16"/>
                <w:lang w:val="en-AU"/>
              </w:rPr>
            </w:pPr>
          </w:p>
        </w:tc>
        <w:tc>
          <w:tcPr>
            <w:tcW w:w="1191" w:type="dxa"/>
            <w:tcBorders>
              <w:top w:val="nil"/>
              <w:left w:val="nil"/>
              <w:bottom w:val="single" w:sz="4" w:space="0" w:color="auto"/>
              <w:right w:val="nil"/>
            </w:tcBorders>
            <w:shd w:val="clear" w:color="FFFFFF" w:fill="auto"/>
            <w:noWrap/>
            <w:vAlign w:val="bottom"/>
          </w:tcPr>
          <w:p w14:paraId="0739B589" w14:textId="77777777" w:rsidR="00F600B5" w:rsidRPr="00353F8D" w:rsidRDefault="00F600B5" w:rsidP="00F600B5">
            <w:pPr>
              <w:spacing w:before="0" w:after="0" w:line="276" w:lineRule="auto"/>
              <w:jc w:val="right"/>
              <w:rPr>
                <w:rFonts w:ascii="Arial" w:hAnsi="Arial"/>
                <w:b/>
                <w:bCs/>
                <w:sz w:val="16"/>
                <w:szCs w:val="16"/>
                <w:lang w:val="en-AU"/>
              </w:rPr>
            </w:pPr>
            <w:r w:rsidRPr="00353F8D">
              <w:rPr>
                <w:rFonts w:ascii="Arial" w:hAnsi="Arial"/>
                <w:b/>
                <w:sz w:val="16"/>
                <w:szCs w:val="16"/>
                <w:lang w:val="en-AU"/>
              </w:rPr>
              <w:t>56.2</w:t>
            </w:r>
          </w:p>
        </w:tc>
        <w:tc>
          <w:tcPr>
            <w:tcW w:w="1413" w:type="dxa"/>
            <w:tcBorders>
              <w:top w:val="nil"/>
              <w:left w:val="nil"/>
              <w:bottom w:val="single" w:sz="4" w:space="0" w:color="auto"/>
              <w:right w:val="nil"/>
            </w:tcBorders>
            <w:shd w:val="clear" w:color="auto" w:fill="auto"/>
            <w:noWrap/>
            <w:vAlign w:val="bottom"/>
          </w:tcPr>
          <w:p w14:paraId="4BF5F653" w14:textId="77777777" w:rsidR="00F600B5" w:rsidRPr="009E4B9D" w:rsidRDefault="00F600B5" w:rsidP="00F600B5">
            <w:pPr>
              <w:spacing w:before="0" w:after="0" w:line="276" w:lineRule="auto"/>
              <w:jc w:val="right"/>
              <w:rPr>
                <w:rFonts w:ascii="Arial" w:hAnsi="Arial"/>
                <w:b/>
                <w:sz w:val="16"/>
                <w:szCs w:val="16"/>
                <w:lang w:eastAsia="en-US"/>
              </w:rPr>
            </w:pPr>
            <w:r w:rsidRPr="009E4B9D">
              <w:rPr>
                <w:rFonts w:ascii="Arial" w:hAnsi="Arial"/>
                <w:b/>
                <w:sz w:val="16"/>
                <w:szCs w:val="16"/>
                <w:lang w:eastAsia="en-US"/>
              </w:rPr>
              <w:t>36.2</w:t>
            </w:r>
          </w:p>
        </w:tc>
        <w:tc>
          <w:tcPr>
            <w:tcW w:w="1195" w:type="dxa"/>
            <w:tcBorders>
              <w:top w:val="nil"/>
              <w:left w:val="nil"/>
              <w:bottom w:val="single" w:sz="4" w:space="0" w:color="auto"/>
              <w:right w:val="nil"/>
            </w:tcBorders>
            <w:shd w:val="clear" w:color="auto" w:fill="auto"/>
            <w:noWrap/>
            <w:vAlign w:val="bottom"/>
          </w:tcPr>
          <w:p w14:paraId="35F7B8C7" w14:textId="77777777" w:rsidR="00F600B5" w:rsidRPr="009E4B9D" w:rsidRDefault="00F600B5" w:rsidP="00F600B5">
            <w:pPr>
              <w:spacing w:before="0" w:after="0" w:line="276" w:lineRule="auto"/>
              <w:jc w:val="right"/>
              <w:rPr>
                <w:rFonts w:ascii="Arial" w:hAnsi="Arial"/>
                <w:b/>
                <w:sz w:val="16"/>
                <w:szCs w:val="16"/>
                <w:lang w:eastAsia="en-US"/>
              </w:rPr>
            </w:pPr>
            <w:r w:rsidRPr="009E4B9D">
              <w:rPr>
                <w:rFonts w:ascii="Arial" w:hAnsi="Arial"/>
                <w:b/>
                <w:sz w:val="16"/>
                <w:szCs w:val="16"/>
                <w:lang w:eastAsia="en-US"/>
              </w:rPr>
              <w:t>3.7</w:t>
            </w:r>
          </w:p>
        </w:tc>
      </w:tr>
      <w:tr w:rsidR="00F600B5" w:rsidRPr="00BA1388" w14:paraId="15735D42" w14:textId="77777777" w:rsidTr="00F600B5">
        <w:trPr>
          <w:trHeight w:val="227"/>
        </w:trPr>
        <w:tc>
          <w:tcPr>
            <w:tcW w:w="3085" w:type="dxa"/>
            <w:tcBorders>
              <w:top w:val="single" w:sz="4" w:space="0" w:color="auto"/>
              <w:left w:val="nil"/>
              <w:bottom w:val="nil"/>
              <w:right w:val="nil"/>
            </w:tcBorders>
            <w:shd w:val="clear" w:color="FFFFFF" w:fill="auto"/>
            <w:vAlign w:val="bottom"/>
          </w:tcPr>
          <w:p w14:paraId="566CA0D0" w14:textId="77777777" w:rsidR="00F600B5" w:rsidRPr="008659FE" w:rsidRDefault="00F600B5" w:rsidP="00F600B5">
            <w:pPr>
              <w:spacing w:before="0" w:after="0" w:line="276" w:lineRule="auto"/>
              <w:rPr>
                <w:rFonts w:ascii="Arial" w:hAnsi="Arial"/>
                <w:b/>
                <w:bCs/>
                <w:sz w:val="16"/>
                <w:szCs w:val="16"/>
                <w:lang w:val="en-AU"/>
              </w:rPr>
            </w:pPr>
            <w:r>
              <w:rPr>
                <w:rFonts w:ascii="Arial" w:hAnsi="Arial"/>
                <w:b/>
                <w:bCs/>
                <w:sz w:val="16"/>
                <w:szCs w:val="16"/>
                <w:lang w:val="en-AU"/>
              </w:rPr>
              <w:t>Guided Weapons Explosive Ordnance</w:t>
            </w:r>
            <w:r w:rsidRPr="008659FE">
              <w:rPr>
                <w:rFonts w:ascii="Arial" w:hAnsi="Arial"/>
                <w:b/>
                <w:bCs/>
                <w:sz w:val="16"/>
                <w:szCs w:val="16"/>
                <w:lang w:val="en-AU"/>
              </w:rPr>
              <w:t xml:space="preserve"> Program Accelerated Storage</w:t>
            </w:r>
          </w:p>
        </w:tc>
        <w:tc>
          <w:tcPr>
            <w:tcW w:w="1790" w:type="dxa"/>
            <w:tcBorders>
              <w:top w:val="single" w:sz="4" w:space="0" w:color="auto"/>
              <w:left w:val="nil"/>
              <w:bottom w:val="nil"/>
              <w:right w:val="nil"/>
            </w:tcBorders>
            <w:shd w:val="clear" w:color="FFFFFF" w:fill="auto"/>
            <w:vAlign w:val="bottom"/>
          </w:tcPr>
          <w:p w14:paraId="2062210F" w14:textId="77777777" w:rsidR="00F600B5" w:rsidRPr="008659FE" w:rsidRDefault="00F600B5" w:rsidP="00F600B5">
            <w:pPr>
              <w:spacing w:before="0" w:after="0" w:line="276" w:lineRule="auto"/>
              <w:jc w:val="right"/>
              <w:rPr>
                <w:rFonts w:ascii="Arial" w:hAnsi="Arial"/>
                <w:sz w:val="16"/>
                <w:szCs w:val="16"/>
                <w:lang w:val="en-AU"/>
              </w:rPr>
            </w:pPr>
          </w:p>
        </w:tc>
        <w:tc>
          <w:tcPr>
            <w:tcW w:w="1191" w:type="dxa"/>
            <w:tcBorders>
              <w:top w:val="single" w:sz="4" w:space="0" w:color="auto"/>
              <w:left w:val="nil"/>
              <w:bottom w:val="nil"/>
              <w:right w:val="nil"/>
            </w:tcBorders>
            <w:shd w:val="clear" w:color="FFFFFF" w:fill="auto"/>
            <w:noWrap/>
            <w:vAlign w:val="bottom"/>
          </w:tcPr>
          <w:p w14:paraId="6F9AF997" w14:textId="77777777" w:rsidR="00F600B5" w:rsidRPr="00353F8D" w:rsidRDefault="00F600B5" w:rsidP="00F600B5">
            <w:pPr>
              <w:spacing w:before="0" w:after="0" w:line="276" w:lineRule="auto"/>
              <w:jc w:val="right"/>
              <w:rPr>
                <w:rFonts w:ascii="Arial" w:hAnsi="Arial"/>
                <w:b/>
                <w:bCs/>
                <w:sz w:val="16"/>
                <w:szCs w:val="16"/>
                <w:lang w:val="en-AU"/>
              </w:rPr>
            </w:pPr>
          </w:p>
        </w:tc>
        <w:tc>
          <w:tcPr>
            <w:tcW w:w="1413" w:type="dxa"/>
            <w:tcBorders>
              <w:top w:val="single" w:sz="4" w:space="0" w:color="auto"/>
              <w:left w:val="nil"/>
              <w:bottom w:val="nil"/>
              <w:right w:val="nil"/>
            </w:tcBorders>
            <w:shd w:val="clear" w:color="auto" w:fill="auto"/>
            <w:noWrap/>
            <w:vAlign w:val="bottom"/>
          </w:tcPr>
          <w:p w14:paraId="2765F817" w14:textId="77777777" w:rsidR="00F600B5" w:rsidRPr="009E4B9D" w:rsidRDefault="00F600B5" w:rsidP="00F600B5">
            <w:pPr>
              <w:spacing w:before="0" w:after="0" w:line="276" w:lineRule="auto"/>
              <w:jc w:val="right"/>
              <w:rPr>
                <w:rFonts w:ascii="Arial" w:hAnsi="Arial"/>
                <w:b/>
                <w:sz w:val="16"/>
                <w:szCs w:val="16"/>
                <w:lang w:eastAsia="en-US"/>
              </w:rPr>
            </w:pPr>
          </w:p>
        </w:tc>
        <w:tc>
          <w:tcPr>
            <w:tcW w:w="1195" w:type="dxa"/>
            <w:tcBorders>
              <w:top w:val="single" w:sz="4" w:space="0" w:color="auto"/>
              <w:left w:val="nil"/>
              <w:bottom w:val="nil"/>
              <w:right w:val="nil"/>
            </w:tcBorders>
            <w:shd w:val="clear" w:color="auto" w:fill="auto"/>
            <w:noWrap/>
            <w:vAlign w:val="bottom"/>
          </w:tcPr>
          <w:p w14:paraId="0DEB42EE" w14:textId="77777777" w:rsidR="00F600B5" w:rsidRPr="009E4B9D" w:rsidRDefault="00F600B5" w:rsidP="00F600B5">
            <w:pPr>
              <w:spacing w:before="0" w:after="0" w:line="276" w:lineRule="auto"/>
              <w:jc w:val="right"/>
              <w:rPr>
                <w:rFonts w:ascii="Arial" w:hAnsi="Arial"/>
                <w:b/>
                <w:sz w:val="16"/>
                <w:szCs w:val="16"/>
                <w:lang w:eastAsia="en-US"/>
              </w:rPr>
            </w:pPr>
          </w:p>
        </w:tc>
      </w:tr>
      <w:tr w:rsidR="00F600B5" w:rsidRPr="00BA1388" w14:paraId="0DFB00A8" w14:textId="77777777" w:rsidTr="00F600B5">
        <w:trPr>
          <w:trHeight w:val="227"/>
        </w:trPr>
        <w:tc>
          <w:tcPr>
            <w:tcW w:w="3085" w:type="dxa"/>
            <w:tcBorders>
              <w:top w:val="nil"/>
              <w:left w:val="nil"/>
              <w:bottom w:val="single" w:sz="4" w:space="0" w:color="auto"/>
              <w:right w:val="nil"/>
            </w:tcBorders>
            <w:shd w:val="clear" w:color="auto" w:fill="auto"/>
            <w:vAlign w:val="bottom"/>
          </w:tcPr>
          <w:p w14:paraId="05CD7AAE" w14:textId="77777777" w:rsidR="00F600B5" w:rsidRPr="008659FE" w:rsidRDefault="00F600B5" w:rsidP="00F600B5">
            <w:pPr>
              <w:spacing w:before="0" w:after="0" w:line="276" w:lineRule="auto"/>
              <w:ind w:left="179"/>
              <w:rPr>
                <w:rFonts w:ascii="Arial" w:hAnsi="Arial"/>
                <w:b/>
                <w:bCs/>
                <w:sz w:val="16"/>
                <w:szCs w:val="16"/>
                <w:lang w:val="en-AU"/>
              </w:rPr>
            </w:pPr>
            <w:r w:rsidRPr="008659FE">
              <w:rPr>
                <w:rFonts w:ascii="Arial" w:hAnsi="Arial"/>
                <w:sz w:val="16"/>
                <w:szCs w:val="16"/>
                <w:lang w:val="en-AU"/>
              </w:rPr>
              <w:t>Defence Establishment Myambat</w:t>
            </w:r>
          </w:p>
        </w:tc>
        <w:tc>
          <w:tcPr>
            <w:tcW w:w="1790" w:type="dxa"/>
            <w:tcBorders>
              <w:top w:val="nil"/>
              <w:left w:val="nil"/>
              <w:bottom w:val="single" w:sz="4" w:space="0" w:color="auto"/>
              <w:right w:val="nil"/>
            </w:tcBorders>
            <w:shd w:val="clear" w:color="FFFFFF" w:fill="auto"/>
            <w:vAlign w:val="bottom"/>
          </w:tcPr>
          <w:p w14:paraId="36E8268D" w14:textId="77777777" w:rsidR="00F600B5" w:rsidRPr="008659FE" w:rsidRDefault="00F600B5" w:rsidP="00F600B5">
            <w:pPr>
              <w:spacing w:before="0" w:after="0" w:line="276" w:lineRule="auto"/>
              <w:jc w:val="right"/>
              <w:rPr>
                <w:rFonts w:ascii="Arial" w:hAnsi="Arial"/>
                <w:sz w:val="16"/>
                <w:szCs w:val="16"/>
                <w:lang w:val="en-AU"/>
              </w:rPr>
            </w:pPr>
            <w:r w:rsidRPr="008659FE">
              <w:rPr>
                <w:rFonts w:ascii="Arial" w:hAnsi="Arial"/>
                <w:sz w:val="16"/>
                <w:szCs w:val="16"/>
                <w:lang w:val="en-AU"/>
              </w:rPr>
              <w:t>NSW - Hunter</w:t>
            </w:r>
          </w:p>
        </w:tc>
        <w:tc>
          <w:tcPr>
            <w:tcW w:w="1191" w:type="dxa"/>
            <w:tcBorders>
              <w:top w:val="nil"/>
              <w:left w:val="nil"/>
              <w:bottom w:val="single" w:sz="4" w:space="0" w:color="auto"/>
              <w:right w:val="nil"/>
            </w:tcBorders>
            <w:shd w:val="clear" w:color="auto" w:fill="auto"/>
            <w:noWrap/>
            <w:vAlign w:val="bottom"/>
          </w:tcPr>
          <w:p w14:paraId="031BB1B0" w14:textId="77777777" w:rsidR="00F600B5" w:rsidRPr="00353F8D" w:rsidRDefault="00F600B5" w:rsidP="00F600B5">
            <w:pPr>
              <w:spacing w:before="0" w:after="0" w:line="276" w:lineRule="auto"/>
              <w:jc w:val="right"/>
              <w:rPr>
                <w:rFonts w:ascii="Arial" w:hAnsi="Arial"/>
                <w:b/>
                <w:sz w:val="16"/>
                <w:szCs w:val="16"/>
                <w:lang w:val="en-AU"/>
              </w:rPr>
            </w:pPr>
            <w:r w:rsidRPr="00353F8D">
              <w:rPr>
                <w:rFonts w:ascii="Arial" w:hAnsi="Arial"/>
                <w:b/>
                <w:sz w:val="16"/>
                <w:szCs w:val="16"/>
                <w:lang w:val="en-AU"/>
              </w:rPr>
              <w:t>52.2</w:t>
            </w:r>
          </w:p>
        </w:tc>
        <w:tc>
          <w:tcPr>
            <w:tcW w:w="1413" w:type="dxa"/>
            <w:tcBorders>
              <w:top w:val="nil"/>
              <w:left w:val="nil"/>
              <w:bottom w:val="single" w:sz="4" w:space="0" w:color="auto"/>
              <w:right w:val="nil"/>
            </w:tcBorders>
            <w:shd w:val="clear" w:color="auto" w:fill="auto"/>
            <w:noWrap/>
            <w:vAlign w:val="bottom"/>
          </w:tcPr>
          <w:p w14:paraId="587C64D5" w14:textId="77777777" w:rsidR="00F600B5" w:rsidRPr="009E4B9D" w:rsidRDefault="00F600B5" w:rsidP="00F600B5">
            <w:pPr>
              <w:spacing w:before="0" w:after="0" w:line="276" w:lineRule="auto"/>
              <w:jc w:val="right"/>
              <w:rPr>
                <w:rFonts w:ascii="Arial" w:hAnsi="Arial"/>
                <w:b/>
                <w:sz w:val="16"/>
                <w:szCs w:val="16"/>
                <w:lang w:eastAsia="en-US"/>
              </w:rPr>
            </w:pPr>
            <w:r w:rsidRPr="009E4B9D">
              <w:rPr>
                <w:rFonts w:ascii="Arial" w:hAnsi="Arial"/>
                <w:b/>
                <w:sz w:val="16"/>
                <w:szCs w:val="16"/>
                <w:lang w:eastAsia="en-US"/>
              </w:rPr>
              <w:t>8.0</w:t>
            </w:r>
          </w:p>
        </w:tc>
        <w:tc>
          <w:tcPr>
            <w:tcW w:w="1195" w:type="dxa"/>
            <w:tcBorders>
              <w:top w:val="nil"/>
              <w:left w:val="nil"/>
              <w:bottom w:val="single" w:sz="4" w:space="0" w:color="auto"/>
              <w:right w:val="nil"/>
            </w:tcBorders>
            <w:shd w:val="clear" w:color="auto" w:fill="auto"/>
            <w:noWrap/>
            <w:vAlign w:val="bottom"/>
          </w:tcPr>
          <w:p w14:paraId="37352C8D" w14:textId="77777777" w:rsidR="00F600B5" w:rsidRPr="009E4B9D" w:rsidRDefault="00F600B5" w:rsidP="00F600B5">
            <w:pPr>
              <w:spacing w:before="0" w:after="0" w:line="276" w:lineRule="auto"/>
              <w:jc w:val="right"/>
              <w:rPr>
                <w:rFonts w:ascii="Arial" w:hAnsi="Arial"/>
                <w:b/>
                <w:sz w:val="16"/>
                <w:szCs w:val="16"/>
                <w:lang w:eastAsia="en-US"/>
              </w:rPr>
            </w:pPr>
            <w:r w:rsidRPr="009E4B9D">
              <w:rPr>
                <w:rFonts w:ascii="Arial" w:hAnsi="Arial"/>
                <w:b/>
                <w:sz w:val="16"/>
                <w:szCs w:val="16"/>
                <w:lang w:eastAsia="en-US"/>
              </w:rPr>
              <w:t>30.3</w:t>
            </w:r>
          </w:p>
        </w:tc>
      </w:tr>
      <w:tr w:rsidR="00F600B5" w:rsidRPr="00BA1388" w14:paraId="1B0E8CC9" w14:textId="77777777" w:rsidTr="00F600B5">
        <w:trPr>
          <w:trHeight w:val="227"/>
        </w:trPr>
        <w:tc>
          <w:tcPr>
            <w:tcW w:w="3085" w:type="dxa"/>
            <w:tcBorders>
              <w:top w:val="single" w:sz="4" w:space="0" w:color="auto"/>
              <w:left w:val="nil"/>
              <w:bottom w:val="nil"/>
              <w:right w:val="nil"/>
            </w:tcBorders>
            <w:shd w:val="clear" w:color="auto" w:fill="auto"/>
            <w:vAlign w:val="bottom"/>
          </w:tcPr>
          <w:p w14:paraId="7154E1EE" w14:textId="77777777" w:rsidR="00F600B5" w:rsidRPr="008659FE" w:rsidRDefault="00F600B5" w:rsidP="00F600B5">
            <w:pPr>
              <w:spacing w:before="0" w:after="0" w:line="276" w:lineRule="auto"/>
              <w:rPr>
                <w:rFonts w:ascii="Arial" w:hAnsi="Arial"/>
                <w:b/>
                <w:bCs/>
                <w:sz w:val="16"/>
                <w:szCs w:val="16"/>
                <w:lang w:val="en-AU"/>
              </w:rPr>
            </w:pPr>
            <w:r w:rsidRPr="008659FE">
              <w:rPr>
                <w:rFonts w:ascii="Arial" w:hAnsi="Arial"/>
                <w:b/>
                <w:bCs/>
                <w:sz w:val="16"/>
                <w:szCs w:val="16"/>
                <w:lang w:val="en-AU"/>
              </w:rPr>
              <w:t>Facilities to Support LAND 129 Phase 3 Tactical Unmanned Aerial Vehicles</w:t>
            </w:r>
          </w:p>
        </w:tc>
        <w:tc>
          <w:tcPr>
            <w:tcW w:w="1790" w:type="dxa"/>
            <w:tcBorders>
              <w:top w:val="single" w:sz="4" w:space="0" w:color="auto"/>
              <w:left w:val="nil"/>
              <w:bottom w:val="nil"/>
              <w:right w:val="nil"/>
            </w:tcBorders>
            <w:shd w:val="clear" w:color="FFFFFF" w:fill="auto"/>
            <w:vAlign w:val="bottom"/>
          </w:tcPr>
          <w:p w14:paraId="606C4A71" w14:textId="77777777" w:rsidR="00F600B5" w:rsidRPr="008659FE" w:rsidRDefault="00F600B5" w:rsidP="00F600B5">
            <w:pPr>
              <w:spacing w:before="0" w:after="0" w:line="276" w:lineRule="auto"/>
              <w:jc w:val="right"/>
              <w:rPr>
                <w:rFonts w:ascii="Arial" w:hAnsi="Arial"/>
                <w:sz w:val="16"/>
                <w:szCs w:val="16"/>
                <w:lang w:val="en-AU"/>
              </w:rPr>
            </w:pPr>
          </w:p>
        </w:tc>
        <w:tc>
          <w:tcPr>
            <w:tcW w:w="1191" w:type="dxa"/>
            <w:tcBorders>
              <w:top w:val="single" w:sz="4" w:space="0" w:color="auto"/>
              <w:left w:val="nil"/>
              <w:bottom w:val="nil"/>
              <w:right w:val="nil"/>
            </w:tcBorders>
            <w:shd w:val="clear" w:color="auto" w:fill="auto"/>
            <w:noWrap/>
            <w:vAlign w:val="bottom"/>
          </w:tcPr>
          <w:p w14:paraId="3570A8F1" w14:textId="77777777" w:rsidR="00F600B5" w:rsidRPr="00353F8D" w:rsidRDefault="00F600B5" w:rsidP="00F600B5">
            <w:pPr>
              <w:spacing w:before="0" w:after="0" w:line="276" w:lineRule="auto"/>
              <w:jc w:val="right"/>
              <w:rPr>
                <w:rFonts w:ascii="Arial" w:hAnsi="Arial"/>
                <w:b/>
                <w:sz w:val="16"/>
                <w:szCs w:val="16"/>
                <w:lang w:val="en-AU"/>
              </w:rPr>
            </w:pPr>
          </w:p>
        </w:tc>
        <w:tc>
          <w:tcPr>
            <w:tcW w:w="1413" w:type="dxa"/>
            <w:tcBorders>
              <w:top w:val="single" w:sz="4" w:space="0" w:color="auto"/>
              <w:left w:val="nil"/>
              <w:bottom w:val="nil"/>
              <w:right w:val="nil"/>
            </w:tcBorders>
            <w:shd w:val="clear" w:color="auto" w:fill="auto"/>
            <w:noWrap/>
            <w:vAlign w:val="bottom"/>
          </w:tcPr>
          <w:p w14:paraId="3E0E01DD" w14:textId="77777777" w:rsidR="00F600B5" w:rsidRPr="009E4B9D" w:rsidRDefault="00F600B5" w:rsidP="00F600B5">
            <w:pPr>
              <w:spacing w:before="0" w:after="0" w:line="276" w:lineRule="auto"/>
              <w:jc w:val="right"/>
              <w:rPr>
                <w:rFonts w:ascii="Arial" w:hAnsi="Arial"/>
                <w:b/>
                <w:sz w:val="16"/>
                <w:szCs w:val="16"/>
                <w:lang w:eastAsia="en-US"/>
              </w:rPr>
            </w:pPr>
          </w:p>
        </w:tc>
        <w:tc>
          <w:tcPr>
            <w:tcW w:w="1195" w:type="dxa"/>
            <w:tcBorders>
              <w:top w:val="single" w:sz="4" w:space="0" w:color="auto"/>
              <w:left w:val="nil"/>
              <w:bottom w:val="nil"/>
              <w:right w:val="nil"/>
            </w:tcBorders>
            <w:shd w:val="clear" w:color="auto" w:fill="auto"/>
            <w:noWrap/>
            <w:vAlign w:val="bottom"/>
          </w:tcPr>
          <w:p w14:paraId="3A6A4CBC" w14:textId="77777777" w:rsidR="00F600B5" w:rsidRPr="009E4B9D" w:rsidRDefault="00F600B5" w:rsidP="00F600B5">
            <w:pPr>
              <w:spacing w:before="0" w:after="0" w:line="276" w:lineRule="auto"/>
              <w:jc w:val="right"/>
              <w:rPr>
                <w:rFonts w:ascii="Arial" w:hAnsi="Arial"/>
                <w:b/>
                <w:sz w:val="16"/>
                <w:szCs w:val="16"/>
                <w:lang w:eastAsia="en-US"/>
              </w:rPr>
            </w:pPr>
          </w:p>
        </w:tc>
      </w:tr>
      <w:tr w:rsidR="00F600B5" w:rsidRPr="00BA1388" w14:paraId="4E1261A5" w14:textId="77777777" w:rsidTr="00F600B5">
        <w:trPr>
          <w:trHeight w:val="227"/>
        </w:trPr>
        <w:tc>
          <w:tcPr>
            <w:tcW w:w="3085" w:type="dxa"/>
            <w:tcBorders>
              <w:top w:val="nil"/>
              <w:left w:val="nil"/>
              <w:bottom w:val="single" w:sz="4" w:space="0" w:color="auto"/>
              <w:right w:val="nil"/>
            </w:tcBorders>
            <w:shd w:val="clear" w:color="auto" w:fill="auto"/>
            <w:vAlign w:val="bottom"/>
          </w:tcPr>
          <w:p w14:paraId="183BAF3F" w14:textId="77777777" w:rsidR="00F600B5" w:rsidRPr="008659FE" w:rsidRDefault="00F600B5" w:rsidP="00F600B5">
            <w:pPr>
              <w:spacing w:before="0" w:after="0" w:line="276" w:lineRule="auto"/>
              <w:ind w:left="179"/>
              <w:rPr>
                <w:rFonts w:ascii="Arial" w:hAnsi="Arial"/>
                <w:b/>
                <w:bCs/>
                <w:sz w:val="16"/>
                <w:szCs w:val="16"/>
                <w:lang w:val="en-AU"/>
              </w:rPr>
            </w:pPr>
            <w:r w:rsidRPr="008659FE">
              <w:rPr>
                <w:rFonts w:ascii="Arial" w:hAnsi="Arial"/>
                <w:sz w:val="16"/>
                <w:szCs w:val="16"/>
                <w:lang w:val="en-AU"/>
              </w:rPr>
              <w:t>Gallipoli Barracks</w:t>
            </w:r>
          </w:p>
        </w:tc>
        <w:tc>
          <w:tcPr>
            <w:tcW w:w="1790" w:type="dxa"/>
            <w:tcBorders>
              <w:top w:val="nil"/>
              <w:left w:val="nil"/>
              <w:bottom w:val="single" w:sz="4" w:space="0" w:color="auto"/>
              <w:right w:val="nil"/>
            </w:tcBorders>
            <w:shd w:val="clear" w:color="FFFFFF" w:fill="auto"/>
            <w:vAlign w:val="bottom"/>
          </w:tcPr>
          <w:p w14:paraId="44BECE84" w14:textId="77777777" w:rsidR="00F600B5" w:rsidRPr="008659FE" w:rsidRDefault="00F600B5" w:rsidP="00F600B5">
            <w:pPr>
              <w:spacing w:before="0" w:after="0" w:line="276" w:lineRule="auto"/>
              <w:jc w:val="right"/>
              <w:rPr>
                <w:rFonts w:ascii="Arial" w:hAnsi="Arial"/>
                <w:b/>
                <w:bCs/>
                <w:sz w:val="16"/>
                <w:szCs w:val="16"/>
                <w:lang w:val="en-AU"/>
              </w:rPr>
            </w:pPr>
            <w:r w:rsidRPr="008659FE">
              <w:rPr>
                <w:rFonts w:ascii="Arial" w:hAnsi="Arial"/>
                <w:sz w:val="16"/>
                <w:szCs w:val="16"/>
                <w:lang w:val="en-AU"/>
              </w:rPr>
              <w:t>QLD - Ryan</w:t>
            </w:r>
          </w:p>
        </w:tc>
        <w:tc>
          <w:tcPr>
            <w:tcW w:w="1191" w:type="dxa"/>
            <w:tcBorders>
              <w:top w:val="nil"/>
              <w:left w:val="nil"/>
              <w:bottom w:val="single" w:sz="4" w:space="0" w:color="auto"/>
              <w:right w:val="nil"/>
            </w:tcBorders>
            <w:shd w:val="clear" w:color="auto" w:fill="auto"/>
            <w:noWrap/>
            <w:vAlign w:val="bottom"/>
          </w:tcPr>
          <w:p w14:paraId="6705747E" w14:textId="77777777" w:rsidR="00F600B5" w:rsidRPr="00353F8D" w:rsidRDefault="00F600B5" w:rsidP="00F600B5">
            <w:pPr>
              <w:spacing w:before="0" w:after="0" w:line="276" w:lineRule="auto"/>
              <w:jc w:val="right"/>
              <w:rPr>
                <w:rFonts w:ascii="Arial" w:hAnsi="Arial"/>
                <w:b/>
                <w:bCs/>
                <w:sz w:val="16"/>
                <w:szCs w:val="16"/>
                <w:lang w:val="en-AU"/>
              </w:rPr>
            </w:pPr>
            <w:r w:rsidRPr="00353F8D">
              <w:rPr>
                <w:rFonts w:ascii="Arial" w:hAnsi="Arial"/>
                <w:b/>
                <w:bCs/>
                <w:sz w:val="16"/>
                <w:szCs w:val="16"/>
                <w:lang w:val="en-AU"/>
              </w:rPr>
              <w:t>51.7</w:t>
            </w:r>
          </w:p>
        </w:tc>
        <w:tc>
          <w:tcPr>
            <w:tcW w:w="1413" w:type="dxa"/>
            <w:tcBorders>
              <w:top w:val="nil"/>
              <w:left w:val="nil"/>
              <w:bottom w:val="single" w:sz="4" w:space="0" w:color="auto"/>
              <w:right w:val="nil"/>
            </w:tcBorders>
            <w:shd w:val="clear" w:color="auto" w:fill="auto"/>
            <w:noWrap/>
            <w:vAlign w:val="bottom"/>
          </w:tcPr>
          <w:p w14:paraId="5752FE1B" w14:textId="77777777" w:rsidR="00F600B5" w:rsidRPr="009E4B9D" w:rsidRDefault="00F600B5" w:rsidP="00F600B5">
            <w:pPr>
              <w:spacing w:before="0" w:after="0" w:line="276" w:lineRule="auto"/>
              <w:jc w:val="right"/>
              <w:rPr>
                <w:rFonts w:ascii="Arial" w:hAnsi="Arial"/>
                <w:b/>
                <w:sz w:val="16"/>
                <w:szCs w:val="16"/>
                <w:lang w:eastAsia="en-US"/>
              </w:rPr>
            </w:pPr>
            <w:r w:rsidRPr="009E4B9D">
              <w:rPr>
                <w:rFonts w:ascii="Arial" w:hAnsi="Arial"/>
                <w:b/>
                <w:sz w:val="16"/>
                <w:szCs w:val="16"/>
                <w:lang w:eastAsia="en-US"/>
              </w:rPr>
              <w:t>15.6</w:t>
            </w:r>
          </w:p>
        </w:tc>
        <w:tc>
          <w:tcPr>
            <w:tcW w:w="1195" w:type="dxa"/>
            <w:tcBorders>
              <w:top w:val="nil"/>
              <w:left w:val="nil"/>
              <w:bottom w:val="single" w:sz="4" w:space="0" w:color="auto"/>
              <w:right w:val="nil"/>
            </w:tcBorders>
            <w:shd w:val="clear" w:color="auto" w:fill="auto"/>
            <w:noWrap/>
            <w:vAlign w:val="bottom"/>
          </w:tcPr>
          <w:p w14:paraId="25EB4713" w14:textId="77777777" w:rsidR="00F600B5" w:rsidRPr="009E4B9D" w:rsidRDefault="00F600B5" w:rsidP="00F600B5">
            <w:pPr>
              <w:spacing w:before="0" w:after="0" w:line="276" w:lineRule="auto"/>
              <w:jc w:val="right"/>
              <w:rPr>
                <w:rFonts w:ascii="Arial" w:hAnsi="Arial"/>
                <w:b/>
                <w:sz w:val="16"/>
                <w:szCs w:val="16"/>
                <w:lang w:eastAsia="en-US"/>
              </w:rPr>
            </w:pPr>
            <w:r w:rsidRPr="009E4B9D">
              <w:rPr>
                <w:rFonts w:ascii="Arial" w:hAnsi="Arial"/>
                <w:b/>
                <w:sz w:val="16"/>
                <w:szCs w:val="16"/>
                <w:lang w:eastAsia="en-US"/>
              </w:rPr>
              <w:t>27.0</w:t>
            </w:r>
          </w:p>
        </w:tc>
      </w:tr>
      <w:tr w:rsidR="00F600B5" w:rsidRPr="00BA1388" w14:paraId="421C35F4" w14:textId="77777777" w:rsidTr="00F600B5">
        <w:trPr>
          <w:trHeight w:val="227"/>
        </w:trPr>
        <w:tc>
          <w:tcPr>
            <w:tcW w:w="3085" w:type="dxa"/>
            <w:tcBorders>
              <w:top w:val="single" w:sz="4" w:space="0" w:color="auto"/>
              <w:left w:val="nil"/>
              <w:bottom w:val="nil"/>
              <w:right w:val="nil"/>
            </w:tcBorders>
            <w:shd w:val="clear" w:color="FFFFFF" w:fill="auto"/>
            <w:vAlign w:val="bottom"/>
          </w:tcPr>
          <w:p w14:paraId="3238C432" w14:textId="77777777" w:rsidR="00F600B5" w:rsidRPr="008659FE" w:rsidRDefault="00F600B5" w:rsidP="00F600B5">
            <w:pPr>
              <w:spacing w:before="0" w:after="0" w:line="276" w:lineRule="auto"/>
              <w:rPr>
                <w:rFonts w:ascii="Arial" w:hAnsi="Arial"/>
                <w:b/>
                <w:bCs/>
                <w:sz w:val="16"/>
                <w:szCs w:val="16"/>
                <w:lang w:val="en-AU"/>
              </w:rPr>
            </w:pPr>
            <w:r>
              <w:rPr>
                <w:rFonts w:ascii="Arial" w:hAnsi="Arial"/>
                <w:b/>
                <w:bCs/>
                <w:sz w:val="16"/>
                <w:szCs w:val="16"/>
                <w:lang w:val="en-AU"/>
              </w:rPr>
              <w:t>Guided Weapons Explosive Ordnance Program A</w:t>
            </w:r>
            <w:r w:rsidRPr="008659FE">
              <w:rPr>
                <w:rFonts w:ascii="Arial" w:hAnsi="Arial"/>
                <w:b/>
                <w:bCs/>
                <w:sz w:val="16"/>
                <w:szCs w:val="16"/>
                <w:lang w:val="en-AU"/>
              </w:rPr>
              <w:t>ccelerated Storage</w:t>
            </w:r>
          </w:p>
        </w:tc>
        <w:tc>
          <w:tcPr>
            <w:tcW w:w="1790" w:type="dxa"/>
            <w:tcBorders>
              <w:top w:val="single" w:sz="4" w:space="0" w:color="auto"/>
              <w:left w:val="nil"/>
              <w:bottom w:val="nil"/>
              <w:right w:val="nil"/>
            </w:tcBorders>
            <w:shd w:val="clear" w:color="FFFFFF" w:fill="auto"/>
            <w:noWrap/>
            <w:vAlign w:val="bottom"/>
          </w:tcPr>
          <w:p w14:paraId="46CB700E" w14:textId="77777777" w:rsidR="00F600B5" w:rsidRPr="008659FE" w:rsidRDefault="00F600B5" w:rsidP="00F600B5">
            <w:pPr>
              <w:spacing w:before="0" w:after="0" w:line="276" w:lineRule="auto"/>
              <w:jc w:val="right"/>
              <w:rPr>
                <w:rFonts w:ascii="Arial" w:hAnsi="Arial"/>
                <w:sz w:val="16"/>
                <w:szCs w:val="16"/>
                <w:lang w:val="en-AU"/>
              </w:rPr>
            </w:pPr>
          </w:p>
        </w:tc>
        <w:tc>
          <w:tcPr>
            <w:tcW w:w="1191" w:type="dxa"/>
            <w:tcBorders>
              <w:top w:val="single" w:sz="4" w:space="0" w:color="auto"/>
              <w:left w:val="nil"/>
              <w:bottom w:val="nil"/>
              <w:right w:val="nil"/>
            </w:tcBorders>
            <w:shd w:val="clear" w:color="FFFFFF" w:fill="auto"/>
            <w:noWrap/>
            <w:vAlign w:val="bottom"/>
          </w:tcPr>
          <w:p w14:paraId="0596A447" w14:textId="77777777" w:rsidR="00F600B5" w:rsidRPr="00353F8D" w:rsidRDefault="00F600B5" w:rsidP="00F600B5">
            <w:pPr>
              <w:spacing w:before="0" w:after="0" w:line="276" w:lineRule="auto"/>
              <w:jc w:val="right"/>
              <w:rPr>
                <w:rFonts w:ascii="Arial" w:hAnsi="Arial"/>
                <w:b/>
                <w:bCs/>
                <w:sz w:val="16"/>
                <w:szCs w:val="16"/>
                <w:lang w:val="en-AU"/>
              </w:rPr>
            </w:pPr>
          </w:p>
        </w:tc>
        <w:tc>
          <w:tcPr>
            <w:tcW w:w="1413" w:type="dxa"/>
            <w:tcBorders>
              <w:top w:val="single" w:sz="4" w:space="0" w:color="auto"/>
              <w:left w:val="nil"/>
              <w:bottom w:val="nil"/>
              <w:right w:val="nil"/>
            </w:tcBorders>
            <w:shd w:val="clear" w:color="auto" w:fill="auto"/>
            <w:noWrap/>
            <w:vAlign w:val="bottom"/>
          </w:tcPr>
          <w:p w14:paraId="7F28ED70" w14:textId="77777777" w:rsidR="00F600B5" w:rsidRPr="009E4B9D" w:rsidRDefault="00F600B5" w:rsidP="00F600B5">
            <w:pPr>
              <w:spacing w:before="0" w:after="0" w:line="276" w:lineRule="auto"/>
              <w:jc w:val="right"/>
              <w:rPr>
                <w:rFonts w:ascii="Arial" w:hAnsi="Arial"/>
                <w:b/>
                <w:sz w:val="16"/>
                <w:szCs w:val="16"/>
                <w:lang w:eastAsia="en-US"/>
              </w:rPr>
            </w:pPr>
          </w:p>
        </w:tc>
        <w:tc>
          <w:tcPr>
            <w:tcW w:w="1195" w:type="dxa"/>
            <w:tcBorders>
              <w:top w:val="single" w:sz="4" w:space="0" w:color="auto"/>
              <w:left w:val="nil"/>
              <w:bottom w:val="nil"/>
              <w:right w:val="nil"/>
            </w:tcBorders>
            <w:shd w:val="clear" w:color="auto" w:fill="auto"/>
            <w:noWrap/>
            <w:vAlign w:val="bottom"/>
          </w:tcPr>
          <w:p w14:paraId="6029E3FC" w14:textId="77777777" w:rsidR="00F600B5" w:rsidRPr="009E4B9D" w:rsidRDefault="00F600B5" w:rsidP="00F600B5">
            <w:pPr>
              <w:spacing w:before="0" w:after="0" w:line="276" w:lineRule="auto"/>
              <w:jc w:val="right"/>
              <w:rPr>
                <w:rFonts w:ascii="Arial" w:hAnsi="Arial"/>
                <w:b/>
                <w:sz w:val="16"/>
                <w:szCs w:val="16"/>
                <w:lang w:eastAsia="en-US"/>
              </w:rPr>
            </w:pPr>
          </w:p>
        </w:tc>
      </w:tr>
      <w:tr w:rsidR="00F600B5" w:rsidRPr="00BA1388" w14:paraId="50E0BB1C" w14:textId="77777777" w:rsidTr="00F600B5">
        <w:trPr>
          <w:trHeight w:val="227"/>
        </w:trPr>
        <w:tc>
          <w:tcPr>
            <w:tcW w:w="3085" w:type="dxa"/>
            <w:tcBorders>
              <w:top w:val="nil"/>
              <w:left w:val="nil"/>
              <w:bottom w:val="single" w:sz="4" w:space="0" w:color="auto"/>
              <w:right w:val="nil"/>
            </w:tcBorders>
            <w:shd w:val="clear" w:color="FFFFFF" w:fill="auto"/>
            <w:vAlign w:val="bottom"/>
          </w:tcPr>
          <w:p w14:paraId="4F4EB1B3" w14:textId="77777777" w:rsidR="00F600B5" w:rsidRPr="008659FE" w:rsidRDefault="00F600B5" w:rsidP="00F600B5">
            <w:pPr>
              <w:spacing w:before="0" w:after="0" w:line="276" w:lineRule="auto"/>
              <w:ind w:left="179"/>
              <w:rPr>
                <w:rFonts w:ascii="Arial" w:hAnsi="Arial"/>
                <w:b/>
                <w:bCs/>
                <w:sz w:val="16"/>
                <w:szCs w:val="16"/>
                <w:lang w:val="en-AU"/>
              </w:rPr>
            </w:pPr>
            <w:r w:rsidRPr="008659FE">
              <w:rPr>
                <w:rFonts w:ascii="Arial" w:hAnsi="Arial"/>
                <w:sz w:val="16"/>
                <w:szCs w:val="16"/>
                <w:lang w:val="en-AU"/>
              </w:rPr>
              <w:t>Defence Establishment Jennings</w:t>
            </w:r>
          </w:p>
        </w:tc>
        <w:tc>
          <w:tcPr>
            <w:tcW w:w="1790" w:type="dxa"/>
            <w:tcBorders>
              <w:top w:val="nil"/>
              <w:left w:val="nil"/>
              <w:bottom w:val="single" w:sz="4" w:space="0" w:color="auto"/>
              <w:right w:val="nil"/>
            </w:tcBorders>
            <w:shd w:val="clear" w:color="FFFFFF" w:fill="auto"/>
            <w:noWrap/>
            <w:vAlign w:val="bottom"/>
          </w:tcPr>
          <w:p w14:paraId="1903F4A0" w14:textId="77777777" w:rsidR="00F600B5" w:rsidRPr="008659FE" w:rsidRDefault="00F600B5" w:rsidP="00F600B5">
            <w:pPr>
              <w:spacing w:before="0" w:after="0" w:line="276" w:lineRule="auto"/>
              <w:jc w:val="right"/>
              <w:rPr>
                <w:rFonts w:ascii="Arial" w:hAnsi="Arial"/>
                <w:sz w:val="16"/>
                <w:szCs w:val="16"/>
                <w:lang w:val="en-AU"/>
              </w:rPr>
            </w:pPr>
            <w:r w:rsidRPr="008659FE">
              <w:rPr>
                <w:rFonts w:ascii="Arial" w:hAnsi="Arial"/>
                <w:sz w:val="16"/>
                <w:szCs w:val="16"/>
                <w:lang w:val="en-AU"/>
              </w:rPr>
              <w:t>NSW - Lismore</w:t>
            </w:r>
          </w:p>
        </w:tc>
        <w:tc>
          <w:tcPr>
            <w:tcW w:w="1191" w:type="dxa"/>
            <w:tcBorders>
              <w:top w:val="nil"/>
              <w:left w:val="nil"/>
              <w:bottom w:val="single" w:sz="4" w:space="0" w:color="auto"/>
              <w:right w:val="nil"/>
            </w:tcBorders>
            <w:shd w:val="clear" w:color="FFFFFF" w:fill="auto"/>
            <w:noWrap/>
            <w:vAlign w:val="bottom"/>
          </w:tcPr>
          <w:p w14:paraId="47CC545F" w14:textId="77777777" w:rsidR="00F600B5" w:rsidRPr="00353F8D" w:rsidRDefault="00F600B5" w:rsidP="00F600B5">
            <w:pPr>
              <w:spacing w:before="0" w:after="0" w:line="276" w:lineRule="auto"/>
              <w:jc w:val="right"/>
              <w:rPr>
                <w:rFonts w:ascii="Arial" w:hAnsi="Arial"/>
                <w:b/>
                <w:bCs/>
                <w:sz w:val="16"/>
                <w:szCs w:val="16"/>
                <w:lang w:val="en-AU"/>
              </w:rPr>
            </w:pPr>
            <w:r w:rsidRPr="00353F8D">
              <w:rPr>
                <w:rFonts w:ascii="Arial" w:hAnsi="Arial"/>
                <w:b/>
                <w:bCs/>
                <w:sz w:val="16"/>
                <w:szCs w:val="16"/>
                <w:lang w:val="en-AU"/>
              </w:rPr>
              <w:t>44.1</w:t>
            </w:r>
          </w:p>
        </w:tc>
        <w:tc>
          <w:tcPr>
            <w:tcW w:w="1413" w:type="dxa"/>
            <w:tcBorders>
              <w:top w:val="nil"/>
              <w:left w:val="nil"/>
              <w:bottom w:val="single" w:sz="4" w:space="0" w:color="auto"/>
              <w:right w:val="nil"/>
            </w:tcBorders>
            <w:shd w:val="clear" w:color="auto" w:fill="auto"/>
            <w:noWrap/>
            <w:vAlign w:val="bottom"/>
          </w:tcPr>
          <w:p w14:paraId="04CDADD6" w14:textId="77777777" w:rsidR="00F600B5" w:rsidRPr="009E4B9D" w:rsidRDefault="00F600B5" w:rsidP="00F600B5">
            <w:pPr>
              <w:spacing w:before="0" w:after="0" w:line="276" w:lineRule="auto"/>
              <w:jc w:val="right"/>
              <w:rPr>
                <w:rFonts w:ascii="Arial" w:hAnsi="Arial"/>
                <w:b/>
                <w:sz w:val="16"/>
                <w:szCs w:val="16"/>
                <w:lang w:eastAsia="en-US"/>
              </w:rPr>
            </w:pPr>
            <w:r w:rsidRPr="009E4B9D">
              <w:rPr>
                <w:rFonts w:ascii="Arial" w:hAnsi="Arial"/>
                <w:b/>
                <w:sz w:val="16"/>
                <w:szCs w:val="16"/>
                <w:lang w:eastAsia="en-US"/>
              </w:rPr>
              <w:t>21.0</w:t>
            </w:r>
          </w:p>
        </w:tc>
        <w:tc>
          <w:tcPr>
            <w:tcW w:w="1195" w:type="dxa"/>
            <w:tcBorders>
              <w:top w:val="nil"/>
              <w:left w:val="nil"/>
              <w:bottom w:val="single" w:sz="4" w:space="0" w:color="auto"/>
              <w:right w:val="nil"/>
            </w:tcBorders>
            <w:shd w:val="clear" w:color="auto" w:fill="auto"/>
            <w:noWrap/>
            <w:vAlign w:val="bottom"/>
          </w:tcPr>
          <w:p w14:paraId="61929EBE" w14:textId="77777777" w:rsidR="00F600B5" w:rsidRPr="009E4B9D" w:rsidRDefault="00F600B5" w:rsidP="00F600B5">
            <w:pPr>
              <w:spacing w:before="0" w:after="0" w:line="276" w:lineRule="auto"/>
              <w:jc w:val="right"/>
              <w:rPr>
                <w:rFonts w:ascii="Arial" w:hAnsi="Arial"/>
                <w:b/>
                <w:sz w:val="16"/>
                <w:szCs w:val="16"/>
                <w:lang w:eastAsia="en-US"/>
              </w:rPr>
            </w:pPr>
            <w:r w:rsidRPr="009E4B9D">
              <w:rPr>
                <w:rFonts w:ascii="Arial" w:hAnsi="Arial"/>
                <w:b/>
                <w:sz w:val="16"/>
                <w:szCs w:val="16"/>
                <w:lang w:eastAsia="en-US"/>
              </w:rPr>
              <w:t>21.0</w:t>
            </w:r>
          </w:p>
        </w:tc>
      </w:tr>
      <w:tr w:rsidR="00F600B5" w:rsidRPr="00BA1388" w14:paraId="3B382A76" w14:textId="77777777" w:rsidTr="00F600B5">
        <w:trPr>
          <w:trHeight w:val="227"/>
        </w:trPr>
        <w:tc>
          <w:tcPr>
            <w:tcW w:w="3085" w:type="dxa"/>
            <w:tcBorders>
              <w:left w:val="nil"/>
              <w:bottom w:val="nil"/>
              <w:right w:val="nil"/>
            </w:tcBorders>
            <w:shd w:val="clear" w:color="FFFFFF" w:fill="auto"/>
            <w:vAlign w:val="bottom"/>
          </w:tcPr>
          <w:p w14:paraId="58770413" w14:textId="77777777" w:rsidR="00F600B5" w:rsidRPr="008659FE" w:rsidRDefault="00F600B5" w:rsidP="00F600B5">
            <w:pPr>
              <w:spacing w:before="0" w:after="0" w:line="276" w:lineRule="auto"/>
              <w:rPr>
                <w:rFonts w:ascii="Arial" w:hAnsi="Arial"/>
                <w:sz w:val="16"/>
                <w:szCs w:val="16"/>
                <w:lang w:val="en-AU"/>
              </w:rPr>
            </w:pPr>
            <w:r w:rsidRPr="008659FE">
              <w:rPr>
                <w:rFonts w:ascii="Arial" w:hAnsi="Arial"/>
                <w:b/>
                <w:bCs/>
                <w:sz w:val="16"/>
                <w:szCs w:val="16"/>
                <w:lang w:val="en-AU"/>
              </w:rPr>
              <w:t>RAAF Base Amberley Sewage Treatment Plant</w:t>
            </w:r>
          </w:p>
        </w:tc>
        <w:tc>
          <w:tcPr>
            <w:tcW w:w="1790" w:type="dxa"/>
            <w:tcBorders>
              <w:left w:val="nil"/>
              <w:bottom w:val="nil"/>
              <w:right w:val="nil"/>
            </w:tcBorders>
            <w:shd w:val="clear" w:color="FFFFFF" w:fill="auto"/>
            <w:noWrap/>
            <w:vAlign w:val="bottom"/>
          </w:tcPr>
          <w:p w14:paraId="68E4441C" w14:textId="77777777" w:rsidR="00F600B5" w:rsidRPr="008659FE" w:rsidRDefault="00F600B5" w:rsidP="00F600B5">
            <w:pPr>
              <w:keepNext/>
              <w:keepLines/>
              <w:spacing w:before="0" w:after="0" w:line="276" w:lineRule="auto"/>
              <w:jc w:val="right"/>
              <w:rPr>
                <w:rFonts w:ascii="Arial" w:hAnsi="Arial"/>
                <w:b/>
                <w:sz w:val="16"/>
                <w:szCs w:val="16"/>
                <w:lang w:val="en-AU"/>
              </w:rPr>
            </w:pPr>
          </w:p>
        </w:tc>
        <w:tc>
          <w:tcPr>
            <w:tcW w:w="1191" w:type="dxa"/>
            <w:tcBorders>
              <w:left w:val="nil"/>
              <w:bottom w:val="nil"/>
              <w:right w:val="nil"/>
            </w:tcBorders>
            <w:shd w:val="clear" w:color="FFFFFF" w:fill="auto"/>
            <w:noWrap/>
            <w:vAlign w:val="bottom"/>
          </w:tcPr>
          <w:p w14:paraId="1815E601" w14:textId="77777777" w:rsidR="00F600B5" w:rsidRPr="00353F8D" w:rsidRDefault="00F600B5" w:rsidP="00F600B5">
            <w:pPr>
              <w:keepNext/>
              <w:keepLines/>
              <w:spacing w:before="0" w:after="0" w:line="276" w:lineRule="auto"/>
              <w:jc w:val="right"/>
              <w:rPr>
                <w:rFonts w:ascii="Arial" w:hAnsi="Arial"/>
                <w:b/>
                <w:bCs/>
                <w:sz w:val="16"/>
                <w:szCs w:val="16"/>
                <w:lang w:val="en-AU"/>
              </w:rPr>
            </w:pPr>
          </w:p>
        </w:tc>
        <w:tc>
          <w:tcPr>
            <w:tcW w:w="1413" w:type="dxa"/>
            <w:tcBorders>
              <w:left w:val="nil"/>
              <w:bottom w:val="nil"/>
              <w:right w:val="nil"/>
            </w:tcBorders>
            <w:shd w:val="clear" w:color="FFFFFF" w:fill="auto"/>
            <w:noWrap/>
            <w:vAlign w:val="bottom"/>
          </w:tcPr>
          <w:p w14:paraId="1B256332" w14:textId="77777777" w:rsidR="00F600B5" w:rsidRPr="009E4B9D" w:rsidRDefault="00F600B5" w:rsidP="00F600B5">
            <w:pPr>
              <w:spacing w:before="0" w:after="0" w:line="276" w:lineRule="auto"/>
              <w:jc w:val="right"/>
              <w:rPr>
                <w:rFonts w:ascii="Arial" w:hAnsi="Arial"/>
                <w:b/>
                <w:sz w:val="16"/>
                <w:szCs w:val="16"/>
                <w:lang w:eastAsia="en-US"/>
              </w:rPr>
            </w:pPr>
          </w:p>
        </w:tc>
        <w:tc>
          <w:tcPr>
            <w:tcW w:w="1195" w:type="dxa"/>
            <w:tcBorders>
              <w:left w:val="nil"/>
              <w:bottom w:val="nil"/>
              <w:right w:val="nil"/>
            </w:tcBorders>
            <w:shd w:val="clear" w:color="FFFFFF" w:fill="auto"/>
            <w:noWrap/>
            <w:vAlign w:val="bottom"/>
          </w:tcPr>
          <w:p w14:paraId="045B3CCD" w14:textId="77777777" w:rsidR="00F600B5" w:rsidRPr="009E4B9D" w:rsidRDefault="00F600B5" w:rsidP="00F600B5">
            <w:pPr>
              <w:spacing w:before="0" w:after="0" w:line="276" w:lineRule="auto"/>
              <w:jc w:val="right"/>
              <w:rPr>
                <w:rFonts w:ascii="Arial" w:hAnsi="Arial"/>
                <w:b/>
                <w:sz w:val="16"/>
                <w:szCs w:val="16"/>
                <w:lang w:eastAsia="en-US"/>
              </w:rPr>
            </w:pPr>
          </w:p>
        </w:tc>
      </w:tr>
      <w:tr w:rsidR="00F600B5" w:rsidRPr="00BA1388" w14:paraId="4FBA2360" w14:textId="77777777" w:rsidTr="00F600B5">
        <w:trPr>
          <w:trHeight w:val="227"/>
        </w:trPr>
        <w:tc>
          <w:tcPr>
            <w:tcW w:w="3085" w:type="dxa"/>
            <w:tcBorders>
              <w:top w:val="nil"/>
              <w:left w:val="nil"/>
              <w:bottom w:val="single" w:sz="4" w:space="0" w:color="auto"/>
              <w:right w:val="nil"/>
            </w:tcBorders>
            <w:shd w:val="clear" w:color="FFFFFF" w:fill="auto"/>
            <w:vAlign w:val="bottom"/>
          </w:tcPr>
          <w:p w14:paraId="74C1CE3A" w14:textId="77777777" w:rsidR="00F600B5" w:rsidRPr="008659FE" w:rsidRDefault="00F600B5" w:rsidP="00F600B5">
            <w:pPr>
              <w:spacing w:before="0" w:after="0" w:line="276" w:lineRule="auto"/>
              <w:ind w:left="179"/>
              <w:rPr>
                <w:rFonts w:ascii="Arial" w:hAnsi="Arial"/>
                <w:b/>
                <w:bCs/>
                <w:sz w:val="16"/>
                <w:szCs w:val="16"/>
                <w:lang w:val="en-AU"/>
              </w:rPr>
            </w:pPr>
            <w:r w:rsidRPr="008659FE">
              <w:rPr>
                <w:rFonts w:ascii="Arial" w:hAnsi="Arial"/>
                <w:sz w:val="16"/>
                <w:szCs w:val="16"/>
                <w:lang w:val="en-AU"/>
              </w:rPr>
              <w:t>RAAF Amberley</w:t>
            </w:r>
          </w:p>
        </w:tc>
        <w:tc>
          <w:tcPr>
            <w:tcW w:w="1790" w:type="dxa"/>
            <w:tcBorders>
              <w:top w:val="nil"/>
              <w:left w:val="nil"/>
              <w:bottom w:val="single" w:sz="4" w:space="0" w:color="auto"/>
              <w:right w:val="nil"/>
            </w:tcBorders>
            <w:shd w:val="clear" w:color="FFFFFF" w:fill="auto"/>
            <w:noWrap/>
            <w:vAlign w:val="bottom"/>
          </w:tcPr>
          <w:p w14:paraId="4A116D59" w14:textId="77777777" w:rsidR="00F600B5" w:rsidRPr="008659FE" w:rsidRDefault="00F600B5" w:rsidP="00F600B5">
            <w:pPr>
              <w:spacing w:before="0" w:after="0" w:line="276" w:lineRule="auto"/>
              <w:jc w:val="right"/>
              <w:rPr>
                <w:rFonts w:ascii="Arial" w:hAnsi="Arial"/>
                <w:sz w:val="16"/>
                <w:szCs w:val="16"/>
                <w:lang w:val="en-AU"/>
              </w:rPr>
            </w:pPr>
            <w:r w:rsidRPr="008659FE">
              <w:rPr>
                <w:rFonts w:ascii="Arial" w:hAnsi="Arial"/>
                <w:sz w:val="16"/>
                <w:szCs w:val="16"/>
                <w:lang w:val="en-AU"/>
              </w:rPr>
              <w:t>QLD - Blair</w:t>
            </w:r>
          </w:p>
        </w:tc>
        <w:tc>
          <w:tcPr>
            <w:tcW w:w="1191" w:type="dxa"/>
            <w:tcBorders>
              <w:top w:val="nil"/>
              <w:left w:val="nil"/>
              <w:bottom w:val="single" w:sz="4" w:space="0" w:color="auto"/>
              <w:right w:val="nil"/>
            </w:tcBorders>
            <w:shd w:val="clear" w:color="auto" w:fill="auto"/>
            <w:noWrap/>
            <w:vAlign w:val="bottom"/>
          </w:tcPr>
          <w:p w14:paraId="199CC6ED" w14:textId="77777777" w:rsidR="00F600B5" w:rsidRPr="00353F8D" w:rsidRDefault="00F600B5" w:rsidP="00F600B5">
            <w:pPr>
              <w:spacing w:before="0" w:after="0" w:line="276" w:lineRule="auto"/>
              <w:jc w:val="right"/>
              <w:rPr>
                <w:rFonts w:ascii="Arial" w:hAnsi="Arial"/>
                <w:b/>
                <w:sz w:val="16"/>
                <w:szCs w:val="16"/>
                <w:lang w:val="en-AU"/>
              </w:rPr>
            </w:pPr>
            <w:r w:rsidRPr="00353F8D">
              <w:rPr>
                <w:rFonts w:ascii="Arial" w:hAnsi="Arial"/>
                <w:b/>
                <w:sz w:val="16"/>
                <w:szCs w:val="16"/>
                <w:lang w:val="en-AU"/>
              </w:rPr>
              <w:t>41.7</w:t>
            </w:r>
          </w:p>
        </w:tc>
        <w:tc>
          <w:tcPr>
            <w:tcW w:w="1413" w:type="dxa"/>
            <w:tcBorders>
              <w:top w:val="nil"/>
              <w:left w:val="nil"/>
              <w:bottom w:val="single" w:sz="4" w:space="0" w:color="auto"/>
              <w:right w:val="nil"/>
            </w:tcBorders>
            <w:shd w:val="clear" w:color="auto" w:fill="auto"/>
            <w:noWrap/>
            <w:vAlign w:val="bottom"/>
          </w:tcPr>
          <w:p w14:paraId="2E88328A" w14:textId="77777777" w:rsidR="00F600B5" w:rsidRPr="009E4B9D" w:rsidRDefault="00F600B5" w:rsidP="00F600B5">
            <w:pPr>
              <w:spacing w:before="0" w:after="0" w:line="276" w:lineRule="auto"/>
              <w:jc w:val="right"/>
              <w:rPr>
                <w:rFonts w:ascii="Arial" w:hAnsi="Arial"/>
                <w:b/>
                <w:sz w:val="16"/>
                <w:szCs w:val="16"/>
                <w:lang w:eastAsia="en-US"/>
              </w:rPr>
            </w:pPr>
            <w:r w:rsidRPr="009E4B9D">
              <w:rPr>
                <w:rFonts w:ascii="Arial" w:hAnsi="Arial"/>
                <w:b/>
                <w:sz w:val="16"/>
                <w:szCs w:val="16"/>
                <w:lang w:eastAsia="en-US"/>
              </w:rPr>
              <w:t>25.7</w:t>
            </w:r>
          </w:p>
        </w:tc>
        <w:tc>
          <w:tcPr>
            <w:tcW w:w="1195" w:type="dxa"/>
            <w:tcBorders>
              <w:top w:val="nil"/>
              <w:left w:val="nil"/>
              <w:bottom w:val="single" w:sz="4" w:space="0" w:color="auto"/>
              <w:right w:val="nil"/>
            </w:tcBorders>
            <w:shd w:val="clear" w:color="auto" w:fill="auto"/>
            <w:noWrap/>
            <w:vAlign w:val="bottom"/>
          </w:tcPr>
          <w:p w14:paraId="3A0793B4" w14:textId="77777777" w:rsidR="00F600B5" w:rsidRPr="009E4B9D" w:rsidRDefault="00F600B5" w:rsidP="00F600B5">
            <w:pPr>
              <w:spacing w:before="0" w:after="0" w:line="276" w:lineRule="auto"/>
              <w:jc w:val="right"/>
              <w:rPr>
                <w:rFonts w:ascii="Arial" w:hAnsi="Arial"/>
                <w:b/>
                <w:sz w:val="16"/>
                <w:szCs w:val="16"/>
                <w:lang w:eastAsia="en-US"/>
              </w:rPr>
            </w:pPr>
            <w:r w:rsidRPr="009E4B9D">
              <w:rPr>
                <w:rFonts w:ascii="Arial" w:hAnsi="Arial"/>
                <w:b/>
                <w:sz w:val="16"/>
                <w:szCs w:val="16"/>
                <w:lang w:eastAsia="en-US"/>
              </w:rPr>
              <w:t>7.2</w:t>
            </w:r>
          </w:p>
        </w:tc>
      </w:tr>
      <w:tr w:rsidR="00F600B5" w:rsidRPr="00BA1388" w14:paraId="6540B8E5" w14:textId="77777777" w:rsidTr="00F600B5">
        <w:trPr>
          <w:trHeight w:val="227"/>
        </w:trPr>
        <w:tc>
          <w:tcPr>
            <w:tcW w:w="3085" w:type="dxa"/>
            <w:tcBorders>
              <w:top w:val="single" w:sz="4" w:space="0" w:color="auto"/>
              <w:left w:val="nil"/>
              <w:bottom w:val="nil"/>
              <w:right w:val="nil"/>
            </w:tcBorders>
            <w:shd w:val="clear" w:color="FFFFFF" w:fill="auto"/>
            <w:vAlign w:val="bottom"/>
          </w:tcPr>
          <w:p w14:paraId="32EC028D" w14:textId="77777777" w:rsidR="00F600B5" w:rsidRPr="00B22345" w:rsidRDefault="00F600B5" w:rsidP="00F600B5">
            <w:pPr>
              <w:spacing w:before="0" w:after="0" w:line="276" w:lineRule="auto"/>
              <w:rPr>
                <w:rFonts w:ascii="Arial" w:hAnsi="Arial"/>
                <w:b/>
                <w:sz w:val="16"/>
                <w:szCs w:val="16"/>
                <w:lang w:val="en-AU"/>
              </w:rPr>
            </w:pPr>
            <w:r w:rsidRPr="00B22345">
              <w:rPr>
                <w:rFonts w:ascii="Arial" w:hAnsi="Arial"/>
                <w:b/>
                <w:sz w:val="16"/>
                <w:szCs w:val="16"/>
                <w:lang w:val="en-AU"/>
              </w:rPr>
              <w:t>General John Baker Complex Capability Assurance Project Tranche One</w:t>
            </w:r>
          </w:p>
        </w:tc>
        <w:tc>
          <w:tcPr>
            <w:tcW w:w="1790" w:type="dxa"/>
            <w:tcBorders>
              <w:top w:val="single" w:sz="4" w:space="0" w:color="auto"/>
              <w:left w:val="nil"/>
              <w:bottom w:val="nil"/>
              <w:right w:val="nil"/>
            </w:tcBorders>
            <w:shd w:val="clear" w:color="FFFFFF" w:fill="auto"/>
            <w:noWrap/>
            <w:vAlign w:val="bottom"/>
          </w:tcPr>
          <w:p w14:paraId="232AAB8C" w14:textId="77777777" w:rsidR="00F600B5" w:rsidRPr="008659FE" w:rsidRDefault="00F600B5" w:rsidP="00F600B5">
            <w:pPr>
              <w:spacing w:before="0" w:after="0" w:line="276" w:lineRule="auto"/>
              <w:jc w:val="right"/>
              <w:rPr>
                <w:rFonts w:ascii="Arial" w:hAnsi="Arial"/>
                <w:sz w:val="16"/>
                <w:szCs w:val="16"/>
                <w:lang w:val="en-AU"/>
              </w:rPr>
            </w:pPr>
          </w:p>
        </w:tc>
        <w:tc>
          <w:tcPr>
            <w:tcW w:w="1191" w:type="dxa"/>
            <w:tcBorders>
              <w:top w:val="single" w:sz="4" w:space="0" w:color="auto"/>
              <w:left w:val="nil"/>
              <w:bottom w:val="nil"/>
              <w:right w:val="nil"/>
            </w:tcBorders>
            <w:shd w:val="clear" w:color="auto" w:fill="auto"/>
            <w:noWrap/>
            <w:vAlign w:val="bottom"/>
          </w:tcPr>
          <w:p w14:paraId="3703E8E9" w14:textId="77777777" w:rsidR="00F600B5" w:rsidRPr="00353F8D" w:rsidRDefault="00F600B5" w:rsidP="00F600B5">
            <w:pPr>
              <w:spacing w:before="0" w:after="0" w:line="276" w:lineRule="auto"/>
              <w:jc w:val="right"/>
              <w:rPr>
                <w:rFonts w:ascii="Arial" w:hAnsi="Arial"/>
                <w:b/>
                <w:sz w:val="16"/>
                <w:szCs w:val="16"/>
                <w:lang w:val="en-AU"/>
              </w:rPr>
            </w:pPr>
          </w:p>
        </w:tc>
        <w:tc>
          <w:tcPr>
            <w:tcW w:w="1413" w:type="dxa"/>
            <w:tcBorders>
              <w:top w:val="single" w:sz="4" w:space="0" w:color="auto"/>
              <w:left w:val="nil"/>
              <w:bottom w:val="nil"/>
              <w:right w:val="nil"/>
            </w:tcBorders>
            <w:shd w:val="clear" w:color="auto" w:fill="auto"/>
            <w:noWrap/>
            <w:vAlign w:val="bottom"/>
          </w:tcPr>
          <w:p w14:paraId="2C0AFE53" w14:textId="77777777" w:rsidR="00F600B5" w:rsidRPr="009E4B9D" w:rsidRDefault="00F600B5" w:rsidP="00F600B5">
            <w:pPr>
              <w:spacing w:before="0" w:after="0" w:line="276" w:lineRule="auto"/>
              <w:jc w:val="right"/>
              <w:rPr>
                <w:rFonts w:ascii="Arial" w:hAnsi="Arial"/>
                <w:b/>
                <w:sz w:val="16"/>
                <w:szCs w:val="16"/>
                <w:lang w:eastAsia="en-US"/>
              </w:rPr>
            </w:pPr>
          </w:p>
        </w:tc>
        <w:tc>
          <w:tcPr>
            <w:tcW w:w="1195" w:type="dxa"/>
            <w:tcBorders>
              <w:top w:val="single" w:sz="4" w:space="0" w:color="auto"/>
              <w:left w:val="nil"/>
              <w:bottom w:val="nil"/>
              <w:right w:val="nil"/>
            </w:tcBorders>
            <w:shd w:val="clear" w:color="auto" w:fill="auto"/>
            <w:noWrap/>
            <w:vAlign w:val="bottom"/>
          </w:tcPr>
          <w:p w14:paraId="3CCB7B29" w14:textId="77777777" w:rsidR="00F600B5" w:rsidRPr="009E4B9D" w:rsidRDefault="00F600B5" w:rsidP="00F600B5">
            <w:pPr>
              <w:spacing w:before="0" w:after="0" w:line="276" w:lineRule="auto"/>
              <w:jc w:val="right"/>
              <w:rPr>
                <w:rFonts w:ascii="Arial" w:hAnsi="Arial"/>
                <w:b/>
                <w:sz w:val="16"/>
                <w:szCs w:val="16"/>
                <w:lang w:eastAsia="en-US"/>
              </w:rPr>
            </w:pPr>
          </w:p>
        </w:tc>
      </w:tr>
      <w:tr w:rsidR="00F600B5" w:rsidRPr="00BA1388" w14:paraId="58A53706" w14:textId="77777777" w:rsidTr="00F600B5">
        <w:trPr>
          <w:trHeight w:val="227"/>
        </w:trPr>
        <w:tc>
          <w:tcPr>
            <w:tcW w:w="3085" w:type="dxa"/>
            <w:tcBorders>
              <w:top w:val="nil"/>
              <w:left w:val="nil"/>
              <w:bottom w:val="single" w:sz="4" w:space="0" w:color="auto"/>
              <w:right w:val="nil"/>
            </w:tcBorders>
            <w:shd w:val="clear" w:color="FFFFFF" w:fill="auto"/>
            <w:vAlign w:val="bottom"/>
          </w:tcPr>
          <w:p w14:paraId="7F0223B2" w14:textId="77777777" w:rsidR="00F600B5" w:rsidRPr="008659FE" w:rsidRDefault="00F600B5" w:rsidP="00F600B5">
            <w:pPr>
              <w:spacing w:before="0" w:after="0" w:line="276" w:lineRule="auto"/>
              <w:ind w:left="179"/>
              <w:rPr>
                <w:rFonts w:ascii="Arial" w:hAnsi="Arial"/>
                <w:sz w:val="16"/>
                <w:szCs w:val="16"/>
                <w:lang w:val="en-AU"/>
              </w:rPr>
            </w:pPr>
            <w:r>
              <w:rPr>
                <w:rFonts w:ascii="Arial" w:hAnsi="Arial"/>
                <w:sz w:val="16"/>
                <w:szCs w:val="16"/>
                <w:lang w:val="en-AU"/>
              </w:rPr>
              <w:t>General John Baker Complex</w:t>
            </w:r>
          </w:p>
        </w:tc>
        <w:tc>
          <w:tcPr>
            <w:tcW w:w="1790" w:type="dxa"/>
            <w:tcBorders>
              <w:top w:val="nil"/>
              <w:left w:val="nil"/>
              <w:bottom w:val="single" w:sz="4" w:space="0" w:color="auto"/>
              <w:right w:val="nil"/>
            </w:tcBorders>
            <w:shd w:val="clear" w:color="FFFFFF" w:fill="auto"/>
            <w:noWrap/>
            <w:vAlign w:val="bottom"/>
          </w:tcPr>
          <w:p w14:paraId="10206332" w14:textId="77777777" w:rsidR="00F600B5" w:rsidRPr="008659FE" w:rsidRDefault="00F600B5" w:rsidP="00F600B5">
            <w:pPr>
              <w:spacing w:before="0" w:after="0" w:line="276" w:lineRule="auto"/>
              <w:jc w:val="right"/>
              <w:rPr>
                <w:rFonts w:ascii="Arial" w:hAnsi="Arial"/>
                <w:sz w:val="16"/>
                <w:szCs w:val="16"/>
                <w:lang w:val="en-AU"/>
              </w:rPr>
            </w:pPr>
            <w:r>
              <w:rPr>
                <w:rFonts w:ascii="Arial" w:hAnsi="Arial"/>
                <w:sz w:val="16"/>
                <w:szCs w:val="16"/>
                <w:lang w:val="en-AU"/>
              </w:rPr>
              <w:t>NSW - Eden Monaro</w:t>
            </w:r>
          </w:p>
        </w:tc>
        <w:tc>
          <w:tcPr>
            <w:tcW w:w="1191" w:type="dxa"/>
            <w:tcBorders>
              <w:top w:val="nil"/>
              <w:left w:val="nil"/>
              <w:bottom w:val="single" w:sz="4" w:space="0" w:color="auto"/>
              <w:right w:val="nil"/>
            </w:tcBorders>
            <w:shd w:val="clear" w:color="auto" w:fill="auto"/>
            <w:noWrap/>
            <w:vAlign w:val="bottom"/>
          </w:tcPr>
          <w:p w14:paraId="458A2EA2" w14:textId="77777777" w:rsidR="00F600B5" w:rsidRPr="00353F8D" w:rsidRDefault="00F600B5" w:rsidP="00F600B5">
            <w:pPr>
              <w:spacing w:before="0" w:after="0" w:line="276" w:lineRule="auto"/>
              <w:jc w:val="right"/>
              <w:rPr>
                <w:rFonts w:ascii="Arial" w:hAnsi="Arial"/>
                <w:b/>
                <w:sz w:val="16"/>
                <w:szCs w:val="16"/>
                <w:lang w:val="en-AU"/>
              </w:rPr>
            </w:pPr>
            <w:r w:rsidRPr="00353F8D">
              <w:rPr>
                <w:rFonts w:ascii="Arial" w:hAnsi="Arial"/>
                <w:b/>
                <w:sz w:val="16"/>
                <w:szCs w:val="16"/>
                <w:lang w:val="en-AU"/>
              </w:rPr>
              <w:t>37.3</w:t>
            </w:r>
          </w:p>
        </w:tc>
        <w:tc>
          <w:tcPr>
            <w:tcW w:w="1413" w:type="dxa"/>
            <w:tcBorders>
              <w:top w:val="nil"/>
              <w:left w:val="nil"/>
              <w:bottom w:val="single" w:sz="4" w:space="0" w:color="auto"/>
              <w:right w:val="nil"/>
            </w:tcBorders>
            <w:shd w:val="clear" w:color="auto" w:fill="auto"/>
            <w:noWrap/>
            <w:vAlign w:val="bottom"/>
          </w:tcPr>
          <w:p w14:paraId="612BE2E7" w14:textId="77777777" w:rsidR="00F600B5" w:rsidRPr="009E4B9D" w:rsidRDefault="00F600B5" w:rsidP="00F600B5">
            <w:pPr>
              <w:spacing w:before="0" w:after="0" w:line="276" w:lineRule="auto"/>
              <w:jc w:val="right"/>
              <w:rPr>
                <w:rFonts w:ascii="Arial" w:hAnsi="Arial"/>
                <w:b/>
                <w:sz w:val="16"/>
                <w:szCs w:val="16"/>
                <w:lang w:eastAsia="en-US"/>
              </w:rPr>
            </w:pPr>
            <w:r w:rsidRPr="009E4B9D">
              <w:rPr>
                <w:rFonts w:ascii="Arial" w:hAnsi="Arial"/>
                <w:b/>
                <w:sz w:val="16"/>
                <w:szCs w:val="16"/>
                <w:lang w:eastAsia="en-US"/>
              </w:rPr>
              <w:t>25.2</w:t>
            </w:r>
          </w:p>
        </w:tc>
        <w:tc>
          <w:tcPr>
            <w:tcW w:w="1195" w:type="dxa"/>
            <w:tcBorders>
              <w:top w:val="nil"/>
              <w:left w:val="nil"/>
              <w:bottom w:val="single" w:sz="4" w:space="0" w:color="auto"/>
              <w:right w:val="nil"/>
            </w:tcBorders>
            <w:shd w:val="clear" w:color="auto" w:fill="auto"/>
            <w:noWrap/>
            <w:vAlign w:val="bottom"/>
          </w:tcPr>
          <w:p w14:paraId="6BACA0E4" w14:textId="77777777" w:rsidR="00F600B5" w:rsidRPr="009E4B9D" w:rsidRDefault="00F600B5" w:rsidP="00F600B5">
            <w:pPr>
              <w:spacing w:before="0" w:after="0" w:line="276" w:lineRule="auto"/>
              <w:jc w:val="right"/>
              <w:rPr>
                <w:rFonts w:ascii="Arial" w:hAnsi="Arial"/>
                <w:b/>
                <w:sz w:val="16"/>
                <w:szCs w:val="16"/>
                <w:lang w:eastAsia="en-US"/>
              </w:rPr>
            </w:pPr>
            <w:r w:rsidRPr="009E4B9D">
              <w:rPr>
                <w:rFonts w:ascii="Arial" w:hAnsi="Arial"/>
                <w:b/>
                <w:sz w:val="16"/>
                <w:szCs w:val="16"/>
                <w:lang w:eastAsia="en-US"/>
              </w:rPr>
              <w:t>9.3</w:t>
            </w:r>
          </w:p>
        </w:tc>
      </w:tr>
      <w:tr w:rsidR="00F600B5" w:rsidRPr="00BA1388" w14:paraId="1D7172CA" w14:textId="77777777" w:rsidTr="00F600B5">
        <w:trPr>
          <w:trHeight w:val="227"/>
        </w:trPr>
        <w:tc>
          <w:tcPr>
            <w:tcW w:w="3085" w:type="dxa"/>
            <w:tcBorders>
              <w:top w:val="single" w:sz="4" w:space="0" w:color="auto"/>
              <w:left w:val="nil"/>
              <w:bottom w:val="nil"/>
              <w:right w:val="nil"/>
            </w:tcBorders>
            <w:shd w:val="clear" w:color="FFFFFF" w:fill="auto"/>
            <w:vAlign w:val="bottom"/>
          </w:tcPr>
          <w:p w14:paraId="553CC61B" w14:textId="77777777" w:rsidR="00F600B5" w:rsidRPr="008659FE" w:rsidRDefault="00F600B5" w:rsidP="00F600B5">
            <w:pPr>
              <w:spacing w:before="0" w:after="0" w:line="276" w:lineRule="auto"/>
              <w:rPr>
                <w:rFonts w:ascii="Arial" w:hAnsi="Arial"/>
                <w:b/>
                <w:sz w:val="16"/>
                <w:szCs w:val="16"/>
                <w:lang w:val="en-AU"/>
              </w:rPr>
            </w:pPr>
            <w:r w:rsidRPr="008659FE">
              <w:rPr>
                <w:rFonts w:ascii="Arial" w:hAnsi="Arial"/>
                <w:b/>
                <w:bCs/>
                <w:sz w:val="16"/>
                <w:szCs w:val="16"/>
                <w:lang w:val="en-AU"/>
              </w:rPr>
              <w:t xml:space="preserve">Facilities to Support LAND 8116 </w:t>
            </w:r>
            <w:r w:rsidRPr="008659FE">
              <w:rPr>
                <w:rFonts w:ascii="Arial" w:hAnsi="Arial"/>
                <w:b/>
                <w:bCs/>
                <w:sz w:val="16"/>
                <w:szCs w:val="16"/>
                <w:lang w:val="en-AU"/>
              </w:rPr>
              <w:br/>
              <w:t>Phase 1 Protected Mobile Fires</w:t>
            </w:r>
          </w:p>
        </w:tc>
        <w:tc>
          <w:tcPr>
            <w:tcW w:w="1790" w:type="dxa"/>
            <w:tcBorders>
              <w:top w:val="single" w:sz="4" w:space="0" w:color="auto"/>
              <w:left w:val="nil"/>
              <w:bottom w:val="nil"/>
              <w:right w:val="nil"/>
            </w:tcBorders>
            <w:shd w:val="clear" w:color="FFFFFF" w:fill="auto"/>
            <w:noWrap/>
            <w:vAlign w:val="bottom"/>
          </w:tcPr>
          <w:p w14:paraId="1788ED5A" w14:textId="77777777" w:rsidR="00F600B5" w:rsidRPr="008659FE" w:rsidRDefault="00F600B5" w:rsidP="00F600B5">
            <w:pPr>
              <w:keepNext/>
              <w:keepLines/>
              <w:spacing w:before="0" w:after="0" w:line="276" w:lineRule="auto"/>
              <w:jc w:val="right"/>
              <w:rPr>
                <w:rFonts w:ascii="Arial" w:hAnsi="Arial"/>
                <w:b/>
                <w:sz w:val="16"/>
                <w:szCs w:val="16"/>
                <w:lang w:val="en-AU"/>
              </w:rPr>
            </w:pPr>
          </w:p>
        </w:tc>
        <w:tc>
          <w:tcPr>
            <w:tcW w:w="1191" w:type="dxa"/>
            <w:tcBorders>
              <w:top w:val="single" w:sz="4" w:space="0" w:color="auto"/>
              <w:left w:val="nil"/>
              <w:bottom w:val="nil"/>
              <w:right w:val="nil"/>
            </w:tcBorders>
            <w:shd w:val="clear" w:color="auto" w:fill="auto"/>
            <w:noWrap/>
            <w:vAlign w:val="bottom"/>
          </w:tcPr>
          <w:p w14:paraId="7B064C9D" w14:textId="77777777" w:rsidR="00F600B5" w:rsidRPr="00353F8D" w:rsidRDefault="00F600B5" w:rsidP="00F600B5">
            <w:pPr>
              <w:keepNext/>
              <w:keepLines/>
              <w:spacing w:before="0" w:after="0" w:line="276" w:lineRule="auto"/>
              <w:jc w:val="right"/>
              <w:rPr>
                <w:rFonts w:ascii="Arial" w:hAnsi="Arial"/>
                <w:b/>
                <w:bCs/>
                <w:sz w:val="16"/>
                <w:szCs w:val="16"/>
                <w:lang w:val="en-AU"/>
              </w:rPr>
            </w:pPr>
          </w:p>
        </w:tc>
        <w:tc>
          <w:tcPr>
            <w:tcW w:w="1413" w:type="dxa"/>
            <w:tcBorders>
              <w:top w:val="single" w:sz="4" w:space="0" w:color="auto"/>
              <w:left w:val="nil"/>
              <w:bottom w:val="nil"/>
              <w:right w:val="nil"/>
            </w:tcBorders>
            <w:shd w:val="clear" w:color="auto" w:fill="auto"/>
            <w:noWrap/>
            <w:vAlign w:val="bottom"/>
          </w:tcPr>
          <w:p w14:paraId="3BB628B5" w14:textId="77777777" w:rsidR="00F600B5" w:rsidRPr="009E4B9D" w:rsidRDefault="00F600B5" w:rsidP="00F600B5">
            <w:pPr>
              <w:spacing w:before="0" w:after="0" w:line="276" w:lineRule="auto"/>
              <w:jc w:val="right"/>
              <w:rPr>
                <w:rFonts w:ascii="Arial" w:hAnsi="Arial"/>
                <w:b/>
                <w:sz w:val="16"/>
                <w:szCs w:val="16"/>
                <w:lang w:eastAsia="en-US"/>
              </w:rPr>
            </w:pPr>
          </w:p>
        </w:tc>
        <w:tc>
          <w:tcPr>
            <w:tcW w:w="1195" w:type="dxa"/>
            <w:tcBorders>
              <w:top w:val="single" w:sz="4" w:space="0" w:color="auto"/>
              <w:left w:val="nil"/>
              <w:bottom w:val="nil"/>
              <w:right w:val="nil"/>
            </w:tcBorders>
            <w:shd w:val="clear" w:color="auto" w:fill="auto"/>
            <w:noWrap/>
            <w:vAlign w:val="bottom"/>
          </w:tcPr>
          <w:p w14:paraId="56448364" w14:textId="77777777" w:rsidR="00F600B5" w:rsidRPr="009E4B9D" w:rsidRDefault="00F600B5" w:rsidP="00F600B5">
            <w:pPr>
              <w:spacing w:before="0" w:after="0" w:line="276" w:lineRule="auto"/>
              <w:jc w:val="right"/>
              <w:rPr>
                <w:rFonts w:ascii="Arial" w:hAnsi="Arial"/>
                <w:b/>
                <w:sz w:val="16"/>
                <w:szCs w:val="16"/>
                <w:lang w:eastAsia="en-US"/>
              </w:rPr>
            </w:pPr>
          </w:p>
        </w:tc>
      </w:tr>
      <w:tr w:rsidR="00F600B5" w:rsidRPr="00BA1388" w14:paraId="3F0AACC6" w14:textId="77777777" w:rsidTr="00F600B5">
        <w:trPr>
          <w:trHeight w:val="227"/>
        </w:trPr>
        <w:tc>
          <w:tcPr>
            <w:tcW w:w="3085" w:type="dxa"/>
            <w:tcBorders>
              <w:top w:val="nil"/>
              <w:left w:val="nil"/>
              <w:bottom w:val="nil"/>
              <w:right w:val="nil"/>
            </w:tcBorders>
            <w:shd w:val="clear" w:color="FFFFFF" w:fill="auto"/>
            <w:vAlign w:val="bottom"/>
          </w:tcPr>
          <w:p w14:paraId="244D7298" w14:textId="77777777" w:rsidR="00F600B5" w:rsidRPr="008659FE" w:rsidRDefault="00F600B5" w:rsidP="00F600B5">
            <w:pPr>
              <w:spacing w:before="0" w:after="0" w:line="276" w:lineRule="auto"/>
              <w:ind w:left="179"/>
              <w:rPr>
                <w:rFonts w:ascii="Arial" w:hAnsi="Arial"/>
                <w:b/>
                <w:sz w:val="16"/>
                <w:szCs w:val="16"/>
                <w:lang w:val="en-AU"/>
              </w:rPr>
            </w:pPr>
            <w:r w:rsidRPr="008659FE">
              <w:rPr>
                <w:rFonts w:ascii="Arial" w:hAnsi="Arial"/>
                <w:sz w:val="16"/>
                <w:szCs w:val="16"/>
                <w:lang w:val="en-AU"/>
              </w:rPr>
              <w:t>Lavarack Barracks</w:t>
            </w:r>
          </w:p>
        </w:tc>
        <w:tc>
          <w:tcPr>
            <w:tcW w:w="1790" w:type="dxa"/>
            <w:tcBorders>
              <w:top w:val="nil"/>
              <w:left w:val="nil"/>
              <w:bottom w:val="nil"/>
              <w:right w:val="nil"/>
            </w:tcBorders>
            <w:shd w:val="clear" w:color="FFFFFF" w:fill="auto"/>
            <w:noWrap/>
            <w:vAlign w:val="bottom"/>
          </w:tcPr>
          <w:p w14:paraId="4A32086F" w14:textId="77777777" w:rsidR="00F600B5" w:rsidRPr="008659FE" w:rsidRDefault="00F600B5" w:rsidP="00F600B5">
            <w:pPr>
              <w:spacing w:before="0" w:after="0" w:line="276" w:lineRule="auto"/>
              <w:jc w:val="right"/>
              <w:rPr>
                <w:rFonts w:ascii="Arial" w:hAnsi="Arial"/>
                <w:sz w:val="16"/>
                <w:szCs w:val="16"/>
                <w:lang w:val="en-AU"/>
              </w:rPr>
            </w:pPr>
            <w:r w:rsidRPr="008659FE">
              <w:rPr>
                <w:rFonts w:ascii="Arial" w:hAnsi="Arial"/>
                <w:sz w:val="16"/>
                <w:szCs w:val="16"/>
                <w:lang w:val="en-AU"/>
              </w:rPr>
              <w:t>QLD - Herbert</w:t>
            </w:r>
          </w:p>
        </w:tc>
        <w:tc>
          <w:tcPr>
            <w:tcW w:w="1191" w:type="dxa"/>
            <w:tcBorders>
              <w:top w:val="nil"/>
              <w:left w:val="nil"/>
              <w:bottom w:val="nil"/>
              <w:right w:val="nil"/>
            </w:tcBorders>
            <w:shd w:val="clear" w:color="auto" w:fill="auto"/>
            <w:noWrap/>
            <w:vAlign w:val="bottom"/>
          </w:tcPr>
          <w:p w14:paraId="7C7A74A5" w14:textId="77777777" w:rsidR="00F600B5" w:rsidRPr="00353F8D" w:rsidRDefault="00F600B5" w:rsidP="00F600B5">
            <w:pPr>
              <w:keepNext/>
              <w:keepLines/>
              <w:spacing w:before="0" w:after="0" w:line="276" w:lineRule="auto"/>
              <w:jc w:val="right"/>
              <w:rPr>
                <w:rFonts w:ascii="Arial" w:hAnsi="Arial"/>
                <w:b/>
                <w:bCs/>
                <w:sz w:val="16"/>
                <w:szCs w:val="16"/>
                <w:lang w:val="en-AU"/>
              </w:rPr>
            </w:pPr>
          </w:p>
        </w:tc>
        <w:tc>
          <w:tcPr>
            <w:tcW w:w="1413" w:type="dxa"/>
            <w:tcBorders>
              <w:top w:val="nil"/>
              <w:left w:val="nil"/>
              <w:bottom w:val="nil"/>
              <w:right w:val="nil"/>
            </w:tcBorders>
            <w:shd w:val="clear" w:color="auto" w:fill="auto"/>
            <w:noWrap/>
            <w:vAlign w:val="bottom"/>
          </w:tcPr>
          <w:p w14:paraId="00D9D47B" w14:textId="77777777" w:rsidR="00F600B5" w:rsidRPr="009E4B9D" w:rsidRDefault="00F600B5" w:rsidP="00F600B5">
            <w:pPr>
              <w:spacing w:before="0" w:after="0" w:line="276" w:lineRule="auto"/>
              <w:jc w:val="right"/>
              <w:rPr>
                <w:rFonts w:ascii="Arial" w:hAnsi="Arial"/>
                <w:sz w:val="16"/>
                <w:szCs w:val="16"/>
                <w:lang w:eastAsia="en-US"/>
              </w:rPr>
            </w:pPr>
            <w:r>
              <w:rPr>
                <w:rFonts w:ascii="Arial" w:hAnsi="Arial"/>
                <w:sz w:val="16"/>
                <w:szCs w:val="16"/>
                <w:lang w:eastAsia="en-US"/>
              </w:rPr>
              <w:t>14.9</w:t>
            </w:r>
          </w:p>
        </w:tc>
        <w:tc>
          <w:tcPr>
            <w:tcW w:w="1195" w:type="dxa"/>
            <w:tcBorders>
              <w:top w:val="nil"/>
              <w:left w:val="nil"/>
              <w:bottom w:val="nil"/>
              <w:right w:val="nil"/>
            </w:tcBorders>
            <w:shd w:val="clear" w:color="auto" w:fill="auto"/>
            <w:noWrap/>
            <w:vAlign w:val="bottom"/>
          </w:tcPr>
          <w:p w14:paraId="3FB933F2" w14:textId="77777777" w:rsidR="00F600B5" w:rsidRPr="009E4B9D" w:rsidRDefault="00F600B5" w:rsidP="00F600B5">
            <w:pPr>
              <w:spacing w:before="0" w:after="0" w:line="276" w:lineRule="auto"/>
              <w:jc w:val="right"/>
              <w:rPr>
                <w:rFonts w:ascii="Arial" w:hAnsi="Arial"/>
                <w:sz w:val="16"/>
                <w:szCs w:val="16"/>
                <w:lang w:eastAsia="en-US"/>
              </w:rPr>
            </w:pPr>
            <w:r w:rsidRPr="009E4B9D">
              <w:rPr>
                <w:rFonts w:ascii="Arial" w:hAnsi="Arial"/>
                <w:sz w:val="16"/>
                <w:szCs w:val="16"/>
                <w:lang w:eastAsia="en-US"/>
              </w:rPr>
              <w:t>17.0</w:t>
            </w:r>
          </w:p>
        </w:tc>
      </w:tr>
      <w:tr w:rsidR="00F600B5" w:rsidRPr="00BA1388" w14:paraId="14C95350" w14:textId="77777777" w:rsidTr="00F600B5">
        <w:trPr>
          <w:trHeight w:val="227"/>
        </w:trPr>
        <w:tc>
          <w:tcPr>
            <w:tcW w:w="3085" w:type="dxa"/>
            <w:tcBorders>
              <w:top w:val="nil"/>
              <w:left w:val="nil"/>
              <w:bottom w:val="nil"/>
              <w:right w:val="nil"/>
            </w:tcBorders>
            <w:shd w:val="clear" w:color="FFFFFF" w:fill="auto"/>
            <w:vAlign w:val="bottom"/>
          </w:tcPr>
          <w:p w14:paraId="1792EF6A" w14:textId="77777777" w:rsidR="00F600B5" w:rsidRPr="008659FE" w:rsidRDefault="00F600B5" w:rsidP="00F600B5">
            <w:pPr>
              <w:spacing w:before="0" w:after="0" w:line="276" w:lineRule="auto"/>
              <w:ind w:left="179"/>
              <w:rPr>
                <w:rFonts w:ascii="Arial" w:hAnsi="Arial"/>
                <w:b/>
                <w:sz w:val="16"/>
                <w:szCs w:val="16"/>
                <w:lang w:val="en-AU"/>
              </w:rPr>
            </w:pPr>
            <w:r w:rsidRPr="008659FE">
              <w:rPr>
                <w:rFonts w:ascii="Arial" w:hAnsi="Arial"/>
                <w:sz w:val="16"/>
                <w:szCs w:val="16"/>
                <w:lang w:val="en-AU"/>
              </w:rPr>
              <w:t>Puckapunyal Military Area</w:t>
            </w:r>
          </w:p>
        </w:tc>
        <w:tc>
          <w:tcPr>
            <w:tcW w:w="1790" w:type="dxa"/>
            <w:tcBorders>
              <w:top w:val="nil"/>
              <w:left w:val="nil"/>
              <w:bottom w:val="nil"/>
              <w:right w:val="nil"/>
            </w:tcBorders>
            <w:shd w:val="clear" w:color="FFFFFF" w:fill="auto"/>
            <w:noWrap/>
            <w:vAlign w:val="bottom"/>
          </w:tcPr>
          <w:p w14:paraId="7AF773EB" w14:textId="77777777" w:rsidR="00F600B5" w:rsidRPr="008659FE" w:rsidRDefault="00F600B5" w:rsidP="00F600B5">
            <w:pPr>
              <w:spacing w:before="0" w:after="0" w:line="276" w:lineRule="auto"/>
              <w:jc w:val="right"/>
              <w:rPr>
                <w:rFonts w:ascii="Arial" w:hAnsi="Arial"/>
                <w:sz w:val="16"/>
                <w:szCs w:val="16"/>
                <w:lang w:val="en-AU"/>
              </w:rPr>
            </w:pPr>
            <w:r w:rsidRPr="008659FE">
              <w:rPr>
                <w:rFonts w:ascii="Arial" w:hAnsi="Arial"/>
                <w:sz w:val="16"/>
                <w:szCs w:val="16"/>
                <w:lang w:val="en-AU"/>
              </w:rPr>
              <w:t>VIC - Nicholls</w:t>
            </w:r>
          </w:p>
        </w:tc>
        <w:tc>
          <w:tcPr>
            <w:tcW w:w="1191" w:type="dxa"/>
            <w:tcBorders>
              <w:top w:val="nil"/>
              <w:left w:val="nil"/>
              <w:bottom w:val="nil"/>
              <w:right w:val="nil"/>
            </w:tcBorders>
            <w:shd w:val="clear" w:color="auto" w:fill="auto"/>
            <w:noWrap/>
            <w:vAlign w:val="bottom"/>
          </w:tcPr>
          <w:p w14:paraId="02270A57" w14:textId="77777777" w:rsidR="00F600B5" w:rsidRPr="00353F8D" w:rsidRDefault="00F600B5" w:rsidP="00F600B5">
            <w:pPr>
              <w:keepNext/>
              <w:keepLines/>
              <w:spacing w:before="0" w:after="0" w:line="276" w:lineRule="auto"/>
              <w:jc w:val="right"/>
              <w:rPr>
                <w:rFonts w:ascii="Arial" w:hAnsi="Arial"/>
                <w:b/>
                <w:bCs/>
                <w:sz w:val="16"/>
                <w:szCs w:val="16"/>
                <w:lang w:val="en-AU"/>
              </w:rPr>
            </w:pPr>
          </w:p>
        </w:tc>
        <w:tc>
          <w:tcPr>
            <w:tcW w:w="1413" w:type="dxa"/>
            <w:tcBorders>
              <w:top w:val="nil"/>
              <w:left w:val="nil"/>
              <w:bottom w:val="nil"/>
              <w:right w:val="nil"/>
            </w:tcBorders>
            <w:shd w:val="clear" w:color="auto" w:fill="auto"/>
            <w:noWrap/>
            <w:vAlign w:val="bottom"/>
          </w:tcPr>
          <w:p w14:paraId="2EC46AC5" w14:textId="77777777" w:rsidR="00F600B5" w:rsidRPr="009E4B9D" w:rsidRDefault="00F600B5" w:rsidP="00F600B5">
            <w:pPr>
              <w:spacing w:before="0" w:after="0" w:line="276" w:lineRule="auto"/>
              <w:jc w:val="right"/>
              <w:rPr>
                <w:rFonts w:ascii="Arial" w:hAnsi="Arial"/>
                <w:sz w:val="16"/>
                <w:szCs w:val="16"/>
                <w:lang w:eastAsia="en-US"/>
              </w:rPr>
            </w:pPr>
            <w:r w:rsidRPr="009E4B9D">
              <w:rPr>
                <w:rFonts w:ascii="Arial" w:hAnsi="Arial"/>
                <w:sz w:val="16"/>
                <w:szCs w:val="16"/>
                <w:lang w:eastAsia="en-US"/>
              </w:rPr>
              <w:t>0.4</w:t>
            </w:r>
          </w:p>
        </w:tc>
        <w:tc>
          <w:tcPr>
            <w:tcW w:w="1195" w:type="dxa"/>
            <w:tcBorders>
              <w:top w:val="nil"/>
              <w:left w:val="nil"/>
              <w:bottom w:val="nil"/>
              <w:right w:val="nil"/>
            </w:tcBorders>
            <w:shd w:val="clear" w:color="auto" w:fill="auto"/>
            <w:noWrap/>
            <w:vAlign w:val="bottom"/>
          </w:tcPr>
          <w:p w14:paraId="4040E621" w14:textId="77777777" w:rsidR="00F600B5" w:rsidRPr="009E4B9D" w:rsidRDefault="00F600B5" w:rsidP="00F600B5">
            <w:pPr>
              <w:spacing w:before="0" w:after="0" w:line="276" w:lineRule="auto"/>
              <w:jc w:val="right"/>
              <w:rPr>
                <w:rFonts w:ascii="Arial" w:hAnsi="Arial"/>
                <w:sz w:val="16"/>
                <w:szCs w:val="16"/>
                <w:lang w:eastAsia="en-US"/>
              </w:rPr>
            </w:pPr>
            <w:r w:rsidRPr="009E4B9D">
              <w:rPr>
                <w:rFonts w:ascii="Arial" w:hAnsi="Arial"/>
                <w:sz w:val="16"/>
                <w:szCs w:val="16"/>
                <w:lang w:eastAsia="en-US"/>
              </w:rPr>
              <w:t>0.0</w:t>
            </w:r>
          </w:p>
        </w:tc>
      </w:tr>
      <w:tr w:rsidR="00F600B5" w:rsidRPr="00BA1388" w14:paraId="01D62A68" w14:textId="77777777" w:rsidTr="00F600B5">
        <w:trPr>
          <w:trHeight w:val="227"/>
        </w:trPr>
        <w:tc>
          <w:tcPr>
            <w:tcW w:w="3085" w:type="dxa"/>
            <w:tcBorders>
              <w:top w:val="nil"/>
              <w:left w:val="nil"/>
              <w:bottom w:val="single" w:sz="4" w:space="0" w:color="auto"/>
              <w:right w:val="nil"/>
            </w:tcBorders>
            <w:shd w:val="clear" w:color="FFFFFF" w:fill="auto"/>
            <w:vAlign w:val="bottom"/>
          </w:tcPr>
          <w:p w14:paraId="0A8DD6F1" w14:textId="77777777" w:rsidR="00F600B5" w:rsidRPr="008659FE" w:rsidRDefault="00F600B5" w:rsidP="00F600B5">
            <w:pPr>
              <w:spacing w:before="0" w:after="0" w:line="276" w:lineRule="auto"/>
              <w:rPr>
                <w:rFonts w:ascii="Arial" w:hAnsi="Arial"/>
                <w:b/>
                <w:sz w:val="16"/>
                <w:szCs w:val="16"/>
                <w:lang w:val="en-AU"/>
              </w:rPr>
            </w:pPr>
            <w:r w:rsidRPr="008659FE">
              <w:rPr>
                <w:rFonts w:ascii="Arial" w:hAnsi="Arial"/>
                <w:b/>
                <w:sz w:val="16"/>
                <w:szCs w:val="16"/>
                <w:lang w:val="en-AU"/>
              </w:rPr>
              <w:t xml:space="preserve">Total </w:t>
            </w:r>
          </w:p>
        </w:tc>
        <w:tc>
          <w:tcPr>
            <w:tcW w:w="1790" w:type="dxa"/>
            <w:tcBorders>
              <w:top w:val="nil"/>
              <w:left w:val="nil"/>
              <w:bottom w:val="single" w:sz="4" w:space="0" w:color="auto"/>
              <w:right w:val="nil"/>
            </w:tcBorders>
            <w:shd w:val="clear" w:color="FFFFFF" w:fill="auto"/>
            <w:noWrap/>
            <w:vAlign w:val="bottom"/>
          </w:tcPr>
          <w:p w14:paraId="7E7B9BD6" w14:textId="77777777" w:rsidR="00F600B5" w:rsidRPr="008659FE" w:rsidRDefault="00F600B5" w:rsidP="00F600B5">
            <w:pPr>
              <w:keepNext/>
              <w:keepLines/>
              <w:spacing w:before="0" w:after="0" w:line="276" w:lineRule="auto"/>
              <w:jc w:val="right"/>
              <w:rPr>
                <w:rFonts w:ascii="Arial" w:hAnsi="Arial"/>
                <w:b/>
                <w:sz w:val="16"/>
                <w:szCs w:val="16"/>
                <w:lang w:val="en-AU"/>
              </w:rPr>
            </w:pPr>
          </w:p>
        </w:tc>
        <w:tc>
          <w:tcPr>
            <w:tcW w:w="1191" w:type="dxa"/>
            <w:tcBorders>
              <w:top w:val="nil"/>
              <w:left w:val="nil"/>
              <w:bottom w:val="single" w:sz="4" w:space="0" w:color="auto"/>
              <w:right w:val="nil"/>
            </w:tcBorders>
            <w:shd w:val="clear" w:color="auto" w:fill="auto"/>
            <w:noWrap/>
            <w:vAlign w:val="bottom"/>
          </w:tcPr>
          <w:p w14:paraId="67165B19" w14:textId="77777777" w:rsidR="00F600B5" w:rsidRPr="00353F8D" w:rsidRDefault="00F600B5" w:rsidP="00F600B5">
            <w:pPr>
              <w:spacing w:before="0" w:after="0" w:line="276" w:lineRule="auto"/>
              <w:jc w:val="right"/>
              <w:rPr>
                <w:rFonts w:ascii="Arial" w:hAnsi="Arial"/>
                <w:b/>
                <w:sz w:val="16"/>
                <w:szCs w:val="16"/>
                <w:lang w:val="en-AU"/>
              </w:rPr>
            </w:pPr>
            <w:r w:rsidRPr="00353F8D">
              <w:rPr>
                <w:rFonts w:ascii="Arial" w:hAnsi="Arial"/>
                <w:b/>
                <w:sz w:val="16"/>
                <w:szCs w:val="16"/>
                <w:lang w:val="en-AU"/>
              </w:rPr>
              <w:t>36.5</w:t>
            </w:r>
          </w:p>
        </w:tc>
        <w:tc>
          <w:tcPr>
            <w:tcW w:w="1413" w:type="dxa"/>
            <w:tcBorders>
              <w:top w:val="nil"/>
              <w:left w:val="nil"/>
              <w:bottom w:val="single" w:sz="4" w:space="0" w:color="auto"/>
              <w:right w:val="nil"/>
            </w:tcBorders>
            <w:shd w:val="clear" w:color="auto" w:fill="auto"/>
            <w:noWrap/>
            <w:vAlign w:val="bottom"/>
          </w:tcPr>
          <w:p w14:paraId="5FB1BFBF" w14:textId="77777777" w:rsidR="00F600B5" w:rsidRPr="009E4B9D" w:rsidRDefault="00F600B5" w:rsidP="00F600B5">
            <w:pPr>
              <w:spacing w:before="0" w:after="0" w:line="276" w:lineRule="auto"/>
              <w:jc w:val="right"/>
              <w:rPr>
                <w:rFonts w:ascii="Arial" w:hAnsi="Arial"/>
                <w:b/>
                <w:sz w:val="16"/>
                <w:szCs w:val="16"/>
                <w:lang w:eastAsia="en-US"/>
              </w:rPr>
            </w:pPr>
            <w:r>
              <w:rPr>
                <w:rFonts w:ascii="Arial" w:hAnsi="Arial"/>
                <w:b/>
                <w:sz w:val="16"/>
                <w:szCs w:val="16"/>
                <w:lang w:eastAsia="en-US"/>
              </w:rPr>
              <w:t>15.3</w:t>
            </w:r>
          </w:p>
        </w:tc>
        <w:tc>
          <w:tcPr>
            <w:tcW w:w="1195" w:type="dxa"/>
            <w:tcBorders>
              <w:top w:val="nil"/>
              <w:left w:val="nil"/>
              <w:bottom w:val="single" w:sz="4" w:space="0" w:color="auto"/>
              <w:right w:val="nil"/>
            </w:tcBorders>
            <w:shd w:val="clear" w:color="auto" w:fill="auto"/>
            <w:noWrap/>
            <w:vAlign w:val="bottom"/>
          </w:tcPr>
          <w:p w14:paraId="4115F148" w14:textId="77777777" w:rsidR="00F600B5" w:rsidRPr="009E4B9D" w:rsidRDefault="00F600B5" w:rsidP="00F600B5">
            <w:pPr>
              <w:spacing w:before="0" w:after="0" w:line="276" w:lineRule="auto"/>
              <w:jc w:val="right"/>
              <w:rPr>
                <w:rFonts w:ascii="Arial" w:hAnsi="Arial"/>
                <w:b/>
                <w:sz w:val="16"/>
                <w:szCs w:val="16"/>
                <w:lang w:eastAsia="en-US"/>
              </w:rPr>
            </w:pPr>
            <w:r w:rsidRPr="009E4B9D">
              <w:rPr>
                <w:rFonts w:ascii="Arial" w:hAnsi="Arial"/>
                <w:b/>
                <w:sz w:val="16"/>
                <w:szCs w:val="16"/>
                <w:lang w:eastAsia="en-US"/>
              </w:rPr>
              <w:t>17.0</w:t>
            </w:r>
          </w:p>
        </w:tc>
      </w:tr>
      <w:tr w:rsidR="00F600B5" w:rsidRPr="00BA1388" w14:paraId="2F6A21CE" w14:textId="77777777" w:rsidTr="00F600B5">
        <w:trPr>
          <w:trHeight w:val="227"/>
        </w:trPr>
        <w:tc>
          <w:tcPr>
            <w:tcW w:w="3085" w:type="dxa"/>
            <w:tcBorders>
              <w:top w:val="single" w:sz="4" w:space="0" w:color="auto"/>
              <w:left w:val="nil"/>
              <w:bottom w:val="nil"/>
              <w:right w:val="nil"/>
            </w:tcBorders>
            <w:shd w:val="clear" w:color="FFFFFF" w:fill="auto"/>
            <w:vAlign w:val="bottom"/>
          </w:tcPr>
          <w:p w14:paraId="102583B1" w14:textId="77777777" w:rsidR="00F600B5" w:rsidRPr="008659FE" w:rsidRDefault="00F600B5" w:rsidP="00F600B5">
            <w:pPr>
              <w:spacing w:before="0" w:after="0" w:line="276" w:lineRule="auto"/>
              <w:rPr>
                <w:rFonts w:ascii="Arial" w:hAnsi="Arial"/>
                <w:b/>
                <w:sz w:val="16"/>
                <w:szCs w:val="16"/>
                <w:lang w:val="en-AU"/>
              </w:rPr>
            </w:pPr>
            <w:r w:rsidRPr="008659FE">
              <w:rPr>
                <w:rFonts w:ascii="Arial" w:hAnsi="Arial"/>
                <w:b/>
                <w:sz w:val="16"/>
                <w:szCs w:val="16"/>
                <w:lang w:val="en-AU"/>
              </w:rPr>
              <w:t>Relocation of Units from Elizabeth North Training Depot</w:t>
            </w:r>
          </w:p>
        </w:tc>
        <w:tc>
          <w:tcPr>
            <w:tcW w:w="1790" w:type="dxa"/>
            <w:tcBorders>
              <w:top w:val="single" w:sz="4" w:space="0" w:color="auto"/>
              <w:left w:val="nil"/>
              <w:bottom w:val="nil"/>
              <w:right w:val="nil"/>
            </w:tcBorders>
            <w:shd w:val="clear" w:color="FFFFFF" w:fill="auto"/>
            <w:noWrap/>
            <w:vAlign w:val="bottom"/>
          </w:tcPr>
          <w:p w14:paraId="0A39E1B7" w14:textId="77777777" w:rsidR="00F600B5" w:rsidRPr="008659FE" w:rsidRDefault="00F600B5" w:rsidP="00F600B5">
            <w:pPr>
              <w:keepNext/>
              <w:keepLines/>
              <w:spacing w:before="0" w:after="0" w:line="276" w:lineRule="auto"/>
              <w:jc w:val="right"/>
              <w:rPr>
                <w:rFonts w:ascii="Arial" w:hAnsi="Arial"/>
                <w:b/>
                <w:sz w:val="16"/>
                <w:szCs w:val="16"/>
                <w:lang w:val="en-AU"/>
              </w:rPr>
            </w:pPr>
          </w:p>
        </w:tc>
        <w:tc>
          <w:tcPr>
            <w:tcW w:w="1191" w:type="dxa"/>
            <w:tcBorders>
              <w:top w:val="single" w:sz="4" w:space="0" w:color="auto"/>
              <w:left w:val="nil"/>
              <w:bottom w:val="nil"/>
              <w:right w:val="nil"/>
            </w:tcBorders>
            <w:shd w:val="clear" w:color="auto" w:fill="auto"/>
            <w:noWrap/>
            <w:vAlign w:val="bottom"/>
          </w:tcPr>
          <w:p w14:paraId="6994EDBD" w14:textId="77777777" w:rsidR="00F600B5" w:rsidRPr="00353F8D" w:rsidRDefault="00F600B5" w:rsidP="00F600B5">
            <w:pPr>
              <w:spacing w:before="0" w:after="0" w:line="276" w:lineRule="auto"/>
              <w:jc w:val="right"/>
              <w:rPr>
                <w:rFonts w:ascii="Arial" w:hAnsi="Arial"/>
                <w:b/>
                <w:sz w:val="16"/>
                <w:szCs w:val="16"/>
                <w:lang w:val="en-AU"/>
              </w:rPr>
            </w:pPr>
          </w:p>
        </w:tc>
        <w:tc>
          <w:tcPr>
            <w:tcW w:w="1413" w:type="dxa"/>
            <w:tcBorders>
              <w:top w:val="single" w:sz="4" w:space="0" w:color="auto"/>
              <w:left w:val="nil"/>
              <w:bottom w:val="nil"/>
              <w:right w:val="nil"/>
            </w:tcBorders>
            <w:shd w:val="clear" w:color="auto" w:fill="auto"/>
            <w:noWrap/>
            <w:vAlign w:val="bottom"/>
          </w:tcPr>
          <w:p w14:paraId="117157B6" w14:textId="77777777" w:rsidR="00F600B5" w:rsidRPr="009E4B9D" w:rsidRDefault="00F600B5" w:rsidP="00F600B5">
            <w:pPr>
              <w:spacing w:before="0" w:after="0" w:line="276" w:lineRule="auto"/>
              <w:jc w:val="right"/>
              <w:rPr>
                <w:rFonts w:ascii="Arial" w:hAnsi="Arial"/>
                <w:b/>
                <w:sz w:val="16"/>
                <w:szCs w:val="16"/>
                <w:lang w:eastAsia="en-US"/>
              </w:rPr>
            </w:pPr>
          </w:p>
        </w:tc>
        <w:tc>
          <w:tcPr>
            <w:tcW w:w="1195" w:type="dxa"/>
            <w:tcBorders>
              <w:top w:val="single" w:sz="4" w:space="0" w:color="auto"/>
              <w:left w:val="nil"/>
              <w:bottom w:val="nil"/>
              <w:right w:val="nil"/>
            </w:tcBorders>
            <w:shd w:val="clear" w:color="auto" w:fill="auto"/>
            <w:noWrap/>
            <w:vAlign w:val="bottom"/>
          </w:tcPr>
          <w:p w14:paraId="443E91BF" w14:textId="77777777" w:rsidR="00F600B5" w:rsidRPr="009E4B9D" w:rsidRDefault="00F600B5" w:rsidP="00F600B5">
            <w:pPr>
              <w:spacing w:before="0" w:after="0" w:line="276" w:lineRule="auto"/>
              <w:jc w:val="right"/>
              <w:rPr>
                <w:rFonts w:ascii="Arial" w:hAnsi="Arial"/>
                <w:b/>
                <w:sz w:val="16"/>
                <w:szCs w:val="16"/>
                <w:lang w:eastAsia="en-US"/>
              </w:rPr>
            </w:pPr>
          </w:p>
        </w:tc>
      </w:tr>
      <w:tr w:rsidR="00F600B5" w:rsidRPr="00BA1388" w14:paraId="42999ACC" w14:textId="77777777" w:rsidTr="00F600B5">
        <w:trPr>
          <w:trHeight w:val="227"/>
        </w:trPr>
        <w:tc>
          <w:tcPr>
            <w:tcW w:w="3085" w:type="dxa"/>
            <w:tcBorders>
              <w:top w:val="nil"/>
              <w:left w:val="nil"/>
              <w:bottom w:val="single" w:sz="4" w:space="0" w:color="auto"/>
              <w:right w:val="nil"/>
            </w:tcBorders>
            <w:shd w:val="clear" w:color="FFFFFF" w:fill="auto"/>
            <w:vAlign w:val="bottom"/>
          </w:tcPr>
          <w:p w14:paraId="159FB860" w14:textId="77777777" w:rsidR="00F600B5" w:rsidRPr="008659FE" w:rsidRDefault="00F600B5" w:rsidP="00F600B5">
            <w:pPr>
              <w:spacing w:before="0" w:after="0" w:line="276" w:lineRule="auto"/>
              <w:ind w:left="179"/>
              <w:rPr>
                <w:rFonts w:ascii="Arial" w:hAnsi="Arial"/>
                <w:sz w:val="16"/>
                <w:szCs w:val="16"/>
                <w:lang w:val="en-AU"/>
              </w:rPr>
            </w:pPr>
            <w:r w:rsidRPr="008659FE">
              <w:rPr>
                <w:rFonts w:ascii="Arial" w:hAnsi="Arial"/>
                <w:sz w:val="16"/>
                <w:szCs w:val="16"/>
                <w:lang w:val="en-AU"/>
              </w:rPr>
              <w:t>Edinburgh Defence Precinct</w:t>
            </w:r>
          </w:p>
        </w:tc>
        <w:tc>
          <w:tcPr>
            <w:tcW w:w="1790" w:type="dxa"/>
            <w:tcBorders>
              <w:top w:val="nil"/>
              <w:left w:val="nil"/>
              <w:bottom w:val="single" w:sz="4" w:space="0" w:color="auto"/>
              <w:right w:val="nil"/>
            </w:tcBorders>
            <w:shd w:val="clear" w:color="FFFFFF" w:fill="auto"/>
            <w:noWrap/>
            <w:vAlign w:val="bottom"/>
          </w:tcPr>
          <w:p w14:paraId="2B70FADE" w14:textId="77777777" w:rsidR="00F600B5" w:rsidRPr="008659FE" w:rsidRDefault="00F600B5" w:rsidP="00F600B5">
            <w:pPr>
              <w:spacing w:before="0" w:after="0" w:line="276" w:lineRule="auto"/>
              <w:jc w:val="right"/>
              <w:rPr>
                <w:rFonts w:ascii="Arial" w:hAnsi="Arial"/>
                <w:sz w:val="16"/>
                <w:szCs w:val="16"/>
                <w:lang w:val="en-AU"/>
              </w:rPr>
            </w:pPr>
            <w:r w:rsidRPr="008659FE">
              <w:rPr>
                <w:rFonts w:ascii="Arial" w:hAnsi="Arial"/>
                <w:sz w:val="16"/>
                <w:szCs w:val="16"/>
                <w:lang w:val="en-AU"/>
              </w:rPr>
              <w:t>SA - Spence</w:t>
            </w:r>
          </w:p>
        </w:tc>
        <w:tc>
          <w:tcPr>
            <w:tcW w:w="1191" w:type="dxa"/>
            <w:tcBorders>
              <w:top w:val="nil"/>
              <w:left w:val="nil"/>
              <w:bottom w:val="single" w:sz="4" w:space="0" w:color="auto"/>
              <w:right w:val="nil"/>
            </w:tcBorders>
            <w:shd w:val="clear" w:color="auto" w:fill="auto"/>
            <w:noWrap/>
            <w:vAlign w:val="bottom"/>
          </w:tcPr>
          <w:p w14:paraId="2854CEC6" w14:textId="77777777" w:rsidR="00F600B5" w:rsidRPr="00353F8D" w:rsidRDefault="00F600B5" w:rsidP="00F600B5">
            <w:pPr>
              <w:spacing w:before="0" w:after="0" w:line="276" w:lineRule="auto"/>
              <w:jc w:val="right"/>
              <w:rPr>
                <w:rFonts w:ascii="Arial" w:hAnsi="Arial"/>
                <w:b/>
                <w:sz w:val="16"/>
                <w:szCs w:val="16"/>
                <w:lang w:val="en-AU"/>
              </w:rPr>
            </w:pPr>
            <w:r w:rsidRPr="00353F8D">
              <w:rPr>
                <w:rFonts w:ascii="Arial" w:hAnsi="Arial"/>
                <w:b/>
                <w:sz w:val="16"/>
                <w:szCs w:val="16"/>
                <w:lang w:val="en-AU"/>
              </w:rPr>
              <w:t>35.4</w:t>
            </w:r>
          </w:p>
        </w:tc>
        <w:tc>
          <w:tcPr>
            <w:tcW w:w="1413" w:type="dxa"/>
            <w:tcBorders>
              <w:top w:val="nil"/>
              <w:left w:val="nil"/>
              <w:bottom w:val="single" w:sz="4" w:space="0" w:color="auto"/>
              <w:right w:val="nil"/>
            </w:tcBorders>
            <w:shd w:val="clear" w:color="auto" w:fill="auto"/>
            <w:noWrap/>
            <w:vAlign w:val="bottom"/>
          </w:tcPr>
          <w:p w14:paraId="588D3747" w14:textId="77777777" w:rsidR="00F600B5" w:rsidRPr="009E4B9D" w:rsidRDefault="00F600B5" w:rsidP="00F600B5">
            <w:pPr>
              <w:spacing w:before="0" w:after="0" w:line="276" w:lineRule="auto"/>
              <w:jc w:val="right"/>
              <w:rPr>
                <w:rFonts w:ascii="Arial" w:hAnsi="Arial"/>
                <w:b/>
                <w:sz w:val="16"/>
                <w:szCs w:val="16"/>
                <w:lang w:eastAsia="en-US"/>
              </w:rPr>
            </w:pPr>
            <w:r w:rsidRPr="009E4B9D">
              <w:rPr>
                <w:rFonts w:ascii="Arial" w:hAnsi="Arial"/>
                <w:b/>
                <w:sz w:val="16"/>
                <w:szCs w:val="16"/>
                <w:lang w:eastAsia="en-US"/>
              </w:rPr>
              <w:t>12.3</w:t>
            </w:r>
          </w:p>
        </w:tc>
        <w:tc>
          <w:tcPr>
            <w:tcW w:w="1195" w:type="dxa"/>
            <w:tcBorders>
              <w:top w:val="nil"/>
              <w:left w:val="nil"/>
              <w:bottom w:val="single" w:sz="4" w:space="0" w:color="auto"/>
              <w:right w:val="nil"/>
            </w:tcBorders>
            <w:shd w:val="clear" w:color="auto" w:fill="auto"/>
            <w:noWrap/>
            <w:vAlign w:val="bottom"/>
          </w:tcPr>
          <w:p w14:paraId="3C8E8538" w14:textId="77777777" w:rsidR="00F600B5" w:rsidRPr="009E4B9D" w:rsidRDefault="00F600B5" w:rsidP="00F600B5">
            <w:pPr>
              <w:spacing w:before="0" w:after="0" w:line="276" w:lineRule="auto"/>
              <w:jc w:val="right"/>
              <w:rPr>
                <w:rFonts w:ascii="Arial" w:hAnsi="Arial"/>
                <w:b/>
                <w:sz w:val="16"/>
                <w:szCs w:val="16"/>
                <w:lang w:eastAsia="en-US"/>
              </w:rPr>
            </w:pPr>
            <w:r w:rsidRPr="009E4B9D">
              <w:rPr>
                <w:rFonts w:ascii="Arial" w:hAnsi="Arial"/>
                <w:b/>
                <w:sz w:val="16"/>
                <w:szCs w:val="16"/>
                <w:lang w:eastAsia="en-US"/>
              </w:rPr>
              <w:t>13.6</w:t>
            </w:r>
          </w:p>
        </w:tc>
      </w:tr>
      <w:tr w:rsidR="00F600B5" w:rsidRPr="00BA1388" w14:paraId="51960413" w14:textId="77777777" w:rsidTr="00F600B5">
        <w:trPr>
          <w:trHeight w:val="227"/>
        </w:trPr>
        <w:tc>
          <w:tcPr>
            <w:tcW w:w="3085" w:type="dxa"/>
            <w:tcBorders>
              <w:top w:val="single" w:sz="4" w:space="0" w:color="auto"/>
              <w:left w:val="nil"/>
              <w:bottom w:val="nil"/>
              <w:right w:val="nil"/>
            </w:tcBorders>
            <w:shd w:val="clear" w:color="FFFFFF" w:fill="auto"/>
            <w:vAlign w:val="bottom"/>
          </w:tcPr>
          <w:p w14:paraId="19D45BB4" w14:textId="77777777" w:rsidR="00F600B5" w:rsidRPr="008659FE" w:rsidRDefault="00F600B5" w:rsidP="00F600B5">
            <w:pPr>
              <w:spacing w:before="0" w:after="0" w:line="276" w:lineRule="auto"/>
              <w:rPr>
                <w:rFonts w:ascii="Arial" w:hAnsi="Arial"/>
                <w:sz w:val="16"/>
                <w:szCs w:val="16"/>
                <w:lang w:val="en-AU"/>
              </w:rPr>
            </w:pPr>
            <w:r w:rsidRPr="008659FE">
              <w:rPr>
                <w:rFonts w:ascii="Arial" w:hAnsi="Arial"/>
                <w:b/>
                <w:sz w:val="16"/>
                <w:szCs w:val="16"/>
                <w:lang w:val="en-AU"/>
              </w:rPr>
              <w:t xml:space="preserve">Facilities to Support LAND 3025 </w:t>
            </w:r>
            <w:r w:rsidRPr="008659FE">
              <w:rPr>
                <w:rFonts w:ascii="Arial" w:hAnsi="Arial"/>
                <w:b/>
                <w:sz w:val="16"/>
                <w:szCs w:val="16"/>
                <w:lang w:val="en-AU"/>
              </w:rPr>
              <w:br/>
              <w:t>Phase 2 Deployable Special Operations Engineer Regiment</w:t>
            </w:r>
          </w:p>
        </w:tc>
        <w:tc>
          <w:tcPr>
            <w:tcW w:w="1790" w:type="dxa"/>
            <w:tcBorders>
              <w:top w:val="single" w:sz="4" w:space="0" w:color="auto"/>
              <w:left w:val="nil"/>
              <w:bottom w:val="nil"/>
              <w:right w:val="nil"/>
            </w:tcBorders>
            <w:shd w:val="clear" w:color="FFFFFF" w:fill="auto"/>
            <w:noWrap/>
            <w:vAlign w:val="bottom"/>
          </w:tcPr>
          <w:p w14:paraId="02CEC8D5" w14:textId="77777777" w:rsidR="00F600B5" w:rsidRPr="008659FE" w:rsidRDefault="00F600B5" w:rsidP="00F600B5">
            <w:pPr>
              <w:keepNext/>
              <w:keepLines/>
              <w:spacing w:before="0" w:after="0" w:line="276" w:lineRule="auto"/>
              <w:jc w:val="right"/>
              <w:rPr>
                <w:rFonts w:ascii="Arial" w:hAnsi="Arial"/>
                <w:b/>
                <w:sz w:val="16"/>
                <w:szCs w:val="16"/>
                <w:lang w:val="en-AU"/>
              </w:rPr>
            </w:pPr>
          </w:p>
        </w:tc>
        <w:tc>
          <w:tcPr>
            <w:tcW w:w="1191" w:type="dxa"/>
            <w:tcBorders>
              <w:top w:val="single" w:sz="4" w:space="0" w:color="auto"/>
              <w:left w:val="nil"/>
              <w:bottom w:val="nil"/>
              <w:right w:val="nil"/>
            </w:tcBorders>
            <w:shd w:val="clear" w:color="auto" w:fill="auto"/>
            <w:noWrap/>
            <w:vAlign w:val="bottom"/>
          </w:tcPr>
          <w:p w14:paraId="51FB4EF2" w14:textId="77777777" w:rsidR="00F600B5" w:rsidRPr="00353F8D" w:rsidRDefault="00F600B5" w:rsidP="00F600B5">
            <w:pPr>
              <w:keepNext/>
              <w:keepLines/>
              <w:spacing w:before="0" w:after="0" w:line="276" w:lineRule="auto"/>
              <w:jc w:val="right"/>
              <w:rPr>
                <w:rFonts w:ascii="Arial" w:hAnsi="Arial"/>
                <w:b/>
                <w:bCs/>
                <w:sz w:val="16"/>
                <w:szCs w:val="16"/>
                <w:lang w:val="en-AU"/>
              </w:rPr>
            </w:pPr>
          </w:p>
        </w:tc>
        <w:tc>
          <w:tcPr>
            <w:tcW w:w="1413" w:type="dxa"/>
            <w:tcBorders>
              <w:top w:val="single" w:sz="4" w:space="0" w:color="auto"/>
              <w:left w:val="nil"/>
              <w:bottom w:val="nil"/>
              <w:right w:val="nil"/>
            </w:tcBorders>
            <w:shd w:val="clear" w:color="auto" w:fill="auto"/>
            <w:noWrap/>
            <w:vAlign w:val="bottom"/>
          </w:tcPr>
          <w:p w14:paraId="31108344" w14:textId="77777777" w:rsidR="00F600B5" w:rsidRPr="009E4B9D" w:rsidRDefault="00F600B5" w:rsidP="00F600B5">
            <w:pPr>
              <w:spacing w:before="0" w:after="0" w:line="276" w:lineRule="auto"/>
              <w:jc w:val="right"/>
              <w:rPr>
                <w:rFonts w:ascii="Arial" w:hAnsi="Arial"/>
                <w:b/>
                <w:sz w:val="16"/>
                <w:szCs w:val="16"/>
                <w:lang w:eastAsia="en-US"/>
              </w:rPr>
            </w:pPr>
          </w:p>
        </w:tc>
        <w:tc>
          <w:tcPr>
            <w:tcW w:w="1195" w:type="dxa"/>
            <w:tcBorders>
              <w:top w:val="single" w:sz="4" w:space="0" w:color="auto"/>
              <w:left w:val="nil"/>
              <w:bottom w:val="nil"/>
              <w:right w:val="nil"/>
            </w:tcBorders>
            <w:shd w:val="clear" w:color="auto" w:fill="auto"/>
            <w:noWrap/>
            <w:vAlign w:val="bottom"/>
          </w:tcPr>
          <w:p w14:paraId="6188A104" w14:textId="77777777" w:rsidR="00F600B5" w:rsidRPr="009E4B9D" w:rsidRDefault="00F600B5" w:rsidP="00F600B5">
            <w:pPr>
              <w:spacing w:before="0" w:after="0" w:line="276" w:lineRule="auto"/>
              <w:jc w:val="right"/>
              <w:rPr>
                <w:rFonts w:ascii="Arial" w:hAnsi="Arial"/>
                <w:b/>
                <w:sz w:val="16"/>
                <w:szCs w:val="16"/>
                <w:lang w:eastAsia="en-US"/>
              </w:rPr>
            </w:pPr>
          </w:p>
        </w:tc>
      </w:tr>
      <w:tr w:rsidR="00F600B5" w:rsidRPr="00BA1388" w14:paraId="3D8294C8" w14:textId="77777777" w:rsidTr="00F600B5">
        <w:trPr>
          <w:trHeight w:val="227"/>
        </w:trPr>
        <w:tc>
          <w:tcPr>
            <w:tcW w:w="3085" w:type="dxa"/>
            <w:tcBorders>
              <w:top w:val="nil"/>
              <w:left w:val="nil"/>
              <w:bottom w:val="single" w:sz="4" w:space="0" w:color="auto"/>
              <w:right w:val="nil"/>
            </w:tcBorders>
            <w:shd w:val="clear" w:color="FFFFFF" w:fill="auto"/>
            <w:vAlign w:val="bottom"/>
          </w:tcPr>
          <w:p w14:paraId="03271CC8" w14:textId="77777777" w:rsidR="00F600B5" w:rsidRPr="008659FE" w:rsidRDefault="00F600B5" w:rsidP="00F600B5">
            <w:pPr>
              <w:spacing w:before="0" w:after="0" w:line="276" w:lineRule="auto"/>
              <w:ind w:left="179"/>
              <w:rPr>
                <w:rFonts w:ascii="Arial" w:hAnsi="Arial"/>
                <w:sz w:val="16"/>
                <w:szCs w:val="16"/>
                <w:lang w:val="en-AU"/>
              </w:rPr>
            </w:pPr>
            <w:r w:rsidRPr="008659FE">
              <w:rPr>
                <w:rFonts w:ascii="Arial" w:hAnsi="Arial"/>
                <w:sz w:val="16"/>
                <w:szCs w:val="16"/>
                <w:lang w:val="en-AU"/>
              </w:rPr>
              <w:t>Holsworthy Barracks</w:t>
            </w:r>
          </w:p>
        </w:tc>
        <w:tc>
          <w:tcPr>
            <w:tcW w:w="1790" w:type="dxa"/>
            <w:tcBorders>
              <w:top w:val="nil"/>
              <w:left w:val="nil"/>
              <w:bottom w:val="single" w:sz="4" w:space="0" w:color="auto"/>
              <w:right w:val="nil"/>
            </w:tcBorders>
            <w:shd w:val="clear" w:color="FFFFFF" w:fill="auto"/>
            <w:noWrap/>
            <w:vAlign w:val="bottom"/>
          </w:tcPr>
          <w:p w14:paraId="0E87C9E6" w14:textId="77777777" w:rsidR="00F600B5" w:rsidRPr="008659FE" w:rsidRDefault="00F600B5" w:rsidP="00F600B5">
            <w:pPr>
              <w:keepNext/>
              <w:keepLines/>
              <w:spacing w:before="0" w:after="0" w:line="276" w:lineRule="auto"/>
              <w:jc w:val="right"/>
              <w:rPr>
                <w:rFonts w:ascii="Arial" w:hAnsi="Arial"/>
                <w:b/>
                <w:sz w:val="16"/>
                <w:szCs w:val="16"/>
                <w:lang w:val="en-AU"/>
              </w:rPr>
            </w:pPr>
            <w:r w:rsidRPr="008659FE">
              <w:rPr>
                <w:rFonts w:ascii="Arial" w:hAnsi="Arial"/>
                <w:sz w:val="16"/>
                <w:szCs w:val="16"/>
                <w:lang w:val="en-AU"/>
              </w:rPr>
              <w:t>NSW - Hughes</w:t>
            </w:r>
          </w:p>
        </w:tc>
        <w:tc>
          <w:tcPr>
            <w:tcW w:w="1191" w:type="dxa"/>
            <w:tcBorders>
              <w:top w:val="nil"/>
              <w:left w:val="nil"/>
              <w:bottom w:val="single" w:sz="4" w:space="0" w:color="auto"/>
              <w:right w:val="nil"/>
            </w:tcBorders>
            <w:shd w:val="clear" w:color="auto" w:fill="auto"/>
            <w:noWrap/>
            <w:vAlign w:val="bottom"/>
          </w:tcPr>
          <w:p w14:paraId="0A593A9A" w14:textId="77777777" w:rsidR="00F600B5" w:rsidRPr="00353F8D" w:rsidRDefault="00F600B5" w:rsidP="00F600B5">
            <w:pPr>
              <w:spacing w:before="0" w:after="0" w:line="276" w:lineRule="auto"/>
              <w:jc w:val="right"/>
              <w:rPr>
                <w:rFonts w:ascii="Arial" w:hAnsi="Arial"/>
                <w:b/>
                <w:sz w:val="16"/>
                <w:szCs w:val="16"/>
                <w:lang w:val="en-AU"/>
              </w:rPr>
            </w:pPr>
            <w:r w:rsidRPr="00353F8D">
              <w:rPr>
                <w:rFonts w:ascii="Arial" w:hAnsi="Arial"/>
                <w:b/>
                <w:sz w:val="16"/>
                <w:szCs w:val="16"/>
                <w:lang w:val="en-AU"/>
              </w:rPr>
              <w:t>33.4</w:t>
            </w:r>
          </w:p>
        </w:tc>
        <w:tc>
          <w:tcPr>
            <w:tcW w:w="1413" w:type="dxa"/>
            <w:tcBorders>
              <w:top w:val="nil"/>
              <w:left w:val="nil"/>
              <w:bottom w:val="single" w:sz="4" w:space="0" w:color="auto"/>
              <w:right w:val="nil"/>
            </w:tcBorders>
            <w:shd w:val="clear" w:color="auto" w:fill="auto"/>
            <w:noWrap/>
            <w:vAlign w:val="bottom"/>
          </w:tcPr>
          <w:p w14:paraId="1C29D959" w14:textId="77777777" w:rsidR="00F600B5" w:rsidRPr="009E4B9D" w:rsidRDefault="00F600B5" w:rsidP="00F600B5">
            <w:pPr>
              <w:spacing w:before="0" w:after="0" w:line="276" w:lineRule="auto"/>
              <w:jc w:val="right"/>
              <w:rPr>
                <w:rFonts w:ascii="Arial" w:hAnsi="Arial"/>
                <w:b/>
                <w:sz w:val="16"/>
                <w:szCs w:val="16"/>
                <w:lang w:eastAsia="en-US"/>
              </w:rPr>
            </w:pPr>
            <w:r w:rsidRPr="009E4B9D">
              <w:rPr>
                <w:rFonts w:ascii="Arial" w:hAnsi="Arial"/>
                <w:b/>
                <w:sz w:val="16"/>
                <w:szCs w:val="16"/>
                <w:lang w:eastAsia="en-US"/>
              </w:rPr>
              <w:t>30.3</w:t>
            </w:r>
          </w:p>
        </w:tc>
        <w:tc>
          <w:tcPr>
            <w:tcW w:w="1195" w:type="dxa"/>
            <w:tcBorders>
              <w:top w:val="nil"/>
              <w:left w:val="nil"/>
              <w:bottom w:val="single" w:sz="4" w:space="0" w:color="auto"/>
              <w:right w:val="nil"/>
            </w:tcBorders>
            <w:shd w:val="clear" w:color="auto" w:fill="auto"/>
            <w:noWrap/>
            <w:vAlign w:val="bottom"/>
          </w:tcPr>
          <w:p w14:paraId="0C83F60A" w14:textId="77777777" w:rsidR="00F600B5" w:rsidRPr="009E4B9D" w:rsidRDefault="00F600B5" w:rsidP="00F600B5">
            <w:pPr>
              <w:spacing w:before="0" w:after="0" w:line="276" w:lineRule="auto"/>
              <w:jc w:val="right"/>
              <w:rPr>
                <w:rFonts w:ascii="Arial" w:hAnsi="Arial"/>
                <w:b/>
                <w:sz w:val="16"/>
                <w:szCs w:val="16"/>
                <w:lang w:eastAsia="en-US"/>
              </w:rPr>
            </w:pPr>
            <w:r w:rsidRPr="009E4B9D">
              <w:rPr>
                <w:rFonts w:ascii="Arial" w:hAnsi="Arial"/>
                <w:b/>
                <w:sz w:val="16"/>
                <w:szCs w:val="16"/>
                <w:lang w:eastAsia="en-US"/>
              </w:rPr>
              <w:t>0.2</w:t>
            </w:r>
          </w:p>
        </w:tc>
      </w:tr>
      <w:tr w:rsidR="00F600B5" w:rsidRPr="00BA1388" w14:paraId="74452570" w14:textId="77777777" w:rsidTr="00F600B5">
        <w:trPr>
          <w:trHeight w:val="227"/>
        </w:trPr>
        <w:tc>
          <w:tcPr>
            <w:tcW w:w="3085" w:type="dxa"/>
            <w:tcBorders>
              <w:top w:val="single" w:sz="4" w:space="0" w:color="auto"/>
              <w:left w:val="nil"/>
              <w:bottom w:val="nil"/>
              <w:right w:val="nil"/>
            </w:tcBorders>
            <w:shd w:val="clear" w:color="FFFFFF" w:fill="auto"/>
            <w:vAlign w:val="bottom"/>
          </w:tcPr>
          <w:p w14:paraId="55928A81" w14:textId="77777777" w:rsidR="00F600B5" w:rsidRPr="008659FE" w:rsidRDefault="00F600B5" w:rsidP="00F600B5">
            <w:pPr>
              <w:spacing w:before="0" w:after="0" w:line="276" w:lineRule="auto"/>
              <w:rPr>
                <w:rFonts w:ascii="Arial" w:hAnsi="Arial"/>
                <w:b/>
                <w:sz w:val="16"/>
                <w:szCs w:val="16"/>
                <w:lang w:val="en-AU"/>
              </w:rPr>
            </w:pPr>
            <w:r w:rsidRPr="008659FE">
              <w:rPr>
                <w:rFonts w:ascii="Arial" w:hAnsi="Arial"/>
                <w:b/>
                <w:sz w:val="16"/>
                <w:szCs w:val="16"/>
                <w:lang w:val="en-AU"/>
              </w:rPr>
              <w:t xml:space="preserve">Facilities to Support LAND 8180 </w:t>
            </w:r>
            <w:r w:rsidRPr="008659FE">
              <w:rPr>
                <w:rFonts w:ascii="Arial" w:hAnsi="Arial"/>
                <w:b/>
                <w:sz w:val="16"/>
                <w:szCs w:val="16"/>
                <w:lang w:val="en-AU"/>
              </w:rPr>
              <w:br/>
              <w:t>Phase 1 Aviation and Field Fire Truck</w:t>
            </w:r>
          </w:p>
        </w:tc>
        <w:tc>
          <w:tcPr>
            <w:tcW w:w="1790" w:type="dxa"/>
            <w:tcBorders>
              <w:top w:val="single" w:sz="4" w:space="0" w:color="auto"/>
              <w:left w:val="nil"/>
              <w:bottom w:val="nil"/>
              <w:right w:val="nil"/>
            </w:tcBorders>
            <w:shd w:val="clear" w:color="FFFFFF" w:fill="auto"/>
            <w:noWrap/>
            <w:vAlign w:val="bottom"/>
          </w:tcPr>
          <w:p w14:paraId="71D86C7F" w14:textId="77777777" w:rsidR="00F600B5" w:rsidRPr="008659FE" w:rsidRDefault="00F600B5" w:rsidP="00F600B5">
            <w:pPr>
              <w:keepNext/>
              <w:keepLines/>
              <w:spacing w:before="0" w:after="0" w:line="276" w:lineRule="auto"/>
              <w:jc w:val="right"/>
              <w:rPr>
                <w:rFonts w:ascii="Arial" w:hAnsi="Arial"/>
                <w:b/>
                <w:sz w:val="16"/>
                <w:szCs w:val="16"/>
                <w:lang w:val="en-AU"/>
              </w:rPr>
            </w:pPr>
          </w:p>
        </w:tc>
        <w:tc>
          <w:tcPr>
            <w:tcW w:w="1191" w:type="dxa"/>
            <w:tcBorders>
              <w:top w:val="single" w:sz="4" w:space="0" w:color="auto"/>
              <w:left w:val="nil"/>
              <w:bottom w:val="nil"/>
              <w:right w:val="nil"/>
            </w:tcBorders>
            <w:shd w:val="clear" w:color="FFFFFF" w:fill="auto"/>
            <w:noWrap/>
            <w:vAlign w:val="bottom"/>
          </w:tcPr>
          <w:p w14:paraId="16C74B16" w14:textId="77777777" w:rsidR="00F600B5" w:rsidRPr="00353F8D" w:rsidRDefault="00F600B5" w:rsidP="00F600B5">
            <w:pPr>
              <w:spacing w:before="0" w:after="0" w:line="276" w:lineRule="auto"/>
              <w:jc w:val="right"/>
              <w:rPr>
                <w:rFonts w:ascii="Arial" w:hAnsi="Arial"/>
                <w:b/>
                <w:sz w:val="16"/>
                <w:szCs w:val="16"/>
                <w:lang w:val="en-AU"/>
              </w:rPr>
            </w:pPr>
          </w:p>
        </w:tc>
        <w:tc>
          <w:tcPr>
            <w:tcW w:w="1413" w:type="dxa"/>
            <w:tcBorders>
              <w:top w:val="single" w:sz="4" w:space="0" w:color="auto"/>
              <w:left w:val="nil"/>
              <w:bottom w:val="nil"/>
              <w:right w:val="nil"/>
            </w:tcBorders>
            <w:shd w:val="clear" w:color="auto" w:fill="auto"/>
            <w:noWrap/>
            <w:vAlign w:val="bottom"/>
          </w:tcPr>
          <w:p w14:paraId="769843B6" w14:textId="77777777" w:rsidR="00F600B5" w:rsidRPr="009E4B9D" w:rsidRDefault="00F600B5" w:rsidP="00F600B5">
            <w:pPr>
              <w:spacing w:before="0" w:after="0" w:line="276" w:lineRule="auto"/>
              <w:jc w:val="right"/>
              <w:rPr>
                <w:rFonts w:ascii="Arial" w:hAnsi="Arial"/>
                <w:b/>
                <w:sz w:val="16"/>
                <w:szCs w:val="16"/>
                <w:lang w:eastAsia="en-US"/>
              </w:rPr>
            </w:pPr>
          </w:p>
        </w:tc>
        <w:tc>
          <w:tcPr>
            <w:tcW w:w="1195" w:type="dxa"/>
            <w:tcBorders>
              <w:top w:val="single" w:sz="4" w:space="0" w:color="auto"/>
              <w:left w:val="nil"/>
              <w:bottom w:val="nil"/>
              <w:right w:val="nil"/>
            </w:tcBorders>
            <w:shd w:val="clear" w:color="auto" w:fill="auto"/>
            <w:noWrap/>
            <w:vAlign w:val="bottom"/>
          </w:tcPr>
          <w:p w14:paraId="4A6A8A36" w14:textId="77777777" w:rsidR="00F600B5" w:rsidRPr="009E4B9D" w:rsidRDefault="00F600B5" w:rsidP="00F600B5">
            <w:pPr>
              <w:spacing w:before="0" w:after="0" w:line="276" w:lineRule="auto"/>
              <w:jc w:val="right"/>
              <w:rPr>
                <w:rFonts w:ascii="Arial" w:hAnsi="Arial"/>
                <w:b/>
                <w:sz w:val="16"/>
                <w:szCs w:val="16"/>
                <w:lang w:eastAsia="en-US"/>
              </w:rPr>
            </w:pPr>
          </w:p>
        </w:tc>
      </w:tr>
      <w:tr w:rsidR="00F600B5" w:rsidRPr="00BA1388" w14:paraId="6EDFD27A" w14:textId="77777777" w:rsidTr="00F600B5">
        <w:trPr>
          <w:trHeight w:val="227"/>
        </w:trPr>
        <w:tc>
          <w:tcPr>
            <w:tcW w:w="3085" w:type="dxa"/>
            <w:tcBorders>
              <w:top w:val="nil"/>
              <w:left w:val="nil"/>
              <w:bottom w:val="nil"/>
              <w:right w:val="nil"/>
            </w:tcBorders>
            <w:shd w:val="clear" w:color="FFFFFF" w:fill="auto"/>
            <w:vAlign w:val="bottom"/>
          </w:tcPr>
          <w:p w14:paraId="1BBA2224" w14:textId="77777777" w:rsidR="00F600B5" w:rsidRPr="008659FE" w:rsidRDefault="00F600B5" w:rsidP="00F600B5">
            <w:pPr>
              <w:spacing w:before="0" w:after="0" w:line="276" w:lineRule="auto"/>
              <w:ind w:left="179"/>
              <w:rPr>
                <w:rFonts w:ascii="Arial" w:hAnsi="Arial"/>
                <w:b/>
                <w:sz w:val="16"/>
                <w:szCs w:val="16"/>
                <w:lang w:val="en-AU"/>
              </w:rPr>
            </w:pPr>
            <w:r w:rsidRPr="008659FE">
              <w:rPr>
                <w:rFonts w:ascii="Arial" w:hAnsi="Arial"/>
                <w:sz w:val="16"/>
                <w:szCs w:val="16"/>
                <w:lang w:val="en-AU"/>
              </w:rPr>
              <w:t>RAAF Amberley</w:t>
            </w:r>
          </w:p>
        </w:tc>
        <w:tc>
          <w:tcPr>
            <w:tcW w:w="1790" w:type="dxa"/>
            <w:tcBorders>
              <w:top w:val="nil"/>
              <w:left w:val="nil"/>
              <w:bottom w:val="nil"/>
              <w:right w:val="nil"/>
            </w:tcBorders>
            <w:shd w:val="clear" w:color="FFFFFF" w:fill="auto"/>
            <w:noWrap/>
            <w:vAlign w:val="bottom"/>
          </w:tcPr>
          <w:p w14:paraId="4EBC7AA5" w14:textId="77777777" w:rsidR="00F600B5" w:rsidRPr="008659FE" w:rsidRDefault="00F600B5" w:rsidP="00F600B5">
            <w:pPr>
              <w:spacing w:before="0" w:after="0" w:line="276" w:lineRule="auto"/>
              <w:jc w:val="right"/>
              <w:rPr>
                <w:rFonts w:ascii="Arial" w:hAnsi="Arial"/>
                <w:sz w:val="16"/>
                <w:szCs w:val="16"/>
                <w:lang w:val="en-AU"/>
              </w:rPr>
            </w:pPr>
            <w:r w:rsidRPr="008659FE">
              <w:rPr>
                <w:rFonts w:ascii="Arial" w:hAnsi="Arial"/>
                <w:sz w:val="16"/>
                <w:szCs w:val="16"/>
                <w:lang w:val="en-AU"/>
              </w:rPr>
              <w:t>QLD - Blair</w:t>
            </w:r>
          </w:p>
        </w:tc>
        <w:tc>
          <w:tcPr>
            <w:tcW w:w="1191" w:type="dxa"/>
            <w:tcBorders>
              <w:top w:val="nil"/>
              <w:left w:val="nil"/>
              <w:bottom w:val="nil"/>
              <w:right w:val="nil"/>
            </w:tcBorders>
            <w:shd w:val="clear" w:color="FFFFFF" w:fill="auto"/>
            <w:noWrap/>
            <w:vAlign w:val="bottom"/>
          </w:tcPr>
          <w:p w14:paraId="2FB9F54B" w14:textId="77777777" w:rsidR="00F600B5" w:rsidRPr="00353F8D" w:rsidRDefault="00F600B5" w:rsidP="00F600B5">
            <w:pPr>
              <w:spacing w:before="0" w:after="0" w:line="276" w:lineRule="auto"/>
              <w:jc w:val="right"/>
              <w:rPr>
                <w:rFonts w:ascii="Arial" w:hAnsi="Arial"/>
                <w:b/>
                <w:sz w:val="16"/>
                <w:szCs w:val="16"/>
                <w:lang w:val="en-AU"/>
              </w:rPr>
            </w:pPr>
          </w:p>
        </w:tc>
        <w:tc>
          <w:tcPr>
            <w:tcW w:w="1413" w:type="dxa"/>
            <w:tcBorders>
              <w:top w:val="nil"/>
              <w:left w:val="nil"/>
              <w:bottom w:val="nil"/>
              <w:right w:val="nil"/>
            </w:tcBorders>
            <w:shd w:val="clear" w:color="auto" w:fill="auto"/>
            <w:noWrap/>
            <w:vAlign w:val="bottom"/>
          </w:tcPr>
          <w:p w14:paraId="0C040090" w14:textId="77777777" w:rsidR="00F600B5" w:rsidRPr="009E4B9D" w:rsidRDefault="00F600B5" w:rsidP="00F600B5">
            <w:pPr>
              <w:spacing w:before="0" w:after="0" w:line="276" w:lineRule="auto"/>
              <w:jc w:val="right"/>
              <w:rPr>
                <w:rFonts w:ascii="Arial" w:hAnsi="Arial"/>
                <w:sz w:val="16"/>
                <w:szCs w:val="16"/>
                <w:lang w:eastAsia="en-US"/>
              </w:rPr>
            </w:pPr>
            <w:r w:rsidRPr="009E4B9D">
              <w:rPr>
                <w:rFonts w:ascii="Arial" w:hAnsi="Arial"/>
                <w:sz w:val="16"/>
                <w:szCs w:val="16"/>
                <w:lang w:eastAsia="en-US"/>
              </w:rPr>
              <w:t>0.9</w:t>
            </w:r>
          </w:p>
        </w:tc>
        <w:tc>
          <w:tcPr>
            <w:tcW w:w="1195" w:type="dxa"/>
            <w:tcBorders>
              <w:top w:val="nil"/>
              <w:left w:val="nil"/>
              <w:bottom w:val="nil"/>
              <w:right w:val="nil"/>
            </w:tcBorders>
            <w:shd w:val="clear" w:color="auto" w:fill="auto"/>
            <w:noWrap/>
            <w:vAlign w:val="bottom"/>
          </w:tcPr>
          <w:p w14:paraId="10963E47" w14:textId="77777777" w:rsidR="00F600B5" w:rsidRPr="009E4B9D" w:rsidRDefault="00F600B5" w:rsidP="00F600B5">
            <w:pPr>
              <w:spacing w:before="0" w:after="0" w:line="276" w:lineRule="auto"/>
              <w:jc w:val="right"/>
              <w:rPr>
                <w:rFonts w:ascii="Arial" w:hAnsi="Arial"/>
                <w:sz w:val="16"/>
                <w:szCs w:val="16"/>
                <w:lang w:eastAsia="en-US"/>
              </w:rPr>
            </w:pPr>
            <w:r w:rsidRPr="009E4B9D">
              <w:rPr>
                <w:rFonts w:ascii="Arial" w:hAnsi="Arial"/>
                <w:sz w:val="16"/>
                <w:szCs w:val="16"/>
                <w:lang w:eastAsia="en-US"/>
              </w:rPr>
              <w:t>22.7</w:t>
            </w:r>
          </w:p>
        </w:tc>
      </w:tr>
      <w:tr w:rsidR="00F600B5" w:rsidRPr="00BA1388" w14:paraId="25E64C7B" w14:textId="77777777" w:rsidTr="00F600B5">
        <w:trPr>
          <w:trHeight w:val="227"/>
        </w:trPr>
        <w:tc>
          <w:tcPr>
            <w:tcW w:w="3085" w:type="dxa"/>
            <w:tcBorders>
              <w:top w:val="nil"/>
              <w:left w:val="nil"/>
              <w:bottom w:val="nil"/>
              <w:right w:val="nil"/>
            </w:tcBorders>
            <w:shd w:val="clear" w:color="FFFFFF" w:fill="auto"/>
            <w:vAlign w:val="bottom"/>
          </w:tcPr>
          <w:p w14:paraId="1B9A845D" w14:textId="77777777" w:rsidR="00F600B5" w:rsidRPr="008659FE" w:rsidRDefault="00F600B5" w:rsidP="00F600B5">
            <w:pPr>
              <w:spacing w:before="0" w:after="0" w:line="276" w:lineRule="auto"/>
              <w:ind w:left="179"/>
              <w:rPr>
                <w:rFonts w:ascii="Arial" w:hAnsi="Arial"/>
                <w:sz w:val="16"/>
                <w:szCs w:val="16"/>
                <w:lang w:val="en-AU"/>
              </w:rPr>
            </w:pPr>
            <w:r w:rsidRPr="008659FE">
              <w:rPr>
                <w:rFonts w:ascii="Arial" w:hAnsi="Arial"/>
                <w:sz w:val="16"/>
                <w:szCs w:val="16"/>
                <w:lang w:val="en-AU"/>
              </w:rPr>
              <w:t>RAAF Tindal</w:t>
            </w:r>
          </w:p>
        </w:tc>
        <w:tc>
          <w:tcPr>
            <w:tcW w:w="1790" w:type="dxa"/>
            <w:tcBorders>
              <w:top w:val="nil"/>
              <w:left w:val="nil"/>
              <w:bottom w:val="nil"/>
              <w:right w:val="nil"/>
            </w:tcBorders>
            <w:shd w:val="clear" w:color="FFFFFF" w:fill="auto"/>
            <w:noWrap/>
            <w:vAlign w:val="bottom"/>
          </w:tcPr>
          <w:p w14:paraId="11D4A8F2" w14:textId="77777777" w:rsidR="00F600B5" w:rsidRPr="008659FE" w:rsidRDefault="00F600B5" w:rsidP="00F600B5">
            <w:pPr>
              <w:spacing w:before="0" w:after="0" w:line="276" w:lineRule="auto"/>
              <w:jc w:val="right"/>
              <w:rPr>
                <w:rFonts w:ascii="Arial" w:hAnsi="Arial"/>
                <w:sz w:val="16"/>
                <w:szCs w:val="16"/>
                <w:lang w:val="en-AU"/>
              </w:rPr>
            </w:pPr>
            <w:r w:rsidRPr="008659FE">
              <w:rPr>
                <w:rFonts w:ascii="Arial" w:hAnsi="Arial"/>
                <w:sz w:val="16"/>
                <w:szCs w:val="16"/>
                <w:lang w:val="en-AU"/>
              </w:rPr>
              <w:t>NT - Lingiari</w:t>
            </w:r>
          </w:p>
        </w:tc>
        <w:tc>
          <w:tcPr>
            <w:tcW w:w="1191" w:type="dxa"/>
            <w:tcBorders>
              <w:top w:val="nil"/>
              <w:left w:val="nil"/>
              <w:bottom w:val="nil"/>
              <w:right w:val="nil"/>
            </w:tcBorders>
            <w:shd w:val="clear" w:color="FFFFFF" w:fill="auto"/>
            <w:noWrap/>
            <w:vAlign w:val="bottom"/>
          </w:tcPr>
          <w:p w14:paraId="2662187E" w14:textId="77777777" w:rsidR="00F600B5" w:rsidRPr="00353F8D" w:rsidRDefault="00F600B5" w:rsidP="00F600B5">
            <w:pPr>
              <w:spacing w:before="0" w:after="0" w:line="276" w:lineRule="auto"/>
              <w:jc w:val="right"/>
              <w:rPr>
                <w:rFonts w:ascii="Arial" w:hAnsi="Arial"/>
                <w:b/>
                <w:sz w:val="16"/>
                <w:szCs w:val="16"/>
                <w:lang w:val="en-AU"/>
              </w:rPr>
            </w:pPr>
          </w:p>
        </w:tc>
        <w:tc>
          <w:tcPr>
            <w:tcW w:w="1413" w:type="dxa"/>
            <w:tcBorders>
              <w:top w:val="nil"/>
              <w:left w:val="nil"/>
              <w:bottom w:val="nil"/>
              <w:right w:val="nil"/>
            </w:tcBorders>
            <w:shd w:val="clear" w:color="auto" w:fill="auto"/>
            <w:noWrap/>
            <w:vAlign w:val="bottom"/>
          </w:tcPr>
          <w:p w14:paraId="1C5265AE" w14:textId="77777777" w:rsidR="00F600B5" w:rsidRPr="009E4B9D" w:rsidRDefault="00F600B5" w:rsidP="00F600B5">
            <w:pPr>
              <w:spacing w:before="0" w:after="0" w:line="276" w:lineRule="auto"/>
              <w:jc w:val="right"/>
              <w:rPr>
                <w:rFonts w:ascii="Arial" w:hAnsi="Arial"/>
                <w:sz w:val="16"/>
                <w:szCs w:val="16"/>
                <w:lang w:eastAsia="en-US"/>
              </w:rPr>
            </w:pPr>
            <w:r w:rsidRPr="009E4B9D">
              <w:rPr>
                <w:rFonts w:ascii="Arial" w:hAnsi="Arial"/>
                <w:sz w:val="16"/>
                <w:szCs w:val="16"/>
                <w:lang w:eastAsia="en-US"/>
              </w:rPr>
              <w:t>0.0</w:t>
            </w:r>
          </w:p>
        </w:tc>
        <w:tc>
          <w:tcPr>
            <w:tcW w:w="1195" w:type="dxa"/>
            <w:tcBorders>
              <w:top w:val="nil"/>
              <w:left w:val="nil"/>
              <w:bottom w:val="nil"/>
              <w:right w:val="nil"/>
            </w:tcBorders>
            <w:shd w:val="clear" w:color="auto" w:fill="auto"/>
            <w:noWrap/>
            <w:vAlign w:val="bottom"/>
          </w:tcPr>
          <w:p w14:paraId="201377C4" w14:textId="77777777" w:rsidR="00F600B5" w:rsidRPr="009E4B9D" w:rsidRDefault="00F600B5" w:rsidP="00F600B5">
            <w:pPr>
              <w:spacing w:before="0" w:after="0" w:line="276" w:lineRule="auto"/>
              <w:jc w:val="right"/>
              <w:rPr>
                <w:rFonts w:ascii="Arial" w:hAnsi="Arial"/>
                <w:sz w:val="16"/>
                <w:szCs w:val="16"/>
                <w:lang w:eastAsia="en-US"/>
              </w:rPr>
            </w:pPr>
            <w:r w:rsidRPr="009E4B9D">
              <w:rPr>
                <w:rFonts w:ascii="Arial" w:hAnsi="Arial"/>
                <w:sz w:val="16"/>
                <w:szCs w:val="16"/>
                <w:lang w:eastAsia="en-US"/>
              </w:rPr>
              <w:t>0.8</w:t>
            </w:r>
          </w:p>
        </w:tc>
      </w:tr>
      <w:tr w:rsidR="00F600B5" w:rsidRPr="00BA1388" w14:paraId="508ADBA3" w14:textId="77777777" w:rsidTr="00F600B5">
        <w:trPr>
          <w:trHeight w:val="227"/>
        </w:trPr>
        <w:tc>
          <w:tcPr>
            <w:tcW w:w="3085" w:type="dxa"/>
            <w:tcBorders>
              <w:top w:val="nil"/>
              <w:left w:val="nil"/>
              <w:bottom w:val="nil"/>
              <w:right w:val="nil"/>
            </w:tcBorders>
            <w:shd w:val="clear" w:color="FFFFFF" w:fill="auto"/>
            <w:vAlign w:val="bottom"/>
          </w:tcPr>
          <w:p w14:paraId="0F10DFF5" w14:textId="77777777" w:rsidR="00F600B5" w:rsidRPr="008659FE" w:rsidRDefault="00F600B5" w:rsidP="00F600B5">
            <w:pPr>
              <w:spacing w:before="0" w:after="0" w:line="276" w:lineRule="auto"/>
              <w:ind w:left="179"/>
              <w:rPr>
                <w:rFonts w:ascii="Arial" w:hAnsi="Arial"/>
                <w:sz w:val="16"/>
                <w:szCs w:val="16"/>
                <w:lang w:val="en-AU"/>
              </w:rPr>
            </w:pPr>
            <w:r w:rsidRPr="008659FE">
              <w:rPr>
                <w:rFonts w:ascii="Arial" w:hAnsi="Arial"/>
                <w:sz w:val="16"/>
                <w:szCs w:val="16"/>
                <w:lang w:val="en-AU"/>
              </w:rPr>
              <w:t>RAAF Richmond</w:t>
            </w:r>
          </w:p>
        </w:tc>
        <w:tc>
          <w:tcPr>
            <w:tcW w:w="1790" w:type="dxa"/>
            <w:tcBorders>
              <w:top w:val="nil"/>
              <w:left w:val="nil"/>
              <w:bottom w:val="nil"/>
              <w:right w:val="nil"/>
            </w:tcBorders>
            <w:shd w:val="clear" w:color="FFFFFF" w:fill="auto"/>
            <w:noWrap/>
            <w:vAlign w:val="bottom"/>
          </w:tcPr>
          <w:p w14:paraId="156C623E" w14:textId="77777777" w:rsidR="00F600B5" w:rsidRPr="008659FE" w:rsidRDefault="00F600B5" w:rsidP="00F600B5">
            <w:pPr>
              <w:spacing w:before="0" w:after="0" w:line="276" w:lineRule="auto"/>
              <w:jc w:val="right"/>
              <w:rPr>
                <w:rFonts w:ascii="Arial" w:hAnsi="Arial"/>
                <w:sz w:val="16"/>
                <w:szCs w:val="16"/>
                <w:lang w:val="en-AU"/>
              </w:rPr>
            </w:pPr>
            <w:r w:rsidRPr="008659FE">
              <w:rPr>
                <w:rFonts w:ascii="Arial" w:hAnsi="Arial"/>
                <w:sz w:val="16"/>
                <w:szCs w:val="16"/>
                <w:lang w:val="en-AU"/>
              </w:rPr>
              <w:t>NSW - Macquarie</w:t>
            </w:r>
          </w:p>
        </w:tc>
        <w:tc>
          <w:tcPr>
            <w:tcW w:w="1191" w:type="dxa"/>
            <w:tcBorders>
              <w:top w:val="nil"/>
              <w:left w:val="nil"/>
              <w:bottom w:val="nil"/>
              <w:right w:val="nil"/>
            </w:tcBorders>
            <w:shd w:val="clear" w:color="FFFFFF" w:fill="auto"/>
            <w:noWrap/>
            <w:vAlign w:val="bottom"/>
          </w:tcPr>
          <w:p w14:paraId="7A01ACC0" w14:textId="77777777" w:rsidR="00F600B5" w:rsidRPr="00353F8D" w:rsidRDefault="00F600B5" w:rsidP="00F600B5">
            <w:pPr>
              <w:spacing w:before="0" w:after="0" w:line="276" w:lineRule="auto"/>
              <w:jc w:val="right"/>
              <w:rPr>
                <w:rFonts w:ascii="Arial" w:hAnsi="Arial"/>
                <w:b/>
                <w:sz w:val="16"/>
                <w:szCs w:val="16"/>
                <w:lang w:val="en-AU"/>
              </w:rPr>
            </w:pPr>
          </w:p>
        </w:tc>
        <w:tc>
          <w:tcPr>
            <w:tcW w:w="1413" w:type="dxa"/>
            <w:tcBorders>
              <w:top w:val="nil"/>
              <w:left w:val="nil"/>
              <w:bottom w:val="nil"/>
              <w:right w:val="nil"/>
            </w:tcBorders>
            <w:shd w:val="clear" w:color="auto" w:fill="auto"/>
            <w:noWrap/>
            <w:vAlign w:val="bottom"/>
          </w:tcPr>
          <w:p w14:paraId="2D4D45DA" w14:textId="77777777" w:rsidR="00F600B5" w:rsidRPr="009E4B9D" w:rsidRDefault="00F600B5" w:rsidP="00F600B5">
            <w:pPr>
              <w:spacing w:before="0" w:after="0" w:line="276" w:lineRule="auto"/>
              <w:jc w:val="right"/>
              <w:rPr>
                <w:rFonts w:ascii="Arial" w:hAnsi="Arial"/>
                <w:sz w:val="16"/>
                <w:szCs w:val="16"/>
                <w:lang w:eastAsia="en-US"/>
              </w:rPr>
            </w:pPr>
            <w:r w:rsidRPr="009E4B9D">
              <w:rPr>
                <w:rFonts w:ascii="Arial" w:hAnsi="Arial"/>
                <w:sz w:val="16"/>
                <w:szCs w:val="16"/>
                <w:lang w:eastAsia="en-US"/>
              </w:rPr>
              <w:t>0.0</w:t>
            </w:r>
          </w:p>
        </w:tc>
        <w:tc>
          <w:tcPr>
            <w:tcW w:w="1195" w:type="dxa"/>
            <w:tcBorders>
              <w:top w:val="nil"/>
              <w:left w:val="nil"/>
              <w:bottom w:val="nil"/>
              <w:right w:val="nil"/>
            </w:tcBorders>
            <w:shd w:val="clear" w:color="auto" w:fill="auto"/>
            <w:noWrap/>
            <w:vAlign w:val="bottom"/>
          </w:tcPr>
          <w:p w14:paraId="087D78AB" w14:textId="77777777" w:rsidR="00F600B5" w:rsidRPr="009E4B9D" w:rsidRDefault="00F600B5" w:rsidP="00F600B5">
            <w:pPr>
              <w:spacing w:before="0" w:after="0" w:line="276" w:lineRule="auto"/>
              <w:jc w:val="right"/>
              <w:rPr>
                <w:rFonts w:ascii="Arial" w:hAnsi="Arial"/>
                <w:sz w:val="16"/>
                <w:szCs w:val="16"/>
                <w:lang w:eastAsia="en-US"/>
              </w:rPr>
            </w:pPr>
            <w:r w:rsidRPr="009E4B9D">
              <w:rPr>
                <w:rFonts w:ascii="Arial" w:hAnsi="Arial"/>
                <w:sz w:val="16"/>
                <w:szCs w:val="16"/>
                <w:lang w:eastAsia="en-US"/>
              </w:rPr>
              <w:t>0.6</w:t>
            </w:r>
          </w:p>
        </w:tc>
      </w:tr>
      <w:tr w:rsidR="00F600B5" w:rsidRPr="00BA1388" w14:paraId="53097949" w14:textId="77777777" w:rsidTr="00F600B5">
        <w:trPr>
          <w:trHeight w:val="227"/>
        </w:trPr>
        <w:tc>
          <w:tcPr>
            <w:tcW w:w="3085" w:type="dxa"/>
            <w:tcBorders>
              <w:top w:val="nil"/>
              <w:left w:val="nil"/>
              <w:bottom w:val="nil"/>
              <w:right w:val="nil"/>
            </w:tcBorders>
            <w:shd w:val="clear" w:color="FFFFFF" w:fill="auto"/>
            <w:vAlign w:val="bottom"/>
          </w:tcPr>
          <w:p w14:paraId="7A18D9CC" w14:textId="77777777" w:rsidR="00F600B5" w:rsidRPr="008659FE" w:rsidRDefault="00F600B5" w:rsidP="00F600B5">
            <w:pPr>
              <w:spacing w:before="0" w:after="0" w:line="276" w:lineRule="auto"/>
              <w:ind w:left="179"/>
              <w:rPr>
                <w:rFonts w:ascii="Arial" w:hAnsi="Arial"/>
                <w:sz w:val="16"/>
                <w:szCs w:val="16"/>
                <w:lang w:val="en-AU"/>
              </w:rPr>
            </w:pPr>
            <w:r w:rsidRPr="008659FE">
              <w:rPr>
                <w:rFonts w:ascii="Arial" w:hAnsi="Arial"/>
                <w:sz w:val="16"/>
                <w:szCs w:val="16"/>
                <w:lang w:val="en-AU"/>
              </w:rPr>
              <w:t>RAAF Williamtown</w:t>
            </w:r>
          </w:p>
        </w:tc>
        <w:tc>
          <w:tcPr>
            <w:tcW w:w="1790" w:type="dxa"/>
            <w:tcBorders>
              <w:top w:val="nil"/>
              <w:left w:val="nil"/>
              <w:bottom w:val="nil"/>
              <w:right w:val="nil"/>
            </w:tcBorders>
            <w:shd w:val="clear" w:color="FFFFFF" w:fill="auto"/>
            <w:noWrap/>
            <w:vAlign w:val="bottom"/>
          </w:tcPr>
          <w:p w14:paraId="2668624B" w14:textId="77777777" w:rsidR="00F600B5" w:rsidRPr="008659FE" w:rsidRDefault="00F600B5" w:rsidP="00F600B5">
            <w:pPr>
              <w:spacing w:before="0" w:after="0" w:line="276" w:lineRule="auto"/>
              <w:jc w:val="right"/>
              <w:rPr>
                <w:rFonts w:ascii="Arial" w:hAnsi="Arial"/>
                <w:sz w:val="16"/>
                <w:szCs w:val="16"/>
                <w:lang w:val="en-AU"/>
              </w:rPr>
            </w:pPr>
            <w:r w:rsidRPr="008659FE">
              <w:rPr>
                <w:rFonts w:ascii="Arial" w:hAnsi="Arial"/>
                <w:sz w:val="16"/>
                <w:szCs w:val="16"/>
                <w:lang w:val="en-AU"/>
              </w:rPr>
              <w:t>NSW - Paterson</w:t>
            </w:r>
          </w:p>
        </w:tc>
        <w:tc>
          <w:tcPr>
            <w:tcW w:w="1191" w:type="dxa"/>
            <w:tcBorders>
              <w:top w:val="nil"/>
              <w:left w:val="nil"/>
              <w:bottom w:val="nil"/>
              <w:right w:val="nil"/>
            </w:tcBorders>
            <w:shd w:val="clear" w:color="FFFFFF" w:fill="auto"/>
            <w:noWrap/>
            <w:vAlign w:val="bottom"/>
          </w:tcPr>
          <w:p w14:paraId="0D8FA267" w14:textId="77777777" w:rsidR="00F600B5" w:rsidRPr="00353F8D" w:rsidRDefault="00F600B5" w:rsidP="00F600B5">
            <w:pPr>
              <w:spacing w:before="0" w:after="0" w:line="276" w:lineRule="auto"/>
              <w:jc w:val="right"/>
              <w:rPr>
                <w:rFonts w:ascii="Arial" w:hAnsi="Arial"/>
                <w:b/>
                <w:sz w:val="16"/>
                <w:szCs w:val="16"/>
                <w:lang w:val="en-AU"/>
              </w:rPr>
            </w:pPr>
          </w:p>
        </w:tc>
        <w:tc>
          <w:tcPr>
            <w:tcW w:w="1413" w:type="dxa"/>
            <w:tcBorders>
              <w:top w:val="nil"/>
              <w:left w:val="nil"/>
              <w:bottom w:val="nil"/>
              <w:right w:val="nil"/>
            </w:tcBorders>
            <w:shd w:val="clear" w:color="auto" w:fill="auto"/>
            <w:noWrap/>
            <w:vAlign w:val="bottom"/>
          </w:tcPr>
          <w:p w14:paraId="5A560403" w14:textId="77777777" w:rsidR="00F600B5" w:rsidRPr="009E4B9D" w:rsidRDefault="00F600B5" w:rsidP="00F600B5">
            <w:pPr>
              <w:spacing w:before="0" w:after="0" w:line="276" w:lineRule="auto"/>
              <w:jc w:val="right"/>
              <w:rPr>
                <w:rFonts w:ascii="Arial" w:hAnsi="Arial"/>
                <w:sz w:val="16"/>
                <w:szCs w:val="16"/>
                <w:lang w:eastAsia="en-US"/>
              </w:rPr>
            </w:pPr>
            <w:r w:rsidRPr="009E4B9D">
              <w:rPr>
                <w:rFonts w:ascii="Arial" w:hAnsi="Arial"/>
                <w:sz w:val="16"/>
                <w:szCs w:val="16"/>
                <w:lang w:eastAsia="en-US"/>
              </w:rPr>
              <w:t>0.1</w:t>
            </w:r>
          </w:p>
        </w:tc>
        <w:tc>
          <w:tcPr>
            <w:tcW w:w="1195" w:type="dxa"/>
            <w:tcBorders>
              <w:top w:val="nil"/>
              <w:left w:val="nil"/>
              <w:bottom w:val="nil"/>
              <w:right w:val="nil"/>
            </w:tcBorders>
            <w:shd w:val="clear" w:color="auto" w:fill="auto"/>
            <w:noWrap/>
            <w:vAlign w:val="bottom"/>
          </w:tcPr>
          <w:p w14:paraId="30E4C294" w14:textId="77777777" w:rsidR="00F600B5" w:rsidRPr="009E4B9D" w:rsidRDefault="00F600B5" w:rsidP="00F600B5">
            <w:pPr>
              <w:spacing w:before="0" w:after="0" w:line="276" w:lineRule="auto"/>
              <w:jc w:val="right"/>
              <w:rPr>
                <w:rFonts w:ascii="Arial" w:hAnsi="Arial"/>
                <w:sz w:val="16"/>
                <w:szCs w:val="16"/>
                <w:lang w:eastAsia="en-US"/>
              </w:rPr>
            </w:pPr>
            <w:r w:rsidRPr="009E4B9D">
              <w:rPr>
                <w:rFonts w:ascii="Arial" w:hAnsi="Arial"/>
                <w:sz w:val="16"/>
                <w:szCs w:val="16"/>
                <w:lang w:eastAsia="en-US"/>
              </w:rPr>
              <w:t>0.4</w:t>
            </w:r>
          </w:p>
        </w:tc>
      </w:tr>
      <w:tr w:rsidR="00F600B5" w:rsidRPr="00BA1388" w14:paraId="6ADCB920" w14:textId="77777777" w:rsidTr="00F600B5">
        <w:trPr>
          <w:trHeight w:val="227"/>
        </w:trPr>
        <w:tc>
          <w:tcPr>
            <w:tcW w:w="3085" w:type="dxa"/>
            <w:tcBorders>
              <w:top w:val="nil"/>
              <w:left w:val="nil"/>
              <w:bottom w:val="single" w:sz="4" w:space="0" w:color="auto"/>
              <w:right w:val="nil"/>
            </w:tcBorders>
            <w:shd w:val="clear" w:color="FFFFFF" w:fill="auto"/>
            <w:vAlign w:val="bottom"/>
          </w:tcPr>
          <w:p w14:paraId="2D7ED756" w14:textId="77777777" w:rsidR="00F600B5" w:rsidRPr="008659FE" w:rsidRDefault="00F600B5" w:rsidP="00F600B5">
            <w:pPr>
              <w:spacing w:before="0" w:after="0" w:line="276" w:lineRule="auto"/>
              <w:rPr>
                <w:rFonts w:ascii="Arial" w:hAnsi="Arial"/>
                <w:b/>
                <w:sz w:val="16"/>
                <w:szCs w:val="16"/>
                <w:lang w:val="en-AU"/>
              </w:rPr>
            </w:pPr>
            <w:r w:rsidRPr="008659FE">
              <w:rPr>
                <w:rFonts w:ascii="Arial" w:hAnsi="Arial"/>
                <w:b/>
                <w:sz w:val="16"/>
                <w:szCs w:val="16"/>
                <w:lang w:val="en-AU"/>
              </w:rPr>
              <w:t>Total</w:t>
            </w:r>
          </w:p>
        </w:tc>
        <w:tc>
          <w:tcPr>
            <w:tcW w:w="1790" w:type="dxa"/>
            <w:tcBorders>
              <w:top w:val="nil"/>
              <w:left w:val="nil"/>
              <w:bottom w:val="single" w:sz="4" w:space="0" w:color="auto"/>
              <w:right w:val="nil"/>
            </w:tcBorders>
            <w:shd w:val="clear" w:color="FFFFFF" w:fill="auto"/>
            <w:noWrap/>
            <w:vAlign w:val="bottom"/>
          </w:tcPr>
          <w:p w14:paraId="7617D4B5" w14:textId="77777777" w:rsidR="00F600B5" w:rsidRPr="008659FE" w:rsidRDefault="00F600B5" w:rsidP="00F600B5">
            <w:pPr>
              <w:spacing w:before="0" w:after="0" w:line="276" w:lineRule="auto"/>
              <w:jc w:val="right"/>
              <w:rPr>
                <w:rFonts w:ascii="Arial" w:hAnsi="Arial"/>
                <w:sz w:val="16"/>
                <w:szCs w:val="16"/>
                <w:lang w:val="en-AU"/>
              </w:rPr>
            </w:pPr>
          </w:p>
        </w:tc>
        <w:tc>
          <w:tcPr>
            <w:tcW w:w="1191" w:type="dxa"/>
            <w:tcBorders>
              <w:top w:val="nil"/>
              <w:left w:val="nil"/>
              <w:bottom w:val="single" w:sz="4" w:space="0" w:color="auto"/>
              <w:right w:val="nil"/>
            </w:tcBorders>
            <w:shd w:val="clear" w:color="FFFFFF" w:fill="auto"/>
            <w:noWrap/>
            <w:vAlign w:val="bottom"/>
          </w:tcPr>
          <w:p w14:paraId="0B481520" w14:textId="77777777" w:rsidR="00F600B5" w:rsidRPr="00353F8D" w:rsidRDefault="00F600B5" w:rsidP="00F600B5">
            <w:pPr>
              <w:spacing w:before="0" w:after="0" w:line="276" w:lineRule="auto"/>
              <w:jc w:val="right"/>
              <w:rPr>
                <w:rFonts w:ascii="Arial" w:hAnsi="Arial"/>
                <w:b/>
                <w:sz w:val="16"/>
                <w:szCs w:val="16"/>
                <w:lang w:val="en-AU"/>
              </w:rPr>
            </w:pPr>
            <w:r w:rsidRPr="00353F8D">
              <w:rPr>
                <w:rFonts w:ascii="Arial" w:hAnsi="Arial"/>
                <w:b/>
                <w:sz w:val="16"/>
                <w:szCs w:val="16"/>
                <w:lang w:val="en-AU"/>
              </w:rPr>
              <w:t>32.4</w:t>
            </w:r>
          </w:p>
        </w:tc>
        <w:tc>
          <w:tcPr>
            <w:tcW w:w="1413" w:type="dxa"/>
            <w:tcBorders>
              <w:top w:val="nil"/>
              <w:left w:val="nil"/>
              <w:bottom w:val="single" w:sz="4" w:space="0" w:color="auto"/>
              <w:right w:val="nil"/>
            </w:tcBorders>
            <w:shd w:val="clear" w:color="auto" w:fill="auto"/>
            <w:noWrap/>
            <w:vAlign w:val="bottom"/>
          </w:tcPr>
          <w:p w14:paraId="675F195B" w14:textId="77777777" w:rsidR="00F600B5" w:rsidRPr="009E4B9D" w:rsidRDefault="00F600B5" w:rsidP="00F600B5">
            <w:pPr>
              <w:spacing w:before="0" w:after="0" w:line="276" w:lineRule="auto"/>
              <w:jc w:val="right"/>
              <w:rPr>
                <w:rFonts w:ascii="Arial" w:hAnsi="Arial"/>
                <w:b/>
                <w:sz w:val="16"/>
                <w:szCs w:val="16"/>
                <w:lang w:eastAsia="en-US"/>
              </w:rPr>
            </w:pPr>
            <w:r w:rsidRPr="009E4B9D">
              <w:rPr>
                <w:rFonts w:ascii="Arial" w:hAnsi="Arial"/>
                <w:b/>
                <w:sz w:val="16"/>
                <w:szCs w:val="16"/>
                <w:lang w:eastAsia="en-US"/>
              </w:rPr>
              <w:t>1.0</w:t>
            </w:r>
          </w:p>
        </w:tc>
        <w:tc>
          <w:tcPr>
            <w:tcW w:w="1195" w:type="dxa"/>
            <w:tcBorders>
              <w:top w:val="nil"/>
              <w:left w:val="nil"/>
              <w:bottom w:val="single" w:sz="4" w:space="0" w:color="auto"/>
              <w:right w:val="nil"/>
            </w:tcBorders>
            <w:shd w:val="clear" w:color="auto" w:fill="auto"/>
            <w:noWrap/>
            <w:vAlign w:val="bottom"/>
          </w:tcPr>
          <w:p w14:paraId="465CA2C2" w14:textId="77777777" w:rsidR="00F600B5" w:rsidRPr="009E4B9D" w:rsidRDefault="00F600B5" w:rsidP="00F600B5">
            <w:pPr>
              <w:spacing w:before="0" w:after="0" w:line="276" w:lineRule="auto"/>
              <w:jc w:val="right"/>
              <w:rPr>
                <w:rFonts w:ascii="Arial" w:hAnsi="Arial"/>
                <w:b/>
                <w:sz w:val="16"/>
                <w:szCs w:val="16"/>
                <w:lang w:eastAsia="en-US"/>
              </w:rPr>
            </w:pPr>
            <w:r w:rsidRPr="009E4B9D">
              <w:rPr>
                <w:rFonts w:ascii="Arial" w:hAnsi="Arial"/>
                <w:b/>
                <w:sz w:val="16"/>
                <w:szCs w:val="16"/>
                <w:lang w:eastAsia="en-US"/>
              </w:rPr>
              <w:t>24.5</w:t>
            </w:r>
          </w:p>
        </w:tc>
      </w:tr>
      <w:tr w:rsidR="00F600B5" w:rsidRPr="00BA1388" w14:paraId="5C239D7D" w14:textId="77777777" w:rsidTr="00F600B5">
        <w:trPr>
          <w:trHeight w:val="227"/>
        </w:trPr>
        <w:tc>
          <w:tcPr>
            <w:tcW w:w="3085" w:type="dxa"/>
            <w:tcBorders>
              <w:top w:val="single" w:sz="4" w:space="0" w:color="auto"/>
              <w:left w:val="nil"/>
              <w:bottom w:val="nil"/>
              <w:right w:val="nil"/>
            </w:tcBorders>
            <w:shd w:val="clear" w:color="FFFFFF" w:fill="auto"/>
            <w:vAlign w:val="bottom"/>
          </w:tcPr>
          <w:p w14:paraId="30B6F9DC" w14:textId="77777777" w:rsidR="00F600B5" w:rsidRPr="008659FE" w:rsidRDefault="00F600B5" w:rsidP="00F600B5">
            <w:pPr>
              <w:spacing w:before="0" w:after="0" w:line="276" w:lineRule="auto"/>
              <w:rPr>
                <w:rFonts w:ascii="Arial" w:hAnsi="Arial"/>
                <w:b/>
                <w:sz w:val="16"/>
                <w:szCs w:val="16"/>
                <w:lang w:val="en-AU"/>
              </w:rPr>
            </w:pPr>
            <w:r w:rsidRPr="008659FE">
              <w:rPr>
                <w:rFonts w:ascii="Arial" w:hAnsi="Arial"/>
                <w:b/>
                <w:sz w:val="16"/>
                <w:szCs w:val="16"/>
                <w:lang w:val="en-AU"/>
              </w:rPr>
              <w:t xml:space="preserve">HMAS </w:t>
            </w:r>
            <w:r w:rsidRPr="008659FE">
              <w:rPr>
                <w:rFonts w:ascii="Arial" w:hAnsi="Arial"/>
                <w:b/>
                <w:i/>
                <w:sz w:val="16"/>
                <w:szCs w:val="16"/>
                <w:lang w:val="en-AU"/>
              </w:rPr>
              <w:t>Creswell</w:t>
            </w:r>
            <w:r w:rsidRPr="008659FE">
              <w:rPr>
                <w:rFonts w:ascii="Arial" w:hAnsi="Arial"/>
                <w:b/>
                <w:sz w:val="16"/>
                <w:szCs w:val="16"/>
                <w:lang w:val="en-AU"/>
              </w:rPr>
              <w:t xml:space="preserve"> Mid-Term Refresh</w:t>
            </w:r>
          </w:p>
        </w:tc>
        <w:tc>
          <w:tcPr>
            <w:tcW w:w="1790" w:type="dxa"/>
            <w:tcBorders>
              <w:top w:val="single" w:sz="4" w:space="0" w:color="auto"/>
              <w:left w:val="nil"/>
              <w:bottom w:val="nil"/>
              <w:right w:val="nil"/>
            </w:tcBorders>
            <w:shd w:val="clear" w:color="FFFFFF" w:fill="auto"/>
            <w:noWrap/>
            <w:vAlign w:val="bottom"/>
          </w:tcPr>
          <w:p w14:paraId="769C42DD" w14:textId="77777777" w:rsidR="00F600B5" w:rsidRPr="008659FE" w:rsidRDefault="00F600B5" w:rsidP="00F600B5">
            <w:pPr>
              <w:keepNext/>
              <w:keepLines/>
              <w:spacing w:before="0" w:after="0" w:line="276" w:lineRule="auto"/>
              <w:jc w:val="right"/>
              <w:rPr>
                <w:rFonts w:ascii="Arial" w:hAnsi="Arial"/>
                <w:b/>
                <w:sz w:val="16"/>
                <w:szCs w:val="16"/>
                <w:lang w:val="en-AU"/>
              </w:rPr>
            </w:pPr>
          </w:p>
        </w:tc>
        <w:tc>
          <w:tcPr>
            <w:tcW w:w="1191" w:type="dxa"/>
            <w:tcBorders>
              <w:top w:val="single" w:sz="4" w:space="0" w:color="auto"/>
              <w:left w:val="nil"/>
              <w:bottom w:val="nil"/>
              <w:right w:val="nil"/>
            </w:tcBorders>
            <w:shd w:val="clear" w:color="FFFFFF" w:fill="auto"/>
            <w:noWrap/>
            <w:vAlign w:val="bottom"/>
          </w:tcPr>
          <w:p w14:paraId="63BDFF3C" w14:textId="77777777" w:rsidR="00F600B5" w:rsidRPr="00353F8D" w:rsidRDefault="00F600B5" w:rsidP="00F600B5">
            <w:pPr>
              <w:keepNext/>
              <w:keepLines/>
              <w:spacing w:before="0" w:after="0" w:line="276" w:lineRule="auto"/>
              <w:jc w:val="right"/>
              <w:rPr>
                <w:rFonts w:ascii="Arial" w:hAnsi="Arial"/>
                <w:b/>
                <w:bCs/>
                <w:sz w:val="16"/>
                <w:szCs w:val="16"/>
                <w:lang w:val="en-AU"/>
              </w:rPr>
            </w:pPr>
          </w:p>
        </w:tc>
        <w:tc>
          <w:tcPr>
            <w:tcW w:w="1413" w:type="dxa"/>
            <w:tcBorders>
              <w:top w:val="single" w:sz="4" w:space="0" w:color="auto"/>
              <w:left w:val="nil"/>
              <w:bottom w:val="nil"/>
              <w:right w:val="nil"/>
            </w:tcBorders>
            <w:shd w:val="clear" w:color="auto" w:fill="auto"/>
            <w:noWrap/>
            <w:vAlign w:val="bottom"/>
          </w:tcPr>
          <w:p w14:paraId="0AF590D1" w14:textId="77777777" w:rsidR="00F600B5" w:rsidRPr="009E4B9D" w:rsidRDefault="00F600B5" w:rsidP="00F600B5">
            <w:pPr>
              <w:spacing w:before="0" w:after="0" w:line="276" w:lineRule="auto"/>
              <w:jc w:val="right"/>
              <w:rPr>
                <w:rFonts w:ascii="Arial" w:hAnsi="Arial"/>
                <w:b/>
                <w:sz w:val="16"/>
                <w:szCs w:val="16"/>
                <w:lang w:eastAsia="en-US"/>
              </w:rPr>
            </w:pPr>
          </w:p>
        </w:tc>
        <w:tc>
          <w:tcPr>
            <w:tcW w:w="1195" w:type="dxa"/>
            <w:tcBorders>
              <w:top w:val="single" w:sz="4" w:space="0" w:color="auto"/>
              <w:left w:val="nil"/>
              <w:bottom w:val="nil"/>
              <w:right w:val="nil"/>
            </w:tcBorders>
            <w:shd w:val="clear" w:color="auto" w:fill="auto"/>
            <w:noWrap/>
            <w:vAlign w:val="bottom"/>
          </w:tcPr>
          <w:p w14:paraId="09C16A9C" w14:textId="77777777" w:rsidR="00F600B5" w:rsidRPr="009E4B9D" w:rsidRDefault="00F600B5" w:rsidP="00F600B5">
            <w:pPr>
              <w:spacing w:before="0" w:after="0" w:line="276" w:lineRule="auto"/>
              <w:jc w:val="right"/>
              <w:rPr>
                <w:rFonts w:ascii="Arial" w:hAnsi="Arial"/>
                <w:b/>
                <w:sz w:val="16"/>
                <w:szCs w:val="16"/>
                <w:lang w:eastAsia="en-US"/>
              </w:rPr>
            </w:pPr>
          </w:p>
        </w:tc>
      </w:tr>
      <w:tr w:rsidR="00F600B5" w:rsidRPr="00BA1388" w14:paraId="5987F4E0" w14:textId="77777777" w:rsidTr="00D27096">
        <w:trPr>
          <w:trHeight w:val="227"/>
        </w:trPr>
        <w:tc>
          <w:tcPr>
            <w:tcW w:w="3085" w:type="dxa"/>
            <w:tcBorders>
              <w:top w:val="nil"/>
              <w:left w:val="nil"/>
              <w:bottom w:val="single" w:sz="4" w:space="0" w:color="auto"/>
              <w:right w:val="nil"/>
            </w:tcBorders>
            <w:shd w:val="clear" w:color="FFFFFF" w:fill="auto"/>
            <w:vAlign w:val="bottom"/>
          </w:tcPr>
          <w:p w14:paraId="5D5DB4CD" w14:textId="77777777" w:rsidR="00F600B5" w:rsidRPr="008659FE" w:rsidRDefault="00F600B5" w:rsidP="00F600B5">
            <w:pPr>
              <w:spacing w:before="0" w:after="0" w:line="276" w:lineRule="auto"/>
              <w:ind w:left="179"/>
              <w:rPr>
                <w:rFonts w:ascii="Arial" w:hAnsi="Arial"/>
                <w:b/>
                <w:sz w:val="16"/>
                <w:szCs w:val="16"/>
                <w:lang w:val="en-AU"/>
              </w:rPr>
            </w:pPr>
            <w:r w:rsidRPr="008659FE">
              <w:rPr>
                <w:rFonts w:ascii="Arial" w:hAnsi="Arial"/>
                <w:sz w:val="16"/>
                <w:szCs w:val="16"/>
                <w:lang w:val="en-AU"/>
              </w:rPr>
              <w:t xml:space="preserve">HMAS </w:t>
            </w:r>
            <w:r w:rsidRPr="008659FE">
              <w:rPr>
                <w:rFonts w:ascii="Arial" w:hAnsi="Arial"/>
                <w:i/>
                <w:sz w:val="16"/>
                <w:szCs w:val="16"/>
                <w:lang w:val="en-AU"/>
              </w:rPr>
              <w:t>Creswell</w:t>
            </w:r>
          </w:p>
        </w:tc>
        <w:tc>
          <w:tcPr>
            <w:tcW w:w="1790" w:type="dxa"/>
            <w:tcBorders>
              <w:top w:val="nil"/>
              <w:left w:val="nil"/>
              <w:bottom w:val="single" w:sz="4" w:space="0" w:color="auto"/>
              <w:right w:val="nil"/>
            </w:tcBorders>
            <w:shd w:val="clear" w:color="FFFFFF" w:fill="auto"/>
            <w:noWrap/>
            <w:vAlign w:val="bottom"/>
          </w:tcPr>
          <w:p w14:paraId="6EEE07FE" w14:textId="77777777" w:rsidR="00F600B5" w:rsidRPr="008659FE" w:rsidRDefault="00F600B5" w:rsidP="00F600B5">
            <w:pPr>
              <w:spacing w:before="0" w:after="0" w:line="276" w:lineRule="auto"/>
              <w:jc w:val="right"/>
              <w:rPr>
                <w:rFonts w:ascii="Arial" w:hAnsi="Arial"/>
                <w:sz w:val="16"/>
                <w:szCs w:val="16"/>
                <w:lang w:val="en-AU"/>
              </w:rPr>
            </w:pPr>
            <w:r w:rsidRPr="008659FE">
              <w:rPr>
                <w:rFonts w:ascii="Arial" w:hAnsi="Arial"/>
                <w:sz w:val="16"/>
                <w:szCs w:val="16"/>
                <w:lang w:val="en-AU"/>
              </w:rPr>
              <w:t>ACT - Fenner</w:t>
            </w:r>
          </w:p>
        </w:tc>
        <w:tc>
          <w:tcPr>
            <w:tcW w:w="1191" w:type="dxa"/>
            <w:tcBorders>
              <w:top w:val="nil"/>
              <w:left w:val="nil"/>
              <w:bottom w:val="single" w:sz="4" w:space="0" w:color="auto"/>
              <w:right w:val="nil"/>
            </w:tcBorders>
            <w:shd w:val="clear" w:color="FFFFFF" w:fill="auto"/>
            <w:noWrap/>
            <w:vAlign w:val="bottom"/>
          </w:tcPr>
          <w:p w14:paraId="3CB58E37" w14:textId="77777777" w:rsidR="00F600B5" w:rsidRPr="00353F8D" w:rsidRDefault="00F600B5" w:rsidP="00F600B5">
            <w:pPr>
              <w:spacing w:before="0" w:after="0" w:line="276" w:lineRule="auto"/>
              <w:jc w:val="right"/>
              <w:rPr>
                <w:rFonts w:ascii="Arial" w:hAnsi="Arial"/>
                <w:b/>
                <w:sz w:val="16"/>
                <w:szCs w:val="16"/>
                <w:lang w:val="en-AU"/>
              </w:rPr>
            </w:pPr>
            <w:r w:rsidRPr="00353F8D">
              <w:rPr>
                <w:rFonts w:ascii="Arial" w:hAnsi="Arial"/>
                <w:b/>
                <w:sz w:val="16"/>
                <w:szCs w:val="16"/>
                <w:lang w:val="en-AU"/>
              </w:rPr>
              <w:t>30.7</w:t>
            </w:r>
          </w:p>
        </w:tc>
        <w:tc>
          <w:tcPr>
            <w:tcW w:w="1413" w:type="dxa"/>
            <w:tcBorders>
              <w:top w:val="nil"/>
              <w:left w:val="nil"/>
              <w:bottom w:val="single" w:sz="4" w:space="0" w:color="auto"/>
              <w:right w:val="nil"/>
            </w:tcBorders>
            <w:shd w:val="clear" w:color="auto" w:fill="auto"/>
            <w:noWrap/>
            <w:vAlign w:val="bottom"/>
          </w:tcPr>
          <w:p w14:paraId="1C1DA009" w14:textId="77777777" w:rsidR="00F600B5" w:rsidRPr="009E4B9D" w:rsidRDefault="00F600B5" w:rsidP="00F600B5">
            <w:pPr>
              <w:spacing w:before="0" w:after="0" w:line="276" w:lineRule="auto"/>
              <w:jc w:val="right"/>
              <w:rPr>
                <w:rFonts w:ascii="Arial" w:hAnsi="Arial"/>
                <w:b/>
                <w:sz w:val="16"/>
                <w:szCs w:val="16"/>
                <w:lang w:eastAsia="en-US"/>
              </w:rPr>
            </w:pPr>
            <w:r w:rsidRPr="009E4B9D">
              <w:rPr>
                <w:rFonts w:ascii="Arial" w:hAnsi="Arial"/>
                <w:b/>
                <w:sz w:val="16"/>
                <w:szCs w:val="16"/>
                <w:lang w:eastAsia="en-US"/>
              </w:rPr>
              <w:t>25.1</w:t>
            </w:r>
          </w:p>
        </w:tc>
        <w:tc>
          <w:tcPr>
            <w:tcW w:w="1195" w:type="dxa"/>
            <w:tcBorders>
              <w:top w:val="nil"/>
              <w:left w:val="nil"/>
              <w:bottom w:val="single" w:sz="4" w:space="0" w:color="auto"/>
              <w:right w:val="nil"/>
            </w:tcBorders>
            <w:shd w:val="clear" w:color="auto" w:fill="auto"/>
            <w:noWrap/>
            <w:vAlign w:val="bottom"/>
          </w:tcPr>
          <w:p w14:paraId="37913AC2" w14:textId="77777777" w:rsidR="00F600B5" w:rsidRPr="009E4B9D" w:rsidRDefault="00F600B5" w:rsidP="00F600B5">
            <w:pPr>
              <w:spacing w:before="0" w:after="0" w:line="276" w:lineRule="auto"/>
              <w:jc w:val="right"/>
              <w:rPr>
                <w:rFonts w:ascii="Arial" w:hAnsi="Arial"/>
                <w:b/>
                <w:sz w:val="16"/>
                <w:szCs w:val="16"/>
                <w:lang w:eastAsia="en-US"/>
              </w:rPr>
            </w:pPr>
            <w:r w:rsidRPr="009E4B9D">
              <w:rPr>
                <w:rFonts w:ascii="Arial" w:hAnsi="Arial"/>
                <w:b/>
                <w:sz w:val="16"/>
                <w:szCs w:val="16"/>
                <w:lang w:eastAsia="en-US"/>
              </w:rPr>
              <w:t>2.1</w:t>
            </w:r>
          </w:p>
        </w:tc>
      </w:tr>
      <w:tr w:rsidR="00F600B5" w:rsidRPr="00BA1388" w14:paraId="009B1AB3" w14:textId="77777777" w:rsidTr="00D27096">
        <w:trPr>
          <w:trHeight w:val="227"/>
        </w:trPr>
        <w:tc>
          <w:tcPr>
            <w:tcW w:w="3085" w:type="dxa"/>
            <w:tcBorders>
              <w:top w:val="single" w:sz="4" w:space="0" w:color="auto"/>
              <w:left w:val="nil"/>
              <w:bottom w:val="nil"/>
              <w:right w:val="nil"/>
            </w:tcBorders>
            <w:shd w:val="clear" w:color="FFFFFF" w:fill="auto"/>
            <w:vAlign w:val="bottom"/>
          </w:tcPr>
          <w:p w14:paraId="4FCA0B64" w14:textId="77777777" w:rsidR="00F600B5" w:rsidRPr="008659FE" w:rsidRDefault="00F600B5" w:rsidP="00F600B5">
            <w:pPr>
              <w:keepNext/>
              <w:keepLines/>
              <w:spacing w:before="0" w:after="0" w:line="276" w:lineRule="auto"/>
              <w:rPr>
                <w:rFonts w:ascii="Arial" w:hAnsi="Arial"/>
                <w:b/>
                <w:bCs/>
                <w:sz w:val="16"/>
                <w:szCs w:val="16"/>
                <w:lang w:val="en-AU"/>
              </w:rPr>
            </w:pPr>
            <w:r w:rsidRPr="008659FE">
              <w:rPr>
                <w:rFonts w:ascii="Arial" w:hAnsi="Arial"/>
                <w:b/>
                <w:bCs/>
                <w:sz w:val="16"/>
                <w:szCs w:val="16"/>
                <w:lang w:val="en-AU"/>
              </w:rPr>
              <w:lastRenderedPageBreak/>
              <w:t>LAND 2110 Phase 1B - Chemical, Biological, Radiological and Nuclear Defence Facilities</w:t>
            </w:r>
            <w:r w:rsidRPr="008659FE">
              <w:rPr>
                <w:rFonts w:ascii="Arial" w:hAnsi="Arial"/>
                <w:b/>
                <w:bCs/>
                <w:sz w:val="16"/>
                <w:szCs w:val="16"/>
                <w:vertAlign w:val="superscript"/>
                <w:lang w:val="en-AU"/>
              </w:rPr>
              <w:t xml:space="preserve"> </w:t>
            </w:r>
          </w:p>
        </w:tc>
        <w:tc>
          <w:tcPr>
            <w:tcW w:w="1790" w:type="dxa"/>
            <w:tcBorders>
              <w:top w:val="single" w:sz="4" w:space="0" w:color="auto"/>
              <w:left w:val="nil"/>
              <w:bottom w:val="nil"/>
              <w:right w:val="nil"/>
            </w:tcBorders>
            <w:shd w:val="clear" w:color="FFFFFF" w:fill="auto"/>
            <w:noWrap/>
            <w:vAlign w:val="bottom"/>
          </w:tcPr>
          <w:p w14:paraId="1523E940" w14:textId="77777777" w:rsidR="00F600B5" w:rsidRPr="008659FE" w:rsidRDefault="00F600B5" w:rsidP="00F600B5">
            <w:pPr>
              <w:keepNext/>
              <w:keepLines/>
              <w:spacing w:before="0" w:after="0" w:line="276" w:lineRule="auto"/>
              <w:jc w:val="right"/>
              <w:rPr>
                <w:rFonts w:ascii="Arial" w:hAnsi="Arial"/>
                <w:b/>
                <w:sz w:val="16"/>
                <w:szCs w:val="16"/>
                <w:lang w:val="en-AU"/>
              </w:rPr>
            </w:pPr>
          </w:p>
        </w:tc>
        <w:tc>
          <w:tcPr>
            <w:tcW w:w="1191" w:type="dxa"/>
            <w:tcBorders>
              <w:top w:val="single" w:sz="4" w:space="0" w:color="auto"/>
              <w:left w:val="nil"/>
              <w:bottom w:val="nil"/>
              <w:right w:val="nil"/>
            </w:tcBorders>
            <w:shd w:val="clear" w:color="FFFFFF" w:fill="auto"/>
            <w:noWrap/>
            <w:vAlign w:val="bottom"/>
          </w:tcPr>
          <w:p w14:paraId="1DB801A3" w14:textId="77777777" w:rsidR="00F600B5" w:rsidRPr="00353F8D" w:rsidRDefault="00F600B5" w:rsidP="00F600B5">
            <w:pPr>
              <w:keepNext/>
              <w:keepLines/>
              <w:spacing w:before="0" w:after="0" w:line="276" w:lineRule="auto"/>
              <w:jc w:val="right"/>
              <w:rPr>
                <w:rFonts w:ascii="Arial" w:hAnsi="Arial"/>
                <w:b/>
                <w:bCs/>
                <w:sz w:val="16"/>
                <w:szCs w:val="16"/>
                <w:lang w:val="en-AU"/>
              </w:rPr>
            </w:pPr>
          </w:p>
        </w:tc>
        <w:tc>
          <w:tcPr>
            <w:tcW w:w="1413" w:type="dxa"/>
            <w:tcBorders>
              <w:top w:val="single" w:sz="4" w:space="0" w:color="auto"/>
              <w:left w:val="nil"/>
              <w:bottom w:val="nil"/>
              <w:right w:val="nil"/>
            </w:tcBorders>
            <w:shd w:val="clear" w:color="auto" w:fill="auto"/>
            <w:noWrap/>
            <w:vAlign w:val="bottom"/>
          </w:tcPr>
          <w:p w14:paraId="37238556" w14:textId="77777777" w:rsidR="00F600B5" w:rsidRPr="009E4B9D" w:rsidRDefault="00F600B5" w:rsidP="00F600B5">
            <w:pPr>
              <w:spacing w:before="0" w:after="0" w:line="276" w:lineRule="auto"/>
              <w:jc w:val="right"/>
              <w:rPr>
                <w:rFonts w:ascii="Arial" w:hAnsi="Arial"/>
                <w:b/>
                <w:sz w:val="16"/>
                <w:szCs w:val="16"/>
                <w:lang w:eastAsia="en-US"/>
              </w:rPr>
            </w:pPr>
          </w:p>
        </w:tc>
        <w:tc>
          <w:tcPr>
            <w:tcW w:w="1195" w:type="dxa"/>
            <w:tcBorders>
              <w:top w:val="single" w:sz="4" w:space="0" w:color="auto"/>
              <w:left w:val="nil"/>
              <w:bottom w:val="nil"/>
              <w:right w:val="nil"/>
            </w:tcBorders>
            <w:shd w:val="clear" w:color="auto" w:fill="auto"/>
            <w:noWrap/>
            <w:vAlign w:val="bottom"/>
          </w:tcPr>
          <w:p w14:paraId="68BEF3C7" w14:textId="77777777" w:rsidR="00F600B5" w:rsidRPr="009E4B9D" w:rsidRDefault="00F600B5" w:rsidP="00F600B5">
            <w:pPr>
              <w:spacing w:before="0" w:after="0" w:line="276" w:lineRule="auto"/>
              <w:jc w:val="right"/>
              <w:rPr>
                <w:rFonts w:ascii="Arial" w:hAnsi="Arial"/>
                <w:b/>
                <w:sz w:val="16"/>
                <w:szCs w:val="16"/>
                <w:lang w:eastAsia="en-US"/>
              </w:rPr>
            </w:pPr>
          </w:p>
        </w:tc>
      </w:tr>
      <w:tr w:rsidR="00F600B5" w:rsidRPr="00BA1388" w14:paraId="5C92A724" w14:textId="77777777" w:rsidTr="00D27096">
        <w:trPr>
          <w:trHeight w:val="227"/>
        </w:trPr>
        <w:tc>
          <w:tcPr>
            <w:tcW w:w="3085" w:type="dxa"/>
            <w:tcBorders>
              <w:top w:val="nil"/>
              <w:left w:val="nil"/>
              <w:bottom w:val="nil"/>
              <w:right w:val="nil"/>
            </w:tcBorders>
            <w:shd w:val="clear" w:color="FFFFFF" w:fill="auto"/>
            <w:vAlign w:val="bottom"/>
          </w:tcPr>
          <w:p w14:paraId="595BECBD" w14:textId="77777777" w:rsidR="00F600B5" w:rsidRPr="008659FE" w:rsidRDefault="00F600B5" w:rsidP="00F600B5">
            <w:pPr>
              <w:keepNext/>
              <w:keepLines/>
              <w:spacing w:before="0" w:after="0" w:line="276" w:lineRule="auto"/>
              <w:ind w:left="179"/>
              <w:rPr>
                <w:rFonts w:ascii="Arial" w:hAnsi="Arial"/>
                <w:sz w:val="16"/>
                <w:szCs w:val="16"/>
                <w:lang w:val="en-AU"/>
              </w:rPr>
            </w:pPr>
            <w:r w:rsidRPr="008659FE">
              <w:rPr>
                <w:rFonts w:ascii="Arial" w:hAnsi="Arial"/>
                <w:sz w:val="16"/>
                <w:szCs w:val="16"/>
                <w:lang w:val="en-AU"/>
              </w:rPr>
              <w:t xml:space="preserve">HMAS </w:t>
            </w:r>
            <w:r w:rsidRPr="008659FE">
              <w:rPr>
                <w:rFonts w:ascii="Arial" w:hAnsi="Arial"/>
                <w:i/>
                <w:sz w:val="16"/>
                <w:szCs w:val="16"/>
                <w:lang w:val="en-AU"/>
              </w:rPr>
              <w:t>Stirling</w:t>
            </w:r>
          </w:p>
        </w:tc>
        <w:tc>
          <w:tcPr>
            <w:tcW w:w="1790" w:type="dxa"/>
            <w:tcBorders>
              <w:top w:val="nil"/>
              <w:left w:val="nil"/>
              <w:bottom w:val="nil"/>
              <w:right w:val="nil"/>
            </w:tcBorders>
            <w:shd w:val="clear" w:color="FFFFFF" w:fill="auto"/>
            <w:noWrap/>
            <w:vAlign w:val="bottom"/>
          </w:tcPr>
          <w:p w14:paraId="3695F2D7" w14:textId="77777777" w:rsidR="00F600B5" w:rsidRPr="008659FE" w:rsidRDefault="00F600B5" w:rsidP="00F600B5">
            <w:pPr>
              <w:keepNext/>
              <w:keepLines/>
              <w:spacing w:before="0" w:after="0" w:line="276" w:lineRule="auto"/>
              <w:jc w:val="right"/>
              <w:rPr>
                <w:rFonts w:ascii="Arial" w:hAnsi="Arial"/>
                <w:sz w:val="16"/>
                <w:szCs w:val="16"/>
                <w:lang w:val="en-AU"/>
              </w:rPr>
            </w:pPr>
            <w:r w:rsidRPr="008659FE">
              <w:rPr>
                <w:rFonts w:ascii="Arial" w:hAnsi="Arial"/>
                <w:sz w:val="16"/>
                <w:szCs w:val="16"/>
                <w:lang w:val="en-AU"/>
              </w:rPr>
              <w:t>WA - Brand</w:t>
            </w:r>
          </w:p>
        </w:tc>
        <w:tc>
          <w:tcPr>
            <w:tcW w:w="1191" w:type="dxa"/>
            <w:tcBorders>
              <w:top w:val="nil"/>
              <w:left w:val="nil"/>
              <w:bottom w:val="nil"/>
              <w:right w:val="nil"/>
            </w:tcBorders>
            <w:shd w:val="clear" w:color="FFFFFF" w:fill="auto"/>
            <w:noWrap/>
            <w:vAlign w:val="bottom"/>
          </w:tcPr>
          <w:p w14:paraId="319201CA" w14:textId="77777777" w:rsidR="00F600B5" w:rsidRPr="00353F8D" w:rsidRDefault="00F600B5" w:rsidP="00F600B5">
            <w:pPr>
              <w:keepNext/>
              <w:keepLines/>
              <w:spacing w:before="0" w:after="0" w:line="276" w:lineRule="auto"/>
              <w:jc w:val="right"/>
              <w:rPr>
                <w:rFonts w:ascii="Arial" w:hAnsi="Arial"/>
                <w:b/>
                <w:bCs/>
                <w:sz w:val="16"/>
                <w:szCs w:val="16"/>
                <w:lang w:val="en-AU"/>
              </w:rPr>
            </w:pPr>
          </w:p>
        </w:tc>
        <w:tc>
          <w:tcPr>
            <w:tcW w:w="1413" w:type="dxa"/>
            <w:tcBorders>
              <w:top w:val="nil"/>
              <w:left w:val="nil"/>
              <w:bottom w:val="nil"/>
              <w:right w:val="nil"/>
            </w:tcBorders>
            <w:shd w:val="clear" w:color="auto" w:fill="auto"/>
            <w:noWrap/>
            <w:vAlign w:val="bottom"/>
          </w:tcPr>
          <w:p w14:paraId="495B7A80" w14:textId="77777777" w:rsidR="00F600B5" w:rsidRPr="009E4B9D" w:rsidRDefault="00F600B5" w:rsidP="00F600B5">
            <w:pPr>
              <w:spacing w:before="0" w:after="0" w:line="276" w:lineRule="auto"/>
              <w:jc w:val="right"/>
              <w:rPr>
                <w:rFonts w:ascii="Arial" w:hAnsi="Arial"/>
                <w:sz w:val="16"/>
                <w:szCs w:val="16"/>
                <w:lang w:eastAsia="en-US"/>
              </w:rPr>
            </w:pPr>
            <w:r w:rsidRPr="009E4B9D">
              <w:rPr>
                <w:rFonts w:ascii="Arial" w:hAnsi="Arial"/>
                <w:sz w:val="16"/>
                <w:szCs w:val="16"/>
                <w:lang w:eastAsia="en-US"/>
              </w:rPr>
              <w:t>0.8</w:t>
            </w:r>
          </w:p>
        </w:tc>
        <w:tc>
          <w:tcPr>
            <w:tcW w:w="1195" w:type="dxa"/>
            <w:tcBorders>
              <w:top w:val="nil"/>
              <w:left w:val="nil"/>
              <w:bottom w:val="nil"/>
              <w:right w:val="nil"/>
            </w:tcBorders>
            <w:shd w:val="clear" w:color="auto" w:fill="auto"/>
            <w:noWrap/>
            <w:vAlign w:val="bottom"/>
          </w:tcPr>
          <w:p w14:paraId="55774B5A" w14:textId="77777777" w:rsidR="00F600B5" w:rsidRPr="009E4B9D" w:rsidRDefault="00F600B5" w:rsidP="00F600B5">
            <w:pPr>
              <w:spacing w:before="0" w:after="0" w:line="276" w:lineRule="auto"/>
              <w:jc w:val="right"/>
              <w:rPr>
                <w:rFonts w:ascii="Arial" w:hAnsi="Arial"/>
                <w:sz w:val="16"/>
                <w:szCs w:val="16"/>
                <w:lang w:eastAsia="en-US"/>
              </w:rPr>
            </w:pPr>
            <w:r w:rsidRPr="009E4B9D">
              <w:rPr>
                <w:rFonts w:ascii="Arial" w:hAnsi="Arial"/>
                <w:sz w:val="16"/>
                <w:szCs w:val="16"/>
                <w:lang w:eastAsia="en-US"/>
              </w:rPr>
              <w:t>0.0</w:t>
            </w:r>
          </w:p>
        </w:tc>
      </w:tr>
      <w:tr w:rsidR="00F600B5" w:rsidRPr="00BA1388" w14:paraId="0FF1A032" w14:textId="77777777" w:rsidTr="00D27096">
        <w:trPr>
          <w:trHeight w:val="227"/>
        </w:trPr>
        <w:tc>
          <w:tcPr>
            <w:tcW w:w="3085" w:type="dxa"/>
            <w:tcBorders>
              <w:top w:val="nil"/>
              <w:left w:val="nil"/>
              <w:bottom w:val="nil"/>
              <w:right w:val="nil"/>
            </w:tcBorders>
            <w:shd w:val="clear" w:color="FFFFFF" w:fill="auto"/>
            <w:vAlign w:val="bottom"/>
          </w:tcPr>
          <w:p w14:paraId="0122FC0E" w14:textId="77777777" w:rsidR="00F600B5" w:rsidRPr="008659FE" w:rsidRDefault="00F600B5" w:rsidP="00F600B5">
            <w:pPr>
              <w:keepNext/>
              <w:keepLines/>
              <w:spacing w:before="0" w:after="0" w:line="276" w:lineRule="auto"/>
              <w:ind w:left="179"/>
              <w:rPr>
                <w:rFonts w:ascii="Arial" w:hAnsi="Arial"/>
                <w:sz w:val="16"/>
                <w:szCs w:val="16"/>
                <w:lang w:val="en-AU"/>
              </w:rPr>
            </w:pPr>
            <w:r w:rsidRPr="008659FE">
              <w:rPr>
                <w:rFonts w:ascii="Arial" w:hAnsi="Arial"/>
                <w:sz w:val="16"/>
                <w:szCs w:val="16"/>
                <w:lang w:val="en-AU"/>
              </w:rPr>
              <w:t>Bindoon Training Area</w:t>
            </w:r>
          </w:p>
        </w:tc>
        <w:tc>
          <w:tcPr>
            <w:tcW w:w="1790" w:type="dxa"/>
            <w:tcBorders>
              <w:top w:val="nil"/>
              <w:left w:val="nil"/>
              <w:bottom w:val="nil"/>
              <w:right w:val="nil"/>
            </w:tcBorders>
            <w:shd w:val="clear" w:color="FFFFFF" w:fill="auto"/>
            <w:noWrap/>
            <w:vAlign w:val="bottom"/>
          </w:tcPr>
          <w:p w14:paraId="362C4EBF" w14:textId="77777777" w:rsidR="00F600B5" w:rsidRPr="008659FE" w:rsidRDefault="00F600B5" w:rsidP="00F600B5">
            <w:pPr>
              <w:keepNext/>
              <w:keepLines/>
              <w:spacing w:before="0" w:after="0" w:line="276" w:lineRule="auto"/>
              <w:jc w:val="right"/>
              <w:rPr>
                <w:rFonts w:ascii="Arial" w:hAnsi="Arial"/>
                <w:sz w:val="16"/>
                <w:szCs w:val="16"/>
                <w:lang w:val="en-AU"/>
              </w:rPr>
            </w:pPr>
            <w:r w:rsidRPr="008659FE">
              <w:rPr>
                <w:rFonts w:ascii="Arial" w:hAnsi="Arial"/>
                <w:sz w:val="16"/>
                <w:szCs w:val="16"/>
                <w:lang w:val="en-AU"/>
              </w:rPr>
              <w:t>WA - Pearce</w:t>
            </w:r>
          </w:p>
        </w:tc>
        <w:tc>
          <w:tcPr>
            <w:tcW w:w="1191" w:type="dxa"/>
            <w:tcBorders>
              <w:top w:val="nil"/>
              <w:left w:val="nil"/>
              <w:bottom w:val="nil"/>
              <w:right w:val="nil"/>
            </w:tcBorders>
            <w:shd w:val="clear" w:color="FFFFFF" w:fill="auto"/>
            <w:noWrap/>
            <w:vAlign w:val="bottom"/>
          </w:tcPr>
          <w:p w14:paraId="5CD5CEED" w14:textId="77777777" w:rsidR="00F600B5" w:rsidRPr="00353F8D" w:rsidRDefault="00F600B5" w:rsidP="00F600B5">
            <w:pPr>
              <w:keepNext/>
              <w:keepLines/>
              <w:spacing w:before="0" w:after="0" w:line="276" w:lineRule="auto"/>
              <w:jc w:val="right"/>
              <w:rPr>
                <w:rFonts w:ascii="Arial" w:hAnsi="Arial"/>
                <w:b/>
                <w:bCs/>
                <w:sz w:val="16"/>
                <w:szCs w:val="16"/>
                <w:lang w:val="en-AU"/>
              </w:rPr>
            </w:pPr>
          </w:p>
        </w:tc>
        <w:tc>
          <w:tcPr>
            <w:tcW w:w="1413" w:type="dxa"/>
            <w:tcBorders>
              <w:top w:val="nil"/>
              <w:left w:val="nil"/>
              <w:bottom w:val="nil"/>
              <w:right w:val="nil"/>
            </w:tcBorders>
            <w:shd w:val="clear" w:color="auto" w:fill="auto"/>
            <w:noWrap/>
            <w:vAlign w:val="bottom"/>
          </w:tcPr>
          <w:p w14:paraId="117041BA" w14:textId="77777777" w:rsidR="00F600B5" w:rsidRPr="009E4B9D" w:rsidRDefault="00F600B5" w:rsidP="00F600B5">
            <w:pPr>
              <w:spacing w:before="0" w:after="0" w:line="276" w:lineRule="auto"/>
              <w:jc w:val="right"/>
              <w:rPr>
                <w:rFonts w:ascii="Arial" w:hAnsi="Arial"/>
                <w:sz w:val="16"/>
                <w:szCs w:val="16"/>
                <w:lang w:eastAsia="en-US"/>
              </w:rPr>
            </w:pPr>
            <w:r w:rsidRPr="009E4B9D">
              <w:rPr>
                <w:rFonts w:ascii="Arial" w:hAnsi="Arial"/>
                <w:sz w:val="16"/>
                <w:szCs w:val="16"/>
                <w:lang w:eastAsia="en-US"/>
              </w:rPr>
              <w:t>0.5</w:t>
            </w:r>
          </w:p>
        </w:tc>
        <w:tc>
          <w:tcPr>
            <w:tcW w:w="1195" w:type="dxa"/>
            <w:tcBorders>
              <w:top w:val="nil"/>
              <w:left w:val="nil"/>
              <w:bottom w:val="nil"/>
              <w:right w:val="nil"/>
            </w:tcBorders>
            <w:shd w:val="clear" w:color="auto" w:fill="auto"/>
            <w:noWrap/>
            <w:vAlign w:val="bottom"/>
          </w:tcPr>
          <w:p w14:paraId="1A963811" w14:textId="77777777" w:rsidR="00F600B5" w:rsidRPr="009E4B9D" w:rsidRDefault="00F600B5" w:rsidP="00F600B5">
            <w:pPr>
              <w:spacing w:before="0" w:after="0" w:line="276" w:lineRule="auto"/>
              <w:jc w:val="right"/>
              <w:rPr>
                <w:rFonts w:ascii="Arial" w:hAnsi="Arial"/>
                <w:sz w:val="16"/>
                <w:szCs w:val="16"/>
                <w:lang w:eastAsia="en-US"/>
              </w:rPr>
            </w:pPr>
            <w:r w:rsidRPr="009E4B9D">
              <w:rPr>
                <w:rFonts w:ascii="Arial" w:hAnsi="Arial"/>
                <w:sz w:val="16"/>
                <w:szCs w:val="16"/>
                <w:lang w:eastAsia="en-US"/>
              </w:rPr>
              <w:t>0.0</w:t>
            </w:r>
          </w:p>
        </w:tc>
      </w:tr>
      <w:tr w:rsidR="00F600B5" w:rsidRPr="00BA1388" w14:paraId="32A3192A" w14:textId="77777777" w:rsidTr="00D27096">
        <w:trPr>
          <w:trHeight w:val="227"/>
        </w:trPr>
        <w:tc>
          <w:tcPr>
            <w:tcW w:w="3085" w:type="dxa"/>
            <w:tcBorders>
              <w:top w:val="nil"/>
              <w:left w:val="nil"/>
              <w:bottom w:val="nil"/>
              <w:right w:val="nil"/>
            </w:tcBorders>
            <w:shd w:val="clear" w:color="FFFFFF" w:fill="auto"/>
            <w:vAlign w:val="bottom"/>
          </w:tcPr>
          <w:p w14:paraId="439B6499" w14:textId="77777777" w:rsidR="00F600B5" w:rsidRPr="008659FE" w:rsidRDefault="00F600B5" w:rsidP="00F600B5">
            <w:pPr>
              <w:keepNext/>
              <w:keepLines/>
              <w:spacing w:before="0" w:after="0" w:line="276" w:lineRule="auto"/>
              <w:ind w:left="179"/>
              <w:rPr>
                <w:rFonts w:ascii="Arial" w:hAnsi="Arial"/>
                <w:sz w:val="16"/>
                <w:szCs w:val="16"/>
                <w:lang w:val="en-AU"/>
              </w:rPr>
            </w:pPr>
            <w:r w:rsidRPr="008659FE">
              <w:rPr>
                <w:rFonts w:ascii="Arial" w:hAnsi="Arial"/>
                <w:sz w:val="16"/>
                <w:szCs w:val="16"/>
                <w:lang w:val="en-AU"/>
              </w:rPr>
              <w:t>Robertson Barracks</w:t>
            </w:r>
          </w:p>
        </w:tc>
        <w:tc>
          <w:tcPr>
            <w:tcW w:w="1790" w:type="dxa"/>
            <w:tcBorders>
              <w:top w:val="nil"/>
              <w:left w:val="nil"/>
              <w:bottom w:val="nil"/>
              <w:right w:val="nil"/>
            </w:tcBorders>
            <w:shd w:val="clear" w:color="FFFFFF" w:fill="auto"/>
            <w:noWrap/>
            <w:vAlign w:val="bottom"/>
          </w:tcPr>
          <w:p w14:paraId="3B6F1188" w14:textId="77777777" w:rsidR="00F600B5" w:rsidRPr="008659FE" w:rsidRDefault="00F600B5" w:rsidP="00F600B5">
            <w:pPr>
              <w:keepNext/>
              <w:keepLines/>
              <w:spacing w:before="0" w:after="0" w:line="276" w:lineRule="auto"/>
              <w:jc w:val="right"/>
              <w:rPr>
                <w:rFonts w:ascii="Arial" w:hAnsi="Arial"/>
                <w:sz w:val="16"/>
                <w:szCs w:val="16"/>
                <w:lang w:val="en-AU"/>
              </w:rPr>
            </w:pPr>
            <w:r w:rsidRPr="008659FE">
              <w:rPr>
                <w:rFonts w:ascii="Arial" w:hAnsi="Arial"/>
                <w:sz w:val="16"/>
                <w:szCs w:val="16"/>
                <w:lang w:val="en-AU"/>
              </w:rPr>
              <w:t>NT - Lingiari</w:t>
            </w:r>
          </w:p>
        </w:tc>
        <w:tc>
          <w:tcPr>
            <w:tcW w:w="1191" w:type="dxa"/>
            <w:tcBorders>
              <w:top w:val="nil"/>
              <w:left w:val="nil"/>
              <w:bottom w:val="nil"/>
              <w:right w:val="nil"/>
            </w:tcBorders>
            <w:shd w:val="clear" w:color="FFFFFF" w:fill="auto"/>
            <w:noWrap/>
            <w:vAlign w:val="bottom"/>
          </w:tcPr>
          <w:p w14:paraId="2F0060FB" w14:textId="77777777" w:rsidR="00F600B5" w:rsidRPr="00353F8D" w:rsidRDefault="00F600B5" w:rsidP="00F600B5">
            <w:pPr>
              <w:keepNext/>
              <w:keepLines/>
              <w:spacing w:before="0" w:after="0" w:line="276" w:lineRule="auto"/>
              <w:jc w:val="right"/>
              <w:rPr>
                <w:rFonts w:ascii="Arial" w:hAnsi="Arial"/>
                <w:b/>
                <w:bCs/>
                <w:sz w:val="16"/>
                <w:szCs w:val="16"/>
                <w:lang w:val="en-AU"/>
              </w:rPr>
            </w:pPr>
          </w:p>
        </w:tc>
        <w:tc>
          <w:tcPr>
            <w:tcW w:w="1413" w:type="dxa"/>
            <w:tcBorders>
              <w:top w:val="nil"/>
              <w:left w:val="nil"/>
              <w:bottom w:val="nil"/>
              <w:right w:val="nil"/>
            </w:tcBorders>
            <w:shd w:val="clear" w:color="auto" w:fill="auto"/>
            <w:noWrap/>
            <w:vAlign w:val="bottom"/>
          </w:tcPr>
          <w:p w14:paraId="3C95371B" w14:textId="77777777" w:rsidR="00F600B5" w:rsidRPr="009E4B9D" w:rsidRDefault="00F600B5" w:rsidP="00F600B5">
            <w:pPr>
              <w:spacing w:before="0" w:after="0" w:line="276" w:lineRule="auto"/>
              <w:jc w:val="right"/>
              <w:rPr>
                <w:rFonts w:ascii="Arial" w:hAnsi="Arial"/>
                <w:sz w:val="16"/>
                <w:szCs w:val="16"/>
                <w:lang w:eastAsia="en-US"/>
              </w:rPr>
            </w:pPr>
            <w:r w:rsidRPr="009E4B9D">
              <w:rPr>
                <w:rFonts w:ascii="Arial" w:hAnsi="Arial"/>
                <w:sz w:val="16"/>
                <w:szCs w:val="16"/>
                <w:lang w:eastAsia="en-US"/>
              </w:rPr>
              <w:t>0.6</w:t>
            </w:r>
          </w:p>
        </w:tc>
        <w:tc>
          <w:tcPr>
            <w:tcW w:w="1195" w:type="dxa"/>
            <w:tcBorders>
              <w:top w:val="nil"/>
              <w:left w:val="nil"/>
              <w:bottom w:val="nil"/>
              <w:right w:val="nil"/>
            </w:tcBorders>
            <w:shd w:val="clear" w:color="auto" w:fill="auto"/>
            <w:noWrap/>
            <w:vAlign w:val="bottom"/>
          </w:tcPr>
          <w:p w14:paraId="436FC9F2" w14:textId="77777777" w:rsidR="00F600B5" w:rsidRPr="009E4B9D" w:rsidRDefault="00F600B5" w:rsidP="00F600B5">
            <w:pPr>
              <w:spacing w:before="0" w:after="0" w:line="276" w:lineRule="auto"/>
              <w:jc w:val="right"/>
              <w:rPr>
                <w:rFonts w:ascii="Arial" w:hAnsi="Arial"/>
                <w:sz w:val="16"/>
                <w:szCs w:val="16"/>
                <w:lang w:eastAsia="en-US"/>
              </w:rPr>
            </w:pPr>
            <w:r w:rsidRPr="009E4B9D">
              <w:rPr>
                <w:rFonts w:ascii="Arial" w:hAnsi="Arial"/>
                <w:sz w:val="16"/>
                <w:szCs w:val="16"/>
                <w:lang w:eastAsia="en-US"/>
              </w:rPr>
              <w:t>0.0</w:t>
            </w:r>
          </w:p>
        </w:tc>
      </w:tr>
      <w:tr w:rsidR="00F600B5" w:rsidRPr="00BA1388" w14:paraId="79E32952" w14:textId="77777777" w:rsidTr="00D27096">
        <w:trPr>
          <w:trHeight w:val="227"/>
        </w:trPr>
        <w:tc>
          <w:tcPr>
            <w:tcW w:w="3085" w:type="dxa"/>
            <w:tcBorders>
              <w:top w:val="nil"/>
              <w:left w:val="nil"/>
              <w:bottom w:val="nil"/>
              <w:right w:val="nil"/>
            </w:tcBorders>
            <w:shd w:val="clear" w:color="FFFFFF" w:fill="auto"/>
            <w:vAlign w:val="bottom"/>
          </w:tcPr>
          <w:p w14:paraId="36092857" w14:textId="77777777" w:rsidR="00F600B5" w:rsidRPr="008659FE" w:rsidRDefault="00F600B5" w:rsidP="00F600B5">
            <w:pPr>
              <w:keepNext/>
              <w:keepLines/>
              <w:spacing w:before="0" w:after="0" w:line="276" w:lineRule="auto"/>
              <w:ind w:left="179"/>
              <w:rPr>
                <w:rFonts w:ascii="Arial" w:hAnsi="Arial"/>
                <w:sz w:val="16"/>
                <w:szCs w:val="16"/>
                <w:lang w:val="en-AU"/>
              </w:rPr>
            </w:pPr>
            <w:r w:rsidRPr="008659FE">
              <w:rPr>
                <w:rFonts w:ascii="Arial" w:hAnsi="Arial"/>
                <w:sz w:val="16"/>
                <w:szCs w:val="16"/>
                <w:lang w:val="en-AU"/>
              </w:rPr>
              <w:t>RAAF Edinburgh</w:t>
            </w:r>
          </w:p>
        </w:tc>
        <w:tc>
          <w:tcPr>
            <w:tcW w:w="1790" w:type="dxa"/>
            <w:tcBorders>
              <w:top w:val="nil"/>
              <w:left w:val="nil"/>
              <w:bottom w:val="nil"/>
              <w:right w:val="nil"/>
            </w:tcBorders>
            <w:shd w:val="clear" w:color="FFFFFF" w:fill="auto"/>
            <w:noWrap/>
            <w:vAlign w:val="bottom"/>
          </w:tcPr>
          <w:p w14:paraId="185D6168" w14:textId="77777777" w:rsidR="00F600B5" w:rsidRPr="008659FE" w:rsidRDefault="00F600B5" w:rsidP="00F600B5">
            <w:pPr>
              <w:keepNext/>
              <w:keepLines/>
              <w:spacing w:before="0" w:after="0" w:line="276" w:lineRule="auto"/>
              <w:jc w:val="right"/>
              <w:rPr>
                <w:rFonts w:ascii="Arial" w:hAnsi="Arial"/>
                <w:sz w:val="16"/>
                <w:szCs w:val="16"/>
                <w:lang w:val="en-AU"/>
              </w:rPr>
            </w:pPr>
            <w:r w:rsidRPr="008659FE">
              <w:rPr>
                <w:rFonts w:ascii="Arial" w:hAnsi="Arial"/>
                <w:sz w:val="16"/>
                <w:szCs w:val="16"/>
                <w:lang w:val="en-AU"/>
              </w:rPr>
              <w:t>SA - Spence</w:t>
            </w:r>
          </w:p>
        </w:tc>
        <w:tc>
          <w:tcPr>
            <w:tcW w:w="1191" w:type="dxa"/>
            <w:tcBorders>
              <w:top w:val="nil"/>
              <w:left w:val="nil"/>
              <w:bottom w:val="nil"/>
              <w:right w:val="nil"/>
            </w:tcBorders>
            <w:shd w:val="clear" w:color="FFFFFF" w:fill="auto"/>
            <w:noWrap/>
            <w:vAlign w:val="bottom"/>
          </w:tcPr>
          <w:p w14:paraId="516E976A" w14:textId="77777777" w:rsidR="00F600B5" w:rsidRPr="00353F8D" w:rsidRDefault="00F600B5" w:rsidP="00F600B5">
            <w:pPr>
              <w:keepNext/>
              <w:keepLines/>
              <w:spacing w:before="0" w:after="0" w:line="276" w:lineRule="auto"/>
              <w:jc w:val="right"/>
              <w:rPr>
                <w:rFonts w:ascii="Arial" w:hAnsi="Arial"/>
                <w:b/>
                <w:bCs/>
                <w:sz w:val="16"/>
                <w:szCs w:val="16"/>
                <w:lang w:val="en-AU"/>
              </w:rPr>
            </w:pPr>
          </w:p>
        </w:tc>
        <w:tc>
          <w:tcPr>
            <w:tcW w:w="1413" w:type="dxa"/>
            <w:tcBorders>
              <w:top w:val="nil"/>
              <w:left w:val="nil"/>
              <w:bottom w:val="nil"/>
              <w:right w:val="nil"/>
            </w:tcBorders>
            <w:shd w:val="clear" w:color="auto" w:fill="auto"/>
            <w:noWrap/>
            <w:vAlign w:val="bottom"/>
          </w:tcPr>
          <w:p w14:paraId="1AB3A609" w14:textId="77777777" w:rsidR="00F600B5" w:rsidRPr="009E4B9D" w:rsidRDefault="00F600B5" w:rsidP="00F600B5">
            <w:pPr>
              <w:spacing w:before="0" w:after="0" w:line="276" w:lineRule="auto"/>
              <w:jc w:val="right"/>
              <w:rPr>
                <w:rFonts w:ascii="Arial" w:hAnsi="Arial"/>
                <w:sz w:val="16"/>
                <w:szCs w:val="16"/>
                <w:lang w:eastAsia="en-US"/>
              </w:rPr>
            </w:pPr>
            <w:r w:rsidRPr="009E4B9D">
              <w:rPr>
                <w:rFonts w:ascii="Arial" w:hAnsi="Arial"/>
                <w:sz w:val="16"/>
                <w:szCs w:val="16"/>
                <w:lang w:eastAsia="en-US"/>
              </w:rPr>
              <w:t>0.4</w:t>
            </w:r>
          </w:p>
        </w:tc>
        <w:tc>
          <w:tcPr>
            <w:tcW w:w="1195" w:type="dxa"/>
            <w:tcBorders>
              <w:top w:val="nil"/>
              <w:left w:val="nil"/>
              <w:bottom w:val="nil"/>
              <w:right w:val="nil"/>
            </w:tcBorders>
            <w:shd w:val="clear" w:color="auto" w:fill="auto"/>
            <w:noWrap/>
            <w:vAlign w:val="bottom"/>
          </w:tcPr>
          <w:p w14:paraId="78F569A7" w14:textId="77777777" w:rsidR="00F600B5" w:rsidRPr="009E4B9D" w:rsidRDefault="00F600B5" w:rsidP="00F600B5">
            <w:pPr>
              <w:spacing w:before="0" w:after="0" w:line="276" w:lineRule="auto"/>
              <w:jc w:val="right"/>
              <w:rPr>
                <w:rFonts w:ascii="Arial" w:hAnsi="Arial"/>
                <w:sz w:val="16"/>
                <w:szCs w:val="16"/>
                <w:lang w:eastAsia="en-US"/>
              </w:rPr>
            </w:pPr>
            <w:r w:rsidRPr="009E4B9D">
              <w:rPr>
                <w:rFonts w:ascii="Arial" w:hAnsi="Arial"/>
                <w:sz w:val="16"/>
                <w:szCs w:val="16"/>
                <w:lang w:eastAsia="en-US"/>
              </w:rPr>
              <w:t>0.0</w:t>
            </w:r>
          </w:p>
        </w:tc>
      </w:tr>
      <w:tr w:rsidR="00F600B5" w:rsidRPr="00BA1388" w14:paraId="1BC81633" w14:textId="77777777" w:rsidTr="00D27096">
        <w:trPr>
          <w:trHeight w:val="227"/>
        </w:trPr>
        <w:tc>
          <w:tcPr>
            <w:tcW w:w="3085" w:type="dxa"/>
            <w:tcBorders>
              <w:top w:val="nil"/>
              <w:left w:val="nil"/>
              <w:bottom w:val="nil"/>
              <w:right w:val="nil"/>
            </w:tcBorders>
            <w:shd w:val="clear" w:color="FFFFFF" w:fill="auto"/>
            <w:vAlign w:val="bottom"/>
          </w:tcPr>
          <w:p w14:paraId="1AB52028" w14:textId="77777777" w:rsidR="00F600B5" w:rsidRPr="008659FE" w:rsidRDefault="00F600B5" w:rsidP="00F600B5">
            <w:pPr>
              <w:keepNext/>
              <w:keepLines/>
              <w:spacing w:before="0" w:after="0" w:line="276" w:lineRule="auto"/>
              <w:ind w:left="179"/>
              <w:rPr>
                <w:rFonts w:ascii="Arial" w:hAnsi="Arial"/>
                <w:sz w:val="16"/>
                <w:szCs w:val="16"/>
                <w:lang w:val="en-AU"/>
              </w:rPr>
            </w:pPr>
            <w:r w:rsidRPr="008659FE">
              <w:rPr>
                <w:rFonts w:ascii="Arial" w:hAnsi="Arial"/>
                <w:sz w:val="16"/>
                <w:szCs w:val="16"/>
                <w:lang w:val="en-AU"/>
              </w:rPr>
              <w:t>Lavarack Barracks</w:t>
            </w:r>
          </w:p>
        </w:tc>
        <w:tc>
          <w:tcPr>
            <w:tcW w:w="1790" w:type="dxa"/>
            <w:tcBorders>
              <w:top w:val="nil"/>
              <w:left w:val="nil"/>
              <w:bottom w:val="nil"/>
              <w:right w:val="nil"/>
            </w:tcBorders>
            <w:shd w:val="clear" w:color="FFFFFF" w:fill="auto"/>
            <w:noWrap/>
            <w:vAlign w:val="bottom"/>
          </w:tcPr>
          <w:p w14:paraId="319F71A1" w14:textId="77777777" w:rsidR="00F600B5" w:rsidRPr="008659FE" w:rsidRDefault="00F600B5" w:rsidP="00F600B5">
            <w:pPr>
              <w:keepNext/>
              <w:keepLines/>
              <w:spacing w:before="0" w:after="0" w:line="276" w:lineRule="auto"/>
              <w:jc w:val="right"/>
              <w:rPr>
                <w:rFonts w:ascii="Arial" w:hAnsi="Arial"/>
                <w:sz w:val="16"/>
                <w:szCs w:val="16"/>
                <w:lang w:val="en-AU"/>
              </w:rPr>
            </w:pPr>
            <w:r w:rsidRPr="008659FE">
              <w:rPr>
                <w:rFonts w:ascii="Arial" w:hAnsi="Arial"/>
                <w:sz w:val="16"/>
                <w:szCs w:val="16"/>
                <w:lang w:val="en-AU"/>
              </w:rPr>
              <w:t>QLD - Herbert</w:t>
            </w:r>
          </w:p>
        </w:tc>
        <w:tc>
          <w:tcPr>
            <w:tcW w:w="1191" w:type="dxa"/>
            <w:tcBorders>
              <w:top w:val="nil"/>
              <w:left w:val="nil"/>
              <w:bottom w:val="nil"/>
              <w:right w:val="nil"/>
            </w:tcBorders>
            <w:shd w:val="clear" w:color="FFFFFF" w:fill="auto"/>
            <w:noWrap/>
            <w:vAlign w:val="bottom"/>
          </w:tcPr>
          <w:p w14:paraId="4CD6F1D3" w14:textId="77777777" w:rsidR="00F600B5" w:rsidRPr="00353F8D" w:rsidRDefault="00F600B5" w:rsidP="00F600B5">
            <w:pPr>
              <w:keepNext/>
              <w:keepLines/>
              <w:spacing w:before="0" w:after="0" w:line="276" w:lineRule="auto"/>
              <w:jc w:val="right"/>
              <w:rPr>
                <w:rFonts w:ascii="Arial" w:hAnsi="Arial"/>
                <w:b/>
                <w:bCs/>
                <w:sz w:val="16"/>
                <w:szCs w:val="16"/>
                <w:lang w:val="en-AU"/>
              </w:rPr>
            </w:pPr>
          </w:p>
        </w:tc>
        <w:tc>
          <w:tcPr>
            <w:tcW w:w="1413" w:type="dxa"/>
            <w:tcBorders>
              <w:top w:val="nil"/>
              <w:left w:val="nil"/>
              <w:bottom w:val="nil"/>
              <w:right w:val="nil"/>
            </w:tcBorders>
            <w:shd w:val="clear" w:color="auto" w:fill="auto"/>
            <w:noWrap/>
            <w:vAlign w:val="bottom"/>
          </w:tcPr>
          <w:p w14:paraId="6D07F84D" w14:textId="77777777" w:rsidR="00F600B5" w:rsidRPr="009E4B9D" w:rsidRDefault="00F600B5" w:rsidP="00F600B5">
            <w:pPr>
              <w:spacing w:before="0" w:after="0" w:line="276" w:lineRule="auto"/>
              <w:jc w:val="right"/>
              <w:rPr>
                <w:rFonts w:ascii="Arial" w:hAnsi="Arial"/>
                <w:sz w:val="16"/>
                <w:szCs w:val="16"/>
                <w:lang w:eastAsia="en-US"/>
              </w:rPr>
            </w:pPr>
            <w:r w:rsidRPr="009E4B9D">
              <w:rPr>
                <w:rFonts w:ascii="Arial" w:hAnsi="Arial"/>
                <w:sz w:val="16"/>
                <w:szCs w:val="16"/>
                <w:lang w:eastAsia="en-US"/>
              </w:rPr>
              <w:t>0.5</w:t>
            </w:r>
          </w:p>
        </w:tc>
        <w:tc>
          <w:tcPr>
            <w:tcW w:w="1195" w:type="dxa"/>
            <w:tcBorders>
              <w:top w:val="nil"/>
              <w:left w:val="nil"/>
              <w:bottom w:val="nil"/>
              <w:right w:val="nil"/>
            </w:tcBorders>
            <w:shd w:val="clear" w:color="auto" w:fill="auto"/>
            <w:noWrap/>
            <w:vAlign w:val="bottom"/>
          </w:tcPr>
          <w:p w14:paraId="65CD9B34" w14:textId="77777777" w:rsidR="00F600B5" w:rsidRPr="009E4B9D" w:rsidRDefault="00F600B5" w:rsidP="00F600B5">
            <w:pPr>
              <w:spacing w:before="0" w:after="0" w:line="276" w:lineRule="auto"/>
              <w:jc w:val="right"/>
              <w:rPr>
                <w:rFonts w:ascii="Arial" w:hAnsi="Arial"/>
                <w:sz w:val="16"/>
                <w:szCs w:val="16"/>
                <w:lang w:eastAsia="en-US"/>
              </w:rPr>
            </w:pPr>
            <w:r w:rsidRPr="009E4B9D">
              <w:rPr>
                <w:rFonts w:ascii="Arial" w:hAnsi="Arial"/>
                <w:sz w:val="16"/>
                <w:szCs w:val="16"/>
                <w:lang w:eastAsia="en-US"/>
              </w:rPr>
              <w:t>0.0</w:t>
            </w:r>
          </w:p>
        </w:tc>
      </w:tr>
      <w:tr w:rsidR="00F600B5" w:rsidRPr="00BA1388" w14:paraId="25D20C8F" w14:textId="77777777" w:rsidTr="00D27096">
        <w:trPr>
          <w:trHeight w:val="227"/>
        </w:trPr>
        <w:tc>
          <w:tcPr>
            <w:tcW w:w="3085" w:type="dxa"/>
            <w:tcBorders>
              <w:top w:val="nil"/>
              <w:left w:val="nil"/>
              <w:bottom w:val="nil"/>
              <w:right w:val="nil"/>
            </w:tcBorders>
            <w:shd w:val="clear" w:color="FFFFFF" w:fill="auto"/>
            <w:vAlign w:val="bottom"/>
          </w:tcPr>
          <w:p w14:paraId="6608631D" w14:textId="77777777" w:rsidR="00F600B5" w:rsidRPr="008659FE" w:rsidRDefault="00F600B5" w:rsidP="00F600B5">
            <w:pPr>
              <w:keepNext/>
              <w:keepLines/>
              <w:spacing w:before="0" w:after="0" w:line="276" w:lineRule="auto"/>
              <w:ind w:left="179"/>
              <w:rPr>
                <w:rFonts w:ascii="Arial" w:hAnsi="Arial"/>
                <w:sz w:val="16"/>
                <w:szCs w:val="16"/>
                <w:lang w:val="en-AU"/>
              </w:rPr>
            </w:pPr>
            <w:r w:rsidRPr="008659FE">
              <w:rPr>
                <w:rFonts w:ascii="Arial" w:hAnsi="Arial"/>
                <w:sz w:val="16"/>
                <w:szCs w:val="16"/>
                <w:lang w:val="en-AU"/>
              </w:rPr>
              <w:t>Gallipoli Barracks</w:t>
            </w:r>
          </w:p>
        </w:tc>
        <w:tc>
          <w:tcPr>
            <w:tcW w:w="1790" w:type="dxa"/>
            <w:tcBorders>
              <w:top w:val="nil"/>
              <w:left w:val="nil"/>
              <w:bottom w:val="nil"/>
              <w:right w:val="nil"/>
            </w:tcBorders>
            <w:shd w:val="clear" w:color="FFFFFF" w:fill="auto"/>
            <w:noWrap/>
            <w:vAlign w:val="bottom"/>
          </w:tcPr>
          <w:p w14:paraId="6ACF3F67" w14:textId="77777777" w:rsidR="00F600B5" w:rsidRPr="008659FE" w:rsidRDefault="00F600B5" w:rsidP="00F600B5">
            <w:pPr>
              <w:keepNext/>
              <w:keepLines/>
              <w:spacing w:before="0" w:after="0" w:line="276" w:lineRule="auto"/>
              <w:jc w:val="right"/>
              <w:rPr>
                <w:rFonts w:ascii="Arial" w:hAnsi="Arial"/>
                <w:sz w:val="16"/>
                <w:szCs w:val="16"/>
                <w:lang w:val="en-AU"/>
              </w:rPr>
            </w:pPr>
            <w:r w:rsidRPr="008659FE">
              <w:rPr>
                <w:rFonts w:ascii="Arial" w:hAnsi="Arial"/>
                <w:sz w:val="16"/>
                <w:szCs w:val="16"/>
                <w:lang w:val="en-AU"/>
              </w:rPr>
              <w:t>QLD - Ryan</w:t>
            </w:r>
          </w:p>
        </w:tc>
        <w:tc>
          <w:tcPr>
            <w:tcW w:w="1191" w:type="dxa"/>
            <w:tcBorders>
              <w:top w:val="nil"/>
              <w:left w:val="nil"/>
              <w:bottom w:val="nil"/>
              <w:right w:val="nil"/>
            </w:tcBorders>
            <w:shd w:val="clear" w:color="FFFFFF" w:fill="auto"/>
            <w:noWrap/>
            <w:vAlign w:val="bottom"/>
          </w:tcPr>
          <w:p w14:paraId="2BC03387" w14:textId="77777777" w:rsidR="00F600B5" w:rsidRPr="00353F8D" w:rsidRDefault="00F600B5" w:rsidP="00F600B5">
            <w:pPr>
              <w:keepNext/>
              <w:keepLines/>
              <w:spacing w:before="0" w:after="0" w:line="276" w:lineRule="auto"/>
              <w:jc w:val="right"/>
              <w:rPr>
                <w:rFonts w:ascii="Arial" w:hAnsi="Arial"/>
                <w:b/>
                <w:bCs/>
                <w:sz w:val="16"/>
                <w:szCs w:val="16"/>
                <w:lang w:val="en-AU"/>
              </w:rPr>
            </w:pPr>
          </w:p>
        </w:tc>
        <w:tc>
          <w:tcPr>
            <w:tcW w:w="1413" w:type="dxa"/>
            <w:tcBorders>
              <w:top w:val="nil"/>
              <w:left w:val="nil"/>
              <w:bottom w:val="nil"/>
              <w:right w:val="nil"/>
            </w:tcBorders>
            <w:shd w:val="clear" w:color="auto" w:fill="auto"/>
            <w:noWrap/>
            <w:vAlign w:val="bottom"/>
          </w:tcPr>
          <w:p w14:paraId="0785851C" w14:textId="77777777" w:rsidR="00F600B5" w:rsidRPr="009E4B9D" w:rsidRDefault="00F600B5" w:rsidP="00F600B5">
            <w:pPr>
              <w:spacing w:before="0" w:after="0" w:line="276" w:lineRule="auto"/>
              <w:jc w:val="right"/>
              <w:rPr>
                <w:rFonts w:ascii="Arial" w:hAnsi="Arial"/>
                <w:sz w:val="16"/>
                <w:szCs w:val="16"/>
                <w:lang w:eastAsia="en-US"/>
              </w:rPr>
            </w:pPr>
            <w:r>
              <w:rPr>
                <w:rFonts w:ascii="Arial" w:hAnsi="Arial"/>
                <w:sz w:val="16"/>
                <w:szCs w:val="16"/>
                <w:lang w:eastAsia="en-US"/>
              </w:rPr>
              <w:t>4.0</w:t>
            </w:r>
          </w:p>
        </w:tc>
        <w:tc>
          <w:tcPr>
            <w:tcW w:w="1195" w:type="dxa"/>
            <w:tcBorders>
              <w:top w:val="nil"/>
              <w:left w:val="nil"/>
              <w:bottom w:val="nil"/>
              <w:right w:val="nil"/>
            </w:tcBorders>
            <w:shd w:val="clear" w:color="auto" w:fill="auto"/>
            <w:noWrap/>
            <w:vAlign w:val="bottom"/>
          </w:tcPr>
          <w:p w14:paraId="28502617" w14:textId="77777777" w:rsidR="00F600B5" w:rsidRPr="009E4B9D" w:rsidRDefault="00F600B5" w:rsidP="00F600B5">
            <w:pPr>
              <w:spacing w:before="0" w:after="0" w:line="276" w:lineRule="auto"/>
              <w:jc w:val="right"/>
              <w:rPr>
                <w:rFonts w:ascii="Arial" w:hAnsi="Arial"/>
                <w:sz w:val="16"/>
                <w:szCs w:val="16"/>
                <w:lang w:eastAsia="en-US"/>
              </w:rPr>
            </w:pPr>
            <w:r w:rsidRPr="009E4B9D">
              <w:rPr>
                <w:rFonts w:ascii="Arial" w:hAnsi="Arial"/>
                <w:sz w:val="16"/>
                <w:szCs w:val="16"/>
                <w:lang w:eastAsia="en-US"/>
              </w:rPr>
              <w:t>0.4</w:t>
            </w:r>
          </w:p>
        </w:tc>
      </w:tr>
      <w:tr w:rsidR="00F600B5" w:rsidRPr="00BA1388" w14:paraId="05D99B05" w14:textId="77777777" w:rsidTr="00D27096">
        <w:trPr>
          <w:trHeight w:val="227"/>
        </w:trPr>
        <w:tc>
          <w:tcPr>
            <w:tcW w:w="3085" w:type="dxa"/>
            <w:tcBorders>
              <w:top w:val="nil"/>
              <w:left w:val="nil"/>
              <w:bottom w:val="nil"/>
              <w:right w:val="nil"/>
            </w:tcBorders>
            <w:shd w:val="clear" w:color="FFFFFF" w:fill="auto"/>
            <w:vAlign w:val="bottom"/>
          </w:tcPr>
          <w:p w14:paraId="06389961" w14:textId="77777777" w:rsidR="00F600B5" w:rsidRPr="008659FE" w:rsidRDefault="00F600B5" w:rsidP="00F600B5">
            <w:pPr>
              <w:keepNext/>
              <w:keepLines/>
              <w:spacing w:before="0" w:after="0" w:line="276" w:lineRule="auto"/>
              <w:ind w:left="179"/>
              <w:rPr>
                <w:rFonts w:ascii="Arial" w:hAnsi="Arial"/>
                <w:sz w:val="16"/>
                <w:szCs w:val="16"/>
                <w:lang w:val="en-AU"/>
              </w:rPr>
            </w:pPr>
            <w:r w:rsidRPr="008659FE">
              <w:rPr>
                <w:rFonts w:ascii="Arial" w:hAnsi="Arial"/>
                <w:sz w:val="16"/>
                <w:szCs w:val="16"/>
                <w:lang w:val="en-AU"/>
              </w:rPr>
              <w:t>RAAF Amberley</w:t>
            </w:r>
          </w:p>
        </w:tc>
        <w:tc>
          <w:tcPr>
            <w:tcW w:w="1790" w:type="dxa"/>
            <w:tcBorders>
              <w:top w:val="nil"/>
              <w:left w:val="nil"/>
              <w:bottom w:val="nil"/>
              <w:right w:val="nil"/>
            </w:tcBorders>
            <w:shd w:val="clear" w:color="FFFFFF" w:fill="auto"/>
            <w:noWrap/>
            <w:vAlign w:val="bottom"/>
          </w:tcPr>
          <w:p w14:paraId="4460C008" w14:textId="77777777" w:rsidR="00F600B5" w:rsidRPr="008659FE" w:rsidRDefault="00F600B5" w:rsidP="00F600B5">
            <w:pPr>
              <w:keepNext/>
              <w:keepLines/>
              <w:spacing w:before="0" w:after="0" w:line="276" w:lineRule="auto"/>
              <w:jc w:val="right"/>
              <w:rPr>
                <w:rFonts w:ascii="Arial" w:hAnsi="Arial"/>
                <w:sz w:val="16"/>
                <w:szCs w:val="16"/>
                <w:lang w:val="en-AU"/>
              </w:rPr>
            </w:pPr>
            <w:r w:rsidRPr="008659FE">
              <w:rPr>
                <w:rFonts w:ascii="Arial" w:hAnsi="Arial"/>
                <w:sz w:val="16"/>
                <w:szCs w:val="16"/>
                <w:lang w:val="en-AU"/>
              </w:rPr>
              <w:t>QLD - Blair</w:t>
            </w:r>
          </w:p>
        </w:tc>
        <w:tc>
          <w:tcPr>
            <w:tcW w:w="1191" w:type="dxa"/>
            <w:tcBorders>
              <w:top w:val="nil"/>
              <w:left w:val="nil"/>
              <w:bottom w:val="nil"/>
              <w:right w:val="nil"/>
            </w:tcBorders>
            <w:shd w:val="clear" w:color="FFFFFF" w:fill="auto"/>
            <w:noWrap/>
            <w:vAlign w:val="bottom"/>
          </w:tcPr>
          <w:p w14:paraId="4EB3C9AC" w14:textId="77777777" w:rsidR="00F600B5" w:rsidRPr="00353F8D" w:rsidRDefault="00F600B5" w:rsidP="00F600B5">
            <w:pPr>
              <w:keepNext/>
              <w:keepLines/>
              <w:spacing w:before="0" w:after="0" w:line="276" w:lineRule="auto"/>
              <w:jc w:val="right"/>
              <w:rPr>
                <w:rFonts w:ascii="Arial" w:hAnsi="Arial"/>
                <w:b/>
                <w:bCs/>
                <w:sz w:val="16"/>
                <w:szCs w:val="16"/>
                <w:lang w:val="en-AU"/>
              </w:rPr>
            </w:pPr>
          </w:p>
        </w:tc>
        <w:tc>
          <w:tcPr>
            <w:tcW w:w="1413" w:type="dxa"/>
            <w:tcBorders>
              <w:top w:val="nil"/>
              <w:left w:val="nil"/>
              <w:bottom w:val="nil"/>
              <w:right w:val="nil"/>
            </w:tcBorders>
            <w:shd w:val="clear" w:color="auto" w:fill="auto"/>
            <w:noWrap/>
            <w:vAlign w:val="bottom"/>
          </w:tcPr>
          <w:p w14:paraId="624CB25C" w14:textId="77777777" w:rsidR="00F600B5" w:rsidRPr="009E4B9D" w:rsidRDefault="00F600B5" w:rsidP="00F600B5">
            <w:pPr>
              <w:spacing w:before="0" w:after="0" w:line="276" w:lineRule="auto"/>
              <w:jc w:val="right"/>
              <w:rPr>
                <w:rFonts w:ascii="Arial" w:hAnsi="Arial"/>
                <w:sz w:val="16"/>
                <w:szCs w:val="16"/>
                <w:lang w:eastAsia="en-US"/>
              </w:rPr>
            </w:pPr>
            <w:r>
              <w:rPr>
                <w:rFonts w:ascii="Arial" w:hAnsi="Arial"/>
                <w:sz w:val="16"/>
                <w:szCs w:val="16"/>
                <w:lang w:eastAsia="en-US"/>
              </w:rPr>
              <w:t>2.5</w:t>
            </w:r>
          </w:p>
        </w:tc>
        <w:tc>
          <w:tcPr>
            <w:tcW w:w="1195" w:type="dxa"/>
            <w:tcBorders>
              <w:top w:val="nil"/>
              <w:left w:val="nil"/>
              <w:bottom w:val="nil"/>
              <w:right w:val="nil"/>
            </w:tcBorders>
            <w:shd w:val="clear" w:color="auto" w:fill="auto"/>
            <w:noWrap/>
            <w:vAlign w:val="bottom"/>
          </w:tcPr>
          <w:p w14:paraId="33635C53" w14:textId="77777777" w:rsidR="00F600B5" w:rsidRPr="009E4B9D" w:rsidRDefault="00F600B5" w:rsidP="00F600B5">
            <w:pPr>
              <w:spacing w:before="0" w:after="0" w:line="276" w:lineRule="auto"/>
              <w:jc w:val="right"/>
              <w:rPr>
                <w:rFonts w:ascii="Arial" w:hAnsi="Arial"/>
                <w:sz w:val="16"/>
                <w:szCs w:val="16"/>
                <w:lang w:eastAsia="en-US"/>
              </w:rPr>
            </w:pPr>
            <w:r w:rsidRPr="009E4B9D">
              <w:rPr>
                <w:rFonts w:ascii="Arial" w:hAnsi="Arial"/>
                <w:sz w:val="16"/>
                <w:szCs w:val="16"/>
                <w:lang w:eastAsia="en-US"/>
              </w:rPr>
              <w:t>1.0</w:t>
            </w:r>
          </w:p>
        </w:tc>
      </w:tr>
      <w:tr w:rsidR="00F600B5" w:rsidRPr="00BA1388" w14:paraId="01BBF673" w14:textId="77777777" w:rsidTr="00D27096">
        <w:trPr>
          <w:trHeight w:val="227"/>
        </w:trPr>
        <w:tc>
          <w:tcPr>
            <w:tcW w:w="3085" w:type="dxa"/>
            <w:tcBorders>
              <w:top w:val="nil"/>
              <w:left w:val="nil"/>
              <w:bottom w:val="nil"/>
              <w:right w:val="nil"/>
            </w:tcBorders>
            <w:shd w:val="clear" w:color="FFFFFF" w:fill="auto"/>
            <w:vAlign w:val="bottom"/>
          </w:tcPr>
          <w:p w14:paraId="081CD182" w14:textId="77777777" w:rsidR="00F600B5" w:rsidRPr="008659FE" w:rsidRDefault="00F600B5" w:rsidP="00F600B5">
            <w:pPr>
              <w:keepNext/>
              <w:keepLines/>
              <w:spacing w:before="0" w:after="0" w:line="276" w:lineRule="auto"/>
              <w:ind w:left="179"/>
              <w:rPr>
                <w:rFonts w:ascii="Arial" w:hAnsi="Arial"/>
                <w:sz w:val="16"/>
                <w:szCs w:val="16"/>
                <w:lang w:val="en-AU"/>
              </w:rPr>
            </w:pPr>
            <w:r w:rsidRPr="008659FE">
              <w:rPr>
                <w:rFonts w:ascii="Arial" w:hAnsi="Arial"/>
                <w:sz w:val="16"/>
                <w:szCs w:val="16"/>
                <w:lang w:val="en-AU"/>
              </w:rPr>
              <w:t>Holsworthy Barracks</w:t>
            </w:r>
          </w:p>
        </w:tc>
        <w:tc>
          <w:tcPr>
            <w:tcW w:w="1790" w:type="dxa"/>
            <w:tcBorders>
              <w:top w:val="nil"/>
              <w:left w:val="nil"/>
              <w:bottom w:val="nil"/>
              <w:right w:val="nil"/>
            </w:tcBorders>
            <w:shd w:val="clear" w:color="FFFFFF" w:fill="auto"/>
            <w:noWrap/>
            <w:vAlign w:val="bottom"/>
          </w:tcPr>
          <w:p w14:paraId="549E0EAA" w14:textId="77777777" w:rsidR="00F600B5" w:rsidRPr="008659FE" w:rsidRDefault="00F600B5" w:rsidP="00F600B5">
            <w:pPr>
              <w:keepNext/>
              <w:keepLines/>
              <w:spacing w:before="0" w:after="0" w:line="276" w:lineRule="auto"/>
              <w:jc w:val="right"/>
              <w:rPr>
                <w:rFonts w:ascii="Arial" w:hAnsi="Arial"/>
                <w:sz w:val="16"/>
                <w:szCs w:val="16"/>
                <w:lang w:val="en-AU"/>
              </w:rPr>
            </w:pPr>
            <w:r w:rsidRPr="008659FE">
              <w:rPr>
                <w:rFonts w:ascii="Arial" w:hAnsi="Arial"/>
                <w:sz w:val="16"/>
                <w:szCs w:val="16"/>
                <w:lang w:val="en-AU"/>
              </w:rPr>
              <w:t>NSW - Hughes</w:t>
            </w:r>
          </w:p>
        </w:tc>
        <w:tc>
          <w:tcPr>
            <w:tcW w:w="1191" w:type="dxa"/>
            <w:tcBorders>
              <w:top w:val="nil"/>
              <w:left w:val="nil"/>
              <w:bottom w:val="nil"/>
              <w:right w:val="nil"/>
            </w:tcBorders>
            <w:shd w:val="clear" w:color="FFFFFF" w:fill="auto"/>
            <w:noWrap/>
            <w:vAlign w:val="bottom"/>
          </w:tcPr>
          <w:p w14:paraId="4EA57091" w14:textId="77777777" w:rsidR="00F600B5" w:rsidRPr="00353F8D" w:rsidRDefault="00F600B5" w:rsidP="00F600B5">
            <w:pPr>
              <w:keepNext/>
              <w:keepLines/>
              <w:spacing w:before="0" w:after="0" w:line="276" w:lineRule="auto"/>
              <w:jc w:val="right"/>
              <w:rPr>
                <w:rFonts w:ascii="Arial" w:hAnsi="Arial"/>
                <w:b/>
                <w:bCs/>
                <w:sz w:val="16"/>
                <w:szCs w:val="16"/>
                <w:lang w:val="en-AU"/>
              </w:rPr>
            </w:pPr>
          </w:p>
        </w:tc>
        <w:tc>
          <w:tcPr>
            <w:tcW w:w="1413" w:type="dxa"/>
            <w:tcBorders>
              <w:top w:val="nil"/>
              <w:left w:val="nil"/>
              <w:bottom w:val="nil"/>
              <w:right w:val="nil"/>
            </w:tcBorders>
            <w:shd w:val="clear" w:color="auto" w:fill="auto"/>
            <w:noWrap/>
            <w:vAlign w:val="bottom"/>
          </w:tcPr>
          <w:p w14:paraId="3BDC383A" w14:textId="77777777" w:rsidR="00F600B5" w:rsidRPr="009E4B9D" w:rsidRDefault="00F600B5" w:rsidP="00F600B5">
            <w:pPr>
              <w:spacing w:before="0" w:after="0" w:line="276" w:lineRule="auto"/>
              <w:jc w:val="right"/>
              <w:rPr>
                <w:rFonts w:ascii="Arial" w:hAnsi="Arial"/>
                <w:sz w:val="16"/>
                <w:szCs w:val="16"/>
                <w:lang w:eastAsia="en-US"/>
              </w:rPr>
            </w:pPr>
            <w:r w:rsidRPr="009E4B9D">
              <w:rPr>
                <w:rFonts w:ascii="Arial" w:hAnsi="Arial"/>
                <w:sz w:val="16"/>
                <w:szCs w:val="16"/>
                <w:lang w:eastAsia="en-US"/>
              </w:rPr>
              <w:t>1.1</w:t>
            </w:r>
          </w:p>
        </w:tc>
        <w:tc>
          <w:tcPr>
            <w:tcW w:w="1195" w:type="dxa"/>
            <w:tcBorders>
              <w:top w:val="nil"/>
              <w:left w:val="nil"/>
              <w:bottom w:val="nil"/>
              <w:right w:val="nil"/>
            </w:tcBorders>
            <w:shd w:val="clear" w:color="auto" w:fill="auto"/>
            <w:noWrap/>
            <w:vAlign w:val="bottom"/>
          </w:tcPr>
          <w:p w14:paraId="0A65E2D7" w14:textId="77777777" w:rsidR="00F600B5" w:rsidRPr="009E4B9D" w:rsidRDefault="00F600B5" w:rsidP="00F600B5">
            <w:pPr>
              <w:spacing w:before="0" w:after="0" w:line="276" w:lineRule="auto"/>
              <w:jc w:val="right"/>
              <w:rPr>
                <w:rFonts w:ascii="Arial" w:hAnsi="Arial"/>
                <w:sz w:val="16"/>
                <w:szCs w:val="16"/>
                <w:lang w:eastAsia="en-US"/>
              </w:rPr>
            </w:pPr>
            <w:r w:rsidRPr="009E4B9D">
              <w:rPr>
                <w:rFonts w:ascii="Arial" w:hAnsi="Arial"/>
                <w:sz w:val="16"/>
                <w:szCs w:val="16"/>
                <w:lang w:eastAsia="en-US"/>
              </w:rPr>
              <w:t>0.0</w:t>
            </w:r>
          </w:p>
        </w:tc>
      </w:tr>
      <w:tr w:rsidR="00F600B5" w:rsidRPr="00BA1388" w14:paraId="144632EC" w14:textId="77777777" w:rsidTr="00D27096">
        <w:trPr>
          <w:trHeight w:val="227"/>
        </w:trPr>
        <w:tc>
          <w:tcPr>
            <w:tcW w:w="3085" w:type="dxa"/>
            <w:tcBorders>
              <w:top w:val="nil"/>
              <w:left w:val="nil"/>
              <w:bottom w:val="nil"/>
              <w:right w:val="nil"/>
            </w:tcBorders>
            <w:shd w:val="clear" w:color="FFFFFF" w:fill="auto"/>
            <w:vAlign w:val="bottom"/>
          </w:tcPr>
          <w:p w14:paraId="22EA50ED" w14:textId="77777777" w:rsidR="00F600B5" w:rsidRPr="008659FE" w:rsidRDefault="00F600B5" w:rsidP="00F600B5">
            <w:pPr>
              <w:keepNext/>
              <w:keepLines/>
              <w:spacing w:before="0" w:after="0" w:line="276" w:lineRule="auto"/>
              <w:ind w:left="179"/>
              <w:rPr>
                <w:rFonts w:ascii="Arial" w:hAnsi="Arial"/>
                <w:sz w:val="16"/>
                <w:szCs w:val="16"/>
                <w:lang w:val="en-AU"/>
              </w:rPr>
            </w:pPr>
            <w:r w:rsidRPr="008659FE">
              <w:rPr>
                <w:rFonts w:ascii="Arial" w:hAnsi="Arial"/>
                <w:sz w:val="16"/>
                <w:szCs w:val="16"/>
                <w:lang w:val="en-AU"/>
              </w:rPr>
              <w:t>Kapooka Military Area</w:t>
            </w:r>
          </w:p>
        </w:tc>
        <w:tc>
          <w:tcPr>
            <w:tcW w:w="1790" w:type="dxa"/>
            <w:tcBorders>
              <w:top w:val="nil"/>
              <w:left w:val="nil"/>
              <w:bottom w:val="nil"/>
              <w:right w:val="nil"/>
            </w:tcBorders>
            <w:shd w:val="clear" w:color="FFFFFF" w:fill="auto"/>
            <w:noWrap/>
            <w:vAlign w:val="bottom"/>
          </w:tcPr>
          <w:p w14:paraId="122F61F4" w14:textId="77777777" w:rsidR="00F600B5" w:rsidRPr="008659FE" w:rsidRDefault="00F600B5" w:rsidP="00F600B5">
            <w:pPr>
              <w:keepNext/>
              <w:keepLines/>
              <w:spacing w:before="0" w:after="0" w:line="276" w:lineRule="auto"/>
              <w:jc w:val="right"/>
              <w:rPr>
                <w:rFonts w:ascii="Arial" w:hAnsi="Arial"/>
                <w:sz w:val="16"/>
                <w:szCs w:val="16"/>
                <w:lang w:val="en-AU"/>
              </w:rPr>
            </w:pPr>
            <w:r w:rsidRPr="008659FE">
              <w:rPr>
                <w:rFonts w:ascii="Arial" w:hAnsi="Arial"/>
                <w:sz w:val="16"/>
                <w:szCs w:val="16"/>
                <w:lang w:val="en-AU"/>
              </w:rPr>
              <w:t>NSW - Riverina</w:t>
            </w:r>
          </w:p>
        </w:tc>
        <w:tc>
          <w:tcPr>
            <w:tcW w:w="1191" w:type="dxa"/>
            <w:tcBorders>
              <w:top w:val="nil"/>
              <w:left w:val="nil"/>
              <w:bottom w:val="nil"/>
              <w:right w:val="nil"/>
            </w:tcBorders>
            <w:shd w:val="clear" w:color="FFFFFF" w:fill="auto"/>
            <w:noWrap/>
            <w:vAlign w:val="bottom"/>
          </w:tcPr>
          <w:p w14:paraId="3ECD8D8E" w14:textId="77777777" w:rsidR="00F600B5" w:rsidRPr="00353F8D" w:rsidRDefault="00F600B5" w:rsidP="00F600B5">
            <w:pPr>
              <w:keepNext/>
              <w:keepLines/>
              <w:spacing w:before="0" w:after="0" w:line="276" w:lineRule="auto"/>
              <w:jc w:val="right"/>
              <w:rPr>
                <w:rFonts w:ascii="Arial" w:hAnsi="Arial"/>
                <w:b/>
                <w:bCs/>
                <w:sz w:val="16"/>
                <w:szCs w:val="16"/>
                <w:lang w:val="en-AU"/>
              </w:rPr>
            </w:pPr>
          </w:p>
        </w:tc>
        <w:tc>
          <w:tcPr>
            <w:tcW w:w="1413" w:type="dxa"/>
            <w:tcBorders>
              <w:top w:val="nil"/>
              <w:left w:val="nil"/>
              <w:bottom w:val="nil"/>
              <w:right w:val="nil"/>
            </w:tcBorders>
            <w:shd w:val="clear" w:color="auto" w:fill="auto"/>
            <w:noWrap/>
            <w:vAlign w:val="bottom"/>
          </w:tcPr>
          <w:p w14:paraId="6EBC581A" w14:textId="77777777" w:rsidR="00F600B5" w:rsidRPr="009E4B9D" w:rsidRDefault="00F600B5" w:rsidP="00F600B5">
            <w:pPr>
              <w:spacing w:before="0" w:after="0" w:line="276" w:lineRule="auto"/>
              <w:jc w:val="right"/>
              <w:rPr>
                <w:rFonts w:ascii="Arial" w:hAnsi="Arial"/>
                <w:sz w:val="16"/>
                <w:szCs w:val="16"/>
                <w:lang w:eastAsia="en-US"/>
              </w:rPr>
            </w:pPr>
            <w:r w:rsidRPr="009E4B9D">
              <w:rPr>
                <w:rFonts w:ascii="Arial" w:hAnsi="Arial"/>
                <w:sz w:val="16"/>
                <w:szCs w:val="16"/>
                <w:lang w:eastAsia="en-US"/>
              </w:rPr>
              <w:t>5.4</w:t>
            </w:r>
          </w:p>
        </w:tc>
        <w:tc>
          <w:tcPr>
            <w:tcW w:w="1195" w:type="dxa"/>
            <w:tcBorders>
              <w:top w:val="nil"/>
              <w:left w:val="nil"/>
              <w:bottom w:val="nil"/>
              <w:right w:val="nil"/>
            </w:tcBorders>
            <w:shd w:val="clear" w:color="auto" w:fill="auto"/>
            <w:noWrap/>
            <w:vAlign w:val="bottom"/>
          </w:tcPr>
          <w:p w14:paraId="4A8CBD47" w14:textId="77777777" w:rsidR="00F600B5" w:rsidRPr="009E4B9D" w:rsidRDefault="00F600B5" w:rsidP="00F600B5">
            <w:pPr>
              <w:spacing w:before="0" w:after="0" w:line="276" w:lineRule="auto"/>
              <w:jc w:val="right"/>
              <w:rPr>
                <w:rFonts w:ascii="Arial" w:hAnsi="Arial"/>
                <w:sz w:val="16"/>
                <w:szCs w:val="16"/>
                <w:lang w:eastAsia="en-US"/>
              </w:rPr>
            </w:pPr>
            <w:r w:rsidRPr="009E4B9D">
              <w:rPr>
                <w:rFonts w:ascii="Arial" w:hAnsi="Arial"/>
                <w:sz w:val="16"/>
                <w:szCs w:val="16"/>
                <w:lang w:eastAsia="en-US"/>
              </w:rPr>
              <w:t>0.0</w:t>
            </w:r>
          </w:p>
        </w:tc>
      </w:tr>
      <w:tr w:rsidR="00F600B5" w:rsidRPr="00BA1388" w14:paraId="2985878C" w14:textId="77777777" w:rsidTr="00D27096">
        <w:trPr>
          <w:trHeight w:val="227"/>
        </w:trPr>
        <w:tc>
          <w:tcPr>
            <w:tcW w:w="3085" w:type="dxa"/>
            <w:tcBorders>
              <w:top w:val="nil"/>
              <w:left w:val="nil"/>
              <w:bottom w:val="nil"/>
              <w:right w:val="nil"/>
            </w:tcBorders>
            <w:shd w:val="clear" w:color="FFFFFF" w:fill="auto"/>
            <w:vAlign w:val="bottom"/>
          </w:tcPr>
          <w:p w14:paraId="641C5150" w14:textId="77777777" w:rsidR="00F600B5" w:rsidRPr="008659FE" w:rsidRDefault="00F600B5" w:rsidP="00F600B5">
            <w:pPr>
              <w:keepNext/>
              <w:keepLines/>
              <w:spacing w:before="0" w:after="0" w:line="276" w:lineRule="auto"/>
              <w:ind w:left="179"/>
              <w:rPr>
                <w:rFonts w:ascii="Arial" w:hAnsi="Arial"/>
                <w:sz w:val="16"/>
                <w:szCs w:val="16"/>
                <w:lang w:val="en-AU"/>
              </w:rPr>
            </w:pPr>
            <w:r w:rsidRPr="008659FE">
              <w:rPr>
                <w:rFonts w:ascii="Arial" w:hAnsi="Arial"/>
                <w:sz w:val="16"/>
                <w:szCs w:val="16"/>
                <w:lang w:val="en-AU"/>
              </w:rPr>
              <w:t>RAAF Wagga</w:t>
            </w:r>
          </w:p>
        </w:tc>
        <w:tc>
          <w:tcPr>
            <w:tcW w:w="1790" w:type="dxa"/>
            <w:tcBorders>
              <w:top w:val="nil"/>
              <w:left w:val="nil"/>
              <w:bottom w:val="nil"/>
              <w:right w:val="nil"/>
            </w:tcBorders>
            <w:shd w:val="clear" w:color="FFFFFF" w:fill="auto"/>
            <w:noWrap/>
            <w:vAlign w:val="bottom"/>
          </w:tcPr>
          <w:p w14:paraId="2D685224" w14:textId="77777777" w:rsidR="00F600B5" w:rsidRPr="008659FE" w:rsidRDefault="00F600B5" w:rsidP="00F600B5">
            <w:pPr>
              <w:keepNext/>
              <w:keepLines/>
              <w:spacing w:before="0" w:after="0" w:line="276" w:lineRule="auto"/>
              <w:jc w:val="right"/>
              <w:rPr>
                <w:rFonts w:ascii="Arial" w:hAnsi="Arial"/>
                <w:sz w:val="16"/>
                <w:szCs w:val="16"/>
                <w:lang w:val="en-AU"/>
              </w:rPr>
            </w:pPr>
            <w:r w:rsidRPr="008659FE">
              <w:rPr>
                <w:rFonts w:ascii="Arial" w:hAnsi="Arial"/>
                <w:sz w:val="16"/>
                <w:szCs w:val="16"/>
                <w:lang w:val="en-AU"/>
              </w:rPr>
              <w:t>NSW - Riverina</w:t>
            </w:r>
          </w:p>
        </w:tc>
        <w:tc>
          <w:tcPr>
            <w:tcW w:w="1191" w:type="dxa"/>
            <w:tcBorders>
              <w:top w:val="nil"/>
              <w:left w:val="nil"/>
              <w:bottom w:val="nil"/>
              <w:right w:val="nil"/>
            </w:tcBorders>
            <w:shd w:val="clear" w:color="FFFFFF" w:fill="auto"/>
            <w:noWrap/>
            <w:vAlign w:val="bottom"/>
          </w:tcPr>
          <w:p w14:paraId="1623EE05" w14:textId="77777777" w:rsidR="00F600B5" w:rsidRPr="00353F8D" w:rsidRDefault="00F600B5" w:rsidP="00F600B5">
            <w:pPr>
              <w:keepNext/>
              <w:keepLines/>
              <w:spacing w:before="0" w:after="0" w:line="276" w:lineRule="auto"/>
              <w:jc w:val="right"/>
              <w:rPr>
                <w:rFonts w:ascii="Arial" w:hAnsi="Arial"/>
                <w:b/>
                <w:bCs/>
                <w:sz w:val="16"/>
                <w:szCs w:val="16"/>
                <w:lang w:val="en-AU"/>
              </w:rPr>
            </w:pPr>
          </w:p>
        </w:tc>
        <w:tc>
          <w:tcPr>
            <w:tcW w:w="1413" w:type="dxa"/>
            <w:tcBorders>
              <w:top w:val="nil"/>
              <w:left w:val="nil"/>
              <w:bottom w:val="nil"/>
              <w:right w:val="nil"/>
            </w:tcBorders>
            <w:shd w:val="clear" w:color="auto" w:fill="auto"/>
            <w:noWrap/>
            <w:vAlign w:val="bottom"/>
          </w:tcPr>
          <w:p w14:paraId="7B6EFF78" w14:textId="77777777" w:rsidR="00F600B5" w:rsidRPr="009E4B9D" w:rsidRDefault="00F600B5" w:rsidP="00F600B5">
            <w:pPr>
              <w:spacing w:before="0" w:after="0" w:line="276" w:lineRule="auto"/>
              <w:jc w:val="right"/>
              <w:rPr>
                <w:rFonts w:ascii="Arial" w:hAnsi="Arial"/>
                <w:sz w:val="16"/>
                <w:szCs w:val="16"/>
                <w:lang w:eastAsia="en-US"/>
              </w:rPr>
            </w:pPr>
            <w:r w:rsidRPr="009E4B9D">
              <w:rPr>
                <w:rFonts w:ascii="Arial" w:hAnsi="Arial"/>
                <w:sz w:val="16"/>
                <w:szCs w:val="16"/>
                <w:lang w:eastAsia="en-US"/>
              </w:rPr>
              <w:t>0.9</w:t>
            </w:r>
          </w:p>
        </w:tc>
        <w:tc>
          <w:tcPr>
            <w:tcW w:w="1195" w:type="dxa"/>
            <w:tcBorders>
              <w:top w:val="nil"/>
              <w:left w:val="nil"/>
              <w:bottom w:val="nil"/>
              <w:right w:val="nil"/>
            </w:tcBorders>
            <w:shd w:val="clear" w:color="auto" w:fill="auto"/>
            <w:noWrap/>
            <w:vAlign w:val="bottom"/>
          </w:tcPr>
          <w:p w14:paraId="6C4B8DA3" w14:textId="77777777" w:rsidR="00F600B5" w:rsidRPr="009E4B9D" w:rsidRDefault="00F600B5" w:rsidP="00F600B5">
            <w:pPr>
              <w:spacing w:before="0" w:after="0" w:line="276" w:lineRule="auto"/>
              <w:jc w:val="right"/>
              <w:rPr>
                <w:rFonts w:ascii="Arial" w:hAnsi="Arial"/>
                <w:sz w:val="16"/>
                <w:szCs w:val="16"/>
                <w:lang w:eastAsia="en-US"/>
              </w:rPr>
            </w:pPr>
            <w:r w:rsidRPr="009E4B9D">
              <w:rPr>
                <w:rFonts w:ascii="Arial" w:hAnsi="Arial"/>
                <w:sz w:val="16"/>
                <w:szCs w:val="16"/>
                <w:lang w:eastAsia="en-US"/>
              </w:rPr>
              <w:t>0.0</w:t>
            </w:r>
          </w:p>
        </w:tc>
      </w:tr>
      <w:tr w:rsidR="00F600B5" w:rsidRPr="00BA1388" w14:paraId="7C203865" w14:textId="77777777" w:rsidTr="00D27096">
        <w:trPr>
          <w:trHeight w:val="227"/>
        </w:trPr>
        <w:tc>
          <w:tcPr>
            <w:tcW w:w="3085" w:type="dxa"/>
            <w:tcBorders>
              <w:top w:val="nil"/>
              <w:left w:val="nil"/>
              <w:bottom w:val="nil"/>
              <w:right w:val="nil"/>
            </w:tcBorders>
            <w:shd w:val="clear" w:color="FFFFFF" w:fill="auto"/>
            <w:vAlign w:val="bottom"/>
          </w:tcPr>
          <w:p w14:paraId="02ADDDE7" w14:textId="77777777" w:rsidR="00F600B5" w:rsidRPr="008659FE" w:rsidRDefault="00F600B5" w:rsidP="00F600B5">
            <w:pPr>
              <w:spacing w:before="0" w:after="0" w:line="276" w:lineRule="auto"/>
              <w:ind w:left="179"/>
              <w:rPr>
                <w:rFonts w:ascii="Arial" w:hAnsi="Arial"/>
                <w:sz w:val="16"/>
                <w:szCs w:val="16"/>
                <w:lang w:val="en-AU"/>
              </w:rPr>
            </w:pPr>
            <w:r w:rsidRPr="008659FE">
              <w:rPr>
                <w:rFonts w:ascii="Arial" w:hAnsi="Arial"/>
                <w:sz w:val="16"/>
                <w:szCs w:val="16"/>
                <w:lang w:val="en-AU"/>
              </w:rPr>
              <w:t xml:space="preserve">HMAS </w:t>
            </w:r>
            <w:r w:rsidRPr="008659FE">
              <w:rPr>
                <w:rFonts w:ascii="Arial" w:hAnsi="Arial"/>
                <w:i/>
                <w:iCs/>
                <w:sz w:val="16"/>
                <w:szCs w:val="16"/>
                <w:lang w:val="en-AU"/>
              </w:rPr>
              <w:t>Creswell</w:t>
            </w:r>
          </w:p>
        </w:tc>
        <w:tc>
          <w:tcPr>
            <w:tcW w:w="1790" w:type="dxa"/>
            <w:tcBorders>
              <w:top w:val="nil"/>
              <w:left w:val="nil"/>
              <w:bottom w:val="nil"/>
              <w:right w:val="nil"/>
            </w:tcBorders>
            <w:shd w:val="clear" w:color="FFFFFF" w:fill="auto"/>
            <w:noWrap/>
            <w:vAlign w:val="bottom"/>
          </w:tcPr>
          <w:p w14:paraId="6326AACD" w14:textId="77777777" w:rsidR="00F600B5" w:rsidRPr="008659FE" w:rsidRDefault="00F600B5" w:rsidP="00F600B5">
            <w:pPr>
              <w:spacing w:before="0" w:after="0" w:line="276" w:lineRule="auto"/>
              <w:jc w:val="right"/>
              <w:rPr>
                <w:rFonts w:ascii="Arial" w:hAnsi="Arial"/>
                <w:sz w:val="16"/>
                <w:szCs w:val="16"/>
                <w:lang w:val="en-AU"/>
              </w:rPr>
            </w:pPr>
            <w:r w:rsidRPr="008659FE">
              <w:rPr>
                <w:rFonts w:ascii="Arial" w:hAnsi="Arial"/>
                <w:sz w:val="16"/>
                <w:szCs w:val="16"/>
                <w:lang w:val="en-AU"/>
              </w:rPr>
              <w:t>ACT - Fenner</w:t>
            </w:r>
          </w:p>
        </w:tc>
        <w:tc>
          <w:tcPr>
            <w:tcW w:w="1191" w:type="dxa"/>
            <w:tcBorders>
              <w:top w:val="nil"/>
              <w:left w:val="nil"/>
              <w:bottom w:val="nil"/>
              <w:right w:val="nil"/>
            </w:tcBorders>
            <w:shd w:val="clear" w:color="FFFFFF" w:fill="auto"/>
            <w:noWrap/>
            <w:vAlign w:val="bottom"/>
          </w:tcPr>
          <w:p w14:paraId="5D736A0B" w14:textId="77777777" w:rsidR="00F600B5" w:rsidRPr="00353F8D" w:rsidRDefault="00F600B5" w:rsidP="00F600B5">
            <w:pPr>
              <w:spacing w:before="0" w:after="0" w:line="276" w:lineRule="auto"/>
              <w:jc w:val="right"/>
              <w:rPr>
                <w:rFonts w:ascii="Arial" w:hAnsi="Arial"/>
                <w:b/>
                <w:bCs/>
                <w:sz w:val="16"/>
                <w:szCs w:val="16"/>
                <w:lang w:val="en-AU"/>
              </w:rPr>
            </w:pPr>
          </w:p>
        </w:tc>
        <w:tc>
          <w:tcPr>
            <w:tcW w:w="1413" w:type="dxa"/>
            <w:tcBorders>
              <w:top w:val="nil"/>
              <w:left w:val="nil"/>
              <w:bottom w:val="nil"/>
              <w:right w:val="nil"/>
            </w:tcBorders>
            <w:shd w:val="clear" w:color="auto" w:fill="auto"/>
            <w:noWrap/>
            <w:vAlign w:val="bottom"/>
          </w:tcPr>
          <w:p w14:paraId="2FB8043C" w14:textId="77777777" w:rsidR="00F600B5" w:rsidRPr="009E4B9D" w:rsidRDefault="00F600B5" w:rsidP="00F600B5">
            <w:pPr>
              <w:spacing w:before="0" w:after="0" w:line="276" w:lineRule="auto"/>
              <w:jc w:val="right"/>
              <w:rPr>
                <w:rFonts w:ascii="Arial" w:hAnsi="Arial"/>
                <w:sz w:val="16"/>
                <w:szCs w:val="16"/>
                <w:lang w:eastAsia="en-US"/>
              </w:rPr>
            </w:pPr>
            <w:r w:rsidRPr="009E4B9D">
              <w:rPr>
                <w:rFonts w:ascii="Arial" w:hAnsi="Arial"/>
                <w:sz w:val="16"/>
                <w:szCs w:val="16"/>
                <w:lang w:eastAsia="en-US"/>
              </w:rPr>
              <w:t>2.</w:t>
            </w:r>
            <w:r>
              <w:rPr>
                <w:rFonts w:ascii="Arial" w:hAnsi="Arial"/>
                <w:sz w:val="16"/>
                <w:szCs w:val="16"/>
                <w:lang w:eastAsia="en-US"/>
              </w:rPr>
              <w:t>5</w:t>
            </w:r>
          </w:p>
        </w:tc>
        <w:tc>
          <w:tcPr>
            <w:tcW w:w="1195" w:type="dxa"/>
            <w:tcBorders>
              <w:top w:val="nil"/>
              <w:left w:val="nil"/>
              <w:bottom w:val="nil"/>
              <w:right w:val="nil"/>
            </w:tcBorders>
            <w:shd w:val="clear" w:color="auto" w:fill="auto"/>
            <w:noWrap/>
            <w:vAlign w:val="bottom"/>
          </w:tcPr>
          <w:p w14:paraId="41873C47" w14:textId="77777777" w:rsidR="00F600B5" w:rsidRPr="009E4B9D" w:rsidRDefault="00F600B5" w:rsidP="00F600B5">
            <w:pPr>
              <w:spacing w:before="0" w:after="0" w:line="276" w:lineRule="auto"/>
              <w:jc w:val="right"/>
              <w:rPr>
                <w:rFonts w:ascii="Arial" w:hAnsi="Arial"/>
                <w:sz w:val="16"/>
                <w:szCs w:val="16"/>
                <w:lang w:eastAsia="en-US"/>
              </w:rPr>
            </w:pPr>
            <w:r w:rsidRPr="009E4B9D">
              <w:rPr>
                <w:rFonts w:ascii="Arial" w:hAnsi="Arial"/>
                <w:sz w:val="16"/>
                <w:szCs w:val="16"/>
                <w:lang w:eastAsia="en-US"/>
              </w:rPr>
              <w:t>0.5</w:t>
            </w:r>
          </w:p>
        </w:tc>
      </w:tr>
      <w:tr w:rsidR="00F600B5" w:rsidRPr="00BA1388" w14:paraId="4E9F85BE" w14:textId="77777777" w:rsidTr="00D27096">
        <w:trPr>
          <w:trHeight w:val="227"/>
        </w:trPr>
        <w:tc>
          <w:tcPr>
            <w:tcW w:w="3085" w:type="dxa"/>
            <w:tcBorders>
              <w:top w:val="nil"/>
              <w:left w:val="nil"/>
              <w:bottom w:val="nil"/>
              <w:right w:val="nil"/>
            </w:tcBorders>
            <w:shd w:val="clear" w:color="FFFFFF" w:fill="auto"/>
            <w:vAlign w:val="bottom"/>
          </w:tcPr>
          <w:p w14:paraId="7B207B44" w14:textId="77777777" w:rsidR="00F600B5" w:rsidRPr="008659FE" w:rsidRDefault="00F600B5" w:rsidP="00F600B5">
            <w:pPr>
              <w:spacing w:before="0" w:after="0" w:line="276" w:lineRule="auto"/>
              <w:ind w:left="179"/>
              <w:rPr>
                <w:rFonts w:ascii="Arial" w:hAnsi="Arial"/>
                <w:sz w:val="16"/>
                <w:szCs w:val="16"/>
                <w:lang w:val="en-AU"/>
              </w:rPr>
            </w:pPr>
            <w:r w:rsidRPr="008659FE">
              <w:rPr>
                <w:rFonts w:ascii="Arial" w:hAnsi="Arial"/>
                <w:sz w:val="16"/>
                <w:szCs w:val="16"/>
                <w:lang w:val="en-AU"/>
              </w:rPr>
              <w:t>Majura Range</w:t>
            </w:r>
          </w:p>
        </w:tc>
        <w:tc>
          <w:tcPr>
            <w:tcW w:w="1790" w:type="dxa"/>
            <w:tcBorders>
              <w:top w:val="nil"/>
              <w:left w:val="nil"/>
              <w:bottom w:val="nil"/>
              <w:right w:val="nil"/>
            </w:tcBorders>
            <w:shd w:val="clear" w:color="FFFFFF" w:fill="auto"/>
            <w:noWrap/>
            <w:vAlign w:val="bottom"/>
          </w:tcPr>
          <w:p w14:paraId="2825D438" w14:textId="77777777" w:rsidR="00F600B5" w:rsidRPr="008659FE" w:rsidRDefault="00F600B5" w:rsidP="00F600B5">
            <w:pPr>
              <w:spacing w:before="0" w:after="0" w:line="276" w:lineRule="auto"/>
              <w:jc w:val="right"/>
              <w:rPr>
                <w:rFonts w:ascii="Arial" w:hAnsi="Arial"/>
                <w:sz w:val="16"/>
                <w:szCs w:val="16"/>
                <w:lang w:val="en-AU"/>
              </w:rPr>
            </w:pPr>
            <w:r w:rsidRPr="008659FE">
              <w:rPr>
                <w:rFonts w:ascii="Arial" w:hAnsi="Arial"/>
                <w:sz w:val="16"/>
                <w:szCs w:val="16"/>
                <w:lang w:val="en-AU"/>
              </w:rPr>
              <w:t>ACT - Canberra</w:t>
            </w:r>
          </w:p>
        </w:tc>
        <w:tc>
          <w:tcPr>
            <w:tcW w:w="1191" w:type="dxa"/>
            <w:tcBorders>
              <w:top w:val="nil"/>
              <w:left w:val="nil"/>
              <w:bottom w:val="nil"/>
              <w:right w:val="nil"/>
            </w:tcBorders>
            <w:shd w:val="clear" w:color="FFFFFF" w:fill="auto"/>
            <w:noWrap/>
            <w:vAlign w:val="bottom"/>
          </w:tcPr>
          <w:p w14:paraId="4E4B2D34" w14:textId="77777777" w:rsidR="00F600B5" w:rsidRPr="00353F8D" w:rsidRDefault="00F600B5" w:rsidP="00F600B5">
            <w:pPr>
              <w:spacing w:before="0" w:after="0" w:line="276" w:lineRule="auto"/>
              <w:jc w:val="right"/>
              <w:rPr>
                <w:rFonts w:ascii="Arial" w:hAnsi="Arial"/>
                <w:b/>
                <w:bCs/>
                <w:sz w:val="16"/>
                <w:szCs w:val="16"/>
                <w:lang w:val="en-AU"/>
              </w:rPr>
            </w:pPr>
          </w:p>
        </w:tc>
        <w:tc>
          <w:tcPr>
            <w:tcW w:w="1413" w:type="dxa"/>
            <w:tcBorders>
              <w:top w:val="nil"/>
              <w:left w:val="nil"/>
              <w:bottom w:val="nil"/>
              <w:right w:val="nil"/>
            </w:tcBorders>
            <w:shd w:val="clear" w:color="auto" w:fill="auto"/>
            <w:noWrap/>
            <w:vAlign w:val="bottom"/>
          </w:tcPr>
          <w:p w14:paraId="3511FAF5" w14:textId="77777777" w:rsidR="00F600B5" w:rsidRPr="009E4B9D" w:rsidRDefault="00F600B5" w:rsidP="00F600B5">
            <w:pPr>
              <w:spacing w:before="0" w:after="0" w:line="276" w:lineRule="auto"/>
              <w:jc w:val="right"/>
              <w:rPr>
                <w:rFonts w:ascii="Arial" w:hAnsi="Arial"/>
                <w:sz w:val="16"/>
                <w:szCs w:val="16"/>
                <w:lang w:eastAsia="en-US"/>
              </w:rPr>
            </w:pPr>
            <w:r w:rsidRPr="009E4B9D">
              <w:rPr>
                <w:rFonts w:ascii="Arial" w:hAnsi="Arial"/>
                <w:sz w:val="16"/>
                <w:szCs w:val="16"/>
                <w:lang w:eastAsia="en-US"/>
              </w:rPr>
              <w:t>1.4</w:t>
            </w:r>
          </w:p>
        </w:tc>
        <w:tc>
          <w:tcPr>
            <w:tcW w:w="1195" w:type="dxa"/>
            <w:tcBorders>
              <w:top w:val="nil"/>
              <w:left w:val="nil"/>
              <w:bottom w:val="nil"/>
              <w:right w:val="nil"/>
            </w:tcBorders>
            <w:shd w:val="clear" w:color="auto" w:fill="auto"/>
            <w:noWrap/>
            <w:vAlign w:val="bottom"/>
          </w:tcPr>
          <w:p w14:paraId="0DD56565" w14:textId="77777777" w:rsidR="00F600B5" w:rsidRPr="009E4B9D" w:rsidRDefault="00F600B5" w:rsidP="00F600B5">
            <w:pPr>
              <w:spacing w:before="0" w:after="0" w:line="276" w:lineRule="auto"/>
              <w:jc w:val="right"/>
              <w:rPr>
                <w:rFonts w:ascii="Arial" w:hAnsi="Arial"/>
                <w:sz w:val="16"/>
                <w:szCs w:val="16"/>
                <w:lang w:eastAsia="en-US"/>
              </w:rPr>
            </w:pPr>
            <w:r w:rsidRPr="009E4B9D">
              <w:rPr>
                <w:rFonts w:ascii="Arial" w:hAnsi="Arial"/>
                <w:sz w:val="16"/>
                <w:szCs w:val="16"/>
                <w:lang w:eastAsia="en-US"/>
              </w:rPr>
              <w:t>0.0</w:t>
            </w:r>
          </w:p>
        </w:tc>
      </w:tr>
      <w:tr w:rsidR="00F600B5" w:rsidRPr="00BA1388" w14:paraId="5206E882" w14:textId="77777777" w:rsidTr="00D27096">
        <w:trPr>
          <w:trHeight w:val="227"/>
        </w:trPr>
        <w:tc>
          <w:tcPr>
            <w:tcW w:w="3085" w:type="dxa"/>
            <w:tcBorders>
              <w:top w:val="nil"/>
              <w:left w:val="nil"/>
              <w:bottom w:val="nil"/>
              <w:right w:val="nil"/>
            </w:tcBorders>
            <w:shd w:val="clear" w:color="FFFFFF" w:fill="auto"/>
            <w:vAlign w:val="bottom"/>
          </w:tcPr>
          <w:p w14:paraId="58DAB0C0" w14:textId="77777777" w:rsidR="00F600B5" w:rsidRPr="008659FE" w:rsidRDefault="00F600B5" w:rsidP="00F600B5">
            <w:pPr>
              <w:spacing w:before="0" w:after="0" w:line="276" w:lineRule="auto"/>
              <w:ind w:left="179"/>
              <w:rPr>
                <w:rFonts w:ascii="Arial" w:hAnsi="Arial"/>
                <w:sz w:val="16"/>
                <w:szCs w:val="16"/>
                <w:lang w:val="en-AU"/>
              </w:rPr>
            </w:pPr>
            <w:r w:rsidRPr="008659FE">
              <w:rPr>
                <w:rFonts w:ascii="Arial" w:hAnsi="Arial"/>
                <w:sz w:val="16"/>
                <w:szCs w:val="16"/>
                <w:lang w:val="en-AU"/>
              </w:rPr>
              <w:t xml:space="preserve">HMAS </w:t>
            </w:r>
            <w:r w:rsidRPr="008659FE">
              <w:rPr>
                <w:rFonts w:ascii="Arial" w:hAnsi="Arial"/>
                <w:i/>
                <w:iCs/>
                <w:sz w:val="16"/>
                <w:szCs w:val="16"/>
                <w:lang w:val="en-AU"/>
              </w:rPr>
              <w:t>Cerberus</w:t>
            </w:r>
          </w:p>
        </w:tc>
        <w:tc>
          <w:tcPr>
            <w:tcW w:w="1790" w:type="dxa"/>
            <w:tcBorders>
              <w:top w:val="nil"/>
              <w:left w:val="nil"/>
              <w:bottom w:val="nil"/>
              <w:right w:val="nil"/>
            </w:tcBorders>
            <w:shd w:val="clear" w:color="FFFFFF" w:fill="auto"/>
            <w:noWrap/>
            <w:vAlign w:val="bottom"/>
          </w:tcPr>
          <w:p w14:paraId="58BB90B6" w14:textId="77777777" w:rsidR="00F600B5" w:rsidRPr="008659FE" w:rsidRDefault="00F600B5" w:rsidP="00F600B5">
            <w:pPr>
              <w:spacing w:before="0" w:after="0" w:line="276" w:lineRule="auto"/>
              <w:jc w:val="right"/>
              <w:rPr>
                <w:rFonts w:ascii="Arial" w:hAnsi="Arial"/>
                <w:sz w:val="16"/>
                <w:szCs w:val="16"/>
                <w:lang w:val="en-AU"/>
              </w:rPr>
            </w:pPr>
            <w:r w:rsidRPr="008659FE">
              <w:rPr>
                <w:rFonts w:ascii="Arial" w:hAnsi="Arial"/>
                <w:sz w:val="16"/>
                <w:szCs w:val="16"/>
                <w:lang w:val="en-AU"/>
              </w:rPr>
              <w:t>VIC - Flinders</w:t>
            </w:r>
          </w:p>
        </w:tc>
        <w:tc>
          <w:tcPr>
            <w:tcW w:w="1191" w:type="dxa"/>
            <w:tcBorders>
              <w:top w:val="nil"/>
              <w:left w:val="nil"/>
              <w:bottom w:val="nil"/>
              <w:right w:val="nil"/>
            </w:tcBorders>
            <w:shd w:val="clear" w:color="FFFFFF" w:fill="auto"/>
            <w:noWrap/>
            <w:vAlign w:val="bottom"/>
          </w:tcPr>
          <w:p w14:paraId="2EAB8397" w14:textId="77777777" w:rsidR="00F600B5" w:rsidRPr="00353F8D" w:rsidRDefault="00F600B5" w:rsidP="00F600B5">
            <w:pPr>
              <w:spacing w:before="0" w:after="0" w:line="276" w:lineRule="auto"/>
              <w:jc w:val="right"/>
              <w:rPr>
                <w:rFonts w:ascii="Arial" w:hAnsi="Arial"/>
                <w:b/>
                <w:bCs/>
                <w:sz w:val="16"/>
                <w:szCs w:val="16"/>
                <w:lang w:val="en-AU"/>
              </w:rPr>
            </w:pPr>
          </w:p>
        </w:tc>
        <w:tc>
          <w:tcPr>
            <w:tcW w:w="1413" w:type="dxa"/>
            <w:tcBorders>
              <w:top w:val="nil"/>
              <w:left w:val="nil"/>
              <w:bottom w:val="nil"/>
              <w:right w:val="nil"/>
            </w:tcBorders>
            <w:shd w:val="clear" w:color="auto" w:fill="auto"/>
            <w:noWrap/>
            <w:vAlign w:val="bottom"/>
          </w:tcPr>
          <w:p w14:paraId="04E3F9CC" w14:textId="77777777" w:rsidR="00F600B5" w:rsidRPr="009E4B9D" w:rsidRDefault="00F600B5" w:rsidP="00F600B5">
            <w:pPr>
              <w:spacing w:before="0" w:after="0" w:line="276" w:lineRule="auto"/>
              <w:jc w:val="right"/>
              <w:rPr>
                <w:rFonts w:ascii="Arial" w:hAnsi="Arial"/>
                <w:sz w:val="16"/>
                <w:szCs w:val="16"/>
                <w:lang w:eastAsia="en-US"/>
              </w:rPr>
            </w:pPr>
            <w:r w:rsidRPr="009E4B9D">
              <w:rPr>
                <w:rFonts w:ascii="Arial" w:hAnsi="Arial"/>
                <w:sz w:val="16"/>
                <w:szCs w:val="16"/>
                <w:lang w:eastAsia="en-US"/>
              </w:rPr>
              <w:t>0.8</w:t>
            </w:r>
          </w:p>
        </w:tc>
        <w:tc>
          <w:tcPr>
            <w:tcW w:w="1195" w:type="dxa"/>
            <w:tcBorders>
              <w:top w:val="nil"/>
              <w:left w:val="nil"/>
              <w:bottom w:val="nil"/>
              <w:right w:val="nil"/>
            </w:tcBorders>
            <w:shd w:val="clear" w:color="auto" w:fill="auto"/>
            <w:noWrap/>
            <w:vAlign w:val="bottom"/>
          </w:tcPr>
          <w:p w14:paraId="38F2B497" w14:textId="77777777" w:rsidR="00F600B5" w:rsidRPr="009E4B9D" w:rsidRDefault="00F600B5" w:rsidP="00F600B5">
            <w:pPr>
              <w:spacing w:before="0" w:after="0" w:line="276" w:lineRule="auto"/>
              <w:jc w:val="right"/>
              <w:rPr>
                <w:rFonts w:ascii="Arial" w:hAnsi="Arial"/>
                <w:sz w:val="16"/>
                <w:szCs w:val="16"/>
                <w:lang w:eastAsia="en-US"/>
              </w:rPr>
            </w:pPr>
            <w:r w:rsidRPr="009E4B9D">
              <w:rPr>
                <w:rFonts w:ascii="Arial" w:hAnsi="Arial"/>
                <w:sz w:val="16"/>
                <w:szCs w:val="16"/>
                <w:lang w:eastAsia="en-US"/>
              </w:rPr>
              <w:t>0.0</w:t>
            </w:r>
          </w:p>
        </w:tc>
      </w:tr>
      <w:tr w:rsidR="00F600B5" w:rsidRPr="00BA1388" w14:paraId="4987BBDD" w14:textId="77777777" w:rsidTr="00D27096">
        <w:trPr>
          <w:trHeight w:val="227"/>
        </w:trPr>
        <w:tc>
          <w:tcPr>
            <w:tcW w:w="3085" w:type="dxa"/>
            <w:tcBorders>
              <w:top w:val="nil"/>
              <w:left w:val="nil"/>
              <w:bottom w:val="nil"/>
              <w:right w:val="nil"/>
            </w:tcBorders>
            <w:shd w:val="clear" w:color="FFFFFF" w:fill="auto"/>
            <w:vAlign w:val="bottom"/>
          </w:tcPr>
          <w:p w14:paraId="6E12B364" w14:textId="77777777" w:rsidR="00F600B5" w:rsidRPr="008659FE" w:rsidRDefault="00F600B5" w:rsidP="00F600B5">
            <w:pPr>
              <w:spacing w:before="0" w:after="0" w:line="276" w:lineRule="auto"/>
              <w:ind w:left="179"/>
              <w:rPr>
                <w:rFonts w:ascii="Arial" w:hAnsi="Arial"/>
                <w:sz w:val="16"/>
                <w:szCs w:val="16"/>
                <w:lang w:val="en-AU"/>
              </w:rPr>
            </w:pPr>
            <w:r w:rsidRPr="008659FE">
              <w:rPr>
                <w:rFonts w:ascii="Arial" w:hAnsi="Arial"/>
                <w:sz w:val="16"/>
                <w:szCs w:val="16"/>
                <w:lang w:val="en-AU"/>
              </w:rPr>
              <w:t>Dutson Air Weapons Range</w:t>
            </w:r>
          </w:p>
        </w:tc>
        <w:tc>
          <w:tcPr>
            <w:tcW w:w="1790" w:type="dxa"/>
            <w:tcBorders>
              <w:top w:val="nil"/>
              <w:left w:val="nil"/>
              <w:bottom w:val="nil"/>
              <w:right w:val="nil"/>
            </w:tcBorders>
            <w:shd w:val="clear" w:color="FFFFFF" w:fill="auto"/>
            <w:noWrap/>
            <w:vAlign w:val="bottom"/>
          </w:tcPr>
          <w:p w14:paraId="5E79004F" w14:textId="77777777" w:rsidR="00F600B5" w:rsidRPr="008659FE" w:rsidRDefault="00F600B5" w:rsidP="00F600B5">
            <w:pPr>
              <w:spacing w:before="0" w:after="0" w:line="276" w:lineRule="auto"/>
              <w:jc w:val="right"/>
              <w:rPr>
                <w:rFonts w:ascii="Arial" w:hAnsi="Arial"/>
                <w:sz w:val="16"/>
                <w:szCs w:val="16"/>
                <w:lang w:val="en-AU"/>
              </w:rPr>
            </w:pPr>
            <w:r w:rsidRPr="008659FE">
              <w:rPr>
                <w:rFonts w:ascii="Arial" w:hAnsi="Arial"/>
                <w:sz w:val="16"/>
                <w:szCs w:val="16"/>
                <w:lang w:val="en-AU"/>
              </w:rPr>
              <w:t>VIC - Gippsland</w:t>
            </w:r>
          </w:p>
        </w:tc>
        <w:tc>
          <w:tcPr>
            <w:tcW w:w="1191" w:type="dxa"/>
            <w:tcBorders>
              <w:top w:val="nil"/>
              <w:left w:val="nil"/>
              <w:bottom w:val="nil"/>
              <w:right w:val="nil"/>
            </w:tcBorders>
            <w:shd w:val="clear" w:color="FFFFFF" w:fill="auto"/>
            <w:noWrap/>
            <w:vAlign w:val="bottom"/>
          </w:tcPr>
          <w:p w14:paraId="630DAFA3" w14:textId="77777777" w:rsidR="00F600B5" w:rsidRPr="00353F8D" w:rsidRDefault="00F600B5" w:rsidP="00F600B5">
            <w:pPr>
              <w:spacing w:before="0" w:after="0" w:line="276" w:lineRule="auto"/>
              <w:jc w:val="right"/>
              <w:rPr>
                <w:rFonts w:ascii="Arial" w:hAnsi="Arial"/>
                <w:b/>
                <w:bCs/>
                <w:sz w:val="16"/>
                <w:szCs w:val="16"/>
                <w:lang w:val="en-AU"/>
              </w:rPr>
            </w:pPr>
          </w:p>
        </w:tc>
        <w:tc>
          <w:tcPr>
            <w:tcW w:w="1413" w:type="dxa"/>
            <w:tcBorders>
              <w:top w:val="nil"/>
              <w:left w:val="nil"/>
              <w:bottom w:val="nil"/>
              <w:right w:val="nil"/>
            </w:tcBorders>
            <w:shd w:val="clear" w:color="auto" w:fill="auto"/>
            <w:noWrap/>
            <w:vAlign w:val="bottom"/>
          </w:tcPr>
          <w:p w14:paraId="1F17F15C" w14:textId="77777777" w:rsidR="00F600B5" w:rsidRPr="009E4B9D" w:rsidRDefault="00F600B5" w:rsidP="00F600B5">
            <w:pPr>
              <w:spacing w:before="0" w:after="0" w:line="276" w:lineRule="auto"/>
              <w:jc w:val="right"/>
              <w:rPr>
                <w:rFonts w:ascii="Arial" w:hAnsi="Arial"/>
                <w:sz w:val="16"/>
                <w:szCs w:val="16"/>
                <w:lang w:eastAsia="en-US"/>
              </w:rPr>
            </w:pPr>
            <w:r w:rsidRPr="009E4B9D">
              <w:rPr>
                <w:rFonts w:ascii="Arial" w:hAnsi="Arial"/>
                <w:sz w:val="16"/>
                <w:szCs w:val="16"/>
                <w:lang w:eastAsia="en-US"/>
              </w:rPr>
              <w:t>1.1</w:t>
            </w:r>
          </w:p>
        </w:tc>
        <w:tc>
          <w:tcPr>
            <w:tcW w:w="1195" w:type="dxa"/>
            <w:tcBorders>
              <w:top w:val="nil"/>
              <w:left w:val="nil"/>
              <w:bottom w:val="nil"/>
              <w:right w:val="nil"/>
            </w:tcBorders>
            <w:shd w:val="clear" w:color="auto" w:fill="auto"/>
            <w:noWrap/>
            <w:vAlign w:val="bottom"/>
          </w:tcPr>
          <w:p w14:paraId="74931489" w14:textId="77777777" w:rsidR="00F600B5" w:rsidRPr="009E4B9D" w:rsidRDefault="00F600B5" w:rsidP="00F600B5">
            <w:pPr>
              <w:spacing w:before="0" w:after="0" w:line="276" w:lineRule="auto"/>
              <w:jc w:val="right"/>
              <w:rPr>
                <w:rFonts w:ascii="Arial" w:hAnsi="Arial"/>
                <w:sz w:val="16"/>
                <w:szCs w:val="16"/>
                <w:lang w:eastAsia="en-US"/>
              </w:rPr>
            </w:pPr>
            <w:r w:rsidRPr="009E4B9D">
              <w:rPr>
                <w:rFonts w:ascii="Arial" w:hAnsi="Arial"/>
                <w:sz w:val="16"/>
                <w:szCs w:val="16"/>
                <w:lang w:eastAsia="en-US"/>
              </w:rPr>
              <w:t>0.0</w:t>
            </w:r>
          </w:p>
        </w:tc>
      </w:tr>
      <w:tr w:rsidR="00F600B5" w:rsidRPr="00BA1388" w14:paraId="3C5882C3" w14:textId="77777777" w:rsidTr="00D27096">
        <w:trPr>
          <w:trHeight w:val="227"/>
        </w:trPr>
        <w:tc>
          <w:tcPr>
            <w:tcW w:w="3085" w:type="dxa"/>
            <w:tcBorders>
              <w:top w:val="nil"/>
              <w:left w:val="nil"/>
              <w:bottom w:val="single" w:sz="4" w:space="0" w:color="auto"/>
              <w:right w:val="nil"/>
            </w:tcBorders>
            <w:shd w:val="clear" w:color="FFFFFF" w:fill="auto"/>
            <w:vAlign w:val="bottom"/>
          </w:tcPr>
          <w:p w14:paraId="773EDCEE" w14:textId="77777777" w:rsidR="00F600B5" w:rsidRPr="008659FE" w:rsidRDefault="00F600B5" w:rsidP="00F600B5">
            <w:pPr>
              <w:spacing w:before="0" w:after="0" w:line="276" w:lineRule="auto"/>
              <w:rPr>
                <w:rFonts w:ascii="Arial" w:hAnsi="Arial"/>
                <w:b/>
                <w:bCs/>
                <w:sz w:val="16"/>
                <w:szCs w:val="16"/>
                <w:lang w:val="en-AU"/>
              </w:rPr>
            </w:pPr>
            <w:r w:rsidRPr="008659FE">
              <w:rPr>
                <w:rFonts w:ascii="Arial" w:hAnsi="Arial"/>
                <w:b/>
                <w:bCs/>
                <w:sz w:val="16"/>
                <w:szCs w:val="16"/>
                <w:lang w:val="en-AU"/>
              </w:rPr>
              <w:t>Total</w:t>
            </w:r>
          </w:p>
        </w:tc>
        <w:tc>
          <w:tcPr>
            <w:tcW w:w="1790" w:type="dxa"/>
            <w:tcBorders>
              <w:top w:val="nil"/>
              <w:left w:val="nil"/>
              <w:bottom w:val="single" w:sz="4" w:space="0" w:color="auto"/>
              <w:right w:val="nil"/>
            </w:tcBorders>
            <w:shd w:val="clear" w:color="FFFFFF" w:fill="auto"/>
            <w:noWrap/>
            <w:vAlign w:val="bottom"/>
          </w:tcPr>
          <w:p w14:paraId="41AE99E3" w14:textId="77777777" w:rsidR="00F600B5" w:rsidRPr="008659FE" w:rsidRDefault="00F600B5" w:rsidP="00F600B5">
            <w:pPr>
              <w:spacing w:before="0" w:after="0" w:line="276" w:lineRule="auto"/>
              <w:jc w:val="right"/>
              <w:rPr>
                <w:rFonts w:ascii="Arial" w:hAnsi="Arial"/>
                <w:sz w:val="16"/>
                <w:szCs w:val="16"/>
                <w:lang w:val="en-AU"/>
              </w:rPr>
            </w:pPr>
          </w:p>
        </w:tc>
        <w:tc>
          <w:tcPr>
            <w:tcW w:w="1191" w:type="dxa"/>
            <w:tcBorders>
              <w:top w:val="nil"/>
              <w:left w:val="nil"/>
              <w:bottom w:val="single" w:sz="4" w:space="0" w:color="auto"/>
              <w:right w:val="nil"/>
            </w:tcBorders>
            <w:shd w:val="clear" w:color="FFFFFF" w:fill="auto"/>
            <w:noWrap/>
            <w:vAlign w:val="bottom"/>
          </w:tcPr>
          <w:p w14:paraId="62526404" w14:textId="77777777" w:rsidR="00F600B5" w:rsidRPr="00C07B22" w:rsidRDefault="00F600B5" w:rsidP="00F600B5">
            <w:pPr>
              <w:spacing w:before="0" w:after="0" w:line="276" w:lineRule="auto"/>
              <w:jc w:val="right"/>
              <w:rPr>
                <w:rFonts w:ascii="Arial" w:hAnsi="Arial"/>
                <w:b/>
                <w:bCs/>
                <w:sz w:val="16"/>
                <w:szCs w:val="16"/>
                <w:lang w:val="en-AU"/>
              </w:rPr>
            </w:pPr>
            <w:r w:rsidRPr="00C07B22">
              <w:rPr>
                <w:rFonts w:ascii="Arial" w:hAnsi="Arial"/>
                <w:b/>
                <w:bCs/>
                <w:sz w:val="16"/>
                <w:szCs w:val="16"/>
                <w:lang w:val="en-AU"/>
              </w:rPr>
              <w:t>25.7</w:t>
            </w:r>
          </w:p>
        </w:tc>
        <w:tc>
          <w:tcPr>
            <w:tcW w:w="1413" w:type="dxa"/>
            <w:tcBorders>
              <w:top w:val="nil"/>
              <w:left w:val="nil"/>
              <w:bottom w:val="single" w:sz="4" w:space="0" w:color="auto"/>
              <w:right w:val="nil"/>
            </w:tcBorders>
            <w:shd w:val="clear" w:color="auto" w:fill="auto"/>
            <w:noWrap/>
            <w:vAlign w:val="bottom"/>
          </w:tcPr>
          <w:p w14:paraId="0DD3E365" w14:textId="77777777" w:rsidR="00F600B5" w:rsidRPr="00C07B22" w:rsidRDefault="00F600B5" w:rsidP="00F600B5">
            <w:pPr>
              <w:spacing w:before="0" w:after="0" w:line="276" w:lineRule="auto"/>
              <w:jc w:val="right"/>
              <w:rPr>
                <w:rFonts w:ascii="Arial" w:hAnsi="Arial"/>
                <w:b/>
                <w:sz w:val="16"/>
                <w:szCs w:val="16"/>
                <w:lang w:eastAsia="en-US"/>
              </w:rPr>
            </w:pPr>
            <w:r w:rsidRPr="00C07B22">
              <w:rPr>
                <w:rFonts w:ascii="Arial" w:hAnsi="Arial"/>
                <w:b/>
                <w:sz w:val="16"/>
                <w:szCs w:val="16"/>
                <w:lang w:eastAsia="en-US"/>
              </w:rPr>
              <w:t>22.6</w:t>
            </w:r>
          </w:p>
        </w:tc>
        <w:tc>
          <w:tcPr>
            <w:tcW w:w="1195" w:type="dxa"/>
            <w:tcBorders>
              <w:top w:val="nil"/>
              <w:left w:val="nil"/>
              <w:bottom w:val="single" w:sz="4" w:space="0" w:color="auto"/>
              <w:right w:val="nil"/>
            </w:tcBorders>
            <w:shd w:val="clear" w:color="auto" w:fill="auto"/>
            <w:noWrap/>
            <w:vAlign w:val="bottom"/>
          </w:tcPr>
          <w:p w14:paraId="14C7496C" w14:textId="77777777" w:rsidR="00F600B5" w:rsidRPr="00C07B22" w:rsidRDefault="00F600B5" w:rsidP="00F600B5">
            <w:pPr>
              <w:spacing w:before="0" w:after="0" w:line="276" w:lineRule="auto"/>
              <w:jc w:val="right"/>
              <w:rPr>
                <w:rFonts w:ascii="Arial" w:hAnsi="Arial"/>
                <w:b/>
                <w:sz w:val="16"/>
                <w:szCs w:val="16"/>
                <w:lang w:eastAsia="en-US"/>
              </w:rPr>
            </w:pPr>
            <w:r w:rsidRPr="00C07B22">
              <w:rPr>
                <w:rFonts w:ascii="Arial" w:hAnsi="Arial"/>
                <w:b/>
                <w:sz w:val="16"/>
                <w:szCs w:val="16"/>
                <w:lang w:eastAsia="en-US"/>
              </w:rPr>
              <w:t>2.0</w:t>
            </w:r>
          </w:p>
        </w:tc>
      </w:tr>
      <w:tr w:rsidR="00D27096" w:rsidRPr="00BA1388" w14:paraId="4CD06AAB" w14:textId="77777777" w:rsidTr="00D27096">
        <w:trPr>
          <w:trHeight w:val="227"/>
        </w:trPr>
        <w:tc>
          <w:tcPr>
            <w:tcW w:w="3085" w:type="dxa"/>
            <w:tcBorders>
              <w:top w:val="single" w:sz="4" w:space="0" w:color="auto"/>
              <w:left w:val="nil"/>
              <w:bottom w:val="nil"/>
              <w:right w:val="nil"/>
            </w:tcBorders>
            <w:shd w:val="clear" w:color="FFFFFF" w:fill="auto"/>
            <w:vAlign w:val="bottom"/>
          </w:tcPr>
          <w:p w14:paraId="2A9D341B" w14:textId="77777777" w:rsidR="00D27096" w:rsidRPr="008659FE" w:rsidRDefault="00D27096" w:rsidP="00D27096">
            <w:pPr>
              <w:spacing w:before="0" w:after="0" w:line="276" w:lineRule="auto"/>
              <w:rPr>
                <w:rFonts w:ascii="Arial" w:hAnsi="Arial"/>
                <w:b/>
                <w:bCs/>
                <w:sz w:val="16"/>
                <w:szCs w:val="16"/>
                <w:lang w:val="en-AU"/>
              </w:rPr>
            </w:pPr>
            <w:r w:rsidRPr="008659FE">
              <w:rPr>
                <w:rFonts w:ascii="Arial" w:hAnsi="Arial"/>
                <w:b/>
                <w:sz w:val="16"/>
                <w:szCs w:val="16"/>
                <w:lang w:val="en-AU"/>
              </w:rPr>
              <w:t>North Queensland Mid-Term Refresh Program: Townsville Field Training Area Mid-Term Refresh Project</w:t>
            </w:r>
          </w:p>
        </w:tc>
        <w:tc>
          <w:tcPr>
            <w:tcW w:w="1790" w:type="dxa"/>
            <w:tcBorders>
              <w:top w:val="single" w:sz="4" w:space="0" w:color="auto"/>
              <w:left w:val="nil"/>
              <w:bottom w:val="nil"/>
              <w:right w:val="nil"/>
            </w:tcBorders>
            <w:shd w:val="clear" w:color="FFFFFF" w:fill="auto"/>
            <w:noWrap/>
            <w:vAlign w:val="bottom"/>
          </w:tcPr>
          <w:p w14:paraId="6BE4AB4D" w14:textId="77777777" w:rsidR="00D27096" w:rsidRPr="008659FE" w:rsidRDefault="00D27096" w:rsidP="00D27096">
            <w:pPr>
              <w:spacing w:before="0" w:after="0" w:line="276" w:lineRule="auto"/>
              <w:jc w:val="right"/>
              <w:rPr>
                <w:rFonts w:ascii="Arial" w:hAnsi="Arial"/>
                <w:sz w:val="16"/>
                <w:szCs w:val="16"/>
                <w:lang w:val="en-AU"/>
              </w:rPr>
            </w:pPr>
          </w:p>
        </w:tc>
        <w:tc>
          <w:tcPr>
            <w:tcW w:w="1191" w:type="dxa"/>
            <w:tcBorders>
              <w:top w:val="single" w:sz="4" w:space="0" w:color="auto"/>
              <w:left w:val="nil"/>
              <w:bottom w:val="nil"/>
              <w:right w:val="nil"/>
            </w:tcBorders>
            <w:shd w:val="clear" w:color="FFFFFF" w:fill="auto"/>
            <w:noWrap/>
            <w:vAlign w:val="bottom"/>
          </w:tcPr>
          <w:p w14:paraId="3E8C8B5B" w14:textId="77777777" w:rsidR="00D27096" w:rsidRPr="00353F8D" w:rsidRDefault="00D27096" w:rsidP="00D27096">
            <w:pPr>
              <w:spacing w:before="0" w:after="0" w:line="276" w:lineRule="auto"/>
              <w:jc w:val="right"/>
              <w:rPr>
                <w:rFonts w:ascii="Arial" w:hAnsi="Arial"/>
                <w:b/>
                <w:bCs/>
                <w:sz w:val="16"/>
                <w:szCs w:val="16"/>
                <w:lang w:val="en-AU"/>
              </w:rPr>
            </w:pPr>
          </w:p>
        </w:tc>
        <w:tc>
          <w:tcPr>
            <w:tcW w:w="1413" w:type="dxa"/>
            <w:tcBorders>
              <w:top w:val="single" w:sz="4" w:space="0" w:color="auto"/>
              <w:left w:val="nil"/>
              <w:bottom w:val="nil"/>
              <w:right w:val="nil"/>
            </w:tcBorders>
            <w:shd w:val="clear" w:color="auto" w:fill="auto"/>
            <w:noWrap/>
            <w:vAlign w:val="bottom"/>
          </w:tcPr>
          <w:p w14:paraId="30CAE891" w14:textId="77777777" w:rsidR="00D27096" w:rsidRPr="009E4B9D" w:rsidRDefault="00D27096" w:rsidP="00D27096">
            <w:pPr>
              <w:spacing w:before="0" w:after="0" w:line="276" w:lineRule="auto"/>
              <w:jc w:val="right"/>
              <w:rPr>
                <w:rFonts w:ascii="Arial" w:hAnsi="Arial"/>
                <w:b/>
                <w:sz w:val="16"/>
                <w:szCs w:val="16"/>
                <w:lang w:eastAsia="en-US"/>
              </w:rPr>
            </w:pPr>
          </w:p>
        </w:tc>
        <w:tc>
          <w:tcPr>
            <w:tcW w:w="1195" w:type="dxa"/>
            <w:tcBorders>
              <w:top w:val="single" w:sz="4" w:space="0" w:color="auto"/>
              <w:left w:val="nil"/>
              <w:bottom w:val="nil"/>
              <w:right w:val="nil"/>
            </w:tcBorders>
            <w:shd w:val="clear" w:color="auto" w:fill="auto"/>
            <w:noWrap/>
            <w:vAlign w:val="bottom"/>
          </w:tcPr>
          <w:p w14:paraId="7348D997" w14:textId="77777777" w:rsidR="00D27096" w:rsidRPr="009E4B9D" w:rsidRDefault="00D27096" w:rsidP="00D27096">
            <w:pPr>
              <w:spacing w:before="0" w:after="0" w:line="276" w:lineRule="auto"/>
              <w:jc w:val="right"/>
              <w:rPr>
                <w:rFonts w:ascii="Arial" w:hAnsi="Arial"/>
                <w:b/>
                <w:sz w:val="16"/>
                <w:szCs w:val="16"/>
                <w:lang w:eastAsia="en-US"/>
              </w:rPr>
            </w:pPr>
          </w:p>
        </w:tc>
      </w:tr>
      <w:tr w:rsidR="00D27096" w:rsidRPr="00BA1388" w14:paraId="7ED8F595" w14:textId="77777777" w:rsidTr="00D27096">
        <w:trPr>
          <w:trHeight w:val="227"/>
        </w:trPr>
        <w:tc>
          <w:tcPr>
            <w:tcW w:w="3085" w:type="dxa"/>
            <w:tcBorders>
              <w:top w:val="nil"/>
              <w:left w:val="nil"/>
              <w:bottom w:val="single" w:sz="4" w:space="0" w:color="auto"/>
              <w:right w:val="nil"/>
            </w:tcBorders>
            <w:shd w:val="clear" w:color="FFFFFF" w:fill="auto"/>
            <w:vAlign w:val="bottom"/>
          </w:tcPr>
          <w:p w14:paraId="729902DA" w14:textId="77777777" w:rsidR="00D27096" w:rsidRPr="008659FE" w:rsidRDefault="00D27096" w:rsidP="00D27096">
            <w:pPr>
              <w:spacing w:before="0" w:after="0" w:line="276" w:lineRule="auto"/>
              <w:ind w:left="179"/>
              <w:rPr>
                <w:rFonts w:ascii="Arial" w:hAnsi="Arial"/>
                <w:b/>
                <w:bCs/>
                <w:sz w:val="16"/>
                <w:szCs w:val="16"/>
                <w:lang w:val="en-AU"/>
              </w:rPr>
            </w:pPr>
            <w:r w:rsidRPr="008659FE">
              <w:rPr>
                <w:rFonts w:ascii="Arial" w:hAnsi="Arial"/>
                <w:sz w:val="16"/>
                <w:szCs w:val="16"/>
                <w:lang w:val="en-AU"/>
              </w:rPr>
              <w:t>Townsville Field Training Area</w:t>
            </w:r>
          </w:p>
        </w:tc>
        <w:tc>
          <w:tcPr>
            <w:tcW w:w="1790" w:type="dxa"/>
            <w:tcBorders>
              <w:top w:val="nil"/>
              <w:left w:val="nil"/>
              <w:bottom w:val="single" w:sz="4" w:space="0" w:color="auto"/>
              <w:right w:val="nil"/>
            </w:tcBorders>
            <w:shd w:val="clear" w:color="FFFFFF" w:fill="auto"/>
            <w:noWrap/>
            <w:vAlign w:val="bottom"/>
          </w:tcPr>
          <w:p w14:paraId="730F5223" w14:textId="77777777" w:rsidR="00D27096" w:rsidRPr="008659FE" w:rsidRDefault="00D27096" w:rsidP="00D27096">
            <w:pPr>
              <w:spacing w:before="0" w:after="0" w:line="276" w:lineRule="auto"/>
              <w:jc w:val="right"/>
              <w:rPr>
                <w:rFonts w:ascii="Arial" w:hAnsi="Arial"/>
                <w:sz w:val="16"/>
                <w:szCs w:val="16"/>
                <w:lang w:val="en-AU"/>
              </w:rPr>
            </w:pPr>
            <w:r w:rsidRPr="008659FE">
              <w:rPr>
                <w:rFonts w:ascii="Arial" w:hAnsi="Arial"/>
                <w:sz w:val="16"/>
                <w:szCs w:val="16"/>
                <w:lang w:val="en-AU"/>
              </w:rPr>
              <w:t>QLD - Kennedy</w:t>
            </w:r>
          </w:p>
        </w:tc>
        <w:tc>
          <w:tcPr>
            <w:tcW w:w="1191" w:type="dxa"/>
            <w:tcBorders>
              <w:top w:val="nil"/>
              <w:left w:val="nil"/>
              <w:bottom w:val="single" w:sz="4" w:space="0" w:color="auto"/>
              <w:right w:val="nil"/>
            </w:tcBorders>
            <w:shd w:val="clear" w:color="FFFFFF" w:fill="auto"/>
            <w:noWrap/>
            <w:vAlign w:val="bottom"/>
          </w:tcPr>
          <w:p w14:paraId="2DCF0D1D" w14:textId="77777777" w:rsidR="00D27096" w:rsidRPr="00353F8D" w:rsidRDefault="00D27096" w:rsidP="00D27096">
            <w:pPr>
              <w:spacing w:before="0" w:after="0" w:line="276" w:lineRule="auto"/>
              <w:jc w:val="right"/>
              <w:rPr>
                <w:rFonts w:ascii="Arial" w:hAnsi="Arial"/>
                <w:b/>
                <w:bCs/>
                <w:sz w:val="16"/>
                <w:szCs w:val="16"/>
                <w:lang w:val="en-AU"/>
              </w:rPr>
            </w:pPr>
            <w:r w:rsidRPr="00353F8D">
              <w:rPr>
                <w:rFonts w:ascii="Arial" w:hAnsi="Arial"/>
                <w:b/>
                <w:bCs/>
                <w:sz w:val="16"/>
                <w:szCs w:val="16"/>
                <w:lang w:val="en-AU"/>
              </w:rPr>
              <w:t>22.8</w:t>
            </w:r>
          </w:p>
        </w:tc>
        <w:tc>
          <w:tcPr>
            <w:tcW w:w="1413" w:type="dxa"/>
            <w:tcBorders>
              <w:top w:val="nil"/>
              <w:left w:val="nil"/>
              <w:bottom w:val="single" w:sz="4" w:space="0" w:color="auto"/>
              <w:right w:val="nil"/>
            </w:tcBorders>
            <w:shd w:val="clear" w:color="auto" w:fill="auto"/>
            <w:noWrap/>
            <w:vAlign w:val="bottom"/>
          </w:tcPr>
          <w:p w14:paraId="7B36E9DF" w14:textId="77777777" w:rsidR="00D27096" w:rsidRPr="009E4B9D" w:rsidRDefault="00D27096" w:rsidP="00D27096">
            <w:pPr>
              <w:spacing w:before="0" w:after="0" w:line="276" w:lineRule="auto"/>
              <w:jc w:val="right"/>
              <w:rPr>
                <w:rFonts w:ascii="Arial" w:hAnsi="Arial"/>
                <w:b/>
                <w:sz w:val="16"/>
                <w:szCs w:val="16"/>
                <w:lang w:eastAsia="en-US"/>
              </w:rPr>
            </w:pPr>
            <w:r w:rsidRPr="009E4B9D">
              <w:rPr>
                <w:rFonts w:ascii="Arial" w:hAnsi="Arial"/>
                <w:b/>
                <w:sz w:val="16"/>
                <w:szCs w:val="16"/>
                <w:lang w:eastAsia="en-US"/>
              </w:rPr>
              <w:t>18.1</w:t>
            </w:r>
          </w:p>
        </w:tc>
        <w:tc>
          <w:tcPr>
            <w:tcW w:w="1195" w:type="dxa"/>
            <w:tcBorders>
              <w:top w:val="nil"/>
              <w:left w:val="nil"/>
              <w:bottom w:val="single" w:sz="4" w:space="0" w:color="auto"/>
              <w:right w:val="nil"/>
            </w:tcBorders>
            <w:shd w:val="clear" w:color="auto" w:fill="auto"/>
            <w:noWrap/>
            <w:vAlign w:val="bottom"/>
          </w:tcPr>
          <w:p w14:paraId="04B71623" w14:textId="77777777" w:rsidR="00D27096" w:rsidRPr="009E4B9D" w:rsidRDefault="00D27096" w:rsidP="00D27096">
            <w:pPr>
              <w:spacing w:before="0" w:after="0" w:line="276" w:lineRule="auto"/>
              <w:jc w:val="right"/>
              <w:rPr>
                <w:rFonts w:ascii="Arial" w:hAnsi="Arial"/>
                <w:b/>
                <w:sz w:val="16"/>
                <w:szCs w:val="16"/>
                <w:lang w:eastAsia="en-US"/>
              </w:rPr>
            </w:pPr>
            <w:r w:rsidRPr="009E4B9D">
              <w:rPr>
                <w:rFonts w:ascii="Arial" w:hAnsi="Arial"/>
                <w:b/>
                <w:sz w:val="16"/>
                <w:szCs w:val="16"/>
                <w:lang w:eastAsia="en-US"/>
              </w:rPr>
              <w:t>3.6</w:t>
            </w:r>
          </w:p>
        </w:tc>
      </w:tr>
      <w:tr w:rsidR="00D27096" w:rsidRPr="00BA1388" w14:paraId="52B9E6C2" w14:textId="77777777" w:rsidTr="00D27096">
        <w:trPr>
          <w:trHeight w:val="227"/>
        </w:trPr>
        <w:tc>
          <w:tcPr>
            <w:tcW w:w="3085" w:type="dxa"/>
            <w:tcBorders>
              <w:top w:val="single" w:sz="4" w:space="0" w:color="auto"/>
              <w:left w:val="nil"/>
              <w:bottom w:val="nil"/>
              <w:right w:val="nil"/>
            </w:tcBorders>
            <w:shd w:val="clear" w:color="FFFFFF" w:fill="auto"/>
            <w:vAlign w:val="bottom"/>
          </w:tcPr>
          <w:p w14:paraId="64525029" w14:textId="77777777" w:rsidR="00D27096" w:rsidRPr="008659FE" w:rsidRDefault="00D27096" w:rsidP="00D27096">
            <w:pPr>
              <w:spacing w:before="0" w:after="0" w:line="276" w:lineRule="auto"/>
              <w:rPr>
                <w:rFonts w:ascii="Arial" w:hAnsi="Arial"/>
                <w:sz w:val="16"/>
                <w:szCs w:val="16"/>
                <w:lang w:val="en-AU"/>
              </w:rPr>
            </w:pPr>
            <w:r w:rsidRPr="008659FE">
              <w:rPr>
                <w:rFonts w:ascii="Arial" w:hAnsi="Arial"/>
                <w:b/>
                <w:sz w:val="16"/>
                <w:szCs w:val="16"/>
                <w:lang w:val="en-AU"/>
              </w:rPr>
              <w:t>Facilities for A Company 41st Royal New South Wales Regiment Tweed Heads Region</w:t>
            </w:r>
          </w:p>
        </w:tc>
        <w:tc>
          <w:tcPr>
            <w:tcW w:w="1790" w:type="dxa"/>
            <w:tcBorders>
              <w:top w:val="single" w:sz="4" w:space="0" w:color="auto"/>
              <w:left w:val="nil"/>
              <w:bottom w:val="nil"/>
              <w:right w:val="nil"/>
            </w:tcBorders>
            <w:shd w:val="clear" w:color="FFFFFF" w:fill="auto"/>
            <w:noWrap/>
            <w:vAlign w:val="bottom"/>
          </w:tcPr>
          <w:p w14:paraId="44DA18A0" w14:textId="77777777" w:rsidR="00D27096" w:rsidRPr="008659FE" w:rsidRDefault="00D27096" w:rsidP="00D27096">
            <w:pPr>
              <w:spacing w:before="0" w:after="0" w:line="276" w:lineRule="auto"/>
              <w:jc w:val="right"/>
              <w:rPr>
                <w:rFonts w:ascii="Arial" w:hAnsi="Arial"/>
                <w:sz w:val="16"/>
                <w:szCs w:val="16"/>
                <w:lang w:val="en-AU"/>
              </w:rPr>
            </w:pPr>
          </w:p>
        </w:tc>
        <w:tc>
          <w:tcPr>
            <w:tcW w:w="1191" w:type="dxa"/>
            <w:tcBorders>
              <w:top w:val="single" w:sz="4" w:space="0" w:color="auto"/>
              <w:left w:val="nil"/>
              <w:bottom w:val="nil"/>
              <w:right w:val="nil"/>
            </w:tcBorders>
            <w:shd w:val="clear" w:color="FFFFFF" w:fill="auto"/>
            <w:noWrap/>
            <w:vAlign w:val="bottom"/>
          </w:tcPr>
          <w:p w14:paraId="7DEF82E5" w14:textId="77777777" w:rsidR="00D27096" w:rsidRPr="00353F8D" w:rsidRDefault="00D27096" w:rsidP="00D27096">
            <w:pPr>
              <w:spacing w:before="0" w:after="0" w:line="276" w:lineRule="auto"/>
              <w:jc w:val="right"/>
              <w:rPr>
                <w:rFonts w:ascii="Arial" w:hAnsi="Arial"/>
                <w:b/>
                <w:bCs/>
                <w:sz w:val="16"/>
                <w:szCs w:val="16"/>
                <w:lang w:val="en-AU"/>
              </w:rPr>
            </w:pPr>
          </w:p>
        </w:tc>
        <w:tc>
          <w:tcPr>
            <w:tcW w:w="1413" w:type="dxa"/>
            <w:tcBorders>
              <w:top w:val="single" w:sz="4" w:space="0" w:color="auto"/>
              <w:left w:val="nil"/>
              <w:bottom w:val="nil"/>
              <w:right w:val="nil"/>
            </w:tcBorders>
            <w:shd w:val="clear" w:color="auto" w:fill="auto"/>
            <w:noWrap/>
            <w:vAlign w:val="bottom"/>
          </w:tcPr>
          <w:p w14:paraId="687D840C" w14:textId="77777777" w:rsidR="00D27096" w:rsidRPr="009E4B9D" w:rsidRDefault="00D27096" w:rsidP="00D27096">
            <w:pPr>
              <w:spacing w:before="0" w:after="0" w:line="276" w:lineRule="auto"/>
              <w:jc w:val="right"/>
              <w:rPr>
                <w:rFonts w:ascii="Arial" w:hAnsi="Arial"/>
                <w:b/>
                <w:sz w:val="16"/>
                <w:szCs w:val="16"/>
                <w:lang w:eastAsia="en-US"/>
              </w:rPr>
            </w:pPr>
          </w:p>
        </w:tc>
        <w:tc>
          <w:tcPr>
            <w:tcW w:w="1195" w:type="dxa"/>
            <w:tcBorders>
              <w:top w:val="single" w:sz="4" w:space="0" w:color="auto"/>
              <w:left w:val="nil"/>
              <w:bottom w:val="nil"/>
              <w:right w:val="nil"/>
            </w:tcBorders>
            <w:shd w:val="clear" w:color="auto" w:fill="auto"/>
            <w:noWrap/>
            <w:vAlign w:val="bottom"/>
          </w:tcPr>
          <w:p w14:paraId="323FC01D" w14:textId="77777777" w:rsidR="00D27096" w:rsidRPr="009E4B9D" w:rsidRDefault="00D27096" w:rsidP="00D27096">
            <w:pPr>
              <w:spacing w:before="0" w:after="0" w:line="276" w:lineRule="auto"/>
              <w:jc w:val="right"/>
              <w:rPr>
                <w:rFonts w:ascii="Arial" w:hAnsi="Arial"/>
                <w:b/>
                <w:sz w:val="16"/>
                <w:szCs w:val="16"/>
                <w:lang w:eastAsia="en-US"/>
              </w:rPr>
            </w:pPr>
          </w:p>
        </w:tc>
      </w:tr>
      <w:tr w:rsidR="00D27096" w:rsidRPr="00BA1388" w14:paraId="3EAEB3EC" w14:textId="77777777" w:rsidTr="00D27096">
        <w:trPr>
          <w:trHeight w:val="227"/>
        </w:trPr>
        <w:tc>
          <w:tcPr>
            <w:tcW w:w="3085" w:type="dxa"/>
            <w:tcBorders>
              <w:top w:val="nil"/>
              <w:left w:val="nil"/>
              <w:bottom w:val="single" w:sz="4" w:space="0" w:color="auto"/>
              <w:right w:val="nil"/>
            </w:tcBorders>
            <w:shd w:val="clear" w:color="FFFFFF" w:fill="auto"/>
            <w:vAlign w:val="bottom"/>
          </w:tcPr>
          <w:p w14:paraId="40D69298" w14:textId="77777777" w:rsidR="00D27096" w:rsidRPr="008659FE" w:rsidRDefault="00D27096" w:rsidP="00D27096">
            <w:pPr>
              <w:spacing w:before="0" w:after="0" w:line="276" w:lineRule="auto"/>
              <w:ind w:left="179"/>
              <w:rPr>
                <w:rFonts w:ascii="Arial" w:hAnsi="Arial"/>
                <w:sz w:val="16"/>
                <w:szCs w:val="16"/>
                <w:lang w:val="en-AU"/>
              </w:rPr>
            </w:pPr>
            <w:r w:rsidRPr="008659FE">
              <w:rPr>
                <w:rFonts w:ascii="Arial" w:hAnsi="Arial"/>
                <w:sz w:val="16"/>
                <w:szCs w:val="16"/>
                <w:lang w:val="en-AU"/>
              </w:rPr>
              <w:t>Tweed Heads</w:t>
            </w:r>
          </w:p>
        </w:tc>
        <w:tc>
          <w:tcPr>
            <w:tcW w:w="1790" w:type="dxa"/>
            <w:tcBorders>
              <w:top w:val="nil"/>
              <w:left w:val="nil"/>
              <w:bottom w:val="single" w:sz="4" w:space="0" w:color="auto"/>
              <w:right w:val="nil"/>
            </w:tcBorders>
            <w:shd w:val="clear" w:color="FFFFFF" w:fill="auto"/>
            <w:noWrap/>
            <w:vAlign w:val="bottom"/>
          </w:tcPr>
          <w:p w14:paraId="02C29D33" w14:textId="77777777" w:rsidR="00D27096" w:rsidRPr="008659FE" w:rsidRDefault="00D27096" w:rsidP="00D27096">
            <w:pPr>
              <w:spacing w:before="0" w:after="0" w:line="276" w:lineRule="auto"/>
              <w:jc w:val="right"/>
              <w:rPr>
                <w:rFonts w:ascii="Arial" w:hAnsi="Arial"/>
                <w:sz w:val="16"/>
                <w:szCs w:val="16"/>
                <w:lang w:val="en-AU"/>
              </w:rPr>
            </w:pPr>
            <w:r w:rsidRPr="008659FE">
              <w:rPr>
                <w:rFonts w:ascii="Arial" w:hAnsi="Arial"/>
                <w:sz w:val="16"/>
                <w:szCs w:val="16"/>
                <w:lang w:val="en-AU"/>
              </w:rPr>
              <w:t>NSW - Richmond</w:t>
            </w:r>
          </w:p>
        </w:tc>
        <w:tc>
          <w:tcPr>
            <w:tcW w:w="1191" w:type="dxa"/>
            <w:tcBorders>
              <w:top w:val="nil"/>
              <w:left w:val="nil"/>
              <w:bottom w:val="single" w:sz="4" w:space="0" w:color="auto"/>
              <w:right w:val="nil"/>
            </w:tcBorders>
            <w:shd w:val="clear" w:color="FFFFFF" w:fill="auto"/>
            <w:noWrap/>
            <w:vAlign w:val="bottom"/>
          </w:tcPr>
          <w:p w14:paraId="7F15680B" w14:textId="77777777" w:rsidR="00D27096" w:rsidRPr="00353F8D" w:rsidRDefault="00D27096" w:rsidP="00D27096">
            <w:pPr>
              <w:spacing w:before="0" w:after="0" w:line="276" w:lineRule="auto"/>
              <w:jc w:val="right"/>
              <w:rPr>
                <w:rFonts w:ascii="Arial" w:hAnsi="Arial"/>
                <w:b/>
                <w:bCs/>
                <w:sz w:val="16"/>
                <w:szCs w:val="16"/>
                <w:lang w:val="en-AU"/>
              </w:rPr>
            </w:pPr>
            <w:r w:rsidRPr="00353F8D">
              <w:rPr>
                <w:rFonts w:ascii="Arial" w:hAnsi="Arial"/>
                <w:b/>
                <w:bCs/>
                <w:sz w:val="16"/>
                <w:szCs w:val="16"/>
                <w:lang w:val="en-AU"/>
              </w:rPr>
              <w:t>17.4</w:t>
            </w:r>
          </w:p>
        </w:tc>
        <w:tc>
          <w:tcPr>
            <w:tcW w:w="1413" w:type="dxa"/>
            <w:tcBorders>
              <w:top w:val="nil"/>
              <w:left w:val="nil"/>
              <w:bottom w:val="single" w:sz="4" w:space="0" w:color="auto"/>
              <w:right w:val="nil"/>
            </w:tcBorders>
            <w:shd w:val="clear" w:color="auto" w:fill="auto"/>
            <w:noWrap/>
            <w:vAlign w:val="bottom"/>
          </w:tcPr>
          <w:p w14:paraId="734568E1" w14:textId="77777777" w:rsidR="00D27096" w:rsidRPr="009E4B9D" w:rsidRDefault="00D27096" w:rsidP="00D27096">
            <w:pPr>
              <w:spacing w:before="0" w:after="0" w:line="276" w:lineRule="auto"/>
              <w:jc w:val="right"/>
              <w:rPr>
                <w:rFonts w:ascii="Arial" w:hAnsi="Arial"/>
                <w:b/>
                <w:sz w:val="16"/>
                <w:szCs w:val="16"/>
                <w:lang w:eastAsia="en-US"/>
              </w:rPr>
            </w:pPr>
            <w:r w:rsidRPr="009E4B9D">
              <w:rPr>
                <w:rFonts w:ascii="Arial" w:hAnsi="Arial"/>
                <w:b/>
                <w:sz w:val="16"/>
                <w:szCs w:val="16"/>
                <w:lang w:eastAsia="en-US"/>
              </w:rPr>
              <w:t>14.</w:t>
            </w:r>
            <w:r>
              <w:rPr>
                <w:rFonts w:ascii="Arial" w:hAnsi="Arial"/>
                <w:b/>
                <w:sz w:val="16"/>
                <w:szCs w:val="16"/>
                <w:lang w:eastAsia="en-US"/>
              </w:rPr>
              <w:t>7</w:t>
            </w:r>
          </w:p>
        </w:tc>
        <w:tc>
          <w:tcPr>
            <w:tcW w:w="1195" w:type="dxa"/>
            <w:tcBorders>
              <w:top w:val="nil"/>
              <w:left w:val="nil"/>
              <w:bottom w:val="single" w:sz="4" w:space="0" w:color="auto"/>
              <w:right w:val="nil"/>
            </w:tcBorders>
            <w:shd w:val="clear" w:color="auto" w:fill="auto"/>
            <w:noWrap/>
            <w:vAlign w:val="bottom"/>
          </w:tcPr>
          <w:p w14:paraId="48D56C76" w14:textId="77777777" w:rsidR="00D27096" w:rsidRPr="009E4B9D" w:rsidRDefault="00D27096" w:rsidP="00D27096">
            <w:pPr>
              <w:spacing w:before="0" w:after="0" w:line="276" w:lineRule="auto"/>
              <w:jc w:val="right"/>
              <w:rPr>
                <w:rFonts w:ascii="Arial" w:hAnsi="Arial"/>
                <w:b/>
                <w:sz w:val="16"/>
                <w:szCs w:val="16"/>
                <w:lang w:eastAsia="en-US"/>
              </w:rPr>
            </w:pPr>
            <w:r w:rsidRPr="009E4B9D">
              <w:rPr>
                <w:rFonts w:ascii="Arial" w:hAnsi="Arial"/>
                <w:b/>
                <w:sz w:val="16"/>
                <w:szCs w:val="16"/>
                <w:lang w:eastAsia="en-US"/>
              </w:rPr>
              <w:t>0.0</w:t>
            </w:r>
          </w:p>
        </w:tc>
      </w:tr>
      <w:tr w:rsidR="00D27096" w:rsidRPr="00BA1388" w14:paraId="06982B54" w14:textId="77777777" w:rsidTr="00D27096">
        <w:trPr>
          <w:trHeight w:val="227"/>
        </w:trPr>
        <w:tc>
          <w:tcPr>
            <w:tcW w:w="3085" w:type="dxa"/>
            <w:tcBorders>
              <w:top w:val="single" w:sz="4" w:space="0" w:color="auto"/>
              <w:left w:val="nil"/>
              <w:bottom w:val="nil"/>
              <w:right w:val="nil"/>
            </w:tcBorders>
            <w:shd w:val="clear" w:color="FFFFFF" w:fill="auto"/>
            <w:vAlign w:val="bottom"/>
          </w:tcPr>
          <w:p w14:paraId="4F394265" w14:textId="77777777" w:rsidR="00D27096" w:rsidRPr="008659FE" w:rsidRDefault="00D27096" w:rsidP="00D27096">
            <w:pPr>
              <w:spacing w:before="0" w:after="0" w:line="276" w:lineRule="auto"/>
              <w:rPr>
                <w:rFonts w:ascii="Arial" w:hAnsi="Arial"/>
                <w:sz w:val="16"/>
                <w:szCs w:val="16"/>
                <w:lang w:val="en-AU"/>
              </w:rPr>
            </w:pPr>
            <w:r w:rsidRPr="008659FE">
              <w:rPr>
                <w:rFonts w:ascii="Arial" w:hAnsi="Arial"/>
                <w:b/>
                <w:sz w:val="16"/>
                <w:szCs w:val="16"/>
                <w:lang w:val="en-AU"/>
              </w:rPr>
              <w:t xml:space="preserve">North Queensland Mid-Term Refresh Program: HMAS </w:t>
            </w:r>
            <w:r w:rsidRPr="008659FE">
              <w:rPr>
                <w:rFonts w:ascii="Arial" w:hAnsi="Arial"/>
                <w:b/>
                <w:i/>
                <w:sz w:val="16"/>
                <w:szCs w:val="16"/>
                <w:lang w:val="en-AU"/>
              </w:rPr>
              <w:t>Cairns</w:t>
            </w:r>
            <w:r w:rsidRPr="008659FE">
              <w:rPr>
                <w:rFonts w:ascii="Arial" w:hAnsi="Arial"/>
                <w:b/>
                <w:sz w:val="16"/>
                <w:szCs w:val="16"/>
                <w:lang w:val="en-AU"/>
              </w:rPr>
              <w:t xml:space="preserve"> Mid-Term Refresh Project</w:t>
            </w:r>
          </w:p>
        </w:tc>
        <w:tc>
          <w:tcPr>
            <w:tcW w:w="1790" w:type="dxa"/>
            <w:tcBorders>
              <w:top w:val="single" w:sz="4" w:space="0" w:color="auto"/>
              <w:left w:val="nil"/>
              <w:bottom w:val="nil"/>
              <w:right w:val="nil"/>
            </w:tcBorders>
            <w:shd w:val="clear" w:color="FFFFFF" w:fill="auto"/>
            <w:noWrap/>
            <w:vAlign w:val="bottom"/>
          </w:tcPr>
          <w:p w14:paraId="62B4F87A" w14:textId="77777777" w:rsidR="00D27096" w:rsidRPr="008659FE" w:rsidRDefault="00D27096" w:rsidP="00D27096">
            <w:pPr>
              <w:spacing w:before="0" w:after="0" w:line="276" w:lineRule="auto"/>
              <w:jc w:val="right"/>
              <w:rPr>
                <w:rFonts w:ascii="Arial" w:hAnsi="Arial"/>
                <w:sz w:val="16"/>
                <w:szCs w:val="16"/>
                <w:lang w:val="en-AU"/>
              </w:rPr>
            </w:pPr>
          </w:p>
        </w:tc>
        <w:tc>
          <w:tcPr>
            <w:tcW w:w="1191" w:type="dxa"/>
            <w:tcBorders>
              <w:top w:val="single" w:sz="4" w:space="0" w:color="auto"/>
              <w:left w:val="nil"/>
              <w:bottom w:val="nil"/>
              <w:right w:val="nil"/>
            </w:tcBorders>
            <w:shd w:val="clear" w:color="FFFFFF" w:fill="auto"/>
            <w:noWrap/>
            <w:vAlign w:val="bottom"/>
          </w:tcPr>
          <w:p w14:paraId="53AD4DB7" w14:textId="77777777" w:rsidR="00D27096" w:rsidRPr="00353F8D" w:rsidRDefault="00D27096" w:rsidP="00D27096">
            <w:pPr>
              <w:spacing w:before="0" w:after="0" w:line="276" w:lineRule="auto"/>
              <w:jc w:val="right"/>
              <w:rPr>
                <w:rFonts w:ascii="Arial" w:hAnsi="Arial"/>
                <w:b/>
                <w:bCs/>
                <w:sz w:val="16"/>
                <w:szCs w:val="16"/>
                <w:lang w:val="en-AU"/>
              </w:rPr>
            </w:pPr>
          </w:p>
        </w:tc>
        <w:tc>
          <w:tcPr>
            <w:tcW w:w="1413" w:type="dxa"/>
            <w:tcBorders>
              <w:top w:val="single" w:sz="4" w:space="0" w:color="auto"/>
              <w:left w:val="nil"/>
              <w:bottom w:val="nil"/>
              <w:right w:val="nil"/>
            </w:tcBorders>
            <w:shd w:val="clear" w:color="auto" w:fill="auto"/>
            <w:noWrap/>
            <w:vAlign w:val="bottom"/>
          </w:tcPr>
          <w:p w14:paraId="3A8B46D0" w14:textId="77777777" w:rsidR="00D27096" w:rsidRPr="009E4B9D" w:rsidRDefault="00D27096" w:rsidP="00D27096">
            <w:pPr>
              <w:spacing w:before="0" w:after="0" w:line="276" w:lineRule="auto"/>
              <w:jc w:val="right"/>
              <w:rPr>
                <w:rFonts w:ascii="Arial" w:hAnsi="Arial"/>
                <w:b/>
                <w:sz w:val="16"/>
                <w:szCs w:val="16"/>
                <w:lang w:eastAsia="en-US"/>
              </w:rPr>
            </w:pPr>
          </w:p>
        </w:tc>
        <w:tc>
          <w:tcPr>
            <w:tcW w:w="1195" w:type="dxa"/>
            <w:tcBorders>
              <w:top w:val="single" w:sz="4" w:space="0" w:color="auto"/>
              <w:left w:val="nil"/>
              <w:bottom w:val="nil"/>
              <w:right w:val="nil"/>
            </w:tcBorders>
            <w:shd w:val="clear" w:color="auto" w:fill="auto"/>
            <w:noWrap/>
            <w:vAlign w:val="bottom"/>
          </w:tcPr>
          <w:p w14:paraId="0C287188" w14:textId="77777777" w:rsidR="00D27096" w:rsidRPr="009E4B9D" w:rsidRDefault="00D27096" w:rsidP="00D27096">
            <w:pPr>
              <w:spacing w:before="0" w:after="0" w:line="276" w:lineRule="auto"/>
              <w:jc w:val="right"/>
              <w:rPr>
                <w:rFonts w:ascii="Arial" w:hAnsi="Arial"/>
                <w:b/>
                <w:sz w:val="16"/>
                <w:szCs w:val="16"/>
                <w:lang w:eastAsia="en-US"/>
              </w:rPr>
            </w:pPr>
          </w:p>
        </w:tc>
      </w:tr>
      <w:tr w:rsidR="00D27096" w:rsidRPr="00BA1388" w14:paraId="32D96AA6" w14:textId="77777777" w:rsidTr="00D27096">
        <w:trPr>
          <w:trHeight w:val="227"/>
        </w:trPr>
        <w:tc>
          <w:tcPr>
            <w:tcW w:w="3085" w:type="dxa"/>
            <w:tcBorders>
              <w:top w:val="nil"/>
              <w:left w:val="nil"/>
              <w:bottom w:val="single" w:sz="4" w:space="0" w:color="auto"/>
              <w:right w:val="nil"/>
            </w:tcBorders>
            <w:shd w:val="clear" w:color="FFFFFF" w:fill="auto"/>
            <w:vAlign w:val="bottom"/>
          </w:tcPr>
          <w:p w14:paraId="16C2DC7B" w14:textId="77777777" w:rsidR="00D27096" w:rsidRPr="008659FE" w:rsidRDefault="00D27096" w:rsidP="00D27096">
            <w:pPr>
              <w:spacing w:before="0" w:after="0" w:line="276" w:lineRule="auto"/>
              <w:ind w:left="179"/>
              <w:rPr>
                <w:rFonts w:ascii="Arial" w:hAnsi="Arial"/>
                <w:sz w:val="16"/>
                <w:szCs w:val="16"/>
                <w:lang w:val="en-AU"/>
              </w:rPr>
            </w:pPr>
            <w:r w:rsidRPr="008659FE">
              <w:rPr>
                <w:rFonts w:ascii="Arial" w:hAnsi="Arial"/>
                <w:sz w:val="16"/>
                <w:szCs w:val="16"/>
                <w:lang w:val="en-AU"/>
              </w:rPr>
              <w:t xml:space="preserve">HMAS </w:t>
            </w:r>
            <w:r w:rsidRPr="008659FE">
              <w:rPr>
                <w:rFonts w:ascii="Arial" w:hAnsi="Arial"/>
                <w:i/>
                <w:sz w:val="16"/>
                <w:szCs w:val="16"/>
                <w:lang w:val="en-AU"/>
              </w:rPr>
              <w:t>Cairns</w:t>
            </w:r>
          </w:p>
        </w:tc>
        <w:tc>
          <w:tcPr>
            <w:tcW w:w="1790" w:type="dxa"/>
            <w:tcBorders>
              <w:top w:val="nil"/>
              <w:left w:val="nil"/>
              <w:bottom w:val="single" w:sz="4" w:space="0" w:color="auto"/>
              <w:right w:val="nil"/>
            </w:tcBorders>
            <w:shd w:val="clear" w:color="FFFFFF" w:fill="auto"/>
            <w:noWrap/>
            <w:vAlign w:val="bottom"/>
          </w:tcPr>
          <w:p w14:paraId="4C911F8B" w14:textId="77777777" w:rsidR="00D27096" w:rsidRPr="008659FE" w:rsidRDefault="00D27096" w:rsidP="00D27096">
            <w:pPr>
              <w:spacing w:before="0" w:after="0" w:line="276" w:lineRule="auto"/>
              <w:jc w:val="right"/>
              <w:rPr>
                <w:rFonts w:ascii="Arial" w:hAnsi="Arial"/>
                <w:sz w:val="16"/>
                <w:szCs w:val="16"/>
                <w:lang w:val="en-AU"/>
              </w:rPr>
            </w:pPr>
            <w:r w:rsidRPr="008659FE">
              <w:rPr>
                <w:rFonts w:ascii="Arial" w:hAnsi="Arial"/>
                <w:sz w:val="16"/>
                <w:szCs w:val="16"/>
                <w:lang w:val="en-AU"/>
              </w:rPr>
              <w:t>QLD - Leichardt</w:t>
            </w:r>
          </w:p>
        </w:tc>
        <w:tc>
          <w:tcPr>
            <w:tcW w:w="1191" w:type="dxa"/>
            <w:tcBorders>
              <w:top w:val="nil"/>
              <w:left w:val="nil"/>
              <w:bottom w:val="single" w:sz="4" w:space="0" w:color="auto"/>
              <w:right w:val="nil"/>
            </w:tcBorders>
            <w:shd w:val="clear" w:color="FFFFFF" w:fill="auto"/>
            <w:noWrap/>
            <w:vAlign w:val="bottom"/>
          </w:tcPr>
          <w:p w14:paraId="7673EE8F" w14:textId="77777777" w:rsidR="00D27096" w:rsidRPr="00353F8D" w:rsidRDefault="00D27096" w:rsidP="00D27096">
            <w:pPr>
              <w:spacing w:before="0" w:after="0" w:line="276" w:lineRule="auto"/>
              <w:jc w:val="right"/>
              <w:rPr>
                <w:rFonts w:ascii="Arial" w:hAnsi="Arial"/>
                <w:b/>
                <w:bCs/>
                <w:sz w:val="16"/>
                <w:szCs w:val="16"/>
                <w:lang w:val="en-AU"/>
              </w:rPr>
            </w:pPr>
            <w:r w:rsidRPr="00353F8D">
              <w:rPr>
                <w:rFonts w:ascii="Arial" w:hAnsi="Arial"/>
                <w:b/>
                <w:bCs/>
                <w:sz w:val="16"/>
                <w:szCs w:val="16"/>
                <w:lang w:val="en-AU"/>
              </w:rPr>
              <w:t>15.6</w:t>
            </w:r>
          </w:p>
        </w:tc>
        <w:tc>
          <w:tcPr>
            <w:tcW w:w="1413" w:type="dxa"/>
            <w:tcBorders>
              <w:top w:val="nil"/>
              <w:left w:val="nil"/>
              <w:bottom w:val="single" w:sz="4" w:space="0" w:color="auto"/>
              <w:right w:val="nil"/>
            </w:tcBorders>
            <w:shd w:val="clear" w:color="auto" w:fill="auto"/>
            <w:noWrap/>
            <w:vAlign w:val="bottom"/>
          </w:tcPr>
          <w:p w14:paraId="5893E6B3" w14:textId="77777777" w:rsidR="00D27096" w:rsidRPr="009E4B9D" w:rsidRDefault="00D27096" w:rsidP="00D27096">
            <w:pPr>
              <w:spacing w:before="0" w:after="0" w:line="276" w:lineRule="auto"/>
              <w:jc w:val="right"/>
              <w:rPr>
                <w:rFonts w:ascii="Arial" w:hAnsi="Arial"/>
                <w:b/>
                <w:sz w:val="16"/>
                <w:szCs w:val="16"/>
                <w:lang w:eastAsia="en-US"/>
              </w:rPr>
            </w:pPr>
            <w:r w:rsidRPr="009E4B9D">
              <w:rPr>
                <w:rFonts w:ascii="Arial" w:hAnsi="Arial"/>
                <w:b/>
                <w:sz w:val="16"/>
                <w:szCs w:val="16"/>
                <w:lang w:eastAsia="en-US"/>
              </w:rPr>
              <w:t>12.8</w:t>
            </w:r>
          </w:p>
        </w:tc>
        <w:tc>
          <w:tcPr>
            <w:tcW w:w="1195" w:type="dxa"/>
            <w:tcBorders>
              <w:top w:val="nil"/>
              <w:left w:val="nil"/>
              <w:bottom w:val="single" w:sz="4" w:space="0" w:color="auto"/>
              <w:right w:val="nil"/>
            </w:tcBorders>
            <w:shd w:val="clear" w:color="auto" w:fill="auto"/>
            <w:noWrap/>
            <w:vAlign w:val="bottom"/>
          </w:tcPr>
          <w:p w14:paraId="3D063985" w14:textId="77777777" w:rsidR="00D27096" w:rsidRPr="009E4B9D" w:rsidRDefault="00D27096" w:rsidP="00D27096">
            <w:pPr>
              <w:spacing w:before="0" w:after="0" w:line="276" w:lineRule="auto"/>
              <w:jc w:val="right"/>
              <w:rPr>
                <w:rFonts w:ascii="Arial" w:hAnsi="Arial"/>
                <w:b/>
                <w:sz w:val="16"/>
                <w:szCs w:val="16"/>
                <w:lang w:eastAsia="en-US"/>
              </w:rPr>
            </w:pPr>
            <w:r w:rsidRPr="009E4B9D">
              <w:rPr>
                <w:rFonts w:ascii="Arial" w:hAnsi="Arial"/>
                <w:b/>
                <w:sz w:val="16"/>
                <w:szCs w:val="16"/>
                <w:lang w:eastAsia="en-US"/>
              </w:rPr>
              <w:t>2.0</w:t>
            </w:r>
          </w:p>
        </w:tc>
      </w:tr>
      <w:tr w:rsidR="00D27096" w:rsidRPr="00BA1388" w14:paraId="7D835AFF" w14:textId="77777777" w:rsidTr="00261A67">
        <w:trPr>
          <w:trHeight w:val="227"/>
        </w:trPr>
        <w:tc>
          <w:tcPr>
            <w:tcW w:w="3085" w:type="dxa"/>
            <w:tcBorders>
              <w:top w:val="single" w:sz="4" w:space="0" w:color="auto"/>
              <w:left w:val="nil"/>
              <w:bottom w:val="nil"/>
              <w:right w:val="nil"/>
            </w:tcBorders>
            <w:shd w:val="clear" w:color="FFFFFF" w:fill="auto"/>
            <w:vAlign w:val="bottom"/>
          </w:tcPr>
          <w:p w14:paraId="59DD3925" w14:textId="77777777" w:rsidR="00D27096" w:rsidRPr="008659FE" w:rsidRDefault="00D27096" w:rsidP="00D27096">
            <w:pPr>
              <w:keepNext/>
              <w:spacing w:before="0" w:after="0" w:line="276" w:lineRule="auto"/>
              <w:rPr>
                <w:rFonts w:ascii="Arial" w:hAnsi="Arial"/>
                <w:b/>
                <w:bCs/>
                <w:sz w:val="16"/>
                <w:szCs w:val="16"/>
              </w:rPr>
            </w:pPr>
            <w:r w:rsidRPr="008659FE">
              <w:rPr>
                <w:rFonts w:ascii="Arial" w:hAnsi="Arial"/>
                <w:b/>
                <w:sz w:val="16"/>
                <w:szCs w:val="16"/>
                <w:lang w:val="en-AU"/>
              </w:rPr>
              <w:t>Facilities to Support JP 8190 Phase 1 Deployable Bulk Fuel Distribution</w:t>
            </w:r>
            <w:r w:rsidRPr="008659FE">
              <w:rPr>
                <w:rFonts w:ascii="Arial" w:hAnsi="Arial"/>
                <w:b/>
                <w:bCs/>
                <w:sz w:val="16"/>
                <w:szCs w:val="16"/>
                <w:vertAlign w:val="superscript"/>
                <w:lang w:val="en-AU"/>
              </w:rPr>
              <w:t xml:space="preserve"> </w:t>
            </w:r>
          </w:p>
        </w:tc>
        <w:tc>
          <w:tcPr>
            <w:tcW w:w="1790" w:type="dxa"/>
            <w:tcBorders>
              <w:top w:val="single" w:sz="4" w:space="0" w:color="auto"/>
              <w:left w:val="nil"/>
              <w:bottom w:val="nil"/>
              <w:right w:val="nil"/>
            </w:tcBorders>
            <w:shd w:val="clear" w:color="FFFFFF" w:fill="auto"/>
            <w:noWrap/>
            <w:vAlign w:val="bottom"/>
          </w:tcPr>
          <w:p w14:paraId="16E62E4A" w14:textId="77777777" w:rsidR="00D27096" w:rsidRPr="008659FE" w:rsidRDefault="00D27096" w:rsidP="00D27096">
            <w:pPr>
              <w:keepNext/>
              <w:spacing w:before="0" w:after="0" w:line="276" w:lineRule="auto"/>
              <w:jc w:val="right"/>
              <w:rPr>
                <w:rFonts w:ascii="Arial" w:hAnsi="Arial"/>
                <w:b/>
                <w:sz w:val="16"/>
                <w:szCs w:val="16"/>
                <w:lang w:val="en-AU"/>
              </w:rPr>
            </w:pPr>
          </w:p>
        </w:tc>
        <w:tc>
          <w:tcPr>
            <w:tcW w:w="1191" w:type="dxa"/>
            <w:tcBorders>
              <w:top w:val="single" w:sz="4" w:space="0" w:color="auto"/>
              <w:left w:val="nil"/>
              <w:bottom w:val="nil"/>
              <w:right w:val="nil"/>
            </w:tcBorders>
            <w:shd w:val="clear" w:color="FFFFFF" w:fill="auto"/>
            <w:noWrap/>
            <w:vAlign w:val="bottom"/>
          </w:tcPr>
          <w:p w14:paraId="178A8B4D" w14:textId="77777777" w:rsidR="00D27096" w:rsidRPr="00353F8D" w:rsidRDefault="00D27096" w:rsidP="00D27096">
            <w:pPr>
              <w:keepNext/>
              <w:spacing w:before="0" w:after="0" w:line="276" w:lineRule="auto"/>
              <w:jc w:val="right"/>
              <w:rPr>
                <w:rFonts w:ascii="Arial" w:hAnsi="Arial"/>
                <w:b/>
                <w:bCs/>
                <w:sz w:val="16"/>
                <w:szCs w:val="16"/>
                <w:lang w:val="en-AU"/>
              </w:rPr>
            </w:pPr>
          </w:p>
        </w:tc>
        <w:tc>
          <w:tcPr>
            <w:tcW w:w="1413" w:type="dxa"/>
            <w:tcBorders>
              <w:top w:val="single" w:sz="4" w:space="0" w:color="auto"/>
              <w:left w:val="nil"/>
              <w:bottom w:val="nil"/>
              <w:right w:val="nil"/>
            </w:tcBorders>
            <w:shd w:val="clear" w:color="auto" w:fill="auto"/>
            <w:noWrap/>
            <w:vAlign w:val="bottom"/>
          </w:tcPr>
          <w:p w14:paraId="390EC836" w14:textId="77777777" w:rsidR="00D27096" w:rsidRPr="009E4B9D" w:rsidRDefault="00D27096" w:rsidP="00D27096">
            <w:pPr>
              <w:spacing w:before="0" w:after="0" w:line="276" w:lineRule="auto"/>
              <w:jc w:val="right"/>
              <w:rPr>
                <w:rFonts w:ascii="Arial" w:hAnsi="Arial"/>
                <w:b/>
                <w:sz w:val="16"/>
                <w:szCs w:val="16"/>
                <w:lang w:eastAsia="en-US"/>
              </w:rPr>
            </w:pPr>
          </w:p>
        </w:tc>
        <w:tc>
          <w:tcPr>
            <w:tcW w:w="1195" w:type="dxa"/>
            <w:tcBorders>
              <w:top w:val="single" w:sz="4" w:space="0" w:color="auto"/>
              <w:left w:val="nil"/>
              <w:bottom w:val="nil"/>
              <w:right w:val="nil"/>
            </w:tcBorders>
            <w:shd w:val="clear" w:color="auto" w:fill="auto"/>
            <w:noWrap/>
            <w:vAlign w:val="bottom"/>
          </w:tcPr>
          <w:p w14:paraId="0723A526" w14:textId="77777777" w:rsidR="00D27096" w:rsidRPr="009E4B9D" w:rsidRDefault="00D27096" w:rsidP="00D27096">
            <w:pPr>
              <w:spacing w:before="0" w:after="0" w:line="276" w:lineRule="auto"/>
              <w:jc w:val="right"/>
              <w:rPr>
                <w:rFonts w:ascii="Arial" w:hAnsi="Arial"/>
                <w:b/>
                <w:sz w:val="16"/>
                <w:szCs w:val="16"/>
                <w:lang w:eastAsia="en-US"/>
              </w:rPr>
            </w:pPr>
          </w:p>
        </w:tc>
      </w:tr>
      <w:tr w:rsidR="00D27096" w:rsidRPr="00BA1388" w14:paraId="27E51661" w14:textId="77777777" w:rsidTr="00261A67">
        <w:trPr>
          <w:trHeight w:val="227"/>
        </w:trPr>
        <w:tc>
          <w:tcPr>
            <w:tcW w:w="3085" w:type="dxa"/>
            <w:tcBorders>
              <w:top w:val="nil"/>
              <w:left w:val="nil"/>
              <w:bottom w:val="nil"/>
              <w:right w:val="nil"/>
            </w:tcBorders>
            <w:shd w:val="clear" w:color="FFFFFF" w:fill="auto"/>
            <w:vAlign w:val="bottom"/>
          </w:tcPr>
          <w:p w14:paraId="3346F1AF" w14:textId="77777777" w:rsidR="00D27096" w:rsidRPr="008659FE" w:rsidRDefault="00D27096" w:rsidP="00D27096">
            <w:pPr>
              <w:spacing w:before="0" w:after="0" w:line="276" w:lineRule="auto"/>
              <w:ind w:left="179"/>
              <w:rPr>
                <w:rFonts w:ascii="Arial" w:hAnsi="Arial"/>
                <w:b/>
                <w:bCs/>
                <w:sz w:val="16"/>
                <w:szCs w:val="16"/>
              </w:rPr>
            </w:pPr>
            <w:r w:rsidRPr="008659FE">
              <w:rPr>
                <w:rFonts w:ascii="Arial" w:hAnsi="Arial"/>
                <w:sz w:val="16"/>
                <w:szCs w:val="16"/>
                <w:lang w:val="en-AU"/>
              </w:rPr>
              <w:t>Lavarack Barracks</w:t>
            </w:r>
          </w:p>
        </w:tc>
        <w:tc>
          <w:tcPr>
            <w:tcW w:w="1790" w:type="dxa"/>
            <w:tcBorders>
              <w:top w:val="nil"/>
              <w:left w:val="nil"/>
              <w:bottom w:val="nil"/>
              <w:right w:val="nil"/>
            </w:tcBorders>
            <w:shd w:val="clear" w:color="FFFFFF" w:fill="auto"/>
            <w:noWrap/>
            <w:vAlign w:val="bottom"/>
          </w:tcPr>
          <w:p w14:paraId="43B28298" w14:textId="77777777" w:rsidR="00D27096" w:rsidRPr="008659FE" w:rsidRDefault="00D27096" w:rsidP="00D27096">
            <w:pPr>
              <w:spacing w:before="0" w:after="0" w:line="276" w:lineRule="auto"/>
              <w:jc w:val="right"/>
              <w:rPr>
                <w:rFonts w:ascii="Arial" w:hAnsi="Arial"/>
                <w:sz w:val="16"/>
                <w:szCs w:val="16"/>
                <w:lang w:val="en-AU"/>
              </w:rPr>
            </w:pPr>
            <w:r w:rsidRPr="008659FE">
              <w:rPr>
                <w:rFonts w:ascii="Arial" w:hAnsi="Arial"/>
                <w:sz w:val="16"/>
                <w:szCs w:val="16"/>
                <w:lang w:val="en-AU"/>
              </w:rPr>
              <w:t>QLD - Herbert</w:t>
            </w:r>
          </w:p>
        </w:tc>
        <w:tc>
          <w:tcPr>
            <w:tcW w:w="1191" w:type="dxa"/>
            <w:tcBorders>
              <w:top w:val="nil"/>
              <w:left w:val="nil"/>
              <w:bottom w:val="nil"/>
              <w:right w:val="nil"/>
            </w:tcBorders>
            <w:shd w:val="clear" w:color="FFFFFF" w:fill="auto"/>
            <w:noWrap/>
            <w:vAlign w:val="bottom"/>
          </w:tcPr>
          <w:p w14:paraId="3248C7A7" w14:textId="77777777" w:rsidR="00D27096" w:rsidRPr="00353F8D" w:rsidRDefault="00D27096" w:rsidP="00D27096">
            <w:pPr>
              <w:spacing w:before="0" w:after="0" w:line="276" w:lineRule="auto"/>
              <w:jc w:val="right"/>
              <w:rPr>
                <w:rFonts w:ascii="Arial" w:hAnsi="Arial"/>
                <w:b/>
                <w:bCs/>
                <w:sz w:val="16"/>
                <w:szCs w:val="16"/>
                <w:lang w:val="en-AU"/>
              </w:rPr>
            </w:pPr>
          </w:p>
        </w:tc>
        <w:tc>
          <w:tcPr>
            <w:tcW w:w="1413" w:type="dxa"/>
            <w:tcBorders>
              <w:top w:val="nil"/>
              <w:left w:val="nil"/>
              <w:bottom w:val="nil"/>
              <w:right w:val="nil"/>
            </w:tcBorders>
            <w:shd w:val="clear" w:color="auto" w:fill="auto"/>
            <w:noWrap/>
            <w:vAlign w:val="bottom"/>
          </w:tcPr>
          <w:p w14:paraId="2D20219E" w14:textId="77777777" w:rsidR="00D27096" w:rsidRPr="009E4B9D" w:rsidRDefault="00D27096" w:rsidP="00D27096">
            <w:pPr>
              <w:spacing w:before="0" w:after="0" w:line="276" w:lineRule="auto"/>
              <w:jc w:val="right"/>
              <w:rPr>
                <w:rFonts w:ascii="Arial" w:hAnsi="Arial"/>
                <w:sz w:val="16"/>
                <w:szCs w:val="16"/>
                <w:lang w:eastAsia="en-US"/>
              </w:rPr>
            </w:pPr>
            <w:r w:rsidRPr="009E4B9D">
              <w:rPr>
                <w:rFonts w:ascii="Arial" w:hAnsi="Arial"/>
                <w:sz w:val="16"/>
                <w:szCs w:val="16"/>
                <w:lang w:eastAsia="en-US"/>
              </w:rPr>
              <w:t>6.9</w:t>
            </w:r>
          </w:p>
        </w:tc>
        <w:tc>
          <w:tcPr>
            <w:tcW w:w="1195" w:type="dxa"/>
            <w:tcBorders>
              <w:top w:val="nil"/>
              <w:left w:val="nil"/>
              <w:bottom w:val="nil"/>
              <w:right w:val="nil"/>
            </w:tcBorders>
            <w:shd w:val="clear" w:color="auto" w:fill="auto"/>
            <w:noWrap/>
            <w:vAlign w:val="bottom"/>
          </w:tcPr>
          <w:p w14:paraId="44B67CF8" w14:textId="77777777" w:rsidR="00D27096" w:rsidRPr="009E4B9D" w:rsidRDefault="00D27096" w:rsidP="00D27096">
            <w:pPr>
              <w:spacing w:before="0" w:after="0" w:line="276" w:lineRule="auto"/>
              <w:jc w:val="right"/>
              <w:rPr>
                <w:rFonts w:ascii="Arial" w:hAnsi="Arial"/>
                <w:sz w:val="16"/>
                <w:szCs w:val="16"/>
                <w:lang w:eastAsia="en-US"/>
              </w:rPr>
            </w:pPr>
            <w:r w:rsidRPr="009E4B9D">
              <w:rPr>
                <w:rFonts w:ascii="Arial" w:hAnsi="Arial"/>
                <w:sz w:val="16"/>
                <w:szCs w:val="16"/>
                <w:lang w:eastAsia="en-US"/>
              </w:rPr>
              <w:t>0.1</w:t>
            </w:r>
          </w:p>
        </w:tc>
      </w:tr>
      <w:tr w:rsidR="00D27096" w:rsidRPr="00BA1388" w14:paraId="424753DE" w14:textId="77777777" w:rsidTr="00261A67">
        <w:trPr>
          <w:trHeight w:val="227"/>
        </w:trPr>
        <w:tc>
          <w:tcPr>
            <w:tcW w:w="3085" w:type="dxa"/>
            <w:tcBorders>
              <w:top w:val="nil"/>
              <w:left w:val="nil"/>
              <w:bottom w:val="nil"/>
              <w:right w:val="nil"/>
            </w:tcBorders>
            <w:shd w:val="clear" w:color="FFFFFF" w:fill="auto"/>
            <w:vAlign w:val="bottom"/>
          </w:tcPr>
          <w:p w14:paraId="1A984A60" w14:textId="77777777" w:rsidR="00D27096" w:rsidRPr="008659FE" w:rsidRDefault="00D27096" w:rsidP="00D27096">
            <w:pPr>
              <w:spacing w:before="0" w:after="0" w:line="276" w:lineRule="auto"/>
              <w:ind w:left="179"/>
              <w:rPr>
                <w:rFonts w:ascii="Arial" w:hAnsi="Arial"/>
                <w:b/>
                <w:bCs/>
                <w:sz w:val="16"/>
                <w:szCs w:val="16"/>
              </w:rPr>
            </w:pPr>
            <w:r w:rsidRPr="008659FE">
              <w:rPr>
                <w:rFonts w:ascii="Arial" w:hAnsi="Arial"/>
                <w:sz w:val="16"/>
                <w:szCs w:val="16"/>
                <w:lang w:val="en-AU"/>
              </w:rPr>
              <w:t>RAAF Amberley</w:t>
            </w:r>
          </w:p>
        </w:tc>
        <w:tc>
          <w:tcPr>
            <w:tcW w:w="1790" w:type="dxa"/>
            <w:tcBorders>
              <w:top w:val="nil"/>
              <w:left w:val="nil"/>
              <w:bottom w:val="nil"/>
              <w:right w:val="nil"/>
            </w:tcBorders>
            <w:shd w:val="clear" w:color="FFFFFF" w:fill="auto"/>
            <w:noWrap/>
            <w:vAlign w:val="bottom"/>
          </w:tcPr>
          <w:p w14:paraId="5F6A151F" w14:textId="77777777" w:rsidR="00D27096" w:rsidRPr="008659FE" w:rsidRDefault="00D27096" w:rsidP="00D27096">
            <w:pPr>
              <w:spacing w:before="0" w:after="0" w:line="276" w:lineRule="auto"/>
              <w:jc w:val="right"/>
              <w:rPr>
                <w:rFonts w:ascii="Arial" w:hAnsi="Arial"/>
                <w:sz w:val="16"/>
                <w:szCs w:val="16"/>
                <w:lang w:val="en-AU"/>
              </w:rPr>
            </w:pPr>
            <w:r w:rsidRPr="008659FE">
              <w:rPr>
                <w:rFonts w:ascii="Arial" w:hAnsi="Arial"/>
                <w:sz w:val="16"/>
                <w:szCs w:val="16"/>
                <w:lang w:val="en-AU"/>
              </w:rPr>
              <w:t>QLD - Blair</w:t>
            </w:r>
          </w:p>
        </w:tc>
        <w:tc>
          <w:tcPr>
            <w:tcW w:w="1191" w:type="dxa"/>
            <w:tcBorders>
              <w:top w:val="nil"/>
              <w:left w:val="nil"/>
              <w:bottom w:val="nil"/>
              <w:right w:val="nil"/>
            </w:tcBorders>
            <w:shd w:val="clear" w:color="FFFFFF" w:fill="auto"/>
            <w:noWrap/>
            <w:vAlign w:val="bottom"/>
          </w:tcPr>
          <w:p w14:paraId="03B934B6" w14:textId="77777777" w:rsidR="00D27096" w:rsidRPr="00353F8D" w:rsidRDefault="00D27096" w:rsidP="00D27096">
            <w:pPr>
              <w:spacing w:before="0" w:after="0" w:line="276" w:lineRule="auto"/>
              <w:jc w:val="right"/>
              <w:rPr>
                <w:rFonts w:ascii="Arial" w:hAnsi="Arial"/>
                <w:b/>
                <w:bCs/>
                <w:sz w:val="16"/>
                <w:szCs w:val="16"/>
                <w:lang w:val="en-AU"/>
              </w:rPr>
            </w:pPr>
          </w:p>
        </w:tc>
        <w:tc>
          <w:tcPr>
            <w:tcW w:w="1413" w:type="dxa"/>
            <w:tcBorders>
              <w:top w:val="nil"/>
              <w:left w:val="nil"/>
              <w:bottom w:val="nil"/>
              <w:right w:val="nil"/>
            </w:tcBorders>
            <w:shd w:val="clear" w:color="auto" w:fill="auto"/>
            <w:noWrap/>
            <w:vAlign w:val="bottom"/>
          </w:tcPr>
          <w:p w14:paraId="7327D38D" w14:textId="77777777" w:rsidR="00D27096" w:rsidRPr="009E4B9D" w:rsidRDefault="00D27096" w:rsidP="00D27096">
            <w:pPr>
              <w:spacing w:before="0" w:after="0" w:line="276" w:lineRule="auto"/>
              <w:jc w:val="right"/>
              <w:rPr>
                <w:rFonts w:ascii="Arial" w:hAnsi="Arial"/>
                <w:sz w:val="16"/>
                <w:szCs w:val="16"/>
                <w:lang w:eastAsia="en-US"/>
              </w:rPr>
            </w:pPr>
            <w:r w:rsidRPr="009E4B9D">
              <w:rPr>
                <w:rFonts w:ascii="Arial" w:hAnsi="Arial"/>
                <w:sz w:val="16"/>
                <w:szCs w:val="16"/>
                <w:lang w:eastAsia="en-US"/>
              </w:rPr>
              <w:t>4.9</w:t>
            </w:r>
          </w:p>
        </w:tc>
        <w:tc>
          <w:tcPr>
            <w:tcW w:w="1195" w:type="dxa"/>
            <w:tcBorders>
              <w:top w:val="nil"/>
              <w:left w:val="nil"/>
              <w:bottom w:val="nil"/>
              <w:right w:val="nil"/>
            </w:tcBorders>
            <w:shd w:val="clear" w:color="auto" w:fill="auto"/>
            <w:noWrap/>
            <w:vAlign w:val="bottom"/>
          </w:tcPr>
          <w:p w14:paraId="59EBB338" w14:textId="77777777" w:rsidR="00D27096" w:rsidRPr="009E4B9D" w:rsidRDefault="00D27096" w:rsidP="00D27096">
            <w:pPr>
              <w:spacing w:before="0" w:after="0" w:line="276" w:lineRule="auto"/>
              <w:jc w:val="right"/>
              <w:rPr>
                <w:rFonts w:ascii="Arial" w:hAnsi="Arial"/>
                <w:sz w:val="16"/>
                <w:szCs w:val="16"/>
                <w:lang w:eastAsia="en-US"/>
              </w:rPr>
            </w:pPr>
            <w:r w:rsidRPr="009E4B9D">
              <w:rPr>
                <w:rFonts w:ascii="Arial" w:hAnsi="Arial"/>
                <w:sz w:val="16"/>
                <w:szCs w:val="16"/>
                <w:lang w:eastAsia="en-US"/>
              </w:rPr>
              <w:t>0.0</w:t>
            </w:r>
          </w:p>
        </w:tc>
      </w:tr>
      <w:tr w:rsidR="00D27096" w:rsidRPr="00BA1388" w14:paraId="2E4D181C" w14:textId="77777777" w:rsidTr="00261A67">
        <w:trPr>
          <w:trHeight w:val="227"/>
        </w:trPr>
        <w:tc>
          <w:tcPr>
            <w:tcW w:w="3085" w:type="dxa"/>
            <w:tcBorders>
              <w:top w:val="nil"/>
              <w:left w:val="nil"/>
              <w:bottom w:val="nil"/>
              <w:right w:val="nil"/>
            </w:tcBorders>
            <w:shd w:val="clear" w:color="FFFFFF" w:fill="auto"/>
            <w:vAlign w:val="bottom"/>
          </w:tcPr>
          <w:p w14:paraId="45695466" w14:textId="77777777" w:rsidR="00D27096" w:rsidRPr="008659FE" w:rsidRDefault="00D27096" w:rsidP="00D27096">
            <w:pPr>
              <w:spacing w:before="0" w:after="0" w:line="276" w:lineRule="auto"/>
              <w:ind w:left="179"/>
              <w:rPr>
                <w:rFonts w:ascii="Arial" w:hAnsi="Arial"/>
                <w:b/>
                <w:bCs/>
                <w:sz w:val="16"/>
                <w:szCs w:val="16"/>
              </w:rPr>
            </w:pPr>
            <w:r w:rsidRPr="008659FE">
              <w:rPr>
                <w:rFonts w:ascii="Arial" w:hAnsi="Arial"/>
                <w:sz w:val="16"/>
                <w:szCs w:val="16"/>
                <w:lang w:val="en-AU"/>
              </w:rPr>
              <w:t>Cowley Beach Training Area</w:t>
            </w:r>
          </w:p>
        </w:tc>
        <w:tc>
          <w:tcPr>
            <w:tcW w:w="1790" w:type="dxa"/>
            <w:tcBorders>
              <w:top w:val="nil"/>
              <w:left w:val="nil"/>
              <w:bottom w:val="nil"/>
              <w:right w:val="nil"/>
            </w:tcBorders>
            <w:shd w:val="clear" w:color="FFFFFF" w:fill="auto"/>
            <w:noWrap/>
            <w:vAlign w:val="bottom"/>
          </w:tcPr>
          <w:p w14:paraId="74D7A458" w14:textId="77777777" w:rsidR="00D27096" w:rsidRPr="008659FE" w:rsidRDefault="00D27096" w:rsidP="00D27096">
            <w:pPr>
              <w:spacing w:before="0" w:after="0" w:line="276" w:lineRule="auto"/>
              <w:jc w:val="right"/>
              <w:rPr>
                <w:rFonts w:ascii="Arial" w:hAnsi="Arial"/>
                <w:sz w:val="16"/>
                <w:szCs w:val="16"/>
                <w:lang w:val="en-AU"/>
              </w:rPr>
            </w:pPr>
            <w:r w:rsidRPr="008659FE">
              <w:rPr>
                <w:rFonts w:ascii="Arial" w:hAnsi="Arial"/>
                <w:sz w:val="16"/>
                <w:szCs w:val="16"/>
                <w:lang w:val="en-AU"/>
              </w:rPr>
              <w:t>QLD - Kennedy</w:t>
            </w:r>
          </w:p>
        </w:tc>
        <w:tc>
          <w:tcPr>
            <w:tcW w:w="1191" w:type="dxa"/>
            <w:tcBorders>
              <w:top w:val="nil"/>
              <w:left w:val="nil"/>
              <w:bottom w:val="nil"/>
              <w:right w:val="nil"/>
            </w:tcBorders>
            <w:shd w:val="clear" w:color="FFFFFF" w:fill="auto"/>
            <w:noWrap/>
            <w:vAlign w:val="bottom"/>
          </w:tcPr>
          <w:p w14:paraId="0FC8B543" w14:textId="77777777" w:rsidR="00D27096" w:rsidRPr="00353F8D" w:rsidRDefault="00D27096" w:rsidP="00D27096">
            <w:pPr>
              <w:spacing w:before="0" w:after="0" w:line="276" w:lineRule="auto"/>
              <w:jc w:val="right"/>
              <w:rPr>
                <w:rFonts w:ascii="Arial" w:hAnsi="Arial"/>
                <w:b/>
                <w:bCs/>
                <w:sz w:val="16"/>
                <w:szCs w:val="16"/>
                <w:lang w:val="en-AU"/>
              </w:rPr>
            </w:pPr>
          </w:p>
        </w:tc>
        <w:tc>
          <w:tcPr>
            <w:tcW w:w="1413" w:type="dxa"/>
            <w:tcBorders>
              <w:top w:val="nil"/>
              <w:left w:val="nil"/>
              <w:bottom w:val="nil"/>
              <w:right w:val="nil"/>
            </w:tcBorders>
            <w:shd w:val="clear" w:color="auto" w:fill="auto"/>
            <w:noWrap/>
            <w:vAlign w:val="bottom"/>
          </w:tcPr>
          <w:p w14:paraId="21DE9765" w14:textId="77777777" w:rsidR="00D27096" w:rsidRPr="009E4B9D" w:rsidRDefault="00D27096" w:rsidP="00D27096">
            <w:pPr>
              <w:spacing w:before="0" w:after="0" w:line="276" w:lineRule="auto"/>
              <w:jc w:val="right"/>
              <w:rPr>
                <w:rFonts w:ascii="Arial" w:hAnsi="Arial"/>
                <w:sz w:val="16"/>
                <w:szCs w:val="16"/>
                <w:lang w:eastAsia="en-US"/>
              </w:rPr>
            </w:pPr>
            <w:r w:rsidRPr="009E4B9D">
              <w:rPr>
                <w:rFonts w:ascii="Arial" w:hAnsi="Arial"/>
                <w:sz w:val="16"/>
                <w:szCs w:val="16"/>
                <w:lang w:eastAsia="en-US"/>
              </w:rPr>
              <w:t>1.5</w:t>
            </w:r>
          </w:p>
        </w:tc>
        <w:tc>
          <w:tcPr>
            <w:tcW w:w="1195" w:type="dxa"/>
            <w:tcBorders>
              <w:top w:val="nil"/>
              <w:left w:val="nil"/>
              <w:bottom w:val="nil"/>
              <w:right w:val="nil"/>
            </w:tcBorders>
            <w:shd w:val="clear" w:color="auto" w:fill="auto"/>
            <w:noWrap/>
            <w:vAlign w:val="bottom"/>
          </w:tcPr>
          <w:p w14:paraId="7362BF2D" w14:textId="77777777" w:rsidR="00D27096" w:rsidRPr="009E4B9D" w:rsidRDefault="00D27096" w:rsidP="00D27096">
            <w:pPr>
              <w:spacing w:before="0" w:after="0" w:line="276" w:lineRule="auto"/>
              <w:jc w:val="right"/>
              <w:rPr>
                <w:rFonts w:ascii="Arial" w:hAnsi="Arial"/>
                <w:sz w:val="16"/>
                <w:szCs w:val="16"/>
                <w:lang w:eastAsia="en-US"/>
              </w:rPr>
            </w:pPr>
            <w:r w:rsidRPr="009E4B9D">
              <w:rPr>
                <w:rFonts w:ascii="Arial" w:hAnsi="Arial"/>
                <w:sz w:val="16"/>
                <w:szCs w:val="16"/>
                <w:lang w:eastAsia="en-US"/>
              </w:rPr>
              <w:t>0.0</w:t>
            </w:r>
          </w:p>
        </w:tc>
      </w:tr>
      <w:tr w:rsidR="00D27096" w:rsidRPr="00BA1388" w14:paraId="5B0E8E75" w14:textId="77777777" w:rsidTr="00261A67">
        <w:trPr>
          <w:trHeight w:val="227"/>
        </w:trPr>
        <w:tc>
          <w:tcPr>
            <w:tcW w:w="3085" w:type="dxa"/>
            <w:tcBorders>
              <w:top w:val="nil"/>
              <w:left w:val="nil"/>
              <w:bottom w:val="nil"/>
              <w:right w:val="nil"/>
            </w:tcBorders>
            <w:shd w:val="clear" w:color="FFFFFF" w:fill="auto"/>
            <w:vAlign w:val="bottom"/>
          </w:tcPr>
          <w:p w14:paraId="5EA2C043" w14:textId="77777777" w:rsidR="00D27096" w:rsidRPr="008659FE" w:rsidRDefault="00D27096" w:rsidP="00D27096">
            <w:pPr>
              <w:spacing w:before="0" w:after="0" w:line="276" w:lineRule="auto"/>
              <w:ind w:left="179"/>
              <w:rPr>
                <w:rFonts w:ascii="Arial" w:hAnsi="Arial"/>
                <w:b/>
                <w:bCs/>
                <w:sz w:val="16"/>
                <w:szCs w:val="16"/>
              </w:rPr>
            </w:pPr>
            <w:r w:rsidRPr="008659FE">
              <w:rPr>
                <w:rFonts w:ascii="Arial" w:hAnsi="Arial"/>
                <w:sz w:val="16"/>
                <w:szCs w:val="16"/>
                <w:lang w:val="en-AU"/>
              </w:rPr>
              <w:t>Greenbank Training Area</w:t>
            </w:r>
          </w:p>
        </w:tc>
        <w:tc>
          <w:tcPr>
            <w:tcW w:w="1790" w:type="dxa"/>
            <w:tcBorders>
              <w:top w:val="nil"/>
              <w:left w:val="nil"/>
              <w:bottom w:val="nil"/>
              <w:right w:val="nil"/>
            </w:tcBorders>
            <w:shd w:val="clear" w:color="FFFFFF" w:fill="auto"/>
            <w:noWrap/>
            <w:vAlign w:val="bottom"/>
          </w:tcPr>
          <w:p w14:paraId="24B6BF3B" w14:textId="77777777" w:rsidR="00D27096" w:rsidRPr="008659FE" w:rsidRDefault="00D27096" w:rsidP="00D27096">
            <w:pPr>
              <w:spacing w:before="0" w:after="0" w:line="276" w:lineRule="auto"/>
              <w:jc w:val="right"/>
              <w:rPr>
                <w:rFonts w:ascii="Arial" w:hAnsi="Arial"/>
                <w:sz w:val="16"/>
                <w:szCs w:val="16"/>
                <w:lang w:val="en-AU"/>
              </w:rPr>
            </w:pPr>
            <w:r w:rsidRPr="008659FE">
              <w:rPr>
                <w:rFonts w:ascii="Arial" w:hAnsi="Arial"/>
                <w:sz w:val="16"/>
                <w:szCs w:val="16"/>
                <w:lang w:val="en-AU"/>
              </w:rPr>
              <w:t>QLD - Wright</w:t>
            </w:r>
          </w:p>
        </w:tc>
        <w:tc>
          <w:tcPr>
            <w:tcW w:w="1191" w:type="dxa"/>
            <w:tcBorders>
              <w:top w:val="nil"/>
              <w:left w:val="nil"/>
              <w:bottom w:val="nil"/>
              <w:right w:val="nil"/>
            </w:tcBorders>
            <w:shd w:val="clear" w:color="FFFFFF" w:fill="auto"/>
            <w:noWrap/>
            <w:vAlign w:val="bottom"/>
          </w:tcPr>
          <w:p w14:paraId="11D2FBB3" w14:textId="77777777" w:rsidR="00D27096" w:rsidRPr="00353F8D" w:rsidRDefault="00D27096" w:rsidP="00D27096">
            <w:pPr>
              <w:spacing w:before="0" w:after="0" w:line="276" w:lineRule="auto"/>
              <w:jc w:val="right"/>
              <w:rPr>
                <w:rFonts w:ascii="Arial" w:hAnsi="Arial"/>
                <w:b/>
                <w:bCs/>
                <w:sz w:val="16"/>
                <w:szCs w:val="16"/>
                <w:lang w:val="en-AU"/>
              </w:rPr>
            </w:pPr>
          </w:p>
        </w:tc>
        <w:tc>
          <w:tcPr>
            <w:tcW w:w="1413" w:type="dxa"/>
            <w:tcBorders>
              <w:top w:val="nil"/>
              <w:left w:val="nil"/>
              <w:bottom w:val="nil"/>
              <w:right w:val="nil"/>
            </w:tcBorders>
            <w:shd w:val="clear" w:color="auto" w:fill="auto"/>
            <w:noWrap/>
            <w:vAlign w:val="bottom"/>
          </w:tcPr>
          <w:p w14:paraId="660EBD85" w14:textId="77777777" w:rsidR="00D27096" w:rsidRPr="009E4B9D" w:rsidRDefault="00D27096" w:rsidP="00D27096">
            <w:pPr>
              <w:spacing w:before="0" w:after="0" w:line="276" w:lineRule="auto"/>
              <w:jc w:val="right"/>
              <w:rPr>
                <w:rFonts w:ascii="Arial" w:hAnsi="Arial"/>
                <w:sz w:val="16"/>
                <w:szCs w:val="16"/>
                <w:lang w:eastAsia="en-US"/>
              </w:rPr>
            </w:pPr>
            <w:r w:rsidRPr="009E4B9D">
              <w:rPr>
                <w:rFonts w:ascii="Arial" w:hAnsi="Arial"/>
                <w:sz w:val="16"/>
                <w:szCs w:val="16"/>
                <w:lang w:eastAsia="en-US"/>
              </w:rPr>
              <w:t>0.2</w:t>
            </w:r>
          </w:p>
        </w:tc>
        <w:tc>
          <w:tcPr>
            <w:tcW w:w="1195" w:type="dxa"/>
            <w:tcBorders>
              <w:top w:val="nil"/>
              <w:left w:val="nil"/>
              <w:bottom w:val="nil"/>
              <w:right w:val="nil"/>
            </w:tcBorders>
            <w:shd w:val="clear" w:color="auto" w:fill="auto"/>
            <w:noWrap/>
            <w:vAlign w:val="bottom"/>
          </w:tcPr>
          <w:p w14:paraId="5E8979B2" w14:textId="77777777" w:rsidR="00D27096" w:rsidRPr="009E4B9D" w:rsidRDefault="00D27096" w:rsidP="00D27096">
            <w:pPr>
              <w:spacing w:before="0" w:after="0" w:line="276" w:lineRule="auto"/>
              <w:jc w:val="right"/>
              <w:rPr>
                <w:rFonts w:ascii="Arial" w:hAnsi="Arial"/>
                <w:sz w:val="16"/>
                <w:szCs w:val="16"/>
                <w:lang w:eastAsia="en-US"/>
              </w:rPr>
            </w:pPr>
            <w:r w:rsidRPr="009E4B9D">
              <w:rPr>
                <w:rFonts w:ascii="Arial" w:hAnsi="Arial"/>
                <w:sz w:val="16"/>
                <w:szCs w:val="16"/>
                <w:lang w:eastAsia="en-US"/>
              </w:rPr>
              <w:t>0.0</w:t>
            </w:r>
          </w:p>
        </w:tc>
      </w:tr>
      <w:tr w:rsidR="00D27096" w:rsidRPr="00BA1388" w14:paraId="6E1CCEEB" w14:textId="77777777" w:rsidTr="00D27096">
        <w:trPr>
          <w:trHeight w:val="227"/>
        </w:trPr>
        <w:tc>
          <w:tcPr>
            <w:tcW w:w="3085" w:type="dxa"/>
            <w:tcBorders>
              <w:top w:val="nil"/>
              <w:left w:val="nil"/>
              <w:bottom w:val="nil"/>
              <w:right w:val="nil"/>
            </w:tcBorders>
            <w:shd w:val="clear" w:color="FFFFFF" w:fill="auto"/>
            <w:vAlign w:val="bottom"/>
          </w:tcPr>
          <w:p w14:paraId="587C14D1" w14:textId="77777777" w:rsidR="00D27096" w:rsidRPr="008659FE" w:rsidRDefault="00D27096" w:rsidP="00D27096">
            <w:pPr>
              <w:spacing w:before="0" w:after="0" w:line="276" w:lineRule="auto"/>
              <w:ind w:left="179"/>
              <w:rPr>
                <w:rFonts w:ascii="Arial" w:hAnsi="Arial"/>
                <w:sz w:val="16"/>
                <w:szCs w:val="16"/>
                <w:lang w:val="en-AU"/>
              </w:rPr>
            </w:pPr>
            <w:r w:rsidRPr="008659FE">
              <w:rPr>
                <w:rFonts w:ascii="Arial" w:hAnsi="Arial"/>
                <w:sz w:val="16"/>
                <w:szCs w:val="16"/>
                <w:lang w:val="en-AU"/>
              </w:rPr>
              <w:t>Townsville Field Training Area</w:t>
            </w:r>
          </w:p>
        </w:tc>
        <w:tc>
          <w:tcPr>
            <w:tcW w:w="1790" w:type="dxa"/>
            <w:tcBorders>
              <w:top w:val="nil"/>
              <w:left w:val="nil"/>
              <w:bottom w:val="nil"/>
              <w:right w:val="nil"/>
            </w:tcBorders>
            <w:shd w:val="clear" w:color="FFFFFF" w:fill="auto"/>
            <w:noWrap/>
            <w:vAlign w:val="bottom"/>
          </w:tcPr>
          <w:p w14:paraId="2B376880" w14:textId="77777777" w:rsidR="00D27096" w:rsidRPr="008659FE" w:rsidRDefault="00D27096" w:rsidP="00D27096">
            <w:pPr>
              <w:spacing w:before="0" w:after="0" w:line="276" w:lineRule="auto"/>
              <w:jc w:val="right"/>
              <w:rPr>
                <w:rFonts w:ascii="Arial" w:hAnsi="Arial"/>
                <w:sz w:val="16"/>
                <w:szCs w:val="16"/>
                <w:lang w:val="en-AU"/>
              </w:rPr>
            </w:pPr>
            <w:r w:rsidRPr="008659FE">
              <w:rPr>
                <w:rFonts w:ascii="Arial" w:hAnsi="Arial"/>
                <w:sz w:val="16"/>
                <w:szCs w:val="16"/>
                <w:lang w:val="en-AU"/>
              </w:rPr>
              <w:t>QLD - Kennedy</w:t>
            </w:r>
          </w:p>
        </w:tc>
        <w:tc>
          <w:tcPr>
            <w:tcW w:w="1191" w:type="dxa"/>
            <w:tcBorders>
              <w:top w:val="nil"/>
              <w:left w:val="nil"/>
              <w:bottom w:val="nil"/>
              <w:right w:val="nil"/>
            </w:tcBorders>
            <w:shd w:val="clear" w:color="FFFFFF" w:fill="auto"/>
            <w:noWrap/>
            <w:vAlign w:val="bottom"/>
          </w:tcPr>
          <w:p w14:paraId="07B0B06C" w14:textId="77777777" w:rsidR="00D27096" w:rsidRPr="00353F8D" w:rsidRDefault="00D27096" w:rsidP="00D27096">
            <w:pPr>
              <w:spacing w:before="0" w:after="0" w:line="276" w:lineRule="auto"/>
              <w:jc w:val="right"/>
              <w:rPr>
                <w:rFonts w:ascii="Arial" w:hAnsi="Arial"/>
                <w:b/>
                <w:bCs/>
                <w:sz w:val="16"/>
                <w:szCs w:val="16"/>
                <w:lang w:val="en-AU"/>
              </w:rPr>
            </w:pPr>
          </w:p>
        </w:tc>
        <w:tc>
          <w:tcPr>
            <w:tcW w:w="1413" w:type="dxa"/>
            <w:tcBorders>
              <w:top w:val="nil"/>
              <w:left w:val="nil"/>
              <w:bottom w:val="nil"/>
              <w:right w:val="nil"/>
            </w:tcBorders>
            <w:shd w:val="clear" w:color="auto" w:fill="auto"/>
            <w:noWrap/>
            <w:vAlign w:val="bottom"/>
          </w:tcPr>
          <w:p w14:paraId="206CE25F" w14:textId="77777777" w:rsidR="00D27096" w:rsidRPr="009E4B9D" w:rsidRDefault="00D27096" w:rsidP="00D27096">
            <w:pPr>
              <w:spacing w:before="0" w:after="0" w:line="276" w:lineRule="auto"/>
              <w:jc w:val="right"/>
              <w:rPr>
                <w:rFonts w:ascii="Arial" w:hAnsi="Arial"/>
                <w:sz w:val="16"/>
                <w:szCs w:val="16"/>
                <w:lang w:eastAsia="en-US"/>
              </w:rPr>
            </w:pPr>
            <w:r w:rsidRPr="009E4B9D">
              <w:rPr>
                <w:rFonts w:ascii="Arial" w:hAnsi="Arial"/>
                <w:sz w:val="16"/>
                <w:szCs w:val="16"/>
                <w:lang w:eastAsia="en-US"/>
              </w:rPr>
              <w:t>0.7</w:t>
            </w:r>
          </w:p>
        </w:tc>
        <w:tc>
          <w:tcPr>
            <w:tcW w:w="1195" w:type="dxa"/>
            <w:tcBorders>
              <w:top w:val="nil"/>
              <w:left w:val="nil"/>
              <w:bottom w:val="nil"/>
              <w:right w:val="nil"/>
            </w:tcBorders>
            <w:shd w:val="clear" w:color="auto" w:fill="auto"/>
            <w:noWrap/>
            <w:vAlign w:val="bottom"/>
          </w:tcPr>
          <w:p w14:paraId="0C3526C3" w14:textId="77777777" w:rsidR="00D27096" w:rsidRPr="009E4B9D" w:rsidRDefault="00D27096" w:rsidP="00D27096">
            <w:pPr>
              <w:spacing w:before="0" w:after="0" w:line="276" w:lineRule="auto"/>
              <w:jc w:val="right"/>
              <w:rPr>
                <w:rFonts w:ascii="Arial" w:hAnsi="Arial"/>
                <w:sz w:val="16"/>
                <w:szCs w:val="16"/>
                <w:lang w:eastAsia="en-US"/>
              </w:rPr>
            </w:pPr>
            <w:r w:rsidRPr="009E4B9D">
              <w:rPr>
                <w:rFonts w:ascii="Arial" w:hAnsi="Arial"/>
                <w:sz w:val="16"/>
                <w:szCs w:val="16"/>
                <w:lang w:eastAsia="en-US"/>
              </w:rPr>
              <w:t>0.0</w:t>
            </w:r>
          </w:p>
        </w:tc>
      </w:tr>
      <w:tr w:rsidR="00D27096" w:rsidRPr="00BA1388" w14:paraId="5A034C00" w14:textId="77777777" w:rsidTr="00D27096">
        <w:trPr>
          <w:trHeight w:val="227"/>
        </w:trPr>
        <w:tc>
          <w:tcPr>
            <w:tcW w:w="3085" w:type="dxa"/>
            <w:tcBorders>
              <w:top w:val="nil"/>
              <w:left w:val="nil"/>
              <w:bottom w:val="single" w:sz="4" w:space="0" w:color="auto"/>
              <w:right w:val="nil"/>
            </w:tcBorders>
            <w:shd w:val="clear" w:color="FFFFFF" w:fill="auto"/>
            <w:vAlign w:val="bottom"/>
          </w:tcPr>
          <w:p w14:paraId="623B0388" w14:textId="77777777" w:rsidR="00D27096" w:rsidRPr="008659FE" w:rsidRDefault="00D27096" w:rsidP="00D27096">
            <w:pPr>
              <w:keepNext/>
              <w:keepLines/>
              <w:spacing w:before="0" w:after="0" w:line="276" w:lineRule="auto"/>
              <w:rPr>
                <w:rFonts w:ascii="Arial" w:hAnsi="Arial"/>
                <w:b/>
                <w:bCs/>
                <w:sz w:val="16"/>
                <w:szCs w:val="16"/>
              </w:rPr>
            </w:pPr>
            <w:r w:rsidRPr="008659FE">
              <w:rPr>
                <w:rFonts w:ascii="Arial" w:hAnsi="Arial"/>
                <w:b/>
                <w:sz w:val="16"/>
                <w:szCs w:val="16"/>
                <w:lang w:val="en-AU"/>
              </w:rPr>
              <w:t>Total</w:t>
            </w:r>
          </w:p>
        </w:tc>
        <w:tc>
          <w:tcPr>
            <w:tcW w:w="1790" w:type="dxa"/>
            <w:tcBorders>
              <w:top w:val="nil"/>
              <w:left w:val="nil"/>
              <w:bottom w:val="single" w:sz="4" w:space="0" w:color="auto"/>
              <w:right w:val="nil"/>
            </w:tcBorders>
            <w:shd w:val="clear" w:color="FFFFFF" w:fill="auto"/>
            <w:noWrap/>
            <w:vAlign w:val="bottom"/>
          </w:tcPr>
          <w:p w14:paraId="0D03637B" w14:textId="77777777" w:rsidR="00D27096" w:rsidRPr="008659FE" w:rsidRDefault="00D27096" w:rsidP="00D27096">
            <w:pPr>
              <w:spacing w:before="0" w:after="0" w:line="276" w:lineRule="auto"/>
              <w:jc w:val="right"/>
              <w:rPr>
                <w:rFonts w:ascii="Arial" w:hAnsi="Arial"/>
                <w:sz w:val="16"/>
                <w:szCs w:val="16"/>
                <w:lang w:val="en-AU"/>
              </w:rPr>
            </w:pPr>
          </w:p>
        </w:tc>
        <w:tc>
          <w:tcPr>
            <w:tcW w:w="1191" w:type="dxa"/>
            <w:tcBorders>
              <w:top w:val="nil"/>
              <w:left w:val="nil"/>
              <w:bottom w:val="single" w:sz="4" w:space="0" w:color="auto"/>
              <w:right w:val="nil"/>
            </w:tcBorders>
            <w:shd w:val="clear" w:color="FFFFFF" w:fill="auto"/>
            <w:noWrap/>
            <w:vAlign w:val="bottom"/>
          </w:tcPr>
          <w:p w14:paraId="560C2ED0" w14:textId="77777777" w:rsidR="00D27096" w:rsidRPr="00353F8D" w:rsidRDefault="00D27096" w:rsidP="00D27096">
            <w:pPr>
              <w:spacing w:before="0" w:after="0" w:line="276" w:lineRule="auto"/>
              <w:jc w:val="right"/>
              <w:rPr>
                <w:rFonts w:ascii="Arial" w:hAnsi="Arial"/>
                <w:b/>
                <w:bCs/>
                <w:sz w:val="16"/>
                <w:szCs w:val="16"/>
                <w:lang w:val="en-AU"/>
              </w:rPr>
            </w:pPr>
            <w:r w:rsidRPr="00353F8D">
              <w:rPr>
                <w:rFonts w:ascii="Arial" w:hAnsi="Arial"/>
                <w:b/>
                <w:bCs/>
                <w:sz w:val="16"/>
                <w:szCs w:val="16"/>
                <w:lang w:val="en-AU"/>
              </w:rPr>
              <w:t>15.0</w:t>
            </w:r>
          </w:p>
        </w:tc>
        <w:tc>
          <w:tcPr>
            <w:tcW w:w="1413" w:type="dxa"/>
            <w:tcBorders>
              <w:top w:val="nil"/>
              <w:left w:val="nil"/>
              <w:bottom w:val="single" w:sz="4" w:space="0" w:color="auto"/>
              <w:right w:val="nil"/>
            </w:tcBorders>
            <w:shd w:val="clear" w:color="auto" w:fill="auto"/>
            <w:noWrap/>
            <w:vAlign w:val="bottom"/>
          </w:tcPr>
          <w:p w14:paraId="2C6CC631" w14:textId="77777777" w:rsidR="00D27096" w:rsidRPr="009E4B9D" w:rsidRDefault="00D27096" w:rsidP="00D27096">
            <w:pPr>
              <w:spacing w:before="0" w:after="0" w:line="276" w:lineRule="auto"/>
              <w:jc w:val="right"/>
              <w:rPr>
                <w:rFonts w:ascii="Arial" w:hAnsi="Arial"/>
                <w:b/>
                <w:sz w:val="16"/>
                <w:szCs w:val="16"/>
                <w:lang w:eastAsia="en-US"/>
              </w:rPr>
            </w:pPr>
            <w:r w:rsidRPr="009E4B9D">
              <w:rPr>
                <w:rFonts w:ascii="Arial" w:hAnsi="Arial"/>
                <w:b/>
                <w:sz w:val="16"/>
                <w:szCs w:val="16"/>
                <w:lang w:eastAsia="en-US"/>
              </w:rPr>
              <w:t>14.2</w:t>
            </w:r>
          </w:p>
        </w:tc>
        <w:tc>
          <w:tcPr>
            <w:tcW w:w="1195" w:type="dxa"/>
            <w:tcBorders>
              <w:top w:val="nil"/>
              <w:left w:val="nil"/>
              <w:bottom w:val="single" w:sz="4" w:space="0" w:color="auto"/>
              <w:right w:val="nil"/>
            </w:tcBorders>
            <w:shd w:val="clear" w:color="auto" w:fill="auto"/>
            <w:noWrap/>
            <w:vAlign w:val="bottom"/>
          </w:tcPr>
          <w:p w14:paraId="63FC1D77" w14:textId="77777777" w:rsidR="00D27096" w:rsidRPr="009E4B9D" w:rsidRDefault="00D27096" w:rsidP="00D27096">
            <w:pPr>
              <w:spacing w:before="0" w:after="0" w:line="276" w:lineRule="auto"/>
              <w:jc w:val="right"/>
              <w:rPr>
                <w:rFonts w:ascii="Arial" w:hAnsi="Arial"/>
                <w:b/>
                <w:sz w:val="16"/>
                <w:szCs w:val="16"/>
                <w:lang w:eastAsia="en-US"/>
              </w:rPr>
            </w:pPr>
            <w:r w:rsidRPr="009E4B9D">
              <w:rPr>
                <w:rFonts w:ascii="Arial" w:hAnsi="Arial"/>
                <w:b/>
                <w:sz w:val="16"/>
                <w:szCs w:val="16"/>
                <w:lang w:eastAsia="en-US"/>
              </w:rPr>
              <w:t>0.1</w:t>
            </w:r>
          </w:p>
        </w:tc>
      </w:tr>
      <w:tr w:rsidR="00D27096" w:rsidRPr="00BA1388" w14:paraId="709BCB16" w14:textId="77777777" w:rsidTr="00D27096">
        <w:trPr>
          <w:trHeight w:val="227"/>
        </w:trPr>
        <w:tc>
          <w:tcPr>
            <w:tcW w:w="3085" w:type="dxa"/>
            <w:tcBorders>
              <w:top w:val="single" w:sz="4" w:space="0" w:color="auto"/>
              <w:left w:val="nil"/>
              <w:bottom w:val="nil"/>
              <w:right w:val="nil"/>
            </w:tcBorders>
            <w:shd w:val="clear" w:color="FFFFFF" w:fill="auto"/>
            <w:vAlign w:val="bottom"/>
          </w:tcPr>
          <w:p w14:paraId="4B8779CF" w14:textId="77777777" w:rsidR="00D27096" w:rsidRPr="008659FE" w:rsidRDefault="00D27096" w:rsidP="00D27096">
            <w:pPr>
              <w:spacing w:before="0" w:after="0" w:line="276" w:lineRule="auto"/>
              <w:rPr>
                <w:rFonts w:ascii="Arial" w:hAnsi="Arial"/>
                <w:sz w:val="16"/>
                <w:szCs w:val="16"/>
                <w:lang w:val="en-AU"/>
              </w:rPr>
            </w:pPr>
            <w:r w:rsidRPr="008659FE">
              <w:rPr>
                <w:rFonts w:ascii="Arial" w:hAnsi="Arial"/>
                <w:b/>
                <w:bCs/>
                <w:sz w:val="16"/>
                <w:szCs w:val="16"/>
                <w:lang w:val="en-AU"/>
              </w:rPr>
              <w:t>RAAF Base Pearce Additional Flight Training Device</w:t>
            </w:r>
          </w:p>
        </w:tc>
        <w:tc>
          <w:tcPr>
            <w:tcW w:w="1790" w:type="dxa"/>
            <w:tcBorders>
              <w:top w:val="single" w:sz="4" w:space="0" w:color="auto"/>
              <w:left w:val="nil"/>
              <w:bottom w:val="nil"/>
              <w:right w:val="nil"/>
            </w:tcBorders>
            <w:shd w:val="clear" w:color="FFFFFF" w:fill="auto"/>
            <w:noWrap/>
            <w:vAlign w:val="bottom"/>
          </w:tcPr>
          <w:p w14:paraId="2758E3ED" w14:textId="77777777" w:rsidR="00D27096" w:rsidRPr="008659FE" w:rsidRDefault="00D27096" w:rsidP="00D27096">
            <w:pPr>
              <w:spacing w:before="0" w:after="0" w:line="276" w:lineRule="auto"/>
              <w:jc w:val="right"/>
              <w:rPr>
                <w:rFonts w:ascii="Arial" w:hAnsi="Arial"/>
                <w:sz w:val="16"/>
                <w:szCs w:val="16"/>
                <w:lang w:val="en-AU"/>
              </w:rPr>
            </w:pPr>
          </w:p>
        </w:tc>
        <w:tc>
          <w:tcPr>
            <w:tcW w:w="1191" w:type="dxa"/>
            <w:tcBorders>
              <w:top w:val="single" w:sz="4" w:space="0" w:color="auto"/>
              <w:left w:val="nil"/>
              <w:bottom w:val="nil"/>
              <w:right w:val="nil"/>
            </w:tcBorders>
            <w:shd w:val="clear" w:color="FFFFFF" w:fill="auto"/>
            <w:noWrap/>
            <w:vAlign w:val="bottom"/>
          </w:tcPr>
          <w:p w14:paraId="182CB9E4" w14:textId="77777777" w:rsidR="00D27096" w:rsidRPr="00353F8D" w:rsidRDefault="00D27096" w:rsidP="00D27096">
            <w:pPr>
              <w:spacing w:before="0" w:after="0" w:line="276" w:lineRule="auto"/>
              <w:jc w:val="right"/>
              <w:rPr>
                <w:rFonts w:ascii="Arial" w:hAnsi="Arial"/>
                <w:b/>
                <w:bCs/>
                <w:sz w:val="16"/>
                <w:szCs w:val="16"/>
                <w:lang w:val="en-AU"/>
              </w:rPr>
            </w:pPr>
          </w:p>
        </w:tc>
        <w:tc>
          <w:tcPr>
            <w:tcW w:w="1413" w:type="dxa"/>
            <w:tcBorders>
              <w:top w:val="single" w:sz="4" w:space="0" w:color="auto"/>
              <w:left w:val="nil"/>
              <w:bottom w:val="nil"/>
              <w:right w:val="nil"/>
            </w:tcBorders>
            <w:shd w:val="clear" w:color="auto" w:fill="auto"/>
            <w:noWrap/>
            <w:vAlign w:val="bottom"/>
          </w:tcPr>
          <w:p w14:paraId="06E41B8D" w14:textId="77777777" w:rsidR="00D27096" w:rsidRPr="009E4B9D" w:rsidRDefault="00D27096" w:rsidP="00D27096">
            <w:pPr>
              <w:spacing w:before="0" w:after="0" w:line="276" w:lineRule="auto"/>
              <w:jc w:val="right"/>
              <w:rPr>
                <w:rFonts w:ascii="Arial" w:hAnsi="Arial"/>
                <w:b/>
                <w:sz w:val="16"/>
                <w:szCs w:val="16"/>
                <w:lang w:eastAsia="en-US"/>
              </w:rPr>
            </w:pPr>
          </w:p>
        </w:tc>
        <w:tc>
          <w:tcPr>
            <w:tcW w:w="1195" w:type="dxa"/>
            <w:tcBorders>
              <w:top w:val="single" w:sz="4" w:space="0" w:color="auto"/>
              <w:left w:val="nil"/>
              <w:bottom w:val="nil"/>
              <w:right w:val="nil"/>
            </w:tcBorders>
            <w:shd w:val="clear" w:color="auto" w:fill="auto"/>
            <w:noWrap/>
            <w:vAlign w:val="bottom"/>
          </w:tcPr>
          <w:p w14:paraId="78019AC7" w14:textId="77777777" w:rsidR="00D27096" w:rsidRPr="009E4B9D" w:rsidRDefault="00D27096" w:rsidP="00D27096">
            <w:pPr>
              <w:spacing w:before="0" w:after="0" w:line="276" w:lineRule="auto"/>
              <w:jc w:val="right"/>
              <w:rPr>
                <w:rFonts w:ascii="Arial" w:hAnsi="Arial"/>
                <w:b/>
                <w:sz w:val="16"/>
                <w:szCs w:val="16"/>
                <w:lang w:eastAsia="en-US"/>
              </w:rPr>
            </w:pPr>
          </w:p>
        </w:tc>
      </w:tr>
      <w:tr w:rsidR="00D27096" w:rsidRPr="00BA1388" w14:paraId="22D49085" w14:textId="77777777" w:rsidTr="00D27096">
        <w:trPr>
          <w:trHeight w:val="227"/>
        </w:trPr>
        <w:tc>
          <w:tcPr>
            <w:tcW w:w="3085" w:type="dxa"/>
            <w:tcBorders>
              <w:top w:val="nil"/>
              <w:left w:val="nil"/>
              <w:bottom w:val="single" w:sz="4" w:space="0" w:color="auto"/>
              <w:right w:val="nil"/>
            </w:tcBorders>
            <w:shd w:val="clear" w:color="FFFFFF" w:fill="auto"/>
            <w:vAlign w:val="bottom"/>
          </w:tcPr>
          <w:p w14:paraId="23CB0281" w14:textId="77777777" w:rsidR="00D27096" w:rsidRPr="008659FE" w:rsidRDefault="00D27096" w:rsidP="00D27096">
            <w:pPr>
              <w:keepNext/>
              <w:keepLines/>
              <w:spacing w:before="0" w:after="0" w:line="276" w:lineRule="auto"/>
              <w:ind w:left="179"/>
              <w:rPr>
                <w:rFonts w:ascii="Arial" w:hAnsi="Arial"/>
                <w:bCs/>
                <w:sz w:val="16"/>
                <w:szCs w:val="16"/>
                <w:lang w:val="en-AU"/>
              </w:rPr>
            </w:pPr>
            <w:r w:rsidRPr="008659FE">
              <w:rPr>
                <w:rFonts w:ascii="Arial" w:hAnsi="Arial"/>
                <w:bCs/>
                <w:sz w:val="16"/>
                <w:szCs w:val="16"/>
                <w:lang w:val="en-AU"/>
              </w:rPr>
              <w:t>RAAF Pearce</w:t>
            </w:r>
          </w:p>
        </w:tc>
        <w:tc>
          <w:tcPr>
            <w:tcW w:w="1790" w:type="dxa"/>
            <w:tcBorders>
              <w:top w:val="nil"/>
              <w:left w:val="nil"/>
              <w:bottom w:val="single" w:sz="4" w:space="0" w:color="auto"/>
              <w:right w:val="nil"/>
            </w:tcBorders>
            <w:shd w:val="clear" w:color="FFFFFF" w:fill="auto"/>
            <w:noWrap/>
            <w:vAlign w:val="bottom"/>
          </w:tcPr>
          <w:p w14:paraId="3E2BDDEA" w14:textId="77777777" w:rsidR="00D27096" w:rsidRPr="008659FE" w:rsidRDefault="00D27096" w:rsidP="00D27096">
            <w:pPr>
              <w:keepNext/>
              <w:keepLines/>
              <w:spacing w:before="0" w:after="0" w:line="276" w:lineRule="auto"/>
              <w:jc w:val="right"/>
              <w:rPr>
                <w:rFonts w:ascii="Arial" w:hAnsi="Arial"/>
                <w:sz w:val="16"/>
                <w:szCs w:val="16"/>
                <w:lang w:val="en-AU"/>
              </w:rPr>
            </w:pPr>
            <w:r w:rsidRPr="008659FE">
              <w:rPr>
                <w:rFonts w:ascii="Arial" w:hAnsi="Arial"/>
                <w:sz w:val="16"/>
                <w:szCs w:val="16"/>
                <w:lang w:val="en-AU"/>
              </w:rPr>
              <w:t>WA - Durack</w:t>
            </w:r>
          </w:p>
        </w:tc>
        <w:tc>
          <w:tcPr>
            <w:tcW w:w="1191" w:type="dxa"/>
            <w:tcBorders>
              <w:top w:val="nil"/>
              <w:left w:val="nil"/>
              <w:bottom w:val="single" w:sz="4" w:space="0" w:color="auto"/>
              <w:right w:val="nil"/>
            </w:tcBorders>
            <w:shd w:val="clear" w:color="FFFFFF" w:fill="auto"/>
            <w:noWrap/>
            <w:vAlign w:val="bottom"/>
          </w:tcPr>
          <w:p w14:paraId="33ED25B0" w14:textId="77777777" w:rsidR="00D27096" w:rsidRPr="00353F8D" w:rsidRDefault="00D27096" w:rsidP="00D27096">
            <w:pPr>
              <w:keepNext/>
              <w:keepLines/>
              <w:spacing w:before="0" w:after="0" w:line="276" w:lineRule="auto"/>
              <w:jc w:val="right"/>
              <w:rPr>
                <w:rFonts w:ascii="Arial" w:hAnsi="Arial"/>
                <w:b/>
                <w:bCs/>
                <w:sz w:val="16"/>
                <w:szCs w:val="16"/>
                <w:lang w:val="en-AU"/>
              </w:rPr>
            </w:pPr>
            <w:r w:rsidRPr="00353F8D">
              <w:rPr>
                <w:rFonts w:ascii="Arial" w:hAnsi="Arial"/>
                <w:b/>
                <w:bCs/>
                <w:sz w:val="16"/>
                <w:szCs w:val="16"/>
                <w:lang w:val="en-AU"/>
              </w:rPr>
              <w:t>11.5</w:t>
            </w:r>
          </w:p>
        </w:tc>
        <w:tc>
          <w:tcPr>
            <w:tcW w:w="1413" w:type="dxa"/>
            <w:tcBorders>
              <w:top w:val="nil"/>
              <w:left w:val="nil"/>
              <w:bottom w:val="single" w:sz="4" w:space="0" w:color="auto"/>
              <w:right w:val="nil"/>
            </w:tcBorders>
            <w:shd w:val="clear" w:color="auto" w:fill="auto"/>
            <w:noWrap/>
            <w:vAlign w:val="bottom"/>
          </w:tcPr>
          <w:p w14:paraId="2BCB95F3" w14:textId="77777777" w:rsidR="00D27096" w:rsidRPr="009E4B9D" w:rsidRDefault="00D27096" w:rsidP="00D27096">
            <w:pPr>
              <w:spacing w:before="0" w:after="0" w:line="276" w:lineRule="auto"/>
              <w:jc w:val="right"/>
              <w:rPr>
                <w:rFonts w:ascii="Arial" w:hAnsi="Arial"/>
                <w:b/>
                <w:sz w:val="16"/>
                <w:szCs w:val="16"/>
                <w:lang w:eastAsia="en-US"/>
              </w:rPr>
            </w:pPr>
            <w:r w:rsidRPr="009E4B9D">
              <w:rPr>
                <w:rFonts w:ascii="Arial" w:hAnsi="Arial"/>
                <w:b/>
                <w:sz w:val="16"/>
                <w:szCs w:val="16"/>
                <w:lang w:eastAsia="en-US"/>
              </w:rPr>
              <w:t>11.5</w:t>
            </w:r>
          </w:p>
        </w:tc>
        <w:tc>
          <w:tcPr>
            <w:tcW w:w="1195" w:type="dxa"/>
            <w:tcBorders>
              <w:top w:val="nil"/>
              <w:left w:val="nil"/>
              <w:bottom w:val="single" w:sz="4" w:space="0" w:color="auto"/>
              <w:right w:val="nil"/>
            </w:tcBorders>
            <w:shd w:val="clear" w:color="auto" w:fill="auto"/>
            <w:noWrap/>
            <w:vAlign w:val="bottom"/>
          </w:tcPr>
          <w:p w14:paraId="3C4449EB" w14:textId="77777777" w:rsidR="00D27096" w:rsidRPr="009E4B9D" w:rsidRDefault="00D27096" w:rsidP="00D27096">
            <w:pPr>
              <w:spacing w:before="0" w:after="0" w:line="276" w:lineRule="auto"/>
              <w:jc w:val="right"/>
              <w:rPr>
                <w:rFonts w:ascii="Arial" w:hAnsi="Arial"/>
                <w:b/>
                <w:sz w:val="16"/>
                <w:szCs w:val="16"/>
                <w:lang w:eastAsia="en-US"/>
              </w:rPr>
            </w:pPr>
            <w:r w:rsidRPr="009E4B9D">
              <w:rPr>
                <w:rFonts w:ascii="Arial" w:hAnsi="Arial"/>
                <w:b/>
                <w:sz w:val="16"/>
                <w:szCs w:val="16"/>
                <w:lang w:eastAsia="en-US"/>
              </w:rPr>
              <w:t>0.0</w:t>
            </w:r>
          </w:p>
        </w:tc>
      </w:tr>
      <w:tr w:rsidR="00D27096" w:rsidRPr="00BA1388" w14:paraId="548967A6" w14:textId="77777777" w:rsidTr="00D27096">
        <w:trPr>
          <w:trHeight w:val="227"/>
        </w:trPr>
        <w:tc>
          <w:tcPr>
            <w:tcW w:w="3085" w:type="dxa"/>
            <w:tcBorders>
              <w:top w:val="single" w:sz="4" w:space="0" w:color="auto"/>
              <w:left w:val="nil"/>
              <w:bottom w:val="nil"/>
              <w:right w:val="nil"/>
            </w:tcBorders>
            <w:shd w:val="clear" w:color="FFFFFF" w:fill="auto"/>
            <w:vAlign w:val="bottom"/>
          </w:tcPr>
          <w:p w14:paraId="4FB8F11E" w14:textId="77777777" w:rsidR="00D27096" w:rsidRPr="008659FE" w:rsidRDefault="00D27096" w:rsidP="00D27096">
            <w:pPr>
              <w:spacing w:before="0" w:after="0" w:line="276" w:lineRule="auto"/>
              <w:rPr>
                <w:rFonts w:ascii="Arial" w:hAnsi="Arial"/>
                <w:sz w:val="16"/>
                <w:szCs w:val="16"/>
                <w:lang w:val="en-AU"/>
              </w:rPr>
            </w:pPr>
            <w:r w:rsidRPr="008659FE">
              <w:rPr>
                <w:rFonts w:ascii="Arial" w:hAnsi="Arial"/>
                <w:b/>
                <w:sz w:val="16"/>
                <w:szCs w:val="16"/>
                <w:lang w:val="en-AU"/>
              </w:rPr>
              <w:t xml:space="preserve">Facilities to Support LAND 159 </w:t>
            </w:r>
            <w:r w:rsidRPr="008659FE">
              <w:rPr>
                <w:rFonts w:ascii="Arial" w:hAnsi="Arial"/>
                <w:b/>
                <w:sz w:val="16"/>
                <w:szCs w:val="16"/>
                <w:lang w:val="en-AU"/>
              </w:rPr>
              <w:br/>
              <w:t>Phase 1 Lethality Systems</w:t>
            </w:r>
          </w:p>
        </w:tc>
        <w:tc>
          <w:tcPr>
            <w:tcW w:w="1790" w:type="dxa"/>
            <w:tcBorders>
              <w:top w:val="single" w:sz="4" w:space="0" w:color="auto"/>
              <w:left w:val="nil"/>
              <w:bottom w:val="nil"/>
              <w:right w:val="nil"/>
            </w:tcBorders>
            <w:shd w:val="clear" w:color="FFFFFF" w:fill="auto"/>
            <w:noWrap/>
            <w:vAlign w:val="bottom"/>
          </w:tcPr>
          <w:p w14:paraId="0506EB96" w14:textId="77777777" w:rsidR="00D27096" w:rsidRPr="008659FE" w:rsidRDefault="00D27096" w:rsidP="00D27096">
            <w:pPr>
              <w:spacing w:before="0" w:after="0" w:line="276" w:lineRule="auto"/>
              <w:jc w:val="right"/>
              <w:rPr>
                <w:rFonts w:ascii="Arial" w:hAnsi="Arial"/>
                <w:sz w:val="16"/>
                <w:szCs w:val="16"/>
                <w:lang w:val="en-AU"/>
              </w:rPr>
            </w:pPr>
          </w:p>
        </w:tc>
        <w:tc>
          <w:tcPr>
            <w:tcW w:w="1191" w:type="dxa"/>
            <w:tcBorders>
              <w:top w:val="single" w:sz="4" w:space="0" w:color="auto"/>
              <w:left w:val="nil"/>
              <w:bottom w:val="nil"/>
              <w:right w:val="nil"/>
            </w:tcBorders>
            <w:shd w:val="clear" w:color="FFFFFF" w:fill="auto"/>
            <w:noWrap/>
            <w:vAlign w:val="bottom"/>
          </w:tcPr>
          <w:p w14:paraId="75888B3E" w14:textId="77777777" w:rsidR="00D27096" w:rsidRPr="00353F8D" w:rsidRDefault="00D27096" w:rsidP="00D27096">
            <w:pPr>
              <w:spacing w:before="0" w:after="0" w:line="276" w:lineRule="auto"/>
              <w:jc w:val="right"/>
              <w:rPr>
                <w:rFonts w:ascii="Arial" w:hAnsi="Arial"/>
                <w:b/>
                <w:bCs/>
                <w:sz w:val="16"/>
                <w:szCs w:val="16"/>
                <w:lang w:val="en-AU"/>
              </w:rPr>
            </w:pPr>
          </w:p>
        </w:tc>
        <w:tc>
          <w:tcPr>
            <w:tcW w:w="1413" w:type="dxa"/>
            <w:tcBorders>
              <w:top w:val="single" w:sz="4" w:space="0" w:color="auto"/>
              <w:left w:val="nil"/>
              <w:bottom w:val="nil"/>
              <w:right w:val="nil"/>
            </w:tcBorders>
            <w:shd w:val="clear" w:color="auto" w:fill="auto"/>
            <w:noWrap/>
            <w:vAlign w:val="bottom"/>
          </w:tcPr>
          <w:p w14:paraId="1252BABE" w14:textId="77777777" w:rsidR="00D27096" w:rsidRPr="009E4B9D" w:rsidRDefault="00D27096" w:rsidP="00D27096">
            <w:pPr>
              <w:spacing w:before="0" w:after="0" w:line="276" w:lineRule="auto"/>
              <w:jc w:val="right"/>
              <w:rPr>
                <w:rFonts w:ascii="Arial" w:hAnsi="Arial"/>
                <w:b/>
                <w:sz w:val="16"/>
                <w:szCs w:val="16"/>
                <w:lang w:eastAsia="en-US"/>
              </w:rPr>
            </w:pPr>
          </w:p>
        </w:tc>
        <w:tc>
          <w:tcPr>
            <w:tcW w:w="1195" w:type="dxa"/>
            <w:tcBorders>
              <w:top w:val="single" w:sz="4" w:space="0" w:color="auto"/>
              <w:left w:val="nil"/>
              <w:bottom w:val="nil"/>
              <w:right w:val="nil"/>
            </w:tcBorders>
            <w:shd w:val="clear" w:color="auto" w:fill="auto"/>
            <w:noWrap/>
            <w:vAlign w:val="bottom"/>
          </w:tcPr>
          <w:p w14:paraId="0AD2D030" w14:textId="77777777" w:rsidR="00D27096" w:rsidRPr="009E4B9D" w:rsidRDefault="00D27096" w:rsidP="00D27096">
            <w:pPr>
              <w:spacing w:before="0" w:after="0" w:line="276" w:lineRule="auto"/>
              <w:jc w:val="right"/>
              <w:rPr>
                <w:rFonts w:ascii="Arial" w:hAnsi="Arial"/>
                <w:b/>
                <w:sz w:val="16"/>
                <w:szCs w:val="16"/>
                <w:lang w:eastAsia="en-US"/>
              </w:rPr>
            </w:pPr>
          </w:p>
        </w:tc>
      </w:tr>
      <w:tr w:rsidR="00D27096" w:rsidRPr="00BA1388" w14:paraId="387C7780" w14:textId="77777777" w:rsidTr="00D27096">
        <w:trPr>
          <w:trHeight w:val="227"/>
        </w:trPr>
        <w:tc>
          <w:tcPr>
            <w:tcW w:w="3085" w:type="dxa"/>
            <w:tcBorders>
              <w:top w:val="nil"/>
              <w:left w:val="nil"/>
              <w:bottom w:val="single" w:sz="4" w:space="0" w:color="auto"/>
              <w:right w:val="nil"/>
            </w:tcBorders>
            <w:shd w:val="clear" w:color="FFFFFF" w:fill="auto"/>
            <w:vAlign w:val="bottom"/>
          </w:tcPr>
          <w:p w14:paraId="365A3D92" w14:textId="77777777" w:rsidR="00D27096" w:rsidRPr="008659FE" w:rsidRDefault="00D27096" w:rsidP="00D27096">
            <w:pPr>
              <w:spacing w:before="0" w:after="0" w:line="276" w:lineRule="auto"/>
              <w:ind w:left="179"/>
              <w:rPr>
                <w:rFonts w:ascii="Arial" w:hAnsi="Arial"/>
                <w:b/>
                <w:sz w:val="16"/>
                <w:szCs w:val="16"/>
                <w:lang w:val="en-AU"/>
              </w:rPr>
            </w:pPr>
            <w:r w:rsidRPr="008659FE">
              <w:rPr>
                <w:rFonts w:ascii="Arial" w:hAnsi="Arial"/>
                <w:sz w:val="16"/>
                <w:szCs w:val="16"/>
                <w:lang w:val="en-AU"/>
              </w:rPr>
              <w:t>Greenbank Training Area</w:t>
            </w:r>
          </w:p>
        </w:tc>
        <w:tc>
          <w:tcPr>
            <w:tcW w:w="1790" w:type="dxa"/>
            <w:tcBorders>
              <w:top w:val="nil"/>
              <w:left w:val="nil"/>
              <w:bottom w:val="single" w:sz="4" w:space="0" w:color="auto"/>
              <w:right w:val="nil"/>
            </w:tcBorders>
            <w:shd w:val="clear" w:color="FFFFFF" w:fill="auto"/>
            <w:noWrap/>
            <w:vAlign w:val="bottom"/>
          </w:tcPr>
          <w:p w14:paraId="3EF8E3F4" w14:textId="77777777" w:rsidR="00D27096" w:rsidRPr="008659FE" w:rsidRDefault="00D27096" w:rsidP="00D27096">
            <w:pPr>
              <w:spacing w:before="0" w:after="0" w:line="276" w:lineRule="auto"/>
              <w:jc w:val="right"/>
              <w:rPr>
                <w:rFonts w:ascii="Arial" w:hAnsi="Arial"/>
                <w:sz w:val="16"/>
                <w:szCs w:val="16"/>
                <w:lang w:val="en-AU"/>
              </w:rPr>
            </w:pPr>
            <w:r w:rsidRPr="008659FE">
              <w:rPr>
                <w:rFonts w:ascii="Arial" w:hAnsi="Arial"/>
                <w:sz w:val="16"/>
                <w:szCs w:val="16"/>
                <w:lang w:val="en-AU"/>
              </w:rPr>
              <w:t>QLD - Wright</w:t>
            </w:r>
          </w:p>
        </w:tc>
        <w:tc>
          <w:tcPr>
            <w:tcW w:w="1191" w:type="dxa"/>
            <w:tcBorders>
              <w:top w:val="nil"/>
              <w:left w:val="nil"/>
              <w:bottom w:val="single" w:sz="4" w:space="0" w:color="auto"/>
              <w:right w:val="nil"/>
            </w:tcBorders>
            <w:shd w:val="clear" w:color="FFFFFF" w:fill="auto"/>
            <w:noWrap/>
            <w:vAlign w:val="bottom"/>
          </w:tcPr>
          <w:p w14:paraId="6D4DE047" w14:textId="77777777" w:rsidR="00D27096" w:rsidRPr="00353F8D" w:rsidRDefault="00D27096" w:rsidP="00D27096">
            <w:pPr>
              <w:spacing w:before="0" w:after="0" w:line="276" w:lineRule="auto"/>
              <w:jc w:val="right"/>
              <w:rPr>
                <w:rFonts w:ascii="Arial" w:hAnsi="Arial"/>
                <w:b/>
                <w:bCs/>
                <w:sz w:val="16"/>
                <w:szCs w:val="16"/>
                <w:lang w:val="en-AU"/>
              </w:rPr>
            </w:pPr>
            <w:r w:rsidRPr="00353F8D">
              <w:rPr>
                <w:rFonts w:ascii="Arial" w:hAnsi="Arial"/>
                <w:b/>
                <w:bCs/>
                <w:sz w:val="16"/>
                <w:szCs w:val="16"/>
                <w:lang w:val="en-AU"/>
              </w:rPr>
              <w:t>8.2</w:t>
            </w:r>
          </w:p>
        </w:tc>
        <w:tc>
          <w:tcPr>
            <w:tcW w:w="1413" w:type="dxa"/>
            <w:tcBorders>
              <w:top w:val="nil"/>
              <w:left w:val="nil"/>
              <w:bottom w:val="single" w:sz="4" w:space="0" w:color="auto"/>
              <w:right w:val="nil"/>
            </w:tcBorders>
            <w:shd w:val="clear" w:color="auto" w:fill="auto"/>
            <w:noWrap/>
            <w:vAlign w:val="bottom"/>
          </w:tcPr>
          <w:p w14:paraId="5FA1FF6C" w14:textId="77777777" w:rsidR="00D27096" w:rsidRPr="009E4B9D" w:rsidRDefault="00D27096" w:rsidP="00D27096">
            <w:pPr>
              <w:spacing w:before="0" w:after="0" w:line="276" w:lineRule="auto"/>
              <w:jc w:val="right"/>
              <w:rPr>
                <w:rFonts w:ascii="Arial" w:hAnsi="Arial"/>
                <w:b/>
                <w:sz w:val="16"/>
                <w:szCs w:val="16"/>
                <w:lang w:eastAsia="en-US"/>
              </w:rPr>
            </w:pPr>
            <w:r>
              <w:rPr>
                <w:rFonts w:ascii="Arial" w:hAnsi="Arial"/>
                <w:b/>
                <w:sz w:val="16"/>
                <w:szCs w:val="16"/>
                <w:lang w:eastAsia="en-US"/>
              </w:rPr>
              <w:t>3.5</w:t>
            </w:r>
          </w:p>
        </w:tc>
        <w:tc>
          <w:tcPr>
            <w:tcW w:w="1195" w:type="dxa"/>
            <w:tcBorders>
              <w:top w:val="nil"/>
              <w:left w:val="nil"/>
              <w:bottom w:val="single" w:sz="4" w:space="0" w:color="auto"/>
              <w:right w:val="nil"/>
            </w:tcBorders>
            <w:shd w:val="clear" w:color="auto" w:fill="auto"/>
            <w:noWrap/>
            <w:vAlign w:val="bottom"/>
          </w:tcPr>
          <w:p w14:paraId="64D0C758" w14:textId="77777777" w:rsidR="00D27096" w:rsidRPr="009E4B9D" w:rsidRDefault="00D27096" w:rsidP="00D27096">
            <w:pPr>
              <w:spacing w:before="0" w:after="0" w:line="276" w:lineRule="auto"/>
              <w:jc w:val="right"/>
              <w:rPr>
                <w:rFonts w:ascii="Arial" w:hAnsi="Arial"/>
                <w:b/>
                <w:sz w:val="16"/>
                <w:szCs w:val="16"/>
                <w:lang w:eastAsia="en-US"/>
              </w:rPr>
            </w:pPr>
            <w:r w:rsidRPr="009E4B9D">
              <w:rPr>
                <w:rFonts w:ascii="Arial" w:hAnsi="Arial"/>
                <w:b/>
                <w:sz w:val="16"/>
                <w:szCs w:val="16"/>
                <w:lang w:eastAsia="en-US"/>
              </w:rPr>
              <w:t>4.2</w:t>
            </w:r>
          </w:p>
        </w:tc>
      </w:tr>
      <w:tr w:rsidR="00D27096" w:rsidRPr="00BA1388" w14:paraId="52F207F9" w14:textId="77777777" w:rsidTr="00261A67">
        <w:trPr>
          <w:trHeight w:val="227"/>
        </w:trPr>
        <w:tc>
          <w:tcPr>
            <w:tcW w:w="3085" w:type="dxa"/>
            <w:tcBorders>
              <w:top w:val="single" w:sz="4" w:space="0" w:color="auto"/>
              <w:left w:val="nil"/>
              <w:bottom w:val="nil"/>
              <w:right w:val="nil"/>
            </w:tcBorders>
            <w:shd w:val="clear" w:color="FFFFFF" w:fill="auto"/>
            <w:vAlign w:val="bottom"/>
          </w:tcPr>
          <w:p w14:paraId="1A013EFF" w14:textId="77777777" w:rsidR="00D27096" w:rsidRPr="008659FE" w:rsidRDefault="00D27096" w:rsidP="00D27096">
            <w:pPr>
              <w:keepNext/>
              <w:keepLines/>
              <w:spacing w:before="0" w:after="0" w:line="276" w:lineRule="auto"/>
              <w:rPr>
                <w:rFonts w:ascii="Arial" w:hAnsi="Arial"/>
                <w:b/>
                <w:bCs/>
                <w:sz w:val="16"/>
                <w:szCs w:val="16"/>
                <w:lang w:val="en-AU"/>
              </w:rPr>
            </w:pPr>
            <w:r w:rsidRPr="008659FE">
              <w:rPr>
                <w:rFonts w:ascii="Arial" w:hAnsi="Arial"/>
                <w:b/>
                <w:bCs/>
                <w:sz w:val="16"/>
                <w:szCs w:val="16"/>
                <w:lang w:val="en-AU"/>
              </w:rPr>
              <w:t>Facilities to Support P-8A Poseidon Capability Assurance Program</w:t>
            </w:r>
          </w:p>
        </w:tc>
        <w:tc>
          <w:tcPr>
            <w:tcW w:w="1790" w:type="dxa"/>
            <w:tcBorders>
              <w:top w:val="single" w:sz="4" w:space="0" w:color="auto"/>
              <w:left w:val="nil"/>
              <w:bottom w:val="nil"/>
              <w:right w:val="nil"/>
            </w:tcBorders>
            <w:shd w:val="clear" w:color="FFFFFF" w:fill="auto"/>
            <w:noWrap/>
            <w:vAlign w:val="bottom"/>
          </w:tcPr>
          <w:p w14:paraId="3CDA79C7" w14:textId="77777777" w:rsidR="00D27096" w:rsidRPr="008659FE" w:rsidRDefault="00D27096" w:rsidP="00D27096">
            <w:pPr>
              <w:keepNext/>
              <w:keepLines/>
              <w:spacing w:before="0" w:after="0" w:line="276" w:lineRule="auto"/>
              <w:jc w:val="right"/>
              <w:rPr>
                <w:rFonts w:ascii="Arial" w:hAnsi="Arial"/>
                <w:sz w:val="16"/>
                <w:szCs w:val="16"/>
                <w:lang w:val="en-AU"/>
              </w:rPr>
            </w:pPr>
          </w:p>
        </w:tc>
        <w:tc>
          <w:tcPr>
            <w:tcW w:w="1191" w:type="dxa"/>
            <w:tcBorders>
              <w:top w:val="single" w:sz="4" w:space="0" w:color="auto"/>
              <w:left w:val="nil"/>
              <w:bottom w:val="nil"/>
              <w:right w:val="nil"/>
            </w:tcBorders>
            <w:shd w:val="clear" w:color="FFFFFF" w:fill="auto"/>
            <w:noWrap/>
            <w:vAlign w:val="bottom"/>
          </w:tcPr>
          <w:p w14:paraId="247EA987" w14:textId="77777777" w:rsidR="00D27096" w:rsidRPr="00353F8D" w:rsidRDefault="00D27096" w:rsidP="00D27096">
            <w:pPr>
              <w:keepNext/>
              <w:keepLines/>
              <w:spacing w:before="0" w:after="0" w:line="276" w:lineRule="auto"/>
              <w:jc w:val="right"/>
              <w:rPr>
                <w:rFonts w:ascii="Arial" w:hAnsi="Arial"/>
                <w:b/>
                <w:bCs/>
                <w:sz w:val="16"/>
                <w:szCs w:val="16"/>
                <w:lang w:val="en-AU"/>
              </w:rPr>
            </w:pPr>
          </w:p>
        </w:tc>
        <w:tc>
          <w:tcPr>
            <w:tcW w:w="1413" w:type="dxa"/>
            <w:tcBorders>
              <w:top w:val="single" w:sz="4" w:space="0" w:color="auto"/>
              <w:left w:val="nil"/>
              <w:bottom w:val="nil"/>
              <w:right w:val="nil"/>
            </w:tcBorders>
            <w:shd w:val="clear" w:color="auto" w:fill="auto"/>
            <w:noWrap/>
            <w:vAlign w:val="bottom"/>
          </w:tcPr>
          <w:p w14:paraId="2A3A588A" w14:textId="77777777" w:rsidR="00D27096" w:rsidRPr="009E4B9D" w:rsidRDefault="00D27096" w:rsidP="00D27096">
            <w:pPr>
              <w:spacing w:before="0" w:after="0" w:line="276" w:lineRule="auto"/>
              <w:jc w:val="right"/>
              <w:rPr>
                <w:rFonts w:ascii="Arial" w:hAnsi="Arial"/>
                <w:b/>
                <w:sz w:val="16"/>
                <w:szCs w:val="16"/>
                <w:lang w:eastAsia="en-US"/>
              </w:rPr>
            </w:pPr>
          </w:p>
        </w:tc>
        <w:tc>
          <w:tcPr>
            <w:tcW w:w="1195" w:type="dxa"/>
            <w:tcBorders>
              <w:top w:val="single" w:sz="4" w:space="0" w:color="auto"/>
              <w:left w:val="nil"/>
              <w:bottom w:val="nil"/>
              <w:right w:val="nil"/>
            </w:tcBorders>
            <w:shd w:val="clear" w:color="auto" w:fill="auto"/>
            <w:noWrap/>
            <w:vAlign w:val="bottom"/>
          </w:tcPr>
          <w:p w14:paraId="1B637E53" w14:textId="77777777" w:rsidR="00D27096" w:rsidRPr="009E4B9D" w:rsidRDefault="00D27096" w:rsidP="00D27096">
            <w:pPr>
              <w:spacing w:before="0" w:after="0" w:line="276" w:lineRule="auto"/>
              <w:jc w:val="right"/>
              <w:rPr>
                <w:rFonts w:ascii="Arial" w:hAnsi="Arial"/>
                <w:b/>
                <w:sz w:val="16"/>
                <w:szCs w:val="16"/>
                <w:lang w:eastAsia="en-US"/>
              </w:rPr>
            </w:pPr>
          </w:p>
        </w:tc>
      </w:tr>
      <w:tr w:rsidR="00D27096" w:rsidRPr="00BA1388" w14:paraId="2605116A" w14:textId="77777777" w:rsidTr="00D27096">
        <w:trPr>
          <w:trHeight w:val="227"/>
        </w:trPr>
        <w:tc>
          <w:tcPr>
            <w:tcW w:w="3085" w:type="dxa"/>
            <w:tcBorders>
              <w:top w:val="nil"/>
              <w:left w:val="nil"/>
              <w:bottom w:val="single" w:sz="4" w:space="0" w:color="auto"/>
              <w:right w:val="nil"/>
            </w:tcBorders>
            <w:shd w:val="clear" w:color="FFFFFF" w:fill="auto"/>
            <w:vAlign w:val="bottom"/>
          </w:tcPr>
          <w:p w14:paraId="2A28C2C9" w14:textId="77777777" w:rsidR="00D27096" w:rsidRPr="008659FE" w:rsidRDefault="00D27096" w:rsidP="00D27096">
            <w:pPr>
              <w:keepNext/>
              <w:keepLines/>
              <w:spacing w:before="0" w:after="0" w:line="276" w:lineRule="auto"/>
              <w:ind w:left="179"/>
              <w:rPr>
                <w:rFonts w:ascii="Arial" w:hAnsi="Arial"/>
                <w:bCs/>
                <w:sz w:val="16"/>
                <w:szCs w:val="16"/>
                <w:lang w:val="en-AU"/>
              </w:rPr>
            </w:pPr>
            <w:r w:rsidRPr="008659FE">
              <w:rPr>
                <w:rFonts w:ascii="Arial" w:hAnsi="Arial"/>
                <w:bCs/>
                <w:sz w:val="16"/>
                <w:szCs w:val="16"/>
                <w:lang w:val="en-AU"/>
              </w:rPr>
              <w:t>RAAF Base Edinburgh</w:t>
            </w:r>
          </w:p>
        </w:tc>
        <w:tc>
          <w:tcPr>
            <w:tcW w:w="1790" w:type="dxa"/>
            <w:tcBorders>
              <w:top w:val="nil"/>
              <w:left w:val="nil"/>
              <w:bottom w:val="single" w:sz="4" w:space="0" w:color="auto"/>
              <w:right w:val="nil"/>
            </w:tcBorders>
            <w:shd w:val="clear" w:color="FFFFFF" w:fill="auto"/>
            <w:noWrap/>
            <w:vAlign w:val="bottom"/>
          </w:tcPr>
          <w:p w14:paraId="78C55F00" w14:textId="77777777" w:rsidR="00D27096" w:rsidRPr="008659FE" w:rsidRDefault="00D27096" w:rsidP="00D27096">
            <w:pPr>
              <w:keepNext/>
              <w:keepLines/>
              <w:spacing w:before="0" w:after="0" w:line="276" w:lineRule="auto"/>
              <w:jc w:val="right"/>
              <w:rPr>
                <w:rFonts w:ascii="Arial" w:hAnsi="Arial"/>
                <w:sz w:val="16"/>
                <w:szCs w:val="16"/>
                <w:lang w:val="en-AU"/>
              </w:rPr>
            </w:pPr>
            <w:r w:rsidRPr="008659FE">
              <w:rPr>
                <w:rFonts w:ascii="Arial" w:hAnsi="Arial"/>
                <w:sz w:val="16"/>
                <w:szCs w:val="16"/>
                <w:lang w:val="en-AU"/>
              </w:rPr>
              <w:t>SA - Spence</w:t>
            </w:r>
          </w:p>
        </w:tc>
        <w:tc>
          <w:tcPr>
            <w:tcW w:w="1191" w:type="dxa"/>
            <w:tcBorders>
              <w:top w:val="nil"/>
              <w:left w:val="nil"/>
              <w:bottom w:val="single" w:sz="4" w:space="0" w:color="auto"/>
              <w:right w:val="nil"/>
            </w:tcBorders>
            <w:shd w:val="clear" w:color="FFFFFF" w:fill="auto"/>
            <w:noWrap/>
            <w:vAlign w:val="bottom"/>
          </w:tcPr>
          <w:p w14:paraId="46DA75DD" w14:textId="77777777" w:rsidR="00D27096" w:rsidRPr="00353F8D" w:rsidRDefault="00D27096" w:rsidP="00D27096">
            <w:pPr>
              <w:keepNext/>
              <w:keepLines/>
              <w:spacing w:before="0" w:after="0" w:line="276" w:lineRule="auto"/>
              <w:jc w:val="right"/>
              <w:rPr>
                <w:rFonts w:ascii="Arial" w:hAnsi="Arial"/>
                <w:b/>
                <w:bCs/>
                <w:sz w:val="16"/>
                <w:szCs w:val="16"/>
                <w:lang w:val="en-AU"/>
              </w:rPr>
            </w:pPr>
            <w:r w:rsidRPr="00353F8D">
              <w:rPr>
                <w:rFonts w:ascii="Arial" w:hAnsi="Arial"/>
                <w:b/>
                <w:bCs/>
                <w:sz w:val="16"/>
                <w:szCs w:val="16"/>
                <w:lang w:val="en-AU"/>
              </w:rPr>
              <w:t>4.9</w:t>
            </w:r>
          </w:p>
        </w:tc>
        <w:tc>
          <w:tcPr>
            <w:tcW w:w="1413" w:type="dxa"/>
            <w:tcBorders>
              <w:top w:val="nil"/>
              <w:left w:val="nil"/>
              <w:bottom w:val="single" w:sz="4" w:space="0" w:color="auto"/>
              <w:right w:val="nil"/>
            </w:tcBorders>
            <w:shd w:val="clear" w:color="auto" w:fill="auto"/>
            <w:noWrap/>
            <w:vAlign w:val="bottom"/>
          </w:tcPr>
          <w:p w14:paraId="45E88AA8" w14:textId="77777777" w:rsidR="00D27096" w:rsidRPr="009E4B9D" w:rsidRDefault="00D27096" w:rsidP="00D27096">
            <w:pPr>
              <w:spacing w:before="0" w:after="0" w:line="276" w:lineRule="auto"/>
              <w:jc w:val="right"/>
              <w:rPr>
                <w:rFonts w:ascii="Arial" w:hAnsi="Arial"/>
                <w:b/>
                <w:sz w:val="16"/>
                <w:szCs w:val="16"/>
                <w:lang w:eastAsia="en-US"/>
              </w:rPr>
            </w:pPr>
            <w:r w:rsidRPr="009E4B9D">
              <w:rPr>
                <w:rFonts w:ascii="Arial" w:hAnsi="Arial"/>
                <w:b/>
                <w:sz w:val="16"/>
                <w:szCs w:val="16"/>
                <w:lang w:eastAsia="en-US"/>
              </w:rPr>
              <w:t>0.4</w:t>
            </w:r>
          </w:p>
        </w:tc>
        <w:tc>
          <w:tcPr>
            <w:tcW w:w="1195" w:type="dxa"/>
            <w:tcBorders>
              <w:top w:val="nil"/>
              <w:left w:val="nil"/>
              <w:bottom w:val="single" w:sz="4" w:space="0" w:color="auto"/>
              <w:right w:val="nil"/>
            </w:tcBorders>
            <w:shd w:val="clear" w:color="auto" w:fill="auto"/>
            <w:noWrap/>
            <w:vAlign w:val="bottom"/>
          </w:tcPr>
          <w:p w14:paraId="051C340A" w14:textId="77777777" w:rsidR="00D27096" w:rsidRPr="009E4B9D" w:rsidRDefault="00D27096" w:rsidP="00D27096">
            <w:pPr>
              <w:spacing w:before="0" w:after="0" w:line="276" w:lineRule="auto"/>
              <w:jc w:val="right"/>
              <w:rPr>
                <w:rFonts w:ascii="Arial" w:hAnsi="Arial"/>
                <w:b/>
                <w:sz w:val="16"/>
                <w:szCs w:val="16"/>
                <w:lang w:eastAsia="en-US"/>
              </w:rPr>
            </w:pPr>
            <w:r w:rsidRPr="009E4B9D">
              <w:rPr>
                <w:rFonts w:ascii="Arial" w:hAnsi="Arial"/>
                <w:b/>
                <w:sz w:val="16"/>
                <w:szCs w:val="16"/>
                <w:lang w:eastAsia="en-US"/>
              </w:rPr>
              <w:t>1.7</w:t>
            </w:r>
          </w:p>
        </w:tc>
      </w:tr>
      <w:tr w:rsidR="00FB0744" w:rsidRPr="00D27096" w14:paraId="4C7EDE1D" w14:textId="77777777" w:rsidTr="00D27096">
        <w:trPr>
          <w:trHeight w:val="227"/>
        </w:trPr>
        <w:tc>
          <w:tcPr>
            <w:tcW w:w="3085" w:type="dxa"/>
            <w:tcBorders>
              <w:top w:val="single" w:sz="4" w:space="0" w:color="auto"/>
              <w:left w:val="nil"/>
              <w:right w:val="nil"/>
            </w:tcBorders>
            <w:shd w:val="clear" w:color="FFFFFF" w:fill="auto"/>
            <w:vAlign w:val="center"/>
            <w:hideMark/>
          </w:tcPr>
          <w:p w14:paraId="2B79E8AD" w14:textId="77777777" w:rsidR="00FB0744" w:rsidRPr="00D27096" w:rsidRDefault="00FB0744" w:rsidP="00FB0744">
            <w:pPr>
              <w:spacing w:before="0" w:after="0"/>
              <w:rPr>
                <w:rFonts w:ascii="Arial" w:hAnsi="Arial"/>
                <w:b/>
                <w:bCs/>
                <w:sz w:val="16"/>
                <w:szCs w:val="16"/>
                <w:lang w:val="en-AU"/>
              </w:rPr>
            </w:pPr>
            <w:r w:rsidRPr="00D27096">
              <w:rPr>
                <w:rFonts w:ascii="Arial" w:hAnsi="Arial"/>
                <w:b/>
                <w:bCs/>
                <w:sz w:val="16"/>
                <w:szCs w:val="16"/>
                <w:lang w:val="en-AU"/>
              </w:rPr>
              <w:t>Projects in or about to enter Defects Liability Period</w:t>
            </w:r>
            <w:r w:rsidRPr="00D27096">
              <w:rPr>
                <w:rFonts w:ascii="Arial" w:hAnsi="Arial"/>
                <w:b/>
                <w:bCs/>
                <w:sz w:val="16"/>
                <w:szCs w:val="16"/>
                <w:vertAlign w:val="superscript"/>
                <w:lang w:val="en-AU"/>
              </w:rPr>
              <w:t xml:space="preserve"> [a]</w:t>
            </w:r>
          </w:p>
        </w:tc>
        <w:tc>
          <w:tcPr>
            <w:tcW w:w="1790" w:type="dxa"/>
            <w:tcBorders>
              <w:top w:val="single" w:sz="4" w:space="0" w:color="auto"/>
              <w:left w:val="nil"/>
              <w:right w:val="nil"/>
            </w:tcBorders>
            <w:shd w:val="clear" w:color="FFFFFF" w:fill="auto"/>
            <w:noWrap/>
            <w:vAlign w:val="center"/>
            <w:hideMark/>
          </w:tcPr>
          <w:p w14:paraId="7EDFEE2A" w14:textId="77777777" w:rsidR="00FB0744" w:rsidRPr="00D27096" w:rsidRDefault="00FB0744" w:rsidP="00FB0744">
            <w:pPr>
              <w:spacing w:before="0" w:after="0"/>
              <w:jc w:val="right"/>
              <w:rPr>
                <w:rFonts w:ascii="Arial" w:hAnsi="Arial"/>
                <w:sz w:val="16"/>
                <w:szCs w:val="16"/>
                <w:lang w:val="en-AU"/>
              </w:rPr>
            </w:pPr>
          </w:p>
        </w:tc>
        <w:tc>
          <w:tcPr>
            <w:tcW w:w="1191" w:type="dxa"/>
            <w:tcBorders>
              <w:top w:val="single" w:sz="4" w:space="0" w:color="auto"/>
              <w:left w:val="nil"/>
              <w:right w:val="nil"/>
            </w:tcBorders>
            <w:shd w:val="clear" w:color="FFFFFF" w:fill="auto"/>
            <w:noWrap/>
            <w:vAlign w:val="bottom"/>
          </w:tcPr>
          <w:p w14:paraId="6FC0BFBC" w14:textId="77777777" w:rsidR="00FB0744" w:rsidRPr="00D27096" w:rsidRDefault="00FB0744" w:rsidP="00FB0744">
            <w:pPr>
              <w:spacing w:before="0" w:after="0"/>
              <w:jc w:val="right"/>
              <w:rPr>
                <w:rFonts w:ascii="Arial" w:hAnsi="Arial"/>
                <w:sz w:val="16"/>
                <w:szCs w:val="16"/>
                <w:lang w:val="en-AU"/>
              </w:rPr>
            </w:pPr>
          </w:p>
        </w:tc>
        <w:tc>
          <w:tcPr>
            <w:tcW w:w="1413" w:type="dxa"/>
            <w:tcBorders>
              <w:top w:val="single" w:sz="4" w:space="0" w:color="auto"/>
              <w:left w:val="nil"/>
              <w:right w:val="nil"/>
            </w:tcBorders>
            <w:shd w:val="clear" w:color="FFFFFF" w:fill="auto"/>
            <w:noWrap/>
            <w:vAlign w:val="bottom"/>
          </w:tcPr>
          <w:p w14:paraId="50888083" w14:textId="77777777" w:rsidR="00FB0744" w:rsidRPr="00D27096" w:rsidRDefault="00FB0744" w:rsidP="00FB0744">
            <w:pPr>
              <w:spacing w:before="0" w:after="0"/>
              <w:jc w:val="right"/>
              <w:rPr>
                <w:rFonts w:ascii="Arial" w:hAnsi="Arial"/>
                <w:sz w:val="16"/>
                <w:szCs w:val="16"/>
                <w:lang w:val="en-AU"/>
              </w:rPr>
            </w:pPr>
          </w:p>
        </w:tc>
        <w:tc>
          <w:tcPr>
            <w:tcW w:w="1195" w:type="dxa"/>
            <w:tcBorders>
              <w:top w:val="single" w:sz="4" w:space="0" w:color="auto"/>
              <w:left w:val="nil"/>
              <w:right w:val="nil"/>
            </w:tcBorders>
            <w:shd w:val="clear" w:color="auto" w:fill="auto"/>
            <w:noWrap/>
            <w:vAlign w:val="bottom"/>
          </w:tcPr>
          <w:p w14:paraId="1FB70D1D" w14:textId="77777777" w:rsidR="00FB0744" w:rsidRPr="00D27096" w:rsidRDefault="00D27096" w:rsidP="00FB0744">
            <w:pPr>
              <w:spacing w:before="0" w:after="0"/>
              <w:jc w:val="right"/>
              <w:rPr>
                <w:rFonts w:ascii="Arial" w:hAnsi="Arial"/>
                <w:b/>
                <w:bCs/>
                <w:sz w:val="16"/>
                <w:szCs w:val="16"/>
                <w:lang w:val="en-AU"/>
              </w:rPr>
            </w:pPr>
            <w:r>
              <w:rPr>
                <w:rFonts w:ascii="Arial" w:hAnsi="Arial"/>
                <w:b/>
                <w:bCs/>
                <w:sz w:val="16"/>
                <w:szCs w:val="16"/>
                <w:lang w:val="en-AU"/>
              </w:rPr>
              <w:t>12.4</w:t>
            </w:r>
          </w:p>
        </w:tc>
      </w:tr>
      <w:tr w:rsidR="00D27096" w:rsidRPr="00D27096" w14:paraId="72FD2947" w14:textId="77777777" w:rsidTr="006868B3">
        <w:trPr>
          <w:trHeight w:val="295"/>
        </w:trPr>
        <w:tc>
          <w:tcPr>
            <w:tcW w:w="3085" w:type="dxa"/>
            <w:tcBorders>
              <w:left w:val="nil"/>
              <w:right w:val="nil"/>
            </w:tcBorders>
            <w:shd w:val="clear" w:color="FFFFFF" w:fill="auto"/>
            <w:vAlign w:val="center"/>
            <w:hideMark/>
          </w:tcPr>
          <w:p w14:paraId="3A1BCA70" w14:textId="77777777" w:rsidR="00D27096" w:rsidRPr="00D27096" w:rsidRDefault="00D27096" w:rsidP="00D27096">
            <w:pPr>
              <w:spacing w:before="0" w:after="0"/>
              <w:rPr>
                <w:rFonts w:ascii="Arial" w:hAnsi="Arial"/>
                <w:b/>
                <w:bCs/>
                <w:sz w:val="16"/>
                <w:szCs w:val="16"/>
                <w:lang w:val="en-AU"/>
              </w:rPr>
            </w:pPr>
            <w:r w:rsidRPr="00D27096">
              <w:rPr>
                <w:rFonts w:ascii="Arial" w:hAnsi="Arial"/>
                <w:b/>
                <w:bCs/>
                <w:sz w:val="16"/>
                <w:szCs w:val="16"/>
                <w:lang w:val="en-AU"/>
              </w:rPr>
              <w:t>Total</w:t>
            </w:r>
            <w:r w:rsidRPr="00D27096">
              <w:rPr>
                <w:rFonts w:ascii="Arial Bold" w:hAnsi="Arial Bold"/>
                <w:b/>
                <w:bCs/>
                <w:sz w:val="16"/>
                <w:szCs w:val="16"/>
                <w:vertAlign w:val="superscript"/>
                <w:lang w:val="en-AU"/>
              </w:rPr>
              <w:t xml:space="preserve"> [b]</w:t>
            </w:r>
          </w:p>
        </w:tc>
        <w:tc>
          <w:tcPr>
            <w:tcW w:w="1790" w:type="dxa"/>
            <w:tcBorders>
              <w:left w:val="nil"/>
              <w:right w:val="nil"/>
            </w:tcBorders>
            <w:shd w:val="clear" w:color="FFFFFF" w:fill="auto"/>
            <w:noWrap/>
            <w:vAlign w:val="center"/>
            <w:hideMark/>
          </w:tcPr>
          <w:p w14:paraId="5732049A" w14:textId="77777777" w:rsidR="00D27096" w:rsidRPr="00D27096" w:rsidRDefault="00D27096" w:rsidP="00D27096">
            <w:pPr>
              <w:spacing w:before="0" w:after="0"/>
              <w:jc w:val="right"/>
              <w:rPr>
                <w:rFonts w:ascii="Arial" w:hAnsi="Arial"/>
                <w:b/>
                <w:bCs/>
                <w:sz w:val="16"/>
                <w:szCs w:val="16"/>
                <w:lang w:val="en-AU"/>
              </w:rPr>
            </w:pPr>
          </w:p>
        </w:tc>
        <w:tc>
          <w:tcPr>
            <w:tcW w:w="1191" w:type="dxa"/>
            <w:tcBorders>
              <w:left w:val="nil"/>
              <w:right w:val="nil"/>
            </w:tcBorders>
            <w:shd w:val="clear" w:color="auto" w:fill="auto"/>
            <w:noWrap/>
            <w:vAlign w:val="bottom"/>
          </w:tcPr>
          <w:p w14:paraId="34E76096" w14:textId="25D339A9" w:rsidR="00D27096" w:rsidRPr="008659FE" w:rsidRDefault="00D27096" w:rsidP="008B2430">
            <w:pPr>
              <w:spacing w:before="0" w:after="0" w:line="276" w:lineRule="auto"/>
              <w:jc w:val="right"/>
              <w:rPr>
                <w:rFonts w:ascii="Arial" w:hAnsi="Arial"/>
                <w:b/>
                <w:bCs/>
                <w:sz w:val="16"/>
                <w:szCs w:val="16"/>
                <w:lang w:val="en-AU"/>
              </w:rPr>
            </w:pPr>
            <w:r>
              <w:rPr>
                <w:rFonts w:ascii="Arial" w:hAnsi="Arial"/>
                <w:b/>
                <w:bCs/>
                <w:sz w:val="16"/>
                <w:szCs w:val="16"/>
                <w:lang w:val="en-AU"/>
              </w:rPr>
              <w:t>20,5</w:t>
            </w:r>
            <w:r w:rsidR="008B2430">
              <w:rPr>
                <w:rFonts w:ascii="Arial" w:hAnsi="Arial"/>
                <w:b/>
                <w:bCs/>
                <w:sz w:val="16"/>
                <w:szCs w:val="16"/>
                <w:lang w:val="en-AU"/>
              </w:rPr>
              <w:t>82</w:t>
            </w:r>
            <w:r>
              <w:rPr>
                <w:rFonts w:ascii="Arial" w:hAnsi="Arial"/>
                <w:b/>
                <w:bCs/>
                <w:sz w:val="16"/>
                <w:szCs w:val="16"/>
                <w:lang w:val="en-AU"/>
              </w:rPr>
              <w:t>.</w:t>
            </w:r>
            <w:r w:rsidR="008B2430">
              <w:rPr>
                <w:rFonts w:ascii="Arial" w:hAnsi="Arial"/>
                <w:b/>
                <w:bCs/>
                <w:sz w:val="16"/>
                <w:szCs w:val="16"/>
                <w:lang w:val="en-AU"/>
              </w:rPr>
              <w:t>3</w:t>
            </w:r>
          </w:p>
        </w:tc>
        <w:tc>
          <w:tcPr>
            <w:tcW w:w="1413" w:type="dxa"/>
            <w:tcBorders>
              <w:left w:val="nil"/>
              <w:right w:val="nil"/>
            </w:tcBorders>
            <w:shd w:val="clear" w:color="auto" w:fill="auto"/>
            <w:noWrap/>
            <w:vAlign w:val="bottom"/>
          </w:tcPr>
          <w:p w14:paraId="2B712FC3" w14:textId="77777777" w:rsidR="00D27096" w:rsidRPr="009E4B9D" w:rsidRDefault="00D27096" w:rsidP="00D27096">
            <w:pPr>
              <w:spacing w:before="0" w:after="0" w:line="276" w:lineRule="auto"/>
              <w:jc w:val="right"/>
              <w:rPr>
                <w:rFonts w:ascii="Arial" w:hAnsi="Arial"/>
                <w:b/>
                <w:sz w:val="16"/>
                <w:szCs w:val="16"/>
                <w:lang w:eastAsia="en-US"/>
              </w:rPr>
            </w:pPr>
            <w:r>
              <w:rPr>
                <w:rFonts w:ascii="Arial" w:hAnsi="Arial"/>
                <w:b/>
                <w:sz w:val="16"/>
                <w:szCs w:val="16"/>
                <w:lang w:eastAsia="en-US"/>
              </w:rPr>
              <w:t>10,131.2</w:t>
            </w:r>
          </w:p>
        </w:tc>
        <w:tc>
          <w:tcPr>
            <w:tcW w:w="1195" w:type="dxa"/>
            <w:tcBorders>
              <w:left w:val="nil"/>
              <w:right w:val="nil"/>
            </w:tcBorders>
            <w:shd w:val="clear" w:color="auto" w:fill="auto"/>
            <w:noWrap/>
            <w:vAlign w:val="bottom"/>
          </w:tcPr>
          <w:p w14:paraId="30421A71" w14:textId="77777777" w:rsidR="00D27096" w:rsidRPr="009E4B9D" w:rsidRDefault="00D27096" w:rsidP="00D27096">
            <w:pPr>
              <w:spacing w:before="0" w:after="0" w:line="276" w:lineRule="auto"/>
              <w:jc w:val="right"/>
              <w:rPr>
                <w:rFonts w:ascii="Arial" w:hAnsi="Arial"/>
                <w:b/>
                <w:sz w:val="16"/>
                <w:szCs w:val="16"/>
                <w:lang w:eastAsia="en-US"/>
              </w:rPr>
            </w:pPr>
            <w:r>
              <w:rPr>
                <w:rFonts w:ascii="Arial" w:hAnsi="Arial"/>
                <w:b/>
                <w:sz w:val="16"/>
                <w:szCs w:val="16"/>
                <w:lang w:eastAsia="en-US"/>
              </w:rPr>
              <w:t>3,936.2</w:t>
            </w:r>
          </w:p>
        </w:tc>
      </w:tr>
    </w:tbl>
    <w:p w14:paraId="75258CE3" w14:textId="77777777" w:rsidR="001D1B12" w:rsidRPr="00D27096" w:rsidRDefault="001D1B12" w:rsidP="0008019D">
      <w:pPr>
        <w:spacing w:before="0" w:after="0"/>
        <w:rPr>
          <w:rFonts w:ascii="Arial" w:hAnsi="Arial"/>
          <w:b/>
          <w:sz w:val="16"/>
          <w:lang w:val="en-AU"/>
        </w:rPr>
      </w:pPr>
    </w:p>
    <w:p w14:paraId="3C9AE9A9" w14:textId="77777777" w:rsidR="00070EB5" w:rsidRPr="00D27096" w:rsidRDefault="00070EB5" w:rsidP="00070EB5">
      <w:pPr>
        <w:spacing w:before="0" w:after="0"/>
        <w:rPr>
          <w:rFonts w:ascii="Arial" w:hAnsi="Arial"/>
          <w:b/>
          <w:sz w:val="14"/>
          <w:szCs w:val="14"/>
          <w:lang w:val="en-AU"/>
        </w:rPr>
      </w:pPr>
      <w:r w:rsidRPr="00D27096">
        <w:rPr>
          <w:rFonts w:ascii="Arial" w:hAnsi="Arial"/>
          <w:b/>
          <w:sz w:val="14"/>
          <w:szCs w:val="14"/>
          <w:lang w:val="en-AU"/>
        </w:rPr>
        <w:t>Notes</w:t>
      </w:r>
      <w:r w:rsidRPr="00D27096">
        <w:rPr>
          <w:rFonts w:ascii="Arial" w:hAnsi="Arial"/>
          <w:b/>
          <w:sz w:val="14"/>
          <w:szCs w:val="14"/>
          <w:lang w:val="en-AU"/>
        </w:rPr>
        <w:tab/>
      </w:r>
      <w:r w:rsidRPr="00D27096">
        <w:rPr>
          <w:rFonts w:ascii="Arial" w:hAnsi="Arial"/>
          <w:b/>
          <w:sz w:val="14"/>
          <w:szCs w:val="14"/>
          <w:lang w:val="en-AU"/>
        </w:rPr>
        <w:tab/>
      </w:r>
      <w:r w:rsidRPr="00D27096">
        <w:rPr>
          <w:rFonts w:ascii="Arial" w:hAnsi="Arial"/>
          <w:b/>
          <w:sz w:val="14"/>
          <w:szCs w:val="14"/>
          <w:lang w:val="en-AU"/>
        </w:rPr>
        <w:tab/>
      </w:r>
      <w:r w:rsidRPr="00D27096">
        <w:rPr>
          <w:rFonts w:ascii="Arial" w:hAnsi="Arial"/>
          <w:b/>
          <w:sz w:val="14"/>
          <w:szCs w:val="14"/>
          <w:lang w:val="en-AU"/>
        </w:rPr>
        <w:tab/>
      </w:r>
    </w:p>
    <w:p w14:paraId="1E02C25A" w14:textId="77777777" w:rsidR="00FB4786" w:rsidRPr="00D27096" w:rsidRDefault="004D0031" w:rsidP="00D9100A">
      <w:pPr>
        <w:pStyle w:val="ListParagraph"/>
        <w:widowControl w:val="0"/>
        <w:numPr>
          <w:ilvl w:val="2"/>
          <w:numId w:val="28"/>
        </w:numPr>
        <w:tabs>
          <w:tab w:val="left" w:pos="284"/>
        </w:tabs>
        <w:kinsoku w:val="0"/>
        <w:overflowPunct w:val="0"/>
        <w:autoSpaceDE w:val="0"/>
        <w:autoSpaceDN w:val="0"/>
        <w:adjustRightInd w:val="0"/>
        <w:spacing w:before="0" w:after="0"/>
        <w:ind w:left="0" w:firstLine="0"/>
        <w:contextualSpacing w:val="0"/>
        <w:rPr>
          <w:rFonts w:ascii="Arial" w:hAnsi="Arial"/>
          <w:sz w:val="14"/>
          <w:szCs w:val="14"/>
          <w:lang w:val="en-AU"/>
        </w:rPr>
      </w:pPr>
      <w:r w:rsidRPr="00D27096">
        <w:rPr>
          <w:rFonts w:ascii="Arial" w:hAnsi="Arial"/>
          <w:sz w:val="14"/>
          <w:szCs w:val="14"/>
          <w:lang w:val="en-AU"/>
        </w:rPr>
        <w:t>This amount represents the expenditure estimates for completed projects during their first year in-use.</w:t>
      </w:r>
      <w:r w:rsidRPr="00D27096">
        <w:rPr>
          <w:rFonts w:ascii="Arial" w:hAnsi="Arial"/>
          <w:sz w:val="14"/>
          <w:szCs w:val="14"/>
          <w:lang w:val="en-AU"/>
        </w:rPr>
        <w:tab/>
      </w:r>
      <w:r w:rsidRPr="00D27096">
        <w:rPr>
          <w:rFonts w:ascii="Arial" w:hAnsi="Arial"/>
          <w:sz w:val="14"/>
          <w:szCs w:val="14"/>
          <w:lang w:val="en-AU"/>
        </w:rPr>
        <w:tab/>
      </w:r>
      <w:r w:rsidRPr="00D27096">
        <w:rPr>
          <w:rFonts w:ascii="Arial" w:hAnsi="Arial"/>
          <w:sz w:val="14"/>
          <w:szCs w:val="14"/>
          <w:lang w:val="en-AU"/>
        </w:rPr>
        <w:tab/>
      </w:r>
      <w:r w:rsidRPr="00D27096">
        <w:rPr>
          <w:rFonts w:ascii="Arial" w:hAnsi="Arial"/>
          <w:sz w:val="14"/>
          <w:szCs w:val="14"/>
          <w:lang w:val="en-AU"/>
        </w:rPr>
        <w:tab/>
      </w:r>
    </w:p>
    <w:p w14:paraId="6AE6B4E2" w14:textId="77777777" w:rsidR="009C3616" w:rsidRPr="00D27096" w:rsidRDefault="00D27096" w:rsidP="008F0E1D">
      <w:pPr>
        <w:pStyle w:val="ListParagraph"/>
        <w:widowControl w:val="0"/>
        <w:numPr>
          <w:ilvl w:val="2"/>
          <w:numId w:val="28"/>
        </w:numPr>
        <w:tabs>
          <w:tab w:val="left" w:pos="284"/>
        </w:tabs>
        <w:kinsoku w:val="0"/>
        <w:overflowPunct w:val="0"/>
        <w:autoSpaceDE w:val="0"/>
        <w:autoSpaceDN w:val="0"/>
        <w:adjustRightInd w:val="0"/>
        <w:spacing w:before="0" w:after="0"/>
        <w:ind w:left="284" w:hanging="284"/>
        <w:contextualSpacing w:val="0"/>
        <w:rPr>
          <w:rFonts w:ascii="Arial" w:hAnsi="Arial"/>
          <w:sz w:val="14"/>
          <w:szCs w:val="14"/>
          <w:lang w:val="en-AU"/>
        </w:rPr>
      </w:pPr>
      <w:r w:rsidRPr="00D27096">
        <w:rPr>
          <w:rFonts w:ascii="Arial" w:hAnsi="Arial"/>
          <w:sz w:val="14"/>
          <w:szCs w:val="14"/>
          <w:lang w:val="en-AU"/>
        </w:rPr>
        <w:t>The sum of the individual project totals, where a project has multiple sites within the table, and the table’s total figures may differ due to rounding. Budget estimates shown as 0.0 are amounts greater than $0 but less than $50,000</w:t>
      </w:r>
      <w:r w:rsidR="004D0031" w:rsidRPr="00D27096">
        <w:rPr>
          <w:rFonts w:ascii="Arial" w:hAnsi="Arial"/>
          <w:sz w:val="14"/>
          <w:szCs w:val="14"/>
          <w:lang w:val="en-AU"/>
        </w:rPr>
        <w:t>.</w:t>
      </w:r>
    </w:p>
    <w:p w14:paraId="2FB6392A" w14:textId="77777777" w:rsidR="00EA030A" w:rsidRPr="00FB4786" w:rsidRDefault="001D1B12" w:rsidP="009C3616">
      <w:pPr>
        <w:pStyle w:val="Heading4level5"/>
        <w:rPr>
          <w:sz w:val="14"/>
          <w:szCs w:val="14"/>
          <w:lang w:val="en-AU"/>
        </w:rPr>
      </w:pPr>
      <w:r w:rsidRPr="00FB4786">
        <w:rPr>
          <w:sz w:val="14"/>
          <w:szCs w:val="14"/>
        </w:rPr>
        <w:br w:type="page"/>
      </w:r>
      <w:r w:rsidR="00595426" w:rsidRPr="00595426">
        <w:lastRenderedPageBreak/>
        <w:t xml:space="preserve">Explanation of Projects </w:t>
      </w:r>
    </w:p>
    <w:p w14:paraId="7CBBCBDB" w14:textId="77777777" w:rsidR="0099245C" w:rsidRPr="00473B3A" w:rsidRDefault="0099245C" w:rsidP="0099245C">
      <w:pPr>
        <w:pStyle w:val="Heading5level6"/>
        <w:spacing w:before="100" w:after="100"/>
        <w:rPr>
          <w:szCs w:val="20"/>
          <w:lang w:val="en-AU"/>
        </w:rPr>
      </w:pPr>
      <w:bookmarkStart w:id="926" w:name="_Toc534964321"/>
      <w:r w:rsidRPr="00473B3A">
        <w:rPr>
          <w:szCs w:val="20"/>
          <w:lang w:val="en-AU"/>
        </w:rPr>
        <w:t>Australian Capital Territory</w:t>
      </w:r>
    </w:p>
    <w:p w14:paraId="4B889B53" w14:textId="2317DC10" w:rsidR="0099245C" w:rsidRPr="00473B3A" w:rsidRDefault="0099245C" w:rsidP="0099245C">
      <w:pPr>
        <w:pStyle w:val="Heading5level6"/>
        <w:spacing w:before="100" w:after="100"/>
        <w:rPr>
          <w:b w:val="0"/>
          <w:szCs w:val="20"/>
          <w:lang w:val="en-AU"/>
        </w:rPr>
      </w:pPr>
      <w:r w:rsidRPr="00473B3A">
        <w:rPr>
          <w:b w:val="0"/>
          <w:szCs w:val="20"/>
          <w:lang w:val="en-AU"/>
        </w:rPr>
        <w:t>DEF</w:t>
      </w:r>
      <w:r w:rsidR="00AF0C40">
        <w:rPr>
          <w:b w:val="0"/>
          <w:szCs w:val="20"/>
          <w:lang w:val="en-AU"/>
        </w:rPr>
        <w:t xml:space="preserve"> </w:t>
      </w:r>
      <w:r w:rsidRPr="00473B3A">
        <w:rPr>
          <w:b w:val="0"/>
          <w:szCs w:val="20"/>
          <w:lang w:val="en-AU"/>
        </w:rPr>
        <w:t>101 Data Centre Upgrade</w:t>
      </w:r>
    </w:p>
    <w:p w14:paraId="52BBA847" w14:textId="7EFC11E2"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 xml:space="preserve">This project </w:t>
      </w:r>
      <w:r w:rsidR="008B2430" w:rsidRPr="00DC692A">
        <w:rPr>
          <w:rFonts w:ascii="Book Antiqua" w:hAnsi="Book Antiqua"/>
          <w:b w:val="0"/>
          <w:szCs w:val="20"/>
          <w:lang w:val="en-AU"/>
        </w:rPr>
        <w:t>provided</w:t>
      </w:r>
      <w:r w:rsidRPr="00DC692A">
        <w:rPr>
          <w:rFonts w:ascii="Book Antiqua" w:hAnsi="Book Antiqua"/>
          <w:b w:val="0"/>
          <w:szCs w:val="20"/>
          <w:lang w:val="en-AU"/>
        </w:rPr>
        <w:t xml:space="preserve"> infrastructure to support communications capability at HMAS </w:t>
      </w:r>
      <w:r w:rsidRPr="004070E4">
        <w:rPr>
          <w:rFonts w:ascii="Book Antiqua" w:hAnsi="Book Antiqua"/>
          <w:b w:val="0"/>
          <w:i/>
          <w:szCs w:val="20"/>
          <w:lang w:val="en-AU"/>
        </w:rPr>
        <w:t>Harman</w:t>
      </w:r>
      <w:r w:rsidRPr="00DC692A">
        <w:rPr>
          <w:rFonts w:ascii="Book Antiqua" w:hAnsi="Book Antiqua"/>
          <w:b w:val="0"/>
          <w:szCs w:val="20"/>
          <w:lang w:val="en-AU"/>
        </w:rPr>
        <w:t xml:space="preserve"> ACT through the expansion and fit-out of existing facilities. The works are complete and the project is now in the Defects Liability Period.</w:t>
      </w:r>
    </w:p>
    <w:p w14:paraId="04337F91" w14:textId="77777777" w:rsidR="0099245C" w:rsidRPr="00473B3A" w:rsidRDefault="0099245C" w:rsidP="0099245C">
      <w:pPr>
        <w:pStyle w:val="Heading5level6"/>
        <w:spacing w:before="100" w:after="100"/>
        <w:rPr>
          <w:b w:val="0"/>
          <w:szCs w:val="20"/>
          <w:lang w:val="en-AU"/>
        </w:rPr>
      </w:pPr>
      <w:r w:rsidRPr="00473B3A">
        <w:rPr>
          <w:b w:val="0"/>
          <w:szCs w:val="20"/>
          <w:lang w:val="en-AU"/>
        </w:rPr>
        <w:t xml:space="preserve">HMAS </w:t>
      </w:r>
      <w:r w:rsidRPr="00473B3A">
        <w:rPr>
          <w:b w:val="0"/>
          <w:i/>
          <w:szCs w:val="20"/>
          <w:lang w:val="en-AU"/>
        </w:rPr>
        <w:t>Harman</w:t>
      </w:r>
      <w:r w:rsidRPr="00473B3A">
        <w:rPr>
          <w:b w:val="0"/>
          <w:szCs w:val="20"/>
          <w:lang w:val="en-AU"/>
        </w:rPr>
        <w:t xml:space="preserve"> Redevelopment</w:t>
      </w:r>
    </w:p>
    <w:p w14:paraId="46B19400" w14:textId="1574A144"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 xml:space="preserve">This project is delivering facilities and infrastructure at HMAS </w:t>
      </w:r>
      <w:r w:rsidRPr="00DC692A">
        <w:rPr>
          <w:rFonts w:ascii="Book Antiqua" w:hAnsi="Book Antiqua"/>
          <w:b w:val="0"/>
          <w:i/>
          <w:szCs w:val="20"/>
          <w:lang w:val="en-AU"/>
        </w:rPr>
        <w:t>Harman</w:t>
      </w:r>
      <w:r w:rsidRPr="00DC692A">
        <w:rPr>
          <w:rFonts w:ascii="Book Antiqua" w:hAnsi="Book Antiqua"/>
          <w:b w:val="0"/>
          <w:szCs w:val="20"/>
          <w:lang w:val="en-AU"/>
        </w:rPr>
        <w:t xml:space="preserve"> ACT, including upgrading, replacing and providing new engineering services, command facility, entry precinct, office accommodation, and living-in accommodation. This project is scheduled for completion in mid</w:t>
      </w:r>
      <w:r w:rsidR="008F0E1D" w:rsidRPr="00DC692A">
        <w:rPr>
          <w:rFonts w:ascii="Book Antiqua" w:hAnsi="Book Antiqua"/>
          <w:b w:val="0"/>
          <w:szCs w:val="20"/>
          <w:lang w:val="en-AU"/>
        </w:rPr>
        <w:noBreakHyphen/>
      </w:r>
      <w:r w:rsidRPr="00DC692A">
        <w:rPr>
          <w:rFonts w:ascii="Book Antiqua" w:hAnsi="Book Antiqua"/>
          <w:b w:val="0"/>
          <w:szCs w:val="20"/>
          <w:lang w:val="en-AU"/>
        </w:rPr>
        <w:t>2026.</w:t>
      </w:r>
    </w:p>
    <w:p w14:paraId="258791ED" w14:textId="77777777" w:rsidR="0099245C" w:rsidRPr="00473B3A" w:rsidRDefault="0099245C" w:rsidP="0099245C">
      <w:pPr>
        <w:pStyle w:val="Heading5level6"/>
        <w:spacing w:before="100" w:after="100"/>
        <w:rPr>
          <w:b w:val="0"/>
          <w:szCs w:val="20"/>
          <w:lang w:val="en-AU"/>
        </w:rPr>
      </w:pPr>
      <w:r w:rsidRPr="00473B3A">
        <w:rPr>
          <w:b w:val="0"/>
          <w:szCs w:val="20"/>
          <w:lang w:val="en-AU"/>
        </w:rPr>
        <w:t xml:space="preserve">HMAS </w:t>
      </w:r>
      <w:r w:rsidRPr="00473B3A">
        <w:rPr>
          <w:b w:val="0"/>
          <w:i/>
          <w:szCs w:val="20"/>
          <w:lang w:val="en-AU"/>
        </w:rPr>
        <w:t>Creswell</w:t>
      </w:r>
      <w:r w:rsidRPr="00473B3A">
        <w:rPr>
          <w:b w:val="0"/>
          <w:szCs w:val="20"/>
          <w:lang w:val="en-AU"/>
        </w:rPr>
        <w:t xml:space="preserve"> Mid-Term Refresh</w:t>
      </w:r>
    </w:p>
    <w:p w14:paraId="5CF60757" w14:textId="77777777"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 xml:space="preserve">This project is refurbishing existing facilities and infrastructure at HMAS </w:t>
      </w:r>
      <w:r w:rsidRPr="00DC692A">
        <w:rPr>
          <w:rFonts w:ascii="Book Antiqua" w:hAnsi="Book Antiqua"/>
          <w:b w:val="0"/>
          <w:i/>
          <w:szCs w:val="20"/>
          <w:lang w:val="en-AU"/>
        </w:rPr>
        <w:t>Creswell</w:t>
      </w:r>
      <w:r w:rsidRPr="00DC692A">
        <w:rPr>
          <w:rFonts w:ascii="Book Antiqua" w:hAnsi="Book Antiqua"/>
          <w:b w:val="0"/>
          <w:szCs w:val="20"/>
          <w:lang w:val="en-AU"/>
        </w:rPr>
        <w:t xml:space="preserve"> Jervis Bay ACT, including engineering services, car parking, and entry precinct. This project is scheduled for completion in mid-2025.</w:t>
      </w:r>
    </w:p>
    <w:p w14:paraId="65847111" w14:textId="77777777" w:rsidR="0099245C" w:rsidRPr="00473B3A" w:rsidRDefault="0099245C" w:rsidP="0099245C">
      <w:pPr>
        <w:pStyle w:val="Heading5level6"/>
        <w:spacing w:before="100" w:after="100"/>
        <w:rPr>
          <w:szCs w:val="20"/>
          <w:lang w:val="en-AU"/>
        </w:rPr>
      </w:pPr>
      <w:r w:rsidRPr="00473B3A">
        <w:rPr>
          <w:szCs w:val="20"/>
          <w:lang w:val="en-AU"/>
        </w:rPr>
        <w:t>New South Wales</w:t>
      </w:r>
    </w:p>
    <w:p w14:paraId="24F27890" w14:textId="77777777" w:rsidR="0099245C" w:rsidRPr="00473B3A" w:rsidRDefault="0099245C" w:rsidP="0099245C">
      <w:pPr>
        <w:pStyle w:val="Heading5level6"/>
        <w:spacing w:before="100" w:after="100"/>
        <w:rPr>
          <w:b w:val="0"/>
          <w:szCs w:val="20"/>
          <w:lang w:val="en-AU"/>
        </w:rPr>
      </w:pPr>
      <w:r w:rsidRPr="00473B3A">
        <w:rPr>
          <w:b w:val="0"/>
          <w:szCs w:val="20"/>
          <w:lang w:val="en-AU"/>
        </w:rPr>
        <w:t xml:space="preserve">RAAF Base Wagga Redevelopment </w:t>
      </w:r>
    </w:p>
    <w:p w14:paraId="0507E88F" w14:textId="77777777"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This project is addressing condition, capacity and compliance issues at RAAF Base Wagga NSW, including upgrading engineering services, constructing new infrastructure, and demolishing aged facilities. This project is scheduled for completion in mid-2031.</w:t>
      </w:r>
    </w:p>
    <w:p w14:paraId="1B716AED" w14:textId="77777777" w:rsidR="0099245C" w:rsidRPr="00473B3A" w:rsidRDefault="0099245C" w:rsidP="0099245C">
      <w:pPr>
        <w:pStyle w:val="Heading5level6"/>
        <w:spacing w:before="100" w:after="100"/>
        <w:rPr>
          <w:b w:val="0"/>
          <w:szCs w:val="20"/>
          <w:lang w:val="en-AU"/>
        </w:rPr>
      </w:pPr>
      <w:r w:rsidRPr="00473B3A">
        <w:rPr>
          <w:b w:val="0"/>
          <w:szCs w:val="20"/>
          <w:lang w:val="en-AU"/>
        </w:rPr>
        <w:t xml:space="preserve">HMAS </w:t>
      </w:r>
      <w:r w:rsidRPr="00473B3A">
        <w:rPr>
          <w:b w:val="0"/>
          <w:i/>
          <w:szCs w:val="20"/>
          <w:lang w:val="en-AU"/>
        </w:rPr>
        <w:t>Watson</w:t>
      </w:r>
      <w:r w:rsidRPr="00473B3A">
        <w:rPr>
          <w:b w:val="0"/>
          <w:szCs w:val="20"/>
          <w:lang w:val="en-AU"/>
        </w:rPr>
        <w:t xml:space="preserve"> Redevelopment </w:t>
      </w:r>
    </w:p>
    <w:p w14:paraId="691FC9AE" w14:textId="77777777"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 xml:space="preserve">This project is addressing condition, capacity and compliance issues with facilities and infrastructure at HMAS </w:t>
      </w:r>
      <w:r w:rsidRPr="00DC692A">
        <w:rPr>
          <w:rFonts w:ascii="Book Antiqua" w:hAnsi="Book Antiqua"/>
          <w:b w:val="0"/>
          <w:i/>
          <w:szCs w:val="20"/>
          <w:lang w:val="en-AU"/>
        </w:rPr>
        <w:t>Watson</w:t>
      </w:r>
      <w:r w:rsidRPr="00DC692A">
        <w:rPr>
          <w:rFonts w:ascii="Book Antiqua" w:hAnsi="Book Antiqua"/>
          <w:b w:val="0"/>
          <w:szCs w:val="20"/>
          <w:lang w:val="en-AU"/>
        </w:rPr>
        <w:t xml:space="preserve">, Sydney, NSW. This includes engineering services and training facilities. This project is scheduled for completion in early-2027. </w:t>
      </w:r>
    </w:p>
    <w:p w14:paraId="03891246" w14:textId="77777777" w:rsidR="0099245C" w:rsidRPr="00473B3A" w:rsidRDefault="0099245C" w:rsidP="0099245C">
      <w:pPr>
        <w:pStyle w:val="Heading5level6"/>
        <w:spacing w:before="100" w:after="100"/>
        <w:rPr>
          <w:b w:val="0"/>
          <w:szCs w:val="20"/>
          <w:lang w:val="en-AU"/>
        </w:rPr>
      </w:pPr>
      <w:r w:rsidRPr="00473B3A">
        <w:rPr>
          <w:b w:val="0"/>
          <w:szCs w:val="20"/>
          <w:lang w:val="en-AU"/>
        </w:rPr>
        <w:t>Explosive Ordnance Facilities Northern New South Wales Redevelopment</w:t>
      </w:r>
    </w:p>
    <w:p w14:paraId="3C8EB6C9" w14:textId="014DE6D1"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This project will provide new, and remediate existing, facilities and infrastructure to support training, storage, maintenance and distribution activities at Defence Establishment Orchard Hills NSW. This project is scheduled to commence construction in mid-2025 for completion in early</w:t>
      </w:r>
      <w:r w:rsidR="00A65ED4">
        <w:rPr>
          <w:rFonts w:ascii="Book Antiqua" w:hAnsi="Book Antiqua"/>
          <w:b w:val="0"/>
          <w:szCs w:val="20"/>
          <w:lang w:val="en-AU"/>
        </w:rPr>
        <w:noBreakHyphen/>
      </w:r>
      <w:r w:rsidRPr="00DC692A">
        <w:rPr>
          <w:rFonts w:ascii="Book Antiqua" w:hAnsi="Book Antiqua"/>
          <w:b w:val="0"/>
          <w:szCs w:val="20"/>
          <w:lang w:val="en-AU"/>
        </w:rPr>
        <w:t>2029.</w:t>
      </w:r>
    </w:p>
    <w:p w14:paraId="4A070F11" w14:textId="77777777" w:rsidR="0099245C" w:rsidRPr="00473B3A" w:rsidRDefault="0099245C" w:rsidP="0099245C">
      <w:pPr>
        <w:pStyle w:val="Heading5level6"/>
        <w:spacing w:before="100" w:after="100"/>
        <w:rPr>
          <w:b w:val="0"/>
          <w:szCs w:val="20"/>
          <w:lang w:val="en-AU"/>
        </w:rPr>
      </w:pPr>
      <w:r w:rsidRPr="00473B3A">
        <w:rPr>
          <w:b w:val="0"/>
          <w:szCs w:val="20"/>
          <w:lang w:val="en-AU"/>
        </w:rPr>
        <w:t xml:space="preserve">Garden Island Critical Infrastructure Recovery Program Stage 2 </w:t>
      </w:r>
    </w:p>
    <w:p w14:paraId="0BD9D50C" w14:textId="5E20C7B8"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This project is providing upgraded wharves and engineering services to address condition, capacity and compliance issues at the Garden Island Defence Precinct, Sydney NSW. This project is scheduled for completion in mid-2026.</w:t>
      </w:r>
    </w:p>
    <w:p w14:paraId="3ECEE6FB" w14:textId="77777777" w:rsidR="0099245C" w:rsidRPr="00473B3A" w:rsidRDefault="0099245C" w:rsidP="0099245C">
      <w:pPr>
        <w:pStyle w:val="Heading5level6"/>
        <w:spacing w:before="100" w:after="100"/>
        <w:rPr>
          <w:b w:val="0"/>
          <w:szCs w:val="20"/>
          <w:lang w:val="en-AU"/>
        </w:rPr>
      </w:pPr>
      <w:r w:rsidRPr="00473B3A">
        <w:rPr>
          <w:b w:val="0"/>
          <w:szCs w:val="20"/>
          <w:lang w:val="en-AU"/>
        </w:rPr>
        <w:t>Airfield Capital Works P0008 (RAAF Base Williamtown)</w:t>
      </w:r>
    </w:p>
    <w:p w14:paraId="227FF8D0" w14:textId="77777777"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This project maintained aircraft pavements, aeronautical ground lighting and airfield drainage, and delivered associated airfield upgrade works at RAAF Base Williamtown NSW. This project has completed construction and is now in the Defects Liability Period.</w:t>
      </w:r>
    </w:p>
    <w:p w14:paraId="29F5ED45" w14:textId="77777777" w:rsidR="00DC692A" w:rsidRDefault="00DC692A">
      <w:pPr>
        <w:spacing w:before="0" w:after="0"/>
        <w:rPr>
          <w:bCs/>
          <w:iCs/>
          <w:szCs w:val="20"/>
          <w:lang w:val="en-AU"/>
        </w:rPr>
      </w:pPr>
      <w:r>
        <w:rPr>
          <w:b/>
          <w:szCs w:val="20"/>
          <w:lang w:val="en-AU"/>
        </w:rPr>
        <w:br w:type="page"/>
      </w:r>
    </w:p>
    <w:p w14:paraId="2278FDEF" w14:textId="0FD643DB" w:rsidR="0099245C" w:rsidRPr="00473B3A" w:rsidRDefault="0099245C" w:rsidP="0099245C">
      <w:pPr>
        <w:pStyle w:val="Heading5level6"/>
        <w:spacing w:before="100" w:after="100"/>
        <w:rPr>
          <w:b w:val="0"/>
          <w:szCs w:val="20"/>
          <w:lang w:val="en-AU"/>
        </w:rPr>
      </w:pPr>
      <w:r w:rsidRPr="00473B3A">
        <w:rPr>
          <w:b w:val="0"/>
          <w:szCs w:val="20"/>
          <w:lang w:val="en-AU"/>
        </w:rPr>
        <w:lastRenderedPageBreak/>
        <w:t>Guided Weapons Explosive Ordnance Enterprise Program Accelerated Storage Myambat</w:t>
      </w:r>
    </w:p>
    <w:p w14:paraId="16B28069" w14:textId="77777777"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This project is providing storage at Defence Establishment Myambat NSW. This project is scheduled for completion in mid-2026.</w:t>
      </w:r>
    </w:p>
    <w:p w14:paraId="4834B173" w14:textId="77777777" w:rsidR="0099245C" w:rsidRPr="00473B3A" w:rsidRDefault="0099245C" w:rsidP="0099245C">
      <w:pPr>
        <w:pStyle w:val="Heading5level6"/>
        <w:spacing w:before="100" w:after="100"/>
        <w:rPr>
          <w:b w:val="0"/>
          <w:szCs w:val="20"/>
          <w:lang w:val="en-AU"/>
        </w:rPr>
      </w:pPr>
      <w:r w:rsidRPr="00473B3A">
        <w:rPr>
          <w:b w:val="0"/>
          <w:szCs w:val="20"/>
          <w:lang w:val="en-AU"/>
        </w:rPr>
        <w:t>Guided Weapons Explosive Ordnance Enterprise Program Accelerated Storage Jennings</w:t>
      </w:r>
    </w:p>
    <w:p w14:paraId="288869D0" w14:textId="3856376E"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 xml:space="preserve">This project </w:t>
      </w:r>
      <w:r w:rsidR="008B2430" w:rsidRPr="00DC692A">
        <w:rPr>
          <w:rFonts w:ascii="Book Antiqua" w:hAnsi="Book Antiqua"/>
          <w:b w:val="0"/>
          <w:szCs w:val="20"/>
          <w:lang w:val="en-AU"/>
        </w:rPr>
        <w:t xml:space="preserve">is </w:t>
      </w:r>
      <w:r w:rsidRPr="00DC692A">
        <w:rPr>
          <w:rFonts w:ascii="Book Antiqua" w:hAnsi="Book Antiqua"/>
          <w:b w:val="0"/>
          <w:szCs w:val="20"/>
          <w:lang w:val="en-AU"/>
        </w:rPr>
        <w:t>provid</w:t>
      </w:r>
      <w:r w:rsidR="008B2430" w:rsidRPr="00DC692A">
        <w:rPr>
          <w:rFonts w:ascii="Book Antiqua" w:hAnsi="Book Antiqua"/>
          <w:b w:val="0"/>
          <w:szCs w:val="20"/>
          <w:lang w:val="en-AU"/>
        </w:rPr>
        <w:t>ing</w:t>
      </w:r>
      <w:r w:rsidRPr="00DC692A">
        <w:rPr>
          <w:rFonts w:ascii="Book Antiqua" w:hAnsi="Book Antiqua"/>
          <w:b w:val="0"/>
          <w:szCs w:val="20"/>
          <w:lang w:val="en-AU"/>
        </w:rPr>
        <w:t xml:space="preserve"> storage at Defence Establishment Jennings NSW. This project is scheduled for completion in early-2026.</w:t>
      </w:r>
    </w:p>
    <w:p w14:paraId="14500CA8" w14:textId="77777777" w:rsidR="0099245C" w:rsidRPr="00473B3A" w:rsidRDefault="0099245C" w:rsidP="0099245C">
      <w:pPr>
        <w:pStyle w:val="Heading5level6"/>
        <w:spacing w:before="100" w:after="100"/>
        <w:rPr>
          <w:b w:val="0"/>
          <w:szCs w:val="20"/>
          <w:lang w:val="en-AU"/>
        </w:rPr>
      </w:pPr>
      <w:r w:rsidRPr="00473B3A">
        <w:rPr>
          <w:b w:val="0"/>
          <w:szCs w:val="20"/>
          <w:lang w:val="en-AU"/>
        </w:rPr>
        <w:t>General John Baker Complex Capability Assurance Project Tranche One</w:t>
      </w:r>
    </w:p>
    <w:p w14:paraId="5E02566E" w14:textId="77777777"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 xml:space="preserve">This project is providing car parking and upgrade works at the General John Baker Complex NSW. This project is scheduled for completion in late-2025. </w:t>
      </w:r>
    </w:p>
    <w:p w14:paraId="1ABAAC27" w14:textId="77777777" w:rsidR="0099245C" w:rsidRPr="00473B3A" w:rsidRDefault="0099245C" w:rsidP="0099245C">
      <w:pPr>
        <w:pStyle w:val="Heading5level6"/>
        <w:spacing w:before="100" w:after="100"/>
        <w:rPr>
          <w:b w:val="0"/>
          <w:szCs w:val="20"/>
          <w:lang w:val="en-AU"/>
        </w:rPr>
      </w:pPr>
      <w:r w:rsidRPr="00473B3A">
        <w:rPr>
          <w:b w:val="0"/>
          <w:szCs w:val="20"/>
          <w:lang w:val="en-AU"/>
        </w:rPr>
        <w:t>Facilities to Support LAND 3025 Phase 2 Deployable Special Operations Engineer Regiment</w:t>
      </w:r>
    </w:p>
    <w:p w14:paraId="066B271E" w14:textId="77777777"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This project is delivering facilities and infrastructure to support deployable special operations engineer capability at Holsworthy Barracks NSW, including new storage, training, laboratory and office facilities. This project is scheduled for completion in mid-2025.</w:t>
      </w:r>
    </w:p>
    <w:p w14:paraId="57C8604C" w14:textId="77777777" w:rsidR="0099245C" w:rsidRPr="00473B3A" w:rsidRDefault="0099245C" w:rsidP="0099245C">
      <w:pPr>
        <w:pStyle w:val="Heading5level6"/>
        <w:spacing w:before="100" w:after="100"/>
        <w:rPr>
          <w:b w:val="0"/>
          <w:szCs w:val="20"/>
          <w:lang w:val="en-AU"/>
        </w:rPr>
      </w:pPr>
      <w:r w:rsidRPr="00473B3A">
        <w:rPr>
          <w:b w:val="0"/>
          <w:szCs w:val="20"/>
          <w:lang w:val="en-AU"/>
        </w:rPr>
        <w:t>Facilities for A Company 41st Royal New South Wales Regiment Tweed Heads Region</w:t>
      </w:r>
    </w:p>
    <w:p w14:paraId="3D231881" w14:textId="77777777"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This project is providing administration, common user, training, storage, and hardstand facilities at Tweed Heads NSW. This project is scheduled for completion in mid-2025.</w:t>
      </w:r>
    </w:p>
    <w:p w14:paraId="066FDEFD" w14:textId="77777777" w:rsidR="0099245C" w:rsidRPr="00473B3A" w:rsidRDefault="0099245C" w:rsidP="0099245C">
      <w:pPr>
        <w:pStyle w:val="Heading5level6"/>
        <w:spacing w:before="100" w:after="100"/>
        <w:rPr>
          <w:szCs w:val="20"/>
          <w:lang w:val="en-AU"/>
        </w:rPr>
      </w:pPr>
      <w:r w:rsidRPr="00473B3A">
        <w:rPr>
          <w:szCs w:val="20"/>
          <w:lang w:val="en-AU"/>
        </w:rPr>
        <w:t>Northern Territory</w:t>
      </w:r>
    </w:p>
    <w:p w14:paraId="0CCA4663" w14:textId="77777777" w:rsidR="0099245C" w:rsidRPr="00473B3A" w:rsidRDefault="0099245C" w:rsidP="0099245C">
      <w:pPr>
        <w:pStyle w:val="Heading5level6"/>
        <w:spacing w:before="100" w:after="100"/>
        <w:rPr>
          <w:b w:val="0"/>
          <w:szCs w:val="20"/>
          <w:lang w:val="en-AU"/>
        </w:rPr>
      </w:pPr>
      <w:r w:rsidRPr="00473B3A">
        <w:rPr>
          <w:b w:val="0"/>
          <w:szCs w:val="20"/>
          <w:lang w:val="en-AU"/>
        </w:rPr>
        <w:t xml:space="preserve">RAAF Base Tindal Redevelopment Stage 6 and United States Force Posture Initiative (USFPI) Airfield Works and Associated Infrastructure </w:t>
      </w:r>
    </w:p>
    <w:p w14:paraId="46FAF977" w14:textId="77777777"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This program is delivering a range of new and refurbished facilities and infrastructure, including airfield improvements and engineering services upgrades, at RAAF Base Tindal NT. This program of works is scheduled for completion in late-2026.</w:t>
      </w:r>
    </w:p>
    <w:p w14:paraId="2541183C" w14:textId="77777777" w:rsidR="0099245C" w:rsidRPr="00473B3A" w:rsidRDefault="0099245C" w:rsidP="0099245C">
      <w:pPr>
        <w:pStyle w:val="Heading5level6"/>
        <w:spacing w:before="100" w:after="100"/>
        <w:rPr>
          <w:b w:val="0"/>
          <w:szCs w:val="20"/>
          <w:lang w:val="en-AU"/>
        </w:rPr>
      </w:pPr>
      <w:r w:rsidRPr="00473B3A">
        <w:rPr>
          <w:b w:val="0"/>
          <w:szCs w:val="20"/>
          <w:lang w:val="en-AU"/>
        </w:rPr>
        <w:t>USFPI Northern Territory Training Areas and Ranges Upgrades</w:t>
      </w:r>
    </w:p>
    <w:p w14:paraId="4D4B6CA5" w14:textId="77777777"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This project is providing upgraded range facilities and associated infrastructure at the Bradshaw Field, Kangaroo Flats, Mount Bundey and Robertson Barracks Close training areas in the NT. This includes range control, training camp accommodation, small arms ranges, roads, and supporting facilities and infrastructure. This project is scheduled for completion in mid-2026.</w:t>
      </w:r>
    </w:p>
    <w:p w14:paraId="6193CE48" w14:textId="77777777" w:rsidR="0099245C" w:rsidRPr="00473B3A" w:rsidRDefault="0099245C" w:rsidP="0099245C">
      <w:pPr>
        <w:pStyle w:val="Heading5level6"/>
        <w:spacing w:before="100" w:after="100"/>
        <w:rPr>
          <w:b w:val="0"/>
          <w:szCs w:val="20"/>
          <w:lang w:val="en-AU"/>
        </w:rPr>
      </w:pPr>
      <w:r w:rsidRPr="00473B3A">
        <w:rPr>
          <w:b w:val="0"/>
          <w:szCs w:val="20"/>
          <w:lang w:val="en-AU"/>
        </w:rPr>
        <w:t>Larrakeyah Defence Precinct Redevelopment Program</w:t>
      </w:r>
    </w:p>
    <w:p w14:paraId="7E5D7FE9" w14:textId="77777777"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This program is upgrading critical base infrastructure at the Larrakeyah Defence Precinct NT. This includes upgrading engineering services and providing a new wharf. This program is scheduled for completion in late</w:t>
      </w:r>
      <w:r w:rsidRPr="00DC692A">
        <w:rPr>
          <w:rFonts w:ascii="Book Antiqua" w:hAnsi="Book Antiqua"/>
          <w:b w:val="0"/>
          <w:szCs w:val="20"/>
          <w:lang w:val="en-AU"/>
        </w:rPr>
        <w:noBreakHyphen/>
        <w:t>2026.</w:t>
      </w:r>
    </w:p>
    <w:p w14:paraId="64011317" w14:textId="77777777" w:rsidR="0099245C" w:rsidRPr="00473B3A" w:rsidRDefault="0099245C" w:rsidP="0099245C">
      <w:pPr>
        <w:pStyle w:val="Heading5level6"/>
        <w:spacing w:before="100" w:after="100"/>
        <w:rPr>
          <w:b w:val="0"/>
          <w:szCs w:val="20"/>
          <w:lang w:val="en-AU"/>
        </w:rPr>
      </w:pPr>
      <w:r w:rsidRPr="00473B3A">
        <w:rPr>
          <w:b w:val="0"/>
          <w:szCs w:val="20"/>
          <w:lang w:val="en-AU"/>
        </w:rPr>
        <w:t>Cocos (Keeling) Islands Airfield Upgrade</w:t>
      </w:r>
    </w:p>
    <w:p w14:paraId="18464687" w14:textId="77777777"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This project is upgrading the airfield and constructing supporting infrastructure at Cocos (Keeling) Islands. This project is scheduled for completion in late</w:t>
      </w:r>
      <w:r w:rsidRPr="00DC692A">
        <w:rPr>
          <w:rFonts w:ascii="Book Antiqua" w:hAnsi="Book Antiqua"/>
          <w:b w:val="0"/>
          <w:szCs w:val="20"/>
          <w:lang w:val="en-AU"/>
        </w:rPr>
        <w:noBreakHyphen/>
        <w:t>2027.</w:t>
      </w:r>
    </w:p>
    <w:p w14:paraId="5B0C7578" w14:textId="77777777" w:rsidR="0099245C" w:rsidRPr="00473B3A" w:rsidRDefault="0099245C" w:rsidP="0099245C">
      <w:pPr>
        <w:pStyle w:val="Heading5level6"/>
        <w:spacing w:before="100" w:after="100"/>
        <w:rPr>
          <w:b w:val="0"/>
          <w:szCs w:val="20"/>
          <w:lang w:val="en-AU"/>
        </w:rPr>
      </w:pPr>
      <w:r w:rsidRPr="00473B3A">
        <w:rPr>
          <w:b w:val="0"/>
          <w:szCs w:val="20"/>
          <w:lang w:val="en-AU"/>
        </w:rPr>
        <w:t>Robertson Barracks Base Improvements Project</w:t>
      </w:r>
    </w:p>
    <w:p w14:paraId="080360ED" w14:textId="77777777"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This project is upgrading engineering services, such as potable water and power, providing additional living-in accommodation, and upgrading engineering services at Robertson Barracks NT. This project is scheduled for completion in early</w:t>
      </w:r>
      <w:r w:rsidRPr="00DC692A">
        <w:rPr>
          <w:rFonts w:ascii="Book Antiqua" w:hAnsi="Book Antiqua"/>
          <w:b w:val="0"/>
          <w:szCs w:val="20"/>
          <w:lang w:val="en-AU"/>
        </w:rPr>
        <w:noBreakHyphen/>
        <w:t>2027.</w:t>
      </w:r>
    </w:p>
    <w:p w14:paraId="77E2C3A4" w14:textId="77777777" w:rsidR="00473B3A" w:rsidRDefault="00473B3A">
      <w:pPr>
        <w:spacing w:before="0" w:after="0"/>
        <w:rPr>
          <w:rFonts w:ascii="Arial" w:hAnsi="Arial"/>
          <w:bCs/>
          <w:iCs/>
          <w:szCs w:val="20"/>
          <w:lang w:val="en-AU"/>
        </w:rPr>
      </w:pPr>
      <w:r>
        <w:rPr>
          <w:b/>
          <w:szCs w:val="20"/>
          <w:lang w:val="en-AU"/>
        </w:rPr>
        <w:br w:type="page"/>
      </w:r>
    </w:p>
    <w:p w14:paraId="04AA1FE5" w14:textId="7A43034E" w:rsidR="0099245C" w:rsidRPr="00473B3A" w:rsidRDefault="0099245C" w:rsidP="0099245C">
      <w:pPr>
        <w:pStyle w:val="Heading5level6"/>
        <w:spacing w:before="100" w:after="100"/>
        <w:rPr>
          <w:b w:val="0"/>
          <w:szCs w:val="20"/>
          <w:lang w:val="en-AU"/>
        </w:rPr>
      </w:pPr>
      <w:r w:rsidRPr="00473B3A">
        <w:rPr>
          <w:b w:val="0"/>
          <w:szCs w:val="20"/>
          <w:lang w:val="en-AU"/>
        </w:rPr>
        <w:lastRenderedPageBreak/>
        <w:t>Airfield Capital Works P0009 (RAAF Darwin and Mount Bundey)</w:t>
      </w:r>
    </w:p>
    <w:p w14:paraId="58FD8027" w14:textId="70E7C698" w:rsidR="00A10B41" w:rsidRPr="00DC692A" w:rsidRDefault="0099245C" w:rsidP="00DC692A">
      <w:pPr>
        <w:pStyle w:val="Heading5level6"/>
        <w:spacing w:before="100" w:after="100"/>
        <w:rPr>
          <w:rFonts w:ascii="Book Antiqua" w:hAnsi="Book Antiqua"/>
          <w:bCs w:val="0"/>
          <w:iCs w:val="0"/>
          <w:szCs w:val="20"/>
          <w:lang w:val="en-AU"/>
        </w:rPr>
      </w:pPr>
      <w:r w:rsidRPr="00DC692A">
        <w:rPr>
          <w:rFonts w:ascii="Book Antiqua" w:hAnsi="Book Antiqua"/>
          <w:b w:val="0"/>
          <w:szCs w:val="20"/>
          <w:lang w:val="en-AU"/>
        </w:rPr>
        <w:t>This project is maintaining aircraft pavements and aeronautical ground lighting at RAAF Base Darwin NT and Mount Bundey NT. This project is scheduled for completion in mid-2026.</w:t>
      </w:r>
    </w:p>
    <w:p w14:paraId="102A4FFB" w14:textId="77777777" w:rsidR="0099245C" w:rsidRPr="00473B3A" w:rsidRDefault="0099245C" w:rsidP="0099245C">
      <w:pPr>
        <w:pStyle w:val="Heading5level6"/>
        <w:spacing w:before="100" w:after="100"/>
        <w:rPr>
          <w:b w:val="0"/>
          <w:szCs w:val="20"/>
          <w:lang w:val="en-AU"/>
        </w:rPr>
      </w:pPr>
      <w:r w:rsidRPr="00473B3A">
        <w:rPr>
          <w:b w:val="0"/>
          <w:szCs w:val="20"/>
          <w:lang w:val="en-AU"/>
        </w:rPr>
        <w:t>RAAF Base Darwin Mid-Term Refresh</w:t>
      </w:r>
    </w:p>
    <w:p w14:paraId="424B14AB" w14:textId="77777777"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This project is upgrading the entry and engineering services, such as water and sewer networks, at RAAF Base Darwin NT. This project is scheduled for completion in early</w:t>
      </w:r>
      <w:r w:rsidRPr="00DC692A">
        <w:rPr>
          <w:rFonts w:ascii="Book Antiqua" w:hAnsi="Book Antiqua"/>
          <w:b w:val="0"/>
          <w:szCs w:val="20"/>
          <w:lang w:val="en-AU"/>
        </w:rPr>
        <w:noBreakHyphen/>
        <w:t xml:space="preserve">2027. </w:t>
      </w:r>
    </w:p>
    <w:p w14:paraId="5564BEB5" w14:textId="77777777" w:rsidR="0099245C" w:rsidRPr="00473B3A" w:rsidRDefault="0099245C" w:rsidP="0099245C">
      <w:pPr>
        <w:pStyle w:val="Heading5level6"/>
        <w:spacing w:before="100" w:after="100"/>
        <w:rPr>
          <w:szCs w:val="20"/>
          <w:lang w:val="en-AU"/>
        </w:rPr>
      </w:pPr>
      <w:r w:rsidRPr="00473B3A">
        <w:rPr>
          <w:szCs w:val="20"/>
          <w:lang w:val="en-AU"/>
        </w:rPr>
        <w:t>Queensland</w:t>
      </w:r>
    </w:p>
    <w:p w14:paraId="14F516C0" w14:textId="77777777" w:rsidR="0099245C" w:rsidRPr="00473B3A" w:rsidRDefault="0099245C" w:rsidP="0099245C">
      <w:pPr>
        <w:pStyle w:val="Heading5level6"/>
        <w:spacing w:before="100" w:after="100"/>
        <w:rPr>
          <w:b w:val="0"/>
          <w:szCs w:val="20"/>
          <w:lang w:val="en-AU"/>
        </w:rPr>
      </w:pPr>
      <w:r w:rsidRPr="00473B3A">
        <w:rPr>
          <w:b w:val="0"/>
          <w:szCs w:val="20"/>
          <w:lang w:val="en-AU"/>
        </w:rPr>
        <w:t>Army Aviation Program of Works</w:t>
      </w:r>
    </w:p>
    <w:p w14:paraId="197673EE" w14:textId="058FD428"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 xml:space="preserve">This program of works is providing facilities and infrastructure to support new helicopter capability at RAAF Base Townsville and Townsville Field Training Area QLD. This program is scheduled for completion in </w:t>
      </w:r>
      <w:r w:rsidR="008B2430" w:rsidRPr="00DC692A">
        <w:rPr>
          <w:rFonts w:ascii="Book Antiqua" w:hAnsi="Book Antiqua"/>
          <w:b w:val="0"/>
          <w:szCs w:val="20"/>
          <w:lang w:val="en-AU"/>
        </w:rPr>
        <w:t>late</w:t>
      </w:r>
      <w:r w:rsidRPr="00DC692A">
        <w:rPr>
          <w:rFonts w:ascii="Book Antiqua" w:hAnsi="Book Antiqua"/>
          <w:b w:val="0"/>
          <w:szCs w:val="20"/>
          <w:lang w:val="en-AU"/>
        </w:rPr>
        <w:t>-2028.</w:t>
      </w:r>
    </w:p>
    <w:p w14:paraId="704A436E" w14:textId="77777777" w:rsidR="0099245C" w:rsidRPr="00473B3A" w:rsidRDefault="0099245C" w:rsidP="0099245C">
      <w:pPr>
        <w:pStyle w:val="Heading5level6"/>
        <w:spacing w:before="100" w:after="100"/>
        <w:rPr>
          <w:b w:val="0"/>
          <w:szCs w:val="20"/>
          <w:lang w:val="en-AU"/>
        </w:rPr>
      </w:pPr>
      <w:r w:rsidRPr="00473B3A">
        <w:rPr>
          <w:b w:val="0"/>
          <w:szCs w:val="20"/>
          <w:lang w:val="en-AU"/>
        </w:rPr>
        <w:t>Airfield Capital Works P0012 (RAAF Townsville)</w:t>
      </w:r>
    </w:p>
    <w:p w14:paraId="6C09C839" w14:textId="77777777"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This project is maintaining aircraft pavements and aeronautical ground lighting at RAAF Base Townsville QLD. This project is scheduled for completion in late-2026.</w:t>
      </w:r>
    </w:p>
    <w:p w14:paraId="64A1D6C2" w14:textId="77777777" w:rsidR="0099245C" w:rsidRPr="00473B3A" w:rsidRDefault="0099245C" w:rsidP="0099245C">
      <w:pPr>
        <w:pStyle w:val="Heading5level6"/>
        <w:spacing w:before="100" w:after="100"/>
        <w:rPr>
          <w:b w:val="0"/>
          <w:szCs w:val="20"/>
          <w:lang w:val="en-AU"/>
        </w:rPr>
      </w:pPr>
      <w:r w:rsidRPr="00473B3A">
        <w:rPr>
          <w:b w:val="0"/>
          <w:szCs w:val="20"/>
          <w:lang w:val="en-AU"/>
        </w:rPr>
        <w:t>RAAF Townsville Mid-Term Refresh Project</w:t>
      </w:r>
    </w:p>
    <w:p w14:paraId="2FB8B794" w14:textId="1AC3D289"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 xml:space="preserve">This project </w:t>
      </w:r>
      <w:r w:rsidR="00501260" w:rsidRPr="00DC692A">
        <w:rPr>
          <w:rFonts w:ascii="Book Antiqua" w:hAnsi="Book Antiqua"/>
          <w:b w:val="0"/>
          <w:szCs w:val="20"/>
          <w:lang w:val="en-AU"/>
        </w:rPr>
        <w:t>upgraded</w:t>
      </w:r>
      <w:r w:rsidRPr="00DC692A">
        <w:rPr>
          <w:rFonts w:ascii="Book Antiqua" w:hAnsi="Book Antiqua"/>
          <w:b w:val="0"/>
          <w:szCs w:val="20"/>
          <w:lang w:val="en-AU"/>
        </w:rPr>
        <w:t xml:space="preserve"> engineering services including potable water and power, refurbishing working accommodation, and providing additional transit living-in accommodation at RAAF Base Townsville QLD. This project has completed construction and is now in the Defects Liability Period.</w:t>
      </w:r>
    </w:p>
    <w:p w14:paraId="5C678035" w14:textId="77777777" w:rsidR="0099245C" w:rsidRPr="00473B3A" w:rsidRDefault="0099245C" w:rsidP="0099245C">
      <w:pPr>
        <w:pStyle w:val="Heading5level6"/>
        <w:spacing w:before="100" w:after="100"/>
        <w:rPr>
          <w:b w:val="0"/>
          <w:szCs w:val="20"/>
          <w:lang w:val="en-AU"/>
        </w:rPr>
      </w:pPr>
      <w:r w:rsidRPr="00473B3A">
        <w:rPr>
          <w:b w:val="0"/>
          <w:szCs w:val="20"/>
          <w:lang w:val="en-AU"/>
        </w:rPr>
        <w:t>Townsville Field Training Area Mid-Term Refresh Project</w:t>
      </w:r>
    </w:p>
    <w:p w14:paraId="09AE4A1F" w14:textId="7D02D957"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This project upgrad</w:t>
      </w:r>
      <w:r w:rsidR="00501260" w:rsidRPr="00DC692A">
        <w:rPr>
          <w:rFonts w:ascii="Book Antiqua" w:hAnsi="Book Antiqua"/>
          <w:b w:val="0"/>
          <w:szCs w:val="20"/>
          <w:lang w:val="en-AU"/>
        </w:rPr>
        <w:t>ed</w:t>
      </w:r>
      <w:r w:rsidRPr="00DC692A">
        <w:rPr>
          <w:rFonts w:ascii="Book Antiqua" w:hAnsi="Book Antiqua"/>
          <w:b w:val="0"/>
          <w:szCs w:val="20"/>
          <w:lang w:val="en-AU"/>
        </w:rPr>
        <w:t xml:space="preserve"> engineering services including power, sewerage, stormwater and information and communications technology, and constructing a new entry point at the Townsville Field Training Area QLD. This project has completed construction and is now in the Defects Liability Period.</w:t>
      </w:r>
    </w:p>
    <w:p w14:paraId="7E5E4B11" w14:textId="77777777" w:rsidR="0099245C" w:rsidRPr="00473B3A" w:rsidRDefault="0099245C" w:rsidP="0099245C">
      <w:pPr>
        <w:pStyle w:val="Heading5level6"/>
        <w:spacing w:before="100" w:after="100"/>
        <w:rPr>
          <w:b w:val="0"/>
          <w:szCs w:val="20"/>
          <w:lang w:val="en-AU"/>
        </w:rPr>
      </w:pPr>
      <w:r w:rsidRPr="00473B3A">
        <w:rPr>
          <w:b w:val="0"/>
          <w:szCs w:val="20"/>
          <w:lang w:val="en-AU"/>
        </w:rPr>
        <w:t xml:space="preserve">HMAS </w:t>
      </w:r>
      <w:r w:rsidRPr="00473B3A">
        <w:rPr>
          <w:b w:val="0"/>
          <w:i/>
          <w:szCs w:val="20"/>
          <w:lang w:val="en-AU"/>
        </w:rPr>
        <w:t>Cairns</w:t>
      </w:r>
      <w:r w:rsidRPr="00473B3A">
        <w:rPr>
          <w:b w:val="0"/>
          <w:szCs w:val="20"/>
          <w:lang w:val="en-AU"/>
        </w:rPr>
        <w:t xml:space="preserve"> Mid-Term Refresh Project</w:t>
      </w:r>
    </w:p>
    <w:p w14:paraId="0272DA25" w14:textId="7D993B89" w:rsidR="0099245C" w:rsidRPr="00DC692A" w:rsidRDefault="00501260"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 xml:space="preserve">This project </w:t>
      </w:r>
      <w:r w:rsidR="0099245C" w:rsidRPr="00DC692A">
        <w:rPr>
          <w:rFonts w:ascii="Book Antiqua" w:hAnsi="Book Antiqua"/>
          <w:b w:val="0"/>
          <w:szCs w:val="20"/>
          <w:lang w:val="en-AU"/>
        </w:rPr>
        <w:t>upgrad</w:t>
      </w:r>
      <w:r w:rsidRPr="00DC692A">
        <w:rPr>
          <w:rFonts w:ascii="Book Antiqua" w:hAnsi="Book Antiqua"/>
          <w:b w:val="0"/>
          <w:szCs w:val="20"/>
          <w:lang w:val="en-AU"/>
        </w:rPr>
        <w:t>ed</w:t>
      </w:r>
      <w:r w:rsidR="0099245C" w:rsidRPr="00DC692A">
        <w:rPr>
          <w:rFonts w:ascii="Book Antiqua" w:hAnsi="Book Antiqua"/>
          <w:b w:val="0"/>
          <w:szCs w:val="20"/>
          <w:lang w:val="en-AU"/>
        </w:rPr>
        <w:t xml:space="preserve"> engineering services including firefighting systems, potable water, sewerage and stormwater, and delivering minor building refurbishment works at HMAS </w:t>
      </w:r>
      <w:r w:rsidR="0099245C" w:rsidRPr="00DC692A">
        <w:rPr>
          <w:rFonts w:ascii="Book Antiqua" w:hAnsi="Book Antiqua"/>
          <w:b w:val="0"/>
          <w:i/>
          <w:szCs w:val="20"/>
          <w:lang w:val="en-AU"/>
        </w:rPr>
        <w:t>Cairns</w:t>
      </w:r>
      <w:r w:rsidR="0099245C" w:rsidRPr="00DC692A">
        <w:rPr>
          <w:rFonts w:ascii="Book Antiqua" w:hAnsi="Book Antiqua"/>
          <w:b w:val="0"/>
          <w:szCs w:val="20"/>
          <w:lang w:val="en-AU"/>
        </w:rPr>
        <w:t xml:space="preserve"> QLD. </w:t>
      </w:r>
      <w:r w:rsidR="00214F9B">
        <w:rPr>
          <w:rFonts w:ascii="Book Antiqua" w:hAnsi="Book Antiqua"/>
          <w:b w:val="0"/>
          <w:szCs w:val="20"/>
          <w:lang w:val="en-AU"/>
        </w:rPr>
        <w:br/>
      </w:r>
      <w:r w:rsidR="00261C6F">
        <w:rPr>
          <w:rFonts w:ascii="Book Antiqua" w:hAnsi="Book Antiqua"/>
          <w:b w:val="0"/>
          <w:szCs w:val="20"/>
          <w:lang w:val="en-AU"/>
        </w:rPr>
        <w:t>T</w:t>
      </w:r>
      <w:r w:rsidR="0099245C" w:rsidRPr="00DC692A">
        <w:rPr>
          <w:rFonts w:ascii="Book Antiqua" w:hAnsi="Book Antiqua"/>
          <w:b w:val="0"/>
          <w:szCs w:val="20"/>
          <w:lang w:val="en-AU"/>
        </w:rPr>
        <w:t>his project has completed construction and is now in the Defects Liability Period.</w:t>
      </w:r>
    </w:p>
    <w:p w14:paraId="0B276070" w14:textId="77777777" w:rsidR="0099245C" w:rsidRPr="00473B3A" w:rsidRDefault="0099245C" w:rsidP="0099245C">
      <w:pPr>
        <w:pStyle w:val="Heading5level6"/>
        <w:spacing w:before="100" w:after="100"/>
        <w:rPr>
          <w:b w:val="0"/>
          <w:szCs w:val="20"/>
          <w:lang w:val="en-AU"/>
        </w:rPr>
      </w:pPr>
      <w:r w:rsidRPr="00473B3A">
        <w:rPr>
          <w:b w:val="0"/>
          <w:szCs w:val="20"/>
          <w:lang w:val="en-AU"/>
        </w:rPr>
        <w:t xml:space="preserve">LAND 4502 Phase 1 Additional CH-47F Chinook Facilities </w:t>
      </w:r>
    </w:p>
    <w:p w14:paraId="00AB5580" w14:textId="4E159610"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This project provid</w:t>
      </w:r>
      <w:r w:rsidR="00501260" w:rsidRPr="00DC692A">
        <w:rPr>
          <w:rFonts w:ascii="Book Antiqua" w:hAnsi="Book Antiqua"/>
          <w:b w:val="0"/>
          <w:szCs w:val="20"/>
          <w:lang w:val="en-AU"/>
        </w:rPr>
        <w:t>ed</w:t>
      </w:r>
      <w:r w:rsidRPr="00DC692A">
        <w:rPr>
          <w:rFonts w:ascii="Book Antiqua" w:hAnsi="Book Antiqua"/>
          <w:b w:val="0"/>
          <w:szCs w:val="20"/>
          <w:lang w:val="en-AU"/>
        </w:rPr>
        <w:t xml:space="preserve"> new facilities to support CH-47F Chinook Medium Lift Helicopters at</w:t>
      </w:r>
      <w:r w:rsidRPr="00DC692A">
        <w:rPr>
          <w:rFonts w:ascii="Book Antiqua" w:hAnsi="Book Antiqua"/>
          <w:b w:val="0"/>
          <w:szCs w:val="20"/>
          <w:lang w:val="en-AU"/>
        </w:rPr>
        <w:br/>
        <w:t>RAAF Base Townsville QLD. This project has completed construction and is now in the Defects Liability Period.</w:t>
      </w:r>
    </w:p>
    <w:p w14:paraId="47FBCB6F" w14:textId="77777777" w:rsidR="0099245C" w:rsidRPr="00473B3A" w:rsidRDefault="0099245C" w:rsidP="0099245C">
      <w:pPr>
        <w:pStyle w:val="Heading5level6"/>
        <w:spacing w:before="100" w:after="100"/>
        <w:rPr>
          <w:b w:val="0"/>
          <w:szCs w:val="20"/>
          <w:lang w:val="en-AU"/>
        </w:rPr>
      </w:pPr>
      <w:r w:rsidRPr="00473B3A">
        <w:rPr>
          <w:b w:val="0"/>
          <w:szCs w:val="20"/>
          <w:lang w:val="en-AU"/>
        </w:rPr>
        <w:t>Facilities to Support LAND 129 Phase 3 Tactical Unmanned Aerial Vehicles</w:t>
      </w:r>
    </w:p>
    <w:p w14:paraId="21B837E6" w14:textId="77777777"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This project is providing facilities and infrastructure to support Tactical Unmanned Aerial Vehicle capability at Gallipoli Barracks QLD. It includes working accommodation, training, storage, and hardstand facilities. This project is scheduled for completion in early-2026.</w:t>
      </w:r>
    </w:p>
    <w:p w14:paraId="7541C6EF" w14:textId="77777777" w:rsidR="00DC692A" w:rsidRDefault="00DC692A">
      <w:pPr>
        <w:spacing w:before="0" w:after="0"/>
        <w:rPr>
          <w:bCs/>
          <w:iCs/>
          <w:szCs w:val="20"/>
          <w:lang w:val="en-AU"/>
        </w:rPr>
      </w:pPr>
      <w:r>
        <w:rPr>
          <w:b/>
          <w:szCs w:val="20"/>
          <w:lang w:val="en-AU"/>
        </w:rPr>
        <w:br w:type="page"/>
      </w:r>
    </w:p>
    <w:p w14:paraId="3345310C" w14:textId="751D047B" w:rsidR="0099245C" w:rsidRPr="00473B3A" w:rsidRDefault="0099245C" w:rsidP="0099245C">
      <w:pPr>
        <w:pStyle w:val="Heading5level6"/>
        <w:spacing w:before="100" w:after="100"/>
        <w:rPr>
          <w:b w:val="0"/>
          <w:szCs w:val="20"/>
          <w:lang w:val="en-AU"/>
        </w:rPr>
      </w:pPr>
      <w:r w:rsidRPr="00473B3A">
        <w:rPr>
          <w:b w:val="0"/>
          <w:szCs w:val="20"/>
          <w:lang w:val="en-AU"/>
        </w:rPr>
        <w:lastRenderedPageBreak/>
        <w:t xml:space="preserve">RAAF Base Amberley Sewage Treatment Plant </w:t>
      </w:r>
    </w:p>
    <w:p w14:paraId="7E9A1F14" w14:textId="13BC32B3" w:rsidR="00A10B41" w:rsidRPr="00DC692A" w:rsidRDefault="0099245C" w:rsidP="00DC692A">
      <w:pPr>
        <w:pStyle w:val="Heading5level6"/>
        <w:spacing w:before="100" w:after="100"/>
        <w:rPr>
          <w:rFonts w:ascii="Book Antiqua" w:hAnsi="Book Antiqua"/>
          <w:bCs w:val="0"/>
          <w:iCs w:val="0"/>
          <w:szCs w:val="20"/>
          <w:lang w:val="en-AU"/>
        </w:rPr>
      </w:pPr>
      <w:r w:rsidRPr="00DC692A">
        <w:rPr>
          <w:rFonts w:ascii="Book Antiqua" w:hAnsi="Book Antiqua"/>
          <w:b w:val="0"/>
          <w:szCs w:val="20"/>
          <w:lang w:val="en-AU"/>
        </w:rPr>
        <w:t>This project is providing a new sewage treatment plant and associated infrastructure and facilities, including administration and storage, at RAAF Base Amberley QLD. This project is scheduled for completion in early-2026.</w:t>
      </w:r>
    </w:p>
    <w:p w14:paraId="79A74790" w14:textId="77777777" w:rsidR="0099245C" w:rsidRPr="00473B3A" w:rsidRDefault="0099245C" w:rsidP="0099245C">
      <w:pPr>
        <w:pStyle w:val="Heading5level6"/>
        <w:spacing w:before="100" w:after="100"/>
        <w:rPr>
          <w:b w:val="0"/>
          <w:szCs w:val="20"/>
          <w:lang w:val="en-AU"/>
        </w:rPr>
      </w:pPr>
      <w:r w:rsidRPr="00473B3A">
        <w:rPr>
          <w:b w:val="0"/>
          <w:szCs w:val="20"/>
          <w:lang w:val="en-AU"/>
        </w:rPr>
        <w:t>Facilities to Support JP 8190 Phase 1 Deployable Bulk Fuel Distribution</w:t>
      </w:r>
    </w:p>
    <w:p w14:paraId="21714A16" w14:textId="77777777"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This project is providing new and refurbished training, maintenance and storage facilities to support training at RAAF Base Amberley, Lavarack Barracks, Cowley Beach Training Area, Greenbank Training Area, and Townsville Field Training Area in QLD. This project is scheduled for completion in mid</w:t>
      </w:r>
      <w:r w:rsidRPr="00DC692A">
        <w:rPr>
          <w:rFonts w:ascii="Book Antiqua" w:hAnsi="Book Antiqua"/>
          <w:b w:val="0"/>
          <w:szCs w:val="20"/>
          <w:lang w:val="en-AU"/>
        </w:rPr>
        <w:noBreakHyphen/>
        <w:t>2025.</w:t>
      </w:r>
    </w:p>
    <w:p w14:paraId="123401B1" w14:textId="77777777" w:rsidR="0099245C" w:rsidRPr="00473B3A" w:rsidRDefault="0099245C" w:rsidP="0099245C">
      <w:pPr>
        <w:pStyle w:val="Heading5level6"/>
        <w:spacing w:before="100" w:after="100"/>
        <w:rPr>
          <w:b w:val="0"/>
          <w:szCs w:val="20"/>
          <w:lang w:val="en-AU"/>
        </w:rPr>
      </w:pPr>
      <w:r w:rsidRPr="00473B3A">
        <w:rPr>
          <w:b w:val="0"/>
          <w:szCs w:val="20"/>
          <w:lang w:val="en-AU"/>
        </w:rPr>
        <w:t xml:space="preserve">Facilities to Support LAND 159 Phase 1 Lethality Systems </w:t>
      </w:r>
    </w:p>
    <w:p w14:paraId="703192A7" w14:textId="77777777"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 xml:space="preserve">This project is providing upgraded training facilities and associated infrastructure at the </w:t>
      </w:r>
      <w:r w:rsidRPr="00DC692A">
        <w:rPr>
          <w:rFonts w:ascii="Book Antiqua" w:hAnsi="Book Antiqua"/>
          <w:b w:val="0"/>
          <w:szCs w:val="20"/>
          <w:lang w:val="en-AU"/>
        </w:rPr>
        <w:br/>
        <w:t xml:space="preserve">Greenbank Training Area QLD. This project is scheduled for completion in late-2025. </w:t>
      </w:r>
    </w:p>
    <w:p w14:paraId="38D40914" w14:textId="77777777" w:rsidR="0099245C" w:rsidRPr="00473B3A" w:rsidRDefault="0099245C" w:rsidP="0099245C">
      <w:pPr>
        <w:pStyle w:val="Heading5level6"/>
        <w:spacing w:before="100" w:after="100"/>
        <w:rPr>
          <w:szCs w:val="20"/>
          <w:lang w:val="en-AU"/>
        </w:rPr>
      </w:pPr>
      <w:r w:rsidRPr="00473B3A">
        <w:rPr>
          <w:szCs w:val="20"/>
          <w:lang w:val="en-AU"/>
        </w:rPr>
        <w:t>South Australia</w:t>
      </w:r>
    </w:p>
    <w:p w14:paraId="396D1A36" w14:textId="77777777" w:rsidR="0099245C" w:rsidRPr="00473B3A" w:rsidRDefault="0099245C" w:rsidP="0099245C">
      <w:pPr>
        <w:pStyle w:val="Heading5level6"/>
        <w:spacing w:before="100" w:after="100"/>
        <w:rPr>
          <w:b w:val="0"/>
          <w:szCs w:val="20"/>
          <w:lang w:val="en-AU"/>
        </w:rPr>
      </w:pPr>
      <w:r w:rsidRPr="00473B3A">
        <w:rPr>
          <w:b w:val="0"/>
          <w:szCs w:val="20"/>
          <w:lang w:val="en-AU"/>
        </w:rPr>
        <w:t>Facilities to Support Highly Available ICT Project</w:t>
      </w:r>
    </w:p>
    <w:p w14:paraId="29934A35" w14:textId="2B825293"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 xml:space="preserve">This project </w:t>
      </w:r>
      <w:r w:rsidR="00501260" w:rsidRPr="00DC692A">
        <w:rPr>
          <w:rFonts w:ascii="Book Antiqua" w:hAnsi="Book Antiqua"/>
          <w:b w:val="0"/>
          <w:szCs w:val="20"/>
          <w:lang w:val="en-AU"/>
        </w:rPr>
        <w:t>is</w:t>
      </w:r>
      <w:r w:rsidRPr="00DC692A">
        <w:rPr>
          <w:rFonts w:ascii="Book Antiqua" w:hAnsi="Book Antiqua"/>
          <w:b w:val="0"/>
          <w:szCs w:val="20"/>
          <w:lang w:val="en-AU"/>
        </w:rPr>
        <w:t xml:space="preserve"> provid</w:t>
      </w:r>
      <w:r w:rsidR="00501260" w:rsidRPr="00DC692A">
        <w:rPr>
          <w:rFonts w:ascii="Book Antiqua" w:hAnsi="Book Antiqua"/>
          <w:b w:val="0"/>
          <w:szCs w:val="20"/>
          <w:lang w:val="en-AU"/>
        </w:rPr>
        <w:t>ing</w:t>
      </w:r>
      <w:r w:rsidRPr="00DC692A">
        <w:rPr>
          <w:rFonts w:ascii="Book Antiqua" w:hAnsi="Book Antiqua"/>
          <w:b w:val="0"/>
          <w:szCs w:val="20"/>
          <w:lang w:val="en-AU"/>
        </w:rPr>
        <w:t xml:space="preserve"> a new facility. This project is scheduled for completion in late-2027.</w:t>
      </w:r>
    </w:p>
    <w:p w14:paraId="12929CC3" w14:textId="77777777" w:rsidR="0099245C" w:rsidRPr="00473B3A" w:rsidRDefault="0099245C" w:rsidP="0099245C">
      <w:pPr>
        <w:pStyle w:val="Heading5level6"/>
        <w:spacing w:before="100" w:after="100"/>
        <w:rPr>
          <w:b w:val="0"/>
          <w:szCs w:val="20"/>
          <w:lang w:val="en-AU"/>
        </w:rPr>
      </w:pPr>
      <w:r w:rsidRPr="00473B3A">
        <w:rPr>
          <w:b w:val="0"/>
          <w:szCs w:val="20"/>
          <w:lang w:val="en-AU"/>
        </w:rPr>
        <w:t>Edinburgh Defence Precinct Mid-Term Refresh</w:t>
      </w:r>
    </w:p>
    <w:p w14:paraId="1D949F96" w14:textId="77777777"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 xml:space="preserve">This project is upgrading base infrastructure at the Edinburgh Defence Precinct SA including engineering services such as power and water. This project is scheduled for completion in </w:t>
      </w:r>
      <w:r w:rsidRPr="00DC692A">
        <w:rPr>
          <w:rFonts w:ascii="Book Antiqua" w:hAnsi="Book Antiqua"/>
          <w:b w:val="0"/>
          <w:szCs w:val="20"/>
          <w:lang w:val="en-AU"/>
        </w:rPr>
        <w:br/>
        <w:t>early-2028.</w:t>
      </w:r>
    </w:p>
    <w:p w14:paraId="69BB008D" w14:textId="77777777" w:rsidR="0099245C" w:rsidRPr="00473B3A" w:rsidRDefault="0099245C" w:rsidP="0099245C">
      <w:pPr>
        <w:pStyle w:val="Heading5level6"/>
        <w:spacing w:before="100" w:after="100"/>
        <w:rPr>
          <w:b w:val="0"/>
          <w:szCs w:val="20"/>
          <w:lang w:val="en-AU"/>
        </w:rPr>
      </w:pPr>
      <w:r w:rsidRPr="00473B3A">
        <w:rPr>
          <w:b w:val="0"/>
          <w:szCs w:val="20"/>
          <w:lang w:val="en-AU"/>
        </w:rPr>
        <w:t>Facilities to Support LAND 19 Phase 7B Short Range Ground Based Air Defence</w:t>
      </w:r>
    </w:p>
    <w:p w14:paraId="461110DE" w14:textId="77777777"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This project is providing new working accommodation, operational support, storage, training, and living-in accommodation facilities at RAAF Base Edinburgh SA. This project is scheduled for completion in mid</w:t>
      </w:r>
      <w:r w:rsidRPr="00DC692A">
        <w:rPr>
          <w:rFonts w:ascii="Book Antiqua" w:hAnsi="Book Antiqua"/>
          <w:b w:val="0"/>
          <w:szCs w:val="20"/>
          <w:lang w:val="en-AU"/>
        </w:rPr>
        <w:noBreakHyphen/>
        <w:t>2025.</w:t>
      </w:r>
    </w:p>
    <w:p w14:paraId="17C0E0DA" w14:textId="77777777" w:rsidR="0099245C" w:rsidRPr="00473B3A" w:rsidRDefault="0099245C" w:rsidP="0099245C">
      <w:pPr>
        <w:pStyle w:val="Heading5level6"/>
        <w:spacing w:before="100" w:after="100"/>
        <w:rPr>
          <w:b w:val="0"/>
          <w:szCs w:val="20"/>
          <w:lang w:val="en-AU"/>
        </w:rPr>
      </w:pPr>
      <w:r w:rsidRPr="00473B3A">
        <w:rPr>
          <w:b w:val="0"/>
          <w:szCs w:val="20"/>
          <w:lang w:val="en-AU"/>
        </w:rPr>
        <w:t xml:space="preserve">Cultana Training Area Redevelopment Phase 2 </w:t>
      </w:r>
    </w:p>
    <w:p w14:paraId="5D7EDA9E" w14:textId="77777777"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 xml:space="preserve">This project is providing new facilities and infrastructure to expand the training area into a training range at the Cultana Training Area SA. This project is scheduled for completion in </w:t>
      </w:r>
      <w:r w:rsidRPr="00DC692A">
        <w:rPr>
          <w:rFonts w:ascii="Book Antiqua" w:hAnsi="Book Antiqua"/>
          <w:b w:val="0"/>
          <w:szCs w:val="20"/>
          <w:lang w:val="en-AU"/>
        </w:rPr>
        <w:br/>
        <w:t>early-2026.</w:t>
      </w:r>
    </w:p>
    <w:p w14:paraId="6695CDEA" w14:textId="77777777" w:rsidR="0099245C" w:rsidRPr="00473B3A" w:rsidRDefault="0099245C" w:rsidP="0099245C">
      <w:pPr>
        <w:pStyle w:val="Heading5level6"/>
        <w:spacing w:before="100" w:after="100"/>
        <w:rPr>
          <w:b w:val="0"/>
          <w:szCs w:val="20"/>
          <w:lang w:val="en-AU"/>
        </w:rPr>
      </w:pPr>
      <w:r w:rsidRPr="00473B3A">
        <w:rPr>
          <w:b w:val="0"/>
          <w:szCs w:val="20"/>
          <w:lang w:val="en-AU"/>
        </w:rPr>
        <w:t>Relocation of Units from Elizabeth North Training Depot</w:t>
      </w:r>
    </w:p>
    <w:p w14:paraId="1C098724" w14:textId="77777777"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This project is providing new facilities to allow the relocation of reserve and cadet units at Elizabeth North Training Depot to the Edinburgh Defence Precinct SA. This project is scheduled for completion in early-2026.</w:t>
      </w:r>
    </w:p>
    <w:p w14:paraId="34923098" w14:textId="77777777" w:rsidR="0099245C" w:rsidRPr="00473B3A" w:rsidRDefault="0099245C" w:rsidP="0099245C">
      <w:pPr>
        <w:pStyle w:val="Heading5level6"/>
        <w:spacing w:before="100" w:after="100"/>
        <w:rPr>
          <w:b w:val="0"/>
          <w:szCs w:val="20"/>
          <w:lang w:val="en-AU"/>
        </w:rPr>
      </w:pPr>
      <w:r w:rsidRPr="00473B3A">
        <w:rPr>
          <w:b w:val="0"/>
          <w:szCs w:val="20"/>
          <w:lang w:val="en-AU"/>
        </w:rPr>
        <w:t>Facilities to Support P-8A Poseidon Capability Assurance Program</w:t>
      </w:r>
    </w:p>
    <w:p w14:paraId="675EF9C1" w14:textId="77777777"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 xml:space="preserve">This project is providing minor fit-out works to support the installation of equipment. This project is scheduled for completion in early-2026. </w:t>
      </w:r>
    </w:p>
    <w:p w14:paraId="79ECE2BA" w14:textId="77777777" w:rsidR="00DC692A" w:rsidRDefault="00DC692A">
      <w:pPr>
        <w:spacing w:before="0" w:after="0"/>
        <w:rPr>
          <w:b/>
          <w:bCs/>
          <w:iCs/>
          <w:szCs w:val="20"/>
          <w:lang w:val="en-AU"/>
        </w:rPr>
      </w:pPr>
      <w:r>
        <w:rPr>
          <w:szCs w:val="20"/>
          <w:lang w:val="en-AU"/>
        </w:rPr>
        <w:br w:type="page"/>
      </w:r>
    </w:p>
    <w:p w14:paraId="41A04657" w14:textId="19CA1DFB" w:rsidR="0099245C" w:rsidRPr="00473B3A" w:rsidRDefault="0099245C" w:rsidP="0099245C">
      <w:pPr>
        <w:pStyle w:val="Heading5level6"/>
        <w:spacing w:before="100" w:after="100"/>
        <w:rPr>
          <w:szCs w:val="20"/>
          <w:lang w:val="en-AU"/>
        </w:rPr>
      </w:pPr>
      <w:r w:rsidRPr="00473B3A">
        <w:rPr>
          <w:szCs w:val="20"/>
          <w:lang w:val="en-AU"/>
        </w:rPr>
        <w:lastRenderedPageBreak/>
        <w:t>Tasmania</w:t>
      </w:r>
    </w:p>
    <w:p w14:paraId="3CB760A8" w14:textId="77777777" w:rsidR="0099245C" w:rsidRPr="00473B3A" w:rsidRDefault="0099245C" w:rsidP="0099245C">
      <w:pPr>
        <w:pStyle w:val="Heading5level6"/>
        <w:spacing w:before="100" w:after="100"/>
        <w:rPr>
          <w:b w:val="0"/>
          <w:szCs w:val="20"/>
          <w:lang w:val="en-AU"/>
        </w:rPr>
      </w:pPr>
      <w:r w:rsidRPr="00473B3A">
        <w:rPr>
          <w:b w:val="0"/>
          <w:szCs w:val="20"/>
          <w:lang w:val="en-AU"/>
        </w:rPr>
        <w:t>Anglesea Paterson Project</w:t>
      </w:r>
    </w:p>
    <w:p w14:paraId="48C8A130" w14:textId="77F18C99" w:rsidR="00A10B41" w:rsidRPr="00DC692A" w:rsidRDefault="0099245C" w:rsidP="00DC692A">
      <w:pPr>
        <w:pStyle w:val="Heading5level6"/>
        <w:spacing w:before="100" w:after="100"/>
        <w:rPr>
          <w:rFonts w:ascii="Book Antiqua" w:hAnsi="Book Antiqua"/>
          <w:b w:val="0"/>
          <w:bCs w:val="0"/>
          <w:iCs w:val="0"/>
          <w:szCs w:val="20"/>
          <w:lang w:val="en-AU"/>
        </w:rPr>
      </w:pPr>
      <w:r w:rsidRPr="00DC692A">
        <w:rPr>
          <w:rFonts w:ascii="Book Antiqua" w:hAnsi="Book Antiqua"/>
          <w:b w:val="0"/>
          <w:szCs w:val="20"/>
          <w:lang w:val="en-AU"/>
        </w:rPr>
        <w:t>This project is upgrading engineering services and refurbishing buildings at Anglesea Barracks and Youngtown Depot TAS, and constructing new facilities in North Launceston TAS. This project is scheduled for completion in mid-2027.</w:t>
      </w:r>
    </w:p>
    <w:p w14:paraId="53DC7BFD" w14:textId="77777777" w:rsidR="0099245C" w:rsidRPr="00473B3A" w:rsidRDefault="0099245C" w:rsidP="0099245C">
      <w:pPr>
        <w:pStyle w:val="Heading5level6"/>
        <w:spacing w:before="100" w:after="100"/>
        <w:rPr>
          <w:szCs w:val="20"/>
          <w:lang w:val="en-AU"/>
        </w:rPr>
      </w:pPr>
      <w:r w:rsidRPr="00473B3A">
        <w:rPr>
          <w:szCs w:val="20"/>
          <w:lang w:val="en-AU"/>
        </w:rPr>
        <w:t>Victoria</w:t>
      </w:r>
    </w:p>
    <w:p w14:paraId="4C8D72AC" w14:textId="77777777" w:rsidR="0099245C" w:rsidRPr="00473B3A" w:rsidRDefault="0099245C" w:rsidP="0099245C">
      <w:pPr>
        <w:pStyle w:val="Heading5level6"/>
        <w:spacing w:before="100" w:after="100"/>
        <w:rPr>
          <w:b w:val="0"/>
          <w:szCs w:val="20"/>
          <w:lang w:val="en-AU"/>
        </w:rPr>
      </w:pPr>
      <w:r w:rsidRPr="00473B3A">
        <w:rPr>
          <w:b w:val="0"/>
          <w:szCs w:val="20"/>
          <w:lang w:val="en-AU"/>
        </w:rPr>
        <w:t xml:space="preserve">Albury-Wodonga Military Area Redevelopment </w:t>
      </w:r>
    </w:p>
    <w:p w14:paraId="6975218D" w14:textId="12A9F3C5"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 xml:space="preserve">This project </w:t>
      </w:r>
      <w:r w:rsidR="00501260" w:rsidRPr="00DC692A">
        <w:rPr>
          <w:rFonts w:ascii="Book Antiqua" w:hAnsi="Book Antiqua"/>
          <w:b w:val="0"/>
          <w:szCs w:val="20"/>
          <w:lang w:val="en-AU"/>
        </w:rPr>
        <w:t>is</w:t>
      </w:r>
      <w:r w:rsidRPr="00DC692A">
        <w:rPr>
          <w:rFonts w:ascii="Book Antiqua" w:hAnsi="Book Antiqua"/>
          <w:b w:val="0"/>
          <w:szCs w:val="20"/>
          <w:lang w:val="en-AU"/>
        </w:rPr>
        <w:t xml:space="preserve"> address</w:t>
      </w:r>
      <w:r w:rsidR="00501260" w:rsidRPr="00DC692A">
        <w:rPr>
          <w:rFonts w:ascii="Book Antiqua" w:hAnsi="Book Antiqua"/>
          <w:b w:val="0"/>
          <w:szCs w:val="20"/>
          <w:lang w:val="en-AU"/>
        </w:rPr>
        <w:t>ing</w:t>
      </w:r>
      <w:r w:rsidRPr="00DC692A">
        <w:rPr>
          <w:rFonts w:ascii="Book Antiqua" w:hAnsi="Book Antiqua"/>
          <w:b w:val="0"/>
          <w:szCs w:val="20"/>
          <w:lang w:val="en-AU"/>
        </w:rPr>
        <w:t xml:space="preserve"> condition, capacity and compliance issues at the Albury-Wodonga Military Area VIC, including upgrading engineering services, constructing new facilities and infrastructure, and demolishing aged facilities. This project is </w:t>
      </w:r>
      <w:r w:rsidR="00501260" w:rsidRPr="00DC692A">
        <w:rPr>
          <w:rFonts w:ascii="Book Antiqua" w:hAnsi="Book Antiqua"/>
          <w:b w:val="0"/>
          <w:szCs w:val="20"/>
          <w:lang w:val="en-AU"/>
        </w:rPr>
        <w:t xml:space="preserve">scheduled </w:t>
      </w:r>
      <w:r w:rsidR="002072BD" w:rsidRPr="00DC692A">
        <w:rPr>
          <w:rFonts w:ascii="Book Antiqua" w:hAnsi="Book Antiqua"/>
          <w:b w:val="0"/>
          <w:szCs w:val="20"/>
          <w:lang w:val="en-AU"/>
        </w:rPr>
        <w:t>for completion in late</w:t>
      </w:r>
      <w:r w:rsidR="002072BD" w:rsidRPr="00DC692A">
        <w:rPr>
          <w:rFonts w:ascii="Book Antiqua" w:hAnsi="Book Antiqua"/>
          <w:b w:val="0"/>
          <w:szCs w:val="20"/>
          <w:lang w:val="en-AU"/>
        </w:rPr>
        <w:noBreakHyphen/>
      </w:r>
      <w:r w:rsidRPr="00DC692A">
        <w:rPr>
          <w:rFonts w:ascii="Book Antiqua" w:hAnsi="Book Antiqua"/>
          <w:b w:val="0"/>
          <w:szCs w:val="20"/>
          <w:lang w:val="en-AU"/>
        </w:rPr>
        <w:t>2029.</w:t>
      </w:r>
    </w:p>
    <w:p w14:paraId="4D94FBBC" w14:textId="77777777" w:rsidR="0099245C" w:rsidRPr="00473B3A" w:rsidRDefault="0099245C" w:rsidP="0099245C">
      <w:pPr>
        <w:pStyle w:val="Heading5level6"/>
        <w:spacing w:before="100" w:after="100"/>
        <w:rPr>
          <w:b w:val="0"/>
          <w:szCs w:val="20"/>
          <w:lang w:val="en-AU"/>
        </w:rPr>
      </w:pPr>
      <w:r w:rsidRPr="00473B3A">
        <w:rPr>
          <w:b w:val="0"/>
          <w:szCs w:val="20"/>
          <w:lang w:val="en-AU"/>
        </w:rPr>
        <w:t>Fishermans Bend Redevelopment</w:t>
      </w:r>
    </w:p>
    <w:p w14:paraId="678A2925" w14:textId="77777777"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This project is addressing condition, capacity and compliance issues at Fishermans Bend VIC, including upgrading engineering services, refurbishing existing facilities and providing new working accommodation. This project is scheduled for completion in early-2027.</w:t>
      </w:r>
    </w:p>
    <w:p w14:paraId="3A596614" w14:textId="1B1877A4" w:rsidR="0099245C" w:rsidRPr="00473B3A" w:rsidRDefault="0099245C" w:rsidP="0099245C">
      <w:pPr>
        <w:pStyle w:val="Heading5level6"/>
        <w:spacing w:before="100" w:after="100"/>
        <w:rPr>
          <w:b w:val="0"/>
          <w:szCs w:val="20"/>
          <w:lang w:val="en-AU"/>
        </w:rPr>
      </w:pPr>
      <w:r w:rsidRPr="00473B3A">
        <w:rPr>
          <w:b w:val="0"/>
          <w:szCs w:val="20"/>
          <w:lang w:val="en-AU"/>
        </w:rPr>
        <w:t>Facilities to Support JP</w:t>
      </w:r>
      <w:r w:rsidR="00AF0C40">
        <w:rPr>
          <w:b w:val="0"/>
          <w:szCs w:val="20"/>
          <w:lang w:val="en-AU"/>
        </w:rPr>
        <w:t xml:space="preserve"> </w:t>
      </w:r>
      <w:r w:rsidRPr="00473B3A">
        <w:rPr>
          <w:b w:val="0"/>
          <w:szCs w:val="20"/>
          <w:lang w:val="en-AU"/>
        </w:rPr>
        <w:t xml:space="preserve">8218 Theatre Logistics </w:t>
      </w:r>
    </w:p>
    <w:p w14:paraId="12ADEDDA" w14:textId="77777777"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This project is providing infrastructure at North Bandiana VIC, including vehicle shelters, civil works and engineering services. This project is scheduled for completion in mid-2026.</w:t>
      </w:r>
    </w:p>
    <w:p w14:paraId="358A7CD8" w14:textId="77777777" w:rsidR="0099245C" w:rsidRPr="00473B3A" w:rsidRDefault="0099245C" w:rsidP="0099245C">
      <w:pPr>
        <w:pStyle w:val="Heading5level6"/>
        <w:spacing w:before="100" w:after="100"/>
        <w:rPr>
          <w:szCs w:val="20"/>
          <w:lang w:val="en-AU"/>
        </w:rPr>
      </w:pPr>
      <w:r w:rsidRPr="00473B3A">
        <w:rPr>
          <w:szCs w:val="20"/>
          <w:lang w:val="en-AU"/>
        </w:rPr>
        <w:t>Western Australia</w:t>
      </w:r>
    </w:p>
    <w:p w14:paraId="1CE42A3C" w14:textId="77777777" w:rsidR="0099245C" w:rsidRPr="00473B3A" w:rsidRDefault="0099245C" w:rsidP="0099245C">
      <w:pPr>
        <w:pStyle w:val="Heading5level6"/>
        <w:spacing w:before="100" w:after="100"/>
        <w:rPr>
          <w:b w:val="0"/>
          <w:szCs w:val="20"/>
          <w:lang w:val="en-AU"/>
        </w:rPr>
      </w:pPr>
      <w:r w:rsidRPr="00473B3A">
        <w:rPr>
          <w:b w:val="0"/>
          <w:szCs w:val="20"/>
          <w:lang w:val="en-AU"/>
        </w:rPr>
        <w:t xml:space="preserve">DEF 01 Submarine Rotational Force - West Infrastructure Project Priority Works </w:t>
      </w:r>
    </w:p>
    <w:p w14:paraId="78350960" w14:textId="77777777"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 xml:space="preserve">This project is delivering infrastructure enhancements and upgrades at HMAS </w:t>
      </w:r>
      <w:r w:rsidRPr="00473B3A">
        <w:rPr>
          <w:rFonts w:ascii="Book Antiqua" w:hAnsi="Book Antiqua"/>
          <w:b w:val="0"/>
          <w:i/>
          <w:szCs w:val="20"/>
          <w:lang w:val="en-AU"/>
        </w:rPr>
        <w:t>Stirling</w:t>
      </w:r>
      <w:r w:rsidRPr="00DC692A">
        <w:rPr>
          <w:rFonts w:ascii="Book Antiqua" w:hAnsi="Book Antiqua"/>
          <w:b w:val="0"/>
          <w:szCs w:val="20"/>
          <w:lang w:val="en-AU"/>
        </w:rPr>
        <w:t xml:space="preserve"> WA to support the safe and secure operation of conventionally-armed, nuclear-powered submarines, and the establishment of the Submarine Rotational Force – West. This project is scheduled for completion in 2027.</w:t>
      </w:r>
    </w:p>
    <w:p w14:paraId="25B58FF4" w14:textId="77777777" w:rsidR="0099245C" w:rsidRPr="00473B3A" w:rsidRDefault="0099245C" w:rsidP="0099245C">
      <w:pPr>
        <w:pStyle w:val="Heading5level6"/>
        <w:spacing w:before="100" w:after="100"/>
        <w:rPr>
          <w:b w:val="0"/>
          <w:szCs w:val="20"/>
          <w:lang w:val="en-AU"/>
        </w:rPr>
      </w:pPr>
      <w:r w:rsidRPr="00473B3A">
        <w:rPr>
          <w:b w:val="0"/>
          <w:szCs w:val="20"/>
          <w:lang w:val="en-AU"/>
        </w:rPr>
        <w:t>RAAF Base Learmonth Redevelopment Enabling KC-30A Operations</w:t>
      </w:r>
    </w:p>
    <w:p w14:paraId="416042A8" w14:textId="1693D773"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 xml:space="preserve">This project is upgrading the airfield including the runway, taxiway and parking aprons at </w:t>
      </w:r>
      <w:r w:rsidRPr="00DC692A">
        <w:rPr>
          <w:rFonts w:ascii="Book Antiqua" w:hAnsi="Book Antiqua"/>
          <w:b w:val="0"/>
          <w:szCs w:val="20"/>
          <w:lang w:val="en-AU"/>
        </w:rPr>
        <w:br/>
        <w:t xml:space="preserve">RAAF Base Learmonth WA. This project is </w:t>
      </w:r>
      <w:r w:rsidR="002072BD" w:rsidRPr="00DC692A">
        <w:rPr>
          <w:rFonts w:ascii="Book Antiqua" w:hAnsi="Book Antiqua"/>
          <w:b w:val="0"/>
          <w:szCs w:val="20"/>
          <w:lang w:val="en-AU"/>
        </w:rPr>
        <w:t>scheduled for completion in mid</w:t>
      </w:r>
      <w:r w:rsidR="002072BD" w:rsidRPr="00DC692A">
        <w:rPr>
          <w:rFonts w:ascii="Book Antiqua" w:hAnsi="Book Antiqua"/>
          <w:b w:val="0"/>
          <w:szCs w:val="20"/>
          <w:lang w:val="en-AU"/>
        </w:rPr>
        <w:noBreakHyphen/>
      </w:r>
      <w:r w:rsidRPr="00DC692A">
        <w:rPr>
          <w:rFonts w:ascii="Book Antiqua" w:hAnsi="Book Antiqua"/>
          <w:b w:val="0"/>
          <w:szCs w:val="20"/>
          <w:lang w:val="en-AU"/>
        </w:rPr>
        <w:t xml:space="preserve">2027. </w:t>
      </w:r>
    </w:p>
    <w:p w14:paraId="24E9F7A8" w14:textId="77777777" w:rsidR="0099245C" w:rsidRPr="00473B3A" w:rsidRDefault="0099245C" w:rsidP="0099245C">
      <w:pPr>
        <w:pStyle w:val="Heading5level6"/>
        <w:spacing w:before="100" w:after="100"/>
        <w:rPr>
          <w:b w:val="0"/>
          <w:szCs w:val="20"/>
          <w:lang w:val="en-AU"/>
        </w:rPr>
      </w:pPr>
      <w:r w:rsidRPr="00473B3A">
        <w:rPr>
          <w:b w:val="0"/>
          <w:szCs w:val="20"/>
          <w:lang w:val="en-AU"/>
        </w:rPr>
        <w:t>Airfield Capital Works P0013 (Curtin and Learmonth)</w:t>
      </w:r>
    </w:p>
    <w:p w14:paraId="3ECEAC97" w14:textId="77777777"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 xml:space="preserve">This project is maintaining aircraft pavements and aeronautical ground lighting at RAAF Base Curtin WA and RAAF Base Learmonth WA. This project is scheduled for completion in </w:t>
      </w:r>
      <w:r w:rsidRPr="00DC692A">
        <w:rPr>
          <w:rFonts w:ascii="Book Antiqua" w:hAnsi="Book Antiqua"/>
          <w:b w:val="0"/>
          <w:szCs w:val="20"/>
          <w:lang w:val="en-AU"/>
        </w:rPr>
        <w:br/>
        <w:t>mid-2027.</w:t>
      </w:r>
    </w:p>
    <w:p w14:paraId="19BFFE6A" w14:textId="77777777" w:rsidR="0099245C" w:rsidRPr="00473B3A" w:rsidRDefault="0099245C" w:rsidP="0099245C">
      <w:pPr>
        <w:pStyle w:val="Heading5level6"/>
        <w:spacing w:before="100" w:after="100"/>
        <w:rPr>
          <w:b w:val="0"/>
          <w:szCs w:val="20"/>
          <w:lang w:val="en-AU"/>
        </w:rPr>
      </w:pPr>
      <w:r w:rsidRPr="00473B3A">
        <w:rPr>
          <w:b w:val="0"/>
          <w:szCs w:val="20"/>
          <w:lang w:val="en-AU"/>
        </w:rPr>
        <w:t>RAAF Base Pearce Additional Flight Training Device</w:t>
      </w:r>
    </w:p>
    <w:p w14:paraId="758FEF03" w14:textId="412B9400"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This project deliver</w:t>
      </w:r>
      <w:r w:rsidR="00501260" w:rsidRPr="00DC692A">
        <w:rPr>
          <w:rFonts w:ascii="Book Antiqua" w:hAnsi="Book Antiqua"/>
          <w:b w:val="0"/>
          <w:szCs w:val="20"/>
          <w:lang w:val="en-AU"/>
        </w:rPr>
        <w:t>ed</w:t>
      </w:r>
      <w:r w:rsidRPr="00DC692A">
        <w:rPr>
          <w:rFonts w:ascii="Book Antiqua" w:hAnsi="Book Antiqua"/>
          <w:b w:val="0"/>
          <w:szCs w:val="20"/>
          <w:lang w:val="en-AU"/>
        </w:rPr>
        <w:t xml:space="preserve"> a new facility to support training in a simulated environment at </w:t>
      </w:r>
      <w:r w:rsidRPr="00DC692A">
        <w:rPr>
          <w:rFonts w:ascii="Book Antiqua" w:hAnsi="Book Antiqua"/>
          <w:b w:val="0"/>
          <w:szCs w:val="20"/>
          <w:lang w:val="en-AU"/>
        </w:rPr>
        <w:br/>
        <w:t xml:space="preserve">RAAF Base Pearce WA. This project has completed construction and is now in the Defects Liability Period. </w:t>
      </w:r>
    </w:p>
    <w:p w14:paraId="1A6C598F" w14:textId="77777777" w:rsidR="00473B3A" w:rsidRDefault="00473B3A">
      <w:pPr>
        <w:spacing w:before="0" w:after="0"/>
        <w:rPr>
          <w:b/>
          <w:bCs/>
          <w:iCs/>
          <w:szCs w:val="20"/>
          <w:lang w:val="en-AU"/>
        </w:rPr>
      </w:pPr>
      <w:r>
        <w:rPr>
          <w:szCs w:val="20"/>
          <w:lang w:val="en-AU"/>
        </w:rPr>
        <w:br w:type="page"/>
      </w:r>
    </w:p>
    <w:p w14:paraId="2DD1435F" w14:textId="2E4B50ED" w:rsidR="0099245C" w:rsidRPr="00473B3A" w:rsidRDefault="0099245C" w:rsidP="0099245C">
      <w:pPr>
        <w:pStyle w:val="Heading5level6"/>
        <w:spacing w:before="100" w:after="100"/>
        <w:rPr>
          <w:szCs w:val="20"/>
          <w:lang w:val="en-AU"/>
        </w:rPr>
      </w:pPr>
      <w:r w:rsidRPr="00473B3A">
        <w:rPr>
          <w:szCs w:val="20"/>
          <w:lang w:val="en-AU"/>
        </w:rPr>
        <w:lastRenderedPageBreak/>
        <w:t>Various Locations</w:t>
      </w:r>
    </w:p>
    <w:p w14:paraId="501261F6" w14:textId="77777777" w:rsidR="0099245C" w:rsidRPr="00473B3A" w:rsidRDefault="0099245C" w:rsidP="0099245C">
      <w:pPr>
        <w:pStyle w:val="Heading5level6"/>
        <w:spacing w:before="100" w:after="100"/>
        <w:rPr>
          <w:b w:val="0"/>
          <w:szCs w:val="20"/>
          <w:lang w:val="en-AU"/>
        </w:rPr>
      </w:pPr>
      <w:r w:rsidRPr="00473B3A">
        <w:rPr>
          <w:b w:val="0"/>
          <w:szCs w:val="20"/>
          <w:lang w:val="en-AU"/>
        </w:rPr>
        <w:t>Enhanced Land Force (ELF) Stage 2</w:t>
      </w:r>
    </w:p>
    <w:p w14:paraId="1FE49F35" w14:textId="2D733B1F" w:rsidR="008F0E1D" w:rsidRPr="00DC692A" w:rsidRDefault="0099245C" w:rsidP="00473B3A">
      <w:pPr>
        <w:pStyle w:val="Heading5level6"/>
        <w:spacing w:before="100" w:after="100"/>
        <w:rPr>
          <w:rFonts w:ascii="Book Antiqua" w:hAnsi="Book Antiqua"/>
          <w:bCs w:val="0"/>
          <w:iCs w:val="0"/>
          <w:szCs w:val="20"/>
          <w:lang w:val="en-AU"/>
        </w:rPr>
      </w:pPr>
      <w:r w:rsidRPr="00DC692A">
        <w:rPr>
          <w:rFonts w:ascii="Book Antiqua" w:hAnsi="Book Antiqua"/>
          <w:b w:val="0"/>
          <w:szCs w:val="20"/>
          <w:lang w:val="en-AU"/>
        </w:rPr>
        <w:t>This project provided purpose-built facilities and supporting infrastructure to support ELF capabilities across various bases. This included the construction of new and refurbished accommodation, common use, and training facilities, and upgraded site infrastructure. The works are complete with the exception of access-related scope at the Cultana Training Area SA, which is scheduled for completion in late-2025.</w:t>
      </w:r>
    </w:p>
    <w:p w14:paraId="2D5EFB29" w14:textId="53FCAF79" w:rsidR="0099245C" w:rsidRPr="00473B3A" w:rsidRDefault="0099245C" w:rsidP="0099245C">
      <w:pPr>
        <w:pStyle w:val="Heading5level6"/>
        <w:spacing w:before="100" w:after="100"/>
        <w:rPr>
          <w:b w:val="0"/>
          <w:szCs w:val="20"/>
          <w:lang w:val="en-AU"/>
        </w:rPr>
      </w:pPr>
      <w:r w:rsidRPr="00473B3A">
        <w:rPr>
          <w:b w:val="0"/>
          <w:szCs w:val="20"/>
          <w:lang w:val="en-AU"/>
        </w:rPr>
        <w:t>Navy Capability Infrastructure Sub-program</w:t>
      </w:r>
    </w:p>
    <w:p w14:paraId="2FD60F9D" w14:textId="0D56E3A0"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This program of works is providing new and upgraded facilities and infrastructure across various bases to support new frigate and offshore patrol vessels</w:t>
      </w:r>
      <w:r w:rsidR="00501260" w:rsidRPr="00DC692A">
        <w:rPr>
          <w:rFonts w:ascii="Book Antiqua" w:hAnsi="Book Antiqua"/>
          <w:b w:val="0"/>
          <w:szCs w:val="20"/>
          <w:lang w:val="en-AU"/>
        </w:rPr>
        <w:t xml:space="preserve"> including:</w:t>
      </w:r>
    </w:p>
    <w:p w14:paraId="2573F970" w14:textId="77777777" w:rsidR="0099245C" w:rsidRPr="00473B3A" w:rsidRDefault="0099245C" w:rsidP="00501260">
      <w:pPr>
        <w:pStyle w:val="Heading5level6"/>
        <w:spacing w:before="100" w:after="100"/>
        <w:ind w:left="567"/>
        <w:rPr>
          <w:b w:val="0"/>
          <w:szCs w:val="20"/>
          <w:lang w:val="en-AU"/>
        </w:rPr>
      </w:pPr>
      <w:r w:rsidRPr="00473B3A">
        <w:rPr>
          <w:b w:val="0"/>
          <w:szCs w:val="20"/>
          <w:lang w:val="en-AU"/>
        </w:rPr>
        <w:t>Offshore Patrol Vessel (OPV) Facilities (SEA 1180 Phase 1)</w:t>
      </w:r>
    </w:p>
    <w:p w14:paraId="6D350EC2" w14:textId="0A821193" w:rsidR="0099245C" w:rsidRPr="00DC692A" w:rsidRDefault="0099245C" w:rsidP="00501260">
      <w:pPr>
        <w:pStyle w:val="Heading5level6"/>
        <w:spacing w:before="100" w:after="100"/>
        <w:ind w:left="567"/>
        <w:rPr>
          <w:rFonts w:ascii="Book Antiqua" w:hAnsi="Book Antiqua"/>
          <w:b w:val="0"/>
          <w:szCs w:val="20"/>
          <w:lang w:val="en-AU"/>
        </w:rPr>
      </w:pPr>
      <w:r w:rsidRPr="00DC692A">
        <w:rPr>
          <w:rFonts w:ascii="Book Antiqua" w:hAnsi="Book Antiqua"/>
          <w:b w:val="0"/>
          <w:szCs w:val="20"/>
          <w:lang w:val="en-AU"/>
        </w:rPr>
        <w:t xml:space="preserve">This project is providing berthing, training, maintenance, logistics, and support facilities to support the introduction into service of the Arafura Class OPVs at HMAS </w:t>
      </w:r>
      <w:r w:rsidRPr="00473B3A">
        <w:rPr>
          <w:rFonts w:ascii="Book Antiqua" w:hAnsi="Book Antiqua"/>
          <w:b w:val="0"/>
          <w:i/>
          <w:szCs w:val="20"/>
          <w:lang w:val="en-AU"/>
        </w:rPr>
        <w:t>Coonawarra</w:t>
      </w:r>
      <w:r w:rsidRPr="00DC692A">
        <w:rPr>
          <w:rFonts w:ascii="Book Antiqua" w:hAnsi="Book Antiqua"/>
          <w:b w:val="0"/>
          <w:szCs w:val="20"/>
          <w:lang w:val="en-AU"/>
        </w:rPr>
        <w:t xml:space="preserve"> and RAAF Base Darwin in the NT, HMAS </w:t>
      </w:r>
      <w:r w:rsidRPr="00473B3A">
        <w:rPr>
          <w:rFonts w:ascii="Book Antiqua" w:hAnsi="Book Antiqua"/>
          <w:b w:val="0"/>
          <w:i/>
          <w:szCs w:val="20"/>
          <w:lang w:val="en-AU"/>
        </w:rPr>
        <w:t>Cairns</w:t>
      </w:r>
      <w:r w:rsidRPr="00DC692A">
        <w:rPr>
          <w:rFonts w:ascii="Book Antiqua" w:hAnsi="Book Antiqua"/>
          <w:b w:val="0"/>
          <w:szCs w:val="20"/>
          <w:lang w:val="en-AU"/>
        </w:rPr>
        <w:t xml:space="preserve"> in QLD, and HMAS </w:t>
      </w:r>
      <w:r w:rsidRPr="00473B3A">
        <w:rPr>
          <w:rFonts w:ascii="Book Antiqua" w:hAnsi="Book Antiqua"/>
          <w:b w:val="0"/>
          <w:i/>
          <w:szCs w:val="20"/>
          <w:lang w:val="en-AU"/>
        </w:rPr>
        <w:t>Stirling</w:t>
      </w:r>
      <w:r w:rsidRPr="00DC692A">
        <w:rPr>
          <w:rFonts w:ascii="Book Antiqua" w:hAnsi="Book Antiqua"/>
          <w:b w:val="0"/>
          <w:szCs w:val="20"/>
          <w:lang w:val="en-AU"/>
        </w:rPr>
        <w:t xml:space="preserve"> and </w:t>
      </w:r>
      <w:r w:rsidRPr="00473B3A">
        <w:rPr>
          <w:rFonts w:ascii="Book Antiqua" w:hAnsi="Book Antiqua"/>
          <w:b w:val="0"/>
          <w:i/>
          <w:szCs w:val="20"/>
          <w:lang w:val="en-AU"/>
        </w:rPr>
        <w:t>Henderson</w:t>
      </w:r>
      <w:r w:rsidRPr="00DC692A">
        <w:rPr>
          <w:rFonts w:ascii="Book Antiqua" w:hAnsi="Book Antiqua"/>
          <w:b w:val="0"/>
          <w:szCs w:val="20"/>
          <w:lang w:val="en-AU"/>
        </w:rPr>
        <w:t xml:space="preserve"> Maritime Precinct in WA. This project is sc</w:t>
      </w:r>
      <w:r w:rsidR="002072BD" w:rsidRPr="00DC692A">
        <w:rPr>
          <w:rFonts w:ascii="Book Antiqua" w:hAnsi="Book Antiqua"/>
          <w:b w:val="0"/>
          <w:szCs w:val="20"/>
          <w:lang w:val="en-AU"/>
        </w:rPr>
        <w:t>heduled for completion in early</w:t>
      </w:r>
      <w:r w:rsidR="002072BD" w:rsidRPr="00DC692A">
        <w:rPr>
          <w:rFonts w:ascii="Book Antiqua" w:hAnsi="Book Antiqua"/>
          <w:b w:val="0"/>
          <w:szCs w:val="20"/>
          <w:lang w:val="en-AU"/>
        </w:rPr>
        <w:noBreakHyphen/>
      </w:r>
      <w:r w:rsidRPr="00DC692A">
        <w:rPr>
          <w:rFonts w:ascii="Book Antiqua" w:hAnsi="Book Antiqua"/>
          <w:b w:val="0"/>
          <w:szCs w:val="20"/>
          <w:lang w:val="en-AU"/>
        </w:rPr>
        <w:t>2029.</w:t>
      </w:r>
    </w:p>
    <w:p w14:paraId="278416D9" w14:textId="77777777" w:rsidR="0099245C" w:rsidRPr="00473B3A" w:rsidRDefault="0099245C" w:rsidP="00501260">
      <w:pPr>
        <w:pStyle w:val="Heading5level6"/>
        <w:spacing w:before="100" w:after="100"/>
        <w:ind w:left="567"/>
        <w:rPr>
          <w:b w:val="0"/>
          <w:szCs w:val="20"/>
          <w:lang w:val="en-AU"/>
        </w:rPr>
      </w:pPr>
      <w:r w:rsidRPr="00473B3A">
        <w:rPr>
          <w:b w:val="0"/>
          <w:szCs w:val="20"/>
          <w:lang w:val="en-AU"/>
        </w:rPr>
        <w:t xml:space="preserve">Hunter Class Frigate Facilities (SEA 5000 Phase 1) </w:t>
      </w:r>
    </w:p>
    <w:p w14:paraId="116D4BBE" w14:textId="0EF43B5A" w:rsidR="0099245C" w:rsidRPr="00DC692A" w:rsidRDefault="0099245C" w:rsidP="00501260">
      <w:pPr>
        <w:pStyle w:val="Heading5level6"/>
        <w:spacing w:before="100" w:after="100"/>
        <w:ind w:left="567"/>
        <w:rPr>
          <w:rFonts w:ascii="Book Antiqua" w:hAnsi="Book Antiqua"/>
          <w:b w:val="0"/>
          <w:szCs w:val="20"/>
          <w:lang w:val="en-AU"/>
        </w:rPr>
      </w:pPr>
      <w:r w:rsidRPr="00DC692A">
        <w:rPr>
          <w:rFonts w:ascii="Book Antiqua" w:hAnsi="Book Antiqua"/>
          <w:b w:val="0"/>
          <w:szCs w:val="20"/>
          <w:lang w:val="en-AU"/>
        </w:rPr>
        <w:t xml:space="preserve">This project is providing upgraded facilities and infrastructure to support the introduction of the new </w:t>
      </w:r>
      <w:r w:rsidRPr="00473B3A">
        <w:rPr>
          <w:rFonts w:ascii="Book Antiqua" w:hAnsi="Book Antiqua"/>
          <w:b w:val="0"/>
          <w:i/>
          <w:szCs w:val="20"/>
          <w:lang w:val="en-AU"/>
        </w:rPr>
        <w:t>Hunter Class</w:t>
      </w:r>
      <w:r w:rsidRPr="00DC692A">
        <w:rPr>
          <w:rFonts w:ascii="Book Antiqua" w:hAnsi="Book Antiqua"/>
          <w:b w:val="0"/>
          <w:szCs w:val="20"/>
          <w:lang w:val="en-AU"/>
        </w:rPr>
        <w:t xml:space="preserve"> frigates at HMAS </w:t>
      </w:r>
      <w:r w:rsidRPr="00473B3A">
        <w:rPr>
          <w:rFonts w:ascii="Book Antiqua" w:hAnsi="Book Antiqua"/>
          <w:b w:val="0"/>
          <w:i/>
          <w:szCs w:val="20"/>
          <w:lang w:val="en-AU"/>
        </w:rPr>
        <w:t>Watson</w:t>
      </w:r>
      <w:r w:rsidRPr="00DC692A">
        <w:rPr>
          <w:rFonts w:ascii="Book Antiqua" w:hAnsi="Book Antiqua"/>
          <w:b w:val="0"/>
          <w:szCs w:val="20"/>
          <w:lang w:val="en-AU"/>
        </w:rPr>
        <w:t xml:space="preserve"> and the Garden Island Defence Precinct in NSW, St Kilda and Osborne Naval Shipyards in SA, and HMAS </w:t>
      </w:r>
      <w:r w:rsidRPr="00473B3A">
        <w:rPr>
          <w:rFonts w:ascii="Book Antiqua" w:hAnsi="Book Antiqua"/>
          <w:b w:val="0"/>
          <w:i/>
          <w:szCs w:val="20"/>
          <w:lang w:val="en-AU"/>
        </w:rPr>
        <w:t>Stirling</w:t>
      </w:r>
      <w:r w:rsidRPr="00DC692A">
        <w:rPr>
          <w:rFonts w:ascii="Book Antiqua" w:hAnsi="Book Antiqua"/>
          <w:b w:val="0"/>
          <w:szCs w:val="20"/>
          <w:lang w:val="en-AU"/>
        </w:rPr>
        <w:t xml:space="preserve"> and </w:t>
      </w:r>
      <w:r w:rsidRPr="00473B3A">
        <w:rPr>
          <w:rFonts w:ascii="Book Antiqua" w:hAnsi="Book Antiqua"/>
          <w:b w:val="0"/>
          <w:i/>
          <w:szCs w:val="20"/>
          <w:lang w:val="en-AU"/>
        </w:rPr>
        <w:t>Henderson</w:t>
      </w:r>
      <w:r w:rsidRPr="00DC692A">
        <w:rPr>
          <w:rFonts w:ascii="Book Antiqua" w:hAnsi="Book Antiqua"/>
          <w:b w:val="0"/>
          <w:szCs w:val="20"/>
          <w:lang w:val="en-AU"/>
        </w:rPr>
        <w:t xml:space="preserve"> Maritime Precinct in WA. This project is s</w:t>
      </w:r>
      <w:r w:rsidR="002072BD" w:rsidRPr="00DC692A">
        <w:rPr>
          <w:rFonts w:ascii="Book Antiqua" w:hAnsi="Book Antiqua"/>
          <w:b w:val="0"/>
          <w:szCs w:val="20"/>
          <w:lang w:val="en-AU"/>
        </w:rPr>
        <w:t>cheduled for completion in late</w:t>
      </w:r>
      <w:r w:rsidR="002072BD" w:rsidRPr="00DC692A">
        <w:rPr>
          <w:rFonts w:ascii="Book Antiqua" w:hAnsi="Book Antiqua"/>
          <w:b w:val="0"/>
          <w:szCs w:val="20"/>
          <w:lang w:val="en-AU"/>
        </w:rPr>
        <w:noBreakHyphen/>
      </w:r>
      <w:r w:rsidRPr="00DC692A">
        <w:rPr>
          <w:rFonts w:ascii="Book Antiqua" w:hAnsi="Book Antiqua"/>
          <w:b w:val="0"/>
          <w:szCs w:val="20"/>
          <w:lang w:val="en-AU"/>
        </w:rPr>
        <w:t xml:space="preserve">2027. </w:t>
      </w:r>
    </w:p>
    <w:p w14:paraId="28FF6163" w14:textId="77777777" w:rsidR="0099245C" w:rsidRPr="00473B3A" w:rsidRDefault="0099245C" w:rsidP="0099245C">
      <w:pPr>
        <w:pStyle w:val="Heading5level6"/>
        <w:spacing w:before="100" w:after="100"/>
        <w:rPr>
          <w:b w:val="0"/>
          <w:szCs w:val="20"/>
          <w:lang w:val="en-AU"/>
        </w:rPr>
      </w:pPr>
      <w:r w:rsidRPr="00473B3A">
        <w:rPr>
          <w:b w:val="0"/>
          <w:szCs w:val="20"/>
          <w:lang w:val="en-AU"/>
        </w:rPr>
        <w:t>Maritime Patrol Aircraft Replacement (AIR 7000 Phase 2B)</w:t>
      </w:r>
    </w:p>
    <w:p w14:paraId="6847D0A1" w14:textId="2656BA95"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 xml:space="preserve">This project is providing new and upgraded facilities and infrastructure to support the introduction of P-8A aircraft at RAAF Base Edinburgh SA, RAAF Base Darwin NT, RAAF Base Townsville QLD, RAAF Base Pearce WA, and HMAS </w:t>
      </w:r>
      <w:r w:rsidRPr="00473B3A">
        <w:rPr>
          <w:rFonts w:ascii="Book Antiqua" w:hAnsi="Book Antiqua"/>
          <w:b w:val="0"/>
          <w:i/>
          <w:szCs w:val="20"/>
          <w:lang w:val="en-AU"/>
        </w:rPr>
        <w:t>Stirling</w:t>
      </w:r>
      <w:r w:rsidRPr="00DC692A">
        <w:rPr>
          <w:rFonts w:ascii="Book Antiqua" w:hAnsi="Book Antiqua"/>
          <w:b w:val="0"/>
          <w:szCs w:val="20"/>
          <w:lang w:val="en-AU"/>
        </w:rPr>
        <w:t xml:space="preserve"> WA. The works are progressively scheduled for completion at each base up to mid</w:t>
      </w:r>
      <w:r w:rsidRPr="00DC692A">
        <w:rPr>
          <w:rFonts w:ascii="Book Antiqua" w:hAnsi="Book Antiqua"/>
          <w:b w:val="0"/>
          <w:szCs w:val="20"/>
          <w:lang w:val="en-AU"/>
        </w:rPr>
        <w:noBreakHyphen/>
        <w:t>202</w:t>
      </w:r>
      <w:r w:rsidR="000F4B16" w:rsidRPr="00DC692A">
        <w:rPr>
          <w:rFonts w:ascii="Book Antiqua" w:hAnsi="Book Antiqua"/>
          <w:b w:val="0"/>
          <w:szCs w:val="20"/>
          <w:lang w:val="en-AU"/>
        </w:rPr>
        <w:t>7</w:t>
      </w:r>
      <w:r w:rsidRPr="00DC692A">
        <w:rPr>
          <w:rFonts w:ascii="Book Antiqua" w:hAnsi="Book Antiqua"/>
          <w:b w:val="0"/>
          <w:szCs w:val="20"/>
          <w:lang w:val="en-AU"/>
        </w:rPr>
        <w:t>.</w:t>
      </w:r>
    </w:p>
    <w:p w14:paraId="261B9D23" w14:textId="489D29B0" w:rsidR="0099245C" w:rsidRPr="00473B3A" w:rsidRDefault="0099245C" w:rsidP="0099245C">
      <w:pPr>
        <w:pStyle w:val="Heading5level6"/>
        <w:spacing w:before="100" w:after="100"/>
        <w:rPr>
          <w:b w:val="0"/>
          <w:szCs w:val="20"/>
          <w:lang w:val="en-AU"/>
        </w:rPr>
      </w:pPr>
      <w:r w:rsidRPr="00473B3A">
        <w:rPr>
          <w:b w:val="0"/>
          <w:szCs w:val="20"/>
          <w:lang w:val="en-AU"/>
        </w:rPr>
        <w:t>Facilities to Support JP</w:t>
      </w:r>
      <w:r w:rsidR="00AF0C40">
        <w:rPr>
          <w:b w:val="0"/>
          <w:szCs w:val="20"/>
          <w:lang w:val="en-AU"/>
        </w:rPr>
        <w:t xml:space="preserve"> </w:t>
      </w:r>
      <w:r w:rsidRPr="00473B3A">
        <w:rPr>
          <w:b w:val="0"/>
          <w:szCs w:val="20"/>
          <w:lang w:val="en-AU"/>
        </w:rPr>
        <w:t xml:space="preserve">2150 Phase 1 Joint Intelligence and Targeting Training Facility </w:t>
      </w:r>
    </w:p>
    <w:p w14:paraId="0C6809BB" w14:textId="340F7438"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 xml:space="preserve">This project </w:t>
      </w:r>
      <w:r w:rsidR="000F4B16" w:rsidRPr="00DC692A">
        <w:rPr>
          <w:rFonts w:ascii="Book Antiqua" w:hAnsi="Book Antiqua"/>
          <w:b w:val="0"/>
          <w:szCs w:val="20"/>
          <w:lang w:val="en-AU"/>
        </w:rPr>
        <w:t xml:space="preserve">is </w:t>
      </w:r>
      <w:r w:rsidRPr="00DC692A">
        <w:rPr>
          <w:rFonts w:ascii="Book Antiqua" w:hAnsi="Book Antiqua"/>
          <w:b w:val="0"/>
          <w:szCs w:val="20"/>
          <w:lang w:val="en-AU"/>
        </w:rPr>
        <w:t>provid</w:t>
      </w:r>
      <w:r w:rsidR="000F4B16" w:rsidRPr="00DC692A">
        <w:rPr>
          <w:rFonts w:ascii="Book Antiqua" w:hAnsi="Book Antiqua"/>
          <w:b w:val="0"/>
          <w:szCs w:val="20"/>
          <w:lang w:val="en-AU"/>
        </w:rPr>
        <w:t>ing</w:t>
      </w:r>
      <w:r w:rsidRPr="00DC692A">
        <w:rPr>
          <w:rFonts w:ascii="Book Antiqua" w:hAnsi="Book Antiqua"/>
          <w:b w:val="0"/>
          <w:szCs w:val="20"/>
          <w:lang w:val="en-AU"/>
        </w:rPr>
        <w:t xml:space="preserve"> a training and permanent facility at Canberra ACT and RAAF Base Edinburgh SA. This project is scheduled for completion in late-2028.</w:t>
      </w:r>
    </w:p>
    <w:p w14:paraId="0E49FF63" w14:textId="77777777" w:rsidR="0099245C" w:rsidRPr="00473B3A" w:rsidRDefault="0099245C" w:rsidP="0099245C">
      <w:pPr>
        <w:pStyle w:val="Heading5level6"/>
        <w:spacing w:before="100" w:after="100"/>
        <w:rPr>
          <w:b w:val="0"/>
          <w:szCs w:val="20"/>
          <w:lang w:val="en-AU"/>
        </w:rPr>
      </w:pPr>
      <w:r w:rsidRPr="00473B3A">
        <w:rPr>
          <w:b w:val="0"/>
          <w:szCs w:val="20"/>
          <w:lang w:val="en-AU"/>
        </w:rPr>
        <w:t>Airfield Maintenance Works P0010 (Amberley, Pearce, Richmond and Albatross)</w:t>
      </w:r>
    </w:p>
    <w:p w14:paraId="47D73223" w14:textId="73EE9404"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 xml:space="preserve">This project is maintaining aircraft pavements, aeronautical ground lighting, and drainage at </w:t>
      </w:r>
      <w:r w:rsidRPr="00DC692A">
        <w:rPr>
          <w:rFonts w:ascii="Book Antiqua" w:hAnsi="Book Antiqua"/>
          <w:b w:val="0"/>
          <w:szCs w:val="20"/>
          <w:lang w:val="en-AU"/>
        </w:rPr>
        <w:br/>
        <w:t xml:space="preserve">HMAS </w:t>
      </w:r>
      <w:r w:rsidRPr="00473B3A">
        <w:rPr>
          <w:rFonts w:ascii="Book Antiqua" w:hAnsi="Book Antiqua"/>
          <w:b w:val="0"/>
          <w:i/>
          <w:szCs w:val="20"/>
          <w:lang w:val="en-AU"/>
        </w:rPr>
        <w:t>Albatross</w:t>
      </w:r>
      <w:r w:rsidRPr="00DC692A">
        <w:rPr>
          <w:rFonts w:ascii="Book Antiqua" w:hAnsi="Book Antiqua"/>
          <w:b w:val="0"/>
          <w:szCs w:val="20"/>
          <w:lang w:val="en-AU"/>
        </w:rPr>
        <w:t xml:space="preserve"> NSW and RAAF Base Richmond NSW, RAAF Base Amberley QLD and </w:t>
      </w:r>
      <w:r w:rsidRPr="00DC692A">
        <w:rPr>
          <w:rFonts w:ascii="Book Antiqua" w:hAnsi="Book Antiqua"/>
          <w:b w:val="0"/>
          <w:szCs w:val="20"/>
          <w:lang w:val="en-AU"/>
        </w:rPr>
        <w:br/>
        <w:t xml:space="preserve">RAAF Base Pearce WA. The works are scheduled for completion in </w:t>
      </w:r>
      <w:r w:rsidR="000F4B16" w:rsidRPr="00DC692A">
        <w:rPr>
          <w:rFonts w:ascii="Book Antiqua" w:hAnsi="Book Antiqua"/>
          <w:b w:val="0"/>
          <w:szCs w:val="20"/>
          <w:lang w:val="en-AU"/>
        </w:rPr>
        <w:t>mid</w:t>
      </w:r>
      <w:r w:rsidRPr="00DC692A">
        <w:rPr>
          <w:rFonts w:ascii="Book Antiqua" w:hAnsi="Book Antiqua"/>
          <w:b w:val="0"/>
          <w:szCs w:val="20"/>
          <w:lang w:val="en-AU"/>
        </w:rPr>
        <w:noBreakHyphen/>
        <w:t>2026.</w:t>
      </w:r>
    </w:p>
    <w:p w14:paraId="25AB32E5" w14:textId="77777777" w:rsidR="0099245C" w:rsidRPr="00473B3A" w:rsidRDefault="0099245C" w:rsidP="0099245C">
      <w:pPr>
        <w:pStyle w:val="Heading5level6"/>
        <w:spacing w:before="100" w:after="100"/>
        <w:rPr>
          <w:b w:val="0"/>
          <w:szCs w:val="20"/>
          <w:lang w:val="en-AU"/>
        </w:rPr>
      </w:pPr>
      <w:r w:rsidRPr="00473B3A">
        <w:rPr>
          <w:b w:val="0"/>
          <w:szCs w:val="20"/>
          <w:lang w:val="en-AU"/>
        </w:rPr>
        <w:t>Facilities to Support AIR 7000 Phase 1B Remotely Piloted Aircraft System</w:t>
      </w:r>
    </w:p>
    <w:p w14:paraId="33CC4E4A" w14:textId="77777777"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This project is providing facilities and infrastructure to support the introduction into service of a new aircraft system at RAAF Base Tindal NT and the Edinburgh Defence Precinct SA. This includes a control centre, training facilities, squadron headquarters, hangars, airfield pavements and engineering services. The works are scheduled for completion in early</w:t>
      </w:r>
      <w:r w:rsidRPr="00DC692A">
        <w:rPr>
          <w:rFonts w:ascii="Book Antiqua" w:hAnsi="Book Antiqua"/>
          <w:b w:val="0"/>
          <w:szCs w:val="20"/>
          <w:lang w:val="en-AU"/>
        </w:rPr>
        <w:noBreakHyphen/>
        <w:t>2026.</w:t>
      </w:r>
    </w:p>
    <w:p w14:paraId="2AE6D078" w14:textId="77777777" w:rsidR="00473B3A" w:rsidRDefault="00473B3A">
      <w:pPr>
        <w:spacing w:before="0" w:after="0"/>
        <w:rPr>
          <w:bCs/>
          <w:iCs/>
          <w:szCs w:val="20"/>
          <w:lang w:val="en-AU"/>
        </w:rPr>
      </w:pPr>
      <w:r>
        <w:rPr>
          <w:b/>
          <w:szCs w:val="20"/>
          <w:lang w:val="en-AU"/>
        </w:rPr>
        <w:br w:type="page"/>
      </w:r>
    </w:p>
    <w:p w14:paraId="3FE43138" w14:textId="22297128" w:rsidR="0099245C" w:rsidRPr="00473B3A" w:rsidRDefault="0099245C" w:rsidP="0099245C">
      <w:pPr>
        <w:pStyle w:val="Heading5level6"/>
        <w:spacing w:before="100" w:after="100"/>
        <w:rPr>
          <w:b w:val="0"/>
          <w:szCs w:val="20"/>
          <w:lang w:val="en-AU"/>
        </w:rPr>
      </w:pPr>
      <w:r w:rsidRPr="00473B3A">
        <w:rPr>
          <w:b w:val="0"/>
          <w:szCs w:val="20"/>
          <w:lang w:val="en-AU"/>
        </w:rPr>
        <w:lastRenderedPageBreak/>
        <w:t xml:space="preserve">Guided Weapons Explosive Ordnance Storage </w:t>
      </w:r>
    </w:p>
    <w:p w14:paraId="3040FDFF" w14:textId="3B254F97"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This project is providing storage facilities and infrastructure at RAAF Base Amberley QLD, HMAS</w:t>
      </w:r>
      <w:r w:rsidR="004070E4">
        <w:rPr>
          <w:rFonts w:ascii="Book Antiqua" w:hAnsi="Book Antiqua"/>
          <w:b w:val="0"/>
          <w:szCs w:val="20"/>
          <w:lang w:val="en-AU"/>
        </w:rPr>
        <w:t> </w:t>
      </w:r>
      <w:r w:rsidRPr="00473B3A">
        <w:rPr>
          <w:rFonts w:ascii="Book Antiqua" w:hAnsi="Book Antiqua"/>
          <w:b w:val="0"/>
          <w:i/>
          <w:szCs w:val="20"/>
          <w:lang w:val="en-AU"/>
        </w:rPr>
        <w:t>Stirling</w:t>
      </w:r>
      <w:r w:rsidRPr="00DC692A">
        <w:rPr>
          <w:rFonts w:ascii="Book Antiqua" w:hAnsi="Book Antiqua"/>
          <w:b w:val="0"/>
          <w:szCs w:val="20"/>
          <w:lang w:val="en-AU"/>
        </w:rPr>
        <w:t xml:space="preserve"> WA, and Defence Establishment Orchard Hills NSW. This project is scheduled for completion in early-2027.</w:t>
      </w:r>
    </w:p>
    <w:p w14:paraId="485CF282" w14:textId="77777777" w:rsidR="0099245C" w:rsidRPr="00473B3A" w:rsidRDefault="0099245C" w:rsidP="0099245C">
      <w:pPr>
        <w:pStyle w:val="Heading5level6"/>
        <w:spacing w:before="100" w:after="100"/>
        <w:rPr>
          <w:b w:val="0"/>
          <w:szCs w:val="20"/>
          <w:lang w:val="en-AU"/>
        </w:rPr>
      </w:pPr>
      <w:r w:rsidRPr="00473B3A">
        <w:rPr>
          <w:b w:val="0"/>
          <w:szCs w:val="20"/>
          <w:lang w:val="en-AU"/>
        </w:rPr>
        <w:t xml:space="preserve">AIR 555 Phase 1 Airborne Intelligence Surveillance Reconnaissance Electronic Warfare Capability Facilities </w:t>
      </w:r>
    </w:p>
    <w:p w14:paraId="30D03B05" w14:textId="301A4E8C"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This project provid</w:t>
      </w:r>
      <w:r w:rsidR="000F4B16" w:rsidRPr="00DC692A">
        <w:rPr>
          <w:rFonts w:ascii="Book Antiqua" w:hAnsi="Book Antiqua"/>
          <w:b w:val="0"/>
          <w:szCs w:val="20"/>
          <w:lang w:val="en-AU"/>
        </w:rPr>
        <w:t>ed</w:t>
      </w:r>
      <w:r w:rsidRPr="00DC692A">
        <w:rPr>
          <w:rFonts w:ascii="Book Antiqua" w:hAnsi="Book Antiqua"/>
          <w:b w:val="0"/>
          <w:szCs w:val="20"/>
          <w:lang w:val="en-AU"/>
        </w:rPr>
        <w:t xml:space="preserve"> facilities and infrastructure to support the introduction into service of MC-55A Peregrine Airborne Intelligence Surveillance Reconnaissance Electronic Warfare capability at Cocos (Keeling) Islands NT, RAAF Base Darwin NT, RAAF Base Townsville QLD and RAAF Base Edinburgh SA. This project has completed construction and is now in the Defects Liability Period. </w:t>
      </w:r>
    </w:p>
    <w:p w14:paraId="3F7507D5" w14:textId="77777777" w:rsidR="0099245C" w:rsidRPr="00473B3A" w:rsidRDefault="0099245C" w:rsidP="0099245C">
      <w:pPr>
        <w:pStyle w:val="Heading5level6"/>
        <w:spacing w:before="100" w:after="100"/>
        <w:rPr>
          <w:b w:val="0"/>
          <w:szCs w:val="20"/>
          <w:lang w:val="en-AU"/>
        </w:rPr>
      </w:pPr>
      <w:r w:rsidRPr="00473B3A">
        <w:rPr>
          <w:b w:val="0"/>
          <w:szCs w:val="20"/>
          <w:lang w:val="en-AU"/>
        </w:rPr>
        <w:t>Defence Fuel Transformation Program - Tranche 2 Facilities Project</w:t>
      </w:r>
    </w:p>
    <w:p w14:paraId="07BA4821" w14:textId="77777777"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This project will remediate, replace, upgrade and dispose existing fuel installations across various bases. The works are scheduled to commence in late-2025 for completion in early-2027.</w:t>
      </w:r>
    </w:p>
    <w:p w14:paraId="606A34A6" w14:textId="77777777" w:rsidR="0099245C" w:rsidRPr="00473B3A" w:rsidRDefault="0099245C" w:rsidP="0099245C">
      <w:pPr>
        <w:pStyle w:val="Heading5level6"/>
        <w:spacing w:before="100" w:after="100"/>
        <w:rPr>
          <w:b w:val="0"/>
          <w:szCs w:val="20"/>
          <w:lang w:val="en-AU"/>
        </w:rPr>
      </w:pPr>
      <w:r w:rsidRPr="00473B3A">
        <w:rPr>
          <w:b w:val="0"/>
          <w:szCs w:val="20"/>
          <w:lang w:val="en-AU"/>
        </w:rPr>
        <w:t xml:space="preserve">Facilities to Support JP 9101 Phase 1 Enhanced Communications </w:t>
      </w:r>
    </w:p>
    <w:p w14:paraId="6572B6CB" w14:textId="77777777"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 xml:space="preserve">This project is providing facilities and infrastructure to support the implementation of enhanced communications systems across various bases. This project is scheduled for completion in </w:t>
      </w:r>
      <w:r w:rsidRPr="00DC692A">
        <w:rPr>
          <w:rFonts w:ascii="Book Antiqua" w:hAnsi="Book Antiqua"/>
          <w:b w:val="0"/>
          <w:szCs w:val="20"/>
          <w:lang w:val="en-AU"/>
        </w:rPr>
        <w:br/>
        <w:t>late-2027.</w:t>
      </w:r>
    </w:p>
    <w:p w14:paraId="7CDB7890" w14:textId="77777777" w:rsidR="0099245C" w:rsidRPr="00473B3A" w:rsidRDefault="0099245C" w:rsidP="0099245C">
      <w:pPr>
        <w:pStyle w:val="Heading5level6"/>
        <w:spacing w:before="100" w:after="100"/>
        <w:rPr>
          <w:b w:val="0"/>
          <w:szCs w:val="20"/>
          <w:lang w:val="en-AU"/>
        </w:rPr>
      </w:pPr>
      <w:r w:rsidRPr="00473B3A">
        <w:rPr>
          <w:b w:val="0"/>
          <w:szCs w:val="20"/>
          <w:lang w:val="en-AU"/>
        </w:rPr>
        <w:t>Joint Health Command Garrison Facilities Upgrades</w:t>
      </w:r>
    </w:p>
    <w:p w14:paraId="0AAD1EF5" w14:textId="066AC08A"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This project provid</w:t>
      </w:r>
      <w:r w:rsidR="000F4B16" w:rsidRPr="00DC692A">
        <w:rPr>
          <w:rFonts w:ascii="Book Antiqua" w:hAnsi="Book Antiqua"/>
          <w:b w:val="0"/>
          <w:szCs w:val="20"/>
          <w:lang w:val="en-AU"/>
        </w:rPr>
        <w:t>ed</w:t>
      </w:r>
      <w:r w:rsidRPr="00DC692A">
        <w:rPr>
          <w:rFonts w:ascii="Book Antiqua" w:hAnsi="Book Antiqua"/>
          <w:b w:val="0"/>
          <w:szCs w:val="20"/>
          <w:lang w:val="en-AU"/>
        </w:rPr>
        <w:t xml:space="preserve"> health facilities across various bases. This project has completed construction and the project is now in the Defects Liability Period. </w:t>
      </w:r>
    </w:p>
    <w:p w14:paraId="2E894D2F" w14:textId="77777777" w:rsidR="0099245C" w:rsidRPr="00473B3A" w:rsidRDefault="0099245C" w:rsidP="0099245C">
      <w:pPr>
        <w:pStyle w:val="Heading5level6"/>
        <w:spacing w:before="100" w:after="100"/>
        <w:rPr>
          <w:b w:val="0"/>
          <w:szCs w:val="20"/>
          <w:lang w:val="en-AU"/>
        </w:rPr>
      </w:pPr>
      <w:r w:rsidRPr="00473B3A">
        <w:rPr>
          <w:b w:val="0"/>
          <w:szCs w:val="20"/>
          <w:lang w:val="en-AU"/>
        </w:rPr>
        <w:t xml:space="preserve">Armoured Fighting Vehicles Facilities Program Stage 1 </w:t>
      </w:r>
    </w:p>
    <w:p w14:paraId="6462D60B" w14:textId="2DFD5745" w:rsidR="0099245C" w:rsidRPr="00DC692A" w:rsidRDefault="000F4B16"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This project provided</w:t>
      </w:r>
      <w:r w:rsidR="0099245C" w:rsidRPr="00DC692A">
        <w:rPr>
          <w:rFonts w:ascii="Book Antiqua" w:hAnsi="Book Antiqua"/>
          <w:b w:val="0"/>
          <w:szCs w:val="20"/>
          <w:lang w:val="en-AU"/>
        </w:rPr>
        <w:t xml:space="preserve"> facilities and infrastructure to support armoured fighting vehicles at Lavarack Barracks QLD, Edinburgh Defence Precinct SA and the Puckapunyal Military Area VIC. This project has completed construction and the project is now in the Defects Liability Period.</w:t>
      </w:r>
    </w:p>
    <w:p w14:paraId="3EBA5942" w14:textId="77777777" w:rsidR="0099245C" w:rsidRPr="00473B3A" w:rsidRDefault="0099245C" w:rsidP="0099245C">
      <w:pPr>
        <w:pStyle w:val="Heading5level6"/>
        <w:spacing w:before="100" w:after="100"/>
        <w:rPr>
          <w:b w:val="0"/>
          <w:szCs w:val="20"/>
          <w:lang w:val="en-AU"/>
        </w:rPr>
      </w:pPr>
      <w:r w:rsidRPr="00473B3A">
        <w:rPr>
          <w:b w:val="0"/>
          <w:szCs w:val="20"/>
          <w:lang w:val="en-AU"/>
        </w:rPr>
        <w:t xml:space="preserve">Facilities to Support AIR 5349 Phase 6 Advanced Growler </w:t>
      </w:r>
    </w:p>
    <w:p w14:paraId="0DFF1D16" w14:textId="77777777"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This project is providing storage, maintenance and working accommodation at RAAF Base Amberley QLD and Delamere Air Weapons Range NT. This project is scheduled for completion in late-2026.</w:t>
      </w:r>
    </w:p>
    <w:p w14:paraId="0F0B7BE2" w14:textId="626F65B1" w:rsidR="0099245C" w:rsidRPr="00473B3A" w:rsidRDefault="0099245C" w:rsidP="0099245C">
      <w:pPr>
        <w:pStyle w:val="Heading5level6"/>
        <w:spacing w:before="100" w:after="100"/>
        <w:rPr>
          <w:b w:val="0"/>
          <w:szCs w:val="20"/>
          <w:lang w:val="en-AU"/>
        </w:rPr>
      </w:pPr>
      <w:r w:rsidRPr="00473B3A">
        <w:rPr>
          <w:b w:val="0"/>
          <w:szCs w:val="20"/>
          <w:lang w:val="en-AU"/>
        </w:rPr>
        <w:t>Facilities to Support LAND</w:t>
      </w:r>
      <w:r w:rsidR="00AF0C40">
        <w:rPr>
          <w:b w:val="0"/>
          <w:szCs w:val="20"/>
          <w:lang w:val="en-AU"/>
        </w:rPr>
        <w:t xml:space="preserve"> </w:t>
      </w:r>
      <w:r w:rsidRPr="00473B3A">
        <w:rPr>
          <w:b w:val="0"/>
          <w:szCs w:val="20"/>
          <w:lang w:val="en-AU"/>
        </w:rPr>
        <w:t>1508 Phase 1 Special Operations Capability Enhancements</w:t>
      </w:r>
    </w:p>
    <w:p w14:paraId="469C4AFE" w14:textId="12702120"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This project will deliver facilities and infrastructure for to support workforce growth at Holsworthy Barracks NSW and Campbell Barracks WA. This project is sc</w:t>
      </w:r>
      <w:r w:rsidR="002072BD" w:rsidRPr="00DC692A">
        <w:rPr>
          <w:rFonts w:ascii="Book Antiqua" w:hAnsi="Book Antiqua"/>
          <w:b w:val="0"/>
          <w:szCs w:val="20"/>
          <w:lang w:val="en-AU"/>
        </w:rPr>
        <w:t>heduled for completion in early</w:t>
      </w:r>
      <w:r w:rsidR="002072BD" w:rsidRPr="00DC692A">
        <w:rPr>
          <w:rFonts w:ascii="Book Antiqua" w:hAnsi="Book Antiqua"/>
          <w:b w:val="0"/>
          <w:szCs w:val="20"/>
          <w:lang w:val="en-AU"/>
        </w:rPr>
        <w:noBreakHyphen/>
      </w:r>
      <w:r w:rsidRPr="00DC692A">
        <w:rPr>
          <w:rFonts w:ascii="Book Antiqua" w:hAnsi="Book Antiqua"/>
          <w:b w:val="0"/>
          <w:szCs w:val="20"/>
          <w:lang w:val="en-AU"/>
        </w:rPr>
        <w:t>2027.</w:t>
      </w:r>
    </w:p>
    <w:p w14:paraId="74F5CD75" w14:textId="77777777" w:rsidR="0099245C" w:rsidRPr="00473B3A" w:rsidRDefault="0099245C" w:rsidP="0099245C">
      <w:pPr>
        <w:pStyle w:val="Heading5level6"/>
        <w:spacing w:before="100" w:after="100"/>
        <w:rPr>
          <w:b w:val="0"/>
          <w:szCs w:val="20"/>
          <w:lang w:val="en-AU"/>
        </w:rPr>
      </w:pPr>
      <w:r w:rsidRPr="00473B3A">
        <w:rPr>
          <w:b w:val="0"/>
          <w:szCs w:val="20"/>
          <w:lang w:val="en-AU"/>
        </w:rPr>
        <w:t xml:space="preserve">LAND 121 Phase 5B Facilities Project </w:t>
      </w:r>
    </w:p>
    <w:p w14:paraId="14D803E2" w14:textId="3DE4672B"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This project provid</w:t>
      </w:r>
      <w:r w:rsidR="000F4B16" w:rsidRPr="00DC692A">
        <w:rPr>
          <w:rFonts w:ascii="Book Antiqua" w:hAnsi="Book Antiqua"/>
          <w:b w:val="0"/>
          <w:szCs w:val="20"/>
          <w:lang w:val="en-AU"/>
        </w:rPr>
        <w:t>ed</w:t>
      </w:r>
      <w:r w:rsidRPr="00DC692A">
        <w:rPr>
          <w:rFonts w:ascii="Book Antiqua" w:hAnsi="Book Antiqua"/>
          <w:b w:val="0"/>
          <w:szCs w:val="20"/>
          <w:lang w:val="en-AU"/>
        </w:rPr>
        <w:t xml:space="preserve"> facilities and infrastructure to support and sustain vehicles across various bases. This project has completed construction and is now in the Defects Liability Period. </w:t>
      </w:r>
    </w:p>
    <w:p w14:paraId="3E19AAAD" w14:textId="77777777" w:rsidR="0099245C" w:rsidRPr="00473B3A" w:rsidRDefault="0099245C" w:rsidP="0099245C">
      <w:pPr>
        <w:pStyle w:val="Heading5level6"/>
        <w:spacing w:before="100" w:after="100"/>
        <w:rPr>
          <w:b w:val="0"/>
          <w:szCs w:val="20"/>
          <w:lang w:val="en-AU"/>
        </w:rPr>
      </w:pPr>
      <w:r w:rsidRPr="00473B3A">
        <w:rPr>
          <w:b w:val="0"/>
          <w:szCs w:val="20"/>
          <w:lang w:val="en-AU"/>
        </w:rPr>
        <w:t>Facilities to Support SEA 9100 Phase 1 Improved Embarked Logistics Support Helicopter</w:t>
      </w:r>
    </w:p>
    <w:p w14:paraId="79B583D0" w14:textId="77777777"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 xml:space="preserve">This project will provide new and refurbished facilities to support new helicopter capability at </w:t>
      </w:r>
      <w:r w:rsidRPr="00DC692A">
        <w:rPr>
          <w:rFonts w:ascii="Book Antiqua" w:hAnsi="Book Antiqua"/>
          <w:b w:val="0"/>
          <w:szCs w:val="20"/>
          <w:lang w:val="en-AU"/>
        </w:rPr>
        <w:br/>
        <w:t xml:space="preserve">HMAS </w:t>
      </w:r>
      <w:r w:rsidRPr="00473B3A">
        <w:rPr>
          <w:rFonts w:ascii="Book Antiqua" w:hAnsi="Book Antiqua"/>
          <w:b w:val="0"/>
          <w:i/>
          <w:szCs w:val="20"/>
          <w:lang w:val="en-AU"/>
        </w:rPr>
        <w:t>Albatross</w:t>
      </w:r>
      <w:r w:rsidRPr="00DC692A">
        <w:rPr>
          <w:rFonts w:ascii="Book Antiqua" w:hAnsi="Book Antiqua"/>
          <w:b w:val="0"/>
          <w:szCs w:val="20"/>
          <w:lang w:val="en-AU"/>
        </w:rPr>
        <w:t xml:space="preserve"> NSW and HMAS </w:t>
      </w:r>
      <w:r w:rsidRPr="00473B3A">
        <w:rPr>
          <w:rFonts w:ascii="Book Antiqua" w:hAnsi="Book Antiqua"/>
          <w:b w:val="0"/>
          <w:i/>
          <w:szCs w:val="20"/>
          <w:lang w:val="en-AU"/>
        </w:rPr>
        <w:t>Stirling</w:t>
      </w:r>
      <w:r w:rsidRPr="00DC692A">
        <w:rPr>
          <w:rFonts w:ascii="Book Antiqua" w:hAnsi="Book Antiqua"/>
          <w:b w:val="0"/>
          <w:szCs w:val="20"/>
          <w:lang w:val="en-AU"/>
        </w:rPr>
        <w:t xml:space="preserve"> WA. This project is scheduled to commence construction in mid-2025 for completion in early-2027.</w:t>
      </w:r>
    </w:p>
    <w:p w14:paraId="2139161F" w14:textId="77777777" w:rsidR="00C05033" w:rsidRDefault="00C05033">
      <w:pPr>
        <w:spacing w:before="0" w:after="0"/>
        <w:rPr>
          <w:rFonts w:ascii="Arial" w:hAnsi="Arial"/>
          <w:bCs/>
          <w:iCs/>
          <w:szCs w:val="20"/>
          <w:lang w:val="en-AU"/>
        </w:rPr>
      </w:pPr>
      <w:r>
        <w:rPr>
          <w:b/>
          <w:szCs w:val="20"/>
          <w:lang w:val="en-AU"/>
        </w:rPr>
        <w:br w:type="page"/>
      </w:r>
    </w:p>
    <w:p w14:paraId="438EC204" w14:textId="56DE1784" w:rsidR="0099245C" w:rsidRPr="00473B3A" w:rsidRDefault="0099245C" w:rsidP="0099245C">
      <w:pPr>
        <w:pStyle w:val="Heading5level6"/>
        <w:spacing w:before="100" w:after="100"/>
        <w:rPr>
          <w:b w:val="0"/>
          <w:szCs w:val="20"/>
          <w:lang w:val="en-AU"/>
        </w:rPr>
      </w:pPr>
      <w:r w:rsidRPr="00473B3A">
        <w:rPr>
          <w:b w:val="0"/>
          <w:szCs w:val="20"/>
          <w:lang w:val="en-AU"/>
        </w:rPr>
        <w:lastRenderedPageBreak/>
        <w:t>Armoured Fighting Vehicle Facilities Program Stage 2</w:t>
      </w:r>
    </w:p>
    <w:p w14:paraId="56B5EC3E" w14:textId="77777777"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This project is providing facilities and infrastructure at Gallipoli Barracks QLD, Lavarack Barracks QLD, Gaza Ridge Barracks VIC and Puckapunyal Military Area VIC to support vehicles. This project is scheduled for completion in late-2026.</w:t>
      </w:r>
    </w:p>
    <w:p w14:paraId="1C34E9BB" w14:textId="77777777" w:rsidR="0099245C" w:rsidRPr="00C05033" w:rsidRDefault="0099245C" w:rsidP="0099245C">
      <w:pPr>
        <w:pStyle w:val="Heading5level6"/>
        <w:spacing w:before="100" w:after="100"/>
        <w:rPr>
          <w:b w:val="0"/>
          <w:szCs w:val="20"/>
          <w:lang w:val="en-AU"/>
        </w:rPr>
      </w:pPr>
      <w:r w:rsidRPr="00C05033">
        <w:rPr>
          <w:b w:val="0"/>
          <w:szCs w:val="20"/>
          <w:lang w:val="en-AU"/>
        </w:rPr>
        <w:t>Airfield Capital Works P0006 (Curtin, Tindal and Townsville)</w:t>
      </w:r>
    </w:p>
    <w:p w14:paraId="34F7714B" w14:textId="77777777"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 xml:space="preserve">This project is maintaining aircraft pavements and airfield lighting at RAAF Base Curtin WA, </w:t>
      </w:r>
      <w:r w:rsidRPr="00DC692A">
        <w:rPr>
          <w:rFonts w:ascii="Book Antiqua" w:hAnsi="Book Antiqua"/>
          <w:b w:val="0"/>
          <w:szCs w:val="20"/>
          <w:lang w:val="en-AU"/>
        </w:rPr>
        <w:br/>
        <w:t>RAAF Base Tindal NT, and RAAF Base Townsville QLD. The works at Curtin and Tindal are complete while the works at Townsville have been reprogrammed to align with similar works being delivered under a related project to minimise disruptions to airfield operations. These works are scheduled for completion in late-2026.</w:t>
      </w:r>
    </w:p>
    <w:p w14:paraId="13C2133B" w14:textId="1E1BD3AC" w:rsidR="0099245C" w:rsidRPr="00C05033" w:rsidRDefault="0099245C" w:rsidP="0099245C">
      <w:pPr>
        <w:pStyle w:val="Heading5level6"/>
        <w:spacing w:before="100" w:after="100"/>
        <w:rPr>
          <w:b w:val="0"/>
          <w:szCs w:val="20"/>
          <w:lang w:val="en-AU"/>
        </w:rPr>
      </w:pPr>
      <w:r w:rsidRPr="00C05033">
        <w:rPr>
          <w:b w:val="0"/>
          <w:szCs w:val="20"/>
          <w:lang w:val="en-AU"/>
        </w:rPr>
        <w:t>Facilities to Support JP</w:t>
      </w:r>
      <w:r w:rsidR="007602A3">
        <w:rPr>
          <w:b w:val="0"/>
          <w:szCs w:val="20"/>
          <w:lang w:val="en-AU"/>
        </w:rPr>
        <w:t xml:space="preserve"> </w:t>
      </w:r>
      <w:r w:rsidRPr="00C05033">
        <w:rPr>
          <w:b w:val="0"/>
          <w:szCs w:val="20"/>
          <w:lang w:val="en-AU"/>
        </w:rPr>
        <w:t xml:space="preserve">9111 Phase 1 Warfighting Networks and Applications Tranche 1 Early Works </w:t>
      </w:r>
    </w:p>
    <w:p w14:paraId="1C6E0EC0" w14:textId="7280A24F" w:rsidR="00A10B41" w:rsidRPr="00DC692A" w:rsidRDefault="0099245C" w:rsidP="00473B3A">
      <w:pPr>
        <w:pStyle w:val="Heading5level6"/>
        <w:spacing w:before="100" w:after="100"/>
        <w:rPr>
          <w:rFonts w:ascii="Book Antiqua" w:hAnsi="Book Antiqua"/>
          <w:bCs w:val="0"/>
          <w:iCs w:val="0"/>
          <w:szCs w:val="20"/>
          <w:lang w:val="en-AU"/>
        </w:rPr>
      </w:pPr>
      <w:r w:rsidRPr="00DC692A">
        <w:rPr>
          <w:rFonts w:ascii="Book Antiqua" w:hAnsi="Book Antiqua"/>
          <w:b w:val="0"/>
          <w:szCs w:val="20"/>
          <w:lang w:val="en-AU"/>
        </w:rPr>
        <w:t xml:space="preserve">This project will deliver facilities to support networks and applications at Gallipoli Barracks QLD, Lavarack Barracks QLD, General John Baker Complex NSW, RAAF Base Williamtown NSW and RAAF Base Edinburgh SA. This project is scheduled to commence construction in </w:t>
      </w:r>
      <w:r w:rsidRPr="00DC692A">
        <w:rPr>
          <w:rFonts w:ascii="Book Antiqua" w:hAnsi="Book Antiqua"/>
          <w:b w:val="0"/>
          <w:szCs w:val="20"/>
          <w:lang w:val="en-AU"/>
        </w:rPr>
        <w:br/>
        <w:t>late-2025 for completion in early-2027.</w:t>
      </w:r>
    </w:p>
    <w:p w14:paraId="4538A268" w14:textId="77777777" w:rsidR="0099245C" w:rsidRPr="00C05033" w:rsidRDefault="0099245C" w:rsidP="0099245C">
      <w:pPr>
        <w:pStyle w:val="Heading5level6"/>
        <w:spacing w:before="100" w:after="100"/>
        <w:rPr>
          <w:b w:val="0"/>
          <w:szCs w:val="20"/>
          <w:lang w:val="en-AU"/>
        </w:rPr>
      </w:pPr>
      <w:r w:rsidRPr="00C05033">
        <w:rPr>
          <w:b w:val="0"/>
          <w:szCs w:val="20"/>
          <w:lang w:val="en-AU"/>
        </w:rPr>
        <w:t>AIR 2025 Phase 6 Jindalee Operational Radar Networks (JORN) Facilities Project</w:t>
      </w:r>
    </w:p>
    <w:p w14:paraId="28BB54A3" w14:textId="77777777"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This project is providing new facilities and infrastructure to support the mid-life upgrade of JORN capability at sites near Alice Springs NT, Murray Bridge Training Area SA, RAAF Base Learmonth WA and Geraldton WA. This project is scheduled for completion in late</w:t>
      </w:r>
      <w:r w:rsidRPr="00DC692A">
        <w:rPr>
          <w:rFonts w:ascii="Book Antiqua" w:hAnsi="Book Antiqua"/>
          <w:b w:val="0"/>
          <w:szCs w:val="20"/>
          <w:lang w:val="en-AU"/>
        </w:rPr>
        <w:noBreakHyphen/>
        <w:t>2026.</w:t>
      </w:r>
    </w:p>
    <w:p w14:paraId="35AAB76C" w14:textId="77777777" w:rsidR="0099245C" w:rsidRPr="00C05033" w:rsidRDefault="0099245C" w:rsidP="0099245C">
      <w:pPr>
        <w:pStyle w:val="Heading5level6"/>
        <w:spacing w:before="100" w:after="100"/>
        <w:rPr>
          <w:b w:val="0"/>
          <w:szCs w:val="20"/>
          <w:lang w:val="en-AU"/>
        </w:rPr>
      </w:pPr>
      <w:r w:rsidRPr="00C05033">
        <w:rPr>
          <w:b w:val="0"/>
          <w:szCs w:val="20"/>
          <w:lang w:val="en-AU"/>
        </w:rPr>
        <w:t xml:space="preserve">Facilities to Support SEA 2273 Fleet Information Environment Modernisation Project </w:t>
      </w:r>
    </w:p>
    <w:p w14:paraId="714B8BA3" w14:textId="77777777"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This project is providing an upgraded information system to support naval operations at HMAS </w:t>
      </w:r>
      <w:r w:rsidRPr="00473B3A">
        <w:rPr>
          <w:rFonts w:ascii="Book Antiqua" w:hAnsi="Book Antiqua"/>
          <w:b w:val="0"/>
          <w:i/>
          <w:szCs w:val="20"/>
          <w:lang w:val="en-AU"/>
        </w:rPr>
        <w:t>Kuttabul</w:t>
      </w:r>
      <w:r w:rsidRPr="00DC692A">
        <w:rPr>
          <w:rFonts w:ascii="Book Antiqua" w:hAnsi="Book Antiqua"/>
          <w:b w:val="0"/>
          <w:szCs w:val="20"/>
          <w:lang w:val="en-AU"/>
        </w:rPr>
        <w:t xml:space="preserve"> NSW, HMAS </w:t>
      </w:r>
      <w:r w:rsidRPr="00473B3A">
        <w:rPr>
          <w:rFonts w:ascii="Book Antiqua" w:hAnsi="Book Antiqua"/>
          <w:b w:val="0"/>
          <w:i/>
          <w:szCs w:val="20"/>
          <w:lang w:val="en-AU"/>
        </w:rPr>
        <w:t>Cerberus</w:t>
      </w:r>
      <w:r w:rsidRPr="00DC692A">
        <w:rPr>
          <w:rFonts w:ascii="Book Antiqua" w:hAnsi="Book Antiqua"/>
          <w:b w:val="0"/>
          <w:szCs w:val="20"/>
          <w:lang w:val="en-AU"/>
        </w:rPr>
        <w:t xml:space="preserve"> VIC, HMAS </w:t>
      </w:r>
      <w:r w:rsidRPr="00473B3A">
        <w:rPr>
          <w:rFonts w:ascii="Book Antiqua" w:hAnsi="Book Antiqua"/>
          <w:b w:val="0"/>
          <w:i/>
          <w:szCs w:val="20"/>
          <w:lang w:val="en-AU"/>
        </w:rPr>
        <w:t>Stirling</w:t>
      </w:r>
      <w:r w:rsidRPr="00DC692A">
        <w:rPr>
          <w:rFonts w:ascii="Book Antiqua" w:hAnsi="Book Antiqua"/>
          <w:b w:val="0"/>
          <w:szCs w:val="20"/>
          <w:lang w:val="en-AU"/>
        </w:rPr>
        <w:t xml:space="preserve"> WA, HMAS </w:t>
      </w:r>
      <w:r w:rsidRPr="00473B3A">
        <w:rPr>
          <w:rFonts w:ascii="Book Antiqua" w:hAnsi="Book Antiqua"/>
          <w:b w:val="0"/>
          <w:i/>
          <w:szCs w:val="20"/>
          <w:lang w:val="en-AU"/>
        </w:rPr>
        <w:t>Coonawarra</w:t>
      </w:r>
      <w:r w:rsidRPr="00DC692A">
        <w:rPr>
          <w:rFonts w:ascii="Book Antiqua" w:hAnsi="Book Antiqua"/>
          <w:b w:val="0"/>
          <w:szCs w:val="20"/>
          <w:lang w:val="en-AU"/>
        </w:rPr>
        <w:t xml:space="preserve"> NT and </w:t>
      </w:r>
      <w:r w:rsidRPr="00DC692A">
        <w:rPr>
          <w:rFonts w:ascii="Book Antiqua" w:hAnsi="Book Antiqua"/>
          <w:b w:val="0"/>
          <w:szCs w:val="20"/>
          <w:lang w:val="en-AU"/>
        </w:rPr>
        <w:br/>
        <w:t xml:space="preserve">HMAS </w:t>
      </w:r>
      <w:r w:rsidRPr="00473B3A">
        <w:rPr>
          <w:rFonts w:ascii="Book Antiqua" w:hAnsi="Book Antiqua"/>
          <w:b w:val="0"/>
          <w:i/>
          <w:szCs w:val="20"/>
          <w:lang w:val="en-AU"/>
        </w:rPr>
        <w:t>Cairns</w:t>
      </w:r>
      <w:r w:rsidRPr="00DC692A">
        <w:rPr>
          <w:rFonts w:ascii="Book Antiqua" w:hAnsi="Book Antiqua"/>
          <w:b w:val="0"/>
          <w:szCs w:val="20"/>
          <w:lang w:val="en-AU"/>
        </w:rPr>
        <w:t xml:space="preserve"> QLD. This project is scheduled for completion in late-2025. </w:t>
      </w:r>
    </w:p>
    <w:p w14:paraId="7A38F182" w14:textId="77777777" w:rsidR="0099245C" w:rsidRPr="00C05033" w:rsidRDefault="0099245C" w:rsidP="0099245C">
      <w:pPr>
        <w:pStyle w:val="Heading5level6"/>
        <w:spacing w:before="100" w:after="100"/>
        <w:rPr>
          <w:b w:val="0"/>
          <w:szCs w:val="20"/>
          <w:lang w:val="en-AU"/>
        </w:rPr>
      </w:pPr>
      <w:r w:rsidRPr="00C05033">
        <w:rPr>
          <w:b w:val="0"/>
          <w:szCs w:val="20"/>
          <w:lang w:val="en-AU"/>
        </w:rPr>
        <w:t>Facilities to Support LAND 8116 Phase 1 Protected Mobile Fires</w:t>
      </w:r>
    </w:p>
    <w:p w14:paraId="75960DD2" w14:textId="77777777"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This project is providing new storage, workshop, and shelter facilities, and upgrading road and infrastructure services at Lavarack Barracks QLD and the Puckapunyal Military Area VIC. This project is scheduled for completion in late-2026.</w:t>
      </w:r>
    </w:p>
    <w:p w14:paraId="189D2C66" w14:textId="77777777" w:rsidR="0099245C" w:rsidRPr="00C05033" w:rsidRDefault="0099245C" w:rsidP="0099245C">
      <w:pPr>
        <w:pStyle w:val="Heading5level6"/>
        <w:spacing w:before="100" w:after="100"/>
        <w:rPr>
          <w:b w:val="0"/>
          <w:szCs w:val="20"/>
          <w:lang w:val="en-AU"/>
        </w:rPr>
      </w:pPr>
      <w:r w:rsidRPr="00C05033">
        <w:rPr>
          <w:b w:val="0"/>
          <w:szCs w:val="20"/>
          <w:lang w:val="en-AU"/>
        </w:rPr>
        <w:t xml:space="preserve">Facilities to Support LAND 8180 Phase 1 Aviation and Field Fire Truck </w:t>
      </w:r>
    </w:p>
    <w:p w14:paraId="60BD0950" w14:textId="77777777"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This project will deliver training, testing, maintenance, and storage facilities to support the aviation and field fire truck capability at RAAF Base Amberley QLD, RAAF Base Tindal NT, RAAF Base Richmond NSW and RAAF Base Williamtown NSW. This project is scheduled to commence construction in late-2025 for completion in late-2026.</w:t>
      </w:r>
    </w:p>
    <w:p w14:paraId="4F1B2E1C" w14:textId="77777777" w:rsidR="0099245C" w:rsidRPr="00C05033" w:rsidRDefault="0099245C" w:rsidP="0099245C">
      <w:pPr>
        <w:pStyle w:val="Heading5level6"/>
        <w:spacing w:before="100" w:after="100"/>
        <w:rPr>
          <w:b w:val="0"/>
          <w:szCs w:val="20"/>
          <w:lang w:val="en-AU"/>
        </w:rPr>
      </w:pPr>
      <w:r w:rsidRPr="00C05033">
        <w:rPr>
          <w:b w:val="0"/>
          <w:szCs w:val="20"/>
          <w:lang w:val="en-AU"/>
        </w:rPr>
        <w:t>LAND 2110 Phase 1B Chemical, Biological, Radiological and Nuclear Defence Facilities</w:t>
      </w:r>
    </w:p>
    <w:p w14:paraId="60C4BF29" w14:textId="77777777" w:rsidR="0099245C" w:rsidRPr="00DC692A" w:rsidRDefault="0099245C" w:rsidP="0099245C">
      <w:pPr>
        <w:pStyle w:val="Heading5level6"/>
        <w:spacing w:before="100" w:after="100"/>
        <w:rPr>
          <w:rFonts w:ascii="Book Antiqua" w:hAnsi="Book Antiqua"/>
          <w:b w:val="0"/>
          <w:szCs w:val="20"/>
          <w:lang w:val="en-AU"/>
        </w:rPr>
      </w:pPr>
      <w:r w:rsidRPr="00DC692A">
        <w:rPr>
          <w:rFonts w:ascii="Book Antiqua" w:hAnsi="Book Antiqua"/>
          <w:b w:val="0"/>
          <w:szCs w:val="20"/>
          <w:lang w:val="en-AU"/>
        </w:rPr>
        <w:t>This project is providing new and refurbished facilities, including training and storage facilities, at various bases around Australia. This project is scheduled for completion in early-2026.</w:t>
      </w:r>
    </w:p>
    <w:bookmarkEnd w:id="926"/>
    <w:p w14:paraId="76E683AC" w14:textId="77777777" w:rsidR="00E65A0A" w:rsidRPr="00B56FAA" w:rsidRDefault="00E65A0A" w:rsidP="0013728F">
      <w:pPr>
        <w:spacing w:before="0"/>
      </w:pPr>
    </w:p>
    <w:p w14:paraId="04566063" w14:textId="77777777" w:rsidR="006D5735" w:rsidRPr="00B56FAA" w:rsidRDefault="006D5735" w:rsidP="0014587A">
      <w:pPr>
        <w:pStyle w:val="Heading3"/>
        <w:rPr>
          <w:lang w:val="en-AU"/>
        </w:rPr>
        <w:sectPr w:rsidR="006D5735" w:rsidRPr="00B56FAA" w:rsidSect="00FB0744">
          <w:headerReference w:type="even" r:id="rId108"/>
          <w:headerReference w:type="default" r:id="rId109"/>
          <w:footerReference w:type="even" r:id="rId110"/>
          <w:footerReference w:type="default" r:id="rId111"/>
          <w:pgSz w:w="11907" w:h="16840" w:code="9"/>
          <w:pgMar w:top="1701" w:right="1417" w:bottom="1418" w:left="1701" w:header="720" w:footer="720" w:gutter="0"/>
          <w:cols w:space="720"/>
          <w:noEndnote/>
        </w:sectPr>
      </w:pPr>
      <w:bookmarkStart w:id="927" w:name="_Toc476581165"/>
      <w:bookmarkStart w:id="928" w:name="_Toc507595433"/>
      <w:bookmarkStart w:id="929" w:name="_Toc536089240"/>
      <w:bookmarkStart w:id="930" w:name="_Toc536089500"/>
    </w:p>
    <w:p w14:paraId="00BC7608" w14:textId="77777777" w:rsidR="00C525C2" w:rsidRPr="003961A4" w:rsidRDefault="00C525C2" w:rsidP="00C525C2">
      <w:pPr>
        <w:pStyle w:val="Heading4"/>
        <w:spacing w:before="0" w:after="200"/>
        <w:rPr>
          <w:rFonts w:ascii="Arial Bold" w:hAnsi="Arial Bold"/>
          <w:sz w:val="26"/>
          <w:szCs w:val="26"/>
        </w:rPr>
      </w:pPr>
      <w:bookmarkStart w:id="931" w:name="_Toc1561691"/>
      <w:bookmarkStart w:id="932" w:name="_Toc51691688"/>
      <w:bookmarkStart w:id="933" w:name="_Toc69917851"/>
      <w:bookmarkStart w:id="934" w:name="_Toc97747840"/>
      <w:bookmarkStart w:id="935" w:name="_Toc108088951"/>
      <w:bookmarkStart w:id="936" w:name="_Toc108089425"/>
      <w:bookmarkStart w:id="937" w:name="_Toc109227747"/>
      <w:bookmarkStart w:id="938" w:name="_Toc159499695"/>
      <w:bookmarkStart w:id="939" w:name="_Toc159859112"/>
      <w:bookmarkStart w:id="940" w:name="_Toc159859264"/>
      <w:r w:rsidRPr="003961A4">
        <w:rPr>
          <w:rFonts w:ascii="Arial Bold" w:hAnsi="Arial Bold"/>
          <w:sz w:val="26"/>
          <w:szCs w:val="26"/>
        </w:rPr>
        <w:lastRenderedPageBreak/>
        <w:t xml:space="preserve">Appendix E: </w:t>
      </w:r>
      <w:r>
        <w:rPr>
          <w:rFonts w:ascii="Arial Bold" w:hAnsi="Arial Bold"/>
          <w:sz w:val="26"/>
          <w:szCs w:val="26"/>
        </w:rPr>
        <w:t xml:space="preserve">Status of Projects Foreshadowed for </w:t>
      </w:r>
      <w:r w:rsidRPr="003961A4">
        <w:rPr>
          <w:rFonts w:ascii="Arial Bold" w:hAnsi="Arial Bold"/>
          <w:sz w:val="26"/>
          <w:szCs w:val="26"/>
        </w:rPr>
        <w:t xml:space="preserve">Parliamentary Standing Committee on Public Works Consideration in </w:t>
      </w:r>
      <w:r w:rsidRPr="00B8611E">
        <w:rPr>
          <w:rFonts w:ascii="Arial Bold" w:hAnsi="Arial Bold"/>
          <w:sz w:val="26"/>
          <w:szCs w:val="26"/>
        </w:rPr>
        <w:t>202</w:t>
      </w:r>
      <w:r w:rsidR="004B232A">
        <w:rPr>
          <w:rFonts w:ascii="Arial Bold" w:hAnsi="Arial Bold"/>
          <w:sz w:val="26"/>
          <w:szCs w:val="26"/>
        </w:rPr>
        <w:t>5</w:t>
      </w:r>
      <w:r w:rsidRPr="00B8611E">
        <w:rPr>
          <w:rFonts w:ascii="Arial Bold" w:hAnsi="Arial Bold"/>
          <w:sz w:val="26"/>
          <w:szCs w:val="26"/>
        </w:rPr>
        <w:t>-2</w:t>
      </w:r>
      <w:r w:rsidR="004B232A">
        <w:rPr>
          <w:rFonts w:ascii="Arial Bold" w:hAnsi="Arial Bold"/>
          <w:sz w:val="26"/>
          <w:szCs w:val="26"/>
        </w:rPr>
        <w:t>6</w:t>
      </w:r>
    </w:p>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p w14:paraId="5908CFFF" w14:textId="77777777" w:rsidR="00C525C2" w:rsidRPr="00E25E9A" w:rsidRDefault="00C525C2" w:rsidP="00C525C2">
      <w:pPr>
        <w:pStyle w:val="Heading4level5"/>
        <w:spacing w:before="120" w:after="120"/>
      </w:pPr>
      <w:r>
        <w:t>Projects</w:t>
      </w:r>
      <w:r w:rsidRPr="00E25E9A">
        <w:t xml:space="preserve"> Foreshadowed for Consideration and Approval</w:t>
      </w:r>
    </w:p>
    <w:p w14:paraId="4220413B" w14:textId="77777777" w:rsidR="00900BC4" w:rsidRPr="00261A67" w:rsidRDefault="00C525C2" w:rsidP="00E27F44">
      <w:r w:rsidRPr="00261A67">
        <w:t>During 202</w:t>
      </w:r>
      <w:r w:rsidR="004B232A" w:rsidRPr="00261A67">
        <w:t>5</w:t>
      </w:r>
      <w:r w:rsidRPr="00261A67">
        <w:t>-2</w:t>
      </w:r>
      <w:r w:rsidR="004B232A" w:rsidRPr="00261A67">
        <w:t>6</w:t>
      </w:r>
      <w:r w:rsidRPr="00261A67">
        <w:t>, Defence expects to present a number of Enterprise Estate and Infrastructure Program (EEIP) capital facilities and infrastructure project proposals to the Parliamentary Standing Committee on Public Works (PWC). The following tables detail the proposed major capital facilities and infrastructure projects expected to be referred to the PWC, and medium capital facilities and infrastructure projects expected to be notified to the PWC</w:t>
      </w:r>
      <w:r w:rsidR="00900BC4" w:rsidRPr="00261A67">
        <w:t>.</w:t>
      </w:r>
    </w:p>
    <w:p w14:paraId="6A734055" w14:textId="77777777" w:rsidR="00926887" w:rsidRPr="00261A67" w:rsidRDefault="00DA0E0B" w:rsidP="00D9100A">
      <w:pPr>
        <w:pStyle w:val="TableHeading"/>
        <w:numPr>
          <w:ilvl w:val="0"/>
          <w:numId w:val="29"/>
        </w:numPr>
        <w:spacing w:before="120"/>
        <w:ind w:left="0" w:firstLine="0"/>
        <w:outlineLvl w:val="5"/>
      </w:pPr>
      <w:r w:rsidRPr="00261A67">
        <w:t xml:space="preserve">Major Capital Facilities Projects Foreshadowed for PWC Consideration and Approval in </w:t>
      </w:r>
      <w:r w:rsidR="000E4381" w:rsidRPr="00261A67">
        <w:t>202</w:t>
      </w:r>
      <w:r w:rsidR="004B232A" w:rsidRPr="00261A67">
        <w:t>5</w:t>
      </w:r>
      <w:r w:rsidR="000E4381" w:rsidRPr="00261A67">
        <w:t>-2</w:t>
      </w:r>
      <w:r w:rsidR="004B232A" w:rsidRPr="00261A67">
        <w:t>6</w:t>
      </w:r>
    </w:p>
    <w:tbl>
      <w:tblPr>
        <w:tblW w:w="4845" w:type="pct"/>
        <w:tblInd w:w="1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10"/>
        <w:gridCol w:w="1436"/>
        <w:gridCol w:w="1381"/>
        <w:gridCol w:w="1381"/>
        <w:gridCol w:w="1327"/>
      </w:tblGrid>
      <w:tr w:rsidR="0012503C" w:rsidRPr="00194C8A" w14:paraId="25401B04" w14:textId="77777777" w:rsidTr="00261A67">
        <w:trPr>
          <w:trHeight w:val="696"/>
          <w:tblHeader/>
        </w:trPr>
        <w:tc>
          <w:tcPr>
            <w:tcW w:w="2810" w:type="dxa"/>
          </w:tcPr>
          <w:p w14:paraId="6277FD28" w14:textId="77777777" w:rsidR="00900BC4" w:rsidRPr="00261A67" w:rsidRDefault="004F2E8D" w:rsidP="004F2E8D">
            <w:pPr>
              <w:pStyle w:val="TableTextHeadingRight"/>
              <w:jc w:val="center"/>
              <w:rPr>
                <w:sz w:val="16"/>
                <w:szCs w:val="16"/>
              </w:rPr>
            </w:pPr>
            <w:r w:rsidRPr="00261A67">
              <w:rPr>
                <w:sz w:val="16"/>
                <w:szCs w:val="16"/>
              </w:rPr>
              <w:t>Project Description</w:t>
            </w:r>
          </w:p>
        </w:tc>
        <w:tc>
          <w:tcPr>
            <w:tcW w:w="1436" w:type="dxa"/>
          </w:tcPr>
          <w:p w14:paraId="3037C02C" w14:textId="77777777" w:rsidR="00900BC4" w:rsidRPr="00261A67" w:rsidRDefault="00900BC4" w:rsidP="006E37BB">
            <w:pPr>
              <w:pStyle w:val="TableTextHeadingRight"/>
              <w:jc w:val="center"/>
              <w:rPr>
                <w:sz w:val="16"/>
                <w:szCs w:val="16"/>
              </w:rPr>
            </w:pPr>
            <w:r w:rsidRPr="00261A67">
              <w:rPr>
                <w:sz w:val="16"/>
                <w:szCs w:val="16"/>
              </w:rPr>
              <w:t>State/Electorate</w:t>
            </w:r>
          </w:p>
        </w:tc>
        <w:tc>
          <w:tcPr>
            <w:tcW w:w="1381" w:type="dxa"/>
          </w:tcPr>
          <w:p w14:paraId="65D42D40" w14:textId="77777777" w:rsidR="00900BC4" w:rsidRPr="00261A67" w:rsidRDefault="00900BC4" w:rsidP="006E37BB">
            <w:pPr>
              <w:pStyle w:val="TableTextHeadingRight"/>
              <w:spacing w:after="0"/>
              <w:ind w:left="-57" w:right="-57"/>
              <w:jc w:val="center"/>
              <w:rPr>
                <w:sz w:val="16"/>
                <w:szCs w:val="16"/>
              </w:rPr>
            </w:pPr>
            <w:r w:rsidRPr="00261A67">
              <w:rPr>
                <w:sz w:val="16"/>
                <w:szCs w:val="16"/>
              </w:rPr>
              <w:t>Actual/Indicative</w:t>
            </w:r>
          </w:p>
          <w:p w14:paraId="17D8E537" w14:textId="77777777" w:rsidR="00900BC4" w:rsidRPr="00261A67" w:rsidRDefault="00900BC4" w:rsidP="006E37BB">
            <w:pPr>
              <w:pStyle w:val="TableTextHeadingRight"/>
              <w:spacing w:before="0" w:after="0"/>
              <w:jc w:val="center"/>
              <w:rPr>
                <w:sz w:val="16"/>
                <w:szCs w:val="16"/>
              </w:rPr>
            </w:pPr>
            <w:r w:rsidRPr="00261A67">
              <w:rPr>
                <w:sz w:val="16"/>
                <w:szCs w:val="16"/>
              </w:rPr>
              <w:t>PWC Referral</w:t>
            </w:r>
          </w:p>
          <w:p w14:paraId="76DE3735" w14:textId="77777777" w:rsidR="00900BC4" w:rsidRPr="00261A67" w:rsidRDefault="00900BC4" w:rsidP="006E37BB">
            <w:pPr>
              <w:pStyle w:val="TableTextHeadingRight"/>
              <w:spacing w:before="0"/>
              <w:jc w:val="center"/>
              <w:rPr>
                <w:sz w:val="16"/>
                <w:szCs w:val="16"/>
              </w:rPr>
            </w:pPr>
            <w:r w:rsidRPr="00261A67">
              <w:rPr>
                <w:sz w:val="16"/>
                <w:szCs w:val="16"/>
              </w:rPr>
              <w:t>Date</w:t>
            </w:r>
            <w:r w:rsidR="009D149C" w:rsidRPr="00261A67">
              <w:rPr>
                <w:sz w:val="16"/>
                <w:szCs w:val="16"/>
                <w:vertAlign w:val="superscript"/>
              </w:rPr>
              <w:t xml:space="preserve"> [a</w:t>
            </w:r>
            <w:r w:rsidR="00A4637B" w:rsidRPr="00261A67">
              <w:rPr>
                <w:sz w:val="16"/>
                <w:szCs w:val="16"/>
                <w:vertAlign w:val="superscript"/>
              </w:rPr>
              <w:t>]</w:t>
            </w:r>
          </w:p>
        </w:tc>
        <w:tc>
          <w:tcPr>
            <w:tcW w:w="1381" w:type="dxa"/>
          </w:tcPr>
          <w:p w14:paraId="45F8F05A" w14:textId="77777777" w:rsidR="00900BC4" w:rsidRPr="00261A67" w:rsidRDefault="00900BC4" w:rsidP="006E37BB">
            <w:pPr>
              <w:pStyle w:val="TableTextHeadingRight"/>
              <w:spacing w:after="0"/>
              <w:ind w:left="-57" w:right="-57"/>
              <w:jc w:val="center"/>
              <w:rPr>
                <w:sz w:val="16"/>
                <w:szCs w:val="16"/>
              </w:rPr>
            </w:pPr>
            <w:r w:rsidRPr="00261A67">
              <w:rPr>
                <w:sz w:val="16"/>
                <w:szCs w:val="16"/>
              </w:rPr>
              <w:t>Actual/Indicative</w:t>
            </w:r>
          </w:p>
          <w:p w14:paraId="7A298F86" w14:textId="77777777" w:rsidR="00900BC4" w:rsidRPr="00261A67" w:rsidRDefault="00900BC4" w:rsidP="006E37BB">
            <w:pPr>
              <w:pStyle w:val="TableTextHeadingRight"/>
              <w:spacing w:before="0" w:after="0"/>
              <w:jc w:val="center"/>
              <w:rPr>
                <w:sz w:val="16"/>
                <w:szCs w:val="16"/>
              </w:rPr>
            </w:pPr>
            <w:r w:rsidRPr="00261A67">
              <w:rPr>
                <w:sz w:val="16"/>
                <w:szCs w:val="16"/>
              </w:rPr>
              <w:t>PWC Hearing</w:t>
            </w:r>
          </w:p>
          <w:p w14:paraId="2773F7ED" w14:textId="77777777" w:rsidR="00900BC4" w:rsidRPr="00261A67" w:rsidRDefault="00900BC4" w:rsidP="006E37BB">
            <w:pPr>
              <w:pStyle w:val="TableTextHeadingRight"/>
              <w:spacing w:before="0"/>
              <w:jc w:val="center"/>
              <w:rPr>
                <w:sz w:val="16"/>
                <w:szCs w:val="16"/>
              </w:rPr>
            </w:pPr>
            <w:r w:rsidRPr="00261A67">
              <w:rPr>
                <w:sz w:val="16"/>
                <w:szCs w:val="16"/>
              </w:rPr>
              <w:t>Date</w:t>
            </w:r>
            <w:r w:rsidR="009D149C" w:rsidRPr="00261A67">
              <w:rPr>
                <w:sz w:val="16"/>
                <w:szCs w:val="16"/>
                <w:vertAlign w:val="superscript"/>
              </w:rPr>
              <w:t xml:space="preserve"> [a</w:t>
            </w:r>
            <w:r w:rsidRPr="00261A67">
              <w:rPr>
                <w:sz w:val="16"/>
                <w:szCs w:val="16"/>
                <w:vertAlign w:val="superscript"/>
              </w:rPr>
              <w:t>]</w:t>
            </w:r>
            <w:r w:rsidR="007C5D4F" w:rsidRPr="00261A67">
              <w:rPr>
                <w:sz w:val="16"/>
                <w:szCs w:val="16"/>
                <w:vertAlign w:val="superscript"/>
              </w:rPr>
              <w:t xml:space="preserve"> </w:t>
            </w:r>
            <w:r w:rsidR="00A4637B" w:rsidRPr="00261A67">
              <w:rPr>
                <w:sz w:val="16"/>
                <w:szCs w:val="16"/>
                <w:vertAlign w:val="superscript"/>
              </w:rPr>
              <w:t>[</w:t>
            </w:r>
            <w:r w:rsidR="009D149C" w:rsidRPr="00261A67">
              <w:rPr>
                <w:sz w:val="16"/>
                <w:szCs w:val="16"/>
                <w:vertAlign w:val="superscript"/>
              </w:rPr>
              <w:t>b</w:t>
            </w:r>
            <w:r w:rsidR="00A4637B" w:rsidRPr="00261A67">
              <w:rPr>
                <w:sz w:val="16"/>
                <w:szCs w:val="16"/>
                <w:vertAlign w:val="superscript"/>
              </w:rPr>
              <w:t>]</w:t>
            </w:r>
          </w:p>
        </w:tc>
        <w:tc>
          <w:tcPr>
            <w:tcW w:w="1327" w:type="dxa"/>
          </w:tcPr>
          <w:p w14:paraId="26FAF679" w14:textId="77777777" w:rsidR="00430216" w:rsidRPr="00261A67" w:rsidRDefault="00900BC4" w:rsidP="006E37BB">
            <w:pPr>
              <w:pStyle w:val="TableParagraph"/>
              <w:kinsoku w:val="0"/>
              <w:overflowPunct w:val="0"/>
              <w:spacing w:before="40"/>
              <w:ind w:left="-57" w:right="-57"/>
              <w:jc w:val="center"/>
              <w:rPr>
                <w:b/>
                <w:bCs/>
                <w:sz w:val="16"/>
                <w:szCs w:val="16"/>
              </w:rPr>
            </w:pPr>
            <w:r w:rsidRPr="00261A67">
              <w:rPr>
                <w:b/>
                <w:bCs/>
                <w:sz w:val="16"/>
                <w:szCs w:val="16"/>
              </w:rPr>
              <w:t>Parliamentary</w:t>
            </w:r>
          </w:p>
          <w:p w14:paraId="04CE3C5A" w14:textId="77777777" w:rsidR="00900BC4" w:rsidRPr="00261A67" w:rsidRDefault="00900BC4" w:rsidP="006E37BB">
            <w:pPr>
              <w:pStyle w:val="TableParagraph"/>
              <w:kinsoku w:val="0"/>
              <w:overflowPunct w:val="0"/>
              <w:ind w:left="-57" w:right="-57"/>
              <w:jc w:val="center"/>
              <w:rPr>
                <w:b/>
                <w:bCs/>
                <w:sz w:val="16"/>
                <w:szCs w:val="16"/>
              </w:rPr>
            </w:pPr>
            <w:r w:rsidRPr="00261A67">
              <w:rPr>
                <w:b/>
                <w:bCs/>
                <w:sz w:val="16"/>
                <w:szCs w:val="16"/>
              </w:rPr>
              <w:t>Approval</w:t>
            </w:r>
          </w:p>
          <w:p w14:paraId="76EE0B9A" w14:textId="77777777" w:rsidR="00900BC4" w:rsidRPr="00261A67" w:rsidRDefault="00900BC4" w:rsidP="006E37BB">
            <w:pPr>
              <w:pStyle w:val="TableParagraph"/>
              <w:kinsoku w:val="0"/>
              <w:overflowPunct w:val="0"/>
              <w:spacing w:after="40"/>
              <w:jc w:val="center"/>
              <w:rPr>
                <w:b/>
                <w:bCs/>
                <w:sz w:val="16"/>
                <w:szCs w:val="16"/>
              </w:rPr>
            </w:pPr>
            <w:r w:rsidRPr="00261A67">
              <w:rPr>
                <w:b/>
                <w:bCs/>
                <w:sz w:val="16"/>
                <w:szCs w:val="16"/>
              </w:rPr>
              <w:t>Date</w:t>
            </w:r>
            <w:r w:rsidR="00466F35" w:rsidRPr="00261A67">
              <w:rPr>
                <w:b/>
                <w:bCs/>
                <w:sz w:val="16"/>
                <w:szCs w:val="16"/>
                <w:vertAlign w:val="superscript"/>
              </w:rPr>
              <w:t xml:space="preserve"> [a</w:t>
            </w:r>
            <w:r w:rsidRPr="00261A67">
              <w:rPr>
                <w:b/>
                <w:bCs/>
                <w:sz w:val="16"/>
                <w:szCs w:val="16"/>
                <w:vertAlign w:val="superscript"/>
              </w:rPr>
              <w:t>]</w:t>
            </w:r>
          </w:p>
        </w:tc>
      </w:tr>
      <w:tr w:rsidR="00261A67" w:rsidRPr="00194C8A" w14:paraId="14E4972D" w14:textId="77777777" w:rsidTr="00261A67">
        <w:trPr>
          <w:trHeight w:val="538"/>
        </w:trPr>
        <w:tc>
          <w:tcPr>
            <w:tcW w:w="2810" w:type="dxa"/>
            <w:tcBorders>
              <w:top w:val="single" w:sz="6" w:space="0" w:color="auto"/>
              <w:left w:val="single" w:sz="6" w:space="0" w:color="auto"/>
              <w:bottom w:val="single" w:sz="6" w:space="0" w:color="auto"/>
              <w:right w:val="single" w:sz="6" w:space="0" w:color="auto"/>
            </w:tcBorders>
            <w:vAlign w:val="center"/>
          </w:tcPr>
          <w:p w14:paraId="27593CE6" w14:textId="77777777" w:rsidR="00261A67" w:rsidRPr="00CE312F" w:rsidRDefault="00261A67" w:rsidP="00261A67">
            <w:pPr>
              <w:pStyle w:val="TableTextHeadingRight"/>
              <w:jc w:val="left"/>
              <w:rPr>
                <w:b w:val="0"/>
                <w:sz w:val="16"/>
                <w:szCs w:val="16"/>
              </w:rPr>
            </w:pPr>
            <w:r w:rsidRPr="00CE312F">
              <w:rPr>
                <w:b w:val="0"/>
                <w:sz w:val="16"/>
                <w:szCs w:val="16"/>
              </w:rPr>
              <w:t>Blamey Barracks Redevelopment</w:t>
            </w:r>
          </w:p>
        </w:tc>
        <w:tc>
          <w:tcPr>
            <w:tcW w:w="1436" w:type="dxa"/>
            <w:tcBorders>
              <w:top w:val="single" w:sz="6" w:space="0" w:color="auto"/>
              <w:left w:val="single" w:sz="6" w:space="0" w:color="auto"/>
              <w:bottom w:val="single" w:sz="6" w:space="0" w:color="auto"/>
              <w:right w:val="single" w:sz="6" w:space="0" w:color="auto"/>
            </w:tcBorders>
            <w:vAlign w:val="center"/>
          </w:tcPr>
          <w:p w14:paraId="2582123B" w14:textId="77777777" w:rsidR="00261A67" w:rsidRPr="00CE312F" w:rsidRDefault="00261A67" w:rsidP="00261A67">
            <w:pPr>
              <w:pStyle w:val="TableTextHeadingRight"/>
              <w:jc w:val="left"/>
              <w:rPr>
                <w:b w:val="0"/>
                <w:sz w:val="16"/>
                <w:szCs w:val="16"/>
              </w:rPr>
            </w:pPr>
            <w:r w:rsidRPr="00CE312F">
              <w:rPr>
                <w:b w:val="0"/>
                <w:sz w:val="16"/>
                <w:szCs w:val="16"/>
              </w:rPr>
              <w:t>NSW - Riverina</w:t>
            </w:r>
          </w:p>
        </w:tc>
        <w:tc>
          <w:tcPr>
            <w:tcW w:w="1381" w:type="dxa"/>
            <w:tcBorders>
              <w:top w:val="single" w:sz="6" w:space="0" w:color="auto"/>
              <w:left w:val="single" w:sz="6" w:space="0" w:color="auto"/>
              <w:bottom w:val="single" w:sz="6" w:space="0" w:color="auto"/>
              <w:right w:val="single" w:sz="6" w:space="0" w:color="auto"/>
            </w:tcBorders>
            <w:vAlign w:val="center"/>
          </w:tcPr>
          <w:p w14:paraId="0A0230A3" w14:textId="77777777" w:rsidR="00261A67" w:rsidRPr="00CE312F" w:rsidRDefault="00261A67" w:rsidP="00261A67">
            <w:pPr>
              <w:pStyle w:val="TableTextHeadingRight"/>
              <w:spacing w:after="0"/>
              <w:ind w:left="-57" w:right="-57"/>
              <w:jc w:val="center"/>
              <w:rPr>
                <w:b w:val="0"/>
                <w:sz w:val="16"/>
                <w:szCs w:val="16"/>
              </w:rPr>
            </w:pPr>
            <w:r w:rsidRPr="00CE312F">
              <w:rPr>
                <w:b w:val="0"/>
                <w:sz w:val="16"/>
                <w:szCs w:val="16"/>
              </w:rPr>
              <w:t>Late-2025</w:t>
            </w:r>
          </w:p>
        </w:tc>
        <w:tc>
          <w:tcPr>
            <w:tcW w:w="1381" w:type="dxa"/>
            <w:tcBorders>
              <w:top w:val="single" w:sz="6" w:space="0" w:color="auto"/>
              <w:left w:val="single" w:sz="6" w:space="0" w:color="auto"/>
              <w:bottom w:val="single" w:sz="6" w:space="0" w:color="auto"/>
              <w:right w:val="single" w:sz="6" w:space="0" w:color="auto"/>
            </w:tcBorders>
            <w:vAlign w:val="center"/>
          </w:tcPr>
          <w:p w14:paraId="11109078" w14:textId="77777777" w:rsidR="00261A67" w:rsidRPr="00CE312F" w:rsidRDefault="00261A67" w:rsidP="00261A67">
            <w:pPr>
              <w:pStyle w:val="TableTextHeadingRight"/>
              <w:spacing w:after="0"/>
              <w:ind w:left="-57" w:right="-57"/>
              <w:jc w:val="center"/>
              <w:rPr>
                <w:b w:val="0"/>
                <w:sz w:val="16"/>
                <w:szCs w:val="16"/>
              </w:rPr>
            </w:pPr>
            <w:r w:rsidRPr="00CE312F">
              <w:rPr>
                <w:b w:val="0"/>
                <w:sz w:val="16"/>
                <w:szCs w:val="16"/>
              </w:rPr>
              <w:t>Late-2025</w:t>
            </w:r>
          </w:p>
        </w:tc>
        <w:tc>
          <w:tcPr>
            <w:tcW w:w="1327" w:type="dxa"/>
            <w:tcBorders>
              <w:top w:val="single" w:sz="6" w:space="0" w:color="auto"/>
              <w:left w:val="single" w:sz="6" w:space="0" w:color="auto"/>
              <w:bottom w:val="single" w:sz="6" w:space="0" w:color="auto"/>
              <w:right w:val="single" w:sz="6" w:space="0" w:color="auto"/>
            </w:tcBorders>
            <w:vAlign w:val="center"/>
          </w:tcPr>
          <w:p w14:paraId="4383085C" w14:textId="77777777" w:rsidR="00261A67" w:rsidRPr="00CE312F" w:rsidRDefault="00261A67" w:rsidP="00261A67">
            <w:pPr>
              <w:pStyle w:val="TableParagraph"/>
              <w:kinsoku w:val="0"/>
              <w:overflowPunct w:val="0"/>
              <w:spacing w:before="40"/>
              <w:ind w:left="-57" w:right="-57"/>
              <w:jc w:val="center"/>
              <w:rPr>
                <w:bCs/>
                <w:sz w:val="16"/>
                <w:szCs w:val="16"/>
              </w:rPr>
            </w:pPr>
            <w:r w:rsidRPr="00CE312F">
              <w:rPr>
                <w:bCs/>
                <w:sz w:val="16"/>
                <w:szCs w:val="16"/>
              </w:rPr>
              <w:t>Late-2025</w:t>
            </w:r>
          </w:p>
        </w:tc>
      </w:tr>
      <w:tr w:rsidR="00261A67" w:rsidRPr="00194C8A" w14:paraId="16FD6A5A" w14:textId="77777777" w:rsidTr="00261A67">
        <w:trPr>
          <w:trHeight w:val="538"/>
        </w:trPr>
        <w:tc>
          <w:tcPr>
            <w:tcW w:w="2810" w:type="dxa"/>
            <w:tcBorders>
              <w:top w:val="single" w:sz="6" w:space="0" w:color="auto"/>
              <w:left w:val="single" w:sz="6" w:space="0" w:color="auto"/>
              <w:bottom w:val="single" w:sz="6" w:space="0" w:color="auto"/>
              <w:right w:val="single" w:sz="6" w:space="0" w:color="auto"/>
            </w:tcBorders>
            <w:vAlign w:val="center"/>
          </w:tcPr>
          <w:p w14:paraId="20886673" w14:textId="77777777" w:rsidR="00261A67" w:rsidRPr="00CE312F" w:rsidRDefault="00261A67" w:rsidP="00261A67">
            <w:pPr>
              <w:pStyle w:val="TableTextHeadingRight"/>
              <w:jc w:val="left"/>
              <w:rPr>
                <w:b w:val="0"/>
                <w:sz w:val="16"/>
                <w:szCs w:val="16"/>
              </w:rPr>
            </w:pPr>
            <w:r>
              <w:rPr>
                <w:b w:val="0"/>
                <w:sz w:val="16"/>
                <w:szCs w:val="16"/>
              </w:rPr>
              <w:t xml:space="preserve">Facilities to Support </w:t>
            </w:r>
            <w:r w:rsidRPr="00CE312F">
              <w:rPr>
                <w:b w:val="0"/>
                <w:sz w:val="16"/>
                <w:szCs w:val="16"/>
              </w:rPr>
              <w:t xml:space="preserve">Theatre Logistics </w:t>
            </w:r>
            <w:r>
              <w:rPr>
                <w:b w:val="0"/>
                <w:sz w:val="16"/>
                <w:szCs w:val="16"/>
              </w:rPr>
              <w:t xml:space="preserve">(Work Package </w:t>
            </w:r>
            <w:r w:rsidRPr="00CE312F">
              <w:rPr>
                <w:b w:val="0"/>
                <w:sz w:val="16"/>
                <w:szCs w:val="16"/>
              </w:rPr>
              <w:t>2.4</w:t>
            </w:r>
            <w:r>
              <w:rPr>
                <w:b w:val="0"/>
                <w:sz w:val="16"/>
                <w:szCs w:val="16"/>
              </w:rPr>
              <w:t>)</w:t>
            </w:r>
          </w:p>
        </w:tc>
        <w:tc>
          <w:tcPr>
            <w:tcW w:w="1436" w:type="dxa"/>
            <w:tcBorders>
              <w:top w:val="single" w:sz="6" w:space="0" w:color="auto"/>
              <w:left w:val="single" w:sz="6" w:space="0" w:color="auto"/>
              <w:bottom w:val="single" w:sz="6" w:space="0" w:color="auto"/>
              <w:right w:val="single" w:sz="6" w:space="0" w:color="auto"/>
            </w:tcBorders>
            <w:vAlign w:val="center"/>
          </w:tcPr>
          <w:p w14:paraId="2BCF2019" w14:textId="77777777" w:rsidR="00261A67" w:rsidRPr="00CE312F" w:rsidRDefault="00261A67" w:rsidP="00261A67">
            <w:pPr>
              <w:pStyle w:val="TableTextHeadingRight"/>
              <w:jc w:val="left"/>
              <w:rPr>
                <w:b w:val="0"/>
                <w:sz w:val="16"/>
                <w:szCs w:val="16"/>
              </w:rPr>
            </w:pPr>
            <w:r w:rsidRPr="00CE312F">
              <w:rPr>
                <w:b w:val="0"/>
                <w:sz w:val="16"/>
                <w:szCs w:val="16"/>
              </w:rPr>
              <w:t>Various locations</w:t>
            </w:r>
          </w:p>
        </w:tc>
        <w:tc>
          <w:tcPr>
            <w:tcW w:w="1381" w:type="dxa"/>
            <w:tcBorders>
              <w:top w:val="single" w:sz="6" w:space="0" w:color="auto"/>
              <w:left w:val="single" w:sz="6" w:space="0" w:color="auto"/>
              <w:bottom w:val="single" w:sz="6" w:space="0" w:color="auto"/>
              <w:right w:val="single" w:sz="6" w:space="0" w:color="auto"/>
            </w:tcBorders>
            <w:vAlign w:val="center"/>
          </w:tcPr>
          <w:p w14:paraId="440F1C26" w14:textId="77777777" w:rsidR="00261A67" w:rsidRPr="00CE312F" w:rsidRDefault="00261A67" w:rsidP="00261A67">
            <w:pPr>
              <w:pStyle w:val="TableTextHeadingRight"/>
              <w:spacing w:after="0"/>
              <w:ind w:left="-57" w:right="-57"/>
              <w:jc w:val="center"/>
              <w:rPr>
                <w:b w:val="0"/>
                <w:sz w:val="16"/>
                <w:szCs w:val="16"/>
              </w:rPr>
            </w:pPr>
            <w:r w:rsidRPr="00CE312F">
              <w:rPr>
                <w:b w:val="0"/>
                <w:sz w:val="16"/>
                <w:szCs w:val="16"/>
              </w:rPr>
              <w:t>Late-2025</w:t>
            </w:r>
          </w:p>
        </w:tc>
        <w:tc>
          <w:tcPr>
            <w:tcW w:w="1381" w:type="dxa"/>
            <w:tcBorders>
              <w:top w:val="single" w:sz="6" w:space="0" w:color="auto"/>
              <w:left w:val="single" w:sz="6" w:space="0" w:color="auto"/>
              <w:bottom w:val="single" w:sz="6" w:space="0" w:color="auto"/>
              <w:right w:val="single" w:sz="6" w:space="0" w:color="auto"/>
            </w:tcBorders>
            <w:vAlign w:val="center"/>
          </w:tcPr>
          <w:p w14:paraId="12B7B912" w14:textId="77777777" w:rsidR="00261A67" w:rsidRPr="00CE312F" w:rsidRDefault="00261A67" w:rsidP="00261A67">
            <w:pPr>
              <w:pStyle w:val="TableTextHeadingRight"/>
              <w:spacing w:after="0"/>
              <w:ind w:left="-57" w:right="-57"/>
              <w:jc w:val="center"/>
              <w:rPr>
                <w:b w:val="0"/>
                <w:sz w:val="16"/>
                <w:szCs w:val="16"/>
              </w:rPr>
            </w:pPr>
            <w:r w:rsidRPr="00CE312F">
              <w:rPr>
                <w:b w:val="0"/>
                <w:sz w:val="16"/>
                <w:szCs w:val="16"/>
              </w:rPr>
              <w:t>Early-2026</w:t>
            </w:r>
          </w:p>
        </w:tc>
        <w:tc>
          <w:tcPr>
            <w:tcW w:w="1327" w:type="dxa"/>
            <w:tcBorders>
              <w:top w:val="single" w:sz="6" w:space="0" w:color="auto"/>
              <w:left w:val="single" w:sz="6" w:space="0" w:color="auto"/>
              <w:bottom w:val="single" w:sz="6" w:space="0" w:color="auto"/>
              <w:right w:val="single" w:sz="6" w:space="0" w:color="auto"/>
            </w:tcBorders>
            <w:vAlign w:val="center"/>
          </w:tcPr>
          <w:p w14:paraId="2D43A428" w14:textId="77777777" w:rsidR="00261A67" w:rsidRPr="00CE312F" w:rsidRDefault="00261A67" w:rsidP="00261A67">
            <w:pPr>
              <w:pStyle w:val="TableParagraph"/>
              <w:kinsoku w:val="0"/>
              <w:overflowPunct w:val="0"/>
              <w:spacing w:before="40"/>
              <w:ind w:left="-57" w:right="-57"/>
              <w:jc w:val="center"/>
              <w:rPr>
                <w:bCs/>
                <w:sz w:val="16"/>
                <w:szCs w:val="16"/>
              </w:rPr>
            </w:pPr>
            <w:r w:rsidRPr="00CE312F">
              <w:rPr>
                <w:bCs/>
                <w:sz w:val="16"/>
                <w:szCs w:val="16"/>
              </w:rPr>
              <w:t>Early-2026</w:t>
            </w:r>
          </w:p>
        </w:tc>
      </w:tr>
      <w:tr w:rsidR="00261A67" w:rsidRPr="00194C8A" w14:paraId="58CA895A" w14:textId="77777777" w:rsidTr="00261A67">
        <w:trPr>
          <w:trHeight w:val="538"/>
        </w:trPr>
        <w:tc>
          <w:tcPr>
            <w:tcW w:w="2810" w:type="dxa"/>
            <w:tcBorders>
              <w:top w:val="single" w:sz="6" w:space="0" w:color="auto"/>
              <w:left w:val="single" w:sz="6" w:space="0" w:color="auto"/>
              <w:bottom w:val="single" w:sz="6" w:space="0" w:color="auto"/>
              <w:right w:val="single" w:sz="6" w:space="0" w:color="auto"/>
            </w:tcBorders>
            <w:vAlign w:val="center"/>
          </w:tcPr>
          <w:p w14:paraId="12E5ADAE" w14:textId="77777777" w:rsidR="00261A67" w:rsidRPr="00CE312F" w:rsidRDefault="00261A67" w:rsidP="00261A67">
            <w:pPr>
              <w:pStyle w:val="TableTextHeadingRight"/>
              <w:jc w:val="left"/>
              <w:rPr>
                <w:b w:val="0"/>
                <w:sz w:val="16"/>
                <w:szCs w:val="16"/>
              </w:rPr>
            </w:pPr>
            <w:r w:rsidRPr="00CE312F">
              <w:rPr>
                <w:b w:val="0"/>
                <w:sz w:val="16"/>
                <w:szCs w:val="16"/>
              </w:rPr>
              <w:t xml:space="preserve">Facilities to Support </w:t>
            </w:r>
            <w:r w:rsidRPr="00CE312F">
              <w:rPr>
                <w:b w:val="0"/>
                <w:i/>
                <w:sz w:val="16"/>
                <w:szCs w:val="16"/>
              </w:rPr>
              <w:t>Hobart</w:t>
            </w:r>
            <w:r w:rsidRPr="00CE312F">
              <w:rPr>
                <w:b w:val="0"/>
                <w:sz w:val="16"/>
                <w:szCs w:val="16"/>
              </w:rPr>
              <w:t>–Class Destroyer Aegis System Upgrade</w:t>
            </w:r>
          </w:p>
        </w:tc>
        <w:tc>
          <w:tcPr>
            <w:tcW w:w="1436" w:type="dxa"/>
            <w:tcBorders>
              <w:top w:val="single" w:sz="6" w:space="0" w:color="auto"/>
              <w:left w:val="single" w:sz="6" w:space="0" w:color="auto"/>
              <w:bottom w:val="single" w:sz="6" w:space="0" w:color="auto"/>
              <w:right w:val="single" w:sz="6" w:space="0" w:color="auto"/>
            </w:tcBorders>
            <w:vAlign w:val="center"/>
          </w:tcPr>
          <w:p w14:paraId="10449B6B" w14:textId="77777777" w:rsidR="00261A67" w:rsidRPr="00CE312F" w:rsidRDefault="00261A67" w:rsidP="00261A67">
            <w:pPr>
              <w:pStyle w:val="TableTextHeadingRight"/>
              <w:jc w:val="left"/>
              <w:rPr>
                <w:b w:val="0"/>
                <w:sz w:val="16"/>
                <w:szCs w:val="16"/>
              </w:rPr>
            </w:pPr>
            <w:r w:rsidRPr="00CE312F">
              <w:rPr>
                <w:b w:val="0"/>
                <w:sz w:val="16"/>
                <w:szCs w:val="16"/>
              </w:rPr>
              <w:t>Various locations</w:t>
            </w:r>
          </w:p>
        </w:tc>
        <w:tc>
          <w:tcPr>
            <w:tcW w:w="1381" w:type="dxa"/>
            <w:tcBorders>
              <w:top w:val="single" w:sz="6" w:space="0" w:color="auto"/>
              <w:left w:val="single" w:sz="6" w:space="0" w:color="auto"/>
              <w:bottom w:val="single" w:sz="6" w:space="0" w:color="auto"/>
              <w:right w:val="single" w:sz="6" w:space="0" w:color="auto"/>
            </w:tcBorders>
            <w:vAlign w:val="center"/>
          </w:tcPr>
          <w:p w14:paraId="330B1BFB" w14:textId="77777777" w:rsidR="00261A67" w:rsidRPr="00CE312F" w:rsidRDefault="00261A67" w:rsidP="00261A67">
            <w:pPr>
              <w:pStyle w:val="TableTextHeadingRight"/>
              <w:spacing w:after="0"/>
              <w:ind w:left="-57" w:right="-57"/>
              <w:jc w:val="center"/>
              <w:rPr>
                <w:b w:val="0"/>
                <w:sz w:val="16"/>
                <w:szCs w:val="16"/>
              </w:rPr>
            </w:pPr>
            <w:r w:rsidRPr="00CE312F">
              <w:rPr>
                <w:b w:val="0"/>
                <w:sz w:val="16"/>
                <w:szCs w:val="16"/>
              </w:rPr>
              <w:t>Early-2026</w:t>
            </w:r>
          </w:p>
        </w:tc>
        <w:tc>
          <w:tcPr>
            <w:tcW w:w="1381" w:type="dxa"/>
            <w:tcBorders>
              <w:top w:val="single" w:sz="6" w:space="0" w:color="auto"/>
              <w:left w:val="single" w:sz="6" w:space="0" w:color="auto"/>
              <w:bottom w:val="single" w:sz="6" w:space="0" w:color="auto"/>
              <w:right w:val="single" w:sz="6" w:space="0" w:color="auto"/>
            </w:tcBorders>
            <w:vAlign w:val="center"/>
          </w:tcPr>
          <w:p w14:paraId="4C3D4A4B" w14:textId="77777777" w:rsidR="00261A67" w:rsidRPr="00CE312F" w:rsidRDefault="00261A67" w:rsidP="00261A67">
            <w:pPr>
              <w:pStyle w:val="TableTextHeadingRight"/>
              <w:spacing w:after="0"/>
              <w:ind w:left="-57" w:right="-57"/>
              <w:jc w:val="center"/>
              <w:rPr>
                <w:b w:val="0"/>
                <w:sz w:val="16"/>
                <w:szCs w:val="16"/>
              </w:rPr>
            </w:pPr>
            <w:r w:rsidRPr="00CE312F">
              <w:rPr>
                <w:b w:val="0"/>
                <w:sz w:val="16"/>
                <w:szCs w:val="16"/>
              </w:rPr>
              <w:t>Early-2026</w:t>
            </w:r>
          </w:p>
        </w:tc>
        <w:tc>
          <w:tcPr>
            <w:tcW w:w="1327" w:type="dxa"/>
            <w:tcBorders>
              <w:top w:val="single" w:sz="6" w:space="0" w:color="auto"/>
              <w:left w:val="single" w:sz="6" w:space="0" w:color="auto"/>
              <w:bottom w:val="single" w:sz="6" w:space="0" w:color="auto"/>
              <w:right w:val="single" w:sz="6" w:space="0" w:color="auto"/>
            </w:tcBorders>
            <w:vAlign w:val="center"/>
          </w:tcPr>
          <w:p w14:paraId="6657FE7A" w14:textId="77777777" w:rsidR="00261A67" w:rsidRPr="00CE312F" w:rsidRDefault="00261A67" w:rsidP="00261A67">
            <w:pPr>
              <w:pStyle w:val="TableParagraph"/>
              <w:kinsoku w:val="0"/>
              <w:overflowPunct w:val="0"/>
              <w:spacing w:before="40"/>
              <w:ind w:left="-57" w:right="-57"/>
              <w:jc w:val="center"/>
              <w:rPr>
                <w:bCs/>
                <w:sz w:val="16"/>
                <w:szCs w:val="16"/>
              </w:rPr>
            </w:pPr>
            <w:r w:rsidRPr="00CE312F">
              <w:rPr>
                <w:bCs/>
                <w:sz w:val="16"/>
                <w:szCs w:val="16"/>
              </w:rPr>
              <w:t>Early-2026</w:t>
            </w:r>
          </w:p>
        </w:tc>
      </w:tr>
      <w:tr w:rsidR="00261A67" w:rsidRPr="00194C8A" w14:paraId="126E08C1" w14:textId="77777777" w:rsidTr="00261A67">
        <w:trPr>
          <w:trHeight w:val="538"/>
        </w:trPr>
        <w:tc>
          <w:tcPr>
            <w:tcW w:w="2810" w:type="dxa"/>
            <w:tcBorders>
              <w:top w:val="single" w:sz="6" w:space="0" w:color="auto"/>
              <w:left w:val="single" w:sz="6" w:space="0" w:color="auto"/>
              <w:bottom w:val="single" w:sz="6" w:space="0" w:color="auto"/>
              <w:right w:val="single" w:sz="6" w:space="0" w:color="auto"/>
            </w:tcBorders>
            <w:vAlign w:val="center"/>
          </w:tcPr>
          <w:p w14:paraId="6D042546" w14:textId="77777777" w:rsidR="00261A67" w:rsidRPr="00CE312F" w:rsidRDefault="00261A67" w:rsidP="00261A67">
            <w:pPr>
              <w:pStyle w:val="TableTextHeadingRight"/>
              <w:jc w:val="left"/>
              <w:rPr>
                <w:b w:val="0"/>
                <w:sz w:val="16"/>
                <w:szCs w:val="16"/>
              </w:rPr>
            </w:pPr>
            <w:r>
              <w:rPr>
                <w:b w:val="0"/>
                <w:sz w:val="16"/>
                <w:szCs w:val="16"/>
              </w:rPr>
              <w:t xml:space="preserve">Facilities to Support </w:t>
            </w:r>
            <w:r w:rsidRPr="00CE312F">
              <w:rPr>
                <w:b w:val="0"/>
                <w:sz w:val="16"/>
                <w:szCs w:val="16"/>
              </w:rPr>
              <w:t xml:space="preserve">Theatre Logistics </w:t>
            </w:r>
            <w:r>
              <w:rPr>
                <w:b w:val="0"/>
                <w:sz w:val="16"/>
                <w:szCs w:val="16"/>
              </w:rPr>
              <w:t xml:space="preserve">(Work Packages </w:t>
            </w:r>
            <w:r w:rsidRPr="00CE312F">
              <w:rPr>
                <w:b w:val="0"/>
                <w:sz w:val="16"/>
                <w:szCs w:val="16"/>
              </w:rPr>
              <w:t>2.1 and 2.6</w:t>
            </w:r>
            <w:r>
              <w:rPr>
                <w:b w:val="0"/>
                <w:sz w:val="16"/>
                <w:szCs w:val="16"/>
              </w:rPr>
              <w:t>)</w:t>
            </w:r>
          </w:p>
        </w:tc>
        <w:tc>
          <w:tcPr>
            <w:tcW w:w="1436" w:type="dxa"/>
            <w:tcBorders>
              <w:top w:val="single" w:sz="6" w:space="0" w:color="auto"/>
              <w:left w:val="single" w:sz="6" w:space="0" w:color="auto"/>
              <w:bottom w:val="single" w:sz="6" w:space="0" w:color="auto"/>
              <w:right w:val="single" w:sz="6" w:space="0" w:color="auto"/>
            </w:tcBorders>
            <w:vAlign w:val="center"/>
          </w:tcPr>
          <w:p w14:paraId="5316D7A1" w14:textId="77777777" w:rsidR="00261A67" w:rsidRPr="00CE312F" w:rsidRDefault="00261A67" w:rsidP="00261A67">
            <w:pPr>
              <w:pStyle w:val="TableTextHeadingRight"/>
              <w:jc w:val="left"/>
              <w:rPr>
                <w:b w:val="0"/>
                <w:sz w:val="16"/>
                <w:szCs w:val="16"/>
              </w:rPr>
            </w:pPr>
            <w:r w:rsidRPr="00CE312F">
              <w:rPr>
                <w:b w:val="0"/>
                <w:sz w:val="16"/>
                <w:szCs w:val="16"/>
              </w:rPr>
              <w:t>Various locations</w:t>
            </w:r>
          </w:p>
        </w:tc>
        <w:tc>
          <w:tcPr>
            <w:tcW w:w="1381" w:type="dxa"/>
            <w:tcBorders>
              <w:top w:val="single" w:sz="6" w:space="0" w:color="auto"/>
              <w:left w:val="single" w:sz="6" w:space="0" w:color="auto"/>
              <w:bottom w:val="single" w:sz="6" w:space="0" w:color="auto"/>
              <w:right w:val="single" w:sz="6" w:space="0" w:color="auto"/>
            </w:tcBorders>
            <w:vAlign w:val="center"/>
          </w:tcPr>
          <w:p w14:paraId="2E5B163A" w14:textId="77777777" w:rsidR="00261A67" w:rsidRPr="00CE312F" w:rsidRDefault="00261A67" w:rsidP="00261A67">
            <w:pPr>
              <w:pStyle w:val="TableTextHeadingRight"/>
              <w:spacing w:after="0"/>
              <w:ind w:left="-57" w:right="-57"/>
              <w:jc w:val="center"/>
              <w:rPr>
                <w:b w:val="0"/>
                <w:sz w:val="16"/>
                <w:szCs w:val="16"/>
              </w:rPr>
            </w:pPr>
            <w:r w:rsidRPr="00CE312F">
              <w:rPr>
                <w:b w:val="0"/>
                <w:sz w:val="16"/>
                <w:szCs w:val="16"/>
              </w:rPr>
              <w:t>Mid-2026</w:t>
            </w:r>
          </w:p>
        </w:tc>
        <w:tc>
          <w:tcPr>
            <w:tcW w:w="1381" w:type="dxa"/>
            <w:tcBorders>
              <w:top w:val="single" w:sz="6" w:space="0" w:color="auto"/>
              <w:left w:val="single" w:sz="6" w:space="0" w:color="auto"/>
              <w:bottom w:val="single" w:sz="6" w:space="0" w:color="auto"/>
              <w:right w:val="single" w:sz="6" w:space="0" w:color="auto"/>
            </w:tcBorders>
            <w:vAlign w:val="center"/>
          </w:tcPr>
          <w:p w14:paraId="777087A2" w14:textId="77777777" w:rsidR="00261A67" w:rsidRPr="00CE312F" w:rsidRDefault="00261A67" w:rsidP="00261A67">
            <w:pPr>
              <w:pStyle w:val="TableTextHeadingRight"/>
              <w:spacing w:after="0"/>
              <w:ind w:left="-57" w:right="-57"/>
              <w:jc w:val="center"/>
              <w:rPr>
                <w:b w:val="0"/>
                <w:sz w:val="16"/>
                <w:szCs w:val="16"/>
              </w:rPr>
            </w:pPr>
            <w:r w:rsidRPr="00CE312F">
              <w:rPr>
                <w:b w:val="0"/>
                <w:sz w:val="16"/>
                <w:szCs w:val="16"/>
              </w:rPr>
              <w:t>Mid-2026</w:t>
            </w:r>
          </w:p>
        </w:tc>
        <w:tc>
          <w:tcPr>
            <w:tcW w:w="1327" w:type="dxa"/>
            <w:tcBorders>
              <w:top w:val="single" w:sz="6" w:space="0" w:color="auto"/>
              <w:left w:val="single" w:sz="6" w:space="0" w:color="auto"/>
              <w:bottom w:val="single" w:sz="6" w:space="0" w:color="auto"/>
              <w:right w:val="single" w:sz="6" w:space="0" w:color="auto"/>
            </w:tcBorders>
            <w:vAlign w:val="center"/>
          </w:tcPr>
          <w:p w14:paraId="33104684" w14:textId="77777777" w:rsidR="00261A67" w:rsidRPr="00CE312F" w:rsidRDefault="00261A67" w:rsidP="00261A67">
            <w:pPr>
              <w:pStyle w:val="TableParagraph"/>
              <w:kinsoku w:val="0"/>
              <w:overflowPunct w:val="0"/>
              <w:spacing w:before="40"/>
              <w:ind w:left="-57" w:right="-57"/>
              <w:jc w:val="center"/>
              <w:rPr>
                <w:bCs/>
                <w:sz w:val="16"/>
                <w:szCs w:val="16"/>
              </w:rPr>
            </w:pPr>
            <w:r w:rsidRPr="00CE312F">
              <w:rPr>
                <w:bCs/>
                <w:sz w:val="16"/>
                <w:szCs w:val="16"/>
              </w:rPr>
              <w:t>Mid-2026</w:t>
            </w:r>
          </w:p>
        </w:tc>
      </w:tr>
    </w:tbl>
    <w:p w14:paraId="22527C94" w14:textId="77777777" w:rsidR="004A0114" w:rsidRPr="00194C8A" w:rsidRDefault="004A0114" w:rsidP="0008019D">
      <w:pPr>
        <w:pStyle w:val="NotesHeading"/>
        <w:spacing w:before="0" w:after="0"/>
        <w:ind w:left="227" w:hanging="227"/>
        <w:jc w:val="both"/>
        <w:rPr>
          <w:highlight w:val="yellow"/>
        </w:rPr>
      </w:pPr>
    </w:p>
    <w:p w14:paraId="5181F08A" w14:textId="77777777" w:rsidR="00900BC4" w:rsidRPr="00261A67" w:rsidRDefault="00900BC4" w:rsidP="0008019D">
      <w:pPr>
        <w:pStyle w:val="NotesHeading"/>
        <w:spacing w:before="0" w:after="0"/>
        <w:ind w:left="227" w:hanging="227"/>
        <w:jc w:val="both"/>
        <w:rPr>
          <w:sz w:val="14"/>
          <w:szCs w:val="14"/>
        </w:rPr>
      </w:pPr>
      <w:r w:rsidRPr="00261A67">
        <w:rPr>
          <w:sz w:val="14"/>
          <w:szCs w:val="14"/>
        </w:rPr>
        <w:t>Notes</w:t>
      </w:r>
    </w:p>
    <w:p w14:paraId="00F5AF82" w14:textId="77777777" w:rsidR="00A4637B" w:rsidRPr="00261A67" w:rsidRDefault="00A4637B" w:rsidP="00D9100A">
      <w:pPr>
        <w:pStyle w:val="ListParagraph"/>
        <w:widowControl w:val="0"/>
        <w:numPr>
          <w:ilvl w:val="2"/>
          <w:numId w:val="32"/>
        </w:numPr>
        <w:tabs>
          <w:tab w:val="left" w:pos="284"/>
        </w:tabs>
        <w:kinsoku w:val="0"/>
        <w:overflowPunct w:val="0"/>
        <w:autoSpaceDE w:val="0"/>
        <w:autoSpaceDN w:val="0"/>
        <w:adjustRightInd w:val="0"/>
        <w:spacing w:before="0" w:after="0"/>
        <w:ind w:left="227" w:hanging="227"/>
        <w:contextualSpacing w:val="0"/>
        <w:rPr>
          <w:rFonts w:ascii="Arial" w:hAnsi="Arial"/>
          <w:sz w:val="14"/>
          <w:szCs w:val="14"/>
        </w:rPr>
      </w:pPr>
      <w:r w:rsidRPr="00261A67">
        <w:rPr>
          <w:rFonts w:ascii="Arial" w:hAnsi="Arial"/>
          <w:w w:val="105"/>
          <w:sz w:val="14"/>
          <w:szCs w:val="14"/>
        </w:rPr>
        <w:t>Actual dates are shown in full. Forecast dates are shown as “Early”, “Mid”, “Late”.</w:t>
      </w:r>
    </w:p>
    <w:p w14:paraId="6C5ACBBE" w14:textId="77777777" w:rsidR="001B482A" w:rsidRPr="00261A67" w:rsidRDefault="001B482A" w:rsidP="00D9100A">
      <w:pPr>
        <w:widowControl w:val="0"/>
        <w:numPr>
          <w:ilvl w:val="2"/>
          <w:numId w:val="32"/>
        </w:numPr>
        <w:tabs>
          <w:tab w:val="left" w:pos="284"/>
        </w:tabs>
        <w:kinsoku w:val="0"/>
        <w:overflowPunct w:val="0"/>
        <w:autoSpaceDE w:val="0"/>
        <w:autoSpaceDN w:val="0"/>
        <w:adjustRightInd w:val="0"/>
        <w:spacing w:before="0" w:after="0"/>
        <w:ind w:left="227" w:hanging="227"/>
        <w:rPr>
          <w:rFonts w:ascii="Arial" w:hAnsi="Arial"/>
          <w:sz w:val="14"/>
          <w:szCs w:val="14"/>
        </w:rPr>
      </w:pPr>
      <w:r w:rsidRPr="00261A67">
        <w:rPr>
          <w:rFonts w:ascii="Arial" w:hAnsi="Arial"/>
          <w:w w:val="105"/>
          <w:sz w:val="14"/>
          <w:szCs w:val="14"/>
        </w:rPr>
        <w:t>Hearing</w:t>
      </w:r>
      <w:r w:rsidRPr="00261A67">
        <w:rPr>
          <w:rFonts w:ascii="Arial" w:hAnsi="Arial"/>
          <w:spacing w:val="-11"/>
          <w:w w:val="105"/>
          <w:sz w:val="14"/>
          <w:szCs w:val="14"/>
        </w:rPr>
        <w:t xml:space="preserve"> </w:t>
      </w:r>
      <w:r w:rsidRPr="00261A67">
        <w:rPr>
          <w:rFonts w:ascii="Arial" w:hAnsi="Arial"/>
          <w:w w:val="105"/>
          <w:sz w:val="14"/>
          <w:szCs w:val="14"/>
        </w:rPr>
        <w:t>dates are</w:t>
      </w:r>
      <w:r w:rsidRPr="00261A67">
        <w:rPr>
          <w:rFonts w:ascii="Arial" w:hAnsi="Arial"/>
          <w:spacing w:val="-17"/>
          <w:w w:val="105"/>
          <w:sz w:val="14"/>
          <w:szCs w:val="14"/>
        </w:rPr>
        <w:t xml:space="preserve"> </w:t>
      </w:r>
      <w:r w:rsidRPr="00261A67">
        <w:rPr>
          <w:rFonts w:ascii="Arial" w:hAnsi="Arial"/>
          <w:spacing w:val="-6"/>
          <w:w w:val="105"/>
          <w:sz w:val="14"/>
          <w:szCs w:val="14"/>
        </w:rPr>
        <w:t xml:space="preserve">subject </w:t>
      </w:r>
      <w:r w:rsidRPr="00261A67">
        <w:rPr>
          <w:rFonts w:ascii="Arial" w:hAnsi="Arial"/>
          <w:w w:val="105"/>
          <w:sz w:val="14"/>
          <w:szCs w:val="14"/>
        </w:rPr>
        <w:t>to</w:t>
      </w:r>
      <w:r w:rsidRPr="00261A67">
        <w:rPr>
          <w:rFonts w:ascii="Arial" w:hAnsi="Arial"/>
          <w:spacing w:val="-12"/>
          <w:w w:val="105"/>
          <w:sz w:val="14"/>
          <w:szCs w:val="14"/>
        </w:rPr>
        <w:t xml:space="preserve"> </w:t>
      </w:r>
      <w:r w:rsidRPr="00261A67">
        <w:rPr>
          <w:rFonts w:ascii="Arial" w:hAnsi="Arial"/>
          <w:w w:val="105"/>
          <w:sz w:val="14"/>
          <w:szCs w:val="14"/>
        </w:rPr>
        <w:t>the</w:t>
      </w:r>
      <w:r w:rsidRPr="00261A67">
        <w:rPr>
          <w:rFonts w:ascii="Arial" w:hAnsi="Arial"/>
          <w:spacing w:val="-8"/>
          <w:w w:val="105"/>
          <w:sz w:val="14"/>
          <w:szCs w:val="14"/>
        </w:rPr>
        <w:t xml:space="preserve"> </w:t>
      </w:r>
      <w:r w:rsidR="00A4637B" w:rsidRPr="00261A67">
        <w:rPr>
          <w:rFonts w:ascii="Arial" w:hAnsi="Arial"/>
          <w:spacing w:val="-8"/>
          <w:w w:val="105"/>
          <w:sz w:val="14"/>
          <w:szCs w:val="14"/>
        </w:rPr>
        <w:t>PWC’</w:t>
      </w:r>
      <w:r w:rsidRPr="00261A67">
        <w:rPr>
          <w:rFonts w:ascii="Arial" w:hAnsi="Arial"/>
          <w:spacing w:val="-7"/>
          <w:w w:val="105"/>
          <w:sz w:val="14"/>
          <w:szCs w:val="14"/>
        </w:rPr>
        <w:t>s</w:t>
      </w:r>
      <w:r w:rsidRPr="00261A67">
        <w:rPr>
          <w:rFonts w:ascii="Arial" w:hAnsi="Arial"/>
          <w:spacing w:val="-5"/>
          <w:w w:val="105"/>
          <w:sz w:val="14"/>
          <w:szCs w:val="14"/>
        </w:rPr>
        <w:t xml:space="preserve"> </w:t>
      </w:r>
      <w:r w:rsidRPr="00261A67">
        <w:rPr>
          <w:rFonts w:ascii="Arial" w:hAnsi="Arial"/>
          <w:spacing w:val="-3"/>
          <w:w w:val="105"/>
          <w:sz w:val="14"/>
          <w:szCs w:val="14"/>
        </w:rPr>
        <w:t>consideration and</w:t>
      </w:r>
      <w:r w:rsidRPr="00261A67">
        <w:rPr>
          <w:rFonts w:ascii="Arial" w:hAnsi="Arial"/>
          <w:spacing w:val="-20"/>
          <w:w w:val="105"/>
          <w:sz w:val="14"/>
          <w:szCs w:val="14"/>
        </w:rPr>
        <w:t xml:space="preserve"> </w:t>
      </w:r>
      <w:r w:rsidRPr="00261A67">
        <w:rPr>
          <w:rFonts w:ascii="Arial" w:hAnsi="Arial"/>
          <w:w w:val="105"/>
          <w:sz w:val="14"/>
          <w:szCs w:val="14"/>
        </w:rPr>
        <w:t>agreement.</w:t>
      </w:r>
    </w:p>
    <w:p w14:paraId="724716BB" w14:textId="77777777" w:rsidR="00A4637B" w:rsidRPr="00167919" w:rsidRDefault="00A4637B">
      <w:pPr>
        <w:spacing w:before="0" w:after="0"/>
        <w:rPr>
          <w:rFonts w:ascii="Arial" w:hAnsi="Arial"/>
          <w:b/>
          <w:sz w:val="14"/>
          <w:szCs w:val="14"/>
        </w:rPr>
      </w:pPr>
      <w:r w:rsidRPr="00167919">
        <w:rPr>
          <w:sz w:val="14"/>
          <w:szCs w:val="14"/>
        </w:rPr>
        <w:br w:type="page"/>
      </w:r>
    </w:p>
    <w:p w14:paraId="2C400017" w14:textId="77777777" w:rsidR="00A95B2C" w:rsidRPr="00261A67" w:rsidRDefault="00A95B2C" w:rsidP="00D9100A">
      <w:pPr>
        <w:pStyle w:val="TableHeading"/>
        <w:numPr>
          <w:ilvl w:val="0"/>
          <w:numId w:val="29"/>
        </w:numPr>
        <w:spacing w:before="120"/>
        <w:ind w:left="0" w:firstLine="0"/>
        <w:outlineLvl w:val="5"/>
      </w:pPr>
      <w:r w:rsidRPr="00261A67">
        <w:lastRenderedPageBreak/>
        <w:t>Medium Capital Facilities Projects Foreshadowed for PWC Consideration and Approval in 202</w:t>
      </w:r>
      <w:r w:rsidR="004B232A" w:rsidRPr="00261A67">
        <w:t>5</w:t>
      </w:r>
      <w:r w:rsidRPr="00261A67">
        <w:t>-2</w:t>
      </w:r>
      <w:r w:rsidR="004B232A" w:rsidRPr="00261A67">
        <w:t>6</w:t>
      </w:r>
    </w:p>
    <w:tbl>
      <w:tblPr>
        <w:tblW w:w="4973" w:type="pct"/>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915"/>
        <w:gridCol w:w="1547"/>
        <w:gridCol w:w="1547"/>
        <w:gridCol w:w="1547"/>
      </w:tblGrid>
      <w:tr w:rsidR="009B7709" w:rsidRPr="00261A67" w14:paraId="6B4D4B3C" w14:textId="77777777" w:rsidTr="00261A67">
        <w:trPr>
          <w:trHeight w:val="538"/>
        </w:trPr>
        <w:tc>
          <w:tcPr>
            <w:tcW w:w="3915" w:type="dxa"/>
            <w:shd w:val="solid" w:color="FFFFFF" w:fill="666699"/>
          </w:tcPr>
          <w:p w14:paraId="2E504B72" w14:textId="77777777" w:rsidR="009B7709" w:rsidRPr="00261A67" w:rsidRDefault="00144DFF" w:rsidP="00144DFF">
            <w:pPr>
              <w:pStyle w:val="TableTextHeadingRight"/>
              <w:ind w:left="-249" w:firstLine="249"/>
              <w:jc w:val="center"/>
              <w:rPr>
                <w:sz w:val="16"/>
                <w:szCs w:val="16"/>
              </w:rPr>
            </w:pPr>
            <w:r w:rsidRPr="00261A67">
              <w:rPr>
                <w:sz w:val="16"/>
                <w:szCs w:val="16"/>
              </w:rPr>
              <w:t xml:space="preserve">Project Description </w:t>
            </w:r>
          </w:p>
        </w:tc>
        <w:tc>
          <w:tcPr>
            <w:tcW w:w="1547" w:type="dxa"/>
            <w:shd w:val="solid" w:color="FFFFFF" w:fill="666699"/>
          </w:tcPr>
          <w:p w14:paraId="596B2D21" w14:textId="77777777" w:rsidR="009B7709" w:rsidRPr="00261A67" w:rsidRDefault="009B7709" w:rsidP="006E37BB">
            <w:pPr>
              <w:pStyle w:val="TableTextHeadingRight"/>
              <w:ind w:left="-249" w:firstLine="249"/>
              <w:jc w:val="center"/>
              <w:rPr>
                <w:sz w:val="16"/>
                <w:szCs w:val="16"/>
              </w:rPr>
            </w:pPr>
            <w:r w:rsidRPr="00261A67">
              <w:rPr>
                <w:sz w:val="16"/>
                <w:szCs w:val="16"/>
              </w:rPr>
              <w:t>State/Electorate</w:t>
            </w:r>
          </w:p>
        </w:tc>
        <w:tc>
          <w:tcPr>
            <w:tcW w:w="1547" w:type="dxa"/>
            <w:shd w:val="solid" w:color="FFFFFF" w:fill="666699"/>
          </w:tcPr>
          <w:p w14:paraId="7FAF2739" w14:textId="77777777" w:rsidR="009B7709" w:rsidRPr="00261A67" w:rsidRDefault="009B7709" w:rsidP="006E37BB">
            <w:pPr>
              <w:pStyle w:val="TableTextHeadingRight"/>
              <w:spacing w:after="0"/>
              <w:jc w:val="center"/>
              <w:rPr>
                <w:sz w:val="16"/>
                <w:szCs w:val="16"/>
              </w:rPr>
            </w:pPr>
            <w:r w:rsidRPr="00261A67">
              <w:rPr>
                <w:sz w:val="16"/>
                <w:szCs w:val="16"/>
              </w:rPr>
              <w:t>Actual/Indicative</w:t>
            </w:r>
          </w:p>
          <w:p w14:paraId="7D80A68C" w14:textId="77777777" w:rsidR="009B7709" w:rsidRPr="00261A67" w:rsidRDefault="009B7709" w:rsidP="006E37BB">
            <w:pPr>
              <w:pStyle w:val="TableTextHeadingRight"/>
              <w:spacing w:before="0" w:after="0"/>
              <w:jc w:val="center"/>
              <w:rPr>
                <w:sz w:val="16"/>
                <w:szCs w:val="16"/>
              </w:rPr>
            </w:pPr>
            <w:r w:rsidRPr="00261A67">
              <w:rPr>
                <w:sz w:val="16"/>
                <w:szCs w:val="16"/>
              </w:rPr>
              <w:t>PWC Notification</w:t>
            </w:r>
          </w:p>
          <w:p w14:paraId="4B8237FA" w14:textId="77777777" w:rsidR="009B7709" w:rsidRPr="00261A67" w:rsidRDefault="009B7709" w:rsidP="006E37BB">
            <w:pPr>
              <w:pStyle w:val="TableTextHeadingRight"/>
              <w:spacing w:before="0"/>
              <w:ind w:left="-249" w:firstLine="249"/>
              <w:jc w:val="center"/>
              <w:rPr>
                <w:sz w:val="16"/>
                <w:szCs w:val="16"/>
              </w:rPr>
            </w:pPr>
            <w:r w:rsidRPr="00261A67">
              <w:rPr>
                <w:sz w:val="16"/>
                <w:szCs w:val="16"/>
              </w:rPr>
              <w:t>Date</w:t>
            </w:r>
            <w:r w:rsidR="00144DFF" w:rsidRPr="00261A67">
              <w:rPr>
                <w:rFonts w:ascii="Arial Bold" w:hAnsi="Arial Bold"/>
                <w:sz w:val="16"/>
                <w:szCs w:val="16"/>
                <w:vertAlign w:val="superscript"/>
              </w:rPr>
              <w:t xml:space="preserve"> </w:t>
            </w:r>
            <w:r w:rsidR="00A95B2C" w:rsidRPr="00261A67">
              <w:rPr>
                <w:rFonts w:ascii="Arial Bold" w:hAnsi="Arial Bold"/>
                <w:sz w:val="16"/>
                <w:szCs w:val="16"/>
                <w:vertAlign w:val="superscript"/>
              </w:rPr>
              <w:t>[a]</w:t>
            </w:r>
            <w:r w:rsidR="00A95B2C" w:rsidRPr="00261A67" w:rsidDel="00A95B2C">
              <w:rPr>
                <w:rFonts w:ascii="Arial Bold" w:hAnsi="Arial Bold"/>
                <w:sz w:val="16"/>
                <w:szCs w:val="16"/>
                <w:vertAlign w:val="superscript"/>
              </w:rPr>
              <w:t xml:space="preserve"> </w:t>
            </w:r>
          </w:p>
        </w:tc>
        <w:tc>
          <w:tcPr>
            <w:tcW w:w="1547" w:type="dxa"/>
            <w:shd w:val="solid" w:color="FFFFFF" w:fill="666699"/>
          </w:tcPr>
          <w:p w14:paraId="5DAA5A0B" w14:textId="77777777" w:rsidR="009B7709" w:rsidRPr="00261A67" w:rsidRDefault="009B7709" w:rsidP="00144DFF">
            <w:pPr>
              <w:pStyle w:val="TableTextHeadingRight"/>
              <w:spacing w:after="0"/>
              <w:jc w:val="center"/>
              <w:rPr>
                <w:sz w:val="16"/>
                <w:szCs w:val="16"/>
              </w:rPr>
            </w:pPr>
            <w:r w:rsidRPr="00261A67">
              <w:rPr>
                <w:bCs/>
                <w:sz w:val="16"/>
                <w:szCs w:val="16"/>
              </w:rPr>
              <w:t xml:space="preserve">Indicative PWC Approval </w:t>
            </w:r>
            <w:r w:rsidR="00D63339" w:rsidRPr="00261A67">
              <w:rPr>
                <w:sz w:val="16"/>
                <w:szCs w:val="16"/>
              </w:rPr>
              <w:t>Date</w:t>
            </w:r>
            <w:r w:rsidR="00D63339" w:rsidRPr="00261A67">
              <w:rPr>
                <w:rFonts w:ascii="Arial Bold" w:hAnsi="Arial Bold"/>
                <w:sz w:val="16"/>
                <w:szCs w:val="16"/>
                <w:vertAlign w:val="superscript"/>
              </w:rPr>
              <w:t xml:space="preserve"> </w:t>
            </w:r>
            <w:r w:rsidR="00A95B2C" w:rsidRPr="00261A67">
              <w:rPr>
                <w:rFonts w:ascii="Arial Bold" w:hAnsi="Arial Bold"/>
                <w:sz w:val="16"/>
                <w:szCs w:val="16"/>
                <w:vertAlign w:val="superscript"/>
              </w:rPr>
              <w:t>[a]</w:t>
            </w:r>
            <w:r w:rsidR="00A95B2C" w:rsidRPr="00261A67" w:rsidDel="00A95B2C">
              <w:rPr>
                <w:rFonts w:ascii="Arial Bold" w:hAnsi="Arial Bold"/>
                <w:sz w:val="16"/>
                <w:szCs w:val="16"/>
                <w:vertAlign w:val="superscript"/>
              </w:rPr>
              <w:t xml:space="preserve"> </w:t>
            </w:r>
          </w:p>
        </w:tc>
      </w:tr>
      <w:tr w:rsidR="00261A67" w:rsidRPr="00261A67" w14:paraId="7C97299B" w14:textId="77777777" w:rsidTr="00261A67">
        <w:trPr>
          <w:trHeight w:val="538"/>
        </w:trPr>
        <w:tc>
          <w:tcPr>
            <w:tcW w:w="3915" w:type="dxa"/>
            <w:tcBorders>
              <w:top w:val="single" w:sz="6" w:space="0" w:color="000000"/>
              <w:left w:val="single" w:sz="6" w:space="0" w:color="000000"/>
              <w:bottom w:val="single" w:sz="6" w:space="0" w:color="000000"/>
              <w:right w:val="single" w:sz="6" w:space="0" w:color="000000"/>
            </w:tcBorders>
            <w:vAlign w:val="center"/>
          </w:tcPr>
          <w:p w14:paraId="0F4C2493" w14:textId="77777777" w:rsidR="00261A67" w:rsidRPr="00CE312F" w:rsidRDefault="00261A67" w:rsidP="00261A67">
            <w:pPr>
              <w:pStyle w:val="TableTextHeadingRight"/>
              <w:jc w:val="left"/>
              <w:rPr>
                <w:b w:val="0"/>
                <w:sz w:val="16"/>
                <w:szCs w:val="16"/>
              </w:rPr>
            </w:pPr>
            <w:r>
              <w:rPr>
                <w:b w:val="0"/>
                <w:sz w:val="16"/>
                <w:szCs w:val="16"/>
              </w:rPr>
              <w:t xml:space="preserve">Facilities to Support </w:t>
            </w:r>
            <w:r w:rsidRPr="00CE312F">
              <w:rPr>
                <w:b w:val="0"/>
                <w:sz w:val="16"/>
                <w:szCs w:val="16"/>
              </w:rPr>
              <w:t>Counter Explosive Hazards</w:t>
            </w:r>
          </w:p>
        </w:tc>
        <w:tc>
          <w:tcPr>
            <w:tcW w:w="1547" w:type="dxa"/>
            <w:tcBorders>
              <w:top w:val="single" w:sz="6" w:space="0" w:color="000000"/>
              <w:left w:val="single" w:sz="6" w:space="0" w:color="000000"/>
              <w:bottom w:val="single" w:sz="6" w:space="0" w:color="000000"/>
              <w:right w:val="single" w:sz="6" w:space="0" w:color="000000"/>
            </w:tcBorders>
            <w:vAlign w:val="center"/>
          </w:tcPr>
          <w:p w14:paraId="7723E4E7" w14:textId="77777777" w:rsidR="00261A67" w:rsidRPr="00CE312F" w:rsidRDefault="00261A67" w:rsidP="00261A67">
            <w:pPr>
              <w:pStyle w:val="TableTextHeadingRight"/>
              <w:jc w:val="center"/>
              <w:rPr>
                <w:b w:val="0"/>
                <w:sz w:val="16"/>
                <w:szCs w:val="16"/>
              </w:rPr>
            </w:pPr>
            <w:r w:rsidRPr="00CE312F">
              <w:rPr>
                <w:b w:val="0"/>
                <w:sz w:val="16"/>
                <w:szCs w:val="16"/>
              </w:rPr>
              <w:t>Various locations</w:t>
            </w:r>
          </w:p>
        </w:tc>
        <w:tc>
          <w:tcPr>
            <w:tcW w:w="1547" w:type="dxa"/>
            <w:tcBorders>
              <w:top w:val="single" w:sz="6" w:space="0" w:color="000000"/>
              <w:left w:val="single" w:sz="6" w:space="0" w:color="000000"/>
              <w:bottom w:val="single" w:sz="6" w:space="0" w:color="000000"/>
              <w:right w:val="single" w:sz="6" w:space="0" w:color="000000"/>
            </w:tcBorders>
            <w:vAlign w:val="center"/>
          </w:tcPr>
          <w:p w14:paraId="37117964" w14:textId="77777777" w:rsidR="00261A67" w:rsidRPr="00CE312F" w:rsidRDefault="00261A67" w:rsidP="00261A67">
            <w:pPr>
              <w:pStyle w:val="TableTextHeadingRight"/>
              <w:spacing w:after="0"/>
              <w:ind w:left="-57" w:right="-57"/>
              <w:jc w:val="center"/>
              <w:rPr>
                <w:b w:val="0"/>
                <w:sz w:val="16"/>
                <w:szCs w:val="16"/>
              </w:rPr>
            </w:pPr>
            <w:r w:rsidRPr="00CE312F">
              <w:rPr>
                <w:b w:val="0"/>
                <w:sz w:val="16"/>
                <w:szCs w:val="16"/>
              </w:rPr>
              <w:t>Mid-2025</w:t>
            </w:r>
          </w:p>
        </w:tc>
        <w:tc>
          <w:tcPr>
            <w:tcW w:w="1547" w:type="dxa"/>
            <w:tcBorders>
              <w:top w:val="single" w:sz="6" w:space="0" w:color="000000"/>
              <w:left w:val="single" w:sz="6" w:space="0" w:color="000000"/>
              <w:bottom w:val="single" w:sz="6" w:space="0" w:color="000000"/>
              <w:right w:val="single" w:sz="6" w:space="0" w:color="000000"/>
            </w:tcBorders>
            <w:vAlign w:val="center"/>
          </w:tcPr>
          <w:p w14:paraId="346AB464" w14:textId="77777777" w:rsidR="00261A67" w:rsidRPr="00CE312F" w:rsidRDefault="00261A67" w:rsidP="00261A67">
            <w:pPr>
              <w:pStyle w:val="TableTextHeadingRight"/>
              <w:spacing w:after="0"/>
              <w:ind w:left="-57" w:right="-57"/>
              <w:jc w:val="center"/>
              <w:rPr>
                <w:b w:val="0"/>
                <w:sz w:val="16"/>
                <w:szCs w:val="16"/>
              </w:rPr>
            </w:pPr>
            <w:r w:rsidRPr="00CE312F">
              <w:rPr>
                <w:b w:val="0"/>
                <w:sz w:val="16"/>
                <w:szCs w:val="16"/>
              </w:rPr>
              <w:t>Mid-2025</w:t>
            </w:r>
          </w:p>
        </w:tc>
      </w:tr>
      <w:tr w:rsidR="00261A67" w:rsidRPr="00261A67" w14:paraId="3B52F0B1" w14:textId="77777777" w:rsidTr="00261A67">
        <w:trPr>
          <w:trHeight w:val="538"/>
        </w:trPr>
        <w:tc>
          <w:tcPr>
            <w:tcW w:w="3915" w:type="dxa"/>
            <w:tcBorders>
              <w:top w:val="single" w:sz="6" w:space="0" w:color="000000"/>
              <w:left w:val="single" w:sz="6" w:space="0" w:color="000000"/>
              <w:bottom w:val="single" w:sz="6" w:space="0" w:color="000000"/>
              <w:right w:val="single" w:sz="6" w:space="0" w:color="000000"/>
            </w:tcBorders>
            <w:vAlign w:val="center"/>
          </w:tcPr>
          <w:p w14:paraId="4E2411E0" w14:textId="77777777" w:rsidR="00261A67" w:rsidRPr="00CE312F" w:rsidRDefault="00261A67" w:rsidP="00261A67">
            <w:pPr>
              <w:pStyle w:val="TableTextHeadingRight"/>
              <w:jc w:val="left"/>
              <w:rPr>
                <w:b w:val="0"/>
                <w:sz w:val="16"/>
                <w:szCs w:val="16"/>
              </w:rPr>
            </w:pPr>
            <w:r w:rsidRPr="00CE312F">
              <w:rPr>
                <w:b w:val="0"/>
                <w:sz w:val="16"/>
                <w:szCs w:val="16"/>
              </w:rPr>
              <w:t xml:space="preserve">Facilities to Support ACT Office Accommodation Russell </w:t>
            </w:r>
            <w:r>
              <w:rPr>
                <w:b w:val="0"/>
                <w:sz w:val="16"/>
                <w:szCs w:val="16"/>
              </w:rPr>
              <w:t>Offices</w:t>
            </w:r>
          </w:p>
        </w:tc>
        <w:tc>
          <w:tcPr>
            <w:tcW w:w="1547" w:type="dxa"/>
            <w:tcBorders>
              <w:top w:val="single" w:sz="6" w:space="0" w:color="000000"/>
              <w:left w:val="single" w:sz="6" w:space="0" w:color="000000"/>
              <w:bottom w:val="single" w:sz="6" w:space="0" w:color="000000"/>
              <w:right w:val="single" w:sz="6" w:space="0" w:color="000000"/>
            </w:tcBorders>
            <w:vAlign w:val="center"/>
          </w:tcPr>
          <w:p w14:paraId="58CE8DDF" w14:textId="77777777" w:rsidR="00261A67" w:rsidRPr="00CE312F" w:rsidRDefault="00261A67" w:rsidP="00261A67">
            <w:pPr>
              <w:pStyle w:val="TableTextHeadingRight"/>
              <w:jc w:val="center"/>
              <w:rPr>
                <w:b w:val="0"/>
                <w:sz w:val="16"/>
                <w:szCs w:val="16"/>
              </w:rPr>
            </w:pPr>
            <w:r w:rsidRPr="00CE312F">
              <w:rPr>
                <w:b w:val="0"/>
                <w:sz w:val="16"/>
                <w:szCs w:val="16"/>
              </w:rPr>
              <w:t>ACT - Canberra</w:t>
            </w:r>
          </w:p>
        </w:tc>
        <w:tc>
          <w:tcPr>
            <w:tcW w:w="1547" w:type="dxa"/>
            <w:tcBorders>
              <w:top w:val="single" w:sz="6" w:space="0" w:color="000000"/>
              <w:left w:val="single" w:sz="6" w:space="0" w:color="000000"/>
              <w:bottom w:val="single" w:sz="6" w:space="0" w:color="000000"/>
              <w:right w:val="single" w:sz="6" w:space="0" w:color="000000"/>
            </w:tcBorders>
            <w:vAlign w:val="center"/>
          </w:tcPr>
          <w:p w14:paraId="07259981" w14:textId="77777777" w:rsidR="00261A67" w:rsidRPr="00CE312F" w:rsidRDefault="00261A67" w:rsidP="00261A67">
            <w:pPr>
              <w:pStyle w:val="TableTextHeadingRight"/>
              <w:spacing w:after="0"/>
              <w:ind w:left="-57" w:right="-57"/>
              <w:jc w:val="center"/>
              <w:rPr>
                <w:b w:val="0"/>
                <w:sz w:val="16"/>
                <w:szCs w:val="16"/>
              </w:rPr>
            </w:pPr>
            <w:r w:rsidRPr="00CE312F">
              <w:rPr>
                <w:b w:val="0"/>
                <w:sz w:val="16"/>
                <w:szCs w:val="16"/>
              </w:rPr>
              <w:t>Mid-2025</w:t>
            </w:r>
          </w:p>
        </w:tc>
        <w:tc>
          <w:tcPr>
            <w:tcW w:w="1547" w:type="dxa"/>
            <w:tcBorders>
              <w:top w:val="single" w:sz="6" w:space="0" w:color="000000"/>
              <w:left w:val="single" w:sz="6" w:space="0" w:color="000000"/>
              <w:bottom w:val="single" w:sz="6" w:space="0" w:color="000000"/>
              <w:right w:val="single" w:sz="6" w:space="0" w:color="000000"/>
            </w:tcBorders>
            <w:vAlign w:val="center"/>
          </w:tcPr>
          <w:p w14:paraId="487E9625" w14:textId="77777777" w:rsidR="00261A67" w:rsidRPr="00CE312F" w:rsidRDefault="00261A67" w:rsidP="00261A67">
            <w:pPr>
              <w:pStyle w:val="TableTextHeadingRight"/>
              <w:spacing w:after="0"/>
              <w:ind w:left="-57" w:right="-57"/>
              <w:jc w:val="center"/>
              <w:rPr>
                <w:b w:val="0"/>
                <w:sz w:val="16"/>
                <w:szCs w:val="16"/>
              </w:rPr>
            </w:pPr>
            <w:r w:rsidRPr="00CE312F">
              <w:rPr>
                <w:b w:val="0"/>
                <w:sz w:val="16"/>
                <w:szCs w:val="16"/>
              </w:rPr>
              <w:t>Mid-2025</w:t>
            </w:r>
          </w:p>
        </w:tc>
      </w:tr>
    </w:tbl>
    <w:p w14:paraId="77E89BAD" w14:textId="77777777" w:rsidR="00E30BBC" w:rsidRPr="00261A67" w:rsidRDefault="00E30BBC" w:rsidP="0008019D">
      <w:pPr>
        <w:kinsoku w:val="0"/>
        <w:overflowPunct w:val="0"/>
        <w:spacing w:before="0" w:after="0"/>
        <w:ind w:left="556" w:hanging="556"/>
        <w:rPr>
          <w:rFonts w:ascii="Arial" w:hAnsi="Arial"/>
          <w:b/>
          <w:bCs/>
          <w:sz w:val="16"/>
          <w:szCs w:val="16"/>
        </w:rPr>
      </w:pPr>
    </w:p>
    <w:p w14:paraId="31A932D6" w14:textId="77777777" w:rsidR="00900BC4" w:rsidRPr="00261A67" w:rsidRDefault="00900BC4" w:rsidP="0008019D">
      <w:pPr>
        <w:kinsoku w:val="0"/>
        <w:overflowPunct w:val="0"/>
        <w:spacing w:before="0" w:after="0"/>
        <w:ind w:left="556" w:hanging="556"/>
        <w:rPr>
          <w:rFonts w:ascii="Arial" w:hAnsi="Arial"/>
          <w:b/>
          <w:bCs/>
          <w:sz w:val="14"/>
          <w:szCs w:val="14"/>
        </w:rPr>
      </w:pPr>
      <w:r w:rsidRPr="00261A67">
        <w:rPr>
          <w:rFonts w:ascii="Arial" w:hAnsi="Arial"/>
          <w:b/>
          <w:bCs/>
          <w:sz w:val="14"/>
          <w:szCs w:val="14"/>
        </w:rPr>
        <w:t>Not</w:t>
      </w:r>
      <w:r w:rsidR="00E30BBC" w:rsidRPr="00261A67">
        <w:rPr>
          <w:rFonts w:ascii="Arial" w:hAnsi="Arial"/>
          <w:b/>
          <w:bCs/>
          <w:sz w:val="14"/>
          <w:szCs w:val="14"/>
        </w:rPr>
        <w:t>e</w:t>
      </w:r>
    </w:p>
    <w:p w14:paraId="4310004D" w14:textId="77777777" w:rsidR="00EE2DB7" w:rsidRPr="00261A67" w:rsidRDefault="00EE2DB7" w:rsidP="00D9100A">
      <w:pPr>
        <w:pStyle w:val="ListParagraph"/>
        <w:widowControl w:val="0"/>
        <w:numPr>
          <w:ilvl w:val="0"/>
          <w:numId w:val="31"/>
        </w:numPr>
        <w:tabs>
          <w:tab w:val="left" w:pos="0"/>
          <w:tab w:val="left" w:pos="284"/>
        </w:tabs>
        <w:kinsoku w:val="0"/>
        <w:overflowPunct w:val="0"/>
        <w:autoSpaceDE w:val="0"/>
        <w:autoSpaceDN w:val="0"/>
        <w:adjustRightInd w:val="0"/>
        <w:spacing w:before="0" w:after="0"/>
        <w:ind w:left="227" w:hanging="227"/>
        <w:contextualSpacing w:val="0"/>
        <w:rPr>
          <w:rFonts w:ascii="Arial" w:hAnsi="Arial"/>
          <w:w w:val="105"/>
          <w:sz w:val="14"/>
          <w:szCs w:val="14"/>
        </w:rPr>
      </w:pPr>
      <w:r w:rsidRPr="00261A67">
        <w:rPr>
          <w:rFonts w:ascii="Arial" w:hAnsi="Arial"/>
          <w:w w:val="105"/>
          <w:sz w:val="14"/>
          <w:szCs w:val="14"/>
        </w:rPr>
        <w:t>Actual dates are shown in full. Forecast dates are shown as “Early”, “Mid”, “Late”.</w:t>
      </w:r>
    </w:p>
    <w:p w14:paraId="57E86B87" w14:textId="77777777" w:rsidR="00900BC4" w:rsidRPr="00B56FAA" w:rsidRDefault="00900BC4" w:rsidP="00680983">
      <w:pPr>
        <w:spacing w:before="0" w:after="0"/>
        <w:rPr>
          <w:sz w:val="2"/>
          <w:szCs w:val="2"/>
          <w:lang w:val="en-AU"/>
        </w:rPr>
      </w:pPr>
      <w:r w:rsidRPr="00B56FAA">
        <w:rPr>
          <w:lang w:val="en-AU"/>
        </w:rPr>
        <w:br w:type="page"/>
      </w:r>
    </w:p>
    <w:p w14:paraId="0A7206EB" w14:textId="77777777" w:rsidR="00DD7B7C" w:rsidRPr="00B56FAA" w:rsidRDefault="00F44961" w:rsidP="008C1AC5">
      <w:pPr>
        <w:pStyle w:val="Heading4level5"/>
        <w:spacing w:before="120" w:after="120"/>
      </w:pPr>
      <w:r w:rsidRPr="00B56FAA">
        <w:lastRenderedPageBreak/>
        <w:t>Explanation of Projects</w:t>
      </w:r>
    </w:p>
    <w:p w14:paraId="538015EC" w14:textId="77777777" w:rsidR="00AA7631" w:rsidRPr="00E66116" w:rsidRDefault="00AA7631" w:rsidP="00AA7631">
      <w:pPr>
        <w:pStyle w:val="Heading5level6"/>
        <w:spacing w:before="100" w:after="100"/>
        <w:rPr>
          <w:szCs w:val="20"/>
          <w:lang w:val="en-AU"/>
        </w:rPr>
      </w:pPr>
      <w:r w:rsidRPr="00E66116">
        <w:rPr>
          <w:szCs w:val="20"/>
          <w:lang w:val="en-AU"/>
        </w:rPr>
        <w:t>Australian Capital Territory</w:t>
      </w:r>
    </w:p>
    <w:p w14:paraId="73D5F38B" w14:textId="19D55328" w:rsidR="00E66116" w:rsidRPr="00CE312F" w:rsidRDefault="00E66116" w:rsidP="00E66116">
      <w:pPr>
        <w:pStyle w:val="Default"/>
        <w:spacing w:before="100" w:after="100"/>
        <w:rPr>
          <w:sz w:val="20"/>
          <w:szCs w:val="20"/>
        </w:rPr>
      </w:pPr>
      <w:r w:rsidRPr="00CE312F">
        <w:rPr>
          <w:sz w:val="20"/>
          <w:szCs w:val="20"/>
        </w:rPr>
        <w:t xml:space="preserve">Facilities to Support ACT Office Accommodation Russell </w:t>
      </w:r>
      <w:r>
        <w:rPr>
          <w:sz w:val="20"/>
          <w:szCs w:val="20"/>
        </w:rPr>
        <w:t>Offices</w:t>
      </w:r>
    </w:p>
    <w:p w14:paraId="71ED2284" w14:textId="77777777" w:rsidR="00AA7631" w:rsidRPr="00E66116" w:rsidRDefault="00E66116" w:rsidP="00AA7631">
      <w:pPr>
        <w:pStyle w:val="Default"/>
        <w:spacing w:before="100" w:after="100"/>
        <w:rPr>
          <w:rFonts w:ascii="Book Antiqua" w:hAnsi="Book Antiqua" w:cs="Book Antiqua"/>
          <w:sz w:val="20"/>
          <w:szCs w:val="20"/>
        </w:rPr>
      </w:pPr>
      <w:r w:rsidRPr="00CE312F">
        <w:rPr>
          <w:rFonts w:ascii="Book Antiqua" w:hAnsi="Book Antiqua" w:cs="Book Antiqua"/>
          <w:sz w:val="20"/>
          <w:szCs w:val="20"/>
        </w:rPr>
        <w:t xml:space="preserve">This project </w:t>
      </w:r>
      <w:r>
        <w:rPr>
          <w:rFonts w:ascii="Book Antiqua" w:hAnsi="Book Antiqua" w:cs="Book Antiqua"/>
          <w:sz w:val="20"/>
          <w:szCs w:val="20"/>
        </w:rPr>
        <w:t>proposes to</w:t>
      </w:r>
      <w:r w:rsidRPr="00CE312F">
        <w:rPr>
          <w:rFonts w:ascii="Book Antiqua" w:hAnsi="Book Antiqua" w:cs="Book Antiqua"/>
          <w:sz w:val="20"/>
          <w:szCs w:val="20"/>
        </w:rPr>
        <w:t xml:space="preserve"> deliver </w:t>
      </w:r>
      <w:r>
        <w:rPr>
          <w:rFonts w:ascii="Book Antiqua" w:hAnsi="Book Antiqua" w:cs="Book Antiqua"/>
          <w:sz w:val="20"/>
          <w:szCs w:val="20"/>
        </w:rPr>
        <w:t>secure working accommodation at Russell Offices ACT</w:t>
      </w:r>
      <w:r w:rsidR="00AA7631" w:rsidRPr="00E66116">
        <w:rPr>
          <w:rFonts w:ascii="Book Antiqua" w:hAnsi="Book Antiqua" w:cs="Book Antiqua"/>
          <w:sz w:val="20"/>
          <w:szCs w:val="20"/>
        </w:rPr>
        <w:t>.</w:t>
      </w:r>
    </w:p>
    <w:p w14:paraId="31520815" w14:textId="77777777" w:rsidR="00AA7631" w:rsidRPr="00E66116" w:rsidRDefault="00AA7631" w:rsidP="00AA7631">
      <w:pPr>
        <w:pStyle w:val="Heading5level6"/>
        <w:spacing w:before="100" w:after="100"/>
        <w:rPr>
          <w:szCs w:val="20"/>
          <w:lang w:val="en-AU"/>
        </w:rPr>
      </w:pPr>
      <w:r w:rsidRPr="00E66116">
        <w:rPr>
          <w:szCs w:val="20"/>
          <w:lang w:val="en-AU"/>
        </w:rPr>
        <w:t>New South Wales</w:t>
      </w:r>
    </w:p>
    <w:p w14:paraId="330CD749" w14:textId="77777777" w:rsidR="00E66116" w:rsidRPr="00CE312F" w:rsidRDefault="00E66116" w:rsidP="00E27F3A">
      <w:pPr>
        <w:pStyle w:val="Heading5level6"/>
        <w:spacing w:before="100" w:after="100"/>
        <w:rPr>
          <w:b w:val="0"/>
          <w:color w:val="000000"/>
          <w:szCs w:val="20"/>
          <w:lang w:val="en-AU"/>
        </w:rPr>
      </w:pPr>
      <w:r w:rsidRPr="00CE312F">
        <w:rPr>
          <w:b w:val="0"/>
          <w:color w:val="000000"/>
          <w:szCs w:val="20"/>
          <w:lang w:val="en-AU"/>
        </w:rPr>
        <w:t>Blamey Barracks Redevelopment</w:t>
      </w:r>
    </w:p>
    <w:p w14:paraId="0EABD434" w14:textId="77777777" w:rsidR="00AA7631" w:rsidRPr="00194C8A" w:rsidRDefault="00E66116" w:rsidP="00E66116">
      <w:pPr>
        <w:pStyle w:val="Default"/>
        <w:spacing w:before="100" w:after="100"/>
        <w:rPr>
          <w:rFonts w:ascii="Book Antiqua" w:hAnsi="Book Antiqua" w:cs="Book Antiqua"/>
          <w:sz w:val="20"/>
          <w:szCs w:val="20"/>
          <w:highlight w:val="yellow"/>
        </w:rPr>
      </w:pPr>
      <w:r w:rsidRPr="00CE312F">
        <w:rPr>
          <w:rFonts w:ascii="Book Antiqua" w:hAnsi="Book Antiqua" w:cs="Book Antiqua"/>
          <w:sz w:val="20"/>
          <w:szCs w:val="20"/>
        </w:rPr>
        <w:t>Th</w:t>
      </w:r>
      <w:r>
        <w:rPr>
          <w:rFonts w:ascii="Book Antiqua" w:hAnsi="Book Antiqua" w:cs="Book Antiqua"/>
          <w:sz w:val="20"/>
          <w:szCs w:val="20"/>
        </w:rPr>
        <w:t>is</w:t>
      </w:r>
      <w:r w:rsidRPr="00CE312F">
        <w:rPr>
          <w:rFonts w:ascii="Book Antiqua" w:hAnsi="Book Antiqua" w:cs="Book Antiqua"/>
          <w:sz w:val="20"/>
          <w:szCs w:val="20"/>
        </w:rPr>
        <w:t xml:space="preserve"> project </w:t>
      </w:r>
      <w:r>
        <w:rPr>
          <w:rFonts w:ascii="Book Antiqua" w:hAnsi="Book Antiqua" w:cs="Book Antiqua"/>
          <w:sz w:val="20"/>
          <w:szCs w:val="20"/>
        </w:rPr>
        <w:t>proposes to</w:t>
      </w:r>
      <w:r w:rsidRPr="00CE312F">
        <w:rPr>
          <w:rFonts w:ascii="Book Antiqua" w:hAnsi="Book Antiqua" w:cs="Book Antiqua"/>
          <w:sz w:val="20"/>
          <w:szCs w:val="20"/>
        </w:rPr>
        <w:t xml:space="preserve"> address capacity, condition and compliance </w:t>
      </w:r>
      <w:r>
        <w:rPr>
          <w:rFonts w:ascii="Book Antiqua" w:hAnsi="Book Antiqua" w:cs="Book Antiqua"/>
          <w:sz w:val="20"/>
          <w:szCs w:val="20"/>
        </w:rPr>
        <w:t>issues with facilities and infrastructure at Blamey Barracks NSW.</w:t>
      </w:r>
    </w:p>
    <w:p w14:paraId="70F889B5" w14:textId="77777777" w:rsidR="00AA7631" w:rsidRPr="00E66116" w:rsidRDefault="00AA7631" w:rsidP="00AA7631">
      <w:pPr>
        <w:pStyle w:val="Heading5level6"/>
        <w:spacing w:before="100" w:after="100"/>
        <w:rPr>
          <w:szCs w:val="20"/>
          <w:lang w:val="en-AU"/>
        </w:rPr>
      </w:pPr>
      <w:r w:rsidRPr="00E66116">
        <w:rPr>
          <w:szCs w:val="20"/>
          <w:lang w:val="en-AU"/>
        </w:rPr>
        <w:t>Northern Territory</w:t>
      </w:r>
    </w:p>
    <w:p w14:paraId="09C7D526" w14:textId="77777777" w:rsidR="00EA030A" w:rsidRPr="00E66116" w:rsidRDefault="00EA030A" w:rsidP="00EA030A">
      <w:pPr>
        <w:pStyle w:val="Default"/>
        <w:spacing w:before="100" w:after="100"/>
        <w:rPr>
          <w:rFonts w:ascii="Book Antiqua" w:hAnsi="Book Antiqua" w:cs="Book Antiqua"/>
          <w:sz w:val="20"/>
          <w:szCs w:val="20"/>
        </w:rPr>
      </w:pPr>
      <w:r w:rsidRPr="00E66116">
        <w:rPr>
          <w:rFonts w:ascii="Book Antiqua" w:hAnsi="Book Antiqua" w:cs="Book Antiqua"/>
          <w:sz w:val="20"/>
          <w:szCs w:val="20"/>
        </w:rPr>
        <w:t>Not applicable.</w:t>
      </w:r>
    </w:p>
    <w:p w14:paraId="5248D7F6" w14:textId="77777777" w:rsidR="00AA7631" w:rsidRPr="00E66116" w:rsidRDefault="00AA7631" w:rsidP="00AA7631">
      <w:pPr>
        <w:pStyle w:val="Heading5level6"/>
        <w:spacing w:before="100" w:after="100"/>
        <w:rPr>
          <w:szCs w:val="20"/>
          <w:lang w:val="en-AU"/>
        </w:rPr>
      </w:pPr>
      <w:r w:rsidRPr="00E66116">
        <w:rPr>
          <w:szCs w:val="20"/>
          <w:lang w:val="en-AU"/>
        </w:rPr>
        <w:t>Queensland</w:t>
      </w:r>
    </w:p>
    <w:p w14:paraId="4F91EB4E" w14:textId="77777777" w:rsidR="00AA7631" w:rsidRPr="00E66116" w:rsidRDefault="00AA7631" w:rsidP="00AA7631">
      <w:pPr>
        <w:pStyle w:val="Default"/>
        <w:spacing w:before="100" w:after="100"/>
        <w:rPr>
          <w:rFonts w:ascii="Book Antiqua" w:hAnsi="Book Antiqua" w:cs="Book Antiqua"/>
          <w:sz w:val="20"/>
          <w:szCs w:val="20"/>
        </w:rPr>
      </w:pPr>
      <w:r w:rsidRPr="00E66116">
        <w:rPr>
          <w:rFonts w:ascii="Book Antiqua" w:hAnsi="Book Antiqua" w:cs="Book Antiqua"/>
          <w:sz w:val="20"/>
          <w:szCs w:val="20"/>
        </w:rPr>
        <w:t>Not applicable.</w:t>
      </w:r>
    </w:p>
    <w:p w14:paraId="2BFD019A" w14:textId="77777777" w:rsidR="00AA7631" w:rsidRPr="00E66116" w:rsidRDefault="00AA7631" w:rsidP="00AA7631">
      <w:pPr>
        <w:pStyle w:val="Heading5level6"/>
        <w:spacing w:before="100" w:after="100"/>
        <w:rPr>
          <w:szCs w:val="20"/>
          <w:lang w:val="en-AU"/>
        </w:rPr>
      </w:pPr>
      <w:r w:rsidRPr="00E66116">
        <w:rPr>
          <w:szCs w:val="20"/>
          <w:lang w:val="en-AU"/>
        </w:rPr>
        <w:t>South Australia</w:t>
      </w:r>
    </w:p>
    <w:p w14:paraId="24334ADC" w14:textId="77777777" w:rsidR="00AA7631" w:rsidRPr="00E66116" w:rsidRDefault="00AA7631" w:rsidP="00AA7631">
      <w:pPr>
        <w:pStyle w:val="Default"/>
        <w:spacing w:before="100" w:after="100"/>
        <w:rPr>
          <w:rFonts w:ascii="Book Antiqua" w:hAnsi="Book Antiqua" w:cs="Book Antiqua"/>
          <w:sz w:val="20"/>
          <w:szCs w:val="20"/>
        </w:rPr>
      </w:pPr>
      <w:r w:rsidRPr="00E66116">
        <w:rPr>
          <w:rFonts w:ascii="Book Antiqua" w:hAnsi="Book Antiqua" w:cs="Book Antiqua"/>
          <w:sz w:val="20"/>
          <w:szCs w:val="20"/>
        </w:rPr>
        <w:t>Not applicable.</w:t>
      </w:r>
    </w:p>
    <w:p w14:paraId="5ECBB28F" w14:textId="77777777" w:rsidR="00AA7631" w:rsidRPr="00E66116" w:rsidRDefault="00AA7631" w:rsidP="00AA7631">
      <w:pPr>
        <w:pStyle w:val="Heading5level6"/>
        <w:spacing w:before="100" w:after="100"/>
        <w:rPr>
          <w:szCs w:val="20"/>
          <w:lang w:val="en-AU"/>
        </w:rPr>
      </w:pPr>
      <w:r w:rsidRPr="00E66116">
        <w:rPr>
          <w:szCs w:val="20"/>
          <w:lang w:val="en-AU"/>
        </w:rPr>
        <w:t>Tasmania</w:t>
      </w:r>
    </w:p>
    <w:p w14:paraId="478E1395" w14:textId="77777777" w:rsidR="00AA7631" w:rsidRPr="00E66116" w:rsidRDefault="00AA7631" w:rsidP="00AA7631">
      <w:pPr>
        <w:pStyle w:val="Default"/>
        <w:spacing w:before="100" w:after="100"/>
        <w:rPr>
          <w:rFonts w:ascii="Book Antiqua" w:hAnsi="Book Antiqua" w:cs="Book Antiqua"/>
          <w:sz w:val="20"/>
          <w:szCs w:val="20"/>
        </w:rPr>
      </w:pPr>
      <w:r w:rsidRPr="00E66116">
        <w:rPr>
          <w:rFonts w:ascii="Book Antiqua" w:hAnsi="Book Antiqua" w:cs="Book Antiqua"/>
          <w:sz w:val="20"/>
          <w:szCs w:val="20"/>
        </w:rPr>
        <w:t>Not applicable.</w:t>
      </w:r>
    </w:p>
    <w:p w14:paraId="309209BB" w14:textId="77777777" w:rsidR="00AA7631" w:rsidRPr="00E66116" w:rsidRDefault="00AA7631" w:rsidP="00AA7631">
      <w:pPr>
        <w:pStyle w:val="Heading5level6"/>
        <w:spacing w:before="100" w:after="100"/>
        <w:rPr>
          <w:szCs w:val="20"/>
          <w:lang w:val="en-AU"/>
        </w:rPr>
      </w:pPr>
      <w:r w:rsidRPr="00E66116">
        <w:rPr>
          <w:szCs w:val="20"/>
          <w:lang w:val="en-AU"/>
        </w:rPr>
        <w:t>Victoria</w:t>
      </w:r>
    </w:p>
    <w:p w14:paraId="6D8C1329" w14:textId="77777777" w:rsidR="00AA7631" w:rsidRPr="00E66116" w:rsidRDefault="00AA7631" w:rsidP="00AA7631">
      <w:pPr>
        <w:pStyle w:val="Default"/>
        <w:spacing w:before="100" w:after="100"/>
        <w:rPr>
          <w:rFonts w:ascii="Book Antiqua" w:hAnsi="Book Antiqua" w:cs="Book Antiqua"/>
          <w:sz w:val="20"/>
          <w:szCs w:val="20"/>
        </w:rPr>
      </w:pPr>
      <w:r w:rsidRPr="00E66116">
        <w:rPr>
          <w:rFonts w:ascii="Book Antiqua" w:hAnsi="Book Antiqua" w:cs="Book Antiqua"/>
          <w:sz w:val="20"/>
          <w:szCs w:val="20"/>
        </w:rPr>
        <w:t>Not applicable.</w:t>
      </w:r>
    </w:p>
    <w:p w14:paraId="31C80FFF" w14:textId="77777777" w:rsidR="00AA7631" w:rsidRPr="00E66116" w:rsidRDefault="00AA7631" w:rsidP="00AA7631">
      <w:pPr>
        <w:pStyle w:val="Heading5level6"/>
        <w:spacing w:before="100" w:after="100"/>
        <w:rPr>
          <w:szCs w:val="20"/>
          <w:lang w:val="en-AU"/>
        </w:rPr>
      </w:pPr>
      <w:r w:rsidRPr="00E66116">
        <w:rPr>
          <w:szCs w:val="20"/>
          <w:lang w:val="en-AU"/>
        </w:rPr>
        <w:t>Western Australia</w:t>
      </w:r>
    </w:p>
    <w:p w14:paraId="631A661A" w14:textId="77777777" w:rsidR="00EA030A" w:rsidRPr="00E66116" w:rsidRDefault="00EA030A" w:rsidP="00EA030A">
      <w:pPr>
        <w:pStyle w:val="Default"/>
        <w:spacing w:before="100" w:after="100"/>
        <w:rPr>
          <w:rFonts w:ascii="Book Antiqua" w:hAnsi="Book Antiqua" w:cs="Book Antiqua"/>
          <w:sz w:val="20"/>
          <w:szCs w:val="20"/>
        </w:rPr>
      </w:pPr>
      <w:r w:rsidRPr="00E66116">
        <w:rPr>
          <w:rFonts w:ascii="Book Antiqua" w:hAnsi="Book Antiqua" w:cs="Book Antiqua"/>
          <w:sz w:val="20"/>
          <w:szCs w:val="20"/>
        </w:rPr>
        <w:t>Not applicable.</w:t>
      </w:r>
    </w:p>
    <w:p w14:paraId="06CBE3B1" w14:textId="77777777" w:rsidR="00AA7631" w:rsidRPr="00E66116" w:rsidRDefault="00AA7631" w:rsidP="00AA7631">
      <w:pPr>
        <w:pStyle w:val="Heading5level6"/>
        <w:spacing w:before="100" w:after="100"/>
        <w:rPr>
          <w:szCs w:val="20"/>
          <w:lang w:val="en-AU"/>
        </w:rPr>
      </w:pPr>
      <w:r w:rsidRPr="00E66116">
        <w:rPr>
          <w:szCs w:val="20"/>
          <w:lang w:val="en-AU"/>
        </w:rPr>
        <w:t>Various Locations</w:t>
      </w:r>
    </w:p>
    <w:p w14:paraId="56EAB486" w14:textId="77777777" w:rsidR="00E66116" w:rsidRPr="00CE312F" w:rsidRDefault="00E66116" w:rsidP="00E66116">
      <w:pPr>
        <w:pStyle w:val="Heading5level6"/>
        <w:spacing w:before="100" w:after="100"/>
        <w:rPr>
          <w:b w:val="0"/>
          <w:color w:val="000000"/>
          <w:szCs w:val="20"/>
          <w:lang w:val="en-AU"/>
        </w:rPr>
      </w:pPr>
      <w:r>
        <w:rPr>
          <w:b w:val="0"/>
          <w:color w:val="000000"/>
          <w:szCs w:val="20"/>
          <w:lang w:val="en-AU"/>
        </w:rPr>
        <w:t xml:space="preserve">Facilities to Support </w:t>
      </w:r>
      <w:r w:rsidRPr="00CE312F">
        <w:rPr>
          <w:b w:val="0"/>
          <w:color w:val="000000"/>
          <w:szCs w:val="20"/>
          <w:lang w:val="en-AU"/>
        </w:rPr>
        <w:t xml:space="preserve">Theatre Logistics </w:t>
      </w:r>
      <w:r>
        <w:rPr>
          <w:b w:val="0"/>
          <w:color w:val="000000"/>
          <w:szCs w:val="20"/>
          <w:lang w:val="en-AU"/>
        </w:rPr>
        <w:t>(Work Packages 2.1 and 2</w:t>
      </w:r>
      <w:r w:rsidRPr="00CE312F">
        <w:rPr>
          <w:b w:val="0"/>
          <w:color w:val="000000"/>
          <w:szCs w:val="20"/>
          <w:lang w:val="en-AU"/>
        </w:rPr>
        <w:t>.6</w:t>
      </w:r>
      <w:r>
        <w:rPr>
          <w:b w:val="0"/>
          <w:color w:val="000000"/>
          <w:szCs w:val="20"/>
          <w:lang w:val="en-AU"/>
        </w:rPr>
        <w:t>)</w:t>
      </w:r>
    </w:p>
    <w:p w14:paraId="051C4D81" w14:textId="77777777" w:rsidR="00E66116" w:rsidRDefault="00E66116" w:rsidP="00E66116">
      <w:pPr>
        <w:pStyle w:val="Default"/>
        <w:spacing w:before="100" w:after="100"/>
        <w:rPr>
          <w:rFonts w:ascii="Book Antiqua" w:hAnsi="Book Antiqua" w:cs="Book Antiqua"/>
          <w:sz w:val="20"/>
          <w:szCs w:val="20"/>
        </w:rPr>
      </w:pPr>
      <w:r w:rsidRPr="00CE312F">
        <w:rPr>
          <w:rFonts w:ascii="Book Antiqua" w:hAnsi="Book Antiqua" w:cs="Book Antiqua"/>
          <w:sz w:val="20"/>
          <w:szCs w:val="20"/>
        </w:rPr>
        <w:t>Th</w:t>
      </w:r>
      <w:r>
        <w:rPr>
          <w:rFonts w:ascii="Book Antiqua" w:hAnsi="Book Antiqua" w:cs="Book Antiqua"/>
          <w:sz w:val="20"/>
          <w:szCs w:val="20"/>
        </w:rPr>
        <w:t>is</w:t>
      </w:r>
      <w:r w:rsidRPr="00CE312F">
        <w:rPr>
          <w:rFonts w:ascii="Book Antiqua" w:hAnsi="Book Antiqua" w:cs="Book Antiqua"/>
          <w:sz w:val="20"/>
          <w:szCs w:val="20"/>
        </w:rPr>
        <w:t xml:space="preserve"> project </w:t>
      </w:r>
      <w:r>
        <w:rPr>
          <w:rFonts w:ascii="Book Antiqua" w:hAnsi="Book Antiqua" w:cs="Book Antiqua"/>
          <w:sz w:val="20"/>
          <w:szCs w:val="20"/>
        </w:rPr>
        <w:t xml:space="preserve">proposes to deliver new and upgraded </w:t>
      </w:r>
      <w:r w:rsidRPr="00CE312F">
        <w:rPr>
          <w:rFonts w:ascii="Book Antiqua" w:hAnsi="Book Antiqua" w:cs="Book Antiqua"/>
          <w:sz w:val="20"/>
          <w:szCs w:val="20"/>
        </w:rPr>
        <w:t xml:space="preserve">facilities and infrastructure </w:t>
      </w:r>
      <w:r>
        <w:rPr>
          <w:rFonts w:ascii="Book Antiqua" w:hAnsi="Book Antiqua" w:cs="Book Antiqua"/>
          <w:sz w:val="20"/>
          <w:szCs w:val="20"/>
        </w:rPr>
        <w:t xml:space="preserve">to support logistics storage, </w:t>
      </w:r>
      <w:r w:rsidRPr="00CE312F">
        <w:rPr>
          <w:rFonts w:ascii="Book Antiqua" w:hAnsi="Book Antiqua" w:cs="Book Antiqua"/>
          <w:sz w:val="20"/>
          <w:szCs w:val="20"/>
        </w:rPr>
        <w:t>maintenance, and personnel</w:t>
      </w:r>
      <w:r>
        <w:rPr>
          <w:rFonts w:ascii="Book Antiqua" w:hAnsi="Book Antiqua" w:cs="Book Antiqua"/>
          <w:sz w:val="20"/>
          <w:szCs w:val="20"/>
        </w:rPr>
        <w:t xml:space="preserve"> across a range of bases</w:t>
      </w:r>
      <w:r w:rsidRPr="00CE312F">
        <w:rPr>
          <w:rFonts w:ascii="Book Antiqua" w:hAnsi="Book Antiqua" w:cs="Book Antiqua"/>
          <w:sz w:val="20"/>
          <w:szCs w:val="20"/>
        </w:rPr>
        <w:t>.</w:t>
      </w:r>
    </w:p>
    <w:p w14:paraId="29D5F2A8" w14:textId="77777777" w:rsidR="00E66116" w:rsidRDefault="00E66116" w:rsidP="00E66116">
      <w:pPr>
        <w:pStyle w:val="Heading5level6"/>
        <w:spacing w:before="100" w:after="100"/>
        <w:rPr>
          <w:b w:val="0"/>
          <w:color w:val="000000"/>
          <w:szCs w:val="20"/>
          <w:lang w:val="en-AU"/>
        </w:rPr>
      </w:pPr>
      <w:r>
        <w:rPr>
          <w:b w:val="0"/>
          <w:color w:val="000000"/>
          <w:szCs w:val="20"/>
          <w:lang w:val="en-AU"/>
        </w:rPr>
        <w:t xml:space="preserve">Facilities to Support </w:t>
      </w:r>
      <w:r w:rsidRPr="00CE312F">
        <w:rPr>
          <w:b w:val="0"/>
          <w:color w:val="000000"/>
          <w:szCs w:val="20"/>
          <w:lang w:val="en-AU"/>
        </w:rPr>
        <w:t xml:space="preserve">Theatre Logistics </w:t>
      </w:r>
      <w:r>
        <w:rPr>
          <w:b w:val="0"/>
          <w:color w:val="000000"/>
          <w:szCs w:val="20"/>
          <w:lang w:val="en-AU"/>
        </w:rPr>
        <w:t>(Work Package 2.4)</w:t>
      </w:r>
    </w:p>
    <w:p w14:paraId="0FCAD1A1" w14:textId="77777777" w:rsidR="00E66116" w:rsidRDefault="00E66116" w:rsidP="00E66116">
      <w:pPr>
        <w:pStyle w:val="Heading5level6"/>
        <w:spacing w:before="100" w:after="100"/>
        <w:rPr>
          <w:b w:val="0"/>
          <w:color w:val="000000"/>
          <w:szCs w:val="20"/>
          <w:lang w:val="en-AU"/>
        </w:rPr>
      </w:pPr>
      <w:r w:rsidRPr="00847848">
        <w:rPr>
          <w:rFonts w:ascii="Book Antiqua" w:hAnsi="Book Antiqua" w:cs="Book Antiqua"/>
          <w:b w:val="0"/>
          <w:szCs w:val="20"/>
        </w:rPr>
        <w:t>Th</w:t>
      </w:r>
      <w:r>
        <w:rPr>
          <w:rFonts w:ascii="Book Antiqua" w:hAnsi="Book Antiqua" w:cs="Book Antiqua"/>
          <w:b w:val="0"/>
          <w:szCs w:val="20"/>
        </w:rPr>
        <w:t>is</w:t>
      </w:r>
      <w:r w:rsidRPr="00847848">
        <w:rPr>
          <w:rFonts w:ascii="Book Antiqua" w:hAnsi="Book Antiqua" w:cs="Book Antiqua"/>
          <w:b w:val="0"/>
          <w:szCs w:val="20"/>
        </w:rPr>
        <w:t xml:space="preserve"> project proposes to deliver logistics enabling facilities and infrastructure at multiple sites supporting storage and warehousing, maintenance and personnel across a range of bases.</w:t>
      </w:r>
    </w:p>
    <w:p w14:paraId="72D8C29C" w14:textId="77777777" w:rsidR="00E66116" w:rsidRDefault="00E66116" w:rsidP="00E66116">
      <w:pPr>
        <w:pStyle w:val="Heading5level6"/>
        <w:spacing w:before="100" w:after="100"/>
        <w:rPr>
          <w:b w:val="0"/>
          <w:color w:val="000000"/>
          <w:szCs w:val="20"/>
          <w:lang w:val="en-AU"/>
        </w:rPr>
      </w:pPr>
      <w:r w:rsidRPr="00CE312F">
        <w:rPr>
          <w:b w:val="0"/>
          <w:color w:val="000000"/>
          <w:szCs w:val="20"/>
          <w:lang w:val="en-AU"/>
        </w:rPr>
        <w:t xml:space="preserve">Facilities to Support </w:t>
      </w:r>
      <w:r w:rsidRPr="00CE312F">
        <w:rPr>
          <w:b w:val="0"/>
          <w:i/>
          <w:color w:val="000000"/>
          <w:szCs w:val="20"/>
          <w:lang w:val="en-AU"/>
        </w:rPr>
        <w:t>Hobart-</w:t>
      </w:r>
      <w:r w:rsidRPr="00CE312F">
        <w:rPr>
          <w:b w:val="0"/>
          <w:color w:val="000000"/>
          <w:szCs w:val="20"/>
          <w:lang w:val="en-AU"/>
        </w:rPr>
        <w:t>Class Destroyer Aegis System Upgrade</w:t>
      </w:r>
    </w:p>
    <w:p w14:paraId="00AED290" w14:textId="77777777" w:rsidR="00E66116" w:rsidRDefault="00E66116" w:rsidP="00E66116">
      <w:pPr>
        <w:pStyle w:val="Heading5level6"/>
        <w:spacing w:before="100" w:after="100"/>
        <w:rPr>
          <w:b w:val="0"/>
          <w:color w:val="000000"/>
          <w:szCs w:val="20"/>
          <w:lang w:val="en-AU"/>
        </w:rPr>
      </w:pPr>
      <w:r w:rsidRPr="002A3930">
        <w:rPr>
          <w:rFonts w:ascii="Book Antiqua" w:hAnsi="Book Antiqua" w:cs="Book Antiqua"/>
          <w:b w:val="0"/>
          <w:szCs w:val="20"/>
        </w:rPr>
        <w:t xml:space="preserve">This project proposes to provide facilities and infrastructure to support the integration of new systems across a range of bases.  </w:t>
      </w:r>
    </w:p>
    <w:p w14:paraId="4DD08367" w14:textId="77777777" w:rsidR="00E66116" w:rsidRDefault="00E66116" w:rsidP="00E66116">
      <w:pPr>
        <w:pStyle w:val="Heading5level6"/>
        <w:spacing w:before="100" w:after="100"/>
        <w:rPr>
          <w:b w:val="0"/>
          <w:color w:val="000000"/>
          <w:szCs w:val="20"/>
          <w:lang w:val="en-AU"/>
        </w:rPr>
      </w:pPr>
      <w:r>
        <w:rPr>
          <w:b w:val="0"/>
          <w:color w:val="000000"/>
          <w:szCs w:val="20"/>
          <w:lang w:val="en-AU"/>
        </w:rPr>
        <w:t xml:space="preserve">Facilities to Support </w:t>
      </w:r>
      <w:r w:rsidRPr="00CE312F">
        <w:rPr>
          <w:b w:val="0"/>
          <w:color w:val="000000"/>
          <w:szCs w:val="20"/>
          <w:lang w:val="en-AU"/>
        </w:rPr>
        <w:t>Counter Explosive Hazards</w:t>
      </w:r>
    </w:p>
    <w:p w14:paraId="534DDCE3" w14:textId="77777777" w:rsidR="00AA7631" w:rsidRDefault="00E66116" w:rsidP="00E66116">
      <w:pPr>
        <w:pStyle w:val="Default"/>
        <w:spacing w:before="100" w:after="100"/>
        <w:rPr>
          <w:rFonts w:cs="Book Antiqua"/>
          <w:szCs w:val="20"/>
        </w:rPr>
      </w:pPr>
      <w:r w:rsidRPr="00E66116">
        <w:rPr>
          <w:rFonts w:ascii="Book Antiqua" w:hAnsi="Book Antiqua" w:cs="Book Antiqua"/>
          <w:sz w:val="20"/>
          <w:szCs w:val="20"/>
        </w:rPr>
        <w:t>This project proposes to deliver facilities and infrastructure to support capabilities that protect personnel and material from explosive hazards across a range of bases</w:t>
      </w:r>
      <w:r w:rsidR="00AA7631" w:rsidRPr="00E66116">
        <w:rPr>
          <w:rFonts w:ascii="Book Antiqua" w:hAnsi="Book Antiqua" w:cs="Book Antiqua"/>
          <w:sz w:val="20"/>
          <w:szCs w:val="20"/>
        </w:rPr>
        <w:t>.</w:t>
      </w:r>
    </w:p>
    <w:p w14:paraId="6D1FC6EE" w14:textId="77777777" w:rsidR="003A3296" w:rsidRPr="00B56FAA" w:rsidRDefault="003A3296" w:rsidP="003A3296">
      <w:pPr>
        <w:pStyle w:val="Heading3"/>
        <w:spacing w:before="0"/>
        <w:sectPr w:rsidR="003A3296" w:rsidRPr="00B56FAA" w:rsidSect="00C30BE6">
          <w:headerReference w:type="even" r:id="rId112"/>
          <w:pgSz w:w="11907" w:h="16840" w:code="9"/>
          <w:pgMar w:top="1701" w:right="1361" w:bottom="1701" w:left="1928" w:header="720" w:footer="720" w:gutter="0"/>
          <w:cols w:space="720"/>
          <w:noEndnote/>
        </w:sectPr>
      </w:pPr>
    </w:p>
    <w:p w14:paraId="771F89D3" w14:textId="77777777" w:rsidR="003A3296" w:rsidRPr="00B56FAA" w:rsidRDefault="003A3296" w:rsidP="007152E1">
      <w:pPr>
        <w:pStyle w:val="Heading4"/>
        <w:spacing w:before="0" w:after="200"/>
        <w:rPr>
          <w:rFonts w:ascii="Arial Bold" w:hAnsi="Arial Bold"/>
          <w:sz w:val="26"/>
          <w:szCs w:val="26"/>
        </w:rPr>
      </w:pPr>
      <w:bookmarkStart w:id="941" w:name="_Toc69917852"/>
      <w:bookmarkStart w:id="942" w:name="_Toc97747841"/>
      <w:bookmarkStart w:id="943" w:name="_Toc108088952"/>
      <w:bookmarkStart w:id="944" w:name="_Toc108089426"/>
      <w:bookmarkStart w:id="945" w:name="_Toc109227748"/>
      <w:bookmarkStart w:id="946" w:name="_Toc159499696"/>
      <w:bookmarkStart w:id="947" w:name="_Toc159859113"/>
      <w:bookmarkStart w:id="948" w:name="_Toc159859265"/>
      <w:r w:rsidRPr="00B56FAA">
        <w:rPr>
          <w:rFonts w:ascii="Arial Bold" w:hAnsi="Arial Bold"/>
          <w:sz w:val="26"/>
          <w:szCs w:val="26"/>
        </w:rPr>
        <w:lastRenderedPageBreak/>
        <w:t xml:space="preserve">Appendix F: </w:t>
      </w:r>
      <w:r w:rsidRPr="00B56FAA">
        <w:rPr>
          <w:rFonts w:ascii="Arial Bold" w:hAnsi="Arial Bold"/>
          <w:sz w:val="26"/>
          <w:szCs w:val="26"/>
        </w:rPr>
        <w:tab/>
        <w:t>Top 5 Information and Communication Technology Approved Projects</w:t>
      </w:r>
      <w:bookmarkEnd w:id="941"/>
      <w:bookmarkEnd w:id="942"/>
      <w:bookmarkEnd w:id="943"/>
      <w:bookmarkEnd w:id="944"/>
      <w:bookmarkEnd w:id="945"/>
      <w:bookmarkEnd w:id="946"/>
      <w:bookmarkEnd w:id="947"/>
      <w:bookmarkEnd w:id="948"/>
    </w:p>
    <w:p w14:paraId="0FF75D1D" w14:textId="77777777" w:rsidR="00604643" w:rsidRPr="00EE7E8D" w:rsidRDefault="00604643" w:rsidP="008C1AC5">
      <w:pPr>
        <w:spacing w:before="120" w:after="120"/>
      </w:pPr>
      <w:r w:rsidRPr="00EE7E8D">
        <w:t xml:space="preserve">The Information and Communication Technology </w:t>
      </w:r>
      <w:r w:rsidR="00A53BE3" w:rsidRPr="00EE7E8D">
        <w:t xml:space="preserve">(ICT) </w:t>
      </w:r>
      <w:r w:rsidRPr="00EE7E8D">
        <w:t>Program component of the Integrated Investment Program comprises approved and yet to be approved ICT projects. These projects support and sustain current and future capability requirements through the delivery of ICT to enable Command, Control, Communications, Computing, Intelligence, Surveillance, and Reconnaissance (C4ISR) and Defence’s corporate functions.</w:t>
      </w:r>
    </w:p>
    <w:p w14:paraId="1FBBE5F2" w14:textId="77777777" w:rsidR="00E6198A" w:rsidRPr="00EE7E8D" w:rsidRDefault="00E6198A" w:rsidP="00D9100A">
      <w:pPr>
        <w:pStyle w:val="TableHeading"/>
        <w:numPr>
          <w:ilvl w:val="0"/>
          <w:numId w:val="29"/>
        </w:numPr>
        <w:spacing w:before="240" w:after="120"/>
        <w:ind w:left="0" w:firstLine="0"/>
        <w:outlineLvl w:val="5"/>
        <w:rPr>
          <w:bCs/>
          <w:szCs w:val="20"/>
          <w:lang w:val="en-AU"/>
        </w:rPr>
      </w:pPr>
      <w:r w:rsidRPr="00EE7E8D">
        <w:rPr>
          <w:bCs/>
          <w:szCs w:val="20"/>
          <w:lang w:val="en-AU"/>
        </w:rPr>
        <w:t>Top 5 ICT Approved Projects by 202</w:t>
      </w:r>
      <w:r w:rsidR="004B232A" w:rsidRPr="00EE7E8D">
        <w:rPr>
          <w:bCs/>
          <w:szCs w:val="20"/>
          <w:lang w:val="en-AU"/>
        </w:rPr>
        <w:t>5</w:t>
      </w:r>
      <w:r w:rsidRPr="00EE7E8D">
        <w:rPr>
          <w:bCs/>
          <w:szCs w:val="20"/>
          <w:lang w:val="en-AU"/>
        </w:rPr>
        <w:t>-2</w:t>
      </w:r>
      <w:r w:rsidR="004B232A" w:rsidRPr="00EE7E8D">
        <w:rPr>
          <w:bCs/>
          <w:szCs w:val="20"/>
          <w:lang w:val="en-AU"/>
        </w:rPr>
        <w:t>6</w:t>
      </w:r>
      <w:r w:rsidRPr="00EE7E8D">
        <w:rPr>
          <w:bCs/>
          <w:szCs w:val="20"/>
          <w:lang w:val="en-AU"/>
        </w:rPr>
        <w:t xml:space="preserve"> Forecast Expenditure (Gross Plan)</w:t>
      </w:r>
      <w:r w:rsidR="00E91956" w:rsidRPr="00EE7E8D">
        <w:rPr>
          <w:bCs/>
          <w:szCs w:val="20"/>
          <w:lang w:val="en-AU"/>
        </w:rPr>
        <w:t xml:space="preserve"> </w:t>
      </w:r>
      <w:r w:rsidR="00E91956" w:rsidRPr="00EE7E8D">
        <w:rPr>
          <w:bCs/>
          <w:szCs w:val="20"/>
          <w:vertAlign w:val="superscript"/>
          <w:lang w:val="en-AU"/>
        </w:rPr>
        <w:t>[a]</w:t>
      </w:r>
    </w:p>
    <w:tbl>
      <w:tblPr>
        <w:tblW w:w="13720" w:type="dxa"/>
        <w:tblInd w:w="108" w:type="dxa"/>
        <w:tblLayout w:type="fixed"/>
        <w:tblLook w:val="04A0" w:firstRow="1" w:lastRow="0" w:firstColumn="1" w:lastColumn="0" w:noHBand="0" w:noVBand="1"/>
      </w:tblPr>
      <w:tblGrid>
        <w:gridCol w:w="1730"/>
        <w:gridCol w:w="1134"/>
        <w:gridCol w:w="1134"/>
        <w:gridCol w:w="1276"/>
        <w:gridCol w:w="1276"/>
        <w:gridCol w:w="7170"/>
      </w:tblGrid>
      <w:tr w:rsidR="0021717B" w:rsidRPr="00194C8A" w14:paraId="742CB30F" w14:textId="77777777" w:rsidTr="00ED6B44">
        <w:trPr>
          <w:trHeight w:val="1041"/>
        </w:trPr>
        <w:tc>
          <w:tcPr>
            <w:tcW w:w="1730" w:type="dxa"/>
            <w:tcBorders>
              <w:top w:val="single" w:sz="4" w:space="0" w:color="auto"/>
              <w:left w:val="single" w:sz="4" w:space="0" w:color="auto"/>
              <w:bottom w:val="single" w:sz="4" w:space="0" w:color="auto"/>
              <w:right w:val="single" w:sz="4" w:space="0" w:color="auto"/>
            </w:tcBorders>
            <w:shd w:val="clear" w:color="auto" w:fill="auto"/>
            <w:hideMark/>
          </w:tcPr>
          <w:p w14:paraId="0671488A" w14:textId="77777777" w:rsidR="003A3296" w:rsidRPr="00EE7E8D" w:rsidRDefault="003A3296" w:rsidP="003A3296">
            <w:pPr>
              <w:spacing w:before="0" w:after="0"/>
              <w:rPr>
                <w:rFonts w:ascii="Arial" w:hAnsi="Arial"/>
                <w:b/>
                <w:bCs/>
                <w:sz w:val="16"/>
                <w:szCs w:val="16"/>
                <w:lang w:val="en-AU"/>
              </w:rPr>
            </w:pPr>
            <w:r w:rsidRPr="00EE7E8D">
              <w:rPr>
                <w:rFonts w:ascii="Arial" w:hAnsi="Arial"/>
                <w:b/>
                <w:bCs/>
                <w:sz w:val="16"/>
                <w:szCs w:val="16"/>
                <w:lang w:val="en-AU"/>
              </w:rPr>
              <w:t>Project Name</w:t>
            </w:r>
          </w:p>
        </w:tc>
        <w:tc>
          <w:tcPr>
            <w:tcW w:w="1134" w:type="dxa"/>
            <w:tcBorders>
              <w:top w:val="single" w:sz="4" w:space="0" w:color="auto"/>
              <w:left w:val="nil"/>
              <w:bottom w:val="single" w:sz="4" w:space="0" w:color="auto"/>
              <w:right w:val="single" w:sz="4" w:space="0" w:color="auto"/>
            </w:tcBorders>
            <w:shd w:val="clear" w:color="auto" w:fill="auto"/>
            <w:hideMark/>
          </w:tcPr>
          <w:p w14:paraId="42F87E85" w14:textId="77777777" w:rsidR="003A3296" w:rsidRPr="00EE7E8D" w:rsidRDefault="003A3296" w:rsidP="0021717B">
            <w:pPr>
              <w:spacing w:before="0" w:after="0"/>
              <w:ind w:left="-57" w:right="-57"/>
              <w:jc w:val="center"/>
              <w:rPr>
                <w:rFonts w:ascii="Arial" w:hAnsi="Arial"/>
                <w:b/>
                <w:bCs/>
                <w:sz w:val="16"/>
                <w:szCs w:val="16"/>
                <w:lang w:val="en-AU"/>
              </w:rPr>
            </w:pPr>
            <w:r w:rsidRPr="00EE7E8D">
              <w:rPr>
                <w:rFonts w:ascii="Arial" w:hAnsi="Arial"/>
                <w:b/>
                <w:bCs/>
                <w:sz w:val="16"/>
                <w:szCs w:val="16"/>
                <w:lang w:val="en-AU"/>
              </w:rPr>
              <w:t>Project Number/</w:t>
            </w:r>
            <w:r w:rsidRPr="00EE7E8D">
              <w:rPr>
                <w:rFonts w:ascii="Arial" w:hAnsi="Arial"/>
                <w:b/>
                <w:bCs/>
                <w:sz w:val="16"/>
                <w:szCs w:val="16"/>
                <w:lang w:val="en-AU"/>
              </w:rPr>
              <w:br/>
              <w:t>Phase</w:t>
            </w:r>
          </w:p>
        </w:tc>
        <w:tc>
          <w:tcPr>
            <w:tcW w:w="1134" w:type="dxa"/>
            <w:tcBorders>
              <w:top w:val="single" w:sz="4" w:space="0" w:color="auto"/>
              <w:left w:val="nil"/>
              <w:bottom w:val="single" w:sz="4" w:space="0" w:color="auto"/>
              <w:right w:val="single" w:sz="4" w:space="0" w:color="auto"/>
            </w:tcBorders>
            <w:shd w:val="clear" w:color="auto" w:fill="auto"/>
            <w:hideMark/>
          </w:tcPr>
          <w:p w14:paraId="521A8A7C" w14:textId="77777777" w:rsidR="003A3296" w:rsidRPr="00EE7E8D" w:rsidRDefault="003A3296" w:rsidP="0021717B">
            <w:pPr>
              <w:spacing w:before="0" w:after="0"/>
              <w:ind w:left="-57" w:right="-57"/>
              <w:jc w:val="right"/>
              <w:rPr>
                <w:rFonts w:ascii="Arial" w:hAnsi="Arial"/>
                <w:b/>
                <w:bCs/>
                <w:sz w:val="16"/>
                <w:szCs w:val="16"/>
                <w:lang w:val="en-AU"/>
              </w:rPr>
            </w:pPr>
            <w:r w:rsidRPr="00EE7E8D">
              <w:rPr>
                <w:rFonts w:ascii="Arial" w:hAnsi="Arial"/>
                <w:b/>
                <w:bCs/>
                <w:sz w:val="16"/>
                <w:szCs w:val="16"/>
                <w:lang w:val="en-AU"/>
              </w:rPr>
              <w:t>Approved</w:t>
            </w:r>
          </w:p>
          <w:p w14:paraId="5F3F8C8A" w14:textId="77777777" w:rsidR="003A3296" w:rsidRPr="00EE7E8D" w:rsidRDefault="003A3296" w:rsidP="0021717B">
            <w:pPr>
              <w:spacing w:before="0" w:after="0"/>
              <w:ind w:left="-57" w:right="-57"/>
              <w:jc w:val="right"/>
              <w:rPr>
                <w:rFonts w:ascii="Arial" w:hAnsi="Arial"/>
                <w:b/>
                <w:bCs/>
                <w:sz w:val="16"/>
                <w:szCs w:val="16"/>
                <w:lang w:val="en-AU"/>
              </w:rPr>
            </w:pPr>
            <w:r w:rsidRPr="00EE7E8D">
              <w:rPr>
                <w:rFonts w:ascii="Arial" w:hAnsi="Arial"/>
                <w:b/>
                <w:bCs/>
                <w:sz w:val="16"/>
                <w:szCs w:val="16"/>
                <w:lang w:val="en-AU"/>
              </w:rPr>
              <w:t>Project</w:t>
            </w:r>
          </w:p>
          <w:p w14:paraId="23FF6DA4" w14:textId="078A274F" w:rsidR="003A3296" w:rsidRDefault="003A3296" w:rsidP="0021717B">
            <w:pPr>
              <w:spacing w:before="0" w:after="0"/>
              <w:ind w:left="-57" w:right="-57"/>
              <w:jc w:val="right"/>
              <w:rPr>
                <w:rFonts w:ascii="Arial" w:hAnsi="Arial"/>
                <w:b/>
                <w:bCs/>
                <w:sz w:val="16"/>
                <w:szCs w:val="16"/>
                <w:lang w:val="en-AU"/>
              </w:rPr>
            </w:pPr>
            <w:r w:rsidRPr="00EE7E8D">
              <w:rPr>
                <w:rFonts w:ascii="Arial" w:hAnsi="Arial"/>
                <w:b/>
                <w:bCs/>
                <w:sz w:val="16"/>
                <w:szCs w:val="16"/>
                <w:lang w:val="en-AU"/>
              </w:rPr>
              <w:t>Expenditure</w:t>
            </w:r>
          </w:p>
          <w:p w14:paraId="5A12A870" w14:textId="48B94AEB" w:rsidR="00E829DB" w:rsidRDefault="00E829DB" w:rsidP="0021717B">
            <w:pPr>
              <w:spacing w:before="0" w:after="0"/>
              <w:ind w:left="-57" w:right="-57"/>
              <w:jc w:val="right"/>
              <w:rPr>
                <w:rFonts w:ascii="Arial" w:hAnsi="Arial"/>
                <w:b/>
                <w:bCs/>
                <w:sz w:val="16"/>
                <w:szCs w:val="16"/>
                <w:lang w:val="en-AU"/>
              </w:rPr>
            </w:pPr>
          </w:p>
          <w:p w14:paraId="077C00ED" w14:textId="77777777" w:rsidR="00E829DB" w:rsidRPr="00EE7E8D" w:rsidRDefault="00E829DB" w:rsidP="0021717B">
            <w:pPr>
              <w:spacing w:before="0" w:after="0"/>
              <w:ind w:left="-57" w:right="-57"/>
              <w:jc w:val="right"/>
              <w:rPr>
                <w:rFonts w:ascii="Arial" w:hAnsi="Arial"/>
                <w:b/>
                <w:bCs/>
                <w:sz w:val="16"/>
                <w:szCs w:val="16"/>
                <w:lang w:val="en-AU"/>
              </w:rPr>
            </w:pPr>
          </w:p>
          <w:p w14:paraId="191DE873" w14:textId="77777777" w:rsidR="003A3296" w:rsidRPr="00EE7E8D" w:rsidRDefault="003A3296" w:rsidP="0021717B">
            <w:pPr>
              <w:spacing w:before="0" w:after="0"/>
              <w:ind w:left="-57" w:right="-57"/>
              <w:jc w:val="right"/>
              <w:rPr>
                <w:rFonts w:ascii="Arial" w:hAnsi="Arial"/>
                <w:b/>
                <w:bCs/>
                <w:sz w:val="16"/>
                <w:szCs w:val="16"/>
                <w:lang w:val="en-AU"/>
              </w:rPr>
            </w:pPr>
            <w:r w:rsidRPr="00EE7E8D">
              <w:rPr>
                <w:rFonts w:ascii="Arial" w:hAnsi="Arial"/>
                <w:b/>
                <w:bCs/>
                <w:sz w:val="16"/>
                <w:szCs w:val="16"/>
                <w:lang w:val="en-AU"/>
              </w:rPr>
              <w:t>$m</w:t>
            </w:r>
          </w:p>
        </w:tc>
        <w:tc>
          <w:tcPr>
            <w:tcW w:w="1276" w:type="dxa"/>
            <w:tcBorders>
              <w:top w:val="single" w:sz="4" w:space="0" w:color="auto"/>
              <w:left w:val="nil"/>
              <w:bottom w:val="single" w:sz="4" w:space="0" w:color="auto"/>
              <w:right w:val="single" w:sz="4" w:space="0" w:color="auto"/>
            </w:tcBorders>
            <w:shd w:val="clear" w:color="auto" w:fill="auto"/>
            <w:hideMark/>
          </w:tcPr>
          <w:p w14:paraId="2B6B3C46" w14:textId="77777777" w:rsidR="003A3296" w:rsidRPr="00EE7E8D" w:rsidRDefault="00F1623E" w:rsidP="0021717B">
            <w:pPr>
              <w:spacing w:before="0" w:after="0"/>
              <w:ind w:left="-57" w:right="-57"/>
              <w:jc w:val="right"/>
              <w:rPr>
                <w:rFonts w:ascii="Arial" w:hAnsi="Arial"/>
                <w:b/>
                <w:bCs/>
                <w:sz w:val="16"/>
                <w:szCs w:val="16"/>
                <w:lang w:val="en-AU"/>
              </w:rPr>
            </w:pPr>
            <w:r w:rsidRPr="00EE7E8D">
              <w:rPr>
                <w:rFonts w:ascii="Arial" w:hAnsi="Arial"/>
                <w:b/>
                <w:bCs/>
                <w:sz w:val="16"/>
                <w:szCs w:val="16"/>
                <w:lang w:val="en-AU"/>
              </w:rPr>
              <w:t xml:space="preserve">Estimated </w:t>
            </w:r>
            <w:r w:rsidR="003A3296" w:rsidRPr="00EE7E8D">
              <w:rPr>
                <w:rFonts w:ascii="Arial" w:hAnsi="Arial"/>
                <w:b/>
                <w:bCs/>
                <w:sz w:val="16"/>
                <w:szCs w:val="16"/>
                <w:lang w:val="en-AU"/>
              </w:rPr>
              <w:t>Cumulative</w:t>
            </w:r>
          </w:p>
          <w:p w14:paraId="6035A6A0" w14:textId="0B526165" w:rsidR="00E829DB" w:rsidRDefault="003A3296" w:rsidP="0021717B">
            <w:pPr>
              <w:spacing w:before="0" w:after="0"/>
              <w:ind w:left="-57" w:right="-57"/>
              <w:jc w:val="right"/>
              <w:rPr>
                <w:rFonts w:ascii="Arial" w:hAnsi="Arial"/>
                <w:b/>
                <w:bCs/>
                <w:sz w:val="16"/>
                <w:szCs w:val="16"/>
                <w:lang w:val="en-AU"/>
              </w:rPr>
            </w:pPr>
            <w:r w:rsidRPr="00EE7E8D">
              <w:rPr>
                <w:rFonts w:ascii="Arial" w:hAnsi="Arial"/>
                <w:b/>
                <w:bCs/>
                <w:sz w:val="16"/>
                <w:szCs w:val="16"/>
                <w:lang w:val="en-AU"/>
              </w:rPr>
              <w:t>Expenditure</w:t>
            </w:r>
            <w:r w:rsidR="00E829DB">
              <w:rPr>
                <w:rFonts w:ascii="Arial" w:hAnsi="Arial"/>
                <w:b/>
                <w:bCs/>
                <w:sz w:val="16"/>
                <w:szCs w:val="16"/>
                <w:lang w:val="en-AU"/>
              </w:rPr>
              <w:t xml:space="preserve"> </w:t>
            </w:r>
            <w:r w:rsidRPr="00EE7E8D">
              <w:rPr>
                <w:rFonts w:ascii="Arial" w:hAnsi="Arial"/>
                <w:b/>
                <w:bCs/>
                <w:sz w:val="16"/>
                <w:szCs w:val="16"/>
                <w:lang w:val="en-AU"/>
              </w:rPr>
              <w:t>to</w:t>
            </w:r>
          </w:p>
          <w:p w14:paraId="65FC1574" w14:textId="785B4366" w:rsidR="003A3296" w:rsidRDefault="003A3296" w:rsidP="0021717B">
            <w:pPr>
              <w:spacing w:before="0" w:after="0"/>
              <w:ind w:left="-57" w:right="-57"/>
              <w:jc w:val="right"/>
              <w:rPr>
                <w:rFonts w:ascii="Arial" w:hAnsi="Arial"/>
                <w:b/>
                <w:bCs/>
                <w:sz w:val="16"/>
                <w:szCs w:val="16"/>
                <w:lang w:val="en-AU"/>
              </w:rPr>
            </w:pPr>
            <w:r w:rsidRPr="00EE7E8D">
              <w:rPr>
                <w:rFonts w:ascii="Arial" w:hAnsi="Arial"/>
                <w:b/>
                <w:bCs/>
                <w:sz w:val="16"/>
                <w:szCs w:val="16"/>
                <w:lang w:val="en-AU"/>
              </w:rPr>
              <w:t xml:space="preserve"> 30 June</w:t>
            </w:r>
            <w:r w:rsidR="00E829DB">
              <w:rPr>
                <w:rFonts w:ascii="Arial" w:hAnsi="Arial"/>
                <w:b/>
                <w:bCs/>
                <w:sz w:val="16"/>
                <w:szCs w:val="16"/>
                <w:lang w:val="en-AU"/>
              </w:rPr>
              <w:t xml:space="preserve"> </w:t>
            </w:r>
            <w:r w:rsidRPr="00EE7E8D">
              <w:rPr>
                <w:rFonts w:ascii="Arial" w:hAnsi="Arial"/>
                <w:b/>
                <w:bCs/>
                <w:sz w:val="16"/>
                <w:szCs w:val="16"/>
                <w:lang w:val="en-AU"/>
              </w:rPr>
              <w:t>202</w:t>
            </w:r>
            <w:r w:rsidR="00EE7E8D" w:rsidRPr="00EE7E8D">
              <w:rPr>
                <w:rFonts w:ascii="Arial" w:hAnsi="Arial"/>
                <w:b/>
                <w:bCs/>
                <w:sz w:val="16"/>
                <w:szCs w:val="16"/>
                <w:lang w:val="en-AU"/>
              </w:rPr>
              <w:t>5</w:t>
            </w:r>
          </w:p>
          <w:p w14:paraId="0EE997EE" w14:textId="77777777" w:rsidR="00E829DB" w:rsidRPr="00EE7E8D" w:rsidRDefault="00E829DB" w:rsidP="0021717B">
            <w:pPr>
              <w:spacing w:before="0" w:after="0"/>
              <w:ind w:left="-57" w:right="-57"/>
              <w:jc w:val="right"/>
              <w:rPr>
                <w:rFonts w:ascii="Arial" w:hAnsi="Arial"/>
                <w:b/>
                <w:bCs/>
                <w:sz w:val="16"/>
                <w:szCs w:val="16"/>
                <w:lang w:val="en-AU"/>
              </w:rPr>
            </w:pPr>
          </w:p>
          <w:p w14:paraId="12CFEF91" w14:textId="77777777" w:rsidR="003A3296" w:rsidRPr="00EE7E8D" w:rsidRDefault="003A3296" w:rsidP="0021717B">
            <w:pPr>
              <w:spacing w:before="0" w:after="0"/>
              <w:ind w:left="-57" w:right="-57"/>
              <w:jc w:val="right"/>
              <w:rPr>
                <w:rFonts w:ascii="Arial" w:hAnsi="Arial"/>
                <w:b/>
                <w:bCs/>
                <w:sz w:val="16"/>
                <w:szCs w:val="16"/>
                <w:lang w:val="en-AU"/>
              </w:rPr>
            </w:pPr>
            <w:r w:rsidRPr="00EE7E8D">
              <w:rPr>
                <w:rFonts w:ascii="Arial" w:hAnsi="Arial"/>
                <w:b/>
                <w:bCs/>
                <w:sz w:val="16"/>
                <w:szCs w:val="16"/>
                <w:lang w:val="en-AU"/>
              </w:rPr>
              <w:t>$m</w:t>
            </w:r>
          </w:p>
        </w:tc>
        <w:tc>
          <w:tcPr>
            <w:tcW w:w="1276" w:type="dxa"/>
            <w:tcBorders>
              <w:top w:val="single" w:sz="4" w:space="0" w:color="auto"/>
              <w:left w:val="nil"/>
              <w:bottom w:val="single" w:sz="4" w:space="0" w:color="auto"/>
              <w:right w:val="single" w:sz="4" w:space="0" w:color="auto"/>
            </w:tcBorders>
            <w:shd w:val="clear" w:color="auto" w:fill="auto"/>
            <w:hideMark/>
          </w:tcPr>
          <w:p w14:paraId="4E263AC8" w14:textId="77777777" w:rsidR="003A3296" w:rsidRPr="00EE7E8D" w:rsidRDefault="003A3296" w:rsidP="0021717B">
            <w:pPr>
              <w:spacing w:before="0" w:after="0"/>
              <w:ind w:left="-57" w:right="-57"/>
              <w:jc w:val="right"/>
              <w:rPr>
                <w:rFonts w:ascii="Arial" w:hAnsi="Arial"/>
                <w:b/>
                <w:bCs/>
                <w:sz w:val="16"/>
                <w:szCs w:val="16"/>
                <w:lang w:val="en-AU"/>
              </w:rPr>
            </w:pPr>
            <w:r w:rsidRPr="00EE7E8D">
              <w:rPr>
                <w:rFonts w:ascii="Arial" w:hAnsi="Arial"/>
                <w:b/>
                <w:bCs/>
                <w:sz w:val="16"/>
                <w:szCs w:val="16"/>
                <w:lang w:val="en-AU"/>
              </w:rPr>
              <w:t>Budget</w:t>
            </w:r>
          </w:p>
          <w:p w14:paraId="2BA9F1D6" w14:textId="77777777" w:rsidR="003A3296" w:rsidRPr="00EE7E8D" w:rsidRDefault="003A3296" w:rsidP="0021717B">
            <w:pPr>
              <w:spacing w:before="0" w:after="0"/>
              <w:ind w:left="-57" w:right="-57"/>
              <w:jc w:val="right"/>
              <w:rPr>
                <w:rFonts w:ascii="Arial" w:hAnsi="Arial"/>
                <w:b/>
                <w:bCs/>
                <w:sz w:val="16"/>
                <w:szCs w:val="16"/>
                <w:lang w:val="en-AU"/>
              </w:rPr>
            </w:pPr>
            <w:r w:rsidRPr="00EE7E8D">
              <w:rPr>
                <w:rFonts w:ascii="Arial" w:hAnsi="Arial"/>
                <w:b/>
                <w:bCs/>
                <w:sz w:val="16"/>
                <w:szCs w:val="16"/>
                <w:lang w:val="en-AU"/>
              </w:rPr>
              <w:t>Estimate</w:t>
            </w:r>
          </w:p>
          <w:p w14:paraId="31AF56CA" w14:textId="0BADB550" w:rsidR="003A3296" w:rsidRDefault="003A3296" w:rsidP="0021717B">
            <w:pPr>
              <w:spacing w:before="0" w:after="0"/>
              <w:ind w:left="-57" w:right="-57"/>
              <w:jc w:val="right"/>
              <w:rPr>
                <w:rFonts w:ascii="Arial" w:hAnsi="Arial"/>
                <w:b/>
                <w:bCs/>
                <w:sz w:val="16"/>
                <w:szCs w:val="16"/>
                <w:lang w:val="en-AU"/>
              </w:rPr>
            </w:pPr>
            <w:r w:rsidRPr="00EE7E8D">
              <w:rPr>
                <w:rFonts w:ascii="Arial" w:hAnsi="Arial"/>
                <w:b/>
                <w:bCs/>
                <w:sz w:val="16"/>
                <w:szCs w:val="16"/>
                <w:lang w:val="en-AU"/>
              </w:rPr>
              <w:t>202</w:t>
            </w:r>
            <w:r w:rsidR="004B232A" w:rsidRPr="00EE7E8D">
              <w:rPr>
                <w:rFonts w:ascii="Arial" w:hAnsi="Arial"/>
                <w:b/>
                <w:bCs/>
                <w:sz w:val="16"/>
                <w:szCs w:val="16"/>
                <w:lang w:val="en-AU"/>
              </w:rPr>
              <w:t>5</w:t>
            </w:r>
            <w:r w:rsidRPr="00EE7E8D">
              <w:rPr>
                <w:rFonts w:ascii="Arial" w:hAnsi="Arial"/>
                <w:b/>
                <w:bCs/>
                <w:sz w:val="16"/>
                <w:szCs w:val="16"/>
                <w:lang w:val="en-AU"/>
              </w:rPr>
              <w:t>-2</w:t>
            </w:r>
            <w:r w:rsidR="004B232A" w:rsidRPr="00EE7E8D">
              <w:rPr>
                <w:rFonts w:ascii="Arial" w:hAnsi="Arial"/>
                <w:b/>
                <w:bCs/>
                <w:sz w:val="16"/>
                <w:szCs w:val="16"/>
                <w:lang w:val="en-AU"/>
              </w:rPr>
              <w:t>6</w:t>
            </w:r>
          </w:p>
          <w:p w14:paraId="221166FA" w14:textId="2A5D95DE" w:rsidR="00E829DB" w:rsidRDefault="00E829DB" w:rsidP="0021717B">
            <w:pPr>
              <w:spacing w:before="0" w:after="0"/>
              <w:ind w:left="-57" w:right="-57"/>
              <w:jc w:val="right"/>
              <w:rPr>
                <w:rFonts w:ascii="Arial" w:hAnsi="Arial"/>
                <w:b/>
                <w:bCs/>
                <w:sz w:val="16"/>
                <w:szCs w:val="16"/>
                <w:lang w:val="en-AU"/>
              </w:rPr>
            </w:pPr>
          </w:p>
          <w:p w14:paraId="634B37FE" w14:textId="77777777" w:rsidR="00E829DB" w:rsidRPr="00EE7E8D" w:rsidRDefault="00E829DB" w:rsidP="0021717B">
            <w:pPr>
              <w:spacing w:before="0" w:after="0"/>
              <w:ind w:left="-57" w:right="-57"/>
              <w:jc w:val="right"/>
              <w:rPr>
                <w:rFonts w:ascii="Arial" w:hAnsi="Arial"/>
                <w:b/>
                <w:bCs/>
                <w:sz w:val="16"/>
                <w:szCs w:val="16"/>
                <w:lang w:val="en-AU"/>
              </w:rPr>
            </w:pPr>
          </w:p>
          <w:p w14:paraId="2EA15821" w14:textId="77777777" w:rsidR="003A3296" w:rsidRPr="00EE7E8D" w:rsidRDefault="003A3296" w:rsidP="0021717B">
            <w:pPr>
              <w:spacing w:before="0" w:after="0"/>
              <w:ind w:left="-57" w:right="-57"/>
              <w:jc w:val="right"/>
              <w:rPr>
                <w:rFonts w:ascii="Arial" w:hAnsi="Arial"/>
                <w:b/>
                <w:bCs/>
                <w:sz w:val="16"/>
                <w:szCs w:val="16"/>
                <w:lang w:val="en-AU"/>
              </w:rPr>
            </w:pPr>
            <w:r w:rsidRPr="00EE7E8D">
              <w:rPr>
                <w:rFonts w:ascii="Arial" w:hAnsi="Arial"/>
                <w:b/>
                <w:bCs/>
                <w:sz w:val="16"/>
                <w:szCs w:val="16"/>
                <w:lang w:val="en-AU"/>
              </w:rPr>
              <w:t>$m</w:t>
            </w:r>
          </w:p>
        </w:tc>
        <w:tc>
          <w:tcPr>
            <w:tcW w:w="7170" w:type="dxa"/>
            <w:tcBorders>
              <w:top w:val="single" w:sz="4" w:space="0" w:color="auto"/>
              <w:left w:val="nil"/>
              <w:bottom w:val="single" w:sz="4" w:space="0" w:color="auto"/>
              <w:right w:val="single" w:sz="4" w:space="0" w:color="auto"/>
            </w:tcBorders>
            <w:shd w:val="clear" w:color="auto" w:fill="auto"/>
            <w:hideMark/>
          </w:tcPr>
          <w:p w14:paraId="7EBEAE2B" w14:textId="77777777" w:rsidR="003A3296" w:rsidRPr="00EE7E8D" w:rsidRDefault="003A3296" w:rsidP="003A3296">
            <w:pPr>
              <w:spacing w:before="0" w:after="0"/>
              <w:rPr>
                <w:rFonts w:ascii="Arial" w:hAnsi="Arial"/>
                <w:b/>
                <w:bCs/>
                <w:sz w:val="16"/>
                <w:szCs w:val="16"/>
                <w:lang w:val="en-AU"/>
              </w:rPr>
            </w:pPr>
            <w:r w:rsidRPr="00EE7E8D">
              <w:rPr>
                <w:rFonts w:ascii="Arial" w:hAnsi="Arial"/>
                <w:b/>
                <w:bCs/>
                <w:sz w:val="16"/>
                <w:szCs w:val="16"/>
                <w:lang w:val="en-AU"/>
              </w:rPr>
              <w:t>Top 5 ICT Project Descriptions</w:t>
            </w:r>
          </w:p>
        </w:tc>
      </w:tr>
      <w:tr w:rsidR="004D619F" w:rsidRPr="00BE252D" w14:paraId="6CAF854C" w14:textId="77777777" w:rsidTr="00ED6B44">
        <w:trPr>
          <w:trHeight w:val="915"/>
        </w:trPr>
        <w:tc>
          <w:tcPr>
            <w:tcW w:w="1730" w:type="dxa"/>
            <w:tcBorders>
              <w:top w:val="nil"/>
              <w:left w:val="single" w:sz="4" w:space="0" w:color="auto"/>
              <w:bottom w:val="single" w:sz="4" w:space="0" w:color="auto"/>
              <w:right w:val="single" w:sz="4" w:space="0" w:color="auto"/>
            </w:tcBorders>
            <w:shd w:val="clear" w:color="auto" w:fill="auto"/>
            <w:vAlign w:val="center"/>
          </w:tcPr>
          <w:p w14:paraId="71DE47FF" w14:textId="77777777" w:rsidR="004D619F" w:rsidRPr="00BE252D" w:rsidRDefault="004D619F" w:rsidP="004D619F">
            <w:pPr>
              <w:spacing w:before="0" w:after="0"/>
              <w:rPr>
                <w:rFonts w:ascii="Arial" w:hAnsi="Arial"/>
                <w:sz w:val="16"/>
                <w:szCs w:val="16"/>
                <w:lang w:val="en-AU"/>
              </w:rPr>
            </w:pPr>
            <w:r w:rsidRPr="00BE252D">
              <w:rPr>
                <w:rFonts w:ascii="Arial" w:hAnsi="Arial"/>
                <w:sz w:val="16"/>
                <w:szCs w:val="16"/>
              </w:rPr>
              <w:t>Enterprise Resource Planning (ERP)</w:t>
            </w:r>
          </w:p>
        </w:tc>
        <w:tc>
          <w:tcPr>
            <w:tcW w:w="1134" w:type="dxa"/>
            <w:tcBorders>
              <w:top w:val="nil"/>
              <w:left w:val="nil"/>
              <w:bottom w:val="single" w:sz="4" w:space="0" w:color="auto"/>
              <w:right w:val="single" w:sz="4" w:space="0" w:color="auto"/>
            </w:tcBorders>
            <w:shd w:val="clear" w:color="auto" w:fill="auto"/>
            <w:vAlign w:val="center"/>
          </w:tcPr>
          <w:p w14:paraId="777D0415" w14:textId="77777777" w:rsidR="004D619F" w:rsidRPr="00BE252D" w:rsidRDefault="004D619F" w:rsidP="004D619F">
            <w:pPr>
              <w:jc w:val="center"/>
              <w:rPr>
                <w:rFonts w:ascii="Arial" w:hAnsi="Arial"/>
                <w:b/>
                <w:bCs/>
                <w:sz w:val="16"/>
                <w:szCs w:val="16"/>
              </w:rPr>
            </w:pPr>
            <w:r w:rsidRPr="00BE252D">
              <w:rPr>
                <w:rFonts w:ascii="Arial" w:hAnsi="Arial"/>
                <w:b/>
                <w:bCs/>
                <w:sz w:val="16"/>
                <w:szCs w:val="16"/>
              </w:rPr>
              <w:t>ICT 2283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212A2FA" w14:textId="77777777" w:rsidR="004D619F" w:rsidRPr="00BE252D" w:rsidRDefault="004D619F" w:rsidP="004D619F">
            <w:pPr>
              <w:spacing w:before="0" w:after="0"/>
              <w:jc w:val="right"/>
              <w:rPr>
                <w:rFonts w:ascii="Arial" w:hAnsi="Arial"/>
                <w:sz w:val="16"/>
                <w:szCs w:val="16"/>
                <w:lang w:val="en-AU"/>
              </w:rPr>
            </w:pPr>
            <w:r w:rsidRPr="00BE252D">
              <w:rPr>
                <w:rFonts w:ascii="Arial" w:hAnsi="Arial"/>
                <w:sz w:val="16"/>
                <w:szCs w:val="16"/>
                <w:lang w:val="en-AU"/>
              </w:rPr>
              <w:t>1,642</w:t>
            </w:r>
          </w:p>
        </w:tc>
        <w:tc>
          <w:tcPr>
            <w:tcW w:w="1276" w:type="dxa"/>
            <w:tcBorders>
              <w:top w:val="single" w:sz="4" w:space="0" w:color="auto"/>
              <w:left w:val="nil"/>
              <w:bottom w:val="single" w:sz="4" w:space="0" w:color="auto"/>
              <w:right w:val="single" w:sz="4" w:space="0" w:color="auto"/>
            </w:tcBorders>
            <w:shd w:val="clear" w:color="auto" w:fill="auto"/>
            <w:vAlign w:val="center"/>
          </w:tcPr>
          <w:p w14:paraId="70030258" w14:textId="0DC13FAA" w:rsidR="004D619F" w:rsidRPr="00BE252D" w:rsidRDefault="004D619F" w:rsidP="004D619F">
            <w:pPr>
              <w:jc w:val="right"/>
              <w:rPr>
                <w:rFonts w:ascii="Arial" w:hAnsi="Arial"/>
                <w:sz w:val="16"/>
                <w:szCs w:val="16"/>
              </w:rPr>
            </w:pPr>
            <w:r w:rsidRPr="00BE252D">
              <w:rPr>
                <w:rFonts w:ascii="Arial" w:hAnsi="Arial"/>
                <w:sz w:val="16"/>
                <w:szCs w:val="16"/>
              </w:rPr>
              <w:t>887</w:t>
            </w:r>
          </w:p>
        </w:tc>
        <w:tc>
          <w:tcPr>
            <w:tcW w:w="1276" w:type="dxa"/>
            <w:tcBorders>
              <w:top w:val="single" w:sz="4" w:space="0" w:color="auto"/>
              <w:left w:val="nil"/>
              <w:bottom w:val="single" w:sz="4" w:space="0" w:color="auto"/>
              <w:right w:val="single" w:sz="4" w:space="0" w:color="auto"/>
            </w:tcBorders>
            <w:shd w:val="clear" w:color="auto" w:fill="auto"/>
            <w:vAlign w:val="center"/>
          </w:tcPr>
          <w:p w14:paraId="3E7DECA5" w14:textId="1CCB54DE" w:rsidR="004D619F" w:rsidRPr="00BE252D" w:rsidRDefault="004D619F" w:rsidP="004D619F">
            <w:pPr>
              <w:jc w:val="right"/>
              <w:rPr>
                <w:rFonts w:ascii="Arial" w:hAnsi="Arial"/>
                <w:sz w:val="16"/>
                <w:szCs w:val="16"/>
              </w:rPr>
            </w:pPr>
            <w:r w:rsidRPr="00BE252D">
              <w:rPr>
                <w:rFonts w:ascii="Arial" w:hAnsi="Arial"/>
                <w:sz w:val="16"/>
                <w:szCs w:val="16"/>
              </w:rPr>
              <w:t>174</w:t>
            </w:r>
          </w:p>
        </w:tc>
        <w:tc>
          <w:tcPr>
            <w:tcW w:w="7170" w:type="dxa"/>
            <w:tcBorders>
              <w:top w:val="nil"/>
              <w:left w:val="nil"/>
              <w:bottom w:val="single" w:sz="4" w:space="0" w:color="auto"/>
              <w:right w:val="single" w:sz="4" w:space="0" w:color="auto"/>
            </w:tcBorders>
            <w:shd w:val="clear" w:color="auto" w:fill="auto"/>
          </w:tcPr>
          <w:p w14:paraId="441063BF" w14:textId="77777777" w:rsidR="00BE252D" w:rsidRPr="006824E6" w:rsidRDefault="00BE252D" w:rsidP="006824E6">
            <w:pPr>
              <w:keepNext/>
              <w:keepLines/>
              <w:spacing w:before="80" w:after="0"/>
              <w:rPr>
                <w:rFonts w:ascii="Arial" w:hAnsi="Arial"/>
                <w:sz w:val="16"/>
                <w:szCs w:val="16"/>
              </w:rPr>
            </w:pPr>
            <w:r w:rsidRPr="00BE252D">
              <w:rPr>
                <w:rFonts w:ascii="Arial" w:hAnsi="Arial"/>
                <w:sz w:val="16"/>
                <w:szCs w:val="16"/>
              </w:rPr>
              <w:t>The Project will modernise, integrate and transform Defence’s processes to manage its HR, finance, procurement, logistics, engineering and maintenance and estate functions.</w:t>
            </w:r>
          </w:p>
          <w:p w14:paraId="267B8BD1" w14:textId="43CF6EBA" w:rsidR="004D619F" w:rsidRPr="00BE252D" w:rsidRDefault="00BE252D" w:rsidP="006824E6">
            <w:pPr>
              <w:keepNext/>
              <w:keepLines/>
              <w:spacing w:before="80" w:after="0"/>
              <w:rPr>
                <w:rFonts w:ascii="Arial" w:hAnsi="Arial"/>
                <w:sz w:val="16"/>
                <w:szCs w:val="16"/>
              </w:rPr>
            </w:pPr>
            <w:r w:rsidRPr="00BE252D">
              <w:rPr>
                <w:rFonts w:ascii="Arial" w:hAnsi="Arial"/>
                <w:sz w:val="16"/>
                <w:szCs w:val="16"/>
              </w:rPr>
              <w:t>During 2025-26 and the Forward Estimates, key activities include process design, build and testing, data conversion and migration, and business preparations and transformation activities required to deliver Enterprise Resource Planning across Defence.</w:t>
            </w:r>
          </w:p>
        </w:tc>
      </w:tr>
      <w:tr w:rsidR="004D619F" w:rsidRPr="00BE252D" w14:paraId="7B7A16F4" w14:textId="77777777" w:rsidTr="00ED6B44">
        <w:trPr>
          <w:trHeight w:val="1668"/>
        </w:trPr>
        <w:tc>
          <w:tcPr>
            <w:tcW w:w="1730" w:type="dxa"/>
            <w:tcBorders>
              <w:top w:val="nil"/>
              <w:left w:val="single" w:sz="4" w:space="0" w:color="auto"/>
              <w:bottom w:val="single" w:sz="4" w:space="0" w:color="auto"/>
              <w:right w:val="single" w:sz="4" w:space="0" w:color="auto"/>
            </w:tcBorders>
            <w:shd w:val="clear" w:color="auto" w:fill="auto"/>
            <w:vAlign w:val="center"/>
          </w:tcPr>
          <w:p w14:paraId="2499B38A" w14:textId="6A93E903" w:rsidR="004D619F" w:rsidRPr="00BE252D" w:rsidRDefault="004D619F" w:rsidP="004D619F">
            <w:pPr>
              <w:rPr>
                <w:rFonts w:ascii="Arial" w:hAnsi="Arial"/>
                <w:sz w:val="16"/>
                <w:szCs w:val="16"/>
              </w:rPr>
            </w:pPr>
            <w:r w:rsidRPr="00BE252D">
              <w:rPr>
                <w:rFonts w:ascii="Arial" w:hAnsi="Arial"/>
                <w:sz w:val="16"/>
                <w:szCs w:val="16"/>
              </w:rPr>
              <w:t>Intelligence Surveillance and Reconnaissance Integration</w:t>
            </w:r>
          </w:p>
        </w:tc>
        <w:tc>
          <w:tcPr>
            <w:tcW w:w="1134" w:type="dxa"/>
            <w:tcBorders>
              <w:top w:val="nil"/>
              <w:left w:val="nil"/>
              <w:bottom w:val="single" w:sz="4" w:space="0" w:color="auto"/>
              <w:right w:val="single" w:sz="4" w:space="0" w:color="auto"/>
            </w:tcBorders>
            <w:shd w:val="clear" w:color="auto" w:fill="auto"/>
            <w:vAlign w:val="center"/>
          </w:tcPr>
          <w:p w14:paraId="37898395" w14:textId="21D2B95B" w:rsidR="004D619F" w:rsidRPr="00BE252D" w:rsidRDefault="004D619F" w:rsidP="004D619F">
            <w:pPr>
              <w:jc w:val="center"/>
              <w:rPr>
                <w:rFonts w:ascii="Arial" w:hAnsi="Arial"/>
                <w:b/>
                <w:bCs/>
                <w:sz w:val="16"/>
                <w:szCs w:val="16"/>
              </w:rPr>
            </w:pPr>
            <w:r w:rsidRPr="00BE252D">
              <w:rPr>
                <w:rFonts w:ascii="Arial" w:hAnsi="Arial"/>
                <w:b/>
                <w:bCs/>
                <w:sz w:val="16"/>
                <w:szCs w:val="16"/>
              </w:rPr>
              <w:t>JP 2096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189CBCA" w14:textId="09921DFD" w:rsidR="004D619F" w:rsidRPr="00BE252D" w:rsidRDefault="004D619F" w:rsidP="004D619F">
            <w:pPr>
              <w:spacing w:before="0" w:after="0"/>
              <w:jc w:val="right"/>
              <w:rPr>
                <w:rFonts w:ascii="Arial" w:hAnsi="Arial"/>
                <w:sz w:val="16"/>
                <w:szCs w:val="16"/>
                <w:lang w:val="en-AU"/>
              </w:rPr>
            </w:pPr>
            <w:r w:rsidRPr="00BE252D">
              <w:rPr>
                <w:rFonts w:ascii="Arial" w:hAnsi="Arial"/>
                <w:sz w:val="16"/>
                <w:szCs w:val="16"/>
                <w:lang w:val="en-AU"/>
              </w:rPr>
              <w:t>188</w:t>
            </w:r>
          </w:p>
        </w:tc>
        <w:tc>
          <w:tcPr>
            <w:tcW w:w="1276" w:type="dxa"/>
            <w:tcBorders>
              <w:top w:val="single" w:sz="4" w:space="0" w:color="auto"/>
              <w:left w:val="nil"/>
              <w:bottom w:val="single" w:sz="4" w:space="0" w:color="auto"/>
              <w:right w:val="single" w:sz="4" w:space="0" w:color="auto"/>
            </w:tcBorders>
            <w:shd w:val="clear" w:color="auto" w:fill="auto"/>
            <w:vAlign w:val="center"/>
          </w:tcPr>
          <w:p w14:paraId="0E5BC400" w14:textId="086C98EE" w:rsidR="004D619F" w:rsidRPr="00BE252D" w:rsidRDefault="004D619F" w:rsidP="004D619F">
            <w:pPr>
              <w:jc w:val="right"/>
              <w:rPr>
                <w:rFonts w:ascii="Arial" w:hAnsi="Arial"/>
                <w:sz w:val="16"/>
                <w:szCs w:val="16"/>
              </w:rPr>
            </w:pPr>
            <w:r w:rsidRPr="00BE252D">
              <w:rPr>
                <w:rFonts w:ascii="Arial" w:hAnsi="Arial"/>
                <w:sz w:val="16"/>
                <w:szCs w:val="16"/>
              </w:rPr>
              <w:t>130</w:t>
            </w:r>
          </w:p>
        </w:tc>
        <w:tc>
          <w:tcPr>
            <w:tcW w:w="1276" w:type="dxa"/>
            <w:tcBorders>
              <w:top w:val="single" w:sz="4" w:space="0" w:color="auto"/>
              <w:left w:val="nil"/>
              <w:bottom w:val="single" w:sz="4" w:space="0" w:color="auto"/>
              <w:right w:val="single" w:sz="4" w:space="0" w:color="auto"/>
            </w:tcBorders>
            <w:shd w:val="clear" w:color="auto" w:fill="auto"/>
            <w:vAlign w:val="center"/>
          </w:tcPr>
          <w:p w14:paraId="717AEFA4" w14:textId="5BDAE08C" w:rsidR="004D619F" w:rsidRPr="00BE252D" w:rsidRDefault="004D619F" w:rsidP="004D619F">
            <w:pPr>
              <w:jc w:val="right"/>
              <w:rPr>
                <w:rFonts w:ascii="Arial" w:hAnsi="Arial"/>
                <w:sz w:val="16"/>
                <w:szCs w:val="16"/>
              </w:rPr>
            </w:pPr>
            <w:r w:rsidRPr="00BE252D">
              <w:rPr>
                <w:rFonts w:ascii="Arial" w:hAnsi="Arial"/>
                <w:sz w:val="16"/>
                <w:szCs w:val="16"/>
              </w:rPr>
              <w:t>26</w:t>
            </w:r>
          </w:p>
        </w:tc>
        <w:tc>
          <w:tcPr>
            <w:tcW w:w="7170" w:type="dxa"/>
            <w:tcBorders>
              <w:top w:val="nil"/>
              <w:left w:val="nil"/>
              <w:bottom w:val="single" w:sz="4" w:space="0" w:color="auto"/>
              <w:right w:val="single" w:sz="4" w:space="0" w:color="auto"/>
            </w:tcBorders>
            <w:shd w:val="clear" w:color="auto" w:fill="auto"/>
          </w:tcPr>
          <w:p w14:paraId="7B1EC260" w14:textId="77777777" w:rsidR="00BE252D" w:rsidRPr="006824E6" w:rsidRDefault="00BE252D" w:rsidP="006824E6">
            <w:pPr>
              <w:keepNext/>
              <w:keepLines/>
              <w:spacing w:before="80" w:after="0"/>
              <w:rPr>
                <w:rFonts w:ascii="Arial" w:hAnsi="Arial"/>
                <w:sz w:val="16"/>
                <w:szCs w:val="16"/>
              </w:rPr>
            </w:pPr>
            <w:r w:rsidRPr="00BE252D">
              <w:rPr>
                <w:rFonts w:ascii="Arial" w:hAnsi="Arial"/>
                <w:sz w:val="16"/>
                <w:szCs w:val="16"/>
              </w:rPr>
              <w:t>The Project is delivering a Mission System known as ‘Wagardi’, which will provide a capability for intelligence analysts and planners to rapidly search and discover Intelligence, Surveillance and Reconnaissance (ISR) data, enabling the timely provision of intelligence support to Australian Defence Force (ADF) commanders and war fighters. In June 2022, Tranche 1 of the JP2096 project delivered the Wagardi Mission System on the Defence fixed environment.</w:t>
            </w:r>
          </w:p>
          <w:p w14:paraId="363A73D2" w14:textId="6613E791" w:rsidR="004D619F" w:rsidRPr="00BE252D" w:rsidRDefault="00BE252D" w:rsidP="006824E6">
            <w:pPr>
              <w:keepNext/>
              <w:keepLines/>
              <w:tabs>
                <w:tab w:val="left" w:pos="438"/>
              </w:tabs>
              <w:spacing w:before="80" w:after="0"/>
              <w:rPr>
                <w:rFonts w:ascii="Arial" w:hAnsi="Arial"/>
                <w:sz w:val="16"/>
                <w:szCs w:val="16"/>
              </w:rPr>
            </w:pPr>
            <w:r w:rsidRPr="00BE252D">
              <w:rPr>
                <w:rFonts w:ascii="Arial" w:hAnsi="Arial"/>
                <w:sz w:val="16"/>
                <w:szCs w:val="16"/>
              </w:rPr>
              <w:t>The major achievement scheduled for 2025-2026 is the delivery of the next iteration of the Wagardi Mission System to users operating in a deployed environment. The project will also make available more mission critical ISR data required by the Wagardi user community.</w:t>
            </w:r>
          </w:p>
        </w:tc>
      </w:tr>
      <w:tr w:rsidR="00670FDB" w:rsidRPr="00BE252D" w14:paraId="0F102233" w14:textId="77777777" w:rsidTr="00ED6B44">
        <w:trPr>
          <w:trHeight w:val="1266"/>
        </w:trPr>
        <w:tc>
          <w:tcPr>
            <w:tcW w:w="1730" w:type="dxa"/>
            <w:tcBorders>
              <w:top w:val="nil"/>
              <w:left w:val="single" w:sz="4" w:space="0" w:color="auto"/>
              <w:bottom w:val="single" w:sz="4" w:space="0" w:color="auto"/>
              <w:right w:val="single" w:sz="4" w:space="0" w:color="auto"/>
            </w:tcBorders>
            <w:shd w:val="clear" w:color="auto" w:fill="auto"/>
            <w:vAlign w:val="center"/>
          </w:tcPr>
          <w:p w14:paraId="15CF7C6A" w14:textId="77777777" w:rsidR="00670FDB" w:rsidRPr="00BE252D" w:rsidRDefault="00670FDB" w:rsidP="00670FDB">
            <w:pPr>
              <w:rPr>
                <w:rFonts w:ascii="Arial" w:hAnsi="Arial"/>
                <w:sz w:val="16"/>
                <w:szCs w:val="16"/>
              </w:rPr>
            </w:pPr>
            <w:r w:rsidRPr="00BE252D">
              <w:rPr>
                <w:rFonts w:ascii="Arial" w:hAnsi="Arial"/>
                <w:sz w:val="16"/>
                <w:szCs w:val="16"/>
              </w:rPr>
              <w:t>Health Knowledge Management</w:t>
            </w:r>
          </w:p>
        </w:tc>
        <w:tc>
          <w:tcPr>
            <w:tcW w:w="1134" w:type="dxa"/>
            <w:tcBorders>
              <w:top w:val="nil"/>
              <w:left w:val="nil"/>
              <w:bottom w:val="single" w:sz="4" w:space="0" w:color="auto"/>
              <w:right w:val="single" w:sz="4" w:space="0" w:color="auto"/>
            </w:tcBorders>
            <w:shd w:val="clear" w:color="auto" w:fill="auto"/>
            <w:vAlign w:val="center"/>
          </w:tcPr>
          <w:p w14:paraId="53E4A607" w14:textId="77777777" w:rsidR="00670FDB" w:rsidRPr="00BE252D" w:rsidRDefault="00670FDB" w:rsidP="00670FDB">
            <w:pPr>
              <w:jc w:val="center"/>
              <w:rPr>
                <w:rFonts w:ascii="Arial" w:hAnsi="Arial"/>
                <w:b/>
                <w:bCs/>
                <w:sz w:val="16"/>
                <w:szCs w:val="16"/>
              </w:rPr>
            </w:pPr>
            <w:r w:rsidRPr="00BE252D">
              <w:rPr>
                <w:rFonts w:ascii="Arial" w:hAnsi="Arial"/>
                <w:b/>
                <w:bCs/>
                <w:sz w:val="16"/>
                <w:szCs w:val="16"/>
              </w:rPr>
              <w:t>JP 2060 Phase 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5C24B3D" w14:textId="77777777" w:rsidR="00670FDB" w:rsidRPr="00BE252D" w:rsidRDefault="00670FDB" w:rsidP="00670FDB">
            <w:pPr>
              <w:spacing w:before="0" w:after="0"/>
              <w:jc w:val="right"/>
              <w:rPr>
                <w:rFonts w:ascii="Arial" w:hAnsi="Arial"/>
                <w:sz w:val="16"/>
                <w:szCs w:val="16"/>
              </w:rPr>
            </w:pPr>
            <w:r w:rsidRPr="00BE252D">
              <w:rPr>
                <w:rFonts w:ascii="Arial" w:hAnsi="Arial"/>
                <w:sz w:val="16"/>
                <w:szCs w:val="16"/>
              </w:rPr>
              <w:t>380</w:t>
            </w:r>
          </w:p>
        </w:tc>
        <w:tc>
          <w:tcPr>
            <w:tcW w:w="1276" w:type="dxa"/>
            <w:tcBorders>
              <w:top w:val="single" w:sz="4" w:space="0" w:color="auto"/>
              <w:left w:val="nil"/>
              <w:bottom w:val="single" w:sz="4" w:space="0" w:color="auto"/>
              <w:right w:val="single" w:sz="4" w:space="0" w:color="auto"/>
            </w:tcBorders>
            <w:shd w:val="clear" w:color="auto" w:fill="auto"/>
            <w:vAlign w:val="center"/>
          </w:tcPr>
          <w:p w14:paraId="09CD1DD5" w14:textId="11D1A265" w:rsidR="00670FDB" w:rsidRPr="00BE252D" w:rsidRDefault="004D619F" w:rsidP="00670FDB">
            <w:pPr>
              <w:jc w:val="right"/>
              <w:rPr>
                <w:rFonts w:ascii="Arial" w:hAnsi="Arial"/>
                <w:sz w:val="16"/>
                <w:szCs w:val="16"/>
              </w:rPr>
            </w:pPr>
            <w:r w:rsidRPr="00BE252D">
              <w:rPr>
                <w:rFonts w:ascii="Arial" w:hAnsi="Arial"/>
                <w:sz w:val="16"/>
                <w:szCs w:val="16"/>
              </w:rPr>
              <w:t>315</w:t>
            </w:r>
          </w:p>
        </w:tc>
        <w:tc>
          <w:tcPr>
            <w:tcW w:w="1276" w:type="dxa"/>
            <w:tcBorders>
              <w:top w:val="single" w:sz="4" w:space="0" w:color="auto"/>
              <w:left w:val="nil"/>
              <w:bottom w:val="single" w:sz="4" w:space="0" w:color="auto"/>
              <w:right w:val="single" w:sz="4" w:space="0" w:color="auto"/>
            </w:tcBorders>
            <w:shd w:val="clear" w:color="auto" w:fill="auto"/>
            <w:vAlign w:val="center"/>
          </w:tcPr>
          <w:p w14:paraId="1CFE3079" w14:textId="028AFFCB" w:rsidR="00670FDB" w:rsidRPr="00BE252D" w:rsidRDefault="004D619F" w:rsidP="00670FDB">
            <w:pPr>
              <w:jc w:val="right"/>
              <w:rPr>
                <w:rFonts w:ascii="Arial" w:hAnsi="Arial"/>
                <w:sz w:val="16"/>
                <w:szCs w:val="16"/>
              </w:rPr>
            </w:pPr>
            <w:r w:rsidRPr="00BE252D">
              <w:rPr>
                <w:rFonts w:ascii="Arial" w:hAnsi="Arial"/>
                <w:sz w:val="16"/>
                <w:szCs w:val="16"/>
              </w:rPr>
              <w:t>24</w:t>
            </w:r>
          </w:p>
        </w:tc>
        <w:tc>
          <w:tcPr>
            <w:tcW w:w="7170" w:type="dxa"/>
            <w:tcBorders>
              <w:top w:val="nil"/>
              <w:left w:val="nil"/>
              <w:bottom w:val="single" w:sz="4" w:space="0" w:color="auto"/>
              <w:right w:val="single" w:sz="4" w:space="0" w:color="auto"/>
            </w:tcBorders>
            <w:shd w:val="clear" w:color="auto" w:fill="auto"/>
          </w:tcPr>
          <w:p w14:paraId="510CC239" w14:textId="0F9081C3" w:rsidR="00BE252D" w:rsidRPr="00BE252D" w:rsidRDefault="00BE252D" w:rsidP="006824E6">
            <w:pPr>
              <w:keepNext/>
              <w:keepLines/>
              <w:spacing w:before="80" w:after="0"/>
              <w:rPr>
                <w:rFonts w:ascii="Arial" w:hAnsi="Arial"/>
                <w:sz w:val="16"/>
                <w:szCs w:val="16"/>
              </w:rPr>
            </w:pPr>
            <w:r w:rsidRPr="00BE252D">
              <w:rPr>
                <w:rFonts w:ascii="Arial" w:hAnsi="Arial"/>
                <w:sz w:val="16"/>
                <w:szCs w:val="16"/>
              </w:rPr>
              <w:t>The Project will replace the ADF’s legacy electronic health record product (DeHS) with a modern, patient-centric health solution. The new Health Knowledge Management (HKM) System will replace Defence’s Electronic Health System in Garrison and on board, and will offer a new e</w:t>
            </w:r>
            <w:r w:rsidR="008F0E1D">
              <w:rPr>
                <w:rFonts w:ascii="Arial" w:hAnsi="Arial"/>
                <w:sz w:val="16"/>
                <w:szCs w:val="16"/>
              </w:rPr>
              <w:noBreakHyphen/>
            </w:r>
            <w:r w:rsidRPr="00BE252D">
              <w:rPr>
                <w:rFonts w:ascii="Arial" w:hAnsi="Arial"/>
                <w:sz w:val="16"/>
                <w:szCs w:val="16"/>
              </w:rPr>
              <w:t>Health System for the deployed environments. The new HKM System will record, store, aggregate and allow analysis via One Defence Data Capability of de-identified health data and information for the ADF population, unifying multidisciplinary primary and occupational care with emergency and hospital care, to enable better clinical decision-making. HKM will provide a longitudinal health record that will span the individual’s entire career and provide the ability to integrate into other government systems and programs, including the Department of Veteran’s Affairs, ComSuper and My Health Record.</w:t>
            </w:r>
          </w:p>
          <w:p w14:paraId="49D51840" w14:textId="6CC95DD6" w:rsidR="00670FDB" w:rsidRPr="00BE252D" w:rsidRDefault="00BE252D" w:rsidP="006824E6">
            <w:pPr>
              <w:keepNext/>
              <w:keepLines/>
              <w:tabs>
                <w:tab w:val="left" w:pos="1565"/>
              </w:tabs>
              <w:spacing w:before="80" w:after="0"/>
              <w:rPr>
                <w:rFonts w:ascii="Arial" w:hAnsi="Arial"/>
                <w:sz w:val="16"/>
                <w:szCs w:val="16"/>
              </w:rPr>
            </w:pPr>
            <w:r w:rsidRPr="00BE252D">
              <w:rPr>
                <w:rFonts w:ascii="Arial" w:hAnsi="Arial"/>
                <w:sz w:val="16"/>
                <w:szCs w:val="16"/>
              </w:rPr>
              <w:t>During 2025-26, Defence will continue transformation of the ADF’s Deployable Health Capability. This will include delivery of clinical and operational medical training for ADF personnel, and the delivery of a new patient centric e-Health system for Garrison and deployed environments.</w:t>
            </w:r>
          </w:p>
        </w:tc>
      </w:tr>
      <w:tr w:rsidR="00D7766D" w:rsidRPr="00BE252D" w14:paraId="11B5BCFF" w14:textId="77777777" w:rsidTr="004D619F">
        <w:trPr>
          <w:trHeight w:val="340"/>
        </w:trPr>
        <w:tc>
          <w:tcPr>
            <w:tcW w:w="13720" w:type="dxa"/>
            <w:gridSpan w:val="6"/>
            <w:tcBorders>
              <w:bottom w:val="single" w:sz="4" w:space="0" w:color="auto"/>
            </w:tcBorders>
            <w:shd w:val="clear" w:color="auto" w:fill="auto"/>
          </w:tcPr>
          <w:p w14:paraId="78FCB4EC" w14:textId="77777777" w:rsidR="00D7766D" w:rsidRPr="00A65ED4" w:rsidRDefault="00363703" w:rsidP="004B232A">
            <w:pPr>
              <w:spacing w:before="0" w:after="0"/>
              <w:rPr>
                <w:rFonts w:ascii="Arial" w:hAnsi="Arial"/>
                <w:b/>
                <w:bCs/>
                <w:szCs w:val="20"/>
                <w:lang w:val="en-AU"/>
              </w:rPr>
            </w:pPr>
            <w:r w:rsidRPr="00A65ED4">
              <w:rPr>
                <w:rFonts w:ascii="Arial" w:hAnsi="Arial"/>
                <w:b/>
                <w:bCs/>
                <w:szCs w:val="20"/>
                <w:lang w:val="en-AU"/>
              </w:rPr>
              <w:lastRenderedPageBreak/>
              <w:t xml:space="preserve">Table </w:t>
            </w:r>
            <w:r w:rsidR="00785AB7" w:rsidRPr="00A65ED4">
              <w:rPr>
                <w:rFonts w:ascii="Arial" w:hAnsi="Arial"/>
                <w:b/>
                <w:bCs/>
                <w:szCs w:val="20"/>
                <w:lang w:val="en-AU"/>
              </w:rPr>
              <w:t>59</w:t>
            </w:r>
            <w:r w:rsidR="00D7766D" w:rsidRPr="00A65ED4">
              <w:rPr>
                <w:rFonts w:ascii="Arial" w:hAnsi="Arial"/>
                <w:b/>
                <w:bCs/>
                <w:szCs w:val="20"/>
                <w:lang w:val="en-AU"/>
              </w:rPr>
              <w:t>: Top 5 ICT Approved Projects by 202</w:t>
            </w:r>
            <w:r w:rsidR="004B232A" w:rsidRPr="00A65ED4">
              <w:rPr>
                <w:rFonts w:ascii="Arial" w:hAnsi="Arial"/>
                <w:b/>
                <w:bCs/>
                <w:szCs w:val="20"/>
                <w:lang w:val="en-AU"/>
              </w:rPr>
              <w:t>5</w:t>
            </w:r>
            <w:r w:rsidR="00752F38" w:rsidRPr="00A65ED4">
              <w:rPr>
                <w:rFonts w:ascii="Arial" w:hAnsi="Arial"/>
                <w:b/>
                <w:bCs/>
                <w:szCs w:val="20"/>
                <w:lang w:val="en-AU"/>
              </w:rPr>
              <w:t>-2</w:t>
            </w:r>
            <w:r w:rsidR="004B232A" w:rsidRPr="00A65ED4">
              <w:rPr>
                <w:rFonts w:ascii="Arial" w:hAnsi="Arial"/>
                <w:b/>
                <w:bCs/>
                <w:szCs w:val="20"/>
                <w:lang w:val="en-AU"/>
              </w:rPr>
              <w:t>6</w:t>
            </w:r>
            <w:r w:rsidR="00D7766D" w:rsidRPr="00A65ED4">
              <w:rPr>
                <w:rFonts w:ascii="Arial" w:hAnsi="Arial"/>
                <w:b/>
                <w:bCs/>
                <w:szCs w:val="20"/>
                <w:lang w:val="en-AU"/>
              </w:rPr>
              <w:t xml:space="preserve"> Forecast Expenditure (Gross Plan) </w:t>
            </w:r>
            <w:r w:rsidRPr="00A65ED4">
              <w:rPr>
                <w:rFonts w:ascii="Arial" w:hAnsi="Arial"/>
                <w:b/>
                <w:bCs/>
                <w:szCs w:val="20"/>
                <w:lang w:val="en-AU"/>
              </w:rPr>
              <w:t>(Continued)</w:t>
            </w:r>
            <w:r w:rsidR="00BF3DBD" w:rsidRPr="00A65ED4">
              <w:rPr>
                <w:rFonts w:ascii="Arial" w:hAnsi="Arial"/>
                <w:b/>
                <w:bCs/>
                <w:szCs w:val="20"/>
                <w:lang w:val="en-AU"/>
              </w:rPr>
              <w:t xml:space="preserve"> </w:t>
            </w:r>
            <w:r w:rsidR="00D7766D" w:rsidRPr="00A65ED4">
              <w:rPr>
                <w:rFonts w:ascii="Arial" w:hAnsi="Arial"/>
                <w:b/>
                <w:bCs/>
                <w:szCs w:val="20"/>
                <w:vertAlign w:val="superscript"/>
                <w:lang w:val="en-AU"/>
              </w:rPr>
              <w:t>[a]</w:t>
            </w:r>
          </w:p>
        </w:tc>
      </w:tr>
      <w:tr w:rsidR="00D7766D" w:rsidRPr="00BE252D" w14:paraId="620F2CD9" w14:textId="77777777" w:rsidTr="00ED6B44">
        <w:trPr>
          <w:trHeight w:val="340"/>
        </w:trPr>
        <w:tc>
          <w:tcPr>
            <w:tcW w:w="1730" w:type="dxa"/>
            <w:tcBorders>
              <w:top w:val="single" w:sz="4" w:space="0" w:color="auto"/>
              <w:left w:val="single" w:sz="4" w:space="0" w:color="auto"/>
              <w:bottom w:val="single" w:sz="4" w:space="0" w:color="auto"/>
              <w:right w:val="single" w:sz="4" w:space="0" w:color="auto"/>
            </w:tcBorders>
            <w:shd w:val="clear" w:color="auto" w:fill="auto"/>
          </w:tcPr>
          <w:p w14:paraId="04202E79" w14:textId="77777777" w:rsidR="00D7766D" w:rsidRPr="00BE252D" w:rsidRDefault="00D7766D" w:rsidP="00D7766D">
            <w:pPr>
              <w:spacing w:before="0" w:after="0"/>
              <w:rPr>
                <w:rFonts w:ascii="Arial" w:hAnsi="Arial"/>
                <w:b/>
                <w:bCs/>
                <w:sz w:val="16"/>
                <w:szCs w:val="16"/>
                <w:lang w:val="en-AU"/>
              </w:rPr>
            </w:pPr>
            <w:r w:rsidRPr="00BE252D">
              <w:rPr>
                <w:rFonts w:ascii="Arial" w:hAnsi="Arial"/>
                <w:b/>
                <w:bCs/>
                <w:sz w:val="16"/>
                <w:szCs w:val="16"/>
                <w:lang w:val="en-AU"/>
              </w:rPr>
              <w:t>Project Name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1A39566" w14:textId="77777777" w:rsidR="00D7766D" w:rsidRPr="00BE252D" w:rsidRDefault="00D7766D" w:rsidP="00D7766D">
            <w:pPr>
              <w:spacing w:before="0" w:after="0"/>
              <w:ind w:left="-57" w:right="-57"/>
              <w:jc w:val="center"/>
              <w:rPr>
                <w:rFonts w:ascii="Arial" w:hAnsi="Arial"/>
                <w:b/>
                <w:bCs/>
                <w:sz w:val="16"/>
                <w:szCs w:val="16"/>
                <w:lang w:val="en-AU"/>
              </w:rPr>
            </w:pPr>
            <w:r w:rsidRPr="00BE252D">
              <w:rPr>
                <w:rFonts w:ascii="Arial" w:hAnsi="Arial"/>
                <w:b/>
                <w:bCs/>
                <w:sz w:val="16"/>
                <w:szCs w:val="16"/>
                <w:lang w:val="en-AU"/>
              </w:rPr>
              <w:t>Project Number/</w:t>
            </w:r>
            <w:r w:rsidRPr="00BE252D">
              <w:rPr>
                <w:rFonts w:ascii="Arial" w:hAnsi="Arial"/>
                <w:b/>
                <w:bCs/>
                <w:sz w:val="16"/>
                <w:szCs w:val="16"/>
                <w:lang w:val="en-AU"/>
              </w:rPr>
              <w:br/>
              <w:t>Phase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BA741CB" w14:textId="77777777" w:rsidR="00D7766D" w:rsidRPr="00BE252D" w:rsidRDefault="00D7766D" w:rsidP="00D7766D">
            <w:pPr>
              <w:spacing w:before="0" w:after="0"/>
              <w:ind w:left="-57" w:right="-57"/>
              <w:jc w:val="right"/>
              <w:rPr>
                <w:rFonts w:ascii="Arial" w:hAnsi="Arial"/>
                <w:b/>
                <w:bCs/>
                <w:sz w:val="16"/>
                <w:szCs w:val="16"/>
                <w:lang w:val="en-AU"/>
              </w:rPr>
            </w:pPr>
            <w:r w:rsidRPr="00BE252D">
              <w:rPr>
                <w:rFonts w:ascii="Arial" w:hAnsi="Arial"/>
                <w:b/>
                <w:bCs/>
                <w:sz w:val="16"/>
                <w:szCs w:val="16"/>
                <w:lang w:val="en-AU"/>
              </w:rPr>
              <w:t>Approved</w:t>
            </w:r>
          </w:p>
          <w:p w14:paraId="3A93FD7C" w14:textId="77777777" w:rsidR="00D7766D" w:rsidRPr="00BE252D" w:rsidRDefault="00D7766D" w:rsidP="00D7766D">
            <w:pPr>
              <w:spacing w:before="0" w:after="0"/>
              <w:ind w:left="-57" w:right="-57"/>
              <w:jc w:val="right"/>
              <w:rPr>
                <w:rFonts w:ascii="Arial" w:hAnsi="Arial"/>
                <w:b/>
                <w:bCs/>
                <w:sz w:val="16"/>
                <w:szCs w:val="16"/>
                <w:lang w:val="en-AU"/>
              </w:rPr>
            </w:pPr>
            <w:r w:rsidRPr="00BE252D">
              <w:rPr>
                <w:rFonts w:ascii="Arial" w:hAnsi="Arial"/>
                <w:b/>
                <w:bCs/>
                <w:sz w:val="16"/>
                <w:szCs w:val="16"/>
                <w:lang w:val="en-AU"/>
              </w:rPr>
              <w:t>Project</w:t>
            </w:r>
          </w:p>
          <w:p w14:paraId="5A7057BC" w14:textId="6A13DAE1" w:rsidR="00D7766D" w:rsidRDefault="00D7766D" w:rsidP="00D7766D">
            <w:pPr>
              <w:spacing w:before="0" w:after="0"/>
              <w:ind w:left="-57" w:right="-57"/>
              <w:jc w:val="right"/>
              <w:rPr>
                <w:rFonts w:ascii="Arial" w:hAnsi="Arial"/>
                <w:b/>
                <w:bCs/>
                <w:sz w:val="16"/>
                <w:szCs w:val="16"/>
                <w:lang w:val="en-AU"/>
              </w:rPr>
            </w:pPr>
            <w:r w:rsidRPr="00BE252D">
              <w:rPr>
                <w:rFonts w:ascii="Arial" w:hAnsi="Arial"/>
                <w:b/>
                <w:bCs/>
                <w:sz w:val="16"/>
                <w:szCs w:val="16"/>
                <w:lang w:val="en-AU"/>
              </w:rPr>
              <w:t>Expenditure</w:t>
            </w:r>
          </w:p>
          <w:p w14:paraId="16C0E9F2" w14:textId="4C697E79" w:rsidR="00E829DB" w:rsidRDefault="00E829DB" w:rsidP="00D7766D">
            <w:pPr>
              <w:spacing w:before="0" w:after="0"/>
              <w:ind w:left="-57" w:right="-57"/>
              <w:jc w:val="right"/>
              <w:rPr>
                <w:rFonts w:ascii="Arial" w:hAnsi="Arial"/>
                <w:b/>
                <w:bCs/>
                <w:sz w:val="16"/>
                <w:szCs w:val="16"/>
                <w:lang w:val="en-AU"/>
              </w:rPr>
            </w:pPr>
          </w:p>
          <w:p w14:paraId="0625C9E4" w14:textId="77777777" w:rsidR="00E829DB" w:rsidRPr="00BE252D" w:rsidRDefault="00E829DB" w:rsidP="00D7766D">
            <w:pPr>
              <w:spacing w:before="0" w:after="0"/>
              <w:ind w:left="-57" w:right="-57"/>
              <w:jc w:val="right"/>
              <w:rPr>
                <w:rFonts w:ascii="Arial" w:hAnsi="Arial"/>
                <w:b/>
                <w:bCs/>
                <w:sz w:val="16"/>
                <w:szCs w:val="16"/>
                <w:lang w:val="en-AU"/>
              </w:rPr>
            </w:pPr>
          </w:p>
          <w:p w14:paraId="22E2B166" w14:textId="77777777" w:rsidR="00D7766D" w:rsidRPr="00BE252D" w:rsidRDefault="00D7766D" w:rsidP="00D7766D">
            <w:pPr>
              <w:spacing w:before="0" w:after="0"/>
              <w:ind w:left="-57" w:right="-57"/>
              <w:jc w:val="right"/>
              <w:rPr>
                <w:rFonts w:ascii="Arial" w:hAnsi="Arial"/>
                <w:b/>
                <w:bCs/>
                <w:sz w:val="16"/>
                <w:szCs w:val="16"/>
                <w:lang w:val="en-AU"/>
              </w:rPr>
            </w:pPr>
            <w:r w:rsidRPr="00BE252D">
              <w:rPr>
                <w:rFonts w:ascii="Arial" w:hAnsi="Arial"/>
                <w:b/>
                <w:bCs/>
                <w:sz w:val="16"/>
                <w:szCs w:val="16"/>
                <w:lang w:val="en-AU"/>
              </w:rPr>
              <w:t>$m</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C9B1557" w14:textId="77777777" w:rsidR="00E829DB" w:rsidRDefault="00F1623E" w:rsidP="00D7766D">
            <w:pPr>
              <w:spacing w:before="0" w:after="0"/>
              <w:ind w:left="-57" w:right="-57"/>
              <w:jc w:val="right"/>
              <w:rPr>
                <w:rFonts w:ascii="Arial" w:hAnsi="Arial"/>
                <w:b/>
                <w:bCs/>
                <w:sz w:val="16"/>
                <w:szCs w:val="16"/>
                <w:lang w:val="en-AU"/>
              </w:rPr>
            </w:pPr>
            <w:r w:rsidRPr="00BE252D">
              <w:rPr>
                <w:rFonts w:ascii="Arial" w:hAnsi="Arial"/>
                <w:b/>
                <w:bCs/>
                <w:sz w:val="16"/>
                <w:szCs w:val="16"/>
                <w:lang w:val="en-AU"/>
              </w:rPr>
              <w:t>Estimated</w:t>
            </w:r>
          </w:p>
          <w:p w14:paraId="6DBC5152" w14:textId="639BD72F" w:rsidR="00D7766D" w:rsidRPr="00BE252D" w:rsidRDefault="00D7766D" w:rsidP="00D7766D">
            <w:pPr>
              <w:spacing w:before="0" w:after="0"/>
              <w:ind w:left="-57" w:right="-57"/>
              <w:jc w:val="right"/>
              <w:rPr>
                <w:rFonts w:ascii="Arial" w:hAnsi="Arial"/>
                <w:b/>
                <w:bCs/>
                <w:sz w:val="16"/>
                <w:szCs w:val="16"/>
                <w:lang w:val="en-AU"/>
              </w:rPr>
            </w:pPr>
            <w:r w:rsidRPr="00BE252D">
              <w:rPr>
                <w:rFonts w:ascii="Arial" w:hAnsi="Arial"/>
                <w:b/>
                <w:bCs/>
                <w:sz w:val="16"/>
                <w:szCs w:val="16"/>
                <w:lang w:val="en-AU"/>
              </w:rPr>
              <w:t>Cumulative</w:t>
            </w:r>
          </w:p>
          <w:p w14:paraId="51618E75" w14:textId="44CB9FEA" w:rsidR="00E829DB" w:rsidRDefault="00D7766D" w:rsidP="00D7766D">
            <w:pPr>
              <w:spacing w:before="0" w:after="0"/>
              <w:ind w:left="-57" w:right="-57"/>
              <w:jc w:val="right"/>
              <w:rPr>
                <w:rFonts w:ascii="Arial" w:hAnsi="Arial"/>
                <w:b/>
                <w:bCs/>
                <w:sz w:val="16"/>
                <w:szCs w:val="16"/>
                <w:lang w:val="en-AU"/>
              </w:rPr>
            </w:pPr>
            <w:r w:rsidRPr="00BE252D">
              <w:rPr>
                <w:rFonts w:ascii="Arial" w:hAnsi="Arial"/>
                <w:b/>
                <w:bCs/>
                <w:sz w:val="16"/>
                <w:szCs w:val="16"/>
                <w:lang w:val="en-AU"/>
              </w:rPr>
              <w:t>Expenditure</w:t>
            </w:r>
            <w:r w:rsidR="00E829DB">
              <w:rPr>
                <w:rFonts w:ascii="Arial" w:hAnsi="Arial"/>
                <w:b/>
                <w:bCs/>
                <w:sz w:val="16"/>
                <w:szCs w:val="16"/>
                <w:lang w:val="en-AU"/>
              </w:rPr>
              <w:t xml:space="preserve"> </w:t>
            </w:r>
            <w:r w:rsidRPr="00BE252D">
              <w:rPr>
                <w:rFonts w:ascii="Arial" w:hAnsi="Arial"/>
                <w:b/>
                <w:bCs/>
                <w:sz w:val="16"/>
                <w:szCs w:val="16"/>
                <w:lang w:val="en-AU"/>
              </w:rPr>
              <w:t>to</w:t>
            </w:r>
          </w:p>
          <w:p w14:paraId="666B4029" w14:textId="7F535D5C" w:rsidR="00D7766D" w:rsidRDefault="00D7766D" w:rsidP="00D7766D">
            <w:pPr>
              <w:spacing w:before="0" w:after="0"/>
              <w:ind w:left="-57" w:right="-57"/>
              <w:jc w:val="right"/>
              <w:rPr>
                <w:rFonts w:ascii="Arial" w:hAnsi="Arial"/>
                <w:b/>
                <w:bCs/>
                <w:sz w:val="16"/>
                <w:szCs w:val="16"/>
                <w:lang w:val="en-AU"/>
              </w:rPr>
            </w:pPr>
            <w:r w:rsidRPr="00BE252D">
              <w:rPr>
                <w:rFonts w:ascii="Arial" w:hAnsi="Arial"/>
                <w:b/>
                <w:bCs/>
                <w:sz w:val="16"/>
                <w:szCs w:val="16"/>
                <w:lang w:val="en-AU"/>
              </w:rPr>
              <w:t xml:space="preserve"> 30 June</w:t>
            </w:r>
            <w:r w:rsidR="00E829DB">
              <w:rPr>
                <w:rFonts w:ascii="Arial" w:hAnsi="Arial"/>
                <w:b/>
                <w:bCs/>
                <w:sz w:val="16"/>
                <w:szCs w:val="16"/>
                <w:lang w:val="en-AU"/>
              </w:rPr>
              <w:t xml:space="preserve"> </w:t>
            </w:r>
            <w:r w:rsidRPr="00BE252D">
              <w:rPr>
                <w:rFonts w:ascii="Arial" w:hAnsi="Arial"/>
                <w:b/>
                <w:bCs/>
                <w:sz w:val="16"/>
                <w:szCs w:val="16"/>
                <w:lang w:val="en-AU"/>
              </w:rPr>
              <w:t>202</w:t>
            </w:r>
            <w:r w:rsidR="00EE7E8D" w:rsidRPr="00BE252D">
              <w:rPr>
                <w:rFonts w:ascii="Arial" w:hAnsi="Arial"/>
                <w:b/>
                <w:bCs/>
                <w:sz w:val="16"/>
                <w:szCs w:val="16"/>
                <w:lang w:val="en-AU"/>
              </w:rPr>
              <w:t>5</w:t>
            </w:r>
          </w:p>
          <w:p w14:paraId="3C319D31" w14:textId="77777777" w:rsidR="00E829DB" w:rsidRPr="00BE252D" w:rsidRDefault="00E829DB" w:rsidP="00D7766D">
            <w:pPr>
              <w:spacing w:before="0" w:after="0"/>
              <w:ind w:left="-57" w:right="-57"/>
              <w:jc w:val="right"/>
              <w:rPr>
                <w:rFonts w:ascii="Arial" w:hAnsi="Arial"/>
                <w:b/>
                <w:bCs/>
                <w:sz w:val="16"/>
                <w:szCs w:val="16"/>
                <w:lang w:val="en-AU"/>
              </w:rPr>
            </w:pPr>
          </w:p>
          <w:p w14:paraId="3B8940C2" w14:textId="77777777" w:rsidR="00D7766D" w:rsidRPr="00BE252D" w:rsidRDefault="00D7766D" w:rsidP="00D7766D">
            <w:pPr>
              <w:spacing w:before="0" w:after="0"/>
              <w:ind w:left="-57" w:right="-57"/>
              <w:jc w:val="right"/>
              <w:rPr>
                <w:rFonts w:ascii="Arial" w:hAnsi="Arial"/>
                <w:b/>
                <w:bCs/>
                <w:sz w:val="16"/>
                <w:szCs w:val="16"/>
                <w:lang w:val="en-AU"/>
              </w:rPr>
            </w:pPr>
            <w:r w:rsidRPr="00BE252D">
              <w:rPr>
                <w:rFonts w:ascii="Arial" w:hAnsi="Arial"/>
                <w:b/>
                <w:bCs/>
                <w:sz w:val="16"/>
                <w:szCs w:val="16"/>
                <w:lang w:val="en-AU"/>
              </w:rPr>
              <w:t>$m</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B86207B" w14:textId="77777777" w:rsidR="00D7766D" w:rsidRPr="00BE252D" w:rsidRDefault="00D7766D" w:rsidP="00D7766D">
            <w:pPr>
              <w:spacing w:before="0" w:after="0"/>
              <w:ind w:left="-57" w:right="-57"/>
              <w:jc w:val="right"/>
              <w:rPr>
                <w:rFonts w:ascii="Arial" w:hAnsi="Arial"/>
                <w:b/>
                <w:bCs/>
                <w:sz w:val="16"/>
                <w:szCs w:val="16"/>
                <w:lang w:val="en-AU"/>
              </w:rPr>
            </w:pPr>
            <w:r w:rsidRPr="00BE252D">
              <w:rPr>
                <w:rFonts w:ascii="Arial" w:hAnsi="Arial"/>
                <w:b/>
                <w:bCs/>
                <w:sz w:val="16"/>
                <w:szCs w:val="16"/>
                <w:lang w:val="en-AU"/>
              </w:rPr>
              <w:t>Budget</w:t>
            </w:r>
          </w:p>
          <w:p w14:paraId="0398C589" w14:textId="77777777" w:rsidR="00D7766D" w:rsidRPr="00BE252D" w:rsidRDefault="00D7766D" w:rsidP="00D7766D">
            <w:pPr>
              <w:spacing w:before="0" w:after="0"/>
              <w:ind w:left="-57" w:right="-57"/>
              <w:jc w:val="right"/>
              <w:rPr>
                <w:rFonts w:ascii="Arial" w:hAnsi="Arial"/>
                <w:b/>
                <w:bCs/>
                <w:sz w:val="16"/>
                <w:szCs w:val="16"/>
                <w:lang w:val="en-AU"/>
              </w:rPr>
            </w:pPr>
            <w:r w:rsidRPr="00BE252D">
              <w:rPr>
                <w:rFonts w:ascii="Arial" w:hAnsi="Arial"/>
                <w:b/>
                <w:bCs/>
                <w:sz w:val="16"/>
                <w:szCs w:val="16"/>
                <w:lang w:val="en-AU"/>
              </w:rPr>
              <w:t>Estimate</w:t>
            </w:r>
          </w:p>
          <w:p w14:paraId="16DECAC0" w14:textId="59AB37F6" w:rsidR="00D7766D" w:rsidRDefault="00D7766D" w:rsidP="00D7766D">
            <w:pPr>
              <w:spacing w:before="0" w:after="0"/>
              <w:ind w:left="-57" w:right="-57"/>
              <w:jc w:val="right"/>
              <w:rPr>
                <w:rFonts w:ascii="Arial" w:hAnsi="Arial"/>
                <w:b/>
                <w:bCs/>
                <w:sz w:val="16"/>
                <w:szCs w:val="16"/>
                <w:lang w:val="en-AU"/>
              </w:rPr>
            </w:pPr>
            <w:r w:rsidRPr="00BE252D">
              <w:rPr>
                <w:rFonts w:ascii="Arial" w:hAnsi="Arial"/>
                <w:b/>
                <w:bCs/>
                <w:sz w:val="16"/>
                <w:szCs w:val="16"/>
                <w:lang w:val="en-AU"/>
              </w:rPr>
              <w:t>202</w:t>
            </w:r>
            <w:r w:rsidR="004B232A" w:rsidRPr="00BE252D">
              <w:rPr>
                <w:rFonts w:ascii="Arial" w:hAnsi="Arial"/>
                <w:b/>
                <w:bCs/>
                <w:sz w:val="16"/>
                <w:szCs w:val="16"/>
                <w:lang w:val="en-AU"/>
              </w:rPr>
              <w:t>5</w:t>
            </w:r>
            <w:r w:rsidRPr="00BE252D">
              <w:rPr>
                <w:rFonts w:ascii="Arial" w:hAnsi="Arial"/>
                <w:b/>
                <w:bCs/>
                <w:sz w:val="16"/>
                <w:szCs w:val="16"/>
                <w:lang w:val="en-AU"/>
              </w:rPr>
              <w:t>-2</w:t>
            </w:r>
            <w:r w:rsidR="004B232A" w:rsidRPr="00BE252D">
              <w:rPr>
                <w:rFonts w:ascii="Arial" w:hAnsi="Arial"/>
                <w:b/>
                <w:bCs/>
                <w:sz w:val="16"/>
                <w:szCs w:val="16"/>
                <w:lang w:val="en-AU"/>
              </w:rPr>
              <w:t>6</w:t>
            </w:r>
          </w:p>
          <w:p w14:paraId="188EAE03" w14:textId="47B16622" w:rsidR="00E829DB" w:rsidRDefault="00E829DB" w:rsidP="00D7766D">
            <w:pPr>
              <w:spacing w:before="0" w:after="0"/>
              <w:ind w:left="-57" w:right="-57"/>
              <w:jc w:val="right"/>
              <w:rPr>
                <w:rFonts w:ascii="Arial" w:hAnsi="Arial"/>
                <w:b/>
                <w:bCs/>
                <w:sz w:val="16"/>
                <w:szCs w:val="16"/>
                <w:lang w:val="en-AU"/>
              </w:rPr>
            </w:pPr>
          </w:p>
          <w:p w14:paraId="7BA80B34" w14:textId="77777777" w:rsidR="00E829DB" w:rsidRPr="00BE252D" w:rsidRDefault="00E829DB" w:rsidP="00D7766D">
            <w:pPr>
              <w:spacing w:before="0" w:after="0"/>
              <w:ind w:left="-57" w:right="-57"/>
              <w:jc w:val="right"/>
              <w:rPr>
                <w:rFonts w:ascii="Arial" w:hAnsi="Arial"/>
                <w:b/>
                <w:bCs/>
                <w:sz w:val="16"/>
                <w:szCs w:val="16"/>
                <w:lang w:val="en-AU"/>
              </w:rPr>
            </w:pPr>
          </w:p>
          <w:p w14:paraId="7C14E124" w14:textId="77777777" w:rsidR="00D7766D" w:rsidRPr="00BE252D" w:rsidRDefault="00D7766D" w:rsidP="00D7766D">
            <w:pPr>
              <w:spacing w:before="0" w:after="0"/>
              <w:ind w:left="-57" w:right="-57"/>
              <w:jc w:val="right"/>
              <w:rPr>
                <w:rFonts w:ascii="Arial" w:hAnsi="Arial"/>
                <w:b/>
                <w:bCs/>
                <w:sz w:val="16"/>
                <w:szCs w:val="16"/>
                <w:lang w:val="en-AU"/>
              </w:rPr>
            </w:pPr>
            <w:r w:rsidRPr="00BE252D">
              <w:rPr>
                <w:rFonts w:ascii="Arial" w:hAnsi="Arial"/>
                <w:b/>
                <w:bCs/>
                <w:sz w:val="16"/>
                <w:szCs w:val="16"/>
                <w:lang w:val="en-AU"/>
              </w:rPr>
              <w:t>$m</w:t>
            </w:r>
          </w:p>
        </w:tc>
        <w:tc>
          <w:tcPr>
            <w:tcW w:w="7170" w:type="dxa"/>
            <w:tcBorders>
              <w:top w:val="single" w:sz="4" w:space="0" w:color="auto"/>
              <w:left w:val="single" w:sz="4" w:space="0" w:color="auto"/>
              <w:bottom w:val="single" w:sz="4" w:space="0" w:color="auto"/>
              <w:right w:val="single" w:sz="4" w:space="0" w:color="auto"/>
            </w:tcBorders>
            <w:shd w:val="clear" w:color="auto" w:fill="auto"/>
          </w:tcPr>
          <w:p w14:paraId="480E2786" w14:textId="77777777" w:rsidR="00D7766D" w:rsidRPr="00BE252D" w:rsidRDefault="00D7766D" w:rsidP="00D7766D">
            <w:pPr>
              <w:spacing w:before="0" w:after="0"/>
              <w:rPr>
                <w:rFonts w:ascii="Arial" w:hAnsi="Arial"/>
                <w:b/>
                <w:bCs/>
                <w:sz w:val="16"/>
                <w:szCs w:val="16"/>
                <w:lang w:val="en-AU"/>
              </w:rPr>
            </w:pPr>
            <w:r w:rsidRPr="00BE252D">
              <w:rPr>
                <w:rFonts w:ascii="Arial" w:hAnsi="Arial"/>
                <w:b/>
                <w:bCs/>
                <w:sz w:val="16"/>
                <w:szCs w:val="16"/>
                <w:lang w:val="en-AU"/>
              </w:rPr>
              <w:t>Top 5 ICT Project Descriptions</w:t>
            </w:r>
          </w:p>
        </w:tc>
      </w:tr>
      <w:tr w:rsidR="004158DB" w:rsidRPr="00BE252D" w14:paraId="2754E3D1" w14:textId="77777777" w:rsidTr="00ED6B44">
        <w:trPr>
          <w:trHeight w:val="340"/>
        </w:trPr>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14:paraId="7B38739E" w14:textId="77777777" w:rsidR="004158DB" w:rsidRPr="00BE252D" w:rsidRDefault="004158DB" w:rsidP="004158DB">
            <w:pPr>
              <w:spacing w:before="60" w:after="60"/>
              <w:rPr>
                <w:rFonts w:ascii="Arial" w:hAnsi="Arial"/>
                <w:sz w:val="16"/>
                <w:szCs w:val="16"/>
                <w:lang w:val="en-AU"/>
              </w:rPr>
            </w:pPr>
            <w:r w:rsidRPr="00BE252D">
              <w:rPr>
                <w:rFonts w:ascii="Arial" w:hAnsi="Arial"/>
                <w:sz w:val="16"/>
                <w:szCs w:val="16"/>
                <w:lang w:val="en-AU"/>
              </w:rPr>
              <w:t>Fleet Information Environment Modernisation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FB87F17" w14:textId="77777777" w:rsidR="004158DB" w:rsidRPr="00BE252D" w:rsidRDefault="00670FDB" w:rsidP="004158DB">
            <w:pPr>
              <w:spacing w:before="0" w:after="0"/>
              <w:jc w:val="center"/>
              <w:rPr>
                <w:rFonts w:ascii="Arial" w:hAnsi="Arial"/>
                <w:b/>
                <w:bCs/>
                <w:sz w:val="16"/>
                <w:szCs w:val="16"/>
                <w:lang w:val="en-AU"/>
              </w:rPr>
            </w:pPr>
            <w:r w:rsidRPr="00BE252D">
              <w:rPr>
                <w:rFonts w:ascii="Arial" w:hAnsi="Arial"/>
                <w:b/>
                <w:bCs/>
                <w:sz w:val="16"/>
                <w:szCs w:val="16"/>
              </w:rPr>
              <w:t>SEA 2273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3F07797" w14:textId="77777777" w:rsidR="004158DB" w:rsidRPr="00BE252D" w:rsidRDefault="004158DB" w:rsidP="004158DB">
            <w:pPr>
              <w:jc w:val="right"/>
              <w:rPr>
                <w:rFonts w:ascii="Arial" w:hAnsi="Arial"/>
                <w:sz w:val="16"/>
                <w:szCs w:val="16"/>
              </w:rPr>
            </w:pPr>
            <w:r w:rsidRPr="00BE252D">
              <w:rPr>
                <w:rFonts w:ascii="Arial" w:hAnsi="Arial"/>
                <w:sz w:val="16"/>
                <w:szCs w:val="16"/>
              </w:rPr>
              <w:t>563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B28945A" w14:textId="3C0A6B6F" w:rsidR="004158DB" w:rsidRPr="00BE252D" w:rsidRDefault="004D619F" w:rsidP="004158DB">
            <w:pPr>
              <w:jc w:val="right"/>
              <w:rPr>
                <w:rFonts w:ascii="Arial" w:hAnsi="Arial"/>
                <w:sz w:val="16"/>
                <w:szCs w:val="16"/>
              </w:rPr>
            </w:pPr>
            <w:r w:rsidRPr="00BE252D">
              <w:rPr>
                <w:rFonts w:ascii="Arial" w:hAnsi="Arial"/>
                <w:sz w:val="16"/>
                <w:szCs w:val="16"/>
              </w:rPr>
              <w:t>423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ED018E3" w14:textId="0C10A93A" w:rsidR="004158DB" w:rsidRPr="00BE252D" w:rsidRDefault="004D619F" w:rsidP="004158DB">
            <w:pPr>
              <w:jc w:val="right"/>
              <w:rPr>
                <w:rFonts w:ascii="Arial" w:hAnsi="Arial"/>
                <w:sz w:val="16"/>
                <w:szCs w:val="16"/>
              </w:rPr>
            </w:pPr>
            <w:r w:rsidRPr="00BE252D">
              <w:rPr>
                <w:rFonts w:ascii="Arial" w:hAnsi="Arial"/>
                <w:sz w:val="16"/>
                <w:szCs w:val="16"/>
              </w:rPr>
              <w:t>20</w:t>
            </w:r>
          </w:p>
        </w:tc>
        <w:tc>
          <w:tcPr>
            <w:tcW w:w="7170" w:type="dxa"/>
            <w:tcBorders>
              <w:top w:val="single" w:sz="4" w:space="0" w:color="auto"/>
              <w:left w:val="single" w:sz="4" w:space="0" w:color="auto"/>
              <w:bottom w:val="single" w:sz="4" w:space="0" w:color="auto"/>
              <w:right w:val="single" w:sz="4" w:space="0" w:color="auto"/>
            </w:tcBorders>
            <w:shd w:val="clear" w:color="auto" w:fill="auto"/>
          </w:tcPr>
          <w:p w14:paraId="49FA6DD8" w14:textId="24762614" w:rsidR="004158DB" w:rsidRPr="00BE252D" w:rsidRDefault="00BE252D" w:rsidP="006824E6">
            <w:pPr>
              <w:keepNext/>
              <w:keepLines/>
              <w:spacing w:before="80" w:after="0"/>
              <w:rPr>
                <w:rFonts w:ascii="Arial" w:hAnsi="Arial"/>
                <w:sz w:val="16"/>
                <w:szCs w:val="16"/>
              </w:rPr>
            </w:pPr>
            <w:r w:rsidRPr="00BE252D">
              <w:rPr>
                <w:rFonts w:ascii="Arial" w:hAnsi="Arial"/>
                <w:sz w:val="16"/>
                <w:szCs w:val="16"/>
              </w:rPr>
              <w:t>The project will deliver a suite of integrated ICT systems, applications and infrastructure that supports both deployed operations and day-to-day administrative activities, where ships and submarine crews are located. The systems, collectively, will provide Command and Control (C2) between headquarters and other Navy platforms, Communication and information sharing with other Navy platforms, Australian Defence Force (ADF) deployed forces, Coalition partners, and Other Government Organisation (OGO) assets. Situational awareness, intelligence and surveillance information to enable timely decision-making</w:t>
            </w:r>
            <w:r w:rsidR="008F0E1D">
              <w:rPr>
                <w:rFonts w:ascii="Arial" w:hAnsi="Arial"/>
                <w:sz w:val="16"/>
                <w:szCs w:val="16"/>
              </w:rPr>
              <w:t>.</w:t>
            </w:r>
          </w:p>
        </w:tc>
      </w:tr>
      <w:tr w:rsidR="004158DB" w:rsidRPr="00BE252D" w14:paraId="7E6EA1D5" w14:textId="77777777" w:rsidTr="00ED6B44">
        <w:trPr>
          <w:trHeight w:val="1373"/>
        </w:trPr>
        <w:tc>
          <w:tcPr>
            <w:tcW w:w="1730" w:type="dxa"/>
            <w:tcBorders>
              <w:top w:val="single" w:sz="4" w:space="0" w:color="auto"/>
              <w:left w:val="single" w:sz="4" w:space="0" w:color="auto"/>
              <w:bottom w:val="single" w:sz="4" w:space="0" w:color="auto"/>
              <w:right w:val="single" w:sz="4" w:space="0" w:color="auto"/>
            </w:tcBorders>
            <w:shd w:val="clear" w:color="auto" w:fill="auto"/>
            <w:vAlign w:val="center"/>
          </w:tcPr>
          <w:p w14:paraId="7EB4956D" w14:textId="77777777" w:rsidR="004158DB" w:rsidRPr="00BE252D" w:rsidRDefault="00670FDB" w:rsidP="004158DB">
            <w:pPr>
              <w:spacing w:before="60" w:after="60"/>
              <w:rPr>
                <w:rFonts w:ascii="Arial" w:hAnsi="Arial"/>
                <w:sz w:val="16"/>
                <w:szCs w:val="16"/>
                <w:lang w:val="en-AU"/>
              </w:rPr>
            </w:pPr>
            <w:r w:rsidRPr="00BE252D">
              <w:rPr>
                <w:rFonts w:ascii="Arial" w:hAnsi="Arial"/>
                <w:sz w:val="16"/>
                <w:szCs w:val="16"/>
                <w:lang w:val="en-AU"/>
              </w:rPr>
              <w:t>Integrated Intelligence Surveillance Reconnaissance and Processing Exploitation Dissemination Enterprise</w:t>
            </w:r>
          </w:p>
        </w:tc>
        <w:tc>
          <w:tcPr>
            <w:tcW w:w="1134" w:type="dxa"/>
            <w:tcBorders>
              <w:top w:val="single" w:sz="4" w:space="0" w:color="auto"/>
              <w:left w:val="nil"/>
              <w:bottom w:val="single" w:sz="4" w:space="0" w:color="auto"/>
              <w:right w:val="single" w:sz="4" w:space="0" w:color="auto"/>
            </w:tcBorders>
            <w:shd w:val="clear" w:color="auto" w:fill="auto"/>
            <w:vAlign w:val="center"/>
          </w:tcPr>
          <w:p w14:paraId="70D561E4" w14:textId="77777777" w:rsidR="004158DB" w:rsidRPr="00BE252D" w:rsidRDefault="00670FDB" w:rsidP="00670FDB">
            <w:pPr>
              <w:spacing w:before="0" w:after="0"/>
              <w:ind w:left="-57" w:right="-57"/>
              <w:jc w:val="center"/>
              <w:rPr>
                <w:rFonts w:ascii="Arial" w:hAnsi="Arial"/>
                <w:b/>
                <w:bCs/>
                <w:sz w:val="16"/>
                <w:szCs w:val="16"/>
                <w:lang w:val="en-AU"/>
              </w:rPr>
            </w:pPr>
            <w:r w:rsidRPr="00BE252D">
              <w:rPr>
                <w:rFonts w:ascii="Arial" w:hAnsi="Arial"/>
                <w:b/>
                <w:bCs/>
                <w:sz w:val="16"/>
                <w:szCs w:val="16"/>
                <w:lang w:val="en-AU"/>
              </w:rPr>
              <w:t>DEF 2150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5196C3A" w14:textId="3CB4D964" w:rsidR="004158DB" w:rsidRPr="00BE252D" w:rsidRDefault="004D619F" w:rsidP="004158DB">
            <w:pPr>
              <w:spacing w:before="0" w:after="0"/>
              <w:jc w:val="right"/>
              <w:rPr>
                <w:rFonts w:ascii="Arial" w:hAnsi="Arial"/>
                <w:sz w:val="16"/>
                <w:szCs w:val="16"/>
                <w:lang w:val="en-AU"/>
              </w:rPr>
            </w:pPr>
            <w:r w:rsidRPr="00BE252D">
              <w:rPr>
                <w:rFonts w:ascii="Arial" w:hAnsi="Arial"/>
                <w:sz w:val="16"/>
                <w:szCs w:val="16"/>
                <w:lang w:val="en-AU"/>
              </w:rPr>
              <w:t>212</w:t>
            </w:r>
          </w:p>
        </w:tc>
        <w:tc>
          <w:tcPr>
            <w:tcW w:w="1276" w:type="dxa"/>
            <w:tcBorders>
              <w:top w:val="single" w:sz="4" w:space="0" w:color="auto"/>
              <w:left w:val="nil"/>
              <w:bottom w:val="single" w:sz="4" w:space="0" w:color="auto"/>
              <w:right w:val="single" w:sz="4" w:space="0" w:color="auto"/>
            </w:tcBorders>
            <w:shd w:val="clear" w:color="auto" w:fill="auto"/>
            <w:vAlign w:val="center"/>
          </w:tcPr>
          <w:p w14:paraId="7B59C568" w14:textId="22AEE6E9" w:rsidR="004158DB" w:rsidRPr="00BE252D" w:rsidRDefault="004D619F" w:rsidP="004158DB">
            <w:pPr>
              <w:jc w:val="right"/>
              <w:rPr>
                <w:rFonts w:ascii="Arial" w:hAnsi="Arial"/>
                <w:sz w:val="16"/>
                <w:szCs w:val="16"/>
              </w:rPr>
            </w:pPr>
            <w:r w:rsidRPr="00BE252D">
              <w:rPr>
                <w:rFonts w:ascii="Arial" w:hAnsi="Arial"/>
                <w:sz w:val="16"/>
                <w:szCs w:val="16"/>
              </w:rPr>
              <w:t>103</w:t>
            </w:r>
          </w:p>
        </w:tc>
        <w:tc>
          <w:tcPr>
            <w:tcW w:w="1276" w:type="dxa"/>
            <w:tcBorders>
              <w:top w:val="single" w:sz="4" w:space="0" w:color="auto"/>
              <w:left w:val="nil"/>
              <w:bottom w:val="single" w:sz="4" w:space="0" w:color="auto"/>
              <w:right w:val="single" w:sz="4" w:space="0" w:color="auto"/>
            </w:tcBorders>
            <w:shd w:val="clear" w:color="auto" w:fill="auto"/>
            <w:vAlign w:val="center"/>
          </w:tcPr>
          <w:p w14:paraId="3DF72CE7" w14:textId="7E41ACDD" w:rsidR="004158DB" w:rsidRPr="00BE252D" w:rsidRDefault="004D619F" w:rsidP="004158DB">
            <w:pPr>
              <w:jc w:val="right"/>
              <w:rPr>
                <w:rFonts w:ascii="Arial" w:hAnsi="Arial"/>
                <w:sz w:val="16"/>
                <w:szCs w:val="16"/>
              </w:rPr>
            </w:pPr>
            <w:r w:rsidRPr="00BE252D">
              <w:rPr>
                <w:rFonts w:ascii="Arial" w:hAnsi="Arial"/>
                <w:sz w:val="16"/>
                <w:szCs w:val="16"/>
              </w:rPr>
              <w:t>40</w:t>
            </w:r>
          </w:p>
        </w:tc>
        <w:tc>
          <w:tcPr>
            <w:tcW w:w="7170" w:type="dxa"/>
            <w:tcBorders>
              <w:top w:val="single" w:sz="4" w:space="0" w:color="auto"/>
              <w:left w:val="nil"/>
              <w:bottom w:val="single" w:sz="4" w:space="0" w:color="auto"/>
              <w:right w:val="single" w:sz="4" w:space="0" w:color="auto"/>
            </w:tcBorders>
            <w:shd w:val="clear" w:color="auto" w:fill="auto"/>
          </w:tcPr>
          <w:p w14:paraId="33E6B0D1" w14:textId="77777777" w:rsidR="00BE252D" w:rsidRPr="006824E6" w:rsidRDefault="00BE252D" w:rsidP="006824E6">
            <w:pPr>
              <w:keepNext/>
              <w:keepLines/>
              <w:spacing w:before="80" w:after="0"/>
              <w:rPr>
                <w:rFonts w:ascii="Arial" w:hAnsi="Arial"/>
                <w:sz w:val="16"/>
                <w:szCs w:val="16"/>
              </w:rPr>
            </w:pPr>
            <w:r w:rsidRPr="00BE252D">
              <w:rPr>
                <w:rFonts w:ascii="Arial" w:hAnsi="Arial"/>
                <w:sz w:val="16"/>
                <w:szCs w:val="16"/>
              </w:rPr>
              <w:t>This Project will deliver the Joint Intelligence and Targeting Training Facility in Canberra, to allow for an increase in training requirement for the workforce associated with the introduction of numerous long-range strike weapon systems as part of the Integrated Force. It will also deliver the Distributed Ground Station – Australia (DGS-AUS) facility in Adelaide to provide the Processing, Exploitation and Dissemination (PED) of data and information collected by a range of airborne Intelligence, Surveillance and Reconnaissance (ISR) platforms. In the future the Project is scoped to deliver an enhanced DGS-AUS analytic capability, an optimised ability to task and manage ISR collection operations for the Integrated Force, and an ability to rapidly develop and integrate emerging artificial intelligence and machine learning technologies.</w:t>
            </w:r>
          </w:p>
          <w:p w14:paraId="4E827927" w14:textId="341A158C" w:rsidR="004158DB" w:rsidRPr="00BE252D" w:rsidRDefault="00BE252D" w:rsidP="006824E6">
            <w:pPr>
              <w:keepNext/>
              <w:keepLines/>
              <w:spacing w:before="80" w:after="0"/>
              <w:rPr>
                <w:rFonts w:ascii="Arial" w:hAnsi="Arial"/>
                <w:sz w:val="16"/>
                <w:szCs w:val="16"/>
              </w:rPr>
            </w:pPr>
            <w:r w:rsidRPr="00BE252D">
              <w:rPr>
                <w:rFonts w:ascii="Arial" w:hAnsi="Arial"/>
                <w:sz w:val="16"/>
                <w:szCs w:val="16"/>
              </w:rPr>
              <w:t>During 2025-26 the Project will continue delivery and sustainment of the foundation components of the DGS-AUS capability.</w:t>
            </w:r>
          </w:p>
        </w:tc>
      </w:tr>
      <w:tr w:rsidR="004158DB" w:rsidRPr="00BE252D" w14:paraId="1FD0BB68" w14:textId="77777777" w:rsidTr="00ED6B44">
        <w:trPr>
          <w:gridAfter w:val="1"/>
          <w:wAfter w:w="7170" w:type="dxa"/>
          <w:trHeight w:val="382"/>
        </w:trPr>
        <w:tc>
          <w:tcPr>
            <w:tcW w:w="28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437252" w14:textId="77777777" w:rsidR="004158DB" w:rsidRPr="00BE252D" w:rsidRDefault="004158DB" w:rsidP="004158DB">
            <w:pPr>
              <w:spacing w:before="0" w:after="0"/>
              <w:ind w:right="113"/>
              <w:jc w:val="right"/>
              <w:rPr>
                <w:rFonts w:ascii="Arial" w:hAnsi="Arial"/>
                <w:sz w:val="16"/>
                <w:szCs w:val="16"/>
              </w:rPr>
            </w:pPr>
            <w:r w:rsidRPr="00BE252D">
              <w:rPr>
                <w:rFonts w:ascii="Arial" w:hAnsi="Arial"/>
                <w:b/>
                <w:bCs/>
                <w:sz w:val="16"/>
                <w:szCs w:val="16"/>
              </w:rPr>
              <w:t>Total Top 5 ICT Projects (Gross Plan)</w:t>
            </w:r>
          </w:p>
        </w:tc>
        <w:tc>
          <w:tcPr>
            <w:tcW w:w="1134" w:type="dxa"/>
            <w:tcBorders>
              <w:top w:val="single" w:sz="4" w:space="0" w:color="auto"/>
              <w:left w:val="nil"/>
              <w:bottom w:val="single" w:sz="4" w:space="0" w:color="auto"/>
              <w:right w:val="single" w:sz="4" w:space="0" w:color="auto"/>
            </w:tcBorders>
            <w:shd w:val="clear" w:color="auto" w:fill="auto"/>
            <w:vAlign w:val="center"/>
          </w:tcPr>
          <w:p w14:paraId="37859D10" w14:textId="63EDFF4C" w:rsidR="004158DB" w:rsidRPr="00BE252D" w:rsidRDefault="004D619F" w:rsidP="004D619F">
            <w:pPr>
              <w:jc w:val="right"/>
              <w:rPr>
                <w:rFonts w:ascii="Arial" w:hAnsi="Arial"/>
                <w:b/>
                <w:sz w:val="16"/>
                <w:szCs w:val="16"/>
              </w:rPr>
            </w:pPr>
            <w:r w:rsidRPr="00BE252D">
              <w:rPr>
                <w:rFonts w:ascii="Arial" w:hAnsi="Arial"/>
                <w:b/>
                <w:sz w:val="16"/>
                <w:szCs w:val="16"/>
              </w:rPr>
              <w:t>2</w:t>
            </w:r>
            <w:r w:rsidR="00670FDB" w:rsidRPr="00BE252D">
              <w:rPr>
                <w:rFonts w:ascii="Arial" w:hAnsi="Arial"/>
                <w:b/>
                <w:sz w:val="16"/>
                <w:szCs w:val="16"/>
              </w:rPr>
              <w:t>,</w:t>
            </w:r>
            <w:r w:rsidRPr="00BE252D">
              <w:rPr>
                <w:rFonts w:ascii="Arial" w:hAnsi="Arial"/>
                <w:b/>
                <w:sz w:val="16"/>
                <w:szCs w:val="16"/>
              </w:rPr>
              <w:t>984</w:t>
            </w:r>
          </w:p>
        </w:tc>
        <w:tc>
          <w:tcPr>
            <w:tcW w:w="1276" w:type="dxa"/>
            <w:tcBorders>
              <w:top w:val="single" w:sz="4" w:space="0" w:color="auto"/>
              <w:left w:val="nil"/>
              <w:bottom w:val="single" w:sz="4" w:space="0" w:color="auto"/>
              <w:right w:val="single" w:sz="4" w:space="0" w:color="auto"/>
            </w:tcBorders>
            <w:shd w:val="clear" w:color="auto" w:fill="auto"/>
            <w:vAlign w:val="center"/>
          </w:tcPr>
          <w:p w14:paraId="1BE75099" w14:textId="7B99B217" w:rsidR="004158DB" w:rsidRPr="00BE252D" w:rsidRDefault="00670FDB" w:rsidP="004D619F">
            <w:pPr>
              <w:jc w:val="right"/>
              <w:rPr>
                <w:rFonts w:ascii="Arial" w:hAnsi="Arial"/>
                <w:b/>
                <w:sz w:val="16"/>
                <w:szCs w:val="16"/>
              </w:rPr>
            </w:pPr>
            <w:r w:rsidRPr="00BE252D">
              <w:rPr>
                <w:rFonts w:ascii="Arial" w:hAnsi="Arial"/>
                <w:b/>
                <w:sz w:val="16"/>
                <w:szCs w:val="16"/>
              </w:rPr>
              <w:t>1,</w:t>
            </w:r>
            <w:r w:rsidR="004D619F" w:rsidRPr="00BE252D">
              <w:rPr>
                <w:rFonts w:ascii="Arial" w:hAnsi="Arial"/>
                <w:b/>
                <w:sz w:val="16"/>
                <w:szCs w:val="16"/>
              </w:rPr>
              <w:t>859</w:t>
            </w:r>
          </w:p>
        </w:tc>
        <w:tc>
          <w:tcPr>
            <w:tcW w:w="1276" w:type="dxa"/>
            <w:tcBorders>
              <w:top w:val="single" w:sz="4" w:space="0" w:color="auto"/>
              <w:left w:val="nil"/>
              <w:bottom w:val="single" w:sz="4" w:space="0" w:color="auto"/>
              <w:right w:val="single" w:sz="4" w:space="0" w:color="auto"/>
            </w:tcBorders>
            <w:shd w:val="clear" w:color="auto" w:fill="auto"/>
            <w:vAlign w:val="center"/>
          </w:tcPr>
          <w:p w14:paraId="140BB2A2" w14:textId="76E9A89C" w:rsidR="004158DB" w:rsidRPr="00BE252D" w:rsidRDefault="004D619F" w:rsidP="000A5371">
            <w:pPr>
              <w:jc w:val="right"/>
              <w:rPr>
                <w:rFonts w:ascii="Arial" w:hAnsi="Arial"/>
                <w:b/>
                <w:sz w:val="16"/>
                <w:szCs w:val="16"/>
              </w:rPr>
            </w:pPr>
            <w:r w:rsidRPr="00BE252D">
              <w:rPr>
                <w:rFonts w:ascii="Arial" w:hAnsi="Arial"/>
                <w:b/>
                <w:sz w:val="16"/>
                <w:szCs w:val="16"/>
              </w:rPr>
              <w:t>285</w:t>
            </w:r>
          </w:p>
        </w:tc>
      </w:tr>
    </w:tbl>
    <w:p w14:paraId="25B2545B" w14:textId="77777777" w:rsidR="005A2223" w:rsidRPr="00194C8A" w:rsidRDefault="005A2223" w:rsidP="005A2223">
      <w:pPr>
        <w:pStyle w:val="ListParagraph"/>
        <w:spacing w:before="0" w:after="0"/>
        <w:ind w:left="0"/>
        <w:rPr>
          <w:rFonts w:ascii="Arial" w:hAnsi="Arial"/>
          <w:b/>
          <w:sz w:val="16"/>
          <w:szCs w:val="16"/>
          <w:highlight w:val="yellow"/>
          <w:lang w:val="en-AU"/>
        </w:rPr>
      </w:pPr>
    </w:p>
    <w:p w14:paraId="455AFD27" w14:textId="77777777" w:rsidR="005A2223" w:rsidRPr="00EE7E8D" w:rsidRDefault="005A2223" w:rsidP="0008019D">
      <w:pPr>
        <w:pStyle w:val="ListParagraph"/>
        <w:spacing w:before="0" w:after="0"/>
        <w:ind w:left="0"/>
        <w:contextualSpacing w:val="0"/>
        <w:rPr>
          <w:rFonts w:ascii="Arial" w:hAnsi="Arial"/>
          <w:b/>
          <w:sz w:val="14"/>
          <w:szCs w:val="14"/>
          <w:lang w:val="en-AU"/>
        </w:rPr>
      </w:pPr>
      <w:r w:rsidRPr="00EE7E8D">
        <w:rPr>
          <w:rFonts w:ascii="Arial" w:hAnsi="Arial"/>
          <w:b/>
          <w:sz w:val="14"/>
          <w:szCs w:val="14"/>
          <w:lang w:val="en-AU"/>
        </w:rPr>
        <w:t>Note</w:t>
      </w:r>
    </w:p>
    <w:p w14:paraId="4EAE8FB1" w14:textId="575D8AB6" w:rsidR="005A2223" w:rsidRPr="00EE7E8D" w:rsidRDefault="008F7CE6" w:rsidP="00444A89">
      <w:pPr>
        <w:pStyle w:val="ListParagraph"/>
        <w:numPr>
          <w:ilvl w:val="0"/>
          <w:numId w:val="49"/>
        </w:numPr>
        <w:spacing w:before="0" w:after="0"/>
        <w:ind w:left="227" w:hanging="227"/>
        <w:contextualSpacing w:val="0"/>
        <w:rPr>
          <w:rFonts w:ascii="Arial" w:hAnsi="Arial"/>
          <w:sz w:val="14"/>
          <w:szCs w:val="14"/>
          <w:lang w:val="en-AU"/>
        </w:rPr>
      </w:pPr>
      <w:r w:rsidRPr="00EE7E8D">
        <w:rPr>
          <w:rFonts w:ascii="Arial" w:hAnsi="Arial"/>
          <w:sz w:val="14"/>
          <w:szCs w:val="14"/>
          <w:lang w:val="en-AU"/>
        </w:rPr>
        <w:tab/>
      </w:r>
      <w:r w:rsidR="005A2223" w:rsidRPr="00EE7E8D">
        <w:rPr>
          <w:rFonts w:ascii="Arial" w:hAnsi="Arial"/>
          <w:sz w:val="14"/>
          <w:szCs w:val="14"/>
          <w:lang w:val="en-AU"/>
        </w:rPr>
        <w:t xml:space="preserve">Approved Project Expenditure, </w:t>
      </w:r>
      <w:r w:rsidR="00F1623E" w:rsidRPr="00EE7E8D">
        <w:rPr>
          <w:rFonts w:ascii="Arial" w:hAnsi="Arial"/>
          <w:sz w:val="14"/>
          <w:szCs w:val="14"/>
          <w:lang w:val="en-AU"/>
        </w:rPr>
        <w:t xml:space="preserve">Estimated </w:t>
      </w:r>
      <w:r w:rsidR="005A2223" w:rsidRPr="00EE7E8D">
        <w:rPr>
          <w:rFonts w:ascii="Arial" w:hAnsi="Arial"/>
          <w:sz w:val="14"/>
          <w:szCs w:val="14"/>
          <w:lang w:val="en-AU"/>
        </w:rPr>
        <w:t>Cumulative Expenditure to 30 June 202</w:t>
      </w:r>
      <w:r w:rsidR="00EE7E8D" w:rsidRPr="00EE7E8D">
        <w:rPr>
          <w:rFonts w:ascii="Arial" w:hAnsi="Arial"/>
          <w:sz w:val="14"/>
          <w:szCs w:val="14"/>
          <w:lang w:val="en-AU"/>
        </w:rPr>
        <w:t>5</w:t>
      </w:r>
      <w:r w:rsidR="005A2223" w:rsidRPr="00EE7E8D">
        <w:rPr>
          <w:rFonts w:ascii="Arial" w:hAnsi="Arial"/>
          <w:sz w:val="14"/>
          <w:szCs w:val="14"/>
          <w:lang w:val="en-AU"/>
        </w:rPr>
        <w:t xml:space="preserve"> and Budget Estimate 202</w:t>
      </w:r>
      <w:r w:rsidR="003A5342" w:rsidRPr="00EE7E8D">
        <w:rPr>
          <w:rFonts w:ascii="Arial" w:hAnsi="Arial"/>
          <w:sz w:val="14"/>
          <w:szCs w:val="14"/>
          <w:lang w:val="en-AU"/>
        </w:rPr>
        <w:t>5</w:t>
      </w:r>
      <w:r w:rsidR="005A2223" w:rsidRPr="00EE7E8D">
        <w:rPr>
          <w:rFonts w:ascii="Arial" w:hAnsi="Arial"/>
          <w:sz w:val="14"/>
          <w:szCs w:val="14"/>
          <w:lang w:val="en-AU"/>
        </w:rPr>
        <w:t>-2</w:t>
      </w:r>
      <w:r w:rsidR="003A5342" w:rsidRPr="00EE7E8D">
        <w:rPr>
          <w:rFonts w:ascii="Arial" w:hAnsi="Arial"/>
          <w:sz w:val="14"/>
          <w:szCs w:val="14"/>
          <w:lang w:val="en-AU"/>
        </w:rPr>
        <w:t>6</w:t>
      </w:r>
      <w:r w:rsidR="005A2223" w:rsidRPr="00EE7E8D">
        <w:rPr>
          <w:rFonts w:ascii="Arial" w:hAnsi="Arial"/>
          <w:sz w:val="14"/>
          <w:szCs w:val="14"/>
          <w:lang w:val="en-AU"/>
        </w:rPr>
        <w:t xml:space="preserve"> are on an accrual basis</w:t>
      </w:r>
      <w:r w:rsidR="00E91956" w:rsidRPr="00EE7E8D">
        <w:rPr>
          <w:rFonts w:ascii="Arial" w:hAnsi="Arial"/>
          <w:sz w:val="14"/>
          <w:szCs w:val="14"/>
          <w:lang w:val="en-AU"/>
        </w:rPr>
        <w:t xml:space="preserve"> and </w:t>
      </w:r>
      <w:r w:rsidR="00EE5270" w:rsidRPr="00EE7E8D">
        <w:rPr>
          <w:rFonts w:ascii="Arial" w:hAnsi="Arial"/>
          <w:sz w:val="14"/>
          <w:szCs w:val="14"/>
          <w:lang w:val="en-AU"/>
        </w:rPr>
        <w:t>funded by appropriation</w:t>
      </w:r>
      <w:r w:rsidR="005A2223" w:rsidRPr="00EE7E8D">
        <w:rPr>
          <w:rFonts w:ascii="Arial" w:hAnsi="Arial"/>
          <w:sz w:val="14"/>
          <w:szCs w:val="14"/>
          <w:lang w:val="en-AU"/>
        </w:rPr>
        <w:t>.</w:t>
      </w:r>
    </w:p>
    <w:p w14:paraId="19CB60EE" w14:textId="77777777" w:rsidR="005A2223" w:rsidRPr="00B56FAA" w:rsidRDefault="005A2223" w:rsidP="00E6198A">
      <w:pPr>
        <w:pStyle w:val="ListParagraph"/>
        <w:spacing w:before="0" w:after="0"/>
        <w:ind w:left="0"/>
        <w:contextualSpacing w:val="0"/>
        <w:rPr>
          <w:rFonts w:ascii="Arial" w:hAnsi="Arial"/>
          <w:sz w:val="16"/>
          <w:szCs w:val="16"/>
          <w:lang w:val="en-AU"/>
        </w:rPr>
      </w:pPr>
    </w:p>
    <w:p w14:paraId="2A5245F5" w14:textId="77777777" w:rsidR="008D41DB" w:rsidRPr="00B56FAA" w:rsidRDefault="008D41DB">
      <w:pPr>
        <w:spacing w:before="0" w:after="0"/>
        <w:rPr>
          <w:lang w:val="en-AU"/>
        </w:rPr>
        <w:sectPr w:rsidR="008D41DB" w:rsidRPr="00B56FAA" w:rsidSect="00C30BE6">
          <w:headerReference w:type="even" r:id="rId113"/>
          <w:headerReference w:type="default" r:id="rId114"/>
          <w:footerReference w:type="even" r:id="rId115"/>
          <w:footerReference w:type="default" r:id="rId116"/>
          <w:pgSz w:w="16840" w:h="11907" w:orient="landscape" w:code="9"/>
          <w:pgMar w:top="1928" w:right="1701" w:bottom="1361" w:left="1701" w:header="720" w:footer="720" w:gutter="0"/>
          <w:cols w:space="720"/>
          <w:noEndnote/>
          <w:docGrid w:linePitch="272"/>
        </w:sectPr>
      </w:pPr>
    </w:p>
    <w:p w14:paraId="31528406" w14:textId="77777777" w:rsidR="00617A5E" w:rsidRPr="00B56FAA" w:rsidRDefault="00617A5E" w:rsidP="00E27F44">
      <w:pPr>
        <w:pStyle w:val="Heading4"/>
        <w:spacing w:before="0" w:after="200"/>
        <w:rPr>
          <w:rFonts w:ascii="Arial Bold" w:hAnsi="Arial Bold"/>
          <w:sz w:val="26"/>
          <w:szCs w:val="26"/>
        </w:rPr>
      </w:pPr>
      <w:bookmarkStart w:id="949" w:name="_Toc69917853"/>
      <w:bookmarkStart w:id="950" w:name="_Toc97747842"/>
      <w:bookmarkStart w:id="951" w:name="_Toc108088954"/>
      <w:bookmarkStart w:id="952" w:name="_Toc108089427"/>
      <w:bookmarkStart w:id="953" w:name="_Toc109227749"/>
      <w:bookmarkStart w:id="954" w:name="_Toc159499697"/>
      <w:bookmarkStart w:id="955" w:name="_Toc159859114"/>
      <w:bookmarkStart w:id="956" w:name="_Toc159859266"/>
      <w:r w:rsidRPr="00B56FAA">
        <w:rPr>
          <w:rFonts w:ascii="Arial Bold" w:hAnsi="Arial Bold"/>
          <w:sz w:val="26"/>
          <w:szCs w:val="26"/>
        </w:rPr>
        <w:lastRenderedPageBreak/>
        <w:t xml:space="preserve">Appendix G: </w:t>
      </w:r>
      <w:r w:rsidRPr="00B56FAA">
        <w:rPr>
          <w:rFonts w:ascii="Arial Bold" w:hAnsi="Arial Bold"/>
          <w:sz w:val="26"/>
          <w:szCs w:val="26"/>
        </w:rPr>
        <w:tab/>
        <w:t>Australian Government Indigenous Expenditure</w:t>
      </w:r>
      <w:bookmarkEnd w:id="949"/>
      <w:bookmarkEnd w:id="950"/>
      <w:bookmarkEnd w:id="951"/>
      <w:bookmarkEnd w:id="952"/>
      <w:bookmarkEnd w:id="953"/>
      <w:bookmarkEnd w:id="954"/>
      <w:bookmarkEnd w:id="955"/>
      <w:bookmarkEnd w:id="956"/>
    </w:p>
    <w:p w14:paraId="459FA09D" w14:textId="0EDA2E8F" w:rsidR="00617A5E" w:rsidRPr="00BB661B" w:rsidRDefault="00617A5E" w:rsidP="00D9100A">
      <w:pPr>
        <w:pStyle w:val="TableHeading"/>
        <w:numPr>
          <w:ilvl w:val="0"/>
          <w:numId w:val="29"/>
        </w:numPr>
        <w:spacing w:before="120" w:after="120"/>
        <w:ind w:left="0" w:firstLine="0"/>
        <w:outlineLvl w:val="5"/>
        <w:rPr>
          <w:rFonts w:ascii="Arial Bold" w:hAnsi="Arial Bold"/>
          <w:vertAlign w:val="superscript"/>
        </w:rPr>
      </w:pPr>
      <w:r w:rsidRPr="00BB661B">
        <w:t>Australian Government Indigenous Expenditure</w:t>
      </w:r>
    </w:p>
    <w:tbl>
      <w:tblPr>
        <w:tblW w:w="4826" w:type="pct"/>
        <w:tblInd w:w="113" w:type="dxa"/>
        <w:tblLook w:val="04A0" w:firstRow="1" w:lastRow="0" w:firstColumn="1" w:lastColumn="0" w:noHBand="0" w:noVBand="1"/>
      </w:tblPr>
      <w:tblGrid>
        <w:gridCol w:w="5098"/>
        <w:gridCol w:w="921"/>
        <w:gridCol w:w="1078"/>
        <w:gridCol w:w="1221"/>
      </w:tblGrid>
      <w:tr w:rsidR="00E74E8B" w:rsidRPr="00BB661B" w14:paraId="374A44CE" w14:textId="77777777" w:rsidTr="000D2279">
        <w:trPr>
          <w:trHeight w:val="300"/>
        </w:trPr>
        <w:tc>
          <w:tcPr>
            <w:tcW w:w="5098" w:type="dxa"/>
            <w:tcBorders>
              <w:top w:val="single" w:sz="4" w:space="0" w:color="auto"/>
              <w:bottom w:val="single" w:sz="4" w:space="0" w:color="auto"/>
            </w:tcBorders>
            <w:shd w:val="clear" w:color="auto" w:fill="E6E6E6"/>
            <w:noWrap/>
            <w:vAlign w:val="center"/>
          </w:tcPr>
          <w:p w14:paraId="17E176FD" w14:textId="77777777" w:rsidR="00E74E8B" w:rsidRPr="00BB661B" w:rsidRDefault="00E74E8B" w:rsidP="00E27F44">
            <w:pPr>
              <w:spacing w:before="0" w:after="0"/>
              <w:rPr>
                <w:rFonts w:ascii="Arial" w:hAnsi="Arial"/>
                <w:b/>
                <w:bCs/>
                <w:color w:val="000000"/>
                <w:sz w:val="16"/>
                <w:szCs w:val="16"/>
                <w:lang w:val="en-AU"/>
              </w:rPr>
            </w:pPr>
          </w:p>
        </w:tc>
        <w:tc>
          <w:tcPr>
            <w:tcW w:w="988" w:type="dxa"/>
            <w:tcBorders>
              <w:top w:val="single" w:sz="4" w:space="0" w:color="auto"/>
              <w:bottom w:val="single" w:sz="4" w:space="0" w:color="auto"/>
              <w:right w:val="nil"/>
            </w:tcBorders>
            <w:shd w:val="clear" w:color="auto" w:fill="E6E6E6"/>
            <w:vAlign w:val="bottom"/>
          </w:tcPr>
          <w:p w14:paraId="3F9E741E" w14:textId="77777777" w:rsidR="00E74E8B" w:rsidRPr="00BB661B" w:rsidRDefault="00E74E8B" w:rsidP="00660C42">
            <w:pPr>
              <w:spacing w:before="0" w:after="0"/>
              <w:jc w:val="right"/>
              <w:rPr>
                <w:rFonts w:ascii="Arial" w:hAnsi="Arial"/>
                <w:b/>
                <w:bCs/>
                <w:color w:val="000000"/>
                <w:sz w:val="16"/>
                <w:szCs w:val="16"/>
                <w:lang w:val="en-AU"/>
              </w:rPr>
            </w:pPr>
            <w:r w:rsidRPr="00BB661B">
              <w:rPr>
                <w:rFonts w:ascii="Arial" w:hAnsi="Arial"/>
                <w:b/>
                <w:bCs/>
                <w:color w:val="000000"/>
                <w:sz w:val="16"/>
                <w:szCs w:val="16"/>
                <w:lang w:val="en-AU"/>
              </w:rPr>
              <w:t>Program</w:t>
            </w:r>
          </w:p>
        </w:tc>
        <w:tc>
          <w:tcPr>
            <w:tcW w:w="1220" w:type="dxa"/>
            <w:tcBorders>
              <w:top w:val="single" w:sz="4" w:space="0" w:color="auto"/>
              <w:bottom w:val="single" w:sz="4" w:space="0" w:color="auto"/>
              <w:right w:val="nil"/>
            </w:tcBorders>
            <w:shd w:val="clear" w:color="auto" w:fill="E6E6E6"/>
          </w:tcPr>
          <w:p w14:paraId="3CD9832F" w14:textId="77777777" w:rsidR="00F66D1D" w:rsidRPr="00BB661B" w:rsidRDefault="00E74E8B" w:rsidP="00E27F44">
            <w:pPr>
              <w:spacing w:before="0" w:after="0"/>
              <w:jc w:val="right"/>
              <w:rPr>
                <w:rFonts w:ascii="Arial" w:hAnsi="Arial"/>
                <w:b/>
                <w:bCs/>
                <w:color w:val="000000"/>
                <w:sz w:val="16"/>
                <w:szCs w:val="16"/>
              </w:rPr>
            </w:pPr>
            <w:r w:rsidRPr="00BB661B">
              <w:rPr>
                <w:rFonts w:ascii="Arial" w:hAnsi="Arial"/>
                <w:b/>
                <w:bCs/>
                <w:color w:val="000000"/>
                <w:sz w:val="16"/>
                <w:szCs w:val="16"/>
              </w:rPr>
              <w:t>202</w:t>
            </w:r>
            <w:r w:rsidR="004B232A" w:rsidRPr="00BB661B">
              <w:rPr>
                <w:rFonts w:ascii="Arial" w:hAnsi="Arial"/>
                <w:b/>
                <w:bCs/>
                <w:color w:val="000000"/>
                <w:sz w:val="16"/>
                <w:szCs w:val="16"/>
              </w:rPr>
              <w:t>4</w:t>
            </w:r>
            <w:r w:rsidRPr="00BB661B">
              <w:rPr>
                <w:rFonts w:ascii="Arial" w:hAnsi="Arial"/>
                <w:b/>
                <w:bCs/>
                <w:color w:val="000000"/>
                <w:sz w:val="16"/>
                <w:szCs w:val="16"/>
              </w:rPr>
              <w:t>-2</w:t>
            </w:r>
            <w:r w:rsidR="004B232A" w:rsidRPr="00BB661B">
              <w:rPr>
                <w:rFonts w:ascii="Arial" w:hAnsi="Arial"/>
                <w:b/>
                <w:bCs/>
                <w:color w:val="000000"/>
                <w:sz w:val="16"/>
                <w:szCs w:val="16"/>
              </w:rPr>
              <w:t>5</w:t>
            </w:r>
            <w:r w:rsidRPr="00BB661B">
              <w:rPr>
                <w:rFonts w:ascii="Arial" w:hAnsi="Arial"/>
                <w:b/>
                <w:bCs/>
                <w:color w:val="000000"/>
                <w:sz w:val="16"/>
                <w:szCs w:val="16"/>
              </w:rPr>
              <w:t xml:space="preserve"> </w:t>
            </w:r>
            <w:r w:rsidR="00F66D1D" w:rsidRPr="00BB661B">
              <w:rPr>
                <w:rFonts w:ascii="Arial" w:hAnsi="Arial"/>
                <w:b/>
                <w:bCs/>
                <w:color w:val="000000"/>
                <w:sz w:val="16"/>
                <w:szCs w:val="16"/>
              </w:rPr>
              <w:t>Estimated Actual</w:t>
            </w:r>
          </w:p>
          <w:p w14:paraId="7F8A6535" w14:textId="77777777" w:rsidR="00E74E8B" w:rsidRPr="00BB661B" w:rsidRDefault="00E74E8B" w:rsidP="00E27F44">
            <w:pPr>
              <w:spacing w:before="0" w:after="0"/>
              <w:jc w:val="right"/>
              <w:rPr>
                <w:rFonts w:ascii="Arial" w:hAnsi="Arial"/>
                <w:b/>
                <w:bCs/>
                <w:color w:val="000000"/>
                <w:sz w:val="16"/>
                <w:szCs w:val="16"/>
                <w:lang w:val="en-AU"/>
              </w:rPr>
            </w:pPr>
            <w:r w:rsidRPr="00BB661B">
              <w:rPr>
                <w:rFonts w:ascii="Arial" w:hAnsi="Arial"/>
                <w:b/>
                <w:bCs/>
                <w:color w:val="000000"/>
                <w:sz w:val="16"/>
                <w:szCs w:val="16"/>
              </w:rPr>
              <w:t>$’000</w:t>
            </w:r>
          </w:p>
        </w:tc>
        <w:tc>
          <w:tcPr>
            <w:tcW w:w="1221" w:type="dxa"/>
            <w:tcBorders>
              <w:top w:val="single" w:sz="4" w:space="0" w:color="auto"/>
              <w:left w:val="nil"/>
              <w:bottom w:val="single" w:sz="4" w:space="0" w:color="auto"/>
            </w:tcBorders>
            <w:shd w:val="clear" w:color="auto" w:fill="E6E6E6"/>
            <w:noWrap/>
            <w:vAlign w:val="bottom"/>
          </w:tcPr>
          <w:p w14:paraId="7B5998DD" w14:textId="77777777" w:rsidR="00E74E8B" w:rsidRPr="00BB661B" w:rsidRDefault="00E74E8B" w:rsidP="004B232A">
            <w:pPr>
              <w:spacing w:before="0" w:after="0"/>
              <w:jc w:val="right"/>
              <w:rPr>
                <w:rFonts w:ascii="Arial" w:hAnsi="Arial"/>
                <w:b/>
                <w:bCs/>
                <w:color w:val="000000"/>
                <w:sz w:val="16"/>
                <w:szCs w:val="16"/>
                <w:lang w:val="en-AU"/>
              </w:rPr>
            </w:pPr>
            <w:r w:rsidRPr="00BB661B">
              <w:rPr>
                <w:rFonts w:ascii="Arial" w:hAnsi="Arial"/>
                <w:b/>
                <w:bCs/>
                <w:color w:val="000000"/>
                <w:sz w:val="16"/>
                <w:szCs w:val="16"/>
              </w:rPr>
              <w:t>202</w:t>
            </w:r>
            <w:r w:rsidR="004B232A" w:rsidRPr="00BB661B">
              <w:rPr>
                <w:rFonts w:ascii="Arial" w:hAnsi="Arial"/>
                <w:b/>
                <w:bCs/>
                <w:color w:val="000000"/>
                <w:sz w:val="16"/>
                <w:szCs w:val="16"/>
              </w:rPr>
              <w:t>5</w:t>
            </w:r>
            <w:r w:rsidRPr="00BB661B">
              <w:rPr>
                <w:rFonts w:ascii="Arial" w:hAnsi="Arial"/>
                <w:b/>
                <w:bCs/>
                <w:color w:val="000000"/>
                <w:sz w:val="16"/>
                <w:szCs w:val="16"/>
              </w:rPr>
              <w:t>-2</w:t>
            </w:r>
            <w:r w:rsidR="004B232A" w:rsidRPr="00BB661B">
              <w:rPr>
                <w:rFonts w:ascii="Arial" w:hAnsi="Arial"/>
                <w:b/>
                <w:bCs/>
                <w:color w:val="000000"/>
                <w:sz w:val="16"/>
                <w:szCs w:val="16"/>
              </w:rPr>
              <w:t>6</w:t>
            </w:r>
            <w:r w:rsidRPr="00BB661B">
              <w:rPr>
                <w:rFonts w:ascii="Arial" w:hAnsi="Arial"/>
                <w:b/>
                <w:bCs/>
                <w:color w:val="000000"/>
                <w:sz w:val="16"/>
                <w:szCs w:val="16"/>
              </w:rPr>
              <w:t xml:space="preserve"> </w:t>
            </w:r>
            <w:r w:rsidR="00E60398" w:rsidRPr="00BB661B">
              <w:rPr>
                <w:rFonts w:ascii="Arial" w:hAnsi="Arial"/>
                <w:b/>
                <w:bCs/>
                <w:color w:val="000000"/>
                <w:sz w:val="16"/>
                <w:szCs w:val="16"/>
              </w:rPr>
              <w:t>Budget</w:t>
            </w:r>
            <w:r w:rsidRPr="00BB661B">
              <w:rPr>
                <w:rFonts w:ascii="Arial" w:hAnsi="Arial"/>
                <w:b/>
                <w:bCs/>
                <w:color w:val="000000"/>
                <w:sz w:val="16"/>
                <w:szCs w:val="16"/>
              </w:rPr>
              <w:t xml:space="preserve"> Estimate $’000</w:t>
            </w:r>
          </w:p>
        </w:tc>
      </w:tr>
      <w:tr w:rsidR="00E60398" w:rsidRPr="00BB661B" w14:paraId="7305DC0B" w14:textId="77777777" w:rsidTr="00B6293F">
        <w:trPr>
          <w:trHeight w:val="283"/>
        </w:trPr>
        <w:tc>
          <w:tcPr>
            <w:tcW w:w="5098" w:type="dxa"/>
            <w:tcBorders>
              <w:top w:val="single" w:sz="4" w:space="0" w:color="auto"/>
            </w:tcBorders>
            <w:shd w:val="clear" w:color="auto" w:fill="auto"/>
            <w:noWrap/>
            <w:vAlign w:val="center"/>
          </w:tcPr>
          <w:p w14:paraId="373E69AE" w14:textId="77777777" w:rsidR="00E60398" w:rsidRPr="00BB661B" w:rsidRDefault="00E60398" w:rsidP="00E27F44">
            <w:pPr>
              <w:spacing w:before="0" w:after="0"/>
              <w:rPr>
                <w:rFonts w:ascii="Arial" w:hAnsi="Arial"/>
                <w:color w:val="000000"/>
                <w:sz w:val="16"/>
                <w:szCs w:val="16"/>
                <w:lang w:val="en-AU"/>
              </w:rPr>
            </w:pPr>
            <w:r w:rsidRPr="00BB661B">
              <w:rPr>
                <w:rFonts w:ascii="Arial" w:hAnsi="Arial"/>
                <w:bCs/>
                <w:color w:val="000000"/>
                <w:sz w:val="16"/>
                <w:szCs w:val="16"/>
                <w:lang w:val="en-AU"/>
              </w:rPr>
              <w:t>Defence Indigenous Strategy</w:t>
            </w:r>
          </w:p>
        </w:tc>
        <w:tc>
          <w:tcPr>
            <w:tcW w:w="988" w:type="dxa"/>
            <w:tcBorders>
              <w:top w:val="single" w:sz="4" w:space="0" w:color="auto"/>
              <w:right w:val="nil"/>
            </w:tcBorders>
            <w:vAlign w:val="center"/>
          </w:tcPr>
          <w:p w14:paraId="7068FFB1" w14:textId="77777777" w:rsidR="00E60398" w:rsidRPr="00BB661B" w:rsidRDefault="00E60398" w:rsidP="00E27F44">
            <w:pPr>
              <w:spacing w:before="0" w:after="0"/>
              <w:jc w:val="right"/>
              <w:rPr>
                <w:rFonts w:ascii="Arial" w:hAnsi="Arial"/>
                <w:color w:val="000000"/>
                <w:sz w:val="16"/>
                <w:szCs w:val="16"/>
                <w:lang w:val="en-AU"/>
              </w:rPr>
            </w:pPr>
            <w:r w:rsidRPr="00BB661B">
              <w:rPr>
                <w:rFonts w:ascii="Arial" w:hAnsi="Arial"/>
                <w:color w:val="000000"/>
                <w:sz w:val="16"/>
                <w:szCs w:val="16"/>
                <w:lang w:val="en-AU"/>
              </w:rPr>
              <w:t>2.12</w:t>
            </w:r>
          </w:p>
        </w:tc>
        <w:tc>
          <w:tcPr>
            <w:tcW w:w="1220" w:type="dxa"/>
            <w:tcBorders>
              <w:top w:val="single" w:sz="4" w:space="0" w:color="auto"/>
              <w:right w:val="nil"/>
            </w:tcBorders>
            <w:vAlign w:val="center"/>
          </w:tcPr>
          <w:p w14:paraId="07260E15" w14:textId="6C637B1F" w:rsidR="00E60398" w:rsidRPr="00BB661B" w:rsidRDefault="00BB661B" w:rsidP="00E27F44">
            <w:pPr>
              <w:spacing w:before="0" w:after="0"/>
              <w:jc w:val="right"/>
              <w:rPr>
                <w:rFonts w:ascii="Arial" w:hAnsi="Arial"/>
                <w:color w:val="000000"/>
                <w:sz w:val="16"/>
                <w:szCs w:val="16"/>
                <w:lang w:val="en-AU"/>
              </w:rPr>
            </w:pPr>
            <w:r w:rsidRPr="00BB661B">
              <w:rPr>
                <w:rFonts w:ascii="Arial" w:hAnsi="Arial"/>
                <w:color w:val="000000"/>
                <w:sz w:val="16"/>
                <w:szCs w:val="16"/>
                <w:lang w:val="en-AU"/>
              </w:rPr>
              <w:t>5,197</w:t>
            </w:r>
          </w:p>
        </w:tc>
        <w:tc>
          <w:tcPr>
            <w:tcW w:w="1221" w:type="dxa"/>
            <w:tcBorders>
              <w:top w:val="single" w:sz="4" w:space="0" w:color="auto"/>
              <w:left w:val="nil"/>
            </w:tcBorders>
            <w:shd w:val="clear" w:color="auto" w:fill="auto"/>
            <w:noWrap/>
            <w:vAlign w:val="center"/>
          </w:tcPr>
          <w:p w14:paraId="59F6FAF1" w14:textId="1186C2D6" w:rsidR="00E60398" w:rsidRPr="00BB661B" w:rsidRDefault="00BB661B" w:rsidP="00E27F44">
            <w:pPr>
              <w:spacing w:before="0" w:after="0"/>
              <w:jc w:val="right"/>
              <w:rPr>
                <w:rFonts w:ascii="Arial" w:hAnsi="Arial"/>
                <w:color w:val="000000"/>
                <w:sz w:val="16"/>
                <w:szCs w:val="16"/>
                <w:lang w:val="en-AU"/>
              </w:rPr>
            </w:pPr>
            <w:r w:rsidRPr="00BB661B">
              <w:rPr>
                <w:rFonts w:ascii="Arial" w:hAnsi="Arial"/>
                <w:color w:val="000000"/>
                <w:sz w:val="16"/>
                <w:szCs w:val="16"/>
                <w:lang w:val="en-AU"/>
              </w:rPr>
              <w:t>6,807</w:t>
            </w:r>
          </w:p>
        </w:tc>
      </w:tr>
      <w:tr w:rsidR="00E60398" w:rsidRPr="00BB661B" w14:paraId="4E583A90" w14:textId="77777777" w:rsidTr="00B6293F">
        <w:trPr>
          <w:trHeight w:val="283"/>
        </w:trPr>
        <w:tc>
          <w:tcPr>
            <w:tcW w:w="5098" w:type="dxa"/>
            <w:tcBorders>
              <w:bottom w:val="single" w:sz="4" w:space="0" w:color="auto"/>
            </w:tcBorders>
            <w:shd w:val="clear" w:color="auto" w:fill="auto"/>
            <w:noWrap/>
            <w:vAlign w:val="center"/>
          </w:tcPr>
          <w:p w14:paraId="42D792CC" w14:textId="25A5B2DF" w:rsidR="00E60398" w:rsidRPr="00BB661B" w:rsidRDefault="00E60398" w:rsidP="00A5236E">
            <w:pPr>
              <w:spacing w:before="0" w:after="0"/>
              <w:rPr>
                <w:rFonts w:ascii="Arial" w:hAnsi="Arial"/>
                <w:bCs/>
                <w:color w:val="000000"/>
                <w:sz w:val="16"/>
                <w:szCs w:val="16"/>
                <w:lang w:val="en-AU"/>
              </w:rPr>
            </w:pPr>
            <w:r w:rsidRPr="00BB661B">
              <w:rPr>
                <w:rFonts w:ascii="Arial" w:hAnsi="Arial"/>
                <w:bCs/>
                <w:color w:val="000000"/>
                <w:sz w:val="16"/>
                <w:szCs w:val="16"/>
                <w:lang w:val="en-AU"/>
              </w:rPr>
              <w:t>Army Aboriginal Community Assistance Program</w:t>
            </w:r>
            <w:r w:rsidR="00C13114">
              <w:rPr>
                <w:bCs/>
                <w:szCs w:val="20"/>
                <w:vertAlign w:val="superscript"/>
                <w:lang w:val="en-AU"/>
              </w:rPr>
              <w:t>[</w:t>
            </w:r>
            <w:r w:rsidR="00A5236E">
              <w:rPr>
                <w:bCs/>
                <w:szCs w:val="20"/>
                <w:vertAlign w:val="superscript"/>
                <w:lang w:val="en-AU"/>
              </w:rPr>
              <w:t>a</w:t>
            </w:r>
            <w:r w:rsidR="00C13114" w:rsidRPr="00A65ED4">
              <w:rPr>
                <w:bCs/>
                <w:szCs w:val="20"/>
                <w:vertAlign w:val="superscript"/>
                <w:lang w:val="en-AU"/>
              </w:rPr>
              <w:t>]</w:t>
            </w:r>
          </w:p>
        </w:tc>
        <w:tc>
          <w:tcPr>
            <w:tcW w:w="988" w:type="dxa"/>
            <w:tcBorders>
              <w:bottom w:val="single" w:sz="4" w:space="0" w:color="auto"/>
              <w:right w:val="nil"/>
            </w:tcBorders>
            <w:vAlign w:val="center"/>
          </w:tcPr>
          <w:p w14:paraId="63277F3D" w14:textId="77777777" w:rsidR="00E60398" w:rsidRPr="00BB661B" w:rsidRDefault="00E60398" w:rsidP="00E27F44">
            <w:pPr>
              <w:spacing w:before="0" w:after="0"/>
              <w:jc w:val="right"/>
              <w:rPr>
                <w:rFonts w:ascii="Arial" w:hAnsi="Arial"/>
                <w:color w:val="000000"/>
                <w:sz w:val="16"/>
                <w:szCs w:val="16"/>
                <w:lang w:val="en-AU"/>
              </w:rPr>
            </w:pPr>
            <w:r w:rsidRPr="00BB661B">
              <w:rPr>
                <w:rFonts w:ascii="Arial" w:hAnsi="Arial"/>
                <w:color w:val="000000"/>
                <w:sz w:val="16"/>
                <w:szCs w:val="16"/>
                <w:lang w:val="en-AU"/>
              </w:rPr>
              <w:t>2.6</w:t>
            </w:r>
          </w:p>
        </w:tc>
        <w:tc>
          <w:tcPr>
            <w:tcW w:w="1220" w:type="dxa"/>
            <w:tcBorders>
              <w:bottom w:val="single" w:sz="4" w:space="0" w:color="auto"/>
              <w:right w:val="nil"/>
            </w:tcBorders>
            <w:vAlign w:val="center"/>
          </w:tcPr>
          <w:p w14:paraId="7D492CE9" w14:textId="2CFF7868" w:rsidR="00E60398" w:rsidRPr="00BB661B" w:rsidRDefault="00AF6757" w:rsidP="00E27F44">
            <w:pPr>
              <w:spacing w:before="0" w:after="0"/>
              <w:jc w:val="right"/>
              <w:rPr>
                <w:rFonts w:ascii="Arial" w:hAnsi="Arial"/>
                <w:color w:val="000000"/>
                <w:sz w:val="16"/>
                <w:szCs w:val="16"/>
                <w:lang w:val="en-AU"/>
              </w:rPr>
            </w:pPr>
            <w:r w:rsidRPr="00BB661B">
              <w:rPr>
                <w:rFonts w:ascii="Arial" w:hAnsi="Arial"/>
                <w:color w:val="000000"/>
                <w:sz w:val="16"/>
                <w:szCs w:val="16"/>
                <w:lang w:val="en-AU"/>
              </w:rPr>
              <w:t>19,793</w:t>
            </w:r>
          </w:p>
        </w:tc>
        <w:tc>
          <w:tcPr>
            <w:tcW w:w="1221" w:type="dxa"/>
            <w:tcBorders>
              <w:left w:val="nil"/>
              <w:bottom w:val="single" w:sz="4" w:space="0" w:color="auto"/>
            </w:tcBorders>
            <w:shd w:val="clear" w:color="auto" w:fill="auto"/>
            <w:noWrap/>
            <w:vAlign w:val="center"/>
          </w:tcPr>
          <w:p w14:paraId="7B4CDA1B" w14:textId="17CFEC26" w:rsidR="00E60398" w:rsidRPr="00BB661B" w:rsidRDefault="00AF6757" w:rsidP="00E27F44">
            <w:pPr>
              <w:spacing w:before="0" w:after="0"/>
              <w:jc w:val="right"/>
              <w:rPr>
                <w:rFonts w:ascii="Arial" w:hAnsi="Arial"/>
                <w:color w:val="000000"/>
                <w:sz w:val="16"/>
                <w:szCs w:val="16"/>
                <w:lang w:val="en-AU"/>
              </w:rPr>
            </w:pPr>
            <w:r w:rsidRPr="00BB661B">
              <w:rPr>
                <w:rFonts w:ascii="Arial" w:hAnsi="Arial"/>
                <w:color w:val="000000"/>
                <w:sz w:val="16"/>
                <w:szCs w:val="16"/>
                <w:lang w:val="en-AU"/>
              </w:rPr>
              <w:t>5,470</w:t>
            </w:r>
          </w:p>
        </w:tc>
      </w:tr>
      <w:tr w:rsidR="00E60398" w:rsidRPr="00194C8A" w14:paraId="1FE26EEC" w14:textId="77777777" w:rsidTr="000D2279">
        <w:trPr>
          <w:trHeight w:val="283"/>
        </w:trPr>
        <w:tc>
          <w:tcPr>
            <w:tcW w:w="5098" w:type="dxa"/>
            <w:tcBorders>
              <w:top w:val="single" w:sz="4" w:space="0" w:color="auto"/>
              <w:bottom w:val="single" w:sz="4" w:space="0" w:color="auto"/>
            </w:tcBorders>
            <w:shd w:val="clear" w:color="auto" w:fill="E6E6E6"/>
            <w:noWrap/>
            <w:vAlign w:val="center"/>
          </w:tcPr>
          <w:p w14:paraId="29CB90CA" w14:textId="77777777" w:rsidR="00E60398" w:rsidRPr="00BB661B" w:rsidRDefault="00E60398" w:rsidP="00E27F44">
            <w:pPr>
              <w:spacing w:before="0" w:after="0"/>
              <w:rPr>
                <w:rFonts w:ascii="Arial" w:hAnsi="Arial"/>
                <w:b/>
                <w:bCs/>
                <w:color w:val="000000"/>
                <w:sz w:val="16"/>
                <w:szCs w:val="16"/>
                <w:lang w:val="en-AU"/>
              </w:rPr>
            </w:pPr>
            <w:r w:rsidRPr="00BB661B">
              <w:rPr>
                <w:rFonts w:ascii="Arial" w:hAnsi="Arial"/>
                <w:b/>
                <w:bCs/>
                <w:color w:val="000000"/>
                <w:sz w:val="16"/>
                <w:szCs w:val="16"/>
                <w:lang w:val="en-AU"/>
              </w:rPr>
              <w:t>Total Australian Government Indigenous Expenditure</w:t>
            </w:r>
          </w:p>
        </w:tc>
        <w:tc>
          <w:tcPr>
            <w:tcW w:w="988" w:type="dxa"/>
            <w:tcBorders>
              <w:top w:val="single" w:sz="4" w:space="0" w:color="auto"/>
              <w:bottom w:val="single" w:sz="4" w:space="0" w:color="auto"/>
              <w:right w:val="nil"/>
            </w:tcBorders>
            <w:shd w:val="clear" w:color="auto" w:fill="E6E6E6"/>
            <w:vAlign w:val="center"/>
          </w:tcPr>
          <w:p w14:paraId="017E4D22" w14:textId="77777777" w:rsidR="00E60398" w:rsidRPr="00BB661B" w:rsidRDefault="00E60398" w:rsidP="00E27F44">
            <w:pPr>
              <w:spacing w:before="0" w:after="0"/>
              <w:jc w:val="right"/>
              <w:rPr>
                <w:rFonts w:ascii="Arial" w:hAnsi="Arial"/>
                <w:b/>
                <w:bCs/>
                <w:color w:val="000000"/>
                <w:sz w:val="16"/>
                <w:szCs w:val="16"/>
                <w:lang w:val="en-AU"/>
              </w:rPr>
            </w:pPr>
          </w:p>
        </w:tc>
        <w:tc>
          <w:tcPr>
            <w:tcW w:w="1220" w:type="dxa"/>
            <w:tcBorders>
              <w:top w:val="single" w:sz="4" w:space="0" w:color="auto"/>
              <w:bottom w:val="single" w:sz="4" w:space="0" w:color="auto"/>
              <w:right w:val="nil"/>
            </w:tcBorders>
            <w:shd w:val="clear" w:color="auto" w:fill="E6E6E6"/>
            <w:vAlign w:val="center"/>
          </w:tcPr>
          <w:p w14:paraId="6561CA38" w14:textId="226A23BC" w:rsidR="00E60398" w:rsidRPr="00BB661B" w:rsidRDefault="00BB661B" w:rsidP="00FB6148">
            <w:pPr>
              <w:spacing w:before="0" w:after="0"/>
              <w:jc w:val="right"/>
              <w:rPr>
                <w:rFonts w:ascii="Arial" w:hAnsi="Arial"/>
                <w:b/>
                <w:bCs/>
                <w:color w:val="000000"/>
                <w:sz w:val="16"/>
                <w:szCs w:val="16"/>
                <w:lang w:val="en-AU"/>
              </w:rPr>
            </w:pPr>
            <w:r w:rsidRPr="00BB661B">
              <w:rPr>
                <w:rFonts w:ascii="Arial" w:hAnsi="Arial"/>
                <w:b/>
                <w:bCs/>
                <w:color w:val="000000"/>
                <w:sz w:val="16"/>
                <w:szCs w:val="16"/>
                <w:lang w:val="en-AU"/>
              </w:rPr>
              <w:t>24,990</w:t>
            </w:r>
          </w:p>
        </w:tc>
        <w:tc>
          <w:tcPr>
            <w:tcW w:w="1221" w:type="dxa"/>
            <w:tcBorders>
              <w:top w:val="single" w:sz="4" w:space="0" w:color="auto"/>
              <w:left w:val="nil"/>
              <w:bottom w:val="single" w:sz="4" w:space="0" w:color="auto"/>
            </w:tcBorders>
            <w:shd w:val="clear" w:color="auto" w:fill="E6E6E6"/>
            <w:noWrap/>
            <w:vAlign w:val="center"/>
          </w:tcPr>
          <w:p w14:paraId="7397C160" w14:textId="5582FEA5" w:rsidR="00E60398" w:rsidRPr="00BB661B" w:rsidRDefault="00BB661B" w:rsidP="00FB6148">
            <w:pPr>
              <w:spacing w:before="0" w:after="0"/>
              <w:jc w:val="right"/>
              <w:rPr>
                <w:rFonts w:ascii="Arial" w:hAnsi="Arial"/>
                <w:b/>
                <w:bCs/>
                <w:color w:val="000000"/>
                <w:sz w:val="16"/>
                <w:szCs w:val="16"/>
                <w:lang w:val="en-AU"/>
              </w:rPr>
            </w:pPr>
            <w:r w:rsidRPr="00BB661B">
              <w:rPr>
                <w:rFonts w:ascii="Arial" w:hAnsi="Arial"/>
                <w:b/>
                <w:bCs/>
                <w:color w:val="000000"/>
                <w:sz w:val="16"/>
                <w:szCs w:val="16"/>
                <w:lang w:val="en-AU"/>
              </w:rPr>
              <w:t>12,277</w:t>
            </w:r>
          </w:p>
        </w:tc>
      </w:tr>
    </w:tbl>
    <w:p w14:paraId="278570FF" w14:textId="77777777" w:rsidR="002533F1" w:rsidRDefault="002533F1" w:rsidP="00E27F44">
      <w:pPr>
        <w:spacing w:before="0" w:after="0"/>
        <w:rPr>
          <w:rFonts w:ascii="Arial" w:hAnsi="Arial"/>
          <w:b/>
          <w:sz w:val="14"/>
          <w:szCs w:val="14"/>
        </w:rPr>
      </w:pPr>
    </w:p>
    <w:p w14:paraId="4CC60EB4" w14:textId="56A232D8" w:rsidR="00E74E8B" w:rsidRPr="002533F1" w:rsidRDefault="004E5726" w:rsidP="00E27F44">
      <w:pPr>
        <w:spacing w:before="0" w:after="0"/>
        <w:rPr>
          <w:rFonts w:ascii="Arial" w:hAnsi="Arial"/>
          <w:b/>
          <w:sz w:val="14"/>
          <w:szCs w:val="14"/>
        </w:rPr>
      </w:pPr>
      <w:r w:rsidRPr="002533F1">
        <w:rPr>
          <w:rFonts w:ascii="Arial" w:hAnsi="Arial"/>
          <w:b/>
          <w:sz w:val="14"/>
          <w:szCs w:val="14"/>
        </w:rPr>
        <w:t>Note</w:t>
      </w:r>
    </w:p>
    <w:p w14:paraId="2E0B9F31" w14:textId="37283C20" w:rsidR="001F34A0" w:rsidRDefault="00C13114" w:rsidP="00C13114">
      <w:pPr>
        <w:spacing w:before="0" w:after="0"/>
        <w:ind w:left="284" w:hanging="284"/>
        <w:rPr>
          <w:rFonts w:ascii="Arial" w:hAnsi="Arial"/>
          <w:sz w:val="14"/>
          <w:szCs w:val="14"/>
          <w:lang w:val="en-AU"/>
        </w:rPr>
      </w:pPr>
      <w:r>
        <w:rPr>
          <w:rFonts w:ascii="Arial" w:hAnsi="Arial"/>
          <w:sz w:val="14"/>
          <w:szCs w:val="14"/>
          <w:lang w:val="en-AU"/>
        </w:rPr>
        <w:t>a.</w:t>
      </w:r>
      <w:r>
        <w:rPr>
          <w:rFonts w:ascii="Arial" w:hAnsi="Arial"/>
          <w:sz w:val="14"/>
          <w:szCs w:val="14"/>
          <w:lang w:val="en-AU"/>
        </w:rPr>
        <w:tab/>
      </w:r>
      <w:r w:rsidR="00A5236E">
        <w:rPr>
          <w:rFonts w:ascii="Arial" w:hAnsi="Arial"/>
          <w:sz w:val="14"/>
          <w:szCs w:val="14"/>
          <w:lang w:val="en-AU"/>
        </w:rPr>
        <w:t xml:space="preserve">The </w:t>
      </w:r>
      <w:r w:rsidR="00A5236E" w:rsidRPr="00473104">
        <w:rPr>
          <w:rFonts w:ascii="Arial" w:hAnsi="Arial"/>
          <w:sz w:val="14"/>
          <w:szCs w:val="14"/>
          <w:lang w:val="en-AU"/>
        </w:rPr>
        <w:t xml:space="preserve">2025-26 Budget Estimate </w:t>
      </w:r>
      <w:r w:rsidR="00A5236E">
        <w:rPr>
          <w:rFonts w:ascii="Arial" w:hAnsi="Arial"/>
          <w:sz w:val="14"/>
          <w:szCs w:val="14"/>
          <w:lang w:val="en-AU"/>
        </w:rPr>
        <w:t>is subject to change based on planning and prioritisation of activity for 2025-26 in coordination with the National Indigenous Australian’s Agency.</w:t>
      </w:r>
      <w:r w:rsidR="00A5236E" w:rsidRPr="00473104">
        <w:rPr>
          <w:rFonts w:ascii="Arial" w:hAnsi="Arial"/>
          <w:sz w:val="14"/>
          <w:szCs w:val="14"/>
          <w:lang w:val="en-AU"/>
        </w:rPr>
        <w:t xml:space="preserve"> </w:t>
      </w:r>
      <w:r w:rsidR="00A5236E">
        <w:rPr>
          <w:rFonts w:ascii="Arial" w:hAnsi="Arial"/>
          <w:sz w:val="14"/>
          <w:szCs w:val="14"/>
          <w:lang w:val="en-AU"/>
        </w:rPr>
        <w:t xml:space="preserve">The 2025-26 Budget estimate is currently lower compared to 2024-25 Estimated Actual </w:t>
      </w:r>
      <w:r w:rsidR="00A5236E" w:rsidRPr="00473104">
        <w:rPr>
          <w:rFonts w:ascii="Arial" w:hAnsi="Arial"/>
          <w:sz w:val="14"/>
          <w:szCs w:val="14"/>
          <w:lang w:val="en-AU"/>
        </w:rPr>
        <w:t xml:space="preserve">due to the delivery of AACAP 2023 Gapuwiyak (NT) </w:t>
      </w:r>
      <w:r w:rsidR="00A5236E">
        <w:rPr>
          <w:rFonts w:ascii="Arial" w:hAnsi="Arial"/>
          <w:sz w:val="14"/>
          <w:szCs w:val="14"/>
          <w:lang w:val="en-AU"/>
        </w:rPr>
        <w:t>during 2024-25 and earlier activity in support</w:t>
      </w:r>
      <w:r w:rsidR="00A5236E" w:rsidRPr="00473104">
        <w:rPr>
          <w:rFonts w:ascii="Arial" w:hAnsi="Arial"/>
          <w:sz w:val="14"/>
          <w:szCs w:val="14"/>
          <w:lang w:val="en-AU"/>
        </w:rPr>
        <w:t xml:space="preserve"> of AACAP 2025 Torres Strait (Qld) </w:t>
      </w:r>
      <w:r w:rsidR="00A5236E">
        <w:rPr>
          <w:rFonts w:ascii="Arial" w:hAnsi="Arial"/>
          <w:sz w:val="14"/>
          <w:szCs w:val="14"/>
          <w:lang w:val="en-AU"/>
        </w:rPr>
        <w:t>also occurring during</w:t>
      </w:r>
      <w:r w:rsidR="00A5236E" w:rsidRPr="00473104">
        <w:rPr>
          <w:rFonts w:ascii="Arial" w:hAnsi="Arial"/>
          <w:sz w:val="14"/>
          <w:szCs w:val="14"/>
          <w:lang w:val="en-AU"/>
        </w:rPr>
        <w:t xml:space="preserve"> 2024-25</w:t>
      </w:r>
      <w:r w:rsidR="00A5236E">
        <w:rPr>
          <w:rFonts w:ascii="Arial" w:hAnsi="Arial"/>
          <w:sz w:val="14"/>
          <w:szCs w:val="14"/>
          <w:lang w:val="en-AU"/>
        </w:rPr>
        <w:t>.</w:t>
      </w:r>
      <w:r>
        <w:rPr>
          <w:rFonts w:ascii="Arial" w:hAnsi="Arial"/>
          <w:sz w:val="14"/>
          <w:szCs w:val="14"/>
          <w:lang w:val="en-AU"/>
        </w:rPr>
        <w:tab/>
      </w:r>
      <w:r>
        <w:rPr>
          <w:rFonts w:ascii="Arial" w:hAnsi="Arial"/>
          <w:sz w:val="14"/>
          <w:szCs w:val="14"/>
          <w:lang w:val="en-AU"/>
        </w:rPr>
        <w:tab/>
      </w:r>
      <w:r>
        <w:rPr>
          <w:rFonts w:ascii="Arial" w:hAnsi="Arial"/>
          <w:sz w:val="14"/>
          <w:szCs w:val="14"/>
          <w:lang w:val="en-AU"/>
        </w:rPr>
        <w:tab/>
      </w:r>
    </w:p>
    <w:p w14:paraId="652EE75B" w14:textId="1BFB791C" w:rsidR="00E27F3A" w:rsidRPr="00857D09" w:rsidRDefault="00E27F3A" w:rsidP="00CA76D7">
      <w:pPr>
        <w:pStyle w:val="BodyText"/>
        <w:spacing w:after="0"/>
      </w:pPr>
      <w:r w:rsidRPr="00857D09">
        <w:t xml:space="preserve">Defence’s commitment to reconciliation and implementing the </w:t>
      </w:r>
      <w:r w:rsidRPr="00857D09">
        <w:rPr>
          <w:i/>
        </w:rPr>
        <w:t>National Agreemen</w:t>
      </w:r>
      <w:r w:rsidR="0021531F">
        <w:rPr>
          <w:i/>
        </w:rPr>
        <w:t xml:space="preserve">t on Closing </w:t>
      </w:r>
      <w:r w:rsidRPr="00857D09">
        <w:rPr>
          <w:i/>
        </w:rPr>
        <w:t>the</w:t>
      </w:r>
      <w:r w:rsidR="0021531F">
        <w:rPr>
          <w:i/>
        </w:rPr>
        <w:t xml:space="preserve"> </w:t>
      </w:r>
      <w:r w:rsidRPr="00857D09">
        <w:rPr>
          <w:i/>
        </w:rPr>
        <w:t xml:space="preserve">Gap </w:t>
      </w:r>
      <w:r w:rsidRPr="00857D09">
        <w:t xml:space="preserve">will continue </w:t>
      </w:r>
      <w:r>
        <w:t>by</w:t>
      </w:r>
      <w:r w:rsidRPr="00857D09">
        <w:t xml:space="preserve"> focus</w:t>
      </w:r>
      <w:r>
        <w:t xml:space="preserve">ing </w:t>
      </w:r>
      <w:r w:rsidRPr="00857D09">
        <w:t>on the attraction, recruitment, and retention of First Nations peoples, and empower</w:t>
      </w:r>
      <w:r>
        <w:t>ing</w:t>
      </w:r>
      <w:r w:rsidRPr="00857D09">
        <w:t xml:space="preserve"> the First Nations business sector to enhance Defence capability.</w:t>
      </w:r>
    </w:p>
    <w:p w14:paraId="536E7156" w14:textId="77777777" w:rsidR="00E27F3A" w:rsidRPr="00A60D8D" w:rsidRDefault="00E27F3A" w:rsidP="00E27F3A">
      <w:pPr>
        <w:pStyle w:val="BodyText"/>
        <w:rPr>
          <w:rFonts w:ascii="Arial" w:hAnsi="Arial"/>
          <w:b/>
        </w:rPr>
      </w:pPr>
      <w:r w:rsidRPr="00A60D8D">
        <w:rPr>
          <w:rFonts w:ascii="Arial" w:hAnsi="Arial"/>
          <w:b/>
        </w:rPr>
        <w:t>Defence Indigenous Participation</w:t>
      </w:r>
    </w:p>
    <w:p w14:paraId="4EFEE3EE" w14:textId="77777777" w:rsidR="00E27F3A" w:rsidRPr="00857D09" w:rsidRDefault="00E27F3A" w:rsidP="00CA76D7">
      <w:pPr>
        <w:pStyle w:val="BodyText"/>
        <w:spacing w:before="0" w:after="0"/>
      </w:pPr>
      <w:r w:rsidRPr="00857D09">
        <w:t>Defence has First Nations representation targets of 5 per cent for the Defence Australian Public Service (APS) workforce by 2030, and 5 per cent for the Australian Defence Force (ADF) by 2025. As at 1 January 2025, the ADF participation rate was 3.9 per cent and the Defence APS participation rate was 1.8 per cent. Over 2025-26, Defence will increase the opportunities of the First Nations workforce through targeted recruitment and retention programs and initiatives.</w:t>
      </w:r>
    </w:p>
    <w:p w14:paraId="237B0CAF" w14:textId="77777777" w:rsidR="00E27F3A" w:rsidRPr="00A60D8D" w:rsidRDefault="00E27F3A" w:rsidP="00E27F3A">
      <w:pPr>
        <w:pStyle w:val="BodyText"/>
        <w:rPr>
          <w:rFonts w:ascii="Arial" w:hAnsi="Arial"/>
          <w:b/>
          <w:szCs w:val="20"/>
        </w:rPr>
      </w:pPr>
      <w:r w:rsidRPr="00A60D8D">
        <w:rPr>
          <w:rFonts w:ascii="Arial" w:hAnsi="Arial"/>
          <w:b/>
          <w:szCs w:val="20"/>
        </w:rPr>
        <w:t>Defence Indigenous Procurement Policy (IPP)</w:t>
      </w:r>
    </w:p>
    <w:p w14:paraId="42A26CA4" w14:textId="77777777" w:rsidR="00E27F3A" w:rsidRDefault="00E27F3A" w:rsidP="00CA76D7">
      <w:pPr>
        <w:pStyle w:val="BodyText"/>
        <w:spacing w:before="0" w:after="0"/>
      </w:pPr>
      <w:r w:rsidRPr="002860DF">
        <w:t>Defence continues to exceed Government targets under the Indigenous Procurement Policy (IPP) and is the Commonwealth’s largest procurer of First Nations goods and services. As at 1 January 2025</w:t>
      </w:r>
      <w:r>
        <w:t>,</w:t>
      </w:r>
      <w:r w:rsidRPr="002860DF">
        <w:t xml:space="preserve"> over $10.7 billion of </w:t>
      </w:r>
      <w:r w:rsidRPr="00BB0A7F">
        <w:t>Commonwealth Government contracts have been awarded to First Nations businesses since the introduction of the IPP in 2015. Of this</w:t>
      </w:r>
      <w:r w:rsidRPr="002860DF">
        <w:t>, Defence has awarded over $5.5 billion in contract value to First Nations businesses. Defence place</w:t>
      </w:r>
      <w:r>
        <w:t>s</w:t>
      </w:r>
      <w:r w:rsidRPr="002860DF">
        <w:t xml:space="preserve"> a strong emphasis on engagement with the First Nations business sector, creating opportunities and promoting greater inclusion of </w:t>
      </w:r>
      <w:r>
        <w:t xml:space="preserve">First Nations </w:t>
      </w:r>
      <w:r w:rsidRPr="002860DF">
        <w:t>businesses on Defence panel arrangements. Def</w:t>
      </w:r>
      <w:r>
        <w:t>ence will deliver First Nations</w:t>
      </w:r>
      <w:r w:rsidRPr="002860DF">
        <w:t xml:space="preserve"> procurement reform in 2025-26 </w:t>
      </w:r>
      <w:r>
        <w:t xml:space="preserve">in order </w:t>
      </w:r>
      <w:r w:rsidRPr="002860DF">
        <w:t>to strengthen First Nations business participation across Defence.</w:t>
      </w:r>
    </w:p>
    <w:p w14:paraId="6C2EABF6" w14:textId="77777777" w:rsidR="00E27F3A" w:rsidRDefault="00E27F3A" w:rsidP="00E27F3A">
      <w:pPr>
        <w:pStyle w:val="BodyText"/>
        <w:rPr>
          <w:rFonts w:ascii="Arial" w:hAnsi="Arial"/>
          <w:b/>
        </w:rPr>
      </w:pPr>
      <w:r w:rsidRPr="00A60D8D">
        <w:rPr>
          <w:rFonts w:ascii="Arial" w:hAnsi="Arial"/>
          <w:b/>
        </w:rPr>
        <w:t>Defence Indigenous Programs</w:t>
      </w:r>
    </w:p>
    <w:p w14:paraId="5587FB25" w14:textId="77777777" w:rsidR="00E27F3A" w:rsidRPr="0092091C" w:rsidRDefault="00E27F3A" w:rsidP="00CA76D7">
      <w:pPr>
        <w:pStyle w:val="BodyText"/>
        <w:spacing w:before="0"/>
        <w:rPr>
          <w:szCs w:val="20"/>
        </w:rPr>
      </w:pPr>
      <w:r w:rsidRPr="002860DF">
        <w:rPr>
          <w:szCs w:val="20"/>
        </w:rPr>
        <w:t xml:space="preserve">The ADF operates a number of First Nations employment pathway programs, including specialist ADF First Nations Recruitment </w:t>
      </w:r>
      <w:r w:rsidRPr="00AE47AB">
        <w:rPr>
          <w:szCs w:val="20"/>
        </w:rPr>
        <w:t>Teams, the Navy and Army Indigenous Development Programs and Air Force Indigenous Recruitment Pathways Program</w:t>
      </w:r>
      <w:r w:rsidRPr="0090513B">
        <w:rPr>
          <w:szCs w:val="20"/>
        </w:rPr>
        <w:t xml:space="preserve">s. The ADF also implements the </w:t>
      </w:r>
      <w:r>
        <w:rPr>
          <w:szCs w:val="20"/>
        </w:rPr>
        <w:t>Indigenous Pre</w:t>
      </w:r>
      <w:r>
        <w:rPr>
          <w:szCs w:val="20"/>
        </w:rPr>
        <w:noBreakHyphen/>
        <w:t>Recruit Program,</w:t>
      </w:r>
      <w:r w:rsidRPr="0090513B">
        <w:rPr>
          <w:szCs w:val="20"/>
        </w:rPr>
        <w:t xml:space="preserve"> a Tri-S</w:t>
      </w:r>
      <w:r>
        <w:rPr>
          <w:szCs w:val="20"/>
        </w:rPr>
        <w:t xml:space="preserve">ervice program, </w:t>
      </w:r>
      <w:r w:rsidRPr="007700AF">
        <w:rPr>
          <w:szCs w:val="20"/>
        </w:rPr>
        <w:t>delivered across Australia.</w:t>
      </w:r>
    </w:p>
    <w:p w14:paraId="5CBAA12B" w14:textId="77777777" w:rsidR="00E27F3A" w:rsidRPr="007700AF" w:rsidRDefault="00E27F3A" w:rsidP="00CA76D7">
      <w:pPr>
        <w:pStyle w:val="BodyText"/>
        <w:spacing w:before="0"/>
        <w:rPr>
          <w:szCs w:val="20"/>
        </w:rPr>
      </w:pPr>
      <w:r>
        <w:rPr>
          <w:szCs w:val="20"/>
        </w:rPr>
        <w:t>Defence will continue to partner with the N</w:t>
      </w:r>
      <w:r w:rsidRPr="0092091C">
        <w:rPr>
          <w:szCs w:val="20"/>
        </w:rPr>
        <w:t xml:space="preserve">ational Indigenous Australians Agency (NIAA) to support programs identified in the </w:t>
      </w:r>
      <w:r w:rsidRPr="002860DF">
        <w:rPr>
          <w:i/>
          <w:szCs w:val="20"/>
        </w:rPr>
        <w:t>Commonwealth Aboriginal and Torres Strait Islander Workforce Strategy 2020-24</w:t>
      </w:r>
      <w:r>
        <w:rPr>
          <w:i/>
          <w:szCs w:val="20"/>
        </w:rPr>
        <w:t xml:space="preserve">. </w:t>
      </w:r>
      <w:r>
        <w:rPr>
          <w:szCs w:val="20"/>
        </w:rPr>
        <w:t xml:space="preserve">The </w:t>
      </w:r>
      <w:r w:rsidRPr="002860DF">
        <w:rPr>
          <w:szCs w:val="20"/>
        </w:rPr>
        <w:t xml:space="preserve">Indigenous Graduate Pathway Program </w:t>
      </w:r>
      <w:r w:rsidRPr="00AE47AB">
        <w:rPr>
          <w:szCs w:val="20"/>
        </w:rPr>
        <w:t xml:space="preserve">(managed by Defence since 2021) and the </w:t>
      </w:r>
      <w:r w:rsidRPr="0090513B">
        <w:rPr>
          <w:szCs w:val="20"/>
        </w:rPr>
        <w:t>Indigenous Apprenticeship Program (IAP) aim to increase First Nations graduates and apprentices across Government agencies</w:t>
      </w:r>
      <w:r w:rsidRPr="007700AF">
        <w:rPr>
          <w:szCs w:val="20"/>
        </w:rPr>
        <w:t>.</w:t>
      </w:r>
      <w:r w:rsidRPr="00A60D8D">
        <w:rPr>
          <w:szCs w:val="20"/>
        </w:rPr>
        <w:t xml:space="preserve"> Defence will also implement the Indigenous Development Employment Program (IDEP), to provide First Nations personnel with development opportunities in areas of communication, leadership, teamwork, personal development and critical thinking.</w:t>
      </w:r>
    </w:p>
    <w:p w14:paraId="7EC5C995" w14:textId="77777777" w:rsidR="00E27F3A" w:rsidRDefault="00E27F3A" w:rsidP="00E27F3A">
      <w:pPr>
        <w:spacing w:before="0" w:after="0"/>
        <w:rPr>
          <w:rFonts w:ascii="Arial" w:hAnsi="Arial"/>
          <w:b/>
          <w:bCs/>
          <w:iCs/>
          <w:szCs w:val="20"/>
        </w:rPr>
      </w:pPr>
      <w:r>
        <w:rPr>
          <w:szCs w:val="20"/>
        </w:rPr>
        <w:br w:type="page"/>
      </w:r>
    </w:p>
    <w:p w14:paraId="04D3469A" w14:textId="77777777" w:rsidR="00E27F3A" w:rsidRPr="00857D09" w:rsidRDefault="00E27F3A" w:rsidP="00E27F3A">
      <w:pPr>
        <w:pStyle w:val="Heading5level6"/>
        <w:spacing w:before="120"/>
        <w:rPr>
          <w:b w:val="0"/>
          <w:bCs w:val="0"/>
        </w:rPr>
      </w:pPr>
      <w:r w:rsidRPr="00857D09">
        <w:rPr>
          <w:szCs w:val="20"/>
        </w:rPr>
        <w:lastRenderedPageBreak/>
        <w:t>Defence Indigenous Community Assistance</w:t>
      </w:r>
      <w:r>
        <w:rPr>
          <w:szCs w:val="20"/>
        </w:rPr>
        <w:t xml:space="preserve"> Programs</w:t>
      </w:r>
    </w:p>
    <w:p w14:paraId="384843F5" w14:textId="77777777" w:rsidR="00E27F3A" w:rsidRPr="00A65ED4" w:rsidRDefault="00C60E22" w:rsidP="00CA76D7">
      <w:pPr>
        <w:spacing w:before="0"/>
        <w:rPr>
          <w:rFonts w:eastAsia="Calibri"/>
          <w:szCs w:val="20"/>
          <w:lang w:val="en-AU" w:eastAsia="en-US"/>
        </w:rPr>
      </w:pPr>
      <w:r w:rsidRPr="00A65ED4">
        <w:rPr>
          <w:rFonts w:cs="Times New Roman"/>
          <w:szCs w:val="20"/>
        </w:rPr>
        <w:t>Defence contributes to a number of Indigenous community assistance programs, supporting Federal, State/Territory</w:t>
      </w:r>
      <w:r w:rsidRPr="00A65ED4">
        <w:rPr>
          <w:rFonts w:cs="Times New Roman"/>
          <w:spacing w:val="-11"/>
          <w:szCs w:val="20"/>
        </w:rPr>
        <w:t xml:space="preserve"> </w:t>
      </w:r>
      <w:r w:rsidRPr="00A65ED4">
        <w:rPr>
          <w:rFonts w:cs="Times New Roman"/>
          <w:szCs w:val="20"/>
        </w:rPr>
        <w:t>Government</w:t>
      </w:r>
      <w:r w:rsidRPr="00A65ED4">
        <w:rPr>
          <w:rFonts w:cs="Times New Roman"/>
          <w:spacing w:val="40"/>
          <w:szCs w:val="20"/>
        </w:rPr>
        <w:t xml:space="preserve"> </w:t>
      </w:r>
      <w:r w:rsidRPr="00A65ED4">
        <w:rPr>
          <w:rFonts w:cs="Times New Roman"/>
          <w:szCs w:val="20"/>
        </w:rPr>
        <w:t>and Councils to build partnerships with local First Nation Groups. The Army Aboriginal Community Assistance Program (AACAP) is</w:t>
      </w:r>
      <w:r w:rsidRPr="00A65ED4">
        <w:rPr>
          <w:rFonts w:cs="Times New Roman"/>
          <w:spacing w:val="-4"/>
          <w:szCs w:val="20"/>
        </w:rPr>
        <w:t xml:space="preserve"> </w:t>
      </w:r>
      <w:r w:rsidRPr="00A65ED4">
        <w:rPr>
          <w:rFonts w:cs="Times New Roman"/>
          <w:szCs w:val="20"/>
        </w:rPr>
        <w:t>a Commonwealth Government initiative between Defence (Army) and the National Indigenous Australians Agency.</w:t>
      </w:r>
      <w:r w:rsidRPr="00A65ED4">
        <w:rPr>
          <w:rFonts w:cs="Times New Roman"/>
          <w:spacing w:val="40"/>
          <w:szCs w:val="20"/>
        </w:rPr>
        <w:t xml:space="preserve"> </w:t>
      </w:r>
      <w:r w:rsidRPr="00A65ED4">
        <w:rPr>
          <w:rFonts w:cs="Times New Roman"/>
          <w:szCs w:val="20"/>
        </w:rPr>
        <w:t>It aims to</w:t>
      </w:r>
      <w:r w:rsidRPr="00A65ED4">
        <w:rPr>
          <w:rFonts w:cs="Times New Roman"/>
          <w:spacing w:val="24"/>
          <w:szCs w:val="20"/>
        </w:rPr>
        <w:t xml:space="preserve"> </w:t>
      </w:r>
      <w:r w:rsidRPr="00A65ED4">
        <w:rPr>
          <w:rFonts w:cs="Times New Roman"/>
          <w:szCs w:val="20"/>
        </w:rPr>
        <w:t>improve</w:t>
      </w:r>
      <w:r w:rsidRPr="00A65ED4">
        <w:rPr>
          <w:rFonts w:cs="Times New Roman"/>
          <w:spacing w:val="35"/>
          <w:szCs w:val="20"/>
        </w:rPr>
        <w:t xml:space="preserve"> </w:t>
      </w:r>
      <w:r w:rsidRPr="00A65ED4">
        <w:rPr>
          <w:rFonts w:cs="Times New Roman"/>
          <w:szCs w:val="20"/>
        </w:rPr>
        <w:t>infrastructure, health,</w:t>
      </w:r>
      <w:r w:rsidRPr="00A65ED4">
        <w:rPr>
          <w:rFonts w:cs="Times New Roman"/>
          <w:spacing w:val="25"/>
          <w:szCs w:val="20"/>
        </w:rPr>
        <w:t xml:space="preserve"> </w:t>
      </w:r>
      <w:r w:rsidRPr="00A65ED4">
        <w:rPr>
          <w:rFonts w:cs="Times New Roman"/>
          <w:szCs w:val="20"/>
        </w:rPr>
        <w:t>living</w:t>
      </w:r>
      <w:r w:rsidRPr="00A65ED4">
        <w:rPr>
          <w:rFonts w:cs="Times New Roman"/>
          <w:spacing w:val="38"/>
          <w:szCs w:val="20"/>
        </w:rPr>
        <w:t xml:space="preserve"> </w:t>
      </w:r>
      <w:r w:rsidRPr="00A65ED4">
        <w:rPr>
          <w:rFonts w:cs="Times New Roman"/>
          <w:szCs w:val="20"/>
        </w:rPr>
        <w:t>and economic</w:t>
      </w:r>
      <w:r w:rsidRPr="00A65ED4">
        <w:rPr>
          <w:rFonts w:cs="Times New Roman"/>
          <w:spacing w:val="34"/>
          <w:szCs w:val="20"/>
        </w:rPr>
        <w:t xml:space="preserve"> </w:t>
      </w:r>
      <w:r w:rsidRPr="00A65ED4">
        <w:rPr>
          <w:rFonts w:cs="Times New Roman"/>
          <w:szCs w:val="20"/>
        </w:rPr>
        <w:t>conditions</w:t>
      </w:r>
      <w:r w:rsidRPr="00A65ED4">
        <w:rPr>
          <w:rFonts w:cs="Times New Roman"/>
          <w:spacing w:val="37"/>
          <w:szCs w:val="20"/>
        </w:rPr>
        <w:t xml:space="preserve"> </w:t>
      </w:r>
      <w:r w:rsidRPr="00A65ED4">
        <w:rPr>
          <w:rFonts w:cs="Times New Roman"/>
          <w:szCs w:val="20"/>
        </w:rPr>
        <w:t xml:space="preserve">within remote Indigenous communities. These aims support the </w:t>
      </w:r>
      <w:r w:rsidRPr="00A65ED4">
        <w:rPr>
          <w:rFonts w:cs="Times New Roman"/>
          <w:i/>
          <w:iCs/>
          <w:szCs w:val="20"/>
        </w:rPr>
        <w:t>National Agreement on Closing the</w:t>
      </w:r>
      <w:r w:rsidRPr="00A65ED4">
        <w:rPr>
          <w:rFonts w:cs="Times New Roman"/>
          <w:i/>
          <w:iCs/>
          <w:spacing w:val="40"/>
          <w:szCs w:val="20"/>
        </w:rPr>
        <w:t xml:space="preserve"> </w:t>
      </w:r>
      <w:r w:rsidRPr="00A65ED4">
        <w:rPr>
          <w:rFonts w:cs="Times New Roman"/>
          <w:i/>
          <w:iCs/>
          <w:szCs w:val="20"/>
        </w:rPr>
        <w:t xml:space="preserve">Gap </w:t>
      </w:r>
      <w:r w:rsidRPr="00A65ED4">
        <w:rPr>
          <w:rFonts w:cs="Times New Roman"/>
          <w:szCs w:val="20"/>
        </w:rPr>
        <w:t>which brings Aboriginal and Torres Strait Islander peoples, governments and key stakeholders together, to address the inequality experienced</w:t>
      </w:r>
      <w:r w:rsidRPr="00A65ED4">
        <w:rPr>
          <w:rFonts w:cs="Times New Roman"/>
          <w:spacing w:val="40"/>
          <w:szCs w:val="20"/>
        </w:rPr>
        <w:t xml:space="preserve"> </w:t>
      </w:r>
      <w:r w:rsidRPr="00A65ED4">
        <w:rPr>
          <w:rFonts w:cs="Times New Roman"/>
          <w:szCs w:val="20"/>
        </w:rPr>
        <w:t>by Aboriginal</w:t>
      </w:r>
      <w:r w:rsidRPr="00A65ED4">
        <w:rPr>
          <w:rFonts w:cs="Times New Roman"/>
          <w:spacing w:val="40"/>
          <w:szCs w:val="20"/>
        </w:rPr>
        <w:t xml:space="preserve"> </w:t>
      </w:r>
      <w:r w:rsidRPr="00A65ED4">
        <w:rPr>
          <w:rFonts w:cs="Times New Roman"/>
          <w:szCs w:val="20"/>
        </w:rPr>
        <w:t>and Torres Strait Islander</w:t>
      </w:r>
      <w:r w:rsidRPr="00A65ED4">
        <w:rPr>
          <w:rFonts w:cs="Times New Roman"/>
          <w:spacing w:val="20"/>
          <w:szCs w:val="20"/>
        </w:rPr>
        <w:t xml:space="preserve"> </w:t>
      </w:r>
      <w:r w:rsidRPr="00A65ED4">
        <w:rPr>
          <w:rFonts w:cs="Times New Roman"/>
          <w:szCs w:val="20"/>
        </w:rPr>
        <w:t>peoples.</w:t>
      </w:r>
      <w:r w:rsidRPr="00A65ED4">
        <w:rPr>
          <w:rFonts w:cs="Times New Roman"/>
          <w:spacing w:val="28"/>
          <w:szCs w:val="20"/>
        </w:rPr>
        <w:t xml:space="preserve"> </w:t>
      </w:r>
      <w:r w:rsidRPr="00A65ED4">
        <w:rPr>
          <w:rFonts w:cs="Times New Roman"/>
          <w:szCs w:val="20"/>
        </w:rPr>
        <w:t>AACAP</w:t>
      </w:r>
      <w:r w:rsidRPr="00A65ED4">
        <w:rPr>
          <w:rFonts w:cs="Times New Roman"/>
          <w:spacing w:val="32"/>
          <w:szCs w:val="20"/>
        </w:rPr>
        <w:t xml:space="preserve"> </w:t>
      </w:r>
      <w:r w:rsidRPr="00A65ED4">
        <w:rPr>
          <w:rFonts w:cs="Times New Roman"/>
          <w:szCs w:val="20"/>
        </w:rPr>
        <w:t>projects</w:t>
      </w:r>
      <w:r w:rsidRPr="00A65ED4">
        <w:rPr>
          <w:rFonts w:cs="Times New Roman"/>
          <w:spacing w:val="35"/>
          <w:szCs w:val="20"/>
        </w:rPr>
        <w:t xml:space="preserve"> </w:t>
      </w:r>
      <w:r w:rsidRPr="00A65ED4">
        <w:rPr>
          <w:rFonts w:cs="Times New Roman"/>
          <w:szCs w:val="20"/>
        </w:rPr>
        <w:t>leverage</w:t>
      </w:r>
      <w:r w:rsidRPr="00A65ED4">
        <w:rPr>
          <w:rFonts w:cs="Times New Roman"/>
          <w:spacing w:val="39"/>
          <w:szCs w:val="20"/>
        </w:rPr>
        <w:t xml:space="preserve"> </w:t>
      </w:r>
      <w:r w:rsidRPr="00A65ED4">
        <w:rPr>
          <w:rFonts w:cs="Times New Roman"/>
          <w:szCs w:val="20"/>
        </w:rPr>
        <w:t>the ability of</w:t>
      </w:r>
      <w:r w:rsidRPr="00A65ED4">
        <w:rPr>
          <w:rFonts w:cs="Times New Roman"/>
          <w:spacing w:val="20"/>
          <w:szCs w:val="20"/>
        </w:rPr>
        <w:t xml:space="preserve"> </w:t>
      </w:r>
      <w:r w:rsidRPr="00A65ED4">
        <w:rPr>
          <w:rFonts w:cs="Times New Roman"/>
          <w:szCs w:val="20"/>
        </w:rPr>
        <w:t>Army</w:t>
      </w:r>
      <w:r w:rsidRPr="00A65ED4">
        <w:rPr>
          <w:rFonts w:cs="Times New Roman"/>
          <w:spacing w:val="19"/>
          <w:szCs w:val="20"/>
        </w:rPr>
        <w:t xml:space="preserve"> </w:t>
      </w:r>
      <w:r w:rsidRPr="00A65ED4">
        <w:rPr>
          <w:rFonts w:cs="Times New Roman"/>
          <w:szCs w:val="20"/>
        </w:rPr>
        <w:t>to deliver</w:t>
      </w:r>
      <w:r w:rsidRPr="00A65ED4">
        <w:rPr>
          <w:rFonts w:cs="Times New Roman"/>
          <w:spacing w:val="15"/>
          <w:szCs w:val="20"/>
        </w:rPr>
        <w:t xml:space="preserve"> </w:t>
      </w:r>
      <w:r w:rsidRPr="00A65ED4">
        <w:rPr>
          <w:rFonts w:cs="Times New Roman"/>
          <w:szCs w:val="20"/>
        </w:rPr>
        <w:t>a</w:t>
      </w:r>
      <w:r w:rsidRPr="00A65ED4">
        <w:rPr>
          <w:rFonts w:cs="Times New Roman"/>
          <w:spacing w:val="24"/>
          <w:szCs w:val="20"/>
        </w:rPr>
        <w:t xml:space="preserve"> </w:t>
      </w:r>
      <w:r w:rsidRPr="00A65ED4">
        <w:rPr>
          <w:rFonts w:cs="Times New Roman"/>
          <w:szCs w:val="20"/>
        </w:rPr>
        <w:t>range</w:t>
      </w:r>
      <w:r w:rsidRPr="00A65ED4">
        <w:rPr>
          <w:rFonts w:cs="Times New Roman"/>
          <w:spacing w:val="14"/>
          <w:szCs w:val="20"/>
        </w:rPr>
        <w:t xml:space="preserve"> </w:t>
      </w:r>
      <w:r w:rsidRPr="00A65ED4">
        <w:rPr>
          <w:rFonts w:cs="Times New Roman"/>
          <w:szCs w:val="20"/>
        </w:rPr>
        <w:t>of services in remote areas, providing infrastructure works, employability skills training, health promotion and community support in a holistic and highly effective manner. Army also benefits from the opportunities afforded by the conduct of AACAP projects to exercise various operational capabilities</w:t>
      </w:r>
      <w:r w:rsidRPr="00A65ED4">
        <w:rPr>
          <w:rFonts w:cs="Times New Roman"/>
          <w:spacing w:val="35"/>
          <w:szCs w:val="20"/>
        </w:rPr>
        <w:t xml:space="preserve"> </w:t>
      </w:r>
      <w:r w:rsidRPr="00A65ED4">
        <w:rPr>
          <w:rFonts w:cs="Times New Roman"/>
          <w:szCs w:val="20"/>
        </w:rPr>
        <w:t>in a</w:t>
      </w:r>
      <w:r w:rsidRPr="00A65ED4">
        <w:rPr>
          <w:rFonts w:cs="Times New Roman"/>
          <w:spacing w:val="22"/>
          <w:szCs w:val="20"/>
        </w:rPr>
        <w:t xml:space="preserve"> </w:t>
      </w:r>
      <w:r w:rsidRPr="00A65ED4">
        <w:rPr>
          <w:rFonts w:cs="Times New Roman"/>
          <w:szCs w:val="20"/>
        </w:rPr>
        <w:t>unique cultural</w:t>
      </w:r>
      <w:r w:rsidRPr="00A65ED4">
        <w:rPr>
          <w:rFonts w:cs="Times New Roman"/>
          <w:spacing w:val="24"/>
          <w:szCs w:val="20"/>
        </w:rPr>
        <w:t xml:space="preserve"> </w:t>
      </w:r>
      <w:r w:rsidRPr="00A65ED4">
        <w:rPr>
          <w:rFonts w:cs="Times New Roman"/>
          <w:szCs w:val="20"/>
        </w:rPr>
        <w:t>and</w:t>
      </w:r>
      <w:r w:rsidRPr="00A65ED4">
        <w:rPr>
          <w:rFonts w:cs="Times New Roman"/>
          <w:spacing w:val="22"/>
          <w:szCs w:val="20"/>
        </w:rPr>
        <w:t xml:space="preserve"> </w:t>
      </w:r>
      <w:r w:rsidRPr="00A65ED4">
        <w:rPr>
          <w:rFonts w:cs="Times New Roman"/>
          <w:szCs w:val="20"/>
        </w:rPr>
        <w:t>physical</w:t>
      </w:r>
      <w:r w:rsidRPr="00A65ED4">
        <w:rPr>
          <w:rFonts w:cs="Times New Roman"/>
          <w:spacing w:val="27"/>
          <w:szCs w:val="20"/>
        </w:rPr>
        <w:t xml:space="preserve"> </w:t>
      </w:r>
      <w:r w:rsidRPr="00A65ED4">
        <w:rPr>
          <w:rFonts w:cs="Times New Roman"/>
          <w:szCs w:val="20"/>
        </w:rPr>
        <w:t>environment.</w:t>
      </w:r>
      <w:r w:rsidRPr="00A65ED4">
        <w:rPr>
          <w:rFonts w:cs="Times New Roman"/>
          <w:spacing w:val="40"/>
          <w:szCs w:val="20"/>
        </w:rPr>
        <w:t xml:space="preserve"> </w:t>
      </w:r>
      <w:r w:rsidRPr="00A65ED4">
        <w:rPr>
          <w:rFonts w:cs="Times New Roman"/>
          <w:szCs w:val="20"/>
        </w:rPr>
        <w:t>AACAP</w:t>
      </w:r>
      <w:r w:rsidRPr="00A65ED4">
        <w:rPr>
          <w:rFonts w:cs="Times New Roman"/>
          <w:spacing w:val="27"/>
          <w:szCs w:val="20"/>
        </w:rPr>
        <w:t xml:space="preserve"> </w:t>
      </w:r>
      <w:r w:rsidRPr="00A65ED4">
        <w:rPr>
          <w:rFonts w:cs="Times New Roman"/>
          <w:szCs w:val="20"/>
        </w:rPr>
        <w:t>projects</w:t>
      </w:r>
      <w:r w:rsidRPr="00A65ED4">
        <w:rPr>
          <w:rFonts w:cs="Times New Roman"/>
          <w:spacing w:val="24"/>
          <w:szCs w:val="20"/>
        </w:rPr>
        <w:t xml:space="preserve"> </w:t>
      </w:r>
      <w:r w:rsidRPr="00A65ED4">
        <w:rPr>
          <w:rFonts w:cs="Times New Roman"/>
          <w:szCs w:val="20"/>
        </w:rPr>
        <w:t>are scheduled</w:t>
      </w:r>
      <w:r w:rsidRPr="00A65ED4">
        <w:rPr>
          <w:rFonts w:cs="Times New Roman"/>
          <w:spacing w:val="36"/>
          <w:szCs w:val="20"/>
        </w:rPr>
        <w:t xml:space="preserve"> </w:t>
      </w:r>
      <w:r w:rsidRPr="00A65ED4">
        <w:rPr>
          <w:rFonts w:cs="Times New Roman"/>
          <w:szCs w:val="20"/>
        </w:rPr>
        <w:t>to be</w:t>
      </w:r>
      <w:r w:rsidRPr="00A65ED4">
        <w:rPr>
          <w:rFonts w:cs="Times New Roman"/>
          <w:spacing w:val="-2"/>
          <w:szCs w:val="20"/>
        </w:rPr>
        <w:t xml:space="preserve"> </w:t>
      </w:r>
      <w:r w:rsidRPr="00A65ED4">
        <w:rPr>
          <w:rFonts w:cs="Times New Roman"/>
          <w:szCs w:val="20"/>
        </w:rPr>
        <w:t>delivered</w:t>
      </w:r>
      <w:r w:rsidRPr="00A65ED4">
        <w:rPr>
          <w:rFonts w:cs="Times New Roman"/>
          <w:spacing w:val="24"/>
          <w:szCs w:val="20"/>
        </w:rPr>
        <w:t xml:space="preserve"> </w:t>
      </w:r>
      <w:r w:rsidRPr="00A65ED4">
        <w:rPr>
          <w:rFonts w:cs="Times New Roman"/>
          <w:szCs w:val="20"/>
        </w:rPr>
        <w:t>in Amata,</w:t>
      </w:r>
      <w:r w:rsidRPr="00A65ED4">
        <w:rPr>
          <w:rFonts w:cs="Times New Roman"/>
          <w:spacing w:val="19"/>
          <w:szCs w:val="20"/>
        </w:rPr>
        <w:t xml:space="preserve"> </w:t>
      </w:r>
      <w:r w:rsidRPr="00A65ED4">
        <w:rPr>
          <w:rFonts w:cs="Times New Roman"/>
          <w:szCs w:val="20"/>
        </w:rPr>
        <w:t>SA and the</w:t>
      </w:r>
      <w:r w:rsidRPr="00A65ED4">
        <w:rPr>
          <w:rFonts w:cs="Times New Roman"/>
          <w:spacing w:val="-4"/>
          <w:szCs w:val="20"/>
        </w:rPr>
        <w:t xml:space="preserve"> </w:t>
      </w:r>
      <w:r w:rsidRPr="00A65ED4">
        <w:rPr>
          <w:rFonts w:cs="Times New Roman"/>
          <w:szCs w:val="20"/>
        </w:rPr>
        <w:t>Torres Strait, QLD in 2025, and Western</w:t>
      </w:r>
      <w:r w:rsidRPr="00A65ED4">
        <w:rPr>
          <w:rFonts w:cs="Times New Roman"/>
          <w:spacing w:val="19"/>
          <w:szCs w:val="20"/>
        </w:rPr>
        <w:t xml:space="preserve"> </w:t>
      </w:r>
      <w:r w:rsidRPr="00A65ED4">
        <w:rPr>
          <w:rFonts w:cs="Times New Roman"/>
          <w:szCs w:val="20"/>
        </w:rPr>
        <w:t>Australia</w:t>
      </w:r>
      <w:r w:rsidRPr="00A65ED4">
        <w:rPr>
          <w:rFonts w:cs="Times New Roman"/>
          <w:spacing w:val="24"/>
          <w:szCs w:val="20"/>
        </w:rPr>
        <w:t xml:space="preserve"> </w:t>
      </w:r>
      <w:r w:rsidRPr="00A65ED4">
        <w:rPr>
          <w:rFonts w:cs="Times New Roman"/>
          <w:szCs w:val="20"/>
        </w:rPr>
        <w:t>in 2026</w:t>
      </w:r>
      <w:r w:rsidR="00E27F3A" w:rsidRPr="00A65ED4">
        <w:rPr>
          <w:rFonts w:eastAsia="Calibri" w:cs="Calibri"/>
          <w:szCs w:val="20"/>
        </w:rPr>
        <w:t>.</w:t>
      </w:r>
    </w:p>
    <w:p w14:paraId="4763E8D1" w14:textId="221F624E" w:rsidR="009C3616" w:rsidRDefault="00E27F3A" w:rsidP="00CA76D7">
      <w:pPr>
        <w:spacing w:before="0"/>
      </w:pPr>
      <w:r w:rsidRPr="00857D09">
        <w:t>The Kummundoo Program is a partnership between Air Force and the National Aboriginal Community Controlled Health Organisation (NACCHO), as the national peak body for First Nations health. Through this ongoing initiative, Air Force will continue to contribute to the enhancement of primary health care outcomes in First Nations communities.</w:t>
      </w:r>
    </w:p>
    <w:p w14:paraId="5EE77975" w14:textId="77777777" w:rsidR="00BC20A4" w:rsidRPr="009C3616" w:rsidRDefault="00C20229" w:rsidP="009C3616">
      <w:pPr>
        <w:rPr>
          <w:lang w:val="en-AU"/>
        </w:rPr>
        <w:sectPr w:rsidR="00BC20A4" w:rsidRPr="009C3616" w:rsidSect="00C30BE6">
          <w:headerReference w:type="even" r:id="rId117"/>
          <w:headerReference w:type="default" r:id="rId118"/>
          <w:footerReference w:type="default" r:id="rId119"/>
          <w:pgSz w:w="11907" w:h="16840" w:code="9"/>
          <w:pgMar w:top="1701" w:right="1361" w:bottom="1701" w:left="1928" w:header="720" w:footer="720" w:gutter="0"/>
          <w:cols w:space="720"/>
          <w:noEndnote/>
          <w:docGrid w:linePitch="272"/>
        </w:sectPr>
      </w:pPr>
      <w:r w:rsidRPr="00B56FAA">
        <w:tab/>
      </w:r>
    </w:p>
    <w:p w14:paraId="712B6E0B" w14:textId="77777777" w:rsidR="005046EA" w:rsidRDefault="005046EA" w:rsidP="009C3616">
      <w:pPr>
        <w:pStyle w:val="BodyText"/>
        <w:rPr>
          <w:lang w:val="en-AU"/>
        </w:rPr>
      </w:pPr>
    </w:p>
    <w:p w14:paraId="2A299575" w14:textId="77777777" w:rsidR="00A818FD" w:rsidRDefault="00A818FD" w:rsidP="009C3616">
      <w:pPr>
        <w:pStyle w:val="BodyText"/>
        <w:rPr>
          <w:lang w:val="en-AU"/>
        </w:rPr>
      </w:pPr>
    </w:p>
    <w:p w14:paraId="18576DEB" w14:textId="77777777" w:rsidR="00A818FD" w:rsidRDefault="00A818FD" w:rsidP="009C3616">
      <w:pPr>
        <w:pStyle w:val="BodyText"/>
        <w:rPr>
          <w:lang w:val="en-AU"/>
        </w:rPr>
      </w:pPr>
    </w:p>
    <w:p w14:paraId="6D207DA0" w14:textId="77777777" w:rsidR="00A818FD" w:rsidRDefault="00A818FD" w:rsidP="009C3616">
      <w:pPr>
        <w:pStyle w:val="BodyText"/>
        <w:rPr>
          <w:lang w:val="en-AU"/>
        </w:rPr>
      </w:pPr>
    </w:p>
    <w:p w14:paraId="1280583E" w14:textId="77777777" w:rsidR="00A818FD" w:rsidRDefault="00A818FD" w:rsidP="009C3616">
      <w:pPr>
        <w:pStyle w:val="BodyText"/>
        <w:rPr>
          <w:lang w:val="en-AU"/>
        </w:rPr>
      </w:pPr>
    </w:p>
    <w:p w14:paraId="60C5F267" w14:textId="77777777" w:rsidR="00A818FD" w:rsidRDefault="00A818FD" w:rsidP="009C3616">
      <w:pPr>
        <w:pStyle w:val="BodyText"/>
        <w:rPr>
          <w:lang w:val="en-AU"/>
        </w:rPr>
      </w:pPr>
    </w:p>
    <w:p w14:paraId="24F135E2" w14:textId="77777777" w:rsidR="00A818FD" w:rsidRDefault="00A818FD" w:rsidP="009C3616">
      <w:pPr>
        <w:pStyle w:val="BodyText"/>
        <w:rPr>
          <w:lang w:val="en-AU"/>
        </w:rPr>
      </w:pPr>
    </w:p>
    <w:p w14:paraId="54ACD81F" w14:textId="77777777" w:rsidR="00A818FD" w:rsidRDefault="00A818FD" w:rsidP="009C3616">
      <w:pPr>
        <w:pStyle w:val="BodyText"/>
        <w:rPr>
          <w:lang w:val="en-AU"/>
        </w:rPr>
      </w:pPr>
    </w:p>
    <w:p w14:paraId="05EBFFDF" w14:textId="77777777" w:rsidR="00A818FD" w:rsidRDefault="00A818FD" w:rsidP="009C3616">
      <w:pPr>
        <w:pStyle w:val="BodyText"/>
        <w:rPr>
          <w:lang w:val="en-AU"/>
        </w:rPr>
      </w:pPr>
    </w:p>
    <w:p w14:paraId="49C3C2FC" w14:textId="77777777" w:rsidR="00A818FD" w:rsidRDefault="00A818FD" w:rsidP="009C3616">
      <w:pPr>
        <w:pStyle w:val="BodyText"/>
        <w:rPr>
          <w:lang w:val="en-AU"/>
        </w:rPr>
      </w:pPr>
    </w:p>
    <w:p w14:paraId="761C277E" w14:textId="77777777" w:rsidR="00A818FD" w:rsidRPr="00B56FAA" w:rsidRDefault="00A818FD" w:rsidP="009C3616">
      <w:pPr>
        <w:pStyle w:val="BodyText"/>
        <w:jc w:val="center"/>
        <w:rPr>
          <w:lang w:val="en-AU"/>
        </w:rPr>
      </w:pPr>
      <w:r w:rsidRPr="00B56FAA">
        <w:rPr>
          <w:lang w:val="en-AU"/>
        </w:rPr>
        <w:t>This page intentionally left blank.</w:t>
      </w:r>
    </w:p>
    <w:p w14:paraId="312406D5" w14:textId="77777777" w:rsidR="00A818FD" w:rsidRPr="00B56FAA" w:rsidRDefault="00A818FD" w:rsidP="009C3616">
      <w:pPr>
        <w:pStyle w:val="BodyText"/>
        <w:rPr>
          <w:lang w:val="en-AU"/>
        </w:rPr>
      </w:pPr>
    </w:p>
    <w:p w14:paraId="4E26EF2C" w14:textId="77777777" w:rsidR="00593F37" w:rsidRDefault="00593F37" w:rsidP="009C3616">
      <w:pPr>
        <w:pStyle w:val="BodyText"/>
        <w:rPr>
          <w:lang w:val="en-AU"/>
        </w:rPr>
      </w:pPr>
    </w:p>
    <w:p w14:paraId="46B24400" w14:textId="77777777" w:rsidR="00A818FD" w:rsidRDefault="00A818FD" w:rsidP="009C3616">
      <w:pPr>
        <w:pStyle w:val="BodyText"/>
        <w:rPr>
          <w:lang w:val="en-AU"/>
        </w:rPr>
      </w:pPr>
    </w:p>
    <w:p w14:paraId="3FE785BF" w14:textId="77777777" w:rsidR="004B73E8" w:rsidRPr="00B56FAA" w:rsidRDefault="004B73E8" w:rsidP="003F63E2">
      <w:pPr>
        <w:pStyle w:val="Heading2"/>
        <w:spacing w:before="0" w:after="360"/>
        <w:jc w:val="center"/>
        <w:rPr>
          <w:b/>
          <w:smallCaps/>
          <w:sz w:val="52"/>
          <w:szCs w:val="52"/>
        </w:rPr>
      </w:pPr>
      <w:r>
        <w:rPr>
          <w:lang w:val="en-AU"/>
        </w:rPr>
        <w:br w:type="page"/>
      </w:r>
      <w:bookmarkStart w:id="957" w:name="_Toc1561692"/>
      <w:bookmarkStart w:id="958" w:name="_Toc51691689"/>
      <w:bookmarkStart w:id="959" w:name="_Toc69729059"/>
      <w:bookmarkStart w:id="960" w:name="_Toc69917854"/>
      <w:bookmarkStart w:id="961" w:name="_Toc97747843"/>
      <w:bookmarkStart w:id="962" w:name="_Toc108088956"/>
      <w:bookmarkStart w:id="963" w:name="_Toc108089035"/>
      <w:bookmarkStart w:id="964" w:name="_Toc108089429"/>
      <w:bookmarkStart w:id="965" w:name="_Toc109227296"/>
      <w:bookmarkStart w:id="966" w:name="_Toc109227751"/>
      <w:bookmarkStart w:id="967" w:name="_Toc159499698"/>
      <w:bookmarkStart w:id="968" w:name="_Toc159857677"/>
      <w:bookmarkStart w:id="969" w:name="_Toc159857756"/>
      <w:bookmarkStart w:id="970" w:name="_Toc159858152"/>
      <w:bookmarkStart w:id="971" w:name="_Toc159858817"/>
      <w:bookmarkStart w:id="972" w:name="_Toc159858887"/>
      <w:bookmarkStart w:id="973" w:name="_Toc159859115"/>
      <w:bookmarkStart w:id="974" w:name="_Toc159859267"/>
      <w:bookmarkStart w:id="975" w:name="_Toc159862477"/>
      <w:r w:rsidRPr="00B56FAA">
        <w:rPr>
          <w:b/>
          <w:smallCaps/>
          <w:sz w:val="52"/>
          <w:szCs w:val="52"/>
        </w:rPr>
        <w:lastRenderedPageBreak/>
        <w:t>Australian</w:t>
      </w:r>
      <w:r w:rsidRPr="003F63E2">
        <w:rPr>
          <w:b/>
          <w:smallCaps/>
          <w:sz w:val="52"/>
          <w:szCs w:val="52"/>
        </w:rPr>
        <w:t xml:space="preserve"> </w:t>
      </w:r>
      <w:r w:rsidRPr="00B56FAA">
        <w:rPr>
          <w:b/>
          <w:smallCaps/>
          <w:sz w:val="52"/>
          <w:szCs w:val="52"/>
        </w:rPr>
        <w:t>Signals Directorate</w:t>
      </w:r>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p>
    <w:p w14:paraId="3002D0BF" w14:textId="77777777" w:rsidR="004B73E8" w:rsidRPr="00B56FAA" w:rsidRDefault="004B73E8" w:rsidP="004B73E8">
      <w:pPr>
        <w:rPr>
          <w:lang w:val="en-AU"/>
        </w:rPr>
      </w:pPr>
    </w:p>
    <w:p w14:paraId="770EF97D" w14:textId="77777777" w:rsidR="004B73E8" w:rsidRPr="00B56FAA" w:rsidRDefault="004B73E8" w:rsidP="004B73E8">
      <w:pPr>
        <w:rPr>
          <w:lang w:val="en-AU"/>
        </w:rPr>
      </w:pPr>
    </w:p>
    <w:p w14:paraId="148622E7" w14:textId="77777777" w:rsidR="004B73E8" w:rsidRPr="00B56FAA" w:rsidRDefault="004B73E8" w:rsidP="004B73E8">
      <w:pPr>
        <w:rPr>
          <w:lang w:val="en-AU"/>
        </w:rPr>
      </w:pPr>
    </w:p>
    <w:p w14:paraId="78F5C05F" w14:textId="77777777" w:rsidR="004B73E8" w:rsidRPr="00B56FAA" w:rsidRDefault="004B73E8" w:rsidP="004B73E8">
      <w:pPr>
        <w:rPr>
          <w:lang w:val="en-AU"/>
        </w:rPr>
      </w:pPr>
    </w:p>
    <w:p w14:paraId="06E1EF28" w14:textId="77777777" w:rsidR="004B73E8" w:rsidRPr="00B56FAA" w:rsidRDefault="004B73E8" w:rsidP="004B73E8">
      <w:pPr>
        <w:rPr>
          <w:lang w:val="en-AU"/>
        </w:rPr>
      </w:pPr>
    </w:p>
    <w:p w14:paraId="24A081B6" w14:textId="77777777" w:rsidR="004B73E8" w:rsidRPr="00B56FAA" w:rsidRDefault="004B73E8" w:rsidP="004B73E8">
      <w:pPr>
        <w:pStyle w:val="DepartmentalSubtitle"/>
        <w:rPr>
          <w:lang w:val="en-AU"/>
        </w:rPr>
      </w:pPr>
      <w:r w:rsidRPr="00B56FAA">
        <w:rPr>
          <w:lang w:val="en-AU"/>
        </w:rPr>
        <w:t>Agency Resources and Planned Performance</w:t>
      </w:r>
    </w:p>
    <w:p w14:paraId="3C9CF517" w14:textId="77777777" w:rsidR="00366978" w:rsidRPr="00D2623A" w:rsidRDefault="004B73E8">
      <w:pPr>
        <w:pStyle w:val="TOC2"/>
        <w:rPr>
          <w:rFonts w:ascii="Calibri" w:hAnsi="Calibri" w:cs="Times New Roman"/>
          <w:b w:val="0"/>
          <w:caps w:val="0"/>
          <w:sz w:val="22"/>
          <w:szCs w:val="22"/>
          <w:lang w:val="en-AU"/>
        </w:rPr>
      </w:pPr>
      <w:r w:rsidRPr="00B56FAA">
        <w:fldChar w:fldCharType="begin"/>
      </w:r>
      <w:r w:rsidRPr="00B56FAA">
        <w:instrText xml:space="preserve"> TOC \o "1-3" \h \z \u </w:instrText>
      </w:r>
      <w:r w:rsidRPr="00B56FAA">
        <w:fldChar w:fldCharType="separate"/>
      </w:r>
    </w:p>
    <w:p w14:paraId="6C734241" w14:textId="52BF0FDB" w:rsidR="00366978" w:rsidRPr="00D2623A" w:rsidRDefault="00004E68">
      <w:pPr>
        <w:pStyle w:val="TOC2"/>
        <w:rPr>
          <w:rFonts w:ascii="Calibri" w:hAnsi="Calibri" w:cs="Times New Roman"/>
          <w:b w:val="0"/>
          <w:caps w:val="0"/>
          <w:sz w:val="22"/>
          <w:szCs w:val="22"/>
          <w:lang w:val="en-AU"/>
        </w:rPr>
      </w:pPr>
      <w:hyperlink w:anchor="_Toc159862477" w:history="1">
        <w:r w:rsidR="00366978" w:rsidRPr="00750B72">
          <w:rPr>
            <w:rStyle w:val="Hyperlink"/>
            <w:smallCaps/>
          </w:rPr>
          <w:t>Australian</w:t>
        </w:r>
        <w:r w:rsidR="00366978" w:rsidRPr="00750B72">
          <w:rPr>
            <w:rStyle w:val="Hyperlink"/>
            <w:lang w:val="en-AU"/>
          </w:rPr>
          <w:t xml:space="preserve"> </w:t>
        </w:r>
        <w:r w:rsidR="00366978" w:rsidRPr="00750B72">
          <w:rPr>
            <w:rStyle w:val="Hyperlink"/>
            <w:smallCaps/>
          </w:rPr>
          <w:t>Signals Directorate</w:t>
        </w:r>
        <w:r w:rsidR="00366978">
          <w:rPr>
            <w:webHidden/>
          </w:rPr>
          <w:tab/>
        </w:r>
        <w:r w:rsidR="00366978">
          <w:rPr>
            <w:webHidden/>
          </w:rPr>
          <w:fldChar w:fldCharType="begin"/>
        </w:r>
        <w:r w:rsidR="00366978">
          <w:rPr>
            <w:webHidden/>
          </w:rPr>
          <w:instrText xml:space="preserve"> PAGEREF _Toc159862477 \h </w:instrText>
        </w:r>
        <w:r w:rsidR="00366978">
          <w:rPr>
            <w:webHidden/>
          </w:rPr>
        </w:r>
        <w:r w:rsidR="00366978">
          <w:rPr>
            <w:webHidden/>
          </w:rPr>
          <w:fldChar w:fldCharType="separate"/>
        </w:r>
        <w:r w:rsidR="008914AC">
          <w:rPr>
            <w:webHidden/>
          </w:rPr>
          <w:t>167</w:t>
        </w:r>
        <w:r w:rsidR="00366978">
          <w:rPr>
            <w:webHidden/>
          </w:rPr>
          <w:fldChar w:fldCharType="end"/>
        </w:r>
      </w:hyperlink>
    </w:p>
    <w:p w14:paraId="1CC19BB8" w14:textId="4C7BD986" w:rsidR="00366978" w:rsidRPr="00D2623A" w:rsidRDefault="00004E68" w:rsidP="00A25490">
      <w:pPr>
        <w:pStyle w:val="TOC3"/>
        <w:rPr>
          <w:rFonts w:ascii="Calibri" w:hAnsi="Calibri" w:cs="Times New Roman"/>
          <w:b/>
          <w:sz w:val="22"/>
          <w:szCs w:val="22"/>
          <w:lang w:val="en-AU"/>
        </w:rPr>
      </w:pPr>
      <w:hyperlink w:anchor="_Toc159862478" w:history="1">
        <w:r w:rsidR="00366978" w:rsidRPr="00A25490">
          <w:rPr>
            <w:rStyle w:val="Hyperlink"/>
            <w:b/>
          </w:rPr>
          <w:t>Section 1: ASD Overview and Resources</w:t>
        </w:r>
        <w:r w:rsidR="00366978" w:rsidRPr="00A25490">
          <w:rPr>
            <w:b/>
            <w:webHidden/>
          </w:rPr>
          <w:tab/>
        </w:r>
        <w:r w:rsidR="00366978" w:rsidRPr="00A25490">
          <w:rPr>
            <w:b/>
            <w:webHidden/>
          </w:rPr>
          <w:fldChar w:fldCharType="begin"/>
        </w:r>
        <w:r w:rsidR="00366978" w:rsidRPr="00A25490">
          <w:rPr>
            <w:b/>
            <w:webHidden/>
          </w:rPr>
          <w:instrText xml:space="preserve"> PAGEREF _Toc159862478 \h </w:instrText>
        </w:r>
        <w:r w:rsidR="00366978" w:rsidRPr="00A25490">
          <w:rPr>
            <w:b/>
            <w:webHidden/>
          </w:rPr>
        </w:r>
        <w:r w:rsidR="00366978" w:rsidRPr="00A25490">
          <w:rPr>
            <w:b/>
            <w:webHidden/>
          </w:rPr>
          <w:fldChar w:fldCharType="separate"/>
        </w:r>
        <w:r w:rsidR="008914AC">
          <w:rPr>
            <w:b/>
            <w:webHidden/>
          </w:rPr>
          <w:t>168</w:t>
        </w:r>
        <w:r w:rsidR="00366978" w:rsidRPr="00A25490">
          <w:rPr>
            <w:b/>
            <w:webHidden/>
          </w:rPr>
          <w:fldChar w:fldCharType="end"/>
        </w:r>
      </w:hyperlink>
    </w:p>
    <w:p w14:paraId="4A7FAF18" w14:textId="3B1F30F7" w:rsidR="00366978" w:rsidRPr="00D2623A" w:rsidRDefault="00004E68" w:rsidP="00A25490">
      <w:pPr>
        <w:pStyle w:val="TOC3"/>
        <w:rPr>
          <w:rFonts w:ascii="Calibri" w:hAnsi="Calibri" w:cs="Times New Roman"/>
          <w:sz w:val="22"/>
          <w:szCs w:val="22"/>
          <w:lang w:val="en-AU"/>
        </w:rPr>
      </w:pPr>
      <w:hyperlink w:anchor="_Toc159862479" w:history="1">
        <w:r w:rsidR="00366978" w:rsidRPr="00A25490">
          <w:rPr>
            <w:rStyle w:val="Hyperlink"/>
          </w:rPr>
          <w:t>1.1 Strategic Direction Statement</w:t>
        </w:r>
        <w:r w:rsidR="00366978" w:rsidRPr="00A25490">
          <w:rPr>
            <w:webHidden/>
          </w:rPr>
          <w:tab/>
        </w:r>
        <w:r w:rsidR="00366978" w:rsidRPr="00A25490">
          <w:rPr>
            <w:webHidden/>
          </w:rPr>
          <w:fldChar w:fldCharType="begin"/>
        </w:r>
        <w:r w:rsidR="00366978" w:rsidRPr="00A25490">
          <w:rPr>
            <w:webHidden/>
          </w:rPr>
          <w:instrText xml:space="preserve"> PAGEREF _Toc159862479 \h </w:instrText>
        </w:r>
        <w:r w:rsidR="00366978" w:rsidRPr="00A25490">
          <w:rPr>
            <w:webHidden/>
          </w:rPr>
        </w:r>
        <w:r w:rsidR="00366978" w:rsidRPr="00A25490">
          <w:rPr>
            <w:webHidden/>
          </w:rPr>
          <w:fldChar w:fldCharType="separate"/>
        </w:r>
        <w:r w:rsidR="008914AC">
          <w:rPr>
            <w:webHidden/>
          </w:rPr>
          <w:t>168</w:t>
        </w:r>
        <w:r w:rsidR="00366978" w:rsidRPr="00A25490">
          <w:rPr>
            <w:webHidden/>
          </w:rPr>
          <w:fldChar w:fldCharType="end"/>
        </w:r>
      </w:hyperlink>
    </w:p>
    <w:p w14:paraId="1F6D0FFA" w14:textId="7D1D3FBA" w:rsidR="00366978" w:rsidRPr="00D2623A" w:rsidRDefault="00004E68" w:rsidP="00A25490">
      <w:pPr>
        <w:pStyle w:val="TOC3"/>
        <w:rPr>
          <w:rFonts w:ascii="Calibri" w:hAnsi="Calibri" w:cs="Times New Roman"/>
          <w:sz w:val="22"/>
          <w:szCs w:val="22"/>
          <w:lang w:val="en-AU"/>
        </w:rPr>
      </w:pPr>
      <w:hyperlink w:anchor="_Toc159862480" w:history="1">
        <w:r w:rsidR="00366978" w:rsidRPr="00A25490">
          <w:rPr>
            <w:rStyle w:val="Hyperlink"/>
          </w:rPr>
          <w:t>1.2 ASD Resource Statement</w:t>
        </w:r>
        <w:r w:rsidR="00366978" w:rsidRPr="00A25490">
          <w:rPr>
            <w:webHidden/>
          </w:rPr>
          <w:tab/>
        </w:r>
        <w:r w:rsidR="00366978" w:rsidRPr="00A25490">
          <w:rPr>
            <w:webHidden/>
          </w:rPr>
          <w:fldChar w:fldCharType="begin"/>
        </w:r>
        <w:r w:rsidR="00366978" w:rsidRPr="00A25490">
          <w:rPr>
            <w:webHidden/>
          </w:rPr>
          <w:instrText xml:space="preserve"> PAGEREF _Toc159862480 \h </w:instrText>
        </w:r>
        <w:r w:rsidR="00366978" w:rsidRPr="00A25490">
          <w:rPr>
            <w:webHidden/>
          </w:rPr>
        </w:r>
        <w:r w:rsidR="00366978" w:rsidRPr="00A25490">
          <w:rPr>
            <w:webHidden/>
          </w:rPr>
          <w:fldChar w:fldCharType="separate"/>
        </w:r>
        <w:r w:rsidR="008914AC">
          <w:rPr>
            <w:webHidden/>
          </w:rPr>
          <w:t>172</w:t>
        </w:r>
        <w:r w:rsidR="00366978" w:rsidRPr="00A25490">
          <w:rPr>
            <w:webHidden/>
          </w:rPr>
          <w:fldChar w:fldCharType="end"/>
        </w:r>
      </w:hyperlink>
    </w:p>
    <w:p w14:paraId="360A9EA5" w14:textId="7610C955" w:rsidR="00366978" w:rsidRPr="00D2623A" w:rsidRDefault="00004E68" w:rsidP="00A25490">
      <w:pPr>
        <w:pStyle w:val="TOC3"/>
        <w:rPr>
          <w:rFonts w:ascii="Calibri" w:hAnsi="Calibri" w:cs="Times New Roman"/>
          <w:sz w:val="22"/>
          <w:szCs w:val="22"/>
          <w:lang w:val="en-AU"/>
        </w:rPr>
      </w:pPr>
      <w:hyperlink w:anchor="_Toc159862481" w:history="1">
        <w:r w:rsidR="00366978" w:rsidRPr="00A25490">
          <w:rPr>
            <w:rStyle w:val="Hyperlink"/>
          </w:rPr>
          <w:t>1.3 Budget Measures</w:t>
        </w:r>
        <w:r w:rsidR="00366978" w:rsidRPr="00A25490">
          <w:rPr>
            <w:webHidden/>
          </w:rPr>
          <w:tab/>
        </w:r>
        <w:r w:rsidR="00366978" w:rsidRPr="00A25490">
          <w:rPr>
            <w:webHidden/>
          </w:rPr>
          <w:fldChar w:fldCharType="begin"/>
        </w:r>
        <w:r w:rsidR="00366978" w:rsidRPr="00A25490">
          <w:rPr>
            <w:webHidden/>
          </w:rPr>
          <w:instrText xml:space="preserve"> PAGEREF _Toc159862481 \h </w:instrText>
        </w:r>
        <w:r w:rsidR="00366978" w:rsidRPr="00A25490">
          <w:rPr>
            <w:webHidden/>
          </w:rPr>
        </w:r>
        <w:r w:rsidR="00366978" w:rsidRPr="00A25490">
          <w:rPr>
            <w:webHidden/>
          </w:rPr>
          <w:fldChar w:fldCharType="separate"/>
        </w:r>
        <w:r w:rsidR="008914AC">
          <w:rPr>
            <w:webHidden/>
          </w:rPr>
          <w:t>173</w:t>
        </w:r>
        <w:r w:rsidR="00366978" w:rsidRPr="00A25490">
          <w:rPr>
            <w:webHidden/>
          </w:rPr>
          <w:fldChar w:fldCharType="end"/>
        </w:r>
      </w:hyperlink>
    </w:p>
    <w:p w14:paraId="5074FBF4" w14:textId="181EF0E7" w:rsidR="00366978" w:rsidRPr="00D2623A" w:rsidRDefault="00004E68" w:rsidP="00A25490">
      <w:pPr>
        <w:pStyle w:val="TOC3"/>
        <w:rPr>
          <w:rFonts w:ascii="Calibri" w:hAnsi="Calibri" w:cs="Times New Roman"/>
          <w:sz w:val="22"/>
          <w:szCs w:val="22"/>
          <w:lang w:val="en-AU"/>
        </w:rPr>
      </w:pPr>
      <w:hyperlink w:anchor="_Toc159862482" w:history="1">
        <w:r w:rsidR="00366978" w:rsidRPr="00A25490">
          <w:rPr>
            <w:rStyle w:val="Hyperlink"/>
            <w:b/>
          </w:rPr>
          <w:t>Section 2: ASD Outcomes and Planned Performance</w:t>
        </w:r>
        <w:r w:rsidR="00366978" w:rsidRPr="00A25490">
          <w:rPr>
            <w:webHidden/>
          </w:rPr>
          <w:tab/>
        </w:r>
        <w:r w:rsidR="00366978" w:rsidRPr="00E960B0">
          <w:rPr>
            <w:b/>
            <w:webHidden/>
          </w:rPr>
          <w:fldChar w:fldCharType="begin"/>
        </w:r>
        <w:r w:rsidR="00366978" w:rsidRPr="00E960B0">
          <w:rPr>
            <w:b/>
            <w:webHidden/>
          </w:rPr>
          <w:instrText xml:space="preserve"> PAGEREF _Toc159862482 \h </w:instrText>
        </w:r>
        <w:r w:rsidR="00366978" w:rsidRPr="00E960B0">
          <w:rPr>
            <w:b/>
            <w:webHidden/>
          </w:rPr>
        </w:r>
        <w:r w:rsidR="00366978" w:rsidRPr="00E960B0">
          <w:rPr>
            <w:b/>
            <w:webHidden/>
          </w:rPr>
          <w:fldChar w:fldCharType="separate"/>
        </w:r>
        <w:r w:rsidR="008914AC">
          <w:rPr>
            <w:b/>
            <w:webHidden/>
          </w:rPr>
          <w:t>174</w:t>
        </w:r>
        <w:r w:rsidR="00366978" w:rsidRPr="00E960B0">
          <w:rPr>
            <w:b/>
            <w:webHidden/>
          </w:rPr>
          <w:fldChar w:fldCharType="end"/>
        </w:r>
      </w:hyperlink>
    </w:p>
    <w:p w14:paraId="32F29B94" w14:textId="756B3C05" w:rsidR="00366978" w:rsidRPr="00D2623A" w:rsidRDefault="00004E68" w:rsidP="00A25490">
      <w:pPr>
        <w:pStyle w:val="TOC3"/>
        <w:rPr>
          <w:rFonts w:ascii="Calibri" w:hAnsi="Calibri" w:cs="Times New Roman"/>
          <w:sz w:val="22"/>
          <w:szCs w:val="22"/>
          <w:lang w:val="en-AU"/>
        </w:rPr>
      </w:pPr>
      <w:hyperlink w:anchor="_Toc159862483" w:history="1">
        <w:r w:rsidR="00366978" w:rsidRPr="00A25490">
          <w:rPr>
            <w:rStyle w:val="Hyperlink"/>
          </w:rPr>
          <w:t>2.1 Budgeted Expenses and Performance for Outcome 1</w:t>
        </w:r>
        <w:r w:rsidR="00366978" w:rsidRPr="00A25490">
          <w:rPr>
            <w:webHidden/>
          </w:rPr>
          <w:tab/>
        </w:r>
        <w:r w:rsidR="00366978" w:rsidRPr="00A25490">
          <w:rPr>
            <w:webHidden/>
          </w:rPr>
          <w:fldChar w:fldCharType="begin"/>
        </w:r>
        <w:r w:rsidR="00366978" w:rsidRPr="00A25490">
          <w:rPr>
            <w:webHidden/>
          </w:rPr>
          <w:instrText xml:space="preserve"> PAGEREF _Toc159862483 \h </w:instrText>
        </w:r>
        <w:r w:rsidR="00366978" w:rsidRPr="00A25490">
          <w:rPr>
            <w:webHidden/>
          </w:rPr>
        </w:r>
        <w:r w:rsidR="00366978" w:rsidRPr="00A25490">
          <w:rPr>
            <w:webHidden/>
          </w:rPr>
          <w:fldChar w:fldCharType="separate"/>
        </w:r>
        <w:r w:rsidR="008914AC">
          <w:rPr>
            <w:webHidden/>
          </w:rPr>
          <w:t>175</w:t>
        </w:r>
        <w:r w:rsidR="00366978" w:rsidRPr="00A25490">
          <w:rPr>
            <w:webHidden/>
          </w:rPr>
          <w:fldChar w:fldCharType="end"/>
        </w:r>
      </w:hyperlink>
    </w:p>
    <w:p w14:paraId="204751BD" w14:textId="42D45525" w:rsidR="00366978" w:rsidRPr="00D2623A" w:rsidRDefault="00004E68" w:rsidP="00A25490">
      <w:pPr>
        <w:pStyle w:val="TOC3"/>
        <w:rPr>
          <w:rFonts w:ascii="Calibri" w:hAnsi="Calibri" w:cs="Times New Roman"/>
          <w:sz w:val="22"/>
          <w:szCs w:val="22"/>
          <w:lang w:val="en-AU"/>
        </w:rPr>
      </w:pPr>
      <w:hyperlink w:anchor="_Toc159862484" w:history="1">
        <w:r w:rsidR="00366978" w:rsidRPr="00A25490">
          <w:rPr>
            <w:rStyle w:val="Hyperlink"/>
            <w:b/>
          </w:rPr>
          <w:t>Section 3: ASD Explanatory Tables and Budgeted Financial Statements</w:t>
        </w:r>
        <w:r w:rsidR="00366978" w:rsidRPr="00A25490">
          <w:rPr>
            <w:webHidden/>
          </w:rPr>
          <w:tab/>
        </w:r>
        <w:r w:rsidR="00366978" w:rsidRPr="00E960B0">
          <w:rPr>
            <w:b/>
            <w:webHidden/>
          </w:rPr>
          <w:fldChar w:fldCharType="begin"/>
        </w:r>
        <w:r w:rsidR="00366978" w:rsidRPr="00E960B0">
          <w:rPr>
            <w:b/>
            <w:webHidden/>
          </w:rPr>
          <w:instrText xml:space="preserve"> PAGEREF _Toc159862484 \h </w:instrText>
        </w:r>
        <w:r w:rsidR="00366978" w:rsidRPr="00E960B0">
          <w:rPr>
            <w:b/>
            <w:webHidden/>
          </w:rPr>
        </w:r>
        <w:r w:rsidR="00366978" w:rsidRPr="00E960B0">
          <w:rPr>
            <w:b/>
            <w:webHidden/>
          </w:rPr>
          <w:fldChar w:fldCharType="separate"/>
        </w:r>
        <w:r w:rsidR="008914AC">
          <w:rPr>
            <w:b/>
            <w:webHidden/>
          </w:rPr>
          <w:t>179</w:t>
        </w:r>
        <w:r w:rsidR="00366978" w:rsidRPr="00E960B0">
          <w:rPr>
            <w:b/>
            <w:webHidden/>
          </w:rPr>
          <w:fldChar w:fldCharType="end"/>
        </w:r>
      </w:hyperlink>
    </w:p>
    <w:p w14:paraId="6B177262" w14:textId="13AADC70" w:rsidR="00366978" w:rsidRPr="00D2623A" w:rsidRDefault="00004E68" w:rsidP="00A25490">
      <w:pPr>
        <w:pStyle w:val="TOC3"/>
        <w:rPr>
          <w:rFonts w:ascii="Calibri" w:hAnsi="Calibri" w:cs="Times New Roman"/>
          <w:sz w:val="22"/>
          <w:szCs w:val="22"/>
          <w:lang w:val="en-AU"/>
        </w:rPr>
      </w:pPr>
      <w:hyperlink w:anchor="_Toc159862485" w:history="1">
        <w:r w:rsidR="00366978" w:rsidRPr="00A25490">
          <w:rPr>
            <w:rStyle w:val="Hyperlink"/>
          </w:rPr>
          <w:t>3.1 Explanatory Tables</w:t>
        </w:r>
        <w:r w:rsidR="00366978" w:rsidRPr="00A25490">
          <w:rPr>
            <w:webHidden/>
          </w:rPr>
          <w:tab/>
        </w:r>
        <w:r w:rsidR="00366978" w:rsidRPr="00A25490">
          <w:rPr>
            <w:webHidden/>
          </w:rPr>
          <w:fldChar w:fldCharType="begin"/>
        </w:r>
        <w:r w:rsidR="00366978" w:rsidRPr="00A25490">
          <w:rPr>
            <w:webHidden/>
          </w:rPr>
          <w:instrText xml:space="preserve"> PAGEREF _Toc159862485 \h </w:instrText>
        </w:r>
        <w:r w:rsidR="00366978" w:rsidRPr="00A25490">
          <w:rPr>
            <w:webHidden/>
          </w:rPr>
        </w:r>
        <w:r w:rsidR="00366978" w:rsidRPr="00A25490">
          <w:rPr>
            <w:webHidden/>
          </w:rPr>
          <w:fldChar w:fldCharType="separate"/>
        </w:r>
        <w:r w:rsidR="008914AC">
          <w:rPr>
            <w:webHidden/>
          </w:rPr>
          <w:t>179</w:t>
        </w:r>
        <w:r w:rsidR="00366978" w:rsidRPr="00A25490">
          <w:rPr>
            <w:webHidden/>
          </w:rPr>
          <w:fldChar w:fldCharType="end"/>
        </w:r>
      </w:hyperlink>
    </w:p>
    <w:p w14:paraId="7D8C18AD" w14:textId="4120DFF7" w:rsidR="00366978" w:rsidRPr="00D2623A" w:rsidRDefault="00004E68" w:rsidP="00A25490">
      <w:pPr>
        <w:pStyle w:val="TOC3"/>
        <w:rPr>
          <w:rFonts w:ascii="Calibri" w:hAnsi="Calibri" w:cs="Times New Roman"/>
          <w:sz w:val="22"/>
          <w:szCs w:val="22"/>
          <w:lang w:val="en-AU"/>
        </w:rPr>
      </w:pPr>
      <w:hyperlink w:anchor="_Toc159862486" w:history="1">
        <w:r w:rsidR="00366978" w:rsidRPr="00A25490">
          <w:rPr>
            <w:rStyle w:val="Hyperlink"/>
          </w:rPr>
          <w:t>3.2 Budgeted Financial Statements</w:t>
        </w:r>
        <w:r w:rsidR="00366978" w:rsidRPr="00A25490">
          <w:rPr>
            <w:webHidden/>
          </w:rPr>
          <w:tab/>
        </w:r>
        <w:r w:rsidR="00366978" w:rsidRPr="00A25490">
          <w:rPr>
            <w:webHidden/>
          </w:rPr>
          <w:fldChar w:fldCharType="begin"/>
        </w:r>
        <w:r w:rsidR="00366978" w:rsidRPr="00A25490">
          <w:rPr>
            <w:webHidden/>
          </w:rPr>
          <w:instrText xml:space="preserve"> PAGEREF _Toc159862486 \h </w:instrText>
        </w:r>
        <w:r w:rsidR="00366978" w:rsidRPr="00A25490">
          <w:rPr>
            <w:webHidden/>
          </w:rPr>
        </w:r>
        <w:r w:rsidR="00366978" w:rsidRPr="00A25490">
          <w:rPr>
            <w:webHidden/>
          </w:rPr>
          <w:fldChar w:fldCharType="separate"/>
        </w:r>
        <w:r w:rsidR="008914AC">
          <w:rPr>
            <w:webHidden/>
          </w:rPr>
          <w:t>180</w:t>
        </w:r>
        <w:r w:rsidR="00366978" w:rsidRPr="00A25490">
          <w:rPr>
            <w:webHidden/>
          </w:rPr>
          <w:fldChar w:fldCharType="end"/>
        </w:r>
      </w:hyperlink>
    </w:p>
    <w:p w14:paraId="029BA774" w14:textId="77777777" w:rsidR="004B73E8" w:rsidRPr="00B56FAA" w:rsidRDefault="004B73E8" w:rsidP="004B73E8">
      <w:pPr>
        <w:spacing w:before="0" w:after="0"/>
        <w:rPr>
          <w:sz w:val="12"/>
          <w:szCs w:val="12"/>
        </w:rPr>
      </w:pPr>
      <w:r w:rsidRPr="00B56FAA">
        <w:rPr>
          <w:rFonts w:ascii="Arial" w:hAnsi="Arial"/>
          <w:bCs/>
          <w:noProof/>
        </w:rPr>
        <w:fldChar w:fldCharType="end"/>
      </w:r>
      <w:r w:rsidRPr="00B56FAA">
        <w:rPr>
          <w:lang w:val="en-AU"/>
        </w:rPr>
        <w:br w:type="page"/>
      </w:r>
    </w:p>
    <w:p w14:paraId="2873B155" w14:textId="77777777" w:rsidR="004B73E8" w:rsidRPr="00B56FAA" w:rsidRDefault="004B73E8" w:rsidP="004B73E8">
      <w:pPr>
        <w:pStyle w:val="heading1level2"/>
        <w:spacing w:before="120" w:after="120"/>
        <w:jc w:val="left"/>
        <w:outlineLvl w:val="9"/>
        <w:rPr>
          <w:sz w:val="36"/>
          <w:szCs w:val="36"/>
          <w:lang w:val="en-AU"/>
        </w:rPr>
      </w:pPr>
      <w:bookmarkStart w:id="976" w:name="_Toc511821810"/>
      <w:bookmarkStart w:id="977" w:name="_Toc512360974"/>
      <w:bookmarkStart w:id="978" w:name="_Toc512511748"/>
      <w:bookmarkStart w:id="979" w:name="_Toc512518356"/>
      <w:bookmarkStart w:id="980" w:name="_Toc512519009"/>
      <w:bookmarkStart w:id="981" w:name="_Toc512946469"/>
      <w:bookmarkStart w:id="982" w:name="_Toc512946543"/>
      <w:bookmarkStart w:id="983" w:name="_Toc536092165"/>
      <w:bookmarkStart w:id="984" w:name="_Toc536200560"/>
      <w:bookmarkStart w:id="985" w:name="_Toc1561645"/>
      <w:bookmarkStart w:id="986" w:name="_Toc1561693"/>
      <w:bookmarkStart w:id="987" w:name="_Toc2018167"/>
      <w:r w:rsidRPr="00B56FAA">
        <w:rPr>
          <w:sz w:val="36"/>
          <w:szCs w:val="36"/>
        </w:rPr>
        <w:lastRenderedPageBreak/>
        <w:t>Australian</w:t>
      </w:r>
      <w:r w:rsidRPr="00B56FAA">
        <w:rPr>
          <w:sz w:val="36"/>
          <w:szCs w:val="36"/>
          <w:lang w:val="en-AU"/>
        </w:rPr>
        <w:t xml:space="preserve"> Signals Directorate</w:t>
      </w:r>
      <w:bookmarkEnd w:id="976"/>
      <w:bookmarkEnd w:id="977"/>
      <w:bookmarkEnd w:id="978"/>
      <w:bookmarkEnd w:id="979"/>
      <w:bookmarkEnd w:id="980"/>
      <w:bookmarkEnd w:id="981"/>
      <w:bookmarkEnd w:id="982"/>
      <w:bookmarkEnd w:id="983"/>
      <w:bookmarkEnd w:id="984"/>
      <w:bookmarkEnd w:id="985"/>
      <w:bookmarkEnd w:id="986"/>
      <w:bookmarkEnd w:id="987"/>
    </w:p>
    <w:p w14:paraId="7966D974" w14:textId="77777777" w:rsidR="004B73E8" w:rsidRPr="00B56FAA" w:rsidRDefault="004B73E8" w:rsidP="004B73E8">
      <w:pPr>
        <w:pStyle w:val="Heading2level3"/>
        <w:spacing w:before="120" w:after="120"/>
        <w:rPr>
          <w:szCs w:val="30"/>
        </w:rPr>
      </w:pPr>
      <w:bookmarkStart w:id="988" w:name="_Toc159499699"/>
      <w:bookmarkStart w:id="989" w:name="_Toc159857678"/>
      <w:bookmarkStart w:id="990" w:name="_Toc159857757"/>
      <w:bookmarkStart w:id="991" w:name="_Toc159858153"/>
      <w:bookmarkStart w:id="992" w:name="_Toc159858818"/>
      <w:bookmarkStart w:id="993" w:name="_Toc159858888"/>
      <w:bookmarkStart w:id="994" w:name="_Toc159859116"/>
      <w:bookmarkStart w:id="995" w:name="_Toc159859268"/>
      <w:bookmarkStart w:id="996" w:name="_Toc159862478"/>
      <w:r w:rsidRPr="00B56FAA">
        <w:rPr>
          <w:bCs w:val="0"/>
          <w:iCs w:val="0"/>
          <w:szCs w:val="30"/>
        </w:rPr>
        <w:t>Section 1: ASD Overview and Resources</w:t>
      </w:r>
      <w:bookmarkEnd w:id="988"/>
      <w:bookmarkEnd w:id="989"/>
      <w:bookmarkEnd w:id="990"/>
      <w:bookmarkEnd w:id="991"/>
      <w:bookmarkEnd w:id="992"/>
      <w:bookmarkEnd w:id="993"/>
      <w:bookmarkEnd w:id="994"/>
      <w:bookmarkEnd w:id="995"/>
      <w:bookmarkEnd w:id="996"/>
    </w:p>
    <w:p w14:paraId="79B1243C" w14:textId="77777777" w:rsidR="004B73E8" w:rsidRPr="00912B51" w:rsidRDefault="004B73E8" w:rsidP="00912B51">
      <w:pPr>
        <w:pStyle w:val="Heading2level3"/>
        <w:spacing w:before="120" w:after="120"/>
        <w:rPr>
          <w:b/>
          <w:bCs w:val="0"/>
          <w:iCs w:val="0"/>
          <w:sz w:val="22"/>
          <w:szCs w:val="22"/>
        </w:rPr>
      </w:pPr>
      <w:bookmarkStart w:id="997" w:name="_Toc159499700"/>
      <w:bookmarkStart w:id="998" w:name="_Toc159859117"/>
      <w:bookmarkStart w:id="999" w:name="_Toc159859269"/>
      <w:bookmarkStart w:id="1000" w:name="_Toc159862479"/>
      <w:r w:rsidRPr="00912B51">
        <w:rPr>
          <w:b/>
          <w:bCs w:val="0"/>
          <w:iCs w:val="0"/>
          <w:sz w:val="22"/>
          <w:szCs w:val="22"/>
        </w:rPr>
        <w:t>1.1 Strategic Direction Statement</w:t>
      </w:r>
      <w:bookmarkEnd w:id="997"/>
      <w:bookmarkEnd w:id="998"/>
      <w:bookmarkEnd w:id="999"/>
      <w:bookmarkEnd w:id="1000"/>
    </w:p>
    <w:p w14:paraId="1BBE2322" w14:textId="77777777" w:rsidR="00A92402" w:rsidRPr="000669A5" w:rsidRDefault="00A92402" w:rsidP="00A92402">
      <w:pPr>
        <w:spacing w:before="120" w:after="120"/>
      </w:pPr>
      <w:r w:rsidRPr="000669A5">
        <w:t>The Australian Signals Directorate (ASD) defends Australia from global threats and advances the national interest by providing foreign signals intelligence, cyber security, and offensive cyber operations, as directed by Government.</w:t>
      </w:r>
    </w:p>
    <w:p w14:paraId="6856879F" w14:textId="77777777" w:rsidR="00A92402" w:rsidRPr="000669A5" w:rsidRDefault="00A92402" w:rsidP="00A92402">
      <w:pPr>
        <w:spacing w:before="120" w:after="120"/>
      </w:pPr>
      <w:r w:rsidRPr="000669A5">
        <w:t xml:space="preserve">ASD is a statutory agency within the Defence portfolio, reporting directly to the Minister for Defence. It operates under the </w:t>
      </w:r>
      <w:r w:rsidRPr="000669A5">
        <w:rPr>
          <w:i/>
        </w:rPr>
        <w:t>Public Governance, Performance and Accountability Act 2013</w:t>
      </w:r>
      <w:r w:rsidRPr="000669A5">
        <w:t xml:space="preserve"> and the </w:t>
      </w:r>
      <w:r w:rsidRPr="000669A5">
        <w:rPr>
          <w:i/>
        </w:rPr>
        <w:t xml:space="preserve">Intelligence Services Act 2001. </w:t>
      </w:r>
      <w:r w:rsidRPr="000669A5">
        <w:t>All of ASD’s activities are subject to oversight from the Inspector</w:t>
      </w:r>
      <w:r w:rsidRPr="000669A5">
        <w:noBreakHyphen/>
        <w:t>General of Intelligence and Security. The Parliamentary Joint Committee on Intelligence and Security provides further oversight of ASD’s administration, expenditure and enabling legislation. It also considers other matters within its scope that are referred by the Australian Senate, House of Representatives, or a Minister of the Australian Government.</w:t>
      </w:r>
    </w:p>
    <w:p w14:paraId="5A9DC869" w14:textId="77777777" w:rsidR="00A92402" w:rsidRPr="000669A5" w:rsidRDefault="00A92402" w:rsidP="00A92402">
      <w:pPr>
        <w:spacing w:before="120" w:after="120"/>
      </w:pPr>
      <w:r w:rsidRPr="000669A5">
        <w:t xml:space="preserve">The </w:t>
      </w:r>
      <w:r w:rsidRPr="000669A5">
        <w:rPr>
          <w:i/>
        </w:rPr>
        <w:t>Intelligence Services Act 2001</w:t>
      </w:r>
      <w:r w:rsidRPr="000669A5">
        <w:t xml:space="preserve"> specifies that the organisation’s functions are to:</w:t>
      </w:r>
    </w:p>
    <w:p w14:paraId="721E4254" w14:textId="77777777" w:rsidR="00A92402" w:rsidRPr="000669A5" w:rsidRDefault="00A92402" w:rsidP="00A92402">
      <w:pPr>
        <w:pStyle w:val="BoxBullet"/>
        <w:numPr>
          <w:ilvl w:val="0"/>
          <w:numId w:val="33"/>
        </w:numPr>
        <w:tabs>
          <w:tab w:val="num" w:pos="426"/>
        </w:tabs>
        <w:spacing w:before="120"/>
        <w:ind w:left="426" w:hanging="284"/>
        <w:jc w:val="left"/>
      </w:pPr>
      <w:r w:rsidRPr="000669A5">
        <w:t>Collect foreign signals intelligence;</w:t>
      </w:r>
    </w:p>
    <w:p w14:paraId="0DE376B9" w14:textId="77777777" w:rsidR="00A92402" w:rsidRPr="000669A5" w:rsidRDefault="00A92402" w:rsidP="00A92402">
      <w:pPr>
        <w:pStyle w:val="BoxBullet"/>
        <w:numPr>
          <w:ilvl w:val="0"/>
          <w:numId w:val="33"/>
        </w:numPr>
        <w:tabs>
          <w:tab w:val="num" w:pos="426"/>
        </w:tabs>
        <w:spacing w:before="120"/>
        <w:ind w:left="426" w:hanging="284"/>
        <w:jc w:val="left"/>
      </w:pPr>
      <w:r w:rsidRPr="000669A5">
        <w:t>Communicate foreign signals intelligence;</w:t>
      </w:r>
    </w:p>
    <w:p w14:paraId="6A4E4164" w14:textId="77777777" w:rsidR="00A92402" w:rsidRPr="000669A5" w:rsidRDefault="00A92402" w:rsidP="00A92402">
      <w:pPr>
        <w:pStyle w:val="BoxBullet"/>
        <w:numPr>
          <w:ilvl w:val="0"/>
          <w:numId w:val="33"/>
        </w:numPr>
        <w:tabs>
          <w:tab w:val="num" w:pos="426"/>
        </w:tabs>
        <w:spacing w:before="120"/>
        <w:ind w:left="426" w:hanging="284"/>
        <w:jc w:val="left"/>
      </w:pPr>
      <w:r w:rsidRPr="000669A5">
        <w:t>Prevent and disrupt offshore cyber-enabled crime;</w:t>
      </w:r>
    </w:p>
    <w:p w14:paraId="572F7D48" w14:textId="77777777" w:rsidR="00A92402" w:rsidRPr="000669A5" w:rsidRDefault="00A92402" w:rsidP="00A92402">
      <w:pPr>
        <w:pStyle w:val="BoxBullet"/>
        <w:numPr>
          <w:ilvl w:val="0"/>
          <w:numId w:val="33"/>
        </w:numPr>
        <w:tabs>
          <w:tab w:val="num" w:pos="426"/>
        </w:tabs>
        <w:spacing w:before="120"/>
        <w:ind w:left="426" w:hanging="284"/>
        <w:jc w:val="left"/>
      </w:pPr>
      <w:r w:rsidRPr="000669A5">
        <w:t>Provide cyber security advice and assistance to Australian governments, businesses and individuals;</w:t>
      </w:r>
    </w:p>
    <w:p w14:paraId="53E618D5" w14:textId="77777777" w:rsidR="00A92402" w:rsidRPr="000669A5" w:rsidRDefault="00A92402" w:rsidP="00A92402">
      <w:pPr>
        <w:pStyle w:val="BoxBullet"/>
        <w:numPr>
          <w:ilvl w:val="0"/>
          <w:numId w:val="33"/>
        </w:numPr>
        <w:tabs>
          <w:tab w:val="num" w:pos="426"/>
        </w:tabs>
        <w:spacing w:before="120"/>
        <w:ind w:left="426" w:hanging="284"/>
        <w:jc w:val="left"/>
      </w:pPr>
      <w:r w:rsidRPr="000669A5">
        <w:t>Support military operations;</w:t>
      </w:r>
    </w:p>
    <w:p w14:paraId="3D538FE0" w14:textId="77777777" w:rsidR="00A92402" w:rsidRPr="000669A5" w:rsidRDefault="00A92402" w:rsidP="00A92402">
      <w:pPr>
        <w:pStyle w:val="BoxBullet"/>
        <w:numPr>
          <w:ilvl w:val="0"/>
          <w:numId w:val="33"/>
        </w:numPr>
        <w:tabs>
          <w:tab w:val="num" w:pos="426"/>
        </w:tabs>
        <w:spacing w:before="120"/>
        <w:ind w:left="426" w:hanging="284"/>
        <w:jc w:val="left"/>
      </w:pPr>
      <w:r w:rsidRPr="000669A5">
        <w:t xml:space="preserve">Protect the specialised tools ASD uses to fulfil its functions; and </w:t>
      </w:r>
    </w:p>
    <w:p w14:paraId="49C35ED0" w14:textId="77777777" w:rsidR="00A92402" w:rsidRPr="000669A5" w:rsidRDefault="00A92402" w:rsidP="00A92402">
      <w:pPr>
        <w:pStyle w:val="BoxBullet"/>
        <w:numPr>
          <w:ilvl w:val="0"/>
          <w:numId w:val="33"/>
        </w:numPr>
        <w:tabs>
          <w:tab w:val="num" w:pos="426"/>
        </w:tabs>
        <w:spacing w:before="120"/>
        <w:ind w:left="426" w:hanging="284"/>
        <w:jc w:val="left"/>
      </w:pPr>
      <w:r w:rsidRPr="000669A5">
        <w:t>Cooperate with, and assist, the national security community’s performance of its functions.</w:t>
      </w:r>
    </w:p>
    <w:p w14:paraId="6719349E" w14:textId="77777777" w:rsidR="00A92402" w:rsidRPr="000669A5" w:rsidRDefault="00A92402" w:rsidP="00A92402">
      <w:pPr>
        <w:spacing w:before="120" w:after="120"/>
      </w:pPr>
      <w:r w:rsidRPr="000669A5">
        <w:t>The organisation’s strategic objectives include:</w:t>
      </w:r>
    </w:p>
    <w:p w14:paraId="4D04702F" w14:textId="77777777" w:rsidR="00A92402" w:rsidRPr="000669A5" w:rsidRDefault="00A92402" w:rsidP="00A92402">
      <w:pPr>
        <w:pStyle w:val="BoxBullet"/>
        <w:numPr>
          <w:ilvl w:val="0"/>
          <w:numId w:val="33"/>
        </w:numPr>
        <w:tabs>
          <w:tab w:val="num" w:pos="426"/>
        </w:tabs>
        <w:spacing w:before="120"/>
        <w:ind w:left="426" w:hanging="284"/>
        <w:jc w:val="left"/>
      </w:pPr>
      <w:r w:rsidRPr="000669A5">
        <w:t xml:space="preserve">ASD </w:t>
      </w:r>
      <w:r w:rsidRPr="000669A5">
        <w:rPr>
          <w:b/>
        </w:rPr>
        <w:t>delivers strategic advantage</w:t>
      </w:r>
      <w:r w:rsidRPr="000669A5">
        <w:t xml:space="preserve"> for Australia by providing foreign signals intelligence that protects and advances Australia’s national interest. Foreign intelligence collection activities are guided by strategic priorities set by the Government.</w:t>
      </w:r>
    </w:p>
    <w:p w14:paraId="3E508C4C" w14:textId="30025D96" w:rsidR="00A92402" w:rsidRPr="000669A5" w:rsidRDefault="00A92402" w:rsidP="00A92402">
      <w:pPr>
        <w:pStyle w:val="BoxBullet"/>
        <w:numPr>
          <w:ilvl w:val="0"/>
          <w:numId w:val="33"/>
        </w:numPr>
        <w:tabs>
          <w:tab w:val="num" w:pos="426"/>
        </w:tabs>
        <w:spacing w:before="120"/>
        <w:ind w:left="426" w:hanging="284"/>
        <w:jc w:val="left"/>
      </w:pPr>
      <w:r w:rsidRPr="000669A5">
        <w:t xml:space="preserve">ASD is the Australian Government’s </w:t>
      </w:r>
      <w:r w:rsidRPr="000669A5">
        <w:rPr>
          <w:b/>
        </w:rPr>
        <w:t>leading cyber security agency</w:t>
      </w:r>
      <w:r w:rsidRPr="000669A5">
        <w:t>, and aims to foster national cyber security resilience. ASD’s Australian Cyber Security Centre monitors cyber threats targeting Australian interests and provides advice and information, including through an international network of Computer Emergency Response Teams (CERTs), to help protect Australians. When serious cyber incidents occur, ASD leads the Australian Government response to help mitigate the threat and strengthen defences.</w:t>
      </w:r>
    </w:p>
    <w:p w14:paraId="3323158E" w14:textId="77777777" w:rsidR="00A92402" w:rsidRPr="000669A5" w:rsidRDefault="00A92402" w:rsidP="00A92402">
      <w:pPr>
        <w:pStyle w:val="BoxBullet"/>
        <w:numPr>
          <w:ilvl w:val="0"/>
          <w:numId w:val="33"/>
        </w:numPr>
        <w:tabs>
          <w:tab w:val="num" w:pos="426"/>
        </w:tabs>
        <w:spacing w:before="120"/>
        <w:ind w:left="426" w:hanging="284"/>
        <w:jc w:val="left"/>
      </w:pPr>
      <w:r w:rsidRPr="000669A5">
        <w:br w:type="page"/>
      </w:r>
      <w:r w:rsidRPr="000669A5">
        <w:lastRenderedPageBreak/>
        <w:t xml:space="preserve">ASD has a long history of </w:t>
      </w:r>
      <w:r w:rsidRPr="000669A5">
        <w:rPr>
          <w:b/>
        </w:rPr>
        <w:t>supporting Australian military operations</w:t>
      </w:r>
      <w:r w:rsidRPr="000669A5">
        <w:t>, with the organisation’s heritage dating back to the Second World War. Today, ASD supports Australian Defence Force (ADF) operations around the globe, including by providing intelligence and offensive cyber capabilities to enable the warfighter and protect ADF personnel and assets. ASD also draws on its deep technical expertise to help the ADF stay ahead of technology advancements in the region, including the introduction of 5th generation weapons and cyber-warfare capabilities.</w:t>
      </w:r>
    </w:p>
    <w:p w14:paraId="63FEA92C" w14:textId="77777777" w:rsidR="00A92402" w:rsidRPr="000669A5" w:rsidRDefault="00A92402" w:rsidP="00A92402">
      <w:pPr>
        <w:pStyle w:val="BoxBullet"/>
        <w:numPr>
          <w:ilvl w:val="0"/>
          <w:numId w:val="33"/>
        </w:numPr>
        <w:tabs>
          <w:tab w:val="num" w:pos="426"/>
        </w:tabs>
        <w:spacing w:before="120"/>
        <w:ind w:left="426" w:hanging="284"/>
        <w:jc w:val="left"/>
      </w:pPr>
      <w:r w:rsidRPr="000669A5">
        <w:t xml:space="preserve">ASD capabilities play an important role in </w:t>
      </w:r>
      <w:r w:rsidRPr="000669A5">
        <w:rPr>
          <w:b/>
        </w:rPr>
        <w:t>countering cyber-enabled threats</w:t>
      </w:r>
      <w:r w:rsidRPr="000669A5">
        <w:t>. The organisation protects Australia and Australians by preventing and disrupting offshore cyber-enabled crime, including the activities of organised criminal groups using malware to target Australians, and terrorists who use the internet to plan and incite attacks against Australian interests.</w:t>
      </w:r>
    </w:p>
    <w:p w14:paraId="3BACECDA" w14:textId="77777777" w:rsidR="00A92402" w:rsidRPr="000669A5" w:rsidRDefault="00A92402" w:rsidP="00A92402">
      <w:pPr>
        <w:pStyle w:val="BoxBullet"/>
        <w:numPr>
          <w:ilvl w:val="0"/>
          <w:numId w:val="33"/>
        </w:numPr>
        <w:tabs>
          <w:tab w:val="num" w:pos="426"/>
        </w:tabs>
        <w:spacing w:before="120"/>
        <w:ind w:left="426" w:hanging="284"/>
        <w:jc w:val="left"/>
      </w:pPr>
      <w:r w:rsidRPr="000669A5">
        <w:t xml:space="preserve">Finally, ASD </w:t>
      </w:r>
      <w:r w:rsidRPr="000669A5">
        <w:rPr>
          <w:b/>
        </w:rPr>
        <w:t>provides trusted advice and expertise</w:t>
      </w:r>
      <w:r w:rsidRPr="000669A5">
        <w:t xml:space="preserve"> to Government, business and the community. ASD draws on its deep technical understanding of communications technology to help the Australian Government, and the public understand the nature of the cyber threat environment, how they might be vulnerable and what they can do to protect themselves.</w:t>
      </w:r>
    </w:p>
    <w:p w14:paraId="7407484D" w14:textId="77777777" w:rsidR="00A92402" w:rsidRPr="000669A5" w:rsidRDefault="00A92402" w:rsidP="00A92402">
      <w:pPr>
        <w:spacing w:before="120" w:after="120"/>
      </w:pPr>
      <w:r w:rsidRPr="000669A5">
        <w:t>To achieve its purpose, ASD needs to keep pace with the latest technology trends and invest in cutting-edge capabilities to gain asymmetric advantage. ASD’s activities are enabled by innovative techniques, including specialist tools to probe large volumes of data to detect threats. ASD’s mastery of technology also underpins the formulation of sound advice to protect Australia from sophisticated threats.</w:t>
      </w:r>
    </w:p>
    <w:p w14:paraId="566D9B65" w14:textId="77777777" w:rsidR="00A92402" w:rsidRPr="000669A5" w:rsidRDefault="00A92402" w:rsidP="00A92402">
      <w:pPr>
        <w:spacing w:before="120" w:after="120"/>
      </w:pPr>
      <w:r w:rsidRPr="000669A5">
        <w:t>Partnerships are critical to the organisation’s success. ASD works closely with the Australian national security community, overseas intelligence and cyber security partners, academia and industry. This level of collaboration is essential to comprehensively understand the threat environment and to stay at the leading edge of technology.</w:t>
      </w:r>
    </w:p>
    <w:p w14:paraId="45EF6169" w14:textId="77777777" w:rsidR="00A92402" w:rsidRPr="000669A5" w:rsidRDefault="00A92402" w:rsidP="00A92402">
      <w:pPr>
        <w:spacing w:before="120" w:after="120"/>
      </w:pPr>
      <w:r w:rsidRPr="000669A5">
        <w:t>ASD’s success is founded in the ingenuity of its workforce. The organisation seeks to recruit and develop a curious and imaginative workforce which is not deterred by difficult challenges. Recruiting the requisite specialist technological expertise has become increasingly challenging, given the high demand for staff with these skillsets.</w:t>
      </w:r>
    </w:p>
    <w:p w14:paraId="0B78CC52" w14:textId="77777777" w:rsidR="00A92402" w:rsidRPr="000669A5" w:rsidRDefault="00A92402" w:rsidP="00A92402">
      <w:pPr>
        <w:spacing w:before="120" w:after="120"/>
      </w:pPr>
      <w:r w:rsidRPr="000669A5">
        <w:t>The combination of a uniquely skilled workforce, empowered by innovative technology, enabled by responsible financial management, and leveraging partner capabilities, positions the organisation to deliver trusted intelligence, cyber security expertise and offensive cyber operations for Australia’s national interest.</w:t>
      </w:r>
    </w:p>
    <w:p w14:paraId="33B6965A" w14:textId="34430ABB" w:rsidR="004B73E8" w:rsidRPr="00B56FAA" w:rsidRDefault="00A92402" w:rsidP="00A92402">
      <w:pPr>
        <w:autoSpaceDE w:val="0"/>
        <w:autoSpaceDN w:val="0"/>
        <w:adjustRightInd w:val="0"/>
        <w:spacing w:before="120" w:after="120"/>
        <w:rPr>
          <w:rFonts w:cs="Book Antiqua"/>
          <w:color w:val="000000"/>
          <w:szCs w:val="20"/>
          <w:lang w:val="en-AU"/>
        </w:rPr>
      </w:pPr>
      <w:r w:rsidRPr="000669A5">
        <w:t>The Government has prioritised REDSPICE funding in the Integrated Investment Program to enhance Australia’s cyber capabilities, intelligence, surveillance and reconnaissance and deliver resilient communications and computer network defence and disrupt operations</w:t>
      </w:r>
      <w:r w:rsidR="004B73E8" w:rsidRPr="00A92402">
        <w:rPr>
          <w:rFonts w:cs="Book Antiqua"/>
          <w:color w:val="000000"/>
          <w:szCs w:val="20"/>
          <w:lang w:val="en-AU"/>
        </w:rPr>
        <w:t>.</w:t>
      </w:r>
    </w:p>
    <w:p w14:paraId="7EB2C22C" w14:textId="77777777" w:rsidR="004B73E8" w:rsidRPr="00A92402" w:rsidRDefault="004B73E8" w:rsidP="00444A89">
      <w:pPr>
        <w:pStyle w:val="FigureHeading"/>
        <w:numPr>
          <w:ilvl w:val="0"/>
          <w:numId w:val="42"/>
        </w:numPr>
        <w:tabs>
          <w:tab w:val="num" w:pos="142"/>
          <w:tab w:val="num" w:pos="426"/>
        </w:tabs>
        <w:spacing w:before="120" w:after="120"/>
        <w:ind w:left="426" w:hanging="426"/>
        <w:outlineLvl w:val="4"/>
        <w:rPr>
          <w:lang w:val="en-AU"/>
        </w:rPr>
      </w:pPr>
      <w:r w:rsidRPr="00B56FAA">
        <w:br w:type="page"/>
      </w:r>
      <w:r w:rsidRPr="00A92402">
        <w:rPr>
          <w:lang w:val="en-AU"/>
        </w:rPr>
        <w:lastRenderedPageBreak/>
        <w:t>ASD Organisational Structure</w:t>
      </w:r>
      <w:bookmarkStart w:id="1001" w:name="_Toc511738481"/>
      <w:bookmarkStart w:id="1002" w:name="_Toc511738636"/>
      <w:bookmarkStart w:id="1003" w:name="_Toc511738684"/>
      <w:bookmarkStart w:id="1004" w:name="_Toc511738745"/>
      <w:bookmarkStart w:id="1005" w:name="_Toc511738794"/>
      <w:bookmarkStart w:id="1006" w:name="_Toc511809216"/>
      <w:bookmarkStart w:id="1007" w:name="_Toc511809348"/>
      <w:bookmarkStart w:id="1008" w:name="_Toc511821813"/>
      <w:bookmarkStart w:id="1009" w:name="_Toc512161989"/>
      <w:bookmarkStart w:id="1010" w:name="_Toc512162078"/>
      <w:bookmarkStart w:id="1011" w:name="_Toc512162128"/>
      <w:bookmarkStart w:id="1012" w:name="_Toc512249063"/>
      <w:bookmarkStart w:id="1013" w:name="_Toc512354530"/>
      <w:bookmarkStart w:id="1014" w:name="_Toc512360977"/>
      <w:bookmarkStart w:id="1015" w:name="_Toc512511700"/>
      <w:bookmarkStart w:id="1016" w:name="_Toc512511751"/>
      <w:bookmarkStart w:id="1017" w:name="_Toc512518359"/>
      <w:bookmarkStart w:id="1018" w:name="_Toc512519012"/>
      <w:bookmarkStart w:id="1019" w:name="_Toc512946472"/>
      <w:bookmarkStart w:id="1020" w:name="_Toc512946546"/>
      <w:bookmarkStart w:id="1021" w:name="_Toc512946473"/>
      <w:bookmarkStart w:id="1022" w:name="_Toc512946547"/>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p>
    <w:p w14:paraId="2AD01D21" w14:textId="77777777" w:rsidR="004B73E8" w:rsidRPr="00B56FAA" w:rsidRDefault="004B73E8" w:rsidP="004B73E8">
      <w:pPr>
        <w:rPr>
          <w:lang w:val="en-AU"/>
        </w:rPr>
      </w:pPr>
    </w:p>
    <w:p w14:paraId="0CFA3A4E" w14:textId="59A5B20F" w:rsidR="008C5364" w:rsidRDefault="00A92402" w:rsidP="008C5364">
      <w:pPr>
        <w:pStyle w:val="BodyText"/>
        <w:rPr>
          <w:rFonts w:ascii="Arial" w:hAnsi="Arial"/>
          <w:lang w:val="en-AU"/>
        </w:rPr>
      </w:pPr>
      <w:r w:rsidRPr="0024682A">
        <w:rPr>
          <w:noProof/>
          <w:lang w:val="en-AU"/>
        </w:rPr>
        <mc:AlternateContent>
          <mc:Choice Requires="wps">
            <w:drawing>
              <wp:anchor distT="0" distB="0" distL="114300" distR="114300" simplePos="0" relativeHeight="251691520" behindDoc="0" locked="0" layoutInCell="1" allowOverlap="1" wp14:anchorId="4EEEA160" wp14:editId="0E5183EF">
                <wp:simplePos x="0" y="0"/>
                <wp:positionH relativeFrom="column">
                  <wp:posOffset>1513205</wp:posOffset>
                </wp:positionH>
                <wp:positionV relativeFrom="paragraph">
                  <wp:posOffset>273105</wp:posOffset>
                </wp:positionV>
                <wp:extent cx="2008505" cy="492843"/>
                <wp:effectExtent l="0" t="0" r="0" b="2540"/>
                <wp:wrapNone/>
                <wp:docPr id="580"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492843"/>
                        </a:xfrm>
                        <a:prstGeom prst="rect">
                          <a:avLst/>
                        </a:prstGeom>
                        <a:solidFill>
                          <a:srgbClr val="FFFFFF"/>
                        </a:solidFill>
                        <a:ln w="9525">
                          <a:noFill/>
                          <a:miter lim="800000"/>
                          <a:headEnd/>
                          <a:tailEnd/>
                        </a:ln>
                        <a:extLst/>
                      </wps:spPr>
                      <wps:txbx>
                        <w:txbxContent>
                          <w:p w14:paraId="52D20766" w14:textId="77777777" w:rsidR="00CE3B2C" w:rsidRPr="00A01209" w:rsidRDefault="00CE3B2C" w:rsidP="008C5364">
                            <w:pPr>
                              <w:pStyle w:val="OrgChart"/>
                              <w:jc w:val="center"/>
                              <w:rPr>
                                <w:rFonts w:ascii="Arial" w:hAnsi="Arial"/>
                                <w:szCs w:val="16"/>
                                <w:lang w:val="en-AU"/>
                              </w:rPr>
                            </w:pPr>
                            <w:r w:rsidRPr="00A01209">
                              <w:rPr>
                                <w:rFonts w:ascii="Arial" w:hAnsi="Arial"/>
                                <w:szCs w:val="16"/>
                                <w:lang w:val="en-AU"/>
                              </w:rPr>
                              <w:t>Deputy Prime Minister</w:t>
                            </w:r>
                            <w:r w:rsidRPr="00A01209">
                              <w:rPr>
                                <w:rFonts w:ascii="Arial" w:hAnsi="Arial"/>
                                <w:szCs w:val="16"/>
                                <w:lang w:val="en-AU"/>
                              </w:rPr>
                              <w:br/>
                              <w:t>Minister for Defence</w:t>
                            </w:r>
                          </w:p>
                          <w:p w14:paraId="5E72C319" w14:textId="77777777" w:rsidR="00CE3B2C" w:rsidRPr="00A01209" w:rsidRDefault="00CE3B2C" w:rsidP="008C5364">
                            <w:pPr>
                              <w:pStyle w:val="OrgChart"/>
                              <w:jc w:val="center"/>
                              <w:rPr>
                                <w:rFonts w:ascii="Arial" w:hAnsi="Arial"/>
                                <w:szCs w:val="16"/>
                                <w:lang w:val="en-AU"/>
                              </w:rPr>
                            </w:pPr>
                            <w:r w:rsidRPr="00A01209">
                              <w:rPr>
                                <w:rFonts w:ascii="Arial" w:hAnsi="Arial"/>
                                <w:szCs w:val="16"/>
                              </w:rPr>
                              <w:t>The Hon Richard Marles 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EA160" id="_x0000_s1096" type="#_x0000_t202" style="position:absolute;margin-left:119.15pt;margin-top:21.5pt;width:158.15pt;height:38.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" stroked="f">
                <v:textbox>
                  <w:txbxContent>
                    <w:p w14:paraId="52D20766" w14:textId="77777777" w:rsidR="00CE3B2C" w:rsidRPr="00A01209" w:rsidRDefault="00CE3B2C" w:rsidP="008C5364">
                      <w:pPr>
                        <w:pStyle w:val="OrgChart"/>
                        <w:jc w:val="center"/>
                        <w:rPr>
                          <w:rFonts w:ascii="Arial" w:hAnsi="Arial"/>
                          <w:szCs w:val="16"/>
                          <w:lang w:val="en-AU"/>
                        </w:rPr>
                      </w:pPr>
                      <w:r w:rsidRPr="00A01209">
                        <w:rPr>
                          <w:rFonts w:ascii="Arial" w:hAnsi="Arial"/>
                          <w:szCs w:val="16"/>
                          <w:lang w:val="en-AU"/>
                        </w:rPr>
                        <w:t>Deputy Prime Minister</w:t>
                      </w:r>
                      <w:r w:rsidRPr="00A01209">
                        <w:rPr>
                          <w:rFonts w:ascii="Arial" w:hAnsi="Arial"/>
                          <w:szCs w:val="16"/>
                          <w:lang w:val="en-AU"/>
                        </w:rPr>
                        <w:br/>
                      </w:r>
                      <w:proofErr w:type="spellStart"/>
                      <w:r w:rsidRPr="00A01209">
                        <w:rPr>
                          <w:rFonts w:ascii="Arial" w:hAnsi="Arial"/>
                          <w:szCs w:val="16"/>
                          <w:lang w:val="en-AU"/>
                        </w:rPr>
                        <w:t>Minister</w:t>
                      </w:r>
                      <w:proofErr w:type="spellEnd"/>
                      <w:r w:rsidRPr="00A01209">
                        <w:rPr>
                          <w:rFonts w:ascii="Arial" w:hAnsi="Arial"/>
                          <w:szCs w:val="16"/>
                          <w:lang w:val="en-AU"/>
                        </w:rPr>
                        <w:t xml:space="preserve"> for Defence</w:t>
                      </w:r>
                    </w:p>
                    <w:p w14:paraId="5E72C319" w14:textId="77777777" w:rsidR="00CE3B2C" w:rsidRPr="00A01209" w:rsidRDefault="00CE3B2C" w:rsidP="008C5364">
                      <w:pPr>
                        <w:pStyle w:val="OrgChart"/>
                        <w:jc w:val="center"/>
                        <w:rPr>
                          <w:rFonts w:ascii="Arial" w:hAnsi="Arial"/>
                          <w:szCs w:val="16"/>
                          <w:lang w:val="en-AU"/>
                        </w:rPr>
                      </w:pPr>
                      <w:r w:rsidRPr="00A01209">
                        <w:rPr>
                          <w:rFonts w:ascii="Arial" w:hAnsi="Arial"/>
                          <w:szCs w:val="16"/>
                        </w:rPr>
                        <w:t xml:space="preserve">The Hon Richard </w:t>
                      </w:r>
                      <w:proofErr w:type="spellStart"/>
                      <w:r w:rsidRPr="00A01209">
                        <w:rPr>
                          <w:rFonts w:ascii="Arial" w:hAnsi="Arial"/>
                          <w:szCs w:val="16"/>
                        </w:rPr>
                        <w:t>Marles</w:t>
                      </w:r>
                      <w:proofErr w:type="spellEnd"/>
                      <w:r w:rsidRPr="00A01209">
                        <w:rPr>
                          <w:rFonts w:ascii="Arial" w:hAnsi="Arial"/>
                          <w:szCs w:val="16"/>
                        </w:rPr>
                        <w:t xml:space="preserve"> MP</w:t>
                      </w:r>
                    </w:p>
                  </w:txbxContent>
                </v:textbox>
              </v:shape>
            </w:pict>
          </mc:Fallback>
        </mc:AlternateContent>
      </w:r>
    </w:p>
    <w:p w14:paraId="769B8877" w14:textId="1038446D" w:rsidR="008C5364" w:rsidRPr="005F62B1" w:rsidRDefault="008C5364" w:rsidP="008C5364">
      <w:pPr>
        <w:pStyle w:val="BodyText"/>
        <w:rPr>
          <w:rFonts w:ascii="Arial" w:hAnsi="Arial"/>
          <w:lang w:val="en-AU"/>
        </w:rPr>
      </w:pPr>
    </w:p>
    <w:p w14:paraId="47CF3E08" w14:textId="0E02E7EB" w:rsidR="008C5364" w:rsidRDefault="00A92402" w:rsidP="008C5364">
      <w:pPr>
        <w:pStyle w:val="BodyText"/>
        <w:rPr>
          <w:szCs w:val="20"/>
        </w:rPr>
      </w:pPr>
      <w:r>
        <w:rPr>
          <w:noProof/>
          <w:lang w:val="en-AU"/>
        </w:rPr>
        <mc:AlternateContent>
          <mc:Choice Requires="wps">
            <w:drawing>
              <wp:anchor distT="0" distB="0" distL="114300" distR="114300" simplePos="0" relativeHeight="251698688" behindDoc="0" locked="0" layoutInCell="1" allowOverlap="1" wp14:anchorId="47700DA6" wp14:editId="15E4973C">
                <wp:simplePos x="0" y="0"/>
                <wp:positionH relativeFrom="column">
                  <wp:posOffset>1123315</wp:posOffset>
                </wp:positionH>
                <wp:positionV relativeFrom="paragraph">
                  <wp:posOffset>234923</wp:posOffset>
                </wp:positionV>
                <wp:extent cx="2965754" cy="723569"/>
                <wp:effectExtent l="0" t="0" r="0" b="635"/>
                <wp:wrapNone/>
                <wp:docPr id="24575507"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754" cy="723569"/>
                        </a:xfrm>
                        <a:prstGeom prst="rect">
                          <a:avLst/>
                        </a:prstGeom>
                        <a:noFill/>
                        <a:ln>
                          <a:noFill/>
                        </a:ln>
                        <a:extLst>
                          <a:ext uri="{909E8E84-426E-40DD-AFC4-6F175D3DCCD1}">
                            <a14:hiddenFill xmlns:a14="http://schemas.microsoft.com/office/drawing/2010/main">
                              <a:solidFill>
                                <a:srgbClr val="E7E6E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9DB2B" w14:textId="77777777" w:rsidR="00CE3B2C" w:rsidRPr="000669A5" w:rsidRDefault="00CE3B2C" w:rsidP="00A92402">
                            <w:pPr>
                              <w:pStyle w:val="OrgChart"/>
                              <w:jc w:val="center"/>
                              <w:rPr>
                                <w:rFonts w:ascii="Arial" w:hAnsi="Arial"/>
                                <w:lang w:val="en-AU"/>
                              </w:rPr>
                            </w:pPr>
                            <w:r w:rsidRPr="000669A5">
                              <w:rPr>
                                <w:rFonts w:ascii="Arial" w:hAnsi="Arial"/>
                                <w:lang w:val="en-AU"/>
                              </w:rPr>
                              <w:t>Minister for Home Affairs</w:t>
                            </w:r>
                          </w:p>
                          <w:p w14:paraId="338A04A5" w14:textId="77777777" w:rsidR="00CE3B2C" w:rsidRPr="000669A5" w:rsidRDefault="00CE3B2C" w:rsidP="00A92402">
                            <w:pPr>
                              <w:pStyle w:val="OrgChart"/>
                              <w:jc w:val="center"/>
                              <w:rPr>
                                <w:rFonts w:ascii="Arial" w:hAnsi="Arial"/>
                                <w:lang w:val="en-AU"/>
                              </w:rPr>
                            </w:pPr>
                            <w:r w:rsidRPr="000669A5">
                              <w:rPr>
                                <w:rFonts w:ascii="Arial" w:hAnsi="Arial"/>
                                <w:lang w:val="en-AU"/>
                              </w:rPr>
                              <w:t>Minister for Immigration and Multicultural Affairs</w:t>
                            </w:r>
                          </w:p>
                          <w:p w14:paraId="50E109E1" w14:textId="77777777" w:rsidR="00CE3B2C" w:rsidRPr="000669A5" w:rsidRDefault="00CE3B2C" w:rsidP="00A92402">
                            <w:pPr>
                              <w:pStyle w:val="OrgChart"/>
                              <w:jc w:val="center"/>
                              <w:rPr>
                                <w:rFonts w:ascii="Arial" w:hAnsi="Arial"/>
                                <w:lang w:val="en-AU"/>
                              </w:rPr>
                            </w:pPr>
                            <w:r w:rsidRPr="000669A5">
                              <w:rPr>
                                <w:rFonts w:ascii="Arial" w:hAnsi="Arial"/>
                                <w:lang w:val="en-AU"/>
                              </w:rPr>
                              <w:t>Minister for Cyber Security</w:t>
                            </w:r>
                          </w:p>
                          <w:p w14:paraId="6444D1B4" w14:textId="77777777" w:rsidR="00CE3B2C" w:rsidRPr="000669A5" w:rsidRDefault="00CE3B2C" w:rsidP="00A92402">
                            <w:pPr>
                              <w:pStyle w:val="OrgChart"/>
                              <w:jc w:val="center"/>
                              <w:rPr>
                                <w:rFonts w:ascii="Arial" w:hAnsi="Arial"/>
                                <w:lang w:val="en-AU"/>
                              </w:rPr>
                            </w:pPr>
                            <w:r w:rsidRPr="000669A5">
                              <w:rPr>
                                <w:rFonts w:ascii="Arial" w:hAnsi="Arial"/>
                                <w:lang w:val="en-AU"/>
                              </w:rPr>
                              <w:t>and Minister for the Arts</w:t>
                            </w:r>
                          </w:p>
                          <w:p w14:paraId="3F2DE5D8" w14:textId="77777777" w:rsidR="00CE3B2C" w:rsidRDefault="00CE3B2C" w:rsidP="00A92402">
                            <w:pPr>
                              <w:pStyle w:val="OrgChart"/>
                              <w:jc w:val="center"/>
                              <w:rPr>
                                <w:rFonts w:ascii="Arial" w:hAnsi="Arial"/>
                                <w:lang w:val="en-AU"/>
                              </w:rPr>
                            </w:pPr>
                            <w:r w:rsidRPr="000669A5">
                              <w:rPr>
                                <w:rFonts w:ascii="Arial" w:hAnsi="Arial"/>
                                <w:lang w:val="en-AU"/>
                              </w:rPr>
                              <w:t>The Hon Tony Burke MP</w:t>
                            </w:r>
                          </w:p>
                          <w:p w14:paraId="5AD97F14" w14:textId="20943CB6" w:rsidR="00CE3B2C" w:rsidRDefault="00CE3B2C" w:rsidP="008C5364">
                            <w:pPr>
                              <w:pStyle w:val="OrgChart"/>
                              <w:jc w:val="center"/>
                              <w:rPr>
                                <w:rFonts w:ascii="Arial" w:hAnsi="Arial"/>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00DA6" id="_x0000_s1097" type="#_x0000_t202" style="position:absolute;margin-left:88.45pt;margin-top:18.5pt;width:233.5pt;height:56.9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" filled="f" fillcolor="#e7e6e6" stroked="f">
                <v:textbox>
                  <w:txbxContent>
                    <w:p w14:paraId="71E9DB2B" w14:textId="77777777" w:rsidR="00CE3B2C" w:rsidRPr="000669A5" w:rsidRDefault="00CE3B2C" w:rsidP="00A92402">
                      <w:pPr>
                        <w:pStyle w:val="OrgChart"/>
                        <w:jc w:val="center"/>
                        <w:rPr>
                          <w:rFonts w:ascii="Arial" w:hAnsi="Arial"/>
                          <w:lang w:val="en-AU"/>
                        </w:rPr>
                      </w:pPr>
                      <w:r w:rsidRPr="000669A5">
                        <w:rPr>
                          <w:rFonts w:ascii="Arial" w:hAnsi="Arial"/>
                          <w:lang w:val="en-AU"/>
                        </w:rPr>
                        <w:t>Minister for Home Affairs</w:t>
                      </w:r>
                    </w:p>
                    <w:p w14:paraId="338A04A5" w14:textId="77777777" w:rsidR="00CE3B2C" w:rsidRPr="000669A5" w:rsidRDefault="00CE3B2C" w:rsidP="00A92402">
                      <w:pPr>
                        <w:pStyle w:val="OrgChart"/>
                        <w:jc w:val="center"/>
                        <w:rPr>
                          <w:rFonts w:ascii="Arial" w:hAnsi="Arial"/>
                          <w:lang w:val="en-AU"/>
                        </w:rPr>
                      </w:pPr>
                      <w:r w:rsidRPr="000669A5">
                        <w:rPr>
                          <w:rFonts w:ascii="Arial" w:hAnsi="Arial"/>
                          <w:lang w:val="en-AU"/>
                        </w:rPr>
                        <w:t>Minister for Immigration and Multicultural Affairs</w:t>
                      </w:r>
                    </w:p>
                    <w:p w14:paraId="50E109E1" w14:textId="77777777" w:rsidR="00CE3B2C" w:rsidRPr="000669A5" w:rsidRDefault="00CE3B2C" w:rsidP="00A92402">
                      <w:pPr>
                        <w:pStyle w:val="OrgChart"/>
                        <w:jc w:val="center"/>
                        <w:rPr>
                          <w:rFonts w:ascii="Arial" w:hAnsi="Arial"/>
                          <w:lang w:val="en-AU"/>
                        </w:rPr>
                      </w:pPr>
                      <w:r w:rsidRPr="000669A5">
                        <w:rPr>
                          <w:rFonts w:ascii="Arial" w:hAnsi="Arial"/>
                          <w:lang w:val="en-AU"/>
                        </w:rPr>
                        <w:t>Minister for Cyber Security</w:t>
                      </w:r>
                    </w:p>
                    <w:p w14:paraId="6444D1B4" w14:textId="77777777" w:rsidR="00CE3B2C" w:rsidRPr="000669A5" w:rsidRDefault="00CE3B2C" w:rsidP="00A92402">
                      <w:pPr>
                        <w:pStyle w:val="OrgChart"/>
                        <w:jc w:val="center"/>
                        <w:rPr>
                          <w:rFonts w:ascii="Arial" w:hAnsi="Arial"/>
                          <w:lang w:val="en-AU"/>
                        </w:rPr>
                      </w:pPr>
                      <w:proofErr w:type="gramStart"/>
                      <w:r w:rsidRPr="000669A5">
                        <w:rPr>
                          <w:rFonts w:ascii="Arial" w:hAnsi="Arial"/>
                          <w:lang w:val="en-AU"/>
                        </w:rPr>
                        <w:t>and</w:t>
                      </w:r>
                      <w:proofErr w:type="gramEnd"/>
                      <w:r w:rsidRPr="000669A5">
                        <w:rPr>
                          <w:rFonts w:ascii="Arial" w:hAnsi="Arial"/>
                          <w:lang w:val="en-AU"/>
                        </w:rPr>
                        <w:t xml:space="preserve"> Minister for the Arts</w:t>
                      </w:r>
                    </w:p>
                    <w:p w14:paraId="3F2DE5D8" w14:textId="77777777" w:rsidR="00CE3B2C" w:rsidRDefault="00CE3B2C" w:rsidP="00A92402">
                      <w:pPr>
                        <w:pStyle w:val="OrgChart"/>
                        <w:jc w:val="center"/>
                        <w:rPr>
                          <w:rFonts w:ascii="Arial" w:hAnsi="Arial"/>
                          <w:lang w:val="en-AU"/>
                        </w:rPr>
                      </w:pPr>
                      <w:r w:rsidRPr="000669A5">
                        <w:rPr>
                          <w:rFonts w:ascii="Arial" w:hAnsi="Arial"/>
                          <w:lang w:val="en-AU"/>
                        </w:rPr>
                        <w:t>The Hon Tony Burke MP</w:t>
                      </w:r>
                    </w:p>
                    <w:p w14:paraId="5AD97F14" w14:textId="20943CB6" w:rsidR="00CE3B2C" w:rsidRDefault="00CE3B2C" w:rsidP="008C5364">
                      <w:pPr>
                        <w:pStyle w:val="OrgChart"/>
                        <w:jc w:val="center"/>
                        <w:rPr>
                          <w:rFonts w:ascii="Arial" w:hAnsi="Arial"/>
                          <w:lang w:val="en-AU"/>
                        </w:rPr>
                      </w:pPr>
                    </w:p>
                  </w:txbxContent>
                </v:textbox>
              </v:shape>
            </w:pict>
          </mc:Fallback>
        </mc:AlternateContent>
      </w:r>
    </w:p>
    <w:p w14:paraId="748B9C09" w14:textId="35295732" w:rsidR="008C5364" w:rsidRDefault="008C5364" w:rsidP="008C5364">
      <w:pPr>
        <w:pStyle w:val="BodyText"/>
        <w:rPr>
          <w:szCs w:val="20"/>
        </w:rPr>
      </w:pPr>
    </w:p>
    <w:p w14:paraId="2AEDEB06" w14:textId="77777777" w:rsidR="008C5364" w:rsidRDefault="008C5364" w:rsidP="008C5364">
      <w:pPr>
        <w:pStyle w:val="BodyText"/>
        <w:rPr>
          <w:szCs w:val="20"/>
        </w:rPr>
      </w:pPr>
    </w:p>
    <w:p w14:paraId="045E126F" w14:textId="77777777" w:rsidR="008C5364" w:rsidRPr="005F62B1" w:rsidRDefault="0085144D" w:rsidP="008C5364">
      <w:pPr>
        <w:pStyle w:val="BodyText"/>
        <w:rPr>
          <w:szCs w:val="20"/>
        </w:rPr>
      </w:pPr>
      <w:r>
        <w:rPr>
          <w:noProof/>
          <w:szCs w:val="20"/>
          <w:lang w:val="en-AU"/>
        </w:rPr>
        <mc:AlternateContent>
          <mc:Choice Requires="wps">
            <w:drawing>
              <wp:anchor distT="0" distB="0" distL="114300" distR="114300" simplePos="0" relativeHeight="251699712" behindDoc="0" locked="0" layoutInCell="1" allowOverlap="1" wp14:anchorId="1404AEFB" wp14:editId="12B9871D">
                <wp:simplePos x="0" y="0"/>
                <wp:positionH relativeFrom="column">
                  <wp:posOffset>362585</wp:posOffset>
                </wp:positionH>
                <wp:positionV relativeFrom="paragraph">
                  <wp:posOffset>97155</wp:posOffset>
                </wp:positionV>
                <wp:extent cx="4400550" cy="4445"/>
                <wp:effectExtent l="7620" t="5080" r="11430" b="9525"/>
                <wp:wrapNone/>
                <wp:docPr id="2457550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00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5CCBB" id="Line 47" o:spid="_x0000_s1026" style="position:absolute;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5pt,7.65pt" to="375.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"/>
            </w:pict>
          </mc:Fallback>
        </mc:AlternateContent>
      </w:r>
    </w:p>
    <w:p w14:paraId="27F5EA37" w14:textId="77777777" w:rsidR="008C5364" w:rsidRDefault="0085144D" w:rsidP="008C5364">
      <w:pPr>
        <w:pStyle w:val="BodyText"/>
        <w:rPr>
          <w:szCs w:val="20"/>
        </w:rPr>
      </w:pPr>
      <w:r w:rsidRPr="0024682A">
        <w:rPr>
          <w:noProof/>
          <w:lang w:val="en-AU"/>
        </w:rPr>
        <mc:AlternateContent>
          <mc:Choice Requires="wps">
            <w:drawing>
              <wp:anchor distT="0" distB="0" distL="114300" distR="114300" simplePos="0" relativeHeight="251692544" behindDoc="0" locked="0" layoutInCell="1" allowOverlap="1" wp14:anchorId="7281124A" wp14:editId="5CA787E8">
                <wp:simplePos x="0" y="0"/>
                <wp:positionH relativeFrom="column">
                  <wp:posOffset>1577975</wp:posOffset>
                </wp:positionH>
                <wp:positionV relativeFrom="paragraph">
                  <wp:posOffset>13335</wp:posOffset>
                </wp:positionV>
                <wp:extent cx="1927860" cy="476885"/>
                <wp:effectExtent l="0" t="0" r="0" b="0"/>
                <wp:wrapNone/>
                <wp:docPr id="577"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476885"/>
                        </a:xfrm>
                        <a:prstGeom prst="rect">
                          <a:avLst/>
                        </a:prstGeom>
                        <a:solidFill>
                          <a:srgbClr val="FFFFFF"/>
                        </a:solidFill>
                        <a:ln w="9525">
                          <a:noFill/>
                          <a:miter lim="800000"/>
                          <a:headEnd/>
                          <a:tailEnd/>
                        </a:ln>
                        <a:extLst/>
                      </wps:spPr>
                      <wps:txbx>
                        <w:txbxContent>
                          <w:p w14:paraId="763F3F0F" w14:textId="65886799" w:rsidR="00CE3B2C" w:rsidRDefault="00CE3B2C" w:rsidP="008C5364">
                            <w:pPr>
                              <w:pStyle w:val="OrgChart"/>
                              <w:jc w:val="center"/>
                              <w:rPr>
                                <w:rFonts w:ascii="Arial" w:hAnsi="Arial"/>
                                <w:szCs w:val="16"/>
                              </w:rPr>
                            </w:pPr>
                            <w:r>
                              <w:rPr>
                                <w:rFonts w:ascii="Arial" w:hAnsi="Arial"/>
                                <w:szCs w:val="16"/>
                              </w:rPr>
                              <w:t>Director-General</w:t>
                            </w:r>
                          </w:p>
                          <w:p w14:paraId="73631935" w14:textId="7929A7D9" w:rsidR="00CE3B2C" w:rsidRPr="00A01209" w:rsidRDefault="00CE3B2C" w:rsidP="00A92402">
                            <w:pPr>
                              <w:pStyle w:val="OrgChart"/>
                              <w:jc w:val="center"/>
                              <w:rPr>
                                <w:rFonts w:ascii="Arial" w:hAnsi="Arial"/>
                                <w:lang w:val="en-AU"/>
                              </w:rPr>
                            </w:pPr>
                            <w:r w:rsidRPr="000669A5">
                              <w:rPr>
                                <w:rFonts w:ascii="Arial" w:hAnsi="Arial"/>
                                <w:szCs w:val="16"/>
                              </w:rPr>
                              <w:t>Abigail Bradshaw, CSC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1124A" id="Text Box 577" o:spid="_x0000_s1098" type="#_x0000_t202" style="position:absolute;margin-left:124.25pt;margin-top:1.05pt;width:151.8pt;height:37.5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" stroked="f">
                <v:textbox>
                  <w:txbxContent>
                    <w:p w14:paraId="763F3F0F" w14:textId="65886799" w:rsidR="00CE3B2C" w:rsidRDefault="00CE3B2C" w:rsidP="008C5364">
                      <w:pPr>
                        <w:pStyle w:val="OrgChart"/>
                        <w:jc w:val="center"/>
                        <w:rPr>
                          <w:rFonts w:ascii="Arial" w:hAnsi="Arial"/>
                          <w:szCs w:val="16"/>
                        </w:rPr>
                      </w:pPr>
                      <w:r>
                        <w:rPr>
                          <w:rFonts w:ascii="Arial" w:hAnsi="Arial"/>
                          <w:szCs w:val="16"/>
                        </w:rPr>
                        <w:t>Director-General</w:t>
                      </w:r>
                    </w:p>
                    <w:p w14:paraId="73631935" w14:textId="7929A7D9" w:rsidR="00CE3B2C" w:rsidRPr="00A01209" w:rsidRDefault="00CE3B2C" w:rsidP="00A92402">
                      <w:pPr>
                        <w:pStyle w:val="OrgChart"/>
                        <w:jc w:val="center"/>
                        <w:rPr>
                          <w:rFonts w:ascii="Arial" w:hAnsi="Arial"/>
                          <w:lang w:val="en-AU"/>
                        </w:rPr>
                      </w:pPr>
                      <w:r w:rsidRPr="000669A5">
                        <w:rPr>
                          <w:rFonts w:ascii="Arial" w:hAnsi="Arial"/>
                          <w:szCs w:val="16"/>
                        </w:rPr>
                        <w:t>Abigail Bradshaw, CSC</w:t>
                      </w:r>
                    </w:p>
                  </w:txbxContent>
                </v:textbox>
              </v:shape>
            </w:pict>
          </mc:Fallback>
        </mc:AlternateContent>
      </w:r>
      <w:r w:rsidRPr="0024682A">
        <w:rPr>
          <w:noProof/>
          <w:lang w:val="en-AU"/>
        </w:rPr>
        <mc:AlternateContent>
          <mc:Choice Requires="wps">
            <w:drawing>
              <wp:anchor distT="0" distB="0" distL="114300" distR="114300" simplePos="0" relativeHeight="251690496" behindDoc="0" locked="0" layoutInCell="1" allowOverlap="1" wp14:anchorId="2215C632" wp14:editId="386129C2">
                <wp:simplePos x="0" y="0"/>
                <wp:positionH relativeFrom="column">
                  <wp:posOffset>102235</wp:posOffset>
                </wp:positionH>
                <wp:positionV relativeFrom="paragraph">
                  <wp:posOffset>10097770</wp:posOffset>
                </wp:positionV>
                <wp:extent cx="1943100" cy="457200"/>
                <wp:effectExtent l="0" t="0" r="0" b="0"/>
                <wp:wrapNone/>
                <wp:docPr id="578"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33CEB7" w14:textId="77777777" w:rsidR="00CE3B2C" w:rsidRDefault="00CE3B2C" w:rsidP="008C5364">
                            <w:pPr>
                              <w:pStyle w:val="OrgChart"/>
                              <w:rPr>
                                <w:lang w:val="en-AU"/>
                              </w:rPr>
                            </w:pPr>
                          </w:p>
                          <w:p w14:paraId="3C8E3113" w14:textId="77777777" w:rsidR="00CE3B2C" w:rsidRDefault="00CE3B2C" w:rsidP="008C5364">
                            <w:pPr>
                              <w:pStyle w:val="OrgChart"/>
                              <w:rPr>
                                <w:lang w:val="en-AU"/>
                              </w:rPr>
                            </w:pPr>
                            <w:r>
                              <w:rPr>
                                <w:lang w:val="en-AU"/>
                              </w:rPr>
                              <w:t>Stars (</w:t>
                            </w:r>
                            <w:r>
                              <w:rPr>
                                <w:vertAlign w:val="subscript"/>
                                <w:lang w:val="en-AU"/>
                              </w:rPr>
                              <w:t>*</w:t>
                            </w:r>
                            <w:r>
                              <w:rPr>
                                <w:lang w:val="en-AU"/>
                              </w:rPr>
                              <w:t>) refer to ADF Star Rank</w:t>
                            </w:r>
                            <w:r>
                              <w:rPr>
                                <w:lang w:val="en-AU"/>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5C632" id="_x0000_s1099" type="#_x0000_t202" style="position:absolute;margin-left:8.05pt;margin-top:795.1pt;width:153pt;height:3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" stroked="f">
                <v:textbox>
                  <w:txbxContent>
                    <w:p w14:paraId="7633CEB7" w14:textId="77777777" w:rsidR="00CE3B2C" w:rsidRDefault="00CE3B2C" w:rsidP="008C5364">
                      <w:pPr>
                        <w:pStyle w:val="OrgChart"/>
                        <w:rPr>
                          <w:lang w:val="en-AU"/>
                        </w:rPr>
                      </w:pPr>
                    </w:p>
                    <w:p w14:paraId="3C8E3113" w14:textId="77777777" w:rsidR="00CE3B2C" w:rsidRDefault="00CE3B2C" w:rsidP="008C5364">
                      <w:pPr>
                        <w:pStyle w:val="OrgChart"/>
                        <w:rPr>
                          <w:lang w:val="en-AU"/>
                        </w:rPr>
                      </w:pPr>
                      <w:r>
                        <w:rPr>
                          <w:lang w:val="en-AU"/>
                        </w:rPr>
                        <w:t>Stars (</w:t>
                      </w:r>
                      <w:r>
                        <w:rPr>
                          <w:vertAlign w:val="subscript"/>
                          <w:lang w:val="en-AU"/>
                        </w:rPr>
                        <w:t>*</w:t>
                      </w:r>
                      <w:r>
                        <w:rPr>
                          <w:lang w:val="en-AU"/>
                        </w:rPr>
                        <w:t>) refer to ADF Star Rank</w:t>
                      </w:r>
                      <w:r>
                        <w:rPr>
                          <w:lang w:val="en-AU"/>
                        </w:rPr>
                        <w:br/>
                      </w:r>
                    </w:p>
                  </w:txbxContent>
                </v:textbox>
              </v:shape>
            </w:pict>
          </mc:Fallback>
        </mc:AlternateContent>
      </w:r>
      <w:r w:rsidR="008C5364" w:rsidRPr="005F62B1">
        <w:rPr>
          <w:szCs w:val="20"/>
        </w:rPr>
        <w:tab/>
      </w:r>
    </w:p>
    <w:p w14:paraId="20271B2C" w14:textId="77777777" w:rsidR="008C5364" w:rsidRPr="005F62B1" w:rsidRDefault="0085144D" w:rsidP="008C5364">
      <w:pPr>
        <w:pStyle w:val="BodyText"/>
        <w:rPr>
          <w:szCs w:val="20"/>
        </w:rPr>
      </w:pPr>
      <w:r w:rsidRPr="0024682A">
        <w:rPr>
          <w:noProof/>
          <w:lang w:val="en-AU"/>
        </w:rPr>
        <mc:AlternateContent>
          <mc:Choice Requires="wps">
            <w:drawing>
              <wp:anchor distT="0" distB="0" distL="114299" distR="114299" simplePos="0" relativeHeight="251694592" behindDoc="0" locked="0" layoutInCell="1" allowOverlap="1" wp14:anchorId="028BB6CC" wp14:editId="44F04FE1">
                <wp:simplePos x="0" y="0"/>
                <wp:positionH relativeFrom="column">
                  <wp:posOffset>1858010</wp:posOffset>
                </wp:positionH>
                <wp:positionV relativeFrom="paragraph">
                  <wp:posOffset>290830</wp:posOffset>
                </wp:positionV>
                <wp:extent cx="0" cy="171450"/>
                <wp:effectExtent l="7620" t="12700" r="11430" b="6350"/>
                <wp:wrapNone/>
                <wp:docPr id="24575505"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7145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67959C78" id="Straight Connector 575" o:spid="_x0000_s1026" style="position:absolute;flip:y;z-index:251694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46.3pt,22.9pt" to="146.3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">
                <v:stroke joinstyle="miter"/>
                <o:lock v:ext="edit" shapetype="f"/>
              </v:line>
            </w:pict>
          </mc:Fallback>
        </mc:AlternateContent>
      </w:r>
      <w:r w:rsidRPr="0024682A">
        <w:rPr>
          <w:noProof/>
          <w:lang w:val="en-AU"/>
        </w:rPr>
        <mc:AlternateContent>
          <mc:Choice Requires="wps">
            <w:drawing>
              <wp:anchor distT="0" distB="0" distL="114300" distR="114300" simplePos="0" relativeHeight="251693568" behindDoc="0" locked="0" layoutInCell="1" allowOverlap="1" wp14:anchorId="5235452E" wp14:editId="60ABC967">
                <wp:simplePos x="0" y="0"/>
                <wp:positionH relativeFrom="column">
                  <wp:posOffset>588010</wp:posOffset>
                </wp:positionH>
                <wp:positionV relativeFrom="paragraph">
                  <wp:posOffset>290830</wp:posOffset>
                </wp:positionV>
                <wp:extent cx="3951605" cy="0"/>
                <wp:effectExtent l="13970" t="12700" r="6350" b="6350"/>
                <wp:wrapNone/>
                <wp:docPr id="2457550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5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E6EA6" id="Line 47" o:spid="_x0000_s1026" style="position:absolute;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pt,22.9pt" to="357.4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"/>
            </w:pict>
          </mc:Fallback>
        </mc:AlternateContent>
      </w:r>
      <w:r w:rsidRPr="0024682A">
        <w:rPr>
          <w:noProof/>
          <w:lang w:val="en-AU"/>
        </w:rPr>
        <mc:AlternateContent>
          <mc:Choice Requires="wps">
            <w:drawing>
              <wp:anchor distT="0" distB="0" distL="114299" distR="114299" simplePos="0" relativeHeight="251695616" behindDoc="0" locked="0" layoutInCell="1" allowOverlap="1" wp14:anchorId="395A7080" wp14:editId="5D9AB08C">
                <wp:simplePos x="0" y="0"/>
                <wp:positionH relativeFrom="column">
                  <wp:posOffset>4531360</wp:posOffset>
                </wp:positionH>
                <wp:positionV relativeFrom="paragraph">
                  <wp:posOffset>290830</wp:posOffset>
                </wp:positionV>
                <wp:extent cx="0" cy="171450"/>
                <wp:effectExtent l="13970" t="12700" r="5080" b="6350"/>
                <wp:wrapNone/>
                <wp:docPr id="24575503"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7145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7295579D" id="Straight Connector 575" o:spid="_x0000_s1026" style="position:absolute;flip:y;z-index:251695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56.8pt,22.9pt" to="356.8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">
                <v:stroke joinstyle="miter"/>
                <o:lock v:ext="edit" shapetype="f"/>
              </v:line>
            </w:pict>
          </mc:Fallback>
        </mc:AlternateContent>
      </w:r>
      <w:r>
        <w:rPr>
          <w:noProof/>
          <w:szCs w:val="20"/>
          <w:lang w:val="en-AU"/>
        </w:rPr>
        <mc:AlternateContent>
          <mc:Choice Requires="wps">
            <w:drawing>
              <wp:anchor distT="0" distB="0" distL="114299" distR="114299" simplePos="0" relativeHeight="251700736" behindDoc="0" locked="0" layoutInCell="1" allowOverlap="1" wp14:anchorId="1273C0BB" wp14:editId="7DB57F8D">
                <wp:simplePos x="0" y="0"/>
                <wp:positionH relativeFrom="column">
                  <wp:posOffset>3227070</wp:posOffset>
                </wp:positionH>
                <wp:positionV relativeFrom="paragraph">
                  <wp:posOffset>283845</wp:posOffset>
                </wp:positionV>
                <wp:extent cx="0" cy="171450"/>
                <wp:effectExtent l="5080" t="5715" r="13970" b="13335"/>
                <wp:wrapNone/>
                <wp:docPr id="24575502"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7145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2B178E14" id="Straight Connector 575" o:spid="_x0000_s1026" style="position:absolute;flip:y;z-index:251700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54.1pt,22.35pt" to="254.1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">
                <v:stroke joinstyle="miter"/>
                <o:lock v:ext="edit" shapetype="f"/>
              </v:line>
            </w:pict>
          </mc:Fallback>
        </mc:AlternateContent>
      </w:r>
      <w:r w:rsidRPr="0024682A">
        <w:rPr>
          <w:noProof/>
          <w:szCs w:val="20"/>
          <w:lang w:val="en-AU"/>
        </w:rPr>
        <mc:AlternateContent>
          <mc:Choice Requires="wps">
            <w:drawing>
              <wp:anchor distT="0" distB="0" distL="114299" distR="114299" simplePos="0" relativeHeight="251696640" behindDoc="0" locked="0" layoutInCell="1" allowOverlap="1" wp14:anchorId="36EB3836" wp14:editId="78D85059">
                <wp:simplePos x="0" y="0"/>
                <wp:positionH relativeFrom="column">
                  <wp:posOffset>592455</wp:posOffset>
                </wp:positionH>
                <wp:positionV relativeFrom="paragraph">
                  <wp:posOffset>290830</wp:posOffset>
                </wp:positionV>
                <wp:extent cx="0" cy="171450"/>
                <wp:effectExtent l="8890" t="12700" r="10160" b="6350"/>
                <wp:wrapNone/>
                <wp:docPr id="24575501"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7145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16595DCB" id="Straight Connector 575" o:spid="_x0000_s1026" style="position:absolute;flip:y;z-index:251696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6.65pt,22.9pt" to="46.6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">
                <v:stroke joinstyle="miter"/>
                <o:lock v:ext="edit" shapetype="f"/>
              </v:line>
            </w:pict>
          </mc:Fallback>
        </mc:AlternateContent>
      </w:r>
      <w:r w:rsidRPr="0024682A">
        <w:rPr>
          <w:noProof/>
          <w:szCs w:val="20"/>
          <w:lang w:val="en-AU"/>
        </w:rPr>
        <mc:AlternateContent>
          <mc:Choice Requires="wps">
            <w:drawing>
              <wp:anchor distT="0" distB="0" distL="114299" distR="114299" simplePos="0" relativeHeight="251697664" behindDoc="0" locked="0" layoutInCell="1" allowOverlap="1" wp14:anchorId="1D8F5348" wp14:editId="1E7AA8D5">
                <wp:simplePos x="0" y="0"/>
                <wp:positionH relativeFrom="column">
                  <wp:posOffset>2528570</wp:posOffset>
                </wp:positionH>
                <wp:positionV relativeFrom="paragraph">
                  <wp:posOffset>104140</wp:posOffset>
                </wp:positionV>
                <wp:extent cx="0" cy="179705"/>
                <wp:effectExtent l="11430" t="6985" r="7620" b="13335"/>
                <wp:wrapNone/>
                <wp:docPr id="24575500"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0" cy="179705"/>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7BF4687B" id="Straight Connector 575" o:spid="_x0000_s1026" style="position:absolute;flip:x y;z-index:251697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99.1pt,8.2pt" to="199.1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">
                <v:stroke joinstyle="miter"/>
                <o:lock v:ext="edit" shapetype="f"/>
              </v:line>
            </w:pict>
          </mc:Fallback>
        </mc:AlternateContent>
      </w:r>
    </w:p>
    <w:p w14:paraId="174A1CA3" w14:textId="77777777" w:rsidR="008C5364" w:rsidRPr="005F62B1" w:rsidRDefault="0085144D" w:rsidP="008C5364">
      <w:pPr>
        <w:pStyle w:val="BodyText"/>
        <w:rPr>
          <w:szCs w:val="20"/>
        </w:rPr>
      </w:pPr>
      <w:r w:rsidRPr="0024682A">
        <w:rPr>
          <w:noProof/>
          <w:lang w:val="en-AU"/>
        </w:rPr>
        <mc:AlternateContent>
          <mc:Choice Requires="wps">
            <w:drawing>
              <wp:anchor distT="0" distB="0" distL="114300" distR="114300" simplePos="0" relativeHeight="251689472" behindDoc="0" locked="0" layoutInCell="1" allowOverlap="1" wp14:anchorId="62ABA548" wp14:editId="6DF093F2">
                <wp:simplePos x="0" y="0"/>
                <wp:positionH relativeFrom="column">
                  <wp:posOffset>1195705</wp:posOffset>
                </wp:positionH>
                <wp:positionV relativeFrom="paragraph">
                  <wp:posOffset>249555</wp:posOffset>
                </wp:positionV>
                <wp:extent cx="1328420" cy="654685"/>
                <wp:effectExtent l="0" t="0" r="0" b="0"/>
                <wp:wrapNone/>
                <wp:docPr id="24575499"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654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AFE6F8" w14:textId="77777777" w:rsidR="00CE3B2C" w:rsidRDefault="00CE3B2C" w:rsidP="008C5364">
                            <w:pPr>
                              <w:pStyle w:val="OrgChart"/>
                              <w:jc w:val="center"/>
                              <w:rPr>
                                <w:rFonts w:ascii="Arial" w:hAnsi="Arial"/>
                                <w:lang w:val="en-AU"/>
                              </w:rPr>
                            </w:pPr>
                            <w:r>
                              <w:rPr>
                                <w:rFonts w:ascii="Arial" w:hAnsi="Arial"/>
                                <w:lang w:val="en-AU"/>
                              </w:rPr>
                              <w:t>Deputy Director-</w:t>
                            </w:r>
                          </w:p>
                          <w:p w14:paraId="4C3CA15E" w14:textId="77777777" w:rsidR="00CE3B2C" w:rsidRDefault="00CE3B2C" w:rsidP="008C5364">
                            <w:pPr>
                              <w:pStyle w:val="OrgChart"/>
                              <w:jc w:val="center"/>
                              <w:rPr>
                                <w:rFonts w:ascii="Arial" w:hAnsi="Arial"/>
                                <w:lang w:val="en-AU"/>
                              </w:rPr>
                            </w:pPr>
                            <w:r>
                              <w:rPr>
                                <w:rFonts w:ascii="Arial" w:hAnsi="Arial"/>
                                <w:lang w:val="en-AU"/>
                              </w:rPr>
                              <w:t xml:space="preserve">General Signals </w:t>
                            </w:r>
                          </w:p>
                          <w:p w14:paraId="4D0774DB" w14:textId="77777777" w:rsidR="00CE3B2C" w:rsidRDefault="00CE3B2C" w:rsidP="008C5364">
                            <w:pPr>
                              <w:pStyle w:val="OrgChart"/>
                              <w:jc w:val="center"/>
                              <w:rPr>
                                <w:rFonts w:ascii="Arial" w:hAnsi="Arial"/>
                                <w:lang w:val="en-AU"/>
                              </w:rPr>
                            </w:pPr>
                            <w:r>
                              <w:rPr>
                                <w:rFonts w:ascii="Arial" w:hAnsi="Arial"/>
                                <w:lang w:val="en-AU"/>
                              </w:rPr>
                              <w:t>Intelligence &amp; Effects</w:t>
                            </w:r>
                          </w:p>
                          <w:p w14:paraId="14F5CDA4" w14:textId="77777777" w:rsidR="00CE3B2C" w:rsidRPr="00A01209" w:rsidRDefault="00CE3B2C" w:rsidP="00A92402">
                            <w:pPr>
                              <w:pStyle w:val="OrgChart"/>
                              <w:jc w:val="center"/>
                              <w:rPr>
                                <w:rFonts w:ascii="Arial" w:hAnsi="Arial"/>
                                <w:lang w:val="en-AU"/>
                              </w:rPr>
                            </w:pPr>
                            <w:r w:rsidRPr="000669A5">
                              <w:rPr>
                                <w:rFonts w:ascii="Arial" w:hAnsi="Arial"/>
                                <w:lang w:val="en-AU"/>
                              </w:rPr>
                              <w:t>Phil Winzenberg</w:t>
                            </w:r>
                          </w:p>
                          <w:p w14:paraId="321ACA01" w14:textId="50CAF3BF" w:rsidR="00CE3B2C" w:rsidRPr="00A01209" w:rsidRDefault="00CE3B2C" w:rsidP="008C5364">
                            <w:pPr>
                              <w:pStyle w:val="OrgChart"/>
                              <w:jc w:val="center"/>
                              <w:rPr>
                                <w:rFonts w:ascii="Arial" w:hAnsi="Arial"/>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BA548" id="_x0000_s1100" type="#_x0000_t202" style="position:absolute;margin-left:94.15pt;margin-top:19.65pt;width:104.6pt;height:51.5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" stroked="f">
                <v:textbox>
                  <w:txbxContent>
                    <w:p w14:paraId="59AFE6F8" w14:textId="77777777" w:rsidR="00CE3B2C" w:rsidRDefault="00CE3B2C" w:rsidP="008C5364">
                      <w:pPr>
                        <w:pStyle w:val="OrgChart"/>
                        <w:jc w:val="center"/>
                        <w:rPr>
                          <w:rFonts w:ascii="Arial" w:hAnsi="Arial"/>
                          <w:lang w:val="en-AU"/>
                        </w:rPr>
                      </w:pPr>
                      <w:r>
                        <w:rPr>
                          <w:rFonts w:ascii="Arial" w:hAnsi="Arial"/>
                          <w:lang w:val="en-AU"/>
                        </w:rPr>
                        <w:t>Deputy Director-</w:t>
                      </w:r>
                    </w:p>
                    <w:p w14:paraId="4C3CA15E" w14:textId="77777777" w:rsidR="00CE3B2C" w:rsidRDefault="00CE3B2C" w:rsidP="008C5364">
                      <w:pPr>
                        <w:pStyle w:val="OrgChart"/>
                        <w:jc w:val="center"/>
                        <w:rPr>
                          <w:rFonts w:ascii="Arial" w:hAnsi="Arial"/>
                          <w:lang w:val="en-AU"/>
                        </w:rPr>
                      </w:pPr>
                      <w:r>
                        <w:rPr>
                          <w:rFonts w:ascii="Arial" w:hAnsi="Arial"/>
                          <w:lang w:val="en-AU"/>
                        </w:rPr>
                        <w:t xml:space="preserve">General Signals </w:t>
                      </w:r>
                    </w:p>
                    <w:p w14:paraId="4D0774DB" w14:textId="77777777" w:rsidR="00CE3B2C" w:rsidRDefault="00CE3B2C" w:rsidP="008C5364">
                      <w:pPr>
                        <w:pStyle w:val="OrgChart"/>
                        <w:jc w:val="center"/>
                        <w:rPr>
                          <w:rFonts w:ascii="Arial" w:hAnsi="Arial"/>
                          <w:lang w:val="en-AU"/>
                        </w:rPr>
                      </w:pPr>
                      <w:r>
                        <w:rPr>
                          <w:rFonts w:ascii="Arial" w:hAnsi="Arial"/>
                          <w:lang w:val="en-AU"/>
                        </w:rPr>
                        <w:t>Intelligence &amp; Effects</w:t>
                      </w:r>
                    </w:p>
                    <w:p w14:paraId="14F5CDA4" w14:textId="77777777" w:rsidR="00CE3B2C" w:rsidRPr="00A01209" w:rsidRDefault="00CE3B2C" w:rsidP="00A92402">
                      <w:pPr>
                        <w:pStyle w:val="OrgChart"/>
                        <w:jc w:val="center"/>
                        <w:rPr>
                          <w:rFonts w:ascii="Arial" w:hAnsi="Arial"/>
                          <w:lang w:val="en-AU"/>
                        </w:rPr>
                      </w:pPr>
                      <w:r w:rsidRPr="000669A5">
                        <w:rPr>
                          <w:rFonts w:ascii="Arial" w:hAnsi="Arial"/>
                          <w:lang w:val="en-AU"/>
                        </w:rPr>
                        <w:t>Phil Winzenberg</w:t>
                      </w:r>
                    </w:p>
                    <w:p w14:paraId="321ACA01" w14:textId="50CAF3BF" w:rsidR="00CE3B2C" w:rsidRPr="00A01209" w:rsidRDefault="00CE3B2C" w:rsidP="008C5364">
                      <w:pPr>
                        <w:pStyle w:val="OrgChart"/>
                        <w:jc w:val="center"/>
                        <w:rPr>
                          <w:rFonts w:ascii="Arial" w:hAnsi="Arial"/>
                          <w:lang w:val="en-AU"/>
                        </w:rPr>
                      </w:pPr>
                    </w:p>
                  </w:txbxContent>
                </v:textbox>
              </v:shape>
            </w:pict>
          </mc:Fallback>
        </mc:AlternateContent>
      </w:r>
      <w:r>
        <w:rPr>
          <w:noProof/>
          <w:szCs w:val="20"/>
          <w:lang w:val="en-AU"/>
        </w:rPr>
        <mc:AlternateContent>
          <mc:Choice Requires="wps">
            <w:drawing>
              <wp:anchor distT="0" distB="0" distL="114300" distR="114300" simplePos="0" relativeHeight="251702784" behindDoc="0" locked="0" layoutInCell="1" allowOverlap="1" wp14:anchorId="41688E1F" wp14:editId="6321019E">
                <wp:simplePos x="0" y="0"/>
                <wp:positionH relativeFrom="column">
                  <wp:posOffset>3755390</wp:posOffset>
                </wp:positionH>
                <wp:positionV relativeFrom="paragraph">
                  <wp:posOffset>262255</wp:posOffset>
                </wp:positionV>
                <wp:extent cx="1560195" cy="654685"/>
                <wp:effectExtent l="0" t="0" r="0" b="0"/>
                <wp:wrapNone/>
                <wp:docPr id="24575498"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195" cy="654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4BE9D5" w14:textId="77777777" w:rsidR="00CE3B2C" w:rsidRDefault="00CE3B2C" w:rsidP="008C5364">
                            <w:pPr>
                              <w:pStyle w:val="OrgChart"/>
                              <w:jc w:val="center"/>
                              <w:rPr>
                                <w:rFonts w:ascii="Arial" w:hAnsi="Arial"/>
                                <w:lang w:val="en-AU"/>
                              </w:rPr>
                            </w:pPr>
                            <w:r>
                              <w:rPr>
                                <w:rFonts w:ascii="Arial" w:hAnsi="Arial"/>
                                <w:lang w:val="en-AU"/>
                              </w:rPr>
                              <w:t>Chief Operating</w:t>
                            </w:r>
                          </w:p>
                          <w:p w14:paraId="0E5669FF" w14:textId="77777777" w:rsidR="00CE3B2C" w:rsidRDefault="00CE3B2C" w:rsidP="008C5364">
                            <w:pPr>
                              <w:pStyle w:val="OrgChart"/>
                              <w:jc w:val="center"/>
                              <w:rPr>
                                <w:rFonts w:ascii="Arial" w:hAnsi="Arial"/>
                                <w:lang w:val="en-AU"/>
                              </w:rPr>
                            </w:pPr>
                            <w:r>
                              <w:rPr>
                                <w:rFonts w:ascii="Arial" w:hAnsi="Arial"/>
                                <w:lang w:val="en-AU"/>
                              </w:rPr>
                              <w:t>Officer</w:t>
                            </w:r>
                          </w:p>
                          <w:p w14:paraId="242D1868" w14:textId="77777777" w:rsidR="00CE3B2C" w:rsidRPr="00A01209" w:rsidRDefault="00CE3B2C" w:rsidP="008C5364">
                            <w:pPr>
                              <w:pStyle w:val="OrgChart"/>
                              <w:jc w:val="center"/>
                              <w:rPr>
                                <w:rFonts w:ascii="Arial" w:hAnsi="Arial"/>
                                <w:lang w:val="en-AU"/>
                              </w:rPr>
                            </w:pPr>
                            <w:r>
                              <w:rPr>
                                <w:rFonts w:ascii="Arial" w:hAnsi="Arial"/>
                                <w:lang w:val="en-AU"/>
                              </w:rPr>
                              <w:t>Dale Furse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88E1F" id="_x0000_s1101" type="#_x0000_t202" style="position:absolute;margin-left:295.7pt;margin-top:20.65pt;width:122.85pt;height:51.5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" stroked="f">
                <v:textbox>
                  <w:txbxContent>
                    <w:p w14:paraId="2F4BE9D5" w14:textId="77777777" w:rsidR="00CE3B2C" w:rsidRDefault="00CE3B2C" w:rsidP="008C5364">
                      <w:pPr>
                        <w:pStyle w:val="OrgChart"/>
                        <w:jc w:val="center"/>
                        <w:rPr>
                          <w:rFonts w:ascii="Arial" w:hAnsi="Arial"/>
                          <w:lang w:val="en-AU"/>
                        </w:rPr>
                      </w:pPr>
                      <w:r>
                        <w:rPr>
                          <w:rFonts w:ascii="Arial" w:hAnsi="Arial"/>
                          <w:lang w:val="en-AU"/>
                        </w:rPr>
                        <w:t>Chief Operating</w:t>
                      </w:r>
                    </w:p>
                    <w:p w14:paraId="0E5669FF" w14:textId="77777777" w:rsidR="00CE3B2C" w:rsidRDefault="00CE3B2C" w:rsidP="008C5364">
                      <w:pPr>
                        <w:pStyle w:val="OrgChart"/>
                        <w:jc w:val="center"/>
                        <w:rPr>
                          <w:rFonts w:ascii="Arial" w:hAnsi="Arial"/>
                          <w:lang w:val="en-AU"/>
                        </w:rPr>
                      </w:pPr>
                      <w:r>
                        <w:rPr>
                          <w:rFonts w:ascii="Arial" w:hAnsi="Arial"/>
                          <w:lang w:val="en-AU"/>
                        </w:rPr>
                        <w:t>Officer</w:t>
                      </w:r>
                    </w:p>
                    <w:p w14:paraId="242D1868" w14:textId="77777777" w:rsidR="00CE3B2C" w:rsidRPr="00A01209" w:rsidRDefault="00CE3B2C" w:rsidP="008C5364">
                      <w:pPr>
                        <w:pStyle w:val="OrgChart"/>
                        <w:jc w:val="center"/>
                        <w:rPr>
                          <w:rFonts w:ascii="Arial" w:hAnsi="Arial"/>
                          <w:lang w:val="en-AU"/>
                        </w:rPr>
                      </w:pPr>
                      <w:r>
                        <w:rPr>
                          <w:rFonts w:ascii="Arial" w:hAnsi="Arial"/>
                          <w:lang w:val="en-AU"/>
                        </w:rPr>
                        <w:t xml:space="preserve">Dale </w:t>
                      </w:r>
                      <w:proofErr w:type="spellStart"/>
                      <w:r>
                        <w:rPr>
                          <w:rFonts w:ascii="Arial" w:hAnsi="Arial"/>
                          <w:lang w:val="en-AU"/>
                        </w:rPr>
                        <w:t>Furse</w:t>
                      </w:r>
                      <w:proofErr w:type="spellEnd"/>
                    </w:p>
                  </w:txbxContent>
                </v:textbox>
              </v:shape>
            </w:pict>
          </mc:Fallback>
        </mc:AlternateContent>
      </w:r>
      <w:r w:rsidRPr="0024682A">
        <w:rPr>
          <w:noProof/>
          <w:lang w:val="en-AU"/>
        </w:rPr>
        <mc:AlternateContent>
          <mc:Choice Requires="wps">
            <w:drawing>
              <wp:anchor distT="0" distB="0" distL="114300" distR="114300" simplePos="0" relativeHeight="251688448" behindDoc="0" locked="0" layoutInCell="1" allowOverlap="1" wp14:anchorId="0447F9BF" wp14:editId="5844C4B7">
                <wp:simplePos x="0" y="0"/>
                <wp:positionH relativeFrom="column">
                  <wp:posOffset>-123190</wp:posOffset>
                </wp:positionH>
                <wp:positionV relativeFrom="paragraph">
                  <wp:posOffset>249555</wp:posOffset>
                </wp:positionV>
                <wp:extent cx="1423670" cy="610235"/>
                <wp:effectExtent l="0"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610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1C1E16" w14:textId="77777777" w:rsidR="00CE3B2C" w:rsidRDefault="00CE3B2C" w:rsidP="008C5364">
                            <w:pPr>
                              <w:pStyle w:val="OrgChart"/>
                              <w:jc w:val="center"/>
                              <w:rPr>
                                <w:rFonts w:ascii="Arial" w:hAnsi="Arial"/>
                                <w:lang w:val="en-AU"/>
                              </w:rPr>
                            </w:pPr>
                            <w:r>
                              <w:rPr>
                                <w:rFonts w:ascii="Arial" w:hAnsi="Arial"/>
                                <w:lang w:val="en-AU"/>
                              </w:rPr>
                              <w:t>Head Australian</w:t>
                            </w:r>
                          </w:p>
                          <w:p w14:paraId="28BB0863" w14:textId="77777777" w:rsidR="00CE3B2C" w:rsidRDefault="00CE3B2C" w:rsidP="008C5364">
                            <w:pPr>
                              <w:pStyle w:val="OrgChart"/>
                              <w:jc w:val="center"/>
                              <w:rPr>
                                <w:rFonts w:ascii="Arial" w:hAnsi="Arial"/>
                                <w:lang w:val="en-AU"/>
                              </w:rPr>
                            </w:pPr>
                            <w:r>
                              <w:rPr>
                                <w:rFonts w:ascii="Arial" w:hAnsi="Arial"/>
                                <w:lang w:val="en-AU"/>
                              </w:rPr>
                              <w:t xml:space="preserve">Cyber Security </w:t>
                            </w:r>
                          </w:p>
                          <w:p w14:paraId="2A3D8200" w14:textId="77777777" w:rsidR="00CE3B2C" w:rsidRDefault="00CE3B2C" w:rsidP="008C5364">
                            <w:pPr>
                              <w:pStyle w:val="OrgChart"/>
                              <w:jc w:val="center"/>
                              <w:rPr>
                                <w:rFonts w:ascii="Arial" w:hAnsi="Arial"/>
                                <w:lang w:val="en-AU"/>
                              </w:rPr>
                            </w:pPr>
                            <w:r>
                              <w:rPr>
                                <w:rFonts w:ascii="Arial" w:hAnsi="Arial"/>
                                <w:lang w:val="en-AU"/>
                              </w:rPr>
                              <w:t>Centre</w:t>
                            </w:r>
                          </w:p>
                          <w:p w14:paraId="14B11125" w14:textId="2413F381" w:rsidR="00CE3B2C" w:rsidRPr="00A01209" w:rsidRDefault="00CE3B2C" w:rsidP="00A92402">
                            <w:pPr>
                              <w:pStyle w:val="OrgChart"/>
                              <w:jc w:val="center"/>
                              <w:rPr>
                                <w:rFonts w:ascii="Arial" w:hAnsi="Arial"/>
                                <w:lang w:val="en-AU"/>
                              </w:rPr>
                            </w:pPr>
                            <w:r w:rsidRPr="000669A5">
                              <w:rPr>
                                <w:rFonts w:ascii="Arial" w:hAnsi="Arial"/>
                                <w:lang w:val="en-AU"/>
                              </w:rPr>
                              <w:t>Stephanie Crowe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7F9BF" id="_x0000_s1102" type="#_x0000_t202" style="position:absolute;margin-left:-9.7pt;margin-top:19.65pt;width:112.1pt;height:48.0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7PEhgIAABs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" stroked="f">
                <v:textbox>
                  <w:txbxContent>
                    <w:p w14:paraId="431C1E16" w14:textId="77777777" w:rsidR="00CE3B2C" w:rsidRDefault="00CE3B2C" w:rsidP="008C5364">
                      <w:pPr>
                        <w:pStyle w:val="OrgChart"/>
                        <w:jc w:val="center"/>
                        <w:rPr>
                          <w:rFonts w:ascii="Arial" w:hAnsi="Arial"/>
                          <w:lang w:val="en-AU"/>
                        </w:rPr>
                      </w:pPr>
                      <w:r>
                        <w:rPr>
                          <w:rFonts w:ascii="Arial" w:hAnsi="Arial"/>
                          <w:lang w:val="en-AU"/>
                        </w:rPr>
                        <w:t>Head Australian</w:t>
                      </w:r>
                    </w:p>
                    <w:p w14:paraId="28BB0863" w14:textId="77777777" w:rsidR="00CE3B2C" w:rsidRDefault="00CE3B2C" w:rsidP="008C5364">
                      <w:pPr>
                        <w:pStyle w:val="OrgChart"/>
                        <w:jc w:val="center"/>
                        <w:rPr>
                          <w:rFonts w:ascii="Arial" w:hAnsi="Arial"/>
                          <w:lang w:val="en-AU"/>
                        </w:rPr>
                      </w:pPr>
                      <w:r>
                        <w:rPr>
                          <w:rFonts w:ascii="Arial" w:hAnsi="Arial"/>
                          <w:lang w:val="en-AU"/>
                        </w:rPr>
                        <w:t xml:space="preserve">Cyber Security </w:t>
                      </w:r>
                    </w:p>
                    <w:p w14:paraId="2A3D8200" w14:textId="77777777" w:rsidR="00CE3B2C" w:rsidRDefault="00CE3B2C" w:rsidP="008C5364">
                      <w:pPr>
                        <w:pStyle w:val="OrgChart"/>
                        <w:jc w:val="center"/>
                        <w:rPr>
                          <w:rFonts w:ascii="Arial" w:hAnsi="Arial"/>
                          <w:lang w:val="en-AU"/>
                        </w:rPr>
                      </w:pPr>
                      <w:r>
                        <w:rPr>
                          <w:rFonts w:ascii="Arial" w:hAnsi="Arial"/>
                          <w:lang w:val="en-AU"/>
                        </w:rPr>
                        <w:t>Centre</w:t>
                      </w:r>
                    </w:p>
                    <w:p w14:paraId="14B11125" w14:textId="2413F381" w:rsidR="00CE3B2C" w:rsidRPr="00A01209" w:rsidRDefault="00CE3B2C" w:rsidP="00A92402">
                      <w:pPr>
                        <w:pStyle w:val="OrgChart"/>
                        <w:jc w:val="center"/>
                        <w:rPr>
                          <w:rFonts w:ascii="Arial" w:hAnsi="Arial"/>
                          <w:lang w:val="en-AU"/>
                        </w:rPr>
                      </w:pPr>
                      <w:r w:rsidRPr="000669A5">
                        <w:rPr>
                          <w:rFonts w:ascii="Arial" w:hAnsi="Arial"/>
                          <w:lang w:val="en-AU"/>
                        </w:rPr>
                        <w:t>Stephanie Crowe</w:t>
                      </w:r>
                    </w:p>
                  </w:txbxContent>
                </v:textbox>
              </v:shape>
            </w:pict>
          </mc:Fallback>
        </mc:AlternateContent>
      </w:r>
      <w:r>
        <w:rPr>
          <w:noProof/>
          <w:szCs w:val="20"/>
          <w:lang w:val="en-AU"/>
        </w:rPr>
        <mc:AlternateContent>
          <mc:Choice Requires="wps">
            <w:drawing>
              <wp:anchor distT="0" distB="0" distL="114300" distR="114300" simplePos="0" relativeHeight="251701760" behindDoc="0" locked="0" layoutInCell="1" allowOverlap="1" wp14:anchorId="613B8063" wp14:editId="42B942FC">
                <wp:simplePos x="0" y="0"/>
                <wp:positionH relativeFrom="column">
                  <wp:posOffset>2448560</wp:posOffset>
                </wp:positionH>
                <wp:positionV relativeFrom="paragraph">
                  <wp:posOffset>249555</wp:posOffset>
                </wp:positionV>
                <wp:extent cx="1560195" cy="635000"/>
                <wp:effectExtent l="0" t="0" r="0" b="0"/>
                <wp:wrapNone/>
                <wp:docPr id="569"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195" cy="63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4F79E" w14:textId="77777777" w:rsidR="00CE3B2C" w:rsidRDefault="00CE3B2C" w:rsidP="008C5364">
                            <w:pPr>
                              <w:pStyle w:val="OrgChart"/>
                              <w:jc w:val="center"/>
                              <w:rPr>
                                <w:rFonts w:ascii="Arial" w:hAnsi="Arial"/>
                                <w:lang w:val="en-AU"/>
                              </w:rPr>
                            </w:pPr>
                            <w:r>
                              <w:rPr>
                                <w:rFonts w:ascii="Arial" w:hAnsi="Arial"/>
                                <w:lang w:val="en-AU"/>
                              </w:rPr>
                              <w:t>Deputy Director-</w:t>
                            </w:r>
                          </w:p>
                          <w:p w14:paraId="0C9C4F81" w14:textId="77777777" w:rsidR="00CE3B2C" w:rsidRDefault="00CE3B2C" w:rsidP="008C5364">
                            <w:pPr>
                              <w:pStyle w:val="OrgChart"/>
                              <w:jc w:val="center"/>
                              <w:rPr>
                                <w:rFonts w:ascii="Arial" w:hAnsi="Arial"/>
                                <w:lang w:val="en-AU"/>
                              </w:rPr>
                            </w:pPr>
                            <w:r>
                              <w:rPr>
                                <w:rFonts w:ascii="Arial" w:hAnsi="Arial"/>
                                <w:lang w:val="en-AU"/>
                              </w:rPr>
                              <w:t>General Capability &amp; Transformation</w:t>
                            </w:r>
                          </w:p>
                          <w:p w14:paraId="0F0B314D" w14:textId="77777777" w:rsidR="00CE3B2C" w:rsidRPr="00A01209" w:rsidRDefault="00CE3B2C" w:rsidP="00A92402">
                            <w:pPr>
                              <w:pStyle w:val="OrgChart"/>
                              <w:jc w:val="center"/>
                              <w:rPr>
                                <w:rFonts w:ascii="Arial" w:hAnsi="Arial"/>
                                <w:lang w:val="en-AU"/>
                              </w:rPr>
                            </w:pPr>
                            <w:r w:rsidRPr="000669A5">
                              <w:rPr>
                                <w:rFonts w:ascii="Arial" w:hAnsi="Arial"/>
                                <w:lang w:val="en-AU"/>
                              </w:rPr>
                              <w:t>Sarah Collins</w:t>
                            </w:r>
                          </w:p>
                          <w:p w14:paraId="63A2B8F1" w14:textId="56CCEF75" w:rsidR="00CE3B2C" w:rsidRPr="00A01209" w:rsidRDefault="00CE3B2C" w:rsidP="00A92402">
                            <w:pPr>
                              <w:pStyle w:val="OrgChart"/>
                              <w:jc w:val="center"/>
                              <w:rPr>
                                <w:rFonts w:ascii="Arial" w:hAnsi="Arial"/>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B8063" id="_x0000_s1103" type="#_x0000_t202" style="position:absolute;margin-left:192.8pt;margin-top:19.65pt;width:122.85pt;height:50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" stroked="f">
                <v:textbox>
                  <w:txbxContent>
                    <w:p w14:paraId="4F04F79E" w14:textId="77777777" w:rsidR="00CE3B2C" w:rsidRDefault="00CE3B2C" w:rsidP="008C5364">
                      <w:pPr>
                        <w:pStyle w:val="OrgChart"/>
                        <w:jc w:val="center"/>
                        <w:rPr>
                          <w:rFonts w:ascii="Arial" w:hAnsi="Arial"/>
                          <w:lang w:val="en-AU"/>
                        </w:rPr>
                      </w:pPr>
                      <w:r>
                        <w:rPr>
                          <w:rFonts w:ascii="Arial" w:hAnsi="Arial"/>
                          <w:lang w:val="en-AU"/>
                        </w:rPr>
                        <w:t>Deputy Director-</w:t>
                      </w:r>
                    </w:p>
                    <w:p w14:paraId="0C9C4F81" w14:textId="77777777" w:rsidR="00CE3B2C" w:rsidRDefault="00CE3B2C" w:rsidP="008C5364">
                      <w:pPr>
                        <w:pStyle w:val="OrgChart"/>
                        <w:jc w:val="center"/>
                        <w:rPr>
                          <w:rFonts w:ascii="Arial" w:hAnsi="Arial"/>
                          <w:lang w:val="en-AU"/>
                        </w:rPr>
                      </w:pPr>
                      <w:r>
                        <w:rPr>
                          <w:rFonts w:ascii="Arial" w:hAnsi="Arial"/>
                          <w:lang w:val="en-AU"/>
                        </w:rPr>
                        <w:t>General Capability &amp; Transformation</w:t>
                      </w:r>
                    </w:p>
                    <w:p w14:paraId="0F0B314D" w14:textId="77777777" w:rsidR="00CE3B2C" w:rsidRPr="00A01209" w:rsidRDefault="00CE3B2C" w:rsidP="00A92402">
                      <w:pPr>
                        <w:pStyle w:val="OrgChart"/>
                        <w:jc w:val="center"/>
                        <w:rPr>
                          <w:rFonts w:ascii="Arial" w:hAnsi="Arial"/>
                          <w:lang w:val="en-AU"/>
                        </w:rPr>
                      </w:pPr>
                      <w:r w:rsidRPr="000669A5">
                        <w:rPr>
                          <w:rFonts w:ascii="Arial" w:hAnsi="Arial"/>
                          <w:lang w:val="en-AU"/>
                        </w:rPr>
                        <w:t>Sarah Collins</w:t>
                      </w:r>
                    </w:p>
                    <w:p w14:paraId="63A2B8F1" w14:textId="56CCEF75" w:rsidR="00CE3B2C" w:rsidRPr="00A01209" w:rsidRDefault="00CE3B2C" w:rsidP="00A92402">
                      <w:pPr>
                        <w:pStyle w:val="OrgChart"/>
                        <w:jc w:val="center"/>
                        <w:rPr>
                          <w:rFonts w:ascii="Arial" w:hAnsi="Arial"/>
                          <w:lang w:val="en-AU"/>
                        </w:rPr>
                      </w:pPr>
                    </w:p>
                  </w:txbxContent>
                </v:textbox>
              </v:shape>
            </w:pict>
          </mc:Fallback>
        </mc:AlternateContent>
      </w:r>
    </w:p>
    <w:p w14:paraId="11394ECB" w14:textId="77777777" w:rsidR="008C5364" w:rsidRPr="005F62B1" w:rsidRDefault="008C5364" w:rsidP="008C5364">
      <w:pPr>
        <w:pStyle w:val="BodyText"/>
        <w:rPr>
          <w:szCs w:val="20"/>
        </w:rPr>
      </w:pPr>
    </w:p>
    <w:p w14:paraId="5E90705A" w14:textId="77777777" w:rsidR="008C5364" w:rsidRPr="007271F5" w:rsidRDefault="008C5364" w:rsidP="008C5364">
      <w:pPr>
        <w:pStyle w:val="BodyText"/>
        <w:rPr>
          <w:rFonts w:ascii="Arial" w:hAnsi="Arial"/>
          <w:lang w:val="en-AU"/>
        </w:rPr>
      </w:pPr>
    </w:p>
    <w:p w14:paraId="663305C8" w14:textId="77777777" w:rsidR="008C5364" w:rsidRDefault="008C5364" w:rsidP="008C5364">
      <w:pPr>
        <w:pStyle w:val="BodyText"/>
        <w:rPr>
          <w:sz w:val="16"/>
          <w:szCs w:val="16"/>
          <w:lang w:val="en-AU"/>
        </w:rPr>
      </w:pPr>
    </w:p>
    <w:p w14:paraId="4E71C8BC" w14:textId="77777777" w:rsidR="004B73E8" w:rsidRPr="00B56FAA" w:rsidRDefault="004B73E8" w:rsidP="004B73E8">
      <w:pPr>
        <w:rPr>
          <w:lang w:val="en-AU"/>
        </w:rPr>
      </w:pPr>
    </w:p>
    <w:p w14:paraId="7E2EB088" w14:textId="77777777" w:rsidR="004B73E8" w:rsidRPr="00B56FAA" w:rsidRDefault="004B73E8" w:rsidP="004B73E8">
      <w:pPr>
        <w:rPr>
          <w:szCs w:val="20"/>
          <w:lang w:val="en-AU"/>
        </w:rPr>
      </w:pPr>
      <w:r w:rsidRPr="00B56FAA">
        <w:rPr>
          <w:szCs w:val="20"/>
          <w:lang w:val="en-AU"/>
        </w:rPr>
        <w:t>This ASD Organisational Chart is effective at the time of this publication release.</w:t>
      </w:r>
    </w:p>
    <w:p w14:paraId="6037423F" w14:textId="77777777" w:rsidR="004B73E8" w:rsidRPr="00B56FAA" w:rsidRDefault="004B73E8" w:rsidP="004B73E8">
      <w:pPr>
        <w:pStyle w:val="BodyText"/>
        <w:spacing w:before="0" w:after="0"/>
      </w:pPr>
      <w:r w:rsidRPr="00B56FAA">
        <w:br w:type="page"/>
      </w:r>
    </w:p>
    <w:p w14:paraId="42F55A01" w14:textId="77777777" w:rsidR="004B73E8" w:rsidRPr="00B56FAA" w:rsidRDefault="004B73E8" w:rsidP="004B73E8">
      <w:pPr>
        <w:pStyle w:val="Heading4level5"/>
        <w:spacing w:before="120" w:after="120"/>
      </w:pPr>
      <w:r w:rsidRPr="00B56FAA">
        <w:lastRenderedPageBreak/>
        <w:t>Senior Executive Changes</w:t>
      </w:r>
    </w:p>
    <w:p w14:paraId="598AC083" w14:textId="77777777" w:rsidR="004B73E8" w:rsidRPr="00896863" w:rsidRDefault="004B73E8" w:rsidP="004B73E8">
      <w:pPr>
        <w:spacing w:before="120" w:after="120"/>
      </w:pPr>
      <w:r w:rsidRPr="00A92402">
        <w:t xml:space="preserve">No changes have taken place since the last Portfolio </w:t>
      </w:r>
      <w:r w:rsidR="001726F8" w:rsidRPr="00A92402">
        <w:t>Statements</w:t>
      </w:r>
      <w:r w:rsidRPr="00A92402">
        <w:t>.</w:t>
      </w:r>
    </w:p>
    <w:p w14:paraId="3B084DDD" w14:textId="77777777" w:rsidR="004B73E8" w:rsidRPr="004A6687" w:rsidRDefault="004B73E8" w:rsidP="004B73E8">
      <w:pPr>
        <w:pStyle w:val="Heading4level5"/>
        <w:spacing w:before="120" w:after="120"/>
      </w:pPr>
      <w:r w:rsidRPr="004A6687">
        <w:t>Organisational Structure</w:t>
      </w:r>
    </w:p>
    <w:p w14:paraId="489FDCD2" w14:textId="77777777" w:rsidR="004B73E8" w:rsidRPr="00B56FAA" w:rsidRDefault="004B73E8" w:rsidP="004B73E8">
      <w:pPr>
        <w:spacing w:before="120" w:after="120"/>
      </w:pPr>
      <w:r w:rsidRPr="00A92402">
        <w:t>No changes have taken place since the last Portfolio Statements.</w:t>
      </w:r>
    </w:p>
    <w:p w14:paraId="37E72D58" w14:textId="77777777" w:rsidR="004B73E8" w:rsidRPr="00912B51" w:rsidRDefault="004B73E8" w:rsidP="00912B51">
      <w:pPr>
        <w:pStyle w:val="Heading2level3"/>
        <w:spacing w:before="120" w:after="120"/>
        <w:rPr>
          <w:b/>
          <w:bCs w:val="0"/>
          <w:iCs w:val="0"/>
          <w:sz w:val="22"/>
          <w:szCs w:val="22"/>
        </w:rPr>
      </w:pPr>
      <w:r w:rsidRPr="00B56FAA">
        <w:rPr>
          <w:lang w:val="en-AU"/>
        </w:rPr>
        <w:br w:type="page"/>
      </w:r>
      <w:bookmarkStart w:id="1023" w:name="_Toc159499701"/>
      <w:bookmarkStart w:id="1024" w:name="_Toc159859118"/>
      <w:bookmarkStart w:id="1025" w:name="_Toc159859270"/>
      <w:bookmarkStart w:id="1026" w:name="_Toc159862480"/>
      <w:r w:rsidRPr="00912B51">
        <w:rPr>
          <w:b/>
          <w:bCs w:val="0"/>
          <w:iCs w:val="0"/>
          <w:sz w:val="22"/>
          <w:szCs w:val="22"/>
        </w:rPr>
        <w:lastRenderedPageBreak/>
        <w:t>1.2 ASD Resource Statement</w:t>
      </w:r>
      <w:bookmarkEnd w:id="1023"/>
      <w:bookmarkEnd w:id="1024"/>
      <w:bookmarkEnd w:id="1025"/>
      <w:bookmarkEnd w:id="1026"/>
    </w:p>
    <w:p w14:paraId="3AC366A1" w14:textId="6A993A9E" w:rsidR="004B73E8" w:rsidRPr="00573367" w:rsidRDefault="004B73E8" w:rsidP="00D9100A">
      <w:pPr>
        <w:pStyle w:val="TableHeading"/>
        <w:numPr>
          <w:ilvl w:val="0"/>
          <w:numId w:val="34"/>
        </w:numPr>
        <w:spacing w:before="0" w:after="120"/>
        <w:ind w:left="0" w:firstLine="0"/>
        <w:outlineLvl w:val="5"/>
        <w:rPr>
          <w:lang w:val="en-AU"/>
        </w:rPr>
      </w:pPr>
      <w:r w:rsidRPr="00573367">
        <w:t>ASD Resource Statement – Budget Estimates for 202</w:t>
      </w:r>
      <w:r w:rsidR="004B232A">
        <w:t>5</w:t>
      </w:r>
      <w:r w:rsidRPr="00573367">
        <w:t>-2</w:t>
      </w:r>
      <w:r w:rsidR="004B232A">
        <w:t>6</w:t>
      </w:r>
      <w:r w:rsidRPr="00573367">
        <w:t xml:space="preserve"> as at Ma</w:t>
      </w:r>
      <w:r w:rsidR="008F0E1D">
        <w:t>rch</w:t>
      </w:r>
      <w:r w:rsidRPr="00573367">
        <w:t xml:space="preserve"> Budget</w:t>
      </w:r>
    </w:p>
    <w:p w14:paraId="75450A46" w14:textId="02ED9ED7" w:rsidR="004B73E8" w:rsidRPr="00B56FAA" w:rsidRDefault="00401BC5" w:rsidP="004B73E8">
      <w:r w:rsidRPr="00401BC5">
        <w:rPr>
          <w:noProof/>
          <w:lang w:val="en-AU"/>
        </w:rPr>
        <w:drawing>
          <wp:inline distT="0" distB="0" distL="0" distR="0" wp14:anchorId="2488EAB9" wp14:editId="3812EF71">
            <wp:extent cx="5472430" cy="2519812"/>
            <wp:effectExtent l="0" t="0" r="0" b="0"/>
            <wp:docPr id="24575490" name="Picture 24575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472430" cy="2519812"/>
                    </a:xfrm>
                    <a:prstGeom prst="rect">
                      <a:avLst/>
                    </a:prstGeom>
                    <a:noFill/>
                    <a:ln>
                      <a:noFill/>
                    </a:ln>
                  </pic:spPr>
                </pic:pic>
              </a:graphicData>
            </a:graphic>
          </wp:inline>
        </w:drawing>
      </w:r>
    </w:p>
    <w:p w14:paraId="74A80CD2" w14:textId="77777777" w:rsidR="004B73E8" w:rsidRPr="00912B51" w:rsidRDefault="004B73E8" w:rsidP="00912B51">
      <w:pPr>
        <w:pStyle w:val="Heading2level3"/>
        <w:spacing w:before="120" w:after="120"/>
        <w:rPr>
          <w:b/>
          <w:bCs w:val="0"/>
          <w:iCs w:val="0"/>
          <w:sz w:val="22"/>
          <w:szCs w:val="22"/>
        </w:rPr>
      </w:pPr>
      <w:r w:rsidRPr="00B56FAA">
        <w:rPr>
          <w:lang w:val="en-AU"/>
        </w:rPr>
        <w:br w:type="page"/>
      </w:r>
      <w:bookmarkStart w:id="1027" w:name="_Toc159499702"/>
      <w:bookmarkStart w:id="1028" w:name="_Toc159859119"/>
      <w:bookmarkStart w:id="1029" w:name="_Toc159859271"/>
      <w:bookmarkStart w:id="1030" w:name="_Toc159862481"/>
      <w:r w:rsidRPr="00912B51">
        <w:rPr>
          <w:b/>
          <w:bCs w:val="0"/>
          <w:iCs w:val="0"/>
          <w:sz w:val="22"/>
          <w:szCs w:val="22"/>
        </w:rPr>
        <w:lastRenderedPageBreak/>
        <w:t>1.3 Budget Measures</w:t>
      </w:r>
      <w:bookmarkEnd w:id="1027"/>
      <w:bookmarkEnd w:id="1028"/>
      <w:bookmarkEnd w:id="1029"/>
      <w:bookmarkEnd w:id="1030"/>
    </w:p>
    <w:p w14:paraId="6E00DBFB" w14:textId="77777777" w:rsidR="004B73E8" w:rsidRPr="00B56FAA" w:rsidRDefault="004B73E8" w:rsidP="004B73E8">
      <w:pPr>
        <w:pStyle w:val="Heading4level5"/>
      </w:pPr>
      <w:r w:rsidRPr="00511083">
        <w:t>2024-25 Budget Measures and Other Budget Adjustments</w:t>
      </w:r>
    </w:p>
    <w:p w14:paraId="32042A97" w14:textId="77777777" w:rsidR="004B73E8" w:rsidRPr="00511083" w:rsidRDefault="004B73E8" w:rsidP="00D9100A">
      <w:pPr>
        <w:pStyle w:val="TableHeading"/>
        <w:numPr>
          <w:ilvl w:val="0"/>
          <w:numId w:val="34"/>
        </w:numPr>
        <w:spacing w:before="0" w:after="120"/>
        <w:ind w:left="0" w:firstLine="0"/>
        <w:outlineLvl w:val="5"/>
        <w:rPr>
          <w:lang w:val="en-AU"/>
        </w:rPr>
      </w:pPr>
      <w:r w:rsidRPr="00511083">
        <w:rPr>
          <w:lang w:val="en-AU"/>
        </w:rPr>
        <w:t>ASD 202</w:t>
      </w:r>
      <w:r w:rsidR="004B232A">
        <w:rPr>
          <w:lang w:val="en-AU"/>
        </w:rPr>
        <w:t>5</w:t>
      </w:r>
      <w:r w:rsidRPr="00511083">
        <w:rPr>
          <w:lang w:val="en-AU"/>
        </w:rPr>
        <w:t>-2</w:t>
      </w:r>
      <w:r w:rsidR="004B232A">
        <w:rPr>
          <w:lang w:val="en-AU"/>
        </w:rPr>
        <w:t>6</w:t>
      </w:r>
      <w:r w:rsidRPr="00511083">
        <w:rPr>
          <w:lang w:val="en-AU"/>
        </w:rPr>
        <w:t xml:space="preserve"> </w:t>
      </w:r>
      <w:r w:rsidRPr="00511083">
        <w:t>Budget</w:t>
      </w:r>
      <w:r w:rsidRPr="00511083">
        <w:rPr>
          <w:lang w:val="en-AU"/>
        </w:rPr>
        <w:t xml:space="preserve"> Measures</w:t>
      </w:r>
    </w:p>
    <w:p w14:paraId="64E2A6D0" w14:textId="4AF1517E" w:rsidR="004B73E8" w:rsidRPr="00B56FAA" w:rsidRDefault="00B768C6" w:rsidP="00573367">
      <w:r w:rsidRPr="00B768C6">
        <w:rPr>
          <w:noProof/>
          <w:lang w:val="en-AU"/>
        </w:rPr>
        <w:drawing>
          <wp:inline distT="0" distB="0" distL="0" distR="0" wp14:anchorId="0B262772" wp14:editId="67F37D0C">
            <wp:extent cx="5375404" cy="1178797"/>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387586" cy="1181469"/>
                    </a:xfrm>
                    <a:prstGeom prst="rect">
                      <a:avLst/>
                    </a:prstGeom>
                    <a:noFill/>
                    <a:ln>
                      <a:noFill/>
                    </a:ln>
                  </pic:spPr>
                </pic:pic>
              </a:graphicData>
            </a:graphic>
          </wp:inline>
        </w:drawing>
      </w:r>
    </w:p>
    <w:p w14:paraId="66267019" w14:textId="77777777" w:rsidR="004B73E8" w:rsidRPr="00B56FAA" w:rsidRDefault="004B73E8" w:rsidP="004B73E8">
      <w:pPr>
        <w:pStyle w:val="Heading2level3"/>
        <w:spacing w:before="0" w:after="0"/>
        <w:rPr>
          <w:bCs w:val="0"/>
          <w:iCs w:val="0"/>
          <w:szCs w:val="30"/>
        </w:rPr>
      </w:pPr>
      <w:r w:rsidRPr="00B56FAA">
        <w:rPr>
          <w:lang w:val="en-AU"/>
        </w:rPr>
        <w:br w:type="page"/>
      </w:r>
      <w:bookmarkStart w:id="1031" w:name="_Toc159499703"/>
      <w:bookmarkStart w:id="1032" w:name="_Toc159857679"/>
      <w:bookmarkStart w:id="1033" w:name="_Toc159857758"/>
      <w:bookmarkStart w:id="1034" w:name="_Toc159858154"/>
      <w:bookmarkStart w:id="1035" w:name="_Toc159858819"/>
      <w:bookmarkStart w:id="1036" w:name="_Toc159858889"/>
      <w:bookmarkStart w:id="1037" w:name="_Toc159859120"/>
      <w:bookmarkStart w:id="1038" w:name="_Toc159859272"/>
      <w:bookmarkStart w:id="1039" w:name="_Toc159862482"/>
      <w:r w:rsidRPr="00B56FAA">
        <w:rPr>
          <w:bCs w:val="0"/>
          <w:iCs w:val="0"/>
          <w:szCs w:val="30"/>
        </w:rPr>
        <w:lastRenderedPageBreak/>
        <w:t>Section 2: ASD Outcomes and Planned Performance</w:t>
      </w:r>
      <w:bookmarkEnd w:id="1031"/>
      <w:bookmarkEnd w:id="1032"/>
      <w:bookmarkEnd w:id="1033"/>
      <w:bookmarkEnd w:id="1034"/>
      <w:bookmarkEnd w:id="1035"/>
      <w:bookmarkEnd w:id="1036"/>
      <w:bookmarkEnd w:id="1037"/>
      <w:bookmarkEnd w:id="1038"/>
      <w:bookmarkEnd w:id="1039"/>
    </w:p>
    <w:p w14:paraId="6BA7568E" w14:textId="77777777" w:rsidR="004B73E8" w:rsidRPr="00B56FAA" w:rsidRDefault="004B73E8" w:rsidP="004B73E8">
      <w:pPr>
        <w:spacing w:before="120" w:after="120"/>
      </w:pPr>
      <w:r w:rsidRPr="00B56FAA">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0DB07FDF" w14:textId="77777777" w:rsidR="004B73E8" w:rsidRPr="00B56FAA" w:rsidRDefault="004B73E8" w:rsidP="004B73E8">
      <w:pPr>
        <w:spacing w:before="120" w:after="120"/>
      </w:pPr>
      <w:r w:rsidRPr="00B56FAA">
        <w:t>Each outcome is described below together with its related programs. The following provides detailed information on expenses for each outcome and program, further broken down by funding source.</w:t>
      </w:r>
    </w:p>
    <w:p w14:paraId="47265245" w14:textId="77777777" w:rsidR="004B73E8" w:rsidRPr="00B56FAA" w:rsidRDefault="004B73E8" w:rsidP="004B73E8">
      <w:pPr>
        <w:pBdr>
          <w:top w:val="single" w:sz="2" w:space="6" w:color="auto"/>
          <w:left w:val="single" w:sz="2" w:space="4" w:color="auto"/>
          <w:bottom w:val="single" w:sz="2" w:space="12" w:color="auto"/>
          <w:right w:val="single" w:sz="2" w:space="4" w:color="auto"/>
        </w:pBdr>
        <w:spacing w:before="120" w:after="120"/>
        <w:rPr>
          <w:b/>
        </w:rPr>
      </w:pPr>
      <w:r w:rsidRPr="00B56FAA">
        <w:rPr>
          <w:b/>
        </w:rPr>
        <w:t>Note:</w:t>
      </w:r>
    </w:p>
    <w:p w14:paraId="242F0D1D" w14:textId="77777777" w:rsidR="004B73E8" w:rsidRPr="00B56FAA" w:rsidRDefault="004B73E8" w:rsidP="004B73E8">
      <w:pPr>
        <w:pBdr>
          <w:top w:val="single" w:sz="2" w:space="6" w:color="auto"/>
          <w:left w:val="single" w:sz="2" w:space="4" w:color="auto"/>
          <w:bottom w:val="single" w:sz="2" w:space="12" w:color="auto"/>
          <w:right w:val="single" w:sz="2" w:space="4" w:color="auto"/>
        </w:pBdr>
        <w:spacing w:before="120" w:after="120"/>
      </w:pPr>
      <w:r w:rsidRPr="00B56FAA">
        <w:t xml:space="preserve">Performance reporting requirements in the Portfolio Budget Statements are part of the enhanced Commonwealth performance framework established by the </w:t>
      </w:r>
      <w:r w:rsidRPr="00B56FAA">
        <w:rPr>
          <w:i/>
        </w:rPr>
        <w:t>Public Governance, Performance and Accountability Act 2013</w:t>
      </w:r>
      <w:r w:rsidRPr="00B56FAA">
        <w:t>. It is anticipated that the performance measures described in Portfolio Budget Statements will be read with broader information provided in an entity’s corporate plans and annual performance statements – included in Annual Reports - to provide a complete picture of an entity’s planned and actual performance.</w:t>
      </w:r>
    </w:p>
    <w:p w14:paraId="3C16E887" w14:textId="77777777" w:rsidR="004B73E8" w:rsidRPr="00B56FAA" w:rsidRDefault="004B73E8" w:rsidP="004B73E8">
      <w:pPr>
        <w:pBdr>
          <w:top w:val="single" w:sz="2" w:space="6" w:color="auto"/>
          <w:left w:val="single" w:sz="2" w:space="4" w:color="auto"/>
          <w:bottom w:val="single" w:sz="2" w:space="12" w:color="auto"/>
          <w:right w:val="single" w:sz="2" w:space="4" w:color="auto"/>
        </w:pBdr>
        <w:spacing w:before="120" w:after="120"/>
      </w:pPr>
      <w:r w:rsidRPr="00B56FAA">
        <w:t xml:space="preserve">The most recent corporate plan and annual performance statement for ASD can be found at: </w:t>
      </w:r>
      <w:hyperlink r:id="rId122" w:history="1">
        <w:r w:rsidRPr="00B56FAA">
          <w:rPr>
            <w:rStyle w:val="Hyperlink"/>
          </w:rPr>
          <w:t>https://www.asd.gov.au/publications</w:t>
        </w:r>
      </w:hyperlink>
      <w:r w:rsidRPr="00B56FAA">
        <w:t>.</w:t>
      </w:r>
    </w:p>
    <w:p w14:paraId="55E35876" w14:textId="77777777" w:rsidR="004B73E8" w:rsidRPr="00912B51" w:rsidRDefault="004B73E8" w:rsidP="00912B51">
      <w:pPr>
        <w:pStyle w:val="Heading2level3"/>
        <w:spacing w:before="0" w:after="120"/>
        <w:rPr>
          <w:b/>
          <w:bCs w:val="0"/>
          <w:iCs w:val="0"/>
          <w:sz w:val="22"/>
          <w:szCs w:val="22"/>
        </w:rPr>
      </w:pPr>
      <w:r w:rsidRPr="00B56FAA">
        <w:rPr>
          <w:lang w:val="en-AU"/>
        </w:rPr>
        <w:br w:type="page"/>
      </w:r>
      <w:bookmarkStart w:id="1040" w:name="_Toc476581172"/>
      <w:bookmarkStart w:id="1041" w:name="_Toc507595439"/>
      <w:bookmarkStart w:id="1042" w:name="_Toc536089246"/>
      <w:bookmarkStart w:id="1043" w:name="_Toc536089612"/>
      <w:bookmarkStart w:id="1044" w:name="_Toc1561699"/>
      <w:bookmarkStart w:id="1045" w:name="_Toc51691695"/>
      <w:bookmarkStart w:id="1046" w:name="_Toc69729065"/>
      <w:bookmarkStart w:id="1047" w:name="_Toc69917860"/>
      <w:bookmarkStart w:id="1048" w:name="_Toc108088962"/>
      <w:bookmarkStart w:id="1049" w:name="_Toc108089041"/>
      <w:bookmarkStart w:id="1050" w:name="_Toc108089435"/>
      <w:bookmarkStart w:id="1051" w:name="_Toc109227757"/>
      <w:bookmarkStart w:id="1052" w:name="_Toc159499704"/>
      <w:bookmarkStart w:id="1053" w:name="_Toc159859121"/>
      <w:bookmarkStart w:id="1054" w:name="_Toc159859273"/>
      <w:bookmarkStart w:id="1055" w:name="_Toc159862483"/>
      <w:r w:rsidRPr="00912B51">
        <w:rPr>
          <w:b/>
          <w:bCs w:val="0"/>
          <w:iCs w:val="0"/>
          <w:sz w:val="22"/>
          <w:szCs w:val="22"/>
        </w:rPr>
        <w:lastRenderedPageBreak/>
        <w:t>2.1 Budgeted Expenses and Performance for Outcome 1</w:t>
      </w:r>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tbl>
      <w:tblPr>
        <w:tblW w:w="485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350"/>
      </w:tblGrid>
      <w:tr w:rsidR="004B73E8" w:rsidRPr="00B56FAA" w14:paraId="6D4EECC4" w14:textId="77777777" w:rsidTr="003D731C">
        <w:tc>
          <w:tcPr>
            <w:tcW w:w="8569" w:type="dxa"/>
            <w:shd w:val="clear" w:color="auto" w:fill="CCCCCC"/>
          </w:tcPr>
          <w:p w14:paraId="0DC58368" w14:textId="77777777" w:rsidR="004B73E8" w:rsidRPr="00B56FAA" w:rsidRDefault="004B73E8" w:rsidP="00794709">
            <w:pPr>
              <w:pStyle w:val="Heading5"/>
              <w:rPr>
                <w:lang w:val="en-AU"/>
              </w:rPr>
            </w:pPr>
            <w:r w:rsidRPr="00B56FAA">
              <w:rPr>
                <w:lang w:val="en-AU"/>
              </w:rPr>
              <w:t>Outcome 1: Defend Australia from global threats and advance our national interests through the provision of foreign signals intelligence, cyber security and offensive cyber operations, as directed by Government.</w:t>
            </w:r>
          </w:p>
        </w:tc>
      </w:tr>
    </w:tbl>
    <w:p w14:paraId="07DE200E" w14:textId="77777777" w:rsidR="004B73E8" w:rsidRPr="002B2BCC" w:rsidRDefault="004B73E8" w:rsidP="004B73E8">
      <w:pPr>
        <w:pStyle w:val="Heading4level5"/>
      </w:pPr>
      <w:r w:rsidRPr="002B2BCC">
        <w:t>Linked Programs</w:t>
      </w:r>
    </w:p>
    <w:tbl>
      <w:tblPr>
        <w:tblW w:w="5000" w:type="pct"/>
        <w:tblInd w:w="113" w:type="dxa"/>
        <w:tblBorders>
          <w:top w:val="single" w:sz="8" w:space="0" w:color="auto"/>
          <w:left w:val="single" w:sz="8" w:space="0" w:color="auto"/>
          <w:bottom w:val="single" w:sz="8" w:space="0" w:color="auto"/>
          <w:right w:val="single" w:sz="8" w:space="0" w:color="auto"/>
          <w:insideH w:val="dotted" w:sz="8" w:space="0" w:color="auto"/>
          <w:insideV w:val="dotted" w:sz="8" w:space="0" w:color="auto"/>
        </w:tblBorders>
        <w:tblCellMar>
          <w:left w:w="0" w:type="dxa"/>
          <w:right w:w="0" w:type="dxa"/>
        </w:tblCellMar>
        <w:tblLook w:val="04A0" w:firstRow="1" w:lastRow="0" w:firstColumn="1" w:lastColumn="0" w:noHBand="0" w:noVBand="1"/>
      </w:tblPr>
      <w:tblGrid>
        <w:gridCol w:w="8608"/>
      </w:tblGrid>
      <w:tr w:rsidR="004B73E8" w:rsidRPr="00A92402" w14:paraId="2D1C5EA0" w14:textId="77777777" w:rsidTr="00794709">
        <w:trPr>
          <w:trHeight w:val="113"/>
        </w:trPr>
        <w:tc>
          <w:tcPr>
            <w:tcW w:w="5000" w:type="pct"/>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6F806E82" w14:textId="77777777" w:rsidR="004B73E8" w:rsidRPr="00A92402" w:rsidRDefault="004B73E8" w:rsidP="00794709">
            <w:pPr>
              <w:spacing w:before="60" w:after="60"/>
              <w:rPr>
                <w:b/>
                <w:szCs w:val="20"/>
                <w:lang w:eastAsia="en-US"/>
              </w:rPr>
            </w:pPr>
            <w:r w:rsidRPr="00A92402">
              <w:rPr>
                <w:b/>
                <w:szCs w:val="20"/>
                <w:lang w:eastAsia="en-US"/>
              </w:rPr>
              <w:t>Australian Federal Police</w:t>
            </w:r>
          </w:p>
        </w:tc>
      </w:tr>
      <w:tr w:rsidR="004B73E8" w:rsidRPr="00A92402" w14:paraId="68EFFFAF" w14:textId="77777777" w:rsidTr="00794709">
        <w:trPr>
          <w:trHeight w:val="113"/>
        </w:trPr>
        <w:tc>
          <w:tcPr>
            <w:tcW w:w="5000" w:type="pct"/>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3466DB18" w14:textId="77777777" w:rsidR="004B73E8" w:rsidRPr="00A92402" w:rsidRDefault="00372595" w:rsidP="00372595">
            <w:pPr>
              <w:spacing w:before="60" w:after="60"/>
              <w:rPr>
                <w:szCs w:val="20"/>
                <w:lang w:eastAsia="en-US"/>
              </w:rPr>
            </w:pPr>
            <w:r w:rsidRPr="00A92402">
              <w:rPr>
                <w:szCs w:val="20"/>
                <w:lang w:eastAsia="en-US"/>
              </w:rPr>
              <w:t>Program 1.1: Federal Policing</w:t>
            </w:r>
            <w:r w:rsidR="004B73E8" w:rsidRPr="00A92402">
              <w:rPr>
                <w:szCs w:val="20"/>
                <w:lang w:eastAsia="en-US"/>
              </w:rPr>
              <w:t>.</w:t>
            </w:r>
          </w:p>
        </w:tc>
      </w:tr>
      <w:tr w:rsidR="004B73E8" w:rsidRPr="00A92402" w14:paraId="1B3D01E3" w14:textId="77777777" w:rsidTr="00794709">
        <w:trPr>
          <w:trHeight w:val="113"/>
        </w:trPr>
        <w:tc>
          <w:tcPr>
            <w:tcW w:w="5000" w:type="pct"/>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5A30BFDA" w14:textId="77777777" w:rsidR="004B73E8" w:rsidRPr="00A92402" w:rsidRDefault="004B73E8" w:rsidP="00794709">
            <w:pPr>
              <w:spacing w:before="60" w:after="60"/>
              <w:rPr>
                <w:b/>
                <w:szCs w:val="20"/>
                <w:lang w:eastAsia="en-US"/>
              </w:rPr>
            </w:pPr>
            <w:r w:rsidRPr="00A92402">
              <w:rPr>
                <w:b/>
                <w:szCs w:val="20"/>
                <w:lang w:eastAsia="en-US"/>
              </w:rPr>
              <w:t xml:space="preserve">Contribution to </w:t>
            </w:r>
            <w:r w:rsidRPr="00A92402">
              <w:rPr>
                <w:b/>
                <w:szCs w:val="20"/>
                <w:lang w:val="en-AU"/>
              </w:rPr>
              <w:t>Outcome</w:t>
            </w:r>
            <w:r w:rsidRPr="00A92402">
              <w:rPr>
                <w:b/>
                <w:szCs w:val="20"/>
                <w:lang w:eastAsia="en-US"/>
              </w:rPr>
              <w:t xml:space="preserve"> 1 by linked program</w:t>
            </w:r>
          </w:p>
        </w:tc>
      </w:tr>
      <w:tr w:rsidR="004B73E8" w:rsidRPr="00A92402" w14:paraId="18911539" w14:textId="77777777" w:rsidTr="00794709">
        <w:trPr>
          <w:trHeight w:val="563"/>
        </w:trPr>
        <w:tc>
          <w:tcPr>
            <w:tcW w:w="5000" w:type="pct"/>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7E2654" w14:textId="77777777" w:rsidR="004B73E8" w:rsidRPr="00A92402" w:rsidRDefault="004B73E8" w:rsidP="00794709">
            <w:pPr>
              <w:spacing w:before="60" w:after="60"/>
              <w:rPr>
                <w:szCs w:val="20"/>
                <w:lang w:eastAsia="en-US"/>
              </w:rPr>
            </w:pPr>
            <w:r w:rsidRPr="00A92402">
              <w:t xml:space="preserve">Consistent with the functions detailed in the </w:t>
            </w:r>
            <w:r w:rsidRPr="00A92402">
              <w:rPr>
                <w:i/>
              </w:rPr>
              <w:t>Intelligence Services Act 2001</w:t>
            </w:r>
            <w:r w:rsidRPr="00A92402">
              <w:t>, the Australian Signals Directorate relies on cooperation with the Australian Federal Police.</w:t>
            </w:r>
          </w:p>
        </w:tc>
      </w:tr>
    </w:tbl>
    <w:p w14:paraId="10E7E1BC" w14:textId="77777777" w:rsidR="004B73E8" w:rsidRPr="00A92402" w:rsidRDefault="004B73E8" w:rsidP="004B73E8">
      <w:pPr>
        <w:spacing w:before="0" w:after="0"/>
      </w:pPr>
    </w:p>
    <w:tbl>
      <w:tblPr>
        <w:tblW w:w="5000" w:type="pct"/>
        <w:tblInd w:w="113" w:type="dxa"/>
        <w:tblBorders>
          <w:top w:val="single" w:sz="8" w:space="0" w:color="auto"/>
          <w:left w:val="single" w:sz="8" w:space="0" w:color="auto"/>
          <w:bottom w:val="single" w:sz="8" w:space="0" w:color="auto"/>
          <w:right w:val="single" w:sz="8" w:space="0" w:color="auto"/>
          <w:insideH w:val="dotted" w:sz="8" w:space="0" w:color="auto"/>
          <w:insideV w:val="dotted" w:sz="8" w:space="0" w:color="auto"/>
        </w:tblBorders>
        <w:tblCellMar>
          <w:left w:w="0" w:type="dxa"/>
          <w:right w:w="0" w:type="dxa"/>
        </w:tblCellMar>
        <w:tblLook w:val="04A0" w:firstRow="1" w:lastRow="0" w:firstColumn="1" w:lastColumn="0" w:noHBand="0" w:noVBand="1"/>
      </w:tblPr>
      <w:tblGrid>
        <w:gridCol w:w="8608"/>
      </w:tblGrid>
      <w:tr w:rsidR="004B73E8" w:rsidRPr="00A92402" w14:paraId="60138C0F" w14:textId="77777777" w:rsidTr="00794709">
        <w:trPr>
          <w:trHeight w:val="113"/>
        </w:trPr>
        <w:tc>
          <w:tcPr>
            <w:tcW w:w="5000" w:type="pct"/>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2ACB9B5A" w14:textId="77777777" w:rsidR="004B73E8" w:rsidRPr="00A92402" w:rsidRDefault="004B73E8" w:rsidP="00794709">
            <w:pPr>
              <w:spacing w:before="60" w:after="60"/>
              <w:rPr>
                <w:b/>
                <w:szCs w:val="20"/>
                <w:lang w:eastAsia="en-US"/>
              </w:rPr>
            </w:pPr>
            <w:r w:rsidRPr="00A92402">
              <w:rPr>
                <w:b/>
                <w:szCs w:val="20"/>
                <w:lang w:eastAsia="en-US"/>
              </w:rPr>
              <w:t>Department of Defence</w:t>
            </w:r>
          </w:p>
        </w:tc>
      </w:tr>
      <w:tr w:rsidR="004B73E8" w:rsidRPr="00A92402" w14:paraId="0A72FA57" w14:textId="77777777" w:rsidTr="00794709">
        <w:trPr>
          <w:trHeight w:val="113"/>
        </w:trPr>
        <w:tc>
          <w:tcPr>
            <w:tcW w:w="5000" w:type="pct"/>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68F0F669" w14:textId="77777777" w:rsidR="004B73E8" w:rsidRPr="00A92402" w:rsidRDefault="004B73E8" w:rsidP="00794709">
            <w:pPr>
              <w:spacing w:before="60" w:after="60"/>
              <w:rPr>
                <w:szCs w:val="20"/>
                <w:lang w:eastAsia="en-US"/>
              </w:rPr>
            </w:pPr>
            <w:r w:rsidRPr="00A92402">
              <w:rPr>
                <w:szCs w:val="20"/>
                <w:lang w:eastAsia="en-US"/>
              </w:rPr>
              <w:t>Program 1.1: Operations Contributing to the Safety of the Immediate Neighbourhood.</w:t>
            </w:r>
          </w:p>
          <w:p w14:paraId="7F2A079C" w14:textId="77777777" w:rsidR="004B73E8" w:rsidRPr="00A92402" w:rsidRDefault="004B73E8" w:rsidP="00794709">
            <w:pPr>
              <w:spacing w:before="60" w:after="60"/>
              <w:rPr>
                <w:szCs w:val="20"/>
                <w:lang w:eastAsia="en-US"/>
              </w:rPr>
            </w:pPr>
            <w:r w:rsidRPr="00A92402">
              <w:rPr>
                <w:szCs w:val="20"/>
                <w:lang w:eastAsia="en-US"/>
              </w:rPr>
              <w:t>Program 1.2: Operations Supporting Wider Interests.</w:t>
            </w:r>
          </w:p>
        </w:tc>
      </w:tr>
      <w:tr w:rsidR="004B73E8" w:rsidRPr="00A92402" w14:paraId="6169F4A5" w14:textId="77777777" w:rsidTr="00794709">
        <w:trPr>
          <w:trHeight w:val="113"/>
        </w:trPr>
        <w:tc>
          <w:tcPr>
            <w:tcW w:w="5000" w:type="pct"/>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77FA8915" w14:textId="77777777" w:rsidR="004B73E8" w:rsidRPr="00A92402" w:rsidRDefault="004B73E8" w:rsidP="00794709">
            <w:pPr>
              <w:spacing w:before="60" w:after="60"/>
              <w:rPr>
                <w:b/>
                <w:szCs w:val="20"/>
                <w:lang w:eastAsia="en-US"/>
              </w:rPr>
            </w:pPr>
            <w:r w:rsidRPr="00A92402">
              <w:rPr>
                <w:b/>
                <w:szCs w:val="20"/>
                <w:lang w:eastAsia="en-US"/>
              </w:rPr>
              <w:t xml:space="preserve">Contribution to </w:t>
            </w:r>
            <w:r w:rsidRPr="00A92402">
              <w:rPr>
                <w:b/>
                <w:szCs w:val="20"/>
                <w:lang w:val="en-AU"/>
              </w:rPr>
              <w:t>Outcome</w:t>
            </w:r>
            <w:r w:rsidRPr="00A92402">
              <w:rPr>
                <w:b/>
                <w:szCs w:val="20"/>
                <w:lang w:eastAsia="en-US"/>
              </w:rPr>
              <w:t xml:space="preserve"> 1 by linked programs</w:t>
            </w:r>
          </w:p>
        </w:tc>
      </w:tr>
      <w:tr w:rsidR="004B73E8" w:rsidRPr="00A92402" w14:paraId="50561E88" w14:textId="77777777" w:rsidTr="00794709">
        <w:trPr>
          <w:trHeight w:val="563"/>
        </w:trPr>
        <w:tc>
          <w:tcPr>
            <w:tcW w:w="5000" w:type="pct"/>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DB4E42" w14:textId="77777777" w:rsidR="004B73E8" w:rsidRPr="00A92402" w:rsidRDefault="004B73E8" w:rsidP="00794709">
            <w:pPr>
              <w:spacing w:before="60" w:after="60"/>
              <w:rPr>
                <w:szCs w:val="20"/>
                <w:lang w:eastAsia="en-US"/>
              </w:rPr>
            </w:pPr>
            <w:r w:rsidRPr="00A92402">
              <w:t xml:space="preserve">Consistent with the functions detailed in the </w:t>
            </w:r>
            <w:r w:rsidRPr="00A92402">
              <w:rPr>
                <w:i/>
              </w:rPr>
              <w:t>Intelligence Services Act 2001</w:t>
            </w:r>
            <w:r w:rsidRPr="00A92402">
              <w:t>, the Australian Signals Directorate provides foreign signals intelligence, cyber security advice, and offensive cyber operations to meet the operational needs of the Australian Defence Force and the requirements of the Department of Defence.</w:t>
            </w:r>
          </w:p>
        </w:tc>
      </w:tr>
    </w:tbl>
    <w:p w14:paraId="12DE181B" w14:textId="77777777" w:rsidR="004B73E8" w:rsidRPr="00A92402" w:rsidRDefault="004B73E8" w:rsidP="004B73E8">
      <w:pPr>
        <w:spacing w:before="0" w:after="0"/>
      </w:pPr>
    </w:p>
    <w:tbl>
      <w:tblPr>
        <w:tblW w:w="5000" w:type="pct"/>
        <w:tblInd w:w="113" w:type="dxa"/>
        <w:tblBorders>
          <w:top w:val="single" w:sz="8" w:space="0" w:color="auto"/>
          <w:left w:val="single" w:sz="8" w:space="0" w:color="auto"/>
          <w:bottom w:val="single" w:sz="8" w:space="0" w:color="auto"/>
          <w:right w:val="single" w:sz="8" w:space="0" w:color="auto"/>
          <w:insideH w:val="dotted" w:sz="8" w:space="0" w:color="auto"/>
          <w:insideV w:val="dotted" w:sz="8" w:space="0" w:color="auto"/>
        </w:tblBorders>
        <w:tblCellMar>
          <w:left w:w="0" w:type="dxa"/>
          <w:right w:w="0" w:type="dxa"/>
        </w:tblCellMar>
        <w:tblLook w:val="04A0" w:firstRow="1" w:lastRow="0" w:firstColumn="1" w:lastColumn="0" w:noHBand="0" w:noVBand="1"/>
      </w:tblPr>
      <w:tblGrid>
        <w:gridCol w:w="8608"/>
      </w:tblGrid>
      <w:tr w:rsidR="004B73E8" w:rsidRPr="00A92402" w14:paraId="203AB3AE" w14:textId="77777777" w:rsidTr="00794709">
        <w:trPr>
          <w:trHeight w:val="113"/>
        </w:trPr>
        <w:tc>
          <w:tcPr>
            <w:tcW w:w="5000" w:type="pct"/>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6D4F8F55" w14:textId="77777777" w:rsidR="004B73E8" w:rsidRPr="00A92402" w:rsidRDefault="004B73E8" w:rsidP="00794709">
            <w:pPr>
              <w:spacing w:before="60" w:after="60"/>
              <w:rPr>
                <w:b/>
                <w:szCs w:val="20"/>
                <w:lang w:eastAsia="en-US"/>
              </w:rPr>
            </w:pPr>
            <w:r w:rsidRPr="00A92402">
              <w:rPr>
                <w:b/>
                <w:szCs w:val="20"/>
                <w:lang w:eastAsia="en-US"/>
              </w:rPr>
              <w:t>Office of National Intelligence</w:t>
            </w:r>
          </w:p>
        </w:tc>
      </w:tr>
      <w:tr w:rsidR="004B73E8" w:rsidRPr="00A92402" w14:paraId="6DCA08FB" w14:textId="77777777" w:rsidTr="00794709">
        <w:trPr>
          <w:trHeight w:val="113"/>
        </w:trPr>
        <w:tc>
          <w:tcPr>
            <w:tcW w:w="5000" w:type="pct"/>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070BE12C" w14:textId="77777777" w:rsidR="004B73E8" w:rsidRPr="00A92402" w:rsidRDefault="004B73E8" w:rsidP="00794709">
            <w:pPr>
              <w:spacing w:before="60" w:after="60"/>
              <w:rPr>
                <w:szCs w:val="20"/>
                <w:lang w:eastAsia="en-US"/>
              </w:rPr>
            </w:pPr>
            <w:r w:rsidRPr="00A92402">
              <w:rPr>
                <w:szCs w:val="20"/>
                <w:lang w:eastAsia="en-US"/>
              </w:rPr>
              <w:t>Outcome 1: Advancement of Australia's national interests through increased government awareness of international developments affecting Australia and integration, coordination and evaluation of Australia's national intelligence capabilities.</w:t>
            </w:r>
          </w:p>
        </w:tc>
      </w:tr>
      <w:tr w:rsidR="004B73E8" w:rsidRPr="00A92402" w14:paraId="53AB34D5" w14:textId="77777777" w:rsidTr="00794709">
        <w:trPr>
          <w:trHeight w:val="113"/>
        </w:trPr>
        <w:tc>
          <w:tcPr>
            <w:tcW w:w="5000" w:type="pct"/>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7AC787A1" w14:textId="77777777" w:rsidR="004B73E8" w:rsidRPr="00A92402" w:rsidRDefault="004B73E8" w:rsidP="00794709">
            <w:pPr>
              <w:spacing w:before="60" w:after="60"/>
              <w:rPr>
                <w:b/>
                <w:szCs w:val="20"/>
                <w:lang w:eastAsia="en-US"/>
              </w:rPr>
            </w:pPr>
            <w:r w:rsidRPr="00A92402">
              <w:rPr>
                <w:b/>
                <w:szCs w:val="20"/>
                <w:lang w:eastAsia="en-US"/>
              </w:rPr>
              <w:t xml:space="preserve">Contribution to </w:t>
            </w:r>
            <w:r w:rsidRPr="00A92402">
              <w:rPr>
                <w:b/>
                <w:szCs w:val="20"/>
                <w:lang w:val="en-AU"/>
              </w:rPr>
              <w:t>Outcome</w:t>
            </w:r>
            <w:r w:rsidRPr="00A92402">
              <w:rPr>
                <w:b/>
                <w:szCs w:val="20"/>
                <w:lang w:eastAsia="en-US"/>
              </w:rPr>
              <w:t xml:space="preserve"> 1 by linked program</w:t>
            </w:r>
          </w:p>
        </w:tc>
      </w:tr>
      <w:tr w:rsidR="004B73E8" w:rsidRPr="00B56FAA" w14:paraId="021BDE62" w14:textId="77777777" w:rsidTr="00794709">
        <w:trPr>
          <w:trHeight w:val="563"/>
        </w:trPr>
        <w:tc>
          <w:tcPr>
            <w:tcW w:w="5000" w:type="pct"/>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16A744" w14:textId="77777777" w:rsidR="004B73E8" w:rsidRPr="00B56FAA" w:rsidRDefault="004B73E8" w:rsidP="00794709">
            <w:pPr>
              <w:spacing w:before="60" w:after="60"/>
              <w:rPr>
                <w:szCs w:val="20"/>
                <w:lang w:eastAsia="en-US"/>
              </w:rPr>
            </w:pPr>
            <w:r w:rsidRPr="00A92402">
              <w:rPr>
                <w:szCs w:val="20"/>
                <w:lang w:eastAsia="en-US"/>
              </w:rPr>
              <w:t>The Office of National Intelligence leads efforts to integrate and coordinate the activities of the national intelligence agencies to meet the operational requirements of the Australian Defence Force and the Department of Defence, as well as other priorities as set by Government.</w:t>
            </w:r>
          </w:p>
        </w:tc>
      </w:tr>
    </w:tbl>
    <w:p w14:paraId="022F00B0" w14:textId="77777777" w:rsidR="004B73E8" w:rsidRPr="00230FA0" w:rsidRDefault="004B73E8" w:rsidP="004B73E8">
      <w:pPr>
        <w:pStyle w:val="Heading4level5"/>
        <w:spacing w:before="0" w:after="0"/>
        <w:rPr>
          <w:sz w:val="16"/>
          <w:szCs w:val="16"/>
        </w:rPr>
      </w:pPr>
      <w:r w:rsidRPr="00B56FAA">
        <w:br w:type="page"/>
      </w:r>
    </w:p>
    <w:p w14:paraId="603A246C" w14:textId="77777777" w:rsidR="004B73E8" w:rsidRPr="00B56FAA" w:rsidRDefault="004B73E8" w:rsidP="004B73E8">
      <w:pPr>
        <w:pStyle w:val="Heading4level5"/>
      </w:pPr>
      <w:r w:rsidRPr="00B56FAA">
        <w:lastRenderedPageBreak/>
        <w:t>Budgeted Expenses for Outcome 1</w:t>
      </w:r>
    </w:p>
    <w:p w14:paraId="319434D2" w14:textId="77777777" w:rsidR="004B73E8" w:rsidRPr="00573367" w:rsidRDefault="004B73E8" w:rsidP="00D9100A">
      <w:pPr>
        <w:pStyle w:val="TableHeading"/>
        <w:numPr>
          <w:ilvl w:val="0"/>
          <w:numId w:val="34"/>
        </w:numPr>
        <w:spacing w:before="0" w:after="120"/>
        <w:ind w:left="0" w:firstLine="0"/>
        <w:outlineLvl w:val="5"/>
      </w:pPr>
      <w:r w:rsidRPr="00573367">
        <w:t>Budgeted Expenses for Outcome 1</w:t>
      </w:r>
    </w:p>
    <w:p w14:paraId="1DBB3C93" w14:textId="0BCA9297" w:rsidR="004B73E8" w:rsidRDefault="00214312" w:rsidP="00573367">
      <w:pPr>
        <w:spacing w:before="0" w:after="0"/>
      </w:pPr>
      <w:r w:rsidRPr="00214312">
        <w:rPr>
          <w:noProof/>
          <w:lang w:val="en-AU"/>
        </w:rPr>
        <w:drawing>
          <wp:inline distT="0" distB="0" distL="0" distR="0" wp14:anchorId="00DC133E" wp14:editId="30290958">
            <wp:extent cx="5472430" cy="3971658"/>
            <wp:effectExtent l="0" t="0" r="0" b="0"/>
            <wp:docPr id="24575496" name="Picture 24575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72430" cy="3971658"/>
                    </a:xfrm>
                    <a:prstGeom prst="rect">
                      <a:avLst/>
                    </a:prstGeom>
                    <a:noFill/>
                    <a:ln>
                      <a:noFill/>
                    </a:ln>
                  </pic:spPr>
                </pic:pic>
              </a:graphicData>
            </a:graphic>
          </wp:inline>
        </w:drawing>
      </w:r>
    </w:p>
    <w:p w14:paraId="330F968A" w14:textId="77777777" w:rsidR="00573367" w:rsidRDefault="00573367" w:rsidP="00573367">
      <w:pPr>
        <w:spacing w:before="0" w:after="0"/>
        <w:rPr>
          <w:rFonts w:ascii="Arial" w:hAnsi="Arial"/>
          <w:sz w:val="14"/>
          <w:szCs w:val="14"/>
        </w:rPr>
      </w:pPr>
    </w:p>
    <w:p w14:paraId="780EFC61" w14:textId="77777777" w:rsidR="00573367" w:rsidRPr="00573367" w:rsidRDefault="00573367" w:rsidP="00573367">
      <w:pPr>
        <w:spacing w:before="0" w:after="0"/>
        <w:rPr>
          <w:rFonts w:ascii="Arial" w:hAnsi="Arial"/>
          <w:b/>
          <w:sz w:val="14"/>
          <w:szCs w:val="14"/>
        </w:rPr>
      </w:pPr>
      <w:r w:rsidRPr="00573367">
        <w:rPr>
          <w:rFonts w:ascii="Arial" w:hAnsi="Arial"/>
          <w:b/>
          <w:sz w:val="14"/>
          <w:szCs w:val="14"/>
        </w:rPr>
        <w:t>Notes</w:t>
      </w:r>
    </w:p>
    <w:p w14:paraId="1FB2E3FE" w14:textId="4177B13D" w:rsidR="009825F0" w:rsidRPr="009825F0" w:rsidRDefault="00573367" w:rsidP="009825F0">
      <w:pPr>
        <w:spacing w:before="0" w:after="0"/>
        <w:ind w:left="284" w:hanging="284"/>
        <w:rPr>
          <w:rFonts w:ascii="Arial" w:hAnsi="Arial"/>
          <w:sz w:val="14"/>
          <w:szCs w:val="14"/>
        </w:rPr>
      </w:pPr>
      <w:r>
        <w:rPr>
          <w:rFonts w:ascii="Arial" w:hAnsi="Arial"/>
          <w:sz w:val="14"/>
          <w:szCs w:val="14"/>
        </w:rPr>
        <w:t>a.</w:t>
      </w:r>
      <w:r>
        <w:rPr>
          <w:rFonts w:ascii="Arial" w:hAnsi="Arial"/>
          <w:sz w:val="14"/>
          <w:szCs w:val="14"/>
        </w:rPr>
        <w:tab/>
      </w:r>
      <w:r w:rsidR="009825F0" w:rsidRPr="009825F0">
        <w:rPr>
          <w:rFonts w:ascii="Arial" w:hAnsi="Arial"/>
          <w:sz w:val="14"/>
          <w:szCs w:val="14"/>
        </w:rPr>
        <w:t>Section 74 external revenues contribution to expenditure.</w:t>
      </w:r>
      <w:r w:rsidR="009825F0" w:rsidRPr="009825F0">
        <w:rPr>
          <w:rFonts w:ascii="Arial" w:hAnsi="Arial"/>
          <w:sz w:val="14"/>
          <w:szCs w:val="14"/>
        </w:rPr>
        <w:tab/>
      </w:r>
      <w:r w:rsidR="009825F0" w:rsidRPr="009825F0">
        <w:rPr>
          <w:rFonts w:ascii="Arial" w:hAnsi="Arial"/>
          <w:sz w:val="14"/>
          <w:szCs w:val="14"/>
        </w:rPr>
        <w:tab/>
      </w:r>
      <w:r w:rsidR="009825F0" w:rsidRPr="009825F0">
        <w:rPr>
          <w:rFonts w:ascii="Arial" w:hAnsi="Arial"/>
          <w:sz w:val="14"/>
          <w:szCs w:val="14"/>
        </w:rPr>
        <w:tab/>
      </w:r>
      <w:r w:rsidR="009825F0" w:rsidRPr="009825F0">
        <w:rPr>
          <w:rFonts w:ascii="Arial" w:hAnsi="Arial"/>
          <w:sz w:val="14"/>
          <w:szCs w:val="14"/>
        </w:rPr>
        <w:tab/>
      </w:r>
      <w:r w:rsidR="009825F0" w:rsidRPr="009825F0">
        <w:rPr>
          <w:rFonts w:ascii="Arial" w:hAnsi="Arial"/>
          <w:sz w:val="14"/>
          <w:szCs w:val="14"/>
        </w:rPr>
        <w:tab/>
      </w:r>
    </w:p>
    <w:p w14:paraId="2CE15799" w14:textId="5B3D743D" w:rsidR="009825F0" w:rsidRPr="009825F0" w:rsidRDefault="009825F0" w:rsidP="009825F0">
      <w:pPr>
        <w:spacing w:before="0" w:after="0"/>
        <w:ind w:left="284" w:hanging="284"/>
        <w:rPr>
          <w:rFonts w:ascii="Arial" w:hAnsi="Arial"/>
          <w:sz w:val="14"/>
          <w:szCs w:val="14"/>
        </w:rPr>
      </w:pPr>
      <w:r>
        <w:rPr>
          <w:rFonts w:ascii="Arial" w:hAnsi="Arial"/>
          <w:sz w:val="14"/>
          <w:szCs w:val="14"/>
        </w:rPr>
        <w:t>b.</w:t>
      </w:r>
      <w:r>
        <w:rPr>
          <w:rFonts w:ascii="Arial" w:hAnsi="Arial"/>
          <w:sz w:val="14"/>
          <w:szCs w:val="14"/>
        </w:rPr>
        <w:tab/>
      </w:r>
      <w:r w:rsidRPr="009825F0">
        <w:rPr>
          <w:rFonts w:ascii="Arial" w:hAnsi="Arial"/>
          <w:sz w:val="14"/>
          <w:szCs w:val="14"/>
        </w:rPr>
        <w:t>Expenses not requiring appropriation include depreciation, write down and impairment of assets, other resources received free of charge, and auditor fees.</w:t>
      </w:r>
      <w:r w:rsidRPr="009825F0">
        <w:rPr>
          <w:rFonts w:ascii="Arial" w:hAnsi="Arial"/>
          <w:sz w:val="14"/>
          <w:szCs w:val="14"/>
        </w:rPr>
        <w:tab/>
      </w:r>
      <w:r w:rsidRPr="009825F0">
        <w:rPr>
          <w:rFonts w:ascii="Arial" w:hAnsi="Arial"/>
          <w:sz w:val="14"/>
          <w:szCs w:val="14"/>
        </w:rPr>
        <w:tab/>
      </w:r>
      <w:r w:rsidRPr="009825F0">
        <w:rPr>
          <w:rFonts w:ascii="Arial" w:hAnsi="Arial"/>
          <w:sz w:val="14"/>
          <w:szCs w:val="14"/>
        </w:rPr>
        <w:tab/>
      </w:r>
      <w:r w:rsidRPr="009825F0">
        <w:rPr>
          <w:rFonts w:ascii="Arial" w:hAnsi="Arial"/>
          <w:sz w:val="14"/>
          <w:szCs w:val="14"/>
        </w:rPr>
        <w:tab/>
      </w:r>
      <w:r w:rsidRPr="009825F0">
        <w:rPr>
          <w:rFonts w:ascii="Arial" w:hAnsi="Arial"/>
          <w:sz w:val="14"/>
          <w:szCs w:val="14"/>
        </w:rPr>
        <w:tab/>
      </w:r>
    </w:p>
    <w:p w14:paraId="71F503AE" w14:textId="28B83BEE" w:rsidR="00194C8A" w:rsidRPr="00573367" w:rsidRDefault="009825F0" w:rsidP="009825F0">
      <w:pPr>
        <w:spacing w:before="0" w:after="0"/>
        <w:ind w:left="284" w:hanging="284"/>
        <w:rPr>
          <w:rFonts w:ascii="Arial" w:hAnsi="Arial"/>
          <w:sz w:val="14"/>
          <w:szCs w:val="14"/>
        </w:rPr>
      </w:pPr>
      <w:r>
        <w:rPr>
          <w:rFonts w:ascii="Arial" w:hAnsi="Arial"/>
          <w:sz w:val="14"/>
          <w:szCs w:val="14"/>
        </w:rPr>
        <w:t>c.</w:t>
      </w:r>
      <w:r>
        <w:rPr>
          <w:rFonts w:ascii="Arial" w:hAnsi="Arial"/>
          <w:sz w:val="14"/>
          <w:szCs w:val="14"/>
        </w:rPr>
        <w:tab/>
      </w:r>
      <w:r w:rsidRPr="009825F0">
        <w:rPr>
          <w:rFonts w:ascii="Arial" w:hAnsi="Arial"/>
          <w:sz w:val="14"/>
          <w:szCs w:val="14"/>
        </w:rPr>
        <w:t>Total Program funded expenditure includes operating expenses and capital expenditure funded by Appropriation and own source revenue. This excludes expenses not requiring appropriation.</w:t>
      </w:r>
      <w:r w:rsidRPr="009825F0">
        <w:rPr>
          <w:rFonts w:ascii="Arial" w:hAnsi="Arial"/>
          <w:sz w:val="14"/>
          <w:szCs w:val="14"/>
        </w:rPr>
        <w:tab/>
      </w:r>
      <w:r w:rsidRPr="009825F0">
        <w:rPr>
          <w:rFonts w:ascii="Arial" w:hAnsi="Arial"/>
          <w:sz w:val="14"/>
          <w:szCs w:val="14"/>
        </w:rPr>
        <w:tab/>
      </w:r>
      <w:r w:rsidRPr="009825F0">
        <w:rPr>
          <w:rFonts w:ascii="Arial" w:hAnsi="Arial"/>
          <w:sz w:val="14"/>
          <w:szCs w:val="14"/>
        </w:rPr>
        <w:tab/>
      </w:r>
      <w:r w:rsidRPr="009825F0">
        <w:rPr>
          <w:rFonts w:ascii="Arial" w:hAnsi="Arial"/>
          <w:sz w:val="14"/>
          <w:szCs w:val="14"/>
        </w:rPr>
        <w:tab/>
      </w:r>
      <w:r w:rsidRPr="009825F0">
        <w:rPr>
          <w:rFonts w:ascii="Arial" w:hAnsi="Arial"/>
          <w:sz w:val="14"/>
          <w:szCs w:val="14"/>
        </w:rPr>
        <w:tab/>
      </w:r>
    </w:p>
    <w:p w14:paraId="5F9B2085" w14:textId="77777777" w:rsidR="00573367" w:rsidRDefault="00573367" w:rsidP="00573367">
      <w:pPr>
        <w:spacing w:before="0" w:after="0"/>
        <w:ind w:left="284" w:hanging="284"/>
        <w:rPr>
          <w:rFonts w:ascii="Arial" w:hAnsi="Arial"/>
          <w:sz w:val="14"/>
          <w:szCs w:val="14"/>
        </w:rPr>
      </w:pPr>
    </w:p>
    <w:p w14:paraId="5D3B8753" w14:textId="77777777" w:rsidR="00573367" w:rsidRPr="00573367" w:rsidRDefault="00573367" w:rsidP="00573367">
      <w:pPr>
        <w:spacing w:before="0" w:after="0"/>
        <w:ind w:left="284" w:hanging="284"/>
        <w:rPr>
          <w:rFonts w:ascii="Arial" w:hAnsi="Arial"/>
          <w:sz w:val="14"/>
          <w:szCs w:val="14"/>
        </w:rPr>
      </w:pPr>
    </w:p>
    <w:p w14:paraId="4FC36267" w14:textId="77777777" w:rsidR="004B73E8" w:rsidRPr="00511083" w:rsidRDefault="004B73E8" w:rsidP="00D9100A">
      <w:pPr>
        <w:pStyle w:val="TableHeading"/>
        <w:numPr>
          <w:ilvl w:val="0"/>
          <w:numId w:val="34"/>
        </w:numPr>
        <w:spacing w:before="0"/>
        <w:ind w:left="0" w:firstLine="0"/>
        <w:outlineLvl w:val="5"/>
      </w:pPr>
      <w:r w:rsidRPr="00B56FAA">
        <w:rPr>
          <w:lang w:val="en-AU"/>
        </w:rPr>
        <w:br w:type="page"/>
      </w:r>
      <w:r w:rsidRPr="00511083">
        <w:lastRenderedPageBreak/>
        <w:t>Performance Measures for Outcome 1</w:t>
      </w:r>
    </w:p>
    <w:p w14:paraId="15A2EECD" w14:textId="61E1E894" w:rsidR="004B73E8" w:rsidRPr="00A92402" w:rsidRDefault="004B73E8" w:rsidP="004B73E8">
      <w:pPr>
        <w:spacing w:before="120" w:after="120"/>
      </w:pPr>
      <w:r w:rsidRPr="00A92402">
        <w:t>Table 4 details the performance</w:t>
      </w:r>
      <w:r w:rsidR="00D23F3B">
        <w:t xml:space="preserve"> objectives and</w:t>
      </w:r>
      <w:r w:rsidRPr="00A92402">
        <w:t xml:space="preserve"> measures for each program associated with Outcome 1. It also provides the related key activities as expressed in the current corporate plan where further detail is provided about the delivery of the activities related to the program, the context in which these activities are delivered and how the performance of these activities will be measured.</w:t>
      </w:r>
      <w:r w:rsidR="00A92402" w:rsidRPr="00A92402">
        <w:t xml:space="preserve"> Where relevant, details of 2025</w:t>
      </w:r>
      <w:r w:rsidRPr="00A92402">
        <w:t>-2</w:t>
      </w:r>
      <w:r w:rsidR="00A92402" w:rsidRPr="00A92402">
        <w:t>6</w:t>
      </w:r>
      <w:r w:rsidRPr="00A92402">
        <w:t xml:space="preserve"> Budget Measures that have created new programs or materially changed existing programs are provided.</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207"/>
        <w:gridCol w:w="3653"/>
      </w:tblGrid>
      <w:tr w:rsidR="004B73E8" w:rsidRPr="00194C8A" w14:paraId="431A68DB" w14:textId="77777777" w:rsidTr="00A92402">
        <w:trPr>
          <w:trHeight w:val="569"/>
        </w:trPr>
        <w:tc>
          <w:tcPr>
            <w:tcW w:w="8608" w:type="dxa"/>
            <w:gridSpan w:val="3"/>
            <w:shd w:val="clear" w:color="auto" w:fill="CCCCCC"/>
          </w:tcPr>
          <w:p w14:paraId="26AFD8BC" w14:textId="77777777" w:rsidR="004B73E8" w:rsidRPr="00A92402" w:rsidRDefault="004B73E8" w:rsidP="00794709">
            <w:pPr>
              <w:spacing w:before="60" w:after="60"/>
              <w:rPr>
                <w:rFonts w:ascii="Arial" w:hAnsi="Arial"/>
                <w:b/>
                <w:sz w:val="16"/>
                <w:szCs w:val="16"/>
              </w:rPr>
            </w:pPr>
            <w:r w:rsidRPr="00A92402">
              <w:rPr>
                <w:rFonts w:ascii="Arial" w:hAnsi="Arial"/>
                <w:b/>
                <w:sz w:val="16"/>
                <w:szCs w:val="16"/>
              </w:rPr>
              <w:t>Outcome 1 – Defend Australia from global threats and advance our national interests through the provision of foreign signals intelligence, cyber security and offensive cyber operations, as directed by Government.</w:t>
            </w:r>
          </w:p>
        </w:tc>
      </w:tr>
      <w:tr w:rsidR="004B73E8" w:rsidRPr="00194C8A" w14:paraId="4A6D10B3" w14:textId="77777777" w:rsidTr="00A92402">
        <w:trPr>
          <w:trHeight w:val="522"/>
        </w:trPr>
        <w:tc>
          <w:tcPr>
            <w:tcW w:w="8608" w:type="dxa"/>
            <w:gridSpan w:val="3"/>
            <w:shd w:val="clear" w:color="auto" w:fill="E6E6E6"/>
          </w:tcPr>
          <w:p w14:paraId="67357B1D" w14:textId="77777777" w:rsidR="004B73E8" w:rsidRPr="00A92402" w:rsidRDefault="004B73E8" w:rsidP="00794709">
            <w:pPr>
              <w:tabs>
                <w:tab w:val="left" w:pos="709"/>
              </w:tabs>
              <w:spacing w:before="60" w:after="0"/>
              <w:rPr>
                <w:rFonts w:ascii="Arial" w:hAnsi="Arial"/>
                <w:sz w:val="16"/>
                <w:szCs w:val="16"/>
              </w:rPr>
            </w:pPr>
            <w:r w:rsidRPr="00A92402">
              <w:rPr>
                <w:rFonts w:ascii="Arial" w:hAnsi="Arial"/>
                <w:b/>
                <w:sz w:val="16"/>
                <w:szCs w:val="16"/>
              </w:rPr>
              <w:t>Program 1.1-</w:t>
            </w:r>
            <w:r w:rsidRPr="00A92402">
              <w:rPr>
                <w:rFonts w:ascii="Arial" w:hAnsi="Arial"/>
                <w:sz w:val="16"/>
                <w:szCs w:val="16"/>
              </w:rPr>
              <w:t xml:space="preserve"> </w:t>
            </w:r>
            <w:r w:rsidRPr="00A92402">
              <w:rPr>
                <w:rFonts w:ascii="Arial" w:eastAsia="Arial" w:hAnsi="Arial"/>
                <w:b/>
                <w:sz w:val="16"/>
                <w:szCs w:val="16"/>
              </w:rPr>
              <w:t>Foreign Signals Intelligence, Cyber Security and Offensive Cyber Operations</w:t>
            </w:r>
          </w:p>
          <w:p w14:paraId="09C0F469" w14:textId="77777777" w:rsidR="004B73E8" w:rsidRPr="00A92402" w:rsidRDefault="004B73E8" w:rsidP="00794709">
            <w:pPr>
              <w:tabs>
                <w:tab w:val="left" w:pos="709"/>
              </w:tabs>
              <w:spacing w:before="60" w:after="60"/>
              <w:rPr>
                <w:rFonts w:ascii="Arial" w:hAnsi="Arial"/>
                <w:sz w:val="16"/>
                <w:szCs w:val="16"/>
              </w:rPr>
            </w:pPr>
            <w:r w:rsidRPr="00A92402">
              <w:rPr>
                <w:rFonts w:ascii="Arial" w:hAnsi="Arial"/>
                <w:sz w:val="16"/>
                <w:szCs w:val="16"/>
              </w:rPr>
              <w:t>To defend Australia from global threats and advance our national interests through the provision of foreign signals intelligence, cyber security and offensive cyber operations, as directed by Government.</w:t>
            </w:r>
          </w:p>
        </w:tc>
      </w:tr>
      <w:tr w:rsidR="004B73E8" w:rsidRPr="00194C8A" w14:paraId="0C3DB1DB" w14:textId="77777777" w:rsidTr="00A92402">
        <w:trPr>
          <w:trHeight w:val="694"/>
        </w:trPr>
        <w:tc>
          <w:tcPr>
            <w:tcW w:w="1748" w:type="dxa"/>
            <w:tcBorders>
              <w:bottom w:val="double" w:sz="4" w:space="0" w:color="auto"/>
            </w:tcBorders>
          </w:tcPr>
          <w:p w14:paraId="5526717A" w14:textId="77777777" w:rsidR="004B73E8" w:rsidRPr="00A92402" w:rsidRDefault="004B73E8" w:rsidP="00794709">
            <w:pPr>
              <w:tabs>
                <w:tab w:val="left" w:pos="709"/>
              </w:tabs>
              <w:spacing w:before="60" w:after="60"/>
              <w:rPr>
                <w:rFonts w:ascii="Arial" w:hAnsi="Arial"/>
                <w:b/>
                <w:sz w:val="16"/>
                <w:szCs w:val="16"/>
              </w:rPr>
            </w:pPr>
            <w:r w:rsidRPr="00A92402">
              <w:rPr>
                <w:rFonts w:ascii="Arial" w:hAnsi="Arial"/>
                <w:b/>
                <w:sz w:val="16"/>
                <w:szCs w:val="16"/>
              </w:rPr>
              <w:t>Key Activities</w:t>
            </w:r>
          </w:p>
        </w:tc>
        <w:tc>
          <w:tcPr>
            <w:tcW w:w="6860" w:type="dxa"/>
            <w:gridSpan w:val="2"/>
            <w:tcBorders>
              <w:bottom w:val="double" w:sz="4" w:space="0" w:color="auto"/>
            </w:tcBorders>
          </w:tcPr>
          <w:p w14:paraId="3EDC35FA" w14:textId="77777777" w:rsidR="004B73E8" w:rsidRPr="00A92402" w:rsidRDefault="004B73E8" w:rsidP="00444A89">
            <w:pPr>
              <w:numPr>
                <w:ilvl w:val="0"/>
                <w:numId w:val="62"/>
              </w:numPr>
              <w:tabs>
                <w:tab w:val="left" w:pos="709"/>
              </w:tabs>
              <w:spacing w:before="0" w:after="0"/>
              <w:ind w:left="714" w:hanging="357"/>
              <w:rPr>
                <w:rFonts w:ascii="Arial" w:hAnsi="Arial"/>
                <w:bCs/>
                <w:i/>
                <w:sz w:val="16"/>
                <w:szCs w:val="16"/>
              </w:rPr>
            </w:pPr>
            <w:r w:rsidRPr="00A92402">
              <w:rPr>
                <w:rFonts w:ascii="Arial" w:hAnsi="Arial"/>
                <w:bCs/>
                <w:sz w:val="16"/>
                <w:szCs w:val="16"/>
              </w:rPr>
              <w:t>Provide foreign signals intelligence.</w:t>
            </w:r>
          </w:p>
          <w:p w14:paraId="210F9DCD" w14:textId="77777777" w:rsidR="004B73E8" w:rsidRPr="00A92402" w:rsidRDefault="004B73E8" w:rsidP="00444A89">
            <w:pPr>
              <w:numPr>
                <w:ilvl w:val="0"/>
                <w:numId w:val="62"/>
              </w:numPr>
              <w:tabs>
                <w:tab w:val="left" w:pos="709"/>
              </w:tabs>
              <w:spacing w:before="0" w:after="0"/>
              <w:ind w:left="714" w:hanging="357"/>
              <w:rPr>
                <w:rFonts w:ascii="Arial" w:hAnsi="Arial"/>
                <w:bCs/>
                <w:i/>
                <w:sz w:val="16"/>
                <w:szCs w:val="16"/>
              </w:rPr>
            </w:pPr>
            <w:r w:rsidRPr="00A92402">
              <w:rPr>
                <w:rFonts w:ascii="Arial" w:hAnsi="Arial"/>
                <w:bCs/>
                <w:sz w:val="16"/>
                <w:szCs w:val="16"/>
              </w:rPr>
              <w:t>Provide cyber security services.</w:t>
            </w:r>
          </w:p>
          <w:p w14:paraId="6F257D1D" w14:textId="77777777" w:rsidR="004B73E8" w:rsidRPr="00A92402" w:rsidRDefault="004B73E8" w:rsidP="00444A89">
            <w:pPr>
              <w:numPr>
                <w:ilvl w:val="0"/>
                <w:numId w:val="62"/>
              </w:numPr>
              <w:tabs>
                <w:tab w:val="left" w:pos="709"/>
              </w:tabs>
              <w:spacing w:before="0" w:after="0"/>
              <w:ind w:left="714" w:hanging="357"/>
              <w:rPr>
                <w:rFonts w:ascii="Arial" w:hAnsi="Arial"/>
                <w:bCs/>
                <w:i/>
                <w:sz w:val="16"/>
                <w:szCs w:val="16"/>
              </w:rPr>
            </w:pPr>
            <w:r w:rsidRPr="00A92402">
              <w:rPr>
                <w:rFonts w:ascii="Arial" w:hAnsi="Arial"/>
                <w:bCs/>
                <w:sz w:val="16"/>
                <w:szCs w:val="16"/>
              </w:rPr>
              <w:t>Conduct offensive cyber operations.</w:t>
            </w:r>
          </w:p>
        </w:tc>
      </w:tr>
      <w:tr w:rsidR="004B73E8" w:rsidRPr="00A92402" w14:paraId="4BEC7B0C" w14:textId="77777777" w:rsidTr="00A92402">
        <w:trPr>
          <w:trHeight w:val="100"/>
        </w:trPr>
        <w:tc>
          <w:tcPr>
            <w:tcW w:w="1748" w:type="dxa"/>
            <w:tcBorders>
              <w:top w:val="single" w:sz="4" w:space="0" w:color="auto"/>
              <w:bottom w:val="single" w:sz="4" w:space="0" w:color="auto"/>
              <w:right w:val="single" w:sz="4" w:space="0" w:color="auto"/>
            </w:tcBorders>
          </w:tcPr>
          <w:p w14:paraId="35DCDCD3" w14:textId="77777777" w:rsidR="004B73E8" w:rsidRPr="00A92402" w:rsidRDefault="004B73E8" w:rsidP="00794709">
            <w:pPr>
              <w:tabs>
                <w:tab w:val="left" w:pos="709"/>
              </w:tabs>
              <w:spacing w:before="60" w:after="60"/>
              <w:rPr>
                <w:rFonts w:ascii="Arial" w:hAnsi="Arial"/>
                <w:sz w:val="16"/>
                <w:szCs w:val="16"/>
              </w:rPr>
            </w:pPr>
            <w:r w:rsidRPr="00A92402">
              <w:rPr>
                <w:rFonts w:ascii="Arial" w:hAnsi="Arial"/>
                <w:b/>
                <w:sz w:val="16"/>
                <w:szCs w:val="16"/>
              </w:rPr>
              <w:t>Year</w:t>
            </w:r>
          </w:p>
        </w:tc>
        <w:tc>
          <w:tcPr>
            <w:tcW w:w="3207" w:type="dxa"/>
            <w:tcBorders>
              <w:top w:val="single" w:sz="4" w:space="0" w:color="auto"/>
              <w:left w:val="single" w:sz="4" w:space="0" w:color="auto"/>
              <w:bottom w:val="single" w:sz="4" w:space="0" w:color="auto"/>
              <w:right w:val="single" w:sz="4" w:space="0" w:color="auto"/>
            </w:tcBorders>
          </w:tcPr>
          <w:p w14:paraId="75106251" w14:textId="0D3FA43E" w:rsidR="004B73E8" w:rsidRPr="00A92402" w:rsidRDefault="004B73E8" w:rsidP="00D23F3B">
            <w:pPr>
              <w:tabs>
                <w:tab w:val="left" w:pos="709"/>
              </w:tabs>
              <w:spacing w:before="60" w:after="60"/>
              <w:rPr>
                <w:rFonts w:ascii="Arial" w:hAnsi="Arial"/>
                <w:sz w:val="16"/>
                <w:szCs w:val="16"/>
              </w:rPr>
            </w:pPr>
            <w:r w:rsidRPr="00A92402">
              <w:rPr>
                <w:rFonts w:ascii="Arial" w:hAnsi="Arial"/>
                <w:b/>
                <w:sz w:val="16"/>
                <w:szCs w:val="16"/>
              </w:rPr>
              <w:t xml:space="preserve">Performance </w:t>
            </w:r>
            <w:r w:rsidR="00D23F3B">
              <w:rPr>
                <w:rFonts w:ascii="Arial" w:hAnsi="Arial"/>
                <w:b/>
                <w:sz w:val="16"/>
                <w:szCs w:val="16"/>
              </w:rPr>
              <w:t>Objectives</w:t>
            </w:r>
          </w:p>
        </w:tc>
        <w:tc>
          <w:tcPr>
            <w:tcW w:w="3653" w:type="dxa"/>
            <w:tcBorders>
              <w:top w:val="single" w:sz="4" w:space="0" w:color="auto"/>
              <w:left w:val="single" w:sz="4" w:space="0" w:color="auto"/>
              <w:bottom w:val="single" w:sz="4" w:space="0" w:color="auto"/>
            </w:tcBorders>
          </w:tcPr>
          <w:p w14:paraId="1098AB33" w14:textId="77777777" w:rsidR="004B73E8" w:rsidRPr="00A92402" w:rsidRDefault="004B73E8" w:rsidP="00794709">
            <w:pPr>
              <w:tabs>
                <w:tab w:val="left" w:pos="709"/>
              </w:tabs>
              <w:spacing w:before="60" w:after="60"/>
              <w:rPr>
                <w:rFonts w:ascii="Arial" w:hAnsi="Arial"/>
                <w:sz w:val="16"/>
                <w:szCs w:val="16"/>
              </w:rPr>
            </w:pPr>
            <w:r w:rsidRPr="00A92402">
              <w:rPr>
                <w:rFonts w:ascii="Arial" w:hAnsi="Arial"/>
                <w:b/>
                <w:sz w:val="16"/>
                <w:szCs w:val="16"/>
              </w:rPr>
              <w:t>Expected Performance Results</w:t>
            </w:r>
          </w:p>
        </w:tc>
      </w:tr>
      <w:tr w:rsidR="00A92402" w:rsidRPr="00A92402" w14:paraId="4C80FFAF" w14:textId="77777777" w:rsidTr="00A92402">
        <w:trPr>
          <w:trHeight w:val="576"/>
        </w:trPr>
        <w:tc>
          <w:tcPr>
            <w:tcW w:w="1748" w:type="dxa"/>
            <w:vMerge w:val="restart"/>
            <w:tcBorders>
              <w:top w:val="single" w:sz="4" w:space="0" w:color="auto"/>
              <w:right w:val="single" w:sz="4" w:space="0" w:color="auto"/>
            </w:tcBorders>
          </w:tcPr>
          <w:p w14:paraId="4A396C0D" w14:textId="77777777" w:rsidR="00A92402" w:rsidRPr="00A92402" w:rsidRDefault="00A92402" w:rsidP="00A92402">
            <w:pPr>
              <w:tabs>
                <w:tab w:val="left" w:pos="709"/>
              </w:tabs>
              <w:spacing w:before="60" w:after="60"/>
              <w:rPr>
                <w:rFonts w:ascii="Arial" w:hAnsi="Arial"/>
                <w:sz w:val="16"/>
                <w:szCs w:val="16"/>
              </w:rPr>
            </w:pPr>
            <w:r w:rsidRPr="00A92402">
              <w:rPr>
                <w:rFonts w:ascii="Arial" w:hAnsi="Arial"/>
                <w:sz w:val="16"/>
                <w:szCs w:val="16"/>
              </w:rPr>
              <w:t>Current Year</w:t>
            </w:r>
          </w:p>
          <w:p w14:paraId="17F30FC2" w14:textId="77777777" w:rsidR="00A92402" w:rsidRPr="00A92402" w:rsidRDefault="00A92402" w:rsidP="00A92402">
            <w:pPr>
              <w:tabs>
                <w:tab w:val="left" w:pos="709"/>
              </w:tabs>
              <w:spacing w:before="60" w:after="60"/>
              <w:rPr>
                <w:rFonts w:ascii="Arial" w:hAnsi="Arial"/>
                <w:sz w:val="16"/>
                <w:szCs w:val="16"/>
              </w:rPr>
            </w:pPr>
            <w:r w:rsidRPr="00A92402">
              <w:rPr>
                <w:rFonts w:ascii="Arial" w:hAnsi="Arial"/>
                <w:sz w:val="16"/>
                <w:szCs w:val="16"/>
              </w:rPr>
              <w:t>2024</w:t>
            </w:r>
            <w:r w:rsidRPr="00A92402">
              <w:rPr>
                <w:rFonts w:ascii="Arial" w:hAnsi="Arial"/>
                <w:sz w:val="16"/>
                <w:szCs w:val="16"/>
              </w:rPr>
              <w:noBreakHyphen/>
              <w:t>25</w:t>
            </w:r>
          </w:p>
        </w:tc>
        <w:tc>
          <w:tcPr>
            <w:tcW w:w="3207" w:type="dxa"/>
            <w:vMerge w:val="restart"/>
            <w:tcBorders>
              <w:top w:val="single" w:sz="4" w:space="0" w:color="auto"/>
              <w:left w:val="single" w:sz="4" w:space="0" w:color="auto"/>
              <w:right w:val="single" w:sz="4" w:space="0" w:color="auto"/>
            </w:tcBorders>
          </w:tcPr>
          <w:p w14:paraId="62B04191" w14:textId="418CABB0" w:rsidR="00A92402" w:rsidRPr="00A92402" w:rsidRDefault="00A92402" w:rsidP="00A92402">
            <w:pPr>
              <w:tabs>
                <w:tab w:val="left" w:pos="709"/>
              </w:tabs>
              <w:spacing w:before="60" w:after="60"/>
              <w:rPr>
                <w:rFonts w:ascii="Arial" w:hAnsi="Arial"/>
                <w:sz w:val="16"/>
                <w:szCs w:val="16"/>
              </w:rPr>
            </w:pPr>
            <w:r w:rsidRPr="00B5288C">
              <w:rPr>
                <w:rFonts w:ascii="Arial" w:hAnsi="Arial"/>
                <w:sz w:val="16"/>
                <w:szCs w:val="16"/>
              </w:rPr>
              <w:t>ASD’s foreign signals intelligence meets Government expectations to deliver strategic advantage and enables National Intelligence Community operations.</w:t>
            </w:r>
          </w:p>
        </w:tc>
        <w:tc>
          <w:tcPr>
            <w:tcW w:w="3653" w:type="dxa"/>
            <w:tcBorders>
              <w:top w:val="single" w:sz="4" w:space="0" w:color="auto"/>
              <w:left w:val="single" w:sz="4" w:space="0" w:color="auto"/>
              <w:bottom w:val="single" w:sz="4" w:space="0" w:color="auto"/>
            </w:tcBorders>
          </w:tcPr>
          <w:p w14:paraId="0E33011E" w14:textId="77777777" w:rsidR="00A92402" w:rsidRPr="00B5288C" w:rsidRDefault="00A92402" w:rsidP="00A92402">
            <w:pPr>
              <w:tabs>
                <w:tab w:val="left" w:pos="709"/>
              </w:tabs>
              <w:spacing w:before="0" w:after="0"/>
              <w:rPr>
                <w:rFonts w:ascii="Arial" w:eastAsia="Arial" w:hAnsi="Arial"/>
                <w:sz w:val="16"/>
                <w:szCs w:val="16"/>
              </w:rPr>
            </w:pPr>
            <w:r w:rsidRPr="00B5288C">
              <w:rPr>
                <w:rFonts w:ascii="Arial" w:eastAsia="Arial" w:hAnsi="Arial"/>
                <w:sz w:val="16"/>
                <w:szCs w:val="16"/>
              </w:rPr>
              <w:t>Government expectations to deliver strategic advantage are met.</w:t>
            </w:r>
          </w:p>
          <w:p w14:paraId="37EAF9E1" w14:textId="55BE99CA" w:rsidR="00A92402" w:rsidRPr="00A92402" w:rsidRDefault="00A92402" w:rsidP="00A92402">
            <w:pPr>
              <w:tabs>
                <w:tab w:val="left" w:pos="709"/>
              </w:tabs>
              <w:spacing w:before="60" w:after="60"/>
              <w:jc w:val="right"/>
              <w:rPr>
                <w:rFonts w:ascii="Arial" w:hAnsi="Arial"/>
                <w:sz w:val="16"/>
                <w:szCs w:val="16"/>
              </w:rPr>
            </w:pPr>
            <w:r w:rsidRPr="00B5288C">
              <w:rPr>
                <w:rFonts w:ascii="Arial" w:eastAsia="Arial" w:hAnsi="Arial"/>
                <w:i/>
                <w:sz w:val="16"/>
                <w:szCs w:val="16"/>
              </w:rPr>
              <w:t>Expected to be met.</w:t>
            </w:r>
          </w:p>
        </w:tc>
      </w:tr>
      <w:tr w:rsidR="00A92402" w:rsidRPr="00A92402" w14:paraId="797BB0A0" w14:textId="77777777" w:rsidTr="00A92402">
        <w:trPr>
          <w:trHeight w:val="421"/>
        </w:trPr>
        <w:tc>
          <w:tcPr>
            <w:tcW w:w="1748" w:type="dxa"/>
            <w:vMerge/>
            <w:tcBorders>
              <w:right w:val="single" w:sz="4" w:space="0" w:color="auto"/>
            </w:tcBorders>
          </w:tcPr>
          <w:p w14:paraId="0BDDB957" w14:textId="77777777" w:rsidR="00A92402" w:rsidRPr="00A92402" w:rsidRDefault="00A92402" w:rsidP="00A92402">
            <w:pPr>
              <w:tabs>
                <w:tab w:val="left" w:pos="709"/>
              </w:tabs>
              <w:spacing w:before="60" w:after="60"/>
              <w:rPr>
                <w:rFonts w:ascii="Arial" w:hAnsi="Arial"/>
                <w:sz w:val="16"/>
                <w:szCs w:val="16"/>
              </w:rPr>
            </w:pPr>
          </w:p>
        </w:tc>
        <w:tc>
          <w:tcPr>
            <w:tcW w:w="3207" w:type="dxa"/>
            <w:vMerge/>
            <w:tcBorders>
              <w:left w:val="single" w:sz="4" w:space="0" w:color="auto"/>
              <w:bottom w:val="single" w:sz="4" w:space="0" w:color="auto"/>
              <w:right w:val="single" w:sz="4" w:space="0" w:color="auto"/>
            </w:tcBorders>
          </w:tcPr>
          <w:p w14:paraId="541BED23" w14:textId="77777777" w:rsidR="00A92402" w:rsidRPr="00A92402" w:rsidRDefault="00A92402" w:rsidP="00A92402">
            <w:pPr>
              <w:tabs>
                <w:tab w:val="left" w:pos="709"/>
              </w:tabs>
              <w:spacing w:before="60" w:after="60"/>
              <w:rPr>
                <w:rFonts w:ascii="Arial" w:hAnsi="Arial"/>
                <w:sz w:val="16"/>
                <w:szCs w:val="16"/>
              </w:rPr>
            </w:pPr>
          </w:p>
        </w:tc>
        <w:tc>
          <w:tcPr>
            <w:tcW w:w="3653" w:type="dxa"/>
            <w:tcBorders>
              <w:top w:val="single" w:sz="4" w:space="0" w:color="auto"/>
              <w:left w:val="single" w:sz="4" w:space="0" w:color="auto"/>
              <w:bottom w:val="single" w:sz="4" w:space="0" w:color="auto"/>
            </w:tcBorders>
          </w:tcPr>
          <w:p w14:paraId="11287E0E" w14:textId="77777777" w:rsidR="00A92402" w:rsidRPr="00B5288C" w:rsidRDefault="00A92402" w:rsidP="00A92402">
            <w:pPr>
              <w:tabs>
                <w:tab w:val="left" w:pos="709"/>
              </w:tabs>
              <w:spacing w:before="0" w:after="0"/>
              <w:rPr>
                <w:rFonts w:ascii="Arial" w:eastAsia="Arial" w:hAnsi="Arial"/>
                <w:sz w:val="16"/>
                <w:szCs w:val="16"/>
              </w:rPr>
            </w:pPr>
            <w:r w:rsidRPr="00B5288C">
              <w:rPr>
                <w:rFonts w:ascii="Arial" w:eastAsia="Arial" w:hAnsi="Arial"/>
                <w:sz w:val="16"/>
                <w:szCs w:val="16"/>
              </w:rPr>
              <w:t>National Intelligence Community operational requirements are met.</w:t>
            </w:r>
          </w:p>
          <w:p w14:paraId="1A02D395" w14:textId="597894A9" w:rsidR="00A92402" w:rsidRPr="00A92402" w:rsidDel="006704D8" w:rsidRDefault="00A92402" w:rsidP="00A92402">
            <w:pPr>
              <w:tabs>
                <w:tab w:val="left" w:pos="709"/>
              </w:tabs>
              <w:spacing w:before="60" w:after="60"/>
              <w:jc w:val="right"/>
              <w:rPr>
                <w:rFonts w:ascii="Arial" w:hAnsi="Arial"/>
                <w:sz w:val="16"/>
                <w:szCs w:val="16"/>
              </w:rPr>
            </w:pPr>
            <w:r w:rsidRPr="00B5288C">
              <w:rPr>
                <w:rFonts w:ascii="Arial" w:eastAsia="Arial" w:hAnsi="Arial"/>
                <w:i/>
                <w:sz w:val="16"/>
                <w:szCs w:val="16"/>
              </w:rPr>
              <w:t>Expected to be met.</w:t>
            </w:r>
          </w:p>
        </w:tc>
      </w:tr>
      <w:tr w:rsidR="00A92402" w:rsidRPr="00A92402" w14:paraId="5785CD2D" w14:textId="77777777" w:rsidTr="00A92402">
        <w:trPr>
          <w:trHeight w:val="871"/>
        </w:trPr>
        <w:tc>
          <w:tcPr>
            <w:tcW w:w="1748" w:type="dxa"/>
            <w:vMerge/>
            <w:tcBorders>
              <w:right w:val="single" w:sz="4" w:space="0" w:color="auto"/>
            </w:tcBorders>
          </w:tcPr>
          <w:p w14:paraId="1933DE7E" w14:textId="77777777" w:rsidR="00A92402" w:rsidRPr="00A92402" w:rsidRDefault="00A92402" w:rsidP="00A92402">
            <w:pPr>
              <w:tabs>
                <w:tab w:val="left" w:pos="709"/>
              </w:tabs>
              <w:spacing w:before="60" w:after="60"/>
              <w:rPr>
                <w:rFonts w:ascii="Arial" w:hAnsi="Arial"/>
                <w:sz w:val="16"/>
                <w:szCs w:val="16"/>
              </w:rPr>
            </w:pPr>
          </w:p>
        </w:tc>
        <w:tc>
          <w:tcPr>
            <w:tcW w:w="3207" w:type="dxa"/>
            <w:tcBorders>
              <w:top w:val="single" w:sz="4" w:space="0" w:color="auto"/>
              <w:left w:val="single" w:sz="4" w:space="0" w:color="auto"/>
              <w:bottom w:val="single" w:sz="4" w:space="0" w:color="auto"/>
              <w:right w:val="single" w:sz="4" w:space="0" w:color="auto"/>
            </w:tcBorders>
          </w:tcPr>
          <w:p w14:paraId="75EB3EB1" w14:textId="30ABA650" w:rsidR="00A92402" w:rsidRPr="00A92402" w:rsidRDefault="00A92402" w:rsidP="00A92402">
            <w:pPr>
              <w:tabs>
                <w:tab w:val="left" w:pos="709"/>
              </w:tabs>
              <w:spacing w:before="60" w:after="60"/>
              <w:rPr>
                <w:rFonts w:ascii="Arial" w:hAnsi="Arial"/>
                <w:sz w:val="16"/>
                <w:szCs w:val="16"/>
              </w:rPr>
            </w:pPr>
            <w:r w:rsidRPr="00B5288C">
              <w:rPr>
                <w:rFonts w:ascii="Arial" w:hAnsi="Arial"/>
                <w:sz w:val="16"/>
                <w:szCs w:val="16"/>
              </w:rPr>
              <w:t>ASD's foreign signals intelligence products and technical expertise provide effective support for military operations and activities.</w:t>
            </w:r>
          </w:p>
        </w:tc>
        <w:tc>
          <w:tcPr>
            <w:tcW w:w="3653" w:type="dxa"/>
            <w:tcBorders>
              <w:top w:val="single" w:sz="4" w:space="0" w:color="auto"/>
              <w:left w:val="single" w:sz="4" w:space="0" w:color="auto"/>
              <w:bottom w:val="single" w:sz="4" w:space="0" w:color="auto"/>
            </w:tcBorders>
          </w:tcPr>
          <w:p w14:paraId="52D784E0" w14:textId="77777777" w:rsidR="00A92402" w:rsidRPr="00B5288C" w:rsidRDefault="00A92402" w:rsidP="00A92402">
            <w:pPr>
              <w:tabs>
                <w:tab w:val="left" w:pos="709"/>
              </w:tabs>
              <w:spacing w:before="0" w:after="0"/>
              <w:rPr>
                <w:rFonts w:ascii="Arial" w:eastAsia="Arial" w:hAnsi="Arial"/>
                <w:sz w:val="16"/>
                <w:szCs w:val="16"/>
              </w:rPr>
            </w:pPr>
            <w:r w:rsidRPr="00B5288C">
              <w:rPr>
                <w:rFonts w:ascii="Arial" w:eastAsia="Arial" w:hAnsi="Arial"/>
                <w:sz w:val="16"/>
                <w:szCs w:val="16"/>
              </w:rPr>
              <w:t>ASD’s foreign signals intelligence support the ADF’s military operations and activities, technological advantage and capability development.</w:t>
            </w:r>
          </w:p>
          <w:p w14:paraId="5BAB5918" w14:textId="31115E18" w:rsidR="00A92402" w:rsidRPr="00A92402" w:rsidRDefault="00A92402" w:rsidP="00A92402">
            <w:pPr>
              <w:tabs>
                <w:tab w:val="left" w:pos="709"/>
              </w:tabs>
              <w:spacing w:before="60" w:after="60"/>
              <w:jc w:val="right"/>
              <w:rPr>
                <w:rFonts w:ascii="Arial" w:hAnsi="Arial"/>
                <w:sz w:val="16"/>
                <w:szCs w:val="16"/>
              </w:rPr>
            </w:pPr>
            <w:r w:rsidRPr="00B5288C">
              <w:rPr>
                <w:rFonts w:ascii="Arial" w:eastAsia="Arial" w:hAnsi="Arial"/>
                <w:i/>
                <w:sz w:val="16"/>
                <w:szCs w:val="16"/>
              </w:rPr>
              <w:t>Expected to be met.</w:t>
            </w:r>
          </w:p>
        </w:tc>
      </w:tr>
      <w:tr w:rsidR="00A92402" w:rsidRPr="00A92402" w14:paraId="4AEA5260" w14:textId="77777777" w:rsidTr="00A92402">
        <w:trPr>
          <w:trHeight w:val="319"/>
        </w:trPr>
        <w:tc>
          <w:tcPr>
            <w:tcW w:w="1748" w:type="dxa"/>
            <w:vMerge/>
            <w:tcBorders>
              <w:right w:val="single" w:sz="4" w:space="0" w:color="auto"/>
            </w:tcBorders>
          </w:tcPr>
          <w:p w14:paraId="431D20EC" w14:textId="77777777" w:rsidR="00A92402" w:rsidRPr="00A92402" w:rsidRDefault="00A92402" w:rsidP="00A92402">
            <w:pPr>
              <w:tabs>
                <w:tab w:val="left" w:pos="709"/>
              </w:tabs>
              <w:spacing w:before="60" w:after="60"/>
              <w:jc w:val="both"/>
              <w:rPr>
                <w:rFonts w:ascii="Arial" w:hAnsi="Arial"/>
                <w:sz w:val="16"/>
                <w:szCs w:val="16"/>
              </w:rPr>
            </w:pPr>
          </w:p>
        </w:tc>
        <w:tc>
          <w:tcPr>
            <w:tcW w:w="3207" w:type="dxa"/>
            <w:vMerge w:val="restart"/>
            <w:tcBorders>
              <w:top w:val="single" w:sz="4" w:space="0" w:color="auto"/>
              <w:left w:val="single" w:sz="4" w:space="0" w:color="auto"/>
              <w:right w:val="single" w:sz="4" w:space="0" w:color="auto"/>
            </w:tcBorders>
          </w:tcPr>
          <w:p w14:paraId="4F84D4F3" w14:textId="6AE55F43" w:rsidR="00A92402" w:rsidRPr="00A92402" w:rsidRDefault="00A92402" w:rsidP="00A92402">
            <w:pPr>
              <w:tabs>
                <w:tab w:val="left" w:pos="709"/>
              </w:tabs>
              <w:spacing w:before="60" w:after="60"/>
              <w:rPr>
                <w:rFonts w:ascii="Arial" w:hAnsi="Arial"/>
                <w:sz w:val="16"/>
                <w:szCs w:val="16"/>
              </w:rPr>
            </w:pPr>
            <w:r w:rsidRPr="00B5288C">
              <w:rPr>
                <w:rFonts w:ascii="Arial" w:hAnsi="Arial"/>
                <w:sz w:val="16"/>
                <w:szCs w:val="16"/>
              </w:rPr>
              <w:t>ASD provides high-quality, impactful cyber security services to Government, critical infrastructure and services, business, families and individuals.</w:t>
            </w:r>
          </w:p>
        </w:tc>
        <w:tc>
          <w:tcPr>
            <w:tcW w:w="3653" w:type="dxa"/>
            <w:tcBorders>
              <w:top w:val="single" w:sz="4" w:space="0" w:color="auto"/>
              <w:left w:val="single" w:sz="4" w:space="0" w:color="auto"/>
              <w:bottom w:val="single" w:sz="4" w:space="0" w:color="auto"/>
            </w:tcBorders>
          </w:tcPr>
          <w:p w14:paraId="5A1F2DFE" w14:textId="77777777" w:rsidR="00A92402" w:rsidRPr="00B5288C" w:rsidRDefault="00A92402" w:rsidP="00A92402">
            <w:pPr>
              <w:tabs>
                <w:tab w:val="left" w:pos="709"/>
              </w:tabs>
              <w:spacing w:before="0" w:after="0"/>
              <w:rPr>
                <w:rFonts w:ascii="Arial" w:eastAsia="Arial" w:hAnsi="Arial"/>
                <w:sz w:val="16"/>
                <w:szCs w:val="16"/>
              </w:rPr>
            </w:pPr>
            <w:r w:rsidRPr="00B5288C">
              <w:rPr>
                <w:rFonts w:ascii="Arial" w:eastAsia="Arial" w:hAnsi="Arial"/>
                <w:sz w:val="16"/>
                <w:szCs w:val="16"/>
              </w:rPr>
              <w:t>ASD’s cyber security advice and assistance supports stakeholders to improve or maintain their cyber security posture.</w:t>
            </w:r>
          </w:p>
          <w:p w14:paraId="7A55DC1E" w14:textId="79345911" w:rsidR="00A92402" w:rsidRPr="00A92402" w:rsidRDefault="00A92402" w:rsidP="00A92402">
            <w:pPr>
              <w:tabs>
                <w:tab w:val="left" w:pos="709"/>
              </w:tabs>
              <w:spacing w:before="60" w:after="60"/>
              <w:jc w:val="right"/>
              <w:rPr>
                <w:rFonts w:ascii="Arial" w:hAnsi="Arial"/>
                <w:sz w:val="16"/>
                <w:szCs w:val="16"/>
              </w:rPr>
            </w:pPr>
            <w:r w:rsidRPr="00B5288C">
              <w:rPr>
                <w:rFonts w:ascii="Arial" w:eastAsia="Arial" w:hAnsi="Arial"/>
                <w:i/>
                <w:sz w:val="16"/>
                <w:szCs w:val="16"/>
              </w:rPr>
              <w:t>Expected to be met.</w:t>
            </w:r>
          </w:p>
        </w:tc>
      </w:tr>
      <w:tr w:rsidR="00A92402" w:rsidRPr="00A92402" w14:paraId="7785AC30" w14:textId="77777777" w:rsidTr="00A92402">
        <w:trPr>
          <w:trHeight w:val="317"/>
        </w:trPr>
        <w:tc>
          <w:tcPr>
            <w:tcW w:w="1748" w:type="dxa"/>
            <w:vMerge/>
            <w:tcBorders>
              <w:right w:val="single" w:sz="4" w:space="0" w:color="auto"/>
            </w:tcBorders>
          </w:tcPr>
          <w:p w14:paraId="1A6700DF" w14:textId="77777777" w:rsidR="00A92402" w:rsidRPr="00A92402" w:rsidRDefault="00A92402" w:rsidP="00A92402">
            <w:pPr>
              <w:tabs>
                <w:tab w:val="left" w:pos="709"/>
              </w:tabs>
              <w:spacing w:before="60" w:after="60"/>
              <w:jc w:val="both"/>
              <w:rPr>
                <w:rFonts w:ascii="Arial" w:hAnsi="Arial"/>
                <w:sz w:val="16"/>
                <w:szCs w:val="16"/>
              </w:rPr>
            </w:pPr>
          </w:p>
        </w:tc>
        <w:tc>
          <w:tcPr>
            <w:tcW w:w="3207" w:type="dxa"/>
            <w:vMerge/>
            <w:tcBorders>
              <w:left w:val="single" w:sz="4" w:space="0" w:color="auto"/>
              <w:right w:val="single" w:sz="4" w:space="0" w:color="auto"/>
            </w:tcBorders>
          </w:tcPr>
          <w:p w14:paraId="7C99363D" w14:textId="77777777" w:rsidR="00A92402" w:rsidRPr="00A92402" w:rsidRDefault="00A92402" w:rsidP="00A92402">
            <w:pPr>
              <w:tabs>
                <w:tab w:val="left" w:pos="709"/>
              </w:tabs>
              <w:spacing w:before="60" w:after="60"/>
              <w:rPr>
                <w:rFonts w:ascii="Arial" w:hAnsi="Arial"/>
                <w:sz w:val="16"/>
                <w:szCs w:val="16"/>
              </w:rPr>
            </w:pPr>
          </w:p>
        </w:tc>
        <w:tc>
          <w:tcPr>
            <w:tcW w:w="3653" w:type="dxa"/>
            <w:tcBorders>
              <w:top w:val="single" w:sz="4" w:space="0" w:color="auto"/>
              <w:left w:val="single" w:sz="4" w:space="0" w:color="auto"/>
              <w:bottom w:val="single" w:sz="4" w:space="0" w:color="auto"/>
            </w:tcBorders>
          </w:tcPr>
          <w:p w14:paraId="7316520D" w14:textId="77777777" w:rsidR="00A92402" w:rsidRPr="00B5288C" w:rsidRDefault="00A92402" w:rsidP="00A92402">
            <w:pPr>
              <w:tabs>
                <w:tab w:val="left" w:pos="709"/>
              </w:tabs>
              <w:spacing w:before="0" w:after="0"/>
              <w:rPr>
                <w:rFonts w:ascii="Arial" w:eastAsia="Arial" w:hAnsi="Arial"/>
                <w:sz w:val="16"/>
                <w:szCs w:val="16"/>
              </w:rPr>
            </w:pPr>
            <w:r w:rsidRPr="00B5288C">
              <w:rPr>
                <w:rFonts w:ascii="Arial" w:eastAsia="Arial" w:hAnsi="Arial"/>
                <w:sz w:val="16"/>
                <w:szCs w:val="16"/>
              </w:rPr>
              <w:t>Systems to support assistance and technical advice are available for use by ASD and relevant stakeholders.</w:t>
            </w:r>
          </w:p>
          <w:p w14:paraId="7303E56E" w14:textId="3A56BAC1" w:rsidR="00A92402" w:rsidRPr="00A92402" w:rsidRDefault="00A92402" w:rsidP="00A92402">
            <w:pPr>
              <w:tabs>
                <w:tab w:val="left" w:pos="709"/>
              </w:tabs>
              <w:spacing w:before="60" w:after="60"/>
              <w:jc w:val="right"/>
              <w:rPr>
                <w:rFonts w:ascii="Arial" w:hAnsi="Arial"/>
                <w:sz w:val="16"/>
                <w:szCs w:val="16"/>
              </w:rPr>
            </w:pPr>
            <w:r w:rsidRPr="00B5288C">
              <w:rPr>
                <w:rFonts w:ascii="Arial" w:eastAsia="Arial" w:hAnsi="Arial"/>
                <w:i/>
                <w:sz w:val="16"/>
                <w:szCs w:val="16"/>
              </w:rPr>
              <w:t>Expected to be met.</w:t>
            </w:r>
          </w:p>
        </w:tc>
      </w:tr>
      <w:tr w:rsidR="00A92402" w:rsidRPr="00A92402" w14:paraId="6F30B61E" w14:textId="77777777" w:rsidTr="00A92402">
        <w:trPr>
          <w:trHeight w:val="317"/>
        </w:trPr>
        <w:tc>
          <w:tcPr>
            <w:tcW w:w="1748" w:type="dxa"/>
            <w:vMerge/>
            <w:tcBorders>
              <w:right w:val="single" w:sz="4" w:space="0" w:color="auto"/>
            </w:tcBorders>
          </w:tcPr>
          <w:p w14:paraId="5E2B97C2" w14:textId="77777777" w:rsidR="00A92402" w:rsidRPr="00A92402" w:rsidRDefault="00A92402" w:rsidP="00A92402">
            <w:pPr>
              <w:tabs>
                <w:tab w:val="left" w:pos="709"/>
              </w:tabs>
              <w:spacing w:before="60" w:after="60"/>
              <w:jc w:val="both"/>
              <w:rPr>
                <w:rFonts w:ascii="Arial" w:hAnsi="Arial"/>
                <w:sz w:val="16"/>
                <w:szCs w:val="16"/>
              </w:rPr>
            </w:pPr>
          </w:p>
        </w:tc>
        <w:tc>
          <w:tcPr>
            <w:tcW w:w="3207" w:type="dxa"/>
            <w:vMerge/>
            <w:tcBorders>
              <w:left w:val="single" w:sz="4" w:space="0" w:color="auto"/>
              <w:bottom w:val="single" w:sz="4" w:space="0" w:color="auto"/>
              <w:right w:val="single" w:sz="4" w:space="0" w:color="auto"/>
            </w:tcBorders>
          </w:tcPr>
          <w:p w14:paraId="4969E416" w14:textId="77777777" w:rsidR="00A92402" w:rsidRPr="00A92402" w:rsidRDefault="00A92402" w:rsidP="00A92402">
            <w:pPr>
              <w:tabs>
                <w:tab w:val="left" w:pos="709"/>
              </w:tabs>
              <w:spacing w:before="60" w:after="60"/>
              <w:rPr>
                <w:rFonts w:ascii="Arial" w:hAnsi="Arial"/>
                <w:sz w:val="16"/>
                <w:szCs w:val="16"/>
              </w:rPr>
            </w:pPr>
          </w:p>
        </w:tc>
        <w:tc>
          <w:tcPr>
            <w:tcW w:w="3653" w:type="dxa"/>
            <w:tcBorders>
              <w:top w:val="single" w:sz="4" w:space="0" w:color="auto"/>
              <w:left w:val="single" w:sz="4" w:space="0" w:color="auto"/>
              <w:bottom w:val="single" w:sz="4" w:space="0" w:color="auto"/>
            </w:tcBorders>
          </w:tcPr>
          <w:p w14:paraId="45489CDE" w14:textId="77777777" w:rsidR="00A92402" w:rsidRPr="00B5288C" w:rsidRDefault="00A92402" w:rsidP="00A92402">
            <w:pPr>
              <w:tabs>
                <w:tab w:val="left" w:pos="709"/>
              </w:tabs>
              <w:spacing w:before="60" w:after="60"/>
              <w:rPr>
                <w:rFonts w:ascii="Arial" w:eastAsia="Arial" w:hAnsi="Arial"/>
                <w:sz w:val="16"/>
                <w:szCs w:val="16"/>
              </w:rPr>
            </w:pPr>
            <w:r w:rsidRPr="00B5288C">
              <w:rPr>
                <w:rFonts w:ascii="Arial" w:eastAsia="Arial" w:hAnsi="Arial"/>
                <w:sz w:val="16"/>
                <w:szCs w:val="16"/>
              </w:rPr>
              <w:t>ASD’s Top Secret network assessment and authorisation activities and key management services support stakeholders’ requirements.</w:t>
            </w:r>
          </w:p>
          <w:p w14:paraId="4616AE7C" w14:textId="0DB6D222" w:rsidR="00A92402" w:rsidRPr="00A92402" w:rsidRDefault="00A92402" w:rsidP="00A92402">
            <w:pPr>
              <w:tabs>
                <w:tab w:val="left" w:pos="709"/>
              </w:tabs>
              <w:spacing w:before="60" w:after="60"/>
              <w:jc w:val="right"/>
              <w:rPr>
                <w:rFonts w:ascii="Arial" w:hAnsi="Arial"/>
                <w:sz w:val="16"/>
                <w:szCs w:val="16"/>
              </w:rPr>
            </w:pPr>
            <w:r w:rsidRPr="00B5288C">
              <w:rPr>
                <w:rFonts w:ascii="Arial" w:eastAsia="Arial" w:hAnsi="Arial"/>
                <w:i/>
                <w:sz w:val="16"/>
                <w:szCs w:val="16"/>
              </w:rPr>
              <w:t>Expected to be met.</w:t>
            </w:r>
          </w:p>
        </w:tc>
      </w:tr>
      <w:tr w:rsidR="00E067F2" w:rsidRPr="00A92402" w14:paraId="47A56BA3" w14:textId="77777777" w:rsidTr="00A92402">
        <w:trPr>
          <w:trHeight w:val="371"/>
        </w:trPr>
        <w:tc>
          <w:tcPr>
            <w:tcW w:w="1748" w:type="dxa"/>
            <w:vMerge/>
            <w:tcBorders>
              <w:right w:val="single" w:sz="4" w:space="0" w:color="auto"/>
            </w:tcBorders>
          </w:tcPr>
          <w:p w14:paraId="3AC78C64" w14:textId="77777777" w:rsidR="00E067F2" w:rsidRPr="00A92402" w:rsidRDefault="00E067F2" w:rsidP="00E067F2">
            <w:pPr>
              <w:tabs>
                <w:tab w:val="left" w:pos="709"/>
              </w:tabs>
              <w:spacing w:before="60" w:after="60"/>
              <w:jc w:val="both"/>
              <w:rPr>
                <w:rFonts w:ascii="Arial" w:hAnsi="Arial"/>
                <w:sz w:val="16"/>
                <w:szCs w:val="16"/>
              </w:rPr>
            </w:pPr>
          </w:p>
        </w:tc>
        <w:tc>
          <w:tcPr>
            <w:tcW w:w="3207" w:type="dxa"/>
            <w:vMerge w:val="restart"/>
            <w:tcBorders>
              <w:top w:val="single" w:sz="4" w:space="0" w:color="auto"/>
              <w:left w:val="single" w:sz="4" w:space="0" w:color="auto"/>
              <w:right w:val="single" w:sz="4" w:space="0" w:color="auto"/>
            </w:tcBorders>
          </w:tcPr>
          <w:p w14:paraId="1461BCF6" w14:textId="77777777" w:rsidR="00E067F2" w:rsidRPr="00A92402" w:rsidRDefault="00E067F2" w:rsidP="00957907">
            <w:pPr>
              <w:tabs>
                <w:tab w:val="left" w:pos="709"/>
              </w:tabs>
              <w:spacing w:before="60" w:after="60"/>
              <w:rPr>
                <w:rFonts w:ascii="Arial" w:hAnsi="Arial"/>
                <w:sz w:val="16"/>
                <w:szCs w:val="16"/>
              </w:rPr>
            </w:pPr>
            <w:r w:rsidRPr="00A92402">
              <w:rPr>
                <w:rFonts w:ascii="Arial" w:hAnsi="Arial"/>
                <w:sz w:val="16"/>
                <w:szCs w:val="16"/>
              </w:rPr>
              <w:t xml:space="preserve">ASD delivers partnerships, programs and technical capability that strengthen national cyber security </w:t>
            </w:r>
            <w:r w:rsidR="00372595" w:rsidRPr="00A92402">
              <w:rPr>
                <w:rFonts w:ascii="Arial" w:hAnsi="Arial"/>
                <w:sz w:val="16"/>
                <w:szCs w:val="16"/>
              </w:rPr>
              <w:t>or</w:t>
            </w:r>
            <w:r w:rsidRPr="00A92402">
              <w:rPr>
                <w:rFonts w:ascii="Arial" w:hAnsi="Arial"/>
                <w:sz w:val="16"/>
                <w:szCs w:val="16"/>
              </w:rPr>
              <w:t xml:space="preserve"> resilience.</w:t>
            </w:r>
          </w:p>
        </w:tc>
        <w:tc>
          <w:tcPr>
            <w:tcW w:w="3653" w:type="dxa"/>
            <w:tcBorders>
              <w:top w:val="single" w:sz="4" w:space="0" w:color="auto"/>
              <w:left w:val="single" w:sz="4" w:space="0" w:color="auto"/>
              <w:bottom w:val="single" w:sz="4" w:space="0" w:color="auto"/>
            </w:tcBorders>
          </w:tcPr>
          <w:p w14:paraId="049ADAAD" w14:textId="77777777" w:rsidR="00E067F2" w:rsidRPr="00A92402" w:rsidRDefault="00E067F2" w:rsidP="00E067F2">
            <w:pPr>
              <w:tabs>
                <w:tab w:val="left" w:pos="709"/>
              </w:tabs>
              <w:spacing w:before="60" w:after="60"/>
              <w:rPr>
                <w:rFonts w:ascii="Arial" w:eastAsia="Arial" w:hAnsi="Arial"/>
                <w:sz w:val="16"/>
                <w:szCs w:val="16"/>
              </w:rPr>
            </w:pPr>
            <w:r w:rsidRPr="00A92402">
              <w:rPr>
                <w:rFonts w:ascii="Arial" w:eastAsia="Arial" w:hAnsi="Arial"/>
                <w:sz w:val="16"/>
                <w:szCs w:val="16"/>
              </w:rPr>
              <w:t>Cyber security information and expertise exchanges with partners help prevent, detect or remediate cyber threats to Australia</w:t>
            </w:r>
            <w:r w:rsidR="0060326A" w:rsidRPr="00A92402">
              <w:rPr>
                <w:rFonts w:ascii="Arial" w:eastAsia="Arial" w:hAnsi="Arial"/>
                <w:sz w:val="16"/>
                <w:szCs w:val="16"/>
              </w:rPr>
              <w:t>.</w:t>
            </w:r>
          </w:p>
          <w:p w14:paraId="43C3BFE4" w14:textId="77777777" w:rsidR="00372595" w:rsidRPr="00A92402" w:rsidRDefault="00372595" w:rsidP="0059301B">
            <w:pPr>
              <w:tabs>
                <w:tab w:val="left" w:pos="709"/>
              </w:tabs>
              <w:spacing w:before="60" w:after="60"/>
              <w:jc w:val="right"/>
              <w:rPr>
                <w:rFonts w:ascii="Arial" w:hAnsi="Arial"/>
                <w:sz w:val="16"/>
                <w:szCs w:val="16"/>
              </w:rPr>
            </w:pPr>
            <w:r w:rsidRPr="00A92402">
              <w:rPr>
                <w:rFonts w:ascii="Arial" w:eastAsia="Arial" w:hAnsi="Arial"/>
                <w:i/>
                <w:sz w:val="16"/>
                <w:szCs w:val="16"/>
              </w:rPr>
              <w:t>Expected to be met</w:t>
            </w:r>
            <w:r w:rsidR="0060326A" w:rsidRPr="00A92402">
              <w:rPr>
                <w:rFonts w:ascii="Arial" w:eastAsia="Arial" w:hAnsi="Arial"/>
                <w:i/>
                <w:sz w:val="16"/>
                <w:szCs w:val="16"/>
              </w:rPr>
              <w:t>.</w:t>
            </w:r>
          </w:p>
        </w:tc>
      </w:tr>
      <w:tr w:rsidR="00E067F2" w:rsidRPr="00194C8A" w14:paraId="08045C5C" w14:textId="77777777" w:rsidTr="00A92402">
        <w:trPr>
          <w:trHeight w:val="371"/>
        </w:trPr>
        <w:tc>
          <w:tcPr>
            <w:tcW w:w="1748" w:type="dxa"/>
            <w:vMerge/>
            <w:tcBorders>
              <w:right w:val="single" w:sz="4" w:space="0" w:color="auto"/>
            </w:tcBorders>
          </w:tcPr>
          <w:p w14:paraId="301F35F1" w14:textId="77777777" w:rsidR="00E067F2" w:rsidRPr="00A92402" w:rsidRDefault="00E067F2" w:rsidP="00E067F2">
            <w:pPr>
              <w:tabs>
                <w:tab w:val="left" w:pos="709"/>
              </w:tabs>
              <w:spacing w:before="60" w:after="60"/>
              <w:jc w:val="both"/>
              <w:rPr>
                <w:rFonts w:ascii="Arial" w:hAnsi="Arial"/>
                <w:sz w:val="16"/>
                <w:szCs w:val="16"/>
              </w:rPr>
            </w:pPr>
          </w:p>
        </w:tc>
        <w:tc>
          <w:tcPr>
            <w:tcW w:w="3207" w:type="dxa"/>
            <w:vMerge/>
            <w:tcBorders>
              <w:left w:val="single" w:sz="4" w:space="0" w:color="auto"/>
              <w:bottom w:val="single" w:sz="4" w:space="0" w:color="auto"/>
              <w:right w:val="single" w:sz="4" w:space="0" w:color="auto"/>
            </w:tcBorders>
          </w:tcPr>
          <w:p w14:paraId="38651D57" w14:textId="77777777" w:rsidR="00E067F2" w:rsidRPr="00A92402" w:rsidRDefault="00E067F2" w:rsidP="00E067F2">
            <w:pPr>
              <w:tabs>
                <w:tab w:val="left" w:pos="709"/>
              </w:tabs>
              <w:spacing w:before="60" w:after="60"/>
              <w:rPr>
                <w:rFonts w:ascii="Arial" w:hAnsi="Arial"/>
                <w:sz w:val="16"/>
                <w:szCs w:val="16"/>
              </w:rPr>
            </w:pPr>
          </w:p>
        </w:tc>
        <w:tc>
          <w:tcPr>
            <w:tcW w:w="3653" w:type="dxa"/>
            <w:tcBorders>
              <w:top w:val="single" w:sz="4" w:space="0" w:color="auto"/>
              <w:left w:val="single" w:sz="4" w:space="0" w:color="auto"/>
              <w:bottom w:val="single" w:sz="4" w:space="0" w:color="auto"/>
            </w:tcBorders>
          </w:tcPr>
          <w:p w14:paraId="1A2374B0" w14:textId="77777777" w:rsidR="00E067F2" w:rsidRPr="00A92402" w:rsidRDefault="00E067F2" w:rsidP="00E067F2">
            <w:pPr>
              <w:tabs>
                <w:tab w:val="left" w:pos="709"/>
              </w:tabs>
              <w:spacing w:before="60" w:after="60"/>
              <w:rPr>
                <w:rFonts w:ascii="Arial" w:eastAsia="Arial" w:hAnsi="Arial"/>
                <w:sz w:val="16"/>
                <w:szCs w:val="16"/>
              </w:rPr>
            </w:pPr>
            <w:r w:rsidRPr="00A92402">
              <w:rPr>
                <w:rFonts w:ascii="Arial" w:eastAsia="Arial" w:hAnsi="Arial"/>
                <w:sz w:val="16"/>
                <w:szCs w:val="16"/>
              </w:rPr>
              <w:t>ASD supports emerging cyber security research that may help prevent, detect or remediate cyber threats to Australia.</w:t>
            </w:r>
          </w:p>
          <w:p w14:paraId="5D4054DC" w14:textId="77777777" w:rsidR="00372595" w:rsidRPr="00A92402" w:rsidRDefault="00372595" w:rsidP="0059301B">
            <w:pPr>
              <w:tabs>
                <w:tab w:val="left" w:pos="709"/>
              </w:tabs>
              <w:spacing w:before="60" w:after="60"/>
              <w:jc w:val="right"/>
              <w:rPr>
                <w:rFonts w:ascii="Arial" w:hAnsi="Arial"/>
                <w:sz w:val="16"/>
                <w:szCs w:val="16"/>
              </w:rPr>
            </w:pPr>
            <w:r w:rsidRPr="00A92402">
              <w:rPr>
                <w:rFonts w:ascii="Arial" w:eastAsia="Arial" w:hAnsi="Arial"/>
                <w:i/>
                <w:sz w:val="16"/>
                <w:szCs w:val="16"/>
              </w:rPr>
              <w:t>Expected to be met</w:t>
            </w:r>
            <w:r w:rsidR="0060326A" w:rsidRPr="00A92402">
              <w:rPr>
                <w:rFonts w:ascii="Arial" w:eastAsia="Arial" w:hAnsi="Arial"/>
                <w:i/>
                <w:sz w:val="16"/>
                <w:szCs w:val="16"/>
              </w:rPr>
              <w:t>.</w:t>
            </w:r>
          </w:p>
        </w:tc>
      </w:tr>
    </w:tbl>
    <w:p w14:paraId="2A57E022" w14:textId="77777777" w:rsidR="003D731C" w:rsidRPr="00194C8A" w:rsidRDefault="003D731C">
      <w:pPr>
        <w:rPr>
          <w:highlight w:val="yellow"/>
        </w:rPr>
      </w:pPr>
      <w:r w:rsidRPr="00194C8A">
        <w:rPr>
          <w:highlight w:val="yellow"/>
        </w:rPr>
        <w:br w:type="page"/>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3208"/>
        <w:gridCol w:w="3653"/>
      </w:tblGrid>
      <w:tr w:rsidR="00AB414B" w:rsidRPr="00A92402" w14:paraId="290B8E4D" w14:textId="77777777" w:rsidTr="00D23F3B">
        <w:trPr>
          <w:trHeight w:val="258"/>
        </w:trPr>
        <w:tc>
          <w:tcPr>
            <w:tcW w:w="1747" w:type="dxa"/>
            <w:tcBorders>
              <w:top w:val="double" w:sz="4" w:space="0" w:color="auto"/>
              <w:bottom w:val="single" w:sz="4" w:space="0" w:color="auto"/>
              <w:right w:val="single" w:sz="4" w:space="0" w:color="auto"/>
            </w:tcBorders>
          </w:tcPr>
          <w:p w14:paraId="083E405D" w14:textId="77777777" w:rsidR="00AB414B" w:rsidRPr="00A92402" w:rsidRDefault="00AB414B" w:rsidP="00AB414B">
            <w:pPr>
              <w:tabs>
                <w:tab w:val="left" w:pos="709"/>
              </w:tabs>
              <w:spacing w:before="60" w:after="60"/>
              <w:rPr>
                <w:rFonts w:ascii="Arial" w:hAnsi="Arial"/>
                <w:b/>
                <w:sz w:val="16"/>
                <w:szCs w:val="16"/>
              </w:rPr>
            </w:pPr>
            <w:r w:rsidRPr="00A92402">
              <w:rPr>
                <w:rFonts w:ascii="Arial" w:hAnsi="Arial"/>
                <w:b/>
                <w:sz w:val="16"/>
                <w:szCs w:val="16"/>
              </w:rPr>
              <w:lastRenderedPageBreak/>
              <w:t>Year</w:t>
            </w:r>
          </w:p>
        </w:tc>
        <w:tc>
          <w:tcPr>
            <w:tcW w:w="3208" w:type="dxa"/>
            <w:tcBorders>
              <w:top w:val="double" w:sz="4" w:space="0" w:color="auto"/>
              <w:left w:val="single" w:sz="4" w:space="0" w:color="auto"/>
              <w:bottom w:val="single" w:sz="4" w:space="0" w:color="auto"/>
              <w:right w:val="single" w:sz="4" w:space="0" w:color="auto"/>
            </w:tcBorders>
          </w:tcPr>
          <w:p w14:paraId="5737D240" w14:textId="48E72EA6" w:rsidR="00AB414B" w:rsidRPr="00A92402" w:rsidRDefault="00AB414B" w:rsidP="00D23F3B">
            <w:pPr>
              <w:tabs>
                <w:tab w:val="left" w:pos="709"/>
                <w:tab w:val="center" w:pos="1818"/>
              </w:tabs>
              <w:spacing w:before="60" w:after="60"/>
              <w:rPr>
                <w:rFonts w:ascii="Arial" w:hAnsi="Arial"/>
                <w:b/>
                <w:sz w:val="16"/>
                <w:szCs w:val="16"/>
              </w:rPr>
            </w:pPr>
            <w:r w:rsidRPr="00A92402">
              <w:rPr>
                <w:rFonts w:ascii="Arial" w:hAnsi="Arial"/>
                <w:b/>
                <w:sz w:val="16"/>
                <w:szCs w:val="16"/>
              </w:rPr>
              <w:t xml:space="preserve">Performance </w:t>
            </w:r>
            <w:r w:rsidR="00D23F3B">
              <w:rPr>
                <w:rFonts w:ascii="Arial" w:hAnsi="Arial"/>
                <w:b/>
                <w:sz w:val="16"/>
                <w:szCs w:val="16"/>
              </w:rPr>
              <w:t>Objectives</w:t>
            </w:r>
          </w:p>
        </w:tc>
        <w:tc>
          <w:tcPr>
            <w:tcW w:w="3653" w:type="dxa"/>
            <w:tcBorders>
              <w:top w:val="double" w:sz="4" w:space="0" w:color="auto"/>
              <w:left w:val="single" w:sz="4" w:space="0" w:color="auto"/>
              <w:bottom w:val="single" w:sz="4" w:space="0" w:color="auto"/>
            </w:tcBorders>
          </w:tcPr>
          <w:p w14:paraId="1389D05F" w14:textId="26179F9F" w:rsidR="00AB414B" w:rsidRPr="00A92402" w:rsidRDefault="00F15B49" w:rsidP="00AB414B">
            <w:pPr>
              <w:tabs>
                <w:tab w:val="left" w:pos="709"/>
              </w:tabs>
              <w:spacing w:before="60" w:after="60"/>
              <w:rPr>
                <w:rFonts w:ascii="Arial" w:hAnsi="Arial"/>
                <w:b/>
                <w:sz w:val="16"/>
                <w:szCs w:val="16"/>
              </w:rPr>
            </w:pPr>
            <w:r>
              <w:rPr>
                <w:rFonts w:ascii="Arial" w:hAnsi="Arial"/>
                <w:b/>
                <w:sz w:val="16"/>
                <w:szCs w:val="16"/>
              </w:rPr>
              <w:t>Expected</w:t>
            </w:r>
            <w:r w:rsidR="00AB414B" w:rsidRPr="00A92402">
              <w:rPr>
                <w:rFonts w:ascii="Arial" w:hAnsi="Arial"/>
                <w:b/>
                <w:sz w:val="16"/>
                <w:szCs w:val="16"/>
              </w:rPr>
              <w:t xml:space="preserve"> Performance Results </w:t>
            </w:r>
          </w:p>
        </w:tc>
      </w:tr>
      <w:tr w:rsidR="00AB414B" w:rsidRPr="00A92402" w14:paraId="74E23544" w14:textId="77777777" w:rsidTr="00D23F3B">
        <w:trPr>
          <w:trHeight w:val="258"/>
        </w:trPr>
        <w:tc>
          <w:tcPr>
            <w:tcW w:w="1747" w:type="dxa"/>
            <w:vMerge w:val="restart"/>
            <w:tcBorders>
              <w:top w:val="single" w:sz="4" w:space="0" w:color="auto"/>
              <w:right w:val="single" w:sz="4" w:space="0" w:color="auto"/>
            </w:tcBorders>
          </w:tcPr>
          <w:p w14:paraId="3B5EE5E2" w14:textId="77777777" w:rsidR="00E56D2A" w:rsidRPr="00A92402" w:rsidRDefault="00E56D2A" w:rsidP="00E56D2A">
            <w:pPr>
              <w:tabs>
                <w:tab w:val="left" w:pos="709"/>
              </w:tabs>
              <w:spacing w:before="60" w:after="60"/>
              <w:rPr>
                <w:rFonts w:ascii="Arial" w:hAnsi="Arial"/>
                <w:sz w:val="16"/>
                <w:szCs w:val="16"/>
              </w:rPr>
            </w:pPr>
            <w:r w:rsidRPr="00A92402">
              <w:rPr>
                <w:rFonts w:ascii="Arial" w:hAnsi="Arial"/>
                <w:sz w:val="16"/>
                <w:szCs w:val="16"/>
              </w:rPr>
              <w:t>Current Year</w:t>
            </w:r>
          </w:p>
          <w:p w14:paraId="42A5D4A3" w14:textId="77777777" w:rsidR="00AB414B" w:rsidRPr="00A92402" w:rsidRDefault="00E56D2A" w:rsidP="004B232A">
            <w:pPr>
              <w:tabs>
                <w:tab w:val="left" w:pos="709"/>
              </w:tabs>
              <w:spacing w:before="60" w:after="60"/>
              <w:rPr>
                <w:rFonts w:ascii="Arial" w:hAnsi="Arial"/>
                <w:b/>
                <w:sz w:val="16"/>
                <w:szCs w:val="16"/>
              </w:rPr>
            </w:pPr>
            <w:r w:rsidRPr="00A92402">
              <w:rPr>
                <w:rFonts w:ascii="Arial" w:hAnsi="Arial"/>
                <w:sz w:val="16"/>
                <w:szCs w:val="16"/>
              </w:rPr>
              <w:t>202</w:t>
            </w:r>
            <w:r w:rsidR="004B232A" w:rsidRPr="00A92402">
              <w:rPr>
                <w:rFonts w:ascii="Arial" w:hAnsi="Arial"/>
                <w:sz w:val="16"/>
                <w:szCs w:val="16"/>
              </w:rPr>
              <w:t>4</w:t>
            </w:r>
            <w:r w:rsidRPr="00A92402">
              <w:rPr>
                <w:rFonts w:ascii="Arial" w:hAnsi="Arial"/>
                <w:sz w:val="16"/>
                <w:szCs w:val="16"/>
              </w:rPr>
              <w:noBreakHyphen/>
              <w:t>2</w:t>
            </w:r>
            <w:r w:rsidR="004B232A" w:rsidRPr="00A92402">
              <w:rPr>
                <w:rFonts w:ascii="Arial" w:hAnsi="Arial"/>
                <w:sz w:val="16"/>
                <w:szCs w:val="16"/>
              </w:rPr>
              <w:t>5</w:t>
            </w:r>
          </w:p>
        </w:tc>
        <w:tc>
          <w:tcPr>
            <w:tcW w:w="3208" w:type="dxa"/>
            <w:vMerge w:val="restart"/>
            <w:tcBorders>
              <w:top w:val="single" w:sz="4" w:space="0" w:color="auto"/>
              <w:left w:val="single" w:sz="4" w:space="0" w:color="auto"/>
              <w:right w:val="single" w:sz="4" w:space="0" w:color="auto"/>
            </w:tcBorders>
          </w:tcPr>
          <w:p w14:paraId="6EDB3A44" w14:textId="77777777" w:rsidR="00AB414B" w:rsidRPr="00A92402" w:rsidRDefault="00AB414B" w:rsidP="000244AA">
            <w:pPr>
              <w:tabs>
                <w:tab w:val="left" w:pos="709"/>
              </w:tabs>
              <w:spacing w:before="60" w:after="60"/>
              <w:rPr>
                <w:rFonts w:ascii="Arial" w:hAnsi="Arial"/>
                <w:sz w:val="16"/>
                <w:szCs w:val="16"/>
              </w:rPr>
            </w:pPr>
            <w:r w:rsidRPr="00A92402">
              <w:rPr>
                <w:rFonts w:ascii="Arial" w:hAnsi="Arial"/>
                <w:sz w:val="16"/>
                <w:szCs w:val="16"/>
              </w:rPr>
              <w:t xml:space="preserve">ASD’s offensive cyber operations provide effective and timely support for military operations and activities, and meet </w:t>
            </w:r>
            <w:r w:rsidR="000244AA" w:rsidRPr="00A92402">
              <w:rPr>
                <w:rFonts w:ascii="Arial" w:hAnsi="Arial"/>
                <w:sz w:val="16"/>
                <w:szCs w:val="16"/>
              </w:rPr>
              <w:t>whole</w:t>
            </w:r>
            <w:r w:rsidR="000244AA" w:rsidRPr="00A92402">
              <w:rPr>
                <w:rFonts w:ascii="Arial" w:hAnsi="Arial"/>
                <w:sz w:val="16"/>
                <w:szCs w:val="16"/>
              </w:rPr>
              <w:noBreakHyphen/>
              <w:t>of-g</w:t>
            </w:r>
            <w:r w:rsidRPr="00A92402">
              <w:rPr>
                <w:rFonts w:ascii="Arial" w:hAnsi="Arial"/>
                <w:sz w:val="16"/>
                <w:szCs w:val="16"/>
              </w:rPr>
              <w:t>overnment requirements for countering offshore cyber threats.</w:t>
            </w:r>
          </w:p>
        </w:tc>
        <w:tc>
          <w:tcPr>
            <w:tcW w:w="3653" w:type="dxa"/>
            <w:tcBorders>
              <w:top w:val="single" w:sz="4" w:space="0" w:color="auto"/>
              <w:left w:val="single" w:sz="4" w:space="0" w:color="auto"/>
              <w:bottom w:val="single" w:sz="4" w:space="0" w:color="auto"/>
            </w:tcBorders>
          </w:tcPr>
          <w:p w14:paraId="6B5746B9" w14:textId="77777777" w:rsidR="00AB414B" w:rsidRPr="00A92402" w:rsidRDefault="00AB414B" w:rsidP="00AB414B">
            <w:pPr>
              <w:tabs>
                <w:tab w:val="left" w:pos="709"/>
              </w:tabs>
              <w:spacing w:before="60" w:after="60"/>
              <w:rPr>
                <w:rFonts w:ascii="Arial" w:eastAsia="Arial" w:hAnsi="Arial"/>
                <w:sz w:val="16"/>
                <w:szCs w:val="16"/>
              </w:rPr>
            </w:pPr>
            <w:r w:rsidRPr="00A92402">
              <w:rPr>
                <w:rFonts w:ascii="Arial" w:eastAsia="Arial" w:hAnsi="Arial"/>
                <w:sz w:val="16"/>
                <w:szCs w:val="16"/>
              </w:rPr>
              <w:t>Offensive cyber capabilities provide effective and timely support for ADF military operations and activities.</w:t>
            </w:r>
          </w:p>
          <w:p w14:paraId="0E412983" w14:textId="77777777" w:rsidR="00AB414B" w:rsidRPr="00A92402" w:rsidRDefault="00AB414B" w:rsidP="00AB414B">
            <w:pPr>
              <w:tabs>
                <w:tab w:val="left" w:pos="709"/>
              </w:tabs>
              <w:spacing w:before="60" w:after="60"/>
              <w:jc w:val="right"/>
              <w:rPr>
                <w:rFonts w:ascii="Arial" w:hAnsi="Arial"/>
                <w:sz w:val="16"/>
                <w:szCs w:val="16"/>
              </w:rPr>
            </w:pPr>
            <w:r w:rsidRPr="00A92402">
              <w:rPr>
                <w:rFonts w:ascii="Arial" w:eastAsia="Arial" w:hAnsi="Arial"/>
                <w:i/>
                <w:sz w:val="16"/>
                <w:szCs w:val="16"/>
              </w:rPr>
              <w:t>Expected to be met</w:t>
            </w:r>
            <w:r w:rsidR="0060326A" w:rsidRPr="00A92402">
              <w:rPr>
                <w:rFonts w:ascii="Arial" w:eastAsia="Arial" w:hAnsi="Arial"/>
                <w:i/>
                <w:sz w:val="16"/>
                <w:szCs w:val="16"/>
              </w:rPr>
              <w:t>.</w:t>
            </w:r>
          </w:p>
        </w:tc>
      </w:tr>
      <w:tr w:rsidR="00AB414B" w:rsidRPr="00194C8A" w14:paraId="6B061922" w14:textId="77777777" w:rsidTr="002072BD">
        <w:trPr>
          <w:trHeight w:val="258"/>
        </w:trPr>
        <w:tc>
          <w:tcPr>
            <w:tcW w:w="1747" w:type="dxa"/>
            <w:vMerge/>
            <w:tcBorders>
              <w:bottom w:val="double" w:sz="4" w:space="0" w:color="auto"/>
              <w:right w:val="single" w:sz="4" w:space="0" w:color="auto"/>
            </w:tcBorders>
          </w:tcPr>
          <w:p w14:paraId="25227820" w14:textId="77777777" w:rsidR="00AB414B" w:rsidRPr="00A92402" w:rsidRDefault="00AB414B" w:rsidP="00AB414B">
            <w:pPr>
              <w:tabs>
                <w:tab w:val="left" w:pos="709"/>
              </w:tabs>
              <w:spacing w:before="60" w:after="60"/>
              <w:rPr>
                <w:rFonts w:ascii="Arial" w:hAnsi="Arial"/>
                <w:b/>
                <w:sz w:val="16"/>
                <w:szCs w:val="16"/>
              </w:rPr>
            </w:pPr>
          </w:p>
        </w:tc>
        <w:tc>
          <w:tcPr>
            <w:tcW w:w="3208" w:type="dxa"/>
            <w:vMerge/>
            <w:tcBorders>
              <w:left w:val="single" w:sz="4" w:space="0" w:color="auto"/>
              <w:bottom w:val="double" w:sz="4" w:space="0" w:color="auto"/>
              <w:right w:val="single" w:sz="4" w:space="0" w:color="auto"/>
            </w:tcBorders>
          </w:tcPr>
          <w:p w14:paraId="3667385F" w14:textId="77777777" w:rsidR="00AB414B" w:rsidRPr="00A92402" w:rsidRDefault="00AB414B" w:rsidP="00AB414B">
            <w:pPr>
              <w:tabs>
                <w:tab w:val="left" w:pos="709"/>
                <w:tab w:val="center" w:pos="1818"/>
              </w:tabs>
              <w:spacing w:before="60" w:after="60"/>
              <w:rPr>
                <w:rFonts w:ascii="Arial" w:hAnsi="Arial"/>
                <w:b/>
                <w:sz w:val="16"/>
                <w:szCs w:val="16"/>
              </w:rPr>
            </w:pPr>
          </w:p>
        </w:tc>
        <w:tc>
          <w:tcPr>
            <w:tcW w:w="3653" w:type="dxa"/>
            <w:tcBorders>
              <w:top w:val="single" w:sz="4" w:space="0" w:color="auto"/>
              <w:left w:val="single" w:sz="4" w:space="0" w:color="auto"/>
              <w:bottom w:val="double" w:sz="4" w:space="0" w:color="auto"/>
            </w:tcBorders>
          </w:tcPr>
          <w:p w14:paraId="30EA58B3" w14:textId="77777777" w:rsidR="00AB414B" w:rsidRPr="00A92402" w:rsidRDefault="00AB414B" w:rsidP="00AB414B">
            <w:pPr>
              <w:tabs>
                <w:tab w:val="left" w:pos="709"/>
              </w:tabs>
              <w:spacing w:before="60" w:after="60"/>
              <w:rPr>
                <w:rFonts w:ascii="Arial" w:eastAsia="Arial" w:hAnsi="Arial"/>
                <w:sz w:val="16"/>
                <w:szCs w:val="16"/>
              </w:rPr>
            </w:pPr>
            <w:r w:rsidRPr="00A92402">
              <w:rPr>
                <w:rFonts w:ascii="Arial" w:eastAsia="Arial" w:hAnsi="Arial"/>
                <w:sz w:val="16"/>
                <w:szCs w:val="16"/>
              </w:rPr>
              <w:t>Offensive cyber operations that count</w:t>
            </w:r>
            <w:r w:rsidR="000244AA" w:rsidRPr="00A92402">
              <w:rPr>
                <w:rFonts w:ascii="Arial" w:eastAsia="Arial" w:hAnsi="Arial"/>
                <w:sz w:val="16"/>
                <w:szCs w:val="16"/>
              </w:rPr>
              <w:t>er offshore cyber threats meet whole-of-g</w:t>
            </w:r>
            <w:r w:rsidRPr="00A92402">
              <w:rPr>
                <w:rFonts w:ascii="Arial" w:eastAsia="Arial" w:hAnsi="Arial"/>
                <w:sz w:val="16"/>
                <w:szCs w:val="16"/>
              </w:rPr>
              <w:t>overnment requirements.</w:t>
            </w:r>
          </w:p>
          <w:p w14:paraId="295989BE" w14:textId="77777777" w:rsidR="00AB414B" w:rsidRPr="00A92402" w:rsidRDefault="00AB414B" w:rsidP="001726F8">
            <w:pPr>
              <w:tabs>
                <w:tab w:val="left" w:pos="709"/>
              </w:tabs>
              <w:spacing w:before="60" w:after="60"/>
              <w:jc w:val="right"/>
              <w:rPr>
                <w:rFonts w:ascii="Arial" w:hAnsi="Arial"/>
                <w:b/>
                <w:sz w:val="16"/>
                <w:szCs w:val="16"/>
              </w:rPr>
            </w:pPr>
            <w:r w:rsidRPr="00A92402">
              <w:rPr>
                <w:rFonts w:ascii="Arial" w:eastAsia="Arial" w:hAnsi="Arial"/>
                <w:i/>
                <w:sz w:val="16"/>
                <w:szCs w:val="16"/>
              </w:rPr>
              <w:t>Expected to be met</w:t>
            </w:r>
            <w:r w:rsidR="0060326A" w:rsidRPr="00A92402">
              <w:rPr>
                <w:rFonts w:ascii="Arial" w:eastAsia="Arial" w:hAnsi="Arial"/>
                <w:i/>
                <w:sz w:val="16"/>
                <w:szCs w:val="16"/>
              </w:rPr>
              <w:t>.</w:t>
            </w:r>
          </w:p>
        </w:tc>
      </w:tr>
      <w:tr w:rsidR="00D23F3B" w:rsidRPr="00194C8A" w14:paraId="42F43E23" w14:textId="77777777" w:rsidTr="002072BD">
        <w:trPr>
          <w:trHeight w:val="258"/>
        </w:trPr>
        <w:tc>
          <w:tcPr>
            <w:tcW w:w="1747" w:type="dxa"/>
            <w:tcBorders>
              <w:top w:val="double" w:sz="4" w:space="0" w:color="auto"/>
              <w:bottom w:val="single" w:sz="4" w:space="0" w:color="auto"/>
              <w:right w:val="single" w:sz="4" w:space="0" w:color="auto"/>
            </w:tcBorders>
          </w:tcPr>
          <w:p w14:paraId="6F913D55" w14:textId="7CAC222A" w:rsidR="00D23F3B" w:rsidRPr="00A92402" w:rsidRDefault="00D23F3B" w:rsidP="00D23F3B">
            <w:pPr>
              <w:tabs>
                <w:tab w:val="left" w:pos="709"/>
              </w:tabs>
              <w:spacing w:before="60" w:after="60"/>
              <w:rPr>
                <w:rFonts w:ascii="Arial" w:hAnsi="Arial"/>
                <w:b/>
                <w:sz w:val="16"/>
                <w:szCs w:val="16"/>
              </w:rPr>
            </w:pPr>
            <w:r w:rsidRPr="00A92402">
              <w:rPr>
                <w:rFonts w:ascii="Arial" w:hAnsi="Arial"/>
                <w:b/>
                <w:sz w:val="16"/>
                <w:szCs w:val="16"/>
              </w:rPr>
              <w:t>Year</w:t>
            </w:r>
          </w:p>
        </w:tc>
        <w:tc>
          <w:tcPr>
            <w:tcW w:w="3208" w:type="dxa"/>
            <w:tcBorders>
              <w:top w:val="double" w:sz="4" w:space="0" w:color="auto"/>
              <w:left w:val="single" w:sz="4" w:space="0" w:color="auto"/>
              <w:bottom w:val="single" w:sz="4" w:space="0" w:color="auto"/>
              <w:right w:val="single" w:sz="4" w:space="0" w:color="auto"/>
            </w:tcBorders>
          </w:tcPr>
          <w:p w14:paraId="31EAE209" w14:textId="72A78F6E" w:rsidR="00D23F3B" w:rsidRPr="00A92402" w:rsidRDefault="00D23F3B" w:rsidP="00D23F3B">
            <w:pPr>
              <w:tabs>
                <w:tab w:val="left" w:pos="709"/>
                <w:tab w:val="center" w:pos="1818"/>
              </w:tabs>
              <w:spacing w:before="60" w:after="60"/>
              <w:rPr>
                <w:rFonts w:ascii="Arial" w:hAnsi="Arial"/>
                <w:b/>
                <w:sz w:val="16"/>
                <w:szCs w:val="16"/>
              </w:rPr>
            </w:pPr>
            <w:r w:rsidRPr="00A92402">
              <w:rPr>
                <w:rFonts w:ascii="Arial" w:hAnsi="Arial"/>
                <w:b/>
                <w:sz w:val="16"/>
                <w:szCs w:val="16"/>
              </w:rPr>
              <w:t xml:space="preserve">Performance </w:t>
            </w:r>
            <w:r>
              <w:rPr>
                <w:rFonts w:ascii="Arial" w:hAnsi="Arial"/>
                <w:b/>
                <w:sz w:val="16"/>
                <w:szCs w:val="16"/>
              </w:rPr>
              <w:t>Objectives</w:t>
            </w:r>
          </w:p>
        </w:tc>
        <w:tc>
          <w:tcPr>
            <w:tcW w:w="3653" w:type="dxa"/>
            <w:tcBorders>
              <w:top w:val="double" w:sz="4" w:space="0" w:color="auto"/>
              <w:left w:val="single" w:sz="4" w:space="0" w:color="auto"/>
              <w:bottom w:val="single" w:sz="4" w:space="0" w:color="auto"/>
            </w:tcBorders>
          </w:tcPr>
          <w:p w14:paraId="1AEE4C5D" w14:textId="1CEF9704" w:rsidR="00D23F3B" w:rsidRPr="00A92402" w:rsidRDefault="00F15B49" w:rsidP="00D23F3B">
            <w:pPr>
              <w:tabs>
                <w:tab w:val="left" w:pos="709"/>
              </w:tabs>
              <w:spacing w:before="60" w:after="60"/>
              <w:rPr>
                <w:rFonts w:ascii="Arial" w:eastAsia="Arial" w:hAnsi="Arial"/>
                <w:sz w:val="16"/>
                <w:szCs w:val="16"/>
              </w:rPr>
            </w:pPr>
            <w:r>
              <w:rPr>
                <w:rFonts w:ascii="Arial" w:hAnsi="Arial"/>
                <w:b/>
                <w:sz w:val="16"/>
                <w:szCs w:val="16"/>
              </w:rPr>
              <w:t>Expected</w:t>
            </w:r>
            <w:r w:rsidR="00D23F3B" w:rsidRPr="00A92402">
              <w:rPr>
                <w:rFonts w:ascii="Arial" w:hAnsi="Arial"/>
                <w:b/>
                <w:sz w:val="16"/>
                <w:szCs w:val="16"/>
              </w:rPr>
              <w:t xml:space="preserve"> Performance Results </w:t>
            </w:r>
          </w:p>
        </w:tc>
      </w:tr>
      <w:tr w:rsidR="00D23F3B" w:rsidRPr="00194C8A" w14:paraId="12D31A4B" w14:textId="77777777" w:rsidTr="00D23F3B">
        <w:trPr>
          <w:trHeight w:val="368"/>
        </w:trPr>
        <w:tc>
          <w:tcPr>
            <w:tcW w:w="1747" w:type="dxa"/>
            <w:vMerge w:val="restart"/>
            <w:tcBorders>
              <w:top w:val="single" w:sz="4" w:space="0" w:color="auto"/>
              <w:right w:val="single" w:sz="4" w:space="0" w:color="auto"/>
            </w:tcBorders>
          </w:tcPr>
          <w:p w14:paraId="63FF28C2" w14:textId="77777777" w:rsidR="00D23F3B" w:rsidRPr="004B232A" w:rsidRDefault="00D23F3B" w:rsidP="00D23F3B">
            <w:pPr>
              <w:tabs>
                <w:tab w:val="left" w:pos="709"/>
              </w:tabs>
              <w:spacing w:before="60" w:after="60"/>
              <w:rPr>
                <w:rFonts w:ascii="Arial" w:hAnsi="Arial"/>
                <w:sz w:val="16"/>
                <w:szCs w:val="16"/>
              </w:rPr>
            </w:pPr>
            <w:r w:rsidRPr="004B232A">
              <w:rPr>
                <w:rFonts w:ascii="Arial" w:hAnsi="Arial"/>
                <w:sz w:val="16"/>
                <w:szCs w:val="16"/>
              </w:rPr>
              <w:t>Budget Year</w:t>
            </w:r>
          </w:p>
          <w:p w14:paraId="4ECB7A9C" w14:textId="77777777" w:rsidR="00D23F3B" w:rsidRPr="00194C8A" w:rsidRDefault="00D23F3B" w:rsidP="00D23F3B">
            <w:pPr>
              <w:tabs>
                <w:tab w:val="left" w:pos="709"/>
              </w:tabs>
              <w:spacing w:before="60" w:after="60"/>
              <w:rPr>
                <w:rFonts w:ascii="Arial" w:hAnsi="Arial"/>
                <w:sz w:val="16"/>
                <w:szCs w:val="16"/>
                <w:highlight w:val="yellow"/>
              </w:rPr>
            </w:pPr>
            <w:r w:rsidRPr="004B232A">
              <w:rPr>
                <w:rFonts w:ascii="Arial" w:hAnsi="Arial"/>
                <w:sz w:val="16"/>
                <w:szCs w:val="16"/>
              </w:rPr>
              <w:t>2025-26</w:t>
            </w:r>
          </w:p>
        </w:tc>
        <w:tc>
          <w:tcPr>
            <w:tcW w:w="3208" w:type="dxa"/>
            <w:vMerge w:val="restart"/>
            <w:tcBorders>
              <w:top w:val="single" w:sz="4" w:space="0" w:color="auto"/>
              <w:left w:val="single" w:sz="4" w:space="0" w:color="auto"/>
              <w:right w:val="single" w:sz="4" w:space="0" w:color="auto"/>
            </w:tcBorders>
          </w:tcPr>
          <w:p w14:paraId="6F2B8E3B" w14:textId="77777777" w:rsidR="00D23F3B" w:rsidRPr="00A92402" w:rsidRDefault="00D23F3B" w:rsidP="00D23F3B">
            <w:pPr>
              <w:tabs>
                <w:tab w:val="left" w:pos="709"/>
              </w:tabs>
              <w:spacing w:before="60" w:after="60"/>
              <w:rPr>
                <w:rFonts w:ascii="Arial" w:hAnsi="Arial"/>
                <w:sz w:val="16"/>
                <w:szCs w:val="16"/>
              </w:rPr>
            </w:pPr>
            <w:r w:rsidRPr="00A92402">
              <w:rPr>
                <w:rFonts w:ascii="Arial" w:hAnsi="Arial"/>
                <w:sz w:val="16"/>
                <w:szCs w:val="16"/>
              </w:rPr>
              <w:t>ASD’s foreign signals intelligence meets Government’s expectations to deliver strategic advantage and enables National Intelligence Community operations.</w:t>
            </w:r>
          </w:p>
        </w:tc>
        <w:tc>
          <w:tcPr>
            <w:tcW w:w="3653" w:type="dxa"/>
            <w:tcBorders>
              <w:top w:val="single" w:sz="4" w:space="0" w:color="auto"/>
              <w:left w:val="single" w:sz="4" w:space="0" w:color="auto"/>
            </w:tcBorders>
          </w:tcPr>
          <w:p w14:paraId="74FC6C49" w14:textId="77777777" w:rsidR="00D23F3B" w:rsidRPr="00A92402" w:rsidRDefault="00D23F3B" w:rsidP="00D23F3B">
            <w:pPr>
              <w:tabs>
                <w:tab w:val="left" w:pos="709"/>
              </w:tabs>
              <w:spacing w:before="60" w:after="60"/>
              <w:rPr>
                <w:rFonts w:ascii="Arial" w:hAnsi="Arial"/>
                <w:sz w:val="16"/>
                <w:szCs w:val="16"/>
              </w:rPr>
            </w:pPr>
            <w:r w:rsidRPr="00A92402">
              <w:rPr>
                <w:rFonts w:ascii="Arial" w:eastAsia="Arial" w:hAnsi="Arial"/>
                <w:sz w:val="16"/>
                <w:szCs w:val="16"/>
              </w:rPr>
              <w:t>Government expectations to deliver strategic advantage are met.</w:t>
            </w:r>
          </w:p>
        </w:tc>
      </w:tr>
      <w:tr w:rsidR="00D23F3B" w:rsidRPr="00194C8A" w14:paraId="66179C29" w14:textId="77777777" w:rsidTr="00D23F3B">
        <w:trPr>
          <w:trHeight w:val="445"/>
        </w:trPr>
        <w:tc>
          <w:tcPr>
            <w:tcW w:w="1747" w:type="dxa"/>
            <w:vMerge/>
            <w:tcBorders>
              <w:right w:val="single" w:sz="4" w:space="0" w:color="auto"/>
            </w:tcBorders>
          </w:tcPr>
          <w:p w14:paraId="47A466C5" w14:textId="77777777" w:rsidR="00D23F3B" w:rsidRPr="00194C8A" w:rsidRDefault="00D23F3B" w:rsidP="00D23F3B">
            <w:pPr>
              <w:tabs>
                <w:tab w:val="left" w:pos="709"/>
              </w:tabs>
              <w:spacing w:before="60" w:after="60"/>
              <w:rPr>
                <w:rFonts w:ascii="Arial" w:hAnsi="Arial"/>
                <w:sz w:val="16"/>
                <w:szCs w:val="16"/>
                <w:highlight w:val="yellow"/>
              </w:rPr>
            </w:pPr>
          </w:p>
        </w:tc>
        <w:tc>
          <w:tcPr>
            <w:tcW w:w="3208" w:type="dxa"/>
            <w:vMerge/>
            <w:tcBorders>
              <w:left w:val="single" w:sz="4" w:space="0" w:color="auto"/>
              <w:right w:val="single" w:sz="4" w:space="0" w:color="auto"/>
            </w:tcBorders>
          </w:tcPr>
          <w:p w14:paraId="09075DE6" w14:textId="77777777" w:rsidR="00D23F3B" w:rsidRPr="00A92402" w:rsidRDefault="00D23F3B" w:rsidP="00D23F3B">
            <w:pPr>
              <w:tabs>
                <w:tab w:val="left" w:pos="709"/>
              </w:tabs>
              <w:spacing w:before="60" w:after="60"/>
              <w:rPr>
                <w:rFonts w:ascii="Arial" w:hAnsi="Arial"/>
                <w:sz w:val="16"/>
                <w:szCs w:val="16"/>
              </w:rPr>
            </w:pPr>
          </w:p>
        </w:tc>
        <w:tc>
          <w:tcPr>
            <w:tcW w:w="3653" w:type="dxa"/>
            <w:tcBorders>
              <w:top w:val="single" w:sz="4" w:space="0" w:color="auto"/>
              <w:left w:val="single" w:sz="4" w:space="0" w:color="auto"/>
            </w:tcBorders>
          </w:tcPr>
          <w:p w14:paraId="7AA9FB38" w14:textId="77777777" w:rsidR="00D23F3B" w:rsidRPr="00A92402" w:rsidRDefault="00D23F3B" w:rsidP="00D23F3B">
            <w:pPr>
              <w:tabs>
                <w:tab w:val="left" w:pos="709"/>
              </w:tabs>
              <w:spacing w:before="60" w:after="60"/>
              <w:rPr>
                <w:rFonts w:ascii="Arial" w:hAnsi="Arial"/>
                <w:sz w:val="16"/>
                <w:szCs w:val="16"/>
              </w:rPr>
            </w:pPr>
            <w:r w:rsidRPr="00A92402">
              <w:rPr>
                <w:rFonts w:ascii="Arial" w:eastAsia="Arial" w:hAnsi="Arial"/>
                <w:sz w:val="16"/>
                <w:szCs w:val="16"/>
              </w:rPr>
              <w:t>National Intelligence Community operational requirements are met.</w:t>
            </w:r>
          </w:p>
        </w:tc>
      </w:tr>
      <w:tr w:rsidR="00D23F3B" w:rsidRPr="00194C8A" w14:paraId="4E4A77D6" w14:textId="77777777" w:rsidTr="00D23F3B">
        <w:trPr>
          <w:trHeight w:val="200"/>
        </w:trPr>
        <w:tc>
          <w:tcPr>
            <w:tcW w:w="1747" w:type="dxa"/>
            <w:vMerge/>
            <w:tcBorders>
              <w:right w:val="single" w:sz="4" w:space="0" w:color="auto"/>
            </w:tcBorders>
          </w:tcPr>
          <w:p w14:paraId="32CEC4CF" w14:textId="77777777" w:rsidR="00D23F3B" w:rsidRPr="00194C8A" w:rsidRDefault="00D23F3B" w:rsidP="00D23F3B">
            <w:pPr>
              <w:tabs>
                <w:tab w:val="left" w:pos="709"/>
              </w:tabs>
              <w:spacing w:before="60" w:after="60"/>
              <w:rPr>
                <w:rFonts w:ascii="Arial" w:hAnsi="Arial"/>
                <w:sz w:val="16"/>
                <w:szCs w:val="16"/>
                <w:highlight w:val="yellow"/>
              </w:rPr>
            </w:pPr>
          </w:p>
        </w:tc>
        <w:tc>
          <w:tcPr>
            <w:tcW w:w="3208" w:type="dxa"/>
            <w:tcBorders>
              <w:left w:val="single" w:sz="4" w:space="0" w:color="auto"/>
              <w:bottom w:val="single" w:sz="4" w:space="0" w:color="auto"/>
              <w:right w:val="single" w:sz="4" w:space="0" w:color="auto"/>
            </w:tcBorders>
          </w:tcPr>
          <w:p w14:paraId="416112F7" w14:textId="77777777" w:rsidR="00D23F3B" w:rsidRPr="00A92402" w:rsidRDefault="00D23F3B" w:rsidP="00D23F3B">
            <w:pPr>
              <w:tabs>
                <w:tab w:val="left" w:pos="709"/>
              </w:tabs>
              <w:spacing w:before="60" w:after="60"/>
              <w:rPr>
                <w:rFonts w:ascii="Arial" w:hAnsi="Arial"/>
                <w:sz w:val="16"/>
                <w:szCs w:val="16"/>
              </w:rPr>
            </w:pPr>
            <w:r w:rsidRPr="00A92402">
              <w:rPr>
                <w:rFonts w:ascii="Arial" w:hAnsi="Arial"/>
                <w:sz w:val="16"/>
                <w:szCs w:val="16"/>
              </w:rPr>
              <w:t>ASD's foreign signals intelligence products and technical expertise provide effective support for military operations and activities.</w:t>
            </w:r>
          </w:p>
        </w:tc>
        <w:tc>
          <w:tcPr>
            <w:tcW w:w="3653" w:type="dxa"/>
            <w:tcBorders>
              <w:top w:val="single" w:sz="4" w:space="0" w:color="auto"/>
              <w:left w:val="single" w:sz="4" w:space="0" w:color="auto"/>
            </w:tcBorders>
          </w:tcPr>
          <w:p w14:paraId="4421586F" w14:textId="77777777" w:rsidR="00D23F3B" w:rsidRPr="00A92402" w:rsidRDefault="00D23F3B" w:rsidP="00D23F3B">
            <w:pPr>
              <w:tabs>
                <w:tab w:val="left" w:pos="709"/>
              </w:tabs>
              <w:spacing w:before="60" w:after="60"/>
              <w:rPr>
                <w:rFonts w:ascii="Arial" w:hAnsi="Arial"/>
                <w:sz w:val="16"/>
                <w:szCs w:val="16"/>
              </w:rPr>
            </w:pPr>
            <w:r w:rsidRPr="00A92402">
              <w:rPr>
                <w:rFonts w:ascii="Arial" w:eastAsia="Arial" w:hAnsi="Arial"/>
                <w:sz w:val="16"/>
                <w:szCs w:val="16"/>
              </w:rPr>
              <w:t>ASD’s foreign signals intelligence support the ADF’s military operations and activities, technological advantage and capability development.</w:t>
            </w:r>
          </w:p>
        </w:tc>
      </w:tr>
      <w:tr w:rsidR="00D23F3B" w:rsidRPr="00194C8A" w14:paraId="4EE34411" w14:textId="77777777" w:rsidTr="00D23F3B">
        <w:trPr>
          <w:trHeight w:val="491"/>
        </w:trPr>
        <w:tc>
          <w:tcPr>
            <w:tcW w:w="1747" w:type="dxa"/>
            <w:vMerge/>
            <w:tcBorders>
              <w:right w:val="single" w:sz="4" w:space="0" w:color="auto"/>
            </w:tcBorders>
          </w:tcPr>
          <w:p w14:paraId="19E41A98" w14:textId="77777777" w:rsidR="00D23F3B" w:rsidRPr="00194C8A" w:rsidRDefault="00D23F3B" w:rsidP="00D23F3B">
            <w:pPr>
              <w:tabs>
                <w:tab w:val="left" w:pos="709"/>
              </w:tabs>
              <w:spacing w:before="60" w:after="60"/>
              <w:jc w:val="both"/>
              <w:rPr>
                <w:rFonts w:ascii="Arial" w:hAnsi="Arial"/>
                <w:sz w:val="16"/>
                <w:szCs w:val="16"/>
                <w:highlight w:val="yellow"/>
              </w:rPr>
            </w:pPr>
          </w:p>
        </w:tc>
        <w:tc>
          <w:tcPr>
            <w:tcW w:w="3208" w:type="dxa"/>
            <w:vMerge w:val="restart"/>
            <w:tcBorders>
              <w:top w:val="single" w:sz="4" w:space="0" w:color="auto"/>
              <w:left w:val="single" w:sz="4" w:space="0" w:color="auto"/>
              <w:right w:val="single" w:sz="4" w:space="0" w:color="auto"/>
            </w:tcBorders>
          </w:tcPr>
          <w:p w14:paraId="5EDD087E" w14:textId="77777777" w:rsidR="00D23F3B" w:rsidRPr="00A92402" w:rsidRDefault="00D23F3B" w:rsidP="00D23F3B">
            <w:pPr>
              <w:tabs>
                <w:tab w:val="left" w:pos="709"/>
              </w:tabs>
              <w:spacing w:before="60" w:after="60"/>
              <w:rPr>
                <w:rFonts w:ascii="Arial" w:hAnsi="Arial"/>
                <w:sz w:val="16"/>
                <w:szCs w:val="16"/>
              </w:rPr>
            </w:pPr>
            <w:r w:rsidRPr="00A92402">
              <w:rPr>
                <w:rFonts w:ascii="Arial" w:hAnsi="Arial"/>
                <w:sz w:val="16"/>
                <w:szCs w:val="16"/>
              </w:rPr>
              <w:t>ASD provides high-quality, impactful cyber security services to government, critical infrastructure and services, business, families and individuals.</w:t>
            </w:r>
          </w:p>
        </w:tc>
        <w:tc>
          <w:tcPr>
            <w:tcW w:w="3653" w:type="dxa"/>
            <w:tcBorders>
              <w:top w:val="single" w:sz="4" w:space="0" w:color="auto"/>
              <w:left w:val="single" w:sz="4" w:space="0" w:color="auto"/>
              <w:bottom w:val="single" w:sz="4" w:space="0" w:color="auto"/>
            </w:tcBorders>
          </w:tcPr>
          <w:p w14:paraId="609BAA5B" w14:textId="77777777" w:rsidR="00D23F3B" w:rsidRPr="00A92402" w:rsidRDefault="00D23F3B" w:rsidP="00D23F3B">
            <w:pPr>
              <w:tabs>
                <w:tab w:val="left" w:pos="709"/>
              </w:tabs>
              <w:spacing w:before="60" w:after="60"/>
              <w:rPr>
                <w:rFonts w:ascii="Arial" w:hAnsi="Arial"/>
                <w:sz w:val="16"/>
                <w:szCs w:val="16"/>
              </w:rPr>
            </w:pPr>
            <w:r w:rsidRPr="00A92402">
              <w:rPr>
                <w:rFonts w:ascii="Arial" w:eastAsia="Arial" w:hAnsi="Arial"/>
                <w:sz w:val="16"/>
                <w:szCs w:val="16"/>
              </w:rPr>
              <w:t>ASD’s cyber security advice and assistance supports stakeholders to improve or maintain their cyber security posture.</w:t>
            </w:r>
          </w:p>
        </w:tc>
      </w:tr>
      <w:tr w:rsidR="00D23F3B" w:rsidRPr="00194C8A" w14:paraId="1F48FEAD" w14:textId="77777777" w:rsidTr="00D23F3B">
        <w:trPr>
          <w:trHeight w:val="491"/>
        </w:trPr>
        <w:tc>
          <w:tcPr>
            <w:tcW w:w="1747" w:type="dxa"/>
            <w:vMerge/>
            <w:tcBorders>
              <w:right w:val="single" w:sz="4" w:space="0" w:color="auto"/>
            </w:tcBorders>
          </w:tcPr>
          <w:p w14:paraId="7FB7264D" w14:textId="77777777" w:rsidR="00D23F3B" w:rsidRPr="00194C8A" w:rsidRDefault="00D23F3B" w:rsidP="00D23F3B">
            <w:pPr>
              <w:tabs>
                <w:tab w:val="left" w:pos="709"/>
              </w:tabs>
              <w:spacing w:before="60" w:after="60"/>
              <w:jc w:val="both"/>
              <w:rPr>
                <w:rFonts w:ascii="Arial" w:hAnsi="Arial"/>
                <w:sz w:val="16"/>
                <w:szCs w:val="16"/>
                <w:highlight w:val="yellow"/>
              </w:rPr>
            </w:pPr>
          </w:p>
        </w:tc>
        <w:tc>
          <w:tcPr>
            <w:tcW w:w="3208" w:type="dxa"/>
            <w:vMerge/>
            <w:tcBorders>
              <w:left w:val="single" w:sz="4" w:space="0" w:color="auto"/>
              <w:right w:val="single" w:sz="4" w:space="0" w:color="auto"/>
            </w:tcBorders>
          </w:tcPr>
          <w:p w14:paraId="304547EB" w14:textId="77777777" w:rsidR="00D23F3B" w:rsidRPr="00A92402" w:rsidRDefault="00D23F3B" w:rsidP="00D23F3B">
            <w:pPr>
              <w:tabs>
                <w:tab w:val="left" w:pos="709"/>
              </w:tabs>
              <w:spacing w:before="60" w:after="60"/>
              <w:rPr>
                <w:rFonts w:ascii="Arial" w:hAnsi="Arial"/>
                <w:sz w:val="16"/>
                <w:szCs w:val="16"/>
              </w:rPr>
            </w:pPr>
          </w:p>
        </w:tc>
        <w:tc>
          <w:tcPr>
            <w:tcW w:w="3653" w:type="dxa"/>
            <w:tcBorders>
              <w:top w:val="single" w:sz="4" w:space="0" w:color="auto"/>
              <w:left w:val="single" w:sz="4" w:space="0" w:color="auto"/>
              <w:bottom w:val="single" w:sz="4" w:space="0" w:color="auto"/>
            </w:tcBorders>
          </w:tcPr>
          <w:p w14:paraId="6CE4C43B" w14:textId="77777777" w:rsidR="00D23F3B" w:rsidRPr="00A92402" w:rsidRDefault="00D23F3B" w:rsidP="00D23F3B">
            <w:pPr>
              <w:tabs>
                <w:tab w:val="left" w:pos="709"/>
              </w:tabs>
              <w:spacing w:before="60" w:after="60"/>
              <w:rPr>
                <w:rFonts w:ascii="Arial" w:hAnsi="Arial"/>
                <w:sz w:val="16"/>
                <w:szCs w:val="16"/>
              </w:rPr>
            </w:pPr>
            <w:r w:rsidRPr="00A92402">
              <w:rPr>
                <w:rFonts w:ascii="Arial" w:eastAsia="Arial" w:hAnsi="Arial"/>
                <w:sz w:val="16"/>
                <w:szCs w:val="16"/>
              </w:rPr>
              <w:t>Systems to support assistance and technical advice are available for use by ASD and relevant stakeholders.</w:t>
            </w:r>
          </w:p>
        </w:tc>
      </w:tr>
      <w:tr w:rsidR="00D23F3B" w:rsidRPr="00194C8A" w14:paraId="286C7958" w14:textId="77777777" w:rsidTr="00D23F3B">
        <w:trPr>
          <w:trHeight w:val="491"/>
        </w:trPr>
        <w:tc>
          <w:tcPr>
            <w:tcW w:w="1747" w:type="dxa"/>
            <w:vMerge/>
            <w:tcBorders>
              <w:right w:val="single" w:sz="4" w:space="0" w:color="auto"/>
            </w:tcBorders>
          </w:tcPr>
          <w:p w14:paraId="4E5EF469" w14:textId="77777777" w:rsidR="00D23F3B" w:rsidRPr="00194C8A" w:rsidRDefault="00D23F3B" w:rsidP="00D23F3B">
            <w:pPr>
              <w:tabs>
                <w:tab w:val="left" w:pos="709"/>
              </w:tabs>
              <w:spacing w:before="60" w:after="60"/>
              <w:jc w:val="both"/>
              <w:rPr>
                <w:rFonts w:ascii="Arial" w:hAnsi="Arial"/>
                <w:sz w:val="16"/>
                <w:szCs w:val="16"/>
                <w:highlight w:val="yellow"/>
              </w:rPr>
            </w:pPr>
          </w:p>
        </w:tc>
        <w:tc>
          <w:tcPr>
            <w:tcW w:w="3208" w:type="dxa"/>
            <w:vMerge/>
            <w:tcBorders>
              <w:left w:val="single" w:sz="4" w:space="0" w:color="auto"/>
              <w:right w:val="single" w:sz="4" w:space="0" w:color="auto"/>
            </w:tcBorders>
          </w:tcPr>
          <w:p w14:paraId="2BD33783" w14:textId="77777777" w:rsidR="00D23F3B" w:rsidRPr="00A92402" w:rsidRDefault="00D23F3B" w:rsidP="00D23F3B">
            <w:pPr>
              <w:tabs>
                <w:tab w:val="left" w:pos="709"/>
              </w:tabs>
              <w:spacing w:before="60" w:after="60"/>
              <w:rPr>
                <w:rFonts w:ascii="Arial" w:hAnsi="Arial"/>
                <w:sz w:val="16"/>
                <w:szCs w:val="16"/>
              </w:rPr>
            </w:pPr>
          </w:p>
        </w:tc>
        <w:tc>
          <w:tcPr>
            <w:tcW w:w="3653" w:type="dxa"/>
            <w:tcBorders>
              <w:top w:val="single" w:sz="4" w:space="0" w:color="auto"/>
              <w:left w:val="single" w:sz="4" w:space="0" w:color="auto"/>
              <w:bottom w:val="single" w:sz="4" w:space="0" w:color="auto"/>
            </w:tcBorders>
          </w:tcPr>
          <w:p w14:paraId="61056E7C" w14:textId="77777777" w:rsidR="00D23F3B" w:rsidRPr="00A92402" w:rsidRDefault="00D23F3B" w:rsidP="00D23F3B">
            <w:pPr>
              <w:tabs>
                <w:tab w:val="left" w:pos="709"/>
              </w:tabs>
              <w:spacing w:before="60" w:after="60"/>
              <w:rPr>
                <w:rFonts w:ascii="Arial" w:hAnsi="Arial"/>
                <w:sz w:val="16"/>
                <w:szCs w:val="16"/>
              </w:rPr>
            </w:pPr>
            <w:r w:rsidRPr="00A92402">
              <w:rPr>
                <w:rFonts w:ascii="Arial" w:eastAsia="Arial" w:hAnsi="Arial"/>
                <w:sz w:val="16"/>
                <w:szCs w:val="16"/>
              </w:rPr>
              <w:t>ASD’s Top Secret network assessment and authorisation activities and key management services support stakeholders’ requirements.</w:t>
            </w:r>
          </w:p>
        </w:tc>
      </w:tr>
      <w:tr w:rsidR="00D23F3B" w:rsidRPr="00194C8A" w14:paraId="24CFACC3" w14:textId="77777777" w:rsidTr="00D23F3B">
        <w:trPr>
          <w:trHeight w:val="491"/>
        </w:trPr>
        <w:tc>
          <w:tcPr>
            <w:tcW w:w="1747" w:type="dxa"/>
            <w:vMerge/>
            <w:tcBorders>
              <w:right w:val="single" w:sz="4" w:space="0" w:color="auto"/>
            </w:tcBorders>
          </w:tcPr>
          <w:p w14:paraId="6477E6D4" w14:textId="77777777" w:rsidR="00D23F3B" w:rsidRPr="00194C8A" w:rsidRDefault="00D23F3B" w:rsidP="00D23F3B">
            <w:pPr>
              <w:tabs>
                <w:tab w:val="left" w:pos="709"/>
              </w:tabs>
              <w:spacing w:before="60" w:after="60"/>
              <w:jc w:val="both"/>
              <w:rPr>
                <w:rFonts w:ascii="Arial" w:hAnsi="Arial"/>
                <w:sz w:val="16"/>
                <w:szCs w:val="16"/>
                <w:highlight w:val="yellow"/>
              </w:rPr>
            </w:pPr>
          </w:p>
        </w:tc>
        <w:tc>
          <w:tcPr>
            <w:tcW w:w="3208" w:type="dxa"/>
            <w:vMerge w:val="restart"/>
            <w:tcBorders>
              <w:top w:val="single" w:sz="4" w:space="0" w:color="auto"/>
              <w:left w:val="single" w:sz="4" w:space="0" w:color="auto"/>
              <w:right w:val="single" w:sz="4" w:space="0" w:color="auto"/>
            </w:tcBorders>
          </w:tcPr>
          <w:p w14:paraId="66DF4641" w14:textId="77777777" w:rsidR="00D23F3B" w:rsidRPr="00A92402" w:rsidRDefault="00D23F3B" w:rsidP="00D23F3B">
            <w:pPr>
              <w:tabs>
                <w:tab w:val="left" w:pos="709"/>
              </w:tabs>
              <w:spacing w:before="60" w:after="60"/>
              <w:rPr>
                <w:rFonts w:ascii="Arial" w:hAnsi="Arial"/>
                <w:sz w:val="16"/>
                <w:szCs w:val="16"/>
              </w:rPr>
            </w:pPr>
            <w:r w:rsidRPr="00A92402">
              <w:rPr>
                <w:rFonts w:ascii="Arial" w:hAnsi="Arial"/>
                <w:sz w:val="16"/>
                <w:szCs w:val="16"/>
              </w:rPr>
              <w:t>ASD delivers partnerships, programs and technical capability that strengthen national cyber security or resilience.</w:t>
            </w:r>
          </w:p>
        </w:tc>
        <w:tc>
          <w:tcPr>
            <w:tcW w:w="3653" w:type="dxa"/>
            <w:tcBorders>
              <w:top w:val="single" w:sz="4" w:space="0" w:color="auto"/>
              <w:left w:val="single" w:sz="4" w:space="0" w:color="auto"/>
              <w:bottom w:val="single" w:sz="4" w:space="0" w:color="auto"/>
            </w:tcBorders>
          </w:tcPr>
          <w:p w14:paraId="1E971364" w14:textId="77777777" w:rsidR="00D23F3B" w:rsidRPr="00A92402" w:rsidRDefault="00D23F3B" w:rsidP="00D23F3B">
            <w:pPr>
              <w:tabs>
                <w:tab w:val="left" w:pos="709"/>
              </w:tabs>
              <w:spacing w:before="60" w:after="60"/>
              <w:rPr>
                <w:rFonts w:ascii="Arial" w:hAnsi="Arial"/>
                <w:sz w:val="16"/>
                <w:szCs w:val="16"/>
              </w:rPr>
            </w:pPr>
            <w:r w:rsidRPr="00A92402">
              <w:rPr>
                <w:rFonts w:ascii="Arial" w:eastAsia="Arial" w:hAnsi="Arial"/>
                <w:sz w:val="16"/>
                <w:szCs w:val="16"/>
              </w:rPr>
              <w:t>Cyber security information and expertise exchanges with partners help prevent, detect or remediate cyber threats to Australia.</w:t>
            </w:r>
          </w:p>
        </w:tc>
      </w:tr>
      <w:tr w:rsidR="00D23F3B" w:rsidRPr="00194C8A" w14:paraId="5A51CDFE" w14:textId="77777777" w:rsidTr="00D23F3B">
        <w:trPr>
          <w:trHeight w:val="491"/>
        </w:trPr>
        <w:tc>
          <w:tcPr>
            <w:tcW w:w="1747" w:type="dxa"/>
            <w:vMerge/>
            <w:tcBorders>
              <w:right w:val="single" w:sz="4" w:space="0" w:color="auto"/>
            </w:tcBorders>
          </w:tcPr>
          <w:p w14:paraId="4E23689D" w14:textId="77777777" w:rsidR="00D23F3B" w:rsidRPr="00194C8A" w:rsidRDefault="00D23F3B" w:rsidP="00D23F3B">
            <w:pPr>
              <w:tabs>
                <w:tab w:val="left" w:pos="709"/>
              </w:tabs>
              <w:spacing w:before="60" w:after="60"/>
              <w:jc w:val="both"/>
              <w:rPr>
                <w:rFonts w:ascii="Arial" w:hAnsi="Arial"/>
                <w:sz w:val="16"/>
                <w:szCs w:val="16"/>
                <w:highlight w:val="yellow"/>
              </w:rPr>
            </w:pPr>
          </w:p>
        </w:tc>
        <w:tc>
          <w:tcPr>
            <w:tcW w:w="3208" w:type="dxa"/>
            <w:vMerge/>
            <w:tcBorders>
              <w:left w:val="single" w:sz="4" w:space="0" w:color="auto"/>
              <w:right w:val="single" w:sz="4" w:space="0" w:color="auto"/>
            </w:tcBorders>
          </w:tcPr>
          <w:p w14:paraId="3F713C95" w14:textId="77777777" w:rsidR="00D23F3B" w:rsidRPr="00A92402" w:rsidRDefault="00D23F3B" w:rsidP="00D23F3B">
            <w:pPr>
              <w:tabs>
                <w:tab w:val="left" w:pos="709"/>
              </w:tabs>
              <w:spacing w:before="60" w:after="60"/>
              <w:rPr>
                <w:rFonts w:ascii="Arial" w:hAnsi="Arial"/>
                <w:sz w:val="16"/>
                <w:szCs w:val="16"/>
              </w:rPr>
            </w:pPr>
          </w:p>
        </w:tc>
        <w:tc>
          <w:tcPr>
            <w:tcW w:w="3653" w:type="dxa"/>
            <w:tcBorders>
              <w:top w:val="single" w:sz="4" w:space="0" w:color="auto"/>
              <w:left w:val="single" w:sz="4" w:space="0" w:color="auto"/>
              <w:bottom w:val="single" w:sz="4" w:space="0" w:color="auto"/>
            </w:tcBorders>
          </w:tcPr>
          <w:p w14:paraId="762DE908" w14:textId="77777777" w:rsidR="00D23F3B" w:rsidRPr="00A92402" w:rsidRDefault="00D23F3B" w:rsidP="00D23F3B">
            <w:pPr>
              <w:tabs>
                <w:tab w:val="left" w:pos="709"/>
              </w:tabs>
              <w:spacing w:before="60" w:after="60"/>
              <w:rPr>
                <w:rFonts w:ascii="Arial" w:hAnsi="Arial"/>
                <w:sz w:val="16"/>
                <w:szCs w:val="16"/>
              </w:rPr>
            </w:pPr>
            <w:r w:rsidRPr="00A92402">
              <w:rPr>
                <w:rFonts w:ascii="Arial" w:eastAsia="Arial" w:hAnsi="Arial"/>
                <w:sz w:val="16"/>
                <w:szCs w:val="16"/>
              </w:rPr>
              <w:t>ASD supports emerging cyber security research that may help prevent, detect or remediate cyber threats to Australia.</w:t>
            </w:r>
          </w:p>
        </w:tc>
      </w:tr>
      <w:tr w:rsidR="00D23F3B" w:rsidRPr="00194C8A" w14:paraId="7DC76EBD" w14:textId="77777777" w:rsidTr="00D23F3B">
        <w:trPr>
          <w:trHeight w:val="491"/>
        </w:trPr>
        <w:tc>
          <w:tcPr>
            <w:tcW w:w="1747" w:type="dxa"/>
            <w:vMerge/>
            <w:tcBorders>
              <w:right w:val="single" w:sz="4" w:space="0" w:color="auto"/>
            </w:tcBorders>
          </w:tcPr>
          <w:p w14:paraId="0F586D4E" w14:textId="77777777" w:rsidR="00D23F3B" w:rsidRPr="00194C8A" w:rsidRDefault="00D23F3B" w:rsidP="00D23F3B">
            <w:pPr>
              <w:tabs>
                <w:tab w:val="left" w:pos="709"/>
              </w:tabs>
              <w:spacing w:before="60" w:after="60"/>
              <w:jc w:val="both"/>
              <w:rPr>
                <w:rFonts w:ascii="Arial" w:hAnsi="Arial"/>
                <w:sz w:val="16"/>
                <w:szCs w:val="16"/>
                <w:highlight w:val="yellow"/>
              </w:rPr>
            </w:pPr>
          </w:p>
        </w:tc>
        <w:tc>
          <w:tcPr>
            <w:tcW w:w="3208" w:type="dxa"/>
            <w:vMerge w:val="restart"/>
            <w:tcBorders>
              <w:top w:val="single" w:sz="4" w:space="0" w:color="auto"/>
              <w:left w:val="single" w:sz="4" w:space="0" w:color="auto"/>
              <w:right w:val="single" w:sz="4" w:space="0" w:color="auto"/>
            </w:tcBorders>
          </w:tcPr>
          <w:p w14:paraId="4E660F9E" w14:textId="77777777" w:rsidR="00D23F3B" w:rsidRPr="00A92402" w:rsidRDefault="00D23F3B" w:rsidP="00D23F3B">
            <w:pPr>
              <w:tabs>
                <w:tab w:val="left" w:pos="709"/>
              </w:tabs>
              <w:spacing w:before="60" w:after="60"/>
              <w:rPr>
                <w:rFonts w:ascii="Arial" w:hAnsi="Arial"/>
                <w:sz w:val="16"/>
                <w:szCs w:val="16"/>
              </w:rPr>
            </w:pPr>
            <w:r w:rsidRPr="00A92402">
              <w:rPr>
                <w:rFonts w:ascii="Arial" w:hAnsi="Arial"/>
                <w:sz w:val="16"/>
                <w:szCs w:val="16"/>
              </w:rPr>
              <w:t>ASD’s offensive cyber operations provide effective and timely support for military operations and activities, and meet whole</w:t>
            </w:r>
            <w:r w:rsidRPr="00A92402">
              <w:rPr>
                <w:rFonts w:ascii="Arial" w:hAnsi="Arial"/>
                <w:sz w:val="16"/>
                <w:szCs w:val="16"/>
              </w:rPr>
              <w:noBreakHyphen/>
              <w:t>of-government requirements for countering offshore cyber threats.</w:t>
            </w:r>
          </w:p>
        </w:tc>
        <w:tc>
          <w:tcPr>
            <w:tcW w:w="3653" w:type="dxa"/>
            <w:tcBorders>
              <w:top w:val="single" w:sz="4" w:space="0" w:color="auto"/>
              <w:left w:val="single" w:sz="4" w:space="0" w:color="auto"/>
              <w:bottom w:val="single" w:sz="4" w:space="0" w:color="auto"/>
            </w:tcBorders>
          </w:tcPr>
          <w:p w14:paraId="3C7208C6" w14:textId="77777777" w:rsidR="00D23F3B" w:rsidRPr="00A92402" w:rsidRDefault="00D23F3B" w:rsidP="00D23F3B">
            <w:pPr>
              <w:tabs>
                <w:tab w:val="left" w:pos="709"/>
              </w:tabs>
              <w:spacing w:before="60" w:after="60"/>
              <w:rPr>
                <w:rFonts w:ascii="Arial" w:hAnsi="Arial"/>
                <w:sz w:val="16"/>
                <w:szCs w:val="16"/>
              </w:rPr>
            </w:pPr>
            <w:r w:rsidRPr="00A92402">
              <w:rPr>
                <w:rFonts w:ascii="Arial" w:eastAsia="Arial" w:hAnsi="Arial"/>
                <w:sz w:val="16"/>
                <w:szCs w:val="16"/>
              </w:rPr>
              <w:t>Offensive cyber capabilities provide effective and timely support for ADF military operations and activities.</w:t>
            </w:r>
          </w:p>
        </w:tc>
      </w:tr>
      <w:tr w:rsidR="00D23F3B" w:rsidRPr="00194C8A" w14:paraId="64E08937" w14:textId="77777777" w:rsidTr="00D23F3B">
        <w:trPr>
          <w:trHeight w:val="491"/>
        </w:trPr>
        <w:tc>
          <w:tcPr>
            <w:tcW w:w="1747" w:type="dxa"/>
            <w:vMerge/>
            <w:tcBorders>
              <w:bottom w:val="single" w:sz="4" w:space="0" w:color="auto"/>
              <w:right w:val="single" w:sz="4" w:space="0" w:color="auto"/>
            </w:tcBorders>
          </w:tcPr>
          <w:p w14:paraId="66F04E8E" w14:textId="77777777" w:rsidR="00D23F3B" w:rsidRPr="00194C8A" w:rsidRDefault="00D23F3B" w:rsidP="00D23F3B">
            <w:pPr>
              <w:tabs>
                <w:tab w:val="left" w:pos="709"/>
              </w:tabs>
              <w:spacing w:before="60" w:after="60"/>
              <w:jc w:val="both"/>
              <w:rPr>
                <w:rFonts w:ascii="Arial" w:hAnsi="Arial"/>
                <w:sz w:val="16"/>
                <w:szCs w:val="16"/>
                <w:highlight w:val="yellow"/>
              </w:rPr>
            </w:pPr>
          </w:p>
        </w:tc>
        <w:tc>
          <w:tcPr>
            <w:tcW w:w="3208" w:type="dxa"/>
            <w:vMerge/>
            <w:tcBorders>
              <w:left w:val="single" w:sz="4" w:space="0" w:color="auto"/>
              <w:right w:val="single" w:sz="4" w:space="0" w:color="auto"/>
            </w:tcBorders>
          </w:tcPr>
          <w:p w14:paraId="2C028E34" w14:textId="77777777" w:rsidR="00D23F3B" w:rsidRPr="00A92402" w:rsidRDefault="00D23F3B" w:rsidP="00D23F3B">
            <w:pPr>
              <w:tabs>
                <w:tab w:val="left" w:pos="709"/>
              </w:tabs>
              <w:spacing w:before="60" w:after="60"/>
              <w:rPr>
                <w:rFonts w:ascii="Arial" w:hAnsi="Arial"/>
                <w:sz w:val="16"/>
                <w:szCs w:val="16"/>
              </w:rPr>
            </w:pPr>
          </w:p>
        </w:tc>
        <w:tc>
          <w:tcPr>
            <w:tcW w:w="3653" w:type="dxa"/>
            <w:tcBorders>
              <w:top w:val="single" w:sz="4" w:space="0" w:color="auto"/>
              <w:left w:val="single" w:sz="4" w:space="0" w:color="auto"/>
              <w:bottom w:val="single" w:sz="4" w:space="0" w:color="auto"/>
            </w:tcBorders>
          </w:tcPr>
          <w:p w14:paraId="79163AF4" w14:textId="77777777" w:rsidR="00D23F3B" w:rsidRPr="00A92402" w:rsidRDefault="00D23F3B" w:rsidP="00D23F3B">
            <w:pPr>
              <w:tabs>
                <w:tab w:val="left" w:pos="709"/>
              </w:tabs>
              <w:spacing w:before="60" w:after="60"/>
              <w:rPr>
                <w:rFonts w:ascii="Arial" w:hAnsi="Arial"/>
                <w:sz w:val="16"/>
                <w:szCs w:val="16"/>
              </w:rPr>
            </w:pPr>
            <w:r w:rsidRPr="00A92402">
              <w:rPr>
                <w:rFonts w:ascii="Arial" w:eastAsia="Arial" w:hAnsi="Arial"/>
                <w:sz w:val="16"/>
                <w:szCs w:val="16"/>
              </w:rPr>
              <w:t>Offensive cyber operations that counter offshore cyber threats meet whole-of-government requirements.</w:t>
            </w:r>
          </w:p>
        </w:tc>
      </w:tr>
      <w:tr w:rsidR="00D23F3B" w:rsidRPr="00194C8A" w14:paraId="0DBCCC58" w14:textId="77777777" w:rsidTr="00D23F3B">
        <w:trPr>
          <w:trHeight w:val="491"/>
        </w:trPr>
        <w:tc>
          <w:tcPr>
            <w:tcW w:w="1747" w:type="dxa"/>
            <w:tcBorders>
              <w:top w:val="single" w:sz="4" w:space="0" w:color="auto"/>
              <w:bottom w:val="single" w:sz="4" w:space="0" w:color="auto"/>
              <w:right w:val="single" w:sz="4" w:space="0" w:color="auto"/>
            </w:tcBorders>
          </w:tcPr>
          <w:p w14:paraId="14FCF673" w14:textId="77777777" w:rsidR="00D23F3B" w:rsidRPr="004B232A" w:rsidRDefault="00D23F3B" w:rsidP="00D23F3B">
            <w:pPr>
              <w:tabs>
                <w:tab w:val="left" w:pos="709"/>
              </w:tabs>
              <w:spacing w:before="60" w:after="60"/>
              <w:jc w:val="both"/>
              <w:rPr>
                <w:rFonts w:ascii="Arial" w:hAnsi="Arial"/>
                <w:sz w:val="16"/>
                <w:szCs w:val="16"/>
              </w:rPr>
            </w:pPr>
            <w:r w:rsidRPr="004B232A">
              <w:rPr>
                <w:rFonts w:ascii="Arial" w:hAnsi="Arial"/>
                <w:sz w:val="16"/>
                <w:szCs w:val="16"/>
              </w:rPr>
              <w:t>Forward Estimates</w:t>
            </w:r>
          </w:p>
          <w:p w14:paraId="478749BB" w14:textId="77777777" w:rsidR="00D23F3B" w:rsidRPr="00194C8A" w:rsidRDefault="00D23F3B" w:rsidP="00D23F3B">
            <w:pPr>
              <w:tabs>
                <w:tab w:val="left" w:pos="709"/>
              </w:tabs>
              <w:spacing w:before="60" w:after="60"/>
              <w:rPr>
                <w:rFonts w:ascii="Arial" w:hAnsi="Arial"/>
                <w:b/>
                <w:sz w:val="16"/>
                <w:szCs w:val="16"/>
                <w:highlight w:val="yellow"/>
              </w:rPr>
            </w:pPr>
            <w:r w:rsidRPr="004B232A">
              <w:rPr>
                <w:rFonts w:ascii="Arial" w:hAnsi="Arial"/>
                <w:sz w:val="16"/>
                <w:szCs w:val="16"/>
              </w:rPr>
              <w:t>2026</w:t>
            </w:r>
            <w:r w:rsidRPr="004B232A">
              <w:rPr>
                <w:rFonts w:ascii="Arial" w:hAnsi="Arial"/>
                <w:sz w:val="16"/>
                <w:szCs w:val="16"/>
              </w:rPr>
              <w:noBreakHyphen/>
              <w:t>29</w:t>
            </w:r>
          </w:p>
        </w:tc>
        <w:tc>
          <w:tcPr>
            <w:tcW w:w="3208" w:type="dxa"/>
            <w:tcBorders>
              <w:top w:val="single" w:sz="4" w:space="0" w:color="auto"/>
              <w:left w:val="single" w:sz="4" w:space="0" w:color="auto"/>
              <w:right w:val="single" w:sz="4" w:space="0" w:color="auto"/>
            </w:tcBorders>
          </w:tcPr>
          <w:p w14:paraId="2C246E5D" w14:textId="4AA16EF8" w:rsidR="00D23F3B" w:rsidRPr="00A92402" w:rsidRDefault="00D23F3B" w:rsidP="00D23F3B">
            <w:pPr>
              <w:tabs>
                <w:tab w:val="left" w:pos="709"/>
              </w:tabs>
              <w:spacing w:before="60" w:after="60"/>
              <w:rPr>
                <w:rFonts w:ascii="Arial" w:hAnsi="Arial"/>
                <w:sz w:val="16"/>
                <w:szCs w:val="16"/>
              </w:rPr>
            </w:pPr>
            <w:r w:rsidRPr="00A92402">
              <w:rPr>
                <w:rFonts w:ascii="Arial" w:hAnsi="Arial"/>
                <w:sz w:val="16"/>
                <w:szCs w:val="16"/>
              </w:rPr>
              <w:t>As per 2025-26.</w:t>
            </w:r>
          </w:p>
        </w:tc>
        <w:tc>
          <w:tcPr>
            <w:tcW w:w="3653" w:type="dxa"/>
            <w:tcBorders>
              <w:top w:val="single" w:sz="4" w:space="0" w:color="auto"/>
              <w:left w:val="single" w:sz="4" w:space="0" w:color="auto"/>
              <w:bottom w:val="single" w:sz="4" w:space="0" w:color="auto"/>
            </w:tcBorders>
          </w:tcPr>
          <w:p w14:paraId="0CAAC10D" w14:textId="49AEFB01" w:rsidR="00D23F3B" w:rsidRPr="00194C8A" w:rsidRDefault="00D23F3B" w:rsidP="00D23F3B">
            <w:pPr>
              <w:tabs>
                <w:tab w:val="left" w:pos="709"/>
              </w:tabs>
              <w:spacing w:before="60" w:after="60"/>
              <w:rPr>
                <w:rFonts w:ascii="Arial" w:hAnsi="Arial"/>
                <w:b/>
                <w:sz w:val="16"/>
                <w:szCs w:val="16"/>
                <w:highlight w:val="yellow"/>
              </w:rPr>
            </w:pPr>
            <w:r w:rsidRPr="00D23F3B">
              <w:rPr>
                <w:rFonts w:ascii="Arial" w:hAnsi="Arial"/>
                <w:sz w:val="16"/>
                <w:szCs w:val="16"/>
              </w:rPr>
              <w:t>As per 2025-26.</w:t>
            </w:r>
          </w:p>
        </w:tc>
      </w:tr>
      <w:tr w:rsidR="00D23F3B" w:rsidRPr="002B2BCC" w14:paraId="2AC1ED94" w14:textId="77777777" w:rsidTr="00D23F3B">
        <w:trPr>
          <w:trHeight w:val="291"/>
        </w:trPr>
        <w:tc>
          <w:tcPr>
            <w:tcW w:w="8608" w:type="dxa"/>
            <w:gridSpan w:val="3"/>
            <w:tcBorders>
              <w:top w:val="single" w:sz="4" w:space="0" w:color="auto"/>
            </w:tcBorders>
          </w:tcPr>
          <w:p w14:paraId="1EF7FD6C" w14:textId="4F4C0266" w:rsidR="00D23F3B" w:rsidRPr="00A92402" w:rsidRDefault="00D23F3B" w:rsidP="00D23F3B">
            <w:pPr>
              <w:spacing w:after="120" w:line="260" w:lineRule="exact"/>
              <w:rPr>
                <w:rFonts w:ascii="Arial" w:eastAsia="Cambria" w:hAnsi="Arial"/>
                <w:bCs/>
                <w:iCs/>
                <w:spacing w:val="-6"/>
                <w:sz w:val="16"/>
                <w:szCs w:val="16"/>
              </w:rPr>
            </w:pPr>
            <w:r w:rsidRPr="00A92402">
              <w:rPr>
                <w:rFonts w:ascii="Arial" w:eastAsia="Cambria" w:hAnsi="Arial"/>
                <w:bCs/>
                <w:iCs/>
                <w:spacing w:val="-6"/>
                <w:sz w:val="16"/>
                <w:szCs w:val="16"/>
                <w:lang w:val="x-none"/>
              </w:rPr>
              <w:t xml:space="preserve">Material changes to Program </w:t>
            </w:r>
            <w:r w:rsidRPr="00A92402">
              <w:rPr>
                <w:rFonts w:ascii="Arial" w:eastAsia="Cambria" w:hAnsi="Arial"/>
                <w:bCs/>
                <w:iCs/>
                <w:spacing w:val="-6"/>
                <w:sz w:val="16"/>
                <w:szCs w:val="16"/>
              </w:rPr>
              <w:t>1</w:t>
            </w:r>
            <w:r w:rsidRPr="00A92402">
              <w:rPr>
                <w:rFonts w:ascii="Arial" w:eastAsia="Cambria" w:hAnsi="Arial"/>
                <w:bCs/>
                <w:iCs/>
                <w:spacing w:val="-6"/>
                <w:sz w:val="16"/>
                <w:szCs w:val="16"/>
                <w:lang w:val="x-none"/>
              </w:rPr>
              <w:t>.</w:t>
            </w:r>
            <w:r w:rsidRPr="00A92402">
              <w:rPr>
                <w:rFonts w:ascii="Arial" w:eastAsia="Cambria" w:hAnsi="Arial"/>
                <w:bCs/>
                <w:iCs/>
                <w:spacing w:val="-6"/>
                <w:sz w:val="16"/>
                <w:szCs w:val="16"/>
              </w:rPr>
              <w:t>1</w:t>
            </w:r>
            <w:r w:rsidRPr="00A92402">
              <w:rPr>
                <w:rFonts w:ascii="Arial" w:eastAsia="Cambria" w:hAnsi="Arial"/>
                <w:bCs/>
                <w:iCs/>
                <w:spacing w:val="-6"/>
                <w:sz w:val="16"/>
                <w:szCs w:val="16"/>
                <w:lang w:val="x-none"/>
              </w:rPr>
              <w:t xml:space="preserve"> resulting from 202</w:t>
            </w:r>
            <w:r w:rsidRPr="00A92402">
              <w:rPr>
                <w:rFonts w:ascii="Arial" w:eastAsia="Cambria" w:hAnsi="Arial"/>
                <w:bCs/>
                <w:iCs/>
                <w:spacing w:val="-6"/>
                <w:sz w:val="16"/>
                <w:szCs w:val="16"/>
                <w:lang w:val="en-AU"/>
              </w:rPr>
              <w:t>5</w:t>
            </w:r>
            <w:r w:rsidRPr="00A92402">
              <w:rPr>
                <w:rFonts w:ascii="Arial" w:eastAsia="Cambria" w:hAnsi="Arial"/>
                <w:bCs/>
                <w:iCs/>
                <w:spacing w:val="-6"/>
                <w:sz w:val="16"/>
                <w:szCs w:val="16"/>
                <w:lang w:val="x-none"/>
              </w:rPr>
              <w:t>-</w:t>
            </w:r>
            <w:r w:rsidRPr="00A92402">
              <w:rPr>
                <w:rFonts w:ascii="Arial" w:eastAsia="Cambria" w:hAnsi="Arial"/>
                <w:bCs/>
                <w:iCs/>
                <w:spacing w:val="-6"/>
                <w:sz w:val="16"/>
                <w:szCs w:val="16"/>
              </w:rPr>
              <w:t>26</w:t>
            </w:r>
            <w:r w:rsidRPr="00A92402">
              <w:rPr>
                <w:rFonts w:ascii="Arial" w:eastAsia="Cambria" w:hAnsi="Arial"/>
                <w:bCs/>
                <w:iCs/>
                <w:spacing w:val="-6"/>
                <w:sz w:val="16"/>
                <w:szCs w:val="16"/>
                <w:lang w:val="x-none"/>
              </w:rPr>
              <w:t xml:space="preserve"> Budget Measures: </w:t>
            </w:r>
            <w:r w:rsidRPr="00A92402">
              <w:rPr>
                <w:rFonts w:ascii="Arial" w:eastAsia="Cambria" w:hAnsi="Arial"/>
                <w:bCs/>
                <w:iCs/>
                <w:spacing w:val="-6"/>
                <w:sz w:val="16"/>
                <w:szCs w:val="16"/>
              </w:rPr>
              <w:t>Nil.</w:t>
            </w:r>
          </w:p>
        </w:tc>
      </w:tr>
    </w:tbl>
    <w:p w14:paraId="6CC41C55" w14:textId="77777777" w:rsidR="004B73E8" w:rsidRPr="00B56FAA" w:rsidRDefault="004B73E8" w:rsidP="004B73E8">
      <w:pPr>
        <w:pStyle w:val="Heading2level3"/>
        <w:spacing w:before="120" w:after="120"/>
        <w:rPr>
          <w:bCs w:val="0"/>
          <w:iCs w:val="0"/>
          <w:szCs w:val="30"/>
        </w:rPr>
      </w:pPr>
      <w:r w:rsidRPr="00B56FAA">
        <w:rPr>
          <w:lang w:val="en-AU"/>
        </w:rPr>
        <w:br w:type="page"/>
      </w:r>
      <w:bookmarkStart w:id="1056" w:name="_Toc108088963"/>
      <w:bookmarkStart w:id="1057" w:name="_Toc108089042"/>
      <w:bookmarkStart w:id="1058" w:name="_Toc108089436"/>
      <w:bookmarkStart w:id="1059" w:name="_Toc109227299"/>
      <w:bookmarkStart w:id="1060" w:name="_Toc109227758"/>
      <w:bookmarkStart w:id="1061" w:name="_Toc159499705"/>
      <w:bookmarkStart w:id="1062" w:name="_Toc159857680"/>
      <w:bookmarkStart w:id="1063" w:name="_Toc159857759"/>
      <w:bookmarkStart w:id="1064" w:name="_Toc159858155"/>
      <w:bookmarkStart w:id="1065" w:name="_Toc159858820"/>
      <w:bookmarkStart w:id="1066" w:name="_Toc159858890"/>
      <w:bookmarkStart w:id="1067" w:name="_Toc159859122"/>
      <w:bookmarkStart w:id="1068" w:name="_Toc159859274"/>
      <w:bookmarkStart w:id="1069" w:name="_Toc159862484"/>
      <w:r w:rsidRPr="00B56FAA">
        <w:rPr>
          <w:bCs w:val="0"/>
          <w:iCs w:val="0"/>
          <w:szCs w:val="30"/>
        </w:rPr>
        <w:lastRenderedPageBreak/>
        <w:t>Section 3: ASD Explanatory Tables and Budgeted Financial Statements</w:t>
      </w:r>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p>
    <w:p w14:paraId="3A7FD35A" w14:textId="2BFEA179" w:rsidR="004B73E8" w:rsidRPr="00B56FAA" w:rsidRDefault="004B73E8" w:rsidP="004B73E8">
      <w:pPr>
        <w:spacing w:before="120" w:after="120"/>
      </w:pPr>
      <w:r w:rsidRPr="00B56FAA">
        <w:t xml:space="preserve">Section 3 presents budgeted financial statements which provide a comprehensive snapshot of entity finances for </w:t>
      </w:r>
      <w:r w:rsidRPr="006C08C1">
        <w:t>the 202</w:t>
      </w:r>
      <w:r w:rsidR="008F0E1D">
        <w:t>5</w:t>
      </w:r>
      <w:r w:rsidRPr="006C08C1">
        <w:t>-2</w:t>
      </w:r>
      <w:r w:rsidR="008F0E1D">
        <w:t>6</w:t>
      </w:r>
      <w:r w:rsidRPr="006C08C1">
        <w:rPr>
          <w:color w:val="00B050"/>
        </w:rPr>
        <w:t xml:space="preserve"> </w:t>
      </w:r>
      <w:r w:rsidRPr="006C08C1">
        <w:t>budget</w:t>
      </w:r>
      <w:r w:rsidRPr="00B56FAA">
        <w:t xml:space="preserve"> year, including the impact of Budget Measures and resourcing on financial statements.</w:t>
      </w:r>
    </w:p>
    <w:p w14:paraId="54DC01E1" w14:textId="77777777" w:rsidR="004B73E8" w:rsidRPr="00912B51" w:rsidRDefault="004B73E8" w:rsidP="00912B51">
      <w:pPr>
        <w:pStyle w:val="Heading2level3"/>
        <w:spacing w:before="0" w:after="0"/>
        <w:rPr>
          <w:b/>
          <w:bCs w:val="0"/>
          <w:iCs w:val="0"/>
          <w:sz w:val="22"/>
          <w:szCs w:val="22"/>
        </w:rPr>
      </w:pPr>
      <w:bookmarkStart w:id="1070" w:name="_Toc159499706"/>
      <w:bookmarkStart w:id="1071" w:name="_Toc159859123"/>
      <w:bookmarkStart w:id="1072" w:name="_Toc159859275"/>
      <w:bookmarkStart w:id="1073" w:name="_Toc159862485"/>
      <w:r w:rsidRPr="00912B51">
        <w:rPr>
          <w:b/>
          <w:bCs w:val="0"/>
          <w:iCs w:val="0"/>
          <w:sz w:val="22"/>
          <w:szCs w:val="22"/>
        </w:rPr>
        <w:t>3.1 Explanatory Tables</w:t>
      </w:r>
      <w:bookmarkEnd w:id="1070"/>
      <w:bookmarkEnd w:id="1071"/>
      <w:bookmarkEnd w:id="1072"/>
      <w:bookmarkEnd w:id="1073"/>
    </w:p>
    <w:p w14:paraId="1740FAF1" w14:textId="77777777" w:rsidR="004B73E8" w:rsidRPr="00511083" w:rsidRDefault="004B73E8" w:rsidP="00D9100A">
      <w:pPr>
        <w:pStyle w:val="TableHeading"/>
        <w:numPr>
          <w:ilvl w:val="0"/>
          <w:numId w:val="34"/>
        </w:numPr>
        <w:spacing w:before="120" w:after="120"/>
        <w:ind w:left="0" w:firstLine="0"/>
        <w:outlineLvl w:val="5"/>
        <w:rPr>
          <w:rFonts w:ascii="Arial Bold" w:hAnsi="Arial Bold"/>
          <w:vertAlign w:val="superscript"/>
        </w:rPr>
      </w:pPr>
      <w:r w:rsidRPr="00511083">
        <w:t>Third Party Payments to and from Other Agencies</w:t>
      </w:r>
      <w:r w:rsidRPr="00511083">
        <w:rPr>
          <w:rFonts w:ascii="Arial Bold" w:hAnsi="Arial Bold"/>
          <w:vertAlign w:val="superscript"/>
        </w:rPr>
        <w:t xml:space="preserve"> [a]</w:t>
      </w:r>
    </w:p>
    <w:p w14:paraId="32E7C01A" w14:textId="6B82B93D" w:rsidR="004B73E8" w:rsidRPr="00B56FAA" w:rsidRDefault="00C35707" w:rsidP="004B73E8">
      <w:pPr>
        <w:spacing w:before="0" w:after="0"/>
        <w:rPr>
          <w:lang w:val="en-AU"/>
        </w:rPr>
      </w:pPr>
      <w:r w:rsidRPr="00C35707">
        <w:rPr>
          <w:noProof/>
          <w:lang w:val="en-AU"/>
        </w:rPr>
        <w:drawing>
          <wp:inline distT="0" distB="0" distL="0" distR="0" wp14:anchorId="6567CC90" wp14:editId="699A9CEA">
            <wp:extent cx="5279390" cy="931545"/>
            <wp:effectExtent l="0" t="0" r="0" b="190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279390" cy="931545"/>
                    </a:xfrm>
                    <a:prstGeom prst="rect">
                      <a:avLst/>
                    </a:prstGeom>
                    <a:noFill/>
                    <a:ln>
                      <a:noFill/>
                    </a:ln>
                  </pic:spPr>
                </pic:pic>
              </a:graphicData>
            </a:graphic>
          </wp:inline>
        </w:drawing>
      </w:r>
    </w:p>
    <w:p w14:paraId="7FC16308" w14:textId="77777777" w:rsidR="004B73E8" w:rsidRDefault="004B73E8" w:rsidP="004B73E8">
      <w:pPr>
        <w:spacing w:before="0" w:after="0"/>
        <w:rPr>
          <w:rFonts w:ascii="Arial" w:hAnsi="Arial"/>
          <w:sz w:val="14"/>
          <w:szCs w:val="14"/>
          <w:lang w:val="en-AU"/>
        </w:rPr>
      </w:pPr>
    </w:p>
    <w:p w14:paraId="390135F3" w14:textId="77777777" w:rsidR="00511083" w:rsidRDefault="00511083" w:rsidP="004B73E8">
      <w:pPr>
        <w:spacing w:before="0" w:after="0"/>
        <w:rPr>
          <w:rFonts w:ascii="Arial" w:hAnsi="Arial"/>
          <w:b/>
          <w:sz w:val="14"/>
          <w:szCs w:val="14"/>
          <w:lang w:val="en-AU"/>
        </w:rPr>
      </w:pPr>
      <w:r>
        <w:rPr>
          <w:rFonts w:ascii="Arial" w:hAnsi="Arial"/>
          <w:b/>
          <w:sz w:val="14"/>
          <w:szCs w:val="14"/>
          <w:lang w:val="en-AU"/>
        </w:rPr>
        <w:t>Note</w:t>
      </w:r>
    </w:p>
    <w:p w14:paraId="23B4A0A2" w14:textId="36A53A6B" w:rsidR="009825F0" w:rsidRPr="009825F0" w:rsidRDefault="00511083" w:rsidP="009825F0">
      <w:pPr>
        <w:spacing w:before="0" w:after="0"/>
        <w:ind w:left="284" w:hanging="284"/>
        <w:rPr>
          <w:rFonts w:ascii="Arial" w:hAnsi="Arial"/>
          <w:sz w:val="14"/>
          <w:szCs w:val="14"/>
          <w:lang w:val="en-AU"/>
        </w:rPr>
      </w:pPr>
      <w:r>
        <w:rPr>
          <w:rFonts w:ascii="Arial" w:hAnsi="Arial"/>
          <w:sz w:val="14"/>
          <w:szCs w:val="14"/>
          <w:lang w:val="en-AU"/>
        </w:rPr>
        <w:t>a.</w:t>
      </w:r>
      <w:r w:rsidR="009825F0">
        <w:rPr>
          <w:rFonts w:ascii="Arial" w:hAnsi="Arial"/>
          <w:sz w:val="14"/>
          <w:szCs w:val="14"/>
          <w:lang w:val="en-AU"/>
        </w:rPr>
        <w:tab/>
      </w:r>
      <w:r w:rsidR="009825F0" w:rsidRPr="009825F0">
        <w:rPr>
          <w:rFonts w:ascii="Arial" w:hAnsi="Arial"/>
          <w:sz w:val="14"/>
          <w:szCs w:val="14"/>
          <w:lang w:val="en-AU"/>
        </w:rPr>
        <w:t xml:space="preserve">Third party payments to and from other Agencies include: </w:t>
      </w:r>
      <w:r w:rsidR="009825F0" w:rsidRPr="009825F0">
        <w:rPr>
          <w:rFonts w:ascii="Arial" w:hAnsi="Arial"/>
          <w:sz w:val="14"/>
          <w:szCs w:val="14"/>
          <w:lang w:val="en-AU"/>
        </w:rPr>
        <w:tab/>
      </w:r>
      <w:r w:rsidR="009825F0" w:rsidRPr="009825F0">
        <w:rPr>
          <w:rFonts w:ascii="Arial" w:hAnsi="Arial"/>
          <w:sz w:val="14"/>
          <w:szCs w:val="14"/>
          <w:lang w:val="en-AU"/>
        </w:rPr>
        <w:tab/>
      </w:r>
    </w:p>
    <w:p w14:paraId="63832869" w14:textId="77777777" w:rsidR="009825F0" w:rsidRPr="009825F0" w:rsidRDefault="009825F0" w:rsidP="009825F0">
      <w:pPr>
        <w:spacing w:before="0" w:after="0"/>
        <w:ind w:left="284" w:hanging="284"/>
        <w:rPr>
          <w:rFonts w:ascii="Arial" w:hAnsi="Arial"/>
          <w:sz w:val="14"/>
          <w:szCs w:val="14"/>
          <w:lang w:val="en-AU"/>
        </w:rPr>
      </w:pPr>
      <w:r w:rsidRPr="009825F0">
        <w:rPr>
          <w:rFonts w:ascii="Arial" w:hAnsi="Arial"/>
          <w:sz w:val="14"/>
          <w:szCs w:val="14"/>
          <w:lang w:val="en-AU"/>
        </w:rPr>
        <w:t xml:space="preserve">      - Inter-agency transactions in excess of $20 million per annum; </w:t>
      </w:r>
      <w:r w:rsidRPr="009825F0">
        <w:rPr>
          <w:rFonts w:ascii="Arial" w:hAnsi="Arial"/>
          <w:sz w:val="14"/>
          <w:szCs w:val="14"/>
          <w:lang w:val="en-AU"/>
        </w:rPr>
        <w:tab/>
      </w:r>
      <w:r w:rsidRPr="009825F0">
        <w:rPr>
          <w:rFonts w:ascii="Arial" w:hAnsi="Arial"/>
          <w:sz w:val="14"/>
          <w:szCs w:val="14"/>
          <w:lang w:val="en-AU"/>
        </w:rPr>
        <w:tab/>
      </w:r>
    </w:p>
    <w:p w14:paraId="39B241E0" w14:textId="77777777" w:rsidR="009825F0" w:rsidRPr="009825F0" w:rsidRDefault="009825F0" w:rsidP="009825F0">
      <w:pPr>
        <w:spacing w:before="0" w:after="0"/>
        <w:ind w:left="284" w:hanging="284"/>
        <w:rPr>
          <w:rFonts w:ascii="Arial" w:hAnsi="Arial"/>
          <w:sz w:val="14"/>
          <w:szCs w:val="14"/>
          <w:lang w:val="en-AU"/>
        </w:rPr>
      </w:pPr>
      <w:r w:rsidRPr="009825F0">
        <w:rPr>
          <w:rFonts w:ascii="Arial" w:hAnsi="Arial"/>
          <w:sz w:val="14"/>
          <w:szCs w:val="14"/>
          <w:lang w:val="en-AU"/>
        </w:rPr>
        <w:t xml:space="preserve">      - Inter-agency transactions that were in excess of $20 million in the previous year's annual statements; and </w:t>
      </w:r>
      <w:r w:rsidRPr="009825F0">
        <w:rPr>
          <w:rFonts w:ascii="Arial" w:hAnsi="Arial"/>
          <w:sz w:val="14"/>
          <w:szCs w:val="14"/>
          <w:lang w:val="en-AU"/>
        </w:rPr>
        <w:tab/>
      </w:r>
      <w:r w:rsidRPr="009825F0">
        <w:rPr>
          <w:rFonts w:ascii="Arial" w:hAnsi="Arial"/>
          <w:sz w:val="14"/>
          <w:szCs w:val="14"/>
          <w:lang w:val="en-AU"/>
        </w:rPr>
        <w:tab/>
      </w:r>
    </w:p>
    <w:p w14:paraId="7E7F717B" w14:textId="06960047" w:rsidR="00194C8A" w:rsidRPr="00511083" w:rsidRDefault="009825F0" w:rsidP="009825F0">
      <w:pPr>
        <w:spacing w:before="0" w:after="0"/>
        <w:ind w:left="284" w:hanging="284"/>
        <w:rPr>
          <w:rFonts w:ascii="Arial" w:hAnsi="Arial"/>
          <w:sz w:val="14"/>
          <w:szCs w:val="14"/>
          <w:lang w:val="en-AU"/>
        </w:rPr>
      </w:pPr>
      <w:r w:rsidRPr="009825F0">
        <w:rPr>
          <w:rFonts w:ascii="Arial" w:hAnsi="Arial"/>
          <w:sz w:val="14"/>
          <w:szCs w:val="14"/>
          <w:lang w:val="en-AU"/>
        </w:rPr>
        <w:t xml:space="preserve">      - Inter-agency transactions relating to Budget Measures as disclosed in Defence Budget Measures. </w:t>
      </w:r>
      <w:r w:rsidRPr="009825F0">
        <w:rPr>
          <w:rFonts w:ascii="Arial" w:hAnsi="Arial"/>
          <w:sz w:val="14"/>
          <w:szCs w:val="14"/>
          <w:lang w:val="en-AU"/>
        </w:rPr>
        <w:tab/>
      </w:r>
      <w:r w:rsidRPr="009825F0">
        <w:rPr>
          <w:rFonts w:ascii="Arial" w:hAnsi="Arial"/>
          <w:sz w:val="14"/>
          <w:szCs w:val="14"/>
          <w:lang w:val="en-AU"/>
        </w:rPr>
        <w:tab/>
      </w:r>
      <w:r w:rsidR="00511083">
        <w:rPr>
          <w:rFonts w:ascii="Arial" w:hAnsi="Arial"/>
          <w:sz w:val="14"/>
          <w:szCs w:val="14"/>
          <w:lang w:val="en-AU"/>
        </w:rPr>
        <w:tab/>
      </w:r>
    </w:p>
    <w:p w14:paraId="7A318373" w14:textId="77777777" w:rsidR="00511083" w:rsidRPr="00511083" w:rsidRDefault="00511083" w:rsidP="00511083">
      <w:pPr>
        <w:spacing w:before="0" w:after="0"/>
        <w:rPr>
          <w:rFonts w:ascii="Arial" w:hAnsi="Arial"/>
          <w:sz w:val="14"/>
          <w:szCs w:val="14"/>
          <w:lang w:val="en-AU"/>
        </w:rPr>
      </w:pPr>
      <w:r w:rsidRPr="00511083">
        <w:rPr>
          <w:rFonts w:ascii="Arial" w:hAnsi="Arial"/>
          <w:sz w:val="14"/>
          <w:szCs w:val="14"/>
          <w:lang w:val="en-AU"/>
        </w:rPr>
        <w:t xml:space="preserve"> </w:t>
      </w:r>
      <w:r w:rsidRPr="00511083">
        <w:rPr>
          <w:rFonts w:ascii="Arial" w:hAnsi="Arial"/>
          <w:sz w:val="14"/>
          <w:szCs w:val="14"/>
          <w:lang w:val="en-AU"/>
        </w:rPr>
        <w:tab/>
      </w:r>
      <w:r w:rsidRPr="00511083">
        <w:rPr>
          <w:rFonts w:ascii="Arial" w:hAnsi="Arial"/>
          <w:sz w:val="14"/>
          <w:szCs w:val="14"/>
          <w:lang w:val="en-AU"/>
        </w:rPr>
        <w:tab/>
      </w:r>
    </w:p>
    <w:p w14:paraId="588CD813" w14:textId="77777777" w:rsidR="004B73E8" w:rsidRPr="00912B51" w:rsidRDefault="004B73E8" w:rsidP="00912B51">
      <w:pPr>
        <w:pStyle w:val="Heading2level3"/>
        <w:spacing w:before="120" w:after="120"/>
        <w:rPr>
          <w:b/>
          <w:bCs w:val="0"/>
          <w:iCs w:val="0"/>
          <w:sz w:val="22"/>
          <w:szCs w:val="22"/>
        </w:rPr>
      </w:pPr>
      <w:r w:rsidRPr="00B56FAA">
        <w:rPr>
          <w:lang w:val="en-AU"/>
        </w:rPr>
        <w:br w:type="page"/>
      </w:r>
      <w:bookmarkStart w:id="1074" w:name="_Toc159499707"/>
      <w:bookmarkStart w:id="1075" w:name="_Toc159859124"/>
      <w:bookmarkStart w:id="1076" w:name="_Toc159859276"/>
      <w:bookmarkStart w:id="1077" w:name="_Toc159862486"/>
      <w:r w:rsidRPr="00912B51">
        <w:rPr>
          <w:b/>
          <w:bCs w:val="0"/>
          <w:iCs w:val="0"/>
          <w:sz w:val="22"/>
          <w:szCs w:val="22"/>
        </w:rPr>
        <w:lastRenderedPageBreak/>
        <w:t>3.2 Budgeted Financial Statements</w:t>
      </w:r>
      <w:bookmarkEnd w:id="1074"/>
      <w:bookmarkEnd w:id="1075"/>
      <w:bookmarkEnd w:id="1076"/>
      <w:bookmarkEnd w:id="1077"/>
    </w:p>
    <w:p w14:paraId="2E4A3023" w14:textId="77777777" w:rsidR="004B73E8" w:rsidRPr="00B56FAA" w:rsidRDefault="004B73E8" w:rsidP="004B73E8">
      <w:pPr>
        <w:pStyle w:val="Heading4level5"/>
        <w:spacing w:before="200"/>
      </w:pPr>
      <w:r w:rsidRPr="00B56FAA">
        <w:t>3.2.1 Budgeted Financial Statements</w:t>
      </w:r>
    </w:p>
    <w:p w14:paraId="6F258362" w14:textId="77777777" w:rsidR="004B73E8" w:rsidRPr="006C0E55" w:rsidRDefault="004B73E8" w:rsidP="00D9100A">
      <w:pPr>
        <w:pStyle w:val="TableHeading"/>
        <w:numPr>
          <w:ilvl w:val="0"/>
          <w:numId w:val="34"/>
        </w:numPr>
        <w:spacing w:before="0" w:after="0"/>
        <w:ind w:left="0" w:firstLine="0"/>
        <w:outlineLvl w:val="5"/>
      </w:pPr>
      <w:r w:rsidRPr="006C0E55">
        <w:t>Budgeted Departmental Comprehensive Income Statement (Showing Net Cost of Services</w:t>
      </w:r>
      <w:r w:rsidRPr="00C35707">
        <w:t>) (for the period ended 30 June)</w:t>
      </w:r>
    </w:p>
    <w:p w14:paraId="0D2E2A2F" w14:textId="1B3C4815" w:rsidR="004B73E8" w:rsidRPr="00B56FAA" w:rsidRDefault="00AC7C0A" w:rsidP="004B73E8">
      <w:pPr>
        <w:rPr>
          <w:lang w:val="en-AU"/>
        </w:rPr>
      </w:pPr>
      <w:r w:rsidRPr="00AC7C0A">
        <w:rPr>
          <w:noProof/>
          <w:lang w:val="en-AU"/>
        </w:rPr>
        <w:drawing>
          <wp:inline distT="0" distB="0" distL="0" distR="0" wp14:anchorId="45408171" wp14:editId="71D5FF94">
            <wp:extent cx="5472430" cy="7368731"/>
            <wp:effectExtent l="0" t="0" r="0" b="3810"/>
            <wp:docPr id="24575489" name="Picture 24575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72430" cy="7368731"/>
                    </a:xfrm>
                    <a:prstGeom prst="rect">
                      <a:avLst/>
                    </a:prstGeom>
                    <a:noFill/>
                    <a:ln>
                      <a:noFill/>
                    </a:ln>
                  </pic:spPr>
                </pic:pic>
              </a:graphicData>
            </a:graphic>
          </wp:inline>
        </w:drawing>
      </w:r>
    </w:p>
    <w:p w14:paraId="3F150FFC" w14:textId="77777777" w:rsidR="004B73E8" w:rsidRPr="00237005" w:rsidRDefault="004B73E8" w:rsidP="00D9100A">
      <w:pPr>
        <w:pStyle w:val="TableHeading"/>
        <w:numPr>
          <w:ilvl w:val="0"/>
          <w:numId w:val="34"/>
        </w:numPr>
        <w:spacing w:before="0" w:after="120"/>
        <w:ind w:left="0" w:firstLine="0"/>
        <w:outlineLvl w:val="5"/>
      </w:pPr>
      <w:r w:rsidRPr="00B56FAA">
        <w:br w:type="page"/>
      </w:r>
      <w:r w:rsidRPr="00237005">
        <w:lastRenderedPageBreak/>
        <w:t>Budgeted Departmental Balance Sheet (</w:t>
      </w:r>
      <w:r w:rsidRPr="003E75D6">
        <w:t>as at 30 June</w:t>
      </w:r>
      <w:r w:rsidRPr="00237005">
        <w:t>)</w:t>
      </w:r>
    </w:p>
    <w:p w14:paraId="26131841" w14:textId="6649AB43" w:rsidR="004B73E8" w:rsidRPr="00B56FAA" w:rsidRDefault="003E75D6" w:rsidP="004B73E8">
      <w:r w:rsidRPr="003E75D6">
        <w:rPr>
          <w:noProof/>
          <w:lang w:val="en-AU"/>
        </w:rPr>
        <w:drawing>
          <wp:inline distT="0" distB="0" distL="0" distR="0" wp14:anchorId="75778656" wp14:editId="53738062">
            <wp:extent cx="5472430" cy="5697603"/>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472430" cy="5697603"/>
                    </a:xfrm>
                    <a:prstGeom prst="rect">
                      <a:avLst/>
                    </a:prstGeom>
                    <a:noFill/>
                    <a:ln>
                      <a:noFill/>
                    </a:ln>
                  </pic:spPr>
                </pic:pic>
              </a:graphicData>
            </a:graphic>
          </wp:inline>
        </w:drawing>
      </w:r>
    </w:p>
    <w:p w14:paraId="45964A0F" w14:textId="77777777" w:rsidR="004B73E8" w:rsidRPr="00237005" w:rsidRDefault="004B73E8" w:rsidP="00D9100A">
      <w:pPr>
        <w:pStyle w:val="TableHeading"/>
        <w:numPr>
          <w:ilvl w:val="0"/>
          <w:numId w:val="34"/>
        </w:numPr>
        <w:spacing w:before="0" w:after="120"/>
        <w:ind w:left="0" w:firstLine="0"/>
        <w:outlineLvl w:val="5"/>
      </w:pPr>
      <w:r w:rsidRPr="00B56FAA">
        <w:br w:type="page"/>
      </w:r>
      <w:r w:rsidRPr="00237005">
        <w:lastRenderedPageBreak/>
        <w:t>Budgeted Departmental Statement of Cash Flows (</w:t>
      </w:r>
      <w:r w:rsidRPr="003E75D6">
        <w:t>for the period ended 30 June</w:t>
      </w:r>
      <w:r w:rsidRPr="00237005">
        <w:t>)</w:t>
      </w:r>
    </w:p>
    <w:p w14:paraId="31A3F020" w14:textId="507D2C11" w:rsidR="004B73E8" w:rsidRPr="00B56FAA" w:rsidRDefault="003E75D6" w:rsidP="004B73E8">
      <w:r w:rsidRPr="003E75D6">
        <w:rPr>
          <w:noProof/>
          <w:lang w:val="en-AU"/>
        </w:rPr>
        <w:drawing>
          <wp:inline distT="0" distB="0" distL="0" distR="0" wp14:anchorId="2381F2E0" wp14:editId="380BD4D5">
            <wp:extent cx="5472430" cy="6750024"/>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72430" cy="6750024"/>
                    </a:xfrm>
                    <a:prstGeom prst="rect">
                      <a:avLst/>
                    </a:prstGeom>
                    <a:noFill/>
                    <a:ln>
                      <a:noFill/>
                    </a:ln>
                  </pic:spPr>
                </pic:pic>
              </a:graphicData>
            </a:graphic>
          </wp:inline>
        </w:drawing>
      </w:r>
    </w:p>
    <w:p w14:paraId="793FCAD2" w14:textId="77777777" w:rsidR="004B73E8" w:rsidRPr="00237005" w:rsidRDefault="004B73E8" w:rsidP="00D9100A">
      <w:pPr>
        <w:pStyle w:val="TableHeading"/>
        <w:numPr>
          <w:ilvl w:val="0"/>
          <w:numId w:val="34"/>
        </w:numPr>
        <w:spacing w:before="0" w:after="120"/>
        <w:ind w:left="0" w:firstLine="0"/>
        <w:outlineLvl w:val="5"/>
      </w:pPr>
      <w:r w:rsidRPr="00B56FAA">
        <w:br w:type="page"/>
      </w:r>
      <w:r w:rsidRPr="00237005">
        <w:lastRenderedPageBreak/>
        <w:t>Departmental Statement of Changes in Equity — Summary of Movement (Budget Year 202</w:t>
      </w:r>
      <w:r w:rsidR="004B232A">
        <w:t>5</w:t>
      </w:r>
      <w:r w:rsidRPr="00237005">
        <w:t>-2</w:t>
      </w:r>
      <w:r w:rsidR="004B232A">
        <w:t>6</w:t>
      </w:r>
      <w:r w:rsidRPr="00237005">
        <w:t>)</w:t>
      </w:r>
    </w:p>
    <w:p w14:paraId="1F54DA45" w14:textId="2CCDEA28" w:rsidR="004B73E8" w:rsidRPr="00B56FAA" w:rsidRDefault="00C35707" w:rsidP="004B73E8">
      <w:pPr>
        <w:rPr>
          <w:lang w:val="en-AU"/>
        </w:rPr>
      </w:pPr>
      <w:r w:rsidRPr="00C35707">
        <w:rPr>
          <w:noProof/>
          <w:lang w:val="en-AU"/>
        </w:rPr>
        <w:drawing>
          <wp:inline distT="0" distB="0" distL="0" distR="0" wp14:anchorId="7F96D6EA" wp14:editId="5E45C56E">
            <wp:extent cx="5472430" cy="4748122"/>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72430" cy="4748122"/>
                    </a:xfrm>
                    <a:prstGeom prst="rect">
                      <a:avLst/>
                    </a:prstGeom>
                    <a:noFill/>
                    <a:ln>
                      <a:noFill/>
                    </a:ln>
                  </pic:spPr>
                </pic:pic>
              </a:graphicData>
            </a:graphic>
          </wp:inline>
        </w:drawing>
      </w:r>
    </w:p>
    <w:p w14:paraId="154645D6" w14:textId="77777777" w:rsidR="004B73E8" w:rsidRPr="00302B73" w:rsidRDefault="004B73E8" w:rsidP="00D9100A">
      <w:pPr>
        <w:pStyle w:val="TableHeading"/>
        <w:numPr>
          <w:ilvl w:val="0"/>
          <w:numId w:val="34"/>
        </w:numPr>
        <w:spacing w:before="0" w:after="120"/>
        <w:ind w:left="0" w:firstLine="0"/>
        <w:outlineLvl w:val="5"/>
      </w:pPr>
      <w:r w:rsidRPr="00B56FAA">
        <w:br w:type="page"/>
      </w:r>
      <w:r w:rsidRPr="00302B73">
        <w:lastRenderedPageBreak/>
        <w:t>Statement of Departmental Asset Movements (Budget year 202</w:t>
      </w:r>
      <w:r w:rsidR="00D408D4">
        <w:t>5</w:t>
      </w:r>
      <w:r w:rsidRPr="00302B73">
        <w:t>-2</w:t>
      </w:r>
      <w:r w:rsidR="00D408D4">
        <w:t>6</w:t>
      </w:r>
      <w:r w:rsidRPr="00302B73">
        <w:t>)</w:t>
      </w:r>
    </w:p>
    <w:p w14:paraId="43F1E222" w14:textId="5F9D41AE" w:rsidR="004B73E8" w:rsidRPr="009A4812" w:rsidRDefault="00BA4883" w:rsidP="009A4812">
      <w:pPr>
        <w:spacing w:before="0" w:after="0"/>
        <w:rPr>
          <w:sz w:val="14"/>
          <w:szCs w:val="14"/>
        </w:rPr>
      </w:pPr>
      <w:r w:rsidRPr="00BA4883">
        <w:rPr>
          <w:noProof/>
          <w:lang w:val="en-AU"/>
        </w:rPr>
        <w:drawing>
          <wp:inline distT="0" distB="0" distL="0" distR="0" wp14:anchorId="558001E5" wp14:editId="24F7FCBB">
            <wp:extent cx="5472430" cy="4786452"/>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72430" cy="4786452"/>
                    </a:xfrm>
                    <a:prstGeom prst="rect">
                      <a:avLst/>
                    </a:prstGeom>
                    <a:noFill/>
                    <a:ln>
                      <a:noFill/>
                    </a:ln>
                  </pic:spPr>
                </pic:pic>
              </a:graphicData>
            </a:graphic>
          </wp:inline>
        </w:drawing>
      </w:r>
    </w:p>
    <w:p w14:paraId="317CFF74" w14:textId="77777777" w:rsidR="009A4812" w:rsidRDefault="009A4812" w:rsidP="009A4812">
      <w:pPr>
        <w:tabs>
          <w:tab w:val="left" w:pos="284"/>
          <w:tab w:val="left" w:pos="567"/>
        </w:tabs>
        <w:spacing w:before="0" w:after="0"/>
        <w:ind w:left="284" w:hanging="284"/>
        <w:rPr>
          <w:rFonts w:ascii="Arial" w:hAnsi="Arial"/>
          <w:sz w:val="14"/>
          <w:szCs w:val="14"/>
        </w:rPr>
      </w:pPr>
    </w:p>
    <w:p w14:paraId="2360DB76" w14:textId="77777777" w:rsidR="004B73E8" w:rsidRPr="009A4812" w:rsidRDefault="00237005" w:rsidP="009A4812">
      <w:pPr>
        <w:tabs>
          <w:tab w:val="left" w:pos="284"/>
          <w:tab w:val="left" w:pos="567"/>
        </w:tabs>
        <w:spacing w:before="0" w:after="0"/>
        <w:ind w:left="284" w:hanging="284"/>
        <w:rPr>
          <w:rFonts w:ascii="Arial" w:hAnsi="Arial"/>
          <w:b/>
          <w:sz w:val="14"/>
          <w:szCs w:val="14"/>
        </w:rPr>
      </w:pPr>
      <w:r w:rsidRPr="009A4812">
        <w:rPr>
          <w:rFonts w:ascii="Arial" w:hAnsi="Arial"/>
          <w:b/>
          <w:sz w:val="14"/>
          <w:szCs w:val="14"/>
        </w:rPr>
        <w:t>Note</w:t>
      </w:r>
      <w:r w:rsidR="009A4812" w:rsidRPr="009A4812">
        <w:rPr>
          <w:rFonts w:ascii="Arial" w:hAnsi="Arial"/>
          <w:b/>
          <w:sz w:val="14"/>
          <w:szCs w:val="14"/>
        </w:rPr>
        <w:t>s</w:t>
      </w:r>
    </w:p>
    <w:p w14:paraId="3734C37C" w14:textId="7AE8DAE7" w:rsidR="003E75D6" w:rsidRPr="003E75D6" w:rsidRDefault="00302B73" w:rsidP="003E75D6">
      <w:pPr>
        <w:tabs>
          <w:tab w:val="left" w:pos="284"/>
          <w:tab w:val="left" w:pos="567"/>
        </w:tabs>
        <w:spacing w:before="0" w:after="0"/>
        <w:ind w:left="284" w:hanging="284"/>
        <w:rPr>
          <w:rFonts w:ascii="Arial" w:hAnsi="Arial"/>
          <w:sz w:val="14"/>
          <w:szCs w:val="14"/>
        </w:rPr>
      </w:pPr>
      <w:r>
        <w:rPr>
          <w:rFonts w:ascii="Arial" w:hAnsi="Arial"/>
          <w:sz w:val="14"/>
          <w:szCs w:val="14"/>
        </w:rPr>
        <w:t>a.</w:t>
      </w:r>
      <w:r>
        <w:rPr>
          <w:rFonts w:ascii="Arial" w:hAnsi="Arial"/>
          <w:sz w:val="14"/>
          <w:szCs w:val="14"/>
        </w:rPr>
        <w:tab/>
      </w:r>
      <w:r w:rsidR="003E75D6" w:rsidRPr="003E75D6">
        <w:rPr>
          <w:rFonts w:ascii="Arial" w:hAnsi="Arial"/>
          <w:sz w:val="14"/>
          <w:szCs w:val="14"/>
        </w:rPr>
        <w:t>"Appropriation equity" refers to equity injections appropriations provided through Appropriation Bill (No. 2) 2025-26, including Collection Development Acquisition Budget.</w:t>
      </w:r>
      <w:r w:rsidR="003E75D6" w:rsidRPr="003E75D6">
        <w:rPr>
          <w:rFonts w:ascii="Arial" w:hAnsi="Arial"/>
          <w:sz w:val="14"/>
          <w:szCs w:val="14"/>
        </w:rPr>
        <w:tab/>
      </w:r>
      <w:r w:rsidR="003E75D6" w:rsidRPr="003E75D6">
        <w:rPr>
          <w:rFonts w:ascii="Arial" w:hAnsi="Arial"/>
          <w:sz w:val="14"/>
          <w:szCs w:val="14"/>
        </w:rPr>
        <w:tab/>
      </w:r>
      <w:r w:rsidR="003E75D6" w:rsidRPr="003E75D6">
        <w:rPr>
          <w:rFonts w:ascii="Arial" w:hAnsi="Arial"/>
          <w:sz w:val="14"/>
          <w:szCs w:val="14"/>
        </w:rPr>
        <w:tab/>
      </w:r>
      <w:r w:rsidR="003E75D6" w:rsidRPr="003E75D6">
        <w:rPr>
          <w:rFonts w:ascii="Arial" w:hAnsi="Arial"/>
          <w:sz w:val="14"/>
          <w:szCs w:val="14"/>
        </w:rPr>
        <w:tab/>
      </w:r>
      <w:r w:rsidR="003E75D6" w:rsidRPr="003E75D6">
        <w:rPr>
          <w:rFonts w:ascii="Arial" w:hAnsi="Arial"/>
          <w:sz w:val="14"/>
          <w:szCs w:val="14"/>
        </w:rPr>
        <w:tab/>
      </w:r>
    </w:p>
    <w:p w14:paraId="7E3C2E6E" w14:textId="1A9E1F7D" w:rsidR="003E75D6" w:rsidRPr="003E75D6" w:rsidRDefault="003E75D6" w:rsidP="003E75D6">
      <w:pPr>
        <w:tabs>
          <w:tab w:val="left" w:pos="284"/>
          <w:tab w:val="left" w:pos="567"/>
        </w:tabs>
        <w:spacing w:before="0" w:after="0"/>
        <w:ind w:left="284" w:hanging="284"/>
        <w:rPr>
          <w:rFonts w:ascii="Arial" w:hAnsi="Arial"/>
          <w:sz w:val="14"/>
          <w:szCs w:val="14"/>
        </w:rPr>
      </w:pPr>
      <w:r w:rsidRPr="003E75D6">
        <w:rPr>
          <w:rFonts w:ascii="Arial" w:hAnsi="Arial"/>
          <w:sz w:val="14"/>
          <w:szCs w:val="14"/>
        </w:rPr>
        <w:t xml:space="preserve">b. </w:t>
      </w:r>
      <w:r w:rsidR="003D5F1A">
        <w:rPr>
          <w:rFonts w:ascii="Arial" w:hAnsi="Arial"/>
          <w:sz w:val="14"/>
          <w:szCs w:val="14"/>
        </w:rPr>
        <w:tab/>
      </w:r>
      <w:r w:rsidRPr="003E75D6">
        <w:rPr>
          <w:rFonts w:ascii="Arial" w:hAnsi="Arial"/>
          <w:sz w:val="14"/>
          <w:szCs w:val="14"/>
        </w:rPr>
        <w:t>"Appropriation ordinary annual services" refers to funding provided through Appropriation Act (No. 1) 2025-26 for Departmental Capital Budget or other operational expenses.</w:t>
      </w:r>
      <w:r w:rsidRPr="003E75D6">
        <w:rPr>
          <w:rFonts w:ascii="Arial" w:hAnsi="Arial"/>
          <w:sz w:val="14"/>
          <w:szCs w:val="14"/>
        </w:rPr>
        <w:tab/>
      </w:r>
      <w:r w:rsidRPr="003E75D6">
        <w:rPr>
          <w:rFonts w:ascii="Arial" w:hAnsi="Arial"/>
          <w:sz w:val="14"/>
          <w:szCs w:val="14"/>
        </w:rPr>
        <w:tab/>
      </w:r>
      <w:r w:rsidRPr="003E75D6">
        <w:rPr>
          <w:rFonts w:ascii="Arial" w:hAnsi="Arial"/>
          <w:sz w:val="14"/>
          <w:szCs w:val="14"/>
        </w:rPr>
        <w:tab/>
      </w:r>
      <w:r w:rsidRPr="003E75D6">
        <w:rPr>
          <w:rFonts w:ascii="Arial" w:hAnsi="Arial"/>
          <w:sz w:val="14"/>
          <w:szCs w:val="14"/>
        </w:rPr>
        <w:tab/>
      </w:r>
      <w:r w:rsidRPr="003E75D6">
        <w:rPr>
          <w:rFonts w:ascii="Arial" w:hAnsi="Arial"/>
          <w:sz w:val="14"/>
          <w:szCs w:val="14"/>
        </w:rPr>
        <w:tab/>
      </w:r>
    </w:p>
    <w:p w14:paraId="55CFFAEF" w14:textId="30970F97" w:rsidR="008742C0" w:rsidRDefault="003E75D6" w:rsidP="003E75D6">
      <w:pPr>
        <w:tabs>
          <w:tab w:val="left" w:pos="284"/>
          <w:tab w:val="left" w:pos="567"/>
        </w:tabs>
        <w:spacing w:before="0" w:after="0"/>
        <w:ind w:left="284" w:hanging="284"/>
        <w:rPr>
          <w:rFonts w:ascii="Arial" w:hAnsi="Arial"/>
          <w:sz w:val="14"/>
          <w:szCs w:val="14"/>
        </w:rPr>
      </w:pPr>
      <w:r w:rsidRPr="003E75D6">
        <w:rPr>
          <w:rFonts w:ascii="Arial" w:hAnsi="Arial"/>
          <w:sz w:val="14"/>
          <w:szCs w:val="14"/>
        </w:rPr>
        <w:t xml:space="preserve">c. </w:t>
      </w:r>
      <w:r w:rsidR="003D5F1A">
        <w:rPr>
          <w:rFonts w:ascii="Arial" w:hAnsi="Arial"/>
          <w:sz w:val="14"/>
          <w:szCs w:val="14"/>
        </w:rPr>
        <w:tab/>
      </w:r>
      <w:r w:rsidRPr="003E75D6">
        <w:rPr>
          <w:rFonts w:ascii="Arial" w:hAnsi="Arial"/>
          <w:sz w:val="14"/>
          <w:szCs w:val="14"/>
        </w:rPr>
        <w:t>Net Proceeds may be returned to the Official Public Account.</w:t>
      </w:r>
      <w:r w:rsidRPr="003E75D6">
        <w:rPr>
          <w:rFonts w:ascii="Arial" w:hAnsi="Arial"/>
          <w:sz w:val="14"/>
          <w:szCs w:val="14"/>
        </w:rPr>
        <w:tab/>
      </w:r>
      <w:r w:rsidRPr="003E75D6">
        <w:rPr>
          <w:rFonts w:ascii="Arial" w:hAnsi="Arial"/>
          <w:sz w:val="14"/>
          <w:szCs w:val="14"/>
        </w:rPr>
        <w:tab/>
      </w:r>
      <w:r w:rsidRPr="003E75D6">
        <w:rPr>
          <w:rFonts w:ascii="Arial" w:hAnsi="Arial"/>
          <w:sz w:val="14"/>
          <w:szCs w:val="14"/>
        </w:rPr>
        <w:tab/>
      </w:r>
      <w:r w:rsidRPr="003E75D6">
        <w:rPr>
          <w:rFonts w:ascii="Arial" w:hAnsi="Arial"/>
          <w:sz w:val="14"/>
          <w:szCs w:val="14"/>
        </w:rPr>
        <w:tab/>
      </w:r>
      <w:r w:rsidRPr="003E75D6">
        <w:rPr>
          <w:rFonts w:ascii="Arial" w:hAnsi="Arial"/>
          <w:sz w:val="14"/>
          <w:szCs w:val="14"/>
        </w:rPr>
        <w:tab/>
      </w:r>
    </w:p>
    <w:p w14:paraId="26DA7E17" w14:textId="77777777" w:rsidR="009A4812" w:rsidRPr="009A4812" w:rsidRDefault="000E503C" w:rsidP="000E503C">
      <w:pPr>
        <w:tabs>
          <w:tab w:val="left" w:pos="284"/>
          <w:tab w:val="left" w:pos="567"/>
        </w:tabs>
        <w:spacing w:before="0" w:after="0"/>
        <w:ind w:left="284" w:hanging="284"/>
        <w:rPr>
          <w:rFonts w:ascii="Arial" w:hAnsi="Arial"/>
          <w:sz w:val="14"/>
          <w:szCs w:val="14"/>
        </w:rPr>
      </w:pPr>
      <w:r>
        <w:rPr>
          <w:rFonts w:ascii="Arial" w:hAnsi="Arial"/>
          <w:sz w:val="14"/>
          <w:szCs w:val="14"/>
        </w:rPr>
        <w:tab/>
      </w:r>
      <w:r>
        <w:rPr>
          <w:rFonts w:ascii="Arial" w:hAnsi="Arial"/>
          <w:sz w:val="14"/>
          <w:szCs w:val="14"/>
        </w:rPr>
        <w:tab/>
      </w:r>
      <w:r>
        <w:rPr>
          <w:rFonts w:ascii="Arial" w:hAnsi="Arial"/>
          <w:sz w:val="14"/>
          <w:szCs w:val="14"/>
        </w:rPr>
        <w:tab/>
      </w:r>
      <w:r>
        <w:rPr>
          <w:rFonts w:ascii="Arial" w:hAnsi="Arial"/>
          <w:sz w:val="14"/>
          <w:szCs w:val="14"/>
        </w:rPr>
        <w:tab/>
      </w:r>
      <w:r w:rsidR="00302B73" w:rsidRPr="00302B73">
        <w:rPr>
          <w:rFonts w:ascii="Arial" w:hAnsi="Arial"/>
          <w:sz w:val="14"/>
          <w:szCs w:val="14"/>
        </w:rPr>
        <w:tab/>
      </w:r>
      <w:r w:rsidR="00302B73" w:rsidRPr="00302B73">
        <w:rPr>
          <w:rFonts w:ascii="Arial" w:hAnsi="Arial"/>
          <w:sz w:val="14"/>
          <w:szCs w:val="14"/>
        </w:rPr>
        <w:tab/>
      </w:r>
      <w:r w:rsidR="00302B73" w:rsidRPr="00302B73">
        <w:rPr>
          <w:rFonts w:ascii="Arial" w:hAnsi="Arial"/>
          <w:sz w:val="14"/>
          <w:szCs w:val="14"/>
        </w:rPr>
        <w:tab/>
      </w:r>
      <w:r w:rsidR="00302B73" w:rsidRPr="00302B73">
        <w:rPr>
          <w:rFonts w:ascii="Arial" w:hAnsi="Arial"/>
          <w:sz w:val="14"/>
          <w:szCs w:val="14"/>
        </w:rPr>
        <w:tab/>
      </w:r>
      <w:r w:rsidR="00302B73" w:rsidRPr="00302B73">
        <w:rPr>
          <w:rFonts w:ascii="Arial" w:hAnsi="Arial"/>
          <w:sz w:val="14"/>
          <w:szCs w:val="14"/>
        </w:rPr>
        <w:tab/>
      </w:r>
    </w:p>
    <w:p w14:paraId="2723F4F9" w14:textId="77777777" w:rsidR="004B73E8" w:rsidRPr="00B56FAA" w:rsidRDefault="004B73E8" w:rsidP="004B73E8">
      <w:pPr>
        <w:tabs>
          <w:tab w:val="left" w:pos="284"/>
          <w:tab w:val="left" w:pos="567"/>
        </w:tabs>
        <w:spacing w:before="0" w:after="0"/>
        <w:ind w:left="284" w:hanging="284"/>
      </w:pPr>
      <w:r w:rsidRPr="00B56FAA">
        <w:br w:type="page"/>
      </w:r>
    </w:p>
    <w:p w14:paraId="2979CC46" w14:textId="77777777" w:rsidR="004B73E8" w:rsidRPr="003D5F1A" w:rsidRDefault="004B73E8" w:rsidP="00261D23">
      <w:pPr>
        <w:pStyle w:val="TableHeading"/>
        <w:numPr>
          <w:ilvl w:val="0"/>
          <w:numId w:val="34"/>
        </w:numPr>
        <w:spacing w:before="0" w:after="120"/>
        <w:ind w:left="0" w:firstLine="0"/>
        <w:outlineLvl w:val="5"/>
      </w:pPr>
      <w:r w:rsidRPr="00880E4E">
        <w:lastRenderedPageBreak/>
        <w:t>Departmental Capital Budget Statement (</w:t>
      </w:r>
      <w:r w:rsidRPr="003D5F1A">
        <w:t>for the period ended 30 June)</w:t>
      </w:r>
    </w:p>
    <w:p w14:paraId="409E6EC6" w14:textId="0AFBF38E" w:rsidR="004B73E8" w:rsidRPr="00B56FAA" w:rsidRDefault="00E04845" w:rsidP="004B73E8">
      <w:r w:rsidRPr="00E04845">
        <w:rPr>
          <w:noProof/>
          <w:lang w:val="en-AU"/>
        </w:rPr>
        <w:drawing>
          <wp:inline distT="0" distB="0" distL="0" distR="0" wp14:anchorId="7B69CB1A" wp14:editId="6B1347DD">
            <wp:extent cx="5472430" cy="5121353"/>
            <wp:effectExtent l="0" t="0" r="0" b="317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472430" cy="5121353"/>
                    </a:xfrm>
                    <a:prstGeom prst="rect">
                      <a:avLst/>
                    </a:prstGeom>
                    <a:noFill/>
                    <a:ln>
                      <a:noFill/>
                    </a:ln>
                  </pic:spPr>
                </pic:pic>
              </a:graphicData>
            </a:graphic>
          </wp:inline>
        </w:drawing>
      </w:r>
    </w:p>
    <w:p w14:paraId="190C7780" w14:textId="77777777" w:rsidR="004B73E8" w:rsidRPr="00B56FAA" w:rsidRDefault="004B73E8" w:rsidP="004B73E8">
      <w:pPr>
        <w:pStyle w:val="Heading4level5"/>
        <w:spacing w:before="120" w:after="120"/>
      </w:pPr>
      <w:r w:rsidRPr="00B56FAA">
        <w:br w:type="page"/>
      </w:r>
      <w:r w:rsidRPr="00B56FAA">
        <w:lastRenderedPageBreak/>
        <w:t>3.2.2 Notes to the Budgeted Financial Statements</w:t>
      </w:r>
    </w:p>
    <w:p w14:paraId="0E512D9D" w14:textId="77777777" w:rsidR="004B73E8" w:rsidRPr="00B56FAA" w:rsidRDefault="004B73E8" w:rsidP="004B73E8">
      <w:pPr>
        <w:spacing w:before="120" w:after="120"/>
      </w:pPr>
      <w:r w:rsidRPr="00B56FAA">
        <w:t xml:space="preserve">The budgeted financial statements have been prepared in accordance with the Australian Accounting Standards and the </w:t>
      </w:r>
      <w:r w:rsidRPr="00B56FAA">
        <w:rPr>
          <w:i/>
        </w:rPr>
        <w:t>Public Governance, Performance and Accountability (Financial Reporting) Rule 2015 (FRR)</w:t>
      </w:r>
      <w:r w:rsidRPr="00B56FAA">
        <w:t>.</w:t>
      </w:r>
    </w:p>
    <w:p w14:paraId="146121B0" w14:textId="7DF4C79B" w:rsidR="005F6887" w:rsidRDefault="005F6887" w:rsidP="005F6887">
      <w:pPr>
        <w:pStyle w:val="BodyText"/>
        <w:jc w:val="center"/>
        <w:rPr>
          <w:lang w:val="en-AU"/>
        </w:rPr>
      </w:pPr>
    </w:p>
    <w:p w14:paraId="33AD5807" w14:textId="77777777" w:rsidR="005F6887" w:rsidRPr="00B56FAA" w:rsidRDefault="005F6887" w:rsidP="004B73E8">
      <w:pPr>
        <w:jc w:val="both"/>
      </w:pPr>
    </w:p>
    <w:p w14:paraId="177EB2E5" w14:textId="77777777" w:rsidR="004B73E8" w:rsidRPr="00B56FAA" w:rsidRDefault="004B73E8" w:rsidP="00414A8E">
      <w:pPr>
        <w:pStyle w:val="BodyText"/>
        <w:rPr>
          <w:lang w:val="en-AU"/>
        </w:rPr>
        <w:sectPr w:rsidR="004B73E8" w:rsidRPr="00B56FAA" w:rsidSect="00C30BE6">
          <w:footerReference w:type="even" r:id="rId131"/>
          <w:footerReference w:type="default" r:id="rId132"/>
          <w:pgSz w:w="11907" w:h="16840" w:code="9"/>
          <w:pgMar w:top="1701" w:right="1361" w:bottom="1701" w:left="1928" w:header="720" w:footer="720" w:gutter="0"/>
          <w:cols w:space="720"/>
          <w:noEndnote/>
          <w:docGrid w:linePitch="272"/>
        </w:sectPr>
      </w:pPr>
    </w:p>
    <w:p w14:paraId="72A1A97F" w14:textId="77777777" w:rsidR="0004311C" w:rsidRPr="00437A14" w:rsidRDefault="0004311C" w:rsidP="00437A14">
      <w:pPr>
        <w:pStyle w:val="Heading2"/>
        <w:spacing w:before="0" w:after="360"/>
        <w:jc w:val="center"/>
        <w:rPr>
          <w:b/>
          <w:smallCaps/>
          <w:sz w:val="52"/>
          <w:szCs w:val="52"/>
        </w:rPr>
      </w:pPr>
      <w:bookmarkStart w:id="1078" w:name="_Toc149060138"/>
      <w:bookmarkStart w:id="1079" w:name="_Toc149116022"/>
      <w:bookmarkStart w:id="1080" w:name="_Toc149119345"/>
      <w:bookmarkStart w:id="1081" w:name="_Toc149233135"/>
      <w:bookmarkStart w:id="1082" w:name="_Toc155955151"/>
      <w:bookmarkStart w:id="1083" w:name="_Toc158896307"/>
      <w:bookmarkStart w:id="1084" w:name="_Toc159499708"/>
      <w:bookmarkStart w:id="1085" w:name="_Toc159858821"/>
      <w:bookmarkStart w:id="1086" w:name="_Toc159858891"/>
      <w:bookmarkStart w:id="1087" w:name="_Toc159859125"/>
      <w:bookmarkStart w:id="1088" w:name="_Toc159859277"/>
      <w:bookmarkStart w:id="1089" w:name="_Toc159862297"/>
      <w:bookmarkStart w:id="1090" w:name="_Toc159862487"/>
      <w:r w:rsidRPr="00437A14">
        <w:rPr>
          <w:b/>
          <w:smallCaps/>
          <w:sz w:val="52"/>
          <w:szCs w:val="52"/>
        </w:rPr>
        <w:lastRenderedPageBreak/>
        <w:t>Australian Submarine Agency</w:t>
      </w:r>
      <w:bookmarkEnd w:id="1078"/>
      <w:bookmarkEnd w:id="1079"/>
      <w:bookmarkEnd w:id="1080"/>
      <w:bookmarkEnd w:id="1081"/>
      <w:bookmarkEnd w:id="1082"/>
      <w:bookmarkEnd w:id="1083"/>
      <w:bookmarkEnd w:id="1084"/>
      <w:bookmarkEnd w:id="1085"/>
      <w:bookmarkEnd w:id="1086"/>
      <w:bookmarkEnd w:id="1087"/>
      <w:bookmarkEnd w:id="1088"/>
      <w:bookmarkEnd w:id="1089"/>
      <w:bookmarkEnd w:id="1090"/>
    </w:p>
    <w:p w14:paraId="3EF050B8" w14:textId="77777777" w:rsidR="00926887" w:rsidRPr="00B56FAA" w:rsidRDefault="00926887" w:rsidP="00926887">
      <w:pPr>
        <w:rPr>
          <w:lang w:val="en-AU"/>
        </w:rPr>
      </w:pPr>
    </w:p>
    <w:p w14:paraId="245565C2" w14:textId="77777777" w:rsidR="00926887" w:rsidRPr="00B56FAA" w:rsidRDefault="00926887" w:rsidP="00926887">
      <w:pPr>
        <w:rPr>
          <w:lang w:val="en-AU"/>
        </w:rPr>
      </w:pPr>
    </w:p>
    <w:p w14:paraId="7B2D7ED1" w14:textId="77777777" w:rsidR="00926887" w:rsidRPr="00B56FAA" w:rsidRDefault="00926887" w:rsidP="00926887">
      <w:pPr>
        <w:rPr>
          <w:lang w:val="en-AU"/>
        </w:rPr>
      </w:pPr>
    </w:p>
    <w:p w14:paraId="1B6712BC" w14:textId="77777777" w:rsidR="00926887" w:rsidRPr="00B56FAA" w:rsidRDefault="00926887" w:rsidP="00926887">
      <w:pPr>
        <w:rPr>
          <w:lang w:val="en-AU"/>
        </w:rPr>
      </w:pPr>
    </w:p>
    <w:p w14:paraId="5C46850C" w14:textId="77777777" w:rsidR="00926887" w:rsidRPr="00B56FAA" w:rsidRDefault="00926887" w:rsidP="00926887">
      <w:pPr>
        <w:rPr>
          <w:lang w:val="en-AU"/>
        </w:rPr>
      </w:pPr>
    </w:p>
    <w:p w14:paraId="186AF388" w14:textId="77777777" w:rsidR="00926887" w:rsidRPr="00B56FAA" w:rsidRDefault="00926887" w:rsidP="00FB0876">
      <w:pPr>
        <w:pStyle w:val="DepartmentalSubtitle"/>
        <w:rPr>
          <w:lang w:val="en-AU"/>
        </w:rPr>
      </w:pPr>
      <w:r w:rsidRPr="00B56FAA">
        <w:rPr>
          <w:lang w:val="en-AU"/>
        </w:rPr>
        <w:t>Agency Resources and Planned Performance</w:t>
      </w:r>
    </w:p>
    <w:p w14:paraId="5A0D5789" w14:textId="77777777" w:rsidR="00FC74AA" w:rsidRPr="00E960B0" w:rsidRDefault="00022F6E">
      <w:pPr>
        <w:pStyle w:val="TOC2"/>
        <w:rPr>
          <w:rFonts w:ascii="Calibri" w:hAnsi="Calibri" w:cs="Times New Roman"/>
          <w:b w:val="0"/>
          <w:caps w:val="0"/>
          <w:sz w:val="22"/>
          <w:szCs w:val="22"/>
          <w:lang w:val="en-AU"/>
        </w:rPr>
      </w:pPr>
      <w:r w:rsidRPr="00E960B0">
        <w:fldChar w:fldCharType="begin"/>
      </w:r>
      <w:r w:rsidRPr="00E960B0">
        <w:instrText xml:space="preserve"> TOC \o "1-3" \h \z \u </w:instrText>
      </w:r>
      <w:r w:rsidRPr="00E960B0">
        <w:fldChar w:fldCharType="separate"/>
      </w:r>
    </w:p>
    <w:p w14:paraId="4CE40646" w14:textId="761F1B8B" w:rsidR="00FC74AA" w:rsidRPr="00E960B0" w:rsidRDefault="00004E68" w:rsidP="00A25490">
      <w:pPr>
        <w:pStyle w:val="TOC3"/>
        <w:rPr>
          <w:rStyle w:val="Hyperlink"/>
          <w:b/>
          <w:color w:val="auto"/>
          <w:u w:val="none"/>
        </w:rPr>
      </w:pPr>
      <w:hyperlink w:anchor="_Toc159858156" w:history="1">
        <w:r w:rsidR="00FC74AA" w:rsidRPr="00E960B0">
          <w:rPr>
            <w:rStyle w:val="Hyperlink"/>
            <w:b/>
            <w:color w:val="auto"/>
            <w:u w:val="none"/>
          </w:rPr>
          <w:t>Section 1: ASA Overview and Resources</w:t>
        </w:r>
        <w:r w:rsidR="00FC74AA" w:rsidRPr="00E960B0">
          <w:rPr>
            <w:rStyle w:val="Hyperlink"/>
            <w:b/>
            <w:webHidden/>
            <w:color w:val="auto"/>
            <w:u w:val="none"/>
          </w:rPr>
          <w:tab/>
        </w:r>
        <w:r w:rsidR="00FC74AA" w:rsidRPr="00E960B0">
          <w:rPr>
            <w:rStyle w:val="Hyperlink"/>
            <w:b/>
            <w:webHidden/>
            <w:color w:val="auto"/>
            <w:u w:val="none"/>
          </w:rPr>
          <w:fldChar w:fldCharType="begin"/>
        </w:r>
        <w:r w:rsidR="00FC74AA" w:rsidRPr="00E960B0">
          <w:rPr>
            <w:rStyle w:val="Hyperlink"/>
            <w:b/>
            <w:webHidden/>
            <w:color w:val="auto"/>
            <w:u w:val="none"/>
          </w:rPr>
          <w:instrText xml:space="preserve"> PAGEREF _Toc159858156 \h </w:instrText>
        </w:r>
        <w:r w:rsidR="00FC74AA" w:rsidRPr="00E960B0">
          <w:rPr>
            <w:rStyle w:val="Hyperlink"/>
            <w:b/>
            <w:webHidden/>
            <w:color w:val="auto"/>
            <w:u w:val="none"/>
          </w:rPr>
        </w:r>
        <w:r w:rsidR="00FC74AA" w:rsidRPr="00E960B0">
          <w:rPr>
            <w:rStyle w:val="Hyperlink"/>
            <w:b/>
            <w:webHidden/>
            <w:color w:val="auto"/>
            <w:u w:val="none"/>
          </w:rPr>
          <w:fldChar w:fldCharType="separate"/>
        </w:r>
        <w:r w:rsidR="008914AC">
          <w:rPr>
            <w:rStyle w:val="Hyperlink"/>
            <w:b/>
            <w:webHidden/>
            <w:color w:val="auto"/>
            <w:u w:val="none"/>
          </w:rPr>
          <w:t>188</w:t>
        </w:r>
        <w:r w:rsidR="00FC74AA" w:rsidRPr="00E960B0">
          <w:rPr>
            <w:rStyle w:val="Hyperlink"/>
            <w:b/>
            <w:webHidden/>
            <w:color w:val="auto"/>
            <w:u w:val="none"/>
          </w:rPr>
          <w:fldChar w:fldCharType="end"/>
        </w:r>
      </w:hyperlink>
    </w:p>
    <w:p w14:paraId="62D18DA9" w14:textId="24A0F7A6" w:rsidR="00FC74AA" w:rsidRPr="00E960B0" w:rsidRDefault="00004E68" w:rsidP="00A25490">
      <w:pPr>
        <w:pStyle w:val="TOC3"/>
        <w:rPr>
          <w:rStyle w:val="Hyperlink"/>
          <w:color w:val="auto"/>
          <w:u w:val="none"/>
        </w:rPr>
      </w:pPr>
      <w:hyperlink w:anchor="_Toc159858157" w:history="1">
        <w:r w:rsidR="00FC74AA" w:rsidRPr="00E960B0">
          <w:rPr>
            <w:rStyle w:val="Hyperlink"/>
            <w:color w:val="auto"/>
            <w:u w:val="none"/>
          </w:rPr>
          <w:t>1.1 Strategic Direction Statement</w:t>
        </w:r>
        <w:r w:rsidR="00FC74AA" w:rsidRPr="00E960B0">
          <w:rPr>
            <w:rStyle w:val="Hyperlink"/>
            <w:webHidden/>
            <w:color w:val="auto"/>
            <w:u w:val="none"/>
          </w:rPr>
          <w:tab/>
        </w:r>
        <w:r w:rsidR="00FC74AA" w:rsidRPr="00E960B0">
          <w:rPr>
            <w:rStyle w:val="Hyperlink"/>
            <w:webHidden/>
            <w:color w:val="auto"/>
            <w:u w:val="none"/>
          </w:rPr>
          <w:fldChar w:fldCharType="begin"/>
        </w:r>
        <w:r w:rsidR="00FC74AA" w:rsidRPr="00E960B0">
          <w:rPr>
            <w:rStyle w:val="Hyperlink"/>
            <w:webHidden/>
            <w:color w:val="auto"/>
            <w:u w:val="none"/>
          </w:rPr>
          <w:instrText xml:space="preserve"> PAGEREF _Toc159858157 \h </w:instrText>
        </w:r>
        <w:r w:rsidR="00FC74AA" w:rsidRPr="00E960B0">
          <w:rPr>
            <w:rStyle w:val="Hyperlink"/>
            <w:webHidden/>
            <w:color w:val="auto"/>
            <w:u w:val="none"/>
          </w:rPr>
        </w:r>
        <w:r w:rsidR="00FC74AA" w:rsidRPr="00E960B0">
          <w:rPr>
            <w:rStyle w:val="Hyperlink"/>
            <w:webHidden/>
            <w:color w:val="auto"/>
            <w:u w:val="none"/>
          </w:rPr>
          <w:fldChar w:fldCharType="separate"/>
        </w:r>
        <w:r w:rsidR="008914AC">
          <w:rPr>
            <w:rStyle w:val="Hyperlink"/>
            <w:webHidden/>
            <w:color w:val="auto"/>
            <w:u w:val="none"/>
          </w:rPr>
          <w:t>188</w:t>
        </w:r>
        <w:r w:rsidR="00FC74AA" w:rsidRPr="00E960B0">
          <w:rPr>
            <w:rStyle w:val="Hyperlink"/>
            <w:webHidden/>
            <w:color w:val="auto"/>
            <w:u w:val="none"/>
          </w:rPr>
          <w:fldChar w:fldCharType="end"/>
        </w:r>
      </w:hyperlink>
    </w:p>
    <w:p w14:paraId="1C346B42" w14:textId="56876151" w:rsidR="00FC74AA" w:rsidRPr="00E960B0" w:rsidRDefault="00004E68" w:rsidP="00A25490">
      <w:pPr>
        <w:pStyle w:val="TOC3"/>
        <w:rPr>
          <w:rStyle w:val="Hyperlink"/>
          <w:color w:val="auto"/>
          <w:u w:val="none"/>
        </w:rPr>
      </w:pPr>
      <w:hyperlink w:anchor="_Toc159858158" w:history="1">
        <w:r w:rsidR="00FC74AA" w:rsidRPr="00E960B0">
          <w:rPr>
            <w:rStyle w:val="Hyperlink"/>
            <w:color w:val="auto"/>
            <w:u w:val="none"/>
          </w:rPr>
          <w:t>1.2 ASA Resource Statement</w:t>
        </w:r>
        <w:r w:rsidR="00FC74AA" w:rsidRPr="00E960B0">
          <w:rPr>
            <w:rStyle w:val="Hyperlink"/>
            <w:webHidden/>
            <w:color w:val="auto"/>
            <w:u w:val="none"/>
          </w:rPr>
          <w:tab/>
        </w:r>
        <w:r w:rsidR="00FC74AA" w:rsidRPr="00E960B0">
          <w:rPr>
            <w:rStyle w:val="Hyperlink"/>
            <w:webHidden/>
            <w:color w:val="auto"/>
            <w:u w:val="none"/>
          </w:rPr>
          <w:fldChar w:fldCharType="begin"/>
        </w:r>
        <w:r w:rsidR="00FC74AA" w:rsidRPr="00E960B0">
          <w:rPr>
            <w:rStyle w:val="Hyperlink"/>
            <w:webHidden/>
            <w:color w:val="auto"/>
            <w:u w:val="none"/>
          </w:rPr>
          <w:instrText xml:space="preserve"> PAGEREF _Toc159858158 \h </w:instrText>
        </w:r>
        <w:r w:rsidR="00FC74AA" w:rsidRPr="00E960B0">
          <w:rPr>
            <w:rStyle w:val="Hyperlink"/>
            <w:webHidden/>
            <w:color w:val="auto"/>
            <w:u w:val="none"/>
          </w:rPr>
        </w:r>
        <w:r w:rsidR="00FC74AA" w:rsidRPr="00E960B0">
          <w:rPr>
            <w:rStyle w:val="Hyperlink"/>
            <w:webHidden/>
            <w:color w:val="auto"/>
            <w:u w:val="none"/>
          </w:rPr>
          <w:fldChar w:fldCharType="separate"/>
        </w:r>
        <w:r w:rsidR="008914AC">
          <w:rPr>
            <w:rStyle w:val="Hyperlink"/>
            <w:webHidden/>
            <w:color w:val="auto"/>
            <w:u w:val="none"/>
          </w:rPr>
          <w:t>191</w:t>
        </w:r>
        <w:r w:rsidR="00FC74AA" w:rsidRPr="00E960B0">
          <w:rPr>
            <w:rStyle w:val="Hyperlink"/>
            <w:webHidden/>
            <w:color w:val="auto"/>
            <w:u w:val="none"/>
          </w:rPr>
          <w:fldChar w:fldCharType="end"/>
        </w:r>
      </w:hyperlink>
    </w:p>
    <w:p w14:paraId="220374CE" w14:textId="03339C27" w:rsidR="00FC74AA" w:rsidRPr="00E960B0" w:rsidRDefault="00004E68" w:rsidP="00A25490">
      <w:pPr>
        <w:pStyle w:val="TOC3"/>
        <w:rPr>
          <w:rStyle w:val="Hyperlink"/>
          <w:color w:val="auto"/>
          <w:u w:val="none"/>
        </w:rPr>
      </w:pPr>
      <w:hyperlink w:anchor="_Toc159858159" w:history="1">
        <w:r w:rsidR="00FC74AA" w:rsidRPr="00E960B0">
          <w:rPr>
            <w:rStyle w:val="Hyperlink"/>
            <w:color w:val="auto"/>
            <w:u w:val="none"/>
          </w:rPr>
          <w:t>1.3 Budget Measures</w:t>
        </w:r>
        <w:r w:rsidR="00FC74AA" w:rsidRPr="00E960B0">
          <w:rPr>
            <w:rStyle w:val="Hyperlink"/>
            <w:webHidden/>
            <w:color w:val="auto"/>
            <w:u w:val="none"/>
          </w:rPr>
          <w:tab/>
        </w:r>
        <w:r w:rsidR="00FC74AA" w:rsidRPr="00E960B0">
          <w:rPr>
            <w:rStyle w:val="Hyperlink"/>
            <w:webHidden/>
            <w:color w:val="auto"/>
            <w:u w:val="none"/>
          </w:rPr>
          <w:fldChar w:fldCharType="begin"/>
        </w:r>
        <w:r w:rsidR="00FC74AA" w:rsidRPr="00E960B0">
          <w:rPr>
            <w:rStyle w:val="Hyperlink"/>
            <w:webHidden/>
            <w:color w:val="auto"/>
            <w:u w:val="none"/>
          </w:rPr>
          <w:instrText xml:space="preserve"> PAGEREF _Toc159858159 \h </w:instrText>
        </w:r>
        <w:r w:rsidR="00FC74AA" w:rsidRPr="00E960B0">
          <w:rPr>
            <w:rStyle w:val="Hyperlink"/>
            <w:webHidden/>
            <w:color w:val="auto"/>
            <w:u w:val="none"/>
          </w:rPr>
        </w:r>
        <w:r w:rsidR="00FC74AA" w:rsidRPr="00E960B0">
          <w:rPr>
            <w:rStyle w:val="Hyperlink"/>
            <w:webHidden/>
            <w:color w:val="auto"/>
            <w:u w:val="none"/>
          </w:rPr>
          <w:fldChar w:fldCharType="separate"/>
        </w:r>
        <w:r w:rsidR="008914AC">
          <w:rPr>
            <w:rStyle w:val="Hyperlink"/>
            <w:webHidden/>
            <w:color w:val="auto"/>
            <w:u w:val="none"/>
          </w:rPr>
          <w:t>192</w:t>
        </w:r>
        <w:r w:rsidR="00FC74AA" w:rsidRPr="00E960B0">
          <w:rPr>
            <w:rStyle w:val="Hyperlink"/>
            <w:webHidden/>
            <w:color w:val="auto"/>
            <w:u w:val="none"/>
          </w:rPr>
          <w:fldChar w:fldCharType="end"/>
        </w:r>
      </w:hyperlink>
    </w:p>
    <w:p w14:paraId="79A4D4A8" w14:textId="04836DB7" w:rsidR="00FC74AA" w:rsidRPr="00E960B0" w:rsidRDefault="00004E68" w:rsidP="00A25490">
      <w:pPr>
        <w:pStyle w:val="TOC3"/>
        <w:rPr>
          <w:rStyle w:val="Hyperlink"/>
          <w:color w:val="auto"/>
          <w:u w:val="none"/>
        </w:rPr>
      </w:pPr>
      <w:hyperlink w:anchor="_Toc159858160" w:history="1">
        <w:r w:rsidR="00FC74AA" w:rsidRPr="00E960B0">
          <w:rPr>
            <w:rStyle w:val="Hyperlink"/>
            <w:b/>
            <w:color w:val="auto"/>
            <w:u w:val="none"/>
          </w:rPr>
          <w:t>Section 2: ASA Outcomes and Planned Performance</w:t>
        </w:r>
        <w:r w:rsidR="00FC74AA" w:rsidRPr="00E960B0">
          <w:rPr>
            <w:rStyle w:val="Hyperlink"/>
            <w:b/>
            <w:webHidden/>
            <w:color w:val="auto"/>
            <w:u w:val="none"/>
          </w:rPr>
          <w:tab/>
        </w:r>
        <w:r w:rsidR="00FC74AA" w:rsidRPr="00E960B0">
          <w:rPr>
            <w:rStyle w:val="Hyperlink"/>
            <w:b/>
            <w:webHidden/>
            <w:color w:val="auto"/>
            <w:u w:val="none"/>
          </w:rPr>
          <w:fldChar w:fldCharType="begin"/>
        </w:r>
        <w:r w:rsidR="00FC74AA" w:rsidRPr="00E960B0">
          <w:rPr>
            <w:rStyle w:val="Hyperlink"/>
            <w:b/>
            <w:webHidden/>
            <w:color w:val="auto"/>
            <w:u w:val="none"/>
          </w:rPr>
          <w:instrText xml:space="preserve"> PAGEREF _Toc159858160 \h </w:instrText>
        </w:r>
        <w:r w:rsidR="00FC74AA" w:rsidRPr="00E960B0">
          <w:rPr>
            <w:rStyle w:val="Hyperlink"/>
            <w:b/>
            <w:webHidden/>
            <w:color w:val="auto"/>
            <w:u w:val="none"/>
          </w:rPr>
        </w:r>
        <w:r w:rsidR="00FC74AA" w:rsidRPr="00E960B0">
          <w:rPr>
            <w:rStyle w:val="Hyperlink"/>
            <w:b/>
            <w:webHidden/>
            <w:color w:val="auto"/>
            <w:u w:val="none"/>
          </w:rPr>
          <w:fldChar w:fldCharType="separate"/>
        </w:r>
        <w:r w:rsidR="008914AC">
          <w:rPr>
            <w:rStyle w:val="Hyperlink"/>
            <w:b/>
            <w:webHidden/>
            <w:color w:val="auto"/>
            <w:u w:val="none"/>
          </w:rPr>
          <w:t>193</w:t>
        </w:r>
        <w:r w:rsidR="00FC74AA" w:rsidRPr="00E960B0">
          <w:rPr>
            <w:rStyle w:val="Hyperlink"/>
            <w:b/>
            <w:webHidden/>
            <w:color w:val="auto"/>
            <w:u w:val="none"/>
          </w:rPr>
          <w:fldChar w:fldCharType="end"/>
        </w:r>
      </w:hyperlink>
    </w:p>
    <w:p w14:paraId="437F185C" w14:textId="26C5B55A" w:rsidR="00FC74AA" w:rsidRPr="00E960B0" w:rsidRDefault="00004E68" w:rsidP="00A25490">
      <w:pPr>
        <w:pStyle w:val="TOC3"/>
        <w:rPr>
          <w:rStyle w:val="Hyperlink"/>
          <w:color w:val="auto"/>
          <w:u w:val="none"/>
        </w:rPr>
      </w:pPr>
      <w:hyperlink w:anchor="_Toc159858161" w:history="1">
        <w:r w:rsidR="00FC74AA" w:rsidRPr="00E960B0">
          <w:rPr>
            <w:rStyle w:val="Hyperlink"/>
            <w:color w:val="auto"/>
            <w:u w:val="none"/>
          </w:rPr>
          <w:t>2.1 Budgeted Expenses and Performance for Outcome 1</w:t>
        </w:r>
        <w:r w:rsidR="00FC74AA" w:rsidRPr="00E960B0">
          <w:rPr>
            <w:rStyle w:val="Hyperlink"/>
            <w:webHidden/>
            <w:color w:val="auto"/>
            <w:u w:val="none"/>
          </w:rPr>
          <w:tab/>
        </w:r>
        <w:r w:rsidR="00FC74AA" w:rsidRPr="00E960B0">
          <w:rPr>
            <w:rStyle w:val="Hyperlink"/>
            <w:webHidden/>
            <w:color w:val="auto"/>
            <w:u w:val="none"/>
          </w:rPr>
          <w:fldChar w:fldCharType="begin"/>
        </w:r>
        <w:r w:rsidR="00FC74AA" w:rsidRPr="00E960B0">
          <w:rPr>
            <w:rStyle w:val="Hyperlink"/>
            <w:webHidden/>
            <w:color w:val="auto"/>
            <w:u w:val="none"/>
          </w:rPr>
          <w:instrText xml:space="preserve"> PAGEREF _Toc159858161 \h </w:instrText>
        </w:r>
        <w:r w:rsidR="00FC74AA" w:rsidRPr="00E960B0">
          <w:rPr>
            <w:rStyle w:val="Hyperlink"/>
            <w:webHidden/>
            <w:color w:val="auto"/>
            <w:u w:val="none"/>
          </w:rPr>
        </w:r>
        <w:r w:rsidR="00FC74AA" w:rsidRPr="00E960B0">
          <w:rPr>
            <w:rStyle w:val="Hyperlink"/>
            <w:webHidden/>
            <w:color w:val="auto"/>
            <w:u w:val="none"/>
          </w:rPr>
          <w:fldChar w:fldCharType="separate"/>
        </w:r>
        <w:r w:rsidR="008914AC">
          <w:rPr>
            <w:rStyle w:val="Hyperlink"/>
            <w:webHidden/>
            <w:color w:val="auto"/>
            <w:u w:val="none"/>
          </w:rPr>
          <w:t>194</w:t>
        </w:r>
        <w:r w:rsidR="00FC74AA" w:rsidRPr="00E960B0">
          <w:rPr>
            <w:rStyle w:val="Hyperlink"/>
            <w:webHidden/>
            <w:color w:val="auto"/>
            <w:u w:val="none"/>
          </w:rPr>
          <w:fldChar w:fldCharType="end"/>
        </w:r>
      </w:hyperlink>
    </w:p>
    <w:p w14:paraId="7DD6477A" w14:textId="120F92EE" w:rsidR="00FC74AA" w:rsidRPr="00E960B0" w:rsidRDefault="00004E68" w:rsidP="00A25490">
      <w:pPr>
        <w:pStyle w:val="TOC3"/>
        <w:rPr>
          <w:rStyle w:val="Hyperlink"/>
          <w:color w:val="auto"/>
          <w:u w:val="none"/>
        </w:rPr>
      </w:pPr>
      <w:hyperlink w:anchor="_Toc159858162" w:history="1">
        <w:r w:rsidR="00FC74AA" w:rsidRPr="00E960B0">
          <w:rPr>
            <w:rStyle w:val="Hyperlink"/>
            <w:b/>
            <w:color w:val="auto"/>
            <w:u w:val="none"/>
          </w:rPr>
          <w:t>Section 3: ASA Explanatory Tables and Budgeted Financial Statements</w:t>
        </w:r>
        <w:r w:rsidR="00FC74AA" w:rsidRPr="00E960B0">
          <w:rPr>
            <w:rStyle w:val="Hyperlink"/>
            <w:b/>
            <w:webHidden/>
            <w:color w:val="auto"/>
            <w:u w:val="none"/>
          </w:rPr>
          <w:tab/>
        </w:r>
        <w:r w:rsidR="00FC74AA" w:rsidRPr="00E960B0">
          <w:rPr>
            <w:rStyle w:val="Hyperlink"/>
            <w:b/>
            <w:webHidden/>
            <w:color w:val="auto"/>
            <w:u w:val="none"/>
          </w:rPr>
          <w:fldChar w:fldCharType="begin"/>
        </w:r>
        <w:r w:rsidR="00FC74AA" w:rsidRPr="00E960B0">
          <w:rPr>
            <w:rStyle w:val="Hyperlink"/>
            <w:b/>
            <w:webHidden/>
            <w:color w:val="auto"/>
            <w:u w:val="none"/>
          </w:rPr>
          <w:instrText xml:space="preserve"> PAGEREF _Toc159858162 \h </w:instrText>
        </w:r>
        <w:r w:rsidR="00FC74AA" w:rsidRPr="00E960B0">
          <w:rPr>
            <w:rStyle w:val="Hyperlink"/>
            <w:b/>
            <w:webHidden/>
            <w:color w:val="auto"/>
            <w:u w:val="none"/>
          </w:rPr>
        </w:r>
        <w:r w:rsidR="00FC74AA" w:rsidRPr="00E960B0">
          <w:rPr>
            <w:rStyle w:val="Hyperlink"/>
            <w:b/>
            <w:webHidden/>
            <w:color w:val="auto"/>
            <w:u w:val="none"/>
          </w:rPr>
          <w:fldChar w:fldCharType="separate"/>
        </w:r>
        <w:r w:rsidR="008914AC">
          <w:rPr>
            <w:rStyle w:val="Hyperlink"/>
            <w:b/>
            <w:webHidden/>
            <w:color w:val="auto"/>
            <w:u w:val="none"/>
          </w:rPr>
          <w:t>199</w:t>
        </w:r>
        <w:r w:rsidR="00FC74AA" w:rsidRPr="00E960B0">
          <w:rPr>
            <w:rStyle w:val="Hyperlink"/>
            <w:b/>
            <w:webHidden/>
            <w:color w:val="auto"/>
            <w:u w:val="none"/>
          </w:rPr>
          <w:fldChar w:fldCharType="end"/>
        </w:r>
      </w:hyperlink>
    </w:p>
    <w:p w14:paraId="20810D28" w14:textId="4F2B5BD8" w:rsidR="00FC74AA" w:rsidRPr="00E960B0" w:rsidRDefault="00004E68" w:rsidP="00A25490">
      <w:pPr>
        <w:pStyle w:val="TOC3"/>
        <w:rPr>
          <w:rStyle w:val="Hyperlink"/>
          <w:color w:val="auto"/>
          <w:u w:val="none"/>
        </w:rPr>
      </w:pPr>
      <w:hyperlink w:anchor="_Toc159858163" w:history="1">
        <w:r w:rsidR="00FC74AA" w:rsidRPr="00E960B0">
          <w:rPr>
            <w:rStyle w:val="Hyperlink"/>
            <w:color w:val="auto"/>
            <w:u w:val="none"/>
          </w:rPr>
          <w:t>3.1 Explanatory Tables</w:t>
        </w:r>
        <w:r w:rsidR="00FC74AA" w:rsidRPr="00E960B0">
          <w:rPr>
            <w:rStyle w:val="Hyperlink"/>
            <w:webHidden/>
            <w:color w:val="auto"/>
            <w:u w:val="none"/>
          </w:rPr>
          <w:tab/>
        </w:r>
        <w:r w:rsidR="00FC74AA" w:rsidRPr="00E960B0">
          <w:rPr>
            <w:rStyle w:val="Hyperlink"/>
            <w:webHidden/>
            <w:color w:val="auto"/>
            <w:u w:val="none"/>
          </w:rPr>
          <w:fldChar w:fldCharType="begin"/>
        </w:r>
        <w:r w:rsidR="00FC74AA" w:rsidRPr="00E960B0">
          <w:rPr>
            <w:rStyle w:val="Hyperlink"/>
            <w:webHidden/>
            <w:color w:val="auto"/>
            <w:u w:val="none"/>
          </w:rPr>
          <w:instrText xml:space="preserve"> PAGEREF _Toc159858163 \h </w:instrText>
        </w:r>
        <w:r w:rsidR="00FC74AA" w:rsidRPr="00E960B0">
          <w:rPr>
            <w:rStyle w:val="Hyperlink"/>
            <w:webHidden/>
            <w:color w:val="auto"/>
            <w:u w:val="none"/>
          </w:rPr>
        </w:r>
        <w:r w:rsidR="00FC74AA" w:rsidRPr="00E960B0">
          <w:rPr>
            <w:rStyle w:val="Hyperlink"/>
            <w:webHidden/>
            <w:color w:val="auto"/>
            <w:u w:val="none"/>
          </w:rPr>
          <w:fldChar w:fldCharType="separate"/>
        </w:r>
        <w:r w:rsidR="008914AC">
          <w:rPr>
            <w:rStyle w:val="Hyperlink"/>
            <w:webHidden/>
            <w:color w:val="auto"/>
            <w:u w:val="none"/>
          </w:rPr>
          <w:t>199</w:t>
        </w:r>
        <w:r w:rsidR="00FC74AA" w:rsidRPr="00E960B0">
          <w:rPr>
            <w:rStyle w:val="Hyperlink"/>
            <w:webHidden/>
            <w:color w:val="auto"/>
            <w:u w:val="none"/>
          </w:rPr>
          <w:fldChar w:fldCharType="end"/>
        </w:r>
      </w:hyperlink>
    </w:p>
    <w:p w14:paraId="11E2787F" w14:textId="3BD180F4" w:rsidR="00FC74AA" w:rsidRPr="00E960B0" w:rsidRDefault="00004E68" w:rsidP="00A25490">
      <w:pPr>
        <w:pStyle w:val="TOC3"/>
        <w:rPr>
          <w:rStyle w:val="Hyperlink"/>
          <w:color w:val="auto"/>
          <w:u w:val="none"/>
        </w:rPr>
      </w:pPr>
      <w:hyperlink w:anchor="_Toc159858164" w:history="1">
        <w:r w:rsidR="00FC74AA" w:rsidRPr="00E960B0">
          <w:rPr>
            <w:rStyle w:val="Hyperlink"/>
            <w:color w:val="auto"/>
            <w:u w:val="none"/>
          </w:rPr>
          <w:t>3.2 Budgeted Financial Statements</w:t>
        </w:r>
        <w:r w:rsidR="00FC74AA" w:rsidRPr="00E960B0">
          <w:rPr>
            <w:rStyle w:val="Hyperlink"/>
            <w:webHidden/>
            <w:color w:val="auto"/>
            <w:u w:val="none"/>
          </w:rPr>
          <w:tab/>
        </w:r>
        <w:r w:rsidR="00FC74AA" w:rsidRPr="00E960B0">
          <w:rPr>
            <w:rStyle w:val="Hyperlink"/>
            <w:webHidden/>
            <w:color w:val="auto"/>
            <w:u w:val="none"/>
          </w:rPr>
          <w:fldChar w:fldCharType="begin"/>
        </w:r>
        <w:r w:rsidR="00FC74AA" w:rsidRPr="00E960B0">
          <w:rPr>
            <w:rStyle w:val="Hyperlink"/>
            <w:webHidden/>
            <w:color w:val="auto"/>
            <w:u w:val="none"/>
          </w:rPr>
          <w:instrText xml:space="preserve"> PAGEREF _Toc159858164 \h </w:instrText>
        </w:r>
        <w:r w:rsidR="00FC74AA" w:rsidRPr="00E960B0">
          <w:rPr>
            <w:rStyle w:val="Hyperlink"/>
            <w:webHidden/>
            <w:color w:val="auto"/>
            <w:u w:val="none"/>
          </w:rPr>
        </w:r>
        <w:r w:rsidR="00FC74AA" w:rsidRPr="00E960B0">
          <w:rPr>
            <w:rStyle w:val="Hyperlink"/>
            <w:webHidden/>
            <w:color w:val="auto"/>
            <w:u w:val="none"/>
          </w:rPr>
          <w:fldChar w:fldCharType="separate"/>
        </w:r>
        <w:r w:rsidR="008914AC">
          <w:rPr>
            <w:rStyle w:val="Hyperlink"/>
            <w:webHidden/>
            <w:color w:val="auto"/>
            <w:u w:val="none"/>
          </w:rPr>
          <w:t>200</w:t>
        </w:r>
        <w:r w:rsidR="00FC74AA" w:rsidRPr="00E960B0">
          <w:rPr>
            <w:rStyle w:val="Hyperlink"/>
            <w:webHidden/>
            <w:color w:val="auto"/>
            <w:u w:val="none"/>
          </w:rPr>
          <w:fldChar w:fldCharType="end"/>
        </w:r>
      </w:hyperlink>
    </w:p>
    <w:p w14:paraId="3835661F" w14:textId="77777777" w:rsidR="00D66AEE" w:rsidRPr="00B56FAA" w:rsidRDefault="00022F6E" w:rsidP="00D66AEE">
      <w:pPr>
        <w:spacing w:before="0" w:after="0"/>
        <w:rPr>
          <w:sz w:val="12"/>
          <w:szCs w:val="12"/>
        </w:rPr>
      </w:pPr>
      <w:r w:rsidRPr="00E960B0">
        <w:rPr>
          <w:rFonts w:ascii="Arial" w:hAnsi="Arial"/>
          <w:bCs/>
          <w:noProof/>
        </w:rPr>
        <w:fldChar w:fldCharType="end"/>
      </w:r>
      <w:r w:rsidR="00003B8B" w:rsidRPr="00B56FAA">
        <w:rPr>
          <w:lang w:val="en-AU"/>
        </w:rPr>
        <w:br w:type="page"/>
      </w:r>
    </w:p>
    <w:p w14:paraId="739B7FC3" w14:textId="77777777" w:rsidR="0004311C" w:rsidRPr="005A040E" w:rsidRDefault="0004311C" w:rsidP="0091125B">
      <w:pPr>
        <w:pStyle w:val="heading1level2"/>
        <w:spacing w:before="100" w:after="100"/>
        <w:jc w:val="left"/>
        <w:outlineLvl w:val="9"/>
        <w:rPr>
          <w:smallCaps w:val="0"/>
          <w:sz w:val="36"/>
          <w:szCs w:val="36"/>
        </w:rPr>
      </w:pPr>
      <w:bookmarkStart w:id="1091" w:name="_Toc476581167"/>
      <w:bookmarkStart w:id="1092" w:name="_Toc507595434"/>
      <w:bookmarkStart w:id="1093" w:name="_Toc536089241"/>
      <w:bookmarkStart w:id="1094" w:name="_Toc536089607"/>
      <w:bookmarkStart w:id="1095" w:name="_Toc1561694"/>
      <w:bookmarkStart w:id="1096" w:name="_Toc51691690"/>
      <w:bookmarkStart w:id="1097" w:name="_Toc69729060"/>
      <w:bookmarkStart w:id="1098" w:name="_Toc69917855"/>
      <w:bookmarkStart w:id="1099" w:name="_Toc108088957"/>
      <w:bookmarkStart w:id="1100" w:name="_Toc108089036"/>
      <w:bookmarkStart w:id="1101" w:name="_Toc108089430"/>
      <w:bookmarkStart w:id="1102" w:name="_Toc109227297"/>
      <w:bookmarkStart w:id="1103" w:name="_Toc109227752"/>
      <w:r w:rsidRPr="005A040E">
        <w:rPr>
          <w:smallCaps w:val="0"/>
          <w:sz w:val="36"/>
          <w:szCs w:val="36"/>
        </w:rPr>
        <w:lastRenderedPageBreak/>
        <w:t>Australian Submarine Agency</w:t>
      </w:r>
    </w:p>
    <w:p w14:paraId="2F814723" w14:textId="77777777" w:rsidR="0004311C" w:rsidRPr="00FC74AA" w:rsidRDefault="0004311C" w:rsidP="00FC74AA">
      <w:pPr>
        <w:pStyle w:val="Heading2level3"/>
      </w:pPr>
      <w:bookmarkStart w:id="1104" w:name="_Toc149060139"/>
      <w:bookmarkStart w:id="1105" w:name="_Toc149116023"/>
      <w:bookmarkStart w:id="1106" w:name="_Toc149119346"/>
      <w:bookmarkStart w:id="1107" w:name="_Toc149233136"/>
      <w:bookmarkStart w:id="1108" w:name="_Toc155955152"/>
      <w:bookmarkStart w:id="1109" w:name="_Toc158896308"/>
      <w:bookmarkStart w:id="1110" w:name="_Toc159499709"/>
      <w:bookmarkStart w:id="1111" w:name="_Toc159858156"/>
      <w:bookmarkStart w:id="1112" w:name="_Toc159858822"/>
      <w:bookmarkStart w:id="1113" w:name="_Toc159858892"/>
      <w:bookmarkStart w:id="1114" w:name="_Toc159859126"/>
      <w:bookmarkStart w:id="1115" w:name="_Toc159859278"/>
      <w:bookmarkStart w:id="1116" w:name="_Toc159862298"/>
      <w:bookmarkStart w:id="1117" w:name="_Toc159862488"/>
      <w:bookmarkStart w:id="1118" w:name="_Toc476581168"/>
      <w:bookmarkStart w:id="1119" w:name="_Toc507595435"/>
      <w:bookmarkStart w:id="1120" w:name="_Toc536089242"/>
      <w:bookmarkStart w:id="1121" w:name="_Toc536089608"/>
      <w:bookmarkStart w:id="1122" w:name="_Toc1561695"/>
      <w:bookmarkStart w:id="1123" w:name="_Toc51691691"/>
      <w:bookmarkStart w:id="1124" w:name="_Toc69729061"/>
      <w:bookmarkStart w:id="1125" w:name="_Toc69917856"/>
      <w:bookmarkStart w:id="1126" w:name="_Toc108088958"/>
      <w:bookmarkStart w:id="1127" w:name="_Toc108089037"/>
      <w:bookmarkStart w:id="1128" w:name="_Toc108089431"/>
      <w:bookmarkStart w:id="1129" w:name="_Toc109227753"/>
      <w:bookmarkEnd w:id="1091"/>
      <w:bookmarkEnd w:id="1092"/>
      <w:bookmarkEnd w:id="1093"/>
      <w:bookmarkEnd w:id="1094"/>
      <w:bookmarkEnd w:id="1095"/>
      <w:bookmarkEnd w:id="1096"/>
      <w:bookmarkEnd w:id="1097"/>
      <w:bookmarkEnd w:id="1098"/>
      <w:bookmarkEnd w:id="1099"/>
      <w:bookmarkEnd w:id="1100"/>
      <w:bookmarkEnd w:id="1101"/>
      <w:bookmarkEnd w:id="1102"/>
      <w:bookmarkEnd w:id="1103"/>
      <w:r w:rsidRPr="00FC74AA">
        <w:t>Section 1: ASA Overview and Resources</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p>
    <w:p w14:paraId="0D92E7C1" w14:textId="77777777" w:rsidR="00926887" w:rsidRPr="00B56FAA" w:rsidRDefault="00926887" w:rsidP="001258C8">
      <w:pPr>
        <w:pStyle w:val="BodyText"/>
        <w:spacing w:after="100"/>
        <w:outlineLvl w:val="2"/>
        <w:rPr>
          <w:rFonts w:ascii="Arial Bold" w:hAnsi="Arial Bold"/>
          <w:sz w:val="24"/>
        </w:rPr>
      </w:pPr>
      <w:bookmarkStart w:id="1130" w:name="_Toc159499710"/>
      <w:bookmarkStart w:id="1131" w:name="_Toc159858157"/>
      <w:bookmarkStart w:id="1132" w:name="_Toc159858823"/>
      <w:bookmarkStart w:id="1133" w:name="_Toc159858893"/>
      <w:bookmarkStart w:id="1134" w:name="_Toc159859127"/>
      <w:bookmarkStart w:id="1135" w:name="_Toc159859279"/>
      <w:bookmarkStart w:id="1136" w:name="_Toc159862299"/>
      <w:bookmarkStart w:id="1137" w:name="_Toc159862489"/>
      <w:r w:rsidRPr="00FB0876">
        <w:rPr>
          <w:rFonts w:ascii="Arial Bold" w:hAnsi="Arial Bold"/>
          <w:sz w:val="24"/>
        </w:rPr>
        <w:t>1.1 Strategic Direction Statement</w:t>
      </w:r>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p>
    <w:p w14:paraId="57D18904" w14:textId="77777777" w:rsidR="00C101A9" w:rsidRPr="0089667E" w:rsidRDefault="00C101A9" w:rsidP="00C101A9">
      <w:pPr>
        <w:rPr>
          <w:lang w:eastAsia="en-US"/>
        </w:rPr>
      </w:pPr>
      <w:r w:rsidRPr="0089667E">
        <w:rPr>
          <w:lang w:eastAsia="en-US"/>
        </w:rPr>
        <w:t>Australia’s region is being reshaped and the strategic environment is becoming more challenging. It is being accompanied by an unprecedented conventional and non-conventional military build-up in our region, taking place without strategic reassurance or transparency. There is increasing competition economically, militarily, strategically and diplomatically alongside a contest of values and narratives.</w:t>
      </w:r>
    </w:p>
    <w:p w14:paraId="1C82373F" w14:textId="33C8D6DF" w:rsidR="00C101A9" w:rsidRPr="0089667E" w:rsidRDefault="00C101A9" w:rsidP="00C101A9">
      <w:pPr>
        <w:rPr>
          <w:lang w:eastAsia="en-US"/>
        </w:rPr>
      </w:pPr>
      <w:r w:rsidRPr="0089667E">
        <w:rPr>
          <w:lang w:eastAsia="en-US"/>
        </w:rPr>
        <w:t xml:space="preserve">Following the Defence Strategic Review, the Government released the </w:t>
      </w:r>
      <w:r w:rsidRPr="0089667E">
        <w:rPr>
          <w:i/>
          <w:lang w:eastAsia="en-US"/>
        </w:rPr>
        <w:t>2024 National Defence Strategy</w:t>
      </w:r>
      <w:r w:rsidRPr="0089667E">
        <w:rPr>
          <w:lang w:eastAsia="en-US"/>
        </w:rPr>
        <w:t xml:space="preserve"> (NDS) which details the Government’s approach to address Australia’s most significant strategic risks based on the concept of National Defence. The</w:t>
      </w:r>
      <w:r w:rsidR="00E04845">
        <w:rPr>
          <w:lang w:eastAsia="en-US"/>
        </w:rPr>
        <w:t xml:space="preserve"> NDS is a coordinated, whole</w:t>
      </w:r>
      <w:r w:rsidR="00E04845">
        <w:rPr>
          <w:lang w:eastAsia="en-US"/>
        </w:rPr>
        <w:noBreakHyphen/>
        <w:t>of</w:t>
      </w:r>
      <w:r w:rsidR="00E04845">
        <w:rPr>
          <w:lang w:eastAsia="en-US"/>
        </w:rPr>
        <w:noBreakHyphen/>
        <w:t>g</w:t>
      </w:r>
      <w:r w:rsidRPr="0089667E">
        <w:rPr>
          <w:lang w:eastAsia="en-US"/>
        </w:rPr>
        <w:t xml:space="preserve">overnment and whole-of-nation approach that harnesses all arms of Australia’s national power to defend Australia and advance our interests. </w:t>
      </w:r>
    </w:p>
    <w:p w14:paraId="4A8E28BA" w14:textId="77777777" w:rsidR="00C101A9" w:rsidRPr="0089667E" w:rsidRDefault="00C101A9" w:rsidP="00C101A9">
      <w:pPr>
        <w:rPr>
          <w:lang w:eastAsia="en-US"/>
        </w:rPr>
      </w:pPr>
      <w:r w:rsidRPr="0089667E">
        <w:rPr>
          <w:lang w:eastAsia="en-US"/>
        </w:rPr>
        <w:t xml:space="preserve">To mitigate the challenging strategic environment, Australia’s NDS has adopted a Strategy of Denial through deterrence. In this context, Australia is pursuing enhanced capabilities to deter threats to its national security and regional stability. The acquisition of conventionally-armed, nuclear-powered submarines through the AUKUS partnership is central to this approach. </w:t>
      </w:r>
    </w:p>
    <w:p w14:paraId="4ABD544A" w14:textId="0077D7BE" w:rsidR="00C101A9" w:rsidRPr="0089667E" w:rsidRDefault="00C101A9" w:rsidP="00C101A9">
      <w:pPr>
        <w:rPr>
          <w:lang w:eastAsia="en-US"/>
        </w:rPr>
      </w:pPr>
      <w:r w:rsidRPr="0089667E">
        <w:rPr>
          <w:lang w:eastAsia="en-US"/>
        </w:rPr>
        <w:t>For a maritime nation like Australia, just like the U</w:t>
      </w:r>
      <w:r w:rsidR="000A5549">
        <w:rPr>
          <w:lang w:eastAsia="en-US"/>
        </w:rPr>
        <w:t xml:space="preserve">nited </w:t>
      </w:r>
      <w:r w:rsidRPr="0089667E">
        <w:rPr>
          <w:lang w:eastAsia="en-US"/>
        </w:rPr>
        <w:t>K</w:t>
      </w:r>
      <w:r w:rsidR="000A5549">
        <w:rPr>
          <w:lang w:eastAsia="en-US"/>
        </w:rPr>
        <w:t>ingdom</w:t>
      </w:r>
      <w:r w:rsidRPr="0089667E">
        <w:rPr>
          <w:lang w:eastAsia="en-US"/>
        </w:rPr>
        <w:t xml:space="preserve"> and the U</w:t>
      </w:r>
      <w:r w:rsidR="000A5549">
        <w:rPr>
          <w:lang w:eastAsia="en-US"/>
        </w:rPr>
        <w:t xml:space="preserve">nited </w:t>
      </w:r>
      <w:r w:rsidRPr="0089667E">
        <w:rPr>
          <w:lang w:eastAsia="en-US"/>
        </w:rPr>
        <w:t>S</w:t>
      </w:r>
      <w:r w:rsidR="000A5549">
        <w:rPr>
          <w:lang w:eastAsia="en-US"/>
        </w:rPr>
        <w:t>tates</w:t>
      </w:r>
      <w:r w:rsidRPr="0089667E">
        <w:rPr>
          <w:lang w:eastAsia="en-US"/>
        </w:rPr>
        <w:t>, maintaining a submarine capability advantage over potential adversaries is vital. The defence of Australia’s interests lies in the protection of our economic connection to the world and the maintenance of the global rules</w:t>
      </w:r>
      <w:r w:rsidR="0021531F">
        <w:rPr>
          <w:lang w:eastAsia="en-US"/>
        </w:rPr>
        <w:noBreakHyphen/>
      </w:r>
      <w:r w:rsidRPr="0089667E">
        <w:rPr>
          <w:lang w:eastAsia="en-US"/>
        </w:rPr>
        <w:t>based order. By investing in these high-end capabilities, Australia</w:t>
      </w:r>
      <w:r w:rsidR="000A5549">
        <w:rPr>
          <w:lang w:eastAsia="en-US"/>
        </w:rPr>
        <w:t xml:space="preserve"> will </w:t>
      </w:r>
      <w:r w:rsidRPr="0089667E">
        <w:rPr>
          <w:lang w:eastAsia="en-US"/>
        </w:rPr>
        <w:t>remain a highly capable security pa</w:t>
      </w:r>
      <w:r w:rsidR="007602A3">
        <w:rPr>
          <w:lang w:eastAsia="en-US"/>
        </w:rPr>
        <w:t>rtner in the region, capable of</w:t>
      </w:r>
      <w:r w:rsidRPr="0089667E">
        <w:rPr>
          <w:lang w:eastAsia="en-US"/>
        </w:rPr>
        <w:t xml:space="preserve"> deterring actors from taking action against our interests, contributing to a peaceful, stable and prosperous region, and protecting Australia’s critical sea lines of communication. An Australian nuclear-powered submarine fleet provides a unique and game-changing boost to Australia’s sovereign capability.</w:t>
      </w:r>
    </w:p>
    <w:p w14:paraId="5C578A3A" w14:textId="514D9B3D" w:rsidR="00C101A9" w:rsidRPr="0089667E" w:rsidRDefault="00C101A9" w:rsidP="00C101A9">
      <w:pPr>
        <w:rPr>
          <w:lang w:eastAsia="en-US"/>
        </w:rPr>
      </w:pPr>
      <w:r w:rsidRPr="0089667E">
        <w:rPr>
          <w:lang w:eastAsia="en-US"/>
        </w:rPr>
        <w:t>The Australian Submarine Agency (ASA), working closely with AUKUS partners and other Australian Government departments, is making significant progress in delivering against the plan for Australia’s acquisition of conventionally-armed, nuclear-powered submarines, as ou</w:t>
      </w:r>
      <w:r w:rsidR="007602A3">
        <w:rPr>
          <w:lang w:eastAsia="en-US"/>
        </w:rPr>
        <w:t xml:space="preserve">tlined in the Optimal Pathway. </w:t>
      </w:r>
      <w:r w:rsidRPr="0089667E">
        <w:rPr>
          <w:lang w:eastAsia="en-US"/>
        </w:rPr>
        <w:t>This includes developing the workforce, infrastructure, and industry we need to safely and securely build, maintain, and operate our sovereign fleet of nuclear-powered submarines from the early 2030s.</w:t>
      </w:r>
    </w:p>
    <w:p w14:paraId="255EA9C4" w14:textId="2853D368" w:rsidR="00C101A9" w:rsidRPr="0089667E" w:rsidRDefault="00C101A9" w:rsidP="00C101A9">
      <w:pPr>
        <w:rPr>
          <w:lang w:eastAsia="en-US"/>
        </w:rPr>
      </w:pPr>
      <w:r w:rsidRPr="0089667E">
        <w:rPr>
          <w:lang w:eastAsia="en-US"/>
        </w:rPr>
        <w:t>Significant milestones achieved to date include the Submarine Tendered Maintenance Period, the entry into force of the AUKUS Agreement for Cooperation Related to Naval Nuclear Propulsion, industry initiatives such as the Defence Industry Vendor Qualification (DIVQ) Program and workforce development initiatives through the placement of Navy and industry personnel in U</w:t>
      </w:r>
      <w:r w:rsidR="000A5549">
        <w:rPr>
          <w:lang w:eastAsia="en-US"/>
        </w:rPr>
        <w:t xml:space="preserve">nited </w:t>
      </w:r>
      <w:r w:rsidRPr="0089667E">
        <w:rPr>
          <w:lang w:eastAsia="en-US"/>
        </w:rPr>
        <w:t>K</w:t>
      </w:r>
      <w:r w:rsidR="000A5549">
        <w:rPr>
          <w:lang w:eastAsia="en-US"/>
        </w:rPr>
        <w:t>ingdom</w:t>
      </w:r>
      <w:r w:rsidRPr="0089667E">
        <w:rPr>
          <w:lang w:eastAsia="en-US"/>
        </w:rPr>
        <w:t xml:space="preserve"> and U</w:t>
      </w:r>
      <w:r w:rsidR="000A5549">
        <w:rPr>
          <w:lang w:eastAsia="en-US"/>
        </w:rPr>
        <w:t xml:space="preserve">nited </w:t>
      </w:r>
      <w:r w:rsidRPr="0089667E">
        <w:rPr>
          <w:lang w:eastAsia="en-US"/>
        </w:rPr>
        <w:t>S</w:t>
      </w:r>
      <w:r w:rsidR="000A5549">
        <w:rPr>
          <w:lang w:eastAsia="en-US"/>
        </w:rPr>
        <w:t>tates</w:t>
      </w:r>
      <w:r w:rsidRPr="0089667E">
        <w:rPr>
          <w:lang w:eastAsia="en-US"/>
        </w:rPr>
        <w:t xml:space="preserve"> training schools, shipyards and facilities.</w:t>
      </w:r>
    </w:p>
    <w:p w14:paraId="3BA37DC0" w14:textId="69132454" w:rsidR="00C12F95" w:rsidRDefault="00C101A9" w:rsidP="00C101A9">
      <w:pPr>
        <w:pStyle w:val="BodyText"/>
        <w:rPr>
          <w:lang w:eastAsia="en-US"/>
        </w:rPr>
      </w:pPr>
      <w:r w:rsidRPr="0089667E">
        <w:rPr>
          <w:lang w:eastAsia="en-US"/>
        </w:rPr>
        <w:t>These milestones build on our major achievements since the ASA was established including selecting, entering into contract and commencing mobilisation activities with our sovereign submarine build and sustainment partners; the land exchange agreement for the Nuclear</w:t>
      </w:r>
      <w:r w:rsidR="00E912DD">
        <w:rPr>
          <w:lang w:eastAsia="en-US"/>
        </w:rPr>
        <w:noBreakHyphen/>
        <w:t>P</w:t>
      </w:r>
      <w:r w:rsidRPr="0089667E">
        <w:rPr>
          <w:lang w:eastAsia="en-US"/>
        </w:rPr>
        <w:t xml:space="preserve">owered Submarine Construction Yard in Adelaide; infrastructure enabling works commencing at HMAS </w:t>
      </w:r>
      <w:r w:rsidRPr="0089667E">
        <w:rPr>
          <w:i/>
          <w:lang w:eastAsia="en-US"/>
        </w:rPr>
        <w:t>Stirling</w:t>
      </w:r>
      <w:r w:rsidRPr="0089667E">
        <w:rPr>
          <w:lang w:eastAsia="en-US"/>
        </w:rPr>
        <w:t>; and supply chain qualification activities, including the qualification of Australian steel.</w:t>
      </w:r>
    </w:p>
    <w:p w14:paraId="0A1BF569" w14:textId="500AD414" w:rsidR="00C101A9" w:rsidRPr="0089667E" w:rsidRDefault="00C101A9" w:rsidP="00C101A9">
      <w:pPr>
        <w:rPr>
          <w:lang w:eastAsia="en-US"/>
        </w:rPr>
      </w:pPr>
      <w:r w:rsidRPr="0089667E">
        <w:rPr>
          <w:lang w:eastAsia="en-US"/>
        </w:rPr>
        <w:lastRenderedPageBreak/>
        <w:t xml:space="preserve">Key priorities for the ASA in 2025 include continuing mobilisation activities with our sovereign submarine build and sustainment partners, increasing opportunities for Australian businesses to supply their products and services into the AUKUS trilateral submarine industrial base, overseeing the delivery of the </w:t>
      </w:r>
      <w:r w:rsidR="00E912DD">
        <w:rPr>
          <w:lang w:eastAsia="en-US"/>
        </w:rPr>
        <w:t xml:space="preserve">Nuclear-Powered </w:t>
      </w:r>
      <w:r w:rsidRPr="0089667E">
        <w:rPr>
          <w:lang w:eastAsia="en-US"/>
        </w:rPr>
        <w:t xml:space="preserve">Submarine Construction Yard in Adelaide by Australian Naval Infrastructure and infrastructure upgrades at HMAS </w:t>
      </w:r>
      <w:r w:rsidRPr="0089667E">
        <w:rPr>
          <w:i/>
          <w:lang w:eastAsia="en-US"/>
        </w:rPr>
        <w:t>Stirling</w:t>
      </w:r>
      <w:r w:rsidRPr="0089667E">
        <w:rPr>
          <w:lang w:eastAsia="en-US"/>
        </w:rPr>
        <w:t xml:space="preserve"> by Defence Security and Estate Group. </w:t>
      </w:r>
    </w:p>
    <w:p w14:paraId="6DA27BA2" w14:textId="34F304AD" w:rsidR="00C101A9" w:rsidRPr="0089667E" w:rsidRDefault="00C101A9" w:rsidP="00C101A9">
      <w:pPr>
        <w:rPr>
          <w:lang w:eastAsia="en-US"/>
        </w:rPr>
      </w:pPr>
      <w:r w:rsidRPr="0089667E">
        <w:rPr>
          <w:lang w:eastAsia="en-US"/>
        </w:rPr>
        <w:t>Enterprise workforce development continues to be a priority for the ASA. The ASA is working closely with sovereign submarine build and sustainment partners, the education sector, as well as other key stakeholders to take a whole-of-nation approach to education and workforce development. World</w:t>
      </w:r>
      <w:r w:rsidR="003665BD">
        <w:rPr>
          <w:lang w:eastAsia="en-US"/>
        </w:rPr>
        <w:t>-</w:t>
      </w:r>
      <w:r w:rsidRPr="0089667E">
        <w:rPr>
          <w:lang w:eastAsia="en-US"/>
        </w:rPr>
        <w:t>class training opportunities are also being provided to Royal Australian Navy personnel at U</w:t>
      </w:r>
      <w:r w:rsidR="000A5549">
        <w:rPr>
          <w:lang w:eastAsia="en-US"/>
        </w:rPr>
        <w:t xml:space="preserve">nited </w:t>
      </w:r>
      <w:r w:rsidRPr="0089667E">
        <w:rPr>
          <w:lang w:eastAsia="en-US"/>
        </w:rPr>
        <w:t>K</w:t>
      </w:r>
      <w:r w:rsidR="000A5549">
        <w:rPr>
          <w:lang w:eastAsia="en-US"/>
        </w:rPr>
        <w:t>ingdom</w:t>
      </w:r>
      <w:r w:rsidRPr="0089667E">
        <w:rPr>
          <w:lang w:eastAsia="en-US"/>
        </w:rPr>
        <w:t xml:space="preserve"> and U</w:t>
      </w:r>
      <w:r w:rsidR="000A5549">
        <w:rPr>
          <w:lang w:eastAsia="en-US"/>
        </w:rPr>
        <w:t xml:space="preserve">nited </w:t>
      </w:r>
      <w:r w:rsidRPr="0089667E">
        <w:rPr>
          <w:lang w:eastAsia="en-US"/>
        </w:rPr>
        <w:t>S</w:t>
      </w:r>
      <w:r w:rsidR="000A5549">
        <w:rPr>
          <w:lang w:eastAsia="en-US"/>
        </w:rPr>
        <w:t>tates</w:t>
      </w:r>
      <w:r w:rsidRPr="0089667E">
        <w:rPr>
          <w:lang w:eastAsia="en-US"/>
        </w:rPr>
        <w:t xml:space="preserve"> naval nuclear schools.  </w:t>
      </w:r>
    </w:p>
    <w:p w14:paraId="0D6DE26D" w14:textId="5D98010A" w:rsidR="00C101A9" w:rsidRDefault="00680B8D" w:rsidP="00C101A9">
      <w:pPr>
        <w:pStyle w:val="BodyText"/>
      </w:pPr>
      <w:r>
        <w:rPr>
          <w:lang w:eastAsia="en-US"/>
        </w:rPr>
        <w:t>Through</w:t>
      </w:r>
      <w:r w:rsidR="00C101A9" w:rsidRPr="0089667E">
        <w:rPr>
          <w:lang w:eastAsia="en-US"/>
        </w:rPr>
        <w:t xml:space="preserve"> 2025</w:t>
      </w:r>
      <w:r>
        <w:rPr>
          <w:lang w:eastAsia="en-US"/>
        </w:rPr>
        <w:t>-26</w:t>
      </w:r>
      <w:r w:rsidR="00C101A9" w:rsidRPr="0089667E">
        <w:rPr>
          <w:lang w:eastAsia="en-US"/>
        </w:rPr>
        <w:t>, the ASA will continue to build Australian capability in the lead up to Submarine Rotational Force-West through longer and more frequent port visits to Australia by U</w:t>
      </w:r>
      <w:r w:rsidR="000A5549">
        <w:rPr>
          <w:lang w:eastAsia="en-US"/>
        </w:rPr>
        <w:t xml:space="preserve">nited </w:t>
      </w:r>
      <w:r w:rsidR="00C101A9" w:rsidRPr="0089667E">
        <w:rPr>
          <w:lang w:eastAsia="en-US"/>
        </w:rPr>
        <w:t>S</w:t>
      </w:r>
      <w:r w:rsidR="000A5549">
        <w:rPr>
          <w:lang w:eastAsia="en-US"/>
        </w:rPr>
        <w:t>tates</w:t>
      </w:r>
      <w:r w:rsidR="00C101A9" w:rsidRPr="0089667E">
        <w:rPr>
          <w:lang w:eastAsia="en-US"/>
        </w:rPr>
        <w:t xml:space="preserve"> and U</w:t>
      </w:r>
      <w:r w:rsidR="000A5549">
        <w:rPr>
          <w:lang w:eastAsia="en-US"/>
        </w:rPr>
        <w:t xml:space="preserve">nited </w:t>
      </w:r>
      <w:r w:rsidR="00C101A9" w:rsidRPr="0089667E">
        <w:rPr>
          <w:lang w:eastAsia="en-US"/>
        </w:rPr>
        <w:t>K</w:t>
      </w:r>
      <w:r w:rsidR="000A5549">
        <w:rPr>
          <w:lang w:eastAsia="en-US"/>
        </w:rPr>
        <w:t>ingdom</w:t>
      </w:r>
      <w:r w:rsidR="00C101A9" w:rsidRPr="0089667E">
        <w:rPr>
          <w:lang w:eastAsia="en-US"/>
        </w:rPr>
        <w:t xml:space="preserve"> vessels. These visits will provide opportunities to demonstrate Australia’s developing capability to operate, maintain and safely steward our future SSNs</w:t>
      </w:r>
      <w:r w:rsidR="00E04845">
        <w:rPr>
          <w:lang w:eastAsia="en-US"/>
        </w:rPr>
        <w:t>.</w:t>
      </w:r>
    </w:p>
    <w:p w14:paraId="4B942AB7" w14:textId="77777777" w:rsidR="00C12F95" w:rsidRPr="00C101A9" w:rsidRDefault="00C12F95" w:rsidP="00C12F95">
      <w:pPr>
        <w:pStyle w:val="Heading4"/>
        <w:spacing w:before="100" w:after="100"/>
        <w:rPr>
          <w:lang w:val="en-AU"/>
        </w:rPr>
      </w:pPr>
      <w:r>
        <w:br w:type="page"/>
      </w:r>
      <w:r w:rsidRPr="0004311C">
        <w:rPr>
          <w:lang w:val="en-AU"/>
        </w:rPr>
        <w:lastRenderedPageBreak/>
        <w:t xml:space="preserve">ASA Organisational </w:t>
      </w:r>
      <w:r w:rsidRPr="00C101A9">
        <w:rPr>
          <w:lang w:val="en-AU"/>
        </w:rPr>
        <w:t>Structure</w:t>
      </w:r>
    </w:p>
    <w:p w14:paraId="0E379463" w14:textId="77777777" w:rsidR="00C12F95" w:rsidRPr="00C101A9" w:rsidRDefault="00C12F95" w:rsidP="00444A89">
      <w:pPr>
        <w:pStyle w:val="FigureHeading"/>
        <w:numPr>
          <w:ilvl w:val="0"/>
          <w:numId w:val="68"/>
        </w:numPr>
        <w:tabs>
          <w:tab w:val="num" w:pos="142"/>
          <w:tab w:val="num" w:pos="426"/>
        </w:tabs>
        <w:ind w:hanging="644"/>
        <w:outlineLvl w:val="4"/>
        <w:rPr>
          <w:lang w:val="en-AU"/>
        </w:rPr>
      </w:pPr>
      <w:r w:rsidRPr="00C101A9">
        <w:rPr>
          <w:lang w:val="en-AU"/>
        </w:rPr>
        <w:t>ASA Organisational Chart</w:t>
      </w:r>
    </w:p>
    <w:p w14:paraId="05444EA5" w14:textId="2F62DBFB" w:rsidR="00C12F95" w:rsidRPr="0004311C" w:rsidRDefault="007B4D61" w:rsidP="00C12F95">
      <w:pPr>
        <w:pStyle w:val="FigureHeading"/>
        <w:numPr>
          <w:ilvl w:val="0"/>
          <w:numId w:val="0"/>
        </w:numPr>
        <w:ind w:left="644" w:hanging="360"/>
        <w:rPr>
          <w:lang w:val="en-AU"/>
        </w:rPr>
      </w:pPr>
      <w:r w:rsidRPr="00C01E19">
        <w:rPr>
          <w:noProof/>
          <w:lang w:val="en-AU"/>
        </w:rPr>
        <w:drawing>
          <wp:inline distT="0" distB="0" distL="0" distR="0" wp14:anchorId="5581CF42" wp14:editId="17F9FF58">
            <wp:extent cx="5327650" cy="22733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27650" cy="2273300"/>
                    </a:xfrm>
                    <a:prstGeom prst="rect">
                      <a:avLst/>
                    </a:prstGeom>
                    <a:noFill/>
                    <a:ln>
                      <a:noFill/>
                    </a:ln>
                  </pic:spPr>
                </pic:pic>
              </a:graphicData>
            </a:graphic>
          </wp:inline>
        </w:drawing>
      </w:r>
    </w:p>
    <w:p w14:paraId="2889B7A8" w14:textId="77777777" w:rsidR="00C12F95" w:rsidRPr="0004311C" w:rsidRDefault="00C12F95" w:rsidP="00C12F95">
      <w:pPr>
        <w:pStyle w:val="FigureHeading"/>
        <w:numPr>
          <w:ilvl w:val="0"/>
          <w:numId w:val="0"/>
        </w:numPr>
        <w:ind w:left="284"/>
        <w:rPr>
          <w:lang w:val="en-AU"/>
        </w:rPr>
      </w:pPr>
    </w:p>
    <w:p w14:paraId="465765D9" w14:textId="77777777" w:rsidR="00C12F95" w:rsidRPr="002D477E" w:rsidRDefault="00C101A9" w:rsidP="00BD799E">
      <w:pPr>
        <w:pStyle w:val="FigureHeading"/>
        <w:numPr>
          <w:ilvl w:val="0"/>
          <w:numId w:val="0"/>
        </w:numPr>
        <w:rPr>
          <w:rFonts w:ascii="Book Antiqua" w:hAnsi="Book Antiqua" w:cs="Calibri"/>
          <w:b w:val="0"/>
          <w:color w:val="000000"/>
          <w:szCs w:val="20"/>
        </w:rPr>
      </w:pPr>
      <w:r w:rsidRPr="00F146FE">
        <w:rPr>
          <w:rFonts w:ascii="Book Antiqua" w:hAnsi="Book Antiqua" w:cs="Calibri"/>
          <w:b w:val="0"/>
          <w:color w:val="000000"/>
          <w:szCs w:val="20"/>
        </w:rPr>
        <w:t>This Organisational Chart is effective at the time of this publication release.</w:t>
      </w:r>
      <w:r>
        <w:rPr>
          <w:rFonts w:ascii="Book Antiqua" w:hAnsi="Book Antiqua" w:cs="Calibri"/>
          <w:b w:val="0"/>
          <w:color w:val="000000"/>
          <w:szCs w:val="20"/>
        </w:rPr>
        <w:t xml:space="preserve"> This chart has been amended since the </w:t>
      </w:r>
      <w:r w:rsidRPr="00117592">
        <w:rPr>
          <w:rFonts w:ascii="Book Antiqua" w:hAnsi="Book Antiqua" w:cs="Calibri"/>
          <w:b w:val="0"/>
          <w:i/>
          <w:color w:val="000000"/>
          <w:szCs w:val="20"/>
        </w:rPr>
        <w:t>Portfolio Additional Estimates Statements 2024-25</w:t>
      </w:r>
      <w:r>
        <w:rPr>
          <w:rFonts w:ascii="Book Antiqua" w:hAnsi="Book Antiqua" w:cs="Calibri"/>
          <w:b w:val="0"/>
          <w:color w:val="000000"/>
          <w:szCs w:val="20"/>
        </w:rPr>
        <w:t xml:space="preserve"> to reflect key management personnel of the Australian Submarine Agency (ASA).</w:t>
      </w:r>
    </w:p>
    <w:p w14:paraId="21EB0A0E" w14:textId="77777777" w:rsidR="0004311C" w:rsidRPr="00861303" w:rsidRDefault="0004311C" w:rsidP="0004311C">
      <w:r w:rsidRPr="002B2BCC">
        <w:rPr>
          <w:rFonts w:ascii="Arial Bold" w:hAnsi="Arial Bold" w:cs="Times New Roman"/>
          <w:b/>
          <w:bCs/>
        </w:rPr>
        <w:t>Organisational Structure</w:t>
      </w:r>
    </w:p>
    <w:p w14:paraId="50ED74DB" w14:textId="77777777" w:rsidR="00C101A9" w:rsidRPr="00F146FE" w:rsidRDefault="00C101A9" w:rsidP="00C101A9">
      <w:pPr>
        <w:rPr>
          <w:rFonts w:cs="Calibri"/>
          <w:color w:val="000000"/>
          <w:szCs w:val="20"/>
        </w:rPr>
      </w:pPr>
      <w:r w:rsidRPr="00F146FE">
        <w:rPr>
          <w:rFonts w:cs="Calibri"/>
          <w:color w:val="000000"/>
          <w:szCs w:val="20"/>
        </w:rPr>
        <w:t>ASA operates within the Defence portfolio, and brings together component organisations that are collectively responsible for the defence of Australia and its national interests in order to advance Australia’s security and prosperity. The Director-General ASA reports directly to the Deputy Prime Minister in his role as Minister for Defence, on the performance of the agency.</w:t>
      </w:r>
    </w:p>
    <w:p w14:paraId="40A8D11F" w14:textId="77777777" w:rsidR="009A3A20" w:rsidRDefault="00C101A9" w:rsidP="00C101A9">
      <w:pPr>
        <w:rPr>
          <w:rFonts w:cs="Calibri"/>
          <w:color w:val="000000"/>
          <w:szCs w:val="20"/>
        </w:rPr>
      </w:pPr>
      <w:r w:rsidRPr="00F146FE">
        <w:rPr>
          <w:rFonts w:cs="Calibri"/>
          <w:color w:val="000000"/>
          <w:szCs w:val="20"/>
        </w:rPr>
        <w:t>The ASA is led by the Director-General and consists of Australian Public Servants, Australian Defence Force members, and contracted subject matter experts. The ASA is responsible for leading trilateral engagement on the nuclear-powered submarine program and works collaboratively with Australian Government departments and agencies, including Defence, to ensure the nuclear</w:t>
      </w:r>
      <w:r w:rsidRPr="00F146FE">
        <w:rPr>
          <w:rFonts w:cs="Calibri"/>
          <w:color w:val="000000"/>
          <w:szCs w:val="20"/>
        </w:rPr>
        <w:noBreakHyphen/>
        <w:t>powered submarine program is aligned with related strategies and policies. The ASA also works with states and territories, industry, and education and skilling organisations to build the capabilities needed in Australia to deliver the nuclear-powered submarine program</w:t>
      </w:r>
      <w:r w:rsidR="009A3A20" w:rsidRPr="00C101A9">
        <w:rPr>
          <w:rFonts w:cs="Calibri"/>
          <w:color w:val="000000"/>
          <w:szCs w:val="20"/>
        </w:rPr>
        <w:t>.</w:t>
      </w:r>
    </w:p>
    <w:p w14:paraId="276B6AC1" w14:textId="77777777" w:rsidR="0004311C" w:rsidRPr="00861303" w:rsidRDefault="0004311C" w:rsidP="0004311C">
      <w:pPr>
        <w:rPr>
          <w:rFonts w:ascii="Arial Bold" w:hAnsi="Arial Bold" w:cs="Times New Roman"/>
          <w:b/>
          <w:bCs/>
        </w:rPr>
      </w:pPr>
      <w:r w:rsidRPr="002B2BCC">
        <w:rPr>
          <w:rFonts w:ascii="Arial Bold" w:hAnsi="Arial Bold" w:cs="Times New Roman"/>
          <w:b/>
          <w:bCs/>
        </w:rPr>
        <w:t>Senior Executive Changes</w:t>
      </w:r>
    </w:p>
    <w:p w14:paraId="5EEB3572" w14:textId="3D164AB2" w:rsidR="00761824" w:rsidRPr="00B56FAA" w:rsidRDefault="00C101A9" w:rsidP="00C57541">
      <w:pPr>
        <w:pStyle w:val="BoxBullet"/>
        <w:numPr>
          <w:ilvl w:val="0"/>
          <w:numId w:val="0"/>
        </w:numPr>
        <w:spacing w:before="120"/>
        <w:jc w:val="left"/>
        <w:rPr>
          <w:rFonts w:ascii="Arial Bold" w:hAnsi="Arial Bold"/>
          <w:sz w:val="24"/>
        </w:rPr>
      </w:pPr>
      <w:r w:rsidRPr="005603FF">
        <w:t>No changes have taken place since the</w:t>
      </w:r>
      <w:r w:rsidR="0000055B">
        <w:t xml:space="preserve"> last Portfolio Statements</w:t>
      </w:r>
      <w:r w:rsidR="009A3A20" w:rsidRPr="00C101A9">
        <w:rPr>
          <w:i/>
        </w:rPr>
        <w:t>.</w:t>
      </w:r>
      <w:r w:rsidR="006F3442" w:rsidRPr="00B56FAA">
        <w:br w:type="page"/>
      </w:r>
      <w:bookmarkStart w:id="1138" w:name="_Toc476581169"/>
      <w:bookmarkStart w:id="1139" w:name="_Toc507595436"/>
      <w:bookmarkStart w:id="1140" w:name="_Toc536089243"/>
      <w:bookmarkStart w:id="1141" w:name="_Toc536089609"/>
      <w:bookmarkStart w:id="1142" w:name="_Toc1561696"/>
      <w:bookmarkStart w:id="1143" w:name="_Toc51691692"/>
      <w:bookmarkStart w:id="1144" w:name="_Toc69729062"/>
      <w:bookmarkStart w:id="1145" w:name="_Toc69917857"/>
      <w:bookmarkStart w:id="1146" w:name="_Toc108088959"/>
      <w:bookmarkStart w:id="1147" w:name="_Toc108089038"/>
      <w:bookmarkStart w:id="1148" w:name="_Toc108089432"/>
      <w:bookmarkStart w:id="1149" w:name="_Toc109227754"/>
      <w:bookmarkStart w:id="1150" w:name="_Toc159858158"/>
      <w:bookmarkStart w:id="1151" w:name="_Toc159858824"/>
      <w:bookmarkStart w:id="1152" w:name="_Toc159858894"/>
      <w:bookmarkStart w:id="1153" w:name="_Toc159859129"/>
      <w:bookmarkStart w:id="1154" w:name="_Toc159859281"/>
      <w:bookmarkStart w:id="1155" w:name="_Toc159862300"/>
      <w:bookmarkStart w:id="1156" w:name="_Toc159862490"/>
      <w:r w:rsidR="00761824" w:rsidRPr="00B56FAA">
        <w:rPr>
          <w:rFonts w:ascii="Arial Bold" w:hAnsi="Arial Bold"/>
          <w:sz w:val="24"/>
        </w:rPr>
        <w:lastRenderedPageBreak/>
        <w:t>1.2 AS</w:t>
      </w:r>
      <w:r w:rsidR="0004311C">
        <w:rPr>
          <w:rFonts w:ascii="Arial Bold" w:hAnsi="Arial Bold"/>
          <w:sz w:val="24"/>
        </w:rPr>
        <w:t>A</w:t>
      </w:r>
      <w:r w:rsidR="00761824" w:rsidRPr="00B56FAA">
        <w:rPr>
          <w:rFonts w:ascii="Arial Bold" w:hAnsi="Arial Bold"/>
          <w:sz w:val="24"/>
        </w:rPr>
        <w:t xml:space="preserve"> Resource Statement</w:t>
      </w:r>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p>
    <w:p w14:paraId="006E2D43" w14:textId="2EAF3BA8" w:rsidR="00761824" w:rsidRPr="004D6288" w:rsidRDefault="00761824" w:rsidP="00444A89">
      <w:pPr>
        <w:pStyle w:val="TableHeading"/>
        <w:numPr>
          <w:ilvl w:val="0"/>
          <w:numId w:val="64"/>
        </w:numPr>
        <w:spacing w:before="100"/>
        <w:ind w:left="0" w:firstLine="0"/>
        <w:outlineLvl w:val="5"/>
        <w:rPr>
          <w:lang w:val="en-AU"/>
        </w:rPr>
      </w:pPr>
      <w:r w:rsidRPr="004D6288">
        <w:rPr>
          <w:lang w:val="en-AU"/>
        </w:rPr>
        <w:t>AS</w:t>
      </w:r>
      <w:r w:rsidR="0004311C" w:rsidRPr="004D6288">
        <w:rPr>
          <w:lang w:val="en-AU"/>
        </w:rPr>
        <w:t>A</w:t>
      </w:r>
      <w:r w:rsidRPr="004D6288">
        <w:rPr>
          <w:lang w:val="en-AU"/>
        </w:rPr>
        <w:t xml:space="preserve"> Resource Statement – Budget Estimates for </w:t>
      </w:r>
      <w:r w:rsidR="00DC5FFC" w:rsidRPr="004D6288">
        <w:rPr>
          <w:lang w:val="en-AU"/>
        </w:rPr>
        <w:t>202</w:t>
      </w:r>
      <w:r w:rsidR="004D6288">
        <w:rPr>
          <w:lang w:val="en-AU"/>
        </w:rPr>
        <w:t>5</w:t>
      </w:r>
      <w:r w:rsidR="00DC5FFC" w:rsidRPr="004D6288">
        <w:rPr>
          <w:lang w:val="en-AU"/>
        </w:rPr>
        <w:t>-2</w:t>
      </w:r>
      <w:r w:rsidR="004D6288">
        <w:rPr>
          <w:lang w:val="en-AU"/>
        </w:rPr>
        <w:t>6</w:t>
      </w:r>
      <w:r w:rsidR="005D72E5" w:rsidRPr="004D6288">
        <w:rPr>
          <w:lang w:val="en-AU"/>
        </w:rPr>
        <w:t xml:space="preserve"> as at </w:t>
      </w:r>
      <w:r w:rsidR="006F489B" w:rsidRPr="004D6288">
        <w:rPr>
          <w:lang w:val="en-AU"/>
        </w:rPr>
        <w:t>Ma</w:t>
      </w:r>
      <w:r w:rsidR="004D6288">
        <w:rPr>
          <w:lang w:val="en-AU"/>
        </w:rPr>
        <w:t>rch</w:t>
      </w:r>
      <w:r w:rsidR="006F489B" w:rsidRPr="004D6288">
        <w:rPr>
          <w:lang w:val="en-AU"/>
        </w:rPr>
        <w:t xml:space="preserve"> </w:t>
      </w:r>
      <w:r w:rsidR="005D72E5" w:rsidRPr="004D6288">
        <w:rPr>
          <w:lang w:val="en-AU"/>
        </w:rPr>
        <w:t>Budget</w:t>
      </w:r>
    </w:p>
    <w:p w14:paraId="1DCB0476" w14:textId="3E3FFF4C" w:rsidR="009467CF" w:rsidRDefault="0000055B" w:rsidP="00DD7B7C">
      <w:r w:rsidRPr="00E30DC1">
        <w:rPr>
          <w:noProof/>
          <w:lang w:val="en-AU"/>
        </w:rPr>
        <w:drawing>
          <wp:inline distT="0" distB="0" distL="0" distR="0" wp14:anchorId="3831E65E" wp14:editId="6DABC44B">
            <wp:extent cx="5472430" cy="16859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472430" cy="1685925"/>
                    </a:xfrm>
                    <a:prstGeom prst="rect">
                      <a:avLst/>
                    </a:prstGeom>
                    <a:noFill/>
                    <a:ln>
                      <a:noFill/>
                    </a:ln>
                  </pic:spPr>
                </pic:pic>
              </a:graphicData>
            </a:graphic>
          </wp:inline>
        </w:drawing>
      </w:r>
    </w:p>
    <w:p w14:paraId="1076E149" w14:textId="77777777" w:rsidR="00363FFB" w:rsidRPr="00C57541" w:rsidRDefault="00363FFB" w:rsidP="00C57541">
      <w:pPr>
        <w:spacing w:before="0" w:after="0"/>
        <w:rPr>
          <w:rFonts w:ascii="Arial" w:hAnsi="Arial"/>
          <w:b/>
          <w:sz w:val="14"/>
          <w:szCs w:val="14"/>
        </w:rPr>
      </w:pPr>
    </w:p>
    <w:p w14:paraId="3BAD7843" w14:textId="77777777" w:rsidR="00761824" w:rsidRPr="0091125B" w:rsidRDefault="00003B8B" w:rsidP="0091125B">
      <w:pPr>
        <w:pStyle w:val="Heading4"/>
        <w:rPr>
          <w:sz w:val="24"/>
          <w:szCs w:val="24"/>
        </w:rPr>
      </w:pPr>
      <w:r w:rsidRPr="00B56FAA">
        <w:rPr>
          <w:lang w:val="en-AU"/>
        </w:rPr>
        <w:br w:type="page"/>
      </w:r>
      <w:bookmarkStart w:id="1157" w:name="_Toc476581170"/>
      <w:bookmarkStart w:id="1158" w:name="_Toc507595437"/>
      <w:bookmarkStart w:id="1159" w:name="_Toc536089244"/>
      <w:bookmarkStart w:id="1160" w:name="_Toc536089610"/>
      <w:bookmarkStart w:id="1161" w:name="_Toc1561697"/>
      <w:bookmarkStart w:id="1162" w:name="_Toc51691693"/>
      <w:bookmarkStart w:id="1163" w:name="_Toc69729063"/>
      <w:bookmarkStart w:id="1164" w:name="_Toc69917858"/>
      <w:bookmarkStart w:id="1165" w:name="_Toc108088960"/>
      <w:bookmarkStart w:id="1166" w:name="_Toc108089039"/>
      <w:bookmarkStart w:id="1167" w:name="_Toc108089433"/>
      <w:bookmarkStart w:id="1168" w:name="_Toc109227755"/>
      <w:bookmarkStart w:id="1169" w:name="_Toc159499712"/>
      <w:bookmarkStart w:id="1170" w:name="_Toc159858159"/>
      <w:bookmarkStart w:id="1171" w:name="_Toc159858825"/>
      <w:bookmarkStart w:id="1172" w:name="_Toc159858895"/>
      <w:bookmarkStart w:id="1173" w:name="_Toc159859130"/>
      <w:bookmarkStart w:id="1174" w:name="_Toc159859282"/>
      <w:bookmarkStart w:id="1175" w:name="_Toc159862301"/>
      <w:bookmarkStart w:id="1176" w:name="_Toc159862491"/>
      <w:r w:rsidR="00953BBA" w:rsidRPr="0091125B">
        <w:rPr>
          <w:sz w:val="24"/>
          <w:szCs w:val="24"/>
        </w:rPr>
        <w:lastRenderedPageBreak/>
        <w:t xml:space="preserve">1.3 </w:t>
      </w:r>
      <w:r w:rsidR="00761824" w:rsidRPr="0091125B">
        <w:rPr>
          <w:sz w:val="24"/>
          <w:szCs w:val="24"/>
        </w:rPr>
        <w:t>B</w:t>
      </w:r>
      <w:r w:rsidR="0091125B" w:rsidRPr="0091125B">
        <w:rPr>
          <w:sz w:val="24"/>
          <w:szCs w:val="24"/>
        </w:rPr>
        <w:t>udget</w:t>
      </w:r>
      <w:r w:rsidR="00761824" w:rsidRPr="0091125B">
        <w:rPr>
          <w:sz w:val="24"/>
          <w:szCs w:val="24"/>
        </w:rPr>
        <w:t xml:space="preserve"> Measures</w:t>
      </w:r>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p>
    <w:p w14:paraId="08EB7028" w14:textId="77777777" w:rsidR="00157311" w:rsidRPr="00C57541" w:rsidRDefault="00BD523A" w:rsidP="00F11E01">
      <w:pPr>
        <w:pStyle w:val="Heading4level5"/>
        <w:spacing w:before="100" w:after="100"/>
      </w:pPr>
      <w:r w:rsidRPr="00B56FAA">
        <w:t>202</w:t>
      </w:r>
      <w:r w:rsidR="00C57541">
        <w:t>5</w:t>
      </w:r>
      <w:r w:rsidRPr="00B56FAA">
        <w:t>-</w:t>
      </w:r>
      <w:r w:rsidR="00F207AA" w:rsidRPr="00B56FAA">
        <w:t>2</w:t>
      </w:r>
      <w:r w:rsidR="00C57541">
        <w:t>6</w:t>
      </w:r>
      <w:r w:rsidR="00157311" w:rsidRPr="00B56FAA">
        <w:t xml:space="preserve"> Budget Measur</w:t>
      </w:r>
      <w:r w:rsidR="002062AF" w:rsidRPr="00B56FAA">
        <w:t xml:space="preserve">es and </w:t>
      </w:r>
      <w:r w:rsidR="002062AF" w:rsidRPr="00C57541">
        <w:t>Other Budget Adjustments</w:t>
      </w:r>
    </w:p>
    <w:p w14:paraId="4B3A672D" w14:textId="77777777" w:rsidR="00157311" w:rsidRPr="00C57541" w:rsidRDefault="00157311" w:rsidP="00444A89">
      <w:pPr>
        <w:pStyle w:val="TableHeading"/>
        <w:numPr>
          <w:ilvl w:val="0"/>
          <w:numId w:val="64"/>
        </w:numPr>
        <w:spacing w:before="100"/>
        <w:ind w:left="0" w:firstLine="0"/>
        <w:outlineLvl w:val="5"/>
        <w:rPr>
          <w:lang w:val="en-AU"/>
        </w:rPr>
      </w:pPr>
      <w:r w:rsidRPr="00C57541">
        <w:rPr>
          <w:lang w:val="en-AU"/>
        </w:rPr>
        <w:t>AS</w:t>
      </w:r>
      <w:r w:rsidR="00F11E01" w:rsidRPr="00C57541">
        <w:rPr>
          <w:lang w:val="en-AU"/>
        </w:rPr>
        <w:t>A</w:t>
      </w:r>
      <w:r w:rsidRPr="00C57541">
        <w:rPr>
          <w:lang w:val="en-AU"/>
        </w:rPr>
        <w:t xml:space="preserve"> </w:t>
      </w:r>
      <w:r w:rsidR="00BD523A" w:rsidRPr="00C57541">
        <w:rPr>
          <w:lang w:val="en-AU"/>
        </w:rPr>
        <w:t>202</w:t>
      </w:r>
      <w:r w:rsidR="00C57541">
        <w:rPr>
          <w:lang w:val="en-AU"/>
        </w:rPr>
        <w:t>5</w:t>
      </w:r>
      <w:r w:rsidR="00BD523A" w:rsidRPr="00C57541">
        <w:rPr>
          <w:lang w:val="en-AU"/>
        </w:rPr>
        <w:t>-2</w:t>
      </w:r>
      <w:r w:rsidR="00C57541">
        <w:rPr>
          <w:lang w:val="en-AU"/>
        </w:rPr>
        <w:t>6</w:t>
      </w:r>
      <w:r w:rsidRPr="00C57541">
        <w:rPr>
          <w:lang w:val="en-AU"/>
        </w:rPr>
        <w:t xml:space="preserve"> </w:t>
      </w:r>
      <w:r w:rsidRPr="00C57541">
        <w:t>Budget</w:t>
      </w:r>
      <w:r w:rsidRPr="00C57541">
        <w:rPr>
          <w:lang w:val="en-AU"/>
        </w:rPr>
        <w:t xml:space="preserve"> Measures</w:t>
      </w:r>
    </w:p>
    <w:p w14:paraId="1A950F7A" w14:textId="77777777" w:rsidR="007E16DF" w:rsidRDefault="007E16DF" w:rsidP="007E16DF">
      <w:pPr>
        <w:spacing w:before="0" w:after="0"/>
        <w:rPr>
          <w:rFonts w:ascii="Arial" w:hAnsi="Arial"/>
          <w:b/>
          <w:sz w:val="14"/>
          <w:szCs w:val="14"/>
        </w:rPr>
      </w:pPr>
    </w:p>
    <w:p w14:paraId="637F84E6" w14:textId="5A1CB4A8" w:rsidR="007E16DF" w:rsidRPr="00855855" w:rsidRDefault="007F0122" w:rsidP="00855855">
      <w:pPr>
        <w:spacing w:before="0" w:after="0"/>
        <w:rPr>
          <w:rFonts w:ascii="Arial" w:hAnsi="Arial"/>
          <w:sz w:val="16"/>
          <w:szCs w:val="16"/>
        </w:rPr>
      </w:pPr>
      <w:r w:rsidRPr="00D9693A">
        <w:rPr>
          <w:noProof/>
          <w:lang w:val="en-AU"/>
        </w:rPr>
        <w:drawing>
          <wp:inline distT="0" distB="0" distL="0" distR="0" wp14:anchorId="1A4B7AD5" wp14:editId="2719795B">
            <wp:extent cx="5472430" cy="1875155"/>
            <wp:effectExtent l="0" t="0" r="0" b="0"/>
            <wp:docPr id="24575492" name="Picture 24575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472430" cy="1875155"/>
                    </a:xfrm>
                    <a:prstGeom prst="rect">
                      <a:avLst/>
                    </a:prstGeom>
                    <a:noFill/>
                    <a:ln>
                      <a:noFill/>
                    </a:ln>
                  </pic:spPr>
                </pic:pic>
              </a:graphicData>
            </a:graphic>
          </wp:inline>
        </w:drawing>
      </w:r>
    </w:p>
    <w:p w14:paraId="304DDBD6" w14:textId="77777777" w:rsidR="002A7E8E" w:rsidRDefault="002A7E8E" w:rsidP="002A7E8E">
      <w:pPr>
        <w:spacing w:before="0" w:after="0"/>
        <w:rPr>
          <w:rFonts w:ascii="Arial" w:hAnsi="Arial"/>
          <w:b/>
          <w:sz w:val="14"/>
          <w:szCs w:val="14"/>
        </w:rPr>
      </w:pPr>
    </w:p>
    <w:p w14:paraId="089CF225" w14:textId="5767484F" w:rsidR="002A7E8E" w:rsidRPr="002A7E8E" w:rsidRDefault="002A7E8E" w:rsidP="002A7E8E">
      <w:pPr>
        <w:spacing w:before="0" w:after="0"/>
        <w:rPr>
          <w:rFonts w:ascii="Arial" w:hAnsi="Arial"/>
          <w:b/>
          <w:sz w:val="14"/>
          <w:szCs w:val="14"/>
        </w:rPr>
      </w:pPr>
      <w:r w:rsidRPr="002A7E8E">
        <w:rPr>
          <w:rFonts w:ascii="Arial" w:hAnsi="Arial"/>
          <w:b/>
          <w:sz w:val="14"/>
          <w:szCs w:val="14"/>
        </w:rPr>
        <w:t>Note</w:t>
      </w:r>
    </w:p>
    <w:p w14:paraId="7EDB9185" w14:textId="76F54771" w:rsidR="002A7E8E" w:rsidRPr="007F0122" w:rsidRDefault="002A7E8E" w:rsidP="002A7E8E">
      <w:pPr>
        <w:pStyle w:val="ListParagraph"/>
        <w:numPr>
          <w:ilvl w:val="0"/>
          <w:numId w:val="85"/>
        </w:numPr>
        <w:spacing w:before="0" w:after="0"/>
        <w:ind w:left="284" w:hanging="284"/>
        <w:rPr>
          <w:rFonts w:ascii="Arial" w:hAnsi="Arial"/>
          <w:sz w:val="14"/>
          <w:szCs w:val="14"/>
        </w:rPr>
      </w:pPr>
      <w:r w:rsidRPr="007F0122">
        <w:rPr>
          <w:rFonts w:ascii="Arial" w:hAnsi="Arial"/>
          <w:sz w:val="14"/>
          <w:szCs w:val="14"/>
        </w:rPr>
        <w:t>Relates to indexation adjustments based on economic parameters provided by Treasury.</w:t>
      </w:r>
    </w:p>
    <w:p w14:paraId="2E1A53A2" w14:textId="02D38B8A" w:rsidR="00761824" w:rsidRDefault="00761824" w:rsidP="00FC74AA">
      <w:pPr>
        <w:pStyle w:val="Heading2level3"/>
      </w:pPr>
      <w:r w:rsidRPr="00B56FAA">
        <w:rPr>
          <w:lang w:val="en-AU"/>
        </w:rPr>
        <w:br w:type="page"/>
      </w:r>
      <w:bookmarkStart w:id="1177" w:name="_Toc476581171"/>
      <w:bookmarkStart w:id="1178" w:name="_Toc507595438"/>
      <w:bookmarkStart w:id="1179" w:name="_Toc536089245"/>
      <w:bookmarkStart w:id="1180" w:name="_Toc536089611"/>
      <w:bookmarkStart w:id="1181" w:name="_Toc1561698"/>
      <w:bookmarkStart w:id="1182" w:name="_Toc51691694"/>
      <w:bookmarkStart w:id="1183" w:name="_Toc69729064"/>
      <w:bookmarkStart w:id="1184" w:name="_Toc69917859"/>
      <w:bookmarkStart w:id="1185" w:name="_Toc108088961"/>
      <w:bookmarkStart w:id="1186" w:name="_Toc108089040"/>
      <w:bookmarkStart w:id="1187" w:name="_Toc108089434"/>
      <w:bookmarkStart w:id="1188" w:name="_Toc109227298"/>
      <w:bookmarkStart w:id="1189" w:name="_Toc109227756"/>
      <w:bookmarkStart w:id="1190" w:name="_Toc158896309"/>
      <w:bookmarkStart w:id="1191" w:name="_Toc159499713"/>
      <w:bookmarkStart w:id="1192" w:name="_Toc159858160"/>
      <w:bookmarkStart w:id="1193" w:name="_Toc159858826"/>
      <w:bookmarkStart w:id="1194" w:name="_Toc159858896"/>
      <w:bookmarkStart w:id="1195" w:name="_Toc159859131"/>
      <w:bookmarkStart w:id="1196" w:name="_Toc159859283"/>
      <w:bookmarkStart w:id="1197" w:name="_Toc159862302"/>
      <w:bookmarkStart w:id="1198" w:name="_Toc159862492"/>
      <w:r w:rsidRPr="00FC74AA">
        <w:lastRenderedPageBreak/>
        <w:t>Section 2: AS</w:t>
      </w:r>
      <w:r w:rsidR="00F11E01" w:rsidRPr="00FC74AA">
        <w:t>A</w:t>
      </w:r>
      <w:r w:rsidRPr="00FC74AA">
        <w:t xml:space="preserve"> Outcomes and Planned Performance</w:t>
      </w:r>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p>
    <w:p w14:paraId="26057B49" w14:textId="77777777" w:rsidR="00680B8D" w:rsidRDefault="00680B8D" w:rsidP="00680B8D">
      <w:pPr>
        <w:jc w:val="both"/>
        <w:rPr>
          <w:lang w:val="en-AU"/>
        </w:rPr>
      </w:pPr>
      <w:r>
        <w:rPr>
          <w:lang w:val="en-AU"/>
        </w:rPr>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3B57777C" w14:textId="77777777" w:rsidR="00680B8D" w:rsidRDefault="00680B8D" w:rsidP="00680B8D">
      <w:pPr>
        <w:jc w:val="both"/>
        <w:rPr>
          <w:lang w:val="en-AU"/>
        </w:rPr>
      </w:pPr>
      <w:r>
        <w:rPr>
          <w:lang w:val="en-AU"/>
        </w:rPr>
        <w:t>ASA’s outcome is described below together with its related programs. The following provides detailed information on expenses for the outcome and program, further broken down by funding source.</w:t>
      </w:r>
    </w:p>
    <w:p w14:paraId="258FB354" w14:textId="77777777" w:rsidR="00680B8D" w:rsidRPr="00C6013F" w:rsidRDefault="00680B8D" w:rsidP="00680B8D">
      <w:pPr>
        <w:pBdr>
          <w:top w:val="single" w:sz="4" w:space="1" w:color="auto"/>
          <w:left w:val="single" w:sz="4" w:space="4" w:color="auto"/>
          <w:bottom w:val="single" w:sz="4" w:space="1" w:color="auto"/>
          <w:right w:val="single" w:sz="4" w:space="4" w:color="auto"/>
        </w:pBdr>
        <w:rPr>
          <w:b/>
          <w:lang w:val="en-AU"/>
        </w:rPr>
      </w:pPr>
      <w:r w:rsidRPr="00C6013F">
        <w:rPr>
          <w:b/>
          <w:lang w:val="en-AU"/>
        </w:rPr>
        <w:t>Note:</w:t>
      </w:r>
    </w:p>
    <w:p w14:paraId="14DF6AD8" w14:textId="77777777" w:rsidR="00680B8D" w:rsidRDefault="00680B8D" w:rsidP="00680B8D">
      <w:pPr>
        <w:pBdr>
          <w:top w:val="single" w:sz="4" w:space="1" w:color="auto"/>
          <w:left w:val="single" w:sz="4" w:space="4" w:color="auto"/>
          <w:bottom w:val="single" w:sz="4" w:space="1" w:color="auto"/>
          <w:right w:val="single" w:sz="4" w:space="4" w:color="auto"/>
        </w:pBdr>
        <w:rPr>
          <w:lang w:val="en-AU"/>
        </w:rPr>
      </w:pPr>
      <w:r>
        <w:rPr>
          <w:lang w:val="en-AU"/>
        </w:rPr>
        <w:t xml:space="preserve">Performance reporting requirements in the Portfolio Budget Statements are part of the enhanced Commonwealth performance framework established by the </w:t>
      </w:r>
      <w:r w:rsidRPr="00C6013F">
        <w:rPr>
          <w:i/>
          <w:lang w:val="en-AU"/>
        </w:rPr>
        <w:t>Public Governance, Performance and Accountability Act 2013</w:t>
      </w:r>
      <w:r>
        <w:rPr>
          <w:lang w:val="en-AU"/>
        </w:rPr>
        <w:t>. It is anticipated that the performance measures described in Portfolio Budget Statements will be read with broader information provided in an entity’s corporate plans and annual performance statements – included in Annual Reports – to provide a complete picture of an entity’s planned and actual performance.</w:t>
      </w:r>
    </w:p>
    <w:p w14:paraId="5A12A554" w14:textId="77777777" w:rsidR="00680B8D" w:rsidRDefault="00680B8D" w:rsidP="00680B8D">
      <w:pPr>
        <w:pBdr>
          <w:top w:val="single" w:sz="4" w:space="1" w:color="auto"/>
          <w:left w:val="single" w:sz="4" w:space="4" w:color="auto"/>
          <w:bottom w:val="single" w:sz="4" w:space="1" w:color="auto"/>
          <w:right w:val="single" w:sz="4" w:space="4" w:color="auto"/>
        </w:pBdr>
        <w:rPr>
          <w:lang w:val="en-AU"/>
        </w:rPr>
      </w:pPr>
      <w:r>
        <w:rPr>
          <w:lang w:val="en-AU"/>
        </w:rPr>
        <w:t xml:space="preserve">The most recent corporate plan and annual performance statement for ASA can be found at: </w:t>
      </w:r>
      <w:hyperlink r:id="rId136" w:history="1">
        <w:r w:rsidRPr="00AB6A4A">
          <w:rPr>
            <w:rStyle w:val="Hyperlink"/>
            <w:lang w:val="en-AU"/>
          </w:rPr>
          <w:t>https://www.asa.gov.au/about/planning-reporting</w:t>
        </w:r>
      </w:hyperlink>
      <w:r w:rsidRPr="00C96B7A">
        <w:rPr>
          <w:lang w:val="en-AU"/>
        </w:rPr>
        <w:t>.</w:t>
      </w:r>
    </w:p>
    <w:p w14:paraId="3F124224" w14:textId="635D3938" w:rsidR="00680B8D" w:rsidRDefault="00680B8D">
      <w:pPr>
        <w:spacing w:before="0" w:after="0"/>
      </w:pPr>
      <w:r>
        <w:br w:type="page"/>
      </w:r>
    </w:p>
    <w:p w14:paraId="43072CCB" w14:textId="77777777" w:rsidR="00F11E01" w:rsidRPr="00C45F9D" w:rsidRDefault="00F11E01" w:rsidP="00024F58">
      <w:pPr>
        <w:pStyle w:val="Heading3"/>
        <w:rPr>
          <w:lang w:val="en-AU"/>
        </w:rPr>
      </w:pPr>
      <w:bookmarkStart w:id="1199" w:name="_Toc149060144"/>
      <w:bookmarkStart w:id="1200" w:name="_Toc149116028"/>
      <w:bookmarkStart w:id="1201" w:name="_Toc149119351"/>
      <w:bookmarkStart w:id="1202" w:name="_Toc149233141"/>
      <w:bookmarkStart w:id="1203" w:name="_Toc155955157"/>
      <w:bookmarkStart w:id="1204" w:name="_Toc158896310"/>
      <w:bookmarkStart w:id="1205" w:name="_Toc159499714"/>
      <w:bookmarkStart w:id="1206" w:name="_Toc159858161"/>
      <w:bookmarkStart w:id="1207" w:name="_Toc159858827"/>
      <w:bookmarkStart w:id="1208" w:name="_Toc159858897"/>
      <w:bookmarkStart w:id="1209" w:name="_Toc159859132"/>
      <w:bookmarkStart w:id="1210" w:name="_Toc159859284"/>
      <w:bookmarkStart w:id="1211" w:name="_Toc159862303"/>
      <w:bookmarkStart w:id="1212" w:name="_Toc159862493"/>
      <w:r w:rsidRPr="00C45F9D">
        <w:rPr>
          <w:lang w:val="en-AU"/>
        </w:rPr>
        <w:lastRenderedPageBreak/>
        <w:t xml:space="preserve">2.1 </w:t>
      </w:r>
      <w:r w:rsidRPr="00DF54CE">
        <w:rPr>
          <w:smallCaps w:val="0"/>
          <w:lang w:val="en-AU"/>
        </w:rPr>
        <w:t>Budgeted Expenses and Performance for Outcome 1</w:t>
      </w:r>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647"/>
      </w:tblGrid>
      <w:tr w:rsidR="00F11E01" w:rsidRPr="00BF40CB" w14:paraId="23CA051A" w14:textId="77777777" w:rsidTr="00EF25E8">
        <w:tc>
          <w:tcPr>
            <w:tcW w:w="8647" w:type="dxa"/>
            <w:shd w:val="clear" w:color="auto" w:fill="CCCCCC"/>
          </w:tcPr>
          <w:p w14:paraId="054E3168" w14:textId="77777777" w:rsidR="00F11E01" w:rsidRPr="00BF40CB" w:rsidRDefault="00F11E01" w:rsidP="00812D82">
            <w:pPr>
              <w:rPr>
                <w:rFonts w:ascii="Arial" w:hAnsi="Arial"/>
                <w:b/>
                <w:lang w:val="en-AU"/>
              </w:rPr>
            </w:pPr>
            <w:r w:rsidRPr="00BF40CB">
              <w:rPr>
                <w:rFonts w:ascii="Arial" w:hAnsi="Arial"/>
                <w:b/>
                <w:lang w:val="en-AU"/>
              </w:rPr>
              <w:t>Outcome 1:</w:t>
            </w:r>
            <w:r>
              <w:rPr>
                <w:rFonts w:ascii="Arial" w:hAnsi="Arial"/>
                <w:b/>
                <w:lang w:val="en-AU"/>
              </w:rPr>
              <w:t xml:space="preserve"> Safely and securely acquire, construct, deliver, technically govern, sustain and dispose of Australia’s conventionally-armed nuclear-powered submarine capability, via the AUKUS partnership.</w:t>
            </w:r>
          </w:p>
        </w:tc>
      </w:tr>
    </w:tbl>
    <w:p w14:paraId="18327144" w14:textId="77777777" w:rsidR="00F11E01" w:rsidRPr="00855E9B" w:rsidRDefault="00F11E01" w:rsidP="00F11E01">
      <w:pPr>
        <w:keepNext/>
        <w:outlineLvl w:val="3"/>
        <w:rPr>
          <w:rFonts w:ascii="Arial" w:hAnsi="Arial" w:cs="Times New Roman"/>
          <w:b/>
          <w:bCs/>
          <w:sz w:val="22"/>
          <w:szCs w:val="28"/>
          <w:lang w:val="en-AU"/>
        </w:rPr>
      </w:pPr>
      <w:bookmarkStart w:id="1213" w:name="_Toc159499715"/>
      <w:bookmarkStart w:id="1214" w:name="_Toc159859133"/>
      <w:bookmarkStart w:id="1215" w:name="_Toc159859285"/>
      <w:r w:rsidRPr="00855E9B">
        <w:rPr>
          <w:rFonts w:ascii="Arial" w:hAnsi="Arial" w:cs="Times New Roman"/>
          <w:b/>
          <w:bCs/>
          <w:sz w:val="22"/>
          <w:szCs w:val="28"/>
          <w:lang w:val="en-AU"/>
        </w:rPr>
        <w:t>Outcome 1 Strategy</w:t>
      </w:r>
      <w:bookmarkEnd w:id="1213"/>
      <w:bookmarkEnd w:id="1214"/>
      <w:bookmarkEnd w:id="1215"/>
    </w:p>
    <w:p w14:paraId="345CAF6E" w14:textId="77777777" w:rsidR="00F11E01" w:rsidRPr="00FC023D" w:rsidRDefault="00F11E01" w:rsidP="00F11E01">
      <w:pPr>
        <w:keepNext/>
        <w:outlineLvl w:val="3"/>
        <w:rPr>
          <w:rFonts w:ascii="Arial" w:hAnsi="Arial" w:cs="Times New Roman"/>
          <w:b/>
          <w:bCs/>
          <w:sz w:val="22"/>
          <w:szCs w:val="28"/>
          <w:lang w:val="en-AU"/>
        </w:rPr>
      </w:pPr>
      <w:bookmarkStart w:id="1216" w:name="_Toc159499716"/>
      <w:bookmarkStart w:id="1217" w:name="_Toc159859134"/>
      <w:bookmarkStart w:id="1218" w:name="_Toc159859286"/>
      <w:r w:rsidRPr="00FC023D">
        <w:rPr>
          <w:rFonts w:ascii="Arial" w:hAnsi="Arial" w:cs="Times New Roman"/>
          <w:b/>
          <w:bCs/>
          <w:sz w:val="22"/>
          <w:szCs w:val="28"/>
          <w:lang w:val="en-AU"/>
        </w:rPr>
        <w:t>Linked Programs</w:t>
      </w:r>
      <w:bookmarkEnd w:id="1216"/>
      <w:bookmarkEnd w:id="1217"/>
      <w:bookmarkEnd w:id="1218"/>
      <w:r w:rsidR="00236321" w:rsidRPr="00FC023D">
        <w:rPr>
          <w:rFonts w:ascii="Arial" w:hAnsi="Arial" w:cs="Times New Roman"/>
          <w:b/>
          <w:bCs/>
          <w:sz w:val="22"/>
          <w:szCs w:val="28"/>
          <w:lang w:val="en-AU"/>
        </w:rPr>
        <w:t xml:space="preserve"> </w:t>
      </w: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8608"/>
      </w:tblGrid>
      <w:tr w:rsidR="007E16DF" w:rsidRPr="002A2A6C" w14:paraId="69BD59E7" w14:textId="77777777" w:rsidTr="0095071F">
        <w:trPr>
          <w:trHeight w:val="113"/>
        </w:trPr>
        <w:tc>
          <w:tcPr>
            <w:tcW w:w="5000" w:type="pct"/>
            <w:tcBorders>
              <w:top w:val="single" w:sz="4" w:space="0" w:color="auto"/>
              <w:left w:val="single" w:sz="4" w:space="0" w:color="auto"/>
              <w:bottom w:val="dotted" w:sz="4" w:space="0" w:color="auto"/>
              <w:right w:val="single" w:sz="4" w:space="0" w:color="auto"/>
            </w:tcBorders>
            <w:hideMark/>
          </w:tcPr>
          <w:p w14:paraId="62C2E44D" w14:textId="77777777" w:rsidR="007E16DF" w:rsidRPr="002A2A6C" w:rsidRDefault="007E16DF" w:rsidP="0095071F">
            <w:pPr>
              <w:rPr>
                <w:b/>
                <w:szCs w:val="20"/>
              </w:rPr>
            </w:pPr>
            <w:r w:rsidRPr="002A2A6C">
              <w:rPr>
                <w:b/>
                <w:szCs w:val="20"/>
              </w:rPr>
              <w:t>Australian Federal Police</w:t>
            </w:r>
          </w:p>
        </w:tc>
      </w:tr>
      <w:tr w:rsidR="007E16DF" w:rsidRPr="002A2A6C" w14:paraId="40F02370" w14:textId="77777777" w:rsidTr="0095071F">
        <w:trPr>
          <w:trHeight w:val="113"/>
        </w:trPr>
        <w:tc>
          <w:tcPr>
            <w:tcW w:w="5000" w:type="pct"/>
            <w:tcBorders>
              <w:top w:val="dotted" w:sz="4" w:space="0" w:color="auto"/>
              <w:left w:val="single" w:sz="4" w:space="0" w:color="auto"/>
              <w:bottom w:val="dotted" w:sz="4" w:space="0" w:color="auto"/>
              <w:right w:val="single" w:sz="4" w:space="0" w:color="auto"/>
            </w:tcBorders>
            <w:hideMark/>
          </w:tcPr>
          <w:p w14:paraId="202EDD65" w14:textId="77777777" w:rsidR="007E16DF" w:rsidRPr="002A2A6C" w:rsidRDefault="007E16DF" w:rsidP="0095071F">
            <w:pPr>
              <w:rPr>
                <w:szCs w:val="20"/>
              </w:rPr>
            </w:pPr>
            <w:r w:rsidRPr="002A2A6C">
              <w:rPr>
                <w:szCs w:val="20"/>
              </w:rPr>
              <w:t>Program 3.1 – Specialist Protective Services.</w:t>
            </w:r>
          </w:p>
        </w:tc>
      </w:tr>
      <w:tr w:rsidR="007E16DF" w:rsidRPr="002A2A6C" w14:paraId="3F225867" w14:textId="77777777" w:rsidTr="0095071F">
        <w:trPr>
          <w:trHeight w:val="113"/>
        </w:trPr>
        <w:tc>
          <w:tcPr>
            <w:tcW w:w="5000" w:type="pct"/>
            <w:tcBorders>
              <w:top w:val="dotted" w:sz="4" w:space="0" w:color="auto"/>
              <w:left w:val="single" w:sz="4" w:space="0" w:color="auto"/>
              <w:bottom w:val="dotted" w:sz="4" w:space="0" w:color="auto"/>
              <w:right w:val="single" w:sz="4" w:space="0" w:color="auto"/>
            </w:tcBorders>
            <w:hideMark/>
          </w:tcPr>
          <w:p w14:paraId="578C5EEC" w14:textId="77777777" w:rsidR="007E16DF" w:rsidRPr="002A2A6C" w:rsidRDefault="007E16DF" w:rsidP="0095071F">
            <w:pPr>
              <w:rPr>
                <w:b/>
                <w:szCs w:val="20"/>
              </w:rPr>
            </w:pPr>
            <w:r w:rsidRPr="002A2A6C">
              <w:rPr>
                <w:b/>
                <w:szCs w:val="20"/>
              </w:rPr>
              <w:t>Contribution to Outcome 1 by linked program</w:t>
            </w:r>
          </w:p>
        </w:tc>
      </w:tr>
      <w:tr w:rsidR="007E16DF" w:rsidRPr="002A2A6C" w14:paraId="3D9801D6" w14:textId="77777777" w:rsidTr="0095071F">
        <w:trPr>
          <w:trHeight w:val="113"/>
        </w:trPr>
        <w:tc>
          <w:tcPr>
            <w:tcW w:w="5000" w:type="pct"/>
            <w:tcBorders>
              <w:top w:val="dotted" w:sz="4" w:space="0" w:color="auto"/>
              <w:left w:val="single" w:sz="4" w:space="0" w:color="auto"/>
              <w:bottom w:val="single" w:sz="4" w:space="0" w:color="auto"/>
              <w:right w:val="single" w:sz="4" w:space="0" w:color="auto"/>
            </w:tcBorders>
            <w:hideMark/>
          </w:tcPr>
          <w:p w14:paraId="23A64B00" w14:textId="76006112" w:rsidR="007E16DF" w:rsidRPr="002A2A6C" w:rsidRDefault="007E16DF" w:rsidP="0095071F">
            <w:pPr>
              <w:autoSpaceDE w:val="0"/>
              <w:autoSpaceDN w:val="0"/>
              <w:rPr>
                <w:b/>
                <w:szCs w:val="20"/>
              </w:rPr>
            </w:pPr>
            <w:r w:rsidRPr="002A2A6C">
              <w:rPr>
                <w:szCs w:val="20"/>
              </w:rPr>
              <w:t>The Australian Federal Police works</w:t>
            </w:r>
            <w:r w:rsidR="00680B8D">
              <w:rPr>
                <w:szCs w:val="20"/>
              </w:rPr>
              <w:t xml:space="preserve"> closely</w:t>
            </w:r>
            <w:r w:rsidRPr="002A2A6C">
              <w:rPr>
                <w:szCs w:val="20"/>
              </w:rPr>
              <w:t xml:space="preserve"> with the Australian Submarine Agency to provide Protective Services at secure sites.</w:t>
            </w:r>
          </w:p>
        </w:tc>
      </w:tr>
    </w:tbl>
    <w:p w14:paraId="0B8B497C" w14:textId="77777777" w:rsidR="00F11E01" w:rsidRPr="002A2A6C" w:rsidRDefault="00F11E01" w:rsidP="00F11E01">
      <w:pPr>
        <w:keepNext/>
        <w:spacing w:before="0" w:after="0"/>
        <w:rPr>
          <w:caps/>
          <w:szCs w:val="20"/>
          <w:lang w:val="en-AU" w:eastAsia="en-US"/>
        </w:rPr>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8608"/>
      </w:tblGrid>
      <w:tr w:rsidR="00F11E01" w:rsidRPr="002A2A6C" w14:paraId="763E818C" w14:textId="77777777" w:rsidTr="00812D82">
        <w:trPr>
          <w:trHeight w:val="113"/>
        </w:trPr>
        <w:tc>
          <w:tcPr>
            <w:tcW w:w="5000" w:type="pct"/>
            <w:tcBorders>
              <w:top w:val="single" w:sz="4" w:space="0" w:color="auto"/>
              <w:left w:val="single" w:sz="4" w:space="0" w:color="auto"/>
              <w:bottom w:val="dotted" w:sz="4" w:space="0" w:color="auto"/>
              <w:right w:val="single" w:sz="4" w:space="0" w:color="auto"/>
            </w:tcBorders>
            <w:tcMar>
              <w:top w:w="0" w:type="dxa"/>
              <w:left w:w="108" w:type="dxa"/>
              <w:bottom w:w="0" w:type="dxa"/>
              <w:right w:w="108" w:type="dxa"/>
            </w:tcMar>
            <w:hideMark/>
          </w:tcPr>
          <w:p w14:paraId="798ECC3F" w14:textId="77777777" w:rsidR="00F11E01" w:rsidRPr="002A2A6C" w:rsidRDefault="00F11E01" w:rsidP="00812D82">
            <w:pPr>
              <w:rPr>
                <w:szCs w:val="20"/>
              </w:rPr>
            </w:pPr>
            <w:r w:rsidRPr="002A2A6C">
              <w:rPr>
                <w:b/>
                <w:szCs w:val="20"/>
              </w:rPr>
              <w:t>Australian Nuclear Science and Technology Organisation</w:t>
            </w:r>
          </w:p>
        </w:tc>
      </w:tr>
      <w:tr w:rsidR="00F11E01" w:rsidRPr="002A2A6C" w14:paraId="3BEB7BB7" w14:textId="77777777" w:rsidTr="00812D82">
        <w:trPr>
          <w:trHeight w:val="113"/>
        </w:trPr>
        <w:tc>
          <w:tcPr>
            <w:tcW w:w="5000"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hideMark/>
          </w:tcPr>
          <w:p w14:paraId="56FCD104" w14:textId="77777777" w:rsidR="00F11E01" w:rsidRPr="002A2A6C" w:rsidRDefault="00F11E01" w:rsidP="00812D82">
            <w:pPr>
              <w:rPr>
                <w:szCs w:val="20"/>
              </w:rPr>
            </w:pPr>
            <w:r w:rsidRPr="002A2A6C">
              <w:rPr>
                <w:szCs w:val="20"/>
              </w:rPr>
              <w:t>Program 2 – Nuclear-Powered Submarines.</w:t>
            </w:r>
          </w:p>
        </w:tc>
      </w:tr>
      <w:tr w:rsidR="00F11E01" w:rsidRPr="002A2A6C" w14:paraId="1F5AEABF" w14:textId="77777777" w:rsidTr="00812D82">
        <w:trPr>
          <w:trHeight w:val="113"/>
        </w:trPr>
        <w:tc>
          <w:tcPr>
            <w:tcW w:w="5000" w:type="pct"/>
            <w:tcBorders>
              <w:top w:val="dotted" w:sz="4" w:space="0" w:color="auto"/>
              <w:left w:val="single" w:sz="4" w:space="0" w:color="auto"/>
              <w:bottom w:val="dotted" w:sz="4" w:space="0" w:color="auto"/>
              <w:right w:val="single" w:sz="4" w:space="0" w:color="auto"/>
            </w:tcBorders>
            <w:tcMar>
              <w:top w:w="0" w:type="dxa"/>
              <w:left w:w="108" w:type="dxa"/>
              <w:bottom w:w="0" w:type="dxa"/>
              <w:right w:w="108" w:type="dxa"/>
            </w:tcMar>
            <w:hideMark/>
          </w:tcPr>
          <w:p w14:paraId="53F5FF95" w14:textId="77777777" w:rsidR="00F11E01" w:rsidRPr="002A2A6C" w:rsidRDefault="00F11E01" w:rsidP="00812D82">
            <w:pPr>
              <w:rPr>
                <w:szCs w:val="20"/>
              </w:rPr>
            </w:pPr>
            <w:r w:rsidRPr="002A2A6C">
              <w:rPr>
                <w:b/>
                <w:bCs/>
                <w:szCs w:val="20"/>
              </w:rPr>
              <w:t>Contribution to Outcome 1 by linked program</w:t>
            </w:r>
          </w:p>
        </w:tc>
      </w:tr>
      <w:tr w:rsidR="00F11E01" w:rsidRPr="002A2A6C" w14:paraId="701001FA" w14:textId="77777777" w:rsidTr="00812D82">
        <w:trPr>
          <w:trHeight w:val="113"/>
        </w:trPr>
        <w:tc>
          <w:tcPr>
            <w:tcW w:w="5000" w:type="pct"/>
            <w:tcBorders>
              <w:top w:val="dotted"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EC5F46" w14:textId="77777777" w:rsidR="00F11E01" w:rsidRPr="002A2A6C" w:rsidRDefault="00FC023D" w:rsidP="00812D82">
            <w:pPr>
              <w:rPr>
                <w:szCs w:val="20"/>
              </w:rPr>
            </w:pPr>
            <w:r w:rsidRPr="002A2A6C">
              <w:rPr>
                <w:szCs w:val="20"/>
              </w:rPr>
              <w:t>The Australian Nuclear Science and Technology Organisation (ANSTO) contributes to Outcome 1 through the provision of expertise and advice in the support of the nuclear-powered submarine program, with a focus on baselining and augmenting Australia's nuclear stewardship capabilities and credentials.</w:t>
            </w:r>
          </w:p>
        </w:tc>
      </w:tr>
    </w:tbl>
    <w:p w14:paraId="3128D646" w14:textId="77777777" w:rsidR="00577CCA" w:rsidRPr="002A2A6C" w:rsidRDefault="00577CCA" w:rsidP="00F11E01">
      <w:pPr>
        <w:spacing w:before="0" w:after="0"/>
        <w:rPr>
          <w:szCs w:val="20"/>
          <w:lang w:eastAsia="en-US"/>
        </w:rPr>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8608"/>
      </w:tblGrid>
      <w:tr w:rsidR="00577CCA" w:rsidRPr="002A2A6C" w14:paraId="0BC7DFB2" w14:textId="77777777" w:rsidTr="00C429E9">
        <w:trPr>
          <w:trHeight w:val="113"/>
        </w:trPr>
        <w:tc>
          <w:tcPr>
            <w:tcW w:w="5000" w:type="pct"/>
            <w:tcBorders>
              <w:top w:val="single" w:sz="4" w:space="0" w:color="auto"/>
              <w:left w:val="single" w:sz="4" w:space="0" w:color="auto"/>
              <w:bottom w:val="dotted" w:sz="4" w:space="0" w:color="auto"/>
              <w:right w:val="single" w:sz="4" w:space="0" w:color="auto"/>
            </w:tcBorders>
            <w:hideMark/>
          </w:tcPr>
          <w:p w14:paraId="4E28BC2D" w14:textId="77777777" w:rsidR="00577CCA" w:rsidRPr="002A2A6C" w:rsidRDefault="00577CCA" w:rsidP="00C429E9">
            <w:pPr>
              <w:rPr>
                <w:b/>
                <w:szCs w:val="20"/>
              </w:rPr>
            </w:pPr>
            <w:r w:rsidRPr="002A2A6C">
              <w:rPr>
                <w:b/>
                <w:szCs w:val="20"/>
              </w:rPr>
              <w:t>Australian Radiation Protection and Nuclear Safety Agency</w:t>
            </w:r>
          </w:p>
        </w:tc>
      </w:tr>
      <w:tr w:rsidR="00577CCA" w:rsidRPr="002A2A6C" w14:paraId="008D5520" w14:textId="77777777" w:rsidTr="00C429E9">
        <w:trPr>
          <w:trHeight w:val="113"/>
        </w:trPr>
        <w:tc>
          <w:tcPr>
            <w:tcW w:w="5000" w:type="pct"/>
            <w:tcBorders>
              <w:top w:val="dotted" w:sz="4" w:space="0" w:color="auto"/>
              <w:left w:val="single" w:sz="4" w:space="0" w:color="auto"/>
              <w:bottom w:val="dotted" w:sz="4" w:space="0" w:color="auto"/>
              <w:right w:val="single" w:sz="4" w:space="0" w:color="auto"/>
            </w:tcBorders>
            <w:hideMark/>
          </w:tcPr>
          <w:p w14:paraId="0DDD5EDF" w14:textId="77777777" w:rsidR="00577CCA" w:rsidRPr="002A2A6C" w:rsidRDefault="00577CCA" w:rsidP="00C429E9">
            <w:pPr>
              <w:rPr>
                <w:szCs w:val="20"/>
              </w:rPr>
            </w:pPr>
            <w:r w:rsidRPr="002A2A6C">
              <w:rPr>
                <w:szCs w:val="20"/>
              </w:rPr>
              <w:t>Program 1.2 – Nuclear-Powered Submarines.</w:t>
            </w:r>
          </w:p>
        </w:tc>
      </w:tr>
      <w:tr w:rsidR="00577CCA" w:rsidRPr="002A2A6C" w14:paraId="3BA26FBF" w14:textId="77777777" w:rsidTr="00C429E9">
        <w:trPr>
          <w:trHeight w:val="113"/>
        </w:trPr>
        <w:tc>
          <w:tcPr>
            <w:tcW w:w="5000" w:type="pct"/>
            <w:tcBorders>
              <w:top w:val="dotted" w:sz="4" w:space="0" w:color="auto"/>
              <w:left w:val="single" w:sz="4" w:space="0" w:color="auto"/>
              <w:bottom w:val="dotted" w:sz="4" w:space="0" w:color="auto"/>
              <w:right w:val="single" w:sz="4" w:space="0" w:color="auto"/>
            </w:tcBorders>
            <w:hideMark/>
          </w:tcPr>
          <w:p w14:paraId="4907645F" w14:textId="77777777" w:rsidR="00577CCA" w:rsidRPr="002A2A6C" w:rsidRDefault="00577CCA" w:rsidP="00C429E9">
            <w:pPr>
              <w:rPr>
                <w:b/>
                <w:szCs w:val="20"/>
              </w:rPr>
            </w:pPr>
            <w:r w:rsidRPr="002A2A6C">
              <w:rPr>
                <w:b/>
                <w:szCs w:val="20"/>
              </w:rPr>
              <w:t>Contribution to Outcome 1 by linked program</w:t>
            </w:r>
          </w:p>
        </w:tc>
      </w:tr>
      <w:tr w:rsidR="00577CCA" w:rsidRPr="002A2A6C" w14:paraId="318A13E1" w14:textId="77777777" w:rsidTr="00C429E9">
        <w:trPr>
          <w:trHeight w:val="113"/>
        </w:trPr>
        <w:tc>
          <w:tcPr>
            <w:tcW w:w="5000" w:type="pct"/>
            <w:tcBorders>
              <w:top w:val="dotted" w:sz="4" w:space="0" w:color="auto"/>
              <w:left w:val="single" w:sz="4" w:space="0" w:color="auto"/>
              <w:bottom w:val="single" w:sz="4" w:space="0" w:color="auto"/>
              <w:right w:val="single" w:sz="4" w:space="0" w:color="auto"/>
            </w:tcBorders>
            <w:hideMark/>
          </w:tcPr>
          <w:p w14:paraId="61A5D285" w14:textId="77777777" w:rsidR="00577CCA" w:rsidRPr="002A2A6C" w:rsidRDefault="00577CCA" w:rsidP="00C429E9">
            <w:pPr>
              <w:autoSpaceDE w:val="0"/>
              <w:autoSpaceDN w:val="0"/>
              <w:rPr>
                <w:b/>
                <w:szCs w:val="20"/>
              </w:rPr>
            </w:pPr>
            <w:r w:rsidRPr="002A2A6C">
              <w:rPr>
                <w:szCs w:val="20"/>
              </w:rPr>
              <w:t>Support delivery of nuclear-powered submarines capabilities through radiation protection and nuclear safety research, policy, advice, codes, standards, services and regulation.</w:t>
            </w:r>
          </w:p>
        </w:tc>
      </w:tr>
    </w:tbl>
    <w:p w14:paraId="1929773B" w14:textId="77777777" w:rsidR="00F11E01" w:rsidRPr="002A2A6C" w:rsidRDefault="00F11E01" w:rsidP="00F11E01">
      <w:pPr>
        <w:spacing w:before="0" w:after="0"/>
        <w:rPr>
          <w:szCs w:val="20"/>
          <w:lang w:eastAsia="en-US"/>
        </w:rPr>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8608"/>
      </w:tblGrid>
      <w:tr w:rsidR="00577CCA" w:rsidRPr="002A2A6C" w14:paraId="4EE20B0B" w14:textId="77777777" w:rsidTr="00C429E9">
        <w:trPr>
          <w:trHeight w:val="113"/>
        </w:trPr>
        <w:tc>
          <w:tcPr>
            <w:tcW w:w="5000" w:type="pct"/>
            <w:tcBorders>
              <w:top w:val="single" w:sz="4" w:space="0" w:color="auto"/>
              <w:left w:val="single" w:sz="4" w:space="0" w:color="auto"/>
              <w:bottom w:val="dotted" w:sz="4" w:space="0" w:color="auto"/>
              <w:right w:val="single" w:sz="4" w:space="0" w:color="auto"/>
            </w:tcBorders>
            <w:hideMark/>
          </w:tcPr>
          <w:p w14:paraId="66CFD9C3" w14:textId="77777777" w:rsidR="00577CCA" w:rsidRPr="002A2A6C" w:rsidRDefault="00577CCA" w:rsidP="00C429E9">
            <w:pPr>
              <w:rPr>
                <w:b/>
                <w:szCs w:val="20"/>
              </w:rPr>
            </w:pPr>
            <w:r w:rsidRPr="002A2A6C">
              <w:rPr>
                <w:b/>
                <w:szCs w:val="20"/>
              </w:rPr>
              <w:t>Attorney-General’s Department</w:t>
            </w:r>
          </w:p>
        </w:tc>
      </w:tr>
      <w:tr w:rsidR="00577CCA" w:rsidRPr="002A2A6C" w14:paraId="1FE426E3" w14:textId="77777777" w:rsidTr="00C429E9">
        <w:trPr>
          <w:trHeight w:val="113"/>
        </w:trPr>
        <w:tc>
          <w:tcPr>
            <w:tcW w:w="5000" w:type="pct"/>
            <w:tcBorders>
              <w:top w:val="dotted" w:sz="4" w:space="0" w:color="auto"/>
              <w:left w:val="single" w:sz="4" w:space="0" w:color="auto"/>
              <w:bottom w:val="dotted" w:sz="4" w:space="0" w:color="auto"/>
              <w:right w:val="single" w:sz="4" w:space="0" w:color="auto"/>
            </w:tcBorders>
            <w:hideMark/>
          </w:tcPr>
          <w:p w14:paraId="50CE92D7" w14:textId="77777777" w:rsidR="00577CCA" w:rsidRPr="002A2A6C" w:rsidRDefault="00577CCA" w:rsidP="00C429E9">
            <w:pPr>
              <w:rPr>
                <w:szCs w:val="20"/>
              </w:rPr>
            </w:pPr>
            <w:r w:rsidRPr="002A2A6C">
              <w:rPr>
                <w:szCs w:val="20"/>
              </w:rPr>
              <w:t>Program 1.8 – Nuclear-Powered Submarines.</w:t>
            </w:r>
          </w:p>
        </w:tc>
      </w:tr>
      <w:tr w:rsidR="00577CCA" w:rsidRPr="002A2A6C" w14:paraId="40468BEB" w14:textId="77777777" w:rsidTr="00C429E9">
        <w:trPr>
          <w:trHeight w:val="113"/>
        </w:trPr>
        <w:tc>
          <w:tcPr>
            <w:tcW w:w="5000" w:type="pct"/>
            <w:tcBorders>
              <w:top w:val="dotted" w:sz="4" w:space="0" w:color="auto"/>
              <w:left w:val="single" w:sz="4" w:space="0" w:color="auto"/>
              <w:bottom w:val="dotted" w:sz="4" w:space="0" w:color="auto"/>
              <w:right w:val="single" w:sz="4" w:space="0" w:color="auto"/>
            </w:tcBorders>
            <w:hideMark/>
          </w:tcPr>
          <w:p w14:paraId="0EB491B5" w14:textId="77777777" w:rsidR="00577CCA" w:rsidRPr="002A2A6C" w:rsidRDefault="00577CCA" w:rsidP="00C429E9">
            <w:pPr>
              <w:rPr>
                <w:b/>
                <w:szCs w:val="20"/>
              </w:rPr>
            </w:pPr>
            <w:r w:rsidRPr="002A2A6C">
              <w:rPr>
                <w:b/>
                <w:szCs w:val="20"/>
              </w:rPr>
              <w:t>Contribution to Outcome 1 by linked programs</w:t>
            </w:r>
          </w:p>
        </w:tc>
      </w:tr>
      <w:tr w:rsidR="00577CCA" w:rsidRPr="002A2A6C" w14:paraId="5FC85124" w14:textId="77777777" w:rsidTr="00C429E9">
        <w:trPr>
          <w:trHeight w:val="113"/>
        </w:trPr>
        <w:tc>
          <w:tcPr>
            <w:tcW w:w="5000" w:type="pct"/>
            <w:tcBorders>
              <w:top w:val="dotted" w:sz="4" w:space="0" w:color="auto"/>
              <w:left w:val="single" w:sz="4" w:space="0" w:color="auto"/>
              <w:bottom w:val="single" w:sz="4" w:space="0" w:color="auto"/>
              <w:right w:val="single" w:sz="4" w:space="0" w:color="auto"/>
            </w:tcBorders>
            <w:hideMark/>
          </w:tcPr>
          <w:p w14:paraId="6D7294EE" w14:textId="77777777" w:rsidR="00577CCA" w:rsidRPr="002A2A6C" w:rsidRDefault="00FC023D" w:rsidP="00C429E9">
            <w:pPr>
              <w:rPr>
                <w:szCs w:val="20"/>
              </w:rPr>
            </w:pPr>
            <w:r w:rsidRPr="002A2A6C">
              <w:rPr>
                <w:szCs w:val="20"/>
              </w:rPr>
              <w:t xml:space="preserve">The Attorney-General’s Department provides </w:t>
            </w:r>
            <w:r w:rsidR="00582495" w:rsidRPr="002A2A6C">
              <w:rPr>
                <w:szCs w:val="20"/>
              </w:rPr>
              <w:t>policy and legal advice to the G</w:t>
            </w:r>
            <w:r w:rsidRPr="002A2A6C">
              <w:rPr>
                <w:szCs w:val="20"/>
              </w:rPr>
              <w:t>overnment on the legal risks of the nuclear-powered submarine program, and international and domestic regulatory frameworks.</w:t>
            </w:r>
          </w:p>
        </w:tc>
      </w:tr>
    </w:tbl>
    <w:p w14:paraId="22DDB476" w14:textId="6462E175" w:rsidR="00680B8D" w:rsidRDefault="00680B8D" w:rsidP="00F11E01">
      <w:pPr>
        <w:spacing w:before="0" w:after="0"/>
        <w:rPr>
          <w:szCs w:val="20"/>
          <w:lang w:eastAsia="en-US"/>
        </w:rPr>
      </w:pPr>
    </w:p>
    <w:p w14:paraId="40703F1D" w14:textId="77777777" w:rsidR="00680B8D" w:rsidRDefault="00680B8D">
      <w:pPr>
        <w:spacing w:before="0" w:after="0"/>
        <w:rPr>
          <w:szCs w:val="20"/>
          <w:lang w:eastAsia="en-US"/>
        </w:rPr>
      </w:pPr>
      <w:r>
        <w:rPr>
          <w:szCs w:val="20"/>
          <w:lang w:eastAsia="en-US"/>
        </w:rPr>
        <w:br w:type="page"/>
      </w:r>
    </w:p>
    <w:p w14:paraId="72EF60D6" w14:textId="77777777" w:rsidR="00577CCA" w:rsidRPr="002A2A6C" w:rsidRDefault="00577CCA" w:rsidP="00F11E01">
      <w:pPr>
        <w:spacing w:before="0" w:after="0"/>
        <w:rPr>
          <w:szCs w:val="20"/>
          <w:lang w:eastAsia="en-US"/>
        </w:rPr>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8608"/>
      </w:tblGrid>
      <w:tr w:rsidR="00F11E01" w:rsidRPr="002A2A6C" w14:paraId="547D2EEC" w14:textId="77777777" w:rsidTr="00812D82">
        <w:trPr>
          <w:trHeight w:val="113"/>
        </w:trPr>
        <w:tc>
          <w:tcPr>
            <w:tcW w:w="5000" w:type="pct"/>
            <w:tcBorders>
              <w:top w:val="single" w:sz="4" w:space="0" w:color="auto"/>
              <w:left w:val="single" w:sz="4" w:space="0" w:color="auto"/>
              <w:bottom w:val="dotted" w:sz="4" w:space="0" w:color="auto"/>
              <w:right w:val="single" w:sz="4" w:space="0" w:color="auto"/>
            </w:tcBorders>
            <w:hideMark/>
          </w:tcPr>
          <w:p w14:paraId="2E60D94D" w14:textId="77777777" w:rsidR="00F11E01" w:rsidRPr="002A2A6C" w:rsidRDefault="00F11E01" w:rsidP="00812D82">
            <w:pPr>
              <w:rPr>
                <w:b/>
                <w:szCs w:val="20"/>
              </w:rPr>
            </w:pPr>
            <w:r w:rsidRPr="002A2A6C">
              <w:rPr>
                <w:b/>
                <w:szCs w:val="20"/>
              </w:rPr>
              <w:t>Department of Climate Change, Energy, the Environment and Water</w:t>
            </w:r>
          </w:p>
        </w:tc>
      </w:tr>
      <w:tr w:rsidR="00F11E01" w:rsidRPr="002A2A6C" w14:paraId="35F91E9F" w14:textId="77777777" w:rsidTr="00812D82">
        <w:trPr>
          <w:trHeight w:val="113"/>
        </w:trPr>
        <w:tc>
          <w:tcPr>
            <w:tcW w:w="5000" w:type="pct"/>
            <w:tcBorders>
              <w:top w:val="dotted" w:sz="4" w:space="0" w:color="auto"/>
              <w:left w:val="single" w:sz="4" w:space="0" w:color="auto"/>
              <w:bottom w:val="dotted" w:sz="4" w:space="0" w:color="auto"/>
              <w:right w:val="single" w:sz="4" w:space="0" w:color="auto"/>
            </w:tcBorders>
            <w:hideMark/>
          </w:tcPr>
          <w:p w14:paraId="617DE64E" w14:textId="77777777" w:rsidR="00F11E01" w:rsidRPr="002A2A6C" w:rsidRDefault="00F11E01" w:rsidP="00812D82">
            <w:pPr>
              <w:rPr>
                <w:szCs w:val="20"/>
              </w:rPr>
            </w:pPr>
            <w:r w:rsidRPr="002A2A6C">
              <w:rPr>
                <w:szCs w:val="20"/>
              </w:rPr>
              <w:t>Program 2.1 – Nuclear-Powered Submarine Program.</w:t>
            </w:r>
          </w:p>
        </w:tc>
      </w:tr>
      <w:tr w:rsidR="00F11E01" w:rsidRPr="002A2A6C" w14:paraId="137C53CE" w14:textId="77777777" w:rsidTr="00812D82">
        <w:trPr>
          <w:trHeight w:val="113"/>
        </w:trPr>
        <w:tc>
          <w:tcPr>
            <w:tcW w:w="5000" w:type="pct"/>
            <w:tcBorders>
              <w:top w:val="dotted" w:sz="4" w:space="0" w:color="auto"/>
              <w:left w:val="single" w:sz="4" w:space="0" w:color="auto"/>
              <w:bottom w:val="dotted" w:sz="4" w:space="0" w:color="auto"/>
              <w:right w:val="single" w:sz="4" w:space="0" w:color="auto"/>
            </w:tcBorders>
            <w:hideMark/>
          </w:tcPr>
          <w:p w14:paraId="31187CE6" w14:textId="77777777" w:rsidR="00F11E01" w:rsidRPr="002A2A6C" w:rsidRDefault="00F11E01" w:rsidP="00812D82">
            <w:pPr>
              <w:rPr>
                <w:b/>
                <w:szCs w:val="20"/>
              </w:rPr>
            </w:pPr>
            <w:r w:rsidRPr="002A2A6C">
              <w:rPr>
                <w:b/>
                <w:szCs w:val="20"/>
              </w:rPr>
              <w:t>Contribution to Outcome 1 by linked programs</w:t>
            </w:r>
          </w:p>
        </w:tc>
      </w:tr>
      <w:tr w:rsidR="00F11E01" w:rsidRPr="002A2A6C" w14:paraId="7793802B" w14:textId="77777777" w:rsidTr="00812D82">
        <w:trPr>
          <w:trHeight w:val="113"/>
        </w:trPr>
        <w:tc>
          <w:tcPr>
            <w:tcW w:w="5000" w:type="pct"/>
            <w:tcBorders>
              <w:top w:val="dotted" w:sz="4" w:space="0" w:color="auto"/>
              <w:left w:val="single" w:sz="4" w:space="0" w:color="auto"/>
              <w:bottom w:val="single" w:sz="4" w:space="0" w:color="auto"/>
              <w:right w:val="single" w:sz="4" w:space="0" w:color="auto"/>
            </w:tcBorders>
            <w:hideMark/>
          </w:tcPr>
          <w:p w14:paraId="23A7CDEB" w14:textId="77777777" w:rsidR="00F11E01" w:rsidRPr="002A2A6C" w:rsidRDefault="00F11E01" w:rsidP="00812D82">
            <w:pPr>
              <w:rPr>
                <w:szCs w:val="20"/>
              </w:rPr>
            </w:pPr>
            <w:r w:rsidRPr="002A2A6C">
              <w:rPr>
                <w:szCs w:val="20"/>
              </w:rPr>
              <w:t>Conduct the environmental regulation and assessments required under relevant environmental legislation.</w:t>
            </w:r>
          </w:p>
        </w:tc>
      </w:tr>
    </w:tbl>
    <w:p w14:paraId="70A8DC9E" w14:textId="77777777" w:rsidR="00F11E01" w:rsidRPr="002A2A6C" w:rsidRDefault="00F11E01" w:rsidP="00F11E01">
      <w:pPr>
        <w:spacing w:before="0" w:after="0"/>
        <w:rPr>
          <w:szCs w:val="20"/>
          <w:lang w:eastAsia="en-US"/>
        </w:rPr>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8608"/>
      </w:tblGrid>
      <w:tr w:rsidR="00F11E01" w:rsidRPr="002A2A6C" w14:paraId="28992390" w14:textId="77777777" w:rsidTr="00812D82">
        <w:trPr>
          <w:trHeight w:val="113"/>
        </w:trPr>
        <w:tc>
          <w:tcPr>
            <w:tcW w:w="5000" w:type="pct"/>
            <w:tcBorders>
              <w:top w:val="single" w:sz="4" w:space="0" w:color="auto"/>
              <w:left w:val="single" w:sz="4" w:space="0" w:color="auto"/>
              <w:bottom w:val="dotted" w:sz="4" w:space="0" w:color="auto"/>
              <w:right w:val="single" w:sz="4" w:space="0" w:color="auto"/>
            </w:tcBorders>
            <w:hideMark/>
          </w:tcPr>
          <w:p w14:paraId="192481ED" w14:textId="77777777" w:rsidR="00F11E01" w:rsidRPr="002A2A6C" w:rsidRDefault="00F11E01" w:rsidP="00812D82">
            <w:pPr>
              <w:rPr>
                <w:b/>
                <w:szCs w:val="20"/>
              </w:rPr>
            </w:pPr>
            <w:r w:rsidRPr="002A2A6C">
              <w:rPr>
                <w:b/>
                <w:szCs w:val="20"/>
              </w:rPr>
              <w:t>Department of Defence</w:t>
            </w:r>
          </w:p>
        </w:tc>
      </w:tr>
      <w:tr w:rsidR="00F11E01" w:rsidRPr="002A2A6C" w14:paraId="19E5F56D" w14:textId="77777777" w:rsidTr="00812D82">
        <w:trPr>
          <w:trHeight w:val="113"/>
        </w:trPr>
        <w:tc>
          <w:tcPr>
            <w:tcW w:w="5000" w:type="pct"/>
            <w:tcBorders>
              <w:top w:val="dotted" w:sz="4" w:space="0" w:color="auto"/>
              <w:left w:val="single" w:sz="4" w:space="0" w:color="auto"/>
              <w:bottom w:val="dotted" w:sz="4" w:space="0" w:color="auto"/>
              <w:right w:val="single" w:sz="4" w:space="0" w:color="auto"/>
            </w:tcBorders>
            <w:hideMark/>
          </w:tcPr>
          <w:p w14:paraId="15F60336" w14:textId="77777777" w:rsidR="00F11E01" w:rsidRPr="002A2A6C" w:rsidRDefault="00F11E01" w:rsidP="00812D82">
            <w:pPr>
              <w:rPr>
                <w:szCs w:val="20"/>
              </w:rPr>
            </w:pPr>
            <w:r w:rsidRPr="002A2A6C">
              <w:rPr>
                <w:szCs w:val="20"/>
              </w:rPr>
              <w:t>Program 2.16 – Nuclear-Powered Submarines.</w:t>
            </w:r>
          </w:p>
        </w:tc>
      </w:tr>
      <w:tr w:rsidR="00F11E01" w:rsidRPr="002A2A6C" w14:paraId="2E1D8183" w14:textId="77777777" w:rsidTr="00812D82">
        <w:trPr>
          <w:trHeight w:val="113"/>
        </w:trPr>
        <w:tc>
          <w:tcPr>
            <w:tcW w:w="5000" w:type="pct"/>
            <w:tcBorders>
              <w:top w:val="dotted" w:sz="4" w:space="0" w:color="auto"/>
              <w:left w:val="single" w:sz="4" w:space="0" w:color="auto"/>
              <w:bottom w:val="dotted" w:sz="4" w:space="0" w:color="auto"/>
              <w:right w:val="single" w:sz="4" w:space="0" w:color="auto"/>
            </w:tcBorders>
            <w:hideMark/>
          </w:tcPr>
          <w:p w14:paraId="26052307" w14:textId="77777777" w:rsidR="00F11E01" w:rsidRPr="002A2A6C" w:rsidRDefault="00F11E01" w:rsidP="00812D82">
            <w:pPr>
              <w:rPr>
                <w:b/>
                <w:szCs w:val="20"/>
              </w:rPr>
            </w:pPr>
            <w:r w:rsidRPr="002A2A6C">
              <w:rPr>
                <w:b/>
                <w:szCs w:val="20"/>
              </w:rPr>
              <w:t>Contribution to Outcome 1 by linked programs</w:t>
            </w:r>
          </w:p>
        </w:tc>
      </w:tr>
      <w:tr w:rsidR="00F11E01" w:rsidRPr="002A2A6C" w14:paraId="0012997F" w14:textId="77777777" w:rsidTr="00812D82">
        <w:trPr>
          <w:trHeight w:val="113"/>
        </w:trPr>
        <w:tc>
          <w:tcPr>
            <w:tcW w:w="5000" w:type="pct"/>
            <w:tcBorders>
              <w:top w:val="dotted" w:sz="4" w:space="0" w:color="auto"/>
              <w:left w:val="single" w:sz="4" w:space="0" w:color="auto"/>
              <w:bottom w:val="single" w:sz="4" w:space="0" w:color="auto"/>
              <w:right w:val="single" w:sz="4" w:space="0" w:color="auto"/>
            </w:tcBorders>
            <w:hideMark/>
          </w:tcPr>
          <w:p w14:paraId="3CFE3A62" w14:textId="77777777" w:rsidR="00F11E01" w:rsidRPr="002A2A6C" w:rsidRDefault="00FC023D" w:rsidP="00812D82">
            <w:pPr>
              <w:rPr>
                <w:szCs w:val="20"/>
              </w:rPr>
            </w:pPr>
            <w:r w:rsidRPr="002A2A6C">
              <w:rPr>
                <w:szCs w:val="20"/>
              </w:rPr>
              <w:t>The linked program contributes to Outcome 1 through the provision of expertise, advice and support in the delivery of nuclear-powered submarines capabilities.</w:t>
            </w:r>
          </w:p>
        </w:tc>
      </w:tr>
    </w:tbl>
    <w:p w14:paraId="64975315" w14:textId="77777777" w:rsidR="00F11E01" w:rsidRPr="002A2A6C" w:rsidRDefault="00F11E01" w:rsidP="00F11E01">
      <w:pPr>
        <w:spacing w:before="0" w:after="0"/>
        <w:rPr>
          <w:szCs w:val="20"/>
          <w:lang w:eastAsia="en-US"/>
        </w:rPr>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8608"/>
      </w:tblGrid>
      <w:tr w:rsidR="00F11E01" w:rsidRPr="002A2A6C" w14:paraId="745D752B" w14:textId="77777777" w:rsidTr="00812D82">
        <w:trPr>
          <w:trHeight w:val="113"/>
        </w:trPr>
        <w:tc>
          <w:tcPr>
            <w:tcW w:w="5000" w:type="pct"/>
            <w:tcBorders>
              <w:top w:val="single" w:sz="4" w:space="0" w:color="auto"/>
              <w:left w:val="single" w:sz="4" w:space="0" w:color="auto"/>
              <w:bottom w:val="dotted" w:sz="4" w:space="0" w:color="auto"/>
              <w:right w:val="single" w:sz="4" w:space="0" w:color="auto"/>
            </w:tcBorders>
            <w:hideMark/>
          </w:tcPr>
          <w:p w14:paraId="1C5B4471" w14:textId="77777777" w:rsidR="00F11E01" w:rsidRPr="002A2A6C" w:rsidRDefault="00F11E01" w:rsidP="00812D82">
            <w:pPr>
              <w:rPr>
                <w:b/>
                <w:szCs w:val="20"/>
              </w:rPr>
            </w:pPr>
            <w:r w:rsidRPr="002A2A6C">
              <w:rPr>
                <w:b/>
                <w:szCs w:val="20"/>
              </w:rPr>
              <w:t>Department of Education</w:t>
            </w:r>
          </w:p>
        </w:tc>
      </w:tr>
      <w:tr w:rsidR="00F11E01" w:rsidRPr="002A2A6C" w14:paraId="7C375539" w14:textId="77777777" w:rsidTr="00812D82">
        <w:trPr>
          <w:trHeight w:val="113"/>
        </w:trPr>
        <w:tc>
          <w:tcPr>
            <w:tcW w:w="5000" w:type="pct"/>
            <w:tcBorders>
              <w:top w:val="dotted" w:sz="4" w:space="0" w:color="auto"/>
              <w:left w:val="single" w:sz="4" w:space="0" w:color="auto"/>
              <w:bottom w:val="dotted" w:sz="4" w:space="0" w:color="auto"/>
              <w:right w:val="single" w:sz="4" w:space="0" w:color="auto"/>
            </w:tcBorders>
            <w:hideMark/>
          </w:tcPr>
          <w:p w14:paraId="4064F5D2" w14:textId="5C47506D" w:rsidR="00F11E01" w:rsidRPr="002A2A6C" w:rsidRDefault="00F11E01" w:rsidP="00812D82">
            <w:pPr>
              <w:rPr>
                <w:b/>
                <w:szCs w:val="20"/>
              </w:rPr>
            </w:pPr>
            <w:r w:rsidRPr="002A2A6C">
              <w:rPr>
                <w:szCs w:val="20"/>
              </w:rPr>
              <w:t>Program 2.8 – Nuclear-Powered Submarines</w:t>
            </w:r>
            <w:r w:rsidR="004D1816">
              <w:rPr>
                <w:szCs w:val="20"/>
              </w:rPr>
              <w:t xml:space="preserve"> Program</w:t>
            </w:r>
            <w:r w:rsidRPr="002A2A6C">
              <w:rPr>
                <w:szCs w:val="20"/>
              </w:rPr>
              <w:t>.</w:t>
            </w:r>
          </w:p>
        </w:tc>
      </w:tr>
      <w:tr w:rsidR="00F11E01" w:rsidRPr="002A2A6C" w14:paraId="6FF6C3DF" w14:textId="77777777" w:rsidTr="00812D82">
        <w:trPr>
          <w:trHeight w:val="113"/>
        </w:trPr>
        <w:tc>
          <w:tcPr>
            <w:tcW w:w="5000" w:type="pct"/>
            <w:tcBorders>
              <w:top w:val="dotted" w:sz="4" w:space="0" w:color="auto"/>
              <w:left w:val="single" w:sz="4" w:space="0" w:color="auto"/>
              <w:bottom w:val="dotted" w:sz="4" w:space="0" w:color="auto"/>
              <w:right w:val="single" w:sz="4" w:space="0" w:color="auto"/>
            </w:tcBorders>
            <w:hideMark/>
          </w:tcPr>
          <w:p w14:paraId="71CD6709" w14:textId="77777777" w:rsidR="00F11E01" w:rsidRPr="002A2A6C" w:rsidRDefault="00F11E01" w:rsidP="00812D82">
            <w:pPr>
              <w:rPr>
                <w:b/>
                <w:szCs w:val="20"/>
              </w:rPr>
            </w:pPr>
            <w:r w:rsidRPr="002A2A6C">
              <w:rPr>
                <w:b/>
                <w:szCs w:val="20"/>
              </w:rPr>
              <w:t>Contribution to Outcome 1 by linked program</w:t>
            </w:r>
          </w:p>
        </w:tc>
      </w:tr>
      <w:tr w:rsidR="00F11E01" w:rsidRPr="002A2A6C" w14:paraId="6EB8B5B2" w14:textId="77777777" w:rsidTr="00812D82">
        <w:trPr>
          <w:trHeight w:val="319"/>
        </w:trPr>
        <w:tc>
          <w:tcPr>
            <w:tcW w:w="5000" w:type="pct"/>
            <w:tcBorders>
              <w:top w:val="dotted" w:sz="4" w:space="0" w:color="auto"/>
              <w:left w:val="single" w:sz="4" w:space="0" w:color="auto"/>
              <w:bottom w:val="single" w:sz="4" w:space="0" w:color="auto"/>
              <w:right w:val="single" w:sz="4" w:space="0" w:color="auto"/>
            </w:tcBorders>
            <w:hideMark/>
          </w:tcPr>
          <w:p w14:paraId="68C528BC" w14:textId="77777777" w:rsidR="00F11E01" w:rsidRPr="002A2A6C" w:rsidRDefault="00FC023D" w:rsidP="00812D82">
            <w:pPr>
              <w:rPr>
                <w:szCs w:val="20"/>
              </w:rPr>
            </w:pPr>
            <w:r w:rsidRPr="002A2A6C">
              <w:rPr>
                <w:szCs w:val="20"/>
              </w:rPr>
              <w:t>The linked program contributes to Outcome 1 through the provision of expertise, advice and support in the delivery of nuclear-powered submarines capabilities.</w:t>
            </w:r>
          </w:p>
        </w:tc>
      </w:tr>
    </w:tbl>
    <w:p w14:paraId="3F1F621A" w14:textId="77777777" w:rsidR="0095071F" w:rsidRPr="002A2A6C" w:rsidRDefault="0095071F" w:rsidP="00F11E01">
      <w:pPr>
        <w:spacing w:before="0" w:after="0"/>
        <w:rPr>
          <w:szCs w:val="20"/>
          <w:lang w:eastAsia="en-US"/>
        </w:rPr>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8608"/>
      </w:tblGrid>
      <w:tr w:rsidR="00F11E01" w:rsidRPr="002A2A6C" w14:paraId="6C5974E1" w14:textId="77777777" w:rsidTr="00812D82">
        <w:trPr>
          <w:trHeight w:val="113"/>
        </w:trPr>
        <w:tc>
          <w:tcPr>
            <w:tcW w:w="5000" w:type="pct"/>
            <w:hideMark/>
          </w:tcPr>
          <w:p w14:paraId="47178516" w14:textId="77777777" w:rsidR="00F11E01" w:rsidRPr="002A2A6C" w:rsidRDefault="00F11E01" w:rsidP="00812D82">
            <w:pPr>
              <w:rPr>
                <w:b/>
                <w:szCs w:val="20"/>
              </w:rPr>
            </w:pPr>
            <w:r w:rsidRPr="002A2A6C">
              <w:rPr>
                <w:b/>
                <w:szCs w:val="20"/>
              </w:rPr>
              <w:t>Department of Employment and Workplace Relations</w:t>
            </w:r>
          </w:p>
        </w:tc>
      </w:tr>
      <w:tr w:rsidR="00F11E01" w:rsidRPr="002A2A6C" w14:paraId="139259F5" w14:textId="77777777" w:rsidTr="00812D82">
        <w:trPr>
          <w:trHeight w:val="113"/>
        </w:trPr>
        <w:tc>
          <w:tcPr>
            <w:tcW w:w="5000" w:type="pct"/>
            <w:hideMark/>
          </w:tcPr>
          <w:p w14:paraId="3EE5DE6A" w14:textId="77777777" w:rsidR="00F11E01" w:rsidRPr="002A2A6C" w:rsidRDefault="00F11E01" w:rsidP="00812D82">
            <w:pPr>
              <w:rPr>
                <w:b/>
                <w:szCs w:val="20"/>
              </w:rPr>
            </w:pPr>
            <w:r w:rsidRPr="002A2A6C">
              <w:rPr>
                <w:szCs w:val="20"/>
              </w:rPr>
              <w:t>Program 2.3 – DEWR – Nuclear-Powered Submarine Program.</w:t>
            </w:r>
          </w:p>
        </w:tc>
      </w:tr>
      <w:tr w:rsidR="00F11E01" w:rsidRPr="002A2A6C" w14:paraId="24F82600" w14:textId="77777777" w:rsidTr="00812D82">
        <w:trPr>
          <w:trHeight w:val="113"/>
        </w:trPr>
        <w:tc>
          <w:tcPr>
            <w:tcW w:w="5000" w:type="pct"/>
            <w:hideMark/>
          </w:tcPr>
          <w:p w14:paraId="7091D07C" w14:textId="77777777" w:rsidR="00F11E01" w:rsidRPr="002A2A6C" w:rsidRDefault="00F11E01" w:rsidP="00812D82">
            <w:pPr>
              <w:rPr>
                <w:b/>
                <w:szCs w:val="20"/>
              </w:rPr>
            </w:pPr>
            <w:r w:rsidRPr="002A2A6C">
              <w:rPr>
                <w:b/>
                <w:szCs w:val="20"/>
              </w:rPr>
              <w:t>Contribution to Outcome 1 by linked program</w:t>
            </w:r>
          </w:p>
        </w:tc>
      </w:tr>
      <w:tr w:rsidR="00F11E01" w:rsidRPr="002A2A6C" w14:paraId="69AD0EE6" w14:textId="77777777" w:rsidTr="00812D82">
        <w:trPr>
          <w:trHeight w:val="113"/>
        </w:trPr>
        <w:tc>
          <w:tcPr>
            <w:tcW w:w="5000" w:type="pct"/>
            <w:hideMark/>
          </w:tcPr>
          <w:p w14:paraId="5ED698B4" w14:textId="77777777" w:rsidR="00F11E01" w:rsidRPr="002A2A6C" w:rsidRDefault="00F11E01" w:rsidP="00812D82">
            <w:pPr>
              <w:rPr>
                <w:b/>
                <w:szCs w:val="20"/>
              </w:rPr>
            </w:pPr>
            <w:r w:rsidRPr="002A2A6C">
              <w:rPr>
                <w:rFonts w:eastAsia="Calibri"/>
                <w:szCs w:val="20"/>
              </w:rPr>
              <w:t>The linked programs contribute to Outcome 1 and support Australia’s broader sovereign capabilities throu</w:t>
            </w:r>
            <w:r w:rsidR="00582495" w:rsidRPr="002A2A6C">
              <w:rPr>
                <w:rFonts w:eastAsia="Calibri"/>
                <w:szCs w:val="20"/>
              </w:rPr>
              <w:t>gh strategic engagement across G</w:t>
            </w:r>
            <w:r w:rsidRPr="002A2A6C">
              <w:rPr>
                <w:rFonts w:eastAsia="Calibri"/>
                <w:szCs w:val="20"/>
              </w:rPr>
              <w:t>overnment and supporting the nuclear workforce.</w:t>
            </w:r>
          </w:p>
        </w:tc>
      </w:tr>
    </w:tbl>
    <w:p w14:paraId="2F2181C5" w14:textId="77777777" w:rsidR="00F11E01" w:rsidRPr="002A2A6C" w:rsidRDefault="00F11E01" w:rsidP="00F11E01">
      <w:pPr>
        <w:pStyle w:val="TPHeading2"/>
        <w:jc w:val="left"/>
        <w:rPr>
          <w:rFonts w:ascii="Book Antiqua" w:hAnsi="Book Antiqua"/>
          <w:sz w:val="20"/>
          <w:lang w:eastAsia="en-US"/>
        </w:rPr>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8608"/>
      </w:tblGrid>
      <w:tr w:rsidR="00F11E01" w:rsidRPr="002A2A6C" w14:paraId="3E90E5B0" w14:textId="77777777" w:rsidTr="00812D82">
        <w:trPr>
          <w:trHeight w:val="113"/>
        </w:trPr>
        <w:tc>
          <w:tcPr>
            <w:tcW w:w="5000" w:type="pct"/>
            <w:tcBorders>
              <w:top w:val="single" w:sz="4" w:space="0" w:color="auto"/>
              <w:left w:val="single" w:sz="4" w:space="0" w:color="auto"/>
              <w:bottom w:val="dotted" w:sz="4" w:space="0" w:color="auto"/>
              <w:right w:val="single" w:sz="4" w:space="0" w:color="auto"/>
            </w:tcBorders>
            <w:hideMark/>
          </w:tcPr>
          <w:p w14:paraId="337C31D7" w14:textId="77777777" w:rsidR="00F11E01" w:rsidRPr="002A2A6C" w:rsidRDefault="00F11E01" w:rsidP="00812D82">
            <w:pPr>
              <w:rPr>
                <w:b/>
                <w:szCs w:val="20"/>
              </w:rPr>
            </w:pPr>
            <w:r w:rsidRPr="002A2A6C">
              <w:rPr>
                <w:b/>
                <w:szCs w:val="20"/>
              </w:rPr>
              <w:t>Department of Finance</w:t>
            </w:r>
          </w:p>
        </w:tc>
      </w:tr>
      <w:tr w:rsidR="00F11E01" w:rsidRPr="002A2A6C" w14:paraId="3F7B7D0B" w14:textId="77777777" w:rsidTr="00812D82">
        <w:trPr>
          <w:trHeight w:val="113"/>
        </w:trPr>
        <w:tc>
          <w:tcPr>
            <w:tcW w:w="5000" w:type="pct"/>
            <w:tcBorders>
              <w:top w:val="dotted" w:sz="4" w:space="0" w:color="auto"/>
              <w:left w:val="single" w:sz="4" w:space="0" w:color="auto"/>
              <w:bottom w:val="dotted" w:sz="4" w:space="0" w:color="auto"/>
              <w:right w:val="single" w:sz="4" w:space="0" w:color="auto"/>
            </w:tcBorders>
            <w:hideMark/>
          </w:tcPr>
          <w:p w14:paraId="57C86FF2" w14:textId="77777777" w:rsidR="00F11E01" w:rsidRPr="002A2A6C" w:rsidRDefault="00F11E01" w:rsidP="00812D82">
            <w:pPr>
              <w:rPr>
                <w:b/>
                <w:szCs w:val="20"/>
              </w:rPr>
            </w:pPr>
            <w:r w:rsidRPr="002A2A6C">
              <w:rPr>
                <w:szCs w:val="20"/>
              </w:rPr>
              <w:t>Program 2.10 - Nuclear-Powered Submarine Program Advice.</w:t>
            </w:r>
          </w:p>
        </w:tc>
      </w:tr>
      <w:tr w:rsidR="00F11E01" w:rsidRPr="002A2A6C" w14:paraId="5A19677A" w14:textId="77777777" w:rsidTr="00812D82">
        <w:trPr>
          <w:trHeight w:val="113"/>
        </w:trPr>
        <w:tc>
          <w:tcPr>
            <w:tcW w:w="5000" w:type="pct"/>
            <w:tcBorders>
              <w:top w:val="dotted" w:sz="4" w:space="0" w:color="auto"/>
              <w:left w:val="single" w:sz="4" w:space="0" w:color="auto"/>
              <w:bottom w:val="dotted" w:sz="4" w:space="0" w:color="auto"/>
              <w:right w:val="single" w:sz="4" w:space="0" w:color="auto"/>
            </w:tcBorders>
            <w:hideMark/>
          </w:tcPr>
          <w:p w14:paraId="7F78D892" w14:textId="77777777" w:rsidR="00F11E01" w:rsidRPr="002A2A6C" w:rsidRDefault="00F11E01" w:rsidP="00812D82">
            <w:pPr>
              <w:rPr>
                <w:b/>
                <w:szCs w:val="20"/>
              </w:rPr>
            </w:pPr>
            <w:r w:rsidRPr="002A2A6C">
              <w:rPr>
                <w:b/>
                <w:szCs w:val="20"/>
              </w:rPr>
              <w:t>Contribution to Outcome 1 by linked program</w:t>
            </w:r>
          </w:p>
        </w:tc>
      </w:tr>
      <w:tr w:rsidR="00F11E01" w:rsidRPr="002A2A6C" w14:paraId="6E25DBA6" w14:textId="77777777" w:rsidTr="00812D82">
        <w:trPr>
          <w:trHeight w:val="703"/>
        </w:trPr>
        <w:tc>
          <w:tcPr>
            <w:tcW w:w="5000" w:type="pct"/>
            <w:tcBorders>
              <w:top w:val="dotted" w:sz="4" w:space="0" w:color="auto"/>
              <w:left w:val="single" w:sz="4" w:space="0" w:color="auto"/>
              <w:bottom w:val="single" w:sz="4" w:space="0" w:color="auto"/>
              <w:right w:val="single" w:sz="4" w:space="0" w:color="auto"/>
            </w:tcBorders>
            <w:hideMark/>
          </w:tcPr>
          <w:p w14:paraId="1BA398B3" w14:textId="77777777" w:rsidR="00F11E01" w:rsidRPr="002A2A6C" w:rsidRDefault="00F11E01" w:rsidP="00812D82">
            <w:pPr>
              <w:spacing w:line="252" w:lineRule="auto"/>
              <w:rPr>
                <w:rFonts w:eastAsia="Calibri"/>
                <w:szCs w:val="20"/>
                <w:lang w:val="en-AU" w:eastAsia="en-US"/>
              </w:rPr>
            </w:pPr>
            <w:r w:rsidRPr="002A2A6C">
              <w:rPr>
                <w:rFonts w:eastAsia="Calibri"/>
                <w:szCs w:val="20"/>
                <w:lang w:val="en-AU" w:eastAsia="en-US"/>
              </w:rPr>
              <w:t>Contributes to Outcome 1 through the provision of budget and commercial advice for the delivery of nuclear-powered submarine capabilities.</w:t>
            </w:r>
          </w:p>
        </w:tc>
      </w:tr>
    </w:tbl>
    <w:p w14:paraId="3D685A3A" w14:textId="1C8F3F3D" w:rsidR="00223335" w:rsidRDefault="00223335" w:rsidP="00F11E01">
      <w:pPr>
        <w:keepNext/>
        <w:spacing w:before="0" w:after="0"/>
        <w:rPr>
          <w:rFonts w:cs="Times New Roman"/>
          <w:caps/>
          <w:szCs w:val="20"/>
          <w:lang w:val="en-AU" w:eastAsia="en-US"/>
        </w:rPr>
      </w:pPr>
    </w:p>
    <w:p w14:paraId="3E79CF51" w14:textId="77777777" w:rsidR="00223335" w:rsidRDefault="00223335">
      <w:pPr>
        <w:spacing w:before="0" w:after="0"/>
        <w:rPr>
          <w:rFonts w:cs="Times New Roman"/>
          <w:caps/>
          <w:szCs w:val="20"/>
          <w:lang w:val="en-AU" w:eastAsia="en-US"/>
        </w:rPr>
      </w:pPr>
      <w:r>
        <w:rPr>
          <w:rFonts w:cs="Times New Roman"/>
          <w:caps/>
          <w:szCs w:val="20"/>
          <w:lang w:val="en-AU" w:eastAsia="en-US"/>
        </w:rPr>
        <w:br w:type="page"/>
      </w:r>
    </w:p>
    <w:p w14:paraId="422B9210" w14:textId="77777777" w:rsidR="00F11E01" w:rsidRPr="002A2A6C" w:rsidRDefault="00F11E01" w:rsidP="00F11E01">
      <w:pPr>
        <w:keepNext/>
        <w:spacing w:before="0" w:after="0"/>
        <w:rPr>
          <w:rFonts w:cs="Times New Roman"/>
          <w:caps/>
          <w:szCs w:val="20"/>
          <w:lang w:val="en-AU" w:eastAsia="en-US"/>
        </w:rPr>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8608"/>
      </w:tblGrid>
      <w:tr w:rsidR="00F11E01" w:rsidRPr="002A2A6C" w14:paraId="0D0A7ADF" w14:textId="77777777" w:rsidTr="00812D82">
        <w:trPr>
          <w:cantSplit/>
          <w:trHeight w:val="113"/>
        </w:trPr>
        <w:tc>
          <w:tcPr>
            <w:tcW w:w="5000" w:type="pct"/>
            <w:tcBorders>
              <w:top w:val="single" w:sz="4" w:space="0" w:color="auto"/>
              <w:left w:val="single" w:sz="4" w:space="0" w:color="auto"/>
              <w:bottom w:val="dotted" w:sz="4" w:space="0" w:color="auto"/>
              <w:right w:val="single" w:sz="4" w:space="0" w:color="auto"/>
            </w:tcBorders>
            <w:hideMark/>
          </w:tcPr>
          <w:p w14:paraId="675A44B3" w14:textId="77777777" w:rsidR="00F11E01" w:rsidRPr="002A2A6C" w:rsidRDefault="00F11E01" w:rsidP="00812D82">
            <w:pPr>
              <w:rPr>
                <w:b/>
                <w:szCs w:val="20"/>
              </w:rPr>
            </w:pPr>
            <w:r w:rsidRPr="002A2A6C">
              <w:rPr>
                <w:b/>
                <w:szCs w:val="20"/>
              </w:rPr>
              <w:t>Department of Foreign Affairs and Trade</w:t>
            </w:r>
          </w:p>
        </w:tc>
      </w:tr>
      <w:tr w:rsidR="00F11E01" w:rsidRPr="002A2A6C" w14:paraId="5192093D" w14:textId="77777777" w:rsidTr="00812D82">
        <w:trPr>
          <w:cantSplit/>
          <w:trHeight w:val="113"/>
        </w:trPr>
        <w:tc>
          <w:tcPr>
            <w:tcW w:w="5000" w:type="pct"/>
            <w:tcBorders>
              <w:top w:val="dotted" w:sz="4" w:space="0" w:color="auto"/>
              <w:left w:val="single" w:sz="4" w:space="0" w:color="auto"/>
              <w:bottom w:val="dotted" w:sz="4" w:space="0" w:color="auto"/>
              <w:right w:val="single" w:sz="4" w:space="0" w:color="auto"/>
            </w:tcBorders>
            <w:hideMark/>
          </w:tcPr>
          <w:p w14:paraId="66186971" w14:textId="77777777" w:rsidR="00F11E01" w:rsidRPr="002A2A6C" w:rsidRDefault="00F11E01" w:rsidP="00812D82">
            <w:pPr>
              <w:rPr>
                <w:szCs w:val="20"/>
              </w:rPr>
            </w:pPr>
            <w:r w:rsidRPr="002A2A6C">
              <w:rPr>
                <w:szCs w:val="20"/>
              </w:rPr>
              <w:t>Program 1.8 – Nuclear-Powered Submarine Program.</w:t>
            </w:r>
          </w:p>
        </w:tc>
      </w:tr>
      <w:tr w:rsidR="00F11E01" w:rsidRPr="002A2A6C" w14:paraId="498AA2FB" w14:textId="77777777" w:rsidTr="00812D82">
        <w:trPr>
          <w:cantSplit/>
          <w:trHeight w:val="113"/>
        </w:trPr>
        <w:tc>
          <w:tcPr>
            <w:tcW w:w="5000" w:type="pct"/>
            <w:tcBorders>
              <w:top w:val="dotted" w:sz="4" w:space="0" w:color="auto"/>
              <w:left w:val="single" w:sz="4" w:space="0" w:color="auto"/>
              <w:bottom w:val="dotted" w:sz="4" w:space="0" w:color="auto"/>
              <w:right w:val="single" w:sz="4" w:space="0" w:color="auto"/>
            </w:tcBorders>
            <w:hideMark/>
          </w:tcPr>
          <w:p w14:paraId="6A79464B" w14:textId="77777777" w:rsidR="00F11E01" w:rsidRPr="002A2A6C" w:rsidRDefault="00F11E01" w:rsidP="00812D82">
            <w:pPr>
              <w:rPr>
                <w:b/>
                <w:szCs w:val="20"/>
              </w:rPr>
            </w:pPr>
            <w:r w:rsidRPr="002A2A6C">
              <w:rPr>
                <w:b/>
                <w:szCs w:val="20"/>
              </w:rPr>
              <w:t>Contribution to Outcome 1 by linked programs</w:t>
            </w:r>
          </w:p>
        </w:tc>
      </w:tr>
      <w:tr w:rsidR="00F11E01" w:rsidRPr="002A2A6C" w14:paraId="71015385" w14:textId="77777777" w:rsidTr="00812D82">
        <w:trPr>
          <w:cantSplit/>
          <w:trHeight w:val="113"/>
        </w:trPr>
        <w:tc>
          <w:tcPr>
            <w:tcW w:w="5000" w:type="pct"/>
            <w:tcBorders>
              <w:top w:val="dotted" w:sz="4" w:space="0" w:color="auto"/>
              <w:left w:val="single" w:sz="4" w:space="0" w:color="auto"/>
              <w:bottom w:val="single" w:sz="4" w:space="0" w:color="auto"/>
              <w:right w:val="single" w:sz="4" w:space="0" w:color="auto"/>
            </w:tcBorders>
            <w:hideMark/>
          </w:tcPr>
          <w:p w14:paraId="669B5B10" w14:textId="77777777" w:rsidR="00F11E01" w:rsidRPr="002A2A6C" w:rsidRDefault="0095071F" w:rsidP="00812D82">
            <w:pPr>
              <w:rPr>
                <w:szCs w:val="20"/>
              </w:rPr>
            </w:pPr>
            <w:r w:rsidRPr="002A2A6C">
              <w:rPr>
                <w:szCs w:val="20"/>
              </w:rPr>
              <w:t>The Department of Foreign Affairs and Trade including the Australian Safeguards and Non</w:t>
            </w:r>
            <w:r w:rsidRPr="002A2A6C">
              <w:rPr>
                <w:szCs w:val="20"/>
              </w:rPr>
              <w:noBreakHyphen/>
              <w:t>proliferation Office provides the legal, policy and diplomatic capability, and regulatory oversight for nuclear safeguards and security, necessary to support Australia’s acquisition of conventionally-armed</w:t>
            </w:r>
            <w:r w:rsidR="00582495" w:rsidRPr="002A2A6C">
              <w:rPr>
                <w:szCs w:val="20"/>
              </w:rPr>
              <w:t>,</w:t>
            </w:r>
            <w:r w:rsidRPr="002A2A6C">
              <w:rPr>
                <w:szCs w:val="20"/>
              </w:rPr>
              <w:t xml:space="preserve"> nuclear-powered submarines, while setting the highest non-proliferation standards.</w:t>
            </w:r>
          </w:p>
        </w:tc>
      </w:tr>
    </w:tbl>
    <w:p w14:paraId="5AEE05EF" w14:textId="77777777" w:rsidR="00F11E01" w:rsidRPr="002A2A6C" w:rsidRDefault="00F11E01" w:rsidP="00F11E01">
      <w:pPr>
        <w:spacing w:before="0" w:after="0"/>
        <w:rPr>
          <w:szCs w:val="20"/>
          <w:lang w:eastAsia="en-US"/>
        </w:rPr>
      </w:pPr>
    </w:p>
    <w:tbl>
      <w:tblPr>
        <w:tblW w:w="5000" w:type="pct"/>
        <w:tblInd w:w="11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8608"/>
      </w:tblGrid>
      <w:tr w:rsidR="00F11E01" w:rsidRPr="002A2A6C" w14:paraId="0EAE79EA" w14:textId="77777777" w:rsidTr="00812D82">
        <w:trPr>
          <w:trHeight w:val="113"/>
        </w:trPr>
        <w:tc>
          <w:tcPr>
            <w:tcW w:w="5000" w:type="pct"/>
            <w:tcBorders>
              <w:top w:val="single" w:sz="4" w:space="0" w:color="auto"/>
              <w:left w:val="single" w:sz="4" w:space="0" w:color="auto"/>
              <w:bottom w:val="dotted" w:sz="4" w:space="0" w:color="auto"/>
              <w:right w:val="single" w:sz="4" w:space="0" w:color="auto"/>
            </w:tcBorders>
            <w:hideMark/>
          </w:tcPr>
          <w:p w14:paraId="78667BF6" w14:textId="77777777" w:rsidR="00F11E01" w:rsidRPr="002A2A6C" w:rsidRDefault="00F11E01" w:rsidP="00812D82">
            <w:pPr>
              <w:rPr>
                <w:b/>
                <w:i/>
                <w:szCs w:val="20"/>
              </w:rPr>
            </w:pPr>
            <w:r w:rsidRPr="002A2A6C">
              <w:rPr>
                <w:szCs w:val="20"/>
              </w:rPr>
              <w:br w:type="page"/>
            </w:r>
            <w:r w:rsidRPr="002A2A6C">
              <w:rPr>
                <w:rFonts w:eastAsia="Calibri"/>
                <w:b/>
                <w:szCs w:val="20"/>
                <w:lang w:val="en-AU"/>
              </w:rPr>
              <w:t>Department of Industry, Science and Resources</w:t>
            </w:r>
          </w:p>
        </w:tc>
      </w:tr>
      <w:tr w:rsidR="00F11E01" w:rsidRPr="002A2A6C" w14:paraId="331F7679" w14:textId="77777777" w:rsidTr="00812D82">
        <w:trPr>
          <w:trHeight w:val="113"/>
        </w:trPr>
        <w:tc>
          <w:tcPr>
            <w:tcW w:w="5000" w:type="pct"/>
            <w:tcBorders>
              <w:top w:val="dotted" w:sz="4" w:space="0" w:color="auto"/>
              <w:left w:val="single" w:sz="4" w:space="0" w:color="auto"/>
              <w:bottom w:val="dotted" w:sz="4" w:space="0" w:color="auto"/>
              <w:right w:val="single" w:sz="4" w:space="0" w:color="auto"/>
            </w:tcBorders>
            <w:hideMark/>
          </w:tcPr>
          <w:p w14:paraId="5687CF10" w14:textId="71C6306E" w:rsidR="00F11E01" w:rsidRPr="002A2A6C" w:rsidRDefault="00F11E01" w:rsidP="004D1816">
            <w:pPr>
              <w:rPr>
                <w:szCs w:val="20"/>
              </w:rPr>
            </w:pPr>
            <w:r w:rsidRPr="002A2A6C">
              <w:rPr>
                <w:szCs w:val="20"/>
              </w:rPr>
              <w:t>Program 1.</w:t>
            </w:r>
            <w:r w:rsidR="004D1816">
              <w:rPr>
                <w:szCs w:val="20"/>
              </w:rPr>
              <w:t>3</w:t>
            </w:r>
            <w:r w:rsidRPr="002A2A6C">
              <w:rPr>
                <w:szCs w:val="20"/>
              </w:rPr>
              <w:t xml:space="preserve"> – </w:t>
            </w:r>
            <w:r w:rsidR="004D1816">
              <w:rPr>
                <w:szCs w:val="20"/>
              </w:rPr>
              <w:t>Supporting a strong resources sector</w:t>
            </w:r>
            <w:r w:rsidRPr="002A2A6C">
              <w:rPr>
                <w:szCs w:val="20"/>
              </w:rPr>
              <w:t>.</w:t>
            </w:r>
          </w:p>
        </w:tc>
      </w:tr>
      <w:tr w:rsidR="00F11E01" w:rsidRPr="002A2A6C" w14:paraId="76CAF56A" w14:textId="77777777" w:rsidTr="00812D82">
        <w:trPr>
          <w:trHeight w:val="113"/>
        </w:trPr>
        <w:tc>
          <w:tcPr>
            <w:tcW w:w="5000" w:type="pct"/>
            <w:tcBorders>
              <w:top w:val="dotted" w:sz="4" w:space="0" w:color="auto"/>
              <w:left w:val="single" w:sz="4" w:space="0" w:color="auto"/>
              <w:bottom w:val="dotted" w:sz="4" w:space="0" w:color="auto"/>
              <w:right w:val="single" w:sz="4" w:space="0" w:color="auto"/>
            </w:tcBorders>
            <w:hideMark/>
          </w:tcPr>
          <w:p w14:paraId="5910DBBE" w14:textId="77777777" w:rsidR="00F11E01" w:rsidRPr="002A2A6C" w:rsidRDefault="00F11E01" w:rsidP="00812D82">
            <w:pPr>
              <w:rPr>
                <w:b/>
                <w:szCs w:val="20"/>
              </w:rPr>
            </w:pPr>
            <w:r w:rsidRPr="002A2A6C">
              <w:rPr>
                <w:b/>
                <w:szCs w:val="20"/>
              </w:rPr>
              <w:t>Contribution to Outcome 1 by linked programs</w:t>
            </w:r>
          </w:p>
        </w:tc>
      </w:tr>
      <w:tr w:rsidR="00F11E01" w:rsidRPr="00381280" w14:paraId="268D01EF" w14:textId="77777777" w:rsidTr="00812D82">
        <w:trPr>
          <w:trHeight w:val="113"/>
        </w:trPr>
        <w:tc>
          <w:tcPr>
            <w:tcW w:w="5000" w:type="pct"/>
            <w:tcBorders>
              <w:top w:val="dotted" w:sz="4" w:space="0" w:color="auto"/>
              <w:left w:val="single" w:sz="4" w:space="0" w:color="auto"/>
              <w:bottom w:val="single" w:sz="4" w:space="0" w:color="auto"/>
              <w:right w:val="single" w:sz="4" w:space="0" w:color="auto"/>
            </w:tcBorders>
            <w:hideMark/>
          </w:tcPr>
          <w:p w14:paraId="6335EB33" w14:textId="67D1983E" w:rsidR="00F11E01" w:rsidRPr="00AC034C" w:rsidRDefault="002A2A6C" w:rsidP="004D1816">
            <w:pPr>
              <w:rPr>
                <w:rFonts w:ascii="Calibri" w:hAnsi="Calibri" w:cs="Calibri"/>
                <w:color w:val="1F497D"/>
                <w:szCs w:val="22"/>
                <w:lang w:val="en-AU"/>
              </w:rPr>
            </w:pPr>
            <w:r w:rsidRPr="002A2A6C">
              <w:rPr>
                <w:szCs w:val="20"/>
                <w:bdr w:val="none" w:sz="0" w:space="0" w:color="auto" w:frame="1"/>
              </w:rPr>
              <w:t xml:space="preserve">The Department of Industry, Science and Resources (DISR), through the Australian Radioactive Waste Agency, is supporting the </w:t>
            </w:r>
            <w:r w:rsidR="004D1816">
              <w:rPr>
                <w:szCs w:val="20"/>
                <w:bdr w:val="none" w:sz="0" w:space="0" w:color="auto" w:frame="1"/>
              </w:rPr>
              <w:t>Agency to plan safe and secure management of radioactive waste for the Nuclear-Powered Submarine Program</w:t>
            </w:r>
            <w:r w:rsidRPr="002A2A6C">
              <w:rPr>
                <w:szCs w:val="20"/>
                <w:bdr w:val="none" w:sz="0" w:space="0" w:color="auto" w:frame="1"/>
              </w:rPr>
              <w:t>.</w:t>
            </w:r>
          </w:p>
        </w:tc>
      </w:tr>
    </w:tbl>
    <w:p w14:paraId="0A8FF1B6" w14:textId="77777777" w:rsidR="00761824" w:rsidRPr="002A2A6C" w:rsidRDefault="00761824" w:rsidP="00F11E01">
      <w:pPr>
        <w:pStyle w:val="Heading4"/>
        <w:spacing w:before="0" w:after="120"/>
      </w:pPr>
      <w:r w:rsidRPr="00B56FAA">
        <w:rPr>
          <w:lang w:val="en-AU"/>
        </w:rPr>
        <w:br w:type="page"/>
      </w:r>
      <w:bookmarkStart w:id="1219" w:name="_Toc159499717"/>
      <w:bookmarkStart w:id="1220" w:name="_Toc159859135"/>
      <w:bookmarkStart w:id="1221" w:name="_Toc159859287"/>
      <w:r w:rsidR="00F93920" w:rsidRPr="00B56FAA">
        <w:lastRenderedPageBreak/>
        <w:t xml:space="preserve">Budgeted </w:t>
      </w:r>
      <w:r w:rsidRPr="00B56FAA">
        <w:t>Expense</w:t>
      </w:r>
      <w:r w:rsidR="00F93920" w:rsidRPr="00B56FAA">
        <w:t>s</w:t>
      </w:r>
      <w:r w:rsidRPr="00B56FAA">
        <w:t xml:space="preserve"> </w:t>
      </w:r>
      <w:r w:rsidR="00F93920" w:rsidRPr="00B56FAA">
        <w:t xml:space="preserve">for Outcome </w:t>
      </w:r>
      <w:r w:rsidR="00F93920" w:rsidRPr="002A2A6C">
        <w:t>1</w:t>
      </w:r>
      <w:bookmarkEnd w:id="1219"/>
      <w:bookmarkEnd w:id="1220"/>
      <w:bookmarkEnd w:id="1221"/>
    </w:p>
    <w:p w14:paraId="4F389C52" w14:textId="77777777" w:rsidR="00761824" w:rsidRPr="002A2A6C" w:rsidRDefault="00761824" w:rsidP="00444A89">
      <w:pPr>
        <w:pStyle w:val="TableHeading"/>
        <w:numPr>
          <w:ilvl w:val="0"/>
          <w:numId w:val="64"/>
        </w:numPr>
        <w:spacing w:before="0" w:after="120"/>
        <w:ind w:left="0" w:firstLine="0"/>
        <w:outlineLvl w:val="5"/>
      </w:pPr>
      <w:r w:rsidRPr="002A2A6C">
        <w:t>Budgeted Expenses for Outcome 1</w:t>
      </w:r>
    </w:p>
    <w:p w14:paraId="49D1E163" w14:textId="52CA5F1B" w:rsidR="00AC67BC" w:rsidRDefault="007F0122" w:rsidP="00AC67BC">
      <w:pPr>
        <w:tabs>
          <w:tab w:val="left" w:pos="284"/>
        </w:tabs>
        <w:spacing w:before="0" w:after="0"/>
      </w:pPr>
      <w:r w:rsidRPr="008A710B">
        <w:rPr>
          <w:noProof/>
          <w:lang w:val="en-AU"/>
        </w:rPr>
        <w:drawing>
          <wp:inline distT="0" distB="0" distL="0" distR="0" wp14:anchorId="38AF7D7A" wp14:editId="250D68CE">
            <wp:extent cx="5472430" cy="3554095"/>
            <wp:effectExtent l="0" t="0" r="0" b="8255"/>
            <wp:docPr id="24575493" name="Picture 24575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472430" cy="3554095"/>
                    </a:xfrm>
                    <a:prstGeom prst="rect">
                      <a:avLst/>
                    </a:prstGeom>
                    <a:noFill/>
                    <a:ln>
                      <a:noFill/>
                    </a:ln>
                  </pic:spPr>
                </pic:pic>
              </a:graphicData>
            </a:graphic>
          </wp:inline>
        </w:drawing>
      </w:r>
    </w:p>
    <w:p w14:paraId="13C06683" w14:textId="77777777" w:rsidR="00A84CB5" w:rsidRDefault="00A84CB5" w:rsidP="0095071F">
      <w:pPr>
        <w:spacing w:before="0" w:after="0"/>
        <w:rPr>
          <w:rFonts w:ascii="Arial" w:hAnsi="Arial"/>
          <w:b/>
          <w:sz w:val="14"/>
          <w:szCs w:val="14"/>
        </w:rPr>
      </w:pPr>
    </w:p>
    <w:p w14:paraId="5729775F" w14:textId="77777777" w:rsidR="0095071F" w:rsidRPr="00A84CB5" w:rsidRDefault="0095071F" w:rsidP="0095071F">
      <w:pPr>
        <w:spacing w:before="0" w:after="0"/>
        <w:rPr>
          <w:rFonts w:ascii="Arial" w:hAnsi="Arial"/>
          <w:b/>
          <w:sz w:val="14"/>
          <w:szCs w:val="14"/>
        </w:rPr>
      </w:pPr>
      <w:r w:rsidRPr="00A84CB5">
        <w:rPr>
          <w:rFonts w:ascii="Arial" w:hAnsi="Arial"/>
          <w:b/>
          <w:sz w:val="14"/>
          <w:szCs w:val="14"/>
        </w:rPr>
        <w:t>Notes</w:t>
      </w:r>
    </w:p>
    <w:p w14:paraId="6CD551CC" w14:textId="77777777" w:rsidR="0095071F" w:rsidRPr="00A84CB5" w:rsidRDefault="0095071F" w:rsidP="0076508D">
      <w:pPr>
        <w:tabs>
          <w:tab w:val="left" w:pos="284"/>
        </w:tabs>
        <w:spacing w:before="0" w:after="0"/>
        <w:ind w:left="284" w:hanging="284"/>
        <w:rPr>
          <w:rFonts w:ascii="Arial" w:hAnsi="Arial"/>
          <w:sz w:val="14"/>
          <w:szCs w:val="14"/>
        </w:rPr>
      </w:pPr>
      <w:r w:rsidRPr="00A84CB5">
        <w:rPr>
          <w:rFonts w:ascii="Arial" w:hAnsi="Arial"/>
          <w:sz w:val="14"/>
          <w:szCs w:val="14"/>
        </w:rPr>
        <w:t>a.</w:t>
      </w:r>
      <w:r w:rsidRPr="00A84CB5">
        <w:rPr>
          <w:rFonts w:ascii="Arial" w:hAnsi="Arial"/>
          <w:sz w:val="14"/>
          <w:szCs w:val="14"/>
        </w:rPr>
        <w:tab/>
      </w:r>
      <w:r w:rsidR="0076508D" w:rsidRPr="00A84CB5">
        <w:rPr>
          <w:rFonts w:ascii="Arial" w:hAnsi="Arial"/>
          <w:sz w:val="14"/>
          <w:szCs w:val="14"/>
        </w:rPr>
        <w:tab/>
      </w:r>
      <w:r w:rsidRPr="00A84CB5">
        <w:rPr>
          <w:rFonts w:ascii="Arial" w:hAnsi="Arial"/>
          <w:sz w:val="14"/>
          <w:szCs w:val="14"/>
        </w:rPr>
        <w:t>Section 74 external revenues contribution to expenditure</w:t>
      </w:r>
      <w:r w:rsidR="0076508D" w:rsidRPr="00A84CB5">
        <w:rPr>
          <w:rFonts w:ascii="Arial" w:hAnsi="Arial"/>
          <w:sz w:val="14"/>
          <w:szCs w:val="14"/>
        </w:rPr>
        <w:t>.</w:t>
      </w:r>
      <w:r w:rsidRPr="00A84CB5">
        <w:rPr>
          <w:rFonts w:ascii="Arial" w:hAnsi="Arial"/>
          <w:sz w:val="14"/>
          <w:szCs w:val="14"/>
        </w:rPr>
        <w:tab/>
      </w:r>
      <w:r w:rsidRPr="00A84CB5">
        <w:rPr>
          <w:rFonts w:ascii="Arial" w:hAnsi="Arial"/>
          <w:sz w:val="14"/>
          <w:szCs w:val="14"/>
        </w:rPr>
        <w:tab/>
      </w:r>
      <w:r w:rsidRPr="00A84CB5">
        <w:rPr>
          <w:rFonts w:ascii="Arial" w:hAnsi="Arial"/>
          <w:sz w:val="14"/>
          <w:szCs w:val="14"/>
        </w:rPr>
        <w:tab/>
      </w:r>
      <w:r w:rsidRPr="00A84CB5">
        <w:rPr>
          <w:rFonts w:ascii="Arial" w:hAnsi="Arial"/>
          <w:sz w:val="14"/>
          <w:szCs w:val="14"/>
        </w:rPr>
        <w:tab/>
      </w:r>
      <w:r w:rsidRPr="00A84CB5">
        <w:rPr>
          <w:rFonts w:ascii="Arial" w:hAnsi="Arial"/>
          <w:sz w:val="14"/>
          <w:szCs w:val="14"/>
        </w:rPr>
        <w:tab/>
      </w:r>
    </w:p>
    <w:p w14:paraId="4EAFFA97" w14:textId="77777777" w:rsidR="0095071F" w:rsidRPr="00A84CB5" w:rsidRDefault="0095071F" w:rsidP="0095071F">
      <w:pPr>
        <w:tabs>
          <w:tab w:val="left" w:pos="284"/>
        </w:tabs>
        <w:spacing w:before="0" w:after="0"/>
        <w:ind w:left="284" w:hanging="284"/>
        <w:rPr>
          <w:rFonts w:ascii="Arial" w:hAnsi="Arial"/>
          <w:sz w:val="14"/>
          <w:szCs w:val="14"/>
        </w:rPr>
      </w:pPr>
      <w:r w:rsidRPr="00A84CB5">
        <w:rPr>
          <w:rFonts w:ascii="Arial" w:hAnsi="Arial"/>
          <w:sz w:val="14"/>
          <w:szCs w:val="14"/>
        </w:rPr>
        <w:t>b.</w:t>
      </w:r>
      <w:r w:rsidRPr="00A84CB5">
        <w:rPr>
          <w:rFonts w:ascii="Arial" w:hAnsi="Arial"/>
          <w:sz w:val="14"/>
          <w:szCs w:val="14"/>
        </w:rPr>
        <w:tab/>
        <w:t>Expenses not requiring appropriation include depreciation, write-down and impairment of assets, other resources received free of charge, and auditor fees.</w:t>
      </w:r>
      <w:r w:rsidRPr="00A84CB5">
        <w:rPr>
          <w:rFonts w:ascii="Arial" w:hAnsi="Arial"/>
          <w:sz w:val="14"/>
          <w:szCs w:val="14"/>
        </w:rPr>
        <w:tab/>
      </w:r>
      <w:r w:rsidRPr="00A84CB5">
        <w:rPr>
          <w:rFonts w:ascii="Arial" w:hAnsi="Arial"/>
          <w:sz w:val="14"/>
          <w:szCs w:val="14"/>
        </w:rPr>
        <w:tab/>
      </w:r>
      <w:r w:rsidRPr="00A84CB5">
        <w:rPr>
          <w:rFonts w:ascii="Arial" w:hAnsi="Arial"/>
          <w:sz w:val="14"/>
          <w:szCs w:val="14"/>
        </w:rPr>
        <w:tab/>
      </w:r>
      <w:r w:rsidRPr="00A84CB5">
        <w:rPr>
          <w:rFonts w:ascii="Arial" w:hAnsi="Arial"/>
          <w:sz w:val="14"/>
          <w:szCs w:val="14"/>
        </w:rPr>
        <w:tab/>
      </w:r>
      <w:r w:rsidRPr="00A84CB5">
        <w:rPr>
          <w:rFonts w:ascii="Arial" w:hAnsi="Arial"/>
          <w:sz w:val="14"/>
          <w:szCs w:val="14"/>
        </w:rPr>
        <w:tab/>
      </w:r>
    </w:p>
    <w:p w14:paraId="502D59E2" w14:textId="2F069378" w:rsidR="0095071F" w:rsidRPr="00A84CB5" w:rsidRDefault="0095071F" w:rsidP="0095071F">
      <w:pPr>
        <w:tabs>
          <w:tab w:val="left" w:pos="284"/>
        </w:tabs>
        <w:spacing w:before="0" w:after="0"/>
        <w:ind w:left="284" w:hanging="284"/>
        <w:rPr>
          <w:rFonts w:ascii="Arial" w:hAnsi="Arial"/>
          <w:sz w:val="14"/>
          <w:szCs w:val="14"/>
        </w:rPr>
      </w:pPr>
      <w:r w:rsidRPr="00A84CB5">
        <w:rPr>
          <w:rFonts w:ascii="Arial" w:hAnsi="Arial"/>
          <w:sz w:val="14"/>
          <w:szCs w:val="14"/>
        </w:rPr>
        <w:t>c.</w:t>
      </w:r>
      <w:r w:rsidRPr="00A84CB5">
        <w:rPr>
          <w:rFonts w:ascii="Arial" w:hAnsi="Arial"/>
          <w:sz w:val="14"/>
          <w:szCs w:val="14"/>
        </w:rPr>
        <w:tab/>
        <w:t xml:space="preserve">Total Program funded expenditure includes operating expenses and capital expenditure funded by </w:t>
      </w:r>
      <w:r w:rsidR="002533F1">
        <w:rPr>
          <w:rFonts w:ascii="Arial" w:hAnsi="Arial"/>
          <w:sz w:val="14"/>
          <w:szCs w:val="14"/>
        </w:rPr>
        <w:t>a</w:t>
      </w:r>
      <w:r w:rsidRPr="00A84CB5">
        <w:rPr>
          <w:rFonts w:ascii="Arial" w:hAnsi="Arial"/>
          <w:sz w:val="14"/>
          <w:szCs w:val="14"/>
        </w:rPr>
        <w:t>ppropriation and own source revenue. This excludes expenses not requiring appropriation.</w:t>
      </w:r>
      <w:r w:rsidRPr="00A84CB5">
        <w:rPr>
          <w:rFonts w:ascii="Arial" w:hAnsi="Arial"/>
          <w:sz w:val="14"/>
          <w:szCs w:val="14"/>
        </w:rPr>
        <w:tab/>
      </w:r>
      <w:r w:rsidRPr="00A84CB5">
        <w:rPr>
          <w:rFonts w:ascii="Arial" w:hAnsi="Arial"/>
          <w:sz w:val="14"/>
          <w:szCs w:val="14"/>
        </w:rPr>
        <w:tab/>
      </w:r>
      <w:r w:rsidRPr="00A84CB5">
        <w:rPr>
          <w:rFonts w:ascii="Arial" w:hAnsi="Arial"/>
          <w:sz w:val="14"/>
          <w:szCs w:val="14"/>
        </w:rPr>
        <w:tab/>
      </w:r>
      <w:r w:rsidRPr="00A84CB5">
        <w:rPr>
          <w:rFonts w:ascii="Arial" w:hAnsi="Arial"/>
          <w:sz w:val="14"/>
          <w:szCs w:val="14"/>
        </w:rPr>
        <w:tab/>
      </w:r>
      <w:r w:rsidRPr="00A84CB5">
        <w:rPr>
          <w:rFonts w:ascii="Arial" w:hAnsi="Arial"/>
          <w:sz w:val="14"/>
          <w:szCs w:val="14"/>
        </w:rPr>
        <w:tab/>
      </w:r>
    </w:p>
    <w:p w14:paraId="76DE0392" w14:textId="77777777" w:rsidR="0095071F" w:rsidRPr="00B56FAA" w:rsidRDefault="0095071F" w:rsidP="00AC67BC">
      <w:pPr>
        <w:tabs>
          <w:tab w:val="left" w:pos="284"/>
        </w:tabs>
        <w:spacing w:before="0" w:after="0"/>
        <w:rPr>
          <w:rFonts w:ascii="Arial" w:hAnsi="Arial"/>
          <w:sz w:val="14"/>
          <w:szCs w:val="14"/>
        </w:rPr>
      </w:pPr>
    </w:p>
    <w:p w14:paraId="3E3BFB64" w14:textId="77777777" w:rsidR="00F93920" w:rsidRPr="002B2BCC" w:rsidRDefault="00761824" w:rsidP="00444A89">
      <w:pPr>
        <w:pStyle w:val="TableHeading"/>
        <w:numPr>
          <w:ilvl w:val="0"/>
          <w:numId w:val="64"/>
        </w:numPr>
        <w:spacing w:before="0" w:after="120"/>
        <w:ind w:left="0" w:firstLine="0"/>
        <w:outlineLvl w:val="5"/>
      </w:pPr>
      <w:r w:rsidRPr="00B56FAA">
        <w:rPr>
          <w:lang w:val="en-AU"/>
        </w:rPr>
        <w:br w:type="page"/>
      </w:r>
      <w:r w:rsidR="00F93920" w:rsidRPr="002B2BCC">
        <w:lastRenderedPageBreak/>
        <w:t>Performance Measures for Outcome 1</w:t>
      </w:r>
    </w:p>
    <w:p w14:paraId="1E27EED7" w14:textId="77777777" w:rsidR="002A2A6C" w:rsidRDefault="002A2A6C" w:rsidP="002A2A6C">
      <w:pPr>
        <w:spacing w:before="120" w:after="120"/>
      </w:pPr>
      <w:r>
        <w:t>Table 4 details the performance measures for each program associated with Outcome 1. It also provides the related key activities as expressed in the current corporate plan where further detail is provided about the delivery of the activities related to the program, the context in which these activities are delivered and how the performance of these activities will be measured. Where relevant, details of 2025-26 Budget measures that have created new programs or materially changed existing programs are provided.</w:t>
      </w:r>
    </w:p>
    <w:tbl>
      <w:tblPr>
        <w:tblW w:w="8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1883"/>
        <w:gridCol w:w="3340"/>
        <w:gridCol w:w="3565"/>
      </w:tblGrid>
      <w:tr w:rsidR="004D1816" w:rsidRPr="00BD1FEF" w14:paraId="3920E90B" w14:textId="77777777" w:rsidTr="002150C3">
        <w:tc>
          <w:tcPr>
            <w:tcW w:w="8788" w:type="dxa"/>
            <w:gridSpan w:val="3"/>
            <w:shd w:val="clear" w:color="auto" w:fill="CCCCCC"/>
          </w:tcPr>
          <w:p w14:paraId="434B419C" w14:textId="77777777" w:rsidR="004D1816" w:rsidRPr="00BD1FEF" w:rsidRDefault="004D1816" w:rsidP="00037C67">
            <w:pPr>
              <w:pStyle w:val="Heading4"/>
              <w:spacing w:before="100" w:after="100"/>
              <w:rPr>
                <w:rFonts w:ascii="Arial Bold" w:hAnsi="Arial Bold"/>
                <w:b w:val="0"/>
                <w:bCs w:val="0"/>
                <w:i/>
                <w:iCs/>
                <w:sz w:val="20"/>
                <w:szCs w:val="20"/>
              </w:rPr>
            </w:pPr>
            <w:r w:rsidRPr="00BD1FEF">
              <w:rPr>
                <w:rFonts w:ascii="Arial Bold" w:hAnsi="Arial Bold"/>
                <w:sz w:val="20"/>
                <w:szCs w:val="20"/>
              </w:rPr>
              <w:t>Program 1.1: Nuclear-Powered Submarines</w:t>
            </w:r>
          </w:p>
        </w:tc>
      </w:tr>
      <w:tr w:rsidR="004D1816" w:rsidRPr="00BD1FEF" w14:paraId="64EA189B" w14:textId="77777777" w:rsidTr="002150C3">
        <w:tblPrEx>
          <w:shd w:val="clear" w:color="auto" w:fill="auto"/>
          <w:tblLook w:val="04A0" w:firstRow="1" w:lastRow="0" w:firstColumn="1" w:lastColumn="0" w:noHBand="0" w:noVBand="1"/>
        </w:tblPrEx>
        <w:trPr>
          <w:cantSplit/>
        </w:trPr>
        <w:tc>
          <w:tcPr>
            <w:tcW w:w="8788" w:type="dxa"/>
            <w:gridSpan w:val="3"/>
            <w:shd w:val="clear" w:color="auto" w:fill="E6E6E6"/>
          </w:tcPr>
          <w:p w14:paraId="3E993000" w14:textId="77777777" w:rsidR="004D1816" w:rsidRPr="00BD1FEF" w:rsidRDefault="004D1816" w:rsidP="00037C67">
            <w:pPr>
              <w:rPr>
                <w:rFonts w:ascii="Arial" w:hAnsi="Arial"/>
                <w:b/>
                <w:sz w:val="16"/>
                <w:szCs w:val="16"/>
              </w:rPr>
            </w:pPr>
            <w:r w:rsidRPr="00BD1FEF">
              <w:rPr>
                <w:rFonts w:ascii="Arial" w:hAnsi="Arial"/>
                <w:b/>
                <w:sz w:val="16"/>
                <w:szCs w:val="16"/>
              </w:rPr>
              <w:t>Program 1.1 Objective</w:t>
            </w:r>
          </w:p>
          <w:p w14:paraId="15D34426" w14:textId="77777777" w:rsidR="004D1816" w:rsidRPr="00BD1FEF" w:rsidRDefault="004D1816" w:rsidP="00037C67">
            <w:pPr>
              <w:rPr>
                <w:rFonts w:ascii="Arial" w:hAnsi="Arial"/>
                <w:sz w:val="16"/>
                <w:szCs w:val="16"/>
              </w:rPr>
            </w:pPr>
            <w:r w:rsidRPr="00BD1FEF">
              <w:rPr>
                <w:rFonts w:ascii="Arial" w:hAnsi="Arial"/>
                <w:iCs/>
                <w:sz w:val="16"/>
                <w:szCs w:val="16"/>
              </w:rPr>
              <w:t>Safely and securely acquire, construct, deliver, technically govern, sustain and dispose of Australia’s conventionally</w:t>
            </w:r>
            <w:r w:rsidRPr="00BD1FEF">
              <w:rPr>
                <w:rFonts w:ascii="Arial" w:hAnsi="Arial"/>
                <w:iCs/>
                <w:sz w:val="16"/>
                <w:szCs w:val="16"/>
              </w:rPr>
              <w:noBreakHyphen/>
              <w:t>armed nuclear-powered submarine capability, via the AUKUS partnership.</w:t>
            </w:r>
          </w:p>
        </w:tc>
      </w:tr>
      <w:tr w:rsidR="004D1816" w:rsidRPr="00BD1FEF" w14:paraId="1FFDE281" w14:textId="77777777" w:rsidTr="002150C3">
        <w:tblPrEx>
          <w:shd w:val="clear" w:color="auto" w:fill="auto"/>
          <w:tblLook w:val="04A0" w:firstRow="1" w:lastRow="0" w:firstColumn="1" w:lastColumn="0" w:noHBand="0" w:noVBand="1"/>
        </w:tblPrEx>
        <w:trPr>
          <w:cantSplit/>
          <w:trHeight w:val="312"/>
        </w:trPr>
        <w:tc>
          <w:tcPr>
            <w:tcW w:w="1883" w:type="dxa"/>
            <w:tcBorders>
              <w:bottom w:val="double" w:sz="4" w:space="0" w:color="auto"/>
            </w:tcBorders>
          </w:tcPr>
          <w:p w14:paraId="03BED1FF" w14:textId="77777777" w:rsidR="004D1816" w:rsidRPr="00BD1FEF" w:rsidRDefault="004D1816" w:rsidP="00037C67">
            <w:pPr>
              <w:rPr>
                <w:rFonts w:ascii="Arial" w:hAnsi="Arial"/>
                <w:b/>
                <w:color w:val="000000"/>
                <w:sz w:val="16"/>
                <w:szCs w:val="16"/>
              </w:rPr>
            </w:pPr>
            <w:r w:rsidRPr="00BD1FEF">
              <w:rPr>
                <w:rFonts w:ascii="Arial" w:hAnsi="Arial"/>
                <w:b/>
                <w:color w:val="000000"/>
                <w:sz w:val="16"/>
                <w:szCs w:val="16"/>
              </w:rPr>
              <w:t>Key Activities</w:t>
            </w:r>
          </w:p>
        </w:tc>
        <w:tc>
          <w:tcPr>
            <w:tcW w:w="6905" w:type="dxa"/>
            <w:gridSpan w:val="2"/>
            <w:tcBorders>
              <w:bottom w:val="double" w:sz="4" w:space="0" w:color="auto"/>
            </w:tcBorders>
          </w:tcPr>
          <w:p w14:paraId="4A8AD564" w14:textId="77777777" w:rsidR="004D1816" w:rsidRPr="00BD1FEF" w:rsidRDefault="004D1816" w:rsidP="00037C67">
            <w:pPr>
              <w:rPr>
                <w:rFonts w:ascii="Arial" w:hAnsi="Arial"/>
                <w:bCs/>
                <w:color w:val="000000"/>
                <w:sz w:val="16"/>
                <w:szCs w:val="16"/>
              </w:rPr>
            </w:pPr>
            <w:r w:rsidRPr="00BD1FEF">
              <w:rPr>
                <w:rFonts w:ascii="Arial" w:hAnsi="Arial"/>
                <w:bCs/>
                <w:color w:val="000000"/>
                <w:sz w:val="16"/>
                <w:szCs w:val="16"/>
              </w:rPr>
              <w:t>This program is achieved through the following activities:</w:t>
            </w:r>
          </w:p>
          <w:p w14:paraId="4B29282E" w14:textId="77777777" w:rsidR="004D1816" w:rsidRPr="00BD1FEF" w:rsidRDefault="004D1816" w:rsidP="00444A89">
            <w:pPr>
              <w:numPr>
                <w:ilvl w:val="0"/>
                <w:numId w:val="60"/>
              </w:numPr>
              <w:tabs>
                <w:tab w:val="left" w:pos="271"/>
              </w:tabs>
              <w:spacing w:line="259" w:lineRule="auto"/>
              <w:ind w:left="275" w:hanging="275"/>
              <w:rPr>
                <w:rFonts w:ascii="Arial" w:hAnsi="Arial"/>
                <w:sz w:val="16"/>
                <w:szCs w:val="16"/>
              </w:rPr>
            </w:pPr>
            <w:r w:rsidRPr="00BD1FEF">
              <w:rPr>
                <w:rFonts w:ascii="Arial" w:hAnsi="Arial"/>
                <w:sz w:val="16"/>
                <w:szCs w:val="16"/>
              </w:rPr>
              <w:t>Deliver nuclear-powered submarines in accordance with the Optimal Pathway and within government-approved costs in collaboration with AUKUS partners.</w:t>
            </w:r>
          </w:p>
          <w:p w14:paraId="04F75829" w14:textId="77777777" w:rsidR="004D1816" w:rsidRPr="00BD1FEF" w:rsidRDefault="004D1816" w:rsidP="00444A89">
            <w:pPr>
              <w:numPr>
                <w:ilvl w:val="0"/>
                <w:numId w:val="60"/>
              </w:numPr>
              <w:tabs>
                <w:tab w:val="left" w:pos="271"/>
              </w:tabs>
              <w:spacing w:line="259" w:lineRule="auto"/>
              <w:ind w:left="275" w:hanging="275"/>
              <w:rPr>
                <w:rFonts w:ascii="Arial" w:hAnsi="Arial"/>
                <w:sz w:val="16"/>
                <w:szCs w:val="16"/>
              </w:rPr>
            </w:pPr>
            <w:r w:rsidRPr="00BD1FEF">
              <w:rPr>
                <w:rFonts w:ascii="Arial" w:hAnsi="Arial"/>
                <w:sz w:val="16"/>
                <w:szCs w:val="16"/>
              </w:rPr>
              <w:t>Exemplify best practice nuclear stewardship to build and maintain naval nuclear propulsion technology, in compliance with Australian and international obligations.</w:t>
            </w:r>
          </w:p>
        </w:tc>
      </w:tr>
      <w:tr w:rsidR="004D1816" w:rsidRPr="00BD1FEF" w14:paraId="44CD3C8E" w14:textId="77777777" w:rsidTr="002150C3">
        <w:tblPrEx>
          <w:shd w:val="clear" w:color="auto" w:fill="auto"/>
          <w:tblLook w:val="04A0" w:firstRow="1" w:lastRow="0" w:firstColumn="1" w:lastColumn="0" w:noHBand="0" w:noVBand="1"/>
        </w:tblPrEx>
        <w:trPr>
          <w:cantSplit/>
          <w:trHeight w:val="258"/>
        </w:trPr>
        <w:tc>
          <w:tcPr>
            <w:tcW w:w="1883" w:type="dxa"/>
            <w:tcBorders>
              <w:top w:val="double" w:sz="4" w:space="0" w:color="auto"/>
              <w:bottom w:val="single" w:sz="4" w:space="0" w:color="auto"/>
              <w:right w:val="single" w:sz="4" w:space="0" w:color="auto"/>
            </w:tcBorders>
          </w:tcPr>
          <w:p w14:paraId="69E73EE2" w14:textId="77777777" w:rsidR="004D1816" w:rsidRPr="00BD1FEF" w:rsidRDefault="004D1816" w:rsidP="00037C67">
            <w:pPr>
              <w:rPr>
                <w:rFonts w:ascii="Arial" w:hAnsi="Arial"/>
                <w:b/>
                <w:color w:val="000000"/>
                <w:sz w:val="16"/>
                <w:szCs w:val="16"/>
              </w:rPr>
            </w:pPr>
            <w:r w:rsidRPr="00BD1FEF">
              <w:rPr>
                <w:rFonts w:ascii="Arial" w:hAnsi="Arial"/>
                <w:b/>
                <w:color w:val="000000"/>
                <w:sz w:val="16"/>
                <w:szCs w:val="16"/>
              </w:rPr>
              <w:t>Year</w:t>
            </w:r>
          </w:p>
        </w:tc>
        <w:tc>
          <w:tcPr>
            <w:tcW w:w="3340" w:type="dxa"/>
            <w:tcBorders>
              <w:top w:val="double" w:sz="4" w:space="0" w:color="auto"/>
              <w:left w:val="single" w:sz="4" w:space="0" w:color="auto"/>
              <w:bottom w:val="single" w:sz="4" w:space="0" w:color="auto"/>
              <w:right w:val="single" w:sz="4" w:space="0" w:color="auto"/>
            </w:tcBorders>
          </w:tcPr>
          <w:p w14:paraId="67646401" w14:textId="77777777" w:rsidR="004D1816" w:rsidRPr="00BD1FEF" w:rsidRDefault="004D1816" w:rsidP="00037C67">
            <w:pPr>
              <w:rPr>
                <w:rFonts w:ascii="Arial" w:hAnsi="Arial"/>
                <w:b/>
                <w:color w:val="000000"/>
                <w:sz w:val="16"/>
                <w:szCs w:val="16"/>
              </w:rPr>
            </w:pPr>
            <w:r w:rsidRPr="00BD1FEF">
              <w:rPr>
                <w:rFonts w:ascii="Arial" w:hAnsi="Arial"/>
                <w:b/>
                <w:color w:val="000000"/>
                <w:sz w:val="16"/>
                <w:szCs w:val="16"/>
              </w:rPr>
              <w:t>Performance measures</w:t>
            </w:r>
          </w:p>
        </w:tc>
        <w:tc>
          <w:tcPr>
            <w:tcW w:w="3565" w:type="dxa"/>
            <w:tcBorders>
              <w:top w:val="double" w:sz="4" w:space="0" w:color="auto"/>
              <w:left w:val="single" w:sz="4" w:space="0" w:color="auto"/>
              <w:bottom w:val="single" w:sz="4" w:space="0" w:color="auto"/>
            </w:tcBorders>
          </w:tcPr>
          <w:p w14:paraId="115D5687" w14:textId="77777777" w:rsidR="004D1816" w:rsidRPr="00BD1FEF" w:rsidRDefault="004D1816" w:rsidP="00037C67">
            <w:pPr>
              <w:rPr>
                <w:rFonts w:ascii="Arial" w:hAnsi="Arial"/>
                <w:b/>
                <w:color w:val="000000"/>
                <w:sz w:val="16"/>
                <w:szCs w:val="16"/>
              </w:rPr>
            </w:pPr>
            <w:r>
              <w:rPr>
                <w:rFonts w:ascii="Arial" w:hAnsi="Arial"/>
                <w:b/>
                <w:color w:val="000000"/>
                <w:sz w:val="16"/>
                <w:szCs w:val="16"/>
              </w:rPr>
              <w:t>Planned performance r</w:t>
            </w:r>
            <w:r w:rsidRPr="00BD1FEF">
              <w:rPr>
                <w:rFonts w:ascii="Arial" w:hAnsi="Arial"/>
                <w:b/>
                <w:color w:val="000000"/>
                <w:sz w:val="16"/>
                <w:szCs w:val="16"/>
              </w:rPr>
              <w:t>esults</w:t>
            </w:r>
          </w:p>
        </w:tc>
      </w:tr>
      <w:tr w:rsidR="004D1816" w:rsidRPr="00BD1FEF" w14:paraId="187A124A" w14:textId="77777777" w:rsidTr="002150C3">
        <w:tblPrEx>
          <w:shd w:val="clear" w:color="auto" w:fill="auto"/>
          <w:tblLook w:val="04A0" w:firstRow="1" w:lastRow="0" w:firstColumn="1" w:lastColumn="0" w:noHBand="0" w:noVBand="1"/>
        </w:tblPrEx>
        <w:trPr>
          <w:cantSplit/>
          <w:trHeight w:val="642"/>
        </w:trPr>
        <w:tc>
          <w:tcPr>
            <w:tcW w:w="1883" w:type="dxa"/>
            <w:vMerge w:val="restart"/>
            <w:tcBorders>
              <w:right w:val="single" w:sz="4" w:space="0" w:color="auto"/>
            </w:tcBorders>
          </w:tcPr>
          <w:p w14:paraId="1098E051" w14:textId="77777777" w:rsidR="004D1816" w:rsidRPr="00BD1FEF" w:rsidRDefault="004D1816" w:rsidP="002150C3">
            <w:pPr>
              <w:spacing w:after="0"/>
              <w:rPr>
                <w:rFonts w:ascii="Arial" w:hAnsi="Arial"/>
                <w:color w:val="000000"/>
                <w:sz w:val="16"/>
                <w:szCs w:val="16"/>
              </w:rPr>
            </w:pPr>
            <w:r w:rsidRPr="00BD1FEF">
              <w:rPr>
                <w:rFonts w:ascii="Arial" w:hAnsi="Arial"/>
                <w:color w:val="000000"/>
                <w:sz w:val="16"/>
                <w:szCs w:val="16"/>
              </w:rPr>
              <w:t>Current</w:t>
            </w:r>
          </w:p>
          <w:p w14:paraId="53E236E7" w14:textId="77777777" w:rsidR="004D1816" w:rsidRPr="00BD1FEF" w:rsidRDefault="004D1816" w:rsidP="002150C3">
            <w:pPr>
              <w:spacing w:before="0"/>
              <w:rPr>
                <w:rFonts w:ascii="Arial" w:hAnsi="Arial"/>
                <w:color w:val="000000"/>
                <w:sz w:val="16"/>
                <w:szCs w:val="16"/>
              </w:rPr>
            </w:pPr>
            <w:r w:rsidRPr="00BD1FEF">
              <w:rPr>
                <w:rFonts w:ascii="Arial" w:hAnsi="Arial"/>
                <w:color w:val="000000"/>
                <w:sz w:val="16"/>
                <w:szCs w:val="16"/>
              </w:rPr>
              <w:t>2024-25</w:t>
            </w:r>
          </w:p>
        </w:tc>
        <w:tc>
          <w:tcPr>
            <w:tcW w:w="3340" w:type="dxa"/>
            <w:tcBorders>
              <w:top w:val="single" w:sz="4" w:space="0" w:color="auto"/>
              <w:left w:val="single" w:sz="4" w:space="0" w:color="auto"/>
              <w:bottom w:val="single" w:sz="4" w:space="0" w:color="auto"/>
              <w:right w:val="single" w:sz="4" w:space="0" w:color="auto"/>
            </w:tcBorders>
          </w:tcPr>
          <w:p w14:paraId="28610D97" w14:textId="77777777" w:rsidR="004D1816" w:rsidRDefault="004D1816" w:rsidP="00037C67">
            <w:pPr>
              <w:spacing w:before="40" w:after="40"/>
              <w:rPr>
                <w:rFonts w:ascii="Arial" w:hAnsi="Arial"/>
                <w:color w:val="000000"/>
                <w:sz w:val="16"/>
                <w:szCs w:val="16"/>
                <w:u w:val="single"/>
              </w:rPr>
            </w:pPr>
            <w:r>
              <w:rPr>
                <w:rFonts w:ascii="Arial" w:hAnsi="Arial"/>
                <w:color w:val="000000"/>
                <w:sz w:val="16"/>
                <w:szCs w:val="16"/>
                <w:u w:val="single"/>
              </w:rPr>
              <w:t>Performance Measure 1</w:t>
            </w:r>
          </w:p>
          <w:p w14:paraId="2E53333F" w14:textId="77777777" w:rsidR="004D1816" w:rsidRPr="00BD1FEF" w:rsidRDefault="004D1816" w:rsidP="00037C67">
            <w:pPr>
              <w:rPr>
                <w:rFonts w:ascii="Arial" w:hAnsi="Arial"/>
                <w:color w:val="000000"/>
                <w:sz w:val="16"/>
                <w:szCs w:val="16"/>
              </w:rPr>
            </w:pPr>
            <w:r w:rsidRPr="00F43CF5">
              <w:rPr>
                <w:rFonts w:ascii="Arial" w:hAnsi="Arial"/>
                <w:color w:val="000000"/>
                <w:sz w:val="16"/>
                <w:szCs w:val="16"/>
              </w:rPr>
              <w:t>Phase 1: Establish infrastructure and ca</w:t>
            </w:r>
            <w:r w:rsidRPr="005F0466">
              <w:rPr>
                <w:rFonts w:ascii="Arial" w:hAnsi="Arial"/>
                <w:color w:val="000000"/>
                <w:sz w:val="16"/>
                <w:szCs w:val="16"/>
              </w:rPr>
              <w:t>pabilities to support increased visits of US and UK SSNs to Australia and a rotational presence of US and UK SSNs in Western Australia.</w:t>
            </w:r>
          </w:p>
        </w:tc>
        <w:tc>
          <w:tcPr>
            <w:tcW w:w="3565" w:type="dxa"/>
            <w:tcBorders>
              <w:top w:val="single" w:sz="4" w:space="0" w:color="auto"/>
              <w:left w:val="single" w:sz="4" w:space="0" w:color="auto"/>
              <w:bottom w:val="single" w:sz="4" w:space="0" w:color="auto"/>
            </w:tcBorders>
          </w:tcPr>
          <w:p w14:paraId="48E1C61D" w14:textId="77777777" w:rsidR="004D1816" w:rsidRPr="00BD1FEF" w:rsidRDefault="004D1816" w:rsidP="00444A89">
            <w:pPr>
              <w:numPr>
                <w:ilvl w:val="0"/>
                <w:numId w:val="61"/>
              </w:numPr>
              <w:tabs>
                <w:tab w:val="left" w:pos="265"/>
              </w:tabs>
              <w:ind w:left="284" w:hanging="284"/>
              <w:rPr>
                <w:rFonts w:ascii="Arial" w:hAnsi="Arial"/>
                <w:color w:val="000000"/>
                <w:sz w:val="16"/>
                <w:szCs w:val="16"/>
              </w:rPr>
            </w:pPr>
            <w:r w:rsidRPr="00CB4C17">
              <w:rPr>
                <w:rFonts w:ascii="Arial" w:hAnsi="Arial"/>
                <w:color w:val="000000"/>
                <w:sz w:val="16"/>
                <w:szCs w:val="16"/>
              </w:rPr>
              <w:t xml:space="preserve">Manage and oversee the development of facilities, infrastructure and equipment to enable the US and UK to rotate through </w:t>
            </w:r>
            <w:r w:rsidRPr="00CB4C17">
              <w:rPr>
                <w:rFonts w:ascii="Arial" w:hAnsi="Arial"/>
                <w:i/>
                <w:color w:val="000000"/>
                <w:sz w:val="16"/>
                <w:szCs w:val="16"/>
              </w:rPr>
              <w:t>HMAS Stirling</w:t>
            </w:r>
            <w:r w:rsidRPr="00CB4C17">
              <w:rPr>
                <w:rFonts w:ascii="Arial" w:hAnsi="Arial"/>
                <w:color w:val="000000"/>
                <w:sz w:val="16"/>
                <w:szCs w:val="16"/>
              </w:rPr>
              <w:t>.</w:t>
            </w:r>
          </w:p>
        </w:tc>
      </w:tr>
      <w:tr w:rsidR="004D1816" w:rsidRPr="00BD1FEF" w14:paraId="6C594B8B" w14:textId="77777777" w:rsidTr="002150C3">
        <w:tblPrEx>
          <w:shd w:val="clear" w:color="auto" w:fill="auto"/>
          <w:tblLook w:val="04A0" w:firstRow="1" w:lastRow="0" w:firstColumn="1" w:lastColumn="0" w:noHBand="0" w:noVBand="1"/>
        </w:tblPrEx>
        <w:trPr>
          <w:cantSplit/>
          <w:trHeight w:val="642"/>
        </w:trPr>
        <w:tc>
          <w:tcPr>
            <w:tcW w:w="1883" w:type="dxa"/>
            <w:vMerge/>
            <w:tcBorders>
              <w:right w:val="single" w:sz="4" w:space="0" w:color="auto"/>
            </w:tcBorders>
          </w:tcPr>
          <w:p w14:paraId="1E1C6CDD" w14:textId="77777777" w:rsidR="004D1816" w:rsidRPr="00BD1FEF" w:rsidRDefault="004D1816" w:rsidP="00037C67">
            <w:pPr>
              <w:rPr>
                <w:rFonts w:ascii="Arial" w:hAnsi="Arial"/>
                <w:b/>
                <w:bCs/>
                <w:color w:val="0070C0"/>
                <w:sz w:val="16"/>
                <w:szCs w:val="16"/>
                <w:highlight w:val="yellow"/>
              </w:rPr>
            </w:pPr>
          </w:p>
        </w:tc>
        <w:tc>
          <w:tcPr>
            <w:tcW w:w="3340" w:type="dxa"/>
            <w:tcBorders>
              <w:top w:val="single" w:sz="4" w:space="0" w:color="auto"/>
              <w:left w:val="single" w:sz="4" w:space="0" w:color="auto"/>
              <w:bottom w:val="single" w:sz="4" w:space="0" w:color="auto"/>
              <w:right w:val="single" w:sz="4" w:space="0" w:color="auto"/>
            </w:tcBorders>
          </w:tcPr>
          <w:p w14:paraId="438914CE" w14:textId="77777777" w:rsidR="004D1816" w:rsidRDefault="004D1816" w:rsidP="00037C67">
            <w:pPr>
              <w:spacing w:before="40" w:after="40"/>
              <w:rPr>
                <w:rFonts w:ascii="Arial" w:hAnsi="Arial"/>
                <w:color w:val="000000"/>
                <w:sz w:val="16"/>
                <w:szCs w:val="16"/>
                <w:u w:val="single"/>
              </w:rPr>
            </w:pPr>
            <w:r>
              <w:rPr>
                <w:rFonts w:ascii="Arial" w:hAnsi="Arial"/>
                <w:color w:val="000000"/>
                <w:sz w:val="16"/>
                <w:szCs w:val="16"/>
                <w:u w:val="single"/>
              </w:rPr>
              <w:t>Performance Measure 2</w:t>
            </w:r>
          </w:p>
          <w:p w14:paraId="7CEFF75A" w14:textId="77777777" w:rsidR="004D1816" w:rsidRPr="00BD1FEF" w:rsidRDefault="004D1816" w:rsidP="00037C67">
            <w:pPr>
              <w:rPr>
                <w:rFonts w:ascii="Arial" w:hAnsi="Arial"/>
                <w:color w:val="000000"/>
                <w:sz w:val="16"/>
                <w:szCs w:val="16"/>
              </w:rPr>
            </w:pPr>
            <w:r w:rsidRPr="002C49F6">
              <w:rPr>
                <w:rFonts w:ascii="Arial" w:hAnsi="Arial"/>
                <w:color w:val="000000"/>
                <w:sz w:val="16"/>
                <w:szCs w:val="16"/>
              </w:rPr>
              <w:t>P</w:t>
            </w:r>
            <w:r>
              <w:rPr>
                <w:rFonts w:ascii="Arial" w:hAnsi="Arial"/>
                <w:color w:val="000000"/>
                <w:sz w:val="16"/>
                <w:szCs w:val="16"/>
              </w:rPr>
              <w:t>hase 2: Deliver three Virginia C</w:t>
            </w:r>
            <w:r w:rsidRPr="002C49F6">
              <w:rPr>
                <w:rFonts w:ascii="Arial" w:hAnsi="Arial"/>
                <w:color w:val="000000"/>
                <w:sz w:val="16"/>
                <w:szCs w:val="16"/>
              </w:rPr>
              <w:t>lass submarines.</w:t>
            </w:r>
          </w:p>
        </w:tc>
        <w:tc>
          <w:tcPr>
            <w:tcW w:w="3565" w:type="dxa"/>
            <w:tcBorders>
              <w:top w:val="single" w:sz="4" w:space="0" w:color="auto"/>
              <w:left w:val="single" w:sz="4" w:space="0" w:color="auto"/>
              <w:bottom w:val="single" w:sz="4" w:space="0" w:color="auto"/>
            </w:tcBorders>
          </w:tcPr>
          <w:p w14:paraId="1CF133B4" w14:textId="77777777" w:rsidR="004D1816" w:rsidRPr="00480972" w:rsidRDefault="004D1816" w:rsidP="00444A89">
            <w:pPr>
              <w:numPr>
                <w:ilvl w:val="0"/>
                <w:numId w:val="61"/>
              </w:numPr>
              <w:tabs>
                <w:tab w:val="left" w:pos="265"/>
              </w:tabs>
              <w:ind w:left="284" w:hanging="284"/>
              <w:rPr>
                <w:rFonts w:ascii="Arial" w:hAnsi="Arial"/>
                <w:sz w:val="16"/>
                <w:szCs w:val="16"/>
              </w:rPr>
            </w:pPr>
            <w:r w:rsidRPr="00CB4C17">
              <w:rPr>
                <w:rFonts w:ascii="Arial" w:hAnsi="Arial"/>
                <w:color w:val="000000"/>
                <w:sz w:val="16"/>
                <w:szCs w:val="16"/>
              </w:rPr>
              <w:t>Manage and oversee the procurement of Virginia class specific training support systems</w:t>
            </w:r>
            <w:r w:rsidRPr="00F43CF5">
              <w:rPr>
                <w:rFonts w:ascii="Arial" w:hAnsi="Arial"/>
                <w:sz w:val="16"/>
                <w:szCs w:val="16"/>
              </w:rPr>
              <w:t>.</w:t>
            </w:r>
          </w:p>
        </w:tc>
      </w:tr>
      <w:tr w:rsidR="004D1816" w:rsidRPr="00BD1FEF" w14:paraId="31BF385F" w14:textId="77777777" w:rsidTr="002150C3">
        <w:tblPrEx>
          <w:shd w:val="clear" w:color="auto" w:fill="auto"/>
          <w:tblLook w:val="04A0" w:firstRow="1" w:lastRow="0" w:firstColumn="1" w:lastColumn="0" w:noHBand="0" w:noVBand="1"/>
        </w:tblPrEx>
        <w:trPr>
          <w:cantSplit/>
          <w:trHeight w:val="642"/>
        </w:trPr>
        <w:tc>
          <w:tcPr>
            <w:tcW w:w="1883" w:type="dxa"/>
            <w:vMerge/>
            <w:tcBorders>
              <w:right w:val="single" w:sz="4" w:space="0" w:color="auto"/>
            </w:tcBorders>
          </w:tcPr>
          <w:p w14:paraId="38B3F474" w14:textId="77777777" w:rsidR="004D1816" w:rsidRPr="00BD1FEF" w:rsidRDefault="004D1816" w:rsidP="00037C67">
            <w:pPr>
              <w:rPr>
                <w:rFonts w:ascii="Arial" w:hAnsi="Arial"/>
                <w:b/>
                <w:bCs/>
                <w:color w:val="0070C0"/>
                <w:sz w:val="16"/>
                <w:szCs w:val="16"/>
                <w:highlight w:val="yellow"/>
              </w:rPr>
            </w:pPr>
          </w:p>
        </w:tc>
        <w:tc>
          <w:tcPr>
            <w:tcW w:w="3340" w:type="dxa"/>
            <w:tcBorders>
              <w:top w:val="single" w:sz="4" w:space="0" w:color="auto"/>
              <w:left w:val="single" w:sz="4" w:space="0" w:color="auto"/>
              <w:bottom w:val="single" w:sz="4" w:space="0" w:color="auto"/>
              <w:right w:val="single" w:sz="4" w:space="0" w:color="auto"/>
            </w:tcBorders>
          </w:tcPr>
          <w:p w14:paraId="6AB5E1C7" w14:textId="77777777" w:rsidR="004D1816" w:rsidRDefault="004D1816" w:rsidP="00037C67">
            <w:pPr>
              <w:spacing w:before="40" w:after="40"/>
              <w:rPr>
                <w:rFonts w:ascii="Arial" w:hAnsi="Arial"/>
                <w:color w:val="000000"/>
                <w:sz w:val="16"/>
                <w:szCs w:val="16"/>
                <w:u w:val="single"/>
              </w:rPr>
            </w:pPr>
            <w:r>
              <w:rPr>
                <w:rFonts w:ascii="Arial" w:hAnsi="Arial"/>
                <w:color w:val="000000"/>
                <w:sz w:val="16"/>
                <w:szCs w:val="16"/>
                <w:u w:val="single"/>
              </w:rPr>
              <w:t>Performance Measure 3</w:t>
            </w:r>
          </w:p>
          <w:p w14:paraId="5EA36EC0" w14:textId="77777777" w:rsidR="004D1816" w:rsidRPr="00BD1FEF" w:rsidRDefault="004D1816" w:rsidP="00037C67">
            <w:pPr>
              <w:keepNext/>
              <w:keepLines/>
              <w:rPr>
                <w:rFonts w:ascii="Arial" w:hAnsi="Arial"/>
                <w:color w:val="000000"/>
                <w:sz w:val="16"/>
                <w:szCs w:val="16"/>
              </w:rPr>
            </w:pPr>
            <w:r w:rsidRPr="002C49F6">
              <w:rPr>
                <w:rFonts w:ascii="Arial" w:hAnsi="Arial"/>
                <w:color w:val="000000"/>
                <w:sz w:val="16"/>
                <w:szCs w:val="16"/>
              </w:rPr>
              <w:t>Phase 3: Deliver Australian-built SSN AUKUS, including infrastructure development at Osborne shipyard.</w:t>
            </w:r>
          </w:p>
        </w:tc>
        <w:tc>
          <w:tcPr>
            <w:tcW w:w="3565" w:type="dxa"/>
            <w:tcBorders>
              <w:top w:val="single" w:sz="4" w:space="0" w:color="auto"/>
              <w:left w:val="single" w:sz="4" w:space="0" w:color="auto"/>
              <w:bottom w:val="single" w:sz="4" w:space="0" w:color="auto"/>
            </w:tcBorders>
          </w:tcPr>
          <w:p w14:paraId="3EDCA553" w14:textId="77777777" w:rsidR="004D1816" w:rsidRPr="00480972" w:rsidRDefault="004D1816" w:rsidP="00444A89">
            <w:pPr>
              <w:numPr>
                <w:ilvl w:val="0"/>
                <w:numId w:val="61"/>
              </w:numPr>
              <w:tabs>
                <w:tab w:val="left" w:pos="265"/>
              </w:tabs>
              <w:ind w:left="284" w:hanging="284"/>
              <w:rPr>
                <w:rFonts w:ascii="Arial" w:hAnsi="Arial"/>
                <w:sz w:val="16"/>
                <w:szCs w:val="16"/>
              </w:rPr>
            </w:pPr>
            <w:r w:rsidRPr="00CB4C17">
              <w:rPr>
                <w:rFonts w:ascii="Arial" w:hAnsi="Arial"/>
                <w:color w:val="000000"/>
                <w:sz w:val="16"/>
                <w:szCs w:val="16"/>
              </w:rPr>
              <w:t>Establish the arrangements necessary to mobilise the SSN-AUKUS program</w:t>
            </w:r>
            <w:r w:rsidRPr="00F43CF5">
              <w:rPr>
                <w:rFonts w:ascii="Arial" w:hAnsi="Arial"/>
                <w:sz w:val="16"/>
                <w:szCs w:val="16"/>
              </w:rPr>
              <w:t>.</w:t>
            </w:r>
          </w:p>
        </w:tc>
      </w:tr>
      <w:tr w:rsidR="004D1816" w:rsidRPr="00BD1FEF" w14:paraId="0FD44F8A" w14:textId="77777777" w:rsidTr="002150C3">
        <w:tblPrEx>
          <w:shd w:val="clear" w:color="auto" w:fill="auto"/>
          <w:tblLook w:val="04A0" w:firstRow="1" w:lastRow="0" w:firstColumn="1" w:lastColumn="0" w:noHBand="0" w:noVBand="1"/>
        </w:tblPrEx>
        <w:trPr>
          <w:cantSplit/>
          <w:trHeight w:val="642"/>
        </w:trPr>
        <w:tc>
          <w:tcPr>
            <w:tcW w:w="1883" w:type="dxa"/>
            <w:vMerge w:val="restart"/>
            <w:tcBorders>
              <w:right w:val="single" w:sz="4" w:space="0" w:color="auto"/>
            </w:tcBorders>
          </w:tcPr>
          <w:p w14:paraId="0FE2587A" w14:textId="77777777" w:rsidR="004D1816" w:rsidRDefault="004D1816" w:rsidP="002150C3">
            <w:pPr>
              <w:spacing w:after="0"/>
              <w:rPr>
                <w:rFonts w:ascii="Arial" w:hAnsi="Arial"/>
                <w:color w:val="000000"/>
                <w:sz w:val="16"/>
                <w:szCs w:val="16"/>
              </w:rPr>
            </w:pPr>
            <w:r>
              <w:rPr>
                <w:rFonts w:ascii="Arial" w:hAnsi="Arial"/>
                <w:color w:val="000000"/>
                <w:sz w:val="16"/>
                <w:szCs w:val="16"/>
              </w:rPr>
              <w:t>Budget Year</w:t>
            </w:r>
          </w:p>
          <w:p w14:paraId="7968EA21" w14:textId="77777777" w:rsidR="004D1816" w:rsidRPr="00BD1FEF" w:rsidRDefault="004D1816" w:rsidP="002150C3">
            <w:pPr>
              <w:spacing w:before="0" w:after="0"/>
              <w:rPr>
                <w:rFonts w:ascii="Arial" w:hAnsi="Arial"/>
                <w:color w:val="000000"/>
                <w:sz w:val="16"/>
                <w:szCs w:val="16"/>
              </w:rPr>
            </w:pPr>
            <w:r>
              <w:rPr>
                <w:rFonts w:ascii="Arial" w:hAnsi="Arial"/>
                <w:color w:val="000000"/>
                <w:sz w:val="16"/>
                <w:szCs w:val="16"/>
              </w:rPr>
              <w:t>2025-26</w:t>
            </w:r>
          </w:p>
        </w:tc>
        <w:tc>
          <w:tcPr>
            <w:tcW w:w="3340" w:type="dxa"/>
            <w:tcBorders>
              <w:top w:val="single" w:sz="4" w:space="0" w:color="auto"/>
              <w:left w:val="single" w:sz="4" w:space="0" w:color="auto"/>
              <w:bottom w:val="single" w:sz="4" w:space="0" w:color="auto"/>
              <w:right w:val="single" w:sz="4" w:space="0" w:color="auto"/>
            </w:tcBorders>
          </w:tcPr>
          <w:p w14:paraId="48EADB77" w14:textId="77777777" w:rsidR="004D1816" w:rsidRDefault="004D1816" w:rsidP="00037C67">
            <w:pPr>
              <w:spacing w:before="40" w:after="40"/>
              <w:rPr>
                <w:rFonts w:ascii="Arial" w:hAnsi="Arial"/>
                <w:color w:val="000000"/>
                <w:sz w:val="16"/>
                <w:szCs w:val="16"/>
                <w:u w:val="single"/>
              </w:rPr>
            </w:pPr>
            <w:r>
              <w:rPr>
                <w:rFonts w:ascii="Arial" w:hAnsi="Arial"/>
                <w:color w:val="000000"/>
                <w:sz w:val="16"/>
                <w:szCs w:val="16"/>
                <w:u w:val="single"/>
              </w:rPr>
              <w:t>Performance Measure 1</w:t>
            </w:r>
          </w:p>
          <w:p w14:paraId="74F23839" w14:textId="77777777" w:rsidR="004D1816" w:rsidRPr="002C49F6" w:rsidRDefault="004D1816" w:rsidP="00037C67">
            <w:pPr>
              <w:keepNext/>
              <w:keepLines/>
              <w:rPr>
                <w:rFonts w:ascii="Arial" w:hAnsi="Arial"/>
                <w:color w:val="000000"/>
                <w:sz w:val="16"/>
                <w:szCs w:val="16"/>
              </w:rPr>
            </w:pPr>
            <w:r w:rsidRPr="00F43CF5">
              <w:rPr>
                <w:rFonts w:ascii="Arial" w:hAnsi="Arial"/>
                <w:color w:val="000000"/>
                <w:sz w:val="16"/>
                <w:szCs w:val="16"/>
              </w:rPr>
              <w:t>Phase 1: Establish infrastructure and ca</w:t>
            </w:r>
            <w:r w:rsidRPr="005F0466">
              <w:rPr>
                <w:rFonts w:ascii="Arial" w:hAnsi="Arial"/>
                <w:color w:val="000000"/>
                <w:sz w:val="16"/>
                <w:szCs w:val="16"/>
              </w:rPr>
              <w:t>pabilities to support increased visits of US and UK SSNs to Australia and a rotational presence of US and UK SSNs in Western Australia.</w:t>
            </w:r>
          </w:p>
        </w:tc>
        <w:tc>
          <w:tcPr>
            <w:tcW w:w="3565" w:type="dxa"/>
            <w:tcBorders>
              <w:top w:val="single" w:sz="4" w:space="0" w:color="auto"/>
              <w:left w:val="single" w:sz="4" w:space="0" w:color="auto"/>
              <w:bottom w:val="single" w:sz="4" w:space="0" w:color="auto"/>
            </w:tcBorders>
          </w:tcPr>
          <w:p w14:paraId="0B63D44D" w14:textId="77777777" w:rsidR="004D1816" w:rsidRPr="00F43CF5" w:rsidRDefault="004D1816" w:rsidP="00444A89">
            <w:pPr>
              <w:numPr>
                <w:ilvl w:val="0"/>
                <w:numId w:val="61"/>
              </w:numPr>
              <w:tabs>
                <w:tab w:val="left" w:pos="265"/>
              </w:tabs>
              <w:ind w:left="284" w:hanging="284"/>
              <w:rPr>
                <w:rFonts w:ascii="Arial" w:hAnsi="Arial"/>
                <w:sz w:val="16"/>
                <w:szCs w:val="16"/>
              </w:rPr>
            </w:pPr>
            <w:r>
              <w:rPr>
                <w:rFonts w:ascii="Arial" w:hAnsi="Arial"/>
                <w:color w:val="000000"/>
                <w:sz w:val="16"/>
                <w:szCs w:val="16"/>
              </w:rPr>
              <w:t xml:space="preserve">Manage and oversee the commencement of construction of facilities and infrastructure to enable the US and UK to rotate through HMAS </w:t>
            </w:r>
            <w:r w:rsidRPr="000A1AD8">
              <w:rPr>
                <w:rFonts w:ascii="Arial" w:hAnsi="Arial"/>
                <w:i/>
                <w:color w:val="000000"/>
                <w:sz w:val="16"/>
                <w:szCs w:val="16"/>
              </w:rPr>
              <w:t>Stirling</w:t>
            </w:r>
            <w:r>
              <w:rPr>
                <w:rFonts w:ascii="Arial" w:hAnsi="Arial"/>
                <w:sz w:val="16"/>
                <w:szCs w:val="16"/>
              </w:rPr>
              <w:t>.</w:t>
            </w:r>
          </w:p>
        </w:tc>
      </w:tr>
      <w:tr w:rsidR="004D1816" w:rsidRPr="00BD1FEF" w14:paraId="3F3022E1" w14:textId="77777777" w:rsidTr="002150C3">
        <w:tblPrEx>
          <w:shd w:val="clear" w:color="auto" w:fill="auto"/>
          <w:tblLook w:val="04A0" w:firstRow="1" w:lastRow="0" w:firstColumn="1" w:lastColumn="0" w:noHBand="0" w:noVBand="1"/>
        </w:tblPrEx>
        <w:trPr>
          <w:cantSplit/>
          <w:trHeight w:val="642"/>
        </w:trPr>
        <w:tc>
          <w:tcPr>
            <w:tcW w:w="1883" w:type="dxa"/>
            <w:vMerge/>
            <w:tcBorders>
              <w:right w:val="single" w:sz="4" w:space="0" w:color="auto"/>
            </w:tcBorders>
          </w:tcPr>
          <w:p w14:paraId="5EFC1222" w14:textId="77777777" w:rsidR="004D1816" w:rsidRPr="00BD1FEF" w:rsidRDefault="004D1816" w:rsidP="00037C67">
            <w:pPr>
              <w:rPr>
                <w:rFonts w:ascii="Arial" w:hAnsi="Arial"/>
                <w:b/>
                <w:bCs/>
                <w:color w:val="0070C0"/>
                <w:sz w:val="16"/>
                <w:szCs w:val="16"/>
                <w:highlight w:val="yellow"/>
              </w:rPr>
            </w:pPr>
          </w:p>
        </w:tc>
        <w:tc>
          <w:tcPr>
            <w:tcW w:w="3340" w:type="dxa"/>
            <w:tcBorders>
              <w:top w:val="single" w:sz="4" w:space="0" w:color="auto"/>
              <w:left w:val="single" w:sz="4" w:space="0" w:color="auto"/>
              <w:bottom w:val="single" w:sz="4" w:space="0" w:color="auto"/>
              <w:right w:val="single" w:sz="4" w:space="0" w:color="auto"/>
            </w:tcBorders>
          </w:tcPr>
          <w:p w14:paraId="07509A9E" w14:textId="77777777" w:rsidR="004D1816" w:rsidRDefault="004D1816" w:rsidP="00037C67">
            <w:pPr>
              <w:spacing w:before="40" w:after="40"/>
              <w:rPr>
                <w:rFonts w:ascii="Arial" w:hAnsi="Arial"/>
                <w:color w:val="000000"/>
                <w:sz w:val="16"/>
                <w:szCs w:val="16"/>
                <w:u w:val="single"/>
              </w:rPr>
            </w:pPr>
            <w:r>
              <w:rPr>
                <w:rFonts w:ascii="Arial" w:hAnsi="Arial"/>
                <w:color w:val="000000"/>
                <w:sz w:val="16"/>
                <w:szCs w:val="16"/>
                <w:u w:val="single"/>
              </w:rPr>
              <w:t>Performance Measure 2</w:t>
            </w:r>
          </w:p>
          <w:p w14:paraId="3A4840F8" w14:textId="77777777" w:rsidR="004D1816" w:rsidRPr="002C49F6" w:rsidRDefault="004D1816" w:rsidP="00037C67">
            <w:pPr>
              <w:keepNext/>
              <w:keepLines/>
              <w:rPr>
                <w:rFonts w:ascii="Arial" w:hAnsi="Arial"/>
                <w:color w:val="000000"/>
                <w:sz w:val="16"/>
                <w:szCs w:val="16"/>
              </w:rPr>
            </w:pPr>
            <w:r w:rsidRPr="002C49F6">
              <w:rPr>
                <w:rFonts w:ascii="Arial" w:hAnsi="Arial"/>
                <w:color w:val="000000"/>
                <w:sz w:val="16"/>
                <w:szCs w:val="16"/>
              </w:rPr>
              <w:t>P</w:t>
            </w:r>
            <w:r>
              <w:rPr>
                <w:rFonts w:ascii="Arial" w:hAnsi="Arial"/>
                <w:color w:val="000000"/>
                <w:sz w:val="16"/>
                <w:szCs w:val="16"/>
              </w:rPr>
              <w:t>hase 2: Deliver three Virginia C</w:t>
            </w:r>
            <w:r w:rsidRPr="002C49F6">
              <w:rPr>
                <w:rFonts w:ascii="Arial" w:hAnsi="Arial"/>
                <w:color w:val="000000"/>
                <w:sz w:val="16"/>
                <w:szCs w:val="16"/>
              </w:rPr>
              <w:t>lass submarines.</w:t>
            </w:r>
          </w:p>
        </w:tc>
        <w:tc>
          <w:tcPr>
            <w:tcW w:w="3565" w:type="dxa"/>
            <w:tcBorders>
              <w:top w:val="single" w:sz="4" w:space="0" w:color="auto"/>
              <w:left w:val="single" w:sz="4" w:space="0" w:color="auto"/>
              <w:bottom w:val="single" w:sz="4" w:space="0" w:color="auto"/>
            </w:tcBorders>
          </w:tcPr>
          <w:p w14:paraId="00F12BF6" w14:textId="77777777" w:rsidR="004D1816" w:rsidRPr="00F43CF5" w:rsidRDefault="004D1816" w:rsidP="00444A89">
            <w:pPr>
              <w:numPr>
                <w:ilvl w:val="0"/>
                <w:numId w:val="61"/>
              </w:numPr>
              <w:tabs>
                <w:tab w:val="left" w:pos="265"/>
              </w:tabs>
              <w:ind w:left="284" w:hanging="284"/>
              <w:rPr>
                <w:rFonts w:ascii="Arial" w:hAnsi="Arial"/>
                <w:sz w:val="16"/>
                <w:szCs w:val="16"/>
              </w:rPr>
            </w:pPr>
            <w:r w:rsidRPr="00CB4C17">
              <w:rPr>
                <w:rFonts w:ascii="Arial" w:hAnsi="Arial"/>
                <w:color w:val="000000"/>
                <w:sz w:val="16"/>
                <w:szCs w:val="16"/>
              </w:rPr>
              <w:t>Continue to manage and oversee the procurement of Virginia class specific training support system</w:t>
            </w:r>
            <w:r w:rsidRPr="00BD1FEF">
              <w:rPr>
                <w:rFonts w:ascii="Arial" w:hAnsi="Arial"/>
                <w:sz w:val="16"/>
                <w:szCs w:val="16"/>
              </w:rPr>
              <w:t>s.</w:t>
            </w:r>
          </w:p>
        </w:tc>
      </w:tr>
      <w:tr w:rsidR="004D1816" w:rsidRPr="00BD1FEF" w14:paraId="286B982F" w14:textId="77777777" w:rsidTr="002150C3">
        <w:tblPrEx>
          <w:shd w:val="clear" w:color="auto" w:fill="auto"/>
          <w:tblLook w:val="04A0" w:firstRow="1" w:lastRow="0" w:firstColumn="1" w:lastColumn="0" w:noHBand="0" w:noVBand="1"/>
        </w:tblPrEx>
        <w:trPr>
          <w:cantSplit/>
          <w:trHeight w:val="642"/>
        </w:trPr>
        <w:tc>
          <w:tcPr>
            <w:tcW w:w="1883" w:type="dxa"/>
            <w:vMerge/>
            <w:tcBorders>
              <w:right w:val="single" w:sz="4" w:space="0" w:color="auto"/>
            </w:tcBorders>
          </w:tcPr>
          <w:p w14:paraId="34B6F984" w14:textId="77777777" w:rsidR="004D1816" w:rsidRPr="00BD1FEF" w:rsidRDefault="004D1816" w:rsidP="00037C67">
            <w:pPr>
              <w:rPr>
                <w:rFonts w:ascii="Arial" w:hAnsi="Arial"/>
                <w:b/>
                <w:bCs/>
                <w:color w:val="0070C0"/>
                <w:sz w:val="16"/>
                <w:szCs w:val="16"/>
                <w:highlight w:val="yellow"/>
              </w:rPr>
            </w:pPr>
          </w:p>
        </w:tc>
        <w:tc>
          <w:tcPr>
            <w:tcW w:w="3340" w:type="dxa"/>
            <w:tcBorders>
              <w:top w:val="single" w:sz="4" w:space="0" w:color="auto"/>
              <w:left w:val="single" w:sz="4" w:space="0" w:color="auto"/>
              <w:bottom w:val="single" w:sz="4" w:space="0" w:color="auto"/>
              <w:right w:val="single" w:sz="4" w:space="0" w:color="auto"/>
            </w:tcBorders>
          </w:tcPr>
          <w:p w14:paraId="6A8F11D8" w14:textId="77777777" w:rsidR="004D1816" w:rsidRDefault="004D1816" w:rsidP="00037C67">
            <w:pPr>
              <w:spacing w:before="40" w:after="40"/>
              <w:rPr>
                <w:rFonts w:ascii="Arial" w:hAnsi="Arial"/>
                <w:color w:val="000000"/>
                <w:sz w:val="16"/>
                <w:szCs w:val="16"/>
                <w:u w:val="single"/>
              </w:rPr>
            </w:pPr>
            <w:r>
              <w:rPr>
                <w:rFonts w:ascii="Arial" w:hAnsi="Arial"/>
                <w:color w:val="000000"/>
                <w:sz w:val="16"/>
                <w:szCs w:val="16"/>
                <w:u w:val="single"/>
              </w:rPr>
              <w:t>Performance Measure 3</w:t>
            </w:r>
          </w:p>
          <w:p w14:paraId="0DAC83F5" w14:textId="77777777" w:rsidR="004D1816" w:rsidRPr="002C49F6" w:rsidRDefault="004D1816" w:rsidP="00037C67">
            <w:pPr>
              <w:keepNext/>
              <w:keepLines/>
              <w:rPr>
                <w:rFonts w:ascii="Arial" w:hAnsi="Arial"/>
                <w:color w:val="000000"/>
                <w:sz w:val="16"/>
                <w:szCs w:val="16"/>
              </w:rPr>
            </w:pPr>
            <w:r w:rsidRPr="002C49F6">
              <w:rPr>
                <w:rFonts w:ascii="Arial" w:hAnsi="Arial"/>
                <w:color w:val="000000"/>
                <w:sz w:val="16"/>
                <w:szCs w:val="16"/>
              </w:rPr>
              <w:t>Phase 3: Deliver Australian-built SSN AUKUS, including infrastructure development at Osborne shipyard.</w:t>
            </w:r>
          </w:p>
        </w:tc>
        <w:tc>
          <w:tcPr>
            <w:tcW w:w="3565" w:type="dxa"/>
            <w:tcBorders>
              <w:top w:val="single" w:sz="4" w:space="0" w:color="auto"/>
              <w:left w:val="single" w:sz="4" w:space="0" w:color="auto"/>
              <w:bottom w:val="single" w:sz="4" w:space="0" w:color="auto"/>
            </w:tcBorders>
          </w:tcPr>
          <w:p w14:paraId="2E4F047A" w14:textId="77777777" w:rsidR="004D1816" w:rsidRPr="00F43CF5" w:rsidRDefault="004D1816" w:rsidP="00444A89">
            <w:pPr>
              <w:numPr>
                <w:ilvl w:val="0"/>
                <w:numId w:val="61"/>
              </w:numPr>
              <w:tabs>
                <w:tab w:val="left" w:pos="265"/>
              </w:tabs>
              <w:ind w:left="284" w:hanging="284"/>
              <w:rPr>
                <w:rFonts w:ascii="Arial" w:hAnsi="Arial"/>
                <w:sz w:val="16"/>
                <w:szCs w:val="16"/>
              </w:rPr>
            </w:pPr>
            <w:r w:rsidRPr="00CB4C17">
              <w:rPr>
                <w:rFonts w:ascii="Arial" w:hAnsi="Arial"/>
                <w:color w:val="000000"/>
                <w:sz w:val="16"/>
                <w:szCs w:val="16"/>
              </w:rPr>
              <w:t>Manage and oversee the mobilisation of the SSN-AUKUS program</w:t>
            </w:r>
            <w:r w:rsidRPr="00F43CF5">
              <w:rPr>
                <w:rFonts w:ascii="Arial" w:hAnsi="Arial"/>
                <w:sz w:val="16"/>
                <w:szCs w:val="16"/>
              </w:rPr>
              <w:t>.</w:t>
            </w:r>
          </w:p>
        </w:tc>
      </w:tr>
      <w:tr w:rsidR="004D1816" w:rsidRPr="00BD1FEF" w14:paraId="66E6034E" w14:textId="77777777" w:rsidTr="002150C3">
        <w:tblPrEx>
          <w:shd w:val="clear" w:color="auto" w:fill="auto"/>
          <w:tblLook w:val="04A0" w:firstRow="1" w:lastRow="0" w:firstColumn="1" w:lastColumn="0" w:noHBand="0" w:noVBand="1"/>
        </w:tblPrEx>
        <w:trPr>
          <w:cantSplit/>
          <w:trHeight w:val="642"/>
        </w:trPr>
        <w:tc>
          <w:tcPr>
            <w:tcW w:w="1883" w:type="dxa"/>
            <w:tcBorders>
              <w:right w:val="single" w:sz="4" w:space="0" w:color="auto"/>
            </w:tcBorders>
          </w:tcPr>
          <w:p w14:paraId="42BA1113" w14:textId="77777777" w:rsidR="004D1816" w:rsidRDefault="004D1816" w:rsidP="002150C3">
            <w:pPr>
              <w:spacing w:before="0" w:after="0"/>
              <w:rPr>
                <w:rFonts w:ascii="Arial" w:hAnsi="Arial"/>
                <w:color w:val="000000"/>
                <w:sz w:val="16"/>
                <w:szCs w:val="16"/>
              </w:rPr>
            </w:pPr>
            <w:r w:rsidRPr="00BD1FEF">
              <w:rPr>
                <w:rFonts w:ascii="Arial" w:hAnsi="Arial"/>
                <w:color w:val="000000"/>
                <w:sz w:val="16"/>
                <w:szCs w:val="16"/>
              </w:rPr>
              <w:t>Forward Estimate</w:t>
            </w:r>
            <w:r>
              <w:rPr>
                <w:rFonts w:ascii="Arial" w:hAnsi="Arial"/>
                <w:color w:val="000000"/>
                <w:sz w:val="16"/>
                <w:szCs w:val="16"/>
              </w:rPr>
              <w:t>s</w:t>
            </w:r>
          </w:p>
          <w:p w14:paraId="772DE31C" w14:textId="77777777" w:rsidR="004D1816" w:rsidRPr="00BD1FEF" w:rsidRDefault="004D1816" w:rsidP="002150C3">
            <w:pPr>
              <w:spacing w:before="0" w:after="0"/>
              <w:rPr>
                <w:rFonts w:ascii="Arial" w:hAnsi="Arial"/>
                <w:color w:val="000000"/>
                <w:sz w:val="16"/>
                <w:szCs w:val="16"/>
              </w:rPr>
            </w:pPr>
            <w:r>
              <w:rPr>
                <w:rFonts w:ascii="Arial" w:hAnsi="Arial"/>
                <w:color w:val="000000"/>
                <w:sz w:val="16"/>
                <w:szCs w:val="16"/>
              </w:rPr>
              <w:t>2026-29</w:t>
            </w:r>
          </w:p>
        </w:tc>
        <w:tc>
          <w:tcPr>
            <w:tcW w:w="3340" w:type="dxa"/>
            <w:tcBorders>
              <w:top w:val="single" w:sz="4" w:space="0" w:color="auto"/>
              <w:left w:val="single" w:sz="4" w:space="0" w:color="auto"/>
              <w:bottom w:val="single" w:sz="4" w:space="0" w:color="auto"/>
              <w:right w:val="single" w:sz="4" w:space="0" w:color="auto"/>
            </w:tcBorders>
          </w:tcPr>
          <w:p w14:paraId="366EA7E0" w14:textId="082CF66F" w:rsidR="004D1816" w:rsidRPr="002C49F6" w:rsidRDefault="004D1816" w:rsidP="002150C3">
            <w:pPr>
              <w:keepNext/>
              <w:keepLines/>
              <w:rPr>
                <w:rFonts w:ascii="Arial" w:hAnsi="Arial"/>
                <w:color w:val="000000"/>
                <w:sz w:val="16"/>
                <w:szCs w:val="16"/>
              </w:rPr>
            </w:pPr>
            <w:r>
              <w:rPr>
                <w:rFonts w:ascii="Arial" w:hAnsi="Arial"/>
                <w:color w:val="000000"/>
                <w:sz w:val="16"/>
                <w:szCs w:val="16"/>
              </w:rPr>
              <w:t>As per 2025-26.</w:t>
            </w:r>
          </w:p>
        </w:tc>
        <w:tc>
          <w:tcPr>
            <w:tcW w:w="3565" w:type="dxa"/>
            <w:tcBorders>
              <w:top w:val="single" w:sz="4" w:space="0" w:color="auto"/>
              <w:left w:val="single" w:sz="4" w:space="0" w:color="auto"/>
              <w:bottom w:val="single" w:sz="4" w:space="0" w:color="auto"/>
            </w:tcBorders>
          </w:tcPr>
          <w:p w14:paraId="4E2B1C35" w14:textId="77777777" w:rsidR="004D1816" w:rsidRPr="00BD1FEF" w:rsidRDefault="004D1816" w:rsidP="00037C67">
            <w:pPr>
              <w:keepNext/>
              <w:keepLines/>
              <w:rPr>
                <w:rFonts w:ascii="Arial" w:hAnsi="Arial"/>
                <w:color w:val="000000"/>
                <w:sz w:val="16"/>
                <w:szCs w:val="16"/>
              </w:rPr>
            </w:pPr>
            <w:r>
              <w:rPr>
                <w:rFonts w:ascii="Arial" w:hAnsi="Arial"/>
                <w:color w:val="000000"/>
                <w:sz w:val="16"/>
                <w:szCs w:val="16"/>
              </w:rPr>
              <w:t>As per 2025-26.</w:t>
            </w:r>
          </w:p>
        </w:tc>
      </w:tr>
    </w:tbl>
    <w:p w14:paraId="5A2EF39D" w14:textId="77777777" w:rsidR="00E56D2A" w:rsidRPr="00261D23" w:rsidRDefault="00E56D2A">
      <w:pPr>
        <w:rPr>
          <w:highlight w:val="yellow"/>
        </w:rPr>
      </w:pPr>
      <w:r w:rsidRPr="00261D23">
        <w:rPr>
          <w:highlight w:val="yellow"/>
        </w:rPr>
        <w:br w:type="page"/>
      </w:r>
    </w:p>
    <w:p w14:paraId="5407BBC2" w14:textId="1F4B303A" w:rsidR="005D10FA" w:rsidRPr="00BF40CB" w:rsidRDefault="005D10FA" w:rsidP="00FC74AA">
      <w:pPr>
        <w:pStyle w:val="Heading2level3"/>
        <w:rPr>
          <w:lang w:val="en-AU"/>
        </w:rPr>
      </w:pPr>
      <w:bookmarkStart w:id="1222" w:name="_Toc149060145"/>
      <w:bookmarkStart w:id="1223" w:name="_Toc149116029"/>
      <w:bookmarkStart w:id="1224" w:name="_Toc149119352"/>
      <w:bookmarkStart w:id="1225" w:name="_Toc149233142"/>
      <w:bookmarkStart w:id="1226" w:name="_Toc155955158"/>
      <w:bookmarkStart w:id="1227" w:name="_Toc158896254"/>
      <w:bookmarkStart w:id="1228" w:name="_Toc158896311"/>
      <w:bookmarkStart w:id="1229" w:name="_Toc159499719"/>
      <w:bookmarkStart w:id="1230" w:name="_Toc159858162"/>
      <w:bookmarkStart w:id="1231" w:name="_Toc159858828"/>
      <w:bookmarkStart w:id="1232" w:name="_Toc159858898"/>
      <w:bookmarkStart w:id="1233" w:name="_Toc159859137"/>
      <w:bookmarkStart w:id="1234" w:name="_Toc159859289"/>
      <w:bookmarkStart w:id="1235" w:name="_Toc159862304"/>
      <w:bookmarkStart w:id="1236" w:name="_Toc159862494"/>
      <w:bookmarkStart w:id="1237" w:name="_Toc476581174"/>
      <w:bookmarkStart w:id="1238" w:name="_Toc507595441"/>
      <w:bookmarkStart w:id="1239" w:name="_Toc536089248"/>
      <w:bookmarkStart w:id="1240" w:name="_Toc536089614"/>
      <w:bookmarkStart w:id="1241" w:name="_Toc1561701"/>
      <w:bookmarkStart w:id="1242" w:name="_Toc51691697"/>
      <w:bookmarkStart w:id="1243" w:name="_Toc69729067"/>
      <w:bookmarkStart w:id="1244" w:name="_Toc69917862"/>
      <w:bookmarkStart w:id="1245" w:name="_Toc108088964"/>
      <w:bookmarkStart w:id="1246" w:name="_Toc108089043"/>
      <w:bookmarkStart w:id="1247" w:name="_Toc108089437"/>
      <w:bookmarkStart w:id="1248" w:name="_Toc109227759"/>
      <w:r w:rsidRPr="00035D2C">
        <w:lastRenderedPageBreak/>
        <w:t>Section 3: ASA Explanatory Tables and Budgeted Financial</w:t>
      </w:r>
      <w:r w:rsidRPr="00BF40CB">
        <w:rPr>
          <w:lang w:val="en-AU"/>
        </w:rPr>
        <w:t xml:space="preserve"> Statements</w:t>
      </w:r>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p>
    <w:p w14:paraId="47BAF325" w14:textId="596FED3E" w:rsidR="005D10FA" w:rsidRPr="00BF40CB" w:rsidRDefault="005D10FA" w:rsidP="005D10FA">
      <w:pPr>
        <w:rPr>
          <w:lang w:val="en-AU"/>
        </w:rPr>
      </w:pPr>
      <w:r w:rsidRPr="00BF40CB">
        <w:rPr>
          <w:lang w:val="en-AU"/>
        </w:rPr>
        <w:t>Section 3 presents explanatory tables and budgeted financial statements</w:t>
      </w:r>
      <w:r w:rsidR="00380073">
        <w:rPr>
          <w:lang w:val="en-AU"/>
        </w:rPr>
        <w:t>,</w:t>
      </w:r>
      <w:r w:rsidRPr="00BF40CB">
        <w:rPr>
          <w:lang w:val="en-AU"/>
        </w:rPr>
        <w:t xml:space="preserve"> which provide a comprehensive snapshot of AS</w:t>
      </w:r>
      <w:r>
        <w:rPr>
          <w:lang w:val="en-AU"/>
        </w:rPr>
        <w:t>A</w:t>
      </w:r>
      <w:r w:rsidRPr="00BF40CB">
        <w:rPr>
          <w:lang w:val="en-AU"/>
        </w:rPr>
        <w:t xml:space="preserve">’s finances for the </w:t>
      </w:r>
      <w:r w:rsidRPr="002B2BCC">
        <w:rPr>
          <w:lang w:val="en-AU"/>
        </w:rPr>
        <w:t>202</w:t>
      </w:r>
      <w:r w:rsidR="00594F2D">
        <w:rPr>
          <w:lang w:val="en-AU"/>
        </w:rPr>
        <w:t>5</w:t>
      </w:r>
      <w:r w:rsidRPr="002B2BCC">
        <w:rPr>
          <w:lang w:val="en-AU"/>
        </w:rPr>
        <w:t>-2</w:t>
      </w:r>
      <w:r w:rsidR="00594F2D">
        <w:rPr>
          <w:lang w:val="en-AU"/>
        </w:rPr>
        <w:t>6</w:t>
      </w:r>
      <w:r w:rsidRPr="00F43CF5">
        <w:rPr>
          <w:lang w:val="en-AU"/>
        </w:rPr>
        <w:t xml:space="preserve"> budget</w:t>
      </w:r>
      <w:r w:rsidRPr="00BF40CB">
        <w:rPr>
          <w:lang w:val="en-AU"/>
        </w:rPr>
        <w:t xml:space="preserve"> year, includ</w:t>
      </w:r>
      <w:r w:rsidR="00582495">
        <w:rPr>
          <w:lang w:val="en-AU"/>
        </w:rPr>
        <w:t>ing the impact of B</w:t>
      </w:r>
      <w:r w:rsidRPr="00BF40CB">
        <w:rPr>
          <w:lang w:val="en-AU"/>
        </w:rPr>
        <w:t xml:space="preserve">udget </w:t>
      </w:r>
      <w:r w:rsidR="00582495">
        <w:rPr>
          <w:lang w:val="en-AU"/>
        </w:rPr>
        <w:t>M</w:t>
      </w:r>
      <w:r w:rsidRPr="00BF40CB">
        <w:rPr>
          <w:lang w:val="en-AU"/>
        </w:rPr>
        <w:t>easures and resourcing on financial statements.</w:t>
      </w:r>
    </w:p>
    <w:p w14:paraId="6A0E9AF8" w14:textId="77777777" w:rsidR="00761824" w:rsidRPr="00FF493F" w:rsidRDefault="00761824" w:rsidP="00FF493F">
      <w:pPr>
        <w:pStyle w:val="Heading4level5"/>
        <w:spacing w:before="0" w:after="200"/>
      </w:pPr>
      <w:bookmarkStart w:id="1249" w:name="_Toc159858163"/>
      <w:bookmarkStart w:id="1250" w:name="_Toc159858829"/>
      <w:bookmarkStart w:id="1251" w:name="_Toc159858899"/>
      <w:bookmarkStart w:id="1252" w:name="_Toc159859138"/>
      <w:bookmarkStart w:id="1253" w:name="_Toc159859290"/>
      <w:bookmarkStart w:id="1254" w:name="_Toc159862305"/>
      <w:bookmarkStart w:id="1255" w:name="_Toc159862495"/>
      <w:r w:rsidRPr="00FF493F">
        <w:t>3.1 Explanatory Tables</w:t>
      </w:r>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p>
    <w:p w14:paraId="4D5C15B4" w14:textId="77777777" w:rsidR="00F44961" w:rsidRPr="00594F2D" w:rsidRDefault="00F44961" w:rsidP="00444A89">
      <w:pPr>
        <w:pStyle w:val="TableHeading"/>
        <w:numPr>
          <w:ilvl w:val="0"/>
          <w:numId w:val="64"/>
        </w:numPr>
        <w:spacing w:before="120" w:after="120"/>
        <w:ind w:left="0" w:firstLine="0"/>
        <w:outlineLvl w:val="5"/>
        <w:rPr>
          <w:rFonts w:ascii="Arial Bold" w:hAnsi="Arial Bold"/>
          <w:vertAlign w:val="superscript"/>
        </w:rPr>
      </w:pPr>
      <w:r w:rsidRPr="00594F2D">
        <w:t>Third Party Payments to and from Other Agencies</w:t>
      </w:r>
      <w:r w:rsidR="00BF3DBD" w:rsidRPr="00594F2D">
        <w:t xml:space="preserve"> </w:t>
      </w:r>
      <w:r w:rsidR="00FC6E7B" w:rsidRPr="00594F2D">
        <w:rPr>
          <w:vertAlign w:val="superscript"/>
        </w:rPr>
        <w:t>[a]</w:t>
      </w:r>
    </w:p>
    <w:p w14:paraId="60B96CA9" w14:textId="77777777" w:rsidR="009A7077" w:rsidRPr="00B56FAA" w:rsidRDefault="00594F2D" w:rsidP="00374DCB">
      <w:pPr>
        <w:spacing w:before="0" w:after="0"/>
        <w:rPr>
          <w:lang w:val="en-AU"/>
        </w:rPr>
      </w:pPr>
      <w:r w:rsidRPr="00480972">
        <w:rPr>
          <w:noProof/>
          <w:lang w:val="en-AU"/>
        </w:rPr>
        <w:drawing>
          <wp:inline distT="0" distB="0" distL="0" distR="0" wp14:anchorId="6D94575C" wp14:editId="6EE84500">
            <wp:extent cx="5317490" cy="7594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317490" cy="759460"/>
                    </a:xfrm>
                    <a:prstGeom prst="rect">
                      <a:avLst/>
                    </a:prstGeom>
                    <a:noFill/>
                    <a:ln>
                      <a:noFill/>
                    </a:ln>
                  </pic:spPr>
                </pic:pic>
              </a:graphicData>
            </a:graphic>
          </wp:inline>
        </w:drawing>
      </w:r>
    </w:p>
    <w:p w14:paraId="448A7A2B" w14:textId="77777777" w:rsidR="00776A1B" w:rsidRDefault="00776A1B" w:rsidP="00776A1B">
      <w:pPr>
        <w:spacing w:before="0" w:after="0"/>
        <w:rPr>
          <w:rFonts w:ascii="Arial" w:hAnsi="Arial"/>
          <w:sz w:val="14"/>
          <w:szCs w:val="14"/>
          <w:lang w:val="en-AU"/>
        </w:rPr>
      </w:pPr>
    </w:p>
    <w:p w14:paraId="0F7D973F" w14:textId="77777777" w:rsidR="00776A1B" w:rsidRPr="00A84CB5" w:rsidRDefault="00776A1B" w:rsidP="00776A1B">
      <w:pPr>
        <w:spacing w:before="0" w:after="0"/>
        <w:rPr>
          <w:rFonts w:ascii="Arial" w:hAnsi="Arial"/>
          <w:b/>
          <w:sz w:val="14"/>
          <w:szCs w:val="14"/>
        </w:rPr>
      </w:pPr>
      <w:r w:rsidRPr="00A84CB5">
        <w:rPr>
          <w:rFonts w:ascii="Arial" w:hAnsi="Arial"/>
          <w:b/>
          <w:sz w:val="14"/>
          <w:szCs w:val="14"/>
        </w:rPr>
        <w:t>Note</w:t>
      </w:r>
      <w:r w:rsidRPr="00A84CB5">
        <w:rPr>
          <w:rFonts w:ascii="Arial" w:hAnsi="Arial"/>
          <w:b/>
          <w:sz w:val="14"/>
          <w:szCs w:val="14"/>
        </w:rPr>
        <w:tab/>
      </w:r>
      <w:r w:rsidRPr="00A84CB5">
        <w:rPr>
          <w:rFonts w:ascii="Arial" w:hAnsi="Arial"/>
          <w:b/>
          <w:sz w:val="14"/>
          <w:szCs w:val="14"/>
        </w:rPr>
        <w:tab/>
      </w:r>
    </w:p>
    <w:p w14:paraId="601FF445" w14:textId="77777777" w:rsidR="00776A1B" w:rsidRPr="00A84CB5" w:rsidRDefault="00776A1B" w:rsidP="00A84CB5">
      <w:pPr>
        <w:spacing w:before="0" w:after="0"/>
        <w:ind w:left="142" w:hanging="142"/>
        <w:rPr>
          <w:rFonts w:ascii="Arial" w:hAnsi="Arial"/>
          <w:sz w:val="14"/>
          <w:szCs w:val="14"/>
        </w:rPr>
      </w:pPr>
      <w:r w:rsidRPr="00A84CB5">
        <w:rPr>
          <w:rFonts w:ascii="Arial" w:hAnsi="Arial"/>
          <w:sz w:val="14"/>
          <w:szCs w:val="14"/>
        </w:rPr>
        <w:t>a.</w:t>
      </w:r>
      <w:r w:rsidRPr="00A84CB5">
        <w:rPr>
          <w:rFonts w:ascii="Arial" w:hAnsi="Arial"/>
          <w:sz w:val="14"/>
          <w:szCs w:val="14"/>
        </w:rPr>
        <w:tab/>
      </w:r>
      <w:r w:rsidR="00A84CB5">
        <w:rPr>
          <w:rFonts w:ascii="Arial" w:hAnsi="Arial"/>
          <w:sz w:val="14"/>
          <w:szCs w:val="14"/>
        </w:rPr>
        <w:tab/>
        <w:t xml:space="preserve"> </w:t>
      </w:r>
      <w:r w:rsidR="00A84CB5">
        <w:rPr>
          <w:rFonts w:ascii="Arial" w:hAnsi="Arial"/>
          <w:sz w:val="14"/>
          <w:szCs w:val="14"/>
        </w:rPr>
        <w:tab/>
        <w:t xml:space="preserve"> </w:t>
      </w:r>
      <w:r w:rsidRPr="00A84CB5">
        <w:rPr>
          <w:rFonts w:ascii="Arial" w:hAnsi="Arial"/>
          <w:sz w:val="14"/>
          <w:szCs w:val="14"/>
        </w:rPr>
        <w:t>Third party payments to and from other Agencies include:</w:t>
      </w:r>
      <w:r w:rsidRPr="00A84CB5">
        <w:rPr>
          <w:rFonts w:ascii="Arial" w:hAnsi="Arial"/>
          <w:sz w:val="14"/>
          <w:szCs w:val="14"/>
        </w:rPr>
        <w:tab/>
      </w:r>
      <w:r w:rsidRPr="00A84CB5">
        <w:rPr>
          <w:rFonts w:ascii="Arial" w:hAnsi="Arial"/>
          <w:sz w:val="14"/>
          <w:szCs w:val="14"/>
        </w:rPr>
        <w:tab/>
      </w:r>
    </w:p>
    <w:p w14:paraId="44EAF799" w14:textId="77777777" w:rsidR="00776A1B" w:rsidRPr="00A84CB5" w:rsidRDefault="00776A1B" w:rsidP="00A84CB5">
      <w:pPr>
        <w:spacing w:before="0" w:after="0"/>
        <w:ind w:left="142" w:hanging="142"/>
        <w:rPr>
          <w:rFonts w:ascii="Arial" w:hAnsi="Arial"/>
          <w:sz w:val="14"/>
          <w:szCs w:val="14"/>
        </w:rPr>
      </w:pPr>
      <w:r w:rsidRPr="00A84CB5">
        <w:rPr>
          <w:rFonts w:ascii="Arial" w:hAnsi="Arial"/>
          <w:sz w:val="14"/>
          <w:szCs w:val="14"/>
        </w:rPr>
        <w:tab/>
      </w:r>
      <w:r w:rsidR="00A84CB5">
        <w:rPr>
          <w:rFonts w:ascii="Arial" w:hAnsi="Arial"/>
          <w:sz w:val="14"/>
          <w:szCs w:val="14"/>
        </w:rPr>
        <w:t xml:space="preserve">  </w:t>
      </w:r>
      <w:r w:rsidRPr="00A84CB5">
        <w:rPr>
          <w:rFonts w:ascii="Arial" w:hAnsi="Arial"/>
          <w:sz w:val="14"/>
          <w:szCs w:val="14"/>
        </w:rPr>
        <w:t>- Inter-agency transactions in excess of $20</w:t>
      </w:r>
      <w:r w:rsidR="001726F8">
        <w:rPr>
          <w:rFonts w:ascii="Arial" w:hAnsi="Arial"/>
          <w:sz w:val="14"/>
          <w:szCs w:val="14"/>
        </w:rPr>
        <w:t xml:space="preserve"> </w:t>
      </w:r>
      <w:r w:rsidRPr="00A84CB5">
        <w:rPr>
          <w:rFonts w:ascii="Arial" w:hAnsi="Arial"/>
          <w:sz w:val="14"/>
          <w:szCs w:val="14"/>
        </w:rPr>
        <w:t>m</w:t>
      </w:r>
      <w:r w:rsidR="001726F8">
        <w:rPr>
          <w:rFonts w:ascii="Arial" w:hAnsi="Arial"/>
          <w:sz w:val="14"/>
          <w:szCs w:val="14"/>
        </w:rPr>
        <w:t>illion</w:t>
      </w:r>
      <w:r w:rsidRPr="00A84CB5">
        <w:rPr>
          <w:rFonts w:ascii="Arial" w:hAnsi="Arial"/>
          <w:sz w:val="14"/>
          <w:szCs w:val="14"/>
        </w:rPr>
        <w:t xml:space="preserve"> per annum; and</w:t>
      </w:r>
      <w:r w:rsidRPr="00A84CB5">
        <w:rPr>
          <w:rFonts w:ascii="Arial" w:hAnsi="Arial"/>
          <w:sz w:val="14"/>
          <w:szCs w:val="14"/>
        </w:rPr>
        <w:tab/>
      </w:r>
      <w:r w:rsidRPr="00A84CB5">
        <w:rPr>
          <w:rFonts w:ascii="Arial" w:hAnsi="Arial"/>
          <w:sz w:val="14"/>
          <w:szCs w:val="14"/>
        </w:rPr>
        <w:tab/>
      </w:r>
      <w:r w:rsidRPr="00A84CB5">
        <w:rPr>
          <w:rFonts w:ascii="Arial" w:hAnsi="Arial"/>
          <w:sz w:val="14"/>
          <w:szCs w:val="14"/>
        </w:rPr>
        <w:tab/>
      </w:r>
      <w:r w:rsidRPr="00A84CB5">
        <w:rPr>
          <w:rFonts w:ascii="Arial" w:hAnsi="Arial"/>
          <w:sz w:val="14"/>
          <w:szCs w:val="14"/>
        </w:rPr>
        <w:tab/>
      </w:r>
    </w:p>
    <w:p w14:paraId="05297E14" w14:textId="77777777" w:rsidR="00064326" w:rsidRPr="00A84CB5" w:rsidRDefault="00A84CB5" w:rsidP="00A84CB5">
      <w:pPr>
        <w:spacing w:before="0" w:after="0"/>
        <w:ind w:left="142"/>
        <w:rPr>
          <w:rFonts w:ascii="Arial" w:hAnsi="Arial"/>
          <w:sz w:val="14"/>
          <w:szCs w:val="14"/>
          <w:lang w:val="en-AU"/>
        </w:rPr>
      </w:pPr>
      <w:r>
        <w:rPr>
          <w:rFonts w:ascii="Arial" w:hAnsi="Arial"/>
          <w:sz w:val="14"/>
          <w:szCs w:val="14"/>
        </w:rPr>
        <w:t xml:space="preserve"> </w:t>
      </w:r>
      <w:r>
        <w:rPr>
          <w:rFonts w:ascii="Arial" w:hAnsi="Arial"/>
          <w:sz w:val="14"/>
          <w:szCs w:val="14"/>
        </w:rPr>
        <w:tab/>
        <w:t xml:space="preserve"> </w:t>
      </w:r>
      <w:r w:rsidR="00776A1B" w:rsidRPr="00A84CB5">
        <w:rPr>
          <w:rFonts w:ascii="Arial" w:hAnsi="Arial"/>
          <w:sz w:val="14"/>
          <w:szCs w:val="14"/>
        </w:rPr>
        <w:tab/>
        <w:t>- Inter-agency transactions relating to Budget Measures as disclosed in Defence Budget Measures</w:t>
      </w:r>
      <w:r w:rsidR="00776A1B" w:rsidRPr="00A84CB5">
        <w:rPr>
          <w:rFonts w:ascii="Arial" w:hAnsi="Arial"/>
          <w:sz w:val="14"/>
          <w:szCs w:val="14"/>
          <w:lang w:val="en-AU"/>
        </w:rPr>
        <w:t>.</w:t>
      </w:r>
      <w:r w:rsidR="00776A1B" w:rsidRPr="00A84CB5">
        <w:rPr>
          <w:rFonts w:ascii="Arial" w:hAnsi="Arial"/>
          <w:sz w:val="14"/>
          <w:szCs w:val="14"/>
          <w:lang w:val="en-AU"/>
        </w:rPr>
        <w:tab/>
      </w:r>
      <w:r w:rsidR="00776A1B" w:rsidRPr="00A84CB5">
        <w:rPr>
          <w:rFonts w:ascii="Arial" w:hAnsi="Arial"/>
          <w:sz w:val="14"/>
          <w:szCs w:val="14"/>
          <w:lang w:val="en-AU"/>
        </w:rPr>
        <w:tab/>
      </w:r>
    </w:p>
    <w:p w14:paraId="23D68269" w14:textId="77777777" w:rsidR="00776A1B" w:rsidRPr="00A84CB5" w:rsidRDefault="00776A1B" w:rsidP="00064326">
      <w:pPr>
        <w:tabs>
          <w:tab w:val="left" w:pos="284"/>
        </w:tabs>
        <w:spacing w:before="0" w:after="0"/>
        <w:ind w:left="284" w:hanging="284"/>
        <w:rPr>
          <w:rFonts w:ascii="Arial" w:hAnsi="Arial"/>
          <w:sz w:val="14"/>
          <w:szCs w:val="14"/>
          <w:lang w:val="en-AU"/>
        </w:rPr>
      </w:pPr>
      <w:r w:rsidRPr="00A84CB5">
        <w:rPr>
          <w:rFonts w:ascii="Arial" w:hAnsi="Arial"/>
          <w:sz w:val="14"/>
          <w:szCs w:val="14"/>
          <w:lang w:val="en-AU"/>
        </w:rPr>
        <w:tab/>
      </w:r>
      <w:r w:rsidRPr="00A84CB5">
        <w:rPr>
          <w:rFonts w:ascii="Arial" w:hAnsi="Arial"/>
          <w:sz w:val="14"/>
          <w:szCs w:val="14"/>
          <w:lang w:val="en-AU"/>
        </w:rPr>
        <w:tab/>
      </w:r>
    </w:p>
    <w:p w14:paraId="7755B202" w14:textId="77777777" w:rsidR="00761824" w:rsidRPr="00FF493F" w:rsidRDefault="00761824" w:rsidP="00FF493F">
      <w:pPr>
        <w:pStyle w:val="Heading4level5"/>
        <w:spacing w:before="0" w:after="200"/>
      </w:pPr>
      <w:r w:rsidRPr="00B56FAA">
        <w:rPr>
          <w:lang w:val="en-AU"/>
        </w:rPr>
        <w:br w:type="page"/>
      </w:r>
      <w:bookmarkStart w:id="1256" w:name="_Toc476581175"/>
      <w:bookmarkStart w:id="1257" w:name="_Toc507595442"/>
      <w:bookmarkStart w:id="1258" w:name="_Toc536089249"/>
      <w:bookmarkStart w:id="1259" w:name="_Toc536089615"/>
      <w:bookmarkStart w:id="1260" w:name="_Toc1561702"/>
      <w:bookmarkStart w:id="1261" w:name="_Toc51691698"/>
      <w:bookmarkStart w:id="1262" w:name="_Toc69729068"/>
      <w:bookmarkStart w:id="1263" w:name="_Toc69917863"/>
      <w:bookmarkStart w:id="1264" w:name="_Toc108088965"/>
      <w:bookmarkStart w:id="1265" w:name="_Toc108089044"/>
      <w:bookmarkStart w:id="1266" w:name="_Toc108089438"/>
      <w:bookmarkStart w:id="1267" w:name="_Toc109227760"/>
      <w:bookmarkStart w:id="1268" w:name="_Toc159499720"/>
      <w:bookmarkStart w:id="1269" w:name="_Toc159858164"/>
      <w:bookmarkStart w:id="1270" w:name="_Toc159858830"/>
      <w:bookmarkStart w:id="1271" w:name="_Toc159858900"/>
      <w:bookmarkStart w:id="1272" w:name="_Toc159859139"/>
      <w:bookmarkStart w:id="1273" w:name="_Toc159859291"/>
      <w:bookmarkStart w:id="1274" w:name="_Toc159862306"/>
      <w:bookmarkStart w:id="1275" w:name="_Toc159862496"/>
      <w:r w:rsidRPr="00FF493F">
        <w:lastRenderedPageBreak/>
        <w:t>3.2 Budgeted Financial Statements</w:t>
      </w:r>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p>
    <w:p w14:paraId="2D9AFBF3" w14:textId="77777777" w:rsidR="00761824" w:rsidRPr="00B56FAA" w:rsidRDefault="00761824" w:rsidP="00FF493F">
      <w:pPr>
        <w:pStyle w:val="Heading4level5"/>
        <w:spacing w:before="0" w:after="200"/>
      </w:pPr>
      <w:r w:rsidRPr="00B56FAA">
        <w:t>3.2.1 Budgeted Financial Statements</w:t>
      </w:r>
    </w:p>
    <w:p w14:paraId="2DC0719F" w14:textId="77777777" w:rsidR="00173112" w:rsidRPr="00594F2D" w:rsidRDefault="00173112" w:rsidP="00444A89">
      <w:pPr>
        <w:pStyle w:val="TableHeading"/>
        <w:numPr>
          <w:ilvl w:val="0"/>
          <w:numId w:val="64"/>
        </w:numPr>
        <w:spacing w:before="0" w:after="120"/>
        <w:ind w:left="0" w:firstLine="0"/>
        <w:outlineLvl w:val="5"/>
      </w:pPr>
      <w:r w:rsidRPr="00594F2D">
        <w:rPr>
          <w:rFonts w:cs="Times New Roman"/>
          <w:bCs/>
          <w:sz w:val="22"/>
          <w:szCs w:val="28"/>
        </w:rPr>
        <w:t>Budgeted Departmental Comprehensive Income Statement (Showing Net Cost of</w:t>
      </w:r>
      <w:r w:rsidRPr="00594F2D">
        <w:t xml:space="preserve"> Services) (for the period ended 30 June)</w:t>
      </w:r>
    </w:p>
    <w:p w14:paraId="4AD39A28" w14:textId="6D2E1856" w:rsidR="00E65A0A" w:rsidRDefault="002150C3" w:rsidP="00DD7B7C">
      <w:r w:rsidRPr="008A710B">
        <w:rPr>
          <w:noProof/>
          <w:lang w:val="en-AU"/>
        </w:rPr>
        <w:drawing>
          <wp:inline distT="0" distB="0" distL="0" distR="0" wp14:anchorId="1C688CB0" wp14:editId="2C5EB939">
            <wp:extent cx="5472430" cy="5605145"/>
            <wp:effectExtent l="0" t="0" r="0" b="0"/>
            <wp:docPr id="24575494" name="Picture 24575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472430" cy="5605145"/>
                    </a:xfrm>
                    <a:prstGeom prst="rect">
                      <a:avLst/>
                    </a:prstGeom>
                    <a:noFill/>
                    <a:ln>
                      <a:noFill/>
                    </a:ln>
                  </pic:spPr>
                </pic:pic>
              </a:graphicData>
            </a:graphic>
          </wp:inline>
        </w:drawing>
      </w:r>
    </w:p>
    <w:p w14:paraId="32CDCF9E" w14:textId="77777777" w:rsidR="00576988" w:rsidRPr="001442E3" w:rsidRDefault="00576988" w:rsidP="00576988">
      <w:pPr>
        <w:spacing w:before="0" w:after="0"/>
        <w:rPr>
          <w:rFonts w:ascii="Arial" w:hAnsi="Arial"/>
          <w:b/>
          <w:sz w:val="14"/>
          <w:szCs w:val="14"/>
          <w:lang w:val="en-AU"/>
        </w:rPr>
      </w:pPr>
      <w:r>
        <w:rPr>
          <w:rFonts w:ascii="Arial" w:hAnsi="Arial"/>
          <w:b/>
          <w:sz w:val="14"/>
          <w:szCs w:val="14"/>
          <w:lang w:val="en-AU"/>
        </w:rPr>
        <w:t>Note</w:t>
      </w:r>
      <w:r>
        <w:rPr>
          <w:rFonts w:ascii="Arial" w:hAnsi="Arial"/>
          <w:b/>
          <w:sz w:val="14"/>
          <w:szCs w:val="14"/>
          <w:lang w:val="en-AU"/>
        </w:rPr>
        <w:tab/>
      </w:r>
      <w:r>
        <w:rPr>
          <w:rFonts w:ascii="Arial" w:hAnsi="Arial"/>
          <w:b/>
          <w:sz w:val="14"/>
          <w:szCs w:val="14"/>
          <w:lang w:val="en-AU"/>
        </w:rPr>
        <w:tab/>
      </w:r>
      <w:r>
        <w:rPr>
          <w:rFonts w:ascii="Arial" w:hAnsi="Arial"/>
          <w:b/>
          <w:sz w:val="14"/>
          <w:szCs w:val="14"/>
          <w:lang w:val="en-AU"/>
        </w:rPr>
        <w:tab/>
      </w:r>
      <w:r>
        <w:rPr>
          <w:rFonts w:ascii="Arial" w:hAnsi="Arial"/>
          <w:b/>
          <w:sz w:val="14"/>
          <w:szCs w:val="14"/>
          <w:lang w:val="en-AU"/>
        </w:rPr>
        <w:tab/>
      </w:r>
      <w:r w:rsidRPr="001442E3">
        <w:rPr>
          <w:rFonts w:ascii="Arial" w:hAnsi="Arial"/>
          <w:b/>
          <w:sz w:val="14"/>
          <w:szCs w:val="14"/>
          <w:lang w:val="en-AU"/>
        </w:rPr>
        <w:tab/>
      </w:r>
      <w:r w:rsidRPr="001442E3">
        <w:rPr>
          <w:rFonts w:ascii="Arial" w:hAnsi="Arial"/>
          <w:b/>
          <w:sz w:val="14"/>
          <w:szCs w:val="14"/>
          <w:lang w:val="en-AU"/>
        </w:rPr>
        <w:tab/>
      </w:r>
      <w:r w:rsidRPr="001442E3">
        <w:rPr>
          <w:rFonts w:ascii="Arial" w:hAnsi="Arial"/>
          <w:b/>
          <w:sz w:val="14"/>
          <w:szCs w:val="14"/>
          <w:lang w:val="en-AU"/>
        </w:rPr>
        <w:tab/>
      </w:r>
      <w:r w:rsidR="00902478">
        <w:rPr>
          <w:rFonts w:ascii="Arial" w:hAnsi="Arial"/>
          <w:b/>
          <w:sz w:val="14"/>
          <w:szCs w:val="14"/>
          <w:lang w:val="en-AU"/>
        </w:rPr>
        <w:t>s</w:t>
      </w:r>
    </w:p>
    <w:p w14:paraId="1CA2A722" w14:textId="77777777" w:rsidR="00594F2D" w:rsidRPr="00D77F7E" w:rsidRDefault="00576988" w:rsidP="00594F2D">
      <w:pPr>
        <w:tabs>
          <w:tab w:val="left" w:pos="284"/>
        </w:tabs>
        <w:spacing w:before="0" w:after="0"/>
        <w:ind w:left="284" w:hanging="284"/>
        <w:rPr>
          <w:rFonts w:ascii="Arial" w:hAnsi="Arial"/>
          <w:sz w:val="14"/>
          <w:szCs w:val="14"/>
        </w:rPr>
      </w:pPr>
      <w:r>
        <w:rPr>
          <w:rFonts w:ascii="Arial" w:hAnsi="Arial"/>
          <w:sz w:val="14"/>
          <w:szCs w:val="14"/>
          <w:lang w:val="en-AU"/>
        </w:rPr>
        <w:t>a</w:t>
      </w:r>
      <w:r w:rsidRPr="001442E3">
        <w:rPr>
          <w:rFonts w:ascii="Arial" w:hAnsi="Arial"/>
          <w:sz w:val="14"/>
          <w:szCs w:val="14"/>
          <w:lang w:val="en-AU"/>
        </w:rPr>
        <w:t>.</w:t>
      </w:r>
      <w:r>
        <w:rPr>
          <w:rFonts w:ascii="Arial" w:hAnsi="Arial"/>
          <w:sz w:val="14"/>
          <w:szCs w:val="14"/>
          <w:lang w:val="en-AU"/>
        </w:rPr>
        <w:tab/>
      </w:r>
      <w:r w:rsidR="00FC023D" w:rsidRPr="00FC023D">
        <w:rPr>
          <w:rFonts w:ascii="Arial" w:hAnsi="Arial"/>
          <w:sz w:val="14"/>
          <w:szCs w:val="14"/>
          <w:lang w:val="en-AU"/>
        </w:rPr>
        <w:tab/>
      </w:r>
      <w:r w:rsidR="00594F2D" w:rsidRPr="00D77F7E">
        <w:rPr>
          <w:rFonts w:ascii="Arial" w:hAnsi="Arial"/>
          <w:sz w:val="14"/>
          <w:szCs w:val="14"/>
        </w:rPr>
        <w:t>From 2010-11, the Government introduced net cash appropriation arrangements where Appropriation Bill (No. 1) revenue appropriations for the depreciation/amortisation expenses of non-corporate Commonwealth entities (and select Commonwealth entities) were replaced with a separate capital budget (the departmental capital budget or DCB) provided through Appropriation Bill (No. 1) equity appropriations. For information regarding DCBs, please refer to Table 12 Departmental Capital Budget Statement.</w:t>
      </w:r>
    </w:p>
    <w:p w14:paraId="26F288D0" w14:textId="57571841" w:rsidR="00776A1B" w:rsidRPr="00594F2D" w:rsidRDefault="00594F2D" w:rsidP="00594F2D">
      <w:pPr>
        <w:tabs>
          <w:tab w:val="left" w:pos="284"/>
        </w:tabs>
        <w:spacing w:before="0" w:after="0"/>
        <w:ind w:left="284" w:hanging="284"/>
        <w:rPr>
          <w:rFonts w:ascii="Arial" w:hAnsi="Arial"/>
          <w:sz w:val="14"/>
          <w:szCs w:val="14"/>
          <w:lang w:val="en-AU"/>
        </w:rPr>
      </w:pPr>
      <w:r w:rsidRPr="00D77F7E">
        <w:rPr>
          <w:rFonts w:ascii="Arial" w:hAnsi="Arial"/>
          <w:sz w:val="14"/>
          <w:szCs w:val="14"/>
        </w:rPr>
        <w:t>b.</w:t>
      </w:r>
      <w:r w:rsidRPr="00D77F7E">
        <w:rPr>
          <w:rFonts w:ascii="Arial" w:hAnsi="Arial"/>
          <w:sz w:val="14"/>
          <w:szCs w:val="14"/>
        </w:rPr>
        <w:tab/>
        <w:t>Applies leases under AASB 16 Lea</w:t>
      </w:r>
      <w:r w:rsidRPr="00594F2D">
        <w:rPr>
          <w:rFonts w:ascii="Arial" w:hAnsi="Arial"/>
          <w:sz w:val="14"/>
          <w:szCs w:val="14"/>
        </w:rPr>
        <w:t>ses</w:t>
      </w:r>
      <w:r w:rsidR="00776A1B" w:rsidRPr="00594F2D">
        <w:rPr>
          <w:rFonts w:ascii="Arial" w:hAnsi="Arial"/>
          <w:sz w:val="14"/>
          <w:szCs w:val="14"/>
          <w:lang w:val="en-AU"/>
        </w:rPr>
        <w:tab/>
      </w:r>
      <w:r w:rsidR="00776A1B" w:rsidRPr="00594F2D">
        <w:rPr>
          <w:rFonts w:ascii="Arial" w:hAnsi="Arial"/>
          <w:sz w:val="14"/>
          <w:szCs w:val="14"/>
          <w:lang w:val="en-AU"/>
        </w:rPr>
        <w:tab/>
      </w:r>
      <w:r w:rsidR="00776A1B" w:rsidRPr="00594F2D">
        <w:rPr>
          <w:rFonts w:ascii="Arial" w:hAnsi="Arial"/>
          <w:sz w:val="14"/>
          <w:szCs w:val="14"/>
          <w:lang w:val="en-AU"/>
        </w:rPr>
        <w:tab/>
      </w:r>
      <w:r w:rsidR="00776A1B" w:rsidRPr="00594F2D">
        <w:rPr>
          <w:rFonts w:ascii="Arial" w:hAnsi="Arial"/>
          <w:sz w:val="14"/>
          <w:szCs w:val="14"/>
          <w:lang w:val="en-AU"/>
        </w:rPr>
        <w:tab/>
      </w:r>
      <w:r w:rsidR="00E04845">
        <w:rPr>
          <w:rFonts w:ascii="Arial" w:hAnsi="Arial"/>
          <w:sz w:val="14"/>
          <w:szCs w:val="14"/>
          <w:lang w:val="en-AU"/>
        </w:rPr>
        <w:t>.</w:t>
      </w:r>
    </w:p>
    <w:p w14:paraId="417755A6" w14:textId="77777777" w:rsidR="000D5813" w:rsidRPr="00594F2D" w:rsidRDefault="002C5D2A" w:rsidP="00444A89">
      <w:pPr>
        <w:pStyle w:val="TableHeading"/>
        <w:numPr>
          <w:ilvl w:val="0"/>
          <w:numId w:val="64"/>
        </w:numPr>
        <w:spacing w:before="0" w:after="120"/>
        <w:ind w:left="0" w:firstLine="0"/>
        <w:outlineLvl w:val="5"/>
      </w:pPr>
      <w:r w:rsidRPr="00594F2D">
        <w:br w:type="page"/>
      </w:r>
      <w:r w:rsidR="00761824" w:rsidRPr="00594F2D">
        <w:lastRenderedPageBreak/>
        <w:t>Budgeted Departmental Balance Sheet (as at 30 June)</w:t>
      </w:r>
    </w:p>
    <w:p w14:paraId="1A1DA317" w14:textId="77777777" w:rsidR="00761824" w:rsidRDefault="00594F2D" w:rsidP="00761824">
      <w:r w:rsidRPr="00C96B7A">
        <w:rPr>
          <w:noProof/>
          <w:lang w:val="en-AU"/>
        </w:rPr>
        <w:drawing>
          <wp:inline distT="0" distB="0" distL="0" distR="0" wp14:anchorId="7DB146EA" wp14:editId="14FA89B4">
            <wp:extent cx="5465445" cy="4508500"/>
            <wp:effectExtent l="0" t="0" r="190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465445" cy="4508500"/>
                    </a:xfrm>
                    <a:prstGeom prst="rect">
                      <a:avLst/>
                    </a:prstGeom>
                    <a:noFill/>
                    <a:ln>
                      <a:noFill/>
                    </a:ln>
                  </pic:spPr>
                </pic:pic>
              </a:graphicData>
            </a:graphic>
          </wp:inline>
        </w:drawing>
      </w:r>
    </w:p>
    <w:p w14:paraId="7E065E67" w14:textId="77777777" w:rsidR="00576988" w:rsidRPr="00594F2D" w:rsidRDefault="00576988" w:rsidP="00594F2D">
      <w:pPr>
        <w:spacing w:before="0" w:after="0"/>
        <w:rPr>
          <w:rFonts w:ascii="Arial" w:hAnsi="Arial"/>
          <w:b/>
          <w:sz w:val="14"/>
          <w:szCs w:val="14"/>
          <w:lang w:val="en-AU"/>
        </w:rPr>
      </w:pPr>
    </w:p>
    <w:p w14:paraId="55608655" w14:textId="77777777" w:rsidR="00576988" w:rsidRPr="00B56FAA" w:rsidRDefault="00576988" w:rsidP="00761824"/>
    <w:p w14:paraId="730E60E3" w14:textId="77777777" w:rsidR="00DD7B7C" w:rsidRPr="00594F2D" w:rsidRDefault="00761824" w:rsidP="00444A89">
      <w:pPr>
        <w:pStyle w:val="TableHeading"/>
        <w:numPr>
          <w:ilvl w:val="0"/>
          <w:numId w:val="64"/>
        </w:numPr>
        <w:spacing w:before="0" w:after="120"/>
        <w:ind w:left="0" w:firstLine="0"/>
        <w:outlineLvl w:val="5"/>
      </w:pPr>
      <w:r w:rsidRPr="00B56FAA">
        <w:br w:type="page"/>
      </w:r>
      <w:r w:rsidR="00173112" w:rsidRPr="00594F2D">
        <w:lastRenderedPageBreak/>
        <w:t>Budgeted Departmental Statement of Cash Flows (for the period ended 30 June)</w:t>
      </w:r>
    </w:p>
    <w:p w14:paraId="09A7E7E5" w14:textId="6416E14D" w:rsidR="00DD7B7C" w:rsidRDefault="002150C3" w:rsidP="00DD7B7C">
      <w:r w:rsidRPr="008A710B">
        <w:rPr>
          <w:noProof/>
          <w:lang w:val="en-AU"/>
        </w:rPr>
        <w:drawing>
          <wp:inline distT="0" distB="0" distL="0" distR="0" wp14:anchorId="5CCE32F1" wp14:editId="19DF3FAE">
            <wp:extent cx="5472430" cy="4353560"/>
            <wp:effectExtent l="0" t="0" r="0" b="8890"/>
            <wp:docPr id="24575495" name="Picture 24575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72430" cy="4353560"/>
                    </a:xfrm>
                    <a:prstGeom prst="rect">
                      <a:avLst/>
                    </a:prstGeom>
                    <a:noFill/>
                    <a:ln>
                      <a:noFill/>
                    </a:ln>
                  </pic:spPr>
                </pic:pic>
              </a:graphicData>
            </a:graphic>
          </wp:inline>
        </w:drawing>
      </w:r>
    </w:p>
    <w:p w14:paraId="0977E063" w14:textId="77777777" w:rsidR="00A65134" w:rsidRPr="00A65134" w:rsidRDefault="00594F2D" w:rsidP="00A65134">
      <w:pPr>
        <w:spacing w:before="0" w:after="0"/>
        <w:rPr>
          <w:rFonts w:ascii="Arial" w:hAnsi="Arial"/>
          <w:b/>
          <w:sz w:val="14"/>
          <w:szCs w:val="14"/>
          <w:lang w:val="en-AU"/>
        </w:rPr>
      </w:pPr>
      <w:r>
        <w:rPr>
          <w:rFonts w:ascii="Arial" w:hAnsi="Arial"/>
          <w:b/>
          <w:sz w:val="14"/>
          <w:szCs w:val="14"/>
          <w:lang w:val="en-AU"/>
        </w:rPr>
        <w:tab/>
      </w:r>
      <w:r w:rsidR="00A65134" w:rsidRPr="00A65134">
        <w:rPr>
          <w:rFonts w:ascii="Arial" w:hAnsi="Arial"/>
          <w:b/>
          <w:sz w:val="14"/>
          <w:szCs w:val="14"/>
          <w:lang w:val="en-AU"/>
        </w:rPr>
        <w:tab/>
      </w:r>
      <w:r w:rsidR="00A65134" w:rsidRPr="00A65134">
        <w:rPr>
          <w:rFonts w:ascii="Arial" w:hAnsi="Arial"/>
          <w:b/>
          <w:sz w:val="14"/>
          <w:szCs w:val="14"/>
          <w:lang w:val="en-AU"/>
        </w:rPr>
        <w:tab/>
      </w:r>
      <w:r w:rsidR="00A65134" w:rsidRPr="00A65134">
        <w:rPr>
          <w:rFonts w:ascii="Arial" w:hAnsi="Arial"/>
          <w:b/>
          <w:sz w:val="14"/>
          <w:szCs w:val="14"/>
          <w:lang w:val="en-AU"/>
        </w:rPr>
        <w:tab/>
      </w:r>
      <w:r w:rsidR="00A65134" w:rsidRPr="00A65134">
        <w:rPr>
          <w:rFonts w:ascii="Arial" w:hAnsi="Arial"/>
          <w:b/>
          <w:sz w:val="14"/>
          <w:szCs w:val="14"/>
          <w:lang w:val="en-AU"/>
        </w:rPr>
        <w:tab/>
      </w:r>
    </w:p>
    <w:p w14:paraId="56E7DF2D" w14:textId="2B9518F9" w:rsidR="00761824" w:rsidRPr="00594F2D" w:rsidRDefault="00022F6E" w:rsidP="00444A89">
      <w:pPr>
        <w:pStyle w:val="TableHeading"/>
        <w:numPr>
          <w:ilvl w:val="0"/>
          <w:numId w:val="64"/>
        </w:numPr>
        <w:spacing w:before="0" w:after="120"/>
        <w:ind w:left="0" w:firstLine="0"/>
        <w:outlineLvl w:val="5"/>
      </w:pPr>
      <w:r w:rsidRPr="00A65134">
        <w:rPr>
          <w:sz w:val="14"/>
          <w:szCs w:val="14"/>
          <w:lang w:val="en-AU"/>
        </w:rPr>
        <w:br w:type="page"/>
      </w:r>
      <w:r w:rsidR="00761824" w:rsidRPr="00594F2D">
        <w:lastRenderedPageBreak/>
        <w:t xml:space="preserve">Departmental Statement of Changes in Equity </w:t>
      </w:r>
      <w:r w:rsidR="00173112" w:rsidRPr="00594F2D">
        <w:t xml:space="preserve">— </w:t>
      </w:r>
      <w:r w:rsidR="00761824" w:rsidRPr="00594F2D">
        <w:t xml:space="preserve">Summary of Movement (Budget Year </w:t>
      </w:r>
      <w:r w:rsidR="00BD523A" w:rsidRPr="00594F2D">
        <w:t>202</w:t>
      </w:r>
      <w:r w:rsidR="00E04845">
        <w:t>5</w:t>
      </w:r>
      <w:r w:rsidR="00BD523A" w:rsidRPr="00594F2D">
        <w:t>-2</w:t>
      </w:r>
      <w:r w:rsidR="00E04845">
        <w:t>6</w:t>
      </w:r>
      <w:r w:rsidR="00761824" w:rsidRPr="00594F2D">
        <w:t>)</w:t>
      </w:r>
    </w:p>
    <w:p w14:paraId="18699771" w14:textId="77777777" w:rsidR="00F955F4" w:rsidRDefault="00594F2D" w:rsidP="00DD7B7C">
      <w:r w:rsidRPr="00480972">
        <w:rPr>
          <w:noProof/>
          <w:lang w:val="en-AU"/>
        </w:rPr>
        <w:drawing>
          <wp:inline distT="0" distB="0" distL="0" distR="0" wp14:anchorId="0FF82DF0" wp14:editId="3F06FBA5">
            <wp:extent cx="5472430" cy="23914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472430" cy="2391410"/>
                    </a:xfrm>
                    <a:prstGeom prst="rect">
                      <a:avLst/>
                    </a:prstGeom>
                    <a:noFill/>
                    <a:ln>
                      <a:noFill/>
                    </a:ln>
                  </pic:spPr>
                </pic:pic>
              </a:graphicData>
            </a:graphic>
          </wp:inline>
        </w:drawing>
      </w:r>
    </w:p>
    <w:p w14:paraId="25E39894" w14:textId="77777777" w:rsidR="00F955F4" w:rsidRPr="00594F2D" w:rsidRDefault="00F955F4" w:rsidP="00594F2D">
      <w:pPr>
        <w:spacing w:before="0" w:after="0"/>
        <w:rPr>
          <w:rFonts w:ascii="Arial" w:hAnsi="Arial"/>
          <w:b/>
          <w:sz w:val="14"/>
          <w:szCs w:val="14"/>
          <w:lang w:val="en-AU"/>
        </w:rPr>
      </w:pPr>
      <w:r w:rsidRPr="001442E3">
        <w:rPr>
          <w:rFonts w:ascii="Arial" w:hAnsi="Arial"/>
          <w:sz w:val="14"/>
          <w:szCs w:val="14"/>
          <w:lang w:val="en-AU"/>
        </w:rPr>
        <w:tab/>
      </w:r>
      <w:r w:rsidRPr="001442E3">
        <w:rPr>
          <w:rFonts w:ascii="Arial" w:hAnsi="Arial"/>
          <w:sz w:val="14"/>
          <w:szCs w:val="14"/>
          <w:lang w:val="en-AU"/>
        </w:rPr>
        <w:tab/>
      </w:r>
      <w:r w:rsidRPr="001442E3">
        <w:rPr>
          <w:rFonts w:ascii="Arial" w:hAnsi="Arial"/>
          <w:sz w:val="14"/>
          <w:szCs w:val="14"/>
          <w:lang w:val="en-AU"/>
        </w:rPr>
        <w:tab/>
      </w:r>
      <w:r w:rsidRPr="001442E3">
        <w:rPr>
          <w:rFonts w:ascii="Arial" w:hAnsi="Arial"/>
          <w:sz w:val="14"/>
          <w:szCs w:val="14"/>
          <w:lang w:val="en-AU"/>
        </w:rPr>
        <w:tab/>
      </w:r>
      <w:r w:rsidR="00594F2D">
        <w:rPr>
          <w:rFonts w:ascii="Arial" w:hAnsi="Arial"/>
          <w:b/>
          <w:sz w:val="14"/>
          <w:szCs w:val="14"/>
          <w:lang w:val="en-AU"/>
        </w:rPr>
        <w:tab/>
      </w:r>
      <w:r w:rsidR="00594F2D">
        <w:rPr>
          <w:rFonts w:ascii="Arial" w:hAnsi="Arial"/>
          <w:b/>
          <w:sz w:val="14"/>
          <w:szCs w:val="14"/>
          <w:lang w:val="en-AU"/>
        </w:rPr>
        <w:tab/>
      </w:r>
    </w:p>
    <w:p w14:paraId="27612708" w14:textId="57053904" w:rsidR="00761824" w:rsidRPr="00594F2D" w:rsidRDefault="00761824" w:rsidP="00444A89">
      <w:pPr>
        <w:pStyle w:val="TableHeading"/>
        <w:numPr>
          <w:ilvl w:val="0"/>
          <w:numId w:val="64"/>
        </w:numPr>
        <w:spacing w:before="0" w:after="120"/>
        <w:ind w:left="0" w:firstLine="0"/>
        <w:outlineLvl w:val="5"/>
      </w:pPr>
      <w:r w:rsidRPr="00B56FAA">
        <w:br w:type="page"/>
      </w:r>
      <w:r w:rsidR="00173112" w:rsidRPr="00594F2D">
        <w:lastRenderedPageBreak/>
        <w:t>Statement of Departmental Asset Movements (</w:t>
      </w:r>
      <w:r w:rsidR="00A07198" w:rsidRPr="00594F2D">
        <w:t xml:space="preserve">Budget year </w:t>
      </w:r>
      <w:r w:rsidR="001F701B">
        <w:t>2025-26</w:t>
      </w:r>
      <w:r w:rsidR="00173112" w:rsidRPr="00594F2D">
        <w:t>)</w:t>
      </w:r>
    </w:p>
    <w:p w14:paraId="55231966" w14:textId="77777777" w:rsidR="00DD7B7C" w:rsidRPr="00B56FAA" w:rsidRDefault="00594F2D" w:rsidP="00DD7B7C">
      <w:r w:rsidRPr="00C96B7A">
        <w:rPr>
          <w:noProof/>
          <w:lang w:val="en-AU"/>
        </w:rPr>
        <w:drawing>
          <wp:inline distT="0" distB="0" distL="0" distR="0" wp14:anchorId="09F0D045" wp14:editId="7672AD0C">
            <wp:extent cx="5465445" cy="2377440"/>
            <wp:effectExtent l="0" t="0" r="190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465445" cy="2377440"/>
                    </a:xfrm>
                    <a:prstGeom prst="rect">
                      <a:avLst/>
                    </a:prstGeom>
                    <a:noFill/>
                    <a:ln>
                      <a:noFill/>
                    </a:ln>
                  </pic:spPr>
                </pic:pic>
              </a:graphicData>
            </a:graphic>
          </wp:inline>
        </w:drawing>
      </w:r>
    </w:p>
    <w:p w14:paraId="3E924070" w14:textId="77777777" w:rsidR="00CC3CE5" w:rsidRPr="00B56FAA" w:rsidRDefault="002C5D2A" w:rsidP="00503E41">
      <w:pPr>
        <w:tabs>
          <w:tab w:val="left" w:pos="284"/>
          <w:tab w:val="left" w:pos="567"/>
        </w:tabs>
        <w:spacing w:before="0" w:after="0"/>
        <w:ind w:left="284" w:hanging="284"/>
      </w:pPr>
      <w:r w:rsidRPr="00B56FAA">
        <w:br w:type="page"/>
      </w:r>
    </w:p>
    <w:p w14:paraId="0BBECF20" w14:textId="77777777" w:rsidR="00D00778" w:rsidRPr="00594F2D" w:rsidRDefault="00543083" w:rsidP="00444A89">
      <w:pPr>
        <w:pStyle w:val="TableHeading"/>
        <w:numPr>
          <w:ilvl w:val="0"/>
          <w:numId w:val="64"/>
        </w:numPr>
        <w:spacing w:before="0" w:after="120"/>
        <w:ind w:left="0" w:firstLine="0"/>
        <w:outlineLvl w:val="5"/>
      </w:pPr>
      <w:r w:rsidRPr="00594F2D">
        <w:lastRenderedPageBreak/>
        <w:t>Departmental Capital Budget Statement (for the period ended 30 June)</w:t>
      </w:r>
    </w:p>
    <w:p w14:paraId="321CA836" w14:textId="77777777" w:rsidR="00543083" w:rsidRPr="00B56FAA" w:rsidRDefault="00594F2D" w:rsidP="00543083">
      <w:r w:rsidRPr="00480972">
        <w:rPr>
          <w:noProof/>
          <w:lang w:val="en-AU"/>
        </w:rPr>
        <w:drawing>
          <wp:inline distT="0" distB="0" distL="0" distR="0" wp14:anchorId="2865983A" wp14:editId="5C8DAE14">
            <wp:extent cx="5465445" cy="2792730"/>
            <wp:effectExtent l="0" t="0" r="190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465445" cy="2792730"/>
                    </a:xfrm>
                    <a:prstGeom prst="rect">
                      <a:avLst/>
                    </a:prstGeom>
                    <a:noFill/>
                    <a:ln>
                      <a:noFill/>
                    </a:ln>
                  </pic:spPr>
                </pic:pic>
              </a:graphicData>
            </a:graphic>
          </wp:inline>
        </w:drawing>
      </w:r>
    </w:p>
    <w:p w14:paraId="106DF231" w14:textId="77777777" w:rsidR="0004311C" w:rsidRPr="00B56FAA" w:rsidRDefault="00584881" w:rsidP="0004311C">
      <w:pPr>
        <w:pStyle w:val="Heading4level5"/>
        <w:spacing w:before="120" w:after="120"/>
      </w:pPr>
      <w:r w:rsidRPr="00B56FAA">
        <w:br w:type="page"/>
      </w:r>
      <w:r w:rsidR="0004311C" w:rsidRPr="00B56FAA">
        <w:lastRenderedPageBreak/>
        <w:t>3.2.2 Notes to the Budgeted Financial Statements</w:t>
      </w:r>
    </w:p>
    <w:p w14:paraId="64F0FBB8" w14:textId="77777777" w:rsidR="00D1731D" w:rsidRDefault="0004311C" w:rsidP="0004311C">
      <w:pPr>
        <w:spacing w:before="120" w:after="120"/>
      </w:pPr>
      <w:r w:rsidRPr="00B56FAA">
        <w:t xml:space="preserve">The budgeted financial statements have been prepared in accordance with the Australian Accounting Standards and the </w:t>
      </w:r>
      <w:r w:rsidRPr="00B56FAA">
        <w:rPr>
          <w:i/>
        </w:rPr>
        <w:t>Public Governance, Performance and Accountability (Financial Reporting) Rule 2015 (FRR)</w:t>
      </w:r>
      <w:r w:rsidRPr="00B56FAA">
        <w:t>.</w:t>
      </w:r>
    </w:p>
    <w:p w14:paraId="0BF5AB59" w14:textId="7107C4ED" w:rsidR="00D1731D" w:rsidRDefault="00D1731D" w:rsidP="00D1731D">
      <w:pPr>
        <w:spacing w:before="120" w:after="120"/>
      </w:pPr>
    </w:p>
    <w:p w14:paraId="6ABB1F37" w14:textId="77777777" w:rsidR="00D1731D" w:rsidRDefault="00D1731D" w:rsidP="00D1731D">
      <w:pPr>
        <w:spacing w:before="120" w:after="120"/>
      </w:pPr>
    </w:p>
    <w:p w14:paraId="27A96F6D" w14:textId="77777777" w:rsidR="00D1731D" w:rsidRDefault="00D1731D" w:rsidP="00D1731D">
      <w:pPr>
        <w:spacing w:before="120" w:after="120"/>
      </w:pPr>
    </w:p>
    <w:p w14:paraId="2A247866" w14:textId="77777777" w:rsidR="00D1731D" w:rsidRDefault="00D1731D" w:rsidP="00D1731D">
      <w:pPr>
        <w:spacing w:before="120" w:after="120"/>
      </w:pPr>
    </w:p>
    <w:p w14:paraId="542BA5B0" w14:textId="77777777" w:rsidR="00D1731D" w:rsidRDefault="00D1731D" w:rsidP="00D1731D">
      <w:pPr>
        <w:spacing w:before="120" w:after="120"/>
      </w:pPr>
    </w:p>
    <w:p w14:paraId="29803977" w14:textId="77777777" w:rsidR="00D1731D" w:rsidRDefault="00D1731D" w:rsidP="00D1731D">
      <w:pPr>
        <w:spacing w:before="120" w:after="120"/>
      </w:pPr>
    </w:p>
    <w:p w14:paraId="37294C9E" w14:textId="77777777" w:rsidR="00D1731D" w:rsidRDefault="00D1731D" w:rsidP="00D1731D">
      <w:pPr>
        <w:spacing w:before="120" w:after="120"/>
      </w:pPr>
    </w:p>
    <w:p w14:paraId="466D20B1" w14:textId="77777777" w:rsidR="00D1731D" w:rsidRDefault="00D1731D" w:rsidP="00D1731D">
      <w:pPr>
        <w:spacing w:before="120" w:after="120"/>
      </w:pPr>
    </w:p>
    <w:p w14:paraId="638BF13A" w14:textId="77777777" w:rsidR="00D1731D" w:rsidRDefault="00D1731D" w:rsidP="00D1731D">
      <w:pPr>
        <w:spacing w:before="120" w:after="120"/>
      </w:pPr>
    </w:p>
    <w:p w14:paraId="0AB2307D" w14:textId="77777777" w:rsidR="00D1731D" w:rsidRDefault="00D1731D" w:rsidP="00D1731D">
      <w:pPr>
        <w:spacing w:before="120" w:after="120"/>
      </w:pPr>
    </w:p>
    <w:p w14:paraId="70FAECE5" w14:textId="77777777" w:rsidR="00D1731D" w:rsidRDefault="00D1731D" w:rsidP="00D1731D">
      <w:pPr>
        <w:spacing w:before="120" w:after="120"/>
      </w:pPr>
    </w:p>
    <w:p w14:paraId="655F03F3" w14:textId="77777777" w:rsidR="00D1731D" w:rsidRDefault="00D1731D" w:rsidP="00D1731D">
      <w:pPr>
        <w:spacing w:before="120" w:after="120"/>
      </w:pPr>
    </w:p>
    <w:p w14:paraId="09277DBD" w14:textId="77777777" w:rsidR="00D1731D" w:rsidRDefault="00D1731D" w:rsidP="00D1731D">
      <w:pPr>
        <w:spacing w:before="120" w:after="120"/>
      </w:pPr>
    </w:p>
    <w:p w14:paraId="4B0F63D2" w14:textId="044655CC" w:rsidR="00D1731D" w:rsidRDefault="00D1731D" w:rsidP="00D1731D">
      <w:pPr>
        <w:spacing w:before="120" w:after="120"/>
        <w:jc w:val="center"/>
        <w:sectPr w:rsidR="00D1731D" w:rsidSect="00D1731D">
          <w:headerReference w:type="even" r:id="rId145"/>
          <w:headerReference w:type="default" r:id="rId146"/>
          <w:footerReference w:type="even" r:id="rId147"/>
          <w:footerReference w:type="default" r:id="rId148"/>
          <w:type w:val="oddPage"/>
          <w:pgSz w:w="11907" w:h="16840" w:code="9"/>
          <w:pgMar w:top="1701" w:right="1361" w:bottom="1701" w:left="1928" w:header="720" w:footer="720" w:gutter="0"/>
          <w:cols w:space="720"/>
          <w:noEndnote/>
        </w:sectPr>
      </w:pPr>
    </w:p>
    <w:p w14:paraId="287556EB" w14:textId="77777777" w:rsidR="00022F6E" w:rsidRPr="00B56FAA" w:rsidRDefault="00022F6E" w:rsidP="00022F6E">
      <w:pPr>
        <w:ind w:left="2" w:firstLine="1"/>
        <w:jc w:val="center"/>
        <w:rPr>
          <w:sz w:val="48"/>
          <w:szCs w:val="48"/>
          <w:lang w:val="en-AU"/>
        </w:rPr>
      </w:pPr>
    </w:p>
    <w:p w14:paraId="389430DD" w14:textId="77777777" w:rsidR="00761824" w:rsidRPr="00B56FAA" w:rsidRDefault="00761824" w:rsidP="00B556BA">
      <w:pPr>
        <w:pStyle w:val="Heading2"/>
        <w:spacing w:before="0" w:after="360"/>
        <w:jc w:val="center"/>
        <w:rPr>
          <w:b/>
          <w:smallCaps/>
          <w:sz w:val="52"/>
          <w:szCs w:val="52"/>
        </w:rPr>
      </w:pPr>
      <w:bookmarkStart w:id="1276" w:name="_Toc536089250"/>
      <w:bookmarkStart w:id="1277" w:name="_Toc536089510"/>
      <w:bookmarkStart w:id="1278" w:name="_Toc536089616"/>
      <w:bookmarkStart w:id="1279" w:name="_Toc1561703"/>
      <w:bookmarkStart w:id="1280" w:name="_Toc51691699"/>
      <w:bookmarkStart w:id="1281" w:name="_Toc69729069"/>
      <w:bookmarkStart w:id="1282" w:name="_Toc69917864"/>
      <w:bookmarkStart w:id="1283" w:name="_Toc97747853"/>
      <w:bookmarkStart w:id="1284" w:name="_Toc108088966"/>
      <w:bookmarkStart w:id="1285" w:name="_Toc108089045"/>
      <w:bookmarkStart w:id="1286" w:name="_Toc108089439"/>
      <w:bookmarkStart w:id="1287" w:name="_Toc109227300"/>
      <w:bookmarkStart w:id="1288" w:name="_Toc109227761"/>
      <w:bookmarkStart w:id="1289" w:name="_Toc158896255"/>
      <w:bookmarkStart w:id="1290" w:name="_Toc158896312"/>
      <w:bookmarkStart w:id="1291" w:name="_Toc159499721"/>
      <w:bookmarkStart w:id="1292" w:name="_Toc159857689"/>
      <w:bookmarkStart w:id="1293" w:name="_Toc159857769"/>
      <w:bookmarkStart w:id="1294" w:name="_Toc159858165"/>
      <w:bookmarkStart w:id="1295" w:name="_Toc159858831"/>
      <w:bookmarkStart w:id="1296" w:name="_Toc159858901"/>
      <w:bookmarkStart w:id="1297" w:name="_Toc159859140"/>
      <w:bookmarkStart w:id="1298" w:name="_Toc159859292"/>
      <w:bookmarkStart w:id="1299" w:name="_Toc159862307"/>
      <w:bookmarkStart w:id="1300" w:name="_Toc159862497"/>
      <w:r w:rsidRPr="00B56FAA">
        <w:rPr>
          <w:b/>
          <w:smallCaps/>
          <w:sz w:val="52"/>
          <w:szCs w:val="52"/>
        </w:rPr>
        <w:t>Defence Housing Australia</w:t>
      </w:r>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p>
    <w:p w14:paraId="282370AB" w14:textId="77777777" w:rsidR="00761824" w:rsidRPr="00B56FAA" w:rsidRDefault="00761824" w:rsidP="00761824">
      <w:pPr>
        <w:rPr>
          <w:lang w:val="en-AU"/>
        </w:rPr>
      </w:pPr>
    </w:p>
    <w:p w14:paraId="72A6168D" w14:textId="77777777" w:rsidR="00761824" w:rsidRPr="00B56FAA" w:rsidRDefault="00761824" w:rsidP="00761824">
      <w:pPr>
        <w:rPr>
          <w:lang w:val="en-AU"/>
        </w:rPr>
      </w:pPr>
    </w:p>
    <w:p w14:paraId="68BC1588" w14:textId="77777777" w:rsidR="00761824" w:rsidRPr="00B56FAA" w:rsidRDefault="00761824" w:rsidP="00761824">
      <w:pPr>
        <w:rPr>
          <w:lang w:val="en-AU"/>
        </w:rPr>
      </w:pPr>
    </w:p>
    <w:p w14:paraId="1292FB6B" w14:textId="77777777" w:rsidR="00761824" w:rsidRPr="00B56FAA" w:rsidRDefault="00761824" w:rsidP="00761824">
      <w:pPr>
        <w:rPr>
          <w:lang w:val="en-AU"/>
        </w:rPr>
      </w:pPr>
    </w:p>
    <w:p w14:paraId="2BC3F8C3" w14:textId="77777777" w:rsidR="00761824" w:rsidRPr="00B56FAA" w:rsidRDefault="00761824" w:rsidP="00761824">
      <w:pPr>
        <w:rPr>
          <w:lang w:val="en-AU"/>
        </w:rPr>
      </w:pPr>
    </w:p>
    <w:p w14:paraId="182B0FDB" w14:textId="77777777" w:rsidR="00761824" w:rsidRPr="00B56FAA" w:rsidRDefault="00761824" w:rsidP="00761824">
      <w:pPr>
        <w:pStyle w:val="DepartmentalSubtitle"/>
        <w:rPr>
          <w:lang w:val="en-AU"/>
        </w:rPr>
      </w:pPr>
      <w:r w:rsidRPr="00B56FAA">
        <w:rPr>
          <w:lang w:val="en-AU"/>
        </w:rPr>
        <w:t>Agency Resources and Planned Performance</w:t>
      </w:r>
    </w:p>
    <w:p w14:paraId="470C152E" w14:textId="77777777" w:rsidR="00E65A0A" w:rsidRPr="00B56FAA" w:rsidRDefault="00022F6E" w:rsidP="00EC093A">
      <w:pPr>
        <w:pStyle w:val="TOC1"/>
        <w:rPr>
          <w:sz w:val="22"/>
          <w:szCs w:val="22"/>
        </w:rPr>
      </w:pPr>
      <w:r w:rsidRPr="00B56FAA">
        <w:fldChar w:fldCharType="begin"/>
      </w:r>
      <w:r w:rsidRPr="00B56FAA">
        <w:instrText xml:space="preserve"> TOC \o "1-3" \h \z \u </w:instrText>
      </w:r>
      <w:r w:rsidRPr="00B56FAA">
        <w:fldChar w:fldCharType="separate"/>
      </w:r>
    </w:p>
    <w:p w14:paraId="359570A2" w14:textId="617B628F" w:rsidR="00E65A0A" w:rsidRPr="00B56FAA" w:rsidRDefault="00004E68" w:rsidP="00FE7100">
      <w:pPr>
        <w:pStyle w:val="TOC2"/>
        <w:rPr>
          <w:sz w:val="22"/>
          <w:szCs w:val="22"/>
          <w:lang w:val="en-AU"/>
        </w:rPr>
      </w:pPr>
      <w:hyperlink w:anchor="_Toc536089251" w:history="1">
        <w:r w:rsidR="00E65A0A" w:rsidRPr="00B56FAA">
          <w:rPr>
            <w:rStyle w:val="Hyperlink"/>
            <w:caps w:val="0"/>
          </w:rPr>
          <w:t>Section 1: DHA Overview and Resources</w:t>
        </w:r>
        <w:r w:rsidR="00E65A0A" w:rsidRPr="00B56FAA">
          <w:rPr>
            <w:webHidden/>
          </w:rPr>
          <w:tab/>
        </w:r>
        <w:r w:rsidR="00E65A0A" w:rsidRPr="00B56FAA">
          <w:rPr>
            <w:webHidden/>
          </w:rPr>
          <w:fldChar w:fldCharType="begin"/>
        </w:r>
        <w:r w:rsidR="00E65A0A" w:rsidRPr="00B56FAA">
          <w:rPr>
            <w:webHidden/>
          </w:rPr>
          <w:instrText xml:space="preserve"> PAGEREF _Toc536089251 \h </w:instrText>
        </w:r>
        <w:r w:rsidR="00E65A0A" w:rsidRPr="00B56FAA">
          <w:rPr>
            <w:webHidden/>
          </w:rPr>
        </w:r>
        <w:r w:rsidR="00E65A0A" w:rsidRPr="00B56FAA">
          <w:rPr>
            <w:webHidden/>
          </w:rPr>
          <w:fldChar w:fldCharType="separate"/>
        </w:r>
        <w:r w:rsidR="002533F1">
          <w:rPr>
            <w:webHidden/>
          </w:rPr>
          <w:t>208</w:t>
        </w:r>
        <w:r w:rsidR="00E65A0A" w:rsidRPr="00B56FAA">
          <w:rPr>
            <w:webHidden/>
          </w:rPr>
          <w:fldChar w:fldCharType="end"/>
        </w:r>
      </w:hyperlink>
    </w:p>
    <w:p w14:paraId="410ED869" w14:textId="78A14599" w:rsidR="00E65A0A" w:rsidRPr="00C70665" w:rsidRDefault="00004E68" w:rsidP="00A25490">
      <w:pPr>
        <w:pStyle w:val="TOC3"/>
        <w:rPr>
          <w:rStyle w:val="Hyperlink"/>
          <w:color w:val="auto"/>
          <w:u w:val="none"/>
        </w:rPr>
      </w:pPr>
      <w:hyperlink w:anchor="_Toc536089252" w:history="1">
        <w:r w:rsidR="00E65A0A" w:rsidRPr="00C70665">
          <w:rPr>
            <w:rStyle w:val="Hyperlink"/>
            <w:color w:val="auto"/>
            <w:u w:val="none"/>
          </w:rPr>
          <w:t>1.1 Strategic Direction Statement</w:t>
        </w:r>
        <w:r w:rsidR="00E65A0A" w:rsidRPr="00C70665">
          <w:rPr>
            <w:rStyle w:val="Hyperlink"/>
            <w:webHidden/>
            <w:color w:val="auto"/>
            <w:u w:val="none"/>
          </w:rPr>
          <w:tab/>
        </w:r>
        <w:r w:rsidR="00E65A0A" w:rsidRPr="00C70665">
          <w:rPr>
            <w:rStyle w:val="Hyperlink"/>
            <w:webHidden/>
            <w:color w:val="auto"/>
            <w:u w:val="none"/>
          </w:rPr>
          <w:fldChar w:fldCharType="begin"/>
        </w:r>
        <w:r w:rsidR="00E65A0A" w:rsidRPr="00C70665">
          <w:rPr>
            <w:rStyle w:val="Hyperlink"/>
            <w:webHidden/>
            <w:color w:val="auto"/>
            <w:u w:val="none"/>
          </w:rPr>
          <w:instrText xml:space="preserve"> PAGEREF _Toc536089252 \h </w:instrText>
        </w:r>
        <w:r w:rsidR="00E65A0A" w:rsidRPr="00C70665">
          <w:rPr>
            <w:rStyle w:val="Hyperlink"/>
            <w:webHidden/>
            <w:color w:val="auto"/>
            <w:u w:val="none"/>
          </w:rPr>
        </w:r>
        <w:r w:rsidR="00E65A0A" w:rsidRPr="00C70665">
          <w:rPr>
            <w:rStyle w:val="Hyperlink"/>
            <w:webHidden/>
            <w:color w:val="auto"/>
            <w:u w:val="none"/>
          </w:rPr>
          <w:fldChar w:fldCharType="separate"/>
        </w:r>
        <w:r w:rsidR="002533F1">
          <w:rPr>
            <w:rStyle w:val="Hyperlink"/>
            <w:webHidden/>
            <w:color w:val="auto"/>
            <w:u w:val="none"/>
          </w:rPr>
          <w:t>208</w:t>
        </w:r>
        <w:r w:rsidR="00E65A0A" w:rsidRPr="00C70665">
          <w:rPr>
            <w:rStyle w:val="Hyperlink"/>
            <w:webHidden/>
            <w:color w:val="auto"/>
            <w:u w:val="none"/>
          </w:rPr>
          <w:fldChar w:fldCharType="end"/>
        </w:r>
      </w:hyperlink>
    </w:p>
    <w:p w14:paraId="7190FAA6" w14:textId="2FFB6C44" w:rsidR="00E65A0A" w:rsidRPr="00C70665" w:rsidRDefault="00004E68" w:rsidP="00A25490">
      <w:pPr>
        <w:pStyle w:val="TOC3"/>
        <w:rPr>
          <w:rStyle w:val="Hyperlink"/>
          <w:color w:val="auto"/>
          <w:u w:val="none"/>
        </w:rPr>
      </w:pPr>
      <w:hyperlink w:anchor="_Toc536089253" w:history="1">
        <w:r w:rsidR="00E65A0A" w:rsidRPr="00C70665">
          <w:rPr>
            <w:rStyle w:val="Hyperlink"/>
            <w:color w:val="auto"/>
            <w:u w:val="none"/>
          </w:rPr>
          <w:t>1.2 DHA Resource Statement</w:t>
        </w:r>
        <w:r w:rsidR="00E65A0A" w:rsidRPr="00C70665">
          <w:rPr>
            <w:rStyle w:val="Hyperlink"/>
            <w:webHidden/>
            <w:color w:val="auto"/>
            <w:u w:val="none"/>
          </w:rPr>
          <w:tab/>
        </w:r>
        <w:r w:rsidR="00E65A0A" w:rsidRPr="00C70665">
          <w:rPr>
            <w:rStyle w:val="Hyperlink"/>
            <w:webHidden/>
            <w:color w:val="auto"/>
            <w:u w:val="none"/>
          </w:rPr>
          <w:fldChar w:fldCharType="begin"/>
        </w:r>
        <w:r w:rsidR="00E65A0A" w:rsidRPr="00C70665">
          <w:rPr>
            <w:rStyle w:val="Hyperlink"/>
            <w:webHidden/>
            <w:color w:val="auto"/>
            <w:u w:val="none"/>
          </w:rPr>
          <w:instrText xml:space="preserve"> PAGEREF _Toc536089253 \h </w:instrText>
        </w:r>
        <w:r w:rsidR="00E65A0A" w:rsidRPr="00C70665">
          <w:rPr>
            <w:rStyle w:val="Hyperlink"/>
            <w:webHidden/>
            <w:color w:val="auto"/>
            <w:u w:val="none"/>
          </w:rPr>
        </w:r>
        <w:r w:rsidR="00E65A0A" w:rsidRPr="00C70665">
          <w:rPr>
            <w:rStyle w:val="Hyperlink"/>
            <w:webHidden/>
            <w:color w:val="auto"/>
            <w:u w:val="none"/>
          </w:rPr>
          <w:fldChar w:fldCharType="separate"/>
        </w:r>
        <w:r w:rsidR="002533F1">
          <w:rPr>
            <w:rStyle w:val="Hyperlink"/>
            <w:webHidden/>
            <w:color w:val="auto"/>
            <w:u w:val="none"/>
          </w:rPr>
          <w:t>211</w:t>
        </w:r>
        <w:r w:rsidR="00E65A0A" w:rsidRPr="00C70665">
          <w:rPr>
            <w:rStyle w:val="Hyperlink"/>
            <w:webHidden/>
            <w:color w:val="auto"/>
            <w:u w:val="none"/>
          </w:rPr>
          <w:fldChar w:fldCharType="end"/>
        </w:r>
      </w:hyperlink>
    </w:p>
    <w:p w14:paraId="61ECAF95" w14:textId="20F2C6DE" w:rsidR="00E65A0A" w:rsidRPr="000E5950" w:rsidRDefault="00004E68" w:rsidP="00A25490">
      <w:pPr>
        <w:pStyle w:val="TOC3"/>
        <w:rPr>
          <w:rStyle w:val="Hyperlink"/>
          <w:color w:val="auto"/>
          <w:u w:val="none"/>
        </w:rPr>
      </w:pPr>
      <w:hyperlink w:anchor="_Toc536089254" w:history="1">
        <w:r w:rsidR="00E65A0A" w:rsidRPr="000E5950">
          <w:rPr>
            <w:rStyle w:val="Hyperlink"/>
            <w:color w:val="auto"/>
            <w:u w:val="none"/>
          </w:rPr>
          <w:t>1.3 Budget Measures</w:t>
        </w:r>
        <w:r w:rsidR="00E65A0A" w:rsidRPr="000E5950">
          <w:rPr>
            <w:rStyle w:val="Hyperlink"/>
            <w:webHidden/>
            <w:color w:val="auto"/>
            <w:u w:val="none"/>
          </w:rPr>
          <w:tab/>
        </w:r>
        <w:r w:rsidR="00E65A0A" w:rsidRPr="000E5950">
          <w:rPr>
            <w:rStyle w:val="Hyperlink"/>
            <w:webHidden/>
            <w:color w:val="auto"/>
            <w:u w:val="none"/>
          </w:rPr>
          <w:fldChar w:fldCharType="begin"/>
        </w:r>
        <w:r w:rsidR="00E65A0A" w:rsidRPr="000E5950">
          <w:rPr>
            <w:rStyle w:val="Hyperlink"/>
            <w:webHidden/>
            <w:color w:val="auto"/>
            <w:u w:val="none"/>
          </w:rPr>
          <w:instrText xml:space="preserve"> PAGEREF _Toc536089254 \h </w:instrText>
        </w:r>
        <w:r w:rsidR="00E65A0A" w:rsidRPr="000E5950">
          <w:rPr>
            <w:rStyle w:val="Hyperlink"/>
            <w:webHidden/>
            <w:color w:val="auto"/>
            <w:u w:val="none"/>
          </w:rPr>
        </w:r>
        <w:r w:rsidR="00E65A0A" w:rsidRPr="000E5950">
          <w:rPr>
            <w:rStyle w:val="Hyperlink"/>
            <w:webHidden/>
            <w:color w:val="auto"/>
            <w:u w:val="none"/>
          </w:rPr>
          <w:fldChar w:fldCharType="separate"/>
        </w:r>
        <w:r w:rsidR="002533F1">
          <w:rPr>
            <w:rStyle w:val="Hyperlink"/>
            <w:webHidden/>
            <w:color w:val="auto"/>
            <w:u w:val="none"/>
          </w:rPr>
          <w:t>21</w:t>
        </w:r>
        <w:r w:rsidR="00E65A0A" w:rsidRPr="000E5950">
          <w:rPr>
            <w:rStyle w:val="Hyperlink"/>
            <w:webHidden/>
            <w:color w:val="auto"/>
            <w:u w:val="none"/>
          </w:rPr>
          <w:fldChar w:fldCharType="end"/>
        </w:r>
      </w:hyperlink>
      <w:r w:rsidR="002533F1">
        <w:rPr>
          <w:rStyle w:val="Hyperlink"/>
          <w:color w:val="auto"/>
          <w:u w:val="none"/>
        </w:rPr>
        <w:t>2</w:t>
      </w:r>
    </w:p>
    <w:p w14:paraId="5018DBF1" w14:textId="3F215E16" w:rsidR="00E65A0A" w:rsidRPr="00B56FAA" w:rsidRDefault="00004E68" w:rsidP="00FE7100">
      <w:pPr>
        <w:pStyle w:val="TOC2"/>
        <w:rPr>
          <w:sz w:val="22"/>
          <w:szCs w:val="22"/>
          <w:lang w:val="en-AU"/>
        </w:rPr>
      </w:pPr>
      <w:hyperlink w:anchor="_Toc536089255" w:history="1">
        <w:r w:rsidR="00E65A0A" w:rsidRPr="00B56FAA">
          <w:rPr>
            <w:rStyle w:val="Hyperlink"/>
            <w:caps w:val="0"/>
          </w:rPr>
          <w:t>Section 2: DHA Outcomes and Planned Performance</w:t>
        </w:r>
        <w:r w:rsidR="00E65A0A" w:rsidRPr="00B56FAA">
          <w:rPr>
            <w:webHidden/>
          </w:rPr>
          <w:tab/>
        </w:r>
        <w:r w:rsidR="00E65A0A" w:rsidRPr="00B56FAA">
          <w:rPr>
            <w:webHidden/>
          </w:rPr>
          <w:fldChar w:fldCharType="begin"/>
        </w:r>
        <w:r w:rsidR="00E65A0A" w:rsidRPr="00B56FAA">
          <w:rPr>
            <w:webHidden/>
          </w:rPr>
          <w:instrText xml:space="preserve"> PAGEREF _Toc536089255 \h </w:instrText>
        </w:r>
        <w:r w:rsidR="00E65A0A" w:rsidRPr="00B56FAA">
          <w:rPr>
            <w:webHidden/>
          </w:rPr>
        </w:r>
        <w:r w:rsidR="00E65A0A" w:rsidRPr="00B56FAA">
          <w:rPr>
            <w:webHidden/>
          </w:rPr>
          <w:fldChar w:fldCharType="separate"/>
        </w:r>
        <w:r w:rsidR="002533F1">
          <w:rPr>
            <w:webHidden/>
          </w:rPr>
          <w:t>213</w:t>
        </w:r>
        <w:r w:rsidR="00E65A0A" w:rsidRPr="00B56FAA">
          <w:rPr>
            <w:webHidden/>
          </w:rPr>
          <w:fldChar w:fldCharType="end"/>
        </w:r>
      </w:hyperlink>
    </w:p>
    <w:p w14:paraId="64BA8D35" w14:textId="0288BA12" w:rsidR="00E65A0A" w:rsidRPr="000E5950" w:rsidRDefault="00004E68" w:rsidP="00A25490">
      <w:pPr>
        <w:pStyle w:val="TOC3"/>
        <w:rPr>
          <w:rStyle w:val="Hyperlink"/>
          <w:color w:val="auto"/>
          <w:u w:val="none"/>
        </w:rPr>
      </w:pPr>
      <w:hyperlink w:anchor="_Toc536089256" w:history="1">
        <w:r w:rsidR="00E65A0A" w:rsidRPr="000E5950">
          <w:rPr>
            <w:rStyle w:val="Hyperlink"/>
            <w:color w:val="auto"/>
            <w:u w:val="none"/>
          </w:rPr>
          <w:t xml:space="preserve">2.1 </w:t>
        </w:r>
        <w:r w:rsidR="00D455C0" w:rsidRPr="000E5950">
          <w:rPr>
            <w:rStyle w:val="Hyperlink"/>
            <w:color w:val="auto"/>
            <w:u w:val="none"/>
          </w:rPr>
          <w:t>Budgeted Expenses</w:t>
        </w:r>
        <w:r w:rsidR="00E65A0A" w:rsidRPr="000E5950">
          <w:rPr>
            <w:rStyle w:val="Hyperlink"/>
            <w:color w:val="auto"/>
            <w:u w:val="none"/>
          </w:rPr>
          <w:t xml:space="preserve"> and Performance </w:t>
        </w:r>
        <w:r w:rsidR="00D7766D" w:rsidRPr="000E5950">
          <w:rPr>
            <w:rStyle w:val="Hyperlink"/>
            <w:color w:val="auto"/>
            <w:u w:val="none"/>
          </w:rPr>
          <w:t>for Outcome 1</w:t>
        </w:r>
        <w:r w:rsidR="00E65A0A" w:rsidRPr="000E5950">
          <w:rPr>
            <w:rStyle w:val="Hyperlink"/>
            <w:webHidden/>
            <w:color w:val="auto"/>
            <w:u w:val="none"/>
          </w:rPr>
          <w:tab/>
        </w:r>
        <w:r w:rsidR="00E65A0A" w:rsidRPr="000E5950">
          <w:rPr>
            <w:rStyle w:val="Hyperlink"/>
            <w:webHidden/>
            <w:color w:val="auto"/>
            <w:u w:val="none"/>
          </w:rPr>
          <w:fldChar w:fldCharType="begin"/>
        </w:r>
        <w:r w:rsidR="00E65A0A" w:rsidRPr="000E5950">
          <w:rPr>
            <w:rStyle w:val="Hyperlink"/>
            <w:webHidden/>
            <w:color w:val="auto"/>
            <w:u w:val="none"/>
          </w:rPr>
          <w:instrText xml:space="preserve"> PAGEREF _Toc536089256 \h </w:instrText>
        </w:r>
        <w:r w:rsidR="00E65A0A" w:rsidRPr="000E5950">
          <w:rPr>
            <w:rStyle w:val="Hyperlink"/>
            <w:webHidden/>
            <w:color w:val="auto"/>
            <w:u w:val="none"/>
          </w:rPr>
        </w:r>
        <w:r w:rsidR="00E65A0A" w:rsidRPr="000E5950">
          <w:rPr>
            <w:rStyle w:val="Hyperlink"/>
            <w:webHidden/>
            <w:color w:val="auto"/>
            <w:u w:val="none"/>
          </w:rPr>
          <w:fldChar w:fldCharType="separate"/>
        </w:r>
        <w:r w:rsidR="002533F1">
          <w:rPr>
            <w:rStyle w:val="Hyperlink"/>
            <w:webHidden/>
            <w:color w:val="auto"/>
            <w:u w:val="none"/>
          </w:rPr>
          <w:t>214</w:t>
        </w:r>
        <w:r w:rsidR="00E65A0A" w:rsidRPr="000E5950">
          <w:rPr>
            <w:rStyle w:val="Hyperlink"/>
            <w:webHidden/>
            <w:color w:val="auto"/>
            <w:u w:val="none"/>
          </w:rPr>
          <w:fldChar w:fldCharType="end"/>
        </w:r>
      </w:hyperlink>
    </w:p>
    <w:p w14:paraId="63C8103B" w14:textId="77D29EAE" w:rsidR="00E65A0A" w:rsidRPr="00B56FAA" w:rsidRDefault="00004E68" w:rsidP="00FE7100">
      <w:pPr>
        <w:pStyle w:val="TOC2"/>
        <w:rPr>
          <w:sz w:val="22"/>
          <w:szCs w:val="22"/>
          <w:lang w:val="en-AU"/>
        </w:rPr>
      </w:pPr>
      <w:hyperlink w:anchor="_Toc536089257" w:history="1">
        <w:r w:rsidR="00E65A0A" w:rsidRPr="00B56FAA">
          <w:rPr>
            <w:rStyle w:val="Hyperlink"/>
            <w:caps w:val="0"/>
          </w:rPr>
          <w:t>Section 3: DHA Explanatory Tables and Budgeted Financial Statements</w:t>
        </w:r>
        <w:r w:rsidR="00E65A0A" w:rsidRPr="00B56FAA">
          <w:rPr>
            <w:webHidden/>
          </w:rPr>
          <w:tab/>
        </w:r>
        <w:r w:rsidR="00E65A0A" w:rsidRPr="00B56FAA">
          <w:rPr>
            <w:webHidden/>
          </w:rPr>
          <w:fldChar w:fldCharType="begin"/>
        </w:r>
        <w:r w:rsidR="00E65A0A" w:rsidRPr="00B56FAA">
          <w:rPr>
            <w:webHidden/>
          </w:rPr>
          <w:instrText xml:space="preserve"> PAGEREF _Toc536089257 \h </w:instrText>
        </w:r>
        <w:r w:rsidR="00E65A0A" w:rsidRPr="00B56FAA">
          <w:rPr>
            <w:webHidden/>
          </w:rPr>
        </w:r>
        <w:r w:rsidR="00E65A0A" w:rsidRPr="00B56FAA">
          <w:rPr>
            <w:webHidden/>
          </w:rPr>
          <w:fldChar w:fldCharType="separate"/>
        </w:r>
        <w:r w:rsidR="002533F1">
          <w:rPr>
            <w:webHidden/>
          </w:rPr>
          <w:t>216</w:t>
        </w:r>
        <w:r w:rsidR="00E65A0A" w:rsidRPr="00B56FAA">
          <w:rPr>
            <w:webHidden/>
          </w:rPr>
          <w:fldChar w:fldCharType="end"/>
        </w:r>
      </w:hyperlink>
    </w:p>
    <w:p w14:paraId="0D238971" w14:textId="15994D6B" w:rsidR="00E65A0A" w:rsidRPr="000E5950" w:rsidRDefault="00004E68" w:rsidP="00A25490">
      <w:pPr>
        <w:pStyle w:val="TOC3"/>
        <w:rPr>
          <w:rStyle w:val="Hyperlink"/>
          <w:color w:val="auto"/>
          <w:u w:val="none"/>
        </w:rPr>
      </w:pPr>
      <w:hyperlink w:anchor="_Toc536089258" w:history="1">
        <w:r w:rsidR="00E65A0A" w:rsidRPr="000E5950">
          <w:rPr>
            <w:rStyle w:val="Hyperlink"/>
            <w:color w:val="auto"/>
            <w:u w:val="none"/>
          </w:rPr>
          <w:t>3.1 Explanatory Tables</w:t>
        </w:r>
        <w:r w:rsidR="00E65A0A" w:rsidRPr="000E5950">
          <w:rPr>
            <w:rStyle w:val="Hyperlink"/>
            <w:webHidden/>
            <w:color w:val="auto"/>
            <w:u w:val="none"/>
          </w:rPr>
          <w:tab/>
        </w:r>
        <w:r w:rsidR="00E65A0A" w:rsidRPr="000E5950">
          <w:rPr>
            <w:rStyle w:val="Hyperlink"/>
            <w:webHidden/>
            <w:color w:val="auto"/>
            <w:u w:val="none"/>
          </w:rPr>
          <w:fldChar w:fldCharType="begin"/>
        </w:r>
        <w:r w:rsidR="00E65A0A" w:rsidRPr="000E5950">
          <w:rPr>
            <w:rStyle w:val="Hyperlink"/>
            <w:webHidden/>
            <w:color w:val="auto"/>
            <w:u w:val="none"/>
          </w:rPr>
          <w:instrText xml:space="preserve"> PAGEREF _Toc536089258 \h </w:instrText>
        </w:r>
        <w:r w:rsidR="00E65A0A" w:rsidRPr="000E5950">
          <w:rPr>
            <w:rStyle w:val="Hyperlink"/>
            <w:webHidden/>
            <w:color w:val="auto"/>
            <w:u w:val="none"/>
          </w:rPr>
        </w:r>
        <w:r w:rsidR="00E65A0A" w:rsidRPr="000E5950">
          <w:rPr>
            <w:rStyle w:val="Hyperlink"/>
            <w:webHidden/>
            <w:color w:val="auto"/>
            <w:u w:val="none"/>
          </w:rPr>
          <w:fldChar w:fldCharType="separate"/>
        </w:r>
        <w:r w:rsidR="002533F1">
          <w:rPr>
            <w:rStyle w:val="Hyperlink"/>
            <w:webHidden/>
            <w:color w:val="auto"/>
            <w:u w:val="none"/>
          </w:rPr>
          <w:t>216</w:t>
        </w:r>
        <w:r w:rsidR="00E65A0A" w:rsidRPr="000E5950">
          <w:rPr>
            <w:rStyle w:val="Hyperlink"/>
            <w:webHidden/>
            <w:color w:val="auto"/>
            <w:u w:val="none"/>
          </w:rPr>
          <w:fldChar w:fldCharType="end"/>
        </w:r>
      </w:hyperlink>
    </w:p>
    <w:p w14:paraId="275C7E02" w14:textId="50F173E8" w:rsidR="00E65A0A" w:rsidRPr="000E5950" w:rsidRDefault="00004E68" w:rsidP="00A25490">
      <w:pPr>
        <w:pStyle w:val="TOC3"/>
        <w:rPr>
          <w:rStyle w:val="Hyperlink"/>
          <w:color w:val="auto"/>
          <w:u w:val="none"/>
        </w:rPr>
      </w:pPr>
      <w:hyperlink w:anchor="_Toc536089259" w:history="1">
        <w:r w:rsidR="00E65A0A" w:rsidRPr="000E5950">
          <w:rPr>
            <w:rStyle w:val="Hyperlink"/>
            <w:color w:val="auto"/>
            <w:u w:val="none"/>
          </w:rPr>
          <w:t>3.2 Budgeted Financial Statements</w:t>
        </w:r>
        <w:r w:rsidR="00E65A0A" w:rsidRPr="000E5950">
          <w:rPr>
            <w:rStyle w:val="Hyperlink"/>
            <w:webHidden/>
            <w:color w:val="auto"/>
            <w:u w:val="none"/>
          </w:rPr>
          <w:tab/>
        </w:r>
        <w:r w:rsidR="00E65A0A" w:rsidRPr="000E5950">
          <w:rPr>
            <w:rStyle w:val="Hyperlink"/>
            <w:webHidden/>
            <w:color w:val="auto"/>
            <w:u w:val="none"/>
          </w:rPr>
          <w:fldChar w:fldCharType="begin"/>
        </w:r>
        <w:r w:rsidR="00E65A0A" w:rsidRPr="000E5950">
          <w:rPr>
            <w:rStyle w:val="Hyperlink"/>
            <w:webHidden/>
            <w:color w:val="auto"/>
            <w:u w:val="none"/>
          </w:rPr>
          <w:instrText xml:space="preserve"> PAGEREF _Toc536089259 \h </w:instrText>
        </w:r>
        <w:r w:rsidR="00E65A0A" w:rsidRPr="000E5950">
          <w:rPr>
            <w:rStyle w:val="Hyperlink"/>
            <w:webHidden/>
            <w:color w:val="auto"/>
            <w:u w:val="none"/>
          </w:rPr>
        </w:r>
        <w:r w:rsidR="00E65A0A" w:rsidRPr="000E5950">
          <w:rPr>
            <w:rStyle w:val="Hyperlink"/>
            <w:webHidden/>
            <w:color w:val="auto"/>
            <w:u w:val="none"/>
          </w:rPr>
          <w:fldChar w:fldCharType="separate"/>
        </w:r>
        <w:r w:rsidR="002533F1">
          <w:rPr>
            <w:rStyle w:val="Hyperlink"/>
            <w:webHidden/>
            <w:color w:val="auto"/>
            <w:u w:val="none"/>
          </w:rPr>
          <w:t>217</w:t>
        </w:r>
        <w:r w:rsidR="00E65A0A" w:rsidRPr="000E5950">
          <w:rPr>
            <w:rStyle w:val="Hyperlink"/>
            <w:webHidden/>
            <w:color w:val="auto"/>
            <w:u w:val="none"/>
          </w:rPr>
          <w:fldChar w:fldCharType="end"/>
        </w:r>
      </w:hyperlink>
    </w:p>
    <w:p w14:paraId="225AD0EB" w14:textId="77777777" w:rsidR="00022F6E" w:rsidRPr="00B56FAA" w:rsidRDefault="00022F6E" w:rsidP="00022F6E">
      <w:r w:rsidRPr="00B56FAA">
        <w:rPr>
          <w:rFonts w:ascii="Arial" w:hAnsi="Arial"/>
          <w:b/>
          <w:bCs/>
          <w:noProof/>
        </w:rPr>
        <w:fldChar w:fldCharType="end"/>
      </w:r>
    </w:p>
    <w:p w14:paraId="110D9812" w14:textId="77777777" w:rsidR="00605423" w:rsidRPr="00B56FAA" w:rsidRDefault="00761824" w:rsidP="00605423">
      <w:pPr>
        <w:spacing w:before="0" w:after="0"/>
        <w:rPr>
          <w:rStyle w:val="Heading1Char"/>
          <w:b w:val="0"/>
          <w:sz w:val="12"/>
          <w:szCs w:val="12"/>
        </w:rPr>
      </w:pPr>
      <w:r w:rsidRPr="00B56FAA">
        <w:br w:type="page"/>
      </w:r>
      <w:bookmarkStart w:id="1301" w:name="_Toc512360985"/>
      <w:bookmarkStart w:id="1302" w:name="_Toc512511759"/>
      <w:bookmarkStart w:id="1303" w:name="_Toc512518367"/>
      <w:bookmarkStart w:id="1304" w:name="_Toc512519020"/>
      <w:bookmarkStart w:id="1305" w:name="_Toc512946482"/>
      <w:bookmarkStart w:id="1306" w:name="_Toc512946556"/>
      <w:bookmarkStart w:id="1307" w:name="_Toc536091854"/>
      <w:bookmarkStart w:id="1308" w:name="_Toc536092176"/>
      <w:bookmarkStart w:id="1309" w:name="_Toc536200571"/>
      <w:bookmarkStart w:id="1310" w:name="_Toc1561656"/>
      <w:bookmarkStart w:id="1311" w:name="_Toc1561704"/>
      <w:bookmarkStart w:id="1312" w:name="_Toc2018178"/>
      <w:bookmarkStart w:id="1313" w:name="_Toc51691383"/>
      <w:bookmarkStart w:id="1314" w:name="_Toc51691700"/>
      <w:bookmarkStart w:id="1315" w:name="_Toc65150766"/>
      <w:bookmarkStart w:id="1316" w:name="_Toc69729070"/>
      <w:bookmarkStart w:id="1317" w:name="_Toc69913646"/>
      <w:bookmarkStart w:id="1318" w:name="_Toc69917865"/>
      <w:bookmarkStart w:id="1319" w:name="_Toc97747854"/>
      <w:bookmarkStart w:id="1320" w:name="_Toc97809687"/>
      <w:bookmarkStart w:id="1321" w:name="_Toc108088967"/>
      <w:bookmarkStart w:id="1322" w:name="_Toc108089046"/>
      <w:bookmarkStart w:id="1323" w:name="_Toc108089440"/>
      <w:bookmarkStart w:id="1324" w:name="_Toc108089720"/>
      <w:bookmarkStart w:id="1325" w:name="_Toc109227301"/>
      <w:bookmarkStart w:id="1326" w:name="_Toc109227762"/>
      <w:bookmarkStart w:id="1327" w:name="_Toc536089251"/>
      <w:bookmarkStart w:id="1328" w:name="_Toc536089511"/>
      <w:bookmarkStart w:id="1329" w:name="_Toc536089617"/>
    </w:p>
    <w:p w14:paraId="518FB611" w14:textId="77777777" w:rsidR="00E732C9" w:rsidRPr="0058223C" w:rsidRDefault="00E732C9" w:rsidP="000E6700">
      <w:pPr>
        <w:pStyle w:val="heading1level2"/>
        <w:spacing w:before="120" w:after="120"/>
        <w:jc w:val="left"/>
        <w:outlineLvl w:val="9"/>
        <w:rPr>
          <w:rFonts w:ascii="Arial" w:hAnsi="Arial"/>
          <w:sz w:val="36"/>
          <w:szCs w:val="36"/>
          <w:lang w:val="en-AU"/>
        </w:rPr>
      </w:pPr>
      <w:bookmarkStart w:id="1330" w:name="_Toc158896256"/>
      <w:bookmarkStart w:id="1331" w:name="_Toc158896313"/>
      <w:bookmarkStart w:id="1332" w:name="_Toc159499722"/>
      <w:bookmarkStart w:id="1333" w:name="_Toc159857690"/>
      <w:bookmarkStart w:id="1334" w:name="_Toc159857770"/>
      <w:bookmarkStart w:id="1335" w:name="_Toc159858166"/>
      <w:bookmarkStart w:id="1336" w:name="_Toc159858832"/>
      <w:bookmarkStart w:id="1337" w:name="_Toc159858902"/>
      <w:bookmarkStart w:id="1338" w:name="_Toc159859141"/>
      <w:bookmarkStart w:id="1339" w:name="_Toc159859293"/>
      <w:bookmarkStart w:id="1340" w:name="_Toc159862308"/>
      <w:bookmarkStart w:id="1341" w:name="_Toc159862498"/>
      <w:r w:rsidRPr="0058223C">
        <w:rPr>
          <w:rFonts w:cs="Times New Roman"/>
          <w:kern w:val="0"/>
          <w:sz w:val="36"/>
          <w:szCs w:val="36"/>
        </w:rPr>
        <w:lastRenderedPageBreak/>
        <w:t>D</w:t>
      </w:r>
      <w:r w:rsidR="007A7FE9">
        <w:rPr>
          <w:rFonts w:cs="Times New Roman"/>
          <w:kern w:val="0"/>
          <w:sz w:val="36"/>
          <w:szCs w:val="36"/>
        </w:rPr>
        <w:t>efence Housing A</w:t>
      </w:r>
      <w:r w:rsidR="007A7FE9" w:rsidRPr="0058223C">
        <w:rPr>
          <w:rFonts w:cs="Times New Roman"/>
          <w:kern w:val="0"/>
          <w:sz w:val="36"/>
          <w:szCs w:val="36"/>
        </w:rPr>
        <w:t>ustralia</w:t>
      </w:r>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30"/>
      <w:bookmarkEnd w:id="1331"/>
      <w:bookmarkEnd w:id="1332"/>
      <w:bookmarkEnd w:id="1333"/>
      <w:bookmarkEnd w:id="1334"/>
      <w:bookmarkEnd w:id="1335"/>
      <w:bookmarkEnd w:id="1336"/>
      <w:bookmarkEnd w:id="1337"/>
      <w:bookmarkEnd w:id="1338"/>
      <w:bookmarkEnd w:id="1339"/>
      <w:bookmarkEnd w:id="1340"/>
      <w:bookmarkEnd w:id="1341"/>
    </w:p>
    <w:p w14:paraId="1148879D" w14:textId="77777777" w:rsidR="00761824" w:rsidRPr="00B56FAA" w:rsidRDefault="00761824" w:rsidP="000E6700">
      <w:pPr>
        <w:pStyle w:val="Heading2level3"/>
        <w:spacing w:before="120" w:after="120"/>
        <w:rPr>
          <w:bCs w:val="0"/>
          <w:iCs w:val="0"/>
          <w:szCs w:val="30"/>
        </w:rPr>
      </w:pPr>
      <w:bookmarkStart w:id="1342" w:name="_Toc1561705"/>
      <w:bookmarkStart w:id="1343" w:name="_Toc51691701"/>
      <w:bookmarkStart w:id="1344" w:name="_Toc69729071"/>
      <w:bookmarkStart w:id="1345" w:name="_Toc69917866"/>
      <w:bookmarkStart w:id="1346" w:name="_Toc97747855"/>
      <w:bookmarkStart w:id="1347" w:name="_Toc108088968"/>
      <w:bookmarkStart w:id="1348" w:name="_Toc108089047"/>
      <w:bookmarkStart w:id="1349" w:name="_Toc108089441"/>
      <w:bookmarkStart w:id="1350" w:name="_Toc109227302"/>
      <w:bookmarkStart w:id="1351" w:name="_Toc109227763"/>
      <w:bookmarkStart w:id="1352" w:name="_Toc158896257"/>
      <w:bookmarkStart w:id="1353" w:name="_Toc158896314"/>
      <w:bookmarkStart w:id="1354" w:name="_Toc159499723"/>
      <w:bookmarkStart w:id="1355" w:name="_Toc159857691"/>
      <w:bookmarkStart w:id="1356" w:name="_Toc159857771"/>
      <w:bookmarkStart w:id="1357" w:name="_Toc159858167"/>
      <w:bookmarkStart w:id="1358" w:name="_Toc159858833"/>
      <w:bookmarkStart w:id="1359" w:name="_Toc159858903"/>
      <w:bookmarkStart w:id="1360" w:name="_Toc159859142"/>
      <w:bookmarkStart w:id="1361" w:name="_Toc159859294"/>
      <w:bookmarkStart w:id="1362" w:name="_Toc159862309"/>
      <w:bookmarkStart w:id="1363" w:name="_Toc159862499"/>
      <w:r w:rsidRPr="00B56FAA">
        <w:rPr>
          <w:szCs w:val="30"/>
        </w:rPr>
        <w:t>Section 1: DHA Overview and Resources</w:t>
      </w:r>
      <w:bookmarkEnd w:id="1327"/>
      <w:bookmarkEnd w:id="1328"/>
      <w:bookmarkEnd w:id="1329"/>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p>
    <w:p w14:paraId="268758EB" w14:textId="77777777" w:rsidR="00761824" w:rsidRPr="00B56FAA" w:rsidRDefault="00761824" w:rsidP="000E6700">
      <w:pPr>
        <w:pStyle w:val="Heading4"/>
        <w:spacing w:before="120" w:after="120"/>
        <w:rPr>
          <w:rFonts w:ascii="Arial Bold" w:hAnsi="Arial Bold"/>
          <w:sz w:val="24"/>
          <w:szCs w:val="24"/>
        </w:rPr>
      </w:pPr>
      <w:bookmarkStart w:id="1364" w:name="_Toc507595443"/>
      <w:bookmarkStart w:id="1365" w:name="_Toc536089252"/>
      <w:bookmarkStart w:id="1366" w:name="_Toc536089512"/>
      <w:bookmarkStart w:id="1367" w:name="_Toc536089618"/>
      <w:bookmarkStart w:id="1368" w:name="_Toc1561706"/>
      <w:bookmarkStart w:id="1369" w:name="_Toc51691702"/>
      <w:bookmarkStart w:id="1370" w:name="_Toc69729072"/>
      <w:bookmarkStart w:id="1371" w:name="_Toc69917867"/>
      <w:bookmarkStart w:id="1372" w:name="_Toc97747856"/>
      <w:bookmarkStart w:id="1373" w:name="_Toc108088969"/>
      <w:bookmarkStart w:id="1374" w:name="_Toc108089048"/>
      <w:bookmarkStart w:id="1375" w:name="_Toc108089442"/>
      <w:bookmarkStart w:id="1376" w:name="_Toc109227764"/>
      <w:bookmarkStart w:id="1377" w:name="_Toc159499724"/>
      <w:bookmarkStart w:id="1378" w:name="_Toc159859143"/>
      <w:bookmarkStart w:id="1379" w:name="_Toc159859295"/>
      <w:r w:rsidRPr="00B56FAA">
        <w:rPr>
          <w:rFonts w:ascii="Arial Bold" w:hAnsi="Arial Bold"/>
          <w:sz w:val="24"/>
          <w:szCs w:val="24"/>
        </w:rPr>
        <w:t>1.1 Strategic Direction Statement</w:t>
      </w:r>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p>
    <w:p w14:paraId="316B02C4" w14:textId="77777777" w:rsidR="00EF0623" w:rsidRPr="00F27DFF" w:rsidRDefault="00EF0623" w:rsidP="00EF0623">
      <w:pPr>
        <w:spacing w:before="120" w:after="120"/>
        <w:rPr>
          <w:rFonts w:cs="Times New Roman"/>
          <w:szCs w:val="20"/>
          <w:lang w:val="en-AU"/>
        </w:rPr>
      </w:pPr>
      <w:r w:rsidRPr="00007CDD">
        <w:rPr>
          <w:rFonts w:cs="Times New Roman"/>
          <w:szCs w:val="20"/>
          <w:lang w:val="en-AU"/>
        </w:rPr>
        <w:t>Defence Housing Australia</w:t>
      </w:r>
      <w:r>
        <w:rPr>
          <w:rFonts w:cs="Times New Roman"/>
          <w:szCs w:val="20"/>
          <w:lang w:val="en-AU"/>
        </w:rPr>
        <w:t>’s</w:t>
      </w:r>
      <w:r w:rsidRPr="00007CDD">
        <w:rPr>
          <w:rFonts w:cs="Times New Roman"/>
          <w:szCs w:val="20"/>
          <w:lang w:val="en-AU"/>
        </w:rPr>
        <w:t xml:space="preserve"> (DHA) </w:t>
      </w:r>
      <w:r>
        <w:rPr>
          <w:rFonts w:cs="Times New Roman"/>
          <w:szCs w:val="20"/>
          <w:lang w:val="en-AU"/>
        </w:rPr>
        <w:t>purpose is</w:t>
      </w:r>
      <w:r w:rsidRPr="00007CDD">
        <w:rPr>
          <w:rFonts w:cs="Times New Roman"/>
          <w:szCs w:val="20"/>
          <w:lang w:val="en-AU"/>
        </w:rPr>
        <w:t xml:space="preserve"> </w:t>
      </w:r>
      <w:r>
        <w:rPr>
          <w:rFonts w:cs="Times New Roman"/>
          <w:szCs w:val="20"/>
          <w:lang w:val="en-AU"/>
        </w:rPr>
        <w:t>meeting</w:t>
      </w:r>
      <w:r w:rsidRPr="00007CDD">
        <w:rPr>
          <w:rFonts w:cs="Times New Roman"/>
          <w:szCs w:val="20"/>
          <w:lang w:val="en-AU"/>
        </w:rPr>
        <w:t xml:space="preserve"> the operational needs of the </w:t>
      </w:r>
      <w:r>
        <w:rPr>
          <w:rFonts w:cs="Times New Roman"/>
          <w:szCs w:val="20"/>
          <w:lang w:val="en-AU"/>
        </w:rPr>
        <w:t xml:space="preserve">Australian </w:t>
      </w:r>
      <w:r w:rsidRPr="00007CDD">
        <w:rPr>
          <w:rFonts w:cs="Times New Roman"/>
          <w:szCs w:val="20"/>
          <w:lang w:val="en-AU"/>
        </w:rPr>
        <w:t xml:space="preserve">Defence Force </w:t>
      </w:r>
      <w:r>
        <w:rPr>
          <w:rFonts w:cs="Times New Roman"/>
          <w:szCs w:val="20"/>
          <w:lang w:val="en-AU"/>
        </w:rPr>
        <w:t xml:space="preserve">(ADF) </w:t>
      </w:r>
      <w:r w:rsidRPr="00007CDD">
        <w:rPr>
          <w:rFonts w:cs="Times New Roman"/>
          <w:szCs w:val="20"/>
          <w:lang w:val="en-AU"/>
        </w:rPr>
        <w:t xml:space="preserve">and the requirements of the Department </w:t>
      </w:r>
      <w:r>
        <w:rPr>
          <w:rFonts w:cs="Times New Roman"/>
          <w:szCs w:val="20"/>
          <w:lang w:val="en-AU"/>
        </w:rPr>
        <w:t xml:space="preserve">of Defence (Defence) </w:t>
      </w:r>
      <w:r w:rsidRPr="00007CDD">
        <w:rPr>
          <w:rFonts w:cs="Times New Roman"/>
          <w:szCs w:val="20"/>
          <w:lang w:val="en-AU"/>
        </w:rPr>
        <w:t>by providing adequate and suitable housing for, and housing related services to</w:t>
      </w:r>
      <w:r>
        <w:rPr>
          <w:rFonts w:cs="Times New Roman"/>
          <w:szCs w:val="20"/>
          <w:lang w:val="en-AU"/>
        </w:rPr>
        <w:t xml:space="preserve"> members of the ADF and their families. </w:t>
      </w:r>
    </w:p>
    <w:p w14:paraId="7155F969" w14:textId="77777777" w:rsidR="00EF0623" w:rsidRPr="00007CDD" w:rsidRDefault="00EF0623" w:rsidP="00EF0623">
      <w:pPr>
        <w:spacing w:before="120" w:after="120"/>
        <w:rPr>
          <w:rFonts w:cs="Times New Roman"/>
          <w:szCs w:val="20"/>
          <w:lang w:val="en-AU"/>
        </w:rPr>
      </w:pPr>
      <w:r w:rsidRPr="00007CDD">
        <w:rPr>
          <w:rFonts w:cs="Times New Roman"/>
          <w:szCs w:val="20"/>
          <w:lang w:val="en-AU"/>
        </w:rPr>
        <w:t xml:space="preserve">DHA delivers committed support for ADF capability through the provision and management of </w:t>
      </w:r>
      <w:r>
        <w:rPr>
          <w:rFonts w:cs="Times New Roman"/>
          <w:szCs w:val="20"/>
          <w:lang w:val="en-AU"/>
        </w:rPr>
        <w:t>more than</w:t>
      </w:r>
      <w:r w:rsidRPr="00007CDD">
        <w:rPr>
          <w:rFonts w:cs="Times New Roman"/>
          <w:szCs w:val="20"/>
          <w:lang w:val="en-AU"/>
        </w:rPr>
        <w:t xml:space="preserve"> 17,000 housing solutions for ADF members and their families. DHA also provides additional housing support services to </w:t>
      </w:r>
      <w:r>
        <w:rPr>
          <w:rFonts w:cs="Times New Roman"/>
          <w:szCs w:val="20"/>
          <w:lang w:val="en-AU"/>
        </w:rPr>
        <w:t>Defence</w:t>
      </w:r>
      <w:r w:rsidRPr="00007CDD">
        <w:rPr>
          <w:rFonts w:cs="Times New Roman"/>
          <w:szCs w:val="20"/>
          <w:lang w:val="en-AU"/>
        </w:rPr>
        <w:t xml:space="preserve"> through the provision of housing benefit administration, temporary accommodation management, housing project management and heritage housing management services. </w:t>
      </w:r>
    </w:p>
    <w:p w14:paraId="0A4E13AE" w14:textId="395AC4D5" w:rsidR="00EF0623" w:rsidRDefault="00EF0623" w:rsidP="00EF0623">
      <w:pPr>
        <w:spacing w:before="120" w:after="120"/>
        <w:rPr>
          <w:rFonts w:cs="Times New Roman"/>
          <w:szCs w:val="20"/>
          <w:lang w:val="en-AU"/>
        </w:rPr>
      </w:pPr>
      <w:r w:rsidRPr="00007CDD">
        <w:rPr>
          <w:rFonts w:cs="Times New Roman"/>
          <w:szCs w:val="20"/>
          <w:lang w:val="en-AU"/>
        </w:rPr>
        <w:t xml:space="preserve">DHA is a corporate Commonwealth entity and Government Business Enterprise (GBE) operating under the provisions of the </w:t>
      </w:r>
      <w:r w:rsidRPr="00DF690E">
        <w:rPr>
          <w:rFonts w:cs="Times New Roman"/>
          <w:i/>
          <w:iCs/>
          <w:szCs w:val="20"/>
          <w:lang w:val="en-AU"/>
        </w:rPr>
        <w:t>Defence Housing Australia Act 1987</w:t>
      </w:r>
      <w:r w:rsidRPr="00007CDD">
        <w:rPr>
          <w:rFonts w:cs="Times New Roman"/>
          <w:szCs w:val="20"/>
          <w:lang w:val="en-AU"/>
        </w:rPr>
        <w:t xml:space="preserve"> (DHA Act), </w:t>
      </w:r>
      <w:r w:rsidRPr="00DF690E">
        <w:rPr>
          <w:rFonts w:cs="Times New Roman"/>
          <w:i/>
          <w:iCs/>
          <w:szCs w:val="20"/>
          <w:lang w:val="en-AU"/>
        </w:rPr>
        <w:t>the Public Governance, Performance and Accountability Act 2013</w:t>
      </w:r>
      <w:r w:rsidRPr="00007CDD">
        <w:rPr>
          <w:rFonts w:cs="Times New Roman"/>
          <w:szCs w:val="20"/>
          <w:lang w:val="en-AU"/>
        </w:rPr>
        <w:t xml:space="preserve"> (PGPA Act), and the </w:t>
      </w:r>
      <w:r w:rsidRPr="0094614A">
        <w:rPr>
          <w:rFonts w:cs="Times New Roman"/>
          <w:i/>
          <w:iCs/>
          <w:szCs w:val="20"/>
          <w:lang w:val="en-AU"/>
        </w:rPr>
        <w:t>Public Governance, Performance and Accountability</w:t>
      </w:r>
      <w:r>
        <w:rPr>
          <w:rFonts w:cs="Times New Roman"/>
          <w:szCs w:val="20"/>
          <w:lang w:val="en-AU"/>
        </w:rPr>
        <w:t xml:space="preserve"> </w:t>
      </w:r>
      <w:r w:rsidRPr="00DF690E">
        <w:rPr>
          <w:rFonts w:cs="Times New Roman"/>
          <w:i/>
          <w:iCs/>
          <w:szCs w:val="20"/>
          <w:lang w:val="en-AU"/>
        </w:rPr>
        <w:t>Rule</w:t>
      </w:r>
      <w:r>
        <w:rPr>
          <w:rFonts w:cs="Times New Roman"/>
          <w:szCs w:val="20"/>
          <w:lang w:val="en-AU"/>
        </w:rPr>
        <w:t xml:space="preserve"> (PGPA </w:t>
      </w:r>
      <w:r w:rsidRPr="00007CDD">
        <w:rPr>
          <w:rFonts w:cs="Times New Roman"/>
          <w:szCs w:val="20"/>
          <w:lang w:val="en-AU"/>
        </w:rPr>
        <w:t>Rule</w:t>
      </w:r>
      <w:r>
        <w:rPr>
          <w:rFonts w:cs="Times New Roman"/>
          <w:szCs w:val="20"/>
          <w:lang w:val="en-AU"/>
        </w:rPr>
        <w:t>)</w:t>
      </w:r>
      <w:r w:rsidRPr="00007CDD">
        <w:rPr>
          <w:rFonts w:cs="Times New Roman"/>
          <w:szCs w:val="20"/>
          <w:lang w:val="en-AU"/>
        </w:rPr>
        <w:t>. DHA’s Shareholders are the Minister for Defence</w:t>
      </w:r>
      <w:r w:rsidR="003665BD">
        <w:rPr>
          <w:rFonts w:cs="Times New Roman"/>
          <w:szCs w:val="20"/>
          <w:lang w:val="en-AU"/>
        </w:rPr>
        <w:t xml:space="preserve"> Personnel</w:t>
      </w:r>
      <w:r w:rsidRPr="00007CDD">
        <w:rPr>
          <w:rFonts w:cs="Times New Roman"/>
          <w:szCs w:val="20"/>
          <w:lang w:val="en-AU"/>
        </w:rPr>
        <w:t xml:space="preserve"> and the Minister for Finance acting on behalf of the Australian Government</w:t>
      </w:r>
      <w:r>
        <w:rPr>
          <w:rFonts w:cs="Times New Roman"/>
          <w:szCs w:val="20"/>
          <w:lang w:val="en-AU"/>
        </w:rPr>
        <w:t>.</w:t>
      </w:r>
    </w:p>
    <w:p w14:paraId="7055A84A" w14:textId="77777777" w:rsidR="00CA192E" w:rsidRPr="00B56FAA" w:rsidRDefault="00CA192E" w:rsidP="000E6700">
      <w:pPr>
        <w:spacing w:before="120" w:after="120"/>
        <w:rPr>
          <w:rFonts w:cs="Times New Roman"/>
          <w:szCs w:val="20"/>
          <w:lang w:val="en-AU"/>
        </w:rPr>
      </w:pPr>
    </w:p>
    <w:p w14:paraId="212613EC" w14:textId="77777777" w:rsidR="00761824" w:rsidRPr="00B56FAA" w:rsidRDefault="000B1442" w:rsidP="000B1442">
      <w:pPr>
        <w:pStyle w:val="Heading4level5"/>
        <w:spacing w:before="0"/>
        <w:outlineLvl w:val="9"/>
      </w:pPr>
      <w:r w:rsidRPr="00B56FAA">
        <w:br w:type="page"/>
      </w:r>
      <w:r w:rsidR="00761824" w:rsidRPr="00B56FAA">
        <w:lastRenderedPageBreak/>
        <w:t>DHA Organisational Structure</w:t>
      </w:r>
    </w:p>
    <w:p w14:paraId="4CD71415" w14:textId="296BDDCE" w:rsidR="00BD523A" w:rsidRPr="004A6687" w:rsidRDefault="00BD523A" w:rsidP="000E6700">
      <w:pPr>
        <w:spacing w:before="120" w:after="120"/>
        <w:rPr>
          <w:szCs w:val="20"/>
          <w:lang w:val="en-AU"/>
        </w:rPr>
      </w:pPr>
      <w:r w:rsidRPr="002B2BCC">
        <w:rPr>
          <w:szCs w:val="20"/>
          <w:lang w:val="en-AU"/>
        </w:rPr>
        <w:t>The composition of DHA’s Board of Directors and associated committees is detailed below. As at</w:t>
      </w:r>
      <w:r w:rsidR="0059622E">
        <w:rPr>
          <w:szCs w:val="20"/>
          <w:lang w:val="en-AU"/>
        </w:rPr>
        <w:t xml:space="preserve"> 4 February 2025</w:t>
      </w:r>
      <w:r w:rsidRPr="002B2BCC">
        <w:rPr>
          <w:szCs w:val="20"/>
          <w:lang w:val="en-AU"/>
        </w:rPr>
        <w:t>, the DHA Board members were:</w:t>
      </w:r>
    </w:p>
    <w:tbl>
      <w:tblPr>
        <w:tblW w:w="8684" w:type="dxa"/>
        <w:tblLook w:val="01E0" w:firstRow="1" w:lastRow="1" w:firstColumn="1" w:lastColumn="1" w:noHBand="0" w:noVBand="0"/>
      </w:tblPr>
      <w:tblGrid>
        <w:gridCol w:w="4290"/>
        <w:gridCol w:w="4394"/>
      </w:tblGrid>
      <w:tr w:rsidR="00BD523A" w:rsidRPr="002B2BCC" w14:paraId="2FB0D029" w14:textId="77777777" w:rsidTr="00CB1F27">
        <w:tc>
          <w:tcPr>
            <w:tcW w:w="4290" w:type="dxa"/>
            <w:shd w:val="clear" w:color="auto" w:fill="auto"/>
          </w:tcPr>
          <w:p w14:paraId="722A512D" w14:textId="77777777" w:rsidR="00BD523A" w:rsidRPr="002B2BCC" w:rsidRDefault="00BD523A" w:rsidP="000E6700">
            <w:pPr>
              <w:spacing w:before="120" w:after="120"/>
              <w:ind w:left="216"/>
              <w:rPr>
                <w:szCs w:val="20"/>
                <w:lang w:val="en-AU"/>
              </w:rPr>
            </w:pPr>
            <w:r w:rsidRPr="002B2BCC">
              <w:rPr>
                <w:szCs w:val="20"/>
                <w:lang w:val="en-AU"/>
              </w:rPr>
              <w:t xml:space="preserve">Chairman </w:t>
            </w:r>
          </w:p>
        </w:tc>
        <w:tc>
          <w:tcPr>
            <w:tcW w:w="4394" w:type="dxa"/>
            <w:shd w:val="clear" w:color="auto" w:fill="auto"/>
          </w:tcPr>
          <w:p w14:paraId="5C792C99" w14:textId="77777777" w:rsidR="00BD523A" w:rsidRPr="002B2BCC" w:rsidRDefault="00EF0623" w:rsidP="000E6700">
            <w:pPr>
              <w:spacing w:before="120" w:after="120"/>
              <w:ind w:left="262"/>
              <w:rPr>
                <w:szCs w:val="20"/>
                <w:lang w:val="en-AU"/>
              </w:rPr>
            </w:pPr>
            <w:r w:rsidRPr="002B2BCC">
              <w:rPr>
                <w:szCs w:val="20"/>
                <w:lang w:val="en-AU"/>
              </w:rPr>
              <w:t>Dr Robert Lang</w:t>
            </w:r>
          </w:p>
        </w:tc>
      </w:tr>
      <w:tr w:rsidR="00BD523A" w:rsidRPr="002B2BCC" w14:paraId="2FFEAF2E" w14:textId="77777777" w:rsidTr="00CB1F27">
        <w:tc>
          <w:tcPr>
            <w:tcW w:w="4290" w:type="dxa"/>
            <w:shd w:val="clear" w:color="auto" w:fill="auto"/>
          </w:tcPr>
          <w:p w14:paraId="2D2E81EC" w14:textId="77777777" w:rsidR="00BD523A" w:rsidRPr="002B2BCC" w:rsidRDefault="00BD523A" w:rsidP="000E6700">
            <w:pPr>
              <w:spacing w:before="120" w:after="120"/>
              <w:ind w:left="216"/>
              <w:rPr>
                <w:szCs w:val="20"/>
                <w:lang w:val="en-AU"/>
              </w:rPr>
            </w:pPr>
            <w:r w:rsidRPr="002B2BCC">
              <w:rPr>
                <w:szCs w:val="20"/>
                <w:lang w:val="en-AU"/>
              </w:rPr>
              <w:t xml:space="preserve">Managing Director </w:t>
            </w:r>
          </w:p>
        </w:tc>
        <w:tc>
          <w:tcPr>
            <w:tcW w:w="4394" w:type="dxa"/>
            <w:shd w:val="clear" w:color="auto" w:fill="auto"/>
          </w:tcPr>
          <w:p w14:paraId="6C3B0A15" w14:textId="3222CECC" w:rsidR="00BD523A" w:rsidRPr="002B2BCC" w:rsidRDefault="0059622E" w:rsidP="000E6700">
            <w:pPr>
              <w:spacing w:before="120" w:after="120"/>
              <w:ind w:left="262"/>
              <w:rPr>
                <w:szCs w:val="20"/>
                <w:lang w:val="en-AU"/>
              </w:rPr>
            </w:pPr>
            <w:r w:rsidRPr="002B2BCC">
              <w:rPr>
                <w:szCs w:val="20"/>
                <w:lang w:val="en-AU"/>
              </w:rPr>
              <w:t xml:space="preserve">Mr </w:t>
            </w:r>
            <w:r>
              <w:rPr>
                <w:szCs w:val="20"/>
                <w:lang w:val="en-AU"/>
              </w:rPr>
              <w:t>Andrew Jaggers PSM</w:t>
            </w:r>
          </w:p>
        </w:tc>
      </w:tr>
      <w:tr w:rsidR="00BD523A" w:rsidRPr="002B2BCC" w14:paraId="224E4BD5" w14:textId="77777777" w:rsidTr="00CB1F27">
        <w:tc>
          <w:tcPr>
            <w:tcW w:w="4290" w:type="dxa"/>
            <w:shd w:val="clear" w:color="auto" w:fill="auto"/>
          </w:tcPr>
          <w:p w14:paraId="589352BF" w14:textId="77777777" w:rsidR="00BD523A" w:rsidRPr="002B2BCC" w:rsidRDefault="00BD523A" w:rsidP="000E6700">
            <w:pPr>
              <w:spacing w:before="120" w:after="120"/>
              <w:ind w:left="216"/>
              <w:rPr>
                <w:szCs w:val="20"/>
                <w:lang w:val="en-AU"/>
              </w:rPr>
            </w:pPr>
            <w:r w:rsidRPr="002B2BCC">
              <w:rPr>
                <w:szCs w:val="20"/>
                <w:lang w:val="en-AU"/>
              </w:rPr>
              <w:t xml:space="preserve">Commercial Director </w:t>
            </w:r>
          </w:p>
        </w:tc>
        <w:tc>
          <w:tcPr>
            <w:tcW w:w="4394" w:type="dxa"/>
            <w:shd w:val="clear" w:color="auto" w:fill="auto"/>
          </w:tcPr>
          <w:p w14:paraId="26DA5DD4" w14:textId="77777777" w:rsidR="00BD523A" w:rsidRPr="002B2BCC" w:rsidRDefault="007F5342" w:rsidP="000E6700">
            <w:pPr>
              <w:spacing w:before="120" w:after="120"/>
              <w:ind w:left="262"/>
              <w:rPr>
                <w:szCs w:val="20"/>
                <w:lang w:val="en-AU"/>
              </w:rPr>
            </w:pPr>
            <w:r w:rsidRPr="002B2BCC">
              <w:rPr>
                <w:szCs w:val="20"/>
                <w:lang w:val="en-AU"/>
              </w:rPr>
              <w:t>Ms Gai Brodtmann</w:t>
            </w:r>
          </w:p>
        </w:tc>
      </w:tr>
      <w:tr w:rsidR="00BD523A" w:rsidRPr="002B2BCC" w14:paraId="4EDC2F0B" w14:textId="77777777" w:rsidTr="00CB1F27">
        <w:tc>
          <w:tcPr>
            <w:tcW w:w="4290" w:type="dxa"/>
            <w:shd w:val="clear" w:color="auto" w:fill="auto"/>
          </w:tcPr>
          <w:p w14:paraId="30BFFE99" w14:textId="77777777" w:rsidR="00BD523A" w:rsidRPr="002B2BCC" w:rsidRDefault="00BD523A" w:rsidP="000E6700">
            <w:pPr>
              <w:spacing w:before="120" w:after="120"/>
              <w:ind w:left="216"/>
              <w:rPr>
                <w:szCs w:val="20"/>
                <w:lang w:val="en-AU"/>
              </w:rPr>
            </w:pPr>
            <w:r w:rsidRPr="002B2BCC">
              <w:rPr>
                <w:szCs w:val="20"/>
                <w:lang w:val="en-AU"/>
              </w:rPr>
              <w:t xml:space="preserve">Commercial Director </w:t>
            </w:r>
          </w:p>
        </w:tc>
        <w:tc>
          <w:tcPr>
            <w:tcW w:w="4394" w:type="dxa"/>
            <w:shd w:val="clear" w:color="auto" w:fill="auto"/>
          </w:tcPr>
          <w:p w14:paraId="509713B7" w14:textId="77777777" w:rsidR="00BD523A" w:rsidRPr="002B2BCC" w:rsidRDefault="00BD523A" w:rsidP="000E6700">
            <w:pPr>
              <w:spacing w:before="120" w:after="120"/>
              <w:ind w:left="262"/>
              <w:rPr>
                <w:szCs w:val="20"/>
                <w:lang w:val="en-AU"/>
              </w:rPr>
            </w:pPr>
            <w:r w:rsidRPr="002B2BCC">
              <w:rPr>
                <w:szCs w:val="20"/>
                <w:lang w:val="en-AU"/>
              </w:rPr>
              <w:t xml:space="preserve">Mr Robert Fisher AM </w:t>
            </w:r>
          </w:p>
        </w:tc>
      </w:tr>
      <w:tr w:rsidR="00BD523A" w:rsidRPr="002B2BCC" w14:paraId="625362DD" w14:textId="77777777" w:rsidTr="00CB1F27">
        <w:tc>
          <w:tcPr>
            <w:tcW w:w="4290" w:type="dxa"/>
            <w:shd w:val="clear" w:color="auto" w:fill="auto"/>
          </w:tcPr>
          <w:p w14:paraId="7005917C" w14:textId="77777777" w:rsidR="00BD523A" w:rsidRPr="002B2BCC" w:rsidRDefault="00BD523A" w:rsidP="000E6700">
            <w:pPr>
              <w:spacing w:before="120" w:after="120"/>
              <w:ind w:left="216"/>
              <w:rPr>
                <w:szCs w:val="20"/>
                <w:lang w:val="en-AU"/>
              </w:rPr>
            </w:pPr>
            <w:r w:rsidRPr="002B2BCC">
              <w:rPr>
                <w:szCs w:val="20"/>
                <w:lang w:val="en-AU"/>
              </w:rPr>
              <w:t xml:space="preserve">Commercial Director </w:t>
            </w:r>
          </w:p>
        </w:tc>
        <w:tc>
          <w:tcPr>
            <w:tcW w:w="4394" w:type="dxa"/>
            <w:shd w:val="clear" w:color="auto" w:fill="auto"/>
          </w:tcPr>
          <w:p w14:paraId="20AB2FBE" w14:textId="77777777" w:rsidR="00BD523A" w:rsidRPr="002B2BCC" w:rsidRDefault="00BD523A" w:rsidP="000E6700">
            <w:pPr>
              <w:spacing w:before="120" w:after="120"/>
              <w:ind w:left="262"/>
              <w:rPr>
                <w:szCs w:val="20"/>
                <w:lang w:val="en-AU"/>
              </w:rPr>
            </w:pPr>
            <w:r w:rsidRPr="002B2BCC">
              <w:rPr>
                <w:szCs w:val="20"/>
                <w:lang w:val="en-AU"/>
              </w:rPr>
              <w:t xml:space="preserve">Ms Andrea Galloway </w:t>
            </w:r>
          </w:p>
        </w:tc>
      </w:tr>
      <w:tr w:rsidR="000B4BD9" w:rsidRPr="002B2BCC" w14:paraId="369D58CF" w14:textId="77777777" w:rsidTr="00CB1F27">
        <w:tc>
          <w:tcPr>
            <w:tcW w:w="4290" w:type="dxa"/>
            <w:shd w:val="clear" w:color="auto" w:fill="auto"/>
          </w:tcPr>
          <w:p w14:paraId="3404A622" w14:textId="77777777" w:rsidR="000B4BD9" w:rsidRPr="002B2BCC" w:rsidRDefault="000B4BD9" w:rsidP="000E6700">
            <w:pPr>
              <w:spacing w:before="120" w:after="120"/>
              <w:ind w:left="216"/>
              <w:rPr>
                <w:szCs w:val="20"/>
                <w:lang w:val="en-AU"/>
              </w:rPr>
            </w:pPr>
            <w:r w:rsidRPr="002B2BCC">
              <w:rPr>
                <w:szCs w:val="20"/>
                <w:lang w:val="en-AU"/>
              </w:rPr>
              <w:t>Commercial Director</w:t>
            </w:r>
          </w:p>
        </w:tc>
        <w:tc>
          <w:tcPr>
            <w:tcW w:w="4394" w:type="dxa"/>
            <w:shd w:val="clear" w:color="auto" w:fill="auto"/>
          </w:tcPr>
          <w:p w14:paraId="316624C5" w14:textId="77777777" w:rsidR="000B4BD9" w:rsidRPr="002B2BCC" w:rsidRDefault="00EF0623" w:rsidP="000E6700">
            <w:pPr>
              <w:spacing w:before="120" w:after="120"/>
              <w:ind w:left="262"/>
              <w:rPr>
                <w:szCs w:val="20"/>
                <w:lang w:val="en-AU"/>
              </w:rPr>
            </w:pPr>
            <w:r w:rsidRPr="002B2BCC">
              <w:rPr>
                <w:szCs w:val="20"/>
                <w:lang w:val="en-AU"/>
              </w:rPr>
              <w:t>Vacant</w:t>
            </w:r>
          </w:p>
        </w:tc>
      </w:tr>
      <w:tr w:rsidR="00BD523A" w:rsidRPr="002B2BCC" w14:paraId="554E84A6" w14:textId="77777777" w:rsidTr="00CB1F27">
        <w:tc>
          <w:tcPr>
            <w:tcW w:w="4290" w:type="dxa"/>
            <w:shd w:val="clear" w:color="auto" w:fill="auto"/>
          </w:tcPr>
          <w:p w14:paraId="4D64BC5D" w14:textId="77777777" w:rsidR="00BD523A" w:rsidRPr="002B2BCC" w:rsidRDefault="00BD523A" w:rsidP="000E6700">
            <w:pPr>
              <w:spacing w:before="120" w:after="120"/>
              <w:ind w:left="216"/>
              <w:rPr>
                <w:szCs w:val="20"/>
                <w:lang w:val="en-AU"/>
              </w:rPr>
            </w:pPr>
            <w:r w:rsidRPr="002B2BCC">
              <w:rPr>
                <w:szCs w:val="20"/>
                <w:lang w:val="en-AU"/>
              </w:rPr>
              <w:t xml:space="preserve">Nominee Secretary of Defence </w:t>
            </w:r>
          </w:p>
        </w:tc>
        <w:tc>
          <w:tcPr>
            <w:tcW w:w="4394" w:type="dxa"/>
            <w:shd w:val="clear" w:color="auto" w:fill="auto"/>
          </w:tcPr>
          <w:p w14:paraId="2C9B1A59" w14:textId="77777777" w:rsidR="00BD523A" w:rsidRPr="002B2BCC" w:rsidRDefault="000B4BD9" w:rsidP="000E6700">
            <w:pPr>
              <w:spacing w:before="120" w:after="120"/>
              <w:ind w:left="262"/>
              <w:rPr>
                <w:szCs w:val="20"/>
                <w:lang w:val="en-AU"/>
              </w:rPr>
            </w:pPr>
            <w:r w:rsidRPr="002B2BCC">
              <w:rPr>
                <w:szCs w:val="20"/>
                <w:lang w:val="en-AU"/>
              </w:rPr>
              <w:t>Ms Monique Hamilton</w:t>
            </w:r>
          </w:p>
        </w:tc>
      </w:tr>
      <w:tr w:rsidR="00BD523A" w:rsidRPr="002B2BCC" w14:paraId="16395693" w14:textId="77777777" w:rsidTr="00CB1F27">
        <w:tc>
          <w:tcPr>
            <w:tcW w:w="4290" w:type="dxa"/>
            <w:shd w:val="clear" w:color="auto" w:fill="auto"/>
          </w:tcPr>
          <w:p w14:paraId="4043B69C" w14:textId="77777777" w:rsidR="00BD523A" w:rsidRPr="002B2BCC" w:rsidRDefault="00BD523A" w:rsidP="000E6700">
            <w:pPr>
              <w:spacing w:before="120" w:after="120"/>
              <w:ind w:left="216"/>
              <w:rPr>
                <w:szCs w:val="20"/>
                <w:lang w:val="en-AU"/>
              </w:rPr>
            </w:pPr>
            <w:r w:rsidRPr="002B2BCC">
              <w:rPr>
                <w:szCs w:val="20"/>
                <w:lang w:val="en-AU"/>
              </w:rPr>
              <w:t xml:space="preserve">Nominee Chief of Defence Force </w:t>
            </w:r>
          </w:p>
        </w:tc>
        <w:tc>
          <w:tcPr>
            <w:tcW w:w="4394" w:type="dxa"/>
            <w:shd w:val="clear" w:color="auto" w:fill="auto"/>
          </w:tcPr>
          <w:p w14:paraId="00C16481" w14:textId="77777777" w:rsidR="00BD523A" w:rsidRPr="002B2BCC" w:rsidRDefault="00BD523A" w:rsidP="000E6700">
            <w:pPr>
              <w:spacing w:before="120" w:after="120"/>
              <w:ind w:left="262"/>
              <w:rPr>
                <w:szCs w:val="20"/>
                <w:lang w:val="en-AU"/>
              </w:rPr>
            </w:pPr>
            <w:r w:rsidRPr="002B2BCC">
              <w:rPr>
                <w:szCs w:val="20"/>
                <w:lang w:val="en-AU"/>
              </w:rPr>
              <w:t>BRIG Leigh Wilton AM</w:t>
            </w:r>
          </w:p>
        </w:tc>
      </w:tr>
      <w:tr w:rsidR="00BD523A" w:rsidRPr="00B56FAA" w14:paraId="48EA1DD6" w14:textId="77777777" w:rsidTr="00CB1F27">
        <w:tc>
          <w:tcPr>
            <w:tcW w:w="4290" w:type="dxa"/>
            <w:shd w:val="clear" w:color="auto" w:fill="auto"/>
          </w:tcPr>
          <w:p w14:paraId="30BAF13D" w14:textId="77777777" w:rsidR="00BD523A" w:rsidRPr="002B2BCC" w:rsidRDefault="00BD523A" w:rsidP="000E6700">
            <w:pPr>
              <w:spacing w:before="120" w:after="120"/>
              <w:ind w:left="216"/>
              <w:rPr>
                <w:szCs w:val="20"/>
                <w:lang w:val="en-AU"/>
              </w:rPr>
            </w:pPr>
            <w:r w:rsidRPr="002B2BCC">
              <w:rPr>
                <w:szCs w:val="20"/>
                <w:lang w:val="en-AU"/>
              </w:rPr>
              <w:t xml:space="preserve">Nominee Secretary of Finance </w:t>
            </w:r>
          </w:p>
        </w:tc>
        <w:tc>
          <w:tcPr>
            <w:tcW w:w="4394" w:type="dxa"/>
            <w:shd w:val="clear" w:color="auto" w:fill="auto"/>
          </w:tcPr>
          <w:p w14:paraId="0EC57A1B" w14:textId="77777777" w:rsidR="00BD523A" w:rsidRPr="002B2BCC" w:rsidRDefault="00BD523A" w:rsidP="000E6700">
            <w:pPr>
              <w:spacing w:before="120" w:after="120"/>
              <w:ind w:left="262"/>
              <w:rPr>
                <w:szCs w:val="20"/>
                <w:lang w:val="en-AU"/>
              </w:rPr>
            </w:pPr>
            <w:r w:rsidRPr="002B2BCC">
              <w:rPr>
                <w:szCs w:val="20"/>
                <w:lang w:val="en-AU"/>
              </w:rPr>
              <w:t>Mr Simon Lewis AO, PSM</w:t>
            </w:r>
          </w:p>
        </w:tc>
      </w:tr>
    </w:tbl>
    <w:p w14:paraId="58876987" w14:textId="63922A9C" w:rsidR="00BD523A" w:rsidRPr="00B56FAA" w:rsidRDefault="00BD523A" w:rsidP="000E6700">
      <w:pPr>
        <w:spacing w:before="120" w:after="120"/>
        <w:rPr>
          <w:szCs w:val="20"/>
          <w:lang w:val="en-AU"/>
        </w:rPr>
      </w:pPr>
      <w:r w:rsidRPr="00B56FAA">
        <w:rPr>
          <w:szCs w:val="20"/>
          <w:lang w:val="en-AU"/>
        </w:rPr>
        <w:t xml:space="preserve">The DHA </w:t>
      </w:r>
      <w:r w:rsidR="0059622E" w:rsidRPr="00B56FAA">
        <w:rPr>
          <w:szCs w:val="20"/>
          <w:lang w:val="en-AU"/>
        </w:rPr>
        <w:t xml:space="preserve">Board also has the following subcommittees: Board Audit and Risk Committee, </w:t>
      </w:r>
      <w:r w:rsidR="0059622E" w:rsidRPr="000D6B48">
        <w:rPr>
          <w:szCs w:val="20"/>
          <w:lang w:val="en-AU"/>
        </w:rPr>
        <w:t>Property and Services</w:t>
      </w:r>
      <w:r w:rsidR="0059622E" w:rsidRPr="00B56FAA">
        <w:rPr>
          <w:szCs w:val="20"/>
          <w:lang w:val="en-AU"/>
        </w:rPr>
        <w:t xml:space="preserve"> Committee, People and Culture Committee</w:t>
      </w:r>
      <w:r w:rsidR="0059622E">
        <w:rPr>
          <w:szCs w:val="20"/>
          <w:lang w:val="en-AU"/>
        </w:rPr>
        <w:t>,</w:t>
      </w:r>
      <w:r w:rsidR="0059622E" w:rsidRPr="00B56FAA">
        <w:rPr>
          <w:szCs w:val="20"/>
          <w:lang w:val="en-AU"/>
        </w:rPr>
        <w:t xml:space="preserve"> and Board Nomination and Remuneration Committee</w:t>
      </w:r>
      <w:r w:rsidRPr="00B56FAA">
        <w:rPr>
          <w:szCs w:val="20"/>
          <w:lang w:val="en-AU"/>
        </w:rPr>
        <w:t>.</w:t>
      </w:r>
      <w:r w:rsidR="00BB5E89" w:rsidRPr="00B56FAA">
        <w:rPr>
          <w:szCs w:val="20"/>
          <w:lang w:val="en-AU"/>
        </w:rPr>
        <w:t xml:space="preserve"> </w:t>
      </w:r>
    </w:p>
    <w:p w14:paraId="5DE84CD6" w14:textId="1B981C66" w:rsidR="00BD523A" w:rsidRPr="004A6687" w:rsidRDefault="00BD523A" w:rsidP="000E6700">
      <w:pPr>
        <w:spacing w:before="120" w:after="120"/>
        <w:rPr>
          <w:szCs w:val="20"/>
          <w:lang w:val="en-AU"/>
        </w:rPr>
      </w:pPr>
      <w:r w:rsidRPr="002B2BCC">
        <w:rPr>
          <w:szCs w:val="20"/>
          <w:lang w:val="en-AU"/>
        </w:rPr>
        <w:t xml:space="preserve">DHA also has an Advisory Committee in accordance with the DHA Act that had the following members as at </w:t>
      </w:r>
      <w:r w:rsidR="0059622E" w:rsidRPr="00A55B88">
        <w:rPr>
          <w:szCs w:val="20"/>
          <w:lang w:val="en-AU"/>
        </w:rPr>
        <w:t xml:space="preserve">4 February </w:t>
      </w:r>
      <w:r w:rsidR="00FA185D" w:rsidRPr="002B2BCC">
        <w:rPr>
          <w:szCs w:val="20"/>
          <w:lang w:val="en-AU"/>
        </w:rPr>
        <w:t>202</w:t>
      </w:r>
      <w:r w:rsidR="0059622E">
        <w:rPr>
          <w:szCs w:val="20"/>
          <w:lang w:val="en-AU"/>
        </w:rPr>
        <w:t>5</w:t>
      </w:r>
      <w:r w:rsidRPr="002B2BCC">
        <w:rPr>
          <w:szCs w:val="20"/>
          <w:lang w:val="en-AU"/>
        </w:rPr>
        <w:t>:</w:t>
      </w:r>
    </w:p>
    <w:tbl>
      <w:tblPr>
        <w:tblW w:w="8684" w:type="dxa"/>
        <w:tblLook w:val="01E0" w:firstRow="1" w:lastRow="1" w:firstColumn="1" w:lastColumn="1" w:noHBand="0" w:noVBand="0"/>
      </w:tblPr>
      <w:tblGrid>
        <w:gridCol w:w="4290"/>
        <w:gridCol w:w="4394"/>
      </w:tblGrid>
      <w:tr w:rsidR="00BD523A" w:rsidRPr="002B2BCC" w14:paraId="28A03051" w14:textId="77777777" w:rsidTr="00FA185D">
        <w:tc>
          <w:tcPr>
            <w:tcW w:w="4290" w:type="dxa"/>
            <w:shd w:val="clear" w:color="auto" w:fill="auto"/>
          </w:tcPr>
          <w:p w14:paraId="33D8A40E" w14:textId="77777777" w:rsidR="00BD523A" w:rsidRPr="002B2BCC" w:rsidRDefault="00BD523A" w:rsidP="000E6700">
            <w:pPr>
              <w:spacing w:before="120" w:after="120"/>
              <w:ind w:left="216"/>
              <w:rPr>
                <w:szCs w:val="20"/>
                <w:lang w:val="en-AU"/>
              </w:rPr>
            </w:pPr>
            <w:r w:rsidRPr="002B2BCC">
              <w:rPr>
                <w:szCs w:val="20"/>
                <w:lang w:val="en-AU"/>
              </w:rPr>
              <w:t xml:space="preserve">Chairperson </w:t>
            </w:r>
          </w:p>
        </w:tc>
        <w:tc>
          <w:tcPr>
            <w:tcW w:w="4394" w:type="dxa"/>
            <w:shd w:val="clear" w:color="auto" w:fill="auto"/>
          </w:tcPr>
          <w:p w14:paraId="191A7FA9" w14:textId="77777777" w:rsidR="00BD523A" w:rsidRPr="002B2BCC" w:rsidRDefault="00BD523A" w:rsidP="000E6700">
            <w:pPr>
              <w:spacing w:before="120" w:after="120"/>
              <w:ind w:left="262"/>
              <w:rPr>
                <w:szCs w:val="20"/>
                <w:lang w:val="en-AU"/>
              </w:rPr>
            </w:pPr>
            <w:r w:rsidRPr="002B2BCC">
              <w:rPr>
                <w:szCs w:val="20"/>
                <w:lang w:val="en-AU"/>
              </w:rPr>
              <w:t>BRIG Leigh Wilton AM</w:t>
            </w:r>
          </w:p>
        </w:tc>
      </w:tr>
      <w:tr w:rsidR="00BD523A" w:rsidRPr="002B2BCC" w14:paraId="54743665" w14:textId="77777777" w:rsidTr="00FA185D">
        <w:tc>
          <w:tcPr>
            <w:tcW w:w="4290" w:type="dxa"/>
            <w:shd w:val="clear" w:color="auto" w:fill="auto"/>
          </w:tcPr>
          <w:p w14:paraId="246A5690" w14:textId="77777777" w:rsidR="00BD523A" w:rsidRPr="002B2BCC" w:rsidRDefault="003E5315" w:rsidP="000E6700">
            <w:pPr>
              <w:spacing w:before="120" w:after="120"/>
              <w:ind w:left="216"/>
              <w:rPr>
                <w:szCs w:val="20"/>
                <w:lang w:val="en-AU"/>
              </w:rPr>
            </w:pPr>
            <w:r w:rsidRPr="002B2BCC">
              <w:rPr>
                <w:szCs w:val="20"/>
                <w:lang w:val="en-AU"/>
              </w:rPr>
              <w:t>Appointee of the Chief of the Defence Force</w:t>
            </w:r>
          </w:p>
        </w:tc>
        <w:tc>
          <w:tcPr>
            <w:tcW w:w="4394" w:type="dxa"/>
            <w:shd w:val="clear" w:color="auto" w:fill="auto"/>
          </w:tcPr>
          <w:p w14:paraId="1E87A290" w14:textId="07D3925A" w:rsidR="00BD523A" w:rsidRPr="002B2BCC" w:rsidRDefault="0059622E" w:rsidP="000E6700">
            <w:pPr>
              <w:spacing w:before="120" w:after="120"/>
              <w:ind w:left="262"/>
              <w:rPr>
                <w:szCs w:val="20"/>
                <w:lang w:val="en-AU"/>
              </w:rPr>
            </w:pPr>
            <w:r w:rsidRPr="00395579">
              <w:rPr>
                <w:szCs w:val="20"/>
                <w:lang w:val="en-AU"/>
              </w:rPr>
              <w:t>RADM Matt Buckey AM, CSC, RAN</w:t>
            </w:r>
            <w:r w:rsidRPr="002B2BCC">
              <w:rPr>
                <w:szCs w:val="20"/>
                <w:lang w:val="en-AU"/>
              </w:rPr>
              <w:br/>
              <w:t>(Deputy Chief of Navy</w:t>
            </w:r>
            <w:r w:rsidR="003E5315" w:rsidRPr="002B2BCC">
              <w:rPr>
                <w:szCs w:val="20"/>
                <w:lang w:val="en-AU"/>
              </w:rPr>
              <w:t>)</w:t>
            </w:r>
          </w:p>
        </w:tc>
      </w:tr>
      <w:tr w:rsidR="00BD523A" w:rsidRPr="002B2BCC" w14:paraId="134FDC4F" w14:textId="77777777" w:rsidTr="00FA185D">
        <w:tc>
          <w:tcPr>
            <w:tcW w:w="4290" w:type="dxa"/>
            <w:shd w:val="clear" w:color="auto" w:fill="auto"/>
          </w:tcPr>
          <w:p w14:paraId="0957907E" w14:textId="77777777" w:rsidR="00BD523A" w:rsidRPr="002B2BCC" w:rsidRDefault="00BD523A" w:rsidP="000E6700">
            <w:pPr>
              <w:spacing w:before="120" w:after="120"/>
              <w:ind w:left="216"/>
              <w:rPr>
                <w:szCs w:val="20"/>
                <w:lang w:val="en-AU"/>
              </w:rPr>
            </w:pPr>
          </w:p>
        </w:tc>
        <w:tc>
          <w:tcPr>
            <w:tcW w:w="4394" w:type="dxa"/>
            <w:shd w:val="clear" w:color="auto" w:fill="auto"/>
          </w:tcPr>
          <w:p w14:paraId="7F4EF667" w14:textId="77777777" w:rsidR="00BD523A" w:rsidRPr="002B2BCC" w:rsidRDefault="003E5315" w:rsidP="004A6687">
            <w:pPr>
              <w:spacing w:before="120" w:after="120"/>
              <w:ind w:left="262"/>
              <w:rPr>
                <w:szCs w:val="20"/>
                <w:lang w:val="en-AU"/>
              </w:rPr>
            </w:pPr>
            <w:r w:rsidRPr="002B2BCC">
              <w:rPr>
                <w:szCs w:val="20"/>
                <w:lang w:val="en-AU"/>
              </w:rPr>
              <w:t xml:space="preserve">MAJGEN </w:t>
            </w:r>
            <w:r w:rsidR="00EF0623" w:rsidRPr="002B2BCC">
              <w:rPr>
                <w:szCs w:val="20"/>
                <w:lang w:val="en-AU"/>
              </w:rPr>
              <w:t>Chris Smith</w:t>
            </w:r>
            <w:r w:rsidRPr="002B2BCC">
              <w:rPr>
                <w:szCs w:val="20"/>
                <w:lang w:val="en-AU"/>
              </w:rPr>
              <w:t xml:space="preserve">, </w:t>
            </w:r>
            <w:r w:rsidR="00EF0623" w:rsidRPr="002B2BCC">
              <w:rPr>
                <w:szCs w:val="20"/>
                <w:lang w:val="en-AU"/>
              </w:rPr>
              <w:t>D</w:t>
            </w:r>
            <w:r w:rsidRPr="002B2BCC">
              <w:rPr>
                <w:szCs w:val="20"/>
                <w:lang w:val="en-AU"/>
              </w:rPr>
              <w:t>SC</w:t>
            </w:r>
            <w:r w:rsidRPr="002B2BCC">
              <w:rPr>
                <w:szCs w:val="20"/>
                <w:lang w:val="en-AU"/>
              </w:rPr>
              <w:br/>
              <w:t>(Deputy Chief of Army)</w:t>
            </w:r>
          </w:p>
        </w:tc>
      </w:tr>
      <w:tr w:rsidR="00BD523A" w:rsidRPr="002B2BCC" w14:paraId="7221497C" w14:textId="77777777" w:rsidTr="00FA185D">
        <w:tc>
          <w:tcPr>
            <w:tcW w:w="4290" w:type="dxa"/>
            <w:shd w:val="clear" w:color="auto" w:fill="auto"/>
          </w:tcPr>
          <w:p w14:paraId="79C38528" w14:textId="77777777" w:rsidR="00BD523A" w:rsidRPr="002B2BCC" w:rsidRDefault="00BD523A" w:rsidP="000E6700">
            <w:pPr>
              <w:spacing w:before="120" w:after="120"/>
              <w:ind w:left="74" w:firstLine="142"/>
              <w:rPr>
                <w:szCs w:val="20"/>
                <w:lang w:val="en-AU"/>
              </w:rPr>
            </w:pPr>
          </w:p>
        </w:tc>
        <w:tc>
          <w:tcPr>
            <w:tcW w:w="4394" w:type="dxa"/>
            <w:shd w:val="clear" w:color="auto" w:fill="auto"/>
          </w:tcPr>
          <w:p w14:paraId="5CD85427" w14:textId="77777777" w:rsidR="00BD523A" w:rsidRPr="002B2BCC" w:rsidRDefault="003E5315" w:rsidP="000E6700">
            <w:pPr>
              <w:spacing w:before="120" w:after="120"/>
              <w:ind w:left="262"/>
              <w:rPr>
                <w:szCs w:val="20"/>
                <w:lang w:val="en-AU"/>
              </w:rPr>
            </w:pPr>
            <w:r w:rsidRPr="002B2BCC">
              <w:rPr>
                <w:szCs w:val="20"/>
                <w:lang w:val="en-AU"/>
              </w:rPr>
              <w:t>AVM Harvey Reynolds AM</w:t>
            </w:r>
            <w:r w:rsidRPr="002B2BCC">
              <w:rPr>
                <w:szCs w:val="20"/>
                <w:lang w:val="en-AU"/>
              </w:rPr>
              <w:br/>
              <w:t>(Deputy Chief of Air Force)</w:t>
            </w:r>
          </w:p>
        </w:tc>
      </w:tr>
      <w:tr w:rsidR="00BD523A" w:rsidRPr="00B56FAA" w14:paraId="78320E19" w14:textId="77777777" w:rsidTr="00FA18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90" w:type="dxa"/>
            <w:tcBorders>
              <w:top w:val="nil"/>
              <w:left w:val="nil"/>
              <w:bottom w:val="nil"/>
              <w:right w:val="nil"/>
            </w:tcBorders>
            <w:shd w:val="clear" w:color="auto" w:fill="auto"/>
          </w:tcPr>
          <w:p w14:paraId="020D1AC7" w14:textId="77777777" w:rsidR="00BD523A" w:rsidRPr="002B2BCC" w:rsidRDefault="00BD523A" w:rsidP="000E6700">
            <w:pPr>
              <w:spacing w:before="120" w:after="120"/>
              <w:ind w:left="216"/>
              <w:rPr>
                <w:szCs w:val="20"/>
                <w:lang w:val="en-AU"/>
              </w:rPr>
            </w:pPr>
            <w:r w:rsidRPr="002B2BCC">
              <w:rPr>
                <w:szCs w:val="20"/>
                <w:lang w:val="en-AU"/>
              </w:rPr>
              <w:t>Appointee of Defence Housing Australia</w:t>
            </w:r>
          </w:p>
        </w:tc>
        <w:tc>
          <w:tcPr>
            <w:tcW w:w="4394" w:type="dxa"/>
            <w:tcBorders>
              <w:top w:val="nil"/>
              <w:left w:val="nil"/>
              <w:bottom w:val="nil"/>
              <w:right w:val="nil"/>
            </w:tcBorders>
            <w:shd w:val="clear" w:color="auto" w:fill="auto"/>
          </w:tcPr>
          <w:p w14:paraId="4BC8FA2B" w14:textId="54E34691" w:rsidR="00BD523A" w:rsidRPr="002B2BCC" w:rsidRDefault="0059622E" w:rsidP="000E6700">
            <w:pPr>
              <w:spacing w:before="120" w:after="120"/>
              <w:ind w:left="262"/>
              <w:rPr>
                <w:szCs w:val="20"/>
                <w:lang w:val="en-AU"/>
              </w:rPr>
            </w:pPr>
            <w:r w:rsidRPr="002B2BCC">
              <w:rPr>
                <w:szCs w:val="20"/>
                <w:lang w:val="en-AU"/>
              </w:rPr>
              <w:t xml:space="preserve">Mr </w:t>
            </w:r>
            <w:r>
              <w:rPr>
                <w:szCs w:val="20"/>
                <w:lang w:val="en-AU"/>
              </w:rPr>
              <w:t>Andrew Jaggers PSM</w:t>
            </w:r>
            <w:r w:rsidRPr="002B2BCC">
              <w:rPr>
                <w:szCs w:val="20"/>
                <w:lang w:val="en-AU"/>
              </w:rPr>
              <w:br/>
              <w:t>(Managing Director</w:t>
            </w:r>
            <w:r w:rsidR="00BD523A" w:rsidRPr="002B2BCC">
              <w:rPr>
                <w:szCs w:val="20"/>
                <w:lang w:val="en-AU"/>
              </w:rPr>
              <w:t>)</w:t>
            </w:r>
          </w:p>
        </w:tc>
      </w:tr>
    </w:tbl>
    <w:p w14:paraId="3353DB0E" w14:textId="77777777" w:rsidR="00AD767A" w:rsidRPr="00B56FAA" w:rsidRDefault="00900BC4" w:rsidP="000E6700">
      <w:pPr>
        <w:spacing w:before="120" w:after="120"/>
        <w:rPr>
          <w:szCs w:val="20"/>
          <w:lang w:val="en-AU"/>
        </w:rPr>
      </w:pPr>
      <w:r w:rsidRPr="00B56FAA">
        <w:rPr>
          <w:szCs w:val="20"/>
          <w:lang w:val="en-AU"/>
        </w:rPr>
        <w:br w:type="page"/>
      </w:r>
      <w:r w:rsidR="00AD767A" w:rsidRPr="00B56FAA">
        <w:rPr>
          <w:szCs w:val="20"/>
          <w:lang w:val="en-AU"/>
        </w:rPr>
        <w:lastRenderedPageBreak/>
        <w:t>The chart below shows DHA’s Senior Executive.</w:t>
      </w:r>
    </w:p>
    <w:p w14:paraId="3307793C" w14:textId="7C27E9B1" w:rsidR="00BD523A" w:rsidRPr="00B56FAA" w:rsidRDefault="00AD767A" w:rsidP="00F91C41">
      <w:pPr>
        <w:pStyle w:val="BodyText1"/>
        <w:outlineLvl w:val="5"/>
        <w:rPr>
          <w:rFonts w:ascii="Arial" w:hAnsi="Arial"/>
          <w:b/>
        </w:rPr>
      </w:pPr>
      <w:r w:rsidRPr="00B56FAA">
        <w:rPr>
          <w:rFonts w:ascii="Arial" w:hAnsi="Arial"/>
          <w:b/>
        </w:rPr>
        <w:t xml:space="preserve">Figure </w:t>
      </w:r>
      <w:r w:rsidR="00050BC3" w:rsidRPr="00B56FAA">
        <w:rPr>
          <w:rFonts w:ascii="Arial" w:hAnsi="Arial"/>
          <w:b/>
        </w:rPr>
        <w:t>1</w:t>
      </w:r>
      <w:r w:rsidRPr="00B56FAA">
        <w:rPr>
          <w:rFonts w:ascii="Arial" w:hAnsi="Arial"/>
          <w:b/>
        </w:rPr>
        <w:t>: DHA Organisational Structure</w:t>
      </w:r>
      <w:r w:rsidR="00BD523A" w:rsidRPr="00B56FAA">
        <w:rPr>
          <w:rFonts w:ascii="Arial" w:hAnsi="Arial"/>
          <w:b/>
        </w:rPr>
        <w:t xml:space="preserve"> </w:t>
      </w:r>
      <w:r w:rsidR="00BD523A" w:rsidRPr="004A6687">
        <w:rPr>
          <w:rFonts w:ascii="Arial" w:hAnsi="Arial"/>
          <w:b/>
        </w:rPr>
        <w:t>(</w:t>
      </w:r>
      <w:r w:rsidR="00BD523A" w:rsidRPr="002B2BCC">
        <w:rPr>
          <w:rFonts w:ascii="Arial" w:hAnsi="Arial"/>
          <w:b/>
        </w:rPr>
        <w:t xml:space="preserve">as at </w:t>
      </w:r>
      <w:r w:rsidR="0059622E" w:rsidRPr="00A55B88">
        <w:rPr>
          <w:rFonts w:ascii="Arial" w:hAnsi="Arial"/>
          <w:b/>
        </w:rPr>
        <w:t>4 February 2025</w:t>
      </w:r>
      <w:r w:rsidR="00BD523A" w:rsidRPr="004A6687">
        <w:rPr>
          <w:rFonts w:ascii="Arial" w:hAnsi="Arial"/>
          <w:b/>
        </w:rPr>
        <w:t>)</w:t>
      </w:r>
    </w:p>
    <w:p w14:paraId="40C2C1C6" w14:textId="4B6F0DED" w:rsidR="008367A0" w:rsidRDefault="004154DA" w:rsidP="00992893">
      <w:pPr>
        <w:pStyle w:val="BodyText1"/>
        <w:rPr>
          <w:rFonts w:ascii="Arial" w:hAnsi="Arial"/>
          <w:b/>
        </w:rPr>
      </w:pPr>
      <w:r>
        <w:rPr>
          <w:noProof/>
        </w:rPr>
        <w:drawing>
          <wp:inline distT="0" distB="0" distL="0" distR="0" wp14:anchorId="7E7607A6" wp14:editId="05C2C0B0">
            <wp:extent cx="5472430" cy="362565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472430" cy="3625653"/>
                    </a:xfrm>
                    <a:prstGeom prst="rect">
                      <a:avLst/>
                    </a:prstGeom>
                    <a:noFill/>
                  </pic:spPr>
                </pic:pic>
              </a:graphicData>
            </a:graphic>
          </wp:inline>
        </w:drawing>
      </w:r>
    </w:p>
    <w:p w14:paraId="0A908DA4" w14:textId="20C45497" w:rsidR="00E91B9F" w:rsidRDefault="00E91B9F" w:rsidP="00E91B9F">
      <w:pPr>
        <w:pStyle w:val="FigureHeading"/>
        <w:numPr>
          <w:ilvl w:val="0"/>
          <w:numId w:val="0"/>
        </w:numPr>
        <w:ind w:left="644"/>
        <w:rPr>
          <w:lang w:val="en-AU"/>
        </w:rPr>
      </w:pPr>
    </w:p>
    <w:p w14:paraId="669695B5" w14:textId="77777777" w:rsidR="00761824" w:rsidRPr="00B56FAA" w:rsidRDefault="00761824" w:rsidP="006C10EA">
      <w:pPr>
        <w:pStyle w:val="Heading4"/>
        <w:spacing w:before="0" w:after="200"/>
        <w:rPr>
          <w:rFonts w:ascii="Arial Bold" w:hAnsi="Arial Bold" w:cs="Arial"/>
          <w:sz w:val="24"/>
          <w:szCs w:val="24"/>
        </w:rPr>
      </w:pPr>
      <w:r w:rsidRPr="00B56FAA">
        <w:br w:type="page"/>
      </w:r>
      <w:bookmarkStart w:id="1380" w:name="_Toc507595444"/>
      <w:bookmarkStart w:id="1381" w:name="_Toc536089253"/>
      <w:bookmarkStart w:id="1382" w:name="_Toc536089513"/>
      <w:bookmarkStart w:id="1383" w:name="_Toc536089619"/>
      <w:bookmarkStart w:id="1384" w:name="_Toc1561707"/>
      <w:bookmarkStart w:id="1385" w:name="_Toc51691703"/>
      <w:bookmarkStart w:id="1386" w:name="_Toc69729073"/>
      <w:bookmarkStart w:id="1387" w:name="_Toc69917868"/>
      <w:bookmarkStart w:id="1388" w:name="_Toc97747857"/>
      <w:bookmarkStart w:id="1389" w:name="_Toc108088970"/>
      <w:bookmarkStart w:id="1390" w:name="_Toc108089049"/>
      <w:bookmarkStart w:id="1391" w:name="_Toc108089443"/>
      <w:bookmarkStart w:id="1392" w:name="_Toc109227765"/>
      <w:bookmarkStart w:id="1393" w:name="_Toc159499725"/>
      <w:bookmarkStart w:id="1394" w:name="_Toc159859144"/>
      <w:bookmarkStart w:id="1395" w:name="_Toc159859296"/>
      <w:r w:rsidRPr="00B56FAA">
        <w:rPr>
          <w:rFonts w:ascii="Arial Bold" w:hAnsi="Arial Bold" w:cs="Arial"/>
          <w:sz w:val="24"/>
          <w:szCs w:val="24"/>
        </w:rPr>
        <w:lastRenderedPageBreak/>
        <w:t>1.2 DHA Resource S</w:t>
      </w:r>
      <w:r w:rsidR="006C10EA" w:rsidRPr="00B56FAA">
        <w:rPr>
          <w:rFonts w:ascii="Arial Bold" w:hAnsi="Arial Bold" w:cs="Arial"/>
          <w:sz w:val="24"/>
          <w:szCs w:val="24"/>
        </w:rPr>
        <w:t>tatement</w:t>
      </w:r>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p>
    <w:p w14:paraId="39FA2562" w14:textId="3BAC0B15" w:rsidR="00761824" w:rsidRPr="00B56FAA" w:rsidRDefault="00761824" w:rsidP="00D9100A">
      <w:pPr>
        <w:pStyle w:val="TableHeading"/>
        <w:numPr>
          <w:ilvl w:val="0"/>
          <w:numId w:val="35"/>
        </w:numPr>
        <w:ind w:left="0" w:firstLine="0"/>
        <w:outlineLvl w:val="5"/>
        <w:rPr>
          <w:lang w:val="en-AU"/>
        </w:rPr>
      </w:pPr>
      <w:r w:rsidRPr="00B56FAA">
        <w:t xml:space="preserve">DHA Resource Statement – </w:t>
      </w:r>
      <w:r w:rsidR="003172E8" w:rsidRPr="00B56FAA">
        <w:t xml:space="preserve">Budget Estimates </w:t>
      </w:r>
      <w:r w:rsidR="003172E8" w:rsidRPr="004A6687">
        <w:t>fo</w:t>
      </w:r>
      <w:r w:rsidR="003172E8" w:rsidRPr="00064B3B">
        <w:t xml:space="preserve">r </w:t>
      </w:r>
      <w:r w:rsidR="003172E8" w:rsidRPr="002B2BCC">
        <w:t>202</w:t>
      </w:r>
      <w:r w:rsidR="0059622E">
        <w:t>5</w:t>
      </w:r>
      <w:r w:rsidR="003172E8" w:rsidRPr="002B2BCC">
        <w:t>-2</w:t>
      </w:r>
      <w:r w:rsidR="0059622E">
        <w:t>6</w:t>
      </w:r>
      <w:r w:rsidR="003172E8" w:rsidRPr="00B56FAA">
        <w:t xml:space="preserve"> as at </w:t>
      </w:r>
      <w:r w:rsidR="00565D3C" w:rsidRPr="00B56FAA">
        <w:t>Ma</w:t>
      </w:r>
      <w:r w:rsidR="0059622E">
        <w:t>rch</w:t>
      </w:r>
      <w:r w:rsidR="00833F8E" w:rsidRPr="00B56FAA">
        <w:t xml:space="preserve"> </w:t>
      </w:r>
      <w:r w:rsidR="004601AD" w:rsidRPr="00B56FAA">
        <w:t>Budget</w:t>
      </w:r>
      <w:r w:rsidR="00E04845">
        <w:t> </w:t>
      </w:r>
      <w:r w:rsidR="0059622E">
        <w:t>2025</w:t>
      </w:r>
      <w:r w:rsidR="00AA72CC" w:rsidRPr="00B56FAA">
        <w:t xml:space="preserve"> </w:t>
      </w:r>
      <w:r w:rsidR="003B4294" w:rsidRPr="00B56FAA">
        <w:rPr>
          <w:rFonts w:ascii="Arial Bold" w:hAnsi="Arial Bold"/>
          <w:vertAlign w:val="superscript"/>
        </w:rPr>
        <w:t>[a</w:t>
      </w:r>
      <w:r w:rsidR="00C14AE8" w:rsidRPr="00B56FAA">
        <w:rPr>
          <w:rFonts w:ascii="Arial Bold" w:hAnsi="Arial Bold"/>
          <w:vertAlign w:val="superscript"/>
        </w:rPr>
        <w:t>]</w:t>
      </w:r>
    </w:p>
    <w:tbl>
      <w:tblPr>
        <w:tblW w:w="7680" w:type="dxa"/>
        <w:tblLook w:val="04A0" w:firstRow="1" w:lastRow="0" w:firstColumn="1" w:lastColumn="0" w:noHBand="0" w:noVBand="1"/>
      </w:tblPr>
      <w:tblGrid>
        <w:gridCol w:w="5320"/>
        <w:gridCol w:w="1180"/>
        <w:gridCol w:w="1180"/>
      </w:tblGrid>
      <w:tr w:rsidR="005550C7" w:rsidRPr="00B56FAA" w14:paraId="2FB051EE" w14:textId="77777777" w:rsidTr="00FE2D94">
        <w:trPr>
          <w:trHeight w:val="794"/>
        </w:trPr>
        <w:tc>
          <w:tcPr>
            <w:tcW w:w="5320" w:type="dxa"/>
            <w:tcBorders>
              <w:top w:val="single" w:sz="4" w:space="0" w:color="auto"/>
              <w:left w:val="nil"/>
              <w:bottom w:val="single" w:sz="4" w:space="0" w:color="auto"/>
              <w:right w:val="nil"/>
            </w:tcBorders>
            <w:shd w:val="clear" w:color="000000" w:fill="FFFFFF"/>
            <w:noWrap/>
            <w:vAlign w:val="bottom"/>
            <w:hideMark/>
          </w:tcPr>
          <w:p w14:paraId="4C78F844" w14:textId="77777777" w:rsidR="005550C7" w:rsidRPr="00B56FAA" w:rsidRDefault="005550C7" w:rsidP="005550C7">
            <w:pPr>
              <w:rPr>
                <w:rFonts w:ascii="Arial" w:hAnsi="Arial"/>
                <w:color w:val="000000"/>
                <w:sz w:val="16"/>
                <w:szCs w:val="16"/>
                <w:lang w:val="en-AU"/>
              </w:rPr>
            </w:pPr>
          </w:p>
        </w:tc>
        <w:tc>
          <w:tcPr>
            <w:tcW w:w="1180" w:type="dxa"/>
            <w:tcBorders>
              <w:top w:val="single" w:sz="4" w:space="0" w:color="auto"/>
              <w:left w:val="nil"/>
              <w:bottom w:val="single" w:sz="4" w:space="0" w:color="auto"/>
              <w:right w:val="nil"/>
            </w:tcBorders>
            <w:shd w:val="clear" w:color="000000" w:fill="FFFFFF"/>
            <w:hideMark/>
          </w:tcPr>
          <w:p w14:paraId="57D93679" w14:textId="27CF29FD" w:rsidR="005550C7" w:rsidRPr="00B56FAA" w:rsidRDefault="005550C7" w:rsidP="0059622E">
            <w:pPr>
              <w:spacing w:before="0" w:after="0"/>
              <w:jc w:val="right"/>
              <w:rPr>
                <w:rFonts w:ascii="Arial" w:hAnsi="Arial"/>
                <w:b/>
                <w:iCs/>
                <w:color w:val="000000"/>
                <w:sz w:val="16"/>
                <w:szCs w:val="16"/>
                <w:lang w:val="en-AU"/>
              </w:rPr>
            </w:pPr>
            <w:r w:rsidRPr="002B2BCC">
              <w:rPr>
                <w:rFonts w:ascii="Arial" w:hAnsi="Arial"/>
                <w:b/>
                <w:iCs/>
                <w:color w:val="000000"/>
                <w:sz w:val="16"/>
                <w:szCs w:val="16"/>
                <w:lang w:val="en-AU"/>
              </w:rPr>
              <w:t>202</w:t>
            </w:r>
            <w:r w:rsidR="0059622E">
              <w:rPr>
                <w:rFonts w:ascii="Arial" w:hAnsi="Arial"/>
                <w:b/>
                <w:iCs/>
                <w:color w:val="000000"/>
                <w:sz w:val="16"/>
                <w:szCs w:val="16"/>
                <w:lang w:val="en-AU"/>
              </w:rPr>
              <w:t>4</w:t>
            </w:r>
            <w:r w:rsidRPr="002B2BCC">
              <w:rPr>
                <w:rFonts w:ascii="Arial" w:hAnsi="Arial"/>
                <w:b/>
                <w:iCs/>
                <w:color w:val="000000"/>
                <w:sz w:val="16"/>
                <w:szCs w:val="16"/>
                <w:lang w:val="en-AU"/>
              </w:rPr>
              <w:t>-2</w:t>
            </w:r>
            <w:r w:rsidR="0059622E">
              <w:rPr>
                <w:rFonts w:ascii="Arial" w:hAnsi="Arial"/>
                <w:b/>
                <w:iCs/>
                <w:color w:val="000000"/>
                <w:sz w:val="16"/>
                <w:szCs w:val="16"/>
                <w:lang w:val="en-AU"/>
              </w:rPr>
              <w:t>5</w:t>
            </w:r>
            <w:r w:rsidR="00A151D0" w:rsidRPr="00B56FAA">
              <w:rPr>
                <w:rFonts w:ascii="Arial" w:hAnsi="Arial"/>
                <w:b/>
                <w:iCs/>
                <w:color w:val="000000"/>
                <w:sz w:val="16"/>
                <w:szCs w:val="16"/>
                <w:lang w:val="en-AU"/>
              </w:rPr>
              <w:t xml:space="preserve"> Estimated A</w:t>
            </w:r>
            <w:r w:rsidRPr="00B56FAA">
              <w:rPr>
                <w:rFonts w:ascii="Arial" w:hAnsi="Arial"/>
                <w:b/>
                <w:iCs/>
                <w:color w:val="000000"/>
                <w:sz w:val="16"/>
                <w:szCs w:val="16"/>
                <w:lang w:val="en-AU"/>
              </w:rPr>
              <w:t>ctual</w:t>
            </w:r>
            <w:r w:rsidRPr="00B56FAA">
              <w:rPr>
                <w:rFonts w:ascii="Arial" w:hAnsi="Arial"/>
                <w:b/>
                <w:iCs/>
                <w:color w:val="000000"/>
                <w:sz w:val="16"/>
                <w:szCs w:val="16"/>
                <w:lang w:val="en-AU"/>
              </w:rPr>
              <w:br/>
              <w:t>$'000</w:t>
            </w:r>
          </w:p>
        </w:tc>
        <w:tc>
          <w:tcPr>
            <w:tcW w:w="1180" w:type="dxa"/>
            <w:tcBorders>
              <w:top w:val="single" w:sz="4" w:space="0" w:color="auto"/>
              <w:left w:val="nil"/>
              <w:bottom w:val="single" w:sz="4" w:space="0" w:color="auto"/>
              <w:right w:val="nil"/>
            </w:tcBorders>
            <w:shd w:val="clear" w:color="auto" w:fill="E6E6E6"/>
            <w:hideMark/>
          </w:tcPr>
          <w:p w14:paraId="430B9DC4" w14:textId="193903A8" w:rsidR="005550C7" w:rsidRPr="00B56FAA" w:rsidRDefault="005550C7" w:rsidP="0059622E">
            <w:pPr>
              <w:spacing w:before="0" w:after="0"/>
              <w:jc w:val="right"/>
              <w:rPr>
                <w:rFonts w:ascii="Arial" w:hAnsi="Arial"/>
                <w:b/>
                <w:color w:val="000000"/>
                <w:sz w:val="16"/>
                <w:szCs w:val="16"/>
                <w:lang w:val="en-AU"/>
              </w:rPr>
            </w:pPr>
            <w:r w:rsidRPr="002B2BCC">
              <w:rPr>
                <w:rFonts w:ascii="Arial" w:hAnsi="Arial"/>
                <w:b/>
                <w:color w:val="000000"/>
                <w:sz w:val="16"/>
                <w:szCs w:val="16"/>
                <w:lang w:val="en-AU"/>
              </w:rPr>
              <w:t>202</w:t>
            </w:r>
            <w:r w:rsidR="0059622E">
              <w:rPr>
                <w:rFonts w:ascii="Arial" w:hAnsi="Arial"/>
                <w:b/>
                <w:color w:val="000000"/>
                <w:sz w:val="16"/>
                <w:szCs w:val="16"/>
                <w:lang w:val="en-AU"/>
              </w:rPr>
              <w:t>5</w:t>
            </w:r>
            <w:r w:rsidRPr="002B2BCC">
              <w:rPr>
                <w:rFonts w:ascii="Arial" w:hAnsi="Arial"/>
                <w:b/>
                <w:color w:val="000000"/>
                <w:sz w:val="16"/>
                <w:szCs w:val="16"/>
                <w:lang w:val="en-AU"/>
              </w:rPr>
              <w:t>-2</w:t>
            </w:r>
            <w:r w:rsidR="0059622E">
              <w:rPr>
                <w:rFonts w:ascii="Arial" w:hAnsi="Arial"/>
                <w:b/>
                <w:color w:val="000000"/>
                <w:sz w:val="16"/>
                <w:szCs w:val="16"/>
                <w:lang w:val="en-AU"/>
              </w:rPr>
              <w:t>6</w:t>
            </w:r>
            <w:r w:rsidRPr="00B56FAA">
              <w:rPr>
                <w:rFonts w:ascii="Arial" w:hAnsi="Arial"/>
                <w:b/>
                <w:color w:val="000000"/>
                <w:sz w:val="16"/>
                <w:szCs w:val="16"/>
                <w:lang w:val="en-AU"/>
              </w:rPr>
              <w:t xml:space="preserve"> </w:t>
            </w:r>
            <w:r w:rsidR="00A44374" w:rsidRPr="00B56FAA">
              <w:rPr>
                <w:rFonts w:ascii="Arial" w:hAnsi="Arial"/>
                <w:b/>
                <w:color w:val="000000"/>
                <w:sz w:val="16"/>
                <w:szCs w:val="16"/>
                <w:lang w:val="en-AU"/>
              </w:rPr>
              <w:t>Budget</w:t>
            </w:r>
            <w:r w:rsidR="00A44374" w:rsidRPr="00B56FAA">
              <w:rPr>
                <w:rFonts w:ascii="Arial" w:hAnsi="Arial"/>
                <w:b/>
                <w:color w:val="000000"/>
                <w:sz w:val="16"/>
                <w:szCs w:val="16"/>
                <w:lang w:val="en-AU"/>
              </w:rPr>
              <w:br/>
            </w:r>
            <w:r w:rsidRPr="00B56FAA">
              <w:rPr>
                <w:rFonts w:ascii="Arial" w:hAnsi="Arial"/>
                <w:b/>
                <w:color w:val="000000"/>
                <w:sz w:val="16"/>
                <w:szCs w:val="16"/>
                <w:lang w:val="en-AU"/>
              </w:rPr>
              <w:t>Estimate</w:t>
            </w:r>
            <w:r w:rsidRPr="00B56FAA">
              <w:rPr>
                <w:rFonts w:ascii="Arial" w:hAnsi="Arial"/>
                <w:b/>
                <w:color w:val="000000"/>
                <w:sz w:val="16"/>
                <w:szCs w:val="16"/>
                <w:lang w:val="en-AU"/>
              </w:rPr>
              <w:br/>
              <w:t>$'000</w:t>
            </w:r>
          </w:p>
        </w:tc>
      </w:tr>
      <w:tr w:rsidR="0059622E" w:rsidRPr="00B56FAA" w14:paraId="45DF00E8" w14:textId="77777777" w:rsidTr="002A5A4F">
        <w:trPr>
          <w:trHeight w:val="225"/>
        </w:trPr>
        <w:tc>
          <w:tcPr>
            <w:tcW w:w="5320" w:type="dxa"/>
            <w:tcBorders>
              <w:top w:val="single" w:sz="4" w:space="0" w:color="auto"/>
              <w:left w:val="nil"/>
              <w:bottom w:val="nil"/>
              <w:right w:val="nil"/>
            </w:tcBorders>
            <w:shd w:val="clear" w:color="000000" w:fill="FFFFFF"/>
            <w:noWrap/>
            <w:vAlign w:val="bottom"/>
            <w:hideMark/>
          </w:tcPr>
          <w:p w14:paraId="1A43D641" w14:textId="77777777" w:rsidR="0059622E" w:rsidRPr="002B2BCC" w:rsidRDefault="0059622E" w:rsidP="0059622E">
            <w:pPr>
              <w:spacing w:before="0" w:after="0"/>
              <w:rPr>
                <w:rFonts w:ascii="Arial" w:hAnsi="Arial"/>
                <w:b/>
                <w:bCs/>
                <w:color w:val="000000"/>
                <w:sz w:val="16"/>
                <w:szCs w:val="16"/>
                <w:lang w:val="en-AU"/>
              </w:rPr>
            </w:pPr>
            <w:r w:rsidRPr="002B2BCC">
              <w:rPr>
                <w:rFonts w:ascii="Arial" w:hAnsi="Arial"/>
                <w:b/>
                <w:bCs/>
                <w:color w:val="000000"/>
                <w:sz w:val="16"/>
                <w:szCs w:val="16"/>
                <w:lang w:val="en-AU"/>
              </w:rPr>
              <w:t>Opening balance/cash reserves at 1 July</w:t>
            </w:r>
          </w:p>
        </w:tc>
        <w:tc>
          <w:tcPr>
            <w:tcW w:w="1180" w:type="dxa"/>
            <w:tcBorders>
              <w:top w:val="single" w:sz="4" w:space="0" w:color="auto"/>
              <w:left w:val="nil"/>
              <w:bottom w:val="single" w:sz="4" w:space="0" w:color="auto"/>
              <w:right w:val="nil"/>
            </w:tcBorders>
            <w:shd w:val="clear" w:color="000000" w:fill="FFFFFF"/>
            <w:noWrap/>
            <w:vAlign w:val="bottom"/>
          </w:tcPr>
          <w:p w14:paraId="377F3755" w14:textId="375BD996" w:rsidR="0059622E" w:rsidRPr="00C64681" w:rsidRDefault="0059622E" w:rsidP="0059622E">
            <w:pPr>
              <w:spacing w:before="0" w:after="0"/>
              <w:jc w:val="right"/>
              <w:rPr>
                <w:rFonts w:ascii="Arial" w:hAnsi="Arial"/>
                <w:iCs/>
                <w:color w:val="000000"/>
                <w:sz w:val="15"/>
                <w:szCs w:val="15"/>
                <w:lang w:val="en-AU"/>
              </w:rPr>
            </w:pPr>
            <w:r>
              <w:rPr>
                <w:rFonts w:ascii="Arial" w:hAnsi="Arial"/>
                <w:i/>
                <w:iCs/>
                <w:color w:val="000000"/>
                <w:sz w:val="16"/>
                <w:szCs w:val="16"/>
              </w:rPr>
              <w:t xml:space="preserve">108,073 </w:t>
            </w:r>
          </w:p>
        </w:tc>
        <w:tc>
          <w:tcPr>
            <w:tcW w:w="1180" w:type="dxa"/>
            <w:tcBorders>
              <w:top w:val="single" w:sz="4" w:space="0" w:color="auto"/>
              <w:left w:val="nil"/>
              <w:bottom w:val="single" w:sz="4" w:space="0" w:color="auto"/>
              <w:right w:val="nil"/>
            </w:tcBorders>
            <w:shd w:val="clear" w:color="auto" w:fill="E6E6E6"/>
            <w:noWrap/>
            <w:vAlign w:val="bottom"/>
          </w:tcPr>
          <w:p w14:paraId="267A88CE" w14:textId="63F440E4" w:rsidR="0059622E" w:rsidRPr="00C64681" w:rsidRDefault="0059622E" w:rsidP="0059622E">
            <w:pPr>
              <w:spacing w:before="0" w:after="0"/>
              <w:jc w:val="right"/>
              <w:rPr>
                <w:rFonts w:ascii="Arial" w:hAnsi="Arial"/>
                <w:color w:val="000000"/>
                <w:sz w:val="15"/>
                <w:szCs w:val="15"/>
                <w:lang w:val="en-AU"/>
              </w:rPr>
            </w:pPr>
            <w:r>
              <w:rPr>
                <w:rFonts w:ascii="Arial" w:hAnsi="Arial"/>
                <w:color w:val="000000"/>
                <w:sz w:val="16"/>
                <w:szCs w:val="16"/>
              </w:rPr>
              <w:t xml:space="preserve">119,929 </w:t>
            </w:r>
          </w:p>
        </w:tc>
      </w:tr>
      <w:tr w:rsidR="0059622E" w:rsidRPr="00B56FAA" w14:paraId="1B5EE27C" w14:textId="77777777" w:rsidTr="002A5A4F">
        <w:trPr>
          <w:trHeight w:val="225"/>
        </w:trPr>
        <w:tc>
          <w:tcPr>
            <w:tcW w:w="5320" w:type="dxa"/>
            <w:tcBorders>
              <w:top w:val="nil"/>
              <w:left w:val="nil"/>
              <w:bottom w:val="nil"/>
              <w:right w:val="nil"/>
            </w:tcBorders>
            <w:shd w:val="clear" w:color="000000" w:fill="FFFFFF"/>
            <w:vAlign w:val="bottom"/>
            <w:hideMark/>
          </w:tcPr>
          <w:p w14:paraId="1732955B" w14:textId="77777777" w:rsidR="0059622E" w:rsidRPr="002B2BCC" w:rsidRDefault="0059622E" w:rsidP="0059622E">
            <w:pPr>
              <w:spacing w:before="0" w:after="0"/>
              <w:rPr>
                <w:rFonts w:ascii="Arial" w:hAnsi="Arial"/>
                <w:b/>
                <w:bCs/>
                <w:color w:val="000000"/>
                <w:sz w:val="16"/>
                <w:szCs w:val="16"/>
                <w:lang w:val="en-AU"/>
              </w:rPr>
            </w:pPr>
            <w:r w:rsidRPr="002B2BCC">
              <w:rPr>
                <w:rFonts w:ascii="Arial" w:hAnsi="Arial"/>
                <w:b/>
                <w:bCs/>
                <w:color w:val="000000"/>
                <w:sz w:val="16"/>
                <w:szCs w:val="16"/>
                <w:lang w:val="en-AU"/>
              </w:rPr>
              <w:t>Funds from Government</w:t>
            </w:r>
          </w:p>
        </w:tc>
        <w:tc>
          <w:tcPr>
            <w:tcW w:w="1180" w:type="dxa"/>
            <w:tcBorders>
              <w:top w:val="nil"/>
              <w:left w:val="nil"/>
              <w:bottom w:val="nil"/>
              <w:right w:val="nil"/>
            </w:tcBorders>
            <w:shd w:val="clear" w:color="000000" w:fill="FFFFFF"/>
            <w:noWrap/>
            <w:vAlign w:val="bottom"/>
          </w:tcPr>
          <w:p w14:paraId="0A988C11" w14:textId="04773EAF" w:rsidR="0059622E" w:rsidRPr="00C64681" w:rsidRDefault="0059622E" w:rsidP="0059622E">
            <w:pPr>
              <w:spacing w:before="0" w:after="0"/>
              <w:jc w:val="right"/>
              <w:rPr>
                <w:rFonts w:ascii="Arial" w:hAnsi="Arial"/>
                <w:iCs/>
                <w:color w:val="000000"/>
                <w:sz w:val="15"/>
                <w:szCs w:val="15"/>
                <w:lang w:val="en-AU"/>
              </w:rPr>
            </w:pPr>
            <w:r>
              <w:rPr>
                <w:rFonts w:ascii="Arial" w:hAnsi="Arial"/>
                <w:i/>
                <w:color w:val="000000"/>
                <w:sz w:val="16"/>
                <w:szCs w:val="16"/>
              </w:rPr>
              <w:t xml:space="preserve">- </w:t>
            </w:r>
          </w:p>
        </w:tc>
        <w:tc>
          <w:tcPr>
            <w:tcW w:w="1180" w:type="dxa"/>
            <w:tcBorders>
              <w:top w:val="nil"/>
              <w:left w:val="nil"/>
              <w:bottom w:val="nil"/>
              <w:right w:val="nil"/>
            </w:tcBorders>
            <w:shd w:val="clear" w:color="auto" w:fill="E6E6E6"/>
            <w:noWrap/>
            <w:vAlign w:val="bottom"/>
          </w:tcPr>
          <w:p w14:paraId="19423102" w14:textId="0C3C6618" w:rsidR="0059622E" w:rsidRPr="00C64681" w:rsidRDefault="0059622E" w:rsidP="0059622E">
            <w:pPr>
              <w:spacing w:before="0" w:after="0"/>
              <w:jc w:val="right"/>
              <w:rPr>
                <w:rFonts w:ascii="Arial" w:hAnsi="Arial"/>
                <w:color w:val="000000"/>
                <w:sz w:val="15"/>
                <w:szCs w:val="15"/>
                <w:lang w:val="en-AU"/>
              </w:rPr>
            </w:pPr>
            <w:r>
              <w:rPr>
                <w:rFonts w:ascii="Arial" w:hAnsi="Arial"/>
                <w:color w:val="000000"/>
                <w:sz w:val="16"/>
                <w:szCs w:val="16"/>
              </w:rPr>
              <w:t xml:space="preserve">- </w:t>
            </w:r>
          </w:p>
        </w:tc>
      </w:tr>
      <w:tr w:rsidR="0059622E" w:rsidRPr="00B56FAA" w14:paraId="1838AEF3" w14:textId="77777777" w:rsidTr="002A5A4F">
        <w:trPr>
          <w:trHeight w:val="225"/>
        </w:trPr>
        <w:tc>
          <w:tcPr>
            <w:tcW w:w="5320" w:type="dxa"/>
            <w:tcBorders>
              <w:top w:val="nil"/>
              <w:left w:val="nil"/>
              <w:bottom w:val="nil"/>
              <w:right w:val="nil"/>
            </w:tcBorders>
            <w:shd w:val="clear" w:color="000000" w:fill="FFFFFF"/>
            <w:vAlign w:val="bottom"/>
            <w:hideMark/>
          </w:tcPr>
          <w:p w14:paraId="222370D6" w14:textId="77777777" w:rsidR="0059622E" w:rsidRPr="002B2BCC" w:rsidRDefault="0059622E" w:rsidP="0059622E">
            <w:pPr>
              <w:spacing w:before="0" w:after="0"/>
              <w:rPr>
                <w:rFonts w:ascii="Arial" w:hAnsi="Arial"/>
                <w:color w:val="000000"/>
                <w:sz w:val="16"/>
                <w:szCs w:val="16"/>
                <w:lang w:val="en-AU"/>
              </w:rPr>
            </w:pPr>
            <w:r w:rsidRPr="002B2BCC">
              <w:rPr>
                <w:rFonts w:ascii="Arial" w:hAnsi="Arial"/>
                <w:color w:val="000000"/>
                <w:sz w:val="16"/>
                <w:szCs w:val="16"/>
                <w:lang w:val="en-AU"/>
              </w:rPr>
              <w:t>Amounts received from related entities</w:t>
            </w:r>
          </w:p>
        </w:tc>
        <w:tc>
          <w:tcPr>
            <w:tcW w:w="1180" w:type="dxa"/>
            <w:tcBorders>
              <w:top w:val="nil"/>
              <w:left w:val="nil"/>
              <w:bottom w:val="nil"/>
              <w:right w:val="nil"/>
            </w:tcBorders>
            <w:shd w:val="clear" w:color="000000" w:fill="FFFFFF"/>
            <w:noWrap/>
            <w:vAlign w:val="bottom"/>
          </w:tcPr>
          <w:p w14:paraId="44AC87A6" w14:textId="2B605B0A" w:rsidR="0059622E" w:rsidRPr="00C64681" w:rsidRDefault="0059622E" w:rsidP="0059622E">
            <w:pPr>
              <w:spacing w:before="0" w:after="0"/>
              <w:jc w:val="right"/>
              <w:rPr>
                <w:rFonts w:ascii="Arial" w:hAnsi="Arial"/>
                <w:iCs/>
                <w:color w:val="000000"/>
                <w:sz w:val="15"/>
                <w:szCs w:val="15"/>
                <w:lang w:val="en-AU"/>
              </w:rPr>
            </w:pPr>
            <w:r>
              <w:rPr>
                <w:rFonts w:ascii="Arial" w:hAnsi="Arial"/>
                <w:i/>
                <w:color w:val="000000"/>
                <w:sz w:val="16"/>
                <w:szCs w:val="16"/>
              </w:rPr>
              <w:t xml:space="preserve">- </w:t>
            </w:r>
          </w:p>
        </w:tc>
        <w:tc>
          <w:tcPr>
            <w:tcW w:w="1180" w:type="dxa"/>
            <w:tcBorders>
              <w:top w:val="nil"/>
              <w:left w:val="nil"/>
              <w:bottom w:val="nil"/>
              <w:right w:val="nil"/>
            </w:tcBorders>
            <w:shd w:val="clear" w:color="auto" w:fill="E6E6E6"/>
            <w:noWrap/>
            <w:vAlign w:val="bottom"/>
          </w:tcPr>
          <w:p w14:paraId="29DCD734" w14:textId="26030B69" w:rsidR="0059622E" w:rsidRPr="00C64681" w:rsidRDefault="0059622E" w:rsidP="0059622E">
            <w:pPr>
              <w:spacing w:before="0" w:after="0"/>
              <w:jc w:val="right"/>
              <w:rPr>
                <w:rFonts w:ascii="Arial" w:hAnsi="Arial"/>
                <w:color w:val="000000"/>
                <w:sz w:val="15"/>
                <w:szCs w:val="15"/>
                <w:lang w:val="en-AU"/>
              </w:rPr>
            </w:pPr>
            <w:r>
              <w:rPr>
                <w:rFonts w:ascii="Arial" w:hAnsi="Arial"/>
                <w:color w:val="000000"/>
                <w:sz w:val="16"/>
                <w:szCs w:val="16"/>
              </w:rPr>
              <w:t xml:space="preserve">- </w:t>
            </w:r>
          </w:p>
        </w:tc>
      </w:tr>
      <w:tr w:rsidR="0059622E" w:rsidRPr="00B56FAA" w14:paraId="4BF0A0B6" w14:textId="77777777" w:rsidTr="002A5A4F">
        <w:trPr>
          <w:trHeight w:val="225"/>
        </w:trPr>
        <w:tc>
          <w:tcPr>
            <w:tcW w:w="5320" w:type="dxa"/>
            <w:tcBorders>
              <w:top w:val="nil"/>
              <w:left w:val="nil"/>
              <w:bottom w:val="nil"/>
              <w:right w:val="nil"/>
            </w:tcBorders>
            <w:shd w:val="clear" w:color="000000" w:fill="FFFFFF"/>
            <w:vAlign w:val="bottom"/>
            <w:hideMark/>
          </w:tcPr>
          <w:p w14:paraId="519C5793" w14:textId="77777777" w:rsidR="0059622E" w:rsidRPr="002B2BCC" w:rsidRDefault="0059622E" w:rsidP="0059622E">
            <w:pPr>
              <w:spacing w:before="0" w:after="0"/>
              <w:ind w:firstLineChars="100" w:firstLine="160"/>
              <w:rPr>
                <w:rFonts w:ascii="Arial" w:hAnsi="Arial"/>
                <w:color w:val="000000"/>
                <w:sz w:val="16"/>
                <w:szCs w:val="16"/>
                <w:lang w:val="en-AU"/>
              </w:rPr>
            </w:pPr>
            <w:r w:rsidRPr="002B2BCC">
              <w:rPr>
                <w:rFonts w:ascii="Arial" w:hAnsi="Arial"/>
                <w:color w:val="000000"/>
                <w:sz w:val="16"/>
                <w:szCs w:val="16"/>
                <w:lang w:val="en-AU"/>
              </w:rPr>
              <w:t>Amounts from portfolio department</w:t>
            </w:r>
          </w:p>
        </w:tc>
        <w:tc>
          <w:tcPr>
            <w:tcW w:w="1180" w:type="dxa"/>
            <w:tcBorders>
              <w:top w:val="nil"/>
              <w:left w:val="nil"/>
              <w:bottom w:val="nil"/>
              <w:right w:val="nil"/>
            </w:tcBorders>
            <w:shd w:val="clear" w:color="000000" w:fill="FFFFFF"/>
            <w:noWrap/>
            <w:vAlign w:val="bottom"/>
          </w:tcPr>
          <w:p w14:paraId="75D87E30" w14:textId="79FF9539" w:rsidR="0059622E" w:rsidRPr="00C64681" w:rsidRDefault="0059622E" w:rsidP="0059622E">
            <w:pPr>
              <w:spacing w:before="0" w:after="0"/>
              <w:jc w:val="right"/>
              <w:rPr>
                <w:rFonts w:ascii="Arial" w:hAnsi="Arial"/>
                <w:iCs/>
                <w:color w:val="000000"/>
                <w:sz w:val="15"/>
                <w:szCs w:val="15"/>
                <w:lang w:val="en-AU"/>
              </w:rPr>
            </w:pPr>
            <w:r>
              <w:rPr>
                <w:rFonts w:ascii="Arial" w:hAnsi="Arial"/>
                <w:i/>
                <w:iCs/>
                <w:color w:val="000000"/>
                <w:sz w:val="16"/>
                <w:szCs w:val="16"/>
              </w:rPr>
              <w:t xml:space="preserve">808,304 </w:t>
            </w:r>
          </w:p>
        </w:tc>
        <w:tc>
          <w:tcPr>
            <w:tcW w:w="1180" w:type="dxa"/>
            <w:tcBorders>
              <w:top w:val="nil"/>
              <w:left w:val="nil"/>
              <w:bottom w:val="nil"/>
              <w:right w:val="nil"/>
            </w:tcBorders>
            <w:shd w:val="clear" w:color="auto" w:fill="E6E6E6"/>
            <w:noWrap/>
            <w:vAlign w:val="bottom"/>
          </w:tcPr>
          <w:p w14:paraId="0D6DE4D6" w14:textId="4934A683" w:rsidR="0059622E" w:rsidRPr="00C64681" w:rsidRDefault="0059622E" w:rsidP="0059622E">
            <w:pPr>
              <w:spacing w:before="0" w:after="0"/>
              <w:jc w:val="right"/>
              <w:rPr>
                <w:rFonts w:ascii="Arial" w:hAnsi="Arial"/>
                <w:color w:val="000000"/>
                <w:sz w:val="15"/>
                <w:szCs w:val="15"/>
                <w:lang w:val="en-AU"/>
              </w:rPr>
            </w:pPr>
            <w:r>
              <w:rPr>
                <w:rFonts w:ascii="Arial" w:hAnsi="Arial"/>
                <w:color w:val="000000"/>
                <w:sz w:val="16"/>
                <w:szCs w:val="16"/>
              </w:rPr>
              <w:t xml:space="preserve">909,279 </w:t>
            </w:r>
          </w:p>
        </w:tc>
      </w:tr>
      <w:tr w:rsidR="0059622E" w:rsidRPr="00B56FAA" w14:paraId="073B0E52" w14:textId="77777777" w:rsidTr="002A5A4F">
        <w:trPr>
          <w:trHeight w:val="225"/>
        </w:trPr>
        <w:tc>
          <w:tcPr>
            <w:tcW w:w="5320" w:type="dxa"/>
            <w:tcBorders>
              <w:top w:val="nil"/>
              <w:left w:val="nil"/>
              <w:bottom w:val="nil"/>
              <w:right w:val="nil"/>
            </w:tcBorders>
            <w:shd w:val="clear" w:color="000000" w:fill="FFFFFF"/>
            <w:vAlign w:val="bottom"/>
            <w:hideMark/>
          </w:tcPr>
          <w:p w14:paraId="69523E15" w14:textId="77777777" w:rsidR="0059622E" w:rsidRPr="002B2BCC" w:rsidRDefault="0059622E" w:rsidP="0059622E">
            <w:pPr>
              <w:spacing w:before="0" w:after="0"/>
              <w:rPr>
                <w:rFonts w:ascii="Arial" w:hAnsi="Arial"/>
                <w:color w:val="000000"/>
                <w:sz w:val="16"/>
                <w:szCs w:val="16"/>
                <w:lang w:val="en-AU"/>
              </w:rPr>
            </w:pPr>
            <w:r w:rsidRPr="002B2BCC">
              <w:rPr>
                <w:rFonts w:ascii="Arial" w:hAnsi="Arial"/>
                <w:color w:val="000000"/>
                <w:sz w:val="16"/>
                <w:szCs w:val="16"/>
                <w:lang w:val="en-AU"/>
              </w:rPr>
              <w:t>Total amounts received from related entities</w:t>
            </w:r>
          </w:p>
        </w:tc>
        <w:tc>
          <w:tcPr>
            <w:tcW w:w="1180" w:type="dxa"/>
            <w:tcBorders>
              <w:top w:val="single" w:sz="4" w:space="0" w:color="auto"/>
              <w:left w:val="nil"/>
              <w:bottom w:val="single" w:sz="4" w:space="0" w:color="auto"/>
              <w:right w:val="nil"/>
            </w:tcBorders>
            <w:shd w:val="clear" w:color="000000" w:fill="FFFFFF"/>
            <w:noWrap/>
            <w:vAlign w:val="bottom"/>
          </w:tcPr>
          <w:p w14:paraId="13248EE9" w14:textId="7D69179A" w:rsidR="0059622E" w:rsidRPr="00C64681" w:rsidRDefault="0059622E" w:rsidP="0059622E">
            <w:pPr>
              <w:spacing w:before="0" w:after="0"/>
              <w:jc w:val="right"/>
              <w:rPr>
                <w:rFonts w:ascii="Arial" w:hAnsi="Arial"/>
                <w:iCs/>
                <w:color w:val="000000"/>
                <w:sz w:val="15"/>
                <w:szCs w:val="15"/>
                <w:lang w:val="en-AU"/>
              </w:rPr>
            </w:pPr>
            <w:r>
              <w:rPr>
                <w:rFonts w:ascii="Arial" w:hAnsi="Arial"/>
                <w:i/>
                <w:iCs/>
                <w:color w:val="000000"/>
                <w:sz w:val="16"/>
                <w:szCs w:val="16"/>
              </w:rPr>
              <w:t xml:space="preserve">808,304 </w:t>
            </w:r>
          </w:p>
        </w:tc>
        <w:tc>
          <w:tcPr>
            <w:tcW w:w="1180" w:type="dxa"/>
            <w:tcBorders>
              <w:top w:val="single" w:sz="4" w:space="0" w:color="auto"/>
              <w:left w:val="nil"/>
              <w:bottom w:val="single" w:sz="4" w:space="0" w:color="auto"/>
              <w:right w:val="nil"/>
            </w:tcBorders>
            <w:shd w:val="clear" w:color="auto" w:fill="E6E6E6"/>
            <w:noWrap/>
            <w:vAlign w:val="bottom"/>
          </w:tcPr>
          <w:p w14:paraId="7C8B4DF8" w14:textId="05FA9548" w:rsidR="0059622E" w:rsidRPr="00C64681" w:rsidRDefault="0059622E" w:rsidP="0059622E">
            <w:pPr>
              <w:spacing w:before="0" w:after="0"/>
              <w:jc w:val="right"/>
              <w:rPr>
                <w:rFonts w:ascii="Arial" w:hAnsi="Arial"/>
                <w:color w:val="000000"/>
                <w:sz w:val="15"/>
                <w:szCs w:val="15"/>
                <w:lang w:val="en-AU"/>
              </w:rPr>
            </w:pPr>
            <w:r>
              <w:rPr>
                <w:rFonts w:ascii="Arial" w:hAnsi="Arial"/>
                <w:color w:val="000000"/>
                <w:sz w:val="16"/>
                <w:szCs w:val="16"/>
              </w:rPr>
              <w:t xml:space="preserve">909,279 </w:t>
            </w:r>
          </w:p>
        </w:tc>
      </w:tr>
      <w:tr w:rsidR="0059622E" w:rsidRPr="00B56FAA" w14:paraId="45B6345F" w14:textId="77777777" w:rsidTr="002A5A4F">
        <w:trPr>
          <w:trHeight w:val="225"/>
        </w:trPr>
        <w:tc>
          <w:tcPr>
            <w:tcW w:w="5320" w:type="dxa"/>
            <w:tcBorders>
              <w:top w:val="nil"/>
              <w:left w:val="nil"/>
              <w:bottom w:val="nil"/>
              <w:right w:val="nil"/>
            </w:tcBorders>
            <w:shd w:val="clear" w:color="000000" w:fill="FFFFFF"/>
            <w:vAlign w:val="bottom"/>
            <w:hideMark/>
          </w:tcPr>
          <w:p w14:paraId="7FA11090" w14:textId="77777777" w:rsidR="0059622E" w:rsidRPr="002B2BCC" w:rsidRDefault="0059622E" w:rsidP="0059622E">
            <w:pPr>
              <w:spacing w:before="0" w:after="0"/>
              <w:rPr>
                <w:rFonts w:ascii="Arial" w:hAnsi="Arial"/>
                <w:b/>
                <w:bCs/>
                <w:color w:val="000000"/>
                <w:sz w:val="16"/>
                <w:szCs w:val="16"/>
                <w:lang w:val="en-AU"/>
              </w:rPr>
            </w:pPr>
            <w:r w:rsidRPr="002B2BCC">
              <w:rPr>
                <w:rFonts w:ascii="Arial" w:hAnsi="Arial"/>
                <w:b/>
                <w:bCs/>
                <w:color w:val="000000"/>
                <w:sz w:val="16"/>
                <w:szCs w:val="16"/>
                <w:lang w:val="en-AU"/>
              </w:rPr>
              <w:t>Total funds from Government</w:t>
            </w:r>
          </w:p>
        </w:tc>
        <w:tc>
          <w:tcPr>
            <w:tcW w:w="1180" w:type="dxa"/>
            <w:tcBorders>
              <w:top w:val="single" w:sz="4" w:space="0" w:color="auto"/>
              <w:left w:val="nil"/>
              <w:bottom w:val="single" w:sz="4" w:space="0" w:color="auto"/>
              <w:right w:val="nil"/>
            </w:tcBorders>
            <w:shd w:val="clear" w:color="000000" w:fill="FFFFFF"/>
            <w:noWrap/>
            <w:vAlign w:val="bottom"/>
          </w:tcPr>
          <w:p w14:paraId="61056E07" w14:textId="4AE4AB11" w:rsidR="0059622E" w:rsidRPr="00C64681" w:rsidRDefault="0059622E" w:rsidP="0059622E">
            <w:pPr>
              <w:spacing w:before="0" w:after="0"/>
              <w:jc w:val="right"/>
              <w:rPr>
                <w:rFonts w:ascii="Arial" w:hAnsi="Arial"/>
                <w:b/>
                <w:bCs/>
                <w:iCs/>
                <w:color w:val="000000"/>
                <w:sz w:val="15"/>
                <w:szCs w:val="15"/>
                <w:lang w:val="en-AU"/>
              </w:rPr>
            </w:pPr>
            <w:r>
              <w:rPr>
                <w:rFonts w:ascii="Arial" w:hAnsi="Arial"/>
                <w:b/>
                <w:bCs/>
                <w:i/>
                <w:iCs/>
                <w:color w:val="000000"/>
                <w:sz w:val="16"/>
                <w:szCs w:val="16"/>
              </w:rPr>
              <w:t xml:space="preserve">808,304 </w:t>
            </w:r>
          </w:p>
        </w:tc>
        <w:tc>
          <w:tcPr>
            <w:tcW w:w="1180" w:type="dxa"/>
            <w:tcBorders>
              <w:top w:val="single" w:sz="4" w:space="0" w:color="auto"/>
              <w:left w:val="nil"/>
              <w:bottom w:val="single" w:sz="4" w:space="0" w:color="auto"/>
              <w:right w:val="nil"/>
            </w:tcBorders>
            <w:shd w:val="clear" w:color="auto" w:fill="E6E6E6"/>
            <w:noWrap/>
            <w:vAlign w:val="bottom"/>
          </w:tcPr>
          <w:p w14:paraId="285AFD5A" w14:textId="6FEE60F7" w:rsidR="0059622E" w:rsidRPr="00C64681" w:rsidRDefault="0059622E" w:rsidP="0059622E">
            <w:pPr>
              <w:spacing w:before="0" w:after="0"/>
              <w:jc w:val="right"/>
              <w:rPr>
                <w:rFonts w:ascii="Arial" w:hAnsi="Arial"/>
                <w:b/>
                <w:bCs/>
                <w:color w:val="000000"/>
                <w:sz w:val="15"/>
                <w:szCs w:val="15"/>
                <w:lang w:val="en-AU"/>
              </w:rPr>
            </w:pPr>
            <w:r>
              <w:rPr>
                <w:rFonts w:ascii="Arial" w:hAnsi="Arial"/>
                <w:b/>
                <w:bCs/>
                <w:color w:val="000000"/>
                <w:sz w:val="16"/>
                <w:szCs w:val="16"/>
              </w:rPr>
              <w:t xml:space="preserve">909,279 </w:t>
            </w:r>
          </w:p>
        </w:tc>
      </w:tr>
      <w:tr w:rsidR="0059622E" w:rsidRPr="00B56FAA" w14:paraId="0FB0F292" w14:textId="77777777" w:rsidTr="002A5A4F">
        <w:trPr>
          <w:trHeight w:val="225"/>
        </w:trPr>
        <w:tc>
          <w:tcPr>
            <w:tcW w:w="5320" w:type="dxa"/>
            <w:tcBorders>
              <w:top w:val="nil"/>
              <w:left w:val="nil"/>
              <w:bottom w:val="nil"/>
              <w:right w:val="nil"/>
            </w:tcBorders>
            <w:shd w:val="clear" w:color="000000" w:fill="FFFFFF"/>
            <w:vAlign w:val="bottom"/>
            <w:hideMark/>
          </w:tcPr>
          <w:p w14:paraId="7A03EFB5" w14:textId="77777777" w:rsidR="0059622E" w:rsidRPr="002B2BCC" w:rsidRDefault="0059622E" w:rsidP="0059622E">
            <w:pPr>
              <w:spacing w:before="0" w:after="0"/>
              <w:rPr>
                <w:rFonts w:ascii="Arial" w:hAnsi="Arial"/>
                <w:b/>
                <w:bCs/>
                <w:color w:val="000000"/>
                <w:sz w:val="16"/>
                <w:szCs w:val="16"/>
                <w:lang w:val="en-AU"/>
              </w:rPr>
            </w:pPr>
            <w:r w:rsidRPr="002B2BCC">
              <w:rPr>
                <w:rFonts w:ascii="Arial" w:hAnsi="Arial"/>
                <w:b/>
                <w:bCs/>
                <w:color w:val="000000"/>
                <w:sz w:val="16"/>
                <w:szCs w:val="16"/>
                <w:lang w:val="en-AU"/>
              </w:rPr>
              <w:t>Funds from other sources</w:t>
            </w:r>
          </w:p>
        </w:tc>
        <w:tc>
          <w:tcPr>
            <w:tcW w:w="1180" w:type="dxa"/>
            <w:tcBorders>
              <w:top w:val="nil"/>
              <w:left w:val="nil"/>
              <w:bottom w:val="nil"/>
              <w:right w:val="nil"/>
            </w:tcBorders>
            <w:shd w:val="clear" w:color="000000" w:fill="FFFFFF"/>
            <w:noWrap/>
            <w:vAlign w:val="bottom"/>
          </w:tcPr>
          <w:p w14:paraId="040FF2BC" w14:textId="648FBF55" w:rsidR="0059622E" w:rsidRPr="00C64681" w:rsidRDefault="0059622E" w:rsidP="0059622E">
            <w:pPr>
              <w:spacing w:before="0" w:after="0"/>
              <w:jc w:val="right"/>
              <w:rPr>
                <w:rFonts w:ascii="Arial" w:hAnsi="Arial"/>
                <w:iCs/>
                <w:color w:val="000000"/>
                <w:sz w:val="15"/>
                <w:szCs w:val="15"/>
                <w:lang w:val="en-AU"/>
              </w:rPr>
            </w:pPr>
            <w:r>
              <w:rPr>
                <w:rFonts w:ascii="Arial" w:hAnsi="Arial"/>
                <w:i/>
                <w:color w:val="000000"/>
                <w:sz w:val="16"/>
                <w:szCs w:val="16"/>
              </w:rPr>
              <w:t> </w:t>
            </w:r>
          </w:p>
        </w:tc>
        <w:tc>
          <w:tcPr>
            <w:tcW w:w="1180" w:type="dxa"/>
            <w:tcBorders>
              <w:top w:val="nil"/>
              <w:left w:val="nil"/>
              <w:bottom w:val="nil"/>
              <w:right w:val="nil"/>
            </w:tcBorders>
            <w:shd w:val="clear" w:color="auto" w:fill="E6E6E6"/>
            <w:noWrap/>
            <w:vAlign w:val="bottom"/>
          </w:tcPr>
          <w:p w14:paraId="72DFD310" w14:textId="58AE55F3" w:rsidR="0059622E" w:rsidRPr="00C64681" w:rsidRDefault="0059622E" w:rsidP="0059622E">
            <w:pPr>
              <w:spacing w:before="0" w:after="0"/>
              <w:jc w:val="right"/>
              <w:rPr>
                <w:rFonts w:ascii="Arial" w:hAnsi="Arial"/>
                <w:color w:val="000000"/>
                <w:sz w:val="15"/>
                <w:szCs w:val="15"/>
                <w:lang w:val="en-AU"/>
              </w:rPr>
            </w:pPr>
            <w:r>
              <w:rPr>
                <w:rFonts w:ascii="Arial" w:hAnsi="Arial"/>
                <w:color w:val="000000"/>
                <w:sz w:val="16"/>
                <w:szCs w:val="16"/>
              </w:rPr>
              <w:t> </w:t>
            </w:r>
          </w:p>
        </w:tc>
      </w:tr>
      <w:tr w:rsidR="0059622E" w:rsidRPr="00B56FAA" w14:paraId="116C321E" w14:textId="77777777" w:rsidTr="002A5A4F">
        <w:trPr>
          <w:trHeight w:val="225"/>
        </w:trPr>
        <w:tc>
          <w:tcPr>
            <w:tcW w:w="5320" w:type="dxa"/>
            <w:tcBorders>
              <w:top w:val="nil"/>
              <w:left w:val="nil"/>
              <w:bottom w:val="nil"/>
              <w:right w:val="nil"/>
            </w:tcBorders>
            <w:shd w:val="clear" w:color="000000" w:fill="FFFFFF"/>
            <w:vAlign w:val="bottom"/>
            <w:hideMark/>
          </w:tcPr>
          <w:p w14:paraId="125671EE" w14:textId="77777777" w:rsidR="0059622E" w:rsidRPr="002B2BCC" w:rsidRDefault="0059622E" w:rsidP="0059622E">
            <w:pPr>
              <w:spacing w:before="0" w:after="0"/>
              <w:ind w:firstLineChars="100" w:firstLine="160"/>
              <w:rPr>
                <w:rFonts w:ascii="Arial" w:hAnsi="Arial"/>
                <w:color w:val="000000"/>
                <w:sz w:val="16"/>
                <w:szCs w:val="16"/>
                <w:lang w:val="en-AU"/>
              </w:rPr>
            </w:pPr>
            <w:r w:rsidRPr="002B2BCC">
              <w:rPr>
                <w:rFonts w:ascii="Arial" w:hAnsi="Arial"/>
                <w:color w:val="000000"/>
                <w:sz w:val="16"/>
                <w:szCs w:val="16"/>
                <w:lang w:val="en-AU"/>
              </w:rPr>
              <w:t>Interest</w:t>
            </w:r>
          </w:p>
        </w:tc>
        <w:tc>
          <w:tcPr>
            <w:tcW w:w="1180" w:type="dxa"/>
            <w:tcBorders>
              <w:top w:val="nil"/>
              <w:left w:val="nil"/>
              <w:bottom w:val="nil"/>
              <w:right w:val="nil"/>
            </w:tcBorders>
            <w:shd w:val="clear" w:color="000000" w:fill="FFFFFF"/>
            <w:noWrap/>
            <w:vAlign w:val="bottom"/>
          </w:tcPr>
          <w:p w14:paraId="195D755B" w14:textId="0F45E3D4" w:rsidR="0059622E" w:rsidRPr="00C64681" w:rsidRDefault="0059622E" w:rsidP="0059622E">
            <w:pPr>
              <w:spacing w:before="0" w:after="0"/>
              <w:jc w:val="right"/>
              <w:rPr>
                <w:rFonts w:ascii="Arial" w:hAnsi="Arial"/>
                <w:iCs/>
                <w:color w:val="000000"/>
                <w:sz w:val="15"/>
                <w:szCs w:val="15"/>
                <w:lang w:val="en-AU"/>
              </w:rPr>
            </w:pPr>
            <w:r>
              <w:rPr>
                <w:rFonts w:ascii="Arial" w:hAnsi="Arial"/>
                <w:i/>
                <w:iCs/>
                <w:color w:val="000000"/>
                <w:sz w:val="16"/>
                <w:szCs w:val="16"/>
              </w:rPr>
              <w:t xml:space="preserve">2,831 </w:t>
            </w:r>
          </w:p>
        </w:tc>
        <w:tc>
          <w:tcPr>
            <w:tcW w:w="1180" w:type="dxa"/>
            <w:tcBorders>
              <w:top w:val="nil"/>
              <w:left w:val="nil"/>
              <w:bottom w:val="nil"/>
              <w:right w:val="nil"/>
            </w:tcBorders>
            <w:shd w:val="clear" w:color="auto" w:fill="E6E6E6"/>
            <w:noWrap/>
            <w:vAlign w:val="bottom"/>
          </w:tcPr>
          <w:p w14:paraId="316BD8E2" w14:textId="092B73D3" w:rsidR="0059622E" w:rsidRPr="00C64681" w:rsidRDefault="0059622E" w:rsidP="0059622E">
            <w:pPr>
              <w:spacing w:before="0" w:after="0"/>
              <w:jc w:val="right"/>
              <w:rPr>
                <w:rFonts w:ascii="Arial" w:hAnsi="Arial"/>
                <w:color w:val="000000"/>
                <w:sz w:val="15"/>
                <w:szCs w:val="15"/>
                <w:lang w:val="en-AU"/>
              </w:rPr>
            </w:pPr>
            <w:r>
              <w:rPr>
                <w:rFonts w:ascii="Arial" w:hAnsi="Arial"/>
                <w:color w:val="000000"/>
                <w:sz w:val="16"/>
                <w:szCs w:val="16"/>
              </w:rPr>
              <w:t xml:space="preserve">1,365 </w:t>
            </w:r>
          </w:p>
        </w:tc>
      </w:tr>
      <w:tr w:rsidR="0059622E" w:rsidRPr="00B56FAA" w14:paraId="2FCF8EE5" w14:textId="77777777" w:rsidTr="002A5A4F">
        <w:trPr>
          <w:trHeight w:val="225"/>
        </w:trPr>
        <w:tc>
          <w:tcPr>
            <w:tcW w:w="5320" w:type="dxa"/>
            <w:tcBorders>
              <w:top w:val="nil"/>
              <w:left w:val="nil"/>
              <w:bottom w:val="nil"/>
              <w:right w:val="nil"/>
            </w:tcBorders>
            <w:shd w:val="clear" w:color="000000" w:fill="FFFFFF"/>
            <w:vAlign w:val="bottom"/>
            <w:hideMark/>
          </w:tcPr>
          <w:p w14:paraId="7ECB5E78" w14:textId="77777777" w:rsidR="0059622E" w:rsidRPr="002B2BCC" w:rsidRDefault="0059622E" w:rsidP="0059622E">
            <w:pPr>
              <w:spacing w:before="0" w:after="0"/>
              <w:ind w:firstLineChars="100" w:firstLine="160"/>
              <w:rPr>
                <w:rFonts w:ascii="Arial" w:hAnsi="Arial"/>
                <w:color w:val="000000"/>
                <w:sz w:val="16"/>
                <w:szCs w:val="16"/>
                <w:lang w:val="en-AU"/>
              </w:rPr>
            </w:pPr>
            <w:r w:rsidRPr="002B2BCC">
              <w:rPr>
                <w:rFonts w:ascii="Arial" w:hAnsi="Arial"/>
                <w:color w:val="000000"/>
                <w:sz w:val="16"/>
                <w:szCs w:val="16"/>
                <w:lang w:val="en-AU"/>
              </w:rPr>
              <w:t>Sale of goods and services</w:t>
            </w:r>
          </w:p>
        </w:tc>
        <w:tc>
          <w:tcPr>
            <w:tcW w:w="1180" w:type="dxa"/>
            <w:tcBorders>
              <w:top w:val="nil"/>
              <w:left w:val="nil"/>
              <w:bottom w:val="nil"/>
              <w:right w:val="nil"/>
            </w:tcBorders>
            <w:shd w:val="clear" w:color="000000" w:fill="FFFFFF"/>
            <w:noWrap/>
            <w:vAlign w:val="bottom"/>
          </w:tcPr>
          <w:p w14:paraId="5AF41CED" w14:textId="25587643" w:rsidR="0059622E" w:rsidRPr="00C64681" w:rsidRDefault="0059622E" w:rsidP="0059622E">
            <w:pPr>
              <w:spacing w:before="0" w:after="0"/>
              <w:jc w:val="right"/>
              <w:rPr>
                <w:rFonts w:ascii="Arial" w:hAnsi="Arial"/>
                <w:iCs/>
                <w:color w:val="000000"/>
                <w:sz w:val="15"/>
                <w:szCs w:val="15"/>
                <w:lang w:val="en-AU"/>
              </w:rPr>
            </w:pPr>
            <w:r>
              <w:rPr>
                <w:rFonts w:ascii="Arial" w:hAnsi="Arial"/>
                <w:i/>
                <w:iCs/>
                <w:color w:val="000000"/>
                <w:sz w:val="16"/>
                <w:szCs w:val="16"/>
              </w:rPr>
              <w:t xml:space="preserve">64,834 </w:t>
            </w:r>
          </w:p>
        </w:tc>
        <w:tc>
          <w:tcPr>
            <w:tcW w:w="1180" w:type="dxa"/>
            <w:tcBorders>
              <w:top w:val="nil"/>
              <w:left w:val="nil"/>
              <w:bottom w:val="nil"/>
              <w:right w:val="nil"/>
            </w:tcBorders>
            <w:shd w:val="clear" w:color="auto" w:fill="E6E6E6"/>
            <w:noWrap/>
            <w:vAlign w:val="bottom"/>
          </w:tcPr>
          <w:p w14:paraId="62068956" w14:textId="0070D72F" w:rsidR="0059622E" w:rsidRPr="00C64681" w:rsidRDefault="0059622E" w:rsidP="0059622E">
            <w:pPr>
              <w:spacing w:before="0" w:after="0"/>
              <w:jc w:val="right"/>
              <w:rPr>
                <w:rFonts w:ascii="Arial" w:hAnsi="Arial"/>
                <w:color w:val="000000"/>
                <w:sz w:val="15"/>
                <w:szCs w:val="15"/>
                <w:lang w:val="en-AU"/>
              </w:rPr>
            </w:pPr>
            <w:r>
              <w:rPr>
                <w:rFonts w:ascii="Arial" w:hAnsi="Arial"/>
                <w:color w:val="000000"/>
                <w:sz w:val="16"/>
                <w:szCs w:val="16"/>
              </w:rPr>
              <w:t xml:space="preserve">174,431 </w:t>
            </w:r>
          </w:p>
        </w:tc>
      </w:tr>
      <w:tr w:rsidR="0059622E" w:rsidRPr="00B56FAA" w14:paraId="58A3D0F0" w14:textId="77777777" w:rsidTr="002A5A4F">
        <w:trPr>
          <w:trHeight w:val="225"/>
        </w:trPr>
        <w:tc>
          <w:tcPr>
            <w:tcW w:w="5320" w:type="dxa"/>
            <w:tcBorders>
              <w:top w:val="nil"/>
              <w:left w:val="nil"/>
              <w:bottom w:val="nil"/>
              <w:right w:val="nil"/>
            </w:tcBorders>
            <w:shd w:val="clear" w:color="000000" w:fill="FFFFFF"/>
            <w:noWrap/>
            <w:vAlign w:val="bottom"/>
            <w:hideMark/>
          </w:tcPr>
          <w:p w14:paraId="48A9BB30" w14:textId="77777777" w:rsidR="0059622E" w:rsidRPr="002B2BCC" w:rsidRDefault="0059622E" w:rsidP="0059622E">
            <w:pPr>
              <w:spacing w:before="0" w:after="0"/>
              <w:rPr>
                <w:rFonts w:ascii="Arial" w:hAnsi="Arial"/>
                <w:b/>
                <w:bCs/>
                <w:color w:val="000000"/>
                <w:sz w:val="16"/>
                <w:szCs w:val="16"/>
                <w:lang w:val="en-AU"/>
              </w:rPr>
            </w:pPr>
            <w:r w:rsidRPr="002B2BCC">
              <w:rPr>
                <w:rFonts w:ascii="Arial" w:hAnsi="Arial"/>
                <w:b/>
                <w:bCs/>
                <w:color w:val="000000"/>
                <w:sz w:val="16"/>
                <w:szCs w:val="16"/>
                <w:lang w:val="en-AU"/>
              </w:rPr>
              <w:t>Total funds from other sources</w:t>
            </w:r>
          </w:p>
        </w:tc>
        <w:tc>
          <w:tcPr>
            <w:tcW w:w="1180" w:type="dxa"/>
            <w:tcBorders>
              <w:top w:val="single" w:sz="4" w:space="0" w:color="auto"/>
              <w:left w:val="nil"/>
              <w:bottom w:val="single" w:sz="4" w:space="0" w:color="auto"/>
              <w:right w:val="nil"/>
            </w:tcBorders>
            <w:shd w:val="clear" w:color="000000" w:fill="FFFFFF"/>
            <w:noWrap/>
            <w:vAlign w:val="bottom"/>
          </w:tcPr>
          <w:p w14:paraId="327EEBAB" w14:textId="7111F9AB" w:rsidR="0059622E" w:rsidRPr="00C64681" w:rsidRDefault="0059622E" w:rsidP="0059622E">
            <w:pPr>
              <w:spacing w:before="0" w:after="0"/>
              <w:jc w:val="right"/>
              <w:rPr>
                <w:rFonts w:ascii="Arial" w:hAnsi="Arial"/>
                <w:b/>
                <w:bCs/>
                <w:iCs/>
                <w:color w:val="000000"/>
                <w:sz w:val="15"/>
                <w:szCs w:val="15"/>
                <w:lang w:val="en-AU"/>
              </w:rPr>
            </w:pPr>
            <w:r>
              <w:rPr>
                <w:rFonts w:ascii="Arial" w:hAnsi="Arial"/>
                <w:b/>
                <w:bCs/>
                <w:i/>
                <w:iCs/>
                <w:color w:val="000000"/>
                <w:sz w:val="16"/>
                <w:szCs w:val="16"/>
              </w:rPr>
              <w:t xml:space="preserve">67,665 </w:t>
            </w:r>
          </w:p>
        </w:tc>
        <w:tc>
          <w:tcPr>
            <w:tcW w:w="1180" w:type="dxa"/>
            <w:tcBorders>
              <w:top w:val="single" w:sz="4" w:space="0" w:color="auto"/>
              <w:left w:val="nil"/>
              <w:bottom w:val="single" w:sz="4" w:space="0" w:color="auto"/>
              <w:right w:val="nil"/>
            </w:tcBorders>
            <w:shd w:val="clear" w:color="auto" w:fill="E6E6E6"/>
            <w:noWrap/>
            <w:vAlign w:val="bottom"/>
          </w:tcPr>
          <w:p w14:paraId="4A23C0AF" w14:textId="03C927EB" w:rsidR="0059622E" w:rsidRPr="00C64681" w:rsidRDefault="0059622E" w:rsidP="0059622E">
            <w:pPr>
              <w:spacing w:before="0" w:after="0"/>
              <w:jc w:val="right"/>
              <w:rPr>
                <w:rFonts w:ascii="Arial" w:hAnsi="Arial"/>
                <w:b/>
                <w:bCs/>
                <w:color w:val="000000"/>
                <w:sz w:val="15"/>
                <w:szCs w:val="15"/>
                <w:lang w:val="en-AU"/>
              </w:rPr>
            </w:pPr>
            <w:r>
              <w:rPr>
                <w:rFonts w:ascii="Arial" w:hAnsi="Arial"/>
                <w:b/>
                <w:bCs/>
                <w:color w:val="000000"/>
                <w:sz w:val="16"/>
                <w:szCs w:val="16"/>
              </w:rPr>
              <w:t xml:space="preserve">175,796 </w:t>
            </w:r>
          </w:p>
        </w:tc>
      </w:tr>
      <w:tr w:rsidR="0059622E" w:rsidRPr="00B56FAA" w14:paraId="1FA7CB23" w14:textId="77777777" w:rsidTr="002A5A4F">
        <w:trPr>
          <w:trHeight w:val="225"/>
        </w:trPr>
        <w:tc>
          <w:tcPr>
            <w:tcW w:w="5320" w:type="dxa"/>
            <w:tcBorders>
              <w:top w:val="nil"/>
              <w:left w:val="nil"/>
              <w:bottom w:val="single" w:sz="4" w:space="0" w:color="auto"/>
              <w:right w:val="nil"/>
            </w:tcBorders>
            <w:shd w:val="clear" w:color="000000" w:fill="FFFFFF"/>
            <w:noWrap/>
            <w:vAlign w:val="bottom"/>
            <w:hideMark/>
          </w:tcPr>
          <w:p w14:paraId="1F937F73" w14:textId="77777777" w:rsidR="0059622E" w:rsidRPr="002B2BCC" w:rsidRDefault="0059622E" w:rsidP="0059622E">
            <w:pPr>
              <w:spacing w:before="0" w:after="0"/>
              <w:rPr>
                <w:rFonts w:ascii="Arial" w:hAnsi="Arial"/>
                <w:b/>
                <w:bCs/>
                <w:color w:val="000000"/>
                <w:sz w:val="16"/>
                <w:szCs w:val="16"/>
                <w:lang w:val="en-AU"/>
              </w:rPr>
            </w:pPr>
            <w:r w:rsidRPr="002B2BCC">
              <w:rPr>
                <w:rFonts w:ascii="Arial" w:hAnsi="Arial"/>
                <w:b/>
                <w:bCs/>
                <w:color w:val="000000"/>
                <w:sz w:val="16"/>
                <w:szCs w:val="16"/>
                <w:lang w:val="en-AU"/>
              </w:rPr>
              <w:t>Total net resourcing for DHA</w:t>
            </w:r>
          </w:p>
        </w:tc>
        <w:tc>
          <w:tcPr>
            <w:tcW w:w="1180" w:type="dxa"/>
            <w:tcBorders>
              <w:top w:val="single" w:sz="4" w:space="0" w:color="auto"/>
              <w:left w:val="nil"/>
              <w:bottom w:val="single" w:sz="4" w:space="0" w:color="auto"/>
              <w:right w:val="nil"/>
            </w:tcBorders>
            <w:shd w:val="clear" w:color="000000" w:fill="FFFFFF"/>
            <w:noWrap/>
            <w:vAlign w:val="bottom"/>
          </w:tcPr>
          <w:p w14:paraId="788D26B5" w14:textId="2AD86558" w:rsidR="0059622E" w:rsidRPr="00C64681" w:rsidRDefault="0059622E" w:rsidP="0059622E">
            <w:pPr>
              <w:spacing w:before="0" w:after="0"/>
              <w:jc w:val="right"/>
              <w:rPr>
                <w:rFonts w:ascii="Arial" w:hAnsi="Arial"/>
                <w:b/>
                <w:bCs/>
                <w:iCs/>
                <w:color w:val="000000"/>
                <w:sz w:val="15"/>
                <w:szCs w:val="15"/>
                <w:lang w:val="en-AU"/>
              </w:rPr>
            </w:pPr>
            <w:r>
              <w:rPr>
                <w:rFonts w:ascii="Arial" w:hAnsi="Arial"/>
                <w:b/>
                <w:bCs/>
                <w:i/>
                <w:iCs/>
                <w:color w:val="000000"/>
                <w:sz w:val="16"/>
                <w:szCs w:val="16"/>
              </w:rPr>
              <w:t xml:space="preserve">984,042 </w:t>
            </w:r>
          </w:p>
        </w:tc>
        <w:tc>
          <w:tcPr>
            <w:tcW w:w="1180" w:type="dxa"/>
            <w:tcBorders>
              <w:top w:val="single" w:sz="4" w:space="0" w:color="auto"/>
              <w:left w:val="nil"/>
              <w:bottom w:val="single" w:sz="4" w:space="0" w:color="auto"/>
              <w:right w:val="nil"/>
            </w:tcBorders>
            <w:shd w:val="clear" w:color="auto" w:fill="E6E6E6"/>
            <w:noWrap/>
            <w:vAlign w:val="bottom"/>
          </w:tcPr>
          <w:p w14:paraId="5A12D5FA" w14:textId="0F75AB25" w:rsidR="0059622E" w:rsidRPr="00C64681" w:rsidRDefault="0059622E" w:rsidP="0059622E">
            <w:pPr>
              <w:spacing w:before="0" w:after="0"/>
              <w:jc w:val="right"/>
              <w:rPr>
                <w:rFonts w:ascii="Arial" w:hAnsi="Arial"/>
                <w:b/>
                <w:bCs/>
                <w:color w:val="000000"/>
                <w:sz w:val="15"/>
                <w:szCs w:val="15"/>
                <w:lang w:val="en-AU"/>
              </w:rPr>
            </w:pPr>
            <w:r>
              <w:rPr>
                <w:rFonts w:ascii="Arial" w:hAnsi="Arial"/>
                <w:b/>
                <w:bCs/>
                <w:color w:val="000000"/>
                <w:sz w:val="16"/>
                <w:szCs w:val="16"/>
              </w:rPr>
              <w:t xml:space="preserve">1,205,004 </w:t>
            </w:r>
          </w:p>
        </w:tc>
      </w:tr>
    </w:tbl>
    <w:p w14:paraId="0328C61A" w14:textId="77777777" w:rsidR="0086316A" w:rsidRPr="00B56FAA" w:rsidRDefault="0086316A" w:rsidP="0008019D">
      <w:pPr>
        <w:spacing w:before="0" w:after="0"/>
        <w:rPr>
          <w:rFonts w:ascii="Arial" w:hAnsi="Arial"/>
          <w:b/>
          <w:bCs/>
          <w:sz w:val="16"/>
          <w:szCs w:val="16"/>
          <w:lang w:val="en-AU"/>
        </w:rPr>
      </w:pPr>
    </w:p>
    <w:p w14:paraId="4E447264" w14:textId="77777777" w:rsidR="00E65A0A" w:rsidRPr="003C27CA" w:rsidRDefault="0086316A" w:rsidP="0008019D">
      <w:pPr>
        <w:spacing w:before="0" w:after="0"/>
        <w:rPr>
          <w:rFonts w:ascii="Arial" w:hAnsi="Arial"/>
          <w:b/>
          <w:bCs/>
          <w:sz w:val="14"/>
          <w:szCs w:val="14"/>
          <w:lang w:val="en-AU"/>
        </w:rPr>
      </w:pPr>
      <w:r w:rsidRPr="003C27CA">
        <w:rPr>
          <w:rFonts w:ascii="Arial" w:hAnsi="Arial"/>
          <w:b/>
          <w:bCs/>
          <w:sz w:val="14"/>
          <w:szCs w:val="14"/>
          <w:lang w:val="en-AU"/>
        </w:rPr>
        <w:t>Note</w:t>
      </w:r>
    </w:p>
    <w:p w14:paraId="32E540D8" w14:textId="77777777" w:rsidR="00121D48" w:rsidRPr="00040B05" w:rsidRDefault="00121D48" w:rsidP="00444A89">
      <w:pPr>
        <w:numPr>
          <w:ilvl w:val="0"/>
          <w:numId w:val="45"/>
        </w:numPr>
        <w:tabs>
          <w:tab w:val="clear" w:pos="227"/>
          <w:tab w:val="num" w:pos="0"/>
          <w:tab w:val="left" w:pos="284"/>
          <w:tab w:val="left" w:pos="4568"/>
        </w:tabs>
        <w:spacing w:before="0" w:after="0"/>
        <w:ind w:left="284" w:right="964" w:hanging="284"/>
        <w:rPr>
          <w:rFonts w:ascii="Arial" w:hAnsi="Arial"/>
          <w:color w:val="000000"/>
          <w:sz w:val="14"/>
          <w:szCs w:val="14"/>
        </w:rPr>
      </w:pPr>
      <w:bookmarkStart w:id="1396" w:name="_Toc507595445"/>
      <w:bookmarkStart w:id="1397" w:name="_Toc536089254"/>
      <w:bookmarkStart w:id="1398" w:name="_Toc536089514"/>
      <w:bookmarkStart w:id="1399" w:name="_Toc536089620"/>
      <w:bookmarkStart w:id="1400" w:name="_Toc1561708"/>
      <w:bookmarkStart w:id="1401" w:name="_Toc51691704"/>
      <w:bookmarkStart w:id="1402" w:name="_Toc69729074"/>
      <w:bookmarkStart w:id="1403" w:name="_Toc69917869"/>
      <w:bookmarkStart w:id="1404" w:name="_Toc97747858"/>
      <w:bookmarkStart w:id="1405" w:name="_Toc108088971"/>
      <w:bookmarkStart w:id="1406" w:name="_Toc108089050"/>
      <w:bookmarkStart w:id="1407" w:name="_Toc108089444"/>
      <w:bookmarkStart w:id="1408" w:name="_Toc109227766"/>
      <w:r w:rsidRPr="003C27CA">
        <w:rPr>
          <w:rFonts w:ascii="Arial" w:hAnsi="Arial"/>
          <w:sz w:val="14"/>
          <w:szCs w:val="14"/>
          <w:lang w:val="en-AU"/>
        </w:rPr>
        <w:t xml:space="preserve">DHA is not directly appropriated. Appropriations are made to </w:t>
      </w:r>
      <w:r w:rsidR="00041EA3" w:rsidRPr="003C27CA">
        <w:rPr>
          <w:rFonts w:ascii="Arial" w:hAnsi="Arial"/>
          <w:sz w:val="14"/>
          <w:szCs w:val="14"/>
          <w:lang w:val="en-AU"/>
        </w:rPr>
        <w:t xml:space="preserve">the </w:t>
      </w:r>
      <w:r w:rsidRPr="003C27CA">
        <w:rPr>
          <w:rFonts w:ascii="Arial" w:hAnsi="Arial"/>
          <w:sz w:val="14"/>
          <w:szCs w:val="14"/>
          <w:lang w:val="en-AU"/>
        </w:rPr>
        <w:t>Department of Defence which are then p</w:t>
      </w:r>
      <w:r w:rsidR="004346F9" w:rsidRPr="003C27CA">
        <w:rPr>
          <w:rFonts w:ascii="Arial" w:hAnsi="Arial"/>
          <w:sz w:val="14"/>
          <w:szCs w:val="14"/>
          <w:lang w:val="en-AU"/>
        </w:rPr>
        <w:t>aid to DHA and are considered "D</w:t>
      </w:r>
      <w:r w:rsidRPr="003C27CA">
        <w:rPr>
          <w:rFonts w:ascii="Arial" w:hAnsi="Arial"/>
          <w:sz w:val="14"/>
          <w:szCs w:val="14"/>
          <w:lang w:val="en-AU"/>
        </w:rPr>
        <w:t>epartmental" for all purposes</w:t>
      </w:r>
      <w:r w:rsidRPr="003C27CA">
        <w:rPr>
          <w:rFonts w:ascii="Arial" w:hAnsi="Arial"/>
          <w:color w:val="000000"/>
          <w:sz w:val="14"/>
          <w:szCs w:val="14"/>
          <w:lang w:val="en-AU"/>
        </w:rPr>
        <w:t xml:space="preserve"> </w:t>
      </w:r>
      <w:r w:rsidR="0043711D">
        <w:rPr>
          <w:rFonts w:ascii="Arial" w:hAnsi="Arial"/>
          <w:color w:val="000000"/>
          <w:sz w:val="14"/>
          <w:szCs w:val="14"/>
          <w:lang w:val="en-AU"/>
        </w:rPr>
        <w:t>p</w:t>
      </w:r>
      <w:r w:rsidRPr="003C27CA">
        <w:rPr>
          <w:rFonts w:ascii="Arial" w:hAnsi="Arial"/>
          <w:color w:val="000000"/>
          <w:sz w:val="14"/>
          <w:szCs w:val="14"/>
          <w:lang w:val="en-AU"/>
        </w:rPr>
        <w:t>repared on Australian Accounting Standards basis.</w:t>
      </w:r>
    </w:p>
    <w:p w14:paraId="1FF57922" w14:textId="77777777" w:rsidR="00761824" w:rsidRPr="00040B05" w:rsidRDefault="00040B05" w:rsidP="00040B05">
      <w:pPr>
        <w:tabs>
          <w:tab w:val="left" w:pos="284"/>
          <w:tab w:val="left" w:pos="4568"/>
        </w:tabs>
        <w:spacing w:before="0" w:after="0"/>
        <w:ind w:right="964"/>
        <w:rPr>
          <w:rFonts w:ascii="Arial Bold" w:hAnsi="Arial Bold"/>
          <w:sz w:val="24"/>
        </w:rPr>
      </w:pPr>
      <w:r w:rsidRPr="00261D23">
        <w:rPr>
          <w:rFonts w:ascii="Arial" w:hAnsi="Arial"/>
          <w:b/>
          <w:highlight w:val="yellow"/>
        </w:rPr>
        <w:br w:type="page"/>
      </w:r>
      <w:bookmarkStart w:id="1409" w:name="_Toc159499726"/>
      <w:bookmarkStart w:id="1410" w:name="_Toc159859145"/>
      <w:bookmarkStart w:id="1411" w:name="_Toc159859297"/>
      <w:r w:rsidR="00761824" w:rsidRPr="00040B05">
        <w:rPr>
          <w:rFonts w:ascii="Arial Bold" w:hAnsi="Arial Bold"/>
          <w:sz w:val="24"/>
        </w:rPr>
        <w:lastRenderedPageBreak/>
        <w:t>1.3 Budget Measures</w:t>
      </w:r>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p>
    <w:p w14:paraId="2734DEF3" w14:textId="28AA8292" w:rsidR="00761824" w:rsidRPr="00B56FAA" w:rsidRDefault="00A07B99" w:rsidP="00D36CCC">
      <w:pPr>
        <w:spacing w:before="120" w:after="120"/>
      </w:pPr>
      <w:r w:rsidRPr="002B2BCC">
        <w:t>There are no B</w:t>
      </w:r>
      <w:r w:rsidR="00761824" w:rsidRPr="002B2BCC">
        <w:t xml:space="preserve">udget </w:t>
      </w:r>
      <w:r w:rsidRPr="002B2BCC">
        <w:t>M</w:t>
      </w:r>
      <w:r w:rsidR="00761824" w:rsidRPr="002B2BCC">
        <w:t xml:space="preserve">easures relating to DHA for the </w:t>
      </w:r>
      <w:r w:rsidR="00FA185D" w:rsidRPr="002B2BCC">
        <w:t>202</w:t>
      </w:r>
      <w:r w:rsidR="0059622E">
        <w:t>5</w:t>
      </w:r>
      <w:r w:rsidR="00FA185D" w:rsidRPr="002B2BCC">
        <w:t>-2</w:t>
      </w:r>
      <w:r w:rsidR="0059622E">
        <w:t>6</w:t>
      </w:r>
      <w:r w:rsidR="00FA185D" w:rsidRPr="002B2BCC">
        <w:t xml:space="preserve"> </w:t>
      </w:r>
      <w:r w:rsidR="00761824" w:rsidRPr="002B2BCC">
        <w:t>Budget</w:t>
      </w:r>
      <w:r w:rsidR="00FA185D" w:rsidRPr="002B2BCC">
        <w:t xml:space="preserve"> Estimates</w:t>
      </w:r>
      <w:r w:rsidR="00761824" w:rsidRPr="002B2BCC">
        <w:t>.</w:t>
      </w:r>
    </w:p>
    <w:p w14:paraId="3259E2B3" w14:textId="77777777" w:rsidR="00761824" w:rsidRPr="00B56FAA" w:rsidRDefault="00761824" w:rsidP="00D36CCC">
      <w:pPr>
        <w:pStyle w:val="Heading2level3"/>
        <w:spacing w:before="120" w:after="120"/>
        <w:rPr>
          <w:szCs w:val="30"/>
        </w:rPr>
      </w:pPr>
      <w:r w:rsidRPr="00B56FAA">
        <w:br w:type="page"/>
      </w:r>
      <w:bookmarkStart w:id="1412" w:name="_Toc507595446"/>
      <w:bookmarkStart w:id="1413" w:name="_Toc536089255"/>
      <w:bookmarkStart w:id="1414" w:name="_Toc536089515"/>
      <w:bookmarkStart w:id="1415" w:name="_Toc536089621"/>
      <w:bookmarkStart w:id="1416" w:name="_Toc1561709"/>
      <w:bookmarkStart w:id="1417" w:name="_Toc51691705"/>
      <w:bookmarkStart w:id="1418" w:name="_Toc69729075"/>
      <w:bookmarkStart w:id="1419" w:name="_Toc69917870"/>
      <w:bookmarkStart w:id="1420" w:name="_Toc97747859"/>
      <w:bookmarkStart w:id="1421" w:name="_Toc108088972"/>
      <w:bookmarkStart w:id="1422" w:name="_Toc108089051"/>
      <w:bookmarkStart w:id="1423" w:name="_Toc108089445"/>
      <w:bookmarkStart w:id="1424" w:name="_Toc109227303"/>
      <w:bookmarkStart w:id="1425" w:name="_Toc109227767"/>
      <w:bookmarkStart w:id="1426" w:name="_Toc158896258"/>
      <w:bookmarkStart w:id="1427" w:name="_Toc158896315"/>
      <w:bookmarkStart w:id="1428" w:name="_Toc159499727"/>
      <w:bookmarkStart w:id="1429" w:name="_Toc159857692"/>
      <w:bookmarkStart w:id="1430" w:name="_Toc159857772"/>
      <w:bookmarkStart w:id="1431" w:name="_Toc159858168"/>
      <w:bookmarkStart w:id="1432" w:name="_Toc159858834"/>
      <w:bookmarkStart w:id="1433" w:name="_Toc159858904"/>
      <w:bookmarkStart w:id="1434" w:name="_Toc159859146"/>
      <w:bookmarkStart w:id="1435" w:name="_Toc159859298"/>
      <w:bookmarkStart w:id="1436" w:name="_Toc159862310"/>
      <w:bookmarkStart w:id="1437" w:name="_Toc159862500"/>
      <w:r w:rsidRPr="00B56FAA">
        <w:rPr>
          <w:szCs w:val="30"/>
        </w:rPr>
        <w:lastRenderedPageBreak/>
        <w:t>Section 2: DHA Outcomes and Planned Performance</w:t>
      </w:r>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p>
    <w:p w14:paraId="3D5ABF60" w14:textId="77777777" w:rsidR="00761824" w:rsidRPr="00B56FAA" w:rsidRDefault="00761824" w:rsidP="000E6700">
      <w:pPr>
        <w:spacing w:before="120" w:after="120"/>
      </w:pPr>
      <w:r w:rsidRPr="00B56FAA">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5D6C9140" w14:textId="77777777" w:rsidR="00761824" w:rsidRPr="00B56FAA" w:rsidRDefault="00761824" w:rsidP="000E6700">
      <w:pPr>
        <w:spacing w:before="120" w:after="120"/>
      </w:pPr>
      <w:r w:rsidRPr="00B56FAA">
        <w:t>Each outcome is described below together with its related programs. The following provides detailed information on expenses for each outcome and program, further</w:t>
      </w:r>
      <w:r w:rsidR="00244154" w:rsidRPr="00B56FAA">
        <w:t xml:space="preserve"> broken down by funding source.</w:t>
      </w:r>
    </w:p>
    <w:p w14:paraId="290D3A1D" w14:textId="77777777" w:rsidR="00761824" w:rsidRPr="00B56FAA" w:rsidRDefault="00761824" w:rsidP="00D36CCC">
      <w:pPr>
        <w:pBdr>
          <w:top w:val="single" w:sz="2" w:space="6" w:color="auto"/>
          <w:left w:val="single" w:sz="2" w:space="4" w:color="auto"/>
          <w:bottom w:val="single" w:sz="2" w:space="6" w:color="auto"/>
          <w:right w:val="single" w:sz="2" w:space="4" w:color="auto"/>
        </w:pBdr>
        <w:spacing w:before="120" w:after="120"/>
        <w:rPr>
          <w:b/>
        </w:rPr>
      </w:pPr>
      <w:r w:rsidRPr="00B56FAA">
        <w:rPr>
          <w:b/>
        </w:rPr>
        <w:t>Note:</w:t>
      </w:r>
    </w:p>
    <w:p w14:paraId="7B7B39A8" w14:textId="77777777" w:rsidR="00244154" w:rsidRPr="00B56FAA" w:rsidRDefault="00244154" w:rsidP="00D36CCC">
      <w:pPr>
        <w:pBdr>
          <w:top w:val="single" w:sz="2" w:space="6" w:color="auto"/>
          <w:left w:val="single" w:sz="2" w:space="4" w:color="auto"/>
          <w:bottom w:val="single" w:sz="2" w:space="6" w:color="auto"/>
          <w:right w:val="single" w:sz="2" w:space="4" w:color="auto"/>
        </w:pBdr>
        <w:spacing w:before="120" w:after="120" w:line="260" w:lineRule="exact"/>
        <w:rPr>
          <w:rFonts w:cs="Times New Roman"/>
          <w:szCs w:val="20"/>
          <w:lang w:val="en-AU"/>
        </w:rPr>
      </w:pPr>
      <w:r w:rsidRPr="00B56FAA">
        <w:rPr>
          <w:rFonts w:cs="Times New Roman"/>
          <w:szCs w:val="20"/>
          <w:lang w:val="en-AU"/>
        </w:rPr>
        <w:t xml:space="preserve">Performance reporting requirements in the Portfolio Budget Statements are part of the enhanced Commonwealth performance framework established by the </w:t>
      </w:r>
      <w:r w:rsidRPr="00B56FAA">
        <w:rPr>
          <w:rFonts w:cs="Times New Roman"/>
          <w:i/>
          <w:szCs w:val="20"/>
          <w:lang w:val="en-AU"/>
        </w:rPr>
        <w:t>Public Governance, Performance and Accountability Act 2013</w:t>
      </w:r>
      <w:r w:rsidRPr="00B56FAA">
        <w:rPr>
          <w:rFonts w:cs="Times New Roman"/>
          <w:szCs w:val="20"/>
          <w:lang w:val="en-AU"/>
        </w:rPr>
        <w:t xml:space="preserve">. It is anticipated that the performance </w:t>
      </w:r>
      <w:r w:rsidR="004A7815" w:rsidRPr="00B56FAA">
        <w:rPr>
          <w:rFonts w:cs="Times New Roman"/>
          <w:szCs w:val="20"/>
          <w:lang w:val="en-AU"/>
        </w:rPr>
        <w:t>measures</w:t>
      </w:r>
      <w:r w:rsidRPr="00B56FAA">
        <w:rPr>
          <w:rFonts w:cs="Times New Roman"/>
          <w:szCs w:val="20"/>
          <w:lang w:val="en-AU"/>
        </w:rPr>
        <w:t xml:space="preserve"> described in Portfolio Budget Statements will be read with broader information provided in an entity’s corporate plans and annual performance statements – included in Annual Reports - to provide </w:t>
      </w:r>
      <w:r w:rsidR="004C65CF" w:rsidRPr="00B56FAA">
        <w:rPr>
          <w:rFonts w:cs="Times New Roman"/>
          <w:szCs w:val="20"/>
          <w:lang w:val="en-AU"/>
        </w:rPr>
        <w:t xml:space="preserve">a complete picture of </w:t>
      </w:r>
      <w:r w:rsidRPr="00B56FAA">
        <w:rPr>
          <w:rFonts w:cs="Times New Roman"/>
          <w:szCs w:val="20"/>
          <w:lang w:val="en-AU"/>
        </w:rPr>
        <w:t xml:space="preserve">an entity’s </w:t>
      </w:r>
      <w:r w:rsidR="004C65CF" w:rsidRPr="00B56FAA">
        <w:rPr>
          <w:rFonts w:cs="Times New Roman"/>
          <w:szCs w:val="20"/>
          <w:lang w:val="en-AU"/>
        </w:rPr>
        <w:t>planned and actual performance</w:t>
      </w:r>
      <w:r w:rsidRPr="00B56FAA">
        <w:rPr>
          <w:rFonts w:cs="Times New Roman"/>
          <w:szCs w:val="20"/>
          <w:lang w:val="en-AU"/>
        </w:rPr>
        <w:t>.</w:t>
      </w:r>
    </w:p>
    <w:p w14:paraId="415FDB0A" w14:textId="77777777" w:rsidR="00244154" w:rsidRPr="00B56FAA" w:rsidRDefault="00244154" w:rsidP="00D36CCC">
      <w:pPr>
        <w:pBdr>
          <w:top w:val="single" w:sz="2" w:space="6" w:color="auto"/>
          <w:left w:val="single" w:sz="2" w:space="4" w:color="auto"/>
          <w:bottom w:val="single" w:sz="2" w:space="6" w:color="auto"/>
          <w:right w:val="single" w:sz="2" w:space="4" w:color="auto"/>
        </w:pBdr>
        <w:spacing w:before="120" w:after="120" w:line="260" w:lineRule="exact"/>
        <w:rPr>
          <w:rFonts w:cs="Times New Roman"/>
          <w:szCs w:val="20"/>
          <w:lang w:val="en-AU"/>
        </w:rPr>
      </w:pPr>
      <w:r w:rsidRPr="00B56FAA">
        <w:rPr>
          <w:rFonts w:cs="Times New Roman"/>
          <w:szCs w:val="20"/>
          <w:lang w:val="en-AU"/>
        </w:rPr>
        <w:t xml:space="preserve">The most recent Statement of Corporate Intent </w:t>
      </w:r>
      <w:r w:rsidR="00CE7A7C" w:rsidRPr="00B56FAA">
        <w:rPr>
          <w:rFonts w:cs="Times New Roman"/>
          <w:szCs w:val="20"/>
          <w:lang w:val="en-AU"/>
        </w:rPr>
        <w:t xml:space="preserve">for </w:t>
      </w:r>
      <w:r w:rsidRPr="00B56FAA">
        <w:rPr>
          <w:rFonts w:cs="Times New Roman"/>
          <w:szCs w:val="20"/>
          <w:lang w:val="en-AU"/>
        </w:rPr>
        <w:t xml:space="preserve">DHA can be found at: </w:t>
      </w:r>
      <w:hyperlink r:id="rId150" w:history="1">
        <w:r w:rsidR="00F625C0" w:rsidRPr="00B56FAA">
          <w:rPr>
            <w:rStyle w:val="Hyperlink"/>
            <w:rFonts w:cs="Times New Roman"/>
            <w:szCs w:val="20"/>
            <w:lang w:val="en-AU"/>
          </w:rPr>
          <w:t>https://www.dha.gov.au/sci</w:t>
        </w:r>
      </w:hyperlink>
      <w:r w:rsidR="00041EA3" w:rsidRPr="00B56FAA">
        <w:rPr>
          <w:rStyle w:val="Hyperlink"/>
          <w:rFonts w:cs="Times New Roman"/>
          <w:color w:val="auto"/>
          <w:szCs w:val="20"/>
          <w:lang w:val="en-AU"/>
        </w:rPr>
        <w:t>.</w:t>
      </w:r>
    </w:p>
    <w:p w14:paraId="1562F5F6" w14:textId="77777777" w:rsidR="00E12E23" w:rsidRPr="00B56FAA" w:rsidRDefault="00E12E23" w:rsidP="00D36CCC">
      <w:pPr>
        <w:pBdr>
          <w:top w:val="single" w:sz="2" w:space="6" w:color="auto"/>
          <w:left w:val="single" w:sz="2" w:space="4" w:color="auto"/>
          <w:bottom w:val="single" w:sz="2" w:space="6" w:color="auto"/>
          <w:right w:val="single" w:sz="2" w:space="4" w:color="auto"/>
        </w:pBdr>
        <w:spacing w:before="120" w:after="120" w:line="260" w:lineRule="exact"/>
        <w:rPr>
          <w:rFonts w:cs="Times New Roman"/>
          <w:szCs w:val="20"/>
          <w:lang w:val="en-AU"/>
        </w:rPr>
      </w:pPr>
      <w:r w:rsidRPr="00B56FAA">
        <w:rPr>
          <w:rFonts w:cs="Times New Roman"/>
          <w:szCs w:val="20"/>
          <w:lang w:val="en-AU"/>
        </w:rPr>
        <w:t xml:space="preserve">The most recent annual performance statement can be found at: </w:t>
      </w:r>
      <w:hyperlink r:id="rId151" w:history="1">
        <w:r w:rsidR="00510D5B">
          <w:rPr>
            <w:rStyle w:val="Hyperlink"/>
          </w:rPr>
          <w:t>Defence Housing Australia Annual Report 2022-23 | Transparency Portal</w:t>
        </w:r>
      </w:hyperlink>
      <w:r w:rsidR="00041EA3" w:rsidRPr="00B56FAA">
        <w:t>.</w:t>
      </w:r>
    </w:p>
    <w:p w14:paraId="1082A45A" w14:textId="77777777" w:rsidR="00871197" w:rsidRPr="00B56FAA" w:rsidRDefault="00761824" w:rsidP="006C10EA">
      <w:pPr>
        <w:pStyle w:val="Heading4"/>
        <w:spacing w:before="0" w:after="200"/>
        <w:rPr>
          <w:rFonts w:ascii="Arial Bold" w:hAnsi="Arial Bold"/>
          <w:sz w:val="24"/>
          <w:szCs w:val="24"/>
        </w:rPr>
      </w:pPr>
      <w:r w:rsidRPr="00B56FAA">
        <w:br w:type="page"/>
      </w:r>
      <w:bookmarkStart w:id="1438" w:name="_Toc507595447"/>
      <w:bookmarkStart w:id="1439" w:name="_Toc536089256"/>
      <w:bookmarkStart w:id="1440" w:name="_Toc536089516"/>
      <w:bookmarkStart w:id="1441" w:name="_Toc536089622"/>
      <w:bookmarkStart w:id="1442" w:name="_Toc1561710"/>
      <w:bookmarkStart w:id="1443" w:name="_Toc51691706"/>
      <w:bookmarkStart w:id="1444" w:name="_Toc69729076"/>
      <w:bookmarkStart w:id="1445" w:name="_Toc69917871"/>
      <w:bookmarkStart w:id="1446" w:name="_Toc97747860"/>
      <w:bookmarkStart w:id="1447" w:name="_Toc108088973"/>
      <w:bookmarkStart w:id="1448" w:name="_Toc108089052"/>
      <w:bookmarkStart w:id="1449" w:name="_Toc108089446"/>
      <w:bookmarkStart w:id="1450" w:name="_Toc109227768"/>
      <w:bookmarkStart w:id="1451" w:name="_Toc159499728"/>
      <w:bookmarkStart w:id="1452" w:name="_Toc159859147"/>
      <w:bookmarkStart w:id="1453" w:name="_Toc159859299"/>
      <w:r w:rsidR="00871197" w:rsidRPr="00B56FAA">
        <w:rPr>
          <w:rFonts w:ascii="Arial Bold" w:hAnsi="Arial Bold"/>
          <w:sz w:val="24"/>
          <w:szCs w:val="24"/>
        </w:rPr>
        <w:lastRenderedPageBreak/>
        <w:t xml:space="preserve">2.1 Budgeted Expenses and Performance </w:t>
      </w:r>
      <w:r w:rsidR="00261DAB" w:rsidRPr="00B56FAA">
        <w:rPr>
          <w:rFonts w:ascii="Arial Bold" w:hAnsi="Arial Bold"/>
          <w:sz w:val="24"/>
          <w:szCs w:val="24"/>
        </w:rPr>
        <w:t>for Outcome 1</w:t>
      </w:r>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p>
    <w:tbl>
      <w:tblPr>
        <w:tblW w:w="846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461"/>
      </w:tblGrid>
      <w:tr w:rsidR="00761824" w:rsidRPr="00B56FAA" w14:paraId="201DB277" w14:textId="77777777" w:rsidTr="002A5A4F">
        <w:trPr>
          <w:trHeight w:val="929"/>
        </w:trPr>
        <w:tc>
          <w:tcPr>
            <w:tcW w:w="8461" w:type="dxa"/>
            <w:shd w:val="clear" w:color="auto" w:fill="CCCCCC"/>
          </w:tcPr>
          <w:p w14:paraId="7EE7DD32" w14:textId="77777777" w:rsidR="00761824" w:rsidRPr="00B56FAA" w:rsidRDefault="00BD523A" w:rsidP="00194535">
            <w:pPr>
              <w:pStyle w:val="Heading5"/>
              <w:spacing w:before="100" w:after="100"/>
              <w:rPr>
                <w:lang w:val="en-AU"/>
              </w:rPr>
            </w:pPr>
            <w:r w:rsidRPr="00B56FAA">
              <w:rPr>
                <w:lang w:val="en-AU"/>
              </w:rPr>
              <w:t>Outcome 1: To contribute to Defence outcomes by providing total housing services that meet Defence Operational and client needs through a strong customer and business focus</w:t>
            </w:r>
            <w:r w:rsidR="0076508D">
              <w:rPr>
                <w:lang w:val="en-AU"/>
              </w:rPr>
              <w:t>.</w:t>
            </w:r>
          </w:p>
        </w:tc>
      </w:tr>
    </w:tbl>
    <w:p w14:paraId="2E5436E7" w14:textId="77777777" w:rsidR="00761824" w:rsidRPr="00B56FAA" w:rsidRDefault="00261DAB" w:rsidP="00F91C41">
      <w:pPr>
        <w:pStyle w:val="Heading4level5"/>
      </w:pPr>
      <w:r w:rsidRPr="00B56FAA">
        <w:t>Budgeted</w:t>
      </w:r>
      <w:r w:rsidR="00761824" w:rsidRPr="00B56FAA">
        <w:t xml:space="preserve"> Expense</w:t>
      </w:r>
      <w:r w:rsidRPr="00B56FAA">
        <w:t>s for Outcome 1</w:t>
      </w:r>
    </w:p>
    <w:p w14:paraId="6FCB142E" w14:textId="77777777" w:rsidR="00761824" w:rsidRDefault="00761824" w:rsidP="00D9100A">
      <w:pPr>
        <w:pStyle w:val="TableHeading"/>
        <w:numPr>
          <w:ilvl w:val="0"/>
          <w:numId w:val="35"/>
        </w:numPr>
        <w:ind w:left="0" w:firstLine="0"/>
        <w:outlineLvl w:val="5"/>
      </w:pPr>
      <w:r w:rsidRPr="00B56FAA">
        <w:t>Budgeted Expenses for Outcome 1</w:t>
      </w:r>
    </w:p>
    <w:tbl>
      <w:tblPr>
        <w:tblW w:w="8988" w:type="dxa"/>
        <w:tblInd w:w="108" w:type="dxa"/>
        <w:tblLook w:val="04A0" w:firstRow="1" w:lastRow="0" w:firstColumn="1" w:lastColumn="0" w:noHBand="0" w:noVBand="1"/>
      </w:tblPr>
      <w:tblGrid>
        <w:gridCol w:w="4395"/>
        <w:gridCol w:w="981"/>
        <w:gridCol w:w="963"/>
        <w:gridCol w:w="928"/>
        <w:gridCol w:w="928"/>
        <w:gridCol w:w="883"/>
      </w:tblGrid>
      <w:tr w:rsidR="00AA2D4A" w:rsidRPr="0045322E" w14:paraId="32B351BC" w14:textId="77777777" w:rsidTr="001C3457">
        <w:trPr>
          <w:trHeight w:val="1152"/>
        </w:trPr>
        <w:tc>
          <w:tcPr>
            <w:tcW w:w="4395" w:type="dxa"/>
            <w:tcBorders>
              <w:top w:val="single" w:sz="4" w:space="0" w:color="auto"/>
              <w:left w:val="nil"/>
              <w:bottom w:val="nil"/>
              <w:right w:val="nil"/>
            </w:tcBorders>
            <w:shd w:val="clear" w:color="auto" w:fill="auto"/>
            <w:vAlign w:val="center"/>
            <w:hideMark/>
          </w:tcPr>
          <w:p w14:paraId="5CD227DD" w14:textId="77777777" w:rsidR="00AA2D4A" w:rsidRPr="0045322E" w:rsidRDefault="00AA2D4A" w:rsidP="00AA2D4A">
            <w:pPr>
              <w:spacing w:before="0" w:after="0"/>
              <w:rPr>
                <w:rFonts w:ascii="Arial" w:hAnsi="Arial"/>
                <w:b/>
                <w:bCs/>
                <w:color w:val="000000"/>
                <w:sz w:val="16"/>
                <w:szCs w:val="16"/>
                <w:lang w:val="en-AU"/>
              </w:rPr>
            </w:pPr>
          </w:p>
        </w:tc>
        <w:tc>
          <w:tcPr>
            <w:tcW w:w="981" w:type="dxa"/>
            <w:tcBorders>
              <w:top w:val="single" w:sz="4" w:space="0" w:color="auto"/>
              <w:left w:val="nil"/>
              <w:bottom w:val="single" w:sz="4" w:space="0" w:color="auto"/>
              <w:right w:val="nil"/>
            </w:tcBorders>
            <w:shd w:val="clear" w:color="auto" w:fill="auto"/>
            <w:hideMark/>
          </w:tcPr>
          <w:p w14:paraId="05502C92" w14:textId="4D976407" w:rsidR="00AA2D4A" w:rsidRPr="00A03996" w:rsidRDefault="00AA2D4A" w:rsidP="0059622E">
            <w:pPr>
              <w:spacing w:before="0" w:after="0"/>
              <w:jc w:val="right"/>
              <w:rPr>
                <w:rFonts w:ascii="Arial" w:hAnsi="Arial"/>
                <w:b/>
                <w:sz w:val="16"/>
                <w:szCs w:val="16"/>
                <w:lang w:val="en-AU"/>
              </w:rPr>
            </w:pPr>
            <w:r w:rsidRPr="00A03996">
              <w:rPr>
                <w:rFonts w:ascii="Arial" w:hAnsi="Arial"/>
                <w:b/>
                <w:sz w:val="16"/>
                <w:szCs w:val="16"/>
                <w:lang w:val="en-AU"/>
              </w:rPr>
              <w:t>202</w:t>
            </w:r>
            <w:r w:rsidR="0059622E">
              <w:rPr>
                <w:rFonts w:ascii="Arial" w:hAnsi="Arial"/>
                <w:b/>
                <w:sz w:val="16"/>
                <w:szCs w:val="16"/>
                <w:lang w:val="en-AU"/>
              </w:rPr>
              <w:t>4</w:t>
            </w:r>
            <w:r w:rsidRPr="00A03996">
              <w:rPr>
                <w:rFonts w:ascii="Arial" w:hAnsi="Arial"/>
                <w:b/>
                <w:sz w:val="16"/>
                <w:szCs w:val="16"/>
                <w:lang w:val="en-AU"/>
              </w:rPr>
              <w:t>-2</w:t>
            </w:r>
            <w:r w:rsidR="0059622E">
              <w:rPr>
                <w:rFonts w:ascii="Arial" w:hAnsi="Arial"/>
                <w:b/>
                <w:sz w:val="16"/>
                <w:szCs w:val="16"/>
                <w:lang w:val="en-AU"/>
              </w:rPr>
              <w:t>5</w:t>
            </w:r>
            <w:r w:rsidRPr="00A03996">
              <w:rPr>
                <w:rFonts w:ascii="Arial" w:hAnsi="Arial"/>
                <w:b/>
                <w:sz w:val="16"/>
                <w:szCs w:val="16"/>
                <w:lang w:val="en-AU"/>
              </w:rPr>
              <w:t xml:space="preserve"> Estimated Actual</w:t>
            </w:r>
            <w:r w:rsidRPr="00A03996">
              <w:rPr>
                <w:rFonts w:ascii="Arial" w:hAnsi="Arial"/>
                <w:b/>
                <w:sz w:val="16"/>
                <w:szCs w:val="16"/>
                <w:lang w:val="en-AU"/>
              </w:rPr>
              <w:br/>
              <w:t>$'000</w:t>
            </w:r>
          </w:p>
        </w:tc>
        <w:tc>
          <w:tcPr>
            <w:tcW w:w="963" w:type="dxa"/>
            <w:tcBorders>
              <w:top w:val="single" w:sz="4" w:space="0" w:color="auto"/>
              <w:left w:val="nil"/>
              <w:bottom w:val="single" w:sz="4" w:space="0" w:color="auto"/>
              <w:right w:val="nil"/>
            </w:tcBorders>
            <w:shd w:val="clear" w:color="auto" w:fill="E6E6E6"/>
            <w:hideMark/>
          </w:tcPr>
          <w:p w14:paraId="6FCA8400" w14:textId="22FFEFE2" w:rsidR="00AA2D4A" w:rsidRPr="00A03996" w:rsidRDefault="00AA2D4A" w:rsidP="0059622E">
            <w:pPr>
              <w:spacing w:before="0" w:after="0"/>
              <w:jc w:val="right"/>
              <w:rPr>
                <w:rFonts w:ascii="Arial" w:hAnsi="Arial"/>
                <w:b/>
                <w:sz w:val="16"/>
                <w:szCs w:val="16"/>
                <w:lang w:val="en-AU"/>
              </w:rPr>
            </w:pPr>
            <w:r w:rsidRPr="00A03996">
              <w:rPr>
                <w:rFonts w:ascii="Arial" w:hAnsi="Arial"/>
                <w:b/>
                <w:sz w:val="16"/>
                <w:szCs w:val="16"/>
                <w:lang w:val="en-AU"/>
              </w:rPr>
              <w:t>202</w:t>
            </w:r>
            <w:r w:rsidR="0059622E">
              <w:rPr>
                <w:rFonts w:ascii="Arial" w:hAnsi="Arial"/>
                <w:b/>
                <w:sz w:val="16"/>
                <w:szCs w:val="16"/>
                <w:lang w:val="en-AU"/>
              </w:rPr>
              <w:t>5</w:t>
            </w:r>
            <w:r w:rsidRPr="00A03996">
              <w:rPr>
                <w:rFonts w:ascii="Arial" w:hAnsi="Arial"/>
                <w:b/>
                <w:sz w:val="16"/>
                <w:szCs w:val="16"/>
                <w:lang w:val="en-AU"/>
              </w:rPr>
              <w:t>-2</w:t>
            </w:r>
            <w:r w:rsidR="0059622E">
              <w:rPr>
                <w:rFonts w:ascii="Arial" w:hAnsi="Arial"/>
                <w:b/>
                <w:sz w:val="16"/>
                <w:szCs w:val="16"/>
                <w:lang w:val="en-AU"/>
              </w:rPr>
              <w:t>6</w:t>
            </w:r>
            <w:r w:rsidRPr="00A03996">
              <w:rPr>
                <w:rFonts w:ascii="Arial" w:hAnsi="Arial"/>
                <w:b/>
                <w:sz w:val="16"/>
                <w:szCs w:val="16"/>
                <w:lang w:val="en-AU"/>
              </w:rPr>
              <w:br/>
              <w:t>Budget</w:t>
            </w:r>
            <w:r w:rsidRPr="00A03996">
              <w:rPr>
                <w:rFonts w:ascii="Arial" w:hAnsi="Arial"/>
                <w:b/>
                <w:sz w:val="16"/>
                <w:szCs w:val="16"/>
                <w:lang w:val="en-AU"/>
              </w:rPr>
              <w:br/>
              <w:t>Estimate</w:t>
            </w:r>
            <w:r w:rsidRPr="00A03996">
              <w:rPr>
                <w:rFonts w:ascii="Arial" w:hAnsi="Arial"/>
                <w:b/>
                <w:sz w:val="16"/>
                <w:szCs w:val="16"/>
                <w:lang w:val="en-AU"/>
              </w:rPr>
              <w:br/>
              <w:t>$'000</w:t>
            </w:r>
          </w:p>
        </w:tc>
        <w:tc>
          <w:tcPr>
            <w:tcW w:w="883" w:type="dxa"/>
            <w:tcBorders>
              <w:top w:val="single" w:sz="4" w:space="0" w:color="auto"/>
              <w:left w:val="nil"/>
              <w:bottom w:val="single" w:sz="4" w:space="0" w:color="auto"/>
              <w:right w:val="nil"/>
            </w:tcBorders>
            <w:shd w:val="clear" w:color="auto" w:fill="auto"/>
            <w:hideMark/>
          </w:tcPr>
          <w:p w14:paraId="4736DF39" w14:textId="691A805F" w:rsidR="00AA2D4A" w:rsidRPr="00A03996" w:rsidRDefault="00AA2D4A" w:rsidP="0059622E">
            <w:pPr>
              <w:spacing w:before="0" w:after="0"/>
              <w:jc w:val="right"/>
              <w:rPr>
                <w:rFonts w:ascii="Arial" w:hAnsi="Arial"/>
                <w:b/>
                <w:sz w:val="16"/>
                <w:szCs w:val="16"/>
                <w:lang w:val="en-AU"/>
              </w:rPr>
            </w:pPr>
            <w:r w:rsidRPr="00A03996">
              <w:rPr>
                <w:rFonts w:ascii="Arial" w:hAnsi="Arial"/>
                <w:b/>
                <w:sz w:val="16"/>
                <w:szCs w:val="16"/>
                <w:lang w:val="en-AU"/>
              </w:rPr>
              <w:t>2</w:t>
            </w:r>
            <w:r w:rsidR="0059622E">
              <w:rPr>
                <w:rFonts w:ascii="Arial" w:hAnsi="Arial"/>
                <w:b/>
                <w:sz w:val="16"/>
                <w:szCs w:val="16"/>
                <w:lang w:val="en-AU"/>
              </w:rPr>
              <w:t>026</w:t>
            </w:r>
            <w:r w:rsidRPr="00A03996">
              <w:rPr>
                <w:rFonts w:ascii="Arial" w:hAnsi="Arial"/>
                <w:b/>
                <w:sz w:val="16"/>
                <w:szCs w:val="16"/>
                <w:lang w:val="en-AU"/>
              </w:rPr>
              <w:t>-2</w:t>
            </w:r>
            <w:r w:rsidR="0059622E">
              <w:rPr>
                <w:rFonts w:ascii="Arial" w:hAnsi="Arial"/>
                <w:b/>
                <w:sz w:val="16"/>
                <w:szCs w:val="16"/>
                <w:lang w:val="en-AU"/>
              </w:rPr>
              <w:t>7</w:t>
            </w:r>
            <w:r w:rsidRPr="00A03996">
              <w:rPr>
                <w:rFonts w:ascii="Arial" w:hAnsi="Arial"/>
                <w:b/>
                <w:sz w:val="16"/>
                <w:szCs w:val="16"/>
                <w:lang w:val="en-AU"/>
              </w:rPr>
              <w:t xml:space="preserve"> Forward Estimate</w:t>
            </w:r>
            <w:r w:rsidRPr="00A03996">
              <w:rPr>
                <w:rFonts w:ascii="Arial" w:hAnsi="Arial"/>
                <w:b/>
                <w:sz w:val="16"/>
                <w:szCs w:val="16"/>
                <w:lang w:val="en-AU"/>
              </w:rPr>
              <w:br/>
              <w:t>$'000</w:t>
            </w:r>
          </w:p>
        </w:tc>
        <w:tc>
          <w:tcPr>
            <w:tcW w:w="883" w:type="dxa"/>
            <w:tcBorders>
              <w:top w:val="single" w:sz="4" w:space="0" w:color="auto"/>
              <w:left w:val="nil"/>
              <w:bottom w:val="single" w:sz="4" w:space="0" w:color="auto"/>
              <w:right w:val="nil"/>
            </w:tcBorders>
            <w:shd w:val="clear" w:color="auto" w:fill="auto"/>
            <w:hideMark/>
          </w:tcPr>
          <w:p w14:paraId="1F1E64DA" w14:textId="249903E9" w:rsidR="00AA2D4A" w:rsidRPr="00A03996" w:rsidRDefault="00AA2D4A" w:rsidP="0059622E">
            <w:pPr>
              <w:spacing w:before="0" w:after="0"/>
              <w:jc w:val="right"/>
              <w:rPr>
                <w:rFonts w:ascii="Arial" w:hAnsi="Arial"/>
                <w:b/>
                <w:sz w:val="16"/>
                <w:szCs w:val="16"/>
                <w:lang w:val="en-AU"/>
              </w:rPr>
            </w:pPr>
            <w:r w:rsidRPr="00A03996">
              <w:rPr>
                <w:rFonts w:ascii="Arial" w:hAnsi="Arial"/>
                <w:b/>
                <w:sz w:val="16"/>
                <w:szCs w:val="16"/>
                <w:lang w:val="en-AU"/>
              </w:rPr>
              <w:t>202</w:t>
            </w:r>
            <w:r w:rsidR="0059622E">
              <w:rPr>
                <w:rFonts w:ascii="Arial" w:hAnsi="Arial"/>
                <w:b/>
                <w:sz w:val="16"/>
                <w:szCs w:val="16"/>
                <w:lang w:val="en-AU"/>
              </w:rPr>
              <w:t>7</w:t>
            </w:r>
            <w:r w:rsidRPr="00A03996">
              <w:rPr>
                <w:rFonts w:ascii="Arial" w:hAnsi="Arial"/>
                <w:b/>
                <w:sz w:val="16"/>
                <w:szCs w:val="16"/>
                <w:lang w:val="en-AU"/>
              </w:rPr>
              <w:t>-2</w:t>
            </w:r>
            <w:r w:rsidR="0059622E">
              <w:rPr>
                <w:rFonts w:ascii="Arial" w:hAnsi="Arial"/>
                <w:b/>
                <w:sz w:val="16"/>
                <w:szCs w:val="16"/>
                <w:lang w:val="en-AU"/>
              </w:rPr>
              <w:t>8</w:t>
            </w:r>
            <w:r w:rsidRPr="00A03996">
              <w:rPr>
                <w:rFonts w:ascii="Arial" w:hAnsi="Arial"/>
                <w:b/>
                <w:sz w:val="16"/>
                <w:szCs w:val="16"/>
                <w:lang w:val="en-AU"/>
              </w:rPr>
              <w:t xml:space="preserve"> Forward Estimate</w:t>
            </w:r>
            <w:r w:rsidRPr="00A03996">
              <w:rPr>
                <w:rFonts w:ascii="Arial" w:hAnsi="Arial"/>
                <w:b/>
                <w:sz w:val="16"/>
                <w:szCs w:val="16"/>
                <w:lang w:val="en-AU"/>
              </w:rPr>
              <w:br/>
              <w:t>$'000</w:t>
            </w:r>
          </w:p>
        </w:tc>
        <w:tc>
          <w:tcPr>
            <w:tcW w:w="883" w:type="dxa"/>
            <w:tcBorders>
              <w:top w:val="single" w:sz="4" w:space="0" w:color="auto"/>
              <w:left w:val="nil"/>
              <w:bottom w:val="single" w:sz="4" w:space="0" w:color="auto"/>
              <w:right w:val="nil"/>
            </w:tcBorders>
            <w:shd w:val="clear" w:color="auto" w:fill="auto"/>
            <w:hideMark/>
          </w:tcPr>
          <w:p w14:paraId="6C0FBC2F" w14:textId="3EA11D31" w:rsidR="00AA2D4A" w:rsidRPr="00A03996" w:rsidRDefault="00AA2D4A" w:rsidP="0059622E">
            <w:pPr>
              <w:spacing w:before="0" w:after="0"/>
              <w:jc w:val="right"/>
              <w:rPr>
                <w:rFonts w:ascii="Arial" w:hAnsi="Arial"/>
                <w:b/>
                <w:sz w:val="16"/>
                <w:szCs w:val="16"/>
                <w:lang w:val="en-AU"/>
              </w:rPr>
            </w:pPr>
            <w:r w:rsidRPr="00A03996">
              <w:rPr>
                <w:rFonts w:ascii="Arial" w:hAnsi="Arial"/>
                <w:b/>
                <w:sz w:val="16"/>
                <w:szCs w:val="16"/>
                <w:lang w:val="en-AU"/>
              </w:rPr>
              <w:t>202</w:t>
            </w:r>
            <w:r w:rsidR="0059622E">
              <w:rPr>
                <w:rFonts w:ascii="Arial" w:hAnsi="Arial"/>
                <w:b/>
                <w:sz w:val="16"/>
                <w:szCs w:val="16"/>
                <w:lang w:val="en-AU"/>
              </w:rPr>
              <w:t>8</w:t>
            </w:r>
            <w:r w:rsidRPr="00A03996">
              <w:rPr>
                <w:rFonts w:ascii="Arial" w:hAnsi="Arial"/>
                <w:b/>
                <w:sz w:val="16"/>
                <w:szCs w:val="16"/>
                <w:lang w:val="en-AU"/>
              </w:rPr>
              <w:t>-2</w:t>
            </w:r>
            <w:r w:rsidR="0059622E">
              <w:rPr>
                <w:rFonts w:ascii="Arial" w:hAnsi="Arial"/>
                <w:b/>
                <w:sz w:val="16"/>
                <w:szCs w:val="16"/>
                <w:lang w:val="en-AU"/>
              </w:rPr>
              <w:t>9</w:t>
            </w:r>
            <w:r w:rsidRPr="00A03996">
              <w:rPr>
                <w:rFonts w:ascii="Arial" w:hAnsi="Arial"/>
                <w:b/>
                <w:sz w:val="16"/>
                <w:szCs w:val="16"/>
                <w:lang w:val="en-AU"/>
              </w:rPr>
              <w:br/>
              <w:t>Forward Estimate</w:t>
            </w:r>
            <w:r w:rsidRPr="00A03996">
              <w:rPr>
                <w:rFonts w:ascii="Arial" w:hAnsi="Arial"/>
                <w:b/>
                <w:sz w:val="16"/>
                <w:szCs w:val="16"/>
                <w:lang w:val="en-AU"/>
              </w:rPr>
              <w:br/>
              <w:t>$'000</w:t>
            </w:r>
          </w:p>
        </w:tc>
      </w:tr>
      <w:tr w:rsidR="00AA2D4A" w:rsidRPr="0045322E" w14:paraId="73CF6606" w14:textId="77777777" w:rsidTr="001C3457">
        <w:trPr>
          <w:trHeight w:val="312"/>
        </w:trPr>
        <w:tc>
          <w:tcPr>
            <w:tcW w:w="4395" w:type="dxa"/>
            <w:tcBorders>
              <w:top w:val="single" w:sz="4" w:space="0" w:color="auto"/>
              <w:left w:val="nil"/>
              <w:bottom w:val="single" w:sz="4" w:space="0" w:color="auto"/>
              <w:right w:val="nil"/>
            </w:tcBorders>
            <w:shd w:val="clear" w:color="auto" w:fill="E6E6E6"/>
            <w:noWrap/>
            <w:vAlign w:val="center"/>
            <w:hideMark/>
          </w:tcPr>
          <w:p w14:paraId="24535A1D" w14:textId="77777777" w:rsidR="00AA2D4A" w:rsidRPr="0045322E" w:rsidRDefault="00AA2D4A" w:rsidP="00794709">
            <w:pPr>
              <w:spacing w:before="0" w:after="0"/>
              <w:rPr>
                <w:rFonts w:ascii="Arial" w:hAnsi="Arial"/>
                <w:b/>
                <w:bCs/>
                <w:sz w:val="16"/>
                <w:szCs w:val="16"/>
                <w:lang w:val="en-AU"/>
              </w:rPr>
            </w:pPr>
            <w:r w:rsidRPr="0045322E">
              <w:rPr>
                <w:rFonts w:ascii="Arial" w:hAnsi="Arial"/>
                <w:b/>
                <w:bCs/>
                <w:sz w:val="16"/>
                <w:szCs w:val="16"/>
                <w:lang w:val="en-AU"/>
              </w:rPr>
              <w:t>Program 1.1</w:t>
            </w:r>
            <w:r>
              <w:rPr>
                <w:rFonts w:ascii="Arial" w:hAnsi="Arial"/>
                <w:b/>
                <w:bCs/>
                <w:sz w:val="16"/>
                <w:szCs w:val="16"/>
                <w:lang w:val="en-AU"/>
              </w:rPr>
              <w:t xml:space="preserve"> Other Departmental - DHA</w:t>
            </w:r>
          </w:p>
        </w:tc>
        <w:tc>
          <w:tcPr>
            <w:tcW w:w="981" w:type="dxa"/>
            <w:tcBorders>
              <w:top w:val="nil"/>
              <w:left w:val="nil"/>
              <w:bottom w:val="single" w:sz="4" w:space="0" w:color="auto"/>
              <w:right w:val="nil"/>
            </w:tcBorders>
            <w:shd w:val="clear" w:color="auto" w:fill="E6E6E6"/>
            <w:noWrap/>
            <w:vAlign w:val="center"/>
          </w:tcPr>
          <w:p w14:paraId="2CB4C295" w14:textId="77777777" w:rsidR="00AA2D4A" w:rsidRPr="0045322E" w:rsidRDefault="00AA2D4A" w:rsidP="00794709">
            <w:pPr>
              <w:spacing w:before="0" w:after="0"/>
              <w:rPr>
                <w:rFonts w:ascii="Arial" w:hAnsi="Arial"/>
                <w:b/>
                <w:bCs/>
                <w:sz w:val="16"/>
                <w:szCs w:val="16"/>
                <w:lang w:val="en-AU"/>
              </w:rPr>
            </w:pPr>
          </w:p>
        </w:tc>
        <w:tc>
          <w:tcPr>
            <w:tcW w:w="963" w:type="dxa"/>
            <w:tcBorders>
              <w:top w:val="nil"/>
              <w:left w:val="nil"/>
              <w:bottom w:val="single" w:sz="4" w:space="0" w:color="auto"/>
              <w:right w:val="nil"/>
            </w:tcBorders>
            <w:shd w:val="clear" w:color="auto" w:fill="E6E6E6"/>
            <w:noWrap/>
            <w:vAlign w:val="center"/>
          </w:tcPr>
          <w:p w14:paraId="2D99A2E0" w14:textId="77777777" w:rsidR="00AA2D4A" w:rsidRPr="0045322E" w:rsidRDefault="00AA2D4A" w:rsidP="00794709">
            <w:pPr>
              <w:spacing w:before="0" w:after="0"/>
              <w:rPr>
                <w:rFonts w:ascii="Arial" w:hAnsi="Arial"/>
                <w:b/>
                <w:bCs/>
                <w:sz w:val="16"/>
                <w:szCs w:val="16"/>
                <w:lang w:val="en-AU"/>
              </w:rPr>
            </w:pPr>
          </w:p>
        </w:tc>
        <w:tc>
          <w:tcPr>
            <w:tcW w:w="2649" w:type="dxa"/>
            <w:gridSpan w:val="3"/>
            <w:tcBorders>
              <w:top w:val="single" w:sz="4" w:space="0" w:color="auto"/>
              <w:left w:val="nil"/>
              <w:bottom w:val="single" w:sz="4" w:space="0" w:color="auto"/>
              <w:right w:val="nil"/>
            </w:tcBorders>
            <w:shd w:val="clear" w:color="auto" w:fill="E6E6E6"/>
            <w:vAlign w:val="center"/>
          </w:tcPr>
          <w:p w14:paraId="7A0A2F8E" w14:textId="77777777" w:rsidR="00AA2D4A" w:rsidRPr="0045322E" w:rsidRDefault="00AA2D4A" w:rsidP="00794709">
            <w:pPr>
              <w:spacing w:before="0" w:after="0"/>
              <w:rPr>
                <w:rFonts w:ascii="Arial" w:hAnsi="Arial"/>
                <w:b/>
                <w:bCs/>
                <w:sz w:val="16"/>
                <w:szCs w:val="16"/>
                <w:lang w:val="en-AU"/>
              </w:rPr>
            </w:pPr>
          </w:p>
        </w:tc>
      </w:tr>
      <w:tr w:rsidR="00510D5B" w:rsidRPr="0045322E" w14:paraId="5B4222DF" w14:textId="77777777" w:rsidTr="00003CF7">
        <w:trPr>
          <w:trHeight w:val="229"/>
        </w:trPr>
        <w:tc>
          <w:tcPr>
            <w:tcW w:w="4395" w:type="dxa"/>
            <w:tcBorders>
              <w:top w:val="nil"/>
              <w:left w:val="nil"/>
              <w:bottom w:val="nil"/>
              <w:right w:val="nil"/>
            </w:tcBorders>
            <w:shd w:val="clear" w:color="auto" w:fill="auto"/>
            <w:noWrap/>
            <w:vAlign w:val="center"/>
            <w:hideMark/>
          </w:tcPr>
          <w:p w14:paraId="7689F5BA" w14:textId="77777777" w:rsidR="00510D5B" w:rsidRPr="002B2BCC" w:rsidRDefault="00510D5B" w:rsidP="00510D5B">
            <w:pPr>
              <w:spacing w:before="0" w:after="0"/>
              <w:rPr>
                <w:rFonts w:ascii="Arial" w:hAnsi="Arial"/>
                <w:sz w:val="16"/>
                <w:szCs w:val="16"/>
                <w:lang w:val="en-AU"/>
              </w:rPr>
            </w:pPr>
            <w:r w:rsidRPr="002B2BCC">
              <w:rPr>
                <w:rFonts w:ascii="Arial" w:hAnsi="Arial"/>
                <w:sz w:val="16"/>
                <w:szCs w:val="16"/>
                <w:lang w:val="en-AU"/>
              </w:rPr>
              <w:t>Revenue from Government</w:t>
            </w:r>
          </w:p>
        </w:tc>
        <w:tc>
          <w:tcPr>
            <w:tcW w:w="981" w:type="dxa"/>
            <w:tcBorders>
              <w:top w:val="nil"/>
              <w:left w:val="nil"/>
              <w:bottom w:val="nil"/>
              <w:right w:val="nil"/>
            </w:tcBorders>
            <w:shd w:val="clear" w:color="auto" w:fill="auto"/>
            <w:noWrap/>
            <w:vAlign w:val="center"/>
          </w:tcPr>
          <w:p w14:paraId="25A4E306" w14:textId="77777777" w:rsidR="00510D5B" w:rsidRPr="00AA2D4A" w:rsidRDefault="00510D5B" w:rsidP="00510D5B">
            <w:pPr>
              <w:spacing w:before="0" w:after="0"/>
              <w:jc w:val="right"/>
              <w:rPr>
                <w:rFonts w:ascii="Arial" w:hAnsi="Arial"/>
                <w:sz w:val="16"/>
                <w:szCs w:val="16"/>
                <w:highlight w:val="yellow"/>
                <w:lang w:val="en-AU"/>
              </w:rPr>
            </w:pPr>
          </w:p>
        </w:tc>
        <w:tc>
          <w:tcPr>
            <w:tcW w:w="963" w:type="dxa"/>
            <w:tcBorders>
              <w:top w:val="nil"/>
              <w:left w:val="nil"/>
              <w:bottom w:val="nil"/>
              <w:right w:val="nil"/>
            </w:tcBorders>
            <w:shd w:val="clear" w:color="auto" w:fill="E6E6E6"/>
            <w:noWrap/>
            <w:vAlign w:val="center"/>
          </w:tcPr>
          <w:p w14:paraId="41A619CC" w14:textId="77777777" w:rsidR="00510D5B" w:rsidRPr="00AA2D4A" w:rsidRDefault="00510D5B" w:rsidP="00510D5B">
            <w:pPr>
              <w:spacing w:before="0" w:after="0"/>
              <w:jc w:val="right"/>
              <w:rPr>
                <w:rFonts w:ascii="Arial" w:hAnsi="Arial"/>
                <w:sz w:val="16"/>
                <w:szCs w:val="16"/>
                <w:highlight w:val="yellow"/>
                <w:lang w:val="en-AU"/>
              </w:rPr>
            </w:pPr>
          </w:p>
        </w:tc>
        <w:tc>
          <w:tcPr>
            <w:tcW w:w="883" w:type="dxa"/>
            <w:tcBorders>
              <w:top w:val="nil"/>
              <w:left w:val="nil"/>
              <w:bottom w:val="nil"/>
              <w:right w:val="nil"/>
            </w:tcBorders>
            <w:shd w:val="clear" w:color="auto" w:fill="auto"/>
            <w:noWrap/>
            <w:vAlign w:val="center"/>
          </w:tcPr>
          <w:p w14:paraId="1C387EEE" w14:textId="77777777" w:rsidR="00510D5B" w:rsidRPr="00AA2D4A" w:rsidRDefault="00510D5B" w:rsidP="00510D5B">
            <w:pPr>
              <w:spacing w:before="0" w:after="0"/>
              <w:jc w:val="right"/>
              <w:rPr>
                <w:rFonts w:ascii="Arial" w:hAnsi="Arial"/>
                <w:sz w:val="16"/>
                <w:szCs w:val="16"/>
                <w:highlight w:val="yellow"/>
                <w:lang w:val="en-AU"/>
              </w:rPr>
            </w:pPr>
          </w:p>
        </w:tc>
        <w:tc>
          <w:tcPr>
            <w:tcW w:w="883" w:type="dxa"/>
            <w:tcBorders>
              <w:top w:val="nil"/>
              <w:left w:val="nil"/>
              <w:bottom w:val="nil"/>
              <w:right w:val="nil"/>
            </w:tcBorders>
            <w:shd w:val="clear" w:color="auto" w:fill="auto"/>
            <w:noWrap/>
            <w:vAlign w:val="center"/>
            <w:hideMark/>
          </w:tcPr>
          <w:p w14:paraId="3E6A1F71" w14:textId="77777777" w:rsidR="00510D5B" w:rsidRPr="00AA2D4A" w:rsidRDefault="00510D5B" w:rsidP="00510D5B">
            <w:pPr>
              <w:spacing w:before="0" w:after="0"/>
              <w:jc w:val="right"/>
              <w:rPr>
                <w:rFonts w:ascii="Times New Roman" w:hAnsi="Times New Roman" w:cs="Times New Roman"/>
                <w:szCs w:val="20"/>
                <w:highlight w:val="yellow"/>
                <w:lang w:val="en-AU"/>
              </w:rPr>
            </w:pPr>
          </w:p>
        </w:tc>
        <w:tc>
          <w:tcPr>
            <w:tcW w:w="883" w:type="dxa"/>
            <w:tcBorders>
              <w:top w:val="nil"/>
              <w:left w:val="nil"/>
              <w:bottom w:val="nil"/>
              <w:right w:val="nil"/>
            </w:tcBorders>
            <w:shd w:val="clear" w:color="auto" w:fill="auto"/>
            <w:noWrap/>
            <w:vAlign w:val="center"/>
            <w:hideMark/>
          </w:tcPr>
          <w:p w14:paraId="0845079F" w14:textId="77777777" w:rsidR="00510D5B" w:rsidRPr="00AA2D4A" w:rsidRDefault="00510D5B" w:rsidP="00510D5B">
            <w:pPr>
              <w:spacing w:before="0" w:after="0"/>
              <w:jc w:val="right"/>
              <w:rPr>
                <w:rFonts w:ascii="Times New Roman" w:hAnsi="Times New Roman" w:cs="Times New Roman"/>
                <w:szCs w:val="20"/>
                <w:highlight w:val="yellow"/>
                <w:lang w:val="en-AU"/>
              </w:rPr>
            </w:pPr>
          </w:p>
        </w:tc>
      </w:tr>
      <w:tr w:rsidR="0059622E" w:rsidRPr="0045322E" w14:paraId="235ADE3B" w14:textId="77777777" w:rsidTr="001C3457">
        <w:trPr>
          <w:trHeight w:val="229"/>
        </w:trPr>
        <w:tc>
          <w:tcPr>
            <w:tcW w:w="4395" w:type="dxa"/>
            <w:tcBorders>
              <w:top w:val="nil"/>
              <w:left w:val="nil"/>
              <w:bottom w:val="nil"/>
              <w:right w:val="nil"/>
            </w:tcBorders>
            <w:shd w:val="clear" w:color="auto" w:fill="auto"/>
            <w:noWrap/>
            <w:vAlign w:val="center"/>
            <w:hideMark/>
          </w:tcPr>
          <w:p w14:paraId="1340A320" w14:textId="77777777" w:rsidR="0059622E" w:rsidRPr="002B2BCC" w:rsidRDefault="0059622E" w:rsidP="0059622E">
            <w:pPr>
              <w:spacing w:before="0" w:after="0"/>
              <w:ind w:firstLineChars="100" w:firstLine="160"/>
              <w:rPr>
                <w:rFonts w:ascii="Arial" w:hAnsi="Arial"/>
                <w:sz w:val="16"/>
                <w:szCs w:val="16"/>
                <w:lang w:val="en-AU"/>
              </w:rPr>
            </w:pPr>
            <w:r w:rsidRPr="002B2BCC">
              <w:rPr>
                <w:rFonts w:ascii="Arial" w:hAnsi="Arial"/>
                <w:sz w:val="16"/>
                <w:szCs w:val="16"/>
                <w:lang w:val="en-AU"/>
              </w:rPr>
              <w:t>Payment from related entities</w:t>
            </w:r>
          </w:p>
        </w:tc>
        <w:tc>
          <w:tcPr>
            <w:tcW w:w="981" w:type="dxa"/>
            <w:tcBorders>
              <w:top w:val="nil"/>
              <w:left w:val="nil"/>
              <w:bottom w:val="nil"/>
              <w:right w:val="nil"/>
            </w:tcBorders>
            <w:shd w:val="clear" w:color="auto" w:fill="auto"/>
            <w:noWrap/>
            <w:vAlign w:val="center"/>
          </w:tcPr>
          <w:p w14:paraId="31BEBB7F" w14:textId="251A77F2" w:rsidR="0059622E" w:rsidRPr="00DA5E40" w:rsidRDefault="0059622E" w:rsidP="0059622E">
            <w:pPr>
              <w:spacing w:before="0" w:after="0"/>
              <w:jc w:val="right"/>
              <w:rPr>
                <w:rFonts w:ascii="Arial" w:hAnsi="Arial"/>
                <w:sz w:val="15"/>
                <w:szCs w:val="15"/>
                <w:highlight w:val="yellow"/>
                <w:lang w:val="en-AU"/>
              </w:rPr>
            </w:pPr>
            <w:r w:rsidRPr="00A85815">
              <w:rPr>
                <w:rFonts w:ascii="Arial" w:hAnsi="Arial"/>
                <w:color w:val="000000"/>
                <w:sz w:val="16"/>
                <w:szCs w:val="16"/>
                <w:lang w:val="en-AU"/>
              </w:rPr>
              <w:t xml:space="preserve">806,270 </w:t>
            </w:r>
          </w:p>
        </w:tc>
        <w:tc>
          <w:tcPr>
            <w:tcW w:w="963" w:type="dxa"/>
            <w:tcBorders>
              <w:top w:val="nil"/>
              <w:left w:val="nil"/>
              <w:bottom w:val="nil"/>
              <w:right w:val="nil"/>
            </w:tcBorders>
            <w:shd w:val="clear" w:color="auto" w:fill="E6E6E6"/>
            <w:noWrap/>
            <w:vAlign w:val="center"/>
          </w:tcPr>
          <w:p w14:paraId="7D2BCBCD" w14:textId="3679A942" w:rsidR="0059622E" w:rsidRPr="00DA5E40" w:rsidRDefault="0059622E" w:rsidP="0059622E">
            <w:pPr>
              <w:spacing w:before="0" w:after="0"/>
              <w:jc w:val="right"/>
              <w:rPr>
                <w:rFonts w:ascii="Arial" w:hAnsi="Arial"/>
                <w:sz w:val="15"/>
                <w:szCs w:val="15"/>
                <w:highlight w:val="yellow"/>
                <w:lang w:val="en-AU"/>
              </w:rPr>
            </w:pPr>
            <w:r w:rsidRPr="00A85815">
              <w:rPr>
                <w:rFonts w:ascii="Arial" w:hAnsi="Arial"/>
                <w:sz w:val="16"/>
                <w:szCs w:val="16"/>
                <w:lang w:val="en-AU"/>
              </w:rPr>
              <w:t xml:space="preserve">910,352 </w:t>
            </w:r>
          </w:p>
        </w:tc>
        <w:tc>
          <w:tcPr>
            <w:tcW w:w="883" w:type="dxa"/>
            <w:tcBorders>
              <w:top w:val="nil"/>
              <w:left w:val="nil"/>
              <w:bottom w:val="nil"/>
              <w:right w:val="nil"/>
            </w:tcBorders>
            <w:shd w:val="clear" w:color="auto" w:fill="auto"/>
            <w:noWrap/>
            <w:vAlign w:val="center"/>
          </w:tcPr>
          <w:p w14:paraId="1436816B" w14:textId="7F4C0EAA" w:rsidR="0059622E" w:rsidRPr="00DA5E40" w:rsidRDefault="0059622E" w:rsidP="0059622E">
            <w:pPr>
              <w:spacing w:before="0" w:after="0"/>
              <w:jc w:val="right"/>
              <w:rPr>
                <w:rFonts w:ascii="Arial" w:hAnsi="Arial"/>
                <w:color w:val="000000"/>
                <w:sz w:val="15"/>
                <w:szCs w:val="15"/>
                <w:highlight w:val="yellow"/>
                <w:lang w:val="en-AU"/>
              </w:rPr>
            </w:pPr>
            <w:r w:rsidRPr="00A85815">
              <w:rPr>
                <w:rFonts w:ascii="Arial" w:hAnsi="Arial"/>
                <w:sz w:val="16"/>
                <w:szCs w:val="16"/>
                <w:lang w:val="en-AU"/>
              </w:rPr>
              <w:t xml:space="preserve">929,908 </w:t>
            </w:r>
          </w:p>
        </w:tc>
        <w:tc>
          <w:tcPr>
            <w:tcW w:w="883" w:type="dxa"/>
            <w:tcBorders>
              <w:top w:val="nil"/>
              <w:left w:val="nil"/>
              <w:bottom w:val="nil"/>
              <w:right w:val="nil"/>
            </w:tcBorders>
            <w:shd w:val="clear" w:color="auto" w:fill="auto"/>
            <w:noWrap/>
            <w:vAlign w:val="center"/>
          </w:tcPr>
          <w:p w14:paraId="0A0FA8C9" w14:textId="3A2B96BC" w:rsidR="0059622E" w:rsidRPr="00DA5E40" w:rsidRDefault="0059622E" w:rsidP="0059622E">
            <w:pPr>
              <w:spacing w:before="0" w:after="0"/>
              <w:jc w:val="right"/>
              <w:rPr>
                <w:rFonts w:ascii="Arial" w:hAnsi="Arial"/>
                <w:color w:val="000000"/>
                <w:sz w:val="15"/>
                <w:szCs w:val="15"/>
                <w:highlight w:val="yellow"/>
                <w:lang w:val="en-AU"/>
              </w:rPr>
            </w:pPr>
            <w:r w:rsidRPr="00A85815">
              <w:rPr>
                <w:rFonts w:ascii="Arial" w:hAnsi="Arial"/>
                <w:sz w:val="16"/>
                <w:szCs w:val="16"/>
                <w:lang w:val="en-AU"/>
              </w:rPr>
              <w:t xml:space="preserve">914,874 </w:t>
            </w:r>
          </w:p>
        </w:tc>
        <w:tc>
          <w:tcPr>
            <w:tcW w:w="883" w:type="dxa"/>
            <w:tcBorders>
              <w:top w:val="nil"/>
              <w:left w:val="nil"/>
              <w:bottom w:val="nil"/>
              <w:right w:val="nil"/>
            </w:tcBorders>
            <w:shd w:val="clear" w:color="auto" w:fill="auto"/>
            <w:noWrap/>
            <w:vAlign w:val="center"/>
          </w:tcPr>
          <w:p w14:paraId="15CAE25E" w14:textId="52333723" w:rsidR="0059622E" w:rsidRPr="00DA5E40" w:rsidRDefault="0059622E" w:rsidP="0059622E">
            <w:pPr>
              <w:spacing w:before="0" w:after="0"/>
              <w:jc w:val="right"/>
              <w:rPr>
                <w:rFonts w:ascii="Arial" w:hAnsi="Arial"/>
                <w:color w:val="000000"/>
                <w:sz w:val="15"/>
                <w:szCs w:val="15"/>
                <w:highlight w:val="yellow"/>
                <w:lang w:val="en-AU"/>
              </w:rPr>
            </w:pPr>
            <w:r w:rsidRPr="00A85815">
              <w:rPr>
                <w:rFonts w:ascii="Arial" w:hAnsi="Arial"/>
                <w:sz w:val="16"/>
                <w:szCs w:val="16"/>
                <w:lang w:val="en-AU"/>
              </w:rPr>
              <w:t xml:space="preserve">923,837 </w:t>
            </w:r>
          </w:p>
        </w:tc>
      </w:tr>
      <w:tr w:rsidR="0059622E" w:rsidRPr="00A07A91" w14:paraId="26DE4E4F" w14:textId="77777777" w:rsidTr="002B2BCC">
        <w:trPr>
          <w:trHeight w:val="229"/>
        </w:trPr>
        <w:tc>
          <w:tcPr>
            <w:tcW w:w="4395" w:type="dxa"/>
            <w:tcBorders>
              <w:top w:val="nil"/>
              <w:left w:val="nil"/>
              <w:bottom w:val="nil"/>
              <w:right w:val="nil"/>
            </w:tcBorders>
            <w:shd w:val="clear" w:color="auto" w:fill="auto"/>
            <w:noWrap/>
            <w:vAlign w:val="center"/>
            <w:hideMark/>
          </w:tcPr>
          <w:p w14:paraId="700C4C1B" w14:textId="77777777" w:rsidR="0059622E" w:rsidRPr="002B2BCC" w:rsidRDefault="0059622E" w:rsidP="0059622E">
            <w:pPr>
              <w:spacing w:before="0" w:after="0"/>
              <w:rPr>
                <w:rFonts w:ascii="Arial" w:hAnsi="Arial"/>
                <w:sz w:val="16"/>
                <w:szCs w:val="16"/>
                <w:lang w:val="en-AU"/>
              </w:rPr>
            </w:pPr>
            <w:r w:rsidRPr="002B2BCC">
              <w:rPr>
                <w:rFonts w:ascii="Arial" w:hAnsi="Arial"/>
                <w:sz w:val="16"/>
                <w:szCs w:val="16"/>
                <w:lang w:val="en-AU"/>
              </w:rPr>
              <w:t>Revenues from other independent sources</w:t>
            </w:r>
          </w:p>
        </w:tc>
        <w:tc>
          <w:tcPr>
            <w:tcW w:w="981" w:type="dxa"/>
            <w:tcBorders>
              <w:top w:val="nil"/>
              <w:left w:val="nil"/>
              <w:bottom w:val="nil"/>
              <w:right w:val="nil"/>
            </w:tcBorders>
            <w:shd w:val="clear" w:color="auto" w:fill="auto"/>
            <w:noWrap/>
            <w:vAlign w:val="center"/>
          </w:tcPr>
          <w:p w14:paraId="22D09D60" w14:textId="0654BAE3" w:rsidR="0059622E" w:rsidRPr="00DA5E40" w:rsidRDefault="0059622E" w:rsidP="0059622E">
            <w:pPr>
              <w:spacing w:before="0" w:after="0"/>
              <w:jc w:val="right"/>
              <w:rPr>
                <w:rFonts w:ascii="Arial" w:hAnsi="Arial"/>
                <w:color w:val="000000"/>
                <w:sz w:val="15"/>
                <w:szCs w:val="15"/>
                <w:highlight w:val="yellow"/>
                <w:lang w:val="en-AU"/>
              </w:rPr>
            </w:pPr>
            <w:r w:rsidRPr="00A85815">
              <w:rPr>
                <w:rFonts w:ascii="Arial" w:hAnsi="Arial"/>
                <w:color w:val="000000"/>
                <w:sz w:val="16"/>
                <w:szCs w:val="16"/>
                <w:lang w:val="en-AU"/>
              </w:rPr>
              <w:t xml:space="preserve">86,034 </w:t>
            </w:r>
          </w:p>
        </w:tc>
        <w:tc>
          <w:tcPr>
            <w:tcW w:w="963" w:type="dxa"/>
            <w:tcBorders>
              <w:top w:val="nil"/>
              <w:left w:val="nil"/>
              <w:bottom w:val="nil"/>
              <w:right w:val="nil"/>
            </w:tcBorders>
            <w:shd w:val="clear" w:color="auto" w:fill="E6E6E6"/>
            <w:noWrap/>
            <w:vAlign w:val="center"/>
          </w:tcPr>
          <w:p w14:paraId="38321F34" w14:textId="35D817F9" w:rsidR="0059622E" w:rsidRPr="00DA5E40" w:rsidRDefault="0059622E" w:rsidP="0059622E">
            <w:pPr>
              <w:spacing w:before="0" w:after="40"/>
              <w:jc w:val="right"/>
              <w:rPr>
                <w:rFonts w:ascii="Arial" w:hAnsi="Arial"/>
                <w:sz w:val="15"/>
                <w:szCs w:val="15"/>
                <w:highlight w:val="yellow"/>
                <w:lang w:val="en-AU"/>
              </w:rPr>
            </w:pPr>
            <w:r w:rsidRPr="00A85815">
              <w:rPr>
                <w:rFonts w:ascii="Arial" w:hAnsi="Arial"/>
                <w:sz w:val="16"/>
                <w:szCs w:val="16"/>
                <w:lang w:val="en-AU"/>
              </w:rPr>
              <w:t xml:space="preserve">151,980 </w:t>
            </w:r>
          </w:p>
        </w:tc>
        <w:tc>
          <w:tcPr>
            <w:tcW w:w="883" w:type="dxa"/>
            <w:tcBorders>
              <w:top w:val="nil"/>
              <w:left w:val="nil"/>
              <w:bottom w:val="nil"/>
              <w:right w:val="nil"/>
            </w:tcBorders>
            <w:shd w:val="clear" w:color="auto" w:fill="auto"/>
            <w:noWrap/>
            <w:vAlign w:val="center"/>
          </w:tcPr>
          <w:p w14:paraId="75E3D19F" w14:textId="67CDBF4C" w:rsidR="0059622E" w:rsidRPr="00DA5E40" w:rsidRDefault="0059622E" w:rsidP="0059622E">
            <w:pPr>
              <w:spacing w:before="0" w:after="0"/>
              <w:jc w:val="right"/>
              <w:rPr>
                <w:rFonts w:ascii="Arial" w:hAnsi="Arial"/>
                <w:color w:val="000000"/>
                <w:sz w:val="15"/>
                <w:szCs w:val="15"/>
                <w:highlight w:val="yellow"/>
                <w:lang w:val="en-AU"/>
              </w:rPr>
            </w:pPr>
            <w:r w:rsidRPr="00A85815">
              <w:rPr>
                <w:rFonts w:ascii="Arial" w:hAnsi="Arial"/>
                <w:sz w:val="16"/>
                <w:szCs w:val="16"/>
                <w:lang w:val="en-AU"/>
              </w:rPr>
              <w:t xml:space="preserve">150,629 </w:t>
            </w:r>
          </w:p>
        </w:tc>
        <w:tc>
          <w:tcPr>
            <w:tcW w:w="883" w:type="dxa"/>
            <w:tcBorders>
              <w:top w:val="nil"/>
              <w:left w:val="nil"/>
              <w:bottom w:val="nil"/>
              <w:right w:val="nil"/>
            </w:tcBorders>
            <w:shd w:val="clear" w:color="auto" w:fill="auto"/>
            <w:noWrap/>
            <w:vAlign w:val="center"/>
          </w:tcPr>
          <w:p w14:paraId="3FEDC8C2" w14:textId="749C2108" w:rsidR="0059622E" w:rsidRPr="00DA5E40" w:rsidRDefault="0059622E" w:rsidP="0059622E">
            <w:pPr>
              <w:spacing w:before="0" w:after="0"/>
              <w:jc w:val="right"/>
              <w:rPr>
                <w:rFonts w:ascii="Arial" w:hAnsi="Arial"/>
                <w:color w:val="000000"/>
                <w:sz w:val="15"/>
                <w:szCs w:val="15"/>
                <w:highlight w:val="yellow"/>
                <w:lang w:val="en-AU"/>
              </w:rPr>
            </w:pPr>
            <w:r w:rsidRPr="00A85815">
              <w:rPr>
                <w:rFonts w:ascii="Arial" w:hAnsi="Arial"/>
                <w:sz w:val="16"/>
                <w:szCs w:val="16"/>
                <w:lang w:val="en-AU"/>
              </w:rPr>
              <w:t xml:space="preserve">137,762 </w:t>
            </w:r>
          </w:p>
        </w:tc>
        <w:tc>
          <w:tcPr>
            <w:tcW w:w="883" w:type="dxa"/>
            <w:tcBorders>
              <w:top w:val="nil"/>
              <w:left w:val="nil"/>
              <w:bottom w:val="nil"/>
              <w:right w:val="nil"/>
            </w:tcBorders>
            <w:shd w:val="clear" w:color="auto" w:fill="auto"/>
            <w:noWrap/>
            <w:vAlign w:val="center"/>
          </w:tcPr>
          <w:p w14:paraId="203B8808" w14:textId="7AE14962" w:rsidR="0059622E" w:rsidRPr="00DA5E40" w:rsidRDefault="0059622E" w:rsidP="0059622E">
            <w:pPr>
              <w:spacing w:before="0" w:after="0"/>
              <w:jc w:val="right"/>
              <w:rPr>
                <w:rFonts w:ascii="Arial" w:hAnsi="Arial"/>
                <w:color w:val="000000"/>
                <w:sz w:val="15"/>
                <w:szCs w:val="15"/>
                <w:highlight w:val="yellow"/>
                <w:lang w:val="en-AU"/>
              </w:rPr>
            </w:pPr>
            <w:r w:rsidRPr="00A85815">
              <w:rPr>
                <w:rFonts w:ascii="Arial" w:hAnsi="Arial"/>
                <w:sz w:val="16"/>
                <w:szCs w:val="16"/>
                <w:lang w:val="en-AU"/>
              </w:rPr>
              <w:t xml:space="preserve">21,321 </w:t>
            </w:r>
          </w:p>
        </w:tc>
      </w:tr>
      <w:tr w:rsidR="0059622E" w:rsidRPr="0045322E" w14:paraId="2DE2C690" w14:textId="77777777" w:rsidTr="001C3457">
        <w:trPr>
          <w:trHeight w:val="229"/>
        </w:trPr>
        <w:tc>
          <w:tcPr>
            <w:tcW w:w="4395" w:type="dxa"/>
            <w:tcBorders>
              <w:top w:val="nil"/>
              <w:left w:val="nil"/>
              <w:bottom w:val="nil"/>
              <w:right w:val="nil"/>
            </w:tcBorders>
            <w:shd w:val="clear" w:color="auto" w:fill="auto"/>
            <w:noWrap/>
            <w:vAlign w:val="center"/>
            <w:hideMark/>
          </w:tcPr>
          <w:p w14:paraId="396EF767" w14:textId="77777777" w:rsidR="0059622E" w:rsidRPr="002B2BCC" w:rsidRDefault="0059622E" w:rsidP="0059622E">
            <w:pPr>
              <w:spacing w:before="0" w:after="0"/>
              <w:rPr>
                <w:rFonts w:ascii="Arial" w:hAnsi="Arial"/>
                <w:b/>
                <w:bCs/>
                <w:sz w:val="16"/>
                <w:szCs w:val="16"/>
                <w:lang w:val="en-AU"/>
              </w:rPr>
            </w:pPr>
            <w:r w:rsidRPr="002B2BCC">
              <w:rPr>
                <w:rFonts w:ascii="Arial" w:hAnsi="Arial"/>
                <w:b/>
                <w:bCs/>
                <w:sz w:val="16"/>
                <w:szCs w:val="16"/>
                <w:lang w:val="en-AU"/>
              </w:rPr>
              <w:t>Total expenses for Program 1.1</w:t>
            </w:r>
          </w:p>
        </w:tc>
        <w:tc>
          <w:tcPr>
            <w:tcW w:w="981" w:type="dxa"/>
            <w:tcBorders>
              <w:top w:val="single" w:sz="4" w:space="0" w:color="auto"/>
              <w:left w:val="nil"/>
              <w:bottom w:val="single" w:sz="4" w:space="0" w:color="auto"/>
              <w:right w:val="nil"/>
            </w:tcBorders>
            <w:shd w:val="clear" w:color="auto" w:fill="auto"/>
            <w:noWrap/>
            <w:vAlign w:val="center"/>
          </w:tcPr>
          <w:p w14:paraId="711607ED" w14:textId="54FE7461" w:rsidR="0059622E" w:rsidRPr="00DA5E40" w:rsidRDefault="0059622E" w:rsidP="0059622E">
            <w:pPr>
              <w:spacing w:before="0" w:after="0"/>
              <w:jc w:val="right"/>
              <w:rPr>
                <w:rFonts w:ascii="Arial" w:hAnsi="Arial"/>
                <w:b/>
                <w:bCs/>
                <w:color w:val="000000"/>
                <w:sz w:val="15"/>
                <w:szCs w:val="15"/>
                <w:highlight w:val="yellow"/>
                <w:lang w:val="en-AU"/>
              </w:rPr>
            </w:pPr>
            <w:r w:rsidRPr="00A85815">
              <w:rPr>
                <w:rFonts w:ascii="Arial" w:hAnsi="Arial"/>
                <w:b/>
                <w:bCs/>
                <w:color w:val="000000"/>
                <w:sz w:val="16"/>
                <w:szCs w:val="16"/>
                <w:lang w:val="en-AU"/>
              </w:rPr>
              <w:t xml:space="preserve">892,304 </w:t>
            </w:r>
          </w:p>
        </w:tc>
        <w:tc>
          <w:tcPr>
            <w:tcW w:w="963" w:type="dxa"/>
            <w:tcBorders>
              <w:top w:val="single" w:sz="4" w:space="0" w:color="auto"/>
              <w:left w:val="nil"/>
              <w:bottom w:val="single" w:sz="4" w:space="0" w:color="auto"/>
              <w:right w:val="nil"/>
            </w:tcBorders>
            <w:shd w:val="clear" w:color="auto" w:fill="E6E6E6"/>
            <w:noWrap/>
            <w:vAlign w:val="center"/>
          </w:tcPr>
          <w:p w14:paraId="753B034F" w14:textId="277283D4" w:rsidR="0059622E" w:rsidRPr="00DA5E40" w:rsidRDefault="0059622E" w:rsidP="0059622E">
            <w:pPr>
              <w:spacing w:before="0" w:after="0"/>
              <w:jc w:val="right"/>
              <w:rPr>
                <w:rFonts w:ascii="Arial" w:hAnsi="Arial"/>
                <w:b/>
                <w:bCs/>
                <w:color w:val="000000"/>
                <w:sz w:val="15"/>
                <w:szCs w:val="15"/>
                <w:highlight w:val="yellow"/>
                <w:lang w:val="en-AU"/>
              </w:rPr>
            </w:pPr>
            <w:r w:rsidRPr="00A85815">
              <w:rPr>
                <w:rFonts w:ascii="Arial" w:hAnsi="Arial"/>
                <w:b/>
                <w:bCs/>
                <w:color w:val="000000"/>
                <w:sz w:val="16"/>
                <w:szCs w:val="16"/>
                <w:lang w:val="en-AU"/>
              </w:rPr>
              <w:t xml:space="preserve">1,062,332 </w:t>
            </w:r>
          </w:p>
        </w:tc>
        <w:tc>
          <w:tcPr>
            <w:tcW w:w="883" w:type="dxa"/>
            <w:tcBorders>
              <w:top w:val="single" w:sz="4" w:space="0" w:color="auto"/>
              <w:left w:val="nil"/>
              <w:bottom w:val="single" w:sz="4" w:space="0" w:color="auto"/>
              <w:right w:val="nil"/>
            </w:tcBorders>
            <w:shd w:val="clear" w:color="auto" w:fill="auto"/>
            <w:noWrap/>
            <w:vAlign w:val="center"/>
          </w:tcPr>
          <w:p w14:paraId="73FAE369" w14:textId="57D3629F" w:rsidR="0059622E" w:rsidRPr="00DA5E40" w:rsidRDefault="0059622E" w:rsidP="0059622E">
            <w:pPr>
              <w:spacing w:before="0" w:after="0"/>
              <w:jc w:val="right"/>
              <w:rPr>
                <w:rFonts w:ascii="Arial" w:hAnsi="Arial"/>
                <w:b/>
                <w:bCs/>
                <w:sz w:val="15"/>
                <w:szCs w:val="15"/>
                <w:highlight w:val="yellow"/>
                <w:lang w:val="en-AU"/>
              </w:rPr>
            </w:pPr>
            <w:r w:rsidRPr="00A85815">
              <w:rPr>
                <w:rFonts w:ascii="Arial" w:hAnsi="Arial"/>
                <w:b/>
                <w:bCs/>
                <w:sz w:val="16"/>
                <w:szCs w:val="16"/>
                <w:lang w:val="en-AU"/>
              </w:rPr>
              <w:t xml:space="preserve">1,080,537 </w:t>
            </w:r>
          </w:p>
        </w:tc>
        <w:tc>
          <w:tcPr>
            <w:tcW w:w="883" w:type="dxa"/>
            <w:tcBorders>
              <w:top w:val="single" w:sz="4" w:space="0" w:color="auto"/>
              <w:left w:val="nil"/>
              <w:bottom w:val="single" w:sz="4" w:space="0" w:color="auto"/>
              <w:right w:val="nil"/>
            </w:tcBorders>
            <w:shd w:val="clear" w:color="auto" w:fill="auto"/>
            <w:noWrap/>
            <w:vAlign w:val="center"/>
          </w:tcPr>
          <w:p w14:paraId="7AF31AC4" w14:textId="0CCFA11A" w:rsidR="0059622E" w:rsidRPr="00DA5E40" w:rsidRDefault="0059622E" w:rsidP="0059622E">
            <w:pPr>
              <w:spacing w:before="0" w:after="0"/>
              <w:jc w:val="right"/>
              <w:rPr>
                <w:rFonts w:ascii="Arial" w:hAnsi="Arial"/>
                <w:b/>
                <w:bCs/>
                <w:sz w:val="15"/>
                <w:szCs w:val="15"/>
                <w:highlight w:val="yellow"/>
                <w:lang w:val="en-AU"/>
              </w:rPr>
            </w:pPr>
            <w:r w:rsidRPr="00A85815">
              <w:rPr>
                <w:rFonts w:ascii="Arial" w:hAnsi="Arial"/>
                <w:b/>
                <w:bCs/>
                <w:sz w:val="16"/>
                <w:szCs w:val="16"/>
                <w:lang w:val="en-AU"/>
              </w:rPr>
              <w:t xml:space="preserve">1,052,636 </w:t>
            </w:r>
          </w:p>
        </w:tc>
        <w:tc>
          <w:tcPr>
            <w:tcW w:w="883" w:type="dxa"/>
            <w:tcBorders>
              <w:top w:val="single" w:sz="4" w:space="0" w:color="auto"/>
              <w:left w:val="nil"/>
              <w:bottom w:val="single" w:sz="4" w:space="0" w:color="auto"/>
              <w:right w:val="nil"/>
            </w:tcBorders>
            <w:shd w:val="clear" w:color="auto" w:fill="auto"/>
            <w:noWrap/>
            <w:vAlign w:val="center"/>
          </w:tcPr>
          <w:p w14:paraId="5B56D97F" w14:textId="5F3989F0" w:rsidR="0059622E" w:rsidRPr="00DA5E40" w:rsidRDefault="0059622E" w:rsidP="0059622E">
            <w:pPr>
              <w:spacing w:before="0" w:after="0"/>
              <w:jc w:val="right"/>
              <w:rPr>
                <w:rFonts w:ascii="Arial" w:hAnsi="Arial"/>
                <w:b/>
                <w:bCs/>
                <w:sz w:val="15"/>
                <w:szCs w:val="15"/>
                <w:highlight w:val="yellow"/>
                <w:lang w:val="en-AU"/>
              </w:rPr>
            </w:pPr>
            <w:r w:rsidRPr="00A85815">
              <w:rPr>
                <w:rFonts w:ascii="Arial" w:hAnsi="Arial"/>
                <w:b/>
                <w:bCs/>
                <w:sz w:val="16"/>
                <w:szCs w:val="16"/>
                <w:lang w:val="en-AU"/>
              </w:rPr>
              <w:t xml:space="preserve">945,158 </w:t>
            </w:r>
          </w:p>
        </w:tc>
      </w:tr>
      <w:tr w:rsidR="00510D5B" w:rsidRPr="0045322E" w14:paraId="1E608D3C" w14:textId="77777777" w:rsidTr="002A5A4F">
        <w:trPr>
          <w:trHeight w:val="229"/>
        </w:trPr>
        <w:tc>
          <w:tcPr>
            <w:tcW w:w="4395" w:type="dxa"/>
            <w:tcBorders>
              <w:top w:val="single" w:sz="4" w:space="0" w:color="000000"/>
              <w:left w:val="nil"/>
              <w:bottom w:val="nil"/>
              <w:right w:val="nil"/>
            </w:tcBorders>
            <w:shd w:val="clear" w:color="auto" w:fill="auto"/>
            <w:noWrap/>
            <w:vAlign w:val="center"/>
          </w:tcPr>
          <w:p w14:paraId="6FE84B97" w14:textId="77777777" w:rsidR="00510D5B" w:rsidRPr="002B2BCC" w:rsidRDefault="00510D5B" w:rsidP="00510D5B">
            <w:pPr>
              <w:spacing w:before="0" w:after="0"/>
              <w:rPr>
                <w:rFonts w:ascii="Arial" w:hAnsi="Arial"/>
                <w:color w:val="000000"/>
                <w:sz w:val="16"/>
                <w:szCs w:val="16"/>
                <w:lang w:val="en-AU"/>
              </w:rPr>
            </w:pPr>
          </w:p>
        </w:tc>
        <w:tc>
          <w:tcPr>
            <w:tcW w:w="981" w:type="dxa"/>
            <w:tcBorders>
              <w:top w:val="nil"/>
              <w:left w:val="nil"/>
              <w:bottom w:val="nil"/>
              <w:right w:val="nil"/>
            </w:tcBorders>
            <w:shd w:val="clear" w:color="auto" w:fill="auto"/>
            <w:noWrap/>
            <w:vAlign w:val="center"/>
          </w:tcPr>
          <w:p w14:paraId="3DA8D26C" w14:textId="77777777" w:rsidR="00510D5B" w:rsidRPr="00AA2D4A" w:rsidRDefault="00510D5B" w:rsidP="00510D5B">
            <w:pPr>
              <w:spacing w:before="0" w:after="0"/>
              <w:rPr>
                <w:rFonts w:ascii="Arial" w:hAnsi="Arial"/>
                <w:color w:val="000000"/>
                <w:sz w:val="16"/>
                <w:szCs w:val="16"/>
                <w:highlight w:val="yellow"/>
                <w:lang w:val="en-AU"/>
              </w:rPr>
            </w:pPr>
          </w:p>
        </w:tc>
        <w:tc>
          <w:tcPr>
            <w:tcW w:w="963" w:type="dxa"/>
            <w:tcBorders>
              <w:top w:val="nil"/>
              <w:left w:val="nil"/>
              <w:bottom w:val="nil"/>
              <w:right w:val="nil"/>
            </w:tcBorders>
            <w:shd w:val="clear" w:color="auto" w:fill="E6E6E6"/>
            <w:noWrap/>
            <w:vAlign w:val="center"/>
          </w:tcPr>
          <w:p w14:paraId="109D48BD" w14:textId="77777777" w:rsidR="00510D5B" w:rsidRPr="00AA2D4A" w:rsidRDefault="00510D5B" w:rsidP="00510D5B">
            <w:pPr>
              <w:spacing w:before="0" w:after="0"/>
              <w:jc w:val="right"/>
              <w:rPr>
                <w:rFonts w:ascii="Times New Roman" w:hAnsi="Times New Roman" w:cs="Times New Roman"/>
                <w:szCs w:val="20"/>
                <w:highlight w:val="yellow"/>
                <w:lang w:val="en-AU"/>
              </w:rPr>
            </w:pPr>
          </w:p>
        </w:tc>
        <w:tc>
          <w:tcPr>
            <w:tcW w:w="883" w:type="dxa"/>
            <w:tcBorders>
              <w:top w:val="nil"/>
              <w:left w:val="nil"/>
              <w:bottom w:val="nil"/>
              <w:right w:val="nil"/>
            </w:tcBorders>
            <w:shd w:val="clear" w:color="auto" w:fill="auto"/>
            <w:noWrap/>
            <w:vAlign w:val="center"/>
          </w:tcPr>
          <w:p w14:paraId="7CFC236B" w14:textId="77777777" w:rsidR="00510D5B" w:rsidRPr="00AA2D4A" w:rsidRDefault="00510D5B" w:rsidP="00510D5B">
            <w:pPr>
              <w:spacing w:before="0" w:after="0"/>
              <w:jc w:val="right"/>
              <w:rPr>
                <w:rFonts w:ascii="Times New Roman" w:hAnsi="Times New Roman" w:cs="Times New Roman"/>
                <w:szCs w:val="20"/>
                <w:highlight w:val="yellow"/>
                <w:lang w:val="en-AU"/>
              </w:rPr>
            </w:pPr>
          </w:p>
        </w:tc>
        <w:tc>
          <w:tcPr>
            <w:tcW w:w="883" w:type="dxa"/>
            <w:tcBorders>
              <w:top w:val="nil"/>
              <w:left w:val="nil"/>
              <w:bottom w:val="nil"/>
              <w:right w:val="nil"/>
            </w:tcBorders>
            <w:shd w:val="clear" w:color="auto" w:fill="auto"/>
            <w:noWrap/>
            <w:vAlign w:val="center"/>
          </w:tcPr>
          <w:p w14:paraId="6FE7B8E1" w14:textId="77777777" w:rsidR="00510D5B" w:rsidRPr="00AA2D4A" w:rsidRDefault="00510D5B" w:rsidP="00510D5B">
            <w:pPr>
              <w:spacing w:before="0" w:after="0"/>
              <w:rPr>
                <w:rFonts w:ascii="Times New Roman" w:hAnsi="Times New Roman" w:cs="Times New Roman"/>
                <w:szCs w:val="20"/>
                <w:highlight w:val="yellow"/>
                <w:lang w:val="en-AU"/>
              </w:rPr>
            </w:pPr>
          </w:p>
        </w:tc>
        <w:tc>
          <w:tcPr>
            <w:tcW w:w="883" w:type="dxa"/>
            <w:tcBorders>
              <w:top w:val="nil"/>
              <w:left w:val="nil"/>
              <w:bottom w:val="nil"/>
              <w:right w:val="nil"/>
            </w:tcBorders>
            <w:shd w:val="clear" w:color="auto" w:fill="auto"/>
            <w:noWrap/>
            <w:vAlign w:val="center"/>
            <w:hideMark/>
          </w:tcPr>
          <w:p w14:paraId="27AC7711" w14:textId="77777777" w:rsidR="00510D5B" w:rsidRPr="00AA2D4A" w:rsidRDefault="00510D5B" w:rsidP="00510D5B">
            <w:pPr>
              <w:spacing w:before="0" w:after="0"/>
              <w:rPr>
                <w:rFonts w:ascii="Times New Roman" w:hAnsi="Times New Roman" w:cs="Times New Roman"/>
                <w:szCs w:val="20"/>
                <w:highlight w:val="yellow"/>
                <w:lang w:val="en-AU"/>
              </w:rPr>
            </w:pPr>
          </w:p>
        </w:tc>
      </w:tr>
      <w:tr w:rsidR="0059622E" w:rsidRPr="0045322E" w14:paraId="6E070246" w14:textId="77777777" w:rsidTr="002B2BCC">
        <w:trPr>
          <w:trHeight w:val="229"/>
        </w:trPr>
        <w:tc>
          <w:tcPr>
            <w:tcW w:w="4395" w:type="dxa"/>
            <w:tcBorders>
              <w:top w:val="single" w:sz="4" w:space="0" w:color="auto"/>
              <w:left w:val="nil"/>
              <w:bottom w:val="nil"/>
              <w:right w:val="nil"/>
            </w:tcBorders>
            <w:shd w:val="clear" w:color="auto" w:fill="auto"/>
            <w:noWrap/>
            <w:vAlign w:val="center"/>
          </w:tcPr>
          <w:p w14:paraId="79170A44" w14:textId="77777777" w:rsidR="0059622E" w:rsidRPr="002B2BCC" w:rsidRDefault="0059622E" w:rsidP="0059622E">
            <w:pPr>
              <w:spacing w:before="0" w:after="0"/>
              <w:rPr>
                <w:rFonts w:ascii="Arial" w:hAnsi="Arial"/>
                <w:b/>
                <w:bCs/>
                <w:color w:val="000000"/>
                <w:sz w:val="16"/>
                <w:szCs w:val="16"/>
                <w:lang w:val="en-AU"/>
              </w:rPr>
            </w:pPr>
          </w:p>
        </w:tc>
        <w:tc>
          <w:tcPr>
            <w:tcW w:w="981" w:type="dxa"/>
            <w:tcBorders>
              <w:top w:val="single" w:sz="4" w:space="0" w:color="auto"/>
              <w:left w:val="nil"/>
              <w:bottom w:val="nil"/>
              <w:right w:val="nil"/>
            </w:tcBorders>
            <w:shd w:val="clear" w:color="auto" w:fill="auto"/>
            <w:noWrap/>
            <w:vAlign w:val="center"/>
          </w:tcPr>
          <w:p w14:paraId="03F1B9E2" w14:textId="6E7F13E2" w:rsidR="0059622E" w:rsidRPr="00DA5E40" w:rsidRDefault="0059622E" w:rsidP="0059622E">
            <w:pPr>
              <w:spacing w:before="0" w:after="0"/>
              <w:jc w:val="right"/>
              <w:rPr>
                <w:rFonts w:ascii="Arial" w:hAnsi="Arial"/>
                <w:b/>
                <w:sz w:val="15"/>
                <w:szCs w:val="15"/>
                <w:highlight w:val="yellow"/>
                <w:lang w:val="en-AU"/>
              </w:rPr>
            </w:pPr>
            <w:r w:rsidRPr="00A85815">
              <w:rPr>
                <w:rFonts w:ascii="Arial" w:hAnsi="Arial"/>
                <w:b/>
                <w:bCs/>
                <w:sz w:val="16"/>
                <w:szCs w:val="16"/>
                <w:lang w:val="en-AU"/>
              </w:rPr>
              <w:t>2024-25</w:t>
            </w:r>
          </w:p>
        </w:tc>
        <w:tc>
          <w:tcPr>
            <w:tcW w:w="963" w:type="dxa"/>
            <w:tcBorders>
              <w:top w:val="single" w:sz="4" w:space="0" w:color="000000"/>
              <w:left w:val="nil"/>
              <w:bottom w:val="nil"/>
              <w:right w:val="nil"/>
            </w:tcBorders>
            <w:shd w:val="clear" w:color="auto" w:fill="E6E6E6"/>
            <w:noWrap/>
            <w:vAlign w:val="center"/>
          </w:tcPr>
          <w:p w14:paraId="6B74CB38" w14:textId="2FF9F1D8" w:rsidR="0059622E" w:rsidRPr="00DA5E40" w:rsidRDefault="0059622E" w:rsidP="0059622E">
            <w:pPr>
              <w:spacing w:before="0" w:after="0"/>
              <w:jc w:val="right"/>
              <w:rPr>
                <w:rFonts w:ascii="Arial" w:hAnsi="Arial"/>
                <w:b/>
                <w:sz w:val="15"/>
                <w:szCs w:val="15"/>
                <w:highlight w:val="yellow"/>
                <w:lang w:val="en-AU"/>
              </w:rPr>
            </w:pPr>
            <w:r w:rsidRPr="00A85815">
              <w:rPr>
                <w:rFonts w:ascii="Arial" w:hAnsi="Arial"/>
                <w:b/>
                <w:bCs/>
                <w:sz w:val="16"/>
                <w:szCs w:val="16"/>
                <w:lang w:val="en-AU"/>
              </w:rPr>
              <w:t>2025-26</w:t>
            </w:r>
          </w:p>
        </w:tc>
        <w:tc>
          <w:tcPr>
            <w:tcW w:w="883" w:type="dxa"/>
            <w:tcBorders>
              <w:top w:val="nil"/>
              <w:left w:val="nil"/>
              <w:bottom w:val="nil"/>
              <w:right w:val="nil"/>
            </w:tcBorders>
            <w:shd w:val="clear" w:color="auto" w:fill="auto"/>
            <w:noWrap/>
            <w:vAlign w:val="center"/>
          </w:tcPr>
          <w:p w14:paraId="7AA5256A" w14:textId="77777777" w:rsidR="0059622E" w:rsidRPr="00AA2D4A" w:rsidRDefault="0059622E" w:rsidP="0059622E">
            <w:pPr>
              <w:spacing w:before="0" w:after="0"/>
              <w:jc w:val="right"/>
              <w:rPr>
                <w:rFonts w:ascii="Arial" w:hAnsi="Arial"/>
                <w:sz w:val="16"/>
                <w:szCs w:val="16"/>
                <w:highlight w:val="yellow"/>
                <w:lang w:val="en-AU"/>
              </w:rPr>
            </w:pPr>
          </w:p>
        </w:tc>
        <w:tc>
          <w:tcPr>
            <w:tcW w:w="883" w:type="dxa"/>
            <w:tcBorders>
              <w:top w:val="nil"/>
              <w:left w:val="nil"/>
              <w:bottom w:val="nil"/>
              <w:right w:val="nil"/>
            </w:tcBorders>
            <w:shd w:val="clear" w:color="auto" w:fill="auto"/>
            <w:noWrap/>
            <w:vAlign w:val="center"/>
          </w:tcPr>
          <w:p w14:paraId="2C99604D" w14:textId="77777777" w:rsidR="0059622E" w:rsidRPr="00AA2D4A" w:rsidRDefault="0059622E" w:rsidP="0059622E">
            <w:pPr>
              <w:spacing w:before="0" w:after="0"/>
              <w:rPr>
                <w:rFonts w:ascii="Times New Roman" w:hAnsi="Times New Roman" w:cs="Times New Roman"/>
                <w:szCs w:val="20"/>
                <w:highlight w:val="yellow"/>
                <w:lang w:val="en-AU"/>
              </w:rPr>
            </w:pPr>
          </w:p>
        </w:tc>
        <w:tc>
          <w:tcPr>
            <w:tcW w:w="883" w:type="dxa"/>
            <w:tcBorders>
              <w:top w:val="nil"/>
              <w:left w:val="nil"/>
              <w:bottom w:val="nil"/>
              <w:right w:val="nil"/>
            </w:tcBorders>
            <w:shd w:val="clear" w:color="auto" w:fill="auto"/>
            <w:noWrap/>
            <w:vAlign w:val="center"/>
            <w:hideMark/>
          </w:tcPr>
          <w:p w14:paraId="13102924" w14:textId="77777777" w:rsidR="0059622E" w:rsidRPr="00AA2D4A" w:rsidRDefault="0059622E" w:rsidP="0059622E">
            <w:pPr>
              <w:spacing w:before="0" w:after="0"/>
              <w:rPr>
                <w:rFonts w:ascii="Times New Roman" w:hAnsi="Times New Roman" w:cs="Times New Roman"/>
                <w:szCs w:val="20"/>
                <w:highlight w:val="yellow"/>
                <w:lang w:val="en-AU"/>
              </w:rPr>
            </w:pPr>
          </w:p>
        </w:tc>
      </w:tr>
      <w:tr w:rsidR="0059622E" w:rsidRPr="0045322E" w14:paraId="4F039D1E" w14:textId="77777777" w:rsidTr="001C3457">
        <w:trPr>
          <w:trHeight w:val="229"/>
        </w:trPr>
        <w:tc>
          <w:tcPr>
            <w:tcW w:w="4395" w:type="dxa"/>
            <w:tcBorders>
              <w:top w:val="nil"/>
              <w:left w:val="nil"/>
              <w:bottom w:val="single" w:sz="4" w:space="0" w:color="auto"/>
              <w:right w:val="nil"/>
            </w:tcBorders>
            <w:shd w:val="clear" w:color="auto" w:fill="auto"/>
            <w:noWrap/>
            <w:vAlign w:val="center"/>
            <w:hideMark/>
          </w:tcPr>
          <w:p w14:paraId="1DEF1A1D" w14:textId="77777777" w:rsidR="0059622E" w:rsidRPr="002B2BCC" w:rsidRDefault="0059622E" w:rsidP="0059622E">
            <w:pPr>
              <w:spacing w:before="0" w:after="0"/>
              <w:rPr>
                <w:rFonts w:ascii="Arial" w:hAnsi="Arial"/>
                <w:b/>
                <w:bCs/>
                <w:color w:val="000000"/>
                <w:sz w:val="16"/>
                <w:szCs w:val="16"/>
                <w:lang w:val="en-AU"/>
              </w:rPr>
            </w:pPr>
            <w:r w:rsidRPr="002B2BCC">
              <w:rPr>
                <w:rFonts w:ascii="Arial" w:hAnsi="Arial"/>
                <w:b/>
                <w:bCs/>
                <w:color w:val="000000"/>
                <w:sz w:val="16"/>
                <w:szCs w:val="16"/>
                <w:lang w:val="en-AU"/>
              </w:rPr>
              <w:t>Average staffing level (number)</w:t>
            </w:r>
          </w:p>
        </w:tc>
        <w:tc>
          <w:tcPr>
            <w:tcW w:w="981" w:type="dxa"/>
            <w:tcBorders>
              <w:top w:val="single" w:sz="4" w:space="0" w:color="000000"/>
              <w:left w:val="nil"/>
              <w:bottom w:val="single" w:sz="4" w:space="0" w:color="000000"/>
              <w:right w:val="nil"/>
            </w:tcBorders>
            <w:shd w:val="clear" w:color="auto" w:fill="auto"/>
            <w:noWrap/>
            <w:vAlign w:val="center"/>
          </w:tcPr>
          <w:p w14:paraId="78C9868D" w14:textId="3220D7F3" w:rsidR="0059622E" w:rsidRPr="00DA5E40" w:rsidRDefault="0059622E" w:rsidP="0059622E">
            <w:pPr>
              <w:spacing w:before="0" w:after="0"/>
              <w:jc w:val="right"/>
              <w:rPr>
                <w:rFonts w:ascii="Arial" w:hAnsi="Arial"/>
                <w:color w:val="000000"/>
                <w:sz w:val="15"/>
                <w:szCs w:val="15"/>
                <w:highlight w:val="yellow"/>
                <w:lang w:val="en-AU"/>
              </w:rPr>
            </w:pPr>
            <w:r w:rsidRPr="00A85815">
              <w:rPr>
                <w:rFonts w:ascii="Arial" w:hAnsi="Arial"/>
                <w:color w:val="000000"/>
                <w:sz w:val="16"/>
                <w:szCs w:val="16"/>
                <w:lang w:val="en-AU"/>
              </w:rPr>
              <w:t xml:space="preserve">609 </w:t>
            </w:r>
          </w:p>
        </w:tc>
        <w:tc>
          <w:tcPr>
            <w:tcW w:w="963" w:type="dxa"/>
            <w:tcBorders>
              <w:top w:val="single" w:sz="4" w:space="0" w:color="000000"/>
              <w:left w:val="nil"/>
              <w:bottom w:val="single" w:sz="4" w:space="0" w:color="000000"/>
              <w:right w:val="nil"/>
            </w:tcBorders>
            <w:shd w:val="clear" w:color="auto" w:fill="E6E6E6"/>
            <w:noWrap/>
            <w:vAlign w:val="center"/>
          </w:tcPr>
          <w:p w14:paraId="663BBC04" w14:textId="4E76405F" w:rsidR="0059622E" w:rsidRPr="00DA5E40" w:rsidRDefault="0059622E" w:rsidP="0059622E">
            <w:pPr>
              <w:spacing w:before="0" w:after="0"/>
              <w:jc w:val="right"/>
              <w:rPr>
                <w:rFonts w:ascii="Arial" w:hAnsi="Arial"/>
                <w:color w:val="000000"/>
                <w:sz w:val="15"/>
                <w:szCs w:val="15"/>
                <w:highlight w:val="yellow"/>
                <w:lang w:val="en-AU"/>
              </w:rPr>
            </w:pPr>
            <w:r w:rsidRPr="00A85815">
              <w:rPr>
                <w:rFonts w:ascii="Arial" w:hAnsi="Arial"/>
                <w:color w:val="000000"/>
                <w:sz w:val="16"/>
                <w:szCs w:val="16"/>
                <w:lang w:val="en-AU"/>
              </w:rPr>
              <w:t xml:space="preserve">643 </w:t>
            </w:r>
          </w:p>
        </w:tc>
        <w:tc>
          <w:tcPr>
            <w:tcW w:w="883" w:type="dxa"/>
            <w:tcBorders>
              <w:top w:val="nil"/>
              <w:left w:val="nil"/>
              <w:bottom w:val="nil"/>
              <w:right w:val="nil"/>
            </w:tcBorders>
            <w:shd w:val="clear" w:color="auto" w:fill="auto"/>
            <w:noWrap/>
            <w:vAlign w:val="center"/>
            <w:hideMark/>
          </w:tcPr>
          <w:p w14:paraId="1CA8DBC4" w14:textId="77777777" w:rsidR="0059622E" w:rsidRPr="00AA2D4A" w:rsidRDefault="0059622E" w:rsidP="0059622E">
            <w:pPr>
              <w:spacing w:before="0" w:after="0"/>
              <w:jc w:val="right"/>
              <w:rPr>
                <w:rFonts w:ascii="Arial" w:hAnsi="Arial"/>
                <w:color w:val="000000"/>
                <w:sz w:val="16"/>
                <w:szCs w:val="16"/>
                <w:highlight w:val="yellow"/>
                <w:lang w:val="en-AU"/>
              </w:rPr>
            </w:pPr>
          </w:p>
        </w:tc>
        <w:tc>
          <w:tcPr>
            <w:tcW w:w="883" w:type="dxa"/>
            <w:tcBorders>
              <w:top w:val="nil"/>
              <w:left w:val="nil"/>
              <w:bottom w:val="nil"/>
              <w:right w:val="nil"/>
            </w:tcBorders>
            <w:shd w:val="clear" w:color="auto" w:fill="auto"/>
            <w:noWrap/>
            <w:vAlign w:val="center"/>
            <w:hideMark/>
          </w:tcPr>
          <w:p w14:paraId="1503C0C7" w14:textId="77777777" w:rsidR="0059622E" w:rsidRPr="00AA2D4A" w:rsidRDefault="0059622E" w:rsidP="0059622E">
            <w:pPr>
              <w:spacing w:before="0" w:after="0"/>
              <w:rPr>
                <w:rFonts w:ascii="Times New Roman" w:hAnsi="Times New Roman" w:cs="Times New Roman"/>
                <w:szCs w:val="20"/>
                <w:highlight w:val="yellow"/>
                <w:lang w:val="en-AU"/>
              </w:rPr>
            </w:pPr>
          </w:p>
        </w:tc>
        <w:tc>
          <w:tcPr>
            <w:tcW w:w="883" w:type="dxa"/>
            <w:tcBorders>
              <w:top w:val="nil"/>
              <w:left w:val="nil"/>
              <w:bottom w:val="nil"/>
              <w:right w:val="nil"/>
            </w:tcBorders>
            <w:shd w:val="clear" w:color="auto" w:fill="auto"/>
            <w:noWrap/>
            <w:vAlign w:val="center"/>
            <w:hideMark/>
          </w:tcPr>
          <w:p w14:paraId="4C074C36" w14:textId="77777777" w:rsidR="0059622E" w:rsidRPr="00AA2D4A" w:rsidRDefault="0059622E" w:rsidP="0059622E">
            <w:pPr>
              <w:spacing w:before="0" w:after="0"/>
              <w:rPr>
                <w:rFonts w:ascii="Times New Roman" w:hAnsi="Times New Roman" w:cs="Times New Roman"/>
                <w:szCs w:val="20"/>
                <w:highlight w:val="yellow"/>
                <w:lang w:val="en-AU"/>
              </w:rPr>
            </w:pPr>
          </w:p>
        </w:tc>
      </w:tr>
    </w:tbl>
    <w:p w14:paraId="58AF5825" w14:textId="77777777" w:rsidR="00D33112" w:rsidRPr="002B2BCC" w:rsidRDefault="00761824" w:rsidP="00003CF7">
      <w:pPr>
        <w:pStyle w:val="TableHeading"/>
        <w:spacing w:before="0"/>
        <w:outlineLvl w:val="5"/>
      </w:pPr>
      <w:r w:rsidRPr="00B56FAA">
        <w:br w:type="page"/>
      </w:r>
      <w:r w:rsidR="00003CF7" w:rsidRPr="002B2BCC">
        <w:lastRenderedPageBreak/>
        <w:t xml:space="preserve">Table 3: </w:t>
      </w:r>
      <w:r w:rsidR="00D33112" w:rsidRPr="002B2BCC">
        <w:t>Performance Measures for Outcome 1</w:t>
      </w:r>
    </w:p>
    <w:p w14:paraId="59D571E2" w14:textId="2F22E431" w:rsidR="00D33112" w:rsidRPr="00B56FAA" w:rsidRDefault="00D33112" w:rsidP="000E6700">
      <w:pPr>
        <w:spacing w:before="120" w:after="120"/>
      </w:pPr>
      <w:r w:rsidRPr="002B2BCC">
        <w:t>Table 3</w:t>
      </w:r>
      <w:r w:rsidRPr="004A6687">
        <w:t xml:space="preserve"> </w:t>
      </w:r>
      <w:r w:rsidRPr="00064B3B">
        <w:t>details the performance measures for each program associated with</w:t>
      </w:r>
      <w:r w:rsidRPr="00F43CF5">
        <w:t xml:space="preserve"> Outcome 1. It also p</w:t>
      </w:r>
      <w:r w:rsidRPr="005F0466">
        <w:t>rovides the related key activities as expressed in the current corporate plan where further detail is provided about the delivery of the activities related to the program, the context in which these activities are delivered and how the performance of the</w:t>
      </w:r>
      <w:r w:rsidRPr="00722E2D">
        <w:t>se activities will be measured.</w:t>
      </w:r>
      <w:r w:rsidR="00CC219F" w:rsidRPr="00FF75AB">
        <w:t xml:space="preserve"> Where relevant, details of </w:t>
      </w:r>
      <w:r w:rsidR="00CC219F" w:rsidRPr="002B2BCC">
        <w:t>202</w:t>
      </w:r>
      <w:r w:rsidR="00A65ED4">
        <w:t>5</w:t>
      </w:r>
      <w:r w:rsidR="00CC219F" w:rsidRPr="002B2BCC">
        <w:t>-</w:t>
      </w:r>
      <w:r w:rsidRPr="002B2BCC">
        <w:t>2</w:t>
      </w:r>
      <w:r w:rsidR="00A65ED4">
        <w:t>6</w:t>
      </w:r>
      <w:r w:rsidRPr="004A6687">
        <w:t xml:space="preserve"> Budget </w:t>
      </w:r>
      <w:r w:rsidR="00A07B99" w:rsidRPr="00064B3B">
        <w:t>M</w:t>
      </w:r>
      <w:r w:rsidRPr="00F43CF5">
        <w:t>easures</w:t>
      </w:r>
      <w:r w:rsidRPr="00B56FAA">
        <w:t xml:space="preserve"> that have created new programs or materially changed existing programs are provided.</w:t>
      </w:r>
    </w:p>
    <w:tbl>
      <w:tblPr>
        <w:tblW w:w="4858"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392"/>
        <w:gridCol w:w="4354"/>
        <w:gridCol w:w="2618"/>
      </w:tblGrid>
      <w:tr w:rsidR="00CA2F99" w:rsidRPr="00B56FAA" w14:paraId="5A94B256" w14:textId="77777777" w:rsidTr="0059622E">
        <w:tc>
          <w:tcPr>
            <w:tcW w:w="8364" w:type="dxa"/>
            <w:gridSpan w:val="3"/>
            <w:tcBorders>
              <w:bottom w:val="single" w:sz="4" w:space="0" w:color="auto"/>
            </w:tcBorders>
            <w:shd w:val="clear" w:color="auto" w:fill="CCCCCC"/>
          </w:tcPr>
          <w:p w14:paraId="6C7EE143" w14:textId="77777777" w:rsidR="00CA2F99" w:rsidRPr="00B56FAA" w:rsidRDefault="00CA2F99" w:rsidP="00CA2F99">
            <w:pPr>
              <w:pStyle w:val="Heading5"/>
              <w:spacing w:before="100" w:after="100"/>
              <w:jc w:val="both"/>
              <w:rPr>
                <w:sz w:val="16"/>
                <w:szCs w:val="16"/>
              </w:rPr>
            </w:pPr>
            <w:r w:rsidRPr="00B56FAA">
              <w:rPr>
                <w:sz w:val="16"/>
                <w:szCs w:val="16"/>
                <w:lang w:val="en-AU"/>
              </w:rPr>
              <w:t>Outcome 1 – To contribute to Defence outcomes by providing total housing services that meet Defence Operational and client needs through a strong customer and business focus</w:t>
            </w:r>
            <w:r w:rsidR="0076508D">
              <w:rPr>
                <w:sz w:val="16"/>
                <w:szCs w:val="16"/>
                <w:lang w:val="en-AU"/>
              </w:rPr>
              <w:t>.</w:t>
            </w:r>
          </w:p>
        </w:tc>
      </w:tr>
      <w:tr w:rsidR="00761824" w:rsidRPr="00B56FAA" w14:paraId="7BD4C8F3" w14:textId="77777777" w:rsidTr="0059622E">
        <w:tc>
          <w:tcPr>
            <w:tcW w:w="8364" w:type="dxa"/>
            <w:gridSpan w:val="3"/>
            <w:tcBorders>
              <w:bottom w:val="single" w:sz="4" w:space="0" w:color="auto"/>
            </w:tcBorders>
            <w:shd w:val="clear" w:color="auto" w:fill="CCCCCC"/>
          </w:tcPr>
          <w:p w14:paraId="158A75C5" w14:textId="77777777" w:rsidR="00761824" w:rsidRPr="00B56FAA" w:rsidRDefault="00761824" w:rsidP="004313B0">
            <w:pPr>
              <w:tabs>
                <w:tab w:val="left" w:pos="709"/>
              </w:tabs>
              <w:spacing w:before="60" w:after="60"/>
              <w:rPr>
                <w:rFonts w:ascii="Arial" w:hAnsi="Arial"/>
                <w:b/>
                <w:sz w:val="16"/>
                <w:szCs w:val="16"/>
              </w:rPr>
            </w:pPr>
            <w:r w:rsidRPr="00B56FAA">
              <w:rPr>
                <w:rFonts w:ascii="Arial" w:hAnsi="Arial"/>
                <w:b/>
                <w:sz w:val="16"/>
                <w:szCs w:val="16"/>
              </w:rPr>
              <w:t>Program 1.1: The provision of Defence housing and housing related services</w:t>
            </w:r>
            <w:r w:rsidR="0076508D">
              <w:rPr>
                <w:rFonts w:ascii="Arial" w:hAnsi="Arial"/>
                <w:b/>
                <w:sz w:val="16"/>
                <w:szCs w:val="16"/>
              </w:rPr>
              <w:t>.</w:t>
            </w:r>
          </w:p>
        </w:tc>
      </w:tr>
      <w:tr w:rsidR="00E83262" w:rsidRPr="00B56FAA" w14:paraId="5B260ED3" w14:textId="77777777" w:rsidTr="0059622E">
        <w:tc>
          <w:tcPr>
            <w:tcW w:w="8364" w:type="dxa"/>
            <w:gridSpan w:val="3"/>
            <w:tcBorders>
              <w:left w:val="nil"/>
              <w:right w:val="nil"/>
            </w:tcBorders>
            <w:shd w:val="clear" w:color="auto" w:fill="auto"/>
          </w:tcPr>
          <w:p w14:paraId="2D2E0FEF" w14:textId="77777777" w:rsidR="00E83262" w:rsidRPr="00B56FAA" w:rsidRDefault="00E83262" w:rsidP="000B0906">
            <w:pPr>
              <w:pStyle w:val="Heading5"/>
              <w:spacing w:before="0" w:after="0"/>
              <w:rPr>
                <w:sz w:val="16"/>
                <w:szCs w:val="16"/>
              </w:rPr>
            </w:pPr>
          </w:p>
        </w:tc>
      </w:tr>
      <w:tr w:rsidR="005C1C91" w:rsidRPr="00B56FAA" w14:paraId="3A3B596D" w14:textId="77777777" w:rsidTr="0059622E">
        <w:tblPrEx>
          <w:shd w:val="clear" w:color="auto" w:fill="auto"/>
        </w:tblPrEx>
        <w:tc>
          <w:tcPr>
            <w:tcW w:w="8364" w:type="dxa"/>
            <w:gridSpan w:val="3"/>
            <w:tcBorders>
              <w:top w:val="single" w:sz="4" w:space="0" w:color="auto"/>
              <w:left w:val="single" w:sz="4" w:space="0" w:color="auto"/>
              <w:bottom w:val="single" w:sz="4" w:space="0" w:color="auto"/>
              <w:right w:val="single" w:sz="4" w:space="0" w:color="auto"/>
            </w:tcBorders>
            <w:shd w:val="clear" w:color="auto" w:fill="E6E6E6"/>
          </w:tcPr>
          <w:p w14:paraId="60702EE6" w14:textId="77777777" w:rsidR="0059622E" w:rsidRPr="00B56FAA" w:rsidRDefault="0059622E" w:rsidP="0059622E">
            <w:pPr>
              <w:pStyle w:val="Heading5"/>
              <w:spacing w:before="60" w:after="60"/>
              <w:rPr>
                <w:sz w:val="16"/>
                <w:szCs w:val="16"/>
                <w:lang w:val="en-AU"/>
              </w:rPr>
            </w:pPr>
            <w:r w:rsidRPr="00B56FAA">
              <w:rPr>
                <w:sz w:val="16"/>
                <w:szCs w:val="16"/>
                <w:lang w:val="en-AU"/>
              </w:rPr>
              <w:t>Program 1.1 Objective</w:t>
            </w:r>
          </w:p>
          <w:p w14:paraId="4AC41C00" w14:textId="77777777" w:rsidR="0059622E" w:rsidRPr="00042F2B" w:rsidRDefault="0059622E" w:rsidP="0059622E">
            <w:pPr>
              <w:pStyle w:val="Bullet"/>
              <w:spacing w:before="60" w:after="60"/>
              <w:rPr>
                <w:rFonts w:ascii="Arial" w:hAnsi="Arial"/>
                <w:bCs/>
                <w:iCs/>
                <w:sz w:val="16"/>
                <w:szCs w:val="16"/>
                <w:lang w:val="en-AU"/>
              </w:rPr>
            </w:pPr>
            <w:r w:rsidRPr="00042F2B">
              <w:rPr>
                <w:rFonts w:ascii="Arial" w:hAnsi="Arial"/>
                <w:bCs/>
                <w:iCs/>
                <w:sz w:val="16"/>
                <w:szCs w:val="16"/>
                <w:lang w:val="en-AU"/>
              </w:rPr>
              <w:tab/>
              <w:t>Aligned housing solutions delivered through a modern, customer-centric operating model</w:t>
            </w:r>
            <w:r>
              <w:rPr>
                <w:rFonts w:ascii="Arial" w:hAnsi="Arial"/>
                <w:bCs/>
                <w:iCs/>
                <w:sz w:val="16"/>
                <w:szCs w:val="16"/>
                <w:lang w:val="en-AU"/>
              </w:rPr>
              <w:t>.</w:t>
            </w:r>
          </w:p>
          <w:p w14:paraId="6072FBCC" w14:textId="77777777" w:rsidR="0059622E" w:rsidRPr="00042F2B" w:rsidRDefault="0059622E" w:rsidP="0059622E">
            <w:pPr>
              <w:pStyle w:val="Bullet"/>
              <w:spacing w:before="60" w:after="60"/>
              <w:rPr>
                <w:rFonts w:ascii="Arial" w:hAnsi="Arial"/>
                <w:bCs/>
                <w:iCs/>
                <w:sz w:val="16"/>
                <w:szCs w:val="16"/>
                <w:lang w:val="en-AU"/>
              </w:rPr>
            </w:pPr>
            <w:r w:rsidRPr="00042F2B">
              <w:rPr>
                <w:rFonts w:ascii="Arial" w:hAnsi="Arial"/>
                <w:bCs/>
                <w:iCs/>
                <w:sz w:val="16"/>
                <w:szCs w:val="16"/>
                <w:lang w:val="en-AU"/>
              </w:rPr>
              <w:tab/>
              <w:t>Build an agile and scalable housing capability</w:t>
            </w:r>
            <w:r>
              <w:rPr>
                <w:rFonts w:ascii="Arial" w:hAnsi="Arial"/>
                <w:bCs/>
                <w:iCs/>
                <w:sz w:val="16"/>
                <w:szCs w:val="16"/>
                <w:lang w:val="en-AU"/>
              </w:rPr>
              <w:t>.</w:t>
            </w:r>
          </w:p>
          <w:p w14:paraId="3632AC1C" w14:textId="77777777" w:rsidR="0059622E" w:rsidRPr="00042F2B" w:rsidRDefault="0059622E" w:rsidP="0059622E">
            <w:pPr>
              <w:pStyle w:val="Bullet"/>
              <w:spacing w:before="60" w:after="60"/>
              <w:rPr>
                <w:rFonts w:ascii="Arial" w:hAnsi="Arial"/>
                <w:bCs/>
                <w:iCs/>
                <w:sz w:val="16"/>
                <w:szCs w:val="16"/>
                <w:lang w:val="en-AU"/>
              </w:rPr>
            </w:pPr>
            <w:r w:rsidRPr="00042F2B">
              <w:rPr>
                <w:rFonts w:ascii="Arial" w:hAnsi="Arial"/>
                <w:bCs/>
                <w:iCs/>
                <w:sz w:val="16"/>
                <w:szCs w:val="16"/>
                <w:lang w:val="en-AU"/>
              </w:rPr>
              <w:tab/>
              <w:t>Commitment to environmental, social, and governance (ESG) excellence</w:t>
            </w:r>
            <w:r>
              <w:rPr>
                <w:rFonts w:ascii="Arial" w:hAnsi="Arial"/>
                <w:bCs/>
                <w:iCs/>
                <w:sz w:val="16"/>
                <w:szCs w:val="16"/>
                <w:lang w:val="en-AU"/>
              </w:rPr>
              <w:t>.</w:t>
            </w:r>
          </w:p>
          <w:p w14:paraId="433097C6" w14:textId="51017055" w:rsidR="005C1C91" w:rsidRPr="00B56FAA" w:rsidRDefault="0059622E" w:rsidP="0059622E">
            <w:pPr>
              <w:pStyle w:val="Bullet"/>
              <w:spacing w:before="60" w:after="60"/>
              <w:rPr>
                <w:rFonts w:ascii="Arial" w:hAnsi="Arial"/>
                <w:b/>
                <w:bCs/>
                <w:iCs/>
                <w:sz w:val="16"/>
                <w:szCs w:val="16"/>
                <w:lang w:val="en-AU"/>
              </w:rPr>
            </w:pPr>
            <w:r w:rsidRPr="00042F2B">
              <w:rPr>
                <w:rFonts w:ascii="Arial" w:hAnsi="Arial"/>
                <w:bCs/>
                <w:iCs/>
                <w:sz w:val="16"/>
                <w:szCs w:val="16"/>
                <w:lang w:val="en-AU"/>
              </w:rPr>
              <w:t>Fiscal responsibility and long-term financial stability</w:t>
            </w:r>
            <w:r>
              <w:rPr>
                <w:rFonts w:ascii="Arial" w:hAnsi="Arial"/>
                <w:bCs/>
                <w:iCs/>
                <w:sz w:val="16"/>
                <w:szCs w:val="16"/>
                <w:lang w:val="en-AU"/>
              </w:rPr>
              <w:t>.</w:t>
            </w:r>
          </w:p>
        </w:tc>
      </w:tr>
      <w:tr w:rsidR="0059622E" w:rsidRPr="00B56FAA" w14:paraId="3EA6FC59" w14:textId="77777777" w:rsidTr="0059622E">
        <w:tblPrEx>
          <w:shd w:val="clear" w:color="auto" w:fill="auto"/>
          <w:tblLook w:val="04A0" w:firstRow="1" w:lastRow="0" w:firstColumn="1" w:lastColumn="0" w:noHBand="0" w:noVBand="1"/>
        </w:tblPrEx>
        <w:tc>
          <w:tcPr>
            <w:tcW w:w="1392" w:type="dxa"/>
            <w:tcBorders>
              <w:top w:val="double" w:sz="4" w:space="0" w:color="auto"/>
              <w:bottom w:val="single" w:sz="4" w:space="0" w:color="auto"/>
              <w:right w:val="single" w:sz="4" w:space="0" w:color="auto"/>
            </w:tcBorders>
          </w:tcPr>
          <w:p w14:paraId="11E283EA" w14:textId="77777777" w:rsidR="0059622E" w:rsidRPr="00B56FAA" w:rsidRDefault="0059622E" w:rsidP="0059622E">
            <w:pPr>
              <w:tabs>
                <w:tab w:val="left" w:pos="709"/>
              </w:tabs>
              <w:ind w:right="-57"/>
              <w:rPr>
                <w:rFonts w:ascii="Arial" w:hAnsi="Arial"/>
                <w:b/>
                <w:sz w:val="16"/>
                <w:szCs w:val="16"/>
              </w:rPr>
            </w:pPr>
            <w:r w:rsidRPr="00B56FAA">
              <w:rPr>
                <w:rFonts w:ascii="Arial" w:hAnsi="Arial"/>
                <w:b/>
                <w:sz w:val="16"/>
                <w:szCs w:val="16"/>
              </w:rPr>
              <w:t>Key Activities</w:t>
            </w:r>
          </w:p>
        </w:tc>
        <w:tc>
          <w:tcPr>
            <w:tcW w:w="6972" w:type="dxa"/>
            <w:gridSpan w:val="2"/>
            <w:tcBorders>
              <w:top w:val="double" w:sz="4" w:space="0" w:color="auto"/>
              <w:left w:val="single" w:sz="4" w:space="0" w:color="auto"/>
              <w:bottom w:val="single" w:sz="4" w:space="0" w:color="auto"/>
            </w:tcBorders>
          </w:tcPr>
          <w:p w14:paraId="50D07832" w14:textId="77777777" w:rsidR="0059622E" w:rsidRPr="00776434" w:rsidRDefault="0059622E" w:rsidP="00444A89">
            <w:pPr>
              <w:numPr>
                <w:ilvl w:val="0"/>
                <w:numId w:val="37"/>
              </w:numPr>
              <w:spacing w:before="60" w:after="60"/>
              <w:ind w:left="447"/>
              <w:contextualSpacing/>
              <w:rPr>
                <w:rFonts w:ascii="Arial" w:hAnsi="Arial"/>
                <w:sz w:val="16"/>
                <w:szCs w:val="16"/>
              </w:rPr>
            </w:pPr>
            <w:r w:rsidRPr="421BE562">
              <w:rPr>
                <w:rFonts w:ascii="Arial" w:hAnsi="Arial"/>
                <w:sz w:val="16"/>
                <w:szCs w:val="16"/>
              </w:rPr>
              <w:t>Reorient our operating model and leverage technology to deliver future housing needs</w:t>
            </w:r>
            <w:r>
              <w:rPr>
                <w:rFonts w:ascii="Arial" w:hAnsi="Arial"/>
                <w:sz w:val="16"/>
                <w:szCs w:val="16"/>
              </w:rPr>
              <w:t xml:space="preserve"> </w:t>
            </w:r>
            <w:r w:rsidRPr="00A55B88">
              <w:rPr>
                <w:rFonts w:ascii="Arial" w:hAnsi="Arial"/>
                <w:sz w:val="16"/>
                <w:szCs w:val="16"/>
              </w:rPr>
              <w:t>which align to the preferences of members and their families</w:t>
            </w:r>
            <w:r w:rsidRPr="421BE562">
              <w:rPr>
                <w:rFonts w:ascii="Arial" w:hAnsi="Arial"/>
                <w:sz w:val="16"/>
                <w:szCs w:val="16"/>
              </w:rPr>
              <w:t>.</w:t>
            </w:r>
          </w:p>
          <w:p w14:paraId="689FEBA8" w14:textId="77777777" w:rsidR="0059622E" w:rsidRPr="00B56FAA" w:rsidRDefault="0059622E" w:rsidP="00444A89">
            <w:pPr>
              <w:numPr>
                <w:ilvl w:val="0"/>
                <w:numId w:val="37"/>
              </w:numPr>
              <w:spacing w:before="60" w:after="60"/>
              <w:ind w:left="447"/>
              <w:contextualSpacing/>
              <w:rPr>
                <w:rFonts w:ascii="Arial" w:hAnsi="Arial"/>
                <w:sz w:val="16"/>
                <w:szCs w:val="16"/>
              </w:rPr>
            </w:pPr>
            <w:r w:rsidRPr="00071F7F">
              <w:rPr>
                <w:rFonts w:ascii="Arial" w:hAnsi="Arial"/>
                <w:sz w:val="16"/>
                <w:szCs w:val="16"/>
              </w:rPr>
              <w:t>Agree and formalise future housing needs with Defence to ensure certainty in housing supply</w:t>
            </w:r>
            <w:r>
              <w:rPr>
                <w:rFonts w:ascii="Arial" w:hAnsi="Arial"/>
                <w:sz w:val="16"/>
                <w:szCs w:val="16"/>
              </w:rPr>
              <w:t>.</w:t>
            </w:r>
          </w:p>
          <w:p w14:paraId="5A206F89" w14:textId="77777777" w:rsidR="0059622E" w:rsidRPr="00B56FAA" w:rsidRDefault="0059622E" w:rsidP="00444A89">
            <w:pPr>
              <w:numPr>
                <w:ilvl w:val="0"/>
                <w:numId w:val="37"/>
              </w:numPr>
              <w:spacing w:before="60" w:after="60"/>
              <w:ind w:left="447"/>
              <w:contextualSpacing/>
              <w:rPr>
                <w:rFonts w:ascii="Arial" w:hAnsi="Arial"/>
                <w:sz w:val="16"/>
                <w:szCs w:val="16"/>
              </w:rPr>
            </w:pPr>
            <w:r w:rsidRPr="00A55B88">
              <w:rPr>
                <w:rFonts w:ascii="Arial" w:hAnsi="Arial"/>
                <w:sz w:val="16"/>
                <w:szCs w:val="16"/>
              </w:rPr>
              <w:t>Future ready scalability in housing solutions which are responsive to changes in market conditions and investor sentiment</w:t>
            </w:r>
            <w:r>
              <w:rPr>
                <w:rFonts w:ascii="Arial" w:hAnsi="Arial"/>
                <w:sz w:val="16"/>
                <w:szCs w:val="16"/>
              </w:rPr>
              <w:t>.</w:t>
            </w:r>
          </w:p>
          <w:p w14:paraId="75259A8D" w14:textId="2963BD01" w:rsidR="0059622E" w:rsidRPr="00B56FAA" w:rsidRDefault="0059622E" w:rsidP="00444A89">
            <w:pPr>
              <w:numPr>
                <w:ilvl w:val="0"/>
                <w:numId w:val="37"/>
              </w:numPr>
              <w:spacing w:before="60" w:after="60"/>
              <w:ind w:left="447"/>
              <w:contextualSpacing/>
              <w:rPr>
                <w:rFonts w:ascii="Arial" w:hAnsi="Arial"/>
                <w:b/>
                <w:sz w:val="16"/>
                <w:szCs w:val="16"/>
              </w:rPr>
            </w:pPr>
            <w:r w:rsidRPr="00A55B88">
              <w:rPr>
                <w:rFonts w:ascii="Arial" w:hAnsi="Arial"/>
                <w:sz w:val="16"/>
                <w:szCs w:val="16"/>
              </w:rPr>
              <w:t>Ensure DHA represents strong value for money for Government and is able to support the long-term portfolio objectives for Defence and the Australian Defence Force</w:t>
            </w:r>
            <w:r>
              <w:rPr>
                <w:rFonts w:ascii="Arial" w:hAnsi="Arial"/>
                <w:sz w:val="16"/>
                <w:szCs w:val="16"/>
              </w:rPr>
              <w:t>.</w:t>
            </w:r>
          </w:p>
        </w:tc>
      </w:tr>
      <w:tr w:rsidR="00261DAB" w:rsidRPr="00B56FAA" w14:paraId="6575383C" w14:textId="77777777" w:rsidTr="0059622E">
        <w:tblPrEx>
          <w:shd w:val="clear" w:color="auto" w:fill="auto"/>
          <w:tblLook w:val="04A0" w:firstRow="1" w:lastRow="0" w:firstColumn="1" w:lastColumn="0" w:noHBand="0" w:noVBand="1"/>
        </w:tblPrEx>
        <w:trPr>
          <w:trHeight w:val="227"/>
        </w:trPr>
        <w:tc>
          <w:tcPr>
            <w:tcW w:w="1392" w:type="dxa"/>
            <w:tcBorders>
              <w:top w:val="single" w:sz="4" w:space="0" w:color="auto"/>
              <w:right w:val="single" w:sz="4" w:space="0" w:color="auto"/>
            </w:tcBorders>
            <w:vAlign w:val="center"/>
          </w:tcPr>
          <w:p w14:paraId="272BB62E" w14:textId="77777777" w:rsidR="00261DAB" w:rsidRPr="00B56FAA" w:rsidRDefault="00261DAB" w:rsidP="00CA2F99">
            <w:pPr>
              <w:spacing w:before="60" w:after="60"/>
              <w:rPr>
                <w:rFonts w:ascii="Arial" w:hAnsi="Arial"/>
                <w:b/>
                <w:sz w:val="16"/>
                <w:szCs w:val="16"/>
              </w:rPr>
            </w:pPr>
            <w:r w:rsidRPr="00B56FAA">
              <w:rPr>
                <w:rFonts w:ascii="Arial" w:hAnsi="Arial"/>
                <w:b/>
                <w:sz w:val="16"/>
                <w:szCs w:val="16"/>
              </w:rPr>
              <w:t xml:space="preserve">Year </w:t>
            </w:r>
          </w:p>
        </w:tc>
        <w:tc>
          <w:tcPr>
            <w:tcW w:w="4354" w:type="dxa"/>
            <w:tcBorders>
              <w:top w:val="single" w:sz="4" w:space="0" w:color="auto"/>
              <w:left w:val="single" w:sz="4" w:space="0" w:color="auto"/>
              <w:right w:val="single" w:sz="4" w:space="0" w:color="auto"/>
            </w:tcBorders>
            <w:vAlign w:val="center"/>
          </w:tcPr>
          <w:p w14:paraId="52F8C000" w14:textId="77777777" w:rsidR="00261DAB" w:rsidRPr="00B56FAA" w:rsidRDefault="00261DAB" w:rsidP="00371677">
            <w:pPr>
              <w:spacing w:before="60" w:after="60"/>
              <w:ind w:left="22"/>
              <w:rPr>
                <w:rFonts w:ascii="Arial" w:hAnsi="Arial"/>
                <w:b/>
                <w:sz w:val="16"/>
                <w:szCs w:val="16"/>
              </w:rPr>
            </w:pPr>
            <w:r w:rsidRPr="00B56FAA">
              <w:rPr>
                <w:rFonts w:ascii="Arial" w:hAnsi="Arial"/>
                <w:b/>
                <w:sz w:val="16"/>
                <w:szCs w:val="16"/>
              </w:rPr>
              <w:t>Performance measures</w:t>
            </w:r>
          </w:p>
        </w:tc>
        <w:tc>
          <w:tcPr>
            <w:tcW w:w="2618" w:type="dxa"/>
            <w:tcBorders>
              <w:top w:val="single" w:sz="4" w:space="0" w:color="auto"/>
              <w:left w:val="single" w:sz="4" w:space="0" w:color="auto"/>
            </w:tcBorders>
            <w:vAlign w:val="center"/>
          </w:tcPr>
          <w:p w14:paraId="2BEAB02B" w14:textId="77777777" w:rsidR="00261DAB" w:rsidRPr="00B56FAA" w:rsidRDefault="00CC219F" w:rsidP="00CC219F">
            <w:pPr>
              <w:spacing w:before="60" w:after="60"/>
              <w:rPr>
                <w:rFonts w:ascii="Arial" w:hAnsi="Arial"/>
                <w:b/>
                <w:sz w:val="16"/>
                <w:szCs w:val="16"/>
              </w:rPr>
            </w:pPr>
            <w:r w:rsidRPr="00B56FAA">
              <w:rPr>
                <w:rFonts w:ascii="Arial" w:hAnsi="Arial"/>
                <w:b/>
                <w:sz w:val="16"/>
                <w:szCs w:val="16"/>
              </w:rPr>
              <w:t xml:space="preserve">Expected Performance results </w:t>
            </w:r>
          </w:p>
        </w:tc>
      </w:tr>
      <w:tr w:rsidR="0059622E" w:rsidRPr="00B56FAA" w14:paraId="055C2055" w14:textId="77777777" w:rsidTr="0059622E">
        <w:tblPrEx>
          <w:shd w:val="clear" w:color="auto" w:fill="auto"/>
          <w:tblLook w:val="04A0" w:firstRow="1" w:lastRow="0" w:firstColumn="1" w:lastColumn="0" w:noHBand="0" w:noVBand="1"/>
        </w:tblPrEx>
        <w:trPr>
          <w:trHeight w:val="413"/>
        </w:trPr>
        <w:tc>
          <w:tcPr>
            <w:tcW w:w="1392" w:type="dxa"/>
            <w:tcBorders>
              <w:top w:val="dotted" w:sz="4" w:space="0" w:color="auto"/>
              <w:right w:val="single" w:sz="4" w:space="0" w:color="auto"/>
            </w:tcBorders>
          </w:tcPr>
          <w:p w14:paraId="5CFB5519" w14:textId="4BA3B375" w:rsidR="0059622E" w:rsidRPr="002B2BCC" w:rsidRDefault="0059622E" w:rsidP="0059622E">
            <w:pPr>
              <w:spacing w:before="60" w:after="60"/>
              <w:rPr>
                <w:rFonts w:ascii="Arial" w:hAnsi="Arial"/>
                <w:sz w:val="16"/>
                <w:szCs w:val="16"/>
              </w:rPr>
            </w:pPr>
            <w:r w:rsidRPr="002B2BCC">
              <w:rPr>
                <w:rFonts w:ascii="Arial" w:hAnsi="Arial"/>
                <w:sz w:val="16"/>
                <w:szCs w:val="16"/>
              </w:rPr>
              <w:t>Current Year</w:t>
            </w:r>
            <w:r w:rsidRPr="002B2BCC">
              <w:rPr>
                <w:rFonts w:ascii="Arial" w:hAnsi="Arial"/>
                <w:sz w:val="16"/>
                <w:szCs w:val="16"/>
              </w:rPr>
              <w:br/>
              <w:t>202</w:t>
            </w:r>
            <w:r>
              <w:rPr>
                <w:rFonts w:ascii="Arial" w:hAnsi="Arial"/>
                <w:sz w:val="16"/>
                <w:szCs w:val="16"/>
              </w:rPr>
              <w:t>4</w:t>
            </w:r>
            <w:r w:rsidRPr="002B2BCC">
              <w:rPr>
                <w:rFonts w:ascii="Arial" w:hAnsi="Arial"/>
                <w:sz w:val="16"/>
                <w:szCs w:val="16"/>
              </w:rPr>
              <w:t>–2</w:t>
            </w:r>
            <w:r>
              <w:rPr>
                <w:rFonts w:ascii="Arial" w:hAnsi="Arial"/>
                <w:sz w:val="16"/>
                <w:szCs w:val="16"/>
              </w:rPr>
              <w:t>5</w:t>
            </w:r>
          </w:p>
        </w:tc>
        <w:tc>
          <w:tcPr>
            <w:tcW w:w="4354" w:type="dxa"/>
            <w:tcBorders>
              <w:top w:val="dotted" w:sz="4" w:space="0" w:color="auto"/>
              <w:left w:val="single" w:sz="4" w:space="0" w:color="auto"/>
              <w:right w:val="single" w:sz="4" w:space="0" w:color="auto"/>
            </w:tcBorders>
          </w:tcPr>
          <w:p w14:paraId="4491B8CE" w14:textId="77777777" w:rsidR="0059622E" w:rsidRPr="002B2BCC" w:rsidRDefault="0059622E" w:rsidP="0059622E">
            <w:pPr>
              <w:spacing w:before="60" w:after="60"/>
              <w:ind w:left="22"/>
              <w:rPr>
                <w:rFonts w:ascii="Arial" w:hAnsi="Arial"/>
                <w:sz w:val="16"/>
                <w:szCs w:val="16"/>
              </w:rPr>
            </w:pPr>
            <w:r w:rsidRPr="002B2BCC">
              <w:rPr>
                <w:rFonts w:ascii="Arial" w:hAnsi="Arial"/>
                <w:sz w:val="16"/>
                <w:szCs w:val="16"/>
              </w:rPr>
              <w:t>Housing solutions supplied against provisioning schedule</w:t>
            </w:r>
          </w:p>
          <w:p w14:paraId="256B7D45" w14:textId="77777777" w:rsidR="0059622E" w:rsidRPr="002B2BCC" w:rsidRDefault="0059622E" w:rsidP="0059622E">
            <w:pPr>
              <w:spacing w:before="60" w:after="60"/>
              <w:ind w:left="22"/>
              <w:rPr>
                <w:rFonts w:ascii="Arial" w:hAnsi="Arial"/>
                <w:sz w:val="16"/>
                <w:szCs w:val="16"/>
              </w:rPr>
            </w:pPr>
            <w:r w:rsidRPr="002B2BCC">
              <w:rPr>
                <w:rFonts w:ascii="Arial" w:hAnsi="Arial"/>
                <w:sz w:val="16"/>
                <w:szCs w:val="16"/>
              </w:rPr>
              <w:t>ADF Members satisfied with housing solutions</w:t>
            </w:r>
          </w:p>
          <w:p w14:paraId="3CB2272B" w14:textId="27B19004" w:rsidR="0059622E" w:rsidRPr="002B2BCC" w:rsidRDefault="0059622E" w:rsidP="0059622E">
            <w:pPr>
              <w:spacing w:before="60" w:after="60"/>
              <w:ind w:left="22"/>
              <w:rPr>
                <w:rFonts w:ascii="Arial" w:hAnsi="Arial"/>
                <w:sz w:val="16"/>
                <w:szCs w:val="16"/>
              </w:rPr>
            </w:pPr>
            <w:r w:rsidRPr="002B2BCC">
              <w:rPr>
                <w:rFonts w:ascii="Arial" w:hAnsi="Arial"/>
                <w:sz w:val="16"/>
                <w:szCs w:val="16"/>
              </w:rPr>
              <w:t>Return on equity</w:t>
            </w:r>
          </w:p>
        </w:tc>
        <w:tc>
          <w:tcPr>
            <w:tcW w:w="2618" w:type="dxa"/>
            <w:tcBorders>
              <w:top w:val="dotted" w:sz="4" w:space="0" w:color="auto"/>
              <w:left w:val="single" w:sz="4" w:space="0" w:color="auto"/>
            </w:tcBorders>
            <w:vAlign w:val="center"/>
          </w:tcPr>
          <w:p w14:paraId="1EB01277" w14:textId="77777777" w:rsidR="0059622E" w:rsidRPr="002B2BCC" w:rsidRDefault="0059622E" w:rsidP="0059622E">
            <w:pPr>
              <w:spacing w:before="60" w:after="60"/>
              <w:ind w:left="340" w:right="283"/>
              <w:jc w:val="right"/>
              <w:rPr>
                <w:rFonts w:ascii="Arial" w:hAnsi="Arial"/>
                <w:sz w:val="16"/>
                <w:szCs w:val="16"/>
              </w:rPr>
            </w:pPr>
            <w:r w:rsidRPr="002B2BCC">
              <w:rPr>
                <w:rFonts w:ascii="Arial" w:hAnsi="Arial"/>
                <w:sz w:val="16"/>
                <w:szCs w:val="16"/>
              </w:rPr>
              <w:t>&gt;99%</w:t>
            </w:r>
          </w:p>
          <w:p w14:paraId="63C1225D" w14:textId="77777777" w:rsidR="0059622E" w:rsidRPr="002B2BCC" w:rsidRDefault="0059622E" w:rsidP="0059622E">
            <w:pPr>
              <w:spacing w:before="60" w:after="60"/>
              <w:ind w:left="340" w:right="283"/>
              <w:jc w:val="right"/>
              <w:rPr>
                <w:rFonts w:ascii="Arial" w:hAnsi="Arial"/>
                <w:sz w:val="16"/>
                <w:szCs w:val="16"/>
              </w:rPr>
            </w:pPr>
            <w:r w:rsidRPr="002B2BCC">
              <w:rPr>
                <w:rFonts w:ascii="Arial" w:hAnsi="Arial"/>
                <w:sz w:val="16"/>
                <w:szCs w:val="16"/>
              </w:rPr>
              <w:t>&gt;80%</w:t>
            </w:r>
          </w:p>
          <w:p w14:paraId="5F456C64" w14:textId="03504067" w:rsidR="0059622E" w:rsidRPr="002B2BCC" w:rsidRDefault="0059622E" w:rsidP="0059622E">
            <w:pPr>
              <w:spacing w:before="60" w:after="60"/>
              <w:ind w:left="340" w:right="283"/>
              <w:jc w:val="right"/>
              <w:rPr>
                <w:rFonts w:ascii="Arial" w:hAnsi="Arial"/>
                <w:sz w:val="16"/>
                <w:szCs w:val="16"/>
              </w:rPr>
            </w:pPr>
            <w:r w:rsidRPr="002B2BCC">
              <w:rPr>
                <w:rFonts w:ascii="Arial" w:hAnsi="Arial"/>
                <w:sz w:val="16"/>
                <w:szCs w:val="16"/>
              </w:rPr>
              <w:t>&gt;</w:t>
            </w:r>
            <w:r>
              <w:rPr>
                <w:rFonts w:ascii="Arial" w:hAnsi="Arial"/>
                <w:sz w:val="16"/>
                <w:szCs w:val="16"/>
              </w:rPr>
              <w:t>2</w:t>
            </w:r>
            <w:r w:rsidRPr="002B2BCC">
              <w:rPr>
                <w:rFonts w:ascii="Arial" w:hAnsi="Arial"/>
                <w:sz w:val="16"/>
                <w:szCs w:val="16"/>
              </w:rPr>
              <w:t>%</w:t>
            </w:r>
          </w:p>
        </w:tc>
      </w:tr>
      <w:tr w:rsidR="00CC219F" w:rsidRPr="00B56FAA" w14:paraId="536D718B" w14:textId="77777777" w:rsidTr="0059622E">
        <w:tblPrEx>
          <w:shd w:val="clear" w:color="auto" w:fill="auto"/>
          <w:tblLook w:val="04A0" w:firstRow="1" w:lastRow="0" w:firstColumn="1" w:lastColumn="0" w:noHBand="0" w:noVBand="1"/>
        </w:tblPrEx>
        <w:trPr>
          <w:trHeight w:val="227"/>
        </w:trPr>
        <w:tc>
          <w:tcPr>
            <w:tcW w:w="1392" w:type="dxa"/>
            <w:tcBorders>
              <w:top w:val="double" w:sz="4" w:space="0" w:color="auto"/>
              <w:bottom w:val="single" w:sz="4" w:space="0" w:color="auto"/>
              <w:right w:val="single" w:sz="4" w:space="0" w:color="auto"/>
            </w:tcBorders>
          </w:tcPr>
          <w:p w14:paraId="3A5114DA" w14:textId="77777777" w:rsidR="00CC219F" w:rsidRPr="002B2BCC" w:rsidRDefault="00CC219F" w:rsidP="007068C5">
            <w:pPr>
              <w:tabs>
                <w:tab w:val="left" w:pos="709"/>
              </w:tabs>
              <w:spacing w:before="60" w:after="60"/>
              <w:rPr>
                <w:rFonts w:ascii="Arial" w:hAnsi="Arial"/>
                <w:b/>
                <w:sz w:val="16"/>
                <w:szCs w:val="16"/>
              </w:rPr>
            </w:pPr>
            <w:r w:rsidRPr="002B2BCC">
              <w:rPr>
                <w:rFonts w:ascii="Arial" w:hAnsi="Arial"/>
                <w:b/>
                <w:sz w:val="16"/>
                <w:szCs w:val="16"/>
              </w:rPr>
              <w:t xml:space="preserve">Year </w:t>
            </w:r>
          </w:p>
        </w:tc>
        <w:tc>
          <w:tcPr>
            <w:tcW w:w="4354" w:type="dxa"/>
            <w:tcBorders>
              <w:top w:val="double" w:sz="4" w:space="0" w:color="auto"/>
              <w:left w:val="single" w:sz="4" w:space="0" w:color="auto"/>
              <w:bottom w:val="single" w:sz="4" w:space="0" w:color="auto"/>
              <w:right w:val="single" w:sz="4" w:space="0" w:color="auto"/>
            </w:tcBorders>
          </w:tcPr>
          <w:p w14:paraId="5399BCF8" w14:textId="77777777" w:rsidR="00CC219F" w:rsidRPr="002B2BCC" w:rsidRDefault="00CC219F" w:rsidP="007068C5">
            <w:pPr>
              <w:tabs>
                <w:tab w:val="left" w:pos="709"/>
              </w:tabs>
              <w:spacing w:before="60" w:after="60"/>
              <w:rPr>
                <w:rFonts w:ascii="Arial" w:hAnsi="Arial"/>
                <w:b/>
                <w:sz w:val="16"/>
                <w:szCs w:val="16"/>
              </w:rPr>
            </w:pPr>
            <w:r w:rsidRPr="002B2BCC">
              <w:rPr>
                <w:rFonts w:ascii="Arial" w:hAnsi="Arial"/>
                <w:b/>
                <w:sz w:val="16"/>
                <w:szCs w:val="16"/>
              </w:rPr>
              <w:t>Performance measures</w:t>
            </w:r>
          </w:p>
        </w:tc>
        <w:tc>
          <w:tcPr>
            <w:tcW w:w="2618" w:type="dxa"/>
            <w:tcBorders>
              <w:top w:val="double" w:sz="4" w:space="0" w:color="auto"/>
              <w:left w:val="single" w:sz="4" w:space="0" w:color="auto"/>
              <w:bottom w:val="single" w:sz="4" w:space="0" w:color="auto"/>
            </w:tcBorders>
            <w:vAlign w:val="center"/>
          </w:tcPr>
          <w:p w14:paraId="4BF364C3" w14:textId="77777777" w:rsidR="00CC219F" w:rsidRPr="002B2BCC" w:rsidRDefault="00CC219F" w:rsidP="007068C5">
            <w:pPr>
              <w:tabs>
                <w:tab w:val="left" w:pos="709"/>
              </w:tabs>
              <w:spacing w:before="60" w:after="60"/>
              <w:rPr>
                <w:rFonts w:ascii="Arial" w:hAnsi="Arial"/>
                <w:b/>
                <w:sz w:val="16"/>
                <w:szCs w:val="16"/>
              </w:rPr>
            </w:pPr>
            <w:r w:rsidRPr="002B2BCC">
              <w:rPr>
                <w:rFonts w:ascii="Arial" w:hAnsi="Arial"/>
                <w:b/>
                <w:sz w:val="16"/>
                <w:szCs w:val="16"/>
              </w:rPr>
              <w:t>Planned Performance Results</w:t>
            </w:r>
          </w:p>
        </w:tc>
      </w:tr>
      <w:tr w:rsidR="0059622E" w:rsidRPr="00B56FAA" w14:paraId="33E09A60" w14:textId="77777777" w:rsidTr="0059622E">
        <w:tblPrEx>
          <w:shd w:val="clear" w:color="auto" w:fill="auto"/>
          <w:tblLook w:val="04A0" w:firstRow="1" w:lastRow="0" w:firstColumn="1" w:lastColumn="0" w:noHBand="0" w:noVBand="1"/>
        </w:tblPrEx>
        <w:trPr>
          <w:trHeight w:val="413"/>
        </w:trPr>
        <w:tc>
          <w:tcPr>
            <w:tcW w:w="1392" w:type="dxa"/>
            <w:tcBorders>
              <w:top w:val="dotted" w:sz="4" w:space="0" w:color="auto"/>
              <w:bottom w:val="single" w:sz="4" w:space="0" w:color="auto"/>
              <w:right w:val="single" w:sz="4" w:space="0" w:color="auto"/>
            </w:tcBorders>
          </w:tcPr>
          <w:p w14:paraId="28A9C022" w14:textId="38BEBAB8" w:rsidR="0059622E" w:rsidRPr="002B2BCC" w:rsidRDefault="0059622E" w:rsidP="0059622E">
            <w:pPr>
              <w:spacing w:before="60" w:after="60"/>
              <w:rPr>
                <w:rFonts w:ascii="Arial" w:hAnsi="Arial"/>
                <w:sz w:val="16"/>
                <w:szCs w:val="16"/>
              </w:rPr>
            </w:pPr>
            <w:r w:rsidRPr="002B2BCC">
              <w:rPr>
                <w:rFonts w:ascii="Arial" w:hAnsi="Arial"/>
                <w:sz w:val="16"/>
                <w:szCs w:val="16"/>
              </w:rPr>
              <w:t>Budget Year</w:t>
            </w:r>
            <w:r w:rsidRPr="002B2BCC">
              <w:rPr>
                <w:rFonts w:ascii="Arial" w:hAnsi="Arial"/>
                <w:sz w:val="16"/>
                <w:szCs w:val="16"/>
              </w:rPr>
              <w:br/>
              <w:t>202</w:t>
            </w:r>
            <w:r>
              <w:rPr>
                <w:rFonts w:ascii="Arial" w:hAnsi="Arial"/>
                <w:sz w:val="16"/>
                <w:szCs w:val="16"/>
              </w:rPr>
              <w:t>5</w:t>
            </w:r>
            <w:r w:rsidRPr="002B2BCC">
              <w:rPr>
                <w:rFonts w:ascii="Arial" w:hAnsi="Arial"/>
                <w:sz w:val="16"/>
                <w:szCs w:val="16"/>
              </w:rPr>
              <w:t>–2</w:t>
            </w:r>
            <w:r>
              <w:rPr>
                <w:rFonts w:ascii="Arial" w:hAnsi="Arial"/>
                <w:sz w:val="16"/>
                <w:szCs w:val="16"/>
              </w:rPr>
              <w:t>6</w:t>
            </w:r>
          </w:p>
        </w:tc>
        <w:tc>
          <w:tcPr>
            <w:tcW w:w="4354" w:type="dxa"/>
            <w:tcBorders>
              <w:top w:val="dotted" w:sz="4" w:space="0" w:color="auto"/>
              <w:left w:val="single" w:sz="4" w:space="0" w:color="auto"/>
              <w:bottom w:val="single" w:sz="4" w:space="0" w:color="auto"/>
              <w:right w:val="single" w:sz="4" w:space="0" w:color="auto"/>
            </w:tcBorders>
          </w:tcPr>
          <w:p w14:paraId="1B88D5E8" w14:textId="77777777" w:rsidR="0059622E" w:rsidRPr="002B2BCC" w:rsidRDefault="0059622E" w:rsidP="0059622E">
            <w:pPr>
              <w:spacing w:before="60" w:after="60"/>
              <w:ind w:left="22"/>
              <w:rPr>
                <w:rFonts w:ascii="Arial" w:hAnsi="Arial"/>
                <w:sz w:val="16"/>
                <w:szCs w:val="16"/>
              </w:rPr>
            </w:pPr>
            <w:r w:rsidRPr="00563EE2">
              <w:rPr>
                <w:rFonts w:ascii="Arial" w:hAnsi="Arial"/>
                <w:sz w:val="16"/>
                <w:szCs w:val="16"/>
              </w:rPr>
              <w:t>Provisioning of housing solutions to the Approved Provisioning Schedule</w:t>
            </w:r>
          </w:p>
          <w:p w14:paraId="6B82D336" w14:textId="77777777" w:rsidR="0059622E" w:rsidRDefault="0059622E" w:rsidP="0059622E">
            <w:pPr>
              <w:spacing w:before="60" w:after="60"/>
              <w:ind w:left="22"/>
              <w:rPr>
                <w:rFonts w:ascii="Arial" w:hAnsi="Arial"/>
                <w:sz w:val="16"/>
                <w:szCs w:val="16"/>
              </w:rPr>
            </w:pPr>
            <w:r w:rsidRPr="00A1477C">
              <w:rPr>
                <w:rFonts w:ascii="Arial" w:hAnsi="Arial"/>
                <w:sz w:val="16"/>
                <w:szCs w:val="16"/>
              </w:rPr>
              <w:t>ADF member satisfaction with housing solutions</w:t>
            </w:r>
          </w:p>
          <w:p w14:paraId="14EDA5B9" w14:textId="77777777" w:rsidR="0059622E" w:rsidRPr="002B2BCC" w:rsidRDefault="0059622E" w:rsidP="0059622E">
            <w:pPr>
              <w:spacing w:before="60" w:after="60"/>
              <w:ind w:left="22"/>
              <w:rPr>
                <w:rFonts w:ascii="Arial" w:hAnsi="Arial"/>
                <w:sz w:val="16"/>
                <w:szCs w:val="16"/>
              </w:rPr>
            </w:pPr>
            <w:r w:rsidRPr="008A1C5C">
              <w:rPr>
                <w:rFonts w:ascii="Arial" w:hAnsi="Arial"/>
                <w:sz w:val="16"/>
                <w:szCs w:val="16"/>
              </w:rPr>
              <w:t>ADF member customer service satisfaction</w:t>
            </w:r>
          </w:p>
          <w:p w14:paraId="7ECF2141" w14:textId="7BFB5B48" w:rsidR="0059622E" w:rsidRPr="002B2BCC" w:rsidRDefault="0059622E" w:rsidP="0059622E">
            <w:pPr>
              <w:spacing w:before="60" w:after="60"/>
              <w:ind w:left="22"/>
              <w:rPr>
                <w:rFonts w:ascii="Arial" w:hAnsi="Arial"/>
                <w:sz w:val="16"/>
                <w:szCs w:val="16"/>
              </w:rPr>
            </w:pPr>
            <w:r w:rsidRPr="002B2BCC">
              <w:rPr>
                <w:rFonts w:ascii="Arial" w:hAnsi="Arial"/>
                <w:sz w:val="16"/>
                <w:szCs w:val="16"/>
              </w:rPr>
              <w:t>Return on equity</w:t>
            </w:r>
          </w:p>
        </w:tc>
        <w:tc>
          <w:tcPr>
            <w:tcW w:w="2618" w:type="dxa"/>
            <w:tcBorders>
              <w:top w:val="dotted" w:sz="4" w:space="0" w:color="auto"/>
              <w:left w:val="single" w:sz="4" w:space="0" w:color="auto"/>
              <w:bottom w:val="single" w:sz="4" w:space="0" w:color="auto"/>
            </w:tcBorders>
            <w:vAlign w:val="center"/>
          </w:tcPr>
          <w:p w14:paraId="4A1F11ED" w14:textId="77777777" w:rsidR="0059622E" w:rsidRPr="002B2BCC" w:rsidRDefault="0059622E" w:rsidP="0059622E">
            <w:pPr>
              <w:spacing w:before="60" w:after="60"/>
              <w:ind w:left="340" w:right="283"/>
              <w:jc w:val="right"/>
              <w:rPr>
                <w:rFonts w:ascii="Arial" w:hAnsi="Arial"/>
                <w:sz w:val="16"/>
                <w:szCs w:val="16"/>
              </w:rPr>
            </w:pPr>
            <w:r w:rsidRPr="002B2BCC">
              <w:rPr>
                <w:rFonts w:ascii="Arial" w:hAnsi="Arial"/>
                <w:sz w:val="16"/>
                <w:szCs w:val="16"/>
              </w:rPr>
              <w:t>&gt;99%</w:t>
            </w:r>
          </w:p>
          <w:p w14:paraId="24FF8159" w14:textId="77777777" w:rsidR="0059622E" w:rsidRDefault="0059622E" w:rsidP="0059622E">
            <w:pPr>
              <w:spacing w:before="60" w:after="60"/>
              <w:ind w:left="340" w:right="283"/>
              <w:jc w:val="right"/>
              <w:rPr>
                <w:rFonts w:ascii="Arial" w:hAnsi="Arial"/>
                <w:sz w:val="16"/>
                <w:szCs w:val="16"/>
              </w:rPr>
            </w:pPr>
            <w:r w:rsidRPr="002B2BCC">
              <w:rPr>
                <w:rFonts w:ascii="Arial" w:hAnsi="Arial"/>
                <w:sz w:val="16"/>
                <w:szCs w:val="16"/>
              </w:rPr>
              <w:t>&gt;80%</w:t>
            </w:r>
          </w:p>
          <w:p w14:paraId="7911FB69" w14:textId="77777777" w:rsidR="0059622E" w:rsidRPr="002B2BCC" w:rsidRDefault="0059622E" w:rsidP="0059622E">
            <w:pPr>
              <w:spacing w:before="60" w:after="60"/>
              <w:ind w:left="340" w:right="283"/>
              <w:jc w:val="right"/>
              <w:rPr>
                <w:rFonts w:ascii="Arial" w:hAnsi="Arial"/>
                <w:sz w:val="16"/>
                <w:szCs w:val="16"/>
              </w:rPr>
            </w:pPr>
            <w:r w:rsidRPr="002B2BCC">
              <w:rPr>
                <w:rFonts w:ascii="Arial" w:hAnsi="Arial"/>
                <w:sz w:val="16"/>
                <w:szCs w:val="16"/>
              </w:rPr>
              <w:t>&gt;</w:t>
            </w:r>
            <w:r>
              <w:rPr>
                <w:rFonts w:ascii="Arial" w:hAnsi="Arial"/>
                <w:sz w:val="16"/>
                <w:szCs w:val="16"/>
              </w:rPr>
              <w:t>85%</w:t>
            </w:r>
          </w:p>
          <w:p w14:paraId="2D7D1D7A" w14:textId="41E6E14F" w:rsidR="0059622E" w:rsidRPr="002B2BCC" w:rsidRDefault="0059622E" w:rsidP="0059622E">
            <w:pPr>
              <w:spacing w:before="60" w:after="60"/>
              <w:ind w:left="340" w:right="283"/>
              <w:jc w:val="right"/>
              <w:rPr>
                <w:rFonts w:ascii="Arial" w:hAnsi="Arial"/>
                <w:sz w:val="16"/>
                <w:szCs w:val="16"/>
              </w:rPr>
            </w:pPr>
            <w:r w:rsidRPr="002B2BCC">
              <w:rPr>
                <w:rFonts w:ascii="Arial" w:hAnsi="Arial"/>
                <w:sz w:val="16"/>
                <w:szCs w:val="16"/>
              </w:rPr>
              <w:t>&gt;3%</w:t>
            </w:r>
          </w:p>
        </w:tc>
      </w:tr>
      <w:tr w:rsidR="0059622E" w:rsidRPr="00B56FAA" w14:paraId="49053EB3" w14:textId="77777777" w:rsidTr="0059622E">
        <w:tblPrEx>
          <w:shd w:val="clear" w:color="auto" w:fill="auto"/>
          <w:tblLook w:val="04A0" w:firstRow="1" w:lastRow="0" w:firstColumn="1" w:lastColumn="0" w:noHBand="0" w:noVBand="1"/>
        </w:tblPrEx>
        <w:trPr>
          <w:trHeight w:val="413"/>
        </w:trPr>
        <w:tc>
          <w:tcPr>
            <w:tcW w:w="1392" w:type="dxa"/>
            <w:tcBorders>
              <w:top w:val="dotted" w:sz="4" w:space="0" w:color="auto"/>
              <w:left w:val="single" w:sz="4" w:space="0" w:color="auto"/>
              <w:bottom w:val="single" w:sz="4" w:space="0" w:color="auto"/>
              <w:right w:val="single" w:sz="4" w:space="0" w:color="auto"/>
            </w:tcBorders>
          </w:tcPr>
          <w:p w14:paraId="4A8F3289" w14:textId="2B727D47" w:rsidR="0059622E" w:rsidRPr="002B2BCC" w:rsidRDefault="0059622E" w:rsidP="0059622E">
            <w:pPr>
              <w:spacing w:before="60" w:after="60"/>
              <w:rPr>
                <w:rFonts w:ascii="Arial" w:hAnsi="Arial"/>
                <w:sz w:val="16"/>
                <w:szCs w:val="16"/>
              </w:rPr>
            </w:pPr>
            <w:r w:rsidRPr="002B2BCC">
              <w:rPr>
                <w:rFonts w:ascii="Arial" w:hAnsi="Arial"/>
                <w:sz w:val="16"/>
                <w:szCs w:val="16"/>
              </w:rPr>
              <w:t>Forward Estimates from 202</w:t>
            </w:r>
            <w:r>
              <w:rPr>
                <w:rFonts w:ascii="Arial" w:hAnsi="Arial"/>
                <w:sz w:val="16"/>
                <w:szCs w:val="16"/>
              </w:rPr>
              <w:t>6</w:t>
            </w:r>
            <w:r w:rsidRPr="002B2BCC">
              <w:rPr>
                <w:rFonts w:ascii="Arial" w:hAnsi="Arial"/>
                <w:sz w:val="16"/>
                <w:szCs w:val="16"/>
              </w:rPr>
              <w:t>–2</w:t>
            </w:r>
            <w:r>
              <w:rPr>
                <w:rFonts w:ascii="Arial" w:hAnsi="Arial"/>
                <w:sz w:val="16"/>
                <w:szCs w:val="16"/>
              </w:rPr>
              <w:t>9</w:t>
            </w:r>
          </w:p>
        </w:tc>
        <w:tc>
          <w:tcPr>
            <w:tcW w:w="4354" w:type="dxa"/>
            <w:tcBorders>
              <w:top w:val="dotted" w:sz="4" w:space="0" w:color="auto"/>
              <w:left w:val="single" w:sz="4" w:space="0" w:color="auto"/>
              <w:bottom w:val="single" w:sz="4" w:space="0" w:color="auto"/>
              <w:right w:val="single" w:sz="4" w:space="0" w:color="auto"/>
            </w:tcBorders>
          </w:tcPr>
          <w:p w14:paraId="5146D61D" w14:textId="77777777" w:rsidR="0059622E" w:rsidRPr="002B2BCC" w:rsidRDefault="0059622E" w:rsidP="0059622E">
            <w:pPr>
              <w:spacing w:before="60" w:after="60"/>
              <w:ind w:left="22"/>
              <w:rPr>
                <w:rFonts w:ascii="Arial" w:hAnsi="Arial"/>
                <w:sz w:val="16"/>
                <w:szCs w:val="16"/>
              </w:rPr>
            </w:pPr>
            <w:r w:rsidRPr="00563EE2">
              <w:rPr>
                <w:rFonts w:ascii="Arial" w:hAnsi="Arial"/>
                <w:sz w:val="16"/>
                <w:szCs w:val="16"/>
              </w:rPr>
              <w:t>Provisioning of housing solutions to the Approved Provisioning Schedule</w:t>
            </w:r>
          </w:p>
          <w:p w14:paraId="2591044F" w14:textId="77777777" w:rsidR="0059622E" w:rsidRDefault="0059622E" w:rsidP="0059622E">
            <w:pPr>
              <w:spacing w:before="60" w:after="60"/>
              <w:ind w:left="22"/>
              <w:rPr>
                <w:rFonts w:ascii="Arial" w:hAnsi="Arial"/>
                <w:sz w:val="16"/>
                <w:szCs w:val="16"/>
              </w:rPr>
            </w:pPr>
            <w:r w:rsidRPr="00A1477C">
              <w:rPr>
                <w:rFonts w:ascii="Arial" w:hAnsi="Arial"/>
                <w:sz w:val="16"/>
                <w:szCs w:val="16"/>
              </w:rPr>
              <w:t>ADF member satisfaction with housing solutions</w:t>
            </w:r>
          </w:p>
          <w:p w14:paraId="475F0225" w14:textId="77777777" w:rsidR="0059622E" w:rsidRPr="002B2BCC" w:rsidRDefault="0059622E" w:rsidP="0059622E">
            <w:pPr>
              <w:spacing w:before="60" w:after="60"/>
              <w:ind w:left="22"/>
              <w:rPr>
                <w:rFonts w:ascii="Arial" w:hAnsi="Arial"/>
                <w:sz w:val="16"/>
                <w:szCs w:val="16"/>
              </w:rPr>
            </w:pPr>
            <w:r w:rsidRPr="008A1C5C">
              <w:rPr>
                <w:rFonts w:ascii="Arial" w:hAnsi="Arial"/>
                <w:sz w:val="16"/>
                <w:szCs w:val="16"/>
              </w:rPr>
              <w:t>ADF member customer service satisfaction</w:t>
            </w:r>
          </w:p>
          <w:p w14:paraId="64811783" w14:textId="22E22F2B" w:rsidR="0059622E" w:rsidRPr="002B2BCC" w:rsidRDefault="0059622E" w:rsidP="0059622E">
            <w:pPr>
              <w:spacing w:before="60" w:after="60"/>
              <w:ind w:left="22"/>
              <w:rPr>
                <w:rFonts w:ascii="Arial" w:hAnsi="Arial"/>
                <w:sz w:val="16"/>
                <w:szCs w:val="16"/>
              </w:rPr>
            </w:pPr>
            <w:r w:rsidRPr="002B2BCC">
              <w:rPr>
                <w:rFonts w:ascii="Arial" w:hAnsi="Arial"/>
                <w:sz w:val="16"/>
                <w:szCs w:val="16"/>
              </w:rPr>
              <w:t>Return on equity</w:t>
            </w:r>
          </w:p>
        </w:tc>
        <w:tc>
          <w:tcPr>
            <w:tcW w:w="2618" w:type="dxa"/>
            <w:tcBorders>
              <w:top w:val="dotted" w:sz="4" w:space="0" w:color="auto"/>
              <w:left w:val="single" w:sz="4" w:space="0" w:color="auto"/>
              <w:bottom w:val="single" w:sz="4" w:space="0" w:color="auto"/>
              <w:right w:val="single" w:sz="4" w:space="0" w:color="auto"/>
            </w:tcBorders>
            <w:vAlign w:val="center"/>
          </w:tcPr>
          <w:p w14:paraId="3B7EF53A" w14:textId="77777777" w:rsidR="0059622E" w:rsidRPr="002B2BCC" w:rsidRDefault="0059622E" w:rsidP="0059622E">
            <w:pPr>
              <w:spacing w:before="60" w:after="60"/>
              <w:ind w:left="340" w:right="283"/>
              <w:jc w:val="right"/>
              <w:rPr>
                <w:rFonts w:ascii="Arial" w:hAnsi="Arial"/>
                <w:sz w:val="16"/>
                <w:szCs w:val="16"/>
              </w:rPr>
            </w:pPr>
            <w:r w:rsidRPr="002B2BCC">
              <w:rPr>
                <w:rFonts w:ascii="Arial" w:hAnsi="Arial"/>
                <w:sz w:val="16"/>
                <w:szCs w:val="16"/>
              </w:rPr>
              <w:t>&gt;99%</w:t>
            </w:r>
          </w:p>
          <w:p w14:paraId="109282FF" w14:textId="77777777" w:rsidR="0059622E" w:rsidRDefault="0059622E" w:rsidP="0059622E">
            <w:pPr>
              <w:spacing w:before="60" w:after="60"/>
              <w:ind w:left="340" w:right="283"/>
              <w:jc w:val="right"/>
              <w:rPr>
                <w:rFonts w:ascii="Arial" w:hAnsi="Arial"/>
                <w:sz w:val="16"/>
                <w:szCs w:val="16"/>
              </w:rPr>
            </w:pPr>
            <w:r w:rsidRPr="002B2BCC">
              <w:rPr>
                <w:rFonts w:ascii="Arial" w:hAnsi="Arial"/>
                <w:sz w:val="16"/>
                <w:szCs w:val="16"/>
              </w:rPr>
              <w:t>&gt;80%</w:t>
            </w:r>
          </w:p>
          <w:p w14:paraId="5FB82AB4" w14:textId="77777777" w:rsidR="0059622E" w:rsidRPr="002B2BCC" w:rsidRDefault="0059622E" w:rsidP="0059622E">
            <w:pPr>
              <w:spacing w:before="60" w:after="60"/>
              <w:ind w:left="340" w:right="283"/>
              <w:jc w:val="right"/>
              <w:rPr>
                <w:rFonts w:ascii="Arial" w:hAnsi="Arial"/>
                <w:sz w:val="16"/>
                <w:szCs w:val="16"/>
              </w:rPr>
            </w:pPr>
            <w:r w:rsidRPr="002B2BCC">
              <w:rPr>
                <w:rFonts w:ascii="Arial" w:hAnsi="Arial"/>
                <w:sz w:val="16"/>
                <w:szCs w:val="16"/>
              </w:rPr>
              <w:t>&gt;</w:t>
            </w:r>
            <w:r>
              <w:rPr>
                <w:rFonts w:ascii="Arial" w:hAnsi="Arial"/>
                <w:sz w:val="16"/>
                <w:szCs w:val="16"/>
              </w:rPr>
              <w:t>85%</w:t>
            </w:r>
          </w:p>
          <w:p w14:paraId="563EF9E2" w14:textId="374B32D4" w:rsidR="0059622E" w:rsidRPr="002B2BCC" w:rsidRDefault="0059622E" w:rsidP="0059622E">
            <w:pPr>
              <w:spacing w:before="60" w:after="60"/>
              <w:ind w:left="340" w:right="283"/>
              <w:jc w:val="right"/>
              <w:rPr>
                <w:rFonts w:ascii="Arial" w:hAnsi="Arial"/>
                <w:sz w:val="16"/>
                <w:szCs w:val="16"/>
              </w:rPr>
            </w:pPr>
            <w:r w:rsidRPr="002B2BCC">
              <w:rPr>
                <w:rFonts w:ascii="Arial" w:hAnsi="Arial"/>
                <w:sz w:val="16"/>
                <w:szCs w:val="16"/>
              </w:rPr>
              <w:t>&gt;3%</w:t>
            </w:r>
          </w:p>
        </w:tc>
      </w:tr>
    </w:tbl>
    <w:p w14:paraId="69432C92" w14:textId="77777777" w:rsidR="00261DAB" w:rsidRPr="00B56FAA" w:rsidRDefault="00261DAB" w:rsidP="00261DAB">
      <w:pPr>
        <w:pStyle w:val="TableHeading"/>
        <w:spacing w:before="0" w:after="0"/>
        <w:rPr>
          <w:sz w:val="16"/>
          <w:szCs w:val="16"/>
        </w:rPr>
      </w:pPr>
    </w:p>
    <w:p w14:paraId="5111CB2F" w14:textId="77777777" w:rsidR="00761824" w:rsidRPr="00B56FAA" w:rsidRDefault="00761824" w:rsidP="00D36CCC">
      <w:pPr>
        <w:pStyle w:val="Heading2level3"/>
        <w:spacing w:before="120" w:after="120"/>
        <w:rPr>
          <w:szCs w:val="30"/>
        </w:rPr>
      </w:pPr>
      <w:r w:rsidRPr="00B56FAA">
        <w:br w:type="page"/>
      </w:r>
      <w:bookmarkStart w:id="1454" w:name="_Toc507595448"/>
      <w:bookmarkStart w:id="1455" w:name="_Toc536089257"/>
      <w:bookmarkStart w:id="1456" w:name="_Toc536089517"/>
      <w:bookmarkStart w:id="1457" w:name="_Toc536089623"/>
      <w:bookmarkStart w:id="1458" w:name="_Toc1561711"/>
      <w:bookmarkStart w:id="1459" w:name="_Toc51691707"/>
      <w:bookmarkStart w:id="1460" w:name="_Toc69729077"/>
      <w:bookmarkStart w:id="1461" w:name="_Toc69917872"/>
      <w:bookmarkStart w:id="1462" w:name="_Toc97747861"/>
      <w:bookmarkStart w:id="1463" w:name="_Toc108088974"/>
      <w:bookmarkStart w:id="1464" w:name="_Toc108089053"/>
      <w:bookmarkStart w:id="1465" w:name="_Toc108089447"/>
      <w:bookmarkStart w:id="1466" w:name="_Toc109227304"/>
      <w:bookmarkStart w:id="1467" w:name="_Toc109227769"/>
      <w:bookmarkStart w:id="1468" w:name="_Toc158896259"/>
      <w:bookmarkStart w:id="1469" w:name="_Toc158896316"/>
      <w:bookmarkStart w:id="1470" w:name="_Toc159499729"/>
      <w:bookmarkStart w:id="1471" w:name="_Toc159857693"/>
      <w:bookmarkStart w:id="1472" w:name="_Toc159857773"/>
      <w:bookmarkStart w:id="1473" w:name="_Toc159858169"/>
      <w:bookmarkStart w:id="1474" w:name="_Toc159858835"/>
      <w:bookmarkStart w:id="1475" w:name="_Toc159858905"/>
      <w:bookmarkStart w:id="1476" w:name="_Toc159859148"/>
      <w:bookmarkStart w:id="1477" w:name="_Toc159859300"/>
      <w:bookmarkStart w:id="1478" w:name="_Toc159862311"/>
      <w:bookmarkStart w:id="1479" w:name="_Toc159862501"/>
      <w:r w:rsidRPr="00B56FAA">
        <w:rPr>
          <w:szCs w:val="30"/>
        </w:rPr>
        <w:lastRenderedPageBreak/>
        <w:t>Section 3: DHA Explanatory Tables and Budgeted Financial Statements</w:t>
      </w:r>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r w:rsidRPr="00B56FAA">
        <w:rPr>
          <w:szCs w:val="30"/>
        </w:rPr>
        <w:t xml:space="preserve"> </w:t>
      </w:r>
    </w:p>
    <w:p w14:paraId="32ACA45D" w14:textId="041C97BD" w:rsidR="00761824" w:rsidRPr="00B56FAA" w:rsidRDefault="00761824" w:rsidP="000E6700">
      <w:pPr>
        <w:spacing w:before="120" w:after="120"/>
      </w:pPr>
      <w:r w:rsidRPr="00B56FAA">
        <w:t>Section 3 presents budgeted financial statements which provide a comprehensive snapshot</w:t>
      </w:r>
      <w:r w:rsidR="004604E4" w:rsidRPr="00B56FAA">
        <w:t xml:space="preserve"> of entity finances for </w:t>
      </w:r>
      <w:r w:rsidR="004604E4" w:rsidRPr="004A6687">
        <w:t xml:space="preserve">the </w:t>
      </w:r>
      <w:r w:rsidR="00BD523A" w:rsidRPr="002B2BCC">
        <w:t>202</w:t>
      </w:r>
      <w:r w:rsidR="0059622E">
        <w:t>5</w:t>
      </w:r>
      <w:r w:rsidR="00BD523A" w:rsidRPr="002B2BCC">
        <w:t>-2</w:t>
      </w:r>
      <w:r w:rsidR="0059622E">
        <w:t>6</w:t>
      </w:r>
      <w:r w:rsidRPr="004A6687">
        <w:rPr>
          <w:color w:val="00B050"/>
        </w:rPr>
        <w:t xml:space="preserve"> </w:t>
      </w:r>
      <w:r w:rsidRPr="00064B3B">
        <w:t>budget</w:t>
      </w:r>
      <w:r w:rsidRPr="00B56FAA">
        <w:t xml:space="preserve"> year, including the impact of </w:t>
      </w:r>
      <w:r w:rsidR="00A07B99" w:rsidRPr="00B56FAA">
        <w:t>Budget M</w:t>
      </w:r>
      <w:r w:rsidRPr="00B56FAA">
        <w:t>easures and resourcing on financial statements.</w:t>
      </w:r>
    </w:p>
    <w:p w14:paraId="242A58E8" w14:textId="77777777" w:rsidR="00761824" w:rsidRPr="00B56FAA" w:rsidRDefault="00761824" w:rsidP="000E6700">
      <w:pPr>
        <w:pStyle w:val="Heading4"/>
        <w:spacing w:before="120" w:after="120"/>
        <w:rPr>
          <w:rFonts w:ascii="Arial Bold" w:hAnsi="Arial Bold"/>
          <w:sz w:val="24"/>
          <w:szCs w:val="24"/>
        </w:rPr>
      </w:pPr>
      <w:bookmarkStart w:id="1480" w:name="_Toc507595449"/>
      <w:bookmarkStart w:id="1481" w:name="_Toc536089258"/>
      <w:bookmarkStart w:id="1482" w:name="_Toc536089518"/>
      <w:bookmarkStart w:id="1483" w:name="_Toc536089624"/>
      <w:bookmarkStart w:id="1484" w:name="_Toc1561712"/>
      <w:bookmarkStart w:id="1485" w:name="_Toc51691708"/>
      <w:bookmarkStart w:id="1486" w:name="_Toc69729078"/>
      <w:bookmarkStart w:id="1487" w:name="_Toc69917873"/>
      <w:bookmarkStart w:id="1488" w:name="_Toc97747862"/>
      <w:bookmarkStart w:id="1489" w:name="_Toc108088975"/>
      <w:bookmarkStart w:id="1490" w:name="_Toc108089054"/>
      <w:bookmarkStart w:id="1491" w:name="_Toc108089448"/>
      <w:bookmarkStart w:id="1492" w:name="_Toc109227770"/>
      <w:bookmarkStart w:id="1493" w:name="_Toc159499730"/>
      <w:bookmarkStart w:id="1494" w:name="_Toc159859149"/>
      <w:bookmarkStart w:id="1495" w:name="_Toc159859301"/>
      <w:r w:rsidRPr="00B56FAA">
        <w:rPr>
          <w:rFonts w:ascii="Arial Bold" w:hAnsi="Arial Bold"/>
          <w:sz w:val="24"/>
          <w:szCs w:val="24"/>
        </w:rPr>
        <w:t>3.1 Explanatory Tables</w:t>
      </w:r>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p>
    <w:p w14:paraId="07A17CF3" w14:textId="77777777" w:rsidR="00761824" w:rsidRPr="00B56FAA" w:rsidRDefault="00761824" w:rsidP="000E6700">
      <w:pPr>
        <w:spacing w:before="120" w:after="120"/>
      </w:pPr>
      <w:r w:rsidRPr="00B56FAA">
        <w:t>Not applicable to DHA.</w:t>
      </w:r>
    </w:p>
    <w:p w14:paraId="59432063" w14:textId="77777777" w:rsidR="00761824" w:rsidRPr="00B56FAA" w:rsidRDefault="00761824" w:rsidP="006C10EA">
      <w:pPr>
        <w:pStyle w:val="Heading4"/>
        <w:spacing w:before="0" w:after="200"/>
        <w:rPr>
          <w:rFonts w:ascii="Arial Bold" w:hAnsi="Arial Bold" w:cs="Arial"/>
          <w:sz w:val="24"/>
          <w:szCs w:val="24"/>
        </w:rPr>
      </w:pPr>
      <w:r w:rsidRPr="00B56FAA">
        <w:br w:type="page"/>
      </w:r>
      <w:bookmarkStart w:id="1496" w:name="_Toc507595450"/>
      <w:bookmarkStart w:id="1497" w:name="_Toc536089259"/>
      <w:bookmarkStart w:id="1498" w:name="_Toc536089519"/>
      <w:bookmarkStart w:id="1499" w:name="_Toc536089625"/>
      <w:bookmarkStart w:id="1500" w:name="_Toc1561713"/>
      <w:bookmarkStart w:id="1501" w:name="_Toc51691709"/>
      <w:bookmarkStart w:id="1502" w:name="_Toc69729079"/>
      <w:bookmarkStart w:id="1503" w:name="_Toc69917874"/>
      <w:bookmarkStart w:id="1504" w:name="_Toc97747863"/>
      <w:bookmarkStart w:id="1505" w:name="_Toc108088976"/>
      <w:bookmarkStart w:id="1506" w:name="_Toc108089055"/>
      <w:bookmarkStart w:id="1507" w:name="_Toc108089449"/>
      <w:bookmarkStart w:id="1508" w:name="_Toc109227771"/>
      <w:bookmarkStart w:id="1509" w:name="_Toc159499731"/>
      <w:bookmarkStart w:id="1510" w:name="_Toc159859150"/>
      <w:bookmarkStart w:id="1511" w:name="_Toc159859302"/>
      <w:r w:rsidRPr="00B56FAA">
        <w:rPr>
          <w:rFonts w:ascii="Arial Bold" w:hAnsi="Arial Bold" w:cs="Arial"/>
          <w:sz w:val="24"/>
          <w:szCs w:val="24"/>
        </w:rPr>
        <w:lastRenderedPageBreak/>
        <w:t>3.2 Budgeted Financial Statements</w:t>
      </w:r>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p>
    <w:p w14:paraId="7F3E52F3" w14:textId="77777777" w:rsidR="00761824" w:rsidRPr="00B56FAA" w:rsidRDefault="00093C6C" w:rsidP="00444A89">
      <w:pPr>
        <w:pStyle w:val="Heading4level5"/>
        <w:numPr>
          <w:ilvl w:val="2"/>
          <w:numId w:val="41"/>
        </w:numPr>
        <w:spacing w:before="0" w:after="200"/>
        <w:ind w:left="0" w:firstLine="0"/>
      </w:pPr>
      <w:r>
        <w:t xml:space="preserve"> </w:t>
      </w:r>
      <w:r w:rsidR="00761824" w:rsidRPr="00B56FAA">
        <w:t>Budgeted Financial Statements</w:t>
      </w:r>
    </w:p>
    <w:p w14:paraId="15011E14" w14:textId="1726375F" w:rsidR="00173112" w:rsidRPr="002B2BCC" w:rsidRDefault="00B61807" w:rsidP="00B61807">
      <w:pPr>
        <w:pStyle w:val="TableHeading"/>
        <w:spacing w:before="240"/>
        <w:outlineLvl w:val="5"/>
      </w:pPr>
      <w:r w:rsidRPr="002B2BCC">
        <w:t xml:space="preserve">Table 4: </w:t>
      </w:r>
      <w:r w:rsidR="00173112" w:rsidRPr="002B2BCC">
        <w:t xml:space="preserve">Budgeted Departmental Comprehensive Income </w:t>
      </w:r>
      <w:r w:rsidR="009D67E8" w:rsidRPr="002B2BCC">
        <w:t>Statement (for the period ended 30 </w:t>
      </w:r>
      <w:r w:rsidR="00173112" w:rsidRPr="002B2BCC">
        <w:t>June)</w:t>
      </w:r>
      <w:r w:rsidR="003B4294" w:rsidRPr="002B2BCC">
        <w:t xml:space="preserve"> </w:t>
      </w:r>
      <w:r w:rsidR="003B4294" w:rsidRPr="002B2BCC">
        <w:rPr>
          <w:vertAlign w:val="superscript"/>
        </w:rPr>
        <w:t>[a]</w:t>
      </w:r>
      <w:r w:rsidR="007C5D4F" w:rsidRPr="002B2BCC">
        <w:rPr>
          <w:vertAlign w:val="superscript"/>
        </w:rPr>
        <w:t xml:space="preserve"> </w:t>
      </w:r>
      <w:r w:rsidR="003D4088" w:rsidRPr="002B2BCC">
        <w:rPr>
          <w:vertAlign w:val="superscript"/>
        </w:rPr>
        <w:t>[</w:t>
      </w:r>
      <w:r w:rsidR="003B4294" w:rsidRPr="002B2BCC">
        <w:rPr>
          <w:vertAlign w:val="superscript"/>
        </w:rPr>
        <w:t>b</w:t>
      </w:r>
      <w:r w:rsidR="003D4088" w:rsidRPr="002B2BCC">
        <w:rPr>
          <w:vertAlign w:val="superscript"/>
        </w:rPr>
        <w:t>]</w:t>
      </w:r>
      <w:r w:rsidR="007C5D4F" w:rsidRPr="002B2BCC">
        <w:rPr>
          <w:vertAlign w:val="superscript"/>
        </w:rPr>
        <w:t xml:space="preserve"> </w:t>
      </w:r>
    </w:p>
    <w:tbl>
      <w:tblPr>
        <w:tblW w:w="8364" w:type="dxa"/>
        <w:tblInd w:w="108" w:type="dxa"/>
        <w:tblLook w:val="04A0" w:firstRow="1" w:lastRow="0" w:firstColumn="1" w:lastColumn="0" w:noHBand="0" w:noVBand="1"/>
      </w:tblPr>
      <w:tblGrid>
        <w:gridCol w:w="3352"/>
        <w:gridCol w:w="983"/>
        <w:gridCol w:w="928"/>
        <w:gridCol w:w="930"/>
        <w:gridCol w:w="930"/>
        <w:gridCol w:w="935"/>
        <w:gridCol w:w="306"/>
      </w:tblGrid>
      <w:tr w:rsidR="00A151D0" w:rsidRPr="00B56FAA" w14:paraId="3AB8C8B1" w14:textId="77777777" w:rsidTr="005C32EB">
        <w:trPr>
          <w:gridAfter w:val="1"/>
          <w:wAfter w:w="306" w:type="dxa"/>
          <w:trHeight w:val="784"/>
        </w:trPr>
        <w:tc>
          <w:tcPr>
            <w:tcW w:w="3352" w:type="dxa"/>
            <w:tcBorders>
              <w:top w:val="single" w:sz="4" w:space="0" w:color="auto"/>
              <w:left w:val="nil"/>
              <w:bottom w:val="single" w:sz="4" w:space="0" w:color="auto"/>
              <w:right w:val="nil"/>
            </w:tcBorders>
            <w:shd w:val="clear" w:color="auto" w:fill="auto"/>
            <w:noWrap/>
            <w:hideMark/>
          </w:tcPr>
          <w:p w14:paraId="66EBAB06" w14:textId="77777777" w:rsidR="00A151D0" w:rsidRPr="00B56FAA" w:rsidRDefault="00A151D0" w:rsidP="00A151D0">
            <w:pPr>
              <w:spacing w:before="0" w:after="0"/>
              <w:rPr>
                <w:rFonts w:ascii="Arial" w:hAnsi="Arial"/>
                <w:b/>
                <w:bCs/>
                <w:sz w:val="16"/>
                <w:szCs w:val="16"/>
                <w:lang w:val="en-AU"/>
              </w:rPr>
            </w:pPr>
          </w:p>
        </w:tc>
        <w:tc>
          <w:tcPr>
            <w:tcW w:w="983" w:type="dxa"/>
            <w:tcBorders>
              <w:top w:val="single" w:sz="4" w:space="0" w:color="auto"/>
              <w:left w:val="nil"/>
              <w:bottom w:val="single" w:sz="4" w:space="0" w:color="auto"/>
              <w:right w:val="nil"/>
            </w:tcBorders>
            <w:shd w:val="clear" w:color="auto" w:fill="auto"/>
            <w:hideMark/>
          </w:tcPr>
          <w:p w14:paraId="7A0CE323" w14:textId="383F199F" w:rsidR="00A151D0" w:rsidRPr="00A03996" w:rsidRDefault="00A151D0" w:rsidP="004621C6">
            <w:pPr>
              <w:spacing w:before="0" w:after="0"/>
              <w:jc w:val="right"/>
              <w:rPr>
                <w:rFonts w:ascii="Arial" w:hAnsi="Arial"/>
                <w:b/>
                <w:sz w:val="16"/>
                <w:szCs w:val="16"/>
                <w:lang w:val="en-AU"/>
              </w:rPr>
            </w:pPr>
            <w:r w:rsidRPr="00A03996">
              <w:rPr>
                <w:rFonts w:ascii="Arial" w:hAnsi="Arial"/>
                <w:b/>
                <w:sz w:val="16"/>
                <w:szCs w:val="16"/>
                <w:lang w:val="en-AU"/>
              </w:rPr>
              <w:t>202</w:t>
            </w:r>
            <w:r w:rsidR="004621C6">
              <w:rPr>
                <w:rFonts w:ascii="Arial" w:hAnsi="Arial"/>
                <w:b/>
                <w:sz w:val="16"/>
                <w:szCs w:val="16"/>
                <w:lang w:val="en-AU"/>
              </w:rPr>
              <w:t>4</w:t>
            </w:r>
            <w:r w:rsidRPr="00A03996">
              <w:rPr>
                <w:rFonts w:ascii="Arial" w:hAnsi="Arial"/>
                <w:b/>
                <w:sz w:val="16"/>
                <w:szCs w:val="16"/>
                <w:lang w:val="en-AU"/>
              </w:rPr>
              <w:t>-2</w:t>
            </w:r>
            <w:r w:rsidR="004621C6">
              <w:rPr>
                <w:rFonts w:ascii="Arial" w:hAnsi="Arial"/>
                <w:b/>
                <w:sz w:val="16"/>
                <w:szCs w:val="16"/>
                <w:lang w:val="en-AU"/>
              </w:rPr>
              <w:t>5</w:t>
            </w:r>
            <w:r w:rsidRPr="00A03996">
              <w:rPr>
                <w:rFonts w:ascii="Arial" w:hAnsi="Arial"/>
                <w:b/>
                <w:sz w:val="16"/>
                <w:szCs w:val="16"/>
                <w:lang w:val="en-AU"/>
              </w:rPr>
              <w:t xml:space="preserve"> Estimated Actual</w:t>
            </w:r>
            <w:r w:rsidRPr="00A03996">
              <w:rPr>
                <w:rFonts w:ascii="Arial" w:hAnsi="Arial"/>
                <w:b/>
                <w:sz w:val="16"/>
                <w:szCs w:val="16"/>
                <w:lang w:val="en-AU"/>
              </w:rPr>
              <w:br/>
              <w:t>$'000</w:t>
            </w:r>
          </w:p>
        </w:tc>
        <w:tc>
          <w:tcPr>
            <w:tcW w:w="928" w:type="dxa"/>
            <w:tcBorders>
              <w:top w:val="single" w:sz="4" w:space="0" w:color="auto"/>
              <w:left w:val="nil"/>
              <w:bottom w:val="single" w:sz="4" w:space="0" w:color="auto"/>
              <w:right w:val="nil"/>
            </w:tcBorders>
            <w:shd w:val="clear" w:color="auto" w:fill="E6E6E6"/>
            <w:hideMark/>
          </w:tcPr>
          <w:p w14:paraId="5B72AD60" w14:textId="0D907DAC" w:rsidR="00A151D0" w:rsidRPr="00A03996" w:rsidRDefault="00A151D0" w:rsidP="004621C6">
            <w:pPr>
              <w:spacing w:before="0" w:after="0"/>
              <w:jc w:val="right"/>
              <w:rPr>
                <w:rFonts w:ascii="Arial" w:hAnsi="Arial"/>
                <w:b/>
                <w:sz w:val="16"/>
                <w:szCs w:val="16"/>
                <w:lang w:val="en-AU"/>
              </w:rPr>
            </w:pPr>
            <w:r w:rsidRPr="00A03996">
              <w:rPr>
                <w:rFonts w:ascii="Arial" w:hAnsi="Arial"/>
                <w:b/>
                <w:sz w:val="16"/>
                <w:szCs w:val="16"/>
                <w:lang w:val="en-AU"/>
              </w:rPr>
              <w:t>202</w:t>
            </w:r>
            <w:r w:rsidR="004621C6">
              <w:rPr>
                <w:rFonts w:ascii="Arial" w:hAnsi="Arial"/>
                <w:b/>
                <w:sz w:val="16"/>
                <w:szCs w:val="16"/>
                <w:lang w:val="en-AU"/>
              </w:rPr>
              <w:t>5</w:t>
            </w:r>
            <w:r w:rsidRPr="00A03996">
              <w:rPr>
                <w:rFonts w:ascii="Arial" w:hAnsi="Arial"/>
                <w:b/>
                <w:sz w:val="16"/>
                <w:szCs w:val="16"/>
                <w:lang w:val="en-AU"/>
              </w:rPr>
              <w:t>-2</w:t>
            </w:r>
            <w:r w:rsidR="004621C6">
              <w:rPr>
                <w:rFonts w:ascii="Arial" w:hAnsi="Arial"/>
                <w:b/>
                <w:sz w:val="16"/>
                <w:szCs w:val="16"/>
                <w:lang w:val="en-AU"/>
              </w:rPr>
              <w:t>6</w:t>
            </w:r>
            <w:r w:rsidRPr="00A03996">
              <w:rPr>
                <w:rFonts w:ascii="Arial" w:hAnsi="Arial"/>
                <w:b/>
                <w:sz w:val="16"/>
                <w:szCs w:val="16"/>
                <w:lang w:val="en-AU"/>
              </w:rPr>
              <w:br/>
              <w:t>Budget</w:t>
            </w:r>
            <w:r w:rsidRPr="00A03996">
              <w:rPr>
                <w:rFonts w:ascii="Arial" w:hAnsi="Arial"/>
                <w:b/>
                <w:sz w:val="16"/>
                <w:szCs w:val="16"/>
                <w:lang w:val="en-AU"/>
              </w:rPr>
              <w:br/>
              <w:t>Estimate</w:t>
            </w:r>
            <w:r w:rsidRPr="00A03996">
              <w:rPr>
                <w:rFonts w:ascii="Arial" w:hAnsi="Arial"/>
                <w:b/>
                <w:sz w:val="16"/>
                <w:szCs w:val="16"/>
                <w:lang w:val="en-AU"/>
              </w:rPr>
              <w:br/>
              <w:t>$'000</w:t>
            </w:r>
          </w:p>
        </w:tc>
        <w:tc>
          <w:tcPr>
            <w:tcW w:w="930" w:type="dxa"/>
            <w:tcBorders>
              <w:top w:val="single" w:sz="4" w:space="0" w:color="auto"/>
              <w:left w:val="nil"/>
              <w:bottom w:val="single" w:sz="4" w:space="0" w:color="auto"/>
              <w:right w:val="nil"/>
            </w:tcBorders>
            <w:shd w:val="clear" w:color="auto" w:fill="auto"/>
            <w:hideMark/>
          </w:tcPr>
          <w:p w14:paraId="597218DC" w14:textId="62532A2B" w:rsidR="00A151D0" w:rsidRPr="00A03996" w:rsidRDefault="00A151D0" w:rsidP="004621C6">
            <w:pPr>
              <w:spacing w:before="0" w:after="0"/>
              <w:jc w:val="right"/>
              <w:rPr>
                <w:rFonts w:ascii="Arial" w:hAnsi="Arial"/>
                <w:b/>
                <w:sz w:val="16"/>
                <w:szCs w:val="16"/>
                <w:lang w:val="en-AU"/>
              </w:rPr>
            </w:pPr>
            <w:r w:rsidRPr="00A03996">
              <w:rPr>
                <w:rFonts w:ascii="Arial" w:hAnsi="Arial"/>
                <w:b/>
                <w:sz w:val="16"/>
                <w:szCs w:val="16"/>
                <w:lang w:val="en-AU"/>
              </w:rPr>
              <w:t>202</w:t>
            </w:r>
            <w:r w:rsidR="004621C6">
              <w:rPr>
                <w:rFonts w:ascii="Arial" w:hAnsi="Arial"/>
                <w:b/>
                <w:sz w:val="16"/>
                <w:szCs w:val="16"/>
                <w:lang w:val="en-AU"/>
              </w:rPr>
              <w:t>6</w:t>
            </w:r>
            <w:r w:rsidRPr="00A03996">
              <w:rPr>
                <w:rFonts w:ascii="Arial" w:hAnsi="Arial"/>
                <w:b/>
                <w:sz w:val="16"/>
                <w:szCs w:val="16"/>
                <w:lang w:val="en-AU"/>
              </w:rPr>
              <w:t>-2</w:t>
            </w:r>
            <w:r w:rsidR="004621C6">
              <w:rPr>
                <w:rFonts w:ascii="Arial" w:hAnsi="Arial"/>
                <w:b/>
                <w:sz w:val="16"/>
                <w:szCs w:val="16"/>
                <w:lang w:val="en-AU"/>
              </w:rPr>
              <w:t>7</w:t>
            </w:r>
            <w:r w:rsidRPr="00A03996">
              <w:rPr>
                <w:rFonts w:ascii="Arial" w:hAnsi="Arial"/>
                <w:b/>
                <w:sz w:val="16"/>
                <w:szCs w:val="16"/>
                <w:lang w:val="en-AU"/>
              </w:rPr>
              <w:t xml:space="preserve"> Forward Estimate</w:t>
            </w:r>
            <w:r w:rsidRPr="00A03996">
              <w:rPr>
                <w:rFonts w:ascii="Arial" w:hAnsi="Arial"/>
                <w:b/>
                <w:sz w:val="16"/>
                <w:szCs w:val="16"/>
                <w:lang w:val="en-AU"/>
              </w:rPr>
              <w:br/>
              <w:t>$'000</w:t>
            </w:r>
          </w:p>
        </w:tc>
        <w:tc>
          <w:tcPr>
            <w:tcW w:w="930" w:type="dxa"/>
            <w:tcBorders>
              <w:top w:val="single" w:sz="4" w:space="0" w:color="auto"/>
              <w:left w:val="nil"/>
              <w:bottom w:val="single" w:sz="4" w:space="0" w:color="auto"/>
              <w:right w:val="nil"/>
            </w:tcBorders>
            <w:shd w:val="clear" w:color="auto" w:fill="auto"/>
            <w:hideMark/>
          </w:tcPr>
          <w:p w14:paraId="093099B9" w14:textId="33A00004" w:rsidR="00A151D0" w:rsidRPr="00A03996" w:rsidRDefault="00A151D0" w:rsidP="004621C6">
            <w:pPr>
              <w:spacing w:before="0" w:after="0"/>
              <w:jc w:val="right"/>
              <w:rPr>
                <w:rFonts w:ascii="Arial" w:hAnsi="Arial"/>
                <w:b/>
                <w:sz w:val="16"/>
                <w:szCs w:val="16"/>
                <w:lang w:val="en-AU"/>
              </w:rPr>
            </w:pPr>
            <w:r w:rsidRPr="00A03996">
              <w:rPr>
                <w:rFonts w:ascii="Arial" w:hAnsi="Arial"/>
                <w:b/>
                <w:sz w:val="16"/>
                <w:szCs w:val="16"/>
                <w:lang w:val="en-AU"/>
              </w:rPr>
              <w:t>202</w:t>
            </w:r>
            <w:r w:rsidR="004621C6">
              <w:rPr>
                <w:rFonts w:ascii="Arial" w:hAnsi="Arial"/>
                <w:b/>
                <w:sz w:val="16"/>
                <w:szCs w:val="16"/>
                <w:lang w:val="en-AU"/>
              </w:rPr>
              <w:t>7</w:t>
            </w:r>
            <w:r w:rsidRPr="00A03996">
              <w:rPr>
                <w:rFonts w:ascii="Arial" w:hAnsi="Arial"/>
                <w:b/>
                <w:sz w:val="16"/>
                <w:szCs w:val="16"/>
                <w:lang w:val="en-AU"/>
              </w:rPr>
              <w:t>-</w:t>
            </w:r>
            <w:r w:rsidR="00537ACB" w:rsidRPr="00A03996">
              <w:rPr>
                <w:rFonts w:ascii="Arial" w:hAnsi="Arial"/>
                <w:b/>
                <w:sz w:val="16"/>
                <w:szCs w:val="16"/>
                <w:lang w:val="en-AU"/>
              </w:rPr>
              <w:t>2</w:t>
            </w:r>
            <w:r w:rsidR="004621C6">
              <w:rPr>
                <w:rFonts w:ascii="Arial" w:hAnsi="Arial"/>
                <w:b/>
                <w:sz w:val="16"/>
                <w:szCs w:val="16"/>
                <w:lang w:val="en-AU"/>
              </w:rPr>
              <w:t>8</w:t>
            </w:r>
            <w:r w:rsidRPr="00A03996">
              <w:rPr>
                <w:rFonts w:ascii="Arial" w:hAnsi="Arial"/>
                <w:b/>
                <w:sz w:val="16"/>
                <w:szCs w:val="16"/>
                <w:lang w:val="en-AU"/>
              </w:rPr>
              <w:t xml:space="preserve"> Forward Estimate</w:t>
            </w:r>
            <w:r w:rsidRPr="00A03996">
              <w:rPr>
                <w:rFonts w:ascii="Arial" w:hAnsi="Arial"/>
                <w:b/>
                <w:sz w:val="16"/>
                <w:szCs w:val="16"/>
                <w:lang w:val="en-AU"/>
              </w:rPr>
              <w:br/>
              <w:t>$'000</w:t>
            </w:r>
          </w:p>
        </w:tc>
        <w:tc>
          <w:tcPr>
            <w:tcW w:w="935" w:type="dxa"/>
            <w:tcBorders>
              <w:top w:val="single" w:sz="4" w:space="0" w:color="auto"/>
              <w:left w:val="nil"/>
              <w:bottom w:val="single" w:sz="4" w:space="0" w:color="auto"/>
              <w:right w:val="nil"/>
            </w:tcBorders>
            <w:shd w:val="clear" w:color="auto" w:fill="auto"/>
            <w:hideMark/>
          </w:tcPr>
          <w:p w14:paraId="288613F8" w14:textId="0042E4F4" w:rsidR="00A151D0" w:rsidRPr="00A03996" w:rsidRDefault="00A151D0" w:rsidP="004621C6">
            <w:pPr>
              <w:spacing w:before="0" w:after="0"/>
              <w:jc w:val="right"/>
              <w:rPr>
                <w:rFonts w:ascii="Arial" w:hAnsi="Arial"/>
                <w:b/>
                <w:sz w:val="16"/>
                <w:szCs w:val="16"/>
                <w:lang w:val="en-AU"/>
              </w:rPr>
            </w:pPr>
            <w:r w:rsidRPr="00A03996">
              <w:rPr>
                <w:rFonts w:ascii="Arial" w:hAnsi="Arial"/>
                <w:b/>
                <w:sz w:val="16"/>
                <w:szCs w:val="16"/>
                <w:lang w:val="en-AU"/>
              </w:rPr>
              <w:t>202</w:t>
            </w:r>
            <w:r w:rsidR="004621C6">
              <w:rPr>
                <w:rFonts w:ascii="Arial" w:hAnsi="Arial"/>
                <w:b/>
                <w:sz w:val="16"/>
                <w:szCs w:val="16"/>
                <w:lang w:val="en-AU"/>
              </w:rPr>
              <w:t>8</w:t>
            </w:r>
            <w:r w:rsidRPr="00A03996">
              <w:rPr>
                <w:rFonts w:ascii="Arial" w:hAnsi="Arial"/>
                <w:b/>
                <w:sz w:val="16"/>
                <w:szCs w:val="16"/>
                <w:lang w:val="en-AU"/>
              </w:rPr>
              <w:t>-2</w:t>
            </w:r>
            <w:r w:rsidR="004621C6">
              <w:rPr>
                <w:rFonts w:ascii="Arial" w:hAnsi="Arial"/>
                <w:b/>
                <w:sz w:val="16"/>
                <w:szCs w:val="16"/>
                <w:lang w:val="en-AU"/>
              </w:rPr>
              <w:t>9</w:t>
            </w:r>
            <w:r w:rsidRPr="00A03996">
              <w:rPr>
                <w:rFonts w:ascii="Arial" w:hAnsi="Arial"/>
                <w:b/>
                <w:sz w:val="16"/>
                <w:szCs w:val="16"/>
                <w:lang w:val="en-AU"/>
              </w:rPr>
              <w:br/>
              <w:t>Forward Estimate</w:t>
            </w:r>
            <w:r w:rsidRPr="00A03996">
              <w:rPr>
                <w:rFonts w:ascii="Arial" w:hAnsi="Arial"/>
                <w:b/>
                <w:sz w:val="16"/>
                <w:szCs w:val="16"/>
                <w:lang w:val="en-AU"/>
              </w:rPr>
              <w:br/>
              <w:t>$'000</w:t>
            </w:r>
          </w:p>
        </w:tc>
      </w:tr>
      <w:tr w:rsidR="00936D99" w:rsidRPr="00243FB1" w14:paraId="7B1F8226" w14:textId="77777777" w:rsidTr="005C32EB">
        <w:trPr>
          <w:gridAfter w:val="1"/>
          <w:wAfter w:w="306" w:type="dxa"/>
          <w:trHeight w:val="227"/>
        </w:trPr>
        <w:tc>
          <w:tcPr>
            <w:tcW w:w="3352" w:type="dxa"/>
            <w:tcBorders>
              <w:top w:val="single" w:sz="4" w:space="0" w:color="auto"/>
              <w:left w:val="nil"/>
              <w:bottom w:val="nil"/>
              <w:right w:val="nil"/>
            </w:tcBorders>
            <w:shd w:val="clear" w:color="auto" w:fill="auto"/>
            <w:vAlign w:val="bottom"/>
            <w:hideMark/>
          </w:tcPr>
          <w:p w14:paraId="5DF7FF99" w14:textId="77777777" w:rsidR="00936D99" w:rsidRPr="002B2BCC" w:rsidRDefault="00936D99" w:rsidP="007B4C97">
            <w:pPr>
              <w:spacing w:before="0" w:after="0"/>
              <w:rPr>
                <w:rFonts w:ascii="Arial" w:hAnsi="Arial"/>
                <w:b/>
                <w:bCs/>
                <w:sz w:val="16"/>
                <w:szCs w:val="16"/>
                <w:lang w:val="en-AU"/>
              </w:rPr>
            </w:pPr>
            <w:r w:rsidRPr="002B2BCC">
              <w:rPr>
                <w:rFonts w:ascii="Arial" w:hAnsi="Arial"/>
                <w:b/>
                <w:bCs/>
                <w:sz w:val="16"/>
                <w:szCs w:val="16"/>
                <w:lang w:val="en-AU"/>
              </w:rPr>
              <w:t>INCOME</w:t>
            </w:r>
          </w:p>
        </w:tc>
        <w:tc>
          <w:tcPr>
            <w:tcW w:w="983" w:type="dxa"/>
            <w:tcBorders>
              <w:top w:val="nil"/>
              <w:left w:val="nil"/>
              <w:bottom w:val="nil"/>
              <w:right w:val="nil"/>
            </w:tcBorders>
            <w:shd w:val="clear" w:color="auto" w:fill="auto"/>
            <w:noWrap/>
            <w:vAlign w:val="bottom"/>
          </w:tcPr>
          <w:p w14:paraId="0E156D7F" w14:textId="77777777" w:rsidR="00936D99" w:rsidRPr="00243FB1" w:rsidRDefault="00936D99" w:rsidP="00A30985">
            <w:pPr>
              <w:spacing w:before="0" w:after="0"/>
              <w:jc w:val="right"/>
              <w:rPr>
                <w:rFonts w:ascii="Arial" w:hAnsi="Arial"/>
                <w:b/>
                <w:bCs/>
                <w:sz w:val="16"/>
                <w:szCs w:val="16"/>
                <w:highlight w:val="yellow"/>
                <w:lang w:val="en-AU"/>
              </w:rPr>
            </w:pPr>
          </w:p>
        </w:tc>
        <w:tc>
          <w:tcPr>
            <w:tcW w:w="928" w:type="dxa"/>
            <w:vMerge w:val="restart"/>
            <w:tcBorders>
              <w:top w:val="single" w:sz="4" w:space="0" w:color="auto"/>
              <w:left w:val="nil"/>
              <w:right w:val="nil"/>
            </w:tcBorders>
            <w:shd w:val="clear" w:color="auto" w:fill="E6E6E6"/>
            <w:noWrap/>
            <w:vAlign w:val="bottom"/>
          </w:tcPr>
          <w:p w14:paraId="67165D9A" w14:textId="77777777" w:rsidR="00936D99" w:rsidRPr="00243FB1" w:rsidRDefault="00936D99" w:rsidP="00A30985">
            <w:pPr>
              <w:spacing w:before="0" w:after="0"/>
              <w:jc w:val="right"/>
              <w:rPr>
                <w:rFonts w:ascii="Arial" w:hAnsi="Arial"/>
                <w:b/>
                <w:bCs/>
                <w:color w:val="000000"/>
                <w:sz w:val="16"/>
                <w:szCs w:val="16"/>
                <w:highlight w:val="yellow"/>
                <w:lang w:val="en-AU"/>
              </w:rPr>
            </w:pPr>
          </w:p>
        </w:tc>
        <w:tc>
          <w:tcPr>
            <w:tcW w:w="930" w:type="dxa"/>
            <w:tcBorders>
              <w:top w:val="nil"/>
              <w:left w:val="nil"/>
              <w:bottom w:val="nil"/>
              <w:right w:val="nil"/>
            </w:tcBorders>
            <w:shd w:val="clear" w:color="auto" w:fill="auto"/>
            <w:noWrap/>
            <w:vAlign w:val="bottom"/>
          </w:tcPr>
          <w:p w14:paraId="6011CD30" w14:textId="77777777" w:rsidR="00936D99" w:rsidRPr="00243FB1" w:rsidRDefault="00936D99" w:rsidP="00A30985">
            <w:pPr>
              <w:spacing w:before="0" w:after="0"/>
              <w:jc w:val="right"/>
              <w:rPr>
                <w:rFonts w:ascii="Arial" w:hAnsi="Arial"/>
                <w:b/>
                <w:bCs/>
                <w:sz w:val="16"/>
                <w:szCs w:val="16"/>
                <w:highlight w:val="yellow"/>
                <w:lang w:val="en-AU"/>
              </w:rPr>
            </w:pPr>
          </w:p>
        </w:tc>
        <w:tc>
          <w:tcPr>
            <w:tcW w:w="930" w:type="dxa"/>
            <w:tcBorders>
              <w:top w:val="nil"/>
              <w:left w:val="nil"/>
              <w:bottom w:val="nil"/>
              <w:right w:val="nil"/>
            </w:tcBorders>
            <w:shd w:val="clear" w:color="auto" w:fill="auto"/>
            <w:noWrap/>
            <w:vAlign w:val="bottom"/>
          </w:tcPr>
          <w:p w14:paraId="25F98806" w14:textId="77777777" w:rsidR="00936D99" w:rsidRPr="00243FB1" w:rsidRDefault="00936D99" w:rsidP="00A30985">
            <w:pPr>
              <w:spacing w:before="0" w:after="0"/>
              <w:jc w:val="right"/>
              <w:rPr>
                <w:rFonts w:ascii="Arial" w:hAnsi="Arial"/>
                <w:sz w:val="16"/>
                <w:szCs w:val="16"/>
                <w:highlight w:val="yellow"/>
                <w:lang w:val="en-AU"/>
              </w:rPr>
            </w:pPr>
          </w:p>
        </w:tc>
        <w:tc>
          <w:tcPr>
            <w:tcW w:w="935" w:type="dxa"/>
            <w:tcBorders>
              <w:top w:val="nil"/>
              <w:left w:val="nil"/>
              <w:bottom w:val="nil"/>
              <w:right w:val="nil"/>
            </w:tcBorders>
            <w:shd w:val="clear" w:color="auto" w:fill="auto"/>
            <w:noWrap/>
            <w:vAlign w:val="bottom"/>
          </w:tcPr>
          <w:p w14:paraId="70E422FF" w14:textId="77777777" w:rsidR="00936D99" w:rsidRPr="00243FB1" w:rsidRDefault="00936D99" w:rsidP="00A30985">
            <w:pPr>
              <w:spacing w:before="0" w:after="0"/>
              <w:jc w:val="right"/>
              <w:rPr>
                <w:rFonts w:ascii="Arial" w:hAnsi="Arial"/>
                <w:sz w:val="16"/>
                <w:szCs w:val="16"/>
                <w:highlight w:val="yellow"/>
                <w:lang w:val="en-AU"/>
              </w:rPr>
            </w:pPr>
          </w:p>
        </w:tc>
      </w:tr>
      <w:tr w:rsidR="00936D99" w:rsidRPr="00243FB1" w14:paraId="4BB8346D" w14:textId="77777777" w:rsidTr="005C32EB">
        <w:trPr>
          <w:gridAfter w:val="1"/>
          <w:wAfter w:w="306" w:type="dxa"/>
          <w:trHeight w:val="227"/>
        </w:trPr>
        <w:tc>
          <w:tcPr>
            <w:tcW w:w="3352" w:type="dxa"/>
            <w:tcBorders>
              <w:top w:val="nil"/>
              <w:left w:val="nil"/>
              <w:bottom w:val="nil"/>
              <w:right w:val="nil"/>
            </w:tcBorders>
            <w:shd w:val="clear" w:color="auto" w:fill="auto"/>
            <w:vAlign w:val="bottom"/>
            <w:hideMark/>
          </w:tcPr>
          <w:p w14:paraId="02D0F334" w14:textId="77777777" w:rsidR="00936D99" w:rsidRPr="002B2BCC" w:rsidRDefault="00936D99" w:rsidP="007B4C97">
            <w:pPr>
              <w:spacing w:before="0" w:after="0"/>
              <w:rPr>
                <w:rFonts w:ascii="Arial" w:hAnsi="Arial"/>
                <w:b/>
                <w:bCs/>
                <w:sz w:val="16"/>
                <w:szCs w:val="16"/>
                <w:lang w:val="en-AU"/>
              </w:rPr>
            </w:pPr>
            <w:r w:rsidRPr="002B2BCC">
              <w:rPr>
                <w:rFonts w:ascii="Arial" w:hAnsi="Arial"/>
                <w:b/>
                <w:bCs/>
                <w:sz w:val="16"/>
                <w:szCs w:val="16"/>
                <w:lang w:val="en-AU"/>
              </w:rPr>
              <w:t>Revenue</w:t>
            </w:r>
          </w:p>
        </w:tc>
        <w:tc>
          <w:tcPr>
            <w:tcW w:w="983" w:type="dxa"/>
            <w:tcBorders>
              <w:top w:val="nil"/>
              <w:left w:val="nil"/>
              <w:bottom w:val="nil"/>
              <w:right w:val="nil"/>
            </w:tcBorders>
            <w:shd w:val="clear" w:color="auto" w:fill="auto"/>
            <w:noWrap/>
            <w:vAlign w:val="bottom"/>
          </w:tcPr>
          <w:p w14:paraId="250ECE0F" w14:textId="77777777" w:rsidR="00936D99" w:rsidRPr="00243FB1" w:rsidRDefault="00936D99" w:rsidP="00A30985">
            <w:pPr>
              <w:spacing w:before="0" w:after="0"/>
              <w:jc w:val="right"/>
              <w:rPr>
                <w:rFonts w:ascii="Arial" w:hAnsi="Arial"/>
                <w:b/>
                <w:bCs/>
                <w:sz w:val="16"/>
                <w:szCs w:val="16"/>
                <w:highlight w:val="yellow"/>
                <w:lang w:val="en-AU"/>
              </w:rPr>
            </w:pPr>
          </w:p>
        </w:tc>
        <w:tc>
          <w:tcPr>
            <w:tcW w:w="928" w:type="dxa"/>
            <w:vMerge/>
            <w:tcBorders>
              <w:left w:val="nil"/>
              <w:bottom w:val="nil"/>
              <w:right w:val="nil"/>
            </w:tcBorders>
            <w:shd w:val="clear" w:color="auto" w:fill="E6E6E6"/>
            <w:noWrap/>
            <w:vAlign w:val="bottom"/>
          </w:tcPr>
          <w:p w14:paraId="4403E9D2" w14:textId="77777777" w:rsidR="00936D99" w:rsidRPr="00243FB1" w:rsidRDefault="00936D99" w:rsidP="00A30985">
            <w:pPr>
              <w:spacing w:before="0" w:after="0"/>
              <w:jc w:val="right"/>
              <w:rPr>
                <w:rFonts w:ascii="Arial" w:hAnsi="Arial"/>
                <w:sz w:val="16"/>
                <w:szCs w:val="16"/>
                <w:highlight w:val="yellow"/>
                <w:lang w:val="en-AU"/>
              </w:rPr>
            </w:pPr>
          </w:p>
        </w:tc>
        <w:tc>
          <w:tcPr>
            <w:tcW w:w="930" w:type="dxa"/>
            <w:tcBorders>
              <w:top w:val="nil"/>
              <w:left w:val="nil"/>
              <w:bottom w:val="nil"/>
              <w:right w:val="nil"/>
            </w:tcBorders>
            <w:shd w:val="clear" w:color="auto" w:fill="auto"/>
            <w:noWrap/>
            <w:vAlign w:val="bottom"/>
          </w:tcPr>
          <w:p w14:paraId="652DFBFF" w14:textId="77777777" w:rsidR="00936D99" w:rsidRPr="00243FB1" w:rsidRDefault="00936D99" w:rsidP="00A30985">
            <w:pPr>
              <w:spacing w:before="0" w:after="0"/>
              <w:jc w:val="right"/>
              <w:rPr>
                <w:rFonts w:ascii="Arial" w:hAnsi="Arial"/>
                <w:b/>
                <w:bCs/>
                <w:sz w:val="16"/>
                <w:szCs w:val="16"/>
                <w:highlight w:val="yellow"/>
                <w:lang w:val="en-AU"/>
              </w:rPr>
            </w:pPr>
          </w:p>
        </w:tc>
        <w:tc>
          <w:tcPr>
            <w:tcW w:w="930" w:type="dxa"/>
            <w:tcBorders>
              <w:top w:val="nil"/>
              <w:left w:val="nil"/>
              <w:bottom w:val="nil"/>
              <w:right w:val="nil"/>
            </w:tcBorders>
            <w:shd w:val="clear" w:color="auto" w:fill="auto"/>
            <w:noWrap/>
            <w:vAlign w:val="bottom"/>
          </w:tcPr>
          <w:p w14:paraId="30295641" w14:textId="77777777" w:rsidR="00936D99" w:rsidRPr="00243FB1" w:rsidRDefault="00936D99" w:rsidP="00A30985">
            <w:pPr>
              <w:spacing w:before="0" w:after="0"/>
              <w:jc w:val="right"/>
              <w:rPr>
                <w:rFonts w:ascii="Arial" w:hAnsi="Arial"/>
                <w:sz w:val="16"/>
                <w:szCs w:val="16"/>
                <w:highlight w:val="yellow"/>
                <w:lang w:val="en-AU"/>
              </w:rPr>
            </w:pPr>
          </w:p>
        </w:tc>
        <w:tc>
          <w:tcPr>
            <w:tcW w:w="935" w:type="dxa"/>
            <w:tcBorders>
              <w:top w:val="nil"/>
              <w:left w:val="nil"/>
              <w:bottom w:val="nil"/>
              <w:right w:val="nil"/>
            </w:tcBorders>
            <w:shd w:val="clear" w:color="auto" w:fill="auto"/>
            <w:noWrap/>
            <w:vAlign w:val="bottom"/>
          </w:tcPr>
          <w:p w14:paraId="3CDED5AD" w14:textId="77777777" w:rsidR="00936D99" w:rsidRPr="00243FB1" w:rsidRDefault="00936D99" w:rsidP="00A30985">
            <w:pPr>
              <w:spacing w:before="0" w:after="0"/>
              <w:jc w:val="right"/>
              <w:rPr>
                <w:rFonts w:ascii="Arial" w:hAnsi="Arial"/>
                <w:sz w:val="16"/>
                <w:szCs w:val="16"/>
                <w:highlight w:val="yellow"/>
                <w:lang w:val="en-AU"/>
              </w:rPr>
            </w:pPr>
          </w:p>
        </w:tc>
      </w:tr>
      <w:tr w:rsidR="005C32EB" w:rsidRPr="00243FB1" w14:paraId="4B546B24" w14:textId="77777777" w:rsidTr="005C32EB">
        <w:trPr>
          <w:gridAfter w:val="1"/>
          <w:wAfter w:w="306" w:type="dxa"/>
          <w:trHeight w:val="227"/>
        </w:trPr>
        <w:tc>
          <w:tcPr>
            <w:tcW w:w="3352" w:type="dxa"/>
            <w:tcBorders>
              <w:top w:val="nil"/>
              <w:left w:val="nil"/>
              <w:bottom w:val="nil"/>
              <w:right w:val="nil"/>
            </w:tcBorders>
            <w:shd w:val="clear" w:color="auto" w:fill="auto"/>
            <w:vAlign w:val="bottom"/>
            <w:hideMark/>
          </w:tcPr>
          <w:p w14:paraId="74C0069F" w14:textId="77777777" w:rsidR="005C32EB" w:rsidRPr="002B2BCC" w:rsidRDefault="005C32EB" w:rsidP="00DC59EB">
            <w:pPr>
              <w:spacing w:before="0" w:after="0"/>
              <w:ind w:left="212"/>
              <w:rPr>
                <w:rFonts w:ascii="Arial" w:hAnsi="Arial"/>
                <w:sz w:val="16"/>
                <w:szCs w:val="16"/>
                <w:lang w:val="en-AU"/>
              </w:rPr>
            </w:pPr>
            <w:r w:rsidRPr="002B2BCC">
              <w:rPr>
                <w:rFonts w:ascii="Arial" w:hAnsi="Arial"/>
                <w:sz w:val="16"/>
                <w:szCs w:val="16"/>
                <w:lang w:val="en-AU"/>
              </w:rPr>
              <w:t>Sale of goods and rendering of services</w:t>
            </w:r>
          </w:p>
        </w:tc>
        <w:tc>
          <w:tcPr>
            <w:tcW w:w="983" w:type="dxa"/>
            <w:tcBorders>
              <w:top w:val="nil"/>
              <w:left w:val="nil"/>
              <w:bottom w:val="nil"/>
              <w:right w:val="nil"/>
            </w:tcBorders>
            <w:shd w:val="clear" w:color="auto" w:fill="auto"/>
            <w:noWrap/>
            <w:vAlign w:val="bottom"/>
          </w:tcPr>
          <w:p w14:paraId="05CAF77A" w14:textId="62793B40" w:rsidR="005C32EB" w:rsidRPr="00DA5E40" w:rsidRDefault="005C32EB" w:rsidP="00C40B37">
            <w:pPr>
              <w:spacing w:before="0" w:after="0"/>
              <w:jc w:val="right"/>
              <w:rPr>
                <w:rFonts w:ascii="Arial" w:hAnsi="Arial"/>
                <w:sz w:val="15"/>
                <w:szCs w:val="15"/>
                <w:highlight w:val="yellow"/>
                <w:lang w:val="en-AU"/>
              </w:rPr>
            </w:pPr>
            <w:r w:rsidRPr="007A2C2D">
              <w:rPr>
                <w:rFonts w:ascii="Arial" w:hAnsi="Arial"/>
                <w:sz w:val="16"/>
                <w:szCs w:val="16"/>
                <w:lang w:val="en-AU"/>
              </w:rPr>
              <w:t>862,219</w:t>
            </w:r>
          </w:p>
        </w:tc>
        <w:tc>
          <w:tcPr>
            <w:tcW w:w="928" w:type="dxa"/>
            <w:tcBorders>
              <w:top w:val="nil"/>
              <w:left w:val="nil"/>
              <w:bottom w:val="nil"/>
              <w:right w:val="nil"/>
            </w:tcBorders>
            <w:shd w:val="clear" w:color="auto" w:fill="E6E6E6"/>
            <w:noWrap/>
            <w:vAlign w:val="bottom"/>
          </w:tcPr>
          <w:p w14:paraId="5684C495" w14:textId="70D7BEF6" w:rsidR="005C32EB" w:rsidRPr="00DA5E40" w:rsidRDefault="005C32EB" w:rsidP="00C40B37">
            <w:pPr>
              <w:spacing w:before="0" w:after="0"/>
              <w:jc w:val="right"/>
              <w:rPr>
                <w:rFonts w:ascii="Arial" w:hAnsi="Arial"/>
                <w:bCs/>
                <w:sz w:val="15"/>
                <w:szCs w:val="15"/>
                <w:highlight w:val="yellow"/>
                <w:lang w:val="en-AU"/>
              </w:rPr>
            </w:pPr>
            <w:r w:rsidRPr="007A2C2D">
              <w:rPr>
                <w:rFonts w:ascii="Arial" w:hAnsi="Arial"/>
                <w:sz w:val="16"/>
                <w:szCs w:val="16"/>
                <w:lang w:val="en-AU"/>
              </w:rPr>
              <w:t>1,060,967</w:t>
            </w:r>
          </w:p>
        </w:tc>
        <w:tc>
          <w:tcPr>
            <w:tcW w:w="930" w:type="dxa"/>
            <w:tcBorders>
              <w:top w:val="nil"/>
              <w:left w:val="nil"/>
              <w:bottom w:val="nil"/>
              <w:right w:val="nil"/>
            </w:tcBorders>
            <w:shd w:val="clear" w:color="auto" w:fill="auto"/>
            <w:noWrap/>
            <w:vAlign w:val="bottom"/>
          </w:tcPr>
          <w:p w14:paraId="3E7669FC" w14:textId="37D71E2A" w:rsidR="005C32EB" w:rsidRPr="00DA5E40" w:rsidRDefault="005C32EB" w:rsidP="00C40B37">
            <w:pPr>
              <w:spacing w:before="0" w:after="0"/>
              <w:jc w:val="right"/>
              <w:rPr>
                <w:rFonts w:ascii="Arial" w:hAnsi="Arial"/>
                <w:sz w:val="15"/>
                <w:szCs w:val="15"/>
                <w:highlight w:val="yellow"/>
                <w:lang w:val="en-AU"/>
              </w:rPr>
            </w:pPr>
            <w:r w:rsidRPr="007A2C2D">
              <w:rPr>
                <w:rFonts w:ascii="Arial" w:hAnsi="Arial"/>
                <w:sz w:val="16"/>
                <w:szCs w:val="16"/>
                <w:lang w:val="en-AU"/>
              </w:rPr>
              <w:t>1,078,778</w:t>
            </w:r>
          </w:p>
        </w:tc>
        <w:tc>
          <w:tcPr>
            <w:tcW w:w="930" w:type="dxa"/>
            <w:tcBorders>
              <w:top w:val="nil"/>
              <w:left w:val="nil"/>
              <w:bottom w:val="nil"/>
              <w:right w:val="nil"/>
            </w:tcBorders>
            <w:shd w:val="clear" w:color="auto" w:fill="auto"/>
            <w:noWrap/>
            <w:vAlign w:val="bottom"/>
          </w:tcPr>
          <w:p w14:paraId="5FCCCAED" w14:textId="3E663752" w:rsidR="005C32EB" w:rsidRPr="00DA5E40" w:rsidRDefault="005C32EB" w:rsidP="00C40B37">
            <w:pPr>
              <w:spacing w:before="0" w:after="0"/>
              <w:jc w:val="right"/>
              <w:rPr>
                <w:rFonts w:ascii="Arial" w:hAnsi="Arial"/>
                <w:sz w:val="15"/>
                <w:szCs w:val="15"/>
                <w:highlight w:val="yellow"/>
                <w:lang w:val="en-AU"/>
              </w:rPr>
            </w:pPr>
            <w:r w:rsidRPr="007A2C2D">
              <w:rPr>
                <w:rFonts w:ascii="Arial" w:hAnsi="Arial"/>
                <w:sz w:val="16"/>
                <w:szCs w:val="16"/>
                <w:lang w:val="en-AU"/>
              </w:rPr>
              <w:t>1,050,657</w:t>
            </w:r>
          </w:p>
        </w:tc>
        <w:tc>
          <w:tcPr>
            <w:tcW w:w="935" w:type="dxa"/>
            <w:tcBorders>
              <w:top w:val="nil"/>
              <w:left w:val="nil"/>
              <w:bottom w:val="nil"/>
              <w:right w:val="nil"/>
            </w:tcBorders>
            <w:shd w:val="clear" w:color="auto" w:fill="auto"/>
            <w:noWrap/>
            <w:vAlign w:val="bottom"/>
          </w:tcPr>
          <w:p w14:paraId="4E91D2E5" w14:textId="2362201E" w:rsidR="005C32EB" w:rsidRPr="00DA5E40" w:rsidRDefault="005C32EB" w:rsidP="00C40B37">
            <w:pPr>
              <w:spacing w:before="0" w:after="0"/>
              <w:jc w:val="right"/>
              <w:rPr>
                <w:rFonts w:ascii="Arial" w:hAnsi="Arial"/>
                <w:sz w:val="15"/>
                <w:szCs w:val="15"/>
                <w:highlight w:val="yellow"/>
                <w:lang w:val="en-AU"/>
              </w:rPr>
            </w:pPr>
            <w:r w:rsidRPr="007A2C2D">
              <w:rPr>
                <w:rFonts w:ascii="Arial" w:hAnsi="Arial"/>
                <w:sz w:val="16"/>
                <w:szCs w:val="16"/>
                <w:lang w:val="en-AU"/>
              </w:rPr>
              <w:t>942,608</w:t>
            </w:r>
          </w:p>
        </w:tc>
      </w:tr>
      <w:tr w:rsidR="005C32EB" w:rsidRPr="00243FB1" w14:paraId="1A14BE55" w14:textId="77777777" w:rsidTr="005C32EB">
        <w:trPr>
          <w:gridAfter w:val="1"/>
          <w:wAfter w:w="306" w:type="dxa"/>
          <w:trHeight w:val="227"/>
        </w:trPr>
        <w:tc>
          <w:tcPr>
            <w:tcW w:w="3352" w:type="dxa"/>
            <w:tcBorders>
              <w:top w:val="nil"/>
              <w:left w:val="nil"/>
              <w:bottom w:val="nil"/>
              <w:right w:val="nil"/>
            </w:tcBorders>
            <w:shd w:val="clear" w:color="auto" w:fill="auto"/>
            <w:vAlign w:val="bottom"/>
            <w:hideMark/>
          </w:tcPr>
          <w:p w14:paraId="009F16A7" w14:textId="77777777" w:rsidR="005C32EB" w:rsidRPr="002B2BCC" w:rsidRDefault="005C32EB" w:rsidP="00DC59EB">
            <w:pPr>
              <w:spacing w:before="0" w:after="0"/>
              <w:ind w:left="212"/>
              <w:rPr>
                <w:rFonts w:ascii="Arial" w:hAnsi="Arial"/>
                <w:sz w:val="16"/>
                <w:szCs w:val="16"/>
                <w:lang w:val="en-AU"/>
              </w:rPr>
            </w:pPr>
            <w:r w:rsidRPr="002B2BCC">
              <w:rPr>
                <w:rFonts w:ascii="Arial" w:hAnsi="Arial"/>
                <w:sz w:val="16"/>
                <w:szCs w:val="16"/>
                <w:lang w:val="en-AU"/>
              </w:rPr>
              <w:t>Interest</w:t>
            </w:r>
          </w:p>
        </w:tc>
        <w:tc>
          <w:tcPr>
            <w:tcW w:w="983" w:type="dxa"/>
            <w:tcBorders>
              <w:top w:val="nil"/>
              <w:left w:val="nil"/>
              <w:bottom w:val="nil"/>
              <w:right w:val="nil"/>
            </w:tcBorders>
            <w:shd w:val="clear" w:color="auto" w:fill="auto"/>
            <w:noWrap/>
            <w:vAlign w:val="bottom"/>
          </w:tcPr>
          <w:p w14:paraId="7234BE96" w14:textId="11D22004" w:rsidR="005C32EB" w:rsidRPr="00DA5E40" w:rsidRDefault="005C32EB" w:rsidP="00C40B37">
            <w:pPr>
              <w:spacing w:before="0" w:after="0"/>
              <w:jc w:val="right"/>
              <w:rPr>
                <w:rFonts w:ascii="Arial" w:hAnsi="Arial"/>
                <w:sz w:val="15"/>
                <w:szCs w:val="15"/>
                <w:highlight w:val="yellow"/>
                <w:lang w:val="en-AU"/>
              </w:rPr>
            </w:pPr>
            <w:r w:rsidRPr="007A2C2D">
              <w:rPr>
                <w:rFonts w:ascii="Arial" w:hAnsi="Arial"/>
                <w:sz w:val="16"/>
                <w:szCs w:val="16"/>
                <w:lang w:val="en-AU"/>
              </w:rPr>
              <w:t>2,831</w:t>
            </w:r>
          </w:p>
        </w:tc>
        <w:tc>
          <w:tcPr>
            <w:tcW w:w="928" w:type="dxa"/>
            <w:tcBorders>
              <w:top w:val="nil"/>
              <w:left w:val="nil"/>
              <w:bottom w:val="nil"/>
              <w:right w:val="nil"/>
            </w:tcBorders>
            <w:shd w:val="clear" w:color="auto" w:fill="E6E6E6"/>
            <w:noWrap/>
            <w:vAlign w:val="bottom"/>
          </w:tcPr>
          <w:p w14:paraId="6C8069FD" w14:textId="4FF6A9B4" w:rsidR="005C32EB" w:rsidRPr="00DA5E40" w:rsidRDefault="005C32EB" w:rsidP="00C40B37">
            <w:pPr>
              <w:spacing w:before="0" w:after="0"/>
              <w:jc w:val="right"/>
              <w:rPr>
                <w:rFonts w:ascii="Arial" w:hAnsi="Arial"/>
                <w:bCs/>
                <w:sz w:val="15"/>
                <w:szCs w:val="15"/>
                <w:highlight w:val="yellow"/>
                <w:lang w:val="en-AU"/>
              </w:rPr>
            </w:pPr>
            <w:r w:rsidRPr="007A2C2D">
              <w:rPr>
                <w:rFonts w:ascii="Arial" w:hAnsi="Arial"/>
                <w:sz w:val="16"/>
                <w:szCs w:val="16"/>
                <w:lang w:val="en-AU"/>
              </w:rPr>
              <w:t>1,365</w:t>
            </w:r>
          </w:p>
        </w:tc>
        <w:tc>
          <w:tcPr>
            <w:tcW w:w="930" w:type="dxa"/>
            <w:tcBorders>
              <w:top w:val="nil"/>
              <w:left w:val="nil"/>
              <w:bottom w:val="nil"/>
              <w:right w:val="nil"/>
            </w:tcBorders>
            <w:shd w:val="clear" w:color="auto" w:fill="auto"/>
            <w:noWrap/>
            <w:vAlign w:val="bottom"/>
          </w:tcPr>
          <w:p w14:paraId="156F1110" w14:textId="0EEEAD99" w:rsidR="005C32EB" w:rsidRPr="00DA5E40" w:rsidRDefault="005C32EB" w:rsidP="00C40B37">
            <w:pPr>
              <w:spacing w:before="0" w:after="0"/>
              <w:jc w:val="right"/>
              <w:rPr>
                <w:rFonts w:ascii="Arial" w:hAnsi="Arial"/>
                <w:sz w:val="15"/>
                <w:szCs w:val="15"/>
                <w:highlight w:val="yellow"/>
                <w:lang w:val="en-AU"/>
              </w:rPr>
            </w:pPr>
            <w:r w:rsidRPr="007A2C2D">
              <w:rPr>
                <w:rFonts w:ascii="Arial" w:hAnsi="Arial"/>
                <w:sz w:val="16"/>
                <w:szCs w:val="16"/>
                <w:lang w:val="en-AU"/>
              </w:rPr>
              <w:t>1,759</w:t>
            </w:r>
          </w:p>
        </w:tc>
        <w:tc>
          <w:tcPr>
            <w:tcW w:w="930" w:type="dxa"/>
            <w:tcBorders>
              <w:top w:val="nil"/>
              <w:left w:val="nil"/>
              <w:bottom w:val="nil"/>
              <w:right w:val="nil"/>
            </w:tcBorders>
            <w:shd w:val="clear" w:color="auto" w:fill="auto"/>
            <w:noWrap/>
            <w:vAlign w:val="bottom"/>
          </w:tcPr>
          <w:p w14:paraId="60EE59EB" w14:textId="20BE8116" w:rsidR="005C32EB" w:rsidRPr="00DA5E40" w:rsidRDefault="005C32EB" w:rsidP="00C40B37">
            <w:pPr>
              <w:spacing w:before="0" w:after="0"/>
              <w:jc w:val="right"/>
              <w:rPr>
                <w:rFonts w:ascii="Arial" w:hAnsi="Arial"/>
                <w:sz w:val="15"/>
                <w:szCs w:val="15"/>
                <w:highlight w:val="yellow"/>
                <w:lang w:val="en-AU"/>
              </w:rPr>
            </w:pPr>
            <w:r w:rsidRPr="007A2C2D">
              <w:rPr>
                <w:rFonts w:ascii="Arial" w:hAnsi="Arial"/>
                <w:sz w:val="16"/>
                <w:szCs w:val="16"/>
                <w:lang w:val="en-AU"/>
              </w:rPr>
              <w:t>1,979</w:t>
            </w:r>
          </w:p>
        </w:tc>
        <w:tc>
          <w:tcPr>
            <w:tcW w:w="935" w:type="dxa"/>
            <w:tcBorders>
              <w:top w:val="nil"/>
              <w:left w:val="nil"/>
              <w:bottom w:val="nil"/>
              <w:right w:val="nil"/>
            </w:tcBorders>
            <w:shd w:val="clear" w:color="auto" w:fill="auto"/>
            <w:noWrap/>
            <w:vAlign w:val="bottom"/>
          </w:tcPr>
          <w:p w14:paraId="32FC74AC" w14:textId="328831EA" w:rsidR="005C32EB" w:rsidRPr="00DA5E40" w:rsidRDefault="005C32EB" w:rsidP="00C40B37">
            <w:pPr>
              <w:spacing w:before="0" w:after="0"/>
              <w:jc w:val="right"/>
              <w:rPr>
                <w:rFonts w:ascii="Arial" w:hAnsi="Arial"/>
                <w:sz w:val="15"/>
                <w:szCs w:val="15"/>
                <w:highlight w:val="yellow"/>
                <w:lang w:val="en-AU"/>
              </w:rPr>
            </w:pPr>
            <w:r w:rsidRPr="007A2C2D">
              <w:rPr>
                <w:rFonts w:ascii="Arial" w:hAnsi="Arial"/>
                <w:sz w:val="16"/>
                <w:szCs w:val="16"/>
                <w:lang w:val="en-AU"/>
              </w:rPr>
              <w:t>2,550</w:t>
            </w:r>
          </w:p>
        </w:tc>
      </w:tr>
      <w:tr w:rsidR="005C32EB" w:rsidRPr="00243FB1" w14:paraId="65D3DB5D" w14:textId="77777777" w:rsidTr="005C32EB">
        <w:trPr>
          <w:gridAfter w:val="1"/>
          <w:wAfter w:w="306" w:type="dxa"/>
          <w:trHeight w:val="227"/>
        </w:trPr>
        <w:tc>
          <w:tcPr>
            <w:tcW w:w="3352" w:type="dxa"/>
            <w:tcBorders>
              <w:top w:val="nil"/>
              <w:left w:val="nil"/>
              <w:bottom w:val="nil"/>
              <w:right w:val="nil"/>
            </w:tcBorders>
            <w:shd w:val="clear" w:color="auto" w:fill="auto"/>
            <w:vAlign w:val="bottom"/>
            <w:hideMark/>
          </w:tcPr>
          <w:p w14:paraId="28D6802C" w14:textId="77777777" w:rsidR="005C32EB" w:rsidRPr="002B2BCC" w:rsidRDefault="005C32EB" w:rsidP="005C32EB">
            <w:pPr>
              <w:spacing w:before="0" w:after="0"/>
              <w:rPr>
                <w:rFonts w:ascii="Arial" w:hAnsi="Arial"/>
                <w:b/>
                <w:bCs/>
                <w:sz w:val="16"/>
                <w:szCs w:val="16"/>
                <w:lang w:val="en-AU"/>
              </w:rPr>
            </w:pPr>
            <w:r w:rsidRPr="002B2BCC">
              <w:rPr>
                <w:rFonts w:ascii="Arial" w:hAnsi="Arial"/>
                <w:b/>
                <w:bCs/>
                <w:sz w:val="16"/>
                <w:szCs w:val="16"/>
                <w:lang w:val="en-AU"/>
              </w:rPr>
              <w:t>Total revenue</w:t>
            </w:r>
          </w:p>
        </w:tc>
        <w:tc>
          <w:tcPr>
            <w:tcW w:w="983" w:type="dxa"/>
            <w:tcBorders>
              <w:top w:val="single" w:sz="4" w:space="0" w:color="auto"/>
              <w:left w:val="nil"/>
              <w:bottom w:val="single" w:sz="4" w:space="0" w:color="auto"/>
              <w:right w:val="nil"/>
            </w:tcBorders>
            <w:shd w:val="clear" w:color="auto" w:fill="auto"/>
            <w:noWrap/>
            <w:vAlign w:val="bottom"/>
          </w:tcPr>
          <w:p w14:paraId="47FFE1CA" w14:textId="7BDDE7A8" w:rsidR="005C32EB" w:rsidRPr="00DA5E40" w:rsidRDefault="005C32EB" w:rsidP="00C40B37">
            <w:pPr>
              <w:spacing w:before="0" w:after="0"/>
              <w:jc w:val="right"/>
              <w:rPr>
                <w:rFonts w:ascii="Arial" w:hAnsi="Arial"/>
                <w:b/>
                <w:bCs/>
                <w:sz w:val="15"/>
                <w:szCs w:val="15"/>
                <w:highlight w:val="yellow"/>
                <w:lang w:val="en-AU"/>
              </w:rPr>
            </w:pPr>
            <w:r w:rsidRPr="007A2C2D">
              <w:rPr>
                <w:rFonts w:ascii="Arial" w:hAnsi="Arial"/>
                <w:b/>
                <w:bCs/>
                <w:sz w:val="16"/>
                <w:szCs w:val="16"/>
                <w:lang w:val="en-AU"/>
              </w:rPr>
              <w:t>865,050</w:t>
            </w:r>
          </w:p>
        </w:tc>
        <w:tc>
          <w:tcPr>
            <w:tcW w:w="928" w:type="dxa"/>
            <w:tcBorders>
              <w:top w:val="single" w:sz="4" w:space="0" w:color="auto"/>
              <w:left w:val="nil"/>
              <w:bottom w:val="single" w:sz="4" w:space="0" w:color="auto"/>
              <w:right w:val="nil"/>
            </w:tcBorders>
            <w:shd w:val="clear" w:color="auto" w:fill="E6E6E6"/>
            <w:noWrap/>
            <w:vAlign w:val="bottom"/>
          </w:tcPr>
          <w:p w14:paraId="3E85D900" w14:textId="7D3E01FC" w:rsidR="005C32EB" w:rsidRPr="00DA5E40" w:rsidRDefault="005C32EB" w:rsidP="00C40B37">
            <w:pPr>
              <w:spacing w:before="0" w:after="0"/>
              <w:jc w:val="right"/>
              <w:rPr>
                <w:rFonts w:ascii="Arial" w:hAnsi="Arial"/>
                <w:b/>
                <w:bCs/>
                <w:sz w:val="15"/>
                <w:szCs w:val="15"/>
                <w:highlight w:val="yellow"/>
                <w:lang w:val="en-AU"/>
              </w:rPr>
            </w:pPr>
            <w:r w:rsidRPr="007A2C2D">
              <w:rPr>
                <w:rFonts w:ascii="Arial" w:hAnsi="Arial"/>
                <w:b/>
                <w:bCs/>
                <w:sz w:val="16"/>
                <w:szCs w:val="16"/>
                <w:lang w:val="en-AU"/>
              </w:rPr>
              <w:t>1,062,332</w:t>
            </w:r>
          </w:p>
        </w:tc>
        <w:tc>
          <w:tcPr>
            <w:tcW w:w="930" w:type="dxa"/>
            <w:tcBorders>
              <w:top w:val="single" w:sz="4" w:space="0" w:color="auto"/>
              <w:left w:val="nil"/>
              <w:bottom w:val="single" w:sz="4" w:space="0" w:color="auto"/>
              <w:right w:val="nil"/>
            </w:tcBorders>
            <w:shd w:val="clear" w:color="auto" w:fill="auto"/>
            <w:noWrap/>
            <w:vAlign w:val="bottom"/>
          </w:tcPr>
          <w:p w14:paraId="2FE2ADF1" w14:textId="15F50D46" w:rsidR="005C32EB" w:rsidRPr="00DA5E40" w:rsidRDefault="005C32EB" w:rsidP="00C40B37">
            <w:pPr>
              <w:spacing w:before="0" w:after="0"/>
              <w:jc w:val="right"/>
              <w:rPr>
                <w:rFonts w:ascii="Arial" w:hAnsi="Arial"/>
                <w:b/>
                <w:bCs/>
                <w:sz w:val="15"/>
                <w:szCs w:val="15"/>
                <w:highlight w:val="yellow"/>
                <w:lang w:val="en-AU"/>
              </w:rPr>
            </w:pPr>
            <w:r w:rsidRPr="007A2C2D">
              <w:rPr>
                <w:rFonts w:ascii="Arial" w:hAnsi="Arial"/>
                <w:b/>
                <w:bCs/>
                <w:sz w:val="16"/>
                <w:szCs w:val="16"/>
                <w:lang w:val="en-AU"/>
              </w:rPr>
              <w:t>1,080,537</w:t>
            </w:r>
          </w:p>
        </w:tc>
        <w:tc>
          <w:tcPr>
            <w:tcW w:w="930" w:type="dxa"/>
            <w:tcBorders>
              <w:top w:val="single" w:sz="4" w:space="0" w:color="auto"/>
              <w:left w:val="nil"/>
              <w:bottom w:val="single" w:sz="4" w:space="0" w:color="auto"/>
              <w:right w:val="nil"/>
            </w:tcBorders>
            <w:shd w:val="clear" w:color="auto" w:fill="auto"/>
            <w:noWrap/>
            <w:vAlign w:val="bottom"/>
          </w:tcPr>
          <w:p w14:paraId="2637C155" w14:textId="281C3C76" w:rsidR="005C32EB" w:rsidRPr="00DA5E40" w:rsidRDefault="005C32EB" w:rsidP="00C40B37">
            <w:pPr>
              <w:spacing w:before="0" w:after="0"/>
              <w:jc w:val="right"/>
              <w:rPr>
                <w:rFonts w:ascii="Arial" w:hAnsi="Arial"/>
                <w:b/>
                <w:bCs/>
                <w:sz w:val="15"/>
                <w:szCs w:val="15"/>
                <w:highlight w:val="yellow"/>
                <w:lang w:val="en-AU"/>
              </w:rPr>
            </w:pPr>
            <w:r w:rsidRPr="007A2C2D">
              <w:rPr>
                <w:rFonts w:ascii="Arial" w:hAnsi="Arial"/>
                <w:b/>
                <w:bCs/>
                <w:sz w:val="16"/>
                <w:szCs w:val="16"/>
                <w:lang w:val="en-AU"/>
              </w:rPr>
              <w:t>1,052,636</w:t>
            </w:r>
          </w:p>
        </w:tc>
        <w:tc>
          <w:tcPr>
            <w:tcW w:w="935" w:type="dxa"/>
            <w:tcBorders>
              <w:top w:val="single" w:sz="4" w:space="0" w:color="auto"/>
              <w:left w:val="nil"/>
              <w:bottom w:val="single" w:sz="4" w:space="0" w:color="auto"/>
              <w:right w:val="nil"/>
            </w:tcBorders>
            <w:shd w:val="clear" w:color="auto" w:fill="auto"/>
            <w:noWrap/>
            <w:vAlign w:val="bottom"/>
          </w:tcPr>
          <w:p w14:paraId="440097FF" w14:textId="7787A708" w:rsidR="005C32EB" w:rsidRPr="00DA5E40" w:rsidRDefault="005C32EB" w:rsidP="00C40B37">
            <w:pPr>
              <w:spacing w:before="0" w:after="0"/>
              <w:jc w:val="right"/>
              <w:rPr>
                <w:rFonts w:ascii="Arial" w:hAnsi="Arial"/>
                <w:b/>
                <w:bCs/>
                <w:sz w:val="15"/>
                <w:szCs w:val="15"/>
                <w:highlight w:val="yellow"/>
                <w:lang w:val="en-AU"/>
              </w:rPr>
            </w:pPr>
            <w:r w:rsidRPr="007A2C2D">
              <w:rPr>
                <w:rFonts w:ascii="Arial" w:hAnsi="Arial"/>
                <w:b/>
                <w:bCs/>
                <w:sz w:val="16"/>
                <w:szCs w:val="16"/>
                <w:lang w:val="en-AU"/>
              </w:rPr>
              <w:t>945,158</w:t>
            </w:r>
          </w:p>
        </w:tc>
      </w:tr>
      <w:tr w:rsidR="004621C6" w:rsidRPr="00243FB1" w14:paraId="3640DC5B" w14:textId="77777777" w:rsidTr="005C32EB">
        <w:trPr>
          <w:gridAfter w:val="1"/>
          <w:wAfter w:w="306" w:type="dxa"/>
          <w:trHeight w:val="227"/>
        </w:trPr>
        <w:tc>
          <w:tcPr>
            <w:tcW w:w="3352" w:type="dxa"/>
            <w:tcBorders>
              <w:top w:val="nil"/>
              <w:left w:val="nil"/>
              <w:bottom w:val="nil"/>
              <w:right w:val="nil"/>
            </w:tcBorders>
            <w:shd w:val="clear" w:color="auto" w:fill="auto"/>
            <w:vAlign w:val="bottom"/>
          </w:tcPr>
          <w:p w14:paraId="2B711F24" w14:textId="6382676D" w:rsidR="004621C6" w:rsidRPr="002B2BCC" w:rsidRDefault="004621C6" w:rsidP="004621C6">
            <w:pPr>
              <w:spacing w:before="0" w:after="0"/>
              <w:rPr>
                <w:rFonts w:ascii="Arial" w:hAnsi="Arial"/>
                <w:b/>
                <w:bCs/>
                <w:sz w:val="16"/>
                <w:szCs w:val="16"/>
                <w:lang w:val="en-AU"/>
              </w:rPr>
            </w:pPr>
            <w:r w:rsidRPr="007A2C2D">
              <w:rPr>
                <w:rFonts w:ascii="Arial" w:hAnsi="Arial"/>
                <w:b/>
                <w:bCs/>
                <w:sz w:val="16"/>
                <w:szCs w:val="16"/>
                <w:lang w:val="en-AU"/>
              </w:rPr>
              <w:t>Gains</w:t>
            </w:r>
          </w:p>
        </w:tc>
        <w:tc>
          <w:tcPr>
            <w:tcW w:w="983" w:type="dxa"/>
            <w:tcBorders>
              <w:top w:val="single" w:sz="4" w:space="0" w:color="auto"/>
              <w:left w:val="nil"/>
              <w:right w:val="nil"/>
            </w:tcBorders>
            <w:shd w:val="clear" w:color="auto" w:fill="auto"/>
            <w:noWrap/>
            <w:vAlign w:val="bottom"/>
          </w:tcPr>
          <w:p w14:paraId="2DC46140" w14:textId="77777777" w:rsidR="004621C6" w:rsidRPr="00DA5E40" w:rsidRDefault="004621C6" w:rsidP="004621C6">
            <w:pPr>
              <w:spacing w:before="0" w:after="0"/>
              <w:jc w:val="right"/>
              <w:rPr>
                <w:rFonts w:ascii="Arial" w:hAnsi="Arial"/>
                <w:b/>
                <w:bCs/>
                <w:sz w:val="15"/>
                <w:szCs w:val="15"/>
              </w:rPr>
            </w:pPr>
          </w:p>
        </w:tc>
        <w:tc>
          <w:tcPr>
            <w:tcW w:w="928" w:type="dxa"/>
            <w:tcBorders>
              <w:top w:val="single" w:sz="4" w:space="0" w:color="auto"/>
              <w:left w:val="nil"/>
              <w:right w:val="nil"/>
            </w:tcBorders>
            <w:shd w:val="clear" w:color="auto" w:fill="E6E6E6"/>
            <w:noWrap/>
            <w:vAlign w:val="bottom"/>
          </w:tcPr>
          <w:p w14:paraId="61D39E6D" w14:textId="77777777" w:rsidR="004621C6" w:rsidRPr="00DA5E40" w:rsidRDefault="004621C6" w:rsidP="004621C6">
            <w:pPr>
              <w:spacing w:before="0" w:after="0"/>
              <w:jc w:val="right"/>
              <w:rPr>
                <w:rFonts w:ascii="Arial" w:hAnsi="Arial"/>
                <w:b/>
                <w:bCs/>
                <w:sz w:val="15"/>
                <w:szCs w:val="15"/>
              </w:rPr>
            </w:pPr>
          </w:p>
        </w:tc>
        <w:tc>
          <w:tcPr>
            <w:tcW w:w="930" w:type="dxa"/>
            <w:tcBorders>
              <w:top w:val="single" w:sz="4" w:space="0" w:color="auto"/>
              <w:left w:val="nil"/>
              <w:right w:val="nil"/>
            </w:tcBorders>
            <w:shd w:val="clear" w:color="auto" w:fill="auto"/>
            <w:noWrap/>
            <w:vAlign w:val="bottom"/>
          </w:tcPr>
          <w:p w14:paraId="0E71B50F" w14:textId="77777777" w:rsidR="004621C6" w:rsidRPr="00DA5E40" w:rsidRDefault="004621C6" w:rsidP="004621C6">
            <w:pPr>
              <w:spacing w:before="0" w:after="0"/>
              <w:jc w:val="right"/>
              <w:rPr>
                <w:rFonts w:ascii="Arial" w:hAnsi="Arial"/>
                <w:b/>
                <w:bCs/>
                <w:sz w:val="15"/>
                <w:szCs w:val="15"/>
              </w:rPr>
            </w:pPr>
          </w:p>
        </w:tc>
        <w:tc>
          <w:tcPr>
            <w:tcW w:w="930" w:type="dxa"/>
            <w:tcBorders>
              <w:top w:val="single" w:sz="4" w:space="0" w:color="auto"/>
              <w:left w:val="nil"/>
              <w:right w:val="nil"/>
            </w:tcBorders>
            <w:shd w:val="clear" w:color="auto" w:fill="auto"/>
            <w:noWrap/>
            <w:vAlign w:val="bottom"/>
          </w:tcPr>
          <w:p w14:paraId="3B3BC4C9" w14:textId="77777777" w:rsidR="004621C6" w:rsidRPr="00DA5E40" w:rsidRDefault="004621C6" w:rsidP="004621C6">
            <w:pPr>
              <w:spacing w:before="0" w:after="0"/>
              <w:jc w:val="right"/>
              <w:rPr>
                <w:rFonts w:ascii="Arial" w:hAnsi="Arial"/>
                <w:b/>
                <w:bCs/>
                <w:sz w:val="15"/>
                <w:szCs w:val="15"/>
              </w:rPr>
            </w:pPr>
          </w:p>
        </w:tc>
        <w:tc>
          <w:tcPr>
            <w:tcW w:w="935" w:type="dxa"/>
            <w:tcBorders>
              <w:top w:val="single" w:sz="4" w:space="0" w:color="auto"/>
              <w:left w:val="nil"/>
              <w:right w:val="nil"/>
            </w:tcBorders>
            <w:shd w:val="clear" w:color="auto" w:fill="auto"/>
            <w:noWrap/>
            <w:vAlign w:val="bottom"/>
          </w:tcPr>
          <w:p w14:paraId="7EF91FAB" w14:textId="77777777" w:rsidR="004621C6" w:rsidRPr="00DA5E40" w:rsidRDefault="004621C6" w:rsidP="004621C6">
            <w:pPr>
              <w:spacing w:before="0" w:after="0"/>
              <w:jc w:val="right"/>
              <w:rPr>
                <w:rFonts w:ascii="Arial" w:hAnsi="Arial"/>
                <w:b/>
                <w:bCs/>
                <w:sz w:val="15"/>
                <w:szCs w:val="15"/>
              </w:rPr>
            </w:pPr>
          </w:p>
        </w:tc>
      </w:tr>
      <w:tr w:rsidR="005C32EB" w:rsidRPr="004621C6" w14:paraId="59A824DD" w14:textId="77777777" w:rsidTr="005C32EB">
        <w:trPr>
          <w:gridAfter w:val="1"/>
          <w:wAfter w:w="306" w:type="dxa"/>
          <w:trHeight w:val="227"/>
        </w:trPr>
        <w:tc>
          <w:tcPr>
            <w:tcW w:w="3352" w:type="dxa"/>
            <w:tcBorders>
              <w:top w:val="nil"/>
              <w:left w:val="nil"/>
              <w:bottom w:val="nil"/>
              <w:right w:val="nil"/>
            </w:tcBorders>
            <w:shd w:val="clear" w:color="auto" w:fill="auto"/>
            <w:vAlign w:val="bottom"/>
          </w:tcPr>
          <w:p w14:paraId="47B2A159" w14:textId="1CC6B45D" w:rsidR="005C32EB" w:rsidRPr="004621C6" w:rsidRDefault="005C32EB" w:rsidP="00DC59EB">
            <w:pPr>
              <w:spacing w:before="0" w:after="0"/>
              <w:ind w:left="212"/>
              <w:rPr>
                <w:rFonts w:ascii="Arial" w:hAnsi="Arial"/>
                <w:sz w:val="16"/>
                <w:szCs w:val="16"/>
                <w:lang w:val="en-AU"/>
              </w:rPr>
            </w:pPr>
            <w:r w:rsidRPr="007A2C2D">
              <w:rPr>
                <w:rFonts w:ascii="Arial" w:hAnsi="Arial"/>
                <w:sz w:val="16"/>
                <w:szCs w:val="16"/>
                <w:lang w:val="en-AU"/>
              </w:rPr>
              <w:t>Sale of assets</w:t>
            </w:r>
          </w:p>
        </w:tc>
        <w:tc>
          <w:tcPr>
            <w:tcW w:w="983" w:type="dxa"/>
            <w:tcBorders>
              <w:left w:val="nil"/>
              <w:right w:val="nil"/>
            </w:tcBorders>
            <w:shd w:val="clear" w:color="auto" w:fill="auto"/>
            <w:noWrap/>
            <w:vAlign w:val="bottom"/>
          </w:tcPr>
          <w:p w14:paraId="2AE4B916" w14:textId="76905898" w:rsidR="005C32EB" w:rsidRPr="004621C6" w:rsidRDefault="00C40B37" w:rsidP="00C40B37">
            <w:pPr>
              <w:spacing w:before="0" w:after="0"/>
              <w:ind w:firstLineChars="100" w:firstLine="160"/>
              <w:jc w:val="right"/>
              <w:rPr>
                <w:rFonts w:ascii="Arial" w:hAnsi="Arial"/>
                <w:sz w:val="16"/>
                <w:szCs w:val="16"/>
                <w:lang w:val="en-AU"/>
              </w:rPr>
            </w:pPr>
            <w:r>
              <w:rPr>
                <w:rFonts w:ascii="Arial" w:hAnsi="Arial"/>
                <w:sz w:val="16"/>
                <w:szCs w:val="16"/>
                <w:lang w:val="en-AU"/>
              </w:rPr>
              <w:t>983</w:t>
            </w:r>
          </w:p>
        </w:tc>
        <w:tc>
          <w:tcPr>
            <w:tcW w:w="928" w:type="dxa"/>
            <w:tcBorders>
              <w:left w:val="nil"/>
              <w:right w:val="nil"/>
            </w:tcBorders>
            <w:shd w:val="clear" w:color="auto" w:fill="E6E6E6"/>
            <w:noWrap/>
            <w:vAlign w:val="bottom"/>
          </w:tcPr>
          <w:p w14:paraId="239D4E18" w14:textId="39259088" w:rsidR="005C32EB" w:rsidRPr="004621C6" w:rsidRDefault="005C32EB" w:rsidP="00C40B37">
            <w:pPr>
              <w:spacing w:before="0" w:after="0"/>
              <w:ind w:firstLineChars="100" w:firstLine="160"/>
              <w:jc w:val="right"/>
              <w:rPr>
                <w:rFonts w:ascii="Arial" w:hAnsi="Arial"/>
                <w:sz w:val="16"/>
                <w:szCs w:val="16"/>
                <w:lang w:val="en-AU"/>
              </w:rPr>
            </w:pPr>
            <w:r w:rsidRPr="007A2C2D">
              <w:rPr>
                <w:rFonts w:ascii="Arial" w:hAnsi="Arial"/>
                <w:sz w:val="16"/>
                <w:szCs w:val="16"/>
                <w:lang w:val="en-AU"/>
              </w:rPr>
              <w:t>-</w:t>
            </w:r>
          </w:p>
        </w:tc>
        <w:tc>
          <w:tcPr>
            <w:tcW w:w="930" w:type="dxa"/>
            <w:tcBorders>
              <w:left w:val="nil"/>
              <w:right w:val="nil"/>
            </w:tcBorders>
            <w:shd w:val="clear" w:color="auto" w:fill="auto"/>
            <w:noWrap/>
            <w:vAlign w:val="bottom"/>
          </w:tcPr>
          <w:p w14:paraId="64C9C509" w14:textId="4C9D2DB5" w:rsidR="005C32EB" w:rsidRPr="004621C6" w:rsidRDefault="005C32EB" w:rsidP="00C40B37">
            <w:pPr>
              <w:spacing w:before="0" w:after="0"/>
              <w:ind w:firstLineChars="100" w:firstLine="160"/>
              <w:jc w:val="right"/>
              <w:rPr>
                <w:rFonts w:ascii="Arial" w:hAnsi="Arial"/>
                <w:sz w:val="16"/>
                <w:szCs w:val="16"/>
                <w:lang w:val="en-AU"/>
              </w:rPr>
            </w:pPr>
            <w:r w:rsidRPr="007A2C2D">
              <w:rPr>
                <w:rFonts w:ascii="Arial" w:hAnsi="Arial"/>
                <w:sz w:val="16"/>
                <w:szCs w:val="16"/>
                <w:lang w:val="en-AU"/>
              </w:rPr>
              <w:t>-</w:t>
            </w:r>
          </w:p>
        </w:tc>
        <w:tc>
          <w:tcPr>
            <w:tcW w:w="930" w:type="dxa"/>
            <w:tcBorders>
              <w:left w:val="nil"/>
              <w:right w:val="nil"/>
            </w:tcBorders>
            <w:shd w:val="clear" w:color="auto" w:fill="auto"/>
            <w:noWrap/>
            <w:vAlign w:val="bottom"/>
          </w:tcPr>
          <w:p w14:paraId="2B98CDB3" w14:textId="76EE151B" w:rsidR="005C32EB" w:rsidRPr="004621C6" w:rsidRDefault="005C32EB" w:rsidP="00C40B37">
            <w:pPr>
              <w:spacing w:before="0" w:after="0"/>
              <w:ind w:firstLineChars="100" w:firstLine="160"/>
              <w:jc w:val="right"/>
              <w:rPr>
                <w:rFonts w:ascii="Arial" w:hAnsi="Arial"/>
                <w:sz w:val="16"/>
                <w:szCs w:val="16"/>
                <w:lang w:val="en-AU"/>
              </w:rPr>
            </w:pPr>
            <w:r w:rsidRPr="007A2C2D">
              <w:rPr>
                <w:rFonts w:ascii="Arial" w:hAnsi="Arial"/>
                <w:sz w:val="16"/>
                <w:szCs w:val="16"/>
                <w:lang w:val="en-AU"/>
              </w:rPr>
              <w:t>-</w:t>
            </w:r>
          </w:p>
        </w:tc>
        <w:tc>
          <w:tcPr>
            <w:tcW w:w="935" w:type="dxa"/>
            <w:tcBorders>
              <w:left w:val="nil"/>
              <w:right w:val="nil"/>
            </w:tcBorders>
            <w:shd w:val="clear" w:color="auto" w:fill="auto"/>
            <w:noWrap/>
            <w:vAlign w:val="bottom"/>
          </w:tcPr>
          <w:p w14:paraId="2018274B" w14:textId="695EA2F0" w:rsidR="005C32EB" w:rsidRPr="004621C6" w:rsidRDefault="005C32EB" w:rsidP="00C40B37">
            <w:pPr>
              <w:spacing w:before="0" w:after="0"/>
              <w:ind w:firstLineChars="100" w:firstLine="160"/>
              <w:jc w:val="right"/>
              <w:rPr>
                <w:rFonts w:ascii="Arial" w:hAnsi="Arial"/>
                <w:sz w:val="16"/>
                <w:szCs w:val="16"/>
                <w:lang w:val="en-AU"/>
              </w:rPr>
            </w:pPr>
            <w:r w:rsidRPr="007A2C2D">
              <w:rPr>
                <w:rFonts w:ascii="Arial" w:hAnsi="Arial"/>
                <w:sz w:val="16"/>
                <w:szCs w:val="16"/>
                <w:lang w:val="en-AU"/>
              </w:rPr>
              <w:t>-</w:t>
            </w:r>
          </w:p>
        </w:tc>
      </w:tr>
      <w:tr w:rsidR="005C32EB" w:rsidRPr="00C40B37" w14:paraId="7E05DD45" w14:textId="77777777" w:rsidTr="005C32EB">
        <w:trPr>
          <w:gridAfter w:val="1"/>
          <w:wAfter w:w="306" w:type="dxa"/>
          <w:trHeight w:val="227"/>
        </w:trPr>
        <w:tc>
          <w:tcPr>
            <w:tcW w:w="3352" w:type="dxa"/>
            <w:tcBorders>
              <w:top w:val="nil"/>
              <w:left w:val="nil"/>
              <w:bottom w:val="nil"/>
              <w:right w:val="nil"/>
            </w:tcBorders>
            <w:shd w:val="clear" w:color="auto" w:fill="auto"/>
            <w:vAlign w:val="bottom"/>
          </w:tcPr>
          <w:p w14:paraId="7F68A4FD" w14:textId="6F15136A" w:rsidR="005C32EB" w:rsidRPr="00C40B37" w:rsidRDefault="005C32EB" w:rsidP="00DC59EB">
            <w:pPr>
              <w:tabs>
                <w:tab w:val="left" w:pos="212"/>
              </w:tabs>
              <w:spacing w:before="0" w:after="0"/>
              <w:ind w:left="212"/>
              <w:rPr>
                <w:rFonts w:ascii="Arial" w:hAnsi="Arial"/>
                <w:sz w:val="16"/>
                <w:szCs w:val="16"/>
                <w:lang w:val="en-AU"/>
              </w:rPr>
            </w:pPr>
            <w:r w:rsidRPr="00C40B37">
              <w:rPr>
                <w:rFonts w:ascii="Arial" w:hAnsi="Arial"/>
                <w:sz w:val="16"/>
                <w:szCs w:val="16"/>
                <w:lang w:val="en-AU"/>
              </w:rPr>
              <w:t>Net reversals of previous asset write</w:t>
            </w:r>
            <w:r w:rsidR="00930860">
              <w:rPr>
                <w:rFonts w:ascii="Arial" w:hAnsi="Arial"/>
                <w:sz w:val="16"/>
                <w:szCs w:val="16"/>
                <w:lang w:val="en-AU"/>
              </w:rPr>
              <w:noBreakHyphen/>
            </w:r>
            <w:r w:rsidRPr="00C40B37">
              <w:rPr>
                <w:rFonts w:ascii="Arial" w:hAnsi="Arial"/>
                <w:sz w:val="16"/>
                <w:szCs w:val="16"/>
                <w:lang w:val="en-AU"/>
              </w:rPr>
              <w:t>downs and impairments</w:t>
            </w:r>
          </w:p>
        </w:tc>
        <w:tc>
          <w:tcPr>
            <w:tcW w:w="983" w:type="dxa"/>
            <w:tcBorders>
              <w:left w:val="nil"/>
              <w:bottom w:val="single" w:sz="4" w:space="0" w:color="auto"/>
              <w:right w:val="nil"/>
            </w:tcBorders>
            <w:shd w:val="clear" w:color="auto" w:fill="auto"/>
            <w:noWrap/>
            <w:vAlign w:val="bottom"/>
          </w:tcPr>
          <w:p w14:paraId="6C8E8CA5" w14:textId="563E95D5" w:rsidR="005C32EB" w:rsidRPr="00C40B37" w:rsidRDefault="005C32EB" w:rsidP="00C40B37">
            <w:pPr>
              <w:spacing w:before="0" w:after="0"/>
              <w:ind w:firstLineChars="100" w:firstLine="160"/>
              <w:jc w:val="right"/>
              <w:rPr>
                <w:rFonts w:ascii="Arial" w:hAnsi="Arial"/>
                <w:sz w:val="16"/>
                <w:szCs w:val="16"/>
                <w:lang w:val="en-AU"/>
              </w:rPr>
            </w:pPr>
            <w:r w:rsidRPr="007A2C2D">
              <w:rPr>
                <w:rFonts w:ascii="Arial" w:hAnsi="Arial"/>
                <w:sz w:val="16"/>
                <w:szCs w:val="16"/>
                <w:lang w:val="en-AU"/>
              </w:rPr>
              <w:t>26,271</w:t>
            </w:r>
          </w:p>
        </w:tc>
        <w:tc>
          <w:tcPr>
            <w:tcW w:w="928" w:type="dxa"/>
            <w:tcBorders>
              <w:left w:val="nil"/>
              <w:bottom w:val="single" w:sz="4" w:space="0" w:color="auto"/>
              <w:right w:val="nil"/>
            </w:tcBorders>
            <w:shd w:val="clear" w:color="auto" w:fill="E6E6E6"/>
            <w:noWrap/>
            <w:vAlign w:val="bottom"/>
          </w:tcPr>
          <w:p w14:paraId="33B69732" w14:textId="4FEAAAA4" w:rsidR="005C32EB" w:rsidRPr="00C40B37" w:rsidRDefault="005C32EB" w:rsidP="00C40B37">
            <w:pPr>
              <w:spacing w:before="0" w:after="0"/>
              <w:ind w:firstLineChars="100" w:firstLine="160"/>
              <w:jc w:val="right"/>
              <w:rPr>
                <w:rFonts w:ascii="Arial" w:hAnsi="Arial"/>
                <w:sz w:val="16"/>
                <w:szCs w:val="16"/>
                <w:lang w:val="en-AU"/>
              </w:rPr>
            </w:pPr>
            <w:r w:rsidRPr="007A2C2D">
              <w:rPr>
                <w:rFonts w:ascii="Arial" w:hAnsi="Arial"/>
                <w:sz w:val="16"/>
                <w:szCs w:val="16"/>
                <w:lang w:val="en-AU"/>
              </w:rPr>
              <w:t>-</w:t>
            </w:r>
          </w:p>
        </w:tc>
        <w:tc>
          <w:tcPr>
            <w:tcW w:w="930" w:type="dxa"/>
            <w:tcBorders>
              <w:left w:val="nil"/>
              <w:bottom w:val="single" w:sz="4" w:space="0" w:color="auto"/>
              <w:right w:val="nil"/>
            </w:tcBorders>
            <w:shd w:val="clear" w:color="auto" w:fill="auto"/>
            <w:noWrap/>
            <w:vAlign w:val="bottom"/>
          </w:tcPr>
          <w:p w14:paraId="7ED31960" w14:textId="5EB9077B" w:rsidR="005C32EB" w:rsidRPr="00C40B37" w:rsidRDefault="00C40B37" w:rsidP="00C40B37">
            <w:pPr>
              <w:spacing w:before="0" w:after="0"/>
              <w:ind w:firstLineChars="100" w:firstLine="160"/>
              <w:jc w:val="right"/>
              <w:rPr>
                <w:rFonts w:ascii="Arial" w:hAnsi="Arial"/>
                <w:sz w:val="16"/>
                <w:szCs w:val="16"/>
                <w:lang w:val="en-AU"/>
              </w:rPr>
            </w:pPr>
            <w:r>
              <w:rPr>
                <w:rFonts w:ascii="Arial" w:hAnsi="Arial"/>
                <w:sz w:val="16"/>
                <w:szCs w:val="16"/>
                <w:lang w:val="en-AU"/>
              </w:rPr>
              <w:t>-</w:t>
            </w:r>
          </w:p>
        </w:tc>
        <w:tc>
          <w:tcPr>
            <w:tcW w:w="930" w:type="dxa"/>
            <w:tcBorders>
              <w:left w:val="nil"/>
              <w:bottom w:val="single" w:sz="4" w:space="0" w:color="auto"/>
              <w:right w:val="nil"/>
            </w:tcBorders>
            <w:shd w:val="clear" w:color="auto" w:fill="auto"/>
            <w:noWrap/>
            <w:vAlign w:val="bottom"/>
          </w:tcPr>
          <w:p w14:paraId="03816B45" w14:textId="3E52CDC8" w:rsidR="005C32EB" w:rsidRPr="00C40B37" w:rsidRDefault="005C32EB" w:rsidP="00C40B37">
            <w:pPr>
              <w:spacing w:before="0" w:after="0"/>
              <w:ind w:firstLineChars="100" w:firstLine="160"/>
              <w:jc w:val="right"/>
              <w:rPr>
                <w:rFonts w:ascii="Arial" w:hAnsi="Arial"/>
                <w:sz w:val="16"/>
                <w:szCs w:val="16"/>
                <w:lang w:val="en-AU"/>
              </w:rPr>
            </w:pPr>
            <w:r w:rsidRPr="007A2C2D">
              <w:rPr>
                <w:rFonts w:ascii="Arial" w:hAnsi="Arial"/>
                <w:sz w:val="16"/>
                <w:szCs w:val="16"/>
                <w:lang w:val="en-AU"/>
              </w:rPr>
              <w:t>-</w:t>
            </w:r>
          </w:p>
        </w:tc>
        <w:tc>
          <w:tcPr>
            <w:tcW w:w="935" w:type="dxa"/>
            <w:tcBorders>
              <w:left w:val="nil"/>
              <w:bottom w:val="single" w:sz="4" w:space="0" w:color="auto"/>
              <w:right w:val="nil"/>
            </w:tcBorders>
            <w:shd w:val="clear" w:color="auto" w:fill="auto"/>
            <w:noWrap/>
            <w:vAlign w:val="bottom"/>
          </w:tcPr>
          <w:p w14:paraId="16FCDF0E" w14:textId="3384EB71" w:rsidR="005C32EB" w:rsidRPr="00C40B37" w:rsidRDefault="005C32EB" w:rsidP="00C40B37">
            <w:pPr>
              <w:spacing w:before="0" w:after="0"/>
              <w:ind w:firstLineChars="100" w:firstLine="160"/>
              <w:jc w:val="right"/>
              <w:rPr>
                <w:rFonts w:ascii="Arial" w:hAnsi="Arial"/>
                <w:sz w:val="16"/>
                <w:szCs w:val="16"/>
                <w:lang w:val="en-AU"/>
              </w:rPr>
            </w:pPr>
            <w:r w:rsidRPr="007A2C2D">
              <w:rPr>
                <w:rFonts w:ascii="Arial" w:hAnsi="Arial"/>
                <w:sz w:val="16"/>
                <w:szCs w:val="16"/>
                <w:lang w:val="en-AU"/>
              </w:rPr>
              <w:t>-</w:t>
            </w:r>
          </w:p>
        </w:tc>
      </w:tr>
      <w:tr w:rsidR="005C32EB" w:rsidRPr="00243FB1" w14:paraId="14456558" w14:textId="77777777" w:rsidTr="005C32EB">
        <w:trPr>
          <w:gridAfter w:val="1"/>
          <w:wAfter w:w="306" w:type="dxa"/>
          <w:trHeight w:val="227"/>
        </w:trPr>
        <w:tc>
          <w:tcPr>
            <w:tcW w:w="3352" w:type="dxa"/>
            <w:tcBorders>
              <w:top w:val="nil"/>
              <w:left w:val="nil"/>
              <w:bottom w:val="nil"/>
              <w:right w:val="nil"/>
            </w:tcBorders>
            <w:shd w:val="clear" w:color="auto" w:fill="auto"/>
            <w:vAlign w:val="bottom"/>
          </w:tcPr>
          <w:p w14:paraId="72DA3B9E" w14:textId="02839CFC" w:rsidR="005C32EB" w:rsidRPr="002B2BCC" w:rsidRDefault="005C32EB" w:rsidP="005C32EB">
            <w:pPr>
              <w:spacing w:before="0" w:after="0"/>
              <w:rPr>
                <w:rFonts w:ascii="Arial" w:hAnsi="Arial"/>
                <w:b/>
                <w:bCs/>
                <w:sz w:val="16"/>
                <w:szCs w:val="16"/>
                <w:lang w:val="en-AU"/>
              </w:rPr>
            </w:pPr>
            <w:r w:rsidRPr="007A2C2D">
              <w:rPr>
                <w:rFonts w:ascii="Arial" w:hAnsi="Arial"/>
                <w:b/>
                <w:bCs/>
                <w:sz w:val="16"/>
                <w:szCs w:val="16"/>
                <w:lang w:val="en-AU"/>
              </w:rPr>
              <w:t>Total gains</w:t>
            </w:r>
          </w:p>
        </w:tc>
        <w:tc>
          <w:tcPr>
            <w:tcW w:w="983" w:type="dxa"/>
            <w:tcBorders>
              <w:top w:val="single" w:sz="4" w:space="0" w:color="auto"/>
              <w:left w:val="nil"/>
              <w:bottom w:val="single" w:sz="4" w:space="0" w:color="auto"/>
              <w:right w:val="nil"/>
            </w:tcBorders>
            <w:shd w:val="clear" w:color="auto" w:fill="auto"/>
            <w:noWrap/>
            <w:vAlign w:val="bottom"/>
          </w:tcPr>
          <w:p w14:paraId="392E0C44" w14:textId="536396A7" w:rsidR="005C32EB" w:rsidRPr="00DA5E40" w:rsidRDefault="00C40B37" w:rsidP="005C32EB">
            <w:pPr>
              <w:spacing w:before="0" w:after="0"/>
              <w:jc w:val="right"/>
              <w:rPr>
                <w:rFonts w:ascii="Arial" w:hAnsi="Arial"/>
                <w:b/>
                <w:bCs/>
                <w:sz w:val="15"/>
                <w:szCs w:val="15"/>
              </w:rPr>
            </w:pPr>
            <w:r>
              <w:rPr>
                <w:rFonts w:ascii="Arial" w:hAnsi="Arial"/>
                <w:b/>
                <w:bCs/>
                <w:sz w:val="16"/>
                <w:szCs w:val="16"/>
                <w:lang w:val="en-AU"/>
              </w:rPr>
              <w:t>27,254</w:t>
            </w:r>
          </w:p>
        </w:tc>
        <w:tc>
          <w:tcPr>
            <w:tcW w:w="928" w:type="dxa"/>
            <w:tcBorders>
              <w:top w:val="single" w:sz="4" w:space="0" w:color="auto"/>
              <w:left w:val="nil"/>
              <w:bottom w:val="single" w:sz="4" w:space="0" w:color="auto"/>
              <w:right w:val="nil"/>
            </w:tcBorders>
            <w:shd w:val="clear" w:color="auto" w:fill="E6E6E6"/>
            <w:noWrap/>
            <w:vAlign w:val="bottom"/>
          </w:tcPr>
          <w:p w14:paraId="36996DE3" w14:textId="5D083EB1" w:rsidR="005C32EB" w:rsidRPr="00DA5E40" w:rsidRDefault="005C32EB" w:rsidP="00C40B37">
            <w:pPr>
              <w:spacing w:before="0" w:after="0"/>
              <w:jc w:val="right"/>
              <w:rPr>
                <w:rFonts w:ascii="Arial" w:hAnsi="Arial"/>
                <w:b/>
                <w:bCs/>
                <w:sz w:val="15"/>
                <w:szCs w:val="15"/>
              </w:rPr>
            </w:pPr>
            <w:r w:rsidRPr="007A2C2D">
              <w:rPr>
                <w:rFonts w:ascii="Arial" w:hAnsi="Arial"/>
                <w:b/>
                <w:bCs/>
                <w:sz w:val="16"/>
                <w:szCs w:val="16"/>
                <w:lang w:val="en-AU"/>
              </w:rPr>
              <w:t>-</w:t>
            </w:r>
          </w:p>
        </w:tc>
        <w:tc>
          <w:tcPr>
            <w:tcW w:w="930" w:type="dxa"/>
            <w:tcBorders>
              <w:top w:val="single" w:sz="4" w:space="0" w:color="auto"/>
              <w:left w:val="nil"/>
              <w:bottom w:val="single" w:sz="4" w:space="0" w:color="auto"/>
              <w:right w:val="nil"/>
            </w:tcBorders>
            <w:shd w:val="clear" w:color="auto" w:fill="auto"/>
            <w:noWrap/>
            <w:vAlign w:val="bottom"/>
          </w:tcPr>
          <w:p w14:paraId="3719677F" w14:textId="7F133656" w:rsidR="005C32EB" w:rsidRPr="00DA5E40" w:rsidRDefault="00C40B37" w:rsidP="005C32EB">
            <w:pPr>
              <w:spacing w:before="0" w:after="0"/>
              <w:jc w:val="right"/>
              <w:rPr>
                <w:rFonts w:ascii="Arial" w:hAnsi="Arial"/>
                <w:b/>
                <w:bCs/>
                <w:sz w:val="15"/>
                <w:szCs w:val="15"/>
              </w:rPr>
            </w:pPr>
            <w:r>
              <w:rPr>
                <w:rFonts w:ascii="Arial" w:hAnsi="Arial"/>
                <w:b/>
                <w:bCs/>
                <w:sz w:val="16"/>
                <w:szCs w:val="16"/>
                <w:lang w:val="en-AU"/>
              </w:rPr>
              <w:t>-</w:t>
            </w:r>
          </w:p>
        </w:tc>
        <w:tc>
          <w:tcPr>
            <w:tcW w:w="930" w:type="dxa"/>
            <w:tcBorders>
              <w:top w:val="single" w:sz="4" w:space="0" w:color="auto"/>
              <w:left w:val="nil"/>
              <w:bottom w:val="single" w:sz="4" w:space="0" w:color="auto"/>
              <w:right w:val="nil"/>
            </w:tcBorders>
            <w:shd w:val="clear" w:color="auto" w:fill="auto"/>
            <w:noWrap/>
            <w:vAlign w:val="bottom"/>
          </w:tcPr>
          <w:p w14:paraId="64A4384B" w14:textId="203B4044" w:rsidR="005C32EB" w:rsidRPr="00DA5E40" w:rsidRDefault="00C40B37" w:rsidP="005C32EB">
            <w:pPr>
              <w:spacing w:before="0" w:after="0"/>
              <w:jc w:val="right"/>
              <w:rPr>
                <w:rFonts w:ascii="Arial" w:hAnsi="Arial"/>
                <w:b/>
                <w:bCs/>
                <w:sz w:val="15"/>
                <w:szCs w:val="15"/>
              </w:rPr>
            </w:pPr>
            <w:r>
              <w:rPr>
                <w:rFonts w:ascii="Arial" w:hAnsi="Arial"/>
                <w:b/>
                <w:bCs/>
                <w:sz w:val="16"/>
                <w:szCs w:val="16"/>
                <w:lang w:val="en-AU"/>
              </w:rPr>
              <w:t>-</w:t>
            </w:r>
          </w:p>
        </w:tc>
        <w:tc>
          <w:tcPr>
            <w:tcW w:w="935" w:type="dxa"/>
            <w:tcBorders>
              <w:top w:val="single" w:sz="4" w:space="0" w:color="auto"/>
              <w:left w:val="nil"/>
              <w:bottom w:val="single" w:sz="4" w:space="0" w:color="auto"/>
              <w:right w:val="nil"/>
            </w:tcBorders>
            <w:shd w:val="clear" w:color="auto" w:fill="auto"/>
            <w:noWrap/>
            <w:vAlign w:val="bottom"/>
          </w:tcPr>
          <w:p w14:paraId="0B108831" w14:textId="1387AADC" w:rsidR="005C32EB" w:rsidRPr="00DA5E40" w:rsidRDefault="005C32EB" w:rsidP="00C40B37">
            <w:pPr>
              <w:spacing w:before="0" w:after="0"/>
              <w:jc w:val="right"/>
              <w:rPr>
                <w:rFonts w:ascii="Arial" w:hAnsi="Arial"/>
                <w:b/>
                <w:bCs/>
                <w:sz w:val="15"/>
                <w:szCs w:val="15"/>
              </w:rPr>
            </w:pPr>
            <w:r w:rsidRPr="007A2C2D">
              <w:rPr>
                <w:rFonts w:ascii="Arial" w:hAnsi="Arial"/>
                <w:b/>
                <w:bCs/>
                <w:sz w:val="16"/>
                <w:szCs w:val="16"/>
                <w:lang w:val="en-AU"/>
              </w:rPr>
              <w:t>-</w:t>
            </w:r>
          </w:p>
        </w:tc>
      </w:tr>
      <w:tr w:rsidR="005C32EB" w:rsidRPr="00243FB1" w14:paraId="56D2EA18" w14:textId="77777777" w:rsidTr="005C32EB">
        <w:trPr>
          <w:gridAfter w:val="1"/>
          <w:wAfter w:w="306" w:type="dxa"/>
          <w:trHeight w:val="227"/>
        </w:trPr>
        <w:tc>
          <w:tcPr>
            <w:tcW w:w="3352" w:type="dxa"/>
            <w:tcBorders>
              <w:top w:val="nil"/>
              <w:left w:val="nil"/>
              <w:bottom w:val="nil"/>
              <w:right w:val="nil"/>
            </w:tcBorders>
            <w:shd w:val="clear" w:color="auto" w:fill="auto"/>
            <w:vAlign w:val="bottom"/>
          </w:tcPr>
          <w:p w14:paraId="0B9374CD" w14:textId="77777777" w:rsidR="005C32EB" w:rsidRPr="002B2BCC" w:rsidRDefault="005C32EB" w:rsidP="005C32EB">
            <w:pPr>
              <w:spacing w:before="0" w:after="0"/>
              <w:rPr>
                <w:rFonts w:ascii="Arial" w:hAnsi="Arial"/>
                <w:b/>
                <w:bCs/>
                <w:sz w:val="16"/>
                <w:szCs w:val="16"/>
                <w:lang w:val="en-AU"/>
              </w:rPr>
            </w:pPr>
            <w:r w:rsidRPr="002B2BCC">
              <w:rPr>
                <w:rFonts w:ascii="Arial" w:hAnsi="Arial"/>
                <w:b/>
                <w:bCs/>
                <w:sz w:val="16"/>
                <w:szCs w:val="16"/>
                <w:lang w:val="en-AU"/>
              </w:rPr>
              <w:t>Total income</w:t>
            </w:r>
          </w:p>
        </w:tc>
        <w:tc>
          <w:tcPr>
            <w:tcW w:w="983" w:type="dxa"/>
            <w:tcBorders>
              <w:top w:val="nil"/>
              <w:left w:val="nil"/>
              <w:bottom w:val="single" w:sz="4" w:space="0" w:color="auto"/>
              <w:right w:val="nil"/>
            </w:tcBorders>
            <w:shd w:val="clear" w:color="auto" w:fill="auto"/>
            <w:noWrap/>
            <w:vAlign w:val="bottom"/>
          </w:tcPr>
          <w:p w14:paraId="32F4932C" w14:textId="7985B444" w:rsidR="005C32EB" w:rsidRPr="00DA5E40" w:rsidRDefault="005C32EB" w:rsidP="00C40B37">
            <w:pPr>
              <w:spacing w:before="0" w:after="0"/>
              <w:jc w:val="right"/>
              <w:rPr>
                <w:rFonts w:ascii="Arial" w:hAnsi="Arial"/>
                <w:b/>
                <w:bCs/>
                <w:sz w:val="15"/>
                <w:szCs w:val="15"/>
                <w:highlight w:val="yellow"/>
                <w:lang w:val="en-AU"/>
              </w:rPr>
            </w:pPr>
            <w:r w:rsidRPr="007A2C2D">
              <w:rPr>
                <w:rFonts w:ascii="Arial" w:hAnsi="Arial"/>
                <w:b/>
                <w:bCs/>
                <w:sz w:val="16"/>
                <w:szCs w:val="16"/>
                <w:lang w:val="en-AU"/>
              </w:rPr>
              <w:t>892,304</w:t>
            </w:r>
          </w:p>
        </w:tc>
        <w:tc>
          <w:tcPr>
            <w:tcW w:w="928" w:type="dxa"/>
            <w:tcBorders>
              <w:top w:val="nil"/>
              <w:left w:val="nil"/>
              <w:bottom w:val="single" w:sz="4" w:space="0" w:color="auto"/>
              <w:right w:val="nil"/>
            </w:tcBorders>
            <w:shd w:val="clear" w:color="auto" w:fill="E6E6E6"/>
            <w:noWrap/>
            <w:vAlign w:val="bottom"/>
          </w:tcPr>
          <w:p w14:paraId="6BBEC963" w14:textId="320C799A" w:rsidR="005C32EB" w:rsidRPr="00DA5E40" w:rsidRDefault="005C32EB" w:rsidP="00C40B37">
            <w:pPr>
              <w:spacing w:before="0" w:after="0"/>
              <w:jc w:val="right"/>
              <w:rPr>
                <w:rFonts w:ascii="Arial" w:hAnsi="Arial"/>
                <w:b/>
                <w:bCs/>
                <w:sz w:val="15"/>
                <w:szCs w:val="15"/>
                <w:highlight w:val="yellow"/>
                <w:lang w:val="en-AU"/>
              </w:rPr>
            </w:pPr>
            <w:r w:rsidRPr="007A2C2D">
              <w:rPr>
                <w:rFonts w:ascii="Arial" w:hAnsi="Arial"/>
                <w:b/>
                <w:bCs/>
                <w:sz w:val="16"/>
                <w:szCs w:val="16"/>
                <w:lang w:val="en-AU"/>
              </w:rPr>
              <w:t>1,062,332</w:t>
            </w:r>
          </w:p>
        </w:tc>
        <w:tc>
          <w:tcPr>
            <w:tcW w:w="930" w:type="dxa"/>
            <w:tcBorders>
              <w:top w:val="nil"/>
              <w:left w:val="nil"/>
              <w:bottom w:val="single" w:sz="4" w:space="0" w:color="auto"/>
              <w:right w:val="nil"/>
            </w:tcBorders>
            <w:shd w:val="clear" w:color="auto" w:fill="auto"/>
            <w:noWrap/>
            <w:vAlign w:val="bottom"/>
          </w:tcPr>
          <w:p w14:paraId="1140C2F8" w14:textId="6AF76127" w:rsidR="005C32EB" w:rsidRPr="00DA5E40" w:rsidRDefault="005C32EB" w:rsidP="00C40B37">
            <w:pPr>
              <w:spacing w:before="0" w:after="0"/>
              <w:jc w:val="right"/>
              <w:rPr>
                <w:rFonts w:ascii="Arial" w:hAnsi="Arial"/>
                <w:b/>
                <w:bCs/>
                <w:sz w:val="15"/>
                <w:szCs w:val="15"/>
                <w:highlight w:val="yellow"/>
                <w:lang w:val="en-AU"/>
              </w:rPr>
            </w:pPr>
            <w:r w:rsidRPr="007A2C2D">
              <w:rPr>
                <w:rFonts w:ascii="Arial" w:hAnsi="Arial"/>
                <w:b/>
                <w:bCs/>
                <w:sz w:val="16"/>
                <w:szCs w:val="16"/>
                <w:lang w:val="en-AU"/>
              </w:rPr>
              <w:t>1,080,537</w:t>
            </w:r>
          </w:p>
        </w:tc>
        <w:tc>
          <w:tcPr>
            <w:tcW w:w="930" w:type="dxa"/>
            <w:tcBorders>
              <w:top w:val="nil"/>
              <w:left w:val="nil"/>
              <w:bottom w:val="single" w:sz="4" w:space="0" w:color="auto"/>
              <w:right w:val="nil"/>
            </w:tcBorders>
            <w:shd w:val="clear" w:color="auto" w:fill="auto"/>
            <w:noWrap/>
            <w:vAlign w:val="bottom"/>
          </w:tcPr>
          <w:p w14:paraId="7C845C10" w14:textId="14A247E4" w:rsidR="005C32EB" w:rsidRPr="00DA5E40" w:rsidRDefault="005C32EB" w:rsidP="00C40B37">
            <w:pPr>
              <w:spacing w:before="0" w:after="0"/>
              <w:jc w:val="right"/>
              <w:rPr>
                <w:rFonts w:ascii="Arial" w:hAnsi="Arial"/>
                <w:b/>
                <w:bCs/>
                <w:sz w:val="15"/>
                <w:szCs w:val="15"/>
                <w:highlight w:val="yellow"/>
                <w:lang w:val="en-AU"/>
              </w:rPr>
            </w:pPr>
            <w:r w:rsidRPr="007A2C2D">
              <w:rPr>
                <w:rFonts w:ascii="Arial" w:hAnsi="Arial"/>
                <w:b/>
                <w:bCs/>
                <w:sz w:val="16"/>
                <w:szCs w:val="16"/>
                <w:lang w:val="en-AU"/>
              </w:rPr>
              <w:t>1,052,636</w:t>
            </w:r>
          </w:p>
        </w:tc>
        <w:tc>
          <w:tcPr>
            <w:tcW w:w="935" w:type="dxa"/>
            <w:tcBorders>
              <w:top w:val="nil"/>
              <w:left w:val="nil"/>
              <w:bottom w:val="single" w:sz="4" w:space="0" w:color="auto"/>
              <w:right w:val="nil"/>
            </w:tcBorders>
            <w:shd w:val="clear" w:color="auto" w:fill="auto"/>
            <w:noWrap/>
            <w:vAlign w:val="bottom"/>
          </w:tcPr>
          <w:p w14:paraId="7CCCC5F3" w14:textId="6A07018C" w:rsidR="005C32EB" w:rsidRPr="00DA5E40" w:rsidRDefault="005C32EB" w:rsidP="00C40B37">
            <w:pPr>
              <w:spacing w:before="0" w:after="0"/>
              <w:jc w:val="right"/>
              <w:rPr>
                <w:rFonts w:ascii="Arial" w:hAnsi="Arial"/>
                <w:b/>
                <w:bCs/>
                <w:sz w:val="15"/>
                <w:szCs w:val="15"/>
                <w:highlight w:val="yellow"/>
                <w:lang w:val="en-AU"/>
              </w:rPr>
            </w:pPr>
            <w:r w:rsidRPr="007A2C2D">
              <w:rPr>
                <w:rFonts w:ascii="Arial" w:hAnsi="Arial"/>
                <w:b/>
                <w:bCs/>
                <w:sz w:val="16"/>
                <w:szCs w:val="16"/>
                <w:lang w:val="en-AU"/>
              </w:rPr>
              <w:t>945,158</w:t>
            </w:r>
          </w:p>
        </w:tc>
      </w:tr>
      <w:tr w:rsidR="005C32EB" w:rsidRPr="00243FB1" w14:paraId="077B7C3B" w14:textId="77777777" w:rsidTr="005C32EB">
        <w:trPr>
          <w:gridAfter w:val="1"/>
          <w:wAfter w:w="306" w:type="dxa"/>
          <w:trHeight w:val="227"/>
        </w:trPr>
        <w:tc>
          <w:tcPr>
            <w:tcW w:w="3352" w:type="dxa"/>
            <w:tcBorders>
              <w:top w:val="nil"/>
              <w:left w:val="nil"/>
              <w:bottom w:val="nil"/>
              <w:right w:val="nil"/>
            </w:tcBorders>
            <w:shd w:val="clear" w:color="auto" w:fill="auto"/>
            <w:vAlign w:val="bottom"/>
            <w:hideMark/>
          </w:tcPr>
          <w:p w14:paraId="746B8D6E" w14:textId="77777777" w:rsidR="005C32EB" w:rsidRPr="002B2BCC" w:rsidRDefault="005C32EB" w:rsidP="005C32EB">
            <w:pPr>
              <w:spacing w:before="0" w:after="0"/>
              <w:rPr>
                <w:rFonts w:ascii="Arial" w:hAnsi="Arial"/>
                <w:b/>
                <w:bCs/>
                <w:sz w:val="16"/>
                <w:szCs w:val="16"/>
                <w:lang w:val="en-AU"/>
              </w:rPr>
            </w:pPr>
            <w:r w:rsidRPr="002B2BCC">
              <w:rPr>
                <w:rFonts w:ascii="Arial" w:hAnsi="Arial"/>
                <w:b/>
                <w:bCs/>
                <w:sz w:val="16"/>
                <w:szCs w:val="16"/>
                <w:lang w:val="en-AU"/>
              </w:rPr>
              <w:t>EXPENSES</w:t>
            </w:r>
          </w:p>
        </w:tc>
        <w:tc>
          <w:tcPr>
            <w:tcW w:w="983" w:type="dxa"/>
            <w:tcBorders>
              <w:top w:val="nil"/>
              <w:left w:val="nil"/>
              <w:bottom w:val="nil"/>
              <w:right w:val="nil"/>
            </w:tcBorders>
            <w:shd w:val="clear" w:color="auto" w:fill="auto"/>
            <w:noWrap/>
            <w:vAlign w:val="bottom"/>
          </w:tcPr>
          <w:p w14:paraId="5D1DB8AF" w14:textId="77777777" w:rsidR="005C32EB" w:rsidRPr="00DA5E40" w:rsidRDefault="005C32EB" w:rsidP="005C32EB">
            <w:pPr>
              <w:spacing w:before="0" w:after="0"/>
              <w:rPr>
                <w:rFonts w:ascii="Arial" w:hAnsi="Arial"/>
                <w:b/>
                <w:bCs/>
                <w:sz w:val="15"/>
                <w:szCs w:val="15"/>
                <w:highlight w:val="yellow"/>
                <w:lang w:val="en-AU"/>
              </w:rPr>
            </w:pPr>
          </w:p>
        </w:tc>
        <w:tc>
          <w:tcPr>
            <w:tcW w:w="928" w:type="dxa"/>
            <w:tcBorders>
              <w:top w:val="nil"/>
              <w:left w:val="nil"/>
              <w:right w:val="nil"/>
            </w:tcBorders>
            <w:shd w:val="clear" w:color="auto" w:fill="E6E6E6"/>
            <w:noWrap/>
            <w:vAlign w:val="bottom"/>
          </w:tcPr>
          <w:p w14:paraId="5842F800" w14:textId="77777777" w:rsidR="005C32EB" w:rsidRPr="00DA5E40" w:rsidRDefault="005C32EB" w:rsidP="005C32EB">
            <w:pPr>
              <w:spacing w:before="0" w:after="0"/>
              <w:jc w:val="right"/>
              <w:rPr>
                <w:rFonts w:ascii="Arial" w:hAnsi="Arial"/>
                <w:sz w:val="15"/>
                <w:szCs w:val="15"/>
                <w:highlight w:val="yellow"/>
                <w:lang w:val="en-AU"/>
              </w:rPr>
            </w:pPr>
          </w:p>
        </w:tc>
        <w:tc>
          <w:tcPr>
            <w:tcW w:w="930" w:type="dxa"/>
            <w:tcBorders>
              <w:top w:val="nil"/>
              <w:left w:val="nil"/>
              <w:bottom w:val="nil"/>
              <w:right w:val="nil"/>
            </w:tcBorders>
            <w:shd w:val="clear" w:color="auto" w:fill="auto"/>
            <w:noWrap/>
            <w:vAlign w:val="bottom"/>
          </w:tcPr>
          <w:p w14:paraId="1C30FD75" w14:textId="77777777" w:rsidR="005C32EB" w:rsidRPr="00DA5E40" w:rsidRDefault="005C32EB" w:rsidP="005C32EB">
            <w:pPr>
              <w:spacing w:before="0" w:after="0"/>
              <w:jc w:val="right"/>
              <w:rPr>
                <w:rFonts w:ascii="Arial" w:hAnsi="Arial"/>
                <w:b/>
                <w:bCs/>
                <w:sz w:val="15"/>
                <w:szCs w:val="15"/>
                <w:highlight w:val="yellow"/>
                <w:lang w:val="en-AU"/>
              </w:rPr>
            </w:pPr>
          </w:p>
        </w:tc>
        <w:tc>
          <w:tcPr>
            <w:tcW w:w="930" w:type="dxa"/>
            <w:tcBorders>
              <w:top w:val="nil"/>
              <w:left w:val="nil"/>
              <w:bottom w:val="nil"/>
              <w:right w:val="nil"/>
            </w:tcBorders>
            <w:shd w:val="clear" w:color="auto" w:fill="auto"/>
            <w:noWrap/>
            <w:vAlign w:val="bottom"/>
          </w:tcPr>
          <w:p w14:paraId="1E7822BC" w14:textId="77777777" w:rsidR="005C32EB" w:rsidRPr="00DA5E40" w:rsidRDefault="005C32EB" w:rsidP="005C32EB">
            <w:pPr>
              <w:spacing w:before="0" w:after="0"/>
              <w:rPr>
                <w:rFonts w:ascii="Times New Roman" w:hAnsi="Times New Roman" w:cs="Times New Roman"/>
                <w:sz w:val="15"/>
                <w:szCs w:val="15"/>
                <w:highlight w:val="yellow"/>
                <w:lang w:val="en-AU"/>
              </w:rPr>
            </w:pPr>
          </w:p>
        </w:tc>
        <w:tc>
          <w:tcPr>
            <w:tcW w:w="935" w:type="dxa"/>
            <w:tcBorders>
              <w:top w:val="nil"/>
              <w:left w:val="nil"/>
              <w:bottom w:val="nil"/>
              <w:right w:val="nil"/>
            </w:tcBorders>
            <w:shd w:val="clear" w:color="auto" w:fill="auto"/>
            <w:noWrap/>
            <w:vAlign w:val="bottom"/>
          </w:tcPr>
          <w:p w14:paraId="01D946BD" w14:textId="77777777" w:rsidR="005C32EB" w:rsidRPr="00DA5E40" w:rsidRDefault="005C32EB" w:rsidP="005C32EB">
            <w:pPr>
              <w:spacing w:before="0" w:after="0"/>
              <w:rPr>
                <w:rFonts w:ascii="Times New Roman" w:hAnsi="Times New Roman" w:cs="Times New Roman"/>
                <w:sz w:val="15"/>
                <w:szCs w:val="15"/>
                <w:highlight w:val="yellow"/>
                <w:lang w:val="en-AU"/>
              </w:rPr>
            </w:pPr>
          </w:p>
        </w:tc>
      </w:tr>
      <w:tr w:rsidR="005C32EB" w:rsidRPr="00243FB1" w14:paraId="716C93DF" w14:textId="77777777" w:rsidTr="005C32EB">
        <w:trPr>
          <w:gridAfter w:val="1"/>
          <w:wAfter w:w="306" w:type="dxa"/>
          <w:trHeight w:val="227"/>
        </w:trPr>
        <w:tc>
          <w:tcPr>
            <w:tcW w:w="3352" w:type="dxa"/>
            <w:tcBorders>
              <w:top w:val="nil"/>
              <w:left w:val="nil"/>
              <w:bottom w:val="nil"/>
              <w:right w:val="nil"/>
            </w:tcBorders>
            <w:shd w:val="clear" w:color="auto" w:fill="auto"/>
            <w:noWrap/>
            <w:vAlign w:val="bottom"/>
            <w:hideMark/>
          </w:tcPr>
          <w:p w14:paraId="2759A66C" w14:textId="77777777" w:rsidR="005C32EB" w:rsidRPr="002B2BCC" w:rsidRDefault="005C32EB" w:rsidP="00DC59EB">
            <w:pPr>
              <w:spacing w:before="0" w:after="0"/>
              <w:ind w:left="212"/>
              <w:rPr>
                <w:rFonts w:ascii="Arial" w:hAnsi="Arial"/>
                <w:sz w:val="16"/>
                <w:szCs w:val="16"/>
                <w:lang w:val="en-AU"/>
              </w:rPr>
            </w:pPr>
            <w:r w:rsidRPr="002B2BCC">
              <w:rPr>
                <w:rFonts w:ascii="Arial" w:hAnsi="Arial"/>
                <w:sz w:val="16"/>
                <w:szCs w:val="16"/>
                <w:lang w:val="en-AU"/>
              </w:rPr>
              <w:t>Employee benefits</w:t>
            </w:r>
          </w:p>
        </w:tc>
        <w:tc>
          <w:tcPr>
            <w:tcW w:w="983" w:type="dxa"/>
            <w:tcBorders>
              <w:top w:val="nil"/>
              <w:left w:val="nil"/>
              <w:bottom w:val="nil"/>
              <w:right w:val="nil"/>
            </w:tcBorders>
            <w:shd w:val="clear" w:color="auto" w:fill="auto"/>
            <w:noWrap/>
            <w:vAlign w:val="bottom"/>
          </w:tcPr>
          <w:p w14:paraId="3552568A" w14:textId="271D63E7" w:rsidR="005C32EB" w:rsidRPr="00DA5E40" w:rsidRDefault="005C32EB" w:rsidP="00C40B37">
            <w:pPr>
              <w:spacing w:before="0" w:after="0"/>
              <w:jc w:val="right"/>
              <w:rPr>
                <w:rFonts w:ascii="Arial" w:hAnsi="Arial"/>
                <w:sz w:val="15"/>
                <w:szCs w:val="15"/>
                <w:highlight w:val="yellow"/>
                <w:lang w:val="en-AU"/>
              </w:rPr>
            </w:pPr>
            <w:r w:rsidRPr="007A2C2D">
              <w:rPr>
                <w:rFonts w:ascii="Arial" w:hAnsi="Arial"/>
                <w:sz w:val="16"/>
                <w:szCs w:val="16"/>
                <w:lang w:val="en-AU"/>
              </w:rPr>
              <w:t>102,614</w:t>
            </w:r>
          </w:p>
        </w:tc>
        <w:tc>
          <w:tcPr>
            <w:tcW w:w="928" w:type="dxa"/>
            <w:tcBorders>
              <w:top w:val="nil"/>
              <w:left w:val="nil"/>
              <w:bottom w:val="nil"/>
              <w:right w:val="nil"/>
            </w:tcBorders>
            <w:shd w:val="clear" w:color="auto" w:fill="E6E6E6"/>
            <w:noWrap/>
            <w:vAlign w:val="bottom"/>
          </w:tcPr>
          <w:p w14:paraId="32CECA82" w14:textId="0B848679" w:rsidR="005C32EB" w:rsidRPr="00DA5E40" w:rsidRDefault="005C32EB" w:rsidP="00C40B37">
            <w:pPr>
              <w:spacing w:before="0" w:after="0"/>
              <w:jc w:val="right"/>
              <w:rPr>
                <w:rFonts w:ascii="Arial" w:hAnsi="Arial"/>
                <w:sz w:val="15"/>
                <w:szCs w:val="15"/>
                <w:highlight w:val="yellow"/>
                <w:lang w:val="en-AU"/>
              </w:rPr>
            </w:pPr>
            <w:r w:rsidRPr="007A2C2D">
              <w:rPr>
                <w:rFonts w:ascii="Arial" w:hAnsi="Arial"/>
                <w:sz w:val="16"/>
                <w:szCs w:val="16"/>
                <w:lang w:val="en-AU"/>
              </w:rPr>
              <w:t>106,512</w:t>
            </w:r>
          </w:p>
        </w:tc>
        <w:tc>
          <w:tcPr>
            <w:tcW w:w="930" w:type="dxa"/>
            <w:tcBorders>
              <w:top w:val="nil"/>
              <w:left w:val="nil"/>
              <w:bottom w:val="nil"/>
              <w:right w:val="nil"/>
            </w:tcBorders>
            <w:shd w:val="clear" w:color="auto" w:fill="auto"/>
            <w:noWrap/>
            <w:vAlign w:val="bottom"/>
          </w:tcPr>
          <w:p w14:paraId="423B9B4E" w14:textId="76F32572" w:rsidR="005C32EB" w:rsidRPr="00DA5E40" w:rsidRDefault="005C32EB" w:rsidP="00C40B37">
            <w:pPr>
              <w:spacing w:before="0" w:after="0"/>
              <w:jc w:val="right"/>
              <w:rPr>
                <w:rFonts w:ascii="Arial" w:hAnsi="Arial"/>
                <w:sz w:val="15"/>
                <w:szCs w:val="15"/>
                <w:highlight w:val="yellow"/>
                <w:lang w:val="en-AU"/>
              </w:rPr>
            </w:pPr>
            <w:r w:rsidRPr="007A2C2D">
              <w:rPr>
                <w:rFonts w:ascii="Arial" w:hAnsi="Arial"/>
                <w:sz w:val="16"/>
                <w:szCs w:val="16"/>
                <w:lang w:val="en-AU"/>
              </w:rPr>
              <w:t>116,469</w:t>
            </w:r>
          </w:p>
        </w:tc>
        <w:tc>
          <w:tcPr>
            <w:tcW w:w="930" w:type="dxa"/>
            <w:tcBorders>
              <w:top w:val="nil"/>
              <w:left w:val="nil"/>
              <w:bottom w:val="nil"/>
              <w:right w:val="nil"/>
            </w:tcBorders>
            <w:shd w:val="clear" w:color="auto" w:fill="auto"/>
            <w:noWrap/>
            <w:vAlign w:val="bottom"/>
          </w:tcPr>
          <w:p w14:paraId="03C1D8C4" w14:textId="280FBBF4" w:rsidR="005C32EB" w:rsidRPr="00DA5E40" w:rsidRDefault="005C32EB" w:rsidP="00C40B37">
            <w:pPr>
              <w:spacing w:before="0" w:after="0"/>
              <w:jc w:val="right"/>
              <w:rPr>
                <w:rFonts w:ascii="Arial" w:hAnsi="Arial"/>
                <w:sz w:val="15"/>
                <w:szCs w:val="15"/>
                <w:highlight w:val="yellow"/>
                <w:lang w:val="en-AU"/>
              </w:rPr>
            </w:pPr>
            <w:r w:rsidRPr="007A2C2D">
              <w:rPr>
                <w:rFonts w:ascii="Arial" w:hAnsi="Arial"/>
                <w:sz w:val="16"/>
                <w:szCs w:val="16"/>
                <w:lang w:val="en-AU"/>
              </w:rPr>
              <w:t>120,790</w:t>
            </w:r>
          </w:p>
        </w:tc>
        <w:tc>
          <w:tcPr>
            <w:tcW w:w="935" w:type="dxa"/>
            <w:tcBorders>
              <w:top w:val="nil"/>
              <w:left w:val="nil"/>
              <w:bottom w:val="nil"/>
              <w:right w:val="nil"/>
            </w:tcBorders>
            <w:shd w:val="clear" w:color="auto" w:fill="auto"/>
            <w:noWrap/>
            <w:vAlign w:val="bottom"/>
          </w:tcPr>
          <w:p w14:paraId="3EA595B2" w14:textId="5BC85FAA" w:rsidR="005C32EB" w:rsidRPr="00DA5E40" w:rsidRDefault="005C32EB" w:rsidP="00C40B37">
            <w:pPr>
              <w:spacing w:before="0" w:after="0"/>
              <w:jc w:val="right"/>
              <w:rPr>
                <w:rFonts w:ascii="Arial" w:hAnsi="Arial"/>
                <w:sz w:val="15"/>
                <w:szCs w:val="15"/>
                <w:highlight w:val="yellow"/>
                <w:lang w:val="en-AU"/>
              </w:rPr>
            </w:pPr>
            <w:r w:rsidRPr="007A2C2D">
              <w:rPr>
                <w:rFonts w:ascii="Arial" w:hAnsi="Arial"/>
                <w:sz w:val="16"/>
                <w:szCs w:val="16"/>
                <w:lang w:val="en-AU"/>
              </w:rPr>
              <w:t>125,308</w:t>
            </w:r>
          </w:p>
        </w:tc>
      </w:tr>
      <w:tr w:rsidR="005C32EB" w:rsidRPr="00243FB1" w14:paraId="4DA37760" w14:textId="77777777" w:rsidTr="005C32EB">
        <w:trPr>
          <w:gridAfter w:val="1"/>
          <w:wAfter w:w="306" w:type="dxa"/>
          <w:trHeight w:val="227"/>
        </w:trPr>
        <w:tc>
          <w:tcPr>
            <w:tcW w:w="3352" w:type="dxa"/>
            <w:tcBorders>
              <w:top w:val="nil"/>
              <w:left w:val="nil"/>
              <w:bottom w:val="nil"/>
              <w:right w:val="nil"/>
            </w:tcBorders>
            <w:shd w:val="clear" w:color="auto" w:fill="auto"/>
            <w:vAlign w:val="bottom"/>
            <w:hideMark/>
          </w:tcPr>
          <w:p w14:paraId="6D71B36B" w14:textId="77777777" w:rsidR="005C32EB" w:rsidRPr="002B2BCC" w:rsidRDefault="005C32EB" w:rsidP="00DC59EB">
            <w:pPr>
              <w:spacing w:before="0" w:after="0"/>
              <w:ind w:left="212"/>
              <w:rPr>
                <w:rFonts w:ascii="Arial" w:hAnsi="Arial"/>
                <w:sz w:val="16"/>
                <w:szCs w:val="16"/>
                <w:lang w:val="en-AU"/>
              </w:rPr>
            </w:pPr>
            <w:r w:rsidRPr="002B2BCC">
              <w:rPr>
                <w:rFonts w:ascii="Arial" w:hAnsi="Arial"/>
                <w:sz w:val="16"/>
                <w:szCs w:val="16"/>
                <w:lang w:val="en-AU"/>
              </w:rPr>
              <w:t>Suppliers</w:t>
            </w:r>
          </w:p>
        </w:tc>
        <w:tc>
          <w:tcPr>
            <w:tcW w:w="983" w:type="dxa"/>
            <w:tcBorders>
              <w:top w:val="nil"/>
              <w:left w:val="nil"/>
              <w:bottom w:val="nil"/>
              <w:right w:val="nil"/>
            </w:tcBorders>
            <w:shd w:val="clear" w:color="auto" w:fill="auto"/>
            <w:noWrap/>
            <w:vAlign w:val="bottom"/>
          </w:tcPr>
          <w:p w14:paraId="3DFCEECE" w14:textId="7C4AAAAB" w:rsidR="005C32EB" w:rsidRPr="00DA5E40" w:rsidRDefault="005C32EB" w:rsidP="00C40B37">
            <w:pPr>
              <w:spacing w:before="0" w:after="0"/>
              <w:jc w:val="right"/>
              <w:rPr>
                <w:rFonts w:ascii="Arial" w:hAnsi="Arial"/>
                <w:sz w:val="15"/>
                <w:szCs w:val="15"/>
                <w:highlight w:val="yellow"/>
                <w:lang w:val="en-AU"/>
              </w:rPr>
            </w:pPr>
            <w:r w:rsidRPr="007A2C2D">
              <w:rPr>
                <w:rFonts w:ascii="Arial" w:hAnsi="Arial"/>
                <w:sz w:val="16"/>
                <w:szCs w:val="16"/>
                <w:lang w:val="en-AU"/>
              </w:rPr>
              <w:t>275,016</w:t>
            </w:r>
          </w:p>
        </w:tc>
        <w:tc>
          <w:tcPr>
            <w:tcW w:w="928" w:type="dxa"/>
            <w:tcBorders>
              <w:top w:val="nil"/>
              <w:left w:val="nil"/>
              <w:bottom w:val="nil"/>
              <w:right w:val="nil"/>
            </w:tcBorders>
            <w:shd w:val="clear" w:color="auto" w:fill="E6E6E6"/>
            <w:noWrap/>
            <w:vAlign w:val="bottom"/>
          </w:tcPr>
          <w:p w14:paraId="2B623412" w14:textId="2A2BAA57" w:rsidR="005C32EB" w:rsidRPr="00DA5E40" w:rsidRDefault="005C32EB" w:rsidP="00C40B37">
            <w:pPr>
              <w:spacing w:before="0" w:after="0"/>
              <w:jc w:val="right"/>
              <w:rPr>
                <w:rFonts w:ascii="Arial" w:hAnsi="Arial"/>
                <w:sz w:val="15"/>
                <w:szCs w:val="15"/>
                <w:highlight w:val="yellow"/>
                <w:lang w:val="en-AU"/>
              </w:rPr>
            </w:pPr>
            <w:r w:rsidRPr="007A2C2D">
              <w:rPr>
                <w:rFonts w:ascii="Arial" w:hAnsi="Arial"/>
                <w:sz w:val="16"/>
                <w:szCs w:val="16"/>
                <w:lang w:val="en-AU"/>
              </w:rPr>
              <w:t>371,164</w:t>
            </w:r>
          </w:p>
        </w:tc>
        <w:tc>
          <w:tcPr>
            <w:tcW w:w="930" w:type="dxa"/>
            <w:tcBorders>
              <w:top w:val="nil"/>
              <w:left w:val="nil"/>
              <w:bottom w:val="nil"/>
              <w:right w:val="nil"/>
            </w:tcBorders>
            <w:shd w:val="clear" w:color="auto" w:fill="auto"/>
            <w:noWrap/>
            <w:vAlign w:val="bottom"/>
          </w:tcPr>
          <w:p w14:paraId="71746B35" w14:textId="76D78FE8" w:rsidR="005C32EB" w:rsidRPr="00DA5E40" w:rsidRDefault="005C32EB" w:rsidP="00C40B37">
            <w:pPr>
              <w:spacing w:before="0" w:after="0"/>
              <w:jc w:val="right"/>
              <w:rPr>
                <w:rFonts w:ascii="Arial" w:hAnsi="Arial"/>
                <w:sz w:val="15"/>
                <w:szCs w:val="15"/>
                <w:highlight w:val="yellow"/>
                <w:lang w:val="en-AU"/>
              </w:rPr>
            </w:pPr>
            <w:r w:rsidRPr="007A2C2D">
              <w:rPr>
                <w:rFonts w:ascii="Arial" w:hAnsi="Arial"/>
                <w:sz w:val="16"/>
                <w:szCs w:val="16"/>
                <w:lang w:val="en-AU"/>
              </w:rPr>
              <w:t>365,179</w:t>
            </w:r>
          </w:p>
        </w:tc>
        <w:tc>
          <w:tcPr>
            <w:tcW w:w="930" w:type="dxa"/>
            <w:tcBorders>
              <w:top w:val="nil"/>
              <w:left w:val="nil"/>
              <w:bottom w:val="nil"/>
              <w:right w:val="nil"/>
            </w:tcBorders>
            <w:shd w:val="clear" w:color="auto" w:fill="auto"/>
            <w:noWrap/>
            <w:vAlign w:val="bottom"/>
          </w:tcPr>
          <w:p w14:paraId="1A41B3D6" w14:textId="0332C107" w:rsidR="005C32EB" w:rsidRPr="00DA5E40" w:rsidRDefault="005C32EB" w:rsidP="00C40B37">
            <w:pPr>
              <w:spacing w:before="0" w:after="0"/>
              <w:jc w:val="right"/>
              <w:rPr>
                <w:rFonts w:ascii="Arial" w:hAnsi="Arial"/>
                <w:sz w:val="15"/>
                <w:szCs w:val="15"/>
                <w:highlight w:val="yellow"/>
                <w:lang w:val="en-AU"/>
              </w:rPr>
            </w:pPr>
            <w:r w:rsidRPr="007A2C2D">
              <w:rPr>
                <w:rFonts w:ascii="Arial" w:hAnsi="Arial"/>
                <w:sz w:val="16"/>
                <w:szCs w:val="16"/>
                <w:lang w:val="en-AU"/>
              </w:rPr>
              <w:t>304,965</w:t>
            </w:r>
          </w:p>
        </w:tc>
        <w:tc>
          <w:tcPr>
            <w:tcW w:w="935" w:type="dxa"/>
            <w:tcBorders>
              <w:top w:val="nil"/>
              <w:left w:val="nil"/>
              <w:bottom w:val="nil"/>
              <w:right w:val="nil"/>
            </w:tcBorders>
            <w:shd w:val="clear" w:color="auto" w:fill="auto"/>
            <w:noWrap/>
            <w:vAlign w:val="bottom"/>
          </w:tcPr>
          <w:p w14:paraId="659CDBA7" w14:textId="6CF84F62" w:rsidR="005C32EB" w:rsidRPr="00DA5E40" w:rsidRDefault="005C32EB" w:rsidP="00C40B37">
            <w:pPr>
              <w:spacing w:before="0" w:after="0"/>
              <w:jc w:val="right"/>
              <w:rPr>
                <w:rFonts w:ascii="Arial" w:hAnsi="Arial"/>
                <w:sz w:val="15"/>
                <w:szCs w:val="15"/>
                <w:highlight w:val="yellow"/>
                <w:lang w:val="en-AU"/>
              </w:rPr>
            </w:pPr>
            <w:r w:rsidRPr="007A2C2D">
              <w:rPr>
                <w:rFonts w:ascii="Arial" w:hAnsi="Arial"/>
                <w:sz w:val="16"/>
                <w:szCs w:val="16"/>
                <w:lang w:val="en-AU"/>
              </w:rPr>
              <w:t>251,561</w:t>
            </w:r>
          </w:p>
        </w:tc>
      </w:tr>
      <w:tr w:rsidR="005C32EB" w:rsidRPr="00243FB1" w14:paraId="077BAE34" w14:textId="77777777" w:rsidTr="005C32EB">
        <w:trPr>
          <w:gridAfter w:val="1"/>
          <w:wAfter w:w="306" w:type="dxa"/>
          <w:trHeight w:val="227"/>
        </w:trPr>
        <w:tc>
          <w:tcPr>
            <w:tcW w:w="3352" w:type="dxa"/>
            <w:tcBorders>
              <w:top w:val="nil"/>
              <w:left w:val="nil"/>
              <w:bottom w:val="nil"/>
              <w:right w:val="nil"/>
            </w:tcBorders>
            <w:shd w:val="clear" w:color="auto" w:fill="auto"/>
            <w:noWrap/>
            <w:vAlign w:val="bottom"/>
            <w:hideMark/>
          </w:tcPr>
          <w:p w14:paraId="13277252" w14:textId="77777777" w:rsidR="005C32EB" w:rsidRPr="002B2BCC" w:rsidRDefault="005C32EB" w:rsidP="00DC59EB">
            <w:pPr>
              <w:spacing w:before="0" w:after="0"/>
              <w:ind w:left="212"/>
              <w:rPr>
                <w:rFonts w:ascii="Arial" w:hAnsi="Arial"/>
                <w:sz w:val="16"/>
                <w:szCs w:val="16"/>
                <w:lang w:val="en-AU"/>
              </w:rPr>
            </w:pPr>
            <w:r w:rsidRPr="002B2BCC">
              <w:rPr>
                <w:rFonts w:ascii="Arial" w:hAnsi="Arial"/>
                <w:sz w:val="16"/>
                <w:szCs w:val="16"/>
                <w:lang w:val="en-AU"/>
              </w:rPr>
              <w:t>Depreciation and amortisation</w:t>
            </w:r>
          </w:p>
        </w:tc>
        <w:tc>
          <w:tcPr>
            <w:tcW w:w="983" w:type="dxa"/>
            <w:tcBorders>
              <w:top w:val="nil"/>
              <w:left w:val="nil"/>
              <w:bottom w:val="nil"/>
              <w:right w:val="nil"/>
            </w:tcBorders>
            <w:shd w:val="clear" w:color="auto" w:fill="auto"/>
            <w:noWrap/>
            <w:vAlign w:val="bottom"/>
          </w:tcPr>
          <w:p w14:paraId="6B598276" w14:textId="2EB8850B" w:rsidR="005C32EB" w:rsidRPr="00DA5E40" w:rsidRDefault="005C32EB" w:rsidP="00C40B37">
            <w:pPr>
              <w:spacing w:before="0" w:after="0"/>
              <w:jc w:val="right"/>
              <w:rPr>
                <w:rFonts w:ascii="Arial" w:hAnsi="Arial"/>
                <w:sz w:val="15"/>
                <w:szCs w:val="15"/>
                <w:highlight w:val="yellow"/>
                <w:lang w:val="en-AU"/>
              </w:rPr>
            </w:pPr>
            <w:r w:rsidRPr="007A2C2D">
              <w:rPr>
                <w:rFonts w:ascii="Arial" w:hAnsi="Arial"/>
                <w:sz w:val="16"/>
                <w:szCs w:val="16"/>
                <w:lang w:val="en-AU"/>
              </w:rPr>
              <w:t>409,387</w:t>
            </w:r>
          </w:p>
        </w:tc>
        <w:tc>
          <w:tcPr>
            <w:tcW w:w="928" w:type="dxa"/>
            <w:tcBorders>
              <w:top w:val="nil"/>
              <w:left w:val="nil"/>
              <w:bottom w:val="nil"/>
              <w:right w:val="nil"/>
            </w:tcBorders>
            <w:shd w:val="clear" w:color="auto" w:fill="E6E6E6"/>
            <w:noWrap/>
            <w:vAlign w:val="bottom"/>
          </w:tcPr>
          <w:p w14:paraId="63EEDE6E" w14:textId="5E628EC9" w:rsidR="005C32EB" w:rsidRPr="00DA5E40" w:rsidRDefault="005C32EB" w:rsidP="00C40B37">
            <w:pPr>
              <w:spacing w:before="0" w:after="0"/>
              <w:jc w:val="right"/>
              <w:rPr>
                <w:rFonts w:ascii="Arial" w:hAnsi="Arial"/>
                <w:sz w:val="15"/>
                <w:szCs w:val="15"/>
                <w:highlight w:val="yellow"/>
                <w:lang w:val="en-AU"/>
              </w:rPr>
            </w:pPr>
            <w:r w:rsidRPr="007A2C2D">
              <w:rPr>
                <w:rFonts w:ascii="Arial" w:hAnsi="Arial"/>
                <w:sz w:val="16"/>
                <w:szCs w:val="16"/>
                <w:lang w:val="en-AU"/>
              </w:rPr>
              <w:t>403,762</w:t>
            </w:r>
          </w:p>
        </w:tc>
        <w:tc>
          <w:tcPr>
            <w:tcW w:w="930" w:type="dxa"/>
            <w:tcBorders>
              <w:top w:val="nil"/>
              <w:left w:val="nil"/>
              <w:bottom w:val="nil"/>
              <w:right w:val="nil"/>
            </w:tcBorders>
            <w:shd w:val="clear" w:color="auto" w:fill="auto"/>
            <w:noWrap/>
            <w:vAlign w:val="bottom"/>
          </w:tcPr>
          <w:p w14:paraId="5DD7FBA6" w14:textId="699F9C75" w:rsidR="005C32EB" w:rsidRPr="00DA5E40" w:rsidRDefault="005C32EB" w:rsidP="00C40B37">
            <w:pPr>
              <w:spacing w:before="0" w:after="0"/>
              <w:jc w:val="right"/>
              <w:rPr>
                <w:rFonts w:ascii="Arial" w:hAnsi="Arial"/>
                <w:sz w:val="15"/>
                <w:szCs w:val="15"/>
                <w:highlight w:val="yellow"/>
                <w:lang w:val="en-AU"/>
              </w:rPr>
            </w:pPr>
            <w:r w:rsidRPr="007A2C2D">
              <w:rPr>
                <w:rFonts w:ascii="Arial" w:hAnsi="Arial"/>
                <w:sz w:val="16"/>
                <w:szCs w:val="16"/>
                <w:lang w:val="en-AU"/>
              </w:rPr>
              <w:t>419,269</w:t>
            </w:r>
          </w:p>
        </w:tc>
        <w:tc>
          <w:tcPr>
            <w:tcW w:w="930" w:type="dxa"/>
            <w:tcBorders>
              <w:top w:val="nil"/>
              <w:left w:val="nil"/>
              <w:bottom w:val="nil"/>
              <w:right w:val="nil"/>
            </w:tcBorders>
            <w:shd w:val="clear" w:color="auto" w:fill="auto"/>
            <w:noWrap/>
            <w:vAlign w:val="bottom"/>
          </w:tcPr>
          <w:p w14:paraId="41DDF967" w14:textId="09DB5267" w:rsidR="005C32EB" w:rsidRPr="00DA5E40" w:rsidRDefault="005C32EB" w:rsidP="00C40B37">
            <w:pPr>
              <w:spacing w:before="0" w:after="0"/>
              <w:jc w:val="right"/>
              <w:rPr>
                <w:rFonts w:ascii="Arial" w:hAnsi="Arial"/>
                <w:sz w:val="15"/>
                <w:szCs w:val="15"/>
                <w:highlight w:val="yellow"/>
                <w:lang w:val="en-AU"/>
              </w:rPr>
            </w:pPr>
            <w:r w:rsidRPr="007A2C2D">
              <w:rPr>
                <w:rFonts w:ascii="Arial" w:hAnsi="Arial"/>
                <w:sz w:val="16"/>
                <w:szCs w:val="16"/>
                <w:lang w:val="en-AU"/>
              </w:rPr>
              <w:t>434,387</w:t>
            </w:r>
          </w:p>
        </w:tc>
        <w:tc>
          <w:tcPr>
            <w:tcW w:w="935" w:type="dxa"/>
            <w:tcBorders>
              <w:top w:val="nil"/>
              <w:left w:val="nil"/>
              <w:bottom w:val="nil"/>
              <w:right w:val="nil"/>
            </w:tcBorders>
            <w:shd w:val="clear" w:color="auto" w:fill="auto"/>
            <w:noWrap/>
            <w:vAlign w:val="bottom"/>
          </w:tcPr>
          <w:p w14:paraId="7BB5C60C" w14:textId="6537D9DB" w:rsidR="005C32EB" w:rsidRPr="00DA5E40" w:rsidRDefault="005C32EB" w:rsidP="00C40B37">
            <w:pPr>
              <w:spacing w:before="0" w:after="0"/>
              <w:jc w:val="right"/>
              <w:rPr>
                <w:rFonts w:ascii="Arial" w:hAnsi="Arial"/>
                <w:sz w:val="15"/>
                <w:szCs w:val="15"/>
                <w:highlight w:val="yellow"/>
                <w:lang w:val="en-AU"/>
              </w:rPr>
            </w:pPr>
            <w:r w:rsidRPr="007A2C2D">
              <w:rPr>
                <w:rFonts w:ascii="Arial" w:hAnsi="Arial"/>
                <w:sz w:val="16"/>
                <w:szCs w:val="16"/>
                <w:lang w:val="en-AU"/>
              </w:rPr>
              <w:t>448,878</w:t>
            </w:r>
          </w:p>
        </w:tc>
      </w:tr>
      <w:tr w:rsidR="005C32EB" w:rsidRPr="00243FB1" w14:paraId="1604476C" w14:textId="77777777" w:rsidTr="005C32EB">
        <w:trPr>
          <w:gridAfter w:val="1"/>
          <w:wAfter w:w="306" w:type="dxa"/>
          <w:trHeight w:val="227"/>
        </w:trPr>
        <w:tc>
          <w:tcPr>
            <w:tcW w:w="3352" w:type="dxa"/>
            <w:tcBorders>
              <w:top w:val="nil"/>
              <w:left w:val="nil"/>
              <w:bottom w:val="nil"/>
              <w:right w:val="nil"/>
            </w:tcBorders>
            <w:shd w:val="clear" w:color="auto" w:fill="auto"/>
            <w:noWrap/>
            <w:vAlign w:val="bottom"/>
            <w:hideMark/>
          </w:tcPr>
          <w:p w14:paraId="2ED6AD79" w14:textId="77777777" w:rsidR="005C32EB" w:rsidRPr="002B2BCC" w:rsidRDefault="005C32EB" w:rsidP="00DC59EB">
            <w:pPr>
              <w:spacing w:before="0" w:after="0"/>
              <w:ind w:left="212"/>
              <w:rPr>
                <w:rFonts w:ascii="Arial" w:hAnsi="Arial"/>
                <w:sz w:val="16"/>
                <w:szCs w:val="16"/>
                <w:lang w:val="en-AU"/>
              </w:rPr>
            </w:pPr>
            <w:r w:rsidRPr="002B2BCC">
              <w:rPr>
                <w:rFonts w:ascii="Arial" w:hAnsi="Arial"/>
                <w:sz w:val="16"/>
                <w:szCs w:val="16"/>
                <w:lang w:val="en-AU"/>
              </w:rPr>
              <w:t>Finance costs</w:t>
            </w:r>
          </w:p>
        </w:tc>
        <w:tc>
          <w:tcPr>
            <w:tcW w:w="983" w:type="dxa"/>
            <w:tcBorders>
              <w:top w:val="nil"/>
              <w:left w:val="nil"/>
              <w:bottom w:val="nil"/>
              <w:right w:val="nil"/>
            </w:tcBorders>
            <w:shd w:val="clear" w:color="auto" w:fill="auto"/>
            <w:noWrap/>
            <w:vAlign w:val="bottom"/>
          </w:tcPr>
          <w:p w14:paraId="7CC9D7B7" w14:textId="39EA423F" w:rsidR="005C32EB" w:rsidRPr="00DA5E40" w:rsidRDefault="005C32EB" w:rsidP="00C40B37">
            <w:pPr>
              <w:spacing w:before="0" w:after="0"/>
              <w:jc w:val="right"/>
              <w:rPr>
                <w:rFonts w:ascii="Arial" w:hAnsi="Arial"/>
                <w:sz w:val="15"/>
                <w:szCs w:val="15"/>
                <w:highlight w:val="yellow"/>
                <w:lang w:val="en-AU"/>
              </w:rPr>
            </w:pPr>
            <w:r w:rsidRPr="007A2C2D">
              <w:rPr>
                <w:rFonts w:ascii="Arial" w:hAnsi="Arial"/>
                <w:sz w:val="16"/>
                <w:szCs w:val="16"/>
                <w:lang w:val="en-AU"/>
              </w:rPr>
              <w:t>78,276</w:t>
            </w:r>
          </w:p>
        </w:tc>
        <w:tc>
          <w:tcPr>
            <w:tcW w:w="928" w:type="dxa"/>
            <w:tcBorders>
              <w:top w:val="nil"/>
              <w:left w:val="nil"/>
              <w:bottom w:val="nil"/>
              <w:right w:val="nil"/>
            </w:tcBorders>
            <w:shd w:val="clear" w:color="auto" w:fill="E6E6E6"/>
            <w:noWrap/>
            <w:vAlign w:val="bottom"/>
          </w:tcPr>
          <w:p w14:paraId="666582BC" w14:textId="03D624BB" w:rsidR="005C32EB" w:rsidRPr="00DA5E40" w:rsidRDefault="005C32EB" w:rsidP="00C40B37">
            <w:pPr>
              <w:spacing w:before="0" w:after="0"/>
              <w:jc w:val="right"/>
              <w:rPr>
                <w:rFonts w:ascii="Arial" w:hAnsi="Arial"/>
                <w:sz w:val="15"/>
                <w:szCs w:val="15"/>
                <w:highlight w:val="yellow"/>
                <w:lang w:val="en-AU"/>
              </w:rPr>
            </w:pPr>
            <w:r w:rsidRPr="007A2C2D">
              <w:rPr>
                <w:rFonts w:ascii="Arial" w:hAnsi="Arial"/>
                <w:sz w:val="16"/>
                <w:szCs w:val="16"/>
                <w:lang w:val="en-AU"/>
              </w:rPr>
              <w:t>79,758</w:t>
            </w:r>
          </w:p>
        </w:tc>
        <w:tc>
          <w:tcPr>
            <w:tcW w:w="930" w:type="dxa"/>
            <w:tcBorders>
              <w:top w:val="nil"/>
              <w:left w:val="nil"/>
              <w:bottom w:val="nil"/>
              <w:right w:val="nil"/>
            </w:tcBorders>
            <w:shd w:val="clear" w:color="auto" w:fill="auto"/>
            <w:noWrap/>
            <w:vAlign w:val="bottom"/>
          </w:tcPr>
          <w:p w14:paraId="5F555EDB" w14:textId="60628E24" w:rsidR="005C32EB" w:rsidRPr="00DA5E40" w:rsidRDefault="005C32EB" w:rsidP="00C40B37">
            <w:pPr>
              <w:spacing w:before="0" w:after="0"/>
              <w:jc w:val="right"/>
              <w:rPr>
                <w:rFonts w:ascii="Arial" w:hAnsi="Arial"/>
                <w:sz w:val="15"/>
                <w:szCs w:val="15"/>
                <w:highlight w:val="yellow"/>
                <w:lang w:val="en-AU"/>
              </w:rPr>
            </w:pPr>
            <w:r w:rsidRPr="007A2C2D">
              <w:rPr>
                <w:rFonts w:ascii="Arial" w:hAnsi="Arial"/>
                <w:sz w:val="16"/>
                <w:szCs w:val="16"/>
                <w:lang w:val="en-AU"/>
              </w:rPr>
              <w:t>87,005</w:t>
            </w:r>
          </w:p>
        </w:tc>
        <w:tc>
          <w:tcPr>
            <w:tcW w:w="930" w:type="dxa"/>
            <w:tcBorders>
              <w:top w:val="nil"/>
              <w:left w:val="nil"/>
              <w:bottom w:val="nil"/>
              <w:right w:val="nil"/>
            </w:tcBorders>
            <w:shd w:val="clear" w:color="auto" w:fill="auto"/>
            <w:noWrap/>
            <w:vAlign w:val="bottom"/>
          </w:tcPr>
          <w:p w14:paraId="6924DB5C" w14:textId="5CA9C9D7" w:rsidR="005C32EB" w:rsidRPr="00DA5E40" w:rsidRDefault="005C32EB" w:rsidP="00C40B37">
            <w:pPr>
              <w:spacing w:before="0" w:after="0"/>
              <w:jc w:val="right"/>
              <w:rPr>
                <w:rFonts w:ascii="Arial" w:hAnsi="Arial"/>
                <w:sz w:val="15"/>
                <w:szCs w:val="15"/>
                <w:highlight w:val="yellow"/>
                <w:lang w:val="en-AU"/>
              </w:rPr>
            </w:pPr>
            <w:r w:rsidRPr="007A2C2D">
              <w:rPr>
                <w:rFonts w:ascii="Arial" w:hAnsi="Arial"/>
                <w:sz w:val="16"/>
                <w:szCs w:val="16"/>
                <w:lang w:val="en-AU"/>
              </w:rPr>
              <w:t>91,849</w:t>
            </w:r>
          </w:p>
        </w:tc>
        <w:tc>
          <w:tcPr>
            <w:tcW w:w="935" w:type="dxa"/>
            <w:tcBorders>
              <w:top w:val="nil"/>
              <w:left w:val="nil"/>
              <w:bottom w:val="nil"/>
              <w:right w:val="nil"/>
            </w:tcBorders>
            <w:shd w:val="clear" w:color="auto" w:fill="auto"/>
            <w:noWrap/>
            <w:vAlign w:val="bottom"/>
          </w:tcPr>
          <w:p w14:paraId="46005687" w14:textId="46ADCED8" w:rsidR="005C32EB" w:rsidRPr="00DA5E40" w:rsidRDefault="005C32EB" w:rsidP="00C40B37">
            <w:pPr>
              <w:spacing w:before="0" w:after="0"/>
              <w:jc w:val="right"/>
              <w:rPr>
                <w:rFonts w:ascii="Arial" w:hAnsi="Arial"/>
                <w:sz w:val="15"/>
                <w:szCs w:val="15"/>
                <w:highlight w:val="yellow"/>
                <w:lang w:val="en-AU"/>
              </w:rPr>
            </w:pPr>
            <w:r w:rsidRPr="007A2C2D">
              <w:rPr>
                <w:rFonts w:ascii="Arial" w:hAnsi="Arial"/>
                <w:sz w:val="16"/>
                <w:szCs w:val="16"/>
                <w:lang w:val="en-AU"/>
              </w:rPr>
              <w:t>93,891</w:t>
            </w:r>
          </w:p>
        </w:tc>
      </w:tr>
      <w:tr w:rsidR="005C32EB" w:rsidRPr="00243FB1" w14:paraId="2576BBBF" w14:textId="77777777" w:rsidTr="005C32EB">
        <w:trPr>
          <w:gridAfter w:val="1"/>
          <w:wAfter w:w="306" w:type="dxa"/>
          <w:trHeight w:val="227"/>
        </w:trPr>
        <w:tc>
          <w:tcPr>
            <w:tcW w:w="3352" w:type="dxa"/>
            <w:tcBorders>
              <w:top w:val="nil"/>
              <w:left w:val="nil"/>
              <w:bottom w:val="nil"/>
              <w:right w:val="nil"/>
            </w:tcBorders>
            <w:shd w:val="clear" w:color="auto" w:fill="auto"/>
            <w:vAlign w:val="bottom"/>
            <w:hideMark/>
          </w:tcPr>
          <w:p w14:paraId="0BBE3D91" w14:textId="77777777" w:rsidR="005C32EB" w:rsidRPr="002B2BCC" w:rsidRDefault="005C32EB" w:rsidP="005C32EB">
            <w:pPr>
              <w:spacing w:before="0" w:after="0"/>
              <w:rPr>
                <w:rFonts w:ascii="Arial" w:hAnsi="Arial"/>
                <w:b/>
                <w:bCs/>
                <w:sz w:val="16"/>
                <w:szCs w:val="16"/>
                <w:lang w:val="en-AU"/>
              </w:rPr>
            </w:pPr>
            <w:r w:rsidRPr="002B2BCC">
              <w:rPr>
                <w:rFonts w:ascii="Arial" w:hAnsi="Arial"/>
                <w:b/>
                <w:bCs/>
                <w:sz w:val="16"/>
                <w:szCs w:val="16"/>
                <w:lang w:val="en-AU"/>
              </w:rPr>
              <w:t>Total expenses</w:t>
            </w:r>
          </w:p>
        </w:tc>
        <w:tc>
          <w:tcPr>
            <w:tcW w:w="983" w:type="dxa"/>
            <w:tcBorders>
              <w:top w:val="single" w:sz="4" w:space="0" w:color="auto"/>
              <w:left w:val="nil"/>
              <w:bottom w:val="single" w:sz="4" w:space="0" w:color="auto"/>
              <w:right w:val="nil"/>
            </w:tcBorders>
            <w:shd w:val="clear" w:color="auto" w:fill="auto"/>
            <w:noWrap/>
            <w:vAlign w:val="bottom"/>
          </w:tcPr>
          <w:p w14:paraId="1C4CA82A" w14:textId="23B5FB34" w:rsidR="005C32EB" w:rsidRPr="00DA5E40" w:rsidRDefault="005C32EB" w:rsidP="00C40B37">
            <w:pPr>
              <w:spacing w:before="0" w:after="0"/>
              <w:jc w:val="right"/>
              <w:rPr>
                <w:rFonts w:ascii="Arial" w:hAnsi="Arial"/>
                <w:b/>
                <w:bCs/>
                <w:sz w:val="15"/>
                <w:szCs w:val="15"/>
                <w:highlight w:val="yellow"/>
                <w:lang w:val="en-AU"/>
              </w:rPr>
            </w:pPr>
            <w:r w:rsidRPr="007A2C2D">
              <w:rPr>
                <w:rFonts w:ascii="Arial" w:hAnsi="Arial"/>
                <w:b/>
                <w:bCs/>
                <w:sz w:val="16"/>
                <w:szCs w:val="16"/>
                <w:lang w:val="en-AU"/>
              </w:rPr>
              <w:t>865,293</w:t>
            </w:r>
          </w:p>
        </w:tc>
        <w:tc>
          <w:tcPr>
            <w:tcW w:w="928" w:type="dxa"/>
            <w:tcBorders>
              <w:top w:val="single" w:sz="4" w:space="0" w:color="auto"/>
              <w:left w:val="nil"/>
              <w:bottom w:val="single" w:sz="4" w:space="0" w:color="auto"/>
              <w:right w:val="nil"/>
            </w:tcBorders>
            <w:shd w:val="clear" w:color="auto" w:fill="E6E6E6"/>
            <w:noWrap/>
            <w:vAlign w:val="bottom"/>
          </w:tcPr>
          <w:p w14:paraId="43DC077C" w14:textId="34CB941B" w:rsidR="005C32EB" w:rsidRPr="00DA5E40" w:rsidRDefault="005C32EB" w:rsidP="00C40B37">
            <w:pPr>
              <w:spacing w:before="0" w:after="0"/>
              <w:jc w:val="right"/>
              <w:rPr>
                <w:rFonts w:ascii="Arial" w:hAnsi="Arial"/>
                <w:b/>
                <w:bCs/>
                <w:sz w:val="15"/>
                <w:szCs w:val="15"/>
                <w:highlight w:val="yellow"/>
                <w:lang w:val="en-AU"/>
              </w:rPr>
            </w:pPr>
            <w:r w:rsidRPr="007A2C2D">
              <w:rPr>
                <w:rFonts w:ascii="Arial" w:hAnsi="Arial"/>
                <w:b/>
                <w:bCs/>
                <w:sz w:val="16"/>
                <w:szCs w:val="16"/>
                <w:lang w:val="en-AU"/>
              </w:rPr>
              <w:t>961,196</w:t>
            </w:r>
          </w:p>
        </w:tc>
        <w:tc>
          <w:tcPr>
            <w:tcW w:w="930" w:type="dxa"/>
            <w:tcBorders>
              <w:top w:val="single" w:sz="4" w:space="0" w:color="auto"/>
              <w:left w:val="nil"/>
              <w:bottom w:val="single" w:sz="4" w:space="0" w:color="auto"/>
              <w:right w:val="nil"/>
            </w:tcBorders>
            <w:shd w:val="clear" w:color="auto" w:fill="auto"/>
            <w:noWrap/>
            <w:vAlign w:val="bottom"/>
          </w:tcPr>
          <w:p w14:paraId="6B17EAAC" w14:textId="44A2FFF1" w:rsidR="005C32EB" w:rsidRPr="00DA5E40" w:rsidRDefault="005C32EB" w:rsidP="00C40B37">
            <w:pPr>
              <w:spacing w:before="0" w:after="0"/>
              <w:jc w:val="right"/>
              <w:rPr>
                <w:rFonts w:ascii="Arial" w:hAnsi="Arial"/>
                <w:b/>
                <w:bCs/>
                <w:sz w:val="15"/>
                <w:szCs w:val="15"/>
                <w:highlight w:val="yellow"/>
                <w:lang w:val="en-AU"/>
              </w:rPr>
            </w:pPr>
            <w:r w:rsidRPr="007A2C2D">
              <w:rPr>
                <w:rFonts w:ascii="Arial" w:hAnsi="Arial"/>
                <w:b/>
                <w:bCs/>
                <w:sz w:val="16"/>
                <w:szCs w:val="16"/>
                <w:lang w:val="en-AU"/>
              </w:rPr>
              <w:t>987,922</w:t>
            </w:r>
          </w:p>
        </w:tc>
        <w:tc>
          <w:tcPr>
            <w:tcW w:w="930" w:type="dxa"/>
            <w:tcBorders>
              <w:top w:val="single" w:sz="4" w:space="0" w:color="auto"/>
              <w:left w:val="nil"/>
              <w:bottom w:val="single" w:sz="4" w:space="0" w:color="auto"/>
              <w:right w:val="nil"/>
            </w:tcBorders>
            <w:shd w:val="clear" w:color="auto" w:fill="auto"/>
            <w:noWrap/>
            <w:vAlign w:val="bottom"/>
          </w:tcPr>
          <w:p w14:paraId="0F92C565" w14:textId="3695AA87" w:rsidR="005C32EB" w:rsidRPr="00DA5E40" w:rsidRDefault="005C32EB" w:rsidP="00C40B37">
            <w:pPr>
              <w:spacing w:before="0" w:after="0"/>
              <w:jc w:val="right"/>
              <w:rPr>
                <w:rFonts w:ascii="Arial" w:hAnsi="Arial"/>
                <w:b/>
                <w:bCs/>
                <w:sz w:val="15"/>
                <w:szCs w:val="15"/>
                <w:highlight w:val="yellow"/>
                <w:lang w:val="en-AU"/>
              </w:rPr>
            </w:pPr>
            <w:r w:rsidRPr="007A2C2D">
              <w:rPr>
                <w:rFonts w:ascii="Arial" w:hAnsi="Arial"/>
                <w:b/>
                <w:bCs/>
                <w:sz w:val="16"/>
                <w:szCs w:val="16"/>
                <w:lang w:val="en-AU"/>
              </w:rPr>
              <w:t>951,991</w:t>
            </w:r>
          </w:p>
        </w:tc>
        <w:tc>
          <w:tcPr>
            <w:tcW w:w="935" w:type="dxa"/>
            <w:tcBorders>
              <w:top w:val="single" w:sz="4" w:space="0" w:color="auto"/>
              <w:left w:val="nil"/>
              <w:bottom w:val="single" w:sz="4" w:space="0" w:color="auto"/>
              <w:right w:val="nil"/>
            </w:tcBorders>
            <w:shd w:val="clear" w:color="auto" w:fill="auto"/>
            <w:noWrap/>
            <w:vAlign w:val="bottom"/>
          </w:tcPr>
          <w:p w14:paraId="0CAB5F61" w14:textId="435DD959" w:rsidR="005C32EB" w:rsidRPr="00DA5E40" w:rsidRDefault="005C32EB" w:rsidP="00C40B37">
            <w:pPr>
              <w:spacing w:before="0" w:after="0"/>
              <w:jc w:val="right"/>
              <w:rPr>
                <w:rFonts w:ascii="Arial" w:hAnsi="Arial"/>
                <w:b/>
                <w:bCs/>
                <w:sz w:val="15"/>
                <w:szCs w:val="15"/>
                <w:highlight w:val="yellow"/>
                <w:lang w:val="en-AU"/>
              </w:rPr>
            </w:pPr>
            <w:r w:rsidRPr="007A2C2D">
              <w:rPr>
                <w:rFonts w:ascii="Arial" w:hAnsi="Arial"/>
                <w:b/>
                <w:bCs/>
                <w:sz w:val="16"/>
                <w:szCs w:val="16"/>
                <w:lang w:val="en-AU"/>
              </w:rPr>
              <w:t>919,638</w:t>
            </w:r>
          </w:p>
        </w:tc>
      </w:tr>
      <w:tr w:rsidR="005C32EB" w:rsidRPr="00243FB1" w14:paraId="3218937F" w14:textId="77777777" w:rsidTr="005C32EB">
        <w:trPr>
          <w:gridAfter w:val="1"/>
          <w:wAfter w:w="306" w:type="dxa"/>
          <w:trHeight w:val="227"/>
        </w:trPr>
        <w:tc>
          <w:tcPr>
            <w:tcW w:w="3352" w:type="dxa"/>
            <w:tcBorders>
              <w:top w:val="nil"/>
              <w:left w:val="nil"/>
              <w:bottom w:val="nil"/>
              <w:right w:val="nil"/>
            </w:tcBorders>
            <w:shd w:val="clear" w:color="auto" w:fill="auto"/>
            <w:vAlign w:val="bottom"/>
            <w:hideMark/>
          </w:tcPr>
          <w:p w14:paraId="570D4801" w14:textId="77777777" w:rsidR="005C32EB" w:rsidRPr="002B2BCC" w:rsidRDefault="005C32EB" w:rsidP="005C32EB">
            <w:pPr>
              <w:spacing w:before="0" w:after="0"/>
              <w:rPr>
                <w:rFonts w:ascii="Arial" w:hAnsi="Arial"/>
                <w:b/>
                <w:bCs/>
                <w:sz w:val="16"/>
                <w:szCs w:val="16"/>
                <w:lang w:val="en-AU"/>
              </w:rPr>
            </w:pPr>
            <w:r w:rsidRPr="002B2BCC">
              <w:rPr>
                <w:rFonts w:ascii="Arial" w:hAnsi="Arial"/>
                <w:b/>
                <w:bCs/>
                <w:sz w:val="16"/>
                <w:szCs w:val="16"/>
                <w:lang w:val="en-AU"/>
              </w:rPr>
              <w:t>Profit/(loss) before income tax</w:t>
            </w:r>
          </w:p>
        </w:tc>
        <w:tc>
          <w:tcPr>
            <w:tcW w:w="983" w:type="dxa"/>
            <w:tcBorders>
              <w:top w:val="nil"/>
              <w:left w:val="nil"/>
              <w:bottom w:val="single" w:sz="4" w:space="0" w:color="auto"/>
              <w:right w:val="nil"/>
            </w:tcBorders>
            <w:shd w:val="clear" w:color="auto" w:fill="auto"/>
            <w:noWrap/>
            <w:vAlign w:val="bottom"/>
          </w:tcPr>
          <w:p w14:paraId="3390425A" w14:textId="1D3CD0E4" w:rsidR="005C32EB" w:rsidRPr="00DA5E40" w:rsidRDefault="005C32EB" w:rsidP="00C40B37">
            <w:pPr>
              <w:spacing w:before="0" w:after="0"/>
              <w:jc w:val="right"/>
              <w:rPr>
                <w:rFonts w:ascii="Arial" w:hAnsi="Arial"/>
                <w:b/>
                <w:bCs/>
                <w:sz w:val="15"/>
                <w:szCs w:val="15"/>
                <w:highlight w:val="yellow"/>
                <w:lang w:val="en-AU"/>
              </w:rPr>
            </w:pPr>
            <w:r w:rsidRPr="007A2C2D">
              <w:rPr>
                <w:rFonts w:ascii="Arial" w:hAnsi="Arial"/>
                <w:b/>
                <w:bCs/>
                <w:sz w:val="16"/>
                <w:szCs w:val="16"/>
                <w:lang w:val="en-AU"/>
              </w:rPr>
              <w:t>27,011</w:t>
            </w:r>
          </w:p>
        </w:tc>
        <w:tc>
          <w:tcPr>
            <w:tcW w:w="928" w:type="dxa"/>
            <w:tcBorders>
              <w:top w:val="nil"/>
              <w:left w:val="nil"/>
              <w:bottom w:val="single" w:sz="4" w:space="0" w:color="auto"/>
              <w:right w:val="nil"/>
            </w:tcBorders>
            <w:shd w:val="clear" w:color="auto" w:fill="E6E6E6"/>
            <w:noWrap/>
            <w:vAlign w:val="bottom"/>
          </w:tcPr>
          <w:p w14:paraId="404E576E" w14:textId="39D022A1" w:rsidR="005C32EB" w:rsidRPr="00DA5E40" w:rsidRDefault="005C32EB" w:rsidP="00C40B37">
            <w:pPr>
              <w:spacing w:before="0" w:after="0"/>
              <w:jc w:val="right"/>
              <w:rPr>
                <w:rFonts w:ascii="Arial" w:hAnsi="Arial"/>
                <w:b/>
                <w:bCs/>
                <w:sz w:val="15"/>
                <w:szCs w:val="15"/>
                <w:highlight w:val="yellow"/>
                <w:lang w:val="en-AU"/>
              </w:rPr>
            </w:pPr>
            <w:r w:rsidRPr="007A2C2D">
              <w:rPr>
                <w:rFonts w:ascii="Arial" w:hAnsi="Arial"/>
                <w:b/>
                <w:bCs/>
                <w:sz w:val="16"/>
                <w:szCs w:val="16"/>
                <w:lang w:val="en-AU"/>
              </w:rPr>
              <w:t>101,136</w:t>
            </w:r>
          </w:p>
        </w:tc>
        <w:tc>
          <w:tcPr>
            <w:tcW w:w="930" w:type="dxa"/>
            <w:tcBorders>
              <w:top w:val="nil"/>
              <w:left w:val="nil"/>
              <w:bottom w:val="single" w:sz="4" w:space="0" w:color="auto"/>
              <w:right w:val="nil"/>
            </w:tcBorders>
            <w:shd w:val="clear" w:color="auto" w:fill="auto"/>
            <w:noWrap/>
            <w:vAlign w:val="bottom"/>
          </w:tcPr>
          <w:p w14:paraId="187CDD8C" w14:textId="714AABAC" w:rsidR="005C32EB" w:rsidRPr="00DA5E40" w:rsidRDefault="005C32EB" w:rsidP="00C40B37">
            <w:pPr>
              <w:spacing w:before="0" w:after="0"/>
              <w:jc w:val="right"/>
              <w:rPr>
                <w:rFonts w:ascii="Arial" w:hAnsi="Arial"/>
                <w:b/>
                <w:bCs/>
                <w:sz w:val="15"/>
                <w:szCs w:val="15"/>
                <w:highlight w:val="yellow"/>
                <w:lang w:val="en-AU"/>
              </w:rPr>
            </w:pPr>
            <w:r w:rsidRPr="007A2C2D">
              <w:rPr>
                <w:rFonts w:ascii="Arial" w:hAnsi="Arial"/>
                <w:b/>
                <w:bCs/>
                <w:sz w:val="16"/>
                <w:szCs w:val="16"/>
                <w:lang w:val="en-AU"/>
              </w:rPr>
              <w:t>92,615</w:t>
            </w:r>
          </w:p>
        </w:tc>
        <w:tc>
          <w:tcPr>
            <w:tcW w:w="930" w:type="dxa"/>
            <w:tcBorders>
              <w:top w:val="nil"/>
              <w:left w:val="nil"/>
              <w:bottom w:val="single" w:sz="4" w:space="0" w:color="auto"/>
              <w:right w:val="nil"/>
            </w:tcBorders>
            <w:shd w:val="clear" w:color="auto" w:fill="auto"/>
            <w:noWrap/>
            <w:vAlign w:val="bottom"/>
          </w:tcPr>
          <w:p w14:paraId="094BFB63" w14:textId="77429EDA" w:rsidR="005C32EB" w:rsidRPr="00DA5E40" w:rsidRDefault="005C32EB" w:rsidP="00C40B37">
            <w:pPr>
              <w:spacing w:before="0" w:after="0"/>
              <w:jc w:val="right"/>
              <w:rPr>
                <w:rFonts w:ascii="Arial" w:hAnsi="Arial"/>
                <w:b/>
                <w:bCs/>
                <w:sz w:val="15"/>
                <w:szCs w:val="15"/>
                <w:highlight w:val="yellow"/>
                <w:lang w:val="en-AU"/>
              </w:rPr>
            </w:pPr>
            <w:r w:rsidRPr="007A2C2D">
              <w:rPr>
                <w:rFonts w:ascii="Arial" w:hAnsi="Arial"/>
                <w:b/>
                <w:bCs/>
                <w:sz w:val="16"/>
                <w:szCs w:val="16"/>
                <w:lang w:val="en-AU"/>
              </w:rPr>
              <w:t>100,645</w:t>
            </w:r>
          </w:p>
        </w:tc>
        <w:tc>
          <w:tcPr>
            <w:tcW w:w="935" w:type="dxa"/>
            <w:tcBorders>
              <w:top w:val="nil"/>
              <w:left w:val="nil"/>
              <w:bottom w:val="single" w:sz="4" w:space="0" w:color="auto"/>
              <w:right w:val="nil"/>
            </w:tcBorders>
            <w:shd w:val="clear" w:color="auto" w:fill="auto"/>
            <w:noWrap/>
            <w:vAlign w:val="bottom"/>
          </w:tcPr>
          <w:p w14:paraId="42F7A8EE" w14:textId="21EF3ED7" w:rsidR="005C32EB" w:rsidRPr="00DA5E40" w:rsidRDefault="005C32EB" w:rsidP="00C40B37">
            <w:pPr>
              <w:spacing w:before="0" w:after="0"/>
              <w:jc w:val="right"/>
              <w:rPr>
                <w:rFonts w:ascii="Arial" w:hAnsi="Arial"/>
                <w:b/>
                <w:bCs/>
                <w:sz w:val="15"/>
                <w:szCs w:val="15"/>
                <w:highlight w:val="yellow"/>
                <w:lang w:val="en-AU"/>
              </w:rPr>
            </w:pPr>
            <w:r w:rsidRPr="007A2C2D">
              <w:rPr>
                <w:rFonts w:ascii="Arial" w:hAnsi="Arial"/>
                <w:b/>
                <w:bCs/>
                <w:sz w:val="16"/>
                <w:szCs w:val="16"/>
                <w:lang w:val="en-AU"/>
              </w:rPr>
              <w:t>25,520</w:t>
            </w:r>
          </w:p>
        </w:tc>
      </w:tr>
      <w:tr w:rsidR="005C32EB" w:rsidRPr="00243FB1" w14:paraId="314122B6" w14:textId="77777777" w:rsidTr="005C32EB">
        <w:trPr>
          <w:gridAfter w:val="1"/>
          <w:wAfter w:w="306" w:type="dxa"/>
          <w:trHeight w:val="227"/>
        </w:trPr>
        <w:tc>
          <w:tcPr>
            <w:tcW w:w="3352" w:type="dxa"/>
            <w:tcBorders>
              <w:top w:val="nil"/>
              <w:left w:val="nil"/>
              <w:bottom w:val="nil"/>
              <w:right w:val="nil"/>
            </w:tcBorders>
            <w:shd w:val="clear" w:color="auto" w:fill="auto"/>
            <w:vAlign w:val="bottom"/>
            <w:hideMark/>
          </w:tcPr>
          <w:p w14:paraId="73DF2B3A" w14:textId="77777777" w:rsidR="005C32EB" w:rsidRPr="002B2BCC" w:rsidRDefault="005C32EB" w:rsidP="00DC59EB">
            <w:pPr>
              <w:spacing w:before="0" w:after="0"/>
              <w:ind w:left="212"/>
              <w:rPr>
                <w:rFonts w:ascii="Arial" w:hAnsi="Arial"/>
                <w:sz w:val="16"/>
                <w:szCs w:val="16"/>
                <w:lang w:val="en-AU"/>
              </w:rPr>
            </w:pPr>
            <w:r w:rsidRPr="002B2BCC">
              <w:rPr>
                <w:rFonts w:ascii="Arial" w:hAnsi="Arial"/>
                <w:sz w:val="16"/>
                <w:szCs w:val="16"/>
                <w:lang w:val="en-AU"/>
              </w:rPr>
              <w:t>Income tax expense</w:t>
            </w:r>
          </w:p>
        </w:tc>
        <w:tc>
          <w:tcPr>
            <w:tcW w:w="983" w:type="dxa"/>
            <w:tcBorders>
              <w:top w:val="nil"/>
              <w:left w:val="nil"/>
              <w:bottom w:val="nil"/>
              <w:right w:val="nil"/>
            </w:tcBorders>
            <w:shd w:val="clear" w:color="auto" w:fill="auto"/>
            <w:noWrap/>
            <w:vAlign w:val="bottom"/>
          </w:tcPr>
          <w:p w14:paraId="538A43D5" w14:textId="04FDA58D" w:rsidR="005C32EB" w:rsidRPr="00DA5E40" w:rsidRDefault="005C32EB" w:rsidP="00C40B37">
            <w:pPr>
              <w:spacing w:before="0" w:after="0"/>
              <w:jc w:val="right"/>
              <w:rPr>
                <w:rFonts w:ascii="Arial" w:hAnsi="Arial"/>
                <w:sz w:val="15"/>
                <w:szCs w:val="15"/>
                <w:highlight w:val="yellow"/>
                <w:lang w:val="en-AU"/>
              </w:rPr>
            </w:pPr>
            <w:r w:rsidRPr="007A2C2D">
              <w:rPr>
                <w:rFonts w:ascii="Arial" w:hAnsi="Arial"/>
                <w:sz w:val="16"/>
                <w:szCs w:val="16"/>
                <w:lang w:val="en-AU"/>
              </w:rPr>
              <w:t>2,000</w:t>
            </w:r>
          </w:p>
        </w:tc>
        <w:tc>
          <w:tcPr>
            <w:tcW w:w="928" w:type="dxa"/>
            <w:tcBorders>
              <w:top w:val="nil"/>
              <w:left w:val="nil"/>
              <w:bottom w:val="nil"/>
              <w:right w:val="nil"/>
            </w:tcBorders>
            <w:shd w:val="clear" w:color="auto" w:fill="E6E6E6"/>
            <w:noWrap/>
            <w:vAlign w:val="bottom"/>
          </w:tcPr>
          <w:p w14:paraId="7A5934A4" w14:textId="56DD45A2" w:rsidR="005C32EB" w:rsidRPr="00DA5E40" w:rsidRDefault="005C32EB" w:rsidP="00C40B37">
            <w:pPr>
              <w:spacing w:before="0" w:after="0"/>
              <w:jc w:val="right"/>
              <w:rPr>
                <w:rFonts w:ascii="Arial" w:hAnsi="Arial"/>
                <w:bCs/>
                <w:sz w:val="15"/>
                <w:szCs w:val="15"/>
                <w:highlight w:val="yellow"/>
                <w:lang w:val="en-AU"/>
              </w:rPr>
            </w:pPr>
            <w:r w:rsidRPr="007A2C2D">
              <w:rPr>
                <w:rFonts w:ascii="Arial" w:hAnsi="Arial"/>
                <w:sz w:val="16"/>
                <w:szCs w:val="16"/>
                <w:lang w:val="en-AU"/>
              </w:rPr>
              <w:t>22,962</w:t>
            </w:r>
          </w:p>
        </w:tc>
        <w:tc>
          <w:tcPr>
            <w:tcW w:w="930" w:type="dxa"/>
            <w:tcBorders>
              <w:top w:val="nil"/>
              <w:left w:val="nil"/>
              <w:bottom w:val="nil"/>
              <w:right w:val="nil"/>
            </w:tcBorders>
            <w:shd w:val="clear" w:color="auto" w:fill="auto"/>
            <w:noWrap/>
            <w:vAlign w:val="bottom"/>
          </w:tcPr>
          <w:p w14:paraId="4B4577DB" w14:textId="43B6B47B" w:rsidR="005C32EB" w:rsidRPr="00DA5E40" w:rsidRDefault="005C32EB" w:rsidP="00C40B37">
            <w:pPr>
              <w:spacing w:before="0" w:after="0"/>
              <w:jc w:val="right"/>
              <w:rPr>
                <w:rFonts w:ascii="Arial" w:hAnsi="Arial"/>
                <w:sz w:val="15"/>
                <w:szCs w:val="15"/>
                <w:highlight w:val="yellow"/>
                <w:lang w:val="en-AU"/>
              </w:rPr>
            </w:pPr>
            <w:r w:rsidRPr="007A2C2D">
              <w:rPr>
                <w:rFonts w:ascii="Arial" w:hAnsi="Arial"/>
                <w:sz w:val="16"/>
                <w:szCs w:val="16"/>
                <w:lang w:val="en-AU"/>
              </w:rPr>
              <w:t>21,244</w:t>
            </w:r>
          </w:p>
        </w:tc>
        <w:tc>
          <w:tcPr>
            <w:tcW w:w="930" w:type="dxa"/>
            <w:tcBorders>
              <w:top w:val="nil"/>
              <w:left w:val="nil"/>
              <w:bottom w:val="nil"/>
              <w:right w:val="nil"/>
            </w:tcBorders>
            <w:shd w:val="clear" w:color="auto" w:fill="auto"/>
            <w:noWrap/>
            <w:vAlign w:val="bottom"/>
          </w:tcPr>
          <w:p w14:paraId="4313E533" w14:textId="09F09FCE" w:rsidR="005C32EB" w:rsidRPr="00DA5E40" w:rsidRDefault="005C32EB" w:rsidP="00C40B37">
            <w:pPr>
              <w:spacing w:before="0" w:after="0"/>
              <w:jc w:val="right"/>
              <w:rPr>
                <w:rFonts w:ascii="Arial" w:hAnsi="Arial"/>
                <w:sz w:val="15"/>
                <w:szCs w:val="15"/>
                <w:highlight w:val="yellow"/>
                <w:lang w:val="en-AU"/>
              </w:rPr>
            </w:pPr>
            <w:r w:rsidRPr="007A2C2D">
              <w:rPr>
                <w:rFonts w:ascii="Arial" w:hAnsi="Arial"/>
                <w:sz w:val="16"/>
                <w:szCs w:val="16"/>
                <w:lang w:val="en-AU"/>
              </w:rPr>
              <w:t>23,088</w:t>
            </w:r>
          </w:p>
        </w:tc>
        <w:tc>
          <w:tcPr>
            <w:tcW w:w="935" w:type="dxa"/>
            <w:tcBorders>
              <w:top w:val="nil"/>
              <w:left w:val="nil"/>
              <w:bottom w:val="nil"/>
              <w:right w:val="nil"/>
            </w:tcBorders>
            <w:shd w:val="clear" w:color="auto" w:fill="auto"/>
            <w:noWrap/>
            <w:vAlign w:val="bottom"/>
          </w:tcPr>
          <w:p w14:paraId="6D4CAACB" w14:textId="11B0AE53" w:rsidR="005C32EB" w:rsidRPr="00DA5E40" w:rsidRDefault="005C32EB" w:rsidP="00C40B37">
            <w:pPr>
              <w:spacing w:before="0" w:after="0"/>
              <w:jc w:val="right"/>
              <w:rPr>
                <w:rFonts w:ascii="Arial" w:hAnsi="Arial"/>
                <w:sz w:val="15"/>
                <w:szCs w:val="15"/>
                <w:highlight w:val="yellow"/>
                <w:lang w:val="en-AU"/>
              </w:rPr>
            </w:pPr>
            <w:r w:rsidRPr="007A2C2D">
              <w:rPr>
                <w:rFonts w:ascii="Arial" w:hAnsi="Arial"/>
                <w:sz w:val="16"/>
                <w:szCs w:val="16"/>
                <w:lang w:val="en-AU"/>
              </w:rPr>
              <w:t>10,167</w:t>
            </w:r>
          </w:p>
        </w:tc>
      </w:tr>
      <w:tr w:rsidR="005C32EB" w:rsidRPr="00243FB1" w14:paraId="426930CF" w14:textId="77777777" w:rsidTr="005C32EB">
        <w:trPr>
          <w:gridAfter w:val="1"/>
          <w:wAfter w:w="306" w:type="dxa"/>
          <w:trHeight w:val="227"/>
        </w:trPr>
        <w:tc>
          <w:tcPr>
            <w:tcW w:w="3352" w:type="dxa"/>
            <w:tcBorders>
              <w:top w:val="nil"/>
              <w:left w:val="nil"/>
              <w:bottom w:val="nil"/>
              <w:right w:val="nil"/>
            </w:tcBorders>
            <w:shd w:val="clear" w:color="auto" w:fill="auto"/>
            <w:vAlign w:val="bottom"/>
            <w:hideMark/>
          </w:tcPr>
          <w:p w14:paraId="2ADD686D" w14:textId="77777777" w:rsidR="005C32EB" w:rsidRPr="002B2BCC" w:rsidRDefault="005C32EB" w:rsidP="005C32EB">
            <w:pPr>
              <w:spacing w:before="0" w:after="0"/>
              <w:rPr>
                <w:rFonts w:ascii="Arial" w:hAnsi="Arial"/>
                <w:b/>
                <w:bCs/>
                <w:sz w:val="16"/>
                <w:szCs w:val="16"/>
                <w:lang w:val="en-AU"/>
              </w:rPr>
            </w:pPr>
            <w:r w:rsidRPr="002B2BCC">
              <w:rPr>
                <w:rFonts w:ascii="Arial" w:hAnsi="Arial"/>
                <w:b/>
                <w:bCs/>
                <w:sz w:val="16"/>
                <w:szCs w:val="16"/>
                <w:lang w:val="en-AU"/>
              </w:rPr>
              <w:t>Net profit/(loss)</w:t>
            </w:r>
          </w:p>
        </w:tc>
        <w:tc>
          <w:tcPr>
            <w:tcW w:w="983" w:type="dxa"/>
            <w:tcBorders>
              <w:top w:val="single" w:sz="4" w:space="0" w:color="auto"/>
              <w:left w:val="nil"/>
              <w:bottom w:val="single" w:sz="4" w:space="0" w:color="auto"/>
              <w:right w:val="nil"/>
            </w:tcBorders>
            <w:shd w:val="clear" w:color="auto" w:fill="auto"/>
            <w:noWrap/>
            <w:vAlign w:val="bottom"/>
          </w:tcPr>
          <w:p w14:paraId="0AFBDBF1" w14:textId="2569A853" w:rsidR="005C32EB" w:rsidRPr="00DA5E40" w:rsidRDefault="005C32EB" w:rsidP="00C40B37">
            <w:pPr>
              <w:spacing w:before="0" w:after="0"/>
              <w:jc w:val="right"/>
              <w:rPr>
                <w:rFonts w:ascii="Arial" w:hAnsi="Arial"/>
                <w:b/>
                <w:bCs/>
                <w:sz w:val="15"/>
                <w:szCs w:val="15"/>
                <w:highlight w:val="yellow"/>
                <w:lang w:val="en-AU"/>
              </w:rPr>
            </w:pPr>
            <w:r w:rsidRPr="007A2C2D">
              <w:rPr>
                <w:rFonts w:ascii="Arial" w:hAnsi="Arial"/>
                <w:b/>
                <w:bCs/>
                <w:sz w:val="16"/>
                <w:szCs w:val="16"/>
                <w:lang w:val="en-AU"/>
              </w:rPr>
              <w:t>25,011</w:t>
            </w:r>
          </w:p>
        </w:tc>
        <w:tc>
          <w:tcPr>
            <w:tcW w:w="928" w:type="dxa"/>
            <w:tcBorders>
              <w:top w:val="single" w:sz="4" w:space="0" w:color="auto"/>
              <w:left w:val="nil"/>
              <w:bottom w:val="single" w:sz="4" w:space="0" w:color="auto"/>
              <w:right w:val="nil"/>
            </w:tcBorders>
            <w:shd w:val="clear" w:color="auto" w:fill="E6E6E6"/>
            <w:noWrap/>
            <w:vAlign w:val="bottom"/>
          </w:tcPr>
          <w:p w14:paraId="7B3164D2" w14:textId="44173489" w:rsidR="005C32EB" w:rsidRPr="00DA5E40" w:rsidRDefault="005C32EB" w:rsidP="00C40B37">
            <w:pPr>
              <w:spacing w:before="0" w:after="0"/>
              <w:jc w:val="right"/>
              <w:rPr>
                <w:rFonts w:ascii="Arial" w:hAnsi="Arial"/>
                <w:b/>
                <w:bCs/>
                <w:sz w:val="15"/>
                <w:szCs w:val="15"/>
                <w:highlight w:val="yellow"/>
                <w:lang w:val="en-AU"/>
              </w:rPr>
            </w:pPr>
            <w:r w:rsidRPr="007A2C2D">
              <w:rPr>
                <w:rFonts w:ascii="Arial" w:hAnsi="Arial"/>
                <w:b/>
                <w:bCs/>
                <w:sz w:val="16"/>
                <w:szCs w:val="16"/>
                <w:lang w:val="en-AU"/>
              </w:rPr>
              <w:t>78,174</w:t>
            </w:r>
          </w:p>
        </w:tc>
        <w:tc>
          <w:tcPr>
            <w:tcW w:w="930" w:type="dxa"/>
            <w:tcBorders>
              <w:top w:val="single" w:sz="4" w:space="0" w:color="auto"/>
              <w:left w:val="nil"/>
              <w:bottom w:val="single" w:sz="4" w:space="0" w:color="auto"/>
              <w:right w:val="nil"/>
            </w:tcBorders>
            <w:shd w:val="clear" w:color="auto" w:fill="auto"/>
            <w:noWrap/>
            <w:vAlign w:val="bottom"/>
          </w:tcPr>
          <w:p w14:paraId="30F5B5F0" w14:textId="408A5F74" w:rsidR="005C32EB" w:rsidRPr="00DA5E40" w:rsidRDefault="005C32EB" w:rsidP="00C40B37">
            <w:pPr>
              <w:spacing w:before="0" w:after="0"/>
              <w:jc w:val="right"/>
              <w:rPr>
                <w:rFonts w:ascii="Arial" w:hAnsi="Arial"/>
                <w:b/>
                <w:bCs/>
                <w:sz w:val="15"/>
                <w:szCs w:val="15"/>
                <w:highlight w:val="yellow"/>
                <w:lang w:val="en-AU"/>
              </w:rPr>
            </w:pPr>
            <w:r w:rsidRPr="007A2C2D">
              <w:rPr>
                <w:rFonts w:ascii="Arial" w:hAnsi="Arial"/>
                <w:b/>
                <w:bCs/>
                <w:sz w:val="16"/>
                <w:szCs w:val="16"/>
                <w:lang w:val="en-AU"/>
              </w:rPr>
              <w:t>71,371</w:t>
            </w:r>
          </w:p>
        </w:tc>
        <w:tc>
          <w:tcPr>
            <w:tcW w:w="930" w:type="dxa"/>
            <w:tcBorders>
              <w:top w:val="single" w:sz="4" w:space="0" w:color="auto"/>
              <w:left w:val="nil"/>
              <w:bottom w:val="single" w:sz="4" w:space="0" w:color="auto"/>
              <w:right w:val="nil"/>
            </w:tcBorders>
            <w:shd w:val="clear" w:color="auto" w:fill="auto"/>
            <w:noWrap/>
            <w:vAlign w:val="bottom"/>
          </w:tcPr>
          <w:p w14:paraId="5D519685" w14:textId="5BD92323" w:rsidR="005C32EB" w:rsidRPr="00DA5E40" w:rsidRDefault="005C32EB" w:rsidP="00C40B37">
            <w:pPr>
              <w:spacing w:before="0" w:after="0"/>
              <w:jc w:val="right"/>
              <w:rPr>
                <w:rFonts w:ascii="Arial" w:hAnsi="Arial"/>
                <w:b/>
                <w:bCs/>
                <w:sz w:val="15"/>
                <w:szCs w:val="15"/>
                <w:highlight w:val="yellow"/>
                <w:lang w:val="en-AU"/>
              </w:rPr>
            </w:pPr>
            <w:r w:rsidRPr="007A2C2D">
              <w:rPr>
                <w:rFonts w:ascii="Arial" w:hAnsi="Arial"/>
                <w:b/>
                <w:bCs/>
                <w:sz w:val="16"/>
                <w:szCs w:val="16"/>
                <w:lang w:val="en-AU"/>
              </w:rPr>
              <w:t>77,557</w:t>
            </w:r>
          </w:p>
        </w:tc>
        <w:tc>
          <w:tcPr>
            <w:tcW w:w="935" w:type="dxa"/>
            <w:tcBorders>
              <w:top w:val="single" w:sz="4" w:space="0" w:color="auto"/>
              <w:left w:val="nil"/>
              <w:bottom w:val="single" w:sz="4" w:space="0" w:color="auto"/>
              <w:right w:val="nil"/>
            </w:tcBorders>
            <w:shd w:val="clear" w:color="auto" w:fill="auto"/>
            <w:noWrap/>
            <w:vAlign w:val="bottom"/>
          </w:tcPr>
          <w:p w14:paraId="1E086075" w14:textId="1685A64D" w:rsidR="005C32EB" w:rsidRPr="00DA5E40" w:rsidRDefault="005C32EB" w:rsidP="00C40B37">
            <w:pPr>
              <w:spacing w:before="0" w:after="0"/>
              <w:jc w:val="right"/>
              <w:rPr>
                <w:rFonts w:ascii="Arial" w:hAnsi="Arial"/>
                <w:b/>
                <w:bCs/>
                <w:sz w:val="15"/>
                <w:szCs w:val="15"/>
                <w:highlight w:val="yellow"/>
                <w:lang w:val="en-AU"/>
              </w:rPr>
            </w:pPr>
            <w:r w:rsidRPr="007A2C2D">
              <w:rPr>
                <w:rFonts w:ascii="Arial" w:hAnsi="Arial"/>
                <w:b/>
                <w:bCs/>
                <w:sz w:val="16"/>
                <w:szCs w:val="16"/>
                <w:lang w:val="en-AU"/>
              </w:rPr>
              <w:t>15,353</w:t>
            </w:r>
          </w:p>
        </w:tc>
      </w:tr>
      <w:tr w:rsidR="005C32EB" w:rsidRPr="00243FB1" w14:paraId="6FB7B69E" w14:textId="77777777" w:rsidTr="005C32EB">
        <w:trPr>
          <w:gridAfter w:val="1"/>
          <w:wAfter w:w="306" w:type="dxa"/>
          <w:trHeight w:val="392"/>
        </w:trPr>
        <w:tc>
          <w:tcPr>
            <w:tcW w:w="3352" w:type="dxa"/>
            <w:tcBorders>
              <w:top w:val="nil"/>
              <w:left w:val="nil"/>
              <w:bottom w:val="nil"/>
              <w:right w:val="nil"/>
            </w:tcBorders>
            <w:shd w:val="clear" w:color="auto" w:fill="auto"/>
            <w:vAlign w:val="bottom"/>
            <w:hideMark/>
          </w:tcPr>
          <w:p w14:paraId="588259E7" w14:textId="3BDA9D7B" w:rsidR="005C32EB" w:rsidRPr="002B2BCC" w:rsidRDefault="005C32EB" w:rsidP="000E78A7">
            <w:pPr>
              <w:spacing w:before="0" w:after="0"/>
              <w:ind w:left="70" w:hanging="70"/>
              <w:rPr>
                <w:rFonts w:ascii="Arial" w:hAnsi="Arial"/>
                <w:b/>
                <w:bCs/>
                <w:sz w:val="16"/>
                <w:szCs w:val="16"/>
                <w:lang w:val="en-AU"/>
              </w:rPr>
            </w:pPr>
            <w:r w:rsidRPr="002B2BCC">
              <w:rPr>
                <w:rFonts w:ascii="Arial" w:hAnsi="Arial"/>
                <w:b/>
                <w:bCs/>
                <w:sz w:val="16"/>
                <w:szCs w:val="16"/>
                <w:lang w:val="en-AU"/>
              </w:rPr>
              <w:t>Profit/(loss) attributable to the</w:t>
            </w:r>
            <w:r w:rsidR="000E78A7">
              <w:rPr>
                <w:rFonts w:ascii="Arial" w:hAnsi="Arial"/>
                <w:b/>
                <w:bCs/>
                <w:sz w:val="16"/>
                <w:szCs w:val="16"/>
                <w:lang w:val="en-AU"/>
              </w:rPr>
              <w:t xml:space="preserve"> </w:t>
            </w:r>
            <w:r w:rsidRPr="002B2BCC">
              <w:rPr>
                <w:rFonts w:ascii="Arial" w:hAnsi="Arial"/>
                <w:b/>
                <w:bCs/>
                <w:sz w:val="16"/>
                <w:szCs w:val="16"/>
                <w:lang w:val="en-AU"/>
              </w:rPr>
              <w:t>Australian</w:t>
            </w:r>
            <w:r w:rsidR="000E78A7">
              <w:rPr>
                <w:rFonts w:ascii="Arial" w:hAnsi="Arial"/>
                <w:b/>
                <w:bCs/>
                <w:sz w:val="16"/>
                <w:szCs w:val="16"/>
                <w:lang w:val="en-AU"/>
              </w:rPr>
              <w:t> </w:t>
            </w:r>
            <w:r w:rsidRPr="002B2BCC">
              <w:rPr>
                <w:rFonts w:ascii="Arial" w:hAnsi="Arial"/>
                <w:b/>
                <w:bCs/>
                <w:sz w:val="16"/>
                <w:szCs w:val="16"/>
                <w:lang w:val="en-AU"/>
              </w:rPr>
              <w:t>Government</w:t>
            </w:r>
          </w:p>
        </w:tc>
        <w:tc>
          <w:tcPr>
            <w:tcW w:w="983" w:type="dxa"/>
            <w:tcBorders>
              <w:top w:val="nil"/>
              <w:left w:val="nil"/>
              <w:bottom w:val="single" w:sz="4" w:space="0" w:color="auto"/>
              <w:right w:val="nil"/>
            </w:tcBorders>
            <w:shd w:val="clear" w:color="auto" w:fill="auto"/>
            <w:noWrap/>
            <w:vAlign w:val="bottom"/>
          </w:tcPr>
          <w:p w14:paraId="1BBFD18E" w14:textId="3B797125" w:rsidR="005C32EB" w:rsidRPr="00DA5E40" w:rsidRDefault="005C32EB" w:rsidP="00C40B37">
            <w:pPr>
              <w:spacing w:before="0" w:after="0"/>
              <w:jc w:val="right"/>
              <w:rPr>
                <w:rFonts w:ascii="Arial" w:hAnsi="Arial"/>
                <w:b/>
                <w:bCs/>
                <w:sz w:val="15"/>
                <w:szCs w:val="15"/>
                <w:highlight w:val="yellow"/>
                <w:lang w:val="en-AU"/>
              </w:rPr>
            </w:pPr>
            <w:r w:rsidRPr="007A2C2D">
              <w:rPr>
                <w:rFonts w:ascii="Arial" w:hAnsi="Arial"/>
                <w:b/>
                <w:bCs/>
                <w:sz w:val="16"/>
                <w:szCs w:val="16"/>
                <w:lang w:val="en-AU"/>
              </w:rPr>
              <w:t>25,011</w:t>
            </w:r>
          </w:p>
        </w:tc>
        <w:tc>
          <w:tcPr>
            <w:tcW w:w="928" w:type="dxa"/>
            <w:tcBorders>
              <w:top w:val="nil"/>
              <w:left w:val="nil"/>
              <w:bottom w:val="single" w:sz="4" w:space="0" w:color="auto"/>
              <w:right w:val="nil"/>
            </w:tcBorders>
            <w:shd w:val="clear" w:color="auto" w:fill="E6E6E6"/>
            <w:noWrap/>
            <w:vAlign w:val="bottom"/>
          </w:tcPr>
          <w:p w14:paraId="28D6F7E0" w14:textId="40EC9A82" w:rsidR="005C32EB" w:rsidRPr="00DA5E40" w:rsidRDefault="005C32EB" w:rsidP="00C40B37">
            <w:pPr>
              <w:spacing w:before="0" w:after="0"/>
              <w:jc w:val="right"/>
              <w:rPr>
                <w:rFonts w:ascii="Arial" w:hAnsi="Arial"/>
                <w:b/>
                <w:bCs/>
                <w:sz w:val="15"/>
                <w:szCs w:val="15"/>
                <w:highlight w:val="yellow"/>
                <w:lang w:val="en-AU"/>
              </w:rPr>
            </w:pPr>
            <w:r w:rsidRPr="007A2C2D">
              <w:rPr>
                <w:rFonts w:ascii="Arial" w:hAnsi="Arial"/>
                <w:b/>
                <w:bCs/>
                <w:sz w:val="16"/>
                <w:szCs w:val="16"/>
                <w:lang w:val="en-AU"/>
              </w:rPr>
              <w:t>78,174</w:t>
            </w:r>
          </w:p>
        </w:tc>
        <w:tc>
          <w:tcPr>
            <w:tcW w:w="930" w:type="dxa"/>
            <w:tcBorders>
              <w:top w:val="nil"/>
              <w:left w:val="nil"/>
              <w:bottom w:val="single" w:sz="4" w:space="0" w:color="auto"/>
              <w:right w:val="nil"/>
            </w:tcBorders>
            <w:shd w:val="clear" w:color="auto" w:fill="auto"/>
            <w:noWrap/>
            <w:vAlign w:val="bottom"/>
          </w:tcPr>
          <w:p w14:paraId="59F00432" w14:textId="459608E5" w:rsidR="005C32EB" w:rsidRPr="00DA5E40" w:rsidRDefault="005C32EB" w:rsidP="00C40B37">
            <w:pPr>
              <w:spacing w:before="0" w:after="0"/>
              <w:jc w:val="right"/>
              <w:rPr>
                <w:rFonts w:ascii="Arial" w:hAnsi="Arial"/>
                <w:b/>
                <w:bCs/>
                <w:sz w:val="15"/>
                <w:szCs w:val="15"/>
                <w:highlight w:val="yellow"/>
                <w:lang w:val="en-AU"/>
              </w:rPr>
            </w:pPr>
            <w:r w:rsidRPr="007A2C2D">
              <w:rPr>
                <w:rFonts w:ascii="Arial" w:hAnsi="Arial"/>
                <w:b/>
                <w:bCs/>
                <w:sz w:val="16"/>
                <w:szCs w:val="16"/>
                <w:lang w:val="en-AU"/>
              </w:rPr>
              <w:t>71,371</w:t>
            </w:r>
          </w:p>
        </w:tc>
        <w:tc>
          <w:tcPr>
            <w:tcW w:w="930" w:type="dxa"/>
            <w:tcBorders>
              <w:top w:val="nil"/>
              <w:left w:val="nil"/>
              <w:bottom w:val="single" w:sz="4" w:space="0" w:color="auto"/>
              <w:right w:val="nil"/>
            </w:tcBorders>
            <w:shd w:val="clear" w:color="auto" w:fill="auto"/>
            <w:noWrap/>
            <w:vAlign w:val="bottom"/>
          </w:tcPr>
          <w:p w14:paraId="67DDD85D" w14:textId="75CE52BF" w:rsidR="005C32EB" w:rsidRPr="00DA5E40" w:rsidRDefault="005C32EB" w:rsidP="00C40B37">
            <w:pPr>
              <w:spacing w:before="0" w:after="0"/>
              <w:jc w:val="right"/>
              <w:rPr>
                <w:rFonts w:ascii="Arial" w:hAnsi="Arial"/>
                <w:b/>
                <w:bCs/>
                <w:sz w:val="15"/>
                <w:szCs w:val="15"/>
                <w:highlight w:val="yellow"/>
                <w:lang w:val="en-AU"/>
              </w:rPr>
            </w:pPr>
            <w:r w:rsidRPr="007A2C2D">
              <w:rPr>
                <w:rFonts w:ascii="Arial" w:hAnsi="Arial"/>
                <w:b/>
                <w:bCs/>
                <w:sz w:val="16"/>
                <w:szCs w:val="16"/>
                <w:lang w:val="en-AU"/>
              </w:rPr>
              <w:t>77,557</w:t>
            </w:r>
          </w:p>
        </w:tc>
        <w:tc>
          <w:tcPr>
            <w:tcW w:w="935" w:type="dxa"/>
            <w:tcBorders>
              <w:top w:val="nil"/>
              <w:left w:val="nil"/>
              <w:bottom w:val="single" w:sz="4" w:space="0" w:color="auto"/>
              <w:right w:val="nil"/>
            </w:tcBorders>
            <w:shd w:val="clear" w:color="auto" w:fill="auto"/>
            <w:noWrap/>
            <w:vAlign w:val="bottom"/>
          </w:tcPr>
          <w:p w14:paraId="44C25EB2" w14:textId="022374AB" w:rsidR="005C32EB" w:rsidRPr="00DA5E40" w:rsidRDefault="005C32EB" w:rsidP="00C40B37">
            <w:pPr>
              <w:spacing w:before="0" w:after="0"/>
              <w:jc w:val="right"/>
              <w:rPr>
                <w:rFonts w:ascii="Arial" w:hAnsi="Arial"/>
                <w:b/>
                <w:bCs/>
                <w:sz w:val="15"/>
                <w:szCs w:val="15"/>
                <w:highlight w:val="yellow"/>
                <w:lang w:val="en-AU"/>
              </w:rPr>
            </w:pPr>
            <w:r w:rsidRPr="007A2C2D">
              <w:rPr>
                <w:rFonts w:ascii="Arial" w:hAnsi="Arial"/>
                <w:b/>
                <w:bCs/>
                <w:sz w:val="16"/>
                <w:szCs w:val="16"/>
                <w:lang w:val="en-AU"/>
              </w:rPr>
              <w:t>15,353</w:t>
            </w:r>
          </w:p>
        </w:tc>
      </w:tr>
      <w:tr w:rsidR="005C32EB" w:rsidRPr="00243FB1" w14:paraId="00086DE3" w14:textId="77777777" w:rsidTr="009B00F0">
        <w:trPr>
          <w:gridAfter w:val="1"/>
          <w:wAfter w:w="306" w:type="dxa"/>
          <w:trHeight w:val="314"/>
        </w:trPr>
        <w:tc>
          <w:tcPr>
            <w:tcW w:w="3352" w:type="dxa"/>
            <w:tcBorders>
              <w:top w:val="nil"/>
              <w:left w:val="nil"/>
              <w:bottom w:val="single" w:sz="4" w:space="0" w:color="auto"/>
              <w:right w:val="nil"/>
            </w:tcBorders>
            <w:shd w:val="clear" w:color="auto" w:fill="auto"/>
            <w:hideMark/>
          </w:tcPr>
          <w:p w14:paraId="75E5B113" w14:textId="6240FA73" w:rsidR="005C32EB" w:rsidRPr="002B2BCC" w:rsidRDefault="005C32EB" w:rsidP="009B00F0">
            <w:pPr>
              <w:spacing w:before="0" w:after="0"/>
              <w:ind w:left="70" w:hanging="70"/>
              <w:rPr>
                <w:rFonts w:ascii="Arial" w:hAnsi="Arial"/>
                <w:b/>
                <w:bCs/>
                <w:sz w:val="16"/>
                <w:szCs w:val="16"/>
                <w:lang w:val="en-AU"/>
              </w:rPr>
            </w:pPr>
            <w:r w:rsidRPr="002B2BCC">
              <w:rPr>
                <w:rFonts w:ascii="Arial" w:hAnsi="Arial"/>
                <w:b/>
                <w:bCs/>
                <w:sz w:val="16"/>
                <w:szCs w:val="16"/>
                <w:lang w:val="en-AU"/>
              </w:rPr>
              <w:t>Total comprehensive income attributable to the Australian</w:t>
            </w:r>
            <w:r w:rsidR="000E78A7">
              <w:rPr>
                <w:rFonts w:ascii="Arial" w:hAnsi="Arial"/>
                <w:b/>
                <w:bCs/>
                <w:sz w:val="16"/>
                <w:szCs w:val="16"/>
                <w:lang w:val="en-AU"/>
              </w:rPr>
              <w:t xml:space="preserve"> </w:t>
            </w:r>
            <w:r w:rsidRPr="002B2BCC">
              <w:rPr>
                <w:rFonts w:ascii="Arial" w:hAnsi="Arial"/>
                <w:b/>
                <w:bCs/>
                <w:sz w:val="16"/>
                <w:szCs w:val="16"/>
                <w:lang w:val="en-AU"/>
              </w:rPr>
              <w:t>Government</w:t>
            </w:r>
          </w:p>
        </w:tc>
        <w:tc>
          <w:tcPr>
            <w:tcW w:w="983" w:type="dxa"/>
            <w:tcBorders>
              <w:top w:val="nil"/>
              <w:left w:val="nil"/>
              <w:bottom w:val="single" w:sz="4" w:space="0" w:color="auto"/>
              <w:right w:val="nil"/>
            </w:tcBorders>
            <w:shd w:val="clear" w:color="auto" w:fill="auto"/>
            <w:noWrap/>
            <w:vAlign w:val="bottom"/>
          </w:tcPr>
          <w:p w14:paraId="07C7127A" w14:textId="3A6C2BEA" w:rsidR="005C32EB" w:rsidRPr="00DA5E40" w:rsidRDefault="005C32EB" w:rsidP="009B00F0">
            <w:pPr>
              <w:spacing w:before="0" w:after="0"/>
              <w:jc w:val="right"/>
              <w:rPr>
                <w:rFonts w:ascii="Arial" w:hAnsi="Arial"/>
                <w:b/>
                <w:bCs/>
                <w:sz w:val="15"/>
                <w:szCs w:val="15"/>
                <w:highlight w:val="yellow"/>
                <w:lang w:val="en-AU"/>
              </w:rPr>
            </w:pPr>
            <w:r w:rsidRPr="007A2C2D">
              <w:rPr>
                <w:rFonts w:ascii="Arial" w:hAnsi="Arial"/>
                <w:b/>
                <w:bCs/>
                <w:sz w:val="16"/>
                <w:szCs w:val="16"/>
                <w:lang w:val="en-AU"/>
              </w:rPr>
              <w:t>25,011</w:t>
            </w:r>
          </w:p>
        </w:tc>
        <w:tc>
          <w:tcPr>
            <w:tcW w:w="928" w:type="dxa"/>
            <w:tcBorders>
              <w:top w:val="nil"/>
              <w:left w:val="nil"/>
              <w:bottom w:val="single" w:sz="4" w:space="0" w:color="auto"/>
              <w:right w:val="nil"/>
            </w:tcBorders>
            <w:shd w:val="clear" w:color="auto" w:fill="E6E6E6"/>
            <w:noWrap/>
            <w:vAlign w:val="bottom"/>
          </w:tcPr>
          <w:p w14:paraId="7B1C8D6F" w14:textId="77B6C257" w:rsidR="005C32EB" w:rsidRPr="00DA5E40" w:rsidRDefault="005C32EB" w:rsidP="009B00F0">
            <w:pPr>
              <w:spacing w:before="0" w:after="0"/>
              <w:jc w:val="right"/>
              <w:rPr>
                <w:rFonts w:ascii="Arial" w:hAnsi="Arial"/>
                <w:b/>
                <w:bCs/>
                <w:sz w:val="15"/>
                <w:szCs w:val="15"/>
                <w:highlight w:val="yellow"/>
                <w:lang w:val="en-AU"/>
              </w:rPr>
            </w:pPr>
            <w:r w:rsidRPr="007A2C2D">
              <w:rPr>
                <w:rFonts w:ascii="Arial" w:hAnsi="Arial"/>
                <w:b/>
                <w:bCs/>
                <w:sz w:val="16"/>
                <w:szCs w:val="16"/>
                <w:lang w:val="en-AU"/>
              </w:rPr>
              <w:t>78,174</w:t>
            </w:r>
          </w:p>
        </w:tc>
        <w:tc>
          <w:tcPr>
            <w:tcW w:w="930" w:type="dxa"/>
            <w:tcBorders>
              <w:top w:val="nil"/>
              <w:left w:val="nil"/>
              <w:bottom w:val="single" w:sz="4" w:space="0" w:color="auto"/>
              <w:right w:val="nil"/>
            </w:tcBorders>
            <w:shd w:val="clear" w:color="auto" w:fill="auto"/>
            <w:noWrap/>
            <w:vAlign w:val="bottom"/>
          </w:tcPr>
          <w:p w14:paraId="116AE798" w14:textId="5C1DBF92" w:rsidR="005C32EB" w:rsidRPr="00DA5E40" w:rsidRDefault="005C32EB" w:rsidP="009B00F0">
            <w:pPr>
              <w:spacing w:before="0" w:after="0"/>
              <w:jc w:val="right"/>
              <w:rPr>
                <w:rFonts w:ascii="Arial" w:hAnsi="Arial"/>
                <w:b/>
                <w:bCs/>
                <w:sz w:val="15"/>
                <w:szCs w:val="15"/>
                <w:highlight w:val="yellow"/>
                <w:lang w:val="en-AU"/>
              </w:rPr>
            </w:pPr>
            <w:r w:rsidRPr="007A2C2D">
              <w:rPr>
                <w:rFonts w:ascii="Arial" w:hAnsi="Arial"/>
                <w:b/>
                <w:bCs/>
                <w:sz w:val="16"/>
                <w:szCs w:val="16"/>
                <w:lang w:val="en-AU"/>
              </w:rPr>
              <w:t>71,371</w:t>
            </w:r>
          </w:p>
        </w:tc>
        <w:tc>
          <w:tcPr>
            <w:tcW w:w="930" w:type="dxa"/>
            <w:tcBorders>
              <w:top w:val="nil"/>
              <w:left w:val="nil"/>
              <w:bottom w:val="single" w:sz="4" w:space="0" w:color="auto"/>
              <w:right w:val="nil"/>
            </w:tcBorders>
            <w:shd w:val="clear" w:color="auto" w:fill="auto"/>
            <w:noWrap/>
            <w:vAlign w:val="bottom"/>
          </w:tcPr>
          <w:p w14:paraId="4D4366E5" w14:textId="15AC5D3F" w:rsidR="005C32EB" w:rsidRPr="00DA5E40" w:rsidRDefault="005C32EB" w:rsidP="009B00F0">
            <w:pPr>
              <w:spacing w:before="0" w:after="0"/>
              <w:jc w:val="right"/>
              <w:rPr>
                <w:rFonts w:ascii="Arial" w:hAnsi="Arial"/>
                <w:b/>
                <w:bCs/>
                <w:sz w:val="15"/>
                <w:szCs w:val="15"/>
                <w:highlight w:val="yellow"/>
                <w:lang w:val="en-AU"/>
              </w:rPr>
            </w:pPr>
            <w:r w:rsidRPr="007A2C2D">
              <w:rPr>
                <w:rFonts w:ascii="Arial" w:hAnsi="Arial"/>
                <w:b/>
                <w:bCs/>
                <w:sz w:val="16"/>
                <w:szCs w:val="16"/>
                <w:lang w:val="en-AU"/>
              </w:rPr>
              <w:t>77,557</w:t>
            </w:r>
          </w:p>
        </w:tc>
        <w:tc>
          <w:tcPr>
            <w:tcW w:w="935" w:type="dxa"/>
            <w:tcBorders>
              <w:top w:val="nil"/>
              <w:left w:val="nil"/>
              <w:bottom w:val="single" w:sz="4" w:space="0" w:color="auto"/>
              <w:right w:val="nil"/>
            </w:tcBorders>
            <w:shd w:val="clear" w:color="auto" w:fill="auto"/>
            <w:noWrap/>
            <w:vAlign w:val="bottom"/>
          </w:tcPr>
          <w:p w14:paraId="2DCF2D45" w14:textId="769F0082" w:rsidR="005C32EB" w:rsidRPr="00DA5E40" w:rsidRDefault="005C32EB" w:rsidP="009B00F0">
            <w:pPr>
              <w:spacing w:before="0" w:after="0"/>
              <w:jc w:val="right"/>
              <w:rPr>
                <w:rFonts w:ascii="Arial" w:hAnsi="Arial"/>
                <w:b/>
                <w:bCs/>
                <w:sz w:val="15"/>
                <w:szCs w:val="15"/>
                <w:highlight w:val="yellow"/>
                <w:lang w:val="en-AU"/>
              </w:rPr>
            </w:pPr>
            <w:r w:rsidRPr="007A2C2D">
              <w:rPr>
                <w:rFonts w:ascii="Arial" w:hAnsi="Arial"/>
                <w:b/>
                <w:bCs/>
                <w:sz w:val="16"/>
                <w:szCs w:val="16"/>
                <w:lang w:val="en-AU"/>
              </w:rPr>
              <w:t>15,353</w:t>
            </w:r>
          </w:p>
        </w:tc>
      </w:tr>
      <w:tr w:rsidR="005C32EB" w:rsidRPr="0092461A" w14:paraId="6EE389E0" w14:textId="77777777" w:rsidTr="005C32EB">
        <w:trPr>
          <w:gridAfter w:val="1"/>
          <w:wAfter w:w="306" w:type="dxa"/>
          <w:trHeight w:val="353"/>
        </w:trPr>
        <w:tc>
          <w:tcPr>
            <w:tcW w:w="5263" w:type="dxa"/>
            <w:gridSpan w:val="3"/>
            <w:tcBorders>
              <w:top w:val="nil"/>
              <w:left w:val="nil"/>
              <w:bottom w:val="nil"/>
              <w:right w:val="nil"/>
            </w:tcBorders>
            <w:shd w:val="clear" w:color="auto" w:fill="auto"/>
            <w:noWrap/>
            <w:vAlign w:val="bottom"/>
          </w:tcPr>
          <w:p w14:paraId="5E6C4B52" w14:textId="77777777" w:rsidR="005C32EB" w:rsidRPr="0092461A" w:rsidRDefault="005C32EB" w:rsidP="005C32EB">
            <w:pPr>
              <w:spacing w:before="0" w:after="0"/>
              <w:rPr>
                <w:rFonts w:ascii="Arial" w:hAnsi="Arial"/>
                <w:b/>
                <w:bCs/>
                <w:color w:val="000000"/>
                <w:sz w:val="16"/>
                <w:szCs w:val="16"/>
                <w:lang w:val="en-AU"/>
              </w:rPr>
            </w:pPr>
            <w:r w:rsidRPr="0092461A">
              <w:rPr>
                <w:rFonts w:ascii="Arial" w:hAnsi="Arial"/>
                <w:b/>
                <w:bCs/>
                <w:color w:val="000000"/>
                <w:sz w:val="16"/>
                <w:szCs w:val="16"/>
                <w:lang w:val="en-AU"/>
              </w:rPr>
              <w:t>Note: Impact of Net Cash Appropriation Arrangements</w:t>
            </w:r>
          </w:p>
        </w:tc>
        <w:tc>
          <w:tcPr>
            <w:tcW w:w="930" w:type="dxa"/>
            <w:tcBorders>
              <w:top w:val="nil"/>
              <w:left w:val="nil"/>
              <w:bottom w:val="nil"/>
              <w:right w:val="nil"/>
            </w:tcBorders>
            <w:shd w:val="clear" w:color="auto" w:fill="auto"/>
            <w:noWrap/>
            <w:vAlign w:val="bottom"/>
          </w:tcPr>
          <w:p w14:paraId="7B9268EC" w14:textId="77777777" w:rsidR="005C32EB" w:rsidRPr="0092461A" w:rsidRDefault="005C32EB" w:rsidP="005C32EB">
            <w:pPr>
              <w:spacing w:before="0" w:after="0"/>
              <w:rPr>
                <w:rFonts w:ascii="Arial" w:hAnsi="Arial"/>
                <w:b/>
                <w:bCs/>
                <w:color w:val="000000"/>
                <w:sz w:val="16"/>
                <w:szCs w:val="16"/>
                <w:lang w:val="en-AU"/>
              </w:rPr>
            </w:pPr>
          </w:p>
        </w:tc>
        <w:tc>
          <w:tcPr>
            <w:tcW w:w="930" w:type="dxa"/>
            <w:tcBorders>
              <w:top w:val="nil"/>
              <w:left w:val="nil"/>
              <w:bottom w:val="nil"/>
              <w:right w:val="nil"/>
            </w:tcBorders>
            <w:shd w:val="clear" w:color="auto" w:fill="auto"/>
            <w:noWrap/>
            <w:vAlign w:val="bottom"/>
          </w:tcPr>
          <w:p w14:paraId="3AD00EEF" w14:textId="77777777" w:rsidR="005C32EB" w:rsidRPr="0092461A" w:rsidRDefault="005C32EB" w:rsidP="005C32EB">
            <w:pPr>
              <w:spacing w:before="0" w:after="0"/>
              <w:jc w:val="right"/>
              <w:rPr>
                <w:rFonts w:ascii="Arial" w:hAnsi="Arial"/>
                <w:sz w:val="16"/>
                <w:szCs w:val="16"/>
                <w:lang w:val="en-AU"/>
              </w:rPr>
            </w:pPr>
          </w:p>
        </w:tc>
        <w:tc>
          <w:tcPr>
            <w:tcW w:w="935" w:type="dxa"/>
            <w:tcBorders>
              <w:top w:val="nil"/>
              <w:left w:val="nil"/>
              <w:bottom w:val="nil"/>
              <w:right w:val="nil"/>
            </w:tcBorders>
            <w:shd w:val="clear" w:color="auto" w:fill="auto"/>
            <w:noWrap/>
            <w:vAlign w:val="bottom"/>
          </w:tcPr>
          <w:p w14:paraId="5AD9C190" w14:textId="77777777" w:rsidR="005C32EB" w:rsidRPr="0092461A" w:rsidRDefault="005C32EB" w:rsidP="005C32EB">
            <w:pPr>
              <w:spacing w:before="0" w:after="0"/>
              <w:jc w:val="right"/>
              <w:rPr>
                <w:rFonts w:ascii="Arial" w:hAnsi="Arial"/>
                <w:sz w:val="16"/>
                <w:szCs w:val="16"/>
                <w:lang w:val="en-AU"/>
              </w:rPr>
            </w:pPr>
          </w:p>
        </w:tc>
      </w:tr>
      <w:tr w:rsidR="005C32EB" w:rsidRPr="00243FB1" w14:paraId="496767D2" w14:textId="77777777" w:rsidTr="005C32EB">
        <w:trPr>
          <w:gridAfter w:val="1"/>
          <w:wAfter w:w="306" w:type="dxa"/>
          <w:trHeight w:val="784"/>
        </w:trPr>
        <w:tc>
          <w:tcPr>
            <w:tcW w:w="3352" w:type="dxa"/>
            <w:tcBorders>
              <w:top w:val="single" w:sz="4" w:space="0" w:color="auto"/>
              <w:left w:val="nil"/>
              <w:bottom w:val="single" w:sz="4" w:space="0" w:color="auto"/>
              <w:right w:val="nil"/>
            </w:tcBorders>
            <w:shd w:val="clear" w:color="auto" w:fill="auto"/>
            <w:vAlign w:val="bottom"/>
          </w:tcPr>
          <w:p w14:paraId="2A2D4B0A" w14:textId="77777777" w:rsidR="005C32EB" w:rsidRPr="002B2BCC" w:rsidRDefault="005C32EB" w:rsidP="005C32EB">
            <w:pPr>
              <w:spacing w:before="0" w:after="0"/>
              <w:rPr>
                <w:rFonts w:ascii="Arial" w:hAnsi="Arial"/>
                <w:sz w:val="16"/>
                <w:szCs w:val="16"/>
                <w:lang w:val="en-AU"/>
              </w:rPr>
            </w:pPr>
          </w:p>
        </w:tc>
        <w:tc>
          <w:tcPr>
            <w:tcW w:w="983" w:type="dxa"/>
            <w:tcBorders>
              <w:top w:val="single" w:sz="4" w:space="0" w:color="auto"/>
              <w:left w:val="nil"/>
              <w:bottom w:val="single" w:sz="4" w:space="0" w:color="auto"/>
              <w:right w:val="nil"/>
            </w:tcBorders>
            <w:shd w:val="clear" w:color="auto" w:fill="auto"/>
            <w:vAlign w:val="center"/>
          </w:tcPr>
          <w:p w14:paraId="26A4916E" w14:textId="2EBFEC42" w:rsidR="005C32EB" w:rsidRPr="00A03996" w:rsidRDefault="005C32EB" w:rsidP="005C32EB">
            <w:pPr>
              <w:spacing w:before="0" w:after="0"/>
              <w:jc w:val="right"/>
              <w:rPr>
                <w:rFonts w:ascii="Arial" w:hAnsi="Arial"/>
                <w:b/>
                <w:color w:val="000000"/>
                <w:sz w:val="16"/>
                <w:szCs w:val="16"/>
                <w:lang w:val="en-AU"/>
              </w:rPr>
            </w:pPr>
            <w:r w:rsidRPr="00A03996">
              <w:rPr>
                <w:rFonts w:ascii="Arial" w:hAnsi="Arial"/>
                <w:b/>
                <w:color w:val="000000"/>
                <w:sz w:val="16"/>
                <w:szCs w:val="16"/>
                <w:lang w:val="en-AU"/>
              </w:rPr>
              <w:t>202</w:t>
            </w:r>
            <w:r>
              <w:rPr>
                <w:rFonts w:ascii="Arial" w:hAnsi="Arial"/>
                <w:b/>
                <w:color w:val="000000"/>
                <w:sz w:val="16"/>
                <w:szCs w:val="16"/>
                <w:lang w:val="en-AU"/>
              </w:rPr>
              <w:t>4</w:t>
            </w:r>
            <w:r w:rsidRPr="00A03996">
              <w:rPr>
                <w:rFonts w:ascii="Arial" w:hAnsi="Arial"/>
                <w:b/>
                <w:color w:val="000000"/>
                <w:sz w:val="16"/>
                <w:szCs w:val="16"/>
                <w:lang w:val="en-AU"/>
              </w:rPr>
              <w:t>-2</w:t>
            </w:r>
            <w:r>
              <w:rPr>
                <w:rFonts w:ascii="Arial" w:hAnsi="Arial"/>
                <w:b/>
                <w:color w:val="000000"/>
                <w:sz w:val="16"/>
                <w:szCs w:val="16"/>
                <w:lang w:val="en-AU"/>
              </w:rPr>
              <w:t>5</w:t>
            </w:r>
            <w:r w:rsidRPr="00A03996">
              <w:rPr>
                <w:rFonts w:ascii="Arial" w:hAnsi="Arial"/>
                <w:b/>
                <w:color w:val="000000"/>
                <w:sz w:val="16"/>
                <w:szCs w:val="16"/>
                <w:lang w:val="en-AU"/>
              </w:rPr>
              <w:t xml:space="preserve"> Estimated </w:t>
            </w:r>
            <w:r>
              <w:rPr>
                <w:rFonts w:ascii="Arial" w:hAnsi="Arial"/>
                <w:b/>
                <w:color w:val="000000"/>
                <w:sz w:val="16"/>
                <w:szCs w:val="16"/>
                <w:lang w:val="en-AU"/>
              </w:rPr>
              <w:t>A</w:t>
            </w:r>
            <w:r w:rsidRPr="00A03996">
              <w:rPr>
                <w:rFonts w:ascii="Arial" w:hAnsi="Arial"/>
                <w:b/>
                <w:color w:val="000000"/>
                <w:sz w:val="16"/>
                <w:szCs w:val="16"/>
                <w:lang w:val="en-AU"/>
              </w:rPr>
              <w:t>ctual</w:t>
            </w:r>
            <w:r w:rsidRPr="00A03996">
              <w:rPr>
                <w:rFonts w:ascii="Arial" w:hAnsi="Arial"/>
                <w:b/>
                <w:color w:val="000000"/>
                <w:sz w:val="16"/>
                <w:szCs w:val="16"/>
                <w:lang w:val="en-AU"/>
              </w:rPr>
              <w:br/>
              <w:t>$'000</w:t>
            </w:r>
          </w:p>
        </w:tc>
        <w:tc>
          <w:tcPr>
            <w:tcW w:w="928" w:type="dxa"/>
            <w:tcBorders>
              <w:top w:val="single" w:sz="4" w:space="0" w:color="auto"/>
              <w:left w:val="nil"/>
              <w:bottom w:val="single" w:sz="4" w:space="0" w:color="auto"/>
              <w:right w:val="nil"/>
            </w:tcBorders>
            <w:shd w:val="clear" w:color="auto" w:fill="E6E6E6"/>
            <w:vAlign w:val="center"/>
          </w:tcPr>
          <w:p w14:paraId="126BF7CA" w14:textId="610D98B0" w:rsidR="005C32EB" w:rsidRPr="00A03996" w:rsidRDefault="005C32EB" w:rsidP="005C32EB">
            <w:pPr>
              <w:spacing w:before="0" w:after="0"/>
              <w:jc w:val="right"/>
              <w:rPr>
                <w:rFonts w:ascii="Arial" w:hAnsi="Arial"/>
                <w:b/>
                <w:color w:val="000000"/>
                <w:sz w:val="16"/>
                <w:szCs w:val="16"/>
                <w:lang w:val="en-AU"/>
              </w:rPr>
            </w:pPr>
            <w:r w:rsidRPr="00A03996">
              <w:rPr>
                <w:rFonts w:ascii="Arial" w:hAnsi="Arial"/>
                <w:b/>
                <w:color w:val="000000"/>
                <w:sz w:val="16"/>
                <w:szCs w:val="16"/>
                <w:lang w:val="en-AU"/>
              </w:rPr>
              <w:t>202</w:t>
            </w:r>
            <w:r>
              <w:rPr>
                <w:rFonts w:ascii="Arial" w:hAnsi="Arial"/>
                <w:b/>
                <w:color w:val="000000"/>
                <w:sz w:val="16"/>
                <w:szCs w:val="16"/>
                <w:lang w:val="en-AU"/>
              </w:rPr>
              <w:t>5</w:t>
            </w:r>
            <w:r w:rsidRPr="00A03996">
              <w:rPr>
                <w:rFonts w:ascii="Arial" w:hAnsi="Arial"/>
                <w:b/>
                <w:color w:val="000000"/>
                <w:sz w:val="16"/>
                <w:szCs w:val="16"/>
                <w:lang w:val="en-AU"/>
              </w:rPr>
              <w:t>-2</w:t>
            </w:r>
            <w:r>
              <w:rPr>
                <w:rFonts w:ascii="Arial" w:hAnsi="Arial"/>
                <w:b/>
                <w:color w:val="000000"/>
                <w:sz w:val="16"/>
                <w:szCs w:val="16"/>
                <w:lang w:val="en-AU"/>
              </w:rPr>
              <w:t>6</w:t>
            </w:r>
            <w:r w:rsidRPr="00A03996">
              <w:rPr>
                <w:rFonts w:ascii="Arial" w:hAnsi="Arial"/>
                <w:b/>
                <w:color w:val="000000"/>
                <w:sz w:val="16"/>
                <w:szCs w:val="16"/>
                <w:lang w:val="en-AU"/>
              </w:rPr>
              <w:br/>
              <w:t>Budget</w:t>
            </w:r>
            <w:r w:rsidRPr="00A03996">
              <w:rPr>
                <w:rFonts w:ascii="Arial" w:hAnsi="Arial"/>
                <w:b/>
                <w:color w:val="000000"/>
                <w:sz w:val="16"/>
                <w:szCs w:val="16"/>
                <w:lang w:val="en-AU"/>
              </w:rPr>
              <w:br/>
              <w:t>Estimate</w:t>
            </w:r>
            <w:r w:rsidRPr="00A03996">
              <w:rPr>
                <w:rFonts w:ascii="Arial" w:hAnsi="Arial"/>
                <w:b/>
                <w:color w:val="000000"/>
                <w:sz w:val="16"/>
                <w:szCs w:val="16"/>
                <w:lang w:val="en-AU"/>
              </w:rPr>
              <w:br/>
              <w:t>$'000</w:t>
            </w:r>
          </w:p>
        </w:tc>
        <w:tc>
          <w:tcPr>
            <w:tcW w:w="930" w:type="dxa"/>
            <w:tcBorders>
              <w:top w:val="single" w:sz="4" w:space="0" w:color="auto"/>
              <w:left w:val="nil"/>
              <w:bottom w:val="single" w:sz="4" w:space="0" w:color="auto"/>
              <w:right w:val="nil"/>
            </w:tcBorders>
            <w:shd w:val="clear" w:color="auto" w:fill="auto"/>
            <w:vAlign w:val="center"/>
          </w:tcPr>
          <w:p w14:paraId="530DB728" w14:textId="6D653DE2" w:rsidR="005C32EB" w:rsidRPr="00A03996" w:rsidRDefault="005C32EB" w:rsidP="005C32EB">
            <w:pPr>
              <w:spacing w:before="0" w:after="0"/>
              <w:jc w:val="right"/>
              <w:rPr>
                <w:rFonts w:ascii="Arial" w:hAnsi="Arial"/>
                <w:b/>
                <w:color w:val="000000"/>
                <w:sz w:val="16"/>
                <w:szCs w:val="16"/>
                <w:lang w:val="en-AU"/>
              </w:rPr>
            </w:pPr>
            <w:r w:rsidRPr="00A03996">
              <w:rPr>
                <w:rFonts w:ascii="Arial" w:hAnsi="Arial"/>
                <w:b/>
                <w:color w:val="000000"/>
                <w:sz w:val="16"/>
                <w:szCs w:val="16"/>
                <w:lang w:val="en-AU"/>
              </w:rPr>
              <w:t>202</w:t>
            </w:r>
            <w:r>
              <w:rPr>
                <w:rFonts w:ascii="Arial" w:hAnsi="Arial"/>
                <w:b/>
                <w:color w:val="000000"/>
                <w:sz w:val="16"/>
                <w:szCs w:val="16"/>
                <w:lang w:val="en-AU"/>
              </w:rPr>
              <w:t>6</w:t>
            </w:r>
            <w:r w:rsidRPr="00A03996">
              <w:rPr>
                <w:rFonts w:ascii="Arial" w:hAnsi="Arial"/>
                <w:b/>
                <w:color w:val="000000"/>
                <w:sz w:val="16"/>
                <w:szCs w:val="16"/>
                <w:lang w:val="en-AU"/>
              </w:rPr>
              <w:t>-2</w:t>
            </w:r>
            <w:r>
              <w:rPr>
                <w:rFonts w:ascii="Arial" w:hAnsi="Arial"/>
                <w:b/>
                <w:color w:val="000000"/>
                <w:sz w:val="16"/>
                <w:szCs w:val="16"/>
                <w:lang w:val="en-AU"/>
              </w:rPr>
              <w:t>7</w:t>
            </w:r>
            <w:r w:rsidRPr="00A03996">
              <w:rPr>
                <w:rFonts w:ascii="Arial" w:hAnsi="Arial"/>
                <w:b/>
                <w:color w:val="000000"/>
                <w:sz w:val="16"/>
                <w:szCs w:val="16"/>
                <w:lang w:val="en-AU"/>
              </w:rPr>
              <w:t xml:space="preserve"> Forward Estimate</w:t>
            </w:r>
            <w:r w:rsidRPr="00A03996">
              <w:rPr>
                <w:rFonts w:ascii="Arial" w:hAnsi="Arial"/>
                <w:b/>
                <w:color w:val="000000"/>
                <w:sz w:val="16"/>
                <w:szCs w:val="16"/>
                <w:lang w:val="en-AU"/>
              </w:rPr>
              <w:br/>
              <w:t>$'000</w:t>
            </w:r>
          </w:p>
        </w:tc>
        <w:tc>
          <w:tcPr>
            <w:tcW w:w="930" w:type="dxa"/>
            <w:tcBorders>
              <w:top w:val="single" w:sz="4" w:space="0" w:color="auto"/>
              <w:left w:val="nil"/>
              <w:bottom w:val="single" w:sz="4" w:space="0" w:color="auto"/>
              <w:right w:val="nil"/>
            </w:tcBorders>
            <w:shd w:val="clear" w:color="auto" w:fill="auto"/>
            <w:vAlign w:val="center"/>
          </w:tcPr>
          <w:p w14:paraId="50384AE7" w14:textId="65624917" w:rsidR="005C32EB" w:rsidRPr="00A03996" w:rsidRDefault="005C32EB" w:rsidP="005C32EB">
            <w:pPr>
              <w:spacing w:before="0" w:after="0"/>
              <w:jc w:val="right"/>
              <w:rPr>
                <w:rFonts w:ascii="Arial" w:hAnsi="Arial"/>
                <w:b/>
                <w:color w:val="000000"/>
                <w:sz w:val="16"/>
                <w:szCs w:val="16"/>
                <w:lang w:val="en-AU"/>
              </w:rPr>
            </w:pPr>
            <w:r w:rsidRPr="00A03996">
              <w:rPr>
                <w:rFonts w:ascii="Arial" w:hAnsi="Arial"/>
                <w:b/>
                <w:color w:val="000000"/>
                <w:sz w:val="16"/>
                <w:szCs w:val="16"/>
                <w:lang w:val="en-AU"/>
              </w:rPr>
              <w:t>202</w:t>
            </w:r>
            <w:r>
              <w:rPr>
                <w:rFonts w:ascii="Arial" w:hAnsi="Arial"/>
                <w:b/>
                <w:color w:val="000000"/>
                <w:sz w:val="16"/>
                <w:szCs w:val="16"/>
                <w:lang w:val="en-AU"/>
              </w:rPr>
              <w:t>7</w:t>
            </w:r>
            <w:r w:rsidRPr="00A03996">
              <w:rPr>
                <w:rFonts w:ascii="Arial" w:hAnsi="Arial"/>
                <w:b/>
                <w:color w:val="000000"/>
                <w:sz w:val="16"/>
                <w:szCs w:val="16"/>
                <w:lang w:val="en-AU"/>
              </w:rPr>
              <w:t>-2</w:t>
            </w:r>
            <w:r>
              <w:rPr>
                <w:rFonts w:ascii="Arial" w:hAnsi="Arial"/>
                <w:b/>
                <w:color w:val="000000"/>
                <w:sz w:val="16"/>
                <w:szCs w:val="16"/>
                <w:lang w:val="en-AU"/>
              </w:rPr>
              <w:t>8</w:t>
            </w:r>
            <w:r w:rsidRPr="00A03996">
              <w:rPr>
                <w:rFonts w:ascii="Arial" w:hAnsi="Arial"/>
                <w:b/>
                <w:color w:val="000000"/>
                <w:sz w:val="16"/>
                <w:szCs w:val="16"/>
                <w:lang w:val="en-AU"/>
              </w:rPr>
              <w:t xml:space="preserve"> Forward Estimate</w:t>
            </w:r>
            <w:r w:rsidRPr="00A03996">
              <w:rPr>
                <w:rFonts w:ascii="Arial" w:hAnsi="Arial"/>
                <w:b/>
                <w:color w:val="000000"/>
                <w:sz w:val="16"/>
                <w:szCs w:val="16"/>
                <w:lang w:val="en-AU"/>
              </w:rPr>
              <w:br/>
              <w:t>$'000</w:t>
            </w:r>
          </w:p>
        </w:tc>
        <w:tc>
          <w:tcPr>
            <w:tcW w:w="935" w:type="dxa"/>
            <w:tcBorders>
              <w:top w:val="single" w:sz="4" w:space="0" w:color="auto"/>
              <w:left w:val="nil"/>
              <w:bottom w:val="single" w:sz="4" w:space="0" w:color="auto"/>
              <w:right w:val="nil"/>
            </w:tcBorders>
            <w:shd w:val="clear" w:color="auto" w:fill="auto"/>
            <w:vAlign w:val="center"/>
          </w:tcPr>
          <w:p w14:paraId="1A9E63CD" w14:textId="41378B36" w:rsidR="005C32EB" w:rsidRPr="00A03996" w:rsidRDefault="005C32EB" w:rsidP="005C32EB">
            <w:pPr>
              <w:spacing w:before="0" w:after="0"/>
              <w:jc w:val="right"/>
              <w:rPr>
                <w:rFonts w:ascii="Arial" w:hAnsi="Arial"/>
                <w:b/>
                <w:color w:val="000000"/>
                <w:sz w:val="16"/>
                <w:szCs w:val="16"/>
                <w:lang w:val="en-AU"/>
              </w:rPr>
            </w:pPr>
            <w:r w:rsidRPr="00A03996">
              <w:rPr>
                <w:rFonts w:ascii="Arial" w:hAnsi="Arial"/>
                <w:b/>
                <w:color w:val="000000"/>
                <w:sz w:val="16"/>
                <w:szCs w:val="16"/>
                <w:lang w:val="en-AU"/>
              </w:rPr>
              <w:t>202</w:t>
            </w:r>
            <w:r>
              <w:rPr>
                <w:rFonts w:ascii="Arial" w:hAnsi="Arial"/>
                <w:b/>
                <w:color w:val="000000"/>
                <w:sz w:val="16"/>
                <w:szCs w:val="16"/>
                <w:lang w:val="en-AU"/>
              </w:rPr>
              <w:t>8</w:t>
            </w:r>
            <w:r w:rsidRPr="00A03996">
              <w:rPr>
                <w:rFonts w:ascii="Arial" w:hAnsi="Arial"/>
                <w:b/>
                <w:color w:val="000000"/>
                <w:sz w:val="16"/>
                <w:szCs w:val="16"/>
                <w:lang w:val="en-AU"/>
              </w:rPr>
              <w:t>-2</w:t>
            </w:r>
            <w:r>
              <w:rPr>
                <w:rFonts w:ascii="Arial" w:hAnsi="Arial"/>
                <w:b/>
                <w:color w:val="000000"/>
                <w:sz w:val="16"/>
                <w:szCs w:val="16"/>
                <w:lang w:val="en-AU"/>
              </w:rPr>
              <w:t>9</w:t>
            </w:r>
            <w:r w:rsidRPr="00A03996">
              <w:rPr>
                <w:rFonts w:ascii="Arial" w:hAnsi="Arial"/>
                <w:b/>
                <w:color w:val="000000"/>
                <w:sz w:val="16"/>
                <w:szCs w:val="16"/>
                <w:lang w:val="en-AU"/>
              </w:rPr>
              <w:br/>
              <w:t>Forward Estimate</w:t>
            </w:r>
            <w:r w:rsidRPr="00A03996">
              <w:rPr>
                <w:rFonts w:ascii="Arial" w:hAnsi="Arial"/>
                <w:b/>
                <w:color w:val="000000"/>
                <w:sz w:val="16"/>
                <w:szCs w:val="16"/>
                <w:lang w:val="en-AU"/>
              </w:rPr>
              <w:br/>
              <w:t>$'000</w:t>
            </w:r>
          </w:p>
        </w:tc>
      </w:tr>
      <w:tr w:rsidR="005C32EB" w:rsidRPr="00243FB1" w14:paraId="3A721036" w14:textId="77777777" w:rsidTr="005C32EB">
        <w:trPr>
          <w:gridAfter w:val="1"/>
          <w:wAfter w:w="306" w:type="dxa"/>
          <w:trHeight w:val="454"/>
        </w:trPr>
        <w:tc>
          <w:tcPr>
            <w:tcW w:w="3352" w:type="dxa"/>
            <w:tcBorders>
              <w:top w:val="single" w:sz="4" w:space="0" w:color="auto"/>
              <w:left w:val="nil"/>
              <w:bottom w:val="nil"/>
              <w:right w:val="nil"/>
            </w:tcBorders>
            <w:shd w:val="clear" w:color="auto" w:fill="auto"/>
          </w:tcPr>
          <w:p w14:paraId="1F06AD8C" w14:textId="77777777" w:rsidR="005C32EB" w:rsidRPr="002B2BCC" w:rsidRDefault="005C32EB" w:rsidP="005C32EB">
            <w:pPr>
              <w:spacing w:before="0" w:after="0"/>
              <w:rPr>
                <w:rFonts w:ascii="Arial" w:hAnsi="Arial"/>
                <w:b/>
                <w:bCs/>
                <w:color w:val="000000"/>
                <w:sz w:val="16"/>
                <w:szCs w:val="16"/>
                <w:lang w:val="en-AU"/>
              </w:rPr>
            </w:pPr>
            <w:r w:rsidRPr="002B2BCC">
              <w:rPr>
                <w:rFonts w:ascii="Arial" w:hAnsi="Arial"/>
                <w:b/>
                <w:bCs/>
                <w:sz w:val="16"/>
                <w:szCs w:val="16"/>
                <w:lang w:val="en-AU"/>
              </w:rPr>
              <w:t>Total comprehensive income/(loss) as per statement of Comprehensive Income</w:t>
            </w:r>
          </w:p>
        </w:tc>
        <w:tc>
          <w:tcPr>
            <w:tcW w:w="983" w:type="dxa"/>
            <w:tcBorders>
              <w:top w:val="nil"/>
              <w:left w:val="nil"/>
              <w:bottom w:val="nil"/>
              <w:right w:val="nil"/>
            </w:tcBorders>
            <w:shd w:val="clear" w:color="auto" w:fill="auto"/>
            <w:noWrap/>
            <w:vAlign w:val="bottom"/>
          </w:tcPr>
          <w:p w14:paraId="5E3C878F" w14:textId="70DF3ECE" w:rsidR="005C32EB" w:rsidRPr="00DA5E40" w:rsidRDefault="005C32EB" w:rsidP="00C40B37">
            <w:pPr>
              <w:spacing w:before="0" w:after="0"/>
              <w:jc w:val="right"/>
              <w:rPr>
                <w:rFonts w:ascii="Arial" w:hAnsi="Arial"/>
                <w:b/>
                <w:bCs/>
                <w:color w:val="000000"/>
                <w:sz w:val="15"/>
                <w:szCs w:val="15"/>
                <w:highlight w:val="yellow"/>
                <w:lang w:val="en-AU"/>
              </w:rPr>
            </w:pPr>
            <w:r w:rsidRPr="007A2C2D">
              <w:rPr>
                <w:rFonts w:ascii="Arial" w:hAnsi="Arial"/>
                <w:b/>
                <w:bCs/>
                <w:color w:val="000000"/>
                <w:sz w:val="16"/>
                <w:szCs w:val="16"/>
                <w:lang w:val="en-AU"/>
              </w:rPr>
              <w:t>25,011</w:t>
            </w:r>
          </w:p>
        </w:tc>
        <w:tc>
          <w:tcPr>
            <w:tcW w:w="928" w:type="dxa"/>
            <w:tcBorders>
              <w:top w:val="nil"/>
              <w:left w:val="nil"/>
              <w:bottom w:val="nil"/>
              <w:right w:val="nil"/>
            </w:tcBorders>
            <w:shd w:val="clear" w:color="auto" w:fill="E6E6E6"/>
            <w:noWrap/>
            <w:vAlign w:val="bottom"/>
          </w:tcPr>
          <w:p w14:paraId="53295F86" w14:textId="536B5EA0" w:rsidR="005C32EB" w:rsidRPr="00DA5E40" w:rsidRDefault="00C40B37" w:rsidP="005C32EB">
            <w:pPr>
              <w:spacing w:before="0" w:after="0"/>
              <w:jc w:val="right"/>
              <w:rPr>
                <w:rFonts w:ascii="Arial" w:hAnsi="Arial"/>
                <w:b/>
                <w:bCs/>
                <w:color w:val="000000"/>
                <w:sz w:val="15"/>
                <w:szCs w:val="15"/>
                <w:highlight w:val="yellow"/>
                <w:lang w:val="en-AU"/>
              </w:rPr>
            </w:pPr>
            <w:r>
              <w:rPr>
                <w:rFonts w:ascii="Arial" w:hAnsi="Arial"/>
                <w:b/>
                <w:bCs/>
                <w:color w:val="000000"/>
                <w:sz w:val="16"/>
                <w:szCs w:val="16"/>
                <w:lang w:val="en-AU"/>
              </w:rPr>
              <w:t>78,174</w:t>
            </w:r>
          </w:p>
        </w:tc>
        <w:tc>
          <w:tcPr>
            <w:tcW w:w="930" w:type="dxa"/>
            <w:tcBorders>
              <w:top w:val="nil"/>
              <w:left w:val="nil"/>
              <w:bottom w:val="nil"/>
              <w:right w:val="nil"/>
            </w:tcBorders>
            <w:shd w:val="clear" w:color="auto" w:fill="auto"/>
            <w:noWrap/>
            <w:vAlign w:val="bottom"/>
          </w:tcPr>
          <w:p w14:paraId="75428B11" w14:textId="1A7BCD69" w:rsidR="005C32EB" w:rsidRPr="00DA5E40" w:rsidRDefault="005C32EB" w:rsidP="00C40B37">
            <w:pPr>
              <w:spacing w:before="0" w:after="0"/>
              <w:jc w:val="right"/>
              <w:rPr>
                <w:rFonts w:ascii="Arial" w:hAnsi="Arial"/>
                <w:b/>
                <w:bCs/>
                <w:color w:val="000000"/>
                <w:sz w:val="15"/>
                <w:szCs w:val="15"/>
                <w:highlight w:val="yellow"/>
                <w:lang w:val="en-AU"/>
              </w:rPr>
            </w:pPr>
            <w:r w:rsidRPr="007A2C2D">
              <w:rPr>
                <w:rFonts w:ascii="Arial" w:hAnsi="Arial"/>
                <w:b/>
                <w:bCs/>
                <w:color w:val="000000"/>
                <w:sz w:val="16"/>
                <w:szCs w:val="16"/>
                <w:lang w:val="en-AU"/>
              </w:rPr>
              <w:t>71,371</w:t>
            </w:r>
          </w:p>
        </w:tc>
        <w:tc>
          <w:tcPr>
            <w:tcW w:w="930" w:type="dxa"/>
            <w:tcBorders>
              <w:top w:val="nil"/>
              <w:left w:val="nil"/>
              <w:bottom w:val="nil"/>
              <w:right w:val="nil"/>
            </w:tcBorders>
            <w:shd w:val="clear" w:color="auto" w:fill="auto"/>
            <w:noWrap/>
            <w:vAlign w:val="bottom"/>
          </w:tcPr>
          <w:p w14:paraId="14DE00E4" w14:textId="2C593B48" w:rsidR="005C32EB" w:rsidRPr="00DA5E40" w:rsidRDefault="005C32EB" w:rsidP="00C40B37">
            <w:pPr>
              <w:spacing w:before="0" w:after="0"/>
              <w:jc w:val="right"/>
              <w:rPr>
                <w:rFonts w:ascii="Arial" w:hAnsi="Arial"/>
                <w:b/>
                <w:bCs/>
                <w:color w:val="000000"/>
                <w:sz w:val="15"/>
                <w:szCs w:val="15"/>
                <w:highlight w:val="yellow"/>
                <w:lang w:val="en-AU"/>
              </w:rPr>
            </w:pPr>
            <w:r w:rsidRPr="007A2C2D">
              <w:rPr>
                <w:rFonts w:ascii="Arial" w:hAnsi="Arial"/>
                <w:b/>
                <w:bCs/>
                <w:color w:val="000000"/>
                <w:sz w:val="16"/>
                <w:szCs w:val="16"/>
                <w:lang w:val="en-AU"/>
              </w:rPr>
              <w:t>77,557</w:t>
            </w:r>
          </w:p>
        </w:tc>
        <w:tc>
          <w:tcPr>
            <w:tcW w:w="935" w:type="dxa"/>
            <w:tcBorders>
              <w:top w:val="nil"/>
              <w:left w:val="nil"/>
              <w:bottom w:val="nil"/>
              <w:right w:val="nil"/>
            </w:tcBorders>
            <w:shd w:val="clear" w:color="auto" w:fill="auto"/>
            <w:noWrap/>
            <w:vAlign w:val="bottom"/>
          </w:tcPr>
          <w:p w14:paraId="23D4EC18" w14:textId="0A1F2563" w:rsidR="005C32EB" w:rsidRPr="00DA5E40" w:rsidRDefault="005C32EB" w:rsidP="00C40B37">
            <w:pPr>
              <w:spacing w:before="0" w:after="0"/>
              <w:jc w:val="right"/>
              <w:rPr>
                <w:rFonts w:ascii="Arial" w:hAnsi="Arial"/>
                <w:b/>
                <w:bCs/>
                <w:color w:val="000000"/>
                <w:sz w:val="15"/>
                <w:szCs w:val="15"/>
                <w:highlight w:val="yellow"/>
                <w:lang w:val="en-AU"/>
              </w:rPr>
            </w:pPr>
            <w:r w:rsidRPr="007A2C2D">
              <w:rPr>
                <w:rFonts w:ascii="Arial" w:hAnsi="Arial"/>
                <w:b/>
                <w:bCs/>
                <w:color w:val="000000"/>
                <w:sz w:val="16"/>
                <w:szCs w:val="16"/>
                <w:lang w:val="en-AU"/>
              </w:rPr>
              <w:t>15,353</w:t>
            </w:r>
          </w:p>
        </w:tc>
      </w:tr>
      <w:tr w:rsidR="005C32EB" w:rsidRPr="00243FB1" w14:paraId="505F8E47" w14:textId="77777777" w:rsidTr="00840A4C">
        <w:trPr>
          <w:gridAfter w:val="1"/>
          <w:wAfter w:w="306" w:type="dxa"/>
          <w:trHeight w:val="222"/>
        </w:trPr>
        <w:tc>
          <w:tcPr>
            <w:tcW w:w="3352" w:type="dxa"/>
            <w:tcBorders>
              <w:top w:val="nil"/>
              <w:left w:val="nil"/>
              <w:bottom w:val="nil"/>
              <w:right w:val="nil"/>
            </w:tcBorders>
            <w:shd w:val="clear" w:color="auto" w:fill="auto"/>
          </w:tcPr>
          <w:p w14:paraId="44E4CA00" w14:textId="6326131E" w:rsidR="005C32EB" w:rsidRPr="002B2BCC" w:rsidRDefault="005C32EB" w:rsidP="009B00F0">
            <w:pPr>
              <w:spacing w:before="0" w:after="0"/>
              <w:ind w:left="212"/>
              <w:rPr>
                <w:rFonts w:ascii="Arial" w:hAnsi="Arial"/>
                <w:color w:val="000000"/>
                <w:sz w:val="16"/>
                <w:szCs w:val="16"/>
                <w:lang w:val="en-AU"/>
              </w:rPr>
            </w:pPr>
            <w:r w:rsidRPr="007A2C2D">
              <w:rPr>
                <w:rFonts w:ascii="Arial" w:hAnsi="Arial"/>
                <w:color w:val="000000"/>
                <w:sz w:val="16"/>
                <w:szCs w:val="16"/>
                <w:lang w:val="en-AU"/>
              </w:rPr>
              <w:t>plus: depreciation/amortisation</w:t>
            </w:r>
            <w:r>
              <w:rPr>
                <w:rFonts w:ascii="Arial" w:hAnsi="Arial"/>
                <w:color w:val="000000"/>
                <w:sz w:val="16"/>
                <w:szCs w:val="16"/>
                <w:lang w:val="en-AU"/>
              </w:rPr>
              <w:t xml:space="preserve"> </w:t>
            </w:r>
            <w:r w:rsidRPr="007A2C2D">
              <w:rPr>
                <w:rFonts w:ascii="Arial" w:hAnsi="Arial"/>
                <w:color w:val="000000"/>
                <w:sz w:val="16"/>
                <w:szCs w:val="16"/>
                <w:lang w:val="en-AU"/>
              </w:rPr>
              <w:t>expenses for ROU assets</w:t>
            </w:r>
          </w:p>
        </w:tc>
        <w:tc>
          <w:tcPr>
            <w:tcW w:w="983" w:type="dxa"/>
            <w:tcBorders>
              <w:top w:val="nil"/>
              <w:left w:val="nil"/>
              <w:bottom w:val="nil"/>
              <w:right w:val="nil"/>
            </w:tcBorders>
            <w:shd w:val="clear" w:color="auto" w:fill="auto"/>
            <w:noWrap/>
            <w:vAlign w:val="bottom"/>
          </w:tcPr>
          <w:p w14:paraId="1826286F" w14:textId="576E0565" w:rsidR="005C32EB" w:rsidRPr="00DA5E40" w:rsidRDefault="005C32EB" w:rsidP="00C40B37">
            <w:pPr>
              <w:spacing w:before="0" w:after="0"/>
              <w:jc w:val="right"/>
              <w:rPr>
                <w:rFonts w:ascii="Arial" w:hAnsi="Arial"/>
                <w:sz w:val="15"/>
                <w:szCs w:val="15"/>
                <w:highlight w:val="yellow"/>
                <w:lang w:val="en-AU"/>
              </w:rPr>
            </w:pPr>
            <w:r w:rsidRPr="007A2C2D">
              <w:rPr>
                <w:rFonts w:ascii="Arial" w:hAnsi="Arial"/>
                <w:sz w:val="16"/>
                <w:szCs w:val="16"/>
                <w:lang w:val="en-AU"/>
              </w:rPr>
              <w:t>1,368,363</w:t>
            </w:r>
          </w:p>
        </w:tc>
        <w:tc>
          <w:tcPr>
            <w:tcW w:w="928" w:type="dxa"/>
            <w:tcBorders>
              <w:top w:val="nil"/>
              <w:left w:val="nil"/>
              <w:bottom w:val="nil"/>
              <w:right w:val="nil"/>
            </w:tcBorders>
            <w:shd w:val="clear" w:color="auto" w:fill="E6E6E6"/>
            <w:noWrap/>
            <w:vAlign w:val="bottom"/>
          </w:tcPr>
          <w:p w14:paraId="0AE9FA47" w14:textId="71F5C601" w:rsidR="005C32EB" w:rsidRPr="00DA5E40" w:rsidRDefault="005C32EB" w:rsidP="00C40B37">
            <w:pPr>
              <w:spacing w:before="0" w:after="0"/>
              <w:jc w:val="right"/>
              <w:rPr>
                <w:rFonts w:ascii="Arial" w:hAnsi="Arial"/>
                <w:sz w:val="15"/>
                <w:szCs w:val="15"/>
                <w:highlight w:val="yellow"/>
                <w:lang w:val="en-AU"/>
              </w:rPr>
            </w:pPr>
            <w:r w:rsidRPr="007A2C2D">
              <w:rPr>
                <w:rFonts w:ascii="Arial" w:hAnsi="Arial"/>
                <w:sz w:val="16"/>
                <w:szCs w:val="16"/>
                <w:lang w:val="en-AU"/>
              </w:rPr>
              <w:t>1,710,636</w:t>
            </w:r>
          </w:p>
        </w:tc>
        <w:tc>
          <w:tcPr>
            <w:tcW w:w="930" w:type="dxa"/>
            <w:tcBorders>
              <w:top w:val="nil"/>
              <w:left w:val="nil"/>
              <w:bottom w:val="nil"/>
              <w:right w:val="nil"/>
            </w:tcBorders>
            <w:shd w:val="clear" w:color="auto" w:fill="auto"/>
            <w:noWrap/>
            <w:vAlign w:val="bottom"/>
          </w:tcPr>
          <w:p w14:paraId="4D332200" w14:textId="1A7DC506" w:rsidR="005C32EB" w:rsidRPr="00DA5E40" w:rsidRDefault="005C32EB" w:rsidP="00C40B37">
            <w:pPr>
              <w:spacing w:before="0" w:after="0"/>
              <w:jc w:val="right"/>
              <w:rPr>
                <w:rFonts w:ascii="Arial" w:hAnsi="Arial"/>
                <w:sz w:val="15"/>
                <w:szCs w:val="15"/>
                <w:highlight w:val="yellow"/>
                <w:lang w:val="en-AU"/>
              </w:rPr>
            </w:pPr>
            <w:r w:rsidRPr="007A2C2D">
              <w:rPr>
                <w:rFonts w:ascii="Arial" w:hAnsi="Arial"/>
                <w:sz w:val="16"/>
                <w:szCs w:val="16"/>
                <w:lang w:val="en-AU"/>
              </w:rPr>
              <w:t>2,064,907</w:t>
            </w:r>
          </w:p>
        </w:tc>
        <w:tc>
          <w:tcPr>
            <w:tcW w:w="930" w:type="dxa"/>
            <w:tcBorders>
              <w:top w:val="nil"/>
              <w:left w:val="nil"/>
              <w:bottom w:val="nil"/>
              <w:right w:val="nil"/>
            </w:tcBorders>
            <w:shd w:val="clear" w:color="auto" w:fill="auto"/>
            <w:noWrap/>
            <w:vAlign w:val="bottom"/>
          </w:tcPr>
          <w:p w14:paraId="3DAC3A49" w14:textId="61F1871A" w:rsidR="005C32EB" w:rsidRPr="00DA5E40" w:rsidRDefault="005C32EB" w:rsidP="00C40B37">
            <w:pPr>
              <w:spacing w:before="0" w:after="0"/>
              <w:jc w:val="right"/>
              <w:rPr>
                <w:rFonts w:ascii="Arial" w:hAnsi="Arial"/>
                <w:sz w:val="15"/>
                <w:szCs w:val="15"/>
                <w:highlight w:val="yellow"/>
                <w:lang w:val="en-AU"/>
              </w:rPr>
            </w:pPr>
            <w:r w:rsidRPr="007A2C2D">
              <w:rPr>
                <w:rFonts w:ascii="Arial" w:hAnsi="Arial"/>
                <w:sz w:val="16"/>
                <w:szCs w:val="16"/>
                <w:lang w:val="en-AU"/>
              </w:rPr>
              <w:t>2,430,629</w:t>
            </w:r>
          </w:p>
        </w:tc>
        <w:tc>
          <w:tcPr>
            <w:tcW w:w="935" w:type="dxa"/>
            <w:tcBorders>
              <w:top w:val="nil"/>
              <w:left w:val="nil"/>
              <w:bottom w:val="nil"/>
              <w:right w:val="nil"/>
            </w:tcBorders>
            <w:shd w:val="clear" w:color="auto" w:fill="auto"/>
            <w:noWrap/>
            <w:vAlign w:val="bottom"/>
          </w:tcPr>
          <w:p w14:paraId="1344C5A9" w14:textId="46BB3FD7" w:rsidR="005C32EB" w:rsidRPr="00DA5E40" w:rsidRDefault="005C32EB" w:rsidP="00C40B37">
            <w:pPr>
              <w:spacing w:before="0" w:after="0"/>
              <w:jc w:val="right"/>
              <w:rPr>
                <w:rFonts w:ascii="Arial" w:hAnsi="Arial"/>
                <w:sz w:val="15"/>
                <w:szCs w:val="15"/>
                <w:highlight w:val="yellow"/>
                <w:lang w:val="en-AU"/>
              </w:rPr>
            </w:pPr>
            <w:r w:rsidRPr="007A2C2D">
              <w:rPr>
                <w:rFonts w:ascii="Arial" w:hAnsi="Arial"/>
                <w:sz w:val="16"/>
                <w:szCs w:val="16"/>
                <w:lang w:val="en-AU"/>
              </w:rPr>
              <w:t>2,807,274</w:t>
            </w:r>
          </w:p>
        </w:tc>
      </w:tr>
      <w:tr w:rsidR="005C32EB" w:rsidRPr="00243FB1" w14:paraId="16EFD4EA" w14:textId="77777777" w:rsidTr="005C32EB">
        <w:trPr>
          <w:gridAfter w:val="1"/>
          <w:wAfter w:w="306" w:type="dxa"/>
          <w:trHeight w:val="222"/>
        </w:trPr>
        <w:tc>
          <w:tcPr>
            <w:tcW w:w="3352" w:type="dxa"/>
            <w:tcBorders>
              <w:top w:val="nil"/>
              <w:left w:val="nil"/>
              <w:bottom w:val="nil"/>
              <w:right w:val="nil"/>
            </w:tcBorders>
            <w:shd w:val="clear" w:color="auto" w:fill="auto"/>
            <w:vAlign w:val="center"/>
          </w:tcPr>
          <w:p w14:paraId="7CE2283C" w14:textId="656D088D" w:rsidR="005C32EB" w:rsidRPr="002B2BCC" w:rsidRDefault="005C32EB" w:rsidP="009B00F0">
            <w:pPr>
              <w:spacing w:before="0" w:after="0"/>
              <w:ind w:left="212"/>
              <w:rPr>
                <w:rFonts w:ascii="Arial" w:hAnsi="Arial"/>
                <w:color w:val="000000"/>
                <w:sz w:val="16"/>
                <w:szCs w:val="16"/>
                <w:lang w:val="en-AU"/>
              </w:rPr>
            </w:pPr>
            <w:r w:rsidRPr="007A2C2D">
              <w:rPr>
                <w:rFonts w:ascii="Arial" w:hAnsi="Arial"/>
                <w:color w:val="000000"/>
                <w:sz w:val="16"/>
                <w:szCs w:val="16"/>
                <w:lang w:val="en-AU"/>
              </w:rPr>
              <w:t>less: lease principal repayments</w:t>
            </w:r>
          </w:p>
        </w:tc>
        <w:tc>
          <w:tcPr>
            <w:tcW w:w="983" w:type="dxa"/>
            <w:tcBorders>
              <w:top w:val="nil"/>
              <w:left w:val="nil"/>
              <w:bottom w:val="nil"/>
              <w:right w:val="nil"/>
            </w:tcBorders>
            <w:shd w:val="clear" w:color="auto" w:fill="auto"/>
            <w:noWrap/>
            <w:vAlign w:val="bottom"/>
          </w:tcPr>
          <w:p w14:paraId="0B2E7BF6" w14:textId="20AB966A" w:rsidR="005C32EB" w:rsidRPr="00DA5E40" w:rsidRDefault="005C32EB" w:rsidP="00C40B37">
            <w:pPr>
              <w:spacing w:before="0" w:after="0"/>
              <w:jc w:val="right"/>
              <w:rPr>
                <w:rFonts w:ascii="Arial" w:hAnsi="Arial"/>
                <w:sz w:val="15"/>
                <w:szCs w:val="15"/>
                <w:highlight w:val="yellow"/>
                <w:lang w:val="en-AU"/>
              </w:rPr>
            </w:pPr>
            <w:r w:rsidRPr="007A2C2D">
              <w:rPr>
                <w:rFonts w:ascii="Arial" w:hAnsi="Arial"/>
                <w:sz w:val="16"/>
                <w:szCs w:val="16"/>
                <w:lang w:val="en-AU"/>
              </w:rPr>
              <w:t>360,427</w:t>
            </w:r>
          </w:p>
        </w:tc>
        <w:tc>
          <w:tcPr>
            <w:tcW w:w="928" w:type="dxa"/>
            <w:tcBorders>
              <w:top w:val="nil"/>
              <w:left w:val="nil"/>
              <w:bottom w:val="nil"/>
              <w:right w:val="nil"/>
            </w:tcBorders>
            <w:shd w:val="clear" w:color="auto" w:fill="E6E6E6"/>
            <w:noWrap/>
            <w:vAlign w:val="bottom"/>
          </w:tcPr>
          <w:p w14:paraId="11565114" w14:textId="40F360E1" w:rsidR="005C32EB" w:rsidRPr="00DA5E40" w:rsidRDefault="005C32EB" w:rsidP="00C40B37">
            <w:pPr>
              <w:spacing w:before="0" w:after="0"/>
              <w:jc w:val="right"/>
              <w:rPr>
                <w:rFonts w:ascii="Arial" w:hAnsi="Arial"/>
                <w:sz w:val="15"/>
                <w:szCs w:val="15"/>
                <w:highlight w:val="yellow"/>
                <w:lang w:val="en-AU"/>
              </w:rPr>
            </w:pPr>
            <w:r w:rsidRPr="007A2C2D">
              <w:rPr>
                <w:rFonts w:ascii="Arial" w:hAnsi="Arial"/>
                <w:sz w:val="16"/>
                <w:szCs w:val="16"/>
                <w:lang w:val="en-AU"/>
              </w:rPr>
              <w:t>344,436</w:t>
            </w:r>
          </w:p>
        </w:tc>
        <w:tc>
          <w:tcPr>
            <w:tcW w:w="930" w:type="dxa"/>
            <w:tcBorders>
              <w:top w:val="nil"/>
              <w:left w:val="nil"/>
              <w:bottom w:val="nil"/>
              <w:right w:val="nil"/>
            </w:tcBorders>
            <w:shd w:val="clear" w:color="auto" w:fill="auto"/>
            <w:noWrap/>
            <w:vAlign w:val="bottom"/>
          </w:tcPr>
          <w:p w14:paraId="37713566" w14:textId="602E3D2E" w:rsidR="005C32EB" w:rsidRPr="00DA5E40" w:rsidRDefault="005C32EB" w:rsidP="00C40B37">
            <w:pPr>
              <w:spacing w:before="0" w:after="0"/>
              <w:jc w:val="right"/>
              <w:rPr>
                <w:rFonts w:ascii="Arial" w:hAnsi="Arial"/>
                <w:sz w:val="15"/>
                <w:szCs w:val="15"/>
                <w:highlight w:val="yellow"/>
                <w:lang w:val="en-AU"/>
              </w:rPr>
            </w:pPr>
            <w:r w:rsidRPr="007A2C2D">
              <w:rPr>
                <w:rFonts w:ascii="Arial" w:hAnsi="Arial"/>
                <w:sz w:val="16"/>
                <w:szCs w:val="16"/>
                <w:lang w:val="en-AU"/>
              </w:rPr>
              <w:t>354,930</w:t>
            </w:r>
          </w:p>
        </w:tc>
        <w:tc>
          <w:tcPr>
            <w:tcW w:w="930" w:type="dxa"/>
            <w:tcBorders>
              <w:top w:val="nil"/>
              <w:left w:val="nil"/>
              <w:bottom w:val="nil"/>
              <w:right w:val="nil"/>
            </w:tcBorders>
            <w:shd w:val="clear" w:color="auto" w:fill="auto"/>
            <w:noWrap/>
            <w:vAlign w:val="bottom"/>
          </w:tcPr>
          <w:p w14:paraId="0D1A4853" w14:textId="189681E8" w:rsidR="005C32EB" w:rsidRPr="00DA5E40" w:rsidRDefault="005C32EB" w:rsidP="00C40B37">
            <w:pPr>
              <w:spacing w:before="0" w:after="0"/>
              <w:jc w:val="right"/>
              <w:rPr>
                <w:rFonts w:ascii="Arial" w:hAnsi="Arial"/>
                <w:sz w:val="15"/>
                <w:szCs w:val="15"/>
                <w:highlight w:val="yellow"/>
                <w:lang w:val="en-AU"/>
              </w:rPr>
            </w:pPr>
            <w:r w:rsidRPr="007A2C2D">
              <w:rPr>
                <w:rFonts w:ascii="Arial" w:hAnsi="Arial"/>
                <w:sz w:val="16"/>
                <w:szCs w:val="16"/>
                <w:lang w:val="en-AU"/>
              </w:rPr>
              <w:t>364,399</w:t>
            </w:r>
          </w:p>
        </w:tc>
        <w:tc>
          <w:tcPr>
            <w:tcW w:w="935" w:type="dxa"/>
            <w:tcBorders>
              <w:top w:val="nil"/>
              <w:left w:val="nil"/>
              <w:bottom w:val="nil"/>
              <w:right w:val="nil"/>
            </w:tcBorders>
            <w:shd w:val="clear" w:color="auto" w:fill="auto"/>
            <w:noWrap/>
            <w:vAlign w:val="bottom"/>
          </w:tcPr>
          <w:p w14:paraId="44554975" w14:textId="22A3E4A5" w:rsidR="005C32EB" w:rsidRPr="00DA5E40" w:rsidRDefault="005C32EB" w:rsidP="00C40B37">
            <w:pPr>
              <w:spacing w:before="0" w:after="0"/>
              <w:jc w:val="right"/>
              <w:rPr>
                <w:rFonts w:ascii="Arial" w:hAnsi="Arial"/>
                <w:sz w:val="15"/>
                <w:szCs w:val="15"/>
                <w:highlight w:val="yellow"/>
                <w:lang w:val="en-AU"/>
              </w:rPr>
            </w:pPr>
            <w:r w:rsidRPr="007A2C2D">
              <w:rPr>
                <w:rFonts w:ascii="Arial" w:hAnsi="Arial"/>
                <w:sz w:val="16"/>
                <w:szCs w:val="16"/>
                <w:lang w:val="en-AU"/>
              </w:rPr>
              <w:t>375,829</w:t>
            </w:r>
          </w:p>
        </w:tc>
      </w:tr>
      <w:tr w:rsidR="005C32EB" w:rsidRPr="00243FB1" w14:paraId="66F2248A" w14:textId="77777777" w:rsidTr="005C32EB">
        <w:trPr>
          <w:gridAfter w:val="1"/>
          <w:wAfter w:w="306" w:type="dxa"/>
          <w:trHeight w:val="222"/>
        </w:trPr>
        <w:tc>
          <w:tcPr>
            <w:tcW w:w="3352" w:type="dxa"/>
            <w:tcBorders>
              <w:top w:val="nil"/>
              <w:left w:val="nil"/>
              <w:bottom w:val="single" w:sz="4" w:space="0" w:color="auto"/>
              <w:right w:val="nil"/>
            </w:tcBorders>
            <w:shd w:val="clear" w:color="auto" w:fill="auto"/>
          </w:tcPr>
          <w:p w14:paraId="09C7CC75" w14:textId="77777777" w:rsidR="005C32EB" w:rsidRPr="002B2BCC" w:rsidRDefault="005C32EB" w:rsidP="005C32EB">
            <w:pPr>
              <w:spacing w:before="0" w:after="0"/>
              <w:rPr>
                <w:rFonts w:ascii="Arial" w:hAnsi="Arial"/>
                <w:b/>
                <w:bCs/>
                <w:sz w:val="16"/>
                <w:szCs w:val="16"/>
                <w:lang w:val="en-AU"/>
              </w:rPr>
            </w:pPr>
            <w:r w:rsidRPr="002B2BCC">
              <w:rPr>
                <w:rFonts w:ascii="Arial" w:hAnsi="Arial"/>
                <w:b/>
                <w:bCs/>
                <w:sz w:val="16"/>
                <w:szCs w:val="16"/>
                <w:lang w:val="en-AU"/>
              </w:rPr>
              <w:t>Net Cash Operating Surplus / (Deficit)</w:t>
            </w:r>
          </w:p>
        </w:tc>
        <w:tc>
          <w:tcPr>
            <w:tcW w:w="983" w:type="dxa"/>
            <w:tcBorders>
              <w:top w:val="single" w:sz="4" w:space="0" w:color="auto"/>
              <w:left w:val="nil"/>
              <w:bottom w:val="single" w:sz="4" w:space="0" w:color="auto"/>
              <w:right w:val="nil"/>
            </w:tcBorders>
            <w:shd w:val="clear" w:color="auto" w:fill="auto"/>
            <w:vAlign w:val="bottom"/>
          </w:tcPr>
          <w:p w14:paraId="50FB67DD" w14:textId="679CB8C7" w:rsidR="005C32EB" w:rsidRPr="00DA5E40" w:rsidRDefault="005C32EB" w:rsidP="00C40B37">
            <w:pPr>
              <w:spacing w:before="0" w:after="0"/>
              <w:jc w:val="right"/>
              <w:rPr>
                <w:rFonts w:ascii="Arial" w:hAnsi="Arial"/>
                <w:b/>
                <w:bCs/>
                <w:sz w:val="15"/>
                <w:szCs w:val="15"/>
                <w:highlight w:val="yellow"/>
                <w:lang w:val="en-AU"/>
              </w:rPr>
            </w:pPr>
            <w:r w:rsidRPr="007A2C2D">
              <w:rPr>
                <w:rFonts w:ascii="Arial" w:hAnsi="Arial"/>
                <w:b/>
                <w:bCs/>
                <w:sz w:val="16"/>
                <w:szCs w:val="16"/>
                <w:lang w:val="en-AU"/>
              </w:rPr>
              <w:t>1,032,947</w:t>
            </w:r>
          </w:p>
        </w:tc>
        <w:tc>
          <w:tcPr>
            <w:tcW w:w="928" w:type="dxa"/>
            <w:tcBorders>
              <w:top w:val="single" w:sz="4" w:space="0" w:color="auto"/>
              <w:left w:val="nil"/>
              <w:bottom w:val="single" w:sz="4" w:space="0" w:color="auto"/>
              <w:right w:val="nil"/>
            </w:tcBorders>
            <w:shd w:val="clear" w:color="auto" w:fill="E6E6E6"/>
            <w:vAlign w:val="bottom"/>
          </w:tcPr>
          <w:p w14:paraId="57CC6E70" w14:textId="74B7EEF6" w:rsidR="005C32EB" w:rsidRPr="00DA5E40" w:rsidRDefault="005C32EB" w:rsidP="00C40B37">
            <w:pPr>
              <w:spacing w:before="0" w:after="0"/>
              <w:jc w:val="right"/>
              <w:rPr>
                <w:rFonts w:ascii="Arial" w:hAnsi="Arial"/>
                <w:b/>
                <w:bCs/>
                <w:sz w:val="15"/>
                <w:szCs w:val="15"/>
                <w:highlight w:val="yellow"/>
                <w:lang w:val="en-AU"/>
              </w:rPr>
            </w:pPr>
            <w:r w:rsidRPr="007A2C2D">
              <w:rPr>
                <w:rFonts w:ascii="Arial" w:hAnsi="Arial"/>
                <w:b/>
                <w:bCs/>
                <w:sz w:val="16"/>
                <w:szCs w:val="16"/>
                <w:lang w:val="en-AU"/>
              </w:rPr>
              <w:t>1,444,374</w:t>
            </w:r>
          </w:p>
        </w:tc>
        <w:tc>
          <w:tcPr>
            <w:tcW w:w="930" w:type="dxa"/>
            <w:tcBorders>
              <w:top w:val="single" w:sz="4" w:space="0" w:color="auto"/>
              <w:left w:val="nil"/>
              <w:bottom w:val="single" w:sz="4" w:space="0" w:color="auto"/>
              <w:right w:val="nil"/>
            </w:tcBorders>
            <w:shd w:val="clear" w:color="auto" w:fill="auto"/>
            <w:vAlign w:val="bottom"/>
          </w:tcPr>
          <w:p w14:paraId="58B5A0C4" w14:textId="095CBA5E" w:rsidR="005C32EB" w:rsidRPr="00DA5E40" w:rsidRDefault="005C32EB" w:rsidP="00C40B37">
            <w:pPr>
              <w:spacing w:before="0" w:after="0"/>
              <w:jc w:val="right"/>
              <w:rPr>
                <w:rFonts w:ascii="Arial" w:hAnsi="Arial"/>
                <w:b/>
                <w:bCs/>
                <w:sz w:val="15"/>
                <w:szCs w:val="15"/>
                <w:highlight w:val="yellow"/>
                <w:lang w:val="en-AU"/>
              </w:rPr>
            </w:pPr>
            <w:r w:rsidRPr="007A2C2D">
              <w:rPr>
                <w:rFonts w:ascii="Arial" w:hAnsi="Arial"/>
                <w:b/>
                <w:bCs/>
                <w:sz w:val="16"/>
                <w:szCs w:val="16"/>
                <w:lang w:val="en-AU"/>
              </w:rPr>
              <w:t>1,781,348</w:t>
            </w:r>
          </w:p>
        </w:tc>
        <w:tc>
          <w:tcPr>
            <w:tcW w:w="930" w:type="dxa"/>
            <w:tcBorders>
              <w:top w:val="single" w:sz="4" w:space="0" w:color="auto"/>
              <w:left w:val="nil"/>
              <w:bottom w:val="single" w:sz="4" w:space="0" w:color="auto"/>
              <w:right w:val="nil"/>
            </w:tcBorders>
            <w:shd w:val="clear" w:color="auto" w:fill="auto"/>
            <w:vAlign w:val="bottom"/>
          </w:tcPr>
          <w:p w14:paraId="4AE5767D" w14:textId="2CC16AC5" w:rsidR="005C32EB" w:rsidRPr="00DA5E40" w:rsidRDefault="005C32EB" w:rsidP="00C40B37">
            <w:pPr>
              <w:spacing w:before="0" w:after="0"/>
              <w:jc w:val="right"/>
              <w:rPr>
                <w:rFonts w:ascii="Arial" w:hAnsi="Arial"/>
                <w:b/>
                <w:bCs/>
                <w:sz w:val="15"/>
                <w:szCs w:val="15"/>
                <w:highlight w:val="yellow"/>
                <w:lang w:val="en-AU"/>
              </w:rPr>
            </w:pPr>
            <w:r w:rsidRPr="007A2C2D">
              <w:rPr>
                <w:rFonts w:ascii="Arial" w:hAnsi="Arial"/>
                <w:b/>
                <w:bCs/>
                <w:sz w:val="16"/>
                <w:szCs w:val="16"/>
                <w:lang w:val="en-AU"/>
              </w:rPr>
              <w:t>2,143,787</w:t>
            </w:r>
          </w:p>
        </w:tc>
        <w:tc>
          <w:tcPr>
            <w:tcW w:w="935" w:type="dxa"/>
            <w:tcBorders>
              <w:top w:val="single" w:sz="4" w:space="0" w:color="auto"/>
              <w:left w:val="nil"/>
              <w:bottom w:val="single" w:sz="4" w:space="0" w:color="auto"/>
              <w:right w:val="nil"/>
            </w:tcBorders>
            <w:shd w:val="clear" w:color="auto" w:fill="auto"/>
            <w:vAlign w:val="bottom"/>
          </w:tcPr>
          <w:p w14:paraId="5FFF79D7" w14:textId="4273AAFB" w:rsidR="005C32EB" w:rsidRPr="00DA5E40" w:rsidRDefault="005C32EB" w:rsidP="00C40B37">
            <w:pPr>
              <w:spacing w:before="0" w:after="0"/>
              <w:jc w:val="right"/>
              <w:rPr>
                <w:rFonts w:ascii="Arial" w:hAnsi="Arial"/>
                <w:b/>
                <w:bCs/>
                <w:sz w:val="15"/>
                <w:szCs w:val="15"/>
                <w:highlight w:val="yellow"/>
                <w:lang w:val="en-AU"/>
              </w:rPr>
            </w:pPr>
            <w:r w:rsidRPr="007A2C2D">
              <w:rPr>
                <w:rFonts w:ascii="Arial" w:hAnsi="Arial"/>
                <w:b/>
                <w:bCs/>
                <w:sz w:val="16"/>
                <w:szCs w:val="16"/>
                <w:lang w:val="en-AU"/>
              </w:rPr>
              <w:t>2,446,798</w:t>
            </w:r>
          </w:p>
        </w:tc>
      </w:tr>
      <w:tr w:rsidR="005C32EB" w:rsidRPr="00B56FAA" w14:paraId="168A2E6C" w14:textId="77777777" w:rsidTr="00EF0345">
        <w:trPr>
          <w:trHeight w:val="206"/>
        </w:trPr>
        <w:tc>
          <w:tcPr>
            <w:tcW w:w="8364" w:type="dxa"/>
            <w:gridSpan w:val="7"/>
            <w:tcBorders>
              <w:top w:val="nil"/>
              <w:left w:val="nil"/>
              <w:bottom w:val="nil"/>
              <w:right w:val="nil"/>
            </w:tcBorders>
            <w:shd w:val="clear" w:color="auto" w:fill="auto"/>
            <w:noWrap/>
            <w:vAlign w:val="center"/>
            <w:hideMark/>
          </w:tcPr>
          <w:p w14:paraId="7270B080" w14:textId="77777777" w:rsidR="005C32EB" w:rsidRPr="003C27CA" w:rsidRDefault="005C32EB" w:rsidP="005C32EB">
            <w:pPr>
              <w:spacing w:before="0" w:after="0"/>
              <w:rPr>
                <w:rFonts w:ascii="Arial" w:hAnsi="Arial"/>
                <w:b/>
                <w:bCs/>
                <w:color w:val="000000"/>
                <w:sz w:val="14"/>
                <w:szCs w:val="14"/>
                <w:highlight w:val="yellow"/>
                <w:lang w:val="en-AU"/>
              </w:rPr>
            </w:pPr>
          </w:p>
          <w:p w14:paraId="68300DB1" w14:textId="77777777" w:rsidR="005C32EB" w:rsidRPr="003C27CA" w:rsidRDefault="005C32EB" w:rsidP="005C32EB">
            <w:pPr>
              <w:spacing w:before="0" w:after="0"/>
              <w:rPr>
                <w:rFonts w:ascii="Arial" w:hAnsi="Arial"/>
                <w:b/>
                <w:bCs/>
                <w:color w:val="000000"/>
                <w:sz w:val="14"/>
                <w:szCs w:val="14"/>
                <w:highlight w:val="yellow"/>
                <w:lang w:val="en-AU"/>
              </w:rPr>
            </w:pPr>
            <w:r w:rsidRPr="003C27CA">
              <w:rPr>
                <w:rFonts w:ascii="Arial" w:hAnsi="Arial"/>
                <w:b/>
                <w:bCs/>
                <w:color w:val="000000"/>
                <w:sz w:val="14"/>
                <w:szCs w:val="14"/>
                <w:lang w:val="en-AU"/>
              </w:rPr>
              <w:t>Notes</w:t>
            </w:r>
          </w:p>
        </w:tc>
      </w:tr>
      <w:tr w:rsidR="005C32EB" w:rsidRPr="00B56FAA" w14:paraId="40ADE2A6" w14:textId="77777777" w:rsidTr="00EF0345">
        <w:trPr>
          <w:trHeight w:val="229"/>
        </w:trPr>
        <w:tc>
          <w:tcPr>
            <w:tcW w:w="8364" w:type="dxa"/>
            <w:gridSpan w:val="7"/>
            <w:tcBorders>
              <w:top w:val="nil"/>
              <w:left w:val="nil"/>
              <w:bottom w:val="nil"/>
              <w:right w:val="nil"/>
            </w:tcBorders>
            <w:shd w:val="clear" w:color="auto" w:fill="auto"/>
            <w:noWrap/>
            <w:hideMark/>
          </w:tcPr>
          <w:p w14:paraId="4E23A705" w14:textId="77777777" w:rsidR="005C32EB" w:rsidRPr="0040014B" w:rsidRDefault="005C32EB" w:rsidP="00444A89">
            <w:pPr>
              <w:numPr>
                <w:ilvl w:val="0"/>
                <w:numId w:val="48"/>
              </w:numPr>
              <w:tabs>
                <w:tab w:val="clear" w:pos="227"/>
                <w:tab w:val="num" w:pos="0"/>
                <w:tab w:val="left" w:pos="263"/>
              </w:tabs>
              <w:spacing w:before="0" w:after="0"/>
              <w:ind w:left="284" w:hanging="284"/>
              <w:rPr>
                <w:rFonts w:ascii="Arial" w:hAnsi="Arial"/>
                <w:color w:val="000000"/>
                <w:sz w:val="14"/>
                <w:szCs w:val="14"/>
              </w:rPr>
            </w:pPr>
            <w:r w:rsidRPr="0040014B">
              <w:rPr>
                <w:rFonts w:ascii="Arial" w:hAnsi="Arial"/>
                <w:color w:val="000000"/>
                <w:sz w:val="14"/>
                <w:szCs w:val="14"/>
                <w:lang w:val="en-AU"/>
              </w:rPr>
              <w:t>Prepared on Australian Accounting Standards basis.</w:t>
            </w:r>
          </w:p>
          <w:p w14:paraId="3BD8D2E4" w14:textId="6D6E24C0" w:rsidR="005C32EB" w:rsidRPr="0040014B" w:rsidRDefault="005C32EB" w:rsidP="00444A89">
            <w:pPr>
              <w:numPr>
                <w:ilvl w:val="0"/>
                <w:numId w:val="48"/>
              </w:numPr>
              <w:tabs>
                <w:tab w:val="clear" w:pos="227"/>
                <w:tab w:val="num" w:pos="0"/>
                <w:tab w:val="left" w:pos="263"/>
              </w:tabs>
              <w:spacing w:before="0" w:after="0"/>
              <w:ind w:left="284" w:right="294" w:hanging="284"/>
              <w:rPr>
                <w:rFonts w:ascii="Arial" w:hAnsi="Arial"/>
                <w:color w:val="000000"/>
                <w:sz w:val="14"/>
                <w:szCs w:val="14"/>
              </w:rPr>
            </w:pPr>
            <w:r w:rsidRPr="0040014B">
              <w:rPr>
                <w:rFonts w:ascii="Arial" w:hAnsi="Arial"/>
                <w:color w:val="000000"/>
                <w:sz w:val="14"/>
                <w:szCs w:val="14"/>
                <w:lang w:val="en-AU"/>
              </w:rPr>
              <w:t>Impact of Net Cash Appropriation Arrangements - Included in accordance with RMG 125 Commonwealth Entities Financial Statements Guide. As DHA is not directly appropriated, the above information is presented for reporting purposes only and includes the depreciation and principal repayments of leases under AASB 16 Leases.</w:t>
            </w:r>
          </w:p>
          <w:p w14:paraId="081F3DE3" w14:textId="77777777" w:rsidR="005C32EB" w:rsidRPr="0040014B" w:rsidRDefault="005C32EB" w:rsidP="005C32EB">
            <w:pPr>
              <w:spacing w:before="0" w:after="0"/>
              <w:ind w:hanging="227"/>
              <w:rPr>
                <w:rFonts w:ascii="Arial" w:hAnsi="Arial"/>
                <w:color w:val="000000"/>
                <w:sz w:val="14"/>
                <w:szCs w:val="14"/>
                <w:highlight w:val="yellow"/>
                <w:lang w:val="en-AU"/>
              </w:rPr>
            </w:pPr>
          </w:p>
          <w:p w14:paraId="3195E4C3" w14:textId="77777777" w:rsidR="005C32EB" w:rsidRPr="0040014B" w:rsidRDefault="005C32EB" w:rsidP="005C32EB">
            <w:pPr>
              <w:spacing w:before="0" w:after="0"/>
              <w:ind w:hanging="227"/>
              <w:rPr>
                <w:rFonts w:ascii="Arial" w:hAnsi="Arial"/>
                <w:color w:val="000000"/>
                <w:sz w:val="14"/>
                <w:szCs w:val="14"/>
                <w:highlight w:val="yellow"/>
                <w:lang w:val="en-AU"/>
              </w:rPr>
            </w:pPr>
          </w:p>
          <w:p w14:paraId="5E75E8A0" w14:textId="77777777" w:rsidR="005C32EB" w:rsidRPr="0040014B" w:rsidRDefault="005C32EB" w:rsidP="005C32EB">
            <w:pPr>
              <w:spacing w:before="0" w:after="0"/>
              <w:ind w:hanging="227"/>
              <w:rPr>
                <w:rFonts w:ascii="Arial" w:hAnsi="Arial"/>
                <w:color w:val="000000"/>
                <w:sz w:val="14"/>
                <w:szCs w:val="14"/>
                <w:highlight w:val="yellow"/>
                <w:lang w:val="en-AU"/>
              </w:rPr>
            </w:pPr>
          </w:p>
          <w:p w14:paraId="6C6A2F85" w14:textId="77777777" w:rsidR="005C32EB" w:rsidRPr="0040014B" w:rsidRDefault="005C32EB" w:rsidP="005C32EB">
            <w:pPr>
              <w:spacing w:before="0" w:after="0"/>
              <w:ind w:hanging="227"/>
              <w:rPr>
                <w:rFonts w:ascii="Arial" w:hAnsi="Arial"/>
                <w:color w:val="000000"/>
                <w:sz w:val="14"/>
                <w:szCs w:val="14"/>
                <w:highlight w:val="yellow"/>
              </w:rPr>
            </w:pPr>
          </w:p>
        </w:tc>
      </w:tr>
    </w:tbl>
    <w:p w14:paraId="69DCD258" w14:textId="77777777" w:rsidR="00D550EF" w:rsidRDefault="00D550EF" w:rsidP="009C3616">
      <w:pPr>
        <w:pStyle w:val="BodyText"/>
      </w:pPr>
    </w:p>
    <w:p w14:paraId="577E6437" w14:textId="3DDC6A17" w:rsidR="00761824" w:rsidRPr="00B56FAA" w:rsidRDefault="00D550EF" w:rsidP="00A53053">
      <w:pPr>
        <w:pStyle w:val="TableHeading"/>
        <w:outlineLvl w:val="5"/>
      </w:pPr>
      <w:r>
        <w:br w:type="page"/>
      </w:r>
      <w:r w:rsidR="00A53053">
        <w:lastRenderedPageBreak/>
        <w:t xml:space="preserve">Table 5: </w:t>
      </w:r>
      <w:r w:rsidR="00173112" w:rsidRPr="00B56FAA">
        <w:t>Budgeted Departmental Balance Sheet (as at 30 June)</w:t>
      </w:r>
      <w:r w:rsidR="003B4294" w:rsidRPr="00A53053">
        <w:t xml:space="preserve"> </w:t>
      </w:r>
      <w:r w:rsidR="003B4294" w:rsidRPr="002B2BCC">
        <w:rPr>
          <w:rFonts w:ascii="Arial Bold" w:hAnsi="Arial Bold"/>
          <w:vertAlign w:val="superscript"/>
        </w:rPr>
        <w:t>[a</w:t>
      </w:r>
      <w:r w:rsidR="004C727B" w:rsidRPr="002B2BCC">
        <w:rPr>
          <w:rFonts w:ascii="Arial Bold" w:hAnsi="Arial Bold"/>
          <w:vertAlign w:val="superscript"/>
        </w:rPr>
        <w:t>]</w:t>
      </w:r>
      <w:r w:rsidR="007C5D4F" w:rsidRPr="002B2BCC">
        <w:rPr>
          <w:rFonts w:ascii="Arial Bold" w:hAnsi="Arial Bold"/>
          <w:vertAlign w:val="superscript"/>
        </w:rPr>
        <w:t xml:space="preserve"> </w:t>
      </w:r>
      <w:r w:rsidR="004C727B" w:rsidRPr="002B2BCC">
        <w:rPr>
          <w:rFonts w:ascii="Arial Bold" w:hAnsi="Arial Bold"/>
          <w:vertAlign w:val="superscript"/>
        </w:rPr>
        <w:t>[</w:t>
      </w:r>
      <w:r w:rsidR="003B4294" w:rsidRPr="002B2BCC">
        <w:rPr>
          <w:rFonts w:ascii="Arial Bold" w:hAnsi="Arial Bold"/>
          <w:vertAlign w:val="superscript"/>
        </w:rPr>
        <w:t>c</w:t>
      </w:r>
      <w:r w:rsidR="004C727B" w:rsidRPr="002B2BCC">
        <w:rPr>
          <w:rFonts w:ascii="Arial Bold" w:hAnsi="Arial Bold"/>
          <w:vertAlign w:val="superscript"/>
        </w:rPr>
        <w:t>]</w:t>
      </w:r>
    </w:p>
    <w:tbl>
      <w:tblPr>
        <w:tblW w:w="8398" w:type="dxa"/>
        <w:tblInd w:w="108" w:type="dxa"/>
        <w:tblLook w:val="04A0" w:firstRow="1" w:lastRow="0" w:firstColumn="1" w:lastColumn="0" w:noHBand="0" w:noVBand="1"/>
      </w:tblPr>
      <w:tblGrid>
        <w:gridCol w:w="3178"/>
        <w:gridCol w:w="981"/>
        <w:gridCol w:w="1060"/>
        <w:gridCol w:w="1059"/>
        <w:gridCol w:w="1059"/>
        <w:gridCol w:w="1061"/>
      </w:tblGrid>
      <w:tr w:rsidR="00CF037A" w:rsidRPr="0045322E" w14:paraId="4812DC8C" w14:textId="77777777" w:rsidTr="00CF037A">
        <w:trPr>
          <w:trHeight w:val="793"/>
        </w:trPr>
        <w:tc>
          <w:tcPr>
            <w:tcW w:w="3178" w:type="dxa"/>
            <w:tcBorders>
              <w:top w:val="single" w:sz="4" w:space="0" w:color="auto"/>
              <w:left w:val="nil"/>
              <w:bottom w:val="nil"/>
              <w:right w:val="nil"/>
            </w:tcBorders>
            <w:shd w:val="clear" w:color="auto" w:fill="auto"/>
            <w:noWrap/>
            <w:vAlign w:val="center"/>
            <w:hideMark/>
          </w:tcPr>
          <w:p w14:paraId="26D7818D" w14:textId="77777777" w:rsidR="00CF037A" w:rsidRPr="0045322E" w:rsidRDefault="00CF037A" w:rsidP="00CF037A">
            <w:pPr>
              <w:spacing w:before="0" w:after="0"/>
              <w:rPr>
                <w:rFonts w:ascii="Arial" w:hAnsi="Arial"/>
                <w:color w:val="000000"/>
                <w:sz w:val="16"/>
                <w:szCs w:val="16"/>
                <w:lang w:val="en-AU"/>
              </w:rPr>
            </w:pPr>
          </w:p>
        </w:tc>
        <w:tc>
          <w:tcPr>
            <w:tcW w:w="981" w:type="dxa"/>
            <w:tcBorders>
              <w:top w:val="single" w:sz="4" w:space="0" w:color="auto"/>
              <w:left w:val="nil"/>
              <w:bottom w:val="single" w:sz="4" w:space="0" w:color="auto"/>
              <w:right w:val="nil"/>
            </w:tcBorders>
            <w:shd w:val="clear" w:color="auto" w:fill="auto"/>
            <w:hideMark/>
          </w:tcPr>
          <w:p w14:paraId="3491C375" w14:textId="0672A283" w:rsidR="00CF037A" w:rsidRPr="00A03996" w:rsidRDefault="00CF037A" w:rsidP="0040014B">
            <w:pPr>
              <w:spacing w:before="0" w:after="0"/>
              <w:jc w:val="right"/>
              <w:rPr>
                <w:rFonts w:ascii="Arial" w:hAnsi="Arial"/>
                <w:b/>
                <w:sz w:val="16"/>
                <w:szCs w:val="16"/>
                <w:lang w:val="en-AU"/>
              </w:rPr>
            </w:pPr>
            <w:r w:rsidRPr="008D56D3">
              <w:rPr>
                <w:rFonts w:ascii="Arial" w:hAnsi="Arial"/>
                <w:b/>
                <w:bCs/>
                <w:sz w:val="16"/>
                <w:szCs w:val="16"/>
                <w:lang w:val="en-AU"/>
              </w:rPr>
              <w:t xml:space="preserve">2024-25 Estimated </w:t>
            </w:r>
            <w:r w:rsidR="0040014B">
              <w:rPr>
                <w:rFonts w:ascii="Arial" w:hAnsi="Arial"/>
                <w:b/>
                <w:bCs/>
                <w:sz w:val="16"/>
                <w:szCs w:val="16"/>
                <w:lang w:val="en-AU"/>
              </w:rPr>
              <w:t>A</w:t>
            </w:r>
            <w:r w:rsidRPr="008D56D3">
              <w:rPr>
                <w:rFonts w:ascii="Arial" w:hAnsi="Arial"/>
                <w:b/>
                <w:bCs/>
                <w:sz w:val="16"/>
                <w:szCs w:val="16"/>
                <w:lang w:val="en-AU"/>
              </w:rPr>
              <w:t>ctual</w:t>
            </w:r>
            <w:r w:rsidRPr="008D56D3">
              <w:rPr>
                <w:rFonts w:ascii="Arial" w:hAnsi="Arial"/>
                <w:b/>
                <w:bCs/>
                <w:sz w:val="16"/>
                <w:szCs w:val="16"/>
                <w:lang w:val="en-AU"/>
              </w:rPr>
              <w:br/>
              <w:t>$'000</w:t>
            </w:r>
          </w:p>
        </w:tc>
        <w:tc>
          <w:tcPr>
            <w:tcW w:w="1060" w:type="dxa"/>
            <w:tcBorders>
              <w:top w:val="single" w:sz="4" w:space="0" w:color="auto"/>
              <w:left w:val="nil"/>
              <w:bottom w:val="single" w:sz="4" w:space="0" w:color="auto"/>
              <w:right w:val="nil"/>
            </w:tcBorders>
            <w:shd w:val="clear" w:color="auto" w:fill="E6E6E6"/>
            <w:hideMark/>
          </w:tcPr>
          <w:p w14:paraId="5704330C" w14:textId="1B4A817C" w:rsidR="00CF037A" w:rsidRPr="00A03996" w:rsidRDefault="00CF037A" w:rsidP="00CF037A">
            <w:pPr>
              <w:spacing w:before="0" w:after="0"/>
              <w:jc w:val="right"/>
              <w:rPr>
                <w:rFonts w:ascii="Arial" w:hAnsi="Arial"/>
                <w:b/>
                <w:sz w:val="16"/>
                <w:szCs w:val="16"/>
                <w:lang w:val="en-AU"/>
              </w:rPr>
            </w:pPr>
            <w:r w:rsidRPr="008D56D3">
              <w:rPr>
                <w:rFonts w:ascii="Arial" w:hAnsi="Arial"/>
                <w:b/>
                <w:bCs/>
                <w:sz w:val="16"/>
                <w:szCs w:val="16"/>
                <w:lang w:val="en-AU"/>
              </w:rPr>
              <w:t>2025-26</w:t>
            </w:r>
            <w:r w:rsidRPr="008D56D3">
              <w:rPr>
                <w:rFonts w:ascii="Arial" w:hAnsi="Arial"/>
                <w:b/>
                <w:bCs/>
                <w:sz w:val="16"/>
                <w:szCs w:val="16"/>
                <w:lang w:val="en-AU"/>
              </w:rPr>
              <w:br/>
              <w:t>Budget</w:t>
            </w:r>
            <w:r w:rsidRPr="008D56D3">
              <w:rPr>
                <w:rFonts w:ascii="Arial" w:hAnsi="Arial"/>
                <w:b/>
                <w:bCs/>
                <w:sz w:val="16"/>
                <w:szCs w:val="16"/>
                <w:lang w:val="en-AU"/>
              </w:rPr>
              <w:br/>
            </w:r>
            <w:r w:rsidRPr="008D56D3">
              <w:rPr>
                <w:rFonts w:ascii="Arial" w:hAnsi="Arial"/>
                <w:b/>
                <w:bCs/>
                <w:sz w:val="16"/>
                <w:szCs w:val="16"/>
                <w:lang w:val="en-AU"/>
              </w:rPr>
              <w:br/>
              <w:t>$'000</w:t>
            </w:r>
          </w:p>
        </w:tc>
        <w:tc>
          <w:tcPr>
            <w:tcW w:w="1059" w:type="dxa"/>
            <w:tcBorders>
              <w:top w:val="single" w:sz="4" w:space="0" w:color="auto"/>
              <w:left w:val="nil"/>
              <w:bottom w:val="single" w:sz="4" w:space="0" w:color="auto"/>
              <w:right w:val="nil"/>
            </w:tcBorders>
            <w:shd w:val="clear" w:color="auto" w:fill="auto"/>
            <w:hideMark/>
          </w:tcPr>
          <w:p w14:paraId="57274181" w14:textId="7DD55B67" w:rsidR="00CF037A" w:rsidRPr="00A03996" w:rsidRDefault="00CF037A" w:rsidP="0040014B">
            <w:pPr>
              <w:spacing w:before="0" w:after="0"/>
              <w:jc w:val="right"/>
              <w:rPr>
                <w:rFonts w:ascii="Arial" w:hAnsi="Arial"/>
                <w:b/>
                <w:sz w:val="16"/>
                <w:szCs w:val="16"/>
                <w:lang w:val="en-AU"/>
              </w:rPr>
            </w:pPr>
            <w:r w:rsidRPr="008D56D3">
              <w:rPr>
                <w:rFonts w:ascii="Arial" w:hAnsi="Arial"/>
                <w:b/>
                <w:bCs/>
                <w:sz w:val="16"/>
                <w:szCs w:val="16"/>
                <w:lang w:val="en-AU"/>
              </w:rPr>
              <w:t xml:space="preserve">2026-27 Forward </w:t>
            </w:r>
            <w:r w:rsidR="0040014B">
              <w:rPr>
                <w:rFonts w:ascii="Arial" w:hAnsi="Arial"/>
                <w:b/>
                <w:bCs/>
                <w:sz w:val="16"/>
                <w:szCs w:val="16"/>
                <w:lang w:val="en-AU"/>
              </w:rPr>
              <w:t>E</w:t>
            </w:r>
            <w:r w:rsidRPr="008D56D3">
              <w:rPr>
                <w:rFonts w:ascii="Arial" w:hAnsi="Arial"/>
                <w:b/>
                <w:bCs/>
                <w:sz w:val="16"/>
                <w:szCs w:val="16"/>
                <w:lang w:val="en-AU"/>
              </w:rPr>
              <w:t>stimate</w:t>
            </w:r>
            <w:r w:rsidRPr="008D56D3">
              <w:rPr>
                <w:rFonts w:ascii="Arial" w:hAnsi="Arial"/>
                <w:b/>
                <w:bCs/>
                <w:sz w:val="16"/>
                <w:szCs w:val="16"/>
                <w:lang w:val="en-AU"/>
              </w:rPr>
              <w:br/>
              <w:t>$'000</w:t>
            </w:r>
          </w:p>
        </w:tc>
        <w:tc>
          <w:tcPr>
            <w:tcW w:w="1059" w:type="dxa"/>
            <w:tcBorders>
              <w:top w:val="single" w:sz="4" w:space="0" w:color="auto"/>
              <w:left w:val="nil"/>
              <w:bottom w:val="single" w:sz="4" w:space="0" w:color="auto"/>
              <w:right w:val="nil"/>
            </w:tcBorders>
            <w:shd w:val="clear" w:color="auto" w:fill="auto"/>
            <w:hideMark/>
          </w:tcPr>
          <w:p w14:paraId="1808CC28" w14:textId="4078FC3E" w:rsidR="00CF037A" w:rsidRPr="00A03996" w:rsidRDefault="00CF037A" w:rsidP="0040014B">
            <w:pPr>
              <w:spacing w:before="0" w:after="0"/>
              <w:jc w:val="right"/>
              <w:rPr>
                <w:rFonts w:ascii="Arial" w:hAnsi="Arial"/>
                <w:b/>
                <w:sz w:val="16"/>
                <w:szCs w:val="16"/>
                <w:lang w:val="en-AU"/>
              </w:rPr>
            </w:pPr>
            <w:r w:rsidRPr="008D56D3">
              <w:rPr>
                <w:rFonts w:ascii="Arial" w:hAnsi="Arial"/>
                <w:b/>
                <w:bCs/>
                <w:sz w:val="16"/>
                <w:szCs w:val="16"/>
                <w:lang w:val="en-AU"/>
              </w:rPr>
              <w:t>2027-28</w:t>
            </w:r>
            <w:r w:rsidRPr="008D56D3">
              <w:rPr>
                <w:rFonts w:ascii="Arial" w:hAnsi="Arial"/>
                <w:b/>
                <w:bCs/>
                <w:sz w:val="16"/>
                <w:szCs w:val="16"/>
                <w:lang w:val="en-AU"/>
              </w:rPr>
              <w:br/>
              <w:t xml:space="preserve">Forward </w:t>
            </w:r>
            <w:r w:rsidR="0040014B">
              <w:rPr>
                <w:rFonts w:ascii="Arial" w:hAnsi="Arial"/>
                <w:b/>
                <w:bCs/>
                <w:sz w:val="16"/>
                <w:szCs w:val="16"/>
                <w:lang w:val="en-AU"/>
              </w:rPr>
              <w:t>E</w:t>
            </w:r>
            <w:r w:rsidRPr="008D56D3">
              <w:rPr>
                <w:rFonts w:ascii="Arial" w:hAnsi="Arial"/>
                <w:b/>
                <w:bCs/>
                <w:sz w:val="16"/>
                <w:szCs w:val="16"/>
                <w:lang w:val="en-AU"/>
              </w:rPr>
              <w:t>stimate</w:t>
            </w:r>
            <w:r w:rsidRPr="008D56D3">
              <w:rPr>
                <w:rFonts w:ascii="Arial" w:hAnsi="Arial"/>
                <w:b/>
                <w:bCs/>
                <w:sz w:val="16"/>
                <w:szCs w:val="16"/>
                <w:lang w:val="en-AU"/>
              </w:rPr>
              <w:br/>
              <w:t>$'000</w:t>
            </w:r>
          </w:p>
        </w:tc>
        <w:tc>
          <w:tcPr>
            <w:tcW w:w="1061" w:type="dxa"/>
            <w:tcBorders>
              <w:top w:val="single" w:sz="4" w:space="0" w:color="auto"/>
              <w:left w:val="nil"/>
              <w:bottom w:val="single" w:sz="4" w:space="0" w:color="auto"/>
              <w:right w:val="nil"/>
            </w:tcBorders>
            <w:shd w:val="clear" w:color="auto" w:fill="auto"/>
            <w:hideMark/>
          </w:tcPr>
          <w:p w14:paraId="248CC94A" w14:textId="7703AF34" w:rsidR="00CF037A" w:rsidRPr="00A03996" w:rsidRDefault="00CF037A" w:rsidP="0040014B">
            <w:pPr>
              <w:spacing w:before="0" w:after="0"/>
              <w:jc w:val="right"/>
              <w:rPr>
                <w:rFonts w:ascii="Arial" w:hAnsi="Arial"/>
                <w:b/>
                <w:sz w:val="16"/>
                <w:szCs w:val="16"/>
                <w:lang w:val="en-AU"/>
              </w:rPr>
            </w:pPr>
            <w:r w:rsidRPr="008D56D3">
              <w:rPr>
                <w:rFonts w:ascii="Arial" w:hAnsi="Arial"/>
                <w:b/>
                <w:bCs/>
                <w:sz w:val="16"/>
                <w:szCs w:val="16"/>
                <w:lang w:val="en-AU"/>
              </w:rPr>
              <w:t>2028-29</w:t>
            </w:r>
            <w:r w:rsidRPr="008D56D3">
              <w:rPr>
                <w:rFonts w:ascii="Arial" w:hAnsi="Arial"/>
                <w:b/>
                <w:bCs/>
                <w:sz w:val="16"/>
                <w:szCs w:val="16"/>
                <w:lang w:val="en-AU"/>
              </w:rPr>
              <w:br/>
              <w:t xml:space="preserve">Forward </w:t>
            </w:r>
            <w:r w:rsidR="0040014B">
              <w:rPr>
                <w:rFonts w:ascii="Arial" w:hAnsi="Arial"/>
                <w:b/>
                <w:bCs/>
                <w:sz w:val="16"/>
                <w:szCs w:val="16"/>
                <w:lang w:val="en-AU"/>
              </w:rPr>
              <w:t>E</w:t>
            </w:r>
            <w:r w:rsidRPr="008D56D3">
              <w:rPr>
                <w:rFonts w:ascii="Arial" w:hAnsi="Arial"/>
                <w:b/>
                <w:bCs/>
                <w:sz w:val="16"/>
                <w:szCs w:val="16"/>
                <w:lang w:val="en-AU"/>
              </w:rPr>
              <w:t>stimate</w:t>
            </w:r>
            <w:r w:rsidRPr="008D56D3">
              <w:rPr>
                <w:rFonts w:ascii="Arial" w:hAnsi="Arial"/>
                <w:b/>
                <w:bCs/>
                <w:sz w:val="16"/>
                <w:szCs w:val="16"/>
                <w:lang w:val="en-AU"/>
              </w:rPr>
              <w:br/>
              <w:t>$'000</w:t>
            </w:r>
          </w:p>
        </w:tc>
      </w:tr>
      <w:tr w:rsidR="00C510E0" w:rsidRPr="00C510E0" w14:paraId="0485E077" w14:textId="77777777" w:rsidTr="00AF1017">
        <w:trPr>
          <w:trHeight w:val="232"/>
        </w:trPr>
        <w:tc>
          <w:tcPr>
            <w:tcW w:w="3178" w:type="dxa"/>
            <w:tcBorders>
              <w:top w:val="nil"/>
              <w:left w:val="nil"/>
              <w:bottom w:val="nil"/>
              <w:right w:val="nil"/>
            </w:tcBorders>
            <w:shd w:val="clear" w:color="auto" w:fill="auto"/>
            <w:noWrap/>
            <w:vAlign w:val="center"/>
            <w:hideMark/>
          </w:tcPr>
          <w:p w14:paraId="16A3B756" w14:textId="77777777" w:rsidR="00C510E0" w:rsidRPr="002B2BCC" w:rsidRDefault="00C510E0" w:rsidP="00C510E0">
            <w:pPr>
              <w:spacing w:before="0" w:after="0"/>
              <w:rPr>
                <w:rFonts w:ascii="Arial" w:hAnsi="Arial"/>
                <w:b/>
                <w:bCs/>
                <w:color w:val="000000"/>
                <w:sz w:val="16"/>
                <w:szCs w:val="16"/>
                <w:lang w:val="en-AU"/>
              </w:rPr>
            </w:pPr>
            <w:r w:rsidRPr="002B2BCC">
              <w:rPr>
                <w:rFonts w:ascii="Arial" w:hAnsi="Arial"/>
                <w:b/>
                <w:bCs/>
                <w:color w:val="000000"/>
                <w:sz w:val="16"/>
                <w:szCs w:val="16"/>
                <w:lang w:val="en-AU"/>
              </w:rPr>
              <w:t>ASSETS</w:t>
            </w:r>
          </w:p>
        </w:tc>
        <w:tc>
          <w:tcPr>
            <w:tcW w:w="981" w:type="dxa"/>
            <w:tcBorders>
              <w:top w:val="nil"/>
              <w:left w:val="nil"/>
              <w:bottom w:val="nil"/>
              <w:right w:val="nil"/>
            </w:tcBorders>
            <w:shd w:val="clear" w:color="auto" w:fill="auto"/>
            <w:noWrap/>
            <w:vAlign w:val="center"/>
            <w:hideMark/>
          </w:tcPr>
          <w:p w14:paraId="21BD14DE" w14:textId="77777777" w:rsidR="00C510E0" w:rsidRPr="00C510E0" w:rsidRDefault="00C510E0" w:rsidP="00C510E0">
            <w:pPr>
              <w:spacing w:before="0" w:after="0"/>
              <w:jc w:val="right"/>
              <w:rPr>
                <w:rFonts w:ascii="Arial" w:hAnsi="Arial"/>
                <w:b/>
                <w:bCs/>
                <w:color w:val="000000"/>
                <w:sz w:val="16"/>
                <w:szCs w:val="16"/>
                <w:highlight w:val="yellow"/>
                <w:lang w:val="en-AU"/>
              </w:rPr>
            </w:pPr>
          </w:p>
        </w:tc>
        <w:tc>
          <w:tcPr>
            <w:tcW w:w="1060" w:type="dxa"/>
            <w:tcBorders>
              <w:top w:val="nil"/>
              <w:left w:val="nil"/>
              <w:bottom w:val="nil"/>
              <w:right w:val="nil"/>
            </w:tcBorders>
            <w:shd w:val="clear" w:color="auto" w:fill="E6E6E6"/>
            <w:noWrap/>
            <w:vAlign w:val="center"/>
          </w:tcPr>
          <w:p w14:paraId="6DD64C15" w14:textId="77777777" w:rsidR="00C510E0" w:rsidRPr="00C510E0" w:rsidRDefault="00C510E0" w:rsidP="00C510E0">
            <w:pPr>
              <w:spacing w:before="0" w:after="0"/>
              <w:jc w:val="right"/>
              <w:rPr>
                <w:rFonts w:ascii="Arial" w:hAnsi="Arial"/>
                <w:color w:val="000000"/>
                <w:sz w:val="16"/>
                <w:szCs w:val="16"/>
                <w:highlight w:val="yellow"/>
                <w:lang w:val="en-AU"/>
              </w:rPr>
            </w:pPr>
          </w:p>
        </w:tc>
        <w:tc>
          <w:tcPr>
            <w:tcW w:w="1059" w:type="dxa"/>
            <w:tcBorders>
              <w:top w:val="nil"/>
              <w:left w:val="nil"/>
              <w:bottom w:val="nil"/>
              <w:right w:val="nil"/>
            </w:tcBorders>
            <w:shd w:val="clear" w:color="auto" w:fill="auto"/>
            <w:noWrap/>
            <w:vAlign w:val="center"/>
            <w:hideMark/>
          </w:tcPr>
          <w:p w14:paraId="5131ADC0" w14:textId="77777777" w:rsidR="00C510E0" w:rsidRPr="00C510E0" w:rsidRDefault="00C510E0" w:rsidP="00C510E0">
            <w:pPr>
              <w:spacing w:before="0" w:after="0"/>
              <w:jc w:val="right"/>
              <w:rPr>
                <w:rFonts w:ascii="Times New Roman" w:hAnsi="Times New Roman" w:cs="Times New Roman"/>
                <w:szCs w:val="20"/>
                <w:highlight w:val="yellow"/>
                <w:lang w:val="en-AU"/>
              </w:rPr>
            </w:pPr>
          </w:p>
        </w:tc>
        <w:tc>
          <w:tcPr>
            <w:tcW w:w="1059" w:type="dxa"/>
            <w:tcBorders>
              <w:top w:val="nil"/>
              <w:left w:val="nil"/>
              <w:bottom w:val="nil"/>
              <w:right w:val="nil"/>
            </w:tcBorders>
            <w:shd w:val="clear" w:color="auto" w:fill="auto"/>
            <w:noWrap/>
            <w:vAlign w:val="center"/>
          </w:tcPr>
          <w:p w14:paraId="79E37CC8" w14:textId="77777777" w:rsidR="00C510E0" w:rsidRPr="00C510E0" w:rsidRDefault="00C510E0" w:rsidP="00C510E0">
            <w:pPr>
              <w:spacing w:before="0" w:after="0"/>
              <w:jc w:val="right"/>
              <w:rPr>
                <w:rFonts w:ascii="Times New Roman" w:hAnsi="Times New Roman" w:cs="Times New Roman"/>
                <w:szCs w:val="20"/>
                <w:highlight w:val="yellow"/>
                <w:lang w:val="en-AU"/>
              </w:rPr>
            </w:pPr>
          </w:p>
        </w:tc>
        <w:tc>
          <w:tcPr>
            <w:tcW w:w="1061" w:type="dxa"/>
            <w:tcBorders>
              <w:top w:val="nil"/>
              <w:left w:val="nil"/>
              <w:bottom w:val="nil"/>
              <w:right w:val="nil"/>
            </w:tcBorders>
            <w:shd w:val="clear" w:color="auto" w:fill="auto"/>
            <w:noWrap/>
            <w:vAlign w:val="center"/>
          </w:tcPr>
          <w:p w14:paraId="27370349" w14:textId="77777777" w:rsidR="00C510E0" w:rsidRPr="00C510E0" w:rsidRDefault="00C510E0" w:rsidP="00C510E0">
            <w:pPr>
              <w:spacing w:before="0" w:after="0"/>
              <w:jc w:val="right"/>
              <w:rPr>
                <w:rFonts w:ascii="Times New Roman" w:hAnsi="Times New Roman" w:cs="Times New Roman"/>
                <w:szCs w:val="20"/>
                <w:highlight w:val="yellow"/>
                <w:lang w:val="en-AU"/>
              </w:rPr>
            </w:pPr>
          </w:p>
        </w:tc>
      </w:tr>
      <w:tr w:rsidR="00C510E0" w:rsidRPr="00C510E0" w14:paraId="5D015CC4" w14:textId="77777777" w:rsidTr="00AF1017">
        <w:trPr>
          <w:trHeight w:val="232"/>
        </w:trPr>
        <w:tc>
          <w:tcPr>
            <w:tcW w:w="3178" w:type="dxa"/>
            <w:tcBorders>
              <w:top w:val="nil"/>
              <w:left w:val="nil"/>
              <w:bottom w:val="nil"/>
              <w:right w:val="nil"/>
            </w:tcBorders>
            <w:shd w:val="clear" w:color="auto" w:fill="auto"/>
            <w:noWrap/>
            <w:vAlign w:val="center"/>
            <w:hideMark/>
          </w:tcPr>
          <w:p w14:paraId="1F00D9A6" w14:textId="77777777" w:rsidR="00C510E0" w:rsidRPr="002B2BCC" w:rsidRDefault="00C510E0" w:rsidP="00C510E0">
            <w:pPr>
              <w:spacing w:before="0" w:after="0"/>
              <w:ind w:firstLineChars="100" w:firstLine="160"/>
              <w:rPr>
                <w:rFonts w:ascii="Arial" w:hAnsi="Arial"/>
                <w:b/>
                <w:bCs/>
                <w:color w:val="000000"/>
                <w:sz w:val="16"/>
                <w:szCs w:val="16"/>
                <w:lang w:val="en-AU"/>
              </w:rPr>
            </w:pPr>
            <w:r w:rsidRPr="002B2BCC">
              <w:rPr>
                <w:rFonts w:ascii="Arial" w:hAnsi="Arial"/>
                <w:b/>
                <w:bCs/>
                <w:color w:val="000000"/>
                <w:sz w:val="16"/>
                <w:szCs w:val="16"/>
                <w:lang w:val="en-AU"/>
              </w:rPr>
              <w:t>Financial assets</w:t>
            </w:r>
          </w:p>
        </w:tc>
        <w:tc>
          <w:tcPr>
            <w:tcW w:w="981" w:type="dxa"/>
            <w:tcBorders>
              <w:top w:val="nil"/>
              <w:left w:val="nil"/>
              <w:bottom w:val="nil"/>
              <w:right w:val="nil"/>
            </w:tcBorders>
            <w:shd w:val="clear" w:color="auto" w:fill="auto"/>
            <w:noWrap/>
            <w:vAlign w:val="center"/>
          </w:tcPr>
          <w:p w14:paraId="7EAA736B" w14:textId="77777777" w:rsidR="00C510E0" w:rsidRPr="00C510E0" w:rsidRDefault="00C510E0" w:rsidP="00C510E0">
            <w:pPr>
              <w:spacing w:before="0" w:after="0"/>
              <w:ind w:firstLineChars="100" w:firstLine="160"/>
              <w:jc w:val="right"/>
              <w:rPr>
                <w:rFonts w:ascii="Arial" w:hAnsi="Arial"/>
                <w:b/>
                <w:bCs/>
                <w:color w:val="000000"/>
                <w:sz w:val="16"/>
                <w:szCs w:val="16"/>
                <w:highlight w:val="yellow"/>
                <w:lang w:val="en-AU"/>
              </w:rPr>
            </w:pPr>
          </w:p>
        </w:tc>
        <w:tc>
          <w:tcPr>
            <w:tcW w:w="1060" w:type="dxa"/>
            <w:tcBorders>
              <w:top w:val="nil"/>
              <w:left w:val="nil"/>
              <w:bottom w:val="nil"/>
              <w:right w:val="nil"/>
            </w:tcBorders>
            <w:shd w:val="clear" w:color="auto" w:fill="E6E6E6"/>
            <w:noWrap/>
            <w:vAlign w:val="center"/>
          </w:tcPr>
          <w:p w14:paraId="6C1ABFF6" w14:textId="77777777" w:rsidR="00C510E0" w:rsidRPr="00C510E0" w:rsidRDefault="00C510E0" w:rsidP="00C510E0">
            <w:pPr>
              <w:spacing w:before="0" w:after="0"/>
              <w:jc w:val="right"/>
              <w:rPr>
                <w:rFonts w:ascii="Arial" w:hAnsi="Arial"/>
                <w:color w:val="000000"/>
                <w:sz w:val="16"/>
                <w:szCs w:val="16"/>
                <w:highlight w:val="yellow"/>
                <w:lang w:val="en-AU"/>
              </w:rPr>
            </w:pPr>
          </w:p>
        </w:tc>
        <w:tc>
          <w:tcPr>
            <w:tcW w:w="1059" w:type="dxa"/>
            <w:tcBorders>
              <w:top w:val="nil"/>
              <w:left w:val="nil"/>
              <w:bottom w:val="nil"/>
              <w:right w:val="nil"/>
            </w:tcBorders>
            <w:shd w:val="clear" w:color="auto" w:fill="auto"/>
            <w:noWrap/>
            <w:vAlign w:val="center"/>
          </w:tcPr>
          <w:p w14:paraId="59433661" w14:textId="77777777" w:rsidR="00C510E0" w:rsidRPr="00C510E0" w:rsidRDefault="00C510E0" w:rsidP="00C510E0">
            <w:pPr>
              <w:spacing w:before="0" w:after="0"/>
              <w:jc w:val="right"/>
              <w:rPr>
                <w:rFonts w:ascii="Times New Roman" w:hAnsi="Times New Roman" w:cs="Times New Roman"/>
                <w:szCs w:val="20"/>
                <w:highlight w:val="yellow"/>
                <w:lang w:val="en-AU"/>
              </w:rPr>
            </w:pPr>
          </w:p>
        </w:tc>
        <w:tc>
          <w:tcPr>
            <w:tcW w:w="1059" w:type="dxa"/>
            <w:tcBorders>
              <w:top w:val="nil"/>
              <w:left w:val="nil"/>
              <w:bottom w:val="nil"/>
              <w:right w:val="nil"/>
            </w:tcBorders>
            <w:shd w:val="clear" w:color="auto" w:fill="auto"/>
            <w:noWrap/>
            <w:vAlign w:val="center"/>
          </w:tcPr>
          <w:p w14:paraId="028A0461" w14:textId="77777777" w:rsidR="00C510E0" w:rsidRPr="00C510E0" w:rsidRDefault="00C510E0" w:rsidP="00C510E0">
            <w:pPr>
              <w:spacing w:before="0" w:after="0"/>
              <w:jc w:val="right"/>
              <w:rPr>
                <w:rFonts w:ascii="Times New Roman" w:hAnsi="Times New Roman" w:cs="Times New Roman"/>
                <w:szCs w:val="20"/>
                <w:highlight w:val="yellow"/>
                <w:lang w:val="en-AU"/>
              </w:rPr>
            </w:pPr>
          </w:p>
        </w:tc>
        <w:tc>
          <w:tcPr>
            <w:tcW w:w="1061" w:type="dxa"/>
            <w:tcBorders>
              <w:top w:val="nil"/>
              <w:left w:val="nil"/>
              <w:bottom w:val="nil"/>
              <w:right w:val="nil"/>
            </w:tcBorders>
            <w:shd w:val="clear" w:color="auto" w:fill="auto"/>
            <w:noWrap/>
            <w:vAlign w:val="center"/>
          </w:tcPr>
          <w:p w14:paraId="03D6A840" w14:textId="77777777" w:rsidR="00C510E0" w:rsidRPr="00C510E0" w:rsidRDefault="00C510E0" w:rsidP="00C510E0">
            <w:pPr>
              <w:spacing w:before="0" w:after="0"/>
              <w:jc w:val="right"/>
              <w:rPr>
                <w:rFonts w:ascii="Times New Roman" w:hAnsi="Times New Roman" w:cs="Times New Roman"/>
                <w:szCs w:val="20"/>
                <w:highlight w:val="yellow"/>
                <w:lang w:val="en-AU"/>
              </w:rPr>
            </w:pPr>
          </w:p>
        </w:tc>
      </w:tr>
      <w:tr w:rsidR="00CF037A" w:rsidRPr="00C510E0" w14:paraId="2AE02752" w14:textId="77777777" w:rsidTr="002A5A4F">
        <w:trPr>
          <w:trHeight w:val="232"/>
        </w:trPr>
        <w:tc>
          <w:tcPr>
            <w:tcW w:w="3178" w:type="dxa"/>
            <w:tcBorders>
              <w:top w:val="nil"/>
              <w:left w:val="nil"/>
              <w:bottom w:val="nil"/>
              <w:right w:val="nil"/>
            </w:tcBorders>
            <w:shd w:val="clear" w:color="auto" w:fill="auto"/>
            <w:noWrap/>
            <w:vAlign w:val="center"/>
            <w:hideMark/>
          </w:tcPr>
          <w:p w14:paraId="1850C0E9" w14:textId="77777777" w:rsidR="00CF037A" w:rsidRPr="002B2BCC" w:rsidRDefault="00CF037A" w:rsidP="00CF037A">
            <w:pPr>
              <w:spacing w:before="0" w:after="0"/>
              <w:ind w:firstLineChars="200" w:firstLine="320"/>
              <w:rPr>
                <w:rFonts w:ascii="Arial" w:hAnsi="Arial"/>
                <w:color w:val="000000"/>
                <w:sz w:val="16"/>
                <w:szCs w:val="16"/>
                <w:lang w:val="en-AU"/>
              </w:rPr>
            </w:pPr>
            <w:r w:rsidRPr="002B2BCC">
              <w:rPr>
                <w:rFonts w:ascii="Arial" w:hAnsi="Arial"/>
                <w:color w:val="000000"/>
                <w:sz w:val="16"/>
                <w:szCs w:val="16"/>
                <w:lang w:val="en-AU"/>
              </w:rPr>
              <w:t xml:space="preserve">Cash </w:t>
            </w:r>
            <w:r w:rsidRPr="002B2BCC">
              <w:rPr>
                <w:rFonts w:ascii="Arial" w:hAnsi="Arial"/>
                <w:sz w:val="16"/>
                <w:szCs w:val="16"/>
                <w:lang w:val="en-AU"/>
              </w:rPr>
              <w:t>and cash equivalents</w:t>
            </w:r>
          </w:p>
        </w:tc>
        <w:tc>
          <w:tcPr>
            <w:tcW w:w="981" w:type="dxa"/>
            <w:tcBorders>
              <w:top w:val="nil"/>
              <w:left w:val="nil"/>
              <w:bottom w:val="nil"/>
              <w:right w:val="nil"/>
            </w:tcBorders>
            <w:shd w:val="clear" w:color="auto" w:fill="auto"/>
            <w:noWrap/>
            <w:vAlign w:val="center"/>
          </w:tcPr>
          <w:p w14:paraId="6D055C8B" w14:textId="0D298DE6" w:rsidR="00CF037A" w:rsidRPr="00C510E0" w:rsidRDefault="00CF037A" w:rsidP="00CF037A">
            <w:pPr>
              <w:spacing w:before="0" w:after="0"/>
              <w:jc w:val="right"/>
              <w:rPr>
                <w:rFonts w:ascii="Arial" w:hAnsi="Arial"/>
                <w:color w:val="000000"/>
                <w:sz w:val="16"/>
                <w:szCs w:val="16"/>
                <w:highlight w:val="yellow"/>
                <w:lang w:val="en-AU"/>
              </w:rPr>
            </w:pPr>
            <w:r w:rsidRPr="008D56D3">
              <w:rPr>
                <w:rFonts w:ascii="Arial" w:hAnsi="Arial"/>
                <w:color w:val="000000"/>
                <w:sz w:val="16"/>
                <w:szCs w:val="16"/>
                <w:lang w:val="en-AU"/>
              </w:rPr>
              <w:t>119,929</w:t>
            </w:r>
          </w:p>
        </w:tc>
        <w:tc>
          <w:tcPr>
            <w:tcW w:w="1060" w:type="dxa"/>
            <w:tcBorders>
              <w:top w:val="nil"/>
              <w:left w:val="nil"/>
              <w:bottom w:val="nil"/>
              <w:right w:val="nil"/>
            </w:tcBorders>
            <w:shd w:val="clear" w:color="auto" w:fill="E6E6E6"/>
            <w:noWrap/>
            <w:vAlign w:val="center"/>
          </w:tcPr>
          <w:p w14:paraId="01BC3FA7" w14:textId="2F3312B6" w:rsidR="00CF037A" w:rsidRPr="00C510E0" w:rsidRDefault="00CF037A" w:rsidP="00CF037A">
            <w:pPr>
              <w:spacing w:before="0" w:after="0"/>
              <w:jc w:val="right"/>
              <w:rPr>
                <w:rFonts w:ascii="Arial" w:hAnsi="Arial"/>
                <w:color w:val="000000"/>
                <w:sz w:val="16"/>
                <w:szCs w:val="16"/>
                <w:highlight w:val="yellow"/>
                <w:lang w:val="en-AU"/>
              </w:rPr>
            </w:pPr>
            <w:r w:rsidRPr="008D56D3">
              <w:rPr>
                <w:rFonts w:ascii="Arial" w:hAnsi="Arial"/>
                <w:color w:val="000000"/>
                <w:sz w:val="16"/>
                <w:szCs w:val="16"/>
                <w:lang w:val="en-AU"/>
              </w:rPr>
              <w:t>117,720</w:t>
            </w:r>
          </w:p>
        </w:tc>
        <w:tc>
          <w:tcPr>
            <w:tcW w:w="1059" w:type="dxa"/>
            <w:tcBorders>
              <w:top w:val="nil"/>
              <w:left w:val="nil"/>
              <w:bottom w:val="nil"/>
              <w:right w:val="nil"/>
            </w:tcBorders>
            <w:shd w:val="clear" w:color="auto" w:fill="auto"/>
            <w:noWrap/>
            <w:vAlign w:val="center"/>
          </w:tcPr>
          <w:p w14:paraId="2DE2A696" w14:textId="1D8DA391" w:rsidR="00CF037A" w:rsidRPr="000C42FD" w:rsidRDefault="00CF037A" w:rsidP="00CF037A">
            <w:pPr>
              <w:spacing w:before="0" w:after="0"/>
              <w:jc w:val="right"/>
              <w:rPr>
                <w:rFonts w:ascii="Arial" w:hAnsi="Arial"/>
                <w:color w:val="000000"/>
                <w:sz w:val="16"/>
                <w:szCs w:val="16"/>
                <w:lang w:val="en-AU"/>
              </w:rPr>
            </w:pPr>
            <w:r w:rsidRPr="008D56D3">
              <w:rPr>
                <w:rFonts w:ascii="Arial" w:hAnsi="Arial"/>
                <w:color w:val="000000"/>
                <w:sz w:val="16"/>
                <w:szCs w:val="16"/>
                <w:lang w:val="en-AU"/>
              </w:rPr>
              <w:t>125,096</w:t>
            </w:r>
          </w:p>
        </w:tc>
        <w:tc>
          <w:tcPr>
            <w:tcW w:w="1059" w:type="dxa"/>
            <w:tcBorders>
              <w:top w:val="nil"/>
              <w:left w:val="nil"/>
              <w:bottom w:val="nil"/>
              <w:right w:val="nil"/>
            </w:tcBorders>
            <w:shd w:val="clear" w:color="auto" w:fill="auto"/>
            <w:noWrap/>
            <w:vAlign w:val="center"/>
          </w:tcPr>
          <w:p w14:paraId="6B1D95D1" w14:textId="78A4F61C" w:rsidR="00CF037A" w:rsidRPr="000C42FD" w:rsidRDefault="00CF037A" w:rsidP="00CF037A">
            <w:pPr>
              <w:spacing w:before="0" w:after="0"/>
              <w:jc w:val="right"/>
              <w:rPr>
                <w:rFonts w:ascii="Arial" w:hAnsi="Arial"/>
                <w:color w:val="000000"/>
                <w:sz w:val="16"/>
                <w:szCs w:val="16"/>
                <w:lang w:val="en-AU"/>
              </w:rPr>
            </w:pPr>
            <w:r w:rsidRPr="008D56D3">
              <w:rPr>
                <w:rFonts w:ascii="Arial" w:hAnsi="Arial"/>
                <w:color w:val="000000"/>
                <w:sz w:val="16"/>
                <w:szCs w:val="16"/>
                <w:lang w:val="en-AU"/>
              </w:rPr>
              <w:t>173,199</w:t>
            </w:r>
          </w:p>
        </w:tc>
        <w:tc>
          <w:tcPr>
            <w:tcW w:w="1061" w:type="dxa"/>
            <w:tcBorders>
              <w:top w:val="nil"/>
              <w:left w:val="nil"/>
              <w:bottom w:val="nil"/>
              <w:right w:val="nil"/>
            </w:tcBorders>
            <w:shd w:val="clear" w:color="auto" w:fill="auto"/>
            <w:noWrap/>
            <w:vAlign w:val="center"/>
          </w:tcPr>
          <w:p w14:paraId="69097526" w14:textId="07ECE707" w:rsidR="00CF037A" w:rsidRPr="00C510E0" w:rsidRDefault="00CF037A" w:rsidP="00CF037A">
            <w:pPr>
              <w:spacing w:before="0" w:after="0"/>
              <w:jc w:val="right"/>
              <w:rPr>
                <w:rFonts w:ascii="Arial" w:hAnsi="Arial"/>
                <w:color w:val="000000"/>
                <w:sz w:val="16"/>
                <w:szCs w:val="16"/>
                <w:highlight w:val="yellow"/>
                <w:lang w:val="en-AU"/>
              </w:rPr>
            </w:pPr>
            <w:r w:rsidRPr="008D56D3">
              <w:rPr>
                <w:rFonts w:ascii="Arial" w:hAnsi="Arial"/>
                <w:color w:val="000000"/>
                <w:sz w:val="16"/>
                <w:szCs w:val="16"/>
                <w:lang w:val="en-AU"/>
              </w:rPr>
              <w:t>153,930</w:t>
            </w:r>
          </w:p>
        </w:tc>
      </w:tr>
      <w:tr w:rsidR="00CF037A" w:rsidRPr="00C510E0" w14:paraId="1BB82C08" w14:textId="77777777" w:rsidTr="002A5A4F">
        <w:trPr>
          <w:trHeight w:val="232"/>
        </w:trPr>
        <w:tc>
          <w:tcPr>
            <w:tcW w:w="3178" w:type="dxa"/>
            <w:tcBorders>
              <w:top w:val="nil"/>
              <w:left w:val="nil"/>
              <w:bottom w:val="nil"/>
              <w:right w:val="nil"/>
            </w:tcBorders>
            <w:shd w:val="clear" w:color="auto" w:fill="auto"/>
            <w:noWrap/>
            <w:vAlign w:val="center"/>
            <w:hideMark/>
          </w:tcPr>
          <w:p w14:paraId="74513992" w14:textId="77777777" w:rsidR="00CF037A" w:rsidRPr="002B2BCC" w:rsidRDefault="00CF037A" w:rsidP="00CF037A">
            <w:pPr>
              <w:spacing w:before="0" w:after="0"/>
              <w:ind w:firstLineChars="200" w:firstLine="320"/>
              <w:rPr>
                <w:rFonts w:ascii="Arial" w:hAnsi="Arial"/>
                <w:sz w:val="16"/>
                <w:szCs w:val="16"/>
                <w:lang w:val="en-AU"/>
              </w:rPr>
            </w:pPr>
            <w:r w:rsidRPr="002B2BCC">
              <w:rPr>
                <w:rFonts w:ascii="Arial" w:hAnsi="Arial"/>
                <w:sz w:val="16"/>
                <w:szCs w:val="16"/>
                <w:lang w:val="en-AU"/>
              </w:rPr>
              <w:t>Trade and other receivables</w:t>
            </w:r>
          </w:p>
        </w:tc>
        <w:tc>
          <w:tcPr>
            <w:tcW w:w="981" w:type="dxa"/>
            <w:tcBorders>
              <w:top w:val="nil"/>
              <w:left w:val="nil"/>
              <w:bottom w:val="nil"/>
              <w:right w:val="nil"/>
            </w:tcBorders>
            <w:shd w:val="clear" w:color="auto" w:fill="auto"/>
            <w:noWrap/>
            <w:vAlign w:val="center"/>
          </w:tcPr>
          <w:p w14:paraId="6B1A8C80" w14:textId="70A3014C" w:rsidR="00CF037A" w:rsidRPr="00C510E0" w:rsidRDefault="00CF037A" w:rsidP="00CF037A">
            <w:pPr>
              <w:spacing w:before="0" w:after="0"/>
              <w:jc w:val="right"/>
              <w:rPr>
                <w:rFonts w:ascii="Arial" w:hAnsi="Arial"/>
                <w:color w:val="000000"/>
                <w:sz w:val="16"/>
                <w:szCs w:val="16"/>
                <w:highlight w:val="yellow"/>
                <w:lang w:val="en-AU"/>
              </w:rPr>
            </w:pPr>
            <w:r w:rsidRPr="008D56D3">
              <w:rPr>
                <w:rFonts w:ascii="Arial" w:hAnsi="Arial"/>
                <w:color w:val="000000"/>
                <w:sz w:val="16"/>
                <w:szCs w:val="16"/>
                <w:lang w:val="en-AU"/>
              </w:rPr>
              <w:t>5,578</w:t>
            </w:r>
          </w:p>
        </w:tc>
        <w:tc>
          <w:tcPr>
            <w:tcW w:w="1060" w:type="dxa"/>
            <w:tcBorders>
              <w:top w:val="nil"/>
              <w:left w:val="nil"/>
              <w:bottom w:val="nil"/>
              <w:right w:val="nil"/>
            </w:tcBorders>
            <w:shd w:val="clear" w:color="auto" w:fill="E6E6E6"/>
            <w:noWrap/>
            <w:vAlign w:val="center"/>
          </w:tcPr>
          <w:p w14:paraId="748CEB14" w14:textId="182DC06A" w:rsidR="00CF037A" w:rsidRPr="00C510E0" w:rsidRDefault="00CF037A" w:rsidP="00CF037A">
            <w:pPr>
              <w:spacing w:before="0" w:after="0"/>
              <w:jc w:val="right"/>
              <w:rPr>
                <w:rFonts w:ascii="Arial" w:hAnsi="Arial"/>
                <w:color w:val="000000"/>
                <w:sz w:val="16"/>
                <w:szCs w:val="16"/>
                <w:highlight w:val="yellow"/>
                <w:lang w:val="en-AU"/>
              </w:rPr>
            </w:pPr>
            <w:r w:rsidRPr="008D56D3">
              <w:rPr>
                <w:rFonts w:ascii="Arial" w:hAnsi="Arial"/>
                <w:color w:val="000000"/>
                <w:sz w:val="16"/>
                <w:szCs w:val="16"/>
                <w:lang w:val="en-AU"/>
              </w:rPr>
              <w:t>6,883</w:t>
            </w:r>
          </w:p>
        </w:tc>
        <w:tc>
          <w:tcPr>
            <w:tcW w:w="1059" w:type="dxa"/>
            <w:tcBorders>
              <w:top w:val="nil"/>
              <w:left w:val="nil"/>
              <w:bottom w:val="nil"/>
              <w:right w:val="nil"/>
            </w:tcBorders>
            <w:shd w:val="clear" w:color="auto" w:fill="auto"/>
            <w:noWrap/>
            <w:vAlign w:val="center"/>
          </w:tcPr>
          <w:p w14:paraId="5D2363B6" w14:textId="39AB64B0" w:rsidR="00CF037A" w:rsidRPr="000C42FD" w:rsidRDefault="00CF037A" w:rsidP="00CF037A">
            <w:pPr>
              <w:spacing w:before="0" w:after="0"/>
              <w:jc w:val="right"/>
              <w:rPr>
                <w:rFonts w:ascii="Arial" w:hAnsi="Arial"/>
                <w:color w:val="000000"/>
                <w:sz w:val="16"/>
                <w:szCs w:val="16"/>
                <w:lang w:val="en-AU"/>
              </w:rPr>
            </w:pPr>
            <w:r w:rsidRPr="008D56D3">
              <w:rPr>
                <w:rFonts w:ascii="Arial" w:hAnsi="Arial"/>
                <w:color w:val="000000"/>
                <w:sz w:val="16"/>
                <w:szCs w:val="16"/>
                <w:lang w:val="en-AU"/>
              </w:rPr>
              <w:t>7,841</w:t>
            </w:r>
          </w:p>
        </w:tc>
        <w:tc>
          <w:tcPr>
            <w:tcW w:w="1059" w:type="dxa"/>
            <w:tcBorders>
              <w:top w:val="nil"/>
              <w:left w:val="nil"/>
              <w:bottom w:val="nil"/>
              <w:right w:val="nil"/>
            </w:tcBorders>
            <w:shd w:val="clear" w:color="auto" w:fill="auto"/>
            <w:noWrap/>
            <w:vAlign w:val="center"/>
          </w:tcPr>
          <w:p w14:paraId="31B52A4A" w14:textId="3662C72F" w:rsidR="00CF037A" w:rsidRPr="000C42FD" w:rsidRDefault="00CF037A" w:rsidP="00CF037A">
            <w:pPr>
              <w:spacing w:before="0" w:after="0"/>
              <w:jc w:val="right"/>
              <w:rPr>
                <w:rFonts w:ascii="Arial" w:hAnsi="Arial"/>
                <w:color w:val="000000"/>
                <w:sz w:val="16"/>
                <w:szCs w:val="16"/>
                <w:lang w:val="en-AU"/>
              </w:rPr>
            </w:pPr>
            <w:r w:rsidRPr="008D56D3">
              <w:rPr>
                <w:rFonts w:ascii="Arial" w:hAnsi="Arial"/>
                <w:color w:val="000000"/>
                <w:sz w:val="16"/>
                <w:szCs w:val="16"/>
                <w:lang w:val="en-AU"/>
              </w:rPr>
              <w:t>8,655</w:t>
            </w:r>
          </w:p>
        </w:tc>
        <w:tc>
          <w:tcPr>
            <w:tcW w:w="1061" w:type="dxa"/>
            <w:tcBorders>
              <w:top w:val="nil"/>
              <w:left w:val="nil"/>
              <w:bottom w:val="nil"/>
              <w:right w:val="nil"/>
            </w:tcBorders>
            <w:shd w:val="clear" w:color="auto" w:fill="auto"/>
            <w:noWrap/>
            <w:vAlign w:val="center"/>
          </w:tcPr>
          <w:p w14:paraId="0E242550" w14:textId="7BB89856" w:rsidR="00CF037A" w:rsidRPr="00C510E0" w:rsidRDefault="00CF037A" w:rsidP="00CF037A">
            <w:pPr>
              <w:spacing w:before="0" w:after="0"/>
              <w:jc w:val="right"/>
              <w:rPr>
                <w:rFonts w:ascii="Arial" w:hAnsi="Arial"/>
                <w:color w:val="000000"/>
                <w:sz w:val="16"/>
                <w:szCs w:val="16"/>
                <w:highlight w:val="yellow"/>
                <w:lang w:val="en-AU"/>
              </w:rPr>
            </w:pPr>
            <w:r w:rsidRPr="008D56D3">
              <w:rPr>
                <w:rFonts w:ascii="Arial" w:hAnsi="Arial"/>
                <w:color w:val="000000"/>
                <w:sz w:val="16"/>
                <w:szCs w:val="16"/>
                <w:lang w:val="en-AU"/>
              </w:rPr>
              <w:t>9,049</w:t>
            </w:r>
          </w:p>
        </w:tc>
      </w:tr>
      <w:tr w:rsidR="00CF037A" w:rsidRPr="00C510E0" w14:paraId="5DF714F6" w14:textId="77777777" w:rsidTr="002A5A4F">
        <w:trPr>
          <w:trHeight w:val="232"/>
        </w:trPr>
        <w:tc>
          <w:tcPr>
            <w:tcW w:w="3178" w:type="dxa"/>
            <w:tcBorders>
              <w:top w:val="nil"/>
              <w:left w:val="nil"/>
              <w:bottom w:val="nil"/>
              <w:right w:val="nil"/>
            </w:tcBorders>
            <w:shd w:val="clear" w:color="auto" w:fill="auto"/>
            <w:noWrap/>
            <w:vAlign w:val="center"/>
            <w:hideMark/>
          </w:tcPr>
          <w:p w14:paraId="037DEAB4" w14:textId="77777777" w:rsidR="00CF037A" w:rsidRPr="002B2BCC" w:rsidRDefault="00CF037A" w:rsidP="00CF037A">
            <w:pPr>
              <w:spacing w:before="0" w:after="0"/>
              <w:ind w:firstLineChars="200" w:firstLine="320"/>
              <w:rPr>
                <w:rFonts w:ascii="Arial" w:hAnsi="Arial"/>
                <w:color w:val="000000"/>
                <w:sz w:val="16"/>
                <w:szCs w:val="16"/>
                <w:lang w:val="en-AU"/>
              </w:rPr>
            </w:pPr>
            <w:r w:rsidRPr="002B2BCC">
              <w:rPr>
                <w:rFonts w:ascii="Arial" w:hAnsi="Arial"/>
                <w:color w:val="000000"/>
                <w:sz w:val="16"/>
                <w:szCs w:val="16"/>
                <w:lang w:val="en-AU"/>
              </w:rPr>
              <w:t>Other financial assets</w:t>
            </w:r>
          </w:p>
        </w:tc>
        <w:tc>
          <w:tcPr>
            <w:tcW w:w="981" w:type="dxa"/>
            <w:tcBorders>
              <w:top w:val="nil"/>
              <w:left w:val="nil"/>
              <w:bottom w:val="nil"/>
              <w:right w:val="nil"/>
            </w:tcBorders>
            <w:shd w:val="clear" w:color="auto" w:fill="auto"/>
            <w:noWrap/>
            <w:vAlign w:val="center"/>
          </w:tcPr>
          <w:p w14:paraId="10A1ACEC" w14:textId="1E1704E8" w:rsidR="00CF037A" w:rsidRPr="00C510E0" w:rsidRDefault="00CF037A" w:rsidP="00CF037A">
            <w:pPr>
              <w:spacing w:before="0" w:after="0"/>
              <w:jc w:val="right"/>
              <w:rPr>
                <w:rFonts w:ascii="Arial" w:hAnsi="Arial"/>
                <w:color w:val="000000"/>
                <w:sz w:val="16"/>
                <w:szCs w:val="16"/>
                <w:highlight w:val="yellow"/>
                <w:lang w:val="en-AU"/>
              </w:rPr>
            </w:pPr>
            <w:r w:rsidRPr="008D56D3">
              <w:rPr>
                <w:rFonts w:ascii="Arial" w:hAnsi="Arial"/>
                <w:color w:val="000000"/>
                <w:sz w:val="16"/>
                <w:szCs w:val="16"/>
                <w:lang w:val="en-AU"/>
              </w:rPr>
              <w:t>31,604</w:t>
            </w:r>
          </w:p>
        </w:tc>
        <w:tc>
          <w:tcPr>
            <w:tcW w:w="1060" w:type="dxa"/>
            <w:tcBorders>
              <w:top w:val="nil"/>
              <w:left w:val="nil"/>
              <w:bottom w:val="nil"/>
              <w:right w:val="nil"/>
            </w:tcBorders>
            <w:shd w:val="clear" w:color="auto" w:fill="E6E6E6"/>
            <w:noWrap/>
            <w:vAlign w:val="center"/>
          </w:tcPr>
          <w:p w14:paraId="25738FAF" w14:textId="237F677A" w:rsidR="00CF037A" w:rsidRPr="00C510E0" w:rsidRDefault="00CF037A" w:rsidP="00CF037A">
            <w:pPr>
              <w:spacing w:before="0" w:after="0"/>
              <w:jc w:val="right"/>
              <w:rPr>
                <w:rFonts w:ascii="Arial" w:hAnsi="Arial"/>
                <w:color w:val="000000"/>
                <w:sz w:val="16"/>
                <w:szCs w:val="16"/>
                <w:highlight w:val="yellow"/>
                <w:lang w:val="en-AU"/>
              </w:rPr>
            </w:pPr>
            <w:r w:rsidRPr="008D56D3">
              <w:rPr>
                <w:rFonts w:ascii="Arial" w:hAnsi="Arial"/>
                <w:color w:val="000000"/>
                <w:sz w:val="16"/>
                <w:szCs w:val="16"/>
                <w:lang w:val="en-AU"/>
              </w:rPr>
              <w:t>31,604</w:t>
            </w:r>
          </w:p>
        </w:tc>
        <w:tc>
          <w:tcPr>
            <w:tcW w:w="1059" w:type="dxa"/>
            <w:tcBorders>
              <w:top w:val="nil"/>
              <w:left w:val="nil"/>
              <w:bottom w:val="nil"/>
              <w:right w:val="nil"/>
            </w:tcBorders>
            <w:shd w:val="clear" w:color="auto" w:fill="auto"/>
            <w:noWrap/>
            <w:vAlign w:val="center"/>
          </w:tcPr>
          <w:p w14:paraId="5D5BFE05" w14:textId="55C171C8" w:rsidR="00CF037A" w:rsidRPr="008455BB" w:rsidRDefault="00CF037A" w:rsidP="00CF037A">
            <w:pPr>
              <w:spacing w:before="0" w:after="0"/>
              <w:jc w:val="right"/>
              <w:rPr>
                <w:rFonts w:ascii="Arial" w:hAnsi="Arial"/>
                <w:color w:val="000000"/>
                <w:sz w:val="16"/>
                <w:szCs w:val="16"/>
                <w:lang w:val="en-AU"/>
              </w:rPr>
            </w:pPr>
            <w:r w:rsidRPr="008D56D3">
              <w:rPr>
                <w:rFonts w:ascii="Arial" w:hAnsi="Arial"/>
                <w:color w:val="000000"/>
                <w:sz w:val="16"/>
                <w:szCs w:val="16"/>
                <w:lang w:val="en-AU"/>
              </w:rPr>
              <w:t>31,604</w:t>
            </w:r>
          </w:p>
        </w:tc>
        <w:tc>
          <w:tcPr>
            <w:tcW w:w="1059" w:type="dxa"/>
            <w:tcBorders>
              <w:top w:val="nil"/>
              <w:left w:val="nil"/>
              <w:bottom w:val="nil"/>
              <w:right w:val="nil"/>
            </w:tcBorders>
            <w:shd w:val="clear" w:color="auto" w:fill="auto"/>
            <w:noWrap/>
            <w:vAlign w:val="center"/>
          </w:tcPr>
          <w:p w14:paraId="2D2CF0AA" w14:textId="49179D96" w:rsidR="00CF037A" w:rsidRPr="008455BB" w:rsidRDefault="00CF037A" w:rsidP="00CF037A">
            <w:pPr>
              <w:spacing w:before="0" w:after="0"/>
              <w:jc w:val="right"/>
              <w:rPr>
                <w:rFonts w:ascii="Arial" w:hAnsi="Arial"/>
                <w:color w:val="000000"/>
                <w:sz w:val="16"/>
                <w:szCs w:val="16"/>
                <w:lang w:val="en-AU"/>
              </w:rPr>
            </w:pPr>
            <w:r w:rsidRPr="008D56D3">
              <w:rPr>
                <w:rFonts w:ascii="Arial" w:hAnsi="Arial"/>
                <w:color w:val="000000"/>
                <w:sz w:val="16"/>
                <w:szCs w:val="16"/>
                <w:lang w:val="en-AU"/>
              </w:rPr>
              <w:t>31,604</w:t>
            </w:r>
          </w:p>
        </w:tc>
        <w:tc>
          <w:tcPr>
            <w:tcW w:w="1061" w:type="dxa"/>
            <w:tcBorders>
              <w:top w:val="nil"/>
              <w:left w:val="nil"/>
              <w:bottom w:val="nil"/>
              <w:right w:val="nil"/>
            </w:tcBorders>
            <w:shd w:val="clear" w:color="auto" w:fill="auto"/>
            <w:noWrap/>
            <w:vAlign w:val="center"/>
          </w:tcPr>
          <w:p w14:paraId="30198459" w14:textId="28BDEFDE" w:rsidR="00CF037A" w:rsidRPr="00C510E0" w:rsidRDefault="00CF037A" w:rsidP="00CF037A">
            <w:pPr>
              <w:spacing w:before="0" w:after="0"/>
              <w:jc w:val="right"/>
              <w:rPr>
                <w:rFonts w:ascii="Arial" w:hAnsi="Arial"/>
                <w:color w:val="000000"/>
                <w:sz w:val="16"/>
                <w:szCs w:val="16"/>
                <w:highlight w:val="yellow"/>
                <w:lang w:val="en-AU"/>
              </w:rPr>
            </w:pPr>
            <w:r w:rsidRPr="008D56D3">
              <w:rPr>
                <w:rFonts w:ascii="Arial" w:hAnsi="Arial"/>
                <w:color w:val="000000"/>
                <w:sz w:val="16"/>
                <w:szCs w:val="16"/>
                <w:lang w:val="en-AU"/>
              </w:rPr>
              <w:t>31,604</w:t>
            </w:r>
          </w:p>
        </w:tc>
      </w:tr>
      <w:tr w:rsidR="00CF037A" w:rsidRPr="00C510E0" w14:paraId="03F210DE" w14:textId="77777777" w:rsidTr="002A5A4F">
        <w:trPr>
          <w:trHeight w:val="232"/>
        </w:trPr>
        <w:tc>
          <w:tcPr>
            <w:tcW w:w="3178" w:type="dxa"/>
            <w:tcBorders>
              <w:top w:val="nil"/>
              <w:left w:val="nil"/>
              <w:bottom w:val="nil"/>
              <w:right w:val="nil"/>
            </w:tcBorders>
            <w:shd w:val="clear" w:color="auto" w:fill="auto"/>
            <w:noWrap/>
            <w:vAlign w:val="center"/>
            <w:hideMark/>
          </w:tcPr>
          <w:p w14:paraId="6AEBF7E8" w14:textId="77777777" w:rsidR="00CF037A" w:rsidRPr="002B2BCC" w:rsidRDefault="00CF037A" w:rsidP="00CF037A">
            <w:pPr>
              <w:spacing w:before="0" w:after="0"/>
              <w:ind w:firstLineChars="100" w:firstLine="160"/>
              <w:rPr>
                <w:rFonts w:ascii="Arial" w:hAnsi="Arial"/>
                <w:b/>
                <w:bCs/>
                <w:i/>
                <w:iCs/>
                <w:color w:val="000000"/>
                <w:sz w:val="16"/>
                <w:szCs w:val="16"/>
                <w:lang w:val="en-AU"/>
              </w:rPr>
            </w:pPr>
            <w:r w:rsidRPr="002B2BCC">
              <w:rPr>
                <w:rFonts w:ascii="Arial" w:hAnsi="Arial"/>
                <w:b/>
                <w:bCs/>
                <w:i/>
                <w:iCs/>
                <w:color w:val="000000"/>
                <w:sz w:val="16"/>
                <w:szCs w:val="16"/>
                <w:lang w:val="en-AU"/>
              </w:rPr>
              <w:t>Total financial assets</w:t>
            </w:r>
          </w:p>
        </w:tc>
        <w:tc>
          <w:tcPr>
            <w:tcW w:w="981" w:type="dxa"/>
            <w:tcBorders>
              <w:top w:val="single" w:sz="4" w:space="0" w:color="000000"/>
              <w:left w:val="nil"/>
              <w:bottom w:val="single" w:sz="4" w:space="0" w:color="000000"/>
              <w:right w:val="nil"/>
            </w:tcBorders>
            <w:shd w:val="clear" w:color="auto" w:fill="auto"/>
            <w:noWrap/>
            <w:vAlign w:val="center"/>
          </w:tcPr>
          <w:p w14:paraId="7992779D" w14:textId="13DBE698" w:rsidR="00CF037A" w:rsidRPr="00C510E0" w:rsidRDefault="00CF037A" w:rsidP="00CF037A">
            <w:pPr>
              <w:spacing w:before="0" w:after="0"/>
              <w:jc w:val="right"/>
              <w:rPr>
                <w:rFonts w:ascii="Arial" w:hAnsi="Arial"/>
                <w:b/>
                <w:bCs/>
                <w:iCs/>
                <w:color w:val="000000"/>
                <w:sz w:val="16"/>
                <w:szCs w:val="16"/>
                <w:highlight w:val="yellow"/>
                <w:lang w:val="en-AU"/>
              </w:rPr>
            </w:pPr>
            <w:r w:rsidRPr="008D56D3">
              <w:rPr>
                <w:rFonts w:ascii="Arial" w:hAnsi="Arial"/>
                <w:b/>
                <w:bCs/>
                <w:i/>
                <w:iCs/>
                <w:color w:val="000000"/>
                <w:sz w:val="16"/>
                <w:szCs w:val="16"/>
                <w:lang w:val="en-AU"/>
              </w:rPr>
              <w:t xml:space="preserve">       157,111 </w:t>
            </w:r>
          </w:p>
        </w:tc>
        <w:tc>
          <w:tcPr>
            <w:tcW w:w="1060" w:type="dxa"/>
            <w:tcBorders>
              <w:top w:val="single" w:sz="4" w:space="0" w:color="000000"/>
              <w:left w:val="nil"/>
              <w:bottom w:val="single" w:sz="4" w:space="0" w:color="000000"/>
              <w:right w:val="nil"/>
            </w:tcBorders>
            <w:shd w:val="clear" w:color="auto" w:fill="E6E6E6"/>
            <w:noWrap/>
            <w:vAlign w:val="center"/>
          </w:tcPr>
          <w:p w14:paraId="0303B774" w14:textId="5FC04036" w:rsidR="00CF037A" w:rsidRPr="00C510E0" w:rsidRDefault="00CF037A" w:rsidP="00DC59EB">
            <w:pPr>
              <w:spacing w:before="0" w:after="0"/>
              <w:jc w:val="right"/>
              <w:rPr>
                <w:rFonts w:ascii="Arial" w:hAnsi="Arial"/>
                <w:b/>
                <w:bCs/>
                <w:iCs/>
                <w:color w:val="000000"/>
                <w:sz w:val="16"/>
                <w:szCs w:val="16"/>
                <w:highlight w:val="yellow"/>
                <w:lang w:val="en-AU"/>
              </w:rPr>
            </w:pPr>
            <w:r w:rsidRPr="008D56D3">
              <w:rPr>
                <w:rFonts w:ascii="Arial" w:hAnsi="Arial"/>
                <w:b/>
                <w:bCs/>
                <w:i/>
                <w:iCs/>
                <w:color w:val="000000"/>
                <w:sz w:val="16"/>
                <w:szCs w:val="16"/>
                <w:lang w:val="en-AU"/>
              </w:rPr>
              <w:t xml:space="preserve">       156,207</w:t>
            </w:r>
          </w:p>
        </w:tc>
        <w:tc>
          <w:tcPr>
            <w:tcW w:w="1059" w:type="dxa"/>
            <w:tcBorders>
              <w:top w:val="single" w:sz="4" w:space="0" w:color="000000"/>
              <w:left w:val="nil"/>
              <w:bottom w:val="single" w:sz="4" w:space="0" w:color="000000"/>
              <w:right w:val="nil"/>
            </w:tcBorders>
            <w:shd w:val="clear" w:color="auto" w:fill="auto"/>
            <w:noWrap/>
            <w:vAlign w:val="center"/>
          </w:tcPr>
          <w:p w14:paraId="40A18288" w14:textId="178B2BAD" w:rsidR="00CF037A" w:rsidRPr="008455BB" w:rsidRDefault="00CF037A" w:rsidP="00DC59EB">
            <w:pPr>
              <w:spacing w:before="0" w:after="0"/>
              <w:jc w:val="right"/>
              <w:rPr>
                <w:rFonts w:ascii="Arial" w:hAnsi="Arial"/>
                <w:b/>
                <w:bCs/>
                <w:iCs/>
                <w:color w:val="000000"/>
                <w:sz w:val="16"/>
                <w:szCs w:val="16"/>
                <w:lang w:val="en-AU"/>
              </w:rPr>
            </w:pPr>
            <w:r w:rsidRPr="008D56D3">
              <w:rPr>
                <w:rFonts w:ascii="Arial" w:hAnsi="Arial"/>
                <w:b/>
                <w:bCs/>
                <w:i/>
                <w:iCs/>
                <w:color w:val="000000"/>
                <w:sz w:val="16"/>
                <w:szCs w:val="16"/>
                <w:lang w:val="en-AU"/>
              </w:rPr>
              <w:t xml:space="preserve">       164,541</w:t>
            </w:r>
          </w:p>
        </w:tc>
        <w:tc>
          <w:tcPr>
            <w:tcW w:w="1059" w:type="dxa"/>
            <w:tcBorders>
              <w:top w:val="single" w:sz="4" w:space="0" w:color="000000"/>
              <w:left w:val="nil"/>
              <w:bottom w:val="single" w:sz="4" w:space="0" w:color="000000"/>
              <w:right w:val="nil"/>
            </w:tcBorders>
            <w:shd w:val="clear" w:color="auto" w:fill="auto"/>
            <w:noWrap/>
            <w:vAlign w:val="center"/>
          </w:tcPr>
          <w:p w14:paraId="0F196764" w14:textId="67C8E335" w:rsidR="00CF037A" w:rsidRPr="008455BB" w:rsidRDefault="00CF037A" w:rsidP="00DC59EB">
            <w:pPr>
              <w:spacing w:before="0" w:after="0"/>
              <w:jc w:val="right"/>
              <w:rPr>
                <w:rFonts w:ascii="Arial" w:hAnsi="Arial"/>
                <w:b/>
                <w:bCs/>
                <w:iCs/>
                <w:color w:val="000000"/>
                <w:sz w:val="16"/>
                <w:szCs w:val="16"/>
                <w:lang w:val="en-AU"/>
              </w:rPr>
            </w:pPr>
            <w:r w:rsidRPr="008D56D3">
              <w:rPr>
                <w:rFonts w:ascii="Arial" w:hAnsi="Arial"/>
                <w:b/>
                <w:bCs/>
                <w:i/>
                <w:iCs/>
                <w:color w:val="000000"/>
                <w:sz w:val="16"/>
                <w:szCs w:val="16"/>
                <w:lang w:val="en-AU"/>
              </w:rPr>
              <w:t xml:space="preserve">       213,458</w:t>
            </w:r>
          </w:p>
        </w:tc>
        <w:tc>
          <w:tcPr>
            <w:tcW w:w="1061" w:type="dxa"/>
            <w:tcBorders>
              <w:top w:val="single" w:sz="4" w:space="0" w:color="000000"/>
              <w:left w:val="nil"/>
              <w:bottom w:val="single" w:sz="4" w:space="0" w:color="000000"/>
              <w:right w:val="nil"/>
            </w:tcBorders>
            <w:shd w:val="clear" w:color="auto" w:fill="auto"/>
            <w:noWrap/>
            <w:vAlign w:val="center"/>
          </w:tcPr>
          <w:p w14:paraId="5CA0127C" w14:textId="76EE98DA" w:rsidR="00CF037A" w:rsidRPr="00C510E0" w:rsidRDefault="00CF037A" w:rsidP="00CF037A">
            <w:pPr>
              <w:spacing w:before="0" w:after="0"/>
              <w:jc w:val="right"/>
              <w:rPr>
                <w:rFonts w:ascii="Arial" w:hAnsi="Arial"/>
                <w:b/>
                <w:bCs/>
                <w:iCs/>
                <w:color w:val="000000"/>
                <w:sz w:val="16"/>
                <w:szCs w:val="16"/>
                <w:highlight w:val="yellow"/>
                <w:lang w:val="en-AU"/>
              </w:rPr>
            </w:pPr>
            <w:r w:rsidRPr="008D56D3">
              <w:rPr>
                <w:rFonts w:ascii="Arial" w:hAnsi="Arial"/>
                <w:b/>
                <w:bCs/>
                <w:i/>
                <w:iCs/>
                <w:color w:val="000000"/>
                <w:sz w:val="16"/>
                <w:szCs w:val="16"/>
                <w:lang w:val="en-AU"/>
              </w:rPr>
              <w:t xml:space="preserve"> </w:t>
            </w:r>
            <w:r w:rsidR="00DC59EB">
              <w:rPr>
                <w:rFonts w:ascii="Arial" w:hAnsi="Arial"/>
                <w:b/>
                <w:bCs/>
                <w:i/>
                <w:iCs/>
                <w:color w:val="000000"/>
                <w:sz w:val="16"/>
                <w:szCs w:val="16"/>
                <w:lang w:val="en-AU"/>
              </w:rPr>
              <w:t xml:space="preserve">      194,583</w:t>
            </w:r>
          </w:p>
        </w:tc>
      </w:tr>
      <w:tr w:rsidR="00AF1017" w:rsidRPr="00C510E0" w14:paraId="7F50A3EF" w14:textId="77777777" w:rsidTr="00AF1017">
        <w:trPr>
          <w:trHeight w:val="232"/>
        </w:trPr>
        <w:tc>
          <w:tcPr>
            <w:tcW w:w="3178" w:type="dxa"/>
            <w:tcBorders>
              <w:top w:val="nil"/>
              <w:left w:val="nil"/>
              <w:bottom w:val="nil"/>
              <w:right w:val="nil"/>
            </w:tcBorders>
            <w:shd w:val="clear" w:color="auto" w:fill="auto"/>
            <w:noWrap/>
            <w:vAlign w:val="center"/>
            <w:hideMark/>
          </w:tcPr>
          <w:p w14:paraId="787DC4C0" w14:textId="77777777" w:rsidR="00AF1017" w:rsidRPr="002B2BCC" w:rsidRDefault="00AF1017" w:rsidP="00AF1017">
            <w:pPr>
              <w:spacing w:before="0" w:after="0"/>
              <w:ind w:firstLineChars="100" w:firstLine="160"/>
              <w:rPr>
                <w:rFonts w:ascii="Arial" w:hAnsi="Arial"/>
                <w:b/>
                <w:bCs/>
                <w:color w:val="000000"/>
                <w:sz w:val="16"/>
                <w:szCs w:val="16"/>
                <w:lang w:val="en-AU"/>
              </w:rPr>
            </w:pPr>
            <w:r w:rsidRPr="002B2BCC">
              <w:rPr>
                <w:rFonts w:ascii="Arial" w:hAnsi="Arial"/>
                <w:b/>
                <w:bCs/>
                <w:color w:val="000000"/>
                <w:sz w:val="16"/>
                <w:szCs w:val="16"/>
                <w:lang w:val="en-AU"/>
              </w:rPr>
              <w:t>Non-financial assets</w:t>
            </w:r>
          </w:p>
        </w:tc>
        <w:tc>
          <w:tcPr>
            <w:tcW w:w="981" w:type="dxa"/>
            <w:tcBorders>
              <w:top w:val="nil"/>
              <w:left w:val="nil"/>
              <w:bottom w:val="nil"/>
              <w:right w:val="nil"/>
            </w:tcBorders>
            <w:shd w:val="clear" w:color="auto" w:fill="auto"/>
            <w:noWrap/>
            <w:vAlign w:val="center"/>
          </w:tcPr>
          <w:p w14:paraId="0BF1EB1F" w14:textId="77777777" w:rsidR="00AF1017" w:rsidRPr="00C510E0" w:rsidRDefault="00AF1017" w:rsidP="00AF1017">
            <w:pPr>
              <w:spacing w:before="0" w:after="0"/>
              <w:jc w:val="right"/>
              <w:rPr>
                <w:rFonts w:ascii="Arial" w:hAnsi="Arial"/>
                <w:b/>
                <w:bCs/>
                <w:color w:val="000000"/>
                <w:sz w:val="16"/>
                <w:szCs w:val="16"/>
                <w:highlight w:val="yellow"/>
                <w:lang w:val="en-AU" w:eastAsia="zh-CN"/>
              </w:rPr>
            </w:pPr>
          </w:p>
        </w:tc>
        <w:tc>
          <w:tcPr>
            <w:tcW w:w="1060" w:type="dxa"/>
            <w:tcBorders>
              <w:top w:val="single" w:sz="4" w:space="0" w:color="000000"/>
              <w:left w:val="nil"/>
              <w:right w:val="nil"/>
            </w:tcBorders>
            <w:shd w:val="clear" w:color="auto" w:fill="E6E6E6"/>
            <w:noWrap/>
            <w:vAlign w:val="center"/>
          </w:tcPr>
          <w:p w14:paraId="5AD5B0FE" w14:textId="77777777" w:rsidR="00AF1017" w:rsidRPr="00C510E0" w:rsidRDefault="00AF1017" w:rsidP="00AF1017">
            <w:pPr>
              <w:spacing w:before="0" w:after="0"/>
              <w:jc w:val="right"/>
              <w:rPr>
                <w:rFonts w:ascii="Arial" w:hAnsi="Arial"/>
                <w:color w:val="000000"/>
                <w:sz w:val="16"/>
                <w:szCs w:val="16"/>
                <w:highlight w:val="yellow"/>
                <w:lang w:val="en-AU" w:eastAsia="zh-CN"/>
              </w:rPr>
            </w:pPr>
          </w:p>
        </w:tc>
        <w:tc>
          <w:tcPr>
            <w:tcW w:w="1059" w:type="dxa"/>
            <w:tcBorders>
              <w:top w:val="nil"/>
              <w:left w:val="nil"/>
              <w:bottom w:val="nil"/>
              <w:right w:val="nil"/>
            </w:tcBorders>
            <w:shd w:val="clear" w:color="auto" w:fill="auto"/>
            <w:noWrap/>
            <w:vAlign w:val="center"/>
          </w:tcPr>
          <w:p w14:paraId="52F3EAF8" w14:textId="77777777" w:rsidR="00AF1017" w:rsidRPr="00C510E0" w:rsidRDefault="00AF1017" w:rsidP="00AF1017">
            <w:pPr>
              <w:spacing w:before="0" w:after="0"/>
              <w:jc w:val="right"/>
              <w:rPr>
                <w:rFonts w:ascii="Times New Roman" w:hAnsi="Times New Roman" w:cs="Times New Roman"/>
                <w:szCs w:val="20"/>
                <w:highlight w:val="yellow"/>
                <w:lang w:val="en-AU" w:eastAsia="zh-CN"/>
              </w:rPr>
            </w:pPr>
          </w:p>
        </w:tc>
        <w:tc>
          <w:tcPr>
            <w:tcW w:w="1059" w:type="dxa"/>
            <w:tcBorders>
              <w:top w:val="nil"/>
              <w:left w:val="nil"/>
              <w:bottom w:val="nil"/>
              <w:right w:val="nil"/>
            </w:tcBorders>
            <w:shd w:val="clear" w:color="auto" w:fill="auto"/>
            <w:noWrap/>
            <w:vAlign w:val="center"/>
          </w:tcPr>
          <w:p w14:paraId="728A1F1B" w14:textId="77777777" w:rsidR="00AF1017" w:rsidRPr="00C510E0" w:rsidRDefault="00AF1017" w:rsidP="00AF1017">
            <w:pPr>
              <w:spacing w:before="0" w:after="0"/>
              <w:jc w:val="right"/>
              <w:rPr>
                <w:rFonts w:ascii="Times New Roman" w:hAnsi="Times New Roman" w:cs="Times New Roman"/>
                <w:szCs w:val="20"/>
                <w:highlight w:val="yellow"/>
                <w:lang w:val="en-AU"/>
              </w:rPr>
            </w:pPr>
          </w:p>
        </w:tc>
        <w:tc>
          <w:tcPr>
            <w:tcW w:w="1061" w:type="dxa"/>
            <w:tcBorders>
              <w:top w:val="nil"/>
              <w:left w:val="nil"/>
              <w:bottom w:val="nil"/>
              <w:right w:val="nil"/>
            </w:tcBorders>
            <w:shd w:val="clear" w:color="auto" w:fill="auto"/>
            <w:noWrap/>
            <w:vAlign w:val="center"/>
          </w:tcPr>
          <w:p w14:paraId="37D8480B" w14:textId="77777777" w:rsidR="00AF1017" w:rsidRPr="00C510E0" w:rsidRDefault="00AF1017" w:rsidP="00AF1017">
            <w:pPr>
              <w:spacing w:before="0" w:after="0"/>
              <w:jc w:val="right"/>
              <w:rPr>
                <w:rFonts w:ascii="Times New Roman" w:hAnsi="Times New Roman" w:cs="Times New Roman"/>
                <w:szCs w:val="20"/>
                <w:highlight w:val="yellow"/>
                <w:lang w:val="en-AU"/>
              </w:rPr>
            </w:pPr>
          </w:p>
        </w:tc>
      </w:tr>
      <w:tr w:rsidR="00CF037A" w:rsidRPr="00C510E0" w14:paraId="31F661C6" w14:textId="77777777" w:rsidTr="002A5A4F">
        <w:trPr>
          <w:trHeight w:val="232"/>
        </w:trPr>
        <w:tc>
          <w:tcPr>
            <w:tcW w:w="3178" w:type="dxa"/>
            <w:tcBorders>
              <w:top w:val="nil"/>
              <w:left w:val="nil"/>
              <w:bottom w:val="nil"/>
              <w:right w:val="nil"/>
            </w:tcBorders>
            <w:shd w:val="clear" w:color="auto" w:fill="auto"/>
            <w:noWrap/>
            <w:vAlign w:val="center"/>
            <w:hideMark/>
          </w:tcPr>
          <w:p w14:paraId="53AE1523" w14:textId="77777777" w:rsidR="00CF037A" w:rsidRPr="002B2BCC" w:rsidRDefault="00CF037A" w:rsidP="00CF037A">
            <w:pPr>
              <w:spacing w:before="0" w:after="0"/>
              <w:ind w:firstLineChars="200" w:firstLine="320"/>
              <w:rPr>
                <w:rFonts w:ascii="Arial" w:hAnsi="Arial"/>
                <w:color w:val="000000"/>
                <w:sz w:val="16"/>
                <w:szCs w:val="16"/>
                <w:lang w:val="en-AU"/>
              </w:rPr>
            </w:pPr>
            <w:r w:rsidRPr="002B2BCC">
              <w:rPr>
                <w:rFonts w:ascii="Arial" w:hAnsi="Arial"/>
                <w:color w:val="000000"/>
                <w:sz w:val="16"/>
                <w:szCs w:val="16"/>
                <w:lang w:val="en-AU"/>
              </w:rPr>
              <w:t>Land and buildings</w:t>
            </w:r>
          </w:p>
        </w:tc>
        <w:tc>
          <w:tcPr>
            <w:tcW w:w="981" w:type="dxa"/>
            <w:tcBorders>
              <w:top w:val="nil"/>
              <w:left w:val="nil"/>
              <w:bottom w:val="nil"/>
              <w:right w:val="nil"/>
            </w:tcBorders>
            <w:shd w:val="clear" w:color="auto" w:fill="auto"/>
            <w:noWrap/>
            <w:vAlign w:val="center"/>
          </w:tcPr>
          <w:p w14:paraId="586DCFBB" w14:textId="6277FDEB" w:rsidR="00CF037A" w:rsidRPr="00C510E0" w:rsidRDefault="00CF037A" w:rsidP="00CF037A">
            <w:pPr>
              <w:spacing w:before="0" w:after="0"/>
              <w:jc w:val="right"/>
              <w:rPr>
                <w:rFonts w:ascii="Arial" w:hAnsi="Arial"/>
                <w:color w:val="000000"/>
                <w:sz w:val="16"/>
                <w:szCs w:val="16"/>
                <w:highlight w:val="yellow"/>
                <w:lang w:val="en-AU"/>
              </w:rPr>
            </w:pPr>
            <w:r w:rsidRPr="008D56D3">
              <w:rPr>
                <w:rFonts w:ascii="Arial" w:hAnsi="Arial"/>
                <w:color w:val="000000"/>
                <w:sz w:val="16"/>
                <w:szCs w:val="16"/>
                <w:lang w:val="en-AU"/>
              </w:rPr>
              <w:t>5,511,509</w:t>
            </w:r>
          </w:p>
        </w:tc>
        <w:tc>
          <w:tcPr>
            <w:tcW w:w="1060" w:type="dxa"/>
            <w:tcBorders>
              <w:top w:val="nil"/>
              <w:left w:val="nil"/>
              <w:bottom w:val="nil"/>
              <w:right w:val="nil"/>
            </w:tcBorders>
            <w:shd w:val="clear" w:color="auto" w:fill="E6E6E6"/>
            <w:noWrap/>
            <w:vAlign w:val="center"/>
          </w:tcPr>
          <w:p w14:paraId="07C727FB" w14:textId="4C81DC91" w:rsidR="00CF037A" w:rsidRPr="00C510E0" w:rsidRDefault="00CF037A" w:rsidP="00CF037A">
            <w:pPr>
              <w:spacing w:before="0" w:after="0"/>
              <w:jc w:val="right"/>
              <w:rPr>
                <w:rFonts w:ascii="Arial" w:hAnsi="Arial"/>
                <w:color w:val="000000"/>
                <w:sz w:val="16"/>
                <w:szCs w:val="16"/>
                <w:highlight w:val="yellow"/>
                <w:lang w:val="en-AU"/>
              </w:rPr>
            </w:pPr>
            <w:r w:rsidRPr="008D56D3">
              <w:rPr>
                <w:rFonts w:ascii="Arial" w:hAnsi="Arial"/>
                <w:color w:val="000000"/>
                <w:sz w:val="16"/>
                <w:szCs w:val="16"/>
                <w:lang w:val="en-AU"/>
              </w:rPr>
              <w:t>5,743,560</w:t>
            </w:r>
          </w:p>
        </w:tc>
        <w:tc>
          <w:tcPr>
            <w:tcW w:w="1059" w:type="dxa"/>
            <w:tcBorders>
              <w:top w:val="nil"/>
              <w:left w:val="nil"/>
              <w:bottom w:val="nil"/>
              <w:right w:val="nil"/>
            </w:tcBorders>
            <w:shd w:val="clear" w:color="auto" w:fill="auto"/>
            <w:noWrap/>
            <w:vAlign w:val="center"/>
          </w:tcPr>
          <w:p w14:paraId="7E558300" w14:textId="2D6640FF" w:rsidR="00CF037A" w:rsidRPr="000C42FD" w:rsidRDefault="00CF037A" w:rsidP="00CF037A">
            <w:pPr>
              <w:spacing w:before="0" w:after="0"/>
              <w:jc w:val="right"/>
              <w:rPr>
                <w:rFonts w:ascii="Arial" w:hAnsi="Arial"/>
                <w:color w:val="000000"/>
                <w:sz w:val="16"/>
                <w:szCs w:val="16"/>
                <w:lang w:val="en-AU"/>
              </w:rPr>
            </w:pPr>
            <w:r w:rsidRPr="008D56D3">
              <w:rPr>
                <w:rFonts w:ascii="Arial" w:hAnsi="Arial"/>
                <w:color w:val="000000"/>
                <w:sz w:val="16"/>
                <w:szCs w:val="16"/>
                <w:lang w:val="en-AU"/>
              </w:rPr>
              <w:t>6,091,985</w:t>
            </w:r>
          </w:p>
        </w:tc>
        <w:tc>
          <w:tcPr>
            <w:tcW w:w="1059" w:type="dxa"/>
            <w:tcBorders>
              <w:top w:val="nil"/>
              <w:left w:val="nil"/>
              <w:bottom w:val="nil"/>
              <w:right w:val="nil"/>
            </w:tcBorders>
            <w:shd w:val="clear" w:color="auto" w:fill="auto"/>
            <w:noWrap/>
            <w:vAlign w:val="center"/>
          </w:tcPr>
          <w:p w14:paraId="318F8765" w14:textId="7438029E" w:rsidR="00CF037A" w:rsidRPr="000C42FD" w:rsidRDefault="00CF037A" w:rsidP="00CF037A">
            <w:pPr>
              <w:spacing w:before="0" w:after="0"/>
              <w:jc w:val="right"/>
              <w:rPr>
                <w:rFonts w:ascii="Arial" w:hAnsi="Arial"/>
                <w:color w:val="000000"/>
                <w:sz w:val="16"/>
                <w:szCs w:val="16"/>
                <w:lang w:val="en-AU"/>
              </w:rPr>
            </w:pPr>
            <w:r w:rsidRPr="008D56D3">
              <w:rPr>
                <w:rFonts w:ascii="Arial" w:hAnsi="Arial"/>
                <w:color w:val="000000"/>
                <w:sz w:val="16"/>
                <w:szCs w:val="16"/>
                <w:lang w:val="en-AU"/>
              </w:rPr>
              <w:t>6,399,515</w:t>
            </w:r>
          </w:p>
        </w:tc>
        <w:tc>
          <w:tcPr>
            <w:tcW w:w="1061" w:type="dxa"/>
            <w:tcBorders>
              <w:top w:val="nil"/>
              <w:left w:val="nil"/>
              <w:bottom w:val="nil"/>
              <w:right w:val="nil"/>
            </w:tcBorders>
            <w:shd w:val="clear" w:color="auto" w:fill="auto"/>
            <w:noWrap/>
            <w:vAlign w:val="center"/>
          </w:tcPr>
          <w:p w14:paraId="6A49F2D9" w14:textId="7FD1F9B0" w:rsidR="00CF037A" w:rsidRPr="00C510E0" w:rsidRDefault="00CF037A" w:rsidP="00CF037A">
            <w:pPr>
              <w:spacing w:before="0" w:after="0"/>
              <w:jc w:val="right"/>
              <w:rPr>
                <w:rFonts w:ascii="Arial" w:hAnsi="Arial"/>
                <w:color w:val="000000"/>
                <w:sz w:val="16"/>
                <w:szCs w:val="16"/>
                <w:highlight w:val="yellow"/>
                <w:lang w:val="en-AU"/>
              </w:rPr>
            </w:pPr>
            <w:r w:rsidRPr="008D56D3">
              <w:rPr>
                <w:rFonts w:ascii="Arial" w:hAnsi="Arial"/>
                <w:color w:val="000000"/>
                <w:sz w:val="16"/>
                <w:szCs w:val="16"/>
                <w:lang w:val="en-AU"/>
              </w:rPr>
              <w:t>6,631,738</w:t>
            </w:r>
          </w:p>
        </w:tc>
      </w:tr>
      <w:tr w:rsidR="00CF037A" w:rsidRPr="00C510E0" w14:paraId="6BA15489" w14:textId="77777777" w:rsidTr="002A5A4F">
        <w:trPr>
          <w:trHeight w:val="232"/>
        </w:trPr>
        <w:tc>
          <w:tcPr>
            <w:tcW w:w="3178" w:type="dxa"/>
            <w:tcBorders>
              <w:top w:val="nil"/>
              <w:left w:val="nil"/>
              <w:bottom w:val="nil"/>
              <w:right w:val="nil"/>
            </w:tcBorders>
            <w:shd w:val="clear" w:color="auto" w:fill="auto"/>
            <w:noWrap/>
            <w:vAlign w:val="center"/>
            <w:hideMark/>
          </w:tcPr>
          <w:p w14:paraId="5411B4D5" w14:textId="77777777" w:rsidR="00CF037A" w:rsidRPr="002B2BCC" w:rsidRDefault="00CF037A" w:rsidP="00CF037A">
            <w:pPr>
              <w:spacing w:before="0" w:after="0"/>
              <w:ind w:firstLineChars="200" w:firstLine="320"/>
              <w:rPr>
                <w:rFonts w:ascii="Arial" w:hAnsi="Arial"/>
                <w:color w:val="000000"/>
                <w:sz w:val="16"/>
                <w:szCs w:val="16"/>
                <w:lang w:val="en-AU"/>
              </w:rPr>
            </w:pPr>
            <w:r w:rsidRPr="002B2BCC">
              <w:rPr>
                <w:rFonts w:ascii="Arial" w:hAnsi="Arial"/>
                <w:color w:val="000000"/>
                <w:sz w:val="16"/>
                <w:szCs w:val="16"/>
                <w:lang w:val="en-AU"/>
              </w:rPr>
              <w:t>Property, plant and equipment</w:t>
            </w:r>
          </w:p>
        </w:tc>
        <w:tc>
          <w:tcPr>
            <w:tcW w:w="981" w:type="dxa"/>
            <w:tcBorders>
              <w:top w:val="nil"/>
              <w:left w:val="nil"/>
              <w:bottom w:val="nil"/>
              <w:right w:val="nil"/>
            </w:tcBorders>
            <w:shd w:val="clear" w:color="auto" w:fill="auto"/>
            <w:noWrap/>
            <w:vAlign w:val="center"/>
          </w:tcPr>
          <w:p w14:paraId="4653294B" w14:textId="76F5C78C" w:rsidR="00CF037A" w:rsidRPr="00C510E0" w:rsidRDefault="00CF037A" w:rsidP="00CF037A">
            <w:pPr>
              <w:spacing w:before="0" w:after="0"/>
              <w:jc w:val="right"/>
              <w:rPr>
                <w:rFonts w:ascii="Arial" w:hAnsi="Arial"/>
                <w:color w:val="000000"/>
                <w:sz w:val="16"/>
                <w:szCs w:val="16"/>
                <w:highlight w:val="yellow"/>
                <w:lang w:val="en-AU"/>
              </w:rPr>
            </w:pPr>
            <w:r w:rsidRPr="008D56D3">
              <w:rPr>
                <w:rFonts w:ascii="Arial" w:hAnsi="Arial"/>
                <w:color w:val="000000"/>
                <w:sz w:val="16"/>
                <w:szCs w:val="16"/>
                <w:lang w:val="en-AU"/>
              </w:rPr>
              <w:t>16,09</w:t>
            </w:r>
            <w:r>
              <w:rPr>
                <w:rFonts w:ascii="Arial" w:hAnsi="Arial"/>
                <w:color w:val="000000"/>
                <w:sz w:val="16"/>
                <w:szCs w:val="16"/>
                <w:lang w:val="en-AU"/>
              </w:rPr>
              <w:t>2</w:t>
            </w:r>
          </w:p>
        </w:tc>
        <w:tc>
          <w:tcPr>
            <w:tcW w:w="1060" w:type="dxa"/>
            <w:tcBorders>
              <w:top w:val="nil"/>
              <w:left w:val="nil"/>
              <w:bottom w:val="nil"/>
              <w:right w:val="nil"/>
            </w:tcBorders>
            <w:shd w:val="clear" w:color="auto" w:fill="E6E6E6"/>
            <w:noWrap/>
            <w:vAlign w:val="center"/>
          </w:tcPr>
          <w:p w14:paraId="7F63FAE2" w14:textId="51D070B3" w:rsidR="00CF037A" w:rsidRPr="00C510E0" w:rsidRDefault="00CF037A" w:rsidP="00CF037A">
            <w:pPr>
              <w:spacing w:before="0" w:after="0"/>
              <w:jc w:val="right"/>
              <w:rPr>
                <w:rFonts w:ascii="Arial" w:hAnsi="Arial"/>
                <w:color w:val="000000"/>
                <w:sz w:val="16"/>
                <w:szCs w:val="16"/>
                <w:highlight w:val="yellow"/>
                <w:lang w:val="en-AU"/>
              </w:rPr>
            </w:pPr>
            <w:r w:rsidRPr="008D56D3">
              <w:rPr>
                <w:rFonts w:ascii="Arial" w:hAnsi="Arial"/>
                <w:color w:val="000000"/>
                <w:sz w:val="16"/>
                <w:szCs w:val="16"/>
                <w:lang w:val="en-AU"/>
              </w:rPr>
              <w:t>16,04</w:t>
            </w:r>
            <w:r>
              <w:rPr>
                <w:rFonts w:ascii="Arial" w:hAnsi="Arial"/>
                <w:color w:val="000000"/>
                <w:sz w:val="16"/>
                <w:szCs w:val="16"/>
                <w:lang w:val="en-AU"/>
              </w:rPr>
              <w:t>5</w:t>
            </w:r>
          </w:p>
        </w:tc>
        <w:tc>
          <w:tcPr>
            <w:tcW w:w="1059" w:type="dxa"/>
            <w:tcBorders>
              <w:top w:val="nil"/>
              <w:left w:val="nil"/>
              <w:bottom w:val="nil"/>
              <w:right w:val="nil"/>
            </w:tcBorders>
            <w:shd w:val="clear" w:color="auto" w:fill="auto"/>
            <w:noWrap/>
            <w:vAlign w:val="center"/>
          </w:tcPr>
          <w:p w14:paraId="399CABBC" w14:textId="0C2C9A2D" w:rsidR="00CF037A" w:rsidRPr="000C42FD" w:rsidRDefault="00CF037A" w:rsidP="00CF037A">
            <w:pPr>
              <w:spacing w:before="0" w:after="0"/>
              <w:jc w:val="right"/>
              <w:rPr>
                <w:rFonts w:ascii="Arial" w:hAnsi="Arial"/>
                <w:color w:val="000000"/>
                <w:sz w:val="16"/>
                <w:szCs w:val="16"/>
                <w:lang w:val="en-AU"/>
              </w:rPr>
            </w:pPr>
            <w:r w:rsidRPr="008D56D3">
              <w:rPr>
                <w:rFonts w:ascii="Arial" w:hAnsi="Arial"/>
                <w:color w:val="000000"/>
                <w:sz w:val="16"/>
                <w:szCs w:val="16"/>
                <w:lang w:val="en-AU"/>
              </w:rPr>
              <w:t>17,400</w:t>
            </w:r>
          </w:p>
        </w:tc>
        <w:tc>
          <w:tcPr>
            <w:tcW w:w="1059" w:type="dxa"/>
            <w:tcBorders>
              <w:top w:val="nil"/>
              <w:left w:val="nil"/>
              <w:bottom w:val="nil"/>
              <w:right w:val="nil"/>
            </w:tcBorders>
            <w:shd w:val="clear" w:color="auto" w:fill="auto"/>
            <w:noWrap/>
            <w:vAlign w:val="center"/>
          </w:tcPr>
          <w:p w14:paraId="4A751A0C" w14:textId="37FE38B6" w:rsidR="00CF037A" w:rsidRPr="000C42FD" w:rsidRDefault="00CF037A" w:rsidP="00CF037A">
            <w:pPr>
              <w:spacing w:before="0" w:after="0"/>
              <w:jc w:val="right"/>
              <w:rPr>
                <w:rFonts w:ascii="Arial" w:hAnsi="Arial"/>
                <w:color w:val="000000"/>
                <w:sz w:val="16"/>
                <w:szCs w:val="16"/>
                <w:lang w:val="en-AU"/>
              </w:rPr>
            </w:pPr>
            <w:r w:rsidRPr="008D56D3">
              <w:rPr>
                <w:rFonts w:ascii="Arial" w:hAnsi="Arial"/>
                <w:color w:val="000000"/>
                <w:sz w:val="16"/>
                <w:szCs w:val="16"/>
                <w:lang w:val="en-AU"/>
              </w:rPr>
              <w:t>16,927</w:t>
            </w:r>
          </w:p>
        </w:tc>
        <w:tc>
          <w:tcPr>
            <w:tcW w:w="1061" w:type="dxa"/>
            <w:tcBorders>
              <w:top w:val="nil"/>
              <w:left w:val="nil"/>
              <w:bottom w:val="nil"/>
              <w:right w:val="nil"/>
            </w:tcBorders>
            <w:shd w:val="clear" w:color="auto" w:fill="auto"/>
            <w:noWrap/>
            <w:vAlign w:val="center"/>
          </w:tcPr>
          <w:p w14:paraId="09751488" w14:textId="5A736DA2" w:rsidR="00CF037A" w:rsidRPr="00C510E0" w:rsidRDefault="00CF037A" w:rsidP="00CF037A">
            <w:pPr>
              <w:spacing w:before="0" w:after="0"/>
              <w:jc w:val="right"/>
              <w:rPr>
                <w:rFonts w:ascii="Arial" w:hAnsi="Arial"/>
                <w:color w:val="000000"/>
                <w:sz w:val="16"/>
                <w:szCs w:val="16"/>
                <w:highlight w:val="yellow"/>
                <w:lang w:val="en-AU"/>
              </w:rPr>
            </w:pPr>
            <w:r w:rsidRPr="008D56D3">
              <w:rPr>
                <w:rFonts w:ascii="Arial" w:hAnsi="Arial"/>
                <w:color w:val="000000"/>
                <w:sz w:val="16"/>
                <w:szCs w:val="16"/>
                <w:lang w:val="en-AU"/>
              </w:rPr>
              <w:t>16,167</w:t>
            </w:r>
          </w:p>
        </w:tc>
      </w:tr>
      <w:tr w:rsidR="00CF037A" w:rsidRPr="00C510E0" w14:paraId="1A0D0868" w14:textId="77777777" w:rsidTr="002A5A4F">
        <w:trPr>
          <w:trHeight w:val="232"/>
        </w:trPr>
        <w:tc>
          <w:tcPr>
            <w:tcW w:w="3178" w:type="dxa"/>
            <w:tcBorders>
              <w:top w:val="nil"/>
              <w:left w:val="nil"/>
              <w:bottom w:val="nil"/>
              <w:right w:val="nil"/>
            </w:tcBorders>
            <w:shd w:val="clear" w:color="auto" w:fill="auto"/>
            <w:noWrap/>
            <w:vAlign w:val="center"/>
            <w:hideMark/>
          </w:tcPr>
          <w:p w14:paraId="2734EF47" w14:textId="77777777" w:rsidR="00CF037A" w:rsidRPr="002B2BCC" w:rsidRDefault="00CF037A" w:rsidP="00CF037A">
            <w:pPr>
              <w:spacing w:before="0" w:after="0"/>
              <w:ind w:firstLineChars="200" w:firstLine="320"/>
              <w:rPr>
                <w:rFonts w:ascii="Arial" w:hAnsi="Arial"/>
                <w:color w:val="000000"/>
                <w:sz w:val="16"/>
                <w:szCs w:val="16"/>
                <w:lang w:val="en-AU"/>
              </w:rPr>
            </w:pPr>
            <w:r w:rsidRPr="002B2BCC">
              <w:rPr>
                <w:rFonts w:ascii="Arial" w:hAnsi="Arial"/>
                <w:color w:val="000000"/>
                <w:sz w:val="16"/>
                <w:szCs w:val="16"/>
                <w:lang w:val="en-AU"/>
              </w:rPr>
              <w:t>Intangibles</w:t>
            </w:r>
          </w:p>
        </w:tc>
        <w:tc>
          <w:tcPr>
            <w:tcW w:w="981" w:type="dxa"/>
            <w:tcBorders>
              <w:top w:val="nil"/>
              <w:left w:val="nil"/>
              <w:bottom w:val="nil"/>
              <w:right w:val="nil"/>
            </w:tcBorders>
            <w:shd w:val="clear" w:color="auto" w:fill="auto"/>
            <w:noWrap/>
            <w:vAlign w:val="center"/>
          </w:tcPr>
          <w:p w14:paraId="34CC32A9" w14:textId="0AFBDBC7" w:rsidR="00CF037A" w:rsidRPr="00C510E0" w:rsidRDefault="00CF037A" w:rsidP="00CF037A">
            <w:pPr>
              <w:spacing w:before="0" w:after="0"/>
              <w:jc w:val="right"/>
              <w:rPr>
                <w:rFonts w:ascii="Arial" w:hAnsi="Arial"/>
                <w:color w:val="000000"/>
                <w:sz w:val="16"/>
                <w:szCs w:val="16"/>
                <w:highlight w:val="yellow"/>
                <w:lang w:val="en-AU"/>
              </w:rPr>
            </w:pPr>
            <w:r>
              <w:rPr>
                <w:rFonts w:ascii="Arial" w:hAnsi="Arial"/>
                <w:color w:val="000000"/>
                <w:sz w:val="16"/>
                <w:szCs w:val="16"/>
                <w:lang w:val="en-AU"/>
              </w:rPr>
              <w:t>2</w:t>
            </w:r>
          </w:p>
        </w:tc>
        <w:tc>
          <w:tcPr>
            <w:tcW w:w="1060" w:type="dxa"/>
            <w:tcBorders>
              <w:top w:val="nil"/>
              <w:left w:val="nil"/>
              <w:bottom w:val="nil"/>
              <w:right w:val="nil"/>
            </w:tcBorders>
            <w:shd w:val="clear" w:color="auto" w:fill="E6E6E6"/>
            <w:noWrap/>
            <w:vAlign w:val="center"/>
          </w:tcPr>
          <w:p w14:paraId="18C05C42" w14:textId="3D10CF07" w:rsidR="00CF037A" w:rsidRPr="00C510E0" w:rsidRDefault="00CF037A" w:rsidP="00CF037A">
            <w:pPr>
              <w:spacing w:before="0" w:after="0"/>
              <w:jc w:val="right"/>
              <w:rPr>
                <w:rFonts w:ascii="Arial" w:hAnsi="Arial"/>
                <w:color w:val="000000"/>
                <w:sz w:val="16"/>
                <w:szCs w:val="16"/>
                <w:highlight w:val="yellow"/>
                <w:lang w:val="en-AU"/>
              </w:rPr>
            </w:pPr>
            <w:r>
              <w:rPr>
                <w:rFonts w:ascii="Arial" w:hAnsi="Arial"/>
                <w:color w:val="000000"/>
                <w:sz w:val="16"/>
                <w:szCs w:val="16"/>
                <w:lang w:val="en-AU"/>
              </w:rPr>
              <w:t>2</w:t>
            </w:r>
          </w:p>
        </w:tc>
        <w:tc>
          <w:tcPr>
            <w:tcW w:w="1059" w:type="dxa"/>
            <w:tcBorders>
              <w:top w:val="nil"/>
              <w:left w:val="nil"/>
              <w:bottom w:val="nil"/>
              <w:right w:val="nil"/>
            </w:tcBorders>
            <w:shd w:val="clear" w:color="auto" w:fill="auto"/>
            <w:noWrap/>
            <w:vAlign w:val="center"/>
          </w:tcPr>
          <w:p w14:paraId="26A001CE" w14:textId="48047C4C" w:rsidR="00CF037A" w:rsidRPr="000C42FD" w:rsidRDefault="00CF037A" w:rsidP="00CF037A">
            <w:pPr>
              <w:spacing w:before="0" w:after="0"/>
              <w:jc w:val="right"/>
              <w:rPr>
                <w:rFonts w:ascii="Arial" w:hAnsi="Arial"/>
                <w:color w:val="000000"/>
                <w:sz w:val="16"/>
                <w:szCs w:val="16"/>
                <w:lang w:val="en-AU"/>
              </w:rPr>
            </w:pPr>
            <w:r>
              <w:rPr>
                <w:rFonts w:ascii="Arial" w:hAnsi="Arial"/>
                <w:color w:val="000000"/>
                <w:sz w:val="16"/>
                <w:szCs w:val="16"/>
                <w:lang w:val="en-AU"/>
              </w:rPr>
              <w:t>-</w:t>
            </w:r>
          </w:p>
        </w:tc>
        <w:tc>
          <w:tcPr>
            <w:tcW w:w="1059" w:type="dxa"/>
            <w:tcBorders>
              <w:top w:val="nil"/>
              <w:left w:val="nil"/>
              <w:bottom w:val="nil"/>
              <w:right w:val="nil"/>
            </w:tcBorders>
            <w:shd w:val="clear" w:color="auto" w:fill="auto"/>
            <w:noWrap/>
            <w:vAlign w:val="center"/>
          </w:tcPr>
          <w:p w14:paraId="63720DA8" w14:textId="68932EE6" w:rsidR="00CF037A" w:rsidRPr="000C42FD" w:rsidRDefault="00CF037A" w:rsidP="00CF037A">
            <w:pPr>
              <w:spacing w:before="0" w:after="0"/>
              <w:jc w:val="right"/>
              <w:rPr>
                <w:rFonts w:ascii="Arial" w:hAnsi="Arial"/>
                <w:color w:val="000000"/>
                <w:sz w:val="16"/>
                <w:szCs w:val="16"/>
                <w:lang w:val="en-AU"/>
              </w:rPr>
            </w:pPr>
            <w:r>
              <w:rPr>
                <w:rFonts w:ascii="Arial" w:hAnsi="Arial"/>
                <w:color w:val="000000"/>
                <w:sz w:val="16"/>
                <w:szCs w:val="16"/>
                <w:lang w:val="en-AU"/>
              </w:rPr>
              <w:t>-</w:t>
            </w:r>
          </w:p>
        </w:tc>
        <w:tc>
          <w:tcPr>
            <w:tcW w:w="1061" w:type="dxa"/>
            <w:tcBorders>
              <w:top w:val="nil"/>
              <w:left w:val="nil"/>
              <w:bottom w:val="nil"/>
              <w:right w:val="nil"/>
            </w:tcBorders>
            <w:shd w:val="clear" w:color="auto" w:fill="auto"/>
            <w:noWrap/>
            <w:vAlign w:val="center"/>
          </w:tcPr>
          <w:p w14:paraId="2982CD5C" w14:textId="1B6F55FB" w:rsidR="00CF037A" w:rsidRPr="00C510E0" w:rsidRDefault="00CF037A" w:rsidP="00CF037A">
            <w:pPr>
              <w:spacing w:before="0" w:after="0"/>
              <w:jc w:val="right"/>
              <w:rPr>
                <w:rFonts w:ascii="Arial" w:hAnsi="Arial"/>
                <w:color w:val="000000"/>
                <w:sz w:val="16"/>
                <w:szCs w:val="16"/>
                <w:highlight w:val="yellow"/>
                <w:lang w:val="en-AU"/>
              </w:rPr>
            </w:pPr>
            <w:r>
              <w:rPr>
                <w:rFonts w:ascii="Arial" w:hAnsi="Arial"/>
                <w:color w:val="000000"/>
                <w:sz w:val="16"/>
                <w:szCs w:val="16"/>
                <w:lang w:val="en-AU"/>
              </w:rPr>
              <w:t>-</w:t>
            </w:r>
          </w:p>
        </w:tc>
      </w:tr>
      <w:tr w:rsidR="00CF037A" w:rsidRPr="00C510E0" w14:paraId="2A9E1A4E" w14:textId="77777777" w:rsidTr="002A5A4F">
        <w:trPr>
          <w:trHeight w:val="232"/>
        </w:trPr>
        <w:tc>
          <w:tcPr>
            <w:tcW w:w="3178" w:type="dxa"/>
            <w:tcBorders>
              <w:top w:val="nil"/>
              <w:left w:val="nil"/>
              <w:bottom w:val="nil"/>
              <w:right w:val="nil"/>
            </w:tcBorders>
            <w:shd w:val="clear" w:color="auto" w:fill="auto"/>
            <w:noWrap/>
            <w:vAlign w:val="center"/>
            <w:hideMark/>
          </w:tcPr>
          <w:p w14:paraId="01084A4A" w14:textId="77777777" w:rsidR="00CF037A" w:rsidRPr="002B2BCC" w:rsidRDefault="00CF037A" w:rsidP="00CF037A">
            <w:pPr>
              <w:spacing w:before="0" w:after="0"/>
              <w:ind w:firstLineChars="200" w:firstLine="320"/>
              <w:rPr>
                <w:rFonts w:ascii="Arial" w:hAnsi="Arial"/>
                <w:color w:val="000000"/>
                <w:sz w:val="16"/>
                <w:szCs w:val="16"/>
                <w:lang w:val="en-AU"/>
              </w:rPr>
            </w:pPr>
            <w:r w:rsidRPr="002B2BCC">
              <w:rPr>
                <w:rFonts w:ascii="Arial" w:hAnsi="Arial"/>
                <w:color w:val="000000"/>
                <w:sz w:val="16"/>
                <w:szCs w:val="16"/>
                <w:lang w:val="en-AU"/>
              </w:rPr>
              <w:t>Inventories</w:t>
            </w:r>
          </w:p>
        </w:tc>
        <w:tc>
          <w:tcPr>
            <w:tcW w:w="981" w:type="dxa"/>
            <w:tcBorders>
              <w:top w:val="nil"/>
              <w:left w:val="nil"/>
              <w:bottom w:val="nil"/>
              <w:right w:val="nil"/>
            </w:tcBorders>
            <w:shd w:val="clear" w:color="auto" w:fill="auto"/>
            <w:noWrap/>
            <w:vAlign w:val="center"/>
          </w:tcPr>
          <w:p w14:paraId="36169774" w14:textId="1F044934" w:rsidR="00CF037A" w:rsidRPr="00C510E0" w:rsidRDefault="00CF037A" w:rsidP="00CF037A">
            <w:pPr>
              <w:spacing w:before="0" w:after="0"/>
              <w:jc w:val="right"/>
              <w:rPr>
                <w:rFonts w:ascii="Arial" w:hAnsi="Arial"/>
                <w:color w:val="000000"/>
                <w:sz w:val="16"/>
                <w:szCs w:val="16"/>
                <w:highlight w:val="yellow"/>
                <w:lang w:val="en-AU"/>
              </w:rPr>
            </w:pPr>
            <w:r w:rsidRPr="008D56D3">
              <w:rPr>
                <w:rFonts w:ascii="Arial" w:hAnsi="Arial"/>
                <w:color w:val="000000"/>
                <w:sz w:val="16"/>
                <w:szCs w:val="16"/>
                <w:lang w:val="en-AU"/>
              </w:rPr>
              <w:t>228,740</w:t>
            </w:r>
          </w:p>
        </w:tc>
        <w:tc>
          <w:tcPr>
            <w:tcW w:w="1060" w:type="dxa"/>
            <w:tcBorders>
              <w:top w:val="nil"/>
              <w:left w:val="nil"/>
              <w:bottom w:val="nil"/>
              <w:right w:val="nil"/>
            </w:tcBorders>
            <w:shd w:val="clear" w:color="auto" w:fill="E6E6E6"/>
            <w:noWrap/>
            <w:vAlign w:val="center"/>
          </w:tcPr>
          <w:p w14:paraId="1BBD1B2E" w14:textId="77C23BF9" w:rsidR="00CF037A" w:rsidRPr="00C510E0" w:rsidRDefault="00CF037A" w:rsidP="00CF037A">
            <w:pPr>
              <w:spacing w:before="0" w:after="0"/>
              <w:jc w:val="right"/>
              <w:rPr>
                <w:rFonts w:ascii="Arial" w:hAnsi="Arial"/>
                <w:color w:val="000000"/>
                <w:sz w:val="16"/>
                <w:szCs w:val="16"/>
                <w:highlight w:val="yellow"/>
                <w:lang w:val="en-AU"/>
              </w:rPr>
            </w:pPr>
            <w:r w:rsidRPr="008D56D3">
              <w:rPr>
                <w:rFonts w:ascii="Arial" w:hAnsi="Arial"/>
                <w:color w:val="000000"/>
                <w:sz w:val="16"/>
                <w:szCs w:val="16"/>
                <w:lang w:val="en-AU"/>
              </w:rPr>
              <w:t>304,181</w:t>
            </w:r>
          </w:p>
        </w:tc>
        <w:tc>
          <w:tcPr>
            <w:tcW w:w="1059" w:type="dxa"/>
            <w:tcBorders>
              <w:top w:val="nil"/>
              <w:left w:val="nil"/>
              <w:bottom w:val="nil"/>
              <w:right w:val="nil"/>
            </w:tcBorders>
            <w:shd w:val="clear" w:color="auto" w:fill="auto"/>
            <w:noWrap/>
            <w:vAlign w:val="center"/>
          </w:tcPr>
          <w:p w14:paraId="40C87114" w14:textId="6434B7E6" w:rsidR="00CF037A" w:rsidRPr="000C42FD" w:rsidRDefault="00CF037A" w:rsidP="00CF037A">
            <w:pPr>
              <w:spacing w:before="0" w:after="0"/>
              <w:jc w:val="right"/>
              <w:rPr>
                <w:rFonts w:ascii="Arial" w:hAnsi="Arial"/>
                <w:color w:val="000000"/>
                <w:sz w:val="16"/>
                <w:szCs w:val="16"/>
                <w:lang w:val="en-AU"/>
              </w:rPr>
            </w:pPr>
            <w:r w:rsidRPr="008D56D3">
              <w:rPr>
                <w:rFonts w:ascii="Arial" w:hAnsi="Arial"/>
                <w:color w:val="000000"/>
                <w:sz w:val="16"/>
                <w:szCs w:val="16"/>
                <w:lang w:val="en-AU"/>
              </w:rPr>
              <w:t>278,683</w:t>
            </w:r>
          </w:p>
        </w:tc>
        <w:tc>
          <w:tcPr>
            <w:tcW w:w="1059" w:type="dxa"/>
            <w:tcBorders>
              <w:top w:val="nil"/>
              <w:left w:val="nil"/>
              <w:bottom w:val="nil"/>
              <w:right w:val="nil"/>
            </w:tcBorders>
            <w:shd w:val="clear" w:color="auto" w:fill="auto"/>
            <w:noWrap/>
            <w:vAlign w:val="center"/>
          </w:tcPr>
          <w:p w14:paraId="64A6DD09" w14:textId="24FEB747" w:rsidR="00CF037A" w:rsidRPr="000C42FD" w:rsidRDefault="00CF037A" w:rsidP="00CF037A">
            <w:pPr>
              <w:spacing w:before="0" w:after="0"/>
              <w:jc w:val="right"/>
              <w:rPr>
                <w:rFonts w:ascii="Arial" w:hAnsi="Arial"/>
                <w:color w:val="000000"/>
                <w:sz w:val="16"/>
                <w:szCs w:val="16"/>
                <w:lang w:val="en-AU"/>
              </w:rPr>
            </w:pPr>
            <w:r w:rsidRPr="008D56D3">
              <w:rPr>
                <w:rFonts w:ascii="Arial" w:hAnsi="Arial"/>
                <w:color w:val="000000"/>
                <w:sz w:val="16"/>
                <w:szCs w:val="16"/>
                <w:lang w:val="en-AU"/>
              </w:rPr>
              <w:t>208,537</w:t>
            </w:r>
          </w:p>
        </w:tc>
        <w:tc>
          <w:tcPr>
            <w:tcW w:w="1061" w:type="dxa"/>
            <w:tcBorders>
              <w:top w:val="nil"/>
              <w:left w:val="nil"/>
              <w:bottom w:val="nil"/>
              <w:right w:val="nil"/>
            </w:tcBorders>
            <w:shd w:val="clear" w:color="auto" w:fill="auto"/>
            <w:noWrap/>
            <w:vAlign w:val="center"/>
          </w:tcPr>
          <w:p w14:paraId="707A9B20" w14:textId="0C6EE8EA" w:rsidR="00CF037A" w:rsidRPr="00C510E0" w:rsidRDefault="00CF037A" w:rsidP="00CF037A">
            <w:pPr>
              <w:spacing w:before="0" w:after="0"/>
              <w:jc w:val="right"/>
              <w:rPr>
                <w:rFonts w:ascii="Arial" w:hAnsi="Arial"/>
                <w:color w:val="000000"/>
                <w:sz w:val="16"/>
                <w:szCs w:val="16"/>
                <w:highlight w:val="yellow"/>
                <w:lang w:val="en-AU"/>
              </w:rPr>
            </w:pPr>
            <w:r w:rsidRPr="008D56D3">
              <w:rPr>
                <w:rFonts w:ascii="Arial" w:hAnsi="Arial"/>
                <w:color w:val="000000"/>
                <w:sz w:val="16"/>
                <w:szCs w:val="16"/>
                <w:lang w:val="en-AU"/>
              </w:rPr>
              <w:t>200,033</w:t>
            </w:r>
          </w:p>
        </w:tc>
      </w:tr>
      <w:tr w:rsidR="00CF037A" w:rsidRPr="00C510E0" w14:paraId="73C4F234" w14:textId="77777777" w:rsidTr="002A5A4F">
        <w:trPr>
          <w:trHeight w:val="232"/>
        </w:trPr>
        <w:tc>
          <w:tcPr>
            <w:tcW w:w="3178" w:type="dxa"/>
            <w:tcBorders>
              <w:top w:val="nil"/>
              <w:left w:val="nil"/>
              <w:bottom w:val="nil"/>
              <w:right w:val="nil"/>
            </w:tcBorders>
            <w:shd w:val="clear" w:color="auto" w:fill="auto"/>
            <w:noWrap/>
            <w:vAlign w:val="center"/>
            <w:hideMark/>
          </w:tcPr>
          <w:p w14:paraId="0E63E999" w14:textId="77777777" w:rsidR="00CF037A" w:rsidRPr="002B2BCC" w:rsidRDefault="00CF037A" w:rsidP="00CF037A">
            <w:pPr>
              <w:spacing w:before="0" w:after="0"/>
              <w:ind w:firstLineChars="200" w:firstLine="320"/>
              <w:rPr>
                <w:rFonts w:ascii="Arial" w:hAnsi="Arial"/>
                <w:color w:val="000000"/>
                <w:sz w:val="16"/>
                <w:szCs w:val="16"/>
                <w:lang w:val="en-AU"/>
              </w:rPr>
            </w:pPr>
            <w:r w:rsidRPr="002B2BCC">
              <w:rPr>
                <w:rFonts w:ascii="Arial" w:hAnsi="Arial"/>
                <w:color w:val="000000"/>
                <w:sz w:val="16"/>
                <w:szCs w:val="16"/>
                <w:lang w:val="en-AU"/>
              </w:rPr>
              <w:t>Tax assets</w:t>
            </w:r>
          </w:p>
        </w:tc>
        <w:tc>
          <w:tcPr>
            <w:tcW w:w="981" w:type="dxa"/>
            <w:tcBorders>
              <w:top w:val="nil"/>
              <w:left w:val="nil"/>
              <w:bottom w:val="nil"/>
              <w:right w:val="nil"/>
            </w:tcBorders>
            <w:shd w:val="clear" w:color="auto" w:fill="auto"/>
            <w:noWrap/>
            <w:vAlign w:val="center"/>
          </w:tcPr>
          <w:p w14:paraId="2A053C18" w14:textId="4DEB0E5C" w:rsidR="00CF037A" w:rsidRPr="00C510E0" w:rsidRDefault="00CF037A" w:rsidP="00CF037A">
            <w:pPr>
              <w:spacing w:before="0" w:after="0"/>
              <w:jc w:val="right"/>
              <w:rPr>
                <w:rFonts w:ascii="Arial" w:hAnsi="Arial"/>
                <w:color w:val="000000"/>
                <w:sz w:val="16"/>
                <w:szCs w:val="16"/>
                <w:highlight w:val="yellow"/>
                <w:lang w:val="en-AU"/>
              </w:rPr>
            </w:pPr>
            <w:r w:rsidRPr="008D56D3">
              <w:rPr>
                <w:rFonts w:ascii="Arial" w:hAnsi="Arial"/>
                <w:color w:val="000000"/>
                <w:sz w:val="16"/>
                <w:szCs w:val="16"/>
                <w:lang w:val="en-AU"/>
              </w:rPr>
              <w:t>25,862</w:t>
            </w:r>
          </w:p>
        </w:tc>
        <w:tc>
          <w:tcPr>
            <w:tcW w:w="1060" w:type="dxa"/>
            <w:tcBorders>
              <w:top w:val="nil"/>
              <w:left w:val="nil"/>
              <w:bottom w:val="nil"/>
              <w:right w:val="nil"/>
            </w:tcBorders>
            <w:shd w:val="clear" w:color="auto" w:fill="E6E6E6"/>
            <w:noWrap/>
            <w:vAlign w:val="center"/>
          </w:tcPr>
          <w:p w14:paraId="25DF3053" w14:textId="0EE027C7" w:rsidR="00CF037A" w:rsidRPr="00C510E0" w:rsidRDefault="00CF037A" w:rsidP="00CF037A">
            <w:pPr>
              <w:spacing w:before="0" w:after="0"/>
              <w:jc w:val="right"/>
              <w:rPr>
                <w:rFonts w:ascii="Arial" w:hAnsi="Arial"/>
                <w:color w:val="000000"/>
                <w:sz w:val="16"/>
                <w:szCs w:val="16"/>
                <w:highlight w:val="yellow"/>
                <w:lang w:val="en-AU"/>
              </w:rPr>
            </w:pPr>
            <w:r w:rsidRPr="008D56D3">
              <w:rPr>
                <w:rFonts w:ascii="Arial" w:hAnsi="Arial"/>
                <w:color w:val="000000"/>
                <w:sz w:val="16"/>
                <w:szCs w:val="16"/>
                <w:lang w:val="en-AU"/>
              </w:rPr>
              <w:t>26,879</w:t>
            </w:r>
          </w:p>
        </w:tc>
        <w:tc>
          <w:tcPr>
            <w:tcW w:w="1059" w:type="dxa"/>
            <w:tcBorders>
              <w:top w:val="nil"/>
              <w:left w:val="nil"/>
              <w:bottom w:val="nil"/>
              <w:right w:val="nil"/>
            </w:tcBorders>
            <w:shd w:val="clear" w:color="auto" w:fill="auto"/>
            <w:noWrap/>
            <w:vAlign w:val="center"/>
          </w:tcPr>
          <w:p w14:paraId="7E4D9E31" w14:textId="0C890E3A" w:rsidR="00CF037A" w:rsidRPr="000C42FD" w:rsidRDefault="00CF037A" w:rsidP="00CF037A">
            <w:pPr>
              <w:spacing w:before="0" w:after="0"/>
              <w:jc w:val="right"/>
              <w:rPr>
                <w:rFonts w:ascii="Arial" w:hAnsi="Arial"/>
                <w:color w:val="000000"/>
                <w:sz w:val="16"/>
                <w:szCs w:val="16"/>
                <w:lang w:val="en-AU"/>
              </w:rPr>
            </w:pPr>
            <w:r w:rsidRPr="008D56D3">
              <w:rPr>
                <w:rFonts w:ascii="Arial" w:hAnsi="Arial"/>
                <w:color w:val="000000"/>
                <w:sz w:val="16"/>
                <w:szCs w:val="16"/>
                <w:lang w:val="en-AU"/>
              </w:rPr>
              <w:t>28,097</w:t>
            </w:r>
          </w:p>
        </w:tc>
        <w:tc>
          <w:tcPr>
            <w:tcW w:w="1059" w:type="dxa"/>
            <w:tcBorders>
              <w:top w:val="nil"/>
              <w:left w:val="nil"/>
              <w:bottom w:val="nil"/>
              <w:right w:val="nil"/>
            </w:tcBorders>
            <w:shd w:val="clear" w:color="auto" w:fill="auto"/>
            <w:noWrap/>
            <w:vAlign w:val="center"/>
          </w:tcPr>
          <w:p w14:paraId="02BAA6EE" w14:textId="167AAC80" w:rsidR="00CF037A" w:rsidRPr="000C42FD" w:rsidRDefault="00CF037A" w:rsidP="00CF037A">
            <w:pPr>
              <w:spacing w:before="0" w:after="0"/>
              <w:jc w:val="right"/>
              <w:rPr>
                <w:rFonts w:ascii="Arial" w:hAnsi="Arial"/>
                <w:color w:val="000000"/>
                <w:sz w:val="16"/>
                <w:szCs w:val="16"/>
                <w:lang w:val="en-AU"/>
              </w:rPr>
            </w:pPr>
            <w:r w:rsidRPr="008D56D3">
              <w:rPr>
                <w:rFonts w:ascii="Arial" w:hAnsi="Arial"/>
                <w:color w:val="000000"/>
                <w:sz w:val="16"/>
                <w:szCs w:val="16"/>
                <w:lang w:val="en-AU"/>
              </w:rPr>
              <w:t>29,750</w:t>
            </w:r>
          </w:p>
        </w:tc>
        <w:tc>
          <w:tcPr>
            <w:tcW w:w="1061" w:type="dxa"/>
            <w:tcBorders>
              <w:top w:val="nil"/>
              <w:left w:val="nil"/>
              <w:bottom w:val="nil"/>
              <w:right w:val="nil"/>
            </w:tcBorders>
            <w:shd w:val="clear" w:color="auto" w:fill="auto"/>
            <w:noWrap/>
            <w:vAlign w:val="center"/>
          </w:tcPr>
          <w:p w14:paraId="4DA2A5F1" w14:textId="3FDE35F0" w:rsidR="00CF037A" w:rsidRPr="00C510E0" w:rsidRDefault="00CF037A" w:rsidP="00CF037A">
            <w:pPr>
              <w:spacing w:before="0" w:after="0"/>
              <w:jc w:val="right"/>
              <w:rPr>
                <w:rFonts w:ascii="Arial" w:hAnsi="Arial"/>
                <w:color w:val="000000"/>
                <w:sz w:val="16"/>
                <w:szCs w:val="16"/>
                <w:highlight w:val="yellow"/>
                <w:lang w:val="en-AU"/>
              </w:rPr>
            </w:pPr>
            <w:r w:rsidRPr="008D56D3">
              <w:rPr>
                <w:rFonts w:ascii="Arial" w:hAnsi="Arial"/>
                <w:color w:val="000000"/>
                <w:sz w:val="16"/>
                <w:szCs w:val="16"/>
                <w:lang w:val="en-AU"/>
              </w:rPr>
              <w:t>31,821</w:t>
            </w:r>
          </w:p>
        </w:tc>
      </w:tr>
      <w:tr w:rsidR="00CF037A" w:rsidRPr="00C510E0" w14:paraId="55B60607" w14:textId="77777777" w:rsidTr="002A5A4F">
        <w:trPr>
          <w:trHeight w:val="232"/>
        </w:trPr>
        <w:tc>
          <w:tcPr>
            <w:tcW w:w="3178" w:type="dxa"/>
            <w:tcBorders>
              <w:top w:val="nil"/>
              <w:left w:val="nil"/>
              <w:bottom w:val="nil"/>
              <w:right w:val="nil"/>
            </w:tcBorders>
            <w:shd w:val="clear" w:color="auto" w:fill="auto"/>
            <w:noWrap/>
            <w:vAlign w:val="center"/>
            <w:hideMark/>
          </w:tcPr>
          <w:p w14:paraId="658CBC0F" w14:textId="77777777" w:rsidR="00CF037A" w:rsidRPr="002B2BCC" w:rsidRDefault="00CF037A" w:rsidP="00CF037A">
            <w:pPr>
              <w:spacing w:before="0" w:after="0"/>
              <w:ind w:firstLineChars="200" w:firstLine="320"/>
              <w:rPr>
                <w:rFonts w:ascii="Arial" w:hAnsi="Arial"/>
                <w:color w:val="000000"/>
                <w:sz w:val="16"/>
                <w:szCs w:val="16"/>
                <w:lang w:val="en-AU"/>
              </w:rPr>
            </w:pPr>
            <w:r w:rsidRPr="002B2BCC">
              <w:rPr>
                <w:rFonts w:ascii="Arial" w:hAnsi="Arial"/>
                <w:color w:val="000000"/>
                <w:sz w:val="16"/>
                <w:szCs w:val="16"/>
                <w:lang w:val="en-AU"/>
              </w:rPr>
              <w:t>Other non-financial assets</w:t>
            </w:r>
          </w:p>
        </w:tc>
        <w:tc>
          <w:tcPr>
            <w:tcW w:w="981" w:type="dxa"/>
            <w:tcBorders>
              <w:top w:val="nil"/>
              <w:left w:val="nil"/>
              <w:bottom w:val="nil"/>
              <w:right w:val="nil"/>
            </w:tcBorders>
            <w:shd w:val="clear" w:color="auto" w:fill="auto"/>
            <w:noWrap/>
            <w:vAlign w:val="center"/>
          </w:tcPr>
          <w:p w14:paraId="63177F5D" w14:textId="7800ECDE" w:rsidR="00CF037A" w:rsidRPr="00C510E0" w:rsidRDefault="00CF037A" w:rsidP="00CF037A">
            <w:pPr>
              <w:spacing w:before="0" w:after="0"/>
              <w:jc w:val="right"/>
              <w:rPr>
                <w:rFonts w:ascii="Arial" w:hAnsi="Arial"/>
                <w:color w:val="000000"/>
                <w:sz w:val="16"/>
                <w:szCs w:val="16"/>
                <w:highlight w:val="yellow"/>
                <w:lang w:val="en-AU"/>
              </w:rPr>
            </w:pPr>
            <w:r w:rsidRPr="008D56D3">
              <w:rPr>
                <w:rFonts w:ascii="Arial" w:hAnsi="Arial"/>
                <w:color w:val="000000"/>
                <w:sz w:val="16"/>
                <w:szCs w:val="16"/>
                <w:lang w:val="en-AU"/>
              </w:rPr>
              <w:t>10,421</w:t>
            </w:r>
          </w:p>
        </w:tc>
        <w:tc>
          <w:tcPr>
            <w:tcW w:w="1060" w:type="dxa"/>
            <w:tcBorders>
              <w:top w:val="nil"/>
              <w:left w:val="nil"/>
              <w:bottom w:val="nil"/>
              <w:right w:val="nil"/>
            </w:tcBorders>
            <w:shd w:val="clear" w:color="auto" w:fill="E6E6E6"/>
            <w:noWrap/>
            <w:vAlign w:val="center"/>
          </w:tcPr>
          <w:p w14:paraId="177DEC8D" w14:textId="5334C683" w:rsidR="00CF037A" w:rsidRPr="00C510E0" w:rsidRDefault="00CF037A" w:rsidP="00CF037A">
            <w:pPr>
              <w:spacing w:before="0" w:after="0"/>
              <w:jc w:val="right"/>
              <w:rPr>
                <w:rFonts w:ascii="Arial" w:hAnsi="Arial"/>
                <w:color w:val="000000"/>
                <w:sz w:val="16"/>
                <w:szCs w:val="16"/>
                <w:highlight w:val="yellow"/>
                <w:lang w:val="en-AU"/>
              </w:rPr>
            </w:pPr>
            <w:r w:rsidRPr="008D56D3">
              <w:rPr>
                <w:rFonts w:ascii="Arial" w:hAnsi="Arial"/>
                <w:color w:val="000000"/>
                <w:sz w:val="16"/>
                <w:szCs w:val="16"/>
                <w:lang w:val="en-AU"/>
              </w:rPr>
              <w:t>10,737</w:t>
            </w:r>
          </w:p>
        </w:tc>
        <w:tc>
          <w:tcPr>
            <w:tcW w:w="1059" w:type="dxa"/>
            <w:tcBorders>
              <w:top w:val="nil"/>
              <w:left w:val="nil"/>
              <w:bottom w:val="nil"/>
              <w:right w:val="nil"/>
            </w:tcBorders>
            <w:shd w:val="clear" w:color="auto" w:fill="auto"/>
            <w:noWrap/>
            <w:vAlign w:val="center"/>
          </w:tcPr>
          <w:p w14:paraId="54E8A7ED" w14:textId="4D78CABE" w:rsidR="00CF037A" w:rsidRPr="000C42FD" w:rsidRDefault="00CF037A" w:rsidP="00CF037A">
            <w:pPr>
              <w:spacing w:before="0" w:after="0"/>
              <w:jc w:val="right"/>
              <w:rPr>
                <w:rFonts w:ascii="Arial" w:hAnsi="Arial"/>
                <w:color w:val="000000"/>
                <w:sz w:val="16"/>
                <w:szCs w:val="16"/>
                <w:lang w:val="en-AU"/>
              </w:rPr>
            </w:pPr>
            <w:r w:rsidRPr="008D56D3">
              <w:rPr>
                <w:rFonts w:ascii="Arial" w:hAnsi="Arial"/>
                <w:color w:val="000000"/>
                <w:sz w:val="16"/>
                <w:szCs w:val="16"/>
                <w:lang w:val="en-AU"/>
              </w:rPr>
              <w:t>11,068</w:t>
            </w:r>
          </w:p>
        </w:tc>
        <w:tc>
          <w:tcPr>
            <w:tcW w:w="1059" w:type="dxa"/>
            <w:tcBorders>
              <w:top w:val="nil"/>
              <w:left w:val="nil"/>
              <w:bottom w:val="nil"/>
              <w:right w:val="nil"/>
            </w:tcBorders>
            <w:shd w:val="clear" w:color="auto" w:fill="auto"/>
            <w:noWrap/>
            <w:vAlign w:val="center"/>
          </w:tcPr>
          <w:p w14:paraId="7C7F0C9B" w14:textId="54D6571E" w:rsidR="00CF037A" w:rsidRPr="000C42FD" w:rsidRDefault="00CF037A" w:rsidP="00CF037A">
            <w:pPr>
              <w:spacing w:before="0" w:after="0"/>
              <w:jc w:val="right"/>
              <w:rPr>
                <w:rFonts w:ascii="Arial" w:hAnsi="Arial"/>
                <w:color w:val="000000"/>
                <w:sz w:val="16"/>
                <w:szCs w:val="16"/>
                <w:lang w:val="en-AU"/>
              </w:rPr>
            </w:pPr>
            <w:r w:rsidRPr="008D56D3">
              <w:rPr>
                <w:rFonts w:ascii="Arial" w:hAnsi="Arial"/>
                <w:color w:val="000000"/>
                <w:sz w:val="16"/>
                <w:szCs w:val="16"/>
                <w:lang w:val="en-AU"/>
              </w:rPr>
              <w:t>11,413</w:t>
            </w:r>
          </w:p>
        </w:tc>
        <w:tc>
          <w:tcPr>
            <w:tcW w:w="1061" w:type="dxa"/>
            <w:tcBorders>
              <w:top w:val="nil"/>
              <w:left w:val="nil"/>
              <w:bottom w:val="nil"/>
              <w:right w:val="nil"/>
            </w:tcBorders>
            <w:shd w:val="clear" w:color="auto" w:fill="auto"/>
            <w:noWrap/>
            <w:vAlign w:val="center"/>
          </w:tcPr>
          <w:p w14:paraId="31138A86" w14:textId="473C4922" w:rsidR="00CF037A" w:rsidRPr="00C510E0" w:rsidRDefault="00CF037A" w:rsidP="00CF037A">
            <w:pPr>
              <w:spacing w:before="0" w:after="0"/>
              <w:jc w:val="right"/>
              <w:rPr>
                <w:rFonts w:ascii="Arial" w:hAnsi="Arial"/>
                <w:color w:val="000000"/>
                <w:sz w:val="16"/>
                <w:szCs w:val="16"/>
                <w:highlight w:val="yellow"/>
                <w:lang w:val="en-AU"/>
              </w:rPr>
            </w:pPr>
            <w:r w:rsidRPr="008D56D3">
              <w:rPr>
                <w:rFonts w:ascii="Arial" w:hAnsi="Arial"/>
                <w:color w:val="000000"/>
                <w:sz w:val="16"/>
                <w:szCs w:val="16"/>
                <w:lang w:val="en-AU"/>
              </w:rPr>
              <w:t>11,774</w:t>
            </w:r>
          </w:p>
        </w:tc>
      </w:tr>
      <w:tr w:rsidR="00CF037A" w:rsidRPr="00C510E0" w14:paraId="13E60216" w14:textId="77777777" w:rsidTr="002A5A4F">
        <w:trPr>
          <w:trHeight w:val="232"/>
        </w:trPr>
        <w:tc>
          <w:tcPr>
            <w:tcW w:w="3178" w:type="dxa"/>
            <w:tcBorders>
              <w:top w:val="nil"/>
              <w:left w:val="nil"/>
              <w:bottom w:val="nil"/>
              <w:right w:val="nil"/>
            </w:tcBorders>
            <w:shd w:val="clear" w:color="auto" w:fill="auto"/>
            <w:noWrap/>
            <w:vAlign w:val="center"/>
            <w:hideMark/>
          </w:tcPr>
          <w:p w14:paraId="43122218" w14:textId="77777777" w:rsidR="00CF037A" w:rsidRPr="002B2BCC" w:rsidRDefault="00CF037A" w:rsidP="00CF037A">
            <w:pPr>
              <w:spacing w:before="0" w:after="0"/>
              <w:ind w:firstLineChars="100" w:firstLine="160"/>
              <w:rPr>
                <w:rFonts w:ascii="Arial" w:hAnsi="Arial"/>
                <w:b/>
                <w:bCs/>
                <w:i/>
                <w:iCs/>
                <w:color w:val="000000"/>
                <w:sz w:val="16"/>
                <w:szCs w:val="16"/>
                <w:lang w:val="en-AU"/>
              </w:rPr>
            </w:pPr>
            <w:r w:rsidRPr="002B2BCC">
              <w:rPr>
                <w:rFonts w:ascii="Arial" w:hAnsi="Arial"/>
                <w:b/>
                <w:bCs/>
                <w:i/>
                <w:iCs/>
                <w:color w:val="000000"/>
                <w:sz w:val="16"/>
                <w:szCs w:val="16"/>
                <w:lang w:val="en-AU"/>
              </w:rPr>
              <w:t>Total non-financial assets</w:t>
            </w:r>
          </w:p>
        </w:tc>
        <w:tc>
          <w:tcPr>
            <w:tcW w:w="981" w:type="dxa"/>
            <w:tcBorders>
              <w:top w:val="single" w:sz="4" w:space="0" w:color="000000"/>
              <w:left w:val="nil"/>
              <w:bottom w:val="single" w:sz="4" w:space="0" w:color="000000"/>
              <w:right w:val="nil"/>
            </w:tcBorders>
            <w:shd w:val="clear" w:color="auto" w:fill="auto"/>
            <w:noWrap/>
            <w:vAlign w:val="center"/>
          </w:tcPr>
          <w:p w14:paraId="29B2CD9C" w14:textId="330D5C85" w:rsidR="00CF037A" w:rsidRPr="00C510E0" w:rsidRDefault="00CF037A" w:rsidP="00CF037A">
            <w:pPr>
              <w:spacing w:before="0" w:after="0"/>
              <w:ind w:left="1"/>
              <w:jc w:val="right"/>
              <w:rPr>
                <w:rFonts w:ascii="Arial" w:hAnsi="Arial"/>
                <w:b/>
                <w:bCs/>
                <w:iCs/>
                <w:color w:val="000000"/>
                <w:sz w:val="16"/>
                <w:szCs w:val="16"/>
                <w:highlight w:val="yellow"/>
                <w:lang w:val="en-AU"/>
              </w:rPr>
            </w:pPr>
            <w:r w:rsidRPr="008D56D3">
              <w:rPr>
                <w:rFonts w:ascii="Arial" w:hAnsi="Arial"/>
                <w:b/>
                <w:bCs/>
                <w:i/>
                <w:iCs/>
                <w:color w:val="000000"/>
                <w:sz w:val="16"/>
                <w:szCs w:val="16"/>
                <w:lang w:val="en-AU"/>
              </w:rPr>
              <w:t xml:space="preserve">    5,792,626 </w:t>
            </w:r>
          </w:p>
        </w:tc>
        <w:tc>
          <w:tcPr>
            <w:tcW w:w="1060" w:type="dxa"/>
            <w:tcBorders>
              <w:top w:val="single" w:sz="4" w:space="0" w:color="000000"/>
              <w:left w:val="nil"/>
              <w:bottom w:val="single" w:sz="4" w:space="0" w:color="000000"/>
              <w:right w:val="nil"/>
            </w:tcBorders>
            <w:shd w:val="clear" w:color="auto" w:fill="E6E6E6"/>
            <w:noWrap/>
            <w:vAlign w:val="center"/>
          </w:tcPr>
          <w:p w14:paraId="4B8699CF" w14:textId="7621B9BD" w:rsidR="00CF037A" w:rsidRPr="00C510E0" w:rsidRDefault="00CF037A" w:rsidP="00DC59EB">
            <w:pPr>
              <w:spacing w:before="0" w:after="0"/>
              <w:jc w:val="right"/>
              <w:rPr>
                <w:rFonts w:ascii="Arial" w:hAnsi="Arial"/>
                <w:b/>
                <w:bCs/>
                <w:iCs/>
                <w:color w:val="000000"/>
                <w:sz w:val="16"/>
                <w:szCs w:val="16"/>
                <w:highlight w:val="yellow"/>
                <w:lang w:val="en-AU"/>
              </w:rPr>
            </w:pPr>
            <w:r w:rsidRPr="008D56D3">
              <w:rPr>
                <w:rFonts w:ascii="Arial" w:hAnsi="Arial"/>
                <w:b/>
                <w:bCs/>
                <w:i/>
                <w:iCs/>
                <w:color w:val="000000"/>
                <w:sz w:val="16"/>
                <w:szCs w:val="16"/>
                <w:lang w:val="en-AU"/>
              </w:rPr>
              <w:t xml:space="preserve">    6,101,404</w:t>
            </w:r>
          </w:p>
        </w:tc>
        <w:tc>
          <w:tcPr>
            <w:tcW w:w="1059" w:type="dxa"/>
            <w:tcBorders>
              <w:top w:val="single" w:sz="4" w:space="0" w:color="000000"/>
              <w:left w:val="nil"/>
              <w:bottom w:val="single" w:sz="4" w:space="0" w:color="000000"/>
              <w:right w:val="nil"/>
            </w:tcBorders>
            <w:shd w:val="clear" w:color="auto" w:fill="auto"/>
            <w:noWrap/>
            <w:vAlign w:val="center"/>
          </w:tcPr>
          <w:p w14:paraId="05C786A0" w14:textId="2629F138" w:rsidR="00CF037A" w:rsidRPr="008455BB" w:rsidRDefault="00CF037A" w:rsidP="00DC59EB">
            <w:pPr>
              <w:spacing w:before="0" w:after="0"/>
              <w:jc w:val="right"/>
              <w:rPr>
                <w:rFonts w:ascii="Arial" w:hAnsi="Arial"/>
                <w:b/>
                <w:bCs/>
                <w:iCs/>
                <w:color w:val="000000"/>
                <w:sz w:val="16"/>
                <w:szCs w:val="16"/>
                <w:lang w:val="en-AU"/>
              </w:rPr>
            </w:pPr>
            <w:r w:rsidRPr="008D56D3">
              <w:rPr>
                <w:rFonts w:ascii="Arial" w:hAnsi="Arial"/>
                <w:b/>
                <w:bCs/>
                <w:i/>
                <w:iCs/>
                <w:color w:val="000000"/>
                <w:sz w:val="16"/>
                <w:szCs w:val="16"/>
                <w:lang w:val="en-AU"/>
              </w:rPr>
              <w:t xml:space="preserve">    6,427,233</w:t>
            </w:r>
          </w:p>
        </w:tc>
        <w:tc>
          <w:tcPr>
            <w:tcW w:w="1059" w:type="dxa"/>
            <w:tcBorders>
              <w:top w:val="single" w:sz="4" w:space="0" w:color="000000"/>
              <w:left w:val="nil"/>
              <w:bottom w:val="single" w:sz="4" w:space="0" w:color="000000"/>
              <w:right w:val="nil"/>
            </w:tcBorders>
            <w:shd w:val="clear" w:color="auto" w:fill="auto"/>
            <w:noWrap/>
            <w:vAlign w:val="center"/>
          </w:tcPr>
          <w:p w14:paraId="5284553B" w14:textId="3B947FC3" w:rsidR="00CF037A" w:rsidRPr="008455BB" w:rsidRDefault="00CF037A" w:rsidP="00DC59EB">
            <w:pPr>
              <w:spacing w:before="0" w:after="0"/>
              <w:jc w:val="right"/>
              <w:rPr>
                <w:rFonts w:ascii="Arial" w:hAnsi="Arial"/>
                <w:b/>
                <w:bCs/>
                <w:iCs/>
                <w:color w:val="000000"/>
                <w:sz w:val="16"/>
                <w:szCs w:val="16"/>
                <w:lang w:val="en-AU"/>
              </w:rPr>
            </w:pPr>
            <w:r w:rsidRPr="008D56D3">
              <w:rPr>
                <w:rFonts w:ascii="Arial" w:hAnsi="Arial"/>
                <w:b/>
                <w:bCs/>
                <w:i/>
                <w:iCs/>
                <w:color w:val="000000"/>
                <w:sz w:val="16"/>
                <w:szCs w:val="16"/>
                <w:lang w:val="en-AU"/>
              </w:rPr>
              <w:t xml:space="preserve">    6,666,142</w:t>
            </w:r>
          </w:p>
        </w:tc>
        <w:tc>
          <w:tcPr>
            <w:tcW w:w="1061" w:type="dxa"/>
            <w:tcBorders>
              <w:top w:val="single" w:sz="4" w:space="0" w:color="000000"/>
              <w:left w:val="nil"/>
              <w:bottom w:val="single" w:sz="4" w:space="0" w:color="000000"/>
              <w:right w:val="nil"/>
            </w:tcBorders>
            <w:shd w:val="clear" w:color="auto" w:fill="auto"/>
            <w:noWrap/>
            <w:vAlign w:val="center"/>
          </w:tcPr>
          <w:p w14:paraId="39C69F9C" w14:textId="5E56F98D" w:rsidR="00CF037A" w:rsidRPr="00C510E0" w:rsidRDefault="00CF037A" w:rsidP="00DC59EB">
            <w:pPr>
              <w:spacing w:before="0" w:after="0"/>
              <w:jc w:val="right"/>
              <w:rPr>
                <w:rFonts w:ascii="Arial" w:hAnsi="Arial"/>
                <w:b/>
                <w:bCs/>
                <w:iCs/>
                <w:color w:val="000000"/>
                <w:sz w:val="16"/>
                <w:szCs w:val="16"/>
                <w:highlight w:val="yellow"/>
                <w:lang w:val="en-AU"/>
              </w:rPr>
            </w:pPr>
            <w:r w:rsidRPr="008D56D3">
              <w:rPr>
                <w:rFonts w:ascii="Arial" w:hAnsi="Arial"/>
                <w:b/>
                <w:bCs/>
                <w:i/>
                <w:iCs/>
                <w:color w:val="000000"/>
                <w:sz w:val="16"/>
                <w:szCs w:val="16"/>
                <w:lang w:val="en-AU"/>
              </w:rPr>
              <w:t xml:space="preserve">    6,891,533</w:t>
            </w:r>
          </w:p>
        </w:tc>
      </w:tr>
      <w:tr w:rsidR="00CF037A" w:rsidRPr="00C510E0" w14:paraId="21874934" w14:textId="77777777" w:rsidTr="002A5A4F">
        <w:trPr>
          <w:trHeight w:val="232"/>
        </w:trPr>
        <w:tc>
          <w:tcPr>
            <w:tcW w:w="3178" w:type="dxa"/>
            <w:tcBorders>
              <w:top w:val="nil"/>
              <w:left w:val="nil"/>
              <w:bottom w:val="nil"/>
              <w:right w:val="nil"/>
            </w:tcBorders>
            <w:shd w:val="clear" w:color="auto" w:fill="auto"/>
            <w:noWrap/>
            <w:vAlign w:val="center"/>
            <w:hideMark/>
          </w:tcPr>
          <w:p w14:paraId="79EAB45F" w14:textId="77777777" w:rsidR="00CF037A" w:rsidRPr="002B2BCC" w:rsidRDefault="00CF037A" w:rsidP="00CF037A">
            <w:pPr>
              <w:spacing w:before="0" w:after="0"/>
              <w:rPr>
                <w:rFonts w:ascii="Arial" w:hAnsi="Arial"/>
                <w:b/>
                <w:bCs/>
                <w:color w:val="000000"/>
                <w:sz w:val="16"/>
                <w:szCs w:val="16"/>
                <w:lang w:val="en-AU"/>
              </w:rPr>
            </w:pPr>
            <w:r w:rsidRPr="002B2BCC">
              <w:rPr>
                <w:rFonts w:ascii="Arial" w:hAnsi="Arial"/>
                <w:b/>
                <w:bCs/>
                <w:color w:val="000000"/>
                <w:sz w:val="16"/>
                <w:szCs w:val="16"/>
                <w:lang w:val="en-AU"/>
              </w:rPr>
              <w:t>Total assets</w:t>
            </w:r>
          </w:p>
        </w:tc>
        <w:tc>
          <w:tcPr>
            <w:tcW w:w="981" w:type="dxa"/>
            <w:tcBorders>
              <w:top w:val="single" w:sz="4" w:space="0" w:color="000000"/>
              <w:left w:val="nil"/>
              <w:bottom w:val="single" w:sz="4" w:space="0" w:color="000000"/>
              <w:right w:val="nil"/>
            </w:tcBorders>
            <w:shd w:val="clear" w:color="auto" w:fill="auto"/>
            <w:noWrap/>
            <w:vAlign w:val="center"/>
          </w:tcPr>
          <w:p w14:paraId="3C168B0F" w14:textId="215D7273" w:rsidR="00CF037A" w:rsidRPr="00C510E0" w:rsidRDefault="00CF037A" w:rsidP="00DC59EB">
            <w:pPr>
              <w:spacing w:before="0" w:after="0"/>
              <w:jc w:val="right"/>
              <w:rPr>
                <w:rFonts w:ascii="Arial" w:hAnsi="Arial"/>
                <w:color w:val="000000"/>
                <w:sz w:val="16"/>
                <w:szCs w:val="16"/>
                <w:highlight w:val="yellow"/>
                <w:lang w:val="en-AU"/>
              </w:rPr>
            </w:pPr>
            <w:r w:rsidRPr="008D56D3">
              <w:rPr>
                <w:rFonts w:ascii="Arial" w:hAnsi="Arial"/>
                <w:b/>
                <w:bCs/>
                <w:color w:val="000000"/>
                <w:sz w:val="16"/>
                <w:szCs w:val="16"/>
                <w:lang w:val="en-AU"/>
              </w:rPr>
              <w:t xml:space="preserve">     5,949,737</w:t>
            </w:r>
          </w:p>
        </w:tc>
        <w:tc>
          <w:tcPr>
            <w:tcW w:w="1060" w:type="dxa"/>
            <w:tcBorders>
              <w:top w:val="single" w:sz="4" w:space="0" w:color="000000"/>
              <w:left w:val="nil"/>
              <w:bottom w:val="single" w:sz="4" w:space="0" w:color="000000"/>
              <w:right w:val="nil"/>
            </w:tcBorders>
            <w:shd w:val="clear" w:color="auto" w:fill="E6E6E6"/>
            <w:noWrap/>
            <w:vAlign w:val="center"/>
          </w:tcPr>
          <w:p w14:paraId="47E1A3AD" w14:textId="544EC35E" w:rsidR="00CF037A" w:rsidRPr="00C510E0" w:rsidRDefault="00CF037A" w:rsidP="00DC59EB">
            <w:pPr>
              <w:spacing w:before="0" w:after="0"/>
              <w:jc w:val="right"/>
              <w:rPr>
                <w:rFonts w:ascii="Arial" w:hAnsi="Arial"/>
                <w:color w:val="000000"/>
                <w:sz w:val="16"/>
                <w:szCs w:val="16"/>
                <w:highlight w:val="yellow"/>
                <w:lang w:val="en-AU"/>
              </w:rPr>
            </w:pPr>
            <w:r w:rsidRPr="008D56D3">
              <w:rPr>
                <w:rFonts w:ascii="Arial" w:hAnsi="Arial"/>
                <w:b/>
                <w:bCs/>
                <w:color w:val="000000"/>
                <w:sz w:val="16"/>
                <w:szCs w:val="16"/>
                <w:lang w:val="en-AU"/>
              </w:rPr>
              <w:t xml:space="preserve">     6,257,611</w:t>
            </w:r>
          </w:p>
        </w:tc>
        <w:tc>
          <w:tcPr>
            <w:tcW w:w="1059" w:type="dxa"/>
            <w:tcBorders>
              <w:top w:val="single" w:sz="4" w:space="0" w:color="000000"/>
              <w:left w:val="nil"/>
              <w:bottom w:val="single" w:sz="4" w:space="0" w:color="000000"/>
              <w:right w:val="nil"/>
            </w:tcBorders>
            <w:shd w:val="clear" w:color="auto" w:fill="auto"/>
            <w:noWrap/>
            <w:vAlign w:val="center"/>
          </w:tcPr>
          <w:p w14:paraId="36510CE6" w14:textId="546EDDAF" w:rsidR="00CF037A" w:rsidRPr="000C42FD" w:rsidRDefault="00CF037A" w:rsidP="00DC59EB">
            <w:pPr>
              <w:spacing w:before="0" w:after="0"/>
              <w:jc w:val="right"/>
              <w:rPr>
                <w:rFonts w:ascii="Arial" w:hAnsi="Arial"/>
                <w:color w:val="000000"/>
                <w:sz w:val="16"/>
                <w:szCs w:val="16"/>
                <w:lang w:val="en-AU"/>
              </w:rPr>
            </w:pPr>
            <w:r w:rsidRPr="008D56D3">
              <w:rPr>
                <w:rFonts w:ascii="Arial" w:hAnsi="Arial"/>
                <w:b/>
                <w:bCs/>
                <w:color w:val="000000"/>
                <w:sz w:val="16"/>
                <w:szCs w:val="16"/>
                <w:lang w:val="en-AU"/>
              </w:rPr>
              <w:t xml:space="preserve">     6,591,774</w:t>
            </w:r>
          </w:p>
        </w:tc>
        <w:tc>
          <w:tcPr>
            <w:tcW w:w="1059" w:type="dxa"/>
            <w:tcBorders>
              <w:top w:val="single" w:sz="4" w:space="0" w:color="000000"/>
              <w:left w:val="nil"/>
              <w:bottom w:val="single" w:sz="4" w:space="0" w:color="000000"/>
              <w:right w:val="nil"/>
            </w:tcBorders>
            <w:shd w:val="clear" w:color="auto" w:fill="auto"/>
            <w:noWrap/>
            <w:vAlign w:val="center"/>
          </w:tcPr>
          <w:p w14:paraId="5E68A05B" w14:textId="33D1A0B2" w:rsidR="00CF037A" w:rsidRPr="000C42FD" w:rsidRDefault="00CF037A" w:rsidP="00DC59EB">
            <w:pPr>
              <w:spacing w:before="0" w:after="0"/>
              <w:jc w:val="right"/>
              <w:rPr>
                <w:rFonts w:ascii="Arial" w:hAnsi="Arial"/>
                <w:color w:val="000000"/>
                <w:sz w:val="16"/>
                <w:szCs w:val="16"/>
                <w:lang w:val="en-AU"/>
              </w:rPr>
            </w:pPr>
            <w:r w:rsidRPr="008D56D3">
              <w:rPr>
                <w:rFonts w:ascii="Arial" w:hAnsi="Arial"/>
                <w:b/>
                <w:bCs/>
                <w:color w:val="000000"/>
                <w:sz w:val="16"/>
                <w:szCs w:val="16"/>
                <w:lang w:val="en-AU"/>
              </w:rPr>
              <w:t xml:space="preserve">     6,879,600</w:t>
            </w:r>
          </w:p>
        </w:tc>
        <w:tc>
          <w:tcPr>
            <w:tcW w:w="1061" w:type="dxa"/>
            <w:tcBorders>
              <w:top w:val="single" w:sz="4" w:space="0" w:color="000000"/>
              <w:left w:val="nil"/>
              <w:bottom w:val="single" w:sz="4" w:space="0" w:color="000000"/>
              <w:right w:val="nil"/>
            </w:tcBorders>
            <w:shd w:val="clear" w:color="auto" w:fill="auto"/>
            <w:noWrap/>
            <w:vAlign w:val="center"/>
          </w:tcPr>
          <w:p w14:paraId="6EDCA3DD" w14:textId="3AC6049C" w:rsidR="00CF037A" w:rsidRPr="00C510E0" w:rsidRDefault="00CF037A" w:rsidP="00DC59EB">
            <w:pPr>
              <w:spacing w:before="0" w:after="0"/>
              <w:jc w:val="right"/>
              <w:rPr>
                <w:rFonts w:ascii="Arial" w:hAnsi="Arial"/>
                <w:color w:val="000000"/>
                <w:sz w:val="16"/>
                <w:szCs w:val="16"/>
                <w:highlight w:val="yellow"/>
                <w:lang w:val="en-AU"/>
              </w:rPr>
            </w:pPr>
            <w:r w:rsidRPr="008D56D3">
              <w:rPr>
                <w:rFonts w:ascii="Arial" w:hAnsi="Arial"/>
                <w:b/>
                <w:bCs/>
                <w:color w:val="000000"/>
                <w:sz w:val="16"/>
                <w:szCs w:val="16"/>
                <w:lang w:val="en-AU"/>
              </w:rPr>
              <w:t xml:space="preserve">     7,086,116</w:t>
            </w:r>
          </w:p>
        </w:tc>
      </w:tr>
      <w:tr w:rsidR="00AF1017" w:rsidRPr="00C510E0" w14:paraId="05F5BC6E" w14:textId="77777777" w:rsidTr="002A5A4F">
        <w:trPr>
          <w:trHeight w:val="232"/>
        </w:trPr>
        <w:tc>
          <w:tcPr>
            <w:tcW w:w="3178" w:type="dxa"/>
            <w:tcBorders>
              <w:top w:val="nil"/>
              <w:left w:val="nil"/>
              <w:bottom w:val="nil"/>
              <w:right w:val="nil"/>
            </w:tcBorders>
            <w:shd w:val="clear" w:color="auto" w:fill="auto"/>
            <w:noWrap/>
            <w:vAlign w:val="center"/>
            <w:hideMark/>
          </w:tcPr>
          <w:p w14:paraId="5E10035D" w14:textId="77777777" w:rsidR="00AF1017" w:rsidRPr="002B2BCC" w:rsidRDefault="00AF1017" w:rsidP="00AF1017">
            <w:pPr>
              <w:spacing w:before="0" w:after="0"/>
              <w:rPr>
                <w:rFonts w:ascii="Arial" w:hAnsi="Arial"/>
                <w:b/>
                <w:bCs/>
                <w:color w:val="000000"/>
                <w:sz w:val="16"/>
                <w:szCs w:val="16"/>
                <w:lang w:val="en-AU"/>
              </w:rPr>
            </w:pPr>
            <w:r w:rsidRPr="002B2BCC">
              <w:rPr>
                <w:rFonts w:ascii="Arial" w:hAnsi="Arial"/>
                <w:b/>
                <w:bCs/>
                <w:color w:val="000000"/>
                <w:sz w:val="16"/>
                <w:szCs w:val="16"/>
                <w:lang w:val="en-AU"/>
              </w:rPr>
              <w:t>LIABILITIES</w:t>
            </w:r>
          </w:p>
        </w:tc>
        <w:tc>
          <w:tcPr>
            <w:tcW w:w="981" w:type="dxa"/>
            <w:tcBorders>
              <w:top w:val="nil"/>
              <w:left w:val="nil"/>
              <w:bottom w:val="nil"/>
              <w:right w:val="nil"/>
            </w:tcBorders>
            <w:shd w:val="clear" w:color="auto" w:fill="auto"/>
            <w:noWrap/>
            <w:vAlign w:val="center"/>
          </w:tcPr>
          <w:p w14:paraId="275DFED2" w14:textId="77777777" w:rsidR="00AF1017" w:rsidRPr="00C510E0" w:rsidRDefault="00AF1017" w:rsidP="00AF1017">
            <w:pPr>
              <w:spacing w:before="0" w:after="0"/>
              <w:rPr>
                <w:rFonts w:ascii="Arial" w:hAnsi="Arial"/>
                <w:b/>
                <w:bCs/>
                <w:sz w:val="16"/>
                <w:szCs w:val="16"/>
                <w:highlight w:val="yellow"/>
                <w:lang w:val="en-AU"/>
              </w:rPr>
            </w:pPr>
          </w:p>
        </w:tc>
        <w:tc>
          <w:tcPr>
            <w:tcW w:w="1060" w:type="dxa"/>
            <w:tcBorders>
              <w:top w:val="nil"/>
              <w:left w:val="nil"/>
              <w:bottom w:val="nil"/>
              <w:right w:val="nil"/>
            </w:tcBorders>
            <w:shd w:val="clear" w:color="auto" w:fill="E6E6E6"/>
            <w:noWrap/>
            <w:vAlign w:val="center"/>
          </w:tcPr>
          <w:p w14:paraId="5C0597AD" w14:textId="77777777" w:rsidR="00AF1017" w:rsidRPr="00C510E0" w:rsidRDefault="00AF1017" w:rsidP="00AF1017">
            <w:pPr>
              <w:spacing w:before="0" w:after="0"/>
              <w:rPr>
                <w:rFonts w:ascii="Arial" w:hAnsi="Arial"/>
                <w:sz w:val="16"/>
                <w:szCs w:val="16"/>
                <w:highlight w:val="yellow"/>
                <w:lang w:val="en-AU"/>
              </w:rPr>
            </w:pPr>
            <w:r>
              <w:rPr>
                <w:rFonts w:ascii="Arial" w:hAnsi="Arial"/>
                <w:color w:val="000000"/>
                <w:sz w:val="16"/>
                <w:szCs w:val="16"/>
              </w:rPr>
              <w:t> </w:t>
            </w:r>
          </w:p>
        </w:tc>
        <w:tc>
          <w:tcPr>
            <w:tcW w:w="1059" w:type="dxa"/>
            <w:tcBorders>
              <w:top w:val="nil"/>
              <w:left w:val="nil"/>
              <w:bottom w:val="nil"/>
              <w:right w:val="nil"/>
            </w:tcBorders>
            <w:shd w:val="clear" w:color="auto" w:fill="auto"/>
            <w:noWrap/>
            <w:vAlign w:val="center"/>
          </w:tcPr>
          <w:p w14:paraId="5D98BC6F" w14:textId="77777777" w:rsidR="00AF1017" w:rsidRPr="00C510E0" w:rsidRDefault="00AF1017" w:rsidP="00AF1017">
            <w:pPr>
              <w:spacing w:before="0" w:after="0"/>
              <w:rPr>
                <w:rFonts w:ascii="Times New Roman" w:hAnsi="Times New Roman" w:cs="Times New Roman"/>
                <w:szCs w:val="20"/>
                <w:highlight w:val="yellow"/>
                <w:lang w:val="en-AU"/>
              </w:rPr>
            </w:pPr>
          </w:p>
        </w:tc>
        <w:tc>
          <w:tcPr>
            <w:tcW w:w="1059" w:type="dxa"/>
            <w:tcBorders>
              <w:top w:val="nil"/>
              <w:left w:val="nil"/>
              <w:bottom w:val="nil"/>
              <w:right w:val="nil"/>
            </w:tcBorders>
            <w:shd w:val="clear" w:color="auto" w:fill="auto"/>
            <w:noWrap/>
            <w:vAlign w:val="center"/>
          </w:tcPr>
          <w:p w14:paraId="4781E071" w14:textId="77777777" w:rsidR="00AF1017" w:rsidRPr="00C510E0" w:rsidRDefault="00AF1017" w:rsidP="00AF1017">
            <w:pPr>
              <w:spacing w:before="0" w:after="0"/>
              <w:rPr>
                <w:rFonts w:ascii="Times New Roman" w:hAnsi="Times New Roman" w:cs="Times New Roman"/>
                <w:szCs w:val="20"/>
                <w:highlight w:val="yellow"/>
                <w:lang w:val="en-AU"/>
              </w:rPr>
            </w:pPr>
          </w:p>
        </w:tc>
        <w:tc>
          <w:tcPr>
            <w:tcW w:w="1061" w:type="dxa"/>
            <w:tcBorders>
              <w:top w:val="nil"/>
              <w:left w:val="nil"/>
              <w:bottom w:val="nil"/>
              <w:right w:val="nil"/>
            </w:tcBorders>
            <w:shd w:val="clear" w:color="auto" w:fill="auto"/>
            <w:noWrap/>
            <w:vAlign w:val="center"/>
          </w:tcPr>
          <w:p w14:paraId="5C8C1B07" w14:textId="77777777" w:rsidR="00AF1017" w:rsidRPr="00C510E0" w:rsidRDefault="00AF1017" w:rsidP="00AF1017">
            <w:pPr>
              <w:spacing w:before="0" w:after="0"/>
              <w:rPr>
                <w:rFonts w:ascii="Times New Roman" w:hAnsi="Times New Roman" w:cs="Times New Roman"/>
                <w:szCs w:val="20"/>
                <w:highlight w:val="yellow"/>
                <w:lang w:val="en-AU"/>
              </w:rPr>
            </w:pPr>
          </w:p>
        </w:tc>
      </w:tr>
      <w:tr w:rsidR="00AF1017" w:rsidRPr="00C510E0" w14:paraId="1CD2CB38" w14:textId="77777777" w:rsidTr="002A5A4F">
        <w:trPr>
          <w:trHeight w:val="232"/>
        </w:trPr>
        <w:tc>
          <w:tcPr>
            <w:tcW w:w="3178" w:type="dxa"/>
            <w:tcBorders>
              <w:top w:val="nil"/>
              <w:left w:val="nil"/>
              <w:bottom w:val="nil"/>
              <w:right w:val="nil"/>
            </w:tcBorders>
            <w:shd w:val="clear" w:color="auto" w:fill="auto"/>
            <w:noWrap/>
            <w:vAlign w:val="center"/>
            <w:hideMark/>
          </w:tcPr>
          <w:p w14:paraId="3F4A761E" w14:textId="77777777" w:rsidR="00AF1017" w:rsidRPr="002B2BCC" w:rsidRDefault="00AF1017" w:rsidP="00AF1017">
            <w:pPr>
              <w:spacing w:before="0" w:after="0"/>
              <w:ind w:firstLineChars="100" w:firstLine="160"/>
              <w:rPr>
                <w:rFonts w:ascii="Arial" w:hAnsi="Arial"/>
                <w:b/>
                <w:bCs/>
                <w:color w:val="000000"/>
                <w:sz w:val="16"/>
                <w:szCs w:val="16"/>
                <w:lang w:val="en-AU"/>
              </w:rPr>
            </w:pPr>
            <w:r w:rsidRPr="002B2BCC">
              <w:rPr>
                <w:rFonts w:ascii="Arial" w:hAnsi="Arial"/>
                <w:b/>
                <w:bCs/>
                <w:color w:val="000000"/>
                <w:sz w:val="16"/>
                <w:szCs w:val="16"/>
                <w:lang w:val="en-AU"/>
              </w:rPr>
              <w:t>Payables</w:t>
            </w:r>
          </w:p>
        </w:tc>
        <w:tc>
          <w:tcPr>
            <w:tcW w:w="981" w:type="dxa"/>
            <w:tcBorders>
              <w:top w:val="nil"/>
              <w:left w:val="nil"/>
              <w:bottom w:val="nil"/>
              <w:right w:val="nil"/>
            </w:tcBorders>
            <w:shd w:val="clear" w:color="auto" w:fill="auto"/>
            <w:noWrap/>
            <w:vAlign w:val="center"/>
          </w:tcPr>
          <w:p w14:paraId="26A2328B" w14:textId="77777777" w:rsidR="00AF1017" w:rsidRPr="00C510E0" w:rsidRDefault="00AF1017" w:rsidP="00AF1017">
            <w:pPr>
              <w:spacing w:before="0" w:after="0"/>
              <w:jc w:val="right"/>
              <w:rPr>
                <w:rFonts w:ascii="Arial" w:hAnsi="Arial"/>
                <w:b/>
                <w:bCs/>
                <w:color w:val="000000"/>
                <w:sz w:val="16"/>
                <w:szCs w:val="16"/>
                <w:highlight w:val="yellow"/>
                <w:lang w:val="en-AU"/>
              </w:rPr>
            </w:pPr>
          </w:p>
        </w:tc>
        <w:tc>
          <w:tcPr>
            <w:tcW w:w="1060" w:type="dxa"/>
            <w:tcBorders>
              <w:top w:val="nil"/>
              <w:left w:val="nil"/>
              <w:bottom w:val="nil"/>
              <w:right w:val="nil"/>
            </w:tcBorders>
            <w:shd w:val="clear" w:color="auto" w:fill="E6E6E6"/>
            <w:noWrap/>
            <w:vAlign w:val="center"/>
          </w:tcPr>
          <w:p w14:paraId="3779C993" w14:textId="77777777" w:rsidR="00AF1017" w:rsidRPr="00C510E0" w:rsidRDefault="00AF1017" w:rsidP="00AF1017">
            <w:pPr>
              <w:spacing w:before="0" w:after="0"/>
              <w:jc w:val="right"/>
              <w:rPr>
                <w:rFonts w:ascii="Arial" w:hAnsi="Arial"/>
                <w:b/>
                <w:color w:val="000000"/>
                <w:sz w:val="16"/>
                <w:szCs w:val="16"/>
                <w:highlight w:val="yellow"/>
                <w:lang w:val="en-AU"/>
              </w:rPr>
            </w:pPr>
            <w:r>
              <w:rPr>
                <w:rFonts w:ascii="Arial" w:hAnsi="Arial"/>
                <w:color w:val="000000"/>
                <w:sz w:val="16"/>
                <w:szCs w:val="16"/>
              </w:rPr>
              <w:t> </w:t>
            </w:r>
          </w:p>
        </w:tc>
        <w:tc>
          <w:tcPr>
            <w:tcW w:w="1059" w:type="dxa"/>
            <w:tcBorders>
              <w:top w:val="nil"/>
              <w:left w:val="nil"/>
              <w:bottom w:val="nil"/>
              <w:right w:val="nil"/>
            </w:tcBorders>
            <w:shd w:val="clear" w:color="auto" w:fill="auto"/>
            <w:noWrap/>
            <w:vAlign w:val="center"/>
          </w:tcPr>
          <w:p w14:paraId="5636E664" w14:textId="77777777" w:rsidR="00AF1017" w:rsidRPr="00C510E0" w:rsidRDefault="00AF1017" w:rsidP="00AF1017">
            <w:pPr>
              <w:spacing w:before="0" w:after="0"/>
              <w:jc w:val="right"/>
              <w:rPr>
                <w:rFonts w:ascii="Times New Roman" w:hAnsi="Times New Roman" w:cs="Times New Roman"/>
                <w:b/>
                <w:szCs w:val="20"/>
                <w:highlight w:val="yellow"/>
                <w:lang w:val="en-AU"/>
              </w:rPr>
            </w:pPr>
          </w:p>
        </w:tc>
        <w:tc>
          <w:tcPr>
            <w:tcW w:w="1059" w:type="dxa"/>
            <w:tcBorders>
              <w:top w:val="nil"/>
              <w:left w:val="nil"/>
              <w:bottom w:val="nil"/>
              <w:right w:val="nil"/>
            </w:tcBorders>
            <w:shd w:val="clear" w:color="auto" w:fill="auto"/>
            <w:noWrap/>
            <w:vAlign w:val="center"/>
          </w:tcPr>
          <w:p w14:paraId="133169F1" w14:textId="77777777" w:rsidR="00AF1017" w:rsidRPr="00C510E0" w:rsidRDefault="00AF1017" w:rsidP="00AF1017">
            <w:pPr>
              <w:spacing w:before="0" w:after="0"/>
              <w:jc w:val="right"/>
              <w:rPr>
                <w:rFonts w:ascii="Times New Roman" w:hAnsi="Times New Roman" w:cs="Times New Roman"/>
                <w:b/>
                <w:szCs w:val="20"/>
                <w:highlight w:val="yellow"/>
                <w:lang w:val="en-AU"/>
              </w:rPr>
            </w:pPr>
          </w:p>
        </w:tc>
        <w:tc>
          <w:tcPr>
            <w:tcW w:w="1061" w:type="dxa"/>
            <w:tcBorders>
              <w:top w:val="nil"/>
              <w:left w:val="nil"/>
              <w:bottom w:val="nil"/>
              <w:right w:val="nil"/>
            </w:tcBorders>
            <w:shd w:val="clear" w:color="auto" w:fill="auto"/>
            <w:noWrap/>
            <w:vAlign w:val="center"/>
          </w:tcPr>
          <w:p w14:paraId="69B9ED55" w14:textId="77777777" w:rsidR="00AF1017" w:rsidRPr="00C510E0" w:rsidRDefault="00AF1017" w:rsidP="00AF1017">
            <w:pPr>
              <w:spacing w:before="0" w:after="0"/>
              <w:jc w:val="right"/>
              <w:rPr>
                <w:rFonts w:ascii="Times New Roman" w:hAnsi="Times New Roman" w:cs="Times New Roman"/>
                <w:b/>
                <w:szCs w:val="20"/>
                <w:highlight w:val="yellow"/>
                <w:lang w:val="en-AU"/>
              </w:rPr>
            </w:pPr>
          </w:p>
        </w:tc>
      </w:tr>
      <w:tr w:rsidR="00CF037A" w:rsidRPr="00C510E0" w14:paraId="2AEB51BF" w14:textId="77777777" w:rsidTr="002A5A4F">
        <w:trPr>
          <w:trHeight w:val="232"/>
        </w:trPr>
        <w:tc>
          <w:tcPr>
            <w:tcW w:w="3178" w:type="dxa"/>
            <w:tcBorders>
              <w:top w:val="nil"/>
              <w:left w:val="nil"/>
              <w:bottom w:val="nil"/>
              <w:right w:val="nil"/>
            </w:tcBorders>
            <w:shd w:val="clear" w:color="auto" w:fill="auto"/>
            <w:noWrap/>
            <w:vAlign w:val="center"/>
            <w:hideMark/>
          </w:tcPr>
          <w:p w14:paraId="5DCAE80D" w14:textId="77777777" w:rsidR="00CF037A" w:rsidRPr="002B2BCC" w:rsidRDefault="00CF037A" w:rsidP="00CF037A">
            <w:pPr>
              <w:spacing w:before="0" w:after="0"/>
              <w:ind w:firstLineChars="200" w:firstLine="320"/>
              <w:rPr>
                <w:rFonts w:ascii="Arial" w:hAnsi="Arial"/>
                <w:color w:val="000000"/>
                <w:sz w:val="16"/>
                <w:szCs w:val="16"/>
                <w:lang w:val="en-AU"/>
              </w:rPr>
            </w:pPr>
            <w:r w:rsidRPr="002B2BCC">
              <w:rPr>
                <w:rFonts w:ascii="Arial" w:hAnsi="Arial"/>
                <w:color w:val="000000"/>
                <w:sz w:val="16"/>
                <w:szCs w:val="16"/>
                <w:lang w:val="en-AU"/>
              </w:rPr>
              <w:t>Suppliers</w:t>
            </w:r>
          </w:p>
        </w:tc>
        <w:tc>
          <w:tcPr>
            <w:tcW w:w="981" w:type="dxa"/>
            <w:tcBorders>
              <w:top w:val="nil"/>
              <w:left w:val="nil"/>
              <w:bottom w:val="nil"/>
              <w:right w:val="nil"/>
            </w:tcBorders>
            <w:shd w:val="clear" w:color="auto" w:fill="auto"/>
            <w:noWrap/>
            <w:vAlign w:val="center"/>
          </w:tcPr>
          <w:p w14:paraId="4C352A37" w14:textId="672D077A" w:rsidR="00CF037A" w:rsidRPr="00C510E0" w:rsidRDefault="00CF037A" w:rsidP="00CF037A">
            <w:pPr>
              <w:spacing w:before="0" w:after="0"/>
              <w:jc w:val="right"/>
              <w:rPr>
                <w:rFonts w:ascii="Arial" w:hAnsi="Arial"/>
                <w:b/>
                <w:bCs/>
                <w:color w:val="000000"/>
                <w:sz w:val="16"/>
                <w:szCs w:val="16"/>
                <w:highlight w:val="yellow"/>
                <w:lang w:val="en-AU"/>
              </w:rPr>
            </w:pPr>
            <w:r w:rsidRPr="008D56D3">
              <w:rPr>
                <w:rFonts w:ascii="Arial" w:hAnsi="Arial"/>
                <w:color w:val="000000"/>
                <w:sz w:val="16"/>
                <w:szCs w:val="16"/>
                <w:lang w:val="en-AU"/>
              </w:rPr>
              <w:t>3,624</w:t>
            </w:r>
          </w:p>
        </w:tc>
        <w:tc>
          <w:tcPr>
            <w:tcW w:w="1060" w:type="dxa"/>
            <w:tcBorders>
              <w:top w:val="nil"/>
              <w:left w:val="nil"/>
              <w:bottom w:val="nil"/>
              <w:right w:val="nil"/>
            </w:tcBorders>
            <w:shd w:val="clear" w:color="auto" w:fill="E6E6E6"/>
            <w:noWrap/>
            <w:vAlign w:val="center"/>
          </w:tcPr>
          <w:p w14:paraId="2EA1649C" w14:textId="0EBFE663" w:rsidR="00CF037A" w:rsidRPr="00C510E0" w:rsidRDefault="00CF037A" w:rsidP="00CF037A">
            <w:pPr>
              <w:spacing w:before="0" w:after="0"/>
              <w:jc w:val="right"/>
              <w:rPr>
                <w:rFonts w:ascii="Arial" w:hAnsi="Arial"/>
                <w:color w:val="000000"/>
                <w:sz w:val="16"/>
                <w:szCs w:val="16"/>
                <w:highlight w:val="yellow"/>
                <w:lang w:val="en-AU"/>
              </w:rPr>
            </w:pPr>
            <w:r w:rsidRPr="008D56D3">
              <w:rPr>
                <w:rFonts w:ascii="Arial" w:hAnsi="Arial"/>
                <w:color w:val="000000"/>
                <w:sz w:val="16"/>
                <w:szCs w:val="16"/>
                <w:lang w:val="en-AU"/>
              </w:rPr>
              <w:t>3,107</w:t>
            </w:r>
          </w:p>
        </w:tc>
        <w:tc>
          <w:tcPr>
            <w:tcW w:w="1059" w:type="dxa"/>
            <w:tcBorders>
              <w:top w:val="nil"/>
              <w:left w:val="nil"/>
              <w:bottom w:val="nil"/>
              <w:right w:val="nil"/>
            </w:tcBorders>
            <w:shd w:val="clear" w:color="auto" w:fill="auto"/>
            <w:noWrap/>
            <w:vAlign w:val="center"/>
          </w:tcPr>
          <w:p w14:paraId="009D8C58" w14:textId="6801E3CC" w:rsidR="00CF037A" w:rsidRPr="000C42FD" w:rsidRDefault="00CF037A" w:rsidP="00CF037A">
            <w:pPr>
              <w:spacing w:before="0" w:after="0"/>
              <w:jc w:val="right"/>
              <w:rPr>
                <w:rFonts w:ascii="Times New Roman" w:hAnsi="Times New Roman" w:cs="Times New Roman"/>
                <w:szCs w:val="20"/>
                <w:lang w:val="en-AU"/>
              </w:rPr>
            </w:pPr>
            <w:r w:rsidRPr="008D56D3">
              <w:rPr>
                <w:rFonts w:ascii="Arial" w:hAnsi="Arial"/>
                <w:color w:val="000000"/>
                <w:sz w:val="16"/>
                <w:szCs w:val="16"/>
                <w:lang w:val="en-AU"/>
              </w:rPr>
              <w:t>3,107</w:t>
            </w:r>
          </w:p>
        </w:tc>
        <w:tc>
          <w:tcPr>
            <w:tcW w:w="1059" w:type="dxa"/>
            <w:tcBorders>
              <w:top w:val="nil"/>
              <w:left w:val="nil"/>
              <w:bottom w:val="nil"/>
              <w:right w:val="nil"/>
            </w:tcBorders>
            <w:shd w:val="clear" w:color="auto" w:fill="auto"/>
            <w:noWrap/>
            <w:vAlign w:val="center"/>
          </w:tcPr>
          <w:p w14:paraId="371DAD03" w14:textId="5797CE30" w:rsidR="00CF037A" w:rsidRPr="000C42FD" w:rsidRDefault="00CF037A" w:rsidP="00CF037A">
            <w:pPr>
              <w:spacing w:before="0" w:after="0"/>
              <w:jc w:val="right"/>
              <w:rPr>
                <w:rFonts w:ascii="Times New Roman" w:hAnsi="Times New Roman" w:cs="Times New Roman"/>
                <w:szCs w:val="20"/>
                <w:lang w:val="en-AU"/>
              </w:rPr>
            </w:pPr>
            <w:r w:rsidRPr="008D56D3">
              <w:rPr>
                <w:rFonts w:ascii="Arial" w:hAnsi="Arial"/>
                <w:color w:val="000000"/>
                <w:sz w:val="16"/>
                <w:szCs w:val="16"/>
                <w:lang w:val="en-AU"/>
              </w:rPr>
              <w:t>3,107</w:t>
            </w:r>
          </w:p>
        </w:tc>
        <w:tc>
          <w:tcPr>
            <w:tcW w:w="1061" w:type="dxa"/>
            <w:tcBorders>
              <w:top w:val="nil"/>
              <w:left w:val="nil"/>
              <w:bottom w:val="nil"/>
              <w:right w:val="nil"/>
            </w:tcBorders>
            <w:shd w:val="clear" w:color="auto" w:fill="auto"/>
            <w:noWrap/>
            <w:vAlign w:val="center"/>
          </w:tcPr>
          <w:p w14:paraId="088329E8" w14:textId="79674E82" w:rsidR="00CF037A" w:rsidRPr="00C510E0" w:rsidRDefault="00CF037A" w:rsidP="00CF037A">
            <w:pPr>
              <w:spacing w:before="0" w:after="0"/>
              <w:jc w:val="right"/>
              <w:rPr>
                <w:rFonts w:ascii="Times New Roman" w:hAnsi="Times New Roman" w:cs="Times New Roman"/>
                <w:szCs w:val="20"/>
                <w:highlight w:val="yellow"/>
                <w:lang w:val="en-AU"/>
              </w:rPr>
            </w:pPr>
            <w:r w:rsidRPr="008D56D3">
              <w:rPr>
                <w:rFonts w:ascii="Arial" w:hAnsi="Arial"/>
                <w:color w:val="000000"/>
                <w:sz w:val="16"/>
                <w:szCs w:val="16"/>
                <w:lang w:val="en-AU"/>
              </w:rPr>
              <w:t>3,107</w:t>
            </w:r>
          </w:p>
        </w:tc>
      </w:tr>
      <w:tr w:rsidR="00CF037A" w:rsidRPr="00C510E0" w14:paraId="5D2AABD3" w14:textId="77777777" w:rsidTr="002A5A4F">
        <w:trPr>
          <w:trHeight w:val="232"/>
        </w:trPr>
        <w:tc>
          <w:tcPr>
            <w:tcW w:w="3178" w:type="dxa"/>
            <w:tcBorders>
              <w:top w:val="nil"/>
              <w:left w:val="nil"/>
              <w:bottom w:val="nil"/>
              <w:right w:val="nil"/>
            </w:tcBorders>
            <w:shd w:val="clear" w:color="auto" w:fill="auto"/>
            <w:noWrap/>
            <w:vAlign w:val="center"/>
            <w:hideMark/>
          </w:tcPr>
          <w:p w14:paraId="20ABC329" w14:textId="77777777" w:rsidR="00CF037A" w:rsidRPr="002B2BCC" w:rsidRDefault="00CF037A" w:rsidP="00CF037A">
            <w:pPr>
              <w:spacing w:before="0" w:after="0"/>
              <w:ind w:firstLineChars="200" w:firstLine="320"/>
              <w:rPr>
                <w:rFonts w:ascii="Arial" w:hAnsi="Arial"/>
                <w:color w:val="000000"/>
                <w:sz w:val="16"/>
                <w:szCs w:val="16"/>
                <w:lang w:val="en-AU"/>
              </w:rPr>
            </w:pPr>
            <w:r w:rsidRPr="002B2BCC">
              <w:rPr>
                <w:rFonts w:ascii="Arial" w:hAnsi="Arial"/>
                <w:color w:val="000000"/>
                <w:sz w:val="16"/>
                <w:szCs w:val="16"/>
                <w:lang w:val="en-AU"/>
              </w:rPr>
              <w:t>Other payables</w:t>
            </w:r>
          </w:p>
        </w:tc>
        <w:tc>
          <w:tcPr>
            <w:tcW w:w="981" w:type="dxa"/>
            <w:tcBorders>
              <w:top w:val="nil"/>
              <w:left w:val="nil"/>
              <w:bottom w:val="nil"/>
              <w:right w:val="nil"/>
            </w:tcBorders>
            <w:shd w:val="clear" w:color="auto" w:fill="auto"/>
            <w:noWrap/>
            <w:vAlign w:val="center"/>
          </w:tcPr>
          <w:p w14:paraId="786ACD43" w14:textId="1196326F" w:rsidR="00CF037A" w:rsidRPr="00C510E0" w:rsidRDefault="00CF037A" w:rsidP="00CF037A">
            <w:pPr>
              <w:spacing w:before="0" w:after="0"/>
              <w:jc w:val="right"/>
              <w:rPr>
                <w:rFonts w:ascii="Arial" w:hAnsi="Arial"/>
                <w:color w:val="000000"/>
                <w:sz w:val="16"/>
                <w:szCs w:val="16"/>
                <w:highlight w:val="yellow"/>
                <w:lang w:val="en-AU"/>
              </w:rPr>
            </w:pPr>
            <w:r w:rsidRPr="008D56D3">
              <w:rPr>
                <w:rFonts w:ascii="Arial" w:hAnsi="Arial"/>
                <w:color w:val="000000"/>
                <w:sz w:val="16"/>
                <w:szCs w:val="16"/>
                <w:lang w:val="en-AU"/>
              </w:rPr>
              <w:t>34,495</w:t>
            </w:r>
          </w:p>
        </w:tc>
        <w:tc>
          <w:tcPr>
            <w:tcW w:w="1060" w:type="dxa"/>
            <w:tcBorders>
              <w:top w:val="nil"/>
              <w:left w:val="nil"/>
              <w:bottom w:val="nil"/>
              <w:right w:val="nil"/>
            </w:tcBorders>
            <w:shd w:val="clear" w:color="auto" w:fill="E6E6E6"/>
            <w:noWrap/>
            <w:vAlign w:val="center"/>
          </w:tcPr>
          <w:p w14:paraId="34518D95" w14:textId="50FAB99E" w:rsidR="00CF037A" w:rsidRPr="00C510E0" w:rsidRDefault="00CF037A" w:rsidP="00CF037A">
            <w:pPr>
              <w:spacing w:before="0" w:after="0"/>
              <w:jc w:val="right"/>
              <w:rPr>
                <w:rFonts w:ascii="Arial" w:hAnsi="Arial"/>
                <w:color w:val="000000"/>
                <w:sz w:val="16"/>
                <w:szCs w:val="16"/>
                <w:highlight w:val="yellow"/>
                <w:lang w:val="en-AU"/>
              </w:rPr>
            </w:pPr>
            <w:r w:rsidRPr="008D56D3">
              <w:rPr>
                <w:rFonts w:ascii="Arial" w:hAnsi="Arial"/>
                <w:color w:val="000000"/>
                <w:sz w:val="16"/>
                <w:szCs w:val="16"/>
                <w:lang w:val="en-AU"/>
              </w:rPr>
              <w:t>55,733</w:t>
            </w:r>
          </w:p>
        </w:tc>
        <w:tc>
          <w:tcPr>
            <w:tcW w:w="1059" w:type="dxa"/>
            <w:tcBorders>
              <w:top w:val="nil"/>
              <w:left w:val="nil"/>
              <w:bottom w:val="nil"/>
              <w:right w:val="nil"/>
            </w:tcBorders>
            <w:shd w:val="clear" w:color="auto" w:fill="auto"/>
            <w:noWrap/>
            <w:vAlign w:val="center"/>
          </w:tcPr>
          <w:p w14:paraId="37B16BEA" w14:textId="187F3139" w:rsidR="00CF037A" w:rsidRPr="000C42FD" w:rsidRDefault="00CF037A" w:rsidP="00CF037A">
            <w:pPr>
              <w:spacing w:before="0" w:after="0"/>
              <w:jc w:val="right"/>
              <w:rPr>
                <w:rFonts w:ascii="Arial" w:hAnsi="Arial"/>
                <w:color w:val="000000"/>
                <w:sz w:val="16"/>
                <w:szCs w:val="16"/>
                <w:lang w:val="en-AU"/>
              </w:rPr>
            </w:pPr>
            <w:r w:rsidRPr="008D56D3">
              <w:rPr>
                <w:rFonts w:ascii="Arial" w:hAnsi="Arial"/>
                <w:color w:val="000000"/>
                <w:sz w:val="16"/>
                <w:szCs w:val="16"/>
                <w:lang w:val="en-AU"/>
              </w:rPr>
              <w:t>62,724</w:t>
            </w:r>
          </w:p>
        </w:tc>
        <w:tc>
          <w:tcPr>
            <w:tcW w:w="1059" w:type="dxa"/>
            <w:tcBorders>
              <w:top w:val="nil"/>
              <w:left w:val="nil"/>
              <w:bottom w:val="nil"/>
              <w:right w:val="nil"/>
            </w:tcBorders>
            <w:shd w:val="clear" w:color="auto" w:fill="auto"/>
            <w:noWrap/>
            <w:vAlign w:val="center"/>
          </w:tcPr>
          <w:p w14:paraId="2C85C13B" w14:textId="4F7948A9" w:rsidR="00CF037A" w:rsidRPr="000C42FD" w:rsidRDefault="00CF037A" w:rsidP="00CF037A">
            <w:pPr>
              <w:spacing w:before="0" w:after="0"/>
              <w:jc w:val="right"/>
              <w:rPr>
                <w:rFonts w:ascii="Arial" w:hAnsi="Arial"/>
                <w:color w:val="000000"/>
                <w:sz w:val="16"/>
                <w:szCs w:val="16"/>
                <w:lang w:val="en-AU"/>
              </w:rPr>
            </w:pPr>
            <w:r w:rsidRPr="008D56D3">
              <w:rPr>
                <w:rFonts w:ascii="Arial" w:hAnsi="Arial"/>
                <w:color w:val="000000"/>
                <w:sz w:val="16"/>
                <w:szCs w:val="16"/>
                <w:lang w:val="en-AU"/>
              </w:rPr>
              <w:t>68,248</w:t>
            </w:r>
          </w:p>
        </w:tc>
        <w:tc>
          <w:tcPr>
            <w:tcW w:w="1061" w:type="dxa"/>
            <w:tcBorders>
              <w:top w:val="nil"/>
              <w:left w:val="nil"/>
              <w:bottom w:val="nil"/>
              <w:right w:val="nil"/>
            </w:tcBorders>
            <w:shd w:val="clear" w:color="auto" w:fill="auto"/>
            <w:noWrap/>
            <w:vAlign w:val="center"/>
          </w:tcPr>
          <w:p w14:paraId="2252CA61" w14:textId="4E36EB9C" w:rsidR="00CF037A" w:rsidRPr="00C510E0" w:rsidRDefault="00CF037A" w:rsidP="00CF037A">
            <w:pPr>
              <w:spacing w:before="0" w:after="0"/>
              <w:jc w:val="right"/>
              <w:rPr>
                <w:rFonts w:ascii="Arial" w:hAnsi="Arial"/>
                <w:color w:val="000000"/>
                <w:sz w:val="16"/>
                <w:szCs w:val="16"/>
                <w:highlight w:val="yellow"/>
                <w:lang w:val="en-AU"/>
              </w:rPr>
            </w:pPr>
            <w:r w:rsidRPr="008D56D3">
              <w:rPr>
                <w:rFonts w:ascii="Arial" w:hAnsi="Arial"/>
                <w:color w:val="000000"/>
                <w:sz w:val="16"/>
                <w:szCs w:val="16"/>
                <w:lang w:val="en-AU"/>
              </w:rPr>
              <w:t>69,308</w:t>
            </w:r>
          </w:p>
        </w:tc>
      </w:tr>
      <w:tr w:rsidR="00CF037A" w:rsidRPr="00C510E0" w14:paraId="79E31422" w14:textId="77777777" w:rsidTr="002A5A4F">
        <w:trPr>
          <w:trHeight w:val="232"/>
        </w:trPr>
        <w:tc>
          <w:tcPr>
            <w:tcW w:w="3178" w:type="dxa"/>
            <w:tcBorders>
              <w:top w:val="nil"/>
              <w:left w:val="nil"/>
              <w:bottom w:val="nil"/>
              <w:right w:val="nil"/>
            </w:tcBorders>
            <w:shd w:val="clear" w:color="auto" w:fill="auto"/>
            <w:noWrap/>
            <w:vAlign w:val="center"/>
            <w:hideMark/>
          </w:tcPr>
          <w:p w14:paraId="490EAD85" w14:textId="77777777" w:rsidR="00CF037A" w:rsidRPr="002B2BCC" w:rsidRDefault="00CF037A" w:rsidP="00CF037A">
            <w:pPr>
              <w:spacing w:before="0" w:after="0"/>
              <w:ind w:firstLineChars="100" w:firstLine="160"/>
              <w:rPr>
                <w:rFonts w:ascii="Arial" w:hAnsi="Arial"/>
                <w:b/>
                <w:bCs/>
                <w:i/>
                <w:iCs/>
                <w:color w:val="000000"/>
                <w:sz w:val="16"/>
                <w:szCs w:val="16"/>
                <w:lang w:val="en-AU"/>
              </w:rPr>
            </w:pPr>
            <w:r w:rsidRPr="002B2BCC">
              <w:rPr>
                <w:rFonts w:ascii="Arial" w:hAnsi="Arial"/>
                <w:b/>
                <w:bCs/>
                <w:i/>
                <w:iCs/>
                <w:color w:val="000000"/>
                <w:sz w:val="16"/>
                <w:szCs w:val="16"/>
                <w:lang w:val="en-AU"/>
              </w:rPr>
              <w:t>Total payables</w:t>
            </w:r>
          </w:p>
        </w:tc>
        <w:tc>
          <w:tcPr>
            <w:tcW w:w="981" w:type="dxa"/>
            <w:tcBorders>
              <w:top w:val="single" w:sz="4" w:space="0" w:color="000000"/>
              <w:left w:val="nil"/>
              <w:bottom w:val="single" w:sz="4" w:space="0" w:color="000000"/>
              <w:right w:val="nil"/>
            </w:tcBorders>
            <w:shd w:val="clear" w:color="auto" w:fill="auto"/>
            <w:noWrap/>
            <w:vAlign w:val="center"/>
          </w:tcPr>
          <w:p w14:paraId="5323A86C" w14:textId="35A422EE" w:rsidR="00CF037A" w:rsidRPr="00C510E0" w:rsidRDefault="00DC59EB" w:rsidP="00CF037A">
            <w:pPr>
              <w:spacing w:before="0" w:after="0"/>
              <w:jc w:val="right"/>
              <w:rPr>
                <w:rFonts w:ascii="Arial" w:hAnsi="Arial"/>
                <w:color w:val="000000"/>
                <w:sz w:val="16"/>
                <w:szCs w:val="16"/>
                <w:highlight w:val="yellow"/>
                <w:lang w:val="en-AU"/>
              </w:rPr>
            </w:pPr>
            <w:r>
              <w:rPr>
                <w:rFonts w:ascii="Arial" w:hAnsi="Arial"/>
                <w:b/>
                <w:bCs/>
                <w:i/>
                <w:iCs/>
                <w:color w:val="000000"/>
                <w:sz w:val="16"/>
                <w:szCs w:val="16"/>
                <w:lang w:val="en-AU"/>
              </w:rPr>
              <w:t xml:space="preserve">         38,119</w:t>
            </w:r>
          </w:p>
        </w:tc>
        <w:tc>
          <w:tcPr>
            <w:tcW w:w="1060" w:type="dxa"/>
            <w:tcBorders>
              <w:top w:val="single" w:sz="4" w:space="0" w:color="000000"/>
              <w:left w:val="nil"/>
              <w:bottom w:val="single" w:sz="4" w:space="0" w:color="000000"/>
              <w:right w:val="nil"/>
            </w:tcBorders>
            <w:shd w:val="clear" w:color="auto" w:fill="E6E6E6"/>
            <w:noWrap/>
            <w:vAlign w:val="center"/>
          </w:tcPr>
          <w:p w14:paraId="1A0120A9" w14:textId="3FAFEE5C" w:rsidR="00CF037A" w:rsidRPr="00C510E0" w:rsidRDefault="00CF037A" w:rsidP="00DC59EB">
            <w:pPr>
              <w:spacing w:before="0" w:after="0"/>
              <w:jc w:val="right"/>
              <w:rPr>
                <w:rFonts w:ascii="Arial" w:hAnsi="Arial"/>
                <w:color w:val="000000"/>
                <w:sz w:val="16"/>
                <w:szCs w:val="16"/>
                <w:highlight w:val="yellow"/>
                <w:lang w:val="en-AU"/>
              </w:rPr>
            </w:pPr>
            <w:r w:rsidRPr="008D56D3">
              <w:rPr>
                <w:rFonts w:ascii="Arial" w:hAnsi="Arial"/>
                <w:b/>
                <w:bCs/>
                <w:i/>
                <w:iCs/>
                <w:color w:val="000000"/>
                <w:sz w:val="16"/>
                <w:szCs w:val="16"/>
                <w:lang w:val="en-AU"/>
              </w:rPr>
              <w:t xml:space="preserve">         58,840</w:t>
            </w:r>
          </w:p>
        </w:tc>
        <w:tc>
          <w:tcPr>
            <w:tcW w:w="1059" w:type="dxa"/>
            <w:tcBorders>
              <w:top w:val="single" w:sz="4" w:space="0" w:color="000000"/>
              <w:left w:val="nil"/>
              <w:bottom w:val="single" w:sz="4" w:space="0" w:color="000000"/>
              <w:right w:val="nil"/>
            </w:tcBorders>
            <w:shd w:val="clear" w:color="auto" w:fill="auto"/>
            <w:noWrap/>
            <w:vAlign w:val="center"/>
          </w:tcPr>
          <w:p w14:paraId="384EBCAD" w14:textId="517CB8A5" w:rsidR="00CF037A" w:rsidRPr="000C42FD" w:rsidRDefault="00CF037A" w:rsidP="00DC59EB">
            <w:pPr>
              <w:spacing w:before="0" w:after="0"/>
              <w:jc w:val="right"/>
              <w:rPr>
                <w:rFonts w:ascii="Arial" w:hAnsi="Arial"/>
                <w:color w:val="000000"/>
                <w:sz w:val="16"/>
                <w:szCs w:val="16"/>
                <w:lang w:val="en-AU"/>
              </w:rPr>
            </w:pPr>
            <w:r w:rsidRPr="008D56D3">
              <w:rPr>
                <w:rFonts w:ascii="Arial" w:hAnsi="Arial"/>
                <w:b/>
                <w:bCs/>
                <w:i/>
                <w:iCs/>
                <w:color w:val="000000"/>
                <w:sz w:val="16"/>
                <w:szCs w:val="16"/>
                <w:lang w:val="en-AU"/>
              </w:rPr>
              <w:t xml:space="preserve">         65,831</w:t>
            </w:r>
          </w:p>
        </w:tc>
        <w:tc>
          <w:tcPr>
            <w:tcW w:w="1059" w:type="dxa"/>
            <w:tcBorders>
              <w:top w:val="single" w:sz="4" w:space="0" w:color="000000"/>
              <w:left w:val="nil"/>
              <w:bottom w:val="single" w:sz="4" w:space="0" w:color="000000"/>
              <w:right w:val="nil"/>
            </w:tcBorders>
            <w:shd w:val="clear" w:color="auto" w:fill="auto"/>
            <w:noWrap/>
            <w:vAlign w:val="center"/>
          </w:tcPr>
          <w:p w14:paraId="3FA9050D" w14:textId="0EE66672" w:rsidR="00CF037A" w:rsidRPr="000C42FD" w:rsidRDefault="00CF037A" w:rsidP="00DC59EB">
            <w:pPr>
              <w:spacing w:before="0" w:after="0"/>
              <w:jc w:val="right"/>
              <w:rPr>
                <w:rFonts w:ascii="Arial" w:hAnsi="Arial"/>
                <w:color w:val="000000"/>
                <w:sz w:val="16"/>
                <w:szCs w:val="16"/>
                <w:lang w:val="en-AU"/>
              </w:rPr>
            </w:pPr>
            <w:r w:rsidRPr="008D56D3">
              <w:rPr>
                <w:rFonts w:ascii="Arial" w:hAnsi="Arial"/>
                <w:b/>
                <w:bCs/>
                <w:i/>
                <w:iCs/>
                <w:color w:val="000000"/>
                <w:sz w:val="16"/>
                <w:szCs w:val="16"/>
                <w:lang w:val="en-AU"/>
              </w:rPr>
              <w:t xml:space="preserve">         71,355</w:t>
            </w:r>
          </w:p>
        </w:tc>
        <w:tc>
          <w:tcPr>
            <w:tcW w:w="1061" w:type="dxa"/>
            <w:tcBorders>
              <w:top w:val="single" w:sz="4" w:space="0" w:color="000000"/>
              <w:left w:val="nil"/>
              <w:bottom w:val="single" w:sz="4" w:space="0" w:color="000000"/>
              <w:right w:val="nil"/>
            </w:tcBorders>
            <w:shd w:val="clear" w:color="auto" w:fill="auto"/>
            <w:noWrap/>
            <w:vAlign w:val="center"/>
          </w:tcPr>
          <w:p w14:paraId="1FA0E0F7" w14:textId="4C57DC4B" w:rsidR="00CF037A" w:rsidRPr="00C510E0" w:rsidRDefault="00CF037A" w:rsidP="00DC59EB">
            <w:pPr>
              <w:spacing w:before="0" w:after="0"/>
              <w:jc w:val="right"/>
              <w:rPr>
                <w:rFonts w:ascii="Arial" w:hAnsi="Arial"/>
                <w:color w:val="000000"/>
                <w:sz w:val="16"/>
                <w:szCs w:val="16"/>
                <w:highlight w:val="yellow"/>
                <w:lang w:val="en-AU"/>
              </w:rPr>
            </w:pPr>
            <w:r w:rsidRPr="008D56D3">
              <w:rPr>
                <w:rFonts w:ascii="Arial" w:hAnsi="Arial"/>
                <w:b/>
                <w:bCs/>
                <w:i/>
                <w:iCs/>
                <w:color w:val="000000"/>
                <w:sz w:val="16"/>
                <w:szCs w:val="16"/>
                <w:lang w:val="en-AU"/>
              </w:rPr>
              <w:t xml:space="preserve">         72,415</w:t>
            </w:r>
          </w:p>
        </w:tc>
      </w:tr>
      <w:tr w:rsidR="00AF1017" w:rsidRPr="00C510E0" w14:paraId="481E00D0" w14:textId="77777777" w:rsidTr="002A5A4F">
        <w:trPr>
          <w:trHeight w:val="232"/>
        </w:trPr>
        <w:tc>
          <w:tcPr>
            <w:tcW w:w="3178" w:type="dxa"/>
            <w:tcBorders>
              <w:top w:val="nil"/>
              <w:left w:val="nil"/>
              <w:bottom w:val="nil"/>
              <w:right w:val="nil"/>
            </w:tcBorders>
            <w:shd w:val="clear" w:color="auto" w:fill="auto"/>
            <w:noWrap/>
            <w:vAlign w:val="center"/>
            <w:hideMark/>
          </w:tcPr>
          <w:p w14:paraId="1788433B" w14:textId="77777777" w:rsidR="00AF1017" w:rsidRPr="002B2BCC" w:rsidRDefault="00AF1017" w:rsidP="00AF1017">
            <w:pPr>
              <w:spacing w:before="0" w:after="0"/>
              <w:ind w:firstLineChars="100" w:firstLine="160"/>
              <w:rPr>
                <w:rFonts w:ascii="Arial" w:hAnsi="Arial"/>
                <w:b/>
                <w:bCs/>
                <w:color w:val="000000"/>
                <w:sz w:val="16"/>
                <w:szCs w:val="16"/>
                <w:lang w:val="en-AU"/>
              </w:rPr>
            </w:pPr>
            <w:r w:rsidRPr="002B2BCC">
              <w:rPr>
                <w:rFonts w:ascii="Arial" w:hAnsi="Arial"/>
                <w:b/>
                <w:bCs/>
                <w:color w:val="000000"/>
                <w:sz w:val="16"/>
                <w:szCs w:val="16"/>
                <w:lang w:val="en-AU"/>
              </w:rPr>
              <w:t>Interest bearing liabilities</w:t>
            </w:r>
          </w:p>
        </w:tc>
        <w:tc>
          <w:tcPr>
            <w:tcW w:w="981" w:type="dxa"/>
            <w:tcBorders>
              <w:top w:val="nil"/>
              <w:left w:val="nil"/>
              <w:bottom w:val="nil"/>
              <w:right w:val="nil"/>
            </w:tcBorders>
            <w:shd w:val="clear" w:color="auto" w:fill="auto"/>
            <w:noWrap/>
            <w:vAlign w:val="center"/>
          </w:tcPr>
          <w:p w14:paraId="6187F10B" w14:textId="77777777" w:rsidR="00AF1017" w:rsidRPr="00C510E0" w:rsidRDefault="00AF1017" w:rsidP="00AF1017">
            <w:pPr>
              <w:spacing w:before="0" w:after="0"/>
              <w:jc w:val="right"/>
              <w:rPr>
                <w:rFonts w:ascii="Arial" w:hAnsi="Arial"/>
                <w:color w:val="000000"/>
                <w:sz w:val="16"/>
                <w:szCs w:val="16"/>
                <w:highlight w:val="yellow"/>
                <w:lang w:val="en-AU"/>
              </w:rPr>
            </w:pPr>
          </w:p>
        </w:tc>
        <w:tc>
          <w:tcPr>
            <w:tcW w:w="1060" w:type="dxa"/>
            <w:tcBorders>
              <w:top w:val="nil"/>
              <w:left w:val="nil"/>
              <w:bottom w:val="nil"/>
              <w:right w:val="nil"/>
            </w:tcBorders>
            <w:shd w:val="clear" w:color="auto" w:fill="E6E6E6"/>
            <w:noWrap/>
            <w:vAlign w:val="center"/>
          </w:tcPr>
          <w:p w14:paraId="37371F32" w14:textId="77777777" w:rsidR="00AF1017" w:rsidRPr="00C510E0" w:rsidRDefault="00AF1017" w:rsidP="00AF1017">
            <w:pPr>
              <w:spacing w:before="0" w:after="0"/>
              <w:jc w:val="right"/>
              <w:rPr>
                <w:rFonts w:ascii="Arial" w:hAnsi="Arial"/>
                <w:color w:val="000000"/>
                <w:sz w:val="16"/>
                <w:szCs w:val="16"/>
                <w:highlight w:val="yellow"/>
                <w:lang w:val="en-AU"/>
              </w:rPr>
            </w:pPr>
            <w:r>
              <w:rPr>
                <w:rFonts w:ascii="Arial" w:hAnsi="Arial"/>
                <w:color w:val="000000"/>
                <w:sz w:val="16"/>
                <w:szCs w:val="16"/>
              </w:rPr>
              <w:t> </w:t>
            </w:r>
          </w:p>
        </w:tc>
        <w:tc>
          <w:tcPr>
            <w:tcW w:w="1059" w:type="dxa"/>
            <w:tcBorders>
              <w:top w:val="nil"/>
              <w:left w:val="nil"/>
              <w:bottom w:val="nil"/>
              <w:right w:val="nil"/>
            </w:tcBorders>
            <w:shd w:val="clear" w:color="auto" w:fill="auto"/>
            <w:noWrap/>
            <w:vAlign w:val="center"/>
          </w:tcPr>
          <w:p w14:paraId="58B47FBA" w14:textId="77777777" w:rsidR="00AF1017" w:rsidRPr="00C510E0" w:rsidRDefault="00AF1017" w:rsidP="00AF1017">
            <w:pPr>
              <w:spacing w:before="0" w:after="0"/>
              <w:jc w:val="right"/>
              <w:rPr>
                <w:rFonts w:ascii="Arial" w:hAnsi="Arial"/>
                <w:color w:val="000000"/>
                <w:sz w:val="16"/>
                <w:szCs w:val="16"/>
                <w:highlight w:val="yellow"/>
                <w:lang w:val="en-AU"/>
              </w:rPr>
            </w:pPr>
          </w:p>
        </w:tc>
        <w:tc>
          <w:tcPr>
            <w:tcW w:w="1059" w:type="dxa"/>
            <w:tcBorders>
              <w:top w:val="nil"/>
              <w:left w:val="nil"/>
              <w:bottom w:val="nil"/>
              <w:right w:val="nil"/>
            </w:tcBorders>
            <w:shd w:val="clear" w:color="auto" w:fill="auto"/>
            <w:noWrap/>
            <w:vAlign w:val="center"/>
          </w:tcPr>
          <w:p w14:paraId="1F94F61D" w14:textId="77777777" w:rsidR="00AF1017" w:rsidRPr="00C510E0" w:rsidRDefault="00AF1017" w:rsidP="00AF1017">
            <w:pPr>
              <w:spacing w:before="0" w:after="0"/>
              <w:jc w:val="right"/>
              <w:rPr>
                <w:rFonts w:ascii="Arial" w:hAnsi="Arial"/>
                <w:color w:val="000000"/>
                <w:sz w:val="16"/>
                <w:szCs w:val="16"/>
                <w:highlight w:val="yellow"/>
                <w:lang w:val="en-AU"/>
              </w:rPr>
            </w:pPr>
          </w:p>
        </w:tc>
        <w:tc>
          <w:tcPr>
            <w:tcW w:w="1061" w:type="dxa"/>
            <w:tcBorders>
              <w:top w:val="nil"/>
              <w:left w:val="nil"/>
              <w:bottom w:val="nil"/>
              <w:right w:val="nil"/>
            </w:tcBorders>
            <w:shd w:val="clear" w:color="auto" w:fill="auto"/>
            <w:noWrap/>
            <w:vAlign w:val="center"/>
          </w:tcPr>
          <w:p w14:paraId="30B26D75" w14:textId="77777777" w:rsidR="00AF1017" w:rsidRPr="00C510E0" w:rsidRDefault="00AF1017" w:rsidP="00AF1017">
            <w:pPr>
              <w:spacing w:before="0" w:after="0"/>
              <w:jc w:val="right"/>
              <w:rPr>
                <w:rFonts w:ascii="Arial" w:hAnsi="Arial"/>
                <w:color w:val="000000"/>
                <w:sz w:val="16"/>
                <w:szCs w:val="16"/>
                <w:highlight w:val="yellow"/>
                <w:lang w:val="en-AU"/>
              </w:rPr>
            </w:pPr>
          </w:p>
        </w:tc>
      </w:tr>
      <w:tr w:rsidR="00CF037A" w:rsidRPr="00C510E0" w14:paraId="306E432A" w14:textId="77777777" w:rsidTr="002A5A4F">
        <w:trPr>
          <w:trHeight w:val="232"/>
        </w:trPr>
        <w:tc>
          <w:tcPr>
            <w:tcW w:w="3178" w:type="dxa"/>
            <w:tcBorders>
              <w:top w:val="nil"/>
              <w:left w:val="nil"/>
              <w:bottom w:val="nil"/>
              <w:right w:val="nil"/>
            </w:tcBorders>
            <w:shd w:val="clear" w:color="auto" w:fill="auto"/>
            <w:noWrap/>
            <w:vAlign w:val="center"/>
            <w:hideMark/>
          </w:tcPr>
          <w:p w14:paraId="42120733" w14:textId="77777777" w:rsidR="00CF037A" w:rsidRPr="002B2BCC" w:rsidRDefault="00CF037A" w:rsidP="00CF037A">
            <w:pPr>
              <w:spacing w:before="0" w:after="0"/>
              <w:ind w:firstLineChars="200" w:firstLine="320"/>
              <w:rPr>
                <w:rFonts w:ascii="Arial" w:hAnsi="Arial"/>
                <w:color w:val="000000"/>
                <w:sz w:val="16"/>
                <w:szCs w:val="16"/>
                <w:lang w:val="en-AU"/>
              </w:rPr>
            </w:pPr>
            <w:r w:rsidRPr="002B2BCC">
              <w:rPr>
                <w:rFonts w:ascii="Arial" w:hAnsi="Arial"/>
                <w:color w:val="000000"/>
                <w:sz w:val="16"/>
                <w:szCs w:val="16"/>
                <w:lang w:val="en-AU"/>
              </w:rPr>
              <w:t>Loans</w:t>
            </w:r>
          </w:p>
        </w:tc>
        <w:tc>
          <w:tcPr>
            <w:tcW w:w="981" w:type="dxa"/>
            <w:tcBorders>
              <w:top w:val="nil"/>
              <w:left w:val="nil"/>
              <w:bottom w:val="nil"/>
              <w:right w:val="nil"/>
            </w:tcBorders>
            <w:shd w:val="clear" w:color="auto" w:fill="auto"/>
            <w:noWrap/>
            <w:vAlign w:val="center"/>
          </w:tcPr>
          <w:p w14:paraId="48AB0EFC" w14:textId="035E2837" w:rsidR="00CF037A" w:rsidRPr="00C510E0" w:rsidRDefault="00CF037A" w:rsidP="00CF037A">
            <w:pPr>
              <w:spacing w:before="0" w:after="0"/>
              <w:jc w:val="right"/>
              <w:rPr>
                <w:rFonts w:ascii="Arial" w:hAnsi="Arial"/>
                <w:b/>
                <w:bCs/>
                <w:color w:val="000000"/>
                <w:sz w:val="16"/>
                <w:szCs w:val="16"/>
                <w:highlight w:val="yellow"/>
                <w:lang w:val="en-AU"/>
              </w:rPr>
            </w:pPr>
            <w:r w:rsidRPr="008D56D3">
              <w:rPr>
                <w:rFonts w:ascii="Arial" w:hAnsi="Arial"/>
                <w:color w:val="000000"/>
                <w:sz w:val="16"/>
                <w:szCs w:val="16"/>
                <w:lang w:val="en-AU"/>
              </w:rPr>
              <w:t>380,000</w:t>
            </w:r>
          </w:p>
        </w:tc>
        <w:tc>
          <w:tcPr>
            <w:tcW w:w="1060" w:type="dxa"/>
            <w:tcBorders>
              <w:top w:val="nil"/>
              <w:left w:val="nil"/>
              <w:bottom w:val="nil"/>
              <w:right w:val="nil"/>
            </w:tcBorders>
            <w:shd w:val="clear" w:color="auto" w:fill="E6E6E6"/>
            <w:noWrap/>
            <w:vAlign w:val="center"/>
          </w:tcPr>
          <w:p w14:paraId="656AC31E" w14:textId="0F42C02D" w:rsidR="00CF037A" w:rsidRPr="00C510E0" w:rsidRDefault="00CF037A" w:rsidP="00CF037A">
            <w:pPr>
              <w:spacing w:before="0" w:after="0"/>
              <w:jc w:val="right"/>
              <w:rPr>
                <w:rFonts w:ascii="Arial" w:hAnsi="Arial"/>
                <w:color w:val="000000"/>
                <w:sz w:val="16"/>
                <w:szCs w:val="16"/>
                <w:highlight w:val="yellow"/>
                <w:lang w:val="en-AU"/>
              </w:rPr>
            </w:pPr>
            <w:r w:rsidRPr="008D56D3">
              <w:rPr>
                <w:rFonts w:ascii="Arial" w:hAnsi="Arial"/>
                <w:color w:val="000000"/>
                <w:sz w:val="16"/>
                <w:szCs w:val="16"/>
                <w:lang w:val="en-AU"/>
              </w:rPr>
              <w:t>460,000</w:t>
            </w:r>
          </w:p>
        </w:tc>
        <w:tc>
          <w:tcPr>
            <w:tcW w:w="1059" w:type="dxa"/>
            <w:tcBorders>
              <w:top w:val="nil"/>
              <w:left w:val="nil"/>
              <w:bottom w:val="nil"/>
              <w:right w:val="nil"/>
            </w:tcBorders>
            <w:shd w:val="clear" w:color="auto" w:fill="auto"/>
            <w:noWrap/>
            <w:vAlign w:val="center"/>
          </w:tcPr>
          <w:p w14:paraId="4BCC537A" w14:textId="5A335A68" w:rsidR="00CF037A" w:rsidRPr="000C42FD" w:rsidRDefault="00CF037A" w:rsidP="00CF037A">
            <w:pPr>
              <w:spacing w:before="0" w:after="0"/>
              <w:jc w:val="right"/>
              <w:rPr>
                <w:rFonts w:ascii="Times New Roman" w:hAnsi="Times New Roman" w:cs="Times New Roman"/>
                <w:szCs w:val="20"/>
                <w:lang w:val="en-AU"/>
              </w:rPr>
            </w:pPr>
            <w:r w:rsidRPr="008D56D3">
              <w:rPr>
                <w:rFonts w:ascii="Arial" w:hAnsi="Arial"/>
                <w:color w:val="000000"/>
                <w:sz w:val="16"/>
                <w:szCs w:val="16"/>
                <w:lang w:val="en-AU"/>
              </w:rPr>
              <w:t>460,000</w:t>
            </w:r>
          </w:p>
        </w:tc>
        <w:tc>
          <w:tcPr>
            <w:tcW w:w="1059" w:type="dxa"/>
            <w:tcBorders>
              <w:top w:val="nil"/>
              <w:left w:val="nil"/>
              <w:bottom w:val="nil"/>
              <w:right w:val="nil"/>
            </w:tcBorders>
            <w:shd w:val="clear" w:color="auto" w:fill="auto"/>
            <w:noWrap/>
            <w:vAlign w:val="center"/>
          </w:tcPr>
          <w:p w14:paraId="78AB59A4" w14:textId="0E9FA379" w:rsidR="00CF037A" w:rsidRPr="000C42FD" w:rsidRDefault="00CF037A" w:rsidP="00CF037A">
            <w:pPr>
              <w:spacing w:before="0" w:after="0"/>
              <w:jc w:val="right"/>
              <w:rPr>
                <w:rFonts w:ascii="Times New Roman" w:hAnsi="Times New Roman" w:cs="Times New Roman"/>
                <w:szCs w:val="20"/>
                <w:lang w:val="en-AU"/>
              </w:rPr>
            </w:pPr>
            <w:r w:rsidRPr="008D56D3">
              <w:rPr>
                <w:rFonts w:ascii="Arial" w:hAnsi="Arial"/>
                <w:color w:val="000000"/>
                <w:sz w:val="16"/>
                <w:szCs w:val="16"/>
                <w:lang w:val="en-AU"/>
              </w:rPr>
              <w:t>460,000</w:t>
            </w:r>
          </w:p>
        </w:tc>
        <w:tc>
          <w:tcPr>
            <w:tcW w:w="1061" w:type="dxa"/>
            <w:tcBorders>
              <w:top w:val="nil"/>
              <w:left w:val="nil"/>
              <w:bottom w:val="nil"/>
              <w:right w:val="nil"/>
            </w:tcBorders>
            <w:shd w:val="clear" w:color="auto" w:fill="auto"/>
            <w:noWrap/>
            <w:vAlign w:val="center"/>
          </w:tcPr>
          <w:p w14:paraId="609ADF1D" w14:textId="7BC259D2" w:rsidR="00CF037A" w:rsidRPr="00C510E0" w:rsidRDefault="00CF037A" w:rsidP="00CF037A">
            <w:pPr>
              <w:spacing w:before="0" w:after="0"/>
              <w:jc w:val="right"/>
              <w:rPr>
                <w:rFonts w:ascii="Times New Roman" w:hAnsi="Times New Roman" w:cs="Times New Roman"/>
                <w:szCs w:val="20"/>
                <w:highlight w:val="yellow"/>
                <w:lang w:val="en-AU"/>
              </w:rPr>
            </w:pPr>
            <w:r w:rsidRPr="008D56D3">
              <w:rPr>
                <w:rFonts w:ascii="Arial" w:hAnsi="Arial"/>
                <w:color w:val="000000"/>
                <w:sz w:val="16"/>
                <w:szCs w:val="16"/>
                <w:lang w:val="en-AU"/>
              </w:rPr>
              <w:t>460,000</w:t>
            </w:r>
          </w:p>
        </w:tc>
      </w:tr>
      <w:tr w:rsidR="00CF037A" w:rsidRPr="00C510E0" w14:paraId="58B77821" w14:textId="77777777" w:rsidTr="002A5A4F">
        <w:trPr>
          <w:trHeight w:val="232"/>
        </w:trPr>
        <w:tc>
          <w:tcPr>
            <w:tcW w:w="3178" w:type="dxa"/>
            <w:tcBorders>
              <w:top w:val="nil"/>
              <w:left w:val="nil"/>
              <w:bottom w:val="nil"/>
              <w:right w:val="nil"/>
            </w:tcBorders>
            <w:shd w:val="clear" w:color="auto" w:fill="auto"/>
            <w:noWrap/>
            <w:vAlign w:val="center"/>
            <w:hideMark/>
          </w:tcPr>
          <w:p w14:paraId="11135DC1" w14:textId="77777777" w:rsidR="00CF037A" w:rsidRPr="002B2BCC" w:rsidRDefault="00CF037A" w:rsidP="00CF037A">
            <w:pPr>
              <w:spacing w:before="0" w:after="0"/>
              <w:ind w:firstLineChars="200" w:firstLine="320"/>
              <w:rPr>
                <w:rFonts w:ascii="Arial" w:hAnsi="Arial"/>
                <w:color w:val="000000"/>
                <w:sz w:val="16"/>
                <w:szCs w:val="16"/>
                <w:lang w:val="en-AU"/>
              </w:rPr>
            </w:pPr>
            <w:r w:rsidRPr="002B2BCC">
              <w:rPr>
                <w:rFonts w:ascii="Arial" w:hAnsi="Arial"/>
                <w:color w:val="000000"/>
                <w:sz w:val="16"/>
                <w:szCs w:val="16"/>
                <w:lang w:val="en-AU"/>
              </w:rPr>
              <w:t>Leases</w:t>
            </w:r>
          </w:p>
        </w:tc>
        <w:tc>
          <w:tcPr>
            <w:tcW w:w="981" w:type="dxa"/>
            <w:tcBorders>
              <w:top w:val="nil"/>
              <w:left w:val="nil"/>
              <w:bottom w:val="nil"/>
              <w:right w:val="nil"/>
            </w:tcBorders>
            <w:shd w:val="clear" w:color="auto" w:fill="auto"/>
            <w:noWrap/>
            <w:vAlign w:val="center"/>
          </w:tcPr>
          <w:p w14:paraId="2F007122" w14:textId="2344626F" w:rsidR="00CF037A" w:rsidRPr="00C510E0" w:rsidRDefault="00CF037A" w:rsidP="00CF037A">
            <w:pPr>
              <w:spacing w:before="0" w:after="0"/>
              <w:jc w:val="right"/>
              <w:rPr>
                <w:rFonts w:ascii="Arial" w:hAnsi="Arial"/>
                <w:color w:val="000000"/>
                <w:sz w:val="16"/>
                <w:szCs w:val="16"/>
                <w:highlight w:val="yellow"/>
                <w:lang w:val="en-AU"/>
              </w:rPr>
            </w:pPr>
            <w:r w:rsidRPr="008D56D3">
              <w:rPr>
                <w:rFonts w:ascii="Arial" w:hAnsi="Arial"/>
                <w:color w:val="000000"/>
                <w:sz w:val="16"/>
                <w:szCs w:val="16"/>
                <w:lang w:val="en-AU"/>
              </w:rPr>
              <w:t>1,614,400</w:t>
            </w:r>
          </w:p>
        </w:tc>
        <w:tc>
          <w:tcPr>
            <w:tcW w:w="1060" w:type="dxa"/>
            <w:tcBorders>
              <w:top w:val="nil"/>
              <w:left w:val="nil"/>
              <w:bottom w:val="nil"/>
              <w:right w:val="nil"/>
            </w:tcBorders>
            <w:shd w:val="clear" w:color="auto" w:fill="E6E6E6"/>
            <w:noWrap/>
            <w:vAlign w:val="center"/>
          </w:tcPr>
          <w:p w14:paraId="3F00EBC9" w14:textId="1F0888C5" w:rsidR="00CF037A" w:rsidRPr="00C510E0" w:rsidRDefault="00CF037A" w:rsidP="00CF037A">
            <w:pPr>
              <w:spacing w:before="0" w:after="0"/>
              <w:jc w:val="right"/>
              <w:rPr>
                <w:rFonts w:ascii="Arial" w:hAnsi="Arial"/>
                <w:color w:val="000000"/>
                <w:sz w:val="16"/>
                <w:szCs w:val="16"/>
                <w:highlight w:val="yellow"/>
                <w:lang w:val="en-AU"/>
              </w:rPr>
            </w:pPr>
            <w:r w:rsidRPr="008D56D3">
              <w:rPr>
                <w:rFonts w:ascii="Arial" w:hAnsi="Arial"/>
                <w:color w:val="000000"/>
                <w:sz w:val="16"/>
                <w:szCs w:val="16"/>
                <w:lang w:val="en-AU"/>
              </w:rPr>
              <w:t>1,606,591</w:t>
            </w:r>
          </w:p>
        </w:tc>
        <w:tc>
          <w:tcPr>
            <w:tcW w:w="1059" w:type="dxa"/>
            <w:tcBorders>
              <w:top w:val="nil"/>
              <w:left w:val="nil"/>
              <w:bottom w:val="nil"/>
              <w:right w:val="nil"/>
            </w:tcBorders>
            <w:shd w:val="clear" w:color="auto" w:fill="auto"/>
            <w:noWrap/>
            <w:vAlign w:val="center"/>
          </w:tcPr>
          <w:p w14:paraId="21624DF8" w14:textId="62BBF4B9" w:rsidR="00CF037A" w:rsidRPr="000C42FD" w:rsidRDefault="00CF037A" w:rsidP="00CF037A">
            <w:pPr>
              <w:spacing w:before="0" w:after="0"/>
              <w:jc w:val="right"/>
              <w:rPr>
                <w:rFonts w:ascii="Arial" w:hAnsi="Arial"/>
                <w:color w:val="000000"/>
                <w:sz w:val="16"/>
                <w:szCs w:val="16"/>
                <w:lang w:val="en-AU"/>
              </w:rPr>
            </w:pPr>
            <w:r w:rsidRPr="008D56D3">
              <w:rPr>
                <w:rFonts w:ascii="Arial" w:hAnsi="Arial"/>
                <w:color w:val="000000"/>
                <w:sz w:val="16"/>
                <w:szCs w:val="16"/>
                <w:lang w:val="en-AU"/>
              </w:rPr>
              <w:t>1,713,638</w:t>
            </w:r>
          </w:p>
        </w:tc>
        <w:tc>
          <w:tcPr>
            <w:tcW w:w="1059" w:type="dxa"/>
            <w:tcBorders>
              <w:top w:val="nil"/>
              <w:left w:val="nil"/>
              <w:bottom w:val="nil"/>
              <w:right w:val="nil"/>
            </w:tcBorders>
            <w:shd w:val="clear" w:color="auto" w:fill="auto"/>
            <w:noWrap/>
            <w:vAlign w:val="center"/>
          </w:tcPr>
          <w:p w14:paraId="5355F5AA" w14:textId="55F25AE6" w:rsidR="00CF037A" w:rsidRPr="000C42FD" w:rsidRDefault="00CF037A" w:rsidP="00CF037A">
            <w:pPr>
              <w:spacing w:before="0" w:after="0"/>
              <w:jc w:val="right"/>
              <w:rPr>
                <w:rFonts w:ascii="Arial" w:hAnsi="Arial"/>
                <w:color w:val="000000"/>
                <w:sz w:val="16"/>
                <w:szCs w:val="16"/>
                <w:lang w:val="en-AU"/>
              </w:rPr>
            </w:pPr>
            <w:r w:rsidRPr="008D56D3">
              <w:rPr>
                <w:rFonts w:ascii="Arial" w:hAnsi="Arial"/>
                <w:color w:val="000000"/>
                <w:sz w:val="16"/>
                <w:szCs w:val="16"/>
                <w:lang w:val="en-AU"/>
              </w:rPr>
              <w:t>1,762,445</w:t>
            </w:r>
          </w:p>
        </w:tc>
        <w:tc>
          <w:tcPr>
            <w:tcW w:w="1061" w:type="dxa"/>
            <w:tcBorders>
              <w:top w:val="nil"/>
              <w:left w:val="nil"/>
              <w:bottom w:val="nil"/>
              <w:right w:val="nil"/>
            </w:tcBorders>
            <w:shd w:val="clear" w:color="auto" w:fill="auto"/>
            <w:noWrap/>
            <w:vAlign w:val="center"/>
          </w:tcPr>
          <w:p w14:paraId="23BE5B0B" w14:textId="0ED0AE15" w:rsidR="00CF037A" w:rsidRPr="00C510E0" w:rsidRDefault="00CF037A" w:rsidP="00CF037A">
            <w:pPr>
              <w:spacing w:before="0" w:after="0"/>
              <w:jc w:val="right"/>
              <w:rPr>
                <w:rFonts w:ascii="Arial" w:hAnsi="Arial"/>
                <w:color w:val="000000"/>
                <w:sz w:val="16"/>
                <w:szCs w:val="16"/>
                <w:highlight w:val="yellow"/>
                <w:lang w:val="en-AU"/>
              </w:rPr>
            </w:pPr>
            <w:r w:rsidRPr="008D56D3">
              <w:rPr>
                <w:rFonts w:ascii="Arial" w:hAnsi="Arial"/>
                <w:color w:val="000000"/>
                <w:sz w:val="16"/>
                <w:szCs w:val="16"/>
                <w:lang w:val="en-AU"/>
              </w:rPr>
              <w:t>1,788,613</w:t>
            </w:r>
          </w:p>
        </w:tc>
      </w:tr>
      <w:tr w:rsidR="00CF037A" w:rsidRPr="00C510E0" w14:paraId="1F854343" w14:textId="77777777" w:rsidTr="002A5A4F">
        <w:trPr>
          <w:trHeight w:val="232"/>
        </w:trPr>
        <w:tc>
          <w:tcPr>
            <w:tcW w:w="3178" w:type="dxa"/>
            <w:tcBorders>
              <w:top w:val="nil"/>
              <w:left w:val="nil"/>
              <w:bottom w:val="nil"/>
              <w:right w:val="nil"/>
            </w:tcBorders>
            <w:shd w:val="clear" w:color="auto" w:fill="auto"/>
            <w:noWrap/>
            <w:vAlign w:val="center"/>
            <w:hideMark/>
          </w:tcPr>
          <w:p w14:paraId="1188809A" w14:textId="77777777" w:rsidR="00CF037A" w:rsidRPr="002B2BCC" w:rsidRDefault="00CF037A" w:rsidP="00CF037A">
            <w:pPr>
              <w:spacing w:before="0" w:after="0"/>
              <w:ind w:firstLineChars="100" w:firstLine="160"/>
              <w:rPr>
                <w:rFonts w:ascii="Arial" w:hAnsi="Arial"/>
                <w:b/>
                <w:bCs/>
                <w:i/>
                <w:iCs/>
                <w:color w:val="000000"/>
                <w:sz w:val="16"/>
                <w:szCs w:val="16"/>
                <w:lang w:val="en-AU"/>
              </w:rPr>
            </w:pPr>
            <w:r w:rsidRPr="002B2BCC">
              <w:rPr>
                <w:rFonts w:ascii="Arial" w:hAnsi="Arial"/>
                <w:b/>
                <w:bCs/>
                <w:i/>
                <w:iCs/>
                <w:color w:val="000000"/>
                <w:sz w:val="16"/>
                <w:szCs w:val="16"/>
                <w:lang w:val="en-AU"/>
              </w:rPr>
              <w:t>Total interest bearing liabilities</w:t>
            </w:r>
          </w:p>
        </w:tc>
        <w:tc>
          <w:tcPr>
            <w:tcW w:w="981" w:type="dxa"/>
            <w:tcBorders>
              <w:top w:val="single" w:sz="4" w:space="0" w:color="000000"/>
              <w:left w:val="nil"/>
              <w:bottom w:val="single" w:sz="4" w:space="0" w:color="000000"/>
              <w:right w:val="nil"/>
            </w:tcBorders>
            <w:shd w:val="clear" w:color="auto" w:fill="auto"/>
            <w:noWrap/>
            <w:vAlign w:val="center"/>
          </w:tcPr>
          <w:p w14:paraId="3CBA5C07" w14:textId="530CDDDB" w:rsidR="00CF037A" w:rsidRPr="00C510E0" w:rsidRDefault="00CF037A" w:rsidP="00DC59EB">
            <w:pPr>
              <w:spacing w:before="0" w:after="0"/>
              <w:ind w:left="1"/>
              <w:jc w:val="right"/>
              <w:rPr>
                <w:rFonts w:ascii="Arial" w:hAnsi="Arial"/>
                <w:b/>
                <w:bCs/>
                <w:iCs/>
                <w:color w:val="000000"/>
                <w:sz w:val="16"/>
                <w:szCs w:val="16"/>
                <w:highlight w:val="yellow"/>
                <w:lang w:val="en-AU"/>
              </w:rPr>
            </w:pPr>
            <w:r w:rsidRPr="008D56D3">
              <w:rPr>
                <w:rFonts w:ascii="Arial" w:hAnsi="Arial"/>
                <w:b/>
                <w:bCs/>
                <w:i/>
                <w:iCs/>
                <w:color w:val="000000"/>
                <w:sz w:val="16"/>
                <w:szCs w:val="16"/>
                <w:lang w:val="en-AU"/>
              </w:rPr>
              <w:t xml:space="preserve">    1,994,400</w:t>
            </w:r>
          </w:p>
        </w:tc>
        <w:tc>
          <w:tcPr>
            <w:tcW w:w="1060" w:type="dxa"/>
            <w:tcBorders>
              <w:top w:val="single" w:sz="4" w:space="0" w:color="000000"/>
              <w:left w:val="nil"/>
              <w:bottom w:val="single" w:sz="4" w:space="0" w:color="000000"/>
              <w:right w:val="nil"/>
            </w:tcBorders>
            <w:shd w:val="clear" w:color="auto" w:fill="E6E6E6"/>
            <w:noWrap/>
            <w:vAlign w:val="center"/>
          </w:tcPr>
          <w:p w14:paraId="54694857" w14:textId="5CFFF5C5" w:rsidR="00CF037A" w:rsidRPr="00C510E0" w:rsidRDefault="00CF037A" w:rsidP="00DC59EB">
            <w:pPr>
              <w:spacing w:before="0" w:after="0"/>
              <w:ind w:left="1"/>
              <w:jc w:val="right"/>
              <w:rPr>
                <w:rFonts w:ascii="Arial" w:hAnsi="Arial"/>
                <w:b/>
                <w:bCs/>
                <w:iCs/>
                <w:color w:val="000000"/>
                <w:sz w:val="16"/>
                <w:szCs w:val="16"/>
                <w:highlight w:val="yellow"/>
                <w:lang w:val="en-AU"/>
              </w:rPr>
            </w:pPr>
            <w:r w:rsidRPr="008D56D3">
              <w:rPr>
                <w:rFonts w:ascii="Arial" w:hAnsi="Arial"/>
                <w:b/>
                <w:bCs/>
                <w:i/>
                <w:iCs/>
                <w:color w:val="000000"/>
                <w:sz w:val="16"/>
                <w:szCs w:val="16"/>
                <w:lang w:val="en-AU"/>
              </w:rPr>
              <w:t xml:space="preserve">    2,066,591</w:t>
            </w:r>
          </w:p>
        </w:tc>
        <w:tc>
          <w:tcPr>
            <w:tcW w:w="1059" w:type="dxa"/>
            <w:tcBorders>
              <w:top w:val="single" w:sz="4" w:space="0" w:color="000000"/>
              <w:left w:val="nil"/>
              <w:bottom w:val="single" w:sz="4" w:space="0" w:color="000000"/>
              <w:right w:val="nil"/>
            </w:tcBorders>
            <w:shd w:val="clear" w:color="auto" w:fill="auto"/>
            <w:noWrap/>
            <w:vAlign w:val="center"/>
          </w:tcPr>
          <w:p w14:paraId="66091C9A" w14:textId="549474E7" w:rsidR="00CF037A" w:rsidRPr="00CC46DD" w:rsidRDefault="00CF037A" w:rsidP="00CF037A">
            <w:pPr>
              <w:spacing w:before="0" w:after="0"/>
              <w:jc w:val="right"/>
              <w:rPr>
                <w:rFonts w:ascii="Arial" w:hAnsi="Arial"/>
                <w:b/>
                <w:bCs/>
                <w:iCs/>
                <w:color w:val="000000"/>
                <w:sz w:val="16"/>
                <w:szCs w:val="16"/>
                <w:lang w:val="en-AU"/>
              </w:rPr>
            </w:pPr>
            <w:r w:rsidRPr="008D56D3">
              <w:rPr>
                <w:rFonts w:ascii="Arial" w:hAnsi="Arial"/>
                <w:b/>
                <w:bCs/>
                <w:i/>
                <w:iCs/>
                <w:color w:val="000000"/>
                <w:sz w:val="16"/>
                <w:szCs w:val="16"/>
                <w:lang w:val="en-AU"/>
              </w:rPr>
              <w:t xml:space="preserve">    2,173</w:t>
            </w:r>
            <w:r w:rsidR="00DC59EB">
              <w:rPr>
                <w:rFonts w:ascii="Arial" w:hAnsi="Arial"/>
                <w:b/>
                <w:bCs/>
                <w:i/>
                <w:iCs/>
                <w:color w:val="000000"/>
                <w:sz w:val="16"/>
                <w:szCs w:val="16"/>
                <w:lang w:val="en-AU"/>
              </w:rPr>
              <w:t>,638</w:t>
            </w:r>
          </w:p>
        </w:tc>
        <w:tc>
          <w:tcPr>
            <w:tcW w:w="1059" w:type="dxa"/>
            <w:tcBorders>
              <w:top w:val="single" w:sz="4" w:space="0" w:color="000000"/>
              <w:left w:val="nil"/>
              <w:bottom w:val="single" w:sz="4" w:space="0" w:color="000000"/>
              <w:right w:val="nil"/>
            </w:tcBorders>
            <w:shd w:val="clear" w:color="auto" w:fill="auto"/>
            <w:noWrap/>
            <w:vAlign w:val="center"/>
          </w:tcPr>
          <w:p w14:paraId="069B2879" w14:textId="0D9703FC" w:rsidR="00CF037A" w:rsidRPr="00CC46DD" w:rsidRDefault="00CF037A" w:rsidP="00DC59EB">
            <w:pPr>
              <w:spacing w:before="0" w:after="0"/>
              <w:jc w:val="right"/>
              <w:rPr>
                <w:rFonts w:ascii="Arial" w:hAnsi="Arial"/>
                <w:b/>
                <w:bCs/>
                <w:iCs/>
                <w:color w:val="000000"/>
                <w:sz w:val="16"/>
                <w:szCs w:val="16"/>
                <w:lang w:val="en-AU"/>
              </w:rPr>
            </w:pPr>
            <w:r w:rsidRPr="008D56D3">
              <w:rPr>
                <w:rFonts w:ascii="Arial" w:hAnsi="Arial"/>
                <w:b/>
                <w:bCs/>
                <w:i/>
                <w:iCs/>
                <w:color w:val="000000"/>
                <w:sz w:val="16"/>
                <w:szCs w:val="16"/>
                <w:lang w:val="en-AU"/>
              </w:rPr>
              <w:t xml:space="preserve">    2,222,445</w:t>
            </w:r>
          </w:p>
        </w:tc>
        <w:tc>
          <w:tcPr>
            <w:tcW w:w="1061" w:type="dxa"/>
            <w:tcBorders>
              <w:top w:val="single" w:sz="4" w:space="0" w:color="000000"/>
              <w:left w:val="nil"/>
              <w:bottom w:val="single" w:sz="4" w:space="0" w:color="000000"/>
              <w:right w:val="nil"/>
            </w:tcBorders>
            <w:shd w:val="clear" w:color="auto" w:fill="auto"/>
            <w:noWrap/>
            <w:vAlign w:val="center"/>
          </w:tcPr>
          <w:p w14:paraId="096C6C59" w14:textId="4F9E2F67" w:rsidR="00CF037A" w:rsidRPr="00C510E0" w:rsidRDefault="00CF037A" w:rsidP="00DC59EB">
            <w:pPr>
              <w:spacing w:before="0" w:after="0"/>
              <w:jc w:val="right"/>
              <w:rPr>
                <w:rFonts w:ascii="Arial" w:hAnsi="Arial"/>
                <w:b/>
                <w:bCs/>
                <w:iCs/>
                <w:color w:val="000000"/>
                <w:sz w:val="16"/>
                <w:szCs w:val="16"/>
                <w:highlight w:val="yellow"/>
                <w:lang w:val="en-AU"/>
              </w:rPr>
            </w:pPr>
            <w:r w:rsidRPr="008D56D3">
              <w:rPr>
                <w:rFonts w:ascii="Arial" w:hAnsi="Arial"/>
                <w:b/>
                <w:bCs/>
                <w:i/>
                <w:iCs/>
                <w:color w:val="000000"/>
                <w:sz w:val="16"/>
                <w:szCs w:val="16"/>
                <w:lang w:val="en-AU"/>
              </w:rPr>
              <w:t xml:space="preserve">    2,248,613</w:t>
            </w:r>
          </w:p>
        </w:tc>
      </w:tr>
      <w:tr w:rsidR="00AF1017" w:rsidRPr="00C510E0" w14:paraId="2D6D7168" w14:textId="77777777" w:rsidTr="00AF1017">
        <w:trPr>
          <w:trHeight w:val="232"/>
        </w:trPr>
        <w:tc>
          <w:tcPr>
            <w:tcW w:w="3178" w:type="dxa"/>
            <w:tcBorders>
              <w:top w:val="nil"/>
              <w:left w:val="nil"/>
              <w:bottom w:val="nil"/>
              <w:right w:val="nil"/>
            </w:tcBorders>
            <w:shd w:val="clear" w:color="auto" w:fill="auto"/>
            <w:noWrap/>
            <w:vAlign w:val="center"/>
            <w:hideMark/>
          </w:tcPr>
          <w:p w14:paraId="56722C44" w14:textId="77777777" w:rsidR="00AF1017" w:rsidRPr="002B2BCC" w:rsidRDefault="00AF1017" w:rsidP="00AF1017">
            <w:pPr>
              <w:spacing w:before="0" w:after="0"/>
              <w:ind w:firstLineChars="100" w:firstLine="160"/>
              <w:rPr>
                <w:rFonts w:ascii="Arial" w:hAnsi="Arial"/>
                <w:b/>
                <w:bCs/>
                <w:color w:val="000000"/>
                <w:sz w:val="16"/>
                <w:szCs w:val="16"/>
                <w:lang w:val="en-AU"/>
              </w:rPr>
            </w:pPr>
            <w:r w:rsidRPr="002B2BCC">
              <w:rPr>
                <w:rFonts w:ascii="Arial" w:hAnsi="Arial"/>
                <w:b/>
                <w:bCs/>
                <w:color w:val="000000"/>
                <w:sz w:val="16"/>
                <w:szCs w:val="16"/>
                <w:lang w:val="en-AU"/>
              </w:rPr>
              <w:t>Provisions</w:t>
            </w:r>
          </w:p>
        </w:tc>
        <w:tc>
          <w:tcPr>
            <w:tcW w:w="981" w:type="dxa"/>
            <w:tcBorders>
              <w:top w:val="nil"/>
              <w:left w:val="nil"/>
              <w:bottom w:val="nil"/>
              <w:right w:val="nil"/>
            </w:tcBorders>
            <w:shd w:val="clear" w:color="auto" w:fill="auto"/>
            <w:noWrap/>
            <w:vAlign w:val="center"/>
          </w:tcPr>
          <w:p w14:paraId="75191F1E" w14:textId="77777777" w:rsidR="00AF1017" w:rsidRPr="00C510E0" w:rsidRDefault="00AF1017" w:rsidP="00AF1017">
            <w:pPr>
              <w:spacing w:before="0" w:after="0"/>
              <w:jc w:val="right"/>
              <w:rPr>
                <w:rFonts w:ascii="Arial" w:hAnsi="Arial"/>
                <w:b/>
                <w:bCs/>
                <w:i/>
                <w:iCs/>
                <w:color w:val="000000"/>
                <w:sz w:val="16"/>
                <w:szCs w:val="16"/>
                <w:highlight w:val="yellow"/>
                <w:lang w:val="en-AU"/>
              </w:rPr>
            </w:pPr>
          </w:p>
        </w:tc>
        <w:tc>
          <w:tcPr>
            <w:tcW w:w="1060" w:type="dxa"/>
            <w:tcBorders>
              <w:top w:val="nil"/>
              <w:left w:val="nil"/>
              <w:bottom w:val="nil"/>
              <w:right w:val="nil"/>
            </w:tcBorders>
            <w:shd w:val="clear" w:color="auto" w:fill="E6E6E6"/>
            <w:noWrap/>
            <w:vAlign w:val="center"/>
          </w:tcPr>
          <w:p w14:paraId="5FCBA9BF" w14:textId="77777777" w:rsidR="00AF1017" w:rsidRPr="00C510E0" w:rsidRDefault="00AF1017" w:rsidP="00AF1017">
            <w:pPr>
              <w:spacing w:before="0" w:after="0"/>
              <w:jc w:val="right"/>
              <w:rPr>
                <w:rFonts w:ascii="Arial" w:hAnsi="Arial"/>
                <w:b/>
                <w:bCs/>
                <w:i/>
                <w:iCs/>
                <w:color w:val="000000"/>
                <w:sz w:val="16"/>
                <w:szCs w:val="16"/>
                <w:highlight w:val="yellow"/>
                <w:lang w:val="en-AU"/>
              </w:rPr>
            </w:pPr>
          </w:p>
        </w:tc>
        <w:tc>
          <w:tcPr>
            <w:tcW w:w="1059" w:type="dxa"/>
            <w:tcBorders>
              <w:top w:val="nil"/>
              <w:left w:val="nil"/>
              <w:bottom w:val="nil"/>
              <w:right w:val="nil"/>
            </w:tcBorders>
            <w:shd w:val="clear" w:color="auto" w:fill="auto"/>
            <w:noWrap/>
            <w:vAlign w:val="center"/>
          </w:tcPr>
          <w:p w14:paraId="233BFB4D" w14:textId="77777777" w:rsidR="00AF1017" w:rsidRPr="00C510E0" w:rsidRDefault="00AF1017" w:rsidP="00AF1017">
            <w:pPr>
              <w:spacing w:before="0" w:after="0"/>
              <w:jc w:val="right"/>
              <w:rPr>
                <w:rFonts w:ascii="Arial" w:hAnsi="Arial"/>
                <w:b/>
                <w:bCs/>
                <w:i/>
                <w:iCs/>
                <w:color w:val="000000"/>
                <w:sz w:val="16"/>
                <w:szCs w:val="16"/>
                <w:highlight w:val="yellow"/>
                <w:lang w:val="en-AU"/>
              </w:rPr>
            </w:pPr>
          </w:p>
        </w:tc>
        <w:tc>
          <w:tcPr>
            <w:tcW w:w="1059" w:type="dxa"/>
            <w:tcBorders>
              <w:top w:val="nil"/>
              <w:left w:val="nil"/>
              <w:bottom w:val="nil"/>
              <w:right w:val="nil"/>
            </w:tcBorders>
            <w:shd w:val="clear" w:color="auto" w:fill="auto"/>
            <w:noWrap/>
            <w:vAlign w:val="center"/>
          </w:tcPr>
          <w:p w14:paraId="4F247690" w14:textId="77777777" w:rsidR="00AF1017" w:rsidRPr="00C510E0" w:rsidRDefault="00AF1017" w:rsidP="00AF1017">
            <w:pPr>
              <w:spacing w:before="0" w:after="0"/>
              <w:jc w:val="right"/>
              <w:rPr>
                <w:rFonts w:ascii="Arial" w:hAnsi="Arial"/>
                <w:b/>
                <w:bCs/>
                <w:i/>
                <w:iCs/>
                <w:color w:val="000000"/>
                <w:sz w:val="16"/>
                <w:szCs w:val="16"/>
                <w:highlight w:val="yellow"/>
                <w:lang w:val="en-AU"/>
              </w:rPr>
            </w:pPr>
          </w:p>
        </w:tc>
        <w:tc>
          <w:tcPr>
            <w:tcW w:w="1061" w:type="dxa"/>
            <w:tcBorders>
              <w:top w:val="nil"/>
              <w:left w:val="nil"/>
              <w:bottom w:val="nil"/>
              <w:right w:val="nil"/>
            </w:tcBorders>
            <w:shd w:val="clear" w:color="auto" w:fill="auto"/>
            <w:noWrap/>
            <w:vAlign w:val="center"/>
          </w:tcPr>
          <w:p w14:paraId="44E557FD" w14:textId="77777777" w:rsidR="00AF1017" w:rsidRPr="00C510E0" w:rsidRDefault="00AF1017" w:rsidP="00AF1017">
            <w:pPr>
              <w:spacing w:before="0" w:after="0"/>
              <w:jc w:val="right"/>
              <w:rPr>
                <w:rFonts w:ascii="Arial" w:hAnsi="Arial"/>
                <w:b/>
                <w:bCs/>
                <w:i/>
                <w:iCs/>
                <w:color w:val="000000"/>
                <w:sz w:val="16"/>
                <w:szCs w:val="16"/>
                <w:highlight w:val="yellow"/>
                <w:lang w:val="en-AU"/>
              </w:rPr>
            </w:pPr>
          </w:p>
        </w:tc>
      </w:tr>
      <w:tr w:rsidR="00CF037A" w:rsidRPr="00C510E0" w14:paraId="67F81F1A" w14:textId="77777777" w:rsidTr="002A5A4F">
        <w:trPr>
          <w:trHeight w:val="232"/>
        </w:trPr>
        <w:tc>
          <w:tcPr>
            <w:tcW w:w="3178" w:type="dxa"/>
            <w:tcBorders>
              <w:top w:val="nil"/>
              <w:left w:val="nil"/>
              <w:bottom w:val="nil"/>
              <w:right w:val="nil"/>
            </w:tcBorders>
            <w:shd w:val="clear" w:color="auto" w:fill="auto"/>
            <w:noWrap/>
            <w:vAlign w:val="center"/>
            <w:hideMark/>
          </w:tcPr>
          <w:p w14:paraId="5AA47D38" w14:textId="77777777" w:rsidR="00CF037A" w:rsidRPr="002B2BCC" w:rsidRDefault="00CF037A" w:rsidP="00CF037A">
            <w:pPr>
              <w:spacing w:before="0" w:after="0"/>
              <w:ind w:firstLineChars="200" w:firstLine="320"/>
              <w:rPr>
                <w:rFonts w:ascii="Arial" w:hAnsi="Arial"/>
                <w:color w:val="000000"/>
                <w:sz w:val="16"/>
                <w:szCs w:val="16"/>
                <w:lang w:val="en-AU"/>
              </w:rPr>
            </w:pPr>
            <w:r w:rsidRPr="002B2BCC">
              <w:rPr>
                <w:rFonts w:ascii="Arial" w:hAnsi="Arial"/>
                <w:color w:val="000000"/>
                <w:sz w:val="16"/>
                <w:szCs w:val="16"/>
                <w:lang w:val="en-AU"/>
              </w:rPr>
              <w:t>Employee provisions</w:t>
            </w:r>
          </w:p>
        </w:tc>
        <w:tc>
          <w:tcPr>
            <w:tcW w:w="981" w:type="dxa"/>
            <w:tcBorders>
              <w:top w:val="nil"/>
              <w:left w:val="nil"/>
              <w:bottom w:val="nil"/>
              <w:right w:val="nil"/>
            </w:tcBorders>
            <w:shd w:val="clear" w:color="auto" w:fill="auto"/>
            <w:noWrap/>
            <w:vAlign w:val="center"/>
          </w:tcPr>
          <w:p w14:paraId="7364B065" w14:textId="55E693D5" w:rsidR="00CF037A" w:rsidRPr="00C510E0" w:rsidRDefault="00CF037A" w:rsidP="00CF037A">
            <w:pPr>
              <w:spacing w:before="0" w:after="0"/>
              <w:jc w:val="right"/>
              <w:rPr>
                <w:rFonts w:ascii="Arial" w:hAnsi="Arial"/>
                <w:b/>
                <w:bCs/>
                <w:color w:val="000000"/>
                <w:sz w:val="16"/>
                <w:szCs w:val="16"/>
                <w:highlight w:val="yellow"/>
                <w:lang w:val="en-AU"/>
              </w:rPr>
            </w:pPr>
            <w:r w:rsidRPr="008D56D3">
              <w:rPr>
                <w:rFonts w:ascii="Arial" w:hAnsi="Arial"/>
                <w:color w:val="000000"/>
                <w:sz w:val="16"/>
                <w:szCs w:val="16"/>
                <w:lang w:val="en-AU"/>
              </w:rPr>
              <w:t>17,141</w:t>
            </w:r>
          </w:p>
        </w:tc>
        <w:tc>
          <w:tcPr>
            <w:tcW w:w="1060" w:type="dxa"/>
            <w:tcBorders>
              <w:top w:val="nil"/>
              <w:left w:val="nil"/>
              <w:bottom w:val="nil"/>
              <w:right w:val="nil"/>
            </w:tcBorders>
            <w:shd w:val="clear" w:color="auto" w:fill="E6E6E6"/>
            <w:noWrap/>
            <w:vAlign w:val="center"/>
          </w:tcPr>
          <w:p w14:paraId="78D017D6" w14:textId="78807983" w:rsidR="00CF037A" w:rsidRPr="00C510E0" w:rsidRDefault="00CF037A" w:rsidP="00CF037A">
            <w:pPr>
              <w:spacing w:before="0" w:after="0"/>
              <w:jc w:val="right"/>
              <w:rPr>
                <w:rFonts w:ascii="Arial" w:hAnsi="Arial"/>
                <w:color w:val="000000"/>
                <w:sz w:val="16"/>
                <w:szCs w:val="16"/>
                <w:highlight w:val="yellow"/>
                <w:lang w:val="en-AU"/>
              </w:rPr>
            </w:pPr>
            <w:r w:rsidRPr="008D56D3">
              <w:rPr>
                <w:rFonts w:ascii="Arial" w:hAnsi="Arial"/>
                <w:color w:val="000000"/>
                <w:sz w:val="16"/>
                <w:szCs w:val="16"/>
                <w:lang w:val="en-AU"/>
              </w:rPr>
              <w:t>25,033</w:t>
            </w:r>
          </w:p>
        </w:tc>
        <w:tc>
          <w:tcPr>
            <w:tcW w:w="1059" w:type="dxa"/>
            <w:tcBorders>
              <w:top w:val="nil"/>
              <w:left w:val="nil"/>
              <w:bottom w:val="nil"/>
              <w:right w:val="nil"/>
            </w:tcBorders>
            <w:shd w:val="clear" w:color="auto" w:fill="auto"/>
            <w:noWrap/>
            <w:vAlign w:val="center"/>
          </w:tcPr>
          <w:p w14:paraId="622F6467" w14:textId="0C61AD03" w:rsidR="00CF037A" w:rsidRPr="000C42FD" w:rsidRDefault="00CF037A" w:rsidP="00CF037A">
            <w:pPr>
              <w:spacing w:before="0" w:after="0"/>
              <w:jc w:val="right"/>
              <w:rPr>
                <w:rFonts w:ascii="Times New Roman" w:hAnsi="Times New Roman" w:cs="Times New Roman"/>
                <w:szCs w:val="20"/>
                <w:lang w:val="en-AU"/>
              </w:rPr>
            </w:pPr>
            <w:r w:rsidRPr="008D56D3">
              <w:rPr>
                <w:rFonts w:ascii="Arial" w:hAnsi="Arial"/>
                <w:color w:val="000000"/>
                <w:sz w:val="16"/>
                <w:szCs w:val="16"/>
                <w:lang w:val="en-AU"/>
              </w:rPr>
              <w:t>33,260</w:t>
            </w:r>
          </w:p>
        </w:tc>
        <w:tc>
          <w:tcPr>
            <w:tcW w:w="1059" w:type="dxa"/>
            <w:tcBorders>
              <w:top w:val="nil"/>
              <w:left w:val="nil"/>
              <w:bottom w:val="nil"/>
              <w:right w:val="nil"/>
            </w:tcBorders>
            <w:shd w:val="clear" w:color="auto" w:fill="auto"/>
            <w:noWrap/>
            <w:vAlign w:val="center"/>
          </w:tcPr>
          <w:p w14:paraId="4F2BA067" w14:textId="4BC62609" w:rsidR="00CF037A" w:rsidRPr="000C42FD" w:rsidRDefault="00CF037A" w:rsidP="00CF037A">
            <w:pPr>
              <w:spacing w:before="0" w:after="0"/>
              <w:jc w:val="right"/>
              <w:rPr>
                <w:rFonts w:ascii="Times New Roman" w:hAnsi="Times New Roman" w:cs="Times New Roman"/>
                <w:szCs w:val="20"/>
                <w:lang w:val="en-AU"/>
              </w:rPr>
            </w:pPr>
            <w:r w:rsidRPr="008D56D3">
              <w:rPr>
                <w:rFonts w:ascii="Arial" w:hAnsi="Arial"/>
                <w:color w:val="000000"/>
                <w:sz w:val="16"/>
                <w:szCs w:val="16"/>
                <w:lang w:val="en-AU"/>
              </w:rPr>
              <w:t>41,820</w:t>
            </w:r>
          </w:p>
        </w:tc>
        <w:tc>
          <w:tcPr>
            <w:tcW w:w="1061" w:type="dxa"/>
            <w:tcBorders>
              <w:top w:val="nil"/>
              <w:left w:val="nil"/>
              <w:bottom w:val="nil"/>
              <w:right w:val="nil"/>
            </w:tcBorders>
            <w:shd w:val="clear" w:color="auto" w:fill="auto"/>
            <w:noWrap/>
            <w:vAlign w:val="center"/>
          </w:tcPr>
          <w:p w14:paraId="57B57937" w14:textId="2EE31008" w:rsidR="00CF037A" w:rsidRPr="00C510E0" w:rsidRDefault="00CF037A" w:rsidP="00CF037A">
            <w:pPr>
              <w:spacing w:before="0" w:after="0"/>
              <w:jc w:val="right"/>
              <w:rPr>
                <w:rFonts w:ascii="Times New Roman" w:hAnsi="Times New Roman" w:cs="Times New Roman"/>
                <w:szCs w:val="20"/>
                <w:highlight w:val="yellow"/>
                <w:lang w:val="en-AU"/>
              </w:rPr>
            </w:pPr>
            <w:r w:rsidRPr="008D56D3">
              <w:rPr>
                <w:rFonts w:ascii="Arial" w:hAnsi="Arial"/>
                <w:color w:val="000000"/>
                <w:sz w:val="16"/>
                <w:szCs w:val="16"/>
                <w:lang w:val="en-AU"/>
              </w:rPr>
              <w:t>50,793</w:t>
            </w:r>
          </w:p>
        </w:tc>
      </w:tr>
      <w:tr w:rsidR="00CF037A" w:rsidRPr="00C510E0" w14:paraId="032ED9E0" w14:textId="77777777" w:rsidTr="002A5A4F">
        <w:trPr>
          <w:trHeight w:val="232"/>
        </w:trPr>
        <w:tc>
          <w:tcPr>
            <w:tcW w:w="3178" w:type="dxa"/>
            <w:tcBorders>
              <w:top w:val="nil"/>
              <w:left w:val="nil"/>
              <w:bottom w:val="nil"/>
              <w:right w:val="nil"/>
            </w:tcBorders>
            <w:shd w:val="clear" w:color="auto" w:fill="auto"/>
            <w:noWrap/>
            <w:vAlign w:val="center"/>
            <w:hideMark/>
          </w:tcPr>
          <w:p w14:paraId="34CE0668" w14:textId="77777777" w:rsidR="00CF037A" w:rsidRPr="002B2BCC" w:rsidRDefault="00CF037A" w:rsidP="00CF037A">
            <w:pPr>
              <w:spacing w:before="0" w:after="0"/>
              <w:ind w:firstLineChars="200" w:firstLine="320"/>
              <w:rPr>
                <w:rFonts w:ascii="Arial" w:hAnsi="Arial"/>
                <w:color w:val="000000"/>
                <w:sz w:val="16"/>
                <w:szCs w:val="16"/>
                <w:lang w:val="en-AU"/>
              </w:rPr>
            </w:pPr>
            <w:r w:rsidRPr="002B2BCC">
              <w:rPr>
                <w:rFonts w:ascii="Arial" w:hAnsi="Arial"/>
                <w:color w:val="000000"/>
                <w:sz w:val="16"/>
                <w:szCs w:val="16"/>
                <w:lang w:val="en-AU"/>
              </w:rPr>
              <w:t>Other provisions</w:t>
            </w:r>
          </w:p>
        </w:tc>
        <w:tc>
          <w:tcPr>
            <w:tcW w:w="981" w:type="dxa"/>
            <w:tcBorders>
              <w:top w:val="nil"/>
              <w:left w:val="nil"/>
              <w:bottom w:val="nil"/>
              <w:right w:val="nil"/>
            </w:tcBorders>
            <w:shd w:val="clear" w:color="auto" w:fill="auto"/>
            <w:noWrap/>
            <w:vAlign w:val="center"/>
          </w:tcPr>
          <w:p w14:paraId="5ED89514" w14:textId="6845DB81" w:rsidR="00CF037A" w:rsidRPr="00C510E0" w:rsidRDefault="00CF037A" w:rsidP="00CF037A">
            <w:pPr>
              <w:spacing w:before="0" w:after="0"/>
              <w:jc w:val="right"/>
              <w:rPr>
                <w:rFonts w:ascii="Arial" w:hAnsi="Arial"/>
                <w:color w:val="000000"/>
                <w:sz w:val="16"/>
                <w:szCs w:val="16"/>
                <w:highlight w:val="yellow"/>
                <w:lang w:val="en-AU"/>
              </w:rPr>
            </w:pPr>
            <w:r w:rsidRPr="008D56D3">
              <w:rPr>
                <w:rFonts w:ascii="Arial" w:hAnsi="Arial"/>
                <w:color w:val="000000"/>
                <w:sz w:val="16"/>
                <w:szCs w:val="16"/>
                <w:lang w:val="en-AU"/>
              </w:rPr>
              <w:t>108,854</w:t>
            </w:r>
          </w:p>
        </w:tc>
        <w:tc>
          <w:tcPr>
            <w:tcW w:w="1060" w:type="dxa"/>
            <w:tcBorders>
              <w:top w:val="nil"/>
              <w:left w:val="nil"/>
              <w:bottom w:val="nil"/>
              <w:right w:val="nil"/>
            </w:tcBorders>
            <w:shd w:val="clear" w:color="auto" w:fill="E6E6E6"/>
            <w:noWrap/>
            <w:vAlign w:val="center"/>
          </w:tcPr>
          <w:p w14:paraId="35DBFD2D" w14:textId="173985C4" w:rsidR="00CF037A" w:rsidRPr="00C510E0" w:rsidRDefault="00CF037A" w:rsidP="00CF037A">
            <w:pPr>
              <w:spacing w:before="0" w:after="0"/>
              <w:jc w:val="right"/>
              <w:rPr>
                <w:rFonts w:ascii="Arial" w:hAnsi="Arial"/>
                <w:color w:val="000000"/>
                <w:sz w:val="16"/>
                <w:szCs w:val="16"/>
                <w:highlight w:val="yellow"/>
                <w:lang w:val="en-AU"/>
              </w:rPr>
            </w:pPr>
            <w:r w:rsidRPr="008D56D3">
              <w:rPr>
                <w:rFonts w:ascii="Arial" w:hAnsi="Arial"/>
                <w:color w:val="000000"/>
                <w:sz w:val="16"/>
                <w:szCs w:val="16"/>
                <w:lang w:val="en-AU"/>
              </w:rPr>
              <w:t>109,536</w:t>
            </w:r>
          </w:p>
        </w:tc>
        <w:tc>
          <w:tcPr>
            <w:tcW w:w="1059" w:type="dxa"/>
            <w:tcBorders>
              <w:top w:val="nil"/>
              <w:left w:val="nil"/>
              <w:bottom w:val="nil"/>
              <w:right w:val="nil"/>
            </w:tcBorders>
            <w:shd w:val="clear" w:color="auto" w:fill="auto"/>
            <w:noWrap/>
            <w:vAlign w:val="center"/>
          </w:tcPr>
          <w:p w14:paraId="538C8A2D" w14:textId="2983B8B5" w:rsidR="00CF037A" w:rsidRPr="000C42FD" w:rsidRDefault="00CF037A" w:rsidP="00CF037A">
            <w:pPr>
              <w:spacing w:before="0" w:after="0"/>
              <w:jc w:val="right"/>
              <w:rPr>
                <w:rFonts w:ascii="Arial" w:hAnsi="Arial"/>
                <w:color w:val="000000"/>
                <w:sz w:val="16"/>
                <w:szCs w:val="16"/>
                <w:lang w:val="en-AU"/>
              </w:rPr>
            </w:pPr>
            <w:r w:rsidRPr="008D56D3">
              <w:rPr>
                <w:rFonts w:ascii="Arial" w:hAnsi="Arial"/>
                <w:color w:val="000000"/>
                <w:sz w:val="16"/>
                <w:szCs w:val="16"/>
                <w:lang w:val="en-AU"/>
              </w:rPr>
              <w:t>113,318</w:t>
            </w:r>
          </w:p>
        </w:tc>
        <w:tc>
          <w:tcPr>
            <w:tcW w:w="1059" w:type="dxa"/>
            <w:tcBorders>
              <w:top w:val="nil"/>
              <w:left w:val="nil"/>
              <w:bottom w:val="nil"/>
              <w:right w:val="nil"/>
            </w:tcBorders>
            <w:shd w:val="clear" w:color="auto" w:fill="auto"/>
            <w:noWrap/>
            <w:vAlign w:val="center"/>
          </w:tcPr>
          <w:p w14:paraId="519DD097" w14:textId="058F5528" w:rsidR="00CF037A" w:rsidRPr="000C42FD" w:rsidRDefault="00CF037A" w:rsidP="00CF037A">
            <w:pPr>
              <w:spacing w:before="0" w:after="0"/>
              <w:jc w:val="right"/>
              <w:rPr>
                <w:rFonts w:ascii="Arial" w:hAnsi="Arial"/>
                <w:color w:val="000000"/>
                <w:sz w:val="16"/>
                <w:szCs w:val="16"/>
                <w:lang w:val="en-AU"/>
              </w:rPr>
            </w:pPr>
            <w:r w:rsidRPr="008D56D3">
              <w:rPr>
                <w:rFonts w:ascii="Arial" w:hAnsi="Arial"/>
                <w:color w:val="000000"/>
                <w:sz w:val="16"/>
                <w:szCs w:val="16"/>
                <w:lang w:val="en-AU"/>
              </w:rPr>
              <w:t>115,269</w:t>
            </w:r>
          </w:p>
        </w:tc>
        <w:tc>
          <w:tcPr>
            <w:tcW w:w="1061" w:type="dxa"/>
            <w:tcBorders>
              <w:top w:val="nil"/>
              <w:left w:val="nil"/>
              <w:bottom w:val="nil"/>
              <w:right w:val="nil"/>
            </w:tcBorders>
            <w:shd w:val="clear" w:color="auto" w:fill="auto"/>
            <w:noWrap/>
            <w:vAlign w:val="center"/>
          </w:tcPr>
          <w:p w14:paraId="2E580E71" w14:textId="4FA01BA4" w:rsidR="00CF037A" w:rsidRPr="00C510E0" w:rsidRDefault="00CF037A" w:rsidP="00CF037A">
            <w:pPr>
              <w:spacing w:before="0" w:after="0"/>
              <w:jc w:val="right"/>
              <w:rPr>
                <w:rFonts w:ascii="Arial" w:hAnsi="Arial"/>
                <w:color w:val="000000"/>
                <w:sz w:val="16"/>
                <w:szCs w:val="16"/>
                <w:highlight w:val="yellow"/>
                <w:lang w:val="en-AU"/>
              </w:rPr>
            </w:pPr>
            <w:r w:rsidRPr="008D56D3">
              <w:rPr>
                <w:rFonts w:ascii="Arial" w:hAnsi="Arial"/>
                <w:color w:val="000000"/>
                <w:sz w:val="16"/>
                <w:szCs w:val="16"/>
                <w:lang w:val="en-AU"/>
              </w:rPr>
              <w:t>115,703</w:t>
            </w:r>
          </w:p>
        </w:tc>
      </w:tr>
      <w:tr w:rsidR="00CF037A" w:rsidRPr="00C510E0" w14:paraId="5758D68B" w14:textId="77777777" w:rsidTr="002A5A4F">
        <w:trPr>
          <w:trHeight w:val="232"/>
        </w:trPr>
        <w:tc>
          <w:tcPr>
            <w:tcW w:w="3178" w:type="dxa"/>
            <w:tcBorders>
              <w:top w:val="nil"/>
              <w:left w:val="nil"/>
              <w:bottom w:val="nil"/>
              <w:right w:val="nil"/>
            </w:tcBorders>
            <w:shd w:val="clear" w:color="auto" w:fill="auto"/>
            <w:noWrap/>
            <w:vAlign w:val="center"/>
            <w:hideMark/>
          </w:tcPr>
          <w:p w14:paraId="37690B2A" w14:textId="77777777" w:rsidR="00CF037A" w:rsidRPr="002B2BCC" w:rsidRDefault="00CF037A" w:rsidP="00CF037A">
            <w:pPr>
              <w:spacing w:before="0" w:after="0"/>
              <w:ind w:firstLineChars="100" w:firstLine="160"/>
              <w:rPr>
                <w:rFonts w:ascii="Arial" w:hAnsi="Arial"/>
                <w:b/>
                <w:bCs/>
                <w:i/>
                <w:iCs/>
                <w:color w:val="000000"/>
                <w:sz w:val="16"/>
                <w:szCs w:val="16"/>
                <w:lang w:val="en-AU"/>
              </w:rPr>
            </w:pPr>
            <w:r w:rsidRPr="002B2BCC">
              <w:rPr>
                <w:rFonts w:ascii="Arial" w:hAnsi="Arial"/>
                <w:b/>
                <w:bCs/>
                <w:i/>
                <w:iCs/>
                <w:color w:val="000000"/>
                <w:sz w:val="16"/>
                <w:szCs w:val="16"/>
                <w:lang w:val="en-AU"/>
              </w:rPr>
              <w:t>Total provisions</w:t>
            </w:r>
          </w:p>
        </w:tc>
        <w:tc>
          <w:tcPr>
            <w:tcW w:w="981" w:type="dxa"/>
            <w:tcBorders>
              <w:top w:val="single" w:sz="4" w:space="0" w:color="000000"/>
              <w:left w:val="nil"/>
              <w:bottom w:val="single" w:sz="4" w:space="0" w:color="000000"/>
              <w:right w:val="nil"/>
            </w:tcBorders>
            <w:shd w:val="clear" w:color="auto" w:fill="auto"/>
            <w:noWrap/>
            <w:vAlign w:val="center"/>
          </w:tcPr>
          <w:p w14:paraId="53DE2B37" w14:textId="6DD19AC3" w:rsidR="00CF037A" w:rsidRPr="00C510E0" w:rsidRDefault="00CF037A" w:rsidP="00DC59EB">
            <w:pPr>
              <w:spacing w:before="0" w:after="0"/>
              <w:jc w:val="right"/>
              <w:rPr>
                <w:rFonts w:ascii="Arial" w:hAnsi="Arial"/>
                <w:color w:val="000000"/>
                <w:sz w:val="16"/>
                <w:szCs w:val="16"/>
                <w:highlight w:val="yellow"/>
                <w:lang w:val="en-AU"/>
              </w:rPr>
            </w:pPr>
            <w:r w:rsidRPr="008D56D3">
              <w:rPr>
                <w:rFonts w:ascii="Arial" w:hAnsi="Arial"/>
                <w:b/>
                <w:bCs/>
                <w:i/>
                <w:iCs/>
                <w:color w:val="000000"/>
                <w:sz w:val="16"/>
                <w:szCs w:val="16"/>
                <w:lang w:val="en-AU"/>
              </w:rPr>
              <w:t xml:space="preserve">       125,995</w:t>
            </w:r>
          </w:p>
        </w:tc>
        <w:tc>
          <w:tcPr>
            <w:tcW w:w="1060" w:type="dxa"/>
            <w:tcBorders>
              <w:top w:val="single" w:sz="4" w:space="0" w:color="000000"/>
              <w:left w:val="nil"/>
              <w:bottom w:val="single" w:sz="4" w:space="0" w:color="000000"/>
              <w:right w:val="nil"/>
            </w:tcBorders>
            <w:shd w:val="clear" w:color="auto" w:fill="E6E6E6"/>
            <w:noWrap/>
            <w:vAlign w:val="center"/>
          </w:tcPr>
          <w:p w14:paraId="0D2CCF79" w14:textId="66FE3FFA" w:rsidR="00CF037A" w:rsidRPr="00C510E0" w:rsidRDefault="00CF037A" w:rsidP="00DC59EB">
            <w:pPr>
              <w:spacing w:before="0" w:after="0"/>
              <w:jc w:val="right"/>
              <w:rPr>
                <w:rFonts w:ascii="Arial" w:hAnsi="Arial"/>
                <w:color w:val="000000"/>
                <w:sz w:val="16"/>
                <w:szCs w:val="16"/>
                <w:highlight w:val="yellow"/>
                <w:lang w:val="en-AU"/>
              </w:rPr>
            </w:pPr>
            <w:r w:rsidRPr="008D56D3">
              <w:rPr>
                <w:rFonts w:ascii="Arial" w:hAnsi="Arial"/>
                <w:b/>
                <w:bCs/>
                <w:i/>
                <w:iCs/>
                <w:color w:val="000000"/>
                <w:sz w:val="16"/>
                <w:szCs w:val="16"/>
                <w:lang w:val="en-AU"/>
              </w:rPr>
              <w:t xml:space="preserve">       134,569</w:t>
            </w:r>
          </w:p>
        </w:tc>
        <w:tc>
          <w:tcPr>
            <w:tcW w:w="1059" w:type="dxa"/>
            <w:tcBorders>
              <w:top w:val="single" w:sz="4" w:space="0" w:color="000000"/>
              <w:left w:val="nil"/>
              <w:bottom w:val="single" w:sz="4" w:space="0" w:color="000000"/>
              <w:right w:val="nil"/>
            </w:tcBorders>
            <w:shd w:val="clear" w:color="auto" w:fill="auto"/>
            <w:noWrap/>
            <w:vAlign w:val="center"/>
          </w:tcPr>
          <w:p w14:paraId="0B201D6B" w14:textId="6352EEBF" w:rsidR="00CF037A" w:rsidRPr="009A64EE" w:rsidRDefault="00CF037A" w:rsidP="00DC59EB">
            <w:pPr>
              <w:spacing w:before="0" w:after="0"/>
              <w:jc w:val="right"/>
              <w:rPr>
                <w:rFonts w:ascii="Arial" w:hAnsi="Arial"/>
                <w:color w:val="000000"/>
                <w:sz w:val="16"/>
                <w:szCs w:val="16"/>
                <w:lang w:val="en-AU"/>
              </w:rPr>
            </w:pPr>
            <w:r w:rsidRPr="008D56D3">
              <w:rPr>
                <w:rFonts w:ascii="Arial" w:hAnsi="Arial"/>
                <w:b/>
                <w:bCs/>
                <w:i/>
                <w:iCs/>
                <w:color w:val="000000"/>
                <w:sz w:val="16"/>
                <w:szCs w:val="16"/>
                <w:lang w:val="en-AU"/>
              </w:rPr>
              <w:t xml:space="preserve">       146,578</w:t>
            </w:r>
          </w:p>
        </w:tc>
        <w:tc>
          <w:tcPr>
            <w:tcW w:w="1059" w:type="dxa"/>
            <w:tcBorders>
              <w:top w:val="single" w:sz="4" w:space="0" w:color="000000"/>
              <w:left w:val="nil"/>
              <w:bottom w:val="single" w:sz="4" w:space="0" w:color="000000"/>
              <w:right w:val="nil"/>
            </w:tcBorders>
            <w:shd w:val="clear" w:color="auto" w:fill="auto"/>
            <w:noWrap/>
            <w:vAlign w:val="center"/>
          </w:tcPr>
          <w:p w14:paraId="6A1537C8" w14:textId="25EBC7F1" w:rsidR="00CF037A" w:rsidRPr="009A64EE" w:rsidRDefault="00CF037A" w:rsidP="00DC59EB">
            <w:pPr>
              <w:spacing w:before="0" w:after="0"/>
              <w:jc w:val="right"/>
              <w:rPr>
                <w:rFonts w:ascii="Arial" w:hAnsi="Arial"/>
                <w:color w:val="000000"/>
                <w:sz w:val="16"/>
                <w:szCs w:val="16"/>
                <w:lang w:val="en-AU"/>
              </w:rPr>
            </w:pPr>
            <w:r w:rsidRPr="008D56D3">
              <w:rPr>
                <w:rFonts w:ascii="Arial" w:hAnsi="Arial"/>
                <w:b/>
                <w:bCs/>
                <w:i/>
                <w:iCs/>
                <w:color w:val="000000"/>
                <w:sz w:val="16"/>
                <w:szCs w:val="16"/>
                <w:lang w:val="en-AU"/>
              </w:rPr>
              <w:t xml:space="preserve">       157,089</w:t>
            </w:r>
          </w:p>
        </w:tc>
        <w:tc>
          <w:tcPr>
            <w:tcW w:w="1061" w:type="dxa"/>
            <w:tcBorders>
              <w:top w:val="single" w:sz="4" w:space="0" w:color="000000"/>
              <w:left w:val="nil"/>
              <w:bottom w:val="single" w:sz="4" w:space="0" w:color="000000"/>
              <w:right w:val="nil"/>
            </w:tcBorders>
            <w:shd w:val="clear" w:color="auto" w:fill="auto"/>
            <w:noWrap/>
            <w:vAlign w:val="center"/>
          </w:tcPr>
          <w:p w14:paraId="4B09F069" w14:textId="56A8734F" w:rsidR="00CF037A" w:rsidRPr="00C510E0" w:rsidRDefault="00CF037A" w:rsidP="00DC59EB">
            <w:pPr>
              <w:spacing w:before="0" w:after="0"/>
              <w:jc w:val="right"/>
              <w:rPr>
                <w:rFonts w:ascii="Arial" w:hAnsi="Arial"/>
                <w:color w:val="000000"/>
                <w:sz w:val="16"/>
                <w:szCs w:val="16"/>
                <w:highlight w:val="yellow"/>
                <w:lang w:val="en-AU"/>
              </w:rPr>
            </w:pPr>
            <w:r w:rsidRPr="008D56D3">
              <w:rPr>
                <w:rFonts w:ascii="Arial" w:hAnsi="Arial"/>
                <w:b/>
                <w:bCs/>
                <w:i/>
                <w:iCs/>
                <w:color w:val="000000"/>
                <w:sz w:val="16"/>
                <w:szCs w:val="16"/>
                <w:lang w:val="en-AU"/>
              </w:rPr>
              <w:t xml:space="preserve">       166,496</w:t>
            </w:r>
          </w:p>
        </w:tc>
      </w:tr>
      <w:tr w:rsidR="00CF037A" w:rsidRPr="00C510E0" w14:paraId="0FD9773D" w14:textId="77777777" w:rsidTr="002A5A4F">
        <w:trPr>
          <w:trHeight w:val="228"/>
        </w:trPr>
        <w:tc>
          <w:tcPr>
            <w:tcW w:w="3178" w:type="dxa"/>
            <w:tcBorders>
              <w:top w:val="nil"/>
              <w:left w:val="nil"/>
              <w:right w:val="nil"/>
            </w:tcBorders>
            <w:shd w:val="clear" w:color="auto" w:fill="auto"/>
            <w:noWrap/>
            <w:vAlign w:val="center"/>
            <w:hideMark/>
          </w:tcPr>
          <w:p w14:paraId="062B69A4" w14:textId="77777777" w:rsidR="00CF037A" w:rsidRPr="002B2BCC" w:rsidRDefault="00CF037A" w:rsidP="00CF037A">
            <w:pPr>
              <w:spacing w:before="0" w:after="0"/>
              <w:rPr>
                <w:rFonts w:ascii="Arial" w:hAnsi="Arial"/>
                <w:b/>
                <w:bCs/>
                <w:color w:val="000000"/>
                <w:sz w:val="16"/>
                <w:szCs w:val="16"/>
                <w:lang w:val="en-AU"/>
              </w:rPr>
            </w:pPr>
            <w:r w:rsidRPr="002B2BCC">
              <w:rPr>
                <w:rFonts w:ascii="Arial" w:hAnsi="Arial"/>
                <w:b/>
                <w:bCs/>
                <w:color w:val="000000"/>
                <w:sz w:val="16"/>
                <w:szCs w:val="16"/>
                <w:lang w:val="en-AU"/>
              </w:rPr>
              <w:t>Total liabilities</w:t>
            </w:r>
          </w:p>
        </w:tc>
        <w:tc>
          <w:tcPr>
            <w:tcW w:w="981" w:type="dxa"/>
            <w:tcBorders>
              <w:top w:val="single" w:sz="4" w:space="0" w:color="auto"/>
              <w:left w:val="nil"/>
              <w:bottom w:val="single" w:sz="4" w:space="0" w:color="auto"/>
              <w:right w:val="nil"/>
            </w:tcBorders>
            <w:shd w:val="clear" w:color="auto" w:fill="auto"/>
            <w:noWrap/>
            <w:vAlign w:val="center"/>
          </w:tcPr>
          <w:p w14:paraId="4A807592" w14:textId="2B0EEA72" w:rsidR="00CF037A" w:rsidRPr="00C510E0" w:rsidRDefault="00DC59EB" w:rsidP="00CF037A">
            <w:pPr>
              <w:spacing w:before="0" w:after="0"/>
              <w:jc w:val="center"/>
              <w:rPr>
                <w:rFonts w:ascii="Arial" w:hAnsi="Arial"/>
                <w:b/>
                <w:bCs/>
                <w:i/>
                <w:iCs/>
                <w:color w:val="000000"/>
                <w:sz w:val="16"/>
                <w:szCs w:val="16"/>
                <w:highlight w:val="yellow"/>
                <w:lang w:val="en-AU"/>
              </w:rPr>
            </w:pPr>
            <w:r>
              <w:rPr>
                <w:rFonts w:ascii="Arial" w:hAnsi="Arial"/>
                <w:b/>
                <w:bCs/>
                <w:color w:val="000000"/>
                <w:sz w:val="16"/>
                <w:szCs w:val="16"/>
                <w:lang w:val="en-AU"/>
              </w:rPr>
              <w:t xml:space="preserve">     2,158,514</w:t>
            </w:r>
          </w:p>
        </w:tc>
        <w:tc>
          <w:tcPr>
            <w:tcW w:w="1060" w:type="dxa"/>
            <w:tcBorders>
              <w:top w:val="single" w:sz="4" w:space="0" w:color="auto"/>
              <w:left w:val="nil"/>
              <w:bottom w:val="single" w:sz="4" w:space="0" w:color="auto"/>
              <w:right w:val="nil"/>
            </w:tcBorders>
            <w:shd w:val="clear" w:color="auto" w:fill="E6E6E6"/>
            <w:noWrap/>
            <w:vAlign w:val="center"/>
          </w:tcPr>
          <w:p w14:paraId="3D2B3655" w14:textId="125DD84B" w:rsidR="00CF037A" w:rsidRPr="00C510E0" w:rsidRDefault="00CF037A" w:rsidP="00DC59EB">
            <w:pPr>
              <w:spacing w:before="0" w:after="0"/>
              <w:jc w:val="right"/>
              <w:rPr>
                <w:rFonts w:ascii="Arial" w:hAnsi="Arial"/>
                <w:b/>
                <w:bCs/>
                <w:i/>
                <w:iCs/>
                <w:color w:val="000000"/>
                <w:sz w:val="16"/>
                <w:szCs w:val="16"/>
                <w:highlight w:val="yellow"/>
                <w:lang w:val="en-AU"/>
              </w:rPr>
            </w:pPr>
            <w:r w:rsidRPr="008D56D3">
              <w:rPr>
                <w:rFonts w:ascii="Arial" w:hAnsi="Arial"/>
                <w:b/>
                <w:bCs/>
                <w:color w:val="000000"/>
                <w:sz w:val="16"/>
                <w:szCs w:val="16"/>
                <w:lang w:val="en-AU"/>
              </w:rPr>
              <w:t xml:space="preserve">     2,260,000</w:t>
            </w:r>
          </w:p>
        </w:tc>
        <w:tc>
          <w:tcPr>
            <w:tcW w:w="1059" w:type="dxa"/>
            <w:tcBorders>
              <w:top w:val="single" w:sz="4" w:space="0" w:color="auto"/>
              <w:left w:val="nil"/>
              <w:bottom w:val="single" w:sz="4" w:space="0" w:color="auto"/>
              <w:right w:val="nil"/>
            </w:tcBorders>
            <w:shd w:val="clear" w:color="auto" w:fill="auto"/>
            <w:noWrap/>
            <w:vAlign w:val="center"/>
          </w:tcPr>
          <w:p w14:paraId="3DD041FB" w14:textId="7F686A22" w:rsidR="00CF037A" w:rsidRPr="000C42FD" w:rsidRDefault="00CF037A" w:rsidP="00DC59EB">
            <w:pPr>
              <w:spacing w:before="0" w:after="0"/>
              <w:jc w:val="right"/>
              <w:rPr>
                <w:rFonts w:ascii="Arial" w:hAnsi="Arial"/>
                <w:b/>
                <w:bCs/>
                <w:i/>
                <w:iCs/>
                <w:color w:val="000000"/>
                <w:sz w:val="16"/>
                <w:szCs w:val="16"/>
                <w:lang w:val="en-AU"/>
              </w:rPr>
            </w:pPr>
            <w:r w:rsidRPr="008D56D3">
              <w:rPr>
                <w:rFonts w:ascii="Arial" w:hAnsi="Arial"/>
                <w:b/>
                <w:bCs/>
                <w:color w:val="000000"/>
                <w:sz w:val="16"/>
                <w:szCs w:val="16"/>
                <w:lang w:val="en-AU"/>
              </w:rPr>
              <w:t xml:space="preserve">     2,386,047</w:t>
            </w:r>
          </w:p>
        </w:tc>
        <w:tc>
          <w:tcPr>
            <w:tcW w:w="1059" w:type="dxa"/>
            <w:tcBorders>
              <w:top w:val="single" w:sz="4" w:space="0" w:color="auto"/>
              <w:left w:val="nil"/>
              <w:bottom w:val="single" w:sz="4" w:space="0" w:color="auto"/>
              <w:right w:val="nil"/>
            </w:tcBorders>
            <w:shd w:val="clear" w:color="auto" w:fill="auto"/>
            <w:noWrap/>
            <w:vAlign w:val="center"/>
          </w:tcPr>
          <w:p w14:paraId="7980119F" w14:textId="3C36EE57" w:rsidR="00CF037A" w:rsidRPr="000C42FD" w:rsidRDefault="00CF037A" w:rsidP="00DC59EB">
            <w:pPr>
              <w:spacing w:before="0" w:after="0"/>
              <w:jc w:val="right"/>
              <w:rPr>
                <w:rFonts w:ascii="Arial" w:hAnsi="Arial"/>
                <w:b/>
                <w:bCs/>
                <w:i/>
                <w:iCs/>
                <w:color w:val="000000"/>
                <w:sz w:val="16"/>
                <w:szCs w:val="16"/>
                <w:lang w:val="en-AU"/>
              </w:rPr>
            </w:pPr>
            <w:r w:rsidRPr="008D56D3">
              <w:rPr>
                <w:rFonts w:ascii="Arial" w:hAnsi="Arial"/>
                <w:b/>
                <w:bCs/>
                <w:color w:val="000000"/>
                <w:sz w:val="16"/>
                <w:szCs w:val="16"/>
                <w:lang w:val="en-AU"/>
              </w:rPr>
              <w:t xml:space="preserve">     2,450,889</w:t>
            </w:r>
          </w:p>
        </w:tc>
        <w:tc>
          <w:tcPr>
            <w:tcW w:w="1061" w:type="dxa"/>
            <w:tcBorders>
              <w:top w:val="single" w:sz="4" w:space="0" w:color="auto"/>
              <w:left w:val="nil"/>
              <w:bottom w:val="single" w:sz="4" w:space="0" w:color="auto"/>
              <w:right w:val="nil"/>
            </w:tcBorders>
            <w:shd w:val="clear" w:color="auto" w:fill="auto"/>
            <w:noWrap/>
            <w:vAlign w:val="center"/>
          </w:tcPr>
          <w:p w14:paraId="4130FFFD" w14:textId="0857208F" w:rsidR="00CF037A" w:rsidRPr="00C510E0" w:rsidRDefault="00CF037A" w:rsidP="00DC59EB">
            <w:pPr>
              <w:spacing w:before="0" w:after="0"/>
              <w:jc w:val="right"/>
              <w:rPr>
                <w:rFonts w:ascii="Arial" w:hAnsi="Arial"/>
                <w:b/>
                <w:bCs/>
                <w:i/>
                <w:iCs/>
                <w:color w:val="000000"/>
                <w:sz w:val="16"/>
                <w:szCs w:val="16"/>
                <w:highlight w:val="yellow"/>
                <w:lang w:val="en-AU"/>
              </w:rPr>
            </w:pPr>
            <w:r w:rsidRPr="008D56D3">
              <w:rPr>
                <w:rFonts w:ascii="Arial" w:hAnsi="Arial"/>
                <w:b/>
                <w:bCs/>
                <w:color w:val="000000"/>
                <w:sz w:val="16"/>
                <w:szCs w:val="16"/>
                <w:lang w:val="en-AU"/>
              </w:rPr>
              <w:t xml:space="preserve">    2,487,524</w:t>
            </w:r>
          </w:p>
        </w:tc>
      </w:tr>
      <w:tr w:rsidR="00CF037A" w:rsidRPr="00C510E0" w14:paraId="5EF9360E" w14:textId="77777777" w:rsidTr="002A5A4F">
        <w:trPr>
          <w:trHeight w:val="228"/>
        </w:trPr>
        <w:tc>
          <w:tcPr>
            <w:tcW w:w="3178" w:type="dxa"/>
            <w:tcBorders>
              <w:top w:val="nil"/>
              <w:left w:val="nil"/>
              <w:right w:val="nil"/>
            </w:tcBorders>
            <w:shd w:val="clear" w:color="auto" w:fill="auto"/>
            <w:noWrap/>
            <w:vAlign w:val="center"/>
            <w:hideMark/>
          </w:tcPr>
          <w:p w14:paraId="24C008F9" w14:textId="77777777" w:rsidR="00CF037A" w:rsidRPr="002B2BCC" w:rsidRDefault="00CF037A" w:rsidP="00CF037A">
            <w:pPr>
              <w:spacing w:before="0" w:after="0"/>
              <w:rPr>
                <w:rFonts w:ascii="Arial" w:hAnsi="Arial"/>
                <w:b/>
                <w:bCs/>
                <w:sz w:val="16"/>
                <w:szCs w:val="16"/>
                <w:lang w:val="en-AU"/>
              </w:rPr>
            </w:pPr>
            <w:r w:rsidRPr="002B2BCC">
              <w:rPr>
                <w:rFonts w:ascii="Arial" w:hAnsi="Arial"/>
                <w:b/>
                <w:bCs/>
                <w:sz w:val="16"/>
                <w:szCs w:val="16"/>
                <w:lang w:val="en-AU"/>
              </w:rPr>
              <w:t>Net assets</w:t>
            </w:r>
          </w:p>
        </w:tc>
        <w:tc>
          <w:tcPr>
            <w:tcW w:w="981" w:type="dxa"/>
            <w:tcBorders>
              <w:top w:val="nil"/>
              <w:left w:val="nil"/>
              <w:bottom w:val="single" w:sz="4" w:space="0" w:color="auto"/>
              <w:right w:val="nil"/>
            </w:tcBorders>
            <w:shd w:val="clear" w:color="auto" w:fill="auto"/>
            <w:noWrap/>
            <w:vAlign w:val="center"/>
          </w:tcPr>
          <w:p w14:paraId="7624F991" w14:textId="266FBAE2" w:rsidR="00CF037A" w:rsidRPr="00C510E0" w:rsidRDefault="00CF037A" w:rsidP="00DC59EB">
            <w:pPr>
              <w:spacing w:before="0" w:after="0"/>
              <w:jc w:val="center"/>
              <w:rPr>
                <w:rFonts w:ascii="Arial" w:hAnsi="Arial"/>
                <w:b/>
                <w:bCs/>
                <w:color w:val="000000"/>
                <w:sz w:val="16"/>
                <w:szCs w:val="16"/>
                <w:highlight w:val="yellow"/>
                <w:lang w:val="en-AU"/>
              </w:rPr>
            </w:pPr>
            <w:r w:rsidRPr="008D56D3">
              <w:rPr>
                <w:rFonts w:ascii="Arial" w:hAnsi="Arial"/>
                <w:b/>
                <w:bCs/>
                <w:color w:val="000000"/>
                <w:sz w:val="16"/>
                <w:szCs w:val="16"/>
                <w:lang w:val="en-AU"/>
              </w:rPr>
              <w:t xml:space="preserve">     3,791,223</w:t>
            </w:r>
          </w:p>
        </w:tc>
        <w:tc>
          <w:tcPr>
            <w:tcW w:w="1060" w:type="dxa"/>
            <w:tcBorders>
              <w:top w:val="nil"/>
              <w:left w:val="nil"/>
              <w:bottom w:val="single" w:sz="4" w:space="0" w:color="auto"/>
              <w:right w:val="nil"/>
            </w:tcBorders>
            <w:shd w:val="clear" w:color="auto" w:fill="E6E6E6"/>
            <w:noWrap/>
            <w:vAlign w:val="center"/>
          </w:tcPr>
          <w:p w14:paraId="038729F6" w14:textId="6BCBA0FC" w:rsidR="00CF037A" w:rsidRPr="00C510E0" w:rsidRDefault="00CF037A" w:rsidP="00DC59EB">
            <w:pPr>
              <w:spacing w:before="0" w:after="0"/>
              <w:jc w:val="right"/>
              <w:rPr>
                <w:rFonts w:ascii="Arial" w:hAnsi="Arial"/>
                <w:b/>
                <w:bCs/>
                <w:color w:val="000000"/>
                <w:sz w:val="16"/>
                <w:szCs w:val="16"/>
                <w:highlight w:val="yellow"/>
                <w:lang w:val="en-AU"/>
              </w:rPr>
            </w:pPr>
            <w:r w:rsidRPr="008D56D3">
              <w:rPr>
                <w:rFonts w:ascii="Arial" w:hAnsi="Arial"/>
                <w:b/>
                <w:bCs/>
                <w:color w:val="000000"/>
                <w:sz w:val="16"/>
                <w:szCs w:val="16"/>
                <w:lang w:val="en-AU"/>
              </w:rPr>
              <w:t xml:space="preserve">     3,997,611</w:t>
            </w:r>
          </w:p>
        </w:tc>
        <w:tc>
          <w:tcPr>
            <w:tcW w:w="1059" w:type="dxa"/>
            <w:tcBorders>
              <w:top w:val="nil"/>
              <w:left w:val="nil"/>
              <w:bottom w:val="single" w:sz="4" w:space="0" w:color="auto"/>
              <w:right w:val="nil"/>
            </w:tcBorders>
            <w:shd w:val="clear" w:color="auto" w:fill="auto"/>
            <w:noWrap/>
            <w:vAlign w:val="center"/>
          </w:tcPr>
          <w:p w14:paraId="736186A0" w14:textId="51F6E21A" w:rsidR="00CF037A" w:rsidRPr="000C42FD" w:rsidRDefault="00CF037A" w:rsidP="00DC59EB">
            <w:pPr>
              <w:spacing w:before="0" w:after="0"/>
              <w:jc w:val="right"/>
              <w:rPr>
                <w:rFonts w:ascii="Arial" w:hAnsi="Arial"/>
                <w:b/>
                <w:bCs/>
                <w:color w:val="000000"/>
                <w:sz w:val="16"/>
                <w:szCs w:val="16"/>
                <w:lang w:val="en-AU"/>
              </w:rPr>
            </w:pPr>
            <w:r w:rsidRPr="008D56D3">
              <w:rPr>
                <w:rFonts w:ascii="Arial" w:hAnsi="Arial"/>
                <w:b/>
                <w:bCs/>
                <w:color w:val="000000"/>
                <w:sz w:val="16"/>
                <w:szCs w:val="16"/>
                <w:lang w:val="en-AU"/>
              </w:rPr>
              <w:t xml:space="preserve">     4,205,727</w:t>
            </w:r>
          </w:p>
        </w:tc>
        <w:tc>
          <w:tcPr>
            <w:tcW w:w="1059" w:type="dxa"/>
            <w:tcBorders>
              <w:top w:val="nil"/>
              <w:left w:val="nil"/>
              <w:bottom w:val="single" w:sz="4" w:space="0" w:color="auto"/>
              <w:right w:val="nil"/>
            </w:tcBorders>
            <w:shd w:val="clear" w:color="auto" w:fill="auto"/>
            <w:noWrap/>
            <w:vAlign w:val="center"/>
          </w:tcPr>
          <w:p w14:paraId="7F76942B" w14:textId="2F70A430" w:rsidR="00CF037A" w:rsidRPr="000C42FD" w:rsidRDefault="00CF037A" w:rsidP="00DC59EB">
            <w:pPr>
              <w:spacing w:before="0" w:after="0"/>
              <w:jc w:val="right"/>
              <w:rPr>
                <w:rFonts w:ascii="Arial" w:hAnsi="Arial"/>
                <w:b/>
                <w:bCs/>
                <w:color w:val="000000"/>
                <w:sz w:val="16"/>
                <w:szCs w:val="16"/>
                <w:lang w:val="en-AU"/>
              </w:rPr>
            </w:pPr>
            <w:r w:rsidRPr="008D56D3">
              <w:rPr>
                <w:rFonts w:ascii="Arial" w:hAnsi="Arial"/>
                <w:b/>
                <w:bCs/>
                <w:color w:val="000000"/>
                <w:sz w:val="16"/>
                <w:szCs w:val="16"/>
                <w:lang w:val="en-AU"/>
              </w:rPr>
              <w:t xml:space="preserve">     4,428,711</w:t>
            </w:r>
          </w:p>
        </w:tc>
        <w:tc>
          <w:tcPr>
            <w:tcW w:w="1061" w:type="dxa"/>
            <w:tcBorders>
              <w:top w:val="nil"/>
              <w:left w:val="nil"/>
              <w:bottom w:val="single" w:sz="4" w:space="0" w:color="auto"/>
              <w:right w:val="nil"/>
            </w:tcBorders>
            <w:shd w:val="clear" w:color="auto" w:fill="auto"/>
            <w:noWrap/>
            <w:vAlign w:val="center"/>
          </w:tcPr>
          <w:p w14:paraId="031F3321" w14:textId="3A137D5F" w:rsidR="00CF037A" w:rsidRPr="00C510E0" w:rsidRDefault="00CF037A" w:rsidP="00DC59EB">
            <w:pPr>
              <w:spacing w:before="0" w:after="0"/>
              <w:jc w:val="right"/>
              <w:rPr>
                <w:rFonts w:ascii="Arial" w:hAnsi="Arial"/>
                <w:b/>
                <w:bCs/>
                <w:color w:val="000000"/>
                <w:sz w:val="16"/>
                <w:szCs w:val="16"/>
                <w:highlight w:val="yellow"/>
                <w:lang w:val="en-AU"/>
              </w:rPr>
            </w:pPr>
            <w:r w:rsidRPr="008D56D3">
              <w:rPr>
                <w:rFonts w:ascii="Arial" w:hAnsi="Arial"/>
                <w:b/>
                <w:bCs/>
                <w:color w:val="000000"/>
                <w:sz w:val="16"/>
                <w:szCs w:val="16"/>
                <w:lang w:val="en-AU"/>
              </w:rPr>
              <w:t xml:space="preserve">     4,598,592</w:t>
            </w:r>
          </w:p>
        </w:tc>
      </w:tr>
      <w:tr w:rsidR="00AF1017" w:rsidRPr="00C510E0" w14:paraId="62E4897A" w14:textId="77777777" w:rsidTr="00AF1017">
        <w:trPr>
          <w:trHeight w:val="228"/>
        </w:trPr>
        <w:tc>
          <w:tcPr>
            <w:tcW w:w="3178" w:type="dxa"/>
            <w:tcBorders>
              <w:left w:val="nil"/>
              <w:bottom w:val="nil"/>
              <w:right w:val="nil"/>
            </w:tcBorders>
            <w:shd w:val="clear" w:color="auto" w:fill="auto"/>
            <w:noWrap/>
            <w:vAlign w:val="center"/>
            <w:hideMark/>
          </w:tcPr>
          <w:p w14:paraId="199B925B" w14:textId="77777777" w:rsidR="00AF1017" w:rsidRPr="002B2BCC" w:rsidRDefault="00AF1017" w:rsidP="00AF1017">
            <w:pPr>
              <w:spacing w:before="0" w:after="0"/>
              <w:rPr>
                <w:rFonts w:ascii="Arial" w:hAnsi="Arial"/>
                <w:b/>
                <w:bCs/>
                <w:color w:val="000000"/>
                <w:sz w:val="16"/>
                <w:szCs w:val="16"/>
                <w:lang w:val="en-AU"/>
              </w:rPr>
            </w:pPr>
            <w:r w:rsidRPr="002B2BCC">
              <w:rPr>
                <w:rFonts w:ascii="Arial" w:hAnsi="Arial"/>
                <w:b/>
                <w:bCs/>
                <w:color w:val="000000"/>
                <w:sz w:val="16"/>
                <w:szCs w:val="16"/>
                <w:lang w:val="en-AU"/>
              </w:rPr>
              <w:t xml:space="preserve">EQUITY </w:t>
            </w:r>
            <w:r w:rsidRPr="002B2BCC">
              <w:rPr>
                <w:rFonts w:ascii="Arial" w:hAnsi="Arial"/>
                <w:b/>
                <w:bCs/>
                <w:color w:val="000000"/>
                <w:sz w:val="16"/>
                <w:szCs w:val="16"/>
                <w:vertAlign w:val="superscript"/>
                <w:lang w:val="en-AU"/>
              </w:rPr>
              <w:t>[b]</w:t>
            </w:r>
          </w:p>
        </w:tc>
        <w:tc>
          <w:tcPr>
            <w:tcW w:w="981" w:type="dxa"/>
            <w:tcBorders>
              <w:top w:val="nil"/>
              <w:left w:val="nil"/>
              <w:bottom w:val="nil"/>
              <w:right w:val="nil"/>
            </w:tcBorders>
            <w:shd w:val="clear" w:color="auto" w:fill="auto"/>
            <w:noWrap/>
            <w:vAlign w:val="center"/>
          </w:tcPr>
          <w:p w14:paraId="004A5A52" w14:textId="77777777" w:rsidR="00AF1017" w:rsidRPr="00C510E0" w:rsidRDefault="00AF1017" w:rsidP="00AF1017">
            <w:pPr>
              <w:spacing w:before="0" w:after="0"/>
              <w:jc w:val="right"/>
              <w:rPr>
                <w:rFonts w:ascii="Arial" w:hAnsi="Arial"/>
                <w:b/>
                <w:bCs/>
                <w:color w:val="000000"/>
                <w:sz w:val="16"/>
                <w:szCs w:val="16"/>
                <w:highlight w:val="yellow"/>
                <w:lang w:val="en-AU"/>
              </w:rPr>
            </w:pPr>
          </w:p>
        </w:tc>
        <w:tc>
          <w:tcPr>
            <w:tcW w:w="1060" w:type="dxa"/>
            <w:tcBorders>
              <w:top w:val="nil"/>
              <w:left w:val="nil"/>
              <w:bottom w:val="nil"/>
              <w:right w:val="nil"/>
            </w:tcBorders>
            <w:shd w:val="clear" w:color="auto" w:fill="E6E6E6"/>
            <w:noWrap/>
            <w:vAlign w:val="center"/>
          </w:tcPr>
          <w:p w14:paraId="3F77A42D" w14:textId="77777777" w:rsidR="00AF1017" w:rsidRPr="00C510E0" w:rsidRDefault="00AF1017" w:rsidP="00AF1017">
            <w:pPr>
              <w:spacing w:before="0" w:after="0"/>
              <w:jc w:val="right"/>
              <w:rPr>
                <w:rFonts w:ascii="Arial" w:hAnsi="Arial"/>
                <w:b/>
                <w:color w:val="000000"/>
                <w:sz w:val="16"/>
                <w:szCs w:val="16"/>
                <w:highlight w:val="yellow"/>
                <w:lang w:val="en-AU"/>
              </w:rPr>
            </w:pPr>
          </w:p>
        </w:tc>
        <w:tc>
          <w:tcPr>
            <w:tcW w:w="1059" w:type="dxa"/>
            <w:tcBorders>
              <w:top w:val="nil"/>
              <w:left w:val="nil"/>
              <w:bottom w:val="nil"/>
              <w:right w:val="nil"/>
            </w:tcBorders>
            <w:shd w:val="clear" w:color="auto" w:fill="auto"/>
            <w:noWrap/>
            <w:vAlign w:val="center"/>
          </w:tcPr>
          <w:p w14:paraId="6BE22884" w14:textId="77777777" w:rsidR="00AF1017" w:rsidRPr="00C510E0" w:rsidRDefault="00AF1017" w:rsidP="00AF1017">
            <w:pPr>
              <w:spacing w:before="0" w:after="0"/>
              <w:jc w:val="right"/>
              <w:rPr>
                <w:rFonts w:ascii="Times New Roman" w:hAnsi="Times New Roman" w:cs="Times New Roman"/>
                <w:b/>
                <w:szCs w:val="20"/>
                <w:highlight w:val="yellow"/>
                <w:lang w:val="en-AU"/>
              </w:rPr>
            </w:pPr>
          </w:p>
        </w:tc>
        <w:tc>
          <w:tcPr>
            <w:tcW w:w="1059" w:type="dxa"/>
            <w:tcBorders>
              <w:top w:val="nil"/>
              <w:left w:val="nil"/>
              <w:bottom w:val="nil"/>
              <w:right w:val="nil"/>
            </w:tcBorders>
            <w:shd w:val="clear" w:color="auto" w:fill="auto"/>
            <w:noWrap/>
            <w:vAlign w:val="center"/>
          </w:tcPr>
          <w:p w14:paraId="5E3933D5" w14:textId="77777777" w:rsidR="00AF1017" w:rsidRPr="00C510E0" w:rsidRDefault="00AF1017" w:rsidP="00AF1017">
            <w:pPr>
              <w:spacing w:before="0" w:after="0"/>
              <w:jc w:val="right"/>
              <w:rPr>
                <w:rFonts w:ascii="Times New Roman" w:hAnsi="Times New Roman" w:cs="Times New Roman"/>
                <w:b/>
                <w:szCs w:val="20"/>
                <w:highlight w:val="yellow"/>
                <w:lang w:val="en-AU"/>
              </w:rPr>
            </w:pPr>
          </w:p>
        </w:tc>
        <w:tc>
          <w:tcPr>
            <w:tcW w:w="1061" w:type="dxa"/>
            <w:tcBorders>
              <w:top w:val="nil"/>
              <w:left w:val="nil"/>
              <w:bottom w:val="nil"/>
              <w:right w:val="nil"/>
            </w:tcBorders>
            <w:shd w:val="clear" w:color="auto" w:fill="auto"/>
            <w:noWrap/>
            <w:vAlign w:val="center"/>
          </w:tcPr>
          <w:p w14:paraId="5386512A" w14:textId="77777777" w:rsidR="00AF1017" w:rsidRPr="00C510E0" w:rsidRDefault="00AF1017" w:rsidP="00AF1017">
            <w:pPr>
              <w:spacing w:before="0" w:after="0"/>
              <w:jc w:val="right"/>
              <w:rPr>
                <w:rFonts w:ascii="Times New Roman" w:hAnsi="Times New Roman" w:cs="Times New Roman"/>
                <w:b/>
                <w:szCs w:val="20"/>
                <w:highlight w:val="yellow"/>
                <w:lang w:val="en-AU"/>
              </w:rPr>
            </w:pPr>
          </w:p>
        </w:tc>
      </w:tr>
      <w:tr w:rsidR="00AF1017" w:rsidRPr="00C510E0" w14:paraId="3F09C049" w14:textId="77777777" w:rsidTr="00AF1017">
        <w:trPr>
          <w:trHeight w:val="228"/>
        </w:trPr>
        <w:tc>
          <w:tcPr>
            <w:tcW w:w="3178" w:type="dxa"/>
            <w:tcBorders>
              <w:top w:val="nil"/>
              <w:left w:val="nil"/>
              <w:bottom w:val="nil"/>
              <w:right w:val="nil"/>
            </w:tcBorders>
            <w:shd w:val="clear" w:color="auto" w:fill="auto"/>
            <w:noWrap/>
            <w:vAlign w:val="center"/>
            <w:hideMark/>
          </w:tcPr>
          <w:p w14:paraId="747B09A0" w14:textId="77777777" w:rsidR="00AF1017" w:rsidRPr="002B2BCC" w:rsidRDefault="00AF1017" w:rsidP="00AF1017">
            <w:pPr>
              <w:spacing w:before="0" w:after="0"/>
              <w:ind w:firstLineChars="100" w:firstLine="160"/>
              <w:rPr>
                <w:rFonts w:ascii="Arial" w:hAnsi="Arial"/>
                <w:b/>
                <w:bCs/>
                <w:color w:val="000000"/>
                <w:sz w:val="16"/>
                <w:szCs w:val="16"/>
                <w:lang w:val="en-AU"/>
              </w:rPr>
            </w:pPr>
            <w:r w:rsidRPr="002B2BCC">
              <w:rPr>
                <w:rFonts w:ascii="Arial" w:hAnsi="Arial"/>
                <w:b/>
                <w:bCs/>
                <w:color w:val="000000"/>
                <w:sz w:val="16"/>
                <w:szCs w:val="16"/>
                <w:lang w:val="en-AU"/>
              </w:rPr>
              <w:t>Parent entity interest</w:t>
            </w:r>
          </w:p>
        </w:tc>
        <w:tc>
          <w:tcPr>
            <w:tcW w:w="981" w:type="dxa"/>
            <w:tcBorders>
              <w:top w:val="nil"/>
              <w:left w:val="nil"/>
              <w:bottom w:val="nil"/>
              <w:right w:val="nil"/>
            </w:tcBorders>
            <w:shd w:val="clear" w:color="auto" w:fill="auto"/>
            <w:noWrap/>
            <w:vAlign w:val="center"/>
          </w:tcPr>
          <w:p w14:paraId="2F2D2614" w14:textId="77777777" w:rsidR="00AF1017" w:rsidRPr="00C510E0" w:rsidRDefault="00AF1017" w:rsidP="00AF1017">
            <w:pPr>
              <w:spacing w:before="0" w:after="0"/>
              <w:jc w:val="right"/>
              <w:rPr>
                <w:rFonts w:ascii="Arial" w:hAnsi="Arial"/>
                <w:bCs/>
                <w:color w:val="000000"/>
                <w:sz w:val="16"/>
                <w:szCs w:val="16"/>
                <w:highlight w:val="yellow"/>
                <w:lang w:val="en-AU"/>
              </w:rPr>
            </w:pPr>
          </w:p>
        </w:tc>
        <w:tc>
          <w:tcPr>
            <w:tcW w:w="1060" w:type="dxa"/>
            <w:tcBorders>
              <w:top w:val="nil"/>
              <w:left w:val="nil"/>
              <w:bottom w:val="nil"/>
              <w:right w:val="nil"/>
            </w:tcBorders>
            <w:shd w:val="clear" w:color="auto" w:fill="E6E6E6"/>
            <w:noWrap/>
            <w:vAlign w:val="center"/>
          </w:tcPr>
          <w:p w14:paraId="721A96EB" w14:textId="77777777" w:rsidR="00AF1017" w:rsidRPr="00C510E0" w:rsidRDefault="00AF1017" w:rsidP="00AF1017">
            <w:pPr>
              <w:spacing w:before="0" w:after="0"/>
              <w:jc w:val="right"/>
              <w:rPr>
                <w:rFonts w:ascii="Arial" w:hAnsi="Arial"/>
                <w:color w:val="000000"/>
                <w:sz w:val="16"/>
                <w:szCs w:val="16"/>
                <w:highlight w:val="yellow"/>
                <w:lang w:val="en-AU"/>
              </w:rPr>
            </w:pPr>
          </w:p>
        </w:tc>
        <w:tc>
          <w:tcPr>
            <w:tcW w:w="1059" w:type="dxa"/>
            <w:tcBorders>
              <w:top w:val="nil"/>
              <w:left w:val="nil"/>
              <w:bottom w:val="nil"/>
              <w:right w:val="nil"/>
            </w:tcBorders>
            <w:shd w:val="clear" w:color="auto" w:fill="auto"/>
            <w:noWrap/>
            <w:vAlign w:val="center"/>
          </w:tcPr>
          <w:p w14:paraId="011CA46B" w14:textId="77777777" w:rsidR="00AF1017" w:rsidRPr="00C510E0" w:rsidRDefault="00AF1017" w:rsidP="00AF1017">
            <w:pPr>
              <w:spacing w:before="0" w:after="0"/>
              <w:jc w:val="right"/>
              <w:rPr>
                <w:rFonts w:ascii="Times New Roman" w:hAnsi="Times New Roman" w:cs="Times New Roman"/>
                <w:szCs w:val="20"/>
                <w:highlight w:val="yellow"/>
                <w:lang w:val="en-AU"/>
              </w:rPr>
            </w:pPr>
          </w:p>
        </w:tc>
        <w:tc>
          <w:tcPr>
            <w:tcW w:w="1059" w:type="dxa"/>
            <w:tcBorders>
              <w:top w:val="nil"/>
              <w:left w:val="nil"/>
              <w:bottom w:val="nil"/>
              <w:right w:val="nil"/>
            </w:tcBorders>
            <w:shd w:val="clear" w:color="auto" w:fill="auto"/>
            <w:noWrap/>
            <w:vAlign w:val="center"/>
          </w:tcPr>
          <w:p w14:paraId="42DC57D7" w14:textId="77777777" w:rsidR="00AF1017" w:rsidRPr="00C510E0" w:rsidRDefault="00AF1017" w:rsidP="00AF1017">
            <w:pPr>
              <w:spacing w:before="0" w:after="0"/>
              <w:jc w:val="right"/>
              <w:rPr>
                <w:rFonts w:ascii="Times New Roman" w:hAnsi="Times New Roman" w:cs="Times New Roman"/>
                <w:szCs w:val="20"/>
                <w:highlight w:val="yellow"/>
                <w:lang w:val="en-AU"/>
              </w:rPr>
            </w:pPr>
          </w:p>
        </w:tc>
        <w:tc>
          <w:tcPr>
            <w:tcW w:w="1061" w:type="dxa"/>
            <w:tcBorders>
              <w:top w:val="nil"/>
              <w:left w:val="nil"/>
              <w:bottom w:val="nil"/>
              <w:right w:val="nil"/>
            </w:tcBorders>
            <w:shd w:val="clear" w:color="auto" w:fill="auto"/>
            <w:noWrap/>
            <w:vAlign w:val="center"/>
          </w:tcPr>
          <w:p w14:paraId="1A22AB13" w14:textId="77777777" w:rsidR="00AF1017" w:rsidRPr="00C510E0" w:rsidRDefault="00AF1017" w:rsidP="00AF1017">
            <w:pPr>
              <w:spacing w:before="0" w:after="0"/>
              <w:jc w:val="right"/>
              <w:rPr>
                <w:rFonts w:ascii="Times New Roman" w:hAnsi="Times New Roman" w:cs="Times New Roman"/>
                <w:szCs w:val="20"/>
                <w:highlight w:val="yellow"/>
                <w:lang w:val="en-AU"/>
              </w:rPr>
            </w:pPr>
          </w:p>
        </w:tc>
      </w:tr>
      <w:tr w:rsidR="00CF037A" w:rsidRPr="00C510E0" w14:paraId="0933A0EA" w14:textId="77777777" w:rsidTr="002A5A4F">
        <w:trPr>
          <w:trHeight w:val="228"/>
        </w:trPr>
        <w:tc>
          <w:tcPr>
            <w:tcW w:w="3178" w:type="dxa"/>
            <w:tcBorders>
              <w:top w:val="nil"/>
              <w:left w:val="nil"/>
              <w:bottom w:val="nil"/>
              <w:right w:val="nil"/>
            </w:tcBorders>
            <w:shd w:val="clear" w:color="auto" w:fill="auto"/>
            <w:noWrap/>
            <w:vAlign w:val="center"/>
            <w:hideMark/>
          </w:tcPr>
          <w:p w14:paraId="742275D3" w14:textId="77777777" w:rsidR="00CF037A" w:rsidRPr="002B2BCC" w:rsidRDefault="00CF037A" w:rsidP="00CF037A">
            <w:pPr>
              <w:spacing w:before="0" w:after="0"/>
              <w:ind w:firstLineChars="200" w:firstLine="320"/>
              <w:rPr>
                <w:rFonts w:ascii="Arial" w:hAnsi="Arial"/>
                <w:color w:val="000000"/>
                <w:sz w:val="16"/>
                <w:szCs w:val="16"/>
                <w:lang w:val="en-AU"/>
              </w:rPr>
            </w:pPr>
            <w:r w:rsidRPr="002B2BCC">
              <w:rPr>
                <w:rFonts w:ascii="Arial" w:hAnsi="Arial"/>
                <w:color w:val="000000"/>
                <w:sz w:val="16"/>
                <w:szCs w:val="16"/>
                <w:lang w:val="en-AU"/>
              </w:rPr>
              <w:t>Contributed equity</w:t>
            </w:r>
          </w:p>
        </w:tc>
        <w:tc>
          <w:tcPr>
            <w:tcW w:w="981" w:type="dxa"/>
            <w:tcBorders>
              <w:top w:val="nil"/>
              <w:left w:val="nil"/>
              <w:bottom w:val="nil"/>
              <w:right w:val="nil"/>
            </w:tcBorders>
            <w:shd w:val="clear" w:color="auto" w:fill="auto"/>
            <w:noWrap/>
            <w:vAlign w:val="center"/>
          </w:tcPr>
          <w:p w14:paraId="690F2087" w14:textId="539D35FB" w:rsidR="00CF037A" w:rsidRPr="00C510E0" w:rsidRDefault="00CF037A" w:rsidP="00CF037A">
            <w:pPr>
              <w:spacing w:before="0" w:after="0"/>
              <w:jc w:val="right"/>
              <w:rPr>
                <w:rFonts w:ascii="Arial" w:hAnsi="Arial"/>
                <w:b/>
                <w:bCs/>
                <w:color w:val="000000"/>
                <w:sz w:val="16"/>
                <w:szCs w:val="16"/>
                <w:highlight w:val="yellow"/>
                <w:lang w:val="en-AU"/>
              </w:rPr>
            </w:pPr>
            <w:r w:rsidRPr="008D56D3">
              <w:rPr>
                <w:rFonts w:ascii="Arial" w:hAnsi="Arial"/>
                <w:color w:val="000000"/>
                <w:sz w:val="16"/>
                <w:szCs w:val="16"/>
                <w:lang w:val="en-AU"/>
              </w:rPr>
              <w:t>396,148</w:t>
            </w:r>
          </w:p>
        </w:tc>
        <w:tc>
          <w:tcPr>
            <w:tcW w:w="1060" w:type="dxa"/>
            <w:tcBorders>
              <w:top w:val="nil"/>
              <w:left w:val="nil"/>
              <w:bottom w:val="nil"/>
              <w:right w:val="nil"/>
            </w:tcBorders>
            <w:shd w:val="clear" w:color="auto" w:fill="E6E6E6"/>
            <w:noWrap/>
            <w:vAlign w:val="center"/>
          </w:tcPr>
          <w:p w14:paraId="045FC512" w14:textId="3BA52F77" w:rsidR="00CF037A" w:rsidRPr="00C510E0" w:rsidRDefault="00CF037A" w:rsidP="00CF037A">
            <w:pPr>
              <w:spacing w:before="0" w:after="0"/>
              <w:jc w:val="right"/>
              <w:rPr>
                <w:rFonts w:ascii="Arial" w:hAnsi="Arial"/>
                <w:color w:val="000000"/>
                <w:sz w:val="16"/>
                <w:szCs w:val="16"/>
                <w:highlight w:val="yellow"/>
                <w:lang w:val="en-AU"/>
              </w:rPr>
            </w:pPr>
            <w:r w:rsidRPr="008D56D3">
              <w:rPr>
                <w:rFonts w:ascii="Arial" w:hAnsi="Arial"/>
                <w:color w:val="000000"/>
                <w:sz w:val="16"/>
                <w:szCs w:val="16"/>
                <w:lang w:val="en-AU"/>
              </w:rPr>
              <w:t>396,148</w:t>
            </w:r>
          </w:p>
        </w:tc>
        <w:tc>
          <w:tcPr>
            <w:tcW w:w="1059" w:type="dxa"/>
            <w:tcBorders>
              <w:top w:val="nil"/>
              <w:left w:val="nil"/>
              <w:bottom w:val="nil"/>
              <w:right w:val="nil"/>
            </w:tcBorders>
            <w:shd w:val="clear" w:color="auto" w:fill="auto"/>
            <w:noWrap/>
            <w:vAlign w:val="center"/>
          </w:tcPr>
          <w:p w14:paraId="6917F7D6" w14:textId="5AA87453" w:rsidR="00CF037A" w:rsidRPr="000C42FD" w:rsidRDefault="00CF037A" w:rsidP="00CF037A">
            <w:pPr>
              <w:spacing w:before="0" w:after="0"/>
              <w:jc w:val="right"/>
              <w:rPr>
                <w:rFonts w:ascii="Times New Roman" w:hAnsi="Times New Roman" w:cs="Times New Roman"/>
                <w:szCs w:val="20"/>
                <w:lang w:val="en-AU"/>
              </w:rPr>
            </w:pPr>
            <w:r w:rsidRPr="008D56D3">
              <w:rPr>
                <w:rFonts w:ascii="Arial" w:hAnsi="Arial"/>
                <w:color w:val="000000"/>
                <w:sz w:val="16"/>
                <w:szCs w:val="16"/>
                <w:lang w:val="en-AU"/>
              </w:rPr>
              <w:t>396,148</w:t>
            </w:r>
          </w:p>
        </w:tc>
        <w:tc>
          <w:tcPr>
            <w:tcW w:w="1059" w:type="dxa"/>
            <w:tcBorders>
              <w:top w:val="nil"/>
              <w:left w:val="nil"/>
              <w:bottom w:val="nil"/>
              <w:right w:val="nil"/>
            </w:tcBorders>
            <w:shd w:val="clear" w:color="auto" w:fill="auto"/>
            <w:noWrap/>
            <w:vAlign w:val="center"/>
          </w:tcPr>
          <w:p w14:paraId="578BC4B4" w14:textId="4E2D8347" w:rsidR="00CF037A" w:rsidRPr="000C42FD" w:rsidRDefault="00CF037A" w:rsidP="00CF037A">
            <w:pPr>
              <w:spacing w:before="0" w:after="0"/>
              <w:jc w:val="right"/>
              <w:rPr>
                <w:rFonts w:ascii="Times New Roman" w:hAnsi="Times New Roman" w:cs="Times New Roman"/>
                <w:szCs w:val="20"/>
                <w:lang w:val="en-AU"/>
              </w:rPr>
            </w:pPr>
            <w:r w:rsidRPr="008D56D3">
              <w:rPr>
                <w:rFonts w:ascii="Arial" w:hAnsi="Arial"/>
                <w:color w:val="000000"/>
                <w:sz w:val="16"/>
                <w:szCs w:val="16"/>
                <w:lang w:val="en-AU"/>
              </w:rPr>
              <w:t>396,148</w:t>
            </w:r>
          </w:p>
        </w:tc>
        <w:tc>
          <w:tcPr>
            <w:tcW w:w="1061" w:type="dxa"/>
            <w:tcBorders>
              <w:top w:val="nil"/>
              <w:left w:val="nil"/>
              <w:bottom w:val="nil"/>
              <w:right w:val="nil"/>
            </w:tcBorders>
            <w:shd w:val="clear" w:color="auto" w:fill="auto"/>
            <w:noWrap/>
            <w:vAlign w:val="center"/>
          </w:tcPr>
          <w:p w14:paraId="2805FFD0" w14:textId="299426AB" w:rsidR="00CF037A" w:rsidRPr="00C510E0" w:rsidRDefault="00CF037A" w:rsidP="00CF037A">
            <w:pPr>
              <w:spacing w:before="0" w:after="0"/>
              <w:jc w:val="right"/>
              <w:rPr>
                <w:rFonts w:ascii="Times New Roman" w:hAnsi="Times New Roman" w:cs="Times New Roman"/>
                <w:szCs w:val="20"/>
                <w:highlight w:val="yellow"/>
                <w:lang w:val="en-AU"/>
              </w:rPr>
            </w:pPr>
            <w:r w:rsidRPr="008D56D3">
              <w:rPr>
                <w:rFonts w:ascii="Arial" w:hAnsi="Arial"/>
                <w:color w:val="000000"/>
                <w:sz w:val="16"/>
                <w:szCs w:val="16"/>
                <w:lang w:val="en-AU"/>
              </w:rPr>
              <w:t>396,148</w:t>
            </w:r>
          </w:p>
        </w:tc>
      </w:tr>
      <w:tr w:rsidR="00CF037A" w:rsidRPr="00C510E0" w14:paraId="6C853A8B" w14:textId="77777777" w:rsidTr="002A5A4F">
        <w:trPr>
          <w:trHeight w:val="228"/>
        </w:trPr>
        <w:tc>
          <w:tcPr>
            <w:tcW w:w="3178" w:type="dxa"/>
            <w:tcBorders>
              <w:top w:val="nil"/>
              <w:left w:val="nil"/>
              <w:bottom w:val="nil"/>
              <w:right w:val="nil"/>
            </w:tcBorders>
            <w:shd w:val="clear" w:color="auto" w:fill="auto"/>
            <w:noWrap/>
            <w:vAlign w:val="center"/>
            <w:hideMark/>
          </w:tcPr>
          <w:p w14:paraId="1CB0D606" w14:textId="77777777" w:rsidR="00CF037A" w:rsidRPr="002B2BCC" w:rsidRDefault="00CF037A" w:rsidP="00CF037A">
            <w:pPr>
              <w:spacing w:before="0" w:after="0"/>
              <w:ind w:firstLineChars="200" w:firstLine="320"/>
              <w:rPr>
                <w:rFonts w:ascii="Arial" w:hAnsi="Arial"/>
                <w:color w:val="000000"/>
                <w:sz w:val="16"/>
                <w:szCs w:val="16"/>
                <w:lang w:val="en-AU"/>
              </w:rPr>
            </w:pPr>
            <w:r w:rsidRPr="002B2BCC">
              <w:rPr>
                <w:rFonts w:ascii="Arial" w:hAnsi="Arial"/>
                <w:color w:val="000000"/>
                <w:sz w:val="16"/>
                <w:szCs w:val="16"/>
                <w:lang w:val="en-AU"/>
              </w:rPr>
              <w:t>Reserves</w:t>
            </w:r>
          </w:p>
        </w:tc>
        <w:tc>
          <w:tcPr>
            <w:tcW w:w="981" w:type="dxa"/>
            <w:tcBorders>
              <w:top w:val="nil"/>
              <w:left w:val="nil"/>
              <w:bottom w:val="nil"/>
              <w:right w:val="nil"/>
            </w:tcBorders>
            <w:shd w:val="clear" w:color="auto" w:fill="auto"/>
            <w:noWrap/>
            <w:vAlign w:val="center"/>
          </w:tcPr>
          <w:p w14:paraId="470F73AE" w14:textId="0C8D2509" w:rsidR="00CF037A" w:rsidRPr="00C510E0" w:rsidRDefault="00CF037A" w:rsidP="00CF037A">
            <w:pPr>
              <w:spacing w:before="0" w:after="0"/>
              <w:jc w:val="right"/>
              <w:rPr>
                <w:rFonts w:ascii="Arial" w:hAnsi="Arial"/>
                <w:color w:val="000000"/>
                <w:sz w:val="16"/>
                <w:szCs w:val="16"/>
                <w:highlight w:val="yellow"/>
                <w:lang w:val="en-AU"/>
              </w:rPr>
            </w:pPr>
            <w:r w:rsidRPr="008D56D3">
              <w:rPr>
                <w:rFonts w:ascii="Arial" w:hAnsi="Arial"/>
                <w:color w:val="000000"/>
                <w:sz w:val="16"/>
                <w:szCs w:val="16"/>
                <w:lang w:val="en-AU"/>
              </w:rPr>
              <w:t>3,259,535</w:t>
            </w:r>
          </w:p>
        </w:tc>
        <w:tc>
          <w:tcPr>
            <w:tcW w:w="1060" w:type="dxa"/>
            <w:tcBorders>
              <w:top w:val="nil"/>
              <w:left w:val="nil"/>
              <w:bottom w:val="nil"/>
              <w:right w:val="nil"/>
            </w:tcBorders>
            <w:shd w:val="clear" w:color="auto" w:fill="E6E6E6"/>
            <w:noWrap/>
            <w:vAlign w:val="center"/>
          </w:tcPr>
          <w:p w14:paraId="36D5A956" w14:textId="2FDE322C" w:rsidR="00CF037A" w:rsidRPr="00C510E0" w:rsidRDefault="00CF037A" w:rsidP="00CF037A">
            <w:pPr>
              <w:spacing w:before="0" w:after="0"/>
              <w:jc w:val="right"/>
              <w:rPr>
                <w:rFonts w:ascii="Arial" w:hAnsi="Arial"/>
                <w:color w:val="000000"/>
                <w:sz w:val="16"/>
                <w:szCs w:val="16"/>
                <w:highlight w:val="yellow"/>
                <w:lang w:val="en-AU"/>
              </w:rPr>
            </w:pPr>
            <w:r w:rsidRPr="008D56D3">
              <w:rPr>
                <w:rFonts w:ascii="Arial" w:hAnsi="Arial"/>
                <w:color w:val="000000"/>
                <w:sz w:val="16"/>
                <w:szCs w:val="16"/>
                <w:lang w:val="en-AU"/>
              </w:rPr>
              <w:t>3,387,749</w:t>
            </w:r>
          </w:p>
        </w:tc>
        <w:tc>
          <w:tcPr>
            <w:tcW w:w="1059" w:type="dxa"/>
            <w:tcBorders>
              <w:top w:val="nil"/>
              <w:left w:val="nil"/>
              <w:bottom w:val="nil"/>
              <w:right w:val="nil"/>
            </w:tcBorders>
            <w:shd w:val="clear" w:color="auto" w:fill="auto"/>
            <w:noWrap/>
            <w:vAlign w:val="center"/>
          </w:tcPr>
          <w:p w14:paraId="3DCE1AE3" w14:textId="3F2304B3" w:rsidR="00CF037A" w:rsidRPr="000C42FD" w:rsidRDefault="00CF037A" w:rsidP="00CF037A">
            <w:pPr>
              <w:spacing w:before="0" w:after="0"/>
              <w:jc w:val="right"/>
              <w:rPr>
                <w:rFonts w:ascii="Arial" w:hAnsi="Arial"/>
                <w:color w:val="000000"/>
                <w:sz w:val="16"/>
                <w:szCs w:val="16"/>
                <w:lang w:val="en-AU"/>
              </w:rPr>
            </w:pPr>
            <w:r w:rsidRPr="008D56D3">
              <w:rPr>
                <w:rFonts w:ascii="Arial" w:hAnsi="Arial"/>
                <w:color w:val="000000"/>
                <w:sz w:val="16"/>
                <w:szCs w:val="16"/>
                <w:lang w:val="en-AU"/>
              </w:rPr>
              <w:t>3,524,494</w:t>
            </w:r>
          </w:p>
        </w:tc>
        <w:tc>
          <w:tcPr>
            <w:tcW w:w="1059" w:type="dxa"/>
            <w:tcBorders>
              <w:top w:val="nil"/>
              <w:left w:val="nil"/>
              <w:bottom w:val="nil"/>
              <w:right w:val="nil"/>
            </w:tcBorders>
            <w:shd w:val="clear" w:color="auto" w:fill="auto"/>
            <w:noWrap/>
            <w:vAlign w:val="center"/>
          </w:tcPr>
          <w:p w14:paraId="26EA5DB8" w14:textId="44C573FE" w:rsidR="00CF037A" w:rsidRPr="000C42FD" w:rsidRDefault="00CF037A" w:rsidP="00CF037A">
            <w:pPr>
              <w:spacing w:before="0" w:after="0"/>
              <w:jc w:val="right"/>
              <w:rPr>
                <w:rFonts w:ascii="Arial" w:hAnsi="Arial"/>
                <w:color w:val="000000"/>
                <w:sz w:val="16"/>
                <w:szCs w:val="16"/>
                <w:lang w:val="en-AU"/>
              </w:rPr>
            </w:pPr>
            <w:r w:rsidRPr="008D56D3">
              <w:rPr>
                <w:rFonts w:ascii="Arial" w:hAnsi="Arial"/>
                <w:color w:val="000000"/>
                <w:sz w:val="16"/>
                <w:szCs w:val="16"/>
                <w:lang w:val="en-AU"/>
              </w:rPr>
              <w:t>3,669,921</w:t>
            </w:r>
          </w:p>
        </w:tc>
        <w:tc>
          <w:tcPr>
            <w:tcW w:w="1061" w:type="dxa"/>
            <w:tcBorders>
              <w:top w:val="nil"/>
              <w:left w:val="nil"/>
              <w:bottom w:val="nil"/>
              <w:right w:val="nil"/>
            </w:tcBorders>
            <w:shd w:val="clear" w:color="auto" w:fill="auto"/>
            <w:noWrap/>
            <w:vAlign w:val="center"/>
          </w:tcPr>
          <w:p w14:paraId="081A1ADD" w14:textId="1D8AF397" w:rsidR="00CF037A" w:rsidRPr="00C510E0" w:rsidRDefault="00CF037A" w:rsidP="00CF037A">
            <w:pPr>
              <w:spacing w:before="0" w:after="0"/>
              <w:jc w:val="right"/>
              <w:rPr>
                <w:rFonts w:ascii="Arial" w:hAnsi="Arial"/>
                <w:color w:val="000000"/>
                <w:sz w:val="16"/>
                <w:szCs w:val="16"/>
                <w:highlight w:val="yellow"/>
                <w:lang w:val="en-AU"/>
              </w:rPr>
            </w:pPr>
            <w:r w:rsidRPr="008D56D3">
              <w:rPr>
                <w:rFonts w:ascii="Arial" w:hAnsi="Arial"/>
                <w:color w:val="000000"/>
                <w:sz w:val="16"/>
                <w:szCs w:val="16"/>
                <w:lang w:val="en-AU"/>
              </w:rPr>
              <w:t>3,824,449</w:t>
            </w:r>
          </w:p>
        </w:tc>
      </w:tr>
      <w:tr w:rsidR="00CF037A" w:rsidRPr="00C510E0" w14:paraId="236C80A9" w14:textId="77777777" w:rsidTr="002A5A4F">
        <w:trPr>
          <w:trHeight w:val="456"/>
        </w:trPr>
        <w:tc>
          <w:tcPr>
            <w:tcW w:w="3178" w:type="dxa"/>
            <w:tcBorders>
              <w:top w:val="nil"/>
              <w:left w:val="nil"/>
              <w:bottom w:val="nil"/>
              <w:right w:val="nil"/>
            </w:tcBorders>
            <w:shd w:val="clear" w:color="auto" w:fill="auto"/>
            <w:vAlign w:val="center"/>
            <w:hideMark/>
          </w:tcPr>
          <w:p w14:paraId="4E23D16B" w14:textId="77777777" w:rsidR="00CF037A" w:rsidRPr="002B2BCC" w:rsidRDefault="00CF037A" w:rsidP="00CF037A">
            <w:pPr>
              <w:spacing w:before="0" w:after="0"/>
              <w:ind w:firstLineChars="200" w:firstLine="320"/>
              <w:rPr>
                <w:rFonts w:ascii="Arial" w:hAnsi="Arial"/>
                <w:color w:val="000000"/>
                <w:sz w:val="16"/>
                <w:szCs w:val="16"/>
                <w:lang w:val="en-AU"/>
              </w:rPr>
            </w:pPr>
            <w:r w:rsidRPr="002B2BCC">
              <w:rPr>
                <w:rFonts w:ascii="Arial" w:hAnsi="Arial"/>
                <w:color w:val="000000"/>
                <w:sz w:val="16"/>
                <w:szCs w:val="16"/>
                <w:lang w:val="en-AU"/>
              </w:rPr>
              <w:t xml:space="preserve">Retained surplus / (accumulated </w:t>
            </w:r>
            <w:r w:rsidRPr="002B2BCC">
              <w:rPr>
                <w:rFonts w:ascii="Arial" w:hAnsi="Arial"/>
                <w:color w:val="000000"/>
                <w:sz w:val="16"/>
                <w:szCs w:val="16"/>
                <w:lang w:val="en-AU"/>
              </w:rPr>
              <w:br/>
              <w:t xml:space="preserve">       deficit)</w:t>
            </w:r>
          </w:p>
        </w:tc>
        <w:tc>
          <w:tcPr>
            <w:tcW w:w="981" w:type="dxa"/>
            <w:tcBorders>
              <w:top w:val="nil"/>
              <w:left w:val="nil"/>
              <w:bottom w:val="nil"/>
              <w:right w:val="nil"/>
            </w:tcBorders>
            <w:shd w:val="clear" w:color="auto" w:fill="auto"/>
            <w:noWrap/>
            <w:vAlign w:val="center"/>
          </w:tcPr>
          <w:p w14:paraId="4F25D781" w14:textId="49CA1ED8" w:rsidR="00CF037A" w:rsidRPr="00C510E0" w:rsidRDefault="00CF037A" w:rsidP="00CF037A">
            <w:pPr>
              <w:spacing w:before="0" w:after="0"/>
              <w:jc w:val="right"/>
              <w:rPr>
                <w:rFonts w:ascii="Arial" w:hAnsi="Arial"/>
                <w:color w:val="000000"/>
                <w:sz w:val="16"/>
                <w:szCs w:val="16"/>
                <w:highlight w:val="yellow"/>
                <w:lang w:val="en-AU"/>
              </w:rPr>
            </w:pPr>
            <w:r w:rsidRPr="008D56D3">
              <w:rPr>
                <w:rFonts w:ascii="Arial" w:hAnsi="Arial"/>
                <w:color w:val="000000"/>
                <w:sz w:val="16"/>
                <w:szCs w:val="16"/>
                <w:lang w:val="en-AU"/>
              </w:rPr>
              <w:t>135,540</w:t>
            </w:r>
          </w:p>
        </w:tc>
        <w:tc>
          <w:tcPr>
            <w:tcW w:w="1060" w:type="dxa"/>
            <w:tcBorders>
              <w:top w:val="nil"/>
              <w:left w:val="nil"/>
              <w:bottom w:val="nil"/>
              <w:right w:val="nil"/>
            </w:tcBorders>
            <w:shd w:val="clear" w:color="auto" w:fill="E6E6E6"/>
            <w:noWrap/>
            <w:vAlign w:val="center"/>
          </w:tcPr>
          <w:p w14:paraId="79C93D56" w14:textId="3B098A3C" w:rsidR="00CF037A" w:rsidRPr="00C510E0" w:rsidRDefault="00CF037A" w:rsidP="00CF037A">
            <w:pPr>
              <w:spacing w:before="0" w:after="0"/>
              <w:jc w:val="right"/>
              <w:rPr>
                <w:rFonts w:ascii="Arial" w:hAnsi="Arial"/>
                <w:color w:val="000000"/>
                <w:sz w:val="16"/>
                <w:szCs w:val="16"/>
                <w:highlight w:val="yellow"/>
                <w:lang w:val="en-AU"/>
              </w:rPr>
            </w:pPr>
            <w:r w:rsidRPr="008D56D3">
              <w:rPr>
                <w:rFonts w:ascii="Arial" w:hAnsi="Arial"/>
                <w:color w:val="000000"/>
                <w:sz w:val="16"/>
                <w:szCs w:val="16"/>
                <w:lang w:val="en-AU"/>
              </w:rPr>
              <w:t>213,714</w:t>
            </w:r>
          </w:p>
        </w:tc>
        <w:tc>
          <w:tcPr>
            <w:tcW w:w="1059" w:type="dxa"/>
            <w:tcBorders>
              <w:top w:val="nil"/>
              <w:left w:val="nil"/>
              <w:bottom w:val="nil"/>
              <w:right w:val="nil"/>
            </w:tcBorders>
            <w:shd w:val="clear" w:color="auto" w:fill="auto"/>
            <w:noWrap/>
            <w:vAlign w:val="center"/>
          </w:tcPr>
          <w:p w14:paraId="38430567" w14:textId="08C891A3" w:rsidR="00CF037A" w:rsidRPr="000C42FD" w:rsidRDefault="00CF037A" w:rsidP="00CF037A">
            <w:pPr>
              <w:spacing w:before="0" w:after="0"/>
              <w:jc w:val="right"/>
              <w:rPr>
                <w:rFonts w:ascii="Arial" w:hAnsi="Arial"/>
                <w:color w:val="000000"/>
                <w:sz w:val="16"/>
                <w:szCs w:val="16"/>
                <w:lang w:val="en-AU"/>
              </w:rPr>
            </w:pPr>
            <w:r w:rsidRPr="008D56D3">
              <w:rPr>
                <w:rFonts w:ascii="Arial" w:hAnsi="Arial"/>
                <w:color w:val="000000"/>
                <w:sz w:val="16"/>
                <w:szCs w:val="16"/>
                <w:lang w:val="en-AU"/>
              </w:rPr>
              <w:t>285,085</w:t>
            </w:r>
          </w:p>
        </w:tc>
        <w:tc>
          <w:tcPr>
            <w:tcW w:w="1059" w:type="dxa"/>
            <w:tcBorders>
              <w:top w:val="nil"/>
              <w:left w:val="nil"/>
              <w:bottom w:val="nil"/>
              <w:right w:val="nil"/>
            </w:tcBorders>
            <w:shd w:val="clear" w:color="auto" w:fill="auto"/>
            <w:noWrap/>
            <w:vAlign w:val="center"/>
          </w:tcPr>
          <w:p w14:paraId="7E330F50" w14:textId="202A6526" w:rsidR="00CF037A" w:rsidRPr="000C42FD" w:rsidRDefault="00CF037A" w:rsidP="00CF037A">
            <w:pPr>
              <w:spacing w:before="0" w:after="0"/>
              <w:jc w:val="right"/>
              <w:rPr>
                <w:rFonts w:ascii="Arial" w:hAnsi="Arial"/>
                <w:color w:val="000000"/>
                <w:sz w:val="16"/>
                <w:szCs w:val="16"/>
                <w:lang w:val="en-AU"/>
              </w:rPr>
            </w:pPr>
            <w:r w:rsidRPr="008D56D3">
              <w:rPr>
                <w:rFonts w:ascii="Arial" w:hAnsi="Arial"/>
                <w:color w:val="000000"/>
                <w:sz w:val="16"/>
                <w:szCs w:val="16"/>
                <w:lang w:val="en-AU"/>
              </w:rPr>
              <w:t>362,642</w:t>
            </w:r>
          </w:p>
        </w:tc>
        <w:tc>
          <w:tcPr>
            <w:tcW w:w="1061" w:type="dxa"/>
            <w:tcBorders>
              <w:top w:val="nil"/>
              <w:left w:val="nil"/>
              <w:bottom w:val="nil"/>
              <w:right w:val="nil"/>
            </w:tcBorders>
            <w:shd w:val="clear" w:color="auto" w:fill="auto"/>
            <w:noWrap/>
            <w:vAlign w:val="center"/>
          </w:tcPr>
          <w:p w14:paraId="07DF7A89" w14:textId="18E8A86E" w:rsidR="00CF037A" w:rsidRPr="00C510E0" w:rsidRDefault="00CF037A" w:rsidP="00CF037A">
            <w:pPr>
              <w:spacing w:before="0" w:after="0"/>
              <w:jc w:val="right"/>
              <w:rPr>
                <w:rFonts w:ascii="Arial" w:hAnsi="Arial"/>
                <w:color w:val="000000"/>
                <w:sz w:val="16"/>
                <w:szCs w:val="16"/>
                <w:highlight w:val="yellow"/>
                <w:lang w:val="en-AU"/>
              </w:rPr>
            </w:pPr>
            <w:r w:rsidRPr="008D56D3">
              <w:rPr>
                <w:rFonts w:ascii="Arial" w:hAnsi="Arial"/>
                <w:color w:val="000000"/>
                <w:sz w:val="16"/>
                <w:szCs w:val="16"/>
                <w:lang w:val="en-AU"/>
              </w:rPr>
              <w:t>377,995</w:t>
            </w:r>
          </w:p>
        </w:tc>
      </w:tr>
      <w:tr w:rsidR="00CF037A" w:rsidRPr="00C510E0" w14:paraId="35A4B97E" w14:textId="77777777" w:rsidTr="002A5A4F">
        <w:trPr>
          <w:trHeight w:val="232"/>
        </w:trPr>
        <w:tc>
          <w:tcPr>
            <w:tcW w:w="3178" w:type="dxa"/>
            <w:tcBorders>
              <w:top w:val="nil"/>
              <w:left w:val="nil"/>
              <w:bottom w:val="nil"/>
              <w:right w:val="nil"/>
            </w:tcBorders>
            <w:shd w:val="clear" w:color="auto" w:fill="auto"/>
            <w:noWrap/>
            <w:vAlign w:val="center"/>
            <w:hideMark/>
          </w:tcPr>
          <w:p w14:paraId="1490914A" w14:textId="77777777" w:rsidR="00CF037A" w:rsidRPr="002B2BCC" w:rsidRDefault="00CF037A" w:rsidP="00CF037A">
            <w:pPr>
              <w:spacing w:before="0" w:after="0"/>
              <w:ind w:firstLineChars="100" w:firstLine="160"/>
              <w:rPr>
                <w:rFonts w:ascii="Arial" w:hAnsi="Arial"/>
                <w:b/>
                <w:bCs/>
                <w:i/>
                <w:iCs/>
                <w:color w:val="000000"/>
                <w:sz w:val="16"/>
                <w:szCs w:val="16"/>
                <w:lang w:val="en-AU"/>
              </w:rPr>
            </w:pPr>
            <w:r w:rsidRPr="002B2BCC">
              <w:rPr>
                <w:rFonts w:ascii="Arial" w:hAnsi="Arial"/>
                <w:b/>
                <w:bCs/>
                <w:i/>
                <w:iCs/>
                <w:color w:val="000000"/>
                <w:sz w:val="16"/>
                <w:szCs w:val="16"/>
                <w:lang w:val="en-AU"/>
              </w:rPr>
              <w:t>Total parent entity interest</w:t>
            </w:r>
          </w:p>
        </w:tc>
        <w:tc>
          <w:tcPr>
            <w:tcW w:w="981" w:type="dxa"/>
            <w:tcBorders>
              <w:top w:val="single" w:sz="4" w:space="0" w:color="000000"/>
              <w:left w:val="nil"/>
              <w:bottom w:val="single" w:sz="4" w:space="0" w:color="000000"/>
              <w:right w:val="nil"/>
            </w:tcBorders>
            <w:shd w:val="clear" w:color="auto" w:fill="auto"/>
            <w:noWrap/>
            <w:vAlign w:val="center"/>
          </w:tcPr>
          <w:p w14:paraId="092278B6" w14:textId="13696E34" w:rsidR="00CF037A" w:rsidRPr="00C510E0" w:rsidRDefault="00CF037A" w:rsidP="00DC59EB">
            <w:pPr>
              <w:spacing w:before="0" w:after="0"/>
              <w:jc w:val="right"/>
              <w:rPr>
                <w:rFonts w:ascii="Arial" w:hAnsi="Arial"/>
                <w:color w:val="000000"/>
                <w:sz w:val="16"/>
                <w:szCs w:val="16"/>
                <w:highlight w:val="yellow"/>
                <w:lang w:val="en-AU"/>
              </w:rPr>
            </w:pPr>
            <w:r w:rsidRPr="008D56D3">
              <w:rPr>
                <w:rFonts w:ascii="Arial" w:hAnsi="Arial"/>
                <w:b/>
                <w:bCs/>
                <w:i/>
                <w:iCs/>
                <w:color w:val="000000"/>
                <w:sz w:val="16"/>
                <w:szCs w:val="16"/>
                <w:lang w:val="en-AU"/>
              </w:rPr>
              <w:t>3,791,223</w:t>
            </w:r>
          </w:p>
        </w:tc>
        <w:tc>
          <w:tcPr>
            <w:tcW w:w="1060" w:type="dxa"/>
            <w:tcBorders>
              <w:top w:val="single" w:sz="4" w:space="0" w:color="000000"/>
              <w:left w:val="nil"/>
              <w:bottom w:val="single" w:sz="4" w:space="0" w:color="000000"/>
              <w:right w:val="nil"/>
            </w:tcBorders>
            <w:shd w:val="clear" w:color="auto" w:fill="E6E6E6"/>
            <w:noWrap/>
            <w:vAlign w:val="center"/>
          </w:tcPr>
          <w:p w14:paraId="0A7D93C5" w14:textId="0C03E013" w:rsidR="00CF037A" w:rsidRPr="00C510E0" w:rsidRDefault="00CF037A" w:rsidP="00DC59EB">
            <w:pPr>
              <w:spacing w:before="0" w:after="0"/>
              <w:jc w:val="right"/>
              <w:rPr>
                <w:rFonts w:ascii="Arial" w:hAnsi="Arial"/>
                <w:color w:val="000000"/>
                <w:sz w:val="16"/>
                <w:szCs w:val="16"/>
                <w:highlight w:val="yellow"/>
                <w:lang w:val="en-AU"/>
              </w:rPr>
            </w:pPr>
            <w:r w:rsidRPr="008D56D3">
              <w:rPr>
                <w:rFonts w:ascii="Arial" w:hAnsi="Arial"/>
                <w:b/>
                <w:bCs/>
                <w:i/>
                <w:iCs/>
                <w:color w:val="000000"/>
                <w:sz w:val="16"/>
                <w:szCs w:val="16"/>
                <w:lang w:val="en-AU"/>
              </w:rPr>
              <w:t>3,997,611</w:t>
            </w:r>
          </w:p>
        </w:tc>
        <w:tc>
          <w:tcPr>
            <w:tcW w:w="1059" w:type="dxa"/>
            <w:tcBorders>
              <w:top w:val="single" w:sz="4" w:space="0" w:color="000000"/>
              <w:left w:val="nil"/>
              <w:bottom w:val="single" w:sz="4" w:space="0" w:color="000000"/>
              <w:right w:val="nil"/>
            </w:tcBorders>
            <w:shd w:val="clear" w:color="auto" w:fill="auto"/>
            <w:noWrap/>
            <w:vAlign w:val="center"/>
          </w:tcPr>
          <w:p w14:paraId="0E9AA225" w14:textId="6F607356" w:rsidR="00CF037A" w:rsidRPr="000C42FD" w:rsidRDefault="00CF037A" w:rsidP="00DC59EB">
            <w:pPr>
              <w:spacing w:before="0" w:after="0"/>
              <w:jc w:val="right"/>
              <w:rPr>
                <w:rFonts w:ascii="Arial" w:hAnsi="Arial"/>
                <w:color w:val="000000"/>
                <w:sz w:val="16"/>
                <w:szCs w:val="16"/>
                <w:lang w:val="en-AU"/>
              </w:rPr>
            </w:pPr>
            <w:r w:rsidRPr="008D56D3">
              <w:rPr>
                <w:rFonts w:ascii="Arial" w:hAnsi="Arial"/>
                <w:b/>
                <w:bCs/>
                <w:i/>
                <w:iCs/>
                <w:color w:val="000000"/>
                <w:sz w:val="16"/>
                <w:szCs w:val="16"/>
                <w:lang w:val="en-AU"/>
              </w:rPr>
              <w:t>4,205,727</w:t>
            </w:r>
          </w:p>
        </w:tc>
        <w:tc>
          <w:tcPr>
            <w:tcW w:w="1059" w:type="dxa"/>
            <w:tcBorders>
              <w:top w:val="single" w:sz="4" w:space="0" w:color="000000"/>
              <w:left w:val="nil"/>
              <w:bottom w:val="single" w:sz="4" w:space="0" w:color="000000"/>
              <w:right w:val="nil"/>
            </w:tcBorders>
            <w:shd w:val="clear" w:color="auto" w:fill="auto"/>
            <w:noWrap/>
            <w:vAlign w:val="center"/>
          </w:tcPr>
          <w:p w14:paraId="5D4B140C" w14:textId="41EC87A5" w:rsidR="00CF037A" w:rsidRPr="000C42FD" w:rsidRDefault="00CF037A" w:rsidP="00DC59EB">
            <w:pPr>
              <w:spacing w:before="0" w:after="0"/>
              <w:jc w:val="right"/>
              <w:rPr>
                <w:rFonts w:ascii="Arial" w:hAnsi="Arial"/>
                <w:color w:val="000000"/>
                <w:sz w:val="16"/>
                <w:szCs w:val="16"/>
                <w:lang w:val="en-AU"/>
              </w:rPr>
            </w:pPr>
            <w:r w:rsidRPr="008D56D3">
              <w:rPr>
                <w:rFonts w:ascii="Arial" w:hAnsi="Arial"/>
                <w:b/>
                <w:bCs/>
                <w:i/>
                <w:iCs/>
                <w:color w:val="000000"/>
                <w:sz w:val="16"/>
                <w:szCs w:val="16"/>
                <w:lang w:val="en-AU"/>
              </w:rPr>
              <w:t>4,428,711</w:t>
            </w:r>
          </w:p>
        </w:tc>
        <w:tc>
          <w:tcPr>
            <w:tcW w:w="1061" w:type="dxa"/>
            <w:tcBorders>
              <w:top w:val="single" w:sz="4" w:space="0" w:color="000000"/>
              <w:left w:val="nil"/>
              <w:bottom w:val="single" w:sz="4" w:space="0" w:color="000000"/>
              <w:right w:val="nil"/>
            </w:tcBorders>
            <w:shd w:val="clear" w:color="auto" w:fill="auto"/>
            <w:noWrap/>
            <w:vAlign w:val="center"/>
          </w:tcPr>
          <w:p w14:paraId="244CE973" w14:textId="6B5F6095" w:rsidR="00CF037A" w:rsidRPr="00C510E0" w:rsidRDefault="00CF037A" w:rsidP="00DC59EB">
            <w:pPr>
              <w:spacing w:before="0" w:after="0"/>
              <w:jc w:val="right"/>
              <w:rPr>
                <w:rFonts w:ascii="Arial" w:hAnsi="Arial"/>
                <w:color w:val="000000"/>
                <w:sz w:val="16"/>
                <w:szCs w:val="16"/>
                <w:highlight w:val="yellow"/>
                <w:lang w:val="en-AU"/>
              </w:rPr>
            </w:pPr>
            <w:r w:rsidRPr="008D56D3">
              <w:rPr>
                <w:rFonts w:ascii="Arial" w:hAnsi="Arial"/>
                <w:b/>
                <w:bCs/>
                <w:i/>
                <w:iCs/>
                <w:color w:val="000000"/>
                <w:sz w:val="16"/>
                <w:szCs w:val="16"/>
                <w:lang w:val="en-AU"/>
              </w:rPr>
              <w:t>4,598,592</w:t>
            </w:r>
          </w:p>
        </w:tc>
      </w:tr>
      <w:tr w:rsidR="00AF1017" w:rsidRPr="00C510E0" w14:paraId="506B6CB9" w14:textId="77777777" w:rsidTr="002A5A4F">
        <w:trPr>
          <w:trHeight w:val="228"/>
        </w:trPr>
        <w:tc>
          <w:tcPr>
            <w:tcW w:w="3178" w:type="dxa"/>
            <w:tcBorders>
              <w:top w:val="nil"/>
              <w:left w:val="nil"/>
              <w:bottom w:val="nil"/>
              <w:right w:val="nil"/>
            </w:tcBorders>
            <w:shd w:val="clear" w:color="auto" w:fill="auto"/>
            <w:noWrap/>
            <w:vAlign w:val="center"/>
            <w:hideMark/>
          </w:tcPr>
          <w:p w14:paraId="0B6CF304" w14:textId="77777777" w:rsidR="00AF1017" w:rsidRPr="002B2BCC" w:rsidRDefault="00AF1017" w:rsidP="00AF1017">
            <w:pPr>
              <w:spacing w:before="0" w:after="0"/>
              <w:ind w:firstLineChars="100" w:firstLine="160"/>
              <w:rPr>
                <w:rFonts w:ascii="Arial" w:hAnsi="Arial"/>
                <w:b/>
                <w:bCs/>
                <w:i/>
                <w:iCs/>
                <w:color w:val="000000"/>
                <w:sz w:val="16"/>
                <w:szCs w:val="16"/>
                <w:lang w:val="en-AU"/>
              </w:rPr>
            </w:pPr>
            <w:r w:rsidRPr="002B2BCC">
              <w:rPr>
                <w:rFonts w:ascii="Arial" w:hAnsi="Arial"/>
                <w:b/>
                <w:bCs/>
                <w:i/>
                <w:iCs/>
                <w:color w:val="000000"/>
                <w:sz w:val="16"/>
                <w:szCs w:val="16"/>
                <w:lang w:val="en-AU"/>
              </w:rPr>
              <w:t>Total non-controlling interest</w:t>
            </w:r>
          </w:p>
        </w:tc>
        <w:tc>
          <w:tcPr>
            <w:tcW w:w="981" w:type="dxa"/>
            <w:tcBorders>
              <w:top w:val="nil"/>
              <w:left w:val="nil"/>
              <w:bottom w:val="single" w:sz="4" w:space="0" w:color="000000"/>
              <w:right w:val="nil"/>
            </w:tcBorders>
            <w:shd w:val="clear" w:color="auto" w:fill="auto"/>
            <w:noWrap/>
            <w:vAlign w:val="center"/>
          </w:tcPr>
          <w:p w14:paraId="6DB38491" w14:textId="77777777" w:rsidR="00AF1017" w:rsidRPr="00C510E0" w:rsidRDefault="00AF1017" w:rsidP="00AF1017">
            <w:pPr>
              <w:spacing w:before="0" w:after="0"/>
              <w:jc w:val="right"/>
              <w:rPr>
                <w:rFonts w:ascii="Arial" w:hAnsi="Arial"/>
                <w:b/>
                <w:bCs/>
                <w:i/>
                <w:iCs/>
                <w:color w:val="000000"/>
                <w:sz w:val="16"/>
                <w:szCs w:val="16"/>
                <w:highlight w:val="yellow"/>
                <w:lang w:val="en-AU"/>
              </w:rPr>
            </w:pPr>
          </w:p>
        </w:tc>
        <w:tc>
          <w:tcPr>
            <w:tcW w:w="1060" w:type="dxa"/>
            <w:tcBorders>
              <w:top w:val="nil"/>
              <w:left w:val="nil"/>
              <w:bottom w:val="single" w:sz="4" w:space="0" w:color="000000"/>
              <w:right w:val="nil"/>
            </w:tcBorders>
            <w:shd w:val="clear" w:color="auto" w:fill="E6E6E6"/>
            <w:noWrap/>
            <w:vAlign w:val="center"/>
          </w:tcPr>
          <w:p w14:paraId="1AF19DA6" w14:textId="77777777" w:rsidR="00AF1017" w:rsidRPr="00C510E0" w:rsidRDefault="00AF1017" w:rsidP="00AF1017">
            <w:pPr>
              <w:spacing w:before="0" w:after="0"/>
              <w:jc w:val="right"/>
              <w:rPr>
                <w:rFonts w:ascii="Arial" w:hAnsi="Arial"/>
                <w:b/>
                <w:bCs/>
                <w:i/>
                <w:iCs/>
                <w:color w:val="000000"/>
                <w:sz w:val="16"/>
                <w:szCs w:val="16"/>
                <w:highlight w:val="yellow"/>
                <w:lang w:val="en-AU"/>
              </w:rPr>
            </w:pPr>
          </w:p>
        </w:tc>
        <w:tc>
          <w:tcPr>
            <w:tcW w:w="1059" w:type="dxa"/>
            <w:tcBorders>
              <w:top w:val="nil"/>
              <w:left w:val="nil"/>
              <w:bottom w:val="single" w:sz="4" w:space="0" w:color="000000"/>
              <w:right w:val="nil"/>
            </w:tcBorders>
            <w:shd w:val="clear" w:color="auto" w:fill="auto"/>
            <w:noWrap/>
            <w:vAlign w:val="center"/>
          </w:tcPr>
          <w:p w14:paraId="42399D3B" w14:textId="77777777" w:rsidR="00AF1017" w:rsidRPr="000C42FD" w:rsidRDefault="00AF1017" w:rsidP="00AF1017">
            <w:pPr>
              <w:spacing w:before="0" w:after="0"/>
              <w:jc w:val="right"/>
              <w:rPr>
                <w:rFonts w:ascii="Arial" w:hAnsi="Arial"/>
                <w:b/>
                <w:bCs/>
                <w:i/>
                <w:iCs/>
                <w:color w:val="000000"/>
                <w:sz w:val="16"/>
                <w:szCs w:val="16"/>
                <w:lang w:val="en-AU"/>
              </w:rPr>
            </w:pPr>
          </w:p>
        </w:tc>
        <w:tc>
          <w:tcPr>
            <w:tcW w:w="1059" w:type="dxa"/>
            <w:tcBorders>
              <w:top w:val="nil"/>
              <w:left w:val="nil"/>
              <w:bottom w:val="single" w:sz="4" w:space="0" w:color="000000"/>
              <w:right w:val="nil"/>
            </w:tcBorders>
            <w:shd w:val="clear" w:color="auto" w:fill="auto"/>
            <w:noWrap/>
            <w:vAlign w:val="center"/>
          </w:tcPr>
          <w:p w14:paraId="3751B58E" w14:textId="77777777" w:rsidR="00AF1017" w:rsidRPr="000C42FD" w:rsidRDefault="00AF1017" w:rsidP="00AF1017">
            <w:pPr>
              <w:spacing w:before="0" w:after="0"/>
              <w:jc w:val="right"/>
              <w:rPr>
                <w:rFonts w:ascii="Arial" w:hAnsi="Arial"/>
                <w:b/>
                <w:bCs/>
                <w:i/>
                <w:iCs/>
                <w:color w:val="000000"/>
                <w:sz w:val="16"/>
                <w:szCs w:val="16"/>
                <w:lang w:val="en-AU"/>
              </w:rPr>
            </w:pPr>
          </w:p>
        </w:tc>
        <w:tc>
          <w:tcPr>
            <w:tcW w:w="1061" w:type="dxa"/>
            <w:tcBorders>
              <w:top w:val="nil"/>
              <w:left w:val="nil"/>
              <w:bottom w:val="single" w:sz="4" w:space="0" w:color="000000"/>
              <w:right w:val="nil"/>
            </w:tcBorders>
            <w:shd w:val="clear" w:color="auto" w:fill="auto"/>
            <w:noWrap/>
            <w:vAlign w:val="center"/>
          </w:tcPr>
          <w:p w14:paraId="54AEC940" w14:textId="77777777" w:rsidR="00AF1017" w:rsidRPr="00C510E0" w:rsidRDefault="00AF1017" w:rsidP="00AF1017">
            <w:pPr>
              <w:spacing w:before="0" w:after="0"/>
              <w:jc w:val="right"/>
              <w:rPr>
                <w:rFonts w:ascii="Arial" w:hAnsi="Arial"/>
                <w:b/>
                <w:bCs/>
                <w:i/>
                <w:iCs/>
                <w:color w:val="000000"/>
                <w:sz w:val="16"/>
                <w:szCs w:val="16"/>
                <w:highlight w:val="yellow"/>
                <w:lang w:val="en-AU"/>
              </w:rPr>
            </w:pPr>
          </w:p>
        </w:tc>
      </w:tr>
      <w:tr w:rsidR="00CF037A" w:rsidRPr="00C510E0" w14:paraId="300A86E8" w14:textId="77777777" w:rsidTr="002A5A4F">
        <w:trPr>
          <w:trHeight w:val="232"/>
        </w:trPr>
        <w:tc>
          <w:tcPr>
            <w:tcW w:w="3178" w:type="dxa"/>
            <w:tcBorders>
              <w:top w:val="nil"/>
              <w:left w:val="nil"/>
              <w:bottom w:val="single" w:sz="4" w:space="0" w:color="000000"/>
              <w:right w:val="nil"/>
            </w:tcBorders>
            <w:shd w:val="clear" w:color="auto" w:fill="auto"/>
            <w:noWrap/>
            <w:vAlign w:val="center"/>
            <w:hideMark/>
          </w:tcPr>
          <w:p w14:paraId="4436D231" w14:textId="77777777" w:rsidR="00CF037A" w:rsidRPr="002B2BCC" w:rsidRDefault="00CF037A" w:rsidP="00CF037A">
            <w:pPr>
              <w:spacing w:before="0" w:after="0"/>
              <w:rPr>
                <w:rFonts w:ascii="Arial" w:hAnsi="Arial"/>
                <w:b/>
                <w:bCs/>
                <w:color w:val="000000"/>
                <w:sz w:val="16"/>
                <w:szCs w:val="16"/>
                <w:lang w:val="en-AU"/>
              </w:rPr>
            </w:pPr>
            <w:r w:rsidRPr="002B2BCC">
              <w:rPr>
                <w:rFonts w:ascii="Arial" w:hAnsi="Arial"/>
                <w:b/>
                <w:bCs/>
                <w:color w:val="000000"/>
                <w:sz w:val="16"/>
                <w:szCs w:val="16"/>
                <w:lang w:val="en-AU"/>
              </w:rPr>
              <w:t>Total Equity</w:t>
            </w:r>
          </w:p>
        </w:tc>
        <w:tc>
          <w:tcPr>
            <w:tcW w:w="981" w:type="dxa"/>
            <w:tcBorders>
              <w:top w:val="nil"/>
              <w:left w:val="nil"/>
              <w:bottom w:val="single" w:sz="4" w:space="0" w:color="000000"/>
              <w:right w:val="nil"/>
            </w:tcBorders>
            <w:shd w:val="clear" w:color="auto" w:fill="auto"/>
            <w:noWrap/>
            <w:vAlign w:val="center"/>
          </w:tcPr>
          <w:p w14:paraId="062A8B9A" w14:textId="6A686671" w:rsidR="00CF037A" w:rsidRPr="00C510E0" w:rsidRDefault="00CF037A" w:rsidP="00DC59EB">
            <w:pPr>
              <w:spacing w:before="0" w:after="0"/>
              <w:jc w:val="right"/>
              <w:rPr>
                <w:rFonts w:ascii="Arial" w:hAnsi="Arial"/>
                <w:b/>
                <w:bCs/>
                <w:i/>
                <w:iCs/>
                <w:color w:val="000000"/>
                <w:sz w:val="16"/>
                <w:szCs w:val="16"/>
                <w:highlight w:val="yellow"/>
                <w:lang w:val="en-AU"/>
              </w:rPr>
            </w:pPr>
            <w:r w:rsidRPr="008D56D3">
              <w:rPr>
                <w:rFonts w:ascii="Arial" w:hAnsi="Arial"/>
                <w:b/>
                <w:bCs/>
                <w:color w:val="000000"/>
                <w:sz w:val="16"/>
                <w:szCs w:val="16"/>
                <w:lang w:val="en-AU"/>
              </w:rPr>
              <w:t>3,791,223</w:t>
            </w:r>
          </w:p>
        </w:tc>
        <w:tc>
          <w:tcPr>
            <w:tcW w:w="1060" w:type="dxa"/>
            <w:tcBorders>
              <w:top w:val="nil"/>
              <w:left w:val="nil"/>
              <w:bottom w:val="single" w:sz="4" w:space="0" w:color="000000"/>
              <w:right w:val="nil"/>
            </w:tcBorders>
            <w:shd w:val="clear" w:color="auto" w:fill="E6E6E6"/>
            <w:noWrap/>
            <w:vAlign w:val="center"/>
          </w:tcPr>
          <w:p w14:paraId="293A58B5" w14:textId="7ED67E84" w:rsidR="00CF037A" w:rsidRPr="00C510E0" w:rsidRDefault="00CF037A" w:rsidP="00DC59EB">
            <w:pPr>
              <w:spacing w:before="0" w:after="0"/>
              <w:jc w:val="right"/>
              <w:rPr>
                <w:rFonts w:ascii="Arial" w:hAnsi="Arial"/>
                <w:b/>
                <w:bCs/>
                <w:i/>
                <w:iCs/>
                <w:color w:val="000000"/>
                <w:sz w:val="16"/>
                <w:szCs w:val="16"/>
                <w:highlight w:val="yellow"/>
                <w:lang w:val="en-AU"/>
              </w:rPr>
            </w:pPr>
            <w:r w:rsidRPr="008D56D3">
              <w:rPr>
                <w:rFonts w:ascii="Arial" w:hAnsi="Arial"/>
                <w:b/>
                <w:bCs/>
                <w:color w:val="000000"/>
                <w:sz w:val="16"/>
                <w:szCs w:val="16"/>
                <w:lang w:val="en-AU"/>
              </w:rPr>
              <w:t>3,997,611</w:t>
            </w:r>
          </w:p>
        </w:tc>
        <w:tc>
          <w:tcPr>
            <w:tcW w:w="1059" w:type="dxa"/>
            <w:tcBorders>
              <w:top w:val="nil"/>
              <w:left w:val="nil"/>
              <w:bottom w:val="single" w:sz="4" w:space="0" w:color="000000"/>
              <w:right w:val="nil"/>
            </w:tcBorders>
            <w:shd w:val="clear" w:color="auto" w:fill="auto"/>
            <w:noWrap/>
            <w:vAlign w:val="center"/>
          </w:tcPr>
          <w:p w14:paraId="3E69CF5A" w14:textId="7D42AA0D" w:rsidR="00CF037A" w:rsidRPr="000C42FD" w:rsidRDefault="00CF037A" w:rsidP="00DC59EB">
            <w:pPr>
              <w:spacing w:before="0" w:after="0"/>
              <w:jc w:val="right"/>
              <w:rPr>
                <w:rFonts w:ascii="Arial" w:hAnsi="Arial"/>
                <w:b/>
                <w:bCs/>
                <w:i/>
                <w:iCs/>
                <w:color w:val="000000"/>
                <w:sz w:val="16"/>
                <w:szCs w:val="16"/>
                <w:lang w:val="en-AU"/>
              </w:rPr>
            </w:pPr>
            <w:r w:rsidRPr="008D56D3">
              <w:rPr>
                <w:rFonts w:ascii="Arial" w:hAnsi="Arial"/>
                <w:b/>
                <w:bCs/>
                <w:color w:val="000000"/>
                <w:sz w:val="16"/>
                <w:szCs w:val="16"/>
                <w:lang w:val="en-AU"/>
              </w:rPr>
              <w:t>4,205,727</w:t>
            </w:r>
          </w:p>
        </w:tc>
        <w:tc>
          <w:tcPr>
            <w:tcW w:w="1059" w:type="dxa"/>
            <w:tcBorders>
              <w:top w:val="nil"/>
              <w:left w:val="nil"/>
              <w:bottom w:val="single" w:sz="4" w:space="0" w:color="000000"/>
              <w:right w:val="nil"/>
            </w:tcBorders>
            <w:shd w:val="clear" w:color="auto" w:fill="auto"/>
            <w:noWrap/>
            <w:vAlign w:val="center"/>
          </w:tcPr>
          <w:p w14:paraId="7C4480FD" w14:textId="32246BF4" w:rsidR="00CF037A" w:rsidRPr="000C42FD" w:rsidRDefault="00CF037A" w:rsidP="00DC59EB">
            <w:pPr>
              <w:spacing w:before="0" w:after="0"/>
              <w:jc w:val="right"/>
              <w:rPr>
                <w:rFonts w:ascii="Arial" w:hAnsi="Arial"/>
                <w:b/>
                <w:bCs/>
                <w:i/>
                <w:iCs/>
                <w:color w:val="000000"/>
                <w:sz w:val="16"/>
                <w:szCs w:val="16"/>
                <w:lang w:val="en-AU"/>
              </w:rPr>
            </w:pPr>
            <w:r w:rsidRPr="008D56D3">
              <w:rPr>
                <w:rFonts w:ascii="Arial" w:hAnsi="Arial"/>
                <w:b/>
                <w:bCs/>
                <w:color w:val="000000"/>
                <w:sz w:val="16"/>
                <w:szCs w:val="16"/>
                <w:lang w:val="en-AU"/>
              </w:rPr>
              <w:t>4,428,711</w:t>
            </w:r>
          </w:p>
        </w:tc>
        <w:tc>
          <w:tcPr>
            <w:tcW w:w="1061" w:type="dxa"/>
            <w:tcBorders>
              <w:top w:val="nil"/>
              <w:left w:val="nil"/>
              <w:bottom w:val="single" w:sz="4" w:space="0" w:color="000000"/>
              <w:right w:val="nil"/>
            </w:tcBorders>
            <w:shd w:val="clear" w:color="auto" w:fill="auto"/>
            <w:noWrap/>
            <w:vAlign w:val="center"/>
          </w:tcPr>
          <w:p w14:paraId="6B156D2F" w14:textId="4E84A703" w:rsidR="00CF037A" w:rsidRPr="00C510E0" w:rsidRDefault="00CF037A" w:rsidP="00DC59EB">
            <w:pPr>
              <w:spacing w:before="0" w:after="0"/>
              <w:jc w:val="right"/>
              <w:rPr>
                <w:rFonts w:ascii="Arial" w:hAnsi="Arial"/>
                <w:b/>
                <w:bCs/>
                <w:i/>
                <w:iCs/>
                <w:color w:val="000000"/>
                <w:sz w:val="16"/>
                <w:szCs w:val="16"/>
                <w:highlight w:val="yellow"/>
                <w:lang w:val="en-AU"/>
              </w:rPr>
            </w:pPr>
            <w:r w:rsidRPr="008D56D3">
              <w:rPr>
                <w:rFonts w:ascii="Arial" w:hAnsi="Arial"/>
                <w:b/>
                <w:bCs/>
                <w:color w:val="000000"/>
                <w:sz w:val="16"/>
                <w:szCs w:val="16"/>
                <w:lang w:val="en-AU"/>
              </w:rPr>
              <w:t>4,598,592</w:t>
            </w:r>
          </w:p>
        </w:tc>
      </w:tr>
    </w:tbl>
    <w:p w14:paraId="1EE63C3D" w14:textId="77777777" w:rsidR="00EF0345" w:rsidRPr="00C510E0" w:rsidRDefault="00EF0345" w:rsidP="00D6741A">
      <w:pPr>
        <w:spacing w:before="0" w:after="0"/>
        <w:rPr>
          <w:rFonts w:ascii="Arial" w:hAnsi="Arial"/>
          <w:sz w:val="14"/>
          <w:szCs w:val="14"/>
          <w:highlight w:val="yellow"/>
          <w:lang w:val="en-AU"/>
        </w:rPr>
      </w:pPr>
    </w:p>
    <w:p w14:paraId="01A1AE5B" w14:textId="77777777" w:rsidR="00A471E0" w:rsidRPr="003C27CA" w:rsidRDefault="00A471E0" w:rsidP="00D6741A">
      <w:pPr>
        <w:spacing w:before="0" w:after="0"/>
        <w:rPr>
          <w:rFonts w:ascii="Arial" w:hAnsi="Arial"/>
          <w:b/>
          <w:sz w:val="14"/>
          <w:szCs w:val="14"/>
          <w:lang w:val="en-AU"/>
        </w:rPr>
      </w:pPr>
      <w:r w:rsidRPr="003C27CA">
        <w:rPr>
          <w:rFonts w:ascii="Arial" w:hAnsi="Arial"/>
          <w:b/>
          <w:sz w:val="14"/>
          <w:szCs w:val="14"/>
          <w:lang w:val="en-AU"/>
        </w:rPr>
        <w:t>Notes</w:t>
      </w:r>
    </w:p>
    <w:p w14:paraId="32AA8365" w14:textId="77777777" w:rsidR="00AF1017" w:rsidRPr="003C27CA" w:rsidRDefault="00AF1017" w:rsidP="00444A89">
      <w:pPr>
        <w:numPr>
          <w:ilvl w:val="0"/>
          <w:numId w:val="59"/>
        </w:numPr>
        <w:tabs>
          <w:tab w:val="left" w:pos="284"/>
        </w:tabs>
        <w:spacing w:before="0" w:after="0"/>
        <w:ind w:left="0" w:firstLine="0"/>
        <w:rPr>
          <w:rFonts w:ascii="Arial" w:hAnsi="Arial"/>
          <w:sz w:val="14"/>
          <w:szCs w:val="14"/>
        </w:rPr>
      </w:pPr>
      <w:r w:rsidRPr="003C27CA">
        <w:rPr>
          <w:rFonts w:ascii="Arial" w:hAnsi="Arial"/>
          <w:sz w:val="14"/>
          <w:szCs w:val="14"/>
          <w:lang w:val="en-AU"/>
        </w:rPr>
        <w:t>Prepared on Australian Accounting Standards basis.</w:t>
      </w:r>
    </w:p>
    <w:p w14:paraId="527F8538" w14:textId="77777777" w:rsidR="00AF1017" w:rsidRPr="003C27CA" w:rsidRDefault="00AF1017" w:rsidP="00444A89">
      <w:pPr>
        <w:numPr>
          <w:ilvl w:val="0"/>
          <w:numId w:val="59"/>
        </w:numPr>
        <w:tabs>
          <w:tab w:val="left" w:pos="284"/>
        </w:tabs>
        <w:spacing w:before="0" w:after="0"/>
        <w:ind w:left="0" w:firstLine="0"/>
        <w:rPr>
          <w:rFonts w:ascii="Arial" w:hAnsi="Arial"/>
          <w:sz w:val="14"/>
          <w:szCs w:val="14"/>
        </w:rPr>
      </w:pPr>
      <w:r w:rsidRPr="003C27CA">
        <w:rPr>
          <w:rFonts w:ascii="Arial" w:hAnsi="Arial"/>
          <w:sz w:val="14"/>
          <w:szCs w:val="14"/>
          <w:lang w:val="en-AU"/>
        </w:rPr>
        <w:t>Equity is the residual interest in assets after the deduction of liabilities.</w:t>
      </w:r>
    </w:p>
    <w:p w14:paraId="01269E49" w14:textId="6072E0D9" w:rsidR="00AF1017" w:rsidRPr="00DA5E40" w:rsidRDefault="00CF037A" w:rsidP="00444A89">
      <w:pPr>
        <w:numPr>
          <w:ilvl w:val="0"/>
          <w:numId w:val="59"/>
        </w:numPr>
        <w:tabs>
          <w:tab w:val="left" w:pos="284"/>
        </w:tabs>
        <w:spacing w:before="0" w:after="0"/>
        <w:ind w:left="284" w:hanging="284"/>
        <w:rPr>
          <w:rFonts w:ascii="Arial" w:hAnsi="Arial"/>
          <w:sz w:val="14"/>
          <w:szCs w:val="14"/>
        </w:rPr>
      </w:pPr>
      <w:r w:rsidRPr="000F09CD">
        <w:rPr>
          <w:rFonts w:ascii="Arial" w:hAnsi="Arial"/>
          <w:sz w:val="14"/>
          <w:szCs w:val="14"/>
        </w:rPr>
        <w:t>Impact of Net Cash Appropriation Arrangements - Included in accordance with RMG 125 Commonwealth Entities Financial Statements Guide. As DHA is not directly appropriated, the above information is presented for reporting purposes only and includes the depreciation and principal repayments of leases under AASB 16 Leases</w:t>
      </w:r>
      <w:r w:rsidR="00DA5E40" w:rsidRPr="003C27CA">
        <w:rPr>
          <w:rFonts w:ascii="Arial" w:hAnsi="Arial"/>
          <w:sz w:val="14"/>
          <w:szCs w:val="14"/>
          <w:lang w:val="en-AU"/>
        </w:rPr>
        <w:t>.</w:t>
      </w:r>
    </w:p>
    <w:p w14:paraId="419305B9" w14:textId="56CCD561" w:rsidR="00577C5A" w:rsidRPr="00B56FAA" w:rsidRDefault="00761824" w:rsidP="00A53053">
      <w:pPr>
        <w:pStyle w:val="TableHeading"/>
        <w:spacing w:before="0"/>
        <w:outlineLvl w:val="5"/>
      </w:pPr>
      <w:r w:rsidRPr="00B56FAA">
        <w:rPr>
          <w:sz w:val="14"/>
          <w:szCs w:val="14"/>
        </w:rPr>
        <w:br w:type="page"/>
      </w:r>
      <w:r w:rsidR="00A53053" w:rsidRPr="00A53053">
        <w:lastRenderedPageBreak/>
        <w:t xml:space="preserve">Table 6: </w:t>
      </w:r>
      <w:r w:rsidR="00173112" w:rsidRPr="00B56FAA">
        <w:t>Budgeted Departmental Statement of Cash Flows (for the period ended</w:t>
      </w:r>
      <w:r w:rsidR="00EA0897" w:rsidRPr="00B56FAA">
        <w:br/>
      </w:r>
      <w:r w:rsidR="00173112" w:rsidRPr="00B56FAA">
        <w:t>30 June</w:t>
      </w:r>
      <w:r w:rsidR="00173112" w:rsidRPr="00A53053">
        <w:t>)</w:t>
      </w:r>
      <w:r w:rsidR="003B4294" w:rsidRPr="00A53053">
        <w:rPr>
          <w:rFonts w:ascii="Arial Bold" w:hAnsi="Arial Bold"/>
          <w:vertAlign w:val="superscript"/>
        </w:rPr>
        <w:t xml:space="preserve"> [a</w:t>
      </w:r>
      <w:r w:rsidR="00EA0897" w:rsidRPr="00A53053">
        <w:rPr>
          <w:rFonts w:ascii="Arial Bold" w:hAnsi="Arial Bold"/>
          <w:vertAlign w:val="superscript"/>
        </w:rPr>
        <w:t>]</w:t>
      </w:r>
      <w:r w:rsidR="007C5D4F" w:rsidRPr="00A53053">
        <w:rPr>
          <w:rFonts w:ascii="Arial Bold" w:hAnsi="Arial Bold"/>
          <w:vertAlign w:val="superscript"/>
        </w:rPr>
        <w:t xml:space="preserve"> </w:t>
      </w:r>
    </w:p>
    <w:tbl>
      <w:tblPr>
        <w:tblW w:w="7851" w:type="dxa"/>
        <w:tblInd w:w="108" w:type="dxa"/>
        <w:tblLook w:val="04A0" w:firstRow="1" w:lastRow="0" w:firstColumn="1" w:lastColumn="0" w:noHBand="0" w:noVBand="1"/>
      </w:tblPr>
      <w:tblGrid>
        <w:gridCol w:w="3120"/>
        <w:gridCol w:w="981"/>
        <w:gridCol w:w="938"/>
        <w:gridCol w:w="937"/>
        <w:gridCol w:w="937"/>
        <w:gridCol w:w="938"/>
      </w:tblGrid>
      <w:tr w:rsidR="00CF037A" w:rsidRPr="00C510E0" w14:paraId="6E7C966E" w14:textId="77777777" w:rsidTr="009F0F8A">
        <w:trPr>
          <w:trHeight w:val="812"/>
        </w:trPr>
        <w:tc>
          <w:tcPr>
            <w:tcW w:w="3120" w:type="dxa"/>
            <w:tcBorders>
              <w:top w:val="single" w:sz="4" w:space="0" w:color="auto"/>
              <w:left w:val="nil"/>
              <w:bottom w:val="nil"/>
              <w:right w:val="nil"/>
            </w:tcBorders>
            <w:shd w:val="clear" w:color="auto" w:fill="auto"/>
            <w:noWrap/>
            <w:vAlign w:val="center"/>
            <w:hideMark/>
          </w:tcPr>
          <w:p w14:paraId="404F74AE" w14:textId="77777777" w:rsidR="00CF037A" w:rsidRPr="0045322E" w:rsidRDefault="00CF037A" w:rsidP="00CF037A">
            <w:pPr>
              <w:spacing w:before="0" w:after="0"/>
              <w:rPr>
                <w:rFonts w:ascii="Arial" w:hAnsi="Arial"/>
                <w:color w:val="000000"/>
                <w:sz w:val="16"/>
                <w:szCs w:val="16"/>
                <w:lang w:val="en-AU"/>
              </w:rPr>
            </w:pPr>
            <w:r w:rsidRPr="0045322E">
              <w:rPr>
                <w:rFonts w:ascii="Arial" w:hAnsi="Arial"/>
                <w:color w:val="000000"/>
                <w:sz w:val="16"/>
                <w:szCs w:val="16"/>
                <w:lang w:val="en-AU"/>
              </w:rPr>
              <w:t> </w:t>
            </w:r>
          </w:p>
        </w:tc>
        <w:tc>
          <w:tcPr>
            <w:tcW w:w="981" w:type="dxa"/>
            <w:tcBorders>
              <w:top w:val="single" w:sz="4" w:space="0" w:color="auto"/>
              <w:left w:val="nil"/>
              <w:bottom w:val="single" w:sz="4" w:space="0" w:color="auto"/>
              <w:right w:val="nil"/>
            </w:tcBorders>
            <w:shd w:val="clear" w:color="auto" w:fill="auto"/>
            <w:hideMark/>
          </w:tcPr>
          <w:p w14:paraId="433C20C9" w14:textId="590AECDC" w:rsidR="00CF037A" w:rsidRPr="00A03996" w:rsidRDefault="00CF037A" w:rsidP="0040014B">
            <w:pPr>
              <w:spacing w:before="0" w:after="0"/>
              <w:jc w:val="right"/>
              <w:rPr>
                <w:rFonts w:ascii="Arial" w:hAnsi="Arial"/>
                <w:b/>
                <w:sz w:val="16"/>
                <w:szCs w:val="16"/>
                <w:lang w:val="en-AU"/>
              </w:rPr>
            </w:pPr>
            <w:r w:rsidRPr="00602FEB">
              <w:rPr>
                <w:rFonts w:ascii="Arial" w:hAnsi="Arial"/>
                <w:b/>
                <w:bCs/>
                <w:sz w:val="16"/>
                <w:szCs w:val="16"/>
                <w:lang w:val="en-AU"/>
              </w:rPr>
              <w:t xml:space="preserve">2024-25 Estimated </w:t>
            </w:r>
            <w:r w:rsidR="0040014B">
              <w:rPr>
                <w:rFonts w:ascii="Arial" w:hAnsi="Arial"/>
                <w:b/>
                <w:bCs/>
                <w:sz w:val="16"/>
                <w:szCs w:val="16"/>
                <w:lang w:val="en-AU"/>
              </w:rPr>
              <w:t>A</w:t>
            </w:r>
            <w:r w:rsidRPr="00602FEB">
              <w:rPr>
                <w:rFonts w:ascii="Arial" w:hAnsi="Arial"/>
                <w:b/>
                <w:bCs/>
                <w:sz w:val="16"/>
                <w:szCs w:val="16"/>
                <w:lang w:val="en-AU"/>
              </w:rPr>
              <w:t>ctual</w:t>
            </w:r>
            <w:r w:rsidRPr="00602FEB">
              <w:rPr>
                <w:rFonts w:ascii="Arial" w:hAnsi="Arial"/>
                <w:b/>
                <w:bCs/>
                <w:sz w:val="16"/>
                <w:szCs w:val="16"/>
                <w:lang w:val="en-AU"/>
              </w:rPr>
              <w:br/>
              <w:t>$'000</w:t>
            </w:r>
          </w:p>
        </w:tc>
        <w:tc>
          <w:tcPr>
            <w:tcW w:w="938" w:type="dxa"/>
            <w:tcBorders>
              <w:top w:val="single" w:sz="4" w:space="0" w:color="auto"/>
              <w:left w:val="nil"/>
              <w:bottom w:val="single" w:sz="4" w:space="0" w:color="auto"/>
              <w:right w:val="nil"/>
            </w:tcBorders>
            <w:shd w:val="clear" w:color="auto" w:fill="E6E6E6"/>
            <w:hideMark/>
          </w:tcPr>
          <w:p w14:paraId="74C2963C" w14:textId="0737AA2C" w:rsidR="00CF037A" w:rsidRPr="00A03996" w:rsidRDefault="00CF037A" w:rsidP="00CF037A">
            <w:pPr>
              <w:spacing w:before="0" w:after="0"/>
              <w:jc w:val="right"/>
              <w:rPr>
                <w:rFonts w:ascii="Arial" w:hAnsi="Arial"/>
                <w:b/>
                <w:sz w:val="16"/>
                <w:szCs w:val="16"/>
                <w:lang w:val="en-AU"/>
              </w:rPr>
            </w:pPr>
            <w:r w:rsidRPr="00602FEB">
              <w:rPr>
                <w:rFonts w:ascii="Arial" w:hAnsi="Arial"/>
                <w:b/>
                <w:bCs/>
                <w:sz w:val="16"/>
                <w:szCs w:val="16"/>
                <w:lang w:val="en-AU"/>
              </w:rPr>
              <w:t>2025-26</w:t>
            </w:r>
            <w:r w:rsidRPr="00602FEB">
              <w:rPr>
                <w:rFonts w:ascii="Arial" w:hAnsi="Arial"/>
                <w:b/>
                <w:bCs/>
                <w:sz w:val="16"/>
                <w:szCs w:val="16"/>
                <w:lang w:val="en-AU"/>
              </w:rPr>
              <w:br/>
              <w:t>Budget</w:t>
            </w:r>
            <w:r w:rsidRPr="00602FEB">
              <w:rPr>
                <w:rFonts w:ascii="Arial" w:hAnsi="Arial"/>
                <w:b/>
                <w:bCs/>
                <w:sz w:val="16"/>
                <w:szCs w:val="16"/>
                <w:lang w:val="en-AU"/>
              </w:rPr>
              <w:br/>
            </w:r>
            <w:r w:rsidRPr="00602FEB">
              <w:rPr>
                <w:rFonts w:ascii="Arial" w:hAnsi="Arial"/>
                <w:b/>
                <w:bCs/>
                <w:sz w:val="16"/>
                <w:szCs w:val="16"/>
                <w:lang w:val="en-AU"/>
              </w:rPr>
              <w:br/>
              <w:t>$'000</w:t>
            </w:r>
          </w:p>
        </w:tc>
        <w:tc>
          <w:tcPr>
            <w:tcW w:w="937" w:type="dxa"/>
            <w:tcBorders>
              <w:top w:val="single" w:sz="4" w:space="0" w:color="auto"/>
              <w:left w:val="nil"/>
              <w:bottom w:val="single" w:sz="4" w:space="0" w:color="auto"/>
              <w:right w:val="nil"/>
            </w:tcBorders>
            <w:shd w:val="clear" w:color="auto" w:fill="auto"/>
            <w:hideMark/>
          </w:tcPr>
          <w:p w14:paraId="680A661E" w14:textId="739B46DE" w:rsidR="00CF037A" w:rsidRPr="00A03996" w:rsidRDefault="00CF037A" w:rsidP="0040014B">
            <w:pPr>
              <w:spacing w:before="0" w:after="0"/>
              <w:jc w:val="right"/>
              <w:rPr>
                <w:rFonts w:ascii="Arial" w:hAnsi="Arial"/>
                <w:b/>
                <w:sz w:val="16"/>
                <w:szCs w:val="16"/>
                <w:lang w:val="en-AU"/>
              </w:rPr>
            </w:pPr>
            <w:r w:rsidRPr="00602FEB">
              <w:rPr>
                <w:rFonts w:ascii="Arial" w:hAnsi="Arial"/>
                <w:b/>
                <w:bCs/>
                <w:sz w:val="16"/>
                <w:szCs w:val="16"/>
                <w:lang w:val="en-AU"/>
              </w:rPr>
              <w:t xml:space="preserve">2026-27 Forward </w:t>
            </w:r>
            <w:r w:rsidR="0040014B">
              <w:rPr>
                <w:rFonts w:ascii="Arial" w:hAnsi="Arial"/>
                <w:b/>
                <w:bCs/>
                <w:sz w:val="16"/>
                <w:szCs w:val="16"/>
                <w:lang w:val="en-AU"/>
              </w:rPr>
              <w:t>E</w:t>
            </w:r>
            <w:r w:rsidRPr="00602FEB">
              <w:rPr>
                <w:rFonts w:ascii="Arial" w:hAnsi="Arial"/>
                <w:b/>
                <w:bCs/>
                <w:sz w:val="16"/>
                <w:szCs w:val="16"/>
                <w:lang w:val="en-AU"/>
              </w:rPr>
              <w:t>stimate</w:t>
            </w:r>
            <w:r w:rsidRPr="00602FEB">
              <w:rPr>
                <w:rFonts w:ascii="Arial" w:hAnsi="Arial"/>
                <w:b/>
                <w:bCs/>
                <w:sz w:val="16"/>
                <w:szCs w:val="16"/>
                <w:lang w:val="en-AU"/>
              </w:rPr>
              <w:br/>
              <w:t>$'000</w:t>
            </w:r>
          </w:p>
        </w:tc>
        <w:tc>
          <w:tcPr>
            <w:tcW w:w="937" w:type="dxa"/>
            <w:tcBorders>
              <w:top w:val="single" w:sz="4" w:space="0" w:color="auto"/>
              <w:left w:val="nil"/>
              <w:bottom w:val="single" w:sz="4" w:space="0" w:color="auto"/>
              <w:right w:val="nil"/>
            </w:tcBorders>
            <w:shd w:val="clear" w:color="auto" w:fill="auto"/>
            <w:hideMark/>
          </w:tcPr>
          <w:p w14:paraId="71FC8382" w14:textId="67359DC5" w:rsidR="00CF037A" w:rsidRPr="00A03996" w:rsidRDefault="00CF037A" w:rsidP="0040014B">
            <w:pPr>
              <w:spacing w:before="0" w:after="0"/>
              <w:jc w:val="right"/>
              <w:rPr>
                <w:rFonts w:ascii="Arial" w:hAnsi="Arial"/>
                <w:b/>
                <w:sz w:val="16"/>
                <w:szCs w:val="16"/>
                <w:lang w:val="en-AU"/>
              </w:rPr>
            </w:pPr>
            <w:r w:rsidRPr="00602FEB">
              <w:rPr>
                <w:rFonts w:ascii="Arial" w:hAnsi="Arial"/>
                <w:b/>
                <w:bCs/>
                <w:sz w:val="16"/>
                <w:szCs w:val="16"/>
                <w:lang w:val="en-AU"/>
              </w:rPr>
              <w:t xml:space="preserve">2027-28 Forward </w:t>
            </w:r>
            <w:r w:rsidR="0040014B">
              <w:rPr>
                <w:rFonts w:ascii="Arial" w:hAnsi="Arial"/>
                <w:b/>
                <w:bCs/>
                <w:sz w:val="16"/>
                <w:szCs w:val="16"/>
                <w:lang w:val="en-AU"/>
              </w:rPr>
              <w:t>E</w:t>
            </w:r>
            <w:r w:rsidRPr="00602FEB">
              <w:rPr>
                <w:rFonts w:ascii="Arial" w:hAnsi="Arial"/>
                <w:b/>
                <w:bCs/>
                <w:sz w:val="16"/>
                <w:szCs w:val="16"/>
                <w:lang w:val="en-AU"/>
              </w:rPr>
              <w:t>stimate</w:t>
            </w:r>
            <w:r w:rsidRPr="00602FEB">
              <w:rPr>
                <w:rFonts w:ascii="Arial" w:hAnsi="Arial"/>
                <w:b/>
                <w:bCs/>
                <w:sz w:val="16"/>
                <w:szCs w:val="16"/>
                <w:lang w:val="en-AU"/>
              </w:rPr>
              <w:br/>
              <w:t>$'000</w:t>
            </w:r>
          </w:p>
        </w:tc>
        <w:tc>
          <w:tcPr>
            <w:tcW w:w="938" w:type="dxa"/>
            <w:tcBorders>
              <w:top w:val="single" w:sz="4" w:space="0" w:color="auto"/>
              <w:left w:val="nil"/>
              <w:bottom w:val="single" w:sz="4" w:space="0" w:color="auto"/>
              <w:right w:val="nil"/>
            </w:tcBorders>
            <w:shd w:val="clear" w:color="auto" w:fill="auto"/>
            <w:hideMark/>
          </w:tcPr>
          <w:p w14:paraId="7F4E00AB" w14:textId="15661D6F" w:rsidR="00CF037A" w:rsidRPr="00A03996" w:rsidRDefault="00CF037A" w:rsidP="0040014B">
            <w:pPr>
              <w:spacing w:before="0" w:after="0"/>
              <w:jc w:val="right"/>
              <w:rPr>
                <w:rFonts w:ascii="Arial" w:hAnsi="Arial"/>
                <w:b/>
                <w:sz w:val="16"/>
                <w:szCs w:val="16"/>
                <w:lang w:val="en-AU"/>
              </w:rPr>
            </w:pPr>
            <w:r w:rsidRPr="00602FEB">
              <w:rPr>
                <w:rFonts w:ascii="Arial" w:hAnsi="Arial"/>
                <w:b/>
                <w:bCs/>
                <w:sz w:val="16"/>
                <w:szCs w:val="16"/>
                <w:lang w:val="en-AU"/>
              </w:rPr>
              <w:t>2028-29</w:t>
            </w:r>
            <w:r w:rsidRPr="00602FEB">
              <w:rPr>
                <w:rFonts w:ascii="Arial" w:hAnsi="Arial"/>
                <w:b/>
                <w:bCs/>
                <w:sz w:val="16"/>
                <w:szCs w:val="16"/>
                <w:lang w:val="en-AU"/>
              </w:rPr>
              <w:br/>
              <w:t xml:space="preserve">Forward </w:t>
            </w:r>
            <w:r w:rsidR="0040014B">
              <w:rPr>
                <w:rFonts w:ascii="Arial" w:hAnsi="Arial"/>
                <w:b/>
                <w:bCs/>
                <w:sz w:val="16"/>
                <w:szCs w:val="16"/>
                <w:lang w:val="en-AU"/>
              </w:rPr>
              <w:t>E</w:t>
            </w:r>
            <w:r w:rsidRPr="00602FEB">
              <w:rPr>
                <w:rFonts w:ascii="Arial" w:hAnsi="Arial"/>
                <w:b/>
                <w:bCs/>
                <w:sz w:val="16"/>
                <w:szCs w:val="16"/>
                <w:lang w:val="en-AU"/>
              </w:rPr>
              <w:t>stimate</w:t>
            </w:r>
            <w:r w:rsidRPr="00602FEB">
              <w:rPr>
                <w:rFonts w:ascii="Arial" w:hAnsi="Arial"/>
                <w:b/>
                <w:bCs/>
                <w:sz w:val="16"/>
                <w:szCs w:val="16"/>
                <w:lang w:val="en-AU"/>
              </w:rPr>
              <w:br/>
              <w:t>$'000</w:t>
            </w:r>
          </w:p>
        </w:tc>
      </w:tr>
      <w:tr w:rsidR="00C510E0" w:rsidRPr="00C510E0" w14:paraId="6A272AA5" w14:textId="77777777" w:rsidTr="002A5A4F">
        <w:trPr>
          <w:trHeight w:val="227"/>
        </w:trPr>
        <w:tc>
          <w:tcPr>
            <w:tcW w:w="3120" w:type="dxa"/>
            <w:tcBorders>
              <w:top w:val="nil"/>
              <w:left w:val="nil"/>
              <w:bottom w:val="nil"/>
              <w:right w:val="nil"/>
            </w:tcBorders>
            <w:shd w:val="clear" w:color="auto" w:fill="auto"/>
            <w:noWrap/>
            <w:vAlign w:val="center"/>
            <w:hideMark/>
          </w:tcPr>
          <w:p w14:paraId="3CA3F2F8" w14:textId="77777777" w:rsidR="00C510E0" w:rsidRPr="002B2BCC" w:rsidRDefault="00C510E0" w:rsidP="00C510E0">
            <w:pPr>
              <w:spacing w:before="0" w:after="0"/>
              <w:rPr>
                <w:rFonts w:ascii="Arial" w:hAnsi="Arial"/>
                <w:b/>
                <w:bCs/>
                <w:color w:val="000000"/>
                <w:sz w:val="16"/>
                <w:szCs w:val="16"/>
                <w:lang w:val="en-AU"/>
              </w:rPr>
            </w:pPr>
            <w:r w:rsidRPr="002B2BCC">
              <w:rPr>
                <w:rFonts w:ascii="Arial" w:hAnsi="Arial"/>
                <w:b/>
                <w:bCs/>
                <w:color w:val="000000"/>
                <w:sz w:val="16"/>
                <w:szCs w:val="16"/>
                <w:lang w:val="en-AU"/>
              </w:rPr>
              <w:t>OPERATING ACTIVITIES</w:t>
            </w:r>
          </w:p>
        </w:tc>
        <w:tc>
          <w:tcPr>
            <w:tcW w:w="981" w:type="dxa"/>
            <w:tcBorders>
              <w:top w:val="nil"/>
              <w:left w:val="nil"/>
              <w:bottom w:val="nil"/>
              <w:right w:val="nil"/>
            </w:tcBorders>
            <w:shd w:val="clear" w:color="auto" w:fill="auto"/>
            <w:noWrap/>
            <w:vAlign w:val="center"/>
          </w:tcPr>
          <w:p w14:paraId="78ACFB6B" w14:textId="77777777" w:rsidR="00C510E0" w:rsidRPr="00C510E0" w:rsidRDefault="00C510E0" w:rsidP="00C510E0">
            <w:pPr>
              <w:spacing w:before="0" w:after="0"/>
              <w:jc w:val="right"/>
              <w:rPr>
                <w:rFonts w:ascii="Arial" w:hAnsi="Arial"/>
                <w:b/>
                <w:bCs/>
                <w:color w:val="000000"/>
                <w:sz w:val="16"/>
                <w:szCs w:val="16"/>
                <w:highlight w:val="yellow"/>
                <w:lang w:val="en-AU"/>
              </w:rPr>
            </w:pPr>
          </w:p>
        </w:tc>
        <w:tc>
          <w:tcPr>
            <w:tcW w:w="938" w:type="dxa"/>
            <w:tcBorders>
              <w:top w:val="nil"/>
              <w:left w:val="nil"/>
              <w:bottom w:val="nil"/>
              <w:right w:val="nil"/>
            </w:tcBorders>
            <w:shd w:val="clear" w:color="auto" w:fill="E6E6E6"/>
            <w:noWrap/>
            <w:vAlign w:val="center"/>
          </w:tcPr>
          <w:p w14:paraId="1F362438" w14:textId="77777777" w:rsidR="00C510E0" w:rsidRPr="00C510E0" w:rsidRDefault="00C510E0" w:rsidP="00C510E0">
            <w:pPr>
              <w:spacing w:before="0" w:after="0"/>
              <w:jc w:val="right"/>
              <w:rPr>
                <w:rFonts w:ascii="Arial" w:hAnsi="Arial"/>
                <w:color w:val="000000"/>
                <w:sz w:val="16"/>
                <w:szCs w:val="16"/>
                <w:highlight w:val="yellow"/>
                <w:lang w:val="en-AU"/>
              </w:rPr>
            </w:pPr>
          </w:p>
        </w:tc>
        <w:tc>
          <w:tcPr>
            <w:tcW w:w="937" w:type="dxa"/>
            <w:tcBorders>
              <w:top w:val="nil"/>
              <w:left w:val="nil"/>
              <w:bottom w:val="nil"/>
              <w:right w:val="nil"/>
            </w:tcBorders>
            <w:shd w:val="clear" w:color="auto" w:fill="auto"/>
            <w:noWrap/>
            <w:vAlign w:val="center"/>
          </w:tcPr>
          <w:p w14:paraId="7B1844FE" w14:textId="77777777" w:rsidR="00C510E0" w:rsidRPr="00C510E0" w:rsidRDefault="00C510E0" w:rsidP="00C510E0">
            <w:pPr>
              <w:spacing w:before="0" w:after="0"/>
              <w:jc w:val="right"/>
              <w:rPr>
                <w:rFonts w:ascii="Times New Roman" w:hAnsi="Times New Roman" w:cs="Times New Roman"/>
                <w:szCs w:val="20"/>
                <w:highlight w:val="yellow"/>
                <w:lang w:val="en-AU"/>
              </w:rPr>
            </w:pPr>
          </w:p>
        </w:tc>
        <w:tc>
          <w:tcPr>
            <w:tcW w:w="937" w:type="dxa"/>
            <w:tcBorders>
              <w:top w:val="nil"/>
              <w:left w:val="nil"/>
              <w:bottom w:val="nil"/>
              <w:right w:val="nil"/>
            </w:tcBorders>
            <w:shd w:val="clear" w:color="auto" w:fill="auto"/>
            <w:noWrap/>
            <w:vAlign w:val="center"/>
          </w:tcPr>
          <w:p w14:paraId="6D1BBD81" w14:textId="77777777" w:rsidR="00C510E0" w:rsidRPr="00C510E0" w:rsidRDefault="00C510E0" w:rsidP="00C510E0">
            <w:pPr>
              <w:spacing w:before="0" w:after="0"/>
              <w:jc w:val="right"/>
              <w:rPr>
                <w:rFonts w:ascii="Times New Roman" w:hAnsi="Times New Roman" w:cs="Times New Roman"/>
                <w:szCs w:val="20"/>
                <w:highlight w:val="yellow"/>
                <w:lang w:val="en-AU"/>
              </w:rPr>
            </w:pPr>
          </w:p>
        </w:tc>
        <w:tc>
          <w:tcPr>
            <w:tcW w:w="938" w:type="dxa"/>
            <w:tcBorders>
              <w:top w:val="nil"/>
              <w:left w:val="nil"/>
              <w:bottom w:val="nil"/>
              <w:right w:val="nil"/>
            </w:tcBorders>
            <w:shd w:val="clear" w:color="auto" w:fill="auto"/>
            <w:noWrap/>
            <w:vAlign w:val="center"/>
          </w:tcPr>
          <w:p w14:paraId="5C41FA2B" w14:textId="77777777" w:rsidR="00C510E0" w:rsidRPr="00C510E0" w:rsidRDefault="00C510E0" w:rsidP="00C510E0">
            <w:pPr>
              <w:spacing w:before="0" w:after="0"/>
              <w:jc w:val="right"/>
              <w:rPr>
                <w:rFonts w:ascii="Times New Roman" w:hAnsi="Times New Roman" w:cs="Times New Roman"/>
                <w:szCs w:val="20"/>
                <w:highlight w:val="yellow"/>
                <w:lang w:val="en-AU"/>
              </w:rPr>
            </w:pPr>
          </w:p>
        </w:tc>
      </w:tr>
      <w:tr w:rsidR="00C510E0" w:rsidRPr="00C510E0" w14:paraId="63A4BBEB" w14:textId="77777777" w:rsidTr="002A5A4F">
        <w:trPr>
          <w:trHeight w:val="227"/>
        </w:trPr>
        <w:tc>
          <w:tcPr>
            <w:tcW w:w="3120" w:type="dxa"/>
            <w:tcBorders>
              <w:top w:val="nil"/>
              <w:left w:val="nil"/>
              <w:bottom w:val="nil"/>
              <w:right w:val="nil"/>
            </w:tcBorders>
            <w:shd w:val="clear" w:color="auto" w:fill="auto"/>
            <w:noWrap/>
            <w:vAlign w:val="center"/>
            <w:hideMark/>
          </w:tcPr>
          <w:p w14:paraId="7B9BF2C6" w14:textId="77777777" w:rsidR="00C510E0" w:rsidRPr="002B2BCC" w:rsidRDefault="00C510E0" w:rsidP="00C510E0">
            <w:pPr>
              <w:spacing w:before="0" w:after="0"/>
              <w:rPr>
                <w:rFonts w:ascii="Arial" w:hAnsi="Arial"/>
                <w:b/>
                <w:bCs/>
                <w:color w:val="000000"/>
                <w:sz w:val="16"/>
                <w:szCs w:val="16"/>
                <w:lang w:val="en-AU"/>
              </w:rPr>
            </w:pPr>
            <w:r w:rsidRPr="002B2BCC">
              <w:rPr>
                <w:rFonts w:ascii="Arial" w:hAnsi="Arial"/>
                <w:b/>
                <w:bCs/>
                <w:color w:val="000000"/>
                <w:sz w:val="16"/>
                <w:szCs w:val="16"/>
                <w:lang w:val="en-AU"/>
              </w:rPr>
              <w:t>Cash received</w:t>
            </w:r>
          </w:p>
        </w:tc>
        <w:tc>
          <w:tcPr>
            <w:tcW w:w="981" w:type="dxa"/>
            <w:tcBorders>
              <w:top w:val="nil"/>
              <w:left w:val="nil"/>
              <w:bottom w:val="nil"/>
              <w:right w:val="nil"/>
            </w:tcBorders>
            <w:shd w:val="clear" w:color="auto" w:fill="auto"/>
            <w:noWrap/>
            <w:vAlign w:val="center"/>
          </w:tcPr>
          <w:p w14:paraId="28BD9948" w14:textId="77777777" w:rsidR="00C510E0" w:rsidRPr="00C510E0" w:rsidRDefault="00C510E0" w:rsidP="00C510E0">
            <w:pPr>
              <w:spacing w:before="0" w:after="0"/>
              <w:jc w:val="right"/>
              <w:rPr>
                <w:rFonts w:ascii="Arial" w:hAnsi="Arial"/>
                <w:b/>
                <w:bCs/>
                <w:color w:val="000000"/>
                <w:sz w:val="16"/>
                <w:szCs w:val="16"/>
                <w:highlight w:val="yellow"/>
                <w:lang w:val="en-AU"/>
              </w:rPr>
            </w:pPr>
          </w:p>
        </w:tc>
        <w:tc>
          <w:tcPr>
            <w:tcW w:w="938" w:type="dxa"/>
            <w:tcBorders>
              <w:top w:val="nil"/>
              <w:left w:val="nil"/>
              <w:bottom w:val="nil"/>
              <w:right w:val="nil"/>
            </w:tcBorders>
            <w:shd w:val="clear" w:color="auto" w:fill="E6E6E6"/>
            <w:noWrap/>
            <w:vAlign w:val="center"/>
          </w:tcPr>
          <w:p w14:paraId="0CAE22AC" w14:textId="77777777" w:rsidR="00C510E0" w:rsidRPr="00C510E0" w:rsidRDefault="00C510E0" w:rsidP="00C510E0">
            <w:pPr>
              <w:spacing w:before="0" w:after="0"/>
              <w:jc w:val="right"/>
              <w:rPr>
                <w:rFonts w:ascii="Arial" w:hAnsi="Arial"/>
                <w:color w:val="000000"/>
                <w:sz w:val="16"/>
                <w:szCs w:val="16"/>
                <w:highlight w:val="yellow"/>
                <w:lang w:val="en-AU"/>
              </w:rPr>
            </w:pPr>
          </w:p>
        </w:tc>
        <w:tc>
          <w:tcPr>
            <w:tcW w:w="937" w:type="dxa"/>
            <w:tcBorders>
              <w:top w:val="nil"/>
              <w:left w:val="nil"/>
              <w:bottom w:val="nil"/>
              <w:right w:val="nil"/>
            </w:tcBorders>
            <w:shd w:val="clear" w:color="auto" w:fill="auto"/>
            <w:noWrap/>
            <w:vAlign w:val="center"/>
          </w:tcPr>
          <w:p w14:paraId="0F74C6DA" w14:textId="77777777" w:rsidR="00C510E0" w:rsidRPr="00C510E0" w:rsidRDefault="00C510E0" w:rsidP="00C510E0">
            <w:pPr>
              <w:spacing w:before="0" w:after="0"/>
              <w:jc w:val="right"/>
              <w:rPr>
                <w:rFonts w:ascii="Times New Roman" w:hAnsi="Times New Roman" w:cs="Times New Roman"/>
                <w:szCs w:val="20"/>
                <w:highlight w:val="yellow"/>
                <w:lang w:val="en-AU"/>
              </w:rPr>
            </w:pPr>
          </w:p>
        </w:tc>
        <w:tc>
          <w:tcPr>
            <w:tcW w:w="937" w:type="dxa"/>
            <w:tcBorders>
              <w:top w:val="nil"/>
              <w:left w:val="nil"/>
              <w:bottom w:val="nil"/>
              <w:right w:val="nil"/>
            </w:tcBorders>
            <w:shd w:val="clear" w:color="auto" w:fill="auto"/>
            <w:noWrap/>
            <w:vAlign w:val="center"/>
          </w:tcPr>
          <w:p w14:paraId="0DFD4CAD" w14:textId="77777777" w:rsidR="00C510E0" w:rsidRPr="00C510E0" w:rsidRDefault="00C510E0" w:rsidP="00C510E0">
            <w:pPr>
              <w:spacing w:before="0" w:after="0"/>
              <w:jc w:val="right"/>
              <w:rPr>
                <w:rFonts w:ascii="Times New Roman" w:hAnsi="Times New Roman" w:cs="Times New Roman"/>
                <w:szCs w:val="20"/>
                <w:highlight w:val="yellow"/>
                <w:lang w:val="en-AU"/>
              </w:rPr>
            </w:pPr>
          </w:p>
        </w:tc>
        <w:tc>
          <w:tcPr>
            <w:tcW w:w="938" w:type="dxa"/>
            <w:tcBorders>
              <w:top w:val="nil"/>
              <w:left w:val="nil"/>
              <w:bottom w:val="nil"/>
              <w:right w:val="nil"/>
            </w:tcBorders>
            <w:shd w:val="clear" w:color="auto" w:fill="auto"/>
            <w:noWrap/>
            <w:vAlign w:val="center"/>
          </w:tcPr>
          <w:p w14:paraId="49733428" w14:textId="77777777" w:rsidR="00C510E0" w:rsidRPr="00C510E0" w:rsidRDefault="00C510E0" w:rsidP="00C510E0">
            <w:pPr>
              <w:spacing w:before="0" w:after="0"/>
              <w:jc w:val="right"/>
              <w:rPr>
                <w:rFonts w:ascii="Times New Roman" w:hAnsi="Times New Roman" w:cs="Times New Roman"/>
                <w:szCs w:val="20"/>
                <w:highlight w:val="yellow"/>
                <w:lang w:val="en-AU"/>
              </w:rPr>
            </w:pPr>
          </w:p>
        </w:tc>
      </w:tr>
      <w:tr w:rsidR="00CF037A" w:rsidRPr="00C510E0" w14:paraId="1FEDF2F2" w14:textId="77777777" w:rsidTr="002A5A4F">
        <w:trPr>
          <w:trHeight w:val="227"/>
        </w:trPr>
        <w:tc>
          <w:tcPr>
            <w:tcW w:w="3120" w:type="dxa"/>
            <w:tcBorders>
              <w:top w:val="nil"/>
              <w:left w:val="nil"/>
              <w:bottom w:val="nil"/>
              <w:right w:val="nil"/>
            </w:tcBorders>
            <w:shd w:val="clear" w:color="auto" w:fill="auto"/>
            <w:vAlign w:val="center"/>
            <w:hideMark/>
          </w:tcPr>
          <w:p w14:paraId="41CA1AF6" w14:textId="77777777" w:rsidR="00CF037A" w:rsidRPr="002B2BCC" w:rsidRDefault="00CF037A" w:rsidP="00CF037A">
            <w:pPr>
              <w:spacing w:before="0" w:after="0"/>
              <w:ind w:firstLineChars="100" w:firstLine="160"/>
              <w:rPr>
                <w:rFonts w:ascii="Arial" w:hAnsi="Arial"/>
                <w:color w:val="000000"/>
                <w:sz w:val="16"/>
                <w:szCs w:val="16"/>
                <w:lang w:val="en-AU"/>
              </w:rPr>
            </w:pPr>
            <w:r w:rsidRPr="002B2BCC">
              <w:rPr>
                <w:rFonts w:ascii="Arial" w:hAnsi="Arial"/>
                <w:color w:val="000000"/>
                <w:sz w:val="16"/>
                <w:szCs w:val="16"/>
                <w:lang w:val="en-AU"/>
              </w:rPr>
              <w:t xml:space="preserve">Sale of goods and rendering of </w:t>
            </w:r>
            <w:r w:rsidRPr="002B2BCC">
              <w:rPr>
                <w:rFonts w:ascii="Arial" w:hAnsi="Arial"/>
                <w:color w:val="000000"/>
                <w:sz w:val="16"/>
                <w:szCs w:val="16"/>
                <w:lang w:val="en-AU"/>
              </w:rPr>
              <w:br/>
              <w:t xml:space="preserve">    services</w:t>
            </w:r>
          </w:p>
        </w:tc>
        <w:tc>
          <w:tcPr>
            <w:tcW w:w="981" w:type="dxa"/>
            <w:tcBorders>
              <w:top w:val="nil"/>
              <w:left w:val="nil"/>
              <w:bottom w:val="nil"/>
              <w:right w:val="nil"/>
            </w:tcBorders>
            <w:shd w:val="clear" w:color="auto" w:fill="auto"/>
            <w:noWrap/>
            <w:vAlign w:val="center"/>
          </w:tcPr>
          <w:p w14:paraId="01791B20" w14:textId="405331CE" w:rsidR="00CF037A" w:rsidRPr="00DA5E40" w:rsidRDefault="00CF037A" w:rsidP="00DC59EB">
            <w:pPr>
              <w:spacing w:before="0" w:after="0"/>
              <w:jc w:val="right"/>
              <w:rPr>
                <w:rFonts w:ascii="Arial" w:hAnsi="Arial"/>
                <w:color w:val="000000"/>
                <w:sz w:val="15"/>
                <w:szCs w:val="15"/>
                <w:highlight w:val="yellow"/>
                <w:lang w:val="en-AU"/>
              </w:rPr>
            </w:pPr>
            <w:r w:rsidRPr="00602FEB">
              <w:rPr>
                <w:rFonts w:ascii="Arial" w:hAnsi="Arial"/>
                <w:color w:val="000000"/>
                <w:sz w:val="16"/>
                <w:szCs w:val="16"/>
                <w:lang w:val="en-AU"/>
              </w:rPr>
              <w:t>873,138</w:t>
            </w:r>
          </w:p>
        </w:tc>
        <w:tc>
          <w:tcPr>
            <w:tcW w:w="938" w:type="dxa"/>
            <w:tcBorders>
              <w:top w:val="nil"/>
              <w:left w:val="nil"/>
              <w:bottom w:val="nil"/>
              <w:right w:val="nil"/>
            </w:tcBorders>
            <w:shd w:val="clear" w:color="auto" w:fill="E6E6E6"/>
            <w:noWrap/>
            <w:vAlign w:val="center"/>
          </w:tcPr>
          <w:p w14:paraId="1E12403E" w14:textId="0C20D72F" w:rsidR="00CF037A" w:rsidRPr="00DA5E40" w:rsidRDefault="00CF037A" w:rsidP="00DC59EB">
            <w:pPr>
              <w:spacing w:before="0" w:after="0"/>
              <w:jc w:val="right"/>
              <w:rPr>
                <w:rFonts w:ascii="Arial" w:hAnsi="Arial"/>
                <w:color w:val="000000"/>
                <w:sz w:val="15"/>
                <w:szCs w:val="15"/>
                <w:highlight w:val="yellow"/>
                <w:lang w:val="en-AU"/>
              </w:rPr>
            </w:pPr>
            <w:r w:rsidRPr="00602FEB">
              <w:rPr>
                <w:rFonts w:ascii="Arial" w:hAnsi="Arial"/>
                <w:color w:val="000000"/>
                <w:sz w:val="16"/>
                <w:szCs w:val="16"/>
                <w:lang w:val="en-AU"/>
              </w:rPr>
              <w:t>1,083,710</w:t>
            </w:r>
          </w:p>
        </w:tc>
        <w:tc>
          <w:tcPr>
            <w:tcW w:w="937" w:type="dxa"/>
            <w:tcBorders>
              <w:top w:val="nil"/>
              <w:left w:val="nil"/>
              <w:bottom w:val="nil"/>
              <w:right w:val="nil"/>
            </w:tcBorders>
            <w:shd w:val="clear" w:color="auto" w:fill="auto"/>
            <w:noWrap/>
            <w:vAlign w:val="center"/>
          </w:tcPr>
          <w:p w14:paraId="3D37450B" w14:textId="562646ED" w:rsidR="00CF037A" w:rsidRPr="00DA5E40" w:rsidRDefault="00CF037A" w:rsidP="00DC59EB">
            <w:pPr>
              <w:spacing w:before="0" w:after="0"/>
              <w:jc w:val="right"/>
              <w:rPr>
                <w:rFonts w:ascii="Arial" w:hAnsi="Arial"/>
                <w:color w:val="000000"/>
                <w:sz w:val="15"/>
                <w:szCs w:val="15"/>
                <w:highlight w:val="yellow"/>
                <w:lang w:val="en-AU"/>
              </w:rPr>
            </w:pPr>
            <w:r w:rsidRPr="00602FEB">
              <w:rPr>
                <w:rFonts w:ascii="Arial" w:hAnsi="Arial"/>
                <w:color w:val="000000"/>
                <w:sz w:val="16"/>
                <w:szCs w:val="16"/>
                <w:lang w:val="en-AU"/>
              </w:rPr>
              <w:t>1,087,455</w:t>
            </w:r>
          </w:p>
        </w:tc>
        <w:tc>
          <w:tcPr>
            <w:tcW w:w="937" w:type="dxa"/>
            <w:tcBorders>
              <w:top w:val="nil"/>
              <w:left w:val="nil"/>
              <w:bottom w:val="nil"/>
              <w:right w:val="nil"/>
            </w:tcBorders>
            <w:shd w:val="clear" w:color="auto" w:fill="auto"/>
            <w:noWrap/>
            <w:vAlign w:val="center"/>
          </w:tcPr>
          <w:p w14:paraId="0C609705" w14:textId="3660DDCD" w:rsidR="00CF037A" w:rsidRPr="00DA5E40" w:rsidRDefault="00CF037A" w:rsidP="00DC59EB">
            <w:pPr>
              <w:spacing w:before="0" w:after="0"/>
              <w:jc w:val="right"/>
              <w:rPr>
                <w:rFonts w:ascii="Arial" w:hAnsi="Arial"/>
                <w:color w:val="000000"/>
                <w:sz w:val="15"/>
                <w:szCs w:val="15"/>
                <w:highlight w:val="yellow"/>
                <w:lang w:val="en-AU"/>
              </w:rPr>
            </w:pPr>
            <w:r w:rsidRPr="00602FEB">
              <w:rPr>
                <w:rFonts w:ascii="Arial" w:hAnsi="Arial"/>
                <w:color w:val="000000"/>
                <w:sz w:val="16"/>
                <w:szCs w:val="16"/>
                <w:lang w:val="en-AU"/>
              </w:rPr>
              <w:t>1,057,002</w:t>
            </w:r>
          </w:p>
        </w:tc>
        <w:tc>
          <w:tcPr>
            <w:tcW w:w="938" w:type="dxa"/>
            <w:tcBorders>
              <w:top w:val="nil"/>
              <w:left w:val="nil"/>
              <w:bottom w:val="nil"/>
              <w:right w:val="nil"/>
            </w:tcBorders>
            <w:shd w:val="clear" w:color="auto" w:fill="auto"/>
            <w:noWrap/>
            <w:vAlign w:val="center"/>
          </w:tcPr>
          <w:p w14:paraId="708E58B4" w14:textId="1964FB1A" w:rsidR="00CF037A" w:rsidRPr="00DA5E40" w:rsidRDefault="00CF037A" w:rsidP="00DC59EB">
            <w:pPr>
              <w:spacing w:before="0" w:after="0"/>
              <w:jc w:val="right"/>
              <w:rPr>
                <w:rFonts w:ascii="Arial" w:hAnsi="Arial"/>
                <w:color w:val="000000"/>
                <w:sz w:val="15"/>
                <w:szCs w:val="15"/>
                <w:highlight w:val="yellow"/>
                <w:lang w:val="en-AU"/>
              </w:rPr>
            </w:pPr>
            <w:r w:rsidRPr="00602FEB">
              <w:rPr>
                <w:rFonts w:ascii="Arial" w:hAnsi="Arial"/>
                <w:color w:val="000000"/>
                <w:sz w:val="16"/>
                <w:szCs w:val="16"/>
                <w:lang w:val="en-AU"/>
              </w:rPr>
              <w:t>950,805</w:t>
            </w:r>
          </w:p>
        </w:tc>
      </w:tr>
      <w:tr w:rsidR="00CF037A" w:rsidRPr="00C510E0" w14:paraId="4C31CFA5" w14:textId="77777777" w:rsidTr="002A5A4F">
        <w:trPr>
          <w:trHeight w:val="227"/>
        </w:trPr>
        <w:tc>
          <w:tcPr>
            <w:tcW w:w="3120" w:type="dxa"/>
            <w:tcBorders>
              <w:top w:val="nil"/>
              <w:left w:val="nil"/>
              <w:bottom w:val="nil"/>
              <w:right w:val="nil"/>
            </w:tcBorders>
            <w:shd w:val="clear" w:color="auto" w:fill="auto"/>
            <w:noWrap/>
            <w:vAlign w:val="center"/>
            <w:hideMark/>
          </w:tcPr>
          <w:p w14:paraId="068DE3A4" w14:textId="77777777" w:rsidR="00CF037A" w:rsidRPr="002B2BCC" w:rsidRDefault="00CF037A" w:rsidP="00CF037A">
            <w:pPr>
              <w:spacing w:before="0" w:after="0"/>
              <w:ind w:firstLineChars="100" w:firstLine="160"/>
              <w:rPr>
                <w:rFonts w:ascii="Arial" w:hAnsi="Arial"/>
                <w:color w:val="000000"/>
                <w:sz w:val="16"/>
                <w:szCs w:val="16"/>
                <w:lang w:val="en-AU"/>
              </w:rPr>
            </w:pPr>
            <w:r w:rsidRPr="002B2BCC">
              <w:rPr>
                <w:rFonts w:ascii="Arial" w:hAnsi="Arial"/>
                <w:color w:val="000000"/>
                <w:sz w:val="16"/>
                <w:szCs w:val="16"/>
                <w:lang w:val="en-AU"/>
              </w:rPr>
              <w:t>Interest</w:t>
            </w:r>
          </w:p>
        </w:tc>
        <w:tc>
          <w:tcPr>
            <w:tcW w:w="981" w:type="dxa"/>
            <w:tcBorders>
              <w:top w:val="nil"/>
              <w:left w:val="nil"/>
              <w:bottom w:val="nil"/>
              <w:right w:val="nil"/>
            </w:tcBorders>
            <w:shd w:val="clear" w:color="auto" w:fill="auto"/>
            <w:noWrap/>
            <w:vAlign w:val="center"/>
          </w:tcPr>
          <w:p w14:paraId="0C62C720" w14:textId="7722EAD1" w:rsidR="00CF037A" w:rsidRPr="00DA5E40" w:rsidRDefault="00CF037A" w:rsidP="00DC59EB">
            <w:pPr>
              <w:spacing w:before="0" w:after="0"/>
              <w:jc w:val="right"/>
              <w:rPr>
                <w:rFonts w:ascii="Arial" w:hAnsi="Arial"/>
                <w:color w:val="000000"/>
                <w:sz w:val="15"/>
                <w:szCs w:val="15"/>
                <w:highlight w:val="yellow"/>
                <w:lang w:val="en-AU"/>
              </w:rPr>
            </w:pPr>
            <w:r w:rsidRPr="00602FEB">
              <w:rPr>
                <w:rFonts w:ascii="Arial" w:hAnsi="Arial"/>
                <w:color w:val="000000"/>
                <w:sz w:val="16"/>
                <w:szCs w:val="16"/>
                <w:lang w:val="en-AU"/>
              </w:rPr>
              <w:t>2,831</w:t>
            </w:r>
          </w:p>
        </w:tc>
        <w:tc>
          <w:tcPr>
            <w:tcW w:w="938" w:type="dxa"/>
            <w:tcBorders>
              <w:top w:val="nil"/>
              <w:left w:val="nil"/>
              <w:bottom w:val="nil"/>
              <w:right w:val="nil"/>
            </w:tcBorders>
            <w:shd w:val="clear" w:color="auto" w:fill="E6E6E6"/>
            <w:noWrap/>
            <w:vAlign w:val="center"/>
          </w:tcPr>
          <w:p w14:paraId="447DC11C" w14:textId="2E41F1E0" w:rsidR="00CF037A" w:rsidRPr="00DA5E40" w:rsidRDefault="00CF037A" w:rsidP="00DC59EB">
            <w:pPr>
              <w:spacing w:before="0" w:after="0"/>
              <w:jc w:val="right"/>
              <w:rPr>
                <w:rFonts w:ascii="Arial" w:hAnsi="Arial"/>
                <w:color w:val="000000"/>
                <w:sz w:val="15"/>
                <w:szCs w:val="15"/>
                <w:highlight w:val="yellow"/>
                <w:lang w:val="en-AU"/>
              </w:rPr>
            </w:pPr>
            <w:r w:rsidRPr="00602FEB">
              <w:rPr>
                <w:rFonts w:ascii="Arial" w:hAnsi="Arial"/>
                <w:color w:val="000000"/>
                <w:sz w:val="16"/>
                <w:szCs w:val="16"/>
                <w:lang w:val="en-AU"/>
              </w:rPr>
              <w:t>1,365</w:t>
            </w:r>
          </w:p>
        </w:tc>
        <w:tc>
          <w:tcPr>
            <w:tcW w:w="937" w:type="dxa"/>
            <w:tcBorders>
              <w:top w:val="nil"/>
              <w:left w:val="nil"/>
              <w:bottom w:val="nil"/>
              <w:right w:val="nil"/>
            </w:tcBorders>
            <w:shd w:val="clear" w:color="auto" w:fill="auto"/>
            <w:noWrap/>
            <w:vAlign w:val="center"/>
          </w:tcPr>
          <w:p w14:paraId="276628A3" w14:textId="3181966F" w:rsidR="00CF037A" w:rsidRPr="00DA5E40" w:rsidRDefault="00CF037A" w:rsidP="00DC59EB">
            <w:pPr>
              <w:spacing w:before="0" w:after="0"/>
              <w:jc w:val="right"/>
              <w:rPr>
                <w:rFonts w:ascii="Arial" w:hAnsi="Arial"/>
                <w:color w:val="000000"/>
                <w:sz w:val="15"/>
                <w:szCs w:val="15"/>
                <w:highlight w:val="yellow"/>
                <w:lang w:val="en-AU"/>
              </w:rPr>
            </w:pPr>
            <w:r w:rsidRPr="00602FEB">
              <w:rPr>
                <w:rFonts w:ascii="Arial" w:hAnsi="Arial"/>
                <w:color w:val="000000"/>
                <w:sz w:val="16"/>
                <w:szCs w:val="16"/>
                <w:lang w:val="en-AU"/>
              </w:rPr>
              <w:t>1,759</w:t>
            </w:r>
          </w:p>
        </w:tc>
        <w:tc>
          <w:tcPr>
            <w:tcW w:w="937" w:type="dxa"/>
            <w:tcBorders>
              <w:top w:val="nil"/>
              <w:left w:val="nil"/>
              <w:bottom w:val="nil"/>
              <w:right w:val="nil"/>
            </w:tcBorders>
            <w:shd w:val="clear" w:color="auto" w:fill="auto"/>
            <w:noWrap/>
            <w:vAlign w:val="center"/>
          </w:tcPr>
          <w:p w14:paraId="1531CA69" w14:textId="5EC1A600" w:rsidR="00CF037A" w:rsidRPr="00DA5E40" w:rsidRDefault="00CF037A" w:rsidP="00DC59EB">
            <w:pPr>
              <w:spacing w:before="0" w:after="0"/>
              <w:jc w:val="right"/>
              <w:rPr>
                <w:rFonts w:ascii="Arial" w:hAnsi="Arial"/>
                <w:color w:val="000000"/>
                <w:sz w:val="15"/>
                <w:szCs w:val="15"/>
                <w:highlight w:val="yellow"/>
                <w:lang w:val="en-AU"/>
              </w:rPr>
            </w:pPr>
            <w:r w:rsidRPr="00602FEB">
              <w:rPr>
                <w:rFonts w:ascii="Arial" w:hAnsi="Arial"/>
                <w:color w:val="000000"/>
                <w:sz w:val="16"/>
                <w:szCs w:val="16"/>
                <w:lang w:val="en-AU"/>
              </w:rPr>
              <w:t>1,979</w:t>
            </w:r>
          </w:p>
        </w:tc>
        <w:tc>
          <w:tcPr>
            <w:tcW w:w="938" w:type="dxa"/>
            <w:tcBorders>
              <w:top w:val="nil"/>
              <w:left w:val="nil"/>
              <w:bottom w:val="nil"/>
              <w:right w:val="nil"/>
            </w:tcBorders>
            <w:shd w:val="clear" w:color="auto" w:fill="auto"/>
            <w:noWrap/>
            <w:vAlign w:val="center"/>
          </w:tcPr>
          <w:p w14:paraId="322EE5C7" w14:textId="3A100533" w:rsidR="00CF037A" w:rsidRPr="00DA5E40" w:rsidRDefault="00CF037A" w:rsidP="00DC59EB">
            <w:pPr>
              <w:spacing w:before="0" w:after="0"/>
              <w:jc w:val="right"/>
              <w:rPr>
                <w:rFonts w:ascii="Arial" w:hAnsi="Arial"/>
                <w:color w:val="000000"/>
                <w:sz w:val="15"/>
                <w:szCs w:val="15"/>
                <w:highlight w:val="yellow"/>
                <w:lang w:val="en-AU"/>
              </w:rPr>
            </w:pPr>
            <w:r w:rsidRPr="00602FEB">
              <w:rPr>
                <w:rFonts w:ascii="Arial" w:hAnsi="Arial"/>
                <w:color w:val="000000"/>
                <w:sz w:val="16"/>
                <w:szCs w:val="16"/>
                <w:lang w:val="en-AU"/>
              </w:rPr>
              <w:t>2,550</w:t>
            </w:r>
          </w:p>
        </w:tc>
      </w:tr>
      <w:tr w:rsidR="00D50814" w:rsidRPr="00C510E0" w14:paraId="393F3909" w14:textId="77777777" w:rsidTr="002A5A4F">
        <w:trPr>
          <w:trHeight w:val="227"/>
        </w:trPr>
        <w:tc>
          <w:tcPr>
            <w:tcW w:w="3120" w:type="dxa"/>
            <w:tcBorders>
              <w:top w:val="nil"/>
              <w:left w:val="nil"/>
              <w:bottom w:val="nil"/>
              <w:right w:val="nil"/>
            </w:tcBorders>
            <w:shd w:val="clear" w:color="auto" w:fill="auto"/>
            <w:noWrap/>
            <w:vAlign w:val="center"/>
            <w:hideMark/>
          </w:tcPr>
          <w:p w14:paraId="2DF7CA4E" w14:textId="77777777" w:rsidR="00D50814" w:rsidRPr="002B2BCC" w:rsidRDefault="00D50814" w:rsidP="00D50814">
            <w:pPr>
              <w:spacing w:before="0" w:after="0"/>
              <w:ind w:firstLineChars="100" w:firstLine="160"/>
              <w:rPr>
                <w:rFonts w:ascii="Arial" w:hAnsi="Arial"/>
                <w:color w:val="000000"/>
                <w:sz w:val="16"/>
                <w:szCs w:val="16"/>
                <w:lang w:val="en-AU"/>
              </w:rPr>
            </w:pPr>
            <w:r w:rsidRPr="002B2BCC">
              <w:rPr>
                <w:rFonts w:ascii="Arial" w:hAnsi="Arial"/>
                <w:color w:val="000000"/>
                <w:sz w:val="16"/>
                <w:szCs w:val="16"/>
                <w:lang w:val="en-AU"/>
              </w:rPr>
              <w:t>Other</w:t>
            </w:r>
          </w:p>
        </w:tc>
        <w:tc>
          <w:tcPr>
            <w:tcW w:w="981" w:type="dxa"/>
            <w:tcBorders>
              <w:top w:val="nil"/>
              <w:left w:val="nil"/>
              <w:bottom w:val="nil"/>
              <w:right w:val="nil"/>
            </w:tcBorders>
            <w:shd w:val="clear" w:color="auto" w:fill="auto"/>
            <w:noWrap/>
            <w:vAlign w:val="center"/>
          </w:tcPr>
          <w:p w14:paraId="1618D241" w14:textId="77777777" w:rsidR="00D50814" w:rsidRPr="00DA5E40" w:rsidRDefault="00DA5E40" w:rsidP="00DA5E40">
            <w:pPr>
              <w:spacing w:before="0" w:after="0"/>
              <w:jc w:val="right"/>
              <w:rPr>
                <w:rFonts w:ascii="Arial" w:hAnsi="Arial"/>
                <w:color w:val="000000"/>
                <w:sz w:val="15"/>
                <w:szCs w:val="15"/>
                <w:highlight w:val="yellow"/>
                <w:lang w:val="en-AU"/>
              </w:rPr>
            </w:pPr>
            <w:r>
              <w:rPr>
                <w:rFonts w:ascii="Arial" w:hAnsi="Arial"/>
                <w:color w:val="000000"/>
                <w:sz w:val="15"/>
                <w:szCs w:val="15"/>
              </w:rPr>
              <w:t>-</w:t>
            </w:r>
          </w:p>
        </w:tc>
        <w:tc>
          <w:tcPr>
            <w:tcW w:w="938" w:type="dxa"/>
            <w:tcBorders>
              <w:top w:val="nil"/>
              <w:left w:val="nil"/>
              <w:bottom w:val="nil"/>
              <w:right w:val="nil"/>
            </w:tcBorders>
            <w:shd w:val="clear" w:color="auto" w:fill="E6E6E6"/>
            <w:noWrap/>
            <w:vAlign w:val="center"/>
          </w:tcPr>
          <w:p w14:paraId="5146B8C4" w14:textId="77777777" w:rsidR="00D50814" w:rsidRPr="00DA5E40" w:rsidRDefault="00D50814" w:rsidP="00D50814">
            <w:pPr>
              <w:spacing w:before="0" w:after="0"/>
              <w:jc w:val="right"/>
              <w:rPr>
                <w:rFonts w:ascii="Arial" w:hAnsi="Arial"/>
                <w:color w:val="000000"/>
                <w:sz w:val="15"/>
                <w:szCs w:val="15"/>
                <w:lang w:val="en-AU"/>
              </w:rPr>
            </w:pPr>
            <w:r w:rsidRPr="00DA5E40">
              <w:rPr>
                <w:rFonts w:ascii="Arial" w:hAnsi="Arial"/>
                <w:color w:val="000000"/>
                <w:sz w:val="15"/>
                <w:szCs w:val="15"/>
                <w:lang w:val="en-AU"/>
              </w:rPr>
              <w:t>-</w:t>
            </w:r>
          </w:p>
        </w:tc>
        <w:tc>
          <w:tcPr>
            <w:tcW w:w="937" w:type="dxa"/>
            <w:tcBorders>
              <w:top w:val="nil"/>
              <w:left w:val="nil"/>
              <w:bottom w:val="nil"/>
              <w:right w:val="nil"/>
            </w:tcBorders>
            <w:shd w:val="clear" w:color="auto" w:fill="auto"/>
            <w:noWrap/>
            <w:vAlign w:val="center"/>
          </w:tcPr>
          <w:p w14:paraId="212B170A" w14:textId="77777777" w:rsidR="00D50814" w:rsidRPr="00DA5E40" w:rsidRDefault="00D50814" w:rsidP="00D50814">
            <w:pPr>
              <w:spacing w:before="0" w:after="0"/>
              <w:jc w:val="right"/>
              <w:rPr>
                <w:rFonts w:ascii="Arial" w:hAnsi="Arial"/>
                <w:color w:val="000000"/>
                <w:sz w:val="15"/>
                <w:szCs w:val="15"/>
                <w:lang w:val="en-AU"/>
              </w:rPr>
            </w:pPr>
            <w:r w:rsidRPr="00DA5E40">
              <w:rPr>
                <w:rFonts w:ascii="Arial" w:hAnsi="Arial"/>
                <w:color w:val="000000"/>
                <w:sz w:val="15"/>
                <w:szCs w:val="15"/>
                <w:lang w:val="en-AU"/>
              </w:rPr>
              <w:t>-</w:t>
            </w:r>
          </w:p>
        </w:tc>
        <w:tc>
          <w:tcPr>
            <w:tcW w:w="937" w:type="dxa"/>
            <w:tcBorders>
              <w:top w:val="nil"/>
              <w:left w:val="nil"/>
              <w:bottom w:val="nil"/>
              <w:right w:val="nil"/>
            </w:tcBorders>
            <w:shd w:val="clear" w:color="auto" w:fill="auto"/>
            <w:noWrap/>
            <w:vAlign w:val="center"/>
          </w:tcPr>
          <w:p w14:paraId="0D1F9A53" w14:textId="77777777" w:rsidR="00D50814" w:rsidRPr="00DA5E40" w:rsidRDefault="00D50814" w:rsidP="00D50814">
            <w:pPr>
              <w:spacing w:before="0" w:after="0"/>
              <w:jc w:val="right"/>
              <w:rPr>
                <w:rFonts w:ascii="Arial" w:hAnsi="Arial"/>
                <w:color w:val="000000"/>
                <w:sz w:val="15"/>
                <w:szCs w:val="15"/>
                <w:lang w:val="en-AU"/>
              </w:rPr>
            </w:pPr>
            <w:r w:rsidRPr="00DA5E40">
              <w:rPr>
                <w:rFonts w:ascii="Arial" w:hAnsi="Arial"/>
                <w:color w:val="000000"/>
                <w:sz w:val="15"/>
                <w:szCs w:val="15"/>
                <w:lang w:val="en-AU"/>
              </w:rPr>
              <w:t>-</w:t>
            </w:r>
          </w:p>
        </w:tc>
        <w:tc>
          <w:tcPr>
            <w:tcW w:w="938" w:type="dxa"/>
            <w:tcBorders>
              <w:top w:val="nil"/>
              <w:left w:val="nil"/>
              <w:bottom w:val="nil"/>
              <w:right w:val="nil"/>
            </w:tcBorders>
            <w:shd w:val="clear" w:color="auto" w:fill="auto"/>
            <w:noWrap/>
            <w:vAlign w:val="center"/>
          </w:tcPr>
          <w:p w14:paraId="107024C4" w14:textId="77777777" w:rsidR="00D50814" w:rsidRPr="00DA5E40" w:rsidRDefault="00D50814" w:rsidP="00D50814">
            <w:pPr>
              <w:spacing w:before="0" w:after="0"/>
              <w:jc w:val="right"/>
              <w:rPr>
                <w:rFonts w:ascii="Arial" w:hAnsi="Arial"/>
                <w:color w:val="000000"/>
                <w:sz w:val="15"/>
                <w:szCs w:val="15"/>
                <w:lang w:val="en-AU"/>
              </w:rPr>
            </w:pPr>
            <w:r w:rsidRPr="00DA5E40">
              <w:rPr>
                <w:rFonts w:ascii="Arial" w:hAnsi="Arial"/>
                <w:color w:val="000000"/>
                <w:sz w:val="15"/>
                <w:szCs w:val="15"/>
                <w:lang w:val="en-AU"/>
              </w:rPr>
              <w:t>-</w:t>
            </w:r>
          </w:p>
        </w:tc>
      </w:tr>
      <w:tr w:rsidR="00CF037A" w:rsidRPr="00C510E0" w14:paraId="140E89FE" w14:textId="77777777" w:rsidTr="002A5A4F">
        <w:trPr>
          <w:trHeight w:val="227"/>
        </w:trPr>
        <w:tc>
          <w:tcPr>
            <w:tcW w:w="3120" w:type="dxa"/>
            <w:tcBorders>
              <w:top w:val="nil"/>
              <w:left w:val="nil"/>
              <w:bottom w:val="nil"/>
              <w:right w:val="nil"/>
            </w:tcBorders>
            <w:shd w:val="clear" w:color="auto" w:fill="auto"/>
            <w:noWrap/>
            <w:vAlign w:val="center"/>
            <w:hideMark/>
          </w:tcPr>
          <w:p w14:paraId="497BF333" w14:textId="77777777" w:rsidR="00CF037A" w:rsidRPr="002B2BCC" w:rsidRDefault="00CF037A" w:rsidP="00CF037A">
            <w:pPr>
              <w:spacing w:before="0" w:after="0"/>
              <w:rPr>
                <w:rFonts w:ascii="Arial" w:hAnsi="Arial"/>
                <w:b/>
                <w:bCs/>
                <w:i/>
                <w:iCs/>
                <w:color w:val="000000"/>
                <w:sz w:val="16"/>
                <w:szCs w:val="16"/>
                <w:lang w:val="en-AU"/>
              </w:rPr>
            </w:pPr>
            <w:r w:rsidRPr="002B2BCC">
              <w:rPr>
                <w:rFonts w:ascii="Arial" w:hAnsi="Arial"/>
                <w:b/>
                <w:bCs/>
                <w:i/>
                <w:iCs/>
                <w:color w:val="000000"/>
                <w:sz w:val="16"/>
                <w:szCs w:val="16"/>
                <w:lang w:val="en-AU"/>
              </w:rPr>
              <w:t>Total cash received</w:t>
            </w:r>
          </w:p>
        </w:tc>
        <w:tc>
          <w:tcPr>
            <w:tcW w:w="981" w:type="dxa"/>
            <w:tcBorders>
              <w:top w:val="single" w:sz="4" w:space="0" w:color="000000"/>
              <w:left w:val="nil"/>
              <w:bottom w:val="single" w:sz="4" w:space="0" w:color="000000"/>
              <w:right w:val="nil"/>
            </w:tcBorders>
            <w:shd w:val="clear" w:color="auto" w:fill="auto"/>
            <w:noWrap/>
            <w:vAlign w:val="center"/>
          </w:tcPr>
          <w:p w14:paraId="332DB8B4" w14:textId="216E2DE1" w:rsidR="00CF037A" w:rsidRPr="00DA5E40" w:rsidRDefault="00CF037A" w:rsidP="00DC59EB">
            <w:pPr>
              <w:spacing w:before="0" w:after="0"/>
              <w:jc w:val="right"/>
              <w:rPr>
                <w:rFonts w:ascii="Arial" w:hAnsi="Arial"/>
                <w:b/>
                <w:bCs/>
                <w:iCs/>
                <w:color w:val="000000"/>
                <w:sz w:val="15"/>
                <w:szCs w:val="15"/>
                <w:highlight w:val="yellow"/>
                <w:lang w:val="en-AU"/>
              </w:rPr>
            </w:pPr>
            <w:r w:rsidRPr="00602FEB">
              <w:rPr>
                <w:rFonts w:ascii="Arial" w:hAnsi="Arial"/>
                <w:b/>
                <w:bCs/>
                <w:i/>
                <w:iCs/>
                <w:color w:val="000000"/>
                <w:sz w:val="16"/>
                <w:szCs w:val="16"/>
                <w:lang w:val="en-AU"/>
              </w:rPr>
              <w:t>875,969</w:t>
            </w:r>
          </w:p>
        </w:tc>
        <w:tc>
          <w:tcPr>
            <w:tcW w:w="938" w:type="dxa"/>
            <w:tcBorders>
              <w:top w:val="single" w:sz="4" w:space="0" w:color="000000"/>
              <w:left w:val="nil"/>
              <w:bottom w:val="single" w:sz="4" w:space="0" w:color="000000"/>
              <w:right w:val="nil"/>
            </w:tcBorders>
            <w:shd w:val="clear" w:color="auto" w:fill="E6E6E6"/>
            <w:noWrap/>
            <w:vAlign w:val="center"/>
          </w:tcPr>
          <w:p w14:paraId="7C13AEAC" w14:textId="3FCFC52A" w:rsidR="00CF037A" w:rsidRPr="00DA5E40" w:rsidRDefault="00CF037A" w:rsidP="00DC59EB">
            <w:pPr>
              <w:spacing w:before="0" w:after="0"/>
              <w:jc w:val="right"/>
              <w:rPr>
                <w:rFonts w:ascii="Arial" w:hAnsi="Arial"/>
                <w:b/>
                <w:bCs/>
                <w:iCs/>
                <w:color w:val="000000"/>
                <w:sz w:val="15"/>
                <w:szCs w:val="15"/>
                <w:lang w:val="en-AU"/>
              </w:rPr>
            </w:pPr>
            <w:r w:rsidRPr="00602FEB">
              <w:rPr>
                <w:rFonts w:ascii="Arial" w:hAnsi="Arial"/>
                <w:b/>
                <w:bCs/>
                <w:i/>
                <w:iCs/>
                <w:color w:val="000000"/>
                <w:sz w:val="16"/>
                <w:szCs w:val="16"/>
                <w:lang w:val="en-AU"/>
              </w:rPr>
              <w:t>1,085,075</w:t>
            </w:r>
          </w:p>
        </w:tc>
        <w:tc>
          <w:tcPr>
            <w:tcW w:w="937" w:type="dxa"/>
            <w:tcBorders>
              <w:top w:val="single" w:sz="4" w:space="0" w:color="000000"/>
              <w:left w:val="nil"/>
              <w:bottom w:val="single" w:sz="4" w:space="0" w:color="000000"/>
              <w:right w:val="nil"/>
            </w:tcBorders>
            <w:shd w:val="clear" w:color="auto" w:fill="auto"/>
            <w:noWrap/>
            <w:vAlign w:val="center"/>
          </w:tcPr>
          <w:p w14:paraId="1A210229" w14:textId="7FAA95EE" w:rsidR="00CF037A" w:rsidRPr="00DA5E40" w:rsidRDefault="00CF037A" w:rsidP="00DC59EB">
            <w:pPr>
              <w:spacing w:before="0" w:after="0"/>
              <w:jc w:val="right"/>
              <w:rPr>
                <w:rFonts w:ascii="Arial" w:hAnsi="Arial"/>
                <w:b/>
                <w:bCs/>
                <w:iCs/>
                <w:color w:val="000000"/>
                <w:sz w:val="15"/>
                <w:szCs w:val="15"/>
                <w:lang w:val="en-AU"/>
              </w:rPr>
            </w:pPr>
            <w:r w:rsidRPr="00602FEB">
              <w:rPr>
                <w:rFonts w:ascii="Arial" w:hAnsi="Arial"/>
                <w:b/>
                <w:bCs/>
                <w:i/>
                <w:iCs/>
                <w:color w:val="000000"/>
                <w:sz w:val="16"/>
                <w:szCs w:val="16"/>
                <w:lang w:val="en-AU"/>
              </w:rPr>
              <w:t>1,089,214</w:t>
            </w:r>
          </w:p>
        </w:tc>
        <w:tc>
          <w:tcPr>
            <w:tcW w:w="937" w:type="dxa"/>
            <w:tcBorders>
              <w:top w:val="single" w:sz="4" w:space="0" w:color="000000"/>
              <w:left w:val="nil"/>
              <w:bottom w:val="single" w:sz="4" w:space="0" w:color="000000"/>
              <w:right w:val="nil"/>
            </w:tcBorders>
            <w:shd w:val="clear" w:color="auto" w:fill="auto"/>
            <w:noWrap/>
            <w:vAlign w:val="center"/>
          </w:tcPr>
          <w:p w14:paraId="7F5C942A" w14:textId="24A530D6" w:rsidR="00CF037A" w:rsidRPr="00DA5E40" w:rsidRDefault="00CF037A" w:rsidP="00DC59EB">
            <w:pPr>
              <w:spacing w:before="0" w:after="0"/>
              <w:jc w:val="right"/>
              <w:rPr>
                <w:rFonts w:ascii="Arial" w:hAnsi="Arial"/>
                <w:b/>
                <w:bCs/>
                <w:iCs/>
                <w:color w:val="000000"/>
                <w:sz w:val="15"/>
                <w:szCs w:val="15"/>
                <w:lang w:val="en-AU"/>
              </w:rPr>
            </w:pPr>
            <w:r w:rsidRPr="00602FEB">
              <w:rPr>
                <w:rFonts w:ascii="Arial" w:hAnsi="Arial"/>
                <w:b/>
                <w:bCs/>
                <w:i/>
                <w:iCs/>
                <w:color w:val="000000"/>
                <w:sz w:val="16"/>
                <w:szCs w:val="16"/>
                <w:lang w:val="en-AU"/>
              </w:rPr>
              <w:t>1,058,981</w:t>
            </w:r>
          </w:p>
        </w:tc>
        <w:tc>
          <w:tcPr>
            <w:tcW w:w="938" w:type="dxa"/>
            <w:tcBorders>
              <w:top w:val="single" w:sz="4" w:space="0" w:color="000000"/>
              <w:left w:val="nil"/>
              <w:bottom w:val="single" w:sz="4" w:space="0" w:color="000000"/>
              <w:right w:val="nil"/>
            </w:tcBorders>
            <w:shd w:val="clear" w:color="auto" w:fill="auto"/>
            <w:noWrap/>
            <w:vAlign w:val="center"/>
          </w:tcPr>
          <w:p w14:paraId="1DAD1515" w14:textId="50BD5FE5" w:rsidR="00CF037A" w:rsidRPr="00DA5E40" w:rsidRDefault="00CF037A" w:rsidP="00DC59EB">
            <w:pPr>
              <w:spacing w:before="0" w:after="0"/>
              <w:jc w:val="right"/>
              <w:rPr>
                <w:rFonts w:ascii="Arial" w:hAnsi="Arial"/>
                <w:b/>
                <w:bCs/>
                <w:iCs/>
                <w:color w:val="000000"/>
                <w:sz w:val="15"/>
                <w:szCs w:val="15"/>
                <w:lang w:val="en-AU"/>
              </w:rPr>
            </w:pPr>
            <w:r w:rsidRPr="00602FEB">
              <w:rPr>
                <w:rFonts w:ascii="Arial" w:hAnsi="Arial"/>
                <w:b/>
                <w:bCs/>
                <w:i/>
                <w:iCs/>
                <w:color w:val="000000"/>
                <w:sz w:val="16"/>
                <w:szCs w:val="16"/>
                <w:lang w:val="en-AU"/>
              </w:rPr>
              <w:t>953,355</w:t>
            </w:r>
          </w:p>
        </w:tc>
      </w:tr>
      <w:tr w:rsidR="00D50814" w:rsidRPr="00C510E0" w14:paraId="0049BA53" w14:textId="77777777" w:rsidTr="002A5A4F">
        <w:trPr>
          <w:trHeight w:val="227"/>
        </w:trPr>
        <w:tc>
          <w:tcPr>
            <w:tcW w:w="3120" w:type="dxa"/>
            <w:tcBorders>
              <w:top w:val="nil"/>
              <w:left w:val="nil"/>
              <w:bottom w:val="nil"/>
              <w:right w:val="nil"/>
            </w:tcBorders>
            <w:shd w:val="clear" w:color="auto" w:fill="auto"/>
            <w:noWrap/>
            <w:vAlign w:val="center"/>
            <w:hideMark/>
          </w:tcPr>
          <w:p w14:paraId="0CD09411" w14:textId="77777777" w:rsidR="00D50814" w:rsidRPr="002B2BCC" w:rsidRDefault="00D50814" w:rsidP="00D50814">
            <w:pPr>
              <w:spacing w:before="0" w:after="0"/>
              <w:rPr>
                <w:rFonts w:ascii="Arial" w:hAnsi="Arial"/>
                <w:b/>
                <w:bCs/>
                <w:color w:val="000000"/>
                <w:sz w:val="16"/>
                <w:szCs w:val="16"/>
                <w:lang w:val="en-AU"/>
              </w:rPr>
            </w:pPr>
            <w:r w:rsidRPr="002B2BCC">
              <w:rPr>
                <w:rFonts w:ascii="Arial" w:hAnsi="Arial"/>
                <w:b/>
                <w:bCs/>
                <w:color w:val="000000"/>
                <w:sz w:val="16"/>
                <w:szCs w:val="16"/>
                <w:lang w:val="en-AU"/>
              </w:rPr>
              <w:t>Cash used</w:t>
            </w:r>
          </w:p>
        </w:tc>
        <w:tc>
          <w:tcPr>
            <w:tcW w:w="981" w:type="dxa"/>
            <w:tcBorders>
              <w:top w:val="nil"/>
              <w:left w:val="nil"/>
              <w:bottom w:val="nil"/>
              <w:right w:val="nil"/>
            </w:tcBorders>
            <w:shd w:val="clear" w:color="auto" w:fill="auto"/>
            <w:noWrap/>
            <w:vAlign w:val="center"/>
          </w:tcPr>
          <w:p w14:paraId="38CD0BE5" w14:textId="77777777" w:rsidR="00D50814" w:rsidRPr="00DA5E40" w:rsidRDefault="00D50814" w:rsidP="00D50814">
            <w:pPr>
              <w:spacing w:before="0" w:after="0"/>
              <w:jc w:val="right"/>
              <w:rPr>
                <w:rFonts w:ascii="Arial" w:hAnsi="Arial"/>
                <w:b/>
                <w:bCs/>
                <w:color w:val="000000"/>
                <w:sz w:val="15"/>
                <w:szCs w:val="15"/>
                <w:highlight w:val="yellow"/>
                <w:lang w:val="en-AU"/>
              </w:rPr>
            </w:pPr>
          </w:p>
        </w:tc>
        <w:tc>
          <w:tcPr>
            <w:tcW w:w="938" w:type="dxa"/>
            <w:tcBorders>
              <w:top w:val="nil"/>
              <w:left w:val="nil"/>
              <w:bottom w:val="nil"/>
              <w:right w:val="nil"/>
            </w:tcBorders>
            <w:shd w:val="clear" w:color="auto" w:fill="E6E6E6"/>
            <w:noWrap/>
            <w:vAlign w:val="center"/>
          </w:tcPr>
          <w:p w14:paraId="2D4E211E" w14:textId="77777777" w:rsidR="00D50814" w:rsidRPr="00DA5E40" w:rsidRDefault="00D50814" w:rsidP="00D50814">
            <w:pPr>
              <w:spacing w:before="0" w:after="0"/>
              <w:jc w:val="right"/>
              <w:rPr>
                <w:rFonts w:ascii="Arial" w:hAnsi="Arial"/>
                <w:color w:val="000000"/>
                <w:sz w:val="15"/>
                <w:szCs w:val="15"/>
                <w:lang w:val="en-AU"/>
              </w:rPr>
            </w:pPr>
          </w:p>
        </w:tc>
        <w:tc>
          <w:tcPr>
            <w:tcW w:w="937" w:type="dxa"/>
            <w:tcBorders>
              <w:top w:val="nil"/>
              <w:left w:val="nil"/>
              <w:bottom w:val="nil"/>
              <w:right w:val="nil"/>
            </w:tcBorders>
            <w:shd w:val="clear" w:color="auto" w:fill="auto"/>
            <w:noWrap/>
            <w:vAlign w:val="center"/>
          </w:tcPr>
          <w:p w14:paraId="295935F8" w14:textId="77777777" w:rsidR="00D50814" w:rsidRPr="00DA5E40" w:rsidRDefault="00D50814" w:rsidP="00D50814">
            <w:pPr>
              <w:spacing w:before="0" w:after="0"/>
              <w:jc w:val="right"/>
              <w:rPr>
                <w:rFonts w:ascii="Times New Roman" w:hAnsi="Times New Roman" w:cs="Times New Roman"/>
                <w:sz w:val="15"/>
                <w:szCs w:val="15"/>
                <w:lang w:val="en-AU"/>
              </w:rPr>
            </w:pPr>
          </w:p>
        </w:tc>
        <w:tc>
          <w:tcPr>
            <w:tcW w:w="937" w:type="dxa"/>
            <w:tcBorders>
              <w:top w:val="nil"/>
              <w:left w:val="nil"/>
              <w:bottom w:val="nil"/>
              <w:right w:val="nil"/>
            </w:tcBorders>
            <w:shd w:val="clear" w:color="auto" w:fill="auto"/>
            <w:noWrap/>
            <w:vAlign w:val="center"/>
          </w:tcPr>
          <w:p w14:paraId="5E783C2A" w14:textId="77777777" w:rsidR="00D50814" w:rsidRPr="00DA5E40" w:rsidRDefault="00D50814" w:rsidP="00D50814">
            <w:pPr>
              <w:spacing w:before="0" w:after="0"/>
              <w:jc w:val="right"/>
              <w:rPr>
                <w:rFonts w:ascii="Times New Roman" w:hAnsi="Times New Roman" w:cs="Times New Roman"/>
                <w:sz w:val="15"/>
                <w:szCs w:val="15"/>
                <w:lang w:val="en-AU"/>
              </w:rPr>
            </w:pPr>
          </w:p>
        </w:tc>
        <w:tc>
          <w:tcPr>
            <w:tcW w:w="938" w:type="dxa"/>
            <w:tcBorders>
              <w:top w:val="nil"/>
              <w:left w:val="nil"/>
              <w:bottom w:val="nil"/>
              <w:right w:val="nil"/>
            </w:tcBorders>
            <w:shd w:val="clear" w:color="auto" w:fill="auto"/>
            <w:noWrap/>
            <w:vAlign w:val="center"/>
          </w:tcPr>
          <w:p w14:paraId="45A905A1" w14:textId="77777777" w:rsidR="00D50814" w:rsidRPr="00DA5E40" w:rsidRDefault="00D50814" w:rsidP="00D50814">
            <w:pPr>
              <w:spacing w:before="0" w:after="0"/>
              <w:jc w:val="right"/>
              <w:rPr>
                <w:rFonts w:ascii="Times New Roman" w:hAnsi="Times New Roman" w:cs="Times New Roman"/>
                <w:sz w:val="15"/>
                <w:szCs w:val="15"/>
                <w:lang w:val="en-AU"/>
              </w:rPr>
            </w:pPr>
          </w:p>
        </w:tc>
      </w:tr>
      <w:tr w:rsidR="00CF037A" w:rsidRPr="00C510E0" w14:paraId="2D77F89A" w14:textId="77777777" w:rsidTr="002A5A4F">
        <w:trPr>
          <w:trHeight w:val="227"/>
        </w:trPr>
        <w:tc>
          <w:tcPr>
            <w:tcW w:w="3120" w:type="dxa"/>
            <w:tcBorders>
              <w:top w:val="nil"/>
              <w:left w:val="nil"/>
              <w:bottom w:val="nil"/>
              <w:right w:val="nil"/>
            </w:tcBorders>
            <w:shd w:val="clear" w:color="auto" w:fill="auto"/>
            <w:noWrap/>
            <w:vAlign w:val="center"/>
            <w:hideMark/>
          </w:tcPr>
          <w:p w14:paraId="277DA48C" w14:textId="77777777" w:rsidR="00CF037A" w:rsidRPr="002B2BCC" w:rsidRDefault="00CF037A" w:rsidP="00CF037A">
            <w:pPr>
              <w:spacing w:before="0" w:after="0"/>
              <w:ind w:firstLineChars="100" w:firstLine="160"/>
              <w:rPr>
                <w:rFonts w:ascii="Arial" w:hAnsi="Arial"/>
                <w:color w:val="000000"/>
                <w:sz w:val="16"/>
                <w:szCs w:val="16"/>
                <w:lang w:val="en-AU"/>
              </w:rPr>
            </w:pPr>
            <w:r w:rsidRPr="002B2BCC">
              <w:rPr>
                <w:rFonts w:ascii="Arial" w:hAnsi="Arial"/>
                <w:color w:val="000000"/>
                <w:sz w:val="16"/>
                <w:szCs w:val="16"/>
                <w:lang w:val="en-AU"/>
              </w:rPr>
              <w:t>Employees</w:t>
            </w:r>
          </w:p>
        </w:tc>
        <w:tc>
          <w:tcPr>
            <w:tcW w:w="981" w:type="dxa"/>
            <w:tcBorders>
              <w:top w:val="nil"/>
              <w:left w:val="nil"/>
              <w:bottom w:val="nil"/>
              <w:right w:val="nil"/>
            </w:tcBorders>
            <w:shd w:val="clear" w:color="auto" w:fill="auto"/>
            <w:noWrap/>
            <w:vAlign w:val="center"/>
          </w:tcPr>
          <w:p w14:paraId="1A1E50A7" w14:textId="2CC7D235" w:rsidR="00CF037A" w:rsidRPr="00DA5E40" w:rsidRDefault="00CF037A" w:rsidP="00DC59EB">
            <w:pPr>
              <w:spacing w:before="0" w:after="0"/>
              <w:jc w:val="right"/>
              <w:rPr>
                <w:rFonts w:ascii="Arial" w:hAnsi="Arial"/>
                <w:color w:val="000000"/>
                <w:sz w:val="15"/>
                <w:szCs w:val="15"/>
                <w:highlight w:val="yellow"/>
                <w:lang w:val="en-AU"/>
              </w:rPr>
            </w:pPr>
            <w:r w:rsidRPr="00602FEB">
              <w:rPr>
                <w:rFonts w:ascii="Arial" w:hAnsi="Arial"/>
                <w:color w:val="000000"/>
                <w:sz w:val="16"/>
                <w:szCs w:val="16"/>
                <w:lang w:val="en-AU"/>
              </w:rPr>
              <w:t>101,275</w:t>
            </w:r>
          </w:p>
        </w:tc>
        <w:tc>
          <w:tcPr>
            <w:tcW w:w="938" w:type="dxa"/>
            <w:tcBorders>
              <w:top w:val="nil"/>
              <w:left w:val="nil"/>
              <w:bottom w:val="nil"/>
              <w:right w:val="nil"/>
            </w:tcBorders>
            <w:shd w:val="clear" w:color="auto" w:fill="E6E6E6"/>
            <w:noWrap/>
            <w:vAlign w:val="center"/>
          </w:tcPr>
          <w:p w14:paraId="1808C49A" w14:textId="6649896E" w:rsidR="00CF037A" w:rsidRPr="00DA5E40" w:rsidRDefault="00CF037A" w:rsidP="00DC59EB">
            <w:pPr>
              <w:spacing w:before="0" w:after="0"/>
              <w:jc w:val="right"/>
              <w:rPr>
                <w:rFonts w:ascii="Arial" w:hAnsi="Arial"/>
                <w:color w:val="000000"/>
                <w:sz w:val="15"/>
                <w:szCs w:val="15"/>
                <w:lang w:val="en-AU"/>
              </w:rPr>
            </w:pPr>
            <w:r w:rsidRPr="00602FEB">
              <w:rPr>
                <w:rFonts w:ascii="Arial" w:hAnsi="Arial"/>
                <w:color w:val="000000"/>
                <w:sz w:val="16"/>
                <w:szCs w:val="16"/>
                <w:lang w:val="en-AU"/>
              </w:rPr>
              <w:t>98,620</w:t>
            </w:r>
          </w:p>
        </w:tc>
        <w:tc>
          <w:tcPr>
            <w:tcW w:w="937" w:type="dxa"/>
            <w:tcBorders>
              <w:top w:val="nil"/>
              <w:left w:val="nil"/>
              <w:bottom w:val="nil"/>
              <w:right w:val="nil"/>
            </w:tcBorders>
            <w:shd w:val="clear" w:color="auto" w:fill="auto"/>
            <w:noWrap/>
            <w:vAlign w:val="center"/>
          </w:tcPr>
          <w:p w14:paraId="236B08AF" w14:textId="284D514D" w:rsidR="00CF037A" w:rsidRPr="00DA5E40" w:rsidRDefault="00CF037A" w:rsidP="00DC59EB">
            <w:pPr>
              <w:spacing w:before="0" w:after="0"/>
              <w:jc w:val="right"/>
              <w:rPr>
                <w:rFonts w:ascii="Arial" w:hAnsi="Arial"/>
                <w:color w:val="000000"/>
                <w:sz w:val="15"/>
                <w:szCs w:val="15"/>
                <w:lang w:val="en-AU"/>
              </w:rPr>
            </w:pPr>
            <w:r w:rsidRPr="00602FEB">
              <w:rPr>
                <w:rFonts w:ascii="Arial" w:hAnsi="Arial"/>
                <w:color w:val="000000"/>
                <w:sz w:val="16"/>
                <w:szCs w:val="16"/>
                <w:lang w:val="en-AU"/>
              </w:rPr>
              <w:t>108,242</w:t>
            </w:r>
          </w:p>
        </w:tc>
        <w:tc>
          <w:tcPr>
            <w:tcW w:w="937" w:type="dxa"/>
            <w:tcBorders>
              <w:top w:val="nil"/>
              <w:left w:val="nil"/>
              <w:bottom w:val="nil"/>
              <w:right w:val="nil"/>
            </w:tcBorders>
            <w:shd w:val="clear" w:color="auto" w:fill="auto"/>
            <w:noWrap/>
            <w:vAlign w:val="center"/>
          </w:tcPr>
          <w:p w14:paraId="5C38F904" w14:textId="6B8B8CE4" w:rsidR="00CF037A" w:rsidRPr="00DA5E40" w:rsidRDefault="00CF037A" w:rsidP="00DC59EB">
            <w:pPr>
              <w:spacing w:before="0" w:after="0"/>
              <w:jc w:val="right"/>
              <w:rPr>
                <w:rFonts w:ascii="Arial" w:hAnsi="Arial"/>
                <w:color w:val="000000"/>
                <w:sz w:val="15"/>
                <w:szCs w:val="15"/>
                <w:lang w:val="en-AU"/>
              </w:rPr>
            </w:pPr>
            <w:r w:rsidRPr="00602FEB">
              <w:rPr>
                <w:rFonts w:ascii="Arial" w:hAnsi="Arial"/>
                <w:color w:val="000000"/>
                <w:sz w:val="16"/>
                <w:szCs w:val="16"/>
                <w:lang w:val="en-AU"/>
              </w:rPr>
              <w:t>112,230</w:t>
            </w:r>
          </w:p>
        </w:tc>
        <w:tc>
          <w:tcPr>
            <w:tcW w:w="938" w:type="dxa"/>
            <w:tcBorders>
              <w:top w:val="nil"/>
              <w:left w:val="nil"/>
              <w:bottom w:val="nil"/>
              <w:right w:val="nil"/>
            </w:tcBorders>
            <w:shd w:val="clear" w:color="auto" w:fill="auto"/>
            <w:noWrap/>
            <w:vAlign w:val="center"/>
          </w:tcPr>
          <w:p w14:paraId="10B5E752" w14:textId="5A774EEE" w:rsidR="00CF037A" w:rsidRPr="00DA5E40" w:rsidRDefault="00CF037A" w:rsidP="00DC59EB">
            <w:pPr>
              <w:spacing w:before="0" w:after="0"/>
              <w:jc w:val="right"/>
              <w:rPr>
                <w:rFonts w:ascii="Arial" w:hAnsi="Arial"/>
                <w:color w:val="000000"/>
                <w:sz w:val="15"/>
                <w:szCs w:val="15"/>
                <w:lang w:val="en-AU"/>
              </w:rPr>
            </w:pPr>
            <w:r w:rsidRPr="00602FEB">
              <w:rPr>
                <w:rFonts w:ascii="Arial" w:hAnsi="Arial"/>
                <w:color w:val="000000"/>
                <w:sz w:val="16"/>
                <w:szCs w:val="16"/>
                <w:lang w:val="en-AU"/>
              </w:rPr>
              <w:t>116,335</w:t>
            </w:r>
          </w:p>
        </w:tc>
      </w:tr>
      <w:tr w:rsidR="00CF037A" w:rsidRPr="00C510E0" w14:paraId="0D6D4F98" w14:textId="77777777" w:rsidTr="002A5A4F">
        <w:trPr>
          <w:trHeight w:val="227"/>
        </w:trPr>
        <w:tc>
          <w:tcPr>
            <w:tcW w:w="3120" w:type="dxa"/>
            <w:tcBorders>
              <w:top w:val="nil"/>
              <w:left w:val="nil"/>
              <w:bottom w:val="nil"/>
              <w:right w:val="nil"/>
            </w:tcBorders>
            <w:shd w:val="clear" w:color="auto" w:fill="auto"/>
            <w:noWrap/>
            <w:vAlign w:val="center"/>
            <w:hideMark/>
          </w:tcPr>
          <w:p w14:paraId="6E88EE2E" w14:textId="77777777" w:rsidR="00CF037A" w:rsidRPr="002B2BCC" w:rsidRDefault="00CF037A" w:rsidP="00CF037A">
            <w:pPr>
              <w:spacing w:before="0" w:after="0"/>
              <w:ind w:firstLineChars="100" w:firstLine="160"/>
              <w:rPr>
                <w:rFonts w:ascii="Arial" w:hAnsi="Arial"/>
                <w:color w:val="000000"/>
                <w:sz w:val="16"/>
                <w:szCs w:val="16"/>
                <w:lang w:val="en-AU"/>
              </w:rPr>
            </w:pPr>
            <w:r w:rsidRPr="002B2BCC">
              <w:rPr>
                <w:rFonts w:ascii="Arial" w:hAnsi="Arial"/>
                <w:color w:val="000000"/>
                <w:sz w:val="16"/>
                <w:szCs w:val="16"/>
                <w:lang w:val="en-AU"/>
              </w:rPr>
              <w:t>Suppliers</w:t>
            </w:r>
          </w:p>
        </w:tc>
        <w:tc>
          <w:tcPr>
            <w:tcW w:w="981" w:type="dxa"/>
            <w:tcBorders>
              <w:top w:val="nil"/>
              <w:left w:val="nil"/>
              <w:bottom w:val="nil"/>
              <w:right w:val="nil"/>
            </w:tcBorders>
            <w:shd w:val="clear" w:color="auto" w:fill="auto"/>
            <w:noWrap/>
            <w:vAlign w:val="center"/>
          </w:tcPr>
          <w:p w14:paraId="16264A6F" w14:textId="39D6B988" w:rsidR="00CF037A" w:rsidRPr="00DA5E40" w:rsidRDefault="00CF037A" w:rsidP="00DC59EB">
            <w:pPr>
              <w:spacing w:before="0" w:after="0"/>
              <w:jc w:val="right"/>
              <w:rPr>
                <w:rFonts w:ascii="Arial" w:hAnsi="Arial"/>
                <w:color w:val="000000"/>
                <w:sz w:val="15"/>
                <w:szCs w:val="15"/>
                <w:highlight w:val="yellow"/>
                <w:lang w:val="en-AU"/>
              </w:rPr>
            </w:pPr>
            <w:r w:rsidRPr="00602FEB">
              <w:rPr>
                <w:rFonts w:ascii="Arial" w:hAnsi="Arial"/>
                <w:color w:val="000000"/>
                <w:sz w:val="16"/>
                <w:szCs w:val="16"/>
                <w:lang w:val="en-AU"/>
              </w:rPr>
              <w:t>292,065</w:t>
            </w:r>
          </w:p>
        </w:tc>
        <w:tc>
          <w:tcPr>
            <w:tcW w:w="938" w:type="dxa"/>
            <w:tcBorders>
              <w:top w:val="nil"/>
              <w:left w:val="nil"/>
              <w:bottom w:val="nil"/>
              <w:right w:val="nil"/>
            </w:tcBorders>
            <w:shd w:val="clear" w:color="auto" w:fill="E6E6E6"/>
            <w:noWrap/>
            <w:vAlign w:val="center"/>
          </w:tcPr>
          <w:p w14:paraId="56023135" w14:textId="15417318" w:rsidR="00CF037A" w:rsidRPr="00DA5E40" w:rsidRDefault="00CF037A" w:rsidP="00DC59EB">
            <w:pPr>
              <w:spacing w:before="0" w:after="0"/>
              <w:jc w:val="right"/>
              <w:rPr>
                <w:rFonts w:ascii="Arial" w:hAnsi="Arial"/>
                <w:color w:val="000000"/>
                <w:sz w:val="15"/>
                <w:szCs w:val="15"/>
                <w:lang w:val="en-AU"/>
              </w:rPr>
            </w:pPr>
            <w:r w:rsidRPr="00602FEB">
              <w:rPr>
                <w:rFonts w:ascii="Arial" w:hAnsi="Arial"/>
                <w:color w:val="000000"/>
                <w:sz w:val="16"/>
                <w:szCs w:val="16"/>
                <w:lang w:val="en-AU"/>
              </w:rPr>
              <w:t>404,389</w:t>
            </w:r>
          </w:p>
        </w:tc>
        <w:tc>
          <w:tcPr>
            <w:tcW w:w="937" w:type="dxa"/>
            <w:tcBorders>
              <w:top w:val="nil"/>
              <w:left w:val="nil"/>
              <w:bottom w:val="nil"/>
              <w:right w:val="nil"/>
            </w:tcBorders>
            <w:shd w:val="clear" w:color="auto" w:fill="auto"/>
            <w:noWrap/>
            <w:vAlign w:val="center"/>
          </w:tcPr>
          <w:p w14:paraId="2D269087" w14:textId="00E8E3C5" w:rsidR="00CF037A" w:rsidRPr="00DA5E40" w:rsidRDefault="00CF037A" w:rsidP="00DC59EB">
            <w:pPr>
              <w:spacing w:before="0" w:after="0"/>
              <w:jc w:val="right"/>
              <w:rPr>
                <w:rFonts w:ascii="Arial" w:hAnsi="Arial"/>
                <w:color w:val="000000"/>
                <w:sz w:val="15"/>
                <w:szCs w:val="15"/>
                <w:lang w:val="en-AU"/>
              </w:rPr>
            </w:pPr>
            <w:r w:rsidRPr="00602FEB">
              <w:rPr>
                <w:rFonts w:ascii="Arial" w:hAnsi="Arial"/>
                <w:color w:val="000000"/>
                <w:sz w:val="16"/>
                <w:szCs w:val="16"/>
                <w:lang w:val="en-AU"/>
              </w:rPr>
              <w:t>295,780</w:t>
            </w:r>
          </w:p>
        </w:tc>
        <w:tc>
          <w:tcPr>
            <w:tcW w:w="937" w:type="dxa"/>
            <w:tcBorders>
              <w:top w:val="nil"/>
              <w:left w:val="nil"/>
              <w:bottom w:val="nil"/>
              <w:right w:val="nil"/>
            </w:tcBorders>
            <w:shd w:val="clear" w:color="auto" w:fill="auto"/>
            <w:noWrap/>
            <w:vAlign w:val="center"/>
          </w:tcPr>
          <w:p w14:paraId="3B834F74" w14:textId="217C275A" w:rsidR="00CF037A" w:rsidRPr="00DA5E40" w:rsidRDefault="00CF037A" w:rsidP="00DC59EB">
            <w:pPr>
              <w:spacing w:before="0" w:after="0"/>
              <w:jc w:val="right"/>
              <w:rPr>
                <w:rFonts w:ascii="Arial" w:hAnsi="Arial"/>
                <w:color w:val="000000"/>
                <w:sz w:val="15"/>
                <w:szCs w:val="15"/>
                <w:lang w:val="en-AU"/>
              </w:rPr>
            </w:pPr>
            <w:r w:rsidRPr="00602FEB">
              <w:rPr>
                <w:rFonts w:ascii="Arial" w:hAnsi="Arial"/>
                <w:color w:val="000000"/>
                <w:sz w:val="16"/>
                <w:szCs w:val="16"/>
                <w:lang w:val="en-AU"/>
              </w:rPr>
              <w:t>188,191</w:t>
            </w:r>
          </w:p>
        </w:tc>
        <w:tc>
          <w:tcPr>
            <w:tcW w:w="938" w:type="dxa"/>
            <w:tcBorders>
              <w:top w:val="nil"/>
              <w:left w:val="nil"/>
              <w:bottom w:val="nil"/>
              <w:right w:val="nil"/>
            </w:tcBorders>
            <w:shd w:val="clear" w:color="auto" w:fill="auto"/>
            <w:noWrap/>
            <w:vAlign w:val="center"/>
          </w:tcPr>
          <w:p w14:paraId="378BE8C3" w14:textId="6FA6333E" w:rsidR="00CF037A" w:rsidRPr="00DA5E40" w:rsidRDefault="00CF037A" w:rsidP="00DC59EB">
            <w:pPr>
              <w:spacing w:before="0" w:after="0"/>
              <w:jc w:val="right"/>
              <w:rPr>
                <w:rFonts w:ascii="Arial" w:hAnsi="Arial"/>
                <w:color w:val="000000"/>
                <w:sz w:val="15"/>
                <w:szCs w:val="15"/>
                <w:lang w:val="en-AU"/>
              </w:rPr>
            </w:pPr>
            <w:r w:rsidRPr="00602FEB">
              <w:rPr>
                <w:rFonts w:ascii="Arial" w:hAnsi="Arial"/>
                <w:color w:val="000000"/>
                <w:sz w:val="16"/>
                <w:szCs w:val="16"/>
                <w:lang w:val="en-AU"/>
              </w:rPr>
              <w:t>184,549</w:t>
            </w:r>
          </w:p>
        </w:tc>
      </w:tr>
      <w:tr w:rsidR="00CF037A" w:rsidRPr="00C510E0" w14:paraId="02D45710" w14:textId="77777777" w:rsidTr="002A5A4F">
        <w:trPr>
          <w:trHeight w:val="227"/>
        </w:trPr>
        <w:tc>
          <w:tcPr>
            <w:tcW w:w="3120" w:type="dxa"/>
            <w:tcBorders>
              <w:top w:val="nil"/>
              <w:left w:val="nil"/>
              <w:bottom w:val="nil"/>
              <w:right w:val="nil"/>
            </w:tcBorders>
            <w:shd w:val="clear" w:color="auto" w:fill="auto"/>
            <w:noWrap/>
            <w:vAlign w:val="center"/>
            <w:hideMark/>
          </w:tcPr>
          <w:p w14:paraId="35932A06" w14:textId="77777777" w:rsidR="00CF037A" w:rsidRPr="002B2BCC" w:rsidRDefault="00CF037A" w:rsidP="00CF037A">
            <w:pPr>
              <w:spacing w:before="0" w:after="0"/>
              <w:ind w:firstLineChars="100" w:firstLine="160"/>
              <w:rPr>
                <w:rFonts w:ascii="Arial" w:hAnsi="Arial"/>
                <w:sz w:val="16"/>
                <w:szCs w:val="16"/>
                <w:lang w:val="en-AU"/>
              </w:rPr>
            </w:pPr>
            <w:r w:rsidRPr="002B2BCC">
              <w:rPr>
                <w:rFonts w:ascii="Arial" w:hAnsi="Arial"/>
                <w:sz w:val="16"/>
                <w:szCs w:val="16"/>
                <w:lang w:val="en-AU"/>
              </w:rPr>
              <w:t>Borrowing costs</w:t>
            </w:r>
          </w:p>
        </w:tc>
        <w:tc>
          <w:tcPr>
            <w:tcW w:w="981" w:type="dxa"/>
            <w:tcBorders>
              <w:top w:val="nil"/>
              <w:left w:val="nil"/>
              <w:bottom w:val="nil"/>
              <w:right w:val="nil"/>
            </w:tcBorders>
            <w:shd w:val="clear" w:color="auto" w:fill="auto"/>
            <w:noWrap/>
            <w:vAlign w:val="center"/>
          </w:tcPr>
          <w:p w14:paraId="69BFFDAC" w14:textId="5DB163F4" w:rsidR="00CF037A" w:rsidRPr="00DA5E40" w:rsidRDefault="00CF037A" w:rsidP="00DC59EB">
            <w:pPr>
              <w:spacing w:before="0" w:after="0"/>
              <w:jc w:val="right"/>
              <w:rPr>
                <w:rFonts w:ascii="Arial" w:hAnsi="Arial"/>
                <w:color w:val="000000"/>
                <w:sz w:val="15"/>
                <w:szCs w:val="15"/>
                <w:highlight w:val="yellow"/>
                <w:lang w:val="en-AU"/>
              </w:rPr>
            </w:pPr>
            <w:r w:rsidRPr="00602FEB">
              <w:rPr>
                <w:rFonts w:ascii="Arial" w:hAnsi="Arial"/>
                <w:color w:val="000000"/>
                <w:sz w:val="16"/>
                <w:szCs w:val="16"/>
                <w:lang w:val="en-AU"/>
              </w:rPr>
              <w:t>13,275</w:t>
            </w:r>
          </w:p>
        </w:tc>
        <w:tc>
          <w:tcPr>
            <w:tcW w:w="938" w:type="dxa"/>
            <w:tcBorders>
              <w:top w:val="nil"/>
              <w:left w:val="nil"/>
              <w:bottom w:val="nil"/>
              <w:right w:val="nil"/>
            </w:tcBorders>
            <w:shd w:val="clear" w:color="auto" w:fill="E6E6E6"/>
            <w:noWrap/>
            <w:vAlign w:val="center"/>
          </w:tcPr>
          <w:p w14:paraId="057392FE" w14:textId="04FFD0B5" w:rsidR="00CF037A" w:rsidRPr="00DA5E40" w:rsidRDefault="00CF037A" w:rsidP="00DC59EB">
            <w:pPr>
              <w:spacing w:before="0" w:after="0"/>
              <w:jc w:val="right"/>
              <w:rPr>
                <w:rFonts w:ascii="Arial" w:hAnsi="Arial"/>
                <w:color w:val="000000"/>
                <w:sz w:val="15"/>
                <w:szCs w:val="15"/>
                <w:lang w:val="en-AU"/>
              </w:rPr>
            </w:pPr>
            <w:r w:rsidRPr="00602FEB">
              <w:rPr>
                <w:rFonts w:ascii="Arial" w:hAnsi="Arial"/>
                <w:color w:val="000000"/>
                <w:sz w:val="16"/>
                <w:szCs w:val="16"/>
                <w:lang w:val="en-AU"/>
              </w:rPr>
              <w:t>22,397</w:t>
            </w:r>
          </w:p>
        </w:tc>
        <w:tc>
          <w:tcPr>
            <w:tcW w:w="937" w:type="dxa"/>
            <w:tcBorders>
              <w:top w:val="nil"/>
              <w:left w:val="nil"/>
              <w:bottom w:val="nil"/>
              <w:right w:val="nil"/>
            </w:tcBorders>
            <w:shd w:val="clear" w:color="auto" w:fill="auto"/>
            <w:noWrap/>
            <w:vAlign w:val="center"/>
          </w:tcPr>
          <w:p w14:paraId="3DDAD624" w14:textId="658B92D8" w:rsidR="00CF037A" w:rsidRPr="00DA5E40" w:rsidRDefault="00CF037A" w:rsidP="00DC59EB">
            <w:pPr>
              <w:spacing w:before="0" w:after="0"/>
              <w:jc w:val="right"/>
              <w:rPr>
                <w:rFonts w:ascii="Arial" w:hAnsi="Arial"/>
                <w:color w:val="000000"/>
                <w:sz w:val="15"/>
                <w:szCs w:val="15"/>
                <w:lang w:val="en-AU"/>
              </w:rPr>
            </w:pPr>
            <w:r w:rsidRPr="00602FEB">
              <w:rPr>
                <w:rFonts w:ascii="Arial" w:hAnsi="Arial"/>
                <w:color w:val="000000"/>
                <w:sz w:val="16"/>
                <w:szCs w:val="16"/>
                <w:lang w:val="en-AU"/>
              </w:rPr>
              <w:t>24,916</w:t>
            </w:r>
          </w:p>
        </w:tc>
        <w:tc>
          <w:tcPr>
            <w:tcW w:w="937" w:type="dxa"/>
            <w:tcBorders>
              <w:top w:val="nil"/>
              <w:left w:val="nil"/>
              <w:bottom w:val="nil"/>
              <w:right w:val="nil"/>
            </w:tcBorders>
            <w:shd w:val="clear" w:color="auto" w:fill="auto"/>
            <w:noWrap/>
            <w:vAlign w:val="center"/>
          </w:tcPr>
          <w:p w14:paraId="0F5601F1" w14:textId="7673DB4F" w:rsidR="00CF037A" w:rsidRPr="00DA5E40" w:rsidRDefault="00CF037A" w:rsidP="00DC59EB">
            <w:pPr>
              <w:spacing w:before="0" w:after="0"/>
              <w:jc w:val="right"/>
              <w:rPr>
                <w:rFonts w:ascii="Arial" w:hAnsi="Arial"/>
                <w:color w:val="000000"/>
                <w:sz w:val="15"/>
                <w:szCs w:val="15"/>
                <w:lang w:val="en-AU"/>
              </w:rPr>
            </w:pPr>
            <w:r w:rsidRPr="00602FEB">
              <w:rPr>
                <w:rFonts w:ascii="Arial" w:hAnsi="Arial"/>
                <w:color w:val="000000"/>
                <w:sz w:val="16"/>
                <w:szCs w:val="16"/>
                <w:lang w:val="en-AU"/>
              </w:rPr>
              <w:t>24,984</w:t>
            </w:r>
          </w:p>
        </w:tc>
        <w:tc>
          <w:tcPr>
            <w:tcW w:w="938" w:type="dxa"/>
            <w:tcBorders>
              <w:top w:val="nil"/>
              <w:left w:val="nil"/>
              <w:bottom w:val="nil"/>
              <w:right w:val="nil"/>
            </w:tcBorders>
            <w:shd w:val="clear" w:color="auto" w:fill="auto"/>
            <w:noWrap/>
            <w:vAlign w:val="center"/>
          </w:tcPr>
          <w:p w14:paraId="71952C60" w14:textId="7BDEEB28" w:rsidR="00CF037A" w:rsidRPr="00DA5E40" w:rsidRDefault="00CF037A" w:rsidP="00DC59EB">
            <w:pPr>
              <w:spacing w:before="0" w:after="0"/>
              <w:jc w:val="right"/>
              <w:rPr>
                <w:rFonts w:ascii="Arial" w:hAnsi="Arial"/>
                <w:color w:val="000000"/>
                <w:sz w:val="15"/>
                <w:szCs w:val="15"/>
                <w:lang w:val="en-AU"/>
              </w:rPr>
            </w:pPr>
            <w:r w:rsidRPr="00602FEB">
              <w:rPr>
                <w:rFonts w:ascii="Arial" w:hAnsi="Arial"/>
                <w:color w:val="000000"/>
                <w:sz w:val="16"/>
                <w:szCs w:val="16"/>
                <w:lang w:val="en-AU"/>
              </w:rPr>
              <w:t>24,916</w:t>
            </w:r>
          </w:p>
        </w:tc>
      </w:tr>
      <w:tr w:rsidR="00CF037A" w:rsidRPr="00C510E0" w14:paraId="700DE54B" w14:textId="77777777" w:rsidTr="002A5A4F">
        <w:trPr>
          <w:trHeight w:val="227"/>
        </w:trPr>
        <w:tc>
          <w:tcPr>
            <w:tcW w:w="3120" w:type="dxa"/>
            <w:tcBorders>
              <w:top w:val="nil"/>
              <w:left w:val="nil"/>
              <w:bottom w:val="nil"/>
              <w:right w:val="nil"/>
            </w:tcBorders>
            <w:shd w:val="clear" w:color="auto" w:fill="auto"/>
            <w:vAlign w:val="center"/>
            <w:hideMark/>
          </w:tcPr>
          <w:p w14:paraId="271CC1C7" w14:textId="77777777" w:rsidR="00CF037A" w:rsidRPr="002B2BCC" w:rsidRDefault="00CF037A" w:rsidP="00CF037A">
            <w:pPr>
              <w:spacing w:before="0" w:after="0"/>
              <w:ind w:firstLineChars="100" w:firstLine="160"/>
              <w:rPr>
                <w:rFonts w:ascii="Arial" w:hAnsi="Arial"/>
                <w:sz w:val="16"/>
                <w:szCs w:val="16"/>
                <w:lang w:val="en-AU"/>
              </w:rPr>
            </w:pPr>
            <w:r w:rsidRPr="002B2BCC">
              <w:rPr>
                <w:rFonts w:ascii="Arial" w:hAnsi="Arial"/>
                <w:sz w:val="16"/>
                <w:szCs w:val="16"/>
                <w:lang w:val="en-AU"/>
              </w:rPr>
              <w:t>Interest payments on lease liability</w:t>
            </w:r>
          </w:p>
        </w:tc>
        <w:tc>
          <w:tcPr>
            <w:tcW w:w="981" w:type="dxa"/>
            <w:tcBorders>
              <w:top w:val="nil"/>
              <w:left w:val="nil"/>
              <w:bottom w:val="nil"/>
              <w:right w:val="nil"/>
            </w:tcBorders>
            <w:shd w:val="clear" w:color="auto" w:fill="auto"/>
            <w:noWrap/>
            <w:vAlign w:val="center"/>
          </w:tcPr>
          <w:p w14:paraId="1542B548" w14:textId="01B37096" w:rsidR="00CF037A" w:rsidRPr="00DA5E40" w:rsidRDefault="00CF037A" w:rsidP="00DC59EB">
            <w:pPr>
              <w:spacing w:before="0" w:after="0"/>
              <w:jc w:val="right"/>
              <w:rPr>
                <w:rFonts w:ascii="Arial" w:hAnsi="Arial"/>
                <w:color w:val="000000"/>
                <w:sz w:val="15"/>
                <w:szCs w:val="15"/>
                <w:highlight w:val="yellow"/>
                <w:lang w:val="en-AU"/>
              </w:rPr>
            </w:pPr>
            <w:r w:rsidRPr="00602FEB">
              <w:rPr>
                <w:rFonts w:ascii="Arial" w:hAnsi="Arial"/>
                <w:color w:val="000000"/>
                <w:sz w:val="16"/>
                <w:szCs w:val="16"/>
                <w:lang w:val="en-AU"/>
              </w:rPr>
              <w:t>65,001</w:t>
            </w:r>
          </w:p>
        </w:tc>
        <w:tc>
          <w:tcPr>
            <w:tcW w:w="938" w:type="dxa"/>
            <w:tcBorders>
              <w:top w:val="nil"/>
              <w:left w:val="nil"/>
              <w:bottom w:val="nil"/>
              <w:right w:val="nil"/>
            </w:tcBorders>
            <w:shd w:val="clear" w:color="auto" w:fill="E6E6E6"/>
            <w:noWrap/>
            <w:vAlign w:val="center"/>
          </w:tcPr>
          <w:p w14:paraId="3B31484C" w14:textId="6F844D05" w:rsidR="00CF037A" w:rsidRPr="00DA5E40" w:rsidRDefault="00CF037A" w:rsidP="00DC59EB">
            <w:pPr>
              <w:spacing w:before="0" w:after="0"/>
              <w:jc w:val="right"/>
              <w:rPr>
                <w:rFonts w:ascii="Arial" w:hAnsi="Arial"/>
                <w:color w:val="000000"/>
                <w:sz w:val="15"/>
                <w:szCs w:val="15"/>
                <w:lang w:val="en-AU"/>
              </w:rPr>
            </w:pPr>
            <w:r w:rsidRPr="00602FEB">
              <w:rPr>
                <w:rFonts w:ascii="Arial" w:hAnsi="Arial"/>
                <w:color w:val="000000"/>
                <w:sz w:val="16"/>
                <w:szCs w:val="16"/>
                <w:lang w:val="en-AU"/>
              </w:rPr>
              <w:t>57,361</w:t>
            </w:r>
          </w:p>
        </w:tc>
        <w:tc>
          <w:tcPr>
            <w:tcW w:w="937" w:type="dxa"/>
            <w:tcBorders>
              <w:top w:val="nil"/>
              <w:left w:val="nil"/>
              <w:bottom w:val="nil"/>
              <w:right w:val="nil"/>
            </w:tcBorders>
            <w:shd w:val="clear" w:color="auto" w:fill="auto"/>
            <w:noWrap/>
            <w:vAlign w:val="center"/>
          </w:tcPr>
          <w:p w14:paraId="6CAF6DD7" w14:textId="699B7C68" w:rsidR="00CF037A" w:rsidRPr="00DA5E40" w:rsidRDefault="00CF037A" w:rsidP="00DC59EB">
            <w:pPr>
              <w:spacing w:before="0" w:after="0"/>
              <w:jc w:val="right"/>
              <w:rPr>
                <w:rFonts w:ascii="Arial" w:hAnsi="Arial"/>
                <w:color w:val="000000"/>
                <w:sz w:val="15"/>
                <w:szCs w:val="15"/>
                <w:lang w:val="en-AU"/>
              </w:rPr>
            </w:pPr>
            <w:r w:rsidRPr="00602FEB">
              <w:rPr>
                <w:rFonts w:ascii="Arial" w:hAnsi="Arial"/>
                <w:color w:val="000000"/>
                <w:sz w:val="16"/>
                <w:szCs w:val="16"/>
                <w:lang w:val="en-AU"/>
              </w:rPr>
              <w:t>62,089</w:t>
            </w:r>
          </w:p>
        </w:tc>
        <w:tc>
          <w:tcPr>
            <w:tcW w:w="937" w:type="dxa"/>
            <w:tcBorders>
              <w:top w:val="nil"/>
              <w:left w:val="nil"/>
              <w:bottom w:val="nil"/>
              <w:right w:val="nil"/>
            </w:tcBorders>
            <w:shd w:val="clear" w:color="auto" w:fill="auto"/>
            <w:noWrap/>
            <w:vAlign w:val="center"/>
          </w:tcPr>
          <w:p w14:paraId="2115AFF8" w14:textId="668F31E1" w:rsidR="00CF037A" w:rsidRPr="00DA5E40" w:rsidRDefault="00CF037A" w:rsidP="00DC59EB">
            <w:pPr>
              <w:spacing w:before="0" w:after="0"/>
              <w:jc w:val="right"/>
              <w:rPr>
                <w:rFonts w:ascii="Arial" w:hAnsi="Arial"/>
                <w:color w:val="000000"/>
                <w:sz w:val="15"/>
                <w:szCs w:val="15"/>
                <w:lang w:val="en-AU"/>
              </w:rPr>
            </w:pPr>
            <w:r w:rsidRPr="00602FEB">
              <w:rPr>
                <w:rFonts w:ascii="Arial" w:hAnsi="Arial"/>
                <w:color w:val="000000"/>
                <w:sz w:val="16"/>
                <w:szCs w:val="16"/>
                <w:lang w:val="en-AU"/>
              </w:rPr>
              <w:t>66,865</w:t>
            </w:r>
          </w:p>
        </w:tc>
        <w:tc>
          <w:tcPr>
            <w:tcW w:w="938" w:type="dxa"/>
            <w:tcBorders>
              <w:top w:val="nil"/>
              <w:left w:val="nil"/>
              <w:bottom w:val="nil"/>
              <w:right w:val="nil"/>
            </w:tcBorders>
            <w:shd w:val="clear" w:color="auto" w:fill="auto"/>
            <w:noWrap/>
            <w:vAlign w:val="center"/>
          </w:tcPr>
          <w:p w14:paraId="580C6F12" w14:textId="02EB9276" w:rsidR="00CF037A" w:rsidRPr="00DA5E40" w:rsidRDefault="00CF037A" w:rsidP="00DC59EB">
            <w:pPr>
              <w:spacing w:before="0" w:after="0"/>
              <w:jc w:val="right"/>
              <w:rPr>
                <w:rFonts w:ascii="Arial" w:hAnsi="Arial"/>
                <w:color w:val="000000"/>
                <w:sz w:val="15"/>
                <w:szCs w:val="15"/>
                <w:lang w:val="en-AU"/>
              </w:rPr>
            </w:pPr>
            <w:r w:rsidRPr="00602FEB">
              <w:rPr>
                <w:rFonts w:ascii="Arial" w:hAnsi="Arial"/>
                <w:color w:val="000000"/>
                <w:sz w:val="16"/>
                <w:szCs w:val="16"/>
                <w:lang w:val="en-AU"/>
              </w:rPr>
              <w:t>68,975</w:t>
            </w:r>
          </w:p>
        </w:tc>
      </w:tr>
      <w:tr w:rsidR="00CF037A" w:rsidRPr="00C510E0" w14:paraId="7EBF0F31" w14:textId="77777777" w:rsidTr="002A5A4F">
        <w:trPr>
          <w:trHeight w:val="227"/>
        </w:trPr>
        <w:tc>
          <w:tcPr>
            <w:tcW w:w="3120" w:type="dxa"/>
            <w:tcBorders>
              <w:top w:val="nil"/>
              <w:left w:val="nil"/>
              <w:bottom w:val="nil"/>
              <w:right w:val="nil"/>
            </w:tcBorders>
            <w:shd w:val="clear" w:color="auto" w:fill="auto"/>
            <w:noWrap/>
            <w:vAlign w:val="center"/>
            <w:hideMark/>
          </w:tcPr>
          <w:p w14:paraId="602273B1" w14:textId="77777777" w:rsidR="00CF037A" w:rsidRPr="002B2BCC" w:rsidRDefault="00CF037A" w:rsidP="00CF037A">
            <w:pPr>
              <w:spacing w:before="0" w:after="0"/>
              <w:ind w:firstLineChars="100" w:firstLine="160"/>
              <w:rPr>
                <w:rFonts w:ascii="Arial" w:hAnsi="Arial"/>
                <w:color w:val="000000"/>
                <w:sz w:val="16"/>
                <w:szCs w:val="16"/>
                <w:lang w:val="en-AU"/>
              </w:rPr>
            </w:pPr>
            <w:r w:rsidRPr="002B2BCC">
              <w:rPr>
                <w:rFonts w:ascii="Arial" w:hAnsi="Arial"/>
                <w:color w:val="000000"/>
                <w:sz w:val="16"/>
                <w:szCs w:val="16"/>
                <w:lang w:val="en-AU"/>
              </w:rPr>
              <w:t>Other</w:t>
            </w:r>
          </w:p>
        </w:tc>
        <w:tc>
          <w:tcPr>
            <w:tcW w:w="981" w:type="dxa"/>
            <w:tcBorders>
              <w:top w:val="nil"/>
              <w:left w:val="nil"/>
              <w:bottom w:val="nil"/>
              <w:right w:val="nil"/>
            </w:tcBorders>
            <w:shd w:val="clear" w:color="auto" w:fill="auto"/>
            <w:noWrap/>
            <w:vAlign w:val="center"/>
          </w:tcPr>
          <w:p w14:paraId="24BD3A79" w14:textId="1CEDCF0B" w:rsidR="00CF037A" w:rsidRPr="00DA5E40" w:rsidRDefault="00CF037A" w:rsidP="00DC59EB">
            <w:pPr>
              <w:spacing w:before="0" w:after="0"/>
              <w:jc w:val="right"/>
              <w:rPr>
                <w:rFonts w:ascii="Arial" w:hAnsi="Arial"/>
                <w:color w:val="000000"/>
                <w:sz w:val="15"/>
                <w:szCs w:val="15"/>
                <w:highlight w:val="yellow"/>
                <w:lang w:val="en-AU"/>
              </w:rPr>
            </w:pPr>
            <w:r w:rsidRPr="00602FEB">
              <w:rPr>
                <w:rFonts w:ascii="Arial" w:hAnsi="Arial"/>
                <w:color w:val="000000"/>
                <w:sz w:val="16"/>
                <w:szCs w:val="16"/>
                <w:lang w:val="en-AU"/>
              </w:rPr>
              <w:t>41,410</w:t>
            </w:r>
          </w:p>
        </w:tc>
        <w:tc>
          <w:tcPr>
            <w:tcW w:w="938" w:type="dxa"/>
            <w:tcBorders>
              <w:top w:val="nil"/>
              <w:left w:val="nil"/>
              <w:bottom w:val="nil"/>
              <w:right w:val="nil"/>
            </w:tcBorders>
            <w:shd w:val="clear" w:color="auto" w:fill="E6E6E6"/>
            <w:noWrap/>
            <w:vAlign w:val="center"/>
          </w:tcPr>
          <w:p w14:paraId="0A790063" w14:textId="366FF003" w:rsidR="00CF037A" w:rsidRPr="00DA5E40" w:rsidRDefault="00CF037A" w:rsidP="00DC59EB">
            <w:pPr>
              <w:spacing w:before="0" w:after="0"/>
              <w:jc w:val="right"/>
              <w:rPr>
                <w:rFonts w:ascii="Arial" w:hAnsi="Arial"/>
                <w:color w:val="000000"/>
                <w:sz w:val="15"/>
                <w:szCs w:val="15"/>
                <w:lang w:val="en-AU"/>
              </w:rPr>
            </w:pPr>
            <w:r w:rsidRPr="00602FEB">
              <w:rPr>
                <w:rFonts w:ascii="Arial" w:hAnsi="Arial"/>
                <w:color w:val="000000"/>
                <w:sz w:val="16"/>
                <w:szCs w:val="16"/>
                <w:lang w:val="en-AU"/>
              </w:rPr>
              <w:t>69,836</w:t>
            </w:r>
          </w:p>
        </w:tc>
        <w:tc>
          <w:tcPr>
            <w:tcW w:w="937" w:type="dxa"/>
            <w:tcBorders>
              <w:top w:val="nil"/>
              <w:left w:val="nil"/>
              <w:bottom w:val="nil"/>
              <w:right w:val="nil"/>
            </w:tcBorders>
            <w:shd w:val="clear" w:color="auto" w:fill="auto"/>
            <w:noWrap/>
            <w:vAlign w:val="center"/>
          </w:tcPr>
          <w:p w14:paraId="5F1093EE" w14:textId="5FF29A65" w:rsidR="00CF037A" w:rsidRPr="00DA5E40" w:rsidRDefault="00CF037A" w:rsidP="00DC59EB">
            <w:pPr>
              <w:spacing w:before="0" w:after="0"/>
              <w:jc w:val="right"/>
              <w:rPr>
                <w:rFonts w:ascii="Arial" w:hAnsi="Arial"/>
                <w:color w:val="000000"/>
                <w:sz w:val="15"/>
                <w:szCs w:val="15"/>
                <w:lang w:val="en-AU"/>
              </w:rPr>
            </w:pPr>
            <w:r w:rsidRPr="00602FEB">
              <w:rPr>
                <w:rFonts w:ascii="Arial" w:hAnsi="Arial"/>
                <w:color w:val="000000"/>
                <w:sz w:val="16"/>
                <w:szCs w:val="16"/>
                <w:lang w:val="en-AU"/>
              </w:rPr>
              <w:t>69,338</w:t>
            </w:r>
          </w:p>
        </w:tc>
        <w:tc>
          <w:tcPr>
            <w:tcW w:w="937" w:type="dxa"/>
            <w:tcBorders>
              <w:top w:val="nil"/>
              <w:left w:val="nil"/>
              <w:bottom w:val="nil"/>
              <w:right w:val="nil"/>
            </w:tcBorders>
            <w:shd w:val="clear" w:color="auto" w:fill="auto"/>
            <w:noWrap/>
            <w:vAlign w:val="center"/>
          </w:tcPr>
          <w:p w14:paraId="1A07F39F" w14:textId="640CB2B8" w:rsidR="00CF037A" w:rsidRPr="00DA5E40" w:rsidRDefault="00CF037A" w:rsidP="00DC59EB">
            <w:pPr>
              <w:spacing w:before="0" w:after="0"/>
              <w:jc w:val="right"/>
              <w:rPr>
                <w:rFonts w:ascii="Arial" w:hAnsi="Arial"/>
                <w:color w:val="000000"/>
                <w:sz w:val="15"/>
                <w:szCs w:val="15"/>
                <w:lang w:val="en-AU"/>
              </w:rPr>
            </w:pPr>
            <w:r w:rsidRPr="00602FEB">
              <w:rPr>
                <w:rFonts w:ascii="Arial" w:hAnsi="Arial"/>
                <w:color w:val="000000"/>
                <w:sz w:val="16"/>
                <w:szCs w:val="16"/>
                <w:lang w:val="en-AU"/>
              </w:rPr>
              <w:t>73,349</w:t>
            </w:r>
          </w:p>
        </w:tc>
        <w:tc>
          <w:tcPr>
            <w:tcW w:w="938" w:type="dxa"/>
            <w:tcBorders>
              <w:top w:val="nil"/>
              <w:left w:val="nil"/>
              <w:bottom w:val="nil"/>
              <w:right w:val="nil"/>
            </w:tcBorders>
            <w:shd w:val="clear" w:color="auto" w:fill="auto"/>
            <w:noWrap/>
            <w:vAlign w:val="center"/>
          </w:tcPr>
          <w:p w14:paraId="3E19CC4A" w14:textId="04FA7523" w:rsidR="00CF037A" w:rsidRPr="00DA5E40" w:rsidRDefault="00CF037A" w:rsidP="00DC59EB">
            <w:pPr>
              <w:spacing w:before="0" w:after="0"/>
              <w:jc w:val="right"/>
              <w:rPr>
                <w:rFonts w:ascii="Arial" w:hAnsi="Arial"/>
                <w:color w:val="000000"/>
                <w:sz w:val="15"/>
                <w:szCs w:val="15"/>
                <w:lang w:val="en-AU"/>
              </w:rPr>
            </w:pPr>
            <w:r w:rsidRPr="00602FEB">
              <w:rPr>
                <w:rFonts w:ascii="Arial" w:hAnsi="Arial"/>
                <w:color w:val="000000"/>
                <w:sz w:val="16"/>
                <w:szCs w:val="16"/>
                <w:lang w:val="en-AU"/>
              </w:rPr>
              <w:t>78,638</w:t>
            </w:r>
          </w:p>
        </w:tc>
      </w:tr>
      <w:tr w:rsidR="00CF037A" w:rsidRPr="00C510E0" w14:paraId="1BF90B5A" w14:textId="77777777" w:rsidTr="002A5A4F">
        <w:trPr>
          <w:trHeight w:val="227"/>
        </w:trPr>
        <w:tc>
          <w:tcPr>
            <w:tcW w:w="3120" w:type="dxa"/>
            <w:tcBorders>
              <w:top w:val="nil"/>
              <w:left w:val="nil"/>
              <w:bottom w:val="nil"/>
              <w:right w:val="nil"/>
            </w:tcBorders>
            <w:shd w:val="clear" w:color="auto" w:fill="auto"/>
            <w:noWrap/>
            <w:vAlign w:val="center"/>
            <w:hideMark/>
          </w:tcPr>
          <w:p w14:paraId="02B6C29D" w14:textId="77777777" w:rsidR="00CF037A" w:rsidRPr="002B2BCC" w:rsidRDefault="00CF037A" w:rsidP="00CF037A">
            <w:pPr>
              <w:spacing w:before="0" w:after="0"/>
              <w:rPr>
                <w:rFonts w:ascii="Arial" w:hAnsi="Arial"/>
                <w:b/>
                <w:bCs/>
                <w:i/>
                <w:iCs/>
                <w:color w:val="000000"/>
                <w:sz w:val="16"/>
                <w:szCs w:val="16"/>
                <w:lang w:val="en-AU"/>
              </w:rPr>
            </w:pPr>
            <w:r w:rsidRPr="002B2BCC">
              <w:rPr>
                <w:rFonts w:ascii="Arial" w:hAnsi="Arial"/>
                <w:b/>
                <w:bCs/>
                <w:i/>
                <w:iCs/>
                <w:color w:val="000000"/>
                <w:sz w:val="16"/>
                <w:szCs w:val="16"/>
                <w:lang w:val="en-AU"/>
              </w:rPr>
              <w:t>Total cash used</w:t>
            </w:r>
          </w:p>
        </w:tc>
        <w:tc>
          <w:tcPr>
            <w:tcW w:w="981" w:type="dxa"/>
            <w:tcBorders>
              <w:top w:val="single" w:sz="4" w:space="0" w:color="000000"/>
              <w:left w:val="nil"/>
              <w:bottom w:val="nil"/>
              <w:right w:val="nil"/>
            </w:tcBorders>
            <w:shd w:val="clear" w:color="auto" w:fill="auto"/>
            <w:noWrap/>
            <w:vAlign w:val="center"/>
          </w:tcPr>
          <w:p w14:paraId="3854C598" w14:textId="44B2D1CB" w:rsidR="00CF037A" w:rsidRPr="00DA5E40" w:rsidRDefault="00CF037A" w:rsidP="00DC59EB">
            <w:pPr>
              <w:spacing w:before="0" w:after="0"/>
              <w:jc w:val="right"/>
              <w:rPr>
                <w:rFonts w:ascii="Arial" w:hAnsi="Arial"/>
                <w:b/>
                <w:bCs/>
                <w:iCs/>
                <w:color w:val="000000"/>
                <w:sz w:val="15"/>
                <w:szCs w:val="15"/>
                <w:highlight w:val="yellow"/>
                <w:lang w:val="en-AU"/>
              </w:rPr>
            </w:pPr>
            <w:r w:rsidRPr="00602FEB">
              <w:rPr>
                <w:rFonts w:ascii="Arial" w:hAnsi="Arial"/>
                <w:b/>
                <w:bCs/>
                <w:i/>
                <w:iCs/>
                <w:color w:val="000000"/>
                <w:sz w:val="16"/>
                <w:szCs w:val="16"/>
                <w:lang w:val="en-AU"/>
              </w:rPr>
              <w:t>513,026</w:t>
            </w:r>
          </w:p>
        </w:tc>
        <w:tc>
          <w:tcPr>
            <w:tcW w:w="938" w:type="dxa"/>
            <w:tcBorders>
              <w:top w:val="single" w:sz="4" w:space="0" w:color="000000"/>
              <w:left w:val="nil"/>
              <w:bottom w:val="nil"/>
              <w:right w:val="nil"/>
            </w:tcBorders>
            <w:shd w:val="clear" w:color="auto" w:fill="E6E6E6"/>
            <w:noWrap/>
            <w:vAlign w:val="center"/>
          </w:tcPr>
          <w:p w14:paraId="272D39C8" w14:textId="64B09F64" w:rsidR="00CF037A" w:rsidRPr="00DA5E40" w:rsidRDefault="00CF037A" w:rsidP="00DC59EB">
            <w:pPr>
              <w:spacing w:before="0" w:after="0"/>
              <w:jc w:val="right"/>
              <w:rPr>
                <w:rFonts w:ascii="Arial" w:hAnsi="Arial"/>
                <w:b/>
                <w:bCs/>
                <w:iCs/>
                <w:color w:val="000000"/>
                <w:sz w:val="15"/>
                <w:szCs w:val="15"/>
                <w:lang w:val="en-AU"/>
              </w:rPr>
            </w:pPr>
            <w:r w:rsidRPr="00602FEB">
              <w:rPr>
                <w:rFonts w:ascii="Arial" w:hAnsi="Arial"/>
                <w:b/>
                <w:bCs/>
                <w:i/>
                <w:iCs/>
                <w:color w:val="000000"/>
                <w:sz w:val="16"/>
                <w:szCs w:val="16"/>
                <w:lang w:val="en-AU"/>
              </w:rPr>
              <w:t>652,603</w:t>
            </w:r>
          </w:p>
        </w:tc>
        <w:tc>
          <w:tcPr>
            <w:tcW w:w="937" w:type="dxa"/>
            <w:tcBorders>
              <w:top w:val="single" w:sz="4" w:space="0" w:color="000000"/>
              <w:left w:val="nil"/>
              <w:bottom w:val="nil"/>
              <w:right w:val="nil"/>
            </w:tcBorders>
            <w:shd w:val="clear" w:color="auto" w:fill="auto"/>
            <w:noWrap/>
            <w:vAlign w:val="center"/>
          </w:tcPr>
          <w:p w14:paraId="0D0E64CF" w14:textId="5099E0BD" w:rsidR="00CF037A" w:rsidRPr="00DA5E40" w:rsidRDefault="00CF037A" w:rsidP="00DC59EB">
            <w:pPr>
              <w:spacing w:before="0" w:after="0"/>
              <w:jc w:val="right"/>
              <w:rPr>
                <w:rFonts w:ascii="Arial" w:hAnsi="Arial"/>
                <w:b/>
                <w:bCs/>
                <w:iCs/>
                <w:color w:val="000000"/>
                <w:sz w:val="15"/>
                <w:szCs w:val="15"/>
                <w:lang w:val="en-AU"/>
              </w:rPr>
            </w:pPr>
            <w:r w:rsidRPr="00602FEB">
              <w:rPr>
                <w:rFonts w:ascii="Arial" w:hAnsi="Arial"/>
                <w:b/>
                <w:bCs/>
                <w:i/>
                <w:iCs/>
                <w:color w:val="000000"/>
                <w:sz w:val="16"/>
                <w:szCs w:val="16"/>
                <w:lang w:val="en-AU"/>
              </w:rPr>
              <w:t>560,365</w:t>
            </w:r>
          </w:p>
        </w:tc>
        <w:tc>
          <w:tcPr>
            <w:tcW w:w="937" w:type="dxa"/>
            <w:tcBorders>
              <w:top w:val="single" w:sz="4" w:space="0" w:color="000000"/>
              <w:left w:val="nil"/>
              <w:bottom w:val="nil"/>
              <w:right w:val="nil"/>
            </w:tcBorders>
            <w:shd w:val="clear" w:color="auto" w:fill="auto"/>
            <w:noWrap/>
            <w:vAlign w:val="center"/>
          </w:tcPr>
          <w:p w14:paraId="7C3E00AF" w14:textId="6B576F7F" w:rsidR="00CF037A" w:rsidRPr="00DA5E40" w:rsidRDefault="00CF037A" w:rsidP="00DC59EB">
            <w:pPr>
              <w:spacing w:before="0" w:after="0"/>
              <w:jc w:val="right"/>
              <w:rPr>
                <w:rFonts w:ascii="Arial" w:hAnsi="Arial"/>
                <w:b/>
                <w:bCs/>
                <w:iCs/>
                <w:color w:val="000000"/>
                <w:sz w:val="15"/>
                <w:szCs w:val="15"/>
                <w:lang w:val="en-AU"/>
              </w:rPr>
            </w:pPr>
            <w:r w:rsidRPr="00602FEB">
              <w:rPr>
                <w:rFonts w:ascii="Arial" w:hAnsi="Arial"/>
                <w:b/>
                <w:bCs/>
                <w:i/>
                <w:iCs/>
                <w:color w:val="000000"/>
                <w:sz w:val="16"/>
                <w:szCs w:val="16"/>
                <w:lang w:val="en-AU"/>
              </w:rPr>
              <w:t>465,619</w:t>
            </w:r>
          </w:p>
        </w:tc>
        <w:tc>
          <w:tcPr>
            <w:tcW w:w="938" w:type="dxa"/>
            <w:tcBorders>
              <w:top w:val="single" w:sz="4" w:space="0" w:color="000000"/>
              <w:left w:val="nil"/>
              <w:bottom w:val="nil"/>
              <w:right w:val="nil"/>
            </w:tcBorders>
            <w:shd w:val="clear" w:color="auto" w:fill="auto"/>
            <w:noWrap/>
            <w:vAlign w:val="center"/>
          </w:tcPr>
          <w:p w14:paraId="71AD2F35" w14:textId="0A2C7346" w:rsidR="00CF037A" w:rsidRPr="00DA5E40" w:rsidRDefault="00CF037A" w:rsidP="00DC59EB">
            <w:pPr>
              <w:spacing w:before="0" w:after="0"/>
              <w:jc w:val="right"/>
              <w:rPr>
                <w:rFonts w:ascii="Arial" w:hAnsi="Arial"/>
                <w:b/>
                <w:bCs/>
                <w:iCs/>
                <w:color w:val="000000"/>
                <w:sz w:val="15"/>
                <w:szCs w:val="15"/>
                <w:lang w:val="en-AU"/>
              </w:rPr>
            </w:pPr>
            <w:r w:rsidRPr="00602FEB">
              <w:rPr>
                <w:rFonts w:ascii="Arial" w:hAnsi="Arial"/>
                <w:b/>
                <w:bCs/>
                <w:i/>
                <w:iCs/>
                <w:color w:val="000000"/>
                <w:sz w:val="16"/>
                <w:szCs w:val="16"/>
                <w:lang w:val="en-AU"/>
              </w:rPr>
              <w:t>473,413</w:t>
            </w:r>
          </w:p>
        </w:tc>
      </w:tr>
      <w:tr w:rsidR="00CF037A" w:rsidRPr="00C510E0" w14:paraId="69F48B15" w14:textId="77777777" w:rsidTr="002A5A4F">
        <w:trPr>
          <w:trHeight w:val="227"/>
        </w:trPr>
        <w:tc>
          <w:tcPr>
            <w:tcW w:w="3120" w:type="dxa"/>
            <w:tcBorders>
              <w:top w:val="nil"/>
              <w:left w:val="nil"/>
              <w:bottom w:val="nil"/>
              <w:right w:val="nil"/>
            </w:tcBorders>
            <w:shd w:val="clear" w:color="auto" w:fill="auto"/>
            <w:vAlign w:val="center"/>
            <w:hideMark/>
          </w:tcPr>
          <w:p w14:paraId="3C35425A" w14:textId="77777777" w:rsidR="00CF037A" w:rsidRPr="002B2BCC" w:rsidRDefault="00CF037A" w:rsidP="00CF037A">
            <w:pPr>
              <w:spacing w:before="0" w:after="0"/>
              <w:rPr>
                <w:rFonts w:ascii="Arial" w:hAnsi="Arial"/>
                <w:b/>
                <w:bCs/>
                <w:color w:val="000000"/>
                <w:sz w:val="16"/>
                <w:szCs w:val="16"/>
                <w:lang w:val="en-AU"/>
              </w:rPr>
            </w:pPr>
            <w:r w:rsidRPr="002B2BCC">
              <w:rPr>
                <w:rFonts w:ascii="Arial" w:hAnsi="Arial"/>
                <w:b/>
                <w:bCs/>
                <w:color w:val="000000"/>
                <w:sz w:val="16"/>
                <w:szCs w:val="16"/>
                <w:lang w:val="en-AU"/>
              </w:rPr>
              <w:t>Net cash from / (used by)</w:t>
            </w:r>
            <w:r w:rsidRPr="002B2BCC">
              <w:rPr>
                <w:rFonts w:ascii="Arial" w:hAnsi="Arial"/>
                <w:b/>
                <w:bCs/>
                <w:color w:val="000000"/>
                <w:sz w:val="16"/>
                <w:szCs w:val="16"/>
                <w:lang w:val="en-AU"/>
              </w:rPr>
              <w:br/>
              <w:t>operating activities</w:t>
            </w:r>
          </w:p>
        </w:tc>
        <w:tc>
          <w:tcPr>
            <w:tcW w:w="981" w:type="dxa"/>
            <w:tcBorders>
              <w:top w:val="single" w:sz="4" w:space="0" w:color="auto"/>
              <w:left w:val="nil"/>
              <w:bottom w:val="single" w:sz="4" w:space="0" w:color="auto"/>
              <w:right w:val="nil"/>
            </w:tcBorders>
            <w:shd w:val="clear" w:color="auto" w:fill="auto"/>
            <w:noWrap/>
            <w:vAlign w:val="bottom"/>
          </w:tcPr>
          <w:p w14:paraId="623F5B8C" w14:textId="09A5FB8E" w:rsidR="00CF037A" w:rsidRPr="00DA5E40" w:rsidRDefault="00CF037A" w:rsidP="00DC59EB">
            <w:pPr>
              <w:spacing w:before="0" w:after="0"/>
              <w:jc w:val="right"/>
              <w:rPr>
                <w:rFonts w:ascii="Arial" w:hAnsi="Arial"/>
                <w:b/>
                <w:bCs/>
                <w:color w:val="000000"/>
                <w:sz w:val="15"/>
                <w:szCs w:val="15"/>
                <w:highlight w:val="yellow"/>
                <w:lang w:val="en-AU"/>
              </w:rPr>
            </w:pPr>
            <w:r w:rsidRPr="00602FEB">
              <w:rPr>
                <w:rFonts w:ascii="Arial" w:hAnsi="Arial"/>
                <w:b/>
                <w:bCs/>
                <w:color w:val="000000"/>
                <w:sz w:val="16"/>
                <w:szCs w:val="16"/>
                <w:lang w:val="en-AU"/>
              </w:rPr>
              <w:t>362,943</w:t>
            </w:r>
          </w:p>
        </w:tc>
        <w:tc>
          <w:tcPr>
            <w:tcW w:w="938" w:type="dxa"/>
            <w:tcBorders>
              <w:top w:val="single" w:sz="4" w:space="0" w:color="auto"/>
              <w:left w:val="nil"/>
              <w:bottom w:val="single" w:sz="4" w:space="0" w:color="auto"/>
              <w:right w:val="nil"/>
            </w:tcBorders>
            <w:shd w:val="clear" w:color="auto" w:fill="E6E6E6"/>
            <w:noWrap/>
            <w:vAlign w:val="bottom"/>
          </w:tcPr>
          <w:p w14:paraId="33A7F66E" w14:textId="12BD1FA1" w:rsidR="00CF037A" w:rsidRPr="00DA5E40" w:rsidRDefault="00CF037A" w:rsidP="00DC59EB">
            <w:pPr>
              <w:spacing w:before="0" w:after="0"/>
              <w:jc w:val="right"/>
              <w:rPr>
                <w:rFonts w:ascii="Arial" w:hAnsi="Arial"/>
                <w:b/>
                <w:bCs/>
                <w:color w:val="000000"/>
                <w:sz w:val="15"/>
                <w:szCs w:val="15"/>
                <w:lang w:val="en-AU"/>
              </w:rPr>
            </w:pPr>
            <w:r w:rsidRPr="00602FEB">
              <w:rPr>
                <w:rFonts w:ascii="Arial" w:hAnsi="Arial"/>
                <w:b/>
                <w:bCs/>
                <w:color w:val="000000"/>
                <w:sz w:val="16"/>
                <w:szCs w:val="16"/>
                <w:lang w:val="en-AU"/>
              </w:rPr>
              <w:t>432,472</w:t>
            </w:r>
          </w:p>
        </w:tc>
        <w:tc>
          <w:tcPr>
            <w:tcW w:w="937" w:type="dxa"/>
            <w:tcBorders>
              <w:top w:val="single" w:sz="4" w:space="0" w:color="auto"/>
              <w:left w:val="nil"/>
              <w:bottom w:val="single" w:sz="4" w:space="0" w:color="auto"/>
              <w:right w:val="nil"/>
            </w:tcBorders>
            <w:shd w:val="clear" w:color="auto" w:fill="auto"/>
            <w:noWrap/>
            <w:vAlign w:val="bottom"/>
          </w:tcPr>
          <w:p w14:paraId="4DA5BB5E" w14:textId="46C37F39" w:rsidR="00CF037A" w:rsidRPr="00DA5E40" w:rsidRDefault="00CF037A" w:rsidP="00DC59EB">
            <w:pPr>
              <w:spacing w:before="0" w:after="0"/>
              <w:jc w:val="right"/>
              <w:rPr>
                <w:rFonts w:ascii="Arial" w:hAnsi="Arial"/>
                <w:b/>
                <w:bCs/>
                <w:color w:val="000000"/>
                <w:sz w:val="15"/>
                <w:szCs w:val="15"/>
                <w:lang w:val="en-AU"/>
              </w:rPr>
            </w:pPr>
            <w:r w:rsidRPr="00602FEB">
              <w:rPr>
                <w:rFonts w:ascii="Arial" w:hAnsi="Arial"/>
                <w:b/>
                <w:bCs/>
                <w:color w:val="000000"/>
                <w:sz w:val="16"/>
                <w:szCs w:val="16"/>
                <w:lang w:val="en-AU"/>
              </w:rPr>
              <w:t>528,849</w:t>
            </w:r>
          </w:p>
        </w:tc>
        <w:tc>
          <w:tcPr>
            <w:tcW w:w="937" w:type="dxa"/>
            <w:tcBorders>
              <w:top w:val="single" w:sz="4" w:space="0" w:color="auto"/>
              <w:left w:val="nil"/>
              <w:bottom w:val="single" w:sz="4" w:space="0" w:color="auto"/>
              <w:right w:val="nil"/>
            </w:tcBorders>
            <w:shd w:val="clear" w:color="auto" w:fill="auto"/>
            <w:noWrap/>
            <w:vAlign w:val="bottom"/>
          </w:tcPr>
          <w:p w14:paraId="6A11E415" w14:textId="17083D1B" w:rsidR="00CF037A" w:rsidRPr="00DA5E40" w:rsidRDefault="00CF037A" w:rsidP="00DC59EB">
            <w:pPr>
              <w:spacing w:before="0" w:after="0"/>
              <w:jc w:val="right"/>
              <w:rPr>
                <w:rFonts w:ascii="Arial" w:hAnsi="Arial"/>
                <w:b/>
                <w:bCs/>
                <w:color w:val="000000"/>
                <w:sz w:val="15"/>
                <w:szCs w:val="15"/>
                <w:lang w:val="en-AU"/>
              </w:rPr>
            </w:pPr>
            <w:r w:rsidRPr="00602FEB">
              <w:rPr>
                <w:rFonts w:ascii="Arial" w:hAnsi="Arial"/>
                <w:b/>
                <w:bCs/>
                <w:color w:val="000000"/>
                <w:sz w:val="16"/>
                <w:szCs w:val="16"/>
                <w:lang w:val="en-AU"/>
              </w:rPr>
              <w:t>593,362</w:t>
            </w:r>
          </w:p>
        </w:tc>
        <w:tc>
          <w:tcPr>
            <w:tcW w:w="938" w:type="dxa"/>
            <w:tcBorders>
              <w:top w:val="single" w:sz="4" w:space="0" w:color="auto"/>
              <w:left w:val="nil"/>
              <w:bottom w:val="single" w:sz="4" w:space="0" w:color="auto"/>
              <w:right w:val="nil"/>
            </w:tcBorders>
            <w:shd w:val="clear" w:color="auto" w:fill="auto"/>
            <w:noWrap/>
            <w:vAlign w:val="bottom"/>
          </w:tcPr>
          <w:p w14:paraId="4B67D8CA" w14:textId="655B6576" w:rsidR="00CF037A" w:rsidRPr="00DA5E40" w:rsidRDefault="00CF037A" w:rsidP="00DC59EB">
            <w:pPr>
              <w:spacing w:before="0" w:after="0"/>
              <w:jc w:val="right"/>
              <w:rPr>
                <w:rFonts w:ascii="Arial" w:hAnsi="Arial"/>
                <w:b/>
                <w:bCs/>
                <w:color w:val="000000"/>
                <w:sz w:val="15"/>
                <w:szCs w:val="15"/>
                <w:lang w:val="en-AU"/>
              </w:rPr>
            </w:pPr>
            <w:r w:rsidRPr="00602FEB">
              <w:rPr>
                <w:rFonts w:ascii="Arial" w:hAnsi="Arial"/>
                <w:b/>
                <w:bCs/>
                <w:color w:val="000000"/>
                <w:sz w:val="16"/>
                <w:szCs w:val="16"/>
                <w:lang w:val="en-AU"/>
              </w:rPr>
              <w:t>479,942</w:t>
            </w:r>
          </w:p>
        </w:tc>
      </w:tr>
      <w:tr w:rsidR="0086187D" w:rsidRPr="00C510E0" w14:paraId="433FBE8A" w14:textId="77777777" w:rsidTr="002A5A4F">
        <w:trPr>
          <w:trHeight w:val="227"/>
        </w:trPr>
        <w:tc>
          <w:tcPr>
            <w:tcW w:w="3120" w:type="dxa"/>
            <w:tcBorders>
              <w:top w:val="nil"/>
              <w:left w:val="nil"/>
              <w:bottom w:val="nil"/>
              <w:right w:val="nil"/>
            </w:tcBorders>
            <w:shd w:val="clear" w:color="auto" w:fill="auto"/>
            <w:noWrap/>
            <w:vAlign w:val="center"/>
            <w:hideMark/>
          </w:tcPr>
          <w:p w14:paraId="65888C54" w14:textId="77777777" w:rsidR="0086187D" w:rsidRPr="002B2BCC" w:rsidRDefault="0086187D" w:rsidP="0086187D">
            <w:pPr>
              <w:spacing w:before="0" w:after="0"/>
              <w:rPr>
                <w:rFonts w:ascii="Arial" w:hAnsi="Arial"/>
                <w:b/>
                <w:bCs/>
                <w:color w:val="000000"/>
                <w:sz w:val="16"/>
                <w:szCs w:val="16"/>
                <w:lang w:val="en-AU"/>
              </w:rPr>
            </w:pPr>
            <w:r w:rsidRPr="002B2BCC">
              <w:rPr>
                <w:rFonts w:ascii="Arial" w:hAnsi="Arial"/>
                <w:b/>
                <w:bCs/>
                <w:color w:val="000000"/>
                <w:sz w:val="16"/>
                <w:szCs w:val="16"/>
                <w:lang w:val="en-AU"/>
              </w:rPr>
              <w:t>INVESTING ACTIVITIES</w:t>
            </w:r>
          </w:p>
        </w:tc>
        <w:tc>
          <w:tcPr>
            <w:tcW w:w="981" w:type="dxa"/>
            <w:tcBorders>
              <w:top w:val="nil"/>
              <w:left w:val="nil"/>
              <w:bottom w:val="nil"/>
              <w:right w:val="nil"/>
            </w:tcBorders>
            <w:shd w:val="clear" w:color="auto" w:fill="auto"/>
            <w:noWrap/>
            <w:vAlign w:val="center"/>
          </w:tcPr>
          <w:p w14:paraId="427C5B57" w14:textId="77777777" w:rsidR="0086187D" w:rsidRPr="00DA5E40" w:rsidRDefault="0086187D" w:rsidP="0086187D">
            <w:pPr>
              <w:spacing w:before="0" w:after="0"/>
              <w:jc w:val="right"/>
              <w:rPr>
                <w:rFonts w:ascii="Arial" w:hAnsi="Arial"/>
                <w:b/>
                <w:bCs/>
                <w:color w:val="000000"/>
                <w:sz w:val="15"/>
                <w:szCs w:val="15"/>
                <w:lang w:val="en-AU"/>
              </w:rPr>
            </w:pPr>
          </w:p>
        </w:tc>
        <w:tc>
          <w:tcPr>
            <w:tcW w:w="938" w:type="dxa"/>
            <w:tcBorders>
              <w:top w:val="nil"/>
              <w:left w:val="nil"/>
              <w:bottom w:val="nil"/>
              <w:right w:val="nil"/>
            </w:tcBorders>
            <w:shd w:val="clear" w:color="auto" w:fill="E6E6E6"/>
            <w:noWrap/>
            <w:vAlign w:val="center"/>
          </w:tcPr>
          <w:p w14:paraId="37C8F6DE" w14:textId="77777777" w:rsidR="0086187D" w:rsidRPr="00DA5E40" w:rsidRDefault="0086187D" w:rsidP="0086187D">
            <w:pPr>
              <w:spacing w:before="0" w:after="0"/>
              <w:jc w:val="right"/>
              <w:rPr>
                <w:rFonts w:ascii="Arial" w:hAnsi="Arial"/>
                <w:color w:val="000000"/>
                <w:sz w:val="15"/>
                <w:szCs w:val="15"/>
                <w:lang w:val="en-AU"/>
              </w:rPr>
            </w:pPr>
          </w:p>
        </w:tc>
        <w:tc>
          <w:tcPr>
            <w:tcW w:w="937" w:type="dxa"/>
            <w:tcBorders>
              <w:top w:val="nil"/>
              <w:left w:val="nil"/>
              <w:bottom w:val="nil"/>
              <w:right w:val="nil"/>
            </w:tcBorders>
            <w:shd w:val="clear" w:color="auto" w:fill="auto"/>
            <w:noWrap/>
            <w:vAlign w:val="center"/>
          </w:tcPr>
          <w:p w14:paraId="33B36975" w14:textId="77777777" w:rsidR="0086187D" w:rsidRPr="00DA5E40" w:rsidRDefault="0086187D" w:rsidP="0086187D">
            <w:pPr>
              <w:spacing w:before="0" w:after="0"/>
              <w:jc w:val="right"/>
              <w:rPr>
                <w:rFonts w:ascii="Times New Roman" w:hAnsi="Times New Roman" w:cs="Times New Roman"/>
                <w:sz w:val="15"/>
                <w:szCs w:val="15"/>
                <w:lang w:val="en-AU"/>
              </w:rPr>
            </w:pPr>
          </w:p>
        </w:tc>
        <w:tc>
          <w:tcPr>
            <w:tcW w:w="937" w:type="dxa"/>
            <w:tcBorders>
              <w:top w:val="nil"/>
              <w:left w:val="nil"/>
              <w:bottom w:val="nil"/>
              <w:right w:val="nil"/>
            </w:tcBorders>
            <w:shd w:val="clear" w:color="auto" w:fill="auto"/>
            <w:noWrap/>
            <w:vAlign w:val="center"/>
          </w:tcPr>
          <w:p w14:paraId="04E179EF" w14:textId="77777777" w:rsidR="0086187D" w:rsidRPr="00DA5E40" w:rsidRDefault="0086187D" w:rsidP="0086187D">
            <w:pPr>
              <w:spacing w:before="0" w:after="0"/>
              <w:jc w:val="right"/>
              <w:rPr>
                <w:rFonts w:ascii="Times New Roman" w:hAnsi="Times New Roman" w:cs="Times New Roman"/>
                <w:sz w:val="15"/>
                <w:szCs w:val="15"/>
                <w:lang w:val="en-AU"/>
              </w:rPr>
            </w:pPr>
          </w:p>
        </w:tc>
        <w:tc>
          <w:tcPr>
            <w:tcW w:w="938" w:type="dxa"/>
            <w:tcBorders>
              <w:top w:val="nil"/>
              <w:left w:val="nil"/>
              <w:bottom w:val="nil"/>
              <w:right w:val="nil"/>
            </w:tcBorders>
            <w:shd w:val="clear" w:color="auto" w:fill="auto"/>
            <w:noWrap/>
            <w:vAlign w:val="center"/>
          </w:tcPr>
          <w:p w14:paraId="590F83CA" w14:textId="77777777" w:rsidR="0086187D" w:rsidRPr="00DA5E40" w:rsidRDefault="0086187D" w:rsidP="0086187D">
            <w:pPr>
              <w:spacing w:before="0" w:after="0"/>
              <w:jc w:val="right"/>
              <w:rPr>
                <w:rFonts w:ascii="Times New Roman" w:hAnsi="Times New Roman" w:cs="Times New Roman"/>
                <w:sz w:val="15"/>
                <w:szCs w:val="15"/>
                <w:lang w:val="en-AU"/>
              </w:rPr>
            </w:pPr>
          </w:p>
        </w:tc>
      </w:tr>
      <w:tr w:rsidR="0086187D" w:rsidRPr="00C510E0" w14:paraId="50B1B18C" w14:textId="77777777" w:rsidTr="002A5A4F">
        <w:trPr>
          <w:trHeight w:val="227"/>
        </w:trPr>
        <w:tc>
          <w:tcPr>
            <w:tcW w:w="3120" w:type="dxa"/>
            <w:tcBorders>
              <w:top w:val="nil"/>
              <w:left w:val="nil"/>
              <w:bottom w:val="nil"/>
              <w:right w:val="nil"/>
            </w:tcBorders>
            <w:shd w:val="clear" w:color="auto" w:fill="auto"/>
            <w:noWrap/>
            <w:vAlign w:val="center"/>
            <w:hideMark/>
          </w:tcPr>
          <w:p w14:paraId="7F7D8C05" w14:textId="77777777" w:rsidR="0086187D" w:rsidRPr="002B2BCC" w:rsidRDefault="0086187D" w:rsidP="0086187D">
            <w:pPr>
              <w:spacing w:before="0" w:after="0"/>
              <w:rPr>
                <w:rFonts w:ascii="Arial" w:hAnsi="Arial"/>
                <w:b/>
                <w:bCs/>
                <w:color w:val="000000"/>
                <w:sz w:val="16"/>
                <w:szCs w:val="16"/>
                <w:lang w:val="en-AU"/>
              </w:rPr>
            </w:pPr>
            <w:r w:rsidRPr="002B2BCC">
              <w:rPr>
                <w:rFonts w:ascii="Arial" w:hAnsi="Arial"/>
                <w:b/>
                <w:bCs/>
                <w:color w:val="000000"/>
                <w:sz w:val="16"/>
                <w:szCs w:val="16"/>
                <w:lang w:val="en-AU"/>
              </w:rPr>
              <w:t>Cash received</w:t>
            </w:r>
          </w:p>
        </w:tc>
        <w:tc>
          <w:tcPr>
            <w:tcW w:w="981" w:type="dxa"/>
            <w:tcBorders>
              <w:top w:val="nil"/>
              <w:left w:val="nil"/>
              <w:bottom w:val="nil"/>
              <w:right w:val="nil"/>
            </w:tcBorders>
            <w:shd w:val="clear" w:color="auto" w:fill="auto"/>
            <w:noWrap/>
            <w:vAlign w:val="center"/>
          </w:tcPr>
          <w:p w14:paraId="0E719E7F" w14:textId="77777777" w:rsidR="0086187D" w:rsidRPr="00DA5E40" w:rsidRDefault="0086187D" w:rsidP="0086187D">
            <w:pPr>
              <w:spacing w:before="0" w:after="0"/>
              <w:jc w:val="right"/>
              <w:rPr>
                <w:rFonts w:ascii="Arial" w:hAnsi="Arial"/>
                <w:b/>
                <w:bCs/>
                <w:color w:val="000000"/>
                <w:sz w:val="15"/>
                <w:szCs w:val="15"/>
                <w:lang w:val="en-AU"/>
              </w:rPr>
            </w:pPr>
          </w:p>
        </w:tc>
        <w:tc>
          <w:tcPr>
            <w:tcW w:w="938" w:type="dxa"/>
            <w:tcBorders>
              <w:top w:val="nil"/>
              <w:left w:val="nil"/>
              <w:bottom w:val="nil"/>
              <w:right w:val="nil"/>
            </w:tcBorders>
            <w:shd w:val="clear" w:color="auto" w:fill="E6E6E6"/>
            <w:noWrap/>
            <w:vAlign w:val="center"/>
          </w:tcPr>
          <w:p w14:paraId="37DA1939" w14:textId="77777777" w:rsidR="0086187D" w:rsidRPr="00DA5E40" w:rsidRDefault="0086187D" w:rsidP="0086187D">
            <w:pPr>
              <w:spacing w:before="0" w:after="0"/>
              <w:jc w:val="right"/>
              <w:rPr>
                <w:rFonts w:ascii="Arial" w:hAnsi="Arial"/>
                <w:color w:val="000000"/>
                <w:sz w:val="15"/>
                <w:szCs w:val="15"/>
                <w:lang w:val="en-AU"/>
              </w:rPr>
            </w:pPr>
          </w:p>
        </w:tc>
        <w:tc>
          <w:tcPr>
            <w:tcW w:w="937" w:type="dxa"/>
            <w:tcBorders>
              <w:top w:val="nil"/>
              <w:left w:val="nil"/>
              <w:bottom w:val="nil"/>
              <w:right w:val="nil"/>
            </w:tcBorders>
            <w:shd w:val="clear" w:color="auto" w:fill="auto"/>
            <w:noWrap/>
            <w:vAlign w:val="center"/>
          </w:tcPr>
          <w:p w14:paraId="45066431" w14:textId="77777777" w:rsidR="0086187D" w:rsidRPr="00DA5E40" w:rsidRDefault="0086187D" w:rsidP="0086187D">
            <w:pPr>
              <w:spacing w:before="0" w:after="0"/>
              <w:jc w:val="right"/>
              <w:rPr>
                <w:rFonts w:ascii="Times New Roman" w:hAnsi="Times New Roman" w:cs="Times New Roman"/>
                <w:sz w:val="15"/>
                <w:szCs w:val="15"/>
                <w:lang w:val="en-AU"/>
              </w:rPr>
            </w:pPr>
          </w:p>
        </w:tc>
        <w:tc>
          <w:tcPr>
            <w:tcW w:w="937" w:type="dxa"/>
            <w:tcBorders>
              <w:top w:val="nil"/>
              <w:left w:val="nil"/>
              <w:bottom w:val="nil"/>
              <w:right w:val="nil"/>
            </w:tcBorders>
            <w:shd w:val="clear" w:color="auto" w:fill="auto"/>
            <w:noWrap/>
            <w:vAlign w:val="center"/>
          </w:tcPr>
          <w:p w14:paraId="213E8664" w14:textId="77777777" w:rsidR="0086187D" w:rsidRPr="00DA5E40" w:rsidRDefault="0086187D" w:rsidP="0086187D">
            <w:pPr>
              <w:spacing w:before="0" w:after="0"/>
              <w:jc w:val="right"/>
              <w:rPr>
                <w:rFonts w:ascii="Times New Roman" w:hAnsi="Times New Roman" w:cs="Times New Roman"/>
                <w:sz w:val="15"/>
                <w:szCs w:val="15"/>
                <w:lang w:val="en-AU"/>
              </w:rPr>
            </w:pPr>
          </w:p>
        </w:tc>
        <w:tc>
          <w:tcPr>
            <w:tcW w:w="938" w:type="dxa"/>
            <w:tcBorders>
              <w:top w:val="nil"/>
              <w:left w:val="nil"/>
              <w:bottom w:val="nil"/>
              <w:right w:val="nil"/>
            </w:tcBorders>
            <w:shd w:val="clear" w:color="auto" w:fill="auto"/>
            <w:noWrap/>
            <w:vAlign w:val="center"/>
          </w:tcPr>
          <w:p w14:paraId="76B674F4" w14:textId="77777777" w:rsidR="0086187D" w:rsidRPr="00DA5E40" w:rsidRDefault="0086187D" w:rsidP="0086187D">
            <w:pPr>
              <w:spacing w:before="0" w:after="0"/>
              <w:jc w:val="right"/>
              <w:rPr>
                <w:rFonts w:ascii="Times New Roman" w:hAnsi="Times New Roman" w:cs="Times New Roman"/>
                <w:sz w:val="15"/>
                <w:szCs w:val="15"/>
                <w:lang w:val="en-AU"/>
              </w:rPr>
            </w:pPr>
          </w:p>
        </w:tc>
      </w:tr>
      <w:tr w:rsidR="0086187D" w:rsidRPr="00C510E0" w14:paraId="67B5B2A9" w14:textId="77777777" w:rsidTr="002A5A4F">
        <w:trPr>
          <w:trHeight w:val="227"/>
        </w:trPr>
        <w:tc>
          <w:tcPr>
            <w:tcW w:w="3120" w:type="dxa"/>
            <w:tcBorders>
              <w:top w:val="nil"/>
              <w:left w:val="nil"/>
              <w:bottom w:val="nil"/>
              <w:right w:val="nil"/>
            </w:tcBorders>
            <w:shd w:val="clear" w:color="auto" w:fill="auto"/>
            <w:vAlign w:val="center"/>
            <w:hideMark/>
          </w:tcPr>
          <w:p w14:paraId="4BF519E8" w14:textId="77777777" w:rsidR="0086187D" w:rsidRPr="002B2BCC" w:rsidRDefault="0086187D" w:rsidP="0086187D">
            <w:pPr>
              <w:spacing w:before="0" w:after="0"/>
              <w:ind w:firstLineChars="100" w:firstLine="160"/>
              <w:rPr>
                <w:rFonts w:ascii="Arial" w:hAnsi="Arial"/>
                <w:color w:val="000000"/>
                <w:sz w:val="16"/>
                <w:szCs w:val="16"/>
                <w:lang w:val="en-AU"/>
              </w:rPr>
            </w:pPr>
            <w:r w:rsidRPr="002B2BCC">
              <w:rPr>
                <w:rFonts w:ascii="Arial" w:hAnsi="Arial"/>
                <w:color w:val="000000"/>
                <w:sz w:val="16"/>
                <w:szCs w:val="16"/>
                <w:lang w:val="en-AU"/>
              </w:rPr>
              <w:t xml:space="preserve">Proceeds from sales of property, </w:t>
            </w:r>
            <w:r w:rsidRPr="002B2BCC">
              <w:rPr>
                <w:rFonts w:ascii="Arial" w:hAnsi="Arial"/>
                <w:color w:val="000000"/>
                <w:sz w:val="16"/>
                <w:szCs w:val="16"/>
                <w:lang w:val="en-AU"/>
              </w:rPr>
              <w:br/>
              <w:t xml:space="preserve">    plant and equipment</w:t>
            </w:r>
          </w:p>
        </w:tc>
        <w:tc>
          <w:tcPr>
            <w:tcW w:w="981" w:type="dxa"/>
            <w:tcBorders>
              <w:top w:val="nil"/>
              <w:left w:val="nil"/>
              <w:bottom w:val="nil"/>
              <w:right w:val="nil"/>
            </w:tcBorders>
            <w:shd w:val="clear" w:color="auto" w:fill="auto"/>
            <w:noWrap/>
            <w:vAlign w:val="center"/>
          </w:tcPr>
          <w:p w14:paraId="14EFAF27" w14:textId="0BAF7F53" w:rsidR="0086187D" w:rsidRPr="00DA5E40" w:rsidRDefault="0086187D" w:rsidP="00CF037A">
            <w:pPr>
              <w:spacing w:before="0" w:after="0"/>
              <w:jc w:val="right"/>
              <w:rPr>
                <w:rFonts w:ascii="Arial" w:hAnsi="Arial"/>
                <w:color w:val="000000"/>
                <w:sz w:val="15"/>
                <w:szCs w:val="15"/>
                <w:lang w:val="en-AU"/>
              </w:rPr>
            </w:pPr>
            <w:r w:rsidRPr="00DA5E40">
              <w:rPr>
                <w:rFonts w:ascii="Arial" w:hAnsi="Arial"/>
                <w:color w:val="000000"/>
                <w:sz w:val="15"/>
                <w:szCs w:val="15"/>
                <w:lang w:val="en-AU"/>
              </w:rPr>
              <w:t>1,</w:t>
            </w:r>
            <w:r w:rsidR="00CF037A">
              <w:rPr>
                <w:rFonts w:ascii="Arial" w:hAnsi="Arial"/>
                <w:color w:val="000000"/>
                <w:sz w:val="15"/>
                <w:szCs w:val="15"/>
                <w:lang w:val="en-AU"/>
              </w:rPr>
              <w:t>22</w:t>
            </w:r>
            <w:r w:rsidRPr="00DA5E40">
              <w:rPr>
                <w:rFonts w:ascii="Arial" w:hAnsi="Arial"/>
                <w:color w:val="000000"/>
                <w:sz w:val="15"/>
                <w:szCs w:val="15"/>
                <w:lang w:val="en-AU"/>
              </w:rPr>
              <w:t>0</w:t>
            </w:r>
          </w:p>
        </w:tc>
        <w:tc>
          <w:tcPr>
            <w:tcW w:w="938" w:type="dxa"/>
            <w:tcBorders>
              <w:top w:val="nil"/>
              <w:left w:val="nil"/>
              <w:bottom w:val="nil"/>
              <w:right w:val="nil"/>
            </w:tcBorders>
            <w:shd w:val="clear" w:color="auto" w:fill="E6E6E6"/>
            <w:noWrap/>
            <w:vAlign w:val="center"/>
          </w:tcPr>
          <w:p w14:paraId="4A1F24CA" w14:textId="77777777" w:rsidR="0086187D" w:rsidRPr="00DA5E40" w:rsidRDefault="0086187D" w:rsidP="0086187D">
            <w:pPr>
              <w:spacing w:before="0" w:after="0"/>
              <w:jc w:val="right"/>
              <w:rPr>
                <w:rFonts w:ascii="Arial" w:hAnsi="Arial"/>
                <w:color w:val="000000"/>
                <w:sz w:val="15"/>
                <w:szCs w:val="15"/>
                <w:lang w:val="en-AU"/>
              </w:rPr>
            </w:pPr>
            <w:r w:rsidRPr="00DA5E40">
              <w:rPr>
                <w:rFonts w:ascii="Arial" w:hAnsi="Arial"/>
                <w:color w:val="000000"/>
                <w:sz w:val="15"/>
                <w:szCs w:val="15"/>
                <w:lang w:val="en-AU"/>
              </w:rPr>
              <w:t>-</w:t>
            </w:r>
          </w:p>
        </w:tc>
        <w:tc>
          <w:tcPr>
            <w:tcW w:w="937" w:type="dxa"/>
            <w:tcBorders>
              <w:top w:val="nil"/>
              <w:left w:val="nil"/>
              <w:bottom w:val="nil"/>
              <w:right w:val="nil"/>
            </w:tcBorders>
            <w:shd w:val="clear" w:color="auto" w:fill="auto"/>
            <w:noWrap/>
            <w:vAlign w:val="center"/>
          </w:tcPr>
          <w:p w14:paraId="27D32703" w14:textId="77777777" w:rsidR="0086187D" w:rsidRPr="00DA5E40" w:rsidRDefault="0086187D" w:rsidP="0086187D">
            <w:pPr>
              <w:spacing w:before="0" w:after="0"/>
              <w:jc w:val="right"/>
              <w:rPr>
                <w:rFonts w:ascii="Arial" w:hAnsi="Arial"/>
                <w:color w:val="000000"/>
                <w:sz w:val="15"/>
                <w:szCs w:val="15"/>
                <w:lang w:val="en-AU"/>
              </w:rPr>
            </w:pPr>
            <w:r w:rsidRPr="00DA5E40">
              <w:rPr>
                <w:rFonts w:ascii="Arial" w:hAnsi="Arial"/>
                <w:color w:val="000000"/>
                <w:sz w:val="15"/>
                <w:szCs w:val="15"/>
                <w:lang w:val="en-AU"/>
              </w:rPr>
              <w:t>-</w:t>
            </w:r>
          </w:p>
        </w:tc>
        <w:tc>
          <w:tcPr>
            <w:tcW w:w="937" w:type="dxa"/>
            <w:tcBorders>
              <w:top w:val="nil"/>
              <w:left w:val="nil"/>
              <w:bottom w:val="nil"/>
              <w:right w:val="nil"/>
            </w:tcBorders>
            <w:shd w:val="clear" w:color="auto" w:fill="auto"/>
            <w:noWrap/>
            <w:vAlign w:val="center"/>
          </w:tcPr>
          <w:p w14:paraId="6A8C5875" w14:textId="77777777" w:rsidR="0086187D" w:rsidRPr="00DA5E40" w:rsidRDefault="0086187D" w:rsidP="0086187D">
            <w:pPr>
              <w:spacing w:before="0" w:after="0"/>
              <w:jc w:val="right"/>
              <w:rPr>
                <w:rFonts w:ascii="Arial" w:hAnsi="Arial"/>
                <w:color w:val="000000"/>
                <w:sz w:val="15"/>
                <w:szCs w:val="15"/>
                <w:lang w:val="en-AU"/>
              </w:rPr>
            </w:pPr>
            <w:r w:rsidRPr="00DA5E40">
              <w:rPr>
                <w:rFonts w:ascii="Arial" w:hAnsi="Arial"/>
                <w:color w:val="000000"/>
                <w:sz w:val="15"/>
                <w:szCs w:val="15"/>
                <w:lang w:val="en-AU"/>
              </w:rPr>
              <w:t>-</w:t>
            </w:r>
          </w:p>
        </w:tc>
        <w:tc>
          <w:tcPr>
            <w:tcW w:w="938" w:type="dxa"/>
            <w:tcBorders>
              <w:top w:val="nil"/>
              <w:left w:val="nil"/>
              <w:bottom w:val="nil"/>
              <w:right w:val="nil"/>
            </w:tcBorders>
            <w:shd w:val="clear" w:color="auto" w:fill="auto"/>
            <w:noWrap/>
            <w:vAlign w:val="center"/>
          </w:tcPr>
          <w:p w14:paraId="252A6D74" w14:textId="77777777" w:rsidR="0086187D" w:rsidRPr="00DA5E40" w:rsidRDefault="0086187D" w:rsidP="0086187D">
            <w:pPr>
              <w:spacing w:before="0" w:after="0"/>
              <w:jc w:val="right"/>
              <w:rPr>
                <w:rFonts w:ascii="Arial" w:hAnsi="Arial"/>
                <w:color w:val="000000"/>
                <w:sz w:val="15"/>
                <w:szCs w:val="15"/>
                <w:lang w:val="en-AU"/>
              </w:rPr>
            </w:pPr>
            <w:r w:rsidRPr="00DA5E40">
              <w:rPr>
                <w:rFonts w:ascii="Arial" w:hAnsi="Arial"/>
                <w:color w:val="000000"/>
                <w:sz w:val="15"/>
                <w:szCs w:val="15"/>
                <w:lang w:val="en-AU"/>
              </w:rPr>
              <w:t>-</w:t>
            </w:r>
          </w:p>
        </w:tc>
      </w:tr>
      <w:tr w:rsidR="0086187D" w:rsidRPr="00C510E0" w14:paraId="5F08BC36" w14:textId="77777777" w:rsidTr="002A5A4F">
        <w:trPr>
          <w:trHeight w:val="227"/>
        </w:trPr>
        <w:tc>
          <w:tcPr>
            <w:tcW w:w="3120" w:type="dxa"/>
            <w:tcBorders>
              <w:top w:val="nil"/>
              <w:left w:val="nil"/>
              <w:bottom w:val="nil"/>
              <w:right w:val="nil"/>
            </w:tcBorders>
            <w:shd w:val="clear" w:color="auto" w:fill="auto"/>
            <w:noWrap/>
            <w:vAlign w:val="center"/>
            <w:hideMark/>
          </w:tcPr>
          <w:p w14:paraId="4093EE16" w14:textId="77777777" w:rsidR="0086187D" w:rsidRPr="002B2BCC" w:rsidRDefault="0086187D" w:rsidP="0086187D">
            <w:pPr>
              <w:spacing w:before="0" w:after="0"/>
              <w:rPr>
                <w:rFonts w:ascii="Arial" w:hAnsi="Arial"/>
                <w:b/>
                <w:bCs/>
                <w:i/>
                <w:iCs/>
                <w:color w:val="000000"/>
                <w:sz w:val="16"/>
                <w:szCs w:val="16"/>
                <w:lang w:val="en-AU"/>
              </w:rPr>
            </w:pPr>
            <w:r w:rsidRPr="002B2BCC">
              <w:rPr>
                <w:rFonts w:ascii="Arial" w:hAnsi="Arial"/>
                <w:b/>
                <w:bCs/>
                <w:i/>
                <w:iCs/>
                <w:color w:val="000000"/>
                <w:sz w:val="16"/>
                <w:szCs w:val="16"/>
                <w:lang w:val="en-AU"/>
              </w:rPr>
              <w:t>Total cash received</w:t>
            </w:r>
          </w:p>
        </w:tc>
        <w:tc>
          <w:tcPr>
            <w:tcW w:w="981" w:type="dxa"/>
            <w:tcBorders>
              <w:top w:val="single" w:sz="4" w:space="0" w:color="000000"/>
              <w:left w:val="nil"/>
              <w:bottom w:val="single" w:sz="4" w:space="0" w:color="000000"/>
              <w:right w:val="nil"/>
            </w:tcBorders>
            <w:shd w:val="clear" w:color="auto" w:fill="auto"/>
            <w:noWrap/>
            <w:vAlign w:val="center"/>
          </w:tcPr>
          <w:p w14:paraId="0621A307" w14:textId="054B56A3" w:rsidR="0086187D" w:rsidRPr="00DA5E40" w:rsidRDefault="00CF037A" w:rsidP="0086187D">
            <w:pPr>
              <w:spacing w:before="0" w:after="0"/>
              <w:jc w:val="right"/>
              <w:rPr>
                <w:rFonts w:ascii="Arial" w:hAnsi="Arial"/>
                <w:b/>
                <w:bCs/>
                <w:i/>
                <w:iCs/>
                <w:color w:val="000000"/>
                <w:sz w:val="15"/>
                <w:szCs w:val="15"/>
                <w:lang w:val="en-AU"/>
              </w:rPr>
            </w:pPr>
            <w:r>
              <w:rPr>
                <w:rFonts w:ascii="Arial" w:hAnsi="Arial"/>
                <w:b/>
                <w:bCs/>
                <w:i/>
                <w:iCs/>
                <w:color w:val="000000"/>
                <w:sz w:val="15"/>
                <w:szCs w:val="15"/>
                <w:lang w:val="en-AU"/>
              </w:rPr>
              <w:t>1,22</w:t>
            </w:r>
            <w:r w:rsidR="0086187D" w:rsidRPr="00DA5E40">
              <w:rPr>
                <w:rFonts w:ascii="Arial" w:hAnsi="Arial"/>
                <w:b/>
                <w:bCs/>
                <w:i/>
                <w:iCs/>
                <w:color w:val="000000"/>
                <w:sz w:val="15"/>
                <w:szCs w:val="15"/>
                <w:lang w:val="en-AU"/>
              </w:rPr>
              <w:t>0</w:t>
            </w:r>
          </w:p>
        </w:tc>
        <w:tc>
          <w:tcPr>
            <w:tcW w:w="938" w:type="dxa"/>
            <w:tcBorders>
              <w:top w:val="single" w:sz="4" w:space="0" w:color="000000"/>
              <w:left w:val="nil"/>
              <w:bottom w:val="single" w:sz="4" w:space="0" w:color="000000"/>
              <w:right w:val="nil"/>
            </w:tcBorders>
            <w:shd w:val="clear" w:color="auto" w:fill="E6E6E6"/>
            <w:noWrap/>
            <w:vAlign w:val="center"/>
          </w:tcPr>
          <w:p w14:paraId="5377FFA2" w14:textId="77777777" w:rsidR="0086187D" w:rsidRPr="00DA5E40" w:rsidRDefault="0086187D" w:rsidP="0086187D">
            <w:pPr>
              <w:spacing w:before="0" w:after="0"/>
              <w:jc w:val="right"/>
              <w:rPr>
                <w:rFonts w:ascii="Arial" w:hAnsi="Arial"/>
                <w:b/>
                <w:bCs/>
                <w:i/>
                <w:iCs/>
                <w:color w:val="000000"/>
                <w:sz w:val="15"/>
                <w:szCs w:val="15"/>
                <w:lang w:val="en-AU"/>
              </w:rPr>
            </w:pPr>
            <w:r w:rsidRPr="00DA5E40">
              <w:rPr>
                <w:rFonts w:ascii="Arial" w:hAnsi="Arial"/>
                <w:b/>
                <w:bCs/>
                <w:i/>
                <w:iCs/>
                <w:color w:val="000000"/>
                <w:sz w:val="15"/>
                <w:szCs w:val="15"/>
                <w:lang w:val="en-AU"/>
              </w:rPr>
              <w:t>-</w:t>
            </w:r>
          </w:p>
        </w:tc>
        <w:tc>
          <w:tcPr>
            <w:tcW w:w="937" w:type="dxa"/>
            <w:tcBorders>
              <w:top w:val="single" w:sz="4" w:space="0" w:color="000000"/>
              <w:left w:val="nil"/>
              <w:bottom w:val="single" w:sz="4" w:space="0" w:color="000000"/>
              <w:right w:val="nil"/>
            </w:tcBorders>
            <w:shd w:val="clear" w:color="auto" w:fill="auto"/>
            <w:noWrap/>
            <w:vAlign w:val="center"/>
          </w:tcPr>
          <w:p w14:paraId="3D96DD9E" w14:textId="77777777" w:rsidR="0086187D" w:rsidRPr="00DA5E40" w:rsidRDefault="0086187D" w:rsidP="0086187D">
            <w:pPr>
              <w:spacing w:before="0" w:after="0"/>
              <w:jc w:val="right"/>
              <w:rPr>
                <w:rFonts w:ascii="Arial" w:hAnsi="Arial"/>
                <w:b/>
                <w:bCs/>
                <w:i/>
                <w:iCs/>
                <w:color w:val="000000"/>
                <w:sz w:val="15"/>
                <w:szCs w:val="15"/>
                <w:lang w:val="en-AU"/>
              </w:rPr>
            </w:pPr>
            <w:r w:rsidRPr="00DA5E40">
              <w:rPr>
                <w:rFonts w:ascii="Arial" w:hAnsi="Arial"/>
                <w:b/>
                <w:bCs/>
                <w:i/>
                <w:iCs/>
                <w:color w:val="000000"/>
                <w:sz w:val="15"/>
                <w:szCs w:val="15"/>
                <w:lang w:val="en-AU"/>
              </w:rPr>
              <w:t>-</w:t>
            </w:r>
          </w:p>
        </w:tc>
        <w:tc>
          <w:tcPr>
            <w:tcW w:w="937" w:type="dxa"/>
            <w:tcBorders>
              <w:top w:val="single" w:sz="4" w:space="0" w:color="000000"/>
              <w:left w:val="nil"/>
              <w:bottom w:val="single" w:sz="4" w:space="0" w:color="000000"/>
              <w:right w:val="nil"/>
            </w:tcBorders>
            <w:shd w:val="clear" w:color="auto" w:fill="auto"/>
            <w:noWrap/>
            <w:vAlign w:val="center"/>
          </w:tcPr>
          <w:p w14:paraId="5FC0C239" w14:textId="77777777" w:rsidR="0086187D" w:rsidRPr="00DA5E40" w:rsidRDefault="0086187D" w:rsidP="0086187D">
            <w:pPr>
              <w:spacing w:before="0" w:after="0"/>
              <w:jc w:val="right"/>
              <w:rPr>
                <w:rFonts w:ascii="Arial" w:hAnsi="Arial"/>
                <w:b/>
                <w:bCs/>
                <w:i/>
                <w:iCs/>
                <w:color w:val="000000"/>
                <w:sz w:val="15"/>
                <w:szCs w:val="15"/>
                <w:lang w:val="en-AU"/>
              </w:rPr>
            </w:pPr>
            <w:r w:rsidRPr="00DA5E40">
              <w:rPr>
                <w:rFonts w:ascii="Arial" w:hAnsi="Arial"/>
                <w:b/>
                <w:bCs/>
                <w:i/>
                <w:iCs/>
                <w:color w:val="000000"/>
                <w:sz w:val="15"/>
                <w:szCs w:val="15"/>
                <w:lang w:val="en-AU"/>
              </w:rPr>
              <w:t>-</w:t>
            </w:r>
          </w:p>
        </w:tc>
        <w:tc>
          <w:tcPr>
            <w:tcW w:w="938" w:type="dxa"/>
            <w:tcBorders>
              <w:top w:val="single" w:sz="4" w:space="0" w:color="000000"/>
              <w:left w:val="nil"/>
              <w:bottom w:val="single" w:sz="4" w:space="0" w:color="000000"/>
              <w:right w:val="nil"/>
            </w:tcBorders>
            <w:shd w:val="clear" w:color="auto" w:fill="auto"/>
            <w:noWrap/>
            <w:vAlign w:val="center"/>
          </w:tcPr>
          <w:p w14:paraId="00E7FE05" w14:textId="77777777" w:rsidR="0086187D" w:rsidRPr="00DA5E40" w:rsidRDefault="0086187D" w:rsidP="0086187D">
            <w:pPr>
              <w:spacing w:before="0" w:after="0"/>
              <w:jc w:val="right"/>
              <w:rPr>
                <w:rFonts w:ascii="Arial" w:hAnsi="Arial"/>
                <w:b/>
                <w:bCs/>
                <w:i/>
                <w:iCs/>
                <w:color w:val="000000"/>
                <w:sz w:val="15"/>
                <w:szCs w:val="15"/>
                <w:lang w:val="en-AU"/>
              </w:rPr>
            </w:pPr>
            <w:r w:rsidRPr="00DA5E40">
              <w:rPr>
                <w:rFonts w:ascii="Arial" w:hAnsi="Arial"/>
                <w:b/>
                <w:bCs/>
                <w:i/>
                <w:iCs/>
                <w:color w:val="000000"/>
                <w:sz w:val="15"/>
                <w:szCs w:val="15"/>
                <w:lang w:val="en-AU"/>
              </w:rPr>
              <w:t>-</w:t>
            </w:r>
          </w:p>
        </w:tc>
      </w:tr>
      <w:tr w:rsidR="0086187D" w:rsidRPr="00C510E0" w14:paraId="3A7A917C" w14:textId="77777777" w:rsidTr="002A5A4F">
        <w:trPr>
          <w:trHeight w:val="227"/>
        </w:trPr>
        <w:tc>
          <w:tcPr>
            <w:tcW w:w="3120" w:type="dxa"/>
            <w:tcBorders>
              <w:top w:val="nil"/>
              <w:left w:val="nil"/>
              <w:bottom w:val="nil"/>
              <w:right w:val="nil"/>
            </w:tcBorders>
            <w:shd w:val="clear" w:color="auto" w:fill="auto"/>
            <w:noWrap/>
            <w:vAlign w:val="center"/>
            <w:hideMark/>
          </w:tcPr>
          <w:p w14:paraId="6D295EDF" w14:textId="77777777" w:rsidR="0086187D" w:rsidRPr="002B2BCC" w:rsidRDefault="0086187D" w:rsidP="0086187D">
            <w:pPr>
              <w:spacing w:before="0" w:after="0"/>
              <w:rPr>
                <w:rFonts w:ascii="Arial" w:hAnsi="Arial"/>
                <w:b/>
                <w:bCs/>
                <w:color w:val="000000"/>
                <w:sz w:val="16"/>
                <w:szCs w:val="16"/>
                <w:lang w:val="en-AU"/>
              </w:rPr>
            </w:pPr>
            <w:r w:rsidRPr="002B2BCC">
              <w:rPr>
                <w:rFonts w:ascii="Arial" w:hAnsi="Arial"/>
                <w:b/>
                <w:bCs/>
                <w:color w:val="000000"/>
                <w:sz w:val="16"/>
                <w:szCs w:val="16"/>
                <w:lang w:val="en-AU"/>
              </w:rPr>
              <w:t>Cash used</w:t>
            </w:r>
          </w:p>
        </w:tc>
        <w:tc>
          <w:tcPr>
            <w:tcW w:w="981" w:type="dxa"/>
            <w:tcBorders>
              <w:top w:val="nil"/>
              <w:left w:val="nil"/>
              <w:bottom w:val="nil"/>
              <w:right w:val="nil"/>
            </w:tcBorders>
            <w:shd w:val="clear" w:color="auto" w:fill="auto"/>
            <w:noWrap/>
            <w:vAlign w:val="center"/>
          </w:tcPr>
          <w:p w14:paraId="672994F5" w14:textId="77777777" w:rsidR="0086187D" w:rsidRPr="00DA5E40" w:rsidRDefault="0086187D" w:rsidP="0086187D">
            <w:pPr>
              <w:spacing w:before="0" w:after="0"/>
              <w:jc w:val="right"/>
              <w:rPr>
                <w:rFonts w:ascii="Arial" w:hAnsi="Arial"/>
                <w:b/>
                <w:bCs/>
                <w:color w:val="000000"/>
                <w:sz w:val="15"/>
                <w:szCs w:val="15"/>
                <w:lang w:val="en-AU"/>
              </w:rPr>
            </w:pPr>
          </w:p>
        </w:tc>
        <w:tc>
          <w:tcPr>
            <w:tcW w:w="938" w:type="dxa"/>
            <w:tcBorders>
              <w:top w:val="nil"/>
              <w:left w:val="nil"/>
              <w:bottom w:val="nil"/>
              <w:right w:val="nil"/>
            </w:tcBorders>
            <w:shd w:val="clear" w:color="auto" w:fill="E6E6E6"/>
            <w:noWrap/>
            <w:vAlign w:val="center"/>
          </w:tcPr>
          <w:p w14:paraId="41447643" w14:textId="77777777" w:rsidR="0086187D" w:rsidRPr="00DA5E40" w:rsidRDefault="0086187D" w:rsidP="0086187D">
            <w:pPr>
              <w:spacing w:before="0" w:after="0"/>
              <w:jc w:val="right"/>
              <w:rPr>
                <w:rFonts w:ascii="Arial" w:hAnsi="Arial"/>
                <w:color w:val="000000"/>
                <w:sz w:val="15"/>
                <w:szCs w:val="15"/>
                <w:lang w:val="en-AU"/>
              </w:rPr>
            </w:pPr>
          </w:p>
        </w:tc>
        <w:tc>
          <w:tcPr>
            <w:tcW w:w="937" w:type="dxa"/>
            <w:tcBorders>
              <w:top w:val="nil"/>
              <w:left w:val="nil"/>
              <w:bottom w:val="nil"/>
              <w:right w:val="nil"/>
            </w:tcBorders>
            <w:shd w:val="clear" w:color="auto" w:fill="auto"/>
            <w:noWrap/>
            <w:vAlign w:val="center"/>
          </w:tcPr>
          <w:p w14:paraId="7A79BA75" w14:textId="77777777" w:rsidR="0086187D" w:rsidRPr="00DA5E40" w:rsidRDefault="0086187D" w:rsidP="0086187D">
            <w:pPr>
              <w:spacing w:before="0" w:after="0"/>
              <w:jc w:val="right"/>
              <w:rPr>
                <w:rFonts w:ascii="Times New Roman" w:hAnsi="Times New Roman" w:cs="Times New Roman"/>
                <w:sz w:val="15"/>
                <w:szCs w:val="15"/>
                <w:lang w:val="en-AU"/>
              </w:rPr>
            </w:pPr>
          </w:p>
        </w:tc>
        <w:tc>
          <w:tcPr>
            <w:tcW w:w="937" w:type="dxa"/>
            <w:tcBorders>
              <w:top w:val="nil"/>
              <w:left w:val="nil"/>
              <w:bottom w:val="nil"/>
              <w:right w:val="nil"/>
            </w:tcBorders>
            <w:shd w:val="clear" w:color="auto" w:fill="auto"/>
            <w:noWrap/>
            <w:vAlign w:val="center"/>
          </w:tcPr>
          <w:p w14:paraId="2AF31DB4" w14:textId="77777777" w:rsidR="0086187D" w:rsidRPr="00DA5E40" w:rsidRDefault="0086187D" w:rsidP="0086187D">
            <w:pPr>
              <w:spacing w:before="0" w:after="0"/>
              <w:jc w:val="right"/>
              <w:rPr>
                <w:rFonts w:ascii="Times New Roman" w:hAnsi="Times New Roman" w:cs="Times New Roman"/>
                <w:sz w:val="15"/>
                <w:szCs w:val="15"/>
                <w:lang w:val="en-AU"/>
              </w:rPr>
            </w:pPr>
          </w:p>
        </w:tc>
        <w:tc>
          <w:tcPr>
            <w:tcW w:w="938" w:type="dxa"/>
            <w:tcBorders>
              <w:top w:val="nil"/>
              <w:left w:val="nil"/>
              <w:bottom w:val="nil"/>
              <w:right w:val="nil"/>
            </w:tcBorders>
            <w:shd w:val="clear" w:color="auto" w:fill="auto"/>
            <w:noWrap/>
            <w:vAlign w:val="center"/>
          </w:tcPr>
          <w:p w14:paraId="4BC75E54" w14:textId="77777777" w:rsidR="0086187D" w:rsidRPr="00DA5E40" w:rsidRDefault="0086187D" w:rsidP="0086187D">
            <w:pPr>
              <w:spacing w:before="0" w:after="0"/>
              <w:jc w:val="right"/>
              <w:rPr>
                <w:rFonts w:ascii="Times New Roman" w:hAnsi="Times New Roman" w:cs="Times New Roman"/>
                <w:sz w:val="15"/>
                <w:szCs w:val="15"/>
                <w:lang w:val="en-AU"/>
              </w:rPr>
            </w:pPr>
          </w:p>
        </w:tc>
      </w:tr>
      <w:tr w:rsidR="00CF037A" w:rsidRPr="00C510E0" w14:paraId="2BE9C6F3" w14:textId="77777777" w:rsidTr="002A5A4F">
        <w:trPr>
          <w:trHeight w:val="227"/>
        </w:trPr>
        <w:tc>
          <w:tcPr>
            <w:tcW w:w="3120" w:type="dxa"/>
            <w:tcBorders>
              <w:top w:val="nil"/>
              <w:left w:val="nil"/>
              <w:bottom w:val="nil"/>
              <w:right w:val="nil"/>
            </w:tcBorders>
            <w:shd w:val="clear" w:color="auto" w:fill="auto"/>
            <w:vAlign w:val="center"/>
            <w:hideMark/>
          </w:tcPr>
          <w:p w14:paraId="0B2C1B24" w14:textId="77777777" w:rsidR="00CF037A" w:rsidRPr="002B2BCC" w:rsidRDefault="00CF037A" w:rsidP="00CF037A">
            <w:pPr>
              <w:spacing w:before="0" w:after="0"/>
              <w:ind w:firstLineChars="100" w:firstLine="160"/>
              <w:rPr>
                <w:rFonts w:ascii="Arial" w:hAnsi="Arial"/>
                <w:color w:val="000000"/>
                <w:sz w:val="16"/>
                <w:szCs w:val="16"/>
                <w:lang w:val="en-AU"/>
              </w:rPr>
            </w:pPr>
            <w:r w:rsidRPr="002B2BCC">
              <w:rPr>
                <w:rFonts w:ascii="Arial" w:hAnsi="Arial"/>
                <w:color w:val="000000"/>
                <w:sz w:val="16"/>
                <w:szCs w:val="16"/>
                <w:lang w:val="en-AU"/>
              </w:rPr>
              <w:t xml:space="preserve">Purchase of property, plant, and </w:t>
            </w:r>
            <w:r w:rsidRPr="002B2BCC">
              <w:rPr>
                <w:rFonts w:ascii="Arial" w:hAnsi="Arial"/>
                <w:color w:val="000000"/>
                <w:sz w:val="16"/>
                <w:szCs w:val="16"/>
                <w:lang w:val="en-AU"/>
              </w:rPr>
              <w:br/>
              <w:t xml:space="preserve">    equipment and intangibles</w:t>
            </w:r>
          </w:p>
        </w:tc>
        <w:tc>
          <w:tcPr>
            <w:tcW w:w="981" w:type="dxa"/>
            <w:tcBorders>
              <w:top w:val="nil"/>
              <w:left w:val="nil"/>
              <w:bottom w:val="nil"/>
              <w:right w:val="nil"/>
            </w:tcBorders>
            <w:shd w:val="clear" w:color="auto" w:fill="auto"/>
            <w:noWrap/>
            <w:vAlign w:val="center"/>
          </w:tcPr>
          <w:p w14:paraId="3619E66E" w14:textId="5E6B6CEE" w:rsidR="00CF037A" w:rsidRPr="00DA5E40" w:rsidRDefault="00CF037A" w:rsidP="00DC59EB">
            <w:pPr>
              <w:spacing w:before="0" w:after="0"/>
              <w:jc w:val="right"/>
              <w:rPr>
                <w:rFonts w:ascii="Arial" w:hAnsi="Arial"/>
                <w:color w:val="000000"/>
                <w:sz w:val="15"/>
                <w:szCs w:val="15"/>
                <w:highlight w:val="yellow"/>
                <w:lang w:val="en-AU"/>
              </w:rPr>
            </w:pPr>
            <w:r w:rsidRPr="00602FEB">
              <w:rPr>
                <w:rFonts w:ascii="Arial" w:hAnsi="Arial"/>
                <w:color w:val="000000"/>
                <w:sz w:val="16"/>
                <w:szCs w:val="16"/>
                <w:lang w:val="en-AU"/>
              </w:rPr>
              <w:t>201,880</w:t>
            </w:r>
          </w:p>
        </w:tc>
        <w:tc>
          <w:tcPr>
            <w:tcW w:w="938" w:type="dxa"/>
            <w:tcBorders>
              <w:top w:val="nil"/>
              <w:left w:val="nil"/>
              <w:bottom w:val="nil"/>
              <w:right w:val="nil"/>
            </w:tcBorders>
            <w:shd w:val="clear" w:color="auto" w:fill="E6E6E6"/>
            <w:noWrap/>
            <w:vAlign w:val="center"/>
          </w:tcPr>
          <w:p w14:paraId="1AA9E633" w14:textId="1BF18636" w:rsidR="00CF037A" w:rsidRPr="00DA5E40" w:rsidRDefault="00CF037A" w:rsidP="00DC59EB">
            <w:pPr>
              <w:spacing w:before="0" w:after="0"/>
              <w:jc w:val="right"/>
              <w:rPr>
                <w:rFonts w:ascii="Arial" w:hAnsi="Arial"/>
                <w:color w:val="000000"/>
                <w:sz w:val="15"/>
                <w:szCs w:val="15"/>
                <w:highlight w:val="yellow"/>
                <w:lang w:val="en-AU"/>
              </w:rPr>
            </w:pPr>
            <w:r w:rsidRPr="00602FEB">
              <w:rPr>
                <w:rFonts w:ascii="Arial" w:hAnsi="Arial"/>
                <w:color w:val="000000"/>
                <w:sz w:val="16"/>
                <w:szCs w:val="16"/>
                <w:lang w:val="en-AU"/>
              </w:rPr>
              <w:t>170,245</w:t>
            </w:r>
          </w:p>
        </w:tc>
        <w:tc>
          <w:tcPr>
            <w:tcW w:w="937" w:type="dxa"/>
            <w:tcBorders>
              <w:top w:val="nil"/>
              <w:left w:val="nil"/>
              <w:bottom w:val="nil"/>
              <w:right w:val="nil"/>
            </w:tcBorders>
            <w:shd w:val="clear" w:color="auto" w:fill="auto"/>
            <w:noWrap/>
            <w:vAlign w:val="center"/>
          </w:tcPr>
          <w:p w14:paraId="02F0FD03" w14:textId="338BBE07" w:rsidR="00CF037A" w:rsidRPr="00DA5E40" w:rsidRDefault="00CF037A" w:rsidP="00DC59EB">
            <w:pPr>
              <w:spacing w:before="0" w:after="0"/>
              <w:jc w:val="right"/>
              <w:rPr>
                <w:rFonts w:ascii="Arial" w:hAnsi="Arial"/>
                <w:color w:val="000000"/>
                <w:sz w:val="15"/>
                <w:szCs w:val="15"/>
                <w:highlight w:val="yellow"/>
                <w:lang w:val="en-AU"/>
              </w:rPr>
            </w:pPr>
            <w:r w:rsidRPr="00602FEB">
              <w:rPr>
                <w:rFonts w:ascii="Arial" w:hAnsi="Arial"/>
                <w:color w:val="000000"/>
                <w:sz w:val="16"/>
                <w:szCs w:val="16"/>
                <w:lang w:val="en-AU"/>
              </w:rPr>
              <w:t>166,543</w:t>
            </w:r>
          </w:p>
        </w:tc>
        <w:tc>
          <w:tcPr>
            <w:tcW w:w="937" w:type="dxa"/>
            <w:tcBorders>
              <w:top w:val="nil"/>
              <w:left w:val="nil"/>
              <w:bottom w:val="nil"/>
              <w:right w:val="nil"/>
            </w:tcBorders>
            <w:shd w:val="clear" w:color="auto" w:fill="auto"/>
            <w:noWrap/>
            <w:vAlign w:val="center"/>
          </w:tcPr>
          <w:p w14:paraId="7226FE54" w14:textId="7BAECDF4" w:rsidR="00CF037A" w:rsidRPr="00DA5E40" w:rsidRDefault="00CF037A" w:rsidP="00DC59EB">
            <w:pPr>
              <w:spacing w:before="0" w:after="0"/>
              <w:jc w:val="right"/>
              <w:rPr>
                <w:rFonts w:ascii="Arial" w:hAnsi="Arial"/>
                <w:color w:val="000000"/>
                <w:sz w:val="15"/>
                <w:szCs w:val="15"/>
                <w:highlight w:val="yellow"/>
                <w:lang w:val="en-AU"/>
              </w:rPr>
            </w:pPr>
            <w:r w:rsidRPr="00602FEB">
              <w:rPr>
                <w:rFonts w:ascii="Arial" w:hAnsi="Arial"/>
                <w:color w:val="000000"/>
                <w:sz w:val="16"/>
                <w:szCs w:val="16"/>
                <w:lang w:val="en-AU"/>
              </w:rPr>
              <w:t>180,860</w:t>
            </w:r>
          </w:p>
        </w:tc>
        <w:tc>
          <w:tcPr>
            <w:tcW w:w="938" w:type="dxa"/>
            <w:tcBorders>
              <w:top w:val="nil"/>
              <w:left w:val="nil"/>
              <w:bottom w:val="nil"/>
              <w:right w:val="nil"/>
            </w:tcBorders>
            <w:shd w:val="clear" w:color="auto" w:fill="auto"/>
            <w:noWrap/>
            <w:vAlign w:val="center"/>
          </w:tcPr>
          <w:p w14:paraId="5CF7DD18" w14:textId="3E494284" w:rsidR="00CF037A" w:rsidRPr="00DA5E40" w:rsidRDefault="00CF037A" w:rsidP="00DC59EB">
            <w:pPr>
              <w:spacing w:before="0" w:after="0"/>
              <w:jc w:val="right"/>
              <w:rPr>
                <w:rFonts w:ascii="Arial" w:hAnsi="Arial"/>
                <w:color w:val="000000"/>
                <w:sz w:val="15"/>
                <w:szCs w:val="15"/>
                <w:highlight w:val="yellow"/>
                <w:lang w:val="en-AU"/>
              </w:rPr>
            </w:pPr>
            <w:r w:rsidRPr="00602FEB">
              <w:rPr>
                <w:rFonts w:ascii="Arial" w:hAnsi="Arial"/>
                <w:color w:val="000000"/>
                <w:sz w:val="16"/>
                <w:szCs w:val="16"/>
                <w:lang w:val="en-AU"/>
              </w:rPr>
              <w:t>123,382</w:t>
            </w:r>
          </w:p>
        </w:tc>
      </w:tr>
      <w:tr w:rsidR="00CF037A" w:rsidRPr="00C510E0" w14:paraId="54CC5D86" w14:textId="77777777" w:rsidTr="002A5A4F">
        <w:trPr>
          <w:trHeight w:val="227"/>
        </w:trPr>
        <w:tc>
          <w:tcPr>
            <w:tcW w:w="3120" w:type="dxa"/>
            <w:tcBorders>
              <w:top w:val="nil"/>
              <w:left w:val="nil"/>
              <w:right w:val="nil"/>
            </w:tcBorders>
            <w:shd w:val="clear" w:color="auto" w:fill="auto"/>
            <w:noWrap/>
            <w:vAlign w:val="center"/>
            <w:hideMark/>
          </w:tcPr>
          <w:p w14:paraId="42821AF7" w14:textId="77777777" w:rsidR="00CF037A" w:rsidRPr="002B2BCC" w:rsidRDefault="00CF037A" w:rsidP="00CF037A">
            <w:pPr>
              <w:spacing w:before="0" w:after="0"/>
              <w:rPr>
                <w:rFonts w:ascii="Arial" w:hAnsi="Arial"/>
                <w:b/>
                <w:bCs/>
                <w:i/>
                <w:iCs/>
                <w:color w:val="000000"/>
                <w:sz w:val="16"/>
                <w:szCs w:val="16"/>
                <w:lang w:val="en-AU"/>
              </w:rPr>
            </w:pPr>
            <w:r w:rsidRPr="002B2BCC">
              <w:rPr>
                <w:rFonts w:ascii="Arial" w:hAnsi="Arial"/>
                <w:b/>
                <w:bCs/>
                <w:i/>
                <w:iCs/>
                <w:color w:val="000000"/>
                <w:sz w:val="16"/>
                <w:szCs w:val="16"/>
                <w:lang w:val="en-AU"/>
              </w:rPr>
              <w:t>Total cash used</w:t>
            </w:r>
          </w:p>
        </w:tc>
        <w:tc>
          <w:tcPr>
            <w:tcW w:w="981" w:type="dxa"/>
            <w:tcBorders>
              <w:top w:val="single" w:sz="4" w:space="0" w:color="000000"/>
              <w:left w:val="nil"/>
              <w:bottom w:val="single" w:sz="4" w:space="0" w:color="auto"/>
              <w:right w:val="nil"/>
            </w:tcBorders>
            <w:shd w:val="clear" w:color="auto" w:fill="auto"/>
            <w:noWrap/>
            <w:vAlign w:val="center"/>
          </w:tcPr>
          <w:p w14:paraId="14514289" w14:textId="368A33C9" w:rsidR="00CF037A" w:rsidRPr="00DA5E40" w:rsidRDefault="00CF037A" w:rsidP="00DC59EB">
            <w:pPr>
              <w:spacing w:before="0" w:after="0"/>
              <w:jc w:val="right"/>
              <w:rPr>
                <w:rFonts w:ascii="Arial" w:hAnsi="Arial"/>
                <w:b/>
                <w:bCs/>
                <w:iCs/>
                <w:color w:val="000000"/>
                <w:sz w:val="15"/>
                <w:szCs w:val="15"/>
                <w:highlight w:val="yellow"/>
                <w:lang w:val="en-AU"/>
              </w:rPr>
            </w:pPr>
            <w:r w:rsidRPr="00602FEB">
              <w:rPr>
                <w:rFonts w:ascii="Arial" w:hAnsi="Arial"/>
                <w:b/>
                <w:bCs/>
                <w:i/>
                <w:iCs/>
                <w:color w:val="000000"/>
                <w:sz w:val="16"/>
                <w:szCs w:val="16"/>
                <w:lang w:val="en-AU"/>
              </w:rPr>
              <w:t>201,880</w:t>
            </w:r>
          </w:p>
        </w:tc>
        <w:tc>
          <w:tcPr>
            <w:tcW w:w="938" w:type="dxa"/>
            <w:tcBorders>
              <w:top w:val="single" w:sz="4" w:space="0" w:color="000000"/>
              <w:left w:val="nil"/>
              <w:bottom w:val="single" w:sz="4" w:space="0" w:color="auto"/>
              <w:right w:val="nil"/>
            </w:tcBorders>
            <w:shd w:val="clear" w:color="auto" w:fill="E6E6E6"/>
            <w:noWrap/>
            <w:vAlign w:val="center"/>
          </w:tcPr>
          <w:p w14:paraId="0C723C38" w14:textId="2D40F7B4" w:rsidR="00CF037A" w:rsidRPr="00DA5E40" w:rsidRDefault="00CF037A" w:rsidP="00DC59EB">
            <w:pPr>
              <w:spacing w:before="0" w:after="0"/>
              <w:jc w:val="right"/>
              <w:rPr>
                <w:rFonts w:ascii="Arial" w:hAnsi="Arial"/>
                <w:b/>
                <w:bCs/>
                <w:iCs/>
                <w:color w:val="000000"/>
                <w:sz w:val="15"/>
                <w:szCs w:val="15"/>
                <w:highlight w:val="yellow"/>
                <w:lang w:val="en-AU"/>
              </w:rPr>
            </w:pPr>
            <w:r w:rsidRPr="00602FEB">
              <w:rPr>
                <w:rFonts w:ascii="Arial" w:hAnsi="Arial"/>
                <w:b/>
                <w:bCs/>
                <w:i/>
                <w:iCs/>
                <w:color w:val="000000"/>
                <w:sz w:val="16"/>
                <w:szCs w:val="16"/>
                <w:lang w:val="en-AU"/>
              </w:rPr>
              <w:t>170,245</w:t>
            </w:r>
          </w:p>
        </w:tc>
        <w:tc>
          <w:tcPr>
            <w:tcW w:w="937" w:type="dxa"/>
            <w:tcBorders>
              <w:top w:val="single" w:sz="4" w:space="0" w:color="000000"/>
              <w:left w:val="nil"/>
              <w:bottom w:val="single" w:sz="4" w:space="0" w:color="auto"/>
              <w:right w:val="nil"/>
            </w:tcBorders>
            <w:shd w:val="clear" w:color="auto" w:fill="auto"/>
            <w:noWrap/>
            <w:vAlign w:val="center"/>
          </w:tcPr>
          <w:p w14:paraId="157CD789" w14:textId="1AFA5AC2" w:rsidR="00CF037A" w:rsidRPr="00DA5E40" w:rsidRDefault="00CF037A" w:rsidP="00DC59EB">
            <w:pPr>
              <w:spacing w:before="0" w:after="0"/>
              <w:jc w:val="right"/>
              <w:rPr>
                <w:rFonts w:ascii="Arial" w:hAnsi="Arial"/>
                <w:b/>
                <w:bCs/>
                <w:iCs/>
                <w:color w:val="000000"/>
                <w:sz w:val="15"/>
                <w:szCs w:val="15"/>
                <w:highlight w:val="yellow"/>
                <w:lang w:val="en-AU"/>
              </w:rPr>
            </w:pPr>
            <w:r w:rsidRPr="00602FEB">
              <w:rPr>
                <w:rFonts w:ascii="Arial" w:hAnsi="Arial"/>
                <w:b/>
                <w:bCs/>
                <w:i/>
                <w:iCs/>
                <w:color w:val="000000"/>
                <w:sz w:val="16"/>
                <w:szCs w:val="16"/>
                <w:lang w:val="en-AU"/>
              </w:rPr>
              <w:t>166,543</w:t>
            </w:r>
          </w:p>
        </w:tc>
        <w:tc>
          <w:tcPr>
            <w:tcW w:w="937" w:type="dxa"/>
            <w:tcBorders>
              <w:top w:val="single" w:sz="4" w:space="0" w:color="000000"/>
              <w:left w:val="nil"/>
              <w:bottom w:val="single" w:sz="4" w:space="0" w:color="auto"/>
              <w:right w:val="nil"/>
            </w:tcBorders>
            <w:shd w:val="clear" w:color="auto" w:fill="auto"/>
            <w:noWrap/>
            <w:vAlign w:val="center"/>
          </w:tcPr>
          <w:p w14:paraId="7165562B" w14:textId="353D7E86" w:rsidR="00CF037A" w:rsidRPr="00DA5E40" w:rsidRDefault="00CF037A" w:rsidP="00DC59EB">
            <w:pPr>
              <w:spacing w:before="0" w:after="0"/>
              <w:jc w:val="right"/>
              <w:rPr>
                <w:rFonts w:ascii="Arial" w:hAnsi="Arial"/>
                <w:b/>
                <w:bCs/>
                <w:iCs/>
                <w:color w:val="000000"/>
                <w:sz w:val="15"/>
                <w:szCs w:val="15"/>
                <w:highlight w:val="yellow"/>
                <w:lang w:val="en-AU"/>
              </w:rPr>
            </w:pPr>
            <w:r w:rsidRPr="00602FEB">
              <w:rPr>
                <w:rFonts w:ascii="Arial" w:hAnsi="Arial"/>
                <w:b/>
                <w:bCs/>
                <w:i/>
                <w:iCs/>
                <w:color w:val="000000"/>
                <w:sz w:val="16"/>
                <w:szCs w:val="16"/>
                <w:lang w:val="en-AU"/>
              </w:rPr>
              <w:t>180,860</w:t>
            </w:r>
          </w:p>
        </w:tc>
        <w:tc>
          <w:tcPr>
            <w:tcW w:w="938" w:type="dxa"/>
            <w:tcBorders>
              <w:top w:val="single" w:sz="4" w:space="0" w:color="000000"/>
              <w:left w:val="nil"/>
              <w:bottom w:val="single" w:sz="4" w:space="0" w:color="auto"/>
              <w:right w:val="nil"/>
            </w:tcBorders>
            <w:shd w:val="clear" w:color="auto" w:fill="auto"/>
            <w:noWrap/>
            <w:vAlign w:val="center"/>
          </w:tcPr>
          <w:p w14:paraId="57A7A0B0" w14:textId="29A180D6" w:rsidR="00CF037A" w:rsidRPr="00DA5E40" w:rsidRDefault="00CF037A" w:rsidP="00DC59EB">
            <w:pPr>
              <w:spacing w:before="0" w:after="0"/>
              <w:jc w:val="right"/>
              <w:rPr>
                <w:rFonts w:ascii="Arial" w:hAnsi="Arial"/>
                <w:b/>
                <w:bCs/>
                <w:iCs/>
                <w:color w:val="000000"/>
                <w:sz w:val="15"/>
                <w:szCs w:val="15"/>
                <w:highlight w:val="yellow"/>
                <w:lang w:val="en-AU"/>
              </w:rPr>
            </w:pPr>
            <w:r w:rsidRPr="00602FEB">
              <w:rPr>
                <w:rFonts w:ascii="Arial" w:hAnsi="Arial"/>
                <w:b/>
                <w:bCs/>
                <w:i/>
                <w:iCs/>
                <w:color w:val="000000"/>
                <w:sz w:val="16"/>
                <w:szCs w:val="16"/>
                <w:lang w:val="en-AU"/>
              </w:rPr>
              <w:t>123,382</w:t>
            </w:r>
          </w:p>
        </w:tc>
      </w:tr>
      <w:tr w:rsidR="00CF037A" w:rsidRPr="00C510E0" w14:paraId="49F7B9E3" w14:textId="77777777" w:rsidTr="002A5A4F">
        <w:trPr>
          <w:trHeight w:val="227"/>
        </w:trPr>
        <w:tc>
          <w:tcPr>
            <w:tcW w:w="3120" w:type="dxa"/>
            <w:tcBorders>
              <w:top w:val="nil"/>
              <w:left w:val="nil"/>
              <w:right w:val="nil"/>
            </w:tcBorders>
            <w:shd w:val="clear" w:color="auto" w:fill="auto"/>
            <w:vAlign w:val="center"/>
            <w:hideMark/>
          </w:tcPr>
          <w:p w14:paraId="3F2CB280" w14:textId="77777777" w:rsidR="00CF037A" w:rsidRPr="002B2BCC" w:rsidRDefault="00CF037A" w:rsidP="00CF037A">
            <w:pPr>
              <w:spacing w:before="0" w:after="0"/>
              <w:rPr>
                <w:rFonts w:ascii="Arial" w:hAnsi="Arial"/>
                <w:b/>
                <w:bCs/>
                <w:color w:val="000000"/>
                <w:sz w:val="16"/>
                <w:szCs w:val="16"/>
                <w:lang w:val="en-AU"/>
              </w:rPr>
            </w:pPr>
            <w:r w:rsidRPr="002B2BCC">
              <w:rPr>
                <w:rFonts w:ascii="Arial" w:hAnsi="Arial"/>
                <w:b/>
                <w:bCs/>
                <w:color w:val="000000"/>
                <w:sz w:val="16"/>
                <w:szCs w:val="16"/>
                <w:lang w:val="en-AU"/>
              </w:rPr>
              <w:t>Net cash from / (used by)</w:t>
            </w:r>
            <w:r w:rsidRPr="002B2BCC">
              <w:rPr>
                <w:rFonts w:ascii="Arial" w:hAnsi="Arial"/>
                <w:b/>
                <w:bCs/>
                <w:color w:val="000000"/>
                <w:sz w:val="16"/>
                <w:szCs w:val="16"/>
                <w:lang w:val="en-AU"/>
              </w:rPr>
              <w:br/>
              <w:t xml:space="preserve">  investing activities</w:t>
            </w:r>
          </w:p>
        </w:tc>
        <w:tc>
          <w:tcPr>
            <w:tcW w:w="981" w:type="dxa"/>
            <w:tcBorders>
              <w:top w:val="nil"/>
              <w:left w:val="nil"/>
              <w:bottom w:val="single" w:sz="4" w:space="0" w:color="auto"/>
              <w:right w:val="nil"/>
            </w:tcBorders>
            <w:shd w:val="clear" w:color="auto" w:fill="auto"/>
            <w:noWrap/>
            <w:vAlign w:val="bottom"/>
          </w:tcPr>
          <w:p w14:paraId="30C8A3A8" w14:textId="3279C9C3" w:rsidR="00CF037A" w:rsidRPr="00DA5E40" w:rsidRDefault="0040014B" w:rsidP="0040014B">
            <w:pPr>
              <w:spacing w:before="0" w:after="0"/>
              <w:jc w:val="right"/>
              <w:rPr>
                <w:rFonts w:ascii="Arial" w:hAnsi="Arial"/>
                <w:b/>
                <w:bCs/>
                <w:color w:val="000000"/>
                <w:sz w:val="15"/>
                <w:szCs w:val="15"/>
                <w:highlight w:val="yellow"/>
                <w:lang w:val="en-AU"/>
              </w:rPr>
            </w:pPr>
            <w:r>
              <w:rPr>
                <w:rFonts w:ascii="Arial" w:hAnsi="Arial"/>
                <w:b/>
                <w:bCs/>
                <w:color w:val="000000"/>
                <w:sz w:val="16"/>
                <w:szCs w:val="16"/>
                <w:lang w:val="en-AU"/>
              </w:rPr>
              <w:t>-</w:t>
            </w:r>
            <w:r w:rsidR="00CF037A" w:rsidRPr="00602FEB">
              <w:rPr>
                <w:rFonts w:ascii="Arial" w:hAnsi="Arial"/>
                <w:b/>
                <w:bCs/>
                <w:color w:val="000000"/>
                <w:sz w:val="16"/>
                <w:szCs w:val="16"/>
                <w:lang w:val="en-AU"/>
              </w:rPr>
              <w:t>200,660</w:t>
            </w:r>
          </w:p>
        </w:tc>
        <w:tc>
          <w:tcPr>
            <w:tcW w:w="938" w:type="dxa"/>
            <w:tcBorders>
              <w:top w:val="nil"/>
              <w:left w:val="nil"/>
              <w:bottom w:val="single" w:sz="4" w:space="0" w:color="auto"/>
              <w:right w:val="nil"/>
            </w:tcBorders>
            <w:shd w:val="clear" w:color="auto" w:fill="E6E6E6"/>
            <w:noWrap/>
            <w:vAlign w:val="bottom"/>
          </w:tcPr>
          <w:p w14:paraId="1C3B1EA1" w14:textId="38B5528E" w:rsidR="00CF037A" w:rsidRPr="00DA5E40" w:rsidRDefault="0040014B" w:rsidP="0040014B">
            <w:pPr>
              <w:spacing w:before="0" w:after="0"/>
              <w:jc w:val="right"/>
              <w:rPr>
                <w:rFonts w:ascii="Arial" w:hAnsi="Arial"/>
                <w:b/>
                <w:bCs/>
                <w:color w:val="000000"/>
                <w:sz w:val="15"/>
                <w:szCs w:val="15"/>
                <w:highlight w:val="yellow"/>
                <w:lang w:val="en-AU"/>
              </w:rPr>
            </w:pPr>
            <w:r>
              <w:rPr>
                <w:rFonts w:ascii="Arial" w:hAnsi="Arial"/>
                <w:b/>
                <w:bCs/>
                <w:color w:val="000000"/>
                <w:sz w:val="16"/>
                <w:szCs w:val="16"/>
                <w:lang w:val="en-AU"/>
              </w:rPr>
              <w:t>-</w:t>
            </w:r>
            <w:r w:rsidR="00CF037A" w:rsidRPr="00602FEB">
              <w:rPr>
                <w:rFonts w:ascii="Arial" w:hAnsi="Arial"/>
                <w:b/>
                <w:bCs/>
                <w:color w:val="000000"/>
                <w:sz w:val="16"/>
                <w:szCs w:val="16"/>
                <w:lang w:val="en-AU"/>
              </w:rPr>
              <w:t>170,245</w:t>
            </w:r>
          </w:p>
        </w:tc>
        <w:tc>
          <w:tcPr>
            <w:tcW w:w="937" w:type="dxa"/>
            <w:tcBorders>
              <w:top w:val="nil"/>
              <w:left w:val="nil"/>
              <w:bottom w:val="single" w:sz="4" w:space="0" w:color="auto"/>
              <w:right w:val="nil"/>
            </w:tcBorders>
            <w:shd w:val="clear" w:color="auto" w:fill="auto"/>
            <w:noWrap/>
            <w:vAlign w:val="bottom"/>
          </w:tcPr>
          <w:p w14:paraId="2312BB9D" w14:textId="22F7D1FB" w:rsidR="00CF037A" w:rsidRPr="00DA5E40" w:rsidRDefault="0040014B" w:rsidP="0040014B">
            <w:pPr>
              <w:spacing w:before="0" w:after="0"/>
              <w:jc w:val="right"/>
              <w:rPr>
                <w:rFonts w:ascii="Arial" w:hAnsi="Arial"/>
                <w:b/>
                <w:bCs/>
                <w:color w:val="000000"/>
                <w:sz w:val="15"/>
                <w:szCs w:val="15"/>
                <w:highlight w:val="yellow"/>
                <w:lang w:val="en-AU"/>
              </w:rPr>
            </w:pPr>
            <w:r>
              <w:rPr>
                <w:rFonts w:ascii="Arial" w:hAnsi="Arial"/>
                <w:b/>
                <w:bCs/>
                <w:color w:val="000000"/>
                <w:sz w:val="16"/>
                <w:szCs w:val="16"/>
                <w:lang w:val="en-AU"/>
              </w:rPr>
              <w:t>-</w:t>
            </w:r>
            <w:r w:rsidR="00CF037A" w:rsidRPr="00602FEB">
              <w:rPr>
                <w:rFonts w:ascii="Arial" w:hAnsi="Arial"/>
                <w:b/>
                <w:bCs/>
                <w:color w:val="000000"/>
                <w:sz w:val="16"/>
                <w:szCs w:val="16"/>
                <w:lang w:val="en-AU"/>
              </w:rPr>
              <w:t>166,543</w:t>
            </w:r>
          </w:p>
        </w:tc>
        <w:tc>
          <w:tcPr>
            <w:tcW w:w="937" w:type="dxa"/>
            <w:tcBorders>
              <w:top w:val="nil"/>
              <w:left w:val="nil"/>
              <w:bottom w:val="single" w:sz="4" w:space="0" w:color="auto"/>
              <w:right w:val="nil"/>
            </w:tcBorders>
            <w:shd w:val="clear" w:color="auto" w:fill="auto"/>
            <w:noWrap/>
            <w:vAlign w:val="bottom"/>
          </w:tcPr>
          <w:p w14:paraId="20B4478F" w14:textId="32CCDE7B" w:rsidR="00CF037A" w:rsidRPr="00DA5E40" w:rsidRDefault="0040014B" w:rsidP="0040014B">
            <w:pPr>
              <w:spacing w:before="0" w:after="0"/>
              <w:jc w:val="right"/>
              <w:rPr>
                <w:rFonts w:ascii="Arial" w:hAnsi="Arial"/>
                <w:b/>
                <w:bCs/>
                <w:color w:val="000000"/>
                <w:sz w:val="15"/>
                <w:szCs w:val="15"/>
                <w:highlight w:val="yellow"/>
                <w:lang w:val="en-AU"/>
              </w:rPr>
            </w:pPr>
            <w:r>
              <w:rPr>
                <w:rFonts w:ascii="Arial" w:hAnsi="Arial"/>
                <w:b/>
                <w:bCs/>
                <w:color w:val="000000"/>
                <w:sz w:val="16"/>
                <w:szCs w:val="16"/>
                <w:lang w:val="en-AU"/>
              </w:rPr>
              <w:t>-</w:t>
            </w:r>
            <w:r w:rsidR="00CF037A" w:rsidRPr="00602FEB">
              <w:rPr>
                <w:rFonts w:ascii="Arial" w:hAnsi="Arial"/>
                <w:b/>
                <w:bCs/>
                <w:color w:val="000000"/>
                <w:sz w:val="16"/>
                <w:szCs w:val="16"/>
                <w:lang w:val="en-AU"/>
              </w:rPr>
              <w:t>180,860</w:t>
            </w:r>
          </w:p>
        </w:tc>
        <w:tc>
          <w:tcPr>
            <w:tcW w:w="938" w:type="dxa"/>
            <w:tcBorders>
              <w:top w:val="nil"/>
              <w:left w:val="nil"/>
              <w:bottom w:val="single" w:sz="4" w:space="0" w:color="auto"/>
              <w:right w:val="nil"/>
            </w:tcBorders>
            <w:shd w:val="clear" w:color="auto" w:fill="auto"/>
            <w:noWrap/>
            <w:vAlign w:val="bottom"/>
          </w:tcPr>
          <w:p w14:paraId="3F2A0467" w14:textId="088CDE80" w:rsidR="00CF037A" w:rsidRPr="00DA5E40" w:rsidRDefault="0040014B" w:rsidP="0040014B">
            <w:pPr>
              <w:spacing w:before="0" w:after="0"/>
              <w:jc w:val="right"/>
              <w:rPr>
                <w:rFonts w:ascii="Arial" w:hAnsi="Arial"/>
                <w:b/>
                <w:bCs/>
                <w:color w:val="000000"/>
                <w:sz w:val="15"/>
                <w:szCs w:val="15"/>
                <w:highlight w:val="yellow"/>
                <w:lang w:val="en-AU"/>
              </w:rPr>
            </w:pPr>
            <w:r>
              <w:rPr>
                <w:rFonts w:ascii="Arial" w:hAnsi="Arial"/>
                <w:b/>
                <w:bCs/>
                <w:color w:val="000000"/>
                <w:sz w:val="16"/>
                <w:szCs w:val="16"/>
                <w:lang w:val="en-AU"/>
              </w:rPr>
              <w:t>-</w:t>
            </w:r>
            <w:r w:rsidR="00CF037A" w:rsidRPr="00602FEB">
              <w:rPr>
                <w:rFonts w:ascii="Arial" w:hAnsi="Arial"/>
                <w:b/>
                <w:bCs/>
                <w:color w:val="000000"/>
                <w:sz w:val="16"/>
                <w:szCs w:val="16"/>
                <w:lang w:val="en-AU"/>
              </w:rPr>
              <w:t>123,382</w:t>
            </w:r>
          </w:p>
        </w:tc>
      </w:tr>
      <w:tr w:rsidR="0086187D" w:rsidRPr="00C510E0" w14:paraId="633ABC4C" w14:textId="77777777" w:rsidTr="002A5A4F">
        <w:trPr>
          <w:trHeight w:val="227"/>
        </w:trPr>
        <w:tc>
          <w:tcPr>
            <w:tcW w:w="3120" w:type="dxa"/>
            <w:tcBorders>
              <w:left w:val="nil"/>
              <w:bottom w:val="nil"/>
              <w:right w:val="nil"/>
            </w:tcBorders>
            <w:shd w:val="clear" w:color="auto" w:fill="auto"/>
            <w:noWrap/>
            <w:vAlign w:val="center"/>
            <w:hideMark/>
          </w:tcPr>
          <w:p w14:paraId="3FA30478" w14:textId="77777777" w:rsidR="0086187D" w:rsidRPr="002B2BCC" w:rsidRDefault="0086187D" w:rsidP="0086187D">
            <w:pPr>
              <w:spacing w:before="0" w:after="0"/>
              <w:rPr>
                <w:rFonts w:ascii="Arial" w:hAnsi="Arial"/>
                <w:b/>
                <w:bCs/>
                <w:color w:val="000000"/>
                <w:sz w:val="16"/>
                <w:szCs w:val="16"/>
                <w:lang w:val="en-AU"/>
              </w:rPr>
            </w:pPr>
            <w:r w:rsidRPr="002B2BCC">
              <w:rPr>
                <w:rFonts w:ascii="Arial" w:hAnsi="Arial"/>
                <w:b/>
                <w:bCs/>
                <w:color w:val="000000"/>
                <w:sz w:val="16"/>
                <w:szCs w:val="16"/>
                <w:lang w:val="en-AU"/>
              </w:rPr>
              <w:t>FINANCING ACTIVITIES</w:t>
            </w:r>
          </w:p>
        </w:tc>
        <w:tc>
          <w:tcPr>
            <w:tcW w:w="981" w:type="dxa"/>
            <w:tcBorders>
              <w:top w:val="nil"/>
              <w:left w:val="nil"/>
              <w:bottom w:val="nil"/>
              <w:right w:val="nil"/>
            </w:tcBorders>
            <w:shd w:val="clear" w:color="auto" w:fill="auto"/>
            <w:noWrap/>
            <w:vAlign w:val="center"/>
          </w:tcPr>
          <w:p w14:paraId="6BEF429D" w14:textId="77777777" w:rsidR="0086187D" w:rsidRPr="00DA5E40" w:rsidRDefault="0086187D" w:rsidP="0086187D">
            <w:pPr>
              <w:spacing w:before="0" w:after="0"/>
              <w:jc w:val="right"/>
              <w:rPr>
                <w:rFonts w:ascii="Arial" w:hAnsi="Arial"/>
                <w:b/>
                <w:bCs/>
                <w:color w:val="000000"/>
                <w:sz w:val="15"/>
                <w:szCs w:val="15"/>
                <w:highlight w:val="yellow"/>
                <w:lang w:val="en-AU"/>
              </w:rPr>
            </w:pPr>
          </w:p>
        </w:tc>
        <w:tc>
          <w:tcPr>
            <w:tcW w:w="938" w:type="dxa"/>
            <w:tcBorders>
              <w:top w:val="nil"/>
              <w:left w:val="nil"/>
              <w:bottom w:val="nil"/>
              <w:right w:val="nil"/>
            </w:tcBorders>
            <w:shd w:val="clear" w:color="auto" w:fill="E6E6E6"/>
            <w:noWrap/>
            <w:vAlign w:val="center"/>
          </w:tcPr>
          <w:p w14:paraId="54DB64C4" w14:textId="77777777" w:rsidR="0086187D" w:rsidRPr="00DA5E40" w:rsidRDefault="0086187D" w:rsidP="0086187D">
            <w:pPr>
              <w:spacing w:before="0" w:after="0"/>
              <w:jc w:val="right"/>
              <w:rPr>
                <w:rFonts w:ascii="Arial" w:hAnsi="Arial"/>
                <w:color w:val="000000"/>
                <w:sz w:val="15"/>
                <w:szCs w:val="15"/>
                <w:highlight w:val="yellow"/>
                <w:lang w:val="en-AU"/>
              </w:rPr>
            </w:pPr>
          </w:p>
        </w:tc>
        <w:tc>
          <w:tcPr>
            <w:tcW w:w="937" w:type="dxa"/>
            <w:tcBorders>
              <w:top w:val="nil"/>
              <w:left w:val="nil"/>
              <w:bottom w:val="nil"/>
              <w:right w:val="nil"/>
            </w:tcBorders>
            <w:shd w:val="clear" w:color="auto" w:fill="auto"/>
            <w:noWrap/>
            <w:vAlign w:val="center"/>
          </w:tcPr>
          <w:p w14:paraId="7FB5840C" w14:textId="77777777" w:rsidR="0086187D" w:rsidRPr="00DA5E40" w:rsidRDefault="0086187D" w:rsidP="0086187D">
            <w:pPr>
              <w:spacing w:before="0" w:after="0"/>
              <w:jc w:val="right"/>
              <w:rPr>
                <w:rFonts w:ascii="Times New Roman" w:hAnsi="Times New Roman" w:cs="Times New Roman"/>
                <w:sz w:val="15"/>
                <w:szCs w:val="15"/>
                <w:highlight w:val="yellow"/>
                <w:lang w:val="en-AU"/>
              </w:rPr>
            </w:pPr>
          </w:p>
        </w:tc>
        <w:tc>
          <w:tcPr>
            <w:tcW w:w="937" w:type="dxa"/>
            <w:tcBorders>
              <w:top w:val="nil"/>
              <w:left w:val="nil"/>
              <w:bottom w:val="nil"/>
              <w:right w:val="nil"/>
            </w:tcBorders>
            <w:shd w:val="clear" w:color="auto" w:fill="auto"/>
            <w:noWrap/>
            <w:vAlign w:val="center"/>
          </w:tcPr>
          <w:p w14:paraId="7197C02F" w14:textId="77777777" w:rsidR="0086187D" w:rsidRPr="00DA5E40" w:rsidRDefault="0086187D" w:rsidP="0086187D">
            <w:pPr>
              <w:spacing w:before="0" w:after="0"/>
              <w:jc w:val="right"/>
              <w:rPr>
                <w:rFonts w:ascii="Times New Roman" w:hAnsi="Times New Roman" w:cs="Times New Roman"/>
                <w:sz w:val="15"/>
                <w:szCs w:val="15"/>
                <w:highlight w:val="yellow"/>
                <w:lang w:val="en-AU"/>
              </w:rPr>
            </w:pPr>
          </w:p>
        </w:tc>
        <w:tc>
          <w:tcPr>
            <w:tcW w:w="938" w:type="dxa"/>
            <w:tcBorders>
              <w:top w:val="nil"/>
              <w:left w:val="nil"/>
              <w:bottom w:val="nil"/>
              <w:right w:val="nil"/>
            </w:tcBorders>
            <w:shd w:val="clear" w:color="auto" w:fill="auto"/>
            <w:noWrap/>
            <w:vAlign w:val="center"/>
          </w:tcPr>
          <w:p w14:paraId="65B4C6C7" w14:textId="77777777" w:rsidR="0086187D" w:rsidRPr="00DA5E40" w:rsidRDefault="0086187D" w:rsidP="0086187D">
            <w:pPr>
              <w:spacing w:before="0" w:after="0"/>
              <w:jc w:val="right"/>
              <w:rPr>
                <w:rFonts w:ascii="Times New Roman" w:hAnsi="Times New Roman" w:cs="Times New Roman"/>
                <w:sz w:val="15"/>
                <w:szCs w:val="15"/>
                <w:highlight w:val="yellow"/>
                <w:lang w:val="en-AU"/>
              </w:rPr>
            </w:pPr>
          </w:p>
        </w:tc>
      </w:tr>
      <w:tr w:rsidR="0086187D" w:rsidRPr="00C510E0" w14:paraId="4A3B5521" w14:textId="77777777" w:rsidTr="002A5A4F">
        <w:trPr>
          <w:trHeight w:val="227"/>
        </w:trPr>
        <w:tc>
          <w:tcPr>
            <w:tcW w:w="3120" w:type="dxa"/>
            <w:tcBorders>
              <w:top w:val="nil"/>
              <w:left w:val="nil"/>
              <w:bottom w:val="nil"/>
              <w:right w:val="nil"/>
            </w:tcBorders>
            <w:shd w:val="clear" w:color="auto" w:fill="auto"/>
            <w:noWrap/>
            <w:vAlign w:val="center"/>
            <w:hideMark/>
          </w:tcPr>
          <w:p w14:paraId="5F56A10D" w14:textId="77777777" w:rsidR="0086187D" w:rsidRPr="002B2BCC" w:rsidRDefault="0086187D" w:rsidP="0086187D">
            <w:pPr>
              <w:spacing w:before="0" w:after="0"/>
              <w:rPr>
                <w:rFonts w:ascii="Arial" w:hAnsi="Arial"/>
                <w:b/>
                <w:bCs/>
                <w:color w:val="000000"/>
                <w:sz w:val="16"/>
                <w:szCs w:val="16"/>
                <w:lang w:val="en-AU"/>
              </w:rPr>
            </w:pPr>
            <w:r w:rsidRPr="002B2BCC">
              <w:rPr>
                <w:rFonts w:ascii="Arial" w:hAnsi="Arial"/>
                <w:b/>
                <w:bCs/>
                <w:color w:val="000000"/>
                <w:sz w:val="16"/>
                <w:szCs w:val="16"/>
                <w:lang w:val="en-AU"/>
              </w:rPr>
              <w:t>Cash received</w:t>
            </w:r>
          </w:p>
        </w:tc>
        <w:tc>
          <w:tcPr>
            <w:tcW w:w="981" w:type="dxa"/>
            <w:tcBorders>
              <w:top w:val="nil"/>
              <w:left w:val="nil"/>
              <w:bottom w:val="nil"/>
              <w:right w:val="nil"/>
            </w:tcBorders>
            <w:shd w:val="clear" w:color="auto" w:fill="auto"/>
            <w:noWrap/>
            <w:vAlign w:val="center"/>
          </w:tcPr>
          <w:p w14:paraId="196D49B7" w14:textId="77777777" w:rsidR="0086187D" w:rsidRPr="00DA5E40" w:rsidRDefault="0086187D" w:rsidP="0086187D">
            <w:pPr>
              <w:spacing w:before="0" w:after="0"/>
              <w:jc w:val="right"/>
              <w:rPr>
                <w:rFonts w:ascii="Arial" w:hAnsi="Arial"/>
                <w:b/>
                <w:bCs/>
                <w:color w:val="000000"/>
                <w:sz w:val="15"/>
                <w:szCs w:val="15"/>
                <w:highlight w:val="yellow"/>
                <w:lang w:val="en-AU"/>
              </w:rPr>
            </w:pPr>
          </w:p>
        </w:tc>
        <w:tc>
          <w:tcPr>
            <w:tcW w:w="938" w:type="dxa"/>
            <w:tcBorders>
              <w:top w:val="nil"/>
              <w:left w:val="nil"/>
              <w:bottom w:val="nil"/>
              <w:right w:val="nil"/>
            </w:tcBorders>
            <w:shd w:val="clear" w:color="auto" w:fill="E6E6E6"/>
            <w:noWrap/>
            <w:vAlign w:val="center"/>
          </w:tcPr>
          <w:p w14:paraId="10B1AABB" w14:textId="77777777" w:rsidR="0086187D" w:rsidRPr="00DA5E40" w:rsidRDefault="0086187D" w:rsidP="0086187D">
            <w:pPr>
              <w:spacing w:before="0" w:after="0"/>
              <w:jc w:val="right"/>
              <w:rPr>
                <w:rFonts w:ascii="Arial" w:hAnsi="Arial"/>
                <w:color w:val="000000"/>
                <w:sz w:val="15"/>
                <w:szCs w:val="15"/>
                <w:highlight w:val="yellow"/>
                <w:lang w:val="en-AU"/>
              </w:rPr>
            </w:pPr>
          </w:p>
        </w:tc>
        <w:tc>
          <w:tcPr>
            <w:tcW w:w="937" w:type="dxa"/>
            <w:tcBorders>
              <w:top w:val="nil"/>
              <w:left w:val="nil"/>
              <w:bottom w:val="nil"/>
              <w:right w:val="nil"/>
            </w:tcBorders>
            <w:shd w:val="clear" w:color="auto" w:fill="auto"/>
            <w:noWrap/>
            <w:vAlign w:val="center"/>
          </w:tcPr>
          <w:p w14:paraId="0AEF72B9" w14:textId="77777777" w:rsidR="0086187D" w:rsidRPr="00DA5E40" w:rsidRDefault="0086187D" w:rsidP="0086187D">
            <w:pPr>
              <w:spacing w:before="0" w:after="0"/>
              <w:jc w:val="right"/>
              <w:rPr>
                <w:rFonts w:ascii="Times New Roman" w:hAnsi="Times New Roman" w:cs="Times New Roman"/>
                <w:sz w:val="15"/>
                <w:szCs w:val="15"/>
                <w:highlight w:val="yellow"/>
                <w:lang w:val="en-AU"/>
              </w:rPr>
            </w:pPr>
          </w:p>
        </w:tc>
        <w:tc>
          <w:tcPr>
            <w:tcW w:w="937" w:type="dxa"/>
            <w:tcBorders>
              <w:top w:val="nil"/>
              <w:left w:val="nil"/>
              <w:bottom w:val="nil"/>
              <w:right w:val="nil"/>
            </w:tcBorders>
            <w:shd w:val="clear" w:color="auto" w:fill="auto"/>
            <w:noWrap/>
            <w:vAlign w:val="center"/>
          </w:tcPr>
          <w:p w14:paraId="1F10CBD2" w14:textId="77777777" w:rsidR="0086187D" w:rsidRPr="00DA5E40" w:rsidRDefault="0086187D" w:rsidP="0086187D">
            <w:pPr>
              <w:spacing w:before="0" w:after="0"/>
              <w:jc w:val="right"/>
              <w:rPr>
                <w:rFonts w:ascii="Times New Roman" w:hAnsi="Times New Roman" w:cs="Times New Roman"/>
                <w:sz w:val="15"/>
                <w:szCs w:val="15"/>
                <w:highlight w:val="yellow"/>
                <w:lang w:val="en-AU"/>
              </w:rPr>
            </w:pPr>
          </w:p>
        </w:tc>
        <w:tc>
          <w:tcPr>
            <w:tcW w:w="938" w:type="dxa"/>
            <w:tcBorders>
              <w:top w:val="nil"/>
              <w:left w:val="nil"/>
              <w:bottom w:val="nil"/>
              <w:right w:val="nil"/>
            </w:tcBorders>
            <w:shd w:val="clear" w:color="auto" w:fill="auto"/>
            <w:noWrap/>
            <w:vAlign w:val="center"/>
          </w:tcPr>
          <w:p w14:paraId="6267FBFF" w14:textId="77777777" w:rsidR="0086187D" w:rsidRPr="00DA5E40" w:rsidRDefault="0086187D" w:rsidP="0086187D">
            <w:pPr>
              <w:spacing w:before="0" w:after="0"/>
              <w:jc w:val="right"/>
              <w:rPr>
                <w:rFonts w:ascii="Times New Roman" w:hAnsi="Times New Roman" w:cs="Times New Roman"/>
                <w:sz w:val="15"/>
                <w:szCs w:val="15"/>
                <w:highlight w:val="yellow"/>
                <w:lang w:val="en-AU"/>
              </w:rPr>
            </w:pPr>
          </w:p>
        </w:tc>
      </w:tr>
      <w:tr w:rsidR="00CF037A" w:rsidRPr="00C510E0" w14:paraId="3D153F57" w14:textId="77777777" w:rsidTr="002A5A4F">
        <w:trPr>
          <w:trHeight w:val="227"/>
        </w:trPr>
        <w:tc>
          <w:tcPr>
            <w:tcW w:w="3120" w:type="dxa"/>
            <w:tcBorders>
              <w:top w:val="nil"/>
              <w:left w:val="nil"/>
              <w:bottom w:val="nil"/>
              <w:right w:val="nil"/>
            </w:tcBorders>
            <w:shd w:val="clear" w:color="auto" w:fill="auto"/>
            <w:noWrap/>
            <w:vAlign w:val="center"/>
            <w:hideMark/>
          </w:tcPr>
          <w:p w14:paraId="613DB79E" w14:textId="77777777" w:rsidR="00CF037A" w:rsidRPr="002B2BCC" w:rsidRDefault="00CF037A" w:rsidP="00CF037A">
            <w:pPr>
              <w:spacing w:before="0" w:after="0"/>
              <w:ind w:firstLineChars="100" w:firstLine="160"/>
              <w:rPr>
                <w:rFonts w:ascii="Arial" w:hAnsi="Arial"/>
                <w:color w:val="000000"/>
                <w:sz w:val="16"/>
                <w:szCs w:val="16"/>
                <w:lang w:val="en-AU"/>
              </w:rPr>
            </w:pPr>
            <w:r w:rsidRPr="002B2BCC">
              <w:rPr>
                <w:rFonts w:ascii="Arial" w:hAnsi="Arial"/>
                <w:color w:val="000000"/>
                <w:sz w:val="16"/>
                <w:szCs w:val="16"/>
                <w:lang w:val="en-AU"/>
              </w:rPr>
              <w:t>Cash received from borrowing</w:t>
            </w:r>
          </w:p>
        </w:tc>
        <w:tc>
          <w:tcPr>
            <w:tcW w:w="981" w:type="dxa"/>
            <w:tcBorders>
              <w:top w:val="nil"/>
              <w:left w:val="nil"/>
              <w:bottom w:val="nil"/>
              <w:right w:val="nil"/>
            </w:tcBorders>
            <w:shd w:val="clear" w:color="auto" w:fill="auto"/>
            <w:noWrap/>
            <w:vAlign w:val="center"/>
          </w:tcPr>
          <w:p w14:paraId="17BA0011" w14:textId="0152D690" w:rsidR="00CF037A" w:rsidRPr="00DA5E40" w:rsidRDefault="00CF037A" w:rsidP="00DC59EB">
            <w:pPr>
              <w:spacing w:before="0" w:after="0"/>
              <w:jc w:val="right"/>
              <w:rPr>
                <w:rFonts w:ascii="Arial" w:hAnsi="Arial"/>
                <w:color w:val="000000"/>
                <w:sz w:val="15"/>
                <w:szCs w:val="15"/>
                <w:highlight w:val="yellow"/>
                <w:lang w:val="en-AU"/>
              </w:rPr>
            </w:pPr>
            <w:r w:rsidRPr="00602FEB">
              <w:rPr>
                <w:rFonts w:ascii="Arial" w:hAnsi="Arial"/>
                <w:color w:val="000000"/>
                <w:sz w:val="16"/>
                <w:szCs w:val="16"/>
                <w:lang w:val="en-AU"/>
              </w:rPr>
              <w:t>210,000</w:t>
            </w:r>
          </w:p>
        </w:tc>
        <w:tc>
          <w:tcPr>
            <w:tcW w:w="938" w:type="dxa"/>
            <w:tcBorders>
              <w:top w:val="nil"/>
              <w:left w:val="nil"/>
              <w:bottom w:val="nil"/>
              <w:right w:val="nil"/>
            </w:tcBorders>
            <w:shd w:val="clear" w:color="auto" w:fill="E6E6E6"/>
            <w:noWrap/>
            <w:vAlign w:val="center"/>
          </w:tcPr>
          <w:p w14:paraId="55A15395" w14:textId="7C84D39E" w:rsidR="00CF037A" w:rsidRPr="00DA5E40" w:rsidRDefault="00CF037A" w:rsidP="00DC59EB">
            <w:pPr>
              <w:spacing w:before="0" w:after="0"/>
              <w:jc w:val="right"/>
              <w:rPr>
                <w:rFonts w:ascii="Arial" w:hAnsi="Arial"/>
                <w:color w:val="000000"/>
                <w:sz w:val="15"/>
                <w:szCs w:val="15"/>
                <w:highlight w:val="yellow"/>
                <w:lang w:val="en-AU"/>
              </w:rPr>
            </w:pPr>
            <w:r w:rsidRPr="00602FEB">
              <w:rPr>
                <w:rFonts w:ascii="Arial" w:hAnsi="Arial"/>
                <w:color w:val="000000"/>
                <w:sz w:val="16"/>
                <w:szCs w:val="16"/>
                <w:lang w:val="en-AU"/>
              </w:rPr>
              <w:t>80,000</w:t>
            </w:r>
          </w:p>
        </w:tc>
        <w:tc>
          <w:tcPr>
            <w:tcW w:w="937" w:type="dxa"/>
            <w:tcBorders>
              <w:top w:val="nil"/>
              <w:left w:val="nil"/>
              <w:bottom w:val="nil"/>
              <w:right w:val="nil"/>
            </w:tcBorders>
            <w:shd w:val="clear" w:color="auto" w:fill="auto"/>
            <w:noWrap/>
            <w:vAlign w:val="center"/>
          </w:tcPr>
          <w:p w14:paraId="291058F1" w14:textId="57479983" w:rsidR="00CF037A" w:rsidRPr="00DA5E40" w:rsidRDefault="00CF037A" w:rsidP="00DC59EB">
            <w:pPr>
              <w:spacing w:before="0" w:after="0"/>
              <w:jc w:val="right"/>
              <w:rPr>
                <w:rFonts w:ascii="Arial" w:hAnsi="Arial"/>
                <w:color w:val="000000"/>
                <w:sz w:val="15"/>
                <w:szCs w:val="15"/>
                <w:highlight w:val="yellow"/>
                <w:lang w:val="en-AU"/>
              </w:rPr>
            </w:pPr>
            <w:r w:rsidRPr="00602FEB">
              <w:rPr>
                <w:rFonts w:ascii="Arial" w:hAnsi="Arial"/>
                <w:color w:val="000000"/>
                <w:sz w:val="16"/>
                <w:szCs w:val="16"/>
                <w:lang w:val="en-AU"/>
              </w:rPr>
              <w:t>-</w:t>
            </w:r>
          </w:p>
        </w:tc>
        <w:tc>
          <w:tcPr>
            <w:tcW w:w="937" w:type="dxa"/>
            <w:tcBorders>
              <w:top w:val="nil"/>
              <w:left w:val="nil"/>
              <w:bottom w:val="nil"/>
              <w:right w:val="nil"/>
            </w:tcBorders>
            <w:shd w:val="clear" w:color="auto" w:fill="auto"/>
            <w:noWrap/>
            <w:vAlign w:val="center"/>
          </w:tcPr>
          <w:p w14:paraId="7330D8E9" w14:textId="74C0B317" w:rsidR="00CF037A" w:rsidRPr="00DA5E40" w:rsidRDefault="00CF037A" w:rsidP="00CF037A">
            <w:pPr>
              <w:spacing w:before="0" w:after="0"/>
              <w:jc w:val="right"/>
              <w:rPr>
                <w:rFonts w:ascii="Arial" w:hAnsi="Arial"/>
                <w:color w:val="000000"/>
                <w:sz w:val="15"/>
                <w:szCs w:val="15"/>
                <w:highlight w:val="yellow"/>
                <w:lang w:val="en-AU"/>
              </w:rPr>
            </w:pPr>
            <w:r w:rsidRPr="00602FEB">
              <w:rPr>
                <w:rFonts w:ascii="Arial" w:hAnsi="Arial"/>
                <w:color w:val="000000"/>
                <w:sz w:val="16"/>
                <w:szCs w:val="16"/>
                <w:lang w:val="en-AU"/>
              </w:rPr>
              <w:t>-</w:t>
            </w:r>
          </w:p>
        </w:tc>
        <w:tc>
          <w:tcPr>
            <w:tcW w:w="938" w:type="dxa"/>
            <w:tcBorders>
              <w:top w:val="nil"/>
              <w:left w:val="nil"/>
              <w:bottom w:val="nil"/>
              <w:right w:val="nil"/>
            </w:tcBorders>
            <w:shd w:val="clear" w:color="auto" w:fill="auto"/>
            <w:noWrap/>
            <w:vAlign w:val="center"/>
          </w:tcPr>
          <w:p w14:paraId="33FE47CC" w14:textId="1F149612" w:rsidR="00CF037A" w:rsidRPr="00DA5E40" w:rsidRDefault="00CF037A" w:rsidP="00CF037A">
            <w:pPr>
              <w:spacing w:before="0" w:after="0"/>
              <w:jc w:val="right"/>
              <w:rPr>
                <w:rFonts w:ascii="Arial" w:hAnsi="Arial"/>
                <w:color w:val="000000"/>
                <w:sz w:val="15"/>
                <w:szCs w:val="15"/>
                <w:highlight w:val="yellow"/>
                <w:lang w:val="en-AU"/>
              </w:rPr>
            </w:pPr>
            <w:r w:rsidRPr="00602FEB">
              <w:rPr>
                <w:rFonts w:ascii="Arial" w:hAnsi="Arial"/>
                <w:color w:val="000000"/>
                <w:sz w:val="16"/>
                <w:szCs w:val="16"/>
                <w:lang w:val="en-AU"/>
              </w:rPr>
              <w:t xml:space="preserve">- </w:t>
            </w:r>
          </w:p>
        </w:tc>
      </w:tr>
      <w:tr w:rsidR="00CF037A" w:rsidRPr="00C510E0" w14:paraId="2DEB7B4D" w14:textId="77777777" w:rsidTr="002A5A4F">
        <w:trPr>
          <w:trHeight w:val="227"/>
        </w:trPr>
        <w:tc>
          <w:tcPr>
            <w:tcW w:w="3120" w:type="dxa"/>
            <w:tcBorders>
              <w:top w:val="nil"/>
              <w:left w:val="nil"/>
              <w:bottom w:val="nil"/>
              <w:right w:val="nil"/>
            </w:tcBorders>
            <w:shd w:val="clear" w:color="auto" w:fill="auto"/>
            <w:noWrap/>
            <w:vAlign w:val="center"/>
            <w:hideMark/>
          </w:tcPr>
          <w:p w14:paraId="732BCB76" w14:textId="77777777" w:rsidR="00CF037A" w:rsidRPr="002B2BCC" w:rsidRDefault="00CF037A" w:rsidP="00CF037A">
            <w:pPr>
              <w:spacing w:before="0" w:after="0"/>
              <w:rPr>
                <w:rFonts w:ascii="Arial" w:hAnsi="Arial"/>
                <w:b/>
                <w:bCs/>
                <w:i/>
                <w:iCs/>
                <w:color w:val="000000"/>
                <w:sz w:val="16"/>
                <w:szCs w:val="16"/>
                <w:lang w:val="en-AU"/>
              </w:rPr>
            </w:pPr>
            <w:r w:rsidRPr="002B2BCC">
              <w:rPr>
                <w:rFonts w:ascii="Arial" w:hAnsi="Arial"/>
                <w:b/>
                <w:bCs/>
                <w:i/>
                <w:iCs/>
                <w:color w:val="000000"/>
                <w:sz w:val="16"/>
                <w:szCs w:val="16"/>
                <w:lang w:val="en-AU"/>
              </w:rPr>
              <w:t>Total cash received</w:t>
            </w:r>
          </w:p>
        </w:tc>
        <w:tc>
          <w:tcPr>
            <w:tcW w:w="981" w:type="dxa"/>
            <w:tcBorders>
              <w:top w:val="single" w:sz="4" w:space="0" w:color="000000"/>
              <w:left w:val="nil"/>
              <w:bottom w:val="single" w:sz="4" w:space="0" w:color="000000"/>
              <w:right w:val="nil"/>
            </w:tcBorders>
            <w:shd w:val="clear" w:color="auto" w:fill="auto"/>
            <w:noWrap/>
            <w:vAlign w:val="center"/>
          </w:tcPr>
          <w:p w14:paraId="72296C6B" w14:textId="61165127" w:rsidR="00CF037A" w:rsidRPr="00DA5E40" w:rsidRDefault="00CF037A" w:rsidP="00DC59EB">
            <w:pPr>
              <w:spacing w:before="0" w:after="0"/>
              <w:jc w:val="right"/>
              <w:rPr>
                <w:rFonts w:ascii="Arial" w:hAnsi="Arial"/>
                <w:b/>
                <w:bCs/>
                <w:iCs/>
                <w:color w:val="000000"/>
                <w:sz w:val="15"/>
                <w:szCs w:val="15"/>
                <w:highlight w:val="yellow"/>
                <w:lang w:val="en-AU"/>
              </w:rPr>
            </w:pPr>
            <w:r w:rsidRPr="00602FEB">
              <w:rPr>
                <w:rFonts w:ascii="Arial" w:hAnsi="Arial"/>
                <w:b/>
                <w:bCs/>
                <w:i/>
                <w:iCs/>
                <w:color w:val="000000"/>
                <w:sz w:val="16"/>
                <w:szCs w:val="16"/>
                <w:lang w:val="en-AU"/>
              </w:rPr>
              <w:t>210,000</w:t>
            </w:r>
          </w:p>
        </w:tc>
        <w:tc>
          <w:tcPr>
            <w:tcW w:w="938" w:type="dxa"/>
            <w:tcBorders>
              <w:top w:val="single" w:sz="4" w:space="0" w:color="000000"/>
              <w:left w:val="nil"/>
              <w:bottom w:val="single" w:sz="4" w:space="0" w:color="000000"/>
              <w:right w:val="nil"/>
            </w:tcBorders>
            <w:shd w:val="clear" w:color="auto" w:fill="E6E6E6"/>
            <w:noWrap/>
            <w:vAlign w:val="center"/>
          </w:tcPr>
          <w:p w14:paraId="3A313D22" w14:textId="7E50FDD5" w:rsidR="00CF037A" w:rsidRPr="00DA5E40" w:rsidRDefault="00CF037A" w:rsidP="00DC59EB">
            <w:pPr>
              <w:spacing w:before="0" w:after="0"/>
              <w:jc w:val="right"/>
              <w:rPr>
                <w:rFonts w:ascii="Arial" w:hAnsi="Arial"/>
                <w:b/>
                <w:bCs/>
                <w:iCs/>
                <w:color w:val="000000"/>
                <w:sz w:val="15"/>
                <w:szCs w:val="15"/>
                <w:highlight w:val="yellow"/>
                <w:lang w:val="en-AU"/>
              </w:rPr>
            </w:pPr>
            <w:r w:rsidRPr="00602FEB">
              <w:rPr>
                <w:rFonts w:ascii="Arial" w:hAnsi="Arial"/>
                <w:b/>
                <w:bCs/>
                <w:i/>
                <w:iCs/>
                <w:color w:val="000000"/>
                <w:sz w:val="16"/>
                <w:szCs w:val="16"/>
                <w:lang w:val="en-AU"/>
              </w:rPr>
              <w:t>80,000</w:t>
            </w:r>
          </w:p>
        </w:tc>
        <w:tc>
          <w:tcPr>
            <w:tcW w:w="937" w:type="dxa"/>
            <w:tcBorders>
              <w:top w:val="single" w:sz="4" w:space="0" w:color="000000"/>
              <w:left w:val="nil"/>
              <w:bottom w:val="single" w:sz="4" w:space="0" w:color="000000"/>
              <w:right w:val="nil"/>
            </w:tcBorders>
            <w:shd w:val="clear" w:color="auto" w:fill="auto"/>
            <w:noWrap/>
            <w:vAlign w:val="center"/>
          </w:tcPr>
          <w:p w14:paraId="0E03095C" w14:textId="21481764" w:rsidR="00CF037A" w:rsidRPr="00DA5E40" w:rsidRDefault="00CF037A" w:rsidP="00DC59EB">
            <w:pPr>
              <w:spacing w:before="0" w:after="0"/>
              <w:jc w:val="right"/>
              <w:rPr>
                <w:rFonts w:ascii="Arial" w:hAnsi="Arial"/>
                <w:b/>
                <w:bCs/>
                <w:iCs/>
                <w:color w:val="000000"/>
                <w:sz w:val="15"/>
                <w:szCs w:val="15"/>
                <w:highlight w:val="yellow"/>
                <w:lang w:val="en-AU"/>
              </w:rPr>
            </w:pPr>
            <w:r w:rsidRPr="00602FEB">
              <w:rPr>
                <w:rFonts w:ascii="Arial" w:hAnsi="Arial"/>
                <w:b/>
                <w:bCs/>
                <w:i/>
                <w:iCs/>
                <w:color w:val="000000"/>
                <w:sz w:val="16"/>
                <w:szCs w:val="16"/>
                <w:lang w:val="en-AU"/>
              </w:rPr>
              <w:t>-</w:t>
            </w:r>
          </w:p>
        </w:tc>
        <w:tc>
          <w:tcPr>
            <w:tcW w:w="937" w:type="dxa"/>
            <w:tcBorders>
              <w:top w:val="single" w:sz="4" w:space="0" w:color="000000"/>
              <w:left w:val="nil"/>
              <w:bottom w:val="single" w:sz="4" w:space="0" w:color="000000"/>
              <w:right w:val="nil"/>
            </w:tcBorders>
            <w:shd w:val="clear" w:color="auto" w:fill="auto"/>
            <w:noWrap/>
            <w:vAlign w:val="center"/>
          </w:tcPr>
          <w:p w14:paraId="258AD741" w14:textId="22A05B89" w:rsidR="00CF037A" w:rsidRPr="00DA5E40" w:rsidRDefault="00CF037A" w:rsidP="00DC59EB">
            <w:pPr>
              <w:spacing w:before="0" w:after="0"/>
              <w:jc w:val="right"/>
              <w:rPr>
                <w:rFonts w:ascii="Arial" w:hAnsi="Arial"/>
                <w:b/>
                <w:bCs/>
                <w:iCs/>
                <w:color w:val="000000"/>
                <w:sz w:val="15"/>
                <w:szCs w:val="15"/>
                <w:highlight w:val="yellow"/>
                <w:lang w:val="en-AU"/>
              </w:rPr>
            </w:pPr>
            <w:r w:rsidRPr="00602FEB">
              <w:rPr>
                <w:rFonts w:ascii="Arial" w:hAnsi="Arial"/>
                <w:b/>
                <w:bCs/>
                <w:i/>
                <w:iCs/>
                <w:color w:val="000000"/>
                <w:sz w:val="16"/>
                <w:szCs w:val="16"/>
                <w:lang w:val="en-AU"/>
              </w:rPr>
              <w:t>-</w:t>
            </w:r>
          </w:p>
        </w:tc>
        <w:tc>
          <w:tcPr>
            <w:tcW w:w="938" w:type="dxa"/>
            <w:tcBorders>
              <w:top w:val="single" w:sz="4" w:space="0" w:color="000000"/>
              <w:left w:val="nil"/>
              <w:bottom w:val="single" w:sz="4" w:space="0" w:color="000000"/>
              <w:right w:val="nil"/>
            </w:tcBorders>
            <w:shd w:val="clear" w:color="auto" w:fill="auto"/>
            <w:noWrap/>
            <w:vAlign w:val="center"/>
          </w:tcPr>
          <w:p w14:paraId="5A70A15E" w14:textId="19986FF8" w:rsidR="00CF037A" w:rsidRPr="00DA5E40" w:rsidRDefault="00CF037A" w:rsidP="00CF037A">
            <w:pPr>
              <w:spacing w:before="0" w:after="0"/>
              <w:jc w:val="right"/>
              <w:rPr>
                <w:rFonts w:ascii="Arial" w:hAnsi="Arial"/>
                <w:b/>
                <w:bCs/>
                <w:iCs/>
                <w:color w:val="000000"/>
                <w:sz w:val="15"/>
                <w:szCs w:val="15"/>
                <w:highlight w:val="yellow"/>
                <w:lang w:val="en-AU"/>
              </w:rPr>
            </w:pPr>
            <w:r w:rsidRPr="00602FEB">
              <w:rPr>
                <w:rFonts w:ascii="Arial" w:hAnsi="Arial"/>
                <w:b/>
                <w:bCs/>
                <w:i/>
                <w:iCs/>
                <w:color w:val="000000"/>
                <w:sz w:val="16"/>
                <w:szCs w:val="16"/>
                <w:lang w:val="en-AU"/>
              </w:rPr>
              <w:t xml:space="preserve">- </w:t>
            </w:r>
          </w:p>
        </w:tc>
      </w:tr>
      <w:tr w:rsidR="0086187D" w:rsidRPr="00C510E0" w14:paraId="49143579" w14:textId="77777777" w:rsidTr="002A5A4F">
        <w:trPr>
          <w:trHeight w:val="227"/>
        </w:trPr>
        <w:tc>
          <w:tcPr>
            <w:tcW w:w="3120" w:type="dxa"/>
            <w:tcBorders>
              <w:top w:val="nil"/>
              <w:left w:val="nil"/>
              <w:bottom w:val="nil"/>
              <w:right w:val="nil"/>
            </w:tcBorders>
            <w:shd w:val="clear" w:color="auto" w:fill="auto"/>
            <w:noWrap/>
            <w:vAlign w:val="center"/>
            <w:hideMark/>
          </w:tcPr>
          <w:p w14:paraId="3DE5FEE2" w14:textId="77777777" w:rsidR="0086187D" w:rsidRPr="002B2BCC" w:rsidRDefault="0086187D" w:rsidP="0086187D">
            <w:pPr>
              <w:spacing w:before="0" w:after="0"/>
              <w:rPr>
                <w:rFonts w:ascii="Arial" w:hAnsi="Arial"/>
                <w:b/>
                <w:bCs/>
                <w:color w:val="000000"/>
                <w:sz w:val="16"/>
                <w:szCs w:val="16"/>
                <w:lang w:val="en-AU"/>
              </w:rPr>
            </w:pPr>
            <w:r w:rsidRPr="002B2BCC">
              <w:rPr>
                <w:rFonts w:ascii="Arial" w:hAnsi="Arial"/>
                <w:b/>
                <w:bCs/>
                <w:color w:val="000000"/>
                <w:sz w:val="16"/>
                <w:szCs w:val="16"/>
                <w:lang w:val="en-AU"/>
              </w:rPr>
              <w:t>Cash used</w:t>
            </w:r>
          </w:p>
        </w:tc>
        <w:tc>
          <w:tcPr>
            <w:tcW w:w="981" w:type="dxa"/>
            <w:tcBorders>
              <w:top w:val="nil"/>
              <w:left w:val="nil"/>
              <w:bottom w:val="nil"/>
              <w:right w:val="nil"/>
            </w:tcBorders>
            <w:shd w:val="clear" w:color="auto" w:fill="auto"/>
            <w:noWrap/>
            <w:vAlign w:val="center"/>
          </w:tcPr>
          <w:p w14:paraId="3B6FE9A3" w14:textId="77777777" w:rsidR="0086187D" w:rsidRPr="00DA5E40" w:rsidRDefault="0086187D" w:rsidP="0086187D">
            <w:pPr>
              <w:spacing w:before="0" w:after="0"/>
              <w:jc w:val="right"/>
              <w:rPr>
                <w:rFonts w:ascii="Arial" w:hAnsi="Arial"/>
                <w:b/>
                <w:bCs/>
                <w:color w:val="000000"/>
                <w:sz w:val="15"/>
                <w:szCs w:val="15"/>
                <w:highlight w:val="yellow"/>
                <w:lang w:val="en-AU"/>
              </w:rPr>
            </w:pPr>
          </w:p>
        </w:tc>
        <w:tc>
          <w:tcPr>
            <w:tcW w:w="938" w:type="dxa"/>
            <w:tcBorders>
              <w:top w:val="nil"/>
              <w:left w:val="nil"/>
              <w:bottom w:val="nil"/>
              <w:right w:val="nil"/>
            </w:tcBorders>
            <w:shd w:val="clear" w:color="auto" w:fill="E6E6E6"/>
            <w:noWrap/>
            <w:vAlign w:val="center"/>
          </w:tcPr>
          <w:p w14:paraId="4F62DB45" w14:textId="77777777" w:rsidR="0086187D" w:rsidRPr="00DA5E40" w:rsidRDefault="0086187D" w:rsidP="0086187D">
            <w:pPr>
              <w:spacing w:before="0" w:after="0"/>
              <w:jc w:val="right"/>
              <w:rPr>
                <w:rFonts w:ascii="Arial" w:hAnsi="Arial"/>
                <w:color w:val="000000"/>
                <w:sz w:val="15"/>
                <w:szCs w:val="15"/>
                <w:highlight w:val="yellow"/>
                <w:lang w:val="en-AU"/>
              </w:rPr>
            </w:pPr>
          </w:p>
        </w:tc>
        <w:tc>
          <w:tcPr>
            <w:tcW w:w="937" w:type="dxa"/>
            <w:tcBorders>
              <w:top w:val="nil"/>
              <w:left w:val="nil"/>
              <w:bottom w:val="nil"/>
              <w:right w:val="nil"/>
            </w:tcBorders>
            <w:shd w:val="clear" w:color="auto" w:fill="auto"/>
            <w:noWrap/>
            <w:vAlign w:val="center"/>
          </w:tcPr>
          <w:p w14:paraId="1E82C3BB" w14:textId="77777777" w:rsidR="0086187D" w:rsidRPr="00DA5E40" w:rsidRDefault="0086187D" w:rsidP="0086187D">
            <w:pPr>
              <w:spacing w:before="0" w:after="0"/>
              <w:jc w:val="right"/>
              <w:rPr>
                <w:rFonts w:ascii="Times New Roman" w:hAnsi="Times New Roman" w:cs="Times New Roman"/>
                <w:sz w:val="15"/>
                <w:szCs w:val="15"/>
                <w:highlight w:val="yellow"/>
                <w:lang w:val="en-AU"/>
              </w:rPr>
            </w:pPr>
          </w:p>
        </w:tc>
        <w:tc>
          <w:tcPr>
            <w:tcW w:w="937" w:type="dxa"/>
            <w:tcBorders>
              <w:top w:val="nil"/>
              <w:left w:val="nil"/>
              <w:bottom w:val="nil"/>
              <w:right w:val="nil"/>
            </w:tcBorders>
            <w:shd w:val="clear" w:color="auto" w:fill="auto"/>
            <w:noWrap/>
            <w:vAlign w:val="center"/>
          </w:tcPr>
          <w:p w14:paraId="199B925C" w14:textId="77777777" w:rsidR="0086187D" w:rsidRPr="00DA5E40" w:rsidRDefault="0086187D" w:rsidP="0086187D">
            <w:pPr>
              <w:spacing w:before="0" w:after="0"/>
              <w:jc w:val="right"/>
              <w:rPr>
                <w:rFonts w:ascii="Times New Roman" w:hAnsi="Times New Roman" w:cs="Times New Roman"/>
                <w:sz w:val="15"/>
                <w:szCs w:val="15"/>
                <w:highlight w:val="yellow"/>
                <w:lang w:val="en-AU"/>
              </w:rPr>
            </w:pPr>
          </w:p>
        </w:tc>
        <w:tc>
          <w:tcPr>
            <w:tcW w:w="938" w:type="dxa"/>
            <w:tcBorders>
              <w:top w:val="nil"/>
              <w:left w:val="nil"/>
              <w:bottom w:val="nil"/>
              <w:right w:val="nil"/>
            </w:tcBorders>
            <w:shd w:val="clear" w:color="auto" w:fill="auto"/>
            <w:noWrap/>
            <w:vAlign w:val="center"/>
          </w:tcPr>
          <w:p w14:paraId="004A9A75" w14:textId="77777777" w:rsidR="0086187D" w:rsidRPr="00DA5E40" w:rsidRDefault="0086187D" w:rsidP="0086187D">
            <w:pPr>
              <w:spacing w:before="0" w:after="0"/>
              <w:jc w:val="right"/>
              <w:rPr>
                <w:rFonts w:ascii="Times New Roman" w:hAnsi="Times New Roman" w:cs="Times New Roman"/>
                <w:sz w:val="15"/>
                <w:szCs w:val="15"/>
                <w:highlight w:val="yellow"/>
                <w:lang w:val="en-AU"/>
              </w:rPr>
            </w:pPr>
          </w:p>
        </w:tc>
      </w:tr>
      <w:tr w:rsidR="0086187D" w:rsidRPr="00C510E0" w14:paraId="50636C1A" w14:textId="77777777" w:rsidTr="002A5A4F">
        <w:trPr>
          <w:trHeight w:val="227"/>
        </w:trPr>
        <w:tc>
          <w:tcPr>
            <w:tcW w:w="3120" w:type="dxa"/>
            <w:tcBorders>
              <w:top w:val="nil"/>
              <w:left w:val="nil"/>
              <w:bottom w:val="nil"/>
              <w:right w:val="nil"/>
            </w:tcBorders>
            <w:shd w:val="clear" w:color="auto" w:fill="auto"/>
            <w:noWrap/>
            <w:vAlign w:val="center"/>
            <w:hideMark/>
          </w:tcPr>
          <w:p w14:paraId="27543AED" w14:textId="77777777" w:rsidR="0086187D" w:rsidRPr="002B2BCC" w:rsidRDefault="0086187D" w:rsidP="0086187D">
            <w:pPr>
              <w:spacing w:before="0" w:after="0"/>
              <w:ind w:firstLineChars="100" w:firstLine="160"/>
              <w:rPr>
                <w:rFonts w:ascii="Arial" w:hAnsi="Arial"/>
                <w:color w:val="000000"/>
                <w:sz w:val="16"/>
                <w:szCs w:val="16"/>
                <w:lang w:val="en-AU"/>
              </w:rPr>
            </w:pPr>
            <w:r w:rsidRPr="002B2BCC">
              <w:rPr>
                <w:rFonts w:ascii="Arial" w:hAnsi="Arial"/>
                <w:color w:val="000000"/>
                <w:sz w:val="16"/>
                <w:szCs w:val="16"/>
                <w:lang w:val="en-AU"/>
              </w:rPr>
              <w:t>Repayments of borrowings</w:t>
            </w:r>
          </w:p>
        </w:tc>
        <w:tc>
          <w:tcPr>
            <w:tcW w:w="981" w:type="dxa"/>
            <w:tcBorders>
              <w:top w:val="nil"/>
              <w:left w:val="nil"/>
              <w:bottom w:val="nil"/>
              <w:right w:val="nil"/>
            </w:tcBorders>
            <w:shd w:val="clear" w:color="auto" w:fill="auto"/>
            <w:noWrap/>
            <w:vAlign w:val="center"/>
          </w:tcPr>
          <w:p w14:paraId="65656166" w14:textId="76A6A602" w:rsidR="0086187D" w:rsidRPr="00DA5E40" w:rsidRDefault="0086187D" w:rsidP="00DC59EB">
            <w:pPr>
              <w:spacing w:before="0" w:after="0"/>
              <w:jc w:val="right"/>
              <w:rPr>
                <w:rFonts w:ascii="Arial" w:hAnsi="Arial"/>
                <w:color w:val="000000"/>
                <w:sz w:val="15"/>
                <w:szCs w:val="15"/>
                <w:highlight w:val="yellow"/>
                <w:lang w:val="en-AU"/>
              </w:rPr>
            </w:pPr>
            <w:r w:rsidRPr="00DA5E40">
              <w:rPr>
                <w:rFonts w:ascii="Arial" w:hAnsi="Arial"/>
                <w:color w:val="000000"/>
                <w:sz w:val="15"/>
                <w:szCs w:val="15"/>
              </w:rPr>
              <w:t>-</w:t>
            </w:r>
          </w:p>
        </w:tc>
        <w:tc>
          <w:tcPr>
            <w:tcW w:w="938" w:type="dxa"/>
            <w:tcBorders>
              <w:top w:val="nil"/>
              <w:left w:val="nil"/>
              <w:bottom w:val="nil"/>
              <w:right w:val="nil"/>
            </w:tcBorders>
            <w:shd w:val="clear" w:color="auto" w:fill="E6E6E6"/>
            <w:noWrap/>
            <w:vAlign w:val="center"/>
          </w:tcPr>
          <w:p w14:paraId="7D5674F2" w14:textId="4FD97314" w:rsidR="0086187D" w:rsidRPr="00DA5E40" w:rsidRDefault="0086187D" w:rsidP="00DC59EB">
            <w:pPr>
              <w:spacing w:before="0" w:after="0"/>
              <w:jc w:val="right"/>
              <w:rPr>
                <w:rFonts w:ascii="Arial" w:hAnsi="Arial"/>
                <w:color w:val="000000"/>
                <w:sz w:val="15"/>
                <w:szCs w:val="15"/>
                <w:highlight w:val="yellow"/>
                <w:lang w:val="en-AU"/>
              </w:rPr>
            </w:pPr>
            <w:r w:rsidRPr="00DA5E40">
              <w:rPr>
                <w:rFonts w:ascii="Arial" w:hAnsi="Arial"/>
                <w:color w:val="000000"/>
                <w:sz w:val="15"/>
                <w:szCs w:val="15"/>
              </w:rPr>
              <w:t>-</w:t>
            </w:r>
          </w:p>
        </w:tc>
        <w:tc>
          <w:tcPr>
            <w:tcW w:w="937" w:type="dxa"/>
            <w:tcBorders>
              <w:top w:val="nil"/>
              <w:left w:val="nil"/>
              <w:bottom w:val="nil"/>
              <w:right w:val="nil"/>
            </w:tcBorders>
            <w:shd w:val="clear" w:color="auto" w:fill="auto"/>
            <w:noWrap/>
            <w:vAlign w:val="center"/>
          </w:tcPr>
          <w:p w14:paraId="78D16185" w14:textId="6E546FAC" w:rsidR="0086187D" w:rsidRPr="00DA5E40" w:rsidRDefault="0086187D" w:rsidP="00DC59EB">
            <w:pPr>
              <w:spacing w:before="0" w:after="0"/>
              <w:jc w:val="right"/>
              <w:rPr>
                <w:rFonts w:ascii="Arial" w:hAnsi="Arial"/>
                <w:color w:val="000000"/>
                <w:sz w:val="15"/>
                <w:szCs w:val="15"/>
                <w:highlight w:val="yellow"/>
                <w:lang w:val="en-AU"/>
              </w:rPr>
            </w:pPr>
            <w:r w:rsidRPr="00DA5E40">
              <w:rPr>
                <w:rFonts w:ascii="Arial" w:hAnsi="Arial"/>
                <w:color w:val="000000"/>
                <w:sz w:val="15"/>
                <w:szCs w:val="15"/>
              </w:rPr>
              <w:t>-</w:t>
            </w:r>
          </w:p>
        </w:tc>
        <w:tc>
          <w:tcPr>
            <w:tcW w:w="937" w:type="dxa"/>
            <w:tcBorders>
              <w:top w:val="nil"/>
              <w:left w:val="nil"/>
              <w:bottom w:val="nil"/>
              <w:right w:val="nil"/>
            </w:tcBorders>
            <w:shd w:val="clear" w:color="auto" w:fill="auto"/>
            <w:noWrap/>
            <w:vAlign w:val="center"/>
          </w:tcPr>
          <w:p w14:paraId="13972407" w14:textId="3573B78F" w:rsidR="0086187D" w:rsidRPr="00DA5E40" w:rsidRDefault="0086187D" w:rsidP="00DC59EB">
            <w:pPr>
              <w:spacing w:before="0" w:after="0"/>
              <w:jc w:val="right"/>
              <w:rPr>
                <w:rFonts w:ascii="Arial" w:hAnsi="Arial"/>
                <w:color w:val="000000"/>
                <w:sz w:val="15"/>
                <w:szCs w:val="15"/>
                <w:highlight w:val="yellow"/>
                <w:lang w:val="en-AU"/>
              </w:rPr>
            </w:pPr>
            <w:r w:rsidRPr="00DA5E40">
              <w:rPr>
                <w:rFonts w:ascii="Arial" w:hAnsi="Arial"/>
                <w:color w:val="000000"/>
                <w:sz w:val="15"/>
                <w:szCs w:val="15"/>
              </w:rPr>
              <w:t>-</w:t>
            </w:r>
          </w:p>
        </w:tc>
        <w:tc>
          <w:tcPr>
            <w:tcW w:w="938" w:type="dxa"/>
            <w:tcBorders>
              <w:top w:val="nil"/>
              <w:left w:val="nil"/>
              <w:bottom w:val="nil"/>
              <w:right w:val="nil"/>
            </w:tcBorders>
            <w:shd w:val="clear" w:color="auto" w:fill="auto"/>
            <w:noWrap/>
            <w:vAlign w:val="center"/>
          </w:tcPr>
          <w:p w14:paraId="284DEBFF" w14:textId="77777777" w:rsidR="0086187D" w:rsidRPr="00DA5E40" w:rsidRDefault="0086187D" w:rsidP="0086187D">
            <w:pPr>
              <w:spacing w:before="0" w:after="0"/>
              <w:jc w:val="right"/>
              <w:rPr>
                <w:rFonts w:ascii="Arial" w:hAnsi="Arial"/>
                <w:color w:val="000000"/>
                <w:sz w:val="15"/>
                <w:szCs w:val="15"/>
                <w:highlight w:val="yellow"/>
                <w:lang w:val="en-AU"/>
              </w:rPr>
            </w:pPr>
            <w:r w:rsidRPr="00DA5E40">
              <w:rPr>
                <w:rFonts w:ascii="Arial" w:hAnsi="Arial"/>
                <w:color w:val="000000"/>
                <w:sz w:val="15"/>
                <w:szCs w:val="15"/>
              </w:rPr>
              <w:t xml:space="preserve">- </w:t>
            </w:r>
          </w:p>
        </w:tc>
      </w:tr>
      <w:tr w:rsidR="00CF037A" w:rsidRPr="00C510E0" w14:paraId="36BD92E0" w14:textId="77777777" w:rsidTr="002A5A4F">
        <w:trPr>
          <w:trHeight w:val="227"/>
        </w:trPr>
        <w:tc>
          <w:tcPr>
            <w:tcW w:w="3120" w:type="dxa"/>
            <w:tcBorders>
              <w:top w:val="nil"/>
              <w:left w:val="nil"/>
              <w:bottom w:val="nil"/>
              <w:right w:val="nil"/>
            </w:tcBorders>
            <w:shd w:val="clear" w:color="auto" w:fill="auto"/>
            <w:vAlign w:val="center"/>
            <w:hideMark/>
          </w:tcPr>
          <w:p w14:paraId="113712D1" w14:textId="77777777" w:rsidR="00CF037A" w:rsidRPr="002B2BCC" w:rsidRDefault="00CF037A" w:rsidP="00CF037A">
            <w:pPr>
              <w:spacing w:before="0" w:after="0"/>
              <w:ind w:firstLineChars="100" w:firstLine="160"/>
              <w:rPr>
                <w:rFonts w:ascii="Arial" w:hAnsi="Arial"/>
                <w:sz w:val="16"/>
                <w:szCs w:val="16"/>
                <w:lang w:val="en-AU"/>
              </w:rPr>
            </w:pPr>
            <w:r w:rsidRPr="002B2BCC">
              <w:rPr>
                <w:rFonts w:ascii="Arial" w:hAnsi="Arial"/>
                <w:sz w:val="16"/>
                <w:szCs w:val="16"/>
                <w:lang w:val="en-AU"/>
              </w:rPr>
              <w:t>Principal payments on lease liability</w:t>
            </w:r>
          </w:p>
        </w:tc>
        <w:tc>
          <w:tcPr>
            <w:tcW w:w="981" w:type="dxa"/>
            <w:tcBorders>
              <w:top w:val="nil"/>
              <w:left w:val="nil"/>
              <w:bottom w:val="nil"/>
              <w:right w:val="nil"/>
            </w:tcBorders>
            <w:shd w:val="clear" w:color="auto" w:fill="auto"/>
            <w:noWrap/>
            <w:vAlign w:val="center"/>
          </w:tcPr>
          <w:p w14:paraId="08D98896" w14:textId="7CE7BACD" w:rsidR="00CF037A" w:rsidRPr="00DA5E40" w:rsidRDefault="00CF037A" w:rsidP="00DC59EB">
            <w:pPr>
              <w:spacing w:before="0" w:after="0"/>
              <w:jc w:val="right"/>
              <w:rPr>
                <w:rFonts w:ascii="Arial" w:hAnsi="Arial"/>
                <w:color w:val="000000"/>
                <w:sz w:val="15"/>
                <w:szCs w:val="15"/>
                <w:highlight w:val="yellow"/>
                <w:lang w:val="en-AU"/>
              </w:rPr>
            </w:pPr>
            <w:r w:rsidRPr="00602FEB">
              <w:rPr>
                <w:rFonts w:ascii="Arial" w:hAnsi="Arial"/>
                <w:color w:val="000000"/>
                <w:sz w:val="16"/>
                <w:szCs w:val="16"/>
                <w:lang w:val="en-AU"/>
              </w:rPr>
              <w:t>360,427</w:t>
            </w:r>
          </w:p>
        </w:tc>
        <w:tc>
          <w:tcPr>
            <w:tcW w:w="938" w:type="dxa"/>
            <w:tcBorders>
              <w:top w:val="nil"/>
              <w:left w:val="nil"/>
              <w:bottom w:val="nil"/>
              <w:right w:val="nil"/>
            </w:tcBorders>
            <w:shd w:val="clear" w:color="auto" w:fill="E6E6E6"/>
            <w:noWrap/>
            <w:vAlign w:val="center"/>
          </w:tcPr>
          <w:p w14:paraId="1C599FDC" w14:textId="657669BD" w:rsidR="00CF037A" w:rsidRPr="00DA5E40" w:rsidRDefault="00CF037A" w:rsidP="00DC59EB">
            <w:pPr>
              <w:spacing w:before="0" w:after="0"/>
              <w:jc w:val="right"/>
              <w:rPr>
                <w:rFonts w:ascii="Arial" w:hAnsi="Arial"/>
                <w:color w:val="000000"/>
                <w:sz w:val="15"/>
                <w:szCs w:val="15"/>
                <w:highlight w:val="yellow"/>
                <w:lang w:val="en-AU"/>
              </w:rPr>
            </w:pPr>
            <w:r w:rsidRPr="00602FEB">
              <w:rPr>
                <w:rFonts w:ascii="Arial" w:hAnsi="Arial"/>
                <w:color w:val="000000"/>
                <w:sz w:val="16"/>
                <w:szCs w:val="16"/>
                <w:lang w:val="en-AU"/>
              </w:rPr>
              <w:t>344,436</w:t>
            </w:r>
          </w:p>
        </w:tc>
        <w:tc>
          <w:tcPr>
            <w:tcW w:w="937" w:type="dxa"/>
            <w:tcBorders>
              <w:top w:val="nil"/>
              <w:left w:val="nil"/>
              <w:bottom w:val="nil"/>
              <w:right w:val="nil"/>
            </w:tcBorders>
            <w:shd w:val="clear" w:color="auto" w:fill="auto"/>
            <w:noWrap/>
            <w:vAlign w:val="center"/>
          </w:tcPr>
          <w:p w14:paraId="35568BB2" w14:textId="34B7C74F" w:rsidR="00CF037A" w:rsidRPr="00DA5E40" w:rsidRDefault="00CF037A" w:rsidP="00DC59EB">
            <w:pPr>
              <w:spacing w:before="0" w:after="0"/>
              <w:jc w:val="right"/>
              <w:rPr>
                <w:rFonts w:ascii="Arial" w:hAnsi="Arial"/>
                <w:color w:val="000000"/>
                <w:sz w:val="15"/>
                <w:szCs w:val="15"/>
                <w:highlight w:val="yellow"/>
                <w:lang w:val="en-AU"/>
              </w:rPr>
            </w:pPr>
            <w:r w:rsidRPr="00602FEB">
              <w:rPr>
                <w:rFonts w:ascii="Arial" w:hAnsi="Arial"/>
                <w:color w:val="000000"/>
                <w:sz w:val="16"/>
                <w:szCs w:val="16"/>
                <w:lang w:val="en-AU"/>
              </w:rPr>
              <w:t>354,930</w:t>
            </w:r>
          </w:p>
        </w:tc>
        <w:tc>
          <w:tcPr>
            <w:tcW w:w="937" w:type="dxa"/>
            <w:tcBorders>
              <w:top w:val="nil"/>
              <w:left w:val="nil"/>
              <w:bottom w:val="nil"/>
              <w:right w:val="nil"/>
            </w:tcBorders>
            <w:shd w:val="clear" w:color="auto" w:fill="auto"/>
            <w:noWrap/>
            <w:vAlign w:val="center"/>
          </w:tcPr>
          <w:p w14:paraId="5439FE29" w14:textId="667E2878" w:rsidR="00CF037A" w:rsidRPr="00DA5E40" w:rsidRDefault="00CF037A" w:rsidP="00DC59EB">
            <w:pPr>
              <w:spacing w:before="0" w:after="0"/>
              <w:jc w:val="right"/>
              <w:rPr>
                <w:rFonts w:ascii="Arial" w:hAnsi="Arial"/>
                <w:color w:val="000000"/>
                <w:sz w:val="15"/>
                <w:szCs w:val="15"/>
                <w:highlight w:val="yellow"/>
                <w:lang w:val="en-AU"/>
              </w:rPr>
            </w:pPr>
            <w:r w:rsidRPr="00602FEB">
              <w:rPr>
                <w:rFonts w:ascii="Arial" w:hAnsi="Arial"/>
                <w:color w:val="000000"/>
                <w:sz w:val="16"/>
                <w:szCs w:val="16"/>
                <w:lang w:val="en-AU"/>
              </w:rPr>
              <w:t>364,399</w:t>
            </w:r>
          </w:p>
        </w:tc>
        <w:tc>
          <w:tcPr>
            <w:tcW w:w="938" w:type="dxa"/>
            <w:tcBorders>
              <w:top w:val="nil"/>
              <w:left w:val="nil"/>
              <w:bottom w:val="nil"/>
              <w:right w:val="nil"/>
            </w:tcBorders>
            <w:shd w:val="clear" w:color="auto" w:fill="auto"/>
            <w:noWrap/>
            <w:vAlign w:val="center"/>
          </w:tcPr>
          <w:p w14:paraId="4FD84435" w14:textId="62CA859E" w:rsidR="00CF037A" w:rsidRPr="00DA5E40" w:rsidRDefault="00CF037A" w:rsidP="00784613">
            <w:pPr>
              <w:spacing w:before="0" w:after="0"/>
              <w:jc w:val="right"/>
              <w:rPr>
                <w:rFonts w:ascii="Arial" w:hAnsi="Arial"/>
                <w:color w:val="000000"/>
                <w:sz w:val="15"/>
                <w:szCs w:val="15"/>
                <w:highlight w:val="yellow"/>
                <w:lang w:val="en-AU"/>
              </w:rPr>
            </w:pPr>
            <w:r w:rsidRPr="00602FEB">
              <w:rPr>
                <w:rFonts w:ascii="Arial" w:hAnsi="Arial"/>
                <w:color w:val="000000"/>
                <w:sz w:val="16"/>
                <w:szCs w:val="16"/>
                <w:lang w:val="en-AU"/>
              </w:rPr>
              <w:t>375,829</w:t>
            </w:r>
          </w:p>
        </w:tc>
      </w:tr>
      <w:tr w:rsidR="0086187D" w:rsidRPr="00C510E0" w14:paraId="1DDE5614" w14:textId="77777777" w:rsidTr="002A5A4F">
        <w:trPr>
          <w:trHeight w:val="227"/>
        </w:trPr>
        <w:tc>
          <w:tcPr>
            <w:tcW w:w="3120" w:type="dxa"/>
            <w:tcBorders>
              <w:top w:val="nil"/>
              <w:left w:val="nil"/>
              <w:bottom w:val="nil"/>
              <w:right w:val="nil"/>
            </w:tcBorders>
            <w:shd w:val="clear" w:color="auto" w:fill="auto"/>
            <w:noWrap/>
            <w:vAlign w:val="center"/>
            <w:hideMark/>
          </w:tcPr>
          <w:p w14:paraId="21B86B40" w14:textId="77777777" w:rsidR="0086187D" w:rsidRPr="002B2BCC" w:rsidRDefault="0086187D" w:rsidP="0086187D">
            <w:pPr>
              <w:spacing w:before="0" w:after="0"/>
              <w:ind w:firstLineChars="100" w:firstLine="160"/>
              <w:rPr>
                <w:rFonts w:ascii="Arial" w:hAnsi="Arial"/>
                <w:color w:val="000000"/>
                <w:sz w:val="16"/>
                <w:szCs w:val="16"/>
                <w:lang w:val="en-AU"/>
              </w:rPr>
            </w:pPr>
            <w:r w:rsidRPr="002B2BCC">
              <w:rPr>
                <w:rFonts w:ascii="Arial" w:hAnsi="Arial"/>
                <w:color w:val="000000"/>
                <w:sz w:val="16"/>
                <w:szCs w:val="16"/>
                <w:lang w:val="en-AU"/>
              </w:rPr>
              <w:t>Dividends paid</w:t>
            </w:r>
          </w:p>
        </w:tc>
        <w:tc>
          <w:tcPr>
            <w:tcW w:w="981" w:type="dxa"/>
            <w:tcBorders>
              <w:top w:val="nil"/>
              <w:left w:val="nil"/>
              <w:bottom w:val="nil"/>
              <w:right w:val="nil"/>
            </w:tcBorders>
            <w:shd w:val="clear" w:color="auto" w:fill="auto"/>
            <w:noWrap/>
            <w:vAlign w:val="center"/>
          </w:tcPr>
          <w:p w14:paraId="3AF741DA" w14:textId="51BAABBB" w:rsidR="0086187D" w:rsidRPr="00DA5E40" w:rsidRDefault="0086187D" w:rsidP="00DC59EB">
            <w:pPr>
              <w:spacing w:before="0" w:after="0"/>
              <w:jc w:val="right"/>
              <w:rPr>
                <w:rFonts w:ascii="Arial" w:hAnsi="Arial"/>
                <w:color w:val="000000"/>
                <w:sz w:val="15"/>
                <w:szCs w:val="15"/>
                <w:highlight w:val="yellow"/>
                <w:lang w:val="en-AU"/>
              </w:rPr>
            </w:pPr>
            <w:r w:rsidRPr="00DA5E40">
              <w:rPr>
                <w:rFonts w:ascii="Arial" w:hAnsi="Arial"/>
                <w:color w:val="000000"/>
                <w:sz w:val="15"/>
                <w:szCs w:val="15"/>
              </w:rPr>
              <w:t>-</w:t>
            </w:r>
          </w:p>
        </w:tc>
        <w:tc>
          <w:tcPr>
            <w:tcW w:w="938" w:type="dxa"/>
            <w:tcBorders>
              <w:top w:val="nil"/>
              <w:left w:val="nil"/>
              <w:bottom w:val="nil"/>
              <w:right w:val="nil"/>
            </w:tcBorders>
            <w:shd w:val="clear" w:color="auto" w:fill="E6E6E6"/>
            <w:noWrap/>
            <w:vAlign w:val="center"/>
          </w:tcPr>
          <w:p w14:paraId="3AA62C9A" w14:textId="01D65DC2" w:rsidR="0086187D" w:rsidRPr="00DA5E40" w:rsidRDefault="0086187D" w:rsidP="00DC59EB">
            <w:pPr>
              <w:spacing w:before="0" w:after="0"/>
              <w:jc w:val="right"/>
              <w:rPr>
                <w:rFonts w:ascii="Arial" w:hAnsi="Arial"/>
                <w:color w:val="000000"/>
                <w:sz w:val="15"/>
                <w:szCs w:val="15"/>
                <w:highlight w:val="yellow"/>
                <w:lang w:val="en-AU"/>
              </w:rPr>
            </w:pPr>
            <w:r w:rsidRPr="00DA5E40">
              <w:rPr>
                <w:rFonts w:ascii="Arial" w:hAnsi="Arial"/>
                <w:color w:val="000000"/>
                <w:sz w:val="15"/>
                <w:szCs w:val="15"/>
              </w:rPr>
              <w:t>-</w:t>
            </w:r>
          </w:p>
        </w:tc>
        <w:tc>
          <w:tcPr>
            <w:tcW w:w="937" w:type="dxa"/>
            <w:tcBorders>
              <w:top w:val="nil"/>
              <w:left w:val="nil"/>
              <w:bottom w:val="nil"/>
              <w:right w:val="nil"/>
            </w:tcBorders>
            <w:shd w:val="clear" w:color="auto" w:fill="auto"/>
            <w:noWrap/>
            <w:vAlign w:val="center"/>
          </w:tcPr>
          <w:p w14:paraId="1409D2B6" w14:textId="527A493D" w:rsidR="0086187D" w:rsidRPr="00DA5E40" w:rsidRDefault="0086187D" w:rsidP="00DC59EB">
            <w:pPr>
              <w:spacing w:before="0" w:after="0"/>
              <w:jc w:val="right"/>
              <w:rPr>
                <w:rFonts w:ascii="Arial" w:hAnsi="Arial"/>
                <w:color w:val="000000"/>
                <w:sz w:val="15"/>
                <w:szCs w:val="15"/>
                <w:highlight w:val="yellow"/>
                <w:lang w:val="en-AU"/>
              </w:rPr>
            </w:pPr>
            <w:r w:rsidRPr="00DA5E40">
              <w:rPr>
                <w:rFonts w:ascii="Arial" w:hAnsi="Arial"/>
                <w:color w:val="000000"/>
                <w:sz w:val="15"/>
                <w:szCs w:val="15"/>
              </w:rPr>
              <w:t>-</w:t>
            </w:r>
          </w:p>
        </w:tc>
        <w:tc>
          <w:tcPr>
            <w:tcW w:w="937" w:type="dxa"/>
            <w:tcBorders>
              <w:top w:val="nil"/>
              <w:left w:val="nil"/>
              <w:bottom w:val="nil"/>
              <w:right w:val="nil"/>
            </w:tcBorders>
            <w:shd w:val="clear" w:color="auto" w:fill="auto"/>
            <w:noWrap/>
            <w:vAlign w:val="center"/>
          </w:tcPr>
          <w:p w14:paraId="57E53D86" w14:textId="254F6E92" w:rsidR="0086187D" w:rsidRPr="00DA5E40" w:rsidRDefault="0086187D" w:rsidP="00DC59EB">
            <w:pPr>
              <w:spacing w:before="0" w:after="0"/>
              <w:jc w:val="right"/>
              <w:rPr>
                <w:rFonts w:ascii="Arial" w:hAnsi="Arial"/>
                <w:color w:val="000000"/>
                <w:sz w:val="15"/>
                <w:szCs w:val="15"/>
                <w:highlight w:val="yellow"/>
                <w:lang w:val="en-AU"/>
              </w:rPr>
            </w:pPr>
            <w:r w:rsidRPr="00DA5E40">
              <w:rPr>
                <w:rFonts w:ascii="Arial" w:hAnsi="Arial"/>
                <w:color w:val="000000"/>
                <w:sz w:val="15"/>
                <w:szCs w:val="15"/>
              </w:rPr>
              <w:t>-</w:t>
            </w:r>
          </w:p>
        </w:tc>
        <w:tc>
          <w:tcPr>
            <w:tcW w:w="938" w:type="dxa"/>
            <w:tcBorders>
              <w:top w:val="nil"/>
              <w:left w:val="nil"/>
              <w:bottom w:val="nil"/>
              <w:right w:val="nil"/>
            </w:tcBorders>
            <w:shd w:val="clear" w:color="auto" w:fill="auto"/>
            <w:noWrap/>
            <w:vAlign w:val="center"/>
          </w:tcPr>
          <w:p w14:paraId="10761A5F" w14:textId="2A6C29CC" w:rsidR="0086187D" w:rsidRPr="00DA5E40" w:rsidRDefault="0086187D" w:rsidP="0086187D">
            <w:pPr>
              <w:spacing w:before="0" w:after="0"/>
              <w:jc w:val="right"/>
              <w:rPr>
                <w:rFonts w:ascii="Arial" w:hAnsi="Arial"/>
                <w:color w:val="000000"/>
                <w:sz w:val="15"/>
                <w:szCs w:val="15"/>
                <w:highlight w:val="yellow"/>
                <w:lang w:val="en-AU"/>
              </w:rPr>
            </w:pPr>
            <w:r w:rsidRPr="00DA5E40">
              <w:rPr>
                <w:rFonts w:ascii="Arial" w:hAnsi="Arial"/>
                <w:color w:val="000000"/>
                <w:sz w:val="15"/>
                <w:szCs w:val="15"/>
              </w:rPr>
              <w:t>-</w:t>
            </w:r>
          </w:p>
        </w:tc>
      </w:tr>
      <w:tr w:rsidR="00083563" w:rsidRPr="00C510E0" w14:paraId="5F70921F" w14:textId="77777777" w:rsidTr="002A5A4F">
        <w:trPr>
          <w:trHeight w:val="227"/>
        </w:trPr>
        <w:tc>
          <w:tcPr>
            <w:tcW w:w="3120" w:type="dxa"/>
            <w:tcBorders>
              <w:top w:val="nil"/>
              <w:left w:val="nil"/>
              <w:bottom w:val="nil"/>
              <w:right w:val="nil"/>
            </w:tcBorders>
            <w:shd w:val="clear" w:color="auto" w:fill="auto"/>
            <w:noWrap/>
            <w:vAlign w:val="center"/>
            <w:hideMark/>
          </w:tcPr>
          <w:p w14:paraId="7598ED24" w14:textId="77777777" w:rsidR="00083563" w:rsidRPr="002B2BCC" w:rsidRDefault="00083563" w:rsidP="00083563">
            <w:pPr>
              <w:spacing w:before="0" w:after="0"/>
              <w:rPr>
                <w:rFonts w:ascii="Arial" w:hAnsi="Arial"/>
                <w:b/>
                <w:bCs/>
                <w:i/>
                <w:iCs/>
                <w:color w:val="000000"/>
                <w:sz w:val="16"/>
                <w:szCs w:val="16"/>
                <w:lang w:val="en-AU"/>
              </w:rPr>
            </w:pPr>
            <w:r w:rsidRPr="002B2BCC">
              <w:rPr>
                <w:rFonts w:ascii="Arial" w:hAnsi="Arial"/>
                <w:b/>
                <w:bCs/>
                <w:i/>
                <w:iCs/>
                <w:color w:val="000000"/>
                <w:sz w:val="16"/>
                <w:szCs w:val="16"/>
                <w:lang w:val="en-AU"/>
              </w:rPr>
              <w:t>Total cash used</w:t>
            </w:r>
          </w:p>
        </w:tc>
        <w:tc>
          <w:tcPr>
            <w:tcW w:w="981" w:type="dxa"/>
            <w:tcBorders>
              <w:top w:val="single" w:sz="4" w:space="0" w:color="000000"/>
              <w:left w:val="nil"/>
              <w:bottom w:val="single" w:sz="4" w:space="0" w:color="000000"/>
              <w:right w:val="nil"/>
            </w:tcBorders>
            <w:shd w:val="clear" w:color="auto" w:fill="auto"/>
            <w:noWrap/>
            <w:vAlign w:val="center"/>
          </w:tcPr>
          <w:p w14:paraId="06CE80E8" w14:textId="6248D6E1" w:rsidR="00083563" w:rsidRPr="00DA5E40" w:rsidRDefault="00083563" w:rsidP="00DC59EB">
            <w:pPr>
              <w:spacing w:before="0" w:after="0"/>
              <w:jc w:val="right"/>
              <w:rPr>
                <w:rFonts w:ascii="Arial" w:hAnsi="Arial"/>
                <w:b/>
                <w:bCs/>
                <w:iCs/>
                <w:color w:val="000000"/>
                <w:sz w:val="15"/>
                <w:szCs w:val="15"/>
                <w:highlight w:val="yellow"/>
                <w:lang w:val="en-AU"/>
              </w:rPr>
            </w:pPr>
            <w:r w:rsidRPr="00602FEB">
              <w:rPr>
                <w:rFonts w:ascii="Arial" w:hAnsi="Arial"/>
                <w:b/>
                <w:bCs/>
                <w:i/>
                <w:iCs/>
                <w:color w:val="000000"/>
                <w:sz w:val="16"/>
                <w:szCs w:val="16"/>
                <w:lang w:val="en-AU"/>
              </w:rPr>
              <w:t>360,427</w:t>
            </w:r>
          </w:p>
        </w:tc>
        <w:tc>
          <w:tcPr>
            <w:tcW w:w="938" w:type="dxa"/>
            <w:tcBorders>
              <w:top w:val="single" w:sz="4" w:space="0" w:color="000000"/>
              <w:left w:val="nil"/>
              <w:bottom w:val="single" w:sz="4" w:space="0" w:color="000000"/>
              <w:right w:val="nil"/>
            </w:tcBorders>
            <w:shd w:val="clear" w:color="auto" w:fill="E6E6E6"/>
            <w:noWrap/>
            <w:vAlign w:val="center"/>
          </w:tcPr>
          <w:p w14:paraId="3B33FD74" w14:textId="4879043C" w:rsidR="00083563" w:rsidRPr="00DA5E40" w:rsidRDefault="00083563" w:rsidP="00DC59EB">
            <w:pPr>
              <w:spacing w:before="0" w:after="0"/>
              <w:jc w:val="right"/>
              <w:rPr>
                <w:rFonts w:ascii="Arial" w:hAnsi="Arial"/>
                <w:b/>
                <w:bCs/>
                <w:iCs/>
                <w:color w:val="000000"/>
                <w:sz w:val="15"/>
                <w:szCs w:val="15"/>
                <w:highlight w:val="yellow"/>
                <w:lang w:val="en-AU"/>
              </w:rPr>
            </w:pPr>
            <w:r w:rsidRPr="00602FEB">
              <w:rPr>
                <w:rFonts w:ascii="Arial" w:hAnsi="Arial"/>
                <w:b/>
                <w:bCs/>
                <w:i/>
                <w:iCs/>
                <w:color w:val="000000"/>
                <w:sz w:val="16"/>
                <w:szCs w:val="16"/>
                <w:lang w:val="en-AU"/>
              </w:rPr>
              <w:t>344,436</w:t>
            </w:r>
          </w:p>
        </w:tc>
        <w:tc>
          <w:tcPr>
            <w:tcW w:w="937" w:type="dxa"/>
            <w:tcBorders>
              <w:top w:val="single" w:sz="4" w:space="0" w:color="000000"/>
              <w:left w:val="nil"/>
              <w:bottom w:val="single" w:sz="4" w:space="0" w:color="000000"/>
              <w:right w:val="nil"/>
            </w:tcBorders>
            <w:shd w:val="clear" w:color="auto" w:fill="auto"/>
            <w:noWrap/>
            <w:vAlign w:val="center"/>
          </w:tcPr>
          <w:p w14:paraId="548F1552" w14:textId="41036C64" w:rsidR="00083563" w:rsidRPr="00DA5E40" w:rsidRDefault="00083563" w:rsidP="00DC59EB">
            <w:pPr>
              <w:spacing w:before="0" w:after="0"/>
              <w:jc w:val="right"/>
              <w:rPr>
                <w:rFonts w:ascii="Arial" w:hAnsi="Arial"/>
                <w:b/>
                <w:bCs/>
                <w:iCs/>
                <w:color w:val="000000"/>
                <w:sz w:val="15"/>
                <w:szCs w:val="15"/>
                <w:highlight w:val="yellow"/>
                <w:lang w:val="en-AU"/>
              </w:rPr>
            </w:pPr>
            <w:r w:rsidRPr="00602FEB">
              <w:rPr>
                <w:rFonts w:ascii="Arial" w:hAnsi="Arial"/>
                <w:b/>
                <w:bCs/>
                <w:i/>
                <w:iCs/>
                <w:color w:val="000000"/>
                <w:sz w:val="16"/>
                <w:szCs w:val="16"/>
                <w:lang w:val="en-AU"/>
              </w:rPr>
              <w:t>354,930</w:t>
            </w:r>
          </w:p>
        </w:tc>
        <w:tc>
          <w:tcPr>
            <w:tcW w:w="937" w:type="dxa"/>
            <w:tcBorders>
              <w:top w:val="single" w:sz="4" w:space="0" w:color="000000"/>
              <w:left w:val="nil"/>
              <w:bottom w:val="single" w:sz="4" w:space="0" w:color="000000"/>
              <w:right w:val="nil"/>
            </w:tcBorders>
            <w:shd w:val="clear" w:color="auto" w:fill="auto"/>
            <w:noWrap/>
            <w:vAlign w:val="center"/>
          </w:tcPr>
          <w:p w14:paraId="1031BDE3" w14:textId="6A0E240B" w:rsidR="00083563" w:rsidRPr="00DA5E40" w:rsidRDefault="00083563" w:rsidP="00DC59EB">
            <w:pPr>
              <w:spacing w:before="0" w:after="0"/>
              <w:jc w:val="right"/>
              <w:rPr>
                <w:rFonts w:ascii="Arial" w:hAnsi="Arial"/>
                <w:b/>
                <w:bCs/>
                <w:iCs/>
                <w:color w:val="000000"/>
                <w:sz w:val="15"/>
                <w:szCs w:val="15"/>
                <w:highlight w:val="yellow"/>
                <w:lang w:val="en-AU"/>
              </w:rPr>
            </w:pPr>
            <w:r w:rsidRPr="00602FEB">
              <w:rPr>
                <w:rFonts w:ascii="Arial" w:hAnsi="Arial"/>
                <w:b/>
                <w:bCs/>
                <w:i/>
                <w:iCs/>
                <w:color w:val="000000"/>
                <w:sz w:val="16"/>
                <w:szCs w:val="16"/>
                <w:lang w:val="en-AU"/>
              </w:rPr>
              <w:t>364,399</w:t>
            </w:r>
          </w:p>
        </w:tc>
        <w:tc>
          <w:tcPr>
            <w:tcW w:w="938" w:type="dxa"/>
            <w:tcBorders>
              <w:top w:val="single" w:sz="4" w:space="0" w:color="000000"/>
              <w:left w:val="nil"/>
              <w:bottom w:val="single" w:sz="4" w:space="0" w:color="000000"/>
              <w:right w:val="nil"/>
            </w:tcBorders>
            <w:shd w:val="clear" w:color="auto" w:fill="auto"/>
            <w:noWrap/>
            <w:vAlign w:val="center"/>
          </w:tcPr>
          <w:p w14:paraId="5F4E71CC" w14:textId="4E136E74" w:rsidR="00083563" w:rsidRPr="00DA5E40" w:rsidRDefault="00083563" w:rsidP="00784613">
            <w:pPr>
              <w:spacing w:before="0" w:after="0"/>
              <w:jc w:val="right"/>
              <w:rPr>
                <w:rFonts w:ascii="Arial" w:hAnsi="Arial"/>
                <w:b/>
                <w:bCs/>
                <w:iCs/>
                <w:color w:val="000000"/>
                <w:sz w:val="15"/>
                <w:szCs w:val="15"/>
                <w:highlight w:val="yellow"/>
                <w:lang w:val="en-AU"/>
              </w:rPr>
            </w:pPr>
            <w:r w:rsidRPr="00602FEB">
              <w:rPr>
                <w:rFonts w:ascii="Arial" w:hAnsi="Arial"/>
                <w:b/>
                <w:bCs/>
                <w:i/>
                <w:iCs/>
                <w:color w:val="000000"/>
                <w:sz w:val="16"/>
                <w:szCs w:val="16"/>
                <w:lang w:val="en-AU"/>
              </w:rPr>
              <w:t>375,829</w:t>
            </w:r>
          </w:p>
        </w:tc>
      </w:tr>
      <w:tr w:rsidR="00083563" w:rsidRPr="00C510E0" w14:paraId="5330E3DF" w14:textId="77777777" w:rsidTr="002A5A4F">
        <w:trPr>
          <w:trHeight w:val="227"/>
        </w:trPr>
        <w:tc>
          <w:tcPr>
            <w:tcW w:w="3120" w:type="dxa"/>
            <w:tcBorders>
              <w:top w:val="nil"/>
              <w:left w:val="nil"/>
              <w:bottom w:val="nil"/>
              <w:right w:val="nil"/>
            </w:tcBorders>
            <w:shd w:val="clear" w:color="auto" w:fill="auto"/>
            <w:vAlign w:val="center"/>
            <w:hideMark/>
          </w:tcPr>
          <w:p w14:paraId="7CA2A87E" w14:textId="77777777" w:rsidR="00083563" w:rsidRPr="002B2BCC" w:rsidRDefault="00083563" w:rsidP="00083563">
            <w:pPr>
              <w:spacing w:before="0" w:after="0"/>
              <w:rPr>
                <w:rFonts w:ascii="Arial" w:hAnsi="Arial"/>
                <w:b/>
                <w:bCs/>
                <w:color w:val="000000"/>
                <w:sz w:val="16"/>
                <w:szCs w:val="16"/>
                <w:lang w:val="en-AU"/>
              </w:rPr>
            </w:pPr>
            <w:r w:rsidRPr="002B2BCC">
              <w:rPr>
                <w:rFonts w:ascii="Arial" w:hAnsi="Arial"/>
                <w:b/>
                <w:bCs/>
                <w:color w:val="000000"/>
                <w:sz w:val="16"/>
                <w:szCs w:val="16"/>
                <w:lang w:val="en-AU"/>
              </w:rPr>
              <w:t>Net cash from/(used by)</w:t>
            </w:r>
            <w:r w:rsidRPr="002B2BCC">
              <w:rPr>
                <w:rFonts w:ascii="Arial" w:hAnsi="Arial"/>
                <w:b/>
                <w:bCs/>
                <w:color w:val="000000"/>
                <w:sz w:val="16"/>
                <w:szCs w:val="16"/>
                <w:lang w:val="en-AU"/>
              </w:rPr>
              <w:br/>
              <w:t xml:space="preserve">  financing activities</w:t>
            </w:r>
          </w:p>
        </w:tc>
        <w:tc>
          <w:tcPr>
            <w:tcW w:w="981" w:type="dxa"/>
            <w:tcBorders>
              <w:top w:val="nil"/>
              <w:left w:val="nil"/>
              <w:bottom w:val="single" w:sz="4" w:space="0" w:color="000000"/>
              <w:right w:val="nil"/>
            </w:tcBorders>
            <w:shd w:val="clear" w:color="auto" w:fill="auto"/>
            <w:noWrap/>
            <w:vAlign w:val="bottom"/>
          </w:tcPr>
          <w:p w14:paraId="0726E5EF" w14:textId="1F5F4F83" w:rsidR="00083563" w:rsidRPr="00DA5E40" w:rsidRDefault="0040014B" w:rsidP="00083563">
            <w:pPr>
              <w:spacing w:before="0" w:after="0"/>
              <w:jc w:val="right"/>
              <w:rPr>
                <w:rFonts w:ascii="Arial" w:hAnsi="Arial"/>
                <w:b/>
                <w:bCs/>
                <w:color w:val="000000"/>
                <w:sz w:val="15"/>
                <w:szCs w:val="15"/>
                <w:highlight w:val="yellow"/>
                <w:lang w:val="en-AU"/>
              </w:rPr>
            </w:pPr>
            <w:r>
              <w:rPr>
                <w:rFonts w:ascii="Arial" w:hAnsi="Arial"/>
                <w:b/>
                <w:bCs/>
                <w:color w:val="000000"/>
                <w:sz w:val="16"/>
                <w:szCs w:val="16"/>
                <w:lang w:val="en-AU"/>
              </w:rPr>
              <w:t>-150,427</w:t>
            </w:r>
          </w:p>
        </w:tc>
        <w:tc>
          <w:tcPr>
            <w:tcW w:w="938" w:type="dxa"/>
            <w:tcBorders>
              <w:top w:val="nil"/>
              <w:left w:val="nil"/>
              <w:bottom w:val="single" w:sz="4" w:space="0" w:color="000000"/>
              <w:right w:val="nil"/>
            </w:tcBorders>
            <w:shd w:val="clear" w:color="auto" w:fill="E6E6E6"/>
            <w:noWrap/>
            <w:vAlign w:val="bottom"/>
          </w:tcPr>
          <w:p w14:paraId="7A4FB48C" w14:textId="7D12D2DB" w:rsidR="00083563" w:rsidRPr="00DA5E40" w:rsidRDefault="0040014B" w:rsidP="00083563">
            <w:pPr>
              <w:spacing w:before="0" w:after="0"/>
              <w:jc w:val="right"/>
              <w:rPr>
                <w:rFonts w:ascii="Arial" w:hAnsi="Arial"/>
                <w:b/>
                <w:bCs/>
                <w:color w:val="000000"/>
                <w:sz w:val="15"/>
                <w:szCs w:val="15"/>
                <w:highlight w:val="yellow"/>
                <w:lang w:val="en-AU"/>
              </w:rPr>
            </w:pPr>
            <w:r>
              <w:rPr>
                <w:rFonts w:ascii="Arial" w:hAnsi="Arial"/>
                <w:b/>
                <w:bCs/>
                <w:color w:val="000000"/>
                <w:sz w:val="16"/>
                <w:szCs w:val="16"/>
                <w:lang w:val="en-AU"/>
              </w:rPr>
              <w:t>-264,436</w:t>
            </w:r>
          </w:p>
        </w:tc>
        <w:tc>
          <w:tcPr>
            <w:tcW w:w="937" w:type="dxa"/>
            <w:tcBorders>
              <w:top w:val="nil"/>
              <w:left w:val="nil"/>
              <w:bottom w:val="single" w:sz="4" w:space="0" w:color="000000"/>
              <w:right w:val="nil"/>
            </w:tcBorders>
            <w:shd w:val="clear" w:color="auto" w:fill="auto"/>
            <w:noWrap/>
            <w:vAlign w:val="bottom"/>
          </w:tcPr>
          <w:p w14:paraId="5ECE5DF0" w14:textId="544BBC75" w:rsidR="00083563" w:rsidRPr="00DA5E40" w:rsidRDefault="0040014B" w:rsidP="00083563">
            <w:pPr>
              <w:spacing w:before="0" w:after="0"/>
              <w:jc w:val="right"/>
              <w:rPr>
                <w:rFonts w:ascii="Arial" w:hAnsi="Arial"/>
                <w:b/>
                <w:bCs/>
                <w:color w:val="000000"/>
                <w:sz w:val="15"/>
                <w:szCs w:val="15"/>
                <w:highlight w:val="yellow"/>
                <w:lang w:val="en-AU"/>
              </w:rPr>
            </w:pPr>
            <w:r>
              <w:rPr>
                <w:rFonts w:ascii="Arial" w:hAnsi="Arial"/>
                <w:b/>
                <w:bCs/>
                <w:color w:val="000000"/>
                <w:sz w:val="16"/>
                <w:szCs w:val="16"/>
                <w:lang w:val="en-AU"/>
              </w:rPr>
              <w:t>-354,930</w:t>
            </w:r>
          </w:p>
        </w:tc>
        <w:tc>
          <w:tcPr>
            <w:tcW w:w="937" w:type="dxa"/>
            <w:tcBorders>
              <w:top w:val="nil"/>
              <w:left w:val="nil"/>
              <w:bottom w:val="single" w:sz="4" w:space="0" w:color="000000"/>
              <w:right w:val="nil"/>
            </w:tcBorders>
            <w:shd w:val="clear" w:color="auto" w:fill="auto"/>
            <w:noWrap/>
            <w:vAlign w:val="bottom"/>
          </w:tcPr>
          <w:p w14:paraId="2DF69C6D" w14:textId="4AF7F9FA" w:rsidR="00083563" w:rsidRPr="00DA5E40" w:rsidRDefault="0040014B" w:rsidP="0040014B">
            <w:pPr>
              <w:spacing w:before="0" w:after="0"/>
              <w:jc w:val="right"/>
              <w:rPr>
                <w:rFonts w:ascii="Arial" w:hAnsi="Arial"/>
                <w:b/>
                <w:bCs/>
                <w:color w:val="000000"/>
                <w:sz w:val="15"/>
                <w:szCs w:val="15"/>
                <w:highlight w:val="yellow"/>
                <w:lang w:val="en-AU"/>
              </w:rPr>
            </w:pPr>
            <w:r>
              <w:rPr>
                <w:rFonts w:ascii="Arial" w:hAnsi="Arial"/>
                <w:b/>
                <w:bCs/>
                <w:color w:val="000000"/>
                <w:sz w:val="16"/>
                <w:szCs w:val="16"/>
                <w:lang w:val="en-AU"/>
              </w:rPr>
              <w:t>-</w:t>
            </w:r>
            <w:r w:rsidR="00083563" w:rsidRPr="00602FEB">
              <w:rPr>
                <w:rFonts w:ascii="Arial" w:hAnsi="Arial"/>
                <w:b/>
                <w:bCs/>
                <w:color w:val="000000"/>
                <w:sz w:val="16"/>
                <w:szCs w:val="16"/>
                <w:lang w:val="en-AU"/>
              </w:rPr>
              <w:t>364,399</w:t>
            </w:r>
          </w:p>
        </w:tc>
        <w:tc>
          <w:tcPr>
            <w:tcW w:w="938" w:type="dxa"/>
            <w:tcBorders>
              <w:top w:val="nil"/>
              <w:left w:val="nil"/>
              <w:bottom w:val="single" w:sz="4" w:space="0" w:color="000000"/>
              <w:right w:val="nil"/>
            </w:tcBorders>
            <w:shd w:val="clear" w:color="auto" w:fill="auto"/>
            <w:noWrap/>
            <w:vAlign w:val="bottom"/>
          </w:tcPr>
          <w:p w14:paraId="68DBCC13" w14:textId="7AC571F6" w:rsidR="00083563" w:rsidRPr="00DA5E40" w:rsidRDefault="0040014B" w:rsidP="00083563">
            <w:pPr>
              <w:spacing w:before="0" w:after="0"/>
              <w:jc w:val="right"/>
              <w:rPr>
                <w:rFonts w:ascii="Arial" w:hAnsi="Arial"/>
                <w:b/>
                <w:bCs/>
                <w:color w:val="000000"/>
                <w:sz w:val="15"/>
                <w:szCs w:val="15"/>
                <w:highlight w:val="yellow"/>
                <w:lang w:val="en-AU"/>
              </w:rPr>
            </w:pPr>
            <w:r>
              <w:rPr>
                <w:rFonts w:ascii="Arial" w:hAnsi="Arial"/>
                <w:b/>
                <w:bCs/>
                <w:color w:val="000000"/>
                <w:sz w:val="16"/>
                <w:szCs w:val="16"/>
                <w:lang w:val="en-AU"/>
              </w:rPr>
              <w:t>-375,829</w:t>
            </w:r>
          </w:p>
        </w:tc>
      </w:tr>
      <w:tr w:rsidR="00083563" w:rsidRPr="00C510E0" w14:paraId="39025850" w14:textId="77777777" w:rsidTr="002A5A4F">
        <w:trPr>
          <w:trHeight w:val="227"/>
        </w:trPr>
        <w:tc>
          <w:tcPr>
            <w:tcW w:w="3120" w:type="dxa"/>
            <w:tcBorders>
              <w:top w:val="nil"/>
              <w:left w:val="nil"/>
              <w:bottom w:val="nil"/>
              <w:right w:val="nil"/>
            </w:tcBorders>
            <w:shd w:val="clear" w:color="auto" w:fill="auto"/>
            <w:vAlign w:val="center"/>
            <w:hideMark/>
          </w:tcPr>
          <w:p w14:paraId="15A2BC3A" w14:textId="77777777" w:rsidR="00083563" w:rsidRPr="002B2BCC" w:rsidRDefault="00083563" w:rsidP="00083563">
            <w:pPr>
              <w:spacing w:before="0" w:after="0"/>
              <w:rPr>
                <w:rFonts w:ascii="Arial" w:hAnsi="Arial"/>
                <w:b/>
                <w:bCs/>
                <w:color w:val="000000"/>
                <w:sz w:val="16"/>
                <w:szCs w:val="16"/>
                <w:lang w:val="en-AU"/>
              </w:rPr>
            </w:pPr>
            <w:r w:rsidRPr="002B2BCC">
              <w:rPr>
                <w:rFonts w:ascii="Arial" w:hAnsi="Arial"/>
                <w:b/>
                <w:bCs/>
                <w:color w:val="000000"/>
                <w:sz w:val="16"/>
                <w:szCs w:val="16"/>
                <w:lang w:val="en-AU"/>
              </w:rPr>
              <w:t>Net increase/(decrease) in cash held</w:t>
            </w:r>
          </w:p>
        </w:tc>
        <w:tc>
          <w:tcPr>
            <w:tcW w:w="981" w:type="dxa"/>
            <w:tcBorders>
              <w:top w:val="nil"/>
              <w:left w:val="nil"/>
              <w:bottom w:val="single" w:sz="4" w:space="0" w:color="000000"/>
              <w:right w:val="nil"/>
            </w:tcBorders>
            <w:shd w:val="clear" w:color="auto" w:fill="auto"/>
            <w:noWrap/>
            <w:vAlign w:val="bottom"/>
          </w:tcPr>
          <w:p w14:paraId="1F1BCB39" w14:textId="2D63631F" w:rsidR="00083563" w:rsidRPr="00DA5E40" w:rsidRDefault="00083563" w:rsidP="00DC59EB">
            <w:pPr>
              <w:spacing w:before="0" w:after="0"/>
              <w:jc w:val="right"/>
              <w:rPr>
                <w:rFonts w:ascii="Arial" w:hAnsi="Arial"/>
                <w:b/>
                <w:bCs/>
                <w:color w:val="000000"/>
                <w:sz w:val="15"/>
                <w:szCs w:val="15"/>
                <w:highlight w:val="yellow"/>
                <w:lang w:val="en-AU"/>
              </w:rPr>
            </w:pPr>
            <w:r w:rsidRPr="00602FEB">
              <w:rPr>
                <w:rFonts w:ascii="Arial" w:hAnsi="Arial"/>
                <w:b/>
                <w:bCs/>
                <w:color w:val="000000"/>
                <w:sz w:val="16"/>
                <w:szCs w:val="16"/>
                <w:lang w:val="en-AU"/>
              </w:rPr>
              <w:t>11,856</w:t>
            </w:r>
          </w:p>
        </w:tc>
        <w:tc>
          <w:tcPr>
            <w:tcW w:w="938" w:type="dxa"/>
            <w:tcBorders>
              <w:top w:val="nil"/>
              <w:left w:val="nil"/>
              <w:bottom w:val="single" w:sz="4" w:space="0" w:color="000000"/>
              <w:right w:val="nil"/>
            </w:tcBorders>
            <w:shd w:val="clear" w:color="auto" w:fill="E6E6E6"/>
            <w:noWrap/>
            <w:vAlign w:val="bottom"/>
          </w:tcPr>
          <w:p w14:paraId="08500E7F" w14:textId="466DBEA9" w:rsidR="00083563" w:rsidRPr="00DA5E40" w:rsidRDefault="0040014B" w:rsidP="0040014B">
            <w:pPr>
              <w:spacing w:before="0" w:after="0"/>
              <w:jc w:val="right"/>
              <w:rPr>
                <w:rFonts w:ascii="Arial" w:hAnsi="Arial"/>
                <w:b/>
                <w:bCs/>
                <w:color w:val="000000"/>
                <w:sz w:val="15"/>
                <w:szCs w:val="15"/>
                <w:highlight w:val="yellow"/>
                <w:lang w:val="en-AU"/>
              </w:rPr>
            </w:pPr>
            <w:r>
              <w:rPr>
                <w:rFonts w:ascii="Arial" w:hAnsi="Arial"/>
                <w:b/>
                <w:bCs/>
                <w:color w:val="000000"/>
                <w:sz w:val="16"/>
                <w:szCs w:val="16"/>
                <w:lang w:val="en-AU"/>
              </w:rPr>
              <w:t>-</w:t>
            </w:r>
            <w:r w:rsidR="00083563" w:rsidRPr="00602FEB">
              <w:rPr>
                <w:rFonts w:ascii="Arial" w:hAnsi="Arial"/>
                <w:b/>
                <w:bCs/>
                <w:color w:val="000000"/>
                <w:sz w:val="16"/>
                <w:szCs w:val="16"/>
                <w:lang w:val="en-AU"/>
              </w:rPr>
              <w:t>2,209</w:t>
            </w:r>
          </w:p>
        </w:tc>
        <w:tc>
          <w:tcPr>
            <w:tcW w:w="937" w:type="dxa"/>
            <w:tcBorders>
              <w:top w:val="nil"/>
              <w:left w:val="nil"/>
              <w:bottom w:val="single" w:sz="4" w:space="0" w:color="000000"/>
              <w:right w:val="nil"/>
            </w:tcBorders>
            <w:shd w:val="clear" w:color="auto" w:fill="auto"/>
            <w:noWrap/>
            <w:vAlign w:val="bottom"/>
          </w:tcPr>
          <w:p w14:paraId="0248C7E0" w14:textId="2F0382DA" w:rsidR="00083563" w:rsidRPr="00DA5E40" w:rsidRDefault="00083563" w:rsidP="00DC59EB">
            <w:pPr>
              <w:spacing w:before="0" w:after="0"/>
              <w:jc w:val="right"/>
              <w:rPr>
                <w:rFonts w:ascii="Arial" w:hAnsi="Arial"/>
                <w:b/>
                <w:bCs/>
                <w:color w:val="000000"/>
                <w:sz w:val="15"/>
                <w:szCs w:val="15"/>
                <w:highlight w:val="yellow"/>
                <w:lang w:val="en-AU"/>
              </w:rPr>
            </w:pPr>
            <w:r w:rsidRPr="00602FEB">
              <w:rPr>
                <w:rFonts w:ascii="Arial" w:hAnsi="Arial"/>
                <w:b/>
                <w:bCs/>
                <w:color w:val="000000"/>
                <w:sz w:val="16"/>
                <w:szCs w:val="16"/>
                <w:lang w:val="en-AU"/>
              </w:rPr>
              <w:t>7,376</w:t>
            </w:r>
          </w:p>
        </w:tc>
        <w:tc>
          <w:tcPr>
            <w:tcW w:w="937" w:type="dxa"/>
            <w:tcBorders>
              <w:top w:val="nil"/>
              <w:left w:val="nil"/>
              <w:bottom w:val="single" w:sz="4" w:space="0" w:color="000000"/>
              <w:right w:val="nil"/>
            </w:tcBorders>
            <w:shd w:val="clear" w:color="auto" w:fill="auto"/>
            <w:noWrap/>
            <w:vAlign w:val="bottom"/>
          </w:tcPr>
          <w:p w14:paraId="3D289685" w14:textId="532E1483" w:rsidR="00083563" w:rsidRPr="00DA5E40" w:rsidRDefault="00083563" w:rsidP="00DC59EB">
            <w:pPr>
              <w:spacing w:before="0" w:after="0"/>
              <w:jc w:val="right"/>
              <w:rPr>
                <w:rFonts w:ascii="Arial" w:hAnsi="Arial"/>
                <w:b/>
                <w:bCs/>
                <w:color w:val="000000"/>
                <w:sz w:val="15"/>
                <w:szCs w:val="15"/>
                <w:highlight w:val="yellow"/>
                <w:lang w:val="en-AU"/>
              </w:rPr>
            </w:pPr>
            <w:r w:rsidRPr="00602FEB">
              <w:rPr>
                <w:rFonts w:ascii="Arial" w:hAnsi="Arial"/>
                <w:b/>
                <w:bCs/>
                <w:color w:val="000000"/>
                <w:sz w:val="16"/>
                <w:szCs w:val="16"/>
                <w:lang w:val="en-AU"/>
              </w:rPr>
              <w:t>48,103</w:t>
            </w:r>
          </w:p>
        </w:tc>
        <w:tc>
          <w:tcPr>
            <w:tcW w:w="938" w:type="dxa"/>
            <w:tcBorders>
              <w:top w:val="nil"/>
              <w:left w:val="nil"/>
              <w:bottom w:val="single" w:sz="4" w:space="0" w:color="000000"/>
              <w:right w:val="nil"/>
            </w:tcBorders>
            <w:shd w:val="clear" w:color="auto" w:fill="auto"/>
            <w:noWrap/>
            <w:vAlign w:val="bottom"/>
          </w:tcPr>
          <w:p w14:paraId="5923445C" w14:textId="21EE037A" w:rsidR="00083563" w:rsidRPr="00DA5E40" w:rsidRDefault="0040014B" w:rsidP="0040014B">
            <w:pPr>
              <w:spacing w:before="0" w:after="0"/>
              <w:jc w:val="right"/>
              <w:rPr>
                <w:rFonts w:ascii="Arial" w:hAnsi="Arial"/>
                <w:b/>
                <w:bCs/>
                <w:color w:val="000000"/>
                <w:sz w:val="15"/>
                <w:szCs w:val="15"/>
                <w:highlight w:val="yellow"/>
                <w:lang w:val="en-AU"/>
              </w:rPr>
            </w:pPr>
            <w:r>
              <w:rPr>
                <w:rFonts w:ascii="Arial" w:hAnsi="Arial"/>
                <w:b/>
                <w:bCs/>
                <w:color w:val="000000"/>
                <w:sz w:val="16"/>
                <w:szCs w:val="16"/>
                <w:lang w:val="en-AU"/>
              </w:rPr>
              <w:t>-</w:t>
            </w:r>
            <w:r w:rsidR="00083563" w:rsidRPr="00602FEB">
              <w:rPr>
                <w:rFonts w:ascii="Arial" w:hAnsi="Arial"/>
                <w:b/>
                <w:bCs/>
                <w:color w:val="000000"/>
                <w:sz w:val="16"/>
                <w:szCs w:val="16"/>
                <w:lang w:val="en-AU"/>
              </w:rPr>
              <w:t>19,269</w:t>
            </w:r>
          </w:p>
        </w:tc>
      </w:tr>
      <w:tr w:rsidR="00083563" w:rsidRPr="00C510E0" w14:paraId="376A77D4" w14:textId="77777777" w:rsidTr="002A5A4F">
        <w:trPr>
          <w:trHeight w:val="227"/>
        </w:trPr>
        <w:tc>
          <w:tcPr>
            <w:tcW w:w="3120" w:type="dxa"/>
            <w:tcBorders>
              <w:top w:val="nil"/>
              <w:left w:val="nil"/>
              <w:bottom w:val="nil"/>
              <w:right w:val="nil"/>
            </w:tcBorders>
            <w:shd w:val="clear" w:color="auto" w:fill="auto"/>
            <w:vAlign w:val="center"/>
            <w:hideMark/>
          </w:tcPr>
          <w:p w14:paraId="2A02B534" w14:textId="77777777" w:rsidR="00083563" w:rsidRPr="002B2BCC" w:rsidRDefault="00083563" w:rsidP="00083563">
            <w:pPr>
              <w:spacing w:before="0" w:after="0"/>
              <w:ind w:firstLineChars="100" w:firstLine="160"/>
              <w:rPr>
                <w:rFonts w:ascii="Arial" w:hAnsi="Arial"/>
                <w:color w:val="000000"/>
                <w:sz w:val="16"/>
                <w:szCs w:val="16"/>
                <w:lang w:val="en-AU"/>
              </w:rPr>
            </w:pPr>
            <w:r w:rsidRPr="002B2BCC">
              <w:rPr>
                <w:rFonts w:ascii="Arial" w:hAnsi="Arial"/>
                <w:color w:val="000000"/>
                <w:sz w:val="16"/>
                <w:szCs w:val="16"/>
                <w:lang w:val="en-AU"/>
              </w:rPr>
              <w:t>Cash and cash equivalents at the</w:t>
            </w:r>
            <w:r w:rsidRPr="002B2BCC">
              <w:rPr>
                <w:rFonts w:ascii="Arial" w:hAnsi="Arial"/>
                <w:color w:val="000000"/>
                <w:sz w:val="16"/>
                <w:szCs w:val="16"/>
                <w:lang w:val="en-AU"/>
              </w:rPr>
              <w:br/>
              <w:t xml:space="preserve">    beginning of the reporting period</w:t>
            </w:r>
          </w:p>
        </w:tc>
        <w:tc>
          <w:tcPr>
            <w:tcW w:w="981" w:type="dxa"/>
            <w:tcBorders>
              <w:top w:val="nil"/>
              <w:left w:val="nil"/>
              <w:bottom w:val="nil"/>
              <w:right w:val="nil"/>
            </w:tcBorders>
            <w:shd w:val="clear" w:color="auto" w:fill="auto"/>
            <w:noWrap/>
            <w:vAlign w:val="center"/>
          </w:tcPr>
          <w:p w14:paraId="44EE51F3" w14:textId="200E8EB5" w:rsidR="00083563" w:rsidRPr="00DA5E40" w:rsidRDefault="00083563" w:rsidP="00DC59EB">
            <w:pPr>
              <w:spacing w:before="0" w:after="0"/>
              <w:jc w:val="right"/>
              <w:rPr>
                <w:rFonts w:ascii="Arial" w:hAnsi="Arial"/>
                <w:color w:val="000000"/>
                <w:sz w:val="15"/>
                <w:szCs w:val="15"/>
                <w:highlight w:val="yellow"/>
                <w:lang w:val="en-AU"/>
              </w:rPr>
            </w:pPr>
            <w:r w:rsidRPr="00602FEB">
              <w:rPr>
                <w:rFonts w:ascii="Arial" w:hAnsi="Arial"/>
                <w:color w:val="000000"/>
                <w:sz w:val="16"/>
                <w:szCs w:val="16"/>
                <w:lang w:val="en-AU"/>
              </w:rPr>
              <w:t>108,073</w:t>
            </w:r>
          </w:p>
        </w:tc>
        <w:tc>
          <w:tcPr>
            <w:tcW w:w="938" w:type="dxa"/>
            <w:tcBorders>
              <w:top w:val="nil"/>
              <w:left w:val="nil"/>
              <w:bottom w:val="nil"/>
              <w:right w:val="nil"/>
            </w:tcBorders>
            <w:shd w:val="clear" w:color="auto" w:fill="E6E6E6"/>
            <w:noWrap/>
            <w:vAlign w:val="center"/>
          </w:tcPr>
          <w:p w14:paraId="05CAAAC0" w14:textId="1CD67559" w:rsidR="00083563" w:rsidRPr="00DA5E40" w:rsidRDefault="00083563" w:rsidP="00DC59EB">
            <w:pPr>
              <w:spacing w:before="0" w:after="0"/>
              <w:jc w:val="right"/>
              <w:rPr>
                <w:rFonts w:ascii="Arial" w:hAnsi="Arial"/>
                <w:color w:val="000000"/>
                <w:sz w:val="15"/>
                <w:szCs w:val="15"/>
                <w:highlight w:val="yellow"/>
                <w:lang w:val="en-AU"/>
              </w:rPr>
            </w:pPr>
            <w:r w:rsidRPr="00602FEB">
              <w:rPr>
                <w:rFonts w:ascii="Arial" w:hAnsi="Arial"/>
                <w:color w:val="000000"/>
                <w:sz w:val="16"/>
                <w:szCs w:val="16"/>
                <w:lang w:val="en-AU"/>
              </w:rPr>
              <w:t>119,929</w:t>
            </w:r>
          </w:p>
        </w:tc>
        <w:tc>
          <w:tcPr>
            <w:tcW w:w="937" w:type="dxa"/>
            <w:tcBorders>
              <w:top w:val="nil"/>
              <w:left w:val="nil"/>
              <w:bottom w:val="nil"/>
              <w:right w:val="nil"/>
            </w:tcBorders>
            <w:shd w:val="clear" w:color="auto" w:fill="auto"/>
            <w:noWrap/>
            <w:vAlign w:val="center"/>
          </w:tcPr>
          <w:p w14:paraId="4B054890" w14:textId="0136C648" w:rsidR="00083563" w:rsidRPr="00DA5E40" w:rsidRDefault="00083563" w:rsidP="00DC59EB">
            <w:pPr>
              <w:spacing w:before="0" w:after="0"/>
              <w:jc w:val="right"/>
              <w:rPr>
                <w:rFonts w:ascii="Arial" w:hAnsi="Arial"/>
                <w:color w:val="000000"/>
                <w:sz w:val="15"/>
                <w:szCs w:val="15"/>
                <w:highlight w:val="yellow"/>
                <w:lang w:val="en-AU"/>
              </w:rPr>
            </w:pPr>
            <w:r w:rsidRPr="00602FEB">
              <w:rPr>
                <w:rFonts w:ascii="Arial" w:hAnsi="Arial"/>
                <w:color w:val="000000"/>
                <w:sz w:val="16"/>
                <w:szCs w:val="16"/>
                <w:lang w:val="en-AU"/>
              </w:rPr>
              <w:t>117,720</w:t>
            </w:r>
          </w:p>
        </w:tc>
        <w:tc>
          <w:tcPr>
            <w:tcW w:w="937" w:type="dxa"/>
            <w:tcBorders>
              <w:top w:val="nil"/>
              <w:left w:val="nil"/>
              <w:bottom w:val="nil"/>
              <w:right w:val="nil"/>
            </w:tcBorders>
            <w:shd w:val="clear" w:color="auto" w:fill="auto"/>
            <w:noWrap/>
            <w:vAlign w:val="center"/>
          </w:tcPr>
          <w:p w14:paraId="24BD9AB9" w14:textId="39A51850" w:rsidR="00083563" w:rsidRPr="00DA5E40" w:rsidRDefault="00083563" w:rsidP="00DC59EB">
            <w:pPr>
              <w:spacing w:before="0" w:after="0"/>
              <w:jc w:val="right"/>
              <w:rPr>
                <w:rFonts w:ascii="Arial" w:hAnsi="Arial"/>
                <w:color w:val="000000"/>
                <w:sz w:val="15"/>
                <w:szCs w:val="15"/>
                <w:highlight w:val="yellow"/>
                <w:lang w:val="en-AU"/>
              </w:rPr>
            </w:pPr>
            <w:r w:rsidRPr="00602FEB">
              <w:rPr>
                <w:rFonts w:ascii="Arial" w:hAnsi="Arial"/>
                <w:color w:val="000000"/>
                <w:sz w:val="16"/>
                <w:szCs w:val="16"/>
                <w:lang w:val="en-AU"/>
              </w:rPr>
              <w:t>125,096</w:t>
            </w:r>
          </w:p>
        </w:tc>
        <w:tc>
          <w:tcPr>
            <w:tcW w:w="938" w:type="dxa"/>
            <w:tcBorders>
              <w:top w:val="nil"/>
              <w:left w:val="nil"/>
              <w:bottom w:val="nil"/>
              <w:right w:val="nil"/>
            </w:tcBorders>
            <w:shd w:val="clear" w:color="auto" w:fill="auto"/>
            <w:noWrap/>
            <w:vAlign w:val="center"/>
          </w:tcPr>
          <w:p w14:paraId="18E57FF4" w14:textId="759CC935" w:rsidR="00083563" w:rsidRPr="00DA5E40" w:rsidRDefault="00083563" w:rsidP="00784613">
            <w:pPr>
              <w:spacing w:before="0" w:after="0"/>
              <w:jc w:val="right"/>
              <w:rPr>
                <w:rFonts w:ascii="Arial" w:hAnsi="Arial"/>
                <w:color w:val="000000"/>
                <w:sz w:val="15"/>
                <w:szCs w:val="15"/>
                <w:highlight w:val="yellow"/>
                <w:lang w:val="en-AU"/>
              </w:rPr>
            </w:pPr>
            <w:r w:rsidRPr="00602FEB">
              <w:rPr>
                <w:rFonts w:ascii="Arial" w:hAnsi="Arial"/>
                <w:color w:val="000000"/>
                <w:sz w:val="16"/>
                <w:szCs w:val="16"/>
                <w:lang w:val="en-AU"/>
              </w:rPr>
              <w:t>173,199</w:t>
            </w:r>
          </w:p>
        </w:tc>
      </w:tr>
      <w:tr w:rsidR="00083563" w:rsidRPr="00C510E0" w14:paraId="7E70D6EB" w14:textId="77777777" w:rsidTr="002A5A4F">
        <w:trPr>
          <w:trHeight w:val="227"/>
        </w:trPr>
        <w:tc>
          <w:tcPr>
            <w:tcW w:w="3120" w:type="dxa"/>
            <w:tcBorders>
              <w:top w:val="nil"/>
              <w:left w:val="nil"/>
              <w:bottom w:val="single" w:sz="4" w:space="0" w:color="000000"/>
              <w:right w:val="nil"/>
            </w:tcBorders>
            <w:shd w:val="clear" w:color="auto" w:fill="auto"/>
            <w:vAlign w:val="center"/>
            <w:hideMark/>
          </w:tcPr>
          <w:p w14:paraId="0A83BEBC" w14:textId="77777777" w:rsidR="00083563" w:rsidRPr="002B2BCC" w:rsidRDefault="00083563" w:rsidP="00083563">
            <w:pPr>
              <w:spacing w:before="0" w:after="0"/>
              <w:rPr>
                <w:rFonts w:ascii="Arial" w:hAnsi="Arial"/>
                <w:b/>
                <w:bCs/>
                <w:color w:val="000000"/>
                <w:sz w:val="16"/>
                <w:szCs w:val="16"/>
                <w:lang w:val="en-AU"/>
              </w:rPr>
            </w:pPr>
            <w:r w:rsidRPr="002B2BCC">
              <w:rPr>
                <w:rFonts w:ascii="Arial" w:hAnsi="Arial"/>
                <w:b/>
                <w:bCs/>
                <w:color w:val="000000"/>
                <w:sz w:val="16"/>
                <w:szCs w:val="16"/>
                <w:lang w:val="en-AU"/>
              </w:rPr>
              <w:t xml:space="preserve">Cash and cash equivalents at </w:t>
            </w:r>
            <w:r w:rsidRPr="002B2BCC">
              <w:rPr>
                <w:rFonts w:ascii="Arial" w:hAnsi="Arial"/>
                <w:b/>
                <w:bCs/>
                <w:color w:val="000000"/>
                <w:sz w:val="16"/>
                <w:szCs w:val="16"/>
                <w:lang w:val="en-AU"/>
              </w:rPr>
              <w:br/>
              <w:t>the end of the reporting period</w:t>
            </w:r>
          </w:p>
        </w:tc>
        <w:tc>
          <w:tcPr>
            <w:tcW w:w="981" w:type="dxa"/>
            <w:tcBorders>
              <w:top w:val="nil"/>
              <w:left w:val="nil"/>
              <w:bottom w:val="single" w:sz="4" w:space="0" w:color="000000"/>
              <w:right w:val="nil"/>
            </w:tcBorders>
            <w:shd w:val="clear" w:color="auto" w:fill="auto"/>
            <w:noWrap/>
            <w:vAlign w:val="bottom"/>
          </w:tcPr>
          <w:p w14:paraId="7B38E70B" w14:textId="2E514396" w:rsidR="00083563" w:rsidRPr="00DA5E40" w:rsidRDefault="00083563" w:rsidP="00DC59EB">
            <w:pPr>
              <w:spacing w:before="0" w:after="0"/>
              <w:jc w:val="right"/>
              <w:rPr>
                <w:rFonts w:ascii="Arial" w:hAnsi="Arial"/>
                <w:b/>
                <w:color w:val="000000"/>
                <w:sz w:val="15"/>
                <w:szCs w:val="15"/>
                <w:highlight w:val="yellow"/>
                <w:lang w:val="en-AU"/>
              </w:rPr>
            </w:pPr>
            <w:r w:rsidRPr="00602FEB">
              <w:rPr>
                <w:rFonts w:ascii="Arial" w:hAnsi="Arial"/>
                <w:b/>
                <w:bCs/>
                <w:color w:val="000000"/>
                <w:sz w:val="16"/>
                <w:szCs w:val="16"/>
                <w:lang w:val="en-AU"/>
              </w:rPr>
              <w:t>119,929</w:t>
            </w:r>
          </w:p>
        </w:tc>
        <w:tc>
          <w:tcPr>
            <w:tcW w:w="938" w:type="dxa"/>
            <w:tcBorders>
              <w:top w:val="nil"/>
              <w:left w:val="nil"/>
              <w:bottom w:val="single" w:sz="4" w:space="0" w:color="000000"/>
              <w:right w:val="nil"/>
            </w:tcBorders>
            <w:shd w:val="clear" w:color="auto" w:fill="E6E6E6"/>
            <w:noWrap/>
            <w:vAlign w:val="bottom"/>
          </w:tcPr>
          <w:p w14:paraId="51048C67" w14:textId="10802A62" w:rsidR="00083563" w:rsidRPr="00DA5E40" w:rsidRDefault="00083563" w:rsidP="00DC59EB">
            <w:pPr>
              <w:spacing w:before="0" w:after="0"/>
              <w:jc w:val="right"/>
              <w:rPr>
                <w:rFonts w:ascii="Arial" w:hAnsi="Arial"/>
                <w:b/>
                <w:color w:val="000000"/>
                <w:sz w:val="15"/>
                <w:szCs w:val="15"/>
                <w:highlight w:val="yellow"/>
                <w:lang w:val="en-AU"/>
              </w:rPr>
            </w:pPr>
            <w:r w:rsidRPr="00602FEB">
              <w:rPr>
                <w:rFonts w:ascii="Arial" w:hAnsi="Arial"/>
                <w:b/>
                <w:bCs/>
                <w:color w:val="000000"/>
                <w:sz w:val="16"/>
                <w:szCs w:val="16"/>
                <w:lang w:val="en-AU"/>
              </w:rPr>
              <w:t>117,720</w:t>
            </w:r>
          </w:p>
        </w:tc>
        <w:tc>
          <w:tcPr>
            <w:tcW w:w="937" w:type="dxa"/>
            <w:tcBorders>
              <w:top w:val="nil"/>
              <w:left w:val="nil"/>
              <w:bottom w:val="single" w:sz="4" w:space="0" w:color="000000"/>
              <w:right w:val="nil"/>
            </w:tcBorders>
            <w:shd w:val="clear" w:color="auto" w:fill="auto"/>
            <w:noWrap/>
            <w:vAlign w:val="bottom"/>
          </w:tcPr>
          <w:p w14:paraId="368B2B8D" w14:textId="062E6BC0" w:rsidR="00083563" w:rsidRPr="00DA5E40" w:rsidRDefault="00083563" w:rsidP="00DC59EB">
            <w:pPr>
              <w:spacing w:before="0" w:after="0"/>
              <w:jc w:val="right"/>
              <w:rPr>
                <w:rFonts w:ascii="Arial" w:hAnsi="Arial"/>
                <w:b/>
                <w:color w:val="000000"/>
                <w:sz w:val="15"/>
                <w:szCs w:val="15"/>
                <w:highlight w:val="yellow"/>
                <w:lang w:val="en-AU"/>
              </w:rPr>
            </w:pPr>
            <w:r w:rsidRPr="00602FEB">
              <w:rPr>
                <w:rFonts w:ascii="Arial" w:hAnsi="Arial"/>
                <w:b/>
                <w:bCs/>
                <w:color w:val="000000"/>
                <w:sz w:val="16"/>
                <w:szCs w:val="16"/>
                <w:lang w:val="en-AU"/>
              </w:rPr>
              <w:t>125,096</w:t>
            </w:r>
          </w:p>
        </w:tc>
        <w:tc>
          <w:tcPr>
            <w:tcW w:w="937" w:type="dxa"/>
            <w:tcBorders>
              <w:top w:val="nil"/>
              <w:left w:val="nil"/>
              <w:bottom w:val="single" w:sz="4" w:space="0" w:color="000000"/>
              <w:right w:val="nil"/>
            </w:tcBorders>
            <w:shd w:val="clear" w:color="auto" w:fill="auto"/>
            <w:noWrap/>
            <w:vAlign w:val="bottom"/>
          </w:tcPr>
          <w:p w14:paraId="14129BCA" w14:textId="0962D8CE" w:rsidR="00083563" w:rsidRPr="00DA5E40" w:rsidRDefault="00083563" w:rsidP="00DC59EB">
            <w:pPr>
              <w:spacing w:before="0" w:after="0"/>
              <w:jc w:val="right"/>
              <w:rPr>
                <w:rFonts w:ascii="Arial" w:hAnsi="Arial"/>
                <w:b/>
                <w:color w:val="000000"/>
                <w:sz w:val="15"/>
                <w:szCs w:val="15"/>
                <w:highlight w:val="yellow"/>
                <w:lang w:val="en-AU"/>
              </w:rPr>
            </w:pPr>
            <w:r w:rsidRPr="00602FEB">
              <w:rPr>
                <w:rFonts w:ascii="Arial" w:hAnsi="Arial"/>
                <w:b/>
                <w:bCs/>
                <w:color w:val="000000"/>
                <w:sz w:val="16"/>
                <w:szCs w:val="16"/>
                <w:lang w:val="en-AU"/>
              </w:rPr>
              <w:t>173,199</w:t>
            </w:r>
          </w:p>
        </w:tc>
        <w:tc>
          <w:tcPr>
            <w:tcW w:w="938" w:type="dxa"/>
            <w:tcBorders>
              <w:top w:val="nil"/>
              <w:left w:val="nil"/>
              <w:bottom w:val="single" w:sz="4" w:space="0" w:color="000000"/>
              <w:right w:val="nil"/>
            </w:tcBorders>
            <w:shd w:val="clear" w:color="auto" w:fill="auto"/>
            <w:noWrap/>
            <w:vAlign w:val="bottom"/>
          </w:tcPr>
          <w:p w14:paraId="28EF4683" w14:textId="7F016FF4" w:rsidR="00083563" w:rsidRPr="00DA5E40" w:rsidRDefault="00083563" w:rsidP="00784613">
            <w:pPr>
              <w:spacing w:before="0" w:after="0"/>
              <w:jc w:val="right"/>
              <w:rPr>
                <w:rFonts w:ascii="Arial" w:hAnsi="Arial"/>
                <w:b/>
                <w:color w:val="000000"/>
                <w:sz w:val="15"/>
                <w:szCs w:val="15"/>
                <w:highlight w:val="yellow"/>
                <w:lang w:val="en-AU"/>
              </w:rPr>
            </w:pPr>
            <w:r w:rsidRPr="00602FEB">
              <w:rPr>
                <w:rFonts w:ascii="Arial" w:hAnsi="Arial"/>
                <w:b/>
                <w:bCs/>
                <w:color w:val="000000"/>
                <w:sz w:val="16"/>
                <w:szCs w:val="16"/>
                <w:lang w:val="en-AU"/>
              </w:rPr>
              <w:t>153,930</w:t>
            </w:r>
          </w:p>
        </w:tc>
      </w:tr>
    </w:tbl>
    <w:p w14:paraId="49F1F293" w14:textId="77777777" w:rsidR="003C27CA" w:rsidRDefault="003C27CA" w:rsidP="00C510E0">
      <w:pPr>
        <w:spacing w:before="0" w:after="0"/>
        <w:rPr>
          <w:rFonts w:ascii="Arial" w:hAnsi="Arial"/>
          <w:b/>
          <w:bCs/>
          <w:color w:val="000000"/>
          <w:sz w:val="14"/>
          <w:szCs w:val="14"/>
          <w:lang w:val="en-AU"/>
        </w:rPr>
      </w:pPr>
    </w:p>
    <w:p w14:paraId="61F3DF52" w14:textId="7829D6D8" w:rsidR="00C510E0" w:rsidRPr="003C27CA" w:rsidRDefault="0040014B" w:rsidP="00C510E0">
      <w:pPr>
        <w:spacing w:before="0" w:after="0"/>
        <w:rPr>
          <w:rFonts w:ascii="Arial" w:hAnsi="Arial"/>
          <w:b/>
          <w:bCs/>
          <w:color w:val="000000"/>
          <w:sz w:val="14"/>
          <w:szCs w:val="14"/>
          <w:lang w:val="en-AU"/>
        </w:rPr>
      </w:pPr>
      <w:r>
        <w:rPr>
          <w:rFonts w:ascii="Arial" w:hAnsi="Arial"/>
          <w:b/>
          <w:bCs/>
          <w:color w:val="000000"/>
          <w:sz w:val="14"/>
          <w:szCs w:val="14"/>
          <w:lang w:val="en-AU"/>
        </w:rPr>
        <w:t>Note</w:t>
      </w:r>
    </w:p>
    <w:p w14:paraId="63CB3889" w14:textId="77777777" w:rsidR="0086187D" w:rsidRPr="003C27CA" w:rsidRDefault="00C510E0" w:rsidP="0086187D">
      <w:pPr>
        <w:tabs>
          <w:tab w:val="left" w:pos="284"/>
        </w:tabs>
        <w:spacing w:before="0" w:after="0"/>
        <w:ind w:left="284" w:hanging="284"/>
        <w:rPr>
          <w:rFonts w:ascii="Arial" w:hAnsi="Arial"/>
          <w:color w:val="000000"/>
          <w:sz w:val="14"/>
          <w:szCs w:val="14"/>
          <w:lang w:val="en-AU"/>
        </w:rPr>
      </w:pPr>
      <w:r w:rsidRPr="003C27CA">
        <w:rPr>
          <w:rFonts w:ascii="Arial" w:hAnsi="Arial"/>
          <w:color w:val="000000"/>
          <w:sz w:val="14"/>
          <w:szCs w:val="14"/>
          <w:lang w:val="en-AU"/>
        </w:rPr>
        <w:t>a.</w:t>
      </w:r>
      <w:r w:rsidRPr="003C27CA">
        <w:rPr>
          <w:rFonts w:ascii="Arial" w:hAnsi="Arial"/>
          <w:color w:val="000000"/>
          <w:sz w:val="14"/>
          <w:szCs w:val="14"/>
          <w:lang w:val="en-AU"/>
        </w:rPr>
        <w:tab/>
      </w:r>
      <w:r w:rsidR="0086187D" w:rsidRPr="003C27CA">
        <w:rPr>
          <w:rFonts w:ascii="Arial" w:hAnsi="Arial"/>
          <w:color w:val="000000"/>
          <w:sz w:val="14"/>
          <w:szCs w:val="14"/>
          <w:lang w:val="en-AU"/>
        </w:rPr>
        <w:tab/>
        <w:t>Prepared on Australian Accounting Standards basis.</w:t>
      </w:r>
    </w:p>
    <w:p w14:paraId="0644C141" w14:textId="6E480A8A" w:rsidR="0086187D" w:rsidRPr="003C27CA" w:rsidRDefault="0086187D" w:rsidP="0086187D">
      <w:pPr>
        <w:tabs>
          <w:tab w:val="left" w:pos="284"/>
        </w:tabs>
        <w:spacing w:before="0" w:after="0"/>
        <w:ind w:left="284" w:hanging="284"/>
        <w:rPr>
          <w:rFonts w:ascii="Arial" w:hAnsi="Arial"/>
          <w:color w:val="000000"/>
          <w:sz w:val="14"/>
          <w:szCs w:val="14"/>
          <w:lang w:val="en-AU"/>
        </w:rPr>
      </w:pPr>
    </w:p>
    <w:p w14:paraId="16B69A28" w14:textId="6D9763E2" w:rsidR="00E65A0A" w:rsidRPr="002B2BCC" w:rsidRDefault="00022F6E" w:rsidP="002B2BCC">
      <w:pPr>
        <w:pStyle w:val="TableHeading"/>
        <w:spacing w:before="0"/>
        <w:outlineLvl w:val="5"/>
        <w:rPr>
          <w:vertAlign w:val="superscript"/>
        </w:rPr>
      </w:pPr>
      <w:r w:rsidRPr="00B56FAA">
        <w:br w:type="page"/>
      </w:r>
      <w:r w:rsidR="00A53053">
        <w:lastRenderedPageBreak/>
        <w:t>Table 7:</w:t>
      </w:r>
      <w:r w:rsidR="00743344">
        <w:t xml:space="preserve"> </w:t>
      </w:r>
      <w:r w:rsidR="00173112" w:rsidRPr="00B56FAA">
        <w:t xml:space="preserve">Departmental Statement of Changes in Equity — Summary of Movement </w:t>
      </w:r>
      <w:r w:rsidR="002B7213" w:rsidRPr="00B56FAA">
        <w:br/>
      </w:r>
      <w:r w:rsidR="00173112" w:rsidRPr="00B56FAA">
        <w:t xml:space="preserve">(Budget Year </w:t>
      </w:r>
      <w:r w:rsidR="00173112" w:rsidRPr="00A53053">
        <w:t>202</w:t>
      </w:r>
      <w:r w:rsidR="00083563">
        <w:t>5</w:t>
      </w:r>
      <w:r w:rsidR="00173112" w:rsidRPr="00A53053">
        <w:t>-2</w:t>
      </w:r>
      <w:r w:rsidR="00083563">
        <w:t>6</w:t>
      </w:r>
      <w:r w:rsidR="00173112" w:rsidRPr="00B56FAA">
        <w:t>)</w:t>
      </w:r>
      <w:r w:rsidR="003B4294" w:rsidRPr="00A53053">
        <w:t xml:space="preserve"> </w:t>
      </w:r>
      <w:r w:rsidR="003B4294" w:rsidRPr="004A6687">
        <w:rPr>
          <w:vertAlign w:val="superscript"/>
        </w:rPr>
        <w:t>[a</w:t>
      </w:r>
      <w:r w:rsidR="00EA0897" w:rsidRPr="00064B3B">
        <w:rPr>
          <w:vertAlign w:val="superscript"/>
        </w:rPr>
        <w:t>]</w:t>
      </w:r>
      <w:r w:rsidR="007C5D4F" w:rsidRPr="00F43CF5">
        <w:rPr>
          <w:vertAlign w:val="superscript"/>
        </w:rPr>
        <w:t xml:space="preserve"> </w:t>
      </w:r>
    </w:p>
    <w:tbl>
      <w:tblPr>
        <w:tblW w:w="7519" w:type="dxa"/>
        <w:tblInd w:w="113" w:type="dxa"/>
        <w:tblLook w:val="04A0" w:firstRow="1" w:lastRow="0" w:firstColumn="1" w:lastColumn="0" w:noHBand="0" w:noVBand="1"/>
      </w:tblPr>
      <w:tblGrid>
        <w:gridCol w:w="3225"/>
        <w:gridCol w:w="1022"/>
        <w:gridCol w:w="1125"/>
        <w:gridCol w:w="1125"/>
        <w:gridCol w:w="1022"/>
      </w:tblGrid>
      <w:tr w:rsidR="0086316A" w:rsidRPr="00B56FAA" w14:paraId="4BB211C4" w14:textId="77777777" w:rsidTr="002B2BCC">
        <w:trPr>
          <w:trHeight w:val="794"/>
        </w:trPr>
        <w:tc>
          <w:tcPr>
            <w:tcW w:w="3225" w:type="dxa"/>
            <w:tcBorders>
              <w:top w:val="single" w:sz="4" w:space="0" w:color="auto"/>
              <w:left w:val="nil"/>
              <w:bottom w:val="single" w:sz="4" w:space="0" w:color="auto"/>
              <w:right w:val="nil"/>
            </w:tcBorders>
            <w:shd w:val="clear" w:color="auto" w:fill="auto"/>
            <w:noWrap/>
            <w:vAlign w:val="center"/>
            <w:hideMark/>
          </w:tcPr>
          <w:p w14:paraId="7644A534" w14:textId="77777777" w:rsidR="0086316A" w:rsidRPr="00B56FAA" w:rsidRDefault="0086316A" w:rsidP="00024FC1">
            <w:pPr>
              <w:jc w:val="right"/>
              <w:rPr>
                <w:rFonts w:ascii="Arial" w:hAnsi="Arial"/>
                <w:color w:val="000000"/>
                <w:sz w:val="16"/>
                <w:szCs w:val="16"/>
                <w:lang w:val="en-AU"/>
              </w:rPr>
            </w:pPr>
          </w:p>
        </w:tc>
        <w:tc>
          <w:tcPr>
            <w:tcW w:w="1022" w:type="dxa"/>
            <w:tcBorders>
              <w:top w:val="single" w:sz="4" w:space="0" w:color="auto"/>
              <w:left w:val="nil"/>
              <w:bottom w:val="single" w:sz="4" w:space="0" w:color="000000"/>
              <w:right w:val="nil"/>
            </w:tcBorders>
            <w:shd w:val="clear" w:color="auto" w:fill="auto"/>
            <w:hideMark/>
          </w:tcPr>
          <w:p w14:paraId="4282B054" w14:textId="77777777" w:rsidR="0086316A" w:rsidRPr="00A03996" w:rsidRDefault="0086316A" w:rsidP="00A151D0">
            <w:pPr>
              <w:spacing w:before="0" w:after="0"/>
              <w:jc w:val="right"/>
              <w:rPr>
                <w:rFonts w:ascii="Arial" w:hAnsi="Arial"/>
                <w:b/>
                <w:color w:val="000000"/>
                <w:sz w:val="16"/>
                <w:szCs w:val="16"/>
                <w:lang w:val="en-AU"/>
              </w:rPr>
            </w:pPr>
            <w:r w:rsidRPr="00A03996">
              <w:rPr>
                <w:rFonts w:ascii="Arial" w:hAnsi="Arial"/>
                <w:b/>
                <w:color w:val="000000"/>
                <w:sz w:val="16"/>
                <w:szCs w:val="16"/>
                <w:lang w:val="en-AU"/>
              </w:rPr>
              <w:t>Retained</w:t>
            </w:r>
            <w:r w:rsidRPr="00A03996">
              <w:rPr>
                <w:rFonts w:ascii="Arial" w:hAnsi="Arial"/>
                <w:b/>
                <w:color w:val="000000"/>
                <w:sz w:val="16"/>
                <w:szCs w:val="16"/>
                <w:lang w:val="en-AU"/>
              </w:rPr>
              <w:br/>
            </w:r>
            <w:r w:rsidR="00A151D0" w:rsidRPr="00A03996">
              <w:rPr>
                <w:rFonts w:ascii="Arial" w:hAnsi="Arial"/>
                <w:b/>
                <w:color w:val="000000"/>
                <w:sz w:val="16"/>
                <w:szCs w:val="16"/>
                <w:lang w:val="en-AU"/>
              </w:rPr>
              <w:t>E</w:t>
            </w:r>
            <w:r w:rsidRPr="00A03996">
              <w:rPr>
                <w:rFonts w:ascii="Arial" w:hAnsi="Arial"/>
                <w:b/>
                <w:color w:val="000000"/>
                <w:sz w:val="16"/>
                <w:szCs w:val="16"/>
                <w:lang w:val="en-AU"/>
              </w:rPr>
              <w:t>arnings</w:t>
            </w:r>
            <w:r w:rsidRPr="00A03996">
              <w:rPr>
                <w:rFonts w:ascii="Arial" w:hAnsi="Arial"/>
                <w:b/>
                <w:color w:val="000000"/>
                <w:sz w:val="16"/>
                <w:szCs w:val="16"/>
                <w:lang w:val="en-AU"/>
              </w:rPr>
              <w:br/>
            </w:r>
            <w:r w:rsidRPr="00A03996">
              <w:rPr>
                <w:rFonts w:ascii="Arial" w:hAnsi="Arial"/>
                <w:b/>
                <w:color w:val="000000"/>
                <w:sz w:val="16"/>
                <w:szCs w:val="16"/>
                <w:lang w:val="en-AU"/>
              </w:rPr>
              <w:br/>
              <w:t>$'000</w:t>
            </w:r>
          </w:p>
        </w:tc>
        <w:tc>
          <w:tcPr>
            <w:tcW w:w="1125" w:type="dxa"/>
            <w:tcBorders>
              <w:top w:val="single" w:sz="4" w:space="0" w:color="auto"/>
              <w:left w:val="nil"/>
              <w:bottom w:val="single" w:sz="4" w:space="0" w:color="000000"/>
              <w:right w:val="nil"/>
            </w:tcBorders>
            <w:shd w:val="clear" w:color="auto" w:fill="auto"/>
            <w:hideMark/>
          </w:tcPr>
          <w:p w14:paraId="2AB36AD9" w14:textId="77777777" w:rsidR="0086316A" w:rsidRPr="00A03996" w:rsidRDefault="0086316A" w:rsidP="00A151D0">
            <w:pPr>
              <w:spacing w:before="0" w:after="0"/>
              <w:jc w:val="right"/>
              <w:rPr>
                <w:rFonts w:ascii="Arial" w:hAnsi="Arial"/>
                <w:b/>
                <w:color w:val="000000"/>
                <w:sz w:val="16"/>
                <w:szCs w:val="16"/>
                <w:lang w:val="en-AU"/>
              </w:rPr>
            </w:pPr>
            <w:r w:rsidRPr="00A03996">
              <w:rPr>
                <w:rFonts w:ascii="Arial" w:hAnsi="Arial"/>
                <w:b/>
                <w:color w:val="000000"/>
                <w:sz w:val="16"/>
                <w:szCs w:val="16"/>
                <w:lang w:val="en-AU"/>
              </w:rPr>
              <w:t>Asset</w:t>
            </w:r>
            <w:r w:rsidRPr="00A03996">
              <w:rPr>
                <w:rFonts w:ascii="Arial" w:hAnsi="Arial"/>
                <w:b/>
                <w:color w:val="000000"/>
                <w:sz w:val="16"/>
                <w:szCs w:val="16"/>
                <w:lang w:val="en-AU"/>
              </w:rPr>
              <w:br/>
            </w:r>
            <w:r w:rsidR="00A151D0" w:rsidRPr="00A03996">
              <w:rPr>
                <w:rFonts w:ascii="Arial" w:hAnsi="Arial"/>
                <w:b/>
                <w:color w:val="000000"/>
                <w:sz w:val="16"/>
                <w:szCs w:val="16"/>
                <w:lang w:val="en-AU"/>
              </w:rPr>
              <w:t>R</w:t>
            </w:r>
            <w:r w:rsidRPr="00A03996">
              <w:rPr>
                <w:rFonts w:ascii="Arial" w:hAnsi="Arial"/>
                <w:b/>
                <w:color w:val="000000"/>
                <w:sz w:val="16"/>
                <w:szCs w:val="16"/>
                <w:lang w:val="en-AU"/>
              </w:rPr>
              <w:t>evaluation</w:t>
            </w:r>
            <w:r w:rsidRPr="00A03996">
              <w:rPr>
                <w:rFonts w:ascii="Arial" w:hAnsi="Arial"/>
                <w:b/>
                <w:color w:val="000000"/>
                <w:sz w:val="16"/>
                <w:szCs w:val="16"/>
                <w:lang w:val="en-AU"/>
              </w:rPr>
              <w:br/>
            </w:r>
            <w:r w:rsidR="00A151D0" w:rsidRPr="00A03996">
              <w:rPr>
                <w:rFonts w:ascii="Arial" w:hAnsi="Arial"/>
                <w:b/>
                <w:color w:val="000000"/>
                <w:sz w:val="16"/>
                <w:szCs w:val="16"/>
                <w:lang w:val="en-AU"/>
              </w:rPr>
              <w:t>R</w:t>
            </w:r>
            <w:r w:rsidRPr="00A03996">
              <w:rPr>
                <w:rFonts w:ascii="Arial" w:hAnsi="Arial"/>
                <w:b/>
                <w:color w:val="000000"/>
                <w:sz w:val="16"/>
                <w:szCs w:val="16"/>
                <w:lang w:val="en-AU"/>
              </w:rPr>
              <w:t>eserve</w:t>
            </w:r>
            <w:r w:rsidRPr="00A03996">
              <w:rPr>
                <w:rFonts w:ascii="Arial" w:hAnsi="Arial"/>
                <w:b/>
                <w:color w:val="000000"/>
                <w:sz w:val="16"/>
                <w:szCs w:val="16"/>
                <w:lang w:val="en-AU"/>
              </w:rPr>
              <w:br/>
              <w:t>$'000</w:t>
            </w:r>
          </w:p>
        </w:tc>
        <w:tc>
          <w:tcPr>
            <w:tcW w:w="1125" w:type="dxa"/>
            <w:tcBorders>
              <w:top w:val="single" w:sz="4" w:space="0" w:color="auto"/>
              <w:left w:val="nil"/>
              <w:bottom w:val="single" w:sz="4" w:space="0" w:color="000000"/>
              <w:right w:val="nil"/>
            </w:tcBorders>
            <w:shd w:val="clear" w:color="auto" w:fill="auto"/>
            <w:hideMark/>
          </w:tcPr>
          <w:p w14:paraId="4016C2A0" w14:textId="77777777" w:rsidR="0086316A" w:rsidRPr="00A03996" w:rsidRDefault="0086316A" w:rsidP="00A151D0">
            <w:pPr>
              <w:spacing w:before="0" w:after="0"/>
              <w:jc w:val="right"/>
              <w:rPr>
                <w:rFonts w:ascii="Arial" w:hAnsi="Arial"/>
                <w:b/>
                <w:color w:val="000000"/>
                <w:sz w:val="16"/>
                <w:szCs w:val="16"/>
                <w:lang w:val="en-AU"/>
              </w:rPr>
            </w:pPr>
            <w:r w:rsidRPr="00A03996">
              <w:rPr>
                <w:rFonts w:ascii="Arial" w:hAnsi="Arial"/>
                <w:b/>
                <w:color w:val="000000"/>
                <w:sz w:val="16"/>
                <w:szCs w:val="16"/>
                <w:lang w:val="en-AU"/>
              </w:rPr>
              <w:t>Contributed</w:t>
            </w:r>
            <w:r w:rsidRPr="00A03996">
              <w:rPr>
                <w:rFonts w:ascii="Arial" w:hAnsi="Arial"/>
                <w:b/>
                <w:color w:val="000000"/>
                <w:sz w:val="16"/>
                <w:szCs w:val="16"/>
                <w:lang w:val="en-AU"/>
              </w:rPr>
              <w:br/>
            </w:r>
            <w:r w:rsidR="00A151D0" w:rsidRPr="00A03996">
              <w:rPr>
                <w:rFonts w:ascii="Arial" w:hAnsi="Arial"/>
                <w:b/>
                <w:color w:val="000000"/>
                <w:sz w:val="16"/>
                <w:szCs w:val="16"/>
                <w:lang w:val="en-AU"/>
              </w:rPr>
              <w:t>E</w:t>
            </w:r>
            <w:r w:rsidRPr="00A03996">
              <w:rPr>
                <w:rFonts w:ascii="Arial" w:hAnsi="Arial"/>
                <w:b/>
                <w:color w:val="000000"/>
                <w:sz w:val="16"/>
                <w:szCs w:val="16"/>
                <w:lang w:val="en-AU"/>
              </w:rPr>
              <w:t>quity/</w:t>
            </w:r>
            <w:r w:rsidRPr="00A03996">
              <w:rPr>
                <w:rFonts w:ascii="Arial" w:hAnsi="Arial"/>
                <w:b/>
                <w:color w:val="000000"/>
                <w:sz w:val="16"/>
                <w:szCs w:val="16"/>
                <w:lang w:val="en-AU"/>
              </w:rPr>
              <w:br/>
            </w:r>
            <w:r w:rsidR="00A151D0" w:rsidRPr="00A03996">
              <w:rPr>
                <w:rFonts w:ascii="Arial" w:hAnsi="Arial"/>
                <w:b/>
                <w:color w:val="000000"/>
                <w:sz w:val="16"/>
                <w:szCs w:val="16"/>
                <w:lang w:val="en-AU"/>
              </w:rPr>
              <w:t>C</w:t>
            </w:r>
            <w:r w:rsidRPr="00A03996">
              <w:rPr>
                <w:rFonts w:ascii="Arial" w:hAnsi="Arial"/>
                <w:b/>
                <w:color w:val="000000"/>
                <w:sz w:val="16"/>
                <w:szCs w:val="16"/>
                <w:lang w:val="en-AU"/>
              </w:rPr>
              <w:t>apital</w:t>
            </w:r>
            <w:r w:rsidRPr="00A03996">
              <w:rPr>
                <w:rFonts w:ascii="Arial" w:hAnsi="Arial"/>
                <w:b/>
                <w:color w:val="000000"/>
                <w:sz w:val="16"/>
                <w:szCs w:val="16"/>
                <w:lang w:val="en-AU"/>
              </w:rPr>
              <w:br/>
              <w:t>$'000</w:t>
            </w:r>
          </w:p>
        </w:tc>
        <w:tc>
          <w:tcPr>
            <w:tcW w:w="1022" w:type="dxa"/>
            <w:tcBorders>
              <w:top w:val="single" w:sz="4" w:space="0" w:color="auto"/>
              <w:left w:val="nil"/>
              <w:bottom w:val="single" w:sz="4" w:space="0" w:color="000000"/>
              <w:right w:val="nil"/>
            </w:tcBorders>
            <w:shd w:val="clear" w:color="auto" w:fill="auto"/>
            <w:hideMark/>
          </w:tcPr>
          <w:p w14:paraId="44354C04" w14:textId="77777777" w:rsidR="0086316A" w:rsidRPr="00A03996" w:rsidRDefault="0086316A" w:rsidP="00A151D0">
            <w:pPr>
              <w:spacing w:before="0" w:after="0"/>
              <w:jc w:val="right"/>
              <w:rPr>
                <w:rFonts w:ascii="Arial" w:hAnsi="Arial"/>
                <w:b/>
                <w:color w:val="000000"/>
                <w:sz w:val="16"/>
                <w:szCs w:val="16"/>
                <w:lang w:val="en-AU"/>
              </w:rPr>
            </w:pPr>
            <w:r w:rsidRPr="00A03996">
              <w:rPr>
                <w:rFonts w:ascii="Arial" w:hAnsi="Arial"/>
                <w:b/>
                <w:color w:val="000000"/>
                <w:sz w:val="16"/>
                <w:szCs w:val="16"/>
                <w:lang w:val="en-AU"/>
              </w:rPr>
              <w:t>Total</w:t>
            </w:r>
            <w:r w:rsidRPr="00A03996">
              <w:rPr>
                <w:rFonts w:ascii="Arial" w:hAnsi="Arial"/>
                <w:b/>
                <w:color w:val="000000"/>
                <w:sz w:val="16"/>
                <w:szCs w:val="16"/>
                <w:lang w:val="en-AU"/>
              </w:rPr>
              <w:br/>
            </w:r>
            <w:r w:rsidR="00A151D0" w:rsidRPr="00A03996">
              <w:rPr>
                <w:rFonts w:ascii="Arial" w:hAnsi="Arial"/>
                <w:b/>
                <w:color w:val="000000"/>
                <w:sz w:val="16"/>
                <w:szCs w:val="16"/>
                <w:lang w:val="en-AU"/>
              </w:rPr>
              <w:t>E</w:t>
            </w:r>
            <w:r w:rsidRPr="00A03996">
              <w:rPr>
                <w:rFonts w:ascii="Arial" w:hAnsi="Arial"/>
                <w:b/>
                <w:color w:val="000000"/>
                <w:sz w:val="16"/>
                <w:szCs w:val="16"/>
                <w:lang w:val="en-AU"/>
              </w:rPr>
              <w:t xml:space="preserve">quity </w:t>
            </w:r>
            <w:r w:rsidRPr="00A03996">
              <w:rPr>
                <w:rFonts w:ascii="Arial" w:hAnsi="Arial"/>
                <w:b/>
                <w:color w:val="000000"/>
                <w:sz w:val="16"/>
                <w:szCs w:val="16"/>
                <w:lang w:val="en-AU"/>
              </w:rPr>
              <w:br/>
            </w:r>
            <w:r w:rsidRPr="00A03996">
              <w:rPr>
                <w:rFonts w:ascii="Arial" w:hAnsi="Arial"/>
                <w:b/>
                <w:color w:val="000000"/>
                <w:sz w:val="16"/>
                <w:szCs w:val="16"/>
                <w:lang w:val="en-AU"/>
              </w:rPr>
              <w:br/>
              <w:t>$'000</w:t>
            </w:r>
          </w:p>
        </w:tc>
      </w:tr>
      <w:tr w:rsidR="0086316A" w:rsidRPr="00B56FAA" w14:paraId="50473BAB" w14:textId="77777777" w:rsidTr="002B2BCC">
        <w:trPr>
          <w:trHeight w:val="225"/>
        </w:trPr>
        <w:tc>
          <w:tcPr>
            <w:tcW w:w="3225" w:type="dxa"/>
            <w:tcBorders>
              <w:top w:val="single" w:sz="4" w:space="0" w:color="auto"/>
              <w:left w:val="nil"/>
              <w:bottom w:val="nil"/>
              <w:right w:val="nil"/>
            </w:tcBorders>
            <w:shd w:val="clear" w:color="auto" w:fill="auto"/>
            <w:vAlign w:val="center"/>
            <w:hideMark/>
          </w:tcPr>
          <w:p w14:paraId="09605DA7" w14:textId="2806E825" w:rsidR="0086316A" w:rsidRPr="004A6687" w:rsidRDefault="0086316A" w:rsidP="005E1132">
            <w:pPr>
              <w:spacing w:before="0" w:after="0"/>
              <w:rPr>
                <w:rFonts w:ascii="Arial" w:hAnsi="Arial"/>
                <w:b/>
                <w:bCs/>
                <w:color w:val="000000"/>
                <w:sz w:val="16"/>
                <w:szCs w:val="16"/>
                <w:lang w:val="en-AU"/>
              </w:rPr>
            </w:pPr>
            <w:r w:rsidRPr="004A6687">
              <w:rPr>
                <w:rFonts w:ascii="Arial" w:hAnsi="Arial"/>
                <w:b/>
                <w:bCs/>
                <w:color w:val="000000"/>
                <w:sz w:val="16"/>
                <w:szCs w:val="16"/>
                <w:lang w:val="en-AU"/>
              </w:rPr>
              <w:t xml:space="preserve">Opening balance as at </w:t>
            </w:r>
            <w:r w:rsidRPr="002B2BCC">
              <w:rPr>
                <w:rFonts w:ascii="Arial" w:hAnsi="Arial"/>
                <w:b/>
                <w:bCs/>
                <w:color w:val="000000"/>
                <w:sz w:val="16"/>
                <w:szCs w:val="16"/>
                <w:lang w:val="en-AU"/>
              </w:rPr>
              <w:t>1 July 202</w:t>
            </w:r>
            <w:r w:rsidR="00083563">
              <w:rPr>
                <w:rFonts w:ascii="Arial" w:hAnsi="Arial"/>
                <w:b/>
                <w:bCs/>
                <w:color w:val="000000"/>
                <w:sz w:val="16"/>
                <w:szCs w:val="16"/>
                <w:lang w:val="en-AU"/>
              </w:rPr>
              <w:t>5</w:t>
            </w:r>
          </w:p>
        </w:tc>
        <w:tc>
          <w:tcPr>
            <w:tcW w:w="1022" w:type="dxa"/>
            <w:tcBorders>
              <w:top w:val="nil"/>
              <w:left w:val="nil"/>
              <w:bottom w:val="nil"/>
              <w:right w:val="nil"/>
            </w:tcBorders>
            <w:shd w:val="clear" w:color="auto" w:fill="auto"/>
            <w:noWrap/>
            <w:vAlign w:val="center"/>
          </w:tcPr>
          <w:p w14:paraId="50F59427" w14:textId="77777777" w:rsidR="0086316A" w:rsidRPr="00B56FAA" w:rsidRDefault="0086316A" w:rsidP="004A5342">
            <w:pPr>
              <w:spacing w:before="0" w:after="0"/>
              <w:jc w:val="right"/>
              <w:rPr>
                <w:rFonts w:ascii="Arial" w:hAnsi="Arial"/>
                <w:b/>
                <w:bCs/>
                <w:color w:val="000000"/>
                <w:sz w:val="16"/>
                <w:szCs w:val="16"/>
                <w:lang w:val="en-AU"/>
              </w:rPr>
            </w:pPr>
          </w:p>
        </w:tc>
        <w:tc>
          <w:tcPr>
            <w:tcW w:w="1125" w:type="dxa"/>
            <w:tcBorders>
              <w:top w:val="nil"/>
              <w:left w:val="nil"/>
              <w:bottom w:val="nil"/>
              <w:right w:val="nil"/>
            </w:tcBorders>
            <w:shd w:val="clear" w:color="auto" w:fill="auto"/>
            <w:noWrap/>
            <w:vAlign w:val="center"/>
          </w:tcPr>
          <w:p w14:paraId="784176C1" w14:textId="77777777" w:rsidR="0086316A" w:rsidRPr="00B56FAA" w:rsidRDefault="0086316A" w:rsidP="004A5342">
            <w:pPr>
              <w:spacing w:before="0" w:after="0"/>
              <w:jc w:val="right"/>
              <w:rPr>
                <w:rFonts w:ascii="Times New Roman" w:hAnsi="Times New Roman" w:cs="Times New Roman"/>
                <w:szCs w:val="20"/>
                <w:lang w:val="en-AU"/>
              </w:rPr>
            </w:pPr>
          </w:p>
        </w:tc>
        <w:tc>
          <w:tcPr>
            <w:tcW w:w="1125" w:type="dxa"/>
            <w:tcBorders>
              <w:top w:val="nil"/>
              <w:left w:val="nil"/>
              <w:bottom w:val="nil"/>
              <w:right w:val="nil"/>
            </w:tcBorders>
            <w:shd w:val="clear" w:color="auto" w:fill="auto"/>
            <w:noWrap/>
            <w:vAlign w:val="center"/>
          </w:tcPr>
          <w:p w14:paraId="0275BB1C" w14:textId="77777777" w:rsidR="0086316A" w:rsidRPr="00B56FAA" w:rsidRDefault="0086316A" w:rsidP="004A5342">
            <w:pPr>
              <w:spacing w:before="0" w:after="0"/>
              <w:jc w:val="right"/>
              <w:rPr>
                <w:rFonts w:ascii="Times New Roman" w:hAnsi="Times New Roman" w:cs="Times New Roman"/>
                <w:szCs w:val="20"/>
                <w:lang w:val="en-AU"/>
              </w:rPr>
            </w:pPr>
          </w:p>
        </w:tc>
        <w:tc>
          <w:tcPr>
            <w:tcW w:w="1022" w:type="dxa"/>
            <w:tcBorders>
              <w:top w:val="nil"/>
              <w:left w:val="nil"/>
              <w:bottom w:val="nil"/>
              <w:right w:val="nil"/>
            </w:tcBorders>
            <w:shd w:val="clear" w:color="auto" w:fill="auto"/>
            <w:noWrap/>
            <w:vAlign w:val="center"/>
          </w:tcPr>
          <w:p w14:paraId="7997D159" w14:textId="77777777" w:rsidR="0086316A" w:rsidRPr="00B56FAA" w:rsidRDefault="0086316A" w:rsidP="004A5342">
            <w:pPr>
              <w:spacing w:before="0" w:after="0"/>
              <w:jc w:val="right"/>
              <w:rPr>
                <w:rFonts w:ascii="Times New Roman" w:hAnsi="Times New Roman" w:cs="Times New Roman"/>
                <w:szCs w:val="20"/>
                <w:lang w:val="en-AU"/>
              </w:rPr>
            </w:pPr>
          </w:p>
        </w:tc>
      </w:tr>
      <w:tr w:rsidR="00083563" w:rsidRPr="00B56FAA" w14:paraId="4B605F55" w14:textId="77777777" w:rsidTr="002B2BCC">
        <w:trPr>
          <w:trHeight w:val="450"/>
        </w:trPr>
        <w:tc>
          <w:tcPr>
            <w:tcW w:w="3225" w:type="dxa"/>
            <w:tcBorders>
              <w:top w:val="nil"/>
              <w:left w:val="nil"/>
              <w:bottom w:val="nil"/>
              <w:right w:val="nil"/>
            </w:tcBorders>
            <w:shd w:val="clear" w:color="auto" w:fill="auto"/>
            <w:vAlign w:val="center"/>
            <w:hideMark/>
          </w:tcPr>
          <w:p w14:paraId="57C8F519" w14:textId="77777777" w:rsidR="00083563" w:rsidRPr="002B2BCC" w:rsidRDefault="00083563" w:rsidP="00083563">
            <w:pPr>
              <w:spacing w:before="0" w:after="0"/>
              <w:ind w:firstLineChars="100" w:firstLine="160"/>
              <w:rPr>
                <w:rFonts w:ascii="Arial" w:hAnsi="Arial"/>
                <w:color w:val="000000"/>
                <w:sz w:val="16"/>
                <w:szCs w:val="16"/>
                <w:lang w:val="en-AU"/>
              </w:rPr>
            </w:pPr>
            <w:r w:rsidRPr="002B2BCC">
              <w:rPr>
                <w:rFonts w:ascii="Arial" w:hAnsi="Arial"/>
                <w:color w:val="000000"/>
                <w:sz w:val="16"/>
                <w:szCs w:val="16"/>
                <w:lang w:val="en-AU"/>
              </w:rPr>
              <w:t>Balance carried forward from</w:t>
            </w:r>
            <w:r w:rsidRPr="002B2BCC">
              <w:rPr>
                <w:rFonts w:ascii="Arial" w:hAnsi="Arial"/>
                <w:color w:val="000000"/>
                <w:sz w:val="16"/>
                <w:szCs w:val="16"/>
                <w:lang w:val="en-AU"/>
              </w:rPr>
              <w:br/>
              <w:t xml:space="preserve">   previous period</w:t>
            </w:r>
          </w:p>
        </w:tc>
        <w:tc>
          <w:tcPr>
            <w:tcW w:w="1022" w:type="dxa"/>
            <w:tcBorders>
              <w:top w:val="nil"/>
              <w:left w:val="nil"/>
              <w:bottom w:val="nil"/>
              <w:right w:val="nil"/>
            </w:tcBorders>
            <w:shd w:val="clear" w:color="auto" w:fill="auto"/>
            <w:noWrap/>
            <w:vAlign w:val="center"/>
          </w:tcPr>
          <w:p w14:paraId="536FA216" w14:textId="44F8A707" w:rsidR="00083563" w:rsidRPr="00B56FAA" w:rsidRDefault="00083563" w:rsidP="00784613">
            <w:pPr>
              <w:spacing w:before="0" w:after="0"/>
              <w:jc w:val="right"/>
              <w:rPr>
                <w:rFonts w:ascii="Arial" w:hAnsi="Arial"/>
                <w:color w:val="000000"/>
                <w:sz w:val="16"/>
                <w:szCs w:val="16"/>
                <w:lang w:val="en-AU"/>
              </w:rPr>
            </w:pPr>
            <w:r w:rsidRPr="00D1455F">
              <w:rPr>
                <w:rFonts w:ascii="Arial" w:hAnsi="Arial"/>
                <w:color w:val="000000"/>
                <w:sz w:val="16"/>
                <w:szCs w:val="16"/>
                <w:lang w:val="en-AU"/>
              </w:rPr>
              <w:t>135,540</w:t>
            </w:r>
          </w:p>
        </w:tc>
        <w:tc>
          <w:tcPr>
            <w:tcW w:w="1125" w:type="dxa"/>
            <w:tcBorders>
              <w:top w:val="nil"/>
              <w:left w:val="nil"/>
              <w:bottom w:val="nil"/>
              <w:right w:val="nil"/>
            </w:tcBorders>
            <w:shd w:val="clear" w:color="auto" w:fill="auto"/>
            <w:noWrap/>
            <w:vAlign w:val="center"/>
          </w:tcPr>
          <w:p w14:paraId="7CAA164E" w14:textId="62791866" w:rsidR="00083563" w:rsidRPr="00B56FAA" w:rsidRDefault="00083563" w:rsidP="00784613">
            <w:pPr>
              <w:spacing w:before="0" w:after="0"/>
              <w:jc w:val="right"/>
              <w:rPr>
                <w:rFonts w:ascii="Arial" w:hAnsi="Arial"/>
                <w:color w:val="000000"/>
                <w:sz w:val="16"/>
                <w:szCs w:val="16"/>
                <w:lang w:val="en-AU"/>
              </w:rPr>
            </w:pPr>
            <w:r w:rsidRPr="00D1455F">
              <w:rPr>
                <w:rFonts w:ascii="Arial" w:hAnsi="Arial"/>
                <w:color w:val="000000"/>
                <w:sz w:val="16"/>
                <w:szCs w:val="16"/>
                <w:lang w:val="en-AU"/>
              </w:rPr>
              <w:t>3,259,535</w:t>
            </w:r>
          </w:p>
        </w:tc>
        <w:tc>
          <w:tcPr>
            <w:tcW w:w="1125" w:type="dxa"/>
            <w:tcBorders>
              <w:top w:val="nil"/>
              <w:left w:val="nil"/>
              <w:bottom w:val="nil"/>
              <w:right w:val="nil"/>
            </w:tcBorders>
            <w:shd w:val="clear" w:color="auto" w:fill="auto"/>
            <w:noWrap/>
            <w:vAlign w:val="center"/>
          </w:tcPr>
          <w:p w14:paraId="2426B941" w14:textId="5403032C" w:rsidR="00083563" w:rsidRPr="00B56FAA" w:rsidRDefault="00083563" w:rsidP="00784613">
            <w:pPr>
              <w:spacing w:before="0" w:after="0"/>
              <w:jc w:val="right"/>
              <w:rPr>
                <w:rFonts w:ascii="Arial" w:hAnsi="Arial"/>
                <w:color w:val="000000"/>
                <w:sz w:val="16"/>
                <w:szCs w:val="16"/>
                <w:lang w:val="en-AU"/>
              </w:rPr>
            </w:pPr>
            <w:r w:rsidRPr="00D1455F">
              <w:rPr>
                <w:rFonts w:ascii="Arial" w:hAnsi="Arial"/>
                <w:color w:val="000000"/>
                <w:sz w:val="16"/>
                <w:szCs w:val="16"/>
                <w:lang w:val="en-AU"/>
              </w:rPr>
              <w:t>396,148</w:t>
            </w:r>
          </w:p>
        </w:tc>
        <w:tc>
          <w:tcPr>
            <w:tcW w:w="1022" w:type="dxa"/>
            <w:tcBorders>
              <w:top w:val="nil"/>
              <w:left w:val="nil"/>
              <w:bottom w:val="nil"/>
              <w:right w:val="nil"/>
            </w:tcBorders>
            <w:shd w:val="clear" w:color="auto" w:fill="auto"/>
            <w:noWrap/>
            <w:vAlign w:val="center"/>
          </w:tcPr>
          <w:p w14:paraId="7C9DC375" w14:textId="428D4DC6" w:rsidR="00083563" w:rsidRPr="00B56FAA" w:rsidRDefault="00083563" w:rsidP="00784613">
            <w:pPr>
              <w:spacing w:before="0" w:after="0"/>
              <w:jc w:val="right"/>
              <w:rPr>
                <w:rFonts w:ascii="Arial" w:hAnsi="Arial"/>
                <w:color w:val="000000"/>
                <w:sz w:val="16"/>
                <w:szCs w:val="16"/>
                <w:lang w:val="en-AU"/>
              </w:rPr>
            </w:pPr>
            <w:r w:rsidRPr="00D1455F">
              <w:rPr>
                <w:rFonts w:ascii="Arial" w:hAnsi="Arial"/>
                <w:color w:val="000000"/>
                <w:sz w:val="16"/>
                <w:szCs w:val="16"/>
                <w:lang w:val="en-AU"/>
              </w:rPr>
              <w:t>3,791,223</w:t>
            </w:r>
          </w:p>
        </w:tc>
      </w:tr>
      <w:tr w:rsidR="00083563" w:rsidRPr="00B56FAA" w14:paraId="62B39FDA" w14:textId="77777777" w:rsidTr="002B2BCC">
        <w:trPr>
          <w:trHeight w:val="210"/>
        </w:trPr>
        <w:tc>
          <w:tcPr>
            <w:tcW w:w="3225" w:type="dxa"/>
            <w:tcBorders>
              <w:top w:val="nil"/>
              <w:left w:val="nil"/>
              <w:bottom w:val="nil"/>
              <w:right w:val="nil"/>
            </w:tcBorders>
            <w:shd w:val="clear" w:color="auto" w:fill="auto"/>
            <w:vAlign w:val="center"/>
            <w:hideMark/>
          </w:tcPr>
          <w:p w14:paraId="4B361539" w14:textId="77777777" w:rsidR="00083563" w:rsidRPr="002B2BCC" w:rsidRDefault="00083563" w:rsidP="00083563">
            <w:pPr>
              <w:spacing w:before="0" w:after="0"/>
              <w:rPr>
                <w:rFonts w:ascii="Arial" w:hAnsi="Arial"/>
                <w:b/>
                <w:bCs/>
                <w:i/>
                <w:iCs/>
                <w:color w:val="000000"/>
                <w:sz w:val="16"/>
                <w:szCs w:val="16"/>
                <w:lang w:val="en-AU"/>
              </w:rPr>
            </w:pPr>
            <w:r w:rsidRPr="002B2BCC">
              <w:rPr>
                <w:rFonts w:ascii="Arial" w:hAnsi="Arial"/>
                <w:b/>
                <w:bCs/>
                <w:i/>
                <w:iCs/>
                <w:color w:val="000000"/>
                <w:sz w:val="16"/>
                <w:szCs w:val="16"/>
                <w:lang w:val="en-AU"/>
              </w:rPr>
              <w:t>Adjusted opening balance</w:t>
            </w:r>
          </w:p>
        </w:tc>
        <w:tc>
          <w:tcPr>
            <w:tcW w:w="1022" w:type="dxa"/>
            <w:tcBorders>
              <w:top w:val="single" w:sz="4" w:space="0" w:color="000000"/>
              <w:left w:val="nil"/>
              <w:bottom w:val="single" w:sz="4" w:space="0" w:color="000000"/>
              <w:right w:val="nil"/>
            </w:tcBorders>
            <w:shd w:val="clear" w:color="auto" w:fill="auto"/>
            <w:noWrap/>
            <w:vAlign w:val="center"/>
          </w:tcPr>
          <w:p w14:paraId="74D90146" w14:textId="0A455153" w:rsidR="00083563" w:rsidRPr="00B56FAA" w:rsidRDefault="00083563" w:rsidP="00784613">
            <w:pPr>
              <w:spacing w:before="0" w:after="0"/>
              <w:jc w:val="right"/>
              <w:rPr>
                <w:rFonts w:ascii="Arial" w:hAnsi="Arial"/>
                <w:b/>
                <w:bCs/>
                <w:i/>
                <w:iCs/>
                <w:color w:val="000000"/>
                <w:sz w:val="16"/>
                <w:szCs w:val="16"/>
                <w:lang w:val="en-AU"/>
              </w:rPr>
            </w:pPr>
            <w:r w:rsidRPr="00D1455F">
              <w:rPr>
                <w:rFonts w:ascii="Arial" w:hAnsi="Arial"/>
                <w:b/>
                <w:bCs/>
                <w:i/>
                <w:iCs/>
                <w:color w:val="000000"/>
                <w:sz w:val="16"/>
                <w:szCs w:val="16"/>
                <w:lang w:val="en-AU"/>
              </w:rPr>
              <w:t>135,540</w:t>
            </w:r>
          </w:p>
        </w:tc>
        <w:tc>
          <w:tcPr>
            <w:tcW w:w="1125" w:type="dxa"/>
            <w:tcBorders>
              <w:top w:val="single" w:sz="4" w:space="0" w:color="000000"/>
              <w:left w:val="nil"/>
              <w:bottom w:val="single" w:sz="4" w:space="0" w:color="000000"/>
              <w:right w:val="nil"/>
            </w:tcBorders>
            <w:shd w:val="clear" w:color="auto" w:fill="auto"/>
            <w:noWrap/>
            <w:vAlign w:val="center"/>
          </w:tcPr>
          <w:p w14:paraId="4412C4E7" w14:textId="037FAAA8" w:rsidR="00083563" w:rsidRPr="00B56FAA" w:rsidRDefault="00083563" w:rsidP="00784613">
            <w:pPr>
              <w:spacing w:before="0" w:after="0"/>
              <w:jc w:val="right"/>
              <w:rPr>
                <w:rFonts w:ascii="Arial" w:hAnsi="Arial"/>
                <w:b/>
                <w:bCs/>
                <w:i/>
                <w:iCs/>
                <w:color w:val="000000"/>
                <w:sz w:val="16"/>
                <w:szCs w:val="16"/>
                <w:lang w:val="en-AU"/>
              </w:rPr>
            </w:pPr>
            <w:r w:rsidRPr="00D1455F">
              <w:rPr>
                <w:rFonts w:ascii="Arial" w:hAnsi="Arial"/>
                <w:b/>
                <w:bCs/>
                <w:i/>
                <w:iCs/>
                <w:color w:val="000000"/>
                <w:sz w:val="16"/>
                <w:szCs w:val="16"/>
                <w:lang w:val="en-AU"/>
              </w:rPr>
              <w:t>3,259,535</w:t>
            </w:r>
          </w:p>
        </w:tc>
        <w:tc>
          <w:tcPr>
            <w:tcW w:w="1125" w:type="dxa"/>
            <w:tcBorders>
              <w:top w:val="single" w:sz="4" w:space="0" w:color="000000"/>
              <w:left w:val="nil"/>
              <w:bottom w:val="single" w:sz="4" w:space="0" w:color="000000"/>
              <w:right w:val="nil"/>
            </w:tcBorders>
            <w:shd w:val="clear" w:color="auto" w:fill="auto"/>
            <w:noWrap/>
            <w:vAlign w:val="center"/>
          </w:tcPr>
          <w:p w14:paraId="1F18B01B" w14:textId="4536ECFA" w:rsidR="00083563" w:rsidRPr="00B56FAA" w:rsidRDefault="00083563" w:rsidP="00784613">
            <w:pPr>
              <w:spacing w:before="0" w:after="0"/>
              <w:jc w:val="right"/>
              <w:rPr>
                <w:rFonts w:ascii="Arial" w:hAnsi="Arial"/>
                <w:b/>
                <w:bCs/>
                <w:i/>
                <w:iCs/>
                <w:color w:val="000000"/>
                <w:sz w:val="16"/>
                <w:szCs w:val="16"/>
                <w:lang w:val="en-AU"/>
              </w:rPr>
            </w:pPr>
            <w:r w:rsidRPr="00D1455F">
              <w:rPr>
                <w:rFonts w:ascii="Arial" w:hAnsi="Arial"/>
                <w:b/>
                <w:bCs/>
                <w:i/>
                <w:iCs/>
                <w:color w:val="000000"/>
                <w:sz w:val="16"/>
                <w:szCs w:val="16"/>
                <w:lang w:val="en-AU"/>
              </w:rPr>
              <w:t>396,148</w:t>
            </w:r>
          </w:p>
        </w:tc>
        <w:tc>
          <w:tcPr>
            <w:tcW w:w="1022" w:type="dxa"/>
            <w:tcBorders>
              <w:top w:val="single" w:sz="4" w:space="0" w:color="000000"/>
              <w:left w:val="nil"/>
              <w:bottom w:val="single" w:sz="4" w:space="0" w:color="000000"/>
              <w:right w:val="nil"/>
            </w:tcBorders>
            <w:shd w:val="clear" w:color="auto" w:fill="auto"/>
            <w:noWrap/>
            <w:vAlign w:val="center"/>
          </w:tcPr>
          <w:p w14:paraId="1128BBA7" w14:textId="739096A0" w:rsidR="00083563" w:rsidRPr="00B56FAA" w:rsidRDefault="00083563" w:rsidP="00784613">
            <w:pPr>
              <w:spacing w:before="0" w:after="0"/>
              <w:jc w:val="right"/>
              <w:rPr>
                <w:rFonts w:ascii="Arial" w:hAnsi="Arial"/>
                <w:b/>
                <w:bCs/>
                <w:i/>
                <w:iCs/>
                <w:color w:val="000000"/>
                <w:sz w:val="16"/>
                <w:szCs w:val="16"/>
                <w:lang w:val="en-AU"/>
              </w:rPr>
            </w:pPr>
            <w:r w:rsidRPr="00D1455F">
              <w:rPr>
                <w:rFonts w:ascii="Arial" w:hAnsi="Arial"/>
                <w:b/>
                <w:bCs/>
                <w:i/>
                <w:iCs/>
                <w:color w:val="000000"/>
                <w:sz w:val="16"/>
                <w:szCs w:val="16"/>
                <w:lang w:val="en-AU"/>
              </w:rPr>
              <w:t>3,791,223</w:t>
            </w:r>
          </w:p>
        </w:tc>
      </w:tr>
      <w:tr w:rsidR="007527E9" w:rsidRPr="00B56FAA" w14:paraId="06F889DC" w14:textId="77777777" w:rsidTr="002B2BCC">
        <w:trPr>
          <w:trHeight w:val="225"/>
        </w:trPr>
        <w:tc>
          <w:tcPr>
            <w:tcW w:w="3225" w:type="dxa"/>
            <w:tcBorders>
              <w:top w:val="nil"/>
              <w:left w:val="nil"/>
              <w:bottom w:val="nil"/>
              <w:right w:val="nil"/>
            </w:tcBorders>
            <w:shd w:val="clear" w:color="auto" w:fill="auto"/>
            <w:noWrap/>
            <w:vAlign w:val="center"/>
            <w:hideMark/>
          </w:tcPr>
          <w:p w14:paraId="20085227" w14:textId="77777777" w:rsidR="007527E9" w:rsidRPr="002B2BCC" w:rsidRDefault="007527E9" w:rsidP="007527E9">
            <w:pPr>
              <w:spacing w:before="0" w:after="0"/>
              <w:rPr>
                <w:rFonts w:ascii="Arial" w:hAnsi="Arial"/>
                <w:b/>
                <w:bCs/>
                <w:color w:val="000000"/>
                <w:sz w:val="16"/>
                <w:szCs w:val="16"/>
                <w:lang w:val="en-AU"/>
              </w:rPr>
            </w:pPr>
            <w:r w:rsidRPr="002B2BCC">
              <w:rPr>
                <w:rFonts w:ascii="Arial" w:hAnsi="Arial"/>
                <w:b/>
                <w:bCs/>
                <w:color w:val="000000"/>
                <w:sz w:val="16"/>
                <w:szCs w:val="16"/>
                <w:lang w:val="en-AU"/>
              </w:rPr>
              <w:t>Comprehensive income</w:t>
            </w:r>
          </w:p>
        </w:tc>
        <w:tc>
          <w:tcPr>
            <w:tcW w:w="1022" w:type="dxa"/>
            <w:tcBorders>
              <w:top w:val="nil"/>
              <w:left w:val="nil"/>
              <w:bottom w:val="nil"/>
              <w:right w:val="nil"/>
            </w:tcBorders>
            <w:shd w:val="clear" w:color="auto" w:fill="auto"/>
            <w:noWrap/>
            <w:vAlign w:val="center"/>
          </w:tcPr>
          <w:p w14:paraId="7A44617B" w14:textId="77777777" w:rsidR="007527E9" w:rsidRPr="00B56FAA" w:rsidRDefault="007527E9" w:rsidP="007527E9">
            <w:pPr>
              <w:spacing w:before="0" w:after="0"/>
              <w:jc w:val="right"/>
              <w:rPr>
                <w:rFonts w:ascii="Arial" w:hAnsi="Arial"/>
                <w:b/>
                <w:bCs/>
                <w:color w:val="000000"/>
                <w:sz w:val="16"/>
                <w:szCs w:val="16"/>
                <w:lang w:val="en-AU"/>
              </w:rPr>
            </w:pPr>
          </w:p>
        </w:tc>
        <w:tc>
          <w:tcPr>
            <w:tcW w:w="1125" w:type="dxa"/>
            <w:tcBorders>
              <w:top w:val="nil"/>
              <w:left w:val="nil"/>
              <w:bottom w:val="nil"/>
              <w:right w:val="nil"/>
            </w:tcBorders>
            <w:shd w:val="clear" w:color="auto" w:fill="auto"/>
            <w:noWrap/>
            <w:vAlign w:val="center"/>
          </w:tcPr>
          <w:p w14:paraId="2C5C982E" w14:textId="77777777" w:rsidR="007527E9" w:rsidRPr="00B56FAA" w:rsidRDefault="007527E9" w:rsidP="007527E9">
            <w:pPr>
              <w:spacing w:before="0" w:after="0"/>
              <w:jc w:val="right"/>
              <w:rPr>
                <w:rFonts w:ascii="Times New Roman" w:hAnsi="Times New Roman" w:cs="Times New Roman"/>
                <w:szCs w:val="20"/>
                <w:lang w:val="en-AU"/>
              </w:rPr>
            </w:pPr>
          </w:p>
        </w:tc>
        <w:tc>
          <w:tcPr>
            <w:tcW w:w="1125" w:type="dxa"/>
            <w:tcBorders>
              <w:top w:val="nil"/>
              <w:left w:val="nil"/>
              <w:bottom w:val="nil"/>
              <w:right w:val="nil"/>
            </w:tcBorders>
            <w:shd w:val="clear" w:color="auto" w:fill="auto"/>
            <w:noWrap/>
            <w:vAlign w:val="center"/>
          </w:tcPr>
          <w:p w14:paraId="7746F725" w14:textId="77777777" w:rsidR="007527E9" w:rsidRPr="00B56FAA" w:rsidRDefault="007527E9" w:rsidP="007527E9">
            <w:pPr>
              <w:spacing w:before="0" w:after="0"/>
              <w:jc w:val="right"/>
              <w:rPr>
                <w:rFonts w:ascii="Times New Roman" w:hAnsi="Times New Roman" w:cs="Times New Roman"/>
                <w:szCs w:val="20"/>
                <w:lang w:val="en-AU"/>
              </w:rPr>
            </w:pPr>
          </w:p>
        </w:tc>
        <w:tc>
          <w:tcPr>
            <w:tcW w:w="1022" w:type="dxa"/>
            <w:tcBorders>
              <w:top w:val="nil"/>
              <w:left w:val="nil"/>
              <w:bottom w:val="nil"/>
              <w:right w:val="nil"/>
            </w:tcBorders>
            <w:shd w:val="clear" w:color="auto" w:fill="auto"/>
            <w:noWrap/>
            <w:vAlign w:val="center"/>
          </w:tcPr>
          <w:p w14:paraId="78844FDB" w14:textId="77777777" w:rsidR="007527E9" w:rsidRPr="00B56FAA" w:rsidRDefault="007527E9" w:rsidP="007527E9">
            <w:pPr>
              <w:spacing w:before="0" w:after="0"/>
              <w:jc w:val="right"/>
              <w:rPr>
                <w:rFonts w:ascii="Times New Roman" w:hAnsi="Times New Roman" w:cs="Times New Roman"/>
                <w:szCs w:val="20"/>
                <w:lang w:val="en-AU"/>
              </w:rPr>
            </w:pPr>
          </w:p>
        </w:tc>
      </w:tr>
      <w:tr w:rsidR="00083563" w:rsidRPr="00B56FAA" w14:paraId="0B753474" w14:textId="77777777" w:rsidTr="002B2BCC">
        <w:trPr>
          <w:trHeight w:val="225"/>
        </w:trPr>
        <w:tc>
          <w:tcPr>
            <w:tcW w:w="3225" w:type="dxa"/>
            <w:tcBorders>
              <w:top w:val="nil"/>
              <w:left w:val="nil"/>
              <w:bottom w:val="nil"/>
              <w:right w:val="nil"/>
            </w:tcBorders>
            <w:shd w:val="clear" w:color="auto" w:fill="auto"/>
            <w:noWrap/>
            <w:vAlign w:val="center"/>
            <w:hideMark/>
          </w:tcPr>
          <w:p w14:paraId="07CD75CC" w14:textId="77777777" w:rsidR="00083563" w:rsidRPr="002B2BCC" w:rsidRDefault="00083563" w:rsidP="00083563">
            <w:pPr>
              <w:spacing w:before="0" w:after="0"/>
              <w:ind w:firstLineChars="100" w:firstLine="160"/>
              <w:rPr>
                <w:rFonts w:ascii="Arial" w:hAnsi="Arial"/>
                <w:sz w:val="16"/>
                <w:szCs w:val="16"/>
                <w:lang w:val="en-AU"/>
              </w:rPr>
            </w:pPr>
            <w:r w:rsidRPr="002B2BCC">
              <w:rPr>
                <w:rFonts w:ascii="Arial" w:hAnsi="Arial"/>
                <w:sz w:val="16"/>
                <w:szCs w:val="16"/>
                <w:lang w:val="en-AU"/>
              </w:rPr>
              <w:t>Surplus/(deficit) for the period</w:t>
            </w:r>
          </w:p>
        </w:tc>
        <w:tc>
          <w:tcPr>
            <w:tcW w:w="1022" w:type="dxa"/>
            <w:tcBorders>
              <w:top w:val="nil"/>
              <w:left w:val="nil"/>
              <w:bottom w:val="nil"/>
              <w:right w:val="nil"/>
            </w:tcBorders>
            <w:shd w:val="clear" w:color="auto" w:fill="auto"/>
            <w:noWrap/>
            <w:vAlign w:val="center"/>
          </w:tcPr>
          <w:p w14:paraId="702CC16A" w14:textId="570D8944" w:rsidR="00083563" w:rsidRPr="00B56FAA" w:rsidRDefault="00083563" w:rsidP="00784613">
            <w:pPr>
              <w:spacing w:before="0" w:after="0"/>
              <w:jc w:val="right"/>
              <w:rPr>
                <w:rFonts w:ascii="Arial" w:hAnsi="Arial"/>
                <w:color w:val="000000"/>
                <w:sz w:val="16"/>
                <w:szCs w:val="16"/>
                <w:lang w:val="en-AU"/>
              </w:rPr>
            </w:pPr>
            <w:r w:rsidRPr="00D1455F">
              <w:rPr>
                <w:rFonts w:ascii="Arial" w:hAnsi="Arial"/>
                <w:color w:val="000000"/>
                <w:sz w:val="16"/>
                <w:szCs w:val="16"/>
                <w:lang w:val="en-AU"/>
              </w:rPr>
              <w:t>78,174</w:t>
            </w:r>
          </w:p>
        </w:tc>
        <w:tc>
          <w:tcPr>
            <w:tcW w:w="1125" w:type="dxa"/>
            <w:tcBorders>
              <w:top w:val="nil"/>
              <w:left w:val="nil"/>
              <w:bottom w:val="nil"/>
              <w:right w:val="nil"/>
            </w:tcBorders>
            <w:shd w:val="clear" w:color="auto" w:fill="auto"/>
            <w:noWrap/>
            <w:vAlign w:val="center"/>
          </w:tcPr>
          <w:p w14:paraId="0004E317" w14:textId="3FCBF887" w:rsidR="00083563" w:rsidRPr="00B56FAA" w:rsidRDefault="00083563" w:rsidP="00784613">
            <w:pPr>
              <w:spacing w:before="0" w:after="0"/>
              <w:jc w:val="right"/>
              <w:rPr>
                <w:rFonts w:ascii="Arial" w:hAnsi="Arial"/>
                <w:color w:val="000000"/>
                <w:sz w:val="16"/>
                <w:szCs w:val="16"/>
                <w:lang w:val="en-AU"/>
              </w:rPr>
            </w:pPr>
            <w:r w:rsidRPr="00D1455F">
              <w:rPr>
                <w:rFonts w:ascii="Arial" w:hAnsi="Arial"/>
                <w:color w:val="000000"/>
                <w:sz w:val="16"/>
                <w:szCs w:val="16"/>
                <w:lang w:val="en-AU"/>
              </w:rPr>
              <w:t>-</w:t>
            </w:r>
          </w:p>
        </w:tc>
        <w:tc>
          <w:tcPr>
            <w:tcW w:w="1125" w:type="dxa"/>
            <w:tcBorders>
              <w:top w:val="nil"/>
              <w:left w:val="nil"/>
              <w:bottom w:val="nil"/>
              <w:right w:val="nil"/>
            </w:tcBorders>
            <w:shd w:val="clear" w:color="auto" w:fill="auto"/>
            <w:noWrap/>
            <w:vAlign w:val="center"/>
          </w:tcPr>
          <w:p w14:paraId="5688AC44" w14:textId="3DAB84F8" w:rsidR="00083563" w:rsidRPr="00B56FAA" w:rsidRDefault="00083563" w:rsidP="00784613">
            <w:pPr>
              <w:spacing w:before="0" w:after="0"/>
              <w:jc w:val="right"/>
              <w:rPr>
                <w:rFonts w:ascii="Arial" w:hAnsi="Arial"/>
                <w:color w:val="000000"/>
                <w:sz w:val="16"/>
                <w:szCs w:val="16"/>
                <w:lang w:val="en-AU"/>
              </w:rPr>
            </w:pPr>
            <w:r w:rsidRPr="00D1455F">
              <w:rPr>
                <w:rFonts w:ascii="Arial" w:hAnsi="Arial"/>
                <w:color w:val="000000"/>
                <w:sz w:val="16"/>
                <w:szCs w:val="16"/>
                <w:lang w:val="en-AU"/>
              </w:rPr>
              <w:t>-</w:t>
            </w:r>
          </w:p>
        </w:tc>
        <w:tc>
          <w:tcPr>
            <w:tcW w:w="1022" w:type="dxa"/>
            <w:tcBorders>
              <w:top w:val="nil"/>
              <w:left w:val="nil"/>
              <w:bottom w:val="nil"/>
              <w:right w:val="nil"/>
            </w:tcBorders>
            <w:shd w:val="clear" w:color="auto" w:fill="auto"/>
            <w:noWrap/>
            <w:vAlign w:val="center"/>
          </w:tcPr>
          <w:p w14:paraId="54458E69" w14:textId="330280CD" w:rsidR="00083563" w:rsidRPr="00B56FAA" w:rsidRDefault="00083563" w:rsidP="00784613">
            <w:pPr>
              <w:spacing w:before="0" w:after="0"/>
              <w:jc w:val="right"/>
              <w:rPr>
                <w:rFonts w:ascii="Arial" w:hAnsi="Arial"/>
                <w:color w:val="000000"/>
                <w:sz w:val="16"/>
                <w:szCs w:val="16"/>
                <w:lang w:val="en-AU"/>
              </w:rPr>
            </w:pPr>
            <w:r w:rsidRPr="00D1455F">
              <w:rPr>
                <w:rFonts w:ascii="Arial" w:hAnsi="Arial"/>
                <w:color w:val="000000"/>
                <w:sz w:val="16"/>
                <w:szCs w:val="16"/>
                <w:lang w:val="en-AU"/>
              </w:rPr>
              <w:t>78,174</w:t>
            </w:r>
          </w:p>
        </w:tc>
      </w:tr>
      <w:tr w:rsidR="00083563" w:rsidRPr="00B56FAA" w14:paraId="7C15E54E" w14:textId="77777777" w:rsidTr="002B2BCC">
        <w:trPr>
          <w:trHeight w:val="210"/>
        </w:trPr>
        <w:tc>
          <w:tcPr>
            <w:tcW w:w="3225" w:type="dxa"/>
            <w:tcBorders>
              <w:top w:val="nil"/>
              <w:left w:val="nil"/>
              <w:bottom w:val="nil"/>
              <w:right w:val="nil"/>
            </w:tcBorders>
            <w:shd w:val="clear" w:color="auto" w:fill="auto"/>
            <w:vAlign w:val="center"/>
            <w:hideMark/>
          </w:tcPr>
          <w:p w14:paraId="2A6A059B" w14:textId="77777777" w:rsidR="00083563" w:rsidRPr="002B2BCC" w:rsidRDefault="00083563" w:rsidP="00083563">
            <w:pPr>
              <w:spacing w:before="0" w:after="0"/>
              <w:rPr>
                <w:rFonts w:ascii="Arial" w:hAnsi="Arial"/>
                <w:b/>
                <w:bCs/>
                <w:i/>
                <w:iCs/>
                <w:color w:val="000000"/>
                <w:sz w:val="16"/>
                <w:szCs w:val="16"/>
                <w:lang w:val="en-AU"/>
              </w:rPr>
            </w:pPr>
            <w:r w:rsidRPr="002B2BCC">
              <w:rPr>
                <w:rFonts w:ascii="Arial" w:hAnsi="Arial"/>
                <w:b/>
                <w:bCs/>
                <w:i/>
                <w:iCs/>
                <w:color w:val="000000"/>
                <w:sz w:val="16"/>
                <w:szCs w:val="16"/>
                <w:lang w:val="en-AU"/>
              </w:rPr>
              <w:t>Total comprehensive income</w:t>
            </w:r>
          </w:p>
        </w:tc>
        <w:tc>
          <w:tcPr>
            <w:tcW w:w="1022" w:type="dxa"/>
            <w:tcBorders>
              <w:top w:val="single" w:sz="4" w:space="0" w:color="000000"/>
              <w:left w:val="nil"/>
              <w:bottom w:val="nil"/>
              <w:right w:val="nil"/>
            </w:tcBorders>
            <w:shd w:val="clear" w:color="auto" w:fill="auto"/>
            <w:noWrap/>
            <w:vAlign w:val="center"/>
          </w:tcPr>
          <w:p w14:paraId="4065DF61" w14:textId="2C295CAD" w:rsidR="00083563" w:rsidRPr="00B56FAA" w:rsidRDefault="00083563" w:rsidP="00784613">
            <w:pPr>
              <w:spacing w:before="0" w:after="0"/>
              <w:jc w:val="right"/>
              <w:rPr>
                <w:rFonts w:ascii="Arial" w:hAnsi="Arial"/>
                <w:b/>
                <w:bCs/>
                <w:i/>
                <w:iCs/>
                <w:color w:val="000000"/>
                <w:sz w:val="16"/>
                <w:szCs w:val="16"/>
                <w:lang w:val="en-AU"/>
              </w:rPr>
            </w:pPr>
            <w:r w:rsidRPr="00D1455F">
              <w:rPr>
                <w:rFonts w:ascii="Arial" w:hAnsi="Arial"/>
                <w:b/>
                <w:bCs/>
                <w:i/>
                <w:iCs/>
                <w:color w:val="000000"/>
                <w:sz w:val="16"/>
                <w:szCs w:val="16"/>
                <w:lang w:val="en-AU"/>
              </w:rPr>
              <w:t>78,174</w:t>
            </w:r>
          </w:p>
        </w:tc>
        <w:tc>
          <w:tcPr>
            <w:tcW w:w="1125" w:type="dxa"/>
            <w:tcBorders>
              <w:top w:val="single" w:sz="4" w:space="0" w:color="000000"/>
              <w:left w:val="nil"/>
              <w:bottom w:val="nil"/>
              <w:right w:val="nil"/>
            </w:tcBorders>
            <w:shd w:val="clear" w:color="auto" w:fill="auto"/>
            <w:noWrap/>
            <w:vAlign w:val="center"/>
          </w:tcPr>
          <w:p w14:paraId="1F375E70" w14:textId="718ED2EE" w:rsidR="00083563" w:rsidRPr="00B56FAA" w:rsidRDefault="00083563" w:rsidP="00784613">
            <w:pPr>
              <w:spacing w:before="0" w:after="0"/>
              <w:jc w:val="right"/>
              <w:rPr>
                <w:rFonts w:ascii="Arial" w:hAnsi="Arial"/>
                <w:b/>
                <w:bCs/>
                <w:i/>
                <w:iCs/>
                <w:color w:val="000000"/>
                <w:sz w:val="16"/>
                <w:szCs w:val="16"/>
                <w:lang w:val="en-AU"/>
              </w:rPr>
            </w:pPr>
            <w:r w:rsidRPr="00D1455F">
              <w:rPr>
                <w:rFonts w:ascii="Arial" w:hAnsi="Arial"/>
                <w:b/>
                <w:bCs/>
                <w:i/>
                <w:iCs/>
                <w:color w:val="000000"/>
                <w:sz w:val="16"/>
                <w:szCs w:val="16"/>
                <w:lang w:val="en-AU"/>
              </w:rPr>
              <w:t>-</w:t>
            </w:r>
          </w:p>
        </w:tc>
        <w:tc>
          <w:tcPr>
            <w:tcW w:w="1125" w:type="dxa"/>
            <w:tcBorders>
              <w:top w:val="single" w:sz="4" w:space="0" w:color="000000"/>
              <w:left w:val="nil"/>
              <w:bottom w:val="nil"/>
              <w:right w:val="nil"/>
            </w:tcBorders>
            <w:shd w:val="clear" w:color="auto" w:fill="auto"/>
            <w:noWrap/>
            <w:vAlign w:val="center"/>
          </w:tcPr>
          <w:p w14:paraId="2A2EAC21" w14:textId="2E5C9E5C" w:rsidR="00083563" w:rsidRPr="00B56FAA" w:rsidRDefault="00083563" w:rsidP="00784613">
            <w:pPr>
              <w:spacing w:before="0" w:after="0"/>
              <w:jc w:val="right"/>
              <w:rPr>
                <w:rFonts w:ascii="Arial" w:hAnsi="Arial"/>
                <w:b/>
                <w:bCs/>
                <w:i/>
                <w:iCs/>
                <w:color w:val="000000"/>
                <w:sz w:val="16"/>
                <w:szCs w:val="16"/>
                <w:lang w:val="en-AU"/>
              </w:rPr>
            </w:pPr>
            <w:r w:rsidRPr="00D1455F">
              <w:rPr>
                <w:rFonts w:ascii="Arial" w:hAnsi="Arial"/>
                <w:b/>
                <w:bCs/>
                <w:i/>
                <w:iCs/>
                <w:color w:val="000000"/>
                <w:sz w:val="16"/>
                <w:szCs w:val="16"/>
                <w:lang w:val="en-AU"/>
              </w:rPr>
              <w:t>-</w:t>
            </w:r>
          </w:p>
        </w:tc>
        <w:tc>
          <w:tcPr>
            <w:tcW w:w="1022" w:type="dxa"/>
            <w:tcBorders>
              <w:top w:val="single" w:sz="4" w:space="0" w:color="000000"/>
              <w:left w:val="nil"/>
              <w:bottom w:val="nil"/>
              <w:right w:val="nil"/>
            </w:tcBorders>
            <w:shd w:val="clear" w:color="auto" w:fill="auto"/>
            <w:noWrap/>
            <w:vAlign w:val="center"/>
          </w:tcPr>
          <w:p w14:paraId="5B8E45BA" w14:textId="79E16B9B" w:rsidR="00083563" w:rsidRPr="00B56FAA" w:rsidRDefault="00083563" w:rsidP="00784613">
            <w:pPr>
              <w:spacing w:before="0" w:after="0"/>
              <w:jc w:val="right"/>
              <w:rPr>
                <w:rFonts w:ascii="Arial" w:hAnsi="Arial"/>
                <w:b/>
                <w:bCs/>
                <w:i/>
                <w:iCs/>
                <w:color w:val="000000"/>
                <w:sz w:val="16"/>
                <w:szCs w:val="16"/>
                <w:lang w:val="en-AU"/>
              </w:rPr>
            </w:pPr>
            <w:r w:rsidRPr="00D1455F">
              <w:rPr>
                <w:rFonts w:ascii="Arial" w:hAnsi="Arial"/>
                <w:b/>
                <w:bCs/>
                <w:i/>
                <w:iCs/>
                <w:color w:val="000000"/>
                <w:sz w:val="16"/>
                <w:szCs w:val="16"/>
                <w:lang w:val="en-AU"/>
              </w:rPr>
              <w:t>78,174</w:t>
            </w:r>
          </w:p>
        </w:tc>
      </w:tr>
      <w:tr w:rsidR="007527E9" w:rsidRPr="00B56FAA" w14:paraId="76FCBB85" w14:textId="77777777" w:rsidTr="002B2BCC">
        <w:trPr>
          <w:trHeight w:val="237"/>
        </w:trPr>
        <w:tc>
          <w:tcPr>
            <w:tcW w:w="3225" w:type="dxa"/>
            <w:tcBorders>
              <w:top w:val="nil"/>
              <w:left w:val="nil"/>
              <w:bottom w:val="nil"/>
              <w:right w:val="nil"/>
            </w:tcBorders>
            <w:shd w:val="clear" w:color="auto" w:fill="auto"/>
            <w:noWrap/>
            <w:vAlign w:val="center"/>
            <w:hideMark/>
          </w:tcPr>
          <w:p w14:paraId="6F0AE163" w14:textId="77777777" w:rsidR="007527E9" w:rsidRPr="002B2BCC" w:rsidRDefault="007527E9" w:rsidP="007527E9">
            <w:pPr>
              <w:spacing w:before="0" w:after="0"/>
              <w:rPr>
                <w:rFonts w:ascii="Arial" w:hAnsi="Arial"/>
                <w:b/>
                <w:bCs/>
                <w:i/>
                <w:iCs/>
                <w:color w:val="000000"/>
                <w:sz w:val="16"/>
                <w:szCs w:val="16"/>
                <w:lang w:val="en-AU"/>
              </w:rPr>
            </w:pPr>
            <w:r w:rsidRPr="002B2BCC">
              <w:rPr>
                <w:rFonts w:ascii="Arial" w:hAnsi="Arial"/>
                <w:b/>
                <w:bCs/>
                <w:i/>
                <w:iCs/>
                <w:color w:val="000000"/>
                <w:sz w:val="16"/>
                <w:szCs w:val="16"/>
                <w:lang w:val="en-AU"/>
              </w:rPr>
              <w:t>Contributions by owners</w:t>
            </w:r>
          </w:p>
        </w:tc>
        <w:tc>
          <w:tcPr>
            <w:tcW w:w="1022" w:type="dxa"/>
            <w:tcBorders>
              <w:top w:val="nil"/>
              <w:left w:val="nil"/>
              <w:bottom w:val="single" w:sz="4" w:space="0" w:color="auto"/>
              <w:right w:val="nil"/>
            </w:tcBorders>
            <w:shd w:val="clear" w:color="auto" w:fill="auto"/>
            <w:noWrap/>
            <w:vAlign w:val="bottom"/>
          </w:tcPr>
          <w:p w14:paraId="0F757D24" w14:textId="77777777" w:rsidR="007527E9" w:rsidRPr="00B56FAA" w:rsidRDefault="007527E9" w:rsidP="007527E9">
            <w:pPr>
              <w:spacing w:before="0" w:after="0"/>
              <w:jc w:val="right"/>
              <w:rPr>
                <w:rFonts w:ascii="Arial" w:hAnsi="Arial"/>
                <w:b/>
                <w:bCs/>
                <w:i/>
                <w:iCs/>
                <w:color w:val="000000"/>
                <w:sz w:val="16"/>
                <w:szCs w:val="16"/>
                <w:lang w:val="en-AU"/>
              </w:rPr>
            </w:pPr>
          </w:p>
        </w:tc>
        <w:tc>
          <w:tcPr>
            <w:tcW w:w="1125" w:type="dxa"/>
            <w:tcBorders>
              <w:top w:val="nil"/>
              <w:left w:val="nil"/>
              <w:bottom w:val="single" w:sz="4" w:space="0" w:color="auto"/>
              <w:right w:val="nil"/>
            </w:tcBorders>
            <w:shd w:val="clear" w:color="auto" w:fill="auto"/>
            <w:noWrap/>
            <w:vAlign w:val="bottom"/>
          </w:tcPr>
          <w:p w14:paraId="294E9064" w14:textId="77777777" w:rsidR="007527E9" w:rsidRPr="00B56FAA" w:rsidRDefault="007527E9" w:rsidP="007527E9">
            <w:pPr>
              <w:spacing w:before="0" w:after="0"/>
              <w:jc w:val="right"/>
              <w:rPr>
                <w:rFonts w:ascii="Times New Roman" w:hAnsi="Times New Roman" w:cs="Times New Roman"/>
                <w:szCs w:val="20"/>
                <w:lang w:val="en-AU"/>
              </w:rPr>
            </w:pPr>
          </w:p>
        </w:tc>
        <w:tc>
          <w:tcPr>
            <w:tcW w:w="1125" w:type="dxa"/>
            <w:tcBorders>
              <w:top w:val="nil"/>
              <w:left w:val="nil"/>
              <w:bottom w:val="single" w:sz="4" w:space="0" w:color="auto"/>
              <w:right w:val="nil"/>
            </w:tcBorders>
            <w:shd w:val="clear" w:color="auto" w:fill="auto"/>
            <w:noWrap/>
            <w:vAlign w:val="bottom"/>
          </w:tcPr>
          <w:p w14:paraId="46061CA7" w14:textId="77777777" w:rsidR="007527E9" w:rsidRPr="00B56FAA" w:rsidRDefault="007527E9" w:rsidP="007527E9">
            <w:pPr>
              <w:spacing w:before="0" w:after="0"/>
              <w:jc w:val="right"/>
              <w:rPr>
                <w:rFonts w:ascii="Times New Roman" w:hAnsi="Times New Roman" w:cs="Times New Roman"/>
                <w:szCs w:val="20"/>
                <w:lang w:val="en-AU"/>
              </w:rPr>
            </w:pPr>
          </w:p>
        </w:tc>
        <w:tc>
          <w:tcPr>
            <w:tcW w:w="1022" w:type="dxa"/>
            <w:tcBorders>
              <w:top w:val="nil"/>
              <w:left w:val="nil"/>
              <w:bottom w:val="single" w:sz="4" w:space="0" w:color="auto"/>
              <w:right w:val="nil"/>
            </w:tcBorders>
            <w:shd w:val="clear" w:color="auto" w:fill="auto"/>
            <w:noWrap/>
            <w:vAlign w:val="bottom"/>
          </w:tcPr>
          <w:p w14:paraId="738601B7" w14:textId="77777777" w:rsidR="007527E9" w:rsidRPr="00B56FAA" w:rsidRDefault="007527E9" w:rsidP="007527E9">
            <w:pPr>
              <w:spacing w:before="0" w:after="0"/>
              <w:jc w:val="right"/>
              <w:rPr>
                <w:rFonts w:ascii="Times New Roman" w:hAnsi="Times New Roman" w:cs="Times New Roman"/>
                <w:szCs w:val="20"/>
                <w:lang w:val="en-AU"/>
              </w:rPr>
            </w:pPr>
          </w:p>
        </w:tc>
      </w:tr>
      <w:tr w:rsidR="00083563" w:rsidRPr="00B56FAA" w14:paraId="23678168" w14:textId="77777777" w:rsidTr="002B2BCC">
        <w:trPr>
          <w:trHeight w:val="237"/>
        </w:trPr>
        <w:tc>
          <w:tcPr>
            <w:tcW w:w="3225" w:type="dxa"/>
            <w:tcBorders>
              <w:top w:val="nil"/>
              <w:left w:val="nil"/>
              <w:bottom w:val="nil"/>
              <w:right w:val="nil"/>
            </w:tcBorders>
            <w:shd w:val="clear" w:color="auto" w:fill="auto"/>
            <w:noWrap/>
            <w:vAlign w:val="center"/>
            <w:hideMark/>
          </w:tcPr>
          <w:p w14:paraId="58B2C8D6" w14:textId="77777777" w:rsidR="00083563" w:rsidRPr="002B2BCC" w:rsidRDefault="00083563" w:rsidP="00083563">
            <w:pPr>
              <w:spacing w:before="0" w:after="0"/>
              <w:ind w:firstLineChars="200" w:firstLine="320"/>
              <w:rPr>
                <w:rFonts w:ascii="Arial" w:hAnsi="Arial"/>
                <w:color w:val="000000"/>
                <w:sz w:val="16"/>
                <w:szCs w:val="16"/>
                <w:lang w:val="en-AU"/>
              </w:rPr>
            </w:pPr>
            <w:r w:rsidRPr="002B2BCC">
              <w:rPr>
                <w:rFonts w:ascii="Arial" w:hAnsi="Arial"/>
                <w:color w:val="000000"/>
                <w:sz w:val="16"/>
                <w:szCs w:val="16"/>
                <w:lang w:val="en-AU"/>
              </w:rPr>
              <w:t>Other</w:t>
            </w:r>
          </w:p>
        </w:tc>
        <w:tc>
          <w:tcPr>
            <w:tcW w:w="1022" w:type="dxa"/>
            <w:tcBorders>
              <w:top w:val="nil"/>
              <w:left w:val="nil"/>
              <w:bottom w:val="nil"/>
              <w:right w:val="nil"/>
            </w:tcBorders>
            <w:shd w:val="clear" w:color="auto" w:fill="auto"/>
            <w:noWrap/>
            <w:vAlign w:val="center"/>
          </w:tcPr>
          <w:p w14:paraId="5DCFACC1" w14:textId="1746636E" w:rsidR="00083563" w:rsidRPr="00B56FAA" w:rsidRDefault="00083563" w:rsidP="00784613">
            <w:pPr>
              <w:spacing w:before="0" w:after="0"/>
              <w:jc w:val="right"/>
              <w:rPr>
                <w:rFonts w:ascii="Arial" w:hAnsi="Arial"/>
                <w:color w:val="000000"/>
                <w:sz w:val="16"/>
                <w:szCs w:val="16"/>
                <w:lang w:val="en-AU"/>
              </w:rPr>
            </w:pPr>
            <w:r w:rsidRPr="00D1455F">
              <w:rPr>
                <w:rFonts w:ascii="Arial" w:hAnsi="Arial"/>
                <w:color w:val="000000"/>
                <w:sz w:val="16"/>
                <w:szCs w:val="16"/>
                <w:lang w:val="en-AU"/>
              </w:rPr>
              <w:t>-</w:t>
            </w:r>
          </w:p>
        </w:tc>
        <w:tc>
          <w:tcPr>
            <w:tcW w:w="1125" w:type="dxa"/>
            <w:tcBorders>
              <w:top w:val="nil"/>
              <w:left w:val="nil"/>
              <w:bottom w:val="nil"/>
              <w:right w:val="nil"/>
            </w:tcBorders>
            <w:shd w:val="clear" w:color="auto" w:fill="auto"/>
            <w:noWrap/>
            <w:vAlign w:val="center"/>
          </w:tcPr>
          <w:p w14:paraId="0323615A" w14:textId="5A6D05E8" w:rsidR="00083563" w:rsidRPr="00B56FAA" w:rsidRDefault="00083563" w:rsidP="00784613">
            <w:pPr>
              <w:spacing w:before="0" w:after="0"/>
              <w:jc w:val="right"/>
              <w:rPr>
                <w:rFonts w:ascii="Arial" w:hAnsi="Arial"/>
                <w:color w:val="000000"/>
                <w:sz w:val="16"/>
                <w:szCs w:val="16"/>
                <w:lang w:val="en-AU"/>
              </w:rPr>
            </w:pPr>
            <w:r w:rsidRPr="00D1455F">
              <w:rPr>
                <w:rFonts w:ascii="Arial" w:hAnsi="Arial"/>
                <w:color w:val="000000"/>
                <w:sz w:val="16"/>
                <w:szCs w:val="16"/>
                <w:lang w:val="en-AU"/>
              </w:rPr>
              <w:t>128,214</w:t>
            </w:r>
          </w:p>
        </w:tc>
        <w:tc>
          <w:tcPr>
            <w:tcW w:w="1125" w:type="dxa"/>
            <w:tcBorders>
              <w:top w:val="nil"/>
              <w:left w:val="nil"/>
              <w:bottom w:val="nil"/>
              <w:right w:val="nil"/>
            </w:tcBorders>
            <w:shd w:val="clear" w:color="auto" w:fill="auto"/>
            <w:noWrap/>
            <w:vAlign w:val="center"/>
          </w:tcPr>
          <w:p w14:paraId="7F5A691F" w14:textId="7AC4E41F" w:rsidR="00083563" w:rsidRPr="00B56FAA" w:rsidRDefault="00083563" w:rsidP="00784613">
            <w:pPr>
              <w:spacing w:before="0" w:after="0"/>
              <w:jc w:val="right"/>
              <w:rPr>
                <w:rFonts w:ascii="Arial" w:hAnsi="Arial"/>
                <w:color w:val="000000"/>
                <w:sz w:val="16"/>
                <w:szCs w:val="16"/>
                <w:lang w:val="en-AU"/>
              </w:rPr>
            </w:pPr>
            <w:r w:rsidRPr="00D1455F">
              <w:rPr>
                <w:rFonts w:ascii="Arial" w:hAnsi="Arial"/>
                <w:color w:val="000000"/>
                <w:sz w:val="16"/>
                <w:szCs w:val="16"/>
                <w:lang w:val="en-AU"/>
              </w:rPr>
              <w:t>-</w:t>
            </w:r>
          </w:p>
        </w:tc>
        <w:tc>
          <w:tcPr>
            <w:tcW w:w="1022" w:type="dxa"/>
            <w:tcBorders>
              <w:top w:val="nil"/>
              <w:left w:val="nil"/>
              <w:bottom w:val="nil"/>
              <w:right w:val="nil"/>
            </w:tcBorders>
            <w:shd w:val="clear" w:color="auto" w:fill="auto"/>
            <w:noWrap/>
            <w:vAlign w:val="center"/>
          </w:tcPr>
          <w:p w14:paraId="4A7FC9A4" w14:textId="2635E5C2" w:rsidR="00083563" w:rsidRPr="00B56FAA" w:rsidRDefault="00083563" w:rsidP="00784613">
            <w:pPr>
              <w:spacing w:before="0" w:after="0"/>
              <w:jc w:val="right"/>
              <w:rPr>
                <w:rFonts w:ascii="Arial" w:hAnsi="Arial"/>
                <w:color w:val="000000"/>
                <w:sz w:val="16"/>
                <w:szCs w:val="16"/>
                <w:lang w:val="en-AU"/>
              </w:rPr>
            </w:pPr>
            <w:r w:rsidRPr="00D1455F">
              <w:rPr>
                <w:rFonts w:ascii="Arial" w:hAnsi="Arial"/>
                <w:color w:val="000000"/>
                <w:sz w:val="16"/>
                <w:szCs w:val="16"/>
                <w:lang w:val="en-AU"/>
              </w:rPr>
              <w:t>128,214</w:t>
            </w:r>
          </w:p>
        </w:tc>
      </w:tr>
      <w:tr w:rsidR="00083563" w:rsidRPr="00B56FAA" w14:paraId="0BB14397" w14:textId="77777777" w:rsidTr="002B2BCC">
        <w:trPr>
          <w:trHeight w:val="420"/>
        </w:trPr>
        <w:tc>
          <w:tcPr>
            <w:tcW w:w="3225" w:type="dxa"/>
            <w:tcBorders>
              <w:top w:val="nil"/>
              <w:left w:val="nil"/>
              <w:bottom w:val="nil"/>
              <w:right w:val="nil"/>
            </w:tcBorders>
            <w:shd w:val="clear" w:color="auto" w:fill="auto"/>
            <w:vAlign w:val="center"/>
            <w:hideMark/>
          </w:tcPr>
          <w:p w14:paraId="54DC2AAD" w14:textId="77777777" w:rsidR="00083563" w:rsidRPr="002B2BCC" w:rsidRDefault="00083563" w:rsidP="00083563">
            <w:pPr>
              <w:spacing w:before="0" w:after="0"/>
              <w:rPr>
                <w:rFonts w:ascii="Arial" w:hAnsi="Arial"/>
                <w:b/>
                <w:bCs/>
                <w:i/>
                <w:iCs/>
                <w:color w:val="000000"/>
                <w:sz w:val="16"/>
                <w:szCs w:val="16"/>
                <w:lang w:val="en-AU"/>
              </w:rPr>
            </w:pPr>
            <w:r w:rsidRPr="002B2BCC">
              <w:rPr>
                <w:rFonts w:ascii="Arial" w:hAnsi="Arial"/>
                <w:b/>
                <w:bCs/>
                <w:i/>
                <w:iCs/>
                <w:color w:val="000000"/>
                <w:sz w:val="16"/>
                <w:szCs w:val="16"/>
                <w:lang w:val="en-AU"/>
              </w:rPr>
              <w:t>Sub-total transactions with</w:t>
            </w:r>
            <w:r w:rsidRPr="002B2BCC">
              <w:rPr>
                <w:rFonts w:ascii="Arial" w:hAnsi="Arial"/>
                <w:b/>
                <w:bCs/>
                <w:i/>
                <w:iCs/>
                <w:color w:val="000000"/>
                <w:sz w:val="16"/>
                <w:szCs w:val="16"/>
                <w:lang w:val="en-AU"/>
              </w:rPr>
              <w:br/>
              <w:t xml:space="preserve">  owners</w:t>
            </w:r>
          </w:p>
        </w:tc>
        <w:tc>
          <w:tcPr>
            <w:tcW w:w="1022" w:type="dxa"/>
            <w:tcBorders>
              <w:top w:val="single" w:sz="4" w:space="0" w:color="000000"/>
              <w:left w:val="nil"/>
              <w:bottom w:val="single" w:sz="4" w:space="0" w:color="000000"/>
              <w:right w:val="nil"/>
            </w:tcBorders>
            <w:shd w:val="clear" w:color="auto" w:fill="auto"/>
            <w:noWrap/>
            <w:vAlign w:val="bottom"/>
          </w:tcPr>
          <w:p w14:paraId="1D5E1C05" w14:textId="70371025" w:rsidR="00083563" w:rsidRPr="00B56FAA" w:rsidRDefault="00083563" w:rsidP="00784613">
            <w:pPr>
              <w:spacing w:before="0" w:after="0"/>
              <w:jc w:val="right"/>
              <w:rPr>
                <w:rFonts w:ascii="Arial" w:hAnsi="Arial"/>
                <w:b/>
                <w:bCs/>
                <w:i/>
                <w:iCs/>
                <w:color w:val="000000"/>
                <w:sz w:val="16"/>
                <w:szCs w:val="16"/>
                <w:lang w:val="en-AU"/>
              </w:rPr>
            </w:pPr>
            <w:r w:rsidRPr="00D1455F">
              <w:rPr>
                <w:rFonts w:ascii="Arial" w:hAnsi="Arial"/>
                <w:b/>
                <w:bCs/>
                <w:i/>
                <w:iCs/>
                <w:color w:val="000000"/>
                <w:sz w:val="16"/>
                <w:szCs w:val="16"/>
                <w:lang w:val="en-AU"/>
              </w:rPr>
              <w:t>-</w:t>
            </w:r>
          </w:p>
        </w:tc>
        <w:tc>
          <w:tcPr>
            <w:tcW w:w="1125" w:type="dxa"/>
            <w:tcBorders>
              <w:top w:val="single" w:sz="4" w:space="0" w:color="000000"/>
              <w:left w:val="nil"/>
              <w:bottom w:val="single" w:sz="4" w:space="0" w:color="000000"/>
              <w:right w:val="nil"/>
            </w:tcBorders>
            <w:shd w:val="clear" w:color="auto" w:fill="auto"/>
            <w:noWrap/>
            <w:vAlign w:val="bottom"/>
          </w:tcPr>
          <w:p w14:paraId="3E65B83E" w14:textId="22D11CC7" w:rsidR="00083563" w:rsidRPr="00B56FAA" w:rsidRDefault="00083563" w:rsidP="00784613">
            <w:pPr>
              <w:spacing w:before="0" w:after="0"/>
              <w:jc w:val="right"/>
              <w:rPr>
                <w:rFonts w:ascii="Arial" w:hAnsi="Arial"/>
                <w:b/>
                <w:bCs/>
                <w:i/>
                <w:iCs/>
                <w:color w:val="000000"/>
                <w:sz w:val="16"/>
                <w:szCs w:val="16"/>
                <w:lang w:val="en-AU"/>
              </w:rPr>
            </w:pPr>
            <w:r w:rsidRPr="00D1455F">
              <w:rPr>
                <w:rFonts w:ascii="Arial" w:hAnsi="Arial"/>
                <w:b/>
                <w:bCs/>
                <w:i/>
                <w:iCs/>
                <w:color w:val="000000"/>
                <w:sz w:val="16"/>
                <w:szCs w:val="16"/>
                <w:lang w:val="en-AU"/>
              </w:rPr>
              <w:t>128,214</w:t>
            </w:r>
          </w:p>
        </w:tc>
        <w:tc>
          <w:tcPr>
            <w:tcW w:w="1125" w:type="dxa"/>
            <w:tcBorders>
              <w:top w:val="single" w:sz="4" w:space="0" w:color="000000"/>
              <w:left w:val="nil"/>
              <w:bottom w:val="single" w:sz="4" w:space="0" w:color="000000"/>
              <w:right w:val="nil"/>
            </w:tcBorders>
            <w:shd w:val="clear" w:color="auto" w:fill="auto"/>
            <w:noWrap/>
            <w:vAlign w:val="bottom"/>
          </w:tcPr>
          <w:p w14:paraId="5F5A06DA" w14:textId="2C0B16C2" w:rsidR="00083563" w:rsidRPr="00B56FAA" w:rsidRDefault="00083563" w:rsidP="00784613">
            <w:pPr>
              <w:spacing w:before="0" w:after="0"/>
              <w:jc w:val="right"/>
              <w:rPr>
                <w:rFonts w:ascii="Arial" w:hAnsi="Arial"/>
                <w:b/>
                <w:bCs/>
                <w:i/>
                <w:iCs/>
                <w:color w:val="000000"/>
                <w:sz w:val="16"/>
                <w:szCs w:val="16"/>
                <w:lang w:val="en-AU"/>
              </w:rPr>
            </w:pPr>
            <w:r w:rsidRPr="00D1455F">
              <w:rPr>
                <w:rFonts w:ascii="Arial" w:hAnsi="Arial"/>
                <w:b/>
                <w:bCs/>
                <w:i/>
                <w:iCs/>
                <w:color w:val="000000"/>
                <w:sz w:val="16"/>
                <w:szCs w:val="16"/>
                <w:lang w:val="en-AU"/>
              </w:rPr>
              <w:t>-</w:t>
            </w:r>
          </w:p>
        </w:tc>
        <w:tc>
          <w:tcPr>
            <w:tcW w:w="1022" w:type="dxa"/>
            <w:tcBorders>
              <w:top w:val="single" w:sz="4" w:space="0" w:color="000000"/>
              <w:left w:val="nil"/>
              <w:bottom w:val="single" w:sz="4" w:space="0" w:color="000000"/>
              <w:right w:val="nil"/>
            </w:tcBorders>
            <w:shd w:val="clear" w:color="auto" w:fill="auto"/>
            <w:noWrap/>
            <w:vAlign w:val="bottom"/>
          </w:tcPr>
          <w:p w14:paraId="1BC5BB5B" w14:textId="099C1E59" w:rsidR="00083563" w:rsidRPr="00B56FAA" w:rsidRDefault="00083563" w:rsidP="00784613">
            <w:pPr>
              <w:spacing w:before="0" w:after="0"/>
              <w:jc w:val="right"/>
              <w:rPr>
                <w:rFonts w:ascii="Arial" w:hAnsi="Arial"/>
                <w:b/>
                <w:bCs/>
                <w:i/>
                <w:iCs/>
                <w:color w:val="000000"/>
                <w:sz w:val="16"/>
                <w:szCs w:val="16"/>
                <w:lang w:val="en-AU"/>
              </w:rPr>
            </w:pPr>
            <w:r w:rsidRPr="00D1455F">
              <w:rPr>
                <w:rFonts w:ascii="Arial" w:hAnsi="Arial"/>
                <w:b/>
                <w:bCs/>
                <w:i/>
                <w:iCs/>
                <w:color w:val="000000"/>
                <w:sz w:val="16"/>
                <w:szCs w:val="16"/>
                <w:lang w:val="en-AU"/>
              </w:rPr>
              <w:t>128,214</w:t>
            </w:r>
          </w:p>
        </w:tc>
      </w:tr>
      <w:tr w:rsidR="00083563" w:rsidRPr="00B56FAA" w14:paraId="24B67E7B" w14:textId="77777777" w:rsidTr="002B2BCC">
        <w:trPr>
          <w:trHeight w:val="450"/>
        </w:trPr>
        <w:tc>
          <w:tcPr>
            <w:tcW w:w="3225" w:type="dxa"/>
            <w:tcBorders>
              <w:top w:val="nil"/>
              <w:left w:val="nil"/>
              <w:bottom w:val="nil"/>
              <w:right w:val="nil"/>
            </w:tcBorders>
            <w:shd w:val="clear" w:color="auto" w:fill="auto"/>
            <w:vAlign w:val="center"/>
            <w:hideMark/>
          </w:tcPr>
          <w:p w14:paraId="2A7AADCE" w14:textId="13405E35" w:rsidR="00083563" w:rsidRPr="002B2BCC" w:rsidRDefault="00083563" w:rsidP="00083563">
            <w:pPr>
              <w:spacing w:before="0" w:after="0"/>
              <w:rPr>
                <w:rFonts w:ascii="Arial" w:hAnsi="Arial"/>
                <w:b/>
                <w:bCs/>
                <w:color w:val="000000"/>
                <w:sz w:val="16"/>
                <w:szCs w:val="16"/>
                <w:lang w:val="en-AU"/>
              </w:rPr>
            </w:pPr>
            <w:r w:rsidRPr="002B2BCC">
              <w:rPr>
                <w:rFonts w:ascii="Arial" w:hAnsi="Arial"/>
                <w:b/>
                <w:bCs/>
                <w:color w:val="000000"/>
                <w:sz w:val="16"/>
                <w:szCs w:val="16"/>
                <w:lang w:val="en-AU"/>
              </w:rPr>
              <w:t>Estimated cl</w:t>
            </w:r>
            <w:r>
              <w:rPr>
                <w:rFonts w:ascii="Arial" w:hAnsi="Arial"/>
                <w:b/>
                <w:bCs/>
                <w:color w:val="000000"/>
                <w:sz w:val="16"/>
                <w:szCs w:val="16"/>
                <w:lang w:val="en-AU"/>
              </w:rPr>
              <w:t>osing balance as at</w:t>
            </w:r>
            <w:r>
              <w:rPr>
                <w:rFonts w:ascii="Arial" w:hAnsi="Arial"/>
                <w:b/>
                <w:bCs/>
                <w:color w:val="000000"/>
                <w:sz w:val="16"/>
                <w:szCs w:val="16"/>
                <w:lang w:val="en-AU"/>
              </w:rPr>
              <w:br/>
              <w:t>30 June 2026</w:t>
            </w:r>
          </w:p>
        </w:tc>
        <w:tc>
          <w:tcPr>
            <w:tcW w:w="1022" w:type="dxa"/>
            <w:tcBorders>
              <w:top w:val="single" w:sz="4" w:space="0" w:color="auto"/>
              <w:left w:val="nil"/>
              <w:bottom w:val="single" w:sz="4" w:space="0" w:color="auto"/>
              <w:right w:val="nil"/>
            </w:tcBorders>
            <w:shd w:val="clear" w:color="auto" w:fill="auto"/>
            <w:noWrap/>
            <w:vAlign w:val="bottom"/>
          </w:tcPr>
          <w:p w14:paraId="3F6A8949" w14:textId="7475B4B7" w:rsidR="00083563" w:rsidRPr="00B56FAA" w:rsidRDefault="00083563" w:rsidP="00784613">
            <w:pPr>
              <w:spacing w:before="0" w:after="0"/>
              <w:jc w:val="right"/>
              <w:rPr>
                <w:rFonts w:ascii="Arial" w:hAnsi="Arial"/>
                <w:b/>
                <w:bCs/>
                <w:color w:val="000000"/>
                <w:sz w:val="16"/>
                <w:szCs w:val="16"/>
                <w:lang w:val="en-AU"/>
              </w:rPr>
            </w:pPr>
            <w:r w:rsidRPr="00D1455F">
              <w:rPr>
                <w:rFonts w:ascii="Arial" w:hAnsi="Arial"/>
                <w:b/>
                <w:bCs/>
                <w:color w:val="000000"/>
                <w:sz w:val="16"/>
                <w:szCs w:val="16"/>
                <w:lang w:val="en-AU"/>
              </w:rPr>
              <w:t>213,714</w:t>
            </w:r>
          </w:p>
        </w:tc>
        <w:tc>
          <w:tcPr>
            <w:tcW w:w="1125" w:type="dxa"/>
            <w:tcBorders>
              <w:top w:val="single" w:sz="4" w:space="0" w:color="auto"/>
              <w:left w:val="nil"/>
              <w:bottom w:val="single" w:sz="4" w:space="0" w:color="auto"/>
              <w:right w:val="nil"/>
            </w:tcBorders>
            <w:shd w:val="clear" w:color="auto" w:fill="auto"/>
            <w:noWrap/>
            <w:vAlign w:val="bottom"/>
          </w:tcPr>
          <w:p w14:paraId="75217A00" w14:textId="64E1BB4D" w:rsidR="00083563" w:rsidRPr="00B56FAA" w:rsidRDefault="00083563" w:rsidP="00784613">
            <w:pPr>
              <w:spacing w:before="0" w:after="0"/>
              <w:jc w:val="right"/>
              <w:rPr>
                <w:rFonts w:ascii="Arial" w:hAnsi="Arial"/>
                <w:b/>
                <w:bCs/>
                <w:color w:val="000000"/>
                <w:sz w:val="16"/>
                <w:szCs w:val="16"/>
                <w:lang w:val="en-AU"/>
              </w:rPr>
            </w:pPr>
            <w:r w:rsidRPr="00D1455F">
              <w:rPr>
                <w:rFonts w:ascii="Arial" w:hAnsi="Arial"/>
                <w:b/>
                <w:bCs/>
                <w:color w:val="000000"/>
                <w:sz w:val="16"/>
                <w:szCs w:val="16"/>
                <w:lang w:val="en-AU"/>
              </w:rPr>
              <w:t>3,387,749</w:t>
            </w:r>
          </w:p>
        </w:tc>
        <w:tc>
          <w:tcPr>
            <w:tcW w:w="1125" w:type="dxa"/>
            <w:tcBorders>
              <w:top w:val="single" w:sz="4" w:space="0" w:color="auto"/>
              <w:left w:val="nil"/>
              <w:bottom w:val="single" w:sz="4" w:space="0" w:color="auto"/>
              <w:right w:val="nil"/>
            </w:tcBorders>
            <w:shd w:val="clear" w:color="auto" w:fill="auto"/>
            <w:noWrap/>
            <w:vAlign w:val="bottom"/>
          </w:tcPr>
          <w:p w14:paraId="205252F4" w14:textId="5CD46079" w:rsidR="00083563" w:rsidRPr="00B56FAA" w:rsidRDefault="00083563" w:rsidP="00784613">
            <w:pPr>
              <w:spacing w:before="0" w:after="0"/>
              <w:jc w:val="right"/>
              <w:rPr>
                <w:rFonts w:ascii="Arial" w:hAnsi="Arial"/>
                <w:b/>
                <w:bCs/>
                <w:color w:val="000000"/>
                <w:sz w:val="16"/>
                <w:szCs w:val="16"/>
                <w:lang w:val="en-AU"/>
              </w:rPr>
            </w:pPr>
            <w:r w:rsidRPr="00D1455F">
              <w:rPr>
                <w:rFonts w:ascii="Arial" w:hAnsi="Arial"/>
                <w:b/>
                <w:bCs/>
                <w:color w:val="000000"/>
                <w:sz w:val="16"/>
                <w:szCs w:val="16"/>
                <w:lang w:val="en-AU"/>
              </w:rPr>
              <w:t>396,148</w:t>
            </w:r>
          </w:p>
        </w:tc>
        <w:tc>
          <w:tcPr>
            <w:tcW w:w="1022" w:type="dxa"/>
            <w:tcBorders>
              <w:top w:val="single" w:sz="4" w:space="0" w:color="auto"/>
              <w:left w:val="nil"/>
              <w:bottom w:val="single" w:sz="4" w:space="0" w:color="auto"/>
              <w:right w:val="nil"/>
            </w:tcBorders>
            <w:shd w:val="clear" w:color="auto" w:fill="auto"/>
            <w:noWrap/>
            <w:vAlign w:val="bottom"/>
          </w:tcPr>
          <w:p w14:paraId="11452559" w14:textId="75760C6A" w:rsidR="00083563" w:rsidRPr="00B56FAA" w:rsidRDefault="00083563" w:rsidP="00784613">
            <w:pPr>
              <w:spacing w:before="0" w:after="0"/>
              <w:jc w:val="right"/>
              <w:rPr>
                <w:rFonts w:ascii="Arial" w:hAnsi="Arial"/>
                <w:b/>
                <w:bCs/>
                <w:color w:val="000000"/>
                <w:sz w:val="16"/>
                <w:szCs w:val="16"/>
                <w:lang w:val="en-AU"/>
              </w:rPr>
            </w:pPr>
            <w:r w:rsidRPr="00D1455F">
              <w:rPr>
                <w:rFonts w:ascii="Arial" w:hAnsi="Arial"/>
                <w:b/>
                <w:bCs/>
                <w:color w:val="000000"/>
                <w:sz w:val="16"/>
                <w:szCs w:val="16"/>
                <w:lang w:val="en-AU"/>
              </w:rPr>
              <w:t>3,997,611</w:t>
            </w:r>
          </w:p>
        </w:tc>
      </w:tr>
      <w:tr w:rsidR="00083563" w:rsidRPr="00B56FAA" w14:paraId="55F0FE1A" w14:textId="77777777" w:rsidTr="002B2BCC">
        <w:trPr>
          <w:trHeight w:val="450"/>
        </w:trPr>
        <w:tc>
          <w:tcPr>
            <w:tcW w:w="3225" w:type="dxa"/>
            <w:tcBorders>
              <w:top w:val="nil"/>
              <w:left w:val="nil"/>
              <w:bottom w:val="single" w:sz="4" w:space="0" w:color="000000"/>
              <w:right w:val="nil"/>
            </w:tcBorders>
            <w:shd w:val="clear" w:color="auto" w:fill="auto"/>
            <w:vAlign w:val="center"/>
            <w:hideMark/>
          </w:tcPr>
          <w:p w14:paraId="081F028A" w14:textId="77777777" w:rsidR="00083563" w:rsidRPr="002B2BCC" w:rsidRDefault="00083563" w:rsidP="00083563">
            <w:pPr>
              <w:spacing w:before="0" w:after="0"/>
              <w:rPr>
                <w:rFonts w:ascii="Arial" w:hAnsi="Arial"/>
                <w:b/>
                <w:bCs/>
                <w:color w:val="000000"/>
                <w:sz w:val="16"/>
                <w:szCs w:val="16"/>
                <w:lang w:val="en-AU"/>
              </w:rPr>
            </w:pPr>
            <w:r w:rsidRPr="002B2BCC">
              <w:rPr>
                <w:rFonts w:ascii="Arial" w:hAnsi="Arial"/>
                <w:b/>
                <w:bCs/>
                <w:color w:val="000000"/>
                <w:sz w:val="16"/>
                <w:szCs w:val="16"/>
                <w:lang w:val="en-AU"/>
              </w:rPr>
              <w:t>Closing balance attributable to</w:t>
            </w:r>
            <w:r w:rsidRPr="002B2BCC">
              <w:rPr>
                <w:rFonts w:ascii="Arial" w:hAnsi="Arial"/>
                <w:b/>
                <w:bCs/>
                <w:color w:val="000000"/>
                <w:sz w:val="16"/>
                <w:szCs w:val="16"/>
                <w:lang w:val="en-AU"/>
              </w:rPr>
              <w:br/>
              <w:t>the Australian Government</w:t>
            </w:r>
          </w:p>
        </w:tc>
        <w:tc>
          <w:tcPr>
            <w:tcW w:w="1022" w:type="dxa"/>
            <w:tcBorders>
              <w:top w:val="nil"/>
              <w:left w:val="nil"/>
              <w:bottom w:val="single" w:sz="4" w:space="0" w:color="auto"/>
              <w:right w:val="nil"/>
            </w:tcBorders>
            <w:shd w:val="clear" w:color="auto" w:fill="auto"/>
            <w:noWrap/>
            <w:vAlign w:val="bottom"/>
          </w:tcPr>
          <w:p w14:paraId="28B1110C" w14:textId="2941484D" w:rsidR="00083563" w:rsidRPr="00B56FAA" w:rsidRDefault="00083563" w:rsidP="00784613">
            <w:pPr>
              <w:spacing w:before="0" w:after="0"/>
              <w:jc w:val="right"/>
              <w:rPr>
                <w:rFonts w:ascii="Arial" w:hAnsi="Arial"/>
                <w:b/>
                <w:bCs/>
                <w:color w:val="000000"/>
                <w:sz w:val="16"/>
                <w:szCs w:val="16"/>
                <w:lang w:val="en-AU"/>
              </w:rPr>
            </w:pPr>
            <w:r w:rsidRPr="00D1455F">
              <w:rPr>
                <w:rFonts w:ascii="Arial" w:hAnsi="Arial"/>
                <w:b/>
                <w:bCs/>
                <w:color w:val="000000"/>
                <w:sz w:val="16"/>
                <w:szCs w:val="16"/>
                <w:lang w:val="en-AU"/>
              </w:rPr>
              <w:t>213,714</w:t>
            </w:r>
          </w:p>
        </w:tc>
        <w:tc>
          <w:tcPr>
            <w:tcW w:w="1125" w:type="dxa"/>
            <w:tcBorders>
              <w:top w:val="nil"/>
              <w:left w:val="nil"/>
              <w:bottom w:val="single" w:sz="4" w:space="0" w:color="auto"/>
              <w:right w:val="nil"/>
            </w:tcBorders>
            <w:shd w:val="clear" w:color="auto" w:fill="auto"/>
            <w:noWrap/>
            <w:vAlign w:val="bottom"/>
          </w:tcPr>
          <w:p w14:paraId="2BE7B395" w14:textId="44A3964D" w:rsidR="00083563" w:rsidRPr="00B56FAA" w:rsidRDefault="00083563" w:rsidP="00784613">
            <w:pPr>
              <w:spacing w:before="0" w:after="0"/>
              <w:jc w:val="right"/>
              <w:rPr>
                <w:rFonts w:ascii="Arial" w:hAnsi="Arial"/>
                <w:b/>
                <w:bCs/>
                <w:color w:val="000000"/>
                <w:sz w:val="16"/>
                <w:szCs w:val="16"/>
                <w:lang w:val="en-AU"/>
              </w:rPr>
            </w:pPr>
            <w:r w:rsidRPr="00D1455F">
              <w:rPr>
                <w:rFonts w:ascii="Arial" w:hAnsi="Arial"/>
                <w:b/>
                <w:bCs/>
                <w:color w:val="000000"/>
                <w:sz w:val="16"/>
                <w:szCs w:val="16"/>
                <w:lang w:val="en-AU"/>
              </w:rPr>
              <w:t>3,387,749</w:t>
            </w:r>
          </w:p>
        </w:tc>
        <w:tc>
          <w:tcPr>
            <w:tcW w:w="1125" w:type="dxa"/>
            <w:tcBorders>
              <w:top w:val="nil"/>
              <w:left w:val="nil"/>
              <w:bottom w:val="single" w:sz="4" w:space="0" w:color="auto"/>
              <w:right w:val="nil"/>
            </w:tcBorders>
            <w:shd w:val="clear" w:color="auto" w:fill="auto"/>
            <w:noWrap/>
            <w:vAlign w:val="bottom"/>
          </w:tcPr>
          <w:p w14:paraId="72E113C6" w14:textId="47CF315E" w:rsidR="00083563" w:rsidRPr="00B56FAA" w:rsidRDefault="00083563" w:rsidP="00784613">
            <w:pPr>
              <w:spacing w:before="0" w:after="0"/>
              <w:jc w:val="right"/>
              <w:rPr>
                <w:rFonts w:ascii="Arial" w:hAnsi="Arial"/>
                <w:b/>
                <w:bCs/>
                <w:color w:val="000000"/>
                <w:sz w:val="16"/>
                <w:szCs w:val="16"/>
                <w:lang w:val="en-AU"/>
              </w:rPr>
            </w:pPr>
            <w:r w:rsidRPr="00D1455F">
              <w:rPr>
                <w:rFonts w:ascii="Arial" w:hAnsi="Arial"/>
                <w:b/>
                <w:bCs/>
                <w:color w:val="000000"/>
                <w:sz w:val="16"/>
                <w:szCs w:val="16"/>
                <w:lang w:val="en-AU"/>
              </w:rPr>
              <w:t>396,148</w:t>
            </w:r>
          </w:p>
        </w:tc>
        <w:tc>
          <w:tcPr>
            <w:tcW w:w="1022" w:type="dxa"/>
            <w:tcBorders>
              <w:top w:val="nil"/>
              <w:left w:val="nil"/>
              <w:bottom w:val="single" w:sz="4" w:space="0" w:color="auto"/>
              <w:right w:val="nil"/>
            </w:tcBorders>
            <w:shd w:val="clear" w:color="auto" w:fill="auto"/>
            <w:noWrap/>
            <w:vAlign w:val="bottom"/>
          </w:tcPr>
          <w:p w14:paraId="3FC0790F" w14:textId="7C207F67" w:rsidR="00083563" w:rsidRPr="00B56FAA" w:rsidRDefault="00083563" w:rsidP="00784613">
            <w:pPr>
              <w:spacing w:before="0" w:after="0"/>
              <w:jc w:val="right"/>
              <w:rPr>
                <w:rFonts w:ascii="Arial" w:hAnsi="Arial"/>
                <w:b/>
                <w:bCs/>
                <w:color w:val="000000"/>
                <w:sz w:val="16"/>
                <w:szCs w:val="16"/>
                <w:lang w:val="en-AU"/>
              </w:rPr>
            </w:pPr>
            <w:r w:rsidRPr="00D1455F">
              <w:rPr>
                <w:rFonts w:ascii="Arial" w:hAnsi="Arial"/>
                <w:b/>
                <w:bCs/>
                <w:color w:val="000000"/>
                <w:sz w:val="16"/>
                <w:szCs w:val="16"/>
                <w:lang w:val="en-AU"/>
              </w:rPr>
              <w:t>3,997,611</w:t>
            </w:r>
          </w:p>
        </w:tc>
      </w:tr>
    </w:tbl>
    <w:p w14:paraId="19511A7E" w14:textId="77777777" w:rsidR="0008019D" w:rsidRPr="00B56FAA" w:rsidRDefault="0008019D" w:rsidP="0008019D">
      <w:pPr>
        <w:spacing w:before="0" w:after="0"/>
        <w:rPr>
          <w:rFonts w:ascii="Arial" w:hAnsi="Arial"/>
          <w:b/>
          <w:bCs/>
          <w:color w:val="000000"/>
          <w:sz w:val="16"/>
          <w:szCs w:val="16"/>
          <w:lang w:val="en-AU"/>
        </w:rPr>
      </w:pPr>
    </w:p>
    <w:p w14:paraId="57720E97" w14:textId="60FFEA61" w:rsidR="00F25FC4" w:rsidRPr="003C27CA" w:rsidRDefault="0040014B" w:rsidP="0008019D">
      <w:pPr>
        <w:spacing w:before="0" w:after="0"/>
        <w:rPr>
          <w:rFonts w:ascii="Arial" w:hAnsi="Arial"/>
          <w:b/>
          <w:bCs/>
          <w:color w:val="000000"/>
          <w:sz w:val="14"/>
          <w:szCs w:val="14"/>
          <w:lang w:val="en-AU"/>
        </w:rPr>
      </w:pPr>
      <w:r>
        <w:rPr>
          <w:rFonts w:ascii="Arial" w:hAnsi="Arial"/>
          <w:b/>
          <w:bCs/>
          <w:color w:val="000000"/>
          <w:sz w:val="14"/>
          <w:szCs w:val="14"/>
          <w:lang w:val="en-AU"/>
        </w:rPr>
        <w:t>Note</w:t>
      </w:r>
    </w:p>
    <w:p w14:paraId="4DA6A73F" w14:textId="77777777" w:rsidR="00F25FC4" w:rsidRPr="003C27CA" w:rsidRDefault="00F25FC4" w:rsidP="00444A89">
      <w:pPr>
        <w:numPr>
          <w:ilvl w:val="0"/>
          <w:numId w:val="47"/>
        </w:numPr>
        <w:tabs>
          <w:tab w:val="clear" w:pos="227"/>
          <w:tab w:val="num" w:pos="284"/>
        </w:tabs>
        <w:spacing w:before="0" w:after="0"/>
        <w:ind w:left="284" w:hanging="284"/>
        <w:rPr>
          <w:rFonts w:ascii="Arial" w:hAnsi="Arial"/>
          <w:color w:val="000000"/>
          <w:sz w:val="14"/>
          <w:szCs w:val="14"/>
        </w:rPr>
      </w:pPr>
      <w:r w:rsidRPr="003C27CA">
        <w:rPr>
          <w:rFonts w:ascii="Arial" w:hAnsi="Arial"/>
          <w:color w:val="000000"/>
          <w:sz w:val="14"/>
          <w:szCs w:val="14"/>
          <w:lang w:val="en-AU"/>
        </w:rPr>
        <w:t>Prepared on Australian Accounting Standards basis.</w:t>
      </w:r>
    </w:p>
    <w:p w14:paraId="0D6B076A" w14:textId="38DEEA9E" w:rsidR="00F25FC4" w:rsidRPr="003C27CA" w:rsidRDefault="00F25FC4" w:rsidP="00083563">
      <w:pPr>
        <w:spacing w:before="0" w:after="0"/>
        <w:rPr>
          <w:sz w:val="14"/>
          <w:szCs w:val="14"/>
        </w:rPr>
      </w:pPr>
    </w:p>
    <w:p w14:paraId="5E0813B8" w14:textId="207F446A" w:rsidR="00761824" w:rsidRPr="00B56FAA" w:rsidRDefault="00761824" w:rsidP="00444A89">
      <w:pPr>
        <w:pStyle w:val="TableHeading"/>
        <w:numPr>
          <w:ilvl w:val="0"/>
          <w:numId w:val="65"/>
        </w:numPr>
        <w:ind w:hanging="928"/>
        <w:outlineLvl w:val="5"/>
      </w:pPr>
      <w:r w:rsidRPr="00B56FAA">
        <w:br w:type="page"/>
      </w:r>
      <w:r w:rsidR="00173112" w:rsidRPr="00B56FAA">
        <w:lastRenderedPageBreak/>
        <w:t>Statement of Departmental Asset Movements (</w:t>
      </w:r>
      <w:r w:rsidR="00CE1BEB" w:rsidRPr="00B56FAA">
        <w:t xml:space="preserve">Budget </w:t>
      </w:r>
      <w:r w:rsidR="00CE1BEB" w:rsidRPr="004A6687">
        <w:t xml:space="preserve">Year </w:t>
      </w:r>
      <w:r w:rsidR="00173112" w:rsidRPr="002B2BCC">
        <w:t>202</w:t>
      </w:r>
      <w:r w:rsidR="00083563">
        <w:t>5</w:t>
      </w:r>
      <w:r w:rsidR="00173112" w:rsidRPr="002B2BCC">
        <w:t>-2</w:t>
      </w:r>
      <w:r w:rsidR="00083563">
        <w:t>6</w:t>
      </w:r>
      <w:r w:rsidR="00173112" w:rsidRPr="00B56FAA">
        <w:t>)</w:t>
      </w:r>
      <w:r w:rsidR="003B4294" w:rsidRPr="00B56FAA">
        <w:rPr>
          <w:vertAlign w:val="superscript"/>
        </w:rPr>
        <w:t xml:space="preserve"> [a</w:t>
      </w:r>
      <w:r w:rsidR="007D6D58" w:rsidRPr="00B56FAA">
        <w:rPr>
          <w:vertAlign w:val="superscript"/>
        </w:rPr>
        <w:t>]</w:t>
      </w:r>
    </w:p>
    <w:tbl>
      <w:tblPr>
        <w:tblW w:w="8311" w:type="dxa"/>
        <w:tblInd w:w="113" w:type="dxa"/>
        <w:tblLook w:val="04A0" w:firstRow="1" w:lastRow="0" w:firstColumn="1" w:lastColumn="0" w:noHBand="0" w:noVBand="1"/>
      </w:tblPr>
      <w:tblGrid>
        <w:gridCol w:w="3227"/>
        <w:gridCol w:w="928"/>
        <w:gridCol w:w="1035"/>
        <w:gridCol w:w="1025"/>
        <w:gridCol w:w="1061"/>
        <w:gridCol w:w="1035"/>
      </w:tblGrid>
      <w:tr w:rsidR="00C848C3" w:rsidRPr="00B56FAA" w14:paraId="0A3E66E5" w14:textId="77777777" w:rsidTr="002B2BCC">
        <w:trPr>
          <w:trHeight w:val="1077"/>
        </w:trPr>
        <w:tc>
          <w:tcPr>
            <w:tcW w:w="3227" w:type="dxa"/>
            <w:tcBorders>
              <w:top w:val="single" w:sz="4" w:space="0" w:color="auto"/>
              <w:left w:val="nil"/>
              <w:bottom w:val="single" w:sz="4" w:space="0" w:color="auto"/>
              <w:right w:val="nil"/>
            </w:tcBorders>
            <w:shd w:val="clear" w:color="auto" w:fill="auto"/>
            <w:noWrap/>
            <w:vAlign w:val="center"/>
            <w:hideMark/>
          </w:tcPr>
          <w:p w14:paraId="76E96C1B" w14:textId="77777777" w:rsidR="00C848C3" w:rsidRPr="00B56FAA" w:rsidRDefault="00C848C3" w:rsidP="00106B90">
            <w:pPr>
              <w:rPr>
                <w:rFonts w:ascii="Arial" w:hAnsi="Arial"/>
                <w:sz w:val="16"/>
                <w:szCs w:val="16"/>
                <w:lang w:val="en-AU"/>
              </w:rPr>
            </w:pPr>
          </w:p>
        </w:tc>
        <w:tc>
          <w:tcPr>
            <w:tcW w:w="928" w:type="dxa"/>
            <w:tcBorders>
              <w:top w:val="single" w:sz="4" w:space="0" w:color="auto"/>
              <w:left w:val="nil"/>
              <w:bottom w:val="single" w:sz="4" w:space="0" w:color="auto"/>
              <w:right w:val="nil"/>
            </w:tcBorders>
            <w:shd w:val="clear" w:color="auto" w:fill="auto"/>
            <w:vAlign w:val="center"/>
            <w:hideMark/>
          </w:tcPr>
          <w:p w14:paraId="73E54815" w14:textId="77777777" w:rsidR="00C848C3" w:rsidRPr="00A03996" w:rsidRDefault="00C848C3" w:rsidP="00106B90">
            <w:pPr>
              <w:spacing w:before="0" w:after="0"/>
              <w:jc w:val="right"/>
              <w:rPr>
                <w:rFonts w:ascii="Arial" w:hAnsi="Arial"/>
                <w:b/>
                <w:sz w:val="16"/>
                <w:szCs w:val="16"/>
                <w:lang w:val="en-AU"/>
              </w:rPr>
            </w:pPr>
            <w:r w:rsidRPr="00A03996">
              <w:rPr>
                <w:rFonts w:ascii="Arial" w:hAnsi="Arial"/>
                <w:b/>
                <w:sz w:val="16"/>
                <w:szCs w:val="16"/>
                <w:lang w:val="en-AU"/>
              </w:rPr>
              <w:t>Land</w:t>
            </w:r>
            <w:r w:rsidRPr="00A03996">
              <w:rPr>
                <w:rFonts w:ascii="Arial" w:hAnsi="Arial"/>
                <w:b/>
                <w:sz w:val="16"/>
                <w:szCs w:val="16"/>
                <w:lang w:val="en-AU"/>
              </w:rPr>
              <w:br/>
            </w:r>
            <w:r w:rsidRPr="00A03996">
              <w:rPr>
                <w:rFonts w:ascii="Arial" w:hAnsi="Arial"/>
                <w:b/>
                <w:sz w:val="16"/>
                <w:szCs w:val="16"/>
                <w:lang w:val="en-AU"/>
              </w:rPr>
              <w:br/>
            </w:r>
            <w:r w:rsidRPr="00A03996">
              <w:rPr>
                <w:rFonts w:ascii="Arial" w:hAnsi="Arial"/>
                <w:b/>
                <w:sz w:val="16"/>
                <w:szCs w:val="16"/>
                <w:lang w:val="en-AU"/>
              </w:rPr>
              <w:br/>
            </w:r>
            <w:r w:rsidRPr="00A03996">
              <w:rPr>
                <w:rFonts w:ascii="Arial" w:hAnsi="Arial"/>
                <w:b/>
                <w:sz w:val="16"/>
                <w:szCs w:val="16"/>
                <w:lang w:val="en-AU"/>
              </w:rPr>
              <w:br/>
              <w:t>$'000</w:t>
            </w:r>
          </w:p>
        </w:tc>
        <w:tc>
          <w:tcPr>
            <w:tcW w:w="1035" w:type="dxa"/>
            <w:tcBorders>
              <w:top w:val="single" w:sz="4" w:space="0" w:color="auto"/>
              <w:left w:val="nil"/>
              <w:bottom w:val="single" w:sz="4" w:space="0" w:color="auto"/>
              <w:right w:val="nil"/>
            </w:tcBorders>
            <w:shd w:val="clear" w:color="auto" w:fill="auto"/>
            <w:vAlign w:val="center"/>
            <w:hideMark/>
          </w:tcPr>
          <w:p w14:paraId="3E0B4CA2" w14:textId="77777777" w:rsidR="00C848C3" w:rsidRPr="00A03996" w:rsidRDefault="00C848C3" w:rsidP="00106B90">
            <w:pPr>
              <w:spacing w:before="0" w:after="0"/>
              <w:jc w:val="right"/>
              <w:rPr>
                <w:rFonts w:ascii="Arial" w:hAnsi="Arial"/>
                <w:b/>
                <w:sz w:val="16"/>
                <w:szCs w:val="16"/>
                <w:lang w:val="en-AU"/>
              </w:rPr>
            </w:pPr>
            <w:r w:rsidRPr="00A03996">
              <w:rPr>
                <w:rFonts w:ascii="Arial" w:hAnsi="Arial"/>
                <w:b/>
                <w:sz w:val="16"/>
                <w:szCs w:val="16"/>
                <w:lang w:val="en-AU"/>
              </w:rPr>
              <w:t>Buildings</w:t>
            </w:r>
            <w:r w:rsidRPr="00A03996">
              <w:rPr>
                <w:rFonts w:ascii="Arial" w:hAnsi="Arial"/>
                <w:b/>
                <w:sz w:val="16"/>
                <w:szCs w:val="16"/>
                <w:lang w:val="en-AU"/>
              </w:rPr>
              <w:br/>
            </w:r>
            <w:r w:rsidRPr="00A03996">
              <w:rPr>
                <w:rFonts w:ascii="Arial" w:hAnsi="Arial"/>
                <w:b/>
                <w:sz w:val="16"/>
                <w:szCs w:val="16"/>
                <w:lang w:val="en-AU"/>
              </w:rPr>
              <w:br/>
            </w:r>
            <w:r w:rsidRPr="00A03996">
              <w:rPr>
                <w:rFonts w:ascii="Arial" w:hAnsi="Arial"/>
                <w:b/>
                <w:sz w:val="16"/>
                <w:szCs w:val="16"/>
                <w:lang w:val="en-AU"/>
              </w:rPr>
              <w:br/>
            </w:r>
            <w:r w:rsidRPr="00A03996">
              <w:rPr>
                <w:rFonts w:ascii="Arial" w:hAnsi="Arial"/>
                <w:b/>
                <w:sz w:val="16"/>
                <w:szCs w:val="16"/>
                <w:lang w:val="en-AU"/>
              </w:rPr>
              <w:br/>
              <w:t>$'000</w:t>
            </w:r>
          </w:p>
        </w:tc>
        <w:tc>
          <w:tcPr>
            <w:tcW w:w="1025" w:type="dxa"/>
            <w:tcBorders>
              <w:top w:val="single" w:sz="4" w:space="0" w:color="auto"/>
              <w:left w:val="nil"/>
              <w:bottom w:val="single" w:sz="4" w:space="0" w:color="auto"/>
              <w:right w:val="nil"/>
            </w:tcBorders>
            <w:shd w:val="clear" w:color="auto" w:fill="auto"/>
            <w:vAlign w:val="center"/>
            <w:hideMark/>
          </w:tcPr>
          <w:p w14:paraId="5287B832" w14:textId="77777777" w:rsidR="00C848C3" w:rsidRPr="00A03996" w:rsidRDefault="00C848C3" w:rsidP="00106B90">
            <w:pPr>
              <w:spacing w:before="0" w:after="0"/>
              <w:jc w:val="right"/>
              <w:rPr>
                <w:rFonts w:ascii="Arial" w:hAnsi="Arial"/>
                <w:b/>
                <w:sz w:val="16"/>
                <w:szCs w:val="16"/>
                <w:lang w:val="en-AU"/>
              </w:rPr>
            </w:pPr>
            <w:r w:rsidRPr="00A03996">
              <w:rPr>
                <w:rFonts w:ascii="Arial" w:hAnsi="Arial"/>
                <w:b/>
                <w:sz w:val="16"/>
                <w:szCs w:val="16"/>
                <w:lang w:val="en-AU"/>
              </w:rPr>
              <w:t>Other</w:t>
            </w:r>
            <w:r w:rsidRPr="00A03996">
              <w:rPr>
                <w:rFonts w:ascii="Arial" w:hAnsi="Arial"/>
                <w:b/>
                <w:sz w:val="16"/>
                <w:szCs w:val="16"/>
                <w:lang w:val="en-AU"/>
              </w:rPr>
              <w:br/>
              <w:t>property,</w:t>
            </w:r>
            <w:r w:rsidRPr="00A03996">
              <w:rPr>
                <w:rFonts w:ascii="Arial" w:hAnsi="Arial"/>
                <w:b/>
                <w:sz w:val="16"/>
                <w:szCs w:val="16"/>
                <w:lang w:val="en-AU"/>
              </w:rPr>
              <w:br/>
              <w:t>plant and</w:t>
            </w:r>
            <w:r w:rsidRPr="00A03996">
              <w:rPr>
                <w:rFonts w:ascii="Arial" w:hAnsi="Arial"/>
                <w:b/>
                <w:sz w:val="16"/>
                <w:szCs w:val="16"/>
                <w:lang w:val="en-AU"/>
              </w:rPr>
              <w:br/>
              <w:t>equipment</w:t>
            </w:r>
            <w:r w:rsidRPr="00A03996">
              <w:rPr>
                <w:rFonts w:ascii="Arial" w:hAnsi="Arial"/>
                <w:b/>
                <w:sz w:val="16"/>
                <w:szCs w:val="16"/>
                <w:lang w:val="en-AU"/>
              </w:rPr>
              <w:br/>
              <w:t>$'000</w:t>
            </w:r>
          </w:p>
        </w:tc>
        <w:tc>
          <w:tcPr>
            <w:tcW w:w="1061" w:type="dxa"/>
            <w:tcBorders>
              <w:top w:val="single" w:sz="4" w:space="0" w:color="auto"/>
              <w:left w:val="nil"/>
              <w:bottom w:val="single" w:sz="4" w:space="0" w:color="auto"/>
              <w:right w:val="nil"/>
            </w:tcBorders>
            <w:shd w:val="clear" w:color="auto" w:fill="auto"/>
            <w:vAlign w:val="center"/>
            <w:hideMark/>
          </w:tcPr>
          <w:p w14:paraId="3BB22BBC" w14:textId="77777777" w:rsidR="00C848C3" w:rsidRPr="00A03996" w:rsidRDefault="00C848C3" w:rsidP="00106B90">
            <w:pPr>
              <w:spacing w:before="0" w:after="0"/>
              <w:jc w:val="right"/>
              <w:rPr>
                <w:rFonts w:ascii="Arial" w:hAnsi="Arial"/>
                <w:b/>
                <w:sz w:val="16"/>
                <w:szCs w:val="16"/>
                <w:lang w:val="en-AU"/>
              </w:rPr>
            </w:pPr>
            <w:r w:rsidRPr="00A03996">
              <w:rPr>
                <w:rFonts w:ascii="Arial" w:hAnsi="Arial"/>
                <w:b/>
                <w:sz w:val="16"/>
                <w:szCs w:val="16"/>
                <w:lang w:val="en-AU"/>
              </w:rPr>
              <w:t>Computer</w:t>
            </w:r>
            <w:r w:rsidRPr="00A03996">
              <w:rPr>
                <w:rFonts w:ascii="Arial" w:hAnsi="Arial"/>
                <w:b/>
                <w:sz w:val="16"/>
                <w:szCs w:val="16"/>
                <w:lang w:val="en-AU"/>
              </w:rPr>
              <w:br/>
              <w:t>software and</w:t>
            </w:r>
            <w:r w:rsidRPr="00A03996">
              <w:rPr>
                <w:rFonts w:ascii="Arial" w:hAnsi="Arial"/>
                <w:b/>
                <w:sz w:val="16"/>
                <w:szCs w:val="16"/>
                <w:lang w:val="en-AU"/>
              </w:rPr>
              <w:br/>
              <w:t>intangibles</w:t>
            </w:r>
            <w:r w:rsidRPr="00A03996">
              <w:rPr>
                <w:rFonts w:ascii="Arial" w:hAnsi="Arial"/>
                <w:b/>
                <w:sz w:val="16"/>
                <w:szCs w:val="16"/>
                <w:lang w:val="en-AU"/>
              </w:rPr>
              <w:br/>
              <w:t>$'000</w:t>
            </w:r>
          </w:p>
        </w:tc>
        <w:tc>
          <w:tcPr>
            <w:tcW w:w="1035" w:type="dxa"/>
            <w:tcBorders>
              <w:top w:val="single" w:sz="4" w:space="0" w:color="auto"/>
              <w:left w:val="nil"/>
              <w:bottom w:val="single" w:sz="4" w:space="0" w:color="auto"/>
              <w:right w:val="nil"/>
            </w:tcBorders>
            <w:shd w:val="clear" w:color="auto" w:fill="auto"/>
            <w:vAlign w:val="center"/>
            <w:hideMark/>
          </w:tcPr>
          <w:p w14:paraId="3D448F68" w14:textId="77777777" w:rsidR="00C848C3" w:rsidRPr="00A03996" w:rsidRDefault="00C848C3" w:rsidP="00106B90">
            <w:pPr>
              <w:spacing w:before="0" w:after="0"/>
              <w:jc w:val="right"/>
              <w:rPr>
                <w:rFonts w:ascii="Arial" w:hAnsi="Arial"/>
                <w:b/>
                <w:sz w:val="16"/>
                <w:szCs w:val="16"/>
                <w:lang w:val="en-AU"/>
              </w:rPr>
            </w:pPr>
            <w:r w:rsidRPr="00A03996">
              <w:rPr>
                <w:rFonts w:ascii="Arial" w:hAnsi="Arial"/>
                <w:b/>
                <w:sz w:val="16"/>
                <w:szCs w:val="16"/>
                <w:lang w:val="en-AU"/>
              </w:rPr>
              <w:t>Total</w:t>
            </w:r>
            <w:r w:rsidRPr="00A03996">
              <w:rPr>
                <w:rFonts w:ascii="Arial" w:hAnsi="Arial"/>
                <w:b/>
                <w:sz w:val="16"/>
                <w:szCs w:val="16"/>
                <w:lang w:val="en-AU"/>
              </w:rPr>
              <w:br/>
            </w:r>
            <w:r w:rsidRPr="00A03996">
              <w:rPr>
                <w:rFonts w:ascii="Arial" w:hAnsi="Arial"/>
                <w:b/>
                <w:sz w:val="16"/>
                <w:szCs w:val="16"/>
                <w:lang w:val="en-AU"/>
              </w:rPr>
              <w:br/>
            </w:r>
            <w:r w:rsidRPr="00A03996">
              <w:rPr>
                <w:rFonts w:ascii="Arial" w:hAnsi="Arial"/>
                <w:b/>
                <w:sz w:val="16"/>
                <w:szCs w:val="16"/>
                <w:lang w:val="en-AU"/>
              </w:rPr>
              <w:br/>
            </w:r>
            <w:r w:rsidRPr="00A03996">
              <w:rPr>
                <w:rFonts w:ascii="Arial" w:hAnsi="Arial"/>
                <w:b/>
                <w:sz w:val="16"/>
                <w:szCs w:val="16"/>
                <w:lang w:val="en-AU"/>
              </w:rPr>
              <w:br/>
              <w:t>$'000</w:t>
            </w:r>
          </w:p>
        </w:tc>
      </w:tr>
      <w:tr w:rsidR="00C848C3" w:rsidRPr="00B56FAA" w14:paraId="6E7AD610" w14:textId="77777777" w:rsidTr="002B2BCC">
        <w:trPr>
          <w:trHeight w:val="225"/>
        </w:trPr>
        <w:tc>
          <w:tcPr>
            <w:tcW w:w="3227" w:type="dxa"/>
            <w:tcBorders>
              <w:top w:val="single" w:sz="4" w:space="0" w:color="auto"/>
              <w:left w:val="nil"/>
              <w:bottom w:val="nil"/>
              <w:right w:val="nil"/>
            </w:tcBorders>
            <w:shd w:val="clear" w:color="auto" w:fill="auto"/>
            <w:vAlign w:val="bottom"/>
            <w:hideMark/>
          </w:tcPr>
          <w:p w14:paraId="16FE1811" w14:textId="71FCCB4D" w:rsidR="00C848C3" w:rsidRPr="00B56FAA" w:rsidRDefault="00083563" w:rsidP="00CF3FE3">
            <w:pPr>
              <w:spacing w:before="0" w:after="0"/>
              <w:rPr>
                <w:rFonts w:ascii="Arial" w:hAnsi="Arial"/>
                <w:b/>
                <w:bCs/>
                <w:sz w:val="16"/>
                <w:szCs w:val="16"/>
                <w:lang w:val="en-AU"/>
              </w:rPr>
            </w:pPr>
            <w:r>
              <w:rPr>
                <w:rFonts w:ascii="Arial" w:hAnsi="Arial"/>
                <w:b/>
                <w:bCs/>
                <w:sz w:val="16"/>
                <w:szCs w:val="16"/>
                <w:lang w:val="en-AU"/>
              </w:rPr>
              <w:t>As at 1 July 2025</w:t>
            </w:r>
          </w:p>
        </w:tc>
        <w:tc>
          <w:tcPr>
            <w:tcW w:w="928" w:type="dxa"/>
            <w:tcBorders>
              <w:top w:val="nil"/>
              <w:left w:val="nil"/>
              <w:bottom w:val="nil"/>
              <w:right w:val="nil"/>
            </w:tcBorders>
            <w:shd w:val="clear" w:color="auto" w:fill="auto"/>
            <w:noWrap/>
            <w:vAlign w:val="bottom"/>
          </w:tcPr>
          <w:p w14:paraId="2CEDF27C" w14:textId="77777777" w:rsidR="00C848C3" w:rsidRPr="00B56FAA" w:rsidRDefault="00C848C3" w:rsidP="00A30985">
            <w:pPr>
              <w:spacing w:before="0" w:after="0"/>
              <w:jc w:val="right"/>
              <w:rPr>
                <w:rFonts w:ascii="Arial" w:hAnsi="Arial"/>
                <w:b/>
                <w:bCs/>
                <w:sz w:val="16"/>
                <w:szCs w:val="16"/>
                <w:lang w:val="en-AU"/>
              </w:rPr>
            </w:pPr>
          </w:p>
        </w:tc>
        <w:tc>
          <w:tcPr>
            <w:tcW w:w="1035" w:type="dxa"/>
            <w:tcBorders>
              <w:top w:val="nil"/>
              <w:left w:val="nil"/>
              <w:bottom w:val="nil"/>
              <w:right w:val="nil"/>
            </w:tcBorders>
            <w:shd w:val="clear" w:color="auto" w:fill="auto"/>
            <w:noWrap/>
            <w:vAlign w:val="bottom"/>
          </w:tcPr>
          <w:p w14:paraId="3F7C3C43" w14:textId="77777777" w:rsidR="00C848C3" w:rsidRPr="00B56FAA" w:rsidRDefault="00C848C3" w:rsidP="00A30985">
            <w:pPr>
              <w:spacing w:before="0" w:after="0"/>
              <w:jc w:val="right"/>
              <w:rPr>
                <w:rFonts w:ascii="Arial" w:hAnsi="Arial"/>
                <w:sz w:val="16"/>
                <w:szCs w:val="16"/>
                <w:lang w:val="en-AU"/>
              </w:rPr>
            </w:pPr>
          </w:p>
        </w:tc>
        <w:tc>
          <w:tcPr>
            <w:tcW w:w="1025" w:type="dxa"/>
            <w:tcBorders>
              <w:top w:val="nil"/>
              <w:left w:val="nil"/>
              <w:bottom w:val="nil"/>
              <w:right w:val="nil"/>
            </w:tcBorders>
            <w:shd w:val="clear" w:color="auto" w:fill="auto"/>
            <w:noWrap/>
            <w:vAlign w:val="bottom"/>
          </w:tcPr>
          <w:p w14:paraId="1C20BF8B" w14:textId="77777777" w:rsidR="00C848C3" w:rsidRPr="00B56FAA" w:rsidRDefault="00C848C3" w:rsidP="00A30985">
            <w:pPr>
              <w:spacing w:before="0" w:after="0"/>
              <w:jc w:val="right"/>
              <w:rPr>
                <w:rFonts w:ascii="Arial" w:hAnsi="Arial"/>
                <w:sz w:val="16"/>
                <w:szCs w:val="16"/>
                <w:lang w:val="en-AU"/>
              </w:rPr>
            </w:pPr>
          </w:p>
        </w:tc>
        <w:tc>
          <w:tcPr>
            <w:tcW w:w="1061" w:type="dxa"/>
            <w:tcBorders>
              <w:top w:val="nil"/>
              <w:left w:val="nil"/>
              <w:bottom w:val="nil"/>
              <w:right w:val="nil"/>
            </w:tcBorders>
            <w:shd w:val="clear" w:color="auto" w:fill="auto"/>
            <w:noWrap/>
            <w:vAlign w:val="bottom"/>
          </w:tcPr>
          <w:p w14:paraId="2F60EBDF" w14:textId="77777777" w:rsidR="00C848C3" w:rsidRPr="00B56FAA" w:rsidRDefault="00C848C3" w:rsidP="00A30985">
            <w:pPr>
              <w:spacing w:before="0" w:after="0"/>
              <w:jc w:val="right"/>
              <w:rPr>
                <w:rFonts w:ascii="Arial" w:hAnsi="Arial"/>
                <w:sz w:val="16"/>
                <w:szCs w:val="16"/>
                <w:lang w:val="en-AU"/>
              </w:rPr>
            </w:pPr>
          </w:p>
        </w:tc>
        <w:tc>
          <w:tcPr>
            <w:tcW w:w="1035" w:type="dxa"/>
            <w:tcBorders>
              <w:top w:val="nil"/>
              <w:left w:val="nil"/>
              <w:bottom w:val="nil"/>
              <w:right w:val="nil"/>
            </w:tcBorders>
            <w:shd w:val="clear" w:color="auto" w:fill="auto"/>
            <w:noWrap/>
            <w:vAlign w:val="bottom"/>
          </w:tcPr>
          <w:p w14:paraId="3445A294" w14:textId="77777777" w:rsidR="00C848C3" w:rsidRPr="00B56FAA" w:rsidRDefault="00C848C3" w:rsidP="00A30985">
            <w:pPr>
              <w:spacing w:before="0" w:after="0"/>
              <w:jc w:val="right"/>
              <w:rPr>
                <w:rFonts w:ascii="Arial" w:hAnsi="Arial"/>
                <w:sz w:val="16"/>
                <w:szCs w:val="16"/>
                <w:lang w:val="en-AU"/>
              </w:rPr>
            </w:pPr>
          </w:p>
        </w:tc>
      </w:tr>
      <w:tr w:rsidR="00083563" w:rsidRPr="007B4775" w14:paraId="55565555" w14:textId="77777777" w:rsidTr="002B2BCC">
        <w:trPr>
          <w:trHeight w:val="225"/>
        </w:trPr>
        <w:tc>
          <w:tcPr>
            <w:tcW w:w="3227" w:type="dxa"/>
            <w:tcBorders>
              <w:top w:val="nil"/>
              <w:left w:val="nil"/>
              <w:bottom w:val="nil"/>
              <w:right w:val="nil"/>
            </w:tcBorders>
            <w:shd w:val="clear" w:color="auto" w:fill="auto"/>
            <w:vAlign w:val="bottom"/>
            <w:hideMark/>
          </w:tcPr>
          <w:p w14:paraId="79731CE5" w14:textId="77777777" w:rsidR="00083563" w:rsidRPr="002B2BCC" w:rsidRDefault="00083563" w:rsidP="00083563">
            <w:pPr>
              <w:spacing w:before="0" w:after="0"/>
              <w:ind w:firstLineChars="100" w:firstLine="160"/>
              <w:rPr>
                <w:rFonts w:ascii="Arial" w:hAnsi="Arial"/>
                <w:sz w:val="16"/>
                <w:szCs w:val="16"/>
                <w:lang w:val="en-AU"/>
              </w:rPr>
            </w:pPr>
            <w:r w:rsidRPr="002B2BCC">
              <w:rPr>
                <w:rFonts w:ascii="Arial" w:hAnsi="Arial"/>
                <w:sz w:val="16"/>
                <w:szCs w:val="16"/>
                <w:lang w:val="en-AU"/>
              </w:rPr>
              <w:t xml:space="preserve">Gross book value </w:t>
            </w:r>
          </w:p>
        </w:tc>
        <w:tc>
          <w:tcPr>
            <w:tcW w:w="928" w:type="dxa"/>
            <w:tcBorders>
              <w:top w:val="nil"/>
              <w:left w:val="nil"/>
              <w:bottom w:val="nil"/>
              <w:right w:val="nil"/>
            </w:tcBorders>
            <w:shd w:val="clear" w:color="auto" w:fill="auto"/>
            <w:noWrap/>
            <w:vAlign w:val="center"/>
          </w:tcPr>
          <w:p w14:paraId="50286B69" w14:textId="3DF3E301" w:rsidR="00083563" w:rsidRPr="007B4775" w:rsidRDefault="00083563" w:rsidP="00784613">
            <w:pPr>
              <w:spacing w:before="0" w:after="0"/>
              <w:jc w:val="right"/>
              <w:rPr>
                <w:rFonts w:ascii="Arial" w:hAnsi="Arial"/>
                <w:sz w:val="16"/>
                <w:szCs w:val="16"/>
                <w:highlight w:val="yellow"/>
                <w:lang w:val="en-AU"/>
              </w:rPr>
            </w:pPr>
            <w:r w:rsidRPr="00A86A79">
              <w:rPr>
                <w:rFonts w:ascii="Arial" w:hAnsi="Arial"/>
                <w:sz w:val="16"/>
                <w:szCs w:val="16"/>
                <w:lang w:val="en-AU"/>
              </w:rPr>
              <w:t>1,992,141</w:t>
            </w:r>
          </w:p>
        </w:tc>
        <w:tc>
          <w:tcPr>
            <w:tcW w:w="1035" w:type="dxa"/>
            <w:tcBorders>
              <w:top w:val="nil"/>
              <w:left w:val="nil"/>
              <w:bottom w:val="nil"/>
              <w:right w:val="nil"/>
            </w:tcBorders>
            <w:shd w:val="clear" w:color="auto" w:fill="auto"/>
            <w:noWrap/>
            <w:vAlign w:val="center"/>
          </w:tcPr>
          <w:p w14:paraId="39AD7C7A" w14:textId="50129E1B" w:rsidR="00083563" w:rsidRPr="007B4775" w:rsidRDefault="00083563" w:rsidP="00784613">
            <w:pPr>
              <w:spacing w:before="0" w:after="0"/>
              <w:jc w:val="right"/>
              <w:rPr>
                <w:rFonts w:ascii="Arial" w:hAnsi="Arial"/>
                <w:sz w:val="16"/>
                <w:szCs w:val="16"/>
                <w:highlight w:val="yellow"/>
                <w:lang w:val="en-AU"/>
              </w:rPr>
            </w:pPr>
            <w:r w:rsidRPr="00A86A79">
              <w:rPr>
                <w:rFonts w:ascii="Arial" w:hAnsi="Arial"/>
                <w:sz w:val="16"/>
                <w:szCs w:val="16"/>
                <w:lang w:val="en-AU"/>
              </w:rPr>
              <w:t>1,891,767</w:t>
            </w:r>
          </w:p>
        </w:tc>
        <w:tc>
          <w:tcPr>
            <w:tcW w:w="1025" w:type="dxa"/>
            <w:tcBorders>
              <w:top w:val="nil"/>
              <w:left w:val="nil"/>
              <w:bottom w:val="nil"/>
              <w:right w:val="nil"/>
            </w:tcBorders>
            <w:shd w:val="clear" w:color="auto" w:fill="auto"/>
            <w:noWrap/>
            <w:vAlign w:val="center"/>
          </w:tcPr>
          <w:p w14:paraId="4F8D2C49" w14:textId="798B992D" w:rsidR="00083563" w:rsidRPr="007B4775" w:rsidRDefault="00083563" w:rsidP="00784613">
            <w:pPr>
              <w:spacing w:before="0" w:after="0"/>
              <w:jc w:val="right"/>
              <w:rPr>
                <w:rFonts w:ascii="Arial" w:hAnsi="Arial"/>
                <w:sz w:val="16"/>
                <w:szCs w:val="16"/>
                <w:highlight w:val="yellow"/>
                <w:lang w:val="en-AU"/>
              </w:rPr>
            </w:pPr>
            <w:r w:rsidRPr="00A86A79">
              <w:rPr>
                <w:rFonts w:ascii="Arial" w:hAnsi="Arial"/>
                <w:sz w:val="16"/>
                <w:szCs w:val="16"/>
                <w:lang w:val="en-AU"/>
              </w:rPr>
              <w:t>31,678</w:t>
            </w:r>
          </w:p>
        </w:tc>
        <w:tc>
          <w:tcPr>
            <w:tcW w:w="1061" w:type="dxa"/>
            <w:tcBorders>
              <w:top w:val="nil"/>
              <w:left w:val="nil"/>
              <w:bottom w:val="nil"/>
              <w:right w:val="nil"/>
            </w:tcBorders>
            <w:shd w:val="clear" w:color="auto" w:fill="auto"/>
            <w:noWrap/>
            <w:vAlign w:val="center"/>
          </w:tcPr>
          <w:p w14:paraId="75E8CFCC" w14:textId="4E2AE233" w:rsidR="00083563" w:rsidRPr="007B4775" w:rsidRDefault="00083563" w:rsidP="00784613">
            <w:pPr>
              <w:spacing w:before="0" w:after="0"/>
              <w:jc w:val="right"/>
              <w:rPr>
                <w:rFonts w:ascii="Arial" w:hAnsi="Arial"/>
                <w:sz w:val="16"/>
                <w:szCs w:val="16"/>
                <w:highlight w:val="yellow"/>
                <w:lang w:val="en-AU"/>
              </w:rPr>
            </w:pPr>
            <w:r w:rsidRPr="00A86A79">
              <w:rPr>
                <w:rFonts w:ascii="Arial" w:hAnsi="Arial"/>
                <w:sz w:val="16"/>
                <w:szCs w:val="16"/>
                <w:lang w:val="en-AU"/>
              </w:rPr>
              <w:t>21,375</w:t>
            </w:r>
          </w:p>
        </w:tc>
        <w:tc>
          <w:tcPr>
            <w:tcW w:w="1035" w:type="dxa"/>
            <w:tcBorders>
              <w:top w:val="nil"/>
              <w:left w:val="nil"/>
              <w:bottom w:val="nil"/>
              <w:right w:val="nil"/>
            </w:tcBorders>
            <w:shd w:val="clear" w:color="auto" w:fill="auto"/>
            <w:noWrap/>
            <w:vAlign w:val="center"/>
          </w:tcPr>
          <w:p w14:paraId="7F78B8CC" w14:textId="6530E09C" w:rsidR="00083563" w:rsidRPr="007B4775" w:rsidRDefault="00083563" w:rsidP="00784613">
            <w:pPr>
              <w:spacing w:before="0" w:after="0"/>
              <w:jc w:val="right"/>
              <w:rPr>
                <w:rFonts w:ascii="Arial" w:hAnsi="Arial"/>
                <w:sz w:val="16"/>
                <w:szCs w:val="16"/>
                <w:highlight w:val="yellow"/>
                <w:lang w:val="en-AU"/>
              </w:rPr>
            </w:pPr>
            <w:r w:rsidRPr="00A86A79">
              <w:rPr>
                <w:rFonts w:ascii="Arial" w:hAnsi="Arial"/>
                <w:sz w:val="16"/>
                <w:szCs w:val="16"/>
                <w:lang w:val="en-AU"/>
              </w:rPr>
              <w:t>3,936,961</w:t>
            </w:r>
          </w:p>
        </w:tc>
      </w:tr>
      <w:tr w:rsidR="00083563" w:rsidRPr="007B4775" w14:paraId="6C06E264" w14:textId="77777777" w:rsidTr="002B2BCC">
        <w:trPr>
          <w:trHeight w:val="225"/>
        </w:trPr>
        <w:tc>
          <w:tcPr>
            <w:tcW w:w="3227" w:type="dxa"/>
            <w:tcBorders>
              <w:top w:val="nil"/>
              <w:left w:val="nil"/>
              <w:bottom w:val="nil"/>
              <w:right w:val="nil"/>
            </w:tcBorders>
            <w:shd w:val="clear" w:color="auto" w:fill="auto"/>
            <w:noWrap/>
            <w:vAlign w:val="center"/>
            <w:hideMark/>
          </w:tcPr>
          <w:p w14:paraId="6C147505" w14:textId="77777777" w:rsidR="00083563" w:rsidRPr="002B2BCC" w:rsidRDefault="00083563" w:rsidP="00083563">
            <w:pPr>
              <w:spacing w:before="0" w:after="0"/>
              <w:ind w:firstLineChars="100" w:firstLine="160"/>
              <w:rPr>
                <w:rFonts w:ascii="Arial" w:hAnsi="Arial"/>
                <w:sz w:val="16"/>
                <w:szCs w:val="16"/>
                <w:lang w:val="en-AU"/>
              </w:rPr>
            </w:pPr>
            <w:r w:rsidRPr="002B2BCC">
              <w:rPr>
                <w:rFonts w:ascii="Arial" w:hAnsi="Arial"/>
                <w:sz w:val="16"/>
                <w:szCs w:val="16"/>
                <w:lang w:val="en-AU"/>
              </w:rPr>
              <w:t>Gross book value - ROU assets</w:t>
            </w:r>
          </w:p>
        </w:tc>
        <w:tc>
          <w:tcPr>
            <w:tcW w:w="928" w:type="dxa"/>
            <w:tcBorders>
              <w:top w:val="nil"/>
              <w:left w:val="nil"/>
              <w:bottom w:val="nil"/>
              <w:right w:val="nil"/>
            </w:tcBorders>
            <w:shd w:val="clear" w:color="auto" w:fill="auto"/>
            <w:noWrap/>
            <w:vAlign w:val="center"/>
          </w:tcPr>
          <w:p w14:paraId="67DA242B" w14:textId="372F8D63" w:rsidR="00083563" w:rsidRPr="007B4775" w:rsidRDefault="00083563" w:rsidP="00784613">
            <w:pPr>
              <w:spacing w:before="0" w:after="0"/>
              <w:jc w:val="right"/>
              <w:rPr>
                <w:rFonts w:ascii="Arial" w:hAnsi="Arial"/>
                <w:sz w:val="16"/>
                <w:szCs w:val="16"/>
                <w:highlight w:val="yellow"/>
                <w:lang w:val="en-AU"/>
              </w:rPr>
            </w:pPr>
            <w:r w:rsidRPr="00A86A79">
              <w:rPr>
                <w:rFonts w:ascii="Arial" w:hAnsi="Arial"/>
                <w:sz w:val="16"/>
                <w:szCs w:val="16"/>
                <w:lang w:val="en-AU"/>
              </w:rPr>
              <w:t>-</w:t>
            </w:r>
          </w:p>
        </w:tc>
        <w:tc>
          <w:tcPr>
            <w:tcW w:w="1035" w:type="dxa"/>
            <w:tcBorders>
              <w:top w:val="nil"/>
              <w:left w:val="nil"/>
              <w:bottom w:val="nil"/>
              <w:right w:val="nil"/>
            </w:tcBorders>
            <w:shd w:val="clear" w:color="auto" w:fill="auto"/>
            <w:noWrap/>
            <w:vAlign w:val="center"/>
          </w:tcPr>
          <w:p w14:paraId="36AA806E" w14:textId="16A25F30" w:rsidR="00083563" w:rsidRPr="007B4775" w:rsidRDefault="00083563" w:rsidP="00784613">
            <w:pPr>
              <w:spacing w:before="0" w:after="0"/>
              <w:jc w:val="right"/>
              <w:rPr>
                <w:rFonts w:ascii="Arial" w:hAnsi="Arial"/>
                <w:sz w:val="16"/>
                <w:szCs w:val="16"/>
                <w:highlight w:val="yellow"/>
                <w:lang w:val="en-AU"/>
              </w:rPr>
            </w:pPr>
            <w:r w:rsidRPr="00A86A79">
              <w:rPr>
                <w:rFonts w:ascii="Arial" w:hAnsi="Arial"/>
                <w:sz w:val="16"/>
                <w:szCs w:val="16"/>
                <w:lang w:val="en-AU"/>
              </w:rPr>
              <w:t>3,332,878</w:t>
            </w:r>
          </w:p>
        </w:tc>
        <w:tc>
          <w:tcPr>
            <w:tcW w:w="1025" w:type="dxa"/>
            <w:tcBorders>
              <w:top w:val="nil"/>
              <w:left w:val="nil"/>
              <w:bottom w:val="nil"/>
              <w:right w:val="nil"/>
            </w:tcBorders>
            <w:shd w:val="clear" w:color="auto" w:fill="auto"/>
            <w:noWrap/>
            <w:vAlign w:val="center"/>
          </w:tcPr>
          <w:p w14:paraId="460DCAA3" w14:textId="0BD91B0B" w:rsidR="00083563" w:rsidRPr="007B4775" w:rsidRDefault="00083563" w:rsidP="00784613">
            <w:pPr>
              <w:spacing w:before="0" w:after="0"/>
              <w:jc w:val="right"/>
              <w:rPr>
                <w:rFonts w:ascii="Arial" w:hAnsi="Arial"/>
                <w:sz w:val="16"/>
                <w:szCs w:val="16"/>
                <w:highlight w:val="yellow"/>
                <w:lang w:val="en-AU"/>
              </w:rPr>
            </w:pPr>
            <w:r w:rsidRPr="00A86A79">
              <w:rPr>
                <w:rFonts w:ascii="Arial" w:hAnsi="Arial"/>
                <w:sz w:val="16"/>
                <w:szCs w:val="16"/>
                <w:lang w:val="en-AU"/>
              </w:rPr>
              <w:t>2,421</w:t>
            </w:r>
          </w:p>
        </w:tc>
        <w:tc>
          <w:tcPr>
            <w:tcW w:w="1061" w:type="dxa"/>
            <w:tcBorders>
              <w:top w:val="nil"/>
              <w:left w:val="nil"/>
              <w:bottom w:val="nil"/>
              <w:right w:val="nil"/>
            </w:tcBorders>
            <w:shd w:val="clear" w:color="auto" w:fill="auto"/>
            <w:noWrap/>
            <w:vAlign w:val="center"/>
          </w:tcPr>
          <w:p w14:paraId="1A239E6B" w14:textId="3D2DE866" w:rsidR="00083563" w:rsidRPr="007B4775" w:rsidRDefault="00083563" w:rsidP="00784613">
            <w:pPr>
              <w:spacing w:before="0" w:after="0"/>
              <w:jc w:val="right"/>
              <w:rPr>
                <w:rFonts w:ascii="Arial" w:hAnsi="Arial"/>
                <w:sz w:val="16"/>
                <w:szCs w:val="16"/>
                <w:highlight w:val="yellow"/>
                <w:lang w:val="en-AU"/>
              </w:rPr>
            </w:pPr>
            <w:r w:rsidRPr="00A86A79">
              <w:rPr>
                <w:rFonts w:ascii="Arial" w:hAnsi="Arial"/>
                <w:sz w:val="16"/>
                <w:szCs w:val="16"/>
                <w:lang w:val="en-AU"/>
              </w:rPr>
              <w:t>-</w:t>
            </w:r>
          </w:p>
        </w:tc>
        <w:tc>
          <w:tcPr>
            <w:tcW w:w="1035" w:type="dxa"/>
            <w:tcBorders>
              <w:top w:val="nil"/>
              <w:left w:val="nil"/>
              <w:bottom w:val="nil"/>
              <w:right w:val="nil"/>
            </w:tcBorders>
            <w:shd w:val="clear" w:color="auto" w:fill="auto"/>
            <w:noWrap/>
            <w:vAlign w:val="center"/>
          </w:tcPr>
          <w:p w14:paraId="6381221F" w14:textId="1E60EBF2" w:rsidR="00083563" w:rsidRPr="007B4775" w:rsidRDefault="00083563" w:rsidP="00784613">
            <w:pPr>
              <w:spacing w:before="0" w:after="0"/>
              <w:jc w:val="right"/>
              <w:rPr>
                <w:rFonts w:ascii="Arial" w:hAnsi="Arial"/>
                <w:sz w:val="16"/>
                <w:szCs w:val="16"/>
                <w:highlight w:val="yellow"/>
                <w:lang w:val="en-AU"/>
              </w:rPr>
            </w:pPr>
            <w:r w:rsidRPr="00A86A79">
              <w:rPr>
                <w:rFonts w:ascii="Arial" w:hAnsi="Arial"/>
                <w:sz w:val="16"/>
                <w:szCs w:val="16"/>
                <w:lang w:val="en-AU"/>
              </w:rPr>
              <w:t>3,335,299</w:t>
            </w:r>
          </w:p>
        </w:tc>
      </w:tr>
      <w:tr w:rsidR="00083563" w:rsidRPr="007B4775" w14:paraId="76E34AD0" w14:textId="77777777" w:rsidTr="002B2BCC">
        <w:trPr>
          <w:trHeight w:val="450"/>
        </w:trPr>
        <w:tc>
          <w:tcPr>
            <w:tcW w:w="3227" w:type="dxa"/>
            <w:tcBorders>
              <w:top w:val="nil"/>
              <w:left w:val="nil"/>
              <w:bottom w:val="nil"/>
              <w:right w:val="nil"/>
            </w:tcBorders>
            <w:shd w:val="clear" w:color="auto" w:fill="auto"/>
            <w:vAlign w:val="bottom"/>
            <w:hideMark/>
          </w:tcPr>
          <w:p w14:paraId="5F27FC14" w14:textId="77777777" w:rsidR="00083563" w:rsidRPr="002B2BCC" w:rsidRDefault="00083563" w:rsidP="00083563">
            <w:pPr>
              <w:spacing w:before="0" w:after="0"/>
              <w:ind w:firstLineChars="100" w:firstLine="160"/>
              <w:rPr>
                <w:rFonts w:ascii="Arial" w:hAnsi="Arial"/>
                <w:sz w:val="16"/>
                <w:szCs w:val="16"/>
                <w:lang w:val="en-AU"/>
              </w:rPr>
            </w:pPr>
            <w:r w:rsidRPr="002B2BCC">
              <w:rPr>
                <w:rFonts w:ascii="Arial" w:hAnsi="Arial"/>
                <w:sz w:val="16"/>
                <w:szCs w:val="16"/>
                <w:lang w:val="en-AU"/>
              </w:rPr>
              <w:t>Accumulated depreciation/</w:t>
            </w:r>
            <w:r w:rsidRPr="002B2BCC">
              <w:rPr>
                <w:rFonts w:ascii="Arial" w:hAnsi="Arial"/>
                <w:sz w:val="16"/>
                <w:szCs w:val="16"/>
                <w:lang w:val="en-AU"/>
              </w:rPr>
              <w:br/>
              <w:t xml:space="preserve">   amortisation and impairment</w:t>
            </w:r>
          </w:p>
        </w:tc>
        <w:tc>
          <w:tcPr>
            <w:tcW w:w="928" w:type="dxa"/>
            <w:tcBorders>
              <w:top w:val="nil"/>
              <w:left w:val="nil"/>
              <w:bottom w:val="nil"/>
              <w:right w:val="nil"/>
            </w:tcBorders>
            <w:shd w:val="clear" w:color="auto" w:fill="auto"/>
            <w:noWrap/>
            <w:vAlign w:val="center"/>
          </w:tcPr>
          <w:p w14:paraId="1BFE7EE2" w14:textId="77670D07" w:rsidR="00083563" w:rsidRPr="007B4775" w:rsidRDefault="00083563" w:rsidP="00784613">
            <w:pPr>
              <w:spacing w:before="0" w:after="0"/>
              <w:jc w:val="right"/>
              <w:rPr>
                <w:rFonts w:ascii="Arial" w:hAnsi="Arial"/>
                <w:sz w:val="16"/>
                <w:szCs w:val="16"/>
                <w:highlight w:val="yellow"/>
                <w:lang w:val="en-AU"/>
              </w:rPr>
            </w:pPr>
            <w:r w:rsidRPr="00A86A79">
              <w:rPr>
                <w:rFonts w:ascii="Arial" w:hAnsi="Arial"/>
                <w:sz w:val="16"/>
                <w:szCs w:val="16"/>
                <w:lang w:val="en-AU"/>
              </w:rPr>
              <w:t>-</w:t>
            </w:r>
          </w:p>
        </w:tc>
        <w:tc>
          <w:tcPr>
            <w:tcW w:w="1035" w:type="dxa"/>
            <w:tcBorders>
              <w:top w:val="nil"/>
              <w:left w:val="nil"/>
              <w:bottom w:val="nil"/>
              <w:right w:val="nil"/>
            </w:tcBorders>
            <w:shd w:val="clear" w:color="auto" w:fill="auto"/>
            <w:noWrap/>
            <w:vAlign w:val="center"/>
          </w:tcPr>
          <w:p w14:paraId="0D5661FF" w14:textId="60266353" w:rsidR="00083563" w:rsidRPr="007B4775" w:rsidRDefault="00083563" w:rsidP="00784613">
            <w:pPr>
              <w:spacing w:before="0" w:after="0"/>
              <w:jc w:val="right"/>
              <w:rPr>
                <w:rFonts w:ascii="Arial" w:hAnsi="Arial"/>
                <w:sz w:val="16"/>
                <w:szCs w:val="16"/>
                <w:highlight w:val="yellow"/>
                <w:lang w:val="en-AU"/>
              </w:rPr>
            </w:pPr>
            <w:r w:rsidRPr="00A86A79">
              <w:rPr>
                <w:rFonts w:ascii="Arial" w:hAnsi="Arial"/>
                <w:sz w:val="16"/>
                <w:szCs w:val="16"/>
                <w:lang w:val="en-AU"/>
              </w:rPr>
              <w:t>4,069</w:t>
            </w:r>
          </w:p>
        </w:tc>
        <w:tc>
          <w:tcPr>
            <w:tcW w:w="1025" w:type="dxa"/>
            <w:tcBorders>
              <w:top w:val="nil"/>
              <w:left w:val="nil"/>
              <w:bottom w:val="nil"/>
              <w:right w:val="nil"/>
            </w:tcBorders>
            <w:shd w:val="clear" w:color="auto" w:fill="auto"/>
            <w:noWrap/>
            <w:vAlign w:val="center"/>
          </w:tcPr>
          <w:p w14:paraId="45FA2876" w14:textId="7F93D1D3" w:rsidR="00083563" w:rsidRPr="007B4775" w:rsidRDefault="0040014B" w:rsidP="0040014B">
            <w:pPr>
              <w:spacing w:before="0" w:after="0"/>
              <w:jc w:val="right"/>
              <w:rPr>
                <w:rFonts w:ascii="Arial" w:hAnsi="Arial"/>
                <w:sz w:val="16"/>
                <w:szCs w:val="16"/>
                <w:highlight w:val="yellow"/>
                <w:lang w:val="en-AU"/>
              </w:rPr>
            </w:pPr>
            <w:r>
              <w:rPr>
                <w:rFonts w:ascii="Arial" w:hAnsi="Arial"/>
                <w:sz w:val="16"/>
                <w:szCs w:val="16"/>
                <w:lang w:val="en-AU"/>
              </w:rPr>
              <w:t>-</w:t>
            </w:r>
            <w:r w:rsidR="00083563" w:rsidRPr="00A86A79">
              <w:rPr>
                <w:rFonts w:ascii="Arial" w:hAnsi="Arial"/>
                <w:sz w:val="16"/>
                <w:szCs w:val="16"/>
                <w:lang w:val="en-AU"/>
              </w:rPr>
              <w:t>16,717</w:t>
            </w:r>
          </w:p>
        </w:tc>
        <w:tc>
          <w:tcPr>
            <w:tcW w:w="1061" w:type="dxa"/>
            <w:tcBorders>
              <w:top w:val="nil"/>
              <w:left w:val="nil"/>
              <w:bottom w:val="nil"/>
              <w:right w:val="nil"/>
            </w:tcBorders>
            <w:shd w:val="clear" w:color="auto" w:fill="auto"/>
            <w:noWrap/>
            <w:vAlign w:val="center"/>
          </w:tcPr>
          <w:p w14:paraId="28EF12E2" w14:textId="0FFF64F4" w:rsidR="00083563" w:rsidRPr="007B4775" w:rsidRDefault="0040014B" w:rsidP="0040014B">
            <w:pPr>
              <w:spacing w:before="0" w:after="0"/>
              <w:jc w:val="right"/>
              <w:rPr>
                <w:rFonts w:ascii="Arial" w:hAnsi="Arial"/>
                <w:sz w:val="16"/>
                <w:szCs w:val="16"/>
                <w:highlight w:val="yellow"/>
                <w:lang w:val="en-AU"/>
              </w:rPr>
            </w:pPr>
            <w:r>
              <w:rPr>
                <w:rFonts w:ascii="Arial" w:hAnsi="Arial"/>
                <w:sz w:val="16"/>
                <w:szCs w:val="16"/>
                <w:lang w:val="en-AU"/>
              </w:rPr>
              <w:t>-</w:t>
            </w:r>
            <w:r w:rsidR="00083563" w:rsidRPr="00A86A79">
              <w:rPr>
                <w:rFonts w:ascii="Arial" w:hAnsi="Arial"/>
                <w:sz w:val="16"/>
                <w:szCs w:val="16"/>
                <w:lang w:val="en-AU"/>
              </w:rPr>
              <w:t>21,373</w:t>
            </w:r>
          </w:p>
        </w:tc>
        <w:tc>
          <w:tcPr>
            <w:tcW w:w="1035" w:type="dxa"/>
            <w:tcBorders>
              <w:top w:val="nil"/>
              <w:left w:val="nil"/>
              <w:bottom w:val="nil"/>
              <w:right w:val="nil"/>
            </w:tcBorders>
            <w:shd w:val="clear" w:color="auto" w:fill="auto"/>
            <w:noWrap/>
            <w:vAlign w:val="center"/>
          </w:tcPr>
          <w:p w14:paraId="76B41DAC" w14:textId="44BD5607" w:rsidR="00083563" w:rsidRPr="007B4775" w:rsidRDefault="0040014B" w:rsidP="0040014B">
            <w:pPr>
              <w:spacing w:before="0" w:after="0"/>
              <w:jc w:val="right"/>
              <w:rPr>
                <w:rFonts w:ascii="Arial" w:hAnsi="Arial"/>
                <w:sz w:val="16"/>
                <w:szCs w:val="16"/>
                <w:highlight w:val="yellow"/>
                <w:lang w:val="en-AU"/>
              </w:rPr>
            </w:pPr>
            <w:r>
              <w:rPr>
                <w:rFonts w:ascii="Arial" w:hAnsi="Arial"/>
                <w:sz w:val="16"/>
                <w:szCs w:val="16"/>
                <w:lang w:val="en-AU"/>
              </w:rPr>
              <w:t>-</w:t>
            </w:r>
            <w:r w:rsidR="00083563" w:rsidRPr="00A86A79">
              <w:rPr>
                <w:rFonts w:ascii="Arial" w:hAnsi="Arial"/>
                <w:sz w:val="16"/>
                <w:szCs w:val="16"/>
                <w:lang w:val="en-AU"/>
              </w:rPr>
              <w:t>34,021</w:t>
            </w:r>
          </w:p>
        </w:tc>
      </w:tr>
      <w:tr w:rsidR="00083563" w:rsidRPr="007B4775" w14:paraId="77C1E20E" w14:textId="77777777" w:rsidTr="002B2BCC">
        <w:trPr>
          <w:trHeight w:val="450"/>
        </w:trPr>
        <w:tc>
          <w:tcPr>
            <w:tcW w:w="3227" w:type="dxa"/>
            <w:tcBorders>
              <w:top w:val="nil"/>
              <w:left w:val="nil"/>
              <w:bottom w:val="nil"/>
              <w:right w:val="nil"/>
            </w:tcBorders>
            <w:shd w:val="clear" w:color="auto" w:fill="auto"/>
            <w:vAlign w:val="center"/>
            <w:hideMark/>
          </w:tcPr>
          <w:p w14:paraId="08BA0D2B" w14:textId="77777777" w:rsidR="00083563" w:rsidRPr="002B2BCC" w:rsidRDefault="00083563" w:rsidP="00083563">
            <w:pPr>
              <w:spacing w:before="0" w:after="0"/>
              <w:ind w:firstLineChars="100" w:firstLine="160"/>
              <w:rPr>
                <w:rFonts w:ascii="Arial" w:hAnsi="Arial"/>
                <w:sz w:val="16"/>
                <w:szCs w:val="16"/>
                <w:lang w:val="en-AU"/>
              </w:rPr>
            </w:pPr>
            <w:r w:rsidRPr="002B2BCC">
              <w:rPr>
                <w:rFonts w:ascii="Arial" w:hAnsi="Arial"/>
                <w:sz w:val="16"/>
                <w:szCs w:val="16"/>
                <w:lang w:val="en-AU"/>
              </w:rPr>
              <w:t>Accumulated depreciation/amortisation</w:t>
            </w:r>
            <w:r w:rsidRPr="002B2BCC">
              <w:rPr>
                <w:rFonts w:ascii="Arial" w:hAnsi="Arial"/>
                <w:sz w:val="16"/>
                <w:szCs w:val="16"/>
                <w:lang w:val="en-AU"/>
              </w:rPr>
              <w:br/>
              <w:t xml:space="preserve">   and impairment - ROU assets</w:t>
            </w:r>
          </w:p>
        </w:tc>
        <w:tc>
          <w:tcPr>
            <w:tcW w:w="928" w:type="dxa"/>
            <w:tcBorders>
              <w:top w:val="nil"/>
              <w:left w:val="nil"/>
              <w:bottom w:val="nil"/>
              <w:right w:val="nil"/>
            </w:tcBorders>
            <w:shd w:val="clear" w:color="auto" w:fill="auto"/>
            <w:noWrap/>
            <w:vAlign w:val="center"/>
          </w:tcPr>
          <w:p w14:paraId="6497EAFC" w14:textId="1B2CBFD7" w:rsidR="00083563" w:rsidRPr="007B4775" w:rsidRDefault="00083563" w:rsidP="00784613">
            <w:pPr>
              <w:spacing w:before="0" w:after="0"/>
              <w:jc w:val="right"/>
              <w:rPr>
                <w:rFonts w:ascii="Arial" w:hAnsi="Arial"/>
                <w:sz w:val="16"/>
                <w:szCs w:val="16"/>
                <w:highlight w:val="yellow"/>
                <w:lang w:val="en-AU"/>
              </w:rPr>
            </w:pPr>
            <w:r w:rsidRPr="00A86A79">
              <w:rPr>
                <w:rFonts w:ascii="Arial" w:hAnsi="Arial"/>
                <w:sz w:val="16"/>
                <w:szCs w:val="16"/>
                <w:lang w:val="en-AU"/>
              </w:rPr>
              <w:t>-</w:t>
            </w:r>
          </w:p>
        </w:tc>
        <w:tc>
          <w:tcPr>
            <w:tcW w:w="1035" w:type="dxa"/>
            <w:tcBorders>
              <w:top w:val="nil"/>
              <w:left w:val="nil"/>
              <w:bottom w:val="nil"/>
              <w:right w:val="nil"/>
            </w:tcBorders>
            <w:shd w:val="clear" w:color="auto" w:fill="auto"/>
            <w:noWrap/>
            <w:vAlign w:val="center"/>
          </w:tcPr>
          <w:p w14:paraId="331EA083" w14:textId="4385A0FD" w:rsidR="00083563" w:rsidRPr="007B4775" w:rsidRDefault="0040014B" w:rsidP="00083563">
            <w:pPr>
              <w:spacing w:before="0" w:after="0"/>
              <w:jc w:val="right"/>
              <w:rPr>
                <w:rFonts w:ascii="Arial" w:hAnsi="Arial"/>
                <w:sz w:val="16"/>
                <w:szCs w:val="16"/>
                <w:highlight w:val="yellow"/>
                <w:lang w:val="en-AU"/>
              </w:rPr>
            </w:pPr>
            <w:r>
              <w:rPr>
                <w:rFonts w:ascii="Arial" w:hAnsi="Arial"/>
                <w:sz w:val="16"/>
                <w:szCs w:val="16"/>
                <w:lang w:val="en-AU"/>
              </w:rPr>
              <w:t>-1,709,346</w:t>
            </w:r>
          </w:p>
        </w:tc>
        <w:tc>
          <w:tcPr>
            <w:tcW w:w="1025" w:type="dxa"/>
            <w:tcBorders>
              <w:top w:val="nil"/>
              <w:left w:val="nil"/>
              <w:bottom w:val="nil"/>
              <w:right w:val="nil"/>
            </w:tcBorders>
            <w:shd w:val="clear" w:color="auto" w:fill="auto"/>
            <w:noWrap/>
            <w:vAlign w:val="center"/>
          </w:tcPr>
          <w:p w14:paraId="390088B3" w14:textId="544CD437" w:rsidR="00083563" w:rsidRPr="007B4775" w:rsidRDefault="0040014B" w:rsidP="0040014B">
            <w:pPr>
              <w:spacing w:before="0" w:after="0"/>
              <w:jc w:val="right"/>
              <w:rPr>
                <w:rFonts w:ascii="Arial" w:hAnsi="Arial"/>
                <w:sz w:val="16"/>
                <w:szCs w:val="16"/>
                <w:highlight w:val="yellow"/>
                <w:lang w:val="en-AU"/>
              </w:rPr>
            </w:pPr>
            <w:r>
              <w:rPr>
                <w:rFonts w:ascii="Arial" w:hAnsi="Arial"/>
                <w:sz w:val="16"/>
                <w:szCs w:val="16"/>
                <w:lang w:val="en-AU"/>
              </w:rPr>
              <w:t>-</w:t>
            </w:r>
            <w:r w:rsidR="00083563" w:rsidRPr="00A86A79">
              <w:rPr>
                <w:rFonts w:ascii="Arial" w:hAnsi="Arial"/>
                <w:sz w:val="16"/>
                <w:szCs w:val="16"/>
                <w:lang w:val="en-AU"/>
              </w:rPr>
              <w:t>1,290</w:t>
            </w:r>
          </w:p>
        </w:tc>
        <w:tc>
          <w:tcPr>
            <w:tcW w:w="1061" w:type="dxa"/>
            <w:tcBorders>
              <w:top w:val="nil"/>
              <w:left w:val="nil"/>
              <w:bottom w:val="nil"/>
              <w:right w:val="nil"/>
            </w:tcBorders>
            <w:shd w:val="clear" w:color="auto" w:fill="auto"/>
            <w:noWrap/>
            <w:vAlign w:val="center"/>
          </w:tcPr>
          <w:p w14:paraId="6488FCF6" w14:textId="1CE40915" w:rsidR="00083563" w:rsidRPr="007B4775" w:rsidRDefault="00083563" w:rsidP="00784613">
            <w:pPr>
              <w:spacing w:before="0" w:after="0"/>
              <w:jc w:val="right"/>
              <w:rPr>
                <w:rFonts w:ascii="Arial" w:hAnsi="Arial"/>
                <w:sz w:val="16"/>
                <w:szCs w:val="16"/>
                <w:highlight w:val="yellow"/>
                <w:lang w:val="en-AU"/>
              </w:rPr>
            </w:pPr>
            <w:r w:rsidRPr="00A86A79">
              <w:rPr>
                <w:rFonts w:ascii="Arial" w:hAnsi="Arial"/>
                <w:sz w:val="16"/>
                <w:szCs w:val="16"/>
                <w:lang w:val="en-AU"/>
              </w:rPr>
              <w:t>-</w:t>
            </w:r>
          </w:p>
        </w:tc>
        <w:tc>
          <w:tcPr>
            <w:tcW w:w="1035" w:type="dxa"/>
            <w:tcBorders>
              <w:top w:val="nil"/>
              <w:left w:val="nil"/>
              <w:bottom w:val="nil"/>
              <w:right w:val="nil"/>
            </w:tcBorders>
            <w:shd w:val="clear" w:color="auto" w:fill="auto"/>
            <w:noWrap/>
            <w:vAlign w:val="center"/>
          </w:tcPr>
          <w:p w14:paraId="765D6392" w14:textId="071BD43E" w:rsidR="00083563" w:rsidRPr="007B4775" w:rsidRDefault="0040014B" w:rsidP="0040014B">
            <w:pPr>
              <w:spacing w:before="0" w:after="0"/>
              <w:jc w:val="right"/>
              <w:rPr>
                <w:rFonts w:ascii="Arial" w:hAnsi="Arial"/>
                <w:sz w:val="16"/>
                <w:szCs w:val="16"/>
                <w:highlight w:val="yellow"/>
                <w:lang w:val="en-AU"/>
              </w:rPr>
            </w:pPr>
            <w:r>
              <w:rPr>
                <w:rFonts w:ascii="Arial" w:hAnsi="Arial"/>
                <w:sz w:val="16"/>
                <w:szCs w:val="16"/>
                <w:lang w:val="en-AU"/>
              </w:rPr>
              <w:t>-</w:t>
            </w:r>
            <w:r w:rsidR="00083563" w:rsidRPr="00A86A79">
              <w:rPr>
                <w:rFonts w:ascii="Arial" w:hAnsi="Arial"/>
                <w:sz w:val="16"/>
                <w:szCs w:val="16"/>
                <w:lang w:val="en-AU"/>
              </w:rPr>
              <w:t>1,710,636</w:t>
            </w:r>
          </w:p>
        </w:tc>
      </w:tr>
      <w:tr w:rsidR="00083563" w:rsidRPr="007B4775" w14:paraId="39BFED1D" w14:textId="77777777" w:rsidTr="002B2BCC">
        <w:trPr>
          <w:trHeight w:val="225"/>
        </w:trPr>
        <w:tc>
          <w:tcPr>
            <w:tcW w:w="3227" w:type="dxa"/>
            <w:tcBorders>
              <w:top w:val="nil"/>
              <w:left w:val="nil"/>
              <w:bottom w:val="nil"/>
              <w:right w:val="nil"/>
            </w:tcBorders>
            <w:shd w:val="clear" w:color="auto" w:fill="auto"/>
            <w:vAlign w:val="bottom"/>
            <w:hideMark/>
          </w:tcPr>
          <w:p w14:paraId="640A2367" w14:textId="77777777" w:rsidR="00083563" w:rsidRPr="002B2BCC" w:rsidRDefault="00083563" w:rsidP="00083563">
            <w:pPr>
              <w:spacing w:before="0" w:after="0"/>
              <w:rPr>
                <w:rFonts w:ascii="Arial" w:hAnsi="Arial"/>
                <w:b/>
                <w:bCs/>
                <w:sz w:val="16"/>
                <w:szCs w:val="16"/>
                <w:lang w:val="en-AU"/>
              </w:rPr>
            </w:pPr>
            <w:r w:rsidRPr="002B2BCC">
              <w:rPr>
                <w:rFonts w:ascii="Arial" w:hAnsi="Arial"/>
                <w:b/>
                <w:bCs/>
                <w:sz w:val="16"/>
                <w:szCs w:val="16"/>
                <w:lang w:val="en-AU"/>
              </w:rPr>
              <w:t>Opening net book balance</w:t>
            </w:r>
          </w:p>
        </w:tc>
        <w:tc>
          <w:tcPr>
            <w:tcW w:w="928" w:type="dxa"/>
            <w:tcBorders>
              <w:top w:val="single" w:sz="4" w:space="0" w:color="auto"/>
              <w:left w:val="nil"/>
              <w:bottom w:val="single" w:sz="4" w:space="0" w:color="auto"/>
              <w:right w:val="nil"/>
            </w:tcBorders>
            <w:shd w:val="clear" w:color="auto" w:fill="auto"/>
            <w:noWrap/>
            <w:vAlign w:val="center"/>
          </w:tcPr>
          <w:p w14:paraId="73FD0B0B" w14:textId="489331FF" w:rsidR="00083563" w:rsidRPr="007B4775" w:rsidRDefault="00083563" w:rsidP="00784613">
            <w:pPr>
              <w:spacing w:before="0" w:after="0"/>
              <w:jc w:val="right"/>
              <w:rPr>
                <w:rFonts w:ascii="Arial" w:hAnsi="Arial"/>
                <w:b/>
                <w:bCs/>
                <w:sz w:val="16"/>
                <w:szCs w:val="16"/>
                <w:highlight w:val="yellow"/>
                <w:lang w:val="en-AU"/>
              </w:rPr>
            </w:pPr>
            <w:r w:rsidRPr="00A86A79">
              <w:rPr>
                <w:rFonts w:ascii="Arial" w:hAnsi="Arial"/>
                <w:b/>
                <w:bCs/>
                <w:sz w:val="16"/>
                <w:szCs w:val="16"/>
                <w:lang w:val="en-AU"/>
              </w:rPr>
              <w:t>1,992,141</w:t>
            </w:r>
          </w:p>
        </w:tc>
        <w:tc>
          <w:tcPr>
            <w:tcW w:w="1035" w:type="dxa"/>
            <w:tcBorders>
              <w:top w:val="single" w:sz="4" w:space="0" w:color="auto"/>
              <w:left w:val="nil"/>
              <w:bottom w:val="single" w:sz="4" w:space="0" w:color="auto"/>
              <w:right w:val="nil"/>
            </w:tcBorders>
            <w:shd w:val="clear" w:color="auto" w:fill="auto"/>
            <w:noWrap/>
            <w:vAlign w:val="center"/>
          </w:tcPr>
          <w:p w14:paraId="4D9DA306" w14:textId="7EB969A1" w:rsidR="00083563" w:rsidRPr="007B4775" w:rsidRDefault="00083563" w:rsidP="00784613">
            <w:pPr>
              <w:spacing w:before="0" w:after="0"/>
              <w:jc w:val="right"/>
              <w:rPr>
                <w:rFonts w:ascii="Arial" w:hAnsi="Arial"/>
                <w:b/>
                <w:bCs/>
                <w:sz w:val="16"/>
                <w:szCs w:val="16"/>
                <w:highlight w:val="yellow"/>
                <w:lang w:val="en-AU"/>
              </w:rPr>
            </w:pPr>
            <w:r w:rsidRPr="00A86A79">
              <w:rPr>
                <w:rFonts w:ascii="Arial" w:hAnsi="Arial"/>
                <w:b/>
                <w:bCs/>
                <w:sz w:val="16"/>
                <w:szCs w:val="16"/>
                <w:lang w:val="en-AU"/>
              </w:rPr>
              <w:t>3,519,368</w:t>
            </w:r>
          </w:p>
        </w:tc>
        <w:tc>
          <w:tcPr>
            <w:tcW w:w="1025" w:type="dxa"/>
            <w:tcBorders>
              <w:top w:val="single" w:sz="4" w:space="0" w:color="auto"/>
              <w:left w:val="nil"/>
              <w:bottom w:val="single" w:sz="4" w:space="0" w:color="auto"/>
              <w:right w:val="nil"/>
            </w:tcBorders>
            <w:shd w:val="clear" w:color="auto" w:fill="auto"/>
            <w:noWrap/>
            <w:vAlign w:val="center"/>
          </w:tcPr>
          <w:p w14:paraId="33840B1A" w14:textId="092A0CA9" w:rsidR="00083563" w:rsidRPr="007B4775" w:rsidRDefault="00083563" w:rsidP="00784613">
            <w:pPr>
              <w:spacing w:before="0" w:after="0"/>
              <w:jc w:val="right"/>
              <w:rPr>
                <w:rFonts w:ascii="Arial" w:hAnsi="Arial"/>
                <w:b/>
                <w:bCs/>
                <w:sz w:val="16"/>
                <w:szCs w:val="16"/>
                <w:highlight w:val="yellow"/>
                <w:lang w:val="en-AU"/>
              </w:rPr>
            </w:pPr>
            <w:r w:rsidRPr="00A86A79">
              <w:rPr>
                <w:rFonts w:ascii="Arial" w:hAnsi="Arial"/>
                <w:b/>
                <w:bCs/>
                <w:sz w:val="16"/>
                <w:szCs w:val="16"/>
                <w:lang w:val="en-AU"/>
              </w:rPr>
              <w:t>16,092</w:t>
            </w:r>
          </w:p>
        </w:tc>
        <w:tc>
          <w:tcPr>
            <w:tcW w:w="1061" w:type="dxa"/>
            <w:tcBorders>
              <w:top w:val="single" w:sz="4" w:space="0" w:color="auto"/>
              <w:left w:val="nil"/>
              <w:bottom w:val="single" w:sz="4" w:space="0" w:color="auto"/>
              <w:right w:val="nil"/>
            </w:tcBorders>
            <w:shd w:val="clear" w:color="auto" w:fill="auto"/>
            <w:noWrap/>
            <w:vAlign w:val="center"/>
          </w:tcPr>
          <w:p w14:paraId="6BAAA9D4" w14:textId="58C934BF" w:rsidR="00083563" w:rsidRPr="007B4775" w:rsidRDefault="00083563" w:rsidP="00784613">
            <w:pPr>
              <w:spacing w:before="0" w:after="0"/>
              <w:jc w:val="right"/>
              <w:rPr>
                <w:rFonts w:ascii="Arial" w:hAnsi="Arial"/>
                <w:b/>
                <w:bCs/>
                <w:sz w:val="16"/>
                <w:szCs w:val="16"/>
                <w:highlight w:val="yellow"/>
                <w:lang w:val="en-AU"/>
              </w:rPr>
            </w:pPr>
            <w:r w:rsidRPr="00A86A79">
              <w:rPr>
                <w:rFonts w:ascii="Arial" w:hAnsi="Arial"/>
                <w:b/>
                <w:bCs/>
                <w:sz w:val="16"/>
                <w:szCs w:val="16"/>
                <w:lang w:val="en-AU"/>
              </w:rPr>
              <w:t>2</w:t>
            </w:r>
          </w:p>
        </w:tc>
        <w:tc>
          <w:tcPr>
            <w:tcW w:w="1035" w:type="dxa"/>
            <w:tcBorders>
              <w:top w:val="single" w:sz="4" w:space="0" w:color="auto"/>
              <w:left w:val="nil"/>
              <w:bottom w:val="single" w:sz="4" w:space="0" w:color="auto"/>
              <w:right w:val="nil"/>
            </w:tcBorders>
            <w:shd w:val="clear" w:color="auto" w:fill="auto"/>
            <w:noWrap/>
            <w:vAlign w:val="center"/>
          </w:tcPr>
          <w:p w14:paraId="0D420B80" w14:textId="45F002DB" w:rsidR="00083563" w:rsidRPr="007B4775" w:rsidRDefault="00083563" w:rsidP="00784613">
            <w:pPr>
              <w:spacing w:before="0" w:after="0"/>
              <w:jc w:val="right"/>
              <w:rPr>
                <w:rFonts w:ascii="Arial" w:hAnsi="Arial"/>
                <w:b/>
                <w:bCs/>
                <w:sz w:val="16"/>
                <w:szCs w:val="16"/>
                <w:highlight w:val="yellow"/>
                <w:lang w:val="en-AU"/>
              </w:rPr>
            </w:pPr>
            <w:r w:rsidRPr="00A86A79">
              <w:rPr>
                <w:rFonts w:ascii="Arial" w:hAnsi="Arial"/>
                <w:b/>
                <w:bCs/>
                <w:sz w:val="16"/>
                <w:szCs w:val="16"/>
                <w:lang w:val="en-AU"/>
              </w:rPr>
              <w:t>5,527,603</w:t>
            </w:r>
          </w:p>
        </w:tc>
      </w:tr>
      <w:tr w:rsidR="00C848C3" w:rsidRPr="007B4775" w14:paraId="54063588" w14:textId="77777777" w:rsidTr="002B2BCC">
        <w:trPr>
          <w:trHeight w:val="225"/>
        </w:trPr>
        <w:tc>
          <w:tcPr>
            <w:tcW w:w="3227" w:type="dxa"/>
            <w:tcBorders>
              <w:top w:val="nil"/>
              <w:left w:val="nil"/>
              <w:bottom w:val="nil"/>
              <w:right w:val="nil"/>
            </w:tcBorders>
            <w:shd w:val="clear" w:color="auto" w:fill="auto"/>
            <w:vAlign w:val="bottom"/>
            <w:hideMark/>
          </w:tcPr>
          <w:p w14:paraId="12F8538B" w14:textId="77777777" w:rsidR="00C848C3" w:rsidRPr="002B2BCC" w:rsidRDefault="00C848C3" w:rsidP="00C848C3">
            <w:pPr>
              <w:spacing w:before="0" w:after="0"/>
              <w:rPr>
                <w:rFonts w:ascii="Arial" w:hAnsi="Arial"/>
                <w:b/>
                <w:bCs/>
                <w:sz w:val="16"/>
                <w:szCs w:val="16"/>
                <w:lang w:val="en-AU"/>
              </w:rPr>
            </w:pPr>
            <w:r w:rsidRPr="002B2BCC">
              <w:rPr>
                <w:rFonts w:ascii="Arial" w:hAnsi="Arial"/>
                <w:b/>
                <w:bCs/>
                <w:sz w:val="16"/>
                <w:szCs w:val="16"/>
                <w:lang w:val="en-AU"/>
              </w:rPr>
              <w:t>Capital asset additions</w:t>
            </w:r>
          </w:p>
        </w:tc>
        <w:tc>
          <w:tcPr>
            <w:tcW w:w="928" w:type="dxa"/>
            <w:tcBorders>
              <w:top w:val="nil"/>
              <w:left w:val="nil"/>
              <w:bottom w:val="nil"/>
              <w:right w:val="nil"/>
            </w:tcBorders>
            <w:shd w:val="clear" w:color="auto" w:fill="auto"/>
            <w:noWrap/>
            <w:vAlign w:val="center"/>
          </w:tcPr>
          <w:p w14:paraId="5BA9C573" w14:textId="77777777" w:rsidR="00C848C3" w:rsidRPr="007B4775" w:rsidRDefault="00C848C3" w:rsidP="00C848C3">
            <w:pPr>
              <w:spacing w:before="0" w:after="0"/>
              <w:jc w:val="right"/>
              <w:rPr>
                <w:rFonts w:ascii="Arial" w:hAnsi="Arial"/>
                <w:b/>
                <w:bCs/>
                <w:sz w:val="16"/>
                <w:szCs w:val="16"/>
                <w:highlight w:val="yellow"/>
                <w:lang w:val="en-AU"/>
              </w:rPr>
            </w:pPr>
          </w:p>
        </w:tc>
        <w:tc>
          <w:tcPr>
            <w:tcW w:w="1035" w:type="dxa"/>
            <w:tcBorders>
              <w:top w:val="nil"/>
              <w:left w:val="nil"/>
              <w:bottom w:val="nil"/>
              <w:right w:val="nil"/>
            </w:tcBorders>
            <w:shd w:val="clear" w:color="auto" w:fill="auto"/>
            <w:noWrap/>
            <w:vAlign w:val="center"/>
          </w:tcPr>
          <w:p w14:paraId="1B08B155" w14:textId="77777777" w:rsidR="00C848C3" w:rsidRPr="007B4775" w:rsidRDefault="00C848C3" w:rsidP="00C848C3">
            <w:pPr>
              <w:spacing w:before="0" w:after="0"/>
              <w:jc w:val="right"/>
              <w:rPr>
                <w:rFonts w:ascii="Times New Roman" w:hAnsi="Times New Roman" w:cs="Times New Roman"/>
                <w:szCs w:val="20"/>
                <w:highlight w:val="yellow"/>
                <w:lang w:val="en-AU"/>
              </w:rPr>
            </w:pPr>
          </w:p>
        </w:tc>
        <w:tc>
          <w:tcPr>
            <w:tcW w:w="1025" w:type="dxa"/>
            <w:tcBorders>
              <w:top w:val="nil"/>
              <w:left w:val="nil"/>
              <w:bottom w:val="nil"/>
              <w:right w:val="nil"/>
            </w:tcBorders>
            <w:shd w:val="clear" w:color="auto" w:fill="auto"/>
            <w:noWrap/>
            <w:vAlign w:val="center"/>
          </w:tcPr>
          <w:p w14:paraId="3787DA94" w14:textId="77777777" w:rsidR="00C848C3" w:rsidRPr="007B4775" w:rsidRDefault="00C848C3" w:rsidP="00C848C3">
            <w:pPr>
              <w:spacing w:before="0" w:after="0"/>
              <w:jc w:val="right"/>
              <w:rPr>
                <w:rFonts w:ascii="Times New Roman" w:hAnsi="Times New Roman" w:cs="Times New Roman"/>
                <w:szCs w:val="20"/>
                <w:highlight w:val="yellow"/>
                <w:lang w:val="en-AU"/>
              </w:rPr>
            </w:pPr>
          </w:p>
        </w:tc>
        <w:tc>
          <w:tcPr>
            <w:tcW w:w="1061" w:type="dxa"/>
            <w:tcBorders>
              <w:top w:val="nil"/>
              <w:left w:val="nil"/>
              <w:bottom w:val="nil"/>
              <w:right w:val="nil"/>
            </w:tcBorders>
            <w:shd w:val="clear" w:color="auto" w:fill="auto"/>
            <w:noWrap/>
            <w:vAlign w:val="center"/>
          </w:tcPr>
          <w:p w14:paraId="71D92B4A" w14:textId="77777777" w:rsidR="00C848C3" w:rsidRPr="007B4775" w:rsidRDefault="00C848C3" w:rsidP="00C848C3">
            <w:pPr>
              <w:spacing w:before="0" w:after="0"/>
              <w:jc w:val="right"/>
              <w:rPr>
                <w:rFonts w:ascii="Times New Roman" w:hAnsi="Times New Roman" w:cs="Times New Roman"/>
                <w:szCs w:val="20"/>
                <w:highlight w:val="yellow"/>
                <w:lang w:val="en-AU"/>
              </w:rPr>
            </w:pPr>
          </w:p>
        </w:tc>
        <w:tc>
          <w:tcPr>
            <w:tcW w:w="1035" w:type="dxa"/>
            <w:tcBorders>
              <w:top w:val="nil"/>
              <w:left w:val="nil"/>
              <w:bottom w:val="nil"/>
              <w:right w:val="nil"/>
            </w:tcBorders>
            <w:shd w:val="clear" w:color="auto" w:fill="auto"/>
            <w:noWrap/>
            <w:vAlign w:val="center"/>
          </w:tcPr>
          <w:p w14:paraId="335EB9AF" w14:textId="77777777" w:rsidR="00C848C3" w:rsidRPr="007B4775" w:rsidRDefault="00C848C3" w:rsidP="00C848C3">
            <w:pPr>
              <w:spacing w:before="0" w:after="0"/>
              <w:jc w:val="right"/>
              <w:rPr>
                <w:rFonts w:ascii="Times New Roman" w:hAnsi="Times New Roman" w:cs="Times New Roman"/>
                <w:szCs w:val="20"/>
                <w:highlight w:val="yellow"/>
                <w:lang w:val="en-AU"/>
              </w:rPr>
            </w:pPr>
          </w:p>
        </w:tc>
      </w:tr>
      <w:tr w:rsidR="00C848C3" w:rsidRPr="007B4775" w14:paraId="7A645B38" w14:textId="77777777" w:rsidTr="002B2BCC">
        <w:trPr>
          <w:trHeight w:val="450"/>
        </w:trPr>
        <w:tc>
          <w:tcPr>
            <w:tcW w:w="3227" w:type="dxa"/>
            <w:tcBorders>
              <w:top w:val="nil"/>
              <w:left w:val="nil"/>
              <w:bottom w:val="nil"/>
              <w:right w:val="nil"/>
            </w:tcBorders>
            <w:shd w:val="clear" w:color="auto" w:fill="auto"/>
            <w:vAlign w:val="bottom"/>
            <w:hideMark/>
          </w:tcPr>
          <w:p w14:paraId="0D407CC6" w14:textId="77777777" w:rsidR="00C848C3" w:rsidRPr="002B2BCC" w:rsidRDefault="00C848C3" w:rsidP="00C848C3">
            <w:pPr>
              <w:spacing w:before="0" w:after="0"/>
              <w:ind w:firstLineChars="100" w:firstLine="160"/>
              <w:rPr>
                <w:rFonts w:ascii="Arial" w:hAnsi="Arial"/>
                <w:b/>
                <w:bCs/>
                <w:sz w:val="16"/>
                <w:szCs w:val="16"/>
                <w:lang w:val="en-AU"/>
              </w:rPr>
            </w:pPr>
            <w:r w:rsidRPr="002B2BCC">
              <w:rPr>
                <w:rFonts w:ascii="Arial" w:hAnsi="Arial"/>
                <w:b/>
                <w:bCs/>
                <w:sz w:val="16"/>
                <w:szCs w:val="16"/>
                <w:lang w:val="en-AU"/>
              </w:rPr>
              <w:t>Estimated expenditure on new</w:t>
            </w:r>
            <w:r w:rsidRPr="002B2BCC">
              <w:rPr>
                <w:rFonts w:ascii="Arial" w:hAnsi="Arial"/>
                <w:b/>
                <w:bCs/>
                <w:sz w:val="16"/>
                <w:szCs w:val="16"/>
                <w:lang w:val="en-AU"/>
              </w:rPr>
              <w:br/>
              <w:t xml:space="preserve">   or replacement assets</w:t>
            </w:r>
          </w:p>
        </w:tc>
        <w:tc>
          <w:tcPr>
            <w:tcW w:w="928" w:type="dxa"/>
            <w:tcBorders>
              <w:top w:val="nil"/>
              <w:left w:val="nil"/>
              <w:bottom w:val="nil"/>
              <w:right w:val="nil"/>
            </w:tcBorders>
            <w:shd w:val="clear" w:color="auto" w:fill="auto"/>
            <w:noWrap/>
            <w:vAlign w:val="center"/>
          </w:tcPr>
          <w:p w14:paraId="7DFF6DA6" w14:textId="77777777" w:rsidR="00C848C3" w:rsidRPr="007B4775" w:rsidRDefault="00C848C3" w:rsidP="00C848C3">
            <w:pPr>
              <w:spacing w:before="0" w:after="0"/>
              <w:ind w:firstLineChars="100" w:firstLine="160"/>
              <w:jc w:val="right"/>
              <w:rPr>
                <w:rFonts w:ascii="Arial" w:hAnsi="Arial"/>
                <w:b/>
                <w:bCs/>
                <w:sz w:val="16"/>
                <w:szCs w:val="16"/>
                <w:highlight w:val="yellow"/>
                <w:lang w:val="en-AU"/>
              </w:rPr>
            </w:pPr>
          </w:p>
        </w:tc>
        <w:tc>
          <w:tcPr>
            <w:tcW w:w="1035" w:type="dxa"/>
            <w:tcBorders>
              <w:top w:val="nil"/>
              <w:left w:val="nil"/>
              <w:bottom w:val="nil"/>
              <w:right w:val="nil"/>
            </w:tcBorders>
            <w:shd w:val="clear" w:color="auto" w:fill="auto"/>
            <w:noWrap/>
            <w:vAlign w:val="center"/>
          </w:tcPr>
          <w:p w14:paraId="4B1E8293" w14:textId="77777777" w:rsidR="00C848C3" w:rsidRPr="007B4775" w:rsidRDefault="00C848C3" w:rsidP="00C848C3">
            <w:pPr>
              <w:spacing w:before="0" w:after="0"/>
              <w:jc w:val="right"/>
              <w:rPr>
                <w:rFonts w:ascii="Times New Roman" w:hAnsi="Times New Roman" w:cs="Times New Roman"/>
                <w:szCs w:val="20"/>
                <w:highlight w:val="yellow"/>
                <w:lang w:val="en-AU"/>
              </w:rPr>
            </w:pPr>
          </w:p>
        </w:tc>
        <w:tc>
          <w:tcPr>
            <w:tcW w:w="1025" w:type="dxa"/>
            <w:tcBorders>
              <w:top w:val="nil"/>
              <w:left w:val="nil"/>
              <w:bottom w:val="nil"/>
              <w:right w:val="nil"/>
            </w:tcBorders>
            <w:shd w:val="clear" w:color="auto" w:fill="auto"/>
            <w:noWrap/>
            <w:vAlign w:val="center"/>
          </w:tcPr>
          <w:p w14:paraId="6C84123F" w14:textId="77777777" w:rsidR="00C848C3" w:rsidRPr="007B4775" w:rsidRDefault="00C848C3" w:rsidP="00C848C3">
            <w:pPr>
              <w:spacing w:before="0" w:after="0"/>
              <w:jc w:val="right"/>
              <w:rPr>
                <w:rFonts w:ascii="Times New Roman" w:hAnsi="Times New Roman" w:cs="Times New Roman"/>
                <w:szCs w:val="20"/>
                <w:highlight w:val="yellow"/>
                <w:lang w:val="en-AU"/>
              </w:rPr>
            </w:pPr>
          </w:p>
        </w:tc>
        <w:tc>
          <w:tcPr>
            <w:tcW w:w="1061" w:type="dxa"/>
            <w:tcBorders>
              <w:top w:val="nil"/>
              <w:left w:val="nil"/>
              <w:bottom w:val="nil"/>
              <w:right w:val="nil"/>
            </w:tcBorders>
            <w:shd w:val="clear" w:color="auto" w:fill="auto"/>
            <w:noWrap/>
            <w:vAlign w:val="center"/>
          </w:tcPr>
          <w:p w14:paraId="21BCFAB7" w14:textId="77777777" w:rsidR="00C848C3" w:rsidRPr="007B4775" w:rsidRDefault="00C848C3" w:rsidP="00C848C3">
            <w:pPr>
              <w:spacing w:before="0" w:after="0"/>
              <w:jc w:val="right"/>
              <w:rPr>
                <w:rFonts w:ascii="Times New Roman" w:hAnsi="Times New Roman" w:cs="Times New Roman"/>
                <w:szCs w:val="20"/>
                <w:highlight w:val="yellow"/>
                <w:lang w:val="en-AU"/>
              </w:rPr>
            </w:pPr>
          </w:p>
        </w:tc>
        <w:tc>
          <w:tcPr>
            <w:tcW w:w="1035" w:type="dxa"/>
            <w:tcBorders>
              <w:top w:val="nil"/>
              <w:left w:val="nil"/>
              <w:bottom w:val="nil"/>
              <w:right w:val="nil"/>
            </w:tcBorders>
            <w:shd w:val="clear" w:color="auto" w:fill="auto"/>
            <w:noWrap/>
            <w:vAlign w:val="center"/>
          </w:tcPr>
          <w:p w14:paraId="69EB13D2" w14:textId="77777777" w:rsidR="00C848C3" w:rsidRPr="007B4775" w:rsidRDefault="00C848C3" w:rsidP="00C848C3">
            <w:pPr>
              <w:spacing w:before="0" w:after="0"/>
              <w:jc w:val="right"/>
              <w:rPr>
                <w:rFonts w:ascii="Times New Roman" w:hAnsi="Times New Roman" w:cs="Times New Roman"/>
                <w:szCs w:val="20"/>
                <w:highlight w:val="yellow"/>
                <w:lang w:val="en-AU"/>
              </w:rPr>
            </w:pPr>
          </w:p>
        </w:tc>
      </w:tr>
      <w:tr w:rsidR="00083563" w:rsidRPr="007B4775" w14:paraId="632D7E66" w14:textId="77777777" w:rsidTr="002B2BCC">
        <w:trPr>
          <w:trHeight w:val="225"/>
        </w:trPr>
        <w:tc>
          <w:tcPr>
            <w:tcW w:w="3227" w:type="dxa"/>
            <w:tcBorders>
              <w:top w:val="nil"/>
              <w:left w:val="nil"/>
              <w:bottom w:val="nil"/>
              <w:right w:val="nil"/>
            </w:tcBorders>
            <w:shd w:val="clear" w:color="auto" w:fill="auto"/>
            <w:vAlign w:val="bottom"/>
            <w:hideMark/>
          </w:tcPr>
          <w:p w14:paraId="770C5DD0" w14:textId="77777777" w:rsidR="00083563" w:rsidRPr="002B2BCC" w:rsidRDefault="00083563" w:rsidP="00083563">
            <w:pPr>
              <w:spacing w:before="0" w:after="0"/>
              <w:ind w:firstLineChars="100" w:firstLine="160"/>
              <w:rPr>
                <w:rFonts w:ascii="Arial" w:hAnsi="Arial"/>
                <w:sz w:val="16"/>
                <w:szCs w:val="16"/>
                <w:lang w:val="en-AU"/>
              </w:rPr>
            </w:pPr>
            <w:r w:rsidRPr="002B2BCC">
              <w:rPr>
                <w:rFonts w:ascii="Arial" w:hAnsi="Arial"/>
                <w:sz w:val="16"/>
                <w:szCs w:val="16"/>
                <w:lang w:val="en-AU"/>
              </w:rPr>
              <w:t>By purchase - other</w:t>
            </w:r>
          </w:p>
        </w:tc>
        <w:tc>
          <w:tcPr>
            <w:tcW w:w="928" w:type="dxa"/>
            <w:tcBorders>
              <w:top w:val="nil"/>
              <w:left w:val="nil"/>
              <w:bottom w:val="nil"/>
              <w:right w:val="nil"/>
            </w:tcBorders>
            <w:shd w:val="clear" w:color="auto" w:fill="auto"/>
            <w:noWrap/>
            <w:vAlign w:val="center"/>
          </w:tcPr>
          <w:p w14:paraId="3077F91D" w14:textId="1E20F9BD" w:rsidR="00083563" w:rsidRPr="007B4775" w:rsidRDefault="00083563" w:rsidP="00784613">
            <w:pPr>
              <w:spacing w:before="0" w:after="0"/>
              <w:jc w:val="right"/>
              <w:rPr>
                <w:rFonts w:ascii="Arial" w:hAnsi="Arial"/>
                <w:sz w:val="16"/>
                <w:szCs w:val="16"/>
                <w:highlight w:val="yellow"/>
                <w:lang w:val="en-AU"/>
              </w:rPr>
            </w:pPr>
            <w:r w:rsidRPr="00A86A79">
              <w:rPr>
                <w:rFonts w:ascii="Arial" w:hAnsi="Arial"/>
                <w:sz w:val="16"/>
                <w:szCs w:val="16"/>
                <w:lang w:val="en-AU"/>
              </w:rPr>
              <w:t>42,437</w:t>
            </w:r>
          </w:p>
        </w:tc>
        <w:tc>
          <w:tcPr>
            <w:tcW w:w="1035" w:type="dxa"/>
            <w:tcBorders>
              <w:top w:val="nil"/>
              <w:left w:val="nil"/>
              <w:bottom w:val="nil"/>
              <w:right w:val="nil"/>
            </w:tcBorders>
            <w:shd w:val="clear" w:color="auto" w:fill="auto"/>
            <w:noWrap/>
            <w:vAlign w:val="center"/>
          </w:tcPr>
          <w:p w14:paraId="059C8D74" w14:textId="22102434" w:rsidR="00083563" w:rsidRPr="007B4775" w:rsidRDefault="00083563" w:rsidP="00784613">
            <w:pPr>
              <w:spacing w:before="0" w:after="0"/>
              <w:jc w:val="right"/>
              <w:rPr>
                <w:rFonts w:ascii="Arial" w:hAnsi="Arial"/>
                <w:sz w:val="16"/>
                <w:szCs w:val="16"/>
                <w:highlight w:val="yellow"/>
                <w:lang w:val="en-AU"/>
              </w:rPr>
            </w:pPr>
            <w:r w:rsidRPr="00A86A79">
              <w:rPr>
                <w:rFonts w:ascii="Arial" w:hAnsi="Arial"/>
                <w:sz w:val="16"/>
                <w:szCs w:val="16"/>
                <w:lang w:val="en-AU"/>
              </w:rPr>
              <w:t>113,753</w:t>
            </w:r>
          </w:p>
        </w:tc>
        <w:tc>
          <w:tcPr>
            <w:tcW w:w="1025" w:type="dxa"/>
            <w:tcBorders>
              <w:top w:val="nil"/>
              <w:left w:val="nil"/>
              <w:bottom w:val="nil"/>
              <w:right w:val="nil"/>
            </w:tcBorders>
            <w:shd w:val="clear" w:color="auto" w:fill="auto"/>
            <w:noWrap/>
            <w:vAlign w:val="center"/>
          </w:tcPr>
          <w:p w14:paraId="61EB4C4B" w14:textId="54D5B8A7" w:rsidR="00083563" w:rsidRPr="007B4775" w:rsidRDefault="00083563" w:rsidP="00784613">
            <w:pPr>
              <w:spacing w:before="0" w:after="0"/>
              <w:jc w:val="right"/>
              <w:rPr>
                <w:rFonts w:ascii="Arial" w:hAnsi="Arial"/>
                <w:sz w:val="16"/>
                <w:szCs w:val="16"/>
                <w:highlight w:val="yellow"/>
                <w:lang w:val="en-AU"/>
              </w:rPr>
            </w:pPr>
            <w:r w:rsidRPr="00A86A79">
              <w:rPr>
                <w:rFonts w:ascii="Arial" w:hAnsi="Arial"/>
                <w:sz w:val="16"/>
                <w:szCs w:val="16"/>
                <w:lang w:val="en-AU"/>
              </w:rPr>
              <w:t>1,200</w:t>
            </w:r>
          </w:p>
        </w:tc>
        <w:tc>
          <w:tcPr>
            <w:tcW w:w="1061" w:type="dxa"/>
            <w:tcBorders>
              <w:top w:val="nil"/>
              <w:left w:val="nil"/>
              <w:bottom w:val="nil"/>
              <w:right w:val="nil"/>
            </w:tcBorders>
            <w:shd w:val="clear" w:color="auto" w:fill="auto"/>
            <w:noWrap/>
            <w:vAlign w:val="center"/>
          </w:tcPr>
          <w:p w14:paraId="1ADAB915" w14:textId="6EE6BC09" w:rsidR="00083563" w:rsidRPr="007B4775" w:rsidRDefault="00083563" w:rsidP="00784613">
            <w:pPr>
              <w:spacing w:before="0" w:after="0"/>
              <w:jc w:val="right"/>
              <w:rPr>
                <w:rFonts w:ascii="Arial" w:hAnsi="Arial"/>
                <w:sz w:val="16"/>
                <w:szCs w:val="16"/>
                <w:highlight w:val="yellow"/>
                <w:lang w:val="en-AU"/>
              </w:rPr>
            </w:pPr>
            <w:r w:rsidRPr="00A86A79">
              <w:rPr>
                <w:rFonts w:ascii="Arial" w:hAnsi="Arial"/>
                <w:sz w:val="16"/>
                <w:szCs w:val="16"/>
                <w:lang w:val="en-AU"/>
              </w:rPr>
              <w:t>-</w:t>
            </w:r>
          </w:p>
        </w:tc>
        <w:tc>
          <w:tcPr>
            <w:tcW w:w="1035" w:type="dxa"/>
            <w:tcBorders>
              <w:top w:val="nil"/>
              <w:left w:val="nil"/>
              <w:bottom w:val="nil"/>
              <w:right w:val="nil"/>
            </w:tcBorders>
            <w:shd w:val="clear" w:color="auto" w:fill="auto"/>
            <w:noWrap/>
            <w:vAlign w:val="center"/>
          </w:tcPr>
          <w:p w14:paraId="53FB1A51" w14:textId="65A3C3FD" w:rsidR="00083563" w:rsidRPr="007B4775" w:rsidRDefault="00083563" w:rsidP="00784613">
            <w:pPr>
              <w:spacing w:before="0" w:after="0"/>
              <w:jc w:val="right"/>
              <w:rPr>
                <w:rFonts w:ascii="Arial" w:hAnsi="Arial"/>
                <w:sz w:val="16"/>
                <w:szCs w:val="16"/>
                <w:highlight w:val="yellow"/>
                <w:lang w:val="en-AU"/>
              </w:rPr>
            </w:pPr>
            <w:r w:rsidRPr="00A86A79">
              <w:rPr>
                <w:rFonts w:ascii="Arial" w:hAnsi="Arial"/>
                <w:sz w:val="16"/>
                <w:szCs w:val="16"/>
                <w:lang w:val="en-AU"/>
              </w:rPr>
              <w:t>157,390</w:t>
            </w:r>
          </w:p>
        </w:tc>
      </w:tr>
      <w:tr w:rsidR="00083563" w:rsidRPr="007B4775" w14:paraId="425EBC73" w14:textId="77777777" w:rsidTr="002B2BCC">
        <w:trPr>
          <w:trHeight w:val="225"/>
        </w:trPr>
        <w:tc>
          <w:tcPr>
            <w:tcW w:w="3227" w:type="dxa"/>
            <w:tcBorders>
              <w:top w:val="nil"/>
              <w:left w:val="nil"/>
              <w:right w:val="nil"/>
            </w:tcBorders>
            <w:shd w:val="clear" w:color="auto" w:fill="auto"/>
            <w:vAlign w:val="center"/>
            <w:hideMark/>
          </w:tcPr>
          <w:p w14:paraId="6356FB40" w14:textId="77777777" w:rsidR="00083563" w:rsidRPr="002B2BCC" w:rsidRDefault="00083563" w:rsidP="00083563">
            <w:pPr>
              <w:spacing w:before="0" w:after="0"/>
              <w:ind w:firstLineChars="100" w:firstLine="160"/>
              <w:rPr>
                <w:rFonts w:ascii="Arial" w:hAnsi="Arial"/>
                <w:sz w:val="16"/>
                <w:szCs w:val="16"/>
                <w:lang w:val="en-AU"/>
              </w:rPr>
            </w:pPr>
            <w:r w:rsidRPr="002B2BCC">
              <w:rPr>
                <w:rFonts w:ascii="Arial" w:hAnsi="Arial"/>
                <w:sz w:val="16"/>
                <w:szCs w:val="16"/>
                <w:lang w:val="en-AU"/>
              </w:rPr>
              <w:t>By purchase - other - ROU assets</w:t>
            </w:r>
          </w:p>
        </w:tc>
        <w:tc>
          <w:tcPr>
            <w:tcW w:w="928" w:type="dxa"/>
            <w:tcBorders>
              <w:top w:val="nil"/>
              <w:left w:val="nil"/>
              <w:bottom w:val="single" w:sz="4" w:space="0" w:color="auto"/>
              <w:right w:val="nil"/>
            </w:tcBorders>
            <w:shd w:val="clear" w:color="auto" w:fill="auto"/>
            <w:noWrap/>
            <w:vAlign w:val="center"/>
          </w:tcPr>
          <w:p w14:paraId="1AF1AB2E" w14:textId="1E6FFEA3" w:rsidR="00083563" w:rsidRPr="007B4775" w:rsidRDefault="00083563" w:rsidP="00784613">
            <w:pPr>
              <w:spacing w:before="0" w:after="0"/>
              <w:jc w:val="right"/>
              <w:rPr>
                <w:rFonts w:ascii="Arial" w:hAnsi="Arial"/>
                <w:sz w:val="16"/>
                <w:szCs w:val="16"/>
                <w:highlight w:val="yellow"/>
                <w:lang w:val="en-AU"/>
              </w:rPr>
            </w:pPr>
            <w:r w:rsidRPr="00A86A79">
              <w:rPr>
                <w:rFonts w:ascii="Arial" w:hAnsi="Arial"/>
                <w:sz w:val="16"/>
                <w:szCs w:val="16"/>
                <w:lang w:val="en-AU"/>
              </w:rPr>
              <w:t>-</w:t>
            </w:r>
          </w:p>
        </w:tc>
        <w:tc>
          <w:tcPr>
            <w:tcW w:w="1035" w:type="dxa"/>
            <w:tcBorders>
              <w:top w:val="nil"/>
              <w:left w:val="nil"/>
              <w:bottom w:val="single" w:sz="4" w:space="0" w:color="auto"/>
              <w:right w:val="nil"/>
            </w:tcBorders>
            <w:shd w:val="clear" w:color="auto" w:fill="auto"/>
            <w:noWrap/>
            <w:vAlign w:val="center"/>
          </w:tcPr>
          <w:p w14:paraId="4440D0E3" w14:textId="57DBE0E9" w:rsidR="00083563" w:rsidRPr="007B4775" w:rsidRDefault="00083563" w:rsidP="00784613">
            <w:pPr>
              <w:spacing w:before="0" w:after="0"/>
              <w:jc w:val="right"/>
              <w:rPr>
                <w:rFonts w:ascii="Arial" w:hAnsi="Arial"/>
                <w:sz w:val="16"/>
                <w:szCs w:val="16"/>
                <w:highlight w:val="yellow"/>
                <w:lang w:val="en-AU"/>
              </w:rPr>
            </w:pPr>
            <w:r w:rsidRPr="00A86A79">
              <w:rPr>
                <w:rFonts w:ascii="Arial" w:hAnsi="Arial"/>
                <w:sz w:val="16"/>
                <w:szCs w:val="16"/>
                <w:lang w:val="en-AU"/>
              </w:rPr>
              <w:t>350,162</w:t>
            </w:r>
          </w:p>
        </w:tc>
        <w:tc>
          <w:tcPr>
            <w:tcW w:w="1025" w:type="dxa"/>
            <w:tcBorders>
              <w:top w:val="nil"/>
              <w:left w:val="nil"/>
              <w:bottom w:val="single" w:sz="4" w:space="0" w:color="auto"/>
              <w:right w:val="nil"/>
            </w:tcBorders>
            <w:shd w:val="clear" w:color="auto" w:fill="auto"/>
            <w:noWrap/>
            <w:vAlign w:val="center"/>
          </w:tcPr>
          <w:p w14:paraId="059A71C1" w14:textId="7F92A28F" w:rsidR="00083563" w:rsidRPr="007B4775" w:rsidRDefault="00083563" w:rsidP="00784613">
            <w:pPr>
              <w:spacing w:before="0" w:after="0"/>
              <w:jc w:val="right"/>
              <w:rPr>
                <w:rFonts w:ascii="Arial" w:hAnsi="Arial"/>
                <w:sz w:val="16"/>
                <w:szCs w:val="16"/>
                <w:highlight w:val="yellow"/>
                <w:lang w:val="en-AU"/>
              </w:rPr>
            </w:pPr>
            <w:r w:rsidRPr="00A86A79">
              <w:rPr>
                <w:rFonts w:ascii="Arial" w:hAnsi="Arial"/>
                <w:sz w:val="16"/>
                <w:szCs w:val="16"/>
                <w:lang w:val="en-AU"/>
              </w:rPr>
              <w:t>-</w:t>
            </w:r>
          </w:p>
        </w:tc>
        <w:tc>
          <w:tcPr>
            <w:tcW w:w="1061" w:type="dxa"/>
            <w:tcBorders>
              <w:top w:val="nil"/>
              <w:left w:val="nil"/>
              <w:bottom w:val="single" w:sz="4" w:space="0" w:color="auto"/>
              <w:right w:val="nil"/>
            </w:tcBorders>
            <w:shd w:val="clear" w:color="auto" w:fill="auto"/>
            <w:noWrap/>
            <w:vAlign w:val="center"/>
          </w:tcPr>
          <w:p w14:paraId="110AB210" w14:textId="4BB59E22" w:rsidR="00083563" w:rsidRPr="007B4775" w:rsidRDefault="00083563" w:rsidP="00784613">
            <w:pPr>
              <w:spacing w:before="0" w:after="0"/>
              <w:jc w:val="right"/>
              <w:rPr>
                <w:rFonts w:ascii="Arial" w:hAnsi="Arial"/>
                <w:sz w:val="16"/>
                <w:szCs w:val="16"/>
                <w:highlight w:val="yellow"/>
                <w:lang w:val="en-AU"/>
              </w:rPr>
            </w:pPr>
            <w:r w:rsidRPr="00A86A79">
              <w:rPr>
                <w:rFonts w:ascii="Arial" w:hAnsi="Arial"/>
                <w:sz w:val="16"/>
                <w:szCs w:val="16"/>
                <w:lang w:val="en-AU"/>
              </w:rPr>
              <w:t>-</w:t>
            </w:r>
          </w:p>
        </w:tc>
        <w:tc>
          <w:tcPr>
            <w:tcW w:w="1035" w:type="dxa"/>
            <w:tcBorders>
              <w:top w:val="nil"/>
              <w:left w:val="nil"/>
              <w:bottom w:val="single" w:sz="4" w:space="0" w:color="auto"/>
              <w:right w:val="nil"/>
            </w:tcBorders>
            <w:shd w:val="clear" w:color="auto" w:fill="auto"/>
            <w:noWrap/>
            <w:vAlign w:val="center"/>
          </w:tcPr>
          <w:p w14:paraId="625DC516" w14:textId="2AAD6165" w:rsidR="00083563" w:rsidRPr="007B4775" w:rsidRDefault="00083563" w:rsidP="00784613">
            <w:pPr>
              <w:spacing w:before="0" w:after="0"/>
              <w:jc w:val="right"/>
              <w:rPr>
                <w:rFonts w:ascii="Arial" w:hAnsi="Arial"/>
                <w:sz w:val="16"/>
                <w:szCs w:val="16"/>
                <w:highlight w:val="yellow"/>
                <w:lang w:val="en-AU"/>
              </w:rPr>
            </w:pPr>
            <w:r w:rsidRPr="00A86A79">
              <w:rPr>
                <w:rFonts w:ascii="Arial" w:hAnsi="Arial"/>
                <w:sz w:val="16"/>
                <w:szCs w:val="16"/>
                <w:lang w:val="en-AU"/>
              </w:rPr>
              <w:t>350,162</w:t>
            </w:r>
          </w:p>
        </w:tc>
      </w:tr>
      <w:tr w:rsidR="00083563" w:rsidRPr="007B4775" w14:paraId="0B38911D" w14:textId="77777777" w:rsidTr="002B2BCC">
        <w:trPr>
          <w:trHeight w:val="225"/>
        </w:trPr>
        <w:tc>
          <w:tcPr>
            <w:tcW w:w="3227" w:type="dxa"/>
            <w:tcBorders>
              <w:top w:val="nil"/>
              <w:left w:val="nil"/>
              <w:right w:val="nil"/>
            </w:tcBorders>
            <w:shd w:val="clear" w:color="auto" w:fill="auto"/>
            <w:vAlign w:val="bottom"/>
            <w:hideMark/>
          </w:tcPr>
          <w:p w14:paraId="4770715A" w14:textId="77777777" w:rsidR="00083563" w:rsidRPr="002B2BCC" w:rsidRDefault="00083563" w:rsidP="00083563">
            <w:pPr>
              <w:spacing w:before="0" w:after="0"/>
              <w:ind w:firstLineChars="100" w:firstLine="160"/>
              <w:rPr>
                <w:rFonts w:ascii="Arial" w:hAnsi="Arial"/>
                <w:b/>
                <w:bCs/>
                <w:sz w:val="16"/>
                <w:szCs w:val="16"/>
                <w:lang w:val="en-AU"/>
              </w:rPr>
            </w:pPr>
            <w:r w:rsidRPr="002B2BCC">
              <w:rPr>
                <w:rFonts w:ascii="Arial" w:hAnsi="Arial"/>
                <w:b/>
                <w:bCs/>
                <w:sz w:val="16"/>
                <w:szCs w:val="16"/>
                <w:lang w:val="en-AU"/>
              </w:rPr>
              <w:t>Total additions</w:t>
            </w:r>
          </w:p>
        </w:tc>
        <w:tc>
          <w:tcPr>
            <w:tcW w:w="928" w:type="dxa"/>
            <w:tcBorders>
              <w:top w:val="single" w:sz="4" w:space="0" w:color="auto"/>
              <w:left w:val="nil"/>
              <w:bottom w:val="single" w:sz="4" w:space="0" w:color="auto"/>
              <w:right w:val="nil"/>
            </w:tcBorders>
            <w:shd w:val="clear" w:color="auto" w:fill="auto"/>
            <w:noWrap/>
            <w:vAlign w:val="center"/>
          </w:tcPr>
          <w:p w14:paraId="3FB960EA" w14:textId="6F60D66F" w:rsidR="00083563" w:rsidRPr="007B4775" w:rsidRDefault="00083563" w:rsidP="00784613">
            <w:pPr>
              <w:spacing w:before="0" w:after="0"/>
              <w:jc w:val="right"/>
              <w:rPr>
                <w:rFonts w:ascii="Arial" w:hAnsi="Arial"/>
                <w:b/>
                <w:bCs/>
                <w:sz w:val="16"/>
                <w:szCs w:val="16"/>
                <w:highlight w:val="yellow"/>
                <w:lang w:val="en-AU"/>
              </w:rPr>
            </w:pPr>
            <w:r w:rsidRPr="00A86A79">
              <w:rPr>
                <w:rFonts w:ascii="Arial" w:hAnsi="Arial"/>
                <w:b/>
                <w:bCs/>
                <w:sz w:val="16"/>
                <w:szCs w:val="16"/>
                <w:lang w:val="en-AU"/>
              </w:rPr>
              <w:t>42,437</w:t>
            </w:r>
          </w:p>
        </w:tc>
        <w:tc>
          <w:tcPr>
            <w:tcW w:w="1035" w:type="dxa"/>
            <w:tcBorders>
              <w:top w:val="single" w:sz="4" w:space="0" w:color="auto"/>
              <w:left w:val="nil"/>
              <w:bottom w:val="single" w:sz="4" w:space="0" w:color="auto"/>
              <w:right w:val="nil"/>
            </w:tcBorders>
            <w:shd w:val="clear" w:color="auto" w:fill="auto"/>
            <w:noWrap/>
            <w:vAlign w:val="center"/>
          </w:tcPr>
          <w:p w14:paraId="45C7B4F8" w14:textId="328839D1" w:rsidR="00083563" w:rsidRPr="007B4775" w:rsidRDefault="00083563" w:rsidP="00784613">
            <w:pPr>
              <w:spacing w:before="0" w:after="0"/>
              <w:jc w:val="right"/>
              <w:rPr>
                <w:rFonts w:ascii="Arial" w:hAnsi="Arial"/>
                <w:b/>
                <w:bCs/>
                <w:sz w:val="16"/>
                <w:szCs w:val="16"/>
                <w:highlight w:val="yellow"/>
                <w:lang w:val="en-AU"/>
              </w:rPr>
            </w:pPr>
            <w:r w:rsidRPr="00A86A79">
              <w:rPr>
                <w:rFonts w:ascii="Arial" w:hAnsi="Arial"/>
                <w:b/>
                <w:bCs/>
                <w:sz w:val="16"/>
                <w:szCs w:val="16"/>
                <w:lang w:val="en-AU"/>
              </w:rPr>
              <w:t>463,915</w:t>
            </w:r>
          </w:p>
        </w:tc>
        <w:tc>
          <w:tcPr>
            <w:tcW w:w="1025" w:type="dxa"/>
            <w:tcBorders>
              <w:top w:val="single" w:sz="4" w:space="0" w:color="auto"/>
              <w:left w:val="nil"/>
              <w:bottom w:val="single" w:sz="4" w:space="0" w:color="auto"/>
              <w:right w:val="nil"/>
            </w:tcBorders>
            <w:shd w:val="clear" w:color="auto" w:fill="auto"/>
            <w:noWrap/>
            <w:vAlign w:val="center"/>
          </w:tcPr>
          <w:p w14:paraId="19765E45" w14:textId="2B616E6B" w:rsidR="00083563" w:rsidRPr="007B4775" w:rsidRDefault="00083563" w:rsidP="00784613">
            <w:pPr>
              <w:spacing w:before="0" w:after="0"/>
              <w:jc w:val="right"/>
              <w:rPr>
                <w:rFonts w:ascii="Arial" w:hAnsi="Arial"/>
                <w:b/>
                <w:bCs/>
                <w:sz w:val="16"/>
                <w:szCs w:val="16"/>
                <w:highlight w:val="yellow"/>
                <w:lang w:val="en-AU"/>
              </w:rPr>
            </w:pPr>
            <w:r w:rsidRPr="00A86A79">
              <w:rPr>
                <w:rFonts w:ascii="Arial" w:hAnsi="Arial"/>
                <w:b/>
                <w:bCs/>
                <w:sz w:val="16"/>
                <w:szCs w:val="16"/>
                <w:lang w:val="en-AU"/>
              </w:rPr>
              <w:t>1,200</w:t>
            </w:r>
          </w:p>
        </w:tc>
        <w:tc>
          <w:tcPr>
            <w:tcW w:w="1061" w:type="dxa"/>
            <w:tcBorders>
              <w:top w:val="single" w:sz="4" w:space="0" w:color="auto"/>
              <w:left w:val="nil"/>
              <w:bottom w:val="single" w:sz="4" w:space="0" w:color="auto"/>
              <w:right w:val="nil"/>
            </w:tcBorders>
            <w:shd w:val="clear" w:color="auto" w:fill="auto"/>
            <w:noWrap/>
            <w:vAlign w:val="center"/>
          </w:tcPr>
          <w:p w14:paraId="6D0B3E2D" w14:textId="43B70D50" w:rsidR="00083563" w:rsidRPr="007B4775" w:rsidRDefault="00083563" w:rsidP="00784613">
            <w:pPr>
              <w:spacing w:before="0" w:after="0"/>
              <w:jc w:val="right"/>
              <w:rPr>
                <w:rFonts w:ascii="Arial" w:hAnsi="Arial"/>
                <w:b/>
                <w:bCs/>
                <w:sz w:val="16"/>
                <w:szCs w:val="16"/>
                <w:highlight w:val="yellow"/>
                <w:lang w:val="en-AU"/>
              </w:rPr>
            </w:pPr>
            <w:r w:rsidRPr="00A86A79">
              <w:rPr>
                <w:rFonts w:ascii="Arial" w:hAnsi="Arial"/>
                <w:b/>
                <w:bCs/>
                <w:sz w:val="16"/>
                <w:szCs w:val="16"/>
                <w:lang w:val="en-AU"/>
              </w:rPr>
              <w:t>-</w:t>
            </w:r>
          </w:p>
        </w:tc>
        <w:tc>
          <w:tcPr>
            <w:tcW w:w="1035" w:type="dxa"/>
            <w:tcBorders>
              <w:top w:val="single" w:sz="4" w:space="0" w:color="auto"/>
              <w:left w:val="nil"/>
              <w:bottom w:val="single" w:sz="4" w:space="0" w:color="auto"/>
              <w:right w:val="nil"/>
            </w:tcBorders>
            <w:shd w:val="clear" w:color="auto" w:fill="auto"/>
            <w:noWrap/>
            <w:vAlign w:val="center"/>
          </w:tcPr>
          <w:p w14:paraId="635D3EA1" w14:textId="5FA979B4" w:rsidR="00083563" w:rsidRPr="007B4775" w:rsidRDefault="00083563" w:rsidP="00784613">
            <w:pPr>
              <w:spacing w:before="0" w:after="0"/>
              <w:jc w:val="right"/>
              <w:rPr>
                <w:rFonts w:ascii="Arial" w:hAnsi="Arial"/>
                <w:b/>
                <w:bCs/>
                <w:sz w:val="16"/>
                <w:szCs w:val="16"/>
                <w:highlight w:val="yellow"/>
                <w:lang w:val="en-AU"/>
              </w:rPr>
            </w:pPr>
            <w:r w:rsidRPr="00A86A79">
              <w:rPr>
                <w:rFonts w:ascii="Arial" w:hAnsi="Arial"/>
                <w:b/>
                <w:bCs/>
                <w:sz w:val="16"/>
                <w:szCs w:val="16"/>
                <w:lang w:val="en-AU"/>
              </w:rPr>
              <w:t>507,552</w:t>
            </w:r>
          </w:p>
        </w:tc>
      </w:tr>
      <w:tr w:rsidR="00C848C3" w:rsidRPr="007B4775" w14:paraId="00E3EF13" w14:textId="77777777" w:rsidTr="002B2BCC">
        <w:trPr>
          <w:trHeight w:val="225"/>
        </w:trPr>
        <w:tc>
          <w:tcPr>
            <w:tcW w:w="3227" w:type="dxa"/>
            <w:tcBorders>
              <w:top w:val="nil"/>
              <w:left w:val="nil"/>
              <w:bottom w:val="nil"/>
              <w:right w:val="nil"/>
            </w:tcBorders>
            <w:shd w:val="clear" w:color="auto" w:fill="auto"/>
            <w:vAlign w:val="bottom"/>
            <w:hideMark/>
          </w:tcPr>
          <w:p w14:paraId="1423CB39" w14:textId="77777777" w:rsidR="00C848C3" w:rsidRPr="002B2BCC" w:rsidRDefault="00C848C3" w:rsidP="00C848C3">
            <w:pPr>
              <w:spacing w:before="0" w:after="0"/>
              <w:ind w:firstLineChars="100" w:firstLine="160"/>
              <w:rPr>
                <w:rFonts w:ascii="Arial" w:hAnsi="Arial"/>
                <w:b/>
                <w:bCs/>
                <w:sz w:val="16"/>
                <w:szCs w:val="16"/>
                <w:lang w:val="en-AU"/>
              </w:rPr>
            </w:pPr>
            <w:r w:rsidRPr="002B2BCC">
              <w:rPr>
                <w:rFonts w:ascii="Arial" w:hAnsi="Arial"/>
                <w:b/>
                <w:bCs/>
                <w:sz w:val="16"/>
                <w:szCs w:val="16"/>
                <w:lang w:val="en-AU"/>
              </w:rPr>
              <w:t>Other movements</w:t>
            </w:r>
          </w:p>
        </w:tc>
        <w:tc>
          <w:tcPr>
            <w:tcW w:w="928" w:type="dxa"/>
            <w:tcBorders>
              <w:top w:val="single" w:sz="4" w:space="0" w:color="auto"/>
              <w:left w:val="nil"/>
              <w:bottom w:val="nil"/>
              <w:right w:val="nil"/>
            </w:tcBorders>
            <w:shd w:val="clear" w:color="auto" w:fill="auto"/>
            <w:noWrap/>
            <w:vAlign w:val="center"/>
          </w:tcPr>
          <w:p w14:paraId="3C37FA56" w14:textId="77777777" w:rsidR="00C848C3" w:rsidRPr="007B4775" w:rsidRDefault="00C848C3" w:rsidP="00C848C3">
            <w:pPr>
              <w:spacing w:before="0" w:after="0"/>
              <w:jc w:val="right"/>
              <w:rPr>
                <w:rFonts w:ascii="Arial" w:hAnsi="Arial"/>
                <w:b/>
                <w:bCs/>
                <w:sz w:val="16"/>
                <w:szCs w:val="16"/>
                <w:highlight w:val="yellow"/>
                <w:lang w:val="en-AU"/>
              </w:rPr>
            </w:pPr>
          </w:p>
        </w:tc>
        <w:tc>
          <w:tcPr>
            <w:tcW w:w="1035" w:type="dxa"/>
            <w:tcBorders>
              <w:top w:val="single" w:sz="4" w:space="0" w:color="auto"/>
              <w:left w:val="nil"/>
              <w:bottom w:val="nil"/>
              <w:right w:val="nil"/>
            </w:tcBorders>
            <w:shd w:val="clear" w:color="auto" w:fill="auto"/>
            <w:noWrap/>
            <w:vAlign w:val="center"/>
          </w:tcPr>
          <w:p w14:paraId="4A8B8AA9" w14:textId="77777777" w:rsidR="00C848C3" w:rsidRPr="007B4775" w:rsidRDefault="00C848C3" w:rsidP="00C848C3">
            <w:pPr>
              <w:spacing w:before="0" w:after="0"/>
              <w:jc w:val="right"/>
              <w:rPr>
                <w:rFonts w:ascii="Arial" w:hAnsi="Arial"/>
                <w:b/>
                <w:bCs/>
                <w:sz w:val="16"/>
                <w:szCs w:val="16"/>
                <w:highlight w:val="yellow"/>
                <w:lang w:val="en-AU"/>
              </w:rPr>
            </w:pPr>
          </w:p>
        </w:tc>
        <w:tc>
          <w:tcPr>
            <w:tcW w:w="1025" w:type="dxa"/>
            <w:tcBorders>
              <w:top w:val="single" w:sz="4" w:space="0" w:color="auto"/>
              <w:left w:val="nil"/>
              <w:bottom w:val="nil"/>
              <w:right w:val="nil"/>
            </w:tcBorders>
            <w:shd w:val="clear" w:color="auto" w:fill="auto"/>
            <w:noWrap/>
            <w:vAlign w:val="center"/>
          </w:tcPr>
          <w:p w14:paraId="665351EE" w14:textId="77777777" w:rsidR="00C848C3" w:rsidRPr="007B4775" w:rsidRDefault="00C848C3" w:rsidP="00C848C3">
            <w:pPr>
              <w:spacing w:before="0" w:after="0"/>
              <w:jc w:val="right"/>
              <w:rPr>
                <w:rFonts w:ascii="Arial" w:hAnsi="Arial"/>
                <w:b/>
                <w:bCs/>
                <w:sz w:val="16"/>
                <w:szCs w:val="16"/>
                <w:highlight w:val="yellow"/>
                <w:lang w:val="en-AU"/>
              </w:rPr>
            </w:pPr>
          </w:p>
        </w:tc>
        <w:tc>
          <w:tcPr>
            <w:tcW w:w="1061" w:type="dxa"/>
            <w:tcBorders>
              <w:top w:val="single" w:sz="4" w:space="0" w:color="auto"/>
              <w:left w:val="nil"/>
              <w:bottom w:val="nil"/>
              <w:right w:val="nil"/>
            </w:tcBorders>
            <w:shd w:val="clear" w:color="auto" w:fill="auto"/>
            <w:noWrap/>
            <w:vAlign w:val="center"/>
          </w:tcPr>
          <w:p w14:paraId="257AFDD1" w14:textId="77777777" w:rsidR="00C848C3" w:rsidRPr="007B4775" w:rsidRDefault="00C848C3" w:rsidP="00C848C3">
            <w:pPr>
              <w:spacing w:before="0" w:after="0"/>
              <w:jc w:val="right"/>
              <w:rPr>
                <w:rFonts w:ascii="Arial" w:hAnsi="Arial"/>
                <w:b/>
                <w:bCs/>
                <w:sz w:val="16"/>
                <w:szCs w:val="16"/>
                <w:highlight w:val="yellow"/>
                <w:lang w:val="en-AU"/>
              </w:rPr>
            </w:pPr>
          </w:p>
        </w:tc>
        <w:tc>
          <w:tcPr>
            <w:tcW w:w="1035" w:type="dxa"/>
            <w:tcBorders>
              <w:top w:val="single" w:sz="4" w:space="0" w:color="auto"/>
              <w:left w:val="nil"/>
              <w:bottom w:val="nil"/>
              <w:right w:val="nil"/>
            </w:tcBorders>
            <w:shd w:val="clear" w:color="auto" w:fill="auto"/>
            <w:noWrap/>
            <w:vAlign w:val="center"/>
          </w:tcPr>
          <w:p w14:paraId="7A67F30B" w14:textId="77777777" w:rsidR="00C848C3" w:rsidRPr="007B4775" w:rsidRDefault="00C848C3" w:rsidP="00C848C3">
            <w:pPr>
              <w:spacing w:before="0" w:after="0"/>
              <w:jc w:val="right"/>
              <w:rPr>
                <w:rFonts w:ascii="Arial" w:hAnsi="Arial"/>
                <w:b/>
                <w:bCs/>
                <w:sz w:val="16"/>
                <w:szCs w:val="16"/>
                <w:highlight w:val="yellow"/>
                <w:lang w:val="en-AU"/>
              </w:rPr>
            </w:pPr>
          </w:p>
        </w:tc>
      </w:tr>
      <w:tr w:rsidR="00083563" w:rsidRPr="007B4775" w14:paraId="51FDFA1F" w14:textId="77777777" w:rsidTr="002B2BCC">
        <w:trPr>
          <w:trHeight w:val="225"/>
        </w:trPr>
        <w:tc>
          <w:tcPr>
            <w:tcW w:w="3227" w:type="dxa"/>
            <w:tcBorders>
              <w:top w:val="nil"/>
              <w:left w:val="nil"/>
              <w:bottom w:val="nil"/>
              <w:right w:val="nil"/>
            </w:tcBorders>
            <w:shd w:val="clear" w:color="auto" w:fill="auto"/>
            <w:vAlign w:val="bottom"/>
            <w:hideMark/>
          </w:tcPr>
          <w:p w14:paraId="43576BF7" w14:textId="77777777" w:rsidR="00083563" w:rsidRPr="002B2BCC" w:rsidRDefault="00083563" w:rsidP="00083563">
            <w:pPr>
              <w:spacing w:before="0" w:after="0"/>
              <w:ind w:firstLineChars="100" w:firstLine="160"/>
              <w:rPr>
                <w:rFonts w:ascii="Arial" w:hAnsi="Arial"/>
                <w:sz w:val="16"/>
                <w:szCs w:val="16"/>
                <w:lang w:val="en-AU"/>
              </w:rPr>
            </w:pPr>
            <w:r w:rsidRPr="002B2BCC">
              <w:rPr>
                <w:rFonts w:ascii="Arial" w:hAnsi="Arial"/>
                <w:sz w:val="16"/>
                <w:szCs w:val="16"/>
                <w:lang w:val="en-AU"/>
              </w:rPr>
              <w:t>Depreciation/amortisation expense</w:t>
            </w:r>
          </w:p>
        </w:tc>
        <w:tc>
          <w:tcPr>
            <w:tcW w:w="928" w:type="dxa"/>
            <w:tcBorders>
              <w:top w:val="nil"/>
              <w:left w:val="nil"/>
              <w:bottom w:val="nil"/>
              <w:right w:val="nil"/>
            </w:tcBorders>
            <w:shd w:val="clear" w:color="auto" w:fill="auto"/>
            <w:noWrap/>
            <w:vAlign w:val="center"/>
          </w:tcPr>
          <w:p w14:paraId="0BD5C830" w14:textId="2907664C" w:rsidR="00083563" w:rsidRPr="007B4775" w:rsidRDefault="00083563" w:rsidP="00784613">
            <w:pPr>
              <w:spacing w:before="0" w:after="0"/>
              <w:jc w:val="right"/>
              <w:rPr>
                <w:rFonts w:ascii="Arial" w:hAnsi="Arial"/>
                <w:sz w:val="16"/>
                <w:szCs w:val="16"/>
                <w:highlight w:val="yellow"/>
                <w:lang w:val="en-AU"/>
              </w:rPr>
            </w:pPr>
            <w:r w:rsidRPr="00A86A79">
              <w:rPr>
                <w:rFonts w:ascii="Arial" w:hAnsi="Arial"/>
                <w:sz w:val="16"/>
                <w:szCs w:val="16"/>
                <w:lang w:val="en-AU"/>
              </w:rPr>
              <w:t>-</w:t>
            </w:r>
          </w:p>
        </w:tc>
        <w:tc>
          <w:tcPr>
            <w:tcW w:w="1035" w:type="dxa"/>
            <w:tcBorders>
              <w:top w:val="nil"/>
              <w:left w:val="nil"/>
              <w:bottom w:val="nil"/>
              <w:right w:val="nil"/>
            </w:tcBorders>
            <w:shd w:val="clear" w:color="auto" w:fill="auto"/>
            <w:noWrap/>
            <w:vAlign w:val="center"/>
          </w:tcPr>
          <w:p w14:paraId="236D9622" w14:textId="34660912" w:rsidR="00083563" w:rsidRPr="007B4775" w:rsidRDefault="0040014B" w:rsidP="0040014B">
            <w:pPr>
              <w:spacing w:before="0" w:after="0"/>
              <w:jc w:val="right"/>
              <w:rPr>
                <w:rFonts w:ascii="Arial" w:hAnsi="Arial"/>
                <w:sz w:val="16"/>
                <w:szCs w:val="16"/>
                <w:highlight w:val="yellow"/>
                <w:lang w:val="en-AU"/>
              </w:rPr>
            </w:pPr>
            <w:r>
              <w:rPr>
                <w:rFonts w:ascii="Arial" w:hAnsi="Arial"/>
                <w:sz w:val="16"/>
                <w:szCs w:val="16"/>
                <w:lang w:val="en-AU"/>
              </w:rPr>
              <w:t>-</w:t>
            </w:r>
            <w:r w:rsidR="00083563" w:rsidRPr="00A86A79">
              <w:rPr>
                <w:rFonts w:ascii="Arial" w:hAnsi="Arial"/>
                <w:sz w:val="16"/>
                <w:szCs w:val="16"/>
                <w:lang w:val="en-AU"/>
              </w:rPr>
              <w:t>48,650</w:t>
            </w:r>
          </w:p>
        </w:tc>
        <w:tc>
          <w:tcPr>
            <w:tcW w:w="1025" w:type="dxa"/>
            <w:tcBorders>
              <w:top w:val="nil"/>
              <w:left w:val="nil"/>
              <w:bottom w:val="nil"/>
              <w:right w:val="nil"/>
            </w:tcBorders>
            <w:shd w:val="clear" w:color="auto" w:fill="auto"/>
            <w:noWrap/>
            <w:vAlign w:val="center"/>
          </w:tcPr>
          <w:p w14:paraId="3E254EC6" w14:textId="5F766783" w:rsidR="00083563" w:rsidRPr="007B4775" w:rsidRDefault="0040014B" w:rsidP="0040014B">
            <w:pPr>
              <w:spacing w:before="0" w:after="0"/>
              <w:jc w:val="right"/>
              <w:rPr>
                <w:rFonts w:ascii="Arial" w:hAnsi="Arial"/>
                <w:sz w:val="16"/>
                <w:szCs w:val="16"/>
                <w:highlight w:val="yellow"/>
                <w:lang w:val="en-AU"/>
              </w:rPr>
            </w:pPr>
            <w:r>
              <w:rPr>
                <w:rFonts w:ascii="Arial" w:hAnsi="Arial"/>
                <w:sz w:val="16"/>
                <w:szCs w:val="16"/>
                <w:lang w:val="en-AU"/>
              </w:rPr>
              <w:t>-</w:t>
            </w:r>
            <w:r w:rsidR="00083563" w:rsidRPr="00A86A79">
              <w:rPr>
                <w:rFonts w:ascii="Arial" w:hAnsi="Arial"/>
                <w:sz w:val="16"/>
                <w:szCs w:val="16"/>
                <w:lang w:val="en-AU"/>
              </w:rPr>
              <w:t>841</w:t>
            </w:r>
          </w:p>
        </w:tc>
        <w:tc>
          <w:tcPr>
            <w:tcW w:w="1061" w:type="dxa"/>
            <w:tcBorders>
              <w:top w:val="nil"/>
              <w:left w:val="nil"/>
              <w:bottom w:val="nil"/>
              <w:right w:val="nil"/>
            </w:tcBorders>
            <w:shd w:val="clear" w:color="auto" w:fill="auto"/>
            <w:noWrap/>
            <w:vAlign w:val="center"/>
          </w:tcPr>
          <w:p w14:paraId="384BD327" w14:textId="1B2A71FD" w:rsidR="00083563" w:rsidRPr="007B4775" w:rsidRDefault="00083563" w:rsidP="00784613">
            <w:pPr>
              <w:spacing w:before="0" w:after="0"/>
              <w:jc w:val="right"/>
              <w:rPr>
                <w:rFonts w:ascii="Arial" w:hAnsi="Arial"/>
                <w:sz w:val="16"/>
                <w:szCs w:val="16"/>
                <w:highlight w:val="yellow"/>
                <w:lang w:val="en-AU"/>
              </w:rPr>
            </w:pPr>
            <w:r w:rsidRPr="00A86A79">
              <w:rPr>
                <w:rFonts w:ascii="Arial" w:hAnsi="Arial"/>
                <w:sz w:val="16"/>
                <w:szCs w:val="16"/>
                <w:lang w:val="en-AU"/>
              </w:rPr>
              <w:t>-</w:t>
            </w:r>
          </w:p>
        </w:tc>
        <w:tc>
          <w:tcPr>
            <w:tcW w:w="1035" w:type="dxa"/>
            <w:tcBorders>
              <w:top w:val="nil"/>
              <w:left w:val="nil"/>
              <w:bottom w:val="nil"/>
              <w:right w:val="nil"/>
            </w:tcBorders>
            <w:shd w:val="clear" w:color="auto" w:fill="auto"/>
            <w:noWrap/>
            <w:vAlign w:val="center"/>
          </w:tcPr>
          <w:p w14:paraId="4FF0551C" w14:textId="16001DCB" w:rsidR="00083563" w:rsidRPr="007B4775" w:rsidRDefault="0040014B" w:rsidP="0040014B">
            <w:pPr>
              <w:spacing w:before="0" w:after="0"/>
              <w:jc w:val="right"/>
              <w:rPr>
                <w:rFonts w:ascii="Arial" w:hAnsi="Arial"/>
                <w:sz w:val="16"/>
                <w:szCs w:val="16"/>
                <w:highlight w:val="yellow"/>
                <w:lang w:val="en-AU"/>
              </w:rPr>
            </w:pPr>
            <w:r>
              <w:rPr>
                <w:rFonts w:ascii="Arial" w:hAnsi="Arial"/>
                <w:sz w:val="16"/>
                <w:szCs w:val="16"/>
                <w:lang w:val="en-AU"/>
              </w:rPr>
              <w:t>-</w:t>
            </w:r>
            <w:r w:rsidR="00083563" w:rsidRPr="00A86A79">
              <w:rPr>
                <w:rFonts w:ascii="Arial" w:hAnsi="Arial"/>
                <w:sz w:val="16"/>
                <w:szCs w:val="16"/>
                <w:lang w:val="en-AU"/>
              </w:rPr>
              <w:t>49,491</w:t>
            </w:r>
          </w:p>
        </w:tc>
      </w:tr>
      <w:tr w:rsidR="00083563" w:rsidRPr="007B4775" w14:paraId="3F6C1166" w14:textId="77777777" w:rsidTr="00083563">
        <w:trPr>
          <w:trHeight w:val="450"/>
        </w:trPr>
        <w:tc>
          <w:tcPr>
            <w:tcW w:w="3227" w:type="dxa"/>
            <w:tcBorders>
              <w:top w:val="nil"/>
              <w:left w:val="nil"/>
              <w:bottom w:val="nil"/>
              <w:right w:val="nil"/>
            </w:tcBorders>
            <w:shd w:val="clear" w:color="auto" w:fill="auto"/>
            <w:vAlign w:val="center"/>
            <w:hideMark/>
          </w:tcPr>
          <w:p w14:paraId="17716722" w14:textId="77777777" w:rsidR="00083563" w:rsidRPr="002B2BCC" w:rsidRDefault="00083563" w:rsidP="00083563">
            <w:pPr>
              <w:spacing w:before="0" w:after="0"/>
              <w:ind w:firstLineChars="100" w:firstLine="160"/>
              <w:rPr>
                <w:rFonts w:ascii="Arial" w:hAnsi="Arial"/>
                <w:sz w:val="16"/>
                <w:szCs w:val="16"/>
                <w:lang w:val="en-AU"/>
              </w:rPr>
            </w:pPr>
            <w:r w:rsidRPr="002B2BCC">
              <w:rPr>
                <w:rFonts w:ascii="Arial" w:hAnsi="Arial"/>
                <w:sz w:val="16"/>
                <w:szCs w:val="16"/>
                <w:lang w:val="en-AU"/>
              </w:rPr>
              <w:t xml:space="preserve">Depreciation/amortisation on </w:t>
            </w:r>
            <w:r w:rsidRPr="002B2BCC">
              <w:rPr>
                <w:rFonts w:ascii="Arial" w:hAnsi="Arial"/>
                <w:sz w:val="16"/>
                <w:szCs w:val="16"/>
                <w:lang w:val="en-AU"/>
              </w:rPr>
              <w:br/>
              <w:t xml:space="preserve">    ROU assets</w:t>
            </w:r>
          </w:p>
        </w:tc>
        <w:tc>
          <w:tcPr>
            <w:tcW w:w="928" w:type="dxa"/>
            <w:tcBorders>
              <w:top w:val="nil"/>
              <w:left w:val="nil"/>
              <w:right w:val="nil"/>
            </w:tcBorders>
            <w:shd w:val="clear" w:color="auto" w:fill="auto"/>
            <w:noWrap/>
            <w:vAlign w:val="center"/>
          </w:tcPr>
          <w:p w14:paraId="748E3E18" w14:textId="0B4B8060" w:rsidR="00083563" w:rsidRPr="007B4775" w:rsidRDefault="00083563" w:rsidP="00784613">
            <w:pPr>
              <w:spacing w:before="0" w:after="0"/>
              <w:jc w:val="right"/>
              <w:rPr>
                <w:rFonts w:ascii="Arial" w:hAnsi="Arial"/>
                <w:sz w:val="16"/>
                <w:szCs w:val="16"/>
                <w:highlight w:val="yellow"/>
                <w:lang w:val="en-AU"/>
              </w:rPr>
            </w:pPr>
            <w:r w:rsidRPr="00A86A79">
              <w:rPr>
                <w:rFonts w:ascii="Arial" w:hAnsi="Arial"/>
                <w:sz w:val="16"/>
                <w:szCs w:val="16"/>
                <w:lang w:val="en-AU"/>
              </w:rPr>
              <w:t>-</w:t>
            </w:r>
          </w:p>
        </w:tc>
        <w:tc>
          <w:tcPr>
            <w:tcW w:w="1035" w:type="dxa"/>
            <w:tcBorders>
              <w:top w:val="nil"/>
              <w:left w:val="nil"/>
              <w:right w:val="nil"/>
            </w:tcBorders>
            <w:shd w:val="clear" w:color="auto" w:fill="auto"/>
            <w:noWrap/>
            <w:vAlign w:val="center"/>
          </w:tcPr>
          <w:p w14:paraId="0FF10825" w14:textId="27489F52" w:rsidR="00083563" w:rsidRPr="007B4775" w:rsidRDefault="0040014B" w:rsidP="0040014B">
            <w:pPr>
              <w:spacing w:before="0" w:after="0"/>
              <w:jc w:val="right"/>
              <w:rPr>
                <w:rFonts w:ascii="Arial" w:hAnsi="Arial"/>
                <w:sz w:val="16"/>
                <w:szCs w:val="16"/>
                <w:highlight w:val="yellow"/>
                <w:lang w:val="en-AU"/>
              </w:rPr>
            </w:pPr>
            <w:r>
              <w:rPr>
                <w:rFonts w:ascii="Arial" w:hAnsi="Arial"/>
                <w:sz w:val="16"/>
                <w:szCs w:val="16"/>
                <w:lang w:val="en-AU"/>
              </w:rPr>
              <w:t>-</w:t>
            </w:r>
            <w:r w:rsidR="00083563" w:rsidRPr="00A86A79">
              <w:rPr>
                <w:rFonts w:ascii="Arial" w:hAnsi="Arial"/>
                <w:sz w:val="16"/>
                <w:szCs w:val="16"/>
                <w:lang w:val="en-AU"/>
              </w:rPr>
              <w:t>353,865</w:t>
            </w:r>
          </w:p>
        </w:tc>
        <w:tc>
          <w:tcPr>
            <w:tcW w:w="1025" w:type="dxa"/>
            <w:tcBorders>
              <w:top w:val="nil"/>
              <w:left w:val="nil"/>
              <w:right w:val="nil"/>
            </w:tcBorders>
            <w:shd w:val="clear" w:color="auto" w:fill="auto"/>
            <w:noWrap/>
            <w:vAlign w:val="center"/>
          </w:tcPr>
          <w:p w14:paraId="2CD23CCC" w14:textId="6D3D2377" w:rsidR="00083563" w:rsidRPr="007B4775" w:rsidRDefault="0040014B" w:rsidP="0040014B">
            <w:pPr>
              <w:spacing w:before="0" w:after="0"/>
              <w:jc w:val="right"/>
              <w:rPr>
                <w:rFonts w:ascii="Arial" w:hAnsi="Arial"/>
                <w:sz w:val="16"/>
                <w:szCs w:val="16"/>
                <w:highlight w:val="yellow"/>
                <w:lang w:val="en-AU"/>
              </w:rPr>
            </w:pPr>
            <w:r>
              <w:rPr>
                <w:rFonts w:ascii="Arial" w:hAnsi="Arial"/>
                <w:sz w:val="16"/>
                <w:szCs w:val="16"/>
                <w:lang w:val="en-AU"/>
              </w:rPr>
              <w:t>-</w:t>
            </w:r>
            <w:r w:rsidR="00083563" w:rsidRPr="00A86A79">
              <w:rPr>
                <w:rFonts w:ascii="Arial" w:hAnsi="Arial"/>
                <w:sz w:val="16"/>
                <w:szCs w:val="16"/>
                <w:lang w:val="en-AU"/>
              </w:rPr>
              <w:t>406</w:t>
            </w:r>
          </w:p>
        </w:tc>
        <w:tc>
          <w:tcPr>
            <w:tcW w:w="1061" w:type="dxa"/>
            <w:tcBorders>
              <w:top w:val="nil"/>
              <w:left w:val="nil"/>
              <w:right w:val="nil"/>
            </w:tcBorders>
            <w:shd w:val="clear" w:color="auto" w:fill="auto"/>
            <w:noWrap/>
            <w:vAlign w:val="center"/>
          </w:tcPr>
          <w:p w14:paraId="18733148" w14:textId="6B2F8091" w:rsidR="00083563" w:rsidRPr="007B4775" w:rsidRDefault="00083563" w:rsidP="00784613">
            <w:pPr>
              <w:spacing w:before="0" w:after="0"/>
              <w:jc w:val="right"/>
              <w:rPr>
                <w:rFonts w:ascii="Arial" w:hAnsi="Arial"/>
                <w:sz w:val="16"/>
                <w:szCs w:val="16"/>
                <w:highlight w:val="yellow"/>
                <w:lang w:val="en-AU"/>
              </w:rPr>
            </w:pPr>
            <w:r w:rsidRPr="00A86A79">
              <w:rPr>
                <w:rFonts w:ascii="Arial" w:hAnsi="Arial"/>
                <w:sz w:val="16"/>
                <w:szCs w:val="16"/>
                <w:lang w:val="en-AU"/>
              </w:rPr>
              <w:t>-</w:t>
            </w:r>
          </w:p>
        </w:tc>
        <w:tc>
          <w:tcPr>
            <w:tcW w:w="1035" w:type="dxa"/>
            <w:tcBorders>
              <w:top w:val="nil"/>
              <w:left w:val="nil"/>
              <w:right w:val="nil"/>
            </w:tcBorders>
            <w:shd w:val="clear" w:color="auto" w:fill="auto"/>
            <w:noWrap/>
            <w:vAlign w:val="center"/>
          </w:tcPr>
          <w:p w14:paraId="16366276" w14:textId="2FD70E01" w:rsidR="00083563" w:rsidRPr="007B4775" w:rsidRDefault="0040014B" w:rsidP="0040014B">
            <w:pPr>
              <w:spacing w:before="0" w:after="0"/>
              <w:jc w:val="right"/>
              <w:rPr>
                <w:rFonts w:ascii="Arial" w:hAnsi="Arial"/>
                <w:sz w:val="16"/>
                <w:szCs w:val="16"/>
                <w:highlight w:val="yellow"/>
                <w:lang w:val="en-AU"/>
              </w:rPr>
            </w:pPr>
            <w:r>
              <w:rPr>
                <w:rFonts w:ascii="Arial" w:hAnsi="Arial"/>
                <w:sz w:val="16"/>
                <w:szCs w:val="16"/>
                <w:lang w:val="en-AU"/>
              </w:rPr>
              <w:t>-</w:t>
            </w:r>
            <w:r w:rsidR="00083563" w:rsidRPr="00A86A79">
              <w:rPr>
                <w:rFonts w:ascii="Arial" w:hAnsi="Arial"/>
                <w:sz w:val="16"/>
                <w:szCs w:val="16"/>
                <w:lang w:val="en-AU"/>
              </w:rPr>
              <w:t>354,271</w:t>
            </w:r>
          </w:p>
        </w:tc>
      </w:tr>
      <w:tr w:rsidR="00083563" w:rsidRPr="007B4775" w14:paraId="365586A6" w14:textId="77777777" w:rsidTr="00083563">
        <w:trPr>
          <w:trHeight w:val="225"/>
        </w:trPr>
        <w:tc>
          <w:tcPr>
            <w:tcW w:w="3227" w:type="dxa"/>
            <w:tcBorders>
              <w:top w:val="nil"/>
              <w:left w:val="nil"/>
              <w:bottom w:val="nil"/>
              <w:right w:val="nil"/>
            </w:tcBorders>
            <w:shd w:val="clear" w:color="auto" w:fill="auto"/>
            <w:vAlign w:val="bottom"/>
            <w:hideMark/>
          </w:tcPr>
          <w:p w14:paraId="0E6EF509" w14:textId="77777777" w:rsidR="00083563" w:rsidRPr="002B2BCC" w:rsidRDefault="00083563" w:rsidP="00083563">
            <w:pPr>
              <w:spacing w:before="0" w:after="0"/>
              <w:ind w:firstLineChars="100" w:firstLine="160"/>
              <w:rPr>
                <w:rFonts w:ascii="Arial" w:hAnsi="Arial"/>
                <w:sz w:val="16"/>
                <w:szCs w:val="16"/>
                <w:lang w:val="en-AU"/>
              </w:rPr>
            </w:pPr>
            <w:r w:rsidRPr="002B2BCC">
              <w:rPr>
                <w:rFonts w:ascii="Arial" w:hAnsi="Arial"/>
                <w:sz w:val="16"/>
                <w:szCs w:val="16"/>
                <w:lang w:val="en-AU"/>
              </w:rPr>
              <w:t>Other</w:t>
            </w:r>
          </w:p>
        </w:tc>
        <w:tc>
          <w:tcPr>
            <w:tcW w:w="928" w:type="dxa"/>
            <w:tcBorders>
              <w:left w:val="nil"/>
              <w:bottom w:val="nil"/>
              <w:right w:val="nil"/>
            </w:tcBorders>
            <w:shd w:val="clear" w:color="auto" w:fill="auto"/>
            <w:noWrap/>
            <w:vAlign w:val="center"/>
          </w:tcPr>
          <w:p w14:paraId="51BB1D1B" w14:textId="569211C4" w:rsidR="00083563" w:rsidRPr="00083563" w:rsidRDefault="00083563" w:rsidP="00784613">
            <w:pPr>
              <w:spacing w:before="0" w:after="0"/>
              <w:jc w:val="right"/>
              <w:rPr>
                <w:rFonts w:ascii="Arial" w:hAnsi="Arial"/>
                <w:sz w:val="16"/>
                <w:szCs w:val="16"/>
                <w:highlight w:val="yellow"/>
                <w:lang w:val="en-AU"/>
              </w:rPr>
            </w:pPr>
            <w:r w:rsidRPr="00A86A79">
              <w:rPr>
                <w:rFonts w:ascii="Arial" w:hAnsi="Arial"/>
                <w:sz w:val="16"/>
                <w:szCs w:val="16"/>
                <w:lang w:val="en-AU"/>
              </w:rPr>
              <w:t>40,644</w:t>
            </w:r>
          </w:p>
        </w:tc>
        <w:tc>
          <w:tcPr>
            <w:tcW w:w="1035" w:type="dxa"/>
            <w:tcBorders>
              <w:left w:val="nil"/>
              <w:bottom w:val="nil"/>
              <w:right w:val="nil"/>
            </w:tcBorders>
            <w:shd w:val="clear" w:color="auto" w:fill="auto"/>
            <w:noWrap/>
            <w:vAlign w:val="center"/>
          </w:tcPr>
          <w:p w14:paraId="12586F8D" w14:textId="2C02AFC1" w:rsidR="00083563" w:rsidRPr="00083563" w:rsidRDefault="00083563" w:rsidP="00784613">
            <w:pPr>
              <w:spacing w:before="0" w:after="0"/>
              <w:jc w:val="right"/>
              <w:rPr>
                <w:rFonts w:ascii="Arial" w:hAnsi="Arial"/>
                <w:sz w:val="16"/>
                <w:szCs w:val="16"/>
                <w:highlight w:val="yellow"/>
                <w:lang w:val="en-AU"/>
              </w:rPr>
            </w:pPr>
            <w:r w:rsidRPr="00A86A79">
              <w:rPr>
                <w:rFonts w:ascii="Arial" w:hAnsi="Arial"/>
                <w:sz w:val="16"/>
                <w:szCs w:val="16"/>
                <w:lang w:val="en-AU"/>
              </w:rPr>
              <w:t>87,570</w:t>
            </w:r>
          </w:p>
        </w:tc>
        <w:tc>
          <w:tcPr>
            <w:tcW w:w="1025" w:type="dxa"/>
            <w:tcBorders>
              <w:left w:val="nil"/>
              <w:bottom w:val="nil"/>
              <w:right w:val="nil"/>
            </w:tcBorders>
            <w:shd w:val="clear" w:color="auto" w:fill="auto"/>
            <w:noWrap/>
            <w:vAlign w:val="center"/>
          </w:tcPr>
          <w:p w14:paraId="65BC266C" w14:textId="004B09D6" w:rsidR="00083563" w:rsidRPr="00083563" w:rsidRDefault="00083563" w:rsidP="00784613">
            <w:pPr>
              <w:spacing w:before="0" w:after="0"/>
              <w:jc w:val="right"/>
              <w:rPr>
                <w:rFonts w:ascii="Arial" w:hAnsi="Arial"/>
                <w:sz w:val="16"/>
                <w:szCs w:val="16"/>
                <w:highlight w:val="yellow"/>
                <w:lang w:val="en-AU"/>
              </w:rPr>
            </w:pPr>
            <w:r w:rsidRPr="00A86A79">
              <w:rPr>
                <w:rFonts w:ascii="Arial" w:hAnsi="Arial"/>
                <w:sz w:val="16"/>
                <w:szCs w:val="16"/>
                <w:lang w:val="en-AU"/>
              </w:rPr>
              <w:t>-</w:t>
            </w:r>
          </w:p>
        </w:tc>
        <w:tc>
          <w:tcPr>
            <w:tcW w:w="1061" w:type="dxa"/>
            <w:tcBorders>
              <w:left w:val="nil"/>
              <w:bottom w:val="nil"/>
              <w:right w:val="nil"/>
            </w:tcBorders>
            <w:shd w:val="clear" w:color="auto" w:fill="auto"/>
            <w:noWrap/>
            <w:vAlign w:val="center"/>
          </w:tcPr>
          <w:p w14:paraId="7E1AF1E5" w14:textId="54062E85" w:rsidR="00083563" w:rsidRPr="00083563" w:rsidRDefault="00083563" w:rsidP="00784613">
            <w:pPr>
              <w:spacing w:before="0" w:after="0"/>
              <w:jc w:val="right"/>
              <w:rPr>
                <w:rFonts w:ascii="Arial" w:hAnsi="Arial"/>
                <w:sz w:val="16"/>
                <w:szCs w:val="16"/>
                <w:highlight w:val="yellow"/>
                <w:lang w:val="en-AU"/>
              </w:rPr>
            </w:pPr>
            <w:r w:rsidRPr="00A86A79">
              <w:rPr>
                <w:rFonts w:ascii="Arial" w:hAnsi="Arial"/>
                <w:sz w:val="16"/>
                <w:szCs w:val="16"/>
                <w:lang w:val="en-AU"/>
              </w:rPr>
              <w:t>-</w:t>
            </w:r>
          </w:p>
        </w:tc>
        <w:tc>
          <w:tcPr>
            <w:tcW w:w="1035" w:type="dxa"/>
            <w:tcBorders>
              <w:left w:val="nil"/>
              <w:bottom w:val="nil"/>
              <w:right w:val="nil"/>
            </w:tcBorders>
            <w:shd w:val="clear" w:color="auto" w:fill="auto"/>
            <w:noWrap/>
            <w:vAlign w:val="center"/>
          </w:tcPr>
          <w:p w14:paraId="6ABED746" w14:textId="7E02B0A1" w:rsidR="00083563" w:rsidRPr="00083563" w:rsidRDefault="00083563" w:rsidP="00784613">
            <w:pPr>
              <w:spacing w:before="0" w:after="0"/>
              <w:jc w:val="right"/>
              <w:rPr>
                <w:rFonts w:ascii="Arial" w:hAnsi="Arial"/>
                <w:sz w:val="16"/>
                <w:szCs w:val="16"/>
                <w:highlight w:val="yellow"/>
                <w:lang w:val="en-AU"/>
              </w:rPr>
            </w:pPr>
            <w:r w:rsidRPr="00A86A79">
              <w:rPr>
                <w:rFonts w:ascii="Arial" w:hAnsi="Arial"/>
                <w:sz w:val="16"/>
                <w:szCs w:val="16"/>
                <w:lang w:val="en-AU"/>
              </w:rPr>
              <w:t>128,214</w:t>
            </w:r>
          </w:p>
        </w:tc>
      </w:tr>
      <w:tr w:rsidR="00083563" w:rsidRPr="007B4775" w14:paraId="1D5D9327" w14:textId="77777777" w:rsidTr="002B2BCC">
        <w:trPr>
          <w:trHeight w:val="225"/>
        </w:trPr>
        <w:tc>
          <w:tcPr>
            <w:tcW w:w="3227" w:type="dxa"/>
            <w:tcBorders>
              <w:top w:val="nil"/>
              <w:left w:val="nil"/>
              <w:right w:val="nil"/>
            </w:tcBorders>
            <w:shd w:val="clear" w:color="auto" w:fill="auto"/>
            <w:vAlign w:val="bottom"/>
            <w:hideMark/>
          </w:tcPr>
          <w:p w14:paraId="0A1B6F91" w14:textId="77777777" w:rsidR="00083563" w:rsidRPr="002B2BCC" w:rsidRDefault="00083563" w:rsidP="00083563">
            <w:pPr>
              <w:spacing w:before="0" w:after="0"/>
              <w:ind w:firstLineChars="100" w:firstLine="160"/>
              <w:rPr>
                <w:rFonts w:ascii="Arial" w:hAnsi="Arial"/>
                <w:b/>
                <w:bCs/>
                <w:sz w:val="16"/>
                <w:szCs w:val="16"/>
                <w:lang w:val="en-AU"/>
              </w:rPr>
            </w:pPr>
            <w:r w:rsidRPr="002B2BCC">
              <w:rPr>
                <w:rFonts w:ascii="Arial" w:hAnsi="Arial"/>
                <w:b/>
                <w:bCs/>
                <w:sz w:val="16"/>
                <w:szCs w:val="16"/>
                <w:lang w:val="en-AU"/>
              </w:rPr>
              <w:t>Total other movements</w:t>
            </w:r>
          </w:p>
        </w:tc>
        <w:tc>
          <w:tcPr>
            <w:tcW w:w="928" w:type="dxa"/>
            <w:tcBorders>
              <w:top w:val="single" w:sz="4" w:space="0" w:color="auto"/>
              <w:left w:val="nil"/>
              <w:bottom w:val="single" w:sz="4" w:space="0" w:color="auto"/>
              <w:right w:val="nil"/>
            </w:tcBorders>
            <w:shd w:val="clear" w:color="auto" w:fill="auto"/>
            <w:noWrap/>
            <w:vAlign w:val="center"/>
          </w:tcPr>
          <w:p w14:paraId="5993B84F" w14:textId="6BE47220" w:rsidR="00083563" w:rsidRPr="007B4775" w:rsidRDefault="00083563" w:rsidP="00784613">
            <w:pPr>
              <w:spacing w:before="0" w:after="0"/>
              <w:jc w:val="right"/>
              <w:rPr>
                <w:rFonts w:ascii="Arial" w:hAnsi="Arial"/>
                <w:b/>
                <w:bCs/>
                <w:sz w:val="16"/>
                <w:szCs w:val="16"/>
                <w:highlight w:val="yellow"/>
                <w:lang w:val="en-AU"/>
              </w:rPr>
            </w:pPr>
            <w:r w:rsidRPr="00A86A79">
              <w:rPr>
                <w:rFonts w:ascii="Arial" w:hAnsi="Arial"/>
                <w:b/>
                <w:bCs/>
                <w:sz w:val="16"/>
                <w:szCs w:val="16"/>
                <w:lang w:val="en-AU"/>
              </w:rPr>
              <w:t>40,644</w:t>
            </w:r>
          </w:p>
        </w:tc>
        <w:tc>
          <w:tcPr>
            <w:tcW w:w="1035" w:type="dxa"/>
            <w:tcBorders>
              <w:top w:val="single" w:sz="4" w:space="0" w:color="auto"/>
              <w:left w:val="nil"/>
              <w:bottom w:val="single" w:sz="4" w:space="0" w:color="auto"/>
              <w:right w:val="nil"/>
            </w:tcBorders>
            <w:shd w:val="clear" w:color="auto" w:fill="auto"/>
            <w:noWrap/>
            <w:vAlign w:val="center"/>
          </w:tcPr>
          <w:p w14:paraId="1312961A" w14:textId="145F51AE" w:rsidR="00083563" w:rsidRPr="007B4775" w:rsidRDefault="0040014B" w:rsidP="0040014B">
            <w:pPr>
              <w:spacing w:before="0" w:after="0"/>
              <w:jc w:val="right"/>
              <w:rPr>
                <w:rFonts w:ascii="Arial" w:hAnsi="Arial"/>
                <w:b/>
                <w:bCs/>
                <w:sz w:val="16"/>
                <w:szCs w:val="16"/>
                <w:highlight w:val="yellow"/>
                <w:lang w:val="en-AU"/>
              </w:rPr>
            </w:pPr>
            <w:r>
              <w:rPr>
                <w:rFonts w:ascii="Arial" w:hAnsi="Arial"/>
                <w:b/>
                <w:bCs/>
                <w:sz w:val="16"/>
                <w:szCs w:val="16"/>
                <w:lang w:val="en-AU"/>
              </w:rPr>
              <w:t>-</w:t>
            </w:r>
            <w:r w:rsidR="00083563" w:rsidRPr="00A86A79">
              <w:rPr>
                <w:rFonts w:ascii="Arial" w:hAnsi="Arial"/>
                <w:b/>
                <w:bCs/>
                <w:sz w:val="16"/>
                <w:szCs w:val="16"/>
                <w:lang w:val="en-AU"/>
              </w:rPr>
              <w:t>314,945</w:t>
            </w:r>
          </w:p>
        </w:tc>
        <w:tc>
          <w:tcPr>
            <w:tcW w:w="1025" w:type="dxa"/>
            <w:tcBorders>
              <w:top w:val="single" w:sz="4" w:space="0" w:color="auto"/>
              <w:left w:val="nil"/>
              <w:bottom w:val="single" w:sz="4" w:space="0" w:color="auto"/>
              <w:right w:val="nil"/>
            </w:tcBorders>
            <w:shd w:val="clear" w:color="auto" w:fill="auto"/>
            <w:noWrap/>
            <w:vAlign w:val="center"/>
          </w:tcPr>
          <w:p w14:paraId="4B153065" w14:textId="42553696" w:rsidR="00083563" w:rsidRPr="007B4775" w:rsidRDefault="0040014B" w:rsidP="0040014B">
            <w:pPr>
              <w:spacing w:before="0" w:after="0"/>
              <w:jc w:val="right"/>
              <w:rPr>
                <w:rFonts w:ascii="Arial" w:hAnsi="Arial"/>
                <w:b/>
                <w:bCs/>
                <w:sz w:val="16"/>
                <w:szCs w:val="16"/>
                <w:highlight w:val="yellow"/>
                <w:lang w:val="en-AU"/>
              </w:rPr>
            </w:pPr>
            <w:r>
              <w:rPr>
                <w:rFonts w:ascii="Arial" w:hAnsi="Arial"/>
                <w:b/>
                <w:bCs/>
                <w:sz w:val="16"/>
                <w:szCs w:val="16"/>
                <w:lang w:val="en-AU"/>
              </w:rPr>
              <w:t>-</w:t>
            </w:r>
            <w:r w:rsidR="00083563" w:rsidRPr="00A86A79">
              <w:rPr>
                <w:rFonts w:ascii="Arial" w:hAnsi="Arial"/>
                <w:b/>
                <w:bCs/>
                <w:sz w:val="16"/>
                <w:szCs w:val="16"/>
                <w:lang w:val="en-AU"/>
              </w:rPr>
              <w:t>1,247</w:t>
            </w:r>
          </w:p>
        </w:tc>
        <w:tc>
          <w:tcPr>
            <w:tcW w:w="1061" w:type="dxa"/>
            <w:tcBorders>
              <w:top w:val="single" w:sz="4" w:space="0" w:color="auto"/>
              <w:left w:val="nil"/>
              <w:bottom w:val="single" w:sz="4" w:space="0" w:color="auto"/>
              <w:right w:val="nil"/>
            </w:tcBorders>
            <w:shd w:val="clear" w:color="auto" w:fill="auto"/>
            <w:noWrap/>
            <w:vAlign w:val="center"/>
          </w:tcPr>
          <w:p w14:paraId="06EE8170" w14:textId="44C2C662" w:rsidR="00083563" w:rsidRPr="007B4775" w:rsidRDefault="00083563" w:rsidP="00784613">
            <w:pPr>
              <w:spacing w:before="0" w:after="0"/>
              <w:jc w:val="right"/>
              <w:rPr>
                <w:rFonts w:ascii="Arial" w:hAnsi="Arial"/>
                <w:b/>
                <w:bCs/>
                <w:sz w:val="16"/>
                <w:szCs w:val="16"/>
                <w:highlight w:val="yellow"/>
                <w:lang w:val="en-AU"/>
              </w:rPr>
            </w:pPr>
            <w:r w:rsidRPr="00A86A79">
              <w:rPr>
                <w:rFonts w:ascii="Arial" w:hAnsi="Arial"/>
                <w:b/>
                <w:bCs/>
                <w:sz w:val="16"/>
                <w:szCs w:val="16"/>
                <w:lang w:val="en-AU"/>
              </w:rPr>
              <w:t>-</w:t>
            </w:r>
          </w:p>
        </w:tc>
        <w:tc>
          <w:tcPr>
            <w:tcW w:w="1035" w:type="dxa"/>
            <w:tcBorders>
              <w:top w:val="single" w:sz="4" w:space="0" w:color="auto"/>
              <w:left w:val="nil"/>
              <w:bottom w:val="single" w:sz="4" w:space="0" w:color="auto"/>
              <w:right w:val="nil"/>
            </w:tcBorders>
            <w:shd w:val="clear" w:color="auto" w:fill="auto"/>
            <w:noWrap/>
            <w:vAlign w:val="center"/>
          </w:tcPr>
          <w:p w14:paraId="06E86B00" w14:textId="40CA0CF1" w:rsidR="00083563" w:rsidRPr="007B4775" w:rsidRDefault="0040014B" w:rsidP="0040014B">
            <w:pPr>
              <w:spacing w:before="0" w:after="0"/>
              <w:jc w:val="right"/>
              <w:rPr>
                <w:rFonts w:ascii="Arial" w:hAnsi="Arial"/>
                <w:b/>
                <w:bCs/>
                <w:sz w:val="16"/>
                <w:szCs w:val="16"/>
                <w:highlight w:val="yellow"/>
                <w:lang w:val="en-AU"/>
              </w:rPr>
            </w:pPr>
            <w:r>
              <w:rPr>
                <w:rFonts w:ascii="Arial" w:hAnsi="Arial"/>
                <w:b/>
                <w:bCs/>
                <w:sz w:val="16"/>
                <w:szCs w:val="16"/>
                <w:lang w:val="en-AU"/>
              </w:rPr>
              <w:t>-</w:t>
            </w:r>
            <w:r w:rsidR="00083563" w:rsidRPr="00A86A79">
              <w:rPr>
                <w:rFonts w:ascii="Arial" w:hAnsi="Arial"/>
                <w:b/>
                <w:bCs/>
                <w:sz w:val="16"/>
                <w:szCs w:val="16"/>
                <w:lang w:val="en-AU"/>
              </w:rPr>
              <w:t>275,548</w:t>
            </w:r>
          </w:p>
        </w:tc>
      </w:tr>
      <w:tr w:rsidR="00C848C3" w:rsidRPr="007B4775" w14:paraId="0D60CB98" w14:textId="77777777" w:rsidTr="002B2BCC">
        <w:trPr>
          <w:trHeight w:val="225"/>
        </w:trPr>
        <w:tc>
          <w:tcPr>
            <w:tcW w:w="3227" w:type="dxa"/>
            <w:tcBorders>
              <w:top w:val="nil"/>
              <w:left w:val="nil"/>
              <w:bottom w:val="nil"/>
              <w:right w:val="nil"/>
            </w:tcBorders>
            <w:shd w:val="clear" w:color="auto" w:fill="auto"/>
            <w:vAlign w:val="bottom"/>
            <w:hideMark/>
          </w:tcPr>
          <w:p w14:paraId="29E302D4" w14:textId="0B9F3536" w:rsidR="00C848C3" w:rsidRPr="002B2BCC" w:rsidRDefault="00083563" w:rsidP="00C848C3">
            <w:pPr>
              <w:spacing w:before="0" w:after="0"/>
              <w:rPr>
                <w:rFonts w:ascii="Arial" w:hAnsi="Arial"/>
                <w:b/>
                <w:bCs/>
                <w:sz w:val="16"/>
                <w:szCs w:val="16"/>
                <w:lang w:val="en-AU"/>
              </w:rPr>
            </w:pPr>
            <w:r>
              <w:rPr>
                <w:rFonts w:ascii="Arial" w:hAnsi="Arial"/>
                <w:b/>
                <w:bCs/>
                <w:sz w:val="16"/>
                <w:szCs w:val="16"/>
                <w:lang w:val="en-AU"/>
              </w:rPr>
              <w:t>As at 30 June 2026</w:t>
            </w:r>
          </w:p>
        </w:tc>
        <w:tc>
          <w:tcPr>
            <w:tcW w:w="928" w:type="dxa"/>
            <w:tcBorders>
              <w:top w:val="nil"/>
              <w:left w:val="nil"/>
              <w:bottom w:val="nil"/>
              <w:right w:val="nil"/>
            </w:tcBorders>
            <w:shd w:val="clear" w:color="auto" w:fill="auto"/>
            <w:noWrap/>
            <w:vAlign w:val="center"/>
          </w:tcPr>
          <w:p w14:paraId="04F059AF" w14:textId="77777777" w:rsidR="00C848C3" w:rsidRPr="007B4775" w:rsidRDefault="00C848C3" w:rsidP="00C848C3">
            <w:pPr>
              <w:spacing w:before="0" w:after="0"/>
              <w:jc w:val="right"/>
              <w:rPr>
                <w:rFonts w:ascii="Arial" w:hAnsi="Arial"/>
                <w:b/>
                <w:bCs/>
                <w:sz w:val="16"/>
                <w:szCs w:val="16"/>
                <w:highlight w:val="yellow"/>
                <w:lang w:val="en-AU"/>
              </w:rPr>
            </w:pPr>
          </w:p>
        </w:tc>
        <w:tc>
          <w:tcPr>
            <w:tcW w:w="1035" w:type="dxa"/>
            <w:tcBorders>
              <w:top w:val="nil"/>
              <w:left w:val="nil"/>
              <w:bottom w:val="nil"/>
              <w:right w:val="nil"/>
            </w:tcBorders>
            <w:shd w:val="clear" w:color="auto" w:fill="auto"/>
            <w:noWrap/>
            <w:vAlign w:val="center"/>
          </w:tcPr>
          <w:p w14:paraId="13AD39D0" w14:textId="77777777" w:rsidR="00C848C3" w:rsidRPr="007B4775" w:rsidRDefault="00C848C3" w:rsidP="00C848C3">
            <w:pPr>
              <w:spacing w:before="0" w:after="0"/>
              <w:jc w:val="right"/>
              <w:rPr>
                <w:rFonts w:ascii="Times New Roman" w:hAnsi="Times New Roman" w:cs="Times New Roman"/>
                <w:szCs w:val="20"/>
                <w:highlight w:val="yellow"/>
                <w:lang w:val="en-AU"/>
              </w:rPr>
            </w:pPr>
          </w:p>
        </w:tc>
        <w:tc>
          <w:tcPr>
            <w:tcW w:w="1025" w:type="dxa"/>
            <w:tcBorders>
              <w:top w:val="nil"/>
              <w:left w:val="nil"/>
              <w:bottom w:val="nil"/>
              <w:right w:val="nil"/>
            </w:tcBorders>
            <w:shd w:val="clear" w:color="auto" w:fill="auto"/>
            <w:noWrap/>
            <w:vAlign w:val="center"/>
          </w:tcPr>
          <w:p w14:paraId="778F8C9E" w14:textId="77777777" w:rsidR="00C848C3" w:rsidRPr="007B4775" w:rsidRDefault="00C848C3" w:rsidP="00C848C3">
            <w:pPr>
              <w:spacing w:before="0" w:after="0"/>
              <w:jc w:val="right"/>
              <w:rPr>
                <w:rFonts w:ascii="Times New Roman" w:hAnsi="Times New Roman" w:cs="Times New Roman"/>
                <w:szCs w:val="20"/>
                <w:highlight w:val="yellow"/>
                <w:lang w:val="en-AU"/>
              </w:rPr>
            </w:pPr>
          </w:p>
        </w:tc>
        <w:tc>
          <w:tcPr>
            <w:tcW w:w="1061" w:type="dxa"/>
            <w:tcBorders>
              <w:top w:val="nil"/>
              <w:left w:val="nil"/>
              <w:bottom w:val="nil"/>
              <w:right w:val="nil"/>
            </w:tcBorders>
            <w:shd w:val="clear" w:color="auto" w:fill="auto"/>
            <w:noWrap/>
            <w:vAlign w:val="center"/>
          </w:tcPr>
          <w:p w14:paraId="5912821B" w14:textId="77777777" w:rsidR="00C848C3" w:rsidRPr="007B4775" w:rsidRDefault="00C848C3" w:rsidP="00C848C3">
            <w:pPr>
              <w:spacing w:before="0" w:after="0"/>
              <w:jc w:val="right"/>
              <w:rPr>
                <w:rFonts w:ascii="Times New Roman" w:hAnsi="Times New Roman" w:cs="Times New Roman"/>
                <w:szCs w:val="20"/>
                <w:highlight w:val="yellow"/>
                <w:lang w:val="en-AU"/>
              </w:rPr>
            </w:pPr>
          </w:p>
        </w:tc>
        <w:tc>
          <w:tcPr>
            <w:tcW w:w="1035" w:type="dxa"/>
            <w:tcBorders>
              <w:top w:val="nil"/>
              <w:left w:val="nil"/>
              <w:bottom w:val="nil"/>
              <w:right w:val="nil"/>
            </w:tcBorders>
            <w:shd w:val="clear" w:color="auto" w:fill="auto"/>
            <w:noWrap/>
            <w:vAlign w:val="center"/>
          </w:tcPr>
          <w:p w14:paraId="361637A0" w14:textId="77777777" w:rsidR="00C848C3" w:rsidRPr="007B4775" w:rsidRDefault="00C848C3" w:rsidP="00C848C3">
            <w:pPr>
              <w:spacing w:before="0" w:after="0"/>
              <w:jc w:val="right"/>
              <w:rPr>
                <w:rFonts w:ascii="Times New Roman" w:hAnsi="Times New Roman" w:cs="Times New Roman"/>
                <w:szCs w:val="20"/>
                <w:highlight w:val="yellow"/>
                <w:lang w:val="en-AU"/>
              </w:rPr>
            </w:pPr>
          </w:p>
        </w:tc>
      </w:tr>
      <w:tr w:rsidR="00083563" w:rsidRPr="007B4775" w14:paraId="2B7DFB21" w14:textId="77777777" w:rsidTr="002B2BCC">
        <w:trPr>
          <w:trHeight w:val="225"/>
        </w:trPr>
        <w:tc>
          <w:tcPr>
            <w:tcW w:w="3227" w:type="dxa"/>
            <w:tcBorders>
              <w:top w:val="nil"/>
              <w:left w:val="nil"/>
              <w:bottom w:val="nil"/>
              <w:right w:val="nil"/>
            </w:tcBorders>
            <w:shd w:val="clear" w:color="auto" w:fill="auto"/>
            <w:vAlign w:val="center"/>
            <w:hideMark/>
          </w:tcPr>
          <w:p w14:paraId="556F5139" w14:textId="77777777" w:rsidR="00083563" w:rsidRPr="002B2BCC" w:rsidRDefault="00083563" w:rsidP="00083563">
            <w:pPr>
              <w:spacing w:before="0" w:after="0"/>
              <w:ind w:firstLineChars="100" w:firstLine="160"/>
              <w:rPr>
                <w:rFonts w:ascii="Arial" w:hAnsi="Arial"/>
                <w:sz w:val="16"/>
                <w:szCs w:val="16"/>
                <w:lang w:val="en-AU"/>
              </w:rPr>
            </w:pPr>
            <w:r w:rsidRPr="002B2BCC">
              <w:rPr>
                <w:rFonts w:ascii="Arial" w:hAnsi="Arial"/>
                <w:sz w:val="16"/>
                <w:szCs w:val="16"/>
                <w:lang w:val="en-AU"/>
              </w:rPr>
              <w:t>Gross book value</w:t>
            </w:r>
          </w:p>
        </w:tc>
        <w:tc>
          <w:tcPr>
            <w:tcW w:w="928" w:type="dxa"/>
            <w:tcBorders>
              <w:top w:val="nil"/>
              <w:left w:val="nil"/>
              <w:bottom w:val="nil"/>
              <w:right w:val="nil"/>
            </w:tcBorders>
            <w:shd w:val="clear" w:color="auto" w:fill="auto"/>
            <w:noWrap/>
            <w:vAlign w:val="center"/>
          </w:tcPr>
          <w:p w14:paraId="2A8BCABB" w14:textId="0C24F0EE" w:rsidR="00083563" w:rsidRPr="007B4775" w:rsidRDefault="00083563" w:rsidP="00784613">
            <w:pPr>
              <w:spacing w:before="0" w:after="0"/>
              <w:jc w:val="right"/>
              <w:rPr>
                <w:rFonts w:ascii="Arial" w:hAnsi="Arial"/>
                <w:sz w:val="16"/>
                <w:szCs w:val="16"/>
                <w:highlight w:val="yellow"/>
                <w:lang w:val="en-AU"/>
              </w:rPr>
            </w:pPr>
            <w:r w:rsidRPr="00A86A79">
              <w:rPr>
                <w:rFonts w:ascii="Arial" w:hAnsi="Arial"/>
                <w:sz w:val="16"/>
                <w:szCs w:val="16"/>
                <w:lang w:val="en-AU"/>
              </w:rPr>
              <w:t>2,075,222</w:t>
            </w:r>
          </w:p>
        </w:tc>
        <w:tc>
          <w:tcPr>
            <w:tcW w:w="1035" w:type="dxa"/>
            <w:tcBorders>
              <w:top w:val="nil"/>
              <w:left w:val="nil"/>
              <w:bottom w:val="nil"/>
              <w:right w:val="nil"/>
            </w:tcBorders>
            <w:shd w:val="clear" w:color="auto" w:fill="auto"/>
            <w:noWrap/>
            <w:vAlign w:val="center"/>
          </w:tcPr>
          <w:p w14:paraId="4FED254D" w14:textId="4CD55533" w:rsidR="00083563" w:rsidRPr="007B4775" w:rsidRDefault="00083563" w:rsidP="00784613">
            <w:pPr>
              <w:spacing w:before="0" w:after="0"/>
              <w:jc w:val="right"/>
              <w:rPr>
                <w:rFonts w:ascii="Arial" w:hAnsi="Arial"/>
                <w:sz w:val="16"/>
                <w:szCs w:val="16"/>
                <w:highlight w:val="yellow"/>
                <w:lang w:val="en-AU"/>
              </w:rPr>
            </w:pPr>
            <w:r w:rsidRPr="00A86A79">
              <w:rPr>
                <w:rFonts w:ascii="Arial" w:hAnsi="Arial"/>
                <w:sz w:val="16"/>
                <w:szCs w:val="16"/>
                <w:lang w:val="en-AU"/>
              </w:rPr>
              <w:t>2,093,090</w:t>
            </w:r>
          </w:p>
        </w:tc>
        <w:tc>
          <w:tcPr>
            <w:tcW w:w="1025" w:type="dxa"/>
            <w:tcBorders>
              <w:top w:val="nil"/>
              <w:left w:val="nil"/>
              <w:bottom w:val="nil"/>
              <w:right w:val="nil"/>
            </w:tcBorders>
            <w:shd w:val="clear" w:color="auto" w:fill="auto"/>
            <w:noWrap/>
            <w:vAlign w:val="center"/>
          </w:tcPr>
          <w:p w14:paraId="57BCCBBF" w14:textId="477E99B2" w:rsidR="00083563" w:rsidRPr="007B4775" w:rsidRDefault="00083563" w:rsidP="00784613">
            <w:pPr>
              <w:spacing w:before="0" w:after="0"/>
              <w:jc w:val="right"/>
              <w:rPr>
                <w:rFonts w:ascii="Arial" w:hAnsi="Arial"/>
                <w:sz w:val="16"/>
                <w:szCs w:val="16"/>
                <w:highlight w:val="yellow"/>
                <w:lang w:val="en-AU"/>
              </w:rPr>
            </w:pPr>
            <w:r w:rsidRPr="00A86A79">
              <w:rPr>
                <w:rFonts w:ascii="Arial" w:hAnsi="Arial"/>
                <w:sz w:val="16"/>
                <w:szCs w:val="16"/>
                <w:lang w:val="en-AU"/>
              </w:rPr>
              <w:t>32,878</w:t>
            </w:r>
          </w:p>
        </w:tc>
        <w:tc>
          <w:tcPr>
            <w:tcW w:w="1061" w:type="dxa"/>
            <w:tcBorders>
              <w:top w:val="nil"/>
              <w:left w:val="nil"/>
              <w:bottom w:val="nil"/>
              <w:right w:val="nil"/>
            </w:tcBorders>
            <w:shd w:val="clear" w:color="auto" w:fill="auto"/>
            <w:noWrap/>
            <w:vAlign w:val="center"/>
          </w:tcPr>
          <w:p w14:paraId="00E130E3" w14:textId="1C0B347E" w:rsidR="00083563" w:rsidRPr="007B4775" w:rsidRDefault="00083563" w:rsidP="00784613">
            <w:pPr>
              <w:spacing w:before="0" w:after="0"/>
              <w:jc w:val="right"/>
              <w:rPr>
                <w:rFonts w:ascii="Arial" w:hAnsi="Arial"/>
                <w:sz w:val="16"/>
                <w:szCs w:val="16"/>
                <w:highlight w:val="yellow"/>
                <w:lang w:val="en-AU"/>
              </w:rPr>
            </w:pPr>
            <w:r w:rsidRPr="00A86A79">
              <w:rPr>
                <w:rFonts w:ascii="Arial" w:hAnsi="Arial"/>
                <w:sz w:val="16"/>
                <w:szCs w:val="16"/>
                <w:lang w:val="en-AU"/>
              </w:rPr>
              <w:t>21,375</w:t>
            </w:r>
          </w:p>
        </w:tc>
        <w:tc>
          <w:tcPr>
            <w:tcW w:w="1035" w:type="dxa"/>
            <w:tcBorders>
              <w:top w:val="nil"/>
              <w:left w:val="nil"/>
              <w:bottom w:val="nil"/>
              <w:right w:val="nil"/>
            </w:tcBorders>
            <w:shd w:val="clear" w:color="auto" w:fill="auto"/>
            <w:noWrap/>
            <w:vAlign w:val="center"/>
          </w:tcPr>
          <w:p w14:paraId="5A1D276A" w14:textId="13A13A4D" w:rsidR="00083563" w:rsidRPr="007B4775" w:rsidRDefault="00083563" w:rsidP="00784613">
            <w:pPr>
              <w:spacing w:before="0" w:after="0"/>
              <w:jc w:val="right"/>
              <w:rPr>
                <w:rFonts w:ascii="Arial" w:hAnsi="Arial"/>
                <w:sz w:val="16"/>
                <w:szCs w:val="16"/>
                <w:highlight w:val="yellow"/>
                <w:lang w:val="en-AU"/>
              </w:rPr>
            </w:pPr>
            <w:r w:rsidRPr="00A86A79">
              <w:rPr>
                <w:rFonts w:ascii="Arial" w:hAnsi="Arial"/>
                <w:sz w:val="16"/>
                <w:szCs w:val="16"/>
                <w:lang w:val="en-AU"/>
              </w:rPr>
              <w:t>4,222,565</w:t>
            </w:r>
          </w:p>
        </w:tc>
      </w:tr>
      <w:tr w:rsidR="00083563" w:rsidRPr="007B4775" w14:paraId="692AC678" w14:textId="77777777" w:rsidTr="002B2BCC">
        <w:trPr>
          <w:trHeight w:val="225"/>
        </w:trPr>
        <w:tc>
          <w:tcPr>
            <w:tcW w:w="3227" w:type="dxa"/>
            <w:tcBorders>
              <w:top w:val="nil"/>
              <w:left w:val="nil"/>
              <w:bottom w:val="nil"/>
              <w:right w:val="nil"/>
            </w:tcBorders>
            <w:shd w:val="clear" w:color="auto" w:fill="auto"/>
            <w:vAlign w:val="center"/>
            <w:hideMark/>
          </w:tcPr>
          <w:p w14:paraId="1B17FC54" w14:textId="77777777" w:rsidR="00083563" w:rsidRPr="002B2BCC" w:rsidRDefault="00083563" w:rsidP="00083563">
            <w:pPr>
              <w:spacing w:before="0" w:after="0"/>
              <w:ind w:firstLineChars="100" w:firstLine="160"/>
              <w:rPr>
                <w:rFonts w:ascii="Arial" w:hAnsi="Arial"/>
                <w:sz w:val="16"/>
                <w:szCs w:val="16"/>
                <w:lang w:val="en-AU"/>
              </w:rPr>
            </w:pPr>
            <w:r w:rsidRPr="002B2BCC">
              <w:rPr>
                <w:rFonts w:ascii="Arial" w:hAnsi="Arial"/>
                <w:sz w:val="16"/>
                <w:szCs w:val="16"/>
                <w:lang w:val="en-AU"/>
              </w:rPr>
              <w:t>Gross book value - ROU assets</w:t>
            </w:r>
          </w:p>
        </w:tc>
        <w:tc>
          <w:tcPr>
            <w:tcW w:w="928" w:type="dxa"/>
            <w:tcBorders>
              <w:top w:val="nil"/>
              <w:left w:val="nil"/>
              <w:bottom w:val="nil"/>
              <w:right w:val="nil"/>
            </w:tcBorders>
            <w:shd w:val="clear" w:color="auto" w:fill="auto"/>
            <w:noWrap/>
            <w:vAlign w:val="center"/>
          </w:tcPr>
          <w:p w14:paraId="0237E61B" w14:textId="1825DA82" w:rsidR="00083563" w:rsidRPr="007B4775" w:rsidRDefault="00083563" w:rsidP="00784613">
            <w:pPr>
              <w:spacing w:before="0" w:after="0"/>
              <w:jc w:val="right"/>
              <w:rPr>
                <w:rFonts w:ascii="Arial" w:hAnsi="Arial"/>
                <w:sz w:val="16"/>
                <w:szCs w:val="16"/>
                <w:highlight w:val="yellow"/>
                <w:lang w:val="en-AU"/>
              </w:rPr>
            </w:pPr>
            <w:r w:rsidRPr="00A86A79">
              <w:rPr>
                <w:rFonts w:ascii="Arial" w:hAnsi="Arial"/>
                <w:sz w:val="16"/>
                <w:szCs w:val="16"/>
                <w:lang w:val="en-AU"/>
              </w:rPr>
              <w:t>-</w:t>
            </w:r>
          </w:p>
        </w:tc>
        <w:tc>
          <w:tcPr>
            <w:tcW w:w="1035" w:type="dxa"/>
            <w:tcBorders>
              <w:top w:val="nil"/>
              <w:left w:val="nil"/>
              <w:bottom w:val="nil"/>
              <w:right w:val="nil"/>
            </w:tcBorders>
            <w:shd w:val="clear" w:color="auto" w:fill="auto"/>
            <w:noWrap/>
            <w:vAlign w:val="center"/>
          </w:tcPr>
          <w:p w14:paraId="35834724" w14:textId="23481278" w:rsidR="00083563" w:rsidRPr="007B4775" w:rsidRDefault="00083563" w:rsidP="00784613">
            <w:pPr>
              <w:spacing w:before="0" w:after="0"/>
              <w:jc w:val="right"/>
              <w:rPr>
                <w:rFonts w:ascii="Arial" w:hAnsi="Arial"/>
                <w:sz w:val="16"/>
                <w:szCs w:val="16"/>
                <w:highlight w:val="yellow"/>
                <w:lang w:val="en-AU"/>
              </w:rPr>
            </w:pPr>
            <w:r w:rsidRPr="00A86A79">
              <w:rPr>
                <w:rFonts w:ascii="Arial" w:hAnsi="Arial"/>
                <w:sz w:val="16"/>
                <w:szCs w:val="16"/>
                <w:lang w:val="en-AU"/>
              </w:rPr>
              <w:t>3,683,040</w:t>
            </w:r>
          </w:p>
        </w:tc>
        <w:tc>
          <w:tcPr>
            <w:tcW w:w="1025" w:type="dxa"/>
            <w:tcBorders>
              <w:top w:val="nil"/>
              <w:left w:val="nil"/>
              <w:bottom w:val="nil"/>
              <w:right w:val="nil"/>
            </w:tcBorders>
            <w:shd w:val="clear" w:color="auto" w:fill="auto"/>
            <w:noWrap/>
            <w:vAlign w:val="center"/>
          </w:tcPr>
          <w:p w14:paraId="084D05CD" w14:textId="3D0FC640" w:rsidR="00083563" w:rsidRPr="007B4775" w:rsidRDefault="00083563" w:rsidP="00784613">
            <w:pPr>
              <w:spacing w:before="0" w:after="0"/>
              <w:jc w:val="right"/>
              <w:rPr>
                <w:rFonts w:ascii="Arial" w:hAnsi="Arial"/>
                <w:sz w:val="16"/>
                <w:szCs w:val="16"/>
                <w:highlight w:val="yellow"/>
                <w:lang w:val="en-AU"/>
              </w:rPr>
            </w:pPr>
            <w:r w:rsidRPr="00A86A79">
              <w:rPr>
                <w:rFonts w:ascii="Arial" w:hAnsi="Arial"/>
                <w:sz w:val="16"/>
                <w:szCs w:val="16"/>
                <w:lang w:val="en-AU"/>
              </w:rPr>
              <w:t>2,421</w:t>
            </w:r>
          </w:p>
        </w:tc>
        <w:tc>
          <w:tcPr>
            <w:tcW w:w="1061" w:type="dxa"/>
            <w:tcBorders>
              <w:top w:val="nil"/>
              <w:left w:val="nil"/>
              <w:bottom w:val="nil"/>
              <w:right w:val="nil"/>
            </w:tcBorders>
            <w:shd w:val="clear" w:color="auto" w:fill="auto"/>
            <w:noWrap/>
            <w:vAlign w:val="center"/>
          </w:tcPr>
          <w:p w14:paraId="0DE44C2A" w14:textId="1CB68297" w:rsidR="00083563" w:rsidRPr="007B4775" w:rsidRDefault="00083563" w:rsidP="00784613">
            <w:pPr>
              <w:spacing w:before="0" w:after="0"/>
              <w:jc w:val="right"/>
              <w:rPr>
                <w:rFonts w:ascii="Arial" w:hAnsi="Arial"/>
                <w:sz w:val="16"/>
                <w:szCs w:val="16"/>
                <w:highlight w:val="yellow"/>
                <w:lang w:val="en-AU"/>
              </w:rPr>
            </w:pPr>
            <w:r w:rsidRPr="00A86A79">
              <w:rPr>
                <w:rFonts w:ascii="Arial" w:hAnsi="Arial"/>
                <w:sz w:val="16"/>
                <w:szCs w:val="16"/>
                <w:lang w:val="en-AU"/>
              </w:rPr>
              <w:t>-</w:t>
            </w:r>
          </w:p>
        </w:tc>
        <w:tc>
          <w:tcPr>
            <w:tcW w:w="1035" w:type="dxa"/>
            <w:tcBorders>
              <w:top w:val="nil"/>
              <w:left w:val="nil"/>
              <w:bottom w:val="nil"/>
              <w:right w:val="nil"/>
            </w:tcBorders>
            <w:shd w:val="clear" w:color="auto" w:fill="auto"/>
            <w:noWrap/>
            <w:vAlign w:val="center"/>
          </w:tcPr>
          <w:p w14:paraId="0A4A8DB3" w14:textId="65DDE69E" w:rsidR="00083563" w:rsidRPr="007B4775" w:rsidRDefault="00083563" w:rsidP="00784613">
            <w:pPr>
              <w:spacing w:before="0" w:after="0"/>
              <w:jc w:val="right"/>
              <w:rPr>
                <w:rFonts w:ascii="Arial" w:hAnsi="Arial"/>
                <w:sz w:val="16"/>
                <w:szCs w:val="16"/>
                <w:highlight w:val="yellow"/>
                <w:lang w:val="en-AU"/>
              </w:rPr>
            </w:pPr>
            <w:r w:rsidRPr="00A86A79">
              <w:rPr>
                <w:rFonts w:ascii="Arial" w:hAnsi="Arial"/>
                <w:sz w:val="16"/>
                <w:szCs w:val="16"/>
                <w:lang w:val="en-AU"/>
              </w:rPr>
              <w:t>3,685,461</w:t>
            </w:r>
          </w:p>
        </w:tc>
      </w:tr>
      <w:tr w:rsidR="00083563" w:rsidRPr="007B4775" w14:paraId="5D08D40A" w14:textId="77777777" w:rsidTr="002B2BCC">
        <w:trPr>
          <w:trHeight w:val="450"/>
        </w:trPr>
        <w:tc>
          <w:tcPr>
            <w:tcW w:w="3227" w:type="dxa"/>
            <w:tcBorders>
              <w:top w:val="nil"/>
              <w:left w:val="nil"/>
              <w:bottom w:val="nil"/>
              <w:right w:val="nil"/>
            </w:tcBorders>
            <w:shd w:val="clear" w:color="auto" w:fill="auto"/>
            <w:vAlign w:val="center"/>
            <w:hideMark/>
          </w:tcPr>
          <w:p w14:paraId="290CDD82" w14:textId="77777777" w:rsidR="00083563" w:rsidRPr="002B2BCC" w:rsidRDefault="00083563" w:rsidP="00083563">
            <w:pPr>
              <w:spacing w:before="0" w:after="0"/>
              <w:ind w:firstLineChars="100" w:firstLine="160"/>
              <w:rPr>
                <w:rFonts w:ascii="Arial" w:hAnsi="Arial"/>
                <w:sz w:val="16"/>
                <w:szCs w:val="16"/>
                <w:lang w:val="en-AU"/>
              </w:rPr>
            </w:pPr>
            <w:r w:rsidRPr="002B2BCC">
              <w:rPr>
                <w:rFonts w:ascii="Arial" w:hAnsi="Arial"/>
                <w:sz w:val="16"/>
                <w:szCs w:val="16"/>
                <w:lang w:val="en-AU"/>
              </w:rPr>
              <w:t>Accumulated depreciation/</w:t>
            </w:r>
            <w:r w:rsidRPr="002B2BCC">
              <w:rPr>
                <w:rFonts w:ascii="Arial" w:hAnsi="Arial"/>
                <w:sz w:val="16"/>
                <w:szCs w:val="16"/>
                <w:lang w:val="en-AU"/>
              </w:rPr>
              <w:br/>
              <w:t xml:space="preserve">   amortisation and impairment</w:t>
            </w:r>
          </w:p>
        </w:tc>
        <w:tc>
          <w:tcPr>
            <w:tcW w:w="928" w:type="dxa"/>
            <w:tcBorders>
              <w:top w:val="nil"/>
              <w:left w:val="nil"/>
              <w:bottom w:val="nil"/>
              <w:right w:val="nil"/>
            </w:tcBorders>
            <w:shd w:val="clear" w:color="auto" w:fill="auto"/>
            <w:noWrap/>
            <w:vAlign w:val="center"/>
          </w:tcPr>
          <w:p w14:paraId="6D9A9DFD" w14:textId="3677B655" w:rsidR="00083563" w:rsidRPr="007B4775" w:rsidRDefault="00083563" w:rsidP="00784613">
            <w:pPr>
              <w:spacing w:before="0" w:after="0"/>
              <w:jc w:val="right"/>
              <w:rPr>
                <w:rFonts w:ascii="Arial" w:hAnsi="Arial"/>
                <w:sz w:val="16"/>
                <w:szCs w:val="16"/>
                <w:highlight w:val="yellow"/>
                <w:lang w:val="en-AU"/>
              </w:rPr>
            </w:pPr>
            <w:r w:rsidRPr="00A86A79">
              <w:rPr>
                <w:rFonts w:ascii="Arial" w:hAnsi="Arial"/>
                <w:sz w:val="16"/>
                <w:szCs w:val="16"/>
                <w:lang w:val="en-AU"/>
              </w:rPr>
              <w:t>-</w:t>
            </w:r>
          </w:p>
        </w:tc>
        <w:tc>
          <w:tcPr>
            <w:tcW w:w="1035" w:type="dxa"/>
            <w:tcBorders>
              <w:top w:val="nil"/>
              <w:left w:val="nil"/>
              <w:bottom w:val="nil"/>
              <w:right w:val="nil"/>
            </w:tcBorders>
            <w:shd w:val="clear" w:color="auto" w:fill="auto"/>
            <w:noWrap/>
            <w:vAlign w:val="center"/>
          </w:tcPr>
          <w:p w14:paraId="5FABE3FA" w14:textId="6E1D19C7" w:rsidR="00083563" w:rsidRPr="007B4775" w:rsidRDefault="0040014B" w:rsidP="00083563">
            <w:pPr>
              <w:spacing w:before="0" w:after="0"/>
              <w:jc w:val="right"/>
              <w:rPr>
                <w:rFonts w:ascii="Arial" w:hAnsi="Arial"/>
                <w:sz w:val="16"/>
                <w:szCs w:val="16"/>
                <w:highlight w:val="yellow"/>
                <w:lang w:val="en-AU"/>
              </w:rPr>
            </w:pPr>
            <w:r>
              <w:rPr>
                <w:rFonts w:ascii="Arial" w:hAnsi="Arial"/>
                <w:sz w:val="16"/>
                <w:szCs w:val="16"/>
                <w:lang w:val="en-AU"/>
              </w:rPr>
              <w:t>-44,581</w:t>
            </w:r>
          </w:p>
        </w:tc>
        <w:tc>
          <w:tcPr>
            <w:tcW w:w="1025" w:type="dxa"/>
            <w:tcBorders>
              <w:top w:val="nil"/>
              <w:left w:val="nil"/>
              <w:bottom w:val="nil"/>
              <w:right w:val="nil"/>
            </w:tcBorders>
            <w:shd w:val="clear" w:color="auto" w:fill="auto"/>
            <w:noWrap/>
            <w:vAlign w:val="center"/>
          </w:tcPr>
          <w:p w14:paraId="6055CB67" w14:textId="6B6BC5E0" w:rsidR="00083563" w:rsidRPr="007B4775" w:rsidRDefault="0040014B" w:rsidP="0040014B">
            <w:pPr>
              <w:spacing w:before="0" w:after="0"/>
              <w:jc w:val="right"/>
              <w:rPr>
                <w:rFonts w:ascii="Arial" w:hAnsi="Arial"/>
                <w:sz w:val="16"/>
                <w:szCs w:val="16"/>
                <w:highlight w:val="yellow"/>
                <w:lang w:val="en-AU"/>
              </w:rPr>
            </w:pPr>
            <w:r>
              <w:rPr>
                <w:rFonts w:ascii="Arial" w:hAnsi="Arial"/>
                <w:sz w:val="16"/>
                <w:szCs w:val="16"/>
                <w:lang w:val="en-AU"/>
              </w:rPr>
              <w:t>-</w:t>
            </w:r>
            <w:r w:rsidR="00083563" w:rsidRPr="00A86A79">
              <w:rPr>
                <w:rFonts w:ascii="Arial" w:hAnsi="Arial"/>
                <w:sz w:val="16"/>
                <w:szCs w:val="16"/>
                <w:lang w:val="en-AU"/>
              </w:rPr>
              <w:t>17,558</w:t>
            </w:r>
          </w:p>
        </w:tc>
        <w:tc>
          <w:tcPr>
            <w:tcW w:w="1061" w:type="dxa"/>
            <w:tcBorders>
              <w:top w:val="nil"/>
              <w:left w:val="nil"/>
              <w:bottom w:val="nil"/>
              <w:right w:val="nil"/>
            </w:tcBorders>
            <w:shd w:val="clear" w:color="auto" w:fill="auto"/>
            <w:noWrap/>
            <w:vAlign w:val="center"/>
          </w:tcPr>
          <w:p w14:paraId="56692999" w14:textId="39A7DDC0" w:rsidR="00083563" w:rsidRPr="007B4775" w:rsidRDefault="0040014B" w:rsidP="0040014B">
            <w:pPr>
              <w:spacing w:before="0" w:after="0"/>
              <w:jc w:val="right"/>
              <w:rPr>
                <w:rFonts w:ascii="Arial" w:hAnsi="Arial"/>
                <w:sz w:val="16"/>
                <w:szCs w:val="16"/>
                <w:highlight w:val="yellow"/>
                <w:lang w:val="en-AU"/>
              </w:rPr>
            </w:pPr>
            <w:r>
              <w:rPr>
                <w:rFonts w:ascii="Arial" w:hAnsi="Arial"/>
                <w:sz w:val="16"/>
                <w:szCs w:val="16"/>
                <w:lang w:val="en-AU"/>
              </w:rPr>
              <w:t>-</w:t>
            </w:r>
            <w:r w:rsidR="00083563" w:rsidRPr="00A86A79">
              <w:rPr>
                <w:rFonts w:ascii="Arial" w:hAnsi="Arial"/>
                <w:sz w:val="16"/>
                <w:szCs w:val="16"/>
                <w:lang w:val="en-AU"/>
              </w:rPr>
              <w:t>21,373</w:t>
            </w:r>
          </w:p>
        </w:tc>
        <w:tc>
          <w:tcPr>
            <w:tcW w:w="1035" w:type="dxa"/>
            <w:tcBorders>
              <w:top w:val="nil"/>
              <w:left w:val="nil"/>
              <w:bottom w:val="nil"/>
              <w:right w:val="nil"/>
            </w:tcBorders>
            <w:shd w:val="clear" w:color="auto" w:fill="auto"/>
            <w:noWrap/>
            <w:vAlign w:val="center"/>
          </w:tcPr>
          <w:p w14:paraId="1B6DC41A" w14:textId="385D90C3" w:rsidR="00083563" w:rsidRPr="007B4775" w:rsidRDefault="0040014B" w:rsidP="0040014B">
            <w:pPr>
              <w:spacing w:before="0" w:after="0"/>
              <w:jc w:val="right"/>
              <w:rPr>
                <w:rFonts w:ascii="Arial" w:hAnsi="Arial"/>
                <w:sz w:val="16"/>
                <w:szCs w:val="16"/>
                <w:highlight w:val="yellow"/>
                <w:lang w:val="en-AU"/>
              </w:rPr>
            </w:pPr>
            <w:r>
              <w:rPr>
                <w:rFonts w:ascii="Arial" w:hAnsi="Arial"/>
                <w:sz w:val="16"/>
                <w:szCs w:val="16"/>
                <w:lang w:val="en-AU"/>
              </w:rPr>
              <w:t>-</w:t>
            </w:r>
            <w:r w:rsidR="00083563" w:rsidRPr="00A86A79">
              <w:rPr>
                <w:rFonts w:ascii="Arial" w:hAnsi="Arial"/>
                <w:sz w:val="16"/>
                <w:szCs w:val="16"/>
                <w:lang w:val="en-AU"/>
              </w:rPr>
              <w:t>83,512</w:t>
            </w:r>
          </w:p>
        </w:tc>
      </w:tr>
      <w:tr w:rsidR="00083563" w:rsidRPr="007B4775" w14:paraId="4FB6FC76" w14:textId="77777777" w:rsidTr="002B2BCC">
        <w:trPr>
          <w:trHeight w:val="450"/>
        </w:trPr>
        <w:tc>
          <w:tcPr>
            <w:tcW w:w="3227" w:type="dxa"/>
            <w:tcBorders>
              <w:top w:val="nil"/>
              <w:left w:val="nil"/>
              <w:bottom w:val="nil"/>
              <w:right w:val="nil"/>
            </w:tcBorders>
            <w:shd w:val="clear" w:color="auto" w:fill="auto"/>
            <w:vAlign w:val="center"/>
            <w:hideMark/>
          </w:tcPr>
          <w:p w14:paraId="36BB5F1F" w14:textId="77777777" w:rsidR="00083563" w:rsidRPr="002B2BCC" w:rsidRDefault="00083563" w:rsidP="00083563">
            <w:pPr>
              <w:spacing w:before="0" w:after="0"/>
              <w:ind w:firstLineChars="100" w:firstLine="160"/>
              <w:rPr>
                <w:rFonts w:ascii="Arial" w:hAnsi="Arial"/>
                <w:sz w:val="16"/>
                <w:szCs w:val="16"/>
                <w:lang w:val="en-AU"/>
              </w:rPr>
            </w:pPr>
            <w:r w:rsidRPr="002B2BCC">
              <w:rPr>
                <w:rFonts w:ascii="Arial" w:hAnsi="Arial"/>
                <w:sz w:val="16"/>
                <w:szCs w:val="16"/>
                <w:lang w:val="en-AU"/>
              </w:rPr>
              <w:t>Accumulated depreciation/amortisation</w:t>
            </w:r>
            <w:r w:rsidRPr="002B2BCC">
              <w:rPr>
                <w:rFonts w:ascii="Arial" w:hAnsi="Arial"/>
                <w:sz w:val="16"/>
                <w:szCs w:val="16"/>
                <w:lang w:val="en-AU"/>
              </w:rPr>
              <w:br/>
              <w:t xml:space="preserve">    and impairment - ROU assets</w:t>
            </w:r>
          </w:p>
        </w:tc>
        <w:tc>
          <w:tcPr>
            <w:tcW w:w="928" w:type="dxa"/>
            <w:tcBorders>
              <w:top w:val="nil"/>
              <w:left w:val="nil"/>
              <w:bottom w:val="nil"/>
              <w:right w:val="nil"/>
            </w:tcBorders>
            <w:shd w:val="clear" w:color="auto" w:fill="auto"/>
            <w:noWrap/>
            <w:vAlign w:val="center"/>
          </w:tcPr>
          <w:p w14:paraId="4D3CF9C9" w14:textId="16C474FD" w:rsidR="00083563" w:rsidRPr="007B4775" w:rsidRDefault="00083563" w:rsidP="00784613">
            <w:pPr>
              <w:spacing w:before="0" w:after="0"/>
              <w:jc w:val="right"/>
              <w:rPr>
                <w:rFonts w:ascii="Arial" w:hAnsi="Arial"/>
                <w:sz w:val="16"/>
                <w:szCs w:val="16"/>
                <w:highlight w:val="yellow"/>
                <w:lang w:val="en-AU"/>
              </w:rPr>
            </w:pPr>
            <w:r w:rsidRPr="00A86A79">
              <w:rPr>
                <w:rFonts w:ascii="Arial" w:hAnsi="Arial"/>
                <w:sz w:val="16"/>
                <w:szCs w:val="16"/>
                <w:lang w:val="en-AU"/>
              </w:rPr>
              <w:t>-</w:t>
            </w:r>
          </w:p>
        </w:tc>
        <w:tc>
          <w:tcPr>
            <w:tcW w:w="1035" w:type="dxa"/>
            <w:tcBorders>
              <w:top w:val="nil"/>
              <w:left w:val="nil"/>
              <w:bottom w:val="nil"/>
              <w:right w:val="nil"/>
            </w:tcBorders>
            <w:shd w:val="clear" w:color="auto" w:fill="auto"/>
            <w:noWrap/>
            <w:vAlign w:val="center"/>
          </w:tcPr>
          <w:p w14:paraId="37475F79" w14:textId="45B742CE" w:rsidR="00083563" w:rsidRPr="007B4775" w:rsidRDefault="0040014B" w:rsidP="0040014B">
            <w:pPr>
              <w:spacing w:before="0" w:after="0"/>
              <w:jc w:val="right"/>
              <w:rPr>
                <w:rFonts w:ascii="Arial" w:hAnsi="Arial"/>
                <w:sz w:val="16"/>
                <w:szCs w:val="16"/>
                <w:highlight w:val="yellow"/>
                <w:lang w:val="en-AU"/>
              </w:rPr>
            </w:pPr>
            <w:r>
              <w:rPr>
                <w:rFonts w:ascii="Arial" w:hAnsi="Arial"/>
                <w:sz w:val="16"/>
                <w:szCs w:val="16"/>
                <w:lang w:val="en-AU"/>
              </w:rPr>
              <w:t>-</w:t>
            </w:r>
            <w:r w:rsidR="00083563" w:rsidRPr="00A86A79">
              <w:rPr>
                <w:rFonts w:ascii="Arial" w:hAnsi="Arial"/>
                <w:sz w:val="16"/>
                <w:szCs w:val="16"/>
                <w:lang w:val="en-AU"/>
              </w:rPr>
              <w:t>2,063,211</w:t>
            </w:r>
          </w:p>
        </w:tc>
        <w:tc>
          <w:tcPr>
            <w:tcW w:w="1025" w:type="dxa"/>
            <w:tcBorders>
              <w:top w:val="nil"/>
              <w:left w:val="nil"/>
              <w:bottom w:val="nil"/>
              <w:right w:val="nil"/>
            </w:tcBorders>
            <w:shd w:val="clear" w:color="auto" w:fill="auto"/>
            <w:noWrap/>
            <w:vAlign w:val="center"/>
          </w:tcPr>
          <w:p w14:paraId="48267B6D" w14:textId="498270DA" w:rsidR="00083563" w:rsidRPr="007B4775" w:rsidRDefault="0040014B" w:rsidP="0040014B">
            <w:pPr>
              <w:spacing w:before="0" w:after="0"/>
              <w:jc w:val="right"/>
              <w:rPr>
                <w:rFonts w:ascii="Arial" w:hAnsi="Arial"/>
                <w:sz w:val="16"/>
                <w:szCs w:val="16"/>
                <w:highlight w:val="yellow"/>
                <w:lang w:val="en-AU"/>
              </w:rPr>
            </w:pPr>
            <w:r>
              <w:rPr>
                <w:rFonts w:ascii="Arial" w:hAnsi="Arial"/>
                <w:sz w:val="16"/>
                <w:szCs w:val="16"/>
                <w:lang w:val="en-AU"/>
              </w:rPr>
              <w:t>-</w:t>
            </w:r>
            <w:r w:rsidR="00083563" w:rsidRPr="00A86A79">
              <w:rPr>
                <w:rFonts w:ascii="Arial" w:hAnsi="Arial"/>
                <w:sz w:val="16"/>
                <w:szCs w:val="16"/>
                <w:lang w:val="en-AU"/>
              </w:rPr>
              <w:t>1,696</w:t>
            </w:r>
          </w:p>
        </w:tc>
        <w:tc>
          <w:tcPr>
            <w:tcW w:w="1061" w:type="dxa"/>
            <w:tcBorders>
              <w:top w:val="nil"/>
              <w:left w:val="nil"/>
              <w:bottom w:val="nil"/>
              <w:right w:val="nil"/>
            </w:tcBorders>
            <w:shd w:val="clear" w:color="auto" w:fill="auto"/>
            <w:noWrap/>
            <w:vAlign w:val="center"/>
          </w:tcPr>
          <w:p w14:paraId="0759CF9B" w14:textId="09BD274C" w:rsidR="00083563" w:rsidRPr="007B4775" w:rsidRDefault="00083563" w:rsidP="00784613">
            <w:pPr>
              <w:spacing w:before="0" w:after="0"/>
              <w:jc w:val="right"/>
              <w:rPr>
                <w:rFonts w:ascii="Arial" w:hAnsi="Arial"/>
                <w:sz w:val="16"/>
                <w:szCs w:val="16"/>
                <w:highlight w:val="yellow"/>
                <w:lang w:val="en-AU"/>
              </w:rPr>
            </w:pPr>
            <w:r w:rsidRPr="00A86A79">
              <w:rPr>
                <w:rFonts w:ascii="Arial" w:hAnsi="Arial"/>
                <w:sz w:val="16"/>
                <w:szCs w:val="16"/>
                <w:lang w:val="en-AU"/>
              </w:rPr>
              <w:t>-</w:t>
            </w:r>
          </w:p>
        </w:tc>
        <w:tc>
          <w:tcPr>
            <w:tcW w:w="1035" w:type="dxa"/>
            <w:tcBorders>
              <w:top w:val="nil"/>
              <w:left w:val="nil"/>
              <w:bottom w:val="nil"/>
              <w:right w:val="nil"/>
            </w:tcBorders>
            <w:shd w:val="clear" w:color="auto" w:fill="auto"/>
            <w:noWrap/>
            <w:vAlign w:val="center"/>
          </w:tcPr>
          <w:p w14:paraId="1B7E19F8" w14:textId="7CF49DE2" w:rsidR="00083563" w:rsidRPr="007B4775" w:rsidRDefault="0040014B" w:rsidP="0040014B">
            <w:pPr>
              <w:spacing w:before="0" w:after="0"/>
              <w:jc w:val="right"/>
              <w:rPr>
                <w:rFonts w:ascii="Arial" w:hAnsi="Arial"/>
                <w:sz w:val="16"/>
                <w:szCs w:val="16"/>
                <w:highlight w:val="yellow"/>
                <w:lang w:val="en-AU"/>
              </w:rPr>
            </w:pPr>
            <w:r>
              <w:rPr>
                <w:rFonts w:ascii="Arial" w:hAnsi="Arial"/>
                <w:sz w:val="16"/>
                <w:szCs w:val="16"/>
                <w:lang w:val="en-AU"/>
              </w:rPr>
              <w:t>-</w:t>
            </w:r>
            <w:r w:rsidR="00083563" w:rsidRPr="00A86A79">
              <w:rPr>
                <w:rFonts w:ascii="Arial" w:hAnsi="Arial"/>
                <w:sz w:val="16"/>
                <w:szCs w:val="16"/>
                <w:lang w:val="en-AU"/>
              </w:rPr>
              <w:t>2,064,907</w:t>
            </w:r>
          </w:p>
        </w:tc>
      </w:tr>
      <w:tr w:rsidR="00083563" w:rsidRPr="007B4775" w14:paraId="37E24B3C" w14:textId="77777777" w:rsidTr="002B2BCC">
        <w:trPr>
          <w:trHeight w:val="225"/>
        </w:trPr>
        <w:tc>
          <w:tcPr>
            <w:tcW w:w="3227" w:type="dxa"/>
            <w:tcBorders>
              <w:top w:val="nil"/>
              <w:left w:val="nil"/>
              <w:bottom w:val="single" w:sz="4" w:space="0" w:color="auto"/>
              <w:right w:val="nil"/>
            </w:tcBorders>
            <w:shd w:val="clear" w:color="auto" w:fill="auto"/>
            <w:noWrap/>
            <w:vAlign w:val="bottom"/>
            <w:hideMark/>
          </w:tcPr>
          <w:p w14:paraId="3A000BA4" w14:textId="77777777" w:rsidR="00083563" w:rsidRPr="002B2BCC" w:rsidRDefault="00083563" w:rsidP="00083563">
            <w:pPr>
              <w:spacing w:before="0" w:after="0"/>
              <w:rPr>
                <w:rFonts w:ascii="Arial" w:hAnsi="Arial"/>
                <w:b/>
                <w:bCs/>
                <w:sz w:val="16"/>
                <w:szCs w:val="16"/>
                <w:lang w:val="en-AU"/>
              </w:rPr>
            </w:pPr>
            <w:r w:rsidRPr="002B2BCC">
              <w:rPr>
                <w:rFonts w:ascii="Arial" w:hAnsi="Arial"/>
                <w:b/>
                <w:bCs/>
                <w:sz w:val="16"/>
                <w:szCs w:val="16"/>
                <w:lang w:val="en-AU"/>
              </w:rPr>
              <w:t>Closing net book balance</w:t>
            </w:r>
          </w:p>
        </w:tc>
        <w:tc>
          <w:tcPr>
            <w:tcW w:w="928" w:type="dxa"/>
            <w:tcBorders>
              <w:top w:val="single" w:sz="4" w:space="0" w:color="auto"/>
              <w:left w:val="nil"/>
              <w:bottom w:val="single" w:sz="4" w:space="0" w:color="auto"/>
              <w:right w:val="nil"/>
            </w:tcBorders>
            <w:shd w:val="clear" w:color="auto" w:fill="auto"/>
            <w:noWrap/>
            <w:vAlign w:val="center"/>
          </w:tcPr>
          <w:p w14:paraId="2ECB6513" w14:textId="70A74F06" w:rsidR="00083563" w:rsidRPr="007B4775" w:rsidRDefault="00083563" w:rsidP="00784613">
            <w:pPr>
              <w:spacing w:before="0" w:after="0"/>
              <w:jc w:val="right"/>
              <w:rPr>
                <w:rFonts w:ascii="Arial" w:hAnsi="Arial"/>
                <w:b/>
                <w:bCs/>
                <w:sz w:val="16"/>
                <w:szCs w:val="16"/>
                <w:highlight w:val="yellow"/>
                <w:lang w:val="en-AU"/>
              </w:rPr>
            </w:pPr>
            <w:r w:rsidRPr="00A86A79">
              <w:rPr>
                <w:rFonts w:ascii="Arial" w:hAnsi="Arial"/>
                <w:b/>
                <w:bCs/>
                <w:sz w:val="16"/>
                <w:szCs w:val="16"/>
                <w:lang w:val="en-AU"/>
              </w:rPr>
              <w:t>2,075,222</w:t>
            </w:r>
          </w:p>
        </w:tc>
        <w:tc>
          <w:tcPr>
            <w:tcW w:w="1035" w:type="dxa"/>
            <w:tcBorders>
              <w:top w:val="single" w:sz="4" w:space="0" w:color="auto"/>
              <w:left w:val="nil"/>
              <w:bottom w:val="single" w:sz="4" w:space="0" w:color="auto"/>
              <w:right w:val="nil"/>
            </w:tcBorders>
            <w:shd w:val="clear" w:color="auto" w:fill="auto"/>
            <w:noWrap/>
            <w:vAlign w:val="center"/>
          </w:tcPr>
          <w:p w14:paraId="4BF16337" w14:textId="68653531" w:rsidR="00083563" w:rsidRPr="007B4775" w:rsidRDefault="00083563" w:rsidP="00083563">
            <w:pPr>
              <w:spacing w:before="0" w:after="0"/>
              <w:jc w:val="right"/>
              <w:rPr>
                <w:rFonts w:ascii="Arial" w:hAnsi="Arial"/>
                <w:b/>
                <w:bCs/>
                <w:sz w:val="16"/>
                <w:szCs w:val="16"/>
                <w:highlight w:val="yellow"/>
                <w:lang w:val="en-AU"/>
              </w:rPr>
            </w:pPr>
            <w:r w:rsidRPr="00A86A79">
              <w:rPr>
                <w:rFonts w:ascii="Arial" w:hAnsi="Arial"/>
                <w:b/>
                <w:bCs/>
                <w:sz w:val="16"/>
                <w:szCs w:val="16"/>
                <w:lang w:val="en-AU"/>
              </w:rPr>
              <w:t>3</w:t>
            </w:r>
            <w:r w:rsidR="00784613">
              <w:rPr>
                <w:rFonts w:ascii="Arial" w:hAnsi="Arial"/>
                <w:b/>
                <w:bCs/>
                <w:sz w:val="16"/>
                <w:szCs w:val="16"/>
                <w:lang w:val="en-AU"/>
              </w:rPr>
              <w:t>,668,338</w:t>
            </w:r>
          </w:p>
        </w:tc>
        <w:tc>
          <w:tcPr>
            <w:tcW w:w="1025" w:type="dxa"/>
            <w:tcBorders>
              <w:top w:val="single" w:sz="4" w:space="0" w:color="auto"/>
              <w:left w:val="nil"/>
              <w:bottom w:val="single" w:sz="4" w:space="0" w:color="auto"/>
              <w:right w:val="nil"/>
            </w:tcBorders>
            <w:shd w:val="clear" w:color="auto" w:fill="auto"/>
            <w:noWrap/>
            <w:vAlign w:val="center"/>
          </w:tcPr>
          <w:p w14:paraId="0678229B" w14:textId="0C749D1C" w:rsidR="00083563" w:rsidRPr="007B4775" w:rsidRDefault="00083563" w:rsidP="00083563">
            <w:pPr>
              <w:spacing w:before="0" w:after="0"/>
              <w:jc w:val="right"/>
              <w:rPr>
                <w:rFonts w:ascii="Arial" w:hAnsi="Arial"/>
                <w:b/>
                <w:bCs/>
                <w:sz w:val="16"/>
                <w:szCs w:val="16"/>
                <w:highlight w:val="yellow"/>
                <w:lang w:val="en-AU"/>
              </w:rPr>
            </w:pPr>
            <w:r w:rsidRPr="00A86A79">
              <w:rPr>
                <w:rFonts w:ascii="Arial" w:hAnsi="Arial"/>
                <w:b/>
                <w:bCs/>
                <w:sz w:val="16"/>
                <w:szCs w:val="16"/>
                <w:lang w:val="en-AU"/>
              </w:rPr>
              <w:t xml:space="preserve">16,045 </w:t>
            </w:r>
          </w:p>
        </w:tc>
        <w:tc>
          <w:tcPr>
            <w:tcW w:w="1061" w:type="dxa"/>
            <w:tcBorders>
              <w:top w:val="single" w:sz="4" w:space="0" w:color="auto"/>
              <w:left w:val="nil"/>
              <w:bottom w:val="single" w:sz="4" w:space="0" w:color="auto"/>
              <w:right w:val="nil"/>
            </w:tcBorders>
            <w:shd w:val="clear" w:color="auto" w:fill="auto"/>
            <w:noWrap/>
            <w:vAlign w:val="center"/>
          </w:tcPr>
          <w:p w14:paraId="49D43DD2" w14:textId="571F4D09" w:rsidR="00083563" w:rsidRPr="007B4775" w:rsidRDefault="00083563" w:rsidP="00784613">
            <w:pPr>
              <w:spacing w:before="0" w:after="0"/>
              <w:jc w:val="right"/>
              <w:rPr>
                <w:rFonts w:ascii="Arial" w:hAnsi="Arial"/>
                <w:b/>
                <w:bCs/>
                <w:sz w:val="16"/>
                <w:szCs w:val="16"/>
                <w:highlight w:val="yellow"/>
                <w:lang w:val="en-AU"/>
              </w:rPr>
            </w:pPr>
            <w:r w:rsidRPr="00A86A79">
              <w:rPr>
                <w:rFonts w:ascii="Arial" w:hAnsi="Arial"/>
                <w:b/>
                <w:bCs/>
                <w:sz w:val="16"/>
                <w:szCs w:val="16"/>
                <w:lang w:val="en-AU"/>
              </w:rPr>
              <w:t>2</w:t>
            </w:r>
          </w:p>
        </w:tc>
        <w:tc>
          <w:tcPr>
            <w:tcW w:w="1035" w:type="dxa"/>
            <w:tcBorders>
              <w:top w:val="single" w:sz="4" w:space="0" w:color="auto"/>
              <w:left w:val="nil"/>
              <w:bottom w:val="single" w:sz="4" w:space="0" w:color="auto"/>
              <w:right w:val="nil"/>
            </w:tcBorders>
            <w:shd w:val="clear" w:color="auto" w:fill="auto"/>
            <w:noWrap/>
            <w:vAlign w:val="center"/>
          </w:tcPr>
          <w:p w14:paraId="6E546CE4" w14:textId="06558255" w:rsidR="00083563" w:rsidRPr="007B4775" w:rsidRDefault="00083563" w:rsidP="00784613">
            <w:pPr>
              <w:spacing w:before="0" w:after="0"/>
              <w:jc w:val="right"/>
              <w:rPr>
                <w:rFonts w:ascii="Arial" w:hAnsi="Arial"/>
                <w:b/>
                <w:bCs/>
                <w:sz w:val="16"/>
                <w:szCs w:val="16"/>
                <w:highlight w:val="yellow"/>
                <w:lang w:val="en-AU"/>
              </w:rPr>
            </w:pPr>
            <w:r w:rsidRPr="00A86A79">
              <w:rPr>
                <w:rFonts w:ascii="Arial" w:hAnsi="Arial"/>
                <w:b/>
                <w:bCs/>
                <w:sz w:val="16"/>
                <w:szCs w:val="16"/>
                <w:lang w:val="en-AU"/>
              </w:rPr>
              <w:t>5,759,607</w:t>
            </w:r>
          </w:p>
        </w:tc>
      </w:tr>
    </w:tbl>
    <w:p w14:paraId="7F6CFF8E" w14:textId="77777777" w:rsidR="0008019D" w:rsidRPr="007B4775" w:rsidRDefault="0008019D" w:rsidP="0008019D">
      <w:pPr>
        <w:spacing w:before="0" w:after="0"/>
        <w:rPr>
          <w:rFonts w:ascii="Arial" w:hAnsi="Arial"/>
          <w:b/>
          <w:bCs/>
          <w:color w:val="000000"/>
          <w:sz w:val="16"/>
          <w:szCs w:val="16"/>
          <w:highlight w:val="yellow"/>
          <w:lang w:val="en-AU"/>
        </w:rPr>
      </w:pPr>
    </w:p>
    <w:p w14:paraId="1394E4B9" w14:textId="45F56CAE" w:rsidR="00D461E7" w:rsidRPr="003C27CA" w:rsidRDefault="0040014B" w:rsidP="0008019D">
      <w:pPr>
        <w:spacing w:before="0" w:after="0"/>
        <w:rPr>
          <w:rFonts w:ascii="Arial" w:hAnsi="Arial"/>
          <w:color w:val="000000"/>
          <w:sz w:val="14"/>
          <w:szCs w:val="14"/>
          <w:lang w:val="en-AU"/>
        </w:rPr>
      </w:pPr>
      <w:r>
        <w:rPr>
          <w:rFonts w:ascii="Arial" w:hAnsi="Arial"/>
          <w:b/>
          <w:bCs/>
          <w:color w:val="000000"/>
          <w:sz w:val="14"/>
          <w:szCs w:val="14"/>
          <w:lang w:val="en-AU"/>
        </w:rPr>
        <w:t>Note</w:t>
      </w:r>
    </w:p>
    <w:p w14:paraId="521743AE" w14:textId="77777777" w:rsidR="00C848C3" w:rsidRPr="003C27CA" w:rsidRDefault="00C848C3" w:rsidP="00444A89">
      <w:pPr>
        <w:numPr>
          <w:ilvl w:val="0"/>
          <w:numId w:val="46"/>
        </w:numPr>
        <w:tabs>
          <w:tab w:val="clear" w:pos="227"/>
          <w:tab w:val="num" w:pos="284"/>
        </w:tabs>
        <w:spacing w:before="0" w:after="0"/>
        <w:ind w:left="284" w:hanging="284"/>
        <w:rPr>
          <w:rFonts w:ascii="Arial" w:hAnsi="Arial"/>
          <w:color w:val="000000"/>
          <w:sz w:val="14"/>
          <w:szCs w:val="14"/>
          <w:lang w:val="en-AU"/>
        </w:rPr>
      </w:pPr>
      <w:r w:rsidRPr="003C27CA">
        <w:rPr>
          <w:rFonts w:ascii="Arial" w:hAnsi="Arial"/>
          <w:color w:val="000000"/>
          <w:sz w:val="14"/>
          <w:szCs w:val="14"/>
          <w:lang w:val="en-AU"/>
        </w:rPr>
        <w:t>Prepared on Australian Accounting Standards basis.</w:t>
      </w:r>
    </w:p>
    <w:p w14:paraId="618C4612" w14:textId="6E3CBCEE" w:rsidR="00D461E7" w:rsidRPr="003C27CA" w:rsidRDefault="00D461E7" w:rsidP="00083563">
      <w:pPr>
        <w:spacing w:before="0" w:after="0"/>
        <w:ind w:left="284"/>
        <w:rPr>
          <w:sz w:val="14"/>
          <w:szCs w:val="14"/>
          <w:lang w:val="en-AU"/>
        </w:rPr>
      </w:pPr>
    </w:p>
    <w:p w14:paraId="5D6914E7" w14:textId="77777777" w:rsidR="00D461E7" w:rsidRPr="00B56FAA" w:rsidRDefault="00D461E7" w:rsidP="00577C5A">
      <w:pPr>
        <w:rPr>
          <w:lang w:val="en-AU"/>
        </w:rPr>
      </w:pPr>
    </w:p>
    <w:p w14:paraId="2353BF21" w14:textId="77777777" w:rsidR="00022F6E" w:rsidRPr="00B56FAA" w:rsidRDefault="00022F6E" w:rsidP="00E65A0A">
      <w:pPr>
        <w:sectPr w:rsidR="00022F6E" w:rsidRPr="00B56FAA" w:rsidSect="00371D9E">
          <w:headerReference w:type="even" r:id="rId152"/>
          <w:headerReference w:type="default" r:id="rId153"/>
          <w:footerReference w:type="even" r:id="rId154"/>
          <w:footerReference w:type="default" r:id="rId155"/>
          <w:pgSz w:w="11907" w:h="16840" w:code="9"/>
          <w:pgMar w:top="1701" w:right="1361" w:bottom="1701" w:left="1928" w:header="720" w:footer="720" w:gutter="0"/>
          <w:cols w:space="720"/>
          <w:noEndnote/>
        </w:sectPr>
      </w:pPr>
    </w:p>
    <w:p w14:paraId="5ED82D54" w14:textId="77777777" w:rsidR="00560D5B" w:rsidRPr="00B56FAA" w:rsidRDefault="00560D5B" w:rsidP="00AF2ACA">
      <w:pPr>
        <w:pStyle w:val="Heading2"/>
        <w:spacing w:before="0" w:after="60"/>
        <w:rPr>
          <w:rFonts w:ascii="Arial Bold" w:hAnsi="Arial Bold"/>
          <w:b/>
          <w:sz w:val="36"/>
          <w:szCs w:val="36"/>
        </w:rPr>
      </w:pPr>
      <w:bookmarkStart w:id="1512" w:name="_Toc353889442"/>
      <w:bookmarkStart w:id="1513" w:name="_Toc354470998"/>
      <w:bookmarkStart w:id="1514" w:name="_Toc354565597"/>
      <w:bookmarkStart w:id="1515" w:name="_Toc354580520"/>
      <w:bookmarkStart w:id="1516" w:name="_Toc354591426"/>
      <w:bookmarkStart w:id="1517" w:name="_Toc354734150"/>
      <w:bookmarkStart w:id="1518" w:name="_Toc355020252"/>
      <w:bookmarkStart w:id="1519" w:name="_Toc355262926"/>
      <w:bookmarkStart w:id="1520" w:name="_Toc355271281"/>
      <w:bookmarkStart w:id="1521" w:name="_Toc355343350"/>
      <w:bookmarkStart w:id="1522" w:name="_Toc355620838"/>
      <w:bookmarkStart w:id="1523" w:name="_Toc359245807"/>
      <w:bookmarkStart w:id="1524" w:name="_Toc374969066"/>
      <w:bookmarkStart w:id="1525" w:name="_Toc375310579"/>
      <w:bookmarkStart w:id="1526" w:name="_Toc384298253"/>
      <w:bookmarkStart w:id="1527" w:name="_Toc441089259"/>
      <w:bookmarkStart w:id="1528" w:name="_Toc507595451"/>
      <w:bookmarkStart w:id="1529" w:name="_Toc536089260"/>
      <w:bookmarkStart w:id="1530" w:name="_Toc536089520"/>
      <w:bookmarkStart w:id="1531" w:name="_Toc536089626"/>
      <w:bookmarkStart w:id="1532" w:name="_Toc1561714"/>
      <w:bookmarkStart w:id="1533" w:name="_Toc51691710"/>
      <w:bookmarkStart w:id="1534" w:name="_Toc69729080"/>
      <w:bookmarkStart w:id="1535" w:name="_Toc69917875"/>
      <w:bookmarkStart w:id="1536" w:name="_Toc97747864"/>
      <w:bookmarkStart w:id="1537" w:name="_Toc108088977"/>
      <w:bookmarkStart w:id="1538" w:name="_Toc108089056"/>
      <w:bookmarkStart w:id="1539" w:name="_Toc108089450"/>
      <w:bookmarkStart w:id="1540" w:name="_Toc109227305"/>
      <w:bookmarkStart w:id="1541" w:name="_Toc109227772"/>
      <w:bookmarkStart w:id="1542" w:name="_Toc158896260"/>
      <w:bookmarkStart w:id="1543" w:name="_Toc158896317"/>
      <w:bookmarkStart w:id="1544" w:name="_Toc159499732"/>
      <w:bookmarkStart w:id="1545" w:name="_Toc159857694"/>
      <w:bookmarkStart w:id="1546" w:name="_Toc159857774"/>
      <w:bookmarkStart w:id="1547" w:name="_Toc159858170"/>
      <w:bookmarkStart w:id="1548" w:name="_Toc159858836"/>
      <w:bookmarkStart w:id="1549" w:name="_Toc159858906"/>
      <w:bookmarkStart w:id="1550" w:name="_Toc159859151"/>
      <w:bookmarkStart w:id="1551" w:name="_Toc159859303"/>
      <w:bookmarkStart w:id="1552" w:name="_Toc159862312"/>
      <w:bookmarkStart w:id="1553" w:name="_Toc159862502"/>
      <w:r w:rsidRPr="00B56FAA">
        <w:rPr>
          <w:rFonts w:ascii="Arial Bold" w:hAnsi="Arial Bold"/>
          <w:b/>
          <w:sz w:val="36"/>
          <w:szCs w:val="36"/>
        </w:rPr>
        <w:lastRenderedPageBreak/>
        <w:t>Glossary</w:t>
      </w:r>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p>
    <w:tbl>
      <w:tblPr>
        <w:tblW w:w="5001" w:type="pct"/>
        <w:tblLayout w:type="fixed"/>
        <w:tblCellMar>
          <w:top w:w="20" w:type="dxa"/>
          <w:left w:w="100" w:type="dxa"/>
          <w:bottom w:w="4" w:type="dxa"/>
          <w:right w:w="100" w:type="dxa"/>
        </w:tblCellMar>
        <w:tblLook w:val="0000" w:firstRow="0" w:lastRow="0" w:firstColumn="0" w:lastColumn="0" w:noHBand="0" w:noVBand="0"/>
      </w:tblPr>
      <w:tblGrid>
        <w:gridCol w:w="1860"/>
        <w:gridCol w:w="6750"/>
      </w:tblGrid>
      <w:tr w:rsidR="00552284" w:rsidRPr="0094625E" w14:paraId="5BC181AF" w14:textId="77777777" w:rsidTr="00EC7F46">
        <w:trPr>
          <w:cantSplit/>
          <w:trHeight w:val="387"/>
          <w:tblHeader/>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64FCF47" w14:textId="77777777" w:rsidR="00552284" w:rsidRPr="0094625E" w:rsidRDefault="00552284" w:rsidP="00E27F44">
            <w:pPr>
              <w:pStyle w:val="HeadingRunIn"/>
              <w:keepNext w:val="0"/>
              <w:suppressAutoHyphens/>
              <w:spacing w:before="10" w:after="48" w:line="220" w:lineRule="atLeast"/>
              <w:rPr>
                <w:rFonts w:ascii="Arial" w:hAnsi="Arial" w:cs="Arial"/>
                <w:bCs w:val="0"/>
                <w:w w:val="100"/>
                <w:sz w:val="20"/>
                <w:szCs w:val="20"/>
                <w:lang w:val="en-AU"/>
              </w:rPr>
            </w:pPr>
            <w:r w:rsidRPr="0094625E">
              <w:rPr>
                <w:rFonts w:ascii="Arial" w:hAnsi="Arial" w:cs="Arial"/>
                <w:bCs w:val="0"/>
                <w:w w:val="100"/>
                <w:sz w:val="20"/>
                <w:szCs w:val="20"/>
                <w:lang w:val="en-AU"/>
              </w:rPr>
              <w:t>Term</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5ECF8F83" w14:textId="77777777" w:rsidR="00552284" w:rsidRPr="0094625E" w:rsidRDefault="00552284" w:rsidP="00E27F44">
            <w:pPr>
              <w:pStyle w:val="HeadingRunIn"/>
              <w:keepNext w:val="0"/>
              <w:suppressAutoHyphens/>
              <w:spacing w:before="10" w:after="48" w:line="220" w:lineRule="atLeast"/>
              <w:rPr>
                <w:rFonts w:ascii="Arial" w:hAnsi="Arial" w:cs="Arial"/>
                <w:bCs w:val="0"/>
                <w:w w:val="100"/>
                <w:sz w:val="20"/>
                <w:szCs w:val="20"/>
                <w:lang w:val="en-AU"/>
              </w:rPr>
            </w:pPr>
            <w:r w:rsidRPr="0094625E">
              <w:rPr>
                <w:rFonts w:ascii="Arial" w:hAnsi="Arial" w:cs="Arial"/>
                <w:bCs w:val="0"/>
                <w:w w:val="100"/>
                <w:sz w:val="20"/>
                <w:szCs w:val="20"/>
                <w:lang w:val="en-AU"/>
              </w:rPr>
              <w:t>Meaning</w:t>
            </w:r>
          </w:p>
        </w:tc>
      </w:tr>
      <w:tr w:rsidR="00CA2C69" w:rsidRPr="0094625E" w14:paraId="3B80D7DC" w14:textId="77777777" w:rsidTr="00EC7F46">
        <w:trPr>
          <w:cantSplit/>
          <w:trHeight w:val="50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9990266"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Accumulated depreciation</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6DFDC524"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The aggregate depreciation recorded for a particular depreciating asset.</w:t>
            </w:r>
          </w:p>
        </w:tc>
      </w:tr>
      <w:tr w:rsidR="00CA2C69" w:rsidRPr="0094625E" w14:paraId="50B18293" w14:textId="77777777" w:rsidTr="00EC7F46">
        <w:trPr>
          <w:cantSplit/>
          <w:trHeight w:val="50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58E5EE68"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Additional estimates</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07F803AC"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Where amounts appropriated at Budget time are required to change, Parliament may make adjustments to portfolios through the Additional Estimates Acts.</w:t>
            </w:r>
          </w:p>
        </w:tc>
      </w:tr>
      <w:tr w:rsidR="00CA2C69" w:rsidRPr="0094625E" w14:paraId="2C6B197A" w14:textId="77777777" w:rsidTr="00EC7F46">
        <w:trPr>
          <w:cantSplit/>
          <w:trHeight w:val="72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44EB17DF"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Administered appropriation</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09FF9105"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Revenue, expenses, assets and liabilities administered by an agency for the Commonwealth (such as taxes, benefits payments and public debt) that are not concerned with running the agency or its commercial activities.</w:t>
            </w:r>
          </w:p>
        </w:tc>
      </w:tr>
      <w:tr w:rsidR="00CA2C69" w:rsidRPr="0094625E" w14:paraId="5B2FF29D" w14:textId="77777777" w:rsidTr="00EC7F46">
        <w:trPr>
          <w:cantSplit/>
          <w:trHeight w:val="94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3BD1AB0"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Administered items</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8B5A2B6" w14:textId="77777777" w:rsidR="00CA2C69" w:rsidRPr="0094625E" w:rsidRDefault="00CA2C69" w:rsidP="00041EA3">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 xml:space="preserve">Expenses, revenues, assets or liabilities managed by </w:t>
            </w:r>
            <w:r w:rsidR="00041EA3" w:rsidRPr="0094625E">
              <w:rPr>
                <w:rFonts w:ascii="Arial" w:hAnsi="Arial" w:cs="Arial"/>
                <w:b w:val="0"/>
                <w:bCs w:val="0"/>
                <w:w w:val="100"/>
                <w:sz w:val="18"/>
                <w:szCs w:val="18"/>
                <w:lang w:val="en-AU"/>
              </w:rPr>
              <w:t>an agency</w:t>
            </w:r>
            <w:r w:rsidRPr="0094625E">
              <w:rPr>
                <w:rFonts w:ascii="Arial" w:hAnsi="Arial" w:cs="Arial"/>
                <w:b w:val="0"/>
                <w:bCs w:val="0"/>
                <w:w w:val="100"/>
                <w:sz w:val="18"/>
                <w:szCs w:val="18"/>
                <w:lang w:val="en-AU"/>
              </w:rPr>
              <w:t xml:space="preserve"> on behalf of the Commonwealth. Agencies do not control administered items. Administered expenses include subsidies and benefits. In many cases, administered expenses fund the delivery of third party outputs.</w:t>
            </w:r>
          </w:p>
        </w:tc>
      </w:tr>
      <w:tr w:rsidR="00CA2C69" w:rsidRPr="0094625E" w14:paraId="571CD183" w14:textId="77777777" w:rsidTr="00EC7F46">
        <w:trPr>
          <w:cantSplit/>
          <w:trHeight w:val="50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597B4A59"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Agency</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69E025F3"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Assets, liabilities, revenues and expenses that are controlled by Defence or a subsidiary. Includes officials allocated to the organisation.</w:t>
            </w:r>
          </w:p>
        </w:tc>
      </w:tr>
      <w:tr w:rsidR="00CA2C69" w:rsidRPr="0094625E" w14:paraId="08F0F20A" w14:textId="77777777" w:rsidTr="00EC7F46">
        <w:trPr>
          <w:cantSplit/>
          <w:trHeight w:val="72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079E808F"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Amortisation</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66B6ABFD" w14:textId="527BB678" w:rsidR="00CA2C69" w:rsidRPr="0094625E" w:rsidRDefault="00CA2C69" w:rsidP="0021531F">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A term used interchangeably with depreciation, except that it applies to a non</w:t>
            </w:r>
            <w:r w:rsidR="0021531F">
              <w:rPr>
                <w:rFonts w:ascii="Arial" w:hAnsi="Arial" w:cs="Arial"/>
                <w:b w:val="0"/>
                <w:bCs w:val="0"/>
                <w:w w:val="100"/>
                <w:sz w:val="18"/>
                <w:szCs w:val="18"/>
                <w:lang w:val="en-AU"/>
              </w:rPr>
              <w:noBreakHyphen/>
            </w:r>
            <w:r w:rsidRPr="0094625E">
              <w:rPr>
                <w:rFonts w:ascii="Arial" w:hAnsi="Arial" w:cs="Arial"/>
                <w:b w:val="0"/>
                <w:bCs w:val="0"/>
                <w:w w:val="100"/>
                <w:sz w:val="18"/>
                <w:szCs w:val="18"/>
                <w:lang w:val="en-AU"/>
              </w:rPr>
              <w:t>current physical asset under finance lease, or a non-current intangible asset, over its limited useful life.</w:t>
            </w:r>
          </w:p>
        </w:tc>
      </w:tr>
      <w:tr w:rsidR="00931E07" w:rsidRPr="0094625E" w14:paraId="391792B7" w14:textId="77777777" w:rsidTr="00EC7F46">
        <w:trPr>
          <w:cantSplit/>
          <w:trHeight w:val="50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1E82170B" w14:textId="77777777" w:rsidR="00931E07" w:rsidRPr="0094625E" w:rsidRDefault="00931E07" w:rsidP="00E27F44">
            <w:pPr>
              <w:pStyle w:val="HeadingRunIn"/>
              <w:keepNext w:val="0"/>
              <w:suppressAutoHyphens/>
              <w:spacing w:before="10" w:after="48" w:line="220" w:lineRule="atLeast"/>
              <w:rPr>
                <w:rFonts w:ascii="Arial" w:hAnsi="Arial" w:cs="Arial"/>
                <w:b w:val="0"/>
                <w:bCs w:val="0"/>
                <w:w w:val="100"/>
                <w:sz w:val="18"/>
                <w:szCs w:val="18"/>
                <w:lang w:val="en-AU"/>
              </w:rPr>
            </w:pPr>
            <w:r w:rsidRPr="0094625E">
              <w:rPr>
                <w:rFonts w:ascii="Arial" w:hAnsi="Arial" w:cs="Arial"/>
                <w:b w:val="0"/>
                <w:bCs w:val="0"/>
                <w:w w:val="100"/>
                <w:sz w:val="18"/>
                <w:szCs w:val="18"/>
                <w:lang w:val="en-AU"/>
              </w:rPr>
              <w:t>Annual appropriation</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7FBAB751" w14:textId="77777777" w:rsidR="00931E07" w:rsidRPr="0094625E" w:rsidRDefault="00931E07" w:rsidP="00E27F44">
            <w:pPr>
              <w:pStyle w:val="HeadingRunIn"/>
              <w:keepNext w:val="0"/>
              <w:suppressAutoHyphens/>
              <w:spacing w:before="10" w:after="48" w:line="220" w:lineRule="atLeast"/>
              <w:rPr>
                <w:rFonts w:ascii="Arial" w:hAnsi="Arial" w:cs="Arial"/>
                <w:b w:val="0"/>
                <w:bCs w:val="0"/>
                <w:w w:val="100"/>
                <w:sz w:val="18"/>
                <w:szCs w:val="18"/>
                <w:lang w:val="en-AU"/>
              </w:rPr>
            </w:pPr>
            <w:r w:rsidRPr="0094625E">
              <w:rPr>
                <w:rFonts w:ascii="Arial" w:hAnsi="Arial" w:cs="Arial"/>
                <w:b w:val="0"/>
                <w:bCs w:val="0"/>
                <w:w w:val="100"/>
                <w:sz w:val="18"/>
                <w:szCs w:val="18"/>
                <w:lang w:val="en-AU"/>
              </w:rPr>
              <w:t>Two Appropriation Bills are introduced into Parliament in May and comprise the Budget for the fi</w:t>
            </w:r>
            <w:r w:rsidR="000B55D6" w:rsidRPr="0094625E">
              <w:rPr>
                <w:rFonts w:ascii="Arial" w:hAnsi="Arial" w:cs="Arial"/>
                <w:b w:val="0"/>
                <w:bCs w:val="0"/>
                <w:w w:val="100"/>
                <w:sz w:val="18"/>
                <w:szCs w:val="18"/>
                <w:lang w:val="en-AU"/>
              </w:rPr>
              <w:t xml:space="preserve">nancial year beginning 1 July. </w:t>
            </w:r>
            <w:r w:rsidRPr="0094625E">
              <w:rPr>
                <w:rFonts w:ascii="Arial" w:hAnsi="Arial" w:cs="Arial"/>
                <w:b w:val="0"/>
                <w:bCs w:val="0"/>
                <w:w w:val="100"/>
                <w:sz w:val="18"/>
                <w:szCs w:val="18"/>
                <w:lang w:val="en-AU"/>
              </w:rPr>
              <w:t>Further Bills are introduced later in the financial year as part of the Additional Estimates.</w:t>
            </w:r>
          </w:p>
        </w:tc>
      </w:tr>
      <w:tr w:rsidR="00CA2C69" w:rsidRPr="0094625E" w14:paraId="25DE4C82" w14:textId="77777777" w:rsidTr="00EC7F46">
        <w:trPr>
          <w:cantSplit/>
          <w:trHeight w:val="50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58644CB9"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Appropriation</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1AE031AC"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An authorisation by Parliament to spend money from the Consolidated Revenue Fund (the principal working fund of the Commonwealth) for a particular purpose.</w:t>
            </w:r>
          </w:p>
        </w:tc>
      </w:tr>
      <w:tr w:rsidR="00CA2C69" w:rsidRPr="0094625E" w14:paraId="4703A5D3" w14:textId="77777777" w:rsidTr="00EC7F46">
        <w:trPr>
          <w:cantSplit/>
          <w:trHeight w:val="72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5C29D378"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Asset</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4BA27DEE" w14:textId="77777777" w:rsidR="007B11BE" w:rsidRPr="0094625E" w:rsidRDefault="007B11BE" w:rsidP="00E27F44">
            <w:pPr>
              <w:pStyle w:val="HeadingRunIn"/>
              <w:keepNext w:val="0"/>
              <w:suppressAutoHyphens/>
              <w:spacing w:before="10" w:after="48" w:line="220" w:lineRule="atLeast"/>
              <w:rPr>
                <w:rFonts w:ascii="Arial" w:hAnsi="Arial" w:cs="Arial"/>
                <w:b w:val="0"/>
                <w:bCs w:val="0"/>
                <w:w w:val="100"/>
                <w:sz w:val="18"/>
                <w:szCs w:val="18"/>
                <w:lang w:val="en-AU"/>
              </w:rPr>
            </w:pPr>
            <w:r w:rsidRPr="0094625E">
              <w:rPr>
                <w:rFonts w:ascii="Arial" w:hAnsi="Arial" w:cs="Arial"/>
                <w:b w:val="0"/>
                <w:bCs w:val="0"/>
                <w:w w:val="100"/>
                <w:sz w:val="18"/>
                <w:szCs w:val="18"/>
                <w:lang w:val="en-AU"/>
              </w:rPr>
              <w:t>An asset is a resource:</w:t>
            </w:r>
          </w:p>
          <w:p w14:paraId="33C5FD69" w14:textId="77777777" w:rsidR="007B11BE" w:rsidRPr="0094625E" w:rsidRDefault="00EA7BB4" w:rsidP="00D9100A">
            <w:pPr>
              <w:pStyle w:val="HeadingRunIn"/>
              <w:numPr>
                <w:ilvl w:val="0"/>
                <w:numId w:val="36"/>
              </w:numPr>
              <w:suppressAutoHyphens/>
              <w:spacing w:before="10" w:after="48" w:line="220" w:lineRule="atLeast"/>
              <w:ind w:left="274" w:hanging="274"/>
              <w:rPr>
                <w:rFonts w:ascii="Arial" w:hAnsi="Arial" w:cs="Arial"/>
                <w:b w:val="0"/>
                <w:bCs w:val="0"/>
                <w:w w:val="100"/>
                <w:sz w:val="18"/>
                <w:szCs w:val="18"/>
                <w:lang w:val="en-AU"/>
              </w:rPr>
            </w:pPr>
            <w:r w:rsidRPr="0094625E">
              <w:rPr>
                <w:rFonts w:ascii="Arial" w:hAnsi="Arial" w:cs="Arial"/>
                <w:b w:val="0"/>
                <w:bCs w:val="0"/>
                <w:w w:val="100"/>
                <w:sz w:val="18"/>
                <w:szCs w:val="18"/>
                <w:lang w:val="en-AU"/>
              </w:rPr>
              <w:t xml:space="preserve"> </w:t>
            </w:r>
            <w:r w:rsidR="007B11BE" w:rsidRPr="0094625E">
              <w:rPr>
                <w:rFonts w:ascii="Arial" w:hAnsi="Arial" w:cs="Arial"/>
                <w:b w:val="0"/>
                <w:bCs w:val="0"/>
                <w:w w:val="100"/>
                <w:sz w:val="18"/>
                <w:szCs w:val="18"/>
                <w:lang w:val="en-AU"/>
              </w:rPr>
              <w:t>controlled by an entit</w:t>
            </w:r>
            <w:r w:rsidR="004E36B0" w:rsidRPr="0094625E">
              <w:rPr>
                <w:rFonts w:ascii="Arial" w:hAnsi="Arial" w:cs="Arial"/>
                <w:b w:val="0"/>
                <w:bCs w:val="0"/>
                <w:w w:val="100"/>
                <w:sz w:val="18"/>
                <w:szCs w:val="18"/>
                <w:lang w:val="en-AU"/>
              </w:rPr>
              <w:t xml:space="preserve">y as a result of </w:t>
            </w:r>
            <w:r w:rsidR="00041EA3" w:rsidRPr="0094625E">
              <w:rPr>
                <w:rFonts w:ascii="Arial" w:hAnsi="Arial" w:cs="Arial"/>
                <w:b w:val="0"/>
                <w:bCs w:val="0"/>
                <w:w w:val="100"/>
                <w:sz w:val="18"/>
                <w:szCs w:val="18"/>
                <w:lang w:val="en-AU"/>
              </w:rPr>
              <w:t xml:space="preserve">a </w:t>
            </w:r>
            <w:r w:rsidR="004E36B0" w:rsidRPr="0094625E">
              <w:rPr>
                <w:rFonts w:ascii="Arial" w:hAnsi="Arial" w:cs="Arial"/>
                <w:b w:val="0"/>
                <w:bCs w:val="0"/>
                <w:w w:val="100"/>
                <w:sz w:val="18"/>
                <w:szCs w:val="18"/>
                <w:lang w:val="en-AU"/>
              </w:rPr>
              <w:t>past event</w:t>
            </w:r>
            <w:r w:rsidR="008E66F4" w:rsidRPr="0094625E">
              <w:rPr>
                <w:rFonts w:ascii="Arial" w:hAnsi="Arial" w:cs="Arial"/>
                <w:b w:val="0"/>
                <w:bCs w:val="0"/>
                <w:w w:val="100"/>
                <w:sz w:val="18"/>
                <w:szCs w:val="18"/>
                <w:lang w:val="en-AU"/>
              </w:rPr>
              <w:t xml:space="preserve">, </w:t>
            </w:r>
          </w:p>
          <w:p w14:paraId="4D9778D7" w14:textId="77777777" w:rsidR="00CA2C69" w:rsidRPr="0094625E" w:rsidRDefault="00EA7BB4" w:rsidP="00D9100A">
            <w:pPr>
              <w:pStyle w:val="HeadingRunIn"/>
              <w:numPr>
                <w:ilvl w:val="0"/>
                <w:numId w:val="36"/>
              </w:numPr>
              <w:suppressAutoHyphens/>
              <w:spacing w:before="10" w:after="48" w:line="220" w:lineRule="atLeast"/>
              <w:ind w:left="274" w:hanging="274"/>
              <w:rPr>
                <w:rFonts w:ascii="Arial" w:hAnsi="Arial" w:cs="Arial"/>
                <w:b w:val="0"/>
                <w:bCs w:val="0"/>
                <w:sz w:val="18"/>
                <w:szCs w:val="18"/>
                <w:lang w:val="en-AU"/>
              </w:rPr>
            </w:pPr>
            <w:r w:rsidRPr="0094625E">
              <w:rPr>
                <w:rFonts w:ascii="Arial" w:hAnsi="Arial" w:cs="Arial"/>
                <w:b w:val="0"/>
                <w:bCs w:val="0"/>
                <w:w w:val="100"/>
                <w:sz w:val="18"/>
                <w:szCs w:val="18"/>
                <w:lang w:val="en-AU"/>
              </w:rPr>
              <w:t xml:space="preserve"> </w:t>
            </w:r>
            <w:r w:rsidR="007B11BE" w:rsidRPr="0094625E">
              <w:rPr>
                <w:rFonts w:ascii="Arial" w:hAnsi="Arial" w:cs="Arial"/>
                <w:b w:val="0"/>
                <w:bCs w:val="0"/>
                <w:w w:val="100"/>
                <w:sz w:val="18"/>
                <w:szCs w:val="18"/>
                <w:lang w:val="en-AU"/>
              </w:rPr>
              <w:t>from which future economic benefits are expected to flow to the entity.</w:t>
            </w:r>
          </w:p>
        </w:tc>
      </w:tr>
      <w:tr w:rsidR="00CA2C69" w:rsidRPr="0094625E" w14:paraId="4B156253" w14:textId="77777777" w:rsidTr="00EC7F46">
        <w:trPr>
          <w:cantSplit/>
          <w:trHeight w:val="94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71FD61B2"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Assets under construction</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099E5E6"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Assets under construction by Defence for Defence, or for the use of another entity</w:t>
            </w:r>
            <w:r w:rsidR="00041EA3" w:rsidRPr="0094625E">
              <w:rPr>
                <w:rFonts w:ascii="Arial" w:hAnsi="Arial" w:cs="Arial"/>
                <w:b w:val="0"/>
                <w:bCs w:val="0"/>
                <w:w w:val="100"/>
                <w:sz w:val="18"/>
                <w:szCs w:val="18"/>
                <w:lang w:val="en-AU"/>
              </w:rPr>
              <w:t>,</w:t>
            </w:r>
            <w:r w:rsidRPr="0094625E">
              <w:rPr>
                <w:rFonts w:ascii="Arial" w:hAnsi="Arial" w:cs="Arial"/>
                <w:b w:val="0"/>
                <w:bCs w:val="0"/>
                <w:w w:val="100"/>
                <w:sz w:val="18"/>
                <w:szCs w:val="18"/>
                <w:lang w:val="en-AU"/>
              </w:rPr>
              <w:t xml:space="preserve"> according to a construction contract where Defence controls the asset until completion, or assets under construction or otherwise being made ready by another entity for use by Defence.</w:t>
            </w:r>
          </w:p>
        </w:tc>
      </w:tr>
      <w:tr w:rsidR="00CA2C69" w:rsidRPr="0094625E" w14:paraId="4D2098CA" w14:textId="77777777" w:rsidTr="00EC7F46">
        <w:trPr>
          <w:cantSplit/>
          <w:trHeight w:val="72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0E69E5B8"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Australian Accounting Standards</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0F9E75F9"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Specify techniques of accounting practice and the method of presenting financial information about a reporting entity.</w:t>
            </w:r>
          </w:p>
        </w:tc>
      </w:tr>
      <w:tr w:rsidR="00CA2C69" w:rsidRPr="0094625E" w14:paraId="6EA69226" w14:textId="77777777" w:rsidTr="00EC7F46">
        <w:trPr>
          <w:cantSplit/>
          <w:trHeight w:val="50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76925439"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Average funded strength</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66B5FC8D"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A budgetary measure used to count the average number of Australian Defence Force members paid on a full-time equivalent basis during a financial year.</w:t>
            </w:r>
          </w:p>
        </w:tc>
      </w:tr>
      <w:tr w:rsidR="00CA2C69" w:rsidRPr="0094625E" w14:paraId="13467CAB" w14:textId="77777777" w:rsidTr="00EC7F46">
        <w:trPr>
          <w:cantSplit/>
          <w:trHeight w:val="50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0741AF59"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Capability</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7DF0A067"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The combination of military equipment, personnel, logistics support, training, resources, etc. that provides Defence with the ability to achieve its operational aims.</w:t>
            </w:r>
          </w:p>
        </w:tc>
      </w:tr>
      <w:tr w:rsidR="00CA2C69" w:rsidRPr="0094625E" w14:paraId="44F0D230" w14:textId="77777777" w:rsidTr="00EC7F46">
        <w:trPr>
          <w:cantSplit/>
          <w:trHeight w:val="94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1229594E"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Capability Manager</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5753CD1E" w14:textId="441DBAA2"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 xml:space="preserve">A Capability Manager is responsible for raising, training and sustaining capabilities </w:t>
            </w:r>
            <w:r w:rsidR="007B11BE" w:rsidRPr="0094625E">
              <w:rPr>
                <w:rFonts w:ascii="Arial" w:hAnsi="Arial" w:cs="Arial"/>
                <w:b w:val="0"/>
                <w:bCs w:val="0"/>
                <w:w w:val="100"/>
                <w:sz w:val="18"/>
                <w:szCs w:val="18"/>
                <w:lang w:val="en-AU"/>
              </w:rPr>
              <w:t xml:space="preserve">as directed by the Secretary and the Chief of </w:t>
            </w:r>
            <w:r w:rsidR="00041EA3" w:rsidRPr="0094625E">
              <w:rPr>
                <w:rFonts w:ascii="Arial" w:hAnsi="Arial" w:cs="Arial"/>
                <w:b w:val="0"/>
                <w:bCs w:val="0"/>
                <w:w w:val="100"/>
                <w:sz w:val="18"/>
                <w:szCs w:val="18"/>
                <w:lang w:val="en-AU"/>
              </w:rPr>
              <w:t xml:space="preserve">the </w:t>
            </w:r>
            <w:r w:rsidR="007B11BE" w:rsidRPr="0094625E">
              <w:rPr>
                <w:rFonts w:ascii="Arial" w:hAnsi="Arial" w:cs="Arial"/>
                <w:b w:val="0"/>
                <w:bCs w:val="0"/>
                <w:w w:val="100"/>
                <w:sz w:val="18"/>
                <w:szCs w:val="18"/>
                <w:lang w:val="en-AU"/>
              </w:rPr>
              <w:t>Defence Force.</w:t>
            </w:r>
            <w:r w:rsidRPr="0094625E">
              <w:rPr>
                <w:rFonts w:ascii="Arial" w:hAnsi="Arial" w:cs="Arial"/>
                <w:b w:val="0"/>
                <w:bCs w:val="0"/>
                <w:w w:val="100"/>
                <w:sz w:val="18"/>
                <w:szCs w:val="18"/>
                <w:lang w:val="en-AU"/>
              </w:rPr>
              <w:t xml:space="preserve"> Capability Managers include the Vice Chief of the Defence Force,</w:t>
            </w:r>
            <w:r w:rsidR="001A4E77">
              <w:rPr>
                <w:rFonts w:ascii="Arial" w:hAnsi="Arial" w:cs="Arial"/>
                <w:b w:val="0"/>
                <w:bCs w:val="0"/>
                <w:w w:val="100"/>
                <w:sz w:val="18"/>
                <w:szCs w:val="18"/>
                <w:lang w:val="en-AU"/>
              </w:rPr>
              <w:t xml:space="preserve"> Associate Secretary, Director-</w:t>
            </w:r>
            <w:r w:rsidR="007B11BE" w:rsidRPr="0094625E">
              <w:rPr>
                <w:rFonts w:ascii="Arial" w:hAnsi="Arial" w:cs="Arial"/>
                <w:b w:val="0"/>
                <w:bCs w:val="0"/>
                <w:w w:val="100"/>
                <w:sz w:val="18"/>
                <w:szCs w:val="18"/>
                <w:lang w:val="en-AU"/>
              </w:rPr>
              <w:t xml:space="preserve">General Australian Signals Directorate, </w:t>
            </w:r>
            <w:r w:rsidR="001A4E77">
              <w:rPr>
                <w:rFonts w:ascii="Arial" w:hAnsi="Arial" w:cs="Arial"/>
                <w:b w:val="0"/>
                <w:bCs w:val="0"/>
                <w:w w:val="100"/>
                <w:sz w:val="18"/>
                <w:szCs w:val="18"/>
                <w:lang w:val="en-AU"/>
              </w:rPr>
              <w:t xml:space="preserve">Director-General Australian Submarine Agency; </w:t>
            </w:r>
            <w:r w:rsidR="007B11BE" w:rsidRPr="0094625E">
              <w:rPr>
                <w:rFonts w:ascii="Arial" w:hAnsi="Arial" w:cs="Arial"/>
                <w:b w:val="0"/>
                <w:bCs w:val="0"/>
                <w:w w:val="100"/>
                <w:sz w:val="18"/>
                <w:szCs w:val="18"/>
                <w:lang w:val="en-AU"/>
              </w:rPr>
              <w:t xml:space="preserve">Chief Joint Capabilities, Chief of Defence Intelligence, </w:t>
            </w:r>
            <w:r w:rsidRPr="0094625E">
              <w:rPr>
                <w:rFonts w:ascii="Arial" w:hAnsi="Arial" w:cs="Arial"/>
                <w:b w:val="0"/>
                <w:bCs w:val="0"/>
                <w:w w:val="100"/>
                <w:sz w:val="18"/>
                <w:szCs w:val="18"/>
                <w:lang w:val="en-AU"/>
              </w:rPr>
              <w:t>the Service Chiefs</w:t>
            </w:r>
            <w:r w:rsidR="007B11BE" w:rsidRPr="0094625E">
              <w:rPr>
                <w:rFonts w:ascii="Arial" w:hAnsi="Arial" w:cs="Arial"/>
                <w:b w:val="0"/>
                <w:bCs w:val="0"/>
                <w:w w:val="100"/>
                <w:sz w:val="18"/>
                <w:szCs w:val="18"/>
                <w:lang w:val="en-AU"/>
              </w:rPr>
              <w:t xml:space="preserve">, Chief Information Officer, Deputy Secretary </w:t>
            </w:r>
            <w:r w:rsidR="006B32C3" w:rsidRPr="0094625E">
              <w:rPr>
                <w:rFonts w:ascii="Arial" w:hAnsi="Arial" w:cs="Arial"/>
                <w:b w:val="0"/>
                <w:bCs w:val="0"/>
                <w:w w:val="100"/>
                <w:sz w:val="18"/>
                <w:szCs w:val="18"/>
                <w:lang w:val="en-AU"/>
              </w:rPr>
              <w:t xml:space="preserve">Security and </w:t>
            </w:r>
            <w:r w:rsidR="007B11BE" w:rsidRPr="0094625E">
              <w:rPr>
                <w:rFonts w:ascii="Arial" w:hAnsi="Arial" w:cs="Arial"/>
                <w:b w:val="0"/>
                <w:bCs w:val="0"/>
                <w:w w:val="100"/>
                <w:sz w:val="18"/>
                <w:szCs w:val="18"/>
                <w:lang w:val="en-AU"/>
              </w:rPr>
              <w:t>Estate</w:t>
            </w:r>
            <w:r w:rsidR="006B32C3" w:rsidRPr="0094625E">
              <w:rPr>
                <w:rFonts w:ascii="Arial" w:hAnsi="Arial" w:cs="Arial"/>
                <w:b w:val="0"/>
                <w:bCs w:val="0"/>
                <w:w w:val="100"/>
                <w:sz w:val="18"/>
                <w:szCs w:val="18"/>
                <w:lang w:val="en-AU"/>
              </w:rPr>
              <w:t>,</w:t>
            </w:r>
            <w:r w:rsidR="007B11BE" w:rsidRPr="0094625E">
              <w:rPr>
                <w:rFonts w:ascii="Arial" w:hAnsi="Arial" w:cs="Arial"/>
                <w:b w:val="0"/>
                <w:bCs w:val="0"/>
                <w:w w:val="100"/>
                <w:sz w:val="18"/>
                <w:szCs w:val="18"/>
                <w:lang w:val="en-AU"/>
              </w:rPr>
              <w:t xml:space="preserve"> and Chief Defence Scientist</w:t>
            </w:r>
            <w:r w:rsidRPr="0094625E">
              <w:rPr>
                <w:rFonts w:ascii="Arial" w:hAnsi="Arial" w:cs="Arial"/>
                <w:b w:val="0"/>
                <w:bCs w:val="0"/>
                <w:w w:val="100"/>
                <w:sz w:val="18"/>
                <w:szCs w:val="18"/>
                <w:lang w:val="en-AU"/>
              </w:rPr>
              <w:t>.</w:t>
            </w:r>
          </w:p>
        </w:tc>
      </w:tr>
      <w:tr w:rsidR="00CA2C69" w:rsidRPr="0094625E" w14:paraId="214DDD83" w14:textId="77777777" w:rsidTr="00EC7F46">
        <w:trPr>
          <w:cantSplit/>
          <w:trHeight w:val="50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65BC508E"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lastRenderedPageBreak/>
              <w:t>Capital budget</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046B3E9E"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All proposed capital expenditure funded by appropriation for outcomes, by equity injections or loans and/or appropriations for administered capital, or by other sources.</w:t>
            </w:r>
          </w:p>
        </w:tc>
      </w:tr>
      <w:tr w:rsidR="00CA2C69" w:rsidRPr="0094625E" w14:paraId="076E94A2" w14:textId="77777777" w:rsidTr="00EC7F46">
        <w:trPr>
          <w:cantSplit/>
          <w:trHeight w:val="28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4337A136"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Capital expenditure</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48307E6A"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Expenditure by an agency on capital projects, for example purchasing a building.</w:t>
            </w:r>
          </w:p>
        </w:tc>
      </w:tr>
      <w:tr w:rsidR="00CA2C69" w:rsidRPr="0094625E" w14:paraId="1142C0D1" w14:textId="77777777" w:rsidTr="00EC7F46">
        <w:trPr>
          <w:cantSplit/>
          <w:trHeight w:val="50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3848C273"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Coalition</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5A588713"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Countries including Australia who provide troops, logistical support or assistance in military operations, peacekeeping or reconstruction efforts.</w:t>
            </w:r>
          </w:p>
        </w:tc>
      </w:tr>
      <w:tr w:rsidR="00EB32BC" w:rsidRPr="0094625E" w14:paraId="238A38A0" w14:textId="77777777" w:rsidTr="00EC7F46">
        <w:trPr>
          <w:cantSplit/>
          <w:trHeight w:val="50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48EBCE65" w14:textId="77777777" w:rsidR="00EB32BC" w:rsidRPr="0094625E" w:rsidRDefault="00EB32BC"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rPr>
              <w:t>Combined exercise or operation</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1959C293" w14:textId="77777777" w:rsidR="00EB32BC" w:rsidRPr="0094625E" w:rsidRDefault="00EB32BC"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rPr>
              <w:t>An exercise or operation activity involving one or more Services of the ADF with the forces of other countries.</w:t>
            </w:r>
          </w:p>
        </w:tc>
      </w:tr>
      <w:tr w:rsidR="00CA2C69" w:rsidRPr="0094625E" w14:paraId="478AB622" w14:textId="77777777" w:rsidTr="00EC7F46">
        <w:trPr>
          <w:cantSplit/>
          <w:trHeight w:val="72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08AB26F3"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Consolidated Revenue Fund</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901DD12"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Section 81 of the Constitution stipulates that all revenue raised or money received by the Commonwealth forms the one consolidated revenue fund. The fund is not a bank account. The Official Public Account reflects most of the operations of the fund.</w:t>
            </w:r>
          </w:p>
        </w:tc>
      </w:tr>
      <w:tr w:rsidR="00CA2C69" w:rsidRPr="0094625E" w14:paraId="3E3B89F1" w14:textId="77777777" w:rsidTr="00EC7F46">
        <w:trPr>
          <w:cantSplit/>
          <w:trHeight w:val="50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F7A11D7"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Corporate governance</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790B36A0"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The process by which agencies are directed and controlled. It is generally understood to encompass authority, accountability, stewardship, leadership, direction and control.</w:t>
            </w:r>
          </w:p>
        </w:tc>
      </w:tr>
      <w:tr w:rsidR="00CA2C69" w:rsidRPr="0094625E" w14:paraId="0E9F1834" w14:textId="77777777" w:rsidTr="00EC7F46">
        <w:trPr>
          <w:cantSplit/>
          <w:trHeight w:val="94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0D27B919"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Defence information environment</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47F49FB1"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Encompasses all of Defence’s computing and communication capabilities at all classification levels. It supports all Defence warfighting functions, including overseas deployed elements and connection to Coalition networks, as well as day-to-day business functions.</w:t>
            </w:r>
          </w:p>
        </w:tc>
      </w:tr>
      <w:tr w:rsidR="00CA2C69" w:rsidRPr="0094625E" w14:paraId="37E34DB3" w14:textId="77777777" w:rsidTr="00EC7F46">
        <w:trPr>
          <w:cantSplit/>
          <w:trHeight w:val="204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087040A3"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Defence Management and Finance Plan</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556C541A" w14:textId="77777777" w:rsidR="00CA2C69" w:rsidRPr="0094625E" w:rsidRDefault="00CA2C69" w:rsidP="00041EA3">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The Defence Management and Finance Plan provides Ministers and central agencies with clear oversight of Defence planning and financing strategies. It describes the strategies agreed through the 2016 Defence White Paper and other policy direction. As a compendium of information attached to Defence’s annual Portfolio Budget Submission, it is intended to help Ministers make informed strategic and budgetary decisions on Defence, by bringing into one document the expected financial position of the portfolio taking into account existing commitments and proposed new investments. The Plan also provides the Government with the information necessary to ensure that its investment in Defence is both affordable and sustainable.</w:t>
            </w:r>
          </w:p>
        </w:tc>
      </w:tr>
      <w:tr w:rsidR="00CA2C69" w:rsidRPr="0094625E" w14:paraId="25C92036" w14:textId="77777777" w:rsidTr="00EC7F46">
        <w:trPr>
          <w:cantSplit/>
          <w:trHeight w:val="94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628A738"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Departmental items</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00A3C4FF"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Assets, liabilities, revenues and expenses that are controlled by the agency in providing its outputs. Departmental items would generally include computers, plant and equipment assets used by agencies in providing goods and services and most employee expenses, supplier costs and other administrative expenses incurred.</w:t>
            </w:r>
          </w:p>
        </w:tc>
      </w:tr>
      <w:tr w:rsidR="00CA2C69" w:rsidRPr="0094625E" w14:paraId="3E9A7BFE" w14:textId="77777777" w:rsidTr="00EC7F46">
        <w:trPr>
          <w:cantSplit/>
          <w:trHeight w:val="50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FE58C97"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Depreciation</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144F3B16"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Apportionment of an asset’s capital value as an expense over its estimated useful life to take account of normal usage, obsolescence, or the passage of time.</w:t>
            </w:r>
          </w:p>
        </w:tc>
      </w:tr>
      <w:tr w:rsidR="00CA2C69" w:rsidRPr="0094625E" w14:paraId="75B7207A" w14:textId="77777777" w:rsidTr="00EC7F46">
        <w:trPr>
          <w:cantSplit/>
          <w:trHeight w:val="72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47939BEC"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Employee</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04D18A66"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Any Defence official who receives a salary or wage, along with other benefits, for the provision of services whether on a full-time, part-time, permanent, casual or temporary basis.</w:t>
            </w:r>
          </w:p>
        </w:tc>
      </w:tr>
      <w:tr w:rsidR="00CA2C69" w:rsidRPr="0094625E" w14:paraId="12733988" w14:textId="77777777" w:rsidTr="00EC7F46">
        <w:trPr>
          <w:cantSplit/>
          <w:trHeight w:val="94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0D65D5B8"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Employee expenses</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16C4AED1"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Include, but are not limited to, benefits provided to employees in the form of salaries and wages, performance pay, senior officers’ allowances, leave, and superannuation, but does not include amounts paid or owed to employees as reimbursement of out-of-pocket expenses.</w:t>
            </w:r>
          </w:p>
        </w:tc>
      </w:tr>
      <w:tr w:rsidR="00CA2C69" w:rsidRPr="0094625E" w14:paraId="3047078B" w14:textId="77777777" w:rsidTr="00EC7F46">
        <w:trPr>
          <w:cantSplit/>
          <w:trHeight w:val="50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6972D352"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Equity injection</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7521E47A" w14:textId="77777777" w:rsidR="00CA2C69" w:rsidRPr="0094625E" w:rsidRDefault="00CA2C69" w:rsidP="00041EA3">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An additional contribution over and above the cost of outputs. Equity injections form part of the Commonwealth’s investment in Defence.</w:t>
            </w:r>
          </w:p>
        </w:tc>
      </w:tr>
      <w:tr w:rsidR="00CA2C69" w:rsidRPr="0094625E" w14:paraId="731A2B55" w14:textId="77777777" w:rsidTr="00EC7F46">
        <w:trPr>
          <w:cantSplit/>
          <w:trHeight w:val="72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FF936A4"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lastRenderedPageBreak/>
              <w:t>Expense</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06B1EE93"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Total value of all of the resources consumed in producing goods and services or the loss of future economic benefits in the form of reductions in assets or increases in liabilities of an entity.</w:t>
            </w:r>
          </w:p>
        </w:tc>
      </w:tr>
      <w:tr w:rsidR="00CA2C69" w:rsidRPr="0094625E" w14:paraId="6D43C8FD" w14:textId="77777777" w:rsidTr="00EC7F46">
        <w:trPr>
          <w:cantSplit/>
          <w:trHeight w:val="94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4DFD42FB"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Fair value</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07FF6EA1"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The amount for which an asset could be exchanged, or a liability settled, between knowledgeable and willing parties in an arm’s length transaction. The fair value can be affected by the conditions of the sale, market conditions and the intentions of the asset holder.</w:t>
            </w:r>
          </w:p>
        </w:tc>
      </w:tr>
      <w:tr w:rsidR="00CA2C69" w:rsidRPr="0094625E" w14:paraId="4E00F2A9" w14:textId="77777777" w:rsidTr="00EC7F46">
        <w:trPr>
          <w:cantSplit/>
          <w:trHeight w:val="50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5C827C15"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Force element</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14DF1A4F"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A component of a unit, a unit or an association of units having common prime objectives and activities.</w:t>
            </w:r>
          </w:p>
        </w:tc>
      </w:tr>
      <w:tr w:rsidR="00CA2C69" w:rsidRPr="0094625E" w14:paraId="737086BA" w14:textId="77777777" w:rsidTr="00EC7F46">
        <w:trPr>
          <w:cantSplit/>
          <w:trHeight w:val="50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156A0C72"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Force element group</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06C3D18"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A grouping of force elements with an appropriate command and control structure for a specified role or roles (e.g. the Navy Submarine Group).</w:t>
            </w:r>
          </w:p>
        </w:tc>
      </w:tr>
      <w:tr w:rsidR="00CA2C69" w:rsidRPr="0094625E" w14:paraId="66E5E506" w14:textId="77777777" w:rsidTr="00EC7F46">
        <w:trPr>
          <w:cantSplit/>
          <w:trHeight w:val="94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3EED7293" w14:textId="77777777" w:rsidR="00CA2C69" w:rsidRPr="0094625E" w:rsidRDefault="00CA2C69" w:rsidP="007E67F7">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 xml:space="preserve">Forward </w:t>
            </w:r>
            <w:r w:rsidR="007E67F7" w:rsidRPr="0094625E">
              <w:rPr>
                <w:rFonts w:ascii="Arial" w:hAnsi="Arial" w:cs="Arial"/>
                <w:b w:val="0"/>
                <w:bCs w:val="0"/>
                <w:w w:val="100"/>
                <w:sz w:val="18"/>
                <w:szCs w:val="18"/>
                <w:lang w:val="en-AU"/>
              </w:rPr>
              <w:t>E</w:t>
            </w:r>
            <w:r w:rsidRPr="0094625E">
              <w:rPr>
                <w:rFonts w:ascii="Arial" w:hAnsi="Arial" w:cs="Arial"/>
                <w:b w:val="0"/>
                <w:bCs w:val="0"/>
                <w:w w:val="100"/>
                <w:sz w:val="18"/>
                <w:szCs w:val="18"/>
                <w:lang w:val="en-AU"/>
              </w:rPr>
              <w:t>stimates</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3651458C"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The level of proposed expenditure for future years, based on relevant demographic, economic and other future forecasting assump</w:t>
            </w:r>
            <w:r w:rsidR="007E67F7" w:rsidRPr="0094625E">
              <w:rPr>
                <w:rFonts w:ascii="Arial" w:hAnsi="Arial" w:cs="Arial"/>
                <w:b w:val="0"/>
                <w:bCs w:val="0"/>
                <w:w w:val="100"/>
                <w:sz w:val="18"/>
                <w:szCs w:val="18"/>
                <w:lang w:val="en-AU"/>
              </w:rPr>
              <w:t>tions. The Government requires Forward E</w:t>
            </w:r>
            <w:r w:rsidRPr="0094625E">
              <w:rPr>
                <w:rFonts w:ascii="Arial" w:hAnsi="Arial" w:cs="Arial"/>
                <w:b w:val="0"/>
                <w:bCs w:val="0"/>
                <w:w w:val="100"/>
                <w:sz w:val="18"/>
                <w:szCs w:val="18"/>
                <w:lang w:val="en-AU"/>
              </w:rPr>
              <w:t>stimates for the following three financial years to be published in each annual Federal Budget paper.</w:t>
            </w:r>
          </w:p>
        </w:tc>
      </w:tr>
      <w:tr w:rsidR="00CA2C69" w:rsidRPr="0094625E" w14:paraId="0CF8BE46" w14:textId="77777777" w:rsidTr="00EC7F46">
        <w:trPr>
          <w:cantSplit/>
          <w:trHeight w:val="72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1C8FF6DE"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Garrison Support Services</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59FE5466"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Includes a range of base support services such as ground maintenance, hospitality, training area management, base security, transport, air support and firefighting and rescue services.</w:t>
            </w:r>
          </w:p>
        </w:tc>
      </w:tr>
      <w:tr w:rsidR="00AE357C" w:rsidRPr="0094625E" w14:paraId="4B662DD1" w14:textId="77777777" w:rsidTr="00EC7F46">
        <w:trPr>
          <w:cantSplit/>
          <w:trHeight w:val="72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3DA84884" w14:textId="77777777" w:rsidR="00AE357C" w:rsidRPr="0094625E" w:rsidRDefault="00AE357C" w:rsidP="00E27F44">
            <w:pPr>
              <w:pStyle w:val="HeadingRunIn"/>
              <w:keepNext w:val="0"/>
              <w:suppressAutoHyphens/>
              <w:spacing w:before="10" w:after="48" w:line="220" w:lineRule="atLeast"/>
              <w:rPr>
                <w:rFonts w:ascii="Arial" w:hAnsi="Arial" w:cs="Arial"/>
                <w:b w:val="0"/>
                <w:bCs w:val="0"/>
                <w:w w:val="100"/>
                <w:sz w:val="18"/>
                <w:szCs w:val="18"/>
                <w:lang w:val="en-AU"/>
              </w:rPr>
            </w:pPr>
            <w:r w:rsidRPr="0094625E">
              <w:rPr>
                <w:rFonts w:ascii="Arial" w:hAnsi="Arial" w:cs="Arial"/>
                <w:b w:val="0"/>
                <w:bCs w:val="0"/>
                <w:w w:val="100"/>
                <w:sz w:val="18"/>
                <w:szCs w:val="18"/>
                <w:lang w:val="en-AU"/>
              </w:rPr>
              <w:t>Grant</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7BF2B58F" w14:textId="77777777" w:rsidR="00AE357C" w:rsidRPr="0094625E" w:rsidRDefault="00AE357C" w:rsidP="00D9100A">
            <w:pPr>
              <w:pStyle w:val="HeadingRunIn"/>
              <w:numPr>
                <w:ilvl w:val="0"/>
                <w:numId w:val="36"/>
              </w:numPr>
              <w:tabs>
                <w:tab w:val="left" w:pos="344"/>
              </w:tabs>
              <w:suppressAutoHyphens/>
              <w:spacing w:before="10" w:after="48" w:line="220" w:lineRule="atLeast"/>
              <w:ind w:left="360" w:hanging="283"/>
              <w:rPr>
                <w:rFonts w:ascii="Arial" w:hAnsi="Arial" w:cs="Arial"/>
                <w:b w:val="0"/>
                <w:bCs w:val="0"/>
                <w:w w:val="100"/>
                <w:sz w:val="18"/>
                <w:szCs w:val="18"/>
                <w:lang w:val="en-AU"/>
              </w:rPr>
            </w:pPr>
            <w:r w:rsidRPr="0094625E">
              <w:rPr>
                <w:rFonts w:ascii="Arial" w:hAnsi="Arial" w:cs="Arial"/>
                <w:b w:val="0"/>
                <w:bCs w:val="0"/>
                <w:w w:val="100"/>
                <w:sz w:val="18"/>
                <w:szCs w:val="18"/>
                <w:lang w:val="en-AU"/>
              </w:rPr>
              <w:t>An arrangement for the provision of financial assistance by the Commonwealth or on behalf of the Commonwealth:</w:t>
            </w:r>
          </w:p>
          <w:p w14:paraId="292C2556" w14:textId="77777777" w:rsidR="00AE357C" w:rsidRPr="0094625E" w:rsidRDefault="00AE357C" w:rsidP="00D9100A">
            <w:pPr>
              <w:pStyle w:val="HeadingRunIn"/>
              <w:numPr>
                <w:ilvl w:val="0"/>
                <w:numId w:val="36"/>
              </w:numPr>
              <w:tabs>
                <w:tab w:val="left" w:pos="344"/>
              </w:tabs>
              <w:suppressAutoHyphens/>
              <w:spacing w:before="10" w:after="48" w:line="220" w:lineRule="atLeast"/>
              <w:ind w:left="360" w:hanging="283"/>
              <w:rPr>
                <w:rFonts w:ascii="Arial" w:hAnsi="Arial" w:cs="Arial"/>
                <w:b w:val="0"/>
                <w:bCs w:val="0"/>
                <w:w w:val="100"/>
                <w:sz w:val="18"/>
                <w:szCs w:val="18"/>
                <w:lang w:val="en-AU"/>
              </w:rPr>
            </w:pPr>
            <w:r w:rsidRPr="0094625E">
              <w:rPr>
                <w:rFonts w:ascii="Arial" w:hAnsi="Arial" w:cs="Arial"/>
                <w:b w:val="0"/>
                <w:bCs w:val="0"/>
                <w:w w:val="100"/>
                <w:sz w:val="18"/>
                <w:szCs w:val="18"/>
                <w:lang w:val="en-AU"/>
              </w:rPr>
              <w:t xml:space="preserve">under which Commonwealth funds are to be paid to a grantee </w:t>
            </w:r>
            <w:r w:rsidR="004E36B0" w:rsidRPr="0094625E">
              <w:rPr>
                <w:rFonts w:ascii="Arial" w:hAnsi="Arial" w:cs="Arial"/>
                <w:b w:val="0"/>
                <w:bCs w:val="0"/>
                <w:w w:val="100"/>
                <w:sz w:val="18"/>
                <w:szCs w:val="18"/>
                <w:lang w:val="en-AU"/>
              </w:rPr>
              <w:t>other than the Commonwealth</w:t>
            </w:r>
            <w:r w:rsidR="008E66F4" w:rsidRPr="0094625E">
              <w:rPr>
                <w:rFonts w:ascii="Arial" w:hAnsi="Arial" w:cs="Arial"/>
                <w:b w:val="0"/>
                <w:bCs w:val="0"/>
                <w:w w:val="100"/>
                <w:sz w:val="18"/>
                <w:szCs w:val="18"/>
                <w:lang w:val="en-AU"/>
              </w:rPr>
              <w:t xml:space="preserve">, </w:t>
            </w:r>
          </w:p>
          <w:p w14:paraId="1DA12DC9" w14:textId="77777777" w:rsidR="00AE357C" w:rsidRPr="0094625E" w:rsidRDefault="00AE357C" w:rsidP="00D9100A">
            <w:pPr>
              <w:pStyle w:val="HeadingRunIn"/>
              <w:numPr>
                <w:ilvl w:val="0"/>
                <w:numId w:val="36"/>
              </w:numPr>
              <w:tabs>
                <w:tab w:val="left" w:pos="344"/>
              </w:tabs>
              <w:suppressAutoHyphens/>
              <w:spacing w:before="10" w:after="48" w:line="220" w:lineRule="atLeast"/>
              <w:ind w:left="360" w:hanging="283"/>
              <w:rPr>
                <w:rFonts w:ascii="Arial" w:hAnsi="Arial" w:cs="Arial"/>
                <w:b w:val="0"/>
                <w:bCs w:val="0"/>
                <w:w w:val="100"/>
                <w:sz w:val="18"/>
                <w:szCs w:val="18"/>
                <w:lang w:val="en-AU"/>
              </w:rPr>
            </w:pPr>
            <w:r w:rsidRPr="0094625E">
              <w:rPr>
                <w:rFonts w:ascii="Arial" w:hAnsi="Arial" w:cs="Arial"/>
                <w:b w:val="0"/>
                <w:bCs w:val="0"/>
                <w:w w:val="100"/>
                <w:sz w:val="18"/>
                <w:szCs w:val="18"/>
                <w:lang w:val="en-AU"/>
              </w:rPr>
              <w:t>which is intended to help address one or more of the Australian Government’s policy outcomes while assisting the grantee achieve its objectives.</w:t>
            </w:r>
          </w:p>
        </w:tc>
      </w:tr>
      <w:tr w:rsidR="00CA2C69" w:rsidRPr="0094625E" w14:paraId="5512035E" w14:textId="77777777" w:rsidTr="00EC7F46">
        <w:trPr>
          <w:cantSplit/>
          <w:trHeight w:val="72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9F894CD"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Group</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40714933"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A high-level organisational grouping of functions and activities used by the Defence Executive as its primary management grouping (e.g. the Strateg</w:t>
            </w:r>
            <w:r w:rsidR="006B32C3" w:rsidRPr="0094625E">
              <w:rPr>
                <w:rFonts w:ascii="Arial" w:hAnsi="Arial" w:cs="Arial"/>
                <w:b w:val="0"/>
                <w:bCs w:val="0"/>
                <w:w w:val="100"/>
                <w:sz w:val="18"/>
                <w:szCs w:val="18"/>
                <w:lang w:val="en-AU"/>
              </w:rPr>
              <w:t>y</w:t>
            </w:r>
            <w:r w:rsidR="00041EA3" w:rsidRPr="0094625E">
              <w:rPr>
                <w:rFonts w:ascii="Arial" w:hAnsi="Arial" w:cs="Arial"/>
                <w:b w:val="0"/>
                <w:bCs w:val="0"/>
                <w:w w:val="100"/>
                <w:sz w:val="18"/>
                <w:szCs w:val="18"/>
                <w:lang w:val="en-AU"/>
              </w:rPr>
              <w:t xml:space="preserve">, </w:t>
            </w:r>
            <w:r w:rsidRPr="0094625E">
              <w:rPr>
                <w:rFonts w:ascii="Arial" w:hAnsi="Arial" w:cs="Arial"/>
                <w:b w:val="0"/>
                <w:bCs w:val="0"/>
                <w:w w:val="100"/>
                <w:sz w:val="18"/>
                <w:szCs w:val="18"/>
                <w:lang w:val="en-AU"/>
              </w:rPr>
              <w:t>Policy &amp; In</w:t>
            </w:r>
            <w:r w:rsidR="006B32C3" w:rsidRPr="0094625E">
              <w:rPr>
                <w:rFonts w:ascii="Arial" w:hAnsi="Arial" w:cs="Arial"/>
                <w:b w:val="0"/>
                <w:bCs w:val="0"/>
                <w:w w:val="100"/>
                <w:sz w:val="18"/>
                <w:szCs w:val="18"/>
                <w:lang w:val="en-AU"/>
              </w:rPr>
              <w:t>dustry</w:t>
            </w:r>
            <w:r w:rsidRPr="0094625E">
              <w:rPr>
                <w:rFonts w:ascii="Arial" w:hAnsi="Arial" w:cs="Arial"/>
                <w:b w:val="0"/>
                <w:bCs w:val="0"/>
                <w:w w:val="100"/>
                <w:sz w:val="18"/>
                <w:szCs w:val="18"/>
                <w:lang w:val="en-AU"/>
              </w:rPr>
              <w:t xml:space="preserve"> Group).</w:t>
            </w:r>
          </w:p>
        </w:tc>
      </w:tr>
      <w:tr w:rsidR="00EB32BC" w:rsidRPr="0094625E" w14:paraId="40A2BC70" w14:textId="77777777" w:rsidTr="00EC7F46">
        <w:trPr>
          <w:cantSplit/>
          <w:trHeight w:val="116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F17FED2" w14:textId="77777777" w:rsidR="00EB32BC" w:rsidRPr="0094625E" w:rsidRDefault="00EB32BC" w:rsidP="00E27F44">
            <w:pPr>
              <w:pStyle w:val="HeadingRunIn"/>
              <w:keepNext w:val="0"/>
              <w:suppressAutoHyphens/>
              <w:spacing w:before="10" w:after="48" w:line="220" w:lineRule="atLeast"/>
              <w:rPr>
                <w:rFonts w:ascii="Arial" w:hAnsi="Arial" w:cs="Arial"/>
                <w:b w:val="0"/>
                <w:bCs w:val="0"/>
                <w:w w:val="100"/>
                <w:sz w:val="18"/>
                <w:szCs w:val="18"/>
                <w:lang w:val="en-AU"/>
              </w:rPr>
            </w:pPr>
            <w:r w:rsidRPr="0094625E">
              <w:rPr>
                <w:rFonts w:ascii="Arial" w:hAnsi="Arial" w:cs="Arial"/>
                <w:b w:val="0"/>
                <w:bCs w:val="0"/>
                <w:w w:val="100"/>
                <w:sz w:val="18"/>
                <w:szCs w:val="18"/>
                <w:lang w:val="en-AU"/>
              </w:rPr>
              <w:t>Infrastructure</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469797AE" w14:textId="77777777" w:rsidR="00EB32BC" w:rsidRPr="0094625E" w:rsidRDefault="00EB32BC" w:rsidP="00E27F44">
            <w:pPr>
              <w:pStyle w:val="HeadingRunIn"/>
              <w:keepNext w:val="0"/>
              <w:suppressAutoHyphens/>
              <w:spacing w:before="10" w:after="48" w:line="220" w:lineRule="atLeast"/>
              <w:rPr>
                <w:rFonts w:ascii="Arial" w:hAnsi="Arial" w:cs="Arial"/>
                <w:b w:val="0"/>
                <w:bCs w:val="0"/>
                <w:w w:val="100"/>
                <w:sz w:val="18"/>
                <w:szCs w:val="18"/>
                <w:lang w:val="en-AU"/>
              </w:rPr>
            </w:pPr>
            <w:r w:rsidRPr="0094625E">
              <w:rPr>
                <w:rFonts w:ascii="Arial" w:hAnsi="Arial" w:cs="Arial"/>
                <w:b w:val="0"/>
                <w:bCs w:val="0"/>
                <w:w w:val="100"/>
                <w:sz w:val="18"/>
                <w:szCs w:val="18"/>
                <w:lang w:val="en-AU"/>
              </w:rPr>
              <w:t>Items owned, leased or otherwise under the control of Defence in support of activities on land and within buildings. Infrastructure includes items such as runways, roads, car parks, parade grounds, ovals, lighting, water, sewerage and other general service related items. It does not include land upon which, or within which, it is constructed or those fixed items integral to, and under, buildings.</w:t>
            </w:r>
          </w:p>
        </w:tc>
      </w:tr>
      <w:tr w:rsidR="00931E07" w:rsidRPr="0094625E" w14:paraId="4527BC6D" w14:textId="77777777" w:rsidTr="00EC7F46">
        <w:trPr>
          <w:cantSplit/>
          <w:trHeight w:val="116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3E23E071" w14:textId="77777777" w:rsidR="00931E07" w:rsidRPr="0094625E" w:rsidRDefault="00EF0601" w:rsidP="00E27F44">
            <w:pPr>
              <w:pStyle w:val="HeadingRunIn"/>
              <w:keepNext w:val="0"/>
              <w:suppressAutoHyphens/>
              <w:spacing w:before="10" w:after="48" w:line="220" w:lineRule="atLeast"/>
              <w:rPr>
                <w:rFonts w:ascii="Arial" w:hAnsi="Arial" w:cs="Arial"/>
                <w:b w:val="0"/>
                <w:bCs w:val="0"/>
                <w:w w:val="100"/>
                <w:sz w:val="18"/>
                <w:szCs w:val="18"/>
                <w:lang w:val="en-AU"/>
              </w:rPr>
            </w:pPr>
            <w:r w:rsidRPr="0094625E">
              <w:rPr>
                <w:rFonts w:ascii="Arial" w:hAnsi="Arial" w:cs="Arial"/>
                <w:b w:val="0"/>
                <w:bCs w:val="0"/>
                <w:w w:val="100"/>
                <w:sz w:val="18"/>
                <w:szCs w:val="18"/>
                <w:lang w:val="en-AU"/>
              </w:rPr>
              <w:t>Integrated Investment Program</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01661B08" w14:textId="77777777" w:rsidR="00931E07" w:rsidRPr="0094625E" w:rsidRDefault="00931E07" w:rsidP="00255095">
            <w:pPr>
              <w:pStyle w:val="HeadingRunIn"/>
              <w:keepNext w:val="0"/>
              <w:suppressAutoHyphens/>
              <w:spacing w:before="10" w:after="48" w:line="220" w:lineRule="atLeast"/>
              <w:rPr>
                <w:rFonts w:ascii="Arial" w:hAnsi="Arial" w:cs="Arial"/>
                <w:b w:val="0"/>
                <w:bCs w:val="0"/>
                <w:w w:val="100"/>
                <w:sz w:val="18"/>
                <w:szCs w:val="18"/>
                <w:lang w:val="en-AU"/>
              </w:rPr>
            </w:pPr>
            <w:r w:rsidRPr="0094625E">
              <w:rPr>
                <w:rFonts w:ascii="Arial" w:hAnsi="Arial" w:cs="Arial"/>
                <w:b w:val="0"/>
                <w:bCs w:val="0"/>
                <w:w w:val="100"/>
                <w:sz w:val="18"/>
                <w:szCs w:val="18"/>
                <w:lang w:val="en-AU"/>
              </w:rPr>
              <w:t xml:space="preserve">The Integrated Investment Program is a costed, detailed development plan for the Australian Defence capabilities to be delivered through implementation of the </w:t>
            </w:r>
            <w:r w:rsidR="00255095" w:rsidRPr="0094625E">
              <w:rPr>
                <w:rFonts w:ascii="Arial" w:hAnsi="Arial" w:cs="Arial"/>
                <w:b w:val="0"/>
                <w:bCs w:val="0"/>
                <w:w w:val="100"/>
                <w:sz w:val="18"/>
                <w:szCs w:val="18"/>
                <w:lang w:val="en-AU"/>
              </w:rPr>
              <w:t xml:space="preserve">National </w:t>
            </w:r>
            <w:r w:rsidRPr="0094625E">
              <w:rPr>
                <w:rFonts w:ascii="Arial" w:hAnsi="Arial" w:cs="Arial"/>
                <w:b w:val="0"/>
                <w:bCs w:val="0"/>
                <w:w w:val="100"/>
                <w:sz w:val="18"/>
                <w:szCs w:val="18"/>
                <w:lang w:val="en-AU"/>
              </w:rPr>
              <w:t>Defence</w:t>
            </w:r>
            <w:r w:rsidR="00255095" w:rsidRPr="0094625E">
              <w:rPr>
                <w:rFonts w:ascii="Arial" w:hAnsi="Arial" w:cs="Arial"/>
                <w:b w:val="0"/>
                <w:bCs w:val="0"/>
                <w:w w:val="100"/>
                <w:sz w:val="18"/>
                <w:szCs w:val="18"/>
                <w:lang w:val="en-AU"/>
              </w:rPr>
              <w:t xml:space="preserve"> Strategy</w:t>
            </w:r>
            <w:r w:rsidRPr="0094625E">
              <w:rPr>
                <w:rFonts w:ascii="Arial" w:hAnsi="Arial" w:cs="Arial"/>
                <w:b w:val="0"/>
                <w:bCs w:val="0"/>
                <w:w w:val="100"/>
                <w:sz w:val="18"/>
                <w:szCs w:val="18"/>
                <w:lang w:val="en-AU"/>
              </w:rPr>
              <w:t>. The program is reviewed regularly to take account of changing strategic circumstances, new technologies and changed priorities, in the context of the overall Defence budget.</w:t>
            </w:r>
          </w:p>
        </w:tc>
      </w:tr>
      <w:tr w:rsidR="00CA2C69" w:rsidRPr="0094625E" w14:paraId="052B95CB" w14:textId="77777777" w:rsidTr="00EC7F46">
        <w:trPr>
          <w:cantSplit/>
          <w:trHeight w:val="72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074761F"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Interoperability</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EE43E02"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The ability of systems, units or forces to provide the services to, and accept services from, other systems, units or forces and to use the services so exchanged to enable them to operate effectively together.</w:t>
            </w:r>
          </w:p>
        </w:tc>
      </w:tr>
      <w:tr w:rsidR="00CA2C69" w:rsidRPr="0094625E" w14:paraId="2BBCA4DE" w14:textId="77777777" w:rsidTr="00EC7F46">
        <w:trPr>
          <w:cantSplit/>
          <w:trHeight w:val="116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741E2FA9"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Inventory</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451758F6"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Inventory is comprised of consumable stores and supplies, fuel and explosive ordnance used in the delivery of Defence services. These are items which are consumed in normal use, lose their identity during periods of use by incorporation into, or attachment upon, another assembly</w:t>
            </w:r>
            <w:r w:rsidR="008E66F4" w:rsidRPr="0094625E">
              <w:rPr>
                <w:rFonts w:ascii="Arial" w:hAnsi="Arial" w:cs="Arial"/>
                <w:b w:val="0"/>
                <w:bCs w:val="0"/>
                <w:w w:val="100"/>
                <w:sz w:val="18"/>
                <w:szCs w:val="18"/>
                <w:lang w:val="en-AU"/>
              </w:rPr>
              <w:t xml:space="preserve">, as a result of wear and tear and </w:t>
            </w:r>
            <w:r w:rsidRPr="0094625E">
              <w:rPr>
                <w:rFonts w:ascii="Arial" w:hAnsi="Arial" w:cs="Arial"/>
                <w:b w:val="0"/>
                <w:bCs w:val="0"/>
                <w:w w:val="100"/>
                <w:sz w:val="18"/>
                <w:szCs w:val="18"/>
                <w:lang w:val="en-AU"/>
              </w:rPr>
              <w:t>cannot be reconditioned because their design does not make it possible</w:t>
            </w:r>
            <w:r w:rsidR="002D26D1" w:rsidRPr="0094625E">
              <w:rPr>
                <w:rFonts w:ascii="Arial" w:hAnsi="Arial" w:cs="Arial"/>
                <w:b w:val="0"/>
                <w:bCs w:val="0"/>
                <w:w w:val="100"/>
                <w:sz w:val="18"/>
                <w:szCs w:val="18"/>
                <w:lang w:val="en-AU"/>
              </w:rPr>
              <w:t>,</w:t>
            </w:r>
            <w:r w:rsidRPr="0094625E">
              <w:rPr>
                <w:rFonts w:ascii="Arial" w:hAnsi="Arial" w:cs="Arial"/>
                <w:b w:val="0"/>
                <w:bCs w:val="0"/>
                <w:w w:val="100"/>
                <w:sz w:val="18"/>
                <w:szCs w:val="18"/>
                <w:lang w:val="en-AU"/>
              </w:rPr>
              <w:t xml:space="preserve"> or their specific values do not justify it.</w:t>
            </w:r>
          </w:p>
        </w:tc>
      </w:tr>
      <w:tr w:rsidR="00EB32BC" w:rsidRPr="0094625E" w14:paraId="3749D3BB" w14:textId="77777777" w:rsidTr="00EC7F46">
        <w:trPr>
          <w:cantSplit/>
          <w:trHeight w:val="28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7F0DA7C5" w14:textId="77777777" w:rsidR="00EB32BC" w:rsidRPr="0094625E" w:rsidRDefault="00EF0601"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rPr>
              <w:lastRenderedPageBreak/>
              <w:t>Joint exercise or operation</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49EA2993" w14:textId="77777777" w:rsidR="00EB32BC" w:rsidRPr="0094625E" w:rsidRDefault="00EB32BC"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rPr>
              <w:t>An exercise or operation involving two or more Services of the ADF.</w:t>
            </w:r>
          </w:p>
        </w:tc>
      </w:tr>
      <w:tr w:rsidR="00CA2C69" w:rsidRPr="0094625E" w14:paraId="2C40EF50" w14:textId="77777777" w:rsidTr="00EC7F46">
        <w:trPr>
          <w:cantSplit/>
          <w:trHeight w:val="50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64C72EB"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Liabilities</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5DE16DDF"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Sacrifices of future economic benefits that Defence is presently obliged to make to other entities as a result of past transactions or other past events.</w:t>
            </w:r>
          </w:p>
        </w:tc>
      </w:tr>
      <w:tr w:rsidR="00CA2C69" w:rsidRPr="0094625E" w14:paraId="73E6E01A" w14:textId="77777777" w:rsidTr="00EC7F46">
        <w:trPr>
          <w:cantSplit/>
          <w:trHeight w:val="50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522987BC" w14:textId="77777777" w:rsidR="00CA2C69" w:rsidRPr="0094625E" w:rsidRDefault="00CA2C69" w:rsidP="00E27F44">
            <w:pPr>
              <w:pStyle w:val="HeadingRunIn"/>
              <w:keepNext w:val="0"/>
              <w:suppressAutoHyphens/>
              <w:spacing w:before="10" w:after="48" w:line="220" w:lineRule="atLeast"/>
              <w:rPr>
                <w:rFonts w:ascii="Arial" w:hAnsi="Arial" w:cs="Arial"/>
                <w:b w:val="0"/>
                <w:bCs w:val="0"/>
                <w:w w:val="100"/>
                <w:sz w:val="18"/>
                <w:szCs w:val="18"/>
                <w:lang w:val="en-AU"/>
              </w:rPr>
            </w:pPr>
            <w:r w:rsidRPr="0094625E">
              <w:rPr>
                <w:rFonts w:ascii="Arial" w:hAnsi="Arial" w:cs="Arial"/>
                <w:b w:val="0"/>
                <w:bCs w:val="0"/>
                <w:w w:val="100"/>
                <w:sz w:val="18"/>
                <w:szCs w:val="18"/>
                <w:lang w:val="en-AU"/>
              </w:rPr>
              <w:t>Listed entity</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1E490F91" w14:textId="77777777" w:rsidR="00CA2C69" w:rsidRPr="0094625E" w:rsidRDefault="00CA2C69" w:rsidP="00E27F44">
            <w:pPr>
              <w:pStyle w:val="HeadingRunIn"/>
              <w:keepNext w:val="0"/>
              <w:suppressAutoHyphens/>
              <w:spacing w:before="10" w:after="48" w:line="220" w:lineRule="atLeast"/>
              <w:rPr>
                <w:rFonts w:ascii="Arial" w:hAnsi="Arial" w:cs="Arial"/>
                <w:b w:val="0"/>
                <w:bCs w:val="0"/>
                <w:w w:val="100"/>
                <w:sz w:val="18"/>
                <w:szCs w:val="18"/>
                <w:lang w:val="en-AU"/>
              </w:rPr>
            </w:pPr>
            <w:r w:rsidRPr="0094625E">
              <w:rPr>
                <w:rFonts w:ascii="Arial" w:hAnsi="Arial" w:cs="Arial"/>
                <w:b w:val="0"/>
                <w:bCs w:val="0"/>
                <w:w w:val="100"/>
                <w:sz w:val="18"/>
                <w:szCs w:val="18"/>
                <w:lang w:val="en-AU"/>
              </w:rPr>
              <w:t>An entity established by regulation under the</w:t>
            </w:r>
            <w:r w:rsidRPr="0094625E">
              <w:rPr>
                <w:rFonts w:ascii="Arial" w:hAnsi="Arial" w:cs="Arial"/>
                <w:b w:val="0"/>
                <w:bCs w:val="0"/>
                <w:i/>
                <w:iCs/>
                <w:w w:val="100"/>
                <w:sz w:val="18"/>
                <w:szCs w:val="18"/>
                <w:lang w:val="en-AU"/>
              </w:rPr>
              <w:t xml:space="preserve"> </w:t>
            </w:r>
            <w:r w:rsidRPr="0094625E">
              <w:rPr>
                <w:rFonts w:ascii="Arial" w:hAnsi="Arial" w:cs="Arial"/>
                <w:b w:val="0"/>
                <w:bCs w:val="0"/>
                <w:i/>
                <w:color w:val="auto"/>
                <w:w w:val="100"/>
                <w:sz w:val="18"/>
                <w:szCs w:val="18"/>
                <w:lang w:val="en-AU"/>
              </w:rPr>
              <w:t xml:space="preserve">Public Governance, Performance and Accountability Act 2013. </w:t>
            </w:r>
            <w:r w:rsidRPr="0094625E">
              <w:rPr>
                <w:rFonts w:ascii="Arial" w:hAnsi="Arial" w:cs="Arial"/>
                <w:b w:val="0"/>
                <w:bCs w:val="0"/>
                <w:w w:val="100"/>
                <w:sz w:val="18"/>
                <w:szCs w:val="18"/>
                <w:lang w:val="en-AU"/>
              </w:rPr>
              <w:t>The Act provides financial management authority to, and requires accountability by the Accountable Authority of an entity.</w:t>
            </w:r>
            <w:r w:rsidRPr="0094625E">
              <w:rPr>
                <w:rFonts w:ascii="Arial" w:hAnsi="Arial" w:cs="Arial"/>
                <w:b w:val="0"/>
                <w:bCs w:val="0"/>
                <w:i/>
                <w:color w:val="auto"/>
                <w:w w:val="100"/>
                <w:sz w:val="18"/>
                <w:szCs w:val="18"/>
                <w:lang w:val="en-AU"/>
              </w:rPr>
              <w:t xml:space="preserve"> </w:t>
            </w:r>
            <w:r w:rsidRPr="0094625E">
              <w:rPr>
                <w:rFonts w:ascii="Arial" w:hAnsi="Arial" w:cs="Arial"/>
                <w:b w:val="0"/>
                <w:bCs w:val="0"/>
                <w:color w:val="auto"/>
                <w:w w:val="100"/>
                <w:sz w:val="18"/>
                <w:szCs w:val="18"/>
                <w:lang w:val="en-AU"/>
              </w:rPr>
              <w:t>This used to be called ‘Prescribed agency’ under the former</w:t>
            </w:r>
            <w:r w:rsidRPr="0094625E">
              <w:rPr>
                <w:rFonts w:ascii="Arial" w:hAnsi="Arial" w:cs="Arial"/>
                <w:b w:val="0"/>
                <w:bCs w:val="0"/>
                <w:i/>
                <w:color w:val="auto"/>
                <w:w w:val="100"/>
                <w:sz w:val="18"/>
                <w:szCs w:val="18"/>
                <w:lang w:val="en-AU"/>
              </w:rPr>
              <w:t xml:space="preserve"> </w:t>
            </w:r>
            <w:r w:rsidRPr="0094625E">
              <w:rPr>
                <w:rFonts w:ascii="Arial" w:hAnsi="Arial" w:cs="Arial"/>
                <w:b w:val="0"/>
                <w:bCs w:val="0"/>
                <w:i/>
                <w:iCs/>
                <w:w w:val="100"/>
                <w:sz w:val="18"/>
                <w:szCs w:val="18"/>
                <w:lang w:val="en-AU"/>
              </w:rPr>
              <w:t>Financial Management and Accountability Act 1997</w:t>
            </w:r>
            <w:r w:rsidRPr="0094625E">
              <w:rPr>
                <w:rFonts w:ascii="Arial" w:hAnsi="Arial" w:cs="Arial"/>
                <w:b w:val="0"/>
                <w:bCs w:val="0"/>
                <w:w w:val="100"/>
                <w:sz w:val="18"/>
                <w:szCs w:val="18"/>
                <w:lang w:val="en-AU"/>
              </w:rPr>
              <w:t>.</w:t>
            </w:r>
          </w:p>
        </w:tc>
      </w:tr>
      <w:tr w:rsidR="00CA2C69" w:rsidRPr="0094625E" w14:paraId="328EB699" w14:textId="77777777" w:rsidTr="00EC7F46">
        <w:trPr>
          <w:cantSplit/>
          <w:trHeight w:val="50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7B3028A6" w14:textId="77777777" w:rsidR="00CA2C69" w:rsidRPr="0094625E" w:rsidRDefault="00CA2C69"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Materiel Acquisition Agreements</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01945508" w14:textId="77777777" w:rsidR="00CA2C69" w:rsidRPr="0094625E" w:rsidRDefault="00EC7F46" w:rsidP="00E27F44">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Materiel Acquisition Agreements cover the Capability Acquisition and Sustainment Group’s, Naval Shipbuilding and Sustainment Group’s and</w:t>
            </w:r>
            <w:r w:rsidRPr="0094625E">
              <w:t xml:space="preserve"> </w:t>
            </w:r>
            <w:r w:rsidRPr="0094625E">
              <w:rPr>
                <w:rFonts w:ascii="Arial" w:hAnsi="Arial" w:cs="Arial"/>
                <w:b w:val="0"/>
                <w:bCs w:val="0"/>
                <w:w w:val="100"/>
                <w:sz w:val="18"/>
                <w:szCs w:val="18"/>
                <w:lang w:val="en-AU"/>
              </w:rPr>
              <w:t>Guided Weapons and Explosive Ordnance Group’s acquisition services to Defence for both major and minor capital equipment.</w:t>
            </w:r>
          </w:p>
        </w:tc>
      </w:tr>
      <w:tr w:rsidR="00EC7F46" w:rsidRPr="0094625E" w14:paraId="6B74BF3E" w14:textId="77777777" w:rsidTr="00EC7F46">
        <w:trPr>
          <w:cantSplit/>
          <w:trHeight w:val="94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7FFE93F" w14:textId="77777777" w:rsidR="00EC7F46" w:rsidRPr="0094625E" w:rsidRDefault="00EC7F46" w:rsidP="00EC7F46">
            <w:pPr>
              <w:pStyle w:val="HeadingRunIn"/>
              <w:keepNext w:val="0"/>
              <w:suppressAutoHyphens/>
              <w:spacing w:before="10" w:after="48" w:line="220" w:lineRule="atLeast"/>
              <w:rPr>
                <w:rFonts w:ascii="Arial" w:hAnsi="Arial" w:cs="Arial"/>
                <w:b w:val="0"/>
                <w:bCs w:val="0"/>
                <w:w w:val="100"/>
                <w:sz w:val="18"/>
                <w:szCs w:val="18"/>
                <w:lang w:val="en-AU"/>
              </w:rPr>
            </w:pPr>
            <w:r w:rsidRPr="0094625E">
              <w:rPr>
                <w:rFonts w:ascii="Arial" w:hAnsi="Arial" w:cs="Arial"/>
                <w:b w:val="0"/>
                <w:bCs w:val="0"/>
                <w:w w:val="100"/>
                <w:sz w:val="18"/>
                <w:szCs w:val="18"/>
                <w:lang w:val="en-AU"/>
              </w:rPr>
              <w:t>Materiel Sustainment Agreements</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1FA3D6D0" w14:textId="77777777" w:rsidR="00EC7F46" w:rsidRPr="0094625E" w:rsidRDefault="00EC7F46" w:rsidP="00EC7F46">
            <w:pPr>
              <w:pStyle w:val="HeadingRunIn"/>
              <w:keepNext w:val="0"/>
              <w:suppressAutoHyphens/>
              <w:spacing w:before="10" w:after="48" w:line="220" w:lineRule="atLeast"/>
              <w:rPr>
                <w:rFonts w:ascii="Arial" w:hAnsi="Arial" w:cs="Arial"/>
                <w:b w:val="0"/>
                <w:bCs w:val="0"/>
                <w:w w:val="100"/>
                <w:sz w:val="18"/>
                <w:szCs w:val="18"/>
                <w:lang w:val="en-AU"/>
              </w:rPr>
            </w:pPr>
            <w:r w:rsidRPr="0094625E">
              <w:rPr>
                <w:rFonts w:ascii="Arial" w:hAnsi="Arial" w:cs="Arial"/>
                <w:b w:val="0"/>
                <w:bCs w:val="0"/>
                <w:w w:val="100"/>
                <w:sz w:val="18"/>
                <w:szCs w:val="18"/>
                <w:lang w:val="en-AU"/>
              </w:rPr>
              <w:t>Materiel Sustainment Agreements are between the Capability Managers and the Deputy Secretary Capability Acquisition and Sustainment, Deputy Secretary Naval Shipbuilding and Sustainment or Chief Guided Weapons and Explosive Ordnance. These agreements cover the sustainment of current capability, including good and services such as repairs, maintenance, fuel and explosive ordnance.</w:t>
            </w:r>
          </w:p>
        </w:tc>
      </w:tr>
      <w:tr w:rsidR="00EC7F46" w:rsidRPr="0094625E" w14:paraId="12FB713E" w14:textId="77777777" w:rsidTr="00EC7F46">
        <w:trPr>
          <w:cantSplit/>
          <w:trHeight w:val="50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78D98F44"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Military response options</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4D5A0EED"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A set of generic tasks that describe the range of military options the Government could consider as a basis for a response to a particular situation or contingency.</w:t>
            </w:r>
          </w:p>
        </w:tc>
      </w:tr>
      <w:tr w:rsidR="00EC7F46" w:rsidRPr="0094625E" w14:paraId="7FBEB7FC" w14:textId="77777777" w:rsidTr="00EC7F46">
        <w:trPr>
          <w:cantSplit/>
          <w:trHeight w:val="28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53341484"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Net assets</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1003E040"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See Equity.</w:t>
            </w:r>
          </w:p>
        </w:tc>
      </w:tr>
      <w:tr w:rsidR="00EC7F46" w:rsidRPr="0094625E" w14:paraId="015C34FF" w14:textId="77777777" w:rsidTr="00EC7F46">
        <w:trPr>
          <w:cantSplit/>
          <w:trHeight w:val="28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52A53C5A" w14:textId="77777777" w:rsidR="00EC7F46" w:rsidRPr="0094625E" w:rsidRDefault="00EC7F46" w:rsidP="00EC7F46">
            <w:pPr>
              <w:pStyle w:val="HeadingRunIn"/>
              <w:keepNext w:val="0"/>
              <w:suppressAutoHyphens/>
              <w:spacing w:before="10" w:after="48" w:line="220" w:lineRule="atLeast"/>
              <w:rPr>
                <w:rFonts w:ascii="Arial" w:hAnsi="Arial" w:cs="Arial"/>
                <w:b w:val="0"/>
                <w:bCs w:val="0"/>
                <w:w w:val="100"/>
                <w:sz w:val="18"/>
                <w:szCs w:val="18"/>
                <w:lang w:val="en-AU"/>
              </w:rPr>
            </w:pPr>
            <w:r w:rsidRPr="0094625E">
              <w:rPr>
                <w:rFonts w:ascii="Arial" w:hAnsi="Arial" w:cs="Arial"/>
                <w:b w:val="0"/>
                <w:bCs w:val="0"/>
                <w:w w:val="100"/>
                <w:sz w:val="18"/>
                <w:szCs w:val="18"/>
                <w:lang w:val="en-AU"/>
              </w:rPr>
              <w:t>Net Cash Funding</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80921A3" w14:textId="77777777" w:rsidR="00EC7F46" w:rsidRPr="0094625E" w:rsidRDefault="00EC7F46" w:rsidP="00EC7F46">
            <w:pPr>
              <w:pStyle w:val="HeadingRunIn"/>
              <w:keepNext w:val="0"/>
              <w:suppressAutoHyphens/>
              <w:spacing w:before="10" w:after="48" w:line="220" w:lineRule="atLeast"/>
              <w:rPr>
                <w:rFonts w:ascii="Arial" w:hAnsi="Arial" w:cs="Arial"/>
                <w:b w:val="0"/>
                <w:bCs w:val="0"/>
                <w:w w:val="100"/>
                <w:sz w:val="18"/>
                <w:szCs w:val="18"/>
                <w:lang w:val="en-AU"/>
              </w:rPr>
            </w:pPr>
            <w:r w:rsidRPr="0094625E">
              <w:rPr>
                <w:rFonts w:ascii="Arial" w:hAnsi="Arial" w:cs="Arial"/>
                <w:b w:val="0"/>
                <w:bCs w:val="0"/>
                <w:w w:val="100"/>
                <w:sz w:val="18"/>
                <w:szCs w:val="18"/>
                <w:lang w:val="en-AU"/>
              </w:rPr>
              <w:t>Under the net cash appropriation framework, Defence receives an operating appropriation to meet budgeted expenses (including repayment of lease liabilities and excluding asset depreciation, consumption and impairment) and equity injections to fund capital and inventory additions.</w:t>
            </w:r>
          </w:p>
        </w:tc>
      </w:tr>
      <w:tr w:rsidR="00EC7F46" w:rsidRPr="0094625E" w14:paraId="1AC49296" w14:textId="77777777" w:rsidTr="00EC7F46">
        <w:trPr>
          <w:cantSplit/>
          <w:trHeight w:val="28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4969D8C1"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Operating result</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7CAD2DD7"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Equals revenue less expense.</w:t>
            </w:r>
          </w:p>
        </w:tc>
      </w:tr>
      <w:tr w:rsidR="00EC7F46" w:rsidRPr="0094625E" w14:paraId="1DB81D98" w14:textId="77777777" w:rsidTr="00EC7F46">
        <w:trPr>
          <w:cantSplit/>
          <w:trHeight w:val="138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0238332D"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Operational tempo</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410FFF0B"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The rate at which the ADF is able to deliver its operations effects, for example, the rate at which forces are dispatched and the time in which they are turned around for their next task. At the local level, this might translate to the crew of an aircraft spending a very small amount of time on the ground before it is re-tasked for its next mission. At the organisational level, this translates to available fighting forces spending very little time at home before they are deployed again for their next operation.</w:t>
            </w:r>
          </w:p>
        </w:tc>
      </w:tr>
      <w:tr w:rsidR="00EC7F46" w:rsidRPr="0094625E" w14:paraId="5BF22805" w14:textId="77777777" w:rsidTr="00EC7F46">
        <w:trPr>
          <w:cantSplit/>
          <w:trHeight w:val="94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3B541D78"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Outcomes</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4FB68DA"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The impact that Government seeks from Defence, and are achieved by the successful delivery of its outcomes, to the standards set in the Portfolio Budget Statements. For more information, see Section 2 – Planned Outcome Performance.</w:t>
            </w:r>
          </w:p>
        </w:tc>
      </w:tr>
      <w:tr w:rsidR="00EC7F46" w:rsidRPr="0094625E" w14:paraId="7B4000AE" w14:textId="77777777" w:rsidTr="00EC7F46">
        <w:trPr>
          <w:cantSplit/>
          <w:trHeight w:val="28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73F623D3"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Permanent forces</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44C957F4"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The permanent Navy, the regular Army and the permanent Air Force.</w:t>
            </w:r>
          </w:p>
        </w:tc>
      </w:tr>
      <w:tr w:rsidR="00EC7F46" w:rsidRPr="0094625E" w14:paraId="380821C5" w14:textId="77777777" w:rsidTr="00EC7F46">
        <w:trPr>
          <w:cantSplit/>
          <w:trHeight w:val="50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616719A1"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Platforms</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4B4F3098"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Refers to air, land, surface or sub-surface assets that are discrete and taskable elements within the ADF.</w:t>
            </w:r>
          </w:p>
        </w:tc>
      </w:tr>
      <w:tr w:rsidR="00EC7F46" w:rsidRPr="0094625E" w14:paraId="5E80261C" w14:textId="77777777" w:rsidTr="00EC7F46">
        <w:trPr>
          <w:cantSplit/>
          <w:trHeight w:val="72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B044148"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Portfolio Additional Estimates Statements</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5D494245"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Similar to the portfolio budget statements and prepared at Additional Estimates time to support and update on the Government’s original annual budget for Defence.</w:t>
            </w:r>
          </w:p>
        </w:tc>
      </w:tr>
      <w:tr w:rsidR="00EC7F46" w:rsidRPr="0094625E" w14:paraId="3A57453B" w14:textId="77777777" w:rsidTr="00EC7F46">
        <w:trPr>
          <w:cantSplit/>
          <w:trHeight w:val="116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7542E03A"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lastRenderedPageBreak/>
              <w:t>Portfolio Budget Statements</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1A10C08"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The document presented by the Minister for Defence to Parliament to inform Senators and Members of the basis for the Defence budget appropriations in support of the provisions in Appropriations Bills 1 and 2. The statements summarise the Defence budget and provide detail of outcome performance forecasts and resources in order to justify expenditure for Defence.</w:t>
            </w:r>
          </w:p>
        </w:tc>
      </w:tr>
      <w:tr w:rsidR="00EC7F46" w:rsidRPr="0094625E" w14:paraId="71D7FF37" w14:textId="77777777" w:rsidTr="00EC7F46">
        <w:trPr>
          <w:cantSplit/>
          <w:trHeight w:val="50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4107B65C"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Price</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5FEBBDAA"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One of the three key efficiency indicators. The amount the Government or the community pays for the delivery of agreed outputs.</w:t>
            </w:r>
          </w:p>
        </w:tc>
      </w:tr>
      <w:tr w:rsidR="00EC7F46" w:rsidRPr="0094625E" w14:paraId="1E49898F" w14:textId="77777777" w:rsidTr="00EC7F46">
        <w:trPr>
          <w:cantSplit/>
          <w:trHeight w:val="50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0666E6BB" w14:textId="77777777" w:rsidR="00EC7F46" w:rsidRPr="0094625E" w:rsidRDefault="00EC7F46" w:rsidP="00EC7F46">
            <w:pPr>
              <w:pStyle w:val="HeadingRunIn"/>
              <w:keepNext w:val="0"/>
              <w:suppressAutoHyphens/>
              <w:spacing w:before="10" w:after="48" w:line="220" w:lineRule="atLeast"/>
              <w:rPr>
                <w:rFonts w:ascii="Arial" w:hAnsi="Arial" w:cs="Arial"/>
                <w:b w:val="0"/>
                <w:bCs w:val="0"/>
                <w:i/>
                <w:color w:val="auto"/>
                <w:w w:val="100"/>
                <w:sz w:val="18"/>
                <w:szCs w:val="18"/>
                <w:lang w:val="en-AU"/>
              </w:rPr>
            </w:pPr>
            <w:r w:rsidRPr="0094625E">
              <w:rPr>
                <w:rFonts w:ascii="Arial" w:hAnsi="Arial" w:cs="Arial"/>
                <w:b w:val="0"/>
                <w:bCs w:val="0"/>
                <w:i/>
                <w:color w:val="auto"/>
                <w:w w:val="100"/>
                <w:sz w:val="18"/>
                <w:szCs w:val="18"/>
                <w:lang w:val="en-AU"/>
              </w:rPr>
              <w:t>Public Governance, Performance and Accountability Act 2013</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34AE5040" w14:textId="77777777" w:rsidR="00EC7F46" w:rsidRPr="0094625E" w:rsidRDefault="00EC7F46" w:rsidP="00EC7F46">
            <w:pPr>
              <w:pStyle w:val="HeadingRunIn"/>
              <w:keepNext w:val="0"/>
              <w:suppressAutoHyphens/>
              <w:spacing w:before="10" w:after="48" w:line="220" w:lineRule="atLeast"/>
              <w:rPr>
                <w:rFonts w:ascii="Arial" w:hAnsi="Arial" w:cs="Arial"/>
                <w:b w:val="0"/>
                <w:bCs w:val="0"/>
                <w:w w:val="100"/>
                <w:sz w:val="18"/>
                <w:szCs w:val="18"/>
                <w:lang w:val="en-AU"/>
              </w:rPr>
            </w:pPr>
            <w:r w:rsidRPr="0094625E">
              <w:rPr>
                <w:rFonts w:ascii="Arial" w:hAnsi="Arial" w:cs="Arial"/>
                <w:b w:val="0"/>
                <w:bCs w:val="0"/>
                <w:w w:val="100"/>
                <w:sz w:val="18"/>
                <w:szCs w:val="18"/>
                <w:lang w:val="en-AU"/>
              </w:rPr>
              <w:t>The</w:t>
            </w:r>
            <w:r w:rsidRPr="0094625E">
              <w:rPr>
                <w:rFonts w:ascii="Arial" w:hAnsi="Arial" w:cs="Arial"/>
                <w:b w:val="0"/>
                <w:bCs w:val="0"/>
                <w:i/>
                <w:w w:val="100"/>
                <w:sz w:val="18"/>
                <w:szCs w:val="18"/>
                <w:lang w:val="en-AU"/>
              </w:rPr>
              <w:t xml:space="preserve"> Public Governance, Performance and Accountability Act 2013 </w:t>
            </w:r>
            <w:r w:rsidRPr="0094625E">
              <w:rPr>
                <w:rFonts w:ascii="Arial" w:hAnsi="Arial" w:cs="Arial"/>
                <w:b w:val="0"/>
                <w:bCs w:val="0"/>
                <w:w w:val="100"/>
                <w:sz w:val="18"/>
                <w:szCs w:val="18"/>
                <w:lang w:val="en-AU"/>
              </w:rPr>
              <w:t xml:space="preserve">replaced the </w:t>
            </w:r>
            <w:r w:rsidRPr="0094625E">
              <w:rPr>
                <w:rFonts w:ascii="Arial" w:hAnsi="Arial" w:cs="Arial"/>
                <w:b w:val="0"/>
                <w:bCs w:val="0"/>
                <w:i/>
                <w:w w:val="100"/>
                <w:sz w:val="18"/>
                <w:szCs w:val="18"/>
                <w:lang w:val="en-AU"/>
              </w:rPr>
              <w:t xml:space="preserve">Financial Management and Accountability Act 1997 </w:t>
            </w:r>
            <w:r w:rsidRPr="0094625E">
              <w:rPr>
                <w:rFonts w:ascii="Arial" w:hAnsi="Arial" w:cs="Arial"/>
                <w:b w:val="0"/>
                <w:bCs w:val="0"/>
                <w:w w:val="100"/>
                <w:sz w:val="18"/>
                <w:szCs w:val="18"/>
                <w:lang w:val="en-AU"/>
              </w:rPr>
              <w:t xml:space="preserve">and the </w:t>
            </w:r>
            <w:r w:rsidRPr="0094625E">
              <w:rPr>
                <w:rFonts w:ascii="Arial" w:hAnsi="Arial" w:cs="Arial"/>
                <w:b w:val="0"/>
                <w:bCs w:val="0"/>
                <w:i/>
                <w:w w:val="100"/>
                <w:sz w:val="18"/>
                <w:szCs w:val="18"/>
                <w:lang w:val="en-AU"/>
              </w:rPr>
              <w:t>Commonwealth Authorities and Companies Act 1997</w:t>
            </w:r>
            <w:r w:rsidRPr="0094625E">
              <w:rPr>
                <w:rFonts w:ascii="Arial" w:hAnsi="Arial" w:cs="Arial"/>
                <w:b w:val="0"/>
                <w:bCs w:val="0"/>
                <w:w w:val="100"/>
                <w:sz w:val="18"/>
                <w:szCs w:val="18"/>
                <w:lang w:val="en-AU"/>
              </w:rPr>
              <w:t>. The PGPA Act seeks to improve the standard of planning and performance reporting for all Commonwealth entities so that Parliament and the Australian community can better understand how public resources are being used to meet Government policy direction.</w:t>
            </w:r>
          </w:p>
        </w:tc>
      </w:tr>
      <w:tr w:rsidR="00EC7F46" w:rsidRPr="0094625E" w14:paraId="491B1FF6" w14:textId="77777777" w:rsidTr="00EC7F46">
        <w:trPr>
          <w:cantSplit/>
          <w:trHeight w:val="72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062EF26B"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Purchaser-provider arrangements</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5216A094"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Arrangements under which the outputs of one entity are purchased by another entity to contribute to outcomes. Purchaser-provider arrangements can occur between Commonwealth agencies and state/territory government or private sector bodies.</w:t>
            </w:r>
          </w:p>
        </w:tc>
      </w:tr>
      <w:tr w:rsidR="00EC7F46" w:rsidRPr="0094625E" w14:paraId="12FF24F3" w14:textId="77777777" w:rsidTr="00EC7F46">
        <w:trPr>
          <w:cantSplit/>
          <w:trHeight w:val="94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30A6042C"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Quality</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6BFAE3B9"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One of the three key efficiency indicators. Relates to the characteristics by which customers or stakeholders judge an organisation, product or service. Assessment of quality involves use of information gathered from interested parties to identify differences between user's expectations and experiences.</w:t>
            </w:r>
          </w:p>
        </w:tc>
      </w:tr>
      <w:tr w:rsidR="00EC7F46" w:rsidRPr="0094625E" w14:paraId="49771A69" w14:textId="77777777" w:rsidTr="00EC7F46">
        <w:trPr>
          <w:cantSplit/>
          <w:trHeight w:val="50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613931C0"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Quantity</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6A368AC8"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One of the three key efficiency indicators. Examples include: the size of an output; count or volume measures; how many or how much.</w:t>
            </w:r>
          </w:p>
        </w:tc>
      </w:tr>
      <w:tr w:rsidR="00EC7F46" w:rsidRPr="0094625E" w14:paraId="3206C0C2" w14:textId="77777777" w:rsidTr="00EC7F46">
        <w:trPr>
          <w:cantSplit/>
          <w:trHeight w:val="72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793CFC5E"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Readiness</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33AA9444"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The readiness of forces to be committed to operations within a specified time, dependent on the availability and proficiency of personnel, equipment, facilities and consumables.</w:t>
            </w:r>
          </w:p>
        </w:tc>
      </w:tr>
      <w:tr w:rsidR="00EC7F46" w:rsidRPr="0094625E" w14:paraId="03633703" w14:textId="77777777" w:rsidTr="00EC7F46">
        <w:trPr>
          <w:cantSplit/>
          <w:trHeight w:val="28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481D93F7"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Reserves</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31C23B21"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The Naval Reserve, the Army Reserve and the Air Force Reserve.</w:t>
            </w:r>
          </w:p>
        </w:tc>
      </w:tr>
      <w:tr w:rsidR="00EC7F46" w:rsidRPr="0094625E" w14:paraId="319B0767" w14:textId="77777777" w:rsidTr="00EC7F46">
        <w:trPr>
          <w:cantSplit/>
          <w:trHeight w:val="94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10420F49"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Revenues</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515128E7"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Inflows or other enhancements, or savings in outflows, of future economic benefits in the form of increases in assets or reductions in liabilities of Defence, other than those relating to contributions by the Commonwealth, that result in an increase in equity during the reporting period.</w:t>
            </w:r>
          </w:p>
        </w:tc>
      </w:tr>
      <w:tr w:rsidR="00EC7F46" w:rsidRPr="0094625E" w14:paraId="1B51BF13" w14:textId="77777777" w:rsidTr="00EC7F46">
        <w:trPr>
          <w:cantSplit/>
          <w:trHeight w:val="72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377B9F6"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Risk management</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4325C70B"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At the highest level, involves the identification and mitigation of those risks that have the potential to adversely affect the achievement of agreed outcome performance at the agreed outcome price.</w:t>
            </w:r>
          </w:p>
        </w:tc>
      </w:tr>
      <w:tr w:rsidR="00EC7F46" w:rsidRPr="0094625E" w14:paraId="1BD2EC7B" w14:textId="77777777" w:rsidTr="00EC7F46">
        <w:trPr>
          <w:cantSplit/>
          <w:trHeight w:val="551"/>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A1BF9B8"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6"/>
              </w:rPr>
            </w:pPr>
            <w:r w:rsidRPr="0094625E">
              <w:rPr>
                <w:rFonts w:ascii="Arial" w:hAnsi="Arial" w:cs="Arial"/>
                <w:b w:val="0"/>
                <w:bCs w:val="0"/>
                <w:sz w:val="18"/>
                <w:szCs w:val="16"/>
              </w:rPr>
              <w:t>Service</w:t>
            </w:r>
          </w:p>
          <w:p w14:paraId="0E47DC11" w14:textId="77777777" w:rsidR="00EC7F46" w:rsidRPr="0094625E" w:rsidRDefault="00EC7F46" w:rsidP="00EC7F46">
            <w:pPr>
              <w:pStyle w:val="HeadingRunIn"/>
              <w:keepNext w:val="0"/>
              <w:suppressAutoHyphens/>
              <w:spacing w:before="10" w:after="48" w:line="220" w:lineRule="atLeast"/>
              <w:rPr>
                <w:rFonts w:ascii="Arial" w:hAnsi="Arial" w:cs="Arial"/>
                <w:b w:val="0"/>
                <w:bCs w:val="0"/>
                <w:w w:val="100"/>
                <w:sz w:val="18"/>
                <w:szCs w:val="18"/>
                <w:lang w:val="en-AU"/>
              </w:rPr>
            </w:pPr>
            <w:r w:rsidRPr="0094625E">
              <w:rPr>
                <w:rFonts w:ascii="Arial" w:hAnsi="Arial" w:cs="Arial"/>
                <w:b w:val="0"/>
                <w:bCs w:val="0"/>
                <w:sz w:val="18"/>
                <w:szCs w:val="16"/>
              </w:rPr>
              <w:t>Category 2</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75D231F1" w14:textId="77777777" w:rsidR="00EC7F46" w:rsidRPr="0094625E" w:rsidRDefault="00EC7F46" w:rsidP="00EC7F46">
            <w:pPr>
              <w:pStyle w:val="HeadingRunIn"/>
              <w:keepNext w:val="0"/>
              <w:suppressAutoHyphens/>
              <w:spacing w:before="10" w:after="48" w:line="220" w:lineRule="atLeast"/>
              <w:rPr>
                <w:rFonts w:ascii="Arial" w:hAnsi="Arial" w:cs="Arial"/>
                <w:b w:val="0"/>
                <w:w w:val="100"/>
                <w:sz w:val="18"/>
                <w:szCs w:val="18"/>
                <w:lang w:val="en-AU"/>
              </w:rPr>
            </w:pPr>
            <w:r w:rsidRPr="0094625E">
              <w:rPr>
                <w:rFonts w:ascii="Arial" w:hAnsi="Arial" w:cs="Arial"/>
                <w:b w:val="0"/>
                <w:bCs w:val="0"/>
                <w:sz w:val="18"/>
                <w:szCs w:val="16"/>
              </w:rPr>
              <w:t>Reserve members who do not render service, although retain a liability to be ‘called out’ in specific circumstances, should this be required.</w:t>
            </w:r>
          </w:p>
        </w:tc>
      </w:tr>
      <w:tr w:rsidR="00EC7F46" w:rsidRPr="0094625E" w14:paraId="23A59729" w14:textId="77777777" w:rsidTr="00EC7F46">
        <w:trPr>
          <w:cantSplit/>
          <w:trHeight w:val="991"/>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05C6DCF7"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6"/>
              </w:rPr>
            </w:pPr>
            <w:r w:rsidRPr="0094625E">
              <w:rPr>
                <w:rFonts w:ascii="Arial" w:hAnsi="Arial" w:cs="Arial"/>
                <w:b w:val="0"/>
                <w:bCs w:val="0"/>
                <w:sz w:val="18"/>
                <w:szCs w:val="16"/>
              </w:rPr>
              <w:t>Service</w:t>
            </w:r>
          </w:p>
          <w:p w14:paraId="39179EA3" w14:textId="77777777" w:rsidR="00EC7F46" w:rsidRPr="0094625E" w:rsidRDefault="00EC7F46" w:rsidP="00EC7F46">
            <w:pPr>
              <w:pStyle w:val="HeadingRunIn"/>
              <w:keepNext w:val="0"/>
              <w:suppressAutoHyphens/>
              <w:spacing w:before="10" w:after="48" w:line="220" w:lineRule="atLeast"/>
              <w:rPr>
                <w:rFonts w:ascii="Arial" w:hAnsi="Arial" w:cs="Arial"/>
                <w:b w:val="0"/>
                <w:bCs w:val="0"/>
                <w:w w:val="100"/>
                <w:sz w:val="18"/>
                <w:szCs w:val="18"/>
                <w:lang w:val="en-AU"/>
              </w:rPr>
            </w:pPr>
            <w:r w:rsidRPr="0094625E">
              <w:rPr>
                <w:rFonts w:ascii="Arial" w:hAnsi="Arial" w:cs="Arial"/>
                <w:b w:val="0"/>
                <w:bCs w:val="0"/>
                <w:sz w:val="18"/>
                <w:szCs w:val="16"/>
              </w:rPr>
              <w:t>Category 3</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5A2DA1D0" w14:textId="77777777" w:rsidR="00EC7F46" w:rsidRPr="0094625E" w:rsidRDefault="00EC7F46" w:rsidP="00EC7F46">
            <w:pPr>
              <w:pStyle w:val="HeadingRunIn"/>
              <w:keepNext w:val="0"/>
              <w:suppressAutoHyphens/>
              <w:spacing w:before="10" w:after="48" w:line="220" w:lineRule="atLeast"/>
              <w:rPr>
                <w:rFonts w:ascii="Arial" w:hAnsi="Arial" w:cs="Arial"/>
                <w:b w:val="0"/>
                <w:w w:val="100"/>
                <w:sz w:val="18"/>
                <w:szCs w:val="18"/>
                <w:lang w:val="en-AU"/>
              </w:rPr>
            </w:pPr>
            <w:r w:rsidRPr="0094625E">
              <w:rPr>
                <w:rFonts w:ascii="Arial" w:hAnsi="Arial" w:cs="Arial"/>
                <w:b w:val="0"/>
                <w:bCs w:val="0"/>
                <w:sz w:val="18"/>
                <w:szCs w:val="16"/>
              </w:rPr>
              <w:t>Reserve members who are available for voluntary service, or are rendering service. This category applies to Reservists who provide service to undertake a specified tasking, normally for short tenures and generally within a financial year.</w:t>
            </w:r>
          </w:p>
        </w:tc>
      </w:tr>
      <w:tr w:rsidR="00EC7F46" w:rsidRPr="0094625E" w14:paraId="26543F00" w14:textId="77777777" w:rsidTr="00EC7F46">
        <w:trPr>
          <w:cantSplit/>
          <w:trHeight w:val="383"/>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2A4B745"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6"/>
              </w:rPr>
            </w:pPr>
            <w:r w:rsidRPr="0094625E">
              <w:rPr>
                <w:rFonts w:ascii="Arial" w:hAnsi="Arial" w:cs="Arial"/>
                <w:b w:val="0"/>
                <w:bCs w:val="0"/>
                <w:sz w:val="18"/>
                <w:szCs w:val="16"/>
              </w:rPr>
              <w:t>Service</w:t>
            </w:r>
          </w:p>
          <w:p w14:paraId="24178E76" w14:textId="77777777" w:rsidR="00EC7F46" w:rsidRPr="0094625E" w:rsidRDefault="00EC7F46" w:rsidP="00EC7F46">
            <w:pPr>
              <w:pStyle w:val="HeadingRunIn"/>
              <w:keepNext w:val="0"/>
              <w:suppressAutoHyphens/>
              <w:spacing w:before="10" w:after="48" w:line="220" w:lineRule="atLeast"/>
              <w:rPr>
                <w:rFonts w:ascii="Arial" w:hAnsi="Arial" w:cs="Arial"/>
                <w:b w:val="0"/>
                <w:bCs w:val="0"/>
                <w:w w:val="100"/>
                <w:sz w:val="18"/>
                <w:szCs w:val="18"/>
                <w:lang w:val="en-AU"/>
              </w:rPr>
            </w:pPr>
            <w:r w:rsidRPr="0094625E">
              <w:rPr>
                <w:rFonts w:ascii="Arial" w:hAnsi="Arial" w:cs="Arial"/>
                <w:b w:val="0"/>
                <w:bCs w:val="0"/>
                <w:sz w:val="18"/>
                <w:szCs w:val="16"/>
              </w:rPr>
              <w:t>Category 4</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36C107C7" w14:textId="77777777" w:rsidR="00EC7F46" w:rsidRPr="0094625E" w:rsidRDefault="00EC7F46" w:rsidP="00EC7F46">
            <w:pPr>
              <w:pStyle w:val="HeadingRunIn"/>
              <w:keepNext w:val="0"/>
              <w:suppressAutoHyphens/>
              <w:spacing w:before="10" w:after="48" w:line="220" w:lineRule="atLeast"/>
              <w:rPr>
                <w:rFonts w:ascii="Arial" w:hAnsi="Arial" w:cs="Arial"/>
                <w:b w:val="0"/>
                <w:w w:val="100"/>
                <w:sz w:val="18"/>
                <w:szCs w:val="18"/>
                <w:lang w:val="en-AU"/>
              </w:rPr>
            </w:pPr>
            <w:r w:rsidRPr="0094625E">
              <w:rPr>
                <w:rFonts w:ascii="Arial" w:hAnsi="Arial" w:cs="Arial"/>
                <w:b w:val="0"/>
                <w:bCs w:val="0"/>
                <w:sz w:val="18"/>
                <w:szCs w:val="16"/>
              </w:rPr>
              <w:t>Reserve members who are available for voluntary service at short notice. This service category replaces the High Readiness Reserve.</w:t>
            </w:r>
          </w:p>
        </w:tc>
      </w:tr>
      <w:tr w:rsidR="00EC7F46" w:rsidRPr="0094625E" w14:paraId="2A7C5534" w14:textId="77777777" w:rsidTr="00EC7F46">
        <w:trPr>
          <w:cantSplit/>
          <w:trHeight w:val="547"/>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0901B773"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6"/>
              </w:rPr>
            </w:pPr>
            <w:r w:rsidRPr="0094625E">
              <w:rPr>
                <w:rFonts w:ascii="Arial" w:hAnsi="Arial" w:cs="Arial"/>
                <w:b w:val="0"/>
                <w:bCs w:val="0"/>
                <w:sz w:val="18"/>
                <w:szCs w:val="16"/>
              </w:rPr>
              <w:t>Service</w:t>
            </w:r>
          </w:p>
          <w:p w14:paraId="21E75F17" w14:textId="77777777" w:rsidR="00EC7F46" w:rsidRPr="0094625E" w:rsidRDefault="00EC7F46" w:rsidP="00EC7F46">
            <w:pPr>
              <w:pStyle w:val="HeadingRunIn"/>
              <w:keepNext w:val="0"/>
              <w:suppressAutoHyphens/>
              <w:spacing w:before="10" w:after="48" w:line="220" w:lineRule="atLeast"/>
              <w:rPr>
                <w:rFonts w:ascii="Arial" w:hAnsi="Arial" w:cs="Arial"/>
                <w:b w:val="0"/>
                <w:bCs w:val="0"/>
                <w:w w:val="100"/>
                <w:sz w:val="18"/>
                <w:szCs w:val="18"/>
                <w:lang w:val="en-AU"/>
              </w:rPr>
            </w:pPr>
            <w:r w:rsidRPr="0094625E">
              <w:rPr>
                <w:rFonts w:ascii="Arial" w:hAnsi="Arial" w:cs="Arial"/>
                <w:b w:val="0"/>
                <w:bCs w:val="0"/>
                <w:sz w:val="18"/>
                <w:szCs w:val="16"/>
              </w:rPr>
              <w:t>Category 5</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4437C48E" w14:textId="77777777" w:rsidR="00EC7F46" w:rsidRPr="0094625E" w:rsidRDefault="00EC7F46" w:rsidP="00EC7F46">
            <w:pPr>
              <w:pStyle w:val="HeadingRunIn"/>
              <w:keepNext w:val="0"/>
              <w:suppressAutoHyphens/>
              <w:spacing w:before="10" w:after="48" w:line="220" w:lineRule="atLeast"/>
              <w:rPr>
                <w:rFonts w:ascii="Arial" w:hAnsi="Arial" w:cs="Arial"/>
                <w:b w:val="0"/>
                <w:w w:val="100"/>
                <w:sz w:val="18"/>
                <w:szCs w:val="18"/>
                <w:lang w:val="en-AU"/>
              </w:rPr>
            </w:pPr>
            <w:r w:rsidRPr="0094625E">
              <w:rPr>
                <w:rFonts w:ascii="Arial" w:hAnsi="Arial" w:cs="Arial"/>
                <w:b w:val="0"/>
                <w:bCs w:val="0"/>
                <w:sz w:val="18"/>
                <w:szCs w:val="16"/>
              </w:rPr>
              <w:t>Reservists who are providing voluntary service characterised by stability in terms of a specific pattern of service and the number of days to be served.</w:t>
            </w:r>
          </w:p>
        </w:tc>
      </w:tr>
      <w:tr w:rsidR="00EC7F46" w:rsidRPr="0094625E" w14:paraId="5E782152" w14:textId="77777777" w:rsidTr="00EC7F46">
        <w:trPr>
          <w:cantSplit/>
          <w:trHeight w:val="697"/>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7EDD68A7"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6"/>
              </w:rPr>
            </w:pPr>
            <w:r w:rsidRPr="0094625E">
              <w:rPr>
                <w:rFonts w:ascii="Arial" w:hAnsi="Arial" w:cs="Arial"/>
                <w:b w:val="0"/>
                <w:bCs w:val="0"/>
                <w:sz w:val="18"/>
                <w:szCs w:val="16"/>
              </w:rPr>
              <w:lastRenderedPageBreak/>
              <w:t>Service Categories</w:t>
            </w:r>
          </w:p>
          <w:p w14:paraId="0F04DACA" w14:textId="77777777" w:rsidR="00EC7F46" w:rsidRPr="0094625E" w:rsidRDefault="00EC7F46" w:rsidP="00EC7F46">
            <w:pPr>
              <w:pStyle w:val="HeadingRunIn"/>
              <w:keepNext w:val="0"/>
              <w:suppressAutoHyphens/>
              <w:spacing w:before="10" w:after="48" w:line="220" w:lineRule="atLeast"/>
              <w:rPr>
                <w:rFonts w:ascii="Arial" w:hAnsi="Arial" w:cs="Arial"/>
                <w:b w:val="0"/>
                <w:bCs w:val="0"/>
                <w:w w:val="100"/>
                <w:sz w:val="18"/>
                <w:szCs w:val="18"/>
                <w:lang w:val="en-AU"/>
              </w:rPr>
            </w:pPr>
            <w:r w:rsidRPr="0094625E">
              <w:rPr>
                <w:rFonts w:ascii="Arial" w:hAnsi="Arial" w:cs="Arial"/>
                <w:b w:val="0"/>
                <w:bCs w:val="0"/>
                <w:sz w:val="18"/>
                <w:szCs w:val="16"/>
              </w:rPr>
              <w:t>7 and 6</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484A1E45" w14:textId="77777777" w:rsidR="00EC7F46" w:rsidRPr="0094625E" w:rsidRDefault="00EC7F46" w:rsidP="00EC7F46">
            <w:pPr>
              <w:pStyle w:val="HeadingRunIn"/>
              <w:keepNext w:val="0"/>
              <w:suppressAutoHyphens/>
              <w:spacing w:before="10" w:after="48" w:line="220" w:lineRule="atLeast"/>
              <w:rPr>
                <w:rFonts w:ascii="Arial" w:hAnsi="Arial" w:cs="Arial"/>
                <w:b w:val="0"/>
                <w:w w:val="100"/>
                <w:sz w:val="18"/>
                <w:szCs w:val="18"/>
                <w:lang w:val="en-AU"/>
              </w:rPr>
            </w:pPr>
            <w:r w:rsidRPr="0094625E">
              <w:rPr>
                <w:rFonts w:ascii="Arial" w:hAnsi="Arial" w:cs="Arial"/>
                <w:b w:val="0"/>
                <w:bCs w:val="0"/>
                <w:sz w:val="18"/>
                <w:szCs w:val="16"/>
              </w:rPr>
              <w:t>Permanent ADF personnel with Service Category 6 being a permanent part time service option.</w:t>
            </w:r>
          </w:p>
        </w:tc>
      </w:tr>
      <w:tr w:rsidR="00EC7F46" w:rsidRPr="0094625E" w14:paraId="0C127A52" w14:textId="77777777" w:rsidTr="00EC7F46">
        <w:trPr>
          <w:cantSplit/>
          <w:trHeight w:val="794"/>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41A321FA" w14:textId="77777777" w:rsidR="00EC7F46" w:rsidRPr="0094625E" w:rsidRDefault="00EC7F46" w:rsidP="00EC7F46">
            <w:pPr>
              <w:pStyle w:val="HeadingRunIn"/>
              <w:keepNext w:val="0"/>
              <w:suppressAutoHyphens/>
              <w:spacing w:before="10" w:after="48" w:line="220" w:lineRule="atLeast"/>
              <w:rPr>
                <w:rFonts w:ascii="Arial" w:hAnsi="Arial" w:cs="Arial"/>
                <w:b w:val="0"/>
                <w:bCs w:val="0"/>
                <w:w w:val="100"/>
                <w:sz w:val="18"/>
                <w:szCs w:val="18"/>
                <w:lang w:val="en-AU"/>
              </w:rPr>
            </w:pPr>
            <w:r w:rsidRPr="0094625E">
              <w:rPr>
                <w:rFonts w:ascii="Arial" w:hAnsi="Arial" w:cs="Arial"/>
                <w:b w:val="0"/>
                <w:bCs w:val="0"/>
                <w:sz w:val="18"/>
                <w:szCs w:val="16"/>
              </w:rPr>
              <w:t>Service Options</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A5B4FD5" w14:textId="77777777" w:rsidR="00EC7F46" w:rsidRPr="0094625E" w:rsidRDefault="00EC7F46" w:rsidP="00EC7F46">
            <w:pPr>
              <w:pStyle w:val="HeadingRunIn"/>
              <w:keepNext w:val="0"/>
              <w:suppressAutoHyphens/>
              <w:spacing w:before="10" w:after="48" w:line="220" w:lineRule="atLeast"/>
              <w:rPr>
                <w:rFonts w:ascii="Arial" w:hAnsi="Arial" w:cs="Arial"/>
                <w:b w:val="0"/>
                <w:w w:val="100"/>
                <w:sz w:val="18"/>
                <w:szCs w:val="18"/>
                <w:lang w:val="en-AU"/>
              </w:rPr>
            </w:pPr>
            <w:r w:rsidRPr="0094625E">
              <w:rPr>
                <w:rFonts w:ascii="Arial" w:hAnsi="Arial" w:cs="Arial"/>
                <w:b w:val="0"/>
                <w:bCs w:val="0"/>
                <w:sz w:val="18"/>
                <w:szCs w:val="16"/>
              </w:rPr>
              <w:t>Group members who provide capabilities where differentiated service arrangements or conditions of service are required. For example, a Reservist undertaking continuous full time service under the Total Workforce Model now has their service in Service Category 3, 4 or 5 ‘modified’ by Service Option C (rendering continuous full time service) and personnel undertaking the ADF Gap Year program would have their service classified by Service Option G.</w:t>
            </w:r>
          </w:p>
        </w:tc>
      </w:tr>
      <w:tr w:rsidR="00EC7F46" w:rsidRPr="0094625E" w14:paraId="12F61A60" w14:textId="77777777" w:rsidTr="00EC7F46">
        <w:trPr>
          <w:cantSplit/>
          <w:trHeight w:val="454"/>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3BEB4A65"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Special account</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4C91DDC8" w14:textId="77777777" w:rsidR="00EC7F46" w:rsidRPr="0094625E" w:rsidRDefault="00EC7F46" w:rsidP="00EC7F46">
            <w:pPr>
              <w:pStyle w:val="HeadingRunIn"/>
              <w:keepNext w:val="0"/>
              <w:suppressAutoHyphens/>
              <w:spacing w:before="10" w:after="48" w:line="220" w:lineRule="atLeast"/>
              <w:rPr>
                <w:rFonts w:ascii="Arial" w:hAnsi="Arial" w:cs="Arial"/>
                <w:b w:val="0"/>
                <w:bCs w:val="0"/>
                <w:w w:val="100"/>
                <w:sz w:val="18"/>
                <w:szCs w:val="18"/>
                <w:lang w:val="en-AU"/>
              </w:rPr>
            </w:pPr>
            <w:r w:rsidRPr="0094625E">
              <w:rPr>
                <w:rFonts w:ascii="Arial" w:hAnsi="Arial" w:cs="Arial"/>
                <w:b w:val="0"/>
                <w:w w:val="100"/>
                <w:sz w:val="18"/>
                <w:szCs w:val="18"/>
                <w:lang w:val="en-AU"/>
              </w:rPr>
              <w:t>Special Accounts are an appropriation mechanism to draw money from the Consolidated Revenue Fund for particular purposes. They are not bank accounts.</w:t>
            </w:r>
          </w:p>
        </w:tc>
      </w:tr>
      <w:tr w:rsidR="00EC7F46" w:rsidRPr="0094625E" w14:paraId="54443BEC" w14:textId="77777777" w:rsidTr="00EC7F46">
        <w:trPr>
          <w:cantSplit/>
          <w:trHeight w:val="160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065E8AC1"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Special Appropriations (including Standing Appropriations)</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73FDB23A" w14:textId="77777777" w:rsidR="00EC7F46" w:rsidRPr="0094625E" w:rsidRDefault="00EC7F46" w:rsidP="00EC7F46">
            <w:pPr>
              <w:pStyle w:val="HeadingRunIn"/>
              <w:keepNext w:val="0"/>
              <w:suppressAutoHyphens/>
              <w:spacing w:before="10" w:after="48" w:line="220" w:lineRule="atLeast"/>
              <w:rPr>
                <w:rFonts w:ascii="Arial" w:hAnsi="Arial" w:cs="Arial"/>
                <w:b w:val="0"/>
                <w:bCs w:val="0"/>
                <w:w w:val="100"/>
                <w:sz w:val="18"/>
                <w:szCs w:val="18"/>
                <w:lang w:val="en-AU"/>
              </w:rPr>
            </w:pPr>
            <w:r w:rsidRPr="0094625E">
              <w:rPr>
                <w:rFonts w:ascii="Arial" w:hAnsi="Arial" w:cs="Arial"/>
                <w:b w:val="0"/>
                <w:bCs w:val="0"/>
                <w:w w:val="100"/>
                <w:sz w:val="18"/>
                <w:szCs w:val="18"/>
                <w:lang w:val="en-AU"/>
              </w:rPr>
              <w:t>An amount of money appropriated by a particular Act of Parliament for a specific purpose and number of years. For special appropriations the authority to withdraw funds from the Consolidated Revenue Fund does not generally cease at the end of the financial year.</w:t>
            </w:r>
          </w:p>
          <w:p w14:paraId="66AB4A09"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Standing appropriations are a sub</w:t>
            </w:r>
            <w:r w:rsidRPr="0094625E">
              <w:rPr>
                <w:rFonts w:ascii="Arial" w:hAnsi="Arial" w:cs="Arial"/>
                <w:b w:val="0"/>
                <w:bCs w:val="0"/>
                <w:w w:val="100"/>
                <w:sz w:val="18"/>
                <w:szCs w:val="18"/>
                <w:lang w:val="en-AU"/>
              </w:rPr>
              <w:noBreakHyphen/>
              <w:t>category consisting of ongoing special appropriations – the amount appropriated will depend on circumstances specified in the legislation.</w:t>
            </w:r>
          </w:p>
        </w:tc>
      </w:tr>
      <w:tr w:rsidR="00EC7F46" w:rsidRPr="0094625E" w14:paraId="0E7DCE2F" w14:textId="77777777" w:rsidTr="00EC7F46">
        <w:trPr>
          <w:cantSplit/>
          <w:trHeight w:val="72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58BBA1DA"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Specialist military equipment</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313D0F39"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Assets of a military nature used for a specific military purpose. This includes military equipment and commercial items that have had major modifications to convert/fit them for a military purpose.</w:t>
            </w:r>
          </w:p>
        </w:tc>
      </w:tr>
      <w:tr w:rsidR="00EC7F46" w:rsidRPr="0094625E" w14:paraId="0B28A7FE" w14:textId="77777777" w:rsidTr="00EC7F46">
        <w:trPr>
          <w:cantSplit/>
          <w:trHeight w:val="72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0B5B97B3" w14:textId="77777777" w:rsidR="00EC7F46" w:rsidRPr="0094625E" w:rsidRDefault="00EC7F46" w:rsidP="00EC7F46">
            <w:pPr>
              <w:pStyle w:val="HeadingRunIn"/>
              <w:keepNext w:val="0"/>
              <w:suppressAutoHyphens/>
              <w:spacing w:before="10" w:after="48" w:line="220" w:lineRule="atLeast"/>
              <w:rPr>
                <w:rFonts w:ascii="Arial" w:hAnsi="Arial" w:cs="Arial"/>
                <w:b w:val="0"/>
                <w:bCs w:val="0"/>
                <w:w w:val="100"/>
                <w:sz w:val="18"/>
                <w:szCs w:val="18"/>
                <w:lang w:val="en-AU"/>
              </w:rPr>
            </w:pPr>
            <w:r w:rsidRPr="0094625E">
              <w:rPr>
                <w:rFonts w:ascii="Arial" w:hAnsi="Arial" w:cs="Arial"/>
                <w:b w:val="0"/>
                <w:bCs w:val="0"/>
                <w:w w:val="100"/>
                <w:sz w:val="18"/>
                <w:szCs w:val="18"/>
              </w:rPr>
              <w:t>SSN</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53D77176" w14:textId="77777777" w:rsidR="00EC7F46" w:rsidRPr="0094625E" w:rsidRDefault="00EC7F46" w:rsidP="00EC7F46">
            <w:pPr>
              <w:pStyle w:val="HeadingRunIn"/>
              <w:keepNext w:val="0"/>
              <w:suppressAutoHyphens/>
              <w:spacing w:before="10" w:after="48" w:line="220" w:lineRule="atLeast"/>
              <w:rPr>
                <w:rFonts w:ascii="Arial" w:hAnsi="Arial" w:cs="Arial"/>
                <w:b w:val="0"/>
                <w:bCs w:val="0"/>
                <w:w w:val="100"/>
                <w:sz w:val="18"/>
                <w:szCs w:val="18"/>
                <w:lang w:val="en-AU"/>
              </w:rPr>
            </w:pPr>
            <w:r w:rsidRPr="0094625E">
              <w:rPr>
                <w:rFonts w:ascii="Arial" w:hAnsi="Arial" w:cs="Arial"/>
                <w:b w:val="0"/>
                <w:bCs w:val="0"/>
                <w:w w:val="100"/>
                <w:sz w:val="18"/>
                <w:szCs w:val="18"/>
                <w:lang w:val="en-AU"/>
              </w:rPr>
              <w:t>SSN is the US Navy hull classification symbol for nuclear-powered general-purpose attack submarines.</w:t>
            </w:r>
          </w:p>
        </w:tc>
      </w:tr>
      <w:tr w:rsidR="00EC7F46" w:rsidRPr="0094625E" w14:paraId="47D9019C" w14:textId="77777777" w:rsidTr="00EC7F46">
        <w:trPr>
          <w:cantSplit/>
          <w:trHeight w:val="72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31C172DF"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rPr>
              <w:t>System Program Office</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6560A64F"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rPr>
              <w:t>The office of the Program Manager. It serves as the single point of contact with industry, government agencies, and other activities participating in the acquisition process of a given system.</w:t>
            </w:r>
          </w:p>
        </w:tc>
      </w:tr>
      <w:tr w:rsidR="00EC7F46" w:rsidRPr="0094625E" w14:paraId="0F3CDCC3" w14:textId="77777777" w:rsidTr="00EC7F46">
        <w:trPr>
          <w:cantSplit/>
          <w:trHeight w:val="28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6B1FA080"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rPr>
              <w:t>Theatre</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375D3EBE"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rPr>
              <w:t>The area in which military operations and activities take place.</w:t>
            </w:r>
          </w:p>
        </w:tc>
      </w:tr>
      <w:tr w:rsidR="00EC7F46" w:rsidRPr="0094625E" w14:paraId="71716A75" w14:textId="77777777" w:rsidTr="00EC7F46">
        <w:trPr>
          <w:cantSplit/>
          <w:trHeight w:val="50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CEDE13C"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rPr>
              <w:t>Two-pass approval process</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3CE67DB5"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rPr>
              <w:t>The process by which major capital investment proposals are developed for consideration and approval by the Government.</w:t>
            </w:r>
          </w:p>
        </w:tc>
      </w:tr>
      <w:tr w:rsidR="00EC7F46" w:rsidRPr="0094625E" w14:paraId="6002ADBA" w14:textId="77777777" w:rsidTr="00EC7F46">
        <w:trPr>
          <w:cantSplit/>
          <w:trHeight w:val="717"/>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270E0550"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Unit Availability Days</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5FEE9CCF" w14:textId="2391C808" w:rsidR="00EC7F46" w:rsidRPr="0094625E" w:rsidRDefault="00EC7F46" w:rsidP="00EC7F46">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A Unit Availability Day</w:t>
            </w:r>
            <w:r w:rsidR="00254410">
              <w:rPr>
                <w:rFonts w:ascii="Arial" w:hAnsi="Arial" w:cs="Arial"/>
                <w:b w:val="0"/>
                <w:bCs w:val="0"/>
                <w:w w:val="100"/>
                <w:sz w:val="18"/>
                <w:szCs w:val="18"/>
                <w:lang w:val="en-AU"/>
              </w:rPr>
              <w:t xml:space="preserve"> is a day when a unit is materia</w:t>
            </w:r>
            <w:r w:rsidRPr="0094625E">
              <w:rPr>
                <w:rFonts w:ascii="Arial" w:hAnsi="Arial" w:cs="Arial"/>
                <w:b w:val="0"/>
                <w:bCs w:val="0"/>
                <w:w w:val="100"/>
                <w:sz w:val="18"/>
                <w:szCs w:val="18"/>
                <w:lang w:val="en-AU"/>
              </w:rPr>
              <w:t>lly ready and its personnel state and level of competence enables the unit to safely perform tasks in the unit’s normal operating environment, immediately.</w:t>
            </w:r>
          </w:p>
        </w:tc>
      </w:tr>
      <w:tr w:rsidR="00EC7F46" w:rsidRPr="0094625E" w14:paraId="3B1CD0AD" w14:textId="77777777" w:rsidTr="00EC7F46">
        <w:trPr>
          <w:cantSplit/>
          <w:trHeight w:val="1472"/>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61CFB46D"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rPr>
              <w:t>Weighted average cost</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78499D19"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rPr>
              <w:t>An inventory valuation method which considers the fluctuating prices and quantities of acquired goods in computing of the cost of inventory. The weighted average method takes the prices of units at the beginning inventory and the varying prices of purchases made and are weighted by the number of units to determine the weighted average cost per unit. It may be computed as the weighted average cost of all available goods present in a given period, or as a weighted moving average cost adjusted when new goods are delivered.</w:t>
            </w:r>
          </w:p>
        </w:tc>
      </w:tr>
      <w:tr w:rsidR="00EC7F46" w:rsidRPr="0094625E" w14:paraId="5A0AADA0" w14:textId="77777777" w:rsidTr="00EC7F46">
        <w:trPr>
          <w:cantSplit/>
          <w:trHeight w:val="280"/>
        </w:trPr>
        <w:tc>
          <w:tcPr>
            <w:tcW w:w="1916"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5B7E5BC8"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Write-downs</w:t>
            </w:r>
          </w:p>
        </w:tc>
        <w:tc>
          <w:tcPr>
            <w:tcW w:w="6984" w:type="dxa"/>
            <w:tcBorders>
              <w:top w:val="single" w:sz="4" w:space="0" w:color="808080"/>
              <w:left w:val="single" w:sz="4" w:space="0" w:color="808080"/>
              <w:bottom w:val="single" w:sz="4" w:space="0" w:color="808080"/>
              <w:right w:val="single" w:sz="4" w:space="0" w:color="808080"/>
            </w:tcBorders>
            <w:tcMar>
              <w:top w:w="60" w:type="dxa"/>
              <w:left w:w="140" w:type="dxa"/>
              <w:bottom w:w="44" w:type="dxa"/>
              <w:right w:w="140" w:type="dxa"/>
            </w:tcMar>
          </w:tcPr>
          <w:p w14:paraId="1993E6D1" w14:textId="77777777" w:rsidR="00EC7F46" w:rsidRPr="0094625E" w:rsidRDefault="00EC7F46" w:rsidP="00EC7F46">
            <w:pPr>
              <w:pStyle w:val="HeadingRunIn"/>
              <w:keepNext w:val="0"/>
              <w:suppressAutoHyphens/>
              <w:spacing w:before="10" w:after="48" w:line="220" w:lineRule="atLeast"/>
              <w:rPr>
                <w:rFonts w:ascii="Arial" w:hAnsi="Arial" w:cs="Arial"/>
                <w:b w:val="0"/>
                <w:bCs w:val="0"/>
                <w:sz w:val="18"/>
                <w:szCs w:val="18"/>
                <w:lang w:val="en-AU"/>
              </w:rPr>
            </w:pPr>
            <w:r w:rsidRPr="0094625E">
              <w:rPr>
                <w:rFonts w:ascii="Arial" w:hAnsi="Arial" w:cs="Arial"/>
                <w:b w:val="0"/>
                <w:bCs w:val="0"/>
                <w:w w:val="100"/>
                <w:sz w:val="18"/>
                <w:szCs w:val="18"/>
                <w:lang w:val="en-AU"/>
              </w:rPr>
              <w:t>The reduction in the value of assets.</w:t>
            </w:r>
          </w:p>
        </w:tc>
      </w:tr>
    </w:tbl>
    <w:p w14:paraId="66B3BAD3" w14:textId="77777777" w:rsidR="00560D5B" w:rsidRPr="0094625E" w:rsidRDefault="00560D5B" w:rsidP="0006266E">
      <w:pPr>
        <w:spacing w:before="10" w:after="48"/>
        <w:rPr>
          <w:lang w:val="en-AU"/>
        </w:rPr>
      </w:pPr>
    </w:p>
    <w:p w14:paraId="1813197B" w14:textId="77777777" w:rsidR="00560D5B" w:rsidRPr="0094625E" w:rsidRDefault="00560D5B" w:rsidP="00D84C10">
      <w:pPr>
        <w:pStyle w:val="Heading1"/>
        <w:rPr>
          <w:lang w:val="en-AU"/>
        </w:rPr>
        <w:sectPr w:rsidR="00560D5B" w:rsidRPr="0094625E" w:rsidSect="00C30BE6">
          <w:headerReference w:type="even" r:id="rId156"/>
          <w:headerReference w:type="default" r:id="rId157"/>
          <w:footerReference w:type="even" r:id="rId158"/>
          <w:footerReference w:type="default" r:id="rId159"/>
          <w:pgSz w:w="11907" w:h="16840" w:code="9"/>
          <w:pgMar w:top="1701" w:right="1361" w:bottom="1701" w:left="1928" w:header="720" w:footer="720" w:gutter="0"/>
          <w:cols w:space="720"/>
          <w:noEndnote/>
        </w:sectPr>
      </w:pPr>
      <w:bookmarkStart w:id="1554" w:name="_Toc353889443"/>
      <w:bookmarkStart w:id="1555" w:name="_Toc354470999"/>
    </w:p>
    <w:p w14:paraId="2FC53B95" w14:textId="77777777" w:rsidR="00560D5B" w:rsidRPr="0094625E" w:rsidRDefault="00560D5B" w:rsidP="0078122F">
      <w:pPr>
        <w:pStyle w:val="Heading2"/>
        <w:spacing w:before="0" w:after="0"/>
        <w:rPr>
          <w:rFonts w:ascii="Arial Bold" w:hAnsi="Arial Bold"/>
          <w:b/>
          <w:sz w:val="36"/>
          <w:szCs w:val="36"/>
        </w:rPr>
      </w:pPr>
      <w:bookmarkStart w:id="1556" w:name="_Toc354565598"/>
      <w:bookmarkStart w:id="1557" w:name="_Toc354580521"/>
      <w:bookmarkStart w:id="1558" w:name="_Toc354591427"/>
      <w:bookmarkStart w:id="1559" w:name="_Toc354734151"/>
      <w:bookmarkStart w:id="1560" w:name="_Toc355020253"/>
      <w:bookmarkStart w:id="1561" w:name="_Toc355262927"/>
      <w:bookmarkStart w:id="1562" w:name="_Toc355271282"/>
      <w:bookmarkStart w:id="1563" w:name="_Toc355343351"/>
      <w:bookmarkStart w:id="1564" w:name="_Toc355620839"/>
      <w:bookmarkStart w:id="1565" w:name="_Toc359245808"/>
      <w:bookmarkStart w:id="1566" w:name="_Toc374969067"/>
      <w:bookmarkStart w:id="1567" w:name="_Toc375310580"/>
      <w:bookmarkStart w:id="1568" w:name="_Toc384298254"/>
      <w:bookmarkStart w:id="1569" w:name="_Toc441089260"/>
      <w:bookmarkStart w:id="1570" w:name="_Toc507595452"/>
      <w:bookmarkStart w:id="1571" w:name="_Toc536089261"/>
      <w:bookmarkStart w:id="1572" w:name="_Toc536089521"/>
      <w:bookmarkStart w:id="1573" w:name="_Toc536089627"/>
      <w:bookmarkStart w:id="1574" w:name="_Toc1561715"/>
      <w:bookmarkStart w:id="1575" w:name="_Toc51691711"/>
      <w:bookmarkStart w:id="1576" w:name="_Toc69729081"/>
      <w:bookmarkStart w:id="1577" w:name="_Toc69917876"/>
      <w:bookmarkStart w:id="1578" w:name="_Toc97747865"/>
      <w:bookmarkStart w:id="1579" w:name="_Toc108088978"/>
      <w:bookmarkStart w:id="1580" w:name="_Toc108089057"/>
      <w:bookmarkStart w:id="1581" w:name="_Toc108089451"/>
      <w:bookmarkStart w:id="1582" w:name="_Toc109227306"/>
      <w:bookmarkStart w:id="1583" w:name="_Toc109227773"/>
      <w:bookmarkStart w:id="1584" w:name="_Toc158896261"/>
      <w:bookmarkStart w:id="1585" w:name="_Toc158896318"/>
      <w:bookmarkStart w:id="1586" w:name="_Toc159499733"/>
      <w:bookmarkStart w:id="1587" w:name="_Toc159857695"/>
      <w:bookmarkStart w:id="1588" w:name="_Toc159857775"/>
      <w:bookmarkStart w:id="1589" w:name="_Toc159858171"/>
      <w:bookmarkStart w:id="1590" w:name="_Toc159858837"/>
      <w:bookmarkStart w:id="1591" w:name="_Toc159858907"/>
      <w:bookmarkStart w:id="1592" w:name="_Toc159859152"/>
      <w:bookmarkStart w:id="1593" w:name="_Toc159859304"/>
      <w:bookmarkStart w:id="1594" w:name="_Toc159862313"/>
      <w:bookmarkStart w:id="1595" w:name="_Toc159862503"/>
      <w:r w:rsidRPr="0094625E">
        <w:rPr>
          <w:rFonts w:ascii="Arial Bold" w:hAnsi="Arial Bold"/>
          <w:b/>
          <w:sz w:val="36"/>
          <w:szCs w:val="36"/>
        </w:rPr>
        <w:lastRenderedPageBreak/>
        <w:t>Acronyms</w:t>
      </w:r>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p>
    <w:p w14:paraId="3C8B89F0" w14:textId="77777777" w:rsidR="00560D5B" w:rsidRPr="0094625E" w:rsidRDefault="00560D5B" w:rsidP="0078122F">
      <w:pPr>
        <w:pStyle w:val="HeadingRunIn"/>
        <w:keepNext w:val="0"/>
        <w:tabs>
          <w:tab w:val="left" w:pos="280"/>
        </w:tabs>
        <w:spacing w:before="240" w:after="60" w:line="240" w:lineRule="auto"/>
        <w:rPr>
          <w:rFonts w:ascii="Arial" w:hAnsi="Arial" w:cs="Arial"/>
          <w:smallCaps/>
          <w:color w:val="auto"/>
          <w:w w:val="100"/>
          <w:sz w:val="26"/>
          <w:szCs w:val="26"/>
          <w:lang w:val="en-AU"/>
        </w:rPr>
      </w:pPr>
      <w:r w:rsidRPr="0094625E">
        <w:rPr>
          <w:rFonts w:ascii="Arial" w:hAnsi="Arial" w:cs="Arial"/>
          <w:smallCaps/>
          <w:color w:val="auto"/>
          <w:w w:val="100"/>
          <w:sz w:val="26"/>
          <w:szCs w:val="26"/>
          <w:lang w:val="en-AU"/>
        </w:rPr>
        <w:t>A</w:t>
      </w:r>
    </w:p>
    <w:p w14:paraId="5037889D" w14:textId="77777777" w:rsidR="00EB32BC" w:rsidRPr="0094625E" w:rsidRDefault="00EB32BC" w:rsidP="00D86A3F">
      <w:pPr>
        <w:spacing w:before="60" w:after="60"/>
        <w:ind w:left="1134" w:hanging="1134"/>
      </w:pPr>
      <w:r w:rsidRPr="0094625E">
        <w:t>AACAP</w:t>
      </w:r>
      <w:r w:rsidRPr="0094625E">
        <w:tab/>
        <w:t>Army Aboriginal Community Assistance Program</w:t>
      </w:r>
    </w:p>
    <w:p w14:paraId="7D80D35C" w14:textId="77777777" w:rsidR="003805A3" w:rsidRPr="0094625E" w:rsidRDefault="003805A3" w:rsidP="00041463">
      <w:pPr>
        <w:spacing w:before="60" w:after="60"/>
        <w:ind w:left="1134" w:hanging="1134"/>
      </w:pPr>
      <w:r w:rsidRPr="0094625E">
        <w:t>AAF</w:t>
      </w:r>
      <w:r w:rsidRPr="0094625E">
        <w:tab/>
      </w:r>
      <w:r w:rsidR="00E001D0" w:rsidRPr="0094625E">
        <w:tab/>
      </w:r>
      <w:r w:rsidR="00E001D0" w:rsidRPr="0094625E">
        <w:tab/>
      </w:r>
      <w:r w:rsidR="00E001D0" w:rsidRPr="0094625E">
        <w:tab/>
      </w:r>
      <w:r w:rsidR="00E001D0" w:rsidRPr="0094625E">
        <w:tab/>
      </w:r>
      <w:r w:rsidR="00E001D0" w:rsidRPr="0094625E">
        <w:tab/>
      </w:r>
      <w:r w:rsidR="00E001D0" w:rsidRPr="0094625E">
        <w:tab/>
      </w:r>
      <w:r w:rsidR="00E001D0" w:rsidRPr="0094625E">
        <w:tab/>
      </w:r>
      <w:r w:rsidR="00E001D0" w:rsidRPr="0094625E">
        <w:tab/>
      </w:r>
      <w:r w:rsidR="00E001D0" w:rsidRPr="0094625E">
        <w:tab/>
      </w:r>
      <w:r w:rsidR="00E001D0" w:rsidRPr="0094625E">
        <w:tab/>
      </w:r>
      <w:r w:rsidR="00E001D0" w:rsidRPr="0094625E">
        <w:tab/>
      </w:r>
      <w:r w:rsidR="00E001D0" w:rsidRPr="0094625E">
        <w:tab/>
      </w:r>
      <w:r w:rsidR="00E001D0" w:rsidRPr="0094625E">
        <w:tab/>
      </w:r>
      <w:r w:rsidR="00E001D0" w:rsidRPr="0094625E">
        <w:tab/>
      </w:r>
      <w:r w:rsidR="00E001D0" w:rsidRPr="0094625E">
        <w:tab/>
      </w:r>
      <w:r w:rsidR="00E001D0" w:rsidRPr="0094625E">
        <w:tab/>
      </w:r>
      <w:r w:rsidRPr="0094625E">
        <w:t>Army Amenities Fund</w:t>
      </w:r>
    </w:p>
    <w:p w14:paraId="523978F1" w14:textId="77777777" w:rsidR="003805A3" w:rsidRPr="0094625E" w:rsidRDefault="003805A3" w:rsidP="00041463">
      <w:pPr>
        <w:spacing w:before="60" w:after="60"/>
        <w:ind w:left="1134" w:hanging="1134"/>
      </w:pPr>
      <w:r w:rsidRPr="0094625E">
        <w:t>AAFCANS</w:t>
      </w:r>
      <w:r w:rsidRPr="0094625E">
        <w:tab/>
        <w:t>Army and Air Force Canteen Service</w:t>
      </w:r>
    </w:p>
    <w:p w14:paraId="01E18D98" w14:textId="77777777" w:rsidR="00972274" w:rsidRPr="0094625E" w:rsidRDefault="00972274" w:rsidP="00041463">
      <w:pPr>
        <w:spacing w:before="60" w:after="60"/>
        <w:ind w:left="1134" w:hanging="1134"/>
      </w:pPr>
      <w:r w:rsidRPr="0094625E">
        <w:t>AC</w:t>
      </w:r>
      <w:r w:rsidRPr="0094625E">
        <w:tab/>
        <w:t>Companion of the Order of Australia</w:t>
      </w:r>
    </w:p>
    <w:p w14:paraId="4501C41B" w14:textId="77777777" w:rsidR="00FA6CC1" w:rsidRPr="0094625E" w:rsidRDefault="00FA6CC1" w:rsidP="00041463">
      <w:pPr>
        <w:spacing w:before="60" w:after="60"/>
        <w:ind w:left="1134" w:hanging="1134"/>
      </w:pPr>
      <w:r w:rsidRPr="0094625E">
        <w:t>ACC</w:t>
      </w:r>
      <w:r w:rsidRPr="0094625E">
        <w:tab/>
        <w:t>Air Combat Capability</w:t>
      </w:r>
    </w:p>
    <w:p w14:paraId="6FCD0903" w14:textId="77777777" w:rsidR="005D17E4" w:rsidRPr="0094625E" w:rsidRDefault="005D17E4" w:rsidP="00041463">
      <w:pPr>
        <w:spacing w:before="60" w:after="60"/>
        <w:ind w:left="1134" w:hanging="1134"/>
      </w:pPr>
      <w:r w:rsidRPr="0094625E">
        <w:t>ACMC</w:t>
      </w:r>
      <w:r w:rsidRPr="0094625E">
        <w:tab/>
        <w:t>Australian Civil-Military Centre</w:t>
      </w:r>
    </w:p>
    <w:p w14:paraId="27DFBAB1" w14:textId="77777777" w:rsidR="003805A3" w:rsidRPr="0094625E" w:rsidRDefault="003805A3" w:rsidP="00041463">
      <w:pPr>
        <w:spacing w:before="60" w:after="60"/>
        <w:ind w:left="1134" w:hanging="1134"/>
      </w:pPr>
      <w:r w:rsidRPr="0094625E">
        <w:t>ACPB</w:t>
      </w:r>
      <w:r w:rsidRPr="0094625E">
        <w:tab/>
        <w:t>Armidale Class Patrol Boats</w:t>
      </w:r>
    </w:p>
    <w:p w14:paraId="4D09E2DB" w14:textId="77777777" w:rsidR="00056CEA" w:rsidRPr="0094625E" w:rsidRDefault="00056CEA" w:rsidP="00041463">
      <w:pPr>
        <w:spacing w:before="60" w:after="60"/>
        <w:ind w:left="1134" w:hanging="1134"/>
      </w:pPr>
      <w:r w:rsidRPr="0094625E">
        <w:t>ACS</w:t>
      </w:r>
      <w:r w:rsidRPr="0094625E">
        <w:tab/>
        <w:t>Aegis Combat System</w:t>
      </w:r>
    </w:p>
    <w:p w14:paraId="0F50BB23" w14:textId="77777777" w:rsidR="003805A3" w:rsidRPr="0094625E" w:rsidRDefault="003805A3" w:rsidP="00041463">
      <w:pPr>
        <w:spacing w:before="60" w:after="60"/>
        <w:ind w:left="1134" w:hanging="1134"/>
      </w:pPr>
      <w:r w:rsidRPr="0094625E">
        <w:t>ADF</w:t>
      </w:r>
      <w:r w:rsidRPr="0094625E">
        <w:tab/>
        <w:t>Australian Defence Force</w:t>
      </w:r>
    </w:p>
    <w:p w14:paraId="2727DD72" w14:textId="77777777" w:rsidR="00041463" w:rsidRPr="0094625E" w:rsidRDefault="00041463" w:rsidP="00D86A3F">
      <w:pPr>
        <w:spacing w:before="60" w:after="60"/>
        <w:ind w:left="1134" w:hanging="1134"/>
      </w:pPr>
      <w:r w:rsidRPr="0094625E">
        <w:t>AEWC</w:t>
      </w:r>
      <w:r w:rsidRPr="0094625E">
        <w:tab/>
        <w:t>Airborne Early Warning and Control</w:t>
      </w:r>
      <w:r w:rsidRPr="0094625E">
        <w:tab/>
      </w:r>
      <w:r w:rsidRPr="0094625E">
        <w:tab/>
      </w:r>
      <w:r w:rsidRPr="0094625E">
        <w:tab/>
      </w:r>
      <w:r w:rsidRPr="0094625E">
        <w:tab/>
      </w:r>
    </w:p>
    <w:p w14:paraId="3F672CF0" w14:textId="77777777" w:rsidR="00061D25" w:rsidRPr="0094625E" w:rsidRDefault="00370860" w:rsidP="00D86A3F">
      <w:pPr>
        <w:spacing w:before="60" w:after="60"/>
        <w:ind w:left="1134" w:hanging="1134"/>
      </w:pPr>
      <w:r w:rsidRPr="0094625E">
        <w:t>ADGE</w:t>
      </w:r>
      <w:r w:rsidRPr="0094625E">
        <w:tab/>
        <w:t>Air Defence Ground Environment</w:t>
      </w:r>
    </w:p>
    <w:p w14:paraId="7433DACF" w14:textId="77777777" w:rsidR="009C283F" w:rsidRPr="0094625E" w:rsidRDefault="009C283F" w:rsidP="00D86A3F">
      <w:pPr>
        <w:spacing w:before="60" w:after="60"/>
        <w:ind w:left="1134" w:hanging="1134"/>
      </w:pPr>
      <w:r w:rsidRPr="0094625E">
        <w:t>AFV</w:t>
      </w:r>
      <w:r w:rsidRPr="0094625E">
        <w:tab/>
        <w:t>Armoured Fighting Vehicle</w:t>
      </w:r>
    </w:p>
    <w:p w14:paraId="045E3F6C" w14:textId="77777777" w:rsidR="003805A3" w:rsidRPr="0094625E" w:rsidRDefault="003805A3" w:rsidP="00041463">
      <w:pPr>
        <w:spacing w:before="60" w:after="60"/>
        <w:ind w:left="1134" w:hanging="1134"/>
      </w:pPr>
      <w:r w:rsidRPr="0094625E">
        <w:t>AGSVA</w:t>
      </w:r>
      <w:r w:rsidRPr="0094625E">
        <w:tab/>
        <w:t>Australian Government Security Vetting Agency</w:t>
      </w:r>
    </w:p>
    <w:p w14:paraId="2EB3CE67" w14:textId="77777777" w:rsidR="00041463" w:rsidRPr="0094625E" w:rsidRDefault="00041463" w:rsidP="00D86A3F">
      <w:pPr>
        <w:spacing w:before="60" w:after="60"/>
        <w:ind w:left="1134" w:hanging="1134"/>
      </w:pPr>
      <w:r w:rsidRPr="0094625E">
        <w:t>AHO</w:t>
      </w:r>
      <w:r w:rsidRPr="0094625E">
        <w:tab/>
        <w:t>Australian Hydrographic Office</w:t>
      </w:r>
    </w:p>
    <w:p w14:paraId="430219CA" w14:textId="77777777" w:rsidR="00041463" w:rsidRPr="0094625E" w:rsidRDefault="00041463" w:rsidP="00D86A3F">
      <w:pPr>
        <w:spacing w:before="60" w:after="60"/>
        <w:ind w:left="1134" w:hanging="1134"/>
      </w:pPr>
      <w:r w:rsidRPr="0094625E">
        <w:t>AM</w:t>
      </w:r>
      <w:r w:rsidRPr="0094625E">
        <w:tab/>
        <w:t>Member of the Order of Australia</w:t>
      </w:r>
    </w:p>
    <w:p w14:paraId="42A42217" w14:textId="77777777" w:rsidR="0070583A" w:rsidRPr="0094625E" w:rsidRDefault="0070583A" w:rsidP="00D86A3F">
      <w:pPr>
        <w:spacing w:before="60" w:after="60"/>
        <w:ind w:left="1134" w:hanging="1134"/>
      </w:pPr>
      <w:r w:rsidRPr="0094625E">
        <w:t>AMFRTF</w:t>
      </w:r>
      <w:r w:rsidRPr="0094625E">
        <w:tab/>
        <w:t>Australian Military Forces Relief Trust Fund</w:t>
      </w:r>
    </w:p>
    <w:p w14:paraId="2DBC9FAD" w14:textId="77777777" w:rsidR="009B7BE3" w:rsidRPr="0094625E" w:rsidRDefault="009B7BE3" w:rsidP="00D86A3F">
      <w:pPr>
        <w:spacing w:before="60" w:after="60"/>
        <w:ind w:left="1134" w:hanging="1134"/>
      </w:pPr>
      <w:r w:rsidRPr="0094625E">
        <w:t>AMSA</w:t>
      </w:r>
      <w:r w:rsidRPr="0094625E">
        <w:tab/>
        <w:t>Australian Maritime Safety Authority</w:t>
      </w:r>
    </w:p>
    <w:p w14:paraId="38468917" w14:textId="77777777" w:rsidR="0070583A" w:rsidRPr="0094625E" w:rsidRDefault="0070583A" w:rsidP="0070583A">
      <w:pPr>
        <w:spacing w:before="60" w:after="60"/>
        <w:ind w:left="1134" w:hanging="1134"/>
      </w:pPr>
      <w:r w:rsidRPr="0094625E">
        <w:t>ANNPSR</w:t>
      </w:r>
      <w:r w:rsidRPr="0094625E">
        <w:tab/>
        <w:t>Australian Naval Nuclear Power Safety Regulator</w:t>
      </w:r>
    </w:p>
    <w:p w14:paraId="0505F7A6" w14:textId="77777777" w:rsidR="005D17E4" w:rsidRPr="0094625E" w:rsidRDefault="005D17E4" w:rsidP="00D86A3F">
      <w:pPr>
        <w:spacing w:before="60" w:after="60"/>
        <w:ind w:left="1134" w:hanging="1134"/>
      </w:pPr>
      <w:r w:rsidRPr="0094625E">
        <w:t>ANSTO</w:t>
      </w:r>
      <w:r w:rsidRPr="0094625E">
        <w:tab/>
        <w:t>Australian Nuclear Science and Technology Organisation</w:t>
      </w:r>
    </w:p>
    <w:p w14:paraId="50FA48EF" w14:textId="77777777" w:rsidR="00041463" w:rsidRPr="0094625E" w:rsidRDefault="00041463" w:rsidP="00D86A3F">
      <w:pPr>
        <w:spacing w:before="60" w:after="60"/>
        <w:ind w:left="1134" w:hanging="1134"/>
      </w:pPr>
      <w:r w:rsidRPr="0094625E">
        <w:t>AO</w:t>
      </w:r>
      <w:r w:rsidRPr="0094625E">
        <w:tab/>
        <w:t>Officer of the Order of Australia</w:t>
      </w:r>
    </w:p>
    <w:p w14:paraId="2CCCEA6B" w14:textId="77777777" w:rsidR="003805A3" w:rsidRPr="0094625E" w:rsidRDefault="003805A3" w:rsidP="00041463">
      <w:pPr>
        <w:spacing w:before="60" w:after="60"/>
        <w:ind w:left="1134" w:hanging="1134"/>
      </w:pPr>
      <w:r w:rsidRPr="0094625E">
        <w:t>AOR</w:t>
      </w:r>
      <w:r w:rsidRPr="0094625E">
        <w:tab/>
      </w:r>
      <w:r w:rsidR="00FA6CC1" w:rsidRPr="0094625E">
        <w:t>Auxiliary Oiler Replenishment</w:t>
      </w:r>
    </w:p>
    <w:p w14:paraId="4C49CC6F" w14:textId="77777777" w:rsidR="003805A3" w:rsidRPr="0094625E" w:rsidRDefault="003805A3" w:rsidP="00041463">
      <w:pPr>
        <w:spacing w:before="60" w:after="60"/>
        <w:ind w:left="1134" w:hanging="1134"/>
      </w:pPr>
      <w:r w:rsidRPr="0094625E">
        <w:t>APS</w:t>
      </w:r>
      <w:r w:rsidRPr="0094625E">
        <w:tab/>
        <w:t>Australian Public Service</w:t>
      </w:r>
    </w:p>
    <w:p w14:paraId="463495B1" w14:textId="77777777" w:rsidR="00041463" w:rsidRPr="0094625E" w:rsidRDefault="00041463" w:rsidP="00D86A3F">
      <w:pPr>
        <w:spacing w:before="60" w:after="60"/>
        <w:ind w:left="1134" w:hanging="1134"/>
      </w:pPr>
      <w:r w:rsidRPr="0094625E">
        <w:t>ARH</w:t>
      </w:r>
      <w:r w:rsidRPr="0094625E">
        <w:tab/>
      </w:r>
      <w:r w:rsidR="002D6EC5" w:rsidRPr="0094625E">
        <w:t>Armed Reconnaissance Helicopter</w:t>
      </w:r>
    </w:p>
    <w:p w14:paraId="6A5F7932" w14:textId="77777777" w:rsidR="009410A0" w:rsidRPr="0094625E" w:rsidRDefault="009410A0" w:rsidP="00D86A3F">
      <w:pPr>
        <w:spacing w:before="60" w:after="60"/>
        <w:ind w:left="1134" w:hanging="1134"/>
      </w:pPr>
      <w:r w:rsidRPr="0094625E">
        <w:t>ASA</w:t>
      </w:r>
      <w:r w:rsidRPr="0094625E">
        <w:tab/>
        <w:t>Australian Submarine Agency</w:t>
      </w:r>
    </w:p>
    <w:p w14:paraId="6BB96175" w14:textId="77777777" w:rsidR="002D6EC5" w:rsidRPr="0094625E" w:rsidRDefault="002D6EC5" w:rsidP="00D86A3F">
      <w:pPr>
        <w:spacing w:before="60" w:after="60"/>
        <w:ind w:left="1134" w:hanging="1134"/>
      </w:pPr>
      <w:r w:rsidRPr="0094625E">
        <w:t>ASCA</w:t>
      </w:r>
      <w:r w:rsidRPr="0094625E">
        <w:tab/>
        <w:t>Advanced Strategic Capabilities Accelerator</w:t>
      </w:r>
    </w:p>
    <w:p w14:paraId="41DCADBB" w14:textId="77777777" w:rsidR="003D6EA2" w:rsidRPr="0094625E" w:rsidRDefault="003D6EA2" w:rsidP="00041463">
      <w:pPr>
        <w:spacing w:before="60" w:after="60"/>
        <w:ind w:left="1134" w:hanging="1134"/>
      </w:pPr>
      <w:r w:rsidRPr="0094625E">
        <w:t>ASD</w:t>
      </w:r>
      <w:r w:rsidRPr="0094625E">
        <w:tab/>
        <w:t>Australian Signals Directorate</w:t>
      </w:r>
    </w:p>
    <w:p w14:paraId="4A01ABE2" w14:textId="77777777" w:rsidR="009F24E6" w:rsidRPr="0094625E" w:rsidRDefault="009F24E6" w:rsidP="00041463">
      <w:pPr>
        <w:spacing w:before="60" w:after="60"/>
        <w:ind w:left="1134" w:hanging="1134"/>
      </w:pPr>
      <w:r w:rsidRPr="0094625E">
        <w:rPr>
          <w:szCs w:val="20"/>
          <w:lang w:val="en-AU"/>
        </w:rPr>
        <w:t>ASEAN</w:t>
      </w:r>
      <w:r w:rsidRPr="0094625E">
        <w:rPr>
          <w:szCs w:val="20"/>
          <w:lang w:val="en-AU"/>
        </w:rPr>
        <w:tab/>
        <w:t>Association of Southeast Asian Nations</w:t>
      </w:r>
    </w:p>
    <w:p w14:paraId="3D2BEBD9" w14:textId="77777777" w:rsidR="005D17E4" w:rsidRPr="0094625E" w:rsidRDefault="005D17E4" w:rsidP="00D86A3F">
      <w:pPr>
        <w:spacing w:before="60" w:after="60"/>
        <w:ind w:left="1134" w:hanging="1134"/>
      </w:pPr>
      <w:r w:rsidRPr="0094625E">
        <w:t>ASIO</w:t>
      </w:r>
      <w:r w:rsidRPr="0094625E">
        <w:tab/>
        <w:t>Australian Security Intelligence Organisation</w:t>
      </w:r>
    </w:p>
    <w:p w14:paraId="5903A924" w14:textId="77777777" w:rsidR="00041463" w:rsidRPr="0094625E" w:rsidRDefault="00041463" w:rsidP="00D86A3F">
      <w:pPr>
        <w:spacing w:before="60" w:after="60"/>
        <w:ind w:left="1134" w:hanging="1134"/>
      </w:pPr>
      <w:r w:rsidRPr="0094625E">
        <w:t>ASMTI</w:t>
      </w:r>
      <w:r w:rsidRPr="0094625E">
        <w:tab/>
        <w:t>Australia-Singapore Military Training Initiative</w:t>
      </w:r>
    </w:p>
    <w:p w14:paraId="7C7CA497" w14:textId="77777777" w:rsidR="00FA6CC1" w:rsidRPr="0094625E" w:rsidRDefault="00FA6CC1" w:rsidP="00FA6CC1">
      <w:pPr>
        <w:spacing w:before="60" w:after="60"/>
        <w:ind w:left="1134" w:hanging="1134"/>
      </w:pPr>
      <w:r w:rsidRPr="0094625E">
        <w:t>ASPI</w:t>
      </w:r>
      <w:r w:rsidRPr="0094625E">
        <w:tab/>
        <w:t>Australian Strategic Policy Institute</w:t>
      </w:r>
    </w:p>
    <w:p w14:paraId="54C31EE1" w14:textId="77777777" w:rsidR="00210619" w:rsidRPr="0094625E" w:rsidRDefault="00210619" w:rsidP="00FA6CC1">
      <w:pPr>
        <w:spacing w:before="60" w:after="60"/>
        <w:ind w:left="1134" w:hanging="1134"/>
      </w:pPr>
      <w:r w:rsidRPr="0094625E">
        <w:t>ATSB</w:t>
      </w:r>
      <w:r w:rsidRPr="0094625E">
        <w:tab/>
      </w:r>
      <w:r w:rsidRPr="0094625E">
        <w:rPr>
          <w:lang w:val="en-AU"/>
        </w:rPr>
        <w:t>Australian Transport Safety Bureau</w:t>
      </w:r>
    </w:p>
    <w:p w14:paraId="5C84787A" w14:textId="77777777" w:rsidR="00FA6CC1" w:rsidRPr="0094625E" w:rsidRDefault="00FA6CC1" w:rsidP="00D86A3F">
      <w:pPr>
        <w:spacing w:before="60" w:after="60"/>
        <w:ind w:left="1134" w:hanging="1134"/>
      </w:pPr>
      <w:r w:rsidRPr="0094625E">
        <w:t>AUKUS</w:t>
      </w:r>
      <w:r w:rsidRPr="0094625E">
        <w:tab/>
        <w:t>An enhanced security partnership between Australia, the United Kingdom and the United States</w:t>
      </w:r>
    </w:p>
    <w:p w14:paraId="610EB8E2" w14:textId="77777777" w:rsidR="009F24E6" w:rsidRPr="0094625E" w:rsidRDefault="009F24E6" w:rsidP="00D86A3F">
      <w:pPr>
        <w:spacing w:before="60" w:after="60"/>
        <w:ind w:left="1134" w:hanging="1134"/>
      </w:pPr>
      <w:r w:rsidRPr="0094625E">
        <w:t>AUSMIN</w:t>
      </w:r>
      <w:r w:rsidRPr="0094625E">
        <w:tab/>
      </w:r>
      <w:r w:rsidRPr="0094625E">
        <w:rPr>
          <w:szCs w:val="20"/>
          <w:lang w:val="en-AU"/>
        </w:rPr>
        <w:t>Australia–US Ministerial Consultations</w:t>
      </w:r>
    </w:p>
    <w:p w14:paraId="0CD7AAC5" w14:textId="77777777" w:rsidR="00A954CB" w:rsidRPr="0094625E" w:rsidRDefault="00A954CB" w:rsidP="00A954CB">
      <w:pPr>
        <w:pStyle w:val="HeadingRunIn"/>
        <w:keepNext w:val="0"/>
        <w:tabs>
          <w:tab w:val="left" w:pos="280"/>
        </w:tabs>
        <w:spacing w:before="240" w:after="60" w:line="240" w:lineRule="auto"/>
        <w:rPr>
          <w:rFonts w:ascii="Arial" w:hAnsi="Arial" w:cs="Arial"/>
          <w:smallCaps/>
          <w:color w:val="auto"/>
          <w:w w:val="100"/>
          <w:sz w:val="26"/>
          <w:szCs w:val="26"/>
          <w:lang w:val="en-AU"/>
        </w:rPr>
      </w:pPr>
      <w:r w:rsidRPr="0094625E">
        <w:rPr>
          <w:rFonts w:ascii="Arial" w:hAnsi="Arial" w:cs="Arial"/>
          <w:smallCaps/>
          <w:color w:val="auto"/>
          <w:w w:val="100"/>
          <w:sz w:val="26"/>
          <w:szCs w:val="26"/>
          <w:lang w:val="en-AU"/>
        </w:rPr>
        <w:lastRenderedPageBreak/>
        <w:t>A</w:t>
      </w:r>
    </w:p>
    <w:p w14:paraId="48BEF3EC" w14:textId="77777777" w:rsidR="00041463" w:rsidRPr="0094625E" w:rsidRDefault="00041463" w:rsidP="00D86A3F">
      <w:pPr>
        <w:spacing w:before="60" w:after="60"/>
        <w:ind w:left="1134" w:hanging="1134"/>
      </w:pPr>
      <w:r w:rsidRPr="0094625E">
        <w:t>AVM</w:t>
      </w:r>
      <w:r w:rsidRPr="0094625E">
        <w:tab/>
      </w:r>
      <w:r w:rsidRPr="0094625E">
        <w:tab/>
        <w:t>Air Vice Marshal</w:t>
      </w:r>
    </w:p>
    <w:p w14:paraId="60A092F4" w14:textId="77777777" w:rsidR="000B0714" w:rsidRPr="0094625E" w:rsidRDefault="000216AF" w:rsidP="000B0714">
      <w:pPr>
        <w:spacing w:before="60" w:after="60"/>
        <w:ind w:left="1134" w:hanging="1134"/>
      </w:pPr>
      <w:r w:rsidRPr="0094625E">
        <w:t>AWD</w:t>
      </w:r>
      <w:r w:rsidRPr="0094625E">
        <w:tab/>
        <w:t>Air Warfare Destroyer</w:t>
      </w:r>
    </w:p>
    <w:p w14:paraId="0B327BE7" w14:textId="77777777" w:rsidR="00041463" w:rsidRPr="0094625E" w:rsidRDefault="00041463" w:rsidP="00A954CB">
      <w:pPr>
        <w:pStyle w:val="HeadingRunIn"/>
        <w:keepNext w:val="0"/>
        <w:tabs>
          <w:tab w:val="left" w:pos="280"/>
        </w:tabs>
        <w:spacing w:before="240" w:after="60" w:line="240" w:lineRule="auto"/>
        <w:rPr>
          <w:rFonts w:ascii="Arial" w:hAnsi="Arial" w:cs="Arial"/>
          <w:smallCaps/>
          <w:color w:val="auto"/>
          <w:w w:val="100"/>
          <w:sz w:val="26"/>
          <w:szCs w:val="26"/>
          <w:lang w:val="en-AU"/>
        </w:rPr>
      </w:pPr>
      <w:r w:rsidRPr="0094625E">
        <w:rPr>
          <w:rFonts w:ascii="Arial" w:hAnsi="Arial" w:cs="Arial"/>
          <w:smallCaps/>
          <w:color w:val="auto"/>
          <w:w w:val="100"/>
          <w:sz w:val="26"/>
          <w:szCs w:val="26"/>
          <w:lang w:val="en-AU"/>
        </w:rPr>
        <w:t>B</w:t>
      </w:r>
    </w:p>
    <w:p w14:paraId="2AC7F78E" w14:textId="77777777" w:rsidR="00041463" w:rsidRPr="0094625E" w:rsidRDefault="00041463" w:rsidP="001F40AD">
      <w:pPr>
        <w:spacing w:before="60" w:after="60"/>
        <w:ind w:left="1134" w:hanging="1134"/>
      </w:pPr>
      <w:r w:rsidRPr="0094625E">
        <w:t>BMS</w:t>
      </w:r>
      <w:r w:rsidRPr="0094625E">
        <w:tab/>
        <w:t>Battlefield Management Systems</w:t>
      </w:r>
    </w:p>
    <w:p w14:paraId="5470C39F" w14:textId="77777777" w:rsidR="00032B95" w:rsidRPr="0094625E" w:rsidRDefault="00032B95" w:rsidP="001F40AD">
      <w:pPr>
        <w:spacing w:before="60" w:after="60"/>
        <w:ind w:left="1134" w:hanging="1134"/>
      </w:pPr>
      <w:r w:rsidRPr="0094625E">
        <w:t>BRIG</w:t>
      </w:r>
      <w:r w:rsidRPr="0094625E">
        <w:tab/>
        <w:t>Brigadier</w:t>
      </w:r>
    </w:p>
    <w:p w14:paraId="050D9E15" w14:textId="77777777" w:rsidR="00560D5B" w:rsidRPr="0094625E" w:rsidRDefault="00560D5B" w:rsidP="003C0B7A">
      <w:pPr>
        <w:pStyle w:val="HeadingRunIn"/>
        <w:keepNext w:val="0"/>
        <w:tabs>
          <w:tab w:val="left" w:pos="280"/>
        </w:tabs>
        <w:spacing w:before="0" w:after="60" w:line="240" w:lineRule="auto"/>
        <w:rPr>
          <w:rFonts w:ascii="Arial" w:hAnsi="Arial" w:cs="Arial"/>
          <w:smallCaps/>
          <w:color w:val="auto"/>
          <w:w w:val="100"/>
          <w:sz w:val="26"/>
          <w:szCs w:val="26"/>
          <w:lang w:val="en-AU"/>
        </w:rPr>
      </w:pPr>
      <w:r w:rsidRPr="0094625E">
        <w:rPr>
          <w:rFonts w:ascii="Arial" w:hAnsi="Arial" w:cs="Arial"/>
          <w:smallCaps/>
          <w:color w:val="auto"/>
          <w:w w:val="100"/>
          <w:sz w:val="26"/>
          <w:szCs w:val="26"/>
          <w:lang w:val="en-AU"/>
        </w:rPr>
        <w:t>C</w:t>
      </w:r>
    </w:p>
    <w:p w14:paraId="76762DA5" w14:textId="77777777" w:rsidR="00210619" w:rsidRPr="0094625E" w:rsidRDefault="00210619" w:rsidP="00D86A3F">
      <w:pPr>
        <w:spacing w:before="60" w:after="60"/>
        <w:ind w:left="1134" w:hanging="1134"/>
      </w:pPr>
      <w:r w:rsidRPr="0094625E">
        <w:t>C4ISR</w:t>
      </w:r>
      <w:r w:rsidRPr="0094625E">
        <w:tab/>
        <w:t>Command, Control, Communications, Computing, Intelligence, Surveillance, and Reconnaissance</w:t>
      </w:r>
    </w:p>
    <w:p w14:paraId="2EC1FE9D" w14:textId="77777777" w:rsidR="00041463" w:rsidRPr="0094625E" w:rsidRDefault="00041463" w:rsidP="00D86A3F">
      <w:pPr>
        <w:spacing w:before="60" w:after="60"/>
        <w:ind w:left="1134" w:hanging="1134"/>
      </w:pPr>
      <w:r w:rsidRPr="0094625E">
        <w:t>CAF</w:t>
      </w:r>
      <w:r w:rsidRPr="0094625E">
        <w:tab/>
        <w:t>Chief of Air Force</w:t>
      </w:r>
    </w:p>
    <w:p w14:paraId="6351A79F" w14:textId="77777777" w:rsidR="00041463" w:rsidRPr="0094625E" w:rsidRDefault="00041463" w:rsidP="00D86A3F">
      <w:pPr>
        <w:spacing w:before="60" w:after="60"/>
        <w:ind w:left="1134" w:hanging="1134"/>
      </w:pPr>
      <w:r w:rsidRPr="0094625E">
        <w:t>CBRND</w:t>
      </w:r>
      <w:r w:rsidRPr="0094625E">
        <w:tab/>
        <w:t>Chemical Biological Radiological Nuclear Defence</w:t>
      </w:r>
    </w:p>
    <w:p w14:paraId="4E986FC1" w14:textId="77777777" w:rsidR="00041463" w:rsidRPr="0094625E" w:rsidRDefault="00041463" w:rsidP="00D86A3F">
      <w:pPr>
        <w:spacing w:before="60" w:after="60"/>
        <w:ind w:left="1134" w:hanging="1134"/>
      </w:pPr>
      <w:r w:rsidRPr="0094625E">
        <w:t>CCPB</w:t>
      </w:r>
      <w:r w:rsidRPr="0094625E">
        <w:tab/>
      </w:r>
      <w:r w:rsidRPr="0094625E">
        <w:tab/>
      </w:r>
      <w:r w:rsidRPr="0094625E">
        <w:tab/>
      </w:r>
      <w:r w:rsidRPr="0094625E">
        <w:tab/>
        <w:t>Cape Class Patrol Boat</w:t>
      </w:r>
    </w:p>
    <w:p w14:paraId="490415A8" w14:textId="77777777" w:rsidR="00041463" w:rsidRPr="0094625E" w:rsidRDefault="00041463" w:rsidP="00D86A3F">
      <w:pPr>
        <w:spacing w:before="60" w:after="60"/>
        <w:ind w:left="1134" w:hanging="1134"/>
      </w:pPr>
      <w:r w:rsidRPr="0094625E">
        <w:t>CCSM</w:t>
      </w:r>
      <w:r w:rsidRPr="0094625E">
        <w:tab/>
        <w:t>Collins Class Submarine</w:t>
      </w:r>
    </w:p>
    <w:p w14:paraId="3CBFA001" w14:textId="77777777" w:rsidR="003C0B7A" w:rsidRPr="0094625E" w:rsidRDefault="003C0B7A" w:rsidP="00E3416E">
      <w:pPr>
        <w:spacing w:before="60" w:after="60"/>
        <w:ind w:left="1134" w:hanging="1134"/>
      </w:pPr>
      <w:r w:rsidRPr="0094625E">
        <w:t>CSM</w:t>
      </w:r>
      <w:r w:rsidRPr="0094625E">
        <w:tab/>
        <w:t>Conspicuous Service Medal</w:t>
      </w:r>
    </w:p>
    <w:p w14:paraId="1E6A1544" w14:textId="77777777" w:rsidR="003805A3" w:rsidRPr="0094625E" w:rsidRDefault="003805A3" w:rsidP="00E3416E">
      <w:pPr>
        <w:spacing w:before="60" w:after="60"/>
        <w:ind w:left="1134" w:hanging="1134"/>
      </w:pPr>
      <w:r w:rsidRPr="0094625E">
        <w:t>CDF</w:t>
      </w:r>
      <w:r w:rsidRPr="0094625E">
        <w:tab/>
        <w:t>Chief of the Defence Force</w:t>
      </w:r>
    </w:p>
    <w:p w14:paraId="66BE8F71" w14:textId="77777777" w:rsidR="00FA6CC1" w:rsidRPr="0094625E" w:rsidRDefault="00FA6CC1" w:rsidP="00D86A3F">
      <w:pPr>
        <w:spacing w:before="60" w:after="60"/>
        <w:ind w:left="1134" w:hanging="1134"/>
      </w:pPr>
      <w:r w:rsidRPr="0094625E">
        <w:t>CER</w:t>
      </w:r>
      <w:r w:rsidRPr="0094625E">
        <w:tab/>
        <w:t>Combat Engineer Regiment</w:t>
      </w:r>
    </w:p>
    <w:p w14:paraId="3791D5AA" w14:textId="77777777" w:rsidR="00BC6526" w:rsidRPr="0094625E" w:rsidRDefault="00BC6526" w:rsidP="00D86A3F">
      <w:pPr>
        <w:spacing w:before="60" w:after="60"/>
        <w:ind w:left="1134" w:hanging="1134"/>
      </w:pPr>
      <w:r w:rsidRPr="0094625E">
        <w:t>CERT</w:t>
      </w:r>
      <w:r w:rsidRPr="0094625E">
        <w:tab/>
        <w:t>Computer Emergency Response Teams</w:t>
      </w:r>
    </w:p>
    <w:p w14:paraId="70BEBF02" w14:textId="77777777" w:rsidR="00041463" w:rsidRPr="0094625E" w:rsidRDefault="00041463" w:rsidP="00D86A3F">
      <w:pPr>
        <w:spacing w:before="60" w:after="60"/>
        <w:ind w:left="1134" w:hanging="1134"/>
      </w:pPr>
      <w:r w:rsidRPr="0094625E">
        <w:t>CIRP</w:t>
      </w:r>
      <w:r w:rsidRPr="0094625E">
        <w:tab/>
      </w:r>
      <w:r w:rsidRPr="0094625E">
        <w:tab/>
      </w:r>
      <w:r w:rsidRPr="0094625E">
        <w:tab/>
      </w:r>
      <w:r w:rsidRPr="0094625E">
        <w:tab/>
        <w:t>Critica</w:t>
      </w:r>
      <w:r w:rsidR="0090287E" w:rsidRPr="0094625E">
        <w:t>l I</w:t>
      </w:r>
      <w:r w:rsidRPr="0094625E">
        <w:t>nfrastructure Recovery Project</w:t>
      </w:r>
    </w:p>
    <w:p w14:paraId="60B2B147" w14:textId="77777777" w:rsidR="00041463" w:rsidRPr="0094625E" w:rsidRDefault="00041463" w:rsidP="00D86A3F">
      <w:pPr>
        <w:spacing w:before="60" w:after="60"/>
        <w:ind w:left="1134" w:hanging="1134"/>
      </w:pPr>
      <w:r w:rsidRPr="0094625E">
        <w:t>CMATS</w:t>
      </w:r>
      <w:r w:rsidRPr="0094625E">
        <w:tab/>
        <w:t>Civil Military Air Traffic System</w:t>
      </w:r>
    </w:p>
    <w:p w14:paraId="4247CCE1" w14:textId="77777777" w:rsidR="000216AF" w:rsidRPr="0094625E" w:rsidRDefault="000216AF" w:rsidP="00D86A3F">
      <w:pPr>
        <w:spacing w:before="60" w:after="60"/>
        <w:ind w:left="1134" w:hanging="1134"/>
      </w:pPr>
      <w:r w:rsidRPr="0094625E">
        <w:t>COMSEC</w:t>
      </w:r>
      <w:r w:rsidRPr="0094625E">
        <w:tab/>
        <w:t>Communications Security</w:t>
      </w:r>
    </w:p>
    <w:p w14:paraId="578BB6A4" w14:textId="77777777" w:rsidR="00FA6CC1" w:rsidRPr="0094625E" w:rsidRDefault="00FA6CC1" w:rsidP="00A87CBC">
      <w:pPr>
        <w:spacing w:before="60" w:after="60"/>
        <w:ind w:left="1134" w:hanging="1134"/>
      </w:pPr>
      <w:r w:rsidRPr="0094625E">
        <w:t>COVID-19</w:t>
      </w:r>
      <w:r w:rsidRPr="0094625E">
        <w:tab/>
        <w:t>Coronavirus Disease 2019</w:t>
      </w:r>
    </w:p>
    <w:p w14:paraId="25EAA8CA" w14:textId="77777777" w:rsidR="00A87CBC" w:rsidRPr="0094625E" w:rsidRDefault="00A87CBC" w:rsidP="00FA6CC1">
      <w:pPr>
        <w:spacing w:before="60" w:after="60"/>
        <w:ind w:left="1134" w:hanging="1134"/>
      </w:pPr>
      <w:r w:rsidRPr="0094625E">
        <w:t>CPI</w:t>
      </w:r>
      <w:r w:rsidRPr="0094625E">
        <w:tab/>
        <w:t>Consumer Price Index</w:t>
      </w:r>
    </w:p>
    <w:p w14:paraId="365A26D9" w14:textId="77777777" w:rsidR="00041463" w:rsidRPr="0094625E" w:rsidRDefault="005D17E4" w:rsidP="00FA6CC1">
      <w:pPr>
        <w:spacing w:before="60" w:after="60"/>
        <w:ind w:left="1134" w:hanging="1134"/>
      </w:pPr>
      <w:r w:rsidRPr="0094625E">
        <w:t>CSC</w:t>
      </w:r>
      <w:r w:rsidRPr="0094625E">
        <w:tab/>
        <w:t xml:space="preserve">Commonwealth Superannuation Corporation / </w:t>
      </w:r>
      <w:r w:rsidR="00041463" w:rsidRPr="0094625E">
        <w:tab/>
        <w:t>Conspicuous Service Cross</w:t>
      </w:r>
    </w:p>
    <w:p w14:paraId="3B912807" w14:textId="77777777" w:rsidR="00560D5B" w:rsidRPr="0094625E" w:rsidRDefault="00560D5B" w:rsidP="00FA6CC1">
      <w:pPr>
        <w:pStyle w:val="HeadingRunIn"/>
        <w:keepNext w:val="0"/>
        <w:tabs>
          <w:tab w:val="left" w:pos="280"/>
        </w:tabs>
        <w:spacing w:before="100" w:after="60" w:line="240" w:lineRule="auto"/>
        <w:rPr>
          <w:rFonts w:ascii="Arial" w:hAnsi="Arial" w:cs="Arial"/>
          <w:smallCaps/>
          <w:color w:val="auto"/>
          <w:w w:val="100"/>
          <w:sz w:val="26"/>
          <w:szCs w:val="26"/>
          <w:lang w:val="en-AU"/>
        </w:rPr>
      </w:pPr>
      <w:r w:rsidRPr="0094625E">
        <w:rPr>
          <w:rFonts w:ascii="Arial" w:hAnsi="Arial" w:cs="Arial"/>
          <w:smallCaps/>
          <w:color w:val="auto"/>
          <w:w w:val="100"/>
          <w:sz w:val="26"/>
          <w:szCs w:val="26"/>
          <w:lang w:val="en-AU"/>
        </w:rPr>
        <w:t>D</w:t>
      </w:r>
    </w:p>
    <w:p w14:paraId="4AB95C2D" w14:textId="77777777" w:rsidR="003805A3" w:rsidRPr="0094625E" w:rsidRDefault="003805A3" w:rsidP="00E3416E">
      <w:pPr>
        <w:spacing w:before="60" w:after="60"/>
        <w:ind w:left="1134" w:hanging="1134"/>
      </w:pPr>
      <w:r w:rsidRPr="0094625E">
        <w:t>DACC</w:t>
      </w:r>
      <w:r w:rsidRPr="0094625E">
        <w:tab/>
        <w:t>Defence Assistance to the Civil Community</w:t>
      </w:r>
    </w:p>
    <w:p w14:paraId="4411F6B3" w14:textId="77777777" w:rsidR="00FA6CC1" w:rsidRPr="0094625E" w:rsidRDefault="00FA6CC1" w:rsidP="00D86A3F">
      <w:pPr>
        <w:spacing w:before="60" w:after="60"/>
        <w:ind w:left="1134" w:hanging="1134"/>
      </w:pPr>
      <w:r w:rsidRPr="0094625E">
        <w:t>DCB</w:t>
      </w:r>
      <w:r w:rsidRPr="0094625E">
        <w:tab/>
        <w:t>Defence Capital Budget</w:t>
      </w:r>
    </w:p>
    <w:p w14:paraId="00320E64" w14:textId="77777777" w:rsidR="00032B95" w:rsidRPr="0094625E" w:rsidRDefault="00032B95" w:rsidP="00D86A3F">
      <w:pPr>
        <w:spacing w:before="60" w:after="60"/>
        <w:ind w:left="1134" w:hanging="1134"/>
      </w:pPr>
      <w:r w:rsidRPr="0094625E">
        <w:t>DCP</w:t>
      </w:r>
      <w:r w:rsidRPr="0094625E">
        <w:tab/>
        <w:t>Defence Cooperation Program</w:t>
      </w:r>
    </w:p>
    <w:p w14:paraId="1B5ED23F" w14:textId="77777777" w:rsidR="003805A3" w:rsidRPr="0094625E" w:rsidRDefault="003805A3" w:rsidP="00E3416E">
      <w:pPr>
        <w:spacing w:before="60" w:after="60"/>
        <w:ind w:left="1134" w:hanging="1134"/>
      </w:pPr>
      <w:r w:rsidRPr="0094625E">
        <w:t>DDG</w:t>
      </w:r>
      <w:r w:rsidRPr="0094625E">
        <w:tab/>
        <w:t>Hobart Class Air Warfare Destroyers</w:t>
      </w:r>
    </w:p>
    <w:p w14:paraId="1FB46C0B" w14:textId="77777777" w:rsidR="003805A3" w:rsidRPr="0094625E" w:rsidRDefault="003805A3" w:rsidP="00E3416E">
      <w:pPr>
        <w:spacing w:before="60" w:after="60"/>
        <w:ind w:left="1134" w:hanging="1134"/>
      </w:pPr>
      <w:r w:rsidRPr="0094625E">
        <w:t>DFRB</w:t>
      </w:r>
      <w:r w:rsidRPr="0094625E">
        <w:tab/>
        <w:t>Defence Force Retirement Benefits</w:t>
      </w:r>
    </w:p>
    <w:p w14:paraId="67A1A9DA" w14:textId="77777777" w:rsidR="003805A3" w:rsidRPr="0094625E" w:rsidRDefault="003805A3" w:rsidP="00E3416E">
      <w:pPr>
        <w:spacing w:before="60" w:after="60"/>
        <w:ind w:left="1134" w:hanging="1134"/>
      </w:pPr>
      <w:r w:rsidRPr="0094625E">
        <w:t>DFRDB</w:t>
      </w:r>
      <w:r w:rsidRPr="0094625E">
        <w:tab/>
        <w:t>Defence Force Retirement and Death Benefits Scheme</w:t>
      </w:r>
    </w:p>
    <w:p w14:paraId="3FFDF174" w14:textId="77777777" w:rsidR="00FA6CC1" w:rsidRPr="0094625E" w:rsidRDefault="00FA6CC1" w:rsidP="00E3416E">
      <w:pPr>
        <w:spacing w:before="60" w:after="60"/>
        <w:ind w:left="1134" w:hanging="1134"/>
      </w:pPr>
      <w:r w:rsidRPr="0094625E">
        <w:t>DGST</w:t>
      </w:r>
      <w:r w:rsidRPr="0094625E">
        <w:tab/>
        <w:t>Deployable Geospatial Support</w:t>
      </w:r>
    </w:p>
    <w:p w14:paraId="0C24C024" w14:textId="77777777" w:rsidR="003805A3" w:rsidRPr="0094625E" w:rsidRDefault="003805A3" w:rsidP="00E3416E">
      <w:pPr>
        <w:spacing w:before="60" w:after="60"/>
        <w:ind w:left="1134" w:hanging="1134"/>
      </w:pPr>
      <w:r w:rsidRPr="0094625E">
        <w:t>DHA</w:t>
      </w:r>
      <w:r w:rsidRPr="0094625E">
        <w:tab/>
        <w:t>Defence Housing Australia</w:t>
      </w:r>
    </w:p>
    <w:p w14:paraId="78EBE61D" w14:textId="77777777" w:rsidR="00FA6CC1" w:rsidRPr="0094625E" w:rsidRDefault="00FA6CC1" w:rsidP="00E3416E">
      <w:pPr>
        <w:spacing w:before="60" w:after="60"/>
        <w:ind w:left="1134" w:hanging="1134"/>
      </w:pPr>
      <w:r w:rsidRPr="0094625E">
        <w:t>DHOAS</w:t>
      </w:r>
      <w:r w:rsidRPr="0094625E">
        <w:tab/>
        <w:t xml:space="preserve">Defence Home </w:t>
      </w:r>
      <w:r w:rsidR="00344A1C" w:rsidRPr="0094625E">
        <w:t>Ownership</w:t>
      </w:r>
      <w:r w:rsidRPr="0094625E">
        <w:t xml:space="preserve"> Assistance Sche</w:t>
      </w:r>
      <w:r w:rsidR="00344A1C" w:rsidRPr="0094625E">
        <w:t>me</w:t>
      </w:r>
    </w:p>
    <w:p w14:paraId="0CE7D9DA" w14:textId="77777777" w:rsidR="00344A1C" w:rsidRPr="0094625E" w:rsidRDefault="00344A1C" w:rsidP="00D86A3F">
      <w:pPr>
        <w:spacing w:before="60" w:after="60"/>
        <w:ind w:left="1134" w:hanging="1134"/>
      </w:pPr>
      <w:r w:rsidRPr="0094625E">
        <w:t>DISR</w:t>
      </w:r>
      <w:r w:rsidRPr="0094625E">
        <w:tab/>
        <w:t>Department of Industry, Science and Resources</w:t>
      </w:r>
    </w:p>
    <w:p w14:paraId="359D48A7" w14:textId="77777777" w:rsidR="00041463" w:rsidRPr="0094625E" w:rsidRDefault="00041463" w:rsidP="00D86A3F">
      <w:pPr>
        <w:spacing w:before="60" w:after="60"/>
        <w:ind w:left="1134" w:hanging="1134"/>
      </w:pPr>
      <w:r w:rsidRPr="0094625E">
        <w:t>DITC</w:t>
      </w:r>
      <w:r w:rsidRPr="0094625E">
        <w:tab/>
        <w:t>Defence International Training Centre</w:t>
      </w:r>
    </w:p>
    <w:p w14:paraId="6DF8FAF1" w14:textId="77777777" w:rsidR="005D17E4" w:rsidRPr="0094625E" w:rsidRDefault="005D17E4" w:rsidP="00D86A3F">
      <w:pPr>
        <w:spacing w:before="60" w:after="60"/>
        <w:ind w:left="1134" w:hanging="1134"/>
      </w:pPr>
      <w:r w:rsidRPr="0094625E">
        <w:t>DMFS</w:t>
      </w:r>
      <w:r w:rsidRPr="0094625E">
        <w:tab/>
        <w:t>Defence Member and Family Support Branch</w:t>
      </w:r>
    </w:p>
    <w:p w14:paraId="03BFEC4F" w14:textId="77777777" w:rsidR="00A954CB" w:rsidRPr="0094625E" w:rsidRDefault="00A954CB" w:rsidP="00A954CB">
      <w:pPr>
        <w:pStyle w:val="HeadingRunIn"/>
        <w:keepNext w:val="0"/>
        <w:tabs>
          <w:tab w:val="left" w:pos="280"/>
        </w:tabs>
        <w:spacing w:before="100" w:after="60" w:line="240" w:lineRule="auto"/>
        <w:rPr>
          <w:rFonts w:ascii="Arial" w:hAnsi="Arial" w:cs="Arial"/>
          <w:smallCaps/>
          <w:color w:val="auto"/>
          <w:w w:val="100"/>
          <w:sz w:val="26"/>
          <w:szCs w:val="26"/>
          <w:lang w:val="en-AU"/>
        </w:rPr>
      </w:pPr>
      <w:r w:rsidRPr="0094625E">
        <w:rPr>
          <w:rFonts w:ascii="Arial" w:hAnsi="Arial" w:cs="Arial"/>
          <w:smallCaps/>
          <w:color w:val="auto"/>
          <w:w w:val="100"/>
          <w:sz w:val="26"/>
          <w:szCs w:val="26"/>
          <w:lang w:val="en-AU"/>
        </w:rPr>
        <w:lastRenderedPageBreak/>
        <w:t>D</w:t>
      </w:r>
    </w:p>
    <w:p w14:paraId="74D956CE" w14:textId="77777777" w:rsidR="004E0080" w:rsidRPr="0094625E" w:rsidRDefault="004E0080" w:rsidP="00D86A3F">
      <w:pPr>
        <w:spacing w:before="60" w:after="60"/>
        <w:ind w:left="1134" w:hanging="1134"/>
      </w:pPr>
      <w:r w:rsidRPr="0094625E">
        <w:t>D-RAP</w:t>
      </w:r>
      <w:r w:rsidRPr="0094625E">
        <w:tab/>
        <w:t>Defence Reconciliation Action Plan</w:t>
      </w:r>
    </w:p>
    <w:p w14:paraId="50E4214F" w14:textId="77777777" w:rsidR="005D17E4" w:rsidRPr="0094625E" w:rsidRDefault="005D17E4" w:rsidP="00D86A3F">
      <w:pPr>
        <w:spacing w:before="60" w:after="60"/>
        <w:ind w:left="1134" w:hanging="1134"/>
      </w:pPr>
      <w:r w:rsidRPr="0094625E">
        <w:t>DSAS</w:t>
      </w:r>
      <w:r w:rsidRPr="0094625E">
        <w:tab/>
        <w:t>Data Sharing and Analytical Services</w:t>
      </w:r>
    </w:p>
    <w:p w14:paraId="5ADEB2EF" w14:textId="77777777" w:rsidR="00041463" w:rsidRPr="0094625E" w:rsidRDefault="00041463" w:rsidP="00D86A3F">
      <w:pPr>
        <w:spacing w:before="60" w:after="60"/>
        <w:ind w:left="1134" w:hanging="1134"/>
      </w:pPr>
      <w:r w:rsidRPr="0094625E">
        <w:t>DSC</w:t>
      </w:r>
      <w:r w:rsidRPr="0094625E">
        <w:tab/>
        <w:t>Distinguished Service Cross</w:t>
      </w:r>
    </w:p>
    <w:p w14:paraId="2C834F7F" w14:textId="77777777" w:rsidR="00FA6CC1" w:rsidRPr="0094625E" w:rsidRDefault="00FA6CC1" w:rsidP="00D86A3F">
      <w:pPr>
        <w:spacing w:before="60" w:after="60"/>
        <w:ind w:left="1134" w:hanging="1134"/>
      </w:pPr>
      <w:r w:rsidRPr="0094625E">
        <w:t>DSM</w:t>
      </w:r>
      <w:r w:rsidRPr="0094625E">
        <w:tab/>
        <w:t>Distinguished Service Medal</w:t>
      </w:r>
    </w:p>
    <w:p w14:paraId="448D785A" w14:textId="77777777" w:rsidR="000836CD" w:rsidRPr="0094625E" w:rsidRDefault="000836CD" w:rsidP="00D86A3F">
      <w:pPr>
        <w:spacing w:before="60" w:after="60"/>
        <w:ind w:left="1134" w:hanging="1134"/>
      </w:pPr>
      <w:r w:rsidRPr="0094625E">
        <w:t>DSR</w:t>
      </w:r>
      <w:r w:rsidRPr="0094625E">
        <w:tab/>
        <w:t>Defence Strategic Review</w:t>
      </w:r>
    </w:p>
    <w:p w14:paraId="024EFDE6" w14:textId="77777777" w:rsidR="00210619" w:rsidRPr="0094625E" w:rsidRDefault="00210619" w:rsidP="00D86A3F">
      <w:pPr>
        <w:spacing w:before="60" w:after="60"/>
        <w:ind w:left="1134" w:hanging="1134"/>
      </w:pPr>
      <w:r w:rsidRPr="0094625E">
        <w:t>DSTG</w:t>
      </w:r>
      <w:r w:rsidRPr="0094625E">
        <w:tab/>
        <w:t>Defence Science and Technology Group</w:t>
      </w:r>
    </w:p>
    <w:p w14:paraId="2B6F14EE" w14:textId="77777777" w:rsidR="00041463" w:rsidRPr="0094625E" w:rsidRDefault="00041463" w:rsidP="00D86A3F">
      <w:pPr>
        <w:spacing w:before="60" w:after="60"/>
        <w:ind w:left="1134" w:hanging="1134"/>
      </w:pPr>
      <w:r w:rsidRPr="0094625E">
        <w:t>DVA</w:t>
      </w:r>
      <w:r w:rsidRPr="0094625E">
        <w:tab/>
        <w:t>Department of Veterans’ Affairs</w:t>
      </w:r>
    </w:p>
    <w:p w14:paraId="5F82C707" w14:textId="77777777" w:rsidR="00041463" w:rsidRPr="0040014B" w:rsidRDefault="00041463" w:rsidP="0040014B">
      <w:pPr>
        <w:pStyle w:val="HeadingRunIn"/>
        <w:keepNext w:val="0"/>
        <w:tabs>
          <w:tab w:val="left" w:pos="280"/>
        </w:tabs>
        <w:spacing w:after="60" w:line="240" w:lineRule="auto"/>
        <w:rPr>
          <w:rFonts w:ascii="Arial" w:hAnsi="Arial" w:cs="Arial"/>
          <w:smallCaps/>
          <w:color w:val="auto"/>
          <w:w w:val="100"/>
          <w:sz w:val="26"/>
          <w:szCs w:val="26"/>
          <w:lang w:val="en-AU"/>
        </w:rPr>
      </w:pPr>
      <w:r w:rsidRPr="0040014B">
        <w:rPr>
          <w:rFonts w:ascii="Arial" w:hAnsi="Arial" w:cs="Arial"/>
          <w:smallCaps/>
          <w:color w:val="auto"/>
          <w:w w:val="100"/>
          <w:sz w:val="26"/>
          <w:szCs w:val="26"/>
          <w:lang w:val="en-AU"/>
        </w:rPr>
        <w:t>E</w:t>
      </w:r>
    </w:p>
    <w:p w14:paraId="371A3CD9" w14:textId="77777777" w:rsidR="00770984" w:rsidRPr="0094625E" w:rsidRDefault="00770984" w:rsidP="00D86A3F">
      <w:pPr>
        <w:spacing w:before="60" w:after="60"/>
        <w:ind w:left="1134" w:hanging="1134"/>
      </w:pPr>
      <w:r w:rsidRPr="0094625E">
        <w:t>EDHFC</w:t>
      </w:r>
      <w:r w:rsidRPr="0094625E">
        <w:tab/>
        <w:t>Enhanced Defen</w:t>
      </w:r>
      <w:r w:rsidR="00061D25" w:rsidRPr="0094625E">
        <w:t>c</w:t>
      </w:r>
      <w:r w:rsidRPr="0094625E">
        <w:t>e High-Frequency Communications</w:t>
      </w:r>
    </w:p>
    <w:p w14:paraId="049D1A7E" w14:textId="77777777" w:rsidR="00210619" w:rsidRPr="0094625E" w:rsidRDefault="00210619" w:rsidP="00D86A3F">
      <w:pPr>
        <w:spacing w:before="60" w:after="60"/>
        <w:ind w:left="1134" w:hanging="1134"/>
      </w:pPr>
      <w:r w:rsidRPr="0094625E">
        <w:t>EEIP</w:t>
      </w:r>
      <w:r w:rsidRPr="0094625E">
        <w:tab/>
        <w:t>Enterprise Estate and Infrastructure Program</w:t>
      </w:r>
    </w:p>
    <w:p w14:paraId="1A0DF618" w14:textId="77777777" w:rsidR="00041463" w:rsidRPr="0094625E" w:rsidRDefault="00041463" w:rsidP="00D86A3F">
      <w:pPr>
        <w:spacing w:before="60" w:after="60"/>
        <w:ind w:left="1134" w:hanging="1134"/>
      </w:pPr>
      <w:r w:rsidRPr="0094625E">
        <w:t>ELF</w:t>
      </w:r>
      <w:r w:rsidRPr="0094625E">
        <w:tab/>
        <w:t>Enhanced Land Force</w:t>
      </w:r>
    </w:p>
    <w:p w14:paraId="24A6B18A" w14:textId="77777777" w:rsidR="00FA6CC1" w:rsidRPr="0094625E" w:rsidRDefault="00FA6CC1" w:rsidP="00D86A3F">
      <w:pPr>
        <w:spacing w:before="60" w:after="60"/>
        <w:ind w:left="1134" w:hanging="1134"/>
      </w:pPr>
      <w:r w:rsidRPr="0094625E">
        <w:t>ERP</w:t>
      </w:r>
      <w:r w:rsidRPr="0094625E">
        <w:tab/>
        <w:t>Enterprise Resource Planning</w:t>
      </w:r>
    </w:p>
    <w:p w14:paraId="29F5C52A" w14:textId="77777777" w:rsidR="00FA6CC1" w:rsidRPr="0094625E" w:rsidRDefault="00FA6CC1" w:rsidP="00D86A3F">
      <w:pPr>
        <w:spacing w:before="60" w:after="60"/>
        <w:ind w:left="1134" w:hanging="1134"/>
      </w:pPr>
      <w:r w:rsidRPr="0094625E">
        <w:t>EW</w:t>
      </w:r>
      <w:r w:rsidRPr="0094625E">
        <w:tab/>
        <w:t>Electronic Warfare</w:t>
      </w:r>
    </w:p>
    <w:p w14:paraId="5499A16A" w14:textId="77777777" w:rsidR="00560D5B" w:rsidRPr="0094625E" w:rsidRDefault="00560D5B" w:rsidP="00056CEA">
      <w:pPr>
        <w:pStyle w:val="HeadingRunIn"/>
        <w:keepNext w:val="0"/>
        <w:tabs>
          <w:tab w:val="left" w:pos="280"/>
        </w:tabs>
        <w:spacing w:after="60" w:line="240" w:lineRule="auto"/>
        <w:rPr>
          <w:rFonts w:ascii="Arial" w:hAnsi="Arial" w:cs="Arial"/>
          <w:smallCaps/>
          <w:color w:val="auto"/>
          <w:w w:val="100"/>
          <w:sz w:val="26"/>
          <w:szCs w:val="26"/>
          <w:lang w:val="en-AU"/>
        </w:rPr>
      </w:pPr>
      <w:r w:rsidRPr="0094625E">
        <w:rPr>
          <w:rFonts w:ascii="Arial" w:hAnsi="Arial" w:cs="Arial"/>
          <w:smallCaps/>
          <w:color w:val="auto"/>
          <w:w w:val="100"/>
          <w:sz w:val="26"/>
          <w:szCs w:val="26"/>
          <w:lang w:val="en-AU"/>
        </w:rPr>
        <w:t>F</w:t>
      </w:r>
    </w:p>
    <w:p w14:paraId="24D25273" w14:textId="77777777" w:rsidR="00972274" w:rsidRPr="0094625E" w:rsidRDefault="00972274" w:rsidP="00E3416E">
      <w:pPr>
        <w:spacing w:before="60" w:after="60"/>
        <w:ind w:left="1134" w:hanging="1134"/>
        <w:rPr>
          <w:lang w:val="en-AU"/>
        </w:rPr>
      </w:pPr>
      <w:r w:rsidRPr="0094625E">
        <w:rPr>
          <w:lang w:val="en-AU"/>
        </w:rPr>
        <w:t>FAICD</w:t>
      </w:r>
      <w:r w:rsidRPr="0094625E">
        <w:tab/>
      </w:r>
      <w:r w:rsidRPr="0094625E">
        <w:rPr>
          <w:lang w:val="en-AU"/>
        </w:rPr>
        <w:t>Fellow of the Australian Institute of Company Directors</w:t>
      </w:r>
    </w:p>
    <w:p w14:paraId="33B1D1AE" w14:textId="77777777" w:rsidR="00972274" w:rsidRPr="0094625E" w:rsidRDefault="00972274" w:rsidP="00E3416E">
      <w:pPr>
        <w:spacing w:before="60" w:after="60"/>
        <w:ind w:left="1134" w:hanging="1134"/>
        <w:rPr>
          <w:lang w:val="en-AU"/>
        </w:rPr>
      </w:pPr>
      <w:r w:rsidRPr="0094625E">
        <w:rPr>
          <w:lang w:val="en-AU"/>
        </w:rPr>
        <w:t>FCA</w:t>
      </w:r>
      <w:r w:rsidRPr="0094625E">
        <w:rPr>
          <w:lang w:val="en-AU"/>
        </w:rPr>
        <w:tab/>
        <w:t>Fellow Chartered Accountant</w:t>
      </w:r>
    </w:p>
    <w:p w14:paraId="47C5DA20" w14:textId="77777777" w:rsidR="003805A3" w:rsidRPr="0094625E" w:rsidRDefault="003805A3" w:rsidP="00E3416E">
      <w:pPr>
        <w:spacing w:before="60" w:after="60"/>
        <w:ind w:left="1134" w:hanging="1134"/>
      </w:pPr>
      <w:r w:rsidRPr="0094625E">
        <w:t>FFH</w:t>
      </w:r>
      <w:r w:rsidRPr="0094625E">
        <w:tab/>
      </w:r>
      <w:r w:rsidR="00946D56" w:rsidRPr="0094625E">
        <w:t xml:space="preserve">Fast Frigate Helicopter / Helicopter Capable Frigate - </w:t>
      </w:r>
      <w:r w:rsidRPr="0094625E">
        <w:t>Anzac Class Frigate</w:t>
      </w:r>
    </w:p>
    <w:p w14:paraId="0C4DD645" w14:textId="77777777" w:rsidR="00041463" w:rsidRPr="0094625E" w:rsidRDefault="00041463" w:rsidP="00D86A3F">
      <w:pPr>
        <w:spacing w:before="60" w:after="60"/>
        <w:ind w:left="1134" w:hanging="1134"/>
      </w:pPr>
      <w:r w:rsidRPr="0094625E">
        <w:t>FMS</w:t>
      </w:r>
      <w:r w:rsidRPr="0094625E">
        <w:tab/>
        <w:t>Foreign Military Sales</w:t>
      </w:r>
    </w:p>
    <w:p w14:paraId="2121C3F9" w14:textId="77777777" w:rsidR="0079234C" w:rsidRPr="0094625E" w:rsidRDefault="0079234C" w:rsidP="00D86A3F">
      <w:pPr>
        <w:spacing w:before="60" w:after="60"/>
        <w:ind w:left="1134" w:hanging="1134"/>
      </w:pPr>
      <w:r w:rsidRPr="0094625E">
        <w:t>FOC</w:t>
      </w:r>
      <w:r w:rsidRPr="0094625E">
        <w:tab/>
      </w:r>
      <w:r w:rsidR="00FC0483" w:rsidRPr="0094625E">
        <w:t>Final Operational Capability</w:t>
      </w:r>
    </w:p>
    <w:p w14:paraId="2767F60F" w14:textId="77777777" w:rsidR="00946D56" w:rsidRPr="0094625E" w:rsidRDefault="00946D56" w:rsidP="00D86A3F">
      <w:pPr>
        <w:spacing w:before="60" w:after="60"/>
        <w:ind w:left="1134" w:hanging="1134"/>
      </w:pPr>
      <w:r w:rsidRPr="0094625E">
        <w:t>FTE</w:t>
      </w:r>
      <w:r w:rsidRPr="0094625E">
        <w:tab/>
        <w:t xml:space="preserve"> Full Time Equivalent</w:t>
      </w:r>
    </w:p>
    <w:p w14:paraId="5A5765AE" w14:textId="77777777" w:rsidR="00041463" w:rsidRPr="0094625E" w:rsidRDefault="00041463" w:rsidP="00056CEA">
      <w:pPr>
        <w:pStyle w:val="HeadingRunIn"/>
        <w:keepNext w:val="0"/>
        <w:tabs>
          <w:tab w:val="left" w:pos="280"/>
        </w:tabs>
        <w:spacing w:after="60" w:line="240" w:lineRule="auto"/>
        <w:rPr>
          <w:rFonts w:ascii="Arial" w:hAnsi="Arial" w:cs="Arial"/>
          <w:smallCaps/>
          <w:color w:val="auto"/>
          <w:w w:val="100"/>
          <w:sz w:val="26"/>
          <w:szCs w:val="26"/>
          <w:lang w:val="en-AU"/>
        </w:rPr>
      </w:pPr>
      <w:r w:rsidRPr="0094625E">
        <w:rPr>
          <w:rFonts w:ascii="Arial" w:hAnsi="Arial" w:cs="Arial"/>
          <w:smallCaps/>
          <w:color w:val="auto"/>
          <w:w w:val="100"/>
          <w:sz w:val="26"/>
          <w:szCs w:val="26"/>
          <w:lang w:val="en-AU"/>
        </w:rPr>
        <w:t>G</w:t>
      </w:r>
    </w:p>
    <w:p w14:paraId="65E4A1F2" w14:textId="77777777" w:rsidR="004D3515" w:rsidRPr="0094625E" w:rsidRDefault="004D3515" w:rsidP="004E0080">
      <w:pPr>
        <w:spacing w:before="60" w:after="60"/>
        <w:ind w:left="1134" w:hanging="1134"/>
      </w:pPr>
      <w:r w:rsidRPr="0094625E">
        <w:t>GA</w:t>
      </w:r>
      <w:r w:rsidRPr="0094625E">
        <w:tab/>
        <w:t>Geoscience Australia</w:t>
      </w:r>
    </w:p>
    <w:p w14:paraId="0F25A3AC" w14:textId="77777777" w:rsidR="004E0080" w:rsidRPr="0094625E" w:rsidRDefault="00041463" w:rsidP="004E0080">
      <w:pPr>
        <w:spacing w:before="60" w:after="60"/>
        <w:ind w:left="1134" w:hanging="1134"/>
      </w:pPr>
      <w:r w:rsidRPr="0094625E">
        <w:t>GBE</w:t>
      </w:r>
      <w:r w:rsidRPr="0094625E">
        <w:tab/>
        <w:t>Government Business Enterprise</w:t>
      </w:r>
    </w:p>
    <w:p w14:paraId="3204C066" w14:textId="77777777" w:rsidR="0079234C" w:rsidRPr="0094625E" w:rsidRDefault="0079234C" w:rsidP="004E0080">
      <w:pPr>
        <w:spacing w:before="60" w:after="60"/>
        <w:ind w:left="1134" w:hanging="1134"/>
      </w:pPr>
      <w:r w:rsidRPr="0094625E">
        <w:t>GOCO</w:t>
      </w:r>
      <w:r w:rsidRPr="0094625E">
        <w:tab/>
        <w:t>Government Owned Contractor Operated</w:t>
      </w:r>
    </w:p>
    <w:p w14:paraId="7B55C465" w14:textId="77777777" w:rsidR="00EE550A" w:rsidRPr="0094625E" w:rsidRDefault="00EE550A" w:rsidP="004E0080">
      <w:pPr>
        <w:spacing w:before="60" w:after="60"/>
        <w:ind w:left="1134" w:hanging="1134"/>
      </w:pPr>
      <w:r w:rsidRPr="0094625E">
        <w:t>GST</w:t>
      </w:r>
      <w:r w:rsidRPr="0094625E">
        <w:tab/>
        <w:t>Good and Services Tax</w:t>
      </w:r>
    </w:p>
    <w:p w14:paraId="245C5180" w14:textId="77777777" w:rsidR="00560D5B" w:rsidRPr="0094625E" w:rsidRDefault="00560D5B" w:rsidP="00056CEA">
      <w:pPr>
        <w:pStyle w:val="HeadingRunIn"/>
        <w:keepNext w:val="0"/>
        <w:tabs>
          <w:tab w:val="left" w:pos="280"/>
        </w:tabs>
        <w:spacing w:after="60" w:line="240" w:lineRule="auto"/>
        <w:rPr>
          <w:rFonts w:ascii="Arial" w:hAnsi="Arial" w:cs="Arial"/>
          <w:smallCaps/>
          <w:color w:val="auto"/>
          <w:w w:val="100"/>
          <w:sz w:val="26"/>
          <w:szCs w:val="26"/>
          <w:lang w:val="en-AU"/>
        </w:rPr>
      </w:pPr>
      <w:r w:rsidRPr="0094625E">
        <w:rPr>
          <w:rFonts w:ascii="Arial" w:hAnsi="Arial" w:cs="Arial"/>
          <w:smallCaps/>
          <w:color w:val="auto"/>
          <w:w w:val="100"/>
          <w:sz w:val="26"/>
          <w:szCs w:val="26"/>
          <w:lang w:val="en-AU"/>
        </w:rPr>
        <w:t>H</w:t>
      </w:r>
    </w:p>
    <w:p w14:paraId="04AF6A41" w14:textId="77777777" w:rsidR="004E0080" w:rsidRPr="0094625E" w:rsidRDefault="004E0080" w:rsidP="00E3416E">
      <w:pPr>
        <w:spacing w:before="60" w:after="60"/>
        <w:ind w:left="1134" w:hanging="1134"/>
      </w:pPr>
      <w:r w:rsidRPr="0094625E">
        <w:t>HIPP</w:t>
      </w:r>
      <w:r w:rsidRPr="0094625E">
        <w:tab/>
        <w:t>Hydro</w:t>
      </w:r>
      <w:r w:rsidR="00946D56" w:rsidRPr="0094625E">
        <w:t>S</w:t>
      </w:r>
      <w:r w:rsidRPr="0094625E">
        <w:t>cheme Industry Partnership Program</w:t>
      </w:r>
    </w:p>
    <w:p w14:paraId="588BEF6B" w14:textId="77777777" w:rsidR="00377611" w:rsidRPr="0094625E" w:rsidRDefault="00377611" w:rsidP="00E3416E">
      <w:pPr>
        <w:spacing w:before="60" w:after="60"/>
        <w:ind w:left="1134" w:hanging="1134"/>
      </w:pPr>
      <w:r w:rsidRPr="0094625E">
        <w:t>HKM</w:t>
      </w:r>
      <w:r w:rsidRPr="0094625E">
        <w:tab/>
        <w:t>Health Knowledge Management</w:t>
      </w:r>
    </w:p>
    <w:p w14:paraId="0B6CB15E" w14:textId="77777777" w:rsidR="00946D56" w:rsidRPr="0094625E" w:rsidRDefault="00946D56" w:rsidP="00E3416E">
      <w:pPr>
        <w:spacing w:before="60" w:after="60"/>
        <w:ind w:left="1134" w:hanging="1134"/>
      </w:pPr>
      <w:r w:rsidRPr="0094625E">
        <w:t>HS</w:t>
      </w:r>
      <w:r w:rsidRPr="0094625E">
        <w:tab/>
        <w:t>Hydrographic ship</w:t>
      </w:r>
    </w:p>
    <w:p w14:paraId="63DD204A" w14:textId="77777777" w:rsidR="003805A3" w:rsidRPr="0094625E" w:rsidRDefault="003805A3" w:rsidP="00E3416E">
      <w:pPr>
        <w:spacing w:before="60" w:after="60"/>
        <w:ind w:left="1134" w:hanging="1134"/>
      </w:pPr>
      <w:r w:rsidRPr="0094625E">
        <w:t>HMAS</w:t>
      </w:r>
      <w:r w:rsidRPr="0094625E">
        <w:tab/>
        <w:t>Her Majesty's Australian Ship</w:t>
      </w:r>
    </w:p>
    <w:p w14:paraId="352C991D" w14:textId="77777777" w:rsidR="009F24E6" w:rsidRPr="0094625E" w:rsidRDefault="009F24E6" w:rsidP="00E3416E">
      <w:pPr>
        <w:spacing w:before="60" w:after="60"/>
        <w:ind w:left="1134" w:hanging="1134"/>
      </w:pPr>
      <w:r w:rsidRPr="0094625E">
        <w:t>HR</w:t>
      </w:r>
      <w:r w:rsidRPr="0094625E">
        <w:tab/>
        <w:t>Human Resources</w:t>
      </w:r>
    </w:p>
    <w:p w14:paraId="0AFACC66" w14:textId="77777777" w:rsidR="00560D5B" w:rsidRPr="0094625E" w:rsidRDefault="00560D5B" w:rsidP="00056CEA">
      <w:pPr>
        <w:pStyle w:val="HeadingRunIn"/>
        <w:keepNext w:val="0"/>
        <w:tabs>
          <w:tab w:val="left" w:pos="280"/>
        </w:tabs>
        <w:spacing w:after="60" w:line="240" w:lineRule="auto"/>
        <w:rPr>
          <w:rFonts w:ascii="Arial" w:hAnsi="Arial" w:cs="Arial"/>
          <w:smallCaps/>
          <w:color w:val="auto"/>
          <w:w w:val="100"/>
          <w:sz w:val="26"/>
          <w:szCs w:val="26"/>
          <w:lang w:val="en-AU"/>
        </w:rPr>
      </w:pPr>
      <w:r w:rsidRPr="0094625E">
        <w:rPr>
          <w:rFonts w:ascii="Arial" w:hAnsi="Arial" w:cs="Arial"/>
          <w:smallCaps/>
          <w:color w:val="auto"/>
          <w:w w:val="100"/>
          <w:sz w:val="26"/>
          <w:szCs w:val="26"/>
          <w:lang w:val="en-AU"/>
        </w:rPr>
        <w:t>I</w:t>
      </w:r>
    </w:p>
    <w:p w14:paraId="528016E2" w14:textId="77777777" w:rsidR="00790A3C" w:rsidRPr="0094625E" w:rsidRDefault="00790A3C" w:rsidP="00E3416E">
      <w:pPr>
        <w:spacing w:before="60" w:after="60"/>
        <w:ind w:left="1134" w:hanging="1134"/>
      </w:pPr>
      <w:r w:rsidRPr="0094625E">
        <w:t>IAEA</w:t>
      </w:r>
      <w:r w:rsidRPr="0094625E">
        <w:tab/>
      </w:r>
      <w:r w:rsidRPr="0094625E">
        <w:rPr>
          <w:color w:val="000000"/>
          <w:szCs w:val="20"/>
        </w:rPr>
        <w:t>International Atomic Energy Agency</w:t>
      </w:r>
      <w:r w:rsidRPr="0094625E">
        <w:rPr>
          <w:rFonts w:ascii="Arial" w:hAnsi="Arial"/>
          <w:color w:val="000000"/>
          <w:sz w:val="16"/>
          <w:szCs w:val="16"/>
        </w:rPr>
        <w:t xml:space="preserve"> </w:t>
      </w:r>
    </w:p>
    <w:p w14:paraId="16FAADED" w14:textId="77777777" w:rsidR="00C37825" w:rsidRPr="0094625E" w:rsidRDefault="00C37825" w:rsidP="00E3416E">
      <w:pPr>
        <w:spacing w:before="60" w:after="60"/>
        <w:ind w:left="1134" w:hanging="1134"/>
      </w:pPr>
      <w:r w:rsidRPr="0094625E">
        <w:t>IAGDP</w:t>
      </w:r>
      <w:r w:rsidRPr="0094625E">
        <w:tab/>
        <w:t>Indigenous Australian Government Development Program</w:t>
      </w:r>
    </w:p>
    <w:p w14:paraId="29EF1E10" w14:textId="77777777" w:rsidR="00A954CB" w:rsidRPr="0094625E" w:rsidRDefault="00A954CB" w:rsidP="00A954CB">
      <w:pPr>
        <w:pStyle w:val="HeadingRunIn"/>
        <w:keepNext w:val="0"/>
        <w:tabs>
          <w:tab w:val="left" w:pos="280"/>
        </w:tabs>
        <w:spacing w:after="60" w:line="240" w:lineRule="auto"/>
        <w:rPr>
          <w:rFonts w:ascii="Arial" w:hAnsi="Arial" w:cs="Arial"/>
          <w:smallCaps/>
          <w:color w:val="auto"/>
          <w:w w:val="100"/>
          <w:sz w:val="26"/>
          <w:szCs w:val="26"/>
          <w:lang w:val="en-AU"/>
        </w:rPr>
      </w:pPr>
      <w:r w:rsidRPr="0094625E">
        <w:rPr>
          <w:rFonts w:ascii="Arial" w:hAnsi="Arial" w:cs="Arial"/>
          <w:smallCaps/>
          <w:color w:val="auto"/>
          <w:w w:val="100"/>
          <w:sz w:val="26"/>
          <w:szCs w:val="26"/>
          <w:lang w:val="en-AU"/>
        </w:rPr>
        <w:lastRenderedPageBreak/>
        <w:t>I</w:t>
      </w:r>
    </w:p>
    <w:p w14:paraId="556111CB" w14:textId="77777777" w:rsidR="00E53206" w:rsidRPr="0094625E" w:rsidRDefault="00E53206" w:rsidP="00E53206">
      <w:pPr>
        <w:spacing w:before="60" w:after="60"/>
        <w:ind w:left="1134" w:hanging="1134"/>
      </w:pPr>
      <w:r w:rsidRPr="0094625E">
        <w:t>ICT</w:t>
      </w:r>
      <w:r w:rsidRPr="0094625E">
        <w:tab/>
        <w:t>Information and Communications Technology</w:t>
      </w:r>
    </w:p>
    <w:p w14:paraId="07F48B9D" w14:textId="77777777" w:rsidR="0027670F" w:rsidRPr="0094625E" w:rsidRDefault="0027670F" w:rsidP="00E3416E">
      <w:pPr>
        <w:spacing w:before="60" w:after="60"/>
        <w:ind w:left="1134" w:hanging="1134"/>
        <w:rPr>
          <w:szCs w:val="20"/>
        </w:rPr>
      </w:pPr>
      <w:r w:rsidRPr="0094625E">
        <w:t>IED</w:t>
      </w:r>
      <w:r w:rsidRPr="0094625E">
        <w:tab/>
      </w:r>
      <w:r w:rsidRPr="0094625E">
        <w:rPr>
          <w:szCs w:val="20"/>
          <w:lang w:val="en-AU"/>
        </w:rPr>
        <w:t>Improvised Explosive Device</w:t>
      </w:r>
    </w:p>
    <w:p w14:paraId="4B9CCAF8" w14:textId="77777777" w:rsidR="0027670F" w:rsidRPr="0094625E" w:rsidRDefault="0027670F" w:rsidP="00E3416E">
      <w:pPr>
        <w:spacing w:before="60" w:after="60"/>
        <w:ind w:left="1134" w:hanging="1134"/>
      </w:pPr>
      <w:r w:rsidRPr="0094625E">
        <w:t>IOC</w:t>
      </w:r>
      <w:r w:rsidRPr="0094625E">
        <w:tab/>
        <w:t>Initial Operational Capability</w:t>
      </w:r>
    </w:p>
    <w:p w14:paraId="59236A21" w14:textId="77777777" w:rsidR="004E0080" w:rsidRPr="0094625E" w:rsidRDefault="004E0080" w:rsidP="00D86A3F">
      <w:pPr>
        <w:spacing w:before="60" w:after="60"/>
        <w:ind w:left="1134" w:hanging="1134"/>
      </w:pPr>
      <w:r w:rsidRPr="0094625E">
        <w:t>IPP</w:t>
      </w:r>
      <w:r w:rsidRPr="0094625E">
        <w:tab/>
        <w:t>Indigenous Procurement Policy</w:t>
      </w:r>
    </w:p>
    <w:p w14:paraId="3EAB4C41" w14:textId="22001E12" w:rsidR="001C773C" w:rsidRPr="0094625E" w:rsidRDefault="00FB415E" w:rsidP="00946D56">
      <w:pPr>
        <w:spacing w:before="60" w:after="60"/>
        <w:ind w:left="1134" w:hanging="1134"/>
      </w:pPr>
      <w:r>
        <w:t>ISREW</w:t>
      </w:r>
      <w:r>
        <w:tab/>
      </w:r>
      <w:r>
        <w:tab/>
      </w:r>
      <w:r>
        <w:tab/>
      </w:r>
      <w:r>
        <w:tab/>
      </w:r>
      <w:r w:rsidR="000216AF" w:rsidRPr="0094625E">
        <w:tab/>
      </w:r>
      <w:r w:rsidR="000216AF" w:rsidRPr="0094625E">
        <w:tab/>
        <w:t>Intelligence Surveillance Reconnaissance and Electronic Warfare</w:t>
      </w:r>
    </w:p>
    <w:p w14:paraId="4C993267" w14:textId="77777777" w:rsidR="00EB32BC" w:rsidRPr="0094625E" w:rsidRDefault="00EB32BC" w:rsidP="00946D56">
      <w:pPr>
        <w:pStyle w:val="HeadingRunIn"/>
        <w:keepNext w:val="0"/>
        <w:tabs>
          <w:tab w:val="left" w:pos="280"/>
        </w:tabs>
        <w:spacing w:before="100" w:after="60" w:line="240" w:lineRule="auto"/>
        <w:rPr>
          <w:rFonts w:ascii="Arial" w:hAnsi="Arial" w:cs="Arial"/>
          <w:smallCaps/>
          <w:color w:val="auto"/>
          <w:w w:val="100"/>
          <w:sz w:val="26"/>
          <w:szCs w:val="26"/>
          <w:lang w:val="en-AU"/>
        </w:rPr>
      </w:pPr>
      <w:r w:rsidRPr="0094625E">
        <w:rPr>
          <w:rFonts w:ascii="Arial" w:hAnsi="Arial" w:cs="Arial"/>
          <w:smallCaps/>
          <w:color w:val="auto"/>
          <w:w w:val="100"/>
          <w:sz w:val="26"/>
          <w:szCs w:val="26"/>
          <w:lang w:val="en-AU"/>
        </w:rPr>
        <w:t>J</w:t>
      </w:r>
    </w:p>
    <w:p w14:paraId="2C2F7CA0" w14:textId="77777777" w:rsidR="00EB32BC" w:rsidRPr="0094625E" w:rsidRDefault="00EB32BC" w:rsidP="00041463">
      <w:pPr>
        <w:spacing w:before="60" w:after="60"/>
        <w:ind w:left="1134" w:hanging="1134"/>
      </w:pPr>
      <w:r w:rsidRPr="0094625E">
        <w:t>JORN</w:t>
      </w:r>
      <w:r w:rsidRPr="0094625E">
        <w:tab/>
        <w:t>Jindalee Operational Radar Network</w:t>
      </w:r>
    </w:p>
    <w:p w14:paraId="34CCCC7C" w14:textId="77777777" w:rsidR="005D17E4" w:rsidRPr="0094625E" w:rsidRDefault="005D17E4" w:rsidP="00041463">
      <w:pPr>
        <w:spacing w:before="60" w:after="60"/>
        <w:ind w:left="1134" w:hanging="1134"/>
      </w:pPr>
      <w:r w:rsidRPr="0094625E">
        <w:t>JTA</w:t>
      </w:r>
      <w:r w:rsidRPr="0094625E">
        <w:tab/>
        <w:t>Joint Transition Authority</w:t>
      </w:r>
    </w:p>
    <w:p w14:paraId="2FCD7A07" w14:textId="77777777" w:rsidR="00EB32BC" w:rsidRPr="0094625E" w:rsidRDefault="00EB32BC" w:rsidP="00041463">
      <w:pPr>
        <w:spacing w:before="60" w:after="60"/>
        <w:ind w:left="1134" w:hanging="1134"/>
      </w:pPr>
      <w:r w:rsidRPr="0094625E">
        <w:t>JP</w:t>
      </w:r>
      <w:r w:rsidRPr="0094625E">
        <w:tab/>
        <w:t>Joint Project</w:t>
      </w:r>
    </w:p>
    <w:p w14:paraId="78CF353B" w14:textId="77777777" w:rsidR="00560D5B" w:rsidRPr="0094625E" w:rsidRDefault="00560D5B" w:rsidP="00526EE6">
      <w:pPr>
        <w:pStyle w:val="HeadingRunIn"/>
        <w:keepNext w:val="0"/>
        <w:tabs>
          <w:tab w:val="left" w:pos="280"/>
        </w:tabs>
        <w:spacing w:before="100" w:after="60" w:line="240" w:lineRule="auto"/>
        <w:rPr>
          <w:rFonts w:ascii="Arial" w:hAnsi="Arial" w:cs="Arial"/>
          <w:smallCaps/>
          <w:color w:val="auto"/>
          <w:w w:val="100"/>
          <w:sz w:val="26"/>
          <w:szCs w:val="26"/>
          <w:lang w:val="en-AU"/>
        </w:rPr>
      </w:pPr>
      <w:r w:rsidRPr="0094625E">
        <w:rPr>
          <w:rFonts w:ascii="Arial" w:hAnsi="Arial" w:cs="Arial"/>
          <w:smallCaps/>
          <w:color w:val="auto"/>
          <w:w w:val="100"/>
          <w:sz w:val="26"/>
          <w:szCs w:val="26"/>
          <w:lang w:val="en-AU"/>
        </w:rPr>
        <w:t>L</w:t>
      </w:r>
    </w:p>
    <w:p w14:paraId="403A1EB5" w14:textId="77777777" w:rsidR="003805A3" w:rsidRPr="0094625E" w:rsidRDefault="00946D56" w:rsidP="00E3416E">
      <w:pPr>
        <w:spacing w:before="60" w:after="60"/>
        <w:ind w:left="1134" w:hanging="1134"/>
      </w:pPr>
      <w:r w:rsidRPr="0094625E">
        <w:t>LHD</w:t>
      </w:r>
      <w:r w:rsidRPr="0094625E">
        <w:tab/>
        <w:t>Landing Helicopter</w:t>
      </w:r>
      <w:r w:rsidR="003805A3" w:rsidRPr="0094625E">
        <w:t xml:space="preserve"> Dock</w:t>
      </w:r>
    </w:p>
    <w:p w14:paraId="10B8CC6A" w14:textId="77777777" w:rsidR="00560D5B" w:rsidRPr="0094625E" w:rsidRDefault="003805A3" w:rsidP="00E3416E">
      <w:pPr>
        <w:spacing w:before="60" w:after="60"/>
        <w:ind w:left="1134" w:hanging="1134"/>
      </w:pPr>
      <w:r w:rsidRPr="0094625E">
        <w:t>LSD</w:t>
      </w:r>
      <w:r w:rsidRPr="0094625E">
        <w:tab/>
        <w:t>Landing Ship Dock</w:t>
      </w:r>
    </w:p>
    <w:p w14:paraId="1C86BD00" w14:textId="77777777" w:rsidR="00370860" w:rsidRPr="0094625E" w:rsidRDefault="00370860" w:rsidP="00E3416E">
      <w:pPr>
        <w:spacing w:before="60" w:after="60"/>
        <w:ind w:left="1134" w:hanging="1134"/>
      </w:pPr>
      <w:r w:rsidRPr="0094625E">
        <w:t>LOTE</w:t>
      </w:r>
      <w:r w:rsidRPr="0094625E">
        <w:tab/>
        <w:t xml:space="preserve">Life </w:t>
      </w:r>
      <w:r w:rsidR="00F1607D" w:rsidRPr="0094625E">
        <w:t>o</w:t>
      </w:r>
      <w:r w:rsidRPr="0094625E">
        <w:t>f Type Extension</w:t>
      </w:r>
    </w:p>
    <w:p w14:paraId="780D6F34" w14:textId="77777777" w:rsidR="00560D5B" w:rsidRPr="0094625E" w:rsidRDefault="00560D5B" w:rsidP="00056CEA">
      <w:pPr>
        <w:pStyle w:val="HeadingRunIn"/>
        <w:keepNext w:val="0"/>
        <w:tabs>
          <w:tab w:val="left" w:pos="280"/>
        </w:tabs>
        <w:spacing w:after="60" w:line="240" w:lineRule="auto"/>
        <w:rPr>
          <w:rFonts w:ascii="Arial" w:hAnsi="Arial" w:cs="Arial"/>
          <w:smallCaps/>
          <w:color w:val="auto"/>
          <w:w w:val="100"/>
          <w:sz w:val="26"/>
          <w:szCs w:val="26"/>
          <w:lang w:val="en-AU"/>
        </w:rPr>
      </w:pPr>
      <w:r w:rsidRPr="0094625E">
        <w:rPr>
          <w:rFonts w:ascii="Arial" w:hAnsi="Arial" w:cs="Arial"/>
          <w:smallCaps/>
          <w:color w:val="auto"/>
          <w:w w:val="100"/>
          <w:sz w:val="26"/>
          <w:szCs w:val="26"/>
          <w:lang w:val="en-AU"/>
        </w:rPr>
        <w:t>M</w:t>
      </w:r>
    </w:p>
    <w:p w14:paraId="367025A9" w14:textId="77777777" w:rsidR="00EB32BC" w:rsidRPr="0094625E" w:rsidRDefault="00EB32BC" w:rsidP="00041463">
      <w:pPr>
        <w:spacing w:before="60" w:after="60"/>
        <w:ind w:left="1134" w:hanging="1134"/>
      </w:pPr>
      <w:r w:rsidRPr="0094625E">
        <w:t>MAJGEN</w:t>
      </w:r>
      <w:r w:rsidRPr="0094625E">
        <w:tab/>
        <w:t>Major General</w:t>
      </w:r>
    </w:p>
    <w:p w14:paraId="0761A355" w14:textId="77777777" w:rsidR="00EB32BC" w:rsidRPr="0094625E" w:rsidRDefault="00EB32BC" w:rsidP="00041463">
      <w:pPr>
        <w:spacing w:before="60" w:after="60"/>
        <w:ind w:left="1134" w:hanging="1134"/>
      </w:pPr>
      <w:r w:rsidRPr="0094625E">
        <w:t>METOC</w:t>
      </w:r>
      <w:r w:rsidRPr="0094625E">
        <w:tab/>
        <w:t>Mobile Meteorological and Oceanographic</w:t>
      </w:r>
    </w:p>
    <w:p w14:paraId="47C3ACAD" w14:textId="77777777" w:rsidR="00EB32BC" w:rsidRPr="0094625E" w:rsidRDefault="00EB32BC" w:rsidP="00041463">
      <w:pPr>
        <w:spacing w:before="60" w:after="60"/>
        <w:ind w:left="1134" w:hanging="1134"/>
      </w:pPr>
      <w:r w:rsidRPr="0094625E">
        <w:t>MHC</w:t>
      </w:r>
      <w:r w:rsidRPr="0094625E">
        <w:tab/>
        <w:t>Mine Hunter Coastal – Coastal Mine Hunter</w:t>
      </w:r>
      <w:r w:rsidR="00032B95" w:rsidRPr="0094625E">
        <w:t xml:space="preserve"> </w:t>
      </w:r>
      <w:r w:rsidR="00946D56" w:rsidRPr="0094625E">
        <w:t>/</w:t>
      </w:r>
      <w:r w:rsidR="00032B95" w:rsidRPr="0094625E">
        <w:t xml:space="preserve"> </w:t>
      </w:r>
      <w:r w:rsidRPr="0094625E">
        <w:tab/>
        <w:t>Medium Heavy Capability</w:t>
      </w:r>
    </w:p>
    <w:p w14:paraId="38C4368D" w14:textId="77777777" w:rsidR="00946D56" w:rsidRPr="0094625E" w:rsidRDefault="00946D56" w:rsidP="00041463">
      <w:pPr>
        <w:spacing w:before="60" w:after="60"/>
        <w:ind w:left="1134" w:hanging="1134"/>
      </w:pPr>
      <w:r w:rsidRPr="0094625E">
        <w:t xml:space="preserve">MMT </w:t>
      </w:r>
      <w:r w:rsidRPr="0094625E">
        <w:tab/>
        <w:t>Mobile Meteorological Team</w:t>
      </w:r>
    </w:p>
    <w:p w14:paraId="5A6D808F" w14:textId="77777777" w:rsidR="00946D56" w:rsidRPr="0094625E" w:rsidRDefault="00946D56" w:rsidP="00041463">
      <w:pPr>
        <w:spacing w:before="60" w:after="60"/>
        <w:ind w:left="1134" w:hanging="1134"/>
      </w:pPr>
      <w:r w:rsidRPr="0094625E">
        <w:t>MOU</w:t>
      </w:r>
      <w:r w:rsidRPr="0094625E">
        <w:tab/>
        <w:t>Memorandum of Understanding</w:t>
      </w:r>
    </w:p>
    <w:p w14:paraId="35E9D6C6" w14:textId="77777777" w:rsidR="00EB32BC" w:rsidRPr="0094625E" w:rsidRDefault="00EB32BC" w:rsidP="00041463">
      <w:pPr>
        <w:spacing w:before="60" w:after="60"/>
        <w:ind w:left="1134" w:hanging="1134"/>
      </w:pPr>
      <w:r w:rsidRPr="0094625E">
        <w:t>MP</w:t>
      </w:r>
      <w:r w:rsidRPr="0094625E">
        <w:tab/>
        <w:t>Member of Parliament</w:t>
      </w:r>
    </w:p>
    <w:p w14:paraId="66E14830" w14:textId="77777777" w:rsidR="00EB32BC" w:rsidRPr="0094625E" w:rsidRDefault="00EB32BC" w:rsidP="00041463">
      <w:pPr>
        <w:spacing w:before="60" w:after="60"/>
        <w:ind w:left="1134" w:hanging="1134"/>
      </w:pPr>
      <w:r w:rsidRPr="0094625E">
        <w:t>MRH</w:t>
      </w:r>
      <w:r w:rsidRPr="0094625E">
        <w:tab/>
        <w:t>Multi-Role Helicopter</w:t>
      </w:r>
    </w:p>
    <w:p w14:paraId="6B9B469B" w14:textId="77777777" w:rsidR="00EB32BC" w:rsidRPr="0094625E" w:rsidRDefault="00EB32BC" w:rsidP="00041463">
      <w:pPr>
        <w:spacing w:before="60" w:after="60"/>
        <w:ind w:left="1134" w:hanging="1134"/>
      </w:pPr>
      <w:r w:rsidRPr="0094625E">
        <w:t>MRTT</w:t>
      </w:r>
      <w:r w:rsidRPr="0094625E">
        <w:tab/>
        <w:t>Multi-Role Tanker Transport</w:t>
      </w:r>
    </w:p>
    <w:p w14:paraId="3EF09B19" w14:textId="77777777" w:rsidR="00EB32BC" w:rsidRPr="0094625E" w:rsidRDefault="00EB32BC" w:rsidP="00041463">
      <w:pPr>
        <w:spacing w:before="60" w:after="60"/>
        <w:ind w:left="1134" w:hanging="1134"/>
      </w:pPr>
      <w:r w:rsidRPr="0094625E">
        <w:t>MSBS</w:t>
      </w:r>
      <w:r w:rsidRPr="0094625E">
        <w:tab/>
        <w:t>Military Superannuation and Benefits Scheme</w:t>
      </w:r>
    </w:p>
    <w:p w14:paraId="2F7AF26A" w14:textId="77777777" w:rsidR="006827AC" w:rsidRPr="0094625E" w:rsidRDefault="006827AC" w:rsidP="00041463">
      <w:pPr>
        <w:spacing w:before="60" w:after="60"/>
        <w:ind w:left="1134" w:hanging="1134"/>
      </w:pPr>
      <w:r w:rsidRPr="0094625E">
        <w:t>MSU</w:t>
      </w:r>
      <w:r w:rsidRPr="0094625E">
        <w:tab/>
      </w:r>
      <w:r w:rsidRPr="0094625E">
        <w:tab/>
        <w:t>Maritime Safety Updates</w:t>
      </w:r>
    </w:p>
    <w:p w14:paraId="1AB2884E" w14:textId="77777777" w:rsidR="00EB32BC" w:rsidRPr="0094625E" w:rsidRDefault="00EB32BC" w:rsidP="00041463">
      <w:pPr>
        <w:spacing w:before="60" w:after="60"/>
        <w:ind w:left="1134" w:hanging="1134"/>
      </w:pPr>
      <w:r w:rsidRPr="0094625E">
        <w:t>MVO</w:t>
      </w:r>
      <w:r w:rsidRPr="0094625E">
        <w:tab/>
        <w:t>Member of the Royal Victorian Order</w:t>
      </w:r>
    </w:p>
    <w:p w14:paraId="4E23C9DD" w14:textId="77777777" w:rsidR="00EB32BC" w:rsidRPr="0094625E" w:rsidRDefault="00EB32BC" w:rsidP="00041463">
      <w:pPr>
        <w:spacing w:before="60" w:after="60"/>
        <w:ind w:left="1134" w:hanging="1134"/>
      </w:pPr>
      <w:r w:rsidRPr="0094625E">
        <w:t>MWD</w:t>
      </w:r>
      <w:r w:rsidRPr="0094625E">
        <w:tab/>
        <w:t xml:space="preserve">Members with </w:t>
      </w:r>
      <w:r w:rsidR="006D000A" w:rsidRPr="0094625E">
        <w:t>Dependents</w:t>
      </w:r>
    </w:p>
    <w:p w14:paraId="4E03FF99" w14:textId="77777777" w:rsidR="00EB32BC" w:rsidRPr="0094625E" w:rsidRDefault="00EB32BC" w:rsidP="00041463">
      <w:pPr>
        <w:spacing w:before="60" w:after="60"/>
        <w:ind w:left="1134" w:hanging="1134"/>
      </w:pPr>
      <w:r w:rsidRPr="0094625E">
        <w:t>MWOD</w:t>
      </w:r>
      <w:r w:rsidRPr="0094625E">
        <w:tab/>
      </w:r>
      <w:r w:rsidRPr="0094625E">
        <w:tab/>
        <w:t xml:space="preserve">Members without </w:t>
      </w:r>
      <w:r w:rsidR="006D000A" w:rsidRPr="0094625E">
        <w:t>Dependents</w:t>
      </w:r>
    </w:p>
    <w:p w14:paraId="0A716208" w14:textId="77777777" w:rsidR="00EB32BC" w:rsidRPr="0094625E" w:rsidRDefault="00EB32BC" w:rsidP="00041463">
      <w:pPr>
        <w:spacing w:before="60" w:after="60"/>
        <w:ind w:left="1134" w:hanging="1134"/>
      </w:pPr>
      <w:r w:rsidRPr="0094625E">
        <w:t>MWD(U)</w:t>
      </w:r>
      <w:r w:rsidRPr="0094625E">
        <w:tab/>
      </w:r>
      <w:r w:rsidRPr="0094625E">
        <w:tab/>
        <w:t xml:space="preserve">Members with </w:t>
      </w:r>
      <w:r w:rsidR="006D000A" w:rsidRPr="0094625E">
        <w:t>Dependents</w:t>
      </w:r>
      <w:r w:rsidRPr="0094625E">
        <w:t xml:space="preserve"> (Unaccompanied)</w:t>
      </w:r>
    </w:p>
    <w:p w14:paraId="3ACA9164" w14:textId="77777777" w:rsidR="004E0080" w:rsidRPr="0094625E" w:rsidRDefault="00EB32BC" w:rsidP="004E0080">
      <w:pPr>
        <w:spacing w:before="60" w:after="60"/>
        <w:ind w:left="1134" w:hanging="1134"/>
      </w:pPr>
      <w:r w:rsidRPr="0094625E">
        <w:t>MYEFO</w:t>
      </w:r>
      <w:r w:rsidRPr="0094625E">
        <w:tab/>
        <w:t>Mid-Year Economic and Fiscal Outlook</w:t>
      </w:r>
    </w:p>
    <w:p w14:paraId="083883EC" w14:textId="77777777" w:rsidR="00560D5B" w:rsidRPr="0094625E" w:rsidRDefault="00560D5B" w:rsidP="00056CEA">
      <w:pPr>
        <w:pStyle w:val="HeadingRunIn"/>
        <w:keepNext w:val="0"/>
        <w:tabs>
          <w:tab w:val="left" w:pos="280"/>
        </w:tabs>
        <w:spacing w:after="60" w:line="240" w:lineRule="auto"/>
        <w:rPr>
          <w:rFonts w:ascii="Arial" w:hAnsi="Arial" w:cs="Arial"/>
          <w:smallCaps/>
          <w:color w:val="auto"/>
          <w:w w:val="100"/>
          <w:sz w:val="26"/>
          <w:szCs w:val="26"/>
          <w:lang w:val="en-AU"/>
        </w:rPr>
      </w:pPr>
      <w:r w:rsidRPr="0094625E">
        <w:rPr>
          <w:rFonts w:ascii="Arial" w:hAnsi="Arial" w:cs="Arial"/>
          <w:smallCaps/>
          <w:color w:val="auto"/>
          <w:w w:val="100"/>
          <w:sz w:val="26"/>
          <w:szCs w:val="26"/>
          <w:lang w:val="en-AU"/>
        </w:rPr>
        <w:t>N</w:t>
      </w:r>
    </w:p>
    <w:p w14:paraId="7B2998FF" w14:textId="77777777" w:rsidR="00EB32BC" w:rsidRPr="0094625E" w:rsidRDefault="00EB32BC" w:rsidP="00041463">
      <w:pPr>
        <w:spacing w:before="60" w:after="60"/>
        <w:ind w:left="1134" w:hanging="1134"/>
      </w:pPr>
      <w:r w:rsidRPr="0094625E">
        <w:t>NACC</w:t>
      </w:r>
      <w:r w:rsidRPr="0094625E">
        <w:tab/>
        <w:t>New Air Combat Capability</w:t>
      </w:r>
    </w:p>
    <w:p w14:paraId="05DF6B8C" w14:textId="77777777" w:rsidR="00D77AA6" w:rsidRPr="0094625E" w:rsidRDefault="003805A3" w:rsidP="006827AC">
      <w:pPr>
        <w:spacing w:before="60" w:after="60"/>
        <w:ind w:left="1134" w:hanging="1134"/>
      </w:pPr>
      <w:r w:rsidRPr="0094625E">
        <w:t>NATO</w:t>
      </w:r>
      <w:r w:rsidRPr="0094625E">
        <w:tab/>
        <w:t xml:space="preserve">North Atlantic Treaty Organization </w:t>
      </w:r>
    </w:p>
    <w:p w14:paraId="672D858A" w14:textId="77777777" w:rsidR="00EB32BC" w:rsidRPr="0094625E" w:rsidRDefault="00EB32BC" w:rsidP="00056CEA">
      <w:pPr>
        <w:pStyle w:val="HeadingRunIn"/>
        <w:keepNext w:val="0"/>
        <w:tabs>
          <w:tab w:val="left" w:pos="280"/>
        </w:tabs>
        <w:spacing w:after="60" w:line="240" w:lineRule="auto"/>
        <w:rPr>
          <w:rFonts w:ascii="Arial" w:hAnsi="Arial" w:cs="Arial"/>
          <w:smallCaps/>
          <w:color w:val="auto"/>
          <w:w w:val="100"/>
          <w:sz w:val="26"/>
          <w:szCs w:val="26"/>
          <w:lang w:val="en-AU"/>
        </w:rPr>
      </w:pPr>
      <w:r w:rsidRPr="0094625E">
        <w:rPr>
          <w:rFonts w:ascii="Arial" w:hAnsi="Arial" w:cs="Arial"/>
          <w:smallCaps/>
          <w:color w:val="auto"/>
          <w:w w:val="100"/>
          <w:sz w:val="26"/>
          <w:szCs w:val="26"/>
          <w:lang w:val="en-AU"/>
        </w:rPr>
        <w:t>O</w:t>
      </w:r>
    </w:p>
    <w:p w14:paraId="5868FB5D" w14:textId="77777777" w:rsidR="00344A1C" w:rsidRPr="0094625E" w:rsidRDefault="00344A1C" w:rsidP="00041463">
      <w:pPr>
        <w:spacing w:before="60" w:after="60"/>
        <w:ind w:left="1134" w:hanging="1134"/>
      </w:pPr>
      <w:r w:rsidRPr="0094625E">
        <w:t>ODIS</w:t>
      </w:r>
      <w:r w:rsidRPr="0094625E">
        <w:tab/>
        <w:t>Office of Defence Industry Support</w:t>
      </w:r>
    </w:p>
    <w:p w14:paraId="4E7FFEC5" w14:textId="77777777" w:rsidR="00A954CB" w:rsidRPr="0094625E" w:rsidRDefault="00A954CB" w:rsidP="00A954CB">
      <w:pPr>
        <w:pStyle w:val="HeadingRunIn"/>
        <w:keepNext w:val="0"/>
        <w:tabs>
          <w:tab w:val="left" w:pos="280"/>
        </w:tabs>
        <w:spacing w:after="60" w:line="240" w:lineRule="auto"/>
        <w:rPr>
          <w:rFonts w:ascii="Arial" w:hAnsi="Arial" w:cs="Arial"/>
          <w:smallCaps/>
          <w:color w:val="auto"/>
          <w:w w:val="100"/>
          <w:sz w:val="26"/>
          <w:szCs w:val="26"/>
          <w:lang w:val="en-AU"/>
        </w:rPr>
      </w:pPr>
      <w:r w:rsidRPr="0094625E">
        <w:rPr>
          <w:rFonts w:ascii="Arial" w:hAnsi="Arial" w:cs="Arial"/>
          <w:smallCaps/>
          <w:color w:val="auto"/>
          <w:w w:val="100"/>
          <w:sz w:val="26"/>
          <w:szCs w:val="26"/>
          <w:lang w:val="en-AU"/>
        </w:rPr>
        <w:lastRenderedPageBreak/>
        <w:t>O</w:t>
      </w:r>
    </w:p>
    <w:p w14:paraId="1F5D9932" w14:textId="77777777" w:rsidR="00E53206" w:rsidRPr="0094625E" w:rsidRDefault="00E53206" w:rsidP="00E53206">
      <w:pPr>
        <w:spacing w:before="60" w:after="60"/>
        <w:ind w:left="1134" w:hanging="1134"/>
      </w:pPr>
      <w:r w:rsidRPr="0094625E">
        <w:t>OPV</w:t>
      </w:r>
      <w:r w:rsidRPr="0094625E">
        <w:tab/>
        <w:t>Offshore Patrol Vessel</w:t>
      </w:r>
    </w:p>
    <w:p w14:paraId="64CACD88" w14:textId="77777777" w:rsidR="00EB32BC" w:rsidRPr="0094625E" w:rsidRDefault="00EB32BC" w:rsidP="00041463">
      <w:pPr>
        <w:spacing w:before="60" w:after="60"/>
        <w:ind w:left="1134" w:hanging="1134"/>
      </w:pPr>
      <w:r w:rsidRPr="0094625E">
        <w:t>OTHR</w:t>
      </w:r>
      <w:r w:rsidRPr="0094625E">
        <w:tab/>
        <w:t>Over the Horizon Radar</w:t>
      </w:r>
    </w:p>
    <w:p w14:paraId="533BC75A" w14:textId="77777777" w:rsidR="00560D5B" w:rsidRPr="0094625E" w:rsidRDefault="00560D5B" w:rsidP="00056CEA">
      <w:pPr>
        <w:pStyle w:val="HeadingRunIn"/>
        <w:keepNext w:val="0"/>
        <w:tabs>
          <w:tab w:val="left" w:pos="280"/>
        </w:tabs>
        <w:spacing w:before="0" w:after="60" w:line="240" w:lineRule="auto"/>
        <w:rPr>
          <w:rFonts w:ascii="Arial" w:hAnsi="Arial" w:cs="Arial"/>
          <w:smallCaps/>
          <w:color w:val="auto"/>
          <w:w w:val="100"/>
          <w:sz w:val="26"/>
          <w:szCs w:val="26"/>
          <w:lang w:val="en-AU"/>
        </w:rPr>
      </w:pPr>
      <w:r w:rsidRPr="0094625E">
        <w:rPr>
          <w:rFonts w:ascii="Arial" w:hAnsi="Arial" w:cs="Arial"/>
          <w:smallCaps/>
          <w:color w:val="auto"/>
          <w:w w:val="100"/>
          <w:sz w:val="26"/>
          <w:szCs w:val="26"/>
          <w:lang w:val="en-AU"/>
        </w:rPr>
        <w:t>P</w:t>
      </w:r>
    </w:p>
    <w:p w14:paraId="375BA595" w14:textId="77777777" w:rsidR="003805A3" w:rsidRPr="0094625E" w:rsidRDefault="003805A3" w:rsidP="00E3416E">
      <w:pPr>
        <w:spacing w:before="60" w:after="60"/>
        <w:ind w:left="1134" w:hanging="1134"/>
      </w:pPr>
      <w:r w:rsidRPr="0094625E">
        <w:t>PAES</w:t>
      </w:r>
      <w:r w:rsidRPr="0094625E">
        <w:tab/>
        <w:t>Portfolio Additional Estimates Statements</w:t>
      </w:r>
    </w:p>
    <w:p w14:paraId="51EC0F75" w14:textId="77777777" w:rsidR="00EB32BC" w:rsidRPr="0094625E" w:rsidRDefault="00EB32BC" w:rsidP="00041463">
      <w:pPr>
        <w:spacing w:before="60" w:after="60"/>
        <w:ind w:left="1134" w:hanging="1134"/>
      </w:pPr>
      <w:r w:rsidRPr="0094625E">
        <w:t>PB</w:t>
      </w:r>
      <w:r w:rsidR="006148C1" w:rsidRPr="0094625E">
        <w:t>S</w:t>
      </w:r>
      <w:r w:rsidR="005D7405" w:rsidRPr="0094625E">
        <w:tab/>
        <w:t>Portfolio Budget</w:t>
      </w:r>
      <w:r w:rsidR="006148C1" w:rsidRPr="0094625E">
        <w:t xml:space="preserve"> Statements</w:t>
      </w:r>
    </w:p>
    <w:p w14:paraId="6819DC89" w14:textId="77777777" w:rsidR="00C37825" w:rsidRPr="0094625E" w:rsidRDefault="00C37825" w:rsidP="00041463">
      <w:pPr>
        <w:spacing w:before="60" w:after="60"/>
        <w:ind w:left="1134" w:hanging="1134"/>
      </w:pPr>
      <w:r w:rsidRPr="0094625E">
        <w:rPr>
          <w:szCs w:val="20"/>
        </w:rPr>
        <w:t>PEAP</w:t>
      </w:r>
      <w:r w:rsidRPr="0094625E">
        <w:rPr>
          <w:szCs w:val="20"/>
        </w:rPr>
        <w:tab/>
        <w:t>Partner Employment Assistance Program</w:t>
      </w:r>
    </w:p>
    <w:p w14:paraId="432E563A" w14:textId="77777777" w:rsidR="00EB32BC" w:rsidRPr="0094625E" w:rsidRDefault="00EB32BC" w:rsidP="00041463">
      <w:pPr>
        <w:spacing w:before="60" w:after="60"/>
        <w:ind w:left="1134" w:hanging="1134"/>
      </w:pPr>
      <w:r w:rsidRPr="0094625E">
        <w:t>PEFO</w:t>
      </w:r>
      <w:r w:rsidRPr="0094625E">
        <w:tab/>
        <w:t>Pre-election Economic and Fiscal Outlook</w:t>
      </w:r>
    </w:p>
    <w:p w14:paraId="63AEBC78" w14:textId="77777777" w:rsidR="003805A3" w:rsidRPr="0094625E" w:rsidRDefault="003805A3" w:rsidP="00E3416E">
      <w:pPr>
        <w:spacing w:before="60" w:after="60"/>
        <w:ind w:left="1134" w:hanging="1134"/>
      </w:pPr>
      <w:r w:rsidRPr="0094625E">
        <w:t>PGPA</w:t>
      </w:r>
      <w:r w:rsidRPr="0094625E">
        <w:tab/>
        <w:t>Public Governance</w:t>
      </w:r>
      <w:r w:rsidR="005E2EC5" w:rsidRPr="0094625E">
        <w:t>,</w:t>
      </w:r>
      <w:r w:rsidRPr="0094625E">
        <w:t xml:space="preserve"> Performance and Accountability</w:t>
      </w:r>
    </w:p>
    <w:p w14:paraId="418139C9" w14:textId="77777777" w:rsidR="001C773C" w:rsidRPr="0094625E" w:rsidRDefault="001C773C" w:rsidP="00E3416E">
      <w:pPr>
        <w:spacing w:before="60" w:after="60"/>
        <w:ind w:left="1134" w:hanging="1134"/>
      </w:pPr>
      <w:r w:rsidRPr="0094625E">
        <w:t>PMICA</w:t>
      </w:r>
      <w:r w:rsidRPr="0094625E">
        <w:tab/>
        <w:t>Protected Mobility Integrated Capability Assurance</w:t>
      </w:r>
    </w:p>
    <w:p w14:paraId="1592A6F8" w14:textId="77777777" w:rsidR="00210619" w:rsidRPr="0094625E" w:rsidRDefault="00210619" w:rsidP="00E3416E">
      <w:pPr>
        <w:spacing w:before="60" w:after="60"/>
        <w:ind w:left="1134" w:hanging="1134"/>
      </w:pPr>
      <w:r w:rsidRPr="0094625E">
        <w:t>PMSP</w:t>
      </w:r>
      <w:r w:rsidRPr="0094625E">
        <w:tab/>
        <w:t>Pacific Maritime Security Program</w:t>
      </w:r>
    </w:p>
    <w:p w14:paraId="361C2E7E" w14:textId="77777777" w:rsidR="001C773C" w:rsidRPr="0094625E" w:rsidRDefault="001C773C" w:rsidP="00E3416E">
      <w:pPr>
        <w:spacing w:before="60" w:after="60"/>
        <w:ind w:left="1134" w:hanging="1134"/>
      </w:pPr>
      <w:r w:rsidRPr="0094625E">
        <w:t>PMV-L</w:t>
      </w:r>
      <w:r w:rsidRPr="0094625E">
        <w:tab/>
        <w:t>Protected Mobility Vehicle</w:t>
      </w:r>
    </w:p>
    <w:p w14:paraId="72306CAA" w14:textId="77777777" w:rsidR="00C96B23" w:rsidRPr="0094625E" w:rsidRDefault="00C96B23" w:rsidP="00E3416E">
      <w:pPr>
        <w:spacing w:before="60" w:after="60"/>
        <w:ind w:left="1134" w:hanging="1134"/>
      </w:pPr>
      <w:r w:rsidRPr="0094625E">
        <w:t>PNG</w:t>
      </w:r>
      <w:r w:rsidRPr="0094625E">
        <w:tab/>
        <w:t>Papua New Guinea</w:t>
      </w:r>
    </w:p>
    <w:p w14:paraId="46C5AE3E" w14:textId="77777777" w:rsidR="00EB32BC" w:rsidRPr="0094625E" w:rsidRDefault="00EB32BC" w:rsidP="00041463">
      <w:pPr>
        <w:spacing w:before="60" w:after="60"/>
        <w:ind w:left="1134" w:hanging="1134"/>
      </w:pPr>
      <w:r w:rsidRPr="0094625E">
        <w:t>PSM</w:t>
      </w:r>
      <w:r w:rsidRPr="0094625E">
        <w:tab/>
        <w:t>Public Service Medal</w:t>
      </w:r>
    </w:p>
    <w:p w14:paraId="28BA5D5D" w14:textId="77777777" w:rsidR="003805A3" w:rsidRPr="0094625E" w:rsidRDefault="003805A3" w:rsidP="00E3416E">
      <w:pPr>
        <w:spacing w:before="60" w:after="60"/>
        <w:ind w:left="1134" w:hanging="1134"/>
      </w:pPr>
      <w:r w:rsidRPr="0094625E">
        <w:t>PWC</w:t>
      </w:r>
      <w:r w:rsidRPr="0094625E">
        <w:tab/>
      </w:r>
      <w:r w:rsidR="00F14CD6" w:rsidRPr="0094625E">
        <w:t xml:space="preserve">Parliamentary Standing </w:t>
      </w:r>
      <w:r w:rsidRPr="0094625E">
        <w:t>Comm</w:t>
      </w:r>
      <w:r w:rsidR="002E4671" w:rsidRPr="0094625E">
        <w:t>ittee on Public Works</w:t>
      </w:r>
    </w:p>
    <w:p w14:paraId="109C6E4A" w14:textId="77777777" w:rsidR="00560D5B" w:rsidRPr="0094625E" w:rsidRDefault="00560D5B" w:rsidP="00056CEA">
      <w:pPr>
        <w:pStyle w:val="HeadingRunIn"/>
        <w:keepNext w:val="0"/>
        <w:tabs>
          <w:tab w:val="left" w:pos="280"/>
        </w:tabs>
        <w:spacing w:after="60" w:line="240" w:lineRule="auto"/>
        <w:rPr>
          <w:rFonts w:ascii="Arial" w:hAnsi="Arial" w:cs="Arial"/>
          <w:smallCaps/>
          <w:color w:val="auto"/>
          <w:w w:val="100"/>
          <w:sz w:val="26"/>
          <w:szCs w:val="26"/>
          <w:lang w:val="en-AU"/>
        </w:rPr>
      </w:pPr>
      <w:r w:rsidRPr="0094625E">
        <w:rPr>
          <w:rFonts w:ascii="Arial" w:hAnsi="Arial" w:cs="Arial"/>
          <w:smallCaps/>
          <w:color w:val="auto"/>
          <w:w w:val="100"/>
          <w:sz w:val="26"/>
          <w:szCs w:val="26"/>
          <w:lang w:val="en-AU"/>
        </w:rPr>
        <w:t>R</w:t>
      </w:r>
    </w:p>
    <w:p w14:paraId="5C3FB485" w14:textId="77777777" w:rsidR="00EB32BC" w:rsidRPr="0094625E" w:rsidRDefault="00EB32BC" w:rsidP="00041463">
      <w:pPr>
        <w:spacing w:before="60" w:after="60"/>
        <w:ind w:left="1134" w:hanging="1134"/>
      </w:pPr>
      <w:r w:rsidRPr="0094625E">
        <w:t>RAAF</w:t>
      </w:r>
      <w:r w:rsidRPr="0094625E">
        <w:tab/>
        <w:t>Royal Australian Air Force</w:t>
      </w:r>
    </w:p>
    <w:p w14:paraId="12FD2F88" w14:textId="77777777" w:rsidR="00EB32BC" w:rsidRPr="0094625E" w:rsidRDefault="00EB32BC" w:rsidP="00041463">
      <w:pPr>
        <w:spacing w:before="60" w:after="60"/>
        <w:ind w:left="1134" w:hanging="1134"/>
      </w:pPr>
      <w:r w:rsidRPr="0094625E">
        <w:t>RADM</w:t>
      </w:r>
      <w:r w:rsidRPr="0094625E">
        <w:tab/>
        <w:t>Rear Admiral</w:t>
      </w:r>
    </w:p>
    <w:p w14:paraId="16152663" w14:textId="77777777" w:rsidR="003805A3" w:rsidRPr="0094625E" w:rsidRDefault="003805A3" w:rsidP="00E3416E">
      <w:pPr>
        <w:spacing w:before="60" w:after="60"/>
        <w:ind w:left="1134" w:hanging="1134"/>
      </w:pPr>
      <w:r w:rsidRPr="0094625E">
        <w:t>RAN</w:t>
      </w:r>
      <w:r w:rsidRPr="0094625E">
        <w:tab/>
        <w:t>Royal Australian Navy</w:t>
      </w:r>
    </w:p>
    <w:p w14:paraId="446E5D5C" w14:textId="77777777" w:rsidR="003805A3" w:rsidRPr="0094625E" w:rsidRDefault="003805A3" w:rsidP="00E3416E">
      <w:pPr>
        <w:spacing w:before="60" w:after="60"/>
        <w:ind w:left="1134" w:hanging="1134"/>
      </w:pPr>
      <w:r w:rsidRPr="0094625E">
        <w:t>RANCCB</w:t>
      </w:r>
      <w:r w:rsidRPr="0094625E">
        <w:tab/>
        <w:t>Royal Australian Navy Central Canteens Board</w:t>
      </w:r>
    </w:p>
    <w:p w14:paraId="59007181" w14:textId="77777777" w:rsidR="00061D25" w:rsidRPr="0094625E" w:rsidRDefault="00F74EB0" w:rsidP="00E3416E">
      <w:pPr>
        <w:spacing w:before="60" w:after="60"/>
        <w:ind w:left="1134" w:hanging="1134"/>
      </w:pPr>
      <w:r w:rsidRPr="0094625E">
        <w:t>RA</w:t>
      </w:r>
      <w:r w:rsidRPr="0094625E">
        <w:tab/>
        <w:t>Rent Allowance</w:t>
      </w:r>
    </w:p>
    <w:p w14:paraId="010F4EF7" w14:textId="77777777" w:rsidR="002E4671" w:rsidRPr="0094625E" w:rsidRDefault="002E4671" w:rsidP="00E3416E">
      <w:pPr>
        <w:spacing w:before="60" w:after="60"/>
        <w:ind w:left="1134" w:hanging="1134"/>
      </w:pPr>
      <w:r w:rsidRPr="0094625E">
        <w:rPr>
          <w:rFonts w:cs="Book Antiqua"/>
          <w:color w:val="000000"/>
          <w:szCs w:val="20"/>
          <w:lang w:val="en-AU"/>
        </w:rPr>
        <w:t>REDSPICE</w:t>
      </w:r>
      <w:r w:rsidRPr="0094625E">
        <w:rPr>
          <w:rFonts w:cs="Book Antiqua"/>
          <w:color w:val="000000"/>
          <w:szCs w:val="20"/>
          <w:lang w:val="en-AU"/>
        </w:rPr>
        <w:tab/>
        <w:t>Resilience, Effects, Defence, Space, Intelligence, Cyber, and Enablers</w:t>
      </w:r>
    </w:p>
    <w:p w14:paraId="4354F8D3" w14:textId="77777777" w:rsidR="00946D56" w:rsidRPr="0094625E" w:rsidRDefault="00946D56" w:rsidP="00041463">
      <w:pPr>
        <w:spacing w:before="60" w:after="60"/>
        <w:ind w:left="1134" w:hanging="1134"/>
      </w:pPr>
      <w:r w:rsidRPr="0094625E">
        <w:t>RMG</w:t>
      </w:r>
      <w:r w:rsidRPr="0094625E">
        <w:tab/>
        <w:t>Resource Management Guide</w:t>
      </w:r>
    </w:p>
    <w:p w14:paraId="2DDA9F1B" w14:textId="77777777" w:rsidR="00946D56" w:rsidRPr="0094625E" w:rsidRDefault="00946D56" w:rsidP="00041463">
      <w:pPr>
        <w:spacing w:before="60" w:after="60"/>
        <w:ind w:left="1134" w:hanging="1134"/>
      </w:pPr>
      <w:r w:rsidRPr="0094625E">
        <w:t>ROE</w:t>
      </w:r>
      <w:r w:rsidRPr="0094625E">
        <w:tab/>
        <w:t>Rate of Effort – Flying Hours</w:t>
      </w:r>
    </w:p>
    <w:p w14:paraId="371695B1" w14:textId="77777777" w:rsidR="00EB32BC" w:rsidRPr="0094625E" w:rsidRDefault="00EB32BC" w:rsidP="00041463">
      <w:pPr>
        <w:spacing w:before="60" w:after="60"/>
        <w:ind w:left="1134" w:hanging="1134"/>
      </w:pPr>
      <w:r w:rsidRPr="0094625E">
        <w:t>ROU</w:t>
      </w:r>
      <w:r w:rsidRPr="0094625E">
        <w:tab/>
      </w:r>
      <w:r w:rsidRPr="0094625E">
        <w:tab/>
        <w:t>Right of Use</w:t>
      </w:r>
    </w:p>
    <w:p w14:paraId="78797AB1" w14:textId="77777777" w:rsidR="00946D56" w:rsidRPr="0094625E" w:rsidRDefault="00946D56" w:rsidP="00041463">
      <w:pPr>
        <w:spacing w:before="60" w:after="60"/>
        <w:ind w:left="1134" w:hanging="1134"/>
      </w:pPr>
      <w:r w:rsidRPr="0094625E">
        <w:t>RMC</w:t>
      </w:r>
      <w:r w:rsidRPr="0094625E">
        <w:tab/>
        <w:t>Royal Military College</w:t>
      </w:r>
    </w:p>
    <w:p w14:paraId="6764DEDF" w14:textId="77777777" w:rsidR="000836CD" w:rsidRPr="0094625E" w:rsidRDefault="000836CD" w:rsidP="00041463">
      <w:pPr>
        <w:spacing w:before="60" w:after="60"/>
        <w:ind w:left="1134" w:hanging="1134"/>
      </w:pPr>
      <w:r w:rsidRPr="0094625E">
        <w:t>RSC</w:t>
      </w:r>
      <w:r w:rsidRPr="0094625E">
        <w:tab/>
        <w:t>Recruiting Services Contract</w:t>
      </w:r>
    </w:p>
    <w:p w14:paraId="23C6F38B" w14:textId="77777777" w:rsidR="00560D5B" w:rsidRPr="0094625E" w:rsidRDefault="00560D5B" w:rsidP="00056CEA">
      <w:pPr>
        <w:pStyle w:val="HeadingRunIn"/>
        <w:keepNext w:val="0"/>
        <w:tabs>
          <w:tab w:val="left" w:pos="280"/>
        </w:tabs>
        <w:spacing w:after="60" w:line="240" w:lineRule="auto"/>
        <w:rPr>
          <w:rFonts w:ascii="Arial" w:hAnsi="Arial" w:cs="Arial"/>
          <w:smallCaps/>
          <w:color w:val="auto"/>
          <w:w w:val="100"/>
          <w:sz w:val="26"/>
          <w:szCs w:val="26"/>
          <w:lang w:val="en-AU"/>
        </w:rPr>
      </w:pPr>
      <w:r w:rsidRPr="0094625E">
        <w:rPr>
          <w:rFonts w:ascii="Arial" w:hAnsi="Arial" w:cs="Arial"/>
          <w:smallCaps/>
          <w:color w:val="auto"/>
          <w:w w:val="100"/>
          <w:sz w:val="26"/>
          <w:szCs w:val="26"/>
          <w:lang w:val="en-AU"/>
        </w:rPr>
        <w:t>S</w:t>
      </w:r>
    </w:p>
    <w:p w14:paraId="2279EFDE" w14:textId="77777777" w:rsidR="00946D56" w:rsidRPr="0094625E" w:rsidRDefault="00946D56" w:rsidP="00041463">
      <w:pPr>
        <w:spacing w:before="60" w:after="60"/>
        <w:ind w:left="1134" w:hanging="1134"/>
      </w:pPr>
      <w:r w:rsidRPr="0094625E">
        <w:t>SERCAT</w:t>
      </w:r>
      <w:r w:rsidRPr="0094625E">
        <w:tab/>
        <w:t>Service Category</w:t>
      </w:r>
    </w:p>
    <w:p w14:paraId="3AF3DF5B" w14:textId="77777777" w:rsidR="00EB32BC" w:rsidRPr="0094625E" w:rsidRDefault="00EB32BC" w:rsidP="00041463">
      <w:pPr>
        <w:spacing w:before="60" w:after="60"/>
        <w:ind w:left="1134" w:hanging="1134"/>
      </w:pPr>
      <w:r w:rsidRPr="0094625E">
        <w:t>SME</w:t>
      </w:r>
      <w:r w:rsidRPr="0094625E">
        <w:tab/>
        <w:t>Specialist Military Equipment</w:t>
      </w:r>
      <w:r w:rsidR="00F14CD6" w:rsidRPr="0094625E">
        <w:t xml:space="preserve"> /</w:t>
      </w:r>
      <w:r w:rsidR="00627828" w:rsidRPr="0094625E">
        <w:t xml:space="preserve"> </w:t>
      </w:r>
      <w:r w:rsidRPr="0094625E">
        <w:t>School of Military Engineering</w:t>
      </w:r>
      <w:r w:rsidR="00F14CD6" w:rsidRPr="0094625E">
        <w:t xml:space="preserve"> / Small Medium Enterprise</w:t>
      </w:r>
    </w:p>
    <w:p w14:paraId="38CC7961" w14:textId="77777777" w:rsidR="00EB32BC" w:rsidRPr="0094625E" w:rsidRDefault="00EB32BC" w:rsidP="00041463">
      <w:pPr>
        <w:spacing w:before="60" w:after="60"/>
        <w:ind w:left="1134" w:hanging="1134"/>
      </w:pPr>
      <w:r w:rsidRPr="0094625E">
        <w:t>SML</w:t>
      </w:r>
      <w:r w:rsidRPr="0094625E">
        <w:tab/>
        <w:t>Survey Motor Launch</w:t>
      </w:r>
    </w:p>
    <w:p w14:paraId="1759577B" w14:textId="77777777" w:rsidR="00D00D02" w:rsidRPr="0094625E" w:rsidRDefault="00D00D02" w:rsidP="00041463">
      <w:pPr>
        <w:spacing w:before="60" w:after="60"/>
        <w:ind w:left="1134" w:hanging="1134"/>
      </w:pPr>
      <w:r w:rsidRPr="0094625E">
        <w:t>STEM</w:t>
      </w:r>
      <w:r w:rsidRPr="0094625E">
        <w:tab/>
        <w:t>Science, Technology, Engineering and Mathematics</w:t>
      </w:r>
    </w:p>
    <w:p w14:paraId="597DC9F9" w14:textId="77777777" w:rsidR="002D6EC5" w:rsidRPr="0094625E" w:rsidRDefault="002D6EC5" w:rsidP="002D6EC5">
      <w:pPr>
        <w:pStyle w:val="HeadingRunIn"/>
        <w:keepNext w:val="0"/>
        <w:tabs>
          <w:tab w:val="left" w:pos="280"/>
        </w:tabs>
        <w:spacing w:after="60" w:line="240" w:lineRule="auto"/>
        <w:rPr>
          <w:rFonts w:ascii="Arial" w:hAnsi="Arial" w:cs="Arial"/>
          <w:smallCaps/>
          <w:color w:val="auto"/>
          <w:w w:val="100"/>
          <w:sz w:val="26"/>
          <w:szCs w:val="26"/>
          <w:lang w:val="en-AU"/>
        </w:rPr>
      </w:pPr>
      <w:r w:rsidRPr="0094625E">
        <w:rPr>
          <w:rFonts w:ascii="Arial" w:hAnsi="Arial" w:cs="Arial"/>
          <w:smallCaps/>
          <w:color w:val="auto"/>
          <w:w w:val="100"/>
          <w:sz w:val="26"/>
          <w:szCs w:val="26"/>
          <w:lang w:val="en-AU"/>
        </w:rPr>
        <w:t>T</w:t>
      </w:r>
    </w:p>
    <w:p w14:paraId="49BA2974" w14:textId="77777777" w:rsidR="002D6EC5" w:rsidRPr="0094625E" w:rsidRDefault="002D6EC5" w:rsidP="00041463">
      <w:pPr>
        <w:spacing w:before="60" w:after="60"/>
        <w:ind w:left="1134" w:hanging="1134"/>
      </w:pPr>
      <w:r w:rsidRPr="0094625E">
        <w:t>TAS</w:t>
      </w:r>
      <w:r w:rsidRPr="0094625E">
        <w:tab/>
        <w:t>Trusted Autonomous Systems</w:t>
      </w:r>
      <w:r w:rsidR="00F81C39" w:rsidRPr="0094625E">
        <w:t xml:space="preserve"> / Tasmania</w:t>
      </w:r>
    </w:p>
    <w:p w14:paraId="05D5125F" w14:textId="77777777" w:rsidR="00560D5B" w:rsidRPr="0094625E" w:rsidRDefault="008F2AC9" w:rsidP="00056CEA">
      <w:pPr>
        <w:pStyle w:val="HeadingRunIn"/>
        <w:keepNext w:val="0"/>
        <w:tabs>
          <w:tab w:val="left" w:pos="280"/>
        </w:tabs>
        <w:spacing w:after="60" w:line="240" w:lineRule="auto"/>
        <w:rPr>
          <w:rFonts w:ascii="Arial" w:hAnsi="Arial" w:cs="Arial"/>
          <w:smallCaps/>
          <w:color w:val="auto"/>
          <w:w w:val="100"/>
          <w:sz w:val="26"/>
          <w:szCs w:val="26"/>
          <w:lang w:val="en-AU"/>
        </w:rPr>
      </w:pPr>
      <w:r w:rsidRPr="0094625E">
        <w:rPr>
          <w:rFonts w:ascii="Arial" w:hAnsi="Arial" w:cs="Arial"/>
          <w:smallCaps/>
          <w:color w:val="auto"/>
          <w:w w:val="100"/>
          <w:sz w:val="26"/>
          <w:szCs w:val="26"/>
          <w:lang w:val="en-AU"/>
        </w:rPr>
        <w:br w:type="page"/>
      </w:r>
      <w:r w:rsidR="00560D5B" w:rsidRPr="0094625E">
        <w:rPr>
          <w:rFonts w:ascii="Arial" w:hAnsi="Arial" w:cs="Arial"/>
          <w:smallCaps/>
          <w:color w:val="auto"/>
          <w:w w:val="100"/>
          <w:sz w:val="26"/>
          <w:szCs w:val="26"/>
          <w:lang w:val="en-AU"/>
        </w:rPr>
        <w:lastRenderedPageBreak/>
        <w:t>U</w:t>
      </w:r>
    </w:p>
    <w:p w14:paraId="5A2E8813" w14:textId="77777777" w:rsidR="00560D5B" w:rsidRPr="0094625E" w:rsidRDefault="00560D5B" w:rsidP="00750C30">
      <w:pPr>
        <w:spacing w:before="60" w:after="60"/>
        <w:ind w:left="1134" w:hanging="1134"/>
      </w:pPr>
      <w:r w:rsidRPr="0094625E">
        <w:t>UAD</w:t>
      </w:r>
      <w:r w:rsidRPr="0094625E">
        <w:tab/>
        <w:t>Unit Availability Days</w:t>
      </w:r>
    </w:p>
    <w:p w14:paraId="46271845" w14:textId="77777777" w:rsidR="00F0375A" w:rsidRPr="0094625E" w:rsidRDefault="00F0375A" w:rsidP="00F0375A">
      <w:pPr>
        <w:tabs>
          <w:tab w:val="left" w:pos="567"/>
          <w:tab w:val="left" w:pos="1134"/>
        </w:tabs>
      </w:pPr>
      <w:r w:rsidRPr="0094625E">
        <w:rPr>
          <w:lang w:val="en-AU"/>
        </w:rPr>
        <w:t>UNDOF</w:t>
      </w:r>
      <w:r w:rsidRPr="0094625E">
        <w:rPr>
          <w:lang w:val="en-AU"/>
        </w:rPr>
        <w:tab/>
      </w:r>
      <w:r w:rsidRPr="0094625E">
        <w:rPr>
          <w:lang w:val="en-AU"/>
        </w:rPr>
        <w:tab/>
      </w:r>
      <w:r w:rsidRPr="0094625E">
        <w:rPr>
          <w:lang w:val="en-AU"/>
        </w:rPr>
        <w:tab/>
      </w:r>
      <w:r w:rsidRPr="0094625E">
        <w:rPr>
          <w:lang w:val="en-AU"/>
        </w:rPr>
        <w:tab/>
      </w:r>
      <w:r w:rsidRPr="0094625E">
        <w:rPr>
          <w:lang w:val="en-AU"/>
        </w:rPr>
        <w:tab/>
      </w:r>
      <w:r w:rsidRPr="0094625E">
        <w:rPr>
          <w:lang w:val="en-AU"/>
        </w:rPr>
        <w:tab/>
      </w:r>
      <w:r w:rsidRPr="0094625E">
        <w:rPr>
          <w:lang w:val="en-AU"/>
        </w:rPr>
        <w:tab/>
      </w:r>
      <w:r w:rsidRPr="0094625E">
        <w:rPr>
          <w:lang w:val="en-AU"/>
        </w:rPr>
        <w:tab/>
        <w:t>United Nations Disengagement Observer Force</w:t>
      </w:r>
    </w:p>
    <w:p w14:paraId="64DAE0F6" w14:textId="77777777" w:rsidR="00344A1C" w:rsidRPr="0094625E" w:rsidRDefault="00344A1C" w:rsidP="00750C30">
      <w:pPr>
        <w:pStyle w:val="HeadingRunIn"/>
        <w:keepNext w:val="0"/>
        <w:tabs>
          <w:tab w:val="left" w:pos="1120"/>
        </w:tabs>
        <w:suppressAutoHyphens/>
        <w:spacing w:before="60" w:after="60"/>
        <w:ind w:left="1120" w:hanging="1120"/>
        <w:rPr>
          <w:rFonts w:ascii="Book Antiqua" w:hAnsi="Book Antiqua" w:cs="Book Antiqua"/>
          <w:b w:val="0"/>
          <w:bCs w:val="0"/>
          <w:color w:val="auto"/>
          <w:w w:val="100"/>
          <w:sz w:val="20"/>
          <w:szCs w:val="20"/>
        </w:rPr>
      </w:pPr>
      <w:r w:rsidRPr="0094625E">
        <w:rPr>
          <w:rFonts w:ascii="Book Antiqua" w:hAnsi="Book Antiqua" w:cs="Book Antiqua"/>
          <w:b w:val="0"/>
          <w:bCs w:val="0"/>
          <w:color w:val="auto"/>
          <w:w w:val="100"/>
          <w:sz w:val="20"/>
          <w:szCs w:val="20"/>
        </w:rPr>
        <w:t>UNSCR</w:t>
      </w:r>
      <w:r w:rsidRPr="0094625E">
        <w:rPr>
          <w:rFonts w:ascii="Book Antiqua" w:hAnsi="Book Antiqua" w:cs="Book Antiqua"/>
          <w:b w:val="0"/>
          <w:bCs w:val="0"/>
          <w:color w:val="auto"/>
          <w:w w:val="100"/>
          <w:sz w:val="20"/>
          <w:szCs w:val="20"/>
        </w:rPr>
        <w:tab/>
        <w:t>United Nations Security Council Resolutions</w:t>
      </w:r>
    </w:p>
    <w:p w14:paraId="3BF52BAA" w14:textId="77777777" w:rsidR="0079234C" w:rsidRPr="0094625E" w:rsidRDefault="0079234C" w:rsidP="00750C30">
      <w:pPr>
        <w:pStyle w:val="HeadingRunIn"/>
        <w:keepNext w:val="0"/>
        <w:tabs>
          <w:tab w:val="left" w:pos="1120"/>
        </w:tabs>
        <w:suppressAutoHyphens/>
        <w:spacing w:before="60" w:after="60"/>
        <w:ind w:left="1120" w:hanging="1120"/>
        <w:rPr>
          <w:rFonts w:ascii="Book Antiqua" w:hAnsi="Book Antiqua" w:cs="Book Antiqua"/>
          <w:b w:val="0"/>
          <w:bCs w:val="0"/>
          <w:color w:val="auto"/>
          <w:w w:val="100"/>
          <w:sz w:val="20"/>
          <w:szCs w:val="20"/>
        </w:rPr>
      </w:pPr>
      <w:r w:rsidRPr="0094625E">
        <w:rPr>
          <w:rFonts w:ascii="Book Antiqua" w:hAnsi="Book Antiqua" w:cs="Book Antiqua"/>
          <w:b w:val="0"/>
          <w:bCs w:val="0"/>
          <w:color w:val="auto"/>
          <w:w w:val="100"/>
          <w:sz w:val="20"/>
          <w:szCs w:val="20"/>
        </w:rPr>
        <w:t>US</w:t>
      </w:r>
      <w:r w:rsidRPr="0094625E">
        <w:rPr>
          <w:rFonts w:ascii="Book Antiqua" w:hAnsi="Book Antiqua" w:cs="Book Antiqua"/>
          <w:b w:val="0"/>
          <w:bCs w:val="0"/>
          <w:color w:val="auto"/>
          <w:w w:val="100"/>
          <w:sz w:val="20"/>
          <w:szCs w:val="20"/>
        </w:rPr>
        <w:tab/>
        <w:t>United States</w:t>
      </w:r>
    </w:p>
    <w:p w14:paraId="4798DA9F" w14:textId="77777777" w:rsidR="00FE3DDA" w:rsidRPr="00FE3DDA" w:rsidRDefault="00EB32BC" w:rsidP="00BD634E">
      <w:pPr>
        <w:pStyle w:val="HeadingRunIn"/>
        <w:keepNext w:val="0"/>
        <w:tabs>
          <w:tab w:val="left" w:pos="1120"/>
        </w:tabs>
        <w:suppressAutoHyphens/>
        <w:spacing w:before="60" w:after="60"/>
        <w:ind w:left="1120" w:hanging="1120"/>
      </w:pPr>
      <w:r w:rsidRPr="0094625E">
        <w:rPr>
          <w:rFonts w:ascii="Book Antiqua" w:hAnsi="Book Antiqua" w:cs="Book Antiqua"/>
          <w:b w:val="0"/>
          <w:bCs w:val="0"/>
          <w:color w:val="auto"/>
          <w:w w:val="100"/>
          <w:sz w:val="20"/>
          <w:szCs w:val="20"/>
        </w:rPr>
        <w:t>USFPI</w:t>
      </w:r>
      <w:r w:rsidRPr="0094625E">
        <w:rPr>
          <w:rFonts w:ascii="Book Antiqua" w:hAnsi="Book Antiqua" w:cs="Book Antiqua"/>
          <w:b w:val="0"/>
          <w:bCs w:val="0"/>
          <w:color w:val="auto"/>
          <w:w w:val="100"/>
          <w:sz w:val="20"/>
          <w:szCs w:val="20"/>
        </w:rPr>
        <w:tab/>
        <w:t>United States Force Posture Initiatives</w:t>
      </w:r>
    </w:p>
    <w:sectPr w:rsidR="00FE3DDA" w:rsidRPr="00FE3DDA" w:rsidSect="00C30BE6">
      <w:headerReference w:type="even" r:id="rId160"/>
      <w:headerReference w:type="default" r:id="rId161"/>
      <w:footerReference w:type="even" r:id="rId162"/>
      <w:footerReference w:type="default" r:id="rId163"/>
      <w:headerReference w:type="first" r:id="rId164"/>
      <w:pgSz w:w="11907" w:h="16840" w:code="9"/>
      <w:pgMar w:top="1701" w:right="1361" w:bottom="1701" w:left="1928"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BC7C18" w14:textId="77777777" w:rsidR="00004E68" w:rsidRDefault="00004E68">
      <w:r>
        <w:separator/>
      </w:r>
    </w:p>
  </w:endnote>
  <w:endnote w:type="continuationSeparator" w:id="0">
    <w:p w14:paraId="5F19249A" w14:textId="77777777" w:rsidR="00004E68" w:rsidRDefault="00004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9999999">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MetaNormalLF-Roman">
    <w:altName w:val="MetaNormalLF-Roman"/>
    <w:charset w:val="00"/>
    <w:family w:val="swiss"/>
    <w:pitch w:val="variable"/>
    <w:sig w:usb0="8000002F" w:usb1="40000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Linotype-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BAEC0" w14:textId="20684F1B" w:rsidR="00CE3B2C" w:rsidRDefault="00CE3B2C" w:rsidP="00EC5E54">
    <w:pPr>
      <w:pStyle w:val="Footer"/>
      <w:framePr w:wrap="around" w:vAnchor="text" w:hAnchor="page" w:x="1291" w:y="37"/>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324BCF5F" w14:textId="77777777" w:rsidR="00CE3B2C" w:rsidRDefault="00CE3B2C" w:rsidP="008742BA">
    <w:pPr>
      <w:pStyle w:val="Footer"/>
      <w:tabs>
        <w:tab w:val="clear" w:pos="4153"/>
        <w:tab w:val="clear" w:pos="8306"/>
        <w:tab w:val="left" w:pos="495"/>
      </w:tabs>
      <w:ind w:right="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F3BCB" w14:textId="276220EB" w:rsidR="00CE3B2C" w:rsidRPr="00787DB2" w:rsidRDefault="00CE3B2C" w:rsidP="00787DB2">
    <w:pPr>
      <w:pStyle w:val="Footer"/>
      <w:rPr>
        <w:rStyle w:val="PageNumber"/>
        <w:rFonts w:ascii="Arial" w:hAnsi="Arial"/>
        <w:b/>
        <w:sz w:val="18"/>
        <w:szCs w:val="18"/>
      </w:rPr>
    </w:pPr>
    <w:r w:rsidRPr="00787DB2">
      <w:rPr>
        <w:rStyle w:val="PageNumber"/>
        <w:rFonts w:ascii="Arial" w:hAnsi="Arial"/>
        <w:b/>
        <w:sz w:val="18"/>
        <w:szCs w:val="18"/>
      </w:rPr>
      <w:t xml:space="preserve">Page </w:t>
    </w:r>
    <w:r w:rsidRPr="00787DB2">
      <w:rPr>
        <w:rStyle w:val="PageNumber"/>
        <w:rFonts w:ascii="Arial" w:hAnsi="Arial"/>
        <w:b/>
        <w:sz w:val="18"/>
        <w:szCs w:val="18"/>
      </w:rPr>
      <w:fldChar w:fldCharType="begin"/>
    </w:r>
    <w:r w:rsidRPr="00787DB2">
      <w:rPr>
        <w:rStyle w:val="PageNumber"/>
        <w:rFonts w:ascii="Arial" w:hAnsi="Arial"/>
        <w:b/>
        <w:sz w:val="18"/>
        <w:szCs w:val="18"/>
      </w:rPr>
      <w:instrText xml:space="preserve">PAGE  </w:instrText>
    </w:r>
    <w:r w:rsidRPr="00787DB2">
      <w:rPr>
        <w:rStyle w:val="PageNumber"/>
        <w:rFonts w:ascii="Arial" w:hAnsi="Arial"/>
        <w:b/>
        <w:sz w:val="18"/>
        <w:szCs w:val="18"/>
      </w:rPr>
      <w:fldChar w:fldCharType="separate"/>
    </w:r>
    <w:r w:rsidR="00B72054">
      <w:rPr>
        <w:rStyle w:val="PageNumber"/>
        <w:rFonts w:ascii="Arial" w:hAnsi="Arial"/>
        <w:b/>
        <w:noProof/>
        <w:sz w:val="18"/>
        <w:szCs w:val="18"/>
      </w:rPr>
      <w:t>20</w:t>
    </w:r>
    <w:r w:rsidRPr="00787DB2">
      <w:rPr>
        <w:rStyle w:val="PageNumber"/>
        <w:rFonts w:ascii="Arial" w:hAnsi="Arial"/>
        <w:b/>
        <w:sz w:val="18"/>
        <w:szCs w:val="18"/>
      </w:rPr>
      <w:fldChar w:fldCharType="end"/>
    </w:r>
    <w:r>
      <w:rPr>
        <w:rStyle w:val="PageNumber"/>
        <w:rFonts w:ascii="Arial" w:hAnsi="Arial"/>
        <w:b/>
        <w:sz w:val="18"/>
        <w:szCs w:val="18"/>
      </w:rPr>
      <w:t xml:space="preserve"> |</w:t>
    </w:r>
    <w:r w:rsidRPr="004268EE">
      <w:rPr>
        <w:rStyle w:val="PageNumber"/>
        <w:rFonts w:ascii="Arial" w:hAnsi="Arial"/>
        <w:sz w:val="18"/>
        <w:szCs w:val="18"/>
      </w:rPr>
      <w:t xml:space="preserve"> </w:t>
    </w:r>
    <w:r>
      <w:rPr>
        <w:rStyle w:val="PageNumber"/>
        <w:rFonts w:ascii="Arial" w:hAnsi="Arial"/>
        <w:sz w:val="18"/>
        <w:szCs w:val="18"/>
      </w:rPr>
      <w:t>Defence</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150B6" w14:textId="58581D58" w:rsidR="00CE3B2C" w:rsidRPr="006E0B00" w:rsidRDefault="00CE3B2C" w:rsidP="00CA0308">
    <w:pPr>
      <w:pStyle w:val="Footer"/>
      <w:jc w:val="right"/>
      <w:rPr>
        <w:rStyle w:val="PageNumber"/>
        <w:rFonts w:ascii="Arial" w:hAnsi="Arial"/>
        <w:sz w:val="18"/>
        <w:szCs w:val="18"/>
      </w:rPr>
    </w:pPr>
    <w:r>
      <w:rPr>
        <w:rStyle w:val="PageNumber"/>
        <w:rFonts w:ascii="Arial" w:hAnsi="Arial"/>
        <w:sz w:val="18"/>
        <w:szCs w:val="18"/>
      </w:rPr>
      <w:t>Defence</w:t>
    </w:r>
    <w:r w:rsidRPr="006E0B00">
      <w:rPr>
        <w:rStyle w:val="PageNumber"/>
        <w:rFonts w:ascii="Arial" w:hAnsi="Arial"/>
        <w:sz w:val="18"/>
        <w:szCs w:val="18"/>
      </w:rPr>
      <w:t xml:space="preserve"> | </w:t>
    </w:r>
    <w:r w:rsidRPr="006E0B00">
      <w:rPr>
        <w:rStyle w:val="PageNumber"/>
        <w:rFonts w:ascii="Arial" w:hAnsi="Arial"/>
        <w:b/>
        <w:sz w:val="18"/>
        <w:szCs w:val="18"/>
      </w:rPr>
      <w:t xml:space="preserve">Page </w:t>
    </w:r>
    <w:r w:rsidRPr="006E0B00">
      <w:rPr>
        <w:rStyle w:val="PageNumber"/>
        <w:rFonts w:ascii="Arial" w:hAnsi="Arial"/>
        <w:b/>
        <w:sz w:val="18"/>
        <w:szCs w:val="18"/>
      </w:rPr>
      <w:fldChar w:fldCharType="begin"/>
    </w:r>
    <w:r w:rsidRPr="006E0B00">
      <w:rPr>
        <w:rStyle w:val="PageNumber"/>
        <w:rFonts w:ascii="Arial" w:hAnsi="Arial"/>
        <w:b/>
        <w:sz w:val="18"/>
        <w:szCs w:val="18"/>
      </w:rPr>
      <w:instrText xml:space="preserve"> PAGE </w:instrText>
    </w:r>
    <w:r w:rsidRPr="006E0B00">
      <w:rPr>
        <w:rStyle w:val="PageNumber"/>
        <w:rFonts w:ascii="Arial" w:hAnsi="Arial"/>
        <w:b/>
        <w:sz w:val="18"/>
        <w:szCs w:val="18"/>
      </w:rPr>
      <w:fldChar w:fldCharType="separate"/>
    </w:r>
    <w:r w:rsidR="00B72054">
      <w:rPr>
        <w:rStyle w:val="PageNumber"/>
        <w:rFonts w:ascii="Arial" w:hAnsi="Arial"/>
        <w:b/>
        <w:noProof/>
        <w:sz w:val="18"/>
        <w:szCs w:val="18"/>
      </w:rPr>
      <w:t>21</w:t>
    </w:r>
    <w:r w:rsidRPr="006E0B00">
      <w:rPr>
        <w:rStyle w:val="PageNumber"/>
        <w:rFonts w:ascii="Arial" w:hAnsi="Arial"/>
        <w:b/>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5F05F" w14:textId="77777777" w:rsidR="00CE3B2C" w:rsidRDefault="00CE3B2C" w:rsidP="008742BA">
    <w:pPr>
      <w:pStyle w:val="Footer"/>
      <w:tabs>
        <w:tab w:val="clear" w:pos="4153"/>
        <w:tab w:val="clear" w:pos="8306"/>
        <w:tab w:val="left" w:pos="495"/>
      </w:tabs>
      <w:ind w:right="360"/>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36251" w14:textId="77777777" w:rsidR="00CE3B2C" w:rsidRDefault="00CE3B2C" w:rsidP="00CA0308">
    <w:pPr>
      <w:pStyle w:val="Footer"/>
      <w:jc w:val="right"/>
      <w:rPr>
        <w:rStyle w:val="PageNumber"/>
      </w:rPr>
    </w:pPr>
    <w:r>
      <w:rPr>
        <w:noProof/>
        <w:lang w:val="en-AU"/>
      </w:rPr>
      <mc:AlternateContent>
        <mc:Choice Requires="wps">
          <w:drawing>
            <wp:anchor distT="0" distB="0" distL="114300" distR="114300" simplePos="0" relativeHeight="251653120" behindDoc="0" locked="0" layoutInCell="0" allowOverlap="1" wp14:anchorId="356088D7" wp14:editId="536E7167">
              <wp:simplePos x="0" y="0"/>
              <wp:positionH relativeFrom="page">
                <wp:posOffset>408305</wp:posOffset>
              </wp:positionH>
              <wp:positionV relativeFrom="page">
                <wp:posOffset>4295140</wp:posOffset>
              </wp:positionV>
              <wp:extent cx="409575" cy="2434590"/>
              <wp:effectExtent l="0" t="0" r="0" b="0"/>
              <wp:wrapNone/>
              <wp:docPr id="8552" name="Rectangle 8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434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24340" w14:textId="49B90A91" w:rsidR="00CE3B2C" w:rsidRPr="006E0B00" w:rsidRDefault="00CE3B2C" w:rsidP="00921C1E">
                          <w:pPr>
                            <w:pStyle w:val="Footer"/>
                            <w:jc w:val="right"/>
                            <w:rPr>
                              <w:rStyle w:val="PageNumber"/>
                              <w:rFonts w:ascii="Arial" w:hAnsi="Arial"/>
                              <w:sz w:val="18"/>
                              <w:szCs w:val="18"/>
                            </w:rPr>
                          </w:pPr>
                          <w:r w:rsidRPr="00921C1E">
                            <w:rPr>
                              <w:rStyle w:val="PageNumber"/>
                              <w:rFonts w:ascii="Arial" w:hAnsi="Arial"/>
                              <w:sz w:val="18"/>
                              <w:szCs w:val="18"/>
                            </w:rPr>
                            <w:t xml:space="preserve">Defence | </w:t>
                          </w:r>
                          <w:r w:rsidRPr="00921C1E">
                            <w:rPr>
                              <w:rStyle w:val="PageNumber"/>
                              <w:rFonts w:ascii="Arial" w:hAnsi="Arial"/>
                              <w:b/>
                              <w:sz w:val="18"/>
                              <w:szCs w:val="18"/>
                            </w:rPr>
                            <w:t xml:space="preserve">Page </w:t>
                          </w:r>
                          <w:r w:rsidRPr="00921C1E">
                            <w:rPr>
                              <w:rStyle w:val="PageNumber"/>
                              <w:rFonts w:ascii="Arial" w:hAnsi="Arial"/>
                              <w:b/>
                              <w:sz w:val="18"/>
                              <w:szCs w:val="18"/>
                            </w:rPr>
                            <w:fldChar w:fldCharType="begin"/>
                          </w:r>
                          <w:r w:rsidRPr="00921C1E">
                            <w:rPr>
                              <w:rStyle w:val="PageNumber"/>
                              <w:rFonts w:ascii="Arial" w:hAnsi="Arial"/>
                              <w:b/>
                              <w:sz w:val="18"/>
                              <w:szCs w:val="18"/>
                            </w:rPr>
                            <w:instrText xml:space="preserve"> PAGE </w:instrText>
                          </w:r>
                          <w:r w:rsidRPr="00921C1E">
                            <w:rPr>
                              <w:rStyle w:val="PageNumber"/>
                              <w:rFonts w:ascii="Arial" w:hAnsi="Arial"/>
                              <w:b/>
                              <w:sz w:val="18"/>
                              <w:szCs w:val="18"/>
                            </w:rPr>
                            <w:fldChar w:fldCharType="separate"/>
                          </w:r>
                          <w:r w:rsidR="00B72054">
                            <w:rPr>
                              <w:rStyle w:val="PageNumber"/>
                              <w:rFonts w:ascii="Arial" w:hAnsi="Arial"/>
                              <w:b/>
                              <w:noProof/>
                              <w:sz w:val="18"/>
                              <w:szCs w:val="18"/>
                            </w:rPr>
                            <w:t>113</w:t>
                          </w:r>
                          <w:r w:rsidRPr="00921C1E">
                            <w:rPr>
                              <w:rStyle w:val="PageNumber"/>
                              <w:rFonts w:ascii="Arial" w:hAnsi="Arial"/>
                              <w:b/>
                              <w:sz w:val="18"/>
                              <w:szCs w:val="18"/>
                            </w:rPr>
                            <w:fldChar w:fldCharType="end"/>
                          </w:r>
                        </w:p>
                        <w:p w14:paraId="375AA792" w14:textId="77777777" w:rsidR="00CE3B2C" w:rsidRPr="002C539C" w:rsidRDefault="00CE3B2C" w:rsidP="002C539C">
                          <w:pPr>
                            <w:pStyle w:val="Footer"/>
                            <w:jc w:val="right"/>
                            <w:rPr>
                              <w:rStyle w:val="PageNumber"/>
                              <w:noProof/>
                            </w:rPr>
                          </w:pPr>
                        </w:p>
                      </w:txbxContent>
                    </wps:txbx>
                    <wps:bodyPr rot="0" vert="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6088D7" id="Rectangle 8552" o:spid="_x0000_s1107" style="position:absolute;left:0;text-align:left;margin-left:32.15pt;margin-top:338.2pt;width:32.25pt;height:191.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" o:allowincell="f" filled="f" stroked="f">
              <v:textbox style="layout-flow:vertical">
                <w:txbxContent>
                  <w:p w14:paraId="03824340" w14:textId="49B90A91" w:rsidR="00CE3B2C" w:rsidRPr="006E0B00" w:rsidRDefault="00CE3B2C" w:rsidP="00921C1E">
                    <w:pPr>
                      <w:pStyle w:val="Footer"/>
                      <w:jc w:val="right"/>
                      <w:rPr>
                        <w:rStyle w:val="PageNumber"/>
                        <w:rFonts w:ascii="Arial" w:hAnsi="Arial"/>
                        <w:sz w:val="18"/>
                        <w:szCs w:val="18"/>
                      </w:rPr>
                    </w:pPr>
                    <w:r w:rsidRPr="00921C1E">
                      <w:rPr>
                        <w:rStyle w:val="PageNumber"/>
                        <w:rFonts w:ascii="Arial" w:hAnsi="Arial"/>
                        <w:sz w:val="18"/>
                        <w:szCs w:val="18"/>
                      </w:rPr>
                      <w:t xml:space="preserve">Defence | </w:t>
                    </w:r>
                    <w:r w:rsidRPr="00921C1E">
                      <w:rPr>
                        <w:rStyle w:val="PageNumber"/>
                        <w:rFonts w:ascii="Arial" w:hAnsi="Arial"/>
                        <w:b/>
                        <w:sz w:val="18"/>
                        <w:szCs w:val="18"/>
                      </w:rPr>
                      <w:t xml:space="preserve">Page </w:t>
                    </w:r>
                    <w:r w:rsidRPr="00921C1E">
                      <w:rPr>
                        <w:rStyle w:val="PageNumber"/>
                        <w:rFonts w:ascii="Arial" w:hAnsi="Arial"/>
                        <w:b/>
                        <w:sz w:val="18"/>
                        <w:szCs w:val="18"/>
                      </w:rPr>
                      <w:fldChar w:fldCharType="begin"/>
                    </w:r>
                    <w:r w:rsidRPr="00921C1E">
                      <w:rPr>
                        <w:rStyle w:val="PageNumber"/>
                        <w:rFonts w:ascii="Arial" w:hAnsi="Arial"/>
                        <w:b/>
                        <w:sz w:val="18"/>
                        <w:szCs w:val="18"/>
                      </w:rPr>
                      <w:instrText xml:space="preserve"> PAGE </w:instrText>
                    </w:r>
                    <w:r w:rsidRPr="00921C1E">
                      <w:rPr>
                        <w:rStyle w:val="PageNumber"/>
                        <w:rFonts w:ascii="Arial" w:hAnsi="Arial"/>
                        <w:b/>
                        <w:sz w:val="18"/>
                        <w:szCs w:val="18"/>
                      </w:rPr>
                      <w:fldChar w:fldCharType="separate"/>
                    </w:r>
                    <w:r w:rsidR="00B72054">
                      <w:rPr>
                        <w:rStyle w:val="PageNumber"/>
                        <w:rFonts w:ascii="Arial" w:hAnsi="Arial"/>
                        <w:b/>
                        <w:noProof/>
                        <w:sz w:val="18"/>
                        <w:szCs w:val="18"/>
                      </w:rPr>
                      <w:t>113</w:t>
                    </w:r>
                    <w:r w:rsidRPr="00921C1E">
                      <w:rPr>
                        <w:rStyle w:val="PageNumber"/>
                        <w:rFonts w:ascii="Arial" w:hAnsi="Arial"/>
                        <w:b/>
                        <w:sz w:val="18"/>
                        <w:szCs w:val="18"/>
                      </w:rPr>
                      <w:fldChar w:fldCharType="end"/>
                    </w:r>
                  </w:p>
                  <w:p w14:paraId="375AA792" w14:textId="77777777" w:rsidR="00CE3B2C" w:rsidRPr="002C539C" w:rsidRDefault="00CE3B2C" w:rsidP="002C539C">
                    <w:pPr>
                      <w:pStyle w:val="Footer"/>
                      <w:jc w:val="right"/>
                      <w:rPr>
                        <w:rStyle w:val="PageNumber"/>
                        <w:noProof/>
                      </w:rPr>
                    </w:pPr>
                  </w:p>
                </w:txbxContent>
              </v:textbox>
              <w10:wrap anchorx="page" anchory="page"/>
            </v:rect>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42E65" w14:textId="42286F7F" w:rsidR="00CE3B2C" w:rsidRPr="00787DB2" w:rsidRDefault="00CE3B2C" w:rsidP="00B53319">
    <w:pPr>
      <w:pStyle w:val="Footer"/>
      <w:rPr>
        <w:rStyle w:val="PageNumber"/>
        <w:rFonts w:ascii="Arial" w:hAnsi="Arial"/>
        <w:b/>
        <w:sz w:val="18"/>
        <w:szCs w:val="18"/>
      </w:rPr>
    </w:pPr>
    <w:r w:rsidRPr="00787DB2">
      <w:rPr>
        <w:rStyle w:val="PageNumber"/>
        <w:rFonts w:ascii="Arial" w:hAnsi="Arial"/>
        <w:b/>
        <w:sz w:val="18"/>
        <w:szCs w:val="18"/>
      </w:rPr>
      <w:t xml:space="preserve">Page </w:t>
    </w:r>
    <w:r w:rsidRPr="00787DB2">
      <w:rPr>
        <w:rStyle w:val="PageNumber"/>
        <w:rFonts w:ascii="Arial" w:hAnsi="Arial"/>
        <w:b/>
        <w:sz w:val="18"/>
        <w:szCs w:val="18"/>
      </w:rPr>
      <w:fldChar w:fldCharType="begin"/>
    </w:r>
    <w:r w:rsidRPr="00787DB2">
      <w:rPr>
        <w:rStyle w:val="PageNumber"/>
        <w:rFonts w:ascii="Arial" w:hAnsi="Arial"/>
        <w:b/>
        <w:sz w:val="18"/>
        <w:szCs w:val="18"/>
      </w:rPr>
      <w:instrText xml:space="preserve">PAGE  </w:instrText>
    </w:r>
    <w:r w:rsidRPr="00787DB2">
      <w:rPr>
        <w:rStyle w:val="PageNumber"/>
        <w:rFonts w:ascii="Arial" w:hAnsi="Arial"/>
        <w:b/>
        <w:sz w:val="18"/>
        <w:szCs w:val="18"/>
      </w:rPr>
      <w:fldChar w:fldCharType="separate"/>
    </w:r>
    <w:r w:rsidR="00B72054">
      <w:rPr>
        <w:rStyle w:val="PageNumber"/>
        <w:rFonts w:ascii="Arial" w:hAnsi="Arial"/>
        <w:b/>
        <w:noProof/>
        <w:sz w:val="18"/>
        <w:szCs w:val="18"/>
      </w:rPr>
      <w:t>118</w:t>
    </w:r>
    <w:r w:rsidRPr="00787DB2">
      <w:rPr>
        <w:rStyle w:val="PageNumber"/>
        <w:rFonts w:ascii="Arial" w:hAnsi="Arial"/>
        <w:b/>
        <w:sz w:val="18"/>
        <w:szCs w:val="18"/>
      </w:rPr>
      <w:fldChar w:fldCharType="end"/>
    </w:r>
    <w:r>
      <w:rPr>
        <w:rStyle w:val="PageNumber"/>
        <w:rFonts w:ascii="Arial" w:hAnsi="Arial"/>
        <w:b/>
        <w:sz w:val="18"/>
        <w:szCs w:val="18"/>
      </w:rPr>
      <w:t xml:space="preserve"> |</w:t>
    </w:r>
    <w:r w:rsidRPr="004268EE">
      <w:rPr>
        <w:rStyle w:val="PageNumber"/>
        <w:rFonts w:ascii="Arial" w:hAnsi="Arial"/>
        <w:sz w:val="18"/>
        <w:szCs w:val="18"/>
      </w:rPr>
      <w:t xml:space="preserve"> </w:t>
    </w:r>
    <w:r>
      <w:rPr>
        <w:rStyle w:val="PageNumber"/>
        <w:rFonts w:ascii="Arial" w:hAnsi="Arial"/>
        <w:sz w:val="18"/>
        <w:szCs w:val="18"/>
      </w:rPr>
      <w:t>Defence</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D7343" w14:textId="4B4FC9FA" w:rsidR="00CE3B2C" w:rsidRPr="006E0B00" w:rsidRDefault="00CE3B2C" w:rsidP="00B53319">
    <w:pPr>
      <w:pStyle w:val="Footer"/>
      <w:jc w:val="right"/>
      <w:rPr>
        <w:rStyle w:val="PageNumber"/>
        <w:rFonts w:ascii="Arial" w:hAnsi="Arial"/>
        <w:sz w:val="18"/>
        <w:szCs w:val="18"/>
      </w:rPr>
    </w:pPr>
    <w:r>
      <w:rPr>
        <w:rStyle w:val="PageNumber"/>
        <w:rFonts w:ascii="Arial" w:hAnsi="Arial"/>
        <w:sz w:val="18"/>
        <w:szCs w:val="18"/>
      </w:rPr>
      <w:t>Defence</w:t>
    </w:r>
    <w:r w:rsidRPr="006E0B00">
      <w:rPr>
        <w:rStyle w:val="PageNumber"/>
        <w:rFonts w:ascii="Arial" w:hAnsi="Arial"/>
        <w:sz w:val="18"/>
        <w:szCs w:val="18"/>
      </w:rPr>
      <w:t xml:space="preserve"> | </w:t>
    </w:r>
    <w:r w:rsidRPr="006E0B00">
      <w:rPr>
        <w:rStyle w:val="PageNumber"/>
        <w:rFonts w:ascii="Arial" w:hAnsi="Arial"/>
        <w:b/>
        <w:sz w:val="18"/>
        <w:szCs w:val="18"/>
      </w:rPr>
      <w:t xml:space="preserve">Page </w:t>
    </w:r>
    <w:r w:rsidRPr="006E0B00">
      <w:rPr>
        <w:rStyle w:val="PageNumber"/>
        <w:rFonts w:ascii="Arial" w:hAnsi="Arial"/>
        <w:b/>
        <w:sz w:val="18"/>
        <w:szCs w:val="18"/>
      </w:rPr>
      <w:fldChar w:fldCharType="begin"/>
    </w:r>
    <w:r w:rsidRPr="006E0B00">
      <w:rPr>
        <w:rStyle w:val="PageNumber"/>
        <w:rFonts w:ascii="Arial" w:hAnsi="Arial"/>
        <w:b/>
        <w:sz w:val="18"/>
        <w:szCs w:val="18"/>
      </w:rPr>
      <w:instrText xml:space="preserve"> PAGE </w:instrText>
    </w:r>
    <w:r w:rsidRPr="006E0B00">
      <w:rPr>
        <w:rStyle w:val="PageNumber"/>
        <w:rFonts w:ascii="Arial" w:hAnsi="Arial"/>
        <w:b/>
        <w:sz w:val="18"/>
        <w:szCs w:val="18"/>
      </w:rPr>
      <w:fldChar w:fldCharType="separate"/>
    </w:r>
    <w:r w:rsidR="00B72054">
      <w:rPr>
        <w:rStyle w:val="PageNumber"/>
        <w:rFonts w:ascii="Arial" w:hAnsi="Arial"/>
        <w:b/>
        <w:noProof/>
        <w:sz w:val="18"/>
        <w:szCs w:val="18"/>
      </w:rPr>
      <w:t>119</w:t>
    </w:r>
    <w:r w:rsidRPr="006E0B00">
      <w:rPr>
        <w:rStyle w:val="PageNumber"/>
        <w:rFonts w:ascii="Arial" w:hAnsi="Arial"/>
        <w:b/>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2C3C8" w14:textId="77777777" w:rsidR="00CE3B2C" w:rsidRDefault="00CE3B2C" w:rsidP="00EC5E54">
    <w:pPr>
      <w:pStyle w:val="Footer"/>
      <w:framePr w:wrap="around" w:vAnchor="text" w:hAnchor="page" w:x="1291" w:y="37"/>
      <w:rPr>
        <w:rStyle w:val="PageNumber"/>
      </w:rPr>
    </w:pPr>
  </w:p>
  <w:p w14:paraId="286DAEAB" w14:textId="77777777" w:rsidR="00CE3B2C" w:rsidRDefault="00CE3B2C" w:rsidP="00264B42">
    <w:pPr>
      <w:pStyle w:val="Footer"/>
      <w:tabs>
        <w:tab w:val="clear" w:pos="4153"/>
        <w:tab w:val="clear" w:pos="8306"/>
        <w:tab w:val="left" w:pos="495"/>
      </w:tabs>
      <w:ind w:right="360"/>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CEF0C" w14:textId="77777777" w:rsidR="00CE3B2C" w:rsidRDefault="00CE3B2C" w:rsidP="00CA0308">
    <w:pPr>
      <w:pStyle w:val="Footer"/>
      <w:jc w:val="right"/>
      <w:rPr>
        <w:rStyle w:val="PageNumber"/>
      </w:rPr>
    </w:pPr>
    <w:r>
      <w:rPr>
        <w:noProof/>
        <w:lang w:val="en-AU"/>
      </w:rPr>
      <mc:AlternateContent>
        <mc:Choice Requires="wps">
          <w:drawing>
            <wp:anchor distT="0" distB="0" distL="114300" distR="114300" simplePos="0" relativeHeight="251659264" behindDoc="0" locked="0" layoutInCell="0" allowOverlap="1" wp14:anchorId="5617D775" wp14:editId="6BB17EFD">
              <wp:simplePos x="0" y="0"/>
              <wp:positionH relativeFrom="page">
                <wp:posOffset>409575</wp:posOffset>
              </wp:positionH>
              <wp:positionV relativeFrom="page">
                <wp:posOffset>4321810</wp:posOffset>
              </wp:positionV>
              <wp:extent cx="409575" cy="2506980"/>
              <wp:effectExtent l="0" t="0" r="0" b="0"/>
              <wp:wrapNone/>
              <wp:docPr id="24575519" name="Rectangle 24575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506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E84862" w14:textId="7772FF4A" w:rsidR="00CE3B2C" w:rsidRPr="006E0B00" w:rsidRDefault="00CE3B2C" w:rsidP="00382629">
                          <w:pPr>
                            <w:pStyle w:val="Footer"/>
                            <w:jc w:val="right"/>
                            <w:rPr>
                              <w:rStyle w:val="PageNumber"/>
                              <w:rFonts w:ascii="Arial" w:hAnsi="Arial"/>
                              <w:sz w:val="18"/>
                              <w:szCs w:val="18"/>
                            </w:rPr>
                          </w:pPr>
                          <w:r w:rsidRPr="003E559F">
                            <w:rPr>
                              <w:rStyle w:val="PageNumber"/>
                              <w:rFonts w:ascii="Arial" w:hAnsi="Arial"/>
                              <w:sz w:val="18"/>
                              <w:szCs w:val="18"/>
                            </w:rPr>
                            <w:t xml:space="preserve">Defence | </w:t>
                          </w:r>
                          <w:r w:rsidRPr="003E559F">
                            <w:rPr>
                              <w:rStyle w:val="PageNumber"/>
                              <w:rFonts w:ascii="Arial" w:hAnsi="Arial"/>
                              <w:b/>
                              <w:sz w:val="18"/>
                              <w:szCs w:val="18"/>
                            </w:rPr>
                            <w:t xml:space="preserve">Page </w:t>
                          </w:r>
                          <w:r w:rsidRPr="003E559F">
                            <w:rPr>
                              <w:rStyle w:val="PageNumber"/>
                              <w:rFonts w:ascii="Arial" w:hAnsi="Arial"/>
                              <w:b/>
                              <w:sz w:val="18"/>
                              <w:szCs w:val="18"/>
                            </w:rPr>
                            <w:fldChar w:fldCharType="begin"/>
                          </w:r>
                          <w:r w:rsidRPr="003E559F">
                            <w:rPr>
                              <w:rStyle w:val="PageNumber"/>
                              <w:rFonts w:ascii="Arial" w:hAnsi="Arial"/>
                              <w:b/>
                              <w:sz w:val="18"/>
                              <w:szCs w:val="18"/>
                            </w:rPr>
                            <w:instrText xml:space="preserve"> PAGE </w:instrText>
                          </w:r>
                          <w:r w:rsidRPr="003E559F">
                            <w:rPr>
                              <w:rStyle w:val="PageNumber"/>
                              <w:rFonts w:ascii="Arial" w:hAnsi="Arial"/>
                              <w:b/>
                              <w:sz w:val="18"/>
                              <w:szCs w:val="18"/>
                            </w:rPr>
                            <w:fldChar w:fldCharType="separate"/>
                          </w:r>
                          <w:r w:rsidR="00B72054">
                            <w:rPr>
                              <w:rStyle w:val="PageNumber"/>
                              <w:rFonts w:ascii="Arial" w:hAnsi="Arial"/>
                              <w:b/>
                              <w:noProof/>
                              <w:sz w:val="18"/>
                              <w:szCs w:val="18"/>
                            </w:rPr>
                            <w:t>141</w:t>
                          </w:r>
                          <w:r w:rsidRPr="003E559F">
                            <w:rPr>
                              <w:rStyle w:val="PageNumber"/>
                              <w:rFonts w:ascii="Arial" w:hAnsi="Arial"/>
                              <w:b/>
                              <w:sz w:val="18"/>
                              <w:szCs w:val="18"/>
                            </w:rPr>
                            <w:fldChar w:fldCharType="end"/>
                          </w:r>
                        </w:p>
                        <w:p w14:paraId="1A2DD050" w14:textId="77777777" w:rsidR="00CE3B2C" w:rsidRPr="006275F9" w:rsidRDefault="00CE3B2C" w:rsidP="006A2350">
                          <w:pPr>
                            <w:pStyle w:val="Footer"/>
                            <w:rPr>
                              <w:rFonts w:ascii="Calibri Light" w:hAnsi="Calibri Light" w:cs="Times New Roman"/>
                              <w:szCs w:val="20"/>
                            </w:rPr>
                          </w:pPr>
                        </w:p>
                      </w:txbxContent>
                    </wps:txbx>
                    <wps:bodyPr rot="0" vert="vert"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5617D775" id="Rectangle 24575519" o:spid="_x0000_s1111" style="position:absolute;left:0;text-align:left;margin-left:32.25pt;margin-top:340.3pt;width:32.25pt;height:197.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" o:allowincell="f" stroked="f">
              <v:textbox style="layout-flow:vertical">
                <w:txbxContent>
                  <w:p w14:paraId="70E84862" w14:textId="7772FF4A" w:rsidR="00CE3B2C" w:rsidRPr="006E0B00" w:rsidRDefault="00CE3B2C" w:rsidP="00382629">
                    <w:pPr>
                      <w:pStyle w:val="Footer"/>
                      <w:jc w:val="right"/>
                      <w:rPr>
                        <w:rStyle w:val="PageNumber"/>
                        <w:rFonts w:ascii="Arial" w:hAnsi="Arial"/>
                        <w:sz w:val="18"/>
                        <w:szCs w:val="18"/>
                      </w:rPr>
                    </w:pPr>
                    <w:r w:rsidRPr="003E559F">
                      <w:rPr>
                        <w:rStyle w:val="PageNumber"/>
                        <w:rFonts w:ascii="Arial" w:hAnsi="Arial"/>
                        <w:sz w:val="18"/>
                        <w:szCs w:val="18"/>
                      </w:rPr>
                      <w:t xml:space="preserve">Defence | </w:t>
                    </w:r>
                    <w:r w:rsidRPr="003E559F">
                      <w:rPr>
                        <w:rStyle w:val="PageNumber"/>
                        <w:rFonts w:ascii="Arial" w:hAnsi="Arial"/>
                        <w:b/>
                        <w:sz w:val="18"/>
                        <w:szCs w:val="18"/>
                      </w:rPr>
                      <w:t xml:space="preserve">Page </w:t>
                    </w:r>
                    <w:r w:rsidRPr="003E559F">
                      <w:rPr>
                        <w:rStyle w:val="PageNumber"/>
                        <w:rFonts w:ascii="Arial" w:hAnsi="Arial"/>
                        <w:b/>
                        <w:sz w:val="18"/>
                        <w:szCs w:val="18"/>
                      </w:rPr>
                      <w:fldChar w:fldCharType="begin"/>
                    </w:r>
                    <w:r w:rsidRPr="003E559F">
                      <w:rPr>
                        <w:rStyle w:val="PageNumber"/>
                        <w:rFonts w:ascii="Arial" w:hAnsi="Arial"/>
                        <w:b/>
                        <w:sz w:val="18"/>
                        <w:szCs w:val="18"/>
                      </w:rPr>
                      <w:instrText xml:space="preserve"> PAGE </w:instrText>
                    </w:r>
                    <w:r w:rsidRPr="003E559F">
                      <w:rPr>
                        <w:rStyle w:val="PageNumber"/>
                        <w:rFonts w:ascii="Arial" w:hAnsi="Arial"/>
                        <w:b/>
                        <w:sz w:val="18"/>
                        <w:szCs w:val="18"/>
                      </w:rPr>
                      <w:fldChar w:fldCharType="separate"/>
                    </w:r>
                    <w:r w:rsidR="00B72054">
                      <w:rPr>
                        <w:rStyle w:val="PageNumber"/>
                        <w:rFonts w:ascii="Arial" w:hAnsi="Arial"/>
                        <w:b/>
                        <w:noProof/>
                        <w:sz w:val="18"/>
                        <w:szCs w:val="18"/>
                      </w:rPr>
                      <w:t>141</w:t>
                    </w:r>
                    <w:r w:rsidRPr="003E559F">
                      <w:rPr>
                        <w:rStyle w:val="PageNumber"/>
                        <w:rFonts w:ascii="Arial" w:hAnsi="Arial"/>
                        <w:b/>
                        <w:sz w:val="18"/>
                        <w:szCs w:val="18"/>
                      </w:rPr>
                      <w:fldChar w:fldCharType="end"/>
                    </w:r>
                  </w:p>
                  <w:p w14:paraId="1A2DD050" w14:textId="77777777" w:rsidR="00CE3B2C" w:rsidRPr="006275F9" w:rsidRDefault="00CE3B2C" w:rsidP="006A2350">
                    <w:pPr>
                      <w:pStyle w:val="Footer"/>
                      <w:rPr>
                        <w:rFonts w:ascii="Calibri Light" w:hAnsi="Calibri Light" w:cs="Times New Roman"/>
                        <w:szCs w:val="20"/>
                      </w:rPr>
                    </w:pPr>
                  </w:p>
                </w:txbxContent>
              </v:textbox>
              <w10:wrap anchorx="page" anchory="page"/>
            </v:rect>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67559" w14:textId="77A53267" w:rsidR="00CE3B2C" w:rsidRPr="00787DB2" w:rsidRDefault="00CE3B2C" w:rsidP="00B53319">
    <w:pPr>
      <w:pStyle w:val="Footer"/>
      <w:rPr>
        <w:rStyle w:val="PageNumber"/>
        <w:rFonts w:ascii="Arial" w:hAnsi="Arial"/>
        <w:b/>
        <w:sz w:val="18"/>
        <w:szCs w:val="18"/>
      </w:rPr>
    </w:pPr>
    <w:r w:rsidRPr="00787DB2">
      <w:rPr>
        <w:rStyle w:val="PageNumber"/>
        <w:rFonts w:ascii="Arial" w:hAnsi="Arial"/>
        <w:b/>
        <w:sz w:val="18"/>
        <w:szCs w:val="18"/>
      </w:rPr>
      <w:t xml:space="preserve">Page </w:t>
    </w:r>
    <w:r w:rsidRPr="00787DB2">
      <w:rPr>
        <w:rStyle w:val="PageNumber"/>
        <w:rFonts w:ascii="Arial" w:hAnsi="Arial"/>
        <w:b/>
        <w:sz w:val="18"/>
        <w:szCs w:val="18"/>
      </w:rPr>
      <w:fldChar w:fldCharType="begin"/>
    </w:r>
    <w:r w:rsidRPr="00787DB2">
      <w:rPr>
        <w:rStyle w:val="PageNumber"/>
        <w:rFonts w:ascii="Arial" w:hAnsi="Arial"/>
        <w:b/>
        <w:sz w:val="18"/>
        <w:szCs w:val="18"/>
      </w:rPr>
      <w:instrText xml:space="preserve">PAGE  </w:instrText>
    </w:r>
    <w:r w:rsidRPr="00787DB2">
      <w:rPr>
        <w:rStyle w:val="PageNumber"/>
        <w:rFonts w:ascii="Arial" w:hAnsi="Arial"/>
        <w:b/>
        <w:sz w:val="18"/>
        <w:szCs w:val="18"/>
      </w:rPr>
      <w:fldChar w:fldCharType="separate"/>
    </w:r>
    <w:r w:rsidR="00B72054">
      <w:rPr>
        <w:rStyle w:val="PageNumber"/>
        <w:rFonts w:ascii="Arial" w:hAnsi="Arial"/>
        <w:b/>
        <w:noProof/>
        <w:sz w:val="18"/>
        <w:szCs w:val="18"/>
      </w:rPr>
      <w:t>160</w:t>
    </w:r>
    <w:r w:rsidRPr="00787DB2">
      <w:rPr>
        <w:rStyle w:val="PageNumber"/>
        <w:rFonts w:ascii="Arial" w:hAnsi="Arial"/>
        <w:b/>
        <w:sz w:val="18"/>
        <w:szCs w:val="18"/>
      </w:rPr>
      <w:fldChar w:fldCharType="end"/>
    </w:r>
    <w:r>
      <w:rPr>
        <w:rStyle w:val="PageNumber"/>
        <w:rFonts w:ascii="Arial" w:hAnsi="Arial"/>
        <w:b/>
        <w:sz w:val="18"/>
        <w:szCs w:val="18"/>
      </w:rPr>
      <w:t xml:space="preserve"> |</w:t>
    </w:r>
    <w:r w:rsidRPr="004268EE">
      <w:rPr>
        <w:rStyle w:val="PageNumber"/>
        <w:rFonts w:ascii="Arial" w:hAnsi="Arial"/>
        <w:sz w:val="18"/>
        <w:szCs w:val="18"/>
      </w:rPr>
      <w:t xml:space="preserve"> </w:t>
    </w:r>
    <w:r>
      <w:rPr>
        <w:rStyle w:val="PageNumber"/>
        <w:rFonts w:ascii="Arial" w:hAnsi="Arial"/>
        <w:sz w:val="18"/>
        <w:szCs w:val="18"/>
      </w:rPr>
      <w:t>Defence</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05A5B" w14:textId="61B698C0" w:rsidR="00CE3B2C" w:rsidRPr="006E0B00" w:rsidRDefault="00CE3B2C" w:rsidP="00B53319">
    <w:pPr>
      <w:pStyle w:val="Footer"/>
      <w:jc w:val="right"/>
      <w:rPr>
        <w:rStyle w:val="PageNumber"/>
        <w:rFonts w:ascii="Arial" w:hAnsi="Arial"/>
        <w:sz w:val="18"/>
        <w:szCs w:val="18"/>
      </w:rPr>
    </w:pPr>
    <w:r>
      <w:rPr>
        <w:rStyle w:val="PageNumber"/>
        <w:rFonts w:ascii="Arial" w:hAnsi="Arial"/>
        <w:sz w:val="18"/>
        <w:szCs w:val="18"/>
      </w:rPr>
      <w:t>Defence</w:t>
    </w:r>
    <w:r w:rsidRPr="006E0B00">
      <w:rPr>
        <w:rStyle w:val="PageNumber"/>
        <w:rFonts w:ascii="Arial" w:hAnsi="Arial"/>
        <w:sz w:val="18"/>
        <w:szCs w:val="18"/>
      </w:rPr>
      <w:t xml:space="preserve"> | </w:t>
    </w:r>
    <w:r w:rsidRPr="006E0B00">
      <w:rPr>
        <w:rStyle w:val="PageNumber"/>
        <w:rFonts w:ascii="Arial" w:hAnsi="Arial"/>
        <w:b/>
        <w:sz w:val="18"/>
        <w:szCs w:val="18"/>
      </w:rPr>
      <w:t xml:space="preserve">Page </w:t>
    </w:r>
    <w:r w:rsidRPr="006E0B00">
      <w:rPr>
        <w:rStyle w:val="PageNumber"/>
        <w:rFonts w:ascii="Arial" w:hAnsi="Arial"/>
        <w:b/>
        <w:sz w:val="18"/>
        <w:szCs w:val="18"/>
      </w:rPr>
      <w:fldChar w:fldCharType="begin"/>
    </w:r>
    <w:r w:rsidRPr="006E0B00">
      <w:rPr>
        <w:rStyle w:val="PageNumber"/>
        <w:rFonts w:ascii="Arial" w:hAnsi="Arial"/>
        <w:b/>
        <w:sz w:val="18"/>
        <w:szCs w:val="18"/>
      </w:rPr>
      <w:instrText xml:space="preserve"> PAGE </w:instrText>
    </w:r>
    <w:r w:rsidRPr="006E0B00">
      <w:rPr>
        <w:rStyle w:val="PageNumber"/>
        <w:rFonts w:ascii="Arial" w:hAnsi="Arial"/>
        <w:b/>
        <w:sz w:val="18"/>
        <w:szCs w:val="18"/>
      </w:rPr>
      <w:fldChar w:fldCharType="separate"/>
    </w:r>
    <w:r w:rsidR="00B72054">
      <w:rPr>
        <w:rStyle w:val="PageNumber"/>
        <w:rFonts w:ascii="Arial" w:hAnsi="Arial"/>
        <w:b/>
        <w:noProof/>
        <w:sz w:val="18"/>
        <w:szCs w:val="18"/>
      </w:rPr>
      <w:t>161</w:t>
    </w:r>
    <w:r w:rsidRPr="006E0B00">
      <w:rPr>
        <w:rStyle w:val="PageNumber"/>
        <w:rFonts w:ascii="Arial" w:hAnsi="Arial"/>
        <w:b/>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46682" w14:textId="38E196D9" w:rsidR="00CE3B2C" w:rsidRPr="00787DB2" w:rsidRDefault="00CE3B2C">
    <w:pPr>
      <w:pStyle w:val="Footer"/>
      <w:jc w:val="right"/>
      <w:rPr>
        <w:rFonts w:ascii="Arial" w:hAnsi="Arial"/>
        <w:b/>
        <w:sz w:val="18"/>
        <w:szCs w:val="18"/>
      </w:rPr>
    </w:pPr>
    <w:r w:rsidRPr="00787DB2">
      <w:rPr>
        <w:rFonts w:ascii="Arial" w:hAnsi="Arial"/>
        <w:b/>
        <w:sz w:val="18"/>
        <w:szCs w:val="18"/>
      </w:rPr>
      <w:t xml:space="preserve">Page </w:t>
    </w:r>
    <w:r w:rsidRPr="00787DB2">
      <w:rPr>
        <w:rFonts w:ascii="Arial" w:hAnsi="Arial"/>
        <w:b/>
        <w:sz w:val="18"/>
        <w:szCs w:val="18"/>
      </w:rPr>
      <w:fldChar w:fldCharType="begin"/>
    </w:r>
    <w:r w:rsidRPr="00787DB2">
      <w:rPr>
        <w:rFonts w:ascii="Arial" w:hAnsi="Arial"/>
        <w:b/>
        <w:sz w:val="18"/>
        <w:szCs w:val="18"/>
      </w:rPr>
      <w:instrText xml:space="preserve"> PAGE   \* MERGEFORMAT </w:instrText>
    </w:r>
    <w:r w:rsidRPr="00787DB2">
      <w:rPr>
        <w:rFonts w:ascii="Arial" w:hAnsi="Arial"/>
        <w:b/>
        <w:sz w:val="18"/>
        <w:szCs w:val="18"/>
      </w:rPr>
      <w:fldChar w:fldCharType="separate"/>
    </w:r>
    <w:r w:rsidR="00B72054">
      <w:rPr>
        <w:rFonts w:ascii="Arial" w:hAnsi="Arial"/>
        <w:b/>
        <w:noProof/>
        <w:sz w:val="18"/>
        <w:szCs w:val="18"/>
      </w:rPr>
      <w:t>iii</w:t>
    </w:r>
    <w:r w:rsidRPr="00787DB2">
      <w:rPr>
        <w:rFonts w:ascii="Arial" w:hAnsi="Arial"/>
        <w:b/>
        <w:noProof/>
        <w:sz w:val="18"/>
        <w:szCs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8EDD7" w14:textId="1ABD217F" w:rsidR="00CE3B2C" w:rsidRPr="00D91D67" w:rsidRDefault="00CE3B2C">
    <w:pPr>
      <w:pStyle w:val="Footer"/>
      <w:rPr>
        <w:rFonts w:ascii="Arial" w:hAnsi="Arial"/>
        <w:b/>
        <w:sz w:val="18"/>
        <w:szCs w:val="18"/>
      </w:rPr>
    </w:pPr>
    <w:r w:rsidRPr="00787DB2">
      <w:rPr>
        <w:rStyle w:val="PageNumber"/>
        <w:rFonts w:ascii="Arial" w:hAnsi="Arial"/>
        <w:b/>
        <w:sz w:val="18"/>
        <w:szCs w:val="18"/>
      </w:rPr>
      <w:t xml:space="preserve">Page </w:t>
    </w:r>
    <w:r w:rsidRPr="00787DB2">
      <w:rPr>
        <w:rStyle w:val="PageNumber"/>
        <w:rFonts w:ascii="Arial" w:hAnsi="Arial"/>
        <w:b/>
        <w:sz w:val="18"/>
        <w:szCs w:val="18"/>
      </w:rPr>
      <w:fldChar w:fldCharType="begin"/>
    </w:r>
    <w:r w:rsidRPr="00787DB2">
      <w:rPr>
        <w:rStyle w:val="PageNumber"/>
        <w:rFonts w:ascii="Arial" w:hAnsi="Arial"/>
        <w:b/>
        <w:sz w:val="18"/>
        <w:szCs w:val="18"/>
      </w:rPr>
      <w:instrText xml:space="preserve">PAGE  </w:instrText>
    </w:r>
    <w:r w:rsidRPr="00787DB2">
      <w:rPr>
        <w:rStyle w:val="PageNumber"/>
        <w:rFonts w:ascii="Arial" w:hAnsi="Arial"/>
        <w:b/>
        <w:sz w:val="18"/>
        <w:szCs w:val="18"/>
      </w:rPr>
      <w:fldChar w:fldCharType="separate"/>
    </w:r>
    <w:r w:rsidR="00B72054">
      <w:rPr>
        <w:rStyle w:val="PageNumber"/>
        <w:rFonts w:ascii="Arial" w:hAnsi="Arial"/>
        <w:b/>
        <w:noProof/>
        <w:sz w:val="18"/>
        <w:szCs w:val="18"/>
      </w:rPr>
      <w:t>164</w:t>
    </w:r>
    <w:r w:rsidRPr="00787DB2">
      <w:rPr>
        <w:rStyle w:val="PageNumber"/>
        <w:rFonts w:ascii="Arial" w:hAnsi="Arial"/>
        <w:b/>
        <w:sz w:val="18"/>
        <w:szCs w:val="18"/>
      </w:rPr>
      <w:fldChar w:fldCharType="end"/>
    </w:r>
    <w:r>
      <w:rPr>
        <w:rStyle w:val="PageNumber"/>
        <w:rFonts w:ascii="Arial" w:hAnsi="Arial"/>
        <w:b/>
        <w:sz w:val="18"/>
        <w:szCs w:val="18"/>
      </w:rPr>
      <w:t xml:space="preserve"> |</w:t>
    </w:r>
    <w:r w:rsidRPr="004268EE">
      <w:rPr>
        <w:rStyle w:val="PageNumber"/>
        <w:rFonts w:ascii="Arial" w:hAnsi="Arial"/>
        <w:sz w:val="18"/>
        <w:szCs w:val="18"/>
      </w:rPr>
      <w:t xml:space="preserve"> </w:t>
    </w:r>
    <w:r>
      <w:rPr>
        <w:rStyle w:val="PageNumber"/>
        <w:rFonts w:ascii="Arial" w:hAnsi="Arial"/>
        <w:sz w:val="18"/>
        <w:szCs w:val="18"/>
      </w:rPr>
      <w:t>Defence</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3E696" w14:textId="77777777" w:rsidR="00CE3B2C" w:rsidRDefault="00CE3B2C" w:rsidP="00D40245">
    <w:pPr>
      <w:pStyle w:val="Footer"/>
      <w:jc w:val="right"/>
    </w:pPr>
    <w:r>
      <w:rPr>
        <w:noProof/>
        <w:lang w:val="en-AU"/>
      </w:rPr>
      <mc:AlternateContent>
        <mc:Choice Requires="wps">
          <w:drawing>
            <wp:anchor distT="0" distB="0" distL="114300" distR="114300" simplePos="0" relativeHeight="251660288" behindDoc="0" locked="0" layoutInCell="0" allowOverlap="1" wp14:anchorId="2C8679EF" wp14:editId="3E009852">
              <wp:simplePos x="0" y="0"/>
              <wp:positionH relativeFrom="page">
                <wp:posOffset>528320</wp:posOffset>
              </wp:positionH>
              <wp:positionV relativeFrom="page">
                <wp:posOffset>4116705</wp:posOffset>
              </wp:positionV>
              <wp:extent cx="409575" cy="2646680"/>
              <wp:effectExtent l="0" t="0" r="0"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646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130258" w14:textId="7317A072" w:rsidR="00CE3B2C" w:rsidRPr="006E0B00" w:rsidRDefault="00CE3B2C" w:rsidP="00B77D89">
                          <w:pPr>
                            <w:pStyle w:val="Footer"/>
                            <w:jc w:val="right"/>
                            <w:rPr>
                              <w:rStyle w:val="PageNumber"/>
                              <w:rFonts w:ascii="Arial" w:hAnsi="Arial"/>
                              <w:sz w:val="18"/>
                              <w:szCs w:val="18"/>
                            </w:rPr>
                          </w:pPr>
                          <w:r w:rsidRPr="003E559F">
                            <w:rPr>
                              <w:rStyle w:val="PageNumber"/>
                              <w:rFonts w:ascii="Arial" w:hAnsi="Arial"/>
                              <w:sz w:val="18"/>
                              <w:szCs w:val="18"/>
                            </w:rPr>
                            <w:t xml:space="preserve">Defence | </w:t>
                          </w:r>
                          <w:r w:rsidRPr="003E559F">
                            <w:rPr>
                              <w:rStyle w:val="PageNumber"/>
                              <w:rFonts w:ascii="Arial" w:hAnsi="Arial"/>
                              <w:b/>
                              <w:sz w:val="18"/>
                              <w:szCs w:val="18"/>
                            </w:rPr>
                            <w:t xml:space="preserve">Page </w:t>
                          </w:r>
                          <w:r w:rsidRPr="003E559F">
                            <w:rPr>
                              <w:rStyle w:val="PageNumber"/>
                              <w:rFonts w:ascii="Arial" w:hAnsi="Arial"/>
                              <w:b/>
                              <w:sz w:val="18"/>
                              <w:szCs w:val="18"/>
                            </w:rPr>
                            <w:fldChar w:fldCharType="begin"/>
                          </w:r>
                          <w:r w:rsidRPr="003E559F">
                            <w:rPr>
                              <w:rStyle w:val="PageNumber"/>
                              <w:rFonts w:ascii="Arial" w:hAnsi="Arial"/>
                              <w:b/>
                              <w:sz w:val="18"/>
                              <w:szCs w:val="18"/>
                            </w:rPr>
                            <w:instrText xml:space="preserve"> PAGE </w:instrText>
                          </w:r>
                          <w:r w:rsidRPr="003E559F">
                            <w:rPr>
                              <w:rStyle w:val="PageNumber"/>
                              <w:rFonts w:ascii="Arial" w:hAnsi="Arial"/>
                              <w:b/>
                              <w:sz w:val="18"/>
                              <w:szCs w:val="18"/>
                            </w:rPr>
                            <w:fldChar w:fldCharType="separate"/>
                          </w:r>
                          <w:r w:rsidR="00B72054">
                            <w:rPr>
                              <w:rStyle w:val="PageNumber"/>
                              <w:rFonts w:ascii="Arial" w:hAnsi="Arial"/>
                              <w:b/>
                              <w:noProof/>
                              <w:sz w:val="18"/>
                              <w:szCs w:val="18"/>
                            </w:rPr>
                            <w:t>163</w:t>
                          </w:r>
                          <w:r w:rsidRPr="003E559F">
                            <w:rPr>
                              <w:rStyle w:val="PageNumber"/>
                              <w:rFonts w:ascii="Arial" w:hAnsi="Arial"/>
                              <w:b/>
                              <w:sz w:val="18"/>
                              <w:szCs w:val="18"/>
                            </w:rPr>
                            <w:fldChar w:fldCharType="end"/>
                          </w:r>
                        </w:p>
                        <w:p w14:paraId="484DC801" w14:textId="77777777" w:rsidR="00CE3B2C" w:rsidRPr="006275F9" w:rsidRDefault="00CE3B2C" w:rsidP="006A2350">
                          <w:pPr>
                            <w:pStyle w:val="Footer"/>
                            <w:rPr>
                              <w:rFonts w:ascii="Calibri Light" w:hAnsi="Calibri Light" w:cs="Times New Roman"/>
                              <w:szCs w:val="20"/>
                            </w:rPr>
                          </w:pPr>
                        </w:p>
                      </w:txbxContent>
                    </wps:txbx>
                    <wps:bodyPr rot="0" vert="vert"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2C8679EF" id="_x0000_s1115" style="position:absolute;left:0;text-align:left;margin-left:41.6pt;margin-top:324.15pt;width:32.25pt;height:208.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" o:allowincell="f" stroked="f">
              <v:textbox style="layout-flow:vertical">
                <w:txbxContent>
                  <w:p w14:paraId="64130258" w14:textId="7317A072" w:rsidR="00CE3B2C" w:rsidRPr="006E0B00" w:rsidRDefault="00CE3B2C" w:rsidP="00B77D89">
                    <w:pPr>
                      <w:pStyle w:val="Footer"/>
                      <w:jc w:val="right"/>
                      <w:rPr>
                        <w:rStyle w:val="PageNumber"/>
                        <w:rFonts w:ascii="Arial" w:hAnsi="Arial"/>
                        <w:sz w:val="18"/>
                        <w:szCs w:val="18"/>
                      </w:rPr>
                    </w:pPr>
                    <w:r w:rsidRPr="003E559F">
                      <w:rPr>
                        <w:rStyle w:val="PageNumber"/>
                        <w:rFonts w:ascii="Arial" w:hAnsi="Arial"/>
                        <w:sz w:val="18"/>
                        <w:szCs w:val="18"/>
                      </w:rPr>
                      <w:t xml:space="preserve">Defence | </w:t>
                    </w:r>
                    <w:r w:rsidRPr="003E559F">
                      <w:rPr>
                        <w:rStyle w:val="PageNumber"/>
                        <w:rFonts w:ascii="Arial" w:hAnsi="Arial"/>
                        <w:b/>
                        <w:sz w:val="18"/>
                        <w:szCs w:val="18"/>
                      </w:rPr>
                      <w:t xml:space="preserve">Page </w:t>
                    </w:r>
                    <w:r w:rsidRPr="003E559F">
                      <w:rPr>
                        <w:rStyle w:val="PageNumber"/>
                        <w:rFonts w:ascii="Arial" w:hAnsi="Arial"/>
                        <w:b/>
                        <w:sz w:val="18"/>
                        <w:szCs w:val="18"/>
                      </w:rPr>
                      <w:fldChar w:fldCharType="begin"/>
                    </w:r>
                    <w:r w:rsidRPr="003E559F">
                      <w:rPr>
                        <w:rStyle w:val="PageNumber"/>
                        <w:rFonts w:ascii="Arial" w:hAnsi="Arial"/>
                        <w:b/>
                        <w:sz w:val="18"/>
                        <w:szCs w:val="18"/>
                      </w:rPr>
                      <w:instrText xml:space="preserve"> PAGE </w:instrText>
                    </w:r>
                    <w:r w:rsidRPr="003E559F">
                      <w:rPr>
                        <w:rStyle w:val="PageNumber"/>
                        <w:rFonts w:ascii="Arial" w:hAnsi="Arial"/>
                        <w:b/>
                        <w:sz w:val="18"/>
                        <w:szCs w:val="18"/>
                      </w:rPr>
                      <w:fldChar w:fldCharType="separate"/>
                    </w:r>
                    <w:r w:rsidR="00B72054">
                      <w:rPr>
                        <w:rStyle w:val="PageNumber"/>
                        <w:rFonts w:ascii="Arial" w:hAnsi="Arial"/>
                        <w:b/>
                        <w:noProof/>
                        <w:sz w:val="18"/>
                        <w:szCs w:val="18"/>
                      </w:rPr>
                      <w:t>163</w:t>
                    </w:r>
                    <w:r w:rsidRPr="003E559F">
                      <w:rPr>
                        <w:rStyle w:val="PageNumber"/>
                        <w:rFonts w:ascii="Arial" w:hAnsi="Arial"/>
                        <w:b/>
                        <w:sz w:val="18"/>
                        <w:szCs w:val="18"/>
                      </w:rPr>
                      <w:fldChar w:fldCharType="end"/>
                    </w:r>
                  </w:p>
                  <w:p w14:paraId="484DC801" w14:textId="77777777" w:rsidR="00CE3B2C" w:rsidRPr="006275F9" w:rsidRDefault="00CE3B2C" w:rsidP="006A2350">
                    <w:pPr>
                      <w:pStyle w:val="Footer"/>
                      <w:rPr>
                        <w:rFonts w:ascii="Calibri Light" w:hAnsi="Calibri Light" w:cs="Times New Roman"/>
                        <w:szCs w:val="20"/>
                      </w:rPr>
                    </w:pPr>
                  </w:p>
                </w:txbxContent>
              </v:textbox>
              <w10:wrap anchorx="page" anchory="page"/>
            </v:rect>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B190E" w14:textId="6B462553" w:rsidR="00CE3B2C" w:rsidRPr="006E0B00" w:rsidRDefault="00CE3B2C" w:rsidP="00A010DF">
    <w:pPr>
      <w:pStyle w:val="Footer"/>
      <w:jc w:val="right"/>
      <w:rPr>
        <w:rStyle w:val="PageNumber"/>
        <w:rFonts w:ascii="Arial" w:hAnsi="Arial"/>
        <w:sz w:val="18"/>
        <w:szCs w:val="18"/>
      </w:rPr>
    </w:pPr>
    <w:r w:rsidRPr="003E559F">
      <w:rPr>
        <w:rStyle w:val="PageNumber"/>
        <w:rFonts w:ascii="Arial" w:hAnsi="Arial"/>
        <w:sz w:val="18"/>
        <w:szCs w:val="18"/>
      </w:rPr>
      <w:t xml:space="preserve">Defence | </w:t>
    </w:r>
    <w:r w:rsidRPr="003E559F">
      <w:rPr>
        <w:rStyle w:val="PageNumber"/>
        <w:rFonts w:ascii="Arial" w:hAnsi="Arial"/>
        <w:b/>
        <w:sz w:val="18"/>
        <w:szCs w:val="18"/>
      </w:rPr>
      <w:t xml:space="preserve">Page </w:t>
    </w:r>
    <w:r w:rsidRPr="003E559F">
      <w:rPr>
        <w:rStyle w:val="PageNumber"/>
        <w:rFonts w:ascii="Arial" w:hAnsi="Arial"/>
        <w:b/>
        <w:sz w:val="18"/>
        <w:szCs w:val="18"/>
      </w:rPr>
      <w:fldChar w:fldCharType="begin"/>
    </w:r>
    <w:r w:rsidRPr="003E559F">
      <w:rPr>
        <w:rStyle w:val="PageNumber"/>
        <w:rFonts w:ascii="Arial" w:hAnsi="Arial"/>
        <w:b/>
        <w:sz w:val="18"/>
        <w:szCs w:val="18"/>
      </w:rPr>
      <w:instrText xml:space="preserve"> PAGE </w:instrText>
    </w:r>
    <w:r w:rsidRPr="003E559F">
      <w:rPr>
        <w:rStyle w:val="PageNumber"/>
        <w:rFonts w:ascii="Arial" w:hAnsi="Arial"/>
        <w:b/>
        <w:sz w:val="18"/>
        <w:szCs w:val="18"/>
      </w:rPr>
      <w:fldChar w:fldCharType="separate"/>
    </w:r>
    <w:r w:rsidR="00B72054">
      <w:rPr>
        <w:rStyle w:val="PageNumber"/>
        <w:rFonts w:ascii="Arial" w:hAnsi="Arial"/>
        <w:b/>
        <w:noProof/>
        <w:sz w:val="18"/>
        <w:szCs w:val="18"/>
      </w:rPr>
      <w:t>165</w:t>
    </w:r>
    <w:r w:rsidRPr="003E559F">
      <w:rPr>
        <w:rStyle w:val="PageNumber"/>
        <w:rFonts w:ascii="Arial" w:hAnsi="Arial"/>
        <w:b/>
        <w:sz w:val="18"/>
        <w:szCs w:val="18"/>
      </w:rPr>
      <w:fldChar w:fldCharType="end"/>
    </w:r>
  </w:p>
  <w:p w14:paraId="545CF5B7" w14:textId="77777777" w:rsidR="00CE3B2C" w:rsidRDefault="00CE3B2C" w:rsidP="00D40245">
    <w:pPr>
      <w:pStyle w:val="Footer"/>
      <w:jc w:val="right"/>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63B87" w14:textId="15C82E9C" w:rsidR="00CE3B2C" w:rsidRPr="00D91D67" w:rsidRDefault="00CE3B2C">
    <w:pPr>
      <w:pStyle w:val="Footer"/>
      <w:rPr>
        <w:rFonts w:ascii="Arial" w:hAnsi="Arial"/>
        <w:b/>
        <w:sz w:val="18"/>
        <w:szCs w:val="18"/>
      </w:rPr>
    </w:pPr>
    <w:r w:rsidRPr="00787DB2">
      <w:rPr>
        <w:rStyle w:val="PageNumber"/>
        <w:rFonts w:ascii="Arial" w:hAnsi="Arial"/>
        <w:b/>
        <w:sz w:val="18"/>
        <w:szCs w:val="18"/>
      </w:rPr>
      <w:t xml:space="preserve">Page </w:t>
    </w:r>
    <w:r w:rsidRPr="00787DB2">
      <w:rPr>
        <w:rStyle w:val="PageNumber"/>
        <w:rFonts w:ascii="Arial" w:hAnsi="Arial"/>
        <w:b/>
        <w:sz w:val="18"/>
        <w:szCs w:val="18"/>
      </w:rPr>
      <w:fldChar w:fldCharType="begin"/>
    </w:r>
    <w:r w:rsidRPr="00787DB2">
      <w:rPr>
        <w:rStyle w:val="PageNumber"/>
        <w:rFonts w:ascii="Arial" w:hAnsi="Arial"/>
        <w:b/>
        <w:sz w:val="18"/>
        <w:szCs w:val="18"/>
      </w:rPr>
      <w:instrText xml:space="preserve">PAGE  </w:instrText>
    </w:r>
    <w:r w:rsidRPr="00787DB2">
      <w:rPr>
        <w:rStyle w:val="PageNumber"/>
        <w:rFonts w:ascii="Arial" w:hAnsi="Arial"/>
        <w:b/>
        <w:sz w:val="18"/>
        <w:szCs w:val="18"/>
      </w:rPr>
      <w:fldChar w:fldCharType="separate"/>
    </w:r>
    <w:r w:rsidR="00B72054">
      <w:rPr>
        <w:rStyle w:val="PageNumber"/>
        <w:rFonts w:ascii="Arial" w:hAnsi="Arial"/>
        <w:b/>
        <w:noProof/>
        <w:sz w:val="18"/>
        <w:szCs w:val="18"/>
      </w:rPr>
      <w:t>186</w:t>
    </w:r>
    <w:r w:rsidRPr="00787DB2">
      <w:rPr>
        <w:rStyle w:val="PageNumber"/>
        <w:rFonts w:ascii="Arial" w:hAnsi="Arial"/>
        <w:b/>
        <w:sz w:val="18"/>
        <w:szCs w:val="18"/>
      </w:rPr>
      <w:fldChar w:fldCharType="end"/>
    </w:r>
    <w:r>
      <w:rPr>
        <w:rStyle w:val="PageNumber"/>
        <w:rFonts w:ascii="Arial" w:hAnsi="Arial"/>
        <w:b/>
        <w:sz w:val="18"/>
        <w:szCs w:val="18"/>
      </w:rPr>
      <w:t xml:space="preserve"> |</w:t>
    </w:r>
    <w:r w:rsidRPr="004268EE">
      <w:rPr>
        <w:rStyle w:val="PageNumber"/>
        <w:rFonts w:ascii="Arial" w:hAnsi="Arial"/>
        <w:sz w:val="18"/>
        <w:szCs w:val="18"/>
      </w:rPr>
      <w:t xml:space="preserve"> </w:t>
    </w:r>
    <w:r>
      <w:rPr>
        <w:rStyle w:val="PageNumber"/>
        <w:rFonts w:ascii="Arial" w:hAnsi="Arial"/>
        <w:sz w:val="18"/>
        <w:szCs w:val="18"/>
      </w:rPr>
      <w:t>Australian Signals Directorate</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BB385" w14:textId="24211793" w:rsidR="00CE3B2C" w:rsidRPr="006E0B00" w:rsidRDefault="00CE3B2C" w:rsidP="00A010DF">
    <w:pPr>
      <w:pStyle w:val="Footer"/>
      <w:jc w:val="right"/>
      <w:rPr>
        <w:rStyle w:val="PageNumber"/>
        <w:rFonts w:ascii="Arial" w:hAnsi="Arial"/>
        <w:sz w:val="18"/>
        <w:szCs w:val="18"/>
      </w:rPr>
    </w:pPr>
    <w:r>
      <w:rPr>
        <w:rStyle w:val="PageNumber"/>
        <w:rFonts w:ascii="Arial" w:hAnsi="Arial"/>
        <w:sz w:val="18"/>
        <w:szCs w:val="18"/>
      </w:rPr>
      <w:t>Australian Signals Directorate</w:t>
    </w:r>
    <w:r w:rsidRPr="003E559F">
      <w:rPr>
        <w:rStyle w:val="PageNumber"/>
        <w:rFonts w:ascii="Arial" w:hAnsi="Arial"/>
        <w:sz w:val="18"/>
        <w:szCs w:val="18"/>
      </w:rPr>
      <w:t xml:space="preserve"> | </w:t>
    </w:r>
    <w:r w:rsidRPr="003E559F">
      <w:rPr>
        <w:rStyle w:val="PageNumber"/>
        <w:rFonts w:ascii="Arial" w:hAnsi="Arial"/>
        <w:b/>
        <w:sz w:val="18"/>
        <w:szCs w:val="18"/>
      </w:rPr>
      <w:t xml:space="preserve">Page </w:t>
    </w:r>
    <w:r w:rsidRPr="003E559F">
      <w:rPr>
        <w:rStyle w:val="PageNumber"/>
        <w:rFonts w:ascii="Arial" w:hAnsi="Arial"/>
        <w:b/>
        <w:sz w:val="18"/>
        <w:szCs w:val="18"/>
      </w:rPr>
      <w:fldChar w:fldCharType="begin"/>
    </w:r>
    <w:r w:rsidRPr="003E559F">
      <w:rPr>
        <w:rStyle w:val="PageNumber"/>
        <w:rFonts w:ascii="Arial" w:hAnsi="Arial"/>
        <w:b/>
        <w:sz w:val="18"/>
        <w:szCs w:val="18"/>
      </w:rPr>
      <w:instrText xml:space="preserve"> PAGE </w:instrText>
    </w:r>
    <w:r w:rsidRPr="003E559F">
      <w:rPr>
        <w:rStyle w:val="PageNumber"/>
        <w:rFonts w:ascii="Arial" w:hAnsi="Arial"/>
        <w:b/>
        <w:sz w:val="18"/>
        <w:szCs w:val="18"/>
      </w:rPr>
      <w:fldChar w:fldCharType="separate"/>
    </w:r>
    <w:r w:rsidR="00B72054">
      <w:rPr>
        <w:rStyle w:val="PageNumber"/>
        <w:rFonts w:ascii="Arial" w:hAnsi="Arial"/>
        <w:b/>
        <w:noProof/>
        <w:sz w:val="18"/>
        <w:szCs w:val="18"/>
      </w:rPr>
      <w:t>185</w:t>
    </w:r>
    <w:r w:rsidRPr="003E559F">
      <w:rPr>
        <w:rStyle w:val="PageNumber"/>
        <w:rFonts w:ascii="Arial" w:hAnsi="Arial"/>
        <w:b/>
        <w:sz w:val="18"/>
        <w:szCs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DCF83" w14:textId="0D77C004" w:rsidR="00CE3B2C" w:rsidRPr="00787DB2" w:rsidRDefault="00CE3B2C" w:rsidP="00B53319">
    <w:pPr>
      <w:pStyle w:val="Footer"/>
      <w:rPr>
        <w:rStyle w:val="PageNumber"/>
        <w:rFonts w:ascii="Arial" w:hAnsi="Arial"/>
        <w:b/>
        <w:sz w:val="18"/>
        <w:szCs w:val="18"/>
      </w:rPr>
    </w:pPr>
    <w:r w:rsidRPr="00787DB2">
      <w:rPr>
        <w:rStyle w:val="PageNumber"/>
        <w:rFonts w:ascii="Arial" w:hAnsi="Arial"/>
        <w:b/>
        <w:sz w:val="18"/>
        <w:szCs w:val="18"/>
      </w:rPr>
      <w:t xml:space="preserve">Page </w:t>
    </w:r>
    <w:r w:rsidRPr="00787DB2">
      <w:rPr>
        <w:rStyle w:val="PageNumber"/>
        <w:rFonts w:ascii="Arial" w:hAnsi="Arial"/>
        <w:b/>
        <w:sz w:val="18"/>
        <w:szCs w:val="18"/>
      </w:rPr>
      <w:fldChar w:fldCharType="begin"/>
    </w:r>
    <w:r w:rsidRPr="00787DB2">
      <w:rPr>
        <w:rStyle w:val="PageNumber"/>
        <w:rFonts w:ascii="Arial" w:hAnsi="Arial"/>
        <w:b/>
        <w:sz w:val="18"/>
        <w:szCs w:val="18"/>
      </w:rPr>
      <w:instrText xml:space="preserve">PAGE  </w:instrText>
    </w:r>
    <w:r w:rsidRPr="00787DB2">
      <w:rPr>
        <w:rStyle w:val="PageNumber"/>
        <w:rFonts w:ascii="Arial" w:hAnsi="Arial"/>
        <w:b/>
        <w:sz w:val="18"/>
        <w:szCs w:val="18"/>
      </w:rPr>
      <w:fldChar w:fldCharType="separate"/>
    </w:r>
    <w:r w:rsidR="00B72054">
      <w:rPr>
        <w:rStyle w:val="PageNumber"/>
        <w:rFonts w:ascii="Arial" w:hAnsi="Arial"/>
        <w:b/>
        <w:noProof/>
        <w:sz w:val="18"/>
        <w:szCs w:val="18"/>
      </w:rPr>
      <w:t>206</w:t>
    </w:r>
    <w:r w:rsidRPr="00787DB2">
      <w:rPr>
        <w:rStyle w:val="PageNumber"/>
        <w:rFonts w:ascii="Arial" w:hAnsi="Arial"/>
        <w:b/>
        <w:sz w:val="18"/>
        <w:szCs w:val="18"/>
      </w:rPr>
      <w:fldChar w:fldCharType="end"/>
    </w:r>
    <w:r>
      <w:rPr>
        <w:rStyle w:val="PageNumber"/>
        <w:rFonts w:ascii="Arial" w:hAnsi="Arial"/>
        <w:b/>
        <w:sz w:val="18"/>
        <w:szCs w:val="18"/>
      </w:rPr>
      <w:t xml:space="preserve"> |</w:t>
    </w:r>
    <w:r w:rsidRPr="004268EE">
      <w:rPr>
        <w:rStyle w:val="PageNumber"/>
        <w:rFonts w:ascii="Arial" w:hAnsi="Arial"/>
        <w:sz w:val="18"/>
        <w:szCs w:val="18"/>
      </w:rPr>
      <w:t xml:space="preserve"> </w:t>
    </w:r>
    <w:r>
      <w:rPr>
        <w:rStyle w:val="PageNumber"/>
        <w:rFonts w:ascii="Arial" w:hAnsi="Arial"/>
        <w:sz w:val="18"/>
        <w:szCs w:val="18"/>
      </w:rPr>
      <w:t>Australian Submarine Agency</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89C69" w14:textId="0F9BBD2C" w:rsidR="00CE3B2C" w:rsidRPr="006E0B00" w:rsidRDefault="00CE3B2C" w:rsidP="00B53319">
    <w:pPr>
      <w:pStyle w:val="Footer"/>
      <w:jc w:val="right"/>
      <w:rPr>
        <w:rStyle w:val="PageNumber"/>
        <w:rFonts w:ascii="Arial" w:hAnsi="Arial"/>
        <w:sz w:val="18"/>
        <w:szCs w:val="18"/>
      </w:rPr>
    </w:pPr>
    <w:r>
      <w:rPr>
        <w:rStyle w:val="PageNumber"/>
        <w:rFonts w:ascii="Arial" w:hAnsi="Arial"/>
        <w:sz w:val="18"/>
        <w:szCs w:val="18"/>
      </w:rPr>
      <w:t>Australian Submarine Agency</w:t>
    </w:r>
    <w:r w:rsidRPr="006E0B00">
      <w:rPr>
        <w:rStyle w:val="PageNumber"/>
        <w:rFonts w:ascii="Arial" w:hAnsi="Arial"/>
        <w:sz w:val="18"/>
        <w:szCs w:val="18"/>
      </w:rPr>
      <w:t xml:space="preserve"> | </w:t>
    </w:r>
    <w:r w:rsidRPr="006E0B00">
      <w:rPr>
        <w:rStyle w:val="PageNumber"/>
        <w:rFonts w:ascii="Arial" w:hAnsi="Arial"/>
        <w:b/>
        <w:sz w:val="18"/>
        <w:szCs w:val="18"/>
      </w:rPr>
      <w:t xml:space="preserve">Page </w:t>
    </w:r>
    <w:r w:rsidRPr="006E0B00">
      <w:rPr>
        <w:rStyle w:val="PageNumber"/>
        <w:rFonts w:ascii="Arial" w:hAnsi="Arial"/>
        <w:b/>
        <w:sz w:val="18"/>
        <w:szCs w:val="18"/>
      </w:rPr>
      <w:fldChar w:fldCharType="begin"/>
    </w:r>
    <w:r w:rsidRPr="006E0B00">
      <w:rPr>
        <w:rStyle w:val="PageNumber"/>
        <w:rFonts w:ascii="Arial" w:hAnsi="Arial"/>
        <w:b/>
        <w:sz w:val="18"/>
        <w:szCs w:val="18"/>
      </w:rPr>
      <w:instrText xml:space="preserve"> PAGE </w:instrText>
    </w:r>
    <w:r w:rsidRPr="006E0B00">
      <w:rPr>
        <w:rStyle w:val="PageNumber"/>
        <w:rFonts w:ascii="Arial" w:hAnsi="Arial"/>
        <w:b/>
        <w:sz w:val="18"/>
        <w:szCs w:val="18"/>
      </w:rPr>
      <w:fldChar w:fldCharType="separate"/>
    </w:r>
    <w:r w:rsidR="00B72054">
      <w:rPr>
        <w:rStyle w:val="PageNumber"/>
        <w:rFonts w:ascii="Arial" w:hAnsi="Arial"/>
        <w:b/>
        <w:noProof/>
        <w:sz w:val="18"/>
        <w:szCs w:val="18"/>
      </w:rPr>
      <w:t>205</w:t>
    </w:r>
    <w:r w:rsidRPr="006E0B00">
      <w:rPr>
        <w:rStyle w:val="PageNumber"/>
        <w:rFonts w:ascii="Arial" w:hAnsi="Arial"/>
        <w:b/>
        <w:sz w:val="18"/>
        <w:szCs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E2486" w14:textId="3A4A0FAF" w:rsidR="00CE3B2C" w:rsidRPr="00787DB2" w:rsidRDefault="00CE3B2C" w:rsidP="00B53319">
    <w:pPr>
      <w:pStyle w:val="Footer"/>
      <w:rPr>
        <w:rStyle w:val="PageNumber"/>
        <w:rFonts w:ascii="Arial" w:hAnsi="Arial"/>
        <w:b/>
        <w:sz w:val="18"/>
        <w:szCs w:val="18"/>
      </w:rPr>
    </w:pPr>
    <w:r w:rsidRPr="00787DB2">
      <w:rPr>
        <w:rStyle w:val="PageNumber"/>
        <w:rFonts w:ascii="Arial" w:hAnsi="Arial"/>
        <w:b/>
        <w:sz w:val="18"/>
        <w:szCs w:val="18"/>
      </w:rPr>
      <w:t xml:space="preserve">Page </w:t>
    </w:r>
    <w:r w:rsidRPr="00787DB2">
      <w:rPr>
        <w:rStyle w:val="PageNumber"/>
        <w:rFonts w:ascii="Arial" w:hAnsi="Arial"/>
        <w:b/>
        <w:sz w:val="18"/>
        <w:szCs w:val="18"/>
      </w:rPr>
      <w:fldChar w:fldCharType="begin"/>
    </w:r>
    <w:r w:rsidRPr="00787DB2">
      <w:rPr>
        <w:rStyle w:val="PageNumber"/>
        <w:rFonts w:ascii="Arial" w:hAnsi="Arial"/>
        <w:b/>
        <w:sz w:val="18"/>
        <w:szCs w:val="18"/>
      </w:rPr>
      <w:instrText xml:space="preserve">PAGE  </w:instrText>
    </w:r>
    <w:r w:rsidRPr="00787DB2">
      <w:rPr>
        <w:rStyle w:val="PageNumber"/>
        <w:rFonts w:ascii="Arial" w:hAnsi="Arial"/>
        <w:b/>
        <w:sz w:val="18"/>
        <w:szCs w:val="18"/>
      </w:rPr>
      <w:fldChar w:fldCharType="separate"/>
    </w:r>
    <w:r w:rsidR="00B72054">
      <w:rPr>
        <w:rStyle w:val="PageNumber"/>
        <w:rFonts w:ascii="Arial" w:hAnsi="Arial"/>
        <w:b/>
        <w:noProof/>
        <w:sz w:val="18"/>
        <w:szCs w:val="18"/>
      </w:rPr>
      <w:t>220</w:t>
    </w:r>
    <w:r w:rsidRPr="00787DB2">
      <w:rPr>
        <w:rStyle w:val="PageNumber"/>
        <w:rFonts w:ascii="Arial" w:hAnsi="Arial"/>
        <w:b/>
        <w:sz w:val="18"/>
        <w:szCs w:val="18"/>
      </w:rPr>
      <w:fldChar w:fldCharType="end"/>
    </w:r>
    <w:r>
      <w:rPr>
        <w:rStyle w:val="PageNumber"/>
        <w:rFonts w:ascii="Arial" w:hAnsi="Arial"/>
        <w:b/>
        <w:sz w:val="18"/>
        <w:szCs w:val="18"/>
      </w:rPr>
      <w:t xml:space="preserve"> |</w:t>
    </w:r>
    <w:r w:rsidRPr="004268EE">
      <w:rPr>
        <w:rStyle w:val="PageNumber"/>
        <w:rFonts w:ascii="Arial" w:hAnsi="Arial"/>
        <w:sz w:val="18"/>
        <w:szCs w:val="18"/>
      </w:rPr>
      <w:t xml:space="preserve"> </w:t>
    </w:r>
    <w:r>
      <w:rPr>
        <w:rStyle w:val="PageNumber"/>
        <w:rFonts w:ascii="Arial" w:hAnsi="Arial"/>
        <w:sz w:val="18"/>
        <w:szCs w:val="18"/>
      </w:rPr>
      <w:t>Defence Housing Australia</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B1EE3" w14:textId="4135173B" w:rsidR="00CE3B2C" w:rsidRPr="006E0B00" w:rsidRDefault="00CE3B2C" w:rsidP="00B53319">
    <w:pPr>
      <w:pStyle w:val="Footer"/>
      <w:jc w:val="right"/>
      <w:rPr>
        <w:rStyle w:val="PageNumber"/>
        <w:rFonts w:ascii="Arial" w:hAnsi="Arial"/>
        <w:sz w:val="18"/>
        <w:szCs w:val="18"/>
      </w:rPr>
    </w:pPr>
    <w:r>
      <w:rPr>
        <w:rStyle w:val="PageNumber"/>
        <w:rFonts w:ascii="Arial" w:hAnsi="Arial"/>
        <w:sz w:val="18"/>
        <w:szCs w:val="18"/>
      </w:rPr>
      <w:t>Defence Housing Australia</w:t>
    </w:r>
    <w:r w:rsidRPr="006E0B00">
      <w:rPr>
        <w:rStyle w:val="PageNumber"/>
        <w:rFonts w:ascii="Arial" w:hAnsi="Arial"/>
        <w:sz w:val="18"/>
        <w:szCs w:val="18"/>
      </w:rPr>
      <w:t xml:space="preserve"> | </w:t>
    </w:r>
    <w:r w:rsidRPr="006E0B00">
      <w:rPr>
        <w:rStyle w:val="PageNumber"/>
        <w:rFonts w:ascii="Arial" w:hAnsi="Arial"/>
        <w:b/>
        <w:sz w:val="18"/>
        <w:szCs w:val="18"/>
      </w:rPr>
      <w:t xml:space="preserve">Page </w:t>
    </w:r>
    <w:r w:rsidRPr="006E0B00">
      <w:rPr>
        <w:rStyle w:val="PageNumber"/>
        <w:rFonts w:ascii="Arial" w:hAnsi="Arial"/>
        <w:b/>
        <w:sz w:val="18"/>
        <w:szCs w:val="18"/>
      </w:rPr>
      <w:fldChar w:fldCharType="begin"/>
    </w:r>
    <w:r w:rsidRPr="006E0B00">
      <w:rPr>
        <w:rStyle w:val="PageNumber"/>
        <w:rFonts w:ascii="Arial" w:hAnsi="Arial"/>
        <w:b/>
        <w:sz w:val="18"/>
        <w:szCs w:val="18"/>
      </w:rPr>
      <w:instrText xml:space="preserve"> PAGE </w:instrText>
    </w:r>
    <w:r w:rsidRPr="006E0B00">
      <w:rPr>
        <w:rStyle w:val="PageNumber"/>
        <w:rFonts w:ascii="Arial" w:hAnsi="Arial"/>
        <w:b/>
        <w:sz w:val="18"/>
        <w:szCs w:val="18"/>
      </w:rPr>
      <w:fldChar w:fldCharType="separate"/>
    </w:r>
    <w:r w:rsidR="00B72054">
      <w:rPr>
        <w:rStyle w:val="PageNumber"/>
        <w:rFonts w:ascii="Arial" w:hAnsi="Arial"/>
        <w:b/>
        <w:noProof/>
        <w:sz w:val="18"/>
        <w:szCs w:val="18"/>
      </w:rPr>
      <w:t>219</w:t>
    </w:r>
    <w:r w:rsidRPr="006E0B00">
      <w:rPr>
        <w:rStyle w:val="PageNumber"/>
        <w:rFonts w:ascii="Arial" w:hAnsi="Arial"/>
        <w:b/>
        <w:sz w:val="18"/>
        <w:szCs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5DB59" w14:textId="27D6C2CE" w:rsidR="00CE3B2C" w:rsidRPr="00787DB2" w:rsidRDefault="00CE3B2C" w:rsidP="00B53319">
    <w:pPr>
      <w:pStyle w:val="Footer"/>
      <w:rPr>
        <w:rStyle w:val="PageNumber"/>
        <w:rFonts w:ascii="Arial" w:hAnsi="Arial"/>
        <w:b/>
        <w:sz w:val="18"/>
        <w:szCs w:val="18"/>
      </w:rPr>
    </w:pPr>
    <w:r w:rsidRPr="00787DB2">
      <w:rPr>
        <w:rStyle w:val="PageNumber"/>
        <w:rFonts w:ascii="Arial" w:hAnsi="Arial"/>
        <w:b/>
        <w:sz w:val="18"/>
        <w:szCs w:val="18"/>
      </w:rPr>
      <w:t xml:space="preserve">Page </w:t>
    </w:r>
    <w:r w:rsidRPr="00787DB2">
      <w:rPr>
        <w:rStyle w:val="PageNumber"/>
        <w:rFonts w:ascii="Arial" w:hAnsi="Arial"/>
        <w:b/>
        <w:sz w:val="18"/>
        <w:szCs w:val="18"/>
      </w:rPr>
      <w:fldChar w:fldCharType="begin"/>
    </w:r>
    <w:r w:rsidRPr="00787DB2">
      <w:rPr>
        <w:rStyle w:val="PageNumber"/>
        <w:rFonts w:ascii="Arial" w:hAnsi="Arial"/>
        <w:b/>
        <w:sz w:val="18"/>
        <w:szCs w:val="18"/>
      </w:rPr>
      <w:instrText xml:space="preserve">PAGE  </w:instrText>
    </w:r>
    <w:r w:rsidRPr="00787DB2">
      <w:rPr>
        <w:rStyle w:val="PageNumber"/>
        <w:rFonts w:ascii="Arial" w:hAnsi="Arial"/>
        <w:b/>
        <w:sz w:val="18"/>
        <w:szCs w:val="18"/>
      </w:rPr>
      <w:fldChar w:fldCharType="separate"/>
    </w:r>
    <w:r w:rsidR="00B72054">
      <w:rPr>
        <w:rStyle w:val="PageNumber"/>
        <w:rFonts w:ascii="Arial" w:hAnsi="Arial"/>
        <w:b/>
        <w:noProof/>
        <w:sz w:val="18"/>
        <w:szCs w:val="18"/>
      </w:rPr>
      <w:t>226</w:t>
    </w:r>
    <w:r w:rsidRPr="00787DB2">
      <w:rPr>
        <w:rStyle w:val="PageNumber"/>
        <w:rFonts w:ascii="Arial" w:hAnsi="Arial"/>
        <w:b/>
        <w:sz w:val="18"/>
        <w:szCs w:val="18"/>
      </w:rPr>
      <w:fldChar w:fldCharType="end"/>
    </w:r>
    <w:r>
      <w:rPr>
        <w:rStyle w:val="PageNumber"/>
        <w:rFonts w:ascii="Arial" w:hAnsi="Arial"/>
        <w:b/>
        <w:sz w:val="18"/>
        <w:szCs w:val="18"/>
      </w:rPr>
      <w:t xml:space="preserve"> |</w:t>
    </w:r>
    <w:r w:rsidRPr="004268EE">
      <w:rPr>
        <w:rStyle w:val="PageNumber"/>
        <w:rFonts w:ascii="Arial" w:hAnsi="Arial"/>
        <w:sz w:val="18"/>
        <w:szCs w:val="18"/>
      </w:rPr>
      <w:t xml:space="preserve"> </w:t>
    </w:r>
    <w:r>
      <w:rPr>
        <w:rStyle w:val="PageNumber"/>
        <w:rFonts w:ascii="Arial" w:hAnsi="Arial"/>
        <w:sz w:val="18"/>
        <w:szCs w:val="18"/>
      </w:rPr>
      <w:t>Glossary</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79C5A" w14:textId="436D50D9" w:rsidR="00CE3B2C" w:rsidRPr="00787DB2" w:rsidRDefault="00CE3B2C" w:rsidP="00356250">
    <w:pPr>
      <w:pStyle w:val="Footer"/>
      <w:rPr>
        <w:rStyle w:val="PageNumber"/>
        <w:b/>
      </w:rPr>
    </w:pPr>
    <w:r w:rsidRPr="00787DB2">
      <w:rPr>
        <w:rStyle w:val="PageNumber"/>
        <w:rFonts w:ascii="Arial" w:hAnsi="Arial"/>
        <w:b/>
        <w:sz w:val="18"/>
        <w:szCs w:val="18"/>
      </w:rPr>
      <w:t>Page</w:t>
    </w:r>
    <w:r w:rsidRPr="00787DB2">
      <w:rPr>
        <w:rStyle w:val="PageNumber"/>
        <w:b/>
      </w:rPr>
      <w:t xml:space="preserve"> </w:t>
    </w:r>
    <w:r w:rsidRPr="00787DB2">
      <w:rPr>
        <w:rStyle w:val="PageNumber"/>
        <w:rFonts w:ascii="Arial" w:hAnsi="Arial"/>
        <w:b/>
        <w:sz w:val="18"/>
        <w:szCs w:val="18"/>
      </w:rPr>
      <w:fldChar w:fldCharType="begin"/>
    </w:r>
    <w:r w:rsidRPr="00787DB2">
      <w:rPr>
        <w:rStyle w:val="PageNumber"/>
        <w:rFonts w:ascii="Arial" w:hAnsi="Arial"/>
        <w:b/>
        <w:sz w:val="18"/>
        <w:szCs w:val="18"/>
      </w:rPr>
      <w:instrText xml:space="preserve">PAGE  </w:instrText>
    </w:r>
    <w:r w:rsidRPr="00787DB2">
      <w:rPr>
        <w:rStyle w:val="PageNumber"/>
        <w:rFonts w:ascii="Arial" w:hAnsi="Arial"/>
        <w:b/>
        <w:sz w:val="18"/>
        <w:szCs w:val="18"/>
      </w:rPr>
      <w:fldChar w:fldCharType="separate"/>
    </w:r>
    <w:r w:rsidR="00B72054">
      <w:rPr>
        <w:rStyle w:val="PageNumber"/>
        <w:rFonts w:ascii="Arial" w:hAnsi="Arial"/>
        <w:b/>
        <w:noProof/>
        <w:sz w:val="18"/>
        <w:szCs w:val="18"/>
      </w:rPr>
      <w:t>iv</w:t>
    </w:r>
    <w:r w:rsidRPr="00787DB2">
      <w:rPr>
        <w:rStyle w:val="PageNumber"/>
        <w:rFonts w:ascii="Arial" w:hAnsi="Arial"/>
        <w:b/>
        <w:sz w:val="18"/>
        <w:szCs w:val="18"/>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C7392" w14:textId="08B85977" w:rsidR="00CE3B2C" w:rsidRPr="006E0B00" w:rsidRDefault="00CE3B2C" w:rsidP="00B53319">
    <w:pPr>
      <w:pStyle w:val="Footer"/>
      <w:jc w:val="right"/>
      <w:rPr>
        <w:rStyle w:val="PageNumber"/>
        <w:rFonts w:ascii="Arial" w:hAnsi="Arial"/>
        <w:sz w:val="18"/>
        <w:szCs w:val="18"/>
      </w:rPr>
    </w:pPr>
    <w:r>
      <w:rPr>
        <w:rStyle w:val="PageNumber"/>
        <w:rFonts w:ascii="Arial" w:hAnsi="Arial"/>
        <w:sz w:val="18"/>
        <w:szCs w:val="18"/>
      </w:rPr>
      <w:t>Glossary</w:t>
    </w:r>
    <w:r w:rsidRPr="006E0B00">
      <w:rPr>
        <w:rStyle w:val="PageNumber"/>
        <w:rFonts w:ascii="Arial" w:hAnsi="Arial"/>
        <w:sz w:val="18"/>
        <w:szCs w:val="18"/>
      </w:rPr>
      <w:t xml:space="preserve"> | </w:t>
    </w:r>
    <w:r w:rsidRPr="006E0B00">
      <w:rPr>
        <w:rStyle w:val="PageNumber"/>
        <w:rFonts w:ascii="Arial" w:hAnsi="Arial"/>
        <w:b/>
        <w:sz w:val="18"/>
        <w:szCs w:val="18"/>
      </w:rPr>
      <w:t xml:space="preserve">Page </w:t>
    </w:r>
    <w:r w:rsidRPr="006E0B00">
      <w:rPr>
        <w:rStyle w:val="PageNumber"/>
        <w:rFonts w:ascii="Arial" w:hAnsi="Arial"/>
        <w:b/>
        <w:sz w:val="18"/>
        <w:szCs w:val="18"/>
      </w:rPr>
      <w:fldChar w:fldCharType="begin"/>
    </w:r>
    <w:r w:rsidRPr="006E0B00">
      <w:rPr>
        <w:rStyle w:val="PageNumber"/>
        <w:rFonts w:ascii="Arial" w:hAnsi="Arial"/>
        <w:b/>
        <w:sz w:val="18"/>
        <w:szCs w:val="18"/>
      </w:rPr>
      <w:instrText xml:space="preserve"> PAGE </w:instrText>
    </w:r>
    <w:r w:rsidRPr="006E0B00">
      <w:rPr>
        <w:rStyle w:val="PageNumber"/>
        <w:rFonts w:ascii="Arial" w:hAnsi="Arial"/>
        <w:b/>
        <w:sz w:val="18"/>
        <w:szCs w:val="18"/>
      </w:rPr>
      <w:fldChar w:fldCharType="separate"/>
    </w:r>
    <w:r w:rsidR="00B72054">
      <w:rPr>
        <w:rStyle w:val="PageNumber"/>
        <w:rFonts w:ascii="Arial" w:hAnsi="Arial"/>
        <w:b/>
        <w:noProof/>
        <w:sz w:val="18"/>
        <w:szCs w:val="18"/>
      </w:rPr>
      <w:t>227</w:t>
    </w:r>
    <w:r w:rsidRPr="006E0B00">
      <w:rPr>
        <w:rStyle w:val="PageNumber"/>
        <w:rFonts w:ascii="Arial" w:hAnsi="Arial"/>
        <w:b/>
        <w:sz w:val="18"/>
        <w:szCs w:val="18"/>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1E4FE" w14:textId="254A9D45" w:rsidR="00CE3B2C" w:rsidRPr="00787DB2" w:rsidRDefault="00CE3B2C" w:rsidP="00B53319">
    <w:pPr>
      <w:pStyle w:val="Footer"/>
      <w:rPr>
        <w:rStyle w:val="PageNumber"/>
        <w:rFonts w:ascii="Arial" w:hAnsi="Arial"/>
        <w:b/>
        <w:sz w:val="18"/>
        <w:szCs w:val="18"/>
      </w:rPr>
    </w:pPr>
    <w:r w:rsidRPr="00787DB2">
      <w:rPr>
        <w:rStyle w:val="PageNumber"/>
        <w:rFonts w:ascii="Arial" w:hAnsi="Arial"/>
        <w:b/>
        <w:sz w:val="18"/>
        <w:szCs w:val="18"/>
      </w:rPr>
      <w:t xml:space="preserve">Page </w:t>
    </w:r>
    <w:r w:rsidRPr="00787DB2">
      <w:rPr>
        <w:rStyle w:val="PageNumber"/>
        <w:rFonts w:ascii="Arial" w:hAnsi="Arial"/>
        <w:b/>
        <w:sz w:val="18"/>
        <w:szCs w:val="18"/>
      </w:rPr>
      <w:fldChar w:fldCharType="begin"/>
    </w:r>
    <w:r w:rsidRPr="00787DB2">
      <w:rPr>
        <w:rStyle w:val="PageNumber"/>
        <w:rFonts w:ascii="Arial" w:hAnsi="Arial"/>
        <w:b/>
        <w:sz w:val="18"/>
        <w:szCs w:val="18"/>
      </w:rPr>
      <w:instrText xml:space="preserve">PAGE  </w:instrText>
    </w:r>
    <w:r w:rsidRPr="00787DB2">
      <w:rPr>
        <w:rStyle w:val="PageNumber"/>
        <w:rFonts w:ascii="Arial" w:hAnsi="Arial"/>
        <w:b/>
        <w:sz w:val="18"/>
        <w:szCs w:val="18"/>
      </w:rPr>
      <w:fldChar w:fldCharType="separate"/>
    </w:r>
    <w:r w:rsidR="00B72054">
      <w:rPr>
        <w:rStyle w:val="PageNumber"/>
        <w:rFonts w:ascii="Arial" w:hAnsi="Arial"/>
        <w:b/>
        <w:noProof/>
        <w:sz w:val="18"/>
        <w:szCs w:val="18"/>
      </w:rPr>
      <w:t>232</w:t>
    </w:r>
    <w:r w:rsidRPr="00787DB2">
      <w:rPr>
        <w:rStyle w:val="PageNumber"/>
        <w:rFonts w:ascii="Arial" w:hAnsi="Arial"/>
        <w:b/>
        <w:sz w:val="18"/>
        <w:szCs w:val="18"/>
      </w:rPr>
      <w:fldChar w:fldCharType="end"/>
    </w:r>
    <w:r>
      <w:rPr>
        <w:rStyle w:val="PageNumber"/>
        <w:rFonts w:ascii="Arial" w:hAnsi="Arial"/>
        <w:b/>
        <w:sz w:val="18"/>
        <w:szCs w:val="18"/>
      </w:rPr>
      <w:t xml:space="preserve"> |</w:t>
    </w:r>
    <w:r w:rsidRPr="004268EE">
      <w:rPr>
        <w:rStyle w:val="PageNumber"/>
        <w:rFonts w:ascii="Arial" w:hAnsi="Arial"/>
        <w:sz w:val="18"/>
        <w:szCs w:val="18"/>
      </w:rPr>
      <w:t xml:space="preserve"> </w:t>
    </w:r>
    <w:r>
      <w:rPr>
        <w:rStyle w:val="PageNumber"/>
        <w:rFonts w:ascii="Arial" w:hAnsi="Arial"/>
        <w:sz w:val="18"/>
        <w:szCs w:val="18"/>
      </w:rPr>
      <w:t>Acronyms</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F98C3" w14:textId="61BC27A9" w:rsidR="00CE3B2C" w:rsidRPr="006E0B00" w:rsidRDefault="00CE3B2C" w:rsidP="00B53319">
    <w:pPr>
      <w:pStyle w:val="Footer"/>
      <w:jc w:val="right"/>
      <w:rPr>
        <w:rStyle w:val="PageNumber"/>
        <w:rFonts w:ascii="Arial" w:hAnsi="Arial"/>
        <w:sz w:val="18"/>
        <w:szCs w:val="18"/>
      </w:rPr>
    </w:pPr>
    <w:r>
      <w:rPr>
        <w:rStyle w:val="PageNumber"/>
        <w:rFonts w:ascii="Arial" w:hAnsi="Arial"/>
        <w:sz w:val="18"/>
        <w:szCs w:val="18"/>
      </w:rPr>
      <w:t>Acronyms</w:t>
    </w:r>
    <w:r w:rsidRPr="006E0B00">
      <w:rPr>
        <w:rStyle w:val="PageNumber"/>
        <w:rFonts w:ascii="Arial" w:hAnsi="Arial"/>
        <w:sz w:val="18"/>
        <w:szCs w:val="18"/>
      </w:rPr>
      <w:t xml:space="preserve"> | </w:t>
    </w:r>
    <w:r w:rsidRPr="006E0B00">
      <w:rPr>
        <w:rStyle w:val="PageNumber"/>
        <w:rFonts w:ascii="Arial" w:hAnsi="Arial"/>
        <w:b/>
        <w:sz w:val="18"/>
        <w:szCs w:val="18"/>
      </w:rPr>
      <w:t xml:space="preserve">Page </w:t>
    </w:r>
    <w:r w:rsidRPr="006E0B00">
      <w:rPr>
        <w:rStyle w:val="PageNumber"/>
        <w:rFonts w:ascii="Arial" w:hAnsi="Arial"/>
        <w:b/>
        <w:sz w:val="18"/>
        <w:szCs w:val="18"/>
      </w:rPr>
      <w:fldChar w:fldCharType="begin"/>
    </w:r>
    <w:r w:rsidRPr="006E0B00">
      <w:rPr>
        <w:rStyle w:val="PageNumber"/>
        <w:rFonts w:ascii="Arial" w:hAnsi="Arial"/>
        <w:b/>
        <w:sz w:val="18"/>
        <w:szCs w:val="18"/>
      </w:rPr>
      <w:instrText xml:space="preserve"> PAGE </w:instrText>
    </w:r>
    <w:r w:rsidRPr="006E0B00">
      <w:rPr>
        <w:rStyle w:val="PageNumber"/>
        <w:rFonts w:ascii="Arial" w:hAnsi="Arial"/>
        <w:b/>
        <w:sz w:val="18"/>
        <w:szCs w:val="18"/>
      </w:rPr>
      <w:fldChar w:fldCharType="separate"/>
    </w:r>
    <w:r w:rsidR="00B72054">
      <w:rPr>
        <w:rStyle w:val="PageNumber"/>
        <w:rFonts w:ascii="Arial" w:hAnsi="Arial"/>
        <w:b/>
        <w:noProof/>
        <w:sz w:val="18"/>
        <w:szCs w:val="18"/>
      </w:rPr>
      <w:t>233</w:t>
    </w:r>
    <w:r w:rsidRPr="006E0B00">
      <w:rPr>
        <w:rStyle w:val="PageNumber"/>
        <w:rFonts w:ascii="Arial" w:hAnsi="Arial"/>
        <w:b/>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87868" w14:textId="77777777" w:rsidR="00CE3B2C" w:rsidRDefault="00CE3B2C">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ED984" w14:textId="7FC92AD0" w:rsidR="00CE3B2C" w:rsidRDefault="00CE3B2C" w:rsidP="00787DB2">
    <w:pPr>
      <w:pStyle w:val="Footer"/>
      <w:rPr>
        <w:rStyle w:val="PageNumber"/>
        <w:rFonts w:ascii="Arial" w:hAnsi="Arial"/>
        <w:b/>
        <w:sz w:val="18"/>
        <w:szCs w:val="18"/>
      </w:rPr>
    </w:pPr>
    <w:r w:rsidRPr="00787DB2">
      <w:rPr>
        <w:rStyle w:val="PageNumber"/>
        <w:rFonts w:ascii="Arial" w:hAnsi="Arial"/>
        <w:b/>
        <w:sz w:val="18"/>
        <w:szCs w:val="18"/>
      </w:rPr>
      <w:t xml:space="preserve">Page </w:t>
    </w:r>
    <w:r w:rsidRPr="00787DB2">
      <w:rPr>
        <w:rStyle w:val="PageNumber"/>
        <w:rFonts w:ascii="Arial" w:hAnsi="Arial"/>
        <w:b/>
        <w:sz w:val="18"/>
        <w:szCs w:val="18"/>
      </w:rPr>
      <w:fldChar w:fldCharType="begin"/>
    </w:r>
    <w:r w:rsidRPr="00787DB2">
      <w:rPr>
        <w:rStyle w:val="PageNumber"/>
        <w:rFonts w:ascii="Arial" w:hAnsi="Arial"/>
        <w:b/>
        <w:sz w:val="18"/>
        <w:szCs w:val="18"/>
      </w:rPr>
      <w:instrText xml:space="preserve">PAGE  </w:instrText>
    </w:r>
    <w:r w:rsidRPr="00787DB2">
      <w:rPr>
        <w:rStyle w:val="PageNumber"/>
        <w:rFonts w:ascii="Arial" w:hAnsi="Arial"/>
        <w:b/>
        <w:sz w:val="18"/>
        <w:szCs w:val="18"/>
      </w:rPr>
      <w:fldChar w:fldCharType="separate"/>
    </w:r>
    <w:r w:rsidR="00B72054">
      <w:rPr>
        <w:rStyle w:val="PageNumber"/>
        <w:rFonts w:ascii="Arial" w:hAnsi="Arial"/>
        <w:b/>
        <w:noProof/>
        <w:sz w:val="18"/>
        <w:szCs w:val="18"/>
      </w:rPr>
      <w:t>vi</w:t>
    </w:r>
    <w:r w:rsidRPr="00787DB2">
      <w:rPr>
        <w:rStyle w:val="PageNumber"/>
        <w:rFonts w:ascii="Arial" w:hAnsi="Arial"/>
        <w:b/>
        <w:sz w:val="18"/>
        <w:szCs w:val="18"/>
      </w:rPr>
      <w:fldChar w:fldCharType="end"/>
    </w:r>
    <w:r>
      <w:rPr>
        <w:rStyle w:val="PageNumber"/>
        <w:rFonts w:ascii="Arial" w:hAnsi="Arial"/>
        <w:b/>
        <w:sz w:val="18"/>
        <w:szCs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CA4BF" w14:textId="5B79096A" w:rsidR="00CE3B2C" w:rsidRPr="00787DB2" w:rsidRDefault="00CE3B2C" w:rsidP="00787DB2">
    <w:pPr>
      <w:pStyle w:val="Footer"/>
      <w:rPr>
        <w:rStyle w:val="PageNumber"/>
        <w:rFonts w:ascii="Arial" w:hAnsi="Arial"/>
        <w:b/>
        <w:sz w:val="18"/>
        <w:szCs w:val="18"/>
      </w:rPr>
    </w:pPr>
    <w:r w:rsidRPr="00787DB2">
      <w:rPr>
        <w:rStyle w:val="PageNumber"/>
        <w:rFonts w:ascii="Arial" w:hAnsi="Arial"/>
        <w:b/>
        <w:sz w:val="18"/>
        <w:szCs w:val="18"/>
      </w:rPr>
      <w:t xml:space="preserve">Page </w:t>
    </w:r>
    <w:r w:rsidRPr="00787DB2">
      <w:rPr>
        <w:rStyle w:val="PageNumber"/>
        <w:rFonts w:ascii="Arial" w:hAnsi="Arial"/>
        <w:b/>
        <w:sz w:val="18"/>
        <w:szCs w:val="18"/>
      </w:rPr>
      <w:fldChar w:fldCharType="begin"/>
    </w:r>
    <w:r w:rsidRPr="00787DB2">
      <w:rPr>
        <w:rStyle w:val="PageNumber"/>
        <w:rFonts w:ascii="Arial" w:hAnsi="Arial"/>
        <w:b/>
        <w:sz w:val="18"/>
        <w:szCs w:val="18"/>
      </w:rPr>
      <w:instrText xml:space="preserve">PAGE  </w:instrText>
    </w:r>
    <w:r w:rsidRPr="00787DB2">
      <w:rPr>
        <w:rStyle w:val="PageNumber"/>
        <w:rFonts w:ascii="Arial" w:hAnsi="Arial"/>
        <w:b/>
        <w:sz w:val="18"/>
        <w:szCs w:val="18"/>
      </w:rPr>
      <w:fldChar w:fldCharType="separate"/>
    </w:r>
    <w:r w:rsidR="00B72054">
      <w:rPr>
        <w:rStyle w:val="PageNumber"/>
        <w:rFonts w:ascii="Arial" w:hAnsi="Arial"/>
        <w:b/>
        <w:noProof/>
        <w:sz w:val="18"/>
        <w:szCs w:val="18"/>
      </w:rPr>
      <w:t>xii</w:t>
    </w:r>
    <w:r w:rsidRPr="00787DB2">
      <w:rPr>
        <w:rStyle w:val="PageNumber"/>
        <w:rFonts w:ascii="Arial" w:hAnsi="Arial"/>
        <w:b/>
        <w:sz w:val="18"/>
        <w:szCs w:val="18"/>
      </w:rPr>
      <w:fldChar w:fldCharType="end"/>
    </w:r>
    <w:r>
      <w:rPr>
        <w:rStyle w:val="PageNumber"/>
        <w:rFonts w:ascii="Arial" w:hAnsi="Arial"/>
        <w:b/>
        <w:sz w:val="18"/>
        <w:szCs w:val="18"/>
      </w:rPr>
      <w:t xml:space="preserve"> |</w:t>
    </w:r>
    <w:r w:rsidRPr="004268EE">
      <w:rPr>
        <w:rStyle w:val="PageNumber"/>
        <w:rFonts w:ascii="Arial" w:hAnsi="Arial"/>
        <w:sz w:val="18"/>
        <w:szCs w:val="18"/>
      </w:rPr>
      <w:t xml:space="preserve"> User guide</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C6417" w14:textId="3CBB9082" w:rsidR="00CE3B2C" w:rsidRPr="00787DB2" w:rsidRDefault="00CE3B2C">
    <w:pPr>
      <w:pStyle w:val="Footer"/>
      <w:jc w:val="right"/>
      <w:rPr>
        <w:rFonts w:ascii="Arial" w:hAnsi="Arial"/>
        <w:b/>
        <w:sz w:val="18"/>
        <w:szCs w:val="18"/>
      </w:rPr>
    </w:pPr>
    <w:r w:rsidRPr="004268EE">
      <w:rPr>
        <w:rFonts w:ascii="Arial" w:hAnsi="Arial"/>
        <w:sz w:val="18"/>
        <w:szCs w:val="18"/>
      </w:rPr>
      <w:t>User guide</w:t>
    </w:r>
    <w:r>
      <w:rPr>
        <w:rFonts w:ascii="Arial" w:hAnsi="Arial"/>
        <w:b/>
        <w:sz w:val="18"/>
        <w:szCs w:val="18"/>
      </w:rPr>
      <w:t xml:space="preserve"> | </w:t>
    </w:r>
    <w:r w:rsidRPr="00787DB2">
      <w:rPr>
        <w:rFonts w:ascii="Arial" w:hAnsi="Arial"/>
        <w:b/>
        <w:sz w:val="18"/>
        <w:szCs w:val="18"/>
      </w:rPr>
      <w:t xml:space="preserve">Page </w:t>
    </w:r>
    <w:r w:rsidRPr="00787DB2">
      <w:rPr>
        <w:rFonts w:ascii="Arial" w:hAnsi="Arial"/>
        <w:b/>
        <w:sz w:val="18"/>
        <w:szCs w:val="18"/>
      </w:rPr>
      <w:fldChar w:fldCharType="begin"/>
    </w:r>
    <w:r w:rsidRPr="00787DB2">
      <w:rPr>
        <w:rFonts w:ascii="Arial" w:hAnsi="Arial"/>
        <w:b/>
        <w:sz w:val="18"/>
        <w:szCs w:val="18"/>
      </w:rPr>
      <w:instrText xml:space="preserve"> PAGE   \* MERGEFORMAT </w:instrText>
    </w:r>
    <w:r w:rsidRPr="00787DB2">
      <w:rPr>
        <w:rFonts w:ascii="Arial" w:hAnsi="Arial"/>
        <w:b/>
        <w:sz w:val="18"/>
        <w:szCs w:val="18"/>
      </w:rPr>
      <w:fldChar w:fldCharType="separate"/>
    </w:r>
    <w:r w:rsidR="00B72054">
      <w:rPr>
        <w:rFonts w:ascii="Arial" w:hAnsi="Arial"/>
        <w:b/>
        <w:noProof/>
        <w:sz w:val="18"/>
        <w:szCs w:val="18"/>
      </w:rPr>
      <w:t>xi</w:t>
    </w:r>
    <w:r w:rsidRPr="00787DB2">
      <w:rPr>
        <w:rFonts w:ascii="Arial" w:hAnsi="Arial"/>
        <w:b/>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940AC" w14:textId="45368B7C" w:rsidR="00CE3B2C" w:rsidRPr="00787DB2" w:rsidRDefault="00CE3B2C" w:rsidP="00787DB2">
    <w:pPr>
      <w:pStyle w:val="Footer"/>
      <w:rPr>
        <w:rStyle w:val="PageNumber"/>
        <w:rFonts w:ascii="Arial" w:hAnsi="Arial"/>
        <w:b/>
        <w:sz w:val="18"/>
        <w:szCs w:val="18"/>
      </w:rPr>
    </w:pPr>
    <w:r w:rsidRPr="00787DB2">
      <w:rPr>
        <w:rStyle w:val="PageNumber"/>
        <w:rFonts w:ascii="Arial" w:hAnsi="Arial"/>
        <w:b/>
        <w:sz w:val="18"/>
        <w:szCs w:val="18"/>
      </w:rPr>
      <w:t xml:space="preserve">Page </w:t>
    </w:r>
    <w:r w:rsidRPr="00787DB2">
      <w:rPr>
        <w:rStyle w:val="PageNumber"/>
        <w:rFonts w:ascii="Arial" w:hAnsi="Arial"/>
        <w:b/>
        <w:sz w:val="18"/>
        <w:szCs w:val="18"/>
      </w:rPr>
      <w:fldChar w:fldCharType="begin"/>
    </w:r>
    <w:r w:rsidRPr="00787DB2">
      <w:rPr>
        <w:rStyle w:val="PageNumber"/>
        <w:rFonts w:ascii="Arial" w:hAnsi="Arial"/>
        <w:b/>
        <w:sz w:val="18"/>
        <w:szCs w:val="18"/>
      </w:rPr>
      <w:instrText xml:space="preserve">PAGE  </w:instrText>
    </w:r>
    <w:r w:rsidRPr="00787DB2">
      <w:rPr>
        <w:rStyle w:val="PageNumber"/>
        <w:rFonts w:ascii="Arial" w:hAnsi="Arial"/>
        <w:b/>
        <w:sz w:val="18"/>
        <w:szCs w:val="18"/>
      </w:rPr>
      <w:fldChar w:fldCharType="separate"/>
    </w:r>
    <w:r w:rsidR="00B72054">
      <w:rPr>
        <w:rStyle w:val="PageNumber"/>
        <w:rFonts w:ascii="Arial" w:hAnsi="Arial"/>
        <w:b/>
        <w:noProof/>
        <w:sz w:val="18"/>
        <w:szCs w:val="18"/>
      </w:rPr>
      <w:t>6</w:t>
    </w:r>
    <w:r w:rsidRPr="00787DB2">
      <w:rPr>
        <w:rStyle w:val="PageNumber"/>
        <w:rFonts w:ascii="Arial" w:hAnsi="Arial"/>
        <w:b/>
        <w:sz w:val="18"/>
        <w:szCs w:val="18"/>
      </w:rPr>
      <w:fldChar w:fldCharType="end"/>
    </w:r>
    <w:r>
      <w:rPr>
        <w:rStyle w:val="PageNumber"/>
        <w:rFonts w:ascii="Arial" w:hAnsi="Arial"/>
        <w:b/>
        <w:sz w:val="18"/>
        <w:szCs w:val="18"/>
      </w:rPr>
      <w:t xml:space="preserve"> |</w:t>
    </w:r>
    <w:r w:rsidRPr="004268EE">
      <w:rPr>
        <w:rStyle w:val="PageNumber"/>
        <w:rFonts w:ascii="Arial" w:hAnsi="Arial"/>
        <w:sz w:val="18"/>
        <w:szCs w:val="18"/>
      </w:rPr>
      <w:t xml:space="preserve"> </w:t>
    </w:r>
    <w:r>
      <w:rPr>
        <w:rStyle w:val="PageNumber"/>
        <w:rFonts w:ascii="Arial" w:hAnsi="Arial"/>
        <w:sz w:val="18"/>
        <w:szCs w:val="18"/>
      </w:rPr>
      <w:t>Portfolio Overview</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2999B" w14:textId="70ECF44F" w:rsidR="00CE3B2C" w:rsidRPr="006E0B00" w:rsidRDefault="00CE3B2C" w:rsidP="00CA0308">
    <w:pPr>
      <w:pStyle w:val="Footer"/>
      <w:jc w:val="right"/>
      <w:rPr>
        <w:rStyle w:val="PageNumber"/>
        <w:rFonts w:ascii="Arial" w:hAnsi="Arial"/>
        <w:sz w:val="18"/>
        <w:szCs w:val="18"/>
      </w:rPr>
    </w:pPr>
    <w:r w:rsidRPr="006E0B00">
      <w:rPr>
        <w:rStyle w:val="PageNumber"/>
        <w:rFonts w:ascii="Arial" w:hAnsi="Arial"/>
        <w:sz w:val="18"/>
        <w:szCs w:val="18"/>
      </w:rPr>
      <w:t xml:space="preserve">Portfolio Overview | </w:t>
    </w:r>
    <w:r w:rsidRPr="006E0B00">
      <w:rPr>
        <w:rStyle w:val="PageNumber"/>
        <w:rFonts w:ascii="Arial" w:hAnsi="Arial"/>
        <w:b/>
        <w:sz w:val="18"/>
        <w:szCs w:val="18"/>
      </w:rPr>
      <w:t xml:space="preserve">Page </w:t>
    </w:r>
    <w:r w:rsidRPr="006E0B00">
      <w:rPr>
        <w:rStyle w:val="PageNumber"/>
        <w:rFonts w:ascii="Arial" w:hAnsi="Arial"/>
        <w:b/>
        <w:sz w:val="18"/>
        <w:szCs w:val="18"/>
      </w:rPr>
      <w:fldChar w:fldCharType="begin"/>
    </w:r>
    <w:r w:rsidRPr="006E0B00">
      <w:rPr>
        <w:rStyle w:val="PageNumber"/>
        <w:rFonts w:ascii="Arial" w:hAnsi="Arial"/>
        <w:b/>
        <w:sz w:val="18"/>
        <w:szCs w:val="18"/>
      </w:rPr>
      <w:instrText xml:space="preserve"> PAGE </w:instrText>
    </w:r>
    <w:r w:rsidRPr="006E0B00">
      <w:rPr>
        <w:rStyle w:val="PageNumber"/>
        <w:rFonts w:ascii="Arial" w:hAnsi="Arial"/>
        <w:b/>
        <w:sz w:val="18"/>
        <w:szCs w:val="18"/>
      </w:rPr>
      <w:fldChar w:fldCharType="separate"/>
    </w:r>
    <w:r w:rsidR="00B72054">
      <w:rPr>
        <w:rStyle w:val="PageNumber"/>
        <w:rFonts w:ascii="Arial" w:hAnsi="Arial"/>
        <w:b/>
        <w:noProof/>
        <w:sz w:val="18"/>
        <w:szCs w:val="18"/>
      </w:rPr>
      <w:t>7</w:t>
    </w:r>
    <w:r w:rsidRPr="006E0B00">
      <w:rPr>
        <w:rStyle w:val="PageNumber"/>
        <w:rFonts w:ascii="Arial" w:hAnsi="Arial"/>
        <w:b/>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E3B071" w14:textId="77777777" w:rsidR="00004E68" w:rsidRDefault="00004E68">
      <w:r>
        <w:separator/>
      </w:r>
    </w:p>
  </w:footnote>
  <w:footnote w:type="continuationSeparator" w:id="0">
    <w:p w14:paraId="4EBC3C21" w14:textId="77777777" w:rsidR="00004E68" w:rsidRDefault="00004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E472D" w14:textId="77777777" w:rsidR="00CE3B2C" w:rsidRPr="00787DB2" w:rsidRDefault="00CE3B2C" w:rsidP="00787DB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C0E8B" w14:textId="77777777" w:rsidR="00CE3B2C" w:rsidRPr="00842D21" w:rsidRDefault="00CE3B2C" w:rsidP="006E0B00">
    <w:pPr>
      <w:pStyle w:val="Header"/>
      <w:rPr>
        <w:rFonts w:ascii="Arial" w:hAnsi="Arial"/>
        <w:sz w:val="18"/>
        <w:szCs w:val="18"/>
      </w:rPr>
    </w:pPr>
    <w:r w:rsidRPr="00A01209">
      <w:rPr>
        <w:rFonts w:ascii="Arial" w:hAnsi="Arial"/>
        <w:b/>
        <w:sz w:val="18"/>
        <w:szCs w:val="18"/>
      </w:rPr>
      <w:t>Budget</w:t>
    </w:r>
    <w:r>
      <w:rPr>
        <w:rFonts w:ascii="Arial" w:hAnsi="Arial"/>
        <w:sz w:val="18"/>
        <w:szCs w:val="18"/>
      </w:rPr>
      <w:t xml:space="preserve"> </w:t>
    </w:r>
    <w:r w:rsidRPr="00A01209">
      <w:rPr>
        <w:rFonts w:ascii="Arial" w:hAnsi="Arial"/>
        <w:sz w:val="18"/>
        <w:szCs w:val="18"/>
      </w:rPr>
      <w:t>202</w:t>
    </w:r>
    <w:r>
      <w:rPr>
        <w:rFonts w:ascii="Arial" w:hAnsi="Arial"/>
        <w:sz w:val="18"/>
        <w:szCs w:val="18"/>
      </w:rPr>
      <w:t>5</w:t>
    </w:r>
    <w:r w:rsidRPr="00A01209">
      <w:rPr>
        <w:rFonts w:ascii="Arial" w:hAnsi="Arial"/>
        <w:sz w:val="18"/>
        <w:szCs w:val="18"/>
      </w:rPr>
      <w:t>-2</w:t>
    </w:r>
    <w:r>
      <w:rPr>
        <w:rFonts w:ascii="Arial" w:hAnsi="Arial"/>
        <w:sz w:val="18"/>
        <w:szCs w:val="18"/>
      </w:rPr>
      <w:t xml:space="preserve">6 </w:t>
    </w:r>
    <w:r w:rsidRPr="00A01209">
      <w:rPr>
        <w:rFonts w:ascii="Arial" w:hAnsi="Arial"/>
        <w:sz w:val="18"/>
        <w:szCs w:val="18"/>
      </w:rPr>
      <w:t>| Portfolio Budget Statements</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4AAC7" w14:textId="77777777" w:rsidR="00CE3B2C" w:rsidRPr="000D7A2C" w:rsidRDefault="00CE3B2C" w:rsidP="006E0B00">
    <w:pPr>
      <w:pStyle w:val="Header"/>
      <w:jc w:val="right"/>
      <w:rPr>
        <w:rFonts w:ascii="Arial" w:hAnsi="Arial"/>
        <w:sz w:val="18"/>
        <w:szCs w:val="18"/>
      </w:rPr>
    </w:pPr>
    <w:r w:rsidRPr="00A01209">
      <w:rPr>
        <w:rFonts w:ascii="Arial" w:hAnsi="Arial"/>
        <w:sz w:val="18"/>
        <w:szCs w:val="18"/>
      </w:rPr>
      <w:t>Portfolio Budget Statements</w:t>
    </w:r>
    <w:r>
      <w:rPr>
        <w:rFonts w:ascii="Arial" w:hAnsi="Arial"/>
        <w:sz w:val="18"/>
        <w:szCs w:val="18"/>
      </w:rPr>
      <w:t xml:space="preserve"> </w:t>
    </w:r>
    <w:r w:rsidRPr="00A01209">
      <w:rPr>
        <w:rFonts w:ascii="Arial" w:hAnsi="Arial"/>
        <w:sz w:val="18"/>
        <w:szCs w:val="18"/>
      </w:rPr>
      <w:t>|</w:t>
    </w:r>
    <w:r w:rsidRPr="000D7A2C">
      <w:rPr>
        <w:rFonts w:ascii="Arial" w:hAnsi="Arial"/>
        <w:sz w:val="18"/>
        <w:szCs w:val="18"/>
      </w:rPr>
      <w:t xml:space="preserve"> </w:t>
    </w:r>
    <w:r w:rsidRPr="00A01209">
      <w:rPr>
        <w:rFonts w:ascii="Arial" w:hAnsi="Arial"/>
        <w:b/>
        <w:sz w:val="18"/>
        <w:szCs w:val="18"/>
      </w:rPr>
      <w:t>Budget</w:t>
    </w:r>
    <w:r w:rsidRPr="00A01209">
      <w:rPr>
        <w:rFonts w:ascii="Arial" w:hAnsi="Arial"/>
        <w:sz w:val="18"/>
        <w:szCs w:val="18"/>
      </w:rPr>
      <w:t xml:space="preserve"> </w:t>
    </w:r>
    <w:r>
      <w:rPr>
        <w:rFonts w:ascii="Arial" w:hAnsi="Arial"/>
        <w:sz w:val="18"/>
        <w:szCs w:val="18"/>
      </w:rPr>
      <w:t>2025</w:t>
    </w:r>
    <w:r w:rsidRPr="00A01209">
      <w:rPr>
        <w:rFonts w:ascii="Arial" w:hAnsi="Arial"/>
        <w:sz w:val="18"/>
        <w:szCs w:val="18"/>
      </w:rPr>
      <w:t>-2</w:t>
    </w:r>
    <w:r>
      <w:rPr>
        <w:rFonts w:ascii="Arial" w:hAnsi="Arial"/>
        <w:sz w:val="18"/>
        <w:szCs w:val="18"/>
      </w:rPr>
      <w:t>6</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AE447" w14:textId="77777777" w:rsidR="00CE3B2C" w:rsidRDefault="00CE3B2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7DDE5" w14:textId="77777777" w:rsidR="00CE3B2C" w:rsidRPr="00842D21" w:rsidRDefault="00CE3B2C" w:rsidP="006E0B00">
    <w:pPr>
      <w:pStyle w:val="Header"/>
      <w:rPr>
        <w:rFonts w:ascii="Arial" w:hAnsi="Arial"/>
        <w:sz w:val="18"/>
        <w:szCs w:val="18"/>
      </w:rPr>
    </w:pPr>
    <w:r w:rsidRPr="00A01209">
      <w:rPr>
        <w:rFonts w:ascii="Arial" w:hAnsi="Arial"/>
        <w:b/>
        <w:sz w:val="18"/>
        <w:szCs w:val="18"/>
      </w:rPr>
      <w:t>Budget</w:t>
    </w:r>
    <w:r w:rsidRPr="00A01209">
      <w:rPr>
        <w:rFonts w:ascii="Arial" w:hAnsi="Arial"/>
        <w:sz w:val="18"/>
        <w:szCs w:val="18"/>
      </w:rPr>
      <w:t xml:space="preserve"> 202</w:t>
    </w:r>
    <w:r>
      <w:rPr>
        <w:rFonts w:ascii="Arial" w:hAnsi="Arial"/>
        <w:sz w:val="18"/>
        <w:szCs w:val="18"/>
      </w:rPr>
      <w:t>5</w:t>
    </w:r>
    <w:r w:rsidRPr="00A01209">
      <w:rPr>
        <w:rFonts w:ascii="Arial" w:hAnsi="Arial"/>
        <w:sz w:val="18"/>
        <w:szCs w:val="18"/>
      </w:rPr>
      <w:t>-2</w:t>
    </w:r>
    <w:r>
      <w:rPr>
        <w:rFonts w:ascii="Arial" w:hAnsi="Arial"/>
        <w:sz w:val="18"/>
        <w:szCs w:val="18"/>
      </w:rPr>
      <w:t xml:space="preserve">6 </w:t>
    </w:r>
    <w:r w:rsidRPr="00A01209">
      <w:rPr>
        <w:rFonts w:ascii="Arial" w:hAnsi="Arial"/>
        <w:sz w:val="18"/>
        <w:szCs w:val="18"/>
      </w:rPr>
      <w:t>|</w:t>
    </w:r>
    <w:r>
      <w:rPr>
        <w:rFonts w:ascii="Arial" w:hAnsi="Arial"/>
        <w:sz w:val="18"/>
        <w:szCs w:val="18"/>
      </w:rPr>
      <w:t xml:space="preserve"> </w:t>
    </w:r>
    <w:r w:rsidRPr="00A01209">
      <w:rPr>
        <w:rFonts w:ascii="Arial" w:hAnsi="Arial"/>
        <w:sz w:val="18"/>
        <w:szCs w:val="18"/>
      </w:rPr>
      <w:t>Portfolio Budget Statements</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E1815" w14:textId="77777777" w:rsidR="00CE3B2C" w:rsidRPr="004864AD" w:rsidRDefault="00CE3B2C" w:rsidP="006E0B00">
    <w:pPr>
      <w:pStyle w:val="Header"/>
      <w:jc w:val="right"/>
      <w:rPr>
        <w:sz w:val="18"/>
        <w:szCs w:val="18"/>
      </w:rPr>
    </w:pPr>
    <w:r w:rsidRPr="00A01209">
      <w:rPr>
        <w:rFonts w:ascii="Arial" w:hAnsi="Arial"/>
        <w:sz w:val="18"/>
        <w:szCs w:val="18"/>
      </w:rPr>
      <w:t>Portfolio Budget Statements |</w:t>
    </w:r>
    <w:r w:rsidRPr="000F2409">
      <w:rPr>
        <w:rFonts w:ascii="Arial" w:hAnsi="Arial"/>
        <w:sz w:val="18"/>
        <w:szCs w:val="18"/>
      </w:rPr>
      <w:t xml:space="preserve"> </w:t>
    </w:r>
    <w:r w:rsidRPr="00A01209">
      <w:rPr>
        <w:rFonts w:ascii="Arial" w:hAnsi="Arial"/>
        <w:b/>
        <w:sz w:val="18"/>
        <w:szCs w:val="18"/>
      </w:rPr>
      <w:t>Budget</w:t>
    </w:r>
    <w:r w:rsidRPr="00A01209">
      <w:rPr>
        <w:rFonts w:ascii="Arial" w:hAnsi="Arial"/>
        <w:sz w:val="18"/>
        <w:szCs w:val="18"/>
      </w:rPr>
      <w:t xml:space="preserve"> </w:t>
    </w:r>
    <w:r w:rsidRPr="004864AD">
      <w:rPr>
        <w:rFonts w:ascii="Arial" w:hAnsi="Arial"/>
        <w:sz w:val="18"/>
        <w:szCs w:val="18"/>
      </w:rPr>
      <w:t>2</w:t>
    </w:r>
    <w:r>
      <w:rPr>
        <w:rFonts w:ascii="Arial" w:hAnsi="Arial"/>
        <w:sz w:val="18"/>
        <w:szCs w:val="18"/>
      </w:rPr>
      <w:t>025</w:t>
    </w:r>
    <w:r w:rsidRPr="004864AD">
      <w:rPr>
        <w:rFonts w:ascii="Arial" w:hAnsi="Arial"/>
        <w:sz w:val="18"/>
        <w:szCs w:val="18"/>
      </w:rPr>
      <w:t>-2</w:t>
    </w:r>
    <w:r>
      <w:rPr>
        <w:rFonts w:ascii="Arial" w:hAnsi="Arial"/>
        <w:sz w:val="18"/>
        <w:szCs w:val="18"/>
      </w:rPr>
      <w:t>6</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5E33B" w14:textId="77777777" w:rsidR="00CE3B2C" w:rsidRDefault="00CE3B2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5C9DC" w14:textId="77777777" w:rsidR="00CE3B2C" w:rsidRDefault="00CE3B2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F5FCA" w14:textId="77777777" w:rsidR="00CE3B2C" w:rsidRPr="00740A81" w:rsidRDefault="00CE3B2C" w:rsidP="00740A81">
    <w:pPr>
      <w:pStyle w:val="Header"/>
    </w:pPr>
    <w:r>
      <w:rPr>
        <w:noProof/>
        <w:lang w:val="en-AU"/>
      </w:rPr>
      <mc:AlternateContent>
        <mc:Choice Requires="wps">
          <w:drawing>
            <wp:anchor distT="0" distB="0" distL="114300" distR="114300" simplePos="0" relativeHeight="251652096" behindDoc="0" locked="0" layoutInCell="0" allowOverlap="1" wp14:anchorId="5F9FE9CB" wp14:editId="14D909E8">
              <wp:simplePos x="0" y="0"/>
              <wp:positionH relativeFrom="page">
                <wp:posOffset>9829800</wp:posOffset>
              </wp:positionH>
              <wp:positionV relativeFrom="page">
                <wp:posOffset>1181100</wp:posOffset>
              </wp:positionV>
              <wp:extent cx="428625" cy="3848100"/>
              <wp:effectExtent l="0" t="0"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84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E1D5E2" w14:textId="77777777" w:rsidR="00CE3B2C" w:rsidRPr="00842D21" w:rsidRDefault="00CE3B2C" w:rsidP="0004239F">
                          <w:pPr>
                            <w:pStyle w:val="Header"/>
                            <w:rPr>
                              <w:rFonts w:ascii="Arial" w:hAnsi="Arial"/>
                              <w:sz w:val="18"/>
                              <w:szCs w:val="18"/>
                            </w:rPr>
                          </w:pPr>
                          <w:r w:rsidRPr="00A01209">
                            <w:rPr>
                              <w:rFonts w:ascii="Arial" w:hAnsi="Arial"/>
                              <w:b/>
                              <w:sz w:val="18"/>
                              <w:szCs w:val="18"/>
                            </w:rPr>
                            <w:t>Budget</w:t>
                          </w:r>
                          <w:r w:rsidRPr="00A01209">
                            <w:rPr>
                              <w:rFonts w:ascii="Arial" w:hAnsi="Arial"/>
                              <w:sz w:val="18"/>
                              <w:szCs w:val="18"/>
                            </w:rPr>
                            <w:t xml:space="preserve"> 202</w:t>
                          </w:r>
                          <w:r>
                            <w:rPr>
                              <w:rFonts w:ascii="Arial" w:hAnsi="Arial"/>
                              <w:sz w:val="18"/>
                              <w:szCs w:val="18"/>
                            </w:rPr>
                            <w:t>4</w:t>
                          </w:r>
                          <w:r w:rsidRPr="00A01209">
                            <w:rPr>
                              <w:rFonts w:ascii="Arial" w:hAnsi="Arial"/>
                              <w:sz w:val="18"/>
                              <w:szCs w:val="18"/>
                            </w:rPr>
                            <w:t>-2</w:t>
                          </w:r>
                          <w:r>
                            <w:rPr>
                              <w:rFonts w:ascii="Arial" w:hAnsi="Arial"/>
                              <w:sz w:val="18"/>
                              <w:szCs w:val="18"/>
                            </w:rPr>
                            <w:t xml:space="preserve">5 </w:t>
                          </w:r>
                          <w:r w:rsidRPr="00A01209">
                            <w:rPr>
                              <w:rFonts w:ascii="Arial" w:hAnsi="Arial"/>
                              <w:sz w:val="18"/>
                              <w:szCs w:val="18"/>
                            </w:rPr>
                            <w:t>|</w:t>
                          </w:r>
                          <w:r>
                            <w:rPr>
                              <w:rFonts w:ascii="Arial" w:hAnsi="Arial"/>
                              <w:sz w:val="18"/>
                              <w:szCs w:val="18"/>
                            </w:rPr>
                            <w:t xml:space="preserve"> </w:t>
                          </w:r>
                          <w:r w:rsidRPr="00A01209">
                            <w:rPr>
                              <w:rFonts w:ascii="Arial" w:hAnsi="Arial"/>
                              <w:sz w:val="18"/>
                              <w:szCs w:val="18"/>
                            </w:rPr>
                            <w:t>Portfolio Budget Statements</w:t>
                          </w:r>
                        </w:p>
                        <w:p w14:paraId="5BD735C9" w14:textId="77777777" w:rsidR="00CE3B2C" w:rsidRPr="006275F9" w:rsidRDefault="00CE3B2C" w:rsidP="00F86C16">
                          <w:pPr>
                            <w:pStyle w:val="Header"/>
                            <w:spacing w:before="0"/>
                            <w:rPr>
                              <w:rFonts w:ascii="Arial" w:hAnsi="Arial"/>
                              <w:i/>
                              <w:szCs w:val="20"/>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FE9CB" id="Rectangle 29" o:spid="_x0000_s1104" style="position:absolute;margin-left:774pt;margin-top:93pt;width:33.75pt;height:30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" o:allowincell="f" stroked="f">
              <v:textbox style="layout-flow:vertical">
                <w:txbxContent>
                  <w:p w14:paraId="7DE1D5E2" w14:textId="77777777" w:rsidR="00CE3B2C" w:rsidRPr="00842D21" w:rsidRDefault="00CE3B2C" w:rsidP="0004239F">
                    <w:pPr>
                      <w:pStyle w:val="Header"/>
                      <w:rPr>
                        <w:rFonts w:ascii="Arial" w:hAnsi="Arial"/>
                        <w:sz w:val="18"/>
                        <w:szCs w:val="18"/>
                      </w:rPr>
                    </w:pPr>
                    <w:r w:rsidRPr="00A01209">
                      <w:rPr>
                        <w:rFonts w:ascii="Arial" w:hAnsi="Arial"/>
                        <w:b/>
                        <w:sz w:val="18"/>
                        <w:szCs w:val="18"/>
                      </w:rPr>
                      <w:t>Budget</w:t>
                    </w:r>
                    <w:r w:rsidRPr="00A01209">
                      <w:rPr>
                        <w:rFonts w:ascii="Arial" w:hAnsi="Arial"/>
                        <w:sz w:val="18"/>
                        <w:szCs w:val="18"/>
                      </w:rPr>
                      <w:t xml:space="preserve"> 202</w:t>
                    </w:r>
                    <w:r>
                      <w:rPr>
                        <w:rFonts w:ascii="Arial" w:hAnsi="Arial"/>
                        <w:sz w:val="18"/>
                        <w:szCs w:val="18"/>
                      </w:rPr>
                      <w:t>4</w:t>
                    </w:r>
                    <w:r w:rsidRPr="00A01209">
                      <w:rPr>
                        <w:rFonts w:ascii="Arial" w:hAnsi="Arial"/>
                        <w:sz w:val="18"/>
                        <w:szCs w:val="18"/>
                      </w:rPr>
                      <w:t>-2</w:t>
                    </w:r>
                    <w:r>
                      <w:rPr>
                        <w:rFonts w:ascii="Arial" w:hAnsi="Arial"/>
                        <w:sz w:val="18"/>
                        <w:szCs w:val="18"/>
                      </w:rPr>
                      <w:t xml:space="preserve">5 </w:t>
                    </w:r>
                    <w:r w:rsidRPr="00A01209">
                      <w:rPr>
                        <w:rFonts w:ascii="Arial" w:hAnsi="Arial"/>
                        <w:sz w:val="18"/>
                        <w:szCs w:val="18"/>
                      </w:rPr>
                      <w:t>|</w:t>
                    </w:r>
                    <w:r>
                      <w:rPr>
                        <w:rFonts w:ascii="Arial" w:hAnsi="Arial"/>
                        <w:sz w:val="18"/>
                        <w:szCs w:val="18"/>
                      </w:rPr>
                      <w:t xml:space="preserve"> </w:t>
                    </w:r>
                    <w:r w:rsidRPr="00A01209">
                      <w:rPr>
                        <w:rFonts w:ascii="Arial" w:hAnsi="Arial"/>
                        <w:sz w:val="18"/>
                        <w:szCs w:val="18"/>
                      </w:rPr>
                      <w:t>Portfolio Budget Statements</w:t>
                    </w:r>
                  </w:p>
                  <w:p w14:paraId="5BD735C9" w14:textId="77777777" w:rsidR="00CE3B2C" w:rsidRPr="006275F9" w:rsidRDefault="00CE3B2C" w:rsidP="00F86C16">
                    <w:pPr>
                      <w:pStyle w:val="Header"/>
                      <w:spacing w:before="0"/>
                      <w:rPr>
                        <w:rFonts w:ascii="Arial" w:hAnsi="Arial"/>
                        <w:i/>
                        <w:szCs w:val="20"/>
                      </w:rPr>
                    </w:pPr>
                  </w:p>
                </w:txbxContent>
              </v:textbox>
              <w10:wrap anchorx="page" anchory="page"/>
            </v:rect>
          </w:pict>
        </mc:Fallback>
      </mc:AlternateContent>
    </w:r>
    <w:r>
      <w:rPr>
        <w:noProof/>
        <w:lang w:val="en-AU"/>
      </w:rPr>
      <mc:AlternateContent>
        <mc:Choice Requires="wps">
          <w:drawing>
            <wp:anchor distT="0" distB="0" distL="114300" distR="114300" simplePos="0" relativeHeight="251651072" behindDoc="0" locked="0" layoutInCell="0" allowOverlap="1" wp14:anchorId="655DD81B" wp14:editId="5C3860F1">
              <wp:simplePos x="0" y="0"/>
              <wp:positionH relativeFrom="page">
                <wp:posOffset>358140</wp:posOffset>
              </wp:positionH>
              <wp:positionV relativeFrom="page">
                <wp:posOffset>1181100</wp:posOffset>
              </wp:positionV>
              <wp:extent cx="546735" cy="2143125"/>
              <wp:effectExtent l="0" t="0" r="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 cy="2143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D54F00" w14:textId="0A47553D" w:rsidR="00CE3B2C" w:rsidRPr="006275F9" w:rsidRDefault="00CE3B2C" w:rsidP="004B6BEA">
                          <w:pPr>
                            <w:pStyle w:val="Footer"/>
                            <w:spacing w:after="0"/>
                            <w:rPr>
                              <w:rFonts w:cs="Times New Roman"/>
                              <w:szCs w:val="20"/>
                            </w:rPr>
                          </w:pPr>
                          <w:r w:rsidRPr="00787DB2">
                            <w:rPr>
                              <w:rStyle w:val="PageNumber"/>
                              <w:rFonts w:ascii="Arial" w:hAnsi="Arial"/>
                              <w:b/>
                              <w:sz w:val="18"/>
                              <w:szCs w:val="18"/>
                            </w:rPr>
                            <w:t xml:space="preserve">Page </w:t>
                          </w:r>
                          <w:r w:rsidRPr="00787DB2">
                            <w:rPr>
                              <w:rStyle w:val="PageNumber"/>
                              <w:rFonts w:ascii="Arial" w:hAnsi="Arial"/>
                              <w:b/>
                              <w:sz w:val="18"/>
                              <w:szCs w:val="18"/>
                            </w:rPr>
                            <w:fldChar w:fldCharType="begin"/>
                          </w:r>
                          <w:r w:rsidRPr="00787DB2">
                            <w:rPr>
                              <w:rStyle w:val="PageNumber"/>
                              <w:rFonts w:ascii="Arial" w:hAnsi="Arial"/>
                              <w:b/>
                              <w:sz w:val="18"/>
                              <w:szCs w:val="18"/>
                            </w:rPr>
                            <w:instrText xml:space="preserve">PAGE  </w:instrText>
                          </w:r>
                          <w:r w:rsidRPr="00787DB2">
                            <w:rPr>
                              <w:rStyle w:val="PageNumber"/>
                              <w:rFonts w:ascii="Arial" w:hAnsi="Arial"/>
                              <w:b/>
                              <w:sz w:val="18"/>
                              <w:szCs w:val="18"/>
                            </w:rPr>
                            <w:fldChar w:fldCharType="separate"/>
                          </w:r>
                          <w:r>
                            <w:rPr>
                              <w:rStyle w:val="PageNumber"/>
                              <w:rFonts w:ascii="Arial" w:hAnsi="Arial"/>
                              <w:b/>
                              <w:noProof/>
                              <w:sz w:val="18"/>
                              <w:szCs w:val="18"/>
                            </w:rPr>
                            <w:t>114</w:t>
                          </w:r>
                          <w:r w:rsidRPr="00787DB2">
                            <w:rPr>
                              <w:rStyle w:val="PageNumber"/>
                              <w:rFonts w:ascii="Arial" w:hAnsi="Arial"/>
                              <w:b/>
                              <w:sz w:val="18"/>
                              <w:szCs w:val="18"/>
                            </w:rPr>
                            <w:fldChar w:fldCharType="end"/>
                          </w:r>
                          <w:r>
                            <w:rPr>
                              <w:rStyle w:val="PageNumber"/>
                              <w:rFonts w:ascii="Arial" w:hAnsi="Arial"/>
                              <w:b/>
                              <w:sz w:val="18"/>
                              <w:szCs w:val="18"/>
                            </w:rPr>
                            <w:t xml:space="preserve"> |</w:t>
                          </w:r>
                          <w:r w:rsidRPr="004268EE">
                            <w:rPr>
                              <w:rStyle w:val="PageNumber"/>
                              <w:rFonts w:ascii="Arial" w:hAnsi="Arial"/>
                              <w:sz w:val="18"/>
                              <w:szCs w:val="18"/>
                            </w:rPr>
                            <w:t xml:space="preserve"> </w:t>
                          </w:r>
                          <w:r>
                            <w:rPr>
                              <w:rStyle w:val="PageNumber"/>
                              <w:rFonts w:ascii="Arial" w:hAnsi="Arial"/>
                              <w:sz w:val="18"/>
                              <w:szCs w:val="18"/>
                            </w:rPr>
                            <w:t>Defence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DD81B" id="Rectangle 26" o:spid="_x0000_s1105" style="position:absolute;margin-left:28.2pt;margin-top:93pt;width:43.05pt;height:168.7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" o:allowincell="f" stroked="f">
              <v:textbox style="layout-flow:vertical">
                <w:txbxContent>
                  <w:p w14:paraId="67D54F00" w14:textId="0A47553D" w:rsidR="00CE3B2C" w:rsidRPr="006275F9" w:rsidRDefault="00CE3B2C" w:rsidP="004B6BEA">
                    <w:pPr>
                      <w:pStyle w:val="Footer"/>
                      <w:spacing w:after="0"/>
                      <w:rPr>
                        <w:rFonts w:cs="Times New Roman"/>
                        <w:szCs w:val="20"/>
                      </w:rPr>
                    </w:pPr>
                    <w:r w:rsidRPr="00787DB2">
                      <w:rPr>
                        <w:rStyle w:val="PageNumber"/>
                        <w:rFonts w:ascii="Arial" w:hAnsi="Arial"/>
                        <w:b/>
                        <w:sz w:val="18"/>
                        <w:szCs w:val="18"/>
                      </w:rPr>
                      <w:t xml:space="preserve">Page </w:t>
                    </w:r>
                    <w:r w:rsidRPr="00787DB2">
                      <w:rPr>
                        <w:rStyle w:val="PageNumber"/>
                        <w:rFonts w:ascii="Arial" w:hAnsi="Arial"/>
                        <w:b/>
                        <w:sz w:val="18"/>
                        <w:szCs w:val="18"/>
                      </w:rPr>
                      <w:fldChar w:fldCharType="begin"/>
                    </w:r>
                    <w:r w:rsidRPr="00787DB2">
                      <w:rPr>
                        <w:rStyle w:val="PageNumber"/>
                        <w:rFonts w:ascii="Arial" w:hAnsi="Arial"/>
                        <w:b/>
                        <w:sz w:val="18"/>
                        <w:szCs w:val="18"/>
                      </w:rPr>
                      <w:instrText xml:space="preserve">PAGE  </w:instrText>
                    </w:r>
                    <w:r w:rsidRPr="00787DB2">
                      <w:rPr>
                        <w:rStyle w:val="PageNumber"/>
                        <w:rFonts w:ascii="Arial" w:hAnsi="Arial"/>
                        <w:b/>
                        <w:sz w:val="18"/>
                        <w:szCs w:val="18"/>
                      </w:rPr>
                      <w:fldChar w:fldCharType="separate"/>
                    </w:r>
                    <w:r>
                      <w:rPr>
                        <w:rStyle w:val="PageNumber"/>
                        <w:rFonts w:ascii="Arial" w:hAnsi="Arial"/>
                        <w:b/>
                        <w:noProof/>
                        <w:sz w:val="18"/>
                        <w:szCs w:val="18"/>
                      </w:rPr>
                      <w:t>114</w:t>
                    </w:r>
                    <w:r w:rsidRPr="00787DB2">
                      <w:rPr>
                        <w:rStyle w:val="PageNumber"/>
                        <w:rFonts w:ascii="Arial" w:hAnsi="Arial"/>
                        <w:b/>
                        <w:sz w:val="18"/>
                        <w:szCs w:val="18"/>
                      </w:rPr>
                      <w:fldChar w:fldCharType="end"/>
                    </w:r>
                    <w:r>
                      <w:rPr>
                        <w:rStyle w:val="PageNumber"/>
                        <w:rFonts w:ascii="Arial" w:hAnsi="Arial"/>
                        <w:b/>
                        <w:sz w:val="18"/>
                        <w:szCs w:val="18"/>
                      </w:rPr>
                      <w:t xml:space="preserve"> |</w:t>
                    </w:r>
                    <w:r w:rsidRPr="004268EE">
                      <w:rPr>
                        <w:rStyle w:val="PageNumber"/>
                        <w:rFonts w:ascii="Arial" w:hAnsi="Arial"/>
                        <w:sz w:val="18"/>
                        <w:szCs w:val="18"/>
                      </w:rPr>
                      <w:t xml:space="preserve"> </w:t>
                    </w:r>
                    <w:r>
                      <w:rPr>
                        <w:rStyle w:val="PageNumber"/>
                        <w:rFonts w:ascii="Arial" w:hAnsi="Arial"/>
                        <w:sz w:val="18"/>
                        <w:szCs w:val="18"/>
                      </w:rPr>
                      <w:t>Defence</w:t>
                    </w:r>
                  </w:p>
                </w:txbxContent>
              </v:textbox>
              <w10:wrap anchorx="page" anchory="page"/>
            </v:rect>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B60EA" w14:textId="77777777" w:rsidR="00CE3B2C" w:rsidRPr="008D73F7" w:rsidRDefault="00CE3B2C" w:rsidP="001C2D62">
    <w:pPr>
      <w:pStyle w:val="Header"/>
      <w:jc w:val="right"/>
      <w:rPr>
        <w:rFonts w:ascii="Arial" w:hAnsi="Arial"/>
        <w:i/>
      </w:rPr>
    </w:pPr>
    <w:r>
      <w:rPr>
        <w:noProof/>
        <w:lang w:val="en-AU"/>
      </w:rPr>
      <mc:AlternateContent>
        <mc:Choice Requires="wps">
          <w:drawing>
            <wp:anchor distT="0" distB="0" distL="114300" distR="114300" simplePos="0" relativeHeight="251654144" behindDoc="0" locked="0" layoutInCell="0" allowOverlap="1" wp14:anchorId="79EBF548" wp14:editId="6C2DD566">
              <wp:simplePos x="0" y="0"/>
              <wp:positionH relativeFrom="page">
                <wp:posOffset>9820275</wp:posOffset>
              </wp:positionH>
              <wp:positionV relativeFrom="page">
                <wp:posOffset>3683635</wp:posOffset>
              </wp:positionV>
              <wp:extent cx="457200" cy="3180715"/>
              <wp:effectExtent l="0" t="0" r="0" b="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80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7C8784" w14:textId="7C989DED" w:rsidR="00CE3B2C" w:rsidRPr="004F1076" w:rsidRDefault="00CE3B2C">
                          <w:pPr>
                            <w:jc w:val="center"/>
                            <w:rPr>
                              <w:rFonts w:ascii="Arial" w:hAnsi="Arial"/>
                              <w:sz w:val="18"/>
                              <w:szCs w:val="18"/>
                            </w:rPr>
                          </w:pPr>
                          <w:r w:rsidRPr="00A01209">
                            <w:rPr>
                              <w:rFonts w:ascii="Arial" w:hAnsi="Arial"/>
                              <w:sz w:val="18"/>
                              <w:szCs w:val="18"/>
                            </w:rPr>
                            <w:t>Portfolio Budget Statements |</w:t>
                          </w:r>
                          <w:r>
                            <w:rPr>
                              <w:rFonts w:ascii="Arial" w:hAnsi="Arial"/>
                              <w:sz w:val="18"/>
                              <w:szCs w:val="18"/>
                            </w:rPr>
                            <w:t xml:space="preserve"> </w:t>
                          </w:r>
                          <w:r w:rsidRPr="00A01209">
                            <w:rPr>
                              <w:rFonts w:ascii="Arial" w:hAnsi="Arial"/>
                              <w:b/>
                              <w:sz w:val="18"/>
                              <w:szCs w:val="18"/>
                            </w:rPr>
                            <w:t>Budget</w:t>
                          </w:r>
                          <w:r w:rsidRPr="00A01209">
                            <w:rPr>
                              <w:rFonts w:ascii="Arial" w:hAnsi="Arial"/>
                              <w:sz w:val="18"/>
                              <w:szCs w:val="18"/>
                            </w:rPr>
                            <w:t xml:space="preserve"> </w:t>
                          </w:r>
                          <w:r>
                            <w:rPr>
                              <w:rFonts w:ascii="Arial" w:hAnsi="Arial"/>
                              <w:sz w:val="18"/>
                              <w:szCs w:val="18"/>
                            </w:rPr>
                            <w:t>2025-26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BF548" id="Rectangle 50" o:spid="_x0000_s1106" style="position:absolute;left:0;text-align:left;margin-left:773.25pt;margin-top:290.05pt;width:36pt;height:250.4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" o:allowincell="f" stroked="f">
              <v:textbox style="layout-flow:vertical">
                <w:txbxContent>
                  <w:p w14:paraId="4C7C8784" w14:textId="7C989DED" w:rsidR="00CE3B2C" w:rsidRPr="004F1076" w:rsidRDefault="00CE3B2C">
                    <w:pPr>
                      <w:jc w:val="center"/>
                      <w:rPr>
                        <w:rFonts w:ascii="Arial" w:hAnsi="Arial"/>
                        <w:sz w:val="18"/>
                        <w:szCs w:val="18"/>
                      </w:rPr>
                    </w:pPr>
                    <w:r w:rsidRPr="00A01209">
                      <w:rPr>
                        <w:rFonts w:ascii="Arial" w:hAnsi="Arial"/>
                        <w:sz w:val="18"/>
                        <w:szCs w:val="18"/>
                      </w:rPr>
                      <w:t>Portfolio Budget Statements |</w:t>
                    </w:r>
                    <w:r>
                      <w:rPr>
                        <w:rFonts w:ascii="Arial" w:hAnsi="Arial"/>
                        <w:sz w:val="18"/>
                        <w:szCs w:val="18"/>
                      </w:rPr>
                      <w:t xml:space="preserve"> </w:t>
                    </w:r>
                    <w:r w:rsidRPr="00A01209">
                      <w:rPr>
                        <w:rFonts w:ascii="Arial" w:hAnsi="Arial"/>
                        <w:b/>
                        <w:sz w:val="18"/>
                        <w:szCs w:val="18"/>
                      </w:rPr>
                      <w:t>Budget</w:t>
                    </w:r>
                    <w:r w:rsidRPr="00A01209">
                      <w:rPr>
                        <w:rFonts w:ascii="Arial" w:hAnsi="Arial"/>
                        <w:sz w:val="18"/>
                        <w:szCs w:val="18"/>
                      </w:rPr>
                      <w:t xml:space="preserve"> </w:t>
                    </w:r>
                    <w:r>
                      <w:rPr>
                        <w:rFonts w:ascii="Arial" w:hAnsi="Arial"/>
                        <w:sz w:val="18"/>
                        <w:szCs w:val="18"/>
                      </w:rPr>
                      <w:t>2025-26</w:t>
                    </w:r>
                  </w:p>
                </w:txbxContent>
              </v:textbox>
              <w10:wrap anchorx="page" anchory="page"/>
            </v:rect>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27E14" w14:textId="77777777" w:rsidR="00CE3B2C" w:rsidRPr="00B478A6" w:rsidRDefault="00CE3B2C" w:rsidP="00B53319">
    <w:pPr>
      <w:pStyle w:val="Header"/>
      <w:rPr>
        <w:rFonts w:ascii="Arial" w:hAnsi="Arial"/>
        <w:sz w:val="18"/>
        <w:szCs w:val="18"/>
      </w:rPr>
    </w:pPr>
    <w:r w:rsidRPr="00A01209">
      <w:rPr>
        <w:rFonts w:ascii="Arial" w:hAnsi="Arial"/>
        <w:b/>
        <w:sz w:val="18"/>
        <w:szCs w:val="18"/>
      </w:rPr>
      <w:t>Budget</w:t>
    </w:r>
    <w:r w:rsidRPr="00A01209">
      <w:rPr>
        <w:rFonts w:ascii="Arial" w:hAnsi="Arial"/>
        <w:sz w:val="18"/>
        <w:szCs w:val="18"/>
      </w:rPr>
      <w:t xml:space="preserve"> 202</w:t>
    </w:r>
    <w:r>
      <w:rPr>
        <w:rFonts w:ascii="Arial" w:hAnsi="Arial"/>
        <w:sz w:val="18"/>
        <w:szCs w:val="18"/>
      </w:rPr>
      <w:t>5</w:t>
    </w:r>
    <w:r w:rsidRPr="00A01209">
      <w:rPr>
        <w:rFonts w:ascii="Arial" w:hAnsi="Arial"/>
        <w:sz w:val="18"/>
        <w:szCs w:val="18"/>
      </w:rPr>
      <w:t>-2</w:t>
    </w:r>
    <w:r>
      <w:rPr>
        <w:rFonts w:ascii="Arial" w:hAnsi="Arial"/>
        <w:sz w:val="18"/>
        <w:szCs w:val="18"/>
      </w:rPr>
      <w:t>6</w:t>
    </w:r>
    <w:r w:rsidRPr="00A01209">
      <w:rPr>
        <w:rFonts w:ascii="Arial" w:hAnsi="Arial"/>
        <w:sz w:val="18"/>
        <w:szCs w:val="18"/>
      </w:rPr>
      <w:t xml:space="preserve"> | Portfolio Budget Statements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3FF2C" w14:textId="77777777" w:rsidR="00CE3B2C" w:rsidRPr="00356250" w:rsidRDefault="00CE3B2C" w:rsidP="00356250">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820FF" w14:textId="77777777" w:rsidR="00CE3B2C" w:rsidRPr="000570FA" w:rsidRDefault="00CE3B2C" w:rsidP="00B53319">
    <w:pPr>
      <w:pStyle w:val="Header"/>
      <w:jc w:val="right"/>
      <w:rPr>
        <w:rFonts w:ascii="Arial" w:hAnsi="Arial"/>
        <w:sz w:val="18"/>
        <w:szCs w:val="18"/>
      </w:rPr>
    </w:pPr>
    <w:r w:rsidRPr="00A01209">
      <w:rPr>
        <w:rFonts w:ascii="Arial" w:hAnsi="Arial"/>
        <w:sz w:val="18"/>
        <w:szCs w:val="18"/>
      </w:rPr>
      <w:t>Portfolio Budget Statements |</w:t>
    </w:r>
    <w:r>
      <w:rPr>
        <w:rFonts w:ascii="Arial" w:hAnsi="Arial"/>
        <w:sz w:val="18"/>
        <w:szCs w:val="18"/>
      </w:rPr>
      <w:t xml:space="preserve"> </w:t>
    </w:r>
    <w:r w:rsidRPr="00A01209">
      <w:rPr>
        <w:rFonts w:ascii="Arial" w:hAnsi="Arial"/>
        <w:b/>
        <w:sz w:val="18"/>
        <w:szCs w:val="18"/>
      </w:rPr>
      <w:t>Budget</w:t>
    </w:r>
    <w:r w:rsidRPr="00A01209">
      <w:rPr>
        <w:rFonts w:ascii="Arial" w:hAnsi="Arial"/>
        <w:sz w:val="18"/>
        <w:szCs w:val="18"/>
      </w:rPr>
      <w:t xml:space="preserve"> 202</w:t>
    </w:r>
    <w:r>
      <w:rPr>
        <w:rFonts w:ascii="Arial" w:hAnsi="Arial"/>
        <w:sz w:val="18"/>
        <w:szCs w:val="18"/>
      </w:rPr>
      <w:t>5</w:t>
    </w:r>
    <w:r w:rsidRPr="00A01209">
      <w:rPr>
        <w:rFonts w:ascii="Arial" w:hAnsi="Arial"/>
        <w:sz w:val="18"/>
        <w:szCs w:val="18"/>
      </w:rPr>
      <w:t>-2</w:t>
    </w:r>
    <w:r>
      <w:rPr>
        <w:rFonts w:ascii="Arial" w:hAnsi="Arial"/>
        <w:sz w:val="18"/>
        <w:szCs w:val="18"/>
      </w:rPr>
      <w:t>6</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FB34C" w14:textId="77777777" w:rsidR="00CE3B2C" w:rsidRPr="00740A81" w:rsidRDefault="00CE3B2C" w:rsidP="00740A81">
    <w:pPr>
      <w:pStyle w:val="Header"/>
    </w:pPr>
    <w:r>
      <w:rPr>
        <w:noProof/>
        <w:lang w:val="en-AU"/>
      </w:rPr>
      <mc:AlternateContent>
        <mc:Choice Requires="wps">
          <w:drawing>
            <wp:anchor distT="0" distB="0" distL="114300" distR="114300" simplePos="0" relativeHeight="251656192" behindDoc="0" locked="0" layoutInCell="0" allowOverlap="1" wp14:anchorId="4F015954" wp14:editId="01CCCE5A">
              <wp:simplePos x="0" y="0"/>
              <wp:positionH relativeFrom="page">
                <wp:posOffset>9624060</wp:posOffset>
              </wp:positionH>
              <wp:positionV relativeFrom="page">
                <wp:posOffset>1170940</wp:posOffset>
              </wp:positionV>
              <wp:extent cx="657225" cy="4144010"/>
              <wp:effectExtent l="0" t="0" r="0" b="0"/>
              <wp:wrapNone/>
              <wp:docPr id="8558" name="Rectangle 8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414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9E1D63" w14:textId="56281165" w:rsidR="00CE3B2C" w:rsidRPr="00B478A6" w:rsidRDefault="00CE3B2C" w:rsidP="00382629">
                          <w:pPr>
                            <w:pStyle w:val="Header"/>
                            <w:rPr>
                              <w:rFonts w:ascii="Arial" w:hAnsi="Arial"/>
                              <w:sz w:val="18"/>
                              <w:szCs w:val="18"/>
                            </w:rPr>
                          </w:pPr>
                          <w:r w:rsidRPr="00A01209">
                            <w:rPr>
                              <w:rFonts w:ascii="Arial" w:hAnsi="Arial"/>
                              <w:b/>
                              <w:sz w:val="18"/>
                              <w:szCs w:val="18"/>
                            </w:rPr>
                            <w:t>Budget</w:t>
                          </w:r>
                          <w:r>
                            <w:rPr>
                              <w:rFonts w:ascii="Arial" w:hAnsi="Arial"/>
                              <w:sz w:val="18"/>
                              <w:szCs w:val="18"/>
                            </w:rPr>
                            <w:t xml:space="preserve"> 2025-26</w:t>
                          </w:r>
                          <w:r w:rsidRPr="00A01209">
                            <w:rPr>
                              <w:rFonts w:ascii="Arial" w:hAnsi="Arial"/>
                              <w:sz w:val="18"/>
                              <w:szCs w:val="18"/>
                            </w:rPr>
                            <w:t xml:space="preserve"> | Portfolio Budget Statements</w:t>
                          </w:r>
                        </w:p>
                        <w:p w14:paraId="3EDA240D" w14:textId="77777777" w:rsidR="00CE3B2C" w:rsidRPr="000570FA" w:rsidRDefault="00CE3B2C" w:rsidP="001309C9">
                          <w:pPr>
                            <w:jc w:val="center"/>
                            <w:rPr>
                              <w:rFonts w:ascii="Arial" w:hAnsi="Arial"/>
                              <w:sz w:val="18"/>
                              <w:szCs w:val="18"/>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15954" id="Rectangle 8558" o:spid="_x0000_s1108" style="position:absolute;margin-left:757.8pt;margin-top:92.2pt;width:51.75pt;height:326.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" o:allowincell="f" stroked="f">
              <v:textbox style="layout-flow:vertical">
                <w:txbxContent>
                  <w:p w14:paraId="1A9E1D63" w14:textId="56281165" w:rsidR="00CE3B2C" w:rsidRPr="00B478A6" w:rsidRDefault="00CE3B2C" w:rsidP="00382629">
                    <w:pPr>
                      <w:pStyle w:val="Header"/>
                      <w:rPr>
                        <w:rFonts w:ascii="Arial" w:hAnsi="Arial"/>
                        <w:sz w:val="18"/>
                        <w:szCs w:val="18"/>
                      </w:rPr>
                    </w:pPr>
                    <w:r w:rsidRPr="00A01209">
                      <w:rPr>
                        <w:rFonts w:ascii="Arial" w:hAnsi="Arial"/>
                        <w:b/>
                        <w:sz w:val="18"/>
                        <w:szCs w:val="18"/>
                      </w:rPr>
                      <w:t>Budget</w:t>
                    </w:r>
                    <w:r>
                      <w:rPr>
                        <w:rFonts w:ascii="Arial" w:hAnsi="Arial"/>
                        <w:sz w:val="18"/>
                        <w:szCs w:val="18"/>
                      </w:rPr>
                      <w:t xml:space="preserve"> 2025-26</w:t>
                    </w:r>
                    <w:r w:rsidRPr="00A01209">
                      <w:rPr>
                        <w:rFonts w:ascii="Arial" w:hAnsi="Arial"/>
                        <w:sz w:val="18"/>
                        <w:szCs w:val="18"/>
                      </w:rPr>
                      <w:t xml:space="preserve"> | Portfolio Budget Statements</w:t>
                    </w:r>
                  </w:p>
                  <w:p w14:paraId="3EDA240D" w14:textId="77777777" w:rsidR="00CE3B2C" w:rsidRPr="000570FA" w:rsidRDefault="00CE3B2C" w:rsidP="001309C9">
                    <w:pPr>
                      <w:jc w:val="center"/>
                      <w:rPr>
                        <w:rFonts w:ascii="Arial" w:hAnsi="Arial"/>
                        <w:sz w:val="18"/>
                        <w:szCs w:val="18"/>
                      </w:rPr>
                    </w:pPr>
                  </w:p>
                </w:txbxContent>
              </v:textbox>
              <w10:wrap anchorx="page" anchory="page"/>
            </v:rect>
          </w:pict>
        </mc:Fallback>
      </mc:AlternateContent>
    </w:r>
    <w:r>
      <w:rPr>
        <w:noProof/>
        <w:lang w:val="en-AU"/>
      </w:rPr>
      <mc:AlternateContent>
        <mc:Choice Requires="wps">
          <w:drawing>
            <wp:anchor distT="0" distB="0" distL="114300" distR="114300" simplePos="0" relativeHeight="251657216" behindDoc="0" locked="0" layoutInCell="0" allowOverlap="1" wp14:anchorId="2914F637" wp14:editId="24365335">
              <wp:simplePos x="0" y="0"/>
              <wp:positionH relativeFrom="page">
                <wp:posOffset>352425</wp:posOffset>
              </wp:positionH>
              <wp:positionV relativeFrom="page">
                <wp:posOffset>1170940</wp:posOffset>
              </wp:positionV>
              <wp:extent cx="457200" cy="1686560"/>
              <wp:effectExtent l="0" t="0" r="0" b="0"/>
              <wp:wrapNone/>
              <wp:docPr id="8563" name="Rectangle 8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686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9CA8E7" w14:textId="54160328" w:rsidR="00CE3B2C" w:rsidRPr="00787DB2" w:rsidRDefault="00CE3B2C" w:rsidP="00382629">
                          <w:pPr>
                            <w:pStyle w:val="Footer"/>
                            <w:rPr>
                              <w:rStyle w:val="PageNumber"/>
                              <w:rFonts w:ascii="Arial" w:hAnsi="Arial"/>
                              <w:b/>
                              <w:sz w:val="18"/>
                              <w:szCs w:val="18"/>
                            </w:rPr>
                          </w:pPr>
                          <w:r w:rsidRPr="009735EE">
                            <w:rPr>
                              <w:rStyle w:val="PageNumber"/>
                              <w:rFonts w:ascii="Arial" w:hAnsi="Arial"/>
                              <w:b/>
                              <w:sz w:val="18"/>
                              <w:szCs w:val="18"/>
                            </w:rPr>
                            <w:t xml:space="preserve">Page </w:t>
                          </w:r>
                          <w:r w:rsidRPr="009735EE">
                            <w:rPr>
                              <w:rStyle w:val="PageNumber"/>
                              <w:rFonts w:ascii="Arial" w:hAnsi="Arial"/>
                              <w:b/>
                              <w:sz w:val="18"/>
                              <w:szCs w:val="18"/>
                            </w:rPr>
                            <w:fldChar w:fldCharType="begin"/>
                          </w:r>
                          <w:r w:rsidRPr="009735EE">
                            <w:rPr>
                              <w:rStyle w:val="PageNumber"/>
                              <w:rFonts w:ascii="Arial" w:hAnsi="Arial"/>
                              <w:b/>
                              <w:sz w:val="18"/>
                              <w:szCs w:val="18"/>
                            </w:rPr>
                            <w:instrText xml:space="preserve">PAGE  </w:instrText>
                          </w:r>
                          <w:r w:rsidRPr="009735EE">
                            <w:rPr>
                              <w:rStyle w:val="PageNumber"/>
                              <w:rFonts w:ascii="Arial" w:hAnsi="Arial"/>
                              <w:b/>
                              <w:sz w:val="18"/>
                              <w:szCs w:val="18"/>
                            </w:rPr>
                            <w:fldChar w:fldCharType="separate"/>
                          </w:r>
                          <w:r w:rsidR="00B72054">
                            <w:rPr>
                              <w:rStyle w:val="PageNumber"/>
                              <w:rFonts w:ascii="Arial" w:hAnsi="Arial"/>
                              <w:b/>
                              <w:noProof/>
                              <w:sz w:val="18"/>
                              <w:szCs w:val="18"/>
                            </w:rPr>
                            <w:t>142</w:t>
                          </w:r>
                          <w:r w:rsidRPr="009735EE">
                            <w:rPr>
                              <w:rStyle w:val="PageNumber"/>
                              <w:rFonts w:ascii="Arial" w:hAnsi="Arial"/>
                              <w:b/>
                              <w:sz w:val="18"/>
                              <w:szCs w:val="18"/>
                            </w:rPr>
                            <w:fldChar w:fldCharType="end"/>
                          </w:r>
                          <w:r w:rsidRPr="009735EE">
                            <w:rPr>
                              <w:rStyle w:val="PageNumber"/>
                              <w:rFonts w:ascii="Arial" w:hAnsi="Arial"/>
                              <w:b/>
                              <w:sz w:val="18"/>
                              <w:szCs w:val="18"/>
                            </w:rPr>
                            <w:t xml:space="preserve"> |</w:t>
                          </w:r>
                          <w:r w:rsidRPr="009735EE">
                            <w:rPr>
                              <w:rStyle w:val="PageNumber"/>
                              <w:rFonts w:ascii="Arial" w:hAnsi="Arial"/>
                              <w:sz w:val="18"/>
                              <w:szCs w:val="18"/>
                            </w:rPr>
                            <w:t xml:space="preserve"> Defence</w:t>
                          </w:r>
                        </w:p>
                        <w:p w14:paraId="75087F74" w14:textId="77777777" w:rsidR="00CE3B2C" w:rsidRPr="006275F9" w:rsidRDefault="00CE3B2C" w:rsidP="001309C9">
                          <w:pPr>
                            <w:jc w:val="center"/>
                            <w:rPr>
                              <w:rFonts w:cs="Times New Roman"/>
                              <w:szCs w:val="20"/>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4F637" id="Rectangle 8563" o:spid="_x0000_s1109" style="position:absolute;margin-left:27.75pt;margin-top:92.2pt;width:36pt;height:132.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" o:allowincell="f" stroked="f">
              <v:textbox style="layout-flow:vertical">
                <w:txbxContent>
                  <w:p w14:paraId="609CA8E7" w14:textId="54160328" w:rsidR="00CE3B2C" w:rsidRPr="00787DB2" w:rsidRDefault="00CE3B2C" w:rsidP="00382629">
                    <w:pPr>
                      <w:pStyle w:val="Footer"/>
                      <w:rPr>
                        <w:rStyle w:val="PageNumber"/>
                        <w:rFonts w:ascii="Arial" w:hAnsi="Arial"/>
                        <w:b/>
                        <w:sz w:val="18"/>
                        <w:szCs w:val="18"/>
                      </w:rPr>
                    </w:pPr>
                    <w:r w:rsidRPr="009735EE">
                      <w:rPr>
                        <w:rStyle w:val="PageNumber"/>
                        <w:rFonts w:ascii="Arial" w:hAnsi="Arial"/>
                        <w:b/>
                        <w:sz w:val="18"/>
                        <w:szCs w:val="18"/>
                      </w:rPr>
                      <w:t xml:space="preserve">Page </w:t>
                    </w:r>
                    <w:r w:rsidRPr="009735EE">
                      <w:rPr>
                        <w:rStyle w:val="PageNumber"/>
                        <w:rFonts w:ascii="Arial" w:hAnsi="Arial"/>
                        <w:b/>
                        <w:sz w:val="18"/>
                        <w:szCs w:val="18"/>
                      </w:rPr>
                      <w:fldChar w:fldCharType="begin"/>
                    </w:r>
                    <w:r w:rsidRPr="009735EE">
                      <w:rPr>
                        <w:rStyle w:val="PageNumber"/>
                        <w:rFonts w:ascii="Arial" w:hAnsi="Arial"/>
                        <w:b/>
                        <w:sz w:val="18"/>
                        <w:szCs w:val="18"/>
                      </w:rPr>
                      <w:instrText xml:space="preserve">PAGE  </w:instrText>
                    </w:r>
                    <w:r w:rsidRPr="009735EE">
                      <w:rPr>
                        <w:rStyle w:val="PageNumber"/>
                        <w:rFonts w:ascii="Arial" w:hAnsi="Arial"/>
                        <w:b/>
                        <w:sz w:val="18"/>
                        <w:szCs w:val="18"/>
                      </w:rPr>
                      <w:fldChar w:fldCharType="separate"/>
                    </w:r>
                    <w:r w:rsidR="00B72054">
                      <w:rPr>
                        <w:rStyle w:val="PageNumber"/>
                        <w:rFonts w:ascii="Arial" w:hAnsi="Arial"/>
                        <w:b/>
                        <w:noProof/>
                        <w:sz w:val="18"/>
                        <w:szCs w:val="18"/>
                      </w:rPr>
                      <w:t>142</w:t>
                    </w:r>
                    <w:r w:rsidRPr="009735EE">
                      <w:rPr>
                        <w:rStyle w:val="PageNumber"/>
                        <w:rFonts w:ascii="Arial" w:hAnsi="Arial"/>
                        <w:b/>
                        <w:sz w:val="18"/>
                        <w:szCs w:val="18"/>
                      </w:rPr>
                      <w:fldChar w:fldCharType="end"/>
                    </w:r>
                    <w:r w:rsidRPr="009735EE">
                      <w:rPr>
                        <w:rStyle w:val="PageNumber"/>
                        <w:rFonts w:ascii="Arial" w:hAnsi="Arial"/>
                        <w:b/>
                        <w:sz w:val="18"/>
                        <w:szCs w:val="18"/>
                      </w:rPr>
                      <w:t xml:space="preserve"> |</w:t>
                    </w:r>
                    <w:r w:rsidRPr="009735EE">
                      <w:rPr>
                        <w:rStyle w:val="PageNumber"/>
                        <w:rFonts w:ascii="Arial" w:hAnsi="Arial"/>
                        <w:sz w:val="18"/>
                        <w:szCs w:val="18"/>
                      </w:rPr>
                      <w:t xml:space="preserve"> Defence</w:t>
                    </w:r>
                  </w:p>
                  <w:p w14:paraId="75087F74" w14:textId="77777777" w:rsidR="00CE3B2C" w:rsidRPr="006275F9" w:rsidRDefault="00CE3B2C" w:rsidP="001309C9">
                    <w:pPr>
                      <w:jc w:val="center"/>
                      <w:rPr>
                        <w:rFonts w:cs="Times New Roman"/>
                        <w:szCs w:val="20"/>
                      </w:rPr>
                    </w:pPr>
                  </w:p>
                </w:txbxContent>
              </v:textbox>
              <w10:wrap anchorx="page" anchory="page"/>
            </v:rect>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19B1C" w14:textId="77777777" w:rsidR="00CE3B2C" w:rsidRPr="00740A81" w:rsidRDefault="00CE3B2C" w:rsidP="00D40245">
    <w:pPr>
      <w:pStyle w:val="Header"/>
      <w:jc w:val="right"/>
    </w:pPr>
    <w:r>
      <w:rPr>
        <w:noProof/>
        <w:lang w:val="en-AU"/>
      </w:rPr>
      <mc:AlternateContent>
        <mc:Choice Requires="wps">
          <w:drawing>
            <wp:anchor distT="0" distB="0" distL="114300" distR="114300" simplePos="0" relativeHeight="251658240" behindDoc="0" locked="0" layoutInCell="0" allowOverlap="1" wp14:anchorId="5322DDB6" wp14:editId="7BA07790">
              <wp:simplePos x="0" y="0"/>
              <wp:positionH relativeFrom="page">
                <wp:posOffset>9772650</wp:posOffset>
              </wp:positionH>
              <wp:positionV relativeFrom="page">
                <wp:posOffset>3424555</wp:posOffset>
              </wp:positionV>
              <wp:extent cx="514350" cy="3328670"/>
              <wp:effectExtent l="0" t="0" r="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328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776EC8" w14:textId="095BADD2" w:rsidR="00CE3B2C" w:rsidRPr="00A01209" w:rsidRDefault="00CE3B2C" w:rsidP="00382629">
                          <w:pPr>
                            <w:pStyle w:val="Header"/>
                            <w:jc w:val="right"/>
                            <w:rPr>
                              <w:rFonts w:ascii="Arial" w:hAnsi="Arial"/>
                              <w:sz w:val="18"/>
                              <w:szCs w:val="18"/>
                            </w:rPr>
                          </w:pPr>
                          <w:r w:rsidRPr="00A01209">
                            <w:rPr>
                              <w:rFonts w:ascii="Arial" w:hAnsi="Arial"/>
                              <w:sz w:val="18"/>
                              <w:szCs w:val="18"/>
                            </w:rPr>
                            <w:t xml:space="preserve">Portfolio Budget Statements | </w:t>
                          </w:r>
                          <w:r w:rsidRPr="00A01209">
                            <w:rPr>
                              <w:rFonts w:ascii="Arial" w:hAnsi="Arial"/>
                              <w:b/>
                              <w:sz w:val="18"/>
                              <w:szCs w:val="18"/>
                            </w:rPr>
                            <w:t>Budget</w:t>
                          </w:r>
                          <w:r w:rsidRPr="00A01209">
                            <w:rPr>
                              <w:rFonts w:ascii="Arial" w:hAnsi="Arial"/>
                              <w:sz w:val="18"/>
                              <w:szCs w:val="18"/>
                            </w:rPr>
                            <w:t xml:space="preserve"> </w:t>
                          </w:r>
                          <w:r>
                            <w:rPr>
                              <w:rFonts w:ascii="Arial" w:hAnsi="Arial"/>
                              <w:sz w:val="18"/>
                              <w:szCs w:val="18"/>
                            </w:rPr>
                            <w:t>2025-26</w:t>
                          </w:r>
                        </w:p>
                        <w:p w14:paraId="1AE1C952" w14:textId="77777777" w:rsidR="00CE3B2C" w:rsidRPr="008D73F7" w:rsidRDefault="00CE3B2C" w:rsidP="001309C9">
                          <w:pPr>
                            <w:pStyle w:val="Header"/>
                            <w:jc w:val="right"/>
                            <w:rPr>
                              <w:rFonts w:ascii="Arial" w:hAnsi="Arial"/>
                              <w:i/>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2DDB6" id="Rectangle 32" o:spid="_x0000_s1110" style="position:absolute;left:0;text-align:left;margin-left:769.5pt;margin-top:269.65pt;width:40.5pt;height:262.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" o:allowincell="f" stroked="f">
              <v:textbox style="layout-flow:vertical">
                <w:txbxContent>
                  <w:p w14:paraId="62776EC8" w14:textId="095BADD2" w:rsidR="00CE3B2C" w:rsidRPr="00A01209" w:rsidRDefault="00CE3B2C" w:rsidP="00382629">
                    <w:pPr>
                      <w:pStyle w:val="Header"/>
                      <w:jc w:val="right"/>
                      <w:rPr>
                        <w:rFonts w:ascii="Arial" w:hAnsi="Arial"/>
                        <w:sz w:val="18"/>
                        <w:szCs w:val="18"/>
                      </w:rPr>
                    </w:pPr>
                    <w:r w:rsidRPr="00A01209">
                      <w:rPr>
                        <w:rFonts w:ascii="Arial" w:hAnsi="Arial"/>
                        <w:sz w:val="18"/>
                        <w:szCs w:val="18"/>
                      </w:rPr>
                      <w:t xml:space="preserve">Portfolio Budget Statements | </w:t>
                    </w:r>
                    <w:r w:rsidRPr="00A01209">
                      <w:rPr>
                        <w:rFonts w:ascii="Arial" w:hAnsi="Arial"/>
                        <w:b/>
                        <w:sz w:val="18"/>
                        <w:szCs w:val="18"/>
                      </w:rPr>
                      <w:t>Budget</w:t>
                    </w:r>
                    <w:r w:rsidRPr="00A01209">
                      <w:rPr>
                        <w:rFonts w:ascii="Arial" w:hAnsi="Arial"/>
                        <w:sz w:val="18"/>
                        <w:szCs w:val="18"/>
                      </w:rPr>
                      <w:t xml:space="preserve"> </w:t>
                    </w:r>
                    <w:r>
                      <w:rPr>
                        <w:rFonts w:ascii="Arial" w:hAnsi="Arial"/>
                        <w:sz w:val="18"/>
                        <w:szCs w:val="18"/>
                      </w:rPr>
                      <w:t>2025-26</w:t>
                    </w:r>
                  </w:p>
                  <w:p w14:paraId="1AE1C952" w14:textId="77777777" w:rsidR="00CE3B2C" w:rsidRPr="008D73F7" w:rsidRDefault="00CE3B2C" w:rsidP="001309C9">
                    <w:pPr>
                      <w:pStyle w:val="Header"/>
                      <w:jc w:val="right"/>
                      <w:rPr>
                        <w:rFonts w:ascii="Arial" w:hAnsi="Arial"/>
                        <w:i/>
                      </w:rPr>
                    </w:pPr>
                  </w:p>
                </w:txbxContent>
              </v:textbox>
              <w10:wrap anchorx="page" anchory="page"/>
            </v:rect>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7D4D7" w14:textId="77777777" w:rsidR="00CE3B2C" w:rsidRPr="00B478A6" w:rsidRDefault="00CE3B2C" w:rsidP="00B53319">
    <w:pPr>
      <w:pStyle w:val="Header"/>
      <w:rPr>
        <w:rFonts w:ascii="Arial" w:hAnsi="Arial"/>
        <w:sz w:val="18"/>
        <w:szCs w:val="18"/>
      </w:rPr>
    </w:pPr>
    <w:r w:rsidRPr="00A01209">
      <w:rPr>
        <w:rFonts w:ascii="Arial" w:hAnsi="Arial"/>
        <w:b/>
        <w:sz w:val="18"/>
        <w:szCs w:val="18"/>
      </w:rPr>
      <w:t>Budget</w:t>
    </w:r>
    <w:r w:rsidRPr="00A01209">
      <w:rPr>
        <w:rFonts w:ascii="Arial" w:hAnsi="Arial"/>
        <w:sz w:val="18"/>
        <w:szCs w:val="18"/>
      </w:rPr>
      <w:t xml:space="preserve"> 202</w:t>
    </w:r>
    <w:r>
      <w:rPr>
        <w:rFonts w:ascii="Arial" w:hAnsi="Arial"/>
        <w:sz w:val="18"/>
        <w:szCs w:val="18"/>
      </w:rPr>
      <w:t>5</w:t>
    </w:r>
    <w:r w:rsidRPr="00A01209">
      <w:rPr>
        <w:rFonts w:ascii="Arial" w:hAnsi="Arial"/>
        <w:sz w:val="18"/>
        <w:szCs w:val="18"/>
      </w:rPr>
      <w:t>-2</w:t>
    </w:r>
    <w:r>
      <w:rPr>
        <w:rFonts w:ascii="Arial" w:hAnsi="Arial"/>
        <w:sz w:val="18"/>
        <w:szCs w:val="18"/>
      </w:rPr>
      <w:t>6</w:t>
    </w:r>
    <w:r w:rsidRPr="00A01209">
      <w:rPr>
        <w:rFonts w:ascii="Arial" w:hAnsi="Arial"/>
        <w:sz w:val="18"/>
        <w:szCs w:val="18"/>
      </w:rPr>
      <w:t xml:space="preserve"> | Portfolio Budget Statements</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2904F" w14:textId="77777777" w:rsidR="00CE3B2C" w:rsidRPr="00EA6645" w:rsidRDefault="00CE3B2C" w:rsidP="00B53319">
    <w:pPr>
      <w:pStyle w:val="Header"/>
      <w:jc w:val="right"/>
      <w:rPr>
        <w:rFonts w:ascii="Arial" w:hAnsi="Arial"/>
        <w:sz w:val="18"/>
        <w:szCs w:val="18"/>
      </w:rPr>
    </w:pPr>
    <w:r w:rsidRPr="00A01209">
      <w:rPr>
        <w:rFonts w:ascii="Arial" w:hAnsi="Arial"/>
        <w:sz w:val="18"/>
        <w:szCs w:val="18"/>
      </w:rPr>
      <w:t>Portfolio Budget Statements |</w:t>
    </w:r>
    <w:r w:rsidRPr="00A01209">
      <w:rPr>
        <w:rFonts w:ascii="Arial" w:hAnsi="Arial"/>
        <w:b/>
        <w:sz w:val="18"/>
        <w:szCs w:val="18"/>
      </w:rPr>
      <w:t xml:space="preserve"> Budget</w:t>
    </w:r>
    <w:r w:rsidRPr="00A01209">
      <w:rPr>
        <w:rFonts w:ascii="Arial" w:hAnsi="Arial"/>
        <w:sz w:val="18"/>
        <w:szCs w:val="18"/>
      </w:rPr>
      <w:t xml:space="preserve"> 202</w:t>
    </w:r>
    <w:r>
      <w:rPr>
        <w:rFonts w:ascii="Arial" w:hAnsi="Arial"/>
        <w:sz w:val="18"/>
        <w:szCs w:val="18"/>
      </w:rPr>
      <w:t>5</w:t>
    </w:r>
    <w:r w:rsidRPr="00A01209">
      <w:rPr>
        <w:rFonts w:ascii="Arial" w:hAnsi="Arial"/>
        <w:sz w:val="18"/>
        <w:szCs w:val="18"/>
      </w:rPr>
      <w:t>-2</w:t>
    </w:r>
    <w:r>
      <w:rPr>
        <w:rFonts w:ascii="Arial" w:hAnsi="Arial"/>
        <w:sz w:val="18"/>
        <w:szCs w:val="18"/>
      </w:rPr>
      <w:t>6</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8997F" w14:textId="77777777" w:rsidR="00CE3B2C" w:rsidRPr="00B478A6" w:rsidRDefault="00CE3B2C" w:rsidP="00B53319">
    <w:pPr>
      <w:pStyle w:val="Header"/>
      <w:rPr>
        <w:rFonts w:ascii="Arial" w:hAnsi="Arial"/>
        <w:sz w:val="18"/>
        <w:szCs w:val="18"/>
      </w:rPr>
    </w:pPr>
    <w:r w:rsidRPr="00A01209">
      <w:rPr>
        <w:rFonts w:ascii="Arial" w:hAnsi="Arial"/>
        <w:b/>
        <w:sz w:val="18"/>
        <w:szCs w:val="18"/>
      </w:rPr>
      <w:t>Budget</w:t>
    </w:r>
    <w:r>
      <w:rPr>
        <w:rFonts w:ascii="Arial" w:hAnsi="Arial"/>
        <w:sz w:val="18"/>
        <w:szCs w:val="18"/>
      </w:rPr>
      <w:t xml:space="preserve"> </w:t>
    </w:r>
    <w:r w:rsidRPr="00A01209">
      <w:rPr>
        <w:rFonts w:ascii="Arial" w:hAnsi="Arial"/>
        <w:sz w:val="18"/>
        <w:szCs w:val="18"/>
      </w:rPr>
      <w:t>202</w:t>
    </w:r>
    <w:r>
      <w:rPr>
        <w:rFonts w:ascii="Arial" w:hAnsi="Arial"/>
        <w:sz w:val="18"/>
        <w:szCs w:val="18"/>
      </w:rPr>
      <w:t>5</w:t>
    </w:r>
    <w:r w:rsidRPr="00A01209">
      <w:rPr>
        <w:rFonts w:ascii="Arial" w:hAnsi="Arial"/>
        <w:sz w:val="18"/>
        <w:szCs w:val="18"/>
      </w:rPr>
      <w:t>-2</w:t>
    </w:r>
    <w:r>
      <w:rPr>
        <w:rFonts w:ascii="Arial" w:hAnsi="Arial"/>
        <w:sz w:val="18"/>
        <w:szCs w:val="18"/>
      </w:rPr>
      <w:t>6</w:t>
    </w:r>
    <w:r w:rsidRPr="00A01209">
      <w:rPr>
        <w:rFonts w:ascii="Arial" w:hAnsi="Arial"/>
        <w:sz w:val="18"/>
        <w:szCs w:val="18"/>
      </w:rPr>
      <w:t xml:space="preserve"> | Portfolio Budget Statements</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4288F" w14:textId="77777777" w:rsidR="00CE3B2C" w:rsidRPr="00740A81" w:rsidRDefault="00CE3B2C" w:rsidP="00704DA3">
    <w:pPr>
      <w:pStyle w:val="Header"/>
    </w:pPr>
    <w:r>
      <w:rPr>
        <w:rFonts w:ascii="Times New Roman" w:hAnsi="Times New Roman" w:cs="Times New Roman"/>
        <w:b/>
        <w:noProof/>
        <w:sz w:val="27"/>
        <w:szCs w:val="27"/>
        <w:lang w:val="en-AU"/>
      </w:rPr>
      <mc:AlternateContent>
        <mc:Choice Requires="wps">
          <w:drawing>
            <wp:anchor distT="0" distB="0" distL="114300" distR="114300" simplePos="0" relativeHeight="251663360" behindDoc="0" locked="0" layoutInCell="0" allowOverlap="1" wp14:anchorId="1361A7CC" wp14:editId="246F0890">
              <wp:simplePos x="0" y="0"/>
              <wp:positionH relativeFrom="page">
                <wp:posOffset>417195</wp:posOffset>
              </wp:positionH>
              <wp:positionV relativeFrom="page">
                <wp:posOffset>1082040</wp:posOffset>
              </wp:positionV>
              <wp:extent cx="409575" cy="1246505"/>
              <wp:effectExtent l="0" t="0" r="0" b="0"/>
              <wp:wrapNone/>
              <wp:docPr id="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246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59966C" w14:textId="18D88658" w:rsidR="00CE3B2C" w:rsidRPr="006E0B00" w:rsidRDefault="00CE3B2C" w:rsidP="00BC20A4">
                          <w:pPr>
                            <w:pStyle w:val="Footer"/>
                            <w:jc w:val="right"/>
                            <w:rPr>
                              <w:rStyle w:val="PageNumber"/>
                              <w:rFonts w:ascii="Arial" w:hAnsi="Arial"/>
                              <w:sz w:val="18"/>
                              <w:szCs w:val="18"/>
                            </w:rPr>
                          </w:pPr>
                          <w:r w:rsidRPr="003E559F">
                            <w:rPr>
                              <w:rStyle w:val="PageNumber"/>
                              <w:rFonts w:ascii="Arial" w:hAnsi="Arial"/>
                              <w:b/>
                              <w:sz w:val="18"/>
                              <w:szCs w:val="18"/>
                            </w:rPr>
                            <w:t xml:space="preserve">Page </w:t>
                          </w:r>
                          <w:r w:rsidRPr="003E559F">
                            <w:rPr>
                              <w:rStyle w:val="PageNumber"/>
                              <w:rFonts w:ascii="Arial" w:hAnsi="Arial"/>
                              <w:b/>
                              <w:sz w:val="18"/>
                              <w:szCs w:val="18"/>
                            </w:rPr>
                            <w:fldChar w:fldCharType="begin"/>
                          </w:r>
                          <w:r w:rsidRPr="003E559F">
                            <w:rPr>
                              <w:rStyle w:val="PageNumber"/>
                              <w:rFonts w:ascii="Arial" w:hAnsi="Arial"/>
                              <w:b/>
                              <w:sz w:val="18"/>
                              <w:szCs w:val="18"/>
                            </w:rPr>
                            <w:instrText xml:space="preserve"> PAGE </w:instrText>
                          </w:r>
                          <w:r w:rsidRPr="003E559F">
                            <w:rPr>
                              <w:rStyle w:val="PageNumber"/>
                              <w:rFonts w:ascii="Arial" w:hAnsi="Arial"/>
                              <w:b/>
                              <w:sz w:val="18"/>
                              <w:szCs w:val="18"/>
                            </w:rPr>
                            <w:fldChar w:fldCharType="separate"/>
                          </w:r>
                          <w:r w:rsidR="00B72054">
                            <w:rPr>
                              <w:rStyle w:val="PageNumber"/>
                              <w:rFonts w:ascii="Arial" w:hAnsi="Arial"/>
                              <w:b/>
                              <w:noProof/>
                              <w:sz w:val="18"/>
                              <w:szCs w:val="18"/>
                            </w:rPr>
                            <w:t>162</w:t>
                          </w:r>
                          <w:r w:rsidRPr="003E559F">
                            <w:rPr>
                              <w:rStyle w:val="PageNumber"/>
                              <w:rFonts w:ascii="Arial" w:hAnsi="Arial"/>
                              <w:b/>
                              <w:sz w:val="18"/>
                              <w:szCs w:val="18"/>
                            </w:rPr>
                            <w:fldChar w:fldCharType="end"/>
                          </w:r>
                          <w:r w:rsidRPr="003E559F">
                            <w:rPr>
                              <w:rStyle w:val="PageNumber"/>
                              <w:rFonts w:ascii="Arial" w:hAnsi="Arial"/>
                              <w:sz w:val="18"/>
                              <w:szCs w:val="18"/>
                            </w:rPr>
                            <w:t xml:space="preserve"> | </w:t>
                          </w:r>
                          <w:r>
                            <w:rPr>
                              <w:rStyle w:val="PageNumber"/>
                              <w:rFonts w:ascii="Arial" w:hAnsi="Arial"/>
                              <w:sz w:val="18"/>
                              <w:szCs w:val="18"/>
                            </w:rPr>
                            <w:t>D</w:t>
                          </w:r>
                          <w:r w:rsidRPr="003E559F">
                            <w:rPr>
                              <w:rStyle w:val="PageNumber"/>
                              <w:rFonts w:ascii="Arial" w:hAnsi="Arial"/>
                              <w:sz w:val="18"/>
                              <w:szCs w:val="18"/>
                            </w:rPr>
                            <w:t>efence</w:t>
                          </w:r>
                        </w:p>
                        <w:p w14:paraId="54EC783D" w14:textId="77777777" w:rsidR="00CE3B2C" w:rsidRPr="006275F9" w:rsidRDefault="00CE3B2C" w:rsidP="00BC20A4">
                          <w:pPr>
                            <w:pStyle w:val="Footer"/>
                            <w:rPr>
                              <w:rFonts w:ascii="Calibri Light" w:hAnsi="Calibri Light" w:cs="Times New Roman"/>
                              <w:szCs w:val="20"/>
                            </w:rPr>
                          </w:pPr>
                        </w:p>
                      </w:txbxContent>
                    </wps:txbx>
                    <wps:bodyPr rot="0" vert="vert"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1361A7CC" id="Rectangle 33" o:spid="_x0000_s1112" style="position:absolute;margin-left:32.85pt;margin-top:85.2pt;width:32.25pt;height:98.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" o:allowincell="f" stroked="f">
              <v:textbox style="layout-flow:vertical">
                <w:txbxContent>
                  <w:p w14:paraId="3159966C" w14:textId="18D88658" w:rsidR="00CE3B2C" w:rsidRPr="006E0B00" w:rsidRDefault="00CE3B2C" w:rsidP="00BC20A4">
                    <w:pPr>
                      <w:pStyle w:val="Footer"/>
                      <w:jc w:val="right"/>
                      <w:rPr>
                        <w:rStyle w:val="PageNumber"/>
                        <w:rFonts w:ascii="Arial" w:hAnsi="Arial"/>
                        <w:sz w:val="18"/>
                        <w:szCs w:val="18"/>
                      </w:rPr>
                    </w:pPr>
                    <w:r w:rsidRPr="003E559F">
                      <w:rPr>
                        <w:rStyle w:val="PageNumber"/>
                        <w:rFonts w:ascii="Arial" w:hAnsi="Arial"/>
                        <w:b/>
                        <w:sz w:val="18"/>
                        <w:szCs w:val="18"/>
                      </w:rPr>
                      <w:t xml:space="preserve">Page </w:t>
                    </w:r>
                    <w:r w:rsidRPr="003E559F">
                      <w:rPr>
                        <w:rStyle w:val="PageNumber"/>
                        <w:rFonts w:ascii="Arial" w:hAnsi="Arial"/>
                        <w:b/>
                        <w:sz w:val="18"/>
                        <w:szCs w:val="18"/>
                      </w:rPr>
                      <w:fldChar w:fldCharType="begin"/>
                    </w:r>
                    <w:r w:rsidRPr="003E559F">
                      <w:rPr>
                        <w:rStyle w:val="PageNumber"/>
                        <w:rFonts w:ascii="Arial" w:hAnsi="Arial"/>
                        <w:b/>
                        <w:sz w:val="18"/>
                        <w:szCs w:val="18"/>
                      </w:rPr>
                      <w:instrText xml:space="preserve"> PAGE </w:instrText>
                    </w:r>
                    <w:r w:rsidRPr="003E559F">
                      <w:rPr>
                        <w:rStyle w:val="PageNumber"/>
                        <w:rFonts w:ascii="Arial" w:hAnsi="Arial"/>
                        <w:b/>
                        <w:sz w:val="18"/>
                        <w:szCs w:val="18"/>
                      </w:rPr>
                      <w:fldChar w:fldCharType="separate"/>
                    </w:r>
                    <w:r w:rsidR="00B72054">
                      <w:rPr>
                        <w:rStyle w:val="PageNumber"/>
                        <w:rFonts w:ascii="Arial" w:hAnsi="Arial"/>
                        <w:b/>
                        <w:noProof/>
                        <w:sz w:val="18"/>
                        <w:szCs w:val="18"/>
                      </w:rPr>
                      <w:t>162</w:t>
                    </w:r>
                    <w:r w:rsidRPr="003E559F">
                      <w:rPr>
                        <w:rStyle w:val="PageNumber"/>
                        <w:rFonts w:ascii="Arial" w:hAnsi="Arial"/>
                        <w:b/>
                        <w:sz w:val="18"/>
                        <w:szCs w:val="18"/>
                      </w:rPr>
                      <w:fldChar w:fldCharType="end"/>
                    </w:r>
                    <w:r w:rsidRPr="003E559F">
                      <w:rPr>
                        <w:rStyle w:val="PageNumber"/>
                        <w:rFonts w:ascii="Arial" w:hAnsi="Arial"/>
                        <w:sz w:val="18"/>
                        <w:szCs w:val="18"/>
                      </w:rPr>
                      <w:t xml:space="preserve"> | </w:t>
                    </w:r>
                    <w:r>
                      <w:rPr>
                        <w:rStyle w:val="PageNumber"/>
                        <w:rFonts w:ascii="Arial" w:hAnsi="Arial"/>
                        <w:sz w:val="18"/>
                        <w:szCs w:val="18"/>
                      </w:rPr>
                      <w:t>D</w:t>
                    </w:r>
                    <w:r w:rsidRPr="003E559F">
                      <w:rPr>
                        <w:rStyle w:val="PageNumber"/>
                        <w:rFonts w:ascii="Arial" w:hAnsi="Arial"/>
                        <w:sz w:val="18"/>
                        <w:szCs w:val="18"/>
                      </w:rPr>
                      <w:t>efence</w:t>
                    </w:r>
                  </w:p>
                  <w:p w14:paraId="54EC783D" w14:textId="77777777" w:rsidR="00CE3B2C" w:rsidRPr="006275F9" w:rsidRDefault="00CE3B2C" w:rsidP="00BC20A4">
                    <w:pPr>
                      <w:pStyle w:val="Footer"/>
                      <w:rPr>
                        <w:rFonts w:ascii="Calibri Light" w:hAnsi="Calibri Light" w:cs="Times New Roman"/>
                        <w:szCs w:val="20"/>
                      </w:rPr>
                    </w:pPr>
                  </w:p>
                </w:txbxContent>
              </v:textbox>
              <w10:wrap anchorx="page" anchory="page"/>
            </v:rect>
          </w:pict>
        </mc:Fallback>
      </mc:AlternateContent>
    </w:r>
    <w:r w:rsidRPr="00096FDA">
      <w:rPr>
        <w:rFonts w:ascii="Times New Roman" w:hAnsi="Times New Roman" w:cs="Times New Roman"/>
        <w:b/>
        <w:noProof/>
        <w:sz w:val="27"/>
        <w:szCs w:val="27"/>
        <w:lang w:val="en-AU"/>
      </w:rPr>
      <mc:AlternateContent>
        <mc:Choice Requires="wps">
          <w:drawing>
            <wp:anchor distT="0" distB="0" distL="114300" distR="114300" simplePos="0" relativeHeight="251661312" behindDoc="0" locked="0" layoutInCell="0" allowOverlap="1" wp14:anchorId="52A852C7" wp14:editId="1E7C8DA9">
              <wp:simplePos x="0" y="0"/>
              <wp:positionH relativeFrom="page">
                <wp:posOffset>8754745</wp:posOffset>
              </wp:positionH>
              <wp:positionV relativeFrom="page">
                <wp:posOffset>2583815</wp:posOffset>
              </wp:positionV>
              <wp:extent cx="3185160" cy="329565"/>
              <wp:effectExtent l="0" t="3810" r="3810" b="1905"/>
              <wp:wrapNone/>
              <wp:docPr id="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8516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FABB70" w14:textId="44577924" w:rsidR="00CE3B2C" w:rsidRPr="006E0B00" w:rsidRDefault="00CE3B2C" w:rsidP="00096FDA">
                          <w:pPr>
                            <w:pStyle w:val="Header"/>
                            <w:rPr>
                              <w:rFonts w:ascii="Arial" w:hAnsi="Arial"/>
                              <w:sz w:val="18"/>
                              <w:szCs w:val="18"/>
                            </w:rPr>
                          </w:pPr>
                          <w:r w:rsidRPr="00A01209">
                            <w:rPr>
                              <w:rFonts w:ascii="Arial" w:hAnsi="Arial"/>
                              <w:b/>
                              <w:sz w:val="18"/>
                              <w:szCs w:val="18"/>
                            </w:rPr>
                            <w:t>Budget</w:t>
                          </w:r>
                          <w:r w:rsidRPr="00A01209">
                            <w:rPr>
                              <w:rFonts w:ascii="Arial" w:hAnsi="Arial"/>
                              <w:sz w:val="18"/>
                              <w:szCs w:val="18"/>
                            </w:rPr>
                            <w:t xml:space="preserve"> </w:t>
                          </w:r>
                          <w:r>
                            <w:rPr>
                              <w:rFonts w:ascii="Arial" w:hAnsi="Arial"/>
                              <w:sz w:val="18"/>
                              <w:szCs w:val="18"/>
                            </w:rPr>
                            <w:t>2025-26</w:t>
                          </w:r>
                          <w:r w:rsidRPr="00A01209">
                            <w:rPr>
                              <w:rFonts w:ascii="Arial" w:hAnsi="Arial"/>
                              <w:sz w:val="18"/>
                              <w:szCs w:val="18"/>
                            </w:rPr>
                            <w:t xml:space="preserve"> | Portfolio Budget Statements</w:t>
                          </w:r>
                        </w:p>
                        <w:p w14:paraId="73F5AED2" w14:textId="77777777" w:rsidR="00CE3B2C" w:rsidRDefault="00CE3B2C">
                          <w:pPr>
                            <w:pBdr>
                              <w:bottom w:val="single" w:sz="4" w:space="1" w:color="auto"/>
                            </w:pBdr>
                          </w:pPr>
                        </w:p>
                      </w:txbxContent>
                    </wps:txbx>
                    <wps:bodyPr rot="0" vert="vert"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52A852C7" id="Rectangle 21" o:spid="_x0000_s1113" style="position:absolute;margin-left:689.35pt;margin-top:203.45pt;width:250.8pt;height:25.95pt;rotation:90;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" o:allowincell="f" stroked="f">
              <v:textbox style="layout-flow:vertical">
                <w:txbxContent>
                  <w:p w14:paraId="7EFABB70" w14:textId="44577924" w:rsidR="00CE3B2C" w:rsidRPr="006E0B00" w:rsidRDefault="00CE3B2C" w:rsidP="00096FDA">
                    <w:pPr>
                      <w:pStyle w:val="Header"/>
                      <w:rPr>
                        <w:rFonts w:ascii="Arial" w:hAnsi="Arial"/>
                        <w:sz w:val="18"/>
                        <w:szCs w:val="18"/>
                      </w:rPr>
                    </w:pPr>
                    <w:r w:rsidRPr="00A01209">
                      <w:rPr>
                        <w:rFonts w:ascii="Arial" w:hAnsi="Arial"/>
                        <w:b/>
                        <w:sz w:val="18"/>
                        <w:szCs w:val="18"/>
                      </w:rPr>
                      <w:t>Budget</w:t>
                    </w:r>
                    <w:r w:rsidRPr="00A01209">
                      <w:rPr>
                        <w:rFonts w:ascii="Arial" w:hAnsi="Arial"/>
                        <w:sz w:val="18"/>
                        <w:szCs w:val="18"/>
                      </w:rPr>
                      <w:t xml:space="preserve"> </w:t>
                    </w:r>
                    <w:r>
                      <w:rPr>
                        <w:rFonts w:ascii="Arial" w:hAnsi="Arial"/>
                        <w:sz w:val="18"/>
                        <w:szCs w:val="18"/>
                      </w:rPr>
                      <w:t>2025-26</w:t>
                    </w:r>
                    <w:r w:rsidRPr="00A01209">
                      <w:rPr>
                        <w:rFonts w:ascii="Arial" w:hAnsi="Arial"/>
                        <w:sz w:val="18"/>
                        <w:szCs w:val="18"/>
                      </w:rPr>
                      <w:t xml:space="preserve"> | Portfolio Budget Statements</w:t>
                    </w:r>
                  </w:p>
                  <w:p w14:paraId="73F5AED2" w14:textId="77777777" w:rsidR="00CE3B2C" w:rsidRDefault="00CE3B2C">
                    <w:pPr>
                      <w:pBdr>
                        <w:bottom w:val="single" w:sz="4" w:space="1" w:color="auto"/>
                      </w:pBdr>
                    </w:pPr>
                  </w:p>
                </w:txbxContent>
              </v:textbox>
              <w10:wrap anchorx="page" anchory="page"/>
            </v:rect>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4DB51" w14:textId="77777777" w:rsidR="00CE3B2C" w:rsidRPr="00740A81" w:rsidRDefault="00CE3B2C" w:rsidP="00D40245">
    <w:pPr>
      <w:pStyle w:val="Header"/>
      <w:jc w:val="right"/>
    </w:pPr>
    <w:r>
      <w:rPr>
        <w:noProof/>
        <w:lang w:val="en-AU"/>
      </w:rPr>
      <mc:AlternateContent>
        <mc:Choice Requires="wps">
          <w:drawing>
            <wp:anchor distT="0" distB="0" distL="114300" distR="114300" simplePos="0" relativeHeight="251655168" behindDoc="0" locked="0" layoutInCell="0" allowOverlap="1" wp14:anchorId="2B535F6B" wp14:editId="3880493D">
              <wp:simplePos x="0" y="0"/>
              <wp:positionH relativeFrom="page">
                <wp:posOffset>9705975</wp:posOffset>
              </wp:positionH>
              <wp:positionV relativeFrom="page">
                <wp:posOffset>3093720</wp:posOffset>
              </wp:positionV>
              <wp:extent cx="514350" cy="3669665"/>
              <wp:effectExtent l="0" t="0" r="0" b="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669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5EF5EF" w14:textId="6D9E81AA" w:rsidR="00CE3B2C" w:rsidRPr="00A01209" w:rsidRDefault="00CE3B2C" w:rsidP="00B77D89">
                          <w:pPr>
                            <w:pStyle w:val="Header"/>
                            <w:jc w:val="right"/>
                            <w:rPr>
                              <w:rFonts w:ascii="Arial" w:hAnsi="Arial"/>
                              <w:sz w:val="18"/>
                              <w:szCs w:val="18"/>
                            </w:rPr>
                          </w:pPr>
                          <w:r>
                            <w:rPr>
                              <w:rFonts w:ascii="Arial" w:hAnsi="Arial"/>
                              <w:sz w:val="18"/>
                              <w:szCs w:val="18"/>
                            </w:rPr>
                            <w:t xml:space="preserve">Portfolio Budget Statements </w:t>
                          </w:r>
                          <w:r w:rsidRPr="00A01209">
                            <w:rPr>
                              <w:rFonts w:ascii="Arial" w:hAnsi="Arial"/>
                              <w:sz w:val="18"/>
                              <w:szCs w:val="18"/>
                            </w:rPr>
                            <w:t>|</w:t>
                          </w:r>
                          <w:r>
                            <w:rPr>
                              <w:rFonts w:ascii="Arial" w:hAnsi="Arial"/>
                              <w:b/>
                              <w:sz w:val="18"/>
                              <w:szCs w:val="18"/>
                            </w:rPr>
                            <w:t xml:space="preserve"> </w:t>
                          </w:r>
                          <w:r w:rsidRPr="00A01209">
                            <w:rPr>
                              <w:rFonts w:ascii="Arial" w:hAnsi="Arial"/>
                              <w:b/>
                              <w:sz w:val="18"/>
                              <w:szCs w:val="18"/>
                            </w:rPr>
                            <w:t>Budget</w:t>
                          </w:r>
                          <w:r w:rsidRPr="00A01209">
                            <w:rPr>
                              <w:rFonts w:ascii="Arial" w:hAnsi="Arial"/>
                              <w:sz w:val="18"/>
                              <w:szCs w:val="18"/>
                            </w:rPr>
                            <w:t xml:space="preserve"> </w:t>
                          </w:r>
                          <w:r>
                            <w:rPr>
                              <w:rFonts w:ascii="Arial" w:hAnsi="Arial"/>
                              <w:sz w:val="18"/>
                              <w:szCs w:val="18"/>
                            </w:rPr>
                            <w:t>2025-26</w:t>
                          </w:r>
                        </w:p>
                        <w:p w14:paraId="200DBE2C" w14:textId="77777777" w:rsidR="00CE3B2C" w:rsidRPr="008D73F7" w:rsidRDefault="00CE3B2C" w:rsidP="0098777B">
                          <w:pPr>
                            <w:pStyle w:val="Header"/>
                            <w:jc w:val="right"/>
                            <w:rPr>
                              <w:rFonts w:ascii="Arial" w:hAnsi="Arial"/>
                              <w:i/>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35F6B" id="Rectangle 6" o:spid="_x0000_s1114" style="position:absolute;left:0;text-align:left;margin-left:764.25pt;margin-top:243.6pt;width:40.5pt;height:288.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" o:allowincell="f" stroked="f">
              <v:textbox style="layout-flow:vertical">
                <w:txbxContent>
                  <w:p w14:paraId="525EF5EF" w14:textId="6D9E81AA" w:rsidR="00CE3B2C" w:rsidRPr="00A01209" w:rsidRDefault="00CE3B2C" w:rsidP="00B77D89">
                    <w:pPr>
                      <w:pStyle w:val="Header"/>
                      <w:jc w:val="right"/>
                      <w:rPr>
                        <w:rFonts w:ascii="Arial" w:hAnsi="Arial"/>
                        <w:sz w:val="18"/>
                        <w:szCs w:val="18"/>
                      </w:rPr>
                    </w:pPr>
                    <w:r>
                      <w:rPr>
                        <w:rFonts w:ascii="Arial" w:hAnsi="Arial"/>
                        <w:sz w:val="18"/>
                        <w:szCs w:val="18"/>
                      </w:rPr>
                      <w:t xml:space="preserve">Portfolio Budget Statements </w:t>
                    </w:r>
                    <w:r w:rsidRPr="00A01209">
                      <w:rPr>
                        <w:rFonts w:ascii="Arial" w:hAnsi="Arial"/>
                        <w:sz w:val="18"/>
                        <w:szCs w:val="18"/>
                      </w:rPr>
                      <w:t>|</w:t>
                    </w:r>
                    <w:r>
                      <w:rPr>
                        <w:rFonts w:ascii="Arial" w:hAnsi="Arial"/>
                        <w:b/>
                        <w:sz w:val="18"/>
                        <w:szCs w:val="18"/>
                      </w:rPr>
                      <w:t xml:space="preserve"> </w:t>
                    </w:r>
                    <w:r w:rsidRPr="00A01209">
                      <w:rPr>
                        <w:rFonts w:ascii="Arial" w:hAnsi="Arial"/>
                        <w:b/>
                        <w:sz w:val="18"/>
                        <w:szCs w:val="18"/>
                      </w:rPr>
                      <w:t>Budget</w:t>
                    </w:r>
                    <w:r w:rsidRPr="00A01209">
                      <w:rPr>
                        <w:rFonts w:ascii="Arial" w:hAnsi="Arial"/>
                        <w:sz w:val="18"/>
                        <w:szCs w:val="18"/>
                      </w:rPr>
                      <w:t xml:space="preserve"> </w:t>
                    </w:r>
                    <w:r>
                      <w:rPr>
                        <w:rFonts w:ascii="Arial" w:hAnsi="Arial"/>
                        <w:sz w:val="18"/>
                        <w:szCs w:val="18"/>
                      </w:rPr>
                      <w:t>2025-26</w:t>
                    </w:r>
                  </w:p>
                  <w:p w14:paraId="200DBE2C" w14:textId="77777777" w:rsidR="00CE3B2C" w:rsidRPr="008D73F7" w:rsidRDefault="00CE3B2C" w:rsidP="0098777B">
                    <w:pPr>
                      <w:pStyle w:val="Header"/>
                      <w:jc w:val="right"/>
                      <w:rPr>
                        <w:rFonts w:ascii="Arial" w:hAnsi="Arial"/>
                        <w:i/>
                      </w:rPr>
                    </w:pPr>
                  </w:p>
                </w:txbxContent>
              </v:textbox>
              <w10:wrap anchorx="page" anchory="page"/>
            </v:rect>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9CAE2" w14:textId="77777777" w:rsidR="00CE3B2C" w:rsidRPr="00D91D67" w:rsidRDefault="00CE3B2C" w:rsidP="00704DA3">
    <w:pPr>
      <w:pStyle w:val="Header"/>
      <w:rPr>
        <w:rFonts w:ascii="Arial" w:hAnsi="Arial"/>
        <w:sz w:val="18"/>
        <w:szCs w:val="18"/>
      </w:rPr>
    </w:pPr>
    <w:r w:rsidRPr="00A01209">
      <w:rPr>
        <w:rFonts w:ascii="Arial" w:hAnsi="Arial"/>
        <w:b/>
        <w:sz w:val="18"/>
        <w:szCs w:val="18"/>
      </w:rPr>
      <w:t>Budget</w:t>
    </w:r>
    <w:r>
      <w:rPr>
        <w:rFonts w:ascii="Arial" w:hAnsi="Arial"/>
        <w:sz w:val="18"/>
        <w:szCs w:val="18"/>
      </w:rPr>
      <w:t xml:space="preserve"> </w:t>
    </w:r>
    <w:r w:rsidRPr="00A01209">
      <w:rPr>
        <w:rFonts w:ascii="Arial" w:hAnsi="Arial"/>
        <w:sz w:val="18"/>
        <w:szCs w:val="18"/>
      </w:rPr>
      <w:t>202</w:t>
    </w:r>
    <w:r>
      <w:rPr>
        <w:rFonts w:ascii="Arial" w:hAnsi="Arial"/>
        <w:sz w:val="18"/>
        <w:szCs w:val="18"/>
      </w:rPr>
      <w:t>5</w:t>
    </w:r>
    <w:r w:rsidRPr="00A01209">
      <w:rPr>
        <w:rFonts w:ascii="Arial" w:hAnsi="Arial"/>
        <w:sz w:val="18"/>
        <w:szCs w:val="18"/>
      </w:rPr>
      <w:t>-2</w:t>
    </w:r>
    <w:r>
      <w:rPr>
        <w:rFonts w:ascii="Arial" w:hAnsi="Arial"/>
        <w:sz w:val="18"/>
        <w:szCs w:val="18"/>
      </w:rPr>
      <w:t>6</w:t>
    </w:r>
    <w:r w:rsidRPr="00A01209">
      <w:rPr>
        <w:rFonts w:ascii="Arial" w:hAnsi="Arial"/>
        <w:sz w:val="18"/>
        <w:szCs w:val="18"/>
      </w:rPr>
      <w:t xml:space="preserve"> | Portfolio Budget Statements</w:t>
    </w:r>
    <w:r w:rsidRPr="00096FDA">
      <w:rPr>
        <w:rFonts w:ascii="Times New Roman" w:hAnsi="Times New Roman" w:cs="Times New Roman"/>
        <w:b/>
        <w:noProof/>
        <w:sz w:val="27"/>
        <w:szCs w:val="27"/>
        <w:lang w:val="en-AU"/>
      </w:rPr>
      <mc:AlternateContent>
        <mc:Choice Requires="wps">
          <w:drawing>
            <wp:anchor distT="0" distB="0" distL="114300" distR="114300" simplePos="0" relativeHeight="251664384" behindDoc="0" locked="0" layoutInCell="0" allowOverlap="1" wp14:anchorId="37E05B1B" wp14:editId="3513E211">
              <wp:simplePos x="0" y="0"/>
              <wp:positionH relativeFrom="page">
                <wp:posOffset>8754745</wp:posOffset>
              </wp:positionH>
              <wp:positionV relativeFrom="page">
                <wp:posOffset>2583815</wp:posOffset>
              </wp:positionV>
              <wp:extent cx="3185160" cy="329565"/>
              <wp:effectExtent l="0" t="3810" r="3810" b="1905"/>
              <wp:wrapNone/>
              <wp:docPr id="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8516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B4747" w14:textId="77777777" w:rsidR="00CE3B2C" w:rsidRPr="006E0B00" w:rsidRDefault="00CE3B2C" w:rsidP="00096FDA">
                          <w:pPr>
                            <w:pStyle w:val="Header"/>
                            <w:rPr>
                              <w:rFonts w:ascii="Arial" w:hAnsi="Arial"/>
                              <w:sz w:val="18"/>
                              <w:szCs w:val="18"/>
                            </w:rPr>
                          </w:pPr>
                          <w:r w:rsidRPr="00A01209">
                            <w:rPr>
                              <w:rFonts w:ascii="Arial" w:hAnsi="Arial"/>
                              <w:b/>
                              <w:sz w:val="18"/>
                              <w:szCs w:val="18"/>
                            </w:rPr>
                            <w:t>Budget</w:t>
                          </w:r>
                          <w:r w:rsidRPr="00A01209">
                            <w:rPr>
                              <w:rFonts w:ascii="Arial" w:hAnsi="Arial"/>
                              <w:sz w:val="18"/>
                              <w:szCs w:val="18"/>
                            </w:rPr>
                            <w:t xml:space="preserve"> </w:t>
                          </w:r>
                          <w:r>
                            <w:rPr>
                              <w:rFonts w:ascii="Arial" w:hAnsi="Arial"/>
                              <w:sz w:val="18"/>
                              <w:szCs w:val="18"/>
                            </w:rPr>
                            <w:t>2024-25</w:t>
                          </w:r>
                          <w:r w:rsidRPr="00A01209">
                            <w:rPr>
                              <w:rFonts w:ascii="Arial" w:hAnsi="Arial"/>
                              <w:sz w:val="18"/>
                              <w:szCs w:val="18"/>
                            </w:rPr>
                            <w:t xml:space="preserve"> | Portfolio Budget Statements</w:t>
                          </w:r>
                        </w:p>
                        <w:p w14:paraId="50FA5212" w14:textId="77777777" w:rsidR="00CE3B2C" w:rsidRDefault="00CE3B2C">
                          <w:pPr>
                            <w:pBdr>
                              <w:bottom w:val="single" w:sz="4" w:space="1" w:color="auto"/>
                            </w:pBdr>
                          </w:pPr>
                        </w:p>
                      </w:txbxContent>
                    </wps:txbx>
                    <wps:bodyPr rot="0" vert="vert"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37E05B1B" id="Rectangle 28" o:spid="_x0000_s1116" style="position:absolute;margin-left:689.35pt;margin-top:203.45pt;width:250.8pt;height:25.95pt;rotation:90;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" o:allowincell="f" stroked="f">
              <v:textbox style="layout-flow:vertical">
                <w:txbxContent>
                  <w:p w14:paraId="464B4747" w14:textId="77777777" w:rsidR="00CE3B2C" w:rsidRPr="006E0B00" w:rsidRDefault="00CE3B2C" w:rsidP="00096FDA">
                    <w:pPr>
                      <w:pStyle w:val="Header"/>
                      <w:rPr>
                        <w:rFonts w:ascii="Arial" w:hAnsi="Arial"/>
                        <w:sz w:val="18"/>
                        <w:szCs w:val="18"/>
                      </w:rPr>
                    </w:pPr>
                    <w:r w:rsidRPr="00A01209">
                      <w:rPr>
                        <w:rFonts w:ascii="Arial" w:hAnsi="Arial"/>
                        <w:b/>
                        <w:sz w:val="18"/>
                        <w:szCs w:val="18"/>
                      </w:rPr>
                      <w:t>Budget</w:t>
                    </w:r>
                    <w:r w:rsidRPr="00A01209">
                      <w:rPr>
                        <w:rFonts w:ascii="Arial" w:hAnsi="Arial"/>
                        <w:sz w:val="18"/>
                        <w:szCs w:val="18"/>
                      </w:rPr>
                      <w:t xml:space="preserve"> </w:t>
                    </w:r>
                    <w:r>
                      <w:rPr>
                        <w:rFonts w:ascii="Arial" w:hAnsi="Arial"/>
                        <w:sz w:val="18"/>
                        <w:szCs w:val="18"/>
                      </w:rPr>
                      <w:t>2024-25</w:t>
                    </w:r>
                    <w:r w:rsidRPr="00A01209">
                      <w:rPr>
                        <w:rFonts w:ascii="Arial" w:hAnsi="Arial"/>
                        <w:sz w:val="18"/>
                        <w:szCs w:val="18"/>
                      </w:rPr>
                      <w:t xml:space="preserve"> | Portfolio Budget Statements</w:t>
                    </w:r>
                  </w:p>
                  <w:p w14:paraId="50FA5212" w14:textId="77777777" w:rsidR="00CE3B2C" w:rsidRDefault="00CE3B2C">
                    <w:pPr>
                      <w:pBdr>
                        <w:bottom w:val="single" w:sz="4" w:space="1" w:color="auto"/>
                      </w:pBdr>
                    </w:pPr>
                  </w:p>
                </w:txbxContent>
              </v:textbox>
              <w10:wrap anchorx="page" anchory="page"/>
            </v:rect>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E87CA" w14:textId="77777777" w:rsidR="00CE3B2C" w:rsidRPr="00B478A6" w:rsidRDefault="00CE3B2C" w:rsidP="00D91D67">
    <w:pPr>
      <w:pStyle w:val="Header"/>
      <w:jc w:val="right"/>
      <w:rPr>
        <w:rFonts w:ascii="Arial" w:hAnsi="Arial"/>
        <w:sz w:val="18"/>
        <w:szCs w:val="18"/>
      </w:rPr>
    </w:pPr>
    <w:r w:rsidRPr="00A01209">
      <w:rPr>
        <w:rFonts w:ascii="Arial" w:hAnsi="Arial"/>
        <w:sz w:val="18"/>
        <w:szCs w:val="18"/>
      </w:rPr>
      <w:t>Portfolio Budget Statements</w:t>
    </w:r>
    <w:r>
      <w:rPr>
        <w:rFonts w:ascii="Arial" w:hAnsi="Arial"/>
        <w:sz w:val="18"/>
        <w:szCs w:val="18"/>
      </w:rPr>
      <w:t xml:space="preserve"> </w:t>
    </w:r>
    <w:r w:rsidRPr="00A01209">
      <w:rPr>
        <w:rFonts w:ascii="Arial" w:hAnsi="Arial"/>
        <w:sz w:val="18"/>
        <w:szCs w:val="18"/>
      </w:rPr>
      <w:t>|</w:t>
    </w:r>
    <w:r>
      <w:rPr>
        <w:rFonts w:ascii="Arial" w:hAnsi="Arial"/>
        <w:sz w:val="18"/>
        <w:szCs w:val="18"/>
      </w:rPr>
      <w:t xml:space="preserve"> </w:t>
    </w:r>
    <w:r w:rsidRPr="00A01209">
      <w:rPr>
        <w:rFonts w:ascii="Arial" w:hAnsi="Arial"/>
        <w:b/>
        <w:sz w:val="18"/>
        <w:szCs w:val="18"/>
      </w:rPr>
      <w:t>Budget</w:t>
    </w:r>
    <w:r>
      <w:rPr>
        <w:rFonts w:ascii="Arial" w:hAnsi="Arial"/>
        <w:sz w:val="18"/>
        <w:szCs w:val="18"/>
      </w:rPr>
      <w:t xml:space="preserve"> </w:t>
    </w:r>
    <w:r w:rsidRPr="00A01209">
      <w:rPr>
        <w:rFonts w:ascii="Arial" w:hAnsi="Arial"/>
        <w:sz w:val="18"/>
        <w:szCs w:val="18"/>
      </w:rPr>
      <w:t>202</w:t>
    </w:r>
    <w:r>
      <w:rPr>
        <w:rFonts w:ascii="Arial" w:hAnsi="Arial"/>
        <w:sz w:val="18"/>
        <w:szCs w:val="18"/>
      </w:rPr>
      <w:t>5</w:t>
    </w:r>
    <w:r w:rsidRPr="00A01209">
      <w:rPr>
        <w:rFonts w:ascii="Arial" w:hAnsi="Arial"/>
        <w:sz w:val="18"/>
        <w:szCs w:val="18"/>
      </w:rPr>
      <w:t>-2</w:t>
    </w:r>
    <w:r>
      <w:rPr>
        <w:rFonts w:ascii="Arial" w:hAnsi="Arial"/>
        <w:sz w:val="18"/>
        <w:szCs w:val="18"/>
      </w:rPr>
      <w:t>6</w:t>
    </w:r>
  </w:p>
  <w:p w14:paraId="6C9C1829" w14:textId="77777777" w:rsidR="00CE3B2C" w:rsidRPr="00740A81" w:rsidRDefault="00CE3B2C" w:rsidP="00D40245">
    <w:pPr>
      <w:pStyle w:val="Header"/>
      <w:jc w:val="right"/>
    </w:pPr>
    <w:r>
      <w:rPr>
        <w:noProof/>
        <w:lang w:val="en-AU"/>
      </w:rPr>
      <mc:AlternateContent>
        <mc:Choice Requires="wps">
          <w:drawing>
            <wp:anchor distT="0" distB="0" distL="114300" distR="114300" simplePos="0" relativeHeight="251662336" behindDoc="0" locked="0" layoutInCell="0" allowOverlap="1" wp14:anchorId="56D4760C" wp14:editId="2FC19C54">
              <wp:simplePos x="0" y="0"/>
              <wp:positionH relativeFrom="page">
                <wp:posOffset>9705975</wp:posOffset>
              </wp:positionH>
              <wp:positionV relativeFrom="page">
                <wp:posOffset>3093720</wp:posOffset>
              </wp:positionV>
              <wp:extent cx="514350" cy="3669665"/>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669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7D4C4B" w14:textId="77777777" w:rsidR="00CE3B2C" w:rsidRPr="00A01209" w:rsidRDefault="00CE3B2C" w:rsidP="00B77D89">
                          <w:pPr>
                            <w:pStyle w:val="Header"/>
                            <w:jc w:val="right"/>
                            <w:rPr>
                              <w:rFonts w:ascii="Arial" w:hAnsi="Arial"/>
                              <w:sz w:val="18"/>
                              <w:szCs w:val="18"/>
                            </w:rPr>
                          </w:pPr>
                          <w:r>
                            <w:rPr>
                              <w:rFonts w:ascii="Arial" w:hAnsi="Arial"/>
                              <w:sz w:val="18"/>
                              <w:szCs w:val="18"/>
                            </w:rPr>
                            <w:t xml:space="preserve">Portfolio Budget Statements </w:t>
                          </w:r>
                          <w:r w:rsidRPr="00A01209">
                            <w:rPr>
                              <w:rFonts w:ascii="Arial" w:hAnsi="Arial"/>
                              <w:sz w:val="18"/>
                              <w:szCs w:val="18"/>
                            </w:rPr>
                            <w:t>|</w:t>
                          </w:r>
                          <w:r>
                            <w:rPr>
                              <w:rFonts w:ascii="Arial" w:hAnsi="Arial"/>
                              <w:b/>
                              <w:sz w:val="18"/>
                              <w:szCs w:val="18"/>
                            </w:rPr>
                            <w:t xml:space="preserve"> </w:t>
                          </w:r>
                          <w:r w:rsidRPr="00A01209">
                            <w:rPr>
                              <w:rFonts w:ascii="Arial" w:hAnsi="Arial"/>
                              <w:b/>
                              <w:sz w:val="18"/>
                              <w:szCs w:val="18"/>
                            </w:rPr>
                            <w:t>Budget</w:t>
                          </w:r>
                          <w:r w:rsidRPr="00A01209">
                            <w:rPr>
                              <w:rFonts w:ascii="Arial" w:hAnsi="Arial"/>
                              <w:sz w:val="18"/>
                              <w:szCs w:val="18"/>
                            </w:rPr>
                            <w:t xml:space="preserve"> </w:t>
                          </w:r>
                          <w:r>
                            <w:rPr>
                              <w:rFonts w:ascii="Arial" w:hAnsi="Arial"/>
                              <w:sz w:val="18"/>
                              <w:szCs w:val="18"/>
                            </w:rPr>
                            <w:t>2024-25</w:t>
                          </w:r>
                        </w:p>
                        <w:p w14:paraId="08E4B051" w14:textId="77777777" w:rsidR="00CE3B2C" w:rsidRPr="008D73F7" w:rsidRDefault="00CE3B2C" w:rsidP="0098777B">
                          <w:pPr>
                            <w:pStyle w:val="Header"/>
                            <w:jc w:val="right"/>
                            <w:rPr>
                              <w:rFonts w:ascii="Arial" w:hAnsi="Arial"/>
                              <w:i/>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D4760C" id="_x0000_s1117" style="position:absolute;left:0;text-align:left;margin-left:764.25pt;margin-top:243.6pt;width:40.5pt;height:288.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" o:allowincell="f" stroked="f">
              <v:textbox style="layout-flow:vertical">
                <w:txbxContent>
                  <w:p w14:paraId="537D4C4B" w14:textId="77777777" w:rsidR="00CE3B2C" w:rsidRPr="00A01209" w:rsidRDefault="00CE3B2C" w:rsidP="00B77D89">
                    <w:pPr>
                      <w:pStyle w:val="Header"/>
                      <w:jc w:val="right"/>
                      <w:rPr>
                        <w:rFonts w:ascii="Arial" w:hAnsi="Arial"/>
                        <w:sz w:val="18"/>
                        <w:szCs w:val="18"/>
                      </w:rPr>
                    </w:pPr>
                    <w:r>
                      <w:rPr>
                        <w:rFonts w:ascii="Arial" w:hAnsi="Arial"/>
                        <w:sz w:val="18"/>
                        <w:szCs w:val="18"/>
                      </w:rPr>
                      <w:t xml:space="preserve">Portfolio Budget Statements </w:t>
                    </w:r>
                    <w:r w:rsidRPr="00A01209">
                      <w:rPr>
                        <w:rFonts w:ascii="Arial" w:hAnsi="Arial"/>
                        <w:sz w:val="18"/>
                        <w:szCs w:val="18"/>
                      </w:rPr>
                      <w:t>|</w:t>
                    </w:r>
                    <w:r>
                      <w:rPr>
                        <w:rFonts w:ascii="Arial" w:hAnsi="Arial"/>
                        <w:b/>
                        <w:sz w:val="18"/>
                        <w:szCs w:val="18"/>
                      </w:rPr>
                      <w:t xml:space="preserve"> </w:t>
                    </w:r>
                    <w:r w:rsidRPr="00A01209">
                      <w:rPr>
                        <w:rFonts w:ascii="Arial" w:hAnsi="Arial"/>
                        <w:b/>
                        <w:sz w:val="18"/>
                        <w:szCs w:val="18"/>
                      </w:rPr>
                      <w:t>Budget</w:t>
                    </w:r>
                    <w:r w:rsidRPr="00A01209">
                      <w:rPr>
                        <w:rFonts w:ascii="Arial" w:hAnsi="Arial"/>
                        <w:sz w:val="18"/>
                        <w:szCs w:val="18"/>
                      </w:rPr>
                      <w:t xml:space="preserve"> </w:t>
                    </w:r>
                    <w:r>
                      <w:rPr>
                        <w:rFonts w:ascii="Arial" w:hAnsi="Arial"/>
                        <w:sz w:val="18"/>
                        <w:szCs w:val="18"/>
                      </w:rPr>
                      <w:t>2024-25</w:t>
                    </w:r>
                  </w:p>
                  <w:p w14:paraId="08E4B051" w14:textId="77777777" w:rsidR="00CE3B2C" w:rsidRPr="008D73F7" w:rsidRDefault="00CE3B2C" w:rsidP="0098777B">
                    <w:pPr>
                      <w:pStyle w:val="Header"/>
                      <w:jc w:val="right"/>
                      <w:rPr>
                        <w:rFonts w:ascii="Arial" w:hAnsi="Arial"/>
                        <w:i/>
                      </w:rP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E5F44" w14:textId="77777777" w:rsidR="00CE3B2C" w:rsidRPr="00DC3998" w:rsidRDefault="00CE3B2C" w:rsidP="00DC3998">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2D289" w14:textId="77777777" w:rsidR="00CE3B2C" w:rsidRPr="00B478A6" w:rsidRDefault="00CE3B2C" w:rsidP="00621141">
    <w:pPr>
      <w:pStyle w:val="Header"/>
      <w:rPr>
        <w:rFonts w:ascii="Arial" w:hAnsi="Arial"/>
        <w:sz w:val="18"/>
        <w:szCs w:val="18"/>
      </w:rPr>
    </w:pPr>
    <w:r w:rsidRPr="00A01209">
      <w:rPr>
        <w:rFonts w:ascii="Arial" w:hAnsi="Arial"/>
        <w:b/>
        <w:sz w:val="18"/>
        <w:szCs w:val="18"/>
      </w:rPr>
      <w:t>Budget</w:t>
    </w:r>
    <w:r w:rsidRPr="00A01209">
      <w:rPr>
        <w:rFonts w:ascii="Arial" w:hAnsi="Arial"/>
        <w:sz w:val="18"/>
        <w:szCs w:val="18"/>
      </w:rPr>
      <w:t xml:space="preserve"> 202</w:t>
    </w:r>
    <w:r>
      <w:rPr>
        <w:rFonts w:ascii="Arial" w:hAnsi="Arial"/>
        <w:sz w:val="18"/>
        <w:szCs w:val="18"/>
      </w:rPr>
      <w:t>5</w:t>
    </w:r>
    <w:r w:rsidRPr="00A01209">
      <w:rPr>
        <w:rFonts w:ascii="Arial" w:hAnsi="Arial"/>
        <w:sz w:val="18"/>
        <w:szCs w:val="18"/>
      </w:rPr>
      <w:t>-2</w:t>
    </w:r>
    <w:r>
      <w:rPr>
        <w:rFonts w:ascii="Arial" w:hAnsi="Arial"/>
        <w:sz w:val="18"/>
        <w:szCs w:val="18"/>
      </w:rPr>
      <w:t>6</w:t>
    </w:r>
    <w:r w:rsidRPr="00A01209">
      <w:rPr>
        <w:rFonts w:ascii="Arial" w:hAnsi="Arial"/>
        <w:sz w:val="18"/>
        <w:szCs w:val="18"/>
      </w:rPr>
      <w:t xml:space="preserve"> | Portfolio Budget Statements</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BD3E0" w14:textId="77777777" w:rsidR="00CE3B2C" w:rsidRPr="00FB20E6" w:rsidRDefault="00CE3B2C" w:rsidP="00B53319">
    <w:pPr>
      <w:pStyle w:val="Header"/>
      <w:jc w:val="right"/>
      <w:rPr>
        <w:rFonts w:ascii="Arial" w:hAnsi="Arial"/>
        <w:sz w:val="18"/>
        <w:szCs w:val="18"/>
      </w:rPr>
    </w:pPr>
    <w:r w:rsidRPr="00FB20E6">
      <w:rPr>
        <w:rFonts w:ascii="Arial" w:hAnsi="Arial"/>
        <w:sz w:val="18"/>
        <w:szCs w:val="18"/>
      </w:rPr>
      <w:t>Portfolio Budget Statements |</w:t>
    </w:r>
    <w:r w:rsidRPr="00FB20E6">
      <w:rPr>
        <w:rFonts w:ascii="Arial" w:hAnsi="Arial"/>
        <w:b/>
        <w:sz w:val="18"/>
        <w:szCs w:val="18"/>
      </w:rPr>
      <w:t xml:space="preserve"> Budget</w:t>
    </w:r>
    <w:r w:rsidRPr="00FB20E6">
      <w:rPr>
        <w:rFonts w:ascii="Arial" w:hAnsi="Arial"/>
        <w:sz w:val="18"/>
        <w:szCs w:val="18"/>
      </w:rPr>
      <w:t xml:space="preserve"> 202</w:t>
    </w:r>
    <w:r>
      <w:rPr>
        <w:rFonts w:ascii="Arial" w:hAnsi="Arial"/>
        <w:sz w:val="18"/>
        <w:szCs w:val="18"/>
      </w:rPr>
      <w:t>5</w:t>
    </w:r>
    <w:r w:rsidRPr="00FB20E6">
      <w:rPr>
        <w:rFonts w:ascii="Arial" w:hAnsi="Arial"/>
        <w:sz w:val="18"/>
        <w:szCs w:val="18"/>
      </w:rPr>
      <w:t>-2</w:t>
    </w:r>
    <w:r>
      <w:rPr>
        <w:rFonts w:ascii="Arial" w:hAnsi="Arial"/>
        <w:sz w:val="18"/>
        <w:szCs w:val="18"/>
      </w:rPr>
      <w:t>6</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BEA9C" w14:textId="77777777" w:rsidR="00CE3B2C" w:rsidRPr="00B478A6" w:rsidRDefault="00CE3B2C" w:rsidP="00621141">
    <w:pPr>
      <w:pStyle w:val="Header"/>
      <w:rPr>
        <w:rFonts w:ascii="Arial" w:hAnsi="Arial"/>
        <w:sz w:val="18"/>
        <w:szCs w:val="18"/>
      </w:rPr>
    </w:pPr>
    <w:r w:rsidRPr="00A01209">
      <w:rPr>
        <w:rFonts w:ascii="Arial" w:hAnsi="Arial"/>
        <w:b/>
        <w:sz w:val="18"/>
        <w:szCs w:val="18"/>
      </w:rPr>
      <w:t>Budget</w:t>
    </w:r>
    <w:r>
      <w:rPr>
        <w:rFonts w:ascii="Arial" w:hAnsi="Arial"/>
        <w:sz w:val="18"/>
        <w:szCs w:val="18"/>
      </w:rPr>
      <w:t xml:space="preserve"> 2025</w:t>
    </w:r>
    <w:r w:rsidRPr="00A01209">
      <w:rPr>
        <w:rFonts w:ascii="Arial" w:hAnsi="Arial"/>
        <w:sz w:val="18"/>
        <w:szCs w:val="18"/>
      </w:rPr>
      <w:t>-2</w:t>
    </w:r>
    <w:r>
      <w:rPr>
        <w:rFonts w:ascii="Arial" w:hAnsi="Arial"/>
        <w:sz w:val="18"/>
        <w:szCs w:val="18"/>
      </w:rPr>
      <w:t>6 |</w:t>
    </w:r>
    <w:r w:rsidRPr="00A01209">
      <w:rPr>
        <w:rFonts w:ascii="Arial" w:hAnsi="Arial"/>
        <w:sz w:val="18"/>
        <w:szCs w:val="18"/>
      </w:rPr>
      <w:t xml:space="preserve"> Portfolio Budget Statements</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FE41F" w14:textId="77777777" w:rsidR="00CE3B2C" w:rsidRPr="00AF2ACA" w:rsidRDefault="00CE3B2C" w:rsidP="00621141">
    <w:pPr>
      <w:pStyle w:val="Header"/>
      <w:jc w:val="right"/>
      <w:rPr>
        <w:rFonts w:ascii="Arial" w:hAnsi="Arial"/>
        <w:sz w:val="18"/>
        <w:szCs w:val="18"/>
      </w:rPr>
    </w:pPr>
    <w:r w:rsidRPr="00A01209">
      <w:rPr>
        <w:rFonts w:ascii="Arial" w:hAnsi="Arial"/>
        <w:sz w:val="18"/>
        <w:szCs w:val="18"/>
      </w:rPr>
      <w:t>Portfolio Budget Statements |</w:t>
    </w:r>
    <w:r w:rsidRPr="00A01209">
      <w:rPr>
        <w:rFonts w:ascii="Arial" w:hAnsi="Arial"/>
        <w:b/>
        <w:sz w:val="18"/>
        <w:szCs w:val="18"/>
      </w:rPr>
      <w:t xml:space="preserve"> Budget</w:t>
    </w:r>
    <w:r w:rsidRPr="00A01209">
      <w:rPr>
        <w:rFonts w:ascii="Arial" w:hAnsi="Arial"/>
        <w:sz w:val="18"/>
        <w:szCs w:val="18"/>
      </w:rPr>
      <w:t xml:space="preserve"> 202</w:t>
    </w:r>
    <w:r>
      <w:rPr>
        <w:rFonts w:ascii="Arial" w:hAnsi="Arial"/>
        <w:sz w:val="18"/>
        <w:szCs w:val="18"/>
      </w:rPr>
      <w:t>5</w:t>
    </w:r>
    <w:r w:rsidRPr="00A01209">
      <w:rPr>
        <w:rFonts w:ascii="Arial" w:hAnsi="Arial"/>
        <w:sz w:val="18"/>
        <w:szCs w:val="18"/>
      </w:rPr>
      <w:t>-2</w:t>
    </w:r>
    <w:r>
      <w:rPr>
        <w:rFonts w:ascii="Arial" w:hAnsi="Arial"/>
        <w:sz w:val="18"/>
        <w:szCs w:val="18"/>
      </w:rPr>
      <w:t>6</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B5CDD" w14:textId="77777777" w:rsidR="00CE3B2C" w:rsidRPr="007D5E23" w:rsidRDefault="00CE3B2C" w:rsidP="00621141">
    <w:pPr>
      <w:pStyle w:val="Header"/>
      <w:rPr>
        <w:rFonts w:ascii="Arial" w:hAnsi="Arial"/>
        <w:sz w:val="18"/>
        <w:szCs w:val="18"/>
      </w:rPr>
    </w:pPr>
    <w:r w:rsidRPr="00A01209">
      <w:rPr>
        <w:rFonts w:ascii="Arial" w:hAnsi="Arial"/>
        <w:b/>
        <w:sz w:val="18"/>
        <w:szCs w:val="18"/>
      </w:rPr>
      <w:t>Budget</w:t>
    </w:r>
    <w:r w:rsidRPr="00A01209">
      <w:rPr>
        <w:rFonts w:ascii="Arial" w:hAnsi="Arial"/>
        <w:sz w:val="18"/>
        <w:szCs w:val="18"/>
      </w:rPr>
      <w:t xml:space="preserve"> 202</w:t>
    </w:r>
    <w:r>
      <w:rPr>
        <w:rFonts w:ascii="Arial" w:hAnsi="Arial"/>
        <w:sz w:val="18"/>
        <w:szCs w:val="18"/>
      </w:rPr>
      <w:t>5</w:t>
    </w:r>
    <w:r w:rsidRPr="00A01209">
      <w:rPr>
        <w:rFonts w:ascii="Arial" w:hAnsi="Arial"/>
        <w:sz w:val="18"/>
        <w:szCs w:val="18"/>
      </w:rPr>
      <w:t>-2</w:t>
    </w:r>
    <w:r>
      <w:rPr>
        <w:rFonts w:ascii="Arial" w:hAnsi="Arial"/>
        <w:sz w:val="18"/>
        <w:szCs w:val="18"/>
      </w:rPr>
      <w:t>6</w:t>
    </w:r>
    <w:r w:rsidRPr="00A01209">
      <w:rPr>
        <w:rFonts w:ascii="Arial" w:hAnsi="Arial"/>
        <w:sz w:val="18"/>
        <w:szCs w:val="18"/>
      </w:rPr>
      <w:t xml:space="preserve"> | Portfolio Budget Statements</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77D62" w14:textId="77777777" w:rsidR="00CE3B2C" w:rsidRPr="00AF2ACA" w:rsidRDefault="00CE3B2C" w:rsidP="00621141">
    <w:pPr>
      <w:pStyle w:val="Header"/>
      <w:jc w:val="right"/>
      <w:rPr>
        <w:rFonts w:ascii="Arial" w:hAnsi="Arial"/>
        <w:sz w:val="18"/>
        <w:szCs w:val="18"/>
      </w:rPr>
    </w:pPr>
    <w:r w:rsidRPr="00A01209">
      <w:rPr>
        <w:rFonts w:ascii="Arial" w:hAnsi="Arial"/>
        <w:sz w:val="18"/>
        <w:szCs w:val="18"/>
      </w:rPr>
      <w:t>Portfolio Budget Statements |</w:t>
    </w:r>
    <w:r w:rsidRPr="00A01209">
      <w:rPr>
        <w:rFonts w:ascii="Arial" w:hAnsi="Arial"/>
        <w:b/>
        <w:sz w:val="18"/>
        <w:szCs w:val="18"/>
      </w:rPr>
      <w:t xml:space="preserve"> Budget</w:t>
    </w:r>
    <w:r w:rsidRPr="00A01209">
      <w:rPr>
        <w:rFonts w:ascii="Arial" w:hAnsi="Arial"/>
        <w:sz w:val="18"/>
        <w:szCs w:val="18"/>
      </w:rPr>
      <w:t xml:space="preserve"> 202</w:t>
    </w:r>
    <w:r>
      <w:rPr>
        <w:rFonts w:ascii="Arial" w:hAnsi="Arial"/>
        <w:sz w:val="18"/>
        <w:szCs w:val="18"/>
      </w:rPr>
      <w:t>5</w:t>
    </w:r>
    <w:r w:rsidRPr="00A01209">
      <w:rPr>
        <w:rFonts w:ascii="Arial" w:hAnsi="Arial"/>
        <w:sz w:val="18"/>
        <w:szCs w:val="18"/>
      </w:rPr>
      <w:t>-2</w:t>
    </w:r>
    <w:r>
      <w:rPr>
        <w:rFonts w:ascii="Arial" w:hAnsi="Arial"/>
        <w:sz w:val="18"/>
        <w:szCs w:val="18"/>
      </w:rPr>
      <w:t>6</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01ECB" w14:textId="77777777" w:rsidR="00CE3B2C" w:rsidRPr="007D5E23" w:rsidRDefault="00CE3B2C" w:rsidP="00621141">
    <w:pPr>
      <w:pStyle w:val="Header"/>
      <w:rPr>
        <w:rFonts w:ascii="Arial" w:hAnsi="Arial"/>
        <w:sz w:val="18"/>
        <w:szCs w:val="18"/>
      </w:rPr>
    </w:pPr>
    <w:r w:rsidRPr="00A01209">
      <w:rPr>
        <w:rFonts w:ascii="Arial" w:hAnsi="Arial"/>
        <w:b/>
        <w:sz w:val="18"/>
        <w:szCs w:val="18"/>
      </w:rPr>
      <w:t>Budget</w:t>
    </w:r>
    <w:r w:rsidRPr="00A01209">
      <w:rPr>
        <w:rFonts w:ascii="Arial" w:hAnsi="Arial"/>
        <w:sz w:val="18"/>
        <w:szCs w:val="18"/>
      </w:rPr>
      <w:t xml:space="preserve"> 202</w:t>
    </w:r>
    <w:r>
      <w:rPr>
        <w:rFonts w:ascii="Arial" w:hAnsi="Arial"/>
        <w:sz w:val="18"/>
        <w:szCs w:val="18"/>
      </w:rPr>
      <w:t>5</w:t>
    </w:r>
    <w:r w:rsidRPr="00A01209">
      <w:rPr>
        <w:rFonts w:ascii="Arial" w:hAnsi="Arial"/>
        <w:sz w:val="18"/>
        <w:szCs w:val="18"/>
      </w:rPr>
      <w:t>-2</w:t>
    </w:r>
    <w:r>
      <w:rPr>
        <w:rFonts w:ascii="Arial" w:hAnsi="Arial"/>
        <w:sz w:val="18"/>
        <w:szCs w:val="18"/>
      </w:rPr>
      <w:t>6</w:t>
    </w:r>
    <w:r w:rsidRPr="00A01209">
      <w:rPr>
        <w:rFonts w:ascii="Arial" w:hAnsi="Arial"/>
        <w:sz w:val="18"/>
        <w:szCs w:val="18"/>
      </w:rPr>
      <w:t xml:space="preserve"> | Portfolio Budget Statements</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3F4AB" w14:textId="77777777" w:rsidR="00CE3B2C" w:rsidRPr="0078122F" w:rsidRDefault="00CE3B2C" w:rsidP="00621141">
    <w:pPr>
      <w:pStyle w:val="Header"/>
      <w:jc w:val="right"/>
      <w:rPr>
        <w:rFonts w:ascii="Arial" w:hAnsi="Arial"/>
        <w:sz w:val="18"/>
        <w:szCs w:val="18"/>
      </w:rPr>
    </w:pPr>
    <w:r w:rsidRPr="00A01209">
      <w:rPr>
        <w:rFonts w:ascii="Arial" w:hAnsi="Arial"/>
        <w:sz w:val="18"/>
        <w:szCs w:val="18"/>
      </w:rPr>
      <w:t>Portfolio Budget Statements |</w:t>
    </w:r>
    <w:r w:rsidRPr="00A01209">
      <w:rPr>
        <w:rFonts w:ascii="Arial" w:hAnsi="Arial"/>
        <w:b/>
        <w:sz w:val="18"/>
        <w:szCs w:val="18"/>
      </w:rPr>
      <w:t xml:space="preserve"> Budget</w:t>
    </w:r>
    <w:r w:rsidRPr="00A01209">
      <w:rPr>
        <w:rFonts w:ascii="Arial" w:hAnsi="Arial"/>
        <w:sz w:val="18"/>
        <w:szCs w:val="18"/>
      </w:rPr>
      <w:t xml:space="preserve"> 202</w:t>
    </w:r>
    <w:r>
      <w:rPr>
        <w:rFonts w:ascii="Arial" w:hAnsi="Arial"/>
        <w:sz w:val="18"/>
        <w:szCs w:val="18"/>
      </w:rPr>
      <w:t>5</w:t>
    </w:r>
    <w:r w:rsidRPr="00A01209">
      <w:rPr>
        <w:rFonts w:ascii="Arial" w:hAnsi="Arial"/>
        <w:sz w:val="18"/>
        <w:szCs w:val="18"/>
      </w:rPr>
      <w:t>-2</w:t>
    </w:r>
    <w:r>
      <w:rPr>
        <w:rFonts w:ascii="Arial" w:hAnsi="Arial"/>
        <w:sz w:val="18"/>
        <w:szCs w:val="18"/>
      </w:rPr>
      <w:t>6</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7B849" w14:textId="77777777" w:rsidR="00CE3B2C" w:rsidRDefault="00CE3B2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26B68" w14:textId="77777777" w:rsidR="00CE3B2C" w:rsidRDefault="00CE3B2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FBD3E" w14:textId="77777777" w:rsidR="00CE3B2C" w:rsidRPr="00842D21" w:rsidRDefault="00CE3B2C" w:rsidP="00787DB2">
    <w:pPr>
      <w:pStyle w:val="Header"/>
      <w:rPr>
        <w:rFonts w:ascii="Arial" w:hAnsi="Arial"/>
        <w:sz w:val="18"/>
        <w:szCs w:val="18"/>
      </w:rPr>
    </w:pPr>
    <w:r w:rsidRPr="00A01209">
      <w:rPr>
        <w:rFonts w:ascii="Arial" w:hAnsi="Arial"/>
        <w:b/>
        <w:sz w:val="18"/>
        <w:szCs w:val="18"/>
      </w:rPr>
      <w:t>Budget</w:t>
    </w:r>
    <w:r>
      <w:rPr>
        <w:rFonts w:ascii="Arial" w:hAnsi="Arial"/>
        <w:sz w:val="18"/>
        <w:szCs w:val="18"/>
      </w:rPr>
      <w:t xml:space="preserve"> </w:t>
    </w:r>
    <w:r w:rsidRPr="00A01209">
      <w:rPr>
        <w:rFonts w:ascii="Arial" w:hAnsi="Arial"/>
        <w:sz w:val="18"/>
        <w:szCs w:val="18"/>
      </w:rPr>
      <w:t>202</w:t>
    </w:r>
    <w:r>
      <w:rPr>
        <w:rFonts w:ascii="Arial" w:hAnsi="Arial"/>
        <w:sz w:val="18"/>
        <w:szCs w:val="18"/>
      </w:rPr>
      <w:t>5</w:t>
    </w:r>
    <w:r w:rsidRPr="00A01209">
      <w:rPr>
        <w:rFonts w:ascii="Arial" w:hAnsi="Arial"/>
        <w:sz w:val="18"/>
        <w:szCs w:val="18"/>
      </w:rPr>
      <w:t>-2</w:t>
    </w:r>
    <w:r>
      <w:rPr>
        <w:rFonts w:ascii="Arial" w:hAnsi="Arial"/>
        <w:sz w:val="18"/>
        <w:szCs w:val="18"/>
      </w:rPr>
      <w:t>6</w:t>
    </w:r>
    <w:r w:rsidRPr="00A01209">
      <w:rPr>
        <w:rFonts w:ascii="Arial" w:hAnsi="Arial"/>
        <w:sz w:val="18"/>
        <w:szCs w:val="18"/>
      </w:rPr>
      <w:t xml:space="preserve"> | Portfolio Budget Statements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699DE" w14:textId="77777777" w:rsidR="00CE3B2C" w:rsidRPr="00356250" w:rsidRDefault="00CE3B2C" w:rsidP="0035625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93C87" w14:textId="77777777" w:rsidR="00CE3B2C" w:rsidRDefault="00CE3B2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5F1A8" w14:textId="77777777" w:rsidR="00CE3B2C" w:rsidRPr="00842D21" w:rsidRDefault="00CE3B2C" w:rsidP="00787DB2">
    <w:pPr>
      <w:pStyle w:val="Header"/>
      <w:rPr>
        <w:rFonts w:ascii="Arial" w:hAnsi="Arial"/>
        <w:sz w:val="18"/>
        <w:szCs w:val="18"/>
      </w:rPr>
    </w:pPr>
    <w:r w:rsidRPr="000D7A2C">
      <w:rPr>
        <w:rFonts w:ascii="Arial" w:hAnsi="Arial"/>
        <w:b/>
        <w:sz w:val="18"/>
        <w:szCs w:val="18"/>
      </w:rPr>
      <w:t>Budget</w:t>
    </w:r>
    <w:r w:rsidRPr="000D7A2C">
      <w:rPr>
        <w:rFonts w:ascii="Arial" w:hAnsi="Arial"/>
        <w:sz w:val="18"/>
        <w:szCs w:val="18"/>
      </w:rPr>
      <w:t xml:space="preserve"> </w:t>
    </w:r>
    <w:r w:rsidRPr="00A01209">
      <w:rPr>
        <w:rFonts w:ascii="Arial" w:hAnsi="Arial"/>
        <w:sz w:val="18"/>
        <w:szCs w:val="18"/>
      </w:rPr>
      <w:t>202</w:t>
    </w:r>
    <w:r>
      <w:rPr>
        <w:rFonts w:ascii="Arial" w:hAnsi="Arial"/>
        <w:sz w:val="18"/>
        <w:szCs w:val="18"/>
      </w:rPr>
      <w:t>5</w:t>
    </w:r>
    <w:r w:rsidRPr="00A01209">
      <w:rPr>
        <w:rFonts w:ascii="Arial" w:hAnsi="Arial"/>
        <w:sz w:val="18"/>
        <w:szCs w:val="18"/>
      </w:rPr>
      <w:t>-2</w:t>
    </w:r>
    <w:r>
      <w:rPr>
        <w:rFonts w:ascii="Arial" w:hAnsi="Arial"/>
        <w:sz w:val="18"/>
        <w:szCs w:val="18"/>
      </w:rPr>
      <w:t xml:space="preserve">6 </w:t>
    </w:r>
    <w:r w:rsidRPr="00A01209">
      <w:rPr>
        <w:rFonts w:ascii="Arial" w:hAnsi="Arial"/>
        <w:sz w:val="18"/>
        <w:szCs w:val="18"/>
      </w:rPr>
      <w:t>| Portfolio Budget Statements</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D1AE4" w14:textId="77777777" w:rsidR="00CE3B2C" w:rsidRPr="00842D21" w:rsidRDefault="00CE3B2C" w:rsidP="006E0B00">
    <w:pPr>
      <w:pStyle w:val="Header"/>
      <w:jc w:val="right"/>
      <w:rPr>
        <w:rFonts w:ascii="Arial" w:hAnsi="Arial"/>
        <w:sz w:val="18"/>
        <w:szCs w:val="18"/>
      </w:rPr>
    </w:pPr>
    <w:r w:rsidRPr="00A01209">
      <w:rPr>
        <w:rFonts w:ascii="Arial" w:hAnsi="Arial"/>
        <w:sz w:val="18"/>
        <w:szCs w:val="18"/>
      </w:rPr>
      <w:t>Portfolio Budget Statements |</w:t>
    </w:r>
    <w:r w:rsidRPr="00A01209">
      <w:rPr>
        <w:rFonts w:ascii="Arial" w:hAnsi="Arial"/>
        <w:b/>
        <w:sz w:val="18"/>
        <w:szCs w:val="18"/>
      </w:rPr>
      <w:t xml:space="preserve"> Budget</w:t>
    </w:r>
    <w:r w:rsidRPr="00A01209">
      <w:rPr>
        <w:rFonts w:ascii="Arial" w:hAnsi="Arial"/>
        <w:sz w:val="18"/>
        <w:szCs w:val="18"/>
      </w:rPr>
      <w:t xml:space="preserve"> 202</w:t>
    </w:r>
    <w:r>
      <w:rPr>
        <w:rFonts w:ascii="Arial" w:hAnsi="Arial"/>
        <w:sz w:val="18"/>
        <w:szCs w:val="18"/>
      </w:rPr>
      <w:t>5</w:t>
    </w:r>
    <w:r w:rsidRPr="00A01209">
      <w:rPr>
        <w:rFonts w:ascii="Arial" w:hAnsi="Arial"/>
        <w:sz w:val="18"/>
        <w:szCs w:val="18"/>
      </w:rPr>
      <w:t>-2</w:t>
    </w:r>
    <w:r>
      <w:rPr>
        <w:rFonts w:ascii="Arial" w:hAnsi="Arial"/>
        <w:sz w:val="18"/>
        <w:szCs w:val="18"/>
      </w:rPr>
      <w:t>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1887A64"/>
    <w:lvl w:ilvl="0">
      <w:start w:val="1"/>
      <w:numFmt w:val="decimal"/>
      <w:pStyle w:val="ListNumber5"/>
      <w:lvlText w:val="%1."/>
      <w:lvlJc w:val="left"/>
      <w:pPr>
        <w:tabs>
          <w:tab w:val="num" w:pos="-776"/>
        </w:tabs>
        <w:ind w:left="-776" w:hanging="360"/>
      </w:pPr>
    </w:lvl>
  </w:abstractNum>
  <w:abstractNum w:abstractNumId="1" w15:restartNumberingAfterBreak="0">
    <w:nsid w:val="FFFFFF7D"/>
    <w:multiLevelType w:val="singleLevel"/>
    <w:tmpl w:val="665C6B9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986F2F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7B8FB8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136BBB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8C12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53EF09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2EAAD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430712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E5E50D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407"/>
    <w:multiLevelType w:val="multilevel"/>
    <w:tmpl w:val="A620B0E2"/>
    <w:lvl w:ilvl="0">
      <w:start w:val="3"/>
      <w:numFmt w:val="upperLetter"/>
      <w:lvlText w:val="%1"/>
      <w:lvlJc w:val="left"/>
      <w:pPr>
        <w:ind w:left="627" w:hanging="487"/>
      </w:pPr>
      <w:rPr>
        <w:rFonts w:cs="Times New Roman"/>
      </w:rPr>
    </w:lvl>
    <w:lvl w:ilvl="1">
      <w:start w:val="17"/>
      <w:numFmt w:val="decimal"/>
      <w:lvlText w:val="%1-%2"/>
      <w:lvlJc w:val="left"/>
      <w:pPr>
        <w:ind w:left="627" w:hanging="487"/>
      </w:pPr>
      <w:rPr>
        <w:rFonts w:ascii="Arial" w:hAnsi="Arial" w:cs="Arial"/>
        <w:b w:val="0"/>
        <w:bCs w:val="0"/>
        <w:spacing w:val="-1"/>
        <w:w w:val="99"/>
        <w:sz w:val="20"/>
        <w:szCs w:val="20"/>
      </w:rPr>
    </w:lvl>
    <w:lvl w:ilvl="2">
      <w:start w:val="1"/>
      <w:numFmt w:val="lowerLetter"/>
      <w:lvlText w:val="%3."/>
      <w:lvlJc w:val="left"/>
      <w:pPr>
        <w:ind w:left="406" w:hanging="406"/>
      </w:pPr>
      <w:rPr>
        <w:rFonts w:ascii="Arial" w:eastAsia="Times New Roman" w:hAnsi="Arial" w:cs="Arial"/>
        <w:b w:val="0"/>
        <w:bCs w:val="0"/>
        <w:color w:val="2D2333"/>
        <w:spacing w:val="-1"/>
        <w:w w:val="101"/>
        <w:sz w:val="14"/>
        <w:szCs w:val="14"/>
      </w:rPr>
    </w:lvl>
    <w:lvl w:ilvl="3">
      <w:numFmt w:val="bullet"/>
      <w:lvlText w:val="•"/>
      <w:lvlJc w:val="left"/>
      <w:pPr>
        <w:ind w:left="3376" w:hanging="406"/>
      </w:pPr>
    </w:lvl>
    <w:lvl w:ilvl="4">
      <w:numFmt w:val="bullet"/>
      <w:lvlText w:val="•"/>
      <w:lvlJc w:val="left"/>
      <w:pPr>
        <w:ind w:left="4335" w:hanging="406"/>
      </w:pPr>
    </w:lvl>
    <w:lvl w:ilvl="5">
      <w:numFmt w:val="bullet"/>
      <w:lvlText w:val="•"/>
      <w:lvlJc w:val="left"/>
      <w:pPr>
        <w:ind w:left="5293" w:hanging="406"/>
      </w:pPr>
    </w:lvl>
    <w:lvl w:ilvl="6">
      <w:numFmt w:val="bullet"/>
      <w:lvlText w:val="•"/>
      <w:lvlJc w:val="left"/>
      <w:pPr>
        <w:ind w:left="6252" w:hanging="406"/>
      </w:pPr>
    </w:lvl>
    <w:lvl w:ilvl="7">
      <w:numFmt w:val="bullet"/>
      <w:lvlText w:val="•"/>
      <w:lvlJc w:val="left"/>
      <w:pPr>
        <w:ind w:left="7210" w:hanging="406"/>
      </w:pPr>
    </w:lvl>
    <w:lvl w:ilvl="8">
      <w:numFmt w:val="bullet"/>
      <w:lvlText w:val="•"/>
      <w:lvlJc w:val="left"/>
      <w:pPr>
        <w:ind w:left="8169" w:hanging="406"/>
      </w:pPr>
    </w:lvl>
  </w:abstractNum>
  <w:abstractNum w:abstractNumId="11" w15:restartNumberingAfterBreak="0">
    <w:nsid w:val="00B0165C"/>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01DB5EA2"/>
    <w:multiLevelType w:val="hybridMultilevel"/>
    <w:tmpl w:val="5D26E9EA"/>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044D3A71"/>
    <w:multiLevelType w:val="hybridMultilevel"/>
    <w:tmpl w:val="6FF81A42"/>
    <w:lvl w:ilvl="0" w:tplc="5EE4A48C">
      <w:start w:val="1"/>
      <w:numFmt w:val="bullet"/>
      <w:lvlText w:val=""/>
      <w:lvlJc w:val="left"/>
      <w:pPr>
        <w:ind w:left="718" w:hanging="360"/>
      </w:pPr>
      <w:rPr>
        <w:rFonts w:ascii="Symbol" w:eastAsia="Times New Roman" w:hAnsi="Symbol" w:cs="Calibri" w:hint="default"/>
        <w:color w:val="000000"/>
      </w:rPr>
    </w:lvl>
    <w:lvl w:ilvl="1" w:tplc="0C090003" w:tentative="1">
      <w:start w:val="1"/>
      <w:numFmt w:val="bullet"/>
      <w:lvlText w:val="o"/>
      <w:lvlJc w:val="left"/>
      <w:pPr>
        <w:ind w:left="1438" w:hanging="360"/>
      </w:pPr>
      <w:rPr>
        <w:rFonts w:ascii="Courier New" w:hAnsi="Courier New" w:cs="Courier New" w:hint="default"/>
      </w:rPr>
    </w:lvl>
    <w:lvl w:ilvl="2" w:tplc="0C090005" w:tentative="1">
      <w:start w:val="1"/>
      <w:numFmt w:val="bullet"/>
      <w:lvlText w:val=""/>
      <w:lvlJc w:val="left"/>
      <w:pPr>
        <w:ind w:left="2158" w:hanging="360"/>
      </w:pPr>
      <w:rPr>
        <w:rFonts w:ascii="Wingdings" w:hAnsi="Wingdings" w:hint="default"/>
      </w:rPr>
    </w:lvl>
    <w:lvl w:ilvl="3" w:tplc="0C090001" w:tentative="1">
      <w:start w:val="1"/>
      <w:numFmt w:val="bullet"/>
      <w:lvlText w:val=""/>
      <w:lvlJc w:val="left"/>
      <w:pPr>
        <w:ind w:left="2878" w:hanging="360"/>
      </w:pPr>
      <w:rPr>
        <w:rFonts w:ascii="Symbol" w:hAnsi="Symbol" w:hint="default"/>
      </w:rPr>
    </w:lvl>
    <w:lvl w:ilvl="4" w:tplc="0C090003" w:tentative="1">
      <w:start w:val="1"/>
      <w:numFmt w:val="bullet"/>
      <w:lvlText w:val="o"/>
      <w:lvlJc w:val="left"/>
      <w:pPr>
        <w:ind w:left="3598" w:hanging="360"/>
      </w:pPr>
      <w:rPr>
        <w:rFonts w:ascii="Courier New" w:hAnsi="Courier New" w:cs="Courier New" w:hint="default"/>
      </w:rPr>
    </w:lvl>
    <w:lvl w:ilvl="5" w:tplc="0C090005" w:tentative="1">
      <w:start w:val="1"/>
      <w:numFmt w:val="bullet"/>
      <w:lvlText w:val=""/>
      <w:lvlJc w:val="left"/>
      <w:pPr>
        <w:ind w:left="4318" w:hanging="360"/>
      </w:pPr>
      <w:rPr>
        <w:rFonts w:ascii="Wingdings" w:hAnsi="Wingdings" w:hint="default"/>
      </w:rPr>
    </w:lvl>
    <w:lvl w:ilvl="6" w:tplc="0C090001" w:tentative="1">
      <w:start w:val="1"/>
      <w:numFmt w:val="bullet"/>
      <w:lvlText w:val=""/>
      <w:lvlJc w:val="left"/>
      <w:pPr>
        <w:ind w:left="5038" w:hanging="360"/>
      </w:pPr>
      <w:rPr>
        <w:rFonts w:ascii="Symbol" w:hAnsi="Symbol" w:hint="default"/>
      </w:rPr>
    </w:lvl>
    <w:lvl w:ilvl="7" w:tplc="0C090003" w:tentative="1">
      <w:start w:val="1"/>
      <w:numFmt w:val="bullet"/>
      <w:lvlText w:val="o"/>
      <w:lvlJc w:val="left"/>
      <w:pPr>
        <w:ind w:left="5758" w:hanging="360"/>
      </w:pPr>
      <w:rPr>
        <w:rFonts w:ascii="Courier New" w:hAnsi="Courier New" w:cs="Courier New" w:hint="default"/>
      </w:rPr>
    </w:lvl>
    <w:lvl w:ilvl="8" w:tplc="0C090005" w:tentative="1">
      <w:start w:val="1"/>
      <w:numFmt w:val="bullet"/>
      <w:lvlText w:val=""/>
      <w:lvlJc w:val="left"/>
      <w:pPr>
        <w:ind w:left="6478" w:hanging="360"/>
      </w:pPr>
      <w:rPr>
        <w:rFonts w:ascii="Wingdings" w:hAnsi="Wingdings" w:hint="default"/>
      </w:rPr>
    </w:lvl>
  </w:abstractNum>
  <w:abstractNum w:abstractNumId="14" w15:restartNumberingAfterBreak="0">
    <w:nsid w:val="07DA56A4"/>
    <w:multiLevelType w:val="hybridMultilevel"/>
    <w:tmpl w:val="1624DE4E"/>
    <w:lvl w:ilvl="0" w:tplc="3CD07B50">
      <w:start w:val="1"/>
      <w:numFmt w:val="lowerLetter"/>
      <w:lvlText w:val="%1."/>
      <w:lvlJc w:val="left"/>
      <w:pPr>
        <w:ind w:left="360" w:hanging="360"/>
      </w:pPr>
      <w:rPr>
        <w:rFonts w:hint="default"/>
        <w:i w:val="0"/>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5" w15:restartNumberingAfterBreak="0">
    <w:nsid w:val="08F95ECA"/>
    <w:multiLevelType w:val="hybridMultilevel"/>
    <w:tmpl w:val="8B3E5D40"/>
    <w:lvl w:ilvl="0" w:tplc="13AAAFAE">
      <w:start w:val="8"/>
      <w:numFmt w:val="decimal"/>
      <w:lvlText w:val="Table %1: "/>
      <w:lvlJc w:val="left"/>
      <w:pPr>
        <w:ind w:left="928" w:hanging="360"/>
      </w:pPr>
      <w:rPr>
        <w:rFonts w:hint="default"/>
        <w:b/>
        <w:bCs w:val="0"/>
        <w:i w:val="0"/>
        <w:iCs w:val="0"/>
        <w:caps w:val="0"/>
        <w:small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9717108"/>
    <w:multiLevelType w:val="hybridMultilevel"/>
    <w:tmpl w:val="6C48633E"/>
    <w:lvl w:ilvl="0" w:tplc="973E99C2">
      <w:start w:val="1"/>
      <w:numFmt w:val="lowerLetter"/>
      <w:lvlText w:val="%1."/>
      <w:lvlJc w:val="left"/>
      <w:pPr>
        <w:ind w:left="360" w:hanging="360"/>
      </w:pPr>
      <w:rPr>
        <w:rFonts w:hint="default"/>
        <w:i w:val="0"/>
      </w:rPr>
    </w:lvl>
    <w:lvl w:ilvl="1" w:tplc="0C090019" w:tentative="1">
      <w:start w:val="1"/>
      <w:numFmt w:val="lowerLetter"/>
      <w:lvlText w:val="%2."/>
      <w:lvlJc w:val="left"/>
      <w:pPr>
        <w:ind w:left="1220" w:hanging="360"/>
      </w:pPr>
    </w:lvl>
    <w:lvl w:ilvl="2" w:tplc="0C09001B" w:tentative="1">
      <w:start w:val="1"/>
      <w:numFmt w:val="lowerRoman"/>
      <w:lvlText w:val="%3."/>
      <w:lvlJc w:val="right"/>
      <w:pPr>
        <w:ind w:left="1940" w:hanging="180"/>
      </w:pPr>
    </w:lvl>
    <w:lvl w:ilvl="3" w:tplc="0C09000F" w:tentative="1">
      <w:start w:val="1"/>
      <w:numFmt w:val="decimal"/>
      <w:lvlText w:val="%4."/>
      <w:lvlJc w:val="left"/>
      <w:pPr>
        <w:ind w:left="2660" w:hanging="360"/>
      </w:pPr>
    </w:lvl>
    <w:lvl w:ilvl="4" w:tplc="0C090019" w:tentative="1">
      <w:start w:val="1"/>
      <w:numFmt w:val="lowerLetter"/>
      <w:lvlText w:val="%5."/>
      <w:lvlJc w:val="left"/>
      <w:pPr>
        <w:ind w:left="3380" w:hanging="360"/>
      </w:pPr>
    </w:lvl>
    <w:lvl w:ilvl="5" w:tplc="0C09001B" w:tentative="1">
      <w:start w:val="1"/>
      <w:numFmt w:val="lowerRoman"/>
      <w:lvlText w:val="%6."/>
      <w:lvlJc w:val="right"/>
      <w:pPr>
        <w:ind w:left="4100" w:hanging="180"/>
      </w:pPr>
    </w:lvl>
    <w:lvl w:ilvl="6" w:tplc="0C09000F" w:tentative="1">
      <w:start w:val="1"/>
      <w:numFmt w:val="decimal"/>
      <w:lvlText w:val="%7."/>
      <w:lvlJc w:val="left"/>
      <w:pPr>
        <w:ind w:left="4820" w:hanging="360"/>
      </w:pPr>
    </w:lvl>
    <w:lvl w:ilvl="7" w:tplc="0C090019" w:tentative="1">
      <w:start w:val="1"/>
      <w:numFmt w:val="lowerLetter"/>
      <w:lvlText w:val="%8."/>
      <w:lvlJc w:val="left"/>
      <w:pPr>
        <w:ind w:left="5540" w:hanging="360"/>
      </w:pPr>
    </w:lvl>
    <w:lvl w:ilvl="8" w:tplc="0C09001B" w:tentative="1">
      <w:start w:val="1"/>
      <w:numFmt w:val="lowerRoman"/>
      <w:lvlText w:val="%9."/>
      <w:lvlJc w:val="right"/>
      <w:pPr>
        <w:ind w:left="6260" w:hanging="180"/>
      </w:pPr>
    </w:lvl>
  </w:abstractNum>
  <w:abstractNum w:abstractNumId="17" w15:restartNumberingAfterBreak="0">
    <w:nsid w:val="0A214CF0"/>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0ADF4EC4"/>
    <w:multiLevelType w:val="hybridMultilevel"/>
    <w:tmpl w:val="ED5C9200"/>
    <w:lvl w:ilvl="0" w:tplc="EA5C714C">
      <w:start w:val="1"/>
      <w:numFmt w:val="lowerLetter"/>
      <w:lvlText w:val="%1."/>
      <w:lvlJc w:val="left"/>
      <w:pPr>
        <w:ind w:left="360" w:hanging="360"/>
      </w:pPr>
      <w:rPr>
        <w:rFonts w:hint="default"/>
        <w:i w:val="0"/>
      </w:rPr>
    </w:lvl>
    <w:lvl w:ilvl="1" w:tplc="0C090019" w:tentative="1">
      <w:start w:val="1"/>
      <w:numFmt w:val="lowerLetter"/>
      <w:lvlText w:val="%2."/>
      <w:lvlJc w:val="left"/>
      <w:pPr>
        <w:ind w:left="1223" w:hanging="360"/>
      </w:pPr>
    </w:lvl>
    <w:lvl w:ilvl="2" w:tplc="0C09001B" w:tentative="1">
      <w:start w:val="1"/>
      <w:numFmt w:val="lowerRoman"/>
      <w:lvlText w:val="%3."/>
      <w:lvlJc w:val="right"/>
      <w:pPr>
        <w:ind w:left="1943" w:hanging="180"/>
      </w:pPr>
    </w:lvl>
    <w:lvl w:ilvl="3" w:tplc="0C09000F" w:tentative="1">
      <w:start w:val="1"/>
      <w:numFmt w:val="decimal"/>
      <w:lvlText w:val="%4."/>
      <w:lvlJc w:val="left"/>
      <w:pPr>
        <w:ind w:left="2663" w:hanging="360"/>
      </w:pPr>
    </w:lvl>
    <w:lvl w:ilvl="4" w:tplc="0C090019" w:tentative="1">
      <w:start w:val="1"/>
      <w:numFmt w:val="lowerLetter"/>
      <w:lvlText w:val="%5."/>
      <w:lvlJc w:val="left"/>
      <w:pPr>
        <w:ind w:left="3383" w:hanging="360"/>
      </w:pPr>
    </w:lvl>
    <w:lvl w:ilvl="5" w:tplc="0C09001B" w:tentative="1">
      <w:start w:val="1"/>
      <w:numFmt w:val="lowerRoman"/>
      <w:lvlText w:val="%6."/>
      <w:lvlJc w:val="right"/>
      <w:pPr>
        <w:ind w:left="4103" w:hanging="180"/>
      </w:pPr>
    </w:lvl>
    <w:lvl w:ilvl="6" w:tplc="0C09000F" w:tentative="1">
      <w:start w:val="1"/>
      <w:numFmt w:val="decimal"/>
      <w:lvlText w:val="%7."/>
      <w:lvlJc w:val="left"/>
      <w:pPr>
        <w:ind w:left="4823" w:hanging="360"/>
      </w:pPr>
    </w:lvl>
    <w:lvl w:ilvl="7" w:tplc="0C090019" w:tentative="1">
      <w:start w:val="1"/>
      <w:numFmt w:val="lowerLetter"/>
      <w:lvlText w:val="%8."/>
      <w:lvlJc w:val="left"/>
      <w:pPr>
        <w:ind w:left="5543" w:hanging="360"/>
      </w:pPr>
    </w:lvl>
    <w:lvl w:ilvl="8" w:tplc="0C09001B" w:tentative="1">
      <w:start w:val="1"/>
      <w:numFmt w:val="lowerRoman"/>
      <w:lvlText w:val="%9."/>
      <w:lvlJc w:val="right"/>
      <w:pPr>
        <w:ind w:left="6263" w:hanging="180"/>
      </w:pPr>
    </w:lvl>
  </w:abstractNum>
  <w:abstractNum w:abstractNumId="19" w15:restartNumberingAfterBreak="0">
    <w:nsid w:val="0D203299"/>
    <w:multiLevelType w:val="hybridMultilevel"/>
    <w:tmpl w:val="1624DE4E"/>
    <w:lvl w:ilvl="0" w:tplc="3CD07B50">
      <w:start w:val="1"/>
      <w:numFmt w:val="lowerLetter"/>
      <w:lvlText w:val="%1."/>
      <w:lvlJc w:val="left"/>
      <w:pPr>
        <w:ind w:left="360" w:hanging="360"/>
      </w:pPr>
      <w:rPr>
        <w:rFonts w:hint="default"/>
        <w:i w:val="0"/>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20" w15:restartNumberingAfterBreak="0">
    <w:nsid w:val="153678AB"/>
    <w:multiLevelType w:val="hybridMultilevel"/>
    <w:tmpl w:val="CE80B22E"/>
    <w:lvl w:ilvl="0" w:tplc="26EEE044">
      <w:start w:val="1"/>
      <w:numFmt w:val="decimal"/>
      <w:lvlText w:val="Table %1: "/>
      <w:lvlJc w:val="left"/>
      <w:pPr>
        <w:ind w:left="4187" w:hanging="360"/>
      </w:pPr>
      <w:rPr>
        <w:rFonts w:hint="default"/>
        <w:b/>
        <w:bCs w:val="0"/>
        <w:i w:val="0"/>
        <w:iCs w:val="0"/>
        <w:caps w:val="0"/>
        <w:small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A0F60BB"/>
    <w:multiLevelType w:val="hybridMultilevel"/>
    <w:tmpl w:val="0DBE8752"/>
    <w:lvl w:ilvl="0" w:tplc="E8129C48">
      <w:start w:val="1"/>
      <w:numFmt w:val="bullet"/>
      <w:pStyle w:val="TableTextBullet"/>
      <w:lvlText w:val=""/>
      <w:lvlJc w:val="left"/>
      <w:pPr>
        <w:tabs>
          <w:tab w:val="num" w:pos="360"/>
        </w:tabs>
        <w:ind w:left="360" w:hanging="24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AB8452B"/>
    <w:multiLevelType w:val="hybridMultilevel"/>
    <w:tmpl w:val="C67AC194"/>
    <w:lvl w:ilvl="0" w:tplc="0C090019">
      <w:start w:val="1"/>
      <w:numFmt w:val="lowerLetter"/>
      <w:lvlText w:val="%1."/>
      <w:lvlJc w:val="left"/>
      <w:pPr>
        <w:ind w:left="722" w:hanging="360"/>
      </w:pPr>
      <w:rPr>
        <w:rFonts w:hint="default"/>
      </w:rPr>
    </w:lvl>
    <w:lvl w:ilvl="1" w:tplc="0C090019" w:tentative="1">
      <w:start w:val="1"/>
      <w:numFmt w:val="lowerLetter"/>
      <w:lvlText w:val="%2."/>
      <w:lvlJc w:val="left"/>
      <w:pPr>
        <w:ind w:left="1442" w:hanging="360"/>
      </w:pPr>
    </w:lvl>
    <w:lvl w:ilvl="2" w:tplc="0C09001B" w:tentative="1">
      <w:start w:val="1"/>
      <w:numFmt w:val="lowerRoman"/>
      <w:lvlText w:val="%3."/>
      <w:lvlJc w:val="right"/>
      <w:pPr>
        <w:ind w:left="2162" w:hanging="180"/>
      </w:pPr>
    </w:lvl>
    <w:lvl w:ilvl="3" w:tplc="0C09000F" w:tentative="1">
      <w:start w:val="1"/>
      <w:numFmt w:val="decimal"/>
      <w:lvlText w:val="%4."/>
      <w:lvlJc w:val="left"/>
      <w:pPr>
        <w:ind w:left="2882" w:hanging="360"/>
      </w:pPr>
    </w:lvl>
    <w:lvl w:ilvl="4" w:tplc="0C090019" w:tentative="1">
      <w:start w:val="1"/>
      <w:numFmt w:val="lowerLetter"/>
      <w:lvlText w:val="%5."/>
      <w:lvlJc w:val="left"/>
      <w:pPr>
        <w:ind w:left="3602" w:hanging="360"/>
      </w:pPr>
    </w:lvl>
    <w:lvl w:ilvl="5" w:tplc="0C09001B" w:tentative="1">
      <w:start w:val="1"/>
      <w:numFmt w:val="lowerRoman"/>
      <w:lvlText w:val="%6."/>
      <w:lvlJc w:val="right"/>
      <w:pPr>
        <w:ind w:left="4322" w:hanging="180"/>
      </w:pPr>
    </w:lvl>
    <w:lvl w:ilvl="6" w:tplc="0C09000F" w:tentative="1">
      <w:start w:val="1"/>
      <w:numFmt w:val="decimal"/>
      <w:lvlText w:val="%7."/>
      <w:lvlJc w:val="left"/>
      <w:pPr>
        <w:ind w:left="5042" w:hanging="360"/>
      </w:pPr>
    </w:lvl>
    <w:lvl w:ilvl="7" w:tplc="0C090019" w:tentative="1">
      <w:start w:val="1"/>
      <w:numFmt w:val="lowerLetter"/>
      <w:lvlText w:val="%8."/>
      <w:lvlJc w:val="left"/>
      <w:pPr>
        <w:ind w:left="5762" w:hanging="360"/>
      </w:pPr>
    </w:lvl>
    <w:lvl w:ilvl="8" w:tplc="0C09001B" w:tentative="1">
      <w:start w:val="1"/>
      <w:numFmt w:val="lowerRoman"/>
      <w:lvlText w:val="%9."/>
      <w:lvlJc w:val="right"/>
      <w:pPr>
        <w:ind w:left="6482" w:hanging="180"/>
      </w:pPr>
    </w:lvl>
  </w:abstractNum>
  <w:abstractNum w:abstractNumId="23" w15:restartNumberingAfterBreak="0">
    <w:nsid w:val="1ABB6EFC"/>
    <w:multiLevelType w:val="hybridMultilevel"/>
    <w:tmpl w:val="A8017112"/>
    <w:lvl w:ilvl="0" w:tplc="FFFFFFFF">
      <w:start w:val="1"/>
      <w:numFmt w:val="decimal"/>
      <w:lvlText w:val="%1."/>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4" w15:restartNumberingAfterBreak="0">
    <w:nsid w:val="1D950130"/>
    <w:multiLevelType w:val="hybridMultilevel"/>
    <w:tmpl w:val="BAAABB9E"/>
    <w:lvl w:ilvl="0" w:tplc="AF5A8DAE">
      <w:start w:val="1"/>
      <w:numFmt w:val="bullet"/>
      <w:pStyle w:val="BulletDash"/>
      <w:lvlText w:val=""/>
      <w:lvlJc w:val="left"/>
      <w:pPr>
        <w:tabs>
          <w:tab w:val="num" w:pos="510"/>
        </w:tabs>
        <w:ind w:left="510" w:hanging="170"/>
      </w:pPr>
      <w:rPr>
        <w:rFonts w:ascii="Symbol" w:hAnsi="Symbol" w:hint="default"/>
      </w:rPr>
    </w:lvl>
    <w:lvl w:ilvl="1" w:tplc="0C090003">
      <w:start w:val="1"/>
      <w:numFmt w:val="bullet"/>
      <w:lvlText w:val="o"/>
      <w:lvlJc w:val="left"/>
      <w:pPr>
        <w:tabs>
          <w:tab w:val="num" w:pos="1610"/>
        </w:tabs>
        <w:ind w:left="1610" w:hanging="360"/>
      </w:pPr>
      <w:rPr>
        <w:rFonts w:ascii="Courier New" w:hAnsi="Courier New" w:cs="Courier New" w:hint="default"/>
      </w:rPr>
    </w:lvl>
    <w:lvl w:ilvl="2" w:tplc="0C090005" w:tentative="1">
      <w:start w:val="1"/>
      <w:numFmt w:val="bullet"/>
      <w:lvlText w:val=""/>
      <w:lvlJc w:val="left"/>
      <w:pPr>
        <w:tabs>
          <w:tab w:val="num" w:pos="2330"/>
        </w:tabs>
        <w:ind w:left="2330" w:hanging="360"/>
      </w:pPr>
      <w:rPr>
        <w:rFonts w:ascii="Wingdings" w:hAnsi="Wingdings" w:hint="default"/>
      </w:rPr>
    </w:lvl>
    <w:lvl w:ilvl="3" w:tplc="0C090001" w:tentative="1">
      <w:start w:val="1"/>
      <w:numFmt w:val="bullet"/>
      <w:lvlText w:val=""/>
      <w:lvlJc w:val="left"/>
      <w:pPr>
        <w:tabs>
          <w:tab w:val="num" w:pos="3050"/>
        </w:tabs>
        <w:ind w:left="3050" w:hanging="360"/>
      </w:pPr>
      <w:rPr>
        <w:rFonts w:ascii="Symbol" w:hAnsi="Symbol" w:hint="default"/>
      </w:rPr>
    </w:lvl>
    <w:lvl w:ilvl="4" w:tplc="0C090003" w:tentative="1">
      <w:start w:val="1"/>
      <w:numFmt w:val="bullet"/>
      <w:lvlText w:val="o"/>
      <w:lvlJc w:val="left"/>
      <w:pPr>
        <w:tabs>
          <w:tab w:val="num" w:pos="3770"/>
        </w:tabs>
        <w:ind w:left="3770" w:hanging="360"/>
      </w:pPr>
      <w:rPr>
        <w:rFonts w:ascii="Courier New" w:hAnsi="Courier New" w:cs="Courier New" w:hint="default"/>
      </w:rPr>
    </w:lvl>
    <w:lvl w:ilvl="5" w:tplc="0C090005" w:tentative="1">
      <w:start w:val="1"/>
      <w:numFmt w:val="bullet"/>
      <w:lvlText w:val=""/>
      <w:lvlJc w:val="left"/>
      <w:pPr>
        <w:tabs>
          <w:tab w:val="num" w:pos="4490"/>
        </w:tabs>
        <w:ind w:left="4490" w:hanging="360"/>
      </w:pPr>
      <w:rPr>
        <w:rFonts w:ascii="Wingdings" w:hAnsi="Wingdings" w:hint="default"/>
      </w:rPr>
    </w:lvl>
    <w:lvl w:ilvl="6" w:tplc="0C090001" w:tentative="1">
      <w:start w:val="1"/>
      <w:numFmt w:val="bullet"/>
      <w:lvlText w:val=""/>
      <w:lvlJc w:val="left"/>
      <w:pPr>
        <w:tabs>
          <w:tab w:val="num" w:pos="5210"/>
        </w:tabs>
        <w:ind w:left="5210" w:hanging="360"/>
      </w:pPr>
      <w:rPr>
        <w:rFonts w:ascii="Symbol" w:hAnsi="Symbol" w:hint="default"/>
      </w:rPr>
    </w:lvl>
    <w:lvl w:ilvl="7" w:tplc="0C090003" w:tentative="1">
      <w:start w:val="1"/>
      <w:numFmt w:val="bullet"/>
      <w:lvlText w:val="o"/>
      <w:lvlJc w:val="left"/>
      <w:pPr>
        <w:tabs>
          <w:tab w:val="num" w:pos="5930"/>
        </w:tabs>
        <w:ind w:left="5930" w:hanging="360"/>
      </w:pPr>
      <w:rPr>
        <w:rFonts w:ascii="Courier New" w:hAnsi="Courier New" w:cs="Courier New" w:hint="default"/>
      </w:rPr>
    </w:lvl>
    <w:lvl w:ilvl="8" w:tplc="0C090005" w:tentative="1">
      <w:start w:val="1"/>
      <w:numFmt w:val="bullet"/>
      <w:lvlText w:val=""/>
      <w:lvlJc w:val="left"/>
      <w:pPr>
        <w:tabs>
          <w:tab w:val="num" w:pos="6650"/>
        </w:tabs>
        <w:ind w:left="6650" w:hanging="360"/>
      </w:pPr>
      <w:rPr>
        <w:rFonts w:ascii="Wingdings" w:hAnsi="Wingdings" w:hint="default"/>
      </w:rPr>
    </w:lvl>
  </w:abstractNum>
  <w:abstractNum w:abstractNumId="25" w15:restartNumberingAfterBreak="0">
    <w:nsid w:val="1E2A5A3C"/>
    <w:multiLevelType w:val="hybridMultilevel"/>
    <w:tmpl w:val="DA36E164"/>
    <w:lvl w:ilvl="0" w:tplc="805E0F7A">
      <w:start w:val="1"/>
      <w:numFmt w:val="lowerLetter"/>
      <w:lvlText w:val="%1."/>
      <w:lvlJc w:val="left"/>
      <w:pPr>
        <w:ind w:left="36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2A9550A"/>
    <w:multiLevelType w:val="hybridMultilevel"/>
    <w:tmpl w:val="AA143BD2"/>
    <w:lvl w:ilvl="0" w:tplc="33269F52">
      <w:start w:val="1"/>
      <w:numFmt w:val="decimal"/>
      <w:pStyle w:val="NotesNumb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237D3B70"/>
    <w:multiLevelType w:val="hybridMultilevel"/>
    <w:tmpl w:val="66D43BD2"/>
    <w:lvl w:ilvl="0" w:tplc="0C090001">
      <w:start w:val="1"/>
      <w:numFmt w:val="bullet"/>
      <w:lvlText w:val=""/>
      <w:lvlJc w:val="left"/>
      <w:pPr>
        <w:ind w:left="722" w:hanging="360"/>
      </w:pPr>
      <w:rPr>
        <w:rFonts w:ascii="Symbol" w:hAnsi="Symbol" w:hint="default"/>
      </w:rPr>
    </w:lvl>
    <w:lvl w:ilvl="1" w:tplc="0C090003" w:tentative="1">
      <w:start w:val="1"/>
      <w:numFmt w:val="bullet"/>
      <w:lvlText w:val="o"/>
      <w:lvlJc w:val="left"/>
      <w:pPr>
        <w:ind w:left="1442" w:hanging="360"/>
      </w:pPr>
      <w:rPr>
        <w:rFonts w:ascii="Courier New" w:hAnsi="Courier New" w:cs="Courier New" w:hint="default"/>
      </w:rPr>
    </w:lvl>
    <w:lvl w:ilvl="2" w:tplc="0C090005" w:tentative="1">
      <w:start w:val="1"/>
      <w:numFmt w:val="bullet"/>
      <w:lvlText w:val=""/>
      <w:lvlJc w:val="left"/>
      <w:pPr>
        <w:ind w:left="2162" w:hanging="360"/>
      </w:pPr>
      <w:rPr>
        <w:rFonts w:ascii="Wingdings" w:hAnsi="Wingdings" w:hint="default"/>
      </w:rPr>
    </w:lvl>
    <w:lvl w:ilvl="3" w:tplc="0C090001" w:tentative="1">
      <w:start w:val="1"/>
      <w:numFmt w:val="bullet"/>
      <w:lvlText w:val=""/>
      <w:lvlJc w:val="left"/>
      <w:pPr>
        <w:ind w:left="2882" w:hanging="360"/>
      </w:pPr>
      <w:rPr>
        <w:rFonts w:ascii="Symbol" w:hAnsi="Symbol" w:hint="default"/>
      </w:rPr>
    </w:lvl>
    <w:lvl w:ilvl="4" w:tplc="0C090003" w:tentative="1">
      <w:start w:val="1"/>
      <w:numFmt w:val="bullet"/>
      <w:lvlText w:val="o"/>
      <w:lvlJc w:val="left"/>
      <w:pPr>
        <w:ind w:left="3602" w:hanging="360"/>
      </w:pPr>
      <w:rPr>
        <w:rFonts w:ascii="Courier New" w:hAnsi="Courier New" w:cs="Courier New" w:hint="default"/>
      </w:rPr>
    </w:lvl>
    <w:lvl w:ilvl="5" w:tplc="0C090005" w:tentative="1">
      <w:start w:val="1"/>
      <w:numFmt w:val="bullet"/>
      <w:lvlText w:val=""/>
      <w:lvlJc w:val="left"/>
      <w:pPr>
        <w:ind w:left="4322" w:hanging="360"/>
      </w:pPr>
      <w:rPr>
        <w:rFonts w:ascii="Wingdings" w:hAnsi="Wingdings" w:hint="default"/>
      </w:rPr>
    </w:lvl>
    <w:lvl w:ilvl="6" w:tplc="0C090001" w:tentative="1">
      <w:start w:val="1"/>
      <w:numFmt w:val="bullet"/>
      <w:lvlText w:val=""/>
      <w:lvlJc w:val="left"/>
      <w:pPr>
        <w:ind w:left="5042" w:hanging="360"/>
      </w:pPr>
      <w:rPr>
        <w:rFonts w:ascii="Symbol" w:hAnsi="Symbol" w:hint="default"/>
      </w:rPr>
    </w:lvl>
    <w:lvl w:ilvl="7" w:tplc="0C090003" w:tentative="1">
      <w:start w:val="1"/>
      <w:numFmt w:val="bullet"/>
      <w:lvlText w:val="o"/>
      <w:lvlJc w:val="left"/>
      <w:pPr>
        <w:ind w:left="5762" w:hanging="360"/>
      </w:pPr>
      <w:rPr>
        <w:rFonts w:ascii="Courier New" w:hAnsi="Courier New" w:cs="Courier New" w:hint="default"/>
      </w:rPr>
    </w:lvl>
    <w:lvl w:ilvl="8" w:tplc="0C090005" w:tentative="1">
      <w:start w:val="1"/>
      <w:numFmt w:val="bullet"/>
      <w:lvlText w:val=""/>
      <w:lvlJc w:val="left"/>
      <w:pPr>
        <w:ind w:left="6482" w:hanging="360"/>
      </w:pPr>
      <w:rPr>
        <w:rFonts w:ascii="Wingdings" w:hAnsi="Wingdings" w:hint="default"/>
      </w:rPr>
    </w:lvl>
  </w:abstractNum>
  <w:abstractNum w:abstractNumId="28" w15:restartNumberingAfterBreak="0">
    <w:nsid w:val="242D060A"/>
    <w:multiLevelType w:val="hybridMultilevel"/>
    <w:tmpl w:val="D714B740"/>
    <w:lvl w:ilvl="0" w:tplc="0C090001">
      <w:start w:val="1"/>
      <w:numFmt w:val="bullet"/>
      <w:lvlText w:val=""/>
      <w:lvlJc w:val="left"/>
      <w:pPr>
        <w:ind w:left="718" w:hanging="360"/>
      </w:pPr>
      <w:rPr>
        <w:rFonts w:ascii="Symbol" w:hAnsi="Symbol" w:hint="default"/>
      </w:rPr>
    </w:lvl>
    <w:lvl w:ilvl="1" w:tplc="0C090003" w:tentative="1">
      <w:start w:val="1"/>
      <w:numFmt w:val="bullet"/>
      <w:lvlText w:val="o"/>
      <w:lvlJc w:val="left"/>
      <w:pPr>
        <w:ind w:left="1438" w:hanging="360"/>
      </w:pPr>
      <w:rPr>
        <w:rFonts w:ascii="Courier New" w:hAnsi="Courier New" w:cs="Courier New" w:hint="default"/>
      </w:rPr>
    </w:lvl>
    <w:lvl w:ilvl="2" w:tplc="0C090005">
      <w:start w:val="1"/>
      <w:numFmt w:val="bullet"/>
      <w:lvlText w:val=""/>
      <w:lvlJc w:val="left"/>
      <w:pPr>
        <w:ind w:left="2158" w:hanging="360"/>
      </w:pPr>
      <w:rPr>
        <w:rFonts w:ascii="Wingdings" w:hAnsi="Wingdings" w:hint="default"/>
      </w:rPr>
    </w:lvl>
    <w:lvl w:ilvl="3" w:tplc="0C090001" w:tentative="1">
      <w:start w:val="1"/>
      <w:numFmt w:val="bullet"/>
      <w:lvlText w:val=""/>
      <w:lvlJc w:val="left"/>
      <w:pPr>
        <w:ind w:left="2878" w:hanging="360"/>
      </w:pPr>
      <w:rPr>
        <w:rFonts w:ascii="Symbol" w:hAnsi="Symbol" w:hint="default"/>
      </w:rPr>
    </w:lvl>
    <w:lvl w:ilvl="4" w:tplc="0C090003" w:tentative="1">
      <w:start w:val="1"/>
      <w:numFmt w:val="bullet"/>
      <w:lvlText w:val="o"/>
      <w:lvlJc w:val="left"/>
      <w:pPr>
        <w:ind w:left="3598" w:hanging="360"/>
      </w:pPr>
      <w:rPr>
        <w:rFonts w:ascii="Courier New" w:hAnsi="Courier New" w:cs="Courier New" w:hint="default"/>
      </w:rPr>
    </w:lvl>
    <w:lvl w:ilvl="5" w:tplc="0C090005" w:tentative="1">
      <w:start w:val="1"/>
      <w:numFmt w:val="bullet"/>
      <w:lvlText w:val=""/>
      <w:lvlJc w:val="left"/>
      <w:pPr>
        <w:ind w:left="4318" w:hanging="360"/>
      </w:pPr>
      <w:rPr>
        <w:rFonts w:ascii="Wingdings" w:hAnsi="Wingdings" w:hint="default"/>
      </w:rPr>
    </w:lvl>
    <w:lvl w:ilvl="6" w:tplc="0C090001" w:tentative="1">
      <w:start w:val="1"/>
      <w:numFmt w:val="bullet"/>
      <w:lvlText w:val=""/>
      <w:lvlJc w:val="left"/>
      <w:pPr>
        <w:ind w:left="5038" w:hanging="360"/>
      </w:pPr>
      <w:rPr>
        <w:rFonts w:ascii="Symbol" w:hAnsi="Symbol" w:hint="default"/>
      </w:rPr>
    </w:lvl>
    <w:lvl w:ilvl="7" w:tplc="0C090003" w:tentative="1">
      <w:start w:val="1"/>
      <w:numFmt w:val="bullet"/>
      <w:lvlText w:val="o"/>
      <w:lvlJc w:val="left"/>
      <w:pPr>
        <w:ind w:left="5758" w:hanging="360"/>
      </w:pPr>
      <w:rPr>
        <w:rFonts w:ascii="Courier New" w:hAnsi="Courier New" w:cs="Courier New" w:hint="default"/>
      </w:rPr>
    </w:lvl>
    <w:lvl w:ilvl="8" w:tplc="0C090005" w:tentative="1">
      <w:start w:val="1"/>
      <w:numFmt w:val="bullet"/>
      <w:lvlText w:val=""/>
      <w:lvlJc w:val="left"/>
      <w:pPr>
        <w:ind w:left="6478" w:hanging="360"/>
      </w:pPr>
      <w:rPr>
        <w:rFonts w:ascii="Wingdings" w:hAnsi="Wingdings" w:hint="default"/>
      </w:rPr>
    </w:lvl>
  </w:abstractNum>
  <w:abstractNum w:abstractNumId="29" w15:restartNumberingAfterBreak="0">
    <w:nsid w:val="27DE3038"/>
    <w:multiLevelType w:val="hybridMultilevel"/>
    <w:tmpl w:val="A554F750"/>
    <w:lvl w:ilvl="0" w:tplc="0C090019">
      <w:start w:val="1"/>
      <w:numFmt w:val="lowerLetter"/>
      <w:lvlText w:val="%1."/>
      <w:lvlJc w:val="left"/>
      <w:pPr>
        <w:ind w:left="725" w:hanging="360"/>
      </w:pPr>
      <w:rPr>
        <w:rFonts w:hint="default"/>
      </w:rPr>
    </w:lvl>
    <w:lvl w:ilvl="1" w:tplc="0C090019">
      <w:start w:val="1"/>
      <w:numFmt w:val="lowerLetter"/>
      <w:lvlText w:val="%2."/>
      <w:lvlJc w:val="left"/>
      <w:pPr>
        <w:ind w:left="1445" w:hanging="360"/>
      </w:pPr>
    </w:lvl>
    <w:lvl w:ilvl="2" w:tplc="0C09001B" w:tentative="1">
      <w:start w:val="1"/>
      <w:numFmt w:val="lowerRoman"/>
      <w:lvlText w:val="%3."/>
      <w:lvlJc w:val="right"/>
      <w:pPr>
        <w:ind w:left="2165" w:hanging="180"/>
      </w:pPr>
    </w:lvl>
    <w:lvl w:ilvl="3" w:tplc="0C09000F" w:tentative="1">
      <w:start w:val="1"/>
      <w:numFmt w:val="decimal"/>
      <w:lvlText w:val="%4."/>
      <w:lvlJc w:val="left"/>
      <w:pPr>
        <w:ind w:left="2885" w:hanging="360"/>
      </w:pPr>
    </w:lvl>
    <w:lvl w:ilvl="4" w:tplc="0C090019" w:tentative="1">
      <w:start w:val="1"/>
      <w:numFmt w:val="lowerLetter"/>
      <w:lvlText w:val="%5."/>
      <w:lvlJc w:val="left"/>
      <w:pPr>
        <w:ind w:left="3605" w:hanging="360"/>
      </w:pPr>
    </w:lvl>
    <w:lvl w:ilvl="5" w:tplc="0C09001B" w:tentative="1">
      <w:start w:val="1"/>
      <w:numFmt w:val="lowerRoman"/>
      <w:lvlText w:val="%6."/>
      <w:lvlJc w:val="right"/>
      <w:pPr>
        <w:ind w:left="4325" w:hanging="180"/>
      </w:pPr>
    </w:lvl>
    <w:lvl w:ilvl="6" w:tplc="0C09000F" w:tentative="1">
      <w:start w:val="1"/>
      <w:numFmt w:val="decimal"/>
      <w:lvlText w:val="%7."/>
      <w:lvlJc w:val="left"/>
      <w:pPr>
        <w:ind w:left="5045" w:hanging="360"/>
      </w:pPr>
    </w:lvl>
    <w:lvl w:ilvl="7" w:tplc="0C090019" w:tentative="1">
      <w:start w:val="1"/>
      <w:numFmt w:val="lowerLetter"/>
      <w:lvlText w:val="%8."/>
      <w:lvlJc w:val="left"/>
      <w:pPr>
        <w:ind w:left="5765" w:hanging="360"/>
      </w:pPr>
    </w:lvl>
    <w:lvl w:ilvl="8" w:tplc="0C09001B" w:tentative="1">
      <w:start w:val="1"/>
      <w:numFmt w:val="lowerRoman"/>
      <w:lvlText w:val="%9."/>
      <w:lvlJc w:val="right"/>
      <w:pPr>
        <w:ind w:left="6485" w:hanging="180"/>
      </w:pPr>
    </w:lvl>
  </w:abstractNum>
  <w:abstractNum w:abstractNumId="30" w15:restartNumberingAfterBreak="0">
    <w:nsid w:val="27FC2201"/>
    <w:multiLevelType w:val="hybridMultilevel"/>
    <w:tmpl w:val="918632BE"/>
    <w:lvl w:ilvl="0" w:tplc="04965C36">
      <w:start w:val="1"/>
      <w:numFmt w:val="lowerRoman"/>
      <w:lvlText w:val="%1."/>
      <w:lvlJc w:val="left"/>
      <w:pPr>
        <w:ind w:left="784" w:hanging="567"/>
      </w:pPr>
      <w:rPr>
        <w:rFonts w:ascii="Times New Roman" w:eastAsia="Times New Roman" w:hAnsi="Times New Roman" w:cs="Times New Roman" w:hint="default"/>
        <w:b w:val="0"/>
        <w:bCs w:val="0"/>
        <w:i w:val="0"/>
        <w:iCs w:val="0"/>
        <w:w w:val="100"/>
        <w:sz w:val="24"/>
        <w:szCs w:val="24"/>
        <w:lang w:val="en-US" w:eastAsia="en-US" w:bidi="ar-SA"/>
      </w:rPr>
    </w:lvl>
    <w:lvl w:ilvl="1" w:tplc="DABC1B60">
      <w:start w:val="1"/>
      <w:numFmt w:val="decimal"/>
      <w:lvlText w:val="%2."/>
      <w:lvlJc w:val="left"/>
      <w:pPr>
        <w:ind w:left="218" w:hanging="567"/>
      </w:pPr>
      <w:rPr>
        <w:rFonts w:ascii="Times New Roman" w:eastAsia="Times New Roman" w:hAnsi="Times New Roman" w:cs="Times New Roman" w:hint="default"/>
        <w:b w:val="0"/>
        <w:bCs w:val="0"/>
        <w:i w:val="0"/>
        <w:iCs w:val="0"/>
        <w:w w:val="100"/>
        <w:sz w:val="24"/>
        <w:szCs w:val="24"/>
        <w:lang w:val="en-US" w:eastAsia="en-US" w:bidi="ar-SA"/>
      </w:rPr>
    </w:lvl>
    <w:lvl w:ilvl="2" w:tplc="F384D94C">
      <w:start w:val="1"/>
      <w:numFmt w:val="lowerLetter"/>
      <w:lvlText w:val="%3."/>
      <w:lvlJc w:val="left"/>
      <w:pPr>
        <w:ind w:left="784" w:hanging="567"/>
      </w:pPr>
      <w:rPr>
        <w:rFonts w:ascii="Arial" w:eastAsia="Times New Roman" w:hAnsi="Arial" w:cs="Arial" w:hint="default"/>
        <w:b w:val="0"/>
        <w:bCs w:val="0"/>
        <w:i w:val="0"/>
        <w:iCs w:val="0"/>
        <w:spacing w:val="-1"/>
        <w:w w:val="100"/>
        <w:sz w:val="14"/>
        <w:szCs w:val="14"/>
        <w:lang w:val="en-US" w:eastAsia="en-US" w:bidi="ar-SA"/>
      </w:rPr>
    </w:lvl>
    <w:lvl w:ilvl="3" w:tplc="EAF41BE0">
      <w:start w:val="1"/>
      <w:numFmt w:val="decimal"/>
      <w:lvlText w:val="(%4)"/>
      <w:lvlJc w:val="left"/>
      <w:pPr>
        <w:ind w:left="2759" w:hanging="567"/>
      </w:pPr>
      <w:rPr>
        <w:rFonts w:ascii="Times New Roman" w:eastAsia="Times New Roman" w:hAnsi="Times New Roman" w:cs="Times New Roman"/>
        <w:lang w:val="en-US" w:eastAsia="en-US" w:bidi="ar-SA"/>
      </w:rPr>
    </w:lvl>
    <w:lvl w:ilvl="4" w:tplc="4998D434">
      <w:numFmt w:val="bullet"/>
      <w:lvlText w:val="•"/>
      <w:lvlJc w:val="left"/>
      <w:pPr>
        <w:ind w:left="3748" w:hanging="567"/>
      </w:pPr>
      <w:rPr>
        <w:rFonts w:hint="default"/>
        <w:lang w:val="en-US" w:eastAsia="en-US" w:bidi="ar-SA"/>
      </w:rPr>
    </w:lvl>
    <w:lvl w:ilvl="5" w:tplc="47502B5A">
      <w:numFmt w:val="bullet"/>
      <w:lvlText w:val="•"/>
      <w:lvlJc w:val="left"/>
      <w:pPr>
        <w:ind w:left="4738" w:hanging="567"/>
      </w:pPr>
      <w:rPr>
        <w:rFonts w:hint="default"/>
        <w:lang w:val="en-US" w:eastAsia="en-US" w:bidi="ar-SA"/>
      </w:rPr>
    </w:lvl>
    <w:lvl w:ilvl="6" w:tplc="6E566A8C">
      <w:numFmt w:val="bullet"/>
      <w:lvlText w:val="•"/>
      <w:lvlJc w:val="left"/>
      <w:pPr>
        <w:ind w:left="5728" w:hanging="567"/>
      </w:pPr>
      <w:rPr>
        <w:rFonts w:hint="default"/>
        <w:lang w:val="en-US" w:eastAsia="en-US" w:bidi="ar-SA"/>
      </w:rPr>
    </w:lvl>
    <w:lvl w:ilvl="7" w:tplc="FFB0BEB6">
      <w:numFmt w:val="bullet"/>
      <w:lvlText w:val="•"/>
      <w:lvlJc w:val="left"/>
      <w:pPr>
        <w:ind w:left="6717" w:hanging="567"/>
      </w:pPr>
      <w:rPr>
        <w:rFonts w:hint="default"/>
        <w:lang w:val="en-US" w:eastAsia="en-US" w:bidi="ar-SA"/>
      </w:rPr>
    </w:lvl>
    <w:lvl w:ilvl="8" w:tplc="C3DEB032">
      <w:numFmt w:val="bullet"/>
      <w:lvlText w:val="•"/>
      <w:lvlJc w:val="left"/>
      <w:pPr>
        <w:ind w:left="7707" w:hanging="567"/>
      </w:pPr>
      <w:rPr>
        <w:rFonts w:hint="default"/>
        <w:lang w:val="en-US" w:eastAsia="en-US" w:bidi="ar-SA"/>
      </w:rPr>
    </w:lvl>
  </w:abstractNum>
  <w:abstractNum w:abstractNumId="31" w15:restartNumberingAfterBreak="0">
    <w:nsid w:val="2ABE022E"/>
    <w:multiLevelType w:val="hybridMultilevel"/>
    <w:tmpl w:val="DA8826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CBD7BBD"/>
    <w:multiLevelType w:val="multilevel"/>
    <w:tmpl w:val="8312B038"/>
    <w:lvl w:ilvl="0">
      <w:start w:val="3"/>
      <w:numFmt w:val="upperLetter"/>
      <w:lvlText w:val="%1"/>
      <w:lvlJc w:val="left"/>
      <w:pPr>
        <w:ind w:left="627" w:hanging="487"/>
      </w:pPr>
      <w:rPr>
        <w:rFonts w:cs="Times New Roman"/>
      </w:rPr>
    </w:lvl>
    <w:lvl w:ilvl="1">
      <w:start w:val="17"/>
      <w:numFmt w:val="decimal"/>
      <w:lvlText w:val="%1-%2"/>
      <w:lvlJc w:val="left"/>
      <w:pPr>
        <w:ind w:left="627" w:hanging="487"/>
      </w:pPr>
      <w:rPr>
        <w:rFonts w:ascii="Arial" w:hAnsi="Arial" w:cs="Arial"/>
        <w:b w:val="0"/>
        <w:bCs w:val="0"/>
        <w:spacing w:val="-1"/>
        <w:w w:val="99"/>
        <w:sz w:val="20"/>
        <w:szCs w:val="20"/>
      </w:rPr>
    </w:lvl>
    <w:lvl w:ilvl="2">
      <w:start w:val="1"/>
      <w:numFmt w:val="lowerLetter"/>
      <w:lvlText w:val="%3."/>
      <w:lvlJc w:val="left"/>
      <w:pPr>
        <w:ind w:left="1466" w:hanging="406"/>
      </w:pPr>
      <w:rPr>
        <w:rFonts w:ascii="Arial" w:eastAsia="Times New Roman" w:hAnsi="Arial" w:cs="Arial"/>
        <w:b w:val="0"/>
        <w:bCs w:val="0"/>
        <w:color w:val="2D2333"/>
        <w:spacing w:val="-1"/>
        <w:w w:val="101"/>
        <w:sz w:val="14"/>
        <w:szCs w:val="14"/>
      </w:rPr>
    </w:lvl>
    <w:lvl w:ilvl="3">
      <w:numFmt w:val="bullet"/>
      <w:lvlText w:val="•"/>
      <w:lvlJc w:val="left"/>
      <w:pPr>
        <w:ind w:left="3376" w:hanging="406"/>
      </w:pPr>
    </w:lvl>
    <w:lvl w:ilvl="4">
      <w:numFmt w:val="bullet"/>
      <w:lvlText w:val="•"/>
      <w:lvlJc w:val="left"/>
      <w:pPr>
        <w:ind w:left="4335" w:hanging="406"/>
      </w:pPr>
    </w:lvl>
    <w:lvl w:ilvl="5">
      <w:numFmt w:val="bullet"/>
      <w:lvlText w:val="•"/>
      <w:lvlJc w:val="left"/>
      <w:pPr>
        <w:ind w:left="5293" w:hanging="406"/>
      </w:pPr>
    </w:lvl>
    <w:lvl w:ilvl="6">
      <w:numFmt w:val="bullet"/>
      <w:lvlText w:val="•"/>
      <w:lvlJc w:val="left"/>
      <w:pPr>
        <w:ind w:left="6252" w:hanging="406"/>
      </w:pPr>
    </w:lvl>
    <w:lvl w:ilvl="7">
      <w:numFmt w:val="bullet"/>
      <w:lvlText w:val="•"/>
      <w:lvlJc w:val="left"/>
      <w:pPr>
        <w:ind w:left="7210" w:hanging="406"/>
      </w:pPr>
    </w:lvl>
    <w:lvl w:ilvl="8">
      <w:numFmt w:val="bullet"/>
      <w:lvlText w:val="•"/>
      <w:lvlJc w:val="left"/>
      <w:pPr>
        <w:ind w:left="8169" w:hanging="406"/>
      </w:pPr>
    </w:lvl>
  </w:abstractNum>
  <w:abstractNum w:abstractNumId="33" w15:restartNumberingAfterBreak="0">
    <w:nsid w:val="2CCA0581"/>
    <w:multiLevelType w:val="singleLevel"/>
    <w:tmpl w:val="13BECE60"/>
    <w:lvl w:ilvl="0">
      <w:start w:val="1"/>
      <w:numFmt w:val="lowerLetter"/>
      <w:pStyle w:val="Levela"/>
      <w:lvlText w:val="%1."/>
      <w:lvlJc w:val="left"/>
      <w:pPr>
        <w:tabs>
          <w:tab w:val="num" w:pos="1418"/>
        </w:tabs>
        <w:ind w:left="1418" w:hanging="709"/>
      </w:pPr>
      <w:rPr>
        <w:rFonts w:ascii="Arial" w:hAnsi="Arial" w:cs="Times New Roman" w:hint="default"/>
        <w:sz w:val="22"/>
      </w:rPr>
    </w:lvl>
  </w:abstractNum>
  <w:abstractNum w:abstractNumId="34" w15:restartNumberingAfterBreak="0">
    <w:nsid w:val="2DE26973"/>
    <w:multiLevelType w:val="hybridMultilevel"/>
    <w:tmpl w:val="42563810"/>
    <w:lvl w:ilvl="0" w:tplc="0C090019">
      <w:start w:val="1"/>
      <w:numFmt w:val="lowerLetter"/>
      <w:lvlText w:val="%1."/>
      <w:lvlJc w:val="left"/>
      <w:pPr>
        <w:ind w:left="719" w:hanging="360"/>
      </w:pPr>
      <w:rPr>
        <w:rFonts w:hint="default"/>
      </w:rPr>
    </w:lvl>
    <w:lvl w:ilvl="1" w:tplc="0C090019">
      <w:start w:val="1"/>
      <w:numFmt w:val="lowerLetter"/>
      <w:lvlText w:val="%2."/>
      <w:lvlJc w:val="left"/>
      <w:pPr>
        <w:ind w:left="1439" w:hanging="360"/>
      </w:pPr>
    </w:lvl>
    <w:lvl w:ilvl="2" w:tplc="0C09001B" w:tentative="1">
      <w:start w:val="1"/>
      <w:numFmt w:val="lowerRoman"/>
      <w:lvlText w:val="%3."/>
      <w:lvlJc w:val="right"/>
      <w:pPr>
        <w:ind w:left="2159" w:hanging="180"/>
      </w:pPr>
    </w:lvl>
    <w:lvl w:ilvl="3" w:tplc="0C09000F" w:tentative="1">
      <w:start w:val="1"/>
      <w:numFmt w:val="decimal"/>
      <w:lvlText w:val="%4."/>
      <w:lvlJc w:val="left"/>
      <w:pPr>
        <w:ind w:left="2879" w:hanging="360"/>
      </w:pPr>
    </w:lvl>
    <w:lvl w:ilvl="4" w:tplc="0C090019" w:tentative="1">
      <w:start w:val="1"/>
      <w:numFmt w:val="lowerLetter"/>
      <w:lvlText w:val="%5."/>
      <w:lvlJc w:val="left"/>
      <w:pPr>
        <w:ind w:left="3599" w:hanging="360"/>
      </w:pPr>
    </w:lvl>
    <w:lvl w:ilvl="5" w:tplc="0C09001B" w:tentative="1">
      <w:start w:val="1"/>
      <w:numFmt w:val="lowerRoman"/>
      <w:lvlText w:val="%6."/>
      <w:lvlJc w:val="right"/>
      <w:pPr>
        <w:ind w:left="4319" w:hanging="180"/>
      </w:pPr>
    </w:lvl>
    <w:lvl w:ilvl="6" w:tplc="0C09000F" w:tentative="1">
      <w:start w:val="1"/>
      <w:numFmt w:val="decimal"/>
      <w:lvlText w:val="%7."/>
      <w:lvlJc w:val="left"/>
      <w:pPr>
        <w:ind w:left="5039" w:hanging="360"/>
      </w:pPr>
    </w:lvl>
    <w:lvl w:ilvl="7" w:tplc="0C090019" w:tentative="1">
      <w:start w:val="1"/>
      <w:numFmt w:val="lowerLetter"/>
      <w:lvlText w:val="%8."/>
      <w:lvlJc w:val="left"/>
      <w:pPr>
        <w:ind w:left="5759" w:hanging="360"/>
      </w:pPr>
    </w:lvl>
    <w:lvl w:ilvl="8" w:tplc="0C09001B" w:tentative="1">
      <w:start w:val="1"/>
      <w:numFmt w:val="lowerRoman"/>
      <w:lvlText w:val="%9."/>
      <w:lvlJc w:val="right"/>
      <w:pPr>
        <w:ind w:left="6479" w:hanging="180"/>
      </w:pPr>
    </w:lvl>
  </w:abstractNum>
  <w:abstractNum w:abstractNumId="35" w15:restartNumberingAfterBreak="0">
    <w:nsid w:val="306C6D9E"/>
    <w:multiLevelType w:val="hybridMultilevel"/>
    <w:tmpl w:val="B7826634"/>
    <w:lvl w:ilvl="0" w:tplc="0C09000F">
      <w:start w:val="1"/>
      <w:numFmt w:val="decimal"/>
      <w:lvlText w:val="%1."/>
      <w:lvlJc w:val="left"/>
      <w:pPr>
        <w:ind w:left="721" w:hanging="360"/>
      </w:pPr>
      <w:rPr>
        <w:rFonts w:hint="default"/>
      </w:rPr>
    </w:lvl>
    <w:lvl w:ilvl="1" w:tplc="0C090019">
      <w:start w:val="1"/>
      <w:numFmt w:val="lowerLetter"/>
      <w:lvlText w:val="%2."/>
      <w:lvlJc w:val="left"/>
      <w:pPr>
        <w:ind w:left="1441" w:hanging="360"/>
      </w:pPr>
    </w:lvl>
    <w:lvl w:ilvl="2" w:tplc="0C09001B" w:tentative="1">
      <w:start w:val="1"/>
      <w:numFmt w:val="lowerRoman"/>
      <w:lvlText w:val="%3."/>
      <w:lvlJc w:val="right"/>
      <w:pPr>
        <w:ind w:left="2161" w:hanging="180"/>
      </w:pPr>
    </w:lvl>
    <w:lvl w:ilvl="3" w:tplc="0C09000F" w:tentative="1">
      <w:start w:val="1"/>
      <w:numFmt w:val="decimal"/>
      <w:lvlText w:val="%4."/>
      <w:lvlJc w:val="left"/>
      <w:pPr>
        <w:ind w:left="2881" w:hanging="360"/>
      </w:pPr>
    </w:lvl>
    <w:lvl w:ilvl="4" w:tplc="0C090019" w:tentative="1">
      <w:start w:val="1"/>
      <w:numFmt w:val="lowerLetter"/>
      <w:lvlText w:val="%5."/>
      <w:lvlJc w:val="left"/>
      <w:pPr>
        <w:ind w:left="3601" w:hanging="360"/>
      </w:pPr>
    </w:lvl>
    <w:lvl w:ilvl="5" w:tplc="0C09001B" w:tentative="1">
      <w:start w:val="1"/>
      <w:numFmt w:val="lowerRoman"/>
      <w:lvlText w:val="%6."/>
      <w:lvlJc w:val="right"/>
      <w:pPr>
        <w:ind w:left="4321" w:hanging="180"/>
      </w:pPr>
    </w:lvl>
    <w:lvl w:ilvl="6" w:tplc="0C09000F" w:tentative="1">
      <w:start w:val="1"/>
      <w:numFmt w:val="decimal"/>
      <w:lvlText w:val="%7."/>
      <w:lvlJc w:val="left"/>
      <w:pPr>
        <w:ind w:left="5041" w:hanging="360"/>
      </w:pPr>
    </w:lvl>
    <w:lvl w:ilvl="7" w:tplc="0C090019" w:tentative="1">
      <w:start w:val="1"/>
      <w:numFmt w:val="lowerLetter"/>
      <w:lvlText w:val="%8."/>
      <w:lvlJc w:val="left"/>
      <w:pPr>
        <w:ind w:left="5761" w:hanging="360"/>
      </w:pPr>
    </w:lvl>
    <w:lvl w:ilvl="8" w:tplc="0C09001B" w:tentative="1">
      <w:start w:val="1"/>
      <w:numFmt w:val="lowerRoman"/>
      <w:lvlText w:val="%9."/>
      <w:lvlJc w:val="right"/>
      <w:pPr>
        <w:ind w:left="6481" w:hanging="180"/>
      </w:pPr>
    </w:lvl>
  </w:abstractNum>
  <w:abstractNum w:abstractNumId="36" w15:restartNumberingAfterBreak="0">
    <w:nsid w:val="31EA1F33"/>
    <w:multiLevelType w:val="hybridMultilevel"/>
    <w:tmpl w:val="0F381C56"/>
    <w:lvl w:ilvl="0" w:tplc="5EE4A48C">
      <w:start w:val="1"/>
      <w:numFmt w:val="bullet"/>
      <w:lvlText w:val=""/>
      <w:lvlJc w:val="left"/>
      <w:pPr>
        <w:ind w:left="502" w:hanging="360"/>
      </w:pPr>
      <w:rPr>
        <w:rFonts w:ascii="Symbol" w:eastAsia="Times New Roman" w:hAnsi="Symbol" w:cs="Calibri" w:hint="default"/>
        <w:color w:val="000000"/>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37" w15:restartNumberingAfterBreak="0">
    <w:nsid w:val="363C5275"/>
    <w:multiLevelType w:val="hybridMultilevel"/>
    <w:tmpl w:val="203AB3D2"/>
    <w:lvl w:ilvl="0" w:tplc="3848997E">
      <w:start w:val="1"/>
      <w:numFmt w:val="lowerLetter"/>
      <w:lvlText w:val="%1."/>
      <w:lvlJc w:val="left"/>
      <w:pPr>
        <w:ind w:left="218" w:hanging="360"/>
      </w:pPr>
      <w:rPr>
        <w:rFonts w:hint="default"/>
      </w:rPr>
    </w:lvl>
    <w:lvl w:ilvl="1" w:tplc="0C090019" w:tentative="1">
      <w:start w:val="1"/>
      <w:numFmt w:val="lowerLetter"/>
      <w:lvlText w:val="%2."/>
      <w:lvlJc w:val="left"/>
      <w:pPr>
        <w:ind w:left="938" w:hanging="360"/>
      </w:pPr>
    </w:lvl>
    <w:lvl w:ilvl="2" w:tplc="0C09001B" w:tentative="1">
      <w:start w:val="1"/>
      <w:numFmt w:val="lowerRoman"/>
      <w:lvlText w:val="%3."/>
      <w:lvlJc w:val="right"/>
      <w:pPr>
        <w:ind w:left="1658" w:hanging="180"/>
      </w:pPr>
    </w:lvl>
    <w:lvl w:ilvl="3" w:tplc="0C09000F" w:tentative="1">
      <w:start w:val="1"/>
      <w:numFmt w:val="decimal"/>
      <w:lvlText w:val="%4."/>
      <w:lvlJc w:val="left"/>
      <w:pPr>
        <w:ind w:left="2378" w:hanging="360"/>
      </w:p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38" w15:restartNumberingAfterBreak="0">
    <w:nsid w:val="36602F72"/>
    <w:multiLevelType w:val="hybridMultilevel"/>
    <w:tmpl w:val="EC7CFC7E"/>
    <w:lvl w:ilvl="0" w:tplc="0C090019">
      <w:start w:val="1"/>
      <w:numFmt w:val="lowerLetter"/>
      <w:lvlText w:val="%1."/>
      <w:lvlJc w:val="left"/>
      <w:pPr>
        <w:ind w:left="731" w:hanging="360"/>
      </w:pPr>
    </w:lvl>
    <w:lvl w:ilvl="1" w:tplc="0C090019">
      <w:start w:val="1"/>
      <w:numFmt w:val="lowerLetter"/>
      <w:lvlText w:val="%2."/>
      <w:lvlJc w:val="left"/>
      <w:pPr>
        <w:ind w:left="1451" w:hanging="360"/>
      </w:pPr>
    </w:lvl>
    <w:lvl w:ilvl="2" w:tplc="0C09001B">
      <w:start w:val="1"/>
      <w:numFmt w:val="lowerRoman"/>
      <w:lvlText w:val="%3."/>
      <w:lvlJc w:val="right"/>
      <w:pPr>
        <w:ind w:left="2171" w:hanging="180"/>
      </w:pPr>
    </w:lvl>
    <w:lvl w:ilvl="3" w:tplc="0C09000F">
      <w:start w:val="1"/>
      <w:numFmt w:val="decimal"/>
      <w:lvlText w:val="%4."/>
      <w:lvlJc w:val="left"/>
      <w:pPr>
        <w:ind w:left="2891" w:hanging="360"/>
      </w:pPr>
    </w:lvl>
    <w:lvl w:ilvl="4" w:tplc="0C090019">
      <w:start w:val="1"/>
      <w:numFmt w:val="lowerLetter"/>
      <w:lvlText w:val="%5."/>
      <w:lvlJc w:val="left"/>
      <w:pPr>
        <w:ind w:left="3611" w:hanging="360"/>
      </w:pPr>
    </w:lvl>
    <w:lvl w:ilvl="5" w:tplc="0C09001B">
      <w:start w:val="1"/>
      <w:numFmt w:val="lowerRoman"/>
      <w:lvlText w:val="%6."/>
      <w:lvlJc w:val="right"/>
      <w:pPr>
        <w:ind w:left="4331" w:hanging="180"/>
      </w:pPr>
    </w:lvl>
    <w:lvl w:ilvl="6" w:tplc="0C09000F">
      <w:start w:val="1"/>
      <w:numFmt w:val="decimal"/>
      <w:lvlText w:val="%7."/>
      <w:lvlJc w:val="left"/>
      <w:pPr>
        <w:ind w:left="5051" w:hanging="360"/>
      </w:pPr>
    </w:lvl>
    <w:lvl w:ilvl="7" w:tplc="0C090019">
      <w:start w:val="1"/>
      <w:numFmt w:val="lowerLetter"/>
      <w:lvlText w:val="%8."/>
      <w:lvlJc w:val="left"/>
      <w:pPr>
        <w:ind w:left="5771" w:hanging="360"/>
      </w:pPr>
    </w:lvl>
    <w:lvl w:ilvl="8" w:tplc="0C09001B">
      <w:start w:val="1"/>
      <w:numFmt w:val="lowerRoman"/>
      <w:lvlText w:val="%9."/>
      <w:lvlJc w:val="right"/>
      <w:pPr>
        <w:ind w:left="6491" w:hanging="180"/>
      </w:pPr>
    </w:lvl>
  </w:abstractNum>
  <w:abstractNum w:abstractNumId="39" w15:restartNumberingAfterBreak="0">
    <w:nsid w:val="3681301D"/>
    <w:multiLevelType w:val="hybridMultilevel"/>
    <w:tmpl w:val="BC8E2B10"/>
    <w:lvl w:ilvl="0" w:tplc="90BE3EBE">
      <w:start w:val="1"/>
      <w:numFmt w:val="bullet"/>
      <w:lvlText w:val=""/>
      <w:lvlJc w:val="left"/>
      <w:pPr>
        <w:tabs>
          <w:tab w:val="num" w:pos="340"/>
        </w:tabs>
        <w:ind w:left="340" w:hanging="227"/>
      </w:pPr>
      <w:rPr>
        <w:rFonts w:ascii="Symbol" w:hAnsi="Symbol" w:hint="default"/>
      </w:rPr>
    </w:lvl>
    <w:lvl w:ilvl="1" w:tplc="7DE2C00C">
      <w:start w:val="1"/>
      <w:numFmt w:val="bullet"/>
      <w:lvlText w:val="o"/>
      <w:lvlJc w:val="left"/>
      <w:pPr>
        <w:tabs>
          <w:tab w:val="num" w:pos="1440"/>
        </w:tabs>
        <w:ind w:left="1440" w:hanging="360"/>
      </w:pPr>
      <w:rPr>
        <w:rFonts w:ascii="Courier New" w:hAnsi="Courier New" w:cs="Courier New" w:hint="default"/>
      </w:rPr>
    </w:lvl>
    <w:lvl w:ilvl="2" w:tplc="0C090001"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88621EE"/>
    <w:multiLevelType w:val="hybridMultilevel"/>
    <w:tmpl w:val="2AE038BE"/>
    <w:lvl w:ilvl="0" w:tplc="5252688C">
      <w:start w:val="1"/>
      <w:numFmt w:val="lowerLetter"/>
      <w:lvlText w:val="%1."/>
      <w:lvlJc w:val="left"/>
      <w:pPr>
        <w:tabs>
          <w:tab w:val="num" w:pos="227"/>
        </w:tabs>
        <w:ind w:left="0" w:firstLine="0"/>
      </w:pPr>
      <w:rPr>
        <w:rFonts w:ascii="Arial" w:eastAsia="Times New Roman" w:hAnsi="Arial" w:cs="Arial" w:hint="default"/>
        <w:color w:val="000000"/>
        <w:sz w:val="14"/>
        <w:szCs w:val="1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3A6854D0"/>
    <w:multiLevelType w:val="multilevel"/>
    <w:tmpl w:val="374A942E"/>
    <w:lvl w:ilvl="0">
      <w:start w:val="1"/>
      <w:numFmt w:val="decimal"/>
      <w:lvlText w:val="%1."/>
      <w:lvlJc w:val="left"/>
      <w:pPr>
        <w:tabs>
          <w:tab w:val="num" w:pos="720"/>
        </w:tabs>
        <w:ind w:left="720" w:hanging="360"/>
      </w:p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40E6779D"/>
    <w:multiLevelType w:val="hybridMultilevel"/>
    <w:tmpl w:val="1624DE4E"/>
    <w:lvl w:ilvl="0" w:tplc="3CD07B50">
      <w:start w:val="1"/>
      <w:numFmt w:val="lowerLetter"/>
      <w:lvlText w:val="%1."/>
      <w:lvlJc w:val="left"/>
      <w:pPr>
        <w:ind w:left="360" w:hanging="360"/>
      </w:pPr>
      <w:rPr>
        <w:rFonts w:hint="default"/>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46572879"/>
    <w:multiLevelType w:val="hybridMultilevel"/>
    <w:tmpl w:val="1624DE4E"/>
    <w:lvl w:ilvl="0" w:tplc="3CD07B50">
      <w:start w:val="1"/>
      <w:numFmt w:val="lowerLetter"/>
      <w:lvlText w:val="%1."/>
      <w:lvlJc w:val="left"/>
      <w:pPr>
        <w:ind w:left="360" w:hanging="360"/>
      </w:pPr>
      <w:rPr>
        <w:rFonts w:hint="default"/>
        <w:i w:val="0"/>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44" w15:restartNumberingAfterBreak="0">
    <w:nsid w:val="46863CF9"/>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5" w15:restartNumberingAfterBreak="0">
    <w:nsid w:val="479728E8"/>
    <w:multiLevelType w:val="hybridMultilevel"/>
    <w:tmpl w:val="ADD8EB9E"/>
    <w:lvl w:ilvl="0" w:tplc="9D3C7F20">
      <w:start w:val="1"/>
      <w:numFmt w:val="lowerLetter"/>
      <w:lvlText w:val="%1."/>
      <w:lvlJc w:val="left"/>
      <w:pPr>
        <w:ind w:left="720" w:hanging="360"/>
      </w:pPr>
      <w:rPr>
        <w:rFonts w:ascii="Arial" w:hAnsi="Arial" w:cs="Arial" w:hint="default"/>
        <w:sz w:val="14"/>
        <w:szCs w:val="1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BE66F6B"/>
    <w:multiLevelType w:val="hybridMultilevel"/>
    <w:tmpl w:val="DF624678"/>
    <w:lvl w:ilvl="0" w:tplc="DBB8C0D0">
      <w:start w:val="1"/>
      <w:numFmt w:val="lowerLetter"/>
      <w:lvlText w:val="%1."/>
      <w:lvlJc w:val="left"/>
      <w:pPr>
        <w:tabs>
          <w:tab w:val="num" w:pos="453"/>
        </w:tabs>
        <w:ind w:left="453" w:hanging="340"/>
      </w:pPr>
      <w:rPr>
        <w:rFonts w:ascii="Arial" w:eastAsia="Times New Roman" w:hAnsi="Arial" w:cs="Arial"/>
        <w:color w:val="000000"/>
        <w:sz w:val="16"/>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7" w15:restartNumberingAfterBreak="0">
    <w:nsid w:val="52584B9C"/>
    <w:multiLevelType w:val="hybridMultilevel"/>
    <w:tmpl w:val="724E74B8"/>
    <w:lvl w:ilvl="0" w:tplc="3B4C2324">
      <w:start w:val="1"/>
      <w:numFmt w:val="low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8" w15:restartNumberingAfterBreak="0">
    <w:nsid w:val="535C4592"/>
    <w:multiLevelType w:val="hybridMultilevel"/>
    <w:tmpl w:val="A52AF00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3C91704"/>
    <w:multiLevelType w:val="hybridMultilevel"/>
    <w:tmpl w:val="2048D5A4"/>
    <w:lvl w:ilvl="0" w:tplc="FB988D5A">
      <w:start w:val="1"/>
      <w:numFmt w:val="lowerLetter"/>
      <w:lvlText w:val="%1."/>
      <w:lvlJc w:val="left"/>
      <w:pPr>
        <w:tabs>
          <w:tab w:val="num" w:pos="227"/>
        </w:tabs>
        <w:ind w:left="0" w:firstLine="0"/>
      </w:pPr>
      <w:rPr>
        <w:rFonts w:ascii="Arial" w:eastAsia="Times New Roman" w:hAnsi="Arial" w:cs="Arial" w:hint="default"/>
        <w:color w:val="000000"/>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4FB58C5"/>
    <w:multiLevelType w:val="hybridMultilevel"/>
    <w:tmpl w:val="3A72805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60B294E"/>
    <w:multiLevelType w:val="multilevel"/>
    <w:tmpl w:val="910E507C"/>
    <w:lvl w:ilvl="0">
      <w:start w:val="1"/>
      <w:numFmt w:val="decimal"/>
      <w:lvlText w:val="%1"/>
      <w:lvlJc w:val="left"/>
      <w:pPr>
        <w:tabs>
          <w:tab w:val="num" w:pos="420"/>
        </w:tabs>
        <w:ind w:left="420" w:hanging="420"/>
      </w:pPr>
      <w:rPr>
        <w:rFonts w:hint="default"/>
      </w:rPr>
    </w:lvl>
    <w:lvl w:ilvl="1">
      <w:start w:val="1"/>
      <w:numFmt w:val="decimal"/>
      <w:pStyle w:val="Heading3level4"/>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15:restartNumberingAfterBreak="0">
    <w:nsid w:val="58101827"/>
    <w:multiLevelType w:val="multilevel"/>
    <w:tmpl w:val="072C6E52"/>
    <w:lvl w:ilvl="0">
      <w:start w:val="1"/>
      <w:numFmt w:val="bullet"/>
      <w:lvlRestart w:val="0"/>
      <w:pStyle w:val="BoxBullet"/>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53" w15:restartNumberingAfterBreak="0">
    <w:nsid w:val="59AC56A7"/>
    <w:multiLevelType w:val="hybridMultilevel"/>
    <w:tmpl w:val="E592A8E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A0D625D"/>
    <w:multiLevelType w:val="hybridMultilevel"/>
    <w:tmpl w:val="ACE2DD50"/>
    <w:lvl w:ilvl="0" w:tplc="0CB27608">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15:restartNumberingAfterBreak="0">
    <w:nsid w:val="5D1403AD"/>
    <w:multiLevelType w:val="hybridMultilevel"/>
    <w:tmpl w:val="B3900F84"/>
    <w:lvl w:ilvl="0" w:tplc="6E843D70">
      <w:start w:val="1"/>
      <w:numFmt w:val="decimal"/>
      <w:pStyle w:val="FigureHeading"/>
      <w:lvlText w:val="Figure %1: "/>
      <w:lvlJc w:val="left"/>
      <w:pPr>
        <w:tabs>
          <w:tab w:val="num" w:pos="284"/>
        </w:tabs>
        <w:ind w:left="644" w:hanging="360"/>
      </w:pPr>
      <w:rPr>
        <w:rFonts w:ascii="Arial Bold" w:hAnsi="Arial Bold" w:hint="default"/>
        <w:b/>
        <w:i w:val="0"/>
        <w:spacing w:val="0"/>
        <w:w w:val="100"/>
        <w:sz w:val="20"/>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56" w15:restartNumberingAfterBreak="0">
    <w:nsid w:val="5D7757F8"/>
    <w:multiLevelType w:val="hybridMultilevel"/>
    <w:tmpl w:val="3552FD16"/>
    <w:lvl w:ilvl="0" w:tplc="9E827DA8">
      <w:start w:val="1"/>
      <w:numFmt w:val="bullet"/>
      <w:pStyle w:val="BulletDiamond"/>
      <w:lvlText w:val=""/>
      <w:lvlJc w:val="left"/>
      <w:pPr>
        <w:tabs>
          <w:tab w:val="num" w:pos="396"/>
        </w:tabs>
        <w:ind w:left="396" w:firstLine="114"/>
      </w:pPr>
      <w:rPr>
        <w:rFonts w:ascii="Symbol" w:hAnsi="Symbol" w:hint="default"/>
      </w:rPr>
    </w:lvl>
    <w:lvl w:ilvl="1" w:tplc="059A534E" w:tentative="1">
      <w:start w:val="1"/>
      <w:numFmt w:val="bullet"/>
      <w:lvlText w:val="o"/>
      <w:lvlJc w:val="left"/>
      <w:pPr>
        <w:tabs>
          <w:tab w:val="num" w:pos="1440"/>
        </w:tabs>
        <w:ind w:left="1440" w:hanging="360"/>
      </w:pPr>
      <w:rPr>
        <w:rFonts w:ascii="Courier New" w:hAnsi="Courier New" w:cs="Courier New" w:hint="default"/>
      </w:rPr>
    </w:lvl>
    <w:lvl w:ilvl="2" w:tplc="5E0A3486" w:tentative="1">
      <w:start w:val="1"/>
      <w:numFmt w:val="bullet"/>
      <w:lvlText w:val=""/>
      <w:lvlJc w:val="left"/>
      <w:pPr>
        <w:tabs>
          <w:tab w:val="num" w:pos="2160"/>
        </w:tabs>
        <w:ind w:left="2160" w:hanging="360"/>
      </w:pPr>
      <w:rPr>
        <w:rFonts w:ascii="Wingdings" w:hAnsi="Wingdings" w:hint="default"/>
      </w:rPr>
    </w:lvl>
    <w:lvl w:ilvl="3" w:tplc="541E5C60" w:tentative="1">
      <w:start w:val="1"/>
      <w:numFmt w:val="bullet"/>
      <w:lvlText w:val=""/>
      <w:lvlJc w:val="left"/>
      <w:pPr>
        <w:tabs>
          <w:tab w:val="num" w:pos="2880"/>
        </w:tabs>
        <w:ind w:left="2880" w:hanging="360"/>
      </w:pPr>
      <w:rPr>
        <w:rFonts w:ascii="Symbol" w:hAnsi="Symbol" w:hint="default"/>
      </w:rPr>
    </w:lvl>
    <w:lvl w:ilvl="4" w:tplc="5468947A" w:tentative="1">
      <w:start w:val="1"/>
      <w:numFmt w:val="bullet"/>
      <w:lvlText w:val="o"/>
      <w:lvlJc w:val="left"/>
      <w:pPr>
        <w:tabs>
          <w:tab w:val="num" w:pos="3600"/>
        </w:tabs>
        <w:ind w:left="3600" w:hanging="360"/>
      </w:pPr>
      <w:rPr>
        <w:rFonts w:ascii="Courier New" w:hAnsi="Courier New" w:cs="Courier New" w:hint="default"/>
      </w:rPr>
    </w:lvl>
    <w:lvl w:ilvl="5" w:tplc="ABEE55E8" w:tentative="1">
      <w:start w:val="1"/>
      <w:numFmt w:val="bullet"/>
      <w:lvlText w:val=""/>
      <w:lvlJc w:val="left"/>
      <w:pPr>
        <w:tabs>
          <w:tab w:val="num" w:pos="4320"/>
        </w:tabs>
        <w:ind w:left="4320" w:hanging="360"/>
      </w:pPr>
      <w:rPr>
        <w:rFonts w:ascii="Wingdings" w:hAnsi="Wingdings" w:hint="default"/>
      </w:rPr>
    </w:lvl>
    <w:lvl w:ilvl="6" w:tplc="F684B65C" w:tentative="1">
      <w:start w:val="1"/>
      <w:numFmt w:val="bullet"/>
      <w:lvlText w:val=""/>
      <w:lvlJc w:val="left"/>
      <w:pPr>
        <w:tabs>
          <w:tab w:val="num" w:pos="5040"/>
        </w:tabs>
        <w:ind w:left="5040" w:hanging="360"/>
      </w:pPr>
      <w:rPr>
        <w:rFonts w:ascii="Symbol" w:hAnsi="Symbol" w:hint="default"/>
      </w:rPr>
    </w:lvl>
    <w:lvl w:ilvl="7" w:tplc="798C9078" w:tentative="1">
      <w:start w:val="1"/>
      <w:numFmt w:val="bullet"/>
      <w:lvlText w:val="o"/>
      <w:lvlJc w:val="left"/>
      <w:pPr>
        <w:tabs>
          <w:tab w:val="num" w:pos="5760"/>
        </w:tabs>
        <w:ind w:left="5760" w:hanging="360"/>
      </w:pPr>
      <w:rPr>
        <w:rFonts w:ascii="Courier New" w:hAnsi="Courier New" w:cs="Courier New" w:hint="default"/>
      </w:rPr>
    </w:lvl>
    <w:lvl w:ilvl="8" w:tplc="DF22A90A"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EA35A80"/>
    <w:multiLevelType w:val="hybridMultilevel"/>
    <w:tmpl w:val="ED5C9200"/>
    <w:lvl w:ilvl="0" w:tplc="EA5C714C">
      <w:start w:val="1"/>
      <w:numFmt w:val="lowerLetter"/>
      <w:lvlText w:val="%1."/>
      <w:lvlJc w:val="left"/>
      <w:pPr>
        <w:ind w:left="503" w:hanging="360"/>
      </w:pPr>
      <w:rPr>
        <w:rFonts w:hint="default"/>
        <w:i w:val="0"/>
      </w:rPr>
    </w:lvl>
    <w:lvl w:ilvl="1" w:tplc="0C090019" w:tentative="1">
      <w:start w:val="1"/>
      <w:numFmt w:val="lowerLetter"/>
      <w:lvlText w:val="%2."/>
      <w:lvlJc w:val="left"/>
      <w:pPr>
        <w:ind w:left="1223" w:hanging="360"/>
      </w:pPr>
    </w:lvl>
    <w:lvl w:ilvl="2" w:tplc="0C09001B" w:tentative="1">
      <w:start w:val="1"/>
      <w:numFmt w:val="lowerRoman"/>
      <w:lvlText w:val="%3."/>
      <w:lvlJc w:val="right"/>
      <w:pPr>
        <w:ind w:left="1943" w:hanging="180"/>
      </w:pPr>
    </w:lvl>
    <w:lvl w:ilvl="3" w:tplc="0C09000F" w:tentative="1">
      <w:start w:val="1"/>
      <w:numFmt w:val="decimal"/>
      <w:lvlText w:val="%4."/>
      <w:lvlJc w:val="left"/>
      <w:pPr>
        <w:ind w:left="2663" w:hanging="360"/>
      </w:pPr>
    </w:lvl>
    <w:lvl w:ilvl="4" w:tplc="0C090019" w:tentative="1">
      <w:start w:val="1"/>
      <w:numFmt w:val="lowerLetter"/>
      <w:lvlText w:val="%5."/>
      <w:lvlJc w:val="left"/>
      <w:pPr>
        <w:ind w:left="3383" w:hanging="360"/>
      </w:pPr>
    </w:lvl>
    <w:lvl w:ilvl="5" w:tplc="0C09001B" w:tentative="1">
      <w:start w:val="1"/>
      <w:numFmt w:val="lowerRoman"/>
      <w:lvlText w:val="%6."/>
      <w:lvlJc w:val="right"/>
      <w:pPr>
        <w:ind w:left="4103" w:hanging="180"/>
      </w:pPr>
    </w:lvl>
    <w:lvl w:ilvl="6" w:tplc="0C09000F" w:tentative="1">
      <w:start w:val="1"/>
      <w:numFmt w:val="decimal"/>
      <w:lvlText w:val="%7."/>
      <w:lvlJc w:val="left"/>
      <w:pPr>
        <w:ind w:left="4823" w:hanging="360"/>
      </w:pPr>
    </w:lvl>
    <w:lvl w:ilvl="7" w:tplc="0C090019" w:tentative="1">
      <w:start w:val="1"/>
      <w:numFmt w:val="lowerLetter"/>
      <w:lvlText w:val="%8."/>
      <w:lvlJc w:val="left"/>
      <w:pPr>
        <w:ind w:left="5543" w:hanging="360"/>
      </w:pPr>
    </w:lvl>
    <w:lvl w:ilvl="8" w:tplc="0C09001B" w:tentative="1">
      <w:start w:val="1"/>
      <w:numFmt w:val="lowerRoman"/>
      <w:lvlText w:val="%9."/>
      <w:lvlJc w:val="right"/>
      <w:pPr>
        <w:ind w:left="6263" w:hanging="180"/>
      </w:pPr>
    </w:lvl>
  </w:abstractNum>
  <w:abstractNum w:abstractNumId="58" w15:restartNumberingAfterBreak="0">
    <w:nsid w:val="5FD36B53"/>
    <w:multiLevelType w:val="hybridMultilevel"/>
    <w:tmpl w:val="F704FEF6"/>
    <w:lvl w:ilvl="0" w:tplc="D43CA65A">
      <w:start w:val="1"/>
      <w:numFmt w:val="lowerLetter"/>
      <w:pStyle w:val="aNotesalpha"/>
      <w:lvlText w:val="%1."/>
      <w:lvlJc w:val="left"/>
      <w:pPr>
        <w:tabs>
          <w:tab w:val="num" w:pos="453"/>
        </w:tabs>
        <w:ind w:left="453" w:hanging="340"/>
      </w:pPr>
      <w:rPr>
        <w:rFonts w:ascii="Book Antiqua" w:hAnsi="Book Antiqua" w:hint="default"/>
        <w:color w:val="000000"/>
        <w:sz w:val="16"/>
      </w:rPr>
    </w:lvl>
    <w:lvl w:ilvl="1" w:tplc="ADDAFCE0">
      <w:start w:val="1"/>
      <w:numFmt w:val="decimal"/>
      <w:lvlText w:val="%2."/>
      <w:lvlJc w:val="left"/>
      <w:pPr>
        <w:tabs>
          <w:tab w:val="num" w:pos="1440"/>
        </w:tabs>
        <w:ind w:left="1440" w:hanging="360"/>
      </w:pPr>
      <w:rPr>
        <w:rFonts w:hint="default"/>
      </w:rPr>
    </w:lvl>
    <w:lvl w:ilvl="2" w:tplc="0C090005">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59" w15:restartNumberingAfterBreak="0">
    <w:nsid w:val="62995DFF"/>
    <w:multiLevelType w:val="hybridMultilevel"/>
    <w:tmpl w:val="81FAE4AE"/>
    <w:lvl w:ilvl="0" w:tplc="26EEE044">
      <w:start w:val="1"/>
      <w:numFmt w:val="decimal"/>
      <w:lvlText w:val="Table %1: "/>
      <w:lvlJc w:val="left"/>
      <w:pPr>
        <w:ind w:left="928" w:hanging="360"/>
      </w:pPr>
      <w:rPr>
        <w:rFonts w:hint="default"/>
        <w:b/>
        <w:bCs w:val="0"/>
        <w:i w:val="0"/>
        <w:iCs w:val="0"/>
        <w:caps w:val="0"/>
        <w:small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62C3247B"/>
    <w:multiLevelType w:val="hybridMultilevel"/>
    <w:tmpl w:val="1624DE4E"/>
    <w:lvl w:ilvl="0" w:tplc="3CD07B50">
      <w:start w:val="1"/>
      <w:numFmt w:val="lowerLetter"/>
      <w:lvlText w:val="%1."/>
      <w:lvlJc w:val="left"/>
      <w:pPr>
        <w:ind w:left="360" w:hanging="360"/>
      </w:pPr>
      <w:rPr>
        <w:rFonts w:hint="default"/>
        <w:i w:val="0"/>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61" w15:restartNumberingAfterBreak="0">
    <w:nsid w:val="6440347F"/>
    <w:multiLevelType w:val="hybridMultilevel"/>
    <w:tmpl w:val="7D74655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647225ED"/>
    <w:multiLevelType w:val="hybridMultilevel"/>
    <w:tmpl w:val="FF063B8E"/>
    <w:lvl w:ilvl="0" w:tplc="973E99C2">
      <w:start w:val="1"/>
      <w:numFmt w:val="lowerLetter"/>
      <w:lvlText w:val="%1."/>
      <w:lvlJc w:val="left"/>
      <w:pPr>
        <w:ind w:left="360" w:hanging="360"/>
      </w:pPr>
      <w:rPr>
        <w:rFonts w:hint="default"/>
        <w:i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3" w15:restartNumberingAfterBreak="0">
    <w:nsid w:val="67AF7017"/>
    <w:multiLevelType w:val="hybridMultilevel"/>
    <w:tmpl w:val="DC88ECBC"/>
    <w:lvl w:ilvl="0" w:tplc="F4A603E6">
      <w:start w:val="5"/>
      <w:numFmt w:val="decimal"/>
      <w:lvlText w:val="Table %1: "/>
      <w:lvlJc w:val="left"/>
      <w:pPr>
        <w:ind w:left="360" w:hanging="360"/>
      </w:pPr>
      <w:rPr>
        <w:rFonts w:ascii="Arial Bold" w:hAnsi="Arial Bold" w:hint="default"/>
        <w:b/>
        <w:bCs w:val="0"/>
        <w:i w:val="0"/>
        <w:iCs w:val="0"/>
        <w:caps w:val="0"/>
        <w:small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678" w:hanging="360"/>
      </w:pPr>
    </w:lvl>
    <w:lvl w:ilvl="2" w:tplc="0C09001B" w:tentative="1">
      <w:start w:val="1"/>
      <w:numFmt w:val="lowerRoman"/>
      <w:lvlText w:val="%3."/>
      <w:lvlJc w:val="right"/>
      <w:pPr>
        <w:ind w:left="-958" w:hanging="180"/>
      </w:pPr>
    </w:lvl>
    <w:lvl w:ilvl="3" w:tplc="0C09000F" w:tentative="1">
      <w:start w:val="1"/>
      <w:numFmt w:val="decimal"/>
      <w:lvlText w:val="%4."/>
      <w:lvlJc w:val="left"/>
      <w:pPr>
        <w:ind w:left="-238" w:hanging="360"/>
      </w:pPr>
    </w:lvl>
    <w:lvl w:ilvl="4" w:tplc="0C090019" w:tentative="1">
      <w:start w:val="1"/>
      <w:numFmt w:val="lowerLetter"/>
      <w:lvlText w:val="%5."/>
      <w:lvlJc w:val="left"/>
      <w:pPr>
        <w:ind w:left="482" w:hanging="360"/>
      </w:pPr>
    </w:lvl>
    <w:lvl w:ilvl="5" w:tplc="0C09001B" w:tentative="1">
      <w:start w:val="1"/>
      <w:numFmt w:val="lowerRoman"/>
      <w:lvlText w:val="%6."/>
      <w:lvlJc w:val="right"/>
      <w:pPr>
        <w:ind w:left="1202" w:hanging="180"/>
      </w:pPr>
    </w:lvl>
    <w:lvl w:ilvl="6" w:tplc="0C09000F" w:tentative="1">
      <w:start w:val="1"/>
      <w:numFmt w:val="decimal"/>
      <w:lvlText w:val="%7."/>
      <w:lvlJc w:val="left"/>
      <w:pPr>
        <w:ind w:left="1922" w:hanging="360"/>
      </w:pPr>
    </w:lvl>
    <w:lvl w:ilvl="7" w:tplc="0C090019" w:tentative="1">
      <w:start w:val="1"/>
      <w:numFmt w:val="lowerLetter"/>
      <w:lvlText w:val="%8."/>
      <w:lvlJc w:val="left"/>
      <w:pPr>
        <w:ind w:left="2642" w:hanging="360"/>
      </w:pPr>
    </w:lvl>
    <w:lvl w:ilvl="8" w:tplc="0C09001B" w:tentative="1">
      <w:start w:val="1"/>
      <w:numFmt w:val="lowerRoman"/>
      <w:lvlText w:val="%9."/>
      <w:lvlJc w:val="right"/>
      <w:pPr>
        <w:ind w:left="3362" w:hanging="180"/>
      </w:pPr>
    </w:lvl>
  </w:abstractNum>
  <w:abstractNum w:abstractNumId="64" w15:restartNumberingAfterBreak="0">
    <w:nsid w:val="69483043"/>
    <w:multiLevelType w:val="hybridMultilevel"/>
    <w:tmpl w:val="1624DE4E"/>
    <w:lvl w:ilvl="0" w:tplc="3CD07B50">
      <w:start w:val="1"/>
      <w:numFmt w:val="lowerLetter"/>
      <w:lvlText w:val="%1."/>
      <w:lvlJc w:val="left"/>
      <w:pPr>
        <w:ind w:left="502" w:hanging="360"/>
      </w:pPr>
      <w:rPr>
        <w:rFonts w:hint="default"/>
        <w:i w:val="0"/>
      </w:rPr>
    </w:lvl>
    <w:lvl w:ilvl="1" w:tplc="0C090019" w:tentative="1">
      <w:start w:val="1"/>
      <w:numFmt w:val="lowerLetter"/>
      <w:lvlText w:val="%2."/>
      <w:lvlJc w:val="left"/>
      <w:pPr>
        <w:ind w:left="2496" w:hanging="360"/>
      </w:pPr>
    </w:lvl>
    <w:lvl w:ilvl="2" w:tplc="0C09001B" w:tentative="1">
      <w:start w:val="1"/>
      <w:numFmt w:val="lowerRoman"/>
      <w:lvlText w:val="%3."/>
      <w:lvlJc w:val="right"/>
      <w:pPr>
        <w:ind w:left="3216" w:hanging="180"/>
      </w:pPr>
    </w:lvl>
    <w:lvl w:ilvl="3" w:tplc="0C09000F" w:tentative="1">
      <w:start w:val="1"/>
      <w:numFmt w:val="decimal"/>
      <w:lvlText w:val="%4."/>
      <w:lvlJc w:val="left"/>
      <w:pPr>
        <w:ind w:left="3936" w:hanging="360"/>
      </w:pPr>
    </w:lvl>
    <w:lvl w:ilvl="4" w:tplc="0C090019" w:tentative="1">
      <w:start w:val="1"/>
      <w:numFmt w:val="lowerLetter"/>
      <w:lvlText w:val="%5."/>
      <w:lvlJc w:val="left"/>
      <w:pPr>
        <w:ind w:left="4656" w:hanging="360"/>
      </w:pPr>
    </w:lvl>
    <w:lvl w:ilvl="5" w:tplc="0C09001B" w:tentative="1">
      <w:start w:val="1"/>
      <w:numFmt w:val="lowerRoman"/>
      <w:lvlText w:val="%6."/>
      <w:lvlJc w:val="right"/>
      <w:pPr>
        <w:ind w:left="5376" w:hanging="180"/>
      </w:pPr>
    </w:lvl>
    <w:lvl w:ilvl="6" w:tplc="0C09000F" w:tentative="1">
      <w:start w:val="1"/>
      <w:numFmt w:val="decimal"/>
      <w:lvlText w:val="%7."/>
      <w:lvlJc w:val="left"/>
      <w:pPr>
        <w:ind w:left="6096" w:hanging="360"/>
      </w:pPr>
    </w:lvl>
    <w:lvl w:ilvl="7" w:tplc="0C090019" w:tentative="1">
      <w:start w:val="1"/>
      <w:numFmt w:val="lowerLetter"/>
      <w:lvlText w:val="%8."/>
      <w:lvlJc w:val="left"/>
      <w:pPr>
        <w:ind w:left="6816" w:hanging="360"/>
      </w:pPr>
    </w:lvl>
    <w:lvl w:ilvl="8" w:tplc="0C09001B" w:tentative="1">
      <w:start w:val="1"/>
      <w:numFmt w:val="lowerRoman"/>
      <w:lvlText w:val="%9."/>
      <w:lvlJc w:val="right"/>
      <w:pPr>
        <w:ind w:left="7536" w:hanging="180"/>
      </w:pPr>
    </w:lvl>
  </w:abstractNum>
  <w:abstractNum w:abstractNumId="65" w15:restartNumberingAfterBreak="0">
    <w:nsid w:val="69646747"/>
    <w:multiLevelType w:val="hybridMultilevel"/>
    <w:tmpl w:val="511292F0"/>
    <w:lvl w:ilvl="0" w:tplc="973E99C2">
      <w:start w:val="1"/>
      <w:numFmt w:val="lowerLetter"/>
      <w:lvlText w:val="%1."/>
      <w:lvlJc w:val="left"/>
      <w:pPr>
        <w:ind w:left="360" w:hanging="360"/>
      </w:pPr>
      <w:rPr>
        <w:rFonts w:hint="default"/>
        <w:i w:val="0"/>
      </w:rPr>
    </w:lvl>
    <w:lvl w:ilvl="1" w:tplc="0C090019" w:tentative="1">
      <w:start w:val="1"/>
      <w:numFmt w:val="lowerLetter"/>
      <w:lvlText w:val="%2."/>
      <w:lvlJc w:val="left"/>
      <w:pPr>
        <w:ind w:left="1220" w:hanging="360"/>
      </w:pPr>
    </w:lvl>
    <w:lvl w:ilvl="2" w:tplc="0C09001B" w:tentative="1">
      <w:start w:val="1"/>
      <w:numFmt w:val="lowerRoman"/>
      <w:lvlText w:val="%3."/>
      <w:lvlJc w:val="right"/>
      <w:pPr>
        <w:ind w:left="1940" w:hanging="180"/>
      </w:pPr>
    </w:lvl>
    <w:lvl w:ilvl="3" w:tplc="0C09000F" w:tentative="1">
      <w:start w:val="1"/>
      <w:numFmt w:val="decimal"/>
      <w:lvlText w:val="%4."/>
      <w:lvlJc w:val="left"/>
      <w:pPr>
        <w:ind w:left="2660" w:hanging="360"/>
      </w:pPr>
    </w:lvl>
    <w:lvl w:ilvl="4" w:tplc="0C090019" w:tentative="1">
      <w:start w:val="1"/>
      <w:numFmt w:val="lowerLetter"/>
      <w:lvlText w:val="%5."/>
      <w:lvlJc w:val="left"/>
      <w:pPr>
        <w:ind w:left="3380" w:hanging="360"/>
      </w:pPr>
    </w:lvl>
    <w:lvl w:ilvl="5" w:tplc="0C09001B" w:tentative="1">
      <w:start w:val="1"/>
      <w:numFmt w:val="lowerRoman"/>
      <w:lvlText w:val="%6."/>
      <w:lvlJc w:val="right"/>
      <w:pPr>
        <w:ind w:left="4100" w:hanging="180"/>
      </w:pPr>
    </w:lvl>
    <w:lvl w:ilvl="6" w:tplc="0C09000F" w:tentative="1">
      <w:start w:val="1"/>
      <w:numFmt w:val="decimal"/>
      <w:lvlText w:val="%7."/>
      <w:lvlJc w:val="left"/>
      <w:pPr>
        <w:ind w:left="4820" w:hanging="360"/>
      </w:pPr>
    </w:lvl>
    <w:lvl w:ilvl="7" w:tplc="0C090019" w:tentative="1">
      <w:start w:val="1"/>
      <w:numFmt w:val="lowerLetter"/>
      <w:lvlText w:val="%8."/>
      <w:lvlJc w:val="left"/>
      <w:pPr>
        <w:ind w:left="5540" w:hanging="360"/>
      </w:pPr>
    </w:lvl>
    <w:lvl w:ilvl="8" w:tplc="0C09001B" w:tentative="1">
      <w:start w:val="1"/>
      <w:numFmt w:val="lowerRoman"/>
      <w:lvlText w:val="%9."/>
      <w:lvlJc w:val="right"/>
      <w:pPr>
        <w:ind w:left="6260" w:hanging="180"/>
      </w:pPr>
    </w:lvl>
  </w:abstractNum>
  <w:abstractNum w:abstractNumId="66" w15:restartNumberingAfterBreak="0">
    <w:nsid w:val="6A631BC0"/>
    <w:multiLevelType w:val="hybridMultilevel"/>
    <w:tmpl w:val="9A2AD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CA957E5"/>
    <w:multiLevelType w:val="hybridMultilevel"/>
    <w:tmpl w:val="1624DE4E"/>
    <w:lvl w:ilvl="0" w:tplc="3CD07B50">
      <w:start w:val="1"/>
      <w:numFmt w:val="lowerLetter"/>
      <w:lvlText w:val="%1."/>
      <w:lvlJc w:val="left"/>
      <w:pPr>
        <w:ind w:left="360" w:hanging="360"/>
      </w:pPr>
      <w:rPr>
        <w:rFonts w:hint="default"/>
        <w:i w:val="0"/>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68" w15:restartNumberingAfterBreak="0">
    <w:nsid w:val="6CAC5703"/>
    <w:multiLevelType w:val="hybridMultilevel"/>
    <w:tmpl w:val="913AC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E404BA7"/>
    <w:multiLevelType w:val="hybridMultilevel"/>
    <w:tmpl w:val="05B695B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0" w15:restartNumberingAfterBreak="0">
    <w:nsid w:val="6FEB5B60"/>
    <w:multiLevelType w:val="hybridMultilevel"/>
    <w:tmpl w:val="6C48633E"/>
    <w:lvl w:ilvl="0" w:tplc="973E99C2">
      <w:start w:val="1"/>
      <w:numFmt w:val="lowerLetter"/>
      <w:lvlText w:val="%1."/>
      <w:lvlJc w:val="left"/>
      <w:pPr>
        <w:ind w:left="360" w:hanging="360"/>
      </w:pPr>
      <w:rPr>
        <w:rFonts w:hint="default"/>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1" w15:restartNumberingAfterBreak="0">
    <w:nsid w:val="71A7570B"/>
    <w:multiLevelType w:val="hybridMultilevel"/>
    <w:tmpl w:val="ADFC07E0"/>
    <w:lvl w:ilvl="0" w:tplc="768096B4">
      <w:start w:val="1"/>
      <w:numFmt w:val="lowerLetter"/>
      <w:lvlText w:val="%1."/>
      <w:lvlJc w:val="left"/>
      <w:pPr>
        <w:ind w:left="716" w:hanging="360"/>
      </w:pPr>
      <w:rPr>
        <w:rFonts w:ascii="Arial" w:eastAsia="Times New Roman" w:hAnsi="Arial" w:cs="Arial"/>
      </w:rPr>
    </w:lvl>
    <w:lvl w:ilvl="1" w:tplc="0C090019">
      <w:start w:val="1"/>
      <w:numFmt w:val="lowerLetter"/>
      <w:lvlText w:val="%2."/>
      <w:lvlJc w:val="left"/>
      <w:pPr>
        <w:ind w:left="360" w:hanging="360"/>
      </w:pPr>
    </w:lvl>
    <w:lvl w:ilvl="2" w:tplc="0C09001B" w:tentative="1">
      <w:start w:val="1"/>
      <w:numFmt w:val="lowerRoman"/>
      <w:lvlText w:val="%3."/>
      <w:lvlJc w:val="right"/>
      <w:pPr>
        <w:ind w:left="2156" w:hanging="180"/>
      </w:pPr>
    </w:lvl>
    <w:lvl w:ilvl="3" w:tplc="0C09000F" w:tentative="1">
      <w:start w:val="1"/>
      <w:numFmt w:val="decimal"/>
      <w:lvlText w:val="%4."/>
      <w:lvlJc w:val="left"/>
      <w:pPr>
        <w:ind w:left="2876" w:hanging="360"/>
      </w:pPr>
    </w:lvl>
    <w:lvl w:ilvl="4" w:tplc="0C090019" w:tentative="1">
      <w:start w:val="1"/>
      <w:numFmt w:val="lowerLetter"/>
      <w:lvlText w:val="%5."/>
      <w:lvlJc w:val="left"/>
      <w:pPr>
        <w:ind w:left="3596" w:hanging="360"/>
      </w:pPr>
    </w:lvl>
    <w:lvl w:ilvl="5" w:tplc="0C09001B" w:tentative="1">
      <w:start w:val="1"/>
      <w:numFmt w:val="lowerRoman"/>
      <w:lvlText w:val="%6."/>
      <w:lvlJc w:val="right"/>
      <w:pPr>
        <w:ind w:left="4316" w:hanging="180"/>
      </w:pPr>
    </w:lvl>
    <w:lvl w:ilvl="6" w:tplc="0C09000F" w:tentative="1">
      <w:start w:val="1"/>
      <w:numFmt w:val="decimal"/>
      <w:lvlText w:val="%7."/>
      <w:lvlJc w:val="left"/>
      <w:pPr>
        <w:ind w:left="5036" w:hanging="360"/>
      </w:pPr>
    </w:lvl>
    <w:lvl w:ilvl="7" w:tplc="0C090019" w:tentative="1">
      <w:start w:val="1"/>
      <w:numFmt w:val="lowerLetter"/>
      <w:lvlText w:val="%8."/>
      <w:lvlJc w:val="left"/>
      <w:pPr>
        <w:ind w:left="5756" w:hanging="360"/>
      </w:pPr>
    </w:lvl>
    <w:lvl w:ilvl="8" w:tplc="0C09001B" w:tentative="1">
      <w:start w:val="1"/>
      <w:numFmt w:val="lowerRoman"/>
      <w:lvlText w:val="%9."/>
      <w:lvlJc w:val="right"/>
      <w:pPr>
        <w:ind w:left="6476" w:hanging="180"/>
      </w:pPr>
    </w:lvl>
  </w:abstractNum>
  <w:abstractNum w:abstractNumId="72" w15:restartNumberingAfterBreak="0">
    <w:nsid w:val="71EA7466"/>
    <w:multiLevelType w:val="hybridMultilevel"/>
    <w:tmpl w:val="CE80B22E"/>
    <w:lvl w:ilvl="0" w:tplc="26EEE044">
      <w:start w:val="1"/>
      <w:numFmt w:val="decimal"/>
      <w:lvlText w:val="Table %1: "/>
      <w:lvlJc w:val="left"/>
      <w:pPr>
        <w:ind w:left="4187" w:hanging="360"/>
      </w:pPr>
      <w:rPr>
        <w:rFonts w:hint="default"/>
        <w:b/>
        <w:bCs w:val="0"/>
        <w:i w:val="0"/>
        <w:iCs w:val="0"/>
        <w:caps w:val="0"/>
        <w:small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74CD2EB1"/>
    <w:multiLevelType w:val="multilevel"/>
    <w:tmpl w:val="34589BAE"/>
    <w:lvl w:ilvl="0">
      <w:start w:val="1"/>
      <w:numFmt w:val="decimal"/>
      <w:lvlRestart w:val="0"/>
      <w:pStyle w:val="Exampletextbullet"/>
      <w:lvlText w:val="•"/>
      <w:lvlJc w:val="left"/>
      <w:pPr>
        <w:tabs>
          <w:tab w:val="num" w:pos="284"/>
        </w:tabs>
        <w:ind w:left="284" w:hanging="284"/>
      </w:pPr>
      <w:rPr>
        <w:rFonts w:ascii="9999999" w:hAnsi="9999999" w:cs="Times New Roman"/>
        <w:b w:val="0"/>
        <w:i w:val="0"/>
        <w:color w:val="FF0000"/>
      </w:rPr>
    </w:lvl>
    <w:lvl w:ilvl="1">
      <w:start w:val="1"/>
      <w:numFmt w:val="decimal"/>
      <w:pStyle w:val="Exampletextdash"/>
      <w:lvlText w:val="–"/>
      <w:lvlJc w:val="left"/>
      <w:pPr>
        <w:tabs>
          <w:tab w:val="num" w:pos="567"/>
        </w:tabs>
        <w:ind w:left="567" w:hanging="283"/>
      </w:pPr>
      <w:rPr>
        <w:rFonts w:ascii="9999999" w:hAnsi="9999999" w:cs="Times New Roman"/>
        <w:b w:val="0"/>
        <w:i w:val="0"/>
        <w:color w:val="FF0000"/>
      </w:rPr>
    </w:lvl>
    <w:lvl w:ilvl="2">
      <w:start w:val="1"/>
      <w:numFmt w:val="decimal"/>
      <w:lvlText w:val="%3"/>
      <w:lvlJc w:val="left"/>
      <w:pPr>
        <w:tabs>
          <w:tab w:val="num" w:pos="1701"/>
        </w:tabs>
        <w:ind w:left="1701" w:hanging="567"/>
      </w:pPr>
      <w:rPr>
        <w:rFonts w:cs="Times New Roman"/>
        <w:b w:val="0"/>
        <w:i w:val="0"/>
        <w:color w:val="000000"/>
      </w:rPr>
    </w:lvl>
    <w:lvl w:ilvl="3">
      <w:start w:val="1"/>
      <w:numFmt w:val="decimal"/>
      <w:lvlText w:val="%4"/>
      <w:lvlJc w:val="left"/>
      <w:pPr>
        <w:tabs>
          <w:tab w:val="num" w:pos="2268"/>
        </w:tabs>
        <w:ind w:left="2268" w:hanging="567"/>
      </w:pPr>
      <w:rPr>
        <w:rFonts w:cs="Times New Roman"/>
        <w:b w:val="0"/>
        <w:i w:val="0"/>
        <w:color w:val="000000"/>
      </w:rPr>
    </w:lvl>
    <w:lvl w:ilvl="4">
      <w:start w:val="1"/>
      <w:numFmt w:val="decimal"/>
      <w:lvlText w:val="%5"/>
      <w:lvlJc w:val="left"/>
      <w:pPr>
        <w:tabs>
          <w:tab w:val="num" w:pos="2835"/>
        </w:tabs>
        <w:ind w:left="2835" w:hanging="567"/>
      </w:pPr>
      <w:rPr>
        <w:rFonts w:cs="Times New Roman"/>
        <w:b w:val="0"/>
        <w:i w:val="0"/>
        <w:color w:val="000000"/>
      </w:rPr>
    </w:lvl>
    <w:lvl w:ilvl="5">
      <w:start w:val="1"/>
      <w:numFmt w:val="decimal"/>
      <w:lvlText w:val="%6"/>
      <w:lvlJc w:val="left"/>
      <w:pPr>
        <w:tabs>
          <w:tab w:val="num" w:pos="3402"/>
        </w:tabs>
        <w:ind w:left="3402" w:hanging="567"/>
      </w:pPr>
      <w:rPr>
        <w:rFonts w:cs="Times New Roman"/>
        <w:b w:val="0"/>
        <w:i w:val="0"/>
        <w:color w:val="000000"/>
      </w:rPr>
    </w:lvl>
    <w:lvl w:ilvl="6">
      <w:start w:val="1"/>
      <w:numFmt w:val="decimal"/>
      <w:lvlText w:val="%7"/>
      <w:lvlJc w:val="left"/>
      <w:pPr>
        <w:tabs>
          <w:tab w:val="num" w:pos="3969"/>
        </w:tabs>
        <w:ind w:left="3969" w:hanging="567"/>
      </w:pPr>
      <w:rPr>
        <w:rFonts w:cs="Times New Roman"/>
        <w:b w:val="0"/>
        <w:i w:val="0"/>
        <w:color w:val="000000"/>
      </w:rPr>
    </w:lvl>
    <w:lvl w:ilvl="7">
      <w:start w:val="1"/>
      <w:numFmt w:val="decimal"/>
      <w:lvlText w:val="%8"/>
      <w:lvlJc w:val="left"/>
      <w:pPr>
        <w:tabs>
          <w:tab w:val="num" w:pos="4536"/>
        </w:tabs>
        <w:ind w:left="4536" w:hanging="567"/>
      </w:pPr>
      <w:rPr>
        <w:rFonts w:cs="Times New Roman"/>
        <w:b w:val="0"/>
        <w:i w:val="0"/>
        <w:color w:val="000000"/>
      </w:rPr>
    </w:lvl>
    <w:lvl w:ilvl="8">
      <w:start w:val="1"/>
      <w:numFmt w:val="decimal"/>
      <w:lvlText w:val="%9"/>
      <w:lvlJc w:val="left"/>
      <w:pPr>
        <w:tabs>
          <w:tab w:val="num" w:pos="5103"/>
        </w:tabs>
        <w:ind w:left="5103" w:hanging="567"/>
      </w:pPr>
      <w:rPr>
        <w:rFonts w:cs="Times New Roman"/>
        <w:b w:val="0"/>
        <w:i w:val="0"/>
        <w:color w:val="000000"/>
      </w:rPr>
    </w:lvl>
  </w:abstractNum>
  <w:abstractNum w:abstractNumId="74" w15:restartNumberingAfterBreak="0">
    <w:nsid w:val="773A4A3C"/>
    <w:multiLevelType w:val="hybridMultilevel"/>
    <w:tmpl w:val="48B006AC"/>
    <w:lvl w:ilvl="0" w:tplc="604EEAFC">
      <w:start w:val="1"/>
      <w:numFmt w:val="lowerLetter"/>
      <w:lvlText w:val="%1."/>
      <w:lvlJc w:val="left"/>
      <w:pPr>
        <w:ind w:left="361" w:hanging="360"/>
      </w:pPr>
      <w:rPr>
        <w:rFonts w:hint="default"/>
        <w:i w:val="0"/>
      </w:rPr>
    </w:lvl>
    <w:lvl w:ilvl="1" w:tplc="0C090019" w:tentative="1">
      <w:start w:val="1"/>
      <w:numFmt w:val="lowerLetter"/>
      <w:lvlText w:val="%2."/>
      <w:lvlJc w:val="left"/>
      <w:pPr>
        <w:ind w:left="1081" w:hanging="360"/>
      </w:pPr>
    </w:lvl>
    <w:lvl w:ilvl="2" w:tplc="0C09001B" w:tentative="1">
      <w:start w:val="1"/>
      <w:numFmt w:val="lowerRoman"/>
      <w:lvlText w:val="%3."/>
      <w:lvlJc w:val="right"/>
      <w:pPr>
        <w:ind w:left="1801" w:hanging="180"/>
      </w:pPr>
    </w:lvl>
    <w:lvl w:ilvl="3" w:tplc="0C09000F" w:tentative="1">
      <w:start w:val="1"/>
      <w:numFmt w:val="decimal"/>
      <w:lvlText w:val="%4."/>
      <w:lvlJc w:val="left"/>
      <w:pPr>
        <w:ind w:left="2521" w:hanging="360"/>
      </w:pPr>
    </w:lvl>
    <w:lvl w:ilvl="4" w:tplc="0C090019" w:tentative="1">
      <w:start w:val="1"/>
      <w:numFmt w:val="lowerLetter"/>
      <w:lvlText w:val="%5."/>
      <w:lvlJc w:val="left"/>
      <w:pPr>
        <w:ind w:left="3241" w:hanging="360"/>
      </w:pPr>
    </w:lvl>
    <w:lvl w:ilvl="5" w:tplc="0C09001B" w:tentative="1">
      <w:start w:val="1"/>
      <w:numFmt w:val="lowerRoman"/>
      <w:lvlText w:val="%6."/>
      <w:lvlJc w:val="right"/>
      <w:pPr>
        <w:ind w:left="3961" w:hanging="180"/>
      </w:pPr>
    </w:lvl>
    <w:lvl w:ilvl="6" w:tplc="0C09000F" w:tentative="1">
      <w:start w:val="1"/>
      <w:numFmt w:val="decimal"/>
      <w:lvlText w:val="%7."/>
      <w:lvlJc w:val="left"/>
      <w:pPr>
        <w:ind w:left="4681" w:hanging="360"/>
      </w:pPr>
    </w:lvl>
    <w:lvl w:ilvl="7" w:tplc="0C090019" w:tentative="1">
      <w:start w:val="1"/>
      <w:numFmt w:val="lowerLetter"/>
      <w:lvlText w:val="%8."/>
      <w:lvlJc w:val="left"/>
      <w:pPr>
        <w:ind w:left="5401" w:hanging="360"/>
      </w:pPr>
    </w:lvl>
    <w:lvl w:ilvl="8" w:tplc="0C09001B" w:tentative="1">
      <w:start w:val="1"/>
      <w:numFmt w:val="lowerRoman"/>
      <w:lvlText w:val="%9."/>
      <w:lvlJc w:val="right"/>
      <w:pPr>
        <w:ind w:left="6121" w:hanging="180"/>
      </w:pPr>
    </w:lvl>
  </w:abstractNum>
  <w:abstractNum w:abstractNumId="75" w15:restartNumberingAfterBreak="0">
    <w:nsid w:val="78510D62"/>
    <w:multiLevelType w:val="hybridMultilevel"/>
    <w:tmpl w:val="ED5C9200"/>
    <w:lvl w:ilvl="0" w:tplc="EA5C714C">
      <w:start w:val="1"/>
      <w:numFmt w:val="lowerLetter"/>
      <w:lvlText w:val="%1."/>
      <w:lvlJc w:val="left"/>
      <w:pPr>
        <w:ind w:left="503" w:hanging="360"/>
      </w:pPr>
      <w:rPr>
        <w:rFonts w:hint="default"/>
        <w:i w:val="0"/>
      </w:rPr>
    </w:lvl>
    <w:lvl w:ilvl="1" w:tplc="0C090019" w:tentative="1">
      <w:start w:val="1"/>
      <w:numFmt w:val="lowerLetter"/>
      <w:lvlText w:val="%2."/>
      <w:lvlJc w:val="left"/>
      <w:pPr>
        <w:ind w:left="1223" w:hanging="360"/>
      </w:pPr>
    </w:lvl>
    <w:lvl w:ilvl="2" w:tplc="0C09001B" w:tentative="1">
      <w:start w:val="1"/>
      <w:numFmt w:val="lowerRoman"/>
      <w:lvlText w:val="%3."/>
      <w:lvlJc w:val="right"/>
      <w:pPr>
        <w:ind w:left="1943" w:hanging="180"/>
      </w:pPr>
    </w:lvl>
    <w:lvl w:ilvl="3" w:tplc="0C09000F" w:tentative="1">
      <w:start w:val="1"/>
      <w:numFmt w:val="decimal"/>
      <w:lvlText w:val="%4."/>
      <w:lvlJc w:val="left"/>
      <w:pPr>
        <w:ind w:left="2663" w:hanging="360"/>
      </w:pPr>
    </w:lvl>
    <w:lvl w:ilvl="4" w:tplc="0C090019" w:tentative="1">
      <w:start w:val="1"/>
      <w:numFmt w:val="lowerLetter"/>
      <w:lvlText w:val="%5."/>
      <w:lvlJc w:val="left"/>
      <w:pPr>
        <w:ind w:left="3383" w:hanging="360"/>
      </w:pPr>
    </w:lvl>
    <w:lvl w:ilvl="5" w:tplc="0C09001B" w:tentative="1">
      <w:start w:val="1"/>
      <w:numFmt w:val="lowerRoman"/>
      <w:lvlText w:val="%6."/>
      <w:lvlJc w:val="right"/>
      <w:pPr>
        <w:ind w:left="4103" w:hanging="180"/>
      </w:pPr>
    </w:lvl>
    <w:lvl w:ilvl="6" w:tplc="0C09000F" w:tentative="1">
      <w:start w:val="1"/>
      <w:numFmt w:val="decimal"/>
      <w:lvlText w:val="%7."/>
      <w:lvlJc w:val="left"/>
      <w:pPr>
        <w:ind w:left="4823" w:hanging="360"/>
      </w:pPr>
    </w:lvl>
    <w:lvl w:ilvl="7" w:tplc="0C090019" w:tentative="1">
      <w:start w:val="1"/>
      <w:numFmt w:val="lowerLetter"/>
      <w:lvlText w:val="%8."/>
      <w:lvlJc w:val="left"/>
      <w:pPr>
        <w:ind w:left="5543" w:hanging="360"/>
      </w:pPr>
    </w:lvl>
    <w:lvl w:ilvl="8" w:tplc="0C09001B" w:tentative="1">
      <w:start w:val="1"/>
      <w:numFmt w:val="lowerRoman"/>
      <w:lvlText w:val="%9."/>
      <w:lvlJc w:val="right"/>
      <w:pPr>
        <w:ind w:left="6263" w:hanging="180"/>
      </w:pPr>
    </w:lvl>
  </w:abstractNum>
  <w:abstractNum w:abstractNumId="76" w15:restartNumberingAfterBreak="0">
    <w:nsid w:val="785A5976"/>
    <w:multiLevelType w:val="hybridMultilevel"/>
    <w:tmpl w:val="452AB26C"/>
    <w:lvl w:ilvl="0" w:tplc="63AC4F50">
      <w:start w:val="1"/>
      <w:numFmt w:val="lowerLetter"/>
      <w:lvlText w:val="%1."/>
      <w:lvlJc w:val="left"/>
      <w:pPr>
        <w:ind w:left="1080" w:hanging="360"/>
      </w:pPr>
      <w:rPr>
        <w:rFonts w:ascii="Arial" w:eastAsia="Times New Roman" w:hAnsi="Arial" w:cs="Arial"/>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77" w15:restartNumberingAfterBreak="0">
    <w:nsid w:val="796E3CDF"/>
    <w:multiLevelType w:val="hybridMultilevel"/>
    <w:tmpl w:val="1624DE4E"/>
    <w:lvl w:ilvl="0" w:tplc="3CD07B50">
      <w:start w:val="1"/>
      <w:numFmt w:val="lowerLetter"/>
      <w:lvlText w:val="%1."/>
      <w:lvlJc w:val="left"/>
      <w:pPr>
        <w:ind w:left="360" w:hanging="360"/>
      </w:pPr>
      <w:rPr>
        <w:rFonts w:hint="default"/>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8" w15:restartNumberingAfterBreak="0">
    <w:nsid w:val="7B5E11A4"/>
    <w:multiLevelType w:val="hybridMultilevel"/>
    <w:tmpl w:val="45506CD8"/>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7B7A4201"/>
    <w:multiLevelType w:val="hybridMultilevel"/>
    <w:tmpl w:val="B36E39F2"/>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7B9004A3"/>
    <w:multiLevelType w:val="hybridMultilevel"/>
    <w:tmpl w:val="1624DE4E"/>
    <w:lvl w:ilvl="0" w:tplc="3CD07B50">
      <w:start w:val="1"/>
      <w:numFmt w:val="lowerLetter"/>
      <w:lvlText w:val="%1."/>
      <w:lvlJc w:val="left"/>
      <w:pPr>
        <w:ind w:left="360" w:hanging="360"/>
      </w:pPr>
      <w:rPr>
        <w:rFonts w:hint="default"/>
        <w:i w:val="0"/>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81" w15:restartNumberingAfterBreak="0">
    <w:nsid w:val="7F4F5B6A"/>
    <w:multiLevelType w:val="hybridMultilevel"/>
    <w:tmpl w:val="316AF49E"/>
    <w:lvl w:ilvl="0" w:tplc="DA30EC6E">
      <w:start w:val="1"/>
      <w:numFmt w:val="lowerLetter"/>
      <w:lvlText w:val="%1."/>
      <w:lvlJc w:val="left"/>
      <w:pPr>
        <w:tabs>
          <w:tab w:val="num" w:pos="227"/>
        </w:tabs>
        <w:ind w:left="0" w:firstLine="0"/>
      </w:pPr>
      <w:rPr>
        <w:rFonts w:ascii="Arial" w:eastAsia="Times New Roman" w:hAnsi="Arial" w:cs="Arial"/>
        <w:color w:val="000000"/>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7FA07DCD"/>
    <w:multiLevelType w:val="hybridMultilevel"/>
    <w:tmpl w:val="F3745690"/>
    <w:lvl w:ilvl="0" w:tplc="4D6EF2B8">
      <w:start w:val="1"/>
      <w:numFmt w:val="lowerLetter"/>
      <w:lvlText w:val="%1."/>
      <w:lvlJc w:val="left"/>
      <w:pPr>
        <w:tabs>
          <w:tab w:val="num" w:pos="227"/>
        </w:tabs>
        <w:ind w:left="0" w:firstLine="0"/>
      </w:pPr>
      <w:rPr>
        <w:rFonts w:ascii="Arial" w:eastAsia="Times New Roman" w:hAnsi="Arial" w:cs="Arial" w:hint="default"/>
        <w:color w:val="000000"/>
        <w:sz w:val="14"/>
        <w:szCs w:val="1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17"/>
  </w:num>
  <w:num w:numId="3">
    <w:abstractNumId w:val="4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1"/>
  </w:num>
  <w:num w:numId="15">
    <w:abstractNumId w:val="39"/>
  </w:num>
  <w:num w:numId="16">
    <w:abstractNumId w:val="24"/>
  </w:num>
  <w:num w:numId="17">
    <w:abstractNumId w:val="56"/>
  </w:num>
  <w:num w:numId="18">
    <w:abstractNumId w:val="58"/>
  </w:num>
  <w:num w:numId="19">
    <w:abstractNumId w:val="73"/>
  </w:num>
  <w:num w:numId="20">
    <w:abstractNumId w:val="33"/>
  </w:num>
  <w:num w:numId="21">
    <w:abstractNumId w:val="51"/>
  </w:num>
  <w:num w:numId="22">
    <w:abstractNumId w:val="52"/>
  </w:num>
  <w:num w:numId="23">
    <w:abstractNumId w:val="26"/>
  </w:num>
  <w:num w:numId="24">
    <w:abstractNumId w:val="46"/>
  </w:num>
  <w:num w:numId="25">
    <w:abstractNumId w:val="55"/>
  </w:num>
  <w:num w:numId="26">
    <w:abstractNumId w:val="71"/>
  </w:num>
  <w:num w:numId="2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3"/>
    </w:lvlOverride>
    <w:lvlOverride w:ilvl="1">
      <w:startOverride w:val="17"/>
    </w:lvlOverride>
    <w:lvlOverride w:ilvl="2">
      <w:startOverride w:val="1"/>
    </w:lvlOverride>
    <w:lvlOverride w:ilvl="3"/>
    <w:lvlOverride w:ilvl="4"/>
    <w:lvlOverride w:ilvl="5"/>
    <w:lvlOverride w:ilvl="6"/>
    <w:lvlOverride w:ilvl="7"/>
    <w:lvlOverride w:ilvl="8"/>
  </w:num>
  <w:num w:numId="29">
    <w:abstractNumId w:val="63"/>
  </w:num>
  <w:num w:numId="30">
    <w:abstractNumId w:val="57"/>
  </w:num>
  <w:num w:numId="31">
    <w:abstractNumId w:val="47"/>
  </w:num>
  <w:num w:numId="32">
    <w:abstractNumId w:val="32"/>
  </w:num>
  <w:num w:numId="33">
    <w:abstractNumId w:val="36"/>
  </w:num>
  <w:num w:numId="34">
    <w:abstractNumId w:val="20"/>
  </w:num>
  <w:num w:numId="35">
    <w:abstractNumId w:val="59"/>
  </w:num>
  <w:num w:numId="36">
    <w:abstractNumId w:val="69"/>
  </w:num>
  <w:num w:numId="37">
    <w:abstractNumId w:val="28"/>
  </w:num>
  <w:num w:numId="38">
    <w:abstractNumId w:val="62"/>
  </w:num>
  <w:num w:numId="39">
    <w:abstractNumId w:val="65"/>
  </w:num>
  <w:num w:numId="40">
    <w:abstractNumId w:val="16"/>
  </w:num>
  <w:num w:numId="41">
    <w:abstractNumId w:val="41"/>
  </w:num>
  <w:num w:numId="42">
    <w:abstractNumId w:val="55"/>
    <w:lvlOverride w:ilvl="0">
      <w:startOverride w:val="1"/>
    </w:lvlOverride>
  </w:num>
  <w:num w:numId="43">
    <w:abstractNumId w:val="27"/>
  </w:num>
  <w:num w:numId="44">
    <w:abstractNumId w:val="31"/>
  </w:num>
  <w:num w:numId="45">
    <w:abstractNumId w:val="40"/>
  </w:num>
  <w:num w:numId="46">
    <w:abstractNumId w:val="81"/>
  </w:num>
  <w:num w:numId="47">
    <w:abstractNumId w:val="49"/>
  </w:num>
  <w:num w:numId="48">
    <w:abstractNumId w:val="82"/>
  </w:num>
  <w:num w:numId="49">
    <w:abstractNumId w:val="53"/>
  </w:num>
  <w:num w:numId="50">
    <w:abstractNumId w:val="37"/>
  </w:num>
  <w:num w:numId="51">
    <w:abstractNumId w:val="75"/>
  </w:num>
  <w:num w:numId="52">
    <w:abstractNumId w:val="80"/>
  </w:num>
  <w:num w:numId="53">
    <w:abstractNumId w:val="67"/>
  </w:num>
  <w:num w:numId="54">
    <w:abstractNumId w:val="43"/>
  </w:num>
  <w:num w:numId="55">
    <w:abstractNumId w:val="14"/>
  </w:num>
  <w:num w:numId="56">
    <w:abstractNumId w:val="42"/>
  </w:num>
  <w:num w:numId="57">
    <w:abstractNumId w:val="19"/>
  </w:num>
  <w:num w:numId="58">
    <w:abstractNumId w:val="77"/>
  </w:num>
  <w:num w:numId="59">
    <w:abstractNumId w:val="29"/>
  </w:num>
  <w:num w:numId="60">
    <w:abstractNumId w:val="23"/>
  </w:num>
  <w:num w:numId="61">
    <w:abstractNumId w:val="68"/>
  </w:num>
  <w:num w:numId="62">
    <w:abstractNumId w:val="66"/>
  </w:num>
  <w:num w:numId="63">
    <w:abstractNumId w:val="13"/>
  </w:num>
  <w:num w:numId="64">
    <w:abstractNumId w:val="72"/>
  </w:num>
  <w:num w:numId="65">
    <w:abstractNumId w:val="15"/>
  </w:num>
  <w:num w:numId="66">
    <w:abstractNumId w:val="74"/>
  </w:num>
  <w:num w:numId="67">
    <w:abstractNumId w:val="34"/>
  </w:num>
  <w:num w:numId="68">
    <w:abstractNumId w:val="55"/>
    <w:lvlOverride w:ilvl="0">
      <w:startOverride w:val="1"/>
    </w:lvlOverride>
  </w:num>
  <w:num w:numId="6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5"/>
  </w:num>
  <w:num w:numId="71">
    <w:abstractNumId w:val="70"/>
  </w:num>
  <w:num w:numId="72">
    <w:abstractNumId w:val="22"/>
  </w:num>
  <w:num w:numId="73">
    <w:abstractNumId w:val="18"/>
  </w:num>
  <w:num w:numId="74">
    <w:abstractNumId w:val="60"/>
  </w:num>
  <w:num w:numId="75">
    <w:abstractNumId w:val="64"/>
  </w:num>
  <w:num w:numId="76">
    <w:abstractNumId w:val="25"/>
  </w:num>
  <w:num w:numId="77">
    <w:abstractNumId w:val="78"/>
  </w:num>
  <w:num w:numId="78">
    <w:abstractNumId w:val="79"/>
  </w:num>
  <w:num w:numId="79">
    <w:abstractNumId w:val="30"/>
  </w:num>
  <w:num w:numId="80">
    <w:abstractNumId w:val="45"/>
  </w:num>
  <w:num w:numId="81">
    <w:abstractNumId w:val="12"/>
  </w:num>
  <w:num w:numId="82">
    <w:abstractNumId w:val="54"/>
  </w:num>
  <w:num w:numId="83">
    <w:abstractNumId w:val="61"/>
  </w:num>
  <w:num w:numId="84">
    <w:abstractNumId w:val="50"/>
  </w:num>
  <w:num w:numId="85">
    <w:abstractNumId w:val="48"/>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isplayBackgroundShape/>
  <w:mirrorMargins/>
  <w:activeWritingStyle w:appName="MSWord" w:lang="fr-FR" w:vendorID="64" w:dllVersion="131078" w:nlCheck="1" w:checkStyle="0"/>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0D3"/>
    <w:rsid w:val="00000111"/>
    <w:rsid w:val="00000252"/>
    <w:rsid w:val="0000055B"/>
    <w:rsid w:val="00000716"/>
    <w:rsid w:val="00000BD0"/>
    <w:rsid w:val="00000F51"/>
    <w:rsid w:val="00001006"/>
    <w:rsid w:val="00001175"/>
    <w:rsid w:val="00001476"/>
    <w:rsid w:val="0000159E"/>
    <w:rsid w:val="00001778"/>
    <w:rsid w:val="000018DF"/>
    <w:rsid w:val="00001BB3"/>
    <w:rsid w:val="00001BEF"/>
    <w:rsid w:val="00001CFA"/>
    <w:rsid w:val="00002148"/>
    <w:rsid w:val="00002413"/>
    <w:rsid w:val="00002470"/>
    <w:rsid w:val="00002AE7"/>
    <w:rsid w:val="00002B50"/>
    <w:rsid w:val="00002BB8"/>
    <w:rsid w:val="00002F5C"/>
    <w:rsid w:val="0000307D"/>
    <w:rsid w:val="00003256"/>
    <w:rsid w:val="00003699"/>
    <w:rsid w:val="00003797"/>
    <w:rsid w:val="00003874"/>
    <w:rsid w:val="00003B8B"/>
    <w:rsid w:val="00003CF7"/>
    <w:rsid w:val="00003FFA"/>
    <w:rsid w:val="00004046"/>
    <w:rsid w:val="00004300"/>
    <w:rsid w:val="00004465"/>
    <w:rsid w:val="000046E2"/>
    <w:rsid w:val="00004AA8"/>
    <w:rsid w:val="00004E68"/>
    <w:rsid w:val="000056B1"/>
    <w:rsid w:val="00005B27"/>
    <w:rsid w:val="00005B6C"/>
    <w:rsid w:val="00006259"/>
    <w:rsid w:val="00006B67"/>
    <w:rsid w:val="00006CAE"/>
    <w:rsid w:val="00007092"/>
    <w:rsid w:val="000070A3"/>
    <w:rsid w:val="000077BF"/>
    <w:rsid w:val="000077CC"/>
    <w:rsid w:val="000078AB"/>
    <w:rsid w:val="000079B5"/>
    <w:rsid w:val="00007C4E"/>
    <w:rsid w:val="00010013"/>
    <w:rsid w:val="0001003D"/>
    <w:rsid w:val="00010103"/>
    <w:rsid w:val="00010151"/>
    <w:rsid w:val="00010515"/>
    <w:rsid w:val="00010532"/>
    <w:rsid w:val="00010ADE"/>
    <w:rsid w:val="00010F74"/>
    <w:rsid w:val="00011717"/>
    <w:rsid w:val="00011A0D"/>
    <w:rsid w:val="00011FBE"/>
    <w:rsid w:val="000120FD"/>
    <w:rsid w:val="000127C0"/>
    <w:rsid w:val="00012843"/>
    <w:rsid w:val="00012945"/>
    <w:rsid w:val="0001296E"/>
    <w:rsid w:val="00012A3F"/>
    <w:rsid w:val="00012C08"/>
    <w:rsid w:val="00012CCA"/>
    <w:rsid w:val="00013331"/>
    <w:rsid w:val="000134D8"/>
    <w:rsid w:val="00013AB0"/>
    <w:rsid w:val="00013E7B"/>
    <w:rsid w:val="000141E1"/>
    <w:rsid w:val="000142CB"/>
    <w:rsid w:val="000146F9"/>
    <w:rsid w:val="00014733"/>
    <w:rsid w:val="0001495B"/>
    <w:rsid w:val="000149F2"/>
    <w:rsid w:val="00014D4F"/>
    <w:rsid w:val="0001512D"/>
    <w:rsid w:val="000151B2"/>
    <w:rsid w:val="0001565B"/>
    <w:rsid w:val="00015664"/>
    <w:rsid w:val="00015B2C"/>
    <w:rsid w:val="00016011"/>
    <w:rsid w:val="00016041"/>
    <w:rsid w:val="000162BB"/>
    <w:rsid w:val="0001641A"/>
    <w:rsid w:val="0001641C"/>
    <w:rsid w:val="000164E9"/>
    <w:rsid w:val="00016562"/>
    <w:rsid w:val="00016D07"/>
    <w:rsid w:val="00016F6A"/>
    <w:rsid w:val="00017605"/>
    <w:rsid w:val="00017821"/>
    <w:rsid w:val="000178F9"/>
    <w:rsid w:val="00017A77"/>
    <w:rsid w:val="00017ECC"/>
    <w:rsid w:val="0002000E"/>
    <w:rsid w:val="000202A0"/>
    <w:rsid w:val="00020516"/>
    <w:rsid w:val="000216AF"/>
    <w:rsid w:val="00021703"/>
    <w:rsid w:val="00021834"/>
    <w:rsid w:val="00021BCD"/>
    <w:rsid w:val="00022451"/>
    <w:rsid w:val="0002255C"/>
    <w:rsid w:val="000228EA"/>
    <w:rsid w:val="00022F1F"/>
    <w:rsid w:val="00022F6E"/>
    <w:rsid w:val="00023320"/>
    <w:rsid w:val="00023359"/>
    <w:rsid w:val="00023C12"/>
    <w:rsid w:val="00023FC9"/>
    <w:rsid w:val="00024019"/>
    <w:rsid w:val="0002418D"/>
    <w:rsid w:val="00024311"/>
    <w:rsid w:val="00024373"/>
    <w:rsid w:val="000244AA"/>
    <w:rsid w:val="000244DB"/>
    <w:rsid w:val="000246B4"/>
    <w:rsid w:val="0002483A"/>
    <w:rsid w:val="000248C2"/>
    <w:rsid w:val="00024E74"/>
    <w:rsid w:val="00024F58"/>
    <w:rsid w:val="00024FC1"/>
    <w:rsid w:val="000254C7"/>
    <w:rsid w:val="000255FE"/>
    <w:rsid w:val="00025A68"/>
    <w:rsid w:val="00025CB9"/>
    <w:rsid w:val="00025F35"/>
    <w:rsid w:val="0002647A"/>
    <w:rsid w:val="000267F3"/>
    <w:rsid w:val="00026BF6"/>
    <w:rsid w:val="00027165"/>
    <w:rsid w:val="000277F0"/>
    <w:rsid w:val="00027DCF"/>
    <w:rsid w:val="0003010A"/>
    <w:rsid w:val="00030A6A"/>
    <w:rsid w:val="00030DA2"/>
    <w:rsid w:val="00030F96"/>
    <w:rsid w:val="00030FBF"/>
    <w:rsid w:val="00031098"/>
    <w:rsid w:val="00031530"/>
    <w:rsid w:val="0003184C"/>
    <w:rsid w:val="000318AB"/>
    <w:rsid w:val="00031A9D"/>
    <w:rsid w:val="00031E46"/>
    <w:rsid w:val="00031E67"/>
    <w:rsid w:val="000327F0"/>
    <w:rsid w:val="00032B95"/>
    <w:rsid w:val="00032BAA"/>
    <w:rsid w:val="00032C97"/>
    <w:rsid w:val="0003308F"/>
    <w:rsid w:val="00033478"/>
    <w:rsid w:val="000334F3"/>
    <w:rsid w:val="00033526"/>
    <w:rsid w:val="00033582"/>
    <w:rsid w:val="00033CEE"/>
    <w:rsid w:val="00033F1A"/>
    <w:rsid w:val="00033FC6"/>
    <w:rsid w:val="0003410C"/>
    <w:rsid w:val="0003420B"/>
    <w:rsid w:val="000345CA"/>
    <w:rsid w:val="00034862"/>
    <w:rsid w:val="00034CCC"/>
    <w:rsid w:val="00034CDD"/>
    <w:rsid w:val="00034CFB"/>
    <w:rsid w:val="00034F21"/>
    <w:rsid w:val="00035351"/>
    <w:rsid w:val="0003544C"/>
    <w:rsid w:val="000358D7"/>
    <w:rsid w:val="000359A7"/>
    <w:rsid w:val="00035D2C"/>
    <w:rsid w:val="00035D6C"/>
    <w:rsid w:val="00035FBA"/>
    <w:rsid w:val="000360C1"/>
    <w:rsid w:val="0003651F"/>
    <w:rsid w:val="0003661D"/>
    <w:rsid w:val="00036641"/>
    <w:rsid w:val="000367A1"/>
    <w:rsid w:val="0003687F"/>
    <w:rsid w:val="0003688B"/>
    <w:rsid w:val="000369AA"/>
    <w:rsid w:val="00036B0A"/>
    <w:rsid w:val="000370C3"/>
    <w:rsid w:val="00037196"/>
    <w:rsid w:val="000371E5"/>
    <w:rsid w:val="000373C1"/>
    <w:rsid w:val="00037742"/>
    <w:rsid w:val="00037761"/>
    <w:rsid w:val="00037C67"/>
    <w:rsid w:val="00037D27"/>
    <w:rsid w:val="00037FBA"/>
    <w:rsid w:val="0004042B"/>
    <w:rsid w:val="0004056B"/>
    <w:rsid w:val="00040738"/>
    <w:rsid w:val="00040747"/>
    <w:rsid w:val="0004081D"/>
    <w:rsid w:val="000409BF"/>
    <w:rsid w:val="00040A40"/>
    <w:rsid w:val="00040B05"/>
    <w:rsid w:val="00040BF9"/>
    <w:rsid w:val="00041463"/>
    <w:rsid w:val="00041DBD"/>
    <w:rsid w:val="00041E3A"/>
    <w:rsid w:val="00041EA3"/>
    <w:rsid w:val="000422B8"/>
    <w:rsid w:val="0004239F"/>
    <w:rsid w:val="000423EC"/>
    <w:rsid w:val="000424A8"/>
    <w:rsid w:val="00042759"/>
    <w:rsid w:val="00042856"/>
    <w:rsid w:val="00042A95"/>
    <w:rsid w:val="00042AB3"/>
    <w:rsid w:val="00042EA3"/>
    <w:rsid w:val="00042FDF"/>
    <w:rsid w:val="00042FF0"/>
    <w:rsid w:val="0004311C"/>
    <w:rsid w:val="0004322A"/>
    <w:rsid w:val="0004324A"/>
    <w:rsid w:val="000432CB"/>
    <w:rsid w:val="000432D1"/>
    <w:rsid w:val="00043B4B"/>
    <w:rsid w:val="00044032"/>
    <w:rsid w:val="00044263"/>
    <w:rsid w:val="00044994"/>
    <w:rsid w:val="00044E6C"/>
    <w:rsid w:val="00044FBE"/>
    <w:rsid w:val="00045181"/>
    <w:rsid w:val="00045483"/>
    <w:rsid w:val="000454AF"/>
    <w:rsid w:val="000454BF"/>
    <w:rsid w:val="00045772"/>
    <w:rsid w:val="000458A4"/>
    <w:rsid w:val="000459A3"/>
    <w:rsid w:val="0004611B"/>
    <w:rsid w:val="00046392"/>
    <w:rsid w:val="000469B9"/>
    <w:rsid w:val="00046C4B"/>
    <w:rsid w:val="00046CE5"/>
    <w:rsid w:val="00046D09"/>
    <w:rsid w:val="000471C6"/>
    <w:rsid w:val="00047203"/>
    <w:rsid w:val="0004748B"/>
    <w:rsid w:val="000475A3"/>
    <w:rsid w:val="00047780"/>
    <w:rsid w:val="00047AC0"/>
    <w:rsid w:val="00047C10"/>
    <w:rsid w:val="00047CF5"/>
    <w:rsid w:val="0005016A"/>
    <w:rsid w:val="000501D8"/>
    <w:rsid w:val="000506B1"/>
    <w:rsid w:val="000509D1"/>
    <w:rsid w:val="00050BC3"/>
    <w:rsid w:val="00050D2D"/>
    <w:rsid w:val="00051036"/>
    <w:rsid w:val="0005115D"/>
    <w:rsid w:val="00051647"/>
    <w:rsid w:val="00051682"/>
    <w:rsid w:val="0005174E"/>
    <w:rsid w:val="00051D57"/>
    <w:rsid w:val="00051E5E"/>
    <w:rsid w:val="0005269C"/>
    <w:rsid w:val="00052AE7"/>
    <w:rsid w:val="00052F24"/>
    <w:rsid w:val="00052FD7"/>
    <w:rsid w:val="000530AF"/>
    <w:rsid w:val="000533BB"/>
    <w:rsid w:val="0005360C"/>
    <w:rsid w:val="0005365C"/>
    <w:rsid w:val="00053BF8"/>
    <w:rsid w:val="00053C32"/>
    <w:rsid w:val="00053D39"/>
    <w:rsid w:val="00053DFA"/>
    <w:rsid w:val="000540B6"/>
    <w:rsid w:val="0005434E"/>
    <w:rsid w:val="000547C9"/>
    <w:rsid w:val="0005485E"/>
    <w:rsid w:val="00054A79"/>
    <w:rsid w:val="00054E16"/>
    <w:rsid w:val="00054FF3"/>
    <w:rsid w:val="000552A6"/>
    <w:rsid w:val="00055338"/>
    <w:rsid w:val="00055631"/>
    <w:rsid w:val="0005580B"/>
    <w:rsid w:val="00055991"/>
    <w:rsid w:val="00055F34"/>
    <w:rsid w:val="000560C7"/>
    <w:rsid w:val="0005649A"/>
    <w:rsid w:val="0005651C"/>
    <w:rsid w:val="00056649"/>
    <w:rsid w:val="00056B33"/>
    <w:rsid w:val="00056BFF"/>
    <w:rsid w:val="00056CEA"/>
    <w:rsid w:val="00056D12"/>
    <w:rsid w:val="00056EB1"/>
    <w:rsid w:val="000570FA"/>
    <w:rsid w:val="000573FC"/>
    <w:rsid w:val="00057717"/>
    <w:rsid w:val="000578A4"/>
    <w:rsid w:val="00057D30"/>
    <w:rsid w:val="00057D34"/>
    <w:rsid w:val="00057E62"/>
    <w:rsid w:val="00060508"/>
    <w:rsid w:val="0006088F"/>
    <w:rsid w:val="00060ABE"/>
    <w:rsid w:val="00060F39"/>
    <w:rsid w:val="000610FE"/>
    <w:rsid w:val="0006124A"/>
    <w:rsid w:val="00061516"/>
    <w:rsid w:val="0006177D"/>
    <w:rsid w:val="00061D25"/>
    <w:rsid w:val="000623B5"/>
    <w:rsid w:val="0006266E"/>
    <w:rsid w:val="000627F6"/>
    <w:rsid w:val="00062933"/>
    <w:rsid w:val="0006295A"/>
    <w:rsid w:val="00062E10"/>
    <w:rsid w:val="000631D9"/>
    <w:rsid w:val="00063270"/>
    <w:rsid w:val="00063717"/>
    <w:rsid w:val="00064326"/>
    <w:rsid w:val="0006447B"/>
    <w:rsid w:val="00064647"/>
    <w:rsid w:val="000647A1"/>
    <w:rsid w:val="00064A49"/>
    <w:rsid w:val="00064B3B"/>
    <w:rsid w:val="00064DA7"/>
    <w:rsid w:val="00064EC2"/>
    <w:rsid w:val="0006506A"/>
    <w:rsid w:val="000651D9"/>
    <w:rsid w:val="000659AE"/>
    <w:rsid w:val="00065A12"/>
    <w:rsid w:val="00065F34"/>
    <w:rsid w:val="00066092"/>
    <w:rsid w:val="00066544"/>
    <w:rsid w:val="000666D9"/>
    <w:rsid w:val="0006680D"/>
    <w:rsid w:val="00066D51"/>
    <w:rsid w:val="000672FC"/>
    <w:rsid w:val="000674D6"/>
    <w:rsid w:val="0006766A"/>
    <w:rsid w:val="00067716"/>
    <w:rsid w:val="000678EF"/>
    <w:rsid w:val="00067D23"/>
    <w:rsid w:val="00067DCA"/>
    <w:rsid w:val="00067E3E"/>
    <w:rsid w:val="00067EB0"/>
    <w:rsid w:val="000707CC"/>
    <w:rsid w:val="00070EB5"/>
    <w:rsid w:val="000710D3"/>
    <w:rsid w:val="0007117E"/>
    <w:rsid w:val="00071185"/>
    <w:rsid w:val="00071439"/>
    <w:rsid w:val="00071B66"/>
    <w:rsid w:val="00071C35"/>
    <w:rsid w:val="00071D14"/>
    <w:rsid w:val="000720DA"/>
    <w:rsid w:val="000728C2"/>
    <w:rsid w:val="00072B33"/>
    <w:rsid w:val="00072EF9"/>
    <w:rsid w:val="00072FBE"/>
    <w:rsid w:val="00073223"/>
    <w:rsid w:val="000738A0"/>
    <w:rsid w:val="00073AFA"/>
    <w:rsid w:val="00073CF2"/>
    <w:rsid w:val="00073D16"/>
    <w:rsid w:val="000742C9"/>
    <w:rsid w:val="0007489A"/>
    <w:rsid w:val="00074A83"/>
    <w:rsid w:val="00074CEA"/>
    <w:rsid w:val="00074E68"/>
    <w:rsid w:val="0007519F"/>
    <w:rsid w:val="00075250"/>
    <w:rsid w:val="000755C1"/>
    <w:rsid w:val="000757D0"/>
    <w:rsid w:val="000759EC"/>
    <w:rsid w:val="000761C5"/>
    <w:rsid w:val="000761E1"/>
    <w:rsid w:val="00076630"/>
    <w:rsid w:val="0007666E"/>
    <w:rsid w:val="00076716"/>
    <w:rsid w:val="00076B84"/>
    <w:rsid w:val="00076E44"/>
    <w:rsid w:val="000770DF"/>
    <w:rsid w:val="00077480"/>
    <w:rsid w:val="000774CC"/>
    <w:rsid w:val="000776D9"/>
    <w:rsid w:val="000777AA"/>
    <w:rsid w:val="00077AD3"/>
    <w:rsid w:val="00077C2B"/>
    <w:rsid w:val="00077FD9"/>
    <w:rsid w:val="0008001F"/>
    <w:rsid w:val="0008009A"/>
    <w:rsid w:val="0008019D"/>
    <w:rsid w:val="000806F6"/>
    <w:rsid w:val="00081034"/>
    <w:rsid w:val="00081A96"/>
    <w:rsid w:val="00081B75"/>
    <w:rsid w:val="00081CD6"/>
    <w:rsid w:val="00081D4F"/>
    <w:rsid w:val="00081F49"/>
    <w:rsid w:val="00082139"/>
    <w:rsid w:val="000828DF"/>
    <w:rsid w:val="00082C26"/>
    <w:rsid w:val="00082DA2"/>
    <w:rsid w:val="00082E2C"/>
    <w:rsid w:val="00082E7D"/>
    <w:rsid w:val="000832CF"/>
    <w:rsid w:val="0008345E"/>
    <w:rsid w:val="00083563"/>
    <w:rsid w:val="000836CD"/>
    <w:rsid w:val="000838DC"/>
    <w:rsid w:val="00083AAF"/>
    <w:rsid w:val="00083D71"/>
    <w:rsid w:val="00083E1C"/>
    <w:rsid w:val="00083F3B"/>
    <w:rsid w:val="0008463F"/>
    <w:rsid w:val="000846AE"/>
    <w:rsid w:val="000848D8"/>
    <w:rsid w:val="00084B7C"/>
    <w:rsid w:val="00084CF8"/>
    <w:rsid w:val="00084DE2"/>
    <w:rsid w:val="00084F22"/>
    <w:rsid w:val="0008500C"/>
    <w:rsid w:val="0008502A"/>
    <w:rsid w:val="00085217"/>
    <w:rsid w:val="00085408"/>
    <w:rsid w:val="000857D1"/>
    <w:rsid w:val="00085B60"/>
    <w:rsid w:val="00085E39"/>
    <w:rsid w:val="00085E78"/>
    <w:rsid w:val="00086498"/>
    <w:rsid w:val="000864D4"/>
    <w:rsid w:val="00086BCE"/>
    <w:rsid w:val="00086C03"/>
    <w:rsid w:val="00086C0F"/>
    <w:rsid w:val="00086D7E"/>
    <w:rsid w:val="00086FE6"/>
    <w:rsid w:val="0008721D"/>
    <w:rsid w:val="00087276"/>
    <w:rsid w:val="0008786D"/>
    <w:rsid w:val="0008791F"/>
    <w:rsid w:val="00087C2F"/>
    <w:rsid w:val="00087CB2"/>
    <w:rsid w:val="00090166"/>
    <w:rsid w:val="000904C2"/>
    <w:rsid w:val="0009074B"/>
    <w:rsid w:val="000908CA"/>
    <w:rsid w:val="000913C2"/>
    <w:rsid w:val="00091406"/>
    <w:rsid w:val="000916B2"/>
    <w:rsid w:val="0009187E"/>
    <w:rsid w:val="00091DAC"/>
    <w:rsid w:val="0009230E"/>
    <w:rsid w:val="00092586"/>
    <w:rsid w:val="00092CCB"/>
    <w:rsid w:val="00092E8A"/>
    <w:rsid w:val="000930D3"/>
    <w:rsid w:val="00093227"/>
    <w:rsid w:val="0009366C"/>
    <w:rsid w:val="00093AB0"/>
    <w:rsid w:val="00093C6C"/>
    <w:rsid w:val="00093F2E"/>
    <w:rsid w:val="00094224"/>
    <w:rsid w:val="0009458B"/>
    <w:rsid w:val="00094602"/>
    <w:rsid w:val="00094D25"/>
    <w:rsid w:val="000951A0"/>
    <w:rsid w:val="0009532B"/>
    <w:rsid w:val="000954A7"/>
    <w:rsid w:val="000954F7"/>
    <w:rsid w:val="000957EF"/>
    <w:rsid w:val="000958FB"/>
    <w:rsid w:val="00095936"/>
    <w:rsid w:val="00095A4F"/>
    <w:rsid w:val="00096112"/>
    <w:rsid w:val="00096549"/>
    <w:rsid w:val="0009655B"/>
    <w:rsid w:val="000965B1"/>
    <w:rsid w:val="00096736"/>
    <w:rsid w:val="000968A9"/>
    <w:rsid w:val="00096C53"/>
    <w:rsid w:val="00096CBD"/>
    <w:rsid w:val="00096E86"/>
    <w:rsid w:val="00096FDA"/>
    <w:rsid w:val="00097025"/>
    <w:rsid w:val="00097240"/>
    <w:rsid w:val="000972C9"/>
    <w:rsid w:val="00097478"/>
    <w:rsid w:val="000979E4"/>
    <w:rsid w:val="00097FA3"/>
    <w:rsid w:val="000A0051"/>
    <w:rsid w:val="000A0349"/>
    <w:rsid w:val="000A0380"/>
    <w:rsid w:val="000A0639"/>
    <w:rsid w:val="000A0A6C"/>
    <w:rsid w:val="000A169A"/>
    <w:rsid w:val="000A186B"/>
    <w:rsid w:val="000A1AAD"/>
    <w:rsid w:val="000A1BC6"/>
    <w:rsid w:val="000A1E41"/>
    <w:rsid w:val="000A1EB9"/>
    <w:rsid w:val="000A2160"/>
    <w:rsid w:val="000A2288"/>
    <w:rsid w:val="000A26D2"/>
    <w:rsid w:val="000A2846"/>
    <w:rsid w:val="000A295B"/>
    <w:rsid w:val="000A2983"/>
    <w:rsid w:val="000A2C0B"/>
    <w:rsid w:val="000A2E61"/>
    <w:rsid w:val="000A303F"/>
    <w:rsid w:val="000A30FE"/>
    <w:rsid w:val="000A316E"/>
    <w:rsid w:val="000A34E3"/>
    <w:rsid w:val="000A364B"/>
    <w:rsid w:val="000A3699"/>
    <w:rsid w:val="000A381E"/>
    <w:rsid w:val="000A3925"/>
    <w:rsid w:val="000A3CF4"/>
    <w:rsid w:val="000A430D"/>
    <w:rsid w:val="000A44AC"/>
    <w:rsid w:val="000A4595"/>
    <w:rsid w:val="000A4D9D"/>
    <w:rsid w:val="000A5194"/>
    <w:rsid w:val="000A5371"/>
    <w:rsid w:val="000A5549"/>
    <w:rsid w:val="000A56B5"/>
    <w:rsid w:val="000A5BA4"/>
    <w:rsid w:val="000A5BCD"/>
    <w:rsid w:val="000A5D70"/>
    <w:rsid w:val="000A5DC3"/>
    <w:rsid w:val="000A621B"/>
    <w:rsid w:val="000A63D4"/>
    <w:rsid w:val="000A673C"/>
    <w:rsid w:val="000A69A7"/>
    <w:rsid w:val="000A72D0"/>
    <w:rsid w:val="000A7C60"/>
    <w:rsid w:val="000A7E14"/>
    <w:rsid w:val="000B0344"/>
    <w:rsid w:val="000B069B"/>
    <w:rsid w:val="000B0714"/>
    <w:rsid w:val="000B0786"/>
    <w:rsid w:val="000B0906"/>
    <w:rsid w:val="000B096B"/>
    <w:rsid w:val="000B0A6F"/>
    <w:rsid w:val="000B1068"/>
    <w:rsid w:val="000B132E"/>
    <w:rsid w:val="000B1442"/>
    <w:rsid w:val="000B15EF"/>
    <w:rsid w:val="000B16B5"/>
    <w:rsid w:val="000B19B7"/>
    <w:rsid w:val="000B19C0"/>
    <w:rsid w:val="000B1D1F"/>
    <w:rsid w:val="000B1EEE"/>
    <w:rsid w:val="000B2078"/>
    <w:rsid w:val="000B212B"/>
    <w:rsid w:val="000B2241"/>
    <w:rsid w:val="000B2382"/>
    <w:rsid w:val="000B23D6"/>
    <w:rsid w:val="000B255B"/>
    <w:rsid w:val="000B2A9E"/>
    <w:rsid w:val="000B2CB0"/>
    <w:rsid w:val="000B2F75"/>
    <w:rsid w:val="000B31B0"/>
    <w:rsid w:val="000B3226"/>
    <w:rsid w:val="000B35BD"/>
    <w:rsid w:val="000B3633"/>
    <w:rsid w:val="000B3698"/>
    <w:rsid w:val="000B3F29"/>
    <w:rsid w:val="000B40E0"/>
    <w:rsid w:val="000B4136"/>
    <w:rsid w:val="000B41E0"/>
    <w:rsid w:val="000B447F"/>
    <w:rsid w:val="000B48AD"/>
    <w:rsid w:val="000B4B68"/>
    <w:rsid w:val="000B4BD9"/>
    <w:rsid w:val="000B4C8C"/>
    <w:rsid w:val="000B4CDC"/>
    <w:rsid w:val="000B4E46"/>
    <w:rsid w:val="000B5188"/>
    <w:rsid w:val="000B55D6"/>
    <w:rsid w:val="000B5727"/>
    <w:rsid w:val="000B5742"/>
    <w:rsid w:val="000B5E98"/>
    <w:rsid w:val="000B6432"/>
    <w:rsid w:val="000B6514"/>
    <w:rsid w:val="000B69C6"/>
    <w:rsid w:val="000B6A92"/>
    <w:rsid w:val="000B6B60"/>
    <w:rsid w:val="000B6DB1"/>
    <w:rsid w:val="000B6FFD"/>
    <w:rsid w:val="000B70E9"/>
    <w:rsid w:val="000B721F"/>
    <w:rsid w:val="000B75C0"/>
    <w:rsid w:val="000B7B1F"/>
    <w:rsid w:val="000C00E6"/>
    <w:rsid w:val="000C06A1"/>
    <w:rsid w:val="000C074A"/>
    <w:rsid w:val="000C08D9"/>
    <w:rsid w:val="000C0AB5"/>
    <w:rsid w:val="000C0D3E"/>
    <w:rsid w:val="000C1563"/>
    <w:rsid w:val="000C16AF"/>
    <w:rsid w:val="000C19A2"/>
    <w:rsid w:val="000C1E5B"/>
    <w:rsid w:val="000C3357"/>
    <w:rsid w:val="000C33F7"/>
    <w:rsid w:val="000C349C"/>
    <w:rsid w:val="000C3630"/>
    <w:rsid w:val="000C3A9B"/>
    <w:rsid w:val="000C3C2E"/>
    <w:rsid w:val="000C3F23"/>
    <w:rsid w:val="000C411B"/>
    <w:rsid w:val="000C44A4"/>
    <w:rsid w:val="000C4698"/>
    <w:rsid w:val="000C473D"/>
    <w:rsid w:val="000C54F0"/>
    <w:rsid w:val="000C54FB"/>
    <w:rsid w:val="000C5680"/>
    <w:rsid w:val="000C5B19"/>
    <w:rsid w:val="000C5CF8"/>
    <w:rsid w:val="000C5CFC"/>
    <w:rsid w:val="000C5DB1"/>
    <w:rsid w:val="000C5F9C"/>
    <w:rsid w:val="000C63BF"/>
    <w:rsid w:val="000C6901"/>
    <w:rsid w:val="000C69B2"/>
    <w:rsid w:val="000C69E0"/>
    <w:rsid w:val="000C6E92"/>
    <w:rsid w:val="000C754E"/>
    <w:rsid w:val="000C7652"/>
    <w:rsid w:val="000C7763"/>
    <w:rsid w:val="000C77E9"/>
    <w:rsid w:val="000C78A6"/>
    <w:rsid w:val="000C7B1A"/>
    <w:rsid w:val="000D040A"/>
    <w:rsid w:val="000D044D"/>
    <w:rsid w:val="000D0B3C"/>
    <w:rsid w:val="000D0E2C"/>
    <w:rsid w:val="000D191F"/>
    <w:rsid w:val="000D1BA4"/>
    <w:rsid w:val="000D1E6A"/>
    <w:rsid w:val="000D209F"/>
    <w:rsid w:val="000D21F0"/>
    <w:rsid w:val="000D2279"/>
    <w:rsid w:val="000D25D3"/>
    <w:rsid w:val="000D2784"/>
    <w:rsid w:val="000D283E"/>
    <w:rsid w:val="000D2B55"/>
    <w:rsid w:val="000D2BAE"/>
    <w:rsid w:val="000D2D55"/>
    <w:rsid w:val="000D2EB8"/>
    <w:rsid w:val="000D3297"/>
    <w:rsid w:val="000D3720"/>
    <w:rsid w:val="000D39A9"/>
    <w:rsid w:val="000D3A96"/>
    <w:rsid w:val="000D3CB5"/>
    <w:rsid w:val="000D41CF"/>
    <w:rsid w:val="000D42A7"/>
    <w:rsid w:val="000D4425"/>
    <w:rsid w:val="000D44A3"/>
    <w:rsid w:val="000D45D6"/>
    <w:rsid w:val="000D48CA"/>
    <w:rsid w:val="000D50F0"/>
    <w:rsid w:val="000D5533"/>
    <w:rsid w:val="000D5701"/>
    <w:rsid w:val="000D5813"/>
    <w:rsid w:val="000D58B8"/>
    <w:rsid w:val="000D5979"/>
    <w:rsid w:val="000D5C8B"/>
    <w:rsid w:val="000D5C9C"/>
    <w:rsid w:val="000D5D30"/>
    <w:rsid w:val="000D5E5C"/>
    <w:rsid w:val="000D6233"/>
    <w:rsid w:val="000D6367"/>
    <w:rsid w:val="000D63A2"/>
    <w:rsid w:val="000D6CE6"/>
    <w:rsid w:val="000D6CF1"/>
    <w:rsid w:val="000D6F2F"/>
    <w:rsid w:val="000D7550"/>
    <w:rsid w:val="000D76A4"/>
    <w:rsid w:val="000D7994"/>
    <w:rsid w:val="000D7A2C"/>
    <w:rsid w:val="000D7B4F"/>
    <w:rsid w:val="000D7BA8"/>
    <w:rsid w:val="000D7CA5"/>
    <w:rsid w:val="000D7CE9"/>
    <w:rsid w:val="000D7DE5"/>
    <w:rsid w:val="000D7E01"/>
    <w:rsid w:val="000E00EF"/>
    <w:rsid w:val="000E0518"/>
    <w:rsid w:val="000E1318"/>
    <w:rsid w:val="000E17DA"/>
    <w:rsid w:val="000E1EFD"/>
    <w:rsid w:val="000E20BB"/>
    <w:rsid w:val="000E212E"/>
    <w:rsid w:val="000E2637"/>
    <w:rsid w:val="000E2A99"/>
    <w:rsid w:val="000E2AB0"/>
    <w:rsid w:val="000E2B99"/>
    <w:rsid w:val="000E2BD2"/>
    <w:rsid w:val="000E2CA0"/>
    <w:rsid w:val="000E3725"/>
    <w:rsid w:val="000E3788"/>
    <w:rsid w:val="000E37DE"/>
    <w:rsid w:val="000E3AE3"/>
    <w:rsid w:val="000E3AEC"/>
    <w:rsid w:val="000E3B06"/>
    <w:rsid w:val="000E3C92"/>
    <w:rsid w:val="000E3E44"/>
    <w:rsid w:val="000E3FD3"/>
    <w:rsid w:val="000E42FC"/>
    <w:rsid w:val="000E4381"/>
    <w:rsid w:val="000E44AB"/>
    <w:rsid w:val="000E46A5"/>
    <w:rsid w:val="000E4794"/>
    <w:rsid w:val="000E4796"/>
    <w:rsid w:val="000E4B26"/>
    <w:rsid w:val="000E503C"/>
    <w:rsid w:val="000E53A5"/>
    <w:rsid w:val="000E565C"/>
    <w:rsid w:val="000E5669"/>
    <w:rsid w:val="000E56E8"/>
    <w:rsid w:val="000E5950"/>
    <w:rsid w:val="000E59BE"/>
    <w:rsid w:val="000E5AFA"/>
    <w:rsid w:val="000E5B8B"/>
    <w:rsid w:val="000E6700"/>
    <w:rsid w:val="000E687C"/>
    <w:rsid w:val="000E696A"/>
    <w:rsid w:val="000E6D7B"/>
    <w:rsid w:val="000E6EC0"/>
    <w:rsid w:val="000E7039"/>
    <w:rsid w:val="000E706B"/>
    <w:rsid w:val="000E70E4"/>
    <w:rsid w:val="000E78A7"/>
    <w:rsid w:val="000E7968"/>
    <w:rsid w:val="000E7AB2"/>
    <w:rsid w:val="000E7C3F"/>
    <w:rsid w:val="000E7D85"/>
    <w:rsid w:val="000E7EA5"/>
    <w:rsid w:val="000F0203"/>
    <w:rsid w:val="000F03B2"/>
    <w:rsid w:val="000F03BE"/>
    <w:rsid w:val="000F0ADF"/>
    <w:rsid w:val="000F1019"/>
    <w:rsid w:val="000F1077"/>
    <w:rsid w:val="000F119C"/>
    <w:rsid w:val="000F1262"/>
    <w:rsid w:val="000F137D"/>
    <w:rsid w:val="000F1647"/>
    <w:rsid w:val="000F164A"/>
    <w:rsid w:val="000F1885"/>
    <w:rsid w:val="000F1BC6"/>
    <w:rsid w:val="000F200A"/>
    <w:rsid w:val="000F2199"/>
    <w:rsid w:val="000F2409"/>
    <w:rsid w:val="000F24EE"/>
    <w:rsid w:val="000F27F5"/>
    <w:rsid w:val="000F2B0A"/>
    <w:rsid w:val="000F2D5C"/>
    <w:rsid w:val="000F2D5F"/>
    <w:rsid w:val="000F33BF"/>
    <w:rsid w:val="000F3485"/>
    <w:rsid w:val="000F34D5"/>
    <w:rsid w:val="000F3898"/>
    <w:rsid w:val="000F39B1"/>
    <w:rsid w:val="000F3A77"/>
    <w:rsid w:val="000F3BB5"/>
    <w:rsid w:val="000F3D9F"/>
    <w:rsid w:val="000F3F69"/>
    <w:rsid w:val="000F429B"/>
    <w:rsid w:val="000F44CE"/>
    <w:rsid w:val="000F4535"/>
    <w:rsid w:val="000F4A23"/>
    <w:rsid w:val="000F4B16"/>
    <w:rsid w:val="000F4CC6"/>
    <w:rsid w:val="000F532D"/>
    <w:rsid w:val="000F533D"/>
    <w:rsid w:val="000F53B2"/>
    <w:rsid w:val="000F542E"/>
    <w:rsid w:val="000F58F8"/>
    <w:rsid w:val="000F5915"/>
    <w:rsid w:val="000F59BB"/>
    <w:rsid w:val="000F5AFE"/>
    <w:rsid w:val="000F5BD0"/>
    <w:rsid w:val="000F5BDA"/>
    <w:rsid w:val="000F6392"/>
    <w:rsid w:val="000F6422"/>
    <w:rsid w:val="000F665C"/>
    <w:rsid w:val="000F66E8"/>
    <w:rsid w:val="000F6A34"/>
    <w:rsid w:val="000F6D1C"/>
    <w:rsid w:val="000F6D61"/>
    <w:rsid w:val="000F73B3"/>
    <w:rsid w:val="000F74ED"/>
    <w:rsid w:val="000F7FF3"/>
    <w:rsid w:val="00100092"/>
    <w:rsid w:val="001001E7"/>
    <w:rsid w:val="0010050B"/>
    <w:rsid w:val="00100F92"/>
    <w:rsid w:val="00101000"/>
    <w:rsid w:val="001010C4"/>
    <w:rsid w:val="001011E7"/>
    <w:rsid w:val="001012EF"/>
    <w:rsid w:val="00101478"/>
    <w:rsid w:val="001016A1"/>
    <w:rsid w:val="0010184E"/>
    <w:rsid w:val="001019A1"/>
    <w:rsid w:val="00101A44"/>
    <w:rsid w:val="00101B50"/>
    <w:rsid w:val="0010203E"/>
    <w:rsid w:val="0010210A"/>
    <w:rsid w:val="001021E5"/>
    <w:rsid w:val="001021E8"/>
    <w:rsid w:val="00102A2B"/>
    <w:rsid w:val="00102ABA"/>
    <w:rsid w:val="00102DE5"/>
    <w:rsid w:val="00102FB0"/>
    <w:rsid w:val="00103023"/>
    <w:rsid w:val="00103451"/>
    <w:rsid w:val="0010347D"/>
    <w:rsid w:val="00103569"/>
    <w:rsid w:val="00103693"/>
    <w:rsid w:val="00103A53"/>
    <w:rsid w:val="00104527"/>
    <w:rsid w:val="0010462F"/>
    <w:rsid w:val="00104AEA"/>
    <w:rsid w:val="00104B30"/>
    <w:rsid w:val="00104E4E"/>
    <w:rsid w:val="00105533"/>
    <w:rsid w:val="00105695"/>
    <w:rsid w:val="00105D14"/>
    <w:rsid w:val="00106455"/>
    <w:rsid w:val="001068D6"/>
    <w:rsid w:val="001068FE"/>
    <w:rsid w:val="00106B6A"/>
    <w:rsid w:val="00106B90"/>
    <w:rsid w:val="00106FAF"/>
    <w:rsid w:val="0010703C"/>
    <w:rsid w:val="00107194"/>
    <w:rsid w:val="00107451"/>
    <w:rsid w:val="0010763E"/>
    <w:rsid w:val="0010772C"/>
    <w:rsid w:val="00107A27"/>
    <w:rsid w:val="00107EDD"/>
    <w:rsid w:val="00107F00"/>
    <w:rsid w:val="00110288"/>
    <w:rsid w:val="0011030F"/>
    <w:rsid w:val="00110325"/>
    <w:rsid w:val="00110738"/>
    <w:rsid w:val="0011085B"/>
    <w:rsid w:val="001108F3"/>
    <w:rsid w:val="0011093B"/>
    <w:rsid w:val="0011095F"/>
    <w:rsid w:val="00110BF4"/>
    <w:rsid w:val="001112AB"/>
    <w:rsid w:val="001112F8"/>
    <w:rsid w:val="00111430"/>
    <w:rsid w:val="001115DE"/>
    <w:rsid w:val="0011167A"/>
    <w:rsid w:val="00111824"/>
    <w:rsid w:val="001119C7"/>
    <w:rsid w:val="00111CC4"/>
    <w:rsid w:val="00111CEF"/>
    <w:rsid w:val="00111DE5"/>
    <w:rsid w:val="00111FCD"/>
    <w:rsid w:val="0011210F"/>
    <w:rsid w:val="0011242B"/>
    <w:rsid w:val="00112887"/>
    <w:rsid w:val="00112CD3"/>
    <w:rsid w:val="001133A4"/>
    <w:rsid w:val="00113624"/>
    <w:rsid w:val="001137CE"/>
    <w:rsid w:val="001138A5"/>
    <w:rsid w:val="00113A66"/>
    <w:rsid w:val="00113D80"/>
    <w:rsid w:val="00113DC6"/>
    <w:rsid w:val="00113FA4"/>
    <w:rsid w:val="00113FC6"/>
    <w:rsid w:val="0011432E"/>
    <w:rsid w:val="001147A8"/>
    <w:rsid w:val="00114925"/>
    <w:rsid w:val="00114FE3"/>
    <w:rsid w:val="001158D8"/>
    <w:rsid w:val="00115923"/>
    <w:rsid w:val="00115A6B"/>
    <w:rsid w:val="00115A99"/>
    <w:rsid w:val="00115B8D"/>
    <w:rsid w:val="00115D63"/>
    <w:rsid w:val="00115E1F"/>
    <w:rsid w:val="00115FBB"/>
    <w:rsid w:val="00116130"/>
    <w:rsid w:val="001161B2"/>
    <w:rsid w:val="001165DA"/>
    <w:rsid w:val="00116C99"/>
    <w:rsid w:val="00116E9B"/>
    <w:rsid w:val="00116FFF"/>
    <w:rsid w:val="001170FE"/>
    <w:rsid w:val="00117233"/>
    <w:rsid w:val="00117305"/>
    <w:rsid w:val="0011739D"/>
    <w:rsid w:val="00117993"/>
    <w:rsid w:val="00117EB7"/>
    <w:rsid w:val="00120363"/>
    <w:rsid w:val="00120939"/>
    <w:rsid w:val="00120BC2"/>
    <w:rsid w:val="00120E28"/>
    <w:rsid w:val="0012157B"/>
    <w:rsid w:val="00121953"/>
    <w:rsid w:val="00121B90"/>
    <w:rsid w:val="00121D48"/>
    <w:rsid w:val="00122014"/>
    <w:rsid w:val="0012211F"/>
    <w:rsid w:val="00122766"/>
    <w:rsid w:val="001237FF"/>
    <w:rsid w:val="00123B57"/>
    <w:rsid w:val="00123D6D"/>
    <w:rsid w:val="00124010"/>
    <w:rsid w:val="001240EA"/>
    <w:rsid w:val="0012467F"/>
    <w:rsid w:val="001246A1"/>
    <w:rsid w:val="001246E6"/>
    <w:rsid w:val="00124C12"/>
    <w:rsid w:val="00124ED9"/>
    <w:rsid w:val="0012503C"/>
    <w:rsid w:val="001250E6"/>
    <w:rsid w:val="00125564"/>
    <w:rsid w:val="00125627"/>
    <w:rsid w:val="00125694"/>
    <w:rsid w:val="001258C8"/>
    <w:rsid w:val="00125D19"/>
    <w:rsid w:val="00125F15"/>
    <w:rsid w:val="00125FFF"/>
    <w:rsid w:val="00126610"/>
    <w:rsid w:val="00126751"/>
    <w:rsid w:val="00126B67"/>
    <w:rsid w:val="00126DE4"/>
    <w:rsid w:val="001275BA"/>
    <w:rsid w:val="0012777D"/>
    <w:rsid w:val="00127BF5"/>
    <w:rsid w:val="00127EE9"/>
    <w:rsid w:val="001301CC"/>
    <w:rsid w:val="0013021E"/>
    <w:rsid w:val="0013043F"/>
    <w:rsid w:val="0013074B"/>
    <w:rsid w:val="001309C9"/>
    <w:rsid w:val="00130F06"/>
    <w:rsid w:val="001314C8"/>
    <w:rsid w:val="001315EB"/>
    <w:rsid w:val="001317CD"/>
    <w:rsid w:val="00131968"/>
    <w:rsid w:val="0013196E"/>
    <w:rsid w:val="00131C4C"/>
    <w:rsid w:val="00131E47"/>
    <w:rsid w:val="001321C9"/>
    <w:rsid w:val="001323C4"/>
    <w:rsid w:val="00132947"/>
    <w:rsid w:val="00132C76"/>
    <w:rsid w:val="00132EBA"/>
    <w:rsid w:val="00133225"/>
    <w:rsid w:val="00133303"/>
    <w:rsid w:val="00133710"/>
    <w:rsid w:val="0013393E"/>
    <w:rsid w:val="001339A3"/>
    <w:rsid w:val="00133A75"/>
    <w:rsid w:val="00133B6C"/>
    <w:rsid w:val="0013400A"/>
    <w:rsid w:val="00134011"/>
    <w:rsid w:val="00134145"/>
    <w:rsid w:val="001346C6"/>
    <w:rsid w:val="00134A2A"/>
    <w:rsid w:val="00134A90"/>
    <w:rsid w:val="0013504B"/>
    <w:rsid w:val="00135159"/>
    <w:rsid w:val="00135463"/>
    <w:rsid w:val="00135524"/>
    <w:rsid w:val="00135554"/>
    <w:rsid w:val="0013568E"/>
    <w:rsid w:val="00135814"/>
    <w:rsid w:val="00135BDE"/>
    <w:rsid w:val="00136065"/>
    <w:rsid w:val="001362A3"/>
    <w:rsid w:val="00136888"/>
    <w:rsid w:val="00136A55"/>
    <w:rsid w:val="00136CC6"/>
    <w:rsid w:val="00136D31"/>
    <w:rsid w:val="00136DB1"/>
    <w:rsid w:val="0013728F"/>
    <w:rsid w:val="00137353"/>
    <w:rsid w:val="00137547"/>
    <w:rsid w:val="00137697"/>
    <w:rsid w:val="001376F7"/>
    <w:rsid w:val="00140475"/>
    <w:rsid w:val="00140549"/>
    <w:rsid w:val="00140A3D"/>
    <w:rsid w:val="00140B72"/>
    <w:rsid w:val="00140C61"/>
    <w:rsid w:val="00140D50"/>
    <w:rsid w:val="00140E4E"/>
    <w:rsid w:val="00141302"/>
    <w:rsid w:val="00141B33"/>
    <w:rsid w:val="00141C3B"/>
    <w:rsid w:val="00141EB4"/>
    <w:rsid w:val="0014264A"/>
    <w:rsid w:val="001428F5"/>
    <w:rsid w:val="00142D0E"/>
    <w:rsid w:val="00142DC9"/>
    <w:rsid w:val="00142E3F"/>
    <w:rsid w:val="00142FA5"/>
    <w:rsid w:val="0014326A"/>
    <w:rsid w:val="00143295"/>
    <w:rsid w:val="0014331B"/>
    <w:rsid w:val="00143503"/>
    <w:rsid w:val="0014365C"/>
    <w:rsid w:val="00143C8E"/>
    <w:rsid w:val="00144198"/>
    <w:rsid w:val="001441A7"/>
    <w:rsid w:val="001441D3"/>
    <w:rsid w:val="00144519"/>
    <w:rsid w:val="001445B5"/>
    <w:rsid w:val="001445FF"/>
    <w:rsid w:val="00144D13"/>
    <w:rsid w:val="00144DFF"/>
    <w:rsid w:val="00144EDC"/>
    <w:rsid w:val="001452CE"/>
    <w:rsid w:val="00145523"/>
    <w:rsid w:val="001457B3"/>
    <w:rsid w:val="0014583D"/>
    <w:rsid w:val="0014587A"/>
    <w:rsid w:val="00145944"/>
    <w:rsid w:val="00145A9A"/>
    <w:rsid w:val="00145C50"/>
    <w:rsid w:val="00145FCC"/>
    <w:rsid w:val="001460D1"/>
    <w:rsid w:val="00146323"/>
    <w:rsid w:val="00146A58"/>
    <w:rsid w:val="00146E2D"/>
    <w:rsid w:val="00146E32"/>
    <w:rsid w:val="00146F49"/>
    <w:rsid w:val="0014725F"/>
    <w:rsid w:val="001476D6"/>
    <w:rsid w:val="0014795B"/>
    <w:rsid w:val="00147AA9"/>
    <w:rsid w:val="00147AFE"/>
    <w:rsid w:val="00147FAA"/>
    <w:rsid w:val="0015040E"/>
    <w:rsid w:val="0015051C"/>
    <w:rsid w:val="0015056E"/>
    <w:rsid w:val="0015073A"/>
    <w:rsid w:val="001508EF"/>
    <w:rsid w:val="00150C8D"/>
    <w:rsid w:val="00151176"/>
    <w:rsid w:val="00151179"/>
    <w:rsid w:val="001511F1"/>
    <w:rsid w:val="00151202"/>
    <w:rsid w:val="00151452"/>
    <w:rsid w:val="0015155F"/>
    <w:rsid w:val="001515F7"/>
    <w:rsid w:val="00152282"/>
    <w:rsid w:val="0015233D"/>
    <w:rsid w:val="00152560"/>
    <w:rsid w:val="001526D7"/>
    <w:rsid w:val="0015292D"/>
    <w:rsid w:val="00152E88"/>
    <w:rsid w:val="00152EE7"/>
    <w:rsid w:val="00153259"/>
    <w:rsid w:val="00154290"/>
    <w:rsid w:val="001542F8"/>
    <w:rsid w:val="0015454B"/>
    <w:rsid w:val="001547B8"/>
    <w:rsid w:val="001548D3"/>
    <w:rsid w:val="001548F3"/>
    <w:rsid w:val="0015522D"/>
    <w:rsid w:val="0015524D"/>
    <w:rsid w:val="001553E6"/>
    <w:rsid w:val="00155429"/>
    <w:rsid w:val="001556A5"/>
    <w:rsid w:val="0015594C"/>
    <w:rsid w:val="00155A26"/>
    <w:rsid w:val="00155D58"/>
    <w:rsid w:val="00155EE1"/>
    <w:rsid w:val="001561E6"/>
    <w:rsid w:val="00156468"/>
    <w:rsid w:val="0015666A"/>
    <w:rsid w:val="001568CC"/>
    <w:rsid w:val="0015699D"/>
    <w:rsid w:val="00156CAC"/>
    <w:rsid w:val="00156D81"/>
    <w:rsid w:val="0015715A"/>
    <w:rsid w:val="00157311"/>
    <w:rsid w:val="001574BD"/>
    <w:rsid w:val="001575DA"/>
    <w:rsid w:val="0015762B"/>
    <w:rsid w:val="001576D9"/>
    <w:rsid w:val="001577F2"/>
    <w:rsid w:val="00157D41"/>
    <w:rsid w:val="00160004"/>
    <w:rsid w:val="00160250"/>
    <w:rsid w:val="00160386"/>
    <w:rsid w:val="001607A2"/>
    <w:rsid w:val="001607B9"/>
    <w:rsid w:val="0016093E"/>
    <w:rsid w:val="0016104D"/>
    <w:rsid w:val="00161145"/>
    <w:rsid w:val="001611D6"/>
    <w:rsid w:val="0016176D"/>
    <w:rsid w:val="001617B7"/>
    <w:rsid w:val="00161857"/>
    <w:rsid w:val="00161AA9"/>
    <w:rsid w:val="00162230"/>
    <w:rsid w:val="001625E5"/>
    <w:rsid w:val="0016277A"/>
    <w:rsid w:val="00162BE8"/>
    <w:rsid w:val="00163121"/>
    <w:rsid w:val="0016355E"/>
    <w:rsid w:val="0016359D"/>
    <w:rsid w:val="00163751"/>
    <w:rsid w:val="00163783"/>
    <w:rsid w:val="00163D4E"/>
    <w:rsid w:val="001640BC"/>
    <w:rsid w:val="0016430F"/>
    <w:rsid w:val="001643FF"/>
    <w:rsid w:val="00164590"/>
    <w:rsid w:val="00164D3D"/>
    <w:rsid w:val="001651B7"/>
    <w:rsid w:val="00165325"/>
    <w:rsid w:val="001659A5"/>
    <w:rsid w:val="00165A9E"/>
    <w:rsid w:val="00165B17"/>
    <w:rsid w:val="00165CBD"/>
    <w:rsid w:val="00165E23"/>
    <w:rsid w:val="00166561"/>
    <w:rsid w:val="001665F7"/>
    <w:rsid w:val="0016678B"/>
    <w:rsid w:val="00166C20"/>
    <w:rsid w:val="00166DB8"/>
    <w:rsid w:val="00166EA0"/>
    <w:rsid w:val="00166F75"/>
    <w:rsid w:val="001670F4"/>
    <w:rsid w:val="001671CC"/>
    <w:rsid w:val="0016761F"/>
    <w:rsid w:val="00167667"/>
    <w:rsid w:val="001677CF"/>
    <w:rsid w:val="00167919"/>
    <w:rsid w:val="0017015E"/>
    <w:rsid w:val="001702AC"/>
    <w:rsid w:val="001708B6"/>
    <w:rsid w:val="00170C1F"/>
    <w:rsid w:val="00170F79"/>
    <w:rsid w:val="00170FB9"/>
    <w:rsid w:val="001710C3"/>
    <w:rsid w:val="001716FA"/>
    <w:rsid w:val="0017204B"/>
    <w:rsid w:val="001720BF"/>
    <w:rsid w:val="0017210F"/>
    <w:rsid w:val="001723E3"/>
    <w:rsid w:val="001726F8"/>
    <w:rsid w:val="00172A95"/>
    <w:rsid w:val="00172C17"/>
    <w:rsid w:val="00172F95"/>
    <w:rsid w:val="00173112"/>
    <w:rsid w:val="00173337"/>
    <w:rsid w:val="00173453"/>
    <w:rsid w:val="001734CC"/>
    <w:rsid w:val="00173502"/>
    <w:rsid w:val="0017380A"/>
    <w:rsid w:val="001739D0"/>
    <w:rsid w:val="00173B9D"/>
    <w:rsid w:val="00173D21"/>
    <w:rsid w:val="00173E1C"/>
    <w:rsid w:val="00173EFF"/>
    <w:rsid w:val="0017437D"/>
    <w:rsid w:val="00174461"/>
    <w:rsid w:val="001744C9"/>
    <w:rsid w:val="00174595"/>
    <w:rsid w:val="00174755"/>
    <w:rsid w:val="0017485C"/>
    <w:rsid w:val="00174B44"/>
    <w:rsid w:val="00174BDD"/>
    <w:rsid w:val="00174F9D"/>
    <w:rsid w:val="00175038"/>
    <w:rsid w:val="001755E6"/>
    <w:rsid w:val="0017566E"/>
    <w:rsid w:val="00175814"/>
    <w:rsid w:val="001759BD"/>
    <w:rsid w:val="00175DD5"/>
    <w:rsid w:val="00175FCA"/>
    <w:rsid w:val="001765FC"/>
    <w:rsid w:val="0017690F"/>
    <w:rsid w:val="00176B7A"/>
    <w:rsid w:val="00176D07"/>
    <w:rsid w:val="0017738D"/>
    <w:rsid w:val="001775FF"/>
    <w:rsid w:val="001776B4"/>
    <w:rsid w:val="00177741"/>
    <w:rsid w:val="00177AD2"/>
    <w:rsid w:val="00177BA1"/>
    <w:rsid w:val="00177C94"/>
    <w:rsid w:val="00177D57"/>
    <w:rsid w:val="00177DA1"/>
    <w:rsid w:val="00177E66"/>
    <w:rsid w:val="001803B3"/>
    <w:rsid w:val="001804F2"/>
    <w:rsid w:val="00180689"/>
    <w:rsid w:val="001807A7"/>
    <w:rsid w:val="001809FC"/>
    <w:rsid w:val="00181683"/>
    <w:rsid w:val="00181A50"/>
    <w:rsid w:val="00181AD9"/>
    <w:rsid w:val="00181F5A"/>
    <w:rsid w:val="00182306"/>
    <w:rsid w:val="00182567"/>
    <w:rsid w:val="0018265C"/>
    <w:rsid w:val="001829E0"/>
    <w:rsid w:val="00182AEA"/>
    <w:rsid w:val="00182C82"/>
    <w:rsid w:val="00182DE9"/>
    <w:rsid w:val="00182E9B"/>
    <w:rsid w:val="001833C2"/>
    <w:rsid w:val="001835C6"/>
    <w:rsid w:val="001836D5"/>
    <w:rsid w:val="001836F1"/>
    <w:rsid w:val="001840B6"/>
    <w:rsid w:val="0018439D"/>
    <w:rsid w:val="00184491"/>
    <w:rsid w:val="001849D4"/>
    <w:rsid w:val="001849FF"/>
    <w:rsid w:val="00184A01"/>
    <w:rsid w:val="00184A42"/>
    <w:rsid w:val="00184B43"/>
    <w:rsid w:val="00184B46"/>
    <w:rsid w:val="00184E05"/>
    <w:rsid w:val="001852AD"/>
    <w:rsid w:val="00185621"/>
    <w:rsid w:val="00185625"/>
    <w:rsid w:val="001857C8"/>
    <w:rsid w:val="00185873"/>
    <w:rsid w:val="00185BD1"/>
    <w:rsid w:val="00186022"/>
    <w:rsid w:val="0018603D"/>
    <w:rsid w:val="00186384"/>
    <w:rsid w:val="0018682D"/>
    <w:rsid w:val="0018684D"/>
    <w:rsid w:val="00186AEC"/>
    <w:rsid w:val="00186BE0"/>
    <w:rsid w:val="00187594"/>
    <w:rsid w:val="0018761F"/>
    <w:rsid w:val="00187649"/>
    <w:rsid w:val="00187A96"/>
    <w:rsid w:val="00190029"/>
    <w:rsid w:val="0019017C"/>
    <w:rsid w:val="00190251"/>
    <w:rsid w:val="00190296"/>
    <w:rsid w:val="0019054C"/>
    <w:rsid w:val="00190638"/>
    <w:rsid w:val="001906D3"/>
    <w:rsid w:val="0019098B"/>
    <w:rsid w:val="00190BAA"/>
    <w:rsid w:val="00191188"/>
    <w:rsid w:val="0019134A"/>
    <w:rsid w:val="00191745"/>
    <w:rsid w:val="00191C6C"/>
    <w:rsid w:val="00191D95"/>
    <w:rsid w:val="00191E7B"/>
    <w:rsid w:val="0019218A"/>
    <w:rsid w:val="001921FD"/>
    <w:rsid w:val="001922B1"/>
    <w:rsid w:val="00192660"/>
    <w:rsid w:val="001927B2"/>
    <w:rsid w:val="0019286D"/>
    <w:rsid w:val="00192D09"/>
    <w:rsid w:val="00192F39"/>
    <w:rsid w:val="00193178"/>
    <w:rsid w:val="0019329B"/>
    <w:rsid w:val="001933BD"/>
    <w:rsid w:val="001934BB"/>
    <w:rsid w:val="0019395A"/>
    <w:rsid w:val="0019395B"/>
    <w:rsid w:val="00193BC7"/>
    <w:rsid w:val="00193C16"/>
    <w:rsid w:val="00193C4C"/>
    <w:rsid w:val="00193DC1"/>
    <w:rsid w:val="00193E57"/>
    <w:rsid w:val="0019405E"/>
    <w:rsid w:val="001940F8"/>
    <w:rsid w:val="00194469"/>
    <w:rsid w:val="00194535"/>
    <w:rsid w:val="001946D6"/>
    <w:rsid w:val="00194C8A"/>
    <w:rsid w:val="00194D22"/>
    <w:rsid w:val="00194D77"/>
    <w:rsid w:val="00194EDA"/>
    <w:rsid w:val="001950F7"/>
    <w:rsid w:val="00195216"/>
    <w:rsid w:val="00195604"/>
    <w:rsid w:val="00195974"/>
    <w:rsid w:val="00195995"/>
    <w:rsid w:val="00195C4C"/>
    <w:rsid w:val="00195E07"/>
    <w:rsid w:val="00195E80"/>
    <w:rsid w:val="00196163"/>
    <w:rsid w:val="00196367"/>
    <w:rsid w:val="00196420"/>
    <w:rsid w:val="00196644"/>
    <w:rsid w:val="00196A08"/>
    <w:rsid w:val="00196F89"/>
    <w:rsid w:val="00197417"/>
    <w:rsid w:val="001979CE"/>
    <w:rsid w:val="00197B8C"/>
    <w:rsid w:val="00197D03"/>
    <w:rsid w:val="001A0252"/>
    <w:rsid w:val="001A04E6"/>
    <w:rsid w:val="001A04ED"/>
    <w:rsid w:val="001A0692"/>
    <w:rsid w:val="001A0A41"/>
    <w:rsid w:val="001A0A82"/>
    <w:rsid w:val="001A0D55"/>
    <w:rsid w:val="001A143B"/>
    <w:rsid w:val="001A19DB"/>
    <w:rsid w:val="001A1F80"/>
    <w:rsid w:val="001A1FE9"/>
    <w:rsid w:val="001A209D"/>
    <w:rsid w:val="001A20AB"/>
    <w:rsid w:val="001A2168"/>
    <w:rsid w:val="001A227A"/>
    <w:rsid w:val="001A23B1"/>
    <w:rsid w:val="001A23F6"/>
    <w:rsid w:val="001A26D5"/>
    <w:rsid w:val="001A273D"/>
    <w:rsid w:val="001A27E3"/>
    <w:rsid w:val="001A2888"/>
    <w:rsid w:val="001A2B1B"/>
    <w:rsid w:val="001A2B69"/>
    <w:rsid w:val="001A2D31"/>
    <w:rsid w:val="001A2EE7"/>
    <w:rsid w:val="001A33E1"/>
    <w:rsid w:val="001A3515"/>
    <w:rsid w:val="001A3707"/>
    <w:rsid w:val="001A38A6"/>
    <w:rsid w:val="001A39E7"/>
    <w:rsid w:val="001A3CA2"/>
    <w:rsid w:val="001A3CB7"/>
    <w:rsid w:val="001A3CC1"/>
    <w:rsid w:val="001A3D97"/>
    <w:rsid w:val="001A4250"/>
    <w:rsid w:val="001A4564"/>
    <w:rsid w:val="001A47D3"/>
    <w:rsid w:val="001A48E8"/>
    <w:rsid w:val="001A4E77"/>
    <w:rsid w:val="001A50FB"/>
    <w:rsid w:val="001A521F"/>
    <w:rsid w:val="001A5497"/>
    <w:rsid w:val="001A5600"/>
    <w:rsid w:val="001A56C8"/>
    <w:rsid w:val="001A59E8"/>
    <w:rsid w:val="001A5E03"/>
    <w:rsid w:val="001A5F35"/>
    <w:rsid w:val="001A5FA4"/>
    <w:rsid w:val="001A60D3"/>
    <w:rsid w:val="001A635E"/>
    <w:rsid w:val="001A6662"/>
    <w:rsid w:val="001A686F"/>
    <w:rsid w:val="001A68A9"/>
    <w:rsid w:val="001A6A19"/>
    <w:rsid w:val="001A7218"/>
    <w:rsid w:val="001A7594"/>
    <w:rsid w:val="001A7761"/>
    <w:rsid w:val="001A7840"/>
    <w:rsid w:val="001A7D66"/>
    <w:rsid w:val="001B026F"/>
    <w:rsid w:val="001B0428"/>
    <w:rsid w:val="001B05A0"/>
    <w:rsid w:val="001B07E5"/>
    <w:rsid w:val="001B09AD"/>
    <w:rsid w:val="001B0B21"/>
    <w:rsid w:val="001B1326"/>
    <w:rsid w:val="001B1560"/>
    <w:rsid w:val="001B1C48"/>
    <w:rsid w:val="001B1E51"/>
    <w:rsid w:val="001B2205"/>
    <w:rsid w:val="001B2744"/>
    <w:rsid w:val="001B2F4F"/>
    <w:rsid w:val="001B31DD"/>
    <w:rsid w:val="001B3220"/>
    <w:rsid w:val="001B3228"/>
    <w:rsid w:val="001B325A"/>
    <w:rsid w:val="001B3E22"/>
    <w:rsid w:val="001B3F27"/>
    <w:rsid w:val="001B4259"/>
    <w:rsid w:val="001B4380"/>
    <w:rsid w:val="001B43CF"/>
    <w:rsid w:val="001B4582"/>
    <w:rsid w:val="001B465C"/>
    <w:rsid w:val="001B482A"/>
    <w:rsid w:val="001B4892"/>
    <w:rsid w:val="001B49D3"/>
    <w:rsid w:val="001B49F5"/>
    <w:rsid w:val="001B5138"/>
    <w:rsid w:val="001B5164"/>
    <w:rsid w:val="001B5363"/>
    <w:rsid w:val="001B5380"/>
    <w:rsid w:val="001B53CB"/>
    <w:rsid w:val="001B5605"/>
    <w:rsid w:val="001B5A1F"/>
    <w:rsid w:val="001B5CC9"/>
    <w:rsid w:val="001B5E91"/>
    <w:rsid w:val="001B6197"/>
    <w:rsid w:val="001B652D"/>
    <w:rsid w:val="001B6F50"/>
    <w:rsid w:val="001B7268"/>
    <w:rsid w:val="001B7286"/>
    <w:rsid w:val="001B730F"/>
    <w:rsid w:val="001B732A"/>
    <w:rsid w:val="001B7610"/>
    <w:rsid w:val="001B7650"/>
    <w:rsid w:val="001B7710"/>
    <w:rsid w:val="001B7F31"/>
    <w:rsid w:val="001B7FAE"/>
    <w:rsid w:val="001B7FFA"/>
    <w:rsid w:val="001C05C1"/>
    <w:rsid w:val="001C08E3"/>
    <w:rsid w:val="001C092E"/>
    <w:rsid w:val="001C09ED"/>
    <w:rsid w:val="001C0F87"/>
    <w:rsid w:val="001C0FC9"/>
    <w:rsid w:val="001C109D"/>
    <w:rsid w:val="001C1950"/>
    <w:rsid w:val="001C1DE6"/>
    <w:rsid w:val="001C2218"/>
    <w:rsid w:val="001C22A9"/>
    <w:rsid w:val="001C2991"/>
    <w:rsid w:val="001C2C0C"/>
    <w:rsid w:val="001C2D62"/>
    <w:rsid w:val="001C2F3C"/>
    <w:rsid w:val="001C3176"/>
    <w:rsid w:val="001C3309"/>
    <w:rsid w:val="001C3457"/>
    <w:rsid w:val="001C3520"/>
    <w:rsid w:val="001C36AD"/>
    <w:rsid w:val="001C3F4B"/>
    <w:rsid w:val="001C400F"/>
    <w:rsid w:val="001C41EB"/>
    <w:rsid w:val="001C42C5"/>
    <w:rsid w:val="001C4729"/>
    <w:rsid w:val="001C487B"/>
    <w:rsid w:val="001C4935"/>
    <w:rsid w:val="001C49FC"/>
    <w:rsid w:val="001C4CB1"/>
    <w:rsid w:val="001C5302"/>
    <w:rsid w:val="001C54A9"/>
    <w:rsid w:val="001C564C"/>
    <w:rsid w:val="001C580F"/>
    <w:rsid w:val="001C5FEF"/>
    <w:rsid w:val="001C6045"/>
    <w:rsid w:val="001C6210"/>
    <w:rsid w:val="001C6293"/>
    <w:rsid w:val="001C644E"/>
    <w:rsid w:val="001C68BE"/>
    <w:rsid w:val="001C6B73"/>
    <w:rsid w:val="001C6D8B"/>
    <w:rsid w:val="001C6E00"/>
    <w:rsid w:val="001C6FE9"/>
    <w:rsid w:val="001C7205"/>
    <w:rsid w:val="001C773C"/>
    <w:rsid w:val="001C7DFF"/>
    <w:rsid w:val="001C7EC6"/>
    <w:rsid w:val="001D0140"/>
    <w:rsid w:val="001D0463"/>
    <w:rsid w:val="001D053F"/>
    <w:rsid w:val="001D07B9"/>
    <w:rsid w:val="001D0DBD"/>
    <w:rsid w:val="001D1262"/>
    <w:rsid w:val="001D15E6"/>
    <w:rsid w:val="001D1654"/>
    <w:rsid w:val="001D1A3C"/>
    <w:rsid w:val="001D1AD3"/>
    <w:rsid w:val="001D1B12"/>
    <w:rsid w:val="001D2172"/>
    <w:rsid w:val="001D232A"/>
    <w:rsid w:val="001D25FB"/>
    <w:rsid w:val="001D2D59"/>
    <w:rsid w:val="001D2E48"/>
    <w:rsid w:val="001D347A"/>
    <w:rsid w:val="001D3511"/>
    <w:rsid w:val="001D39FA"/>
    <w:rsid w:val="001D4079"/>
    <w:rsid w:val="001D45A5"/>
    <w:rsid w:val="001D4C81"/>
    <w:rsid w:val="001D5856"/>
    <w:rsid w:val="001D5C27"/>
    <w:rsid w:val="001D5CCF"/>
    <w:rsid w:val="001D5E9E"/>
    <w:rsid w:val="001D5F40"/>
    <w:rsid w:val="001D62C4"/>
    <w:rsid w:val="001D6420"/>
    <w:rsid w:val="001D659C"/>
    <w:rsid w:val="001D6C8B"/>
    <w:rsid w:val="001D71BD"/>
    <w:rsid w:val="001D74D1"/>
    <w:rsid w:val="001D756F"/>
    <w:rsid w:val="001D77C9"/>
    <w:rsid w:val="001D77E1"/>
    <w:rsid w:val="001D7961"/>
    <w:rsid w:val="001D7E66"/>
    <w:rsid w:val="001E030B"/>
    <w:rsid w:val="001E064D"/>
    <w:rsid w:val="001E0785"/>
    <w:rsid w:val="001E0B42"/>
    <w:rsid w:val="001E0D7F"/>
    <w:rsid w:val="001E1686"/>
    <w:rsid w:val="001E1795"/>
    <w:rsid w:val="001E183E"/>
    <w:rsid w:val="001E1B02"/>
    <w:rsid w:val="001E1BC4"/>
    <w:rsid w:val="001E1D1A"/>
    <w:rsid w:val="001E1D5D"/>
    <w:rsid w:val="001E1D69"/>
    <w:rsid w:val="001E2649"/>
    <w:rsid w:val="001E268C"/>
    <w:rsid w:val="001E2892"/>
    <w:rsid w:val="001E2BB5"/>
    <w:rsid w:val="001E2E57"/>
    <w:rsid w:val="001E2F75"/>
    <w:rsid w:val="001E3297"/>
    <w:rsid w:val="001E332D"/>
    <w:rsid w:val="001E3590"/>
    <w:rsid w:val="001E3A6E"/>
    <w:rsid w:val="001E3CC4"/>
    <w:rsid w:val="001E3CDF"/>
    <w:rsid w:val="001E3E85"/>
    <w:rsid w:val="001E43A1"/>
    <w:rsid w:val="001E481F"/>
    <w:rsid w:val="001E48BE"/>
    <w:rsid w:val="001E494F"/>
    <w:rsid w:val="001E4C78"/>
    <w:rsid w:val="001E502B"/>
    <w:rsid w:val="001E54E3"/>
    <w:rsid w:val="001E56FB"/>
    <w:rsid w:val="001E5826"/>
    <w:rsid w:val="001E6070"/>
    <w:rsid w:val="001E608A"/>
    <w:rsid w:val="001E60CF"/>
    <w:rsid w:val="001E62B9"/>
    <w:rsid w:val="001E64CA"/>
    <w:rsid w:val="001E6607"/>
    <w:rsid w:val="001E6A7C"/>
    <w:rsid w:val="001E6ABA"/>
    <w:rsid w:val="001E6BF2"/>
    <w:rsid w:val="001E6D3D"/>
    <w:rsid w:val="001E6EB3"/>
    <w:rsid w:val="001E6F93"/>
    <w:rsid w:val="001E7270"/>
    <w:rsid w:val="001E758B"/>
    <w:rsid w:val="001E7817"/>
    <w:rsid w:val="001E7A6E"/>
    <w:rsid w:val="001E7FCE"/>
    <w:rsid w:val="001F0007"/>
    <w:rsid w:val="001F02E5"/>
    <w:rsid w:val="001F03D2"/>
    <w:rsid w:val="001F0C2D"/>
    <w:rsid w:val="001F0D45"/>
    <w:rsid w:val="001F1039"/>
    <w:rsid w:val="001F1227"/>
    <w:rsid w:val="001F12B2"/>
    <w:rsid w:val="001F16FE"/>
    <w:rsid w:val="001F1BFE"/>
    <w:rsid w:val="001F1D96"/>
    <w:rsid w:val="001F2213"/>
    <w:rsid w:val="001F283A"/>
    <w:rsid w:val="001F2B92"/>
    <w:rsid w:val="001F2CE2"/>
    <w:rsid w:val="001F2E15"/>
    <w:rsid w:val="001F3001"/>
    <w:rsid w:val="001F3351"/>
    <w:rsid w:val="001F34A0"/>
    <w:rsid w:val="001F391A"/>
    <w:rsid w:val="001F3AC1"/>
    <w:rsid w:val="001F3E87"/>
    <w:rsid w:val="001F40AD"/>
    <w:rsid w:val="001F40EF"/>
    <w:rsid w:val="001F420C"/>
    <w:rsid w:val="001F4249"/>
    <w:rsid w:val="001F485F"/>
    <w:rsid w:val="001F48AD"/>
    <w:rsid w:val="001F51A9"/>
    <w:rsid w:val="001F52AA"/>
    <w:rsid w:val="001F5649"/>
    <w:rsid w:val="001F57F2"/>
    <w:rsid w:val="001F6174"/>
    <w:rsid w:val="001F639C"/>
    <w:rsid w:val="001F6771"/>
    <w:rsid w:val="001F6A71"/>
    <w:rsid w:val="001F6DFE"/>
    <w:rsid w:val="001F701B"/>
    <w:rsid w:val="001F7164"/>
    <w:rsid w:val="001F72A7"/>
    <w:rsid w:val="001F7599"/>
    <w:rsid w:val="001F767C"/>
    <w:rsid w:val="001F7873"/>
    <w:rsid w:val="001F7C31"/>
    <w:rsid w:val="00200016"/>
    <w:rsid w:val="002000AA"/>
    <w:rsid w:val="0020114D"/>
    <w:rsid w:val="0020144E"/>
    <w:rsid w:val="00201BE4"/>
    <w:rsid w:val="00201EEC"/>
    <w:rsid w:val="00201F1B"/>
    <w:rsid w:val="0020207B"/>
    <w:rsid w:val="0020215C"/>
    <w:rsid w:val="00202446"/>
    <w:rsid w:val="0020294E"/>
    <w:rsid w:val="00202B56"/>
    <w:rsid w:val="00203227"/>
    <w:rsid w:val="002034B2"/>
    <w:rsid w:val="0020361A"/>
    <w:rsid w:val="00203787"/>
    <w:rsid w:val="002037E8"/>
    <w:rsid w:val="0020394D"/>
    <w:rsid w:val="00203E8B"/>
    <w:rsid w:val="0020411B"/>
    <w:rsid w:val="002041E6"/>
    <w:rsid w:val="00204309"/>
    <w:rsid w:val="00204D7B"/>
    <w:rsid w:val="0020506D"/>
    <w:rsid w:val="00205182"/>
    <w:rsid w:val="00205472"/>
    <w:rsid w:val="00205518"/>
    <w:rsid w:val="00205537"/>
    <w:rsid w:val="002055A2"/>
    <w:rsid w:val="00205B25"/>
    <w:rsid w:val="00205B7D"/>
    <w:rsid w:val="00205DA0"/>
    <w:rsid w:val="00205ECD"/>
    <w:rsid w:val="002062AF"/>
    <w:rsid w:val="002065FF"/>
    <w:rsid w:val="002067AD"/>
    <w:rsid w:val="002067C8"/>
    <w:rsid w:val="00206808"/>
    <w:rsid w:val="00206A7A"/>
    <w:rsid w:val="00206AC3"/>
    <w:rsid w:val="0020710E"/>
    <w:rsid w:val="002071F3"/>
    <w:rsid w:val="002072BD"/>
    <w:rsid w:val="00207399"/>
    <w:rsid w:val="00207405"/>
    <w:rsid w:val="002074D1"/>
    <w:rsid w:val="00207742"/>
    <w:rsid w:val="0020791C"/>
    <w:rsid w:val="00207968"/>
    <w:rsid w:val="00207A36"/>
    <w:rsid w:val="00207E82"/>
    <w:rsid w:val="00210094"/>
    <w:rsid w:val="002100AE"/>
    <w:rsid w:val="00210232"/>
    <w:rsid w:val="00210391"/>
    <w:rsid w:val="0021055E"/>
    <w:rsid w:val="00210584"/>
    <w:rsid w:val="00210619"/>
    <w:rsid w:val="00210697"/>
    <w:rsid w:val="00210A9C"/>
    <w:rsid w:val="00210DF2"/>
    <w:rsid w:val="00210FB9"/>
    <w:rsid w:val="002116F5"/>
    <w:rsid w:val="00211C35"/>
    <w:rsid w:val="00211E06"/>
    <w:rsid w:val="00211FF9"/>
    <w:rsid w:val="00212002"/>
    <w:rsid w:val="0021231D"/>
    <w:rsid w:val="00212766"/>
    <w:rsid w:val="002127A0"/>
    <w:rsid w:val="00212B82"/>
    <w:rsid w:val="00212B9A"/>
    <w:rsid w:val="00212C4B"/>
    <w:rsid w:val="00212CA7"/>
    <w:rsid w:val="00212F9C"/>
    <w:rsid w:val="00213443"/>
    <w:rsid w:val="00213601"/>
    <w:rsid w:val="002136F5"/>
    <w:rsid w:val="00213A61"/>
    <w:rsid w:val="00213CE0"/>
    <w:rsid w:val="00213DA6"/>
    <w:rsid w:val="00214312"/>
    <w:rsid w:val="00214528"/>
    <w:rsid w:val="002145F6"/>
    <w:rsid w:val="00214AAB"/>
    <w:rsid w:val="00214BC4"/>
    <w:rsid w:val="00214F78"/>
    <w:rsid w:val="00214F9B"/>
    <w:rsid w:val="0021505F"/>
    <w:rsid w:val="002150C3"/>
    <w:rsid w:val="0021531F"/>
    <w:rsid w:val="00215B53"/>
    <w:rsid w:val="00215C1C"/>
    <w:rsid w:val="00215F26"/>
    <w:rsid w:val="00216170"/>
    <w:rsid w:val="00216206"/>
    <w:rsid w:val="00216394"/>
    <w:rsid w:val="0021662A"/>
    <w:rsid w:val="00216658"/>
    <w:rsid w:val="00217076"/>
    <w:rsid w:val="0021717B"/>
    <w:rsid w:val="00217540"/>
    <w:rsid w:val="00217646"/>
    <w:rsid w:val="0021785A"/>
    <w:rsid w:val="00217924"/>
    <w:rsid w:val="002179FB"/>
    <w:rsid w:val="00217A14"/>
    <w:rsid w:val="00217A5F"/>
    <w:rsid w:val="00217A68"/>
    <w:rsid w:val="00217C39"/>
    <w:rsid w:val="00217D24"/>
    <w:rsid w:val="00217DD6"/>
    <w:rsid w:val="00217E68"/>
    <w:rsid w:val="00217FDC"/>
    <w:rsid w:val="00220120"/>
    <w:rsid w:val="00220217"/>
    <w:rsid w:val="0022087C"/>
    <w:rsid w:val="002208B0"/>
    <w:rsid w:val="00220DC4"/>
    <w:rsid w:val="00220E1D"/>
    <w:rsid w:val="002218BC"/>
    <w:rsid w:val="0022197F"/>
    <w:rsid w:val="00222027"/>
    <w:rsid w:val="0022217C"/>
    <w:rsid w:val="0022246D"/>
    <w:rsid w:val="002224F8"/>
    <w:rsid w:val="002225A6"/>
    <w:rsid w:val="00222978"/>
    <w:rsid w:val="002229E9"/>
    <w:rsid w:val="00222A72"/>
    <w:rsid w:val="00222B85"/>
    <w:rsid w:val="00222DAA"/>
    <w:rsid w:val="00222F96"/>
    <w:rsid w:val="00223205"/>
    <w:rsid w:val="00223335"/>
    <w:rsid w:val="002233D9"/>
    <w:rsid w:val="00223436"/>
    <w:rsid w:val="002237CF"/>
    <w:rsid w:val="0022384E"/>
    <w:rsid w:val="00223858"/>
    <w:rsid w:val="00223ACE"/>
    <w:rsid w:val="00223B3F"/>
    <w:rsid w:val="00223CE1"/>
    <w:rsid w:val="00223F84"/>
    <w:rsid w:val="0022400C"/>
    <w:rsid w:val="00224148"/>
    <w:rsid w:val="00224156"/>
    <w:rsid w:val="0022429F"/>
    <w:rsid w:val="002243C8"/>
    <w:rsid w:val="002243FC"/>
    <w:rsid w:val="0022485C"/>
    <w:rsid w:val="00224CBE"/>
    <w:rsid w:val="00224D84"/>
    <w:rsid w:val="00224E4C"/>
    <w:rsid w:val="00225024"/>
    <w:rsid w:val="00225258"/>
    <w:rsid w:val="00225337"/>
    <w:rsid w:val="002255E4"/>
    <w:rsid w:val="002256A7"/>
    <w:rsid w:val="00225D8B"/>
    <w:rsid w:val="00225E4E"/>
    <w:rsid w:val="0022602E"/>
    <w:rsid w:val="002269BE"/>
    <w:rsid w:val="002269D3"/>
    <w:rsid w:val="00226A8F"/>
    <w:rsid w:val="00226B77"/>
    <w:rsid w:val="00226B8F"/>
    <w:rsid w:val="00226C16"/>
    <w:rsid w:val="00226C4F"/>
    <w:rsid w:val="002271CB"/>
    <w:rsid w:val="002276F8"/>
    <w:rsid w:val="00227EF2"/>
    <w:rsid w:val="0023002F"/>
    <w:rsid w:val="002301C9"/>
    <w:rsid w:val="00230525"/>
    <w:rsid w:val="002307CB"/>
    <w:rsid w:val="00230B70"/>
    <w:rsid w:val="00230C89"/>
    <w:rsid w:val="00230DD1"/>
    <w:rsid w:val="00230FA0"/>
    <w:rsid w:val="00231071"/>
    <w:rsid w:val="002311DD"/>
    <w:rsid w:val="00231214"/>
    <w:rsid w:val="00231C6C"/>
    <w:rsid w:val="00231D07"/>
    <w:rsid w:val="002323B3"/>
    <w:rsid w:val="002326AB"/>
    <w:rsid w:val="00232803"/>
    <w:rsid w:val="00232BB3"/>
    <w:rsid w:val="00232C65"/>
    <w:rsid w:val="00232CF2"/>
    <w:rsid w:val="00232DD3"/>
    <w:rsid w:val="00232E26"/>
    <w:rsid w:val="00233491"/>
    <w:rsid w:val="002336FD"/>
    <w:rsid w:val="002337A4"/>
    <w:rsid w:val="002344F0"/>
    <w:rsid w:val="00234523"/>
    <w:rsid w:val="00234834"/>
    <w:rsid w:val="00234B9D"/>
    <w:rsid w:val="00234C63"/>
    <w:rsid w:val="00234CCC"/>
    <w:rsid w:val="00235216"/>
    <w:rsid w:val="00235276"/>
    <w:rsid w:val="00235446"/>
    <w:rsid w:val="00235494"/>
    <w:rsid w:val="002354C0"/>
    <w:rsid w:val="00235617"/>
    <w:rsid w:val="00235A37"/>
    <w:rsid w:val="00235AAD"/>
    <w:rsid w:val="00235D18"/>
    <w:rsid w:val="0023616E"/>
    <w:rsid w:val="00236321"/>
    <w:rsid w:val="00236797"/>
    <w:rsid w:val="002369C1"/>
    <w:rsid w:val="00236FC4"/>
    <w:rsid w:val="00237005"/>
    <w:rsid w:val="002370AA"/>
    <w:rsid w:val="002371A8"/>
    <w:rsid w:val="002371E1"/>
    <w:rsid w:val="002373E5"/>
    <w:rsid w:val="0023751F"/>
    <w:rsid w:val="00237699"/>
    <w:rsid w:val="00237B43"/>
    <w:rsid w:val="00237CB3"/>
    <w:rsid w:val="00237F7D"/>
    <w:rsid w:val="002400E7"/>
    <w:rsid w:val="002401AE"/>
    <w:rsid w:val="002401FD"/>
    <w:rsid w:val="002402E1"/>
    <w:rsid w:val="00240477"/>
    <w:rsid w:val="0024051D"/>
    <w:rsid w:val="00240BE5"/>
    <w:rsid w:val="00240C88"/>
    <w:rsid w:val="00240FC9"/>
    <w:rsid w:val="002412A2"/>
    <w:rsid w:val="002413BA"/>
    <w:rsid w:val="002414D7"/>
    <w:rsid w:val="002415C0"/>
    <w:rsid w:val="002415FC"/>
    <w:rsid w:val="002418A7"/>
    <w:rsid w:val="00241939"/>
    <w:rsid w:val="00241A5F"/>
    <w:rsid w:val="00241E2E"/>
    <w:rsid w:val="00241FE8"/>
    <w:rsid w:val="00242010"/>
    <w:rsid w:val="002420B2"/>
    <w:rsid w:val="002421B7"/>
    <w:rsid w:val="002423D5"/>
    <w:rsid w:val="002424EA"/>
    <w:rsid w:val="00242822"/>
    <w:rsid w:val="00242961"/>
    <w:rsid w:val="002429C7"/>
    <w:rsid w:val="00242AC2"/>
    <w:rsid w:val="00242AFF"/>
    <w:rsid w:val="00242C15"/>
    <w:rsid w:val="00242D1F"/>
    <w:rsid w:val="00242D73"/>
    <w:rsid w:val="00242D9B"/>
    <w:rsid w:val="00243042"/>
    <w:rsid w:val="002430C1"/>
    <w:rsid w:val="0024343B"/>
    <w:rsid w:val="002436F7"/>
    <w:rsid w:val="00243A2A"/>
    <w:rsid w:val="00243A6C"/>
    <w:rsid w:val="00243A76"/>
    <w:rsid w:val="00243CB5"/>
    <w:rsid w:val="00243FB1"/>
    <w:rsid w:val="00244136"/>
    <w:rsid w:val="00244154"/>
    <w:rsid w:val="00244224"/>
    <w:rsid w:val="002442D8"/>
    <w:rsid w:val="002444B6"/>
    <w:rsid w:val="00244C7B"/>
    <w:rsid w:val="00245756"/>
    <w:rsid w:val="002458B7"/>
    <w:rsid w:val="00245B89"/>
    <w:rsid w:val="00245C6E"/>
    <w:rsid w:val="002461B1"/>
    <w:rsid w:val="002461C8"/>
    <w:rsid w:val="002465BA"/>
    <w:rsid w:val="00246757"/>
    <w:rsid w:val="00246C53"/>
    <w:rsid w:val="00246CC6"/>
    <w:rsid w:val="0024743A"/>
    <w:rsid w:val="00247668"/>
    <w:rsid w:val="002478A0"/>
    <w:rsid w:val="00247A1A"/>
    <w:rsid w:val="00247C18"/>
    <w:rsid w:val="00247E48"/>
    <w:rsid w:val="00247EE3"/>
    <w:rsid w:val="00247EE4"/>
    <w:rsid w:val="002500AD"/>
    <w:rsid w:val="0025014F"/>
    <w:rsid w:val="00250195"/>
    <w:rsid w:val="00250580"/>
    <w:rsid w:val="00250651"/>
    <w:rsid w:val="00250922"/>
    <w:rsid w:val="00250EEE"/>
    <w:rsid w:val="00250FB6"/>
    <w:rsid w:val="0025130B"/>
    <w:rsid w:val="0025150D"/>
    <w:rsid w:val="0025193E"/>
    <w:rsid w:val="00251B79"/>
    <w:rsid w:val="00252024"/>
    <w:rsid w:val="00252058"/>
    <w:rsid w:val="00252074"/>
    <w:rsid w:val="00252093"/>
    <w:rsid w:val="00252174"/>
    <w:rsid w:val="0025251B"/>
    <w:rsid w:val="00252CCC"/>
    <w:rsid w:val="0025303A"/>
    <w:rsid w:val="00253179"/>
    <w:rsid w:val="0025334C"/>
    <w:rsid w:val="002533F1"/>
    <w:rsid w:val="00253B0F"/>
    <w:rsid w:val="00253B86"/>
    <w:rsid w:val="00253E0F"/>
    <w:rsid w:val="00254199"/>
    <w:rsid w:val="00254372"/>
    <w:rsid w:val="00254410"/>
    <w:rsid w:val="00254540"/>
    <w:rsid w:val="002546C2"/>
    <w:rsid w:val="00254767"/>
    <w:rsid w:val="00254A40"/>
    <w:rsid w:val="00254A88"/>
    <w:rsid w:val="00255095"/>
    <w:rsid w:val="002552C6"/>
    <w:rsid w:val="00255325"/>
    <w:rsid w:val="002556C5"/>
    <w:rsid w:val="00255962"/>
    <w:rsid w:val="00255AB3"/>
    <w:rsid w:val="00256EB3"/>
    <w:rsid w:val="00257359"/>
    <w:rsid w:val="00257543"/>
    <w:rsid w:val="002578EF"/>
    <w:rsid w:val="00257BC5"/>
    <w:rsid w:val="00257D50"/>
    <w:rsid w:val="00257DE3"/>
    <w:rsid w:val="00257F1D"/>
    <w:rsid w:val="002600EF"/>
    <w:rsid w:val="0026010C"/>
    <w:rsid w:val="00260334"/>
    <w:rsid w:val="002603BF"/>
    <w:rsid w:val="00260768"/>
    <w:rsid w:val="0026126E"/>
    <w:rsid w:val="0026131E"/>
    <w:rsid w:val="002616EB"/>
    <w:rsid w:val="00261766"/>
    <w:rsid w:val="00261872"/>
    <w:rsid w:val="00261A67"/>
    <w:rsid w:val="00261A92"/>
    <w:rsid w:val="00261C6F"/>
    <w:rsid w:val="00261D16"/>
    <w:rsid w:val="00261D23"/>
    <w:rsid w:val="00261DAB"/>
    <w:rsid w:val="00262078"/>
    <w:rsid w:val="00262501"/>
    <w:rsid w:val="00262512"/>
    <w:rsid w:val="0026295F"/>
    <w:rsid w:val="00262978"/>
    <w:rsid w:val="00262A27"/>
    <w:rsid w:val="00262A5C"/>
    <w:rsid w:val="00262DB8"/>
    <w:rsid w:val="00262E0B"/>
    <w:rsid w:val="00262F50"/>
    <w:rsid w:val="00262F96"/>
    <w:rsid w:val="00263357"/>
    <w:rsid w:val="002634BF"/>
    <w:rsid w:val="00263AF4"/>
    <w:rsid w:val="00263B89"/>
    <w:rsid w:val="00263BFE"/>
    <w:rsid w:val="00263CD4"/>
    <w:rsid w:val="00263D0C"/>
    <w:rsid w:val="00263E20"/>
    <w:rsid w:val="00263EEC"/>
    <w:rsid w:val="0026418B"/>
    <w:rsid w:val="00264554"/>
    <w:rsid w:val="002648DE"/>
    <w:rsid w:val="00264AB1"/>
    <w:rsid w:val="00264ADD"/>
    <w:rsid w:val="00264B42"/>
    <w:rsid w:val="00264F89"/>
    <w:rsid w:val="00265101"/>
    <w:rsid w:val="002658CB"/>
    <w:rsid w:val="00265D82"/>
    <w:rsid w:val="00265DDD"/>
    <w:rsid w:val="00266368"/>
    <w:rsid w:val="002665A2"/>
    <w:rsid w:val="00266CB2"/>
    <w:rsid w:val="00266F0C"/>
    <w:rsid w:val="00266F0E"/>
    <w:rsid w:val="00267551"/>
    <w:rsid w:val="00267A65"/>
    <w:rsid w:val="00267CE0"/>
    <w:rsid w:val="00267ED9"/>
    <w:rsid w:val="0027014F"/>
    <w:rsid w:val="00270224"/>
    <w:rsid w:val="0027024A"/>
    <w:rsid w:val="0027028D"/>
    <w:rsid w:val="0027039F"/>
    <w:rsid w:val="00270427"/>
    <w:rsid w:val="00270574"/>
    <w:rsid w:val="00270576"/>
    <w:rsid w:val="00270856"/>
    <w:rsid w:val="00270863"/>
    <w:rsid w:val="00270B5B"/>
    <w:rsid w:val="00270F0B"/>
    <w:rsid w:val="002715C9"/>
    <w:rsid w:val="002717AC"/>
    <w:rsid w:val="00271ADD"/>
    <w:rsid w:val="00271B76"/>
    <w:rsid w:val="00271FAE"/>
    <w:rsid w:val="00271FF3"/>
    <w:rsid w:val="00272028"/>
    <w:rsid w:val="00272265"/>
    <w:rsid w:val="00272318"/>
    <w:rsid w:val="0027232E"/>
    <w:rsid w:val="0027244E"/>
    <w:rsid w:val="002727FB"/>
    <w:rsid w:val="00272958"/>
    <w:rsid w:val="00272B57"/>
    <w:rsid w:val="002730AA"/>
    <w:rsid w:val="002730DA"/>
    <w:rsid w:val="00273375"/>
    <w:rsid w:val="002738E3"/>
    <w:rsid w:val="00273A99"/>
    <w:rsid w:val="00273B8D"/>
    <w:rsid w:val="00273C63"/>
    <w:rsid w:val="0027402A"/>
    <w:rsid w:val="0027406D"/>
    <w:rsid w:val="002743B9"/>
    <w:rsid w:val="00274A77"/>
    <w:rsid w:val="00274AB5"/>
    <w:rsid w:val="00274D08"/>
    <w:rsid w:val="00274DC3"/>
    <w:rsid w:val="00274E9A"/>
    <w:rsid w:val="0027515F"/>
    <w:rsid w:val="00275545"/>
    <w:rsid w:val="00275577"/>
    <w:rsid w:val="00275718"/>
    <w:rsid w:val="002758D4"/>
    <w:rsid w:val="00275BEB"/>
    <w:rsid w:val="00275D97"/>
    <w:rsid w:val="00276535"/>
    <w:rsid w:val="0027665E"/>
    <w:rsid w:val="0027670F"/>
    <w:rsid w:val="00276A46"/>
    <w:rsid w:val="00276EA5"/>
    <w:rsid w:val="00276F71"/>
    <w:rsid w:val="002770E6"/>
    <w:rsid w:val="0027739D"/>
    <w:rsid w:val="00277666"/>
    <w:rsid w:val="00277870"/>
    <w:rsid w:val="00280069"/>
    <w:rsid w:val="00280AAF"/>
    <w:rsid w:val="0028110E"/>
    <w:rsid w:val="002812C3"/>
    <w:rsid w:val="0028130D"/>
    <w:rsid w:val="0028140A"/>
    <w:rsid w:val="00281562"/>
    <w:rsid w:val="00281848"/>
    <w:rsid w:val="00281AF0"/>
    <w:rsid w:val="00281F09"/>
    <w:rsid w:val="002821C6"/>
    <w:rsid w:val="0028223C"/>
    <w:rsid w:val="00282294"/>
    <w:rsid w:val="0028230E"/>
    <w:rsid w:val="00282387"/>
    <w:rsid w:val="002823DE"/>
    <w:rsid w:val="002825BA"/>
    <w:rsid w:val="00282BD5"/>
    <w:rsid w:val="00282C32"/>
    <w:rsid w:val="00283024"/>
    <w:rsid w:val="00283028"/>
    <w:rsid w:val="0028324C"/>
    <w:rsid w:val="00283258"/>
    <w:rsid w:val="002834ED"/>
    <w:rsid w:val="00283ADB"/>
    <w:rsid w:val="00283D20"/>
    <w:rsid w:val="00283E02"/>
    <w:rsid w:val="00284168"/>
    <w:rsid w:val="00284FDD"/>
    <w:rsid w:val="002851B3"/>
    <w:rsid w:val="00285217"/>
    <w:rsid w:val="00285456"/>
    <w:rsid w:val="0028557E"/>
    <w:rsid w:val="002855E0"/>
    <w:rsid w:val="002858A0"/>
    <w:rsid w:val="00285CAD"/>
    <w:rsid w:val="00286127"/>
    <w:rsid w:val="0028652C"/>
    <w:rsid w:val="002869F6"/>
    <w:rsid w:val="00286EB1"/>
    <w:rsid w:val="0028714A"/>
    <w:rsid w:val="002878F0"/>
    <w:rsid w:val="00287938"/>
    <w:rsid w:val="00287965"/>
    <w:rsid w:val="00287B17"/>
    <w:rsid w:val="00287BE2"/>
    <w:rsid w:val="00287DC6"/>
    <w:rsid w:val="0029070A"/>
    <w:rsid w:val="00290A26"/>
    <w:rsid w:val="00290C50"/>
    <w:rsid w:val="00290CDE"/>
    <w:rsid w:val="00290D79"/>
    <w:rsid w:val="00290E70"/>
    <w:rsid w:val="00291396"/>
    <w:rsid w:val="00291762"/>
    <w:rsid w:val="00291B06"/>
    <w:rsid w:val="00291C07"/>
    <w:rsid w:val="00291C24"/>
    <w:rsid w:val="00291CE0"/>
    <w:rsid w:val="00291EA4"/>
    <w:rsid w:val="00291F9C"/>
    <w:rsid w:val="002920EC"/>
    <w:rsid w:val="0029213A"/>
    <w:rsid w:val="0029221B"/>
    <w:rsid w:val="00292268"/>
    <w:rsid w:val="00292BBA"/>
    <w:rsid w:val="0029305C"/>
    <w:rsid w:val="00293514"/>
    <w:rsid w:val="002935D5"/>
    <w:rsid w:val="00293741"/>
    <w:rsid w:val="0029388C"/>
    <w:rsid w:val="002939B0"/>
    <w:rsid w:val="00293BF6"/>
    <w:rsid w:val="00293E4E"/>
    <w:rsid w:val="00293F78"/>
    <w:rsid w:val="00294104"/>
    <w:rsid w:val="002947FA"/>
    <w:rsid w:val="00294BB7"/>
    <w:rsid w:val="00294BB8"/>
    <w:rsid w:val="00294CAC"/>
    <w:rsid w:val="00294DCF"/>
    <w:rsid w:val="00294EA5"/>
    <w:rsid w:val="00294F30"/>
    <w:rsid w:val="002950BD"/>
    <w:rsid w:val="002951C9"/>
    <w:rsid w:val="0029544A"/>
    <w:rsid w:val="002954F9"/>
    <w:rsid w:val="002955CC"/>
    <w:rsid w:val="00295647"/>
    <w:rsid w:val="002957B5"/>
    <w:rsid w:val="00295876"/>
    <w:rsid w:val="00295922"/>
    <w:rsid w:val="00295A04"/>
    <w:rsid w:val="00295DB7"/>
    <w:rsid w:val="00295E08"/>
    <w:rsid w:val="002960C0"/>
    <w:rsid w:val="002961E1"/>
    <w:rsid w:val="00296387"/>
    <w:rsid w:val="00296477"/>
    <w:rsid w:val="002967EE"/>
    <w:rsid w:val="00296848"/>
    <w:rsid w:val="00296DAF"/>
    <w:rsid w:val="0029755A"/>
    <w:rsid w:val="0029758C"/>
    <w:rsid w:val="00297671"/>
    <w:rsid w:val="0029778E"/>
    <w:rsid w:val="002A0182"/>
    <w:rsid w:val="002A01AF"/>
    <w:rsid w:val="002A01B9"/>
    <w:rsid w:val="002A063F"/>
    <w:rsid w:val="002A0AA2"/>
    <w:rsid w:val="002A0C76"/>
    <w:rsid w:val="002A0D87"/>
    <w:rsid w:val="002A0E60"/>
    <w:rsid w:val="002A0E9D"/>
    <w:rsid w:val="002A1174"/>
    <w:rsid w:val="002A1278"/>
    <w:rsid w:val="002A12DC"/>
    <w:rsid w:val="002A16BB"/>
    <w:rsid w:val="002A189B"/>
    <w:rsid w:val="002A1B51"/>
    <w:rsid w:val="002A1CED"/>
    <w:rsid w:val="002A221E"/>
    <w:rsid w:val="002A233E"/>
    <w:rsid w:val="002A24DD"/>
    <w:rsid w:val="002A27D0"/>
    <w:rsid w:val="002A2A6C"/>
    <w:rsid w:val="002A2DAE"/>
    <w:rsid w:val="002A2E02"/>
    <w:rsid w:val="002A2F5D"/>
    <w:rsid w:val="002A3126"/>
    <w:rsid w:val="002A33B3"/>
    <w:rsid w:val="002A388E"/>
    <w:rsid w:val="002A38F6"/>
    <w:rsid w:val="002A3A72"/>
    <w:rsid w:val="002A3B18"/>
    <w:rsid w:val="002A3EF5"/>
    <w:rsid w:val="002A3FD5"/>
    <w:rsid w:val="002A44C4"/>
    <w:rsid w:val="002A4534"/>
    <w:rsid w:val="002A45F6"/>
    <w:rsid w:val="002A485C"/>
    <w:rsid w:val="002A4A7F"/>
    <w:rsid w:val="002A4CF5"/>
    <w:rsid w:val="002A5015"/>
    <w:rsid w:val="002A517B"/>
    <w:rsid w:val="002A57EE"/>
    <w:rsid w:val="002A59C2"/>
    <w:rsid w:val="002A5A4F"/>
    <w:rsid w:val="002A5C5D"/>
    <w:rsid w:val="002A5C6D"/>
    <w:rsid w:val="002A5C7F"/>
    <w:rsid w:val="002A5D39"/>
    <w:rsid w:val="002A5E88"/>
    <w:rsid w:val="002A5EE0"/>
    <w:rsid w:val="002A5FE0"/>
    <w:rsid w:val="002A63B2"/>
    <w:rsid w:val="002A63DE"/>
    <w:rsid w:val="002A65FE"/>
    <w:rsid w:val="002A6817"/>
    <w:rsid w:val="002A682D"/>
    <w:rsid w:val="002A6A37"/>
    <w:rsid w:val="002A6C6B"/>
    <w:rsid w:val="002A6F3B"/>
    <w:rsid w:val="002A7082"/>
    <w:rsid w:val="002A7804"/>
    <w:rsid w:val="002A7973"/>
    <w:rsid w:val="002A7BE2"/>
    <w:rsid w:val="002A7E8E"/>
    <w:rsid w:val="002B00F9"/>
    <w:rsid w:val="002B052D"/>
    <w:rsid w:val="002B0A8F"/>
    <w:rsid w:val="002B0D36"/>
    <w:rsid w:val="002B0FCA"/>
    <w:rsid w:val="002B1106"/>
    <w:rsid w:val="002B1243"/>
    <w:rsid w:val="002B12FA"/>
    <w:rsid w:val="002B1314"/>
    <w:rsid w:val="002B131B"/>
    <w:rsid w:val="002B1406"/>
    <w:rsid w:val="002B15E3"/>
    <w:rsid w:val="002B183E"/>
    <w:rsid w:val="002B1BCF"/>
    <w:rsid w:val="002B1CDB"/>
    <w:rsid w:val="002B25AA"/>
    <w:rsid w:val="002B2BCC"/>
    <w:rsid w:val="002B2C08"/>
    <w:rsid w:val="002B2F20"/>
    <w:rsid w:val="002B3181"/>
    <w:rsid w:val="002B37DC"/>
    <w:rsid w:val="002B398C"/>
    <w:rsid w:val="002B3D13"/>
    <w:rsid w:val="002B3F0F"/>
    <w:rsid w:val="002B3F30"/>
    <w:rsid w:val="002B3FE6"/>
    <w:rsid w:val="002B43FF"/>
    <w:rsid w:val="002B4421"/>
    <w:rsid w:val="002B48CC"/>
    <w:rsid w:val="002B496F"/>
    <w:rsid w:val="002B4A0A"/>
    <w:rsid w:val="002B4A5B"/>
    <w:rsid w:val="002B4AA4"/>
    <w:rsid w:val="002B4B42"/>
    <w:rsid w:val="002B4EA4"/>
    <w:rsid w:val="002B4F20"/>
    <w:rsid w:val="002B4F51"/>
    <w:rsid w:val="002B509A"/>
    <w:rsid w:val="002B549E"/>
    <w:rsid w:val="002B54C4"/>
    <w:rsid w:val="002B5A45"/>
    <w:rsid w:val="002B5A69"/>
    <w:rsid w:val="002B5D09"/>
    <w:rsid w:val="002B5D74"/>
    <w:rsid w:val="002B5E0A"/>
    <w:rsid w:val="002B62C9"/>
    <w:rsid w:val="002B6334"/>
    <w:rsid w:val="002B648B"/>
    <w:rsid w:val="002B65C6"/>
    <w:rsid w:val="002B69AD"/>
    <w:rsid w:val="002B6A7B"/>
    <w:rsid w:val="002B6B69"/>
    <w:rsid w:val="002B7213"/>
    <w:rsid w:val="002B7399"/>
    <w:rsid w:val="002B7468"/>
    <w:rsid w:val="002B75A8"/>
    <w:rsid w:val="002B75B2"/>
    <w:rsid w:val="002B782B"/>
    <w:rsid w:val="002B79D3"/>
    <w:rsid w:val="002B7A82"/>
    <w:rsid w:val="002B7B96"/>
    <w:rsid w:val="002C007A"/>
    <w:rsid w:val="002C0300"/>
    <w:rsid w:val="002C1152"/>
    <w:rsid w:val="002C17BD"/>
    <w:rsid w:val="002C1F66"/>
    <w:rsid w:val="002C1F69"/>
    <w:rsid w:val="002C291E"/>
    <w:rsid w:val="002C3585"/>
    <w:rsid w:val="002C35BB"/>
    <w:rsid w:val="002C36AB"/>
    <w:rsid w:val="002C3827"/>
    <w:rsid w:val="002C38C6"/>
    <w:rsid w:val="002C3DDD"/>
    <w:rsid w:val="002C3F22"/>
    <w:rsid w:val="002C41E6"/>
    <w:rsid w:val="002C4378"/>
    <w:rsid w:val="002C4612"/>
    <w:rsid w:val="002C4647"/>
    <w:rsid w:val="002C4C7B"/>
    <w:rsid w:val="002C4FC8"/>
    <w:rsid w:val="002C539C"/>
    <w:rsid w:val="002C5D1A"/>
    <w:rsid w:val="002C5D2A"/>
    <w:rsid w:val="002C5DF2"/>
    <w:rsid w:val="002C6324"/>
    <w:rsid w:val="002C63F8"/>
    <w:rsid w:val="002C699C"/>
    <w:rsid w:val="002C6C09"/>
    <w:rsid w:val="002C74FF"/>
    <w:rsid w:val="002C7DB5"/>
    <w:rsid w:val="002D0081"/>
    <w:rsid w:val="002D00A5"/>
    <w:rsid w:val="002D02CE"/>
    <w:rsid w:val="002D03FB"/>
    <w:rsid w:val="002D049F"/>
    <w:rsid w:val="002D0771"/>
    <w:rsid w:val="002D07F5"/>
    <w:rsid w:val="002D0895"/>
    <w:rsid w:val="002D0D5B"/>
    <w:rsid w:val="002D105C"/>
    <w:rsid w:val="002D107D"/>
    <w:rsid w:val="002D1E6E"/>
    <w:rsid w:val="002D1F70"/>
    <w:rsid w:val="002D26D1"/>
    <w:rsid w:val="002D26F5"/>
    <w:rsid w:val="002D3E96"/>
    <w:rsid w:val="002D3F30"/>
    <w:rsid w:val="002D409C"/>
    <w:rsid w:val="002D451F"/>
    <w:rsid w:val="002D453B"/>
    <w:rsid w:val="002D4B4A"/>
    <w:rsid w:val="002D4C80"/>
    <w:rsid w:val="002D4D2A"/>
    <w:rsid w:val="002D4D81"/>
    <w:rsid w:val="002D5663"/>
    <w:rsid w:val="002D577D"/>
    <w:rsid w:val="002D5F62"/>
    <w:rsid w:val="002D6481"/>
    <w:rsid w:val="002D66FF"/>
    <w:rsid w:val="002D6ADB"/>
    <w:rsid w:val="002D6CDF"/>
    <w:rsid w:val="002D6EAC"/>
    <w:rsid w:val="002D6EC5"/>
    <w:rsid w:val="002D7031"/>
    <w:rsid w:val="002D70BD"/>
    <w:rsid w:val="002D72FA"/>
    <w:rsid w:val="002D7771"/>
    <w:rsid w:val="002D7875"/>
    <w:rsid w:val="002D7971"/>
    <w:rsid w:val="002D7A39"/>
    <w:rsid w:val="002D7BC7"/>
    <w:rsid w:val="002E008D"/>
    <w:rsid w:val="002E01C3"/>
    <w:rsid w:val="002E0223"/>
    <w:rsid w:val="002E0893"/>
    <w:rsid w:val="002E0FDC"/>
    <w:rsid w:val="002E1131"/>
    <w:rsid w:val="002E1703"/>
    <w:rsid w:val="002E182F"/>
    <w:rsid w:val="002E1A65"/>
    <w:rsid w:val="002E1EE1"/>
    <w:rsid w:val="002E1EFF"/>
    <w:rsid w:val="002E2165"/>
    <w:rsid w:val="002E24C1"/>
    <w:rsid w:val="002E288D"/>
    <w:rsid w:val="002E2FAF"/>
    <w:rsid w:val="002E3457"/>
    <w:rsid w:val="002E3856"/>
    <w:rsid w:val="002E39F8"/>
    <w:rsid w:val="002E3E90"/>
    <w:rsid w:val="002E3F9D"/>
    <w:rsid w:val="002E4155"/>
    <w:rsid w:val="002E4357"/>
    <w:rsid w:val="002E4671"/>
    <w:rsid w:val="002E470D"/>
    <w:rsid w:val="002E4B5D"/>
    <w:rsid w:val="002E4D98"/>
    <w:rsid w:val="002E4E86"/>
    <w:rsid w:val="002E4F76"/>
    <w:rsid w:val="002E4FA4"/>
    <w:rsid w:val="002E5001"/>
    <w:rsid w:val="002E55CE"/>
    <w:rsid w:val="002E598B"/>
    <w:rsid w:val="002E5D3A"/>
    <w:rsid w:val="002E6858"/>
    <w:rsid w:val="002E6DFC"/>
    <w:rsid w:val="002E71AE"/>
    <w:rsid w:val="002E71D7"/>
    <w:rsid w:val="002E79EC"/>
    <w:rsid w:val="002F0097"/>
    <w:rsid w:val="002F059C"/>
    <w:rsid w:val="002F06B0"/>
    <w:rsid w:val="002F0A3A"/>
    <w:rsid w:val="002F0B84"/>
    <w:rsid w:val="002F0E87"/>
    <w:rsid w:val="002F0F3C"/>
    <w:rsid w:val="002F116C"/>
    <w:rsid w:val="002F12E3"/>
    <w:rsid w:val="002F15B1"/>
    <w:rsid w:val="002F16B8"/>
    <w:rsid w:val="002F17D3"/>
    <w:rsid w:val="002F198A"/>
    <w:rsid w:val="002F19F6"/>
    <w:rsid w:val="002F1B60"/>
    <w:rsid w:val="002F1CE4"/>
    <w:rsid w:val="002F284B"/>
    <w:rsid w:val="002F2877"/>
    <w:rsid w:val="002F28EF"/>
    <w:rsid w:val="002F2CBC"/>
    <w:rsid w:val="002F37BA"/>
    <w:rsid w:val="002F3943"/>
    <w:rsid w:val="002F3E07"/>
    <w:rsid w:val="002F404A"/>
    <w:rsid w:val="002F483F"/>
    <w:rsid w:val="002F4950"/>
    <w:rsid w:val="002F516A"/>
    <w:rsid w:val="002F5346"/>
    <w:rsid w:val="002F56BA"/>
    <w:rsid w:val="002F594D"/>
    <w:rsid w:val="002F5ACF"/>
    <w:rsid w:val="002F5EBA"/>
    <w:rsid w:val="002F5EDD"/>
    <w:rsid w:val="002F6040"/>
    <w:rsid w:val="002F604E"/>
    <w:rsid w:val="002F6299"/>
    <w:rsid w:val="002F666D"/>
    <w:rsid w:val="002F6730"/>
    <w:rsid w:val="002F6839"/>
    <w:rsid w:val="002F6CE0"/>
    <w:rsid w:val="002F6E41"/>
    <w:rsid w:val="002F6EDF"/>
    <w:rsid w:val="002F7423"/>
    <w:rsid w:val="002F77CE"/>
    <w:rsid w:val="002F7894"/>
    <w:rsid w:val="002F7A69"/>
    <w:rsid w:val="002F7F4F"/>
    <w:rsid w:val="0030017C"/>
    <w:rsid w:val="003001BF"/>
    <w:rsid w:val="0030027B"/>
    <w:rsid w:val="00300342"/>
    <w:rsid w:val="00300885"/>
    <w:rsid w:val="003009E6"/>
    <w:rsid w:val="0030110C"/>
    <w:rsid w:val="00301134"/>
    <w:rsid w:val="00301149"/>
    <w:rsid w:val="003012DB"/>
    <w:rsid w:val="00301986"/>
    <w:rsid w:val="00301A97"/>
    <w:rsid w:val="00301BE5"/>
    <w:rsid w:val="003022AE"/>
    <w:rsid w:val="003025E4"/>
    <w:rsid w:val="00302955"/>
    <w:rsid w:val="003029EE"/>
    <w:rsid w:val="00302B73"/>
    <w:rsid w:val="00302BD0"/>
    <w:rsid w:val="00302F9E"/>
    <w:rsid w:val="0030332C"/>
    <w:rsid w:val="00303463"/>
    <w:rsid w:val="00303877"/>
    <w:rsid w:val="00303907"/>
    <w:rsid w:val="00303BCD"/>
    <w:rsid w:val="003040AD"/>
    <w:rsid w:val="003044B0"/>
    <w:rsid w:val="0030490B"/>
    <w:rsid w:val="00304B59"/>
    <w:rsid w:val="00304DC6"/>
    <w:rsid w:val="00304FE5"/>
    <w:rsid w:val="003059A5"/>
    <w:rsid w:val="00305A20"/>
    <w:rsid w:val="00305F30"/>
    <w:rsid w:val="0030610D"/>
    <w:rsid w:val="00306377"/>
    <w:rsid w:val="0030649A"/>
    <w:rsid w:val="0030670B"/>
    <w:rsid w:val="0030678A"/>
    <w:rsid w:val="00306BE4"/>
    <w:rsid w:val="00306E0B"/>
    <w:rsid w:val="00306EAF"/>
    <w:rsid w:val="00306FC2"/>
    <w:rsid w:val="003070CD"/>
    <w:rsid w:val="003070DD"/>
    <w:rsid w:val="00307709"/>
    <w:rsid w:val="00307AA2"/>
    <w:rsid w:val="00310241"/>
    <w:rsid w:val="003106B5"/>
    <w:rsid w:val="003107F6"/>
    <w:rsid w:val="003108BD"/>
    <w:rsid w:val="00310B2B"/>
    <w:rsid w:val="00310D63"/>
    <w:rsid w:val="00310D6A"/>
    <w:rsid w:val="00310EB0"/>
    <w:rsid w:val="00311464"/>
    <w:rsid w:val="00311715"/>
    <w:rsid w:val="00312C5D"/>
    <w:rsid w:val="00312F38"/>
    <w:rsid w:val="00313655"/>
    <w:rsid w:val="00314011"/>
    <w:rsid w:val="0031424E"/>
    <w:rsid w:val="00314295"/>
    <w:rsid w:val="003142B8"/>
    <w:rsid w:val="003151A9"/>
    <w:rsid w:val="0031566E"/>
    <w:rsid w:val="003158CE"/>
    <w:rsid w:val="00315978"/>
    <w:rsid w:val="0031603E"/>
    <w:rsid w:val="00316AC7"/>
    <w:rsid w:val="00316B5A"/>
    <w:rsid w:val="00316BAD"/>
    <w:rsid w:val="00316F76"/>
    <w:rsid w:val="0031709C"/>
    <w:rsid w:val="0031718A"/>
    <w:rsid w:val="003172D0"/>
    <w:rsid w:val="003172E8"/>
    <w:rsid w:val="003173A8"/>
    <w:rsid w:val="00317476"/>
    <w:rsid w:val="003174FD"/>
    <w:rsid w:val="0031764A"/>
    <w:rsid w:val="00317D68"/>
    <w:rsid w:val="003200F7"/>
    <w:rsid w:val="0032023C"/>
    <w:rsid w:val="003204A6"/>
    <w:rsid w:val="003207AB"/>
    <w:rsid w:val="00321173"/>
    <w:rsid w:val="00321534"/>
    <w:rsid w:val="00321845"/>
    <w:rsid w:val="00321AC0"/>
    <w:rsid w:val="00321D39"/>
    <w:rsid w:val="00321DBE"/>
    <w:rsid w:val="00322033"/>
    <w:rsid w:val="003220FE"/>
    <w:rsid w:val="003223DE"/>
    <w:rsid w:val="003223E0"/>
    <w:rsid w:val="003223F5"/>
    <w:rsid w:val="00322546"/>
    <w:rsid w:val="00322705"/>
    <w:rsid w:val="0032282C"/>
    <w:rsid w:val="00322894"/>
    <w:rsid w:val="003229FF"/>
    <w:rsid w:val="003231A4"/>
    <w:rsid w:val="003232D9"/>
    <w:rsid w:val="0032371B"/>
    <w:rsid w:val="00323816"/>
    <w:rsid w:val="00323D59"/>
    <w:rsid w:val="00323F79"/>
    <w:rsid w:val="003241A0"/>
    <w:rsid w:val="003243E1"/>
    <w:rsid w:val="00324563"/>
    <w:rsid w:val="00324CD2"/>
    <w:rsid w:val="00324D7A"/>
    <w:rsid w:val="00324F8D"/>
    <w:rsid w:val="00325085"/>
    <w:rsid w:val="00325475"/>
    <w:rsid w:val="00325476"/>
    <w:rsid w:val="0032566F"/>
    <w:rsid w:val="0032590D"/>
    <w:rsid w:val="00325C5E"/>
    <w:rsid w:val="00325C99"/>
    <w:rsid w:val="00325E6E"/>
    <w:rsid w:val="00325E9F"/>
    <w:rsid w:val="0032617D"/>
    <w:rsid w:val="00326299"/>
    <w:rsid w:val="0032646A"/>
    <w:rsid w:val="00326638"/>
    <w:rsid w:val="003268D2"/>
    <w:rsid w:val="00326CBA"/>
    <w:rsid w:val="00327233"/>
    <w:rsid w:val="00327326"/>
    <w:rsid w:val="003274E1"/>
    <w:rsid w:val="00327717"/>
    <w:rsid w:val="00327966"/>
    <w:rsid w:val="00327D63"/>
    <w:rsid w:val="00330065"/>
    <w:rsid w:val="0033022D"/>
    <w:rsid w:val="00330501"/>
    <w:rsid w:val="00330B86"/>
    <w:rsid w:val="003310ED"/>
    <w:rsid w:val="0033139E"/>
    <w:rsid w:val="003313B6"/>
    <w:rsid w:val="00331408"/>
    <w:rsid w:val="00331545"/>
    <w:rsid w:val="003319F1"/>
    <w:rsid w:val="00331CC5"/>
    <w:rsid w:val="00332310"/>
    <w:rsid w:val="00332376"/>
    <w:rsid w:val="00332706"/>
    <w:rsid w:val="00332AB7"/>
    <w:rsid w:val="00332B60"/>
    <w:rsid w:val="00332D75"/>
    <w:rsid w:val="00332E20"/>
    <w:rsid w:val="00332EBF"/>
    <w:rsid w:val="00333275"/>
    <w:rsid w:val="003333E7"/>
    <w:rsid w:val="003334AA"/>
    <w:rsid w:val="00333E7F"/>
    <w:rsid w:val="0033416C"/>
    <w:rsid w:val="00334392"/>
    <w:rsid w:val="00334854"/>
    <w:rsid w:val="00334A42"/>
    <w:rsid w:val="00334D1D"/>
    <w:rsid w:val="00334DEC"/>
    <w:rsid w:val="00334FDD"/>
    <w:rsid w:val="00335862"/>
    <w:rsid w:val="00335F23"/>
    <w:rsid w:val="0033602D"/>
    <w:rsid w:val="003360A0"/>
    <w:rsid w:val="0033611C"/>
    <w:rsid w:val="0033620A"/>
    <w:rsid w:val="00336230"/>
    <w:rsid w:val="003363BB"/>
    <w:rsid w:val="00336536"/>
    <w:rsid w:val="00336AD7"/>
    <w:rsid w:val="00336D2F"/>
    <w:rsid w:val="00336ECB"/>
    <w:rsid w:val="00336FB1"/>
    <w:rsid w:val="003370FD"/>
    <w:rsid w:val="00337137"/>
    <w:rsid w:val="003372A6"/>
    <w:rsid w:val="00337D21"/>
    <w:rsid w:val="00337E65"/>
    <w:rsid w:val="00337FD6"/>
    <w:rsid w:val="0034042A"/>
    <w:rsid w:val="0034050E"/>
    <w:rsid w:val="00340579"/>
    <w:rsid w:val="00340D3F"/>
    <w:rsid w:val="00340F9E"/>
    <w:rsid w:val="003412C6"/>
    <w:rsid w:val="00341376"/>
    <w:rsid w:val="0034142A"/>
    <w:rsid w:val="00341873"/>
    <w:rsid w:val="00341A0B"/>
    <w:rsid w:val="00341A29"/>
    <w:rsid w:val="00341C40"/>
    <w:rsid w:val="00341F3F"/>
    <w:rsid w:val="00342305"/>
    <w:rsid w:val="003423EA"/>
    <w:rsid w:val="00342666"/>
    <w:rsid w:val="0034289D"/>
    <w:rsid w:val="00342AAC"/>
    <w:rsid w:val="00342BEB"/>
    <w:rsid w:val="00343213"/>
    <w:rsid w:val="00343437"/>
    <w:rsid w:val="003434EF"/>
    <w:rsid w:val="00343602"/>
    <w:rsid w:val="003438C2"/>
    <w:rsid w:val="0034394C"/>
    <w:rsid w:val="003439BB"/>
    <w:rsid w:val="00343FDE"/>
    <w:rsid w:val="00344869"/>
    <w:rsid w:val="00344A1C"/>
    <w:rsid w:val="00344B37"/>
    <w:rsid w:val="00344C21"/>
    <w:rsid w:val="00344C30"/>
    <w:rsid w:val="00345A79"/>
    <w:rsid w:val="00345B18"/>
    <w:rsid w:val="00345B60"/>
    <w:rsid w:val="00345BEF"/>
    <w:rsid w:val="00345EA3"/>
    <w:rsid w:val="003465C5"/>
    <w:rsid w:val="0034674D"/>
    <w:rsid w:val="00346D60"/>
    <w:rsid w:val="00346EAC"/>
    <w:rsid w:val="00346ECC"/>
    <w:rsid w:val="00347373"/>
    <w:rsid w:val="003473D0"/>
    <w:rsid w:val="0034766A"/>
    <w:rsid w:val="003478B7"/>
    <w:rsid w:val="00347E2D"/>
    <w:rsid w:val="00350118"/>
    <w:rsid w:val="003501F5"/>
    <w:rsid w:val="003502C0"/>
    <w:rsid w:val="003502F6"/>
    <w:rsid w:val="0035088D"/>
    <w:rsid w:val="00350918"/>
    <w:rsid w:val="00350F80"/>
    <w:rsid w:val="0035101B"/>
    <w:rsid w:val="00351624"/>
    <w:rsid w:val="00351668"/>
    <w:rsid w:val="003519A1"/>
    <w:rsid w:val="003520F9"/>
    <w:rsid w:val="0035231F"/>
    <w:rsid w:val="003527C0"/>
    <w:rsid w:val="00352C90"/>
    <w:rsid w:val="00352D16"/>
    <w:rsid w:val="00353707"/>
    <w:rsid w:val="00353D20"/>
    <w:rsid w:val="00353DC5"/>
    <w:rsid w:val="003541BB"/>
    <w:rsid w:val="003542EB"/>
    <w:rsid w:val="00354C38"/>
    <w:rsid w:val="00354DFA"/>
    <w:rsid w:val="00354FFC"/>
    <w:rsid w:val="003551CA"/>
    <w:rsid w:val="00355286"/>
    <w:rsid w:val="003554B5"/>
    <w:rsid w:val="003555E9"/>
    <w:rsid w:val="00355844"/>
    <w:rsid w:val="0035607F"/>
    <w:rsid w:val="003561A7"/>
    <w:rsid w:val="00356250"/>
    <w:rsid w:val="003563E8"/>
    <w:rsid w:val="00356A93"/>
    <w:rsid w:val="00356D4E"/>
    <w:rsid w:val="00356ECC"/>
    <w:rsid w:val="00357647"/>
    <w:rsid w:val="00357729"/>
    <w:rsid w:val="00357912"/>
    <w:rsid w:val="00357ACA"/>
    <w:rsid w:val="00357BE6"/>
    <w:rsid w:val="00357CDE"/>
    <w:rsid w:val="00357DF3"/>
    <w:rsid w:val="00357ED5"/>
    <w:rsid w:val="00357F8E"/>
    <w:rsid w:val="0036016C"/>
    <w:rsid w:val="003607A1"/>
    <w:rsid w:val="003607AE"/>
    <w:rsid w:val="00360883"/>
    <w:rsid w:val="00360C89"/>
    <w:rsid w:val="00360EA6"/>
    <w:rsid w:val="003616C5"/>
    <w:rsid w:val="00361BAB"/>
    <w:rsid w:val="00361FE5"/>
    <w:rsid w:val="003621D6"/>
    <w:rsid w:val="00362283"/>
    <w:rsid w:val="00362417"/>
    <w:rsid w:val="00362543"/>
    <w:rsid w:val="003625B8"/>
    <w:rsid w:val="00362CD5"/>
    <w:rsid w:val="00362F71"/>
    <w:rsid w:val="00362F81"/>
    <w:rsid w:val="0036312E"/>
    <w:rsid w:val="00363526"/>
    <w:rsid w:val="00363703"/>
    <w:rsid w:val="00363FFB"/>
    <w:rsid w:val="003641F4"/>
    <w:rsid w:val="0036426A"/>
    <w:rsid w:val="003642DA"/>
    <w:rsid w:val="003647C9"/>
    <w:rsid w:val="0036481E"/>
    <w:rsid w:val="00364BB0"/>
    <w:rsid w:val="00364FFE"/>
    <w:rsid w:val="00365268"/>
    <w:rsid w:val="00365555"/>
    <w:rsid w:val="003655E5"/>
    <w:rsid w:val="00365A06"/>
    <w:rsid w:val="00365E15"/>
    <w:rsid w:val="0036656A"/>
    <w:rsid w:val="0036659E"/>
    <w:rsid w:val="003665BD"/>
    <w:rsid w:val="0036676C"/>
    <w:rsid w:val="00366942"/>
    <w:rsid w:val="00366960"/>
    <w:rsid w:val="00366978"/>
    <w:rsid w:val="00366A5D"/>
    <w:rsid w:val="00366C14"/>
    <w:rsid w:val="00366D6F"/>
    <w:rsid w:val="00366ED8"/>
    <w:rsid w:val="00366F82"/>
    <w:rsid w:val="0036732B"/>
    <w:rsid w:val="0036748F"/>
    <w:rsid w:val="00367748"/>
    <w:rsid w:val="00367795"/>
    <w:rsid w:val="00367801"/>
    <w:rsid w:val="0036790B"/>
    <w:rsid w:val="00367D5D"/>
    <w:rsid w:val="00367F06"/>
    <w:rsid w:val="0037000E"/>
    <w:rsid w:val="00370152"/>
    <w:rsid w:val="00370860"/>
    <w:rsid w:val="003708CA"/>
    <w:rsid w:val="00370BB2"/>
    <w:rsid w:val="00370CCA"/>
    <w:rsid w:val="0037134D"/>
    <w:rsid w:val="00371677"/>
    <w:rsid w:val="00371B85"/>
    <w:rsid w:val="00371D9E"/>
    <w:rsid w:val="003721F8"/>
    <w:rsid w:val="0037241B"/>
    <w:rsid w:val="00372595"/>
    <w:rsid w:val="003725EA"/>
    <w:rsid w:val="003726E5"/>
    <w:rsid w:val="00372BE3"/>
    <w:rsid w:val="00372D1F"/>
    <w:rsid w:val="003730D9"/>
    <w:rsid w:val="003733EE"/>
    <w:rsid w:val="00373426"/>
    <w:rsid w:val="00373479"/>
    <w:rsid w:val="0037347E"/>
    <w:rsid w:val="0037370E"/>
    <w:rsid w:val="00373726"/>
    <w:rsid w:val="0037394A"/>
    <w:rsid w:val="00373A38"/>
    <w:rsid w:val="00373E67"/>
    <w:rsid w:val="00374159"/>
    <w:rsid w:val="00374383"/>
    <w:rsid w:val="00374511"/>
    <w:rsid w:val="0037453B"/>
    <w:rsid w:val="003745CA"/>
    <w:rsid w:val="00374736"/>
    <w:rsid w:val="003747A1"/>
    <w:rsid w:val="00374A1B"/>
    <w:rsid w:val="00374C7B"/>
    <w:rsid w:val="00374D07"/>
    <w:rsid w:val="00374DCB"/>
    <w:rsid w:val="00374F28"/>
    <w:rsid w:val="00375205"/>
    <w:rsid w:val="00375700"/>
    <w:rsid w:val="0037592D"/>
    <w:rsid w:val="0037594A"/>
    <w:rsid w:val="00375A2F"/>
    <w:rsid w:val="00375B57"/>
    <w:rsid w:val="00376157"/>
    <w:rsid w:val="003764F4"/>
    <w:rsid w:val="00376707"/>
    <w:rsid w:val="0037700C"/>
    <w:rsid w:val="0037726C"/>
    <w:rsid w:val="003774BF"/>
    <w:rsid w:val="003775E4"/>
    <w:rsid w:val="00377611"/>
    <w:rsid w:val="00377971"/>
    <w:rsid w:val="00377A71"/>
    <w:rsid w:val="00377B64"/>
    <w:rsid w:val="00380073"/>
    <w:rsid w:val="003805A3"/>
    <w:rsid w:val="003806E2"/>
    <w:rsid w:val="0038080D"/>
    <w:rsid w:val="00380842"/>
    <w:rsid w:val="00380A95"/>
    <w:rsid w:val="00380C58"/>
    <w:rsid w:val="00380E91"/>
    <w:rsid w:val="00380F07"/>
    <w:rsid w:val="00380F3F"/>
    <w:rsid w:val="0038112F"/>
    <w:rsid w:val="00381323"/>
    <w:rsid w:val="0038133A"/>
    <w:rsid w:val="003813AF"/>
    <w:rsid w:val="0038147F"/>
    <w:rsid w:val="00381571"/>
    <w:rsid w:val="00381640"/>
    <w:rsid w:val="003819DD"/>
    <w:rsid w:val="00381D8C"/>
    <w:rsid w:val="00381ECB"/>
    <w:rsid w:val="00381EED"/>
    <w:rsid w:val="00381F2B"/>
    <w:rsid w:val="00381F76"/>
    <w:rsid w:val="00381FBD"/>
    <w:rsid w:val="003825AF"/>
    <w:rsid w:val="00382629"/>
    <w:rsid w:val="0038299D"/>
    <w:rsid w:val="00382B20"/>
    <w:rsid w:val="003835A8"/>
    <w:rsid w:val="00383D35"/>
    <w:rsid w:val="00383DB3"/>
    <w:rsid w:val="00383EC1"/>
    <w:rsid w:val="003840F7"/>
    <w:rsid w:val="0038447C"/>
    <w:rsid w:val="00384572"/>
    <w:rsid w:val="00384777"/>
    <w:rsid w:val="00384803"/>
    <w:rsid w:val="0038498A"/>
    <w:rsid w:val="00384A61"/>
    <w:rsid w:val="00384D70"/>
    <w:rsid w:val="00384EB4"/>
    <w:rsid w:val="00384EC0"/>
    <w:rsid w:val="00384F84"/>
    <w:rsid w:val="00385421"/>
    <w:rsid w:val="0038593D"/>
    <w:rsid w:val="00385AC8"/>
    <w:rsid w:val="00385ADF"/>
    <w:rsid w:val="00385C62"/>
    <w:rsid w:val="0038625B"/>
    <w:rsid w:val="00386488"/>
    <w:rsid w:val="0038653F"/>
    <w:rsid w:val="003867A7"/>
    <w:rsid w:val="00386DDF"/>
    <w:rsid w:val="00386ED5"/>
    <w:rsid w:val="00386FD1"/>
    <w:rsid w:val="003872C0"/>
    <w:rsid w:val="0038784E"/>
    <w:rsid w:val="00387854"/>
    <w:rsid w:val="00387EFA"/>
    <w:rsid w:val="0039023E"/>
    <w:rsid w:val="003903F7"/>
    <w:rsid w:val="00390850"/>
    <w:rsid w:val="00390DA9"/>
    <w:rsid w:val="00390E44"/>
    <w:rsid w:val="0039113F"/>
    <w:rsid w:val="00391325"/>
    <w:rsid w:val="0039135A"/>
    <w:rsid w:val="00391AC8"/>
    <w:rsid w:val="00391AEA"/>
    <w:rsid w:val="00391B9D"/>
    <w:rsid w:val="00391D3D"/>
    <w:rsid w:val="003921CB"/>
    <w:rsid w:val="003924AE"/>
    <w:rsid w:val="00392670"/>
    <w:rsid w:val="003926B7"/>
    <w:rsid w:val="0039293D"/>
    <w:rsid w:val="00392A24"/>
    <w:rsid w:val="00392A50"/>
    <w:rsid w:val="00393006"/>
    <w:rsid w:val="0039313F"/>
    <w:rsid w:val="00393173"/>
    <w:rsid w:val="00393496"/>
    <w:rsid w:val="00393570"/>
    <w:rsid w:val="0039372D"/>
    <w:rsid w:val="003939B4"/>
    <w:rsid w:val="00393AE1"/>
    <w:rsid w:val="00393B2D"/>
    <w:rsid w:val="00394574"/>
    <w:rsid w:val="00394756"/>
    <w:rsid w:val="0039476B"/>
    <w:rsid w:val="00394AFE"/>
    <w:rsid w:val="00394BF9"/>
    <w:rsid w:val="00394C31"/>
    <w:rsid w:val="003953EE"/>
    <w:rsid w:val="00395547"/>
    <w:rsid w:val="003956A4"/>
    <w:rsid w:val="00395768"/>
    <w:rsid w:val="003957A9"/>
    <w:rsid w:val="00396163"/>
    <w:rsid w:val="00396175"/>
    <w:rsid w:val="00396288"/>
    <w:rsid w:val="00396414"/>
    <w:rsid w:val="003969CC"/>
    <w:rsid w:val="00396B53"/>
    <w:rsid w:val="00396E47"/>
    <w:rsid w:val="00396EA9"/>
    <w:rsid w:val="00396FD1"/>
    <w:rsid w:val="003970D8"/>
    <w:rsid w:val="003974A8"/>
    <w:rsid w:val="003975A2"/>
    <w:rsid w:val="00397C00"/>
    <w:rsid w:val="00397C1C"/>
    <w:rsid w:val="00397C3E"/>
    <w:rsid w:val="003A084B"/>
    <w:rsid w:val="003A08A9"/>
    <w:rsid w:val="003A0A8B"/>
    <w:rsid w:val="003A0C77"/>
    <w:rsid w:val="003A0F39"/>
    <w:rsid w:val="003A1051"/>
    <w:rsid w:val="003A109B"/>
    <w:rsid w:val="003A1A7C"/>
    <w:rsid w:val="003A1B33"/>
    <w:rsid w:val="003A1FF5"/>
    <w:rsid w:val="003A21A8"/>
    <w:rsid w:val="003A2380"/>
    <w:rsid w:val="003A26CA"/>
    <w:rsid w:val="003A29B9"/>
    <w:rsid w:val="003A2A3F"/>
    <w:rsid w:val="003A2C0E"/>
    <w:rsid w:val="003A2F53"/>
    <w:rsid w:val="003A3296"/>
    <w:rsid w:val="003A34CE"/>
    <w:rsid w:val="003A3686"/>
    <w:rsid w:val="003A38B6"/>
    <w:rsid w:val="003A3D90"/>
    <w:rsid w:val="003A4104"/>
    <w:rsid w:val="003A4149"/>
    <w:rsid w:val="003A45FE"/>
    <w:rsid w:val="003A4A99"/>
    <w:rsid w:val="003A4EBC"/>
    <w:rsid w:val="003A523F"/>
    <w:rsid w:val="003A5342"/>
    <w:rsid w:val="003A53AE"/>
    <w:rsid w:val="003A5C37"/>
    <w:rsid w:val="003A5D57"/>
    <w:rsid w:val="003A603D"/>
    <w:rsid w:val="003A6343"/>
    <w:rsid w:val="003A692E"/>
    <w:rsid w:val="003A6D42"/>
    <w:rsid w:val="003A6DA1"/>
    <w:rsid w:val="003A7207"/>
    <w:rsid w:val="003A7665"/>
    <w:rsid w:val="003A79F1"/>
    <w:rsid w:val="003A7B9C"/>
    <w:rsid w:val="003A7BE1"/>
    <w:rsid w:val="003A7CAD"/>
    <w:rsid w:val="003B02A5"/>
    <w:rsid w:val="003B034B"/>
    <w:rsid w:val="003B03D5"/>
    <w:rsid w:val="003B04D2"/>
    <w:rsid w:val="003B097B"/>
    <w:rsid w:val="003B0BFC"/>
    <w:rsid w:val="003B0C3E"/>
    <w:rsid w:val="003B0D46"/>
    <w:rsid w:val="003B12A8"/>
    <w:rsid w:val="003B165B"/>
    <w:rsid w:val="003B19F5"/>
    <w:rsid w:val="003B1A1C"/>
    <w:rsid w:val="003B1C07"/>
    <w:rsid w:val="003B1EFB"/>
    <w:rsid w:val="003B237F"/>
    <w:rsid w:val="003B2409"/>
    <w:rsid w:val="003B2467"/>
    <w:rsid w:val="003B27C5"/>
    <w:rsid w:val="003B27F7"/>
    <w:rsid w:val="003B2CD2"/>
    <w:rsid w:val="003B3C3C"/>
    <w:rsid w:val="003B3C91"/>
    <w:rsid w:val="003B421E"/>
    <w:rsid w:val="003B4294"/>
    <w:rsid w:val="003B448F"/>
    <w:rsid w:val="003B449C"/>
    <w:rsid w:val="003B464C"/>
    <w:rsid w:val="003B4834"/>
    <w:rsid w:val="003B4A8C"/>
    <w:rsid w:val="003B4D5A"/>
    <w:rsid w:val="003B50D2"/>
    <w:rsid w:val="003B534E"/>
    <w:rsid w:val="003B54E9"/>
    <w:rsid w:val="003B5745"/>
    <w:rsid w:val="003B5DFC"/>
    <w:rsid w:val="003B5E30"/>
    <w:rsid w:val="003B5F56"/>
    <w:rsid w:val="003B631C"/>
    <w:rsid w:val="003B6355"/>
    <w:rsid w:val="003B6375"/>
    <w:rsid w:val="003B63D3"/>
    <w:rsid w:val="003B6587"/>
    <w:rsid w:val="003B660A"/>
    <w:rsid w:val="003B7FC4"/>
    <w:rsid w:val="003B7FDC"/>
    <w:rsid w:val="003C00F4"/>
    <w:rsid w:val="003C0162"/>
    <w:rsid w:val="003C0721"/>
    <w:rsid w:val="003C0905"/>
    <w:rsid w:val="003C0B7A"/>
    <w:rsid w:val="003C0C8B"/>
    <w:rsid w:val="003C0CF9"/>
    <w:rsid w:val="003C0DF7"/>
    <w:rsid w:val="003C0E31"/>
    <w:rsid w:val="003C0EAD"/>
    <w:rsid w:val="003C1128"/>
    <w:rsid w:val="003C1288"/>
    <w:rsid w:val="003C13B0"/>
    <w:rsid w:val="003C167E"/>
    <w:rsid w:val="003C1A28"/>
    <w:rsid w:val="003C1CAD"/>
    <w:rsid w:val="003C1FAB"/>
    <w:rsid w:val="003C219F"/>
    <w:rsid w:val="003C22AD"/>
    <w:rsid w:val="003C2383"/>
    <w:rsid w:val="003C27CA"/>
    <w:rsid w:val="003C282F"/>
    <w:rsid w:val="003C2A1B"/>
    <w:rsid w:val="003C2CC1"/>
    <w:rsid w:val="003C2D08"/>
    <w:rsid w:val="003C2E05"/>
    <w:rsid w:val="003C3275"/>
    <w:rsid w:val="003C32D6"/>
    <w:rsid w:val="003C332B"/>
    <w:rsid w:val="003C3534"/>
    <w:rsid w:val="003C35A0"/>
    <w:rsid w:val="003C3657"/>
    <w:rsid w:val="003C38E7"/>
    <w:rsid w:val="003C38F8"/>
    <w:rsid w:val="003C3A06"/>
    <w:rsid w:val="003C4341"/>
    <w:rsid w:val="003C4621"/>
    <w:rsid w:val="003C51D3"/>
    <w:rsid w:val="003C5387"/>
    <w:rsid w:val="003C58B1"/>
    <w:rsid w:val="003C5962"/>
    <w:rsid w:val="003C602D"/>
    <w:rsid w:val="003C6079"/>
    <w:rsid w:val="003C65FB"/>
    <w:rsid w:val="003C666A"/>
    <w:rsid w:val="003C6C93"/>
    <w:rsid w:val="003C6DE6"/>
    <w:rsid w:val="003C6F40"/>
    <w:rsid w:val="003C6F5F"/>
    <w:rsid w:val="003C716D"/>
    <w:rsid w:val="003C7539"/>
    <w:rsid w:val="003C7866"/>
    <w:rsid w:val="003C7DDB"/>
    <w:rsid w:val="003C7DE0"/>
    <w:rsid w:val="003C7ED8"/>
    <w:rsid w:val="003D0686"/>
    <w:rsid w:val="003D0906"/>
    <w:rsid w:val="003D0EE7"/>
    <w:rsid w:val="003D1066"/>
    <w:rsid w:val="003D148F"/>
    <w:rsid w:val="003D16E9"/>
    <w:rsid w:val="003D1C07"/>
    <w:rsid w:val="003D1C9D"/>
    <w:rsid w:val="003D1CAD"/>
    <w:rsid w:val="003D1EA6"/>
    <w:rsid w:val="003D20D9"/>
    <w:rsid w:val="003D22EF"/>
    <w:rsid w:val="003D2400"/>
    <w:rsid w:val="003D25A5"/>
    <w:rsid w:val="003D2702"/>
    <w:rsid w:val="003D274A"/>
    <w:rsid w:val="003D2AE7"/>
    <w:rsid w:val="003D2E8F"/>
    <w:rsid w:val="003D2F31"/>
    <w:rsid w:val="003D2F87"/>
    <w:rsid w:val="003D31EB"/>
    <w:rsid w:val="003D3573"/>
    <w:rsid w:val="003D3EB0"/>
    <w:rsid w:val="003D402D"/>
    <w:rsid w:val="003D4049"/>
    <w:rsid w:val="003D4088"/>
    <w:rsid w:val="003D4495"/>
    <w:rsid w:val="003D4C0D"/>
    <w:rsid w:val="003D5381"/>
    <w:rsid w:val="003D5485"/>
    <w:rsid w:val="003D5618"/>
    <w:rsid w:val="003D5634"/>
    <w:rsid w:val="003D58B4"/>
    <w:rsid w:val="003D5A02"/>
    <w:rsid w:val="003D5C04"/>
    <w:rsid w:val="003D5F1A"/>
    <w:rsid w:val="003D5FE8"/>
    <w:rsid w:val="003D6106"/>
    <w:rsid w:val="003D61A3"/>
    <w:rsid w:val="003D6211"/>
    <w:rsid w:val="003D6DD0"/>
    <w:rsid w:val="003D6E0A"/>
    <w:rsid w:val="003D6EA2"/>
    <w:rsid w:val="003D70E2"/>
    <w:rsid w:val="003D731C"/>
    <w:rsid w:val="003D78F8"/>
    <w:rsid w:val="003D79E1"/>
    <w:rsid w:val="003D7A02"/>
    <w:rsid w:val="003D7C27"/>
    <w:rsid w:val="003E00AE"/>
    <w:rsid w:val="003E022D"/>
    <w:rsid w:val="003E0E5F"/>
    <w:rsid w:val="003E0E60"/>
    <w:rsid w:val="003E0F4B"/>
    <w:rsid w:val="003E1034"/>
    <w:rsid w:val="003E112B"/>
    <w:rsid w:val="003E11E1"/>
    <w:rsid w:val="003E152C"/>
    <w:rsid w:val="003E1A81"/>
    <w:rsid w:val="003E2183"/>
    <w:rsid w:val="003E245C"/>
    <w:rsid w:val="003E2738"/>
    <w:rsid w:val="003E273F"/>
    <w:rsid w:val="003E2825"/>
    <w:rsid w:val="003E2EA7"/>
    <w:rsid w:val="003E35FD"/>
    <w:rsid w:val="003E36C1"/>
    <w:rsid w:val="003E38D1"/>
    <w:rsid w:val="003E3B54"/>
    <w:rsid w:val="003E3F25"/>
    <w:rsid w:val="003E3F77"/>
    <w:rsid w:val="003E3F94"/>
    <w:rsid w:val="003E3FCD"/>
    <w:rsid w:val="003E4A98"/>
    <w:rsid w:val="003E4BC5"/>
    <w:rsid w:val="003E5315"/>
    <w:rsid w:val="003E5385"/>
    <w:rsid w:val="003E53CD"/>
    <w:rsid w:val="003E546F"/>
    <w:rsid w:val="003E559F"/>
    <w:rsid w:val="003E5B18"/>
    <w:rsid w:val="003E5CB4"/>
    <w:rsid w:val="003E628C"/>
    <w:rsid w:val="003E648B"/>
    <w:rsid w:val="003E68E2"/>
    <w:rsid w:val="003E6931"/>
    <w:rsid w:val="003E6932"/>
    <w:rsid w:val="003E6D61"/>
    <w:rsid w:val="003E75D6"/>
    <w:rsid w:val="003E771B"/>
    <w:rsid w:val="003E7A2A"/>
    <w:rsid w:val="003E7A6C"/>
    <w:rsid w:val="003E7AC3"/>
    <w:rsid w:val="003E7C10"/>
    <w:rsid w:val="003F0436"/>
    <w:rsid w:val="003F052A"/>
    <w:rsid w:val="003F08E0"/>
    <w:rsid w:val="003F0B97"/>
    <w:rsid w:val="003F150D"/>
    <w:rsid w:val="003F16B5"/>
    <w:rsid w:val="003F16F5"/>
    <w:rsid w:val="003F174E"/>
    <w:rsid w:val="003F1A1D"/>
    <w:rsid w:val="003F1FCA"/>
    <w:rsid w:val="003F2095"/>
    <w:rsid w:val="003F2178"/>
    <w:rsid w:val="003F2A6F"/>
    <w:rsid w:val="003F2F9E"/>
    <w:rsid w:val="003F33F0"/>
    <w:rsid w:val="003F393A"/>
    <w:rsid w:val="003F3A50"/>
    <w:rsid w:val="003F3C60"/>
    <w:rsid w:val="003F40AD"/>
    <w:rsid w:val="003F40BA"/>
    <w:rsid w:val="003F4243"/>
    <w:rsid w:val="003F459D"/>
    <w:rsid w:val="003F49E5"/>
    <w:rsid w:val="003F4BBD"/>
    <w:rsid w:val="003F5455"/>
    <w:rsid w:val="003F555D"/>
    <w:rsid w:val="003F593A"/>
    <w:rsid w:val="003F5B55"/>
    <w:rsid w:val="003F5BE6"/>
    <w:rsid w:val="003F5E70"/>
    <w:rsid w:val="003F6064"/>
    <w:rsid w:val="003F609C"/>
    <w:rsid w:val="003F60BC"/>
    <w:rsid w:val="003F6160"/>
    <w:rsid w:val="003F63E2"/>
    <w:rsid w:val="003F63F9"/>
    <w:rsid w:val="003F665C"/>
    <w:rsid w:val="003F6998"/>
    <w:rsid w:val="003F6AAB"/>
    <w:rsid w:val="003F707C"/>
    <w:rsid w:val="003F715B"/>
    <w:rsid w:val="003F71EA"/>
    <w:rsid w:val="003F7394"/>
    <w:rsid w:val="003F7B73"/>
    <w:rsid w:val="003F7FD0"/>
    <w:rsid w:val="00400063"/>
    <w:rsid w:val="0040014B"/>
    <w:rsid w:val="004001F1"/>
    <w:rsid w:val="00400514"/>
    <w:rsid w:val="0040051A"/>
    <w:rsid w:val="00400F91"/>
    <w:rsid w:val="00400FEC"/>
    <w:rsid w:val="00401595"/>
    <w:rsid w:val="004019E2"/>
    <w:rsid w:val="00401BC5"/>
    <w:rsid w:val="00401C7D"/>
    <w:rsid w:val="0040202D"/>
    <w:rsid w:val="00402145"/>
    <w:rsid w:val="00402274"/>
    <w:rsid w:val="0040252B"/>
    <w:rsid w:val="00402A3B"/>
    <w:rsid w:val="00402E1B"/>
    <w:rsid w:val="0040305F"/>
    <w:rsid w:val="00403262"/>
    <w:rsid w:val="00403ACA"/>
    <w:rsid w:val="00403C8F"/>
    <w:rsid w:val="00403D00"/>
    <w:rsid w:val="00403EAB"/>
    <w:rsid w:val="004041D0"/>
    <w:rsid w:val="00404277"/>
    <w:rsid w:val="004042EC"/>
    <w:rsid w:val="00404BCF"/>
    <w:rsid w:val="00404CE7"/>
    <w:rsid w:val="00404F79"/>
    <w:rsid w:val="0040518C"/>
    <w:rsid w:val="004051F3"/>
    <w:rsid w:val="004059C2"/>
    <w:rsid w:val="00405C17"/>
    <w:rsid w:val="00405F18"/>
    <w:rsid w:val="0040636F"/>
    <w:rsid w:val="00406619"/>
    <w:rsid w:val="004066FC"/>
    <w:rsid w:val="00406C26"/>
    <w:rsid w:val="004070E4"/>
    <w:rsid w:val="004071A7"/>
    <w:rsid w:val="00407511"/>
    <w:rsid w:val="00407999"/>
    <w:rsid w:val="00407C0B"/>
    <w:rsid w:val="00407CAA"/>
    <w:rsid w:val="00410154"/>
    <w:rsid w:val="00410705"/>
    <w:rsid w:val="00410A81"/>
    <w:rsid w:val="00410AA3"/>
    <w:rsid w:val="00410E9D"/>
    <w:rsid w:val="00411479"/>
    <w:rsid w:val="0041160D"/>
    <w:rsid w:val="00412293"/>
    <w:rsid w:val="00412305"/>
    <w:rsid w:val="004126C2"/>
    <w:rsid w:val="004127EA"/>
    <w:rsid w:val="00412962"/>
    <w:rsid w:val="00412A9C"/>
    <w:rsid w:val="00412BF7"/>
    <w:rsid w:val="00412F3F"/>
    <w:rsid w:val="00413085"/>
    <w:rsid w:val="00413174"/>
    <w:rsid w:val="00413228"/>
    <w:rsid w:val="004134BB"/>
    <w:rsid w:val="004137C2"/>
    <w:rsid w:val="0041394A"/>
    <w:rsid w:val="004139B2"/>
    <w:rsid w:val="00413BA0"/>
    <w:rsid w:val="004141A2"/>
    <w:rsid w:val="004141F4"/>
    <w:rsid w:val="00414575"/>
    <w:rsid w:val="004145DF"/>
    <w:rsid w:val="00414728"/>
    <w:rsid w:val="00414A8E"/>
    <w:rsid w:val="00414C3E"/>
    <w:rsid w:val="00414E9C"/>
    <w:rsid w:val="0041535C"/>
    <w:rsid w:val="004154C7"/>
    <w:rsid w:val="004154DA"/>
    <w:rsid w:val="004155E1"/>
    <w:rsid w:val="004158DB"/>
    <w:rsid w:val="004158FC"/>
    <w:rsid w:val="004159FF"/>
    <w:rsid w:val="00415AF0"/>
    <w:rsid w:val="00415B7E"/>
    <w:rsid w:val="00415C6D"/>
    <w:rsid w:val="00415CB3"/>
    <w:rsid w:val="00415EEF"/>
    <w:rsid w:val="0041613C"/>
    <w:rsid w:val="004165F9"/>
    <w:rsid w:val="004168DC"/>
    <w:rsid w:val="00416BEE"/>
    <w:rsid w:val="00416E16"/>
    <w:rsid w:val="00416FF3"/>
    <w:rsid w:val="004175BB"/>
    <w:rsid w:val="0041780B"/>
    <w:rsid w:val="00417896"/>
    <w:rsid w:val="00417A5A"/>
    <w:rsid w:val="00417C89"/>
    <w:rsid w:val="00417D43"/>
    <w:rsid w:val="00417D6B"/>
    <w:rsid w:val="00420297"/>
    <w:rsid w:val="004208E9"/>
    <w:rsid w:val="00420BFE"/>
    <w:rsid w:val="00420FD9"/>
    <w:rsid w:val="00420FE6"/>
    <w:rsid w:val="004214B8"/>
    <w:rsid w:val="0042174E"/>
    <w:rsid w:val="00421D10"/>
    <w:rsid w:val="00421E06"/>
    <w:rsid w:val="004222B7"/>
    <w:rsid w:val="00422689"/>
    <w:rsid w:val="00422AAB"/>
    <w:rsid w:val="00422BBE"/>
    <w:rsid w:val="00422CC5"/>
    <w:rsid w:val="00422D3D"/>
    <w:rsid w:val="004230CD"/>
    <w:rsid w:val="004231F3"/>
    <w:rsid w:val="004237DC"/>
    <w:rsid w:val="004238FD"/>
    <w:rsid w:val="00423992"/>
    <w:rsid w:val="00423D17"/>
    <w:rsid w:val="00423D65"/>
    <w:rsid w:val="00423D8C"/>
    <w:rsid w:val="004243E2"/>
    <w:rsid w:val="00424950"/>
    <w:rsid w:val="00424959"/>
    <w:rsid w:val="0042495C"/>
    <w:rsid w:val="00424CB6"/>
    <w:rsid w:val="00424D2E"/>
    <w:rsid w:val="00424EEF"/>
    <w:rsid w:val="004250BF"/>
    <w:rsid w:val="0042537F"/>
    <w:rsid w:val="004256D5"/>
    <w:rsid w:val="00425C19"/>
    <w:rsid w:val="00425E45"/>
    <w:rsid w:val="004260F3"/>
    <w:rsid w:val="004262D2"/>
    <w:rsid w:val="00426685"/>
    <w:rsid w:val="00426799"/>
    <w:rsid w:val="004268EE"/>
    <w:rsid w:val="00426B3D"/>
    <w:rsid w:val="00426F26"/>
    <w:rsid w:val="00427628"/>
    <w:rsid w:val="0042765D"/>
    <w:rsid w:val="00427806"/>
    <w:rsid w:val="00427CD7"/>
    <w:rsid w:val="00430216"/>
    <w:rsid w:val="004303C7"/>
    <w:rsid w:val="00430D0B"/>
    <w:rsid w:val="004313B0"/>
    <w:rsid w:val="00431513"/>
    <w:rsid w:val="00431817"/>
    <w:rsid w:val="004318EB"/>
    <w:rsid w:val="00431BB8"/>
    <w:rsid w:val="0043204F"/>
    <w:rsid w:val="00432734"/>
    <w:rsid w:val="004327EB"/>
    <w:rsid w:val="00432E18"/>
    <w:rsid w:val="00433196"/>
    <w:rsid w:val="0043337B"/>
    <w:rsid w:val="00433482"/>
    <w:rsid w:val="00433B3D"/>
    <w:rsid w:val="00433BF2"/>
    <w:rsid w:val="00433E44"/>
    <w:rsid w:val="004341D7"/>
    <w:rsid w:val="0043420D"/>
    <w:rsid w:val="004346F9"/>
    <w:rsid w:val="004349FB"/>
    <w:rsid w:val="00434E15"/>
    <w:rsid w:val="00435573"/>
    <w:rsid w:val="00435606"/>
    <w:rsid w:val="00435723"/>
    <w:rsid w:val="004363D2"/>
    <w:rsid w:val="00436CAF"/>
    <w:rsid w:val="00436E0B"/>
    <w:rsid w:val="0043711D"/>
    <w:rsid w:val="00437348"/>
    <w:rsid w:val="004377C8"/>
    <w:rsid w:val="00437882"/>
    <w:rsid w:val="00437A14"/>
    <w:rsid w:val="00437BD1"/>
    <w:rsid w:val="00437DD4"/>
    <w:rsid w:val="0044041D"/>
    <w:rsid w:val="00440616"/>
    <w:rsid w:val="004407E6"/>
    <w:rsid w:val="00440A67"/>
    <w:rsid w:val="00440D47"/>
    <w:rsid w:val="00440EE4"/>
    <w:rsid w:val="00440F9C"/>
    <w:rsid w:val="00441178"/>
    <w:rsid w:val="004411F4"/>
    <w:rsid w:val="00441578"/>
    <w:rsid w:val="004417B2"/>
    <w:rsid w:val="00441833"/>
    <w:rsid w:val="00441D45"/>
    <w:rsid w:val="00441D91"/>
    <w:rsid w:val="00441FB1"/>
    <w:rsid w:val="00442077"/>
    <w:rsid w:val="0044267F"/>
    <w:rsid w:val="004426A9"/>
    <w:rsid w:val="0044282D"/>
    <w:rsid w:val="0044285E"/>
    <w:rsid w:val="004428B2"/>
    <w:rsid w:val="004429BD"/>
    <w:rsid w:val="00442D28"/>
    <w:rsid w:val="00442DAE"/>
    <w:rsid w:val="00442DDC"/>
    <w:rsid w:val="00442EA1"/>
    <w:rsid w:val="00443547"/>
    <w:rsid w:val="00443584"/>
    <w:rsid w:val="00443777"/>
    <w:rsid w:val="004438C9"/>
    <w:rsid w:val="00443AE1"/>
    <w:rsid w:val="00443EAD"/>
    <w:rsid w:val="00444852"/>
    <w:rsid w:val="00444A76"/>
    <w:rsid w:val="00444A89"/>
    <w:rsid w:val="00444B75"/>
    <w:rsid w:val="00445311"/>
    <w:rsid w:val="0044536A"/>
    <w:rsid w:val="00445625"/>
    <w:rsid w:val="00445923"/>
    <w:rsid w:val="004462BE"/>
    <w:rsid w:val="004464D9"/>
    <w:rsid w:val="00446A4C"/>
    <w:rsid w:val="00446B36"/>
    <w:rsid w:val="00446C1A"/>
    <w:rsid w:val="00446C3B"/>
    <w:rsid w:val="00446C8A"/>
    <w:rsid w:val="00446D73"/>
    <w:rsid w:val="00446F98"/>
    <w:rsid w:val="00447631"/>
    <w:rsid w:val="004477F3"/>
    <w:rsid w:val="00447A7B"/>
    <w:rsid w:val="00447C0B"/>
    <w:rsid w:val="004503C7"/>
    <w:rsid w:val="00450531"/>
    <w:rsid w:val="0045060D"/>
    <w:rsid w:val="0045091E"/>
    <w:rsid w:val="00450966"/>
    <w:rsid w:val="00450A06"/>
    <w:rsid w:val="00450B0F"/>
    <w:rsid w:val="00450BE5"/>
    <w:rsid w:val="00450DCB"/>
    <w:rsid w:val="00450EA8"/>
    <w:rsid w:val="00450EC2"/>
    <w:rsid w:val="004511B5"/>
    <w:rsid w:val="0045143F"/>
    <w:rsid w:val="004516EC"/>
    <w:rsid w:val="00451827"/>
    <w:rsid w:val="00451A7D"/>
    <w:rsid w:val="00451F4F"/>
    <w:rsid w:val="00452150"/>
    <w:rsid w:val="004521CB"/>
    <w:rsid w:val="00452E31"/>
    <w:rsid w:val="00452F4F"/>
    <w:rsid w:val="00453368"/>
    <w:rsid w:val="004535B1"/>
    <w:rsid w:val="004537A1"/>
    <w:rsid w:val="00453967"/>
    <w:rsid w:val="004541E5"/>
    <w:rsid w:val="00454223"/>
    <w:rsid w:val="00454427"/>
    <w:rsid w:val="004545A9"/>
    <w:rsid w:val="004547ED"/>
    <w:rsid w:val="0045486A"/>
    <w:rsid w:val="004548C9"/>
    <w:rsid w:val="00454A88"/>
    <w:rsid w:val="00454BE1"/>
    <w:rsid w:val="00454D12"/>
    <w:rsid w:val="004550C9"/>
    <w:rsid w:val="00455313"/>
    <w:rsid w:val="00455463"/>
    <w:rsid w:val="004554C5"/>
    <w:rsid w:val="004554EF"/>
    <w:rsid w:val="00455519"/>
    <w:rsid w:val="004556AD"/>
    <w:rsid w:val="004558B1"/>
    <w:rsid w:val="00455A18"/>
    <w:rsid w:val="00455B01"/>
    <w:rsid w:val="00455C4C"/>
    <w:rsid w:val="00455C77"/>
    <w:rsid w:val="00455D06"/>
    <w:rsid w:val="00455DC8"/>
    <w:rsid w:val="00455FC5"/>
    <w:rsid w:val="00456344"/>
    <w:rsid w:val="0045659E"/>
    <w:rsid w:val="00456742"/>
    <w:rsid w:val="00456BF8"/>
    <w:rsid w:val="00456E52"/>
    <w:rsid w:val="00456EF1"/>
    <w:rsid w:val="00456F7F"/>
    <w:rsid w:val="00457473"/>
    <w:rsid w:val="0045752B"/>
    <w:rsid w:val="0045755E"/>
    <w:rsid w:val="0045769C"/>
    <w:rsid w:val="004579AF"/>
    <w:rsid w:val="00457CFA"/>
    <w:rsid w:val="00457E54"/>
    <w:rsid w:val="004600E8"/>
    <w:rsid w:val="004601AD"/>
    <w:rsid w:val="004604E4"/>
    <w:rsid w:val="004605E5"/>
    <w:rsid w:val="00460821"/>
    <w:rsid w:val="004609DC"/>
    <w:rsid w:val="00460EA0"/>
    <w:rsid w:val="00461172"/>
    <w:rsid w:val="0046118C"/>
    <w:rsid w:val="004616F4"/>
    <w:rsid w:val="00461848"/>
    <w:rsid w:val="00461FA3"/>
    <w:rsid w:val="00461FE8"/>
    <w:rsid w:val="004621C6"/>
    <w:rsid w:val="0046226C"/>
    <w:rsid w:val="004625FA"/>
    <w:rsid w:val="00462712"/>
    <w:rsid w:val="004628FB"/>
    <w:rsid w:val="00462D9F"/>
    <w:rsid w:val="00462DBB"/>
    <w:rsid w:val="00463516"/>
    <w:rsid w:val="00463792"/>
    <w:rsid w:val="004639EB"/>
    <w:rsid w:val="00463CB6"/>
    <w:rsid w:val="0046412C"/>
    <w:rsid w:val="00464216"/>
    <w:rsid w:val="004647A9"/>
    <w:rsid w:val="00464953"/>
    <w:rsid w:val="00464C9D"/>
    <w:rsid w:val="00464D64"/>
    <w:rsid w:val="004658BE"/>
    <w:rsid w:val="00465B60"/>
    <w:rsid w:val="00465FF4"/>
    <w:rsid w:val="0046666B"/>
    <w:rsid w:val="004666D3"/>
    <w:rsid w:val="00466CA4"/>
    <w:rsid w:val="00466D57"/>
    <w:rsid w:val="00466E98"/>
    <w:rsid w:val="00466ED4"/>
    <w:rsid w:val="00466F35"/>
    <w:rsid w:val="00466F3A"/>
    <w:rsid w:val="00466FB2"/>
    <w:rsid w:val="00467332"/>
    <w:rsid w:val="004676EE"/>
    <w:rsid w:val="004677C8"/>
    <w:rsid w:val="00467930"/>
    <w:rsid w:val="0047070F"/>
    <w:rsid w:val="004708DF"/>
    <w:rsid w:val="00470B56"/>
    <w:rsid w:val="0047106A"/>
    <w:rsid w:val="00471132"/>
    <w:rsid w:val="00471143"/>
    <w:rsid w:val="00471405"/>
    <w:rsid w:val="00471448"/>
    <w:rsid w:val="00471671"/>
    <w:rsid w:val="00471702"/>
    <w:rsid w:val="004720E1"/>
    <w:rsid w:val="004721CD"/>
    <w:rsid w:val="00472285"/>
    <w:rsid w:val="00472354"/>
    <w:rsid w:val="00472414"/>
    <w:rsid w:val="00472B94"/>
    <w:rsid w:val="00472C20"/>
    <w:rsid w:val="00473104"/>
    <w:rsid w:val="004735F3"/>
    <w:rsid w:val="00473B3A"/>
    <w:rsid w:val="00473E70"/>
    <w:rsid w:val="00474459"/>
    <w:rsid w:val="00474AC2"/>
    <w:rsid w:val="00474AFB"/>
    <w:rsid w:val="00474EB4"/>
    <w:rsid w:val="00474EF5"/>
    <w:rsid w:val="0047508F"/>
    <w:rsid w:val="00475332"/>
    <w:rsid w:val="00475EF8"/>
    <w:rsid w:val="00475F6A"/>
    <w:rsid w:val="004763ED"/>
    <w:rsid w:val="0047671C"/>
    <w:rsid w:val="0047677B"/>
    <w:rsid w:val="0047694F"/>
    <w:rsid w:val="0047697F"/>
    <w:rsid w:val="00476A6A"/>
    <w:rsid w:val="00476EB7"/>
    <w:rsid w:val="0047703E"/>
    <w:rsid w:val="004773F5"/>
    <w:rsid w:val="00477409"/>
    <w:rsid w:val="0047788A"/>
    <w:rsid w:val="004779B5"/>
    <w:rsid w:val="00477B09"/>
    <w:rsid w:val="00477B12"/>
    <w:rsid w:val="0048088F"/>
    <w:rsid w:val="00480BFA"/>
    <w:rsid w:val="00481102"/>
    <w:rsid w:val="00481270"/>
    <w:rsid w:val="00481487"/>
    <w:rsid w:val="00481493"/>
    <w:rsid w:val="004815D0"/>
    <w:rsid w:val="00481669"/>
    <w:rsid w:val="00481905"/>
    <w:rsid w:val="00481BF5"/>
    <w:rsid w:val="00481C57"/>
    <w:rsid w:val="00481CF2"/>
    <w:rsid w:val="00481DE7"/>
    <w:rsid w:val="00481F68"/>
    <w:rsid w:val="00481FA7"/>
    <w:rsid w:val="004822D9"/>
    <w:rsid w:val="00482C56"/>
    <w:rsid w:val="00482D1B"/>
    <w:rsid w:val="00482D31"/>
    <w:rsid w:val="0048317E"/>
    <w:rsid w:val="00483241"/>
    <w:rsid w:val="00483A45"/>
    <w:rsid w:val="00483C0C"/>
    <w:rsid w:val="00483CC5"/>
    <w:rsid w:val="00483FF0"/>
    <w:rsid w:val="004844B8"/>
    <w:rsid w:val="0048521C"/>
    <w:rsid w:val="0048530B"/>
    <w:rsid w:val="0048551B"/>
    <w:rsid w:val="0048556C"/>
    <w:rsid w:val="00485796"/>
    <w:rsid w:val="00485910"/>
    <w:rsid w:val="00485A08"/>
    <w:rsid w:val="00485B8A"/>
    <w:rsid w:val="00485D58"/>
    <w:rsid w:val="0048602A"/>
    <w:rsid w:val="004861A8"/>
    <w:rsid w:val="00486435"/>
    <w:rsid w:val="004864AD"/>
    <w:rsid w:val="0048650F"/>
    <w:rsid w:val="004865B8"/>
    <w:rsid w:val="00486632"/>
    <w:rsid w:val="004866CE"/>
    <w:rsid w:val="00486CFA"/>
    <w:rsid w:val="0048737C"/>
    <w:rsid w:val="00487CA6"/>
    <w:rsid w:val="00487CC4"/>
    <w:rsid w:val="00487DFB"/>
    <w:rsid w:val="00487EE9"/>
    <w:rsid w:val="0049006B"/>
    <w:rsid w:val="00490308"/>
    <w:rsid w:val="00490319"/>
    <w:rsid w:val="00490655"/>
    <w:rsid w:val="004910AE"/>
    <w:rsid w:val="00491314"/>
    <w:rsid w:val="00491328"/>
    <w:rsid w:val="0049140C"/>
    <w:rsid w:val="0049146E"/>
    <w:rsid w:val="00491B69"/>
    <w:rsid w:val="00491EBA"/>
    <w:rsid w:val="00491F0A"/>
    <w:rsid w:val="00492374"/>
    <w:rsid w:val="004926B0"/>
    <w:rsid w:val="004926BB"/>
    <w:rsid w:val="004926D4"/>
    <w:rsid w:val="00492804"/>
    <w:rsid w:val="00492877"/>
    <w:rsid w:val="00493421"/>
    <w:rsid w:val="0049344B"/>
    <w:rsid w:val="00493746"/>
    <w:rsid w:val="004938E4"/>
    <w:rsid w:val="004938E7"/>
    <w:rsid w:val="00493A5E"/>
    <w:rsid w:val="00493BD6"/>
    <w:rsid w:val="00493CD4"/>
    <w:rsid w:val="00493D20"/>
    <w:rsid w:val="0049456D"/>
    <w:rsid w:val="004946D5"/>
    <w:rsid w:val="00494B56"/>
    <w:rsid w:val="00495236"/>
    <w:rsid w:val="0049540A"/>
    <w:rsid w:val="0049540C"/>
    <w:rsid w:val="00495443"/>
    <w:rsid w:val="00495811"/>
    <w:rsid w:val="00495B44"/>
    <w:rsid w:val="00495E24"/>
    <w:rsid w:val="004963B5"/>
    <w:rsid w:val="00496543"/>
    <w:rsid w:val="00496887"/>
    <w:rsid w:val="004968C8"/>
    <w:rsid w:val="0049690C"/>
    <w:rsid w:val="00496B4C"/>
    <w:rsid w:val="00496C91"/>
    <w:rsid w:val="00496E44"/>
    <w:rsid w:val="004972EB"/>
    <w:rsid w:val="0049738A"/>
    <w:rsid w:val="0049784F"/>
    <w:rsid w:val="004978D4"/>
    <w:rsid w:val="00497D78"/>
    <w:rsid w:val="00497D85"/>
    <w:rsid w:val="00497DB2"/>
    <w:rsid w:val="00497E7C"/>
    <w:rsid w:val="004A0114"/>
    <w:rsid w:val="004A0175"/>
    <w:rsid w:val="004A0411"/>
    <w:rsid w:val="004A05B0"/>
    <w:rsid w:val="004A060B"/>
    <w:rsid w:val="004A0937"/>
    <w:rsid w:val="004A0B49"/>
    <w:rsid w:val="004A0B56"/>
    <w:rsid w:val="004A100D"/>
    <w:rsid w:val="004A106C"/>
    <w:rsid w:val="004A1083"/>
    <w:rsid w:val="004A112A"/>
    <w:rsid w:val="004A12A6"/>
    <w:rsid w:val="004A16A7"/>
    <w:rsid w:val="004A1813"/>
    <w:rsid w:val="004A18F6"/>
    <w:rsid w:val="004A1990"/>
    <w:rsid w:val="004A19F3"/>
    <w:rsid w:val="004A1A7F"/>
    <w:rsid w:val="004A1A8C"/>
    <w:rsid w:val="004A202E"/>
    <w:rsid w:val="004A20D3"/>
    <w:rsid w:val="004A2401"/>
    <w:rsid w:val="004A2506"/>
    <w:rsid w:val="004A28D7"/>
    <w:rsid w:val="004A2A73"/>
    <w:rsid w:val="004A2BB9"/>
    <w:rsid w:val="004A2E60"/>
    <w:rsid w:val="004A3357"/>
    <w:rsid w:val="004A353D"/>
    <w:rsid w:val="004A3BCC"/>
    <w:rsid w:val="004A3C3A"/>
    <w:rsid w:val="004A3DC5"/>
    <w:rsid w:val="004A4149"/>
    <w:rsid w:val="004A4164"/>
    <w:rsid w:val="004A47F1"/>
    <w:rsid w:val="004A4BFE"/>
    <w:rsid w:val="004A4D30"/>
    <w:rsid w:val="004A4D70"/>
    <w:rsid w:val="004A5308"/>
    <w:rsid w:val="004A5342"/>
    <w:rsid w:val="004A566C"/>
    <w:rsid w:val="004A56B9"/>
    <w:rsid w:val="004A577E"/>
    <w:rsid w:val="004A57C6"/>
    <w:rsid w:val="004A5A42"/>
    <w:rsid w:val="004A5C81"/>
    <w:rsid w:val="004A5D9E"/>
    <w:rsid w:val="004A5FF0"/>
    <w:rsid w:val="004A626B"/>
    <w:rsid w:val="004A6295"/>
    <w:rsid w:val="004A63C4"/>
    <w:rsid w:val="004A6543"/>
    <w:rsid w:val="004A662B"/>
    <w:rsid w:val="004A6687"/>
    <w:rsid w:val="004A6930"/>
    <w:rsid w:val="004A696E"/>
    <w:rsid w:val="004A6B1C"/>
    <w:rsid w:val="004A6D08"/>
    <w:rsid w:val="004A70CD"/>
    <w:rsid w:val="004A7254"/>
    <w:rsid w:val="004A7289"/>
    <w:rsid w:val="004A769C"/>
    <w:rsid w:val="004A7815"/>
    <w:rsid w:val="004A787B"/>
    <w:rsid w:val="004A7E0B"/>
    <w:rsid w:val="004A7F79"/>
    <w:rsid w:val="004A7FE1"/>
    <w:rsid w:val="004B02E1"/>
    <w:rsid w:val="004B0306"/>
    <w:rsid w:val="004B099A"/>
    <w:rsid w:val="004B0A76"/>
    <w:rsid w:val="004B0C28"/>
    <w:rsid w:val="004B1766"/>
    <w:rsid w:val="004B1A64"/>
    <w:rsid w:val="004B1C7B"/>
    <w:rsid w:val="004B20B8"/>
    <w:rsid w:val="004B22C5"/>
    <w:rsid w:val="004B232A"/>
    <w:rsid w:val="004B2A75"/>
    <w:rsid w:val="004B2AA2"/>
    <w:rsid w:val="004B2C3F"/>
    <w:rsid w:val="004B39B3"/>
    <w:rsid w:val="004B3A37"/>
    <w:rsid w:val="004B3CDE"/>
    <w:rsid w:val="004B3EDD"/>
    <w:rsid w:val="004B4103"/>
    <w:rsid w:val="004B42ED"/>
    <w:rsid w:val="004B4327"/>
    <w:rsid w:val="004B435A"/>
    <w:rsid w:val="004B4371"/>
    <w:rsid w:val="004B43C5"/>
    <w:rsid w:val="004B4933"/>
    <w:rsid w:val="004B49F4"/>
    <w:rsid w:val="004B4A98"/>
    <w:rsid w:val="004B50BA"/>
    <w:rsid w:val="004B5498"/>
    <w:rsid w:val="004B5600"/>
    <w:rsid w:val="004B5899"/>
    <w:rsid w:val="004B5985"/>
    <w:rsid w:val="004B5B97"/>
    <w:rsid w:val="004B5FA2"/>
    <w:rsid w:val="004B600B"/>
    <w:rsid w:val="004B60E2"/>
    <w:rsid w:val="004B6509"/>
    <w:rsid w:val="004B6510"/>
    <w:rsid w:val="004B6896"/>
    <w:rsid w:val="004B6BEA"/>
    <w:rsid w:val="004B6DAE"/>
    <w:rsid w:val="004B6DE9"/>
    <w:rsid w:val="004B6E4B"/>
    <w:rsid w:val="004B6E56"/>
    <w:rsid w:val="004B6ED4"/>
    <w:rsid w:val="004B70CD"/>
    <w:rsid w:val="004B7168"/>
    <w:rsid w:val="004B73E8"/>
    <w:rsid w:val="004B79D1"/>
    <w:rsid w:val="004C007F"/>
    <w:rsid w:val="004C01A1"/>
    <w:rsid w:val="004C01C8"/>
    <w:rsid w:val="004C04E1"/>
    <w:rsid w:val="004C0C31"/>
    <w:rsid w:val="004C0FA8"/>
    <w:rsid w:val="004C100D"/>
    <w:rsid w:val="004C125D"/>
    <w:rsid w:val="004C12A2"/>
    <w:rsid w:val="004C1432"/>
    <w:rsid w:val="004C1471"/>
    <w:rsid w:val="004C1648"/>
    <w:rsid w:val="004C1839"/>
    <w:rsid w:val="004C1A83"/>
    <w:rsid w:val="004C234A"/>
    <w:rsid w:val="004C23B9"/>
    <w:rsid w:val="004C2759"/>
    <w:rsid w:val="004C2803"/>
    <w:rsid w:val="004C2BF8"/>
    <w:rsid w:val="004C2CD0"/>
    <w:rsid w:val="004C301C"/>
    <w:rsid w:val="004C335C"/>
    <w:rsid w:val="004C386E"/>
    <w:rsid w:val="004C386F"/>
    <w:rsid w:val="004C3874"/>
    <w:rsid w:val="004C3DF5"/>
    <w:rsid w:val="004C4350"/>
    <w:rsid w:val="004C4614"/>
    <w:rsid w:val="004C4D83"/>
    <w:rsid w:val="004C51A2"/>
    <w:rsid w:val="004C52C4"/>
    <w:rsid w:val="004C54F3"/>
    <w:rsid w:val="004C5678"/>
    <w:rsid w:val="004C60D3"/>
    <w:rsid w:val="004C65CF"/>
    <w:rsid w:val="004C6664"/>
    <w:rsid w:val="004C674B"/>
    <w:rsid w:val="004C6852"/>
    <w:rsid w:val="004C687F"/>
    <w:rsid w:val="004C69E5"/>
    <w:rsid w:val="004C6A70"/>
    <w:rsid w:val="004C6AE5"/>
    <w:rsid w:val="004C6E53"/>
    <w:rsid w:val="004C6F48"/>
    <w:rsid w:val="004C727B"/>
    <w:rsid w:val="004C730A"/>
    <w:rsid w:val="004C75C9"/>
    <w:rsid w:val="004C7855"/>
    <w:rsid w:val="004C7944"/>
    <w:rsid w:val="004C7C49"/>
    <w:rsid w:val="004C7D46"/>
    <w:rsid w:val="004D0031"/>
    <w:rsid w:val="004D0F4F"/>
    <w:rsid w:val="004D11EE"/>
    <w:rsid w:val="004D145A"/>
    <w:rsid w:val="004D1711"/>
    <w:rsid w:val="004D1816"/>
    <w:rsid w:val="004D1A0C"/>
    <w:rsid w:val="004D251B"/>
    <w:rsid w:val="004D25E3"/>
    <w:rsid w:val="004D2885"/>
    <w:rsid w:val="004D295C"/>
    <w:rsid w:val="004D2C00"/>
    <w:rsid w:val="004D2E36"/>
    <w:rsid w:val="004D2FE9"/>
    <w:rsid w:val="004D32C9"/>
    <w:rsid w:val="004D3515"/>
    <w:rsid w:val="004D360B"/>
    <w:rsid w:val="004D3C31"/>
    <w:rsid w:val="004D3C49"/>
    <w:rsid w:val="004D3EA0"/>
    <w:rsid w:val="004D400E"/>
    <w:rsid w:val="004D41BD"/>
    <w:rsid w:val="004D4261"/>
    <w:rsid w:val="004D4344"/>
    <w:rsid w:val="004D4460"/>
    <w:rsid w:val="004D4594"/>
    <w:rsid w:val="004D46B4"/>
    <w:rsid w:val="004D4BC2"/>
    <w:rsid w:val="004D4E27"/>
    <w:rsid w:val="004D508E"/>
    <w:rsid w:val="004D50E2"/>
    <w:rsid w:val="004D5175"/>
    <w:rsid w:val="004D53D6"/>
    <w:rsid w:val="004D5891"/>
    <w:rsid w:val="004D5A93"/>
    <w:rsid w:val="004D5B82"/>
    <w:rsid w:val="004D5C52"/>
    <w:rsid w:val="004D5DD0"/>
    <w:rsid w:val="004D6054"/>
    <w:rsid w:val="004D6076"/>
    <w:rsid w:val="004D60CB"/>
    <w:rsid w:val="004D619F"/>
    <w:rsid w:val="004D6288"/>
    <w:rsid w:val="004D63EB"/>
    <w:rsid w:val="004D64FE"/>
    <w:rsid w:val="004D655A"/>
    <w:rsid w:val="004D658E"/>
    <w:rsid w:val="004D670C"/>
    <w:rsid w:val="004D69EA"/>
    <w:rsid w:val="004D6A23"/>
    <w:rsid w:val="004D6B1A"/>
    <w:rsid w:val="004D6B53"/>
    <w:rsid w:val="004D6FCE"/>
    <w:rsid w:val="004D6FD1"/>
    <w:rsid w:val="004D7109"/>
    <w:rsid w:val="004D73D3"/>
    <w:rsid w:val="004D74AC"/>
    <w:rsid w:val="004D7839"/>
    <w:rsid w:val="004D7989"/>
    <w:rsid w:val="004D79C9"/>
    <w:rsid w:val="004D7CBF"/>
    <w:rsid w:val="004D7CC4"/>
    <w:rsid w:val="004E0080"/>
    <w:rsid w:val="004E00DB"/>
    <w:rsid w:val="004E098C"/>
    <w:rsid w:val="004E0ACA"/>
    <w:rsid w:val="004E0B0F"/>
    <w:rsid w:val="004E1323"/>
    <w:rsid w:val="004E19BF"/>
    <w:rsid w:val="004E1A63"/>
    <w:rsid w:val="004E1B03"/>
    <w:rsid w:val="004E1C2D"/>
    <w:rsid w:val="004E1D9F"/>
    <w:rsid w:val="004E1DA2"/>
    <w:rsid w:val="004E1ED6"/>
    <w:rsid w:val="004E1EF0"/>
    <w:rsid w:val="004E1FA6"/>
    <w:rsid w:val="004E1FFF"/>
    <w:rsid w:val="004E2254"/>
    <w:rsid w:val="004E22CF"/>
    <w:rsid w:val="004E28B5"/>
    <w:rsid w:val="004E28D7"/>
    <w:rsid w:val="004E2B1E"/>
    <w:rsid w:val="004E2B47"/>
    <w:rsid w:val="004E308B"/>
    <w:rsid w:val="004E30C2"/>
    <w:rsid w:val="004E30E1"/>
    <w:rsid w:val="004E310D"/>
    <w:rsid w:val="004E3110"/>
    <w:rsid w:val="004E3117"/>
    <w:rsid w:val="004E31F2"/>
    <w:rsid w:val="004E3494"/>
    <w:rsid w:val="004E35CB"/>
    <w:rsid w:val="004E36B0"/>
    <w:rsid w:val="004E36F4"/>
    <w:rsid w:val="004E37ED"/>
    <w:rsid w:val="004E39BE"/>
    <w:rsid w:val="004E3A9D"/>
    <w:rsid w:val="004E3BF7"/>
    <w:rsid w:val="004E40ED"/>
    <w:rsid w:val="004E4228"/>
    <w:rsid w:val="004E4267"/>
    <w:rsid w:val="004E4516"/>
    <w:rsid w:val="004E4639"/>
    <w:rsid w:val="004E48F7"/>
    <w:rsid w:val="004E511C"/>
    <w:rsid w:val="004E5145"/>
    <w:rsid w:val="004E5311"/>
    <w:rsid w:val="004E5497"/>
    <w:rsid w:val="004E55CE"/>
    <w:rsid w:val="004E5726"/>
    <w:rsid w:val="004E5797"/>
    <w:rsid w:val="004E598A"/>
    <w:rsid w:val="004E5A54"/>
    <w:rsid w:val="004E5CAA"/>
    <w:rsid w:val="004E5DA6"/>
    <w:rsid w:val="004E5FDB"/>
    <w:rsid w:val="004E60B6"/>
    <w:rsid w:val="004E6131"/>
    <w:rsid w:val="004E6580"/>
    <w:rsid w:val="004E698B"/>
    <w:rsid w:val="004E6A38"/>
    <w:rsid w:val="004E6B0D"/>
    <w:rsid w:val="004E6B81"/>
    <w:rsid w:val="004E7192"/>
    <w:rsid w:val="004E74E7"/>
    <w:rsid w:val="004E7595"/>
    <w:rsid w:val="004E75AD"/>
    <w:rsid w:val="004E77FC"/>
    <w:rsid w:val="004E7AD3"/>
    <w:rsid w:val="004E7C86"/>
    <w:rsid w:val="004E7DEC"/>
    <w:rsid w:val="004E7ECF"/>
    <w:rsid w:val="004F0401"/>
    <w:rsid w:val="004F0447"/>
    <w:rsid w:val="004F04AE"/>
    <w:rsid w:val="004F08EA"/>
    <w:rsid w:val="004F0A2D"/>
    <w:rsid w:val="004F0B43"/>
    <w:rsid w:val="004F0BCA"/>
    <w:rsid w:val="004F0C28"/>
    <w:rsid w:val="004F1076"/>
    <w:rsid w:val="004F1188"/>
    <w:rsid w:val="004F152F"/>
    <w:rsid w:val="004F15CD"/>
    <w:rsid w:val="004F1748"/>
    <w:rsid w:val="004F1B2E"/>
    <w:rsid w:val="004F1B73"/>
    <w:rsid w:val="004F1D43"/>
    <w:rsid w:val="004F21A6"/>
    <w:rsid w:val="004F23B7"/>
    <w:rsid w:val="004F2478"/>
    <w:rsid w:val="004F24FF"/>
    <w:rsid w:val="004F259B"/>
    <w:rsid w:val="004F2681"/>
    <w:rsid w:val="004F2790"/>
    <w:rsid w:val="004F2B7B"/>
    <w:rsid w:val="004F2E8D"/>
    <w:rsid w:val="004F36A1"/>
    <w:rsid w:val="004F3843"/>
    <w:rsid w:val="004F39B8"/>
    <w:rsid w:val="004F3D53"/>
    <w:rsid w:val="004F3DC2"/>
    <w:rsid w:val="004F44B0"/>
    <w:rsid w:val="004F4700"/>
    <w:rsid w:val="004F48A9"/>
    <w:rsid w:val="004F4DE6"/>
    <w:rsid w:val="004F5127"/>
    <w:rsid w:val="004F5271"/>
    <w:rsid w:val="004F543B"/>
    <w:rsid w:val="004F5552"/>
    <w:rsid w:val="004F59CD"/>
    <w:rsid w:val="004F647F"/>
    <w:rsid w:val="004F66C9"/>
    <w:rsid w:val="004F6926"/>
    <w:rsid w:val="004F69C7"/>
    <w:rsid w:val="004F6BBD"/>
    <w:rsid w:val="004F7269"/>
    <w:rsid w:val="004F72B8"/>
    <w:rsid w:val="004F73D5"/>
    <w:rsid w:val="004F7549"/>
    <w:rsid w:val="004F781F"/>
    <w:rsid w:val="004F785A"/>
    <w:rsid w:val="004F794B"/>
    <w:rsid w:val="004F79FE"/>
    <w:rsid w:val="004F7C4E"/>
    <w:rsid w:val="005004E5"/>
    <w:rsid w:val="00500661"/>
    <w:rsid w:val="005008E7"/>
    <w:rsid w:val="00500935"/>
    <w:rsid w:val="00500E2B"/>
    <w:rsid w:val="00501105"/>
    <w:rsid w:val="00501260"/>
    <w:rsid w:val="005013CA"/>
    <w:rsid w:val="005014EE"/>
    <w:rsid w:val="00501597"/>
    <w:rsid w:val="00501641"/>
    <w:rsid w:val="00501659"/>
    <w:rsid w:val="005016C6"/>
    <w:rsid w:val="00501A08"/>
    <w:rsid w:val="00501A93"/>
    <w:rsid w:val="00501B7E"/>
    <w:rsid w:val="0050201B"/>
    <w:rsid w:val="00502190"/>
    <w:rsid w:val="00502331"/>
    <w:rsid w:val="0050237D"/>
    <w:rsid w:val="005024A6"/>
    <w:rsid w:val="005029EC"/>
    <w:rsid w:val="00502C4B"/>
    <w:rsid w:val="00502DA4"/>
    <w:rsid w:val="00502DB3"/>
    <w:rsid w:val="005030D5"/>
    <w:rsid w:val="0050314B"/>
    <w:rsid w:val="0050362F"/>
    <w:rsid w:val="0050370B"/>
    <w:rsid w:val="0050377D"/>
    <w:rsid w:val="005039BD"/>
    <w:rsid w:val="005039DD"/>
    <w:rsid w:val="00503D83"/>
    <w:rsid w:val="00503E41"/>
    <w:rsid w:val="00503EBD"/>
    <w:rsid w:val="005043A8"/>
    <w:rsid w:val="005046EA"/>
    <w:rsid w:val="0050495B"/>
    <w:rsid w:val="00504BFB"/>
    <w:rsid w:val="00504CB5"/>
    <w:rsid w:val="00504F09"/>
    <w:rsid w:val="00505103"/>
    <w:rsid w:val="00505617"/>
    <w:rsid w:val="005057A5"/>
    <w:rsid w:val="005058F3"/>
    <w:rsid w:val="00505916"/>
    <w:rsid w:val="00505E25"/>
    <w:rsid w:val="005066E9"/>
    <w:rsid w:val="005069C9"/>
    <w:rsid w:val="00507004"/>
    <w:rsid w:val="005070B8"/>
    <w:rsid w:val="005072DC"/>
    <w:rsid w:val="00507362"/>
    <w:rsid w:val="0050792B"/>
    <w:rsid w:val="005079C8"/>
    <w:rsid w:val="005079F0"/>
    <w:rsid w:val="00507A3B"/>
    <w:rsid w:val="00507A3D"/>
    <w:rsid w:val="00507C76"/>
    <w:rsid w:val="00507CB9"/>
    <w:rsid w:val="00510257"/>
    <w:rsid w:val="0051073B"/>
    <w:rsid w:val="005107DD"/>
    <w:rsid w:val="00510BF0"/>
    <w:rsid w:val="00510D5B"/>
    <w:rsid w:val="00510DCD"/>
    <w:rsid w:val="00511083"/>
    <w:rsid w:val="005114B4"/>
    <w:rsid w:val="00511791"/>
    <w:rsid w:val="00511AC7"/>
    <w:rsid w:val="00511B67"/>
    <w:rsid w:val="00511C30"/>
    <w:rsid w:val="005124D0"/>
    <w:rsid w:val="00512632"/>
    <w:rsid w:val="00512A9D"/>
    <w:rsid w:val="00512B48"/>
    <w:rsid w:val="00512B5F"/>
    <w:rsid w:val="00512BA4"/>
    <w:rsid w:val="00512CC2"/>
    <w:rsid w:val="00512D1D"/>
    <w:rsid w:val="00512D95"/>
    <w:rsid w:val="00512F00"/>
    <w:rsid w:val="00513053"/>
    <w:rsid w:val="005139C3"/>
    <w:rsid w:val="00513B49"/>
    <w:rsid w:val="00513C37"/>
    <w:rsid w:val="00513C85"/>
    <w:rsid w:val="00513CA7"/>
    <w:rsid w:val="00514075"/>
    <w:rsid w:val="00514453"/>
    <w:rsid w:val="00514636"/>
    <w:rsid w:val="0051476F"/>
    <w:rsid w:val="005149AF"/>
    <w:rsid w:val="00514A75"/>
    <w:rsid w:val="005151D1"/>
    <w:rsid w:val="00515BAF"/>
    <w:rsid w:val="00515D2A"/>
    <w:rsid w:val="00515D47"/>
    <w:rsid w:val="0051634C"/>
    <w:rsid w:val="00516A49"/>
    <w:rsid w:val="00517019"/>
    <w:rsid w:val="005170EA"/>
    <w:rsid w:val="0051739B"/>
    <w:rsid w:val="00517757"/>
    <w:rsid w:val="00517AF9"/>
    <w:rsid w:val="00517B18"/>
    <w:rsid w:val="00517D0A"/>
    <w:rsid w:val="00517F7B"/>
    <w:rsid w:val="005200AC"/>
    <w:rsid w:val="00520281"/>
    <w:rsid w:val="005208F4"/>
    <w:rsid w:val="00521107"/>
    <w:rsid w:val="0052138B"/>
    <w:rsid w:val="005213F7"/>
    <w:rsid w:val="005215E8"/>
    <w:rsid w:val="00521872"/>
    <w:rsid w:val="00521BC2"/>
    <w:rsid w:val="00521CC6"/>
    <w:rsid w:val="00521DEC"/>
    <w:rsid w:val="005221AC"/>
    <w:rsid w:val="00522207"/>
    <w:rsid w:val="00522212"/>
    <w:rsid w:val="005229A6"/>
    <w:rsid w:val="005232BF"/>
    <w:rsid w:val="00523513"/>
    <w:rsid w:val="00523A6E"/>
    <w:rsid w:val="00523AAD"/>
    <w:rsid w:val="00523B4E"/>
    <w:rsid w:val="00524160"/>
    <w:rsid w:val="005246EE"/>
    <w:rsid w:val="00524705"/>
    <w:rsid w:val="0052485F"/>
    <w:rsid w:val="00525063"/>
    <w:rsid w:val="005251BE"/>
    <w:rsid w:val="0052573E"/>
    <w:rsid w:val="0052597F"/>
    <w:rsid w:val="00525BD9"/>
    <w:rsid w:val="00525D84"/>
    <w:rsid w:val="00525ECB"/>
    <w:rsid w:val="00525F24"/>
    <w:rsid w:val="005263DC"/>
    <w:rsid w:val="0052657F"/>
    <w:rsid w:val="00526753"/>
    <w:rsid w:val="00526790"/>
    <w:rsid w:val="00526953"/>
    <w:rsid w:val="00526B23"/>
    <w:rsid w:val="00526B71"/>
    <w:rsid w:val="00526EA7"/>
    <w:rsid w:val="00526EE6"/>
    <w:rsid w:val="0052711D"/>
    <w:rsid w:val="005271CF"/>
    <w:rsid w:val="00527489"/>
    <w:rsid w:val="005275B5"/>
    <w:rsid w:val="005279F4"/>
    <w:rsid w:val="00527C42"/>
    <w:rsid w:val="00527C9E"/>
    <w:rsid w:val="0053039B"/>
    <w:rsid w:val="005303B9"/>
    <w:rsid w:val="005304D1"/>
    <w:rsid w:val="00530761"/>
    <w:rsid w:val="005307A8"/>
    <w:rsid w:val="00530A52"/>
    <w:rsid w:val="00530A9D"/>
    <w:rsid w:val="0053175B"/>
    <w:rsid w:val="005318B7"/>
    <w:rsid w:val="00531B42"/>
    <w:rsid w:val="00531B52"/>
    <w:rsid w:val="00531BBB"/>
    <w:rsid w:val="00531CDB"/>
    <w:rsid w:val="00531DBF"/>
    <w:rsid w:val="005320EF"/>
    <w:rsid w:val="0053212F"/>
    <w:rsid w:val="005323EB"/>
    <w:rsid w:val="0053283F"/>
    <w:rsid w:val="005328E9"/>
    <w:rsid w:val="005329C7"/>
    <w:rsid w:val="00532AC5"/>
    <w:rsid w:val="00533717"/>
    <w:rsid w:val="00533949"/>
    <w:rsid w:val="00533CDB"/>
    <w:rsid w:val="00533EC2"/>
    <w:rsid w:val="005340E2"/>
    <w:rsid w:val="00534645"/>
    <w:rsid w:val="005347FE"/>
    <w:rsid w:val="00534984"/>
    <w:rsid w:val="005349E2"/>
    <w:rsid w:val="00534AF0"/>
    <w:rsid w:val="00534BC6"/>
    <w:rsid w:val="00534D83"/>
    <w:rsid w:val="00534EAA"/>
    <w:rsid w:val="00534EFF"/>
    <w:rsid w:val="00534F82"/>
    <w:rsid w:val="005355D0"/>
    <w:rsid w:val="00535698"/>
    <w:rsid w:val="00535ABF"/>
    <w:rsid w:val="00535AF8"/>
    <w:rsid w:val="00535FBE"/>
    <w:rsid w:val="00536006"/>
    <w:rsid w:val="005361D8"/>
    <w:rsid w:val="00536635"/>
    <w:rsid w:val="00536776"/>
    <w:rsid w:val="0053677D"/>
    <w:rsid w:val="00536910"/>
    <w:rsid w:val="00536D8C"/>
    <w:rsid w:val="0053730A"/>
    <w:rsid w:val="005379F3"/>
    <w:rsid w:val="00537ACB"/>
    <w:rsid w:val="00537BD4"/>
    <w:rsid w:val="00540158"/>
    <w:rsid w:val="005403E1"/>
    <w:rsid w:val="00540CF9"/>
    <w:rsid w:val="00540D20"/>
    <w:rsid w:val="005410A3"/>
    <w:rsid w:val="0054134E"/>
    <w:rsid w:val="005414F9"/>
    <w:rsid w:val="00541596"/>
    <w:rsid w:val="00541AD7"/>
    <w:rsid w:val="00541D8F"/>
    <w:rsid w:val="00541DB1"/>
    <w:rsid w:val="00541DFF"/>
    <w:rsid w:val="005420FE"/>
    <w:rsid w:val="0054236B"/>
    <w:rsid w:val="00542499"/>
    <w:rsid w:val="0054255A"/>
    <w:rsid w:val="0054259D"/>
    <w:rsid w:val="00542689"/>
    <w:rsid w:val="00542D47"/>
    <w:rsid w:val="00543083"/>
    <w:rsid w:val="0054309E"/>
    <w:rsid w:val="005432F7"/>
    <w:rsid w:val="005436C7"/>
    <w:rsid w:val="00543866"/>
    <w:rsid w:val="00543E6F"/>
    <w:rsid w:val="00543F10"/>
    <w:rsid w:val="00543F51"/>
    <w:rsid w:val="00544052"/>
    <w:rsid w:val="0054452B"/>
    <w:rsid w:val="0054463B"/>
    <w:rsid w:val="00544962"/>
    <w:rsid w:val="00544D07"/>
    <w:rsid w:val="005451B7"/>
    <w:rsid w:val="00545630"/>
    <w:rsid w:val="005461A3"/>
    <w:rsid w:val="0054625A"/>
    <w:rsid w:val="00546824"/>
    <w:rsid w:val="0054685E"/>
    <w:rsid w:val="00546A66"/>
    <w:rsid w:val="00546CC1"/>
    <w:rsid w:val="00546F0E"/>
    <w:rsid w:val="00546F7E"/>
    <w:rsid w:val="00546FD1"/>
    <w:rsid w:val="00547FCA"/>
    <w:rsid w:val="0055052C"/>
    <w:rsid w:val="00550658"/>
    <w:rsid w:val="00550F31"/>
    <w:rsid w:val="005510B9"/>
    <w:rsid w:val="005513D8"/>
    <w:rsid w:val="0055142D"/>
    <w:rsid w:val="005514AA"/>
    <w:rsid w:val="00551510"/>
    <w:rsid w:val="005518CF"/>
    <w:rsid w:val="005518E7"/>
    <w:rsid w:val="00551F17"/>
    <w:rsid w:val="005520B8"/>
    <w:rsid w:val="00552284"/>
    <w:rsid w:val="005523A9"/>
    <w:rsid w:val="00552453"/>
    <w:rsid w:val="00552676"/>
    <w:rsid w:val="00552819"/>
    <w:rsid w:val="00552A1B"/>
    <w:rsid w:val="0055310B"/>
    <w:rsid w:val="00553445"/>
    <w:rsid w:val="00553528"/>
    <w:rsid w:val="005536D1"/>
    <w:rsid w:val="00553885"/>
    <w:rsid w:val="005538FD"/>
    <w:rsid w:val="00553A16"/>
    <w:rsid w:val="00553A26"/>
    <w:rsid w:val="00553CA9"/>
    <w:rsid w:val="00553E9E"/>
    <w:rsid w:val="00554350"/>
    <w:rsid w:val="0055479B"/>
    <w:rsid w:val="00554CE1"/>
    <w:rsid w:val="00554CE9"/>
    <w:rsid w:val="00554D42"/>
    <w:rsid w:val="005550C7"/>
    <w:rsid w:val="00555191"/>
    <w:rsid w:val="00555339"/>
    <w:rsid w:val="0055550D"/>
    <w:rsid w:val="0055571E"/>
    <w:rsid w:val="005558D3"/>
    <w:rsid w:val="00555BA9"/>
    <w:rsid w:val="00556031"/>
    <w:rsid w:val="005564E7"/>
    <w:rsid w:val="0055650C"/>
    <w:rsid w:val="005568BD"/>
    <w:rsid w:val="00556CB9"/>
    <w:rsid w:val="00556E53"/>
    <w:rsid w:val="005571D5"/>
    <w:rsid w:val="00557982"/>
    <w:rsid w:val="005579D8"/>
    <w:rsid w:val="005603F5"/>
    <w:rsid w:val="005607D9"/>
    <w:rsid w:val="005608F2"/>
    <w:rsid w:val="00560D5B"/>
    <w:rsid w:val="00560DD2"/>
    <w:rsid w:val="005610C9"/>
    <w:rsid w:val="005613E0"/>
    <w:rsid w:val="005614DF"/>
    <w:rsid w:val="0056150D"/>
    <w:rsid w:val="00561755"/>
    <w:rsid w:val="00561A7E"/>
    <w:rsid w:val="00561B42"/>
    <w:rsid w:val="0056250D"/>
    <w:rsid w:val="005627DD"/>
    <w:rsid w:val="00562A09"/>
    <w:rsid w:val="00562AF1"/>
    <w:rsid w:val="00562B47"/>
    <w:rsid w:val="00562BD4"/>
    <w:rsid w:val="00562C7A"/>
    <w:rsid w:val="00562CD5"/>
    <w:rsid w:val="00562DCE"/>
    <w:rsid w:val="00562EB9"/>
    <w:rsid w:val="005631A6"/>
    <w:rsid w:val="0056341B"/>
    <w:rsid w:val="005636CF"/>
    <w:rsid w:val="005637E0"/>
    <w:rsid w:val="005638A0"/>
    <w:rsid w:val="00563B41"/>
    <w:rsid w:val="00564559"/>
    <w:rsid w:val="00564898"/>
    <w:rsid w:val="00564963"/>
    <w:rsid w:val="005650A6"/>
    <w:rsid w:val="0056519A"/>
    <w:rsid w:val="005652AD"/>
    <w:rsid w:val="0056556A"/>
    <w:rsid w:val="0056573B"/>
    <w:rsid w:val="00565881"/>
    <w:rsid w:val="005658EE"/>
    <w:rsid w:val="0056594D"/>
    <w:rsid w:val="00565A55"/>
    <w:rsid w:val="00565AC0"/>
    <w:rsid w:val="00565D3C"/>
    <w:rsid w:val="00565EC9"/>
    <w:rsid w:val="005661C5"/>
    <w:rsid w:val="00566287"/>
    <w:rsid w:val="00566348"/>
    <w:rsid w:val="00566B89"/>
    <w:rsid w:val="00566F56"/>
    <w:rsid w:val="005670AC"/>
    <w:rsid w:val="0056710D"/>
    <w:rsid w:val="005676D8"/>
    <w:rsid w:val="005678AA"/>
    <w:rsid w:val="005679B9"/>
    <w:rsid w:val="005679DD"/>
    <w:rsid w:val="00567B36"/>
    <w:rsid w:val="00567BD9"/>
    <w:rsid w:val="00570097"/>
    <w:rsid w:val="005700B0"/>
    <w:rsid w:val="00570118"/>
    <w:rsid w:val="005705BA"/>
    <w:rsid w:val="005705DF"/>
    <w:rsid w:val="00570741"/>
    <w:rsid w:val="00570A8F"/>
    <w:rsid w:val="00570A95"/>
    <w:rsid w:val="00570DF8"/>
    <w:rsid w:val="00570FED"/>
    <w:rsid w:val="005711D8"/>
    <w:rsid w:val="005714E9"/>
    <w:rsid w:val="0057170B"/>
    <w:rsid w:val="005718EA"/>
    <w:rsid w:val="00571BD5"/>
    <w:rsid w:val="00571CFD"/>
    <w:rsid w:val="00572387"/>
    <w:rsid w:val="005723A7"/>
    <w:rsid w:val="0057276C"/>
    <w:rsid w:val="00573223"/>
    <w:rsid w:val="00573356"/>
    <w:rsid w:val="00573367"/>
    <w:rsid w:val="0057336D"/>
    <w:rsid w:val="00573833"/>
    <w:rsid w:val="0057385F"/>
    <w:rsid w:val="005738C3"/>
    <w:rsid w:val="00573937"/>
    <w:rsid w:val="005739E0"/>
    <w:rsid w:val="00573A20"/>
    <w:rsid w:val="00573C7E"/>
    <w:rsid w:val="0057414B"/>
    <w:rsid w:val="005743D8"/>
    <w:rsid w:val="0057488D"/>
    <w:rsid w:val="005749AD"/>
    <w:rsid w:val="00574BF3"/>
    <w:rsid w:val="00574CE8"/>
    <w:rsid w:val="00574EEB"/>
    <w:rsid w:val="005753AF"/>
    <w:rsid w:val="00575543"/>
    <w:rsid w:val="00575CA1"/>
    <w:rsid w:val="00575CE4"/>
    <w:rsid w:val="00575CE9"/>
    <w:rsid w:val="0057613B"/>
    <w:rsid w:val="00576206"/>
    <w:rsid w:val="005763AE"/>
    <w:rsid w:val="0057642C"/>
    <w:rsid w:val="005764BA"/>
    <w:rsid w:val="005765E5"/>
    <w:rsid w:val="00576988"/>
    <w:rsid w:val="00576BE1"/>
    <w:rsid w:val="00576C54"/>
    <w:rsid w:val="00576D48"/>
    <w:rsid w:val="00576FBE"/>
    <w:rsid w:val="00576FC2"/>
    <w:rsid w:val="00577269"/>
    <w:rsid w:val="0057785F"/>
    <w:rsid w:val="005778B2"/>
    <w:rsid w:val="00577949"/>
    <w:rsid w:val="00577A11"/>
    <w:rsid w:val="00577C5A"/>
    <w:rsid w:val="00577CCA"/>
    <w:rsid w:val="00577D46"/>
    <w:rsid w:val="00577FA2"/>
    <w:rsid w:val="005800C5"/>
    <w:rsid w:val="00580590"/>
    <w:rsid w:val="00580B5A"/>
    <w:rsid w:val="005810E1"/>
    <w:rsid w:val="0058138F"/>
    <w:rsid w:val="00581462"/>
    <w:rsid w:val="00581A63"/>
    <w:rsid w:val="00581C71"/>
    <w:rsid w:val="00582160"/>
    <w:rsid w:val="0058223C"/>
    <w:rsid w:val="00582495"/>
    <w:rsid w:val="0058258D"/>
    <w:rsid w:val="00582697"/>
    <w:rsid w:val="00582B12"/>
    <w:rsid w:val="00582F32"/>
    <w:rsid w:val="00582F94"/>
    <w:rsid w:val="005831FF"/>
    <w:rsid w:val="00583262"/>
    <w:rsid w:val="00583805"/>
    <w:rsid w:val="0058384C"/>
    <w:rsid w:val="00583D50"/>
    <w:rsid w:val="00583D94"/>
    <w:rsid w:val="00583E64"/>
    <w:rsid w:val="00583F72"/>
    <w:rsid w:val="0058400F"/>
    <w:rsid w:val="00584088"/>
    <w:rsid w:val="00584179"/>
    <w:rsid w:val="005843A7"/>
    <w:rsid w:val="00584799"/>
    <w:rsid w:val="0058484B"/>
    <w:rsid w:val="00584881"/>
    <w:rsid w:val="00584B43"/>
    <w:rsid w:val="00584C2E"/>
    <w:rsid w:val="00584CA3"/>
    <w:rsid w:val="00585073"/>
    <w:rsid w:val="00585123"/>
    <w:rsid w:val="005851EF"/>
    <w:rsid w:val="00585274"/>
    <w:rsid w:val="005852E3"/>
    <w:rsid w:val="005854A0"/>
    <w:rsid w:val="005859B6"/>
    <w:rsid w:val="005860D2"/>
    <w:rsid w:val="005864CD"/>
    <w:rsid w:val="005865BF"/>
    <w:rsid w:val="005866A9"/>
    <w:rsid w:val="00586850"/>
    <w:rsid w:val="00586AC0"/>
    <w:rsid w:val="00586F1C"/>
    <w:rsid w:val="00587264"/>
    <w:rsid w:val="0058748D"/>
    <w:rsid w:val="005877F1"/>
    <w:rsid w:val="00587A30"/>
    <w:rsid w:val="00587B30"/>
    <w:rsid w:val="00587B9D"/>
    <w:rsid w:val="00587BB2"/>
    <w:rsid w:val="00587DB7"/>
    <w:rsid w:val="00587EE3"/>
    <w:rsid w:val="00587F3E"/>
    <w:rsid w:val="00587FFA"/>
    <w:rsid w:val="00590591"/>
    <w:rsid w:val="005906DD"/>
    <w:rsid w:val="005908C7"/>
    <w:rsid w:val="00590DC0"/>
    <w:rsid w:val="00591037"/>
    <w:rsid w:val="00591080"/>
    <w:rsid w:val="005910FB"/>
    <w:rsid w:val="0059150F"/>
    <w:rsid w:val="005919C0"/>
    <w:rsid w:val="00591B96"/>
    <w:rsid w:val="005920A6"/>
    <w:rsid w:val="00592ABF"/>
    <w:rsid w:val="00592CE3"/>
    <w:rsid w:val="00592DB8"/>
    <w:rsid w:val="00592F08"/>
    <w:rsid w:val="0059301B"/>
    <w:rsid w:val="005939A9"/>
    <w:rsid w:val="005939FC"/>
    <w:rsid w:val="00593BD2"/>
    <w:rsid w:val="00593C5E"/>
    <w:rsid w:val="00593C76"/>
    <w:rsid w:val="00593CE9"/>
    <w:rsid w:val="00593F37"/>
    <w:rsid w:val="00593F44"/>
    <w:rsid w:val="00593FD1"/>
    <w:rsid w:val="00594061"/>
    <w:rsid w:val="00594070"/>
    <w:rsid w:val="0059425B"/>
    <w:rsid w:val="005942D2"/>
    <w:rsid w:val="00594448"/>
    <w:rsid w:val="00594845"/>
    <w:rsid w:val="00594A0F"/>
    <w:rsid w:val="00594A1D"/>
    <w:rsid w:val="00594BCA"/>
    <w:rsid w:val="00594F2D"/>
    <w:rsid w:val="00595399"/>
    <w:rsid w:val="00595426"/>
    <w:rsid w:val="00595A1A"/>
    <w:rsid w:val="00595A93"/>
    <w:rsid w:val="00595F7C"/>
    <w:rsid w:val="00595FB4"/>
    <w:rsid w:val="0059622E"/>
    <w:rsid w:val="0059623F"/>
    <w:rsid w:val="00596895"/>
    <w:rsid w:val="00596943"/>
    <w:rsid w:val="0059697D"/>
    <w:rsid w:val="00596C40"/>
    <w:rsid w:val="0059717D"/>
    <w:rsid w:val="005971FB"/>
    <w:rsid w:val="0059731D"/>
    <w:rsid w:val="00597818"/>
    <w:rsid w:val="00597D69"/>
    <w:rsid w:val="005A0371"/>
    <w:rsid w:val="005A0390"/>
    <w:rsid w:val="005A03A5"/>
    <w:rsid w:val="005A0704"/>
    <w:rsid w:val="005A09E3"/>
    <w:rsid w:val="005A0B73"/>
    <w:rsid w:val="005A0FAE"/>
    <w:rsid w:val="005A1044"/>
    <w:rsid w:val="005A130A"/>
    <w:rsid w:val="005A1882"/>
    <w:rsid w:val="005A1BA5"/>
    <w:rsid w:val="005A1C5C"/>
    <w:rsid w:val="005A1CAC"/>
    <w:rsid w:val="005A1D6A"/>
    <w:rsid w:val="005A1F0C"/>
    <w:rsid w:val="005A215E"/>
    <w:rsid w:val="005A2223"/>
    <w:rsid w:val="005A25A7"/>
    <w:rsid w:val="005A270C"/>
    <w:rsid w:val="005A29E4"/>
    <w:rsid w:val="005A2AB0"/>
    <w:rsid w:val="005A2BE2"/>
    <w:rsid w:val="005A2CA3"/>
    <w:rsid w:val="005A2CD9"/>
    <w:rsid w:val="005A2DAD"/>
    <w:rsid w:val="005A30E7"/>
    <w:rsid w:val="005A3708"/>
    <w:rsid w:val="005A3E9A"/>
    <w:rsid w:val="005A4326"/>
    <w:rsid w:val="005A49F4"/>
    <w:rsid w:val="005A4FE6"/>
    <w:rsid w:val="005A50FF"/>
    <w:rsid w:val="005A5442"/>
    <w:rsid w:val="005A5449"/>
    <w:rsid w:val="005A55C9"/>
    <w:rsid w:val="005A56B0"/>
    <w:rsid w:val="005A5896"/>
    <w:rsid w:val="005A5AB7"/>
    <w:rsid w:val="005A5B20"/>
    <w:rsid w:val="005A5DF4"/>
    <w:rsid w:val="005A5FC8"/>
    <w:rsid w:val="005A611E"/>
    <w:rsid w:val="005A6141"/>
    <w:rsid w:val="005A6323"/>
    <w:rsid w:val="005A643C"/>
    <w:rsid w:val="005A6767"/>
    <w:rsid w:val="005A6954"/>
    <w:rsid w:val="005A698B"/>
    <w:rsid w:val="005A6A9D"/>
    <w:rsid w:val="005A6ADC"/>
    <w:rsid w:val="005A6B05"/>
    <w:rsid w:val="005A6E21"/>
    <w:rsid w:val="005A7028"/>
    <w:rsid w:val="005A7234"/>
    <w:rsid w:val="005A7633"/>
    <w:rsid w:val="005A77CC"/>
    <w:rsid w:val="005A79D3"/>
    <w:rsid w:val="005B0015"/>
    <w:rsid w:val="005B0227"/>
    <w:rsid w:val="005B02CD"/>
    <w:rsid w:val="005B055B"/>
    <w:rsid w:val="005B0A46"/>
    <w:rsid w:val="005B0CF4"/>
    <w:rsid w:val="005B0F93"/>
    <w:rsid w:val="005B190C"/>
    <w:rsid w:val="005B1C4E"/>
    <w:rsid w:val="005B28EC"/>
    <w:rsid w:val="005B2FF6"/>
    <w:rsid w:val="005B302C"/>
    <w:rsid w:val="005B33BF"/>
    <w:rsid w:val="005B34AD"/>
    <w:rsid w:val="005B3528"/>
    <w:rsid w:val="005B392A"/>
    <w:rsid w:val="005B396B"/>
    <w:rsid w:val="005B3AC6"/>
    <w:rsid w:val="005B3BC1"/>
    <w:rsid w:val="005B3DCB"/>
    <w:rsid w:val="005B420B"/>
    <w:rsid w:val="005B42CD"/>
    <w:rsid w:val="005B4311"/>
    <w:rsid w:val="005B4315"/>
    <w:rsid w:val="005B4384"/>
    <w:rsid w:val="005B447A"/>
    <w:rsid w:val="005B4A09"/>
    <w:rsid w:val="005B4AFC"/>
    <w:rsid w:val="005B4E32"/>
    <w:rsid w:val="005B51AE"/>
    <w:rsid w:val="005B52CB"/>
    <w:rsid w:val="005B61F2"/>
    <w:rsid w:val="005B6336"/>
    <w:rsid w:val="005B638D"/>
    <w:rsid w:val="005B6CE2"/>
    <w:rsid w:val="005B756D"/>
    <w:rsid w:val="005B763C"/>
    <w:rsid w:val="005B76AC"/>
    <w:rsid w:val="005B7A8C"/>
    <w:rsid w:val="005B7E6C"/>
    <w:rsid w:val="005C00A2"/>
    <w:rsid w:val="005C040A"/>
    <w:rsid w:val="005C07DC"/>
    <w:rsid w:val="005C0A50"/>
    <w:rsid w:val="005C0D1C"/>
    <w:rsid w:val="005C0D6D"/>
    <w:rsid w:val="005C1102"/>
    <w:rsid w:val="005C1335"/>
    <w:rsid w:val="005C14E7"/>
    <w:rsid w:val="005C16D5"/>
    <w:rsid w:val="005C1C91"/>
    <w:rsid w:val="005C1CB7"/>
    <w:rsid w:val="005C1CCE"/>
    <w:rsid w:val="005C1D61"/>
    <w:rsid w:val="005C1DC7"/>
    <w:rsid w:val="005C24B1"/>
    <w:rsid w:val="005C254E"/>
    <w:rsid w:val="005C2A0B"/>
    <w:rsid w:val="005C2A89"/>
    <w:rsid w:val="005C2DF1"/>
    <w:rsid w:val="005C30A4"/>
    <w:rsid w:val="005C3176"/>
    <w:rsid w:val="005C32EB"/>
    <w:rsid w:val="005C3324"/>
    <w:rsid w:val="005C3488"/>
    <w:rsid w:val="005C3992"/>
    <w:rsid w:val="005C445B"/>
    <w:rsid w:val="005C4944"/>
    <w:rsid w:val="005C4B7C"/>
    <w:rsid w:val="005C4B98"/>
    <w:rsid w:val="005C5168"/>
    <w:rsid w:val="005C576E"/>
    <w:rsid w:val="005C5813"/>
    <w:rsid w:val="005C5D8D"/>
    <w:rsid w:val="005C6107"/>
    <w:rsid w:val="005C6184"/>
    <w:rsid w:val="005C634A"/>
    <w:rsid w:val="005C63C0"/>
    <w:rsid w:val="005C6635"/>
    <w:rsid w:val="005C667A"/>
    <w:rsid w:val="005C6725"/>
    <w:rsid w:val="005C672B"/>
    <w:rsid w:val="005C6979"/>
    <w:rsid w:val="005C6AB3"/>
    <w:rsid w:val="005C6EC8"/>
    <w:rsid w:val="005C7078"/>
    <w:rsid w:val="005C7D83"/>
    <w:rsid w:val="005C7EB2"/>
    <w:rsid w:val="005D03E4"/>
    <w:rsid w:val="005D0533"/>
    <w:rsid w:val="005D0C8F"/>
    <w:rsid w:val="005D10FA"/>
    <w:rsid w:val="005D14CC"/>
    <w:rsid w:val="005D15F7"/>
    <w:rsid w:val="005D17E4"/>
    <w:rsid w:val="005D23C5"/>
    <w:rsid w:val="005D2457"/>
    <w:rsid w:val="005D24C5"/>
    <w:rsid w:val="005D25E8"/>
    <w:rsid w:val="005D2700"/>
    <w:rsid w:val="005D2821"/>
    <w:rsid w:val="005D28DC"/>
    <w:rsid w:val="005D29C5"/>
    <w:rsid w:val="005D2B75"/>
    <w:rsid w:val="005D2ED6"/>
    <w:rsid w:val="005D32F5"/>
    <w:rsid w:val="005D34A7"/>
    <w:rsid w:val="005D378B"/>
    <w:rsid w:val="005D37E3"/>
    <w:rsid w:val="005D3850"/>
    <w:rsid w:val="005D386E"/>
    <w:rsid w:val="005D3B3E"/>
    <w:rsid w:val="005D3C38"/>
    <w:rsid w:val="005D4008"/>
    <w:rsid w:val="005D40C0"/>
    <w:rsid w:val="005D434A"/>
    <w:rsid w:val="005D458E"/>
    <w:rsid w:val="005D4904"/>
    <w:rsid w:val="005D4FE9"/>
    <w:rsid w:val="005D50B4"/>
    <w:rsid w:val="005D55D1"/>
    <w:rsid w:val="005D5BA0"/>
    <w:rsid w:val="005D5F4D"/>
    <w:rsid w:val="005D6556"/>
    <w:rsid w:val="005D6682"/>
    <w:rsid w:val="005D6755"/>
    <w:rsid w:val="005D68A4"/>
    <w:rsid w:val="005D6A74"/>
    <w:rsid w:val="005D6B2F"/>
    <w:rsid w:val="005D6BD4"/>
    <w:rsid w:val="005D6DDB"/>
    <w:rsid w:val="005D6ECE"/>
    <w:rsid w:val="005D6FE5"/>
    <w:rsid w:val="005D72E5"/>
    <w:rsid w:val="005D7405"/>
    <w:rsid w:val="005D7462"/>
    <w:rsid w:val="005D7AD4"/>
    <w:rsid w:val="005D7C17"/>
    <w:rsid w:val="005D7C2D"/>
    <w:rsid w:val="005D7FE2"/>
    <w:rsid w:val="005E0437"/>
    <w:rsid w:val="005E043E"/>
    <w:rsid w:val="005E0825"/>
    <w:rsid w:val="005E08AF"/>
    <w:rsid w:val="005E0D01"/>
    <w:rsid w:val="005E0D0F"/>
    <w:rsid w:val="005E0D14"/>
    <w:rsid w:val="005E0D93"/>
    <w:rsid w:val="005E0F67"/>
    <w:rsid w:val="005E1108"/>
    <w:rsid w:val="005E1132"/>
    <w:rsid w:val="005E1133"/>
    <w:rsid w:val="005E124D"/>
    <w:rsid w:val="005E1259"/>
    <w:rsid w:val="005E1300"/>
    <w:rsid w:val="005E13D2"/>
    <w:rsid w:val="005E1731"/>
    <w:rsid w:val="005E1B00"/>
    <w:rsid w:val="005E1B20"/>
    <w:rsid w:val="005E1FB1"/>
    <w:rsid w:val="005E2057"/>
    <w:rsid w:val="005E2082"/>
    <w:rsid w:val="005E2265"/>
    <w:rsid w:val="005E2615"/>
    <w:rsid w:val="005E26FF"/>
    <w:rsid w:val="005E2731"/>
    <w:rsid w:val="005E2921"/>
    <w:rsid w:val="005E2B20"/>
    <w:rsid w:val="005E2B89"/>
    <w:rsid w:val="005E2DE6"/>
    <w:rsid w:val="005E2E6C"/>
    <w:rsid w:val="005E2EC5"/>
    <w:rsid w:val="005E2ECB"/>
    <w:rsid w:val="005E30AB"/>
    <w:rsid w:val="005E310C"/>
    <w:rsid w:val="005E3258"/>
    <w:rsid w:val="005E33E7"/>
    <w:rsid w:val="005E3CD3"/>
    <w:rsid w:val="005E3D34"/>
    <w:rsid w:val="005E483E"/>
    <w:rsid w:val="005E4AB9"/>
    <w:rsid w:val="005E4C47"/>
    <w:rsid w:val="005E5546"/>
    <w:rsid w:val="005E5955"/>
    <w:rsid w:val="005E5AFB"/>
    <w:rsid w:val="005E65BF"/>
    <w:rsid w:val="005E68E4"/>
    <w:rsid w:val="005E6960"/>
    <w:rsid w:val="005E6AB4"/>
    <w:rsid w:val="005E6E02"/>
    <w:rsid w:val="005E6FD8"/>
    <w:rsid w:val="005E707D"/>
    <w:rsid w:val="005E7A7D"/>
    <w:rsid w:val="005F015B"/>
    <w:rsid w:val="005F0163"/>
    <w:rsid w:val="005F031D"/>
    <w:rsid w:val="005F03B6"/>
    <w:rsid w:val="005F03D4"/>
    <w:rsid w:val="005F0466"/>
    <w:rsid w:val="005F04CE"/>
    <w:rsid w:val="005F06DE"/>
    <w:rsid w:val="005F06FC"/>
    <w:rsid w:val="005F0A31"/>
    <w:rsid w:val="005F0ADF"/>
    <w:rsid w:val="005F0DDA"/>
    <w:rsid w:val="005F0EF3"/>
    <w:rsid w:val="005F121D"/>
    <w:rsid w:val="005F156F"/>
    <w:rsid w:val="005F1AFD"/>
    <w:rsid w:val="005F1EC4"/>
    <w:rsid w:val="005F1F0D"/>
    <w:rsid w:val="005F2222"/>
    <w:rsid w:val="005F2680"/>
    <w:rsid w:val="005F27A7"/>
    <w:rsid w:val="005F2A4D"/>
    <w:rsid w:val="005F2AB8"/>
    <w:rsid w:val="005F2B1E"/>
    <w:rsid w:val="005F2B9A"/>
    <w:rsid w:val="005F2F90"/>
    <w:rsid w:val="005F3003"/>
    <w:rsid w:val="005F33BE"/>
    <w:rsid w:val="005F3664"/>
    <w:rsid w:val="005F3839"/>
    <w:rsid w:val="005F3979"/>
    <w:rsid w:val="005F39C7"/>
    <w:rsid w:val="005F3D98"/>
    <w:rsid w:val="005F3E38"/>
    <w:rsid w:val="005F3F8F"/>
    <w:rsid w:val="005F4187"/>
    <w:rsid w:val="005F4285"/>
    <w:rsid w:val="005F42B7"/>
    <w:rsid w:val="005F43F9"/>
    <w:rsid w:val="005F516D"/>
    <w:rsid w:val="005F5339"/>
    <w:rsid w:val="005F53D7"/>
    <w:rsid w:val="005F54C4"/>
    <w:rsid w:val="005F56E3"/>
    <w:rsid w:val="005F572F"/>
    <w:rsid w:val="005F5880"/>
    <w:rsid w:val="005F59DD"/>
    <w:rsid w:val="005F5AED"/>
    <w:rsid w:val="005F65C9"/>
    <w:rsid w:val="005F6887"/>
    <w:rsid w:val="005F6E73"/>
    <w:rsid w:val="005F715C"/>
    <w:rsid w:val="005F7646"/>
    <w:rsid w:val="005F77B8"/>
    <w:rsid w:val="005F7BAE"/>
    <w:rsid w:val="005F7BC3"/>
    <w:rsid w:val="005F7BD5"/>
    <w:rsid w:val="005F7C9A"/>
    <w:rsid w:val="005F7D13"/>
    <w:rsid w:val="005F7E01"/>
    <w:rsid w:val="006004D7"/>
    <w:rsid w:val="00600565"/>
    <w:rsid w:val="0060094A"/>
    <w:rsid w:val="00600C40"/>
    <w:rsid w:val="00601219"/>
    <w:rsid w:val="0060179E"/>
    <w:rsid w:val="0060206A"/>
    <w:rsid w:val="00602527"/>
    <w:rsid w:val="0060278A"/>
    <w:rsid w:val="00602D43"/>
    <w:rsid w:val="00603035"/>
    <w:rsid w:val="0060326A"/>
    <w:rsid w:val="00603553"/>
    <w:rsid w:val="006037C3"/>
    <w:rsid w:val="006037F9"/>
    <w:rsid w:val="00603874"/>
    <w:rsid w:val="0060387B"/>
    <w:rsid w:val="00603B52"/>
    <w:rsid w:val="00603BF8"/>
    <w:rsid w:val="0060447E"/>
    <w:rsid w:val="00604643"/>
    <w:rsid w:val="006047EC"/>
    <w:rsid w:val="0060483A"/>
    <w:rsid w:val="00604A4E"/>
    <w:rsid w:val="00604C91"/>
    <w:rsid w:val="00604E85"/>
    <w:rsid w:val="00605423"/>
    <w:rsid w:val="00605600"/>
    <w:rsid w:val="00605834"/>
    <w:rsid w:val="0060584D"/>
    <w:rsid w:val="00605A47"/>
    <w:rsid w:val="00605A81"/>
    <w:rsid w:val="00605C24"/>
    <w:rsid w:val="00605C34"/>
    <w:rsid w:val="00605CCA"/>
    <w:rsid w:val="00605F5F"/>
    <w:rsid w:val="00605FD8"/>
    <w:rsid w:val="0060630C"/>
    <w:rsid w:val="0060640C"/>
    <w:rsid w:val="0060660A"/>
    <w:rsid w:val="00606757"/>
    <w:rsid w:val="00606D0C"/>
    <w:rsid w:val="00606ECC"/>
    <w:rsid w:val="00606FDB"/>
    <w:rsid w:val="00607839"/>
    <w:rsid w:val="0060796B"/>
    <w:rsid w:val="00607BC0"/>
    <w:rsid w:val="00607D2B"/>
    <w:rsid w:val="00610018"/>
    <w:rsid w:val="006102E5"/>
    <w:rsid w:val="00610498"/>
    <w:rsid w:val="0061056C"/>
    <w:rsid w:val="0061088D"/>
    <w:rsid w:val="006109BB"/>
    <w:rsid w:val="00610B83"/>
    <w:rsid w:val="0061141D"/>
    <w:rsid w:val="006114A5"/>
    <w:rsid w:val="006114BE"/>
    <w:rsid w:val="006117EF"/>
    <w:rsid w:val="006119D0"/>
    <w:rsid w:val="00611B09"/>
    <w:rsid w:val="00611BD7"/>
    <w:rsid w:val="00611C98"/>
    <w:rsid w:val="00611E4D"/>
    <w:rsid w:val="00611F7B"/>
    <w:rsid w:val="0061211C"/>
    <w:rsid w:val="0061248D"/>
    <w:rsid w:val="006124A2"/>
    <w:rsid w:val="00612A42"/>
    <w:rsid w:val="00612A65"/>
    <w:rsid w:val="00612C2E"/>
    <w:rsid w:val="00612D31"/>
    <w:rsid w:val="00612DB3"/>
    <w:rsid w:val="00612E07"/>
    <w:rsid w:val="00613033"/>
    <w:rsid w:val="006130F5"/>
    <w:rsid w:val="006132A4"/>
    <w:rsid w:val="00613518"/>
    <w:rsid w:val="006135F3"/>
    <w:rsid w:val="00613E82"/>
    <w:rsid w:val="00613F7A"/>
    <w:rsid w:val="006148C1"/>
    <w:rsid w:val="00614BDF"/>
    <w:rsid w:val="00614D78"/>
    <w:rsid w:val="00614FC8"/>
    <w:rsid w:val="006151B3"/>
    <w:rsid w:val="006151D9"/>
    <w:rsid w:val="006152B7"/>
    <w:rsid w:val="00615770"/>
    <w:rsid w:val="0061583B"/>
    <w:rsid w:val="00615C99"/>
    <w:rsid w:val="00616138"/>
    <w:rsid w:val="0061629D"/>
    <w:rsid w:val="00616764"/>
    <w:rsid w:val="0061691F"/>
    <w:rsid w:val="00616B38"/>
    <w:rsid w:val="00616EEA"/>
    <w:rsid w:val="006177A3"/>
    <w:rsid w:val="00617A5E"/>
    <w:rsid w:val="00617A9F"/>
    <w:rsid w:val="00617F10"/>
    <w:rsid w:val="00620A46"/>
    <w:rsid w:val="00620C4C"/>
    <w:rsid w:val="00621141"/>
    <w:rsid w:val="006211CC"/>
    <w:rsid w:val="0062135E"/>
    <w:rsid w:val="0062151B"/>
    <w:rsid w:val="00621C8C"/>
    <w:rsid w:val="006221D2"/>
    <w:rsid w:val="0062227A"/>
    <w:rsid w:val="0062227D"/>
    <w:rsid w:val="006224C0"/>
    <w:rsid w:val="00622C4C"/>
    <w:rsid w:val="00622D6E"/>
    <w:rsid w:val="00622E3C"/>
    <w:rsid w:val="00622E44"/>
    <w:rsid w:val="00623023"/>
    <w:rsid w:val="0062361E"/>
    <w:rsid w:val="00623688"/>
    <w:rsid w:val="00623766"/>
    <w:rsid w:val="00623A9C"/>
    <w:rsid w:val="00623C65"/>
    <w:rsid w:val="00623CD5"/>
    <w:rsid w:val="00623D32"/>
    <w:rsid w:val="00623DD5"/>
    <w:rsid w:val="00623DFE"/>
    <w:rsid w:val="00623F8E"/>
    <w:rsid w:val="006240E8"/>
    <w:rsid w:val="00624432"/>
    <w:rsid w:val="00624776"/>
    <w:rsid w:val="006248F5"/>
    <w:rsid w:val="00624AC0"/>
    <w:rsid w:val="00624AC9"/>
    <w:rsid w:val="00624BB1"/>
    <w:rsid w:val="00624BCC"/>
    <w:rsid w:val="00624E17"/>
    <w:rsid w:val="006251C0"/>
    <w:rsid w:val="006257BD"/>
    <w:rsid w:val="00625A94"/>
    <w:rsid w:val="00625DDF"/>
    <w:rsid w:val="00626436"/>
    <w:rsid w:val="0062666B"/>
    <w:rsid w:val="0062682F"/>
    <w:rsid w:val="00626B8B"/>
    <w:rsid w:val="00626CAE"/>
    <w:rsid w:val="00626CE9"/>
    <w:rsid w:val="00626DBF"/>
    <w:rsid w:val="0062700E"/>
    <w:rsid w:val="006275F9"/>
    <w:rsid w:val="006275FB"/>
    <w:rsid w:val="00627828"/>
    <w:rsid w:val="00627862"/>
    <w:rsid w:val="006278E0"/>
    <w:rsid w:val="00627F3E"/>
    <w:rsid w:val="006301D4"/>
    <w:rsid w:val="0063046F"/>
    <w:rsid w:val="006305FE"/>
    <w:rsid w:val="00630D5A"/>
    <w:rsid w:val="0063102E"/>
    <w:rsid w:val="00631473"/>
    <w:rsid w:val="0063157D"/>
    <w:rsid w:val="00631816"/>
    <w:rsid w:val="00631865"/>
    <w:rsid w:val="00631C0A"/>
    <w:rsid w:val="00631C28"/>
    <w:rsid w:val="00631DF1"/>
    <w:rsid w:val="00631EF2"/>
    <w:rsid w:val="006323C6"/>
    <w:rsid w:val="006325FA"/>
    <w:rsid w:val="006329CB"/>
    <w:rsid w:val="00632B5F"/>
    <w:rsid w:val="0063308C"/>
    <w:rsid w:val="00633162"/>
    <w:rsid w:val="00633505"/>
    <w:rsid w:val="006335C4"/>
    <w:rsid w:val="006336B8"/>
    <w:rsid w:val="00633A1F"/>
    <w:rsid w:val="00633DE1"/>
    <w:rsid w:val="00633E1D"/>
    <w:rsid w:val="006341C2"/>
    <w:rsid w:val="0063429A"/>
    <w:rsid w:val="006342C4"/>
    <w:rsid w:val="00634442"/>
    <w:rsid w:val="0063445E"/>
    <w:rsid w:val="00634DA0"/>
    <w:rsid w:val="00634F43"/>
    <w:rsid w:val="0063505F"/>
    <w:rsid w:val="0063533F"/>
    <w:rsid w:val="00635684"/>
    <w:rsid w:val="006357C7"/>
    <w:rsid w:val="00635E3E"/>
    <w:rsid w:val="00635EF8"/>
    <w:rsid w:val="00635F6C"/>
    <w:rsid w:val="006364B5"/>
    <w:rsid w:val="00636787"/>
    <w:rsid w:val="006367D4"/>
    <w:rsid w:val="006369C5"/>
    <w:rsid w:val="006369D3"/>
    <w:rsid w:val="00636A8F"/>
    <w:rsid w:val="00636C2B"/>
    <w:rsid w:val="00636F3F"/>
    <w:rsid w:val="00636F86"/>
    <w:rsid w:val="00637192"/>
    <w:rsid w:val="006376E5"/>
    <w:rsid w:val="00637868"/>
    <w:rsid w:val="00637B91"/>
    <w:rsid w:val="006400B5"/>
    <w:rsid w:val="0064022A"/>
    <w:rsid w:val="00640257"/>
    <w:rsid w:val="00640332"/>
    <w:rsid w:val="006405C9"/>
    <w:rsid w:val="00640997"/>
    <w:rsid w:val="00640D8E"/>
    <w:rsid w:val="0064132C"/>
    <w:rsid w:val="006413B4"/>
    <w:rsid w:val="00641544"/>
    <w:rsid w:val="00641988"/>
    <w:rsid w:val="00641AFB"/>
    <w:rsid w:val="00641B06"/>
    <w:rsid w:val="00641D85"/>
    <w:rsid w:val="006421F6"/>
    <w:rsid w:val="006423D3"/>
    <w:rsid w:val="006423EA"/>
    <w:rsid w:val="00642464"/>
    <w:rsid w:val="00642470"/>
    <w:rsid w:val="006424C3"/>
    <w:rsid w:val="00642560"/>
    <w:rsid w:val="00642769"/>
    <w:rsid w:val="0064288F"/>
    <w:rsid w:val="00642A21"/>
    <w:rsid w:val="00642D7E"/>
    <w:rsid w:val="00643268"/>
    <w:rsid w:val="006433D3"/>
    <w:rsid w:val="006436CD"/>
    <w:rsid w:val="00643909"/>
    <w:rsid w:val="00643A8F"/>
    <w:rsid w:val="00643B0F"/>
    <w:rsid w:val="00643E95"/>
    <w:rsid w:val="006440D6"/>
    <w:rsid w:val="006441A3"/>
    <w:rsid w:val="006441FF"/>
    <w:rsid w:val="00644971"/>
    <w:rsid w:val="00644EA9"/>
    <w:rsid w:val="00645472"/>
    <w:rsid w:val="00646569"/>
    <w:rsid w:val="00646596"/>
    <w:rsid w:val="00646783"/>
    <w:rsid w:val="006467CE"/>
    <w:rsid w:val="00646BEA"/>
    <w:rsid w:val="006472E9"/>
    <w:rsid w:val="00647354"/>
    <w:rsid w:val="00647776"/>
    <w:rsid w:val="0064795B"/>
    <w:rsid w:val="00647D2D"/>
    <w:rsid w:val="00647D43"/>
    <w:rsid w:val="00647E33"/>
    <w:rsid w:val="00647FBD"/>
    <w:rsid w:val="006500AD"/>
    <w:rsid w:val="006503A5"/>
    <w:rsid w:val="00650411"/>
    <w:rsid w:val="00650725"/>
    <w:rsid w:val="00650D5E"/>
    <w:rsid w:val="00650F47"/>
    <w:rsid w:val="00650F5D"/>
    <w:rsid w:val="00650FED"/>
    <w:rsid w:val="00651008"/>
    <w:rsid w:val="0065100F"/>
    <w:rsid w:val="0065120B"/>
    <w:rsid w:val="006512A5"/>
    <w:rsid w:val="00651491"/>
    <w:rsid w:val="0065152D"/>
    <w:rsid w:val="0065188C"/>
    <w:rsid w:val="006519F1"/>
    <w:rsid w:val="00651B0B"/>
    <w:rsid w:val="00651B56"/>
    <w:rsid w:val="00651ED6"/>
    <w:rsid w:val="006520FB"/>
    <w:rsid w:val="00652313"/>
    <w:rsid w:val="006525AF"/>
    <w:rsid w:val="00652C54"/>
    <w:rsid w:val="00652D7F"/>
    <w:rsid w:val="00652DC2"/>
    <w:rsid w:val="00652E8C"/>
    <w:rsid w:val="00653064"/>
    <w:rsid w:val="00653478"/>
    <w:rsid w:val="00653829"/>
    <w:rsid w:val="00653977"/>
    <w:rsid w:val="006539A5"/>
    <w:rsid w:val="00654086"/>
    <w:rsid w:val="006547EF"/>
    <w:rsid w:val="006548E8"/>
    <w:rsid w:val="00654A7C"/>
    <w:rsid w:val="00654E92"/>
    <w:rsid w:val="006558A6"/>
    <w:rsid w:val="006559B9"/>
    <w:rsid w:val="00655F35"/>
    <w:rsid w:val="00656209"/>
    <w:rsid w:val="00656380"/>
    <w:rsid w:val="006564D8"/>
    <w:rsid w:val="00656669"/>
    <w:rsid w:val="006566C0"/>
    <w:rsid w:val="00656C82"/>
    <w:rsid w:val="00656D60"/>
    <w:rsid w:val="00656E01"/>
    <w:rsid w:val="00656FFF"/>
    <w:rsid w:val="006571D7"/>
    <w:rsid w:val="00657314"/>
    <w:rsid w:val="006576BF"/>
    <w:rsid w:val="00657AEC"/>
    <w:rsid w:val="00657C06"/>
    <w:rsid w:val="00657DE8"/>
    <w:rsid w:val="00657EC0"/>
    <w:rsid w:val="006602B5"/>
    <w:rsid w:val="006605B7"/>
    <w:rsid w:val="00660663"/>
    <w:rsid w:val="006606C9"/>
    <w:rsid w:val="00660C42"/>
    <w:rsid w:val="00660D17"/>
    <w:rsid w:val="00660D2A"/>
    <w:rsid w:val="00660D7D"/>
    <w:rsid w:val="00661182"/>
    <w:rsid w:val="00661250"/>
    <w:rsid w:val="006615B5"/>
    <w:rsid w:val="00661657"/>
    <w:rsid w:val="00661C3F"/>
    <w:rsid w:val="00661C90"/>
    <w:rsid w:val="00661E27"/>
    <w:rsid w:val="00661EE5"/>
    <w:rsid w:val="0066202C"/>
    <w:rsid w:val="0066219B"/>
    <w:rsid w:val="00662328"/>
    <w:rsid w:val="00662543"/>
    <w:rsid w:val="00663355"/>
    <w:rsid w:val="0066338C"/>
    <w:rsid w:val="006636AA"/>
    <w:rsid w:val="00663938"/>
    <w:rsid w:val="00663ED8"/>
    <w:rsid w:val="006642F0"/>
    <w:rsid w:val="00664657"/>
    <w:rsid w:val="00664989"/>
    <w:rsid w:val="00664A0E"/>
    <w:rsid w:val="0066504B"/>
    <w:rsid w:val="00665456"/>
    <w:rsid w:val="006657EE"/>
    <w:rsid w:val="0066585B"/>
    <w:rsid w:val="0066586B"/>
    <w:rsid w:val="0066592F"/>
    <w:rsid w:val="00666B33"/>
    <w:rsid w:val="00666F6E"/>
    <w:rsid w:val="00667066"/>
    <w:rsid w:val="006671ED"/>
    <w:rsid w:val="0066723F"/>
    <w:rsid w:val="00667265"/>
    <w:rsid w:val="006675B3"/>
    <w:rsid w:val="006675CB"/>
    <w:rsid w:val="00667BAE"/>
    <w:rsid w:val="00667E91"/>
    <w:rsid w:val="00667F29"/>
    <w:rsid w:val="00670475"/>
    <w:rsid w:val="006704D8"/>
    <w:rsid w:val="00670997"/>
    <w:rsid w:val="00670A33"/>
    <w:rsid w:val="00670E6F"/>
    <w:rsid w:val="00670F75"/>
    <w:rsid w:val="00670FDB"/>
    <w:rsid w:val="006714BF"/>
    <w:rsid w:val="00671662"/>
    <w:rsid w:val="0067166F"/>
    <w:rsid w:val="00671676"/>
    <w:rsid w:val="006726C2"/>
    <w:rsid w:val="006728D9"/>
    <w:rsid w:val="00672C48"/>
    <w:rsid w:val="00672CED"/>
    <w:rsid w:val="00672D16"/>
    <w:rsid w:val="00673C7D"/>
    <w:rsid w:val="00673CC8"/>
    <w:rsid w:val="006743C0"/>
    <w:rsid w:val="00674601"/>
    <w:rsid w:val="00674863"/>
    <w:rsid w:val="00674A31"/>
    <w:rsid w:val="00674B0E"/>
    <w:rsid w:val="00674FB9"/>
    <w:rsid w:val="0067507F"/>
    <w:rsid w:val="006752C9"/>
    <w:rsid w:val="00675454"/>
    <w:rsid w:val="0067552D"/>
    <w:rsid w:val="0067579E"/>
    <w:rsid w:val="00675999"/>
    <w:rsid w:val="00675A09"/>
    <w:rsid w:val="00676362"/>
    <w:rsid w:val="00676437"/>
    <w:rsid w:val="00676538"/>
    <w:rsid w:val="006765EB"/>
    <w:rsid w:val="006768B9"/>
    <w:rsid w:val="00676A1B"/>
    <w:rsid w:val="0067703D"/>
    <w:rsid w:val="00680016"/>
    <w:rsid w:val="006803F8"/>
    <w:rsid w:val="00680865"/>
    <w:rsid w:val="00680983"/>
    <w:rsid w:val="00680B8D"/>
    <w:rsid w:val="00680E2D"/>
    <w:rsid w:val="00681362"/>
    <w:rsid w:val="0068154A"/>
    <w:rsid w:val="0068172B"/>
    <w:rsid w:val="00681925"/>
    <w:rsid w:val="00681DE9"/>
    <w:rsid w:val="00681F69"/>
    <w:rsid w:val="006821F2"/>
    <w:rsid w:val="006823DB"/>
    <w:rsid w:val="00682428"/>
    <w:rsid w:val="006824E6"/>
    <w:rsid w:val="006827AC"/>
    <w:rsid w:val="006827C7"/>
    <w:rsid w:val="0068283A"/>
    <w:rsid w:val="0068289B"/>
    <w:rsid w:val="00682962"/>
    <w:rsid w:val="00682BDB"/>
    <w:rsid w:val="00682ECB"/>
    <w:rsid w:val="00683089"/>
    <w:rsid w:val="006835F9"/>
    <w:rsid w:val="00683AC9"/>
    <w:rsid w:val="00683D79"/>
    <w:rsid w:val="00683E40"/>
    <w:rsid w:val="00683FB3"/>
    <w:rsid w:val="00684051"/>
    <w:rsid w:val="006840D8"/>
    <w:rsid w:val="006841C5"/>
    <w:rsid w:val="006849A4"/>
    <w:rsid w:val="00684C04"/>
    <w:rsid w:val="00684E4A"/>
    <w:rsid w:val="00684EF9"/>
    <w:rsid w:val="00685165"/>
    <w:rsid w:val="0068548E"/>
    <w:rsid w:val="0068557F"/>
    <w:rsid w:val="00685CDD"/>
    <w:rsid w:val="00685F64"/>
    <w:rsid w:val="006860D3"/>
    <w:rsid w:val="006861B0"/>
    <w:rsid w:val="0068629D"/>
    <w:rsid w:val="00686511"/>
    <w:rsid w:val="0068681F"/>
    <w:rsid w:val="006868B3"/>
    <w:rsid w:val="00686D20"/>
    <w:rsid w:val="00686FD8"/>
    <w:rsid w:val="00687012"/>
    <w:rsid w:val="0068707C"/>
    <w:rsid w:val="00687143"/>
    <w:rsid w:val="00687744"/>
    <w:rsid w:val="006877C1"/>
    <w:rsid w:val="00687895"/>
    <w:rsid w:val="00687A87"/>
    <w:rsid w:val="00687B4B"/>
    <w:rsid w:val="00687DA1"/>
    <w:rsid w:val="00687F58"/>
    <w:rsid w:val="0069001A"/>
    <w:rsid w:val="00690163"/>
    <w:rsid w:val="006901BB"/>
    <w:rsid w:val="0069093A"/>
    <w:rsid w:val="00690CB7"/>
    <w:rsid w:val="0069179E"/>
    <w:rsid w:val="00691DD1"/>
    <w:rsid w:val="00691DD6"/>
    <w:rsid w:val="00691FDE"/>
    <w:rsid w:val="0069231E"/>
    <w:rsid w:val="00692391"/>
    <w:rsid w:val="006923AB"/>
    <w:rsid w:val="006929F0"/>
    <w:rsid w:val="00692A13"/>
    <w:rsid w:val="00692B94"/>
    <w:rsid w:val="006932E1"/>
    <w:rsid w:val="00693328"/>
    <w:rsid w:val="00693AE6"/>
    <w:rsid w:val="00694119"/>
    <w:rsid w:val="006941D9"/>
    <w:rsid w:val="006942E6"/>
    <w:rsid w:val="00694325"/>
    <w:rsid w:val="00694487"/>
    <w:rsid w:val="006945E3"/>
    <w:rsid w:val="0069479E"/>
    <w:rsid w:val="00694CF1"/>
    <w:rsid w:val="006954E4"/>
    <w:rsid w:val="00695598"/>
    <w:rsid w:val="00695B8B"/>
    <w:rsid w:val="00696177"/>
    <w:rsid w:val="00696449"/>
    <w:rsid w:val="006964B7"/>
    <w:rsid w:val="0069692F"/>
    <w:rsid w:val="00696B7D"/>
    <w:rsid w:val="00696BA5"/>
    <w:rsid w:val="00696FDF"/>
    <w:rsid w:val="00697255"/>
    <w:rsid w:val="006972AC"/>
    <w:rsid w:val="00697317"/>
    <w:rsid w:val="00697498"/>
    <w:rsid w:val="00697B74"/>
    <w:rsid w:val="006A0259"/>
    <w:rsid w:val="006A045B"/>
    <w:rsid w:val="006A0574"/>
    <w:rsid w:val="006A0638"/>
    <w:rsid w:val="006A0646"/>
    <w:rsid w:val="006A06F9"/>
    <w:rsid w:val="006A0818"/>
    <w:rsid w:val="006A09D6"/>
    <w:rsid w:val="006A0D74"/>
    <w:rsid w:val="006A11B0"/>
    <w:rsid w:val="006A12A1"/>
    <w:rsid w:val="006A1709"/>
    <w:rsid w:val="006A1897"/>
    <w:rsid w:val="006A195F"/>
    <w:rsid w:val="006A1BD5"/>
    <w:rsid w:val="006A1BF8"/>
    <w:rsid w:val="006A2350"/>
    <w:rsid w:val="006A2A93"/>
    <w:rsid w:val="006A2DA3"/>
    <w:rsid w:val="006A2E9D"/>
    <w:rsid w:val="006A2F26"/>
    <w:rsid w:val="006A34FE"/>
    <w:rsid w:val="006A3514"/>
    <w:rsid w:val="006A3590"/>
    <w:rsid w:val="006A38C8"/>
    <w:rsid w:val="006A3EB8"/>
    <w:rsid w:val="006A3FDE"/>
    <w:rsid w:val="006A407E"/>
    <w:rsid w:val="006A41E7"/>
    <w:rsid w:val="006A4218"/>
    <w:rsid w:val="006A4710"/>
    <w:rsid w:val="006A490C"/>
    <w:rsid w:val="006A4943"/>
    <w:rsid w:val="006A49A8"/>
    <w:rsid w:val="006A49E9"/>
    <w:rsid w:val="006A4BBD"/>
    <w:rsid w:val="006A4BF4"/>
    <w:rsid w:val="006A505C"/>
    <w:rsid w:val="006A5141"/>
    <w:rsid w:val="006A5192"/>
    <w:rsid w:val="006A5390"/>
    <w:rsid w:val="006A53B5"/>
    <w:rsid w:val="006A562A"/>
    <w:rsid w:val="006A5A64"/>
    <w:rsid w:val="006A5A85"/>
    <w:rsid w:val="006A5D51"/>
    <w:rsid w:val="006A5D68"/>
    <w:rsid w:val="006A5E28"/>
    <w:rsid w:val="006A5FE4"/>
    <w:rsid w:val="006A619C"/>
    <w:rsid w:val="006A6318"/>
    <w:rsid w:val="006A674C"/>
    <w:rsid w:val="006A6B60"/>
    <w:rsid w:val="006A6E34"/>
    <w:rsid w:val="006A70FC"/>
    <w:rsid w:val="006A755C"/>
    <w:rsid w:val="006A7E2B"/>
    <w:rsid w:val="006B02A1"/>
    <w:rsid w:val="006B0547"/>
    <w:rsid w:val="006B0558"/>
    <w:rsid w:val="006B062D"/>
    <w:rsid w:val="006B0830"/>
    <w:rsid w:val="006B08A2"/>
    <w:rsid w:val="006B0B2A"/>
    <w:rsid w:val="006B0E99"/>
    <w:rsid w:val="006B1134"/>
    <w:rsid w:val="006B118F"/>
    <w:rsid w:val="006B140D"/>
    <w:rsid w:val="006B1779"/>
    <w:rsid w:val="006B188D"/>
    <w:rsid w:val="006B1891"/>
    <w:rsid w:val="006B1B91"/>
    <w:rsid w:val="006B20D8"/>
    <w:rsid w:val="006B22A7"/>
    <w:rsid w:val="006B22D4"/>
    <w:rsid w:val="006B2434"/>
    <w:rsid w:val="006B24E6"/>
    <w:rsid w:val="006B284F"/>
    <w:rsid w:val="006B2F0A"/>
    <w:rsid w:val="006B2F2D"/>
    <w:rsid w:val="006B2F43"/>
    <w:rsid w:val="006B32C3"/>
    <w:rsid w:val="006B3EF3"/>
    <w:rsid w:val="006B3FBC"/>
    <w:rsid w:val="006B4006"/>
    <w:rsid w:val="006B4037"/>
    <w:rsid w:val="006B4306"/>
    <w:rsid w:val="006B442E"/>
    <w:rsid w:val="006B498E"/>
    <w:rsid w:val="006B4C30"/>
    <w:rsid w:val="006B4C97"/>
    <w:rsid w:val="006B4CE1"/>
    <w:rsid w:val="006B5117"/>
    <w:rsid w:val="006B515B"/>
    <w:rsid w:val="006B5203"/>
    <w:rsid w:val="006B5B8F"/>
    <w:rsid w:val="006B5BCC"/>
    <w:rsid w:val="006B5D37"/>
    <w:rsid w:val="006B5D59"/>
    <w:rsid w:val="006B5F0B"/>
    <w:rsid w:val="006B6647"/>
    <w:rsid w:val="006B66C2"/>
    <w:rsid w:val="006B66DB"/>
    <w:rsid w:val="006B70AF"/>
    <w:rsid w:val="006B7239"/>
    <w:rsid w:val="006B73AA"/>
    <w:rsid w:val="006B78A1"/>
    <w:rsid w:val="006B7AD5"/>
    <w:rsid w:val="006B7B73"/>
    <w:rsid w:val="006B7F3F"/>
    <w:rsid w:val="006B7F99"/>
    <w:rsid w:val="006B7FDB"/>
    <w:rsid w:val="006C06EE"/>
    <w:rsid w:val="006C08C1"/>
    <w:rsid w:val="006C0D66"/>
    <w:rsid w:val="006C0E55"/>
    <w:rsid w:val="006C0F7B"/>
    <w:rsid w:val="006C10B2"/>
    <w:rsid w:val="006C10EA"/>
    <w:rsid w:val="006C13A9"/>
    <w:rsid w:val="006C18C6"/>
    <w:rsid w:val="006C1EE6"/>
    <w:rsid w:val="006C21C1"/>
    <w:rsid w:val="006C247E"/>
    <w:rsid w:val="006C248E"/>
    <w:rsid w:val="006C259D"/>
    <w:rsid w:val="006C29A5"/>
    <w:rsid w:val="006C2A79"/>
    <w:rsid w:val="006C2AAF"/>
    <w:rsid w:val="006C2BFE"/>
    <w:rsid w:val="006C2CE9"/>
    <w:rsid w:val="006C2F52"/>
    <w:rsid w:val="006C3056"/>
    <w:rsid w:val="006C32A1"/>
    <w:rsid w:val="006C35FE"/>
    <w:rsid w:val="006C37DC"/>
    <w:rsid w:val="006C3802"/>
    <w:rsid w:val="006C3844"/>
    <w:rsid w:val="006C39D4"/>
    <w:rsid w:val="006C4442"/>
    <w:rsid w:val="006C4ACE"/>
    <w:rsid w:val="006C4E2D"/>
    <w:rsid w:val="006C4E7B"/>
    <w:rsid w:val="006C5442"/>
    <w:rsid w:val="006C5672"/>
    <w:rsid w:val="006C579D"/>
    <w:rsid w:val="006C5CF1"/>
    <w:rsid w:val="006C5D7D"/>
    <w:rsid w:val="006C5FDA"/>
    <w:rsid w:val="006C6586"/>
    <w:rsid w:val="006C6B7B"/>
    <w:rsid w:val="006C72DB"/>
    <w:rsid w:val="006C7398"/>
    <w:rsid w:val="006C75E1"/>
    <w:rsid w:val="006C7938"/>
    <w:rsid w:val="006C7B8D"/>
    <w:rsid w:val="006C7C51"/>
    <w:rsid w:val="006C7E36"/>
    <w:rsid w:val="006C7F77"/>
    <w:rsid w:val="006D000A"/>
    <w:rsid w:val="006D058B"/>
    <w:rsid w:val="006D06B2"/>
    <w:rsid w:val="006D07CC"/>
    <w:rsid w:val="006D09AD"/>
    <w:rsid w:val="006D0B28"/>
    <w:rsid w:val="006D1165"/>
    <w:rsid w:val="006D1689"/>
    <w:rsid w:val="006D204F"/>
    <w:rsid w:val="006D207D"/>
    <w:rsid w:val="006D25E1"/>
    <w:rsid w:val="006D2A15"/>
    <w:rsid w:val="006D2A56"/>
    <w:rsid w:val="006D2A72"/>
    <w:rsid w:val="006D35EC"/>
    <w:rsid w:val="006D3948"/>
    <w:rsid w:val="006D3C98"/>
    <w:rsid w:val="006D403C"/>
    <w:rsid w:val="006D42CA"/>
    <w:rsid w:val="006D4570"/>
    <w:rsid w:val="006D46F5"/>
    <w:rsid w:val="006D47DF"/>
    <w:rsid w:val="006D481A"/>
    <w:rsid w:val="006D4C30"/>
    <w:rsid w:val="006D5535"/>
    <w:rsid w:val="006D5550"/>
    <w:rsid w:val="006D555C"/>
    <w:rsid w:val="006D5735"/>
    <w:rsid w:val="006D59B0"/>
    <w:rsid w:val="006D5A02"/>
    <w:rsid w:val="006D5AEC"/>
    <w:rsid w:val="006D5FEF"/>
    <w:rsid w:val="006D6434"/>
    <w:rsid w:val="006D66A5"/>
    <w:rsid w:val="006D6A3D"/>
    <w:rsid w:val="006D6B00"/>
    <w:rsid w:val="006D6B87"/>
    <w:rsid w:val="006D6BCC"/>
    <w:rsid w:val="006D6C0B"/>
    <w:rsid w:val="006D70FA"/>
    <w:rsid w:val="006D73B4"/>
    <w:rsid w:val="006D75BE"/>
    <w:rsid w:val="006D774C"/>
    <w:rsid w:val="006D7CB1"/>
    <w:rsid w:val="006D7E8A"/>
    <w:rsid w:val="006D7EA0"/>
    <w:rsid w:val="006E000A"/>
    <w:rsid w:val="006E0B00"/>
    <w:rsid w:val="006E0C0B"/>
    <w:rsid w:val="006E11A4"/>
    <w:rsid w:val="006E169C"/>
    <w:rsid w:val="006E1A2D"/>
    <w:rsid w:val="006E1BA9"/>
    <w:rsid w:val="006E1C49"/>
    <w:rsid w:val="006E1EA1"/>
    <w:rsid w:val="006E3088"/>
    <w:rsid w:val="006E308A"/>
    <w:rsid w:val="006E317F"/>
    <w:rsid w:val="006E33E5"/>
    <w:rsid w:val="006E354D"/>
    <w:rsid w:val="006E361D"/>
    <w:rsid w:val="006E37BB"/>
    <w:rsid w:val="006E3AF1"/>
    <w:rsid w:val="006E3B39"/>
    <w:rsid w:val="006E3BA7"/>
    <w:rsid w:val="006E3BBB"/>
    <w:rsid w:val="006E3CA8"/>
    <w:rsid w:val="006E4162"/>
    <w:rsid w:val="006E4658"/>
    <w:rsid w:val="006E496F"/>
    <w:rsid w:val="006E4C09"/>
    <w:rsid w:val="006E4C4F"/>
    <w:rsid w:val="006E4EC4"/>
    <w:rsid w:val="006E4FA1"/>
    <w:rsid w:val="006E5122"/>
    <w:rsid w:val="006E5457"/>
    <w:rsid w:val="006E5A18"/>
    <w:rsid w:val="006E5C92"/>
    <w:rsid w:val="006E5D4A"/>
    <w:rsid w:val="006E5FC7"/>
    <w:rsid w:val="006E645D"/>
    <w:rsid w:val="006E646B"/>
    <w:rsid w:val="006E6581"/>
    <w:rsid w:val="006E6702"/>
    <w:rsid w:val="006E6706"/>
    <w:rsid w:val="006E690E"/>
    <w:rsid w:val="006E6C74"/>
    <w:rsid w:val="006E6EC6"/>
    <w:rsid w:val="006E6ED9"/>
    <w:rsid w:val="006E6FB4"/>
    <w:rsid w:val="006E7172"/>
    <w:rsid w:val="006E761F"/>
    <w:rsid w:val="006E7CAC"/>
    <w:rsid w:val="006E7F27"/>
    <w:rsid w:val="006F042D"/>
    <w:rsid w:val="006F050D"/>
    <w:rsid w:val="006F077F"/>
    <w:rsid w:val="006F0A99"/>
    <w:rsid w:val="006F0C83"/>
    <w:rsid w:val="006F0CB4"/>
    <w:rsid w:val="006F0DD9"/>
    <w:rsid w:val="006F11DB"/>
    <w:rsid w:val="006F1512"/>
    <w:rsid w:val="006F17AC"/>
    <w:rsid w:val="006F1B3E"/>
    <w:rsid w:val="006F1C56"/>
    <w:rsid w:val="006F1CF9"/>
    <w:rsid w:val="006F1EBF"/>
    <w:rsid w:val="006F2359"/>
    <w:rsid w:val="006F249F"/>
    <w:rsid w:val="006F2501"/>
    <w:rsid w:val="006F27D7"/>
    <w:rsid w:val="006F28AD"/>
    <w:rsid w:val="006F2AC0"/>
    <w:rsid w:val="006F2E12"/>
    <w:rsid w:val="006F3158"/>
    <w:rsid w:val="006F3368"/>
    <w:rsid w:val="006F33FA"/>
    <w:rsid w:val="006F3442"/>
    <w:rsid w:val="006F3648"/>
    <w:rsid w:val="006F379B"/>
    <w:rsid w:val="006F3D2E"/>
    <w:rsid w:val="006F3D3C"/>
    <w:rsid w:val="006F3D7C"/>
    <w:rsid w:val="006F3F4C"/>
    <w:rsid w:val="006F4838"/>
    <w:rsid w:val="006F489B"/>
    <w:rsid w:val="006F48E4"/>
    <w:rsid w:val="006F4A9C"/>
    <w:rsid w:val="006F4AB4"/>
    <w:rsid w:val="006F4D62"/>
    <w:rsid w:val="006F4E1C"/>
    <w:rsid w:val="006F4E27"/>
    <w:rsid w:val="006F5093"/>
    <w:rsid w:val="006F50A0"/>
    <w:rsid w:val="006F51E1"/>
    <w:rsid w:val="006F536B"/>
    <w:rsid w:val="006F552C"/>
    <w:rsid w:val="006F5590"/>
    <w:rsid w:val="006F5B22"/>
    <w:rsid w:val="006F60ED"/>
    <w:rsid w:val="006F629D"/>
    <w:rsid w:val="006F6691"/>
    <w:rsid w:val="006F696B"/>
    <w:rsid w:val="006F69F4"/>
    <w:rsid w:val="006F6EDF"/>
    <w:rsid w:val="006F70C8"/>
    <w:rsid w:val="006F7153"/>
    <w:rsid w:val="006F7174"/>
    <w:rsid w:val="006F71A4"/>
    <w:rsid w:val="006F71C9"/>
    <w:rsid w:val="006F7533"/>
    <w:rsid w:val="006F7653"/>
    <w:rsid w:val="006F772C"/>
    <w:rsid w:val="006F7765"/>
    <w:rsid w:val="006F7987"/>
    <w:rsid w:val="006F7D0A"/>
    <w:rsid w:val="006F7DB1"/>
    <w:rsid w:val="007003DB"/>
    <w:rsid w:val="007004D7"/>
    <w:rsid w:val="00700592"/>
    <w:rsid w:val="007005CE"/>
    <w:rsid w:val="00700D32"/>
    <w:rsid w:val="007015B1"/>
    <w:rsid w:val="0070180F"/>
    <w:rsid w:val="00701906"/>
    <w:rsid w:val="00701C78"/>
    <w:rsid w:val="007020B2"/>
    <w:rsid w:val="00702266"/>
    <w:rsid w:val="00702369"/>
    <w:rsid w:val="007023C5"/>
    <w:rsid w:val="0070272E"/>
    <w:rsid w:val="00702951"/>
    <w:rsid w:val="00702AAF"/>
    <w:rsid w:val="00702F78"/>
    <w:rsid w:val="00703015"/>
    <w:rsid w:val="0070338A"/>
    <w:rsid w:val="007034F3"/>
    <w:rsid w:val="007035C1"/>
    <w:rsid w:val="00703E05"/>
    <w:rsid w:val="00703F49"/>
    <w:rsid w:val="00703FC4"/>
    <w:rsid w:val="00704172"/>
    <w:rsid w:val="007043F0"/>
    <w:rsid w:val="0070441A"/>
    <w:rsid w:val="00704494"/>
    <w:rsid w:val="00704728"/>
    <w:rsid w:val="00704848"/>
    <w:rsid w:val="0070494B"/>
    <w:rsid w:val="0070496E"/>
    <w:rsid w:val="007049A5"/>
    <w:rsid w:val="00704AFF"/>
    <w:rsid w:val="00704DA3"/>
    <w:rsid w:val="00704EAF"/>
    <w:rsid w:val="007057B0"/>
    <w:rsid w:val="0070583A"/>
    <w:rsid w:val="007058F0"/>
    <w:rsid w:val="00705A29"/>
    <w:rsid w:val="00705AF6"/>
    <w:rsid w:val="00705F6E"/>
    <w:rsid w:val="0070607B"/>
    <w:rsid w:val="007060AE"/>
    <w:rsid w:val="0070619C"/>
    <w:rsid w:val="00706713"/>
    <w:rsid w:val="007068C5"/>
    <w:rsid w:val="00706A11"/>
    <w:rsid w:val="00707037"/>
    <w:rsid w:val="0070710C"/>
    <w:rsid w:val="0070718C"/>
    <w:rsid w:val="00707313"/>
    <w:rsid w:val="007074AB"/>
    <w:rsid w:val="00707B37"/>
    <w:rsid w:val="007104EF"/>
    <w:rsid w:val="007108AC"/>
    <w:rsid w:val="00710BC2"/>
    <w:rsid w:val="00710BC8"/>
    <w:rsid w:val="00710BFE"/>
    <w:rsid w:val="00710F86"/>
    <w:rsid w:val="007114F2"/>
    <w:rsid w:val="0071154E"/>
    <w:rsid w:val="0071178A"/>
    <w:rsid w:val="007117C6"/>
    <w:rsid w:val="00711AFC"/>
    <w:rsid w:val="00711C44"/>
    <w:rsid w:val="00711E12"/>
    <w:rsid w:val="00711EF8"/>
    <w:rsid w:val="00712209"/>
    <w:rsid w:val="007126ED"/>
    <w:rsid w:val="0071273C"/>
    <w:rsid w:val="007127BD"/>
    <w:rsid w:val="00712EAC"/>
    <w:rsid w:val="00713084"/>
    <w:rsid w:val="00713115"/>
    <w:rsid w:val="00713252"/>
    <w:rsid w:val="0071338D"/>
    <w:rsid w:val="00713467"/>
    <w:rsid w:val="00713556"/>
    <w:rsid w:val="0071375A"/>
    <w:rsid w:val="00713F10"/>
    <w:rsid w:val="00714569"/>
    <w:rsid w:val="00714C94"/>
    <w:rsid w:val="00714DB9"/>
    <w:rsid w:val="007151BD"/>
    <w:rsid w:val="007151E2"/>
    <w:rsid w:val="007152E1"/>
    <w:rsid w:val="007156C6"/>
    <w:rsid w:val="00715708"/>
    <w:rsid w:val="007160AE"/>
    <w:rsid w:val="007160C3"/>
    <w:rsid w:val="00716629"/>
    <w:rsid w:val="007166C8"/>
    <w:rsid w:val="00716843"/>
    <w:rsid w:val="007168B3"/>
    <w:rsid w:val="0071699E"/>
    <w:rsid w:val="007169B8"/>
    <w:rsid w:val="00716D59"/>
    <w:rsid w:val="00716E79"/>
    <w:rsid w:val="00716F3A"/>
    <w:rsid w:val="007176E3"/>
    <w:rsid w:val="007177B7"/>
    <w:rsid w:val="00717935"/>
    <w:rsid w:val="00717C03"/>
    <w:rsid w:val="00717C12"/>
    <w:rsid w:val="007200D5"/>
    <w:rsid w:val="007203FD"/>
    <w:rsid w:val="00720648"/>
    <w:rsid w:val="007207ED"/>
    <w:rsid w:val="00720804"/>
    <w:rsid w:val="00720813"/>
    <w:rsid w:val="00721082"/>
    <w:rsid w:val="007210BC"/>
    <w:rsid w:val="00721684"/>
    <w:rsid w:val="0072179F"/>
    <w:rsid w:val="00721A5D"/>
    <w:rsid w:val="00722019"/>
    <w:rsid w:val="0072209C"/>
    <w:rsid w:val="00722171"/>
    <w:rsid w:val="00722B03"/>
    <w:rsid w:val="00722B8E"/>
    <w:rsid w:val="00722DE0"/>
    <w:rsid w:val="00722E2D"/>
    <w:rsid w:val="007233B3"/>
    <w:rsid w:val="007233B9"/>
    <w:rsid w:val="007233FA"/>
    <w:rsid w:val="0072347B"/>
    <w:rsid w:val="00723501"/>
    <w:rsid w:val="007236F0"/>
    <w:rsid w:val="00724170"/>
    <w:rsid w:val="0072419D"/>
    <w:rsid w:val="007245C4"/>
    <w:rsid w:val="0072486B"/>
    <w:rsid w:val="00724AD9"/>
    <w:rsid w:val="00725709"/>
    <w:rsid w:val="007259FF"/>
    <w:rsid w:val="00725C75"/>
    <w:rsid w:val="00725DD6"/>
    <w:rsid w:val="00725F04"/>
    <w:rsid w:val="00726081"/>
    <w:rsid w:val="00726161"/>
    <w:rsid w:val="0072725B"/>
    <w:rsid w:val="007275FA"/>
    <w:rsid w:val="007277C6"/>
    <w:rsid w:val="00727D0A"/>
    <w:rsid w:val="007300A1"/>
    <w:rsid w:val="00730133"/>
    <w:rsid w:val="007302B1"/>
    <w:rsid w:val="00730548"/>
    <w:rsid w:val="0073059F"/>
    <w:rsid w:val="00730D54"/>
    <w:rsid w:val="00731155"/>
    <w:rsid w:val="007311C8"/>
    <w:rsid w:val="00731610"/>
    <w:rsid w:val="00731EAF"/>
    <w:rsid w:val="0073299A"/>
    <w:rsid w:val="00732A2E"/>
    <w:rsid w:val="00732BC7"/>
    <w:rsid w:val="00732C7F"/>
    <w:rsid w:val="00732CAD"/>
    <w:rsid w:val="007330EA"/>
    <w:rsid w:val="00733211"/>
    <w:rsid w:val="007335AA"/>
    <w:rsid w:val="00733AEE"/>
    <w:rsid w:val="00733C22"/>
    <w:rsid w:val="00734621"/>
    <w:rsid w:val="00734738"/>
    <w:rsid w:val="00734844"/>
    <w:rsid w:val="0073484E"/>
    <w:rsid w:val="007348F2"/>
    <w:rsid w:val="0073496E"/>
    <w:rsid w:val="00734A92"/>
    <w:rsid w:val="00734FDD"/>
    <w:rsid w:val="007351E6"/>
    <w:rsid w:val="007352B7"/>
    <w:rsid w:val="007357A9"/>
    <w:rsid w:val="007359C0"/>
    <w:rsid w:val="00736330"/>
    <w:rsid w:val="0073661F"/>
    <w:rsid w:val="007366A5"/>
    <w:rsid w:val="00736A0D"/>
    <w:rsid w:val="00736F81"/>
    <w:rsid w:val="0073753F"/>
    <w:rsid w:val="00737576"/>
    <w:rsid w:val="00737743"/>
    <w:rsid w:val="007377E2"/>
    <w:rsid w:val="00737E3E"/>
    <w:rsid w:val="00737E67"/>
    <w:rsid w:val="00737EBD"/>
    <w:rsid w:val="00740118"/>
    <w:rsid w:val="0074033B"/>
    <w:rsid w:val="00740455"/>
    <w:rsid w:val="0074080E"/>
    <w:rsid w:val="00740A81"/>
    <w:rsid w:val="007410BA"/>
    <w:rsid w:val="00741128"/>
    <w:rsid w:val="00741158"/>
    <w:rsid w:val="007414E0"/>
    <w:rsid w:val="007416EC"/>
    <w:rsid w:val="00741CED"/>
    <w:rsid w:val="00741E19"/>
    <w:rsid w:val="00742005"/>
    <w:rsid w:val="0074256A"/>
    <w:rsid w:val="007425D8"/>
    <w:rsid w:val="0074283F"/>
    <w:rsid w:val="00742B5A"/>
    <w:rsid w:val="00742B81"/>
    <w:rsid w:val="00743344"/>
    <w:rsid w:val="0074361A"/>
    <w:rsid w:val="00743622"/>
    <w:rsid w:val="00743655"/>
    <w:rsid w:val="00743851"/>
    <w:rsid w:val="00743954"/>
    <w:rsid w:val="00743E8A"/>
    <w:rsid w:val="007445C6"/>
    <w:rsid w:val="007447EB"/>
    <w:rsid w:val="00744DD2"/>
    <w:rsid w:val="0074511F"/>
    <w:rsid w:val="007454F6"/>
    <w:rsid w:val="00745787"/>
    <w:rsid w:val="00745FFF"/>
    <w:rsid w:val="007468E9"/>
    <w:rsid w:val="00746FDD"/>
    <w:rsid w:val="007470BB"/>
    <w:rsid w:val="007470E6"/>
    <w:rsid w:val="007472D0"/>
    <w:rsid w:val="007474E7"/>
    <w:rsid w:val="00747535"/>
    <w:rsid w:val="00747724"/>
    <w:rsid w:val="007478F9"/>
    <w:rsid w:val="00747C28"/>
    <w:rsid w:val="00747DB4"/>
    <w:rsid w:val="007500C4"/>
    <w:rsid w:val="00750289"/>
    <w:rsid w:val="0075092B"/>
    <w:rsid w:val="00750BDF"/>
    <w:rsid w:val="00750C2D"/>
    <w:rsid w:val="00750C30"/>
    <w:rsid w:val="00750C75"/>
    <w:rsid w:val="00751574"/>
    <w:rsid w:val="00751CFA"/>
    <w:rsid w:val="00751DDE"/>
    <w:rsid w:val="00751F5B"/>
    <w:rsid w:val="0075217C"/>
    <w:rsid w:val="00752412"/>
    <w:rsid w:val="00752602"/>
    <w:rsid w:val="0075275B"/>
    <w:rsid w:val="007527E9"/>
    <w:rsid w:val="007528CA"/>
    <w:rsid w:val="00752949"/>
    <w:rsid w:val="007529C0"/>
    <w:rsid w:val="00752CF4"/>
    <w:rsid w:val="00752D2F"/>
    <w:rsid w:val="00752DEB"/>
    <w:rsid w:val="00752F38"/>
    <w:rsid w:val="00753047"/>
    <w:rsid w:val="0075307C"/>
    <w:rsid w:val="007536AC"/>
    <w:rsid w:val="007537D8"/>
    <w:rsid w:val="0075387F"/>
    <w:rsid w:val="00753BD4"/>
    <w:rsid w:val="00753DB3"/>
    <w:rsid w:val="00753EFF"/>
    <w:rsid w:val="007541B2"/>
    <w:rsid w:val="007545AA"/>
    <w:rsid w:val="007545AC"/>
    <w:rsid w:val="00754643"/>
    <w:rsid w:val="00754942"/>
    <w:rsid w:val="007549AD"/>
    <w:rsid w:val="007551C4"/>
    <w:rsid w:val="0075593D"/>
    <w:rsid w:val="00755AEF"/>
    <w:rsid w:val="00755CD8"/>
    <w:rsid w:val="00755EC1"/>
    <w:rsid w:val="00755FB4"/>
    <w:rsid w:val="00755FE1"/>
    <w:rsid w:val="0075619B"/>
    <w:rsid w:val="007563DC"/>
    <w:rsid w:val="0075681C"/>
    <w:rsid w:val="00756828"/>
    <w:rsid w:val="007568E7"/>
    <w:rsid w:val="00756BCC"/>
    <w:rsid w:val="00756FEA"/>
    <w:rsid w:val="0075723F"/>
    <w:rsid w:val="007572D4"/>
    <w:rsid w:val="00757451"/>
    <w:rsid w:val="007574EE"/>
    <w:rsid w:val="00757825"/>
    <w:rsid w:val="007602A3"/>
    <w:rsid w:val="0076030A"/>
    <w:rsid w:val="00760465"/>
    <w:rsid w:val="00760648"/>
    <w:rsid w:val="00760F61"/>
    <w:rsid w:val="00761159"/>
    <w:rsid w:val="007611BF"/>
    <w:rsid w:val="007611E6"/>
    <w:rsid w:val="0076125E"/>
    <w:rsid w:val="00761447"/>
    <w:rsid w:val="00761824"/>
    <w:rsid w:val="00761B41"/>
    <w:rsid w:val="00761DBE"/>
    <w:rsid w:val="00761DF2"/>
    <w:rsid w:val="00761E3C"/>
    <w:rsid w:val="00761E62"/>
    <w:rsid w:val="007627A1"/>
    <w:rsid w:val="007628C5"/>
    <w:rsid w:val="00762D80"/>
    <w:rsid w:val="007635F3"/>
    <w:rsid w:val="00763741"/>
    <w:rsid w:val="007639B8"/>
    <w:rsid w:val="00763A3B"/>
    <w:rsid w:val="0076415B"/>
    <w:rsid w:val="00764FBD"/>
    <w:rsid w:val="0076501D"/>
    <w:rsid w:val="0076508D"/>
    <w:rsid w:val="0076546C"/>
    <w:rsid w:val="007657CC"/>
    <w:rsid w:val="00765810"/>
    <w:rsid w:val="0076610E"/>
    <w:rsid w:val="007665B8"/>
    <w:rsid w:val="00766853"/>
    <w:rsid w:val="007668C7"/>
    <w:rsid w:val="00766BE1"/>
    <w:rsid w:val="00766E0D"/>
    <w:rsid w:val="00766FB2"/>
    <w:rsid w:val="00767135"/>
    <w:rsid w:val="007676B7"/>
    <w:rsid w:val="00767DF6"/>
    <w:rsid w:val="00770095"/>
    <w:rsid w:val="0077065D"/>
    <w:rsid w:val="0077081E"/>
    <w:rsid w:val="00770964"/>
    <w:rsid w:val="00770984"/>
    <w:rsid w:val="00770B87"/>
    <w:rsid w:val="00770C0E"/>
    <w:rsid w:val="00770C3A"/>
    <w:rsid w:val="00770CE0"/>
    <w:rsid w:val="00771459"/>
    <w:rsid w:val="00771A9E"/>
    <w:rsid w:val="00771CE8"/>
    <w:rsid w:val="00771ED9"/>
    <w:rsid w:val="00772567"/>
    <w:rsid w:val="00772DD8"/>
    <w:rsid w:val="00773076"/>
    <w:rsid w:val="0077331B"/>
    <w:rsid w:val="00773354"/>
    <w:rsid w:val="0077349D"/>
    <w:rsid w:val="007736D3"/>
    <w:rsid w:val="00773858"/>
    <w:rsid w:val="0077391C"/>
    <w:rsid w:val="00773955"/>
    <w:rsid w:val="00773E8A"/>
    <w:rsid w:val="00774208"/>
    <w:rsid w:val="0077440C"/>
    <w:rsid w:val="00774482"/>
    <w:rsid w:val="007744EB"/>
    <w:rsid w:val="007747EF"/>
    <w:rsid w:val="00774812"/>
    <w:rsid w:val="00774C39"/>
    <w:rsid w:val="00775034"/>
    <w:rsid w:val="0077506C"/>
    <w:rsid w:val="007750EC"/>
    <w:rsid w:val="00775135"/>
    <w:rsid w:val="007751F6"/>
    <w:rsid w:val="00775231"/>
    <w:rsid w:val="00775427"/>
    <w:rsid w:val="0077598E"/>
    <w:rsid w:val="00775A93"/>
    <w:rsid w:val="00775CD7"/>
    <w:rsid w:val="00776A1B"/>
    <w:rsid w:val="00776A6E"/>
    <w:rsid w:val="00776B54"/>
    <w:rsid w:val="00776B85"/>
    <w:rsid w:val="00776D79"/>
    <w:rsid w:val="00776E1F"/>
    <w:rsid w:val="00777543"/>
    <w:rsid w:val="00777680"/>
    <w:rsid w:val="007778F1"/>
    <w:rsid w:val="00777BCA"/>
    <w:rsid w:val="00777CE3"/>
    <w:rsid w:val="00777D54"/>
    <w:rsid w:val="0078009A"/>
    <w:rsid w:val="007801A8"/>
    <w:rsid w:val="007807FE"/>
    <w:rsid w:val="00780CF1"/>
    <w:rsid w:val="00780DF5"/>
    <w:rsid w:val="00780ED7"/>
    <w:rsid w:val="00780FF4"/>
    <w:rsid w:val="007810A6"/>
    <w:rsid w:val="0078122F"/>
    <w:rsid w:val="007816A0"/>
    <w:rsid w:val="00781A3C"/>
    <w:rsid w:val="00781AEA"/>
    <w:rsid w:val="00781E7F"/>
    <w:rsid w:val="007821E8"/>
    <w:rsid w:val="007822CE"/>
    <w:rsid w:val="00782664"/>
    <w:rsid w:val="007827BB"/>
    <w:rsid w:val="007830CC"/>
    <w:rsid w:val="007833CB"/>
    <w:rsid w:val="007834DD"/>
    <w:rsid w:val="0078382B"/>
    <w:rsid w:val="00783A8E"/>
    <w:rsid w:val="00783B3F"/>
    <w:rsid w:val="00783C9B"/>
    <w:rsid w:val="00784613"/>
    <w:rsid w:val="00784937"/>
    <w:rsid w:val="00784AA2"/>
    <w:rsid w:val="00784D23"/>
    <w:rsid w:val="00785AB7"/>
    <w:rsid w:val="00785AFC"/>
    <w:rsid w:val="00786757"/>
    <w:rsid w:val="00786A1B"/>
    <w:rsid w:val="00786D61"/>
    <w:rsid w:val="00786E34"/>
    <w:rsid w:val="00786EB2"/>
    <w:rsid w:val="0078711C"/>
    <w:rsid w:val="0078737F"/>
    <w:rsid w:val="00787477"/>
    <w:rsid w:val="007876AC"/>
    <w:rsid w:val="00787CE3"/>
    <w:rsid w:val="00787D31"/>
    <w:rsid w:val="00787DB2"/>
    <w:rsid w:val="00787EE0"/>
    <w:rsid w:val="0079012C"/>
    <w:rsid w:val="007905FB"/>
    <w:rsid w:val="00790A3C"/>
    <w:rsid w:val="00790B77"/>
    <w:rsid w:val="00790C82"/>
    <w:rsid w:val="00790EEA"/>
    <w:rsid w:val="0079118F"/>
    <w:rsid w:val="00791611"/>
    <w:rsid w:val="007919A8"/>
    <w:rsid w:val="00791B2D"/>
    <w:rsid w:val="00791B46"/>
    <w:rsid w:val="00791BC7"/>
    <w:rsid w:val="00791CF1"/>
    <w:rsid w:val="0079200F"/>
    <w:rsid w:val="0079227D"/>
    <w:rsid w:val="0079234C"/>
    <w:rsid w:val="00792473"/>
    <w:rsid w:val="00792578"/>
    <w:rsid w:val="00792A5D"/>
    <w:rsid w:val="00792C88"/>
    <w:rsid w:val="00792F9F"/>
    <w:rsid w:val="00792FC6"/>
    <w:rsid w:val="0079301F"/>
    <w:rsid w:val="00793377"/>
    <w:rsid w:val="0079345A"/>
    <w:rsid w:val="007935EC"/>
    <w:rsid w:val="00793A7A"/>
    <w:rsid w:val="00793B74"/>
    <w:rsid w:val="00793FF8"/>
    <w:rsid w:val="0079406F"/>
    <w:rsid w:val="007940A2"/>
    <w:rsid w:val="007940BE"/>
    <w:rsid w:val="007946B4"/>
    <w:rsid w:val="00794709"/>
    <w:rsid w:val="0079492B"/>
    <w:rsid w:val="00794C13"/>
    <w:rsid w:val="00794D09"/>
    <w:rsid w:val="007950CF"/>
    <w:rsid w:val="00795112"/>
    <w:rsid w:val="00795238"/>
    <w:rsid w:val="007955CB"/>
    <w:rsid w:val="00795903"/>
    <w:rsid w:val="00795A7B"/>
    <w:rsid w:val="00795C95"/>
    <w:rsid w:val="00795F6E"/>
    <w:rsid w:val="007960A0"/>
    <w:rsid w:val="00796114"/>
    <w:rsid w:val="007962AE"/>
    <w:rsid w:val="007962E3"/>
    <w:rsid w:val="00796669"/>
    <w:rsid w:val="00796774"/>
    <w:rsid w:val="00796AA9"/>
    <w:rsid w:val="00796E77"/>
    <w:rsid w:val="00797026"/>
    <w:rsid w:val="00797451"/>
    <w:rsid w:val="0079793C"/>
    <w:rsid w:val="00797D90"/>
    <w:rsid w:val="00797E15"/>
    <w:rsid w:val="007A00AE"/>
    <w:rsid w:val="007A00F3"/>
    <w:rsid w:val="007A0117"/>
    <w:rsid w:val="007A035D"/>
    <w:rsid w:val="007A09EA"/>
    <w:rsid w:val="007A0B54"/>
    <w:rsid w:val="007A18B0"/>
    <w:rsid w:val="007A1BEF"/>
    <w:rsid w:val="007A2066"/>
    <w:rsid w:val="007A228F"/>
    <w:rsid w:val="007A22BC"/>
    <w:rsid w:val="007A26BC"/>
    <w:rsid w:val="007A2B7B"/>
    <w:rsid w:val="007A2E51"/>
    <w:rsid w:val="007A2FC6"/>
    <w:rsid w:val="007A370E"/>
    <w:rsid w:val="007A374F"/>
    <w:rsid w:val="007A38FD"/>
    <w:rsid w:val="007A3D89"/>
    <w:rsid w:val="007A3EA9"/>
    <w:rsid w:val="007A3F66"/>
    <w:rsid w:val="007A4119"/>
    <w:rsid w:val="007A4183"/>
    <w:rsid w:val="007A4277"/>
    <w:rsid w:val="007A4EEC"/>
    <w:rsid w:val="007A514E"/>
    <w:rsid w:val="007A516B"/>
    <w:rsid w:val="007A5324"/>
    <w:rsid w:val="007A5450"/>
    <w:rsid w:val="007A584A"/>
    <w:rsid w:val="007A599C"/>
    <w:rsid w:val="007A5A08"/>
    <w:rsid w:val="007A63CB"/>
    <w:rsid w:val="007A6D2E"/>
    <w:rsid w:val="007A779E"/>
    <w:rsid w:val="007A79FE"/>
    <w:rsid w:val="007A7FE6"/>
    <w:rsid w:val="007A7FE9"/>
    <w:rsid w:val="007B0145"/>
    <w:rsid w:val="007B027B"/>
    <w:rsid w:val="007B02BC"/>
    <w:rsid w:val="007B03CE"/>
    <w:rsid w:val="007B0816"/>
    <w:rsid w:val="007B0AFB"/>
    <w:rsid w:val="007B0C7E"/>
    <w:rsid w:val="007B0C9F"/>
    <w:rsid w:val="007B112A"/>
    <w:rsid w:val="007B11BE"/>
    <w:rsid w:val="007B1518"/>
    <w:rsid w:val="007B1D00"/>
    <w:rsid w:val="007B1DC9"/>
    <w:rsid w:val="007B1EB3"/>
    <w:rsid w:val="007B2981"/>
    <w:rsid w:val="007B2A6F"/>
    <w:rsid w:val="007B32C7"/>
    <w:rsid w:val="007B3836"/>
    <w:rsid w:val="007B38B2"/>
    <w:rsid w:val="007B39BD"/>
    <w:rsid w:val="007B3AD4"/>
    <w:rsid w:val="007B3CF0"/>
    <w:rsid w:val="007B3F26"/>
    <w:rsid w:val="007B4083"/>
    <w:rsid w:val="007B432F"/>
    <w:rsid w:val="007B449C"/>
    <w:rsid w:val="007B4611"/>
    <w:rsid w:val="007B4718"/>
    <w:rsid w:val="007B4775"/>
    <w:rsid w:val="007B4BB9"/>
    <w:rsid w:val="007B4C97"/>
    <w:rsid w:val="007B4D61"/>
    <w:rsid w:val="007B522B"/>
    <w:rsid w:val="007B5714"/>
    <w:rsid w:val="007B5A66"/>
    <w:rsid w:val="007B5AE1"/>
    <w:rsid w:val="007B5BED"/>
    <w:rsid w:val="007B6000"/>
    <w:rsid w:val="007B6193"/>
    <w:rsid w:val="007B62C4"/>
    <w:rsid w:val="007B62CD"/>
    <w:rsid w:val="007B644B"/>
    <w:rsid w:val="007B6460"/>
    <w:rsid w:val="007B6509"/>
    <w:rsid w:val="007B66C7"/>
    <w:rsid w:val="007B6992"/>
    <w:rsid w:val="007B6BA4"/>
    <w:rsid w:val="007B6E35"/>
    <w:rsid w:val="007B727C"/>
    <w:rsid w:val="007B7466"/>
    <w:rsid w:val="007B7515"/>
    <w:rsid w:val="007B78E9"/>
    <w:rsid w:val="007B79ED"/>
    <w:rsid w:val="007B7B8B"/>
    <w:rsid w:val="007B7D16"/>
    <w:rsid w:val="007B7E09"/>
    <w:rsid w:val="007C0646"/>
    <w:rsid w:val="007C066E"/>
    <w:rsid w:val="007C0834"/>
    <w:rsid w:val="007C08DA"/>
    <w:rsid w:val="007C0971"/>
    <w:rsid w:val="007C0DE2"/>
    <w:rsid w:val="007C0E68"/>
    <w:rsid w:val="007C110B"/>
    <w:rsid w:val="007C1275"/>
    <w:rsid w:val="007C1710"/>
    <w:rsid w:val="007C1795"/>
    <w:rsid w:val="007C17A8"/>
    <w:rsid w:val="007C17FD"/>
    <w:rsid w:val="007C1C72"/>
    <w:rsid w:val="007C2437"/>
    <w:rsid w:val="007C292E"/>
    <w:rsid w:val="007C2CDA"/>
    <w:rsid w:val="007C2D35"/>
    <w:rsid w:val="007C31A9"/>
    <w:rsid w:val="007C31B9"/>
    <w:rsid w:val="007C322F"/>
    <w:rsid w:val="007C3312"/>
    <w:rsid w:val="007C339D"/>
    <w:rsid w:val="007C343D"/>
    <w:rsid w:val="007C3457"/>
    <w:rsid w:val="007C388C"/>
    <w:rsid w:val="007C38F6"/>
    <w:rsid w:val="007C3A36"/>
    <w:rsid w:val="007C3E6B"/>
    <w:rsid w:val="007C4112"/>
    <w:rsid w:val="007C444F"/>
    <w:rsid w:val="007C45AD"/>
    <w:rsid w:val="007C4607"/>
    <w:rsid w:val="007C4958"/>
    <w:rsid w:val="007C4A07"/>
    <w:rsid w:val="007C4C71"/>
    <w:rsid w:val="007C5526"/>
    <w:rsid w:val="007C5602"/>
    <w:rsid w:val="007C5649"/>
    <w:rsid w:val="007C5851"/>
    <w:rsid w:val="007C5B94"/>
    <w:rsid w:val="007C5BCC"/>
    <w:rsid w:val="007C5D19"/>
    <w:rsid w:val="007C5D4F"/>
    <w:rsid w:val="007C5D80"/>
    <w:rsid w:val="007C628E"/>
    <w:rsid w:val="007C6408"/>
    <w:rsid w:val="007C6A31"/>
    <w:rsid w:val="007C6C96"/>
    <w:rsid w:val="007C6D79"/>
    <w:rsid w:val="007C6EDA"/>
    <w:rsid w:val="007C7083"/>
    <w:rsid w:val="007C71CB"/>
    <w:rsid w:val="007C798D"/>
    <w:rsid w:val="007C79AF"/>
    <w:rsid w:val="007C79E1"/>
    <w:rsid w:val="007D0271"/>
    <w:rsid w:val="007D05EE"/>
    <w:rsid w:val="007D0608"/>
    <w:rsid w:val="007D0B17"/>
    <w:rsid w:val="007D0B76"/>
    <w:rsid w:val="007D0CE5"/>
    <w:rsid w:val="007D0CFE"/>
    <w:rsid w:val="007D0EF5"/>
    <w:rsid w:val="007D0F28"/>
    <w:rsid w:val="007D0F36"/>
    <w:rsid w:val="007D0FBD"/>
    <w:rsid w:val="007D1448"/>
    <w:rsid w:val="007D15C2"/>
    <w:rsid w:val="007D1A5D"/>
    <w:rsid w:val="007D1F59"/>
    <w:rsid w:val="007D229D"/>
    <w:rsid w:val="007D259A"/>
    <w:rsid w:val="007D26A0"/>
    <w:rsid w:val="007D2CAD"/>
    <w:rsid w:val="007D2D2C"/>
    <w:rsid w:val="007D3191"/>
    <w:rsid w:val="007D338C"/>
    <w:rsid w:val="007D3483"/>
    <w:rsid w:val="007D3762"/>
    <w:rsid w:val="007D39B5"/>
    <w:rsid w:val="007D3BA2"/>
    <w:rsid w:val="007D3FA2"/>
    <w:rsid w:val="007D4084"/>
    <w:rsid w:val="007D40E8"/>
    <w:rsid w:val="007D47CB"/>
    <w:rsid w:val="007D492F"/>
    <w:rsid w:val="007D4E70"/>
    <w:rsid w:val="007D505B"/>
    <w:rsid w:val="007D5167"/>
    <w:rsid w:val="007D5498"/>
    <w:rsid w:val="007D5993"/>
    <w:rsid w:val="007D5A31"/>
    <w:rsid w:val="007D5C41"/>
    <w:rsid w:val="007D5E23"/>
    <w:rsid w:val="007D60FA"/>
    <w:rsid w:val="007D67B1"/>
    <w:rsid w:val="007D6863"/>
    <w:rsid w:val="007D6ABB"/>
    <w:rsid w:val="007D6B0D"/>
    <w:rsid w:val="007D6D58"/>
    <w:rsid w:val="007D7251"/>
    <w:rsid w:val="007D74F4"/>
    <w:rsid w:val="007D7691"/>
    <w:rsid w:val="007D7FB6"/>
    <w:rsid w:val="007E02B5"/>
    <w:rsid w:val="007E05FE"/>
    <w:rsid w:val="007E07C4"/>
    <w:rsid w:val="007E0AD9"/>
    <w:rsid w:val="007E0C54"/>
    <w:rsid w:val="007E1224"/>
    <w:rsid w:val="007E1318"/>
    <w:rsid w:val="007E1332"/>
    <w:rsid w:val="007E133C"/>
    <w:rsid w:val="007E1383"/>
    <w:rsid w:val="007E1596"/>
    <w:rsid w:val="007E1608"/>
    <w:rsid w:val="007E16DF"/>
    <w:rsid w:val="007E17CB"/>
    <w:rsid w:val="007E1819"/>
    <w:rsid w:val="007E1846"/>
    <w:rsid w:val="007E18A8"/>
    <w:rsid w:val="007E19FC"/>
    <w:rsid w:val="007E212D"/>
    <w:rsid w:val="007E21EE"/>
    <w:rsid w:val="007E256D"/>
    <w:rsid w:val="007E267C"/>
    <w:rsid w:val="007E2713"/>
    <w:rsid w:val="007E2986"/>
    <w:rsid w:val="007E29F2"/>
    <w:rsid w:val="007E2CB8"/>
    <w:rsid w:val="007E3333"/>
    <w:rsid w:val="007E36FA"/>
    <w:rsid w:val="007E36FD"/>
    <w:rsid w:val="007E3B99"/>
    <w:rsid w:val="007E3C1D"/>
    <w:rsid w:val="007E3CC3"/>
    <w:rsid w:val="007E4239"/>
    <w:rsid w:val="007E4606"/>
    <w:rsid w:val="007E48A8"/>
    <w:rsid w:val="007E4C5A"/>
    <w:rsid w:val="007E50E6"/>
    <w:rsid w:val="007E52AD"/>
    <w:rsid w:val="007E539B"/>
    <w:rsid w:val="007E5439"/>
    <w:rsid w:val="007E54E9"/>
    <w:rsid w:val="007E599C"/>
    <w:rsid w:val="007E5B5D"/>
    <w:rsid w:val="007E5C45"/>
    <w:rsid w:val="007E5CD3"/>
    <w:rsid w:val="007E5DF0"/>
    <w:rsid w:val="007E5EDF"/>
    <w:rsid w:val="007E617A"/>
    <w:rsid w:val="007E67F7"/>
    <w:rsid w:val="007E74B3"/>
    <w:rsid w:val="007E7544"/>
    <w:rsid w:val="007E792A"/>
    <w:rsid w:val="007E7AF4"/>
    <w:rsid w:val="007E7BC9"/>
    <w:rsid w:val="007E7BD2"/>
    <w:rsid w:val="007E7C7E"/>
    <w:rsid w:val="007F0122"/>
    <w:rsid w:val="007F047D"/>
    <w:rsid w:val="007F09E9"/>
    <w:rsid w:val="007F0BFE"/>
    <w:rsid w:val="007F0D45"/>
    <w:rsid w:val="007F139D"/>
    <w:rsid w:val="007F156D"/>
    <w:rsid w:val="007F1637"/>
    <w:rsid w:val="007F1A2C"/>
    <w:rsid w:val="007F1CFA"/>
    <w:rsid w:val="007F1D9D"/>
    <w:rsid w:val="007F1DBA"/>
    <w:rsid w:val="007F2863"/>
    <w:rsid w:val="007F2D86"/>
    <w:rsid w:val="007F2F26"/>
    <w:rsid w:val="007F32E1"/>
    <w:rsid w:val="007F3346"/>
    <w:rsid w:val="007F3383"/>
    <w:rsid w:val="007F33B9"/>
    <w:rsid w:val="007F3555"/>
    <w:rsid w:val="007F39CE"/>
    <w:rsid w:val="007F3AC4"/>
    <w:rsid w:val="007F3BD4"/>
    <w:rsid w:val="007F418A"/>
    <w:rsid w:val="007F4338"/>
    <w:rsid w:val="007F4904"/>
    <w:rsid w:val="007F49EA"/>
    <w:rsid w:val="007F4BA1"/>
    <w:rsid w:val="007F505A"/>
    <w:rsid w:val="007F5342"/>
    <w:rsid w:val="007F5499"/>
    <w:rsid w:val="007F54D0"/>
    <w:rsid w:val="007F589D"/>
    <w:rsid w:val="007F59FE"/>
    <w:rsid w:val="007F5B3B"/>
    <w:rsid w:val="007F5B80"/>
    <w:rsid w:val="007F6177"/>
    <w:rsid w:val="007F629F"/>
    <w:rsid w:val="007F6355"/>
    <w:rsid w:val="007F689F"/>
    <w:rsid w:val="007F68DF"/>
    <w:rsid w:val="007F6B2C"/>
    <w:rsid w:val="007F6D50"/>
    <w:rsid w:val="007F6E0E"/>
    <w:rsid w:val="007F6E3E"/>
    <w:rsid w:val="007F6E63"/>
    <w:rsid w:val="007F6FA2"/>
    <w:rsid w:val="007F706C"/>
    <w:rsid w:val="007F7385"/>
    <w:rsid w:val="007F73C7"/>
    <w:rsid w:val="007F7435"/>
    <w:rsid w:val="007F79E5"/>
    <w:rsid w:val="007F7B31"/>
    <w:rsid w:val="007F7BC0"/>
    <w:rsid w:val="007F7CD8"/>
    <w:rsid w:val="00800024"/>
    <w:rsid w:val="008001FF"/>
    <w:rsid w:val="00800361"/>
    <w:rsid w:val="00800435"/>
    <w:rsid w:val="008006BA"/>
    <w:rsid w:val="00800B3A"/>
    <w:rsid w:val="00800BE7"/>
    <w:rsid w:val="00800D59"/>
    <w:rsid w:val="00800E2E"/>
    <w:rsid w:val="00800E55"/>
    <w:rsid w:val="00801056"/>
    <w:rsid w:val="00801196"/>
    <w:rsid w:val="008011E5"/>
    <w:rsid w:val="00801229"/>
    <w:rsid w:val="00801361"/>
    <w:rsid w:val="00801543"/>
    <w:rsid w:val="008019E7"/>
    <w:rsid w:val="0080230F"/>
    <w:rsid w:val="008024D1"/>
    <w:rsid w:val="00802513"/>
    <w:rsid w:val="00803157"/>
    <w:rsid w:val="00803211"/>
    <w:rsid w:val="008036D7"/>
    <w:rsid w:val="00803813"/>
    <w:rsid w:val="00803A39"/>
    <w:rsid w:val="00803B32"/>
    <w:rsid w:val="00803B33"/>
    <w:rsid w:val="00803D8D"/>
    <w:rsid w:val="00804074"/>
    <w:rsid w:val="00804245"/>
    <w:rsid w:val="008042D7"/>
    <w:rsid w:val="0080519B"/>
    <w:rsid w:val="00805568"/>
    <w:rsid w:val="0080574F"/>
    <w:rsid w:val="00805885"/>
    <w:rsid w:val="00805995"/>
    <w:rsid w:val="00805CA4"/>
    <w:rsid w:val="00805D0E"/>
    <w:rsid w:val="00805D56"/>
    <w:rsid w:val="00805D85"/>
    <w:rsid w:val="00805F09"/>
    <w:rsid w:val="00805FA1"/>
    <w:rsid w:val="00806223"/>
    <w:rsid w:val="0080646C"/>
    <w:rsid w:val="00806575"/>
    <w:rsid w:val="00806924"/>
    <w:rsid w:val="00806F77"/>
    <w:rsid w:val="00807345"/>
    <w:rsid w:val="00807349"/>
    <w:rsid w:val="0080753F"/>
    <w:rsid w:val="008077CB"/>
    <w:rsid w:val="00807CCA"/>
    <w:rsid w:val="00807CCC"/>
    <w:rsid w:val="00807D80"/>
    <w:rsid w:val="00807F93"/>
    <w:rsid w:val="008100E6"/>
    <w:rsid w:val="00810220"/>
    <w:rsid w:val="00810500"/>
    <w:rsid w:val="0081059C"/>
    <w:rsid w:val="0081063C"/>
    <w:rsid w:val="008106F6"/>
    <w:rsid w:val="00810909"/>
    <w:rsid w:val="00810AF0"/>
    <w:rsid w:val="00810D1C"/>
    <w:rsid w:val="00810E55"/>
    <w:rsid w:val="00810F7D"/>
    <w:rsid w:val="00811242"/>
    <w:rsid w:val="00811953"/>
    <w:rsid w:val="00811A48"/>
    <w:rsid w:val="00811A90"/>
    <w:rsid w:val="00811EE9"/>
    <w:rsid w:val="008126B4"/>
    <w:rsid w:val="008126DF"/>
    <w:rsid w:val="00812A1A"/>
    <w:rsid w:val="00812C02"/>
    <w:rsid w:val="00812D82"/>
    <w:rsid w:val="00812E4E"/>
    <w:rsid w:val="00813AF3"/>
    <w:rsid w:val="00813EA7"/>
    <w:rsid w:val="00813EDA"/>
    <w:rsid w:val="008141D8"/>
    <w:rsid w:val="00814743"/>
    <w:rsid w:val="008148A7"/>
    <w:rsid w:val="00814991"/>
    <w:rsid w:val="00814992"/>
    <w:rsid w:val="00814CBC"/>
    <w:rsid w:val="00814DD3"/>
    <w:rsid w:val="00815073"/>
    <w:rsid w:val="00815389"/>
    <w:rsid w:val="008154BD"/>
    <w:rsid w:val="008156E1"/>
    <w:rsid w:val="008159A0"/>
    <w:rsid w:val="00815AE6"/>
    <w:rsid w:val="00816130"/>
    <w:rsid w:val="0081631B"/>
    <w:rsid w:val="00816434"/>
    <w:rsid w:val="00816ADB"/>
    <w:rsid w:val="00816F2F"/>
    <w:rsid w:val="008170C6"/>
    <w:rsid w:val="00817555"/>
    <w:rsid w:val="0081762F"/>
    <w:rsid w:val="008176AC"/>
    <w:rsid w:val="008177E3"/>
    <w:rsid w:val="0081784B"/>
    <w:rsid w:val="008179B8"/>
    <w:rsid w:val="008179C2"/>
    <w:rsid w:val="00817DF8"/>
    <w:rsid w:val="00817FB0"/>
    <w:rsid w:val="00820310"/>
    <w:rsid w:val="0082056B"/>
    <w:rsid w:val="0082060B"/>
    <w:rsid w:val="0082068E"/>
    <w:rsid w:val="00820BB3"/>
    <w:rsid w:val="00820C8C"/>
    <w:rsid w:val="00820D38"/>
    <w:rsid w:val="00820FC7"/>
    <w:rsid w:val="00821234"/>
    <w:rsid w:val="00821315"/>
    <w:rsid w:val="008213A8"/>
    <w:rsid w:val="00821A25"/>
    <w:rsid w:val="00821A75"/>
    <w:rsid w:val="00822315"/>
    <w:rsid w:val="00822988"/>
    <w:rsid w:val="00822D17"/>
    <w:rsid w:val="008230FD"/>
    <w:rsid w:val="0082323E"/>
    <w:rsid w:val="00823C2C"/>
    <w:rsid w:val="0082439D"/>
    <w:rsid w:val="008249D1"/>
    <w:rsid w:val="00824BF1"/>
    <w:rsid w:val="0082519C"/>
    <w:rsid w:val="00825421"/>
    <w:rsid w:val="00825E69"/>
    <w:rsid w:val="00826346"/>
    <w:rsid w:val="008264B9"/>
    <w:rsid w:val="00826501"/>
    <w:rsid w:val="00826631"/>
    <w:rsid w:val="0082677A"/>
    <w:rsid w:val="008267AB"/>
    <w:rsid w:val="008267BC"/>
    <w:rsid w:val="00826A9B"/>
    <w:rsid w:val="00826DA1"/>
    <w:rsid w:val="0082703D"/>
    <w:rsid w:val="0082719E"/>
    <w:rsid w:val="00827382"/>
    <w:rsid w:val="00827416"/>
    <w:rsid w:val="00827440"/>
    <w:rsid w:val="00827D3D"/>
    <w:rsid w:val="00830346"/>
    <w:rsid w:val="00830934"/>
    <w:rsid w:val="00830ABC"/>
    <w:rsid w:val="00830B5A"/>
    <w:rsid w:val="00830E97"/>
    <w:rsid w:val="00831578"/>
    <w:rsid w:val="0083163D"/>
    <w:rsid w:val="00831814"/>
    <w:rsid w:val="00832279"/>
    <w:rsid w:val="008322F4"/>
    <w:rsid w:val="0083242C"/>
    <w:rsid w:val="00832502"/>
    <w:rsid w:val="00832556"/>
    <w:rsid w:val="00833298"/>
    <w:rsid w:val="00833A15"/>
    <w:rsid w:val="00833A88"/>
    <w:rsid w:val="00833DC8"/>
    <w:rsid w:val="00833F8E"/>
    <w:rsid w:val="00834302"/>
    <w:rsid w:val="0083434F"/>
    <w:rsid w:val="008344B4"/>
    <w:rsid w:val="0083479E"/>
    <w:rsid w:val="008347B5"/>
    <w:rsid w:val="00834B03"/>
    <w:rsid w:val="00834C2C"/>
    <w:rsid w:val="00834C77"/>
    <w:rsid w:val="00834FB2"/>
    <w:rsid w:val="0083501D"/>
    <w:rsid w:val="0083513F"/>
    <w:rsid w:val="00835531"/>
    <w:rsid w:val="00835784"/>
    <w:rsid w:val="008358B5"/>
    <w:rsid w:val="0083591B"/>
    <w:rsid w:val="00835E3C"/>
    <w:rsid w:val="00836067"/>
    <w:rsid w:val="0083611D"/>
    <w:rsid w:val="008366E0"/>
    <w:rsid w:val="008367A0"/>
    <w:rsid w:val="0083712F"/>
    <w:rsid w:val="00837514"/>
    <w:rsid w:val="00837542"/>
    <w:rsid w:val="00837936"/>
    <w:rsid w:val="00837BF6"/>
    <w:rsid w:val="00837E16"/>
    <w:rsid w:val="00837E85"/>
    <w:rsid w:val="00837EA9"/>
    <w:rsid w:val="00840334"/>
    <w:rsid w:val="00840A4C"/>
    <w:rsid w:val="00840ACD"/>
    <w:rsid w:val="00840C58"/>
    <w:rsid w:val="00840EF9"/>
    <w:rsid w:val="0084189B"/>
    <w:rsid w:val="008418E1"/>
    <w:rsid w:val="00841A51"/>
    <w:rsid w:val="00841C43"/>
    <w:rsid w:val="0084216E"/>
    <w:rsid w:val="0084230A"/>
    <w:rsid w:val="008424AB"/>
    <w:rsid w:val="008425C9"/>
    <w:rsid w:val="008425D2"/>
    <w:rsid w:val="008428BC"/>
    <w:rsid w:val="0084296A"/>
    <w:rsid w:val="00842CC1"/>
    <w:rsid w:val="00842D21"/>
    <w:rsid w:val="00842F94"/>
    <w:rsid w:val="0084363B"/>
    <w:rsid w:val="00843836"/>
    <w:rsid w:val="00843BAC"/>
    <w:rsid w:val="00843CDF"/>
    <w:rsid w:val="00843DDD"/>
    <w:rsid w:val="0084461D"/>
    <w:rsid w:val="008446EA"/>
    <w:rsid w:val="008447AB"/>
    <w:rsid w:val="00844A5B"/>
    <w:rsid w:val="00844CEF"/>
    <w:rsid w:val="00844DDD"/>
    <w:rsid w:val="0084500D"/>
    <w:rsid w:val="008452AA"/>
    <w:rsid w:val="0084551E"/>
    <w:rsid w:val="00845626"/>
    <w:rsid w:val="00845745"/>
    <w:rsid w:val="008457EB"/>
    <w:rsid w:val="008459AE"/>
    <w:rsid w:val="008461C7"/>
    <w:rsid w:val="00846322"/>
    <w:rsid w:val="00846379"/>
    <w:rsid w:val="00846904"/>
    <w:rsid w:val="0084711E"/>
    <w:rsid w:val="00847462"/>
    <w:rsid w:val="008474A8"/>
    <w:rsid w:val="00847564"/>
    <w:rsid w:val="00847890"/>
    <w:rsid w:val="0084790D"/>
    <w:rsid w:val="00847A7B"/>
    <w:rsid w:val="00847E3D"/>
    <w:rsid w:val="00847ED2"/>
    <w:rsid w:val="0085025E"/>
    <w:rsid w:val="008502AC"/>
    <w:rsid w:val="0085041C"/>
    <w:rsid w:val="00850423"/>
    <w:rsid w:val="00850447"/>
    <w:rsid w:val="008507A2"/>
    <w:rsid w:val="00850BDD"/>
    <w:rsid w:val="00851170"/>
    <w:rsid w:val="008513DA"/>
    <w:rsid w:val="0085144D"/>
    <w:rsid w:val="00851592"/>
    <w:rsid w:val="00851788"/>
    <w:rsid w:val="008519FA"/>
    <w:rsid w:val="00851C5F"/>
    <w:rsid w:val="00851D4D"/>
    <w:rsid w:val="00851E48"/>
    <w:rsid w:val="00852173"/>
    <w:rsid w:val="00852CB0"/>
    <w:rsid w:val="00852D61"/>
    <w:rsid w:val="00852F8D"/>
    <w:rsid w:val="00853209"/>
    <w:rsid w:val="00853633"/>
    <w:rsid w:val="008536EB"/>
    <w:rsid w:val="0085379F"/>
    <w:rsid w:val="00853B97"/>
    <w:rsid w:val="0085401F"/>
    <w:rsid w:val="008544DF"/>
    <w:rsid w:val="0085467D"/>
    <w:rsid w:val="008549FC"/>
    <w:rsid w:val="00854C5F"/>
    <w:rsid w:val="00854C98"/>
    <w:rsid w:val="00854D35"/>
    <w:rsid w:val="0085507F"/>
    <w:rsid w:val="00855855"/>
    <w:rsid w:val="00855A14"/>
    <w:rsid w:val="00855B52"/>
    <w:rsid w:val="00855CD3"/>
    <w:rsid w:val="00855EAF"/>
    <w:rsid w:val="008560F0"/>
    <w:rsid w:val="008562F2"/>
    <w:rsid w:val="00856BF7"/>
    <w:rsid w:val="008577E8"/>
    <w:rsid w:val="00857820"/>
    <w:rsid w:val="00857E44"/>
    <w:rsid w:val="00857E80"/>
    <w:rsid w:val="00860265"/>
    <w:rsid w:val="00860455"/>
    <w:rsid w:val="00860608"/>
    <w:rsid w:val="008607C2"/>
    <w:rsid w:val="00860A9E"/>
    <w:rsid w:val="00860E51"/>
    <w:rsid w:val="008613B5"/>
    <w:rsid w:val="00861737"/>
    <w:rsid w:val="008617B9"/>
    <w:rsid w:val="0086187D"/>
    <w:rsid w:val="008619FB"/>
    <w:rsid w:val="00861ABA"/>
    <w:rsid w:val="00861C63"/>
    <w:rsid w:val="00861F38"/>
    <w:rsid w:val="0086222F"/>
    <w:rsid w:val="008623D0"/>
    <w:rsid w:val="008623E0"/>
    <w:rsid w:val="0086254E"/>
    <w:rsid w:val="00862B13"/>
    <w:rsid w:val="00862B56"/>
    <w:rsid w:val="00862D32"/>
    <w:rsid w:val="00863036"/>
    <w:rsid w:val="0086316A"/>
    <w:rsid w:val="0086322E"/>
    <w:rsid w:val="00863284"/>
    <w:rsid w:val="008632CE"/>
    <w:rsid w:val="0086345B"/>
    <w:rsid w:val="00863536"/>
    <w:rsid w:val="00863C55"/>
    <w:rsid w:val="00863D41"/>
    <w:rsid w:val="00863D71"/>
    <w:rsid w:val="00863DF8"/>
    <w:rsid w:val="00863FD3"/>
    <w:rsid w:val="0086403E"/>
    <w:rsid w:val="0086405F"/>
    <w:rsid w:val="00864097"/>
    <w:rsid w:val="0086451C"/>
    <w:rsid w:val="0086490E"/>
    <w:rsid w:val="0086499C"/>
    <w:rsid w:val="00864C54"/>
    <w:rsid w:val="00865268"/>
    <w:rsid w:val="008655C0"/>
    <w:rsid w:val="00865639"/>
    <w:rsid w:val="008656C8"/>
    <w:rsid w:val="00865747"/>
    <w:rsid w:val="008657FD"/>
    <w:rsid w:val="00865A58"/>
    <w:rsid w:val="00865C2F"/>
    <w:rsid w:val="00865D35"/>
    <w:rsid w:val="0086684F"/>
    <w:rsid w:val="00866A33"/>
    <w:rsid w:val="00866C09"/>
    <w:rsid w:val="00866E94"/>
    <w:rsid w:val="0086740C"/>
    <w:rsid w:val="00867481"/>
    <w:rsid w:val="00867489"/>
    <w:rsid w:val="00867513"/>
    <w:rsid w:val="008675F0"/>
    <w:rsid w:val="00867657"/>
    <w:rsid w:val="00867796"/>
    <w:rsid w:val="00867871"/>
    <w:rsid w:val="00867A03"/>
    <w:rsid w:val="00867B5D"/>
    <w:rsid w:val="00867D95"/>
    <w:rsid w:val="00867DEF"/>
    <w:rsid w:val="00867E3B"/>
    <w:rsid w:val="0087065C"/>
    <w:rsid w:val="008706D4"/>
    <w:rsid w:val="00870828"/>
    <w:rsid w:val="00871156"/>
    <w:rsid w:val="00871186"/>
    <w:rsid w:val="00871197"/>
    <w:rsid w:val="0087134E"/>
    <w:rsid w:val="00871949"/>
    <w:rsid w:val="00871A64"/>
    <w:rsid w:val="00872520"/>
    <w:rsid w:val="00872545"/>
    <w:rsid w:val="00872F40"/>
    <w:rsid w:val="0087329B"/>
    <w:rsid w:val="00873430"/>
    <w:rsid w:val="00873854"/>
    <w:rsid w:val="008739DF"/>
    <w:rsid w:val="00873AF8"/>
    <w:rsid w:val="00873B11"/>
    <w:rsid w:val="00873B9C"/>
    <w:rsid w:val="00873D0E"/>
    <w:rsid w:val="00873F61"/>
    <w:rsid w:val="0087418B"/>
    <w:rsid w:val="0087424E"/>
    <w:rsid w:val="008742BA"/>
    <w:rsid w:val="008742C0"/>
    <w:rsid w:val="00874580"/>
    <w:rsid w:val="008745DF"/>
    <w:rsid w:val="00874A0A"/>
    <w:rsid w:val="00874B4B"/>
    <w:rsid w:val="0087513A"/>
    <w:rsid w:val="00875216"/>
    <w:rsid w:val="0087528E"/>
    <w:rsid w:val="008752C7"/>
    <w:rsid w:val="008753AA"/>
    <w:rsid w:val="00875A3B"/>
    <w:rsid w:val="00875CD5"/>
    <w:rsid w:val="00875DCA"/>
    <w:rsid w:val="00876013"/>
    <w:rsid w:val="008763F5"/>
    <w:rsid w:val="008767E0"/>
    <w:rsid w:val="00876810"/>
    <w:rsid w:val="00876A1B"/>
    <w:rsid w:val="00876B0A"/>
    <w:rsid w:val="00876B66"/>
    <w:rsid w:val="00876DC3"/>
    <w:rsid w:val="00876E80"/>
    <w:rsid w:val="00876EB4"/>
    <w:rsid w:val="0087744B"/>
    <w:rsid w:val="00877628"/>
    <w:rsid w:val="00877700"/>
    <w:rsid w:val="0087778B"/>
    <w:rsid w:val="008777F3"/>
    <w:rsid w:val="00877D88"/>
    <w:rsid w:val="00880275"/>
    <w:rsid w:val="00880481"/>
    <w:rsid w:val="0088049E"/>
    <w:rsid w:val="00880579"/>
    <w:rsid w:val="00880764"/>
    <w:rsid w:val="00880AB0"/>
    <w:rsid w:val="00880B57"/>
    <w:rsid w:val="00880B76"/>
    <w:rsid w:val="00880BA4"/>
    <w:rsid w:val="00880BD2"/>
    <w:rsid w:val="00880E4E"/>
    <w:rsid w:val="00881090"/>
    <w:rsid w:val="008810D0"/>
    <w:rsid w:val="008812CE"/>
    <w:rsid w:val="0088137C"/>
    <w:rsid w:val="00881439"/>
    <w:rsid w:val="008816AA"/>
    <w:rsid w:val="00881853"/>
    <w:rsid w:val="00881A8F"/>
    <w:rsid w:val="00881CEE"/>
    <w:rsid w:val="00881E37"/>
    <w:rsid w:val="00882404"/>
    <w:rsid w:val="008827F1"/>
    <w:rsid w:val="008828AA"/>
    <w:rsid w:val="0088291A"/>
    <w:rsid w:val="00882923"/>
    <w:rsid w:val="00882B45"/>
    <w:rsid w:val="00882CA0"/>
    <w:rsid w:val="00882CC7"/>
    <w:rsid w:val="00882E50"/>
    <w:rsid w:val="00882F23"/>
    <w:rsid w:val="00882FD3"/>
    <w:rsid w:val="00883404"/>
    <w:rsid w:val="00883ADB"/>
    <w:rsid w:val="00883BE8"/>
    <w:rsid w:val="00883DF0"/>
    <w:rsid w:val="00883E3E"/>
    <w:rsid w:val="00883F2D"/>
    <w:rsid w:val="0088412E"/>
    <w:rsid w:val="00884983"/>
    <w:rsid w:val="00884C55"/>
    <w:rsid w:val="00884CB6"/>
    <w:rsid w:val="00884D53"/>
    <w:rsid w:val="008851CA"/>
    <w:rsid w:val="00885270"/>
    <w:rsid w:val="00885A48"/>
    <w:rsid w:val="00885E3F"/>
    <w:rsid w:val="00885EDB"/>
    <w:rsid w:val="00885F80"/>
    <w:rsid w:val="00886122"/>
    <w:rsid w:val="008861E4"/>
    <w:rsid w:val="008865BB"/>
    <w:rsid w:val="008868A3"/>
    <w:rsid w:val="0088699A"/>
    <w:rsid w:val="00886AC5"/>
    <w:rsid w:val="00886AF4"/>
    <w:rsid w:val="00886D5D"/>
    <w:rsid w:val="00886DC7"/>
    <w:rsid w:val="008871FD"/>
    <w:rsid w:val="008873B3"/>
    <w:rsid w:val="00887458"/>
    <w:rsid w:val="00887665"/>
    <w:rsid w:val="008879DF"/>
    <w:rsid w:val="00887AAD"/>
    <w:rsid w:val="00887BCB"/>
    <w:rsid w:val="00887F7B"/>
    <w:rsid w:val="00890AB6"/>
    <w:rsid w:val="0089107B"/>
    <w:rsid w:val="008911FE"/>
    <w:rsid w:val="008914AC"/>
    <w:rsid w:val="00891615"/>
    <w:rsid w:val="008917A9"/>
    <w:rsid w:val="00891A3E"/>
    <w:rsid w:val="00891AA4"/>
    <w:rsid w:val="00891AF4"/>
    <w:rsid w:val="00891CD5"/>
    <w:rsid w:val="00891DE0"/>
    <w:rsid w:val="00891EDF"/>
    <w:rsid w:val="00892112"/>
    <w:rsid w:val="00892220"/>
    <w:rsid w:val="008922EE"/>
    <w:rsid w:val="0089230A"/>
    <w:rsid w:val="0089238A"/>
    <w:rsid w:val="0089243C"/>
    <w:rsid w:val="008929D9"/>
    <w:rsid w:val="00892AE9"/>
    <w:rsid w:val="00892CE3"/>
    <w:rsid w:val="008934F1"/>
    <w:rsid w:val="00893707"/>
    <w:rsid w:val="0089375D"/>
    <w:rsid w:val="008937C2"/>
    <w:rsid w:val="00893B7F"/>
    <w:rsid w:val="00893ED2"/>
    <w:rsid w:val="0089419F"/>
    <w:rsid w:val="00894236"/>
    <w:rsid w:val="00894406"/>
    <w:rsid w:val="00894758"/>
    <w:rsid w:val="00894910"/>
    <w:rsid w:val="00894AB6"/>
    <w:rsid w:val="00894B25"/>
    <w:rsid w:val="00894BB6"/>
    <w:rsid w:val="00894CBB"/>
    <w:rsid w:val="00894D97"/>
    <w:rsid w:val="008950B6"/>
    <w:rsid w:val="00895575"/>
    <w:rsid w:val="008956A3"/>
    <w:rsid w:val="008956EA"/>
    <w:rsid w:val="00895B44"/>
    <w:rsid w:val="00895E41"/>
    <w:rsid w:val="00896078"/>
    <w:rsid w:val="00896184"/>
    <w:rsid w:val="008966A2"/>
    <w:rsid w:val="00896736"/>
    <w:rsid w:val="00896863"/>
    <w:rsid w:val="00896A7B"/>
    <w:rsid w:val="00896B65"/>
    <w:rsid w:val="00896BCB"/>
    <w:rsid w:val="00896CF9"/>
    <w:rsid w:val="00896FF3"/>
    <w:rsid w:val="00897003"/>
    <w:rsid w:val="008970A3"/>
    <w:rsid w:val="0089726C"/>
    <w:rsid w:val="008976DF"/>
    <w:rsid w:val="008978D9"/>
    <w:rsid w:val="00897AE2"/>
    <w:rsid w:val="008A0047"/>
    <w:rsid w:val="008A00BA"/>
    <w:rsid w:val="008A00E9"/>
    <w:rsid w:val="008A0162"/>
    <w:rsid w:val="008A0292"/>
    <w:rsid w:val="008A03A3"/>
    <w:rsid w:val="008A07DE"/>
    <w:rsid w:val="008A0DF9"/>
    <w:rsid w:val="008A125B"/>
    <w:rsid w:val="008A13E5"/>
    <w:rsid w:val="008A15F6"/>
    <w:rsid w:val="008A1782"/>
    <w:rsid w:val="008A1A4E"/>
    <w:rsid w:val="008A1D42"/>
    <w:rsid w:val="008A1DE1"/>
    <w:rsid w:val="008A1E08"/>
    <w:rsid w:val="008A2091"/>
    <w:rsid w:val="008A20D3"/>
    <w:rsid w:val="008A23D4"/>
    <w:rsid w:val="008A29C6"/>
    <w:rsid w:val="008A34BD"/>
    <w:rsid w:val="008A3946"/>
    <w:rsid w:val="008A3AD3"/>
    <w:rsid w:val="008A3CA3"/>
    <w:rsid w:val="008A3E79"/>
    <w:rsid w:val="008A3F93"/>
    <w:rsid w:val="008A40CC"/>
    <w:rsid w:val="008A4435"/>
    <w:rsid w:val="008A4444"/>
    <w:rsid w:val="008A470F"/>
    <w:rsid w:val="008A4836"/>
    <w:rsid w:val="008A4A10"/>
    <w:rsid w:val="008A4D18"/>
    <w:rsid w:val="008A4E74"/>
    <w:rsid w:val="008A5035"/>
    <w:rsid w:val="008A5595"/>
    <w:rsid w:val="008A56DB"/>
    <w:rsid w:val="008A577B"/>
    <w:rsid w:val="008A57D3"/>
    <w:rsid w:val="008A5A0B"/>
    <w:rsid w:val="008A5A5C"/>
    <w:rsid w:val="008A5BBA"/>
    <w:rsid w:val="008A5E92"/>
    <w:rsid w:val="008A5E95"/>
    <w:rsid w:val="008A607F"/>
    <w:rsid w:val="008A615C"/>
    <w:rsid w:val="008A626A"/>
    <w:rsid w:val="008A64D4"/>
    <w:rsid w:val="008A6F39"/>
    <w:rsid w:val="008A70F6"/>
    <w:rsid w:val="008A71FA"/>
    <w:rsid w:val="008A7281"/>
    <w:rsid w:val="008A754B"/>
    <w:rsid w:val="008B0021"/>
    <w:rsid w:val="008B00F6"/>
    <w:rsid w:val="008B0172"/>
    <w:rsid w:val="008B08C7"/>
    <w:rsid w:val="008B17C9"/>
    <w:rsid w:val="008B18DC"/>
    <w:rsid w:val="008B1DED"/>
    <w:rsid w:val="008B2188"/>
    <w:rsid w:val="008B2430"/>
    <w:rsid w:val="008B2581"/>
    <w:rsid w:val="008B25E9"/>
    <w:rsid w:val="008B2646"/>
    <w:rsid w:val="008B275A"/>
    <w:rsid w:val="008B27D3"/>
    <w:rsid w:val="008B2AB6"/>
    <w:rsid w:val="008B2CFD"/>
    <w:rsid w:val="008B2E7A"/>
    <w:rsid w:val="008B30B8"/>
    <w:rsid w:val="008B3137"/>
    <w:rsid w:val="008B320F"/>
    <w:rsid w:val="008B33A9"/>
    <w:rsid w:val="008B3479"/>
    <w:rsid w:val="008B35DC"/>
    <w:rsid w:val="008B3A60"/>
    <w:rsid w:val="008B3B63"/>
    <w:rsid w:val="008B400A"/>
    <w:rsid w:val="008B437D"/>
    <w:rsid w:val="008B45DE"/>
    <w:rsid w:val="008B4846"/>
    <w:rsid w:val="008B4CEA"/>
    <w:rsid w:val="008B4F6E"/>
    <w:rsid w:val="008B55E3"/>
    <w:rsid w:val="008B5885"/>
    <w:rsid w:val="008B59EF"/>
    <w:rsid w:val="008B5D4B"/>
    <w:rsid w:val="008B5E6B"/>
    <w:rsid w:val="008B60A3"/>
    <w:rsid w:val="008B60B0"/>
    <w:rsid w:val="008B64BB"/>
    <w:rsid w:val="008B6601"/>
    <w:rsid w:val="008B6642"/>
    <w:rsid w:val="008B6BD4"/>
    <w:rsid w:val="008B6CA4"/>
    <w:rsid w:val="008B6DEC"/>
    <w:rsid w:val="008B743E"/>
    <w:rsid w:val="008B7585"/>
    <w:rsid w:val="008B76BA"/>
    <w:rsid w:val="008B7884"/>
    <w:rsid w:val="008B7C95"/>
    <w:rsid w:val="008B7F9C"/>
    <w:rsid w:val="008C0080"/>
    <w:rsid w:val="008C00B8"/>
    <w:rsid w:val="008C0195"/>
    <w:rsid w:val="008C0A8C"/>
    <w:rsid w:val="008C10E5"/>
    <w:rsid w:val="008C143D"/>
    <w:rsid w:val="008C153C"/>
    <w:rsid w:val="008C17E7"/>
    <w:rsid w:val="008C1AC5"/>
    <w:rsid w:val="008C1DB6"/>
    <w:rsid w:val="008C20C1"/>
    <w:rsid w:val="008C20FD"/>
    <w:rsid w:val="008C2148"/>
    <w:rsid w:val="008C24AC"/>
    <w:rsid w:val="008C256B"/>
    <w:rsid w:val="008C285F"/>
    <w:rsid w:val="008C2C01"/>
    <w:rsid w:val="008C2CD3"/>
    <w:rsid w:val="008C38E9"/>
    <w:rsid w:val="008C395A"/>
    <w:rsid w:val="008C39A5"/>
    <w:rsid w:val="008C39E5"/>
    <w:rsid w:val="008C3C79"/>
    <w:rsid w:val="008C3EC3"/>
    <w:rsid w:val="008C3FCE"/>
    <w:rsid w:val="008C4250"/>
    <w:rsid w:val="008C42BF"/>
    <w:rsid w:val="008C432E"/>
    <w:rsid w:val="008C4444"/>
    <w:rsid w:val="008C4736"/>
    <w:rsid w:val="008C4D31"/>
    <w:rsid w:val="008C5364"/>
    <w:rsid w:val="008C55B5"/>
    <w:rsid w:val="008C63A2"/>
    <w:rsid w:val="008C676F"/>
    <w:rsid w:val="008C68F2"/>
    <w:rsid w:val="008C69BA"/>
    <w:rsid w:val="008C6A28"/>
    <w:rsid w:val="008C6FDE"/>
    <w:rsid w:val="008C7973"/>
    <w:rsid w:val="008C7DDB"/>
    <w:rsid w:val="008D0086"/>
    <w:rsid w:val="008D00B4"/>
    <w:rsid w:val="008D0255"/>
    <w:rsid w:val="008D0271"/>
    <w:rsid w:val="008D0398"/>
    <w:rsid w:val="008D0719"/>
    <w:rsid w:val="008D09BC"/>
    <w:rsid w:val="008D0E3B"/>
    <w:rsid w:val="008D0F5E"/>
    <w:rsid w:val="008D11A9"/>
    <w:rsid w:val="008D11CE"/>
    <w:rsid w:val="008D14CF"/>
    <w:rsid w:val="008D1525"/>
    <w:rsid w:val="008D17FF"/>
    <w:rsid w:val="008D182B"/>
    <w:rsid w:val="008D1BB8"/>
    <w:rsid w:val="008D1CA0"/>
    <w:rsid w:val="008D1D97"/>
    <w:rsid w:val="008D1FC7"/>
    <w:rsid w:val="008D2163"/>
    <w:rsid w:val="008D22F2"/>
    <w:rsid w:val="008D237E"/>
    <w:rsid w:val="008D2567"/>
    <w:rsid w:val="008D2AA8"/>
    <w:rsid w:val="008D2C15"/>
    <w:rsid w:val="008D2E7B"/>
    <w:rsid w:val="008D363A"/>
    <w:rsid w:val="008D3A73"/>
    <w:rsid w:val="008D3B9F"/>
    <w:rsid w:val="008D3DBD"/>
    <w:rsid w:val="008D3E02"/>
    <w:rsid w:val="008D4013"/>
    <w:rsid w:val="008D41DB"/>
    <w:rsid w:val="008D455F"/>
    <w:rsid w:val="008D4C1E"/>
    <w:rsid w:val="008D547E"/>
    <w:rsid w:val="008D57D5"/>
    <w:rsid w:val="008D5B65"/>
    <w:rsid w:val="008D5CFE"/>
    <w:rsid w:val="008D5E8C"/>
    <w:rsid w:val="008D5FFE"/>
    <w:rsid w:val="008D61C9"/>
    <w:rsid w:val="008D61E2"/>
    <w:rsid w:val="008D6287"/>
    <w:rsid w:val="008D629C"/>
    <w:rsid w:val="008D6820"/>
    <w:rsid w:val="008D6B43"/>
    <w:rsid w:val="008D6C35"/>
    <w:rsid w:val="008D6C73"/>
    <w:rsid w:val="008D6DCF"/>
    <w:rsid w:val="008D7191"/>
    <w:rsid w:val="008D7343"/>
    <w:rsid w:val="008D73F7"/>
    <w:rsid w:val="008D7743"/>
    <w:rsid w:val="008D782C"/>
    <w:rsid w:val="008D7AB1"/>
    <w:rsid w:val="008D7AE1"/>
    <w:rsid w:val="008D7D27"/>
    <w:rsid w:val="008D7E4A"/>
    <w:rsid w:val="008E0241"/>
    <w:rsid w:val="008E07EF"/>
    <w:rsid w:val="008E0817"/>
    <w:rsid w:val="008E0A06"/>
    <w:rsid w:val="008E0ABE"/>
    <w:rsid w:val="008E0B3D"/>
    <w:rsid w:val="008E0C00"/>
    <w:rsid w:val="008E1479"/>
    <w:rsid w:val="008E1851"/>
    <w:rsid w:val="008E1BF3"/>
    <w:rsid w:val="008E1BF5"/>
    <w:rsid w:val="008E2043"/>
    <w:rsid w:val="008E27B0"/>
    <w:rsid w:val="008E29CC"/>
    <w:rsid w:val="008E2C32"/>
    <w:rsid w:val="008E3003"/>
    <w:rsid w:val="008E31F3"/>
    <w:rsid w:val="008E338E"/>
    <w:rsid w:val="008E3A65"/>
    <w:rsid w:val="008E3AA8"/>
    <w:rsid w:val="008E3DE2"/>
    <w:rsid w:val="008E40C6"/>
    <w:rsid w:val="008E44BE"/>
    <w:rsid w:val="008E45EB"/>
    <w:rsid w:val="008E4752"/>
    <w:rsid w:val="008E47F8"/>
    <w:rsid w:val="008E4894"/>
    <w:rsid w:val="008E48B9"/>
    <w:rsid w:val="008E49D8"/>
    <w:rsid w:val="008E4A04"/>
    <w:rsid w:val="008E4A4C"/>
    <w:rsid w:val="008E5421"/>
    <w:rsid w:val="008E54FD"/>
    <w:rsid w:val="008E5C2C"/>
    <w:rsid w:val="008E5E33"/>
    <w:rsid w:val="008E66F4"/>
    <w:rsid w:val="008E6712"/>
    <w:rsid w:val="008E6AAA"/>
    <w:rsid w:val="008E6E4D"/>
    <w:rsid w:val="008E6EA0"/>
    <w:rsid w:val="008E73D9"/>
    <w:rsid w:val="008E7472"/>
    <w:rsid w:val="008E750F"/>
    <w:rsid w:val="008E772A"/>
    <w:rsid w:val="008F0557"/>
    <w:rsid w:val="008F057E"/>
    <w:rsid w:val="008F073D"/>
    <w:rsid w:val="008F07A9"/>
    <w:rsid w:val="008F082F"/>
    <w:rsid w:val="008F0C40"/>
    <w:rsid w:val="008F0E1D"/>
    <w:rsid w:val="008F0F2B"/>
    <w:rsid w:val="008F1022"/>
    <w:rsid w:val="008F137A"/>
    <w:rsid w:val="008F154E"/>
    <w:rsid w:val="008F1701"/>
    <w:rsid w:val="008F17CB"/>
    <w:rsid w:val="008F1D57"/>
    <w:rsid w:val="008F1D91"/>
    <w:rsid w:val="008F1FBE"/>
    <w:rsid w:val="008F212F"/>
    <w:rsid w:val="008F26BF"/>
    <w:rsid w:val="008F28EA"/>
    <w:rsid w:val="008F290B"/>
    <w:rsid w:val="008F2AC9"/>
    <w:rsid w:val="008F2AD6"/>
    <w:rsid w:val="008F2B91"/>
    <w:rsid w:val="008F2DD8"/>
    <w:rsid w:val="008F2EE6"/>
    <w:rsid w:val="008F33E5"/>
    <w:rsid w:val="008F3529"/>
    <w:rsid w:val="008F394C"/>
    <w:rsid w:val="008F397B"/>
    <w:rsid w:val="008F3DF5"/>
    <w:rsid w:val="008F41B8"/>
    <w:rsid w:val="008F4255"/>
    <w:rsid w:val="008F4303"/>
    <w:rsid w:val="008F49D0"/>
    <w:rsid w:val="008F4FF0"/>
    <w:rsid w:val="008F500F"/>
    <w:rsid w:val="008F5347"/>
    <w:rsid w:val="008F5682"/>
    <w:rsid w:val="008F5715"/>
    <w:rsid w:val="008F582B"/>
    <w:rsid w:val="008F5C19"/>
    <w:rsid w:val="008F5EC8"/>
    <w:rsid w:val="008F5F3A"/>
    <w:rsid w:val="008F6387"/>
    <w:rsid w:val="008F654C"/>
    <w:rsid w:val="008F65F1"/>
    <w:rsid w:val="008F68F6"/>
    <w:rsid w:val="008F69B5"/>
    <w:rsid w:val="008F6E53"/>
    <w:rsid w:val="008F6FBA"/>
    <w:rsid w:val="008F700F"/>
    <w:rsid w:val="008F7106"/>
    <w:rsid w:val="008F72E0"/>
    <w:rsid w:val="008F7587"/>
    <w:rsid w:val="008F7C5C"/>
    <w:rsid w:val="008F7CE6"/>
    <w:rsid w:val="008F7E83"/>
    <w:rsid w:val="00900BC4"/>
    <w:rsid w:val="00900E65"/>
    <w:rsid w:val="00900FC6"/>
    <w:rsid w:val="009013BD"/>
    <w:rsid w:val="00901447"/>
    <w:rsid w:val="00901BD8"/>
    <w:rsid w:val="00901CF1"/>
    <w:rsid w:val="00901ED8"/>
    <w:rsid w:val="00901F66"/>
    <w:rsid w:val="009022CA"/>
    <w:rsid w:val="00902478"/>
    <w:rsid w:val="009025CB"/>
    <w:rsid w:val="009026EF"/>
    <w:rsid w:val="0090287E"/>
    <w:rsid w:val="00902A2D"/>
    <w:rsid w:val="009030BD"/>
    <w:rsid w:val="0090325C"/>
    <w:rsid w:val="0090328A"/>
    <w:rsid w:val="00903437"/>
    <w:rsid w:val="009034CF"/>
    <w:rsid w:val="009035E4"/>
    <w:rsid w:val="009035F1"/>
    <w:rsid w:val="00903890"/>
    <w:rsid w:val="00903BF3"/>
    <w:rsid w:val="00903F2F"/>
    <w:rsid w:val="00903FAE"/>
    <w:rsid w:val="00903FCD"/>
    <w:rsid w:val="0090413A"/>
    <w:rsid w:val="00904144"/>
    <w:rsid w:val="00904536"/>
    <w:rsid w:val="009048D8"/>
    <w:rsid w:val="00904BE0"/>
    <w:rsid w:val="0090504B"/>
    <w:rsid w:val="009051B9"/>
    <w:rsid w:val="00905230"/>
    <w:rsid w:val="00905434"/>
    <w:rsid w:val="0090561C"/>
    <w:rsid w:val="00905A24"/>
    <w:rsid w:val="00905E55"/>
    <w:rsid w:val="009062A7"/>
    <w:rsid w:val="00906D5C"/>
    <w:rsid w:val="00906D5F"/>
    <w:rsid w:val="00906EA3"/>
    <w:rsid w:val="00906FBE"/>
    <w:rsid w:val="009078D3"/>
    <w:rsid w:val="00907A78"/>
    <w:rsid w:val="00907B29"/>
    <w:rsid w:val="00910175"/>
    <w:rsid w:val="00910630"/>
    <w:rsid w:val="00910A9B"/>
    <w:rsid w:val="00910D25"/>
    <w:rsid w:val="0091125B"/>
    <w:rsid w:val="009112D9"/>
    <w:rsid w:val="00911374"/>
    <w:rsid w:val="00911630"/>
    <w:rsid w:val="009118F3"/>
    <w:rsid w:val="00911918"/>
    <w:rsid w:val="00911CC4"/>
    <w:rsid w:val="00911D6F"/>
    <w:rsid w:val="0091238F"/>
    <w:rsid w:val="00912489"/>
    <w:rsid w:val="009126FE"/>
    <w:rsid w:val="009128EF"/>
    <w:rsid w:val="00912B51"/>
    <w:rsid w:val="00912BD0"/>
    <w:rsid w:val="00912C0B"/>
    <w:rsid w:val="0091348F"/>
    <w:rsid w:val="00913704"/>
    <w:rsid w:val="00913B10"/>
    <w:rsid w:val="00913D5B"/>
    <w:rsid w:val="00913DBF"/>
    <w:rsid w:val="009140C8"/>
    <w:rsid w:val="0091415C"/>
    <w:rsid w:val="00914608"/>
    <w:rsid w:val="00914DAB"/>
    <w:rsid w:val="00914E65"/>
    <w:rsid w:val="009157C2"/>
    <w:rsid w:val="00915C50"/>
    <w:rsid w:val="00915DBB"/>
    <w:rsid w:val="00916734"/>
    <w:rsid w:val="00916DB1"/>
    <w:rsid w:val="00916EC7"/>
    <w:rsid w:val="00920476"/>
    <w:rsid w:val="009204C3"/>
    <w:rsid w:val="00920576"/>
    <w:rsid w:val="0092069F"/>
    <w:rsid w:val="009207FD"/>
    <w:rsid w:val="009208B1"/>
    <w:rsid w:val="009209AC"/>
    <w:rsid w:val="00920CA8"/>
    <w:rsid w:val="00920D78"/>
    <w:rsid w:val="00920DB2"/>
    <w:rsid w:val="00920E91"/>
    <w:rsid w:val="009212D1"/>
    <w:rsid w:val="00921323"/>
    <w:rsid w:val="009213D0"/>
    <w:rsid w:val="00921742"/>
    <w:rsid w:val="009218A1"/>
    <w:rsid w:val="00921C1E"/>
    <w:rsid w:val="00921EF2"/>
    <w:rsid w:val="00921F42"/>
    <w:rsid w:val="00922005"/>
    <w:rsid w:val="00922078"/>
    <w:rsid w:val="00922310"/>
    <w:rsid w:val="009224AE"/>
    <w:rsid w:val="009227B1"/>
    <w:rsid w:val="00922A27"/>
    <w:rsid w:val="00922B6A"/>
    <w:rsid w:val="00922FEA"/>
    <w:rsid w:val="00923352"/>
    <w:rsid w:val="0092379A"/>
    <w:rsid w:val="00923E24"/>
    <w:rsid w:val="009240AF"/>
    <w:rsid w:val="0092418C"/>
    <w:rsid w:val="009242F4"/>
    <w:rsid w:val="009243BA"/>
    <w:rsid w:val="00924420"/>
    <w:rsid w:val="0092461A"/>
    <w:rsid w:val="00924742"/>
    <w:rsid w:val="00924AAA"/>
    <w:rsid w:val="0092525A"/>
    <w:rsid w:val="009254D0"/>
    <w:rsid w:val="009257D7"/>
    <w:rsid w:val="009259F1"/>
    <w:rsid w:val="00925A93"/>
    <w:rsid w:val="00925EF7"/>
    <w:rsid w:val="009266D1"/>
    <w:rsid w:val="00926887"/>
    <w:rsid w:val="009270A5"/>
    <w:rsid w:val="009271D9"/>
    <w:rsid w:val="0092733A"/>
    <w:rsid w:val="00927534"/>
    <w:rsid w:val="009275BE"/>
    <w:rsid w:val="0092795E"/>
    <w:rsid w:val="00927D49"/>
    <w:rsid w:val="00927D54"/>
    <w:rsid w:val="00927E68"/>
    <w:rsid w:val="00927F04"/>
    <w:rsid w:val="00930178"/>
    <w:rsid w:val="009302CC"/>
    <w:rsid w:val="0093048D"/>
    <w:rsid w:val="0093056A"/>
    <w:rsid w:val="00930860"/>
    <w:rsid w:val="009308A1"/>
    <w:rsid w:val="009309CF"/>
    <w:rsid w:val="00930A30"/>
    <w:rsid w:val="00930A6B"/>
    <w:rsid w:val="00930FC0"/>
    <w:rsid w:val="009317AE"/>
    <w:rsid w:val="00931AB7"/>
    <w:rsid w:val="00931E07"/>
    <w:rsid w:val="00931FA2"/>
    <w:rsid w:val="00932077"/>
    <w:rsid w:val="0093219B"/>
    <w:rsid w:val="00932744"/>
    <w:rsid w:val="00932B0C"/>
    <w:rsid w:val="00933076"/>
    <w:rsid w:val="00933237"/>
    <w:rsid w:val="00933548"/>
    <w:rsid w:val="009336B7"/>
    <w:rsid w:val="00933A5C"/>
    <w:rsid w:val="00933BB2"/>
    <w:rsid w:val="00933C39"/>
    <w:rsid w:val="00933FBD"/>
    <w:rsid w:val="00934130"/>
    <w:rsid w:val="0093432B"/>
    <w:rsid w:val="009343B4"/>
    <w:rsid w:val="00934656"/>
    <w:rsid w:val="009347E3"/>
    <w:rsid w:val="009347FB"/>
    <w:rsid w:val="009349A3"/>
    <w:rsid w:val="00935197"/>
    <w:rsid w:val="00935728"/>
    <w:rsid w:val="0093585B"/>
    <w:rsid w:val="00935B48"/>
    <w:rsid w:val="00935BE2"/>
    <w:rsid w:val="00935CFC"/>
    <w:rsid w:val="00935E15"/>
    <w:rsid w:val="00935E2A"/>
    <w:rsid w:val="00935FB4"/>
    <w:rsid w:val="009369E0"/>
    <w:rsid w:val="00936CB2"/>
    <w:rsid w:val="00936D99"/>
    <w:rsid w:val="00936E19"/>
    <w:rsid w:val="00937287"/>
    <w:rsid w:val="00937310"/>
    <w:rsid w:val="00937706"/>
    <w:rsid w:val="00937793"/>
    <w:rsid w:val="00937D67"/>
    <w:rsid w:val="00940047"/>
    <w:rsid w:val="0094011E"/>
    <w:rsid w:val="009401D4"/>
    <w:rsid w:val="00940328"/>
    <w:rsid w:val="009403EE"/>
    <w:rsid w:val="009406B6"/>
    <w:rsid w:val="00940972"/>
    <w:rsid w:val="00940C64"/>
    <w:rsid w:val="00940F08"/>
    <w:rsid w:val="00940FE4"/>
    <w:rsid w:val="009410A0"/>
    <w:rsid w:val="0094157A"/>
    <w:rsid w:val="009417FC"/>
    <w:rsid w:val="00941FDC"/>
    <w:rsid w:val="00941FFA"/>
    <w:rsid w:val="00942340"/>
    <w:rsid w:val="00942567"/>
    <w:rsid w:val="0094283D"/>
    <w:rsid w:val="00942C32"/>
    <w:rsid w:val="00942C5D"/>
    <w:rsid w:val="00942D15"/>
    <w:rsid w:val="00942D3C"/>
    <w:rsid w:val="00942DF5"/>
    <w:rsid w:val="00942FFC"/>
    <w:rsid w:val="009432EB"/>
    <w:rsid w:val="00943379"/>
    <w:rsid w:val="00943825"/>
    <w:rsid w:val="00943954"/>
    <w:rsid w:val="00943EDE"/>
    <w:rsid w:val="00943FAA"/>
    <w:rsid w:val="00944105"/>
    <w:rsid w:val="009442C5"/>
    <w:rsid w:val="00944380"/>
    <w:rsid w:val="00944610"/>
    <w:rsid w:val="00944AEC"/>
    <w:rsid w:val="00944BBA"/>
    <w:rsid w:val="00944CAE"/>
    <w:rsid w:val="00944D1A"/>
    <w:rsid w:val="00944DF0"/>
    <w:rsid w:val="00944F9A"/>
    <w:rsid w:val="009450FA"/>
    <w:rsid w:val="00945219"/>
    <w:rsid w:val="0094536C"/>
    <w:rsid w:val="00945461"/>
    <w:rsid w:val="009456C0"/>
    <w:rsid w:val="00945758"/>
    <w:rsid w:val="00945880"/>
    <w:rsid w:val="009459D0"/>
    <w:rsid w:val="00945F65"/>
    <w:rsid w:val="0094605F"/>
    <w:rsid w:val="0094625E"/>
    <w:rsid w:val="009467CF"/>
    <w:rsid w:val="00946D56"/>
    <w:rsid w:val="00946DF0"/>
    <w:rsid w:val="00946F37"/>
    <w:rsid w:val="0094701A"/>
    <w:rsid w:val="0094707F"/>
    <w:rsid w:val="0094710F"/>
    <w:rsid w:val="00947179"/>
    <w:rsid w:val="00947321"/>
    <w:rsid w:val="009473F9"/>
    <w:rsid w:val="009474C6"/>
    <w:rsid w:val="009475D8"/>
    <w:rsid w:val="00947650"/>
    <w:rsid w:val="00947EF8"/>
    <w:rsid w:val="009502C5"/>
    <w:rsid w:val="009502E1"/>
    <w:rsid w:val="009503FA"/>
    <w:rsid w:val="0095071F"/>
    <w:rsid w:val="00950D08"/>
    <w:rsid w:val="00950ECC"/>
    <w:rsid w:val="009514FA"/>
    <w:rsid w:val="00951730"/>
    <w:rsid w:val="0095178D"/>
    <w:rsid w:val="00951E39"/>
    <w:rsid w:val="009520C3"/>
    <w:rsid w:val="009520D6"/>
    <w:rsid w:val="00952183"/>
    <w:rsid w:val="00952440"/>
    <w:rsid w:val="00952A27"/>
    <w:rsid w:val="00952C9F"/>
    <w:rsid w:val="00952DA5"/>
    <w:rsid w:val="00952F03"/>
    <w:rsid w:val="0095324A"/>
    <w:rsid w:val="009533CB"/>
    <w:rsid w:val="009533F1"/>
    <w:rsid w:val="009536AB"/>
    <w:rsid w:val="00953BBA"/>
    <w:rsid w:val="00953C7E"/>
    <w:rsid w:val="00954093"/>
    <w:rsid w:val="00954774"/>
    <w:rsid w:val="0095493A"/>
    <w:rsid w:val="00954A9F"/>
    <w:rsid w:val="00954C72"/>
    <w:rsid w:val="00954D1C"/>
    <w:rsid w:val="00954E42"/>
    <w:rsid w:val="00955378"/>
    <w:rsid w:val="0095588E"/>
    <w:rsid w:val="00956433"/>
    <w:rsid w:val="0095676E"/>
    <w:rsid w:val="009569A2"/>
    <w:rsid w:val="00956ABB"/>
    <w:rsid w:val="00956B46"/>
    <w:rsid w:val="00956D2C"/>
    <w:rsid w:val="00957035"/>
    <w:rsid w:val="009570C1"/>
    <w:rsid w:val="009571FC"/>
    <w:rsid w:val="00957858"/>
    <w:rsid w:val="0095789E"/>
    <w:rsid w:val="00957907"/>
    <w:rsid w:val="00957AA7"/>
    <w:rsid w:val="00957DB0"/>
    <w:rsid w:val="00960117"/>
    <w:rsid w:val="00960204"/>
    <w:rsid w:val="0096076E"/>
    <w:rsid w:val="009607B5"/>
    <w:rsid w:val="0096087E"/>
    <w:rsid w:val="00960A13"/>
    <w:rsid w:val="00961284"/>
    <w:rsid w:val="009613F6"/>
    <w:rsid w:val="00961835"/>
    <w:rsid w:val="009618FC"/>
    <w:rsid w:val="009619C3"/>
    <w:rsid w:val="00961A4A"/>
    <w:rsid w:val="00961D15"/>
    <w:rsid w:val="00961D28"/>
    <w:rsid w:val="0096239E"/>
    <w:rsid w:val="00962546"/>
    <w:rsid w:val="0096263C"/>
    <w:rsid w:val="00962BFC"/>
    <w:rsid w:val="00962CB9"/>
    <w:rsid w:val="00962DD7"/>
    <w:rsid w:val="00963101"/>
    <w:rsid w:val="009632AB"/>
    <w:rsid w:val="009635E5"/>
    <w:rsid w:val="00963851"/>
    <w:rsid w:val="00963AEE"/>
    <w:rsid w:val="00963C06"/>
    <w:rsid w:val="00963D6C"/>
    <w:rsid w:val="0096470B"/>
    <w:rsid w:val="00964739"/>
    <w:rsid w:val="00964801"/>
    <w:rsid w:val="00964A15"/>
    <w:rsid w:val="00964D54"/>
    <w:rsid w:val="009650B1"/>
    <w:rsid w:val="009654CB"/>
    <w:rsid w:val="00965956"/>
    <w:rsid w:val="00965A27"/>
    <w:rsid w:val="0096609E"/>
    <w:rsid w:val="009661D4"/>
    <w:rsid w:val="00966268"/>
    <w:rsid w:val="009665E8"/>
    <w:rsid w:val="00966857"/>
    <w:rsid w:val="0096728D"/>
    <w:rsid w:val="00967411"/>
    <w:rsid w:val="0096745F"/>
    <w:rsid w:val="00967523"/>
    <w:rsid w:val="009676AE"/>
    <w:rsid w:val="00967855"/>
    <w:rsid w:val="00967D5B"/>
    <w:rsid w:val="00967E52"/>
    <w:rsid w:val="00967F38"/>
    <w:rsid w:val="00970010"/>
    <w:rsid w:val="00970102"/>
    <w:rsid w:val="0097051E"/>
    <w:rsid w:val="0097091D"/>
    <w:rsid w:val="00970AB9"/>
    <w:rsid w:val="00971129"/>
    <w:rsid w:val="009711BE"/>
    <w:rsid w:val="0097170C"/>
    <w:rsid w:val="00971781"/>
    <w:rsid w:val="00971C1E"/>
    <w:rsid w:val="009721E0"/>
    <w:rsid w:val="00972274"/>
    <w:rsid w:val="00972444"/>
    <w:rsid w:val="00972729"/>
    <w:rsid w:val="00973168"/>
    <w:rsid w:val="009735EE"/>
    <w:rsid w:val="009737EB"/>
    <w:rsid w:val="00973B4B"/>
    <w:rsid w:val="009742AA"/>
    <w:rsid w:val="00974503"/>
    <w:rsid w:val="00974667"/>
    <w:rsid w:val="00974B9A"/>
    <w:rsid w:val="00974BE0"/>
    <w:rsid w:val="0097508B"/>
    <w:rsid w:val="009750FD"/>
    <w:rsid w:val="00975661"/>
    <w:rsid w:val="00975A1F"/>
    <w:rsid w:val="009763DF"/>
    <w:rsid w:val="00976663"/>
    <w:rsid w:val="00976B61"/>
    <w:rsid w:val="00976EE4"/>
    <w:rsid w:val="009771FE"/>
    <w:rsid w:val="00977313"/>
    <w:rsid w:val="009778B9"/>
    <w:rsid w:val="00977B9F"/>
    <w:rsid w:val="00977EE8"/>
    <w:rsid w:val="00977F96"/>
    <w:rsid w:val="00980057"/>
    <w:rsid w:val="009800E8"/>
    <w:rsid w:val="009800F8"/>
    <w:rsid w:val="00980128"/>
    <w:rsid w:val="00980182"/>
    <w:rsid w:val="00980497"/>
    <w:rsid w:val="00980577"/>
    <w:rsid w:val="009806EE"/>
    <w:rsid w:val="00980995"/>
    <w:rsid w:val="00980A45"/>
    <w:rsid w:val="00980A4F"/>
    <w:rsid w:val="009813D7"/>
    <w:rsid w:val="00981654"/>
    <w:rsid w:val="0098174D"/>
    <w:rsid w:val="00981A57"/>
    <w:rsid w:val="00981B20"/>
    <w:rsid w:val="00981FD5"/>
    <w:rsid w:val="009820C2"/>
    <w:rsid w:val="009821E6"/>
    <w:rsid w:val="0098239D"/>
    <w:rsid w:val="009825D7"/>
    <w:rsid w:val="009825F0"/>
    <w:rsid w:val="00982641"/>
    <w:rsid w:val="00982862"/>
    <w:rsid w:val="00982958"/>
    <w:rsid w:val="00982BF1"/>
    <w:rsid w:val="00983263"/>
    <w:rsid w:val="00983450"/>
    <w:rsid w:val="009835A6"/>
    <w:rsid w:val="009835B3"/>
    <w:rsid w:val="009836D8"/>
    <w:rsid w:val="009842A1"/>
    <w:rsid w:val="00984335"/>
    <w:rsid w:val="009844E7"/>
    <w:rsid w:val="009845F9"/>
    <w:rsid w:val="00984772"/>
    <w:rsid w:val="00984941"/>
    <w:rsid w:val="00984A89"/>
    <w:rsid w:val="00984D39"/>
    <w:rsid w:val="00984F5F"/>
    <w:rsid w:val="00985535"/>
    <w:rsid w:val="00985867"/>
    <w:rsid w:val="00985B08"/>
    <w:rsid w:val="00985BCE"/>
    <w:rsid w:val="00985CE6"/>
    <w:rsid w:val="00985DF5"/>
    <w:rsid w:val="00985FD7"/>
    <w:rsid w:val="00986580"/>
    <w:rsid w:val="009865EE"/>
    <w:rsid w:val="00986668"/>
    <w:rsid w:val="009866D5"/>
    <w:rsid w:val="0098689A"/>
    <w:rsid w:val="00986F28"/>
    <w:rsid w:val="009871B3"/>
    <w:rsid w:val="00987606"/>
    <w:rsid w:val="0098777B"/>
    <w:rsid w:val="00987C39"/>
    <w:rsid w:val="00990146"/>
    <w:rsid w:val="00990317"/>
    <w:rsid w:val="0099031D"/>
    <w:rsid w:val="00990588"/>
    <w:rsid w:val="0099074F"/>
    <w:rsid w:val="00990912"/>
    <w:rsid w:val="00990926"/>
    <w:rsid w:val="00990A24"/>
    <w:rsid w:val="00990A25"/>
    <w:rsid w:val="00990AF8"/>
    <w:rsid w:val="00990E9E"/>
    <w:rsid w:val="00990F16"/>
    <w:rsid w:val="009911FD"/>
    <w:rsid w:val="00991335"/>
    <w:rsid w:val="0099144B"/>
    <w:rsid w:val="00991682"/>
    <w:rsid w:val="009918BE"/>
    <w:rsid w:val="00992330"/>
    <w:rsid w:val="0099245C"/>
    <w:rsid w:val="00992768"/>
    <w:rsid w:val="00992893"/>
    <w:rsid w:val="00992D30"/>
    <w:rsid w:val="00993129"/>
    <w:rsid w:val="00993700"/>
    <w:rsid w:val="009938E4"/>
    <w:rsid w:val="009938E5"/>
    <w:rsid w:val="00993AE9"/>
    <w:rsid w:val="00993C31"/>
    <w:rsid w:val="00993E3B"/>
    <w:rsid w:val="009940C0"/>
    <w:rsid w:val="0099484A"/>
    <w:rsid w:val="00994944"/>
    <w:rsid w:val="00994EF1"/>
    <w:rsid w:val="009951F8"/>
    <w:rsid w:val="00995355"/>
    <w:rsid w:val="009956B8"/>
    <w:rsid w:val="009958F9"/>
    <w:rsid w:val="00995ACC"/>
    <w:rsid w:val="00995CEF"/>
    <w:rsid w:val="00995D8B"/>
    <w:rsid w:val="0099605A"/>
    <w:rsid w:val="0099621C"/>
    <w:rsid w:val="0099631F"/>
    <w:rsid w:val="00996A2F"/>
    <w:rsid w:val="00996ADC"/>
    <w:rsid w:val="00996C7B"/>
    <w:rsid w:val="00996EE0"/>
    <w:rsid w:val="00997061"/>
    <w:rsid w:val="009971FC"/>
    <w:rsid w:val="00997313"/>
    <w:rsid w:val="009973C3"/>
    <w:rsid w:val="009975E5"/>
    <w:rsid w:val="009978D8"/>
    <w:rsid w:val="009978F5"/>
    <w:rsid w:val="00997C56"/>
    <w:rsid w:val="00997DBF"/>
    <w:rsid w:val="00997E90"/>
    <w:rsid w:val="009A04C8"/>
    <w:rsid w:val="009A0523"/>
    <w:rsid w:val="009A0531"/>
    <w:rsid w:val="009A06C8"/>
    <w:rsid w:val="009A08EB"/>
    <w:rsid w:val="009A0ABE"/>
    <w:rsid w:val="009A0C3D"/>
    <w:rsid w:val="009A0D71"/>
    <w:rsid w:val="009A1184"/>
    <w:rsid w:val="009A13C3"/>
    <w:rsid w:val="009A14DA"/>
    <w:rsid w:val="009A162F"/>
    <w:rsid w:val="009A1680"/>
    <w:rsid w:val="009A2169"/>
    <w:rsid w:val="009A222F"/>
    <w:rsid w:val="009A2554"/>
    <w:rsid w:val="009A294E"/>
    <w:rsid w:val="009A2DEF"/>
    <w:rsid w:val="009A3095"/>
    <w:rsid w:val="009A31B5"/>
    <w:rsid w:val="009A32FA"/>
    <w:rsid w:val="009A358C"/>
    <w:rsid w:val="009A3A20"/>
    <w:rsid w:val="009A402E"/>
    <w:rsid w:val="009A4534"/>
    <w:rsid w:val="009A4812"/>
    <w:rsid w:val="009A4A94"/>
    <w:rsid w:val="009A4AE7"/>
    <w:rsid w:val="009A4C18"/>
    <w:rsid w:val="009A4C4E"/>
    <w:rsid w:val="009A4C67"/>
    <w:rsid w:val="009A4C68"/>
    <w:rsid w:val="009A508E"/>
    <w:rsid w:val="009A5137"/>
    <w:rsid w:val="009A54B7"/>
    <w:rsid w:val="009A558C"/>
    <w:rsid w:val="009A5812"/>
    <w:rsid w:val="009A59BF"/>
    <w:rsid w:val="009A5C08"/>
    <w:rsid w:val="009A5D1F"/>
    <w:rsid w:val="009A5F3D"/>
    <w:rsid w:val="009A6082"/>
    <w:rsid w:val="009A6B77"/>
    <w:rsid w:val="009A6FEB"/>
    <w:rsid w:val="009A7077"/>
    <w:rsid w:val="009A73A6"/>
    <w:rsid w:val="009A7532"/>
    <w:rsid w:val="009A766D"/>
    <w:rsid w:val="009A7BA8"/>
    <w:rsid w:val="009A7DF2"/>
    <w:rsid w:val="009B00F0"/>
    <w:rsid w:val="009B01F2"/>
    <w:rsid w:val="009B02FE"/>
    <w:rsid w:val="009B0614"/>
    <w:rsid w:val="009B0759"/>
    <w:rsid w:val="009B07D5"/>
    <w:rsid w:val="009B08E4"/>
    <w:rsid w:val="009B0EAF"/>
    <w:rsid w:val="009B10BE"/>
    <w:rsid w:val="009B1236"/>
    <w:rsid w:val="009B15E3"/>
    <w:rsid w:val="009B17C2"/>
    <w:rsid w:val="009B1887"/>
    <w:rsid w:val="009B1985"/>
    <w:rsid w:val="009B1BAB"/>
    <w:rsid w:val="009B1EDF"/>
    <w:rsid w:val="009B2113"/>
    <w:rsid w:val="009B21B7"/>
    <w:rsid w:val="009B237E"/>
    <w:rsid w:val="009B23BD"/>
    <w:rsid w:val="009B2A47"/>
    <w:rsid w:val="009B2A64"/>
    <w:rsid w:val="009B2CE9"/>
    <w:rsid w:val="009B2D87"/>
    <w:rsid w:val="009B30F5"/>
    <w:rsid w:val="009B3196"/>
    <w:rsid w:val="009B3341"/>
    <w:rsid w:val="009B3A46"/>
    <w:rsid w:val="009B3B33"/>
    <w:rsid w:val="009B3DF2"/>
    <w:rsid w:val="009B3F75"/>
    <w:rsid w:val="009B4008"/>
    <w:rsid w:val="009B40B2"/>
    <w:rsid w:val="009B44E5"/>
    <w:rsid w:val="009B4849"/>
    <w:rsid w:val="009B4923"/>
    <w:rsid w:val="009B4947"/>
    <w:rsid w:val="009B4B91"/>
    <w:rsid w:val="009B4E72"/>
    <w:rsid w:val="009B4FF1"/>
    <w:rsid w:val="009B51D2"/>
    <w:rsid w:val="009B5524"/>
    <w:rsid w:val="009B5633"/>
    <w:rsid w:val="009B5B87"/>
    <w:rsid w:val="009B5D17"/>
    <w:rsid w:val="009B6432"/>
    <w:rsid w:val="009B683B"/>
    <w:rsid w:val="009B6A50"/>
    <w:rsid w:val="009B6B18"/>
    <w:rsid w:val="009B6D63"/>
    <w:rsid w:val="009B7067"/>
    <w:rsid w:val="009B7345"/>
    <w:rsid w:val="009B74AE"/>
    <w:rsid w:val="009B7559"/>
    <w:rsid w:val="009B765D"/>
    <w:rsid w:val="009B7709"/>
    <w:rsid w:val="009B786C"/>
    <w:rsid w:val="009B78DA"/>
    <w:rsid w:val="009B7950"/>
    <w:rsid w:val="009B7ABC"/>
    <w:rsid w:val="009B7BE3"/>
    <w:rsid w:val="009B7E4E"/>
    <w:rsid w:val="009C014B"/>
    <w:rsid w:val="009C0182"/>
    <w:rsid w:val="009C0D21"/>
    <w:rsid w:val="009C0E14"/>
    <w:rsid w:val="009C1658"/>
    <w:rsid w:val="009C16CA"/>
    <w:rsid w:val="009C182C"/>
    <w:rsid w:val="009C1A88"/>
    <w:rsid w:val="009C1D09"/>
    <w:rsid w:val="009C1F86"/>
    <w:rsid w:val="009C20A4"/>
    <w:rsid w:val="009C2170"/>
    <w:rsid w:val="009C2721"/>
    <w:rsid w:val="009C283F"/>
    <w:rsid w:val="009C2A1B"/>
    <w:rsid w:val="009C2E7E"/>
    <w:rsid w:val="009C310E"/>
    <w:rsid w:val="009C3276"/>
    <w:rsid w:val="009C331F"/>
    <w:rsid w:val="009C345E"/>
    <w:rsid w:val="009C35B8"/>
    <w:rsid w:val="009C3616"/>
    <w:rsid w:val="009C3AA1"/>
    <w:rsid w:val="009C3B3C"/>
    <w:rsid w:val="009C3BAC"/>
    <w:rsid w:val="009C3BCE"/>
    <w:rsid w:val="009C3D20"/>
    <w:rsid w:val="009C3EE1"/>
    <w:rsid w:val="009C3F33"/>
    <w:rsid w:val="009C3F55"/>
    <w:rsid w:val="009C3F7A"/>
    <w:rsid w:val="009C3FA0"/>
    <w:rsid w:val="009C4320"/>
    <w:rsid w:val="009C43EF"/>
    <w:rsid w:val="009C4486"/>
    <w:rsid w:val="009C459B"/>
    <w:rsid w:val="009C4714"/>
    <w:rsid w:val="009C4993"/>
    <w:rsid w:val="009C4B77"/>
    <w:rsid w:val="009C4E20"/>
    <w:rsid w:val="009C4F62"/>
    <w:rsid w:val="009C5008"/>
    <w:rsid w:val="009C5177"/>
    <w:rsid w:val="009C55D8"/>
    <w:rsid w:val="009C59DC"/>
    <w:rsid w:val="009C5D28"/>
    <w:rsid w:val="009C5DD0"/>
    <w:rsid w:val="009C6143"/>
    <w:rsid w:val="009C61E0"/>
    <w:rsid w:val="009C6655"/>
    <w:rsid w:val="009C67DA"/>
    <w:rsid w:val="009C6812"/>
    <w:rsid w:val="009C6E28"/>
    <w:rsid w:val="009C6FE2"/>
    <w:rsid w:val="009C7120"/>
    <w:rsid w:val="009C719F"/>
    <w:rsid w:val="009C7707"/>
    <w:rsid w:val="009D0620"/>
    <w:rsid w:val="009D0B73"/>
    <w:rsid w:val="009D0FBA"/>
    <w:rsid w:val="009D10EE"/>
    <w:rsid w:val="009D149C"/>
    <w:rsid w:val="009D19D3"/>
    <w:rsid w:val="009D1AA6"/>
    <w:rsid w:val="009D1F28"/>
    <w:rsid w:val="009D210B"/>
    <w:rsid w:val="009D2356"/>
    <w:rsid w:val="009D24D2"/>
    <w:rsid w:val="009D262B"/>
    <w:rsid w:val="009D2734"/>
    <w:rsid w:val="009D278A"/>
    <w:rsid w:val="009D2842"/>
    <w:rsid w:val="009D2BAA"/>
    <w:rsid w:val="009D2FC1"/>
    <w:rsid w:val="009D309B"/>
    <w:rsid w:val="009D35A4"/>
    <w:rsid w:val="009D37B1"/>
    <w:rsid w:val="009D3C5D"/>
    <w:rsid w:val="009D3F6D"/>
    <w:rsid w:val="009D40B7"/>
    <w:rsid w:val="009D40CD"/>
    <w:rsid w:val="009D4320"/>
    <w:rsid w:val="009D45D8"/>
    <w:rsid w:val="009D4650"/>
    <w:rsid w:val="009D478B"/>
    <w:rsid w:val="009D4A82"/>
    <w:rsid w:val="009D4E23"/>
    <w:rsid w:val="009D62FD"/>
    <w:rsid w:val="009D63B1"/>
    <w:rsid w:val="009D67E8"/>
    <w:rsid w:val="009D6B88"/>
    <w:rsid w:val="009D6E2E"/>
    <w:rsid w:val="009D6E77"/>
    <w:rsid w:val="009D7247"/>
    <w:rsid w:val="009D741C"/>
    <w:rsid w:val="009D7478"/>
    <w:rsid w:val="009D74B6"/>
    <w:rsid w:val="009D77D1"/>
    <w:rsid w:val="009D7D64"/>
    <w:rsid w:val="009D7DCD"/>
    <w:rsid w:val="009D7E8B"/>
    <w:rsid w:val="009E00A5"/>
    <w:rsid w:val="009E0461"/>
    <w:rsid w:val="009E0FDF"/>
    <w:rsid w:val="009E1071"/>
    <w:rsid w:val="009E10AF"/>
    <w:rsid w:val="009E1AE7"/>
    <w:rsid w:val="009E1EE9"/>
    <w:rsid w:val="009E2290"/>
    <w:rsid w:val="009E23DD"/>
    <w:rsid w:val="009E246B"/>
    <w:rsid w:val="009E281E"/>
    <w:rsid w:val="009E2C24"/>
    <w:rsid w:val="009E2D09"/>
    <w:rsid w:val="009E2EA6"/>
    <w:rsid w:val="009E341A"/>
    <w:rsid w:val="009E3474"/>
    <w:rsid w:val="009E357C"/>
    <w:rsid w:val="009E3707"/>
    <w:rsid w:val="009E3936"/>
    <w:rsid w:val="009E3A99"/>
    <w:rsid w:val="009E3C2C"/>
    <w:rsid w:val="009E3CB5"/>
    <w:rsid w:val="009E3ED0"/>
    <w:rsid w:val="009E45A8"/>
    <w:rsid w:val="009E4B02"/>
    <w:rsid w:val="009E4B2C"/>
    <w:rsid w:val="009E526A"/>
    <w:rsid w:val="009E5367"/>
    <w:rsid w:val="009E55F4"/>
    <w:rsid w:val="009E5C34"/>
    <w:rsid w:val="009E5F1F"/>
    <w:rsid w:val="009E6174"/>
    <w:rsid w:val="009E66D2"/>
    <w:rsid w:val="009E66FA"/>
    <w:rsid w:val="009E6790"/>
    <w:rsid w:val="009E67AE"/>
    <w:rsid w:val="009E6CDD"/>
    <w:rsid w:val="009E71AC"/>
    <w:rsid w:val="009E752E"/>
    <w:rsid w:val="009E77B7"/>
    <w:rsid w:val="009E79FC"/>
    <w:rsid w:val="009E7C21"/>
    <w:rsid w:val="009E7DB0"/>
    <w:rsid w:val="009F00F8"/>
    <w:rsid w:val="009F0207"/>
    <w:rsid w:val="009F04E8"/>
    <w:rsid w:val="009F099F"/>
    <w:rsid w:val="009F0BA4"/>
    <w:rsid w:val="009F0CD7"/>
    <w:rsid w:val="009F0F8A"/>
    <w:rsid w:val="009F12D7"/>
    <w:rsid w:val="009F17C7"/>
    <w:rsid w:val="009F1A5C"/>
    <w:rsid w:val="009F1B1A"/>
    <w:rsid w:val="009F1E02"/>
    <w:rsid w:val="009F24B0"/>
    <w:rsid w:val="009F24E6"/>
    <w:rsid w:val="009F29BC"/>
    <w:rsid w:val="009F29D4"/>
    <w:rsid w:val="009F2EC9"/>
    <w:rsid w:val="009F3354"/>
    <w:rsid w:val="009F343B"/>
    <w:rsid w:val="009F3451"/>
    <w:rsid w:val="009F3944"/>
    <w:rsid w:val="009F3A1F"/>
    <w:rsid w:val="009F3A5D"/>
    <w:rsid w:val="009F3BF1"/>
    <w:rsid w:val="009F3D3E"/>
    <w:rsid w:val="009F3F35"/>
    <w:rsid w:val="009F40B3"/>
    <w:rsid w:val="009F45DB"/>
    <w:rsid w:val="009F4744"/>
    <w:rsid w:val="009F4C80"/>
    <w:rsid w:val="009F4E1D"/>
    <w:rsid w:val="009F4F33"/>
    <w:rsid w:val="009F500A"/>
    <w:rsid w:val="009F51E4"/>
    <w:rsid w:val="009F53E4"/>
    <w:rsid w:val="009F591F"/>
    <w:rsid w:val="009F5BA3"/>
    <w:rsid w:val="009F5D30"/>
    <w:rsid w:val="009F5E28"/>
    <w:rsid w:val="009F5FBD"/>
    <w:rsid w:val="009F6011"/>
    <w:rsid w:val="009F62BD"/>
    <w:rsid w:val="009F655C"/>
    <w:rsid w:val="009F656D"/>
    <w:rsid w:val="009F6701"/>
    <w:rsid w:val="009F69C9"/>
    <w:rsid w:val="009F6D0E"/>
    <w:rsid w:val="009F6FB3"/>
    <w:rsid w:val="009F741E"/>
    <w:rsid w:val="009F7C39"/>
    <w:rsid w:val="009F7DD8"/>
    <w:rsid w:val="009F7DE7"/>
    <w:rsid w:val="009F7E13"/>
    <w:rsid w:val="00A00060"/>
    <w:rsid w:val="00A00080"/>
    <w:rsid w:val="00A002D1"/>
    <w:rsid w:val="00A0058C"/>
    <w:rsid w:val="00A00664"/>
    <w:rsid w:val="00A01083"/>
    <w:rsid w:val="00A010DF"/>
    <w:rsid w:val="00A0115D"/>
    <w:rsid w:val="00A0115E"/>
    <w:rsid w:val="00A011F7"/>
    <w:rsid w:val="00A01209"/>
    <w:rsid w:val="00A0165F"/>
    <w:rsid w:val="00A01828"/>
    <w:rsid w:val="00A019ED"/>
    <w:rsid w:val="00A01BE6"/>
    <w:rsid w:val="00A01E79"/>
    <w:rsid w:val="00A02112"/>
    <w:rsid w:val="00A029E9"/>
    <w:rsid w:val="00A02BE3"/>
    <w:rsid w:val="00A02CFA"/>
    <w:rsid w:val="00A02DDD"/>
    <w:rsid w:val="00A03308"/>
    <w:rsid w:val="00A03425"/>
    <w:rsid w:val="00A034B5"/>
    <w:rsid w:val="00A037A8"/>
    <w:rsid w:val="00A038E4"/>
    <w:rsid w:val="00A03996"/>
    <w:rsid w:val="00A03A8C"/>
    <w:rsid w:val="00A03DDC"/>
    <w:rsid w:val="00A040D7"/>
    <w:rsid w:val="00A0478D"/>
    <w:rsid w:val="00A04D3A"/>
    <w:rsid w:val="00A04FA5"/>
    <w:rsid w:val="00A0556C"/>
    <w:rsid w:val="00A05F8B"/>
    <w:rsid w:val="00A06FD7"/>
    <w:rsid w:val="00A07198"/>
    <w:rsid w:val="00A071AF"/>
    <w:rsid w:val="00A073BD"/>
    <w:rsid w:val="00A074A3"/>
    <w:rsid w:val="00A07550"/>
    <w:rsid w:val="00A0786F"/>
    <w:rsid w:val="00A07B99"/>
    <w:rsid w:val="00A07D7F"/>
    <w:rsid w:val="00A07DF8"/>
    <w:rsid w:val="00A07F0D"/>
    <w:rsid w:val="00A1019B"/>
    <w:rsid w:val="00A10521"/>
    <w:rsid w:val="00A10589"/>
    <w:rsid w:val="00A1066D"/>
    <w:rsid w:val="00A10684"/>
    <w:rsid w:val="00A109F3"/>
    <w:rsid w:val="00A10A49"/>
    <w:rsid w:val="00A10B41"/>
    <w:rsid w:val="00A10E82"/>
    <w:rsid w:val="00A1107B"/>
    <w:rsid w:val="00A11596"/>
    <w:rsid w:val="00A115B3"/>
    <w:rsid w:val="00A117D7"/>
    <w:rsid w:val="00A11C83"/>
    <w:rsid w:val="00A120E0"/>
    <w:rsid w:val="00A1233E"/>
    <w:rsid w:val="00A12434"/>
    <w:rsid w:val="00A12529"/>
    <w:rsid w:val="00A125C5"/>
    <w:rsid w:val="00A12678"/>
    <w:rsid w:val="00A128E3"/>
    <w:rsid w:val="00A12995"/>
    <w:rsid w:val="00A12A01"/>
    <w:rsid w:val="00A12E04"/>
    <w:rsid w:val="00A12E3D"/>
    <w:rsid w:val="00A12F12"/>
    <w:rsid w:val="00A12F5B"/>
    <w:rsid w:val="00A13187"/>
    <w:rsid w:val="00A1329C"/>
    <w:rsid w:val="00A13671"/>
    <w:rsid w:val="00A137E9"/>
    <w:rsid w:val="00A13D67"/>
    <w:rsid w:val="00A13DDC"/>
    <w:rsid w:val="00A13E82"/>
    <w:rsid w:val="00A13F14"/>
    <w:rsid w:val="00A13F9A"/>
    <w:rsid w:val="00A14936"/>
    <w:rsid w:val="00A14BB1"/>
    <w:rsid w:val="00A14DCC"/>
    <w:rsid w:val="00A151D0"/>
    <w:rsid w:val="00A15214"/>
    <w:rsid w:val="00A159A6"/>
    <w:rsid w:val="00A15E64"/>
    <w:rsid w:val="00A161A5"/>
    <w:rsid w:val="00A16750"/>
    <w:rsid w:val="00A168A3"/>
    <w:rsid w:val="00A1699A"/>
    <w:rsid w:val="00A16C04"/>
    <w:rsid w:val="00A173DA"/>
    <w:rsid w:val="00A17739"/>
    <w:rsid w:val="00A1792C"/>
    <w:rsid w:val="00A2009D"/>
    <w:rsid w:val="00A20205"/>
    <w:rsid w:val="00A203E6"/>
    <w:rsid w:val="00A2085E"/>
    <w:rsid w:val="00A209AF"/>
    <w:rsid w:val="00A20AC0"/>
    <w:rsid w:val="00A20BDF"/>
    <w:rsid w:val="00A20F54"/>
    <w:rsid w:val="00A2140C"/>
    <w:rsid w:val="00A21D41"/>
    <w:rsid w:val="00A21F49"/>
    <w:rsid w:val="00A22214"/>
    <w:rsid w:val="00A22493"/>
    <w:rsid w:val="00A22AB8"/>
    <w:rsid w:val="00A23045"/>
    <w:rsid w:val="00A231EE"/>
    <w:rsid w:val="00A2364F"/>
    <w:rsid w:val="00A23D27"/>
    <w:rsid w:val="00A241A8"/>
    <w:rsid w:val="00A24445"/>
    <w:rsid w:val="00A246BF"/>
    <w:rsid w:val="00A24984"/>
    <w:rsid w:val="00A24ADA"/>
    <w:rsid w:val="00A24D3B"/>
    <w:rsid w:val="00A24E7B"/>
    <w:rsid w:val="00A24F14"/>
    <w:rsid w:val="00A25475"/>
    <w:rsid w:val="00A25490"/>
    <w:rsid w:val="00A254D2"/>
    <w:rsid w:val="00A25ACD"/>
    <w:rsid w:val="00A25E38"/>
    <w:rsid w:val="00A25E63"/>
    <w:rsid w:val="00A261DB"/>
    <w:rsid w:val="00A266C1"/>
    <w:rsid w:val="00A266E3"/>
    <w:rsid w:val="00A26D31"/>
    <w:rsid w:val="00A26DBE"/>
    <w:rsid w:val="00A27362"/>
    <w:rsid w:val="00A275A2"/>
    <w:rsid w:val="00A27647"/>
    <w:rsid w:val="00A27A4D"/>
    <w:rsid w:val="00A27C99"/>
    <w:rsid w:val="00A30136"/>
    <w:rsid w:val="00A3024E"/>
    <w:rsid w:val="00A30276"/>
    <w:rsid w:val="00A30487"/>
    <w:rsid w:val="00A30822"/>
    <w:rsid w:val="00A30985"/>
    <w:rsid w:val="00A30A54"/>
    <w:rsid w:val="00A30DE4"/>
    <w:rsid w:val="00A3149B"/>
    <w:rsid w:val="00A314E4"/>
    <w:rsid w:val="00A31C40"/>
    <w:rsid w:val="00A31E9B"/>
    <w:rsid w:val="00A31F76"/>
    <w:rsid w:val="00A323FE"/>
    <w:rsid w:val="00A3245D"/>
    <w:rsid w:val="00A32526"/>
    <w:rsid w:val="00A325E9"/>
    <w:rsid w:val="00A325F1"/>
    <w:rsid w:val="00A3295A"/>
    <w:rsid w:val="00A32ABD"/>
    <w:rsid w:val="00A32EA3"/>
    <w:rsid w:val="00A330D3"/>
    <w:rsid w:val="00A33BE5"/>
    <w:rsid w:val="00A343B8"/>
    <w:rsid w:val="00A343FA"/>
    <w:rsid w:val="00A345BA"/>
    <w:rsid w:val="00A346A1"/>
    <w:rsid w:val="00A3484A"/>
    <w:rsid w:val="00A348A5"/>
    <w:rsid w:val="00A348E9"/>
    <w:rsid w:val="00A34BC4"/>
    <w:rsid w:val="00A34F7A"/>
    <w:rsid w:val="00A34F82"/>
    <w:rsid w:val="00A35143"/>
    <w:rsid w:val="00A35242"/>
    <w:rsid w:val="00A353E2"/>
    <w:rsid w:val="00A355BE"/>
    <w:rsid w:val="00A356FE"/>
    <w:rsid w:val="00A3581E"/>
    <w:rsid w:val="00A35828"/>
    <w:rsid w:val="00A35936"/>
    <w:rsid w:val="00A35BD2"/>
    <w:rsid w:val="00A35FBB"/>
    <w:rsid w:val="00A36269"/>
    <w:rsid w:val="00A36633"/>
    <w:rsid w:val="00A36699"/>
    <w:rsid w:val="00A366DD"/>
    <w:rsid w:val="00A366EE"/>
    <w:rsid w:val="00A367A7"/>
    <w:rsid w:val="00A36877"/>
    <w:rsid w:val="00A3688B"/>
    <w:rsid w:val="00A36F51"/>
    <w:rsid w:val="00A36FFE"/>
    <w:rsid w:val="00A371E0"/>
    <w:rsid w:val="00A371E4"/>
    <w:rsid w:val="00A37263"/>
    <w:rsid w:val="00A3772D"/>
    <w:rsid w:val="00A377A4"/>
    <w:rsid w:val="00A37BDA"/>
    <w:rsid w:val="00A37CBD"/>
    <w:rsid w:val="00A37D90"/>
    <w:rsid w:val="00A402F8"/>
    <w:rsid w:val="00A4033E"/>
    <w:rsid w:val="00A40A08"/>
    <w:rsid w:val="00A40B65"/>
    <w:rsid w:val="00A40E3D"/>
    <w:rsid w:val="00A40FA5"/>
    <w:rsid w:val="00A41266"/>
    <w:rsid w:val="00A41713"/>
    <w:rsid w:val="00A41870"/>
    <w:rsid w:val="00A4207D"/>
    <w:rsid w:val="00A4237C"/>
    <w:rsid w:val="00A42909"/>
    <w:rsid w:val="00A42A2E"/>
    <w:rsid w:val="00A42DDB"/>
    <w:rsid w:val="00A42E64"/>
    <w:rsid w:val="00A43023"/>
    <w:rsid w:val="00A433AD"/>
    <w:rsid w:val="00A4365D"/>
    <w:rsid w:val="00A438D5"/>
    <w:rsid w:val="00A43941"/>
    <w:rsid w:val="00A43C97"/>
    <w:rsid w:val="00A43D25"/>
    <w:rsid w:val="00A43D47"/>
    <w:rsid w:val="00A44374"/>
    <w:rsid w:val="00A44452"/>
    <w:rsid w:val="00A45123"/>
    <w:rsid w:val="00A4512E"/>
    <w:rsid w:val="00A457FE"/>
    <w:rsid w:val="00A45985"/>
    <w:rsid w:val="00A45D5F"/>
    <w:rsid w:val="00A45EE0"/>
    <w:rsid w:val="00A4637B"/>
    <w:rsid w:val="00A4655D"/>
    <w:rsid w:val="00A4674A"/>
    <w:rsid w:val="00A4674E"/>
    <w:rsid w:val="00A468B7"/>
    <w:rsid w:val="00A46DAA"/>
    <w:rsid w:val="00A46DDC"/>
    <w:rsid w:val="00A471E0"/>
    <w:rsid w:val="00A4731C"/>
    <w:rsid w:val="00A47728"/>
    <w:rsid w:val="00A47B34"/>
    <w:rsid w:val="00A50104"/>
    <w:rsid w:val="00A5029B"/>
    <w:rsid w:val="00A503B3"/>
    <w:rsid w:val="00A5089A"/>
    <w:rsid w:val="00A509BF"/>
    <w:rsid w:val="00A50A27"/>
    <w:rsid w:val="00A50CC8"/>
    <w:rsid w:val="00A50EE2"/>
    <w:rsid w:val="00A50F97"/>
    <w:rsid w:val="00A51338"/>
    <w:rsid w:val="00A514A7"/>
    <w:rsid w:val="00A515C7"/>
    <w:rsid w:val="00A516F9"/>
    <w:rsid w:val="00A520B5"/>
    <w:rsid w:val="00A52160"/>
    <w:rsid w:val="00A5236E"/>
    <w:rsid w:val="00A524C7"/>
    <w:rsid w:val="00A5252B"/>
    <w:rsid w:val="00A529F1"/>
    <w:rsid w:val="00A53053"/>
    <w:rsid w:val="00A533C2"/>
    <w:rsid w:val="00A533CB"/>
    <w:rsid w:val="00A53676"/>
    <w:rsid w:val="00A536D2"/>
    <w:rsid w:val="00A539BA"/>
    <w:rsid w:val="00A53BE3"/>
    <w:rsid w:val="00A53C05"/>
    <w:rsid w:val="00A54316"/>
    <w:rsid w:val="00A54490"/>
    <w:rsid w:val="00A54713"/>
    <w:rsid w:val="00A54ADE"/>
    <w:rsid w:val="00A54B95"/>
    <w:rsid w:val="00A54DB4"/>
    <w:rsid w:val="00A55053"/>
    <w:rsid w:val="00A55921"/>
    <w:rsid w:val="00A55A8F"/>
    <w:rsid w:val="00A56073"/>
    <w:rsid w:val="00A5627D"/>
    <w:rsid w:val="00A5683D"/>
    <w:rsid w:val="00A56CE7"/>
    <w:rsid w:val="00A56E22"/>
    <w:rsid w:val="00A56ECD"/>
    <w:rsid w:val="00A56FCF"/>
    <w:rsid w:val="00A5704F"/>
    <w:rsid w:val="00A57182"/>
    <w:rsid w:val="00A57206"/>
    <w:rsid w:val="00A57323"/>
    <w:rsid w:val="00A57BFB"/>
    <w:rsid w:val="00A57CCB"/>
    <w:rsid w:val="00A60329"/>
    <w:rsid w:val="00A603BF"/>
    <w:rsid w:val="00A60A49"/>
    <w:rsid w:val="00A60F7E"/>
    <w:rsid w:val="00A61230"/>
    <w:rsid w:val="00A612B4"/>
    <w:rsid w:val="00A61371"/>
    <w:rsid w:val="00A613D4"/>
    <w:rsid w:val="00A617DA"/>
    <w:rsid w:val="00A61AF5"/>
    <w:rsid w:val="00A61CEB"/>
    <w:rsid w:val="00A61F4C"/>
    <w:rsid w:val="00A6233D"/>
    <w:rsid w:val="00A62979"/>
    <w:rsid w:val="00A62A1F"/>
    <w:rsid w:val="00A62EDF"/>
    <w:rsid w:val="00A62F10"/>
    <w:rsid w:val="00A6304F"/>
    <w:rsid w:val="00A6367B"/>
    <w:rsid w:val="00A63973"/>
    <w:rsid w:val="00A63CBD"/>
    <w:rsid w:val="00A63CCF"/>
    <w:rsid w:val="00A63F18"/>
    <w:rsid w:val="00A63FBA"/>
    <w:rsid w:val="00A6401A"/>
    <w:rsid w:val="00A641FE"/>
    <w:rsid w:val="00A6433B"/>
    <w:rsid w:val="00A643CE"/>
    <w:rsid w:val="00A64435"/>
    <w:rsid w:val="00A6474C"/>
    <w:rsid w:val="00A64BA6"/>
    <w:rsid w:val="00A64BC3"/>
    <w:rsid w:val="00A64CA6"/>
    <w:rsid w:val="00A64CB3"/>
    <w:rsid w:val="00A64E3C"/>
    <w:rsid w:val="00A64E91"/>
    <w:rsid w:val="00A65111"/>
    <w:rsid w:val="00A65134"/>
    <w:rsid w:val="00A65182"/>
    <w:rsid w:val="00A65265"/>
    <w:rsid w:val="00A65715"/>
    <w:rsid w:val="00A65910"/>
    <w:rsid w:val="00A65B84"/>
    <w:rsid w:val="00A65C61"/>
    <w:rsid w:val="00A65DC9"/>
    <w:rsid w:val="00A65ED4"/>
    <w:rsid w:val="00A65F37"/>
    <w:rsid w:val="00A6606E"/>
    <w:rsid w:val="00A6607C"/>
    <w:rsid w:val="00A667F2"/>
    <w:rsid w:val="00A66DB2"/>
    <w:rsid w:val="00A66DEA"/>
    <w:rsid w:val="00A675B6"/>
    <w:rsid w:val="00A67659"/>
    <w:rsid w:val="00A678A8"/>
    <w:rsid w:val="00A678D2"/>
    <w:rsid w:val="00A67F3A"/>
    <w:rsid w:val="00A70014"/>
    <w:rsid w:val="00A70358"/>
    <w:rsid w:val="00A70590"/>
    <w:rsid w:val="00A70613"/>
    <w:rsid w:val="00A7077B"/>
    <w:rsid w:val="00A70B8F"/>
    <w:rsid w:val="00A714CE"/>
    <w:rsid w:val="00A7171B"/>
    <w:rsid w:val="00A71733"/>
    <w:rsid w:val="00A71B1C"/>
    <w:rsid w:val="00A71D63"/>
    <w:rsid w:val="00A71E2E"/>
    <w:rsid w:val="00A72000"/>
    <w:rsid w:val="00A72495"/>
    <w:rsid w:val="00A72890"/>
    <w:rsid w:val="00A72A24"/>
    <w:rsid w:val="00A72B43"/>
    <w:rsid w:val="00A72CED"/>
    <w:rsid w:val="00A72CF7"/>
    <w:rsid w:val="00A72E76"/>
    <w:rsid w:val="00A73BB8"/>
    <w:rsid w:val="00A74AF4"/>
    <w:rsid w:val="00A74B65"/>
    <w:rsid w:val="00A74F3A"/>
    <w:rsid w:val="00A753B9"/>
    <w:rsid w:val="00A75429"/>
    <w:rsid w:val="00A75507"/>
    <w:rsid w:val="00A755CB"/>
    <w:rsid w:val="00A756A3"/>
    <w:rsid w:val="00A75909"/>
    <w:rsid w:val="00A75A09"/>
    <w:rsid w:val="00A75C8C"/>
    <w:rsid w:val="00A7604A"/>
    <w:rsid w:val="00A76189"/>
    <w:rsid w:val="00A762BB"/>
    <w:rsid w:val="00A7636F"/>
    <w:rsid w:val="00A768CD"/>
    <w:rsid w:val="00A7694F"/>
    <w:rsid w:val="00A76B02"/>
    <w:rsid w:val="00A76B8E"/>
    <w:rsid w:val="00A76BEE"/>
    <w:rsid w:val="00A76EFA"/>
    <w:rsid w:val="00A7705B"/>
    <w:rsid w:val="00A77278"/>
    <w:rsid w:val="00A77475"/>
    <w:rsid w:val="00A775B7"/>
    <w:rsid w:val="00A7775D"/>
    <w:rsid w:val="00A77946"/>
    <w:rsid w:val="00A77953"/>
    <w:rsid w:val="00A77D2F"/>
    <w:rsid w:val="00A77DAF"/>
    <w:rsid w:val="00A77E19"/>
    <w:rsid w:val="00A800BD"/>
    <w:rsid w:val="00A80401"/>
    <w:rsid w:val="00A8085E"/>
    <w:rsid w:val="00A80DB8"/>
    <w:rsid w:val="00A80E59"/>
    <w:rsid w:val="00A813D2"/>
    <w:rsid w:val="00A8143A"/>
    <w:rsid w:val="00A81609"/>
    <w:rsid w:val="00A81804"/>
    <w:rsid w:val="00A81860"/>
    <w:rsid w:val="00A818FD"/>
    <w:rsid w:val="00A81905"/>
    <w:rsid w:val="00A81930"/>
    <w:rsid w:val="00A8195C"/>
    <w:rsid w:val="00A81C35"/>
    <w:rsid w:val="00A821E5"/>
    <w:rsid w:val="00A82443"/>
    <w:rsid w:val="00A825C4"/>
    <w:rsid w:val="00A8292A"/>
    <w:rsid w:val="00A82AE0"/>
    <w:rsid w:val="00A82B4A"/>
    <w:rsid w:val="00A82B7D"/>
    <w:rsid w:val="00A82DF0"/>
    <w:rsid w:val="00A82E57"/>
    <w:rsid w:val="00A82F3F"/>
    <w:rsid w:val="00A8390E"/>
    <w:rsid w:val="00A83952"/>
    <w:rsid w:val="00A83E41"/>
    <w:rsid w:val="00A83FAB"/>
    <w:rsid w:val="00A8467E"/>
    <w:rsid w:val="00A849DC"/>
    <w:rsid w:val="00A84A0F"/>
    <w:rsid w:val="00A84A64"/>
    <w:rsid w:val="00A84CB5"/>
    <w:rsid w:val="00A84F6C"/>
    <w:rsid w:val="00A85055"/>
    <w:rsid w:val="00A85186"/>
    <w:rsid w:val="00A85326"/>
    <w:rsid w:val="00A853F1"/>
    <w:rsid w:val="00A85D0A"/>
    <w:rsid w:val="00A86642"/>
    <w:rsid w:val="00A8692A"/>
    <w:rsid w:val="00A86F07"/>
    <w:rsid w:val="00A876F0"/>
    <w:rsid w:val="00A877D2"/>
    <w:rsid w:val="00A87947"/>
    <w:rsid w:val="00A879B5"/>
    <w:rsid w:val="00A87C6D"/>
    <w:rsid w:val="00A87CBC"/>
    <w:rsid w:val="00A87D93"/>
    <w:rsid w:val="00A87F4C"/>
    <w:rsid w:val="00A87FC8"/>
    <w:rsid w:val="00A9001C"/>
    <w:rsid w:val="00A9009C"/>
    <w:rsid w:val="00A90222"/>
    <w:rsid w:val="00A906B9"/>
    <w:rsid w:val="00A90934"/>
    <w:rsid w:val="00A90AD5"/>
    <w:rsid w:val="00A90BA9"/>
    <w:rsid w:val="00A90F44"/>
    <w:rsid w:val="00A91077"/>
    <w:rsid w:val="00A91502"/>
    <w:rsid w:val="00A9158A"/>
    <w:rsid w:val="00A9169A"/>
    <w:rsid w:val="00A9172A"/>
    <w:rsid w:val="00A917A7"/>
    <w:rsid w:val="00A917FD"/>
    <w:rsid w:val="00A91845"/>
    <w:rsid w:val="00A91CA0"/>
    <w:rsid w:val="00A921E5"/>
    <w:rsid w:val="00A92273"/>
    <w:rsid w:val="00A922A6"/>
    <w:rsid w:val="00A9230B"/>
    <w:rsid w:val="00A92402"/>
    <w:rsid w:val="00A92435"/>
    <w:rsid w:val="00A929DE"/>
    <w:rsid w:val="00A92A04"/>
    <w:rsid w:val="00A92C92"/>
    <w:rsid w:val="00A92E75"/>
    <w:rsid w:val="00A92F56"/>
    <w:rsid w:val="00A930C0"/>
    <w:rsid w:val="00A9328C"/>
    <w:rsid w:val="00A9340E"/>
    <w:rsid w:val="00A93EAD"/>
    <w:rsid w:val="00A941AD"/>
    <w:rsid w:val="00A94746"/>
    <w:rsid w:val="00A948BB"/>
    <w:rsid w:val="00A948C5"/>
    <w:rsid w:val="00A94B41"/>
    <w:rsid w:val="00A94BC1"/>
    <w:rsid w:val="00A94C87"/>
    <w:rsid w:val="00A94D40"/>
    <w:rsid w:val="00A94D81"/>
    <w:rsid w:val="00A954CB"/>
    <w:rsid w:val="00A954EF"/>
    <w:rsid w:val="00A954F3"/>
    <w:rsid w:val="00A957C4"/>
    <w:rsid w:val="00A9596E"/>
    <w:rsid w:val="00A959C3"/>
    <w:rsid w:val="00A95B2C"/>
    <w:rsid w:val="00A95BB5"/>
    <w:rsid w:val="00A9609D"/>
    <w:rsid w:val="00A961BF"/>
    <w:rsid w:val="00A963B2"/>
    <w:rsid w:val="00A963BF"/>
    <w:rsid w:val="00A96407"/>
    <w:rsid w:val="00A96484"/>
    <w:rsid w:val="00A969AA"/>
    <w:rsid w:val="00A96F79"/>
    <w:rsid w:val="00A972AB"/>
    <w:rsid w:val="00A973BF"/>
    <w:rsid w:val="00A97609"/>
    <w:rsid w:val="00A976CA"/>
    <w:rsid w:val="00A97765"/>
    <w:rsid w:val="00A97D79"/>
    <w:rsid w:val="00A97D93"/>
    <w:rsid w:val="00AA02F8"/>
    <w:rsid w:val="00AA07DB"/>
    <w:rsid w:val="00AA08DF"/>
    <w:rsid w:val="00AA0904"/>
    <w:rsid w:val="00AA09B4"/>
    <w:rsid w:val="00AA115F"/>
    <w:rsid w:val="00AA11AC"/>
    <w:rsid w:val="00AA1201"/>
    <w:rsid w:val="00AA14A2"/>
    <w:rsid w:val="00AA1972"/>
    <w:rsid w:val="00AA1CCA"/>
    <w:rsid w:val="00AA1D3D"/>
    <w:rsid w:val="00AA1DF6"/>
    <w:rsid w:val="00AA1FD5"/>
    <w:rsid w:val="00AA2049"/>
    <w:rsid w:val="00AA274B"/>
    <w:rsid w:val="00AA298A"/>
    <w:rsid w:val="00AA2A4D"/>
    <w:rsid w:val="00AA2AA3"/>
    <w:rsid w:val="00AA2BBA"/>
    <w:rsid w:val="00AA2C26"/>
    <w:rsid w:val="00AA2CFC"/>
    <w:rsid w:val="00AA2D4A"/>
    <w:rsid w:val="00AA309A"/>
    <w:rsid w:val="00AA3A7B"/>
    <w:rsid w:val="00AA3C95"/>
    <w:rsid w:val="00AA3D58"/>
    <w:rsid w:val="00AA3DB0"/>
    <w:rsid w:val="00AA3FF3"/>
    <w:rsid w:val="00AA40CA"/>
    <w:rsid w:val="00AA41AC"/>
    <w:rsid w:val="00AA4520"/>
    <w:rsid w:val="00AA495B"/>
    <w:rsid w:val="00AA4A75"/>
    <w:rsid w:val="00AA4BDF"/>
    <w:rsid w:val="00AA51C3"/>
    <w:rsid w:val="00AA5631"/>
    <w:rsid w:val="00AA59E5"/>
    <w:rsid w:val="00AA5A63"/>
    <w:rsid w:val="00AA5A78"/>
    <w:rsid w:val="00AA5DA2"/>
    <w:rsid w:val="00AA5DDA"/>
    <w:rsid w:val="00AA5F6C"/>
    <w:rsid w:val="00AA6097"/>
    <w:rsid w:val="00AA62A1"/>
    <w:rsid w:val="00AA63F3"/>
    <w:rsid w:val="00AA6545"/>
    <w:rsid w:val="00AA658E"/>
    <w:rsid w:val="00AA65BA"/>
    <w:rsid w:val="00AA6BF6"/>
    <w:rsid w:val="00AA722C"/>
    <w:rsid w:val="00AA725C"/>
    <w:rsid w:val="00AA72CC"/>
    <w:rsid w:val="00AA7576"/>
    <w:rsid w:val="00AA7631"/>
    <w:rsid w:val="00AA77F9"/>
    <w:rsid w:val="00AA7B5E"/>
    <w:rsid w:val="00AA7C6C"/>
    <w:rsid w:val="00AB0117"/>
    <w:rsid w:val="00AB03F3"/>
    <w:rsid w:val="00AB047A"/>
    <w:rsid w:val="00AB0504"/>
    <w:rsid w:val="00AB086F"/>
    <w:rsid w:val="00AB0988"/>
    <w:rsid w:val="00AB182E"/>
    <w:rsid w:val="00AB18E1"/>
    <w:rsid w:val="00AB19E8"/>
    <w:rsid w:val="00AB1CB9"/>
    <w:rsid w:val="00AB1FBE"/>
    <w:rsid w:val="00AB2218"/>
    <w:rsid w:val="00AB2557"/>
    <w:rsid w:val="00AB2700"/>
    <w:rsid w:val="00AB2856"/>
    <w:rsid w:val="00AB28B9"/>
    <w:rsid w:val="00AB294B"/>
    <w:rsid w:val="00AB29DD"/>
    <w:rsid w:val="00AB31FA"/>
    <w:rsid w:val="00AB31FC"/>
    <w:rsid w:val="00AB360E"/>
    <w:rsid w:val="00AB3ABC"/>
    <w:rsid w:val="00AB3B8A"/>
    <w:rsid w:val="00AB4076"/>
    <w:rsid w:val="00AB414B"/>
    <w:rsid w:val="00AB4155"/>
    <w:rsid w:val="00AB41B3"/>
    <w:rsid w:val="00AB4267"/>
    <w:rsid w:val="00AB434A"/>
    <w:rsid w:val="00AB455C"/>
    <w:rsid w:val="00AB4B60"/>
    <w:rsid w:val="00AB4C1D"/>
    <w:rsid w:val="00AB4DDB"/>
    <w:rsid w:val="00AB5CA2"/>
    <w:rsid w:val="00AB5F4B"/>
    <w:rsid w:val="00AB6328"/>
    <w:rsid w:val="00AB63AC"/>
    <w:rsid w:val="00AB6523"/>
    <w:rsid w:val="00AB659A"/>
    <w:rsid w:val="00AB6646"/>
    <w:rsid w:val="00AB6782"/>
    <w:rsid w:val="00AB67F6"/>
    <w:rsid w:val="00AB69B2"/>
    <w:rsid w:val="00AB69E9"/>
    <w:rsid w:val="00AB6E72"/>
    <w:rsid w:val="00AB71B1"/>
    <w:rsid w:val="00AB7607"/>
    <w:rsid w:val="00AB7616"/>
    <w:rsid w:val="00AB76C4"/>
    <w:rsid w:val="00AB7ABF"/>
    <w:rsid w:val="00AB7BFE"/>
    <w:rsid w:val="00AB7C54"/>
    <w:rsid w:val="00AB7C85"/>
    <w:rsid w:val="00AB7E96"/>
    <w:rsid w:val="00AB7FB0"/>
    <w:rsid w:val="00AC01EC"/>
    <w:rsid w:val="00AC034C"/>
    <w:rsid w:val="00AC03E2"/>
    <w:rsid w:val="00AC047A"/>
    <w:rsid w:val="00AC0641"/>
    <w:rsid w:val="00AC0919"/>
    <w:rsid w:val="00AC0B46"/>
    <w:rsid w:val="00AC0DA3"/>
    <w:rsid w:val="00AC0E0A"/>
    <w:rsid w:val="00AC0E19"/>
    <w:rsid w:val="00AC0F97"/>
    <w:rsid w:val="00AC0FD1"/>
    <w:rsid w:val="00AC1068"/>
    <w:rsid w:val="00AC1090"/>
    <w:rsid w:val="00AC11C2"/>
    <w:rsid w:val="00AC12F2"/>
    <w:rsid w:val="00AC1435"/>
    <w:rsid w:val="00AC147F"/>
    <w:rsid w:val="00AC18EA"/>
    <w:rsid w:val="00AC1C03"/>
    <w:rsid w:val="00AC1F5D"/>
    <w:rsid w:val="00AC1F95"/>
    <w:rsid w:val="00AC2096"/>
    <w:rsid w:val="00AC2634"/>
    <w:rsid w:val="00AC27EB"/>
    <w:rsid w:val="00AC2814"/>
    <w:rsid w:val="00AC2A71"/>
    <w:rsid w:val="00AC2B12"/>
    <w:rsid w:val="00AC2B56"/>
    <w:rsid w:val="00AC2CF1"/>
    <w:rsid w:val="00AC2EBC"/>
    <w:rsid w:val="00AC2F15"/>
    <w:rsid w:val="00AC322F"/>
    <w:rsid w:val="00AC339D"/>
    <w:rsid w:val="00AC37E5"/>
    <w:rsid w:val="00AC45CE"/>
    <w:rsid w:val="00AC48B6"/>
    <w:rsid w:val="00AC4C69"/>
    <w:rsid w:val="00AC5538"/>
    <w:rsid w:val="00AC594F"/>
    <w:rsid w:val="00AC59A9"/>
    <w:rsid w:val="00AC60A7"/>
    <w:rsid w:val="00AC60DD"/>
    <w:rsid w:val="00AC66D4"/>
    <w:rsid w:val="00AC67BC"/>
    <w:rsid w:val="00AC6834"/>
    <w:rsid w:val="00AC6B81"/>
    <w:rsid w:val="00AC6E51"/>
    <w:rsid w:val="00AC7160"/>
    <w:rsid w:val="00AC75C9"/>
    <w:rsid w:val="00AC7807"/>
    <w:rsid w:val="00AC7B3A"/>
    <w:rsid w:val="00AC7C0A"/>
    <w:rsid w:val="00AD029F"/>
    <w:rsid w:val="00AD055E"/>
    <w:rsid w:val="00AD0AB3"/>
    <w:rsid w:val="00AD1475"/>
    <w:rsid w:val="00AD15E8"/>
    <w:rsid w:val="00AD1CC8"/>
    <w:rsid w:val="00AD1D38"/>
    <w:rsid w:val="00AD1E6F"/>
    <w:rsid w:val="00AD1F76"/>
    <w:rsid w:val="00AD216C"/>
    <w:rsid w:val="00AD2469"/>
    <w:rsid w:val="00AD2571"/>
    <w:rsid w:val="00AD2590"/>
    <w:rsid w:val="00AD27BE"/>
    <w:rsid w:val="00AD27F0"/>
    <w:rsid w:val="00AD2F8F"/>
    <w:rsid w:val="00AD3193"/>
    <w:rsid w:val="00AD35AF"/>
    <w:rsid w:val="00AD3636"/>
    <w:rsid w:val="00AD3733"/>
    <w:rsid w:val="00AD3896"/>
    <w:rsid w:val="00AD389C"/>
    <w:rsid w:val="00AD38B1"/>
    <w:rsid w:val="00AD3A49"/>
    <w:rsid w:val="00AD3B40"/>
    <w:rsid w:val="00AD3F54"/>
    <w:rsid w:val="00AD4047"/>
    <w:rsid w:val="00AD4526"/>
    <w:rsid w:val="00AD4699"/>
    <w:rsid w:val="00AD49D9"/>
    <w:rsid w:val="00AD49F7"/>
    <w:rsid w:val="00AD4AF4"/>
    <w:rsid w:val="00AD4D10"/>
    <w:rsid w:val="00AD53E7"/>
    <w:rsid w:val="00AD553B"/>
    <w:rsid w:val="00AD5558"/>
    <w:rsid w:val="00AD565C"/>
    <w:rsid w:val="00AD578C"/>
    <w:rsid w:val="00AD5810"/>
    <w:rsid w:val="00AD5B56"/>
    <w:rsid w:val="00AD5E38"/>
    <w:rsid w:val="00AD5E53"/>
    <w:rsid w:val="00AD5F6C"/>
    <w:rsid w:val="00AD66C1"/>
    <w:rsid w:val="00AD6B5C"/>
    <w:rsid w:val="00AD6BD2"/>
    <w:rsid w:val="00AD6CF1"/>
    <w:rsid w:val="00AD7353"/>
    <w:rsid w:val="00AD748C"/>
    <w:rsid w:val="00AD767A"/>
    <w:rsid w:val="00AD7726"/>
    <w:rsid w:val="00AD7805"/>
    <w:rsid w:val="00AD7E40"/>
    <w:rsid w:val="00AD7E9B"/>
    <w:rsid w:val="00AD7F7A"/>
    <w:rsid w:val="00AE0482"/>
    <w:rsid w:val="00AE0520"/>
    <w:rsid w:val="00AE0FC4"/>
    <w:rsid w:val="00AE16AA"/>
    <w:rsid w:val="00AE1CCE"/>
    <w:rsid w:val="00AE1D3C"/>
    <w:rsid w:val="00AE1DE4"/>
    <w:rsid w:val="00AE1E3E"/>
    <w:rsid w:val="00AE25AB"/>
    <w:rsid w:val="00AE2961"/>
    <w:rsid w:val="00AE2E3C"/>
    <w:rsid w:val="00AE3062"/>
    <w:rsid w:val="00AE308E"/>
    <w:rsid w:val="00AE30A9"/>
    <w:rsid w:val="00AE357C"/>
    <w:rsid w:val="00AE35A4"/>
    <w:rsid w:val="00AE3E78"/>
    <w:rsid w:val="00AE4272"/>
    <w:rsid w:val="00AE441C"/>
    <w:rsid w:val="00AE48EF"/>
    <w:rsid w:val="00AE4E07"/>
    <w:rsid w:val="00AE4E72"/>
    <w:rsid w:val="00AE5304"/>
    <w:rsid w:val="00AE53CE"/>
    <w:rsid w:val="00AE5489"/>
    <w:rsid w:val="00AE580E"/>
    <w:rsid w:val="00AE5CB5"/>
    <w:rsid w:val="00AE6088"/>
    <w:rsid w:val="00AE6110"/>
    <w:rsid w:val="00AE6156"/>
    <w:rsid w:val="00AE64DE"/>
    <w:rsid w:val="00AE66B3"/>
    <w:rsid w:val="00AE688E"/>
    <w:rsid w:val="00AE692D"/>
    <w:rsid w:val="00AE70CA"/>
    <w:rsid w:val="00AE71E3"/>
    <w:rsid w:val="00AE7341"/>
    <w:rsid w:val="00AE7780"/>
    <w:rsid w:val="00AE7D37"/>
    <w:rsid w:val="00AE7EE6"/>
    <w:rsid w:val="00AF009C"/>
    <w:rsid w:val="00AF0436"/>
    <w:rsid w:val="00AF08A6"/>
    <w:rsid w:val="00AF0A96"/>
    <w:rsid w:val="00AF0B97"/>
    <w:rsid w:val="00AF0C40"/>
    <w:rsid w:val="00AF0DE6"/>
    <w:rsid w:val="00AF1017"/>
    <w:rsid w:val="00AF1030"/>
    <w:rsid w:val="00AF1259"/>
    <w:rsid w:val="00AF133C"/>
    <w:rsid w:val="00AF13D2"/>
    <w:rsid w:val="00AF15AE"/>
    <w:rsid w:val="00AF18EE"/>
    <w:rsid w:val="00AF1941"/>
    <w:rsid w:val="00AF19F0"/>
    <w:rsid w:val="00AF1DEC"/>
    <w:rsid w:val="00AF1EAA"/>
    <w:rsid w:val="00AF238E"/>
    <w:rsid w:val="00AF251A"/>
    <w:rsid w:val="00AF285C"/>
    <w:rsid w:val="00AF2888"/>
    <w:rsid w:val="00AF2ACA"/>
    <w:rsid w:val="00AF2BF9"/>
    <w:rsid w:val="00AF2BFD"/>
    <w:rsid w:val="00AF2D72"/>
    <w:rsid w:val="00AF2F09"/>
    <w:rsid w:val="00AF2FE5"/>
    <w:rsid w:val="00AF30A9"/>
    <w:rsid w:val="00AF3435"/>
    <w:rsid w:val="00AF347F"/>
    <w:rsid w:val="00AF35DE"/>
    <w:rsid w:val="00AF3775"/>
    <w:rsid w:val="00AF38A0"/>
    <w:rsid w:val="00AF39CD"/>
    <w:rsid w:val="00AF3C2E"/>
    <w:rsid w:val="00AF3F8F"/>
    <w:rsid w:val="00AF435C"/>
    <w:rsid w:val="00AF457D"/>
    <w:rsid w:val="00AF45FD"/>
    <w:rsid w:val="00AF46EF"/>
    <w:rsid w:val="00AF4A16"/>
    <w:rsid w:val="00AF4A95"/>
    <w:rsid w:val="00AF510C"/>
    <w:rsid w:val="00AF5899"/>
    <w:rsid w:val="00AF58EC"/>
    <w:rsid w:val="00AF5953"/>
    <w:rsid w:val="00AF5CEA"/>
    <w:rsid w:val="00AF5F4B"/>
    <w:rsid w:val="00AF618D"/>
    <w:rsid w:val="00AF62A1"/>
    <w:rsid w:val="00AF6383"/>
    <w:rsid w:val="00AF6757"/>
    <w:rsid w:val="00AF6938"/>
    <w:rsid w:val="00AF7112"/>
    <w:rsid w:val="00AF75B5"/>
    <w:rsid w:val="00AF7712"/>
    <w:rsid w:val="00AF77E2"/>
    <w:rsid w:val="00AF795E"/>
    <w:rsid w:val="00AF798F"/>
    <w:rsid w:val="00AF7A7B"/>
    <w:rsid w:val="00AF7F37"/>
    <w:rsid w:val="00B0022E"/>
    <w:rsid w:val="00B0028E"/>
    <w:rsid w:val="00B003C3"/>
    <w:rsid w:val="00B00886"/>
    <w:rsid w:val="00B009AC"/>
    <w:rsid w:val="00B01A8E"/>
    <w:rsid w:val="00B01B26"/>
    <w:rsid w:val="00B01CF6"/>
    <w:rsid w:val="00B01E70"/>
    <w:rsid w:val="00B01FEF"/>
    <w:rsid w:val="00B02029"/>
    <w:rsid w:val="00B02391"/>
    <w:rsid w:val="00B0262D"/>
    <w:rsid w:val="00B02809"/>
    <w:rsid w:val="00B0289C"/>
    <w:rsid w:val="00B02EC2"/>
    <w:rsid w:val="00B0315B"/>
    <w:rsid w:val="00B031ED"/>
    <w:rsid w:val="00B032DC"/>
    <w:rsid w:val="00B03503"/>
    <w:rsid w:val="00B0380D"/>
    <w:rsid w:val="00B03A85"/>
    <w:rsid w:val="00B03A8C"/>
    <w:rsid w:val="00B03E2B"/>
    <w:rsid w:val="00B0415C"/>
    <w:rsid w:val="00B041D6"/>
    <w:rsid w:val="00B045CD"/>
    <w:rsid w:val="00B04725"/>
    <w:rsid w:val="00B04870"/>
    <w:rsid w:val="00B04AD1"/>
    <w:rsid w:val="00B04D30"/>
    <w:rsid w:val="00B04DE8"/>
    <w:rsid w:val="00B05722"/>
    <w:rsid w:val="00B057AA"/>
    <w:rsid w:val="00B057AC"/>
    <w:rsid w:val="00B05BF7"/>
    <w:rsid w:val="00B063A0"/>
    <w:rsid w:val="00B06917"/>
    <w:rsid w:val="00B06DC2"/>
    <w:rsid w:val="00B06F42"/>
    <w:rsid w:val="00B0702A"/>
    <w:rsid w:val="00B0723B"/>
    <w:rsid w:val="00B07C3A"/>
    <w:rsid w:val="00B07D71"/>
    <w:rsid w:val="00B07DF9"/>
    <w:rsid w:val="00B07F1C"/>
    <w:rsid w:val="00B1003C"/>
    <w:rsid w:val="00B1026A"/>
    <w:rsid w:val="00B10420"/>
    <w:rsid w:val="00B10808"/>
    <w:rsid w:val="00B10918"/>
    <w:rsid w:val="00B10ADD"/>
    <w:rsid w:val="00B10E71"/>
    <w:rsid w:val="00B11512"/>
    <w:rsid w:val="00B1151B"/>
    <w:rsid w:val="00B11D29"/>
    <w:rsid w:val="00B11EF7"/>
    <w:rsid w:val="00B126AB"/>
    <w:rsid w:val="00B12A1F"/>
    <w:rsid w:val="00B12B9C"/>
    <w:rsid w:val="00B12CCF"/>
    <w:rsid w:val="00B13058"/>
    <w:rsid w:val="00B1334D"/>
    <w:rsid w:val="00B13743"/>
    <w:rsid w:val="00B1386E"/>
    <w:rsid w:val="00B142E5"/>
    <w:rsid w:val="00B1441D"/>
    <w:rsid w:val="00B14546"/>
    <w:rsid w:val="00B146C6"/>
    <w:rsid w:val="00B14865"/>
    <w:rsid w:val="00B14A27"/>
    <w:rsid w:val="00B14DD2"/>
    <w:rsid w:val="00B1511A"/>
    <w:rsid w:val="00B155AA"/>
    <w:rsid w:val="00B15877"/>
    <w:rsid w:val="00B15AEC"/>
    <w:rsid w:val="00B15B00"/>
    <w:rsid w:val="00B15BFE"/>
    <w:rsid w:val="00B15DB0"/>
    <w:rsid w:val="00B1612B"/>
    <w:rsid w:val="00B165EB"/>
    <w:rsid w:val="00B168BD"/>
    <w:rsid w:val="00B16CE7"/>
    <w:rsid w:val="00B16DBA"/>
    <w:rsid w:val="00B17344"/>
    <w:rsid w:val="00B1741F"/>
    <w:rsid w:val="00B17E06"/>
    <w:rsid w:val="00B17F0B"/>
    <w:rsid w:val="00B20752"/>
    <w:rsid w:val="00B20869"/>
    <w:rsid w:val="00B209E1"/>
    <w:rsid w:val="00B209F9"/>
    <w:rsid w:val="00B20BB8"/>
    <w:rsid w:val="00B20DF2"/>
    <w:rsid w:val="00B20ED2"/>
    <w:rsid w:val="00B20F3A"/>
    <w:rsid w:val="00B20F91"/>
    <w:rsid w:val="00B20FC7"/>
    <w:rsid w:val="00B210FA"/>
    <w:rsid w:val="00B21623"/>
    <w:rsid w:val="00B2188D"/>
    <w:rsid w:val="00B21C1A"/>
    <w:rsid w:val="00B21D3F"/>
    <w:rsid w:val="00B2203C"/>
    <w:rsid w:val="00B22195"/>
    <w:rsid w:val="00B222C4"/>
    <w:rsid w:val="00B22646"/>
    <w:rsid w:val="00B22659"/>
    <w:rsid w:val="00B229E6"/>
    <w:rsid w:val="00B22AF2"/>
    <w:rsid w:val="00B22D51"/>
    <w:rsid w:val="00B22E70"/>
    <w:rsid w:val="00B22E91"/>
    <w:rsid w:val="00B2324A"/>
    <w:rsid w:val="00B2335D"/>
    <w:rsid w:val="00B243D3"/>
    <w:rsid w:val="00B244ED"/>
    <w:rsid w:val="00B244FB"/>
    <w:rsid w:val="00B24718"/>
    <w:rsid w:val="00B24750"/>
    <w:rsid w:val="00B2496F"/>
    <w:rsid w:val="00B249FB"/>
    <w:rsid w:val="00B24A0E"/>
    <w:rsid w:val="00B24B9B"/>
    <w:rsid w:val="00B24BE6"/>
    <w:rsid w:val="00B24EA4"/>
    <w:rsid w:val="00B24FDC"/>
    <w:rsid w:val="00B25FE4"/>
    <w:rsid w:val="00B260C3"/>
    <w:rsid w:val="00B262BA"/>
    <w:rsid w:val="00B264E4"/>
    <w:rsid w:val="00B265F7"/>
    <w:rsid w:val="00B26678"/>
    <w:rsid w:val="00B266BB"/>
    <w:rsid w:val="00B26742"/>
    <w:rsid w:val="00B2716D"/>
    <w:rsid w:val="00B275F0"/>
    <w:rsid w:val="00B276A6"/>
    <w:rsid w:val="00B27846"/>
    <w:rsid w:val="00B27B36"/>
    <w:rsid w:val="00B30337"/>
    <w:rsid w:val="00B30B78"/>
    <w:rsid w:val="00B30BDA"/>
    <w:rsid w:val="00B30D5F"/>
    <w:rsid w:val="00B310E7"/>
    <w:rsid w:val="00B31119"/>
    <w:rsid w:val="00B311DE"/>
    <w:rsid w:val="00B31505"/>
    <w:rsid w:val="00B316DE"/>
    <w:rsid w:val="00B3177C"/>
    <w:rsid w:val="00B319D9"/>
    <w:rsid w:val="00B31BE0"/>
    <w:rsid w:val="00B31C29"/>
    <w:rsid w:val="00B31D97"/>
    <w:rsid w:val="00B31E26"/>
    <w:rsid w:val="00B3244E"/>
    <w:rsid w:val="00B32590"/>
    <w:rsid w:val="00B3268A"/>
    <w:rsid w:val="00B3277B"/>
    <w:rsid w:val="00B32FA7"/>
    <w:rsid w:val="00B332DC"/>
    <w:rsid w:val="00B333F7"/>
    <w:rsid w:val="00B33403"/>
    <w:rsid w:val="00B334AE"/>
    <w:rsid w:val="00B337B7"/>
    <w:rsid w:val="00B33CE5"/>
    <w:rsid w:val="00B33E02"/>
    <w:rsid w:val="00B33E93"/>
    <w:rsid w:val="00B34139"/>
    <w:rsid w:val="00B341EC"/>
    <w:rsid w:val="00B3438F"/>
    <w:rsid w:val="00B343DC"/>
    <w:rsid w:val="00B3466A"/>
    <w:rsid w:val="00B34973"/>
    <w:rsid w:val="00B34B37"/>
    <w:rsid w:val="00B34B38"/>
    <w:rsid w:val="00B34EE6"/>
    <w:rsid w:val="00B3595E"/>
    <w:rsid w:val="00B359FE"/>
    <w:rsid w:val="00B35B50"/>
    <w:rsid w:val="00B35B7E"/>
    <w:rsid w:val="00B36476"/>
    <w:rsid w:val="00B366C1"/>
    <w:rsid w:val="00B36C11"/>
    <w:rsid w:val="00B36CE9"/>
    <w:rsid w:val="00B370F5"/>
    <w:rsid w:val="00B37130"/>
    <w:rsid w:val="00B3734A"/>
    <w:rsid w:val="00B37670"/>
    <w:rsid w:val="00B377A6"/>
    <w:rsid w:val="00B377FE"/>
    <w:rsid w:val="00B37852"/>
    <w:rsid w:val="00B37960"/>
    <w:rsid w:val="00B37A4C"/>
    <w:rsid w:val="00B37AAE"/>
    <w:rsid w:val="00B37B3D"/>
    <w:rsid w:val="00B37E2D"/>
    <w:rsid w:val="00B405EC"/>
    <w:rsid w:val="00B40864"/>
    <w:rsid w:val="00B40A07"/>
    <w:rsid w:val="00B40D65"/>
    <w:rsid w:val="00B40DD3"/>
    <w:rsid w:val="00B40FD4"/>
    <w:rsid w:val="00B4108E"/>
    <w:rsid w:val="00B410AA"/>
    <w:rsid w:val="00B412B1"/>
    <w:rsid w:val="00B41377"/>
    <w:rsid w:val="00B41524"/>
    <w:rsid w:val="00B41687"/>
    <w:rsid w:val="00B416FB"/>
    <w:rsid w:val="00B41738"/>
    <w:rsid w:val="00B419EE"/>
    <w:rsid w:val="00B41A05"/>
    <w:rsid w:val="00B41D9E"/>
    <w:rsid w:val="00B41EF4"/>
    <w:rsid w:val="00B42328"/>
    <w:rsid w:val="00B425FF"/>
    <w:rsid w:val="00B42726"/>
    <w:rsid w:val="00B42919"/>
    <w:rsid w:val="00B429E4"/>
    <w:rsid w:val="00B42BAF"/>
    <w:rsid w:val="00B42C63"/>
    <w:rsid w:val="00B42D33"/>
    <w:rsid w:val="00B42D96"/>
    <w:rsid w:val="00B42F79"/>
    <w:rsid w:val="00B431BA"/>
    <w:rsid w:val="00B433DF"/>
    <w:rsid w:val="00B4345B"/>
    <w:rsid w:val="00B437B2"/>
    <w:rsid w:val="00B439D4"/>
    <w:rsid w:val="00B439EC"/>
    <w:rsid w:val="00B440AC"/>
    <w:rsid w:val="00B44262"/>
    <w:rsid w:val="00B442A5"/>
    <w:rsid w:val="00B4475E"/>
    <w:rsid w:val="00B450C1"/>
    <w:rsid w:val="00B45174"/>
    <w:rsid w:val="00B456AA"/>
    <w:rsid w:val="00B45910"/>
    <w:rsid w:val="00B45AD0"/>
    <w:rsid w:val="00B45D92"/>
    <w:rsid w:val="00B45E25"/>
    <w:rsid w:val="00B45ECB"/>
    <w:rsid w:val="00B45EE9"/>
    <w:rsid w:val="00B46908"/>
    <w:rsid w:val="00B46AAC"/>
    <w:rsid w:val="00B46AE0"/>
    <w:rsid w:val="00B46B0B"/>
    <w:rsid w:val="00B46E0C"/>
    <w:rsid w:val="00B46F21"/>
    <w:rsid w:val="00B47184"/>
    <w:rsid w:val="00B47350"/>
    <w:rsid w:val="00B47368"/>
    <w:rsid w:val="00B474CC"/>
    <w:rsid w:val="00B478A6"/>
    <w:rsid w:val="00B47BC2"/>
    <w:rsid w:val="00B47E00"/>
    <w:rsid w:val="00B47E4F"/>
    <w:rsid w:val="00B500D9"/>
    <w:rsid w:val="00B501D9"/>
    <w:rsid w:val="00B50220"/>
    <w:rsid w:val="00B504A6"/>
    <w:rsid w:val="00B504B2"/>
    <w:rsid w:val="00B50740"/>
    <w:rsid w:val="00B50C2B"/>
    <w:rsid w:val="00B50C37"/>
    <w:rsid w:val="00B50FA6"/>
    <w:rsid w:val="00B50FF9"/>
    <w:rsid w:val="00B510E8"/>
    <w:rsid w:val="00B51168"/>
    <w:rsid w:val="00B511F7"/>
    <w:rsid w:val="00B518C2"/>
    <w:rsid w:val="00B52736"/>
    <w:rsid w:val="00B52C9C"/>
    <w:rsid w:val="00B53319"/>
    <w:rsid w:val="00B53800"/>
    <w:rsid w:val="00B53A0F"/>
    <w:rsid w:val="00B53AB1"/>
    <w:rsid w:val="00B53B25"/>
    <w:rsid w:val="00B540F7"/>
    <w:rsid w:val="00B54484"/>
    <w:rsid w:val="00B545E1"/>
    <w:rsid w:val="00B54939"/>
    <w:rsid w:val="00B54DF8"/>
    <w:rsid w:val="00B54FA1"/>
    <w:rsid w:val="00B550A3"/>
    <w:rsid w:val="00B55411"/>
    <w:rsid w:val="00B556BA"/>
    <w:rsid w:val="00B558A7"/>
    <w:rsid w:val="00B55BF4"/>
    <w:rsid w:val="00B55DE2"/>
    <w:rsid w:val="00B56984"/>
    <w:rsid w:val="00B56DBE"/>
    <w:rsid w:val="00B56FAA"/>
    <w:rsid w:val="00B57562"/>
    <w:rsid w:val="00B575C7"/>
    <w:rsid w:val="00B57BB4"/>
    <w:rsid w:val="00B57D26"/>
    <w:rsid w:val="00B60140"/>
    <w:rsid w:val="00B601E9"/>
    <w:rsid w:val="00B603B1"/>
    <w:rsid w:val="00B605AE"/>
    <w:rsid w:val="00B607F3"/>
    <w:rsid w:val="00B6085C"/>
    <w:rsid w:val="00B60E7D"/>
    <w:rsid w:val="00B60E8F"/>
    <w:rsid w:val="00B61334"/>
    <w:rsid w:val="00B613B8"/>
    <w:rsid w:val="00B61804"/>
    <w:rsid w:val="00B61807"/>
    <w:rsid w:val="00B61845"/>
    <w:rsid w:val="00B61FCE"/>
    <w:rsid w:val="00B622FA"/>
    <w:rsid w:val="00B62339"/>
    <w:rsid w:val="00B625B7"/>
    <w:rsid w:val="00B62659"/>
    <w:rsid w:val="00B626FE"/>
    <w:rsid w:val="00B627B7"/>
    <w:rsid w:val="00B6293F"/>
    <w:rsid w:val="00B62954"/>
    <w:rsid w:val="00B62A06"/>
    <w:rsid w:val="00B62D6B"/>
    <w:rsid w:val="00B62E86"/>
    <w:rsid w:val="00B62F44"/>
    <w:rsid w:val="00B63888"/>
    <w:rsid w:val="00B63978"/>
    <w:rsid w:val="00B63C52"/>
    <w:rsid w:val="00B63EE9"/>
    <w:rsid w:val="00B63FAC"/>
    <w:rsid w:val="00B64099"/>
    <w:rsid w:val="00B642AB"/>
    <w:rsid w:val="00B647C3"/>
    <w:rsid w:val="00B649E8"/>
    <w:rsid w:val="00B64C49"/>
    <w:rsid w:val="00B64E23"/>
    <w:rsid w:val="00B65414"/>
    <w:rsid w:val="00B65476"/>
    <w:rsid w:val="00B65522"/>
    <w:rsid w:val="00B6563A"/>
    <w:rsid w:val="00B65A44"/>
    <w:rsid w:val="00B65BD3"/>
    <w:rsid w:val="00B65C26"/>
    <w:rsid w:val="00B66096"/>
    <w:rsid w:val="00B661B5"/>
    <w:rsid w:val="00B6664B"/>
    <w:rsid w:val="00B66A20"/>
    <w:rsid w:val="00B66B77"/>
    <w:rsid w:val="00B66E97"/>
    <w:rsid w:val="00B66FA9"/>
    <w:rsid w:val="00B67424"/>
    <w:rsid w:val="00B674CD"/>
    <w:rsid w:val="00B67C5A"/>
    <w:rsid w:val="00B700F2"/>
    <w:rsid w:val="00B70342"/>
    <w:rsid w:val="00B7049E"/>
    <w:rsid w:val="00B705B4"/>
    <w:rsid w:val="00B70AB0"/>
    <w:rsid w:val="00B71019"/>
    <w:rsid w:val="00B714A8"/>
    <w:rsid w:val="00B71852"/>
    <w:rsid w:val="00B7186E"/>
    <w:rsid w:val="00B71B51"/>
    <w:rsid w:val="00B71BFC"/>
    <w:rsid w:val="00B72054"/>
    <w:rsid w:val="00B72356"/>
    <w:rsid w:val="00B72622"/>
    <w:rsid w:val="00B7285D"/>
    <w:rsid w:val="00B72BFA"/>
    <w:rsid w:val="00B72E25"/>
    <w:rsid w:val="00B7308D"/>
    <w:rsid w:val="00B7389A"/>
    <w:rsid w:val="00B738FC"/>
    <w:rsid w:val="00B73BE1"/>
    <w:rsid w:val="00B73CA3"/>
    <w:rsid w:val="00B73CFB"/>
    <w:rsid w:val="00B74100"/>
    <w:rsid w:val="00B742F3"/>
    <w:rsid w:val="00B7442D"/>
    <w:rsid w:val="00B7470C"/>
    <w:rsid w:val="00B74A0C"/>
    <w:rsid w:val="00B74C5E"/>
    <w:rsid w:val="00B7515B"/>
    <w:rsid w:val="00B7541F"/>
    <w:rsid w:val="00B7562A"/>
    <w:rsid w:val="00B75746"/>
    <w:rsid w:val="00B75971"/>
    <w:rsid w:val="00B75C2C"/>
    <w:rsid w:val="00B75DB5"/>
    <w:rsid w:val="00B75E43"/>
    <w:rsid w:val="00B7668D"/>
    <w:rsid w:val="00B768C6"/>
    <w:rsid w:val="00B769E6"/>
    <w:rsid w:val="00B76A94"/>
    <w:rsid w:val="00B76CE7"/>
    <w:rsid w:val="00B76DE1"/>
    <w:rsid w:val="00B77278"/>
    <w:rsid w:val="00B77318"/>
    <w:rsid w:val="00B77543"/>
    <w:rsid w:val="00B775B5"/>
    <w:rsid w:val="00B77691"/>
    <w:rsid w:val="00B7777B"/>
    <w:rsid w:val="00B77832"/>
    <w:rsid w:val="00B779A9"/>
    <w:rsid w:val="00B77AC1"/>
    <w:rsid w:val="00B77AE9"/>
    <w:rsid w:val="00B77CC4"/>
    <w:rsid w:val="00B77D89"/>
    <w:rsid w:val="00B80029"/>
    <w:rsid w:val="00B802B3"/>
    <w:rsid w:val="00B8038A"/>
    <w:rsid w:val="00B804E2"/>
    <w:rsid w:val="00B8052A"/>
    <w:rsid w:val="00B8052F"/>
    <w:rsid w:val="00B805A1"/>
    <w:rsid w:val="00B808E8"/>
    <w:rsid w:val="00B809C8"/>
    <w:rsid w:val="00B809E3"/>
    <w:rsid w:val="00B80A31"/>
    <w:rsid w:val="00B80DEF"/>
    <w:rsid w:val="00B80E19"/>
    <w:rsid w:val="00B8150C"/>
    <w:rsid w:val="00B815BB"/>
    <w:rsid w:val="00B81CD1"/>
    <w:rsid w:val="00B822B8"/>
    <w:rsid w:val="00B824E9"/>
    <w:rsid w:val="00B82524"/>
    <w:rsid w:val="00B8252D"/>
    <w:rsid w:val="00B829C8"/>
    <w:rsid w:val="00B82C07"/>
    <w:rsid w:val="00B82C99"/>
    <w:rsid w:val="00B82D00"/>
    <w:rsid w:val="00B82E96"/>
    <w:rsid w:val="00B832EE"/>
    <w:rsid w:val="00B835B9"/>
    <w:rsid w:val="00B83831"/>
    <w:rsid w:val="00B838B0"/>
    <w:rsid w:val="00B83BF2"/>
    <w:rsid w:val="00B83CCD"/>
    <w:rsid w:val="00B84572"/>
    <w:rsid w:val="00B84A95"/>
    <w:rsid w:val="00B84B1F"/>
    <w:rsid w:val="00B84C90"/>
    <w:rsid w:val="00B84D6E"/>
    <w:rsid w:val="00B84E74"/>
    <w:rsid w:val="00B852D1"/>
    <w:rsid w:val="00B854B1"/>
    <w:rsid w:val="00B8584A"/>
    <w:rsid w:val="00B85879"/>
    <w:rsid w:val="00B85973"/>
    <w:rsid w:val="00B85C56"/>
    <w:rsid w:val="00B85C7A"/>
    <w:rsid w:val="00B85DFE"/>
    <w:rsid w:val="00B85FCB"/>
    <w:rsid w:val="00B860A7"/>
    <w:rsid w:val="00B86689"/>
    <w:rsid w:val="00B8690D"/>
    <w:rsid w:val="00B86D3B"/>
    <w:rsid w:val="00B8765D"/>
    <w:rsid w:val="00B8799C"/>
    <w:rsid w:val="00B87D25"/>
    <w:rsid w:val="00B87E2B"/>
    <w:rsid w:val="00B87E47"/>
    <w:rsid w:val="00B87E97"/>
    <w:rsid w:val="00B87F22"/>
    <w:rsid w:val="00B90035"/>
    <w:rsid w:val="00B9004F"/>
    <w:rsid w:val="00B903D7"/>
    <w:rsid w:val="00B90790"/>
    <w:rsid w:val="00B90D25"/>
    <w:rsid w:val="00B910AA"/>
    <w:rsid w:val="00B9114B"/>
    <w:rsid w:val="00B91973"/>
    <w:rsid w:val="00B919C8"/>
    <w:rsid w:val="00B91A58"/>
    <w:rsid w:val="00B91AE0"/>
    <w:rsid w:val="00B91D8F"/>
    <w:rsid w:val="00B91E52"/>
    <w:rsid w:val="00B922DF"/>
    <w:rsid w:val="00B92658"/>
    <w:rsid w:val="00B92FDD"/>
    <w:rsid w:val="00B92FEB"/>
    <w:rsid w:val="00B93193"/>
    <w:rsid w:val="00B933FB"/>
    <w:rsid w:val="00B9355E"/>
    <w:rsid w:val="00B93C7D"/>
    <w:rsid w:val="00B93D1B"/>
    <w:rsid w:val="00B93D47"/>
    <w:rsid w:val="00B93DC8"/>
    <w:rsid w:val="00B93E17"/>
    <w:rsid w:val="00B94036"/>
    <w:rsid w:val="00B9467F"/>
    <w:rsid w:val="00B9476F"/>
    <w:rsid w:val="00B947B3"/>
    <w:rsid w:val="00B9496E"/>
    <w:rsid w:val="00B94D61"/>
    <w:rsid w:val="00B9536D"/>
    <w:rsid w:val="00B95CF8"/>
    <w:rsid w:val="00B95F0B"/>
    <w:rsid w:val="00B95FE9"/>
    <w:rsid w:val="00B9615C"/>
    <w:rsid w:val="00B9627D"/>
    <w:rsid w:val="00B963BA"/>
    <w:rsid w:val="00B96BC0"/>
    <w:rsid w:val="00B96D1E"/>
    <w:rsid w:val="00B976F1"/>
    <w:rsid w:val="00B979D3"/>
    <w:rsid w:val="00B97A25"/>
    <w:rsid w:val="00B97AD7"/>
    <w:rsid w:val="00B97B4D"/>
    <w:rsid w:val="00B97BE3"/>
    <w:rsid w:val="00B97CF6"/>
    <w:rsid w:val="00B97E19"/>
    <w:rsid w:val="00B97F07"/>
    <w:rsid w:val="00BA0054"/>
    <w:rsid w:val="00BA00D1"/>
    <w:rsid w:val="00BA0277"/>
    <w:rsid w:val="00BA0297"/>
    <w:rsid w:val="00BA04B5"/>
    <w:rsid w:val="00BA052E"/>
    <w:rsid w:val="00BA0628"/>
    <w:rsid w:val="00BA0796"/>
    <w:rsid w:val="00BA080C"/>
    <w:rsid w:val="00BA09C4"/>
    <w:rsid w:val="00BA0EAD"/>
    <w:rsid w:val="00BA0EEC"/>
    <w:rsid w:val="00BA1388"/>
    <w:rsid w:val="00BA18EF"/>
    <w:rsid w:val="00BA197D"/>
    <w:rsid w:val="00BA209B"/>
    <w:rsid w:val="00BA213B"/>
    <w:rsid w:val="00BA2368"/>
    <w:rsid w:val="00BA239A"/>
    <w:rsid w:val="00BA258D"/>
    <w:rsid w:val="00BA2F8D"/>
    <w:rsid w:val="00BA30B5"/>
    <w:rsid w:val="00BA312E"/>
    <w:rsid w:val="00BA3F3D"/>
    <w:rsid w:val="00BA3FE5"/>
    <w:rsid w:val="00BA4158"/>
    <w:rsid w:val="00BA4268"/>
    <w:rsid w:val="00BA44C7"/>
    <w:rsid w:val="00BA45FA"/>
    <w:rsid w:val="00BA46D6"/>
    <w:rsid w:val="00BA47BD"/>
    <w:rsid w:val="00BA4883"/>
    <w:rsid w:val="00BA491E"/>
    <w:rsid w:val="00BA4E91"/>
    <w:rsid w:val="00BA5313"/>
    <w:rsid w:val="00BA5327"/>
    <w:rsid w:val="00BA5A7E"/>
    <w:rsid w:val="00BA5A82"/>
    <w:rsid w:val="00BA5CF4"/>
    <w:rsid w:val="00BA5D2D"/>
    <w:rsid w:val="00BA69FE"/>
    <w:rsid w:val="00BA6E43"/>
    <w:rsid w:val="00BA7041"/>
    <w:rsid w:val="00BA7472"/>
    <w:rsid w:val="00BA74D8"/>
    <w:rsid w:val="00BA7675"/>
    <w:rsid w:val="00BA76AB"/>
    <w:rsid w:val="00BA779C"/>
    <w:rsid w:val="00BA7B52"/>
    <w:rsid w:val="00BA7BA2"/>
    <w:rsid w:val="00BA7CA7"/>
    <w:rsid w:val="00BA7EA8"/>
    <w:rsid w:val="00BB0086"/>
    <w:rsid w:val="00BB00DE"/>
    <w:rsid w:val="00BB0B58"/>
    <w:rsid w:val="00BB12DB"/>
    <w:rsid w:val="00BB15F0"/>
    <w:rsid w:val="00BB1A63"/>
    <w:rsid w:val="00BB217F"/>
    <w:rsid w:val="00BB2501"/>
    <w:rsid w:val="00BB3153"/>
    <w:rsid w:val="00BB31D4"/>
    <w:rsid w:val="00BB33F5"/>
    <w:rsid w:val="00BB358E"/>
    <w:rsid w:val="00BB394E"/>
    <w:rsid w:val="00BB43E4"/>
    <w:rsid w:val="00BB443F"/>
    <w:rsid w:val="00BB47FE"/>
    <w:rsid w:val="00BB4EDE"/>
    <w:rsid w:val="00BB4F1A"/>
    <w:rsid w:val="00BB588A"/>
    <w:rsid w:val="00BB5E89"/>
    <w:rsid w:val="00BB5EF2"/>
    <w:rsid w:val="00BB5F48"/>
    <w:rsid w:val="00BB661B"/>
    <w:rsid w:val="00BB66CC"/>
    <w:rsid w:val="00BB69C8"/>
    <w:rsid w:val="00BB6B3D"/>
    <w:rsid w:val="00BB6D23"/>
    <w:rsid w:val="00BB71D9"/>
    <w:rsid w:val="00BB7239"/>
    <w:rsid w:val="00BB7349"/>
    <w:rsid w:val="00BB7383"/>
    <w:rsid w:val="00BB7385"/>
    <w:rsid w:val="00BB7879"/>
    <w:rsid w:val="00BB7B7E"/>
    <w:rsid w:val="00BC0062"/>
    <w:rsid w:val="00BC0485"/>
    <w:rsid w:val="00BC06CD"/>
    <w:rsid w:val="00BC071B"/>
    <w:rsid w:val="00BC0D96"/>
    <w:rsid w:val="00BC0FB5"/>
    <w:rsid w:val="00BC1173"/>
    <w:rsid w:val="00BC12CC"/>
    <w:rsid w:val="00BC14E6"/>
    <w:rsid w:val="00BC151B"/>
    <w:rsid w:val="00BC18E9"/>
    <w:rsid w:val="00BC1C5F"/>
    <w:rsid w:val="00BC1D2D"/>
    <w:rsid w:val="00BC20A4"/>
    <w:rsid w:val="00BC2119"/>
    <w:rsid w:val="00BC25B0"/>
    <w:rsid w:val="00BC26BB"/>
    <w:rsid w:val="00BC2C62"/>
    <w:rsid w:val="00BC3103"/>
    <w:rsid w:val="00BC34B5"/>
    <w:rsid w:val="00BC3974"/>
    <w:rsid w:val="00BC3CBE"/>
    <w:rsid w:val="00BC4008"/>
    <w:rsid w:val="00BC4139"/>
    <w:rsid w:val="00BC419D"/>
    <w:rsid w:val="00BC42D4"/>
    <w:rsid w:val="00BC4671"/>
    <w:rsid w:val="00BC48FF"/>
    <w:rsid w:val="00BC4A2E"/>
    <w:rsid w:val="00BC4EC1"/>
    <w:rsid w:val="00BC5A65"/>
    <w:rsid w:val="00BC5BF6"/>
    <w:rsid w:val="00BC5F85"/>
    <w:rsid w:val="00BC608B"/>
    <w:rsid w:val="00BC612F"/>
    <w:rsid w:val="00BC61A7"/>
    <w:rsid w:val="00BC62B8"/>
    <w:rsid w:val="00BC6445"/>
    <w:rsid w:val="00BC6469"/>
    <w:rsid w:val="00BC6526"/>
    <w:rsid w:val="00BC6543"/>
    <w:rsid w:val="00BC6867"/>
    <w:rsid w:val="00BC6939"/>
    <w:rsid w:val="00BC6C2D"/>
    <w:rsid w:val="00BC7616"/>
    <w:rsid w:val="00BC7654"/>
    <w:rsid w:val="00BC791F"/>
    <w:rsid w:val="00BC79DC"/>
    <w:rsid w:val="00BC7AF0"/>
    <w:rsid w:val="00BC7C16"/>
    <w:rsid w:val="00BC7CD9"/>
    <w:rsid w:val="00BD01F0"/>
    <w:rsid w:val="00BD01F5"/>
    <w:rsid w:val="00BD03A8"/>
    <w:rsid w:val="00BD051D"/>
    <w:rsid w:val="00BD077C"/>
    <w:rsid w:val="00BD0B05"/>
    <w:rsid w:val="00BD0D00"/>
    <w:rsid w:val="00BD0D08"/>
    <w:rsid w:val="00BD0EF9"/>
    <w:rsid w:val="00BD112A"/>
    <w:rsid w:val="00BD1558"/>
    <w:rsid w:val="00BD172C"/>
    <w:rsid w:val="00BD1801"/>
    <w:rsid w:val="00BD183C"/>
    <w:rsid w:val="00BD1856"/>
    <w:rsid w:val="00BD1CF6"/>
    <w:rsid w:val="00BD1F00"/>
    <w:rsid w:val="00BD2022"/>
    <w:rsid w:val="00BD27F3"/>
    <w:rsid w:val="00BD28C9"/>
    <w:rsid w:val="00BD2B37"/>
    <w:rsid w:val="00BD2CE0"/>
    <w:rsid w:val="00BD35BE"/>
    <w:rsid w:val="00BD3D6B"/>
    <w:rsid w:val="00BD3DF2"/>
    <w:rsid w:val="00BD3FB9"/>
    <w:rsid w:val="00BD405A"/>
    <w:rsid w:val="00BD41C7"/>
    <w:rsid w:val="00BD4493"/>
    <w:rsid w:val="00BD4578"/>
    <w:rsid w:val="00BD4B18"/>
    <w:rsid w:val="00BD4D44"/>
    <w:rsid w:val="00BD4E0F"/>
    <w:rsid w:val="00BD4FBE"/>
    <w:rsid w:val="00BD500B"/>
    <w:rsid w:val="00BD523A"/>
    <w:rsid w:val="00BD52E9"/>
    <w:rsid w:val="00BD5F5A"/>
    <w:rsid w:val="00BD6098"/>
    <w:rsid w:val="00BD634E"/>
    <w:rsid w:val="00BD6444"/>
    <w:rsid w:val="00BD64C7"/>
    <w:rsid w:val="00BD6523"/>
    <w:rsid w:val="00BD6B9E"/>
    <w:rsid w:val="00BD6C7A"/>
    <w:rsid w:val="00BD6D3C"/>
    <w:rsid w:val="00BD6FA4"/>
    <w:rsid w:val="00BD7067"/>
    <w:rsid w:val="00BD74D3"/>
    <w:rsid w:val="00BD7654"/>
    <w:rsid w:val="00BD76D1"/>
    <w:rsid w:val="00BD7762"/>
    <w:rsid w:val="00BD784D"/>
    <w:rsid w:val="00BD799E"/>
    <w:rsid w:val="00BD7A01"/>
    <w:rsid w:val="00BD7A78"/>
    <w:rsid w:val="00BD7B00"/>
    <w:rsid w:val="00BD7BE8"/>
    <w:rsid w:val="00BD7CF5"/>
    <w:rsid w:val="00BD7F0E"/>
    <w:rsid w:val="00BE0282"/>
    <w:rsid w:val="00BE0510"/>
    <w:rsid w:val="00BE0545"/>
    <w:rsid w:val="00BE0690"/>
    <w:rsid w:val="00BE0721"/>
    <w:rsid w:val="00BE0A88"/>
    <w:rsid w:val="00BE0BF8"/>
    <w:rsid w:val="00BE0C38"/>
    <w:rsid w:val="00BE0CEF"/>
    <w:rsid w:val="00BE12F7"/>
    <w:rsid w:val="00BE14BA"/>
    <w:rsid w:val="00BE14C7"/>
    <w:rsid w:val="00BE19C2"/>
    <w:rsid w:val="00BE1AA1"/>
    <w:rsid w:val="00BE252D"/>
    <w:rsid w:val="00BE2658"/>
    <w:rsid w:val="00BE3133"/>
    <w:rsid w:val="00BE3422"/>
    <w:rsid w:val="00BE3780"/>
    <w:rsid w:val="00BE37DF"/>
    <w:rsid w:val="00BE3833"/>
    <w:rsid w:val="00BE3836"/>
    <w:rsid w:val="00BE38DD"/>
    <w:rsid w:val="00BE39CE"/>
    <w:rsid w:val="00BE3A33"/>
    <w:rsid w:val="00BE3FB0"/>
    <w:rsid w:val="00BE4042"/>
    <w:rsid w:val="00BE49C2"/>
    <w:rsid w:val="00BE4DB0"/>
    <w:rsid w:val="00BE5162"/>
    <w:rsid w:val="00BE52CC"/>
    <w:rsid w:val="00BE5679"/>
    <w:rsid w:val="00BE56B9"/>
    <w:rsid w:val="00BE5916"/>
    <w:rsid w:val="00BE5BF3"/>
    <w:rsid w:val="00BE62B5"/>
    <w:rsid w:val="00BE62C2"/>
    <w:rsid w:val="00BE62E3"/>
    <w:rsid w:val="00BE6903"/>
    <w:rsid w:val="00BE6AB9"/>
    <w:rsid w:val="00BE6BA0"/>
    <w:rsid w:val="00BE6E0C"/>
    <w:rsid w:val="00BE70D1"/>
    <w:rsid w:val="00BE75C5"/>
    <w:rsid w:val="00BE765D"/>
    <w:rsid w:val="00BE7B25"/>
    <w:rsid w:val="00BF099E"/>
    <w:rsid w:val="00BF0B4F"/>
    <w:rsid w:val="00BF0F90"/>
    <w:rsid w:val="00BF104B"/>
    <w:rsid w:val="00BF1059"/>
    <w:rsid w:val="00BF10C7"/>
    <w:rsid w:val="00BF1154"/>
    <w:rsid w:val="00BF11B1"/>
    <w:rsid w:val="00BF13A3"/>
    <w:rsid w:val="00BF15A3"/>
    <w:rsid w:val="00BF19DE"/>
    <w:rsid w:val="00BF1BF1"/>
    <w:rsid w:val="00BF1D58"/>
    <w:rsid w:val="00BF1DEE"/>
    <w:rsid w:val="00BF1F12"/>
    <w:rsid w:val="00BF203D"/>
    <w:rsid w:val="00BF2413"/>
    <w:rsid w:val="00BF2420"/>
    <w:rsid w:val="00BF2648"/>
    <w:rsid w:val="00BF2681"/>
    <w:rsid w:val="00BF27E6"/>
    <w:rsid w:val="00BF2A44"/>
    <w:rsid w:val="00BF2A47"/>
    <w:rsid w:val="00BF2FF1"/>
    <w:rsid w:val="00BF3000"/>
    <w:rsid w:val="00BF3261"/>
    <w:rsid w:val="00BF36E5"/>
    <w:rsid w:val="00BF370E"/>
    <w:rsid w:val="00BF382B"/>
    <w:rsid w:val="00BF394C"/>
    <w:rsid w:val="00BF39FA"/>
    <w:rsid w:val="00BF3D3A"/>
    <w:rsid w:val="00BF3DBD"/>
    <w:rsid w:val="00BF445E"/>
    <w:rsid w:val="00BF4670"/>
    <w:rsid w:val="00BF4718"/>
    <w:rsid w:val="00BF4957"/>
    <w:rsid w:val="00BF5038"/>
    <w:rsid w:val="00BF5080"/>
    <w:rsid w:val="00BF5176"/>
    <w:rsid w:val="00BF51A1"/>
    <w:rsid w:val="00BF53D3"/>
    <w:rsid w:val="00BF5556"/>
    <w:rsid w:val="00BF5705"/>
    <w:rsid w:val="00BF5981"/>
    <w:rsid w:val="00BF5B55"/>
    <w:rsid w:val="00BF5C13"/>
    <w:rsid w:val="00BF5E15"/>
    <w:rsid w:val="00BF5FF8"/>
    <w:rsid w:val="00BF60FA"/>
    <w:rsid w:val="00BF618E"/>
    <w:rsid w:val="00BF6306"/>
    <w:rsid w:val="00BF6388"/>
    <w:rsid w:val="00BF6598"/>
    <w:rsid w:val="00BF66D3"/>
    <w:rsid w:val="00BF6825"/>
    <w:rsid w:val="00BF6A8B"/>
    <w:rsid w:val="00BF6B83"/>
    <w:rsid w:val="00BF6D53"/>
    <w:rsid w:val="00BF7000"/>
    <w:rsid w:val="00BF75B9"/>
    <w:rsid w:val="00BF7709"/>
    <w:rsid w:val="00BF799A"/>
    <w:rsid w:val="00BF7C70"/>
    <w:rsid w:val="00BF7CBD"/>
    <w:rsid w:val="00BF7E8D"/>
    <w:rsid w:val="00BF7F97"/>
    <w:rsid w:val="00C000BE"/>
    <w:rsid w:val="00C00278"/>
    <w:rsid w:val="00C002FE"/>
    <w:rsid w:val="00C0061F"/>
    <w:rsid w:val="00C0062C"/>
    <w:rsid w:val="00C00D19"/>
    <w:rsid w:val="00C00EE6"/>
    <w:rsid w:val="00C00FAF"/>
    <w:rsid w:val="00C0111B"/>
    <w:rsid w:val="00C01137"/>
    <w:rsid w:val="00C01193"/>
    <w:rsid w:val="00C01706"/>
    <w:rsid w:val="00C018BB"/>
    <w:rsid w:val="00C0190A"/>
    <w:rsid w:val="00C019EA"/>
    <w:rsid w:val="00C0245B"/>
    <w:rsid w:val="00C02474"/>
    <w:rsid w:val="00C025DD"/>
    <w:rsid w:val="00C0276D"/>
    <w:rsid w:val="00C027BB"/>
    <w:rsid w:val="00C02940"/>
    <w:rsid w:val="00C02C28"/>
    <w:rsid w:val="00C02D8C"/>
    <w:rsid w:val="00C02DA8"/>
    <w:rsid w:val="00C02F62"/>
    <w:rsid w:val="00C03AE9"/>
    <w:rsid w:val="00C03C14"/>
    <w:rsid w:val="00C03D51"/>
    <w:rsid w:val="00C03F26"/>
    <w:rsid w:val="00C04000"/>
    <w:rsid w:val="00C0405C"/>
    <w:rsid w:val="00C04259"/>
    <w:rsid w:val="00C04326"/>
    <w:rsid w:val="00C04983"/>
    <w:rsid w:val="00C04AF4"/>
    <w:rsid w:val="00C04D52"/>
    <w:rsid w:val="00C05033"/>
    <w:rsid w:val="00C052D6"/>
    <w:rsid w:val="00C0530E"/>
    <w:rsid w:val="00C05324"/>
    <w:rsid w:val="00C055AA"/>
    <w:rsid w:val="00C056A2"/>
    <w:rsid w:val="00C05DB0"/>
    <w:rsid w:val="00C05F4F"/>
    <w:rsid w:val="00C05FFC"/>
    <w:rsid w:val="00C0614B"/>
    <w:rsid w:val="00C06782"/>
    <w:rsid w:val="00C06806"/>
    <w:rsid w:val="00C068CB"/>
    <w:rsid w:val="00C068D0"/>
    <w:rsid w:val="00C06D7C"/>
    <w:rsid w:val="00C070B7"/>
    <w:rsid w:val="00C070D3"/>
    <w:rsid w:val="00C070F4"/>
    <w:rsid w:val="00C0710F"/>
    <w:rsid w:val="00C072DE"/>
    <w:rsid w:val="00C07780"/>
    <w:rsid w:val="00C07789"/>
    <w:rsid w:val="00C077C4"/>
    <w:rsid w:val="00C10194"/>
    <w:rsid w:val="00C101A9"/>
    <w:rsid w:val="00C10936"/>
    <w:rsid w:val="00C1095F"/>
    <w:rsid w:val="00C10C1E"/>
    <w:rsid w:val="00C10ED9"/>
    <w:rsid w:val="00C1127B"/>
    <w:rsid w:val="00C11436"/>
    <w:rsid w:val="00C1198C"/>
    <w:rsid w:val="00C11A87"/>
    <w:rsid w:val="00C11F8B"/>
    <w:rsid w:val="00C1229C"/>
    <w:rsid w:val="00C128F9"/>
    <w:rsid w:val="00C12C46"/>
    <w:rsid w:val="00C12C5C"/>
    <w:rsid w:val="00C12E67"/>
    <w:rsid w:val="00C12F87"/>
    <w:rsid w:val="00C12F95"/>
    <w:rsid w:val="00C1301B"/>
    <w:rsid w:val="00C130AA"/>
    <w:rsid w:val="00C13114"/>
    <w:rsid w:val="00C131CB"/>
    <w:rsid w:val="00C132AA"/>
    <w:rsid w:val="00C13696"/>
    <w:rsid w:val="00C13858"/>
    <w:rsid w:val="00C139B0"/>
    <w:rsid w:val="00C140F0"/>
    <w:rsid w:val="00C1460E"/>
    <w:rsid w:val="00C147AA"/>
    <w:rsid w:val="00C1489A"/>
    <w:rsid w:val="00C148DB"/>
    <w:rsid w:val="00C14AE8"/>
    <w:rsid w:val="00C14F87"/>
    <w:rsid w:val="00C150CC"/>
    <w:rsid w:val="00C151D7"/>
    <w:rsid w:val="00C15948"/>
    <w:rsid w:val="00C159E0"/>
    <w:rsid w:val="00C15BD3"/>
    <w:rsid w:val="00C16192"/>
    <w:rsid w:val="00C16E2E"/>
    <w:rsid w:val="00C16EA3"/>
    <w:rsid w:val="00C16EAA"/>
    <w:rsid w:val="00C16F93"/>
    <w:rsid w:val="00C16FDD"/>
    <w:rsid w:val="00C170A7"/>
    <w:rsid w:val="00C170C1"/>
    <w:rsid w:val="00C178D0"/>
    <w:rsid w:val="00C1793E"/>
    <w:rsid w:val="00C17976"/>
    <w:rsid w:val="00C17A2F"/>
    <w:rsid w:val="00C17BB4"/>
    <w:rsid w:val="00C20229"/>
    <w:rsid w:val="00C20493"/>
    <w:rsid w:val="00C2062F"/>
    <w:rsid w:val="00C20638"/>
    <w:rsid w:val="00C209E0"/>
    <w:rsid w:val="00C20AA2"/>
    <w:rsid w:val="00C20B1D"/>
    <w:rsid w:val="00C20C18"/>
    <w:rsid w:val="00C20FC8"/>
    <w:rsid w:val="00C216B4"/>
    <w:rsid w:val="00C217B6"/>
    <w:rsid w:val="00C217DF"/>
    <w:rsid w:val="00C21A2C"/>
    <w:rsid w:val="00C21F16"/>
    <w:rsid w:val="00C2224E"/>
    <w:rsid w:val="00C225C6"/>
    <w:rsid w:val="00C225CE"/>
    <w:rsid w:val="00C2261A"/>
    <w:rsid w:val="00C22699"/>
    <w:rsid w:val="00C2271C"/>
    <w:rsid w:val="00C228E8"/>
    <w:rsid w:val="00C2292B"/>
    <w:rsid w:val="00C22E95"/>
    <w:rsid w:val="00C22F48"/>
    <w:rsid w:val="00C23A0E"/>
    <w:rsid w:val="00C23B08"/>
    <w:rsid w:val="00C23D4A"/>
    <w:rsid w:val="00C23D7A"/>
    <w:rsid w:val="00C2422F"/>
    <w:rsid w:val="00C24B35"/>
    <w:rsid w:val="00C261FA"/>
    <w:rsid w:val="00C26763"/>
    <w:rsid w:val="00C2693A"/>
    <w:rsid w:val="00C26AA7"/>
    <w:rsid w:val="00C26C3B"/>
    <w:rsid w:val="00C26E2D"/>
    <w:rsid w:val="00C274B2"/>
    <w:rsid w:val="00C27A5D"/>
    <w:rsid w:val="00C27A76"/>
    <w:rsid w:val="00C30123"/>
    <w:rsid w:val="00C30198"/>
    <w:rsid w:val="00C30665"/>
    <w:rsid w:val="00C3069A"/>
    <w:rsid w:val="00C30BE6"/>
    <w:rsid w:val="00C30C5E"/>
    <w:rsid w:val="00C31E72"/>
    <w:rsid w:val="00C3203C"/>
    <w:rsid w:val="00C321FA"/>
    <w:rsid w:val="00C325AB"/>
    <w:rsid w:val="00C326A7"/>
    <w:rsid w:val="00C32BEA"/>
    <w:rsid w:val="00C32CC6"/>
    <w:rsid w:val="00C32E8F"/>
    <w:rsid w:val="00C330C3"/>
    <w:rsid w:val="00C331FA"/>
    <w:rsid w:val="00C3323E"/>
    <w:rsid w:val="00C33274"/>
    <w:rsid w:val="00C33776"/>
    <w:rsid w:val="00C3386D"/>
    <w:rsid w:val="00C33983"/>
    <w:rsid w:val="00C33DD0"/>
    <w:rsid w:val="00C340D1"/>
    <w:rsid w:val="00C34411"/>
    <w:rsid w:val="00C34427"/>
    <w:rsid w:val="00C344C0"/>
    <w:rsid w:val="00C34876"/>
    <w:rsid w:val="00C3489E"/>
    <w:rsid w:val="00C34CFE"/>
    <w:rsid w:val="00C35001"/>
    <w:rsid w:val="00C35044"/>
    <w:rsid w:val="00C35131"/>
    <w:rsid w:val="00C3524C"/>
    <w:rsid w:val="00C3537C"/>
    <w:rsid w:val="00C35385"/>
    <w:rsid w:val="00C355B7"/>
    <w:rsid w:val="00C35641"/>
    <w:rsid w:val="00C35707"/>
    <w:rsid w:val="00C35835"/>
    <w:rsid w:val="00C359C7"/>
    <w:rsid w:val="00C35AAE"/>
    <w:rsid w:val="00C35BB9"/>
    <w:rsid w:val="00C35FED"/>
    <w:rsid w:val="00C36085"/>
    <w:rsid w:val="00C365DB"/>
    <w:rsid w:val="00C3670A"/>
    <w:rsid w:val="00C367A9"/>
    <w:rsid w:val="00C36FF3"/>
    <w:rsid w:val="00C37211"/>
    <w:rsid w:val="00C37241"/>
    <w:rsid w:val="00C373F1"/>
    <w:rsid w:val="00C374B4"/>
    <w:rsid w:val="00C3754B"/>
    <w:rsid w:val="00C3760F"/>
    <w:rsid w:val="00C37825"/>
    <w:rsid w:val="00C40279"/>
    <w:rsid w:val="00C405EC"/>
    <w:rsid w:val="00C406FB"/>
    <w:rsid w:val="00C40746"/>
    <w:rsid w:val="00C407BA"/>
    <w:rsid w:val="00C40B1E"/>
    <w:rsid w:val="00C40B37"/>
    <w:rsid w:val="00C40E17"/>
    <w:rsid w:val="00C41446"/>
    <w:rsid w:val="00C416D7"/>
    <w:rsid w:val="00C419FF"/>
    <w:rsid w:val="00C41BF0"/>
    <w:rsid w:val="00C41CE7"/>
    <w:rsid w:val="00C41EB5"/>
    <w:rsid w:val="00C4215A"/>
    <w:rsid w:val="00C42355"/>
    <w:rsid w:val="00C4255E"/>
    <w:rsid w:val="00C4269A"/>
    <w:rsid w:val="00C426A3"/>
    <w:rsid w:val="00C429D7"/>
    <w:rsid w:val="00C429E9"/>
    <w:rsid w:val="00C42C8B"/>
    <w:rsid w:val="00C42D9D"/>
    <w:rsid w:val="00C42DC0"/>
    <w:rsid w:val="00C4326A"/>
    <w:rsid w:val="00C43372"/>
    <w:rsid w:val="00C438D4"/>
    <w:rsid w:val="00C439C8"/>
    <w:rsid w:val="00C43A4C"/>
    <w:rsid w:val="00C43B13"/>
    <w:rsid w:val="00C443D5"/>
    <w:rsid w:val="00C448CC"/>
    <w:rsid w:val="00C44C8D"/>
    <w:rsid w:val="00C44D93"/>
    <w:rsid w:val="00C44E44"/>
    <w:rsid w:val="00C45072"/>
    <w:rsid w:val="00C45587"/>
    <w:rsid w:val="00C4558F"/>
    <w:rsid w:val="00C45A16"/>
    <w:rsid w:val="00C45B3F"/>
    <w:rsid w:val="00C45E4F"/>
    <w:rsid w:val="00C45EBE"/>
    <w:rsid w:val="00C460A0"/>
    <w:rsid w:val="00C460C8"/>
    <w:rsid w:val="00C46394"/>
    <w:rsid w:val="00C46492"/>
    <w:rsid w:val="00C46741"/>
    <w:rsid w:val="00C47227"/>
    <w:rsid w:val="00C4774C"/>
    <w:rsid w:val="00C47B97"/>
    <w:rsid w:val="00C5021E"/>
    <w:rsid w:val="00C5026B"/>
    <w:rsid w:val="00C50313"/>
    <w:rsid w:val="00C505F9"/>
    <w:rsid w:val="00C5095E"/>
    <w:rsid w:val="00C50B88"/>
    <w:rsid w:val="00C50B89"/>
    <w:rsid w:val="00C50CF3"/>
    <w:rsid w:val="00C50EFF"/>
    <w:rsid w:val="00C50F94"/>
    <w:rsid w:val="00C5107E"/>
    <w:rsid w:val="00C510E0"/>
    <w:rsid w:val="00C5118E"/>
    <w:rsid w:val="00C5130E"/>
    <w:rsid w:val="00C51591"/>
    <w:rsid w:val="00C51755"/>
    <w:rsid w:val="00C51789"/>
    <w:rsid w:val="00C51A82"/>
    <w:rsid w:val="00C51BCC"/>
    <w:rsid w:val="00C51E00"/>
    <w:rsid w:val="00C51EBE"/>
    <w:rsid w:val="00C51F16"/>
    <w:rsid w:val="00C52212"/>
    <w:rsid w:val="00C5232D"/>
    <w:rsid w:val="00C525C2"/>
    <w:rsid w:val="00C52786"/>
    <w:rsid w:val="00C52A86"/>
    <w:rsid w:val="00C52D6B"/>
    <w:rsid w:val="00C5311D"/>
    <w:rsid w:val="00C532D8"/>
    <w:rsid w:val="00C5334F"/>
    <w:rsid w:val="00C5341A"/>
    <w:rsid w:val="00C539C8"/>
    <w:rsid w:val="00C53CFE"/>
    <w:rsid w:val="00C53D16"/>
    <w:rsid w:val="00C544B6"/>
    <w:rsid w:val="00C549FA"/>
    <w:rsid w:val="00C54AB0"/>
    <w:rsid w:val="00C54FBC"/>
    <w:rsid w:val="00C54FDA"/>
    <w:rsid w:val="00C55045"/>
    <w:rsid w:val="00C55AD2"/>
    <w:rsid w:val="00C55C91"/>
    <w:rsid w:val="00C55D6C"/>
    <w:rsid w:val="00C55E95"/>
    <w:rsid w:val="00C55FBA"/>
    <w:rsid w:val="00C56130"/>
    <w:rsid w:val="00C563BC"/>
    <w:rsid w:val="00C564B9"/>
    <w:rsid w:val="00C5676E"/>
    <w:rsid w:val="00C567F0"/>
    <w:rsid w:val="00C56877"/>
    <w:rsid w:val="00C568E2"/>
    <w:rsid w:val="00C56BAE"/>
    <w:rsid w:val="00C57086"/>
    <w:rsid w:val="00C5719B"/>
    <w:rsid w:val="00C571CD"/>
    <w:rsid w:val="00C57541"/>
    <w:rsid w:val="00C5782C"/>
    <w:rsid w:val="00C57A4B"/>
    <w:rsid w:val="00C57CFE"/>
    <w:rsid w:val="00C57F1B"/>
    <w:rsid w:val="00C604E7"/>
    <w:rsid w:val="00C60BA4"/>
    <w:rsid w:val="00C60C06"/>
    <w:rsid w:val="00C60E22"/>
    <w:rsid w:val="00C6105F"/>
    <w:rsid w:val="00C6109E"/>
    <w:rsid w:val="00C61152"/>
    <w:rsid w:val="00C61359"/>
    <w:rsid w:val="00C61393"/>
    <w:rsid w:val="00C614FF"/>
    <w:rsid w:val="00C615D0"/>
    <w:rsid w:val="00C6195B"/>
    <w:rsid w:val="00C61D36"/>
    <w:rsid w:val="00C61F32"/>
    <w:rsid w:val="00C62038"/>
    <w:rsid w:val="00C626B3"/>
    <w:rsid w:val="00C627E4"/>
    <w:rsid w:val="00C62F98"/>
    <w:rsid w:val="00C63427"/>
    <w:rsid w:val="00C635EB"/>
    <w:rsid w:val="00C636C7"/>
    <w:rsid w:val="00C6393F"/>
    <w:rsid w:val="00C63B05"/>
    <w:rsid w:val="00C63D41"/>
    <w:rsid w:val="00C63D79"/>
    <w:rsid w:val="00C63E2B"/>
    <w:rsid w:val="00C64073"/>
    <w:rsid w:val="00C642DF"/>
    <w:rsid w:val="00C64681"/>
    <w:rsid w:val="00C64711"/>
    <w:rsid w:val="00C64744"/>
    <w:rsid w:val="00C64995"/>
    <w:rsid w:val="00C64D14"/>
    <w:rsid w:val="00C64DB0"/>
    <w:rsid w:val="00C652AE"/>
    <w:rsid w:val="00C652BC"/>
    <w:rsid w:val="00C65445"/>
    <w:rsid w:val="00C65A00"/>
    <w:rsid w:val="00C65C07"/>
    <w:rsid w:val="00C65D7F"/>
    <w:rsid w:val="00C65DE5"/>
    <w:rsid w:val="00C6658F"/>
    <w:rsid w:val="00C66D35"/>
    <w:rsid w:val="00C67228"/>
    <w:rsid w:val="00C674E3"/>
    <w:rsid w:val="00C675FC"/>
    <w:rsid w:val="00C678AE"/>
    <w:rsid w:val="00C679C6"/>
    <w:rsid w:val="00C67A1D"/>
    <w:rsid w:val="00C67E47"/>
    <w:rsid w:val="00C70007"/>
    <w:rsid w:val="00C70205"/>
    <w:rsid w:val="00C70665"/>
    <w:rsid w:val="00C708AF"/>
    <w:rsid w:val="00C70993"/>
    <w:rsid w:val="00C70E94"/>
    <w:rsid w:val="00C713E2"/>
    <w:rsid w:val="00C719A4"/>
    <w:rsid w:val="00C71A30"/>
    <w:rsid w:val="00C71E8F"/>
    <w:rsid w:val="00C72132"/>
    <w:rsid w:val="00C7248D"/>
    <w:rsid w:val="00C724E7"/>
    <w:rsid w:val="00C7265D"/>
    <w:rsid w:val="00C72C03"/>
    <w:rsid w:val="00C72DEC"/>
    <w:rsid w:val="00C7356E"/>
    <w:rsid w:val="00C7362E"/>
    <w:rsid w:val="00C739B6"/>
    <w:rsid w:val="00C73B69"/>
    <w:rsid w:val="00C73D34"/>
    <w:rsid w:val="00C73F6B"/>
    <w:rsid w:val="00C7461A"/>
    <w:rsid w:val="00C746FE"/>
    <w:rsid w:val="00C74A1C"/>
    <w:rsid w:val="00C74A83"/>
    <w:rsid w:val="00C7511A"/>
    <w:rsid w:val="00C753F6"/>
    <w:rsid w:val="00C75695"/>
    <w:rsid w:val="00C757E5"/>
    <w:rsid w:val="00C75D00"/>
    <w:rsid w:val="00C75D5D"/>
    <w:rsid w:val="00C75F4F"/>
    <w:rsid w:val="00C75FB7"/>
    <w:rsid w:val="00C7621D"/>
    <w:rsid w:val="00C765C8"/>
    <w:rsid w:val="00C767B3"/>
    <w:rsid w:val="00C76E20"/>
    <w:rsid w:val="00C76EFE"/>
    <w:rsid w:val="00C77064"/>
    <w:rsid w:val="00C77163"/>
    <w:rsid w:val="00C7718A"/>
    <w:rsid w:val="00C77837"/>
    <w:rsid w:val="00C7796B"/>
    <w:rsid w:val="00C77F77"/>
    <w:rsid w:val="00C77FD3"/>
    <w:rsid w:val="00C80327"/>
    <w:rsid w:val="00C8099F"/>
    <w:rsid w:val="00C80A57"/>
    <w:rsid w:val="00C80C14"/>
    <w:rsid w:val="00C80E26"/>
    <w:rsid w:val="00C80E36"/>
    <w:rsid w:val="00C810CF"/>
    <w:rsid w:val="00C81355"/>
    <w:rsid w:val="00C813B4"/>
    <w:rsid w:val="00C81580"/>
    <w:rsid w:val="00C81849"/>
    <w:rsid w:val="00C81F76"/>
    <w:rsid w:val="00C81F8C"/>
    <w:rsid w:val="00C8207E"/>
    <w:rsid w:val="00C82116"/>
    <w:rsid w:val="00C82165"/>
    <w:rsid w:val="00C8226F"/>
    <w:rsid w:val="00C8232F"/>
    <w:rsid w:val="00C82333"/>
    <w:rsid w:val="00C826D0"/>
    <w:rsid w:val="00C826FC"/>
    <w:rsid w:val="00C82767"/>
    <w:rsid w:val="00C82781"/>
    <w:rsid w:val="00C82D32"/>
    <w:rsid w:val="00C82F90"/>
    <w:rsid w:val="00C831D9"/>
    <w:rsid w:val="00C83461"/>
    <w:rsid w:val="00C83633"/>
    <w:rsid w:val="00C838F6"/>
    <w:rsid w:val="00C839A0"/>
    <w:rsid w:val="00C83CB0"/>
    <w:rsid w:val="00C83CB5"/>
    <w:rsid w:val="00C83F7A"/>
    <w:rsid w:val="00C84105"/>
    <w:rsid w:val="00C841B2"/>
    <w:rsid w:val="00C84204"/>
    <w:rsid w:val="00C84237"/>
    <w:rsid w:val="00C84345"/>
    <w:rsid w:val="00C84663"/>
    <w:rsid w:val="00C846F7"/>
    <w:rsid w:val="00C84762"/>
    <w:rsid w:val="00C847A0"/>
    <w:rsid w:val="00C847FD"/>
    <w:rsid w:val="00C848C3"/>
    <w:rsid w:val="00C848FB"/>
    <w:rsid w:val="00C8496D"/>
    <w:rsid w:val="00C85069"/>
    <w:rsid w:val="00C853B5"/>
    <w:rsid w:val="00C857E7"/>
    <w:rsid w:val="00C85EEF"/>
    <w:rsid w:val="00C864BB"/>
    <w:rsid w:val="00C864FC"/>
    <w:rsid w:val="00C867A3"/>
    <w:rsid w:val="00C86B04"/>
    <w:rsid w:val="00C86BC6"/>
    <w:rsid w:val="00C86EC7"/>
    <w:rsid w:val="00C86F1E"/>
    <w:rsid w:val="00C86F84"/>
    <w:rsid w:val="00C871C1"/>
    <w:rsid w:val="00C87373"/>
    <w:rsid w:val="00C8770B"/>
    <w:rsid w:val="00C87860"/>
    <w:rsid w:val="00C878CA"/>
    <w:rsid w:val="00C8792D"/>
    <w:rsid w:val="00C879EB"/>
    <w:rsid w:val="00C87CB0"/>
    <w:rsid w:val="00C87CFD"/>
    <w:rsid w:val="00C87E87"/>
    <w:rsid w:val="00C87EB1"/>
    <w:rsid w:val="00C87EC8"/>
    <w:rsid w:val="00C90029"/>
    <w:rsid w:val="00C90064"/>
    <w:rsid w:val="00C901FA"/>
    <w:rsid w:val="00C90313"/>
    <w:rsid w:val="00C90327"/>
    <w:rsid w:val="00C90459"/>
    <w:rsid w:val="00C905BB"/>
    <w:rsid w:val="00C90AD0"/>
    <w:rsid w:val="00C90B1E"/>
    <w:rsid w:val="00C90D19"/>
    <w:rsid w:val="00C915B3"/>
    <w:rsid w:val="00C916B4"/>
    <w:rsid w:val="00C91B1A"/>
    <w:rsid w:val="00C9220F"/>
    <w:rsid w:val="00C92444"/>
    <w:rsid w:val="00C92530"/>
    <w:rsid w:val="00C925EA"/>
    <w:rsid w:val="00C92973"/>
    <w:rsid w:val="00C92ABF"/>
    <w:rsid w:val="00C93475"/>
    <w:rsid w:val="00C9357A"/>
    <w:rsid w:val="00C93F3F"/>
    <w:rsid w:val="00C94254"/>
    <w:rsid w:val="00C94B93"/>
    <w:rsid w:val="00C94ED0"/>
    <w:rsid w:val="00C94F13"/>
    <w:rsid w:val="00C95272"/>
    <w:rsid w:val="00C9565C"/>
    <w:rsid w:val="00C957BA"/>
    <w:rsid w:val="00C95849"/>
    <w:rsid w:val="00C95944"/>
    <w:rsid w:val="00C95E48"/>
    <w:rsid w:val="00C96343"/>
    <w:rsid w:val="00C96B23"/>
    <w:rsid w:val="00C96FB4"/>
    <w:rsid w:val="00C9705F"/>
    <w:rsid w:val="00C9790F"/>
    <w:rsid w:val="00CA0005"/>
    <w:rsid w:val="00CA00FE"/>
    <w:rsid w:val="00CA023C"/>
    <w:rsid w:val="00CA0308"/>
    <w:rsid w:val="00CA093E"/>
    <w:rsid w:val="00CA0A92"/>
    <w:rsid w:val="00CA0BA5"/>
    <w:rsid w:val="00CA0F28"/>
    <w:rsid w:val="00CA105A"/>
    <w:rsid w:val="00CA1082"/>
    <w:rsid w:val="00CA12A5"/>
    <w:rsid w:val="00CA14F5"/>
    <w:rsid w:val="00CA1713"/>
    <w:rsid w:val="00CA192E"/>
    <w:rsid w:val="00CA1A51"/>
    <w:rsid w:val="00CA1ABB"/>
    <w:rsid w:val="00CA1C4B"/>
    <w:rsid w:val="00CA1DF0"/>
    <w:rsid w:val="00CA2489"/>
    <w:rsid w:val="00CA2AB8"/>
    <w:rsid w:val="00CA2C69"/>
    <w:rsid w:val="00CA2F86"/>
    <w:rsid w:val="00CA2F99"/>
    <w:rsid w:val="00CA307C"/>
    <w:rsid w:val="00CA3267"/>
    <w:rsid w:val="00CA3584"/>
    <w:rsid w:val="00CA35EE"/>
    <w:rsid w:val="00CA3A8F"/>
    <w:rsid w:val="00CA3D4A"/>
    <w:rsid w:val="00CA3E4E"/>
    <w:rsid w:val="00CA41A6"/>
    <w:rsid w:val="00CA4216"/>
    <w:rsid w:val="00CA42F6"/>
    <w:rsid w:val="00CA4463"/>
    <w:rsid w:val="00CA47A8"/>
    <w:rsid w:val="00CA47CC"/>
    <w:rsid w:val="00CA4A24"/>
    <w:rsid w:val="00CA4C6C"/>
    <w:rsid w:val="00CA4E47"/>
    <w:rsid w:val="00CA4EE2"/>
    <w:rsid w:val="00CA51F6"/>
    <w:rsid w:val="00CA5D03"/>
    <w:rsid w:val="00CA5D4B"/>
    <w:rsid w:val="00CA626C"/>
    <w:rsid w:val="00CA66E2"/>
    <w:rsid w:val="00CA685A"/>
    <w:rsid w:val="00CA68C7"/>
    <w:rsid w:val="00CA6C7A"/>
    <w:rsid w:val="00CA6F17"/>
    <w:rsid w:val="00CA700D"/>
    <w:rsid w:val="00CA720F"/>
    <w:rsid w:val="00CA7254"/>
    <w:rsid w:val="00CA74DB"/>
    <w:rsid w:val="00CA7587"/>
    <w:rsid w:val="00CA764C"/>
    <w:rsid w:val="00CA76D7"/>
    <w:rsid w:val="00CA7779"/>
    <w:rsid w:val="00CA7829"/>
    <w:rsid w:val="00CA792F"/>
    <w:rsid w:val="00CA7E64"/>
    <w:rsid w:val="00CA7F58"/>
    <w:rsid w:val="00CB00E7"/>
    <w:rsid w:val="00CB0271"/>
    <w:rsid w:val="00CB02AB"/>
    <w:rsid w:val="00CB03A6"/>
    <w:rsid w:val="00CB045C"/>
    <w:rsid w:val="00CB09A0"/>
    <w:rsid w:val="00CB0B91"/>
    <w:rsid w:val="00CB17D5"/>
    <w:rsid w:val="00CB184F"/>
    <w:rsid w:val="00CB1C40"/>
    <w:rsid w:val="00CB1C52"/>
    <w:rsid w:val="00CB1F27"/>
    <w:rsid w:val="00CB23C5"/>
    <w:rsid w:val="00CB25B1"/>
    <w:rsid w:val="00CB2740"/>
    <w:rsid w:val="00CB29FA"/>
    <w:rsid w:val="00CB2A33"/>
    <w:rsid w:val="00CB2D5F"/>
    <w:rsid w:val="00CB31AC"/>
    <w:rsid w:val="00CB3422"/>
    <w:rsid w:val="00CB3541"/>
    <w:rsid w:val="00CB36BE"/>
    <w:rsid w:val="00CB37AF"/>
    <w:rsid w:val="00CB38BD"/>
    <w:rsid w:val="00CB4165"/>
    <w:rsid w:val="00CB42FB"/>
    <w:rsid w:val="00CB4A65"/>
    <w:rsid w:val="00CB4F03"/>
    <w:rsid w:val="00CB51B5"/>
    <w:rsid w:val="00CB5272"/>
    <w:rsid w:val="00CB5C06"/>
    <w:rsid w:val="00CB5F1B"/>
    <w:rsid w:val="00CB6122"/>
    <w:rsid w:val="00CB66C8"/>
    <w:rsid w:val="00CB6B51"/>
    <w:rsid w:val="00CB6C34"/>
    <w:rsid w:val="00CB6C7B"/>
    <w:rsid w:val="00CB6EC0"/>
    <w:rsid w:val="00CB71E0"/>
    <w:rsid w:val="00CB7341"/>
    <w:rsid w:val="00CB7582"/>
    <w:rsid w:val="00CB75E7"/>
    <w:rsid w:val="00CB7721"/>
    <w:rsid w:val="00CB7920"/>
    <w:rsid w:val="00CB7AAE"/>
    <w:rsid w:val="00CB7BB6"/>
    <w:rsid w:val="00CB7E0C"/>
    <w:rsid w:val="00CB7E84"/>
    <w:rsid w:val="00CB7F66"/>
    <w:rsid w:val="00CC0036"/>
    <w:rsid w:val="00CC012D"/>
    <w:rsid w:val="00CC013E"/>
    <w:rsid w:val="00CC0278"/>
    <w:rsid w:val="00CC038A"/>
    <w:rsid w:val="00CC03E8"/>
    <w:rsid w:val="00CC08B8"/>
    <w:rsid w:val="00CC0B3C"/>
    <w:rsid w:val="00CC0BEA"/>
    <w:rsid w:val="00CC0C9A"/>
    <w:rsid w:val="00CC1080"/>
    <w:rsid w:val="00CC110F"/>
    <w:rsid w:val="00CC1764"/>
    <w:rsid w:val="00CC17D7"/>
    <w:rsid w:val="00CC193F"/>
    <w:rsid w:val="00CC1DCE"/>
    <w:rsid w:val="00CC1E96"/>
    <w:rsid w:val="00CC2081"/>
    <w:rsid w:val="00CC219F"/>
    <w:rsid w:val="00CC22AE"/>
    <w:rsid w:val="00CC231D"/>
    <w:rsid w:val="00CC2753"/>
    <w:rsid w:val="00CC2F9B"/>
    <w:rsid w:val="00CC32BF"/>
    <w:rsid w:val="00CC32E1"/>
    <w:rsid w:val="00CC337B"/>
    <w:rsid w:val="00CC3499"/>
    <w:rsid w:val="00CC37FF"/>
    <w:rsid w:val="00CC3CE5"/>
    <w:rsid w:val="00CC3FC0"/>
    <w:rsid w:val="00CC3FF0"/>
    <w:rsid w:val="00CC40E9"/>
    <w:rsid w:val="00CC4224"/>
    <w:rsid w:val="00CC42FF"/>
    <w:rsid w:val="00CC43AA"/>
    <w:rsid w:val="00CC44CF"/>
    <w:rsid w:val="00CC46AC"/>
    <w:rsid w:val="00CC4752"/>
    <w:rsid w:val="00CC4894"/>
    <w:rsid w:val="00CC48F8"/>
    <w:rsid w:val="00CC4BA3"/>
    <w:rsid w:val="00CC4CDD"/>
    <w:rsid w:val="00CC4F6C"/>
    <w:rsid w:val="00CC4FC6"/>
    <w:rsid w:val="00CC508E"/>
    <w:rsid w:val="00CC5178"/>
    <w:rsid w:val="00CC51BA"/>
    <w:rsid w:val="00CC5487"/>
    <w:rsid w:val="00CC56A1"/>
    <w:rsid w:val="00CC5701"/>
    <w:rsid w:val="00CC5E1A"/>
    <w:rsid w:val="00CC61D4"/>
    <w:rsid w:val="00CC641D"/>
    <w:rsid w:val="00CC64A8"/>
    <w:rsid w:val="00CC6673"/>
    <w:rsid w:val="00CC6730"/>
    <w:rsid w:val="00CC6A42"/>
    <w:rsid w:val="00CC6ACE"/>
    <w:rsid w:val="00CC6B03"/>
    <w:rsid w:val="00CC6B8B"/>
    <w:rsid w:val="00CC6E7C"/>
    <w:rsid w:val="00CC77B4"/>
    <w:rsid w:val="00CC7AF9"/>
    <w:rsid w:val="00CC7C8D"/>
    <w:rsid w:val="00CC7E55"/>
    <w:rsid w:val="00CC7EDA"/>
    <w:rsid w:val="00CD016E"/>
    <w:rsid w:val="00CD03A8"/>
    <w:rsid w:val="00CD06E9"/>
    <w:rsid w:val="00CD0AD0"/>
    <w:rsid w:val="00CD0C36"/>
    <w:rsid w:val="00CD0DFC"/>
    <w:rsid w:val="00CD0E65"/>
    <w:rsid w:val="00CD0E89"/>
    <w:rsid w:val="00CD0ED6"/>
    <w:rsid w:val="00CD137B"/>
    <w:rsid w:val="00CD172C"/>
    <w:rsid w:val="00CD17B4"/>
    <w:rsid w:val="00CD1D83"/>
    <w:rsid w:val="00CD1DF1"/>
    <w:rsid w:val="00CD226E"/>
    <w:rsid w:val="00CD2376"/>
    <w:rsid w:val="00CD23C7"/>
    <w:rsid w:val="00CD27CD"/>
    <w:rsid w:val="00CD288D"/>
    <w:rsid w:val="00CD2C1A"/>
    <w:rsid w:val="00CD2C3A"/>
    <w:rsid w:val="00CD3149"/>
    <w:rsid w:val="00CD317B"/>
    <w:rsid w:val="00CD3302"/>
    <w:rsid w:val="00CD3876"/>
    <w:rsid w:val="00CD3AB9"/>
    <w:rsid w:val="00CD3B5A"/>
    <w:rsid w:val="00CD3E65"/>
    <w:rsid w:val="00CD3EC0"/>
    <w:rsid w:val="00CD4000"/>
    <w:rsid w:val="00CD43CB"/>
    <w:rsid w:val="00CD4509"/>
    <w:rsid w:val="00CD4663"/>
    <w:rsid w:val="00CD48EB"/>
    <w:rsid w:val="00CD4AA3"/>
    <w:rsid w:val="00CD4F5B"/>
    <w:rsid w:val="00CD511F"/>
    <w:rsid w:val="00CD5144"/>
    <w:rsid w:val="00CD539A"/>
    <w:rsid w:val="00CD5C8D"/>
    <w:rsid w:val="00CD5F09"/>
    <w:rsid w:val="00CD66D9"/>
    <w:rsid w:val="00CD66E1"/>
    <w:rsid w:val="00CD6936"/>
    <w:rsid w:val="00CD6AE2"/>
    <w:rsid w:val="00CD6B36"/>
    <w:rsid w:val="00CD6CFE"/>
    <w:rsid w:val="00CD6D31"/>
    <w:rsid w:val="00CD7256"/>
    <w:rsid w:val="00CD778B"/>
    <w:rsid w:val="00CE0609"/>
    <w:rsid w:val="00CE080F"/>
    <w:rsid w:val="00CE08E0"/>
    <w:rsid w:val="00CE0905"/>
    <w:rsid w:val="00CE0B54"/>
    <w:rsid w:val="00CE0C11"/>
    <w:rsid w:val="00CE120B"/>
    <w:rsid w:val="00CE1548"/>
    <w:rsid w:val="00CE18F4"/>
    <w:rsid w:val="00CE1B28"/>
    <w:rsid w:val="00CE1BEB"/>
    <w:rsid w:val="00CE1D48"/>
    <w:rsid w:val="00CE1DD8"/>
    <w:rsid w:val="00CE20C2"/>
    <w:rsid w:val="00CE2386"/>
    <w:rsid w:val="00CE28AA"/>
    <w:rsid w:val="00CE29F8"/>
    <w:rsid w:val="00CE2B63"/>
    <w:rsid w:val="00CE2CB5"/>
    <w:rsid w:val="00CE2F93"/>
    <w:rsid w:val="00CE2FE1"/>
    <w:rsid w:val="00CE306C"/>
    <w:rsid w:val="00CE3239"/>
    <w:rsid w:val="00CE32BA"/>
    <w:rsid w:val="00CE36B3"/>
    <w:rsid w:val="00CE394A"/>
    <w:rsid w:val="00CE3B2C"/>
    <w:rsid w:val="00CE3C30"/>
    <w:rsid w:val="00CE3E6A"/>
    <w:rsid w:val="00CE3EA5"/>
    <w:rsid w:val="00CE3F21"/>
    <w:rsid w:val="00CE4057"/>
    <w:rsid w:val="00CE451F"/>
    <w:rsid w:val="00CE4701"/>
    <w:rsid w:val="00CE4D49"/>
    <w:rsid w:val="00CE4D79"/>
    <w:rsid w:val="00CE4EDB"/>
    <w:rsid w:val="00CE5349"/>
    <w:rsid w:val="00CE53E9"/>
    <w:rsid w:val="00CE5506"/>
    <w:rsid w:val="00CE5549"/>
    <w:rsid w:val="00CE56A7"/>
    <w:rsid w:val="00CE6578"/>
    <w:rsid w:val="00CE65A6"/>
    <w:rsid w:val="00CE687B"/>
    <w:rsid w:val="00CE6E78"/>
    <w:rsid w:val="00CE71EC"/>
    <w:rsid w:val="00CE75A7"/>
    <w:rsid w:val="00CE75A8"/>
    <w:rsid w:val="00CE75AA"/>
    <w:rsid w:val="00CE78F2"/>
    <w:rsid w:val="00CE7A57"/>
    <w:rsid w:val="00CE7A7C"/>
    <w:rsid w:val="00CE7B60"/>
    <w:rsid w:val="00CE7D8D"/>
    <w:rsid w:val="00CE7EF2"/>
    <w:rsid w:val="00CF02F1"/>
    <w:rsid w:val="00CF037A"/>
    <w:rsid w:val="00CF04B9"/>
    <w:rsid w:val="00CF0666"/>
    <w:rsid w:val="00CF07F8"/>
    <w:rsid w:val="00CF0A90"/>
    <w:rsid w:val="00CF0C0D"/>
    <w:rsid w:val="00CF0E3C"/>
    <w:rsid w:val="00CF1300"/>
    <w:rsid w:val="00CF140A"/>
    <w:rsid w:val="00CF17B3"/>
    <w:rsid w:val="00CF20AD"/>
    <w:rsid w:val="00CF21CB"/>
    <w:rsid w:val="00CF23BE"/>
    <w:rsid w:val="00CF2475"/>
    <w:rsid w:val="00CF26BE"/>
    <w:rsid w:val="00CF272F"/>
    <w:rsid w:val="00CF2884"/>
    <w:rsid w:val="00CF2CCF"/>
    <w:rsid w:val="00CF2E46"/>
    <w:rsid w:val="00CF3032"/>
    <w:rsid w:val="00CF303B"/>
    <w:rsid w:val="00CF383D"/>
    <w:rsid w:val="00CF3840"/>
    <w:rsid w:val="00CF387E"/>
    <w:rsid w:val="00CF3890"/>
    <w:rsid w:val="00CF3FAF"/>
    <w:rsid w:val="00CF3FE3"/>
    <w:rsid w:val="00CF40A1"/>
    <w:rsid w:val="00CF42F7"/>
    <w:rsid w:val="00CF4321"/>
    <w:rsid w:val="00CF43BD"/>
    <w:rsid w:val="00CF46ED"/>
    <w:rsid w:val="00CF48AA"/>
    <w:rsid w:val="00CF4A84"/>
    <w:rsid w:val="00CF58E6"/>
    <w:rsid w:val="00CF5BAD"/>
    <w:rsid w:val="00CF5D7F"/>
    <w:rsid w:val="00CF5DEF"/>
    <w:rsid w:val="00CF6125"/>
    <w:rsid w:val="00CF6877"/>
    <w:rsid w:val="00CF6A31"/>
    <w:rsid w:val="00CF6F72"/>
    <w:rsid w:val="00CF706A"/>
    <w:rsid w:val="00CF71E6"/>
    <w:rsid w:val="00CF72E0"/>
    <w:rsid w:val="00CF7691"/>
    <w:rsid w:val="00CF77B1"/>
    <w:rsid w:val="00CF7C36"/>
    <w:rsid w:val="00CF7D98"/>
    <w:rsid w:val="00CF7DF9"/>
    <w:rsid w:val="00CF7FA5"/>
    <w:rsid w:val="00D00158"/>
    <w:rsid w:val="00D001B7"/>
    <w:rsid w:val="00D00313"/>
    <w:rsid w:val="00D00778"/>
    <w:rsid w:val="00D00A63"/>
    <w:rsid w:val="00D00C45"/>
    <w:rsid w:val="00D00D02"/>
    <w:rsid w:val="00D00D23"/>
    <w:rsid w:val="00D00E11"/>
    <w:rsid w:val="00D01A0B"/>
    <w:rsid w:val="00D01B03"/>
    <w:rsid w:val="00D01B0B"/>
    <w:rsid w:val="00D01B64"/>
    <w:rsid w:val="00D01C70"/>
    <w:rsid w:val="00D01DC2"/>
    <w:rsid w:val="00D021A8"/>
    <w:rsid w:val="00D0247F"/>
    <w:rsid w:val="00D028FC"/>
    <w:rsid w:val="00D02BE6"/>
    <w:rsid w:val="00D02D90"/>
    <w:rsid w:val="00D02D94"/>
    <w:rsid w:val="00D02F52"/>
    <w:rsid w:val="00D03385"/>
    <w:rsid w:val="00D0342A"/>
    <w:rsid w:val="00D03479"/>
    <w:rsid w:val="00D03653"/>
    <w:rsid w:val="00D036FF"/>
    <w:rsid w:val="00D03BF5"/>
    <w:rsid w:val="00D0406E"/>
    <w:rsid w:val="00D041E8"/>
    <w:rsid w:val="00D04403"/>
    <w:rsid w:val="00D04483"/>
    <w:rsid w:val="00D044F4"/>
    <w:rsid w:val="00D04AC9"/>
    <w:rsid w:val="00D04DBF"/>
    <w:rsid w:val="00D04DEC"/>
    <w:rsid w:val="00D05D4E"/>
    <w:rsid w:val="00D06832"/>
    <w:rsid w:val="00D06A0A"/>
    <w:rsid w:val="00D06ADB"/>
    <w:rsid w:val="00D06B64"/>
    <w:rsid w:val="00D06BEF"/>
    <w:rsid w:val="00D0707B"/>
    <w:rsid w:val="00D07B79"/>
    <w:rsid w:val="00D07D92"/>
    <w:rsid w:val="00D07F80"/>
    <w:rsid w:val="00D102D3"/>
    <w:rsid w:val="00D10630"/>
    <w:rsid w:val="00D10644"/>
    <w:rsid w:val="00D107D3"/>
    <w:rsid w:val="00D114D9"/>
    <w:rsid w:val="00D12356"/>
    <w:rsid w:val="00D124BE"/>
    <w:rsid w:val="00D125A6"/>
    <w:rsid w:val="00D12771"/>
    <w:rsid w:val="00D127D6"/>
    <w:rsid w:val="00D129A7"/>
    <w:rsid w:val="00D12A28"/>
    <w:rsid w:val="00D12DEB"/>
    <w:rsid w:val="00D1327C"/>
    <w:rsid w:val="00D1333F"/>
    <w:rsid w:val="00D13468"/>
    <w:rsid w:val="00D14038"/>
    <w:rsid w:val="00D14042"/>
    <w:rsid w:val="00D140EB"/>
    <w:rsid w:val="00D14281"/>
    <w:rsid w:val="00D146F6"/>
    <w:rsid w:val="00D1474F"/>
    <w:rsid w:val="00D1476E"/>
    <w:rsid w:val="00D14960"/>
    <w:rsid w:val="00D14F90"/>
    <w:rsid w:val="00D15167"/>
    <w:rsid w:val="00D15813"/>
    <w:rsid w:val="00D15E9F"/>
    <w:rsid w:val="00D15FF0"/>
    <w:rsid w:val="00D162CC"/>
    <w:rsid w:val="00D16359"/>
    <w:rsid w:val="00D16498"/>
    <w:rsid w:val="00D166B4"/>
    <w:rsid w:val="00D168C1"/>
    <w:rsid w:val="00D16E21"/>
    <w:rsid w:val="00D1706D"/>
    <w:rsid w:val="00D1709D"/>
    <w:rsid w:val="00D1731D"/>
    <w:rsid w:val="00D1736B"/>
    <w:rsid w:val="00D173C7"/>
    <w:rsid w:val="00D178FF"/>
    <w:rsid w:val="00D1790F"/>
    <w:rsid w:val="00D17916"/>
    <w:rsid w:val="00D17964"/>
    <w:rsid w:val="00D17986"/>
    <w:rsid w:val="00D201CA"/>
    <w:rsid w:val="00D201CE"/>
    <w:rsid w:val="00D20356"/>
    <w:rsid w:val="00D2038C"/>
    <w:rsid w:val="00D2050B"/>
    <w:rsid w:val="00D207FD"/>
    <w:rsid w:val="00D20866"/>
    <w:rsid w:val="00D20C1B"/>
    <w:rsid w:val="00D2199A"/>
    <w:rsid w:val="00D21B1D"/>
    <w:rsid w:val="00D21BEC"/>
    <w:rsid w:val="00D22188"/>
    <w:rsid w:val="00D221B7"/>
    <w:rsid w:val="00D222D9"/>
    <w:rsid w:val="00D2232F"/>
    <w:rsid w:val="00D22370"/>
    <w:rsid w:val="00D2258D"/>
    <w:rsid w:val="00D228AC"/>
    <w:rsid w:val="00D22AA7"/>
    <w:rsid w:val="00D22EF1"/>
    <w:rsid w:val="00D2314D"/>
    <w:rsid w:val="00D23AA1"/>
    <w:rsid w:val="00D23BFA"/>
    <w:rsid w:val="00D23C24"/>
    <w:rsid w:val="00D23E87"/>
    <w:rsid w:val="00D23F3B"/>
    <w:rsid w:val="00D2427E"/>
    <w:rsid w:val="00D245A4"/>
    <w:rsid w:val="00D2465C"/>
    <w:rsid w:val="00D246C9"/>
    <w:rsid w:val="00D24A06"/>
    <w:rsid w:val="00D24D5E"/>
    <w:rsid w:val="00D24DA0"/>
    <w:rsid w:val="00D24EF5"/>
    <w:rsid w:val="00D25479"/>
    <w:rsid w:val="00D254F0"/>
    <w:rsid w:val="00D255F9"/>
    <w:rsid w:val="00D25882"/>
    <w:rsid w:val="00D25925"/>
    <w:rsid w:val="00D25F92"/>
    <w:rsid w:val="00D260A2"/>
    <w:rsid w:val="00D2623A"/>
    <w:rsid w:val="00D2663B"/>
    <w:rsid w:val="00D267D6"/>
    <w:rsid w:val="00D2682E"/>
    <w:rsid w:val="00D26854"/>
    <w:rsid w:val="00D26FCA"/>
    <w:rsid w:val="00D26FF3"/>
    <w:rsid w:val="00D27096"/>
    <w:rsid w:val="00D27182"/>
    <w:rsid w:val="00D272FD"/>
    <w:rsid w:val="00D2764E"/>
    <w:rsid w:val="00D2788C"/>
    <w:rsid w:val="00D27E64"/>
    <w:rsid w:val="00D30554"/>
    <w:rsid w:val="00D308BF"/>
    <w:rsid w:val="00D309F0"/>
    <w:rsid w:val="00D30EA0"/>
    <w:rsid w:val="00D30ED3"/>
    <w:rsid w:val="00D30F20"/>
    <w:rsid w:val="00D31032"/>
    <w:rsid w:val="00D31259"/>
    <w:rsid w:val="00D31347"/>
    <w:rsid w:val="00D31521"/>
    <w:rsid w:val="00D317B4"/>
    <w:rsid w:val="00D3202A"/>
    <w:rsid w:val="00D32380"/>
    <w:rsid w:val="00D32BC2"/>
    <w:rsid w:val="00D32CAD"/>
    <w:rsid w:val="00D32EB6"/>
    <w:rsid w:val="00D33112"/>
    <w:rsid w:val="00D334B4"/>
    <w:rsid w:val="00D33843"/>
    <w:rsid w:val="00D34192"/>
    <w:rsid w:val="00D34251"/>
    <w:rsid w:val="00D343A7"/>
    <w:rsid w:val="00D34557"/>
    <w:rsid w:val="00D34A67"/>
    <w:rsid w:val="00D34B5C"/>
    <w:rsid w:val="00D34D1A"/>
    <w:rsid w:val="00D34E96"/>
    <w:rsid w:val="00D350F2"/>
    <w:rsid w:val="00D351C1"/>
    <w:rsid w:val="00D352DC"/>
    <w:rsid w:val="00D352F2"/>
    <w:rsid w:val="00D3554C"/>
    <w:rsid w:val="00D35609"/>
    <w:rsid w:val="00D358E5"/>
    <w:rsid w:val="00D35952"/>
    <w:rsid w:val="00D35B00"/>
    <w:rsid w:val="00D35BD1"/>
    <w:rsid w:val="00D35BD4"/>
    <w:rsid w:val="00D35FD9"/>
    <w:rsid w:val="00D35FFF"/>
    <w:rsid w:val="00D3664C"/>
    <w:rsid w:val="00D3666F"/>
    <w:rsid w:val="00D36703"/>
    <w:rsid w:val="00D36989"/>
    <w:rsid w:val="00D36CCC"/>
    <w:rsid w:val="00D36E3C"/>
    <w:rsid w:val="00D36EBA"/>
    <w:rsid w:val="00D37188"/>
    <w:rsid w:val="00D37296"/>
    <w:rsid w:val="00D37BCA"/>
    <w:rsid w:val="00D37DFB"/>
    <w:rsid w:val="00D4012B"/>
    <w:rsid w:val="00D40245"/>
    <w:rsid w:val="00D408D4"/>
    <w:rsid w:val="00D4096C"/>
    <w:rsid w:val="00D412B4"/>
    <w:rsid w:val="00D41348"/>
    <w:rsid w:val="00D4136D"/>
    <w:rsid w:val="00D414A3"/>
    <w:rsid w:val="00D415AA"/>
    <w:rsid w:val="00D4164F"/>
    <w:rsid w:val="00D41660"/>
    <w:rsid w:val="00D418C3"/>
    <w:rsid w:val="00D41A82"/>
    <w:rsid w:val="00D422E1"/>
    <w:rsid w:val="00D42472"/>
    <w:rsid w:val="00D428AC"/>
    <w:rsid w:val="00D42C3D"/>
    <w:rsid w:val="00D430B0"/>
    <w:rsid w:val="00D4312E"/>
    <w:rsid w:val="00D4342E"/>
    <w:rsid w:val="00D43698"/>
    <w:rsid w:val="00D4372A"/>
    <w:rsid w:val="00D439F4"/>
    <w:rsid w:val="00D43C74"/>
    <w:rsid w:val="00D43F69"/>
    <w:rsid w:val="00D44096"/>
    <w:rsid w:val="00D440B1"/>
    <w:rsid w:val="00D44592"/>
    <w:rsid w:val="00D445C4"/>
    <w:rsid w:val="00D448A5"/>
    <w:rsid w:val="00D452D3"/>
    <w:rsid w:val="00D454DA"/>
    <w:rsid w:val="00D455C0"/>
    <w:rsid w:val="00D4582C"/>
    <w:rsid w:val="00D458D3"/>
    <w:rsid w:val="00D45AC8"/>
    <w:rsid w:val="00D45AF2"/>
    <w:rsid w:val="00D45C50"/>
    <w:rsid w:val="00D461E7"/>
    <w:rsid w:val="00D462D2"/>
    <w:rsid w:val="00D464D0"/>
    <w:rsid w:val="00D46573"/>
    <w:rsid w:val="00D465EF"/>
    <w:rsid w:val="00D46782"/>
    <w:rsid w:val="00D4680D"/>
    <w:rsid w:val="00D46EF5"/>
    <w:rsid w:val="00D47332"/>
    <w:rsid w:val="00D4760E"/>
    <w:rsid w:val="00D47A5D"/>
    <w:rsid w:val="00D47B70"/>
    <w:rsid w:val="00D47B93"/>
    <w:rsid w:val="00D47E1A"/>
    <w:rsid w:val="00D47F16"/>
    <w:rsid w:val="00D503BD"/>
    <w:rsid w:val="00D50814"/>
    <w:rsid w:val="00D50B38"/>
    <w:rsid w:val="00D510CC"/>
    <w:rsid w:val="00D514AB"/>
    <w:rsid w:val="00D515DC"/>
    <w:rsid w:val="00D51636"/>
    <w:rsid w:val="00D51665"/>
    <w:rsid w:val="00D51782"/>
    <w:rsid w:val="00D517F2"/>
    <w:rsid w:val="00D5194A"/>
    <w:rsid w:val="00D51D25"/>
    <w:rsid w:val="00D51F8B"/>
    <w:rsid w:val="00D521A7"/>
    <w:rsid w:val="00D52456"/>
    <w:rsid w:val="00D5289D"/>
    <w:rsid w:val="00D52949"/>
    <w:rsid w:val="00D52996"/>
    <w:rsid w:val="00D52B68"/>
    <w:rsid w:val="00D52DF4"/>
    <w:rsid w:val="00D52F9B"/>
    <w:rsid w:val="00D5317D"/>
    <w:rsid w:val="00D53208"/>
    <w:rsid w:val="00D538F9"/>
    <w:rsid w:val="00D53B64"/>
    <w:rsid w:val="00D53B66"/>
    <w:rsid w:val="00D53D2F"/>
    <w:rsid w:val="00D540B1"/>
    <w:rsid w:val="00D547AD"/>
    <w:rsid w:val="00D547AE"/>
    <w:rsid w:val="00D54B4F"/>
    <w:rsid w:val="00D54C06"/>
    <w:rsid w:val="00D550EF"/>
    <w:rsid w:val="00D55200"/>
    <w:rsid w:val="00D552FE"/>
    <w:rsid w:val="00D554F1"/>
    <w:rsid w:val="00D558A4"/>
    <w:rsid w:val="00D562AB"/>
    <w:rsid w:val="00D56774"/>
    <w:rsid w:val="00D568D6"/>
    <w:rsid w:val="00D5693F"/>
    <w:rsid w:val="00D56BE7"/>
    <w:rsid w:val="00D56E52"/>
    <w:rsid w:val="00D56F49"/>
    <w:rsid w:val="00D56FEA"/>
    <w:rsid w:val="00D57230"/>
    <w:rsid w:val="00D57BFE"/>
    <w:rsid w:val="00D57C48"/>
    <w:rsid w:val="00D57CE7"/>
    <w:rsid w:val="00D57CEC"/>
    <w:rsid w:val="00D57EF8"/>
    <w:rsid w:val="00D60047"/>
    <w:rsid w:val="00D605F0"/>
    <w:rsid w:val="00D6067B"/>
    <w:rsid w:val="00D60877"/>
    <w:rsid w:val="00D60F2B"/>
    <w:rsid w:val="00D6141B"/>
    <w:rsid w:val="00D6143B"/>
    <w:rsid w:val="00D616AF"/>
    <w:rsid w:val="00D61DA9"/>
    <w:rsid w:val="00D61F28"/>
    <w:rsid w:val="00D61F4A"/>
    <w:rsid w:val="00D62054"/>
    <w:rsid w:val="00D62187"/>
    <w:rsid w:val="00D62352"/>
    <w:rsid w:val="00D62355"/>
    <w:rsid w:val="00D6250B"/>
    <w:rsid w:val="00D625C8"/>
    <w:rsid w:val="00D625FF"/>
    <w:rsid w:val="00D62803"/>
    <w:rsid w:val="00D62B48"/>
    <w:rsid w:val="00D62D31"/>
    <w:rsid w:val="00D62DFA"/>
    <w:rsid w:val="00D632E4"/>
    <w:rsid w:val="00D63339"/>
    <w:rsid w:val="00D6341B"/>
    <w:rsid w:val="00D635F6"/>
    <w:rsid w:val="00D63918"/>
    <w:rsid w:val="00D63C76"/>
    <w:rsid w:val="00D63F38"/>
    <w:rsid w:val="00D63FE2"/>
    <w:rsid w:val="00D6421A"/>
    <w:rsid w:val="00D64427"/>
    <w:rsid w:val="00D6447C"/>
    <w:rsid w:val="00D644EB"/>
    <w:rsid w:val="00D645E1"/>
    <w:rsid w:val="00D64756"/>
    <w:rsid w:val="00D647F3"/>
    <w:rsid w:val="00D649B9"/>
    <w:rsid w:val="00D64FEE"/>
    <w:rsid w:val="00D65500"/>
    <w:rsid w:val="00D6566B"/>
    <w:rsid w:val="00D6579E"/>
    <w:rsid w:val="00D65BB1"/>
    <w:rsid w:val="00D66400"/>
    <w:rsid w:val="00D6667F"/>
    <w:rsid w:val="00D66AEE"/>
    <w:rsid w:val="00D66B55"/>
    <w:rsid w:val="00D66C6F"/>
    <w:rsid w:val="00D66CC6"/>
    <w:rsid w:val="00D66DCC"/>
    <w:rsid w:val="00D66DDC"/>
    <w:rsid w:val="00D66E8A"/>
    <w:rsid w:val="00D67058"/>
    <w:rsid w:val="00D6723B"/>
    <w:rsid w:val="00D673DF"/>
    <w:rsid w:val="00D6741A"/>
    <w:rsid w:val="00D67824"/>
    <w:rsid w:val="00D70442"/>
    <w:rsid w:val="00D7046F"/>
    <w:rsid w:val="00D704E2"/>
    <w:rsid w:val="00D70525"/>
    <w:rsid w:val="00D70ADC"/>
    <w:rsid w:val="00D70B4E"/>
    <w:rsid w:val="00D70C50"/>
    <w:rsid w:val="00D70E9D"/>
    <w:rsid w:val="00D70F7B"/>
    <w:rsid w:val="00D71165"/>
    <w:rsid w:val="00D715A9"/>
    <w:rsid w:val="00D7183C"/>
    <w:rsid w:val="00D71E1E"/>
    <w:rsid w:val="00D72241"/>
    <w:rsid w:val="00D7269B"/>
    <w:rsid w:val="00D726A0"/>
    <w:rsid w:val="00D72997"/>
    <w:rsid w:val="00D72AB8"/>
    <w:rsid w:val="00D72B96"/>
    <w:rsid w:val="00D72BE5"/>
    <w:rsid w:val="00D72C53"/>
    <w:rsid w:val="00D72CDC"/>
    <w:rsid w:val="00D735FA"/>
    <w:rsid w:val="00D7397F"/>
    <w:rsid w:val="00D739F3"/>
    <w:rsid w:val="00D73A27"/>
    <w:rsid w:val="00D73AE2"/>
    <w:rsid w:val="00D73BDD"/>
    <w:rsid w:val="00D73F17"/>
    <w:rsid w:val="00D73F23"/>
    <w:rsid w:val="00D73F4B"/>
    <w:rsid w:val="00D742D0"/>
    <w:rsid w:val="00D746BF"/>
    <w:rsid w:val="00D7487B"/>
    <w:rsid w:val="00D74A9C"/>
    <w:rsid w:val="00D74C83"/>
    <w:rsid w:val="00D7509F"/>
    <w:rsid w:val="00D75132"/>
    <w:rsid w:val="00D75451"/>
    <w:rsid w:val="00D75591"/>
    <w:rsid w:val="00D759A6"/>
    <w:rsid w:val="00D75D3F"/>
    <w:rsid w:val="00D75DFB"/>
    <w:rsid w:val="00D75E6A"/>
    <w:rsid w:val="00D76B5A"/>
    <w:rsid w:val="00D76D1C"/>
    <w:rsid w:val="00D76D56"/>
    <w:rsid w:val="00D7716B"/>
    <w:rsid w:val="00D77284"/>
    <w:rsid w:val="00D7766D"/>
    <w:rsid w:val="00D7778D"/>
    <w:rsid w:val="00D77AA6"/>
    <w:rsid w:val="00D77E10"/>
    <w:rsid w:val="00D802AE"/>
    <w:rsid w:val="00D802C6"/>
    <w:rsid w:val="00D804D8"/>
    <w:rsid w:val="00D805DD"/>
    <w:rsid w:val="00D80804"/>
    <w:rsid w:val="00D80AFE"/>
    <w:rsid w:val="00D80B1A"/>
    <w:rsid w:val="00D80C59"/>
    <w:rsid w:val="00D81099"/>
    <w:rsid w:val="00D8176A"/>
    <w:rsid w:val="00D81ADD"/>
    <w:rsid w:val="00D81DBD"/>
    <w:rsid w:val="00D81E8E"/>
    <w:rsid w:val="00D8250C"/>
    <w:rsid w:val="00D82875"/>
    <w:rsid w:val="00D8290D"/>
    <w:rsid w:val="00D82E25"/>
    <w:rsid w:val="00D82EA5"/>
    <w:rsid w:val="00D830B4"/>
    <w:rsid w:val="00D831BF"/>
    <w:rsid w:val="00D83200"/>
    <w:rsid w:val="00D833C6"/>
    <w:rsid w:val="00D835A6"/>
    <w:rsid w:val="00D836BF"/>
    <w:rsid w:val="00D8371A"/>
    <w:rsid w:val="00D839A0"/>
    <w:rsid w:val="00D83D04"/>
    <w:rsid w:val="00D83E9E"/>
    <w:rsid w:val="00D84B32"/>
    <w:rsid w:val="00D84C10"/>
    <w:rsid w:val="00D84D31"/>
    <w:rsid w:val="00D85167"/>
    <w:rsid w:val="00D85176"/>
    <w:rsid w:val="00D85634"/>
    <w:rsid w:val="00D8577B"/>
    <w:rsid w:val="00D8588C"/>
    <w:rsid w:val="00D85D2F"/>
    <w:rsid w:val="00D860B8"/>
    <w:rsid w:val="00D8660B"/>
    <w:rsid w:val="00D86690"/>
    <w:rsid w:val="00D86A3F"/>
    <w:rsid w:val="00D86C5B"/>
    <w:rsid w:val="00D86CAF"/>
    <w:rsid w:val="00D86CCD"/>
    <w:rsid w:val="00D86DFC"/>
    <w:rsid w:val="00D86E26"/>
    <w:rsid w:val="00D87224"/>
    <w:rsid w:val="00D87511"/>
    <w:rsid w:val="00D87577"/>
    <w:rsid w:val="00D87A5A"/>
    <w:rsid w:val="00D907D3"/>
    <w:rsid w:val="00D90AEB"/>
    <w:rsid w:val="00D90B9F"/>
    <w:rsid w:val="00D9100A"/>
    <w:rsid w:val="00D91229"/>
    <w:rsid w:val="00D9158C"/>
    <w:rsid w:val="00D9167B"/>
    <w:rsid w:val="00D9170A"/>
    <w:rsid w:val="00D917B8"/>
    <w:rsid w:val="00D917C2"/>
    <w:rsid w:val="00D918AD"/>
    <w:rsid w:val="00D91937"/>
    <w:rsid w:val="00D91977"/>
    <w:rsid w:val="00D91A8A"/>
    <w:rsid w:val="00D91D67"/>
    <w:rsid w:val="00D91E45"/>
    <w:rsid w:val="00D920AD"/>
    <w:rsid w:val="00D922E4"/>
    <w:rsid w:val="00D92366"/>
    <w:rsid w:val="00D923E8"/>
    <w:rsid w:val="00D92500"/>
    <w:rsid w:val="00D92512"/>
    <w:rsid w:val="00D9262E"/>
    <w:rsid w:val="00D926AE"/>
    <w:rsid w:val="00D926CB"/>
    <w:rsid w:val="00D9292A"/>
    <w:rsid w:val="00D92AEA"/>
    <w:rsid w:val="00D92CA2"/>
    <w:rsid w:val="00D92DDC"/>
    <w:rsid w:val="00D9326B"/>
    <w:rsid w:val="00D93628"/>
    <w:rsid w:val="00D93CF4"/>
    <w:rsid w:val="00D94030"/>
    <w:rsid w:val="00D94224"/>
    <w:rsid w:val="00D94538"/>
    <w:rsid w:val="00D9453B"/>
    <w:rsid w:val="00D9490E"/>
    <w:rsid w:val="00D94A1B"/>
    <w:rsid w:val="00D94C3E"/>
    <w:rsid w:val="00D951B0"/>
    <w:rsid w:val="00D951C2"/>
    <w:rsid w:val="00D952E6"/>
    <w:rsid w:val="00D954D8"/>
    <w:rsid w:val="00D95704"/>
    <w:rsid w:val="00D95925"/>
    <w:rsid w:val="00D95B4E"/>
    <w:rsid w:val="00D95B60"/>
    <w:rsid w:val="00D95F46"/>
    <w:rsid w:val="00D95F85"/>
    <w:rsid w:val="00D96390"/>
    <w:rsid w:val="00D965EA"/>
    <w:rsid w:val="00D96645"/>
    <w:rsid w:val="00D9691A"/>
    <w:rsid w:val="00D96B8F"/>
    <w:rsid w:val="00D96DE4"/>
    <w:rsid w:val="00D970B3"/>
    <w:rsid w:val="00D970E0"/>
    <w:rsid w:val="00D9786D"/>
    <w:rsid w:val="00D97AE6"/>
    <w:rsid w:val="00D97C03"/>
    <w:rsid w:val="00D97DB2"/>
    <w:rsid w:val="00D97F32"/>
    <w:rsid w:val="00DA05F1"/>
    <w:rsid w:val="00DA084B"/>
    <w:rsid w:val="00DA0B04"/>
    <w:rsid w:val="00DA0C79"/>
    <w:rsid w:val="00DA0E0B"/>
    <w:rsid w:val="00DA1054"/>
    <w:rsid w:val="00DA16F1"/>
    <w:rsid w:val="00DA185E"/>
    <w:rsid w:val="00DA18BB"/>
    <w:rsid w:val="00DA1AD4"/>
    <w:rsid w:val="00DA208A"/>
    <w:rsid w:val="00DA248C"/>
    <w:rsid w:val="00DA27BA"/>
    <w:rsid w:val="00DA2BF9"/>
    <w:rsid w:val="00DA2EE4"/>
    <w:rsid w:val="00DA3527"/>
    <w:rsid w:val="00DA369F"/>
    <w:rsid w:val="00DA3918"/>
    <w:rsid w:val="00DA3B00"/>
    <w:rsid w:val="00DA3D92"/>
    <w:rsid w:val="00DA3F0C"/>
    <w:rsid w:val="00DA42E9"/>
    <w:rsid w:val="00DA42EF"/>
    <w:rsid w:val="00DA46F8"/>
    <w:rsid w:val="00DA4803"/>
    <w:rsid w:val="00DA4E3C"/>
    <w:rsid w:val="00DA501F"/>
    <w:rsid w:val="00DA5411"/>
    <w:rsid w:val="00DA5549"/>
    <w:rsid w:val="00DA55C6"/>
    <w:rsid w:val="00DA56F0"/>
    <w:rsid w:val="00DA57F3"/>
    <w:rsid w:val="00DA5916"/>
    <w:rsid w:val="00DA5A32"/>
    <w:rsid w:val="00DA5B8A"/>
    <w:rsid w:val="00DA5DE6"/>
    <w:rsid w:val="00DA5E40"/>
    <w:rsid w:val="00DA67B8"/>
    <w:rsid w:val="00DA69D1"/>
    <w:rsid w:val="00DA69D8"/>
    <w:rsid w:val="00DA6A22"/>
    <w:rsid w:val="00DA6BC1"/>
    <w:rsid w:val="00DA6C93"/>
    <w:rsid w:val="00DA72CE"/>
    <w:rsid w:val="00DA7493"/>
    <w:rsid w:val="00DA76E6"/>
    <w:rsid w:val="00DA7D59"/>
    <w:rsid w:val="00DA7F98"/>
    <w:rsid w:val="00DB0AC8"/>
    <w:rsid w:val="00DB0FD9"/>
    <w:rsid w:val="00DB15D4"/>
    <w:rsid w:val="00DB1849"/>
    <w:rsid w:val="00DB1EA3"/>
    <w:rsid w:val="00DB1F3E"/>
    <w:rsid w:val="00DB1FFC"/>
    <w:rsid w:val="00DB2335"/>
    <w:rsid w:val="00DB2988"/>
    <w:rsid w:val="00DB2993"/>
    <w:rsid w:val="00DB2A7A"/>
    <w:rsid w:val="00DB2A99"/>
    <w:rsid w:val="00DB2DBA"/>
    <w:rsid w:val="00DB347C"/>
    <w:rsid w:val="00DB35C8"/>
    <w:rsid w:val="00DB3628"/>
    <w:rsid w:val="00DB397F"/>
    <w:rsid w:val="00DB3B54"/>
    <w:rsid w:val="00DB3D8A"/>
    <w:rsid w:val="00DB4265"/>
    <w:rsid w:val="00DB4447"/>
    <w:rsid w:val="00DB49B0"/>
    <w:rsid w:val="00DB4DD2"/>
    <w:rsid w:val="00DB5704"/>
    <w:rsid w:val="00DB59DF"/>
    <w:rsid w:val="00DB5B47"/>
    <w:rsid w:val="00DB5D52"/>
    <w:rsid w:val="00DB5D54"/>
    <w:rsid w:val="00DB5DCF"/>
    <w:rsid w:val="00DB5E29"/>
    <w:rsid w:val="00DB65F5"/>
    <w:rsid w:val="00DB669E"/>
    <w:rsid w:val="00DB66D5"/>
    <w:rsid w:val="00DB6779"/>
    <w:rsid w:val="00DB6A17"/>
    <w:rsid w:val="00DB6C81"/>
    <w:rsid w:val="00DB728C"/>
    <w:rsid w:val="00DB74B3"/>
    <w:rsid w:val="00DB75A7"/>
    <w:rsid w:val="00DB7675"/>
    <w:rsid w:val="00DB76A6"/>
    <w:rsid w:val="00DB7D03"/>
    <w:rsid w:val="00DB7EF6"/>
    <w:rsid w:val="00DC034B"/>
    <w:rsid w:val="00DC095D"/>
    <w:rsid w:val="00DC0AA7"/>
    <w:rsid w:val="00DC0ECC"/>
    <w:rsid w:val="00DC0F88"/>
    <w:rsid w:val="00DC110D"/>
    <w:rsid w:val="00DC1B1D"/>
    <w:rsid w:val="00DC21AA"/>
    <w:rsid w:val="00DC27E7"/>
    <w:rsid w:val="00DC2983"/>
    <w:rsid w:val="00DC2BB4"/>
    <w:rsid w:val="00DC2BC4"/>
    <w:rsid w:val="00DC2D91"/>
    <w:rsid w:val="00DC30A6"/>
    <w:rsid w:val="00DC3109"/>
    <w:rsid w:val="00DC32EC"/>
    <w:rsid w:val="00DC3498"/>
    <w:rsid w:val="00DC3591"/>
    <w:rsid w:val="00DC369D"/>
    <w:rsid w:val="00DC36F6"/>
    <w:rsid w:val="00DC3903"/>
    <w:rsid w:val="00DC3998"/>
    <w:rsid w:val="00DC3A81"/>
    <w:rsid w:val="00DC3F75"/>
    <w:rsid w:val="00DC3FBB"/>
    <w:rsid w:val="00DC43FF"/>
    <w:rsid w:val="00DC4633"/>
    <w:rsid w:val="00DC4C4B"/>
    <w:rsid w:val="00DC5842"/>
    <w:rsid w:val="00DC59EB"/>
    <w:rsid w:val="00DC5CDF"/>
    <w:rsid w:val="00DC5FFC"/>
    <w:rsid w:val="00DC6073"/>
    <w:rsid w:val="00DC6242"/>
    <w:rsid w:val="00DC673A"/>
    <w:rsid w:val="00DC68EF"/>
    <w:rsid w:val="00DC692A"/>
    <w:rsid w:val="00DC6AD4"/>
    <w:rsid w:val="00DC6DC0"/>
    <w:rsid w:val="00DC6E75"/>
    <w:rsid w:val="00DC6FDE"/>
    <w:rsid w:val="00DC7D71"/>
    <w:rsid w:val="00DD03B4"/>
    <w:rsid w:val="00DD06DD"/>
    <w:rsid w:val="00DD0752"/>
    <w:rsid w:val="00DD10D1"/>
    <w:rsid w:val="00DD154B"/>
    <w:rsid w:val="00DD17EF"/>
    <w:rsid w:val="00DD1BF9"/>
    <w:rsid w:val="00DD250A"/>
    <w:rsid w:val="00DD25D3"/>
    <w:rsid w:val="00DD297B"/>
    <w:rsid w:val="00DD2E05"/>
    <w:rsid w:val="00DD2F5F"/>
    <w:rsid w:val="00DD3599"/>
    <w:rsid w:val="00DD3725"/>
    <w:rsid w:val="00DD38D8"/>
    <w:rsid w:val="00DD3C68"/>
    <w:rsid w:val="00DD3E53"/>
    <w:rsid w:val="00DD4334"/>
    <w:rsid w:val="00DD450A"/>
    <w:rsid w:val="00DD46F9"/>
    <w:rsid w:val="00DD4BBF"/>
    <w:rsid w:val="00DD539A"/>
    <w:rsid w:val="00DD5437"/>
    <w:rsid w:val="00DD54DF"/>
    <w:rsid w:val="00DD55AA"/>
    <w:rsid w:val="00DD5877"/>
    <w:rsid w:val="00DD59CB"/>
    <w:rsid w:val="00DD5B4F"/>
    <w:rsid w:val="00DD5F12"/>
    <w:rsid w:val="00DD5F5E"/>
    <w:rsid w:val="00DD62D4"/>
    <w:rsid w:val="00DD6375"/>
    <w:rsid w:val="00DD65B9"/>
    <w:rsid w:val="00DD6ABE"/>
    <w:rsid w:val="00DD6BFE"/>
    <w:rsid w:val="00DD6DDC"/>
    <w:rsid w:val="00DD71B0"/>
    <w:rsid w:val="00DD71CF"/>
    <w:rsid w:val="00DD7309"/>
    <w:rsid w:val="00DD7336"/>
    <w:rsid w:val="00DD74C0"/>
    <w:rsid w:val="00DD76DA"/>
    <w:rsid w:val="00DD7928"/>
    <w:rsid w:val="00DD7B34"/>
    <w:rsid w:val="00DD7B7C"/>
    <w:rsid w:val="00DD7C36"/>
    <w:rsid w:val="00DD7DEC"/>
    <w:rsid w:val="00DD7E17"/>
    <w:rsid w:val="00DE02B0"/>
    <w:rsid w:val="00DE04B0"/>
    <w:rsid w:val="00DE04DA"/>
    <w:rsid w:val="00DE0882"/>
    <w:rsid w:val="00DE09EC"/>
    <w:rsid w:val="00DE0A8A"/>
    <w:rsid w:val="00DE0B06"/>
    <w:rsid w:val="00DE0B0A"/>
    <w:rsid w:val="00DE0CE3"/>
    <w:rsid w:val="00DE0FA1"/>
    <w:rsid w:val="00DE1213"/>
    <w:rsid w:val="00DE1291"/>
    <w:rsid w:val="00DE1444"/>
    <w:rsid w:val="00DE17B3"/>
    <w:rsid w:val="00DE1C21"/>
    <w:rsid w:val="00DE1D73"/>
    <w:rsid w:val="00DE27EA"/>
    <w:rsid w:val="00DE289E"/>
    <w:rsid w:val="00DE2C10"/>
    <w:rsid w:val="00DE2CDE"/>
    <w:rsid w:val="00DE2FEC"/>
    <w:rsid w:val="00DE33C0"/>
    <w:rsid w:val="00DE34A4"/>
    <w:rsid w:val="00DE3589"/>
    <w:rsid w:val="00DE4268"/>
    <w:rsid w:val="00DE4533"/>
    <w:rsid w:val="00DE4A91"/>
    <w:rsid w:val="00DE4EC9"/>
    <w:rsid w:val="00DE51B7"/>
    <w:rsid w:val="00DE51C6"/>
    <w:rsid w:val="00DE52B1"/>
    <w:rsid w:val="00DE540F"/>
    <w:rsid w:val="00DE56AC"/>
    <w:rsid w:val="00DE58B0"/>
    <w:rsid w:val="00DE5980"/>
    <w:rsid w:val="00DE5B01"/>
    <w:rsid w:val="00DE5CF0"/>
    <w:rsid w:val="00DE5EAA"/>
    <w:rsid w:val="00DE60B7"/>
    <w:rsid w:val="00DE6395"/>
    <w:rsid w:val="00DE6648"/>
    <w:rsid w:val="00DE6788"/>
    <w:rsid w:val="00DE68FA"/>
    <w:rsid w:val="00DE712B"/>
    <w:rsid w:val="00DE7BEF"/>
    <w:rsid w:val="00DE7BF1"/>
    <w:rsid w:val="00DE7DF0"/>
    <w:rsid w:val="00DF01F4"/>
    <w:rsid w:val="00DF0209"/>
    <w:rsid w:val="00DF04A3"/>
    <w:rsid w:val="00DF0510"/>
    <w:rsid w:val="00DF0907"/>
    <w:rsid w:val="00DF0C68"/>
    <w:rsid w:val="00DF0CCB"/>
    <w:rsid w:val="00DF0FDE"/>
    <w:rsid w:val="00DF1131"/>
    <w:rsid w:val="00DF11B8"/>
    <w:rsid w:val="00DF14DD"/>
    <w:rsid w:val="00DF176A"/>
    <w:rsid w:val="00DF1B82"/>
    <w:rsid w:val="00DF1B8E"/>
    <w:rsid w:val="00DF1C08"/>
    <w:rsid w:val="00DF1F2C"/>
    <w:rsid w:val="00DF1F4F"/>
    <w:rsid w:val="00DF2065"/>
    <w:rsid w:val="00DF2405"/>
    <w:rsid w:val="00DF241B"/>
    <w:rsid w:val="00DF2609"/>
    <w:rsid w:val="00DF29BC"/>
    <w:rsid w:val="00DF29EC"/>
    <w:rsid w:val="00DF2A2E"/>
    <w:rsid w:val="00DF2A6B"/>
    <w:rsid w:val="00DF2AD3"/>
    <w:rsid w:val="00DF2DAA"/>
    <w:rsid w:val="00DF2DCD"/>
    <w:rsid w:val="00DF3056"/>
    <w:rsid w:val="00DF33FD"/>
    <w:rsid w:val="00DF3646"/>
    <w:rsid w:val="00DF3DC6"/>
    <w:rsid w:val="00DF4178"/>
    <w:rsid w:val="00DF4312"/>
    <w:rsid w:val="00DF4330"/>
    <w:rsid w:val="00DF45E4"/>
    <w:rsid w:val="00DF4631"/>
    <w:rsid w:val="00DF46BF"/>
    <w:rsid w:val="00DF47C0"/>
    <w:rsid w:val="00DF4AE5"/>
    <w:rsid w:val="00DF4BF2"/>
    <w:rsid w:val="00DF4C4F"/>
    <w:rsid w:val="00DF4E3C"/>
    <w:rsid w:val="00DF53D7"/>
    <w:rsid w:val="00DF5A6D"/>
    <w:rsid w:val="00DF5D29"/>
    <w:rsid w:val="00DF5DA9"/>
    <w:rsid w:val="00DF60AD"/>
    <w:rsid w:val="00DF6215"/>
    <w:rsid w:val="00DF6634"/>
    <w:rsid w:val="00DF6852"/>
    <w:rsid w:val="00DF6CA7"/>
    <w:rsid w:val="00DF72F1"/>
    <w:rsid w:val="00DF7599"/>
    <w:rsid w:val="00DF7788"/>
    <w:rsid w:val="00DF7928"/>
    <w:rsid w:val="00DF7AB5"/>
    <w:rsid w:val="00DF7DA0"/>
    <w:rsid w:val="00E00112"/>
    <w:rsid w:val="00E0014A"/>
    <w:rsid w:val="00E001D0"/>
    <w:rsid w:val="00E001E5"/>
    <w:rsid w:val="00E00255"/>
    <w:rsid w:val="00E00260"/>
    <w:rsid w:val="00E00320"/>
    <w:rsid w:val="00E00329"/>
    <w:rsid w:val="00E00429"/>
    <w:rsid w:val="00E00453"/>
    <w:rsid w:val="00E00529"/>
    <w:rsid w:val="00E00705"/>
    <w:rsid w:val="00E009E8"/>
    <w:rsid w:val="00E00A0B"/>
    <w:rsid w:val="00E00D3C"/>
    <w:rsid w:val="00E0119A"/>
    <w:rsid w:val="00E011D3"/>
    <w:rsid w:val="00E015D1"/>
    <w:rsid w:val="00E01E0E"/>
    <w:rsid w:val="00E01EE7"/>
    <w:rsid w:val="00E02134"/>
    <w:rsid w:val="00E02180"/>
    <w:rsid w:val="00E02368"/>
    <w:rsid w:val="00E024D5"/>
    <w:rsid w:val="00E02629"/>
    <w:rsid w:val="00E027F2"/>
    <w:rsid w:val="00E0283C"/>
    <w:rsid w:val="00E02E05"/>
    <w:rsid w:val="00E02E19"/>
    <w:rsid w:val="00E031B4"/>
    <w:rsid w:val="00E032B0"/>
    <w:rsid w:val="00E032F7"/>
    <w:rsid w:val="00E0350E"/>
    <w:rsid w:val="00E035EC"/>
    <w:rsid w:val="00E0360A"/>
    <w:rsid w:val="00E0367F"/>
    <w:rsid w:val="00E038DC"/>
    <w:rsid w:val="00E039B6"/>
    <w:rsid w:val="00E03DCC"/>
    <w:rsid w:val="00E03E92"/>
    <w:rsid w:val="00E04122"/>
    <w:rsid w:val="00E04288"/>
    <w:rsid w:val="00E0448D"/>
    <w:rsid w:val="00E0479C"/>
    <w:rsid w:val="00E04845"/>
    <w:rsid w:val="00E0487A"/>
    <w:rsid w:val="00E048FA"/>
    <w:rsid w:val="00E04B27"/>
    <w:rsid w:val="00E04BCF"/>
    <w:rsid w:val="00E04BF2"/>
    <w:rsid w:val="00E04DF2"/>
    <w:rsid w:val="00E05098"/>
    <w:rsid w:val="00E058E6"/>
    <w:rsid w:val="00E05ACA"/>
    <w:rsid w:val="00E05E9A"/>
    <w:rsid w:val="00E05EC9"/>
    <w:rsid w:val="00E05F87"/>
    <w:rsid w:val="00E06236"/>
    <w:rsid w:val="00E06423"/>
    <w:rsid w:val="00E06643"/>
    <w:rsid w:val="00E066FF"/>
    <w:rsid w:val="00E067F2"/>
    <w:rsid w:val="00E06A92"/>
    <w:rsid w:val="00E06A93"/>
    <w:rsid w:val="00E06C6C"/>
    <w:rsid w:val="00E06CDF"/>
    <w:rsid w:val="00E06E29"/>
    <w:rsid w:val="00E073C0"/>
    <w:rsid w:val="00E074E1"/>
    <w:rsid w:val="00E075D3"/>
    <w:rsid w:val="00E075E2"/>
    <w:rsid w:val="00E075F7"/>
    <w:rsid w:val="00E079F9"/>
    <w:rsid w:val="00E104B9"/>
    <w:rsid w:val="00E104FC"/>
    <w:rsid w:val="00E10959"/>
    <w:rsid w:val="00E10E0D"/>
    <w:rsid w:val="00E10FEF"/>
    <w:rsid w:val="00E11666"/>
    <w:rsid w:val="00E11D29"/>
    <w:rsid w:val="00E1200E"/>
    <w:rsid w:val="00E12247"/>
    <w:rsid w:val="00E1244F"/>
    <w:rsid w:val="00E12537"/>
    <w:rsid w:val="00E12C54"/>
    <w:rsid w:val="00E12CD6"/>
    <w:rsid w:val="00E12D1F"/>
    <w:rsid w:val="00E12E23"/>
    <w:rsid w:val="00E130C4"/>
    <w:rsid w:val="00E13231"/>
    <w:rsid w:val="00E13751"/>
    <w:rsid w:val="00E13DA6"/>
    <w:rsid w:val="00E1461F"/>
    <w:rsid w:val="00E148B9"/>
    <w:rsid w:val="00E148E3"/>
    <w:rsid w:val="00E14A25"/>
    <w:rsid w:val="00E14D12"/>
    <w:rsid w:val="00E15883"/>
    <w:rsid w:val="00E159C0"/>
    <w:rsid w:val="00E15A57"/>
    <w:rsid w:val="00E15C6E"/>
    <w:rsid w:val="00E15CF5"/>
    <w:rsid w:val="00E15D59"/>
    <w:rsid w:val="00E15EDB"/>
    <w:rsid w:val="00E160D7"/>
    <w:rsid w:val="00E16170"/>
    <w:rsid w:val="00E16C02"/>
    <w:rsid w:val="00E16DC9"/>
    <w:rsid w:val="00E16EA0"/>
    <w:rsid w:val="00E17044"/>
    <w:rsid w:val="00E173EA"/>
    <w:rsid w:val="00E179FA"/>
    <w:rsid w:val="00E2020D"/>
    <w:rsid w:val="00E2033A"/>
    <w:rsid w:val="00E204EB"/>
    <w:rsid w:val="00E2086B"/>
    <w:rsid w:val="00E209C0"/>
    <w:rsid w:val="00E20BFE"/>
    <w:rsid w:val="00E20DFB"/>
    <w:rsid w:val="00E2117E"/>
    <w:rsid w:val="00E21907"/>
    <w:rsid w:val="00E21B81"/>
    <w:rsid w:val="00E21BEB"/>
    <w:rsid w:val="00E21DF2"/>
    <w:rsid w:val="00E2216B"/>
    <w:rsid w:val="00E222BE"/>
    <w:rsid w:val="00E227DA"/>
    <w:rsid w:val="00E229E2"/>
    <w:rsid w:val="00E22C55"/>
    <w:rsid w:val="00E22C97"/>
    <w:rsid w:val="00E230AB"/>
    <w:rsid w:val="00E2374C"/>
    <w:rsid w:val="00E237EF"/>
    <w:rsid w:val="00E239FE"/>
    <w:rsid w:val="00E23AD1"/>
    <w:rsid w:val="00E23AE0"/>
    <w:rsid w:val="00E23E12"/>
    <w:rsid w:val="00E23F2F"/>
    <w:rsid w:val="00E24348"/>
    <w:rsid w:val="00E246E8"/>
    <w:rsid w:val="00E248A8"/>
    <w:rsid w:val="00E24A53"/>
    <w:rsid w:val="00E24CE9"/>
    <w:rsid w:val="00E2507B"/>
    <w:rsid w:val="00E252DD"/>
    <w:rsid w:val="00E25333"/>
    <w:rsid w:val="00E25335"/>
    <w:rsid w:val="00E2537C"/>
    <w:rsid w:val="00E254D7"/>
    <w:rsid w:val="00E255CF"/>
    <w:rsid w:val="00E2584C"/>
    <w:rsid w:val="00E25E24"/>
    <w:rsid w:val="00E25E71"/>
    <w:rsid w:val="00E26478"/>
    <w:rsid w:val="00E264F7"/>
    <w:rsid w:val="00E26AAB"/>
    <w:rsid w:val="00E26DCF"/>
    <w:rsid w:val="00E26F6B"/>
    <w:rsid w:val="00E270CA"/>
    <w:rsid w:val="00E271B4"/>
    <w:rsid w:val="00E2723B"/>
    <w:rsid w:val="00E2738E"/>
    <w:rsid w:val="00E274C0"/>
    <w:rsid w:val="00E277AB"/>
    <w:rsid w:val="00E27B43"/>
    <w:rsid w:val="00E27F3A"/>
    <w:rsid w:val="00E27F44"/>
    <w:rsid w:val="00E30027"/>
    <w:rsid w:val="00E30084"/>
    <w:rsid w:val="00E308CC"/>
    <w:rsid w:val="00E30BBC"/>
    <w:rsid w:val="00E30DDC"/>
    <w:rsid w:val="00E312A6"/>
    <w:rsid w:val="00E31463"/>
    <w:rsid w:val="00E315C7"/>
    <w:rsid w:val="00E3161E"/>
    <w:rsid w:val="00E31655"/>
    <w:rsid w:val="00E31697"/>
    <w:rsid w:val="00E316A4"/>
    <w:rsid w:val="00E316DE"/>
    <w:rsid w:val="00E318AF"/>
    <w:rsid w:val="00E31EBF"/>
    <w:rsid w:val="00E3213C"/>
    <w:rsid w:val="00E321CB"/>
    <w:rsid w:val="00E32215"/>
    <w:rsid w:val="00E322DC"/>
    <w:rsid w:val="00E32346"/>
    <w:rsid w:val="00E3266D"/>
    <w:rsid w:val="00E3272F"/>
    <w:rsid w:val="00E32E1D"/>
    <w:rsid w:val="00E3336D"/>
    <w:rsid w:val="00E3337C"/>
    <w:rsid w:val="00E33573"/>
    <w:rsid w:val="00E33784"/>
    <w:rsid w:val="00E33B25"/>
    <w:rsid w:val="00E33F02"/>
    <w:rsid w:val="00E3407C"/>
    <w:rsid w:val="00E3416E"/>
    <w:rsid w:val="00E343B6"/>
    <w:rsid w:val="00E34437"/>
    <w:rsid w:val="00E34520"/>
    <w:rsid w:val="00E347E0"/>
    <w:rsid w:val="00E3490A"/>
    <w:rsid w:val="00E34F7F"/>
    <w:rsid w:val="00E3557D"/>
    <w:rsid w:val="00E355B1"/>
    <w:rsid w:val="00E355FB"/>
    <w:rsid w:val="00E3583B"/>
    <w:rsid w:val="00E358BE"/>
    <w:rsid w:val="00E358FA"/>
    <w:rsid w:val="00E35BD5"/>
    <w:rsid w:val="00E35D2D"/>
    <w:rsid w:val="00E35DB5"/>
    <w:rsid w:val="00E35E27"/>
    <w:rsid w:val="00E35FF1"/>
    <w:rsid w:val="00E36210"/>
    <w:rsid w:val="00E36358"/>
    <w:rsid w:val="00E364DF"/>
    <w:rsid w:val="00E36535"/>
    <w:rsid w:val="00E368FC"/>
    <w:rsid w:val="00E36D8C"/>
    <w:rsid w:val="00E373B6"/>
    <w:rsid w:val="00E37456"/>
    <w:rsid w:val="00E374A3"/>
    <w:rsid w:val="00E37951"/>
    <w:rsid w:val="00E37BC9"/>
    <w:rsid w:val="00E37C11"/>
    <w:rsid w:val="00E37CCA"/>
    <w:rsid w:val="00E37E27"/>
    <w:rsid w:val="00E37FB1"/>
    <w:rsid w:val="00E40445"/>
    <w:rsid w:val="00E40672"/>
    <w:rsid w:val="00E4073C"/>
    <w:rsid w:val="00E40872"/>
    <w:rsid w:val="00E41012"/>
    <w:rsid w:val="00E41026"/>
    <w:rsid w:val="00E41304"/>
    <w:rsid w:val="00E41340"/>
    <w:rsid w:val="00E4134C"/>
    <w:rsid w:val="00E415C1"/>
    <w:rsid w:val="00E41844"/>
    <w:rsid w:val="00E41A45"/>
    <w:rsid w:val="00E41C35"/>
    <w:rsid w:val="00E41D0F"/>
    <w:rsid w:val="00E41D48"/>
    <w:rsid w:val="00E41D65"/>
    <w:rsid w:val="00E41FF9"/>
    <w:rsid w:val="00E42095"/>
    <w:rsid w:val="00E4222F"/>
    <w:rsid w:val="00E422B4"/>
    <w:rsid w:val="00E42644"/>
    <w:rsid w:val="00E42DEB"/>
    <w:rsid w:val="00E43777"/>
    <w:rsid w:val="00E4393A"/>
    <w:rsid w:val="00E43BC0"/>
    <w:rsid w:val="00E43F15"/>
    <w:rsid w:val="00E43F66"/>
    <w:rsid w:val="00E44093"/>
    <w:rsid w:val="00E44155"/>
    <w:rsid w:val="00E449F1"/>
    <w:rsid w:val="00E44DDB"/>
    <w:rsid w:val="00E44FA0"/>
    <w:rsid w:val="00E451D0"/>
    <w:rsid w:val="00E45419"/>
    <w:rsid w:val="00E454B5"/>
    <w:rsid w:val="00E45566"/>
    <w:rsid w:val="00E459E6"/>
    <w:rsid w:val="00E45A7F"/>
    <w:rsid w:val="00E45E60"/>
    <w:rsid w:val="00E45FAC"/>
    <w:rsid w:val="00E4613D"/>
    <w:rsid w:val="00E4643A"/>
    <w:rsid w:val="00E46702"/>
    <w:rsid w:val="00E46C12"/>
    <w:rsid w:val="00E46C4A"/>
    <w:rsid w:val="00E47563"/>
    <w:rsid w:val="00E4766A"/>
    <w:rsid w:val="00E4781F"/>
    <w:rsid w:val="00E47CB6"/>
    <w:rsid w:val="00E47FE9"/>
    <w:rsid w:val="00E47FF1"/>
    <w:rsid w:val="00E506B4"/>
    <w:rsid w:val="00E50F61"/>
    <w:rsid w:val="00E5119C"/>
    <w:rsid w:val="00E5130A"/>
    <w:rsid w:val="00E513AF"/>
    <w:rsid w:val="00E51C38"/>
    <w:rsid w:val="00E51CC3"/>
    <w:rsid w:val="00E51E62"/>
    <w:rsid w:val="00E51FCC"/>
    <w:rsid w:val="00E52196"/>
    <w:rsid w:val="00E522EA"/>
    <w:rsid w:val="00E5237B"/>
    <w:rsid w:val="00E52643"/>
    <w:rsid w:val="00E528A6"/>
    <w:rsid w:val="00E52906"/>
    <w:rsid w:val="00E52CBF"/>
    <w:rsid w:val="00E52F66"/>
    <w:rsid w:val="00E5308A"/>
    <w:rsid w:val="00E53206"/>
    <w:rsid w:val="00E53308"/>
    <w:rsid w:val="00E534FD"/>
    <w:rsid w:val="00E53E95"/>
    <w:rsid w:val="00E53F9C"/>
    <w:rsid w:val="00E54172"/>
    <w:rsid w:val="00E544AE"/>
    <w:rsid w:val="00E5454E"/>
    <w:rsid w:val="00E54570"/>
    <w:rsid w:val="00E547EC"/>
    <w:rsid w:val="00E548C4"/>
    <w:rsid w:val="00E54AEE"/>
    <w:rsid w:val="00E54BDB"/>
    <w:rsid w:val="00E54C5E"/>
    <w:rsid w:val="00E54D12"/>
    <w:rsid w:val="00E54EF5"/>
    <w:rsid w:val="00E54F07"/>
    <w:rsid w:val="00E552E5"/>
    <w:rsid w:val="00E556AB"/>
    <w:rsid w:val="00E55B3F"/>
    <w:rsid w:val="00E55D5C"/>
    <w:rsid w:val="00E55D8D"/>
    <w:rsid w:val="00E55E82"/>
    <w:rsid w:val="00E56790"/>
    <w:rsid w:val="00E567AE"/>
    <w:rsid w:val="00E56D2A"/>
    <w:rsid w:val="00E56F2C"/>
    <w:rsid w:val="00E56FDB"/>
    <w:rsid w:val="00E57180"/>
    <w:rsid w:val="00E5747A"/>
    <w:rsid w:val="00E5762C"/>
    <w:rsid w:val="00E57786"/>
    <w:rsid w:val="00E57B93"/>
    <w:rsid w:val="00E57C92"/>
    <w:rsid w:val="00E57DA0"/>
    <w:rsid w:val="00E57FA8"/>
    <w:rsid w:val="00E60398"/>
    <w:rsid w:val="00E6064A"/>
    <w:rsid w:val="00E608E3"/>
    <w:rsid w:val="00E60AB8"/>
    <w:rsid w:val="00E60B4F"/>
    <w:rsid w:val="00E6100C"/>
    <w:rsid w:val="00E610B4"/>
    <w:rsid w:val="00E61688"/>
    <w:rsid w:val="00E6198A"/>
    <w:rsid w:val="00E619DF"/>
    <w:rsid w:val="00E61AC1"/>
    <w:rsid w:val="00E61B43"/>
    <w:rsid w:val="00E61C46"/>
    <w:rsid w:val="00E61E4A"/>
    <w:rsid w:val="00E6203A"/>
    <w:rsid w:val="00E622CA"/>
    <w:rsid w:val="00E6270B"/>
    <w:rsid w:val="00E6319D"/>
    <w:rsid w:val="00E639D3"/>
    <w:rsid w:val="00E63AC2"/>
    <w:rsid w:val="00E63D95"/>
    <w:rsid w:val="00E63FE6"/>
    <w:rsid w:val="00E6423A"/>
    <w:rsid w:val="00E643B9"/>
    <w:rsid w:val="00E64428"/>
    <w:rsid w:val="00E645AF"/>
    <w:rsid w:val="00E646DA"/>
    <w:rsid w:val="00E6472F"/>
    <w:rsid w:val="00E64988"/>
    <w:rsid w:val="00E64C84"/>
    <w:rsid w:val="00E64E32"/>
    <w:rsid w:val="00E654BA"/>
    <w:rsid w:val="00E65596"/>
    <w:rsid w:val="00E65660"/>
    <w:rsid w:val="00E65A0A"/>
    <w:rsid w:val="00E65D1C"/>
    <w:rsid w:val="00E66116"/>
    <w:rsid w:val="00E6696B"/>
    <w:rsid w:val="00E66CC2"/>
    <w:rsid w:val="00E66E7E"/>
    <w:rsid w:val="00E66F50"/>
    <w:rsid w:val="00E670A8"/>
    <w:rsid w:val="00E671DC"/>
    <w:rsid w:val="00E672E5"/>
    <w:rsid w:val="00E679CE"/>
    <w:rsid w:val="00E67FD5"/>
    <w:rsid w:val="00E700CB"/>
    <w:rsid w:val="00E705D2"/>
    <w:rsid w:val="00E70715"/>
    <w:rsid w:val="00E70827"/>
    <w:rsid w:val="00E71233"/>
    <w:rsid w:val="00E7189C"/>
    <w:rsid w:val="00E71B95"/>
    <w:rsid w:val="00E71C26"/>
    <w:rsid w:val="00E720A5"/>
    <w:rsid w:val="00E7272F"/>
    <w:rsid w:val="00E728FA"/>
    <w:rsid w:val="00E732C9"/>
    <w:rsid w:val="00E73579"/>
    <w:rsid w:val="00E7390D"/>
    <w:rsid w:val="00E73DBC"/>
    <w:rsid w:val="00E74C0A"/>
    <w:rsid w:val="00E74E8B"/>
    <w:rsid w:val="00E75147"/>
    <w:rsid w:val="00E758DF"/>
    <w:rsid w:val="00E75AAD"/>
    <w:rsid w:val="00E75E42"/>
    <w:rsid w:val="00E762AE"/>
    <w:rsid w:val="00E762D3"/>
    <w:rsid w:val="00E766E0"/>
    <w:rsid w:val="00E76BF6"/>
    <w:rsid w:val="00E76CF7"/>
    <w:rsid w:val="00E76F2C"/>
    <w:rsid w:val="00E76FAA"/>
    <w:rsid w:val="00E77545"/>
    <w:rsid w:val="00E776D0"/>
    <w:rsid w:val="00E7790D"/>
    <w:rsid w:val="00E77BB4"/>
    <w:rsid w:val="00E77C8E"/>
    <w:rsid w:val="00E77CC5"/>
    <w:rsid w:val="00E77D90"/>
    <w:rsid w:val="00E77FAA"/>
    <w:rsid w:val="00E80153"/>
    <w:rsid w:val="00E8021D"/>
    <w:rsid w:val="00E8035F"/>
    <w:rsid w:val="00E804A8"/>
    <w:rsid w:val="00E8098B"/>
    <w:rsid w:val="00E80DA1"/>
    <w:rsid w:val="00E80E1E"/>
    <w:rsid w:val="00E81303"/>
    <w:rsid w:val="00E81397"/>
    <w:rsid w:val="00E81F7D"/>
    <w:rsid w:val="00E82370"/>
    <w:rsid w:val="00E824E3"/>
    <w:rsid w:val="00E82737"/>
    <w:rsid w:val="00E829DB"/>
    <w:rsid w:val="00E82A9F"/>
    <w:rsid w:val="00E82C25"/>
    <w:rsid w:val="00E82C76"/>
    <w:rsid w:val="00E82D61"/>
    <w:rsid w:val="00E83262"/>
    <w:rsid w:val="00E839E3"/>
    <w:rsid w:val="00E83C0D"/>
    <w:rsid w:val="00E83C7A"/>
    <w:rsid w:val="00E84134"/>
    <w:rsid w:val="00E841EC"/>
    <w:rsid w:val="00E843DF"/>
    <w:rsid w:val="00E8467A"/>
    <w:rsid w:val="00E849A7"/>
    <w:rsid w:val="00E84BFE"/>
    <w:rsid w:val="00E84E8C"/>
    <w:rsid w:val="00E851FF"/>
    <w:rsid w:val="00E85931"/>
    <w:rsid w:val="00E86168"/>
    <w:rsid w:val="00E86658"/>
    <w:rsid w:val="00E866E6"/>
    <w:rsid w:val="00E866ED"/>
    <w:rsid w:val="00E86986"/>
    <w:rsid w:val="00E86A98"/>
    <w:rsid w:val="00E86B1C"/>
    <w:rsid w:val="00E86B8E"/>
    <w:rsid w:val="00E86D72"/>
    <w:rsid w:val="00E86F06"/>
    <w:rsid w:val="00E87463"/>
    <w:rsid w:val="00E87B0E"/>
    <w:rsid w:val="00E87E2E"/>
    <w:rsid w:val="00E901DB"/>
    <w:rsid w:val="00E90371"/>
    <w:rsid w:val="00E90B3B"/>
    <w:rsid w:val="00E90E00"/>
    <w:rsid w:val="00E90E9D"/>
    <w:rsid w:val="00E90FDE"/>
    <w:rsid w:val="00E912DD"/>
    <w:rsid w:val="00E91343"/>
    <w:rsid w:val="00E91411"/>
    <w:rsid w:val="00E91697"/>
    <w:rsid w:val="00E91808"/>
    <w:rsid w:val="00E9185B"/>
    <w:rsid w:val="00E91956"/>
    <w:rsid w:val="00E91999"/>
    <w:rsid w:val="00E91B9F"/>
    <w:rsid w:val="00E9298B"/>
    <w:rsid w:val="00E92A4C"/>
    <w:rsid w:val="00E93008"/>
    <w:rsid w:val="00E934C9"/>
    <w:rsid w:val="00E93524"/>
    <w:rsid w:val="00E93BAB"/>
    <w:rsid w:val="00E93E9B"/>
    <w:rsid w:val="00E943F3"/>
    <w:rsid w:val="00E945E8"/>
    <w:rsid w:val="00E948CF"/>
    <w:rsid w:val="00E94ED7"/>
    <w:rsid w:val="00E956AC"/>
    <w:rsid w:val="00E956D0"/>
    <w:rsid w:val="00E95738"/>
    <w:rsid w:val="00E95A2B"/>
    <w:rsid w:val="00E95EA7"/>
    <w:rsid w:val="00E960B0"/>
    <w:rsid w:val="00E96288"/>
    <w:rsid w:val="00E96419"/>
    <w:rsid w:val="00E9668E"/>
    <w:rsid w:val="00E967C7"/>
    <w:rsid w:val="00E969C0"/>
    <w:rsid w:val="00E96A4F"/>
    <w:rsid w:val="00E96A59"/>
    <w:rsid w:val="00E96D51"/>
    <w:rsid w:val="00E96EB3"/>
    <w:rsid w:val="00E96F23"/>
    <w:rsid w:val="00E97DCC"/>
    <w:rsid w:val="00E97FE7"/>
    <w:rsid w:val="00EA01BC"/>
    <w:rsid w:val="00EA023A"/>
    <w:rsid w:val="00EA030A"/>
    <w:rsid w:val="00EA0897"/>
    <w:rsid w:val="00EA0BA7"/>
    <w:rsid w:val="00EA0D3C"/>
    <w:rsid w:val="00EA0D47"/>
    <w:rsid w:val="00EA1050"/>
    <w:rsid w:val="00EA126B"/>
    <w:rsid w:val="00EA137A"/>
    <w:rsid w:val="00EA1B86"/>
    <w:rsid w:val="00EA1D99"/>
    <w:rsid w:val="00EA2016"/>
    <w:rsid w:val="00EA24D7"/>
    <w:rsid w:val="00EA2791"/>
    <w:rsid w:val="00EA2BA3"/>
    <w:rsid w:val="00EA2CBF"/>
    <w:rsid w:val="00EA2F1D"/>
    <w:rsid w:val="00EA31FF"/>
    <w:rsid w:val="00EA3233"/>
    <w:rsid w:val="00EA328B"/>
    <w:rsid w:val="00EA3417"/>
    <w:rsid w:val="00EA3742"/>
    <w:rsid w:val="00EA3B46"/>
    <w:rsid w:val="00EA3BBD"/>
    <w:rsid w:val="00EA3FE6"/>
    <w:rsid w:val="00EA42BE"/>
    <w:rsid w:val="00EA4458"/>
    <w:rsid w:val="00EA4710"/>
    <w:rsid w:val="00EA4A75"/>
    <w:rsid w:val="00EA4C2B"/>
    <w:rsid w:val="00EA565B"/>
    <w:rsid w:val="00EA59F1"/>
    <w:rsid w:val="00EA5B13"/>
    <w:rsid w:val="00EA5B3B"/>
    <w:rsid w:val="00EA5DC5"/>
    <w:rsid w:val="00EA5DDD"/>
    <w:rsid w:val="00EA5E44"/>
    <w:rsid w:val="00EA6085"/>
    <w:rsid w:val="00EA6548"/>
    <w:rsid w:val="00EA6567"/>
    <w:rsid w:val="00EA6645"/>
    <w:rsid w:val="00EA6964"/>
    <w:rsid w:val="00EA69BD"/>
    <w:rsid w:val="00EA6B7E"/>
    <w:rsid w:val="00EA6F4E"/>
    <w:rsid w:val="00EA6F9F"/>
    <w:rsid w:val="00EA7296"/>
    <w:rsid w:val="00EA7632"/>
    <w:rsid w:val="00EA7BB4"/>
    <w:rsid w:val="00EA7D56"/>
    <w:rsid w:val="00EB0021"/>
    <w:rsid w:val="00EB04EA"/>
    <w:rsid w:val="00EB0BDA"/>
    <w:rsid w:val="00EB12DF"/>
    <w:rsid w:val="00EB159A"/>
    <w:rsid w:val="00EB16D3"/>
    <w:rsid w:val="00EB1B49"/>
    <w:rsid w:val="00EB1B63"/>
    <w:rsid w:val="00EB1DF9"/>
    <w:rsid w:val="00EB1EC3"/>
    <w:rsid w:val="00EB2165"/>
    <w:rsid w:val="00EB2205"/>
    <w:rsid w:val="00EB235B"/>
    <w:rsid w:val="00EB2572"/>
    <w:rsid w:val="00EB2691"/>
    <w:rsid w:val="00EB2AA9"/>
    <w:rsid w:val="00EB2AEB"/>
    <w:rsid w:val="00EB2CB4"/>
    <w:rsid w:val="00EB2D8F"/>
    <w:rsid w:val="00EB308D"/>
    <w:rsid w:val="00EB32BC"/>
    <w:rsid w:val="00EB3420"/>
    <w:rsid w:val="00EB346C"/>
    <w:rsid w:val="00EB3500"/>
    <w:rsid w:val="00EB360C"/>
    <w:rsid w:val="00EB37AD"/>
    <w:rsid w:val="00EB38BC"/>
    <w:rsid w:val="00EB3C44"/>
    <w:rsid w:val="00EB3E2B"/>
    <w:rsid w:val="00EB475C"/>
    <w:rsid w:val="00EB4843"/>
    <w:rsid w:val="00EB51D7"/>
    <w:rsid w:val="00EB521B"/>
    <w:rsid w:val="00EB5311"/>
    <w:rsid w:val="00EB5497"/>
    <w:rsid w:val="00EB5809"/>
    <w:rsid w:val="00EB5AE3"/>
    <w:rsid w:val="00EB5D14"/>
    <w:rsid w:val="00EB5E45"/>
    <w:rsid w:val="00EB6021"/>
    <w:rsid w:val="00EB613B"/>
    <w:rsid w:val="00EB6488"/>
    <w:rsid w:val="00EB64D9"/>
    <w:rsid w:val="00EB6883"/>
    <w:rsid w:val="00EB6962"/>
    <w:rsid w:val="00EB6A46"/>
    <w:rsid w:val="00EB707D"/>
    <w:rsid w:val="00EB70F7"/>
    <w:rsid w:val="00EB712C"/>
    <w:rsid w:val="00EB7256"/>
    <w:rsid w:val="00EB7419"/>
    <w:rsid w:val="00EB7719"/>
    <w:rsid w:val="00EB7F94"/>
    <w:rsid w:val="00EC0161"/>
    <w:rsid w:val="00EC01EE"/>
    <w:rsid w:val="00EC093A"/>
    <w:rsid w:val="00EC0E11"/>
    <w:rsid w:val="00EC0E49"/>
    <w:rsid w:val="00EC1016"/>
    <w:rsid w:val="00EC11ED"/>
    <w:rsid w:val="00EC11F7"/>
    <w:rsid w:val="00EC122D"/>
    <w:rsid w:val="00EC1380"/>
    <w:rsid w:val="00EC1402"/>
    <w:rsid w:val="00EC1629"/>
    <w:rsid w:val="00EC1634"/>
    <w:rsid w:val="00EC1C4B"/>
    <w:rsid w:val="00EC1EBB"/>
    <w:rsid w:val="00EC1FBA"/>
    <w:rsid w:val="00EC20D6"/>
    <w:rsid w:val="00EC20EC"/>
    <w:rsid w:val="00EC222D"/>
    <w:rsid w:val="00EC2836"/>
    <w:rsid w:val="00EC2992"/>
    <w:rsid w:val="00EC2CA0"/>
    <w:rsid w:val="00EC2F99"/>
    <w:rsid w:val="00EC2FF7"/>
    <w:rsid w:val="00EC33BB"/>
    <w:rsid w:val="00EC392B"/>
    <w:rsid w:val="00EC3D09"/>
    <w:rsid w:val="00EC4097"/>
    <w:rsid w:val="00EC4211"/>
    <w:rsid w:val="00EC423F"/>
    <w:rsid w:val="00EC45C5"/>
    <w:rsid w:val="00EC474F"/>
    <w:rsid w:val="00EC47F6"/>
    <w:rsid w:val="00EC4AD0"/>
    <w:rsid w:val="00EC4AFC"/>
    <w:rsid w:val="00EC4BA5"/>
    <w:rsid w:val="00EC4C60"/>
    <w:rsid w:val="00EC4F54"/>
    <w:rsid w:val="00EC52B4"/>
    <w:rsid w:val="00EC5388"/>
    <w:rsid w:val="00EC5415"/>
    <w:rsid w:val="00EC5458"/>
    <w:rsid w:val="00EC547E"/>
    <w:rsid w:val="00EC5B43"/>
    <w:rsid w:val="00EC5CBD"/>
    <w:rsid w:val="00EC5D01"/>
    <w:rsid w:val="00EC5DD0"/>
    <w:rsid w:val="00EC5E54"/>
    <w:rsid w:val="00EC5F79"/>
    <w:rsid w:val="00EC61EA"/>
    <w:rsid w:val="00EC63ED"/>
    <w:rsid w:val="00EC6483"/>
    <w:rsid w:val="00EC6737"/>
    <w:rsid w:val="00EC6BFE"/>
    <w:rsid w:val="00EC6D02"/>
    <w:rsid w:val="00EC6D28"/>
    <w:rsid w:val="00EC72F7"/>
    <w:rsid w:val="00EC78D0"/>
    <w:rsid w:val="00EC7E2A"/>
    <w:rsid w:val="00EC7F46"/>
    <w:rsid w:val="00ED0639"/>
    <w:rsid w:val="00ED06D5"/>
    <w:rsid w:val="00ED070B"/>
    <w:rsid w:val="00ED0A7D"/>
    <w:rsid w:val="00ED0D24"/>
    <w:rsid w:val="00ED0FEC"/>
    <w:rsid w:val="00ED111A"/>
    <w:rsid w:val="00ED1DF5"/>
    <w:rsid w:val="00ED1E60"/>
    <w:rsid w:val="00ED1EA8"/>
    <w:rsid w:val="00ED1FA9"/>
    <w:rsid w:val="00ED2134"/>
    <w:rsid w:val="00ED226D"/>
    <w:rsid w:val="00ED228A"/>
    <w:rsid w:val="00ED254F"/>
    <w:rsid w:val="00ED2BEB"/>
    <w:rsid w:val="00ED2D4D"/>
    <w:rsid w:val="00ED30F1"/>
    <w:rsid w:val="00ED3108"/>
    <w:rsid w:val="00ED3215"/>
    <w:rsid w:val="00ED3847"/>
    <w:rsid w:val="00ED39F1"/>
    <w:rsid w:val="00ED3BF0"/>
    <w:rsid w:val="00ED4177"/>
    <w:rsid w:val="00ED420A"/>
    <w:rsid w:val="00ED421F"/>
    <w:rsid w:val="00ED43A5"/>
    <w:rsid w:val="00ED4515"/>
    <w:rsid w:val="00ED4598"/>
    <w:rsid w:val="00ED49A9"/>
    <w:rsid w:val="00ED4B57"/>
    <w:rsid w:val="00ED4BEF"/>
    <w:rsid w:val="00ED4E37"/>
    <w:rsid w:val="00ED52AD"/>
    <w:rsid w:val="00ED53BB"/>
    <w:rsid w:val="00ED571F"/>
    <w:rsid w:val="00ED5A23"/>
    <w:rsid w:val="00ED5D95"/>
    <w:rsid w:val="00ED5F39"/>
    <w:rsid w:val="00ED672C"/>
    <w:rsid w:val="00ED6B36"/>
    <w:rsid w:val="00ED6B44"/>
    <w:rsid w:val="00ED6BF9"/>
    <w:rsid w:val="00ED720A"/>
    <w:rsid w:val="00ED732E"/>
    <w:rsid w:val="00ED78BD"/>
    <w:rsid w:val="00ED7B46"/>
    <w:rsid w:val="00ED7DBF"/>
    <w:rsid w:val="00ED7E2E"/>
    <w:rsid w:val="00ED7EE6"/>
    <w:rsid w:val="00EE0127"/>
    <w:rsid w:val="00EE01C3"/>
    <w:rsid w:val="00EE0348"/>
    <w:rsid w:val="00EE05DB"/>
    <w:rsid w:val="00EE08F9"/>
    <w:rsid w:val="00EE0BC7"/>
    <w:rsid w:val="00EE0C22"/>
    <w:rsid w:val="00EE0EC5"/>
    <w:rsid w:val="00EE1464"/>
    <w:rsid w:val="00EE1640"/>
    <w:rsid w:val="00EE1998"/>
    <w:rsid w:val="00EE1B9F"/>
    <w:rsid w:val="00EE1E12"/>
    <w:rsid w:val="00EE2AC4"/>
    <w:rsid w:val="00EE2C0C"/>
    <w:rsid w:val="00EE2D35"/>
    <w:rsid w:val="00EE2D71"/>
    <w:rsid w:val="00EE2DB7"/>
    <w:rsid w:val="00EE2E7F"/>
    <w:rsid w:val="00EE2F71"/>
    <w:rsid w:val="00EE3043"/>
    <w:rsid w:val="00EE35AD"/>
    <w:rsid w:val="00EE370C"/>
    <w:rsid w:val="00EE3BA5"/>
    <w:rsid w:val="00EE3C16"/>
    <w:rsid w:val="00EE3CFD"/>
    <w:rsid w:val="00EE40D2"/>
    <w:rsid w:val="00EE40FE"/>
    <w:rsid w:val="00EE42DD"/>
    <w:rsid w:val="00EE4546"/>
    <w:rsid w:val="00EE47A0"/>
    <w:rsid w:val="00EE4A60"/>
    <w:rsid w:val="00EE5270"/>
    <w:rsid w:val="00EE5274"/>
    <w:rsid w:val="00EE550A"/>
    <w:rsid w:val="00EE553F"/>
    <w:rsid w:val="00EE58CB"/>
    <w:rsid w:val="00EE5E7F"/>
    <w:rsid w:val="00EE63A5"/>
    <w:rsid w:val="00EE66DD"/>
    <w:rsid w:val="00EE6760"/>
    <w:rsid w:val="00EE68AC"/>
    <w:rsid w:val="00EE69DC"/>
    <w:rsid w:val="00EE6A22"/>
    <w:rsid w:val="00EE6B44"/>
    <w:rsid w:val="00EE6C53"/>
    <w:rsid w:val="00EE6E71"/>
    <w:rsid w:val="00EE7068"/>
    <w:rsid w:val="00EE7282"/>
    <w:rsid w:val="00EE79D3"/>
    <w:rsid w:val="00EE7B33"/>
    <w:rsid w:val="00EE7C8A"/>
    <w:rsid w:val="00EE7CB3"/>
    <w:rsid w:val="00EE7E18"/>
    <w:rsid w:val="00EE7E8D"/>
    <w:rsid w:val="00EF018F"/>
    <w:rsid w:val="00EF01B8"/>
    <w:rsid w:val="00EF01CF"/>
    <w:rsid w:val="00EF02A9"/>
    <w:rsid w:val="00EF0345"/>
    <w:rsid w:val="00EF0601"/>
    <w:rsid w:val="00EF0623"/>
    <w:rsid w:val="00EF0762"/>
    <w:rsid w:val="00EF0BBF"/>
    <w:rsid w:val="00EF122C"/>
    <w:rsid w:val="00EF16A9"/>
    <w:rsid w:val="00EF186B"/>
    <w:rsid w:val="00EF1ADF"/>
    <w:rsid w:val="00EF1BDD"/>
    <w:rsid w:val="00EF1EAC"/>
    <w:rsid w:val="00EF20B7"/>
    <w:rsid w:val="00EF21BF"/>
    <w:rsid w:val="00EF23C1"/>
    <w:rsid w:val="00EF25E8"/>
    <w:rsid w:val="00EF29D7"/>
    <w:rsid w:val="00EF2AEE"/>
    <w:rsid w:val="00EF381F"/>
    <w:rsid w:val="00EF3A48"/>
    <w:rsid w:val="00EF3AC5"/>
    <w:rsid w:val="00EF40EA"/>
    <w:rsid w:val="00EF47D7"/>
    <w:rsid w:val="00EF4949"/>
    <w:rsid w:val="00EF557A"/>
    <w:rsid w:val="00EF5A48"/>
    <w:rsid w:val="00EF5EFF"/>
    <w:rsid w:val="00EF6435"/>
    <w:rsid w:val="00EF6497"/>
    <w:rsid w:val="00EF652F"/>
    <w:rsid w:val="00EF65CA"/>
    <w:rsid w:val="00EF6835"/>
    <w:rsid w:val="00EF6B39"/>
    <w:rsid w:val="00EF6E2B"/>
    <w:rsid w:val="00EF6F2B"/>
    <w:rsid w:val="00EF6F92"/>
    <w:rsid w:val="00EF7163"/>
    <w:rsid w:val="00EF7327"/>
    <w:rsid w:val="00EF7555"/>
    <w:rsid w:val="00EF78FE"/>
    <w:rsid w:val="00F0014B"/>
    <w:rsid w:val="00F0074A"/>
    <w:rsid w:val="00F00931"/>
    <w:rsid w:val="00F00A5C"/>
    <w:rsid w:val="00F00BA8"/>
    <w:rsid w:val="00F00F4A"/>
    <w:rsid w:val="00F012DB"/>
    <w:rsid w:val="00F013D2"/>
    <w:rsid w:val="00F018B6"/>
    <w:rsid w:val="00F01B22"/>
    <w:rsid w:val="00F01B2F"/>
    <w:rsid w:val="00F01CE1"/>
    <w:rsid w:val="00F020D9"/>
    <w:rsid w:val="00F0230D"/>
    <w:rsid w:val="00F02348"/>
    <w:rsid w:val="00F02390"/>
    <w:rsid w:val="00F02900"/>
    <w:rsid w:val="00F02E05"/>
    <w:rsid w:val="00F032F6"/>
    <w:rsid w:val="00F033BC"/>
    <w:rsid w:val="00F0375A"/>
    <w:rsid w:val="00F037EF"/>
    <w:rsid w:val="00F0396A"/>
    <w:rsid w:val="00F03C2F"/>
    <w:rsid w:val="00F03D13"/>
    <w:rsid w:val="00F043DE"/>
    <w:rsid w:val="00F04858"/>
    <w:rsid w:val="00F0485E"/>
    <w:rsid w:val="00F048A0"/>
    <w:rsid w:val="00F048D2"/>
    <w:rsid w:val="00F04AA2"/>
    <w:rsid w:val="00F04FFC"/>
    <w:rsid w:val="00F05A1B"/>
    <w:rsid w:val="00F05E7B"/>
    <w:rsid w:val="00F05F96"/>
    <w:rsid w:val="00F06407"/>
    <w:rsid w:val="00F067DB"/>
    <w:rsid w:val="00F0690E"/>
    <w:rsid w:val="00F069AA"/>
    <w:rsid w:val="00F069DF"/>
    <w:rsid w:val="00F06A05"/>
    <w:rsid w:val="00F06D76"/>
    <w:rsid w:val="00F06DD1"/>
    <w:rsid w:val="00F06F64"/>
    <w:rsid w:val="00F070FC"/>
    <w:rsid w:val="00F0724F"/>
    <w:rsid w:val="00F0725D"/>
    <w:rsid w:val="00F07284"/>
    <w:rsid w:val="00F0745B"/>
    <w:rsid w:val="00F07542"/>
    <w:rsid w:val="00F07574"/>
    <w:rsid w:val="00F076B6"/>
    <w:rsid w:val="00F0786D"/>
    <w:rsid w:val="00F07BF7"/>
    <w:rsid w:val="00F07C49"/>
    <w:rsid w:val="00F07CA3"/>
    <w:rsid w:val="00F07DD6"/>
    <w:rsid w:val="00F07F1F"/>
    <w:rsid w:val="00F07F21"/>
    <w:rsid w:val="00F10163"/>
    <w:rsid w:val="00F101D1"/>
    <w:rsid w:val="00F102BD"/>
    <w:rsid w:val="00F102EB"/>
    <w:rsid w:val="00F10613"/>
    <w:rsid w:val="00F10A97"/>
    <w:rsid w:val="00F10B85"/>
    <w:rsid w:val="00F10C8A"/>
    <w:rsid w:val="00F10D0F"/>
    <w:rsid w:val="00F10E14"/>
    <w:rsid w:val="00F10ED5"/>
    <w:rsid w:val="00F11707"/>
    <w:rsid w:val="00F117D1"/>
    <w:rsid w:val="00F1193E"/>
    <w:rsid w:val="00F11DDE"/>
    <w:rsid w:val="00F11E01"/>
    <w:rsid w:val="00F11FCD"/>
    <w:rsid w:val="00F1225A"/>
    <w:rsid w:val="00F12405"/>
    <w:rsid w:val="00F12520"/>
    <w:rsid w:val="00F12A93"/>
    <w:rsid w:val="00F12E8E"/>
    <w:rsid w:val="00F12EAE"/>
    <w:rsid w:val="00F13138"/>
    <w:rsid w:val="00F13AFF"/>
    <w:rsid w:val="00F13F5E"/>
    <w:rsid w:val="00F143E2"/>
    <w:rsid w:val="00F1450F"/>
    <w:rsid w:val="00F14AB3"/>
    <w:rsid w:val="00F14CD6"/>
    <w:rsid w:val="00F14D68"/>
    <w:rsid w:val="00F1502B"/>
    <w:rsid w:val="00F15127"/>
    <w:rsid w:val="00F15529"/>
    <w:rsid w:val="00F155A5"/>
    <w:rsid w:val="00F15B49"/>
    <w:rsid w:val="00F1607D"/>
    <w:rsid w:val="00F1623E"/>
    <w:rsid w:val="00F165C6"/>
    <w:rsid w:val="00F167B4"/>
    <w:rsid w:val="00F168D0"/>
    <w:rsid w:val="00F17037"/>
    <w:rsid w:val="00F17271"/>
    <w:rsid w:val="00F203BA"/>
    <w:rsid w:val="00F2051C"/>
    <w:rsid w:val="00F207AA"/>
    <w:rsid w:val="00F20E08"/>
    <w:rsid w:val="00F20EE9"/>
    <w:rsid w:val="00F21474"/>
    <w:rsid w:val="00F214AC"/>
    <w:rsid w:val="00F219C1"/>
    <w:rsid w:val="00F219E1"/>
    <w:rsid w:val="00F21AEC"/>
    <w:rsid w:val="00F21BF3"/>
    <w:rsid w:val="00F21FB1"/>
    <w:rsid w:val="00F220CD"/>
    <w:rsid w:val="00F220F2"/>
    <w:rsid w:val="00F2257D"/>
    <w:rsid w:val="00F2270C"/>
    <w:rsid w:val="00F2288B"/>
    <w:rsid w:val="00F2294A"/>
    <w:rsid w:val="00F23010"/>
    <w:rsid w:val="00F232BC"/>
    <w:rsid w:val="00F23473"/>
    <w:rsid w:val="00F2382F"/>
    <w:rsid w:val="00F238A0"/>
    <w:rsid w:val="00F238D6"/>
    <w:rsid w:val="00F23A00"/>
    <w:rsid w:val="00F23BF6"/>
    <w:rsid w:val="00F23D9F"/>
    <w:rsid w:val="00F23E57"/>
    <w:rsid w:val="00F24030"/>
    <w:rsid w:val="00F24087"/>
    <w:rsid w:val="00F2418F"/>
    <w:rsid w:val="00F242E1"/>
    <w:rsid w:val="00F24415"/>
    <w:rsid w:val="00F24608"/>
    <w:rsid w:val="00F247F2"/>
    <w:rsid w:val="00F24A11"/>
    <w:rsid w:val="00F24ADC"/>
    <w:rsid w:val="00F24DAC"/>
    <w:rsid w:val="00F251D3"/>
    <w:rsid w:val="00F2522E"/>
    <w:rsid w:val="00F253AD"/>
    <w:rsid w:val="00F253B6"/>
    <w:rsid w:val="00F253E0"/>
    <w:rsid w:val="00F25713"/>
    <w:rsid w:val="00F25FC4"/>
    <w:rsid w:val="00F26189"/>
    <w:rsid w:val="00F26280"/>
    <w:rsid w:val="00F2671C"/>
    <w:rsid w:val="00F269AD"/>
    <w:rsid w:val="00F26AA4"/>
    <w:rsid w:val="00F26BEE"/>
    <w:rsid w:val="00F26E04"/>
    <w:rsid w:val="00F26EE5"/>
    <w:rsid w:val="00F27369"/>
    <w:rsid w:val="00F274A7"/>
    <w:rsid w:val="00F27596"/>
    <w:rsid w:val="00F2765C"/>
    <w:rsid w:val="00F27A19"/>
    <w:rsid w:val="00F27BD8"/>
    <w:rsid w:val="00F27DD1"/>
    <w:rsid w:val="00F27F80"/>
    <w:rsid w:val="00F30124"/>
    <w:rsid w:val="00F30423"/>
    <w:rsid w:val="00F308CF"/>
    <w:rsid w:val="00F310D1"/>
    <w:rsid w:val="00F312E7"/>
    <w:rsid w:val="00F3146E"/>
    <w:rsid w:val="00F317C8"/>
    <w:rsid w:val="00F32596"/>
    <w:rsid w:val="00F32946"/>
    <w:rsid w:val="00F32CAA"/>
    <w:rsid w:val="00F33254"/>
    <w:rsid w:val="00F337C2"/>
    <w:rsid w:val="00F337E3"/>
    <w:rsid w:val="00F33AC7"/>
    <w:rsid w:val="00F33B9D"/>
    <w:rsid w:val="00F33D75"/>
    <w:rsid w:val="00F33FBE"/>
    <w:rsid w:val="00F33FE6"/>
    <w:rsid w:val="00F3413B"/>
    <w:rsid w:val="00F34537"/>
    <w:rsid w:val="00F345C7"/>
    <w:rsid w:val="00F34728"/>
    <w:rsid w:val="00F34732"/>
    <w:rsid w:val="00F34800"/>
    <w:rsid w:val="00F34A3F"/>
    <w:rsid w:val="00F34A9D"/>
    <w:rsid w:val="00F34AF2"/>
    <w:rsid w:val="00F34C85"/>
    <w:rsid w:val="00F34E08"/>
    <w:rsid w:val="00F35405"/>
    <w:rsid w:val="00F35442"/>
    <w:rsid w:val="00F35748"/>
    <w:rsid w:val="00F35912"/>
    <w:rsid w:val="00F35CF8"/>
    <w:rsid w:val="00F35FB8"/>
    <w:rsid w:val="00F36013"/>
    <w:rsid w:val="00F36162"/>
    <w:rsid w:val="00F3654F"/>
    <w:rsid w:val="00F367F2"/>
    <w:rsid w:val="00F36894"/>
    <w:rsid w:val="00F36B39"/>
    <w:rsid w:val="00F371DC"/>
    <w:rsid w:val="00F373DF"/>
    <w:rsid w:val="00F375D5"/>
    <w:rsid w:val="00F37AAC"/>
    <w:rsid w:val="00F37B7F"/>
    <w:rsid w:val="00F40026"/>
    <w:rsid w:val="00F40519"/>
    <w:rsid w:val="00F40B35"/>
    <w:rsid w:val="00F40CB5"/>
    <w:rsid w:val="00F40FD9"/>
    <w:rsid w:val="00F41148"/>
    <w:rsid w:val="00F4135B"/>
    <w:rsid w:val="00F413F1"/>
    <w:rsid w:val="00F414CD"/>
    <w:rsid w:val="00F416C1"/>
    <w:rsid w:val="00F42107"/>
    <w:rsid w:val="00F4247E"/>
    <w:rsid w:val="00F42953"/>
    <w:rsid w:val="00F42DF5"/>
    <w:rsid w:val="00F4318E"/>
    <w:rsid w:val="00F431A9"/>
    <w:rsid w:val="00F434A6"/>
    <w:rsid w:val="00F438D5"/>
    <w:rsid w:val="00F43CF5"/>
    <w:rsid w:val="00F43D77"/>
    <w:rsid w:val="00F43EFE"/>
    <w:rsid w:val="00F440B3"/>
    <w:rsid w:val="00F44200"/>
    <w:rsid w:val="00F44279"/>
    <w:rsid w:val="00F44317"/>
    <w:rsid w:val="00F446DA"/>
    <w:rsid w:val="00F44961"/>
    <w:rsid w:val="00F44C7A"/>
    <w:rsid w:val="00F45107"/>
    <w:rsid w:val="00F458AF"/>
    <w:rsid w:val="00F45EDE"/>
    <w:rsid w:val="00F45F17"/>
    <w:rsid w:val="00F463B1"/>
    <w:rsid w:val="00F46408"/>
    <w:rsid w:val="00F465F4"/>
    <w:rsid w:val="00F4684B"/>
    <w:rsid w:val="00F469F8"/>
    <w:rsid w:val="00F470F1"/>
    <w:rsid w:val="00F472CB"/>
    <w:rsid w:val="00F473E8"/>
    <w:rsid w:val="00F475D6"/>
    <w:rsid w:val="00F47B59"/>
    <w:rsid w:val="00F47D4A"/>
    <w:rsid w:val="00F47EB2"/>
    <w:rsid w:val="00F501E6"/>
    <w:rsid w:val="00F5036A"/>
    <w:rsid w:val="00F505CD"/>
    <w:rsid w:val="00F50ABF"/>
    <w:rsid w:val="00F511DD"/>
    <w:rsid w:val="00F51367"/>
    <w:rsid w:val="00F51818"/>
    <w:rsid w:val="00F51ABA"/>
    <w:rsid w:val="00F51DAC"/>
    <w:rsid w:val="00F51F70"/>
    <w:rsid w:val="00F52066"/>
    <w:rsid w:val="00F526C9"/>
    <w:rsid w:val="00F52A1F"/>
    <w:rsid w:val="00F52A90"/>
    <w:rsid w:val="00F52AAD"/>
    <w:rsid w:val="00F52BFD"/>
    <w:rsid w:val="00F52D08"/>
    <w:rsid w:val="00F52E08"/>
    <w:rsid w:val="00F52F8A"/>
    <w:rsid w:val="00F532D7"/>
    <w:rsid w:val="00F53B4B"/>
    <w:rsid w:val="00F53BDF"/>
    <w:rsid w:val="00F53C6C"/>
    <w:rsid w:val="00F54446"/>
    <w:rsid w:val="00F544C8"/>
    <w:rsid w:val="00F5454C"/>
    <w:rsid w:val="00F54612"/>
    <w:rsid w:val="00F546D7"/>
    <w:rsid w:val="00F54B1D"/>
    <w:rsid w:val="00F54B7B"/>
    <w:rsid w:val="00F54BB7"/>
    <w:rsid w:val="00F54BB9"/>
    <w:rsid w:val="00F54BED"/>
    <w:rsid w:val="00F54CC6"/>
    <w:rsid w:val="00F54DA9"/>
    <w:rsid w:val="00F55367"/>
    <w:rsid w:val="00F55553"/>
    <w:rsid w:val="00F55FE0"/>
    <w:rsid w:val="00F5619C"/>
    <w:rsid w:val="00F5620C"/>
    <w:rsid w:val="00F5622B"/>
    <w:rsid w:val="00F562A7"/>
    <w:rsid w:val="00F562C4"/>
    <w:rsid w:val="00F5666A"/>
    <w:rsid w:val="00F56AC0"/>
    <w:rsid w:val="00F56B0F"/>
    <w:rsid w:val="00F56CCF"/>
    <w:rsid w:val="00F57384"/>
    <w:rsid w:val="00F57B07"/>
    <w:rsid w:val="00F57C8C"/>
    <w:rsid w:val="00F57DCC"/>
    <w:rsid w:val="00F57F62"/>
    <w:rsid w:val="00F60004"/>
    <w:rsid w:val="00F600B5"/>
    <w:rsid w:val="00F60116"/>
    <w:rsid w:val="00F604EC"/>
    <w:rsid w:val="00F605DE"/>
    <w:rsid w:val="00F6060C"/>
    <w:rsid w:val="00F60782"/>
    <w:rsid w:val="00F60C78"/>
    <w:rsid w:val="00F60D34"/>
    <w:rsid w:val="00F61156"/>
    <w:rsid w:val="00F6138D"/>
    <w:rsid w:val="00F61427"/>
    <w:rsid w:val="00F61589"/>
    <w:rsid w:val="00F617C0"/>
    <w:rsid w:val="00F61870"/>
    <w:rsid w:val="00F6222B"/>
    <w:rsid w:val="00F6225E"/>
    <w:rsid w:val="00F62463"/>
    <w:rsid w:val="00F625C0"/>
    <w:rsid w:val="00F627FE"/>
    <w:rsid w:val="00F62870"/>
    <w:rsid w:val="00F628D7"/>
    <w:rsid w:val="00F628F4"/>
    <w:rsid w:val="00F62A46"/>
    <w:rsid w:val="00F62C53"/>
    <w:rsid w:val="00F62E1B"/>
    <w:rsid w:val="00F630A5"/>
    <w:rsid w:val="00F636E3"/>
    <w:rsid w:val="00F63748"/>
    <w:rsid w:val="00F63AEF"/>
    <w:rsid w:val="00F63B82"/>
    <w:rsid w:val="00F64105"/>
    <w:rsid w:val="00F64510"/>
    <w:rsid w:val="00F646AF"/>
    <w:rsid w:val="00F64AED"/>
    <w:rsid w:val="00F64E89"/>
    <w:rsid w:val="00F64F60"/>
    <w:rsid w:val="00F65082"/>
    <w:rsid w:val="00F6540E"/>
    <w:rsid w:val="00F65500"/>
    <w:rsid w:val="00F65569"/>
    <w:rsid w:val="00F656C2"/>
    <w:rsid w:val="00F65B4B"/>
    <w:rsid w:val="00F661A4"/>
    <w:rsid w:val="00F66517"/>
    <w:rsid w:val="00F6676F"/>
    <w:rsid w:val="00F667FA"/>
    <w:rsid w:val="00F66D1D"/>
    <w:rsid w:val="00F67397"/>
    <w:rsid w:val="00F67496"/>
    <w:rsid w:val="00F674BC"/>
    <w:rsid w:val="00F67650"/>
    <w:rsid w:val="00F67657"/>
    <w:rsid w:val="00F67B52"/>
    <w:rsid w:val="00F702BD"/>
    <w:rsid w:val="00F70516"/>
    <w:rsid w:val="00F70553"/>
    <w:rsid w:val="00F70C59"/>
    <w:rsid w:val="00F7100A"/>
    <w:rsid w:val="00F7117B"/>
    <w:rsid w:val="00F71519"/>
    <w:rsid w:val="00F719B2"/>
    <w:rsid w:val="00F72237"/>
    <w:rsid w:val="00F724DE"/>
    <w:rsid w:val="00F724F8"/>
    <w:rsid w:val="00F726CB"/>
    <w:rsid w:val="00F72A7E"/>
    <w:rsid w:val="00F72F2C"/>
    <w:rsid w:val="00F733DE"/>
    <w:rsid w:val="00F73674"/>
    <w:rsid w:val="00F73D8E"/>
    <w:rsid w:val="00F73DC2"/>
    <w:rsid w:val="00F73EBA"/>
    <w:rsid w:val="00F73EDA"/>
    <w:rsid w:val="00F74284"/>
    <w:rsid w:val="00F74698"/>
    <w:rsid w:val="00F74B71"/>
    <w:rsid w:val="00F74EB0"/>
    <w:rsid w:val="00F7517C"/>
    <w:rsid w:val="00F753B4"/>
    <w:rsid w:val="00F753E1"/>
    <w:rsid w:val="00F7561A"/>
    <w:rsid w:val="00F75AAF"/>
    <w:rsid w:val="00F75CF7"/>
    <w:rsid w:val="00F75F97"/>
    <w:rsid w:val="00F76642"/>
    <w:rsid w:val="00F7673B"/>
    <w:rsid w:val="00F76C54"/>
    <w:rsid w:val="00F772B8"/>
    <w:rsid w:val="00F77BF0"/>
    <w:rsid w:val="00F77DDC"/>
    <w:rsid w:val="00F77DE4"/>
    <w:rsid w:val="00F77E5F"/>
    <w:rsid w:val="00F800B8"/>
    <w:rsid w:val="00F800D6"/>
    <w:rsid w:val="00F8060C"/>
    <w:rsid w:val="00F8064A"/>
    <w:rsid w:val="00F806B8"/>
    <w:rsid w:val="00F80746"/>
    <w:rsid w:val="00F80957"/>
    <w:rsid w:val="00F80967"/>
    <w:rsid w:val="00F80B0F"/>
    <w:rsid w:val="00F80FAC"/>
    <w:rsid w:val="00F80FE0"/>
    <w:rsid w:val="00F81176"/>
    <w:rsid w:val="00F811B1"/>
    <w:rsid w:val="00F8127C"/>
    <w:rsid w:val="00F81595"/>
    <w:rsid w:val="00F81766"/>
    <w:rsid w:val="00F819A9"/>
    <w:rsid w:val="00F81C39"/>
    <w:rsid w:val="00F8213B"/>
    <w:rsid w:val="00F824B1"/>
    <w:rsid w:val="00F826C3"/>
    <w:rsid w:val="00F826E7"/>
    <w:rsid w:val="00F82D95"/>
    <w:rsid w:val="00F82FDE"/>
    <w:rsid w:val="00F832A2"/>
    <w:rsid w:val="00F83651"/>
    <w:rsid w:val="00F83843"/>
    <w:rsid w:val="00F83A85"/>
    <w:rsid w:val="00F83A93"/>
    <w:rsid w:val="00F83BC0"/>
    <w:rsid w:val="00F83C46"/>
    <w:rsid w:val="00F83D16"/>
    <w:rsid w:val="00F83DC5"/>
    <w:rsid w:val="00F83E34"/>
    <w:rsid w:val="00F84186"/>
    <w:rsid w:val="00F8443A"/>
    <w:rsid w:val="00F847F7"/>
    <w:rsid w:val="00F84847"/>
    <w:rsid w:val="00F848EA"/>
    <w:rsid w:val="00F8490B"/>
    <w:rsid w:val="00F84C27"/>
    <w:rsid w:val="00F85057"/>
    <w:rsid w:val="00F8590C"/>
    <w:rsid w:val="00F85960"/>
    <w:rsid w:val="00F86030"/>
    <w:rsid w:val="00F86845"/>
    <w:rsid w:val="00F86C16"/>
    <w:rsid w:val="00F86C8E"/>
    <w:rsid w:val="00F86D1B"/>
    <w:rsid w:val="00F86FA2"/>
    <w:rsid w:val="00F87043"/>
    <w:rsid w:val="00F87BEE"/>
    <w:rsid w:val="00F87E07"/>
    <w:rsid w:val="00F9005F"/>
    <w:rsid w:val="00F900C1"/>
    <w:rsid w:val="00F90338"/>
    <w:rsid w:val="00F903D9"/>
    <w:rsid w:val="00F9041F"/>
    <w:rsid w:val="00F90600"/>
    <w:rsid w:val="00F90622"/>
    <w:rsid w:val="00F9067C"/>
    <w:rsid w:val="00F906D8"/>
    <w:rsid w:val="00F90C70"/>
    <w:rsid w:val="00F90E70"/>
    <w:rsid w:val="00F9132B"/>
    <w:rsid w:val="00F91431"/>
    <w:rsid w:val="00F91571"/>
    <w:rsid w:val="00F91573"/>
    <w:rsid w:val="00F915BD"/>
    <w:rsid w:val="00F917AF"/>
    <w:rsid w:val="00F91904"/>
    <w:rsid w:val="00F91B7F"/>
    <w:rsid w:val="00F91C41"/>
    <w:rsid w:val="00F91C45"/>
    <w:rsid w:val="00F91C9C"/>
    <w:rsid w:val="00F91CC2"/>
    <w:rsid w:val="00F91DAA"/>
    <w:rsid w:val="00F92371"/>
    <w:rsid w:val="00F923DD"/>
    <w:rsid w:val="00F92508"/>
    <w:rsid w:val="00F92543"/>
    <w:rsid w:val="00F92550"/>
    <w:rsid w:val="00F92AF7"/>
    <w:rsid w:val="00F92B9A"/>
    <w:rsid w:val="00F92BCF"/>
    <w:rsid w:val="00F9302A"/>
    <w:rsid w:val="00F9302B"/>
    <w:rsid w:val="00F9376C"/>
    <w:rsid w:val="00F93920"/>
    <w:rsid w:val="00F93AF6"/>
    <w:rsid w:val="00F93B8E"/>
    <w:rsid w:val="00F93D81"/>
    <w:rsid w:val="00F93E3E"/>
    <w:rsid w:val="00F9422A"/>
    <w:rsid w:val="00F943BE"/>
    <w:rsid w:val="00F944F1"/>
    <w:rsid w:val="00F94693"/>
    <w:rsid w:val="00F946DA"/>
    <w:rsid w:val="00F94742"/>
    <w:rsid w:val="00F94894"/>
    <w:rsid w:val="00F94C05"/>
    <w:rsid w:val="00F94C2A"/>
    <w:rsid w:val="00F94CEB"/>
    <w:rsid w:val="00F94E3C"/>
    <w:rsid w:val="00F94E3E"/>
    <w:rsid w:val="00F94F92"/>
    <w:rsid w:val="00F9523B"/>
    <w:rsid w:val="00F95333"/>
    <w:rsid w:val="00F955F4"/>
    <w:rsid w:val="00F95762"/>
    <w:rsid w:val="00F959EA"/>
    <w:rsid w:val="00F95A26"/>
    <w:rsid w:val="00F963D0"/>
    <w:rsid w:val="00F966A5"/>
    <w:rsid w:val="00F9687C"/>
    <w:rsid w:val="00F96A62"/>
    <w:rsid w:val="00F96D9E"/>
    <w:rsid w:val="00F97090"/>
    <w:rsid w:val="00F97285"/>
    <w:rsid w:val="00F9748B"/>
    <w:rsid w:val="00F97646"/>
    <w:rsid w:val="00F976E3"/>
    <w:rsid w:val="00F979C0"/>
    <w:rsid w:val="00F97B5D"/>
    <w:rsid w:val="00F97BBB"/>
    <w:rsid w:val="00F97DE1"/>
    <w:rsid w:val="00F97F9D"/>
    <w:rsid w:val="00F97FE9"/>
    <w:rsid w:val="00FA0190"/>
    <w:rsid w:val="00FA07C0"/>
    <w:rsid w:val="00FA0868"/>
    <w:rsid w:val="00FA087E"/>
    <w:rsid w:val="00FA0CA2"/>
    <w:rsid w:val="00FA0E0F"/>
    <w:rsid w:val="00FA1155"/>
    <w:rsid w:val="00FA1512"/>
    <w:rsid w:val="00FA185D"/>
    <w:rsid w:val="00FA1AB5"/>
    <w:rsid w:val="00FA1BBB"/>
    <w:rsid w:val="00FA1C75"/>
    <w:rsid w:val="00FA1F20"/>
    <w:rsid w:val="00FA2103"/>
    <w:rsid w:val="00FA2113"/>
    <w:rsid w:val="00FA27A5"/>
    <w:rsid w:val="00FA27B7"/>
    <w:rsid w:val="00FA289B"/>
    <w:rsid w:val="00FA2F24"/>
    <w:rsid w:val="00FA2FEF"/>
    <w:rsid w:val="00FA3510"/>
    <w:rsid w:val="00FA36B8"/>
    <w:rsid w:val="00FA3B93"/>
    <w:rsid w:val="00FA3C82"/>
    <w:rsid w:val="00FA46E7"/>
    <w:rsid w:val="00FA4AF7"/>
    <w:rsid w:val="00FA5265"/>
    <w:rsid w:val="00FA58F7"/>
    <w:rsid w:val="00FA5B0F"/>
    <w:rsid w:val="00FA5D7A"/>
    <w:rsid w:val="00FA67BA"/>
    <w:rsid w:val="00FA696E"/>
    <w:rsid w:val="00FA6999"/>
    <w:rsid w:val="00FA69E2"/>
    <w:rsid w:val="00FA6B43"/>
    <w:rsid w:val="00FA6CC1"/>
    <w:rsid w:val="00FA6DE3"/>
    <w:rsid w:val="00FA6EA5"/>
    <w:rsid w:val="00FA6EF4"/>
    <w:rsid w:val="00FA7572"/>
    <w:rsid w:val="00FA7ADF"/>
    <w:rsid w:val="00FB023A"/>
    <w:rsid w:val="00FB025C"/>
    <w:rsid w:val="00FB0744"/>
    <w:rsid w:val="00FB07DB"/>
    <w:rsid w:val="00FB0876"/>
    <w:rsid w:val="00FB0BB6"/>
    <w:rsid w:val="00FB0E21"/>
    <w:rsid w:val="00FB0EF6"/>
    <w:rsid w:val="00FB1029"/>
    <w:rsid w:val="00FB1095"/>
    <w:rsid w:val="00FB153E"/>
    <w:rsid w:val="00FB1BCB"/>
    <w:rsid w:val="00FB1D4C"/>
    <w:rsid w:val="00FB1F61"/>
    <w:rsid w:val="00FB1FEC"/>
    <w:rsid w:val="00FB2057"/>
    <w:rsid w:val="00FB20E6"/>
    <w:rsid w:val="00FB223A"/>
    <w:rsid w:val="00FB2249"/>
    <w:rsid w:val="00FB29CB"/>
    <w:rsid w:val="00FB2D4F"/>
    <w:rsid w:val="00FB2E54"/>
    <w:rsid w:val="00FB3078"/>
    <w:rsid w:val="00FB3171"/>
    <w:rsid w:val="00FB3202"/>
    <w:rsid w:val="00FB33ED"/>
    <w:rsid w:val="00FB348A"/>
    <w:rsid w:val="00FB3687"/>
    <w:rsid w:val="00FB369A"/>
    <w:rsid w:val="00FB3775"/>
    <w:rsid w:val="00FB3D6F"/>
    <w:rsid w:val="00FB3DF7"/>
    <w:rsid w:val="00FB415E"/>
    <w:rsid w:val="00FB463F"/>
    <w:rsid w:val="00FB4786"/>
    <w:rsid w:val="00FB4A7C"/>
    <w:rsid w:val="00FB4ACD"/>
    <w:rsid w:val="00FB4CB6"/>
    <w:rsid w:val="00FB51F2"/>
    <w:rsid w:val="00FB52D4"/>
    <w:rsid w:val="00FB542B"/>
    <w:rsid w:val="00FB5676"/>
    <w:rsid w:val="00FB58A5"/>
    <w:rsid w:val="00FB59BD"/>
    <w:rsid w:val="00FB5C56"/>
    <w:rsid w:val="00FB60A6"/>
    <w:rsid w:val="00FB60D0"/>
    <w:rsid w:val="00FB60E7"/>
    <w:rsid w:val="00FB6148"/>
    <w:rsid w:val="00FB6242"/>
    <w:rsid w:val="00FB6325"/>
    <w:rsid w:val="00FB6457"/>
    <w:rsid w:val="00FB64A1"/>
    <w:rsid w:val="00FB6DC7"/>
    <w:rsid w:val="00FB6EE5"/>
    <w:rsid w:val="00FB6F7E"/>
    <w:rsid w:val="00FB7070"/>
    <w:rsid w:val="00FB70A4"/>
    <w:rsid w:val="00FB74E8"/>
    <w:rsid w:val="00FB75F8"/>
    <w:rsid w:val="00FB7653"/>
    <w:rsid w:val="00FB7F8C"/>
    <w:rsid w:val="00FC023D"/>
    <w:rsid w:val="00FC0483"/>
    <w:rsid w:val="00FC05FA"/>
    <w:rsid w:val="00FC07B8"/>
    <w:rsid w:val="00FC0970"/>
    <w:rsid w:val="00FC0BDE"/>
    <w:rsid w:val="00FC0DCD"/>
    <w:rsid w:val="00FC11B5"/>
    <w:rsid w:val="00FC1389"/>
    <w:rsid w:val="00FC179D"/>
    <w:rsid w:val="00FC1937"/>
    <w:rsid w:val="00FC1D0A"/>
    <w:rsid w:val="00FC224F"/>
    <w:rsid w:val="00FC237B"/>
    <w:rsid w:val="00FC242B"/>
    <w:rsid w:val="00FC258C"/>
    <w:rsid w:val="00FC27D5"/>
    <w:rsid w:val="00FC31E0"/>
    <w:rsid w:val="00FC3608"/>
    <w:rsid w:val="00FC3BD6"/>
    <w:rsid w:val="00FC3C40"/>
    <w:rsid w:val="00FC3CF0"/>
    <w:rsid w:val="00FC436D"/>
    <w:rsid w:val="00FC439D"/>
    <w:rsid w:val="00FC46D0"/>
    <w:rsid w:val="00FC4C71"/>
    <w:rsid w:val="00FC4D1B"/>
    <w:rsid w:val="00FC4E13"/>
    <w:rsid w:val="00FC50AD"/>
    <w:rsid w:val="00FC510E"/>
    <w:rsid w:val="00FC512B"/>
    <w:rsid w:val="00FC52DD"/>
    <w:rsid w:val="00FC5363"/>
    <w:rsid w:val="00FC5572"/>
    <w:rsid w:val="00FC5704"/>
    <w:rsid w:val="00FC5758"/>
    <w:rsid w:val="00FC59A2"/>
    <w:rsid w:val="00FC5A0B"/>
    <w:rsid w:val="00FC5E8B"/>
    <w:rsid w:val="00FC5F11"/>
    <w:rsid w:val="00FC5F33"/>
    <w:rsid w:val="00FC63BB"/>
    <w:rsid w:val="00FC63D4"/>
    <w:rsid w:val="00FC6554"/>
    <w:rsid w:val="00FC67D7"/>
    <w:rsid w:val="00FC690F"/>
    <w:rsid w:val="00FC69B3"/>
    <w:rsid w:val="00FC6B4C"/>
    <w:rsid w:val="00FC6E7B"/>
    <w:rsid w:val="00FC6FC9"/>
    <w:rsid w:val="00FC710A"/>
    <w:rsid w:val="00FC7189"/>
    <w:rsid w:val="00FC71F1"/>
    <w:rsid w:val="00FC733E"/>
    <w:rsid w:val="00FC74AA"/>
    <w:rsid w:val="00FC760C"/>
    <w:rsid w:val="00FC78A4"/>
    <w:rsid w:val="00FC79D9"/>
    <w:rsid w:val="00FC7CF8"/>
    <w:rsid w:val="00FC7DB1"/>
    <w:rsid w:val="00FD014A"/>
    <w:rsid w:val="00FD034C"/>
    <w:rsid w:val="00FD04C9"/>
    <w:rsid w:val="00FD0CA5"/>
    <w:rsid w:val="00FD0EE3"/>
    <w:rsid w:val="00FD12CE"/>
    <w:rsid w:val="00FD16E1"/>
    <w:rsid w:val="00FD1A10"/>
    <w:rsid w:val="00FD1A11"/>
    <w:rsid w:val="00FD1B6F"/>
    <w:rsid w:val="00FD1C98"/>
    <w:rsid w:val="00FD1CE0"/>
    <w:rsid w:val="00FD1EDE"/>
    <w:rsid w:val="00FD2519"/>
    <w:rsid w:val="00FD267C"/>
    <w:rsid w:val="00FD2A70"/>
    <w:rsid w:val="00FD2ABB"/>
    <w:rsid w:val="00FD2E65"/>
    <w:rsid w:val="00FD2EF4"/>
    <w:rsid w:val="00FD30E2"/>
    <w:rsid w:val="00FD314B"/>
    <w:rsid w:val="00FD3DF9"/>
    <w:rsid w:val="00FD3F8C"/>
    <w:rsid w:val="00FD4045"/>
    <w:rsid w:val="00FD48C7"/>
    <w:rsid w:val="00FD4F48"/>
    <w:rsid w:val="00FD5513"/>
    <w:rsid w:val="00FD5677"/>
    <w:rsid w:val="00FD57F3"/>
    <w:rsid w:val="00FD5B31"/>
    <w:rsid w:val="00FD5DC9"/>
    <w:rsid w:val="00FD5E76"/>
    <w:rsid w:val="00FD6136"/>
    <w:rsid w:val="00FD640A"/>
    <w:rsid w:val="00FD6778"/>
    <w:rsid w:val="00FD69E5"/>
    <w:rsid w:val="00FD6ABD"/>
    <w:rsid w:val="00FD6B0A"/>
    <w:rsid w:val="00FD6ECA"/>
    <w:rsid w:val="00FD6F4F"/>
    <w:rsid w:val="00FD7139"/>
    <w:rsid w:val="00FD737B"/>
    <w:rsid w:val="00FD77B4"/>
    <w:rsid w:val="00FD7A78"/>
    <w:rsid w:val="00FD7D08"/>
    <w:rsid w:val="00FE0283"/>
    <w:rsid w:val="00FE03AC"/>
    <w:rsid w:val="00FE0507"/>
    <w:rsid w:val="00FE06FD"/>
    <w:rsid w:val="00FE0843"/>
    <w:rsid w:val="00FE0A2A"/>
    <w:rsid w:val="00FE0B9D"/>
    <w:rsid w:val="00FE0D09"/>
    <w:rsid w:val="00FE0D70"/>
    <w:rsid w:val="00FE0E6D"/>
    <w:rsid w:val="00FE11AB"/>
    <w:rsid w:val="00FE14F3"/>
    <w:rsid w:val="00FE16EB"/>
    <w:rsid w:val="00FE1A02"/>
    <w:rsid w:val="00FE1B8D"/>
    <w:rsid w:val="00FE1CA5"/>
    <w:rsid w:val="00FE1D7C"/>
    <w:rsid w:val="00FE2131"/>
    <w:rsid w:val="00FE2262"/>
    <w:rsid w:val="00FE2785"/>
    <w:rsid w:val="00FE29C1"/>
    <w:rsid w:val="00FE2BDE"/>
    <w:rsid w:val="00FE2D94"/>
    <w:rsid w:val="00FE2DA1"/>
    <w:rsid w:val="00FE319E"/>
    <w:rsid w:val="00FE3552"/>
    <w:rsid w:val="00FE3A36"/>
    <w:rsid w:val="00FE3C94"/>
    <w:rsid w:val="00FE3DDA"/>
    <w:rsid w:val="00FE3EEB"/>
    <w:rsid w:val="00FE4345"/>
    <w:rsid w:val="00FE4466"/>
    <w:rsid w:val="00FE450D"/>
    <w:rsid w:val="00FE45A1"/>
    <w:rsid w:val="00FE4630"/>
    <w:rsid w:val="00FE4B0A"/>
    <w:rsid w:val="00FE4E30"/>
    <w:rsid w:val="00FE4FA9"/>
    <w:rsid w:val="00FE51FC"/>
    <w:rsid w:val="00FE5357"/>
    <w:rsid w:val="00FE5555"/>
    <w:rsid w:val="00FE5613"/>
    <w:rsid w:val="00FE568F"/>
    <w:rsid w:val="00FE56D7"/>
    <w:rsid w:val="00FE5901"/>
    <w:rsid w:val="00FE5ADE"/>
    <w:rsid w:val="00FE5C0A"/>
    <w:rsid w:val="00FE5F77"/>
    <w:rsid w:val="00FE6005"/>
    <w:rsid w:val="00FE6378"/>
    <w:rsid w:val="00FE643A"/>
    <w:rsid w:val="00FE6601"/>
    <w:rsid w:val="00FE6679"/>
    <w:rsid w:val="00FE6C22"/>
    <w:rsid w:val="00FE6C90"/>
    <w:rsid w:val="00FE6DA8"/>
    <w:rsid w:val="00FE6E78"/>
    <w:rsid w:val="00FE6EEA"/>
    <w:rsid w:val="00FE7051"/>
    <w:rsid w:val="00FE7100"/>
    <w:rsid w:val="00FE7558"/>
    <w:rsid w:val="00FE7822"/>
    <w:rsid w:val="00FE78C8"/>
    <w:rsid w:val="00FE79EA"/>
    <w:rsid w:val="00FE7B47"/>
    <w:rsid w:val="00FE7BFC"/>
    <w:rsid w:val="00FE7FBA"/>
    <w:rsid w:val="00FF0066"/>
    <w:rsid w:val="00FF062D"/>
    <w:rsid w:val="00FF0680"/>
    <w:rsid w:val="00FF0982"/>
    <w:rsid w:val="00FF0AC3"/>
    <w:rsid w:val="00FF0B4A"/>
    <w:rsid w:val="00FF0BC7"/>
    <w:rsid w:val="00FF0F43"/>
    <w:rsid w:val="00FF0F9A"/>
    <w:rsid w:val="00FF0FC2"/>
    <w:rsid w:val="00FF1335"/>
    <w:rsid w:val="00FF1912"/>
    <w:rsid w:val="00FF19FF"/>
    <w:rsid w:val="00FF1ECB"/>
    <w:rsid w:val="00FF20BB"/>
    <w:rsid w:val="00FF22A8"/>
    <w:rsid w:val="00FF237D"/>
    <w:rsid w:val="00FF23EB"/>
    <w:rsid w:val="00FF240A"/>
    <w:rsid w:val="00FF265E"/>
    <w:rsid w:val="00FF2666"/>
    <w:rsid w:val="00FF27FA"/>
    <w:rsid w:val="00FF2D02"/>
    <w:rsid w:val="00FF2F96"/>
    <w:rsid w:val="00FF3165"/>
    <w:rsid w:val="00FF359F"/>
    <w:rsid w:val="00FF361D"/>
    <w:rsid w:val="00FF365F"/>
    <w:rsid w:val="00FF36F3"/>
    <w:rsid w:val="00FF3AAA"/>
    <w:rsid w:val="00FF3CB7"/>
    <w:rsid w:val="00FF3D57"/>
    <w:rsid w:val="00FF3E6E"/>
    <w:rsid w:val="00FF3FD0"/>
    <w:rsid w:val="00FF448A"/>
    <w:rsid w:val="00FF44B6"/>
    <w:rsid w:val="00FF44D6"/>
    <w:rsid w:val="00FF44F1"/>
    <w:rsid w:val="00FF460C"/>
    <w:rsid w:val="00FF493F"/>
    <w:rsid w:val="00FF4B36"/>
    <w:rsid w:val="00FF4B96"/>
    <w:rsid w:val="00FF4BF2"/>
    <w:rsid w:val="00FF5071"/>
    <w:rsid w:val="00FF531B"/>
    <w:rsid w:val="00FF54DF"/>
    <w:rsid w:val="00FF57D0"/>
    <w:rsid w:val="00FF5988"/>
    <w:rsid w:val="00FF5C5C"/>
    <w:rsid w:val="00FF60CD"/>
    <w:rsid w:val="00FF6620"/>
    <w:rsid w:val="00FF6A8A"/>
    <w:rsid w:val="00FF6EA0"/>
    <w:rsid w:val="00FF6FF8"/>
    <w:rsid w:val="00FF7020"/>
    <w:rsid w:val="00FF71BC"/>
    <w:rsid w:val="00FF71C4"/>
    <w:rsid w:val="00FF75AB"/>
    <w:rsid w:val="00FF77A8"/>
    <w:rsid w:val="00FF7D45"/>
    <w:rsid w:val="00FF7E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993D01"/>
  <w15:chartTrackingRefBased/>
  <w15:docId w15:val="{4B81319D-DCFF-4A62-A67B-230334544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Body Text"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360C"/>
    <w:pPr>
      <w:spacing w:before="100" w:after="100"/>
    </w:pPr>
    <w:rPr>
      <w:rFonts w:ascii="Book Antiqua" w:hAnsi="Book Antiqua" w:cs="Arial"/>
      <w:szCs w:val="24"/>
      <w:lang w:val="en-US"/>
    </w:rPr>
  </w:style>
  <w:style w:type="paragraph" w:styleId="Heading1">
    <w:name w:val="heading 1"/>
    <w:basedOn w:val="Normal"/>
    <w:next w:val="Normal"/>
    <w:link w:val="Heading1Char"/>
    <w:qFormat/>
    <w:rsid w:val="00D84C10"/>
    <w:pPr>
      <w:keepNext/>
      <w:spacing w:before="240" w:after="60"/>
      <w:jc w:val="center"/>
      <w:outlineLvl w:val="0"/>
    </w:pPr>
    <w:rPr>
      <w:rFonts w:ascii="Arial Bold" w:hAnsi="Arial Bold"/>
      <w:b/>
      <w:bCs/>
      <w:smallCaps/>
      <w:kern w:val="32"/>
      <w:sz w:val="34"/>
      <w:szCs w:val="32"/>
    </w:rPr>
  </w:style>
  <w:style w:type="paragraph" w:styleId="Heading2">
    <w:name w:val="heading 2"/>
    <w:basedOn w:val="Normal"/>
    <w:next w:val="Normal"/>
    <w:link w:val="Heading2Char"/>
    <w:qFormat/>
    <w:rsid w:val="00050D2D"/>
    <w:pPr>
      <w:keepNext/>
      <w:spacing w:before="360" w:after="200"/>
      <w:outlineLvl w:val="1"/>
    </w:pPr>
    <w:rPr>
      <w:rFonts w:ascii="Arial" w:hAnsi="Arial"/>
      <w:bCs/>
      <w:iCs/>
      <w:sz w:val="30"/>
      <w:szCs w:val="28"/>
    </w:rPr>
  </w:style>
  <w:style w:type="paragraph" w:styleId="Heading3">
    <w:name w:val="heading 3"/>
    <w:basedOn w:val="Normal"/>
    <w:next w:val="Normal"/>
    <w:link w:val="Heading3Char"/>
    <w:qFormat/>
    <w:rsid w:val="00050D2D"/>
    <w:pPr>
      <w:keepNext/>
      <w:spacing w:before="360" w:after="200"/>
      <w:outlineLvl w:val="2"/>
    </w:pPr>
    <w:rPr>
      <w:rFonts w:ascii="Arial Bold" w:hAnsi="Arial Bold"/>
      <w:b/>
      <w:bCs/>
      <w:smallCaps/>
      <w:sz w:val="26"/>
      <w:szCs w:val="26"/>
    </w:rPr>
  </w:style>
  <w:style w:type="paragraph" w:styleId="Heading4">
    <w:name w:val="heading 4"/>
    <w:basedOn w:val="Normal"/>
    <w:next w:val="Normal"/>
    <w:link w:val="Heading4Char"/>
    <w:qFormat/>
    <w:rsid w:val="00050D2D"/>
    <w:pPr>
      <w:keepNext/>
      <w:spacing w:before="280" w:after="140"/>
      <w:outlineLvl w:val="3"/>
    </w:pPr>
    <w:rPr>
      <w:rFonts w:ascii="Arial" w:hAnsi="Arial" w:cs="Times New Roman"/>
      <w:b/>
      <w:bCs/>
      <w:sz w:val="22"/>
      <w:szCs w:val="28"/>
    </w:rPr>
  </w:style>
  <w:style w:type="paragraph" w:styleId="Heading5">
    <w:name w:val="heading 5"/>
    <w:basedOn w:val="Normal"/>
    <w:next w:val="Normal"/>
    <w:link w:val="Heading5Char"/>
    <w:qFormat/>
    <w:rsid w:val="00CC2F9B"/>
    <w:pPr>
      <w:spacing w:before="120" w:after="120"/>
      <w:outlineLvl w:val="4"/>
    </w:pPr>
    <w:rPr>
      <w:rFonts w:ascii="Arial" w:hAnsi="Arial"/>
      <w:b/>
      <w:bCs/>
      <w:iCs/>
      <w:szCs w:val="26"/>
    </w:rPr>
  </w:style>
  <w:style w:type="paragraph" w:styleId="Heading6">
    <w:name w:val="heading 6"/>
    <w:basedOn w:val="Normal"/>
    <w:next w:val="Normal"/>
    <w:link w:val="Heading6Char"/>
    <w:qFormat/>
    <w:rsid w:val="00050D2D"/>
    <w:pPr>
      <w:spacing w:before="120" w:after="120"/>
      <w:outlineLvl w:val="5"/>
    </w:pPr>
    <w:rPr>
      <w:rFonts w:ascii="Arial" w:hAnsi="Arial" w:cs="Times New Roman"/>
      <w:bCs/>
      <w:szCs w:val="22"/>
    </w:rPr>
  </w:style>
  <w:style w:type="paragraph" w:styleId="Heading7">
    <w:name w:val="heading 7"/>
    <w:basedOn w:val="Normal"/>
    <w:next w:val="Normal"/>
    <w:link w:val="Heading7Char"/>
    <w:qFormat/>
    <w:rsid w:val="00050D2D"/>
    <w:pPr>
      <w:spacing w:before="120" w:after="60"/>
      <w:outlineLvl w:val="6"/>
    </w:pPr>
    <w:rPr>
      <w:rFonts w:ascii="Arial" w:hAnsi="Arial" w:cs="Times New Roman"/>
      <w:sz w:val="18"/>
    </w:rPr>
  </w:style>
  <w:style w:type="paragraph" w:styleId="Heading8">
    <w:name w:val="heading 8"/>
    <w:basedOn w:val="Normal"/>
    <w:next w:val="Normal"/>
    <w:qFormat/>
    <w:rsid w:val="000B41E0"/>
    <w:pPr>
      <w:spacing w:before="240" w:after="60"/>
      <w:outlineLvl w:val="7"/>
    </w:pPr>
    <w:rPr>
      <w:rFonts w:ascii="Times New Roman" w:hAnsi="Times New Roman" w:cs="Times New Roman"/>
      <w:i/>
      <w:iCs/>
      <w:sz w:val="24"/>
    </w:rPr>
  </w:style>
  <w:style w:type="paragraph" w:styleId="Heading9">
    <w:name w:val="heading 9"/>
    <w:basedOn w:val="Normal"/>
    <w:next w:val="Normal"/>
    <w:qFormat/>
    <w:rsid w:val="000B41E0"/>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rsid w:val="00C070D3"/>
    <w:rPr>
      <w:rFonts w:ascii="Arial Bold" w:hAnsi="Arial Bold"/>
      <w:b/>
      <w:caps/>
      <w:sz w:val="28"/>
    </w:rPr>
  </w:style>
  <w:style w:type="paragraph" w:customStyle="1" w:styleId="LetterHeading1">
    <w:name w:val="Letter Heading 1"/>
    <w:basedOn w:val="Normal"/>
    <w:rsid w:val="00C64995"/>
    <w:pPr>
      <w:jc w:val="right"/>
    </w:pPr>
    <w:rPr>
      <w:rFonts w:ascii="Times New Roman" w:hAnsi="Times New Roman"/>
      <w:b/>
      <w:caps/>
      <w:sz w:val="28"/>
    </w:rPr>
  </w:style>
  <w:style w:type="paragraph" w:customStyle="1" w:styleId="Exampletext">
    <w:name w:val="Example text"/>
    <w:basedOn w:val="Normal"/>
    <w:link w:val="ExampletextCharChar"/>
    <w:rsid w:val="00C070D3"/>
    <w:pPr>
      <w:spacing w:after="240" w:line="260" w:lineRule="exact"/>
      <w:jc w:val="both"/>
    </w:pPr>
    <w:rPr>
      <w:rFonts w:cs="Times New Roman"/>
      <w:i/>
      <w:color w:val="FF0000"/>
      <w:szCs w:val="20"/>
      <w:lang w:val="en-AU"/>
    </w:rPr>
  </w:style>
  <w:style w:type="paragraph" w:customStyle="1" w:styleId="LetterHeading2">
    <w:name w:val="Letter Heading 2"/>
    <w:basedOn w:val="LetterHeading1"/>
    <w:rsid w:val="00C64995"/>
    <w:rPr>
      <w:b w:val="0"/>
      <w:sz w:val="16"/>
    </w:rPr>
  </w:style>
  <w:style w:type="numbering" w:styleId="111111">
    <w:name w:val="Outline List 2"/>
    <w:basedOn w:val="NoList"/>
    <w:semiHidden/>
    <w:rsid w:val="000B41E0"/>
    <w:pPr>
      <w:numPr>
        <w:numId w:val="1"/>
      </w:numPr>
    </w:pPr>
  </w:style>
  <w:style w:type="numbering" w:styleId="1ai">
    <w:name w:val="Outline List 1"/>
    <w:basedOn w:val="NoList"/>
    <w:semiHidden/>
    <w:rsid w:val="000B41E0"/>
    <w:pPr>
      <w:numPr>
        <w:numId w:val="2"/>
      </w:numPr>
    </w:pPr>
  </w:style>
  <w:style w:type="character" w:customStyle="1" w:styleId="ExampletextCharChar">
    <w:name w:val="Example text Char Char"/>
    <w:link w:val="Exampletext"/>
    <w:rsid w:val="00C070D3"/>
    <w:rPr>
      <w:rFonts w:ascii="Book Antiqua" w:hAnsi="Book Antiqua"/>
      <w:i/>
      <w:color w:val="FF0000"/>
      <w:lang w:val="en-AU" w:eastAsia="en-AU" w:bidi="ar-SA"/>
    </w:rPr>
  </w:style>
  <w:style w:type="paragraph" w:customStyle="1" w:styleId="Crest">
    <w:name w:val="Crest"/>
    <w:basedOn w:val="Normal"/>
    <w:next w:val="Normal"/>
    <w:rsid w:val="00C070D3"/>
    <w:pPr>
      <w:spacing w:after="0"/>
      <w:jc w:val="center"/>
    </w:pPr>
    <w:rPr>
      <w:rFonts w:cs="Times New Roman"/>
      <w:szCs w:val="20"/>
      <w:lang w:val="en-AU"/>
    </w:rPr>
  </w:style>
  <w:style w:type="numbering" w:styleId="ArticleSection">
    <w:name w:val="Outline List 3"/>
    <w:basedOn w:val="NoList"/>
    <w:semiHidden/>
    <w:rsid w:val="000B41E0"/>
    <w:pPr>
      <w:numPr>
        <w:numId w:val="3"/>
      </w:numPr>
    </w:pPr>
  </w:style>
  <w:style w:type="paragraph" w:styleId="BlockText">
    <w:name w:val="Block Text"/>
    <w:basedOn w:val="Normal"/>
    <w:semiHidden/>
    <w:rsid w:val="000B41E0"/>
    <w:pPr>
      <w:spacing w:after="120"/>
      <w:ind w:left="1440" w:right="1440"/>
    </w:pPr>
  </w:style>
  <w:style w:type="paragraph" w:styleId="BodyText">
    <w:name w:val="Body Text"/>
    <w:basedOn w:val="Normal"/>
    <w:link w:val="BodyTextChar"/>
    <w:qFormat/>
    <w:rsid w:val="000B41E0"/>
    <w:pPr>
      <w:spacing w:after="120"/>
    </w:pPr>
  </w:style>
  <w:style w:type="paragraph" w:styleId="BodyText2">
    <w:name w:val="Body Text 2"/>
    <w:basedOn w:val="Normal"/>
    <w:semiHidden/>
    <w:rsid w:val="000B41E0"/>
    <w:pPr>
      <w:spacing w:after="120" w:line="480" w:lineRule="auto"/>
    </w:pPr>
  </w:style>
  <w:style w:type="paragraph" w:styleId="BodyText3">
    <w:name w:val="Body Text 3"/>
    <w:basedOn w:val="Normal"/>
    <w:semiHidden/>
    <w:rsid w:val="000B41E0"/>
    <w:pPr>
      <w:spacing w:after="120"/>
    </w:pPr>
    <w:rPr>
      <w:sz w:val="16"/>
      <w:szCs w:val="16"/>
    </w:rPr>
  </w:style>
  <w:style w:type="paragraph" w:styleId="BodyTextFirstIndent">
    <w:name w:val="Body Text First Indent"/>
    <w:basedOn w:val="BodyText"/>
    <w:semiHidden/>
    <w:rsid w:val="000B41E0"/>
    <w:pPr>
      <w:ind w:firstLine="210"/>
    </w:pPr>
  </w:style>
  <w:style w:type="paragraph" w:styleId="BodyTextIndent">
    <w:name w:val="Body Text Indent"/>
    <w:basedOn w:val="Normal"/>
    <w:semiHidden/>
    <w:rsid w:val="000B41E0"/>
    <w:pPr>
      <w:spacing w:after="120"/>
      <w:ind w:left="283"/>
    </w:pPr>
  </w:style>
  <w:style w:type="paragraph" w:styleId="BodyTextFirstIndent2">
    <w:name w:val="Body Text First Indent 2"/>
    <w:basedOn w:val="BodyTextIndent"/>
    <w:semiHidden/>
    <w:rsid w:val="000B41E0"/>
    <w:pPr>
      <w:ind w:firstLine="210"/>
    </w:pPr>
  </w:style>
  <w:style w:type="paragraph" w:styleId="BodyTextIndent2">
    <w:name w:val="Body Text Indent 2"/>
    <w:basedOn w:val="Normal"/>
    <w:semiHidden/>
    <w:rsid w:val="000B41E0"/>
    <w:pPr>
      <w:spacing w:after="120" w:line="480" w:lineRule="auto"/>
      <w:ind w:left="283"/>
    </w:pPr>
  </w:style>
  <w:style w:type="paragraph" w:styleId="BodyTextIndent3">
    <w:name w:val="Body Text Indent 3"/>
    <w:basedOn w:val="Normal"/>
    <w:semiHidden/>
    <w:rsid w:val="000B41E0"/>
    <w:pPr>
      <w:spacing w:after="120"/>
      <w:ind w:left="283"/>
    </w:pPr>
    <w:rPr>
      <w:sz w:val="16"/>
      <w:szCs w:val="16"/>
    </w:rPr>
  </w:style>
  <w:style w:type="paragraph" w:styleId="Closing">
    <w:name w:val="Closing"/>
    <w:basedOn w:val="Normal"/>
    <w:semiHidden/>
    <w:rsid w:val="000B41E0"/>
    <w:pPr>
      <w:ind w:left="4252"/>
    </w:pPr>
  </w:style>
  <w:style w:type="paragraph" w:styleId="Date">
    <w:name w:val="Date"/>
    <w:basedOn w:val="Normal"/>
    <w:next w:val="Normal"/>
    <w:semiHidden/>
    <w:rsid w:val="000B41E0"/>
  </w:style>
  <w:style w:type="character" w:styleId="Emphasis">
    <w:name w:val="Emphasis"/>
    <w:uiPriority w:val="20"/>
    <w:qFormat/>
    <w:rsid w:val="000B41E0"/>
    <w:rPr>
      <w:i/>
      <w:iCs/>
    </w:rPr>
  </w:style>
  <w:style w:type="paragraph" w:styleId="EnvelopeAddress">
    <w:name w:val="envelope address"/>
    <w:basedOn w:val="Normal"/>
    <w:semiHidden/>
    <w:rsid w:val="000B41E0"/>
    <w:pPr>
      <w:framePr w:w="7920" w:h="1980" w:hRule="exact" w:hSpace="180" w:wrap="auto" w:hAnchor="page" w:xAlign="center" w:yAlign="bottom"/>
      <w:ind w:left="2880"/>
    </w:pPr>
    <w:rPr>
      <w:rFonts w:ascii="Arial" w:hAnsi="Arial"/>
      <w:sz w:val="24"/>
    </w:rPr>
  </w:style>
  <w:style w:type="paragraph" w:styleId="EnvelopeReturn">
    <w:name w:val="envelope return"/>
    <w:basedOn w:val="Normal"/>
    <w:semiHidden/>
    <w:rsid w:val="000B41E0"/>
    <w:rPr>
      <w:rFonts w:ascii="Arial" w:hAnsi="Arial"/>
      <w:szCs w:val="20"/>
    </w:rPr>
  </w:style>
  <w:style w:type="character" w:styleId="FollowedHyperlink">
    <w:name w:val="FollowedHyperlink"/>
    <w:uiPriority w:val="99"/>
    <w:semiHidden/>
    <w:rsid w:val="000B41E0"/>
    <w:rPr>
      <w:color w:val="606420"/>
      <w:u w:val="single"/>
    </w:rPr>
  </w:style>
  <w:style w:type="character" w:styleId="HTMLAcronym">
    <w:name w:val="HTML Acronym"/>
    <w:basedOn w:val="DefaultParagraphFont"/>
    <w:semiHidden/>
    <w:rsid w:val="000B41E0"/>
  </w:style>
  <w:style w:type="paragraph" w:styleId="HTMLAddress">
    <w:name w:val="HTML Address"/>
    <w:basedOn w:val="Normal"/>
    <w:semiHidden/>
    <w:rsid w:val="000B41E0"/>
    <w:rPr>
      <w:i/>
      <w:iCs/>
    </w:rPr>
  </w:style>
  <w:style w:type="character" w:styleId="HTMLCite">
    <w:name w:val="HTML Cite"/>
    <w:semiHidden/>
    <w:rsid w:val="000B41E0"/>
    <w:rPr>
      <w:i/>
      <w:iCs/>
    </w:rPr>
  </w:style>
  <w:style w:type="character" w:styleId="HTMLCode">
    <w:name w:val="HTML Code"/>
    <w:semiHidden/>
    <w:rsid w:val="000B41E0"/>
    <w:rPr>
      <w:rFonts w:ascii="Courier New" w:hAnsi="Courier New" w:cs="Courier New"/>
      <w:sz w:val="20"/>
      <w:szCs w:val="20"/>
    </w:rPr>
  </w:style>
  <w:style w:type="character" w:styleId="HTMLDefinition">
    <w:name w:val="HTML Definition"/>
    <w:semiHidden/>
    <w:rsid w:val="000B41E0"/>
    <w:rPr>
      <w:i/>
      <w:iCs/>
    </w:rPr>
  </w:style>
  <w:style w:type="character" w:styleId="HTMLKeyboard">
    <w:name w:val="HTML Keyboard"/>
    <w:semiHidden/>
    <w:rsid w:val="000B41E0"/>
    <w:rPr>
      <w:rFonts w:ascii="Courier New" w:hAnsi="Courier New" w:cs="Courier New"/>
      <w:sz w:val="20"/>
      <w:szCs w:val="20"/>
    </w:rPr>
  </w:style>
  <w:style w:type="paragraph" w:styleId="HTMLPreformatted">
    <w:name w:val="HTML Preformatted"/>
    <w:basedOn w:val="Normal"/>
    <w:semiHidden/>
    <w:rsid w:val="000B41E0"/>
    <w:rPr>
      <w:rFonts w:ascii="Courier New" w:hAnsi="Courier New" w:cs="Courier New"/>
      <w:szCs w:val="20"/>
    </w:rPr>
  </w:style>
  <w:style w:type="character" w:styleId="HTMLSample">
    <w:name w:val="HTML Sample"/>
    <w:semiHidden/>
    <w:rsid w:val="000B41E0"/>
    <w:rPr>
      <w:rFonts w:ascii="Courier New" w:hAnsi="Courier New" w:cs="Courier New"/>
    </w:rPr>
  </w:style>
  <w:style w:type="character" w:styleId="HTMLTypewriter">
    <w:name w:val="HTML Typewriter"/>
    <w:semiHidden/>
    <w:rsid w:val="000B41E0"/>
    <w:rPr>
      <w:rFonts w:ascii="Courier New" w:hAnsi="Courier New" w:cs="Courier New"/>
      <w:sz w:val="20"/>
      <w:szCs w:val="20"/>
    </w:rPr>
  </w:style>
  <w:style w:type="character" w:styleId="HTMLVariable">
    <w:name w:val="HTML Variable"/>
    <w:semiHidden/>
    <w:rsid w:val="000B41E0"/>
    <w:rPr>
      <w:i/>
      <w:iCs/>
    </w:rPr>
  </w:style>
  <w:style w:type="character" w:styleId="Hyperlink">
    <w:name w:val="Hyperlink"/>
    <w:uiPriority w:val="99"/>
    <w:rsid w:val="000B41E0"/>
    <w:rPr>
      <w:color w:val="0000FF"/>
      <w:u w:val="single"/>
    </w:rPr>
  </w:style>
  <w:style w:type="character" w:styleId="LineNumber">
    <w:name w:val="line number"/>
    <w:basedOn w:val="DefaultParagraphFont"/>
    <w:semiHidden/>
    <w:rsid w:val="000B41E0"/>
  </w:style>
  <w:style w:type="paragraph" w:styleId="List">
    <w:name w:val="List"/>
    <w:basedOn w:val="Normal"/>
    <w:semiHidden/>
    <w:rsid w:val="000B41E0"/>
    <w:pPr>
      <w:ind w:left="283" w:hanging="283"/>
    </w:pPr>
  </w:style>
  <w:style w:type="paragraph" w:styleId="List2">
    <w:name w:val="List 2"/>
    <w:basedOn w:val="Normal"/>
    <w:semiHidden/>
    <w:rsid w:val="000B41E0"/>
    <w:pPr>
      <w:ind w:left="566" w:hanging="283"/>
    </w:pPr>
  </w:style>
  <w:style w:type="paragraph" w:styleId="List3">
    <w:name w:val="List 3"/>
    <w:basedOn w:val="Normal"/>
    <w:semiHidden/>
    <w:rsid w:val="000B41E0"/>
    <w:pPr>
      <w:ind w:left="849" w:hanging="283"/>
    </w:pPr>
  </w:style>
  <w:style w:type="paragraph" w:styleId="List4">
    <w:name w:val="List 4"/>
    <w:basedOn w:val="Normal"/>
    <w:semiHidden/>
    <w:rsid w:val="000B41E0"/>
    <w:pPr>
      <w:ind w:left="1132" w:hanging="283"/>
    </w:pPr>
  </w:style>
  <w:style w:type="paragraph" w:styleId="List5">
    <w:name w:val="List 5"/>
    <w:basedOn w:val="Normal"/>
    <w:semiHidden/>
    <w:rsid w:val="000B41E0"/>
    <w:pPr>
      <w:ind w:left="1415" w:hanging="283"/>
    </w:pPr>
  </w:style>
  <w:style w:type="paragraph" w:styleId="ListBullet">
    <w:name w:val="List Bullet"/>
    <w:basedOn w:val="Normal"/>
    <w:semiHidden/>
    <w:rsid w:val="000B41E0"/>
    <w:pPr>
      <w:numPr>
        <w:numId w:val="4"/>
      </w:numPr>
    </w:pPr>
  </w:style>
  <w:style w:type="paragraph" w:styleId="ListBullet2">
    <w:name w:val="List Bullet 2"/>
    <w:basedOn w:val="Normal"/>
    <w:semiHidden/>
    <w:rsid w:val="000B41E0"/>
    <w:pPr>
      <w:numPr>
        <w:numId w:val="5"/>
      </w:numPr>
    </w:pPr>
  </w:style>
  <w:style w:type="paragraph" w:styleId="ListBullet3">
    <w:name w:val="List Bullet 3"/>
    <w:basedOn w:val="Normal"/>
    <w:semiHidden/>
    <w:rsid w:val="000B41E0"/>
    <w:pPr>
      <w:numPr>
        <w:numId w:val="6"/>
      </w:numPr>
    </w:pPr>
  </w:style>
  <w:style w:type="paragraph" w:styleId="ListBullet4">
    <w:name w:val="List Bullet 4"/>
    <w:basedOn w:val="Normal"/>
    <w:semiHidden/>
    <w:rsid w:val="000B41E0"/>
    <w:pPr>
      <w:numPr>
        <w:numId w:val="7"/>
      </w:numPr>
    </w:pPr>
  </w:style>
  <w:style w:type="paragraph" w:styleId="ListBullet5">
    <w:name w:val="List Bullet 5"/>
    <w:basedOn w:val="Normal"/>
    <w:semiHidden/>
    <w:rsid w:val="000B41E0"/>
    <w:pPr>
      <w:numPr>
        <w:numId w:val="8"/>
      </w:numPr>
    </w:pPr>
  </w:style>
  <w:style w:type="paragraph" w:styleId="ListContinue">
    <w:name w:val="List Continue"/>
    <w:basedOn w:val="Normal"/>
    <w:semiHidden/>
    <w:rsid w:val="000B41E0"/>
    <w:pPr>
      <w:spacing w:after="120"/>
      <w:ind w:left="283"/>
    </w:pPr>
  </w:style>
  <w:style w:type="paragraph" w:styleId="ListContinue2">
    <w:name w:val="List Continue 2"/>
    <w:basedOn w:val="Normal"/>
    <w:semiHidden/>
    <w:rsid w:val="000B41E0"/>
    <w:pPr>
      <w:spacing w:after="120"/>
      <w:ind w:left="566"/>
    </w:pPr>
  </w:style>
  <w:style w:type="paragraph" w:styleId="ListContinue3">
    <w:name w:val="List Continue 3"/>
    <w:basedOn w:val="Normal"/>
    <w:semiHidden/>
    <w:rsid w:val="000B41E0"/>
    <w:pPr>
      <w:spacing w:after="120"/>
      <w:ind w:left="849"/>
    </w:pPr>
  </w:style>
  <w:style w:type="paragraph" w:styleId="ListContinue4">
    <w:name w:val="List Continue 4"/>
    <w:basedOn w:val="Normal"/>
    <w:semiHidden/>
    <w:rsid w:val="000B41E0"/>
    <w:pPr>
      <w:spacing w:after="120"/>
      <w:ind w:left="1132"/>
    </w:pPr>
  </w:style>
  <w:style w:type="paragraph" w:styleId="ListContinue5">
    <w:name w:val="List Continue 5"/>
    <w:basedOn w:val="Normal"/>
    <w:semiHidden/>
    <w:rsid w:val="000B41E0"/>
    <w:pPr>
      <w:spacing w:after="120"/>
      <w:ind w:left="1415"/>
    </w:pPr>
  </w:style>
  <w:style w:type="paragraph" w:styleId="ListNumber">
    <w:name w:val="List Number"/>
    <w:basedOn w:val="Normal"/>
    <w:semiHidden/>
    <w:rsid w:val="000B41E0"/>
    <w:pPr>
      <w:numPr>
        <w:numId w:val="9"/>
      </w:numPr>
    </w:pPr>
  </w:style>
  <w:style w:type="paragraph" w:styleId="ListNumber2">
    <w:name w:val="List Number 2"/>
    <w:basedOn w:val="Normal"/>
    <w:semiHidden/>
    <w:rsid w:val="000B41E0"/>
    <w:pPr>
      <w:numPr>
        <w:numId w:val="10"/>
      </w:numPr>
    </w:pPr>
  </w:style>
  <w:style w:type="paragraph" w:styleId="ListNumber3">
    <w:name w:val="List Number 3"/>
    <w:basedOn w:val="Normal"/>
    <w:semiHidden/>
    <w:rsid w:val="000B41E0"/>
    <w:pPr>
      <w:numPr>
        <w:numId w:val="11"/>
      </w:numPr>
    </w:pPr>
  </w:style>
  <w:style w:type="paragraph" w:styleId="ListNumber4">
    <w:name w:val="List Number 4"/>
    <w:basedOn w:val="Normal"/>
    <w:semiHidden/>
    <w:rsid w:val="000B41E0"/>
    <w:pPr>
      <w:numPr>
        <w:numId w:val="12"/>
      </w:numPr>
    </w:pPr>
  </w:style>
  <w:style w:type="paragraph" w:styleId="ListNumber5">
    <w:name w:val="List Number 5"/>
    <w:basedOn w:val="Normal"/>
    <w:semiHidden/>
    <w:rsid w:val="000B41E0"/>
    <w:pPr>
      <w:numPr>
        <w:numId w:val="13"/>
      </w:numPr>
    </w:pPr>
  </w:style>
  <w:style w:type="paragraph" w:styleId="MessageHeader">
    <w:name w:val="Message Header"/>
    <w:basedOn w:val="Normal"/>
    <w:semiHidden/>
    <w:rsid w:val="000B41E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NormalWeb">
    <w:name w:val="Normal (Web)"/>
    <w:basedOn w:val="Normal"/>
    <w:uiPriority w:val="99"/>
    <w:semiHidden/>
    <w:rsid w:val="000B41E0"/>
    <w:rPr>
      <w:rFonts w:ascii="Times New Roman" w:hAnsi="Times New Roman" w:cs="Times New Roman"/>
      <w:sz w:val="24"/>
    </w:rPr>
  </w:style>
  <w:style w:type="paragraph" w:styleId="NoteHeading">
    <w:name w:val="Note Heading"/>
    <w:basedOn w:val="Normal"/>
    <w:next w:val="Normal"/>
    <w:semiHidden/>
    <w:rsid w:val="000B41E0"/>
  </w:style>
  <w:style w:type="paragraph" w:styleId="PlainText">
    <w:name w:val="Plain Text"/>
    <w:basedOn w:val="Normal"/>
    <w:semiHidden/>
    <w:rsid w:val="000B41E0"/>
    <w:rPr>
      <w:rFonts w:ascii="Courier New" w:hAnsi="Courier New" w:cs="Courier New"/>
      <w:szCs w:val="20"/>
    </w:rPr>
  </w:style>
  <w:style w:type="paragraph" w:styleId="Salutation">
    <w:name w:val="Salutation"/>
    <w:basedOn w:val="Normal"/>
    <w:next w:val="Normal"/>
    <w:semiHidden/>
    <w:rsid w:val="000B41E0"/>
  </w:style>
  <w:style w:type="paragraph" w:styleId="Signature">
    <w:name w:val="Signature"/>
    <w:basedOn w:val="Normal"/>
    <w:semiHidden/>
    <w:rsid w:val="000B41E0"/>
    <w:pPr>
      <w:ind w:left="4252"/>
    </w:pPr>
  </w:style>
  <w:style w:type="character" w:styleId="Strong">
    <w:name w:val="Strong"/>
    <w:uiPriority w:val="22"/>
    <w:qFormat/>
    <w:rsid w:val="000B41E0"/>
    <w:rPr>
      <w:b/>
      <w:bCs/>
    </w:rPr>
  </w:style>
  <w:style w:type="paragraph" w:styleId="Subtitle">
    <w:name w:val="Subtitle"/>
    <w:basedOn w:val="Normal"/>
    <w:qFormat/>
    <w:rsid w:val="000B41E0"/>
    <w:pPr>
      <w:spacing w:after="60"/>
      <w:jc w:val="center"/>
      <w:outlineLvl w:val="1"/>
    </w:pPr>
    <w:rPr>
      <w:rFonts w:ascii="Arial" w:hAnsi="Arial"/>
      <w:sz w:val="24"/>
    </w:rPr>
  </w:style>
  <w:style w:type="table" w:styleId="Table3Deffects1">
    <w:name w:val="Table 3D effects 1"/>
    <w:basedOn w:val="TableNormal"/>
    <w:semiHidden/>
    <w:rsid w:val="000B41E0"/>
    <w:pPr>
      <w:spacing w:after="10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B41E0"/>
    <w:pPr>
      <w:spacing w:after="10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B41E0"/>
    <w:pPr>
      <w:spacing w:after="10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B41E0"/>
    <w:pPr>
      <w:spacing w:after="10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B41E0"/>
    <w:pPr>
      <w:spacing w:after="10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B41E0"/>
    <w:pPr>
      <w:spacing w:after="10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B41E0"/>
    <w:pPr>
      <w:spacing w:after="10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B41E0"/>
    <w:pPr>
      <w:spacing w:after="10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B41E0"/>
    <w:pPr>
      <w:spacing w:after="10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B41E0"/>
    <w:pPr>
      <w:spacing w:after="10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B41E0"/>
    <w:pPr>
      <w:spacing w:after="10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B41E0"/>
    <w:pPr>
      <w:spacing w:after="10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B41E0"/>
    <w:pPr>
      <w:spacing w:after="10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B41E0"/>
    <w:pPr>
      <w:spacing w:after="10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B41E0"/>
    <w:pPr>
      <w:spacing w:after="10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B41E0"/>
    <w:pPr>
      <w:spacing w:after="10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B41E0"/>
    <w:pPr>
      <w:spacing w:after="10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B41E0"/>
    <w:pPr>
      <w:spacing w:after="1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B41E0"/>
    <w:pPr>
      <w:spacing w:after="1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B41E0"/>
    <w:pPr>
      <w:spacing w:after="10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B41E0"/>
    <w:pPr>
      <w:spacing w:after="10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B41E0"/>
    <w:pPr>
      <w:spacing w:after="10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B41E0"/>
    <w:pPr>
      <w:spacing w:after="1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B41E0"/>
    <w:pPr>
      <w:spacing w:after="10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B41E0"/>
    <w:pPr>
      <w:spacing w:after="10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B41E0"/>
    <w:pPr>
      <w:spacing w:after="10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B41E0"/>
    <w:pPr>
      <w:spacing w:after="10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B41E0"/>
    <w:pPr>
      <w:spacing w:after="10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B41E0"/>
    <w:pPr>
      <w:spacing w:after="10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B41E0"/>
    <w:pPr>
      <w:spacing w:after="1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B41E0"/>
    <w:pPr>
      <w:spacing w:after="10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B41E0"/>
    <w:pPr>
      <w:spacing w:after="10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B41E0"/>
    <w:pPr>
      <w:spacing w:after="10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B41E0"/>
    <w:pPr>
      <w:spacing w:after="1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B41E0"/>
    <w:pPr>
      <w:spacing w:after="1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B41E0"/>
    <w:pPr>
      <w:spacing w:after="10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B41E0"/>
    <w:pPr>
      <w:spacing w:after="10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B41E0"/>
    <w:pPr>
      <w:spacing w:after="10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B41E0"/>
    <w:pPr>
      <w:spacing w:after="10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B41E0"/>
    <w:pPr>
      <w:spacing w:after="10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B41E0"/>
    <w:pPr>
      <w:spacing w:after="1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B41E0"/>
    <w:pPr>
      <w:spacing w:after="10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B41E0"/>
    <w:pPr>
      <w:spacing w:after="10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B41E0"/>
    <w:pPr>
      <w:spacing w:after="10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B41E0"/>
    <w:pPr>
      <w:spacing w:before="240" w:after="60"/>
      <w:jc w:val="center"/>
      <w:outlineLvl w:val="0"/>
    </w:pPr>
    <w:rPr>
      <w:rFonts w:ascii="Arial" w:hAnsi="Arial"/>
      <w:b/>
      <w:bCs/>
      <w:kern w:val="28"/>
      <w:sz w:val="32"/>
      <w:szCs w:val="32"/>
    </w:rPr>
  </w:style>
  <w:style w:type="paragraph" w:styleId="E-mailSignature">
    <w:name w:val="E-mail Signature"/>
    <w:basedOn w:val="Normal"/>
    <w:semiHidden/>
    <w:rsid w:val="000B41E0"/>
  </w:style>
  <w:style w:type="paragraph" w:customStyle="1" w:styleId="HeadingTitlePage">
    <w:name w:val="Heading Title Page"/>
    <w:basedOn w:val="Normal"/>
    <w:rsid w:val="00B21C1A"/>
    <w:pPr>
      <w:jc w:val="center"/>
    </w:pPr>
    <w:rPr>
      <w:rFonts w:ascii="Arial Bold" w:hAnsi="Arial Bold"/>
      <w:b/>
      <w:sz w:val="52"/>
    </w:rPr>
  </w:style>
  <w:style w:type="paragraph" w:customStyle="1" w:styleId="TableTextLeftIndent">
    <w:name w:val="Table Text Left Indent"/>
    <w:basedOn w:val="Normal"/>
    <w:link w:val="TableTextLeftIndentChar"/>
    <w:rsid w:val="00803A39"/>
    <w:pPr>
      <w:spacing w:before="40" w:after="40"/>
      <w:ind w:left="243"/>
    </w:pPr>
    <w:rPr>
      <w:rFonts w:ascii="Arial" w:hAnsi="Arial"/>
      <w:sz w:val="18"/>
    </w:rPr>
  </w:style>
  <w:style w:type="paragraph" w:customStyle="1" w:styleId="TableTextHeadingLeft">
    <w:name w:val="Table Text Heading Left"/>
    <w:basedOn w:val="Normal"/>
    <w:link w:val="TableTextHeadingLeftChar"/>
    <w:rsid w:val="00F434A6"/>
    <w:pPr>
      <w:spacing w:before="40" w:after="40"/>
    </w:pPr>
    <w:rPr>
      <w:rFonts w:ascii="Arial" w:hAnsi="Arial"/>
      <w:b/>
      <w:sz w:val="18"/>
    </w:rPr>
  </w:style>
  <w:style w:type="paragraph" w:styleId="Footer">
    <w:name w:val="footer"/>
    <w:basedOn w:val="Normal"/>
    <w:link w:val="FooterChar"/>
    <w:uiPriority w:val="99"/>
    <w:rsid w:val="00CE75AA"/>
    <w:pPr>
      <w:tabs>
        <w:tab w:val="center" w:pos="4153"/>
        <w:tab w:val="right" w:pos="8306"/>
      </w:tabs>
    </w:pPr>
  </w:style>
  <w:style w:type="paragraph" w:styleId="Header">
    <w:name w:val="header"/>
    <w:aliases w:val="Char Char Char Char Char Char Char1 Char,Header Char Char Char Char,Header Char Char Char Char Char Char1 Char,Header Char Char1 Char,Header Char Char1 Char Char Char Char,Header Char1 Char,Header Char1 Char Char Char Char"/>
    <w:basedOn w:val="Normal"/>
    <w:link w:val="HeaderChar"/>
    <w:uiPriority w:val="99"/>
    <w:rsid w:val="00CE75AA"/>
    <w:pPr>
      <w:tabs>
        <w:tab w:val="center" w:pos="4153"/>
        <w:tab w:val="right" w:pos="8306"/>
      </w:tabs>
    </w:pPr>
  </w:style>
  <w:style w:type="character" w:styleId="PageNumber">
    <w:name w:val="page number"/>
    <w:basedOn w:val="DefaultParagraphFont"/>
    <w:semiHidden/>
    <w:rsid w:val="00CE75AA"/>
  </w:style>
  <w:style w:type="character" w:customStyle="1" w:styleId="Heading7Char">
    <w:name w:val="Heading 7 Char"/>
    <w:link w:val="Heading7"/>
    <w:rsid w:val="00050D2D"/>
    <w:rPr>
      <w:rFonts w:ascii="Arial" w:hAnsi="Arial"/>
      <w:sz w:val="18"/>
      <w:szCs w:val="24"/>
      <w:lang w:val="en-US" w:eastAsia="en-AU" w:bidi="ar-SA"/>
    </w:rPr>
  </w:style>
  <w:style w:type="paragraph" w:customStyle="1" w:styleId="TableTextBullet">
    <w:name w:val="Table Text Bullet"/>
    <w:basedOn w:val="Normal"/>
    <w:rsid w:val="00803A39"/>
    <w:pPr>
      <w:numPr>
        <w:numId w:val="14"/>
      </w:numPr>
      <w:spacing w:before="0" w:after="50"/>
    </w:pPr>
    <w:rPr>
      <w:rFonts w:ascii="Arial" w:hAnsi="Arial"/>
      <w:sz w:val="18"/>
    </w:rPr>
  </w:style>
  <w:style w:type="paragraph" w:customStyle="1" w:styleId="Bullet">
    <w:name w:val="Bullet"/>
    <w:basedOn w:val="Normal"/>
    <w:link w:val="BulletChar"/>
    <w:rsid w:val="00E8467A"/>
  </w:style>
  <w:style w:type="paragraph" w:customStyle="1" w:styleId="FigureHeading">
    <w:name w:val="Figure Heading"/>
    <w:basedOn w:val="Normal"/>
    <w:link w:val="FigureHeadingChar"/>
    <w:rsid w:val="00F61870"/>
    <w:pPr>
      <w:numPr>
        <w:numId w:val="25"/>
      </w:numPr>
    </w:pPr>
    <w:rPr>
      <w:rFonts w:ascii="Arial" w:hAnsi="Arial"/>
      <w:b/>
    </w:rPr>
  </w:style>
  <w:style w:type="paragraph" w:customStyle="1" w:styleId="TableHeading">
    <w:name w:val="Table Heading"/>
    <w:basedOn w:val="Normal"/>
    <w:next w:val="Normal"/>
    <w:link w:val="TableHeadingCharChar"/>
    <w:rsid w:val="00F012DB"/>
    <w:pPr>
      <w:spacing w:before="280"/>
    </w:pPr>
    <w:rPr>
      <w:rFonts w:ascii="Arial" w:hAnsi="Arial"/>
      <w:b/>
    </w:rPr>
  </w:style>
  <w:style w:type="paragraph" w:customStyle="1" w:styleId="NotesHeading">
    <w:name w:val="Notes Heading"/>
    <w:basedOn w:val="Normal"/>
    <w:link w:val="NotesHeadingChar"/>
    <w:rsid w:val="00FE7FBA"/>
    <w:rPr>
      <w:rFonts w:ascii="Arial" w:hAnsi="Arial"/>
      <w:b/>
      <w:sz w:val="16"/>
    </w:rPr>
  </w:style>
  <w:style w:type="paragraph" w:customStyle="1" w:styleId="NotesNumber">
    <w:name w:val="Notes Number"/>
    <w:basedOn w:val="Normal"/>
    <w:link w:val="NotesNumberCharChar"/>
    <w:rsid w:val="0066504B"/>
    <w:pPr>
      <w:numPr>
        <w:numId w:val="23"/>
      </w:numPr>
      <w:spacing w:before="0"/>
    </w:pPr>
    <w:rPr>
      <w:rFonts w:ascii="Arial" w:hAnsi="Arial"/>
      <w:sz w:val="16"/>
    </w:rPr>
  </w:style>
  <w:style w:type="paragraph" w:customStyle="1" w:styleId="TableTextRight">
    <w:name w:val="Table Text Right"/>
    <w:basedOn w:val="Normal"/>
    <w:rsid w:val="00803A39"/>
    <w:pPr>
      <w:spacing w:before="40" w:after="40"/>
      <w:jc w:val="right"/>
    </w:pPr>
    <w:rPr>
      <w:rFonts w:ascii="Arial" w:hAnsi="Arial"/>
      <w:sz w:val="18"/>
    </w:rPr>
  </w:style>
  <w:style w:type="paragraph" w:customStyle="1" w:styleId="Default">
    <w:name w:val="Default"/>
    <w:rsid w:val="001E1686"/>
    <w:pPr>
      <w:widowControl w:val="0"/>
      <w:autoSpaceDE w:val="0"/>
      <w:autoSpaceDN w:val="0"/>
      <w:adjustRightInd w:val="0"/>
    </w:pPr>
    <w:rPr>
      <w:rFonts w:ascii="Arial" w:hAnsi="Arial" w:cs="Arial"/>
      <w:color w:val="000000"/>
      <w:sz w:val="24"/>
      <w:szCs w:val="24"/>
    </w:rPr>
  </w:style>
  <w:style w:type="paragraph" w:customStyle="1" w:styleId="BulletDash">
    <w:name w:val="Bullet Dash"/>
    <w:basedOn w:val="Normal"/>
    <w:link w:val="BulletDashChar"/>
    <w:rsid w:val="00BF5C13"/>
    <w:pPr>
      <w:numPr>
        <w:numId w:val="16"/>
      </w:numPr>
    </w:pPr>
  </w:style>
  <w:style w:type="paragraph" w:styleId="NormalIndent">
    <w:name w:val="Normal Indent"/>
    <w:basedOn w:val="Normal"/>
    <w:rsid w:val="00E374A3"/>
    <w:pPr>
      <w:ind w:left="720"/>
    </w:pPr>
  </w:style>
  <w:style w:type="character" w:customStyle="1" w:styleId="Heading5Char">
    <w:name w:val="Heading 5 Char"/>
    <w:link w:val="Heading5"/>
    <w:rsid w:val="00CC2F9B"/>
    <w:rPr>
      <w:rFonts w:ascii="Arial" w:hAnsi="Arial" w:cs="Arial"/>
      <w:b/>
      <w:bCs/>
      <w:iCs/>
      <w:szCs w:val="26"/>
      <w:lang w:val="en-US" w:eastAsia="en-AU" w:bidi="ar-SA"/>
    </w:rPr>
  </w:style>
  <w:style w:type="character" w:customStyle="1" w:styleId="TableTextHeadingLeftChar">
    <w:name w:val="Table Text Heading Left Char"/>
    <w:link w:val="TableTextHeadingLeft"/>
    <w:rsid w:val="00F434A6"/>
    <w:rPr>
      <w:rFonts w:ascii="Arial" w:hAnsi="Arial" w:cs="Arial"/>
      <w:b/>
      <w:sz w:val="18"/>
      <w:szCs w:val="24"/>
      <w:lang w:val="en-US" w:eastAsia="en-AU" w:bidi="ar-SA"/>
    </w:rPr>
  </w:style>
  <w:style w:type="character" w:customStyle="1" w:styleId="Heading3Char">
    <w:name w:val="Heading 3 Char"/>
    <w:link w:val="Heading3"/>
    <w:rsid w:val="00050D2D"/>
    <w:rPr>
      <w:rFonts w:ascii="Arial Bold" w:hAnsi="Arial Bold" w:cs="Arial"/>
      <w:b/>
      <w:bCs/>
      <w:smallCaps/>
      <w:sz w:val="26"/>
      <w:szCs w:val="26"/>
      <w:lang w:val="en-US" w:eastAsia="en-AU" w:bidi="ar-SA"/>
    </w:rPr>
  </w:style>
  <w:style w:type="character" w:customStyle="1" w:styleId="HeaderChar">
    <w:name w:val="Header Char"/>
    <w:aliases w:val="Char Char Char Char Char Char Char1 Char Char,Header Char Char Char Char Char,Header Char Char Char Char Char Char1 Char Char,Header Char Char1 Char Char,Header Char Char1 Char Char Char Char Char,Header Char1 Char Char"/>
    <w:link w:val="Header"/>
    <w:uiPriority w:val="99"/>
    <w:rsid w:val="00394574"/>
    <w:rPr>
      <w:rFonts w:ascii="Book Antiqua" w:hAnsi="Book Antiqua" w:cs="Arial"/>
      <w:szCs w:val="24"/>
      <w:lang w:val="en-US" w:eastAsia="en-AU" w:bidi="ar-SA"/>
    </w:rPr>
  </w:style>
  <w:style w:type="character" w:customStyle="1" w:styleId="TableTextLeftIndentChar">
    <w:name w:val="Table Text Left Indent Char"/>
    <w:link w:val="TableTextLeftIndent"/>
    <w:rsid w:val="00803A39"/>
    <w:rPr>
      <w:rFonts w:ascii="Arial" w:hAnsi="Arial" w:cs="Arial"/>
      <w:sz w:val="18"/>
      <w:szCs w:val="24"/>
      <w:lang w:val="en-US" w:eastAsia="en-AU" w:bidi="ar-SA"/>
    </w:rPr>
  </w:style>
  <w:style w:type="paragraph" w:customStyle="1" w:styleId="Address">
    <w:name w:val="Address"/>
    <w:basedOn w:val="Normal"/>
    <w:rsid w:val="00210697"/>
    <w:pPr>
      <w:spacing w:before="0" w:after="0"/>
    </w:pPr>
  </w:style>
  <w:style w:type="character" w:customStyle="1" w:styleId="NotesNumberCharChar">
    <w:name w:val="Notes Number Char Char"/>
    <w:link w:val="NotesNumber"/>
    <w:rsid w:val="0066504B"/>
    <w:rPr>
      <w:rFonts w:ascii="Arial" w:hAnsi="Arial" w:cs="Arial"/>
      <w:sz w:val="16"/>
      <w:szCs w:val="24"/>
      <w:lang w:val="en-US"/>
    </w:rPr>
  </w:style>
  <w:style w:type="paragraph" w:customStyle="1" w:styleId="BulletDiamond">
    <w:name w:val="Bullet Diamond"/>
    <w:basedOn w:val="Normal"/>
    <w:rsid w:val="00580590"/>
    <w:pPr>
      <w:numPr>
        <w:numId w:val="17"/>
      </w:numPr>
      <w:spacing w:before="40" w:after="0"/>
      <w:ind w:left="964" w:hanging="340"/>
    </w:pPr>
  </w:style>
  <w:style w:type="paragraph" w:styleId="TOC1">
    <w:name w:val="toc 1"/>
    <w:basedOn w:val="Normal"/>
    <w:next w:val="Normal"/>
    <w:autoRedefine/>
    <w:uiPriority w:val="39"/>
    <w:rsid w:val="00EC093A"/>
    <w:pPr>
      <w:tabs>
        <w:tab w:val="right" w:leader="dot" w:pos="9062"/>
      </w:tabs>
      <w:spacing w:before="240"/>
      <w:ind w:right="28"/>
    </w:pPr>
    <w:rPr>
      <w:rFonts w:ascii="Arial Bold" w:hAnsi="Arial Bold"/>
      <w:caps/>
      <w:noProof/>
      <w:szCs w:val="20"/>
    </w:rPr>
  </w:style>
  <w:style w:type="paragraph" w:styleId="TOC2">
    <w:name w:val="toc 2"/>
    <w:basedOn w:val="Normal"/>
    <w:next w:val="Normal"/>
    <w:autoRedefine/>
    <w:uiPriority w:val="39"/>
    <w:rsid w:val="00FE7100"/>
    <w:pPr>
      <w:tabs>
        <w:tab w:val="right" w:leader="dot" w:pos="9062"/>
      </w:tabs>
      <w:spacing w:before="240"/>
      <w:ind w:right="28"/>
    </w:pPr>
    <w:rPr>
      <w:rFonts w:ascii="Arial Bold" w:hAnsi="Arial Bold"/>
      <w:b/>
      <w:caps/>
      <w:noProof/>
      <w:szCs w:val="20"/>
    </w:rPr>
  </w:style>
  <w:style w:type="paragraph" w:styleId="TOC3">
    <w:name w:val="toc 3"/>
    <w:basedOn w:val="Normal"/>
    <w:next w:val="Normal"/>
    <w:autoRedefine/>
    <w:uiPriority w:val="39"/>
    <w:rsid w:val="00A25490"/>
    <w:pPr>
      <w:tabs>
        <w:tab w:val="right" w:leader="dot" w:pos="9062"/>
      </w:tabs>
      <w:spacing w:before="120"/>
      <w:ind w:left="1134" w:hanging="1134"/>
    </w:pPr>
    <w:rPr>
      <w:rFonts w:ascii="Arial" w:hAnsi="Arial"/>
      <w:noProof/>
      <w:szCs w:val="20"/>
    </w:rPr>
  </w:style>
  <w:style w:type="paragraph" w:customStyle="1" w:styleId="ExampleText0">
    <w:name w:val="Example Text"/>
    <w:basedOn w:val="Normal"/>
    <w:rsid w:val="005B4311"/>
    <w:pPr>
      <w:spacing w:before="0" w:after="240" w:line="260" w:lineRule="exact"/>
    </w:pPr>
    <w:rPr>
      <w:rFonts w:cs="Times New Roman"/>
      <w:i/>
      <w:color w:val="FF0000"/>
      <w:szCs w:val="20"/>
      <w:lang w:val="en-AU"/>
    </w:rPr>
  </w:style>
  <w:style w:type="character" w:customStyle="1" w:styleId="Heading4Char">
    <w:name w:val="Heading 4 Char"/>
    <w:link w:val="Heading4"/>
    <w:rsid w:val="00050D2D"/>
    <w:rPr>
      <w:rFonts w:ascii="Arial" w:hAnsi="Arial"/>
      <w:b/>
      <w:bCs/>
      <w:sz w:val="22"/>
      <w:szCs w:val="28"/>
      <w:lang w:val="en-US" w:eastAsia="en-AU" w:bidi="ar-SA"/>
    </w:rPr>
  </w:style>
  <w:style w:type="paragraph" w:customStyle="1" w:styleId="Tablefigures">
    <w:name w:val="Table figures"/>
    <w:rsid w:val="00D6141B"/>
    <w:pPr>
      <w:spacing w:before="20" w:after="20"/>
      <w:jc w:val="right"/>
    </w:pPr>
    <w:rPr>
      <w:rFonts w:ascii="Arial" w:hAnsi="Arial"/>
      <w:sz w:val="18"/>
      <w:lang w:val="en-US"/>
    </w:rPr>
  </w:style>
  <w:style w:type="character" w:customStyle="1" w:styleId="TableHeadingCharChar">
    <w:name w:val="Table Heading Char Char"/>
    <w:link w:val="TableHeading"/>
    <w:rsid w:val="00F012DB"/>
    <w:rPr>
      <w:rFonts w:ascii="Arial" w:hAnsi="Arial" w:cs="Arial"/>
      <w:b/>
      <w:szCs w:val="24"/>
      <w:lang w:val="en-US"/>
    </w:rPr>
  </w:style>
  <w:style w:type="paragraph" w:customStyle="1" w:styleId="TabletextLeft">
    <w:name w:val="Table text Left"/>
    <w:basedOn w:val="Normal"/>
    <w:link w:val="TabletextLeftChar"/>
    <w:rsid w:val="00D63F38"/>
    <w:pPr>
      <w:spacing w:before="20" w:after="20"/>
    </w:pPr>
    <w:rPr>
      <w:rFonts w:ascii="Arial" w:hAnsi="Arial" w:cs="Times New Roman"/>
      <w:sz w:val="18"/>
      <w:szCs w:val="20"/>
    </w:rPr>
  </w:style>
  <w:style w:type="character" w:customStyle="1" w:styleId="Heading6Char">
    <w:name w:val="Heading 6 Char"/>
    <w:link w:val="Heading6"/>
    <w:rsid w:val="00050D2D"/>
    <w:rPr>
      <w:rFonts w:ascii="Arial" w:hAnsi="Arial"/>
      <w:bCs/>
      <w:szCs w:val="22"/>
      <w:lang w:val="en-US" w:eastAsia="en-AU" w:bidi="ar-SA"/>
    </w:rPr>
  </w:style>
  <w:style w:type="character" w:customStyle="1" w:styleId="NotesHeadingChar">
    <w:name w:val="Notes Heading Char"/>
    <w:link w:val="NotesHeading"/>
    <w:rsid w:val="00FE7FBA"/>
    <w:rPr>
      <w:rFonts w:ascii="Arial" w:hAnsi="Arial" w:cs="Arial"/>
      <w:b/>
      <w:sz w:val="16"/>
      <w:szCs w:val="24"/>
      <w:lang w:val="en-US" w:eastAsia="en-AU" w:bidi="ar-SA"/>
    </w:rPr>
  </w:style>
  <w:style w:type="paragraph" w:customStyle="1" w:styleId="HeadingRunIn">
    <w:name w:val="HeadingRunIn"/>
    <w:next w:val="Normal"/>
    <w:link w:val="HeadingRunInChar"/>
    <w:rsid w:val="00A54ADE"/>
    <w:pPr>
      <w:keepNext/>
      <w:autoSpaceDE w:val="0"/>
      <w:autoSpaceDN w:val="0"/>
      <w:adjustRightInd w:val="0"/>
      <w:spacing w:before="120" w:line="280" w:lineRule="atLeast"/>
    </w:pPr>
    <w:rPr>
      <w:b/>
      <w:bCs/>
      <w:color w:val="000000"/>
      <w:w w:val="0"/>
      <w:sz w:val="24"/>
      <w:szCs w:val="24"/>
      <w:lang w:val="en-GB"/>
    </w:rPr>
  </w:style>
  <w:style w:type="character" w:customStyle="1" w:styleId="TabletextLeftChar">
    <w:name w:val="Table text Left Char"/>
    <w:link w:val="TabletextLeft"/>
    <w:rsid w:val="00D63F38"/>
    <w:rPr>
      <w:rFonts w:ascii="Arial" w:hAnsi="Arial"/>
      <w:sz w:val="18"/>
      <w:lang w:val="en-US" w:eastAsia="en-AU" w:bidi="ar-SA"/>
    </w:rPr>
  </w:style>
  <w:style w:type="paragraph" w:customStyle="1" w:styleId="TPHeading2">
    <w:name w:val="TP Heading 2"/>
    <w:basedOn w:val="Normal"/>
    <w:rsid w:val="0030490B"/>
    <w:pPr>
      <w:keepNext/>
      <w:spacing w:before="0" w:after="0"/>
      <w:jc w:val="center"/>
    </w:pPr>
    <w:rPr>
      <w:rFonts w:ascii="Georgia" w:hAnsi="Georgia" w:cs="Times New Roman"/>
      <w:caps/>
      <w:sz w:val="28"/>
      <w:szCs w:val="20"/>
      <w:lang w:val="en-AU"/>
    </w:rPr>
  </w:style>
  <w:style w:type="paragraph" w:customStyle="1" w:styleId="TPHeading3">
    <w:name w:val="TP Heading 3"/>
    <w:basedOn w:val="Normal"/>
    <w:rsid w:val="0030490B"/>
    <w:pPr>
      <w:keepNext/>
      <w:spacing w:before="0" w:after="0"/>
      <w:jc w:val="center"/>
    </w:pPr>
    <w:rPr>
      <w:rFonts w:ascii="Georgia" w:hAnsi="Georgia" w:cs="Times New Roman"/>
      <w:caps/>
      <w:sz w:val="24"/>
      <w:szCs w:val="20"/>
      <w:lang w:val="en-AU"/>
    </w:rPr>
  </w:style>
  <w:style w:type="paragraph" w:customStyle="1" w:styleId="OrgChart">
    <w:name w:val="Org Chart"/>
    <w:basedOn w:val="Normal"/>
    <w:link w:val="OrgChartChar"/>
    <w:rsid w:val="007176E3"/>
    <w:pPr>
      <w:spacing w:before="0" w:after="0"/>
    </w:pPr>
    <w:rPr>
      <w:sz w:val="16"/>
    </w:rPr>
  </w:style>
  <w:style w:type="character" w:styleId="CommentReference">
    <w:name w:val="annotation reference"/>
    <w:uiPriority w:val="99"/>
    <w:semiHidden/>
    <w:rsid w:val="00E00112"/>
    <w:rPr>
      <w:sz w:val="16"/>
      <w:szCs w:val="16"/>
    </w:rPr>
  </w:style>
  <w:style w:type="paragraph" w:styleId="CommentText">
    <w:name w:val="annotation text"/>
    <w:basedOn w:val="Normal"/>
    <w:link w:val="CommentTextChar"/>
    <w:uiPriority w:val="99"/>
    <w:rsid w:val="00E00112"/>
    <w:pPr>
      <w:spacing w:before="0" w:after="0"/>
    </w:pPr>
    <w:rPr>
      <w:rFonts w:ascii="Arial Narrow" w:hAnsi="Arial Narrow" w:cs="Times New Roman"/>
      <w:szCs w:val="20"/>
      <w:lang w:val="en-AU"/>
    </w:rPr>
  </w:style>
  <w:style w:type="paragraph" w:styleId="BalloonText">
    <w:name w:val="Balloon Text"/>
    <w:basedOn w:val="Normal"/>
    <w:semiHidden/>
    <w:rsid w:val="00E00112"/>
    <w:rPr>
      <w:rFonts w:ascii="Tahoma" w:hAnsi="Tahoma" w:cs="Tahoma"/>
      <w:sz w:val="16"/>
      <w:szCs w:val="16"/>
    </w:rPr>
  </w:style>
  <w:style w:type="character" w:customStyle="1" w:styleId="BulletDashChar">
    <w:name w:val="Bullet Dash Char"/>
    <w:link w:val="BulletDash"/>
    <w:rsid w:val="00BF5C13"/>
    <w:rPr>
      <w:rFonts w:ascii="Book Antiqua" w:hAnsi="Book Antiqua" w:cs="Arial"/>
      <w:szCs w:val="24"/>
      <w:lang w:val="en-US"/>
    </w:rPr>
  </w:style>
  <w:style w:type="paragraph" w:styleId="FootnoteText">
    <w:name w:val="footnote text"/>
    <w:basedOn w:val="Normal"/>
    <w:link w:val="FootnoteTextChar"/>
    <w:semiHidden/>
    <w:rsid w:val="0069179E"/>
    <w:rPr>
      <w:szCs w:val="20"/>
    </w:rPr>
  </w:style>
  <w:style w:type="character" w:styleId="FootnoteReference">
    <w:name w:val="footnote reference"/>
    <w:semiHidden/>
    <w:rsid w:val="0069179E"/>
    <w:rPr>
      <w:vertAlign w:val="superscript"/>
    </w:rPr>
  </w:style>
  <w:style w:type="paragraph" w:customStyle="1" w:styleId="TableTextHeadingRight">
    <w:name w:val="Table Text Heading Right"/>
    <w:basedOn w:val="TableTextRight"/>
    <w:rsid w:val="00641544"/>
    <w:rPr>
      <w:b/>
    </w:rPr>
  </w:style>
  <w:style w:type="paragraph" w:customStyle="1" w:styleId="Notestext">
    <w:name w:val="Notes text"/>
    <w:basedOn w:val="NotesHeading"/>
    <w:link w:val="NotestextChar"/>
    <w:rsid w:val="00D6141B"/>
    <w:pPr>
      <w:keepNext/>
      <w:tabs>
        <w:tab w:val="num" w:pos="1209"/>
      </w:tabs>
      <w:spacing w:before="0" w:after="0"/>
      <w:ind w:left="1209" w:hanging="360"/>
    </w:pPr>
    <w:rPr>
      <w:rFonts w:cs="Times New Roman"/>
      <w:b w:val="0"/>
      <w:szCs w:val="20"/>
      <w:lang w:val="en-AU"/>
    </w:rPr>
  </w:style>
  <w:style w:type="character" w:customStyle="1" w:styleId="NotestextChar">
    <w:name w:val="Notes text Char"/>
    <w:link w:val="Notestext"/>
    <w:rsid w:val="00D6141B"/>
    <w:rPr>
      <w:rFonts w:ascii="Arial" w:hAnsi="Arial" w:cs="Arial"/>
      <w:b/>
      <w:sz w:val="16"/>
      <w:szCs w:val="24"/>
      <w:lang w:val="en-AU" w:eastAsia="en-AU" w:bidi="ar-SA"/>
    </w:rPr>
  </w:style>
  <w:style w:type="character" w:customStyle="1" w:styleId="BulletChar">
    <w:name w:val="Bullet Char"/>
    <w:link w:val="Bullet"/>
    <w:rsid w:val="00605A81"/>
    <w:rPr>
      <w:rFonts w:ascii="Book Antiqua" w:hAnsi="Book Antiqua" w:cs="Arial"/>
      <w:szCs w:val="24"/>
      <w:lang w:val="en-US"/>
    </w:rPr>
  </w:style>
  <w:style w:type="character" w:customStyle="1" w:styleId="OrgChartChar">
    <w:name w:val="Org Chart Char"/>
    <w:link w:val="OrgChart"/>
    <w:rsid w:val="007176E3"/>
    <w:rPr>
      <w:rFonts w:ascii="Book Antiqua" w:hAnsi="Book Antiqua" w:cs="Arial"/>
      <w:sz w:val="16"/>
      <w:szCs w:val="24"/>
      <w:lang w:val="en-US" w:eastAsia="en-AU" w:bidi="ar-SA"/>
    </w:rPr>
  </w:style>
  <w:style w:type="paragraph" w:customStyle="1" w:styleId="TPHeading1">
    <w:name w:val="TP Heading 1"/>
    <w:basedOn w:val="TPHeading2"/>
    <w:next w:val="TPHeading2"/>
    <w:rsid w:val="0030490B"/>
    <w:rPr>
      <w:b/>
      <w:szCs w:val="28"/>
    </w:rPr>
  </w:style>
  <w:style w:type="paragraph" w:customStyle="1" w:styleId="SingleParagraph">
    <w:name w:val="Single Paragraph"/>
    <w:basedOn w:val="Normal"/>
    <w:rsid w:val="00002413"/>
    <w:pPr>
      <w:spacing w:before="0" w:after="0" w:line="260" w:lineRule="exact"/>
      <w:jc w:val="both"/>
    </w:pPr>
    <w:rPr>
      <w:rFonts w:cs="Times New Roman"/>
      <w:szCs w:val="20"/>
      <w:lang w:val="en-AU"/>
    </w:rPr>
  </w:style>
  <w:style w:type="paragraph" w:customStyle="1" w:styleId="TransmittalAddressee">
    <w:name w:val="Transmittal Addressee"/>
    <w:basedOn w:val="Normal"/>
    <w:rsid w:val="00002413"/>
    <w:pPr>
      <w:spacing w:before="0" w:after="0" w:line="260" w:lineRule="exact"/>
      <w:jc w:val="both"/>
    </w:pPr>
    <w:rPr>
      <w:rFonts w:cs="Times New Roman"/>
      <w:szCs w:val="20"/>
      <w:lang w:val="en-AU"/>
    </w:rPr>
  </w:style>
  <w:style w:type="paragraph" w:styleId="CommentSubject">
    <w:name w:val="annotation subject"/>
    <w:basedOn w:val="CommentText"/>
    <w:next w:val="CommentText"/>
    <w:semiHidden/>
    <w:rsid w:val="00133303"/>
    <w:pPr>
      <w:spacing w:before="100" w:after="100"/>
    </w:pPr>
    <w:rPr>
      <w:rFonts w:ascii="Book Antiqua" w:hAnsi="Book Antiqua" w:cs="Arial"/>
      <w:b/>
      <w:bCs/>
      <w:lang w:val="en-US"/>
    </w:rPr>
  </w:style>
  <w:style w:type="paragraph" w:customStyle="1" w:styleId="msolistparagraph0">
    <w:name w:val="msolistparagraph"/>
    <w:basedOn w:val="Normal"/>
    <w:rsid w:val="00975661"/>
    <w:pPr>
      <w:spacing w:before="0" w:after="0"/>
      <w:ind w:left="720"/>
    </w:pPr>
    <w:rPr>
      <w:rFonts w:ascii="Calibri" w:hAnsi="Calibri" w:cs="Times New Roman"/>
      <w:sz w:val="22"/>
      <w:szCs w:val="22"/>
      <w:lang w:val="en-AU" w:eastAsia="en-US"/>
    </w:rPr>
  </w:style>
  <w:style w:type="paragraph" w:customStyle="1" w:styleId="Pa6">
    <w:name w:val="Pa6"/>
    <w:basedOn w:val="Default"/>
    <w:next w:val="Default"/>
    <w:rsid w:val="00E901DB"/>
    <w:pPr>
      <w:widowControl/>
      <w:spacing w:line="161" w:lineRule="atLeast"/>
    </w:pPr>
    <w:rPr>
      <w:rFonts w:ascii="Helvetica 45 Light" w:hAnsi="Helvetica 45 Light" w:cs="Times New Roman"/>
      <w:color w:val="auto"/>
    </w:rPr>
  </w:style>
  <w:style w:type="paragraph" w:customStyle="1" w:styleId="Exampletextbullet">
    <w:name w:val="Example text bullet"/>
    <w:basedOn w:val="Normal"/>
    <w:rsid w:val="000D2D55"/>
    <w:pPr>
      <w:numPr>
        <w:numId w:val="19"/>
      </w:numPr>
      <w:spacing w:before="0" w:after="240" w:line="260" w:lineRule="exact"/>
      <w:jc w:val="both"/>
    </w:pPr>
    <w:rPr>
      <w:rFonts w:cs="Times New Roman"/>
      <w:i/>
      <w:color w:val="FF0000"/>
      <w:szCs w:val="20"/>
      <w:lang w:val="en-AU"/>
    </w:rPr>
  </w:style>
  <w:style w:type="paragraph" w:customStyle="1" w:styleId="Exampletextdash">
    <w:name w:val="Example text dash"/>
    <w:basedOn w:val="Exampletextbullet"/>
    <w:rsid w:val="000D2D55"/>
    <w:pPr>
      <w:numPr>
        <w:ilvl w:val="1"/>
      </w:numPr>
      <w:tabs>
        <w:tab w:val="clear" w:pos="567"/>
        <w:tab w:val="num" w:pos="360"/>
      </w:tabs>
    </w:pPr>
  </w:style>
  <w:style w:type="paragraph" w:customStyle="1" w:styleId="TabletextheadingRight0">
    <w:name w:val="Table text heading Right"/>
    <w:basedOn w:val="Normal"/>
    <w:rsid w:val="002A3EF5"/>
    <w:pPr>
      <w:spacing w:before="60" w:after="20" w:line="260" w:lineRule="exact"/>
      <w:jc w:val="right"/>
    </w:pPr>
    <w:rPr>
      <w:rFonts w:ascii="Arial" w:hAnsi="Arial" w:cs="Times New Roman"/>
      <w:b/>
      <w:sz w:val="18"/>
      <w:szCs w:val="20"/>
      <w:lang w:val="en-AU"/>
    </w:rPr>
  </w:style>
  <w:style w:type="paragraph" w:customStyle="1" w:styleId="TableTextLeft0">
    <w:name w:val="Table Text Left"/>
    <w:basedOn w:val="Normal"/>
    <w:link w:val="TableTextLeftChar0"/>
    <w:rsid w:val="007B3F26"/>
    <w:pPr>
      <w:spacing w:before="40" w:after="40"/>
    </w:pPr>
    <w:rPr>
      <w:rFonts w:ascii="Arial" w:hAnsi="Arial"/>
      <w:sz w:val="18"/>
    </w:rPr>
  </w:style>
  <w:style w:type="character" w:customStyle="1" w:styleId="TableTextLeftChar0">
    <w:name w:val="Table Text Left Char"/>
    <w:link w:val="TableTextLeft0"/>
    <w:rsid w:val="007B3F26"/>
    <w:rPr>
      <w:rFonts w:ascii="Arial" w:hAnsi="Arial" w:cs="Arial"/>
      <w:sz w:val="18"/>
      <w:szCs w:val="24"/>
      <w:lang w:val="en-US" w:eastAsia="en-AU" w:bidi="ar-SA"/>
    </w:rPr>
  </w:style>
  <w:style w:type="character" w:customStyle="1" w:styleId="NotesNumberChar">
    <w:name w:val="Notes Number Char"/>
    <w:rsid w:val="007B3F26"/>
    <w:rPr>
      <w:rFonts w:ascii="Arial" w:hAnsi="Arial" w:cs="Arial"/>
      <w:sz w:val="16"/>
      <w:szCs w:val="24"/>
      <w:lang w:val="en-US" w:eastAsia="en-AU" w:bidi="ar-SA"/>
    </w:rPr>
  </w:style>
  <w:style w:type="character" w:customStyle="1" w:styleId="TableHeadingChar">
    <w:name w:val="Table Heading Char"/>
    <w:rsid w:val="007B3F26"/>
    <w:rPr>
      <w:rFonts w:ascii="Arial" w:hAnsi="Arial" w:cs="Arial"/>
      <w:b/>
      <w:szCs w:val="24"/>
      <w:lang w:val="en-US" w:eastAsia="en-AU" w:bidi="ar-SA"/>
    </w:rPr>
  </w:style>
  <w:style w:type="character" w:customStyle="1" w:styleId="Heading1Char">
    <w:name w:val="Heading 1 Char"/>
    <w:link w:val="Heading1"/>
    <w:rsid w:val="00D84C10"/>
    <w:rPr>
      <w:rFonts w:ascii="Arial Bold" w:hAnsi="Arial Bold" w:cs="Arial"/>
      <w:b/>
      <w:bCs/>
      <w:smallCaps/>
      <w:kern w:val="32"/>
      <w:sz w:val="34"/>
      <w:szCs w:val="32"/>
      <w:lang w:val="en-US"/>
    </w:rPr>
  </w:style>
  <w:style w:type="paragraph" w:customStyle="1" w:styleId="BodyText1">
    <w:name w:val="Body Text1"/>
    <w:basedOn w:val="Normal"/>
    <w:rsid w:val="007B3F26"/>
    <w:pPr>
      <w:spacing w:before="60" w:after="60"/>
    </w:pPr>
    <w:rPr>
      <w:rFonts w:cs="Times New Roman"/>
      <w:szCs w:val="20"/>
      <w:lang w:val="en-AU"/>
    </w:rPr>
  </w:style>
  <w:style w:type="paragraph" w:customStyle="1" w:styleId="NormalParagraph">
    <w:name w:val="Normal Paragraph"/>
    <w:link w:val="NormalParagraphChar"/>
    <w:rsid w:val="007B3F26"/>
    <w:pPr>
      <w:spacing w:after="120" w:line="260" w:lineRule="exact"/>
    </w:pPr>
    <w:rPr>
      <w:rFonts w:ascii="Book Antiqua" w:hAnsi="Book Antiqua"/>
      <w:szCs w:val="24"/>
      <w:lang w:eastAsia="en-US"/>
    </w:rPr>
  </w:style>
  <w:style w:type="character" w:customStyle="1" w:styleId="NormalParagraphChar">
    <w:name w:val="Normal Paragraph Char"/>
    <w:link w:val="NormalParagraph"/>
    <w:rsid w:val="007B3F26"/>
    <w:rPr>
      <w:rFonts w:ascii="Book Antiqua" w:hAnsi="Book Antiqua"/>
      <w:szCs w:val="24"/>
      <w:lang w:val="en-AU" w:eastAsia="en-US" w:bidi="ar-SA"/>
    </w:rPr>
  </w:style>
  <w:style w:type="character" w:customStyle="1" w:styleId="HeadingRunInChar">
    <w:name w:val="HeadingRunIn Char"/>
    <w:link w:val="HeadingRunIn"/>
    <w:rsid w:val="007B3F26"/>
    <w:rPr>
      <w:b/>
      <w:bCs/>
      <w:color w:val="000000"/>
      <w:w w:val="0"/>
      <w:sz w:val="24"/>
      <w:szCs w:val="24"/>
      <w:lang w:val="en-GB" w:eastAsia="en-AU" w:bidi="ar-SA"/>
    </w:rPr>
  </w:style>
  <w:style w:type="paragraph" w:customStyle="1" w:styleId="Dash">
    <w:name w:val="Dash"/>
    <w:basedOn w:val="Bullet"/>
    <w:rsid w:val="007B3F26"/>
    <w:pPr>
      <w:tabs>
        <w:tab w:val="left" w:pos="0"/>
        <w:tab w:val="num" w:pos="1800"/>
      </w:tabs>
      <w:spacing w:before="0" w:after="120" w:line="260" w:lineRule="exact"/>
      <w:jc w:val="both"/>
    </w:pPr>
    <w:rPr>
      <w:rFonts w:cs="Times New Roman"/>
      <w:szCs w:val="20"/>
      <w:lang w:val="en-AU"/>
    </w:rPr>
  </w:style>
  <w:style w:type="paragraph" w:customStyle="1" w:styleId="Levela">
    <w:name w:val="Level (a)"/>
    <w:basedOn w:val="Normal"/>
    <w:rsid w:val="007B3F26"/>
    <w:pPr>
      <w:numPr>
        <w:numId w:val="20"/>
      </w:numPr>
      <w:spacing w:before="60" w:after="60"/>
      <w:jc w:val="both"/>
    </w:pPr>
    <w:rPr>
      <w:rFonts w:ascii="Arial" w:hAnsi="Arial" w:cs="Times New Roman"/>
      <w:sz w:val="22"/>
      <w:szCs w:val="20"/>
      <w:lang w:val="en-AU"/>
    </w:rPr>
  </w:style>
  <w:style w:type="character" w:customStyle="1" w:styleId="StyleArial9pt">
    <w:name w:val="Style Arial 9 pt"/>
    <w:rsid w:val="007B3F26"/>
    <w:rPr>
      <w:rFonts w:ascii="Book Antiqua" w:hAnsi="Book Antiqua"/>
      <w:sz w:val="20"/>
    </w:rPr>
  </w:style>
  <w:style w:type="paragraph" w:customStyle="1" w:styleId="DepartmentalSubtitle">
    <w:name w:val="Departmental Subtitle"/>
    <w:basedOn w:val="HeadingTitlePage"/>
    <w:rsid w:val="00B21C1A"/>
    <w:rPr>
      <w:sz w:val="44"/>
    </w:rPr>
  </w:style>
  <w:style w:type="character" w:customStyle="1" w:styleId="Heading2Char">
    <w:name w:val="Heading 2 Char"/>
    <w:link w:val="Heading2"/>
    <w:rsid w:val="0016104D"/>
    <w:rPr>
      <w:rFonts w:ascii="Arial" w:hAnsi="Arial" w:cs="Arial"/>
      <w:bCs/>
      <w:iCs/>
      <w:sz w:val="30"/>
      <w:szCs w:val="28"/>
      <w:lang w:val="en-US" w:eastAsia="en-AU" w:bidi="ar-SA"/>
    </w:rPr>
  </w:style>
  <w:style w:type="paragraph" w:customStyle="1" w:styleId="SinglePara">
    <w:name w:val="Single Para"/>
    <w:basedOn w:val="Normal"/>
    <w:link w:val="SingleParaChar"/>
    <w:rsid w:val="000A1BC6"/>
    <w:pPr>
      <w:spacing w:before="0" w:after="0" w:line="260" w:lineRule="exact"/>
    </w:pPr>
    <w:rPr>
      <w:rFonts w:cs="Times New Roman"/>
      <w:szCs w:val="20"/>
      <w:lang w:val="en-AU"/>
    </w:rPr>
  </w:style>
  <w:style w:type="paragraph" w:customStyle="1" w:styleId="PartHeading">
    <w:name w:val="Part Heading"/>
    <w:basedOn w:val="Normal"/>
    <w:next w:val="Normal"/>
    <w:rsid w:val="000A1BC6"/>
    <w:pPr>
      <w:spacing w:before="240" w:after="240"/>
      <w:jc w:val="center"/>
    </w:pPr>
    <w:rPr>
      <w:rFonts w:ascii="Arial Bold" w:hAnsi="Arial Bold"/>
      <w:b/>
      <w:smallCaps/>
      <w:sz w:val="48"/>
      <w:szCs w:val="20"/>
      <w:lang w:val="en-AU"/>
    </w:rPr>
  </w:style>
  <w:style w:type="character" w:customStyle="1" w:styleId="CharChar2">
    <w:name w:val="Char Char2"/>
    <w:rsid w:val="00F3654F"/>
    <w:rPr>
      <w:rFonts w:ascii="Arial" w:hAnsi="Arial"/>
      <w:bCs/>
      <w:szCs w:val="22"/>
      <w:lang w:val="en-US" w:eastAsia="en-AU" w:bidi="ar-SA"/>
    </w:rPr>
  </w:style>
  <w:style w:type="character" w:customStyle="1" w:styleId="CharChar5">
    <w:name w:val="Char Char5"/>
    <w:rsid w:val="003F2178"/>
    <w:rPr>
      <w:rFonts w:ascii="Arial Bold" w:hAnsi="Arial Bold" w:cs="Arial"/>
      <w:b/>
      <w:bCs/>
      <w:smallCaps/>
      <w:sz w:val="26"/>
      <w:szCs w:val="26"/>
      <w:lang w:val="en-US" w:eastAsia="en-AU" w:bidi="ar-SA"/>
    </w:rPr>
  </w:style>
  <w:style w:type="character" w:customStyle="1" w:styleId="CharChar4">
    <w:name w:val="Char Char4"/>
    <w:rsid w:val="003F2178"/>
    <w:rPr>
      <w:rFonts w:ascii="Arial" w:hAnsi="Arial"/>
      <w:b/>
      <w:bCs/>
      <w:sz w:val="22"/>
      <w:szCs w:val="28"/>
      <w:lang w:val="en-US" w:eastAsia="en-AU" w:bidi="ar-SA"/>
    </w:rPr>
  </w:style>
  <w:style w:type="character" w:customStyle="1" w:styleId="CharChar">
    <w:name w:val="Char Char"/>
    <w:rsid w:val="00560D5B"/>
    <w:rPr>
      <w:rFonts w:ascii="Book Antiqua" w:hAnsi="Book Antiqua" w:cs="Arial"/>
      <w:szCs w:val="24"/>
      <w:lang w:val="en-US" w:eastAsia="en-AU" w:bidi="ar-SA"/>
    </w:rPr>
  </w:style>
  <w:style w:type="character" w:customStyle="1" w:styleId="CharChar7">
    <w:name w:val="Char Char7"/>
    <w:rsid w:val="00560D5B"/>
    <w:rPr>
      <w:rFonts w:ascii="Arial Bold" w:hAnsi="Arial Bold" w:cs="Arial"/>
      <w:b/>
      <w:bCs/>
      <w:smallCaps/>
      <w:kern w:val="32"/>
      <w:sz w:val="34"/>
      <w:szCs w:val="32"/>
      <w:lang w:val="en-US" w:eastAsia="en-AU" w:bidi="ar-SA"/>
    </w:rPr>
  </w:style>
  <w:style w:type="paragraph" w:customStyle="1" w:styleId="BoxBullet">
    <w:name w:val="Box Bullet"/>
    <w:basedOn w:val="Normal"/>
    <w:rsid w:val="00F03C2F"/>
    <w:pPr>
      <w:numPr>
        <w:numId w:val="22"/>
      </w:numPr>
      <w:spacing w:before="0" w:after="120"/>
      <w:jc w:val="both"/>
    </w:pPr>
    <w:rPr>
      <w:rFonts w:cs="Times New Roman"/>
      <w:color w:val="000000"/>
      <w:szCs w:val="20"/>
      <w:lang w:val="en-AU"/>
    </w:rPr>
  </w:style>
  <w:style w:type="paragraph" w:customStyle="1" w:styleId="BoxDash">
    <w:name w:val="Box Dash"/>
    <w:basedOn w:val="Normal"/>
    <w:rsid w:val="00F03C2F"/>
    <w:pPr>
      <w:numPr>
        <w:ilvl w:val="1"/>
        <w:numId w:val="22"/>
      </w:numPr>
      <w:spacing w:before="0" w:after="240" w:line="260" w:lineRule="exact"/>
      <w:jc w:val="both"/>
    </w:pPr>
    <w:rPr>
      <w:rFonts w:cs="Times New Roman"/>
      <w:color w:val="000000"/>
      <w:szCs w:val="20"/>
      <w:lang w:val="en-AU"/>
    </w:rPr>
  </w:style>
  <w:style w:type="paragraph" w:customStyle="1" w:styleId="BoxDoubleDot">
    <w:name w:val="Box Double Dot"/>
    <w:basedOn w:val="Normal"/>
    <w:rsid w:val="00F03C2F"/>
    <w:pPr>
      <w:numPr>
        <w:ilvl w:val="2"/>
        <w:numId w:val="22"/>
      </w:numPr>
      <w:spacing w:before="0" w:after="120" w:line="260" w:lineRule="exact"/>
      <w:jc w:val="both"/>
    </w:pPr>
    <w:rPr>
      <w:rFonts w:cs="Times New Roman"/>
      <w:color w:val="000000"/>
      <w:szCs w:val="20"/>
      <w:lang w:val="en-AU"/>
    </w:rPr>
  </w:style>
  <w:style w:type="character" w:customStyle="1" w:styleId="CharChar3">
    <w:name w:val="Char Char3"/>
    <w:rsid w:val="00F03C2F"/>
    <w:rPr>
      <w:rFonts w:ascii="Book Antiqua" w:hAnsi="Book Antiqua"/>
      <w:i/>
    </w:rPr>
  </w:style>
  <w:style w:type="paragraph" w:customStyle="1" w:styleId="TableColumnHeadingLeft">
    <w:name w:val="Table Column Heading Left"/>
    <w:basedOn w:val="Normal"/>
    <w:next w:val="TableTextLeft0"/>
    <w:rsid w:val="002A59C2"/>
    <w:pPr>
      <w:spacing w:before="60" w:after="60"/>
    </w:pPr>
    <w:rPr>
      <w:rFonts w:ascii="Arial" w:hAnsi="Arial" w:cs="Times New Roman"/>
      <w:b/>
      <w:szCs w:val="20"/>
      <w:lang w:val="en-AU"/>
    </w:rPr>
  </w:style>
  <w:style w:type="paragraph" w:customStyle="1" w:styleId="Tabletextleft1">
    <w:name w:val="Table text left"/>
    <w:basedOn w:val="Normal"/>
    <w:link w:val="TabletextleftChar1"/>
    <w:rsid w:val="00E67FD5"/>
    <w:pPr>
      <w:spacing w:before="60" w:after="60"/>
    </w:pPr>
    <w:rPr>
      <w:rFonts w:ascii="Arial" w:hAnsi="Arial" w:cs="Times New Roman"/>
      <w:sz w:val="18"/>
      <w:szCs w:val="20"/>
      <w:lang w:val="en-AU"/>
    </w:rPr>
  </w:style>
  <w:style w:type="character" w:customStyle="1" w:styleId="TabletextleftChar1">
    <w:name w:val="Table text left Char"/>
    <w:link w:val="Tabletextleft1"/>
    <w:locked/>
    <w:rsid w:val="00E67FD5"/>
    <w:rPr>
      <w:rFonts w:ascii="Arial" w:hAnsi="Arial"/>
      <w:sz w:val="18"/>
      <w:lang w:val="en-AU" w:eastAsia="en-AU" w:bidi="ar-SA"/>
    </w:rPr>
  </w:style>
  <w:style w:type="character" w:customStyle="1" w:styleId="A9">
    <w:name w:val="A9"/>
    <w:rsid w:val="00ED1E60"/>
    <w:rPr>
      <w:color w:val="000000"/>
      <w:sz w:val="20"/>
    </w:rPr>
  </w:style>
  <w:style w:type="paragraph" w:customStyle="1" w:styleId="ChartandTableFootnote">
    <w:name w:val="Chart and Table Footnote"/>
    <w:basedOn w:val="Normal"/>
    <w:next w:val="Normal"/>
    <w:link w:val="ChartandTableFootnoteChar"/>
    <w:rsid w:val="003C602D"/>
    <w:pPr>
      <w:tabs>
        <w:tab w:val="left" w:pos="284"/>
      </w:tabs>
      <w:spacing w:before="0" w:after="0"/>
      <w:jc w:val="both"/>
    </w:pPr>
    <w:rPr>
      <w:rFonts w:ascii="Arial" w:hAnsi="Arial" w:cs="Times New Roman"/>
      <w:color w:val="000000"/>
      <w:sz w:val="16"/>
      <w:szCs w:val="20"/>
      <w:lang w:val="x-none" w:eastAsia="x-none"/>
    </w:rPr>
  </w:style>
  <w:style w:type="character" w:customStyle="1" w:styleId="ChartandTableFootnoteChar">
    <w:name w:val="Chart and Table Footnote Char"/>
    <w:link w:val="ChartandTableFootnote"/>
    <w:rsid w:val="003C602D"/>
    <w:rPr>
      <w:rFonts w:ascii="Arial" w:hAnsi="Arial"/>
      <w:color w:val="000000"/>
      <w:sz w:val="16"/>
      <w:lang w:val="x-none" w:eastAsia="x-none" w:bidi="ar-SA"/>
    </w:rPr>
  </w:style>
  <w:style w:type="paragraph" w:styleId="DocumentMap">
    <w:name w:val="Document Map"/>
    <w:basedOn w:val="Normal"/>
    <w:semiHidden/>
    <w:rsid w:val="00C50F94"/>
    <w:pPr>
      <w:shd w:val="clear" w:color="auto" w:fill="000080"/>
    </w:pPr>
    <w:rPr>
      <w:rFonts w:ascii="Tahoma" w:hAnsi="Tahoma"/>
      <w:szCs w:val="20"/>
    </w:rPr>
  </w:style>
  <w:style w:type="paragraph" w:customStyle="1" w:styleId="Heading1noTOC">
    <w:name w:val="Heading 1 no TOC"/>
    <w:basedOn w:val="Heading1"/>
    <w:rsid w:val="00CB1F27"/>
    <w:pPr>
      <w:spacing w:before="0" w:after="360"/>
      <w:outlineLvl w:val="9"/>
    </w:pPr>
    <w:rPr>
      <w:rFonts w:ascii="Arial" w:hAnsi="Arial" w:cs="Times New Roman"/>
      <w:bCs w:val="0"/>
      <w:kern w:val="28"/>
      <w:szCs w:val="20"/>
      <w:lang w:val="en-AU"/>
    </w:rPr>
  </w:style>
  <w:style w:type="character" w:customStyle="1" w:styleId="FigureHeadingChar">
    <w:name w:val="Figure Heading Char"/>
    <w:link w:val="FigureHeading"/>
    <w:rsid w:val="00687B4B"/>
    <w:rPr>
      <w:rFonts w:ascii="Arial" w:hAnsi="Arial" w:cs="Arial"/>
      <w:b/>
      <w:szCs w:val="24"/>
      <w:lang w:val="en-US"/>
    </w:rPr>
  </w:style>
  <w:style w:type="character" w:customStyle="1" w:styleId="CharChar9">
    <w:name w:val="Char Char9"/>
    <w:rsid w:val="003E1A81"/>
    <w:rPr>
      <w:rFonts w:ascii="Arial" w:hAnsi="Arial" w:cs="Arial"/>
      <w:b/>
      <w:bCs/>
      <w:iCs/>
      <w:szCs w:val="26"/>
      <w:lang w:val="en-US" w:eastAsia="en-AU" w:bidi="ar-SA"/>
    </w:rPr>
  </w:style>
  <w:style w:type="paragraph" w:customStyle="1" w:styleId="Pa2">
    <w:name w:val="Pa2"/>
    <w:basedOn w:val="Normal"/>
    <w:next w:val="Normal"/>
    <w:rsid w:val="00855B52"/>
    <w:pPr>
      <w:autoSpaceDE w:val="0"/>
      <w:autoSpaceDN w:val="0"/>
      <w:adjustRightInd w:val="0"/>
      <w:spacing w:before="0" w:after="0" w:line="191" w:lineRule="atLeast"/>
    </w:pPr>
    <w:rPr>
      <w:rFonts w:ascii="MetaNormalLF-Roman" w:eastAsia="Calibri" w:hAnsi="MetaNormalLF-Roman" w:cs="Times New Roman"/>
      <w:sz w:val="24"/>
      <w:lang w:val="en-AU"/>
    </w:rPr>
  </w:style>
  <w:style w:type="paragraph" w:customStyle="1" w:styleId="aNotesalpha">
    <w:name w:val="a. Notes alpha"/>
    <w:basedOn w:val="NotesNumber"/>
    <w:rsid w:val="001362A3"/>
    <w:pPr>
      <w:numPr>
        <w:numId w:val="18"/>
      </w:numPr>
    </w:pPr>
  </w:style>
  <w:style w:type="character" w:customStyle="1" w:styleId="SingleParaChar">
    <w:name w:val="Single Para Char"/>
    <w:link w:val="SinglePara"/>
    <w:rsid w:val="00120BC2"/>
    <w:rPr>
      <w:rFonts w:ascii="Book Antiqua" w:hAnsi="Book Antiqua"/>
      <w:lang w:val="en-AU" w:eastAsia="en-AU" w:bidi="ar-SA"/>
    </w:rPr>
  </w:style>
  <w:style w:type="paragraph" w:styleId="TOCHeading">
    <w:name w:val="TOC Heading"/>
    <w:basedOn w:val="Heading1"/>
    <w:next w:val="Normal"/>
    <w:uiPriority w:val="39"/>
    <w:unhideWhenUsed/>
    <w:qFormat/>
    <w:rsid w:val="00C5719B"/>
    <w:pPr>
      <w:keepLines/>
      <w:spacing w:before="480" w:after="0" w:line="276" w:lineRule="auto"/>
      <w:jc w:val="left"/>
      <w:outlineLvl w:val="9"/>
    </w:pPr>
    <w:rPr>
      <w:rFonts w:ascii="Cambria" w:eastAsia="MS Gothic" w:hAnsi="Cambria" w:cs="Times New Roman"/>
      <w:smallCaps w:val="0"/>
      <w:color w:val="365F91"/>
      <w:kern w:val="0"/>
      <w:sz w:val="28"/>
      <w:szCs w:val="28"/>
      <w:lang w:eastAsia="ja-JP"/>
    </w:rPr>
  </w:style>
  <w:style w:type="paragraph" w:styleId="ListParagraph">
    <w:name w:val="List Paragraph"/>
    <w:aliases w:val="CV text,Dot pt,F5 List Paragraph,L,List Paragraph1,List Paragraph11,List Paragraph111,List Paragraph2,Medium Grid 1 - Accent 21,Numbered Paragraph,Recommendation,Table text,AR bullet 1,Bullet Points,Bullet point,Executive Summary List,列出"/>
    <w:basedOn w:val="Normal"/>
    <w:link w:val="ListParagraphChar"/>
    <w:uiPriority w:val="1"/>
    <w:qFormat/>
    <w:rsid w:val="00502331"/>
    <w:pPr>
      <w:ind w:left="720"/>
      <w:contextualSpacing/>
    </w:pPr>
  </w:style>
  <w:style w:type="character" w:customStyle="1" w:styleId="FooterChar">
    <w:name w:val="Footer Char"/>
    <w:link w:val="Footer"/>
    <w:uiPriority w:val="99"/>
    <w:rsid w:val="00025F35"/>
    <w:rPr>
      <w:rFonts w:ascii="Book Antiqua" w:hAnsi="Book Antiqua" w:cs="Arial"/>
      <w:szCs w:val="24"/>
      <w:lang w:val="en-US"/>
    </w:rPr>
  </w:style>
  <w:style w:type="character" w:customStyle="1" w:styleId="CommentTextChar">
    <w:name w:val="Comment Text Char"/>
    <w:link w:val="CommentText"/>
    <w:uiPriority w:val="99"/>
    <w:rsid w:val="006323C6"/>
    <w:rPr>
      <w:rFonts w:ascii="Arial Narrow" w:hAnsi="Arial Narrow"/>
    </w:rPr>
  </w:style>
  <w:style w:type="paragraph" w:styleId="Revision">
    <w:name w:val="Revision"/>
    <w:hidden/>
    <w:uiPriority w:val="99"/>
    <w:semiHidden/>
    <w:rsid w:val="005E0437"/>
    <w:rPr>
      <w:rFonts w:ascii="Book Antiqua" w:hAnsi="Book Antiqua" w:cs="Arial"/>
      <w:szCs w:val="24"/>
      <w:lang w:val="en-US"/>
    </w:rPr>
  </w:style>
  <w:style w:type="paragraph" w:customStyle="1" w:styleId="Heading1-NoTOC">
    <w:name w:val="Heading 1 - No TOC"/>
    <w:basedOn w:val="Heading1"/>
    <w:rsid w:val="000D25D3"/>
    <w:pPr>
      <w:spacing w:before="0" w:after="360"/>
      <w:outlineLvl w:val="9"/>
    </w:pPr>
    <w:rPr>
      <w:rFonts w:ascii="Arial" w:hAnsi="Arial" w:cs="Times New Roman"/>
      <w:bCs w:val="0"/>
      <w:kern w:val="28"/>
      <w:szCs w:val="20"/>
      <w:lang w:val="x-none"/>
    </w:rPr>
  </w:style>
  <w:style w:type="paragraph" w:customStyle="1" w:styleId="Heading2NoTOC">
    <w:name w:val="Heading 2 No TOC"/>
    <w:basedOn w:val="Heading2"/>
    <w:qFormat/>
    <w:rsid w:val="00CE4701"/>
    <w:pPr>
      <w:spacing w:before="0" w:after="360"/>
      <w:outlineLvl w:val="9"/>
    </w:pPr>
    <w:rPr>
      <w:rFonts w:cs="Times New Roman"/>
      <w:bCs w:val="0"/>
      <w:iCs w:val="0"/>
      <w:szCs w:val="20"/>
      <w:lang w:val="en-AU"/>
    </w:rPr>
  </w:style>
  <w:style w:type="character" w:customStyle="1" w:styleId="FootnoteTextChar">
    <w:name w:val="Footnote Text Char"/>
    <w:link w:val="FootnoteText"/>
    <w:semiHidden/>
    <w:rsid w:val="00246C53"/>
    <w:rPr>
      <w:rFonts w:ascii="Book Antiqua" w:hAnsi="Book Antiqua" w:cs="Arial"/>
      <w:lang w:val="en-US"/>
    </w:rPr>
  </w:style>
  <w:style w:type="paragraph" w:customStyle="1" w:styleId="TableParagraph">
    <w:name w:val="Table Paragraph"/>
    <w:basedOn w:val="Normal"/>
    <w:uiPriority w:val="1"/>
    <w:qFormat/>
    <w:rsid w:val="00900BC4"/>
    <w:pPr>
      <w:widowControl w:val="0"/>
      <w:autoSpaceDE w:val="0"/>
      <w:autoSpaceDN w:val="0"/>
      <w:adjustRightInd w:val="0"/>
      <w:spacing w:before="0" w:after="0"/>
    </w:pPr>
    <w:rPr>
      <w:rFonts w:ascii="Arial" w:hAnsi="Arial"/>
      <w:sz w:val="24"/>
      <w:lang w:val="en-AU"/>
    </w:rPr>
  </w:style>
  <w:style w:type="paragraph" w:customStyle="1" w:styleId="msonormal0">
    <w:name w:val="msonormal"/>
    <w:basedOn w:val="Normal"/>
    <w:rsid w:val="00135463"/>
    <w:pPr>
      <w:spacing w:beforeAutospacing="1" w:afterAutospacing="1"/>
    </w:pPr>
    <w:rPr>
      <w:rFonts w:ascii="Times New Roman" w:hAnsi="Times New Roman" w:cs="Times New Roman"/>
      <w:sz w:val="24"/>
      <w:lang w:val="en-AU"/>
    </w:rPr>
  </w:style>
  <w:style w:type="paragraph" w:customStyle="1" w:styleId="font5">
    <w:name w:val="font5"/>
    <w:basedOn w:val="Normal"/>
    <w:rsid w:val="00135463"/>
    <w:pPr>
      <w:spacing w:beforeAutospacing="1" w:afterAutospacing="1"/>
    </w:pPr>
    <w:rPr>
      <w:rFonts w:ascii="Arial" w:hAnsi="Arial"/>
      <w:b/>
      <w:bCs/>
      <w:sz w:val="16"/>
      <w:szCs w:val="16"/>
      <w:lang w:val="en-AU"/>
    </w:rPr>
  </w:style>
  <w:style w:type="paragraph" w:customStyle="1" w:styleId="font6">
    <w:name w:val="font6"/>
    <w:basedOn w:val="Normal"/>
    <w:rsid w:val="00135463"/>
    <w:pPr>
      <w:spacing w:beforeAutospacing="1" w:afterAutospacing="1"/>
    </w:pPr>
    <w:rPr>
      <w:rFonts w:ascii="Arial" w:hAnsi="Arial"/>
      <w:b/>
      <w:bCs/>
      <w:sz w:val="16"/>
      <w:szCs w:val="16"/>
      <w:lang w:val="en-AU"/>
    </w:rPr>
  </w:style>
  <w:style w:type="paragraph" w:customStyle="1" w:styleId="font7">
    <w:name w:val="font7"/>
    <w:basedOn w:val="Normal"/>
    <w:rsid w:val="00135463"/>
    <w:pPr>
      <w:spacing w:beforeAutospacing="1" w:afterAutospacing="1"/>
    </w:pPr>
    <w:rPr>
      <w:rFonts w:ascii="Arial" w:hAnsi="Arial"/>
      <w:i/>
      <w:iCs/>
      <w:sz w:val="16"/>
      <w:szCs w:val="16"/>
      <w:lang w:val="en-AU"/>
    </w:rPr>
  </w:style>
  <w:style w:type="paragraph" w:customStyle="1" w:styleId="xl68">
    <w:name w:val="xl68"/>
    <w:basedOn w:val="Normal"/>
    <w:rsid w:val="00135463"/>
    <w:pPr>
      <w:shd w:val="clear" w:color="FFFFFF" w:fill="auto"/>
      <w:spacing w:beforeAutospacing="1" w:afterAutospacing="1"/>
      <w:textAlignment w:val="center"/>
    </w:pPr>
    <w:rPr>
      <w:rFonts w:ascii="Times New Roman" w:hAnsi="Times New Roman" w:cs="Times New Roman"/>
      <w:szCs w:val="20"/>
      <w:lang w:val="en-AU"/>
    </w:rPr>
  </w:style>
  <w:style w:type="paragraph" w:customStyle="1" w:styleId="xl69">
    <w:name w:val="xl69"/>
    <w:basedOn w:val="Normal"/>
    <w:rsid w:val="00135463"/>
    <w:pPr>
      <w:shd w:val="clear" w:color="FFFFFF" w:fill="auto"/>
      <w:spacing w:beforeAutospacing="1" w:afterAutospacing="1"/>
    </w:pPr>
    <w:rPr>
      <w:rFonts w:ascii="Times New Roman" w:hAnsi="Times New Roman" w:cs="Times New Roman"/>
      <w:sz w:val="24"/>
      <w:lang w:val="en-AU"/>
    </w:rPr>
  </w:style>
  <w:style w:type="paragraph" w:customStyle="1" w:styleId="xl70">
    <w:name w:val="xl70"/>
    <w:basedOn w:val="Normal"/>
    <w:rsid w:val="00135463"/>
    <w:pPr>
      <w:shd w:val="clear" w:color="FFFFFF" w:fill="auto"/>
      <w:spacing w:beforeAutospacing="1" w:afterAutospacing="1"/>
    </w:pPr>
    <w:rPr>
      <w:rFonts w:ascii="Times New Roman" w:hAnsi="Times New Roman" w:cs="Times New Roman"/>
      <w:sz w:val="24"/>
      <w:lang w:val="en-AU"/>
    </w:rPr>
  </w:style>
  <w:style w:type="paragraph" w:customStyle="1" w:styleId="xl71">
    <w:name w:val="xl71"/>
    <w:basedOn w:val="Normal"/>
    <w:rsid w:val="00135463"/>
    <w:pPr>
      <w:pBdr>
        <w:bottom w:val="single" w:sz="4" w:space="0" w:color="auto"/>
      </w:pBdr>
      <w:shd w:val="clear" w:color="FFFFFF" w:fill="auto"/>
      <w:spacing w:beforeAutospacing="1" w:afterAutospacing="1"/>
      <w:textAlignment w:val="center"/>
    </w:pPr>
    <w:rPr>
      <w:rFonts w:ascii="Times New Roman" w:hAnsi="Times New Roman" w:cs="Times New Roman"/>
      <w:szCs w:val="20"/>
      <w:lang w:val="en-AU"/>
    </w:rPr>
  </w:style>
  <w:style w:type="paragraph" w:customStyle="1" w:styleId="xl72">
    <w:name w:val="xl72"/>
    <w:basedOn w:val="Normal"/>
    <w:rsid w:val="00135463"/>
    <w:pPr>
      <w:pBdr>
        <w:top w:val="single" w:sz="4" w:space="0" w:color="auto"/>
        <w:bottom w:val="single" w:sz="4" w:space="0" w:color="auto"/>
      </w:pBdr>
      <w:shd w:val="clear" w:color="FFFFFF" w:fill="auto"/>
      <w:spacing w:beforeAutospacing="1" w:afterAutospacing="1"/>
    </w:pPr>
    <w:rPr>
      <w:rFonts w:ascii="Times New Roman" w:hAnsi="Times New Roman" w:cs="Times New Roman"/>
      <w:sz w:val="24"/>
      <w:lang w:val="en-AU"/>
    </w:rPr>
  </w:style>
  <w:style w:type="paragraph" w:customStyle="1" w:styleId="xl73">
    <w:name w:val="xl73"/>
    <w:basedOn w:val="Normal"/>
    <w:rsid w:val="00135463"/>
    <w:pPr>
      <w:pBdr>
        <w:top w:val="single" w:sz="4" w:space="0" w:color="auto"/>
        <w:bottom w:val="single" w:sz="4" w:space="0" w:color="auto"/>
      </w:pBdr>
      <w:shd w:val="clear" w:color="FFFFFF" w:fill="auto"/>
      <w:spacing w:beforeAutospacing="1" w:afterAutospacing="1"/>
      <w:jc w:val="right"/>
    </w:pPr>
    <w:rPr>
      <w:rFonts w:ascii="Arial Bold" w:hAnsi="Arial Bold" w:cs="Times New Roman"/>
      <w:b/>
      <w:bCs/>
      <w:sz w:val="24"/>
      <w:lang w:val="en-AU"/>
    </w:rPr>
  </w:style>
  <w:style w:type="paragraph" w:customStyle="1" w:styleId="xl74">
    <w:name w:val="xl74"/>
    <w:basedOn w:val="Normal"/>
    <w:rsid w:val="00135463"/>
    <w:pPr>
      <w:shd w:val="clear" w:color="FFFFFF" w:fill="auto"/>
      <w:spacing w:beforeAutospacing="1" w:afterAutospacing="1"/>
      <w:textAlignment w:val="center"/>
    </w:pPr>
    <w:rPr>
      <w:rFonts w:ascii="Times New Roman" w:hAnsi="Times New Roman" w:cs="Times New Roman"/>
      <w:b/>
      <w:bCs/>
      <w:sz w:val="24"/>
      <w:lang w:val="en-AU"/>
    </w:rPr>
  </w:style>
  <w:style w:type="paragraph" w:customStyle="1" w:styleId="xl75">
    <w:name w:val="xl75"/>
    <w:basedOn w:val="Normal"/>
    <w:rsid w:val="00135463"/>
    <w:pPr>
      <w:shd w:val="clear" w:color="FFFFFF" w:fill="auto"/>
      <w:spacing w:beforeAutospacing="1" w:afterAutospacing="1"/>
      <w:jc w:val="right"/>
      <w:textAlignment w:val="center"/>
    </w:pPr>
    <w:rPr>
      <w:rFonts w:ascii="Times New Roman" w:hAnsi="Times New Roman" w:cs="Times New Roman"/>
      <w:sz w:val="24"/>
      <w:lang w:val="en-AU"/>
    </w:rPr>
  </w:style>
  <w:style w:type="paragraph" w:customStyle="1" w:styleId="xl76">
    <w:name w:val="xl76"/>
    <w:basedOn w:val="Normal"/>
    <w:rsid w:val="00135463"/>
    <w:pPr>
      <w:shd w:val="clear" w:color="FFFFFF" w:fill="auto"/>
      <w:spacing w:beforeAutospacing="1" w:afterAutospacing="1"/>
      <w:textAlignment w:val="center"/>
    </w:pPr>
    <w:rPr>
      <w:rFonts w:ascii="Times New Roman" w:hAnsi="Times New Roman" w:cs="Times New Roman"/>
      <w:b/>
      <w:bCs/>
      <w:sz w:val="24"/>
      <w:lang w:val="en-AU"/>
    </w:rPr>
  </w:style>
  <w:style w:type="paragraph" w:customStyle="1" w:styleId="xl77">
    <w:name w:val="xl77"/>
    <w:basedOn w:val="Normal"/>
    <w:rsid w:val="00135463"/>
    <w:pPr>
      <w:shd w:val="clear" w:color="FFFFFF" w:fill="auto"/>
      <w:spacing w:beforeAutospacing="1" w:afterAutospacing="1"/>
      <w:textAlignment w:val="center"/>
    </w:pPr>
    <w:rPr>
      <w:rFonts w:ascii="Times New Roman" w:hAnsi="Times New Roman" w:cs="Times New Roman"/>
      <w:sz w:val="24"/>
      <w:lang w:val="en-AU"/>
    </w:rPr>
  </w:style>
  <w:style w:type="paragraph" w:customStyle="1" w:styleId="xl78">
    <w:name w:val="xl78"/>
    <w:basedOn w:val="Normal"/>
    <w:rsid w:val="00135463"/>
    <w:pPr>
      <w:shd w:val="clear" w:color="FFFFFF" w:fill="auto"/>
      <w:spacing w:beforeAutospacing="1" w:afterAutospacing="1"/>
      <w:textAlignment w:val="center"/>
    </w:pPr>
    <w:rPr>
      <w:rFonts w:ascii="Times New Roman" w:hAnsi="Times New Roman" w:cs="Times New Roman"/>
      <w:sz w:val="24"/>
      <w:lang w:val="en-AU"/>
    </w:rPr>
  </w:style>
  <w:style w:type="paragraph" w:customStyle="1" w:styleId="xl79">
    <w:name w:val="xl79"/>
    <w:basedOn w:val="Normal"/>
    <w:rsid w:val="00135463"/>
    <w:pPr>
      <w:spacing w:beforeAutospacing="1" w:afterAutospacing="1"/>
      <w:textAlignment w:val="center"/>
    </w:pPr>
    <w:rPr>
      <w:rFonts w:ascii="Times New Roman" w:hAnsi="Times New Roman" w:cs="Times New Roman"/>
      <w:sz w:val="24"/>
      <w:lang w:val="en-AU"/>
    </w:rPr>
  </w:style>
  <w:style w:type="paragraph" w:customStyle="1" w:styleId="xl80">
    <w:name w:val="xl80"/>
    <w:basedOn w:val="Normal"/>
    <w:rsid w:val="00135463"/>
    <w:pPr>
      <w:spacing w:beforeAutospacing="1" w:afterAutospacing="1"/>
      <w:jc w:val="right"/>
      <w:textAlignment w:val="center"/>
    </w:pPr>
    <w:rPr>
      <w:rFonts w:ascii="Times New Roman" w:hAnsi="Times New Roman" w:cs="Times New Roman"/>
      <w:sz w:val="24"/>
      <w:lang w:val="en-AU"/>
    </w:rPr>
  </w:style>
  <w:style w:type="paragraph" w:customStyle="1" w:styleId="xl81">
    <w:name w:val="xl81"/>
    <w:basedOn w:val="Normal"/>
    <w:rsid w:val="00135463"/>
    <w:pPr>
      <w:shd w:val="clear" w:color="FFFFFF" w:fill="auto"/>
      <w:spacing w:beforeAutospacing="1" w:afterAutospacing="1"/>
      <w:jc w:val="right"/>
      <w:textAlignment w:val="center"/>
    </w:pPr>
    <w:rPr>
      <w:rFonts w:ascii="Times New Roman" w:hAnsi="Times New Roman" w:cs="Times New Roman"/>
      <w:sz w:val="24"/>
      <w:lang w:val="en-AU"/>
    </w:rPr>
  </w:style>
  <w:style w:type="paragraph" w:customStyle="1" w:styleId="xl82">
    <w:name w:val="xl82"/>
    <w:basedOn w:val="Normal"/>
    <w:rsid w:val="00135463"/>
    <w:pPr>
      <w:pBdr>
        <w:bottom w:val="single" w:sz="4" w:space="0" w:color="auto"/>
      </w:pBdr>
      <w:shd w:val="clear" w:color="FFFFFF" w:fill="auto"/>
      <w:spacing w:beforeAutospacing="1" w:afterAutospacing="1"/>
      <w:textAlignment w:val="center"/>
    </w:pPr>
    <w:rPr>
      <w:rFonts w:ascii="Times New Roman" w:hAnsi="Times New Roman" w:cs="Times New Roman"/>
      <w:b/>
      <w:bCs/>
      <w:sz w:val="24"/>
      <w:lang w:val="en-AU"/>
    </w:rPr>
  </w:style>
  <w:style w:type="paragraph" w:customStyle="1" w:styleId="xl83">
    <w:name w:val="xl83"/>
    <w:basedOn w:val="Normal"/>
    <w:rsid w:val="00135463"/>
    <w:pPr>
      <w:pBdr>
        <w:bottom w:val="single" w:sz="4" w:space="0" w:color="auto"/>
      </w:pBdr>
      <w:shd w:val="clear" w:color="FFFFFF" w:fill="auto"/>
      <w:spacing w:beforeAutospacing="1" w:afterAutospacing="1"/>
      <w:textAlignment w:val="center"/>
    </w:pPr>
    <w:rPr>
      <w:rFonts w:ascii="Times New Roman" w:hAnsi="Times New Roman" w:cs="Times New Roman"/>
      <w:b/>
      <w:bCs/>
      <w:sz w:val="24"/>
      <w:lang w:val="en-AU"/>
    </w:rPr>
  </w:style>
  <w:style w:type="paragraph" w:customStyle="1" w:styleId="xl84">
    <w:name w:val="xl84"/>
    <w:basedOn w:val="Normal"/>
    <w:rsid w:val="00135463"/>
    <w:pPr>
      <w:shd w:val="clear" w:color="FFFFFF" w:fill="auto"/>
      <w:spacing w:beforeAutospacing="1" w:afterAutospacing="1"/>
      <w:textAlignment w:val="center"/>
    </w:pPr>
    <w:rPr>
      <w:rFonts w:ascii="Times New Roman" w:hAnsi="Times New Roman" w:cs="Times New Roman"/>
      <w:sz w:val="24"/>
      <w:lang w:val="en-AU"/>
    </w:rPr>
  </w:style>
  <w:style w:type="paragraph" w:customStyle="1" w:styleId="xl85">
    <w:name w:val="xl85"/>
    <w:basedOn w:val="Normal"/>
    <w:rsid w:val="00135463"/>
    <w:pPr>
      <w:spacing w:beforeAutospacing="1" w:afterAutospacing="1"/>
      <w:textAlignment w:val="center"/>
    </w:pPr>
    <w:rPr>
      <w:rFonts w:ascii="Times New Roman" w:hAnsi="Times New Roman" w:cs="Times New Roman"/>
      <w:sz w:val="24"/>
      <w:lang w:val="en-AU"/>
    </w:rPr>
  </w:style>
  <w:style w:type="paragraph" w:customStyle="1" w:styleId="xl86">
    <w:name w:val="xl86"/>
    <w:basedOn w:val="Normal"/>
    <w:rsid w:val="00135463"/>
    <w:pPr>
      <w:spacing w:beforeAutospacing="1" w:afterAutospacing="1"/>
      <w:textAlignment w:val="center"/>
    </w:pPr>
    <w:rPr>
      <w:rFonts w:ascii="Times New Roman" w:hAnsi="Times New Roman" w:cs="Times New Roman"/>
      <w:b/>
      <w:bCs/>
      <w:sz w:val="24"/>
      <w:lang w:val="en-AU"/>
    </w:rPr>
  </w:style>
  <w:style w:type="paragraph" w:customStyle="1" w:styleId="xl87">
    <w:name w:val="xl87"/>
    <w:basedOn w:val="Normal"/>
    <w:rsid w:val="00135463"/>
    <w:pPr>
      <w:spacing w:beforeAutospacing="1" w:afterAutospacing="1"/>
      <w:textAlignment w:val="center"/>
    </w:pPr>
    <w:rPr>
      <w:rFonts w:ascii="Times New Roman" w:hAnsi="Times New Roman" w:cs="Times New Roman"/>
      <w:b/>
      <w:bCs/>
      <w:sz w:val="24"/>
      <w:lang w:val="en-AU"/>
    </w:rPr>
  </w:style>
  <w:style w:type="paragraph" w:customStyle="1" w:styleId="xl88">
    <w:name w:val="xl88"/>
    <w:basedOn w:val="Normal"/>
    <w:rsid w:val="00135463"/>
    <w:pPr>
      <w:pBdr>
        <w:bottom w:val="single" w:sz="4" w:space="0" w:color="auto"/>
      </w:pBdr>
      <w:shd w:val="clear" w:color="FFFFFF" w:fill="auto"/>
      <w:spacing w:beforeAutospacing="1" w:afterAutospacing="1"/>
      <w:textAlignment w:val="center"/>
    </w:pPr>
    <w:rPr>
      <w:rFonts w:ascii="Times New Roman" w:hAnsi="Times New Roman" w:cs="Times New Roman"/>
      <w:sz w:val="24"/>
      <w:lang w:val="en-AU"/>
    </w:rPr>
  </w:style>
  <w:style w:type="paragraph" w:customStyle="1" w:styleId="xl89">
    <w:name w:val="xl89"/>
    <w:basedOn w:val="Normal"/>
    <w:rsid w:val="00135463"/>
    <w:pPr>
      <w:pBdr>
        <w:bottom w:val="single" w:sz="4" w:space="0" w:color="auto"/>
      </w:pBdr>
      <w:shd w:val="clear" w:color="FFFFFF" w:fill="auto"/>
      <w:spacing w:beforeAutospacing="1" w:afterAutospacing="1"/>
      <w:jc w:val="right"/>
      <w:textAlignment w:val="center"/>
    </w:pPr>
    <w:rPr>
      <w:rFonts w:ascii="Times New Roman" w:hAnsi="Times New Roman" w:cs="Times New Roman"/>
      <w:sz w:val="24"/>
      <w:lang w:val="en-AU"/>
    </w:rPr>
  </w:style>
  <w:style w:type="paragraph" w:customStyle="1" w:styleId="xl90">
    <w:name w:val="xl90"/>
    <w:basedOn w:val="Normal"/>
    <w:rsid w:val="00135463"/>
    <w:pPr>
      <w:pBdr>
        <w:bottom w:val="single" w:sz="4" w:space="0" w:color="auto"/>
      </w:pBdr>
      <w:spacing w:beforeAutospacing="1" w:afterAutospacing="1"/>
      <w:textAlignment w:val="center"/>
    </w:pPr>
    <w:rPr>
      <w:rFonts w:ascii="Times New Roman" w:hAnsi="Times New Roman" w:cs="Times New Roman"/>
      <w:b/>
      <w:bCs/>
      <w:sz w:val="24"/>
      <w:lang w:val="en-AU"/>
    </w:rPr>
  </w:style>
  <w:style w:type="paragraph" w:customStyle="1" w:styleId="xl91">
    <w:name w:val="xl91"/>
    <w:basedOn w:val="Normal"/>
    <w:rsid w:val="00135463"/>
    <w:pPr>
      <w:pBdr>
        <w:bottom w:val="single" w:sz="4" w:space="0" w:color="auto"/>
      </w:pBdr>
      <w:shd w:val="clear" w:color="FFFFFF" w:fill="auto"/>
      <w:spacing w:beforeAutospacing="1" w:afterAutospacing="1"/>
      <w:jc w:val="right"/>
      <w:textAlignment w:val="center"/>
    </w:pPr>
    <w:rPr>
      <w:rFonts w:ascii="Times New Roman" w:hAnsi="Times New Roman" w:cs="Times New Roman"/>
      <w:b/>
      <w:bCs/>
      <w:sz w:val="24"/>
      <w:lang w:val="en-AU"/>
    </w:rPr>
  </w:style>
  <w:style w:type="paragraph" w:customStyle="1" w:styleId="xl92">
    <w:name w:val="xl92"/>
    <w:basedOn w:val="Normal"/>
    <w:rsid w:val="00135463"/>
    <w:pPr>
      <w:shd w:val="clear" w:color="FFFFFF" w:fill="auto"/>
      <w:spacing w:beforeAutospacing="1" w:afterAutospacing="1"/>
      <w:jc w:val="right"/>
      <w:textAlignment w:val="center"/>
    </w:pPr>
    <w:rPr>
      <w:rFonts w:ascii="Times New Roman" w:hAnsi="Times New Roman" w:cs="Times New Roman"/>
      <w:sz w:val="24"/>
      <w:lang w:val="en-AU"/>
    </w:rPr>
  </w:style>
  <w:style w:type="paragraph" w:customStyle="1" w:styleId="xl93">
    <w:name w:val="xl93"/>
    <w:basedOn w:val="Normal"/>
    <w:rsid w:val="00135463"/>
    <w:pPr>
      <w:shd w:val="clear" w:color="FFFFFF" w:fill="auto"/>
      <w:spacing w:beforeAutospacing="1" w:afterAutospacing="1"/>
      <w:jc w:val="right"/>
      <w:textAlignment w:val="center"/>
    </w:pPr>
    <w:rPr>
      <w:rFonts w:ascii="Times New Roman" w:hAnsi="Times New Roman" w:cs="Times New Roman"/>
      <w:sz w:val="24"/>
      <w:lang w:val="en-AU"/>
    </w:rPr>
  </w:style>
  <w:style w:type="paragraph" w:customStyle="1" w:styleId="xl94">
    <w:name w:val="xl94"/>
    <w:basedOn w:val="Normal"/>
    <w:rsid w:val="00135463"/>
    <w:pPr>
      <w:pBdr>
        <w:bottom w:val="single" w:sz="4" w:space="0" w:color="auto"/>
      </w:pBdr>
      <w:shd w:val="clear" w:color="FFFFFF" w:fill="auto"/>
      <w:spacing w:beforeAutospacing="1" w:afterAutospacing="1"/>
      <w:jc w:val="right"/>
      <w:textAlignment w:val="center"/>
    </w:pPr>
    <w:rPr>
      <w:rFonts w:ascii="Times New Roman" w:hAnsi="Times New Roman" w:cs="Times New Roman"/>
      <w:b/>
      <w:bCs/>
      <w:sz w:val="24"/>
      <w:lang w:val="en-AU"/>
    </w:rPr>
  </w:style>
  <w:style w:type="paragraph" w:customStyle="1" w:styleId="xl95">
    <w:name w:val="xl95"/>
    <w:basedOn w:val="Normal"/>
    <w:rsid w:val="00135463"/>
    <w:pPr>
      <w:pBdr>
        <w:top w:val="single" w:sz="4" w:space="0" w:color="auto"/>
      </w:pBdr>
      <w:shd w:val="clear" w:color="FFFFFF" w:fill="auto"/>
      <w:spacing w:beforeAutospacing="1" w:afterAutospacing="1"/>
      <w:textAlignment w:val="center"/>
    </w:pPr>
    <w:rPr>
      <w:rFonts w:ascii="Times New Roman" w:hAnsi="Times New Roman" w:cs="Times New Roman"/>
      <w:b/>
      <w:bCs/>
      <w:sz w:val="24"/>
      <w:lang w:val="en-AU"/>
    </w:rPr>
  </w:style>
  <w:style w:type="paragraph" w:customStyle="1" w:styleId="xl96">
    <w:name w:val="xl96"/>
    <w:basedOn w:val="Normal"/>
    <w:rsid w:val="00135463"/>
    <w:pPr>
      <w:pBdr>
        <w:top w:val="single" w:sz="4" w:space="0" w:color="auto"/>
      </w:pBdr>
      <w:shd w:val="clear" w:color="FFFFFF" w:fill="auto"/>
      <w:spacing w:beforeAutospacing="1" w:afterAutospacing="1"/>
      <w:jc w:val="right"/>
      <w:textAlignment w:val="center"/>
    </w:pPr>
    <w:rPr>
      <w:rFonts w:ascii="Times New Roman" w:hAnsi="Times New Roman" w:cs="Times New Roman"/>
      <w:sz w:val="24"/>
      <w:lang w:val="en-AU"/>
    </w:rPr>
  </w:style>
  <w:style w:type="paragraph" w:customStyle="1" w:styleId="xl97">
    <w:name w:val="xl97"/>
    <w:basedOn w:val="Normal"/>
    <w:rsid w:val="00135463"/>
    <w:pPr>
      <w:pBdr>
        <w:top w:val="single" w:sz="4" w:space="0" w:color="auto"/>
      </w:pBdr>
      <w:shd w:val="clear" w:color="FFFFFF" w:fill="auto"/>
      <w:spacing w:beforeAutospacing="1" w:afterAutospacing="1"/>
      <w:textAlignment w:val="center"/>
    </w:pPr>
    <w:rPr>
      <w:rFonts w:ascii="Times New Roman" w:hAnsi="Times New Roman" w:cs="Times New Roman"/>
      <w:b/>
      <w:bCs/>
      <w:sz w:val="24"/>
      <w:lang w:val="en-AU"/>
    </w:rPr>
  </w:style>
  <w:style w:type="paragraph" w:customStyle="1" w:styleId="xl98">
    <w:name w:val="xl98"/>
    <w:basedOn w:val="Normal"/>
    <w:rsid w:val="00135463"/>
    <w:pPr>
      <w:shd w:val="clear" w:color="FFFFFF" w:fill="auto"/>
      <w:spacing w:beforeAutospacing="1" w:afterAutospacing="1"/>
      <w:jc w:val="right"/>
      <w:textAlignment w:val="center"/>
    </w:pPr>
    <w:rPr>
      <w:rFonts w:ascii="Times New Roman" w:hAnsi="Times New Roman" w:cs="Times New Roman"/>
      <w:sz w:val="24"/>
      <w:lang w:val="en-AU"/>
    </w:rPr>
  </w:style>
  <w:style w:type="paragraph" w:customStyle="1" w:styleId="xl99">
    <w:name w:val="xl99"/>
    <w:basedOn w:val="Normal"/>
    <w:rsid w:val="00135463"/>
    <w:pPr>
      <w:shd w:val="clear" w:color="FFFFFF" w:fill="auto"/>
      <w:spacing w:beforeAutospacing="1" w:afterAutospacing="1"/>
      <w:jc w:val="right"/>
      <w:textAlignment w:val="center"/>
    </w:pPr>
    <w:rPr>
      <w:rFonts w:ascii="Times New Roman" w:hAnsi="Times New Roman" w:cs="Times New Roman"/>
      <w:b/>
      <w:bCs/>
      <w:sz w:val="24"/>
      <w:lang w:val="en-AU"/>
    </w:rPr>
  </w:style>
  <w:style w:type="paragraph" w:customStyle="1" w:styleId="xl100">
    <w:name w:val="xl100"/>
    <w:basedOn w:val="Normal"/>
    <w:rsid w:val="00135463"/>
    <w:pPr>
      <w:pBdr>
        <w:bottom w:val="single" w:sz="4" w:space="0" w:color="auto"/>
      </w:pBdr>
      <w:spacing w:beforeAutospacing="1" w:afterAutospacing="1"/>
      <w:jc w:val="right"/>
      <w:textAlignment w:val="center"/>
    </w:pPr>
    <w:rPr>
      <w:rFonts w:ascii="Times New Roman" w:hAnsi="Times New Roman" w:cs="Times New Roman"/>
      <w:sz w:val="24"/>
      <w:lang w:val="en-AU"/>
    </w:rPr>
  </w:style>
  <w:style w:type="paragraph" w:customStyle="1" w:styleId="xl101">
    <w:name w:val="xl101"/>
    <w:basedOn w:val="Normal"/>
    <w:rsid w:val="00135463"/>
    <w:pPr>
      <w:shd w:val="clear" w:color="FFFFFF" w:fill="auto"/>
      <w:spacing w:beforeAutospacing="1" w:afterAutospacing="1"/>
      <w:jc w:val="right"/>
      <w:textAlignment w:val="center"/>
    </w:pPr>
    <w:rPr>
      <w:rFonts w:ascii="Times New Roman" w:hAnsi="Times New Roman" w:cs="Times New Roman"/>
      <w:sz w:val="24"/>
      <w:lang w:val="en-AU"/>
    </w:rPr>
  </w:style>
  <w:style w:type="paragraph" w:customStyle="1" w:styleId="xl102">
    <w:name w:val="xl102"/>
    <w:basedOn w:val="Normal"/>
    <w:rsid w:val="00135463"/>
    <w:pPr>
      <w:pBdr>
        <w:bottom w:val="single" w:sz="4" w:space="0" w:color="auto"/>
      </w:pBdr>
      <w:shd w:val="clear" w:color="FFFFFF" w:fill="auto"/>
      <w:spacing w:beforeAutospacing="1" w:afterAutospacing="1"/>
      <w:jc w:val="right"/>
      <w:textAlignment w:val="center"/>
    </w:pPr>
    <w:rPr>
      <w:rFonts w:ascii="Times New Roman" w:hAnsi="Times New Roman" w:cs="Times New Roman"/>
      <w:sz w:val="24"/>
      <w:lang w:val="en-AU"/>
    </w:rPr>
  </w:style>
  <w:style w:type="paragraph" w:customStyle="1" w:styleId="xl103">
    <w:name w:val="xl103"/>
    <w:basedOn w:val="Normal"/>
    <w:rsid w:val="00135463"/>
    <w:pPr>
      <w:pBdr>
        <w:bottom w:val="single" w:sz="4" w:space="0" w:color="auto"/>
      </w:pBdr>
      <w:shd w:val="clear" w:color="FFFFFF" w:fill="auto"/>
      <w:spacing w:beforeAutospacing="1" w:afterAutospacing="1"/>
      <w:jc w:val="right"/>
      <w:textAlignment w:val="center"/>
    </w:pPr>
    <w:rPr>
      <w:rFonts w:ascii="Times New Roman" w:hAnsi="Times New Roman" w:cs="Times New Roman"/>
      <w:sz w:val="24"/>
      <w:lang w:val="en-AU"/>
    </w:rPr>
  </w:style>
  <w:style w:type="paragraph" w:customStyle="1" w:styleId="xl104">
    <w:name w:val="xl104"/>
    <w:basedOn w:val="Normal"/>
    <w:rsid w:val="00135463"/>
    <w:pPr>
      <w:spacing w:beforeAutospacing="1" w:afterAutospacing="1"/>
    </w:pPr>
    <w:rPr>
      <w:rFonts w:ascii="Times New Roman" w:hAnsi="Times New Roman" w:cs="Times New Roman"/>
      <w:sz w:val="24"/>
      <w:lang w:val="en-AU"/>
    </w:rPr>
  </w:style>
  <w:style w:type="paragraph" w:customStyle="1" w:styleId="xl105">
    <w:name w:val="xl105"/>
    <w:basedOn w:val="Normal"/>
    <w:rsid w:val="00135463"/>
    <w:pPr>
      <w:pBdr>
        <w:top w:val="single" w:sz="4" w:space="0" w:color="auto"/>
      </w:pBdr>
      <w:spacing w:beforeAutospacing="1" w:afterAutospacing="1"/>
      <w:textAlignment w:val="center"/>
    </w:pPr>
    <w:rPr>
      <w:rFonts w:ascii="Times New Roman" w:hAnsi="Times New Roman" w:cs="Times New Roman"/>
      <w:b/>
      <w:bCs/>
      <w:sz w:val="24"/>
      <w:lang w:val="en-AU"/>
    </w:rPr>
  </w:style>
  <w:style w:type="paragraph" w:customStyle="1" w:styleId="xl106">
    <w:name w:val="xl106"/>
    <w:basedOn w:val="Normal"/>
    <w:rsid w:val="00135463"/>
    <w:pPr>
      <w:pBdr>
        <w:top w:val="single" w:sz="4" w:space="0" w:color="auto"/>
      </w:pBdr>
      <w:shd w:val="clear" w:color="FFFFFF" w:fill="auto"/>
      <w:spacing w:beforeAutospacing="1" w:afterAutospacing="1"/>
      <w:jc w:val="right"/>
      <w:textAlignment w:val="center"/>
    </w:pPr>
    <w:rPr>
      <w:rFonts w:ascii="Times New Roman" w:hAnsi="Times New Roman" w:cs="Times New Roman"/>
      <w:b/>
      <w:bCs/>
      <w:sz w:val="24"/>
      <w:lang w:val="en-AU"/>
    </w:rPr>
  </w:style>
  <w:style w:type="paragraph" w:customStyle="1" w:styleId="xl107">
    <w:name w:val="xl107"/>
    <w:basedOn w:val="Normal"/>
    <w:rsid w:val="00135463"/>
    <w:pPr>
      <w:pBdr>
        <w:top w:val="single" w:sz="4" w:space="0" w:color="auto"/>
      </w:pBdr>
      <w:spacing w:beforeAutospacing="1" w:afterAutospacing="1"/>
      <w:textAlignment w:val="center"/>
    </w:pPr>
    <w:rPr>
      <w:rFonts w:ascii="Times New Roman" w:hAnsi="Times New Roman" w:cs="Times New Roman"/>
      <w:b/>
      <w:bCs/>
      <w:sz w:val="24"/>
      <w:lang w:val="en-AU"/>
    </w:rPr>
  </w:style>
  <w:style w:type="paragraph" w:customStyle="1" w:styleId="xl108">
    <w:name w:val="xl108"/>
    <w:basedOn w:val="Normal"/>
    <w:rsid w:val="00135463"/>
    <w:pPr>
      <w:pBdr>
        <w:top w:val="single" w:sz="4" w:space="0" w:color="auto"/>
      </w:pBdr>
      <w:shd w:val="clear" w:color="FFFFFF" w:fill="auto"/>
      <w:spacing w:beforeAutospacing="1" w:afterAutospacing="1"/>
      <w:textAlignment w:val="center"/>
    </w:pPr>
    <w:rPr>
      <w:rFonts w:ascii="Times New Roman" w:hAnsi="Times New Roman" w:cs="Times New Roman"/>
      <w:sz w:val="24"/>
      <w:lang w:val="en-AU"/>
    </w:rPr>
  </w:style>
  <w:style w:type="paragraph" w:customStyle="1" w:styleId="xl109">
    <w:name w:val="xl109"/>
    <w:basedOn w:val="Normal"/>
    <w:rsid w:val="00135463"/>
    <w:pPr>
      <w:pBdr>
        <w:bottom w:val="single" w:sz="4" w:space="0" w:color="auto"/>
      </w:pBdr>
      <w:spacing w:beforeAutospacing="1" w:afterAutospacing="1"/>
      <w:textAlignment w:val="center"/>
    </w:pPr>
    <w:rPr>
      <w:rFonts w:ascii="Times New Roman" w:hAnsi="Times New Roman" w:cs="Times New Roman"/>
      <w:b/>
      <w:bCs/>
      <w:sz w:val="24"/>
      <w:lang w:val="en-AU"/>
    </w:rPr>
  </w:style>
  <w:style w:type="paragraph" w:customStyle="1" w:styleId="xl110">
    <w:name w:val="xl110"/>
    <w:basedOn w:val="Normal"/>
    <w:rsid w:val="00135463"/>
    <w:pPr>
      <w:pBdr>
        <w:bottom w:val="single" w:sz="4" w:space="0" w:color="auto"/>
      </w:pBdr>
      <w:shd w:val="clear" w:color="FFFFFF" w:fill="auto"/>
      <w:spacing w:beforeAutospacing="1" w:afterAutospacing="1"/>
      <w:jc w:val="right"/>
      <w:textAlignment w:val="center"/>
    </w:pPr>
    <w:rPr>
      <w:rFonts w:ascii="Times New Roman" w:hAnsi="Times New Roman" w:cs="Times New Roman"/>
      <w:b/>
      <w:bCs/>
      <w:sz w:val="24"/>
      <w:u w:val="single"/>
      <w:lang w:val="en-AU"/>
    </w:rPr>
  </w:style>
  <w:style w:type="paragraph" w:customStyle="1" w:styleId="xl111">
    <w:name w:val="xl111"/>
    <w:basedOn w:val="Normal"/>
    <w:rsid w:val="00135463"/>
    <w:pPr>
      <w:pBdr>
        <w:bottom w:val="single" w:sz="4" w:space="0" w:color="auto"/>
      </w:pBdr>
      <w:spacing w:beforeAutospacing="1" w:afterAutospacing="1"/>
      <w:textAlignment w:val="center"/>
    </w:pPr>
    <w:rPr>
      <w:rFonts w:ascii="Times New Roman" w:hAnsi="Times New Roman" w:cs="Times New Roman"/>
      <w:sz w:val="24"/>
      <w:lang w:val="en-AU"/>
    </w:rPr>
  </w:style>
  <w:style w:type="paragraph" w:customStyle="1" w:styleId="xl112">
    <w:name w:val="xl112"/>
    <w:basedOn w:val="Normal"/>
    <w:rsid w:val="00135463"/>
    <w:pPr>
      <w:pBdr>
        <w:top w:val="single" w:sz="4" w:space="0" w:color="auto"/>
        <w:bottom w:val="single" w:sz="4" w:space="0" w:color="auto"/>
      </w:pBdr>
      <w:shd w:val="clear" w:color="FFFFFF" w:fill="auto"/>
      <w:spacing w:beforeAutospacing="1" w:afterAutospacing="1"/>
      <w:jc w:val="right"/>
      <w:textAlignment w:val="center"/>
    </w:pPr>
    <w:rPr>
      <w:rFonts w:ascii="Times New Roman" w:hAnsi="Times New Roman" w:cs="Times New Roman"/>
      <w:sz w:val="24"/>
      <w:lang w:val="en-AU"/>
    </w:rPr>
  </w:style>
  <w:style w:type="paragraph" w:customStyle="1" w:styleId="xl113">
    <w:name w:val="xl113"/>
    <w:basedOn w:val="Normal"/>
    <w:rsid w:val="00135463"/>
    <w:pPr>
      <w:pBdr>
        <w:top w:val="single" w:sz="4" w:space="0" w:color="auto"/>
        <w:bottom w:val="single" w:sz="4" w:space="0" w:color="auto"/>
      </w:pBdr>
      <w:shd w:val="clear" w:color="FFFFFF" w:fill="auto"/>
      <w:spacing w:beforeAutospacing="1" w:afterAutospacing="1"/>
      <w:textAlignment w:val="center"/>
    </w:pPr>
    <w:rPr>
      <w:rFonts w:ascii="Times New Roman" w:hAnsi="Times New Roman" w:cs="Times New Roman"/>
      <w:sz w:val="24"/>
      <w:lang w:val="en-AU"/>
    </w:rPr>
  </w:style>
  <w:style w:type="paragraph" w:customStyle="1" w:styleId="xl114">
    <w:name w:val="xl114"/>
    <w:basedOn w:val="Normal"/>
    <w:rsid w:val="00135463"/>
    <w:pPr>
      <w:pBdr>
        <w:top w:val="single" w:sz="4" w:space="0" w:color="auto"/>
        <w:bottom w:val="single" w:sz="4" w:space="0" w:color="auto"/>
      </w:pBdr>
      <w:spacing w:beforeAutospacing="1" w:afterAutospacing="1"/>
      <w:textAlignment w:val="center"/>
    </w:pPr>
    <w:rPr>
      <w:rFonts w:ascii="Times New Roman" w:hAnsi="Times New Roman" w:cs="Times New Roman"/>
      <w:b/>
      <w:bCs/>
      <w:sz w:val="24"/>
      <w:lang w:val="en-AU"/>
    </w:rPr>
  </w:style>
  <w:style w:type="paragraph" w:customStyle="1" w:styleId="xl115">
    <w:name w:val="xl115"/>
    <w:basedOn w:val="Normal"/>
    <w:rsid w:val="00135463"/>
    <w:pPr>
      <w:pBdr>
        <w:top w:val="single" w:sz="4" w:space="0" w:color="auto"/>
        <w:bottom w:val="single" w:sz="4" w:space="0" w:color="auto"/>
      </w:pBdr>
      <w:shd w:val="clear" w:color="FFFFFF" w:fill="auto"/>
      <w:spacing w:beforeAutospacing="1" w:afterAutospacing="1"/>
      <w:textAlignment w:val="center"/>
    </w:pPr>
    <w:rPr>
      <w:rFonts w:ascii="Times New Roman" w:hAnsi="Times New Roman" w:cs="Times New Roman"/>
      <w:b/>
      <w:bCs/>
      <w:sz w:val="24"/>
      <w:lang w:val="en-AU"/>
    </w:rPr>
  </w:style>
  <w:style w:type="paragraph" w:customStyle="1" w:styleId="xl116">
    <w:name w:val="xl116"/>
    <w:basedOn w:val="Normal"/>
    <w:rsid w:val="00135463"/>
    <w:pPr>
      <w:shd w:val="clear" w:color="FFFFFF" w:fill="auto"/>
      <w:spacing w:beforeAutospacing="1" w:afterAutospacing="1"/>
      <w:textAlignment w:val="center"/>
    </w:pPr>
    <w:rPr>
      <w:rFonts w:ascii="Times New Roman" w:hAnsi="Times New Roman" w:cs="Times New Roman"/>
      <w:szCs w:val="20"/>
      <w:lang w:val="en-AU"/>
    </w:rPr>
  </w:style>
  <w:style w:type="character" w:customStyle="1" w:styleId="goog-trans-section">
    <w:name w:val="goog-trans-section"/>
    <w:basedOn w:val="DefaultParagraphFont"/>
    <w:rsid w:val="001A2D31"/>
  </w:style>
  <w:style w:type="paragraph" w:customStyle="1" w:styleId="heading1level2">
    <w:name w:val="heading 1 level 2"/>
    <w:basedOn w:val="Heading1"/>
    <w:link w:val="heading1level2Char"/>
    <w:qFormat/>
    <w:rsid w:val="00F91C41"/>
    <w:pPr>
      <w:outlineLvl w:val="1"/>
    </w:pPr>
  </w:style>
  <w:style w:type="character" w:customStyle="1" w:styleId="heading1level2Char">
    <w:name w:val="heading 1 level 2 Char"/>
    <w:link w:val="heading1level2"/>
    <w:rsid w:val="00F91C41"/>
    <w:rPr>
      <w:rFonts w:ascii="Arial Bold" w:hAnsi="Arial Bold" w:cs="Arial"/>
      <w:b/>
      <w:bCs/>
      <w:smallCaps/>
      <w:kern w:val="32"/>
      <w:sz w:val="34"/>
      <w:szCs w:val="32"/>
      <w:lang w:val="en-US"/>
    </w:rPr>
  </w:style>
  <w:style w:type="paragraph" w:customStyle="1" w:styleId="Heading3noTOC">
    <w:name w:val="Heading 3 no TOC"/>
    <w:basedOn w:val="Heading3"/>
    <w:next w:val="Normal"/>
    <w:qFormat/>
    <w:rsid w:val="00D86C5B"/>
    <w:pPr>
      <w:outlineLvl w:val="9"/>
    </w:pPr>
  </w:style>
  <w:style w:type="paragraph" w:customStyle="1" w:styleId="Heading2level3">
    <w:name w:val="Heading 2 level 3"/>
    <w:basedOn w:val="Heading2"/>
    <w:next w:val="Normal"/>
    <w:qFormat/>
    <w:rsid w:val="00CB1F27"/>
    <w:pPr>
      <w:outlineLvl w:val="2"/>
    </w:pPr>
  </w:style>
  <w:style w:type="paragraph" w:customStyle="1" w:styleId="Heading4level5">
    <w:name w:val="Heading 4 level 5"/>
    <w:basedOn w:val="Heading4"/>
    <w:next w:val="Normal"/>
    <w:qFormat/>
    <w:rsid w:val="00D86C5B"/>
    <w:pPr>
      <w:outlineLvl w:val="4"/>
    </w:pPr>
  </w:style>
  <w:style w:type="paragraph" w:customStyle="1" w:styleId="Heading5noTOC">
    <w:name w:val="Heading 5 no TOC"/>
    <w:basedOn w:val="Heading5"/>
    <w:next w:val="Normal"/>
    <w:qFormat/>
    <w:rsid w:val="00D86C5B"/>
    <w:pPr>
      <w:outlineLvl w:val="9"/>
    </w:pPr>
    <w:rPr>
      <w:lang w:val="en-AU"/>
    </w:rPr>
  </w:style>
  <w:style w:type="paragraph" w:customStyle="1" w:styleId="Heading3level4">
    <w:name w:val="Heading 3 level 4"/>
    <w:basedOn w:val="Heading3"/>
    <w:link w:val="Heading3level4Char"/>
    <w:qFormat/>
    <w:rsid w:val="00CB1F27"/>
    <w:pPr>
      <w:numPr>
        <w:ilvl w:val="1"/>
        <w:numId w:val="21"/>
      </w:numPr>
      <w:outlineLvl w:val="3"/>
    </w:pPr>
  </w:style>
  <w:style w:type="paragraph" w:customStyle="1" w:styleId="Heading5level6">
    <w:name w:val="Heading 5 level 6"/>
    <w:basedOn w:val="Heading5"/>
    <w:next w:val="Normal"/>
    <w:qFormat/>
    <w:rsid w:val="00B71852"/>
    <w:pPr>
      <w:spacing w:before="280"/>
      <w:outlineLvl w:val="5"/>
    </w:pPr>
  </w:style>
  <w:style w:type="character" w:customStyle="1" w:styleId="Heading3level4Char">
    <w:name w:val="Heading 3 level 4 Char"/>
    <w:link w:val="Heading3level4"/>
    <w:rsid w:val="000C3357"/>
    <w:rPr>
      <w:rFonts w:ascii="Arial Bold" w:hAnsi="Arial Bold" w:cs="Arial"/>
      <w:b/>
      <w:bCs/>
      <w:smallCaps/>
      <w:sz w:val="26"/>
      <w:szCs w:val="26"/>
      <w:lang w:val="en-US"/>
    </w:rPr>
  </w:style>
  <w:style w:type="paragraph" w:customStyle="1" w:styleId="Heading6level7">
    <w:name w:val="Heading 6 level 7"/>
    <w:basedOn w:val="Heading6"/>
    <w:qFormat/>
    <w:rsid w:val="00AB086F"/>
    <w:pPr>
      <w:spacing w:after="100"/>
      <w:outlineLvl w:val="6"/>
    </w:pPr>
  </w:style>
  <w:style w:type="character" w:customStyle="1" w:styleId="BodyTextChar">
    <w:name w:val="Body Text Char"/>
    <w:link w:val="BodyText"/>
    <w:rsid w:val="008D5CFE"/>
    <w:rPr>
      <w:rFonts w:ascii="Book Antiqua" w:hAnsi="Book Antiqua" w:cs="Arial"/>
      <w:szCs w:val="24"/>
      <w:lang w:val="en-US"/>
    </w:rPr>
  </w:style>
  <w:style w:type="character" w:customStyle="1" w:styleId="ListParagraphChar">
    <w:name w:val="List Paragraph Char"/>
    <w:aliases w:val="CV text Char,Dot pt Char,F5 List Paragraph Char,L Char,List Paragraph1 Char,List Paragraph11 Char,List Paragraph111 Char,List Paragraph2 Char,Medium Grid 1 - Accent 21 Char,Numbered Paragraph Char,Recommendation Char,Table text Char"/>
    <w:link w:val="ListParagraph"/>
    <w:uiPriority w:val="34"/>
    <w:qFormat/>
    <w:locked/>
    <w:rsid w:val="007E3C1D"/>
    <w:rPr>
      <w:rFonts w:ascii="Book Antiqua" w:hAnsi="Book Antiqua" w:cs="Arial"/>
      <w:szCs w:val="24"/>
      <w:lang w:val="en-US"/>
    </w:rPr>
  </w:style>
  <w:style w:type="character" w:customStyle="1" w:styleId="hgkelc">
    <w:name w:val="hgkelc"/>
    <w:basedOn w:val="DefaultParagraphFont"/>
    <w:rsid w:val="00972274"/>
  </w:style>
  <w:style w:type="paragraph" w:styleId="EndnoteText">
    <w:name w:val="endnote text"/>
    <w:basedOn w:val="Normal"/>
    <w:link w:val="EndnoteTextChar"/>
    <w:rsid w:val="00647776"/>
    <w:pPr>
      <w:spacing w:before="0" w:after="0"/>
    </w:pPr>
    <w:rPr>
      <w:szCs w:val="20"/>
    </w:rPr>
  </w:style>
  <w:style w:type="character" w:customStyle="1" w:styleId="EndnoteTextChar">
    <w:name w:val="Endnote Text Char"/>
    <w:link w:val="EndnoteText"/>
    <w:rsid w:val="00647776"/>
    <w:rPr>
      <w:rFonts w:ascii="Book Antiqua" w:hAnsi="Book Antiqua" w:cs="Arial"/>
      <w:lang w:val="en-US"/>
    </w:rPr>
  </w:style>
  <w:style w:type="character" w:styleId="EndnoteReference">
    <w:name w:val="endnote reference"/>
    <w:rsid w:val="00647776"/>
    <w:rPr>
      <w:vertAlign w:val="superscript"/>
    </w:rPr>
  </w:style>
  <w:style w:type="paragraph" w:customStyle="1" w:styleId="TransmittalStyle2">
    <w:name w:val="Transmittal Style 2"/>
    <w:basedOn w:val="Normal"/>
    <w:rsid w:val="00203E8B"/>
    <w:pPr>
      <w:keepNext/>
      <w:spacing w:before="60" w:after="60"/>
      <w:jc w:val="right"/>
    </w:pPr>
    <w:rPr>
      <w:rFonts w:ascii="Helvetica" w:hAnsi="Helvetica" w:cs="Times New Roman"/>
      <w:b/>
      <w:caps/>
      <w:sz w:val="16"/>
      <w:szCs w:val="20"/>
      <w:lang w:val="en-AU"/>
    </w:rPr>
  </w:style>
  <w:style w:type="paragraph" w:styleId="TOC4">
    <w:name w:val="toc 4"/>
    <w:basedOn w:val="Normal"/>
    <w:next w:val="Normal"/>
    <w:autoRedefine/>
    <w:uiPriority w:val="39"/>
    <w:rsid w:val="008C00B8"/>
    <w:pPr>
      <w:tabs>
        <w:tab w:val="right" w:leader="dot" w:pos="8608"/>
      </w:tabs>
      <w:ind w:left="1134" w:hanging="1134"/>
    </w:pPr>
    <w:rPr>
      <w:rFonts w:ascii="Arial Bold" w:hAnsi="Arial Bold"/>
      <w:noProof/>
    </w:rPr>
  </w:style>
  <w:style w:type="paragraph" w:customStyle="1" w:styleId="TableGraphic">
    <w:name w:val="Table Graphic"/>
    <w:basedOn w:val="Normal"/>
    <w:next w:val="Normal"/>
    <w:rsid w:val="00D76B5A"/>
    <w:pPr>
      <w:spacing w:before="0" w:after="0" w:line="259" w:lineRule="auto"/>
      <w:ind w:right="-113"/>
    </w:pPr>
    <w:rPr>
      <w:rFonts w:eastAsia="Book Antiqua" w:cs="Times New Roman"/>
      <w:sz w:val="22"/>
      <w:szCs w:val="22"/>
      <w:lang w:val="en-AU" w:eastAsia="en-US"/>
    </w:rPr>
  </w:style>
  <w:style w:type="paragraph" w:customStyle="1" w:styleId="TableHeadingcontinued">
    <w:name w:val="Table Heading continued"/>
    <w:basedOn w:val="Normal"/>
    <w:next w:val="TableGraphic"/>
    <w:rsid w:val="000F03B2"/>
    <w:pPr>
      <w:keepNext/>
      <w:spacing w:before="120" w:after="20"/>
    </w:pPr>
    <w:rPr>
      <w:rFonts w:ascii="Arial Bold" w:hAnsi="Arial Bold" w:cs="Times New Roman"/>
      <w:b/>
      <w:szCs w:val="20"/>
      <w:lang w:val="en-AU"/>
    </w:rPr>
  </w:style>
  <w:style w:type="paragraph" w:customStyle="1" w:styleId="quotation1">
    <w:name w:val="quotation1"/>
    <w:basedOn w:val="Normal"/>
    <w:uiPriority w:val="99"/>
    <w:rsid w:val="005D7FE2"/>
    <w:pPr>
      <w:spacing w:before="0" w:after="140" w:line="260" w:lineRule="atLeast"/>
      <w:ind w:left="425"/>
    </w:pPr>
    <w:rPr>
      <w:rFonts w:ascii="Arial" w:eastAsia="Calibri" w:hAnsi="Arial"/>
      <w:szCs w:val="20"/>
      <w:lang w:val="en-AU"/>
    </w:rPr>
  </w:style>
  <w:style w:type="paragraph" w:customStyle="1" w:styleId="xxboxbullet">
    <w:name w:val="x_xboxbullet"/>
    <w:basedOn w:val="Normal"/>
    <w:rsid w:val="00871156"/>
    <w:pPr>
      <w:spacing w:before="120" w:after="120" w:line="252" w:lineRule="auto"/>
      <w:ind w:left="283" w:hanging="283"/>
    </w:pPr>
    <w:rPr>
      <w:rFonts w:ascii="Calibri" w:eastAsia="Calibri" w:hAnsi="Calibri" w:cs="Calibri"/>
      <w:sz w:val="22"/>
      <w:szCs w:val="22"/>
      <w:lang w:val="en-AU"/>
    </w:rPr>
  </w:style>
  <w:style w:type="paragraph" w:customStyle="1" w:styleId="BoxText">
    <w:name w:val="Box Text"/>
    <w:basedOn w:val="Normal"/>
    <w:uiPriority w:val="99"/>
    <w:rsid w:val="00311464"/>
    <w:pPr>
      <w:spacing w:before="120" w:after="120" w:line="252" w:lineRule="auto"/>
    </w:pPr>
    <w:rPr>
      <w:rFonts w:ascii="Calibri" w:eastAsia="Calibri" w:hAnsi="Calibri" w:cs="Calibri"/>
      <w:sz w:val="22"/>
      <w:szCs w:val="22"/>
      <w:lang w:val="en-AU" w:eastAsia="en-US"/>
    </w:rPr>
  </w:style>
  <w:style w:type="character" w:customStyle="1" w:styleId="ui-provider">
    <w:name w:val="ui-provider"/>
    <w:rsid w:val="004F152F"/>
  </w:style>
  <w:style w:type="character" w:customStyle="1" w:styleId="CommentTextChar1">
    <w:name w:val="Comment Text Char1"/>
    <w:uiPriority w:val="99"/>
    <w:locked/>
    <w:rsid w:val="00C443D5"/>
    <w:rPr>
      <w:rFonts w:ascii="Calibri" w:hAnsi="Calibri" w:cs="Calibri"/>
      <w:sz w:val="20"/>
      <w:szCs w:val="20"/>
    </w:rPr>
  </w:style>
  <w:style w:type="paragraph" w:customStyle="1" w:styleId="paragraph">
    <w:name w:val="paragraph"/>
    <w:basedOn w:val="Normal"/>
    <w:rsid w:val="00AB31FA"/>
    <w:pPr>
      <w:spacing w:beforeAutospacing="1" w:afterAutospacing="1"/>
    </w:pPr>
    <w:rPr>
      <w:rFonts w:ascii="Times New Roman" w:hAnsi="Times New Roman" w:cs="Times New Roman"/>
      <w:sz w:val="24"/>
      <w:lang w:val="en-AU"/>
    </w:rPr>
  </w:style>
  <w:style w:type="character" w:customStyle="1" w:styleId="normaltextrun">
    <w:name w:val="normaltextrun"/>
    <w:basedOn w:val="DefaultParagraphFont"/>
    <w:rsid w:val="00AB31FA"/>
  </w:style>
  <w:style w:type="character" w:customStyle="1" w:styleId="BodytextChar0">
    <w:name w:val="Bodytext Char"/>
    <w:basedOn w:val="DefaultParagraphFont"/>
    <w:link w:val="Bodytext0"/>
    <w:locked/>
    <w:rsid w:val="00FE45A1"/>
  </w:style>
  <w:style w:type="paragraph" w:customStyle="1" w:styleId="Bodytext0">
    <w:name w:val="Bodytext"/>
    <w:basedOn w:val="Normal"/>
    <w:link w:val="BodytextChar0"/>
    <w:rsid w:val="00FE45A1"/>
    <w:pPr>
      <w:spacing w:before="0" w:after="160" w:line="252" w:lineRule="auto"/>
    </w:pPr>
    <w:rPr>
      <w:rFonts w:ascii="Times New Roman" w:hAnsi="Times New Roman" w:cs="Times New Roman"/>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6568">
      <w:bodyDiv w:val="1"/>
      <w:marLeft w:val="0"/>
      <w:marRight w:val="0"/>
      <w:marTop w:val="0"/>
      <w:marBottom w:val="0"/>
      <w:divBdr>
        <w:top w:val="none" w:sz="0" w:space="0" w:color="auto"/>
        <w:left w:val="none" w:sz="0" w:space="0" w:color="auto"/>
        <w:bottom w:val="none" w:sz="0" w:space="0" w:color="auto"/>
        <w:right w:val="none" w:sz="0" w:space="0" w:color="auto"/>
      </w:divBdr>
    </w:div>
    <w:div w:id="12928055">
      <w:bodyDiv w:val="1"/>
      <w:marLeft w:val="0"/>
      <w:marRight w:val="0"/>
      <w:marTop w:val="0"/>
      <w:marBottom w:val="0"/>
      <w:divBdr>
        <w:top w:val="none" w:sz="0" w:space="0" w:color="auto"/>
        <w:left w:val="none" w:sz="0" w:space="0" w:color="auto"/>
        <w:bottom w:val="none" w:sz="0" w:space="0" w:color="auto"/>
        <w:right w:val="none" w:sz="0" w:space="0" w:color="auto"/>
      </w:divBdr>
    </w:div>
    <w:div w:id="15280579">
      <w:bodyDiv w:val="1"/>
      <w:marLeft w:val="0"/>
      <w:marRight w:val="0"/>
      <w:marTop w:val="0"/>
      <w:marBottom w:val="0"/>
      <w:divBdr>
        <w:top w:val="none" w:sz="0" w:space="0" w:color="auto"/>
        <w:left w:val="none" w:sz="0" w:space="0" w:color="auto"/>
        <w:bottom w:val="none" w:sz="0" w:space="0" w:color="auto"/>
        <w:right w:val="none" w:sz="0" w:space="0" w:color="auto"/>
      </w:divBdr>
    </w:div>
    <w:div w:id="15547230">
      <w:bodyDiv w:val="1"/>
      <w:marLeft w:val="0"/>
      <w:marRight w:val="0"/>
      <w:marTop w:val="0"/>
      <w:marBottom w:val="0"/>
      <w:divBdr>
        <w:top w:val="none" w:sz="0" w:space="0" w:color="auto"/>
        <w:left w:val="none" w:sz="0" w:space="0" w:color="auto"/>
        <w:bottom w:val="none" w:sz="0" w:space="0" w:color="auto"/>
        <w:right w:val="none" w:sz="0" w:space="0" w:color="auto"/>
      </w:divBdr>
    </w:div>
    <w:div w:id="22020427">
      <w:bodyDiv w:val="1"/>
      <w:marLeft w:val="0"/>
      <w:marRight w:val="0"/>
      <w:marTop w:val="0"/>
      <w:marBottom w:val="0"/>
      <w:divBdr>
        <w:top w:val="none" w:sz="0" w:space="0" w:color="auto"/>
        <w:left w:val="none" w:sz="0" w:space="0" w:color="auto"/>
        <w:bottom w:val="none" w:sz="0" w:space="0" w:color="auto"/>
        <w:right w:val="none" w:sz="0" w:space="0" w:color="auto"/>
      </w:divBdr>
    </w:div>
    <w:div w:id="25982523">
      <w:bodyDiv w:val="1"/>
      <w:marLeft w:val="0"/>
      <w:marRight w:val="0"/>
      <w:marTop w:val="0"/>
      <w:marBottom w:val="0"/>
      <w:divBdr>
        <w:top w:val="none" w:sz="0" w:space="0" w:color="auto"/>
        <w:left w:val="none" w:sz="0" w:space="0" w:color="auto"/>
        <w:bottom w:val="none" w:sz="0" w:space="0" w:color="auto"/>
        <w:right w:val="none" w:sz="0" w:space="0" w:color="auto"/>
      </w:divBdr>
    </w:div>
    <w:div w:id="27607714">
      <w:bodyDiv w:val="1"/>
      <w:marLeft w:val="0"/>
      <w:marRight w:val="0"/>
      <w:marTop w:val="0"/>
      <w:marBottom w:val="0"/>
      <w:divBdr>
        <w:top w:val="none" w:sz="0" w:space="0" w:color="auto"/>
        <w:left w:val="none" w:sz="0" w:space="0" w:color="auto"/>
        <w:bottom w:val="none" w:sz="0" w:space="0" w:color="auto"/>
        <w:right w:val="none" w:sz="0" w:space="0" w:color="auto"/>
      </w:divBdr>
    </w:div>
    <w:div w:id="28728923">
      <w:bodyDiv w:val="1"/>
      <w:marLeft w:val="0"/>
      <w:marRight w:val="0"/>
      <w:marTop w:val="0"/>
      <w:marBottom w:val="0"/>
      <w:divBdr>
        <w:top w:val="none" w:sz="0" w:space="0" w:color="auto"/>
        <w:left w:val="none" w:sz="0" w:space="0" w:color="auto"/>
        <w:bottom w:val="none" w:sz="0" w:space="0" w:color="auto"/>
        <w:right w:val="none" w:sz="0" w:space="0" w:color="auto"/>
      </w:divBdr>
    </w:div>
    <w:div w:id="45182371">
      <w:bodyDiv w:val="1"/>
      <w:marLeft w:val="0"/>
      <w:marRight w:val="0"/>
      <w:marTop w:val="0"/>
      <w:marBottom w:val="0"/>
      <w:divBdr>
        <w:top w:val="none" w:sz="0" w:space="0" w:color="auto"/>
        <w:left w:val="none" w:sz="0" w:space="0" w:color="auto"/>
        <w:bottom w:val="none" w:sz="0" w:space="0" w:color="auto"/>
        <w:right w:val="none" w:sz="0" w:space="0" w:color="auto"/>
      </w:divBdr>
    </w:div>
    <w:div w:id="57677624">
      <w:bodyDiv w:val="1"/>
      <w:marLeft w:val="0"/>
      <w:marRight w:val="0"/>
      <w:marTop w:val="0"/>
      <w:marBottom w:val="0"/>
      <w:divBdr>
        <w:top w:val="none" w:sz="0" w:space="0" w:color="auto"/>
        <w:left w:val="none" w:sz="0" w:space="0" w:color="auto"/>
        <w:bottom w:val="none" w:sz="0" w:space="0" w:color="auto"/>
        <w:right w:val="none" w:sz="0" w:space="0" w:color="auto"/>
      </w:divBdr>
    </w:div>
    <w:div w:id="64426302">
      <w:bodyDiv w:val="1"/>
      <w:marLeft w:val="0"/>
      <w:marRight w:val="0"/>
      <w:marTop w:val="0"/>
      <w:marBottom w:val="0"/>
      <w:divBdr>
        <w:top w:val="none" w:sz="0" w:space="0" w:color="auto"/>
        <w:left w:val="none" w:sz="0" w:space="0" w:color="auto"/>
        <w:bottom w:val="none" w:sz="0" w:space="0" w:color="auto"/>
        <w:right w:val="none" w:sz="0" w:space="0" w:color="auto"/>
      </w:divBdr>
    </w:div>
    <w:div w:id="68771277">
      <w:bodyDiv w:val="1"/>
      <w:marLeft w:val="0"/>
      <w:marRight w:val="0"/>
      <w:marTop w:val="0"/>
      <w:marBottom w:val="0"/>
      <w:divBdr>
        <w:top w:val="none" w:sz="0" w:space="0" w:color="auto"/>
        <w:left w:val="none" w:sz="0" w:space="0" w:color="auto"/>
        <w:bottom w:val="none" w:sz="0" w:space="0" w:color="auto"/>
        <w:right w:val="none" w:sz="0" w:space="0" w:color="auto"/>
      </w:divBdr>
    </w:div>
    <w:div w:id="69812836">
      <w:bodyDiv w:val="1"/>
      <w:marLeft w:val="0"/>
      <w:marRight w:val="0"/>
      <w:marTop w:val="0"/>
      <w:marBottom w:val="0"/>
      <w:divBdr>
        <w:top w:val="none" w:sz="0" w:space="0" w:color="auto"/>
        <w:left w:val="none" w:sz="0" w:space="0" w:color="auto"/>
        <w:bottom w:val="none" w:sz="0" w:space="0" w:color="auto"/>
        <w:right w:val="none" w:sz="0" w:space="0" w:color="auto"/>
      </w:divBdr>
    </w:div>
    <w:div w:id="70002834">
      <w:bodyDiv w:val="1"/>
      <w:marLeft w:val="0"/>
      <w:marRight w:val="0"/>
      <w:marTop w:val="0"/>
      <w:marBottom w:val="0"/>
      <w:divBdr>
        <w:top w:val="none" w:sz="0" w:space="0" w:color="auto"/>
        <w:left w:val="none" w:sz="0" w:space="0" w:color="auto"/>
        <w:bottom w:val="none" w:sz="0" w:space="0" w:color="auto"/>
        <w:right w:val="none" w:sz="0" w:space="0" w:color="auto"/>
      </w:divBdr>
    </w:div>
    <w:div w:id="80957983">
      <w:bodyDiv w:val="1"/>
      <w:marLeft w:val="0"/>
      <w:marRight w:val="0"/>
      <w:marTop w:val="0"/>
      <w:marBottom w:val="0"/>
      <w:divBdr>
        <w:top w:val="none" w:sz="0" w:space="0" w:color="auto"/>
        <w:left w:val="none" w:sz="0" w:space="0" w:color="auto"/>
        <w:bottom w:val="none" w:sz="0" w:space="0" w:color="auto"/>
        <w:right w:val="none" w:sz="0" w:space="0" w:color="auto"/>
      </w:divBdr>
    </w:div>
    <w:div w:id="85614008">
      <w:bodyDiv w:val="1"/>
      <w:marLeft w:val="0"/>
      <w:marRight w:val="0"/>
      <w:marTop w:val="0"/>
      <w:marBottom w:val="0"/>
      <w:divBdr>
        <w:top w:val="none" w:sz="0" w:space="0" w:color="auto"/>
        <w:left w:val="none" w:sz="0" w:space="0" w:color="auto"/>
        <w:bottom w:val="none" w:sz="0" w:space="0" w:color="auto"/>
        <w:right w:val="none" w:sz="0" w:space="0" w:color="auto"/>
      </w:divBdr>
      <w:divsChild>
        <w:div w:id="2020542485">
          <w:marLeft w:val="0"/>
          <w:marRight w:val="0"/>
          <w:marTop w:val="0"/>
          <w:marBottom w:val="0"/>
          <w:divBdr>
            <w:top w:val="none" w:sz="0" w:space="0" w:color="auto"/>
            <w:left w:val="none" w:sz="0" w:space="0" w:color="auto"/>
            <w:bottom w:val="none" w:sz="0" w:space="0" w:color="auto"/>
            <w:right w:val="none" w:sz="0" w:space="0" w:color="auto"/>
          </w:divBdr>
        </w:div>
      </w:divsChild>
    </w:div>
    <w:div w:id="92826314">
      <w:bodyDiv w:val="1"/>
      <w:marLeft w:val="0"/>
      <w:marRight w:val="0"/>
      <w:marTop w:val="0"/>
      <w:marBottom w:val="0"/>
      <w:divBdr>
        <w:top w:val="none" w:sz="0" w:space="0" w:color="auto"/>
        <w:left w:val="none" w:sz="0" w:space="0" w:color="auto"/>
        <w:bottom w:val="none" w:sz="0" w:space="0" w:color="auto"/>
        <w:right w:val="none" w:sz="0" w:space="0" w:color="auto"/>
      </w:divBdr>
    </w:div>
    <w:div w:id="103890815">
      <w:bodyDiv w:val="1"/>
      <w:marLeft w:val="0"/>
      <w:marRight w:val="0"/>
      <w:marTop w:val="0"/>
      <w:marBottom w:val="0"/>
      <w:divBdr>
        <w:top w:val="none" w:sz="0" w:space="0" w:color="auto"/>
        <w:left w:val="none" w:sz="0" w:space="0" w:color="auto"/>
        <w:bottom w:val="none" w:sz="0" w:space="0" w:color="auto"/>
        <w:right w:val="none" w:sz="0" w:space="0" w:color="auto"/>
      </w:divBdr>
    </w:div>
    <w:div w:id="116484782">
      <w:bodyDiv w:val="1"/>
      <w:marLeft w:val="0"/>
      <w:marRight w:val="0"/>
      <w:marTop w:val="0"/>
      <w:marBottom w:val="0"/>
      <w:divBdr>
        <w:top w:val="none" w:sz="0" w:space="0" w:color="auto"/>
        <w:left w:val="none" w:sz="0" w:space="0" w:color="auto"/>
        <w:bottom w:val="none" w:sz="0" w:space="0" w:color="auto"/>
        <w:right w:val="none" w:sz="0" w:space="0" w:color="auto"/>
      </w:divBdr>
    </w:div>
    <w:div w:id="122384770">
      <w:bodyDiv w:val="1"/>
      <w:marLeft w:val="0"/>
      <w:marRight w:val="0"/>
      <w:marTop w:val="0"/>
      <w:marBottom w:val="0"/>
      <w:divBdr>
        <w:top w:val="none" w:sz="0" w:space="0" w:color="auto"/>
        <w:left w:val="none" w:sz="0" w:space="0" w:color="auto"/>
        <w:bottom w:val="none" w:sz="0" w:space="0" w:color="auto"/>
        <w:right w:val="none" w:sz="0" w:space="0" w:color="auto"/>
      </w:divBdr>
    </w:div>
    <w:div w:id="126777948">
      <w:bodyDiv w:val="1"/>
      <w:marLeft w:val="0"/>
      <w:marRight w:val="0"/>
      <w:marTop w:val="0"/>
      <w:marBottom w:val="0"/>
      <w:divBdr>
        <w:top w:val="none" w:sz="0" w:space="0" w:color="auto"/>
        <w:left w:val="none" w:sz="0" w:space="0" w:color="auto"/>
        <w:bottom w:val="none" w:sz="0" w:space="0" w:color="auto"/>
        <w:right w:val="none" w:sz="0" w:space="0" w:color="auto"/>
      </w:divBdr>
    </w:div>
    <w:div w:id="127405504">
      <w:bodyDiv w:val="1"/>
      <w:marLeft w:val="0"/>
      <w:marRight w:val="0"/>
      <w:marTop w:val="0"/>
      <w:marBottom w:val="0"/>
      <w:divBdr>
        <w:top w:val="none" w:sz="0" w:space="0" w:color="auto"/>
        <w:left w:val="none" w:sz="0" w:space="0" w:color="auto"/>
        <w:bottom w:val="none" w:sz="0" w:space="0" w:color="auto"/>
        <w:right w:val="none" w:sz="0" w:space="0" w:color="auto"/>
      </w:divBdr>
      <w:divsChild>
        <w:div w:id="1678771254">
          <w:marLeft w:val="0"/>
          <w:marRight w:val="0"/>
          <w:marTop w:val="0"/>
          <w:marBottom w:val="0"/>
          <w:divBdr>
            <w:top w:val="none" w:sz="0" w:space="0" w:color="auto"/>
            <w:left w:val="none" w:sz="0" w:space="0" w:color="auto"/>
            <w:bottom w:val="none" w:sz="0" w:space="0" w:color="auto"/>
            <w:right w:val="none" w:sz="0" w:space="0" w:color="auto"/>
          </w:divBdr>
        </w:div>
      </w:divsChild>
    </w:div>
    <w:div w:id="131409358">
      <w:bodyDiv w:val="1"/>
      <w:marLeft w:val="0"/>
      <w:marRight w:val="0"/>
      <w:marTop w:val="0"/>
      <w:marBottom w:val="0"/>
      <w:divBdr>
        <w:top w:val="none" w:sz="0" w:space="0" w:color="auto"/>
        <w:left w:val="none" w:sz="0" w:space="0" w:color="auto"/>
        <w:bottom w:val="none" w:sz="0" w:space="0" w:color="auto"/>
        <w:right w:val="none" w:sz="0" w:space="0" w:color="auto"/>
      </w:divBdr>
    </w:div>
    <w:div w:id="140079998">
      <w:bodyDiv w:val="1"/>
      <w:marLeft w:val="0"/>
      <w:marRight w:val="0"/>
      <w:marTop w:val="0"/>
      <w:marBottom w:val="0"/>
      <w:divBdr>
        <w:top w:val="none" w:sz="0" w:space="0" w:color="auto"/>
        <w:left w:val="none" w:sz="0" w:space="0" w:color="auto"/>
        <w:bottom w:val="none" w:sz="0" w:space="0" w:color="auto"/>
        <w:right w:val="none" w:sz="0" w:space="0" w:color="auto"/>
      </w:divBdr>
    </w:div>
    <w:div w:id="146166192">
      <w:bodyDiv w:val="1"/>
      <w:marLeft w:val="0"/>
      <w:marRight w:val="0"/>
      <w:marTop w:val="0"/>
      <w:marBottom w:val="0"/>
      <w:divBdr>
        <w:top w:val="none" w:sz="0" w:space="0" w:color="auto"/>
        <w:left w:val="none" w:sz="0" w:space="0" w:color="auto"/>
        <w:bottom w:val="none" w:sz="0" w:space="0" w:color="auto"/>
        <w:right w:val="none" w:sz="0" w:space="0" w:color="auto"/>
      </w:divBdr>
    </w:div>
    <w:div w:id="150103958">
      <w:bodyDiv w:val="1"/>
      <w:marLeft w:val="0"/>
      <w:marRight w:val="0"/>
      <w:marTop w:val="0"/>
      <w:marBottom w:val="0"/>
      <w:divBdr>
        <w:top w:val="none" w:sz="0" w:space="0" w:color="auto"/>
        <w:left w:val="none" w:sz="0" w:space="0" w:color="auto"/>
        <w:bottom w:val="none" w:sz="0" w:space="0" w:color="auto"/>
        <w:right w:val="none" w:sz="0" w:space="0" w:color="auto"/>
      </w:divBdr>
    </w:div>
    <w:div w:id="150951430">
      <w:bodyDiv w:val="1"/>
      <w:marLeft w:val="0"/>
      <w:marRight w:val="0"/>
      <w:marTop w:val="0"/>
      <w:marBottom w:val="0"/>
      <w:divBdr>
        <w:top w:val="none" w:sz="0" w:space="0" w:color="auto"/>
        <w:left w:val="none" w:sz="0" w:space="0" w:color="auto"/>
        <w:bottom w:val="none" w:sz="0" w:space="0" w:color="auto"/>
        <w:right w:val="none" w:sz="0" w:space="0" w:color="auto"/>
      </w:divBdr>
    </w:div>
    <w:div w:id="154146807">
      <w:bodyDiv w:val="1"/>
      <w:marLeft w:val="0"/>
      <w:marRight w:val="0"/>
      <w:marTop w:val="0"/>
      <w:marBottom w:val="0"/>
      <w:divBdr>
        <w:top w:val="none" w:sz="0" w:space="0" w:color="auto"/>
        <w:left w:val="none" w:sz="0" w:space="0" w:color="auto"/>
        <w:bottom w:val="none" w:sz="0" w:space="0" w:color="auto"/>
        <w:right w:val="none" w:sz="0" w:space="0" w:color="auto"/>
      </w:divBdr>
    </w:div>
    <w:div w:id="160700182">
      <w:bodyDiv w:val="1"/>
      <w:marLeft w:val="0"/>
      <w:marRight w:val="0"/>
      <w:marTop w:val="0"/>
      <w:marBottom w:val="0"/>
      <w:divBdr>
        <w:top w:val="none" w:sz="0" w:space="0" w:color="auto"/>
        <w:left w:val="none" w:sz="0" w:space="0" w:color="auto"/>
        <w:bottom w:val="none" w:sz="0" w:space="0" w:color="auto"/>
        <w:right w:val="none" w:sz="0" w:space="0" w:color="auto"/>
      </w:divBdr>
      <w:divsChild>
        <w:div w:id="1475298963">
          <w:marLeft w:val="0"/>
          <w:marRight w:val="0"/>
          <w:marTop w:val="0"/>
          <w:marBottom w:val="0"/>
          <w:divBdr>
            <w:top w:val="none" w:sz="0" w:space="0" w:color="auto"/>
            <w:left w:val="none" w:sz="0" w:space="0" w:color="auto"/>
            <w:bottom w:val="none" w:sz="0" w:space="0" w:color="auto"/>
            <w:right w:val="none" w:sz="0" w:space="0" w:color="auto"/>
          </w:divBdr>
        </w:div>
      </w:divsChild>
    </w:div>
    <w:div w:id="162404562">
      <w:bodyDiv w:val="1"/>
      <w:marLeft w:val="0"/>
      <w:marRight w:val="0"/>
      <w:marTop w:val="0"/>
      <w:marBottom w:val="0"/>
      <w:divBdr>
        <w:top w:val="none" w:sz="0" w:space="0" w:color="auto"/>
        <w:left w:val="none" w:sz="0" w:space="0" w:color="auto"/>
        <w:bottom w:val="none" w:sz="0" w:space="0" w:color="auto"/>
        <w:right w:val="none" w:sz="0" w:space="0" w:color="auto"/>
      </w:divBdr>
    </w:div>
    <w:div w:id="163055984">
      <w:bodyDiv w:val="1"/>
      <w:marLeft w:val="0"/>
      <w:marRight w:val="0"/>
      <w:marTop w:val="0"/>
      <w:marBottom w:val="0"/>
      <w:divBdr>
        <w:top w:val="none" w:sz="0" w:space="0" w:color="auto"/>
        <w:left w:val="none" w:sz="0" w:space="0" w:color="auto"/>
        <w:bottom w:val="none" w:sz="0" w:space="0" w:color="auto"/>
        <w:right w:val="none" w:sz="0" w:space="0" w:color="auto"/>
      </w:divBdr>
    </w:div>
    <w:div w:id="166215636">
      <w:bodyDiv w:val="1"/>
      <w:marLeft w:val="0"/>
      <w:marRight w:val="0"/>
      <w:marTop w:val="0"/>
      <w:marBottom w:val="0"/>
      <w:divBdr>
        <w:top w:val="none" w:sz="0" w:space="0" w:color="auto"/>
        <w:left w:val="none" w:sz="0" w:space="0" w:color="auto"/>
        <w:bottom w:val="none" w:sz="0" w:space="0" w:color="auto"/>
        <w:right w:val="none" w:sz="0" w:space="0" w:color="auto"/>
      </w:divBdr>
    </w:div>
    <w:div w:id="166872612">
      <w:bodyDiv w:val="1"/>
      <w:marLeft w:val="0"/>
      <w:marRight w:val="0"/>
      <w:marTop w:val="0"/>
      <w:marBottom w:val="0"/>
      <w:divBdr>
        <w:top w:val="none" w:sz="0" w:space="0" w:color="auto"/>
        <w:left w:val="none" w:sz="0" w:space="0" w:color="auto"/>
        <w:bottom w:val="none" w:sz="0" w:space="0" w:color="auto"/>
        <w:right w:val="none" w:sz="0" w:space="0" w:color="auto"/>
      </w:divBdr>
    </w:div>
    <w:div w:id="167066199">
      <w:bodyDiv w:val="1"/>
      <w:marLeft w:val="0"/>
      <w:marRight w:val="0"/>
      <w:marTop w:val="0"/>
      <w:marBottom w:val="0"/>
      <w:divBdr>
        <w:top w:val="none" w:sz="0" w:space="0" w:color="auto"/>
        <w:left w:val="none" w:sz="0" w:space="0" w:color="auto"/>
        <w:bottom w:val="none" w:sz="0" w:space="0" w:color="auto"/>
        <w:right w:val="none" w:sz="0" w:space="0" w:color="auto"/>
      </w:divBdr>
      <w:divsChild>
        <w:div w:id="1748727359">
          <w:marLeft w:val="0"/>
          <w:marRight w:val="0"/>
          <w:marTop w:val="0"/>
          <w:marBottom w:val="0"/>
          <w:divBdr>
            <w:top w:val="none" w:sz="0" w:space="0" w:color="auto"/>
            <w:left w:val="none" w:sz="0" w:space="0" w:color="auto"/>
            <w:bottom w:val="none" w:sz="0" w:space="0" w:color="auto"/>
            <w:right w:val="none" w:sz="0" w:space="0" w:color="auto"/>
          </w:divBdr>
        </w:div>
      </w:divsChild>
    </w:div>
    <w:div w:id="180703682">
      <w:bodyDiv w:val="1"/>
      <w:marLeft w:val="0"/>
      <w:marRight w:val="0"/>
      <w:marTop w:val="0"/>
      <w:marBottom w:val="0"/>
      <w:divBdr>
        <w:top w:val="none" w:sz="0" w:space="0" w:color="auto"/>
        <w:left w:val="none" w:sz="0" w:space="0" w:color="auto"/>
        <w:bottom w:val="none" w:sz="0" w:space="0" w:color="auto"/>
        <w:right w:val="none" w:sz="0" w:space="0" w:color="auto"/>
      </w:divBdr>
    </w:div>
    <w:div w:id="195702956">
      <w:bodyDiv w:val="1"/>
      <w:marLeft w:val="0"/>
      <w:marRight w:val="0"/>
      <w:marTop w:val="0"/>
      <w:marBottom w:val="0"/>
      <w:divBdr>
        <w:top w:val="none" w:sz="0" w:space="0" w:color="auto"/>
        <w:left w:val="none" w:sz="0" w:space="0" w:color="auto"/>
        <w:bottom w:val="none" w:sz="0" w:space="0" w:color="auto"/>
        <w:right w:val="none" w:sz="0" w:space="0" w:color="auto"/>
      </w:divBdr>
    </w:div>
    <w:div w:id="208613913">
      <w:bodyDiv w:val="1"/>
      <w:marLeft w:val="0"/>
      <w:marRight w:val="0"/>
      <w:marTop w:val="0"/>
      <w:marBottom w:val="0"/>
      <w:divBdr>
        <w:top w:val="none" w:sz="0" w:space="0" w:color="auto"/>
        <w:left w:val="none" w:sz="0" w:space="0" w:color="auto"/>
        <w:bottom w:val="none" w:sz="0" w:space="0" w:color="auto"/>
        <w:right w:val="none" w:sz="0" w:space="0" w:color="auto"/>
      </w:divBdr>
    </w:div>
    <w:div w:id="210119644">
      <w:bodyDiv w:val="1"/>
      <w:marLeft w:val="0"/>
      <w:marRight w:val="0"/>
      <w:marTop w:val="0"/>
      <w:marBottom w:val="0"/>
      <w:divBdr>
        <w:top w:val="none" w:sz="0" w:space="0" w:color="auto"/>
        <w:left w:val="none" w:sz="0" w:space="0" w:color="auto"/>
        <w:bottom w:val="none" w:sz="0" w:space="0" w:color="auto"/>
        <w:right w:val="none" w:sz="0" w:space="0" w:color="auto"/>
      </w:divBdr>
    </w:div>
    <w:div w:id="231429102">
      <w:bodyDiv w:val="1"/>
      <w:marLeft w:val="0"/>
      <w:marRight w:val="0"/>
      <w:marTop w:val="0"/>
      <w:marBottom w:val="0"/>
      <w:divBdr>
        <w:top w:val="none" w:sz="0" w:space="0" w:color="auto"/>
        <w:left w:val="none" w:sz="0" w:space="0" w:color="auto"/>
        <w:bottom w:val="none" w:sz="0" w:space="0" w:color="auto"/>
        <w:right w:val="none" w:sz="0" w:space="0" w:color="auto"/>
      </w:divBdr>
    </w:div>
    <w:div w:id="231548555">
      <w:bodyDiv w:val="1"/>
      <w:marLeft w:val="0"/>
      <w:marRight w:val="0"/>
      <w:marTop w:val="0"/>
      <w:marBottom w:val="0"/>
      <w:divBdr>
        <w:top w:val="none" w:sz="0" w:space="0" w:color="auto"/>
        <w:left w:val="none" w:sz="0" w:space="0" w:color="auto"/>
        <w:bottom w:val="none" w:sz="0" w:space="0" w:color="auto"/>
        <w:right w:val="none" w:sz="0" w:space="0" w:color="auto"/>
      </w:divBdr>
    </w:div>
    <w:div w:id="239099654">
      <w:bodyDiv w:val="1"/>
      <w:marLeft w:val="0"/>
      <w:marRight w:val="0"/>
      <w:marTop w:val="0"/>
      <w:marBottom w:val="0"/>
      <w:divBdr>
        <w:top w:val="none" w:sz="0" w:space="0" w:color="auto"/>
        <w:left w:val="none" w:sz="0" w:space="0" w:color="auto"/>
        <w:bottom w:val="none" w:sz="0" w:space="0" w:color="auto"/>
        <w:right w:val="none" w:sz="0" w:space="0" w:color="auto"/>
      </w:divBdr>
    </w:div>
    <w:div w:id="242615024">
      <w:bodyDiv w:val="1"/>
      <w:marLeft w:val="0"/>
      <w:marRight w:val="0"/>
      <w:marTop w:val="0"/>
      <w:marBottom w:val="0"/>
      <w:divBdr>
        <w:top w:val="none" w:sz="0" w:space="0" w:color="auto"/>
        <w:left w:val="none" w:sz="0" w:space="0" w:color="auto"/>
        <w:bottom w:val="none" w:sz="0" w:space="0" w:color="auto"/>
        <w:right w:val="none" w:sz="0" w:space="0" w:color="auto"/>
      </w:divBdr>
    </w:div>
    <w:div w:id="246233985">
      <w:bodyDiv w:val="1"/>
      <w:marLeft w:val="0"/>
      <w:marRight w:val="0"/>
      <w:marTop w:val="0"/>
      <w:marBottom w:val="0"/>
      <w:divBdr>
        <w:top w:val="none" w:sz="0" w:space="0" w:color="auto"/>
        <w:left w:val="none" w:sz="0" w:space="0" w:color="auto"/>
        <w:bottom w:val="none" w:sz="0" w:space="0" w:color="auto"/>
        <w:right w:val="none" w:sz="0" w:space="0" w:color="auto"/>
      </w:divBdr>
    </w:div>
    <w:div w:id="249461437">
      <w:bodyDiv w:val="1"/>
      <w:marLeft w:val="0"/>
      <w:marRight w:val="0"/>
      <w:marTop w:val="0"/>
      <w:marBottom w:val="0"/>
      <w:divBdr>
        <w:top w:val="none" w:sz="0" w:space="0" w:color="auto"/>
        <w:left w:val="none" w:sz="0" w:space="0" w:color="auto"/>
        <w:bottom w:val="none" w:sz="0" w:space="0" w:color="auto"/>
        <w:right w:val="none" w:sz="0" w:space="0" w:color="auto"/>
      </w:divBdr>
    </w:div>
    <w:div w:id="251090832">
      <w:bodyDiv w:val="1"/>
      <w:marLeft w:val="0"/>
      <w:marRight w:val="0"/>
      <w:marTop w:val="0"/>
      <w:marBottom w:val="0"/>
      <w:divBdr>
        <w:top w:val="none" w:sz="0" w:space="0" w:color="auto"/>
        <w:left w:val="none" w:sz="0" w:space="0" w:color="auto"/>
        <w:bottom w:val="none" w:sz="0" w:space="0" w:color="auto"/>
        <w:right w:val="none" w:sz="0" w:space="0" w:color="auto"/>
      </w:divBdr>
    </w:div>
    <w:div w:id="263614300">
      <w:bodyDiv w:val="1"/>
      <w:marLeft w:val="0"/>
      <w:marRight w:val="0"/>
      <w:marTop w:val="0"/>
      <w:marBottom w:val="0"/>
      <w:divBdr>
        <w:top w:val="none" w:sz="0" w:space="0" w:color="auto"/>
        <w:left w:val="none" w:sz="0" w:space="0" w:color="auto"/>
        <w:bottom w:val="none" w:sz="0" w:space="0" w:color="auto"/>
        <w:right w:val="none" w:sz="0" w:space="0" w:color="auto"/>
      </w:divBdr>
    </w:div>
    <w:div w:id="266084963">
      <w:bodyDiv w:val="1"/>
      <w:marLeft w:val="0"/>
      <w:marRight w:val="0"/>
      <w:marTop w:val="0"/>
      <w:marBottom w:val="0"/>
      <w:divBdr>
        <w:top w:val="none" w:sz="0" w:space="0" w:color="auto"/>
        <w:left w:val="none" w:sz="0" w:space="0" w:color="auto"/>
        <w:bottom w:val="none" w:sz="0" w:space="0" w:color="auto"/>
        <w:right w:val="none" w:sz="0" w:space="0" w:color="auto"/>
      </w:divBdr>
    </w:div>
    <w:div w:id="274681167">
      <w:bodyDiv w:val="1"/>
      <w:marLeft w:val="0"/>
      <w:marRight w:val="0"/>
      <w:marTop w:val="0"/>
      <w:marBottom w:val="0"/>
      <w:divBdr>
        <w:top w:val="none" w:sz="0" w:space="0" w:color="auto"/>
        <w:left w:val="none" w:sz="0" w:space="0" w:color="auto"/>
        <w:bottom w:val="none" w:sz="0" w:space="0" w:color="auto"/>
        <w:right w:val="none" w:sz="0" w:space="0" w:color="auto"/>
      </w:divBdr>
      <w:divsChild>
        <w:div w:id="971791534">
          <w:marLeft w:val="0"/>
          <w:marRight w:val="0"/>
          <w:marTop w:val="0"/>
          <w:marBottom w:val="0"/>
          <w:divBdr>
            <w:top w:val="none" w:sz="0" w:space="0" w:color="auto"/>
            <w:left w:val="none" w:sz="0" w:space="0" w:color="auto"/>
            <w:bottom w:val="none" w:sz="0" w:space="0" w:color="auto"/>
            <w:right w:val="none" w:sz="0" w:space="0" w:color="auto"/>
          </w:divBdr>
        </w:div>
      </w:divsChild>
    </w:div>
    <w:div w:id="285165011">
      <w:bodyDiv w:val="1"/>
      <w:marLeft w:val="0"/>
      <w:marRight w:val="0"/>
      <w:marTop w:val="0"/>
      <w:marBottom w:val="0"/>
      <w:divBdr>
        <w:top w:val="none" w:sz="0" w:space="0" w:color="auto"/>
        <w:left w:val="none" w:sz="0" w:space="0" w:color="auto"/>
        <w:bottom w:val="none" w:sz="0" w:space="0" w:color="auto"/>
        <w:right w:val="none" w:sz="0" w:space="0" w:color="auto"/>
      </w:divBdr>
    </w:div>
    <w:div w:id="295456045">
      <w:bodyDiv w:val="1"/>
      <w:marLeft w:val="0"/>
      <w:marRight w:val="0"/>
      <w:marTop w:val="0"/>
      <w:marBottom w:val="0"/>
      <w:divBdr>
        <w:top w:val="none" w:sz="0" w:space="0" w:color="auto"/>
        <w:left w:val="none" w:sz="0" w:space="0" w:color="auto"/>
        <w:bottom w:val="none" w:sz="0" w:space="0" w:color="auto"/>
        <w:right w:val="none" w:sz="0" w:space="0" w:color="auto"/>
      </w:divBdr>
    </w:div>
    <w:div w:id="301471220">
      <w:bodyDiv w:val="1"/>
      <w:marLeft w:val="0"/>
      <w:marRight w:val="0"/>
      <w:marTop w:val="0"/>
      <w:marBottom w:val="0"/>
      <w:divBdr>
        <w:top w:val="none" w:sz="0" w:space="0" w:color="auto"/>
        <w:left w:val="none" w:sz="0" w:space="0" w:color="auto"/>
        <w:bottom w:val="none" w:sz="0" w:space="0" w:color="auto"/>
        <w:right w:val="none" w:sz="0" w:space="0" w:color="auto"/>
      </w:divBdr>
    </w:div>
    <w:div w:id="304966856">
      <w:bodyDiv w:val="1"/>
      <w:marLeft w:val="0"/>
      <w:marRight w:val="0"/>
      <w:marTop w:val="0"/>
      <w:marBottom w:val="0"/>
      <w:divBdr>
        <w:top w:val="none" w:sz="0" w:space="0" w:color="auto"/>
        <w:left w:val="none" w:sz="0" w:space="0" w:color="auto"/>
        <w:bottom w:val="none" w:sz="0" w:space="0" w:color="auto"/>
        <w:right w:val="none" w:sz="0" w:space="0" w:color="auto"/>
      </w:divBdr>
    </w:div>
    <w:div w:id="311175380">
      <w:bodyDiv w:val="1"/>
      <w:marLeft w:val="0"/>
      <w:marRight w:val="0"/>
      <w:marTop w:val="0"/>
      <w:marBottom w:val="0"/>
      <w:divBdr>
        <w:top w:val="none" w:sz="0" w:space="0" w:color="auto"/>
        <w:left w:val="none" w:sz="0" w:space="0" w:color="auto"/>
        <w:bottom w:val="none" w:sz="0" w:space="0" w:color="auto"/>
        <w:right w:val="none" w:sz="0" w:space="0" w:color="auto"/>
      </w:divBdr>
    </w:div>
    <w:div w:id="312418741">
      <w:bodyDiv w:val="1"/>
      <w:marLeft w:val="0"/>
      <w:marRight w:val="0"/>
      <w:marTop w:val="0"/>
      <w:marBottom w:val="0"/>
      <w:divBdr>
        <w:top w:val="none" w:sz="0" w:space="0" w:color="auto"/>
        <w:left w:val="none" w:sz="0" w:space="0" w:color="auto"/>
        <w:bottom w:val="none" w:sz="0" w:space="0" w:color="auto"/>
        <w:right w:val="none" w:sz="0" w:space="0" w:color="auto"/>
      </w:divBdr>
    </w:div>
    <w:div w:id="313872304">
      <w:bodyDiv w:val="1"/>
      <w:marLeft w:val="0"/>
      <w:marRight w:val="0"/>
      <w:marTop w:val="0"/>
      <w:marBottom w:val="0"/>
      <w:divBdr>
        <w:top w:val="none" w:sz="0" w:space="0" w:color="auto"/>
        <w:left w:val="none" w:sz="0" w:space="0" w:color="auto"/>
        <w:bottom w:val="none" w:sz="0" w:space="0" w:color="auto"/>
        <w:right w:val="none" w:sz="0" w:space="0" w:color="auto"/>
      </w:divBdr>
    </w:div>
    <w:div w:id="314261277">
      <w:bodyDiv w:val="1"/>
      <w:marLeft w:val="0"/>
      <w:marRight w:val="0"/>
      <w:marTop w:val="0"/>
      <w:marBottom w:val="0"/>
      <w:divBdr>
        <w:top w:val="none" w:sz="0" w:space="0" w:color="auto"/>
        <w:left w:val="none" w:sz="0" w:space="0" w:color="auto"/>
        <w:bottom w:val="none" w:sz="0" w:space="0" w:color="auto"/>
        <w:right w:val="none" w:sz="0" w:space="0" w:color="auto"/>
      </w:divBdr>
    </w:div>
    <w:div w:id="314264053">
      <w:bodyDiv w:val="1"/>
      <w:marLeft w:val="0"/>
      <w:marRight w:val="0"/>
      <w:marTop w:val="0"/>
      <w:marBottom w:val="0"/>
      <w:divBdr>
        <w:top w:val="none" w:sz="0" w:space="0" w:color="auto"/>
        <w:left w:val="none" w:sz="0" w:space="0" w:color="auto"/>
        <w:bottom w:val="none" w:sz="0" w:space="0" w:color="auto"/>
        <w:right w:val="none" w:sz="0" w:space="0" w:color="auto"/>
      </w:divBdr>
    </w:div>
    <w:div w:id="322514250">
      <w:bodyDiv w:val="1"/>
      <w:marLeft w:val="0"/>
      <w:marRight w:val="0"/>
      <w:marTop w:val="0"/>
      <w:marBottom w:val="0"/>
      <w:divBdr>
        <w:top w:val="none" w:sz="0" w:space="0" w:color="auto"/>
        <w:left w:val="none" w:sz="0" w:space="0" w:color="auto"/>
        <w:bottom w:val="none" w:sz="0" w:space="0" w:color="auto"/>
        <w:right w:val="none" w:sz="0" w:space="0" w:color="auto"/>
      </w:divBdr>
    </w:div>
    <w:div w:id="324238304">
      <w:bodyDiv w:val="1"/>
      <w:marLeft w:val="0"/>
      <w:marRight w:val="0"/>
      <w:marTop w:val="0"/>
      <w:marBottom w:val="0"/>
      <w:divBdr>
        <w:top w:val="none" w:sz="0" w:space="0" w:color="auto"/>
        <w:left w:val="none" w:sz="0" w:space="0" w:color="auto"/>
        <w:bottom w:val="none" w:sz="0" w:space="0" w:color="auto"/>
        <w:right w:val="none" w:sz="0" w:space="0" w:color="auto"/>
      </w:divBdr>
    </w:div>
    <w:div w:id="337925612">
      <w:bodyDiv w:val="1"/>
      <w:marLeft w:val="0"/>
      <w:marRight w:val="0"/>
      <w:marTop w:val="0"/>
      <w:marBottom w:val="0"/>
      <w:divBdr>
        <w:top w:val="none" w:sz="0" w:space="0" w:color="auto"/>
        <w:left w:val="none" w:sz="0" w:space="0" w:color="auto"/>
        <w:bottom w:val="none" w:sz="0" w:space="0" w:color="auto"/>
        <w:right w:val="none" w:sz="0" w:space="0" w:color="auto"/>
      </w:divBdr>
    </w:div>
    <w:div w:id="343020201">
      <w:bodyDiv w:val="1"/>
      <w:marLeft w:val="0"/>
      <w:marRight w:val="0"/>
      <w:marTop w:val="0"/>
      <w:marBottom w:val="0"/>
      <w:divBdr>
        <w:top w:val="none" w:sz="0" w:space="0" w:color="auto"/>
        <w:left w:val="none" w:sz="0" w:space="0" w:color="auto"/>
        <w:bottom w:val="none" w:sz="0" w:space="0" w:color="auto"/>
        <w:right w:val="none" w:sz="0" w:space="0" w:color="auto"/>
      </w:divBdr>
    </w:div>
    <w:div w:id="356665646">
      <w:bodyDiv w:val="1"/>
      <w:marLeft w:val="0"/>
      <w:marRight w:val="0"/>
      <w:marTop w:val="0"/>
      <w:marBottom w:val="0"/>
      <w:divBdr>
        <w:top w:val="none" w:sz="0" w:space="0" w:color="auto"/>
        <w:left w:val="none" w:sz="0" w:space="0" w:color="auto"/>
        <w:bottom w:val="none" w:sz="0" w:space="0" w:color="auto"/>
        <w:right w:val="none" w:sz="0" w:space="0" w:color="auto"/>
      </w:divBdr>
    </w:div>
    <w:div w:id="359361274">
      <w:bodyDiv w:val="1"/>
      <w:marLeft w:val="0"/>
      <w:marRight w:val="0"/>
      <w:marTop w:val="0"/>
      <w:marBottom w:val="0"/>
      <w:divBdr>
        <w:top w:val="none" w:sz="0" w:space="0" w:color="auto"/>
        <w:left w:val="none" w:sz="0" w:space="0" w:color="auto"/>
        <w:bottom w:val="none" w:sz="0" w:space="0" w:color="auto"/>
        <w:right w:val="none" w:sz="0" w:space="0" w:color="auto"/>
      </w:divBdr>
    </w:div>
    <w:div w:id="364253603">
      <w:bodyDiv w:val="1"/>
      <w:marLeft w:val="0"/>
      <w:marRight w:val="0"/>
      <w:marTop w:val="0"/>
      <w:marBottom w:val="0"/>
      <w:divBdr>
        <w:top w:val="none" w:sz="0" w:space="0" w:color="auto"/>
        <w:left w:val="none" w:sz="0" w:space="0" w:color="auto"/>
        <w:bottom w:val="none" w:sz="0" w:space="0" w:color="auto"/>
        <w:right w:val="none" w:sz="0" w:space="0" w:color="auto"/>
      </w:divBdr>
    </w:div>
    <w:div w:id="381903271">
      <w:bodyDiv w:val="1"/>
      <w:marLeft w:val="0"/>
      <w:marRight w:val="0"/>
      <w:marTop w:val="0"/>
      <w:marBottom w:val="0"/>
      <w:divBdr>
        <w:top w:val="none" w:sz="0" w:space="0" w:color="auto"/>
        <w:left w:val="none" w:sz="0" w:space="0" w:color="auto"/>
        <w:bottom w:val="none" w:sz="0" w:space="0" w:color="auto"/>
        <w:right w:val="none" w:sz="0" w:space="0" w:color="auto"/>
      </w:divBdr>
    </w:div>
    <w:div w:id="383216834">
      <w:bodyDiv w:val="1"/>
      <w:marLeft w:val="0"/>
      <w:marRight w:val="0"/>
      <w:marTop w:val="0"/>
      <w:marBottom w:val="0"/>
      <w:divBdr>
        <w:top w:val="none" w:sz="0" w:space="0" w:color="auto"/>
        <w:left w:val="none" w:sz="0" w:space="0" w:color="auto"/>
        <w:bottom w:val="none" w:sz="0" w:space="0" w:color="auto"/>
        <w:right w:val="none" w:sz="0" w:space="0" w:color="auto"/>
      </w:divBdr>
    </w:div>
    <w:div w:id="407575833">
      <w:bodyDiv w:val="1"/>
      <w:marLeft w:val="0"/>
      <w:marRight w:val="0"/>
      <w:marTop w:val="0"/>
      <w:marBottom w:val="0"/>
      <w:divBdr>
        <w:top w:val="none" w:sz="0" w:space="0" w:color="auto"/>
        <w:left w:val="none" w:sz="0" w:space="0" w:color="auto"/>
        <w:bottom w:val="none" w:sz="0" w:space="0" w:color="auto"/>
        <w:right w:val="none" w:sz="0" w:space="0" w:color="auto"/>
      </w:divBdr>
    </w:div>
    <w:div w:id="426461782">
      <w:bodyDiv w:val="1"/>
      <w:marLeft w:val="0"/>
      <w:marRight w:val="0"/>
      <w:marTop w:val="0"/>
      <w:marBottom w:val="0"/>
      <w:divBdr>
        <w:top w:val="none" w:sz="0" w:space="0" w:color="auto"/>
        <w:left w:val="none" w:sz="0" w:space="0" w:color="auto"/>
        <w:bottom w:val="none" w:sz="0" w:space="0" w:color="auto"/>
        <w:right w:val="none" w:sz="0" w:space="0" w:color="auto"/>
      </w:divBdr>
    </w:div>
    <w:div w:id="427387233">
      <w:bodyDiv w:val="1"/>
      <w:marLeft w:val="0"/>
      <w:marRight w:val="0"/>
      <w:marTop w:val="0"/>
      <w:marBottom w:val="0"/>
      <w:divBdr>
        <w:top w:val="none" w:sz="0" w:space="0" w:color="auto"/>
        <w:left w:val="none" w:sz="0" w:space="0" w:color="auto"/>
        <w:bottom w:val="none" w:sz="0" w:space="0" w:color="auto"/>
        <w:right w:val="none" w:sz="0" w:space="0" w:color="auto"/>
      </w:divBdr>
    </w:div>
    <w:div w:id="438915769">
      <w:bodyDiv w:val="1"/>
      <w:marLeft w:val="0"/>
      <w:marRight w:val="0"/>
      <w:marTop w:val="0"/>
      <w:marBottom w:val="0"/>
      <w:divBdr>
        <w:top w:val="none" w:sz="0" w:space="0" w:color="auto"/>
        <w:left w:val="none" w:sz="0" w:space="0" w:color="auto"/>
        <w:bottom w:val="none" w:sz="0" w:space="0" w:color="auto"/>
        <w:right w:val="none" w:sz="0" w:space="0" w:color="auto"/>
      </w:divBdr>
    </w:div>
    <w:div w:id="442772672">
      <w:bodyDiv w:val="1"/>
      <w:marLeft w:val="0"/>
      <w:marRight w:val="0"/>
      <w:marTop w:val="0"/>
      <w:marBottom w:val="0"/>
      <w:divBdr>
        <w:top w:val="none" w:sz="0" w:space="0" w:color="auto"/>
        <w:left w:val="none" w:sz="0" w:space="0" w:color="auto"/>
        <w:bottom w:val="none" w:sz="0" w:space="0" w:color="auto"/>
        <w:right w:val="none" w:sz="0" w:space="0" w:color="auto"/>
      </w:divBdr>
    </w:div>
    <w:div w:id="444345164">
      <w:bodyDiv w:val="1"/>
      <w:marLeft w:val="0"/>
      <w:marRight w:val="0"/>
      <w:marTop w:val="0"/>
      <w:marBottom w:val="0"/>
      <w:divBdr>
        <w:top w:val="none" w:sz="0" w:space="0" w:color="auto"/>
        <w:left w:val="none" w:sz="0" w:space="0" w:color="auto"/>
        <w:bottom w:val="none" w:sz="0" w:space="0" w:color="auto"/>
        <w:right w:val="none" w:sz="0" w:space="0" w:color="auto"/>
      </w:divBdr>
    </w:div>
    <w:div w:id="459614267">
      <w:bodyDiv w:val="1"/>
      <w:marLeft w:val="0"/>
      <w:marRight w:val="0"/>
      <w:marTop w:val="0"/>
      <w:marBottom w:val="0"/>
      <w:divBdr>
        <w:top w:val="none" w:sz="0" w:space="0" w:color="auto"/>
        <w:left w:val="none" w:sz="0" w:space="0" w:color="auto"/>
        <w:bottom w:val="none" w:sz="0" w:space="0" w:color="auto"/>
        <w:right w:val="none" w:sz="0" w:space="0" w:color="auto"/>
      </w:divBdr>
    </w:div>
    <w:div w:id="466823190">
      <w:bodyDiv w:val="1"/>
      <w:marLeft w:val="0"/>
      <w:marRight w:val="0"/>
      <w:marTop w:val="0"/>
      <w:marBottom w:val="0"/>
      <w:divBdr>
        <w:top w:val="none" w:sz="0" w:space="0" w:color="auto"/>
        <w:left w:val="none" w:sz="0" w:space="0" w:color="auto"/>
        <w:bottom w:val="none" w:sz="0" w:space="0" w:color="auto"/>
        <w:right w:val="none" w:sz="0" w:space="0" w:color="auto"/>
      </w:divBdr>
    </w:div>
    <w:div w:id="473451780">
      <w:bodyDiv w:val="1"/>
      <w:marLeft w:val="0"/>
      <w:marRight w:val="0"/>
      <w:marTop w:val="0"/>
      <w:marBottom w:val="0"/>
      <w:divBdr>
        <w:top w:val="none" w:sz="0" w:space="0" w:color="auto"/>
        <w:left w:val="none" w:sz="0" w:space="0" w:color="auto"/>
        <w:bottom w:val="none" w:sz="0" w:space="0" w:color="auto"/>
        <w:right w:val="none" w:sz="0" w:space="0" w:color="auto"/>
      </w:divBdr>
    </w:div>
    <w:div w:id="479690294">
      <w:bodyDiv w:val="1"/>
      <w:marLeft w:val="0"/>
      <w:marRight w:val="0"/>
      <w:marTop w:val="0"/>
      <w:marBottom w:val="0"/>
      <w:divBdr>
        <w:top w:val="none" w:sz="0" w:space="0" w:color="auto"/>
        <w:left w:val="none" w:sz="0" w:space="0" w:color="auto"/>
        <w:bottom w:val="none" w:sz="0" w:space="0" w:color="auto"/>
        <w:right w:val="none" w:sz="0" w:space="0" w:color="auto"/>
      </w:divBdr>
      <w:divsChild>
        <w:div w:id="623081241">
          <w:marLeft w:val="0"/>
          <w:marRight w:val="0"/>
          <w:marTop w:val="0"/>
          <w:marBottom w:val="0"/>
          <w:divBdr>
            <w:top w:val="none" w:sz="0" w:space="0" w:color="auto"/>
            <w:left w:val="none" w:sz="0" w:space="0" w:color="auto"/>
            <w:bottom w:val="none" w:sz="0" w:space="0" w:color="auto"/>
            <w:right w:val="none" w:sz="0" w:space="0" w:color="auto"/>
          </w:divBdr>
        </w:div>
      </w:divsChild>
    </w:div>
    <w:div w:id="484861154">
      <w:bodyDiv w:val="1"/>
      <w:marLeft w:val="0"/>
      <w:marRight w:val="0"/>
      <w:marTop w:val="0"/>
      <w:marBottom w:val="0"/>
      <w:divBdr>
        <w:top w:val="none" w:sz="0" w:space="0" w:color="auto"/>
        <w:left w:val="none" w:sz="0" w:space="0" w:color="auto"/>
        <w:bottom w:val="none" w:sz="0" w:space="0" w:color="auto"/>
        <w:right w:val="none" w:sz="0" w:space="0" w:color="auto"/>
      </w:divBdr>
    </w:div>
    <w:div w:id="514805810">
      <w:bodyDiv w:val="1"/>
      <w:marLeft w:val="0"/>
      <w:marRight w:val="0"/>
      <w:marTop w:val="0"/>
      <w:marBottom w:val="0"/>
      <w:divBdr>
        <w:top w:val="none" w:sz="0" w:space="0" w:color="auto"/>
        <w:left w:val="none" w:sz="0" w:space="0" w:color="auto"/>
        <w:bottom w:val="none" w:sz="0" w:space="0" w:color="auto"/>
        <w:right w:val="none" w:sz="0" w:space="0" w:color="auto"/>
      </w:divBdr>
    </w:div>
    <w:div w:id="524026357">
      <w:bodyDiv w:val="1"/>
      <w:marLeft w:val="0"/>
      <w:marRight w:val="0"/>
      <w:marTop w:val="0"/>
      <w:marBottom w:val="0"/>
      <w:divBdr>
        <w:top w:val="none" w:sz="0" w:space="0" w:color="auto"/>
        <w:left w:val="none" w:sz="0" w:space="0" w:color="auto"/>
        <w:bottom w:val="none" w:sz="0" w:space="0" w:color="auto"/>
        <w:right w:val="none" w:sz="0" w:space="0" w:color="auto"/>
      </w:divBdr>
    </w:div>
    <w:div w:id="526866788">
      <w:bodyDiv w:val="1"/>
      <w:marLeft w:val="0"/>
      <w:marRight w:val="0"/>
      <w:marTop w:val="0"/>
      <w:marBottom w:val="0"/>
      <w:divBdr>
        <w:top w:val="none" w:sz="0" w:space="0" w:color="auto"/>
        <w:left w:val="none" w:sz="0" w:space="0" w:color="auto"/>
        <w:bottom w:val="none" w:sz="0" w:space="0" w:color="auto"/>
        <w:right w:val="none" w:sz="0" w:space="0" w:color="auto"/>
      </w:divBdr>
    </w:div>
    <w:div w:id="531647014">
      <w:bodyDiv w:val="1"/>
      <w:marLeft w:val="0"/>
      <w:marRight w:val="0"/>
      <w:marTop w:val="0"/>
      <w:marBottom w:val="0"/>
      <w:divBdr>
        <w:top w:val="none" w:sz="0" w:space="0" w:color="auto"/>
        <w:left w:val="none" w:sz="0" w:space="0" w:color="auto"/>
        <w:bottom w:val="none" w:sz="0" w:space="0" w:color="auto"/>
        <w:right w:val="none" w:sz="0" w:space="0" w:color="auto"/>
      </w:divBdr>
    </w:div>
    <w:div w:id="533424214">
      <w:bodyDiv w:val="1"/>
      <w:marLeft w:val="0"/>
      <w:marRight w:val="0"/>
      <w:marTop w:val="0"/>
      <w:marBottom w:val="0"/>
      <w:divBdr>
        <w:top w:val="none" w:sz="0" w:space="0" w:color="auto"/>
        <w:left w:val="none" w:sz="0" w:space="0" w:color="auto"/>
        <w:bottom w:val="none" w:sz="0" w:space="0" w:color="auto"/>
        <w:right w:val="none" w:sz="0" w:space="0" w:color="auto"/>
      </w:divBdr>
    </w:div>
    <w:div w:id="558127528">
      <w:bodyDiv w:val="1"/>
      <w:marLeft w:val="0"/>
      <w:marRight w:val="0"/>
      <w:marTop w:val="0"/>
      <w:marBottom w:val="0"/>
      <w:divBdr>
        <w:top w:val="none" w:sz="0" w:space="0" w:color="auto"/>
        <w:left w:val="none" w:sz="0" w:space="0" w:color="auto"/>
        <w:bottom w:val="none" w:sz="0" w:space="0" w:color="auto"/>
        <w:right w:val="none" w:sz="0" w:space="0" w:color="auto"/>
      </w:divBdr>
    </w:div>
    <w:div w:id="559636664">
      <w:bodyDiv w:val="1"/>
      <w:marLeft w:val="0"/>
      <w:marRight w:val="0"/>
      <w:marTop w:val="0"/>
      <w:marBottom w:val="0"/>
      <w:divBdr>
        <w:top w:val="none" w:sz="0" w:space="0" w:color="auto"/>
        <w:left w:val="none" w:sz="0" w:space="0" w:color="auto"/>
        <w:bottom w:val="none" w:sz="0" w:space="0" w:color="auto"/>
        <w:right w:val="none" w:sz="0" w:space="0" w:color="auto"/>
      </w:divBdr>
    </w:div>
    <w:div w:id="561595977">
      <w:bodyDiv w:val="1"/>
      <w:marLeft w:val="0"/>
      <w:marRight w:val="0"/>
      <w:marTop w:val="0"/>
      <w:marBottom w:val="0"/>
      <w:divBdr>
        <w:top w:val="none" w:sz="0" w:space="0" w:color="auto"/>
        <w:left w:val="none" w:sz="0" w:space="0" w:color="auto"/>
        <w:bottom w:val="none" w:sz="0" w:space="0" w:color="auto"/>
        <w:right w:val="none" w:sz="0" w:space="0" w:color="auto"/>
      </w:divBdr>
    </w:div>
    <w:div w:id="568467524">
      <w:bodyDiv w:val="1"/>
      <w:marLeft w:val="0"/>
      <w:marRight w:val="0"/>
      <w:marTop w:val="0"/>
      <w:marBottom w:val="0"/>
      <w:divBdr>
        <w:top w:val="none" w:sz="0" w:space="0" w:color="auto"/>
        <w:left w:val="none" w:sz="0" w:space="0" w:color="auto"/>
        <w:bottom w:val="none" w:sz="0" w:space="0" w:color="auto"/>
        <w:right w:val="none" w:sz="0" w:space="0" w:color="auto"/>
      </w:divBdr>
    </w:div>
    <w:div w:id="568881884">
      <w:bodyDiv w:val="1"/>
      <w:marLeft w:val="0"/>
      <w:marRight w:val="0"/>
      <w:marTop w:val="0"/>
      <w:marBottom w:val="0"/>
      <w:divBdr>
        <w:top w:val="none" w:sz="0" w:space="0" w:color="auto"/>
        <w:left w:val="none" w:sz="0" w:space="0" w:color="auto"/>
        <w:bottom w:val="none" w:sz="0" w:space="0" w:color="auto"/>
        <w:right w:val="none" w:sz="0" w:space="0" w:color="auto"/>
      </w:divBdr>
      <w:divsChild>
        <w:div w:id="445465909">
          <w:marLeft w:val="0"/>
          <w:marRight w:val="0"/>
          <w:marTop w:val="0"/>
          <w:marBottom w:val="0"/>
          <w:divBdr>
            <w:top w:val="none" w:sz="0" w:space="0" w:color="auto"/>
            <w:left w:val="none" w:sz="0" w:space="0" w:color="auto"/>
            <w:bottom w:val="none" w:sz="0" w:space="0" w:color="auto"/>
            <w:right w:val="none" w:sz="0" w:space="0" w:color="auto"/>
          </w:divBdr>
        </w:div>
      </w:divsChild>
    </w:div>
    <w:div w:id="581379358">
      <w:bodyDiv w:val="1"/>
      <w:marLeft w:val="0"/>
      <w:marRight w:val="0"/>
      <w:marTop w:val="0"/>
      <w:marBottom w:val="0"/>
      <w:divBdr>
        <w:top w:val="none" w:sz="0" w:space="0" w:color="auto"/>
        <w:left w:val="none" w:sz="0" w:space="0" w:color="auto"/>
        <w:bottom w:val="none" w:sz="0" w:space="0" w:color="auto"/>
        <w:right w:val="none" w:sz="0" w:space="0" w:color="auto"/>
      </w:divBdr>
    </w:div>
    <w:div w:id="593057367">
      <w:bodyDiv w:val="1"/>
      <w:marLeft w:val="0"/>
      <w:marRight w:val="0"/>
      <w:marTop w:val="0"/>
      <w:marBottom w:val="0"/>
      <w:divBdr>
        <w:top w:val="none" w:sz="0" w:space="0" w:color="auto"/>
        <w:left w:val="none" w:sz="0" w:space="0" w:color="auto"/>
        <w:bottom w:val="none" w:sz="0" w:space="0" w:color="auto"/>
        <w:right w:val="none" w:sz="0" w:space="0" w:color="auto"/>
      </w:divBdr>
    </w:div>
    <w:div w:id="593591122">
      <w:bodyDiv w:val="1"/>
      <w:marLeft w:val="0"/>
      <w:marRight w:val="0"/>
      <w:marTop w:val="0"/>
      <w:marBottom w:val="0"/>
      <w:divBdr>
        <w:top w:val="none" w:sz="0" w:space="0" w:color="auto"/>
        <w:left w:val="none" w:sz="0" w:space="0" w:color="auto"/>
        <w:bottom w:val="none" w:sz="0" w:space="0" w:color="auto"/>
        <w:right w:val="none" w:sz="0" w:space="0" w:color="auto"/>
      </w:divBdr>
    </w:div>
    <w:div w:id="625893046">
      <w:bodyDiv w:val="1"/>
      <w:marLeft w:val="0"/>
      <w:marRight w:val="0"/>
      <w:marTop w:val="0"/>
      <w:marBottom w:val="0"/>
      <w:divBdr>
        <w:top w:val="none" w:sz="0" w:space="0" w:color="auto"/>
        <w:left w:val="none" w:sz="0" w:space="0" w:color="auto"/>
        <w:bottom w:val="none" w:sz="0" w:space="0" w:color="auto"/>
        <w:right w:val="none" w:sz="0" w:space="0" w:color="auto"/>
      </w:divBdr>
    </w:div>
    <w:div w:id="638190790">
      <w:bodyDiv w:val="1"/>
      <w:marLeft w:val="0"/>
      <w:marRight w:val="0"/>
      <w:marTop w:val="0"/>
      <w:marBottom w:val="0"/>
      <w:divBdr>
        <w:top w:val="none" w:sz="0" w:space="0" w:color="auto"/>
        <w:left w:val="none" w:sz="0" w:space="0" w:color="auto"/>
        <w:bottom w:val="none" w:sz="0" w:space="0" w:color="auto"/>
        <w:right w:val="none" w:sz="0" w:space="0" w:color="auto"/>
      </w:divBdr>
    </w:div>
    <w:div w:id="638192722">
      <w:bodyDiv w:val="1"/>
      <w:marLeft w:val="0"/>
      <w:marRight w:val="0"/>
      <w:marTop w:val="0"/>
      <w:marBottom w:val="0"/>
      <w:divBdr>
        <w:top w:val="none" w:sz="0" w:space="0" w:color="auto"/>
        <w:left w:val="none" w:sz="0" w:space="0" w:color="auto"/>
        <w:bottom w:val="none" w:sz="0" w:space="0" w:color="auto"/>
        <w:right w:val="none" w:sz="0" w:space="0" w:color="auto"/>
      </w:divBdr>
    </w:div>
    <w:div w:id="641425225">
      <w:bodyDiv w:val="1"/>
      <w:marLeft w:val="0"/>
      <w:marRight w:val="0"/>
      <w:marTop w:val="0"/>
      <w:marBottom w:val="0"/>
      <w:divBdr>
        <w:top w:val="none" w:sz="0" w:space="0" w:color="auto"/>
        <w:left w:val="none" w:sz="0" w:space="0" w:color="auto"/>
        <w:bottom w:val="none" w:sz="0" w:space="0" w:color="auto"/>
        <w:right w:val="none" w:sz="0" w:space="0" w:color="auto"/>
      </w:divBdr>
    </w:div>
    <w:div w:id="644971931">
      <w:bodyDiv w:val="1"/>
      <w:marLeft w:val="0"/>
      <w:marRight w:val="0"/>
      <w:marTop w:val="0"/>
      <w:marBottom w:val="0"/>
      <w:divBdr>
        <w:top w:val="none" w:sz="0" w:space="0" w:color="auto"/>
        <w:left w:val="none" w:sz="0" w:space="0" w:color="auto"/>
        <w:bottom w:val="none" w:sz="0" w:space="0" w:color="auto"/>
        <w:right w:val="none" w:sz="0" w:space="0" w:color="auto"/>
      </w:divBdr>
    </w:div>
    <w:div w:id="658120237">
      <w:bodyDiv w:val="1"/>
      <w:marLeft w:val="0"/>
      <w:marRight w:val="0"/>
      <w:marTop w:val="0"/>
      <w:marBottom w:val="0"/>
      <w:divBdr>
        <w:top w:val="none" w:sz="0" w:space="0" w:color="auto"/>
        <w:left w:val="none" w:sz="0" w:space="0" w:color="auto"/>
        <w:bottom w:val="none" w:sz="0" w:space="0" w:color="auto"/>
        <w:right w:val="none" w:sz="0" w:space="0" w:color="auto"/>
      </w:divBdr>
    </w:div>
    <w:div w:id="658771856">
      <w:bodyDiv w:val="1"/>
      <w:marLeft w:val="0"/>
      <w:marRight w:val="0"/>
      <w:marTop w:val="0"/>
      <w:marBottom w:val="0"/>
      <w:divBdr>
        <w:top w:val="none" w:sz="0" w:space="0" w:color="auto"/>
        <w:left w:val="none" w:sz="0" w:space="0" w:color="auto"/>
        <w:bottom w:val="none" w:sz="0" w:space="0" w:color="auto"/>
        <w:right w:val="none" w:sz="0" w:space="0" w:color="auto"/>
      </w:divBdr>
    </w:div>
    <w:div w:id="659191005">
      <w:bodyDiv w:val="1"/>
      <w:marLeft w:val="0"/>
      <w:marRight w:val="0"/>
      <w:marTop w:val="0"/>
      <w:marBottom w:val="0"/>
      <w:divBdr>
        <w:top w:val="none" w:sz="0" w:space="0" w:color="auto"/>
        <w:left w:val="none" w:sz="0" w:space="0" w:color="auto"/>
        <w:bottom w:val="none" w:sz="0" w:space="0" w:color="auto"/>
        <w:right w:val="none" w:sz="0" w:space="0" w:color="auto"/>
      </w:divBdr>
    </w:div>
    <w:div w:id="667056029">
      <w:bodyDiv w:val="1"/>
      <w:marLeft w:val="0"/>
      <w:marRight w:val="0"/>
      <w:marTop w:val="0"/>
      <w:marBottom w:val="0"/>
      <w:divBdr>
        <w:top w:val="none" w:sz="0" w:space="0" w:color="auto"/>
        <w:left w:val="none" w:sz="0" w:space="0" w:color="auto"/>
        <w:bottom w:val="none" w:sz="0" w:space="0" w:color="auto"/>
        <w:right w:val="none" w:sz="0" w:space="0" w:color="auto"/>
      </w:divBdr>
    </w:div>
    <w:div w:id="674039965">
      <w:bodyDiv w:val="1"/>
      <w:marLeft w:val="0"/>
      <w:marRight w:val="0"/>
      <w:marTop w:val="0"/>
      <w:marBottom w:val="0"/>
      <w:divBdr>
        <w:top w:val="none" w:sz="0" w:space="0" w:color="auto"/>
        <w:left w:val="none" w:sz="0" w:space="0" w:color="auto"/>
        <w:bottom w:val="none" w:sz="0" w:space="0" w:color="auto"/>
        <w:right w:val="none" w:sz="0" w:space="0" w:color="auto"/>
      </w:divBdr>
    </w:div>
    <w:div w:id="674575002">
      <w:bodyDiv w:val="1"/>
      <w:marLeft w:val="0"/>
      <w:marRight w:val="0"/>
      <w:marTop w:val="0"/>
      <w:marBottom w:val="0"/>
      <w:divBdr>
        <w:top w:val="none" w:sz="0" w:space="0" w:color="auto"/>
        <w:left w:val="none" w:sz="0" w:space="0" w:color="auto"/>
        <w:bottom w:val="none" w:sz="0" w:space="0" w:color="auto"/>
        <w:right w:val="none" w:sz="0" w:space="0" w:color="auto"/>
      </w:divBdr>
    </w:div>
    <w:div w:id="677779724">
      <w:bodyDiv w:val="1"/>
      <w:marLeft w:val="0"/>
      <w:marRight w:val="0"/>
      <w:marTop w:val="0"/>
      <w:marBottom w:val="0"/>
      <w:divBdr>
        <w:top w:val="none" w:sz="0" w:space="0" w:color="auto"/>
        <w:left w:val="none" w:sz="0" w:space="0" w:color="auto"/>
        <w:bottom w:val="none" w:sz="0" w:space="0" w:color="auto"/>
        <w:right w:val="none" w:sz="0" w:space="0" w:color="auto"/>
      </w:divBdr>
    </w:div>
    <w:div w:id="678585409">
      <w:bodyDiv w:val="1"/>
      <w:marLeft w:val="0"/>
      <w:marRight w:val="0"/>
      <w:marTop w:val="0"/>
      <w:marBottom w:val="0"/>
      <w:divBdr>
        <w:top w:val="none" w:sz="0" w:space="0" w:color="auto"/>
        <w:left w:val="none" w:sz="0" w:space="0" w:color="auto"/>
        <w:bottom w:val="none" w:sz="0" w:space="0" w:color="auto"/>
        <w:right w:val="none" w:sz="0" w:space="0" w:color="auto"/>
      </w:divBdr>
    </w:div>
    <w:div w:id="689843568">
      <w:bodyDiv w:val="1"/>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
      </w:divsChild>
    </w:div>
    <w:div w:id="693194232">
      <w:bodyDiv w:val="1"/>
      <w:marLeft w:val="0"/>
      <w:marRight w:val="0"/>
      <w:marTop w:val="0"/>
      <w:marBottom w:val="0"/>
      <w:divBdr>
        <w:top w:val="none" w:sz="0" w:space="0" w:color="auto"/>
        <w:left w:val="none" w:sz="0" w:space="0" w:color="auto"/>
        <w:bottom w:val="none" w:sz="0" w:space="0" w:color="auto"/>
        <w:right w:val="none" w:sz="0" w:space="0" w:color="auto"/>
      </w:divBdr>
    </w:div>
    <w:div w:id="705258261">
      <w:bodyDiv w:val="1"/>
      <w:marLeft w:val="0"/>
      <w:marRight w:val="0"/>
      <w:marTop w:val="0"/>
      <w:marBottom w:val="0"/>
      <w:divBdr>
        <w:top w:val="none" w:sz="0" w:space="0" w:color="auto"/>
        <w:left w:val="none" w:sz="0" w:space="0" w:color="auto"/>
        <w:bottom w:val="none" w:sz="0" w:space="0" w:color="auto"/>
        <w:right w:val="none" w:sz="0" w:space="0" w:color="auto"/>
      </w:divBdr>
    </w:div>
    <w:div w:id="708575496">
      <w:bodyDiv w:val="1"/>
      <w:marLeft w:val="0"/>
      <w:marRight w:val="0"/>
      <w:marTop w:val="0"/>
      <w:marBottom w:val="0"/>
      <w:divBdr>
        <w:top w:val="none" w:sz="0" w:space="0" w:color="auto"/>
        <w:left w:val="none" w:sz="0" w:space="0" w:color="auto"/>
        <w:bottom w:val="none" w:sz="0" w:space="0" w:color="auto"/>
        <w:right w:val="none" w:sz="0" w:space="0" w:color="auto"/>
      </w:divBdr>
    </w:div>
    <w:div w:id="708995108">
      <w:bodyDiv w:val="1"/>
      <w:marLeft w:val="0"/>
      <w:marRight w:val="0"/>
      <w:marTop w:val="0"/>
      <w:marBottom w:val="0"/>
      <w:divBdr>
        <w:top w:val="none" w:sz="0" w:space="0" w:color="auto"/>
        <w:left w:val="none" w:sz="0" w:space="0" w:color="auto"/>
        <w:bottom w:val="none" w:sz="0" w:space="0" w:color="auto"/>
        <w:right w:val="none" w:sz="0" w:space="0" w:color="auto"/>
      </w:divBdr>
    </w:div>
    <w:div w:id="709770593">
      <w:bodyDiv w:val="1"/>
      <w:marLeft w:val="0"/>
      <w:marRight w:val="0"/>
      <w:marTop w:val="0"/>
      <w:marBottom w:val="0"/>
      <w:divBdr>
        <w:top w:val="none" w:sz="0" w:space="0" w:color="auto"/>
        <w:left w:val="none" w:sz="0" w:space="0" w:color="auto"/>
        <w:bottom w:val="none" w:sz="0" w:space="0" w:color="auto"/>
        <w:right w:val="none" w:sz="0" w:space="0" w:color="auto"/>
      </w:divBdr>
    </w:div>
    <w:div w:id="710806221">
      <w:bodyDiv w:val="1"/>
      <w:marLeft w:val="0"/>
      <w:marRight w:val="0"/>
      <w:marTop w:val="0"/>
      <w:marBottom w:val="0"/>
      <w:divBdr>
        <w:top w:val="none" w:sz="0" w:space="0" w:color="auto"/>
        <w:left w:val="none" w:sz="0" w:space="0" w:color="auto"/>
        <w:bottom w:val="none" w:sz="0" w:space="0" w:color="auto"/>
        <w:right w:val="none" w:sz="0" w:space="0" w:color="auto"/>
      </w:divBdr>
    </w:div>
    <w:div w:id="718436987">
      <w:bodyDiv w:val="1"/>
      <w:marLeft w:val="0"/>
      <w:marRight w:val="0"/>
      <w:marTop w:val="0"/>
      <w:marBottom w:val="0"/>
      <w:divBdr>
        <w:top w:val="none" w:sz="0" w:space="0" w:color="auto"/>
        <w:left w:val="none" w:sz="0" w:space="0" w:color="auto"/>
        <w:bottom w:val="none" w:sz="0" w:space="0" w:color="auto"/>
        <w:right w:val="none" w:sz="0" w:space="0" w:color="auto"/>
      </w:divBdr>
    </w:div>
    <w:div w:id="718626048">
      <w:bodyDiv w:val="1"/>
      <w:marLeft w:val="0"/>
      <w:marRight w:val="0"/>
      <w:marTop w:val="0"/>
      <w:marBottom w:val="0"/>
      <w:divBdr>
        <w:top w:val="none" w:sz="0" w:space="0" w:color="auto"/>
        <w:left w:val="none" w:sz="0" w:space="0" w:color="auto"/>
        <w:bottom w:val="none" w:sz="0" w:space="0" w:color="auto"/>
        <w:right w:val="none" w:sz="0" w:space="0" w:color="auto"/>
      </w:divBdr>
    </w:div>
    <w:div w:id="724573228">
      <w:bodyDiv w:val="1"/>
      <w:marLeft w:val="0"/>
      <w:marRight w:val="0"/>
      <w:marTop w:val="0"/>
      <w:marBottom w:val="0"/>
      <w:divBdr>
        <w:top w:val="none" w:sz="0" w:space="0" w:color="auto"/>
        <w:left w:val="none" w:sz="0" w:space="0" w:color="auto"/>
        <w:bottom w:val="none" w:sz="0" w:space="0" w:color="auto"/>
        <w:right w:val="none" w:sz="0" w:space="0" w:color="auto"/>
      </w:divBdr>
    </w:div>
    <w:div w:id="729229773">
      <w:bodyDiv w:val="1"/>
      <w:marLeft w:val="0"/>
      <w:marRight w:val="0"/>
      <w:marTop w:val="0"/>
      <w:marBottom w:val="0"/>
      <w:divBdr>
        <w:top w:val="none" w:sz="0" w:space="0" w:color="auto"/>
        <w:left w:val="none" w:sz="0" w:space="0" w:color="auto"/>
        <w:bottom w:val="none" w:sz="0" w:space="0" w:color="auto"/>
        <w:right w:val="none" w:sz="0" w:space="0" w:color="auto"/>
      </w:divBdr>
    </w:div>
    <w:div w:id="732970127">
      <w:bodyDiv w:val="1"/>
      <w:marLeft w:val="0"/>
      <w:marRight w:val="0"/>
      <w:marTop w:val="0"/>
      <w:marBottom w:val="0"/>
      <w:divBdr>
        <w:top w:val="none" w:sz="0" w:space="0" w:color="auto"/>
        <w:left w:val="none" w:sz="0" w:space="0" w:color="auto"/>
        <w:bottom w:val="none" w:sz="0" w:space="0" w:color="auto"/>
        <w:right w:val="none" w:sz="0" w:space="0" w:color="auto"/>
      </w:divBdr>
    </w:div>
    <w:div w:id="734861227">
      <w:bodyDiv w:val="1"/>
      <w:marLeft w:val="0"/>
      <w:marRight w:val="0"/>
      <w:marTop w:val="0"/>
      <w:marBottom w:val="0"/>
      <w:divBdr>
        <w:top w:val="none" w:sz="0" w:space="0" w:color="auto"/>
        <w:left w:val="none" w:sz="0" w:space="0" w:color="auto"/>
        <w:bottom w:val="none" w:sz="0" w:space="0" w:color="auto"/>
        <w:right w:val="none" w:sz="0" w:space="0" w:color="auto"/>
      </w:divBdr>
    </w:div>
    <w:div w:id="740297850">
      <w:bodyDiv w:val="1"/>
      <w:marLeft w:val="0"/>
      <w:marRight w:val="0"/>
      <w:marTop w:val="0"/>
      <w:marBottom w:val="0"/>
      <w:divBdr>
        <w:top w:val="none" w:sz="0" w:space="0" w:color="auto"/>
        <w:left w:val="none" w:sz="0" w:space="0" w:color="auto"/>
        <w:bottom w:val="none" w:sz="0" w:space="0" w:color="auto"/>
        <w:right w:val="none" w:sz="0" w:space="0" w:color="auto"/>
      </w:divBdr>
    </w:div>
    <w:div w:id="749740019">
      <w:bodyDiv w:val="1"/>
      <w:marLeft w:val="0"/>
      <w:marRight w:val="0"/>
      <w:marTop w:val="0"/>
      <w:marBottom w:val="0"/>
      <w:divBdr>
        <w:top w:val="none" w:sz="0" w:space="0" w:color="auto"/>
        <w:left w:val="none" w:sz="0" w:space="0" w:color="auto"/>
        <w:bottom w:val="none" w:sz="0" w:space="0" w:color="auto"/>
        <w:right w:val="none" w:sz="0" w:space="0" w:color="auto"/>
      </w:divBdr>
    </w:div>
    <w:div w:id="752287873">
      <w:bodyDiv w:val="1"/>
      <w:marLeft w:val="0"/>
      <w:marRight w:val="0"/>
      <w:marTop w:val="0"/>
      <w:marBottom w:val="0"/>
      <w:divBdr>
        <w:top w:val="none" w:sz="0" w:space="0" w:color="auto"/>
        <w:left w:val="none" w:sz="0" w:space="0" w:color="auto"/>
        <w:bottom w:val="none" w:sz="0" w:space="0" w:color="auto"/>
        <w:right w:val="none" w:sz="0" w:space="0" w:color="auto"/>
      </w:divBdr>
    </w:div>
    <w:div w:id="753549898">
      <w:bodyDiv w:val="1"/>
      <w:marLeft w:val="0"/>
      <w:marRight w:val="0"/>
      <w:marTop w:val="0"/>
      <w:marBottom w:val="0"/>
      <w:divBdr>
        <w:top w:val="none" w:sz="0" w:space="0" w:color="auto"/>
        <w:left w:val="none" w:sz="0" w:space="0" w:color="auto"/>
        <w:bottom w:val="none" w:sz="0" w:space="0" w:color="auto"/>
        <w:right w:val="none" w:sz="0" w:space="0" w:color="auto"/>
      </w:divBdr>
    </w:div>
    <w:div w:id="769738539">
      <w:bodyDiv w:val="1"/>
      <w:marLeft w:val="0"/>
      <w:marRight w:val="0"/>
      <w:marTop w:val="0"/>
      <w:marBottom w:val="0"/>
      <w:divBdr>
        <w:top w:val="none" w:sz="0" w:space="0" w:color="auto"/>
        <w:left w:val="none" w:sz="0" w:space="0" w:color="auto"/>
        <w:bottom w:val="none" w:sz="0" w:space="0" w:color="auto"/>
        <w:right w:val="none" w:sz="0" w:space="0" w:color="auto"/>
      </w:divBdr>
    </w:div>
    <w:div w:id="772557390">
      <w:bodyDiv w:val="1"/>
      <w:marLeft w:val="0"/>
      <w:marRight w:val="0"/>
      <w:marTop w:val="0"/>
      <w:marBottom w:val="0"/>
      <w:divBdr>
        <w:top w:val="none" w:sz="0" w:space="0" w:color="auto"/>
        <w:left w:val="none" w:sz="0" w:space="0" w:color="auto"/>
        <w:bottom w:val="none" w:sz="0" w:space="0" w:color="auto"/>
        <w:right w:val="none" w:sz="0" w:space="0" w:color="auto"/>
      </w:divBdr>
    </w:div>
    <w:div w:id="774179518">
      <w:bodyDiv w:val="1"/>
      <w:marLeft w:val="0"/>
      <w:marRight w:val="0"/>
      <w:marTop w:val="0"/>
      <w:marBottom w:val="0"/>
      <w:divBdr>
        <w:top w:val="none" w:sz="0" w:space="0" w:color="auto"/>
        <w:left w:val="none" w:sz="0" w:space="0" w:color="auto"/>
        <w:bottom w:val="none" w:sz="0" w:space="0" w:color="auto"/>
        <w:right w:val="none" w:sz="0" w:space="0" w:color="auto"/>
      </w:divBdr>
    </w:div>
    <w:div w:id="781457056">
      <w:bodyDiv w:val="1"/>
      <w:marLeft w:val="0"/>
      <w:marRight w:val="0"/>
      <w:marTop w:val="0"/>
      <w:marBottom w:val="0"/>
      <w:divBdr>
        <w:top w:val="none" w:sz="0" w:space="0" w:color="auto"/>
        <w:left w:val="none" w:sz="0" w:space="0" w:color="auto"/>
        <w:bottom w:val="none" w:sz="0" w:space="0" w:color="auto"/>
        <w:right w:val="none" w:sz="0" w:space="0" w:color="auto"/>
      </w:divBdr>
    </w:div>
    <w:div w:id="788817596">
      <w:bodyDiv w:val="1"/>
      <w:marLeft w:val="0"/>
      <w:marRight w:val="0"/>
      <w:marTop w:val="0"/>
      <w:marBottom w:val="0"/>
      <w:divBdr>
        <w:top w:val="none" w:sz="0" w:space="0" w:color="auto"/>
        <w:left w:val="none" w:sz="0" w:space="0" w:color="auto"/>
        <w:bottom w:val="none" w:sz="0" w:space="0" w:color="auto"/>
        <w:right w:val="none" w:sz="0" w:space="0" w:color="auto"/>
      </w:divBdr>
    </w:div>
    <w:div w:id="814180254">
      <w:bodyDiv w:val="1"/>
      <w:marLeft w:val="0"/>
      <w:marRight w:val="0"/>
      <w:marTop w:val="0"/>
      <w:marBottom w:val="0"/>
      <w:divBdr>
        <w:top w:val="none" w:sz="0" w:space="0" w:color="auto"/>
        <w:left w:val="none" w:sz="0" w:space="0" w:color="auto"/>
        <w:bottom w:val="none" w:sz="0" w:space="0" w:color="auto"/>
        <w:right w:val="none" w:sz="0" w:space="0" w:color="auto"/>
      </w:divBdr>
    </w:div>
    <w:div w:id="815030170">
      <w:bodyDiv w:val="1"/>
      <w:marLeft w:val="0"/>
      <w:marRight w:val="0"/>
      <w:marTop w:val="0"/>
      <w:marBottom w:val="0"/>
      <w:divBdr>
        <w:top w:val="none" w:sz="0" w:space="0" w:color="auto"/>
        <w:left w:val="none" w:sz="0" w:space="0" w:color="auto"/>
        <w:bottom w:val="none" w:sz="0" w:space="0" w:color="auto"/>
        <w:right w:val="none" w:sz="0" w:space="0" w:color="auto"/>
      </w:divBdr>
    </w:div>
    <w:div w:id="818183480">
      <w:bodyDiv w:val="1"/>
      <w:marLeft w:val="0"/>
      <w:marRight w:val="0"/>
      <w:marTop w:val="0"/>
      <w:marBottom w:val="0"/>
      <w:divBdr>
        <w:top w:val="none" w:sz="0" w:space="0" w:color="auto"/>
        <w:left w:val="none" w:sz="0" w:space="0" w:color="auto"/>
        <w:bottom w:val="none" w:sz="0" w:space="0" w:color="auto"/>
        <w:right w:val="none" w:sz="0" w:space="0" w:color="auto"/>
      </w:divBdr>
    </w:div>
    <w:div w:id="821579006">
      <w:bodyDiv w:val="1"/>
      <w:marLeft w:val="0"/>
      <w:marRight w:val="0"/>
      <w:marTop w:val="0"/>
      <w:marBottom w:val="0"/>
      <w:divBdr>
        <w:top w:val="none" w:sz="0" w:space="0" w:color="auto"/>
        <w:left w:val="none" w:sz="0" w:space="0" w:color="auto"/>
        <w:bottom w:val="none" w:sz="0" w:space="0" w:color="auto"/>
        <w:right w:val="none" w:sz="0" w:space="0" w:color="auto"/>
      </w:divBdr>
    </w:div>
    <w:div w:id="823355923">
      <w:bodyDiv w:val="1"/>
      <w:marLeft w:val="0"/>
      <w:marRight w:val="0"/>
      <w:marTop w:val="0"/>
      <w:marBottom w:val="0"/>
      <w:divBdr>
        <w:top w:val="none" w:sz="0" w:space="0" w:color="auto"/>
        <w:left w:val="none" w:sz="0" w:space="0" w:color="auto"/>
        <w:bottom w:val="none" w:sz="0" w:space="0" w:color="auto"/>
        <w:right w:val="none" w:sz="0" w:space="0" w:color="auto"/>
      </w:divBdr>
    </w:div>
    <w:div w:id="829173671">
      <w:bodyDiv w:val="1"/>
      <w:marLeft w:val="0"/>
      <w:marRight w:val="0"/>
      <w:marTop w:val="0"/>
      <w:marBottom w:val="0"/>
      <w:divBdr>
        <w:top w:val="none" w:sz="0" w:space="0" w:color="auto"/>
        <w:left w:val="none" w:sz="0" w:space="0" w:color="auto"/>
        <w:bottom w:val="none" w:sz="0" w:space="0" w:color="auto"/>
        <w:right w:val="none" w:sz="0" w:space="0" w:color="auto"/>
      </w:divBdr>
      <w:divsChild>
        <w:div w:id="1206989685">
          <w:marLeft w:val="0"/>
          <w:marRight w:val="0"/>
          <w:marTop w:val="0"/>
          <w:marBottom w:val="0"/>
          <w:divBdr>
            <w:top w:val="none" w:sz="0" w:space="0" w:color="auto"/>
            <w:left w:val="none" w:sz="0" w:space="0" w:color="auto"/>
            <w:bottom w:val="none" w:sz="0" w:space="0" w:color="auto"/>
            <w:right w:val="none" w:sz="0" w:space="0" w:color="auto"/>
          </w:divBdr>
        </w:div>
      </w:divsChild>
    </w:div>
    <w:div w:id="829718047">
      <w:bodyDiv w:val="1"/>
      <w:marLeft w:val="0"/>
      <w:marRight w:val="0"/>
      <w:marTop w:val="0"/>
      <w:marBottom w:val="0"/>
      <w:divBdr>
        <w:top w:val="none" w:sz="0" w:space="0" w:color="auto"/>
        <w:left w:val="none" w:sz="0" w:space="0" w:color="auto"/>
        <w:bottom w:val="none" w:sz="0" w:space="0" w:color="auto"/>
        <w:right w:val="none" w:sz="0" w:space="0" w:color="auto"/>
      </w:divBdr>
    </w:div>
    <w:div w:id="834345200">
      <w:bodyDiv w:val="1"/>
      <w:marLeft w:val="0"/>
      <w:marRight w:val="0"/>
      <w:marTop w:val="0"/>
      <w:marBottom w:val="0"/>
      <w:divBdr>
        <w:top w:val="none" w:sz="0" w:space="0" w:color="auto"/>
        <w:left w:val="none" w:sz="0" w:space="0" w:color="auto"/>
        <w:bottom w:val="none" w:sz="0" w:space="0" w:color="auto"/>
        <w:right w:val="none" w:sz="0" w:space="0" w:color="auto"/>
      </w:divBdr>
    </w:div>
    <w:div w:id="847787866">
      <w:bodyDiv w:val="1"/>
      <w:marLeft w:val="0"/>
      <w:marRight w:val="0"/>
      <w:marTop w:val="0"/>
      <w:marBottom w:val="0"/>
      <w:divBdr>
        <w:top w:val="none" w:sz="0" w:space="0" w:color="auto"/>
        <w:left w:val="none" w:sz="0" w:space="0" w:color="auto"/>
        <w:bottom w:val="none" w:sz="0" w:space="0" w:color="auto"/>
        <w:right w:val="none" w:sz="0" w:space="0" w:color="auto"/>
      </w:divBdr>
    </w:div>
    <w:div w:id="848524549">
      <w:bodyDiv w:val="1"/>
      <w:marLeft w:val="0"/>
      <w:marRight w:val="0"/>
      <w:marTop w:val="0"/>
      <w:marBottom w:val="0"/>
      <w:divBdr>
        <w:top w:val="none" w:sz="0" w:space="0" w:color="auto"/>
        <w:left w:val="none" w:sz="0" w:space="0" w:color="auto"/>
        <w:bottom w:val="none" w:sz="0" w:space="0" w:color="auto"/>
        <w:right w:val="none" w:sz="0" w:space="0" w:color="auto"/>
      </w:divBdr>
    </w:div>
    <w:div w:id="854731120">
      <w:bodyDiv w:val="1"/>
      <w:marLeft w:val="0"/>
      <w:marRight w:val="0"/>
      <w:marTop w:val="0"/>
      <w:marBottom w:val="0"/>
      <w:divBdr>
        <w:top w:val="none" w:sz="0" w:space="0" w:color="auto"/>
        <w:left w:val="none" w:sz="0" w:space="0" w:color="auto"/>
        <w:bottom w:val="none" w:sz="0" w:space="0" w:color="auto"/>
        <w:right w:val="none" w:sz="0" w:space="0" w:color="auto"/>
      </w:divBdr>
    </w:div>
    <w:div w:id="857742054">
      <w:bodyDiv w:val="1"/>
      <w:marLeft w:val="0"/>
      <w:marRight w:val="0"/>
      <w:marTop w:val="0"/>
      <w:marBottom w:val="0"/>
      <w:divBdr>
        <w:top w:val="none" w:sz="0" w:space="0" w:color="auto"/>
        <w:left w:val="none" w:sz="0" w:space="0" w:color="auto"/>
        <w:bottom w:val="none" w:sz="0" w:space="0" w:color="auto"/>
        <w:right w:val="none" w:sz="0" w:space="0" w:color="auto"/>
      </w:divBdr>
    </w:div>
    <w:div w:id="867109426">
      <w:bodyDiv w:val="1"/>
      <w:marLeft w:val="0"/>
      <w:marRight w:val="0"/>
      <w:marTop w:val="0"/>
      <w:marBottom w:val="0"/>
      <w:divBdr>
        <w:top w:val="none" w:sz="0" w:space="0" w:color="auto"/>
        <w:left w:val="none" w:sz="0" w:space="0" w:color="auto"/>
        <w:bottom w:val="none" w:sz="0" w:space="0" w:color="auto"/>
        <w:right w:val="none" w:sz="0" w:space="0" w:color="auto"/>
      </w:divBdr>
      <w:divsChild>
        <w:div w:id="780878761">
          <w:marLeft w:val="0"/>
          <w:marRight w:val="0"/>
          <w:marTop w:val="0"/>
          <w:marBottom w:val="0"/>
          <w:divBdr>
            <w:top w:val="none" w:sz="0" w:space="0" w:color="auto"/>
            <w:left w:val="none" w:sz="0" w:space="0" w:color="auto"/>
            <w:bottom w:val="none" w:sz="0" w:space="0" w:color="auto"/>
            <w:right w:val="none" w:sz="0" w:space="0" w:color="auto"/>
          </w:divBdr>
        </w:div>
      </w:divsChild>
    </w:div>
    <w:div w:id="889995379">
      <w:bodyDiv w:val="1"/>
      <w:marLeft w:val="0"/>
      <w:marRight w:val="0"/>
      <w:marTop w:val="0"/>
      <w:marBottom w:val="0"/>
      <w:divBdr>
        <w:top w:val="none" w:sz="0" w:space="0" w:color="auto"/>
        <w:left w:val="none" w:sz="0" w:space="0" w:color="auto"/>
        <w:bottom w:val="none" w:sz="0" w:space="0" w:color="auto"/>
        <w:right w:val="none" w:sz="0" w:space="0" w:color="auto"/>
      </w:divBdr>
    </w:div>
    <w:div w:id="900561279">
      <w:bodyDiv w:val="1"/>
      <w:marLeft w:val="0"/>
      <w:marRight w:val="0"/>
      <w:marTop w:val="0"/>
      <w:marBottom w:val="0"/>
      <w:divBdr>
        <w:top w:val="none" w:sz="0" w:space="0" w:color="auto"/>
        <w:left w:val="none" w:sz="0" w:space="0" w:color="auto"/>
        <w:bottom w:val="none" w:sz="0" w:space="0" w:color="auto"/>
        <w:right w:val="none" w:sz="0" w:space="0" w:color="auto"/>
      </w:divBdr>
    </w:div>
    <w:div w:id="918245676">
      <w:bodyDiv w:val="1"/>
      <w:marLeft w:val="0"/>
      <w:marRight w:val="0"/>
      <w:marTop w:val="0"/>
      <w:marBottom w:val="0"/>
      <w:divBdr>
        <w:top w:val="none" w:sz="0" w:space="0" w:color="auto"/>
        <w:left w:val="none" w:sz="0" w:space="0" w:color="auto"/>
        <w:bottom w:val="none" w:sz="0" w:space="0" w:color="auto"/>
        <w:right w:val="none" w:sz="0" w:space="0" w:color="auto"/>
      </w:divBdr>
    </w:div>
    <w:div w:id="919026348">
      <w:bodyDiv w:val="1"/>
      <w:marLeft w:val="0"/>
      <w:marRight w:val="0"/>
      <w:marTop w:val="0"/>
      <w:marBottom w:val="0"/>
      <w:divBdr>
        <w:top w:val="none" w:sz="0" w:space="0" w:color="auto"/>
        <w:left w:val="none" w:sz="0" w:space="0" w:color="auto"/>
        <w:bottom w:val="none" w:sz="0" w:space="0" w:color="auto"/>
        <w:right w:val="none" w:sz="0" w:space="0" w:color="auto"/>
      </w:divBdr>
    </w:div>
    <w:div w:id="943734481">
      <w:bodyDiv w:val="1"/>
      <w:marLeft w:val="0"/>
      <w:marRight w:val="0"/>
      <w:marTop w:val="0"/>
      <w:marBottom w:val="0"/>
      <w:divBdr>
        <w:top w:val="none" w:sz="0" w:space="0" w:color="auto"/>
        <w:left w:val="none" w:sz="0" w:space="0" w:color="auto"/>
        <w:bottom w:val="none" w:sz="0" w:space="0" w:color="auto"/>
        <w:right w:val="none" w:sz="0" w:space="0" w:color="auto"/>
      </w:divBdr>
    </w:div>
    <w:div w:id="950866162">
      <w:bodyDiv w:val="1"/>
      <w:marLeft w:val="0"/>
      <w:marRight w:val="0"/>
      <w:marTop w:val="0"/>
      <w:marBottom w:val="0"/>
      <w:divBdr>
        <w:top w:val="none" w:sz="0" w:space="0" w:color="auto"/>
        <w:left w:val="none" w:sz="0" w:space="0" w:color="auto"/>
        <w:bottom w:val="none" w:sz="0" w:space="0" w:color="auto"/>
        <w:right w:val="none" w:sz="0" w:space="0" w:color="auto"/>
      </w:divBdr>
    </w:div>
    <w:div w:id="966080486">
      <w:bodyDiv w:val="1"/>
      <w:marLeft w:val="0"/>
      <w:marRight w:val="0"/>
      <w:marTop w:val="0"/>
      <w:marBottom w:val="0"/>
      <w:divBdr>
        <w:top w:val="none" w:sz="0" w:space="0" w:color="auto"/>
        <w:left w:val="none" w:sz="0" w:space="0" w:color="auto"/>
        <w:bottom w:val="none" w:sz="0" w:space="0" w:color="auto"/>
        <w:right w:val="none" w:sz="0" w:space="0" w:color="auto"/>
      </w:divBdr>
    </w:div>
    <w:div w:id="966590596">
      <w:bodyDiv w:val="1"/>
      <w:marLeft w:val="0"/>
      <w:marRight w:val="0"/>
      <w:marTop w:val="0"/>
      <w:marBottom w:val="0"/>
      <w:divBdr>
        <w:top w:val="none" w:sz="0" w:space="0" w:color="auto"/>
        <w:left w:val="none" w:sz="0" w:space="0" w:color="auto"/>
        <w:bottom w:val="none" w:sz="0" w:space="0" w:color="auto"/>
        <w:right w:val="none" w:sz="0" w:space="0" w:color="auto"/>
      </w:divBdr>
    </w:div>
    <w:div w:id="969356475">
      <w:bodyDiv w:val="1"/>
      <w:marLeft w:val="0"/>
      <w:marRight w:val="0"/>
      <w:marTop w:val="0"/>
      <w:marBottom w:val="0"/>
      <w:divBdr>
        <w:top w:val="none" w:sz="0" w:space="0" w:color="auto"/>
        <w:left w:val="none" w:sz="0" w:space="0" w:color="auto"/>
        <w:bottom w:val="none" w:sz="0" w:space="0" w:color="auto"/>
        <w:right w:val="none" w:sz="0" w:space="0" w:color="auto"/>
      </w:divBdr>
    </w:div>
    <w:div w:id="975766950">
      <w:bodyDiv w:val="1"/>
      <w:marLeft w:val="0"/>
      <w:marRight w:val="0"/>
      <w:marTop w:val="0"/>
      <w:marBottom w:val="0"/>
      <w:divBdr>
        <w:top w:val="none" w:sz="0" w:space="0" w:color="auto"/>
        <w:left w:val="none" w:sz="0" w:space="0" w:color="auto"/>
        <w:bottom w:val="none" w:sz="0" w:space="0" w:color="auto"/>
        <w:right w:val="none" w:sz="0" w:space="0" w:color="auto"/>
      </w:divBdr>
    </w:div>
    <w:div w:id="978459592">
      <w:bodyDiv w:val="1"/>
      <w:marLeft w:val="0"/>
      <w:marRight w:val="0"/>
      <w:marTop w:val="0"/>
      <w:marBottom w:val="0"/>
      <w:divBdr>
        <w:top w:val="none" w:sz="0" w:space="0" w:color="auto"/>
        <w:left w:val="none" w:sz="0" w:space="0" w:color="auto"/>
        <w:bottom w:val="none" w:sz="0" w:space="0" w:color="auto"/>
        <w:right w:val="none" w:sz="0" w:space="0" w:color="auto"/>
      </w:divBdr>
    </w:div>
    <w:div w:id="979654551">
      <w:bodyDiv w:val="1"/>
      <w:marLeft w:val="0"/>
      <w:marRight w:val="0"/>
      <w:marTop w:val="0"/>
      <w:marBottom w:val="0"/>
      <w:divBdr>
        <w:top w:val="none" w:sz="0" w:space="0" w:color="auto"/>
        <w:left w:val="none" w:sz="0" w:space="0" w:color="auto"/>
        <w:bottom w:val="none" w:sz="0" w:space="0" w:color="auto"/>
        <w:right w:val="none" w:sz="0" w:space="0" w:color="auto"/>
      </w:divBdr>
    </w:div>
    <w:div w:id="983391756">
      <w:bodyDiv w:val="1"/>
      <w:marLeft w:val="0"/>
      <w:marRight w:val="0"/>
      <w:marTop w:val="0"/>
      <w:marBottom w:val="0"/>
      <w:divBdr>
        <w:top w:val="none" w:sz="0" w:space="0" w:color="auto"/>
        <w:left w:val="none" w:sz="0" w:space="0" w:color="auto"/>
        <w:bottom w:val="none" w:sz="0" w:space="0" w:color="auto"/>
        <w:right w:val="none" w:sz="0" w:space="0" w:color="auto"/>
      </w:divBdr>
    </w:div>
    <w:div w:id="985739303">
      <w:bodyDiv w:val="1"/>
      <w:marLeft w:val="0"/>
      <w:marRight w:val="0"/>
      <w:marTop w:val="0"/>
      <w:marBottom w:val="0"/>
      <w:divBdr>
        <w:top w:val="none" w:sz="0" w:space="0" w:color="auto"/>
        <w:left w:val="none" w:sz="0" w:space="0" w:color="auto"/>
        <w:bottom w:val="none" w:sz="0" w:space="0" w:color="auto"/>
        <w:right w:val="none" w:sz="0" w:space="0" w:color="auto"/>
      </w:divBdr>
      <w:divsChild>
        <w:div w:id="1880360278">
          <w:marLeft w:val="0"/>
          <w:marRight w:val="0"/>
          <w:marTop w:val="0"/>
          <w:marBottom w:val="0"/>
          <w:divBdr>
            <w:top w:val="none" w:sz="0" w:space="0" w:color="auto"/>
            <w:left w:val="none" w:sz="0" w:space="0" w:color="auto"/>
            <w:bottom w:val="none" w:sz="0" w:space="0" w:color="auto"/>
            <w:right w:val="none" w:sz="0" w:space="0" w:color="auto"/>
          </w:divBdr>
        </w:div>
      </w:divsChild>
    </w:div>
    <w:div w:id="988561857">
      <w:bodyDiv w:val="1"/>
      <w:marLeft w:val="0"/>
      <w:marRight w:val="0"/>
      <w:marTop w:val="0"/>
      <w:marBottom w:val="0"/>
      <w:divBdr>
        <w:top w:val="none" w:sz="0" w:space="0" w:color="auto"/>
        <w:left w:val="none" w:sz="0" w:space="0" w:color="auto"/>
        <w:bottom w:val="none" w:sz="0" w:space="0" w:color="auto"/>
        <w:right w:val="none" w:sz="0" w:space="0" w:color="auto"/>
      </w:divBdr>
      <w:divsChild>
        <w:div w:id="463811579">
          <w:marLeft w:val="0"/>
          <w:marRight w:val="0"/>
          <w:marTop w:val="0"/>
          <w:marBottom w:val="0"/>
          <w:divBdr>
            <w:top w:val="none" w:sz="0" w:space="0" w:color="auto"/>
            <w:left w:val="none" w:sz="0" w:space="0" w:color="auto"/>
            <w:bottom w:val="none" w:sz="0" w:space="0" w:color="auto"/>
            <w:right w:val="none" w:sz="0" w:space="0" w:color="auto"/>
          </w:divBdr>
        </w:div>
      </w:divsChild>
    </w:div>
    <w:div w:id="990408860">
      <w:bodyDiv w:val="1"/>
      <w:marLeft w:val="0"/>
      <w:marRight w:val="0"/>
      <w:marTop w:val="0"/>
      <w:marBottom w:val="0"/>
      <w:divBdr>
        <w:top w:val="none" w:sz="0" w:space="0" w:color="auto"/>
        <w:left w:val="none" w:sz="0" w:space="0" w:color="auto"/>
        <w:bottom w:val="none" w:sz="0" w:space="0" w:color="auto"/>
        <w:right w:val="none" w:sz="0" w:space="0" w:color="auto"/>
      </w:divBdr>
    </w:div>
    <w:div w:id="990525123">
      <w:bodyDiv w:val="1"/>
      <w:marLeft w:val="0"/>
      <w:marRight w:val="0"/>
      <w:marTop w:val="0"/>
      <w:marBottom w:val="0"/>
      <w:divBdr>
        <w:top w:val="none" w:sz="0" w:space="0" w:color="auto"/>
        <w:left w:val="none" w:sz="0" w:space="0" w:color="auto"/>
        <w:bottom w:val="none" w:sz="0" w:space="0" w:color="auto"/>
        <w:right w:val="none" w:sz="0" w:space="0" w:color="auto"/>
      </w:divBdr>
    </w:div>
    <w:div w:id="992022179">
      <w:bodyDiv w:val="1"/>
      <w:marLeft w:val="0"/>
      <w:marRight w:val="0"/>
      <w:marTop w:val="0"/>
      <w:marBottom w:val="0"/>
      <w:divBdr>
        <w:top w:val="none" w:sz="0" w:space="0" w:color="auto"/>
        <w:left w:val="none" w:sz="0" w:space="0" w:color="auto"/>
        <w:bottom w:val="none" w:sz="0" w:space="0" w:color="auto"/>
        <w:right w:val="none" w:sz="0" w:space="0" w:color="auto"/>
      </w:divBdr>
    </w:div>
    <w:div w:id="994914894">
      <w:bodyDiv w:val="1"/>
      <w:marLeft w:val="0"/>
      <w:marRight w:val="0"/>
      <w:marTop w:val="0"/>
      <w:marBottom w:val="0"/>
      <w:divBdr>
        <w:top w:val="none" w:sz="0" w:space="0" w:color="auto"/>
        <w:left w:val="none" w:sz="0" w:space="0" w:color="auto"/>
        <w:bottom w:val="none" w:sz="0" w:space="0" w:color="auto"/>
        <w:right w:val="none" w:sz="0" w:space="0" w:color="auto"/>
      </w:divBdr>
    </w:div>
    <w:div w:id="995496182">
      <w:bodyDiv w:val="1"/>
      <w:marLeft w:val="0"/>
      <w:marRight w:val="0"/>
      <w:marTop w:val="0"/>
      <w:marBottom w:val="0"/>
      <w:divBdr>
        <w:top w:val="none" w:sz="0" w:space="0" w:color="auto"/>
        <w:left w:val="none" w:sz="0" w:space="0" w:color="auto"/>
        <w:bottom w:val="none" w:sz="0" w:space="0" w:color="auto"/>
        <w:right w:val="none" w:sz="0" w:space="0" w:color="auto"/>
      </w:divBdr>
    </w:div>
    <w:div w:id="995843881">
      <w:bodyDiv w:val="1"/>
      <w:marLeft w:val="0"/>
      <w:marRight w:val="0"/>
      <w:marTop w:val="0"/>
      <w:marBottom w:val="0"/>
      <w:divBdr>
        <w:top w:val="none" w:sz="0" w:space="0" w:color="auto"/>
        <w:left w:val="none" w:sz="0" w:space="0" w:color="auto"/>
        <w:bottom w:val="none" w:sz="0" w:space="0" w:color="auto"/>
        <w:right w:val="none" w:sz="0" w:space="0" w:color="auto"/>
      </w:divBdr>
    </w:div>
    <w:div w:id="1008291327">
      <w:bodyDiv w:val="1"/>
      <w:marLeft w:val="0"/>
      <w:marRight w:val="0"/>
      <w:marTop w:val="0"/>
      <w:marBottom w:val="0"/>
      <w:divBdr>
        <w:top w:val="none" w:sz="0" w:space="0" w:color="auto"/>
        <w:left w:val="none" w:sz="0" w:space="0" w:color="auto"/>
        <w:bottom w:val="none" w:sz="0" w:space="0" w:color="auto"/>
        <w:right w:val="none" w:sz="0" w:space="0" w:color="auto"/>
      </w:divBdr>
    </w:div>
    <w:div w:id="1009865643">
      <w:bodyDiv w:val="1"/>
      <w:marLeft w:val="0"/>
      <w:marRight w:val="0"/>
      <w:marTop w:val="0"/>
      <w:marBottom w:val="0"/>
      <w:divBdr>
        <w:top w:val="none" w:sz="0" w:space="0" w:color="auto"/>
        <w:left w:val="none" w:sz="0" w:space="0" w:color="auto"/>
        <w:bottom w:val="none" w:sz="0" w:space="0" w:color="auto"/>
        <w:right w:val="none" w:sz="0" w:space="0" w:color="auto"/>
      </w:divBdr>
    </w:div>
    <w:div w:id="1010370886">
      <w:bodyDiv w:val="1"/>
      <w:marLeft w:val="0"/>
      <w:marRight w:val="0"/>
      <w:marTop w:val="0"/>
      <w:marBottom w:val="0"/>
      <w:divBdr>
        <w:top w:val="none" w:sz="0" w:space="0" w:color="auto"/>
        <w:left w:val="none" w:sz="0" w:space="0" w:color="auto"/>
        <w:bottom w:val="none" w:sz="0" w:space="0" w:color="auto"/>
        <w:right w:val="none" w:sz="0" w:space="0" w:color="auto"/>
      </w:divBdr>
      <w:divsChild>
        <w:div w:id="1653749088">
          <w:marLeft w:val="0"/>
          <w:marRight w:val="0"/>
          <w:marTop w:val="0"/>
          <w:marBottom w:val="0"/>
          <w:divBdr>
            <w:top w:val="none" w:sz="0" w:space="0" w:color="auto"/>
            <w:left w:val="none" w:sz="0" w:space="0" w:color="auto"/>
            <w:bottom w:val="none" w:sz="0" w:space="0" w:color="auto"/>
            <w:right w:val="none" w:sz="0" w:space="0" w:color="auto"/>
          </w:divBdr>
        </w:div>
      </w:divsChild>
    </w:div>
    <w:div w:id="1015763047">
      <w:bodyDiv w:val="1"/>
      <w:marLeft w:val="0"/>
      <w:marRight w:val="0"/>
      <w:marTop w:val="0"/>
      <w:marBottom w:val="0"/>
      <w:divBdr>
        <w:top w:val="none" w:sz="0" w:space="0" w:color="auto"/>
        <w:left w:val="none" w:sz="0" w:space="0" w:color="auto"/>
        <w:bottom w:val="none" w:sz="0" w:space="0" w:color="auto"/>
        <w:right w:val="none" w:sz="0" w:space="0" w:color="auto"/>
      </w:divBdr>
    </w:div>
    <w:div w:id="1023673110">
      <w:bodyDiv w:val="1"/>
      <w:marLeft w:val="0"/>
      <w:marRight w:val="0"/>
      <w:marTop w:val="0"/>
      <w:marBottom w:val="0"/>
      <w:divBdr>
        <w:top w:val="none" w:sz="0" w:space="0" w:color="auto"/>
        <w:left w:val="none" w:sz="0" w:space="0" w:color="auto"/>
        <w:bottom w:val="none" w:sz="0" w:space="0" w:color="auto"/>
        <w:right w:val="none" w:sz="0" w:space="0" w:color="auto"/>
      </w:divBdr>
    </w:div>
    <w:div w:id="1028214990">
      <w:bodyDiv w:val="1"/>
      <w:marLeft w:val="0"/>
      <w:marRight w:val="0"/>
      <w:marTop w:val="0"/>
      <w:marBottom w:val="0"/>
      <w:divBdr>
        <w:top w:val="none" w:sz="0" w:space="0" w:color="auto"/>
        <w:left w:val="none" w:sz="0" w:space="0" w:color="auto"/>
        <w:bottom w:val="none" w:sz="0" w:space="0" w:color="auto"/>
        <w:right w:val="none" w:sz="0" w:space="0" w:color="auto"/>
      </w:divBdr>
    </w:div>
    <w:div w:id="1029523802">
      <w:bodyDiv w:val="1"/>
      <w:marLeft w:val="0"/>
      <w:marRight w:val="0"/>
      <w:marTop w:val="0"/>
      <w:marBottom w:val="0"/>
      <w:divBdr>
        <w:top w:val="none" w:sz="0" w:space="0" w:color="auto"/>
        <w:left w:val="none" w:sz="0" w:space="0" w:color="auto"/>
        <w:bottom w:val="none" w:sz="0" w:space="0" w:color="auto"/>
        <w:right w:val="none" w:sz="0" w:space="0" w:color="auto"/>
      </w:divBdr>
    </w:div>
    <w:div w:id="1032848477">
      <w:bodyDiv w:val="1"/>
      <w:marLeft w:val="0"/>
      <w:marRight w:val="0"/>
      <w:marTop w:val="0"/>
      <w:marBottom w:val="0"/>
      <w:divBdr>
        <w:top w:val="none" w:sz="0" w:space="0" w:color="auto"/>
        <w:left w:val="none" w:sz="0" w:space="0" w:color="auto"/>
        <w:bottom w:val="none" w:sz="0" w:space="0" w:color="auto"/>
        <w:right w:val="none" w:sz="0" w:space="0" w:color="auto"/>
      </w:divBdr>
    </w:div>
    <w:div w:id="1039168391">
      <w:bodyDiv w:val="1"/>
      <w:marLeft w:val="0"/>
      <w:marRight w:val="0"/>
      <w:marTop w:val="0"/>
      <w:marBottom w:val="0"/>
      <w:divBdr>
        <w:top w:val="none" w:sz="0" w:space="0" w:color="auto"/>
        <w:left w:val="none" w:sz="0" w:space="0" w:color="auto"/>
        <w:bottom w:val="none" w:sz="0" w:space="0" w:color="auto"/>
        <w:right w:val="none" w:sz="0" w:space="0" w:color="auto"/>
      </w:divBdr>
    </w:div>
    <w:div w:id="1043214551">
      <w:bodyDiv w:val="1"/>
      <w:marLeft w:val="0"/>
      <w:marRight w:val="0"/>
      <w:marTop w:val="0"/>
      <w:marBottom w:val="0"/>
      <w:divBdr>
        <w:top w:val="none" w:sz="0" w:space="0" w:color="auto"/>
        <w:left w:val="none" w:sz="0" w:space="0" w:color="auto"/>
        <w:bottom w:val="none" w:sz="0" w:space="0" w:color="auto"/>
        <w:right w:val="none" w:sz="0" w:space="0" w:color="auto"/>
      </w:divBdr>
    </w:div>
    <w:div w:id="1049912082">
      <w:bodyDiv w:val="1"/>
      <w:marLeft w:val="0"/>
      <w:marRight w:val="0"/>
      <w:marTop w:val="0"/>
      <w:marBottom w:val="0"/>
      <w:divBdr>
        <w:top w:val="none" w:sz="0" w:space="0" w:color="auto"/>
        <w:left w:val="none" w:sz="0" w:space="0" w:color="auto"/>
        <w:bottom w:val="none" w:sz="0" w:space="0" w:color="auto"/>
        <w:right w:val="none" w:sz="0" w:space="0" w:color="auto"/>
      </w:divBdr>
    </w:div>
    <w:div w:id="1052925338">
      <w:bodyDiv w:val="1"/>
      <w:marLeft w:val="0"/>
      <w:marRight w:val="0"/>
      <w:marTop w:val="0"/>
      <w:marBottom w:val="0"/>
      <w:divBdr>
        <w:top w:val="none" w:sz="0" w:space="0" w:color="auto"/>
        <w:left w:val="none" w:sz="0" w:space="0" w:color="auto"/>
        <w:bottom w:val="none" w:sz="0" w:space="0" w:color="auto"/>
        <w:right w:val="none" w:sz="0" w:space="0" w:color="auto"/>
      </w:divBdr>
    </w:div>
    <w:div w:id="1055465300">
      <w:bodyDiv w:val="1"/>
      <w:marLeft w:val="0"/>
      <w:marRight w:val="0"/>
      <w:marTop w:val="0"/>
      <w:marBottom w:val="0"/>
      <w:divBdr>
        <w:top w:val="none" w:sz="0" w:space="0" w:color="auto"/>
        <w:left w:val="none" w:sz="0" w:space="0" w:color="auto"/>
        <w:bottom w:val="none" w:sz="0" w:space="0" w:color="auto"/>
        <w:right w:val="none" w:sz="0" w:space="0" w:color="auto"/>
      </w:divBdr>
    </w:div>
    <w:div w:id="1056929403">
      <w:bodyDiv w:val="1"/>
      <w:marLeft w:val="0"/>
      <w:marRight w:val="0"/>
      <w:marTop w:val="0"/>
      <w:marBottom w:val="0"/>
      <w:divBdr>
        <w:top w:val="none" w:sz="0" w:space="0" w:color="auto"/>
        <w:left w:val="none" w:sz="0" w:space="0" w:color="auto"/>
        <w:bottom w:val="none" w:sz="0" w:space="0" w:color="auto"/>
        <w:right w:val="none" w:sz="0" w:space="0" w:color="auto"/>
      </w:divBdr>
      <w:divsChild>
        <w:div w:id="464079548">
          <w:marLeft w:val="0"/>
          <w:marRight w:val="0"/>
          <w:marTop w:val="0"/>
          <w:marBottom w:val="0"/>
          <w:divBdr>
            <w:top w:val="none" w:sz="0" w:space="0" w:color="auto"/>
            <w:left w:val="none" w:sz="0" w:space="0" w:color="auto"/>
            <w:bottom w:val="none" w:sz="0" w:space="0" w:color="auto"/>
            <w:right w:val="none" w:sz="0" w:space="0" w:color="auto"/>
          </w:divBdr>
          <w:divsChild>
            <w:div w:id="671448007">
              <w:marLeft w:val="0"/>
              <w:marRight w:val="0"/>
              <w:marTop w:val="0"/>
              <w:marBottom w:val="0"/>
              <w:divBdr>
                <w:top w:val="none" w:sz="0" w:space="0" w:color="auto"/>
                <w:left w:val="none" w:sz="0" w:space="0" w:color="auto"/>
                <w:bottom w:val="none" w:sz="0" w:space="0" w:color="auto"/>
                <w:right w:val="none" w:sz="0" w:space="0" w:color="auto"/>
              </w:divBdr>
              <w:divsChild>
                <w:div w:id="1430469107">
                  <w:marLeft w:val="0"/>
                  <w:marRight w:val="0"/>
                  <w:marTop w:val="0"/>
                  <w:marBottom w:val="0"/>
                  <w:divBdr>
                    <w:top w:val="none" w:sz="0" w:space="0" w:color="auto"/>
                    <w:left w:val="none" w:sz="0" w:space="0" w:color="auto"/>
                    <w:bottom w:val="none" w:sz="0" w:space="0" w:color="auto"/>
                    <w:right w:val="none" w:sz="0" w:space="0" w:color="auto"/>
                  </w:divBdr>
                  <w:divsChild>
                    <w:div w:id="1870532418">
                      <w:marLeft w:val="0"/>
                      <w:marRight w:val="0"/>
                      <w:marTop w:val="0"/>
                      <w:marBottom w:val="0"/>
                      <w:divBdr>
                        <w:top w:val="none" w:sz="0" w:space="0" w:color="auto"/>
                        <w:left w:val="none" w:sz="0" w:space="0" w:color="auto"/>
                        <w:bottom w:val="none" w:sz="0" w:space="0" w:color="auto"/>
                        <w:right w:val="none" w:sz="0" w:space="0" w:color="auto"/>
                      </w:divBdr>
                      <w:divsChild>
                        <w:div w:id="866796491">
                          <w:marLeft w:val="0"/>
                          <w:marRight w:val="0"/>
                          <w:marTop w:val="0"/>
                          <w:marBottom w:val="0"/>
                          <w:divBdr>
                            <w:top w:val="none" w:sz="0" w:space="0" w:color="auto"/>
                            <w:left w:val="none" w:sz="0" w:space="0" w:color="auto"/>
                            <w:bottom w:val="none" w:sz="0" w:space="0" w:color="auto"/>
                            <w:right w:val="none" w:sz="0" w:space="0" w:color="auto"/>
                          </w:divBdr>
                          <w:divsChild>
                            <w:div w:id="1793087332">
                              <w:marLeft w:val="0"/>
                              <w:marRight w:val="0"/>
                              <w:marTop w:val="0"/>
                              <w:marBottom w:val="0"/>
                              <w:divBdr>
                                <w:top w:val="none" w:sz="0" w:space="0" w:color="auto"/>
                                <w:left w:val="none" w:sz="0" w:space="0" w:color="auto"/>
                                <w:bottom w:val="none" w:sz="0" w:space="0" w:color="auto"/>
                                <w:right w:val="none" w:sz="0" w:space="0" w:color="auto"/>
                              </w:divBdr>
                              <w:divsChild>
                                <w:div w:id="1046104315">
                                  <w:marLeft w:val="0"/>
                                  <w:marRight w:val="0"/>
                                  <w:marTop w:val="0"/>
                                  <w:marBottom w:val="0"/>
                                  <w:divBdr>
                                    <w:top w:val="none" w:sz="0" w:space="0" w:color="auto"/>
                                    <w:left w:val="none" w:sz="0" w:space="0" w:color="auto"/>
                                    <w:bottom w:val="none" w:sz="0" w:space="0" w:color="auto"/>
                                    <w:right w:val="none" w:sz="0" w:space="0" w:color="auto"/>
                                  </w:divBdr>
                                  <w:divsChild>
                                    <w:div w:id="1641883726">
                                      <w:marLeft w:val="0"/>
                                      <w:marRight w:val="0"/>
                                      <w:marTop w:val="0"/>
                                      <w:marBottom w:val="0"/>
                                      <w:divBdr>
                                        <w:top w:val="none" w:sz="0" w:space="0" w:color="auto"/>
                                        <w:left w:val="none" w:sz="0" w:space="0" w:color="auto"/>
                                        <w:bottom w:val="none" w:sz="0" w:space="0" w:color="auto"/>
                                        <w:right w:val="none" w:sz="0" w:space="0" w:color="auto"/>
                                      </w:divBdr>
                                      <w:divsChild>
                                        <w:div w:id="1109668203">
                                          <w:marLeft w:val="0"/>
                                          <w:marRight w:val="0"/>
                                          <w:marTop w:val="0"/>
                                          <w:marBottom w:val="0"/>
                                          <w:divBdr>
                                            <w:top w:val="none" w:sz="0" w:space="0" w:color="auto"/>
                                            <w:left w:val="none" w:sz="0" w:space="0" w:color="auto"/>
                                            <w:bottom w:val="none" w:sz="0" w:space="0" w:color="auto"/>
                                            <w:right w:val="none" w:sz="0" w:space="0" w:color="auto"/>
                                          </w:divBdr>
                                          <w:divsChild>
                                            <w:div w:id="1544168909">
                                              <w:marLeft w:val="0"/>
                                              <w:marRight w:val="0"/>
                                              <w:marTop w:val="0"/>
                                              <w:marBottom w:val="0"/>
                                              <w:divBdr>
                                                <w:top w:val="none" w:sz="0" w:space="0" w:color="auto"/>
                                                <w:left w:val="none" w:sz="0" w:space="0" w:color="auto"/>
                                                <w:bottom w:val="none" w:sz="0" w:space="0" w:color="auto"/>
                                                <w:right w:val="none" w:sz="0" w:space="0" w:color="auto"/>
                                              </w:divBdr>
                                              <w:divsChild>
                                                <w:div w:id="2140564590">
                                                  <w:marLeft w:val="0"/>
                                                  <w:marRight w:val="0"/>
                                                  <w:marTop w:val="0"/>
                                                  <w:marBottom w:val="0"/>
                                                  <w:divBdr>
                                                    <w:top w:val="none" w:sz="0" w:space="0" w:color="auto"/>
                                                    <w:left w:val="none" w:sz="0" w:space="0" w:color="auto"/>
                                                    <w:bottom w:val="none" w:sz="0" w:space="0" w:color="auto"/>
                                                    <w:right w:val="none" w:sz="0" w:space="0" w:color="auto"/>
                                                  </w:divBdr>
                                                  <w:divsChild>
                                                    <w:div w:id="353849496">
                                                      <w:marLeft w:val="0"/>
                                                      <w:marRight w:val="0"/>
                                                      <w:marTop w:val="0"/>
                                                      <w:marBottom w:val="0"/>
                                                      <w:divBdr>
                                                        <w:top w:val="none" w:sz="0" w:space="0" w:color="auto"/>
                                                        <w:left w:val="none" w:sz="0" w:space="0" w:color="auto"/>
                                                        <w:bottom w:val="none" w:sz="0" w:space="0" w:color="auto"/>
                                                        <w:right w:val="none" w:sz="0" w:space="0" w:color="auto"/>
                                                      </w:divBdr>
                                                      <w:divsChild>
                                                        <w:div w:id="1531410905">
                                                          <w:marLeft w:val="0"/>
                                                          <w:marRight w:val="0"/>
                                                          <w:marTop w:val="0"/>
                                                          <w:marBottom w:val="0"/>
                                                          <w:divBdr>
                                                            <w:top w:val="none" w:sz="0" w:space="0" w:color="auto"/>
                                                            <w:left w:val="none" w:sz="0" w:space="0" w:color="auto"/>
                                                            <w:bottom w:val="none" w:sz="0" w:space="0" w:color="auto"/>
                                                            <w:right w:val="none" w:sz="0" w:space="0" w:color="auto"/>
                                                          </w:divBdr>
                                                          <w:divsChild>
                                                            <w:div w:id="2146196922">
                                                              <w:marLeft w:val="0"/>
                                                              <w:marRight w:val="0"/>
                                                              <w:marTop w:val="0"/>
                                                              <w:marBottom w:val="0"/>
                                                              <w:divBdr>
                                                                <w:top w:val="none" w:sz="0" w:space="0" w:color="auto"/>
                                                                <w:left w:val="none" w:sz="0" w:space="0" w:color="auto"/>
                                                                <w:bottom w:val="none" w:sz="0" w:space="0" w:color="auto"/>
                                                                <w:right w:val="none" w:sz="0" w:space="0" w:color="auto"/>
                                                              </w:divBdr>
                                                              <w:divsChild>
                                                                <w:div w:id="205692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60519901">
      <w:bodyDiv w:val="1"/>
      <w:marLeft w:val="0"/>
      <w:marRight w:val="0"/>
      <w:marTop w:val="0"/>
      <w:marBottom w:val="0"/>
      <w:divBdr>
        <w:top w:val="none" w:sz="0" w:space="0" w:color="auto"/>
        <w:left w:val="none" w:sz="0" w:space="0" w:color="auto"/>
        <w:bottom w:val="none" w:sz="0" w:space="0" w:color="auto"/>
        <w:right w:val="none" w:sz="0" w:space="0" w:color="auto"/>
      </w:divBdr>
    </w:div>
    <w:div w:id="1066340020">
      <w:bodyDiv w:val="1"/>
      <w:marLeft w:val="0"/>
      <w:marRight w:val="0"/>
      <w:marTop w:val="0"/>
      <w:marBottom w:val="0"/>
      <w:divBdr>
        <w:top w:val="none" w:sz="0" w:space="0" w:color="auto"/>
        <w:left w:val="none" w:sz="0" w:space="0" w:color="auto"/>
        <w:bottom w:val="none" w:sz="0" w:space="0" w:color="auto"/>
        <w:right w:val="none" w:sz="0" w:space="0" w:color="auto"/>
      </w:divBdr>
    </w:div>
    <w:div w:id="1073505653">
      <w:bodyDiv w:val="1"/>
      <w:marLeft w:val="0"/>
      <w:marRight w:val="0"/>
      <w:marTop w:val="0"/>
      <w:marBottom w:val="0"/>
      <w:divBdr>
        <w:top w:val="none" w:sz="0" w:space="0" w:color="auto"/>
        <w:left w:val="none" w:sz="0" w:space="0" w:color="auto"/>
        <w:bottom w:val="none" w:sz="0" w:space="0" w:color="auto"/>
        <w:right w:val="none" w:sz="0" w:space="0" w:color="auto"/>
      </w:divBdr>
    </w:div>
    <w:div w:id="1082531509">
      <w:bodyDiv w:val="1"/>
      <w:marLeft w:val="0"/>
      <w:marRight w:val="0"/>
      <w:marTop w:val="0"/>
      <w:marBottom w:val="0"/>
      <w:divBdr>
        <w:top w:val="none" w:sz="0" w:space="0" w:color="auto"/>
        <w:left w:val="none" w:sz="0" w:space="0" w:color="auto"/>
        <w:bottom w:val="none" w:sz="0" w:space="0" w:color="auto"/>
        <w:right w:val="none" w:sz="0" w:space="0" w:color="auto"/>
      </w:divBdr>
    </w:div>
    <w:div w:id="1083796902">
      <w:bodyDiv w:val="1"/>
      <w:marLeft w:val="0"/>
      <w:marRight w:val="0"/>
      <w:marTop w:val="0"/>
      <w:marBottom w:val="0"/>
      <w:divBdr>
        <w:top w:val="none" w:sz="0" w:space="0" w:color="auto"/>
        <w:left w:val="none" w:sz="0" w:space="0" w:color="auto"/>
        <w:bottom w:val="none" w:sz="0" w:space="0" w:color="auto"/>
        <w:right w:val="none" w:sz="0" w:space="0" w:color="auto"/>
      </w:divBdr>
    </w:div>
    <w:div w:id="1087731203">
      <w:bodyDiv w:val="1"/>
      <w:marLeft w:val="0"/>
      <w:marRight w:val="0"/>
      <w:marTop w:val="0"/>
      <w:marBottom w:val="0"/>
      <w:divBdr>
        <w:top w:val="none" w:sz="0" w:space="0" w:color="auto"/>
        <w:left w:val="none" w:sz="0" w:space="0" w:color="auto"/>
        <w:bottom w:val="none" w:sz="0" w:space="0" w:color="auto"/>
        <w:right w:val="none" w:sz="0" w:space="0" w:color="auto"/>
      </w:divBdr>
    </w:div>
    <w:div w:id="1089351820">
      <w:bodyDiv w:val="1"/>
      <w:marLeft w:val="0"/>
      <w:marRight w:val="0"/>
      <w:marTop w:val="0"/>
      <w:marBottom w:val="0"/>
      <w:divBdr>
        <w:top w:val="none" w:sz="0" w:space="0" w:color="auto"/>
        <w:left w:val="none" w:sz="0" w:space="0" w:color="auto"/>
        <w:bottom w:val="none" w:sz="0" w:space="0" w:color="auto"/>
        <w:right w:val="none" w:sz="0" w:space="0" w:color="auto"/>
      </w:divBdr>
    </w:div>
    <w:div w:id="1089692992">
      <w:bodyDiv w:val="1"/>
      <w:marLeft w:val="0"/>
      <w:marRight w:val="0"/>
      <w:marTop w:val="0"/>
      <w:marBottom w:val="0"/>
      <w:divBdr>
        <w:top w:val="none" w:sz="0" w:space="0" w:color="auto"/>
        <w:left w:val="none" w:sz="0" w:space="0" w:color="auto"/>
        <w:bottom w:val="none" w:sz="0" w:space="0" w:color="auto"/>
        <w:right w:val="none" w:sz="0" w:space="0" w:color="auto"/>
      </w:divBdr>
    </w:div>
    <w:div w:id="1093163469">
      <w:bodyDiv w:val="1"/>
      <w:marLeft w:val="0"/>
      <w:marRight w:val="0"/>
      <w:marTop w:val="0"/>
      <w:marBottom w:val="0"/>
      <w:divBdr>
        <w:top w:val="none" w:sz="0" w:space="0" w:color="auto"/>
        <w:left w:val="none" w:sz="0" w:space="0" w:color="auto"/>
        <w:bottom w:val="none" w:sz="0" w:space="0" w:color="auto"/>
        <w:right w:val="none" w:sz="0" w:space="0" w:color="auto"/>
      </w:divBdr>
    </w:div>
    <w:div w:id="1093630796">
      <w:bodyDiv w:val="1"/>
      <w:marLeft w:val="0"/>
      <w:marRight w:val="0"/>
      <w:marTop w:val="0"/>
      <w:marBottom w:val="0"/>
      <w:divBdr>
        <w:top w:val="none" w:sz="0" w:space="0" w:color="auto"/>
        <w:left w:val="none" w:sz="0" w:space="0" w:color="auto"/>
        <w:bottom w:val="none" w:sz="0" w:space="0" w:color="auto"/>
        <w:right w:val="none" w:sz="0" w:space="0" w:color="auto"/>
      </w:divBdr>
    </w:div>
    <w:div w:id="1096635773">
      <w:bodyDiv w:val="1"/>
      <w:marLeft w:val="0"/>
      <w:marRight w:val="0"/>
      <w:marTop w:val="0"/>
      <w:marBottom w:val="0"/>
      <w:divBdr>
        <w:top w:val="none" w:sz="0" w:space="0" w:color="auto"/>
        <w:left w:val="none" w:sz="0" w:space="0" w:color="auto"/>
        <w:bottom w:val="none" w:sz="0" w:space="0" w:color="auto"/>
        <w:right w:val="none" w:sz="0" w:space="0" w:color="auto"/>
      </w:divBdr>
    </w:div>
    <w:div w:id="1104570400">
      <w:bodyDiv w:val="1"/>
      <w:marLeft w:val="0"/>
      <w:marRight w:val="0"/>
      <w:marTop w:val="0"/>
      <w:marBottom w:val="0"/>
      <w:divBdr>
        <w:top w:val="none" w:sz="0" w:space="0" w:color="auto"/>
        <w:left w:val="none" w:sz="0" w:space="0" w:color="auto"/>
        <w:bottom w:val="none" w:sz="0" w:space="0" w:color="auto"/>
        <w:right w:val="none" w:sz="0" w:space="0" w:color="auto"/>
      </w:divBdr>
    </w:div>
    <w:div w:id="1107582179">
      <w:bodyDiv w:val="1"/>
      <w:marLeft w:val="0"/>
      <w:marRight w:val="0"/>
      <w:marTop w:val="0"/>
      <w:marBottom w:val="0"/>
      <w:divBdr>
        <w:top w:val="none" w:sz="0" w:space="0" w:color="auto"/>
        <w:left w:val="none" w:sz="0" w:space="0" w:color="auto"/>
        <w:bottom w:val="none" w:sz="0" w:space="0" w:color="auto"/>
        <w:right w:val="none" w:sz="0" w:space="0" w:color="auto"/>
      </w:divBdr>
    </w:div>
    <w:div w:id="1122533300">
      <w:bodyDiv w:val="1"/>
      <w:marLeft w:val="0"/>
      <w:marRight w:val="0"/>
      <w:marTop w:val="0"/>
      <w:marBottom w:val="0"/>
      <w:divBdr>
        <w:top w:val="none" w:sz="0" w:space="0" w:color="auto"/>
        <w:left w:val="none" w:sz="0" w:space="0" w:color="auto"/>
        <w:bottom w:val="none" w:sz="0" w:space="0" w:color="auto"/>
        <w:right w:val="none" w:sz="0" w:space="0" w:color="auto"/>
      </w:divBdr>
    </w:div>
    <w:div w:id="1140223821">
      <w:bodyDiv w:val="1"/>
      <w:marLeft w:val="0"/>
      <w:marRight w:val="0"/>
      <w:marTop w:val="0"/>
      <w:marBottom w:val="0"/>
      <w:divBdr>
        <w:top w:val="none" w:sz="0" w:space="0" w:color="auto"/>
        <w:left w:val="none" w:sz="0" w:space="0" w:color="auto"/>
        <w:bottom w:val="none" w:sz="0" w:space="0" w:color="auto"/>
        <w:right w:val="none" w:sz="0" w:space="0" w:color="auto"/>
      </w:divBdr>
    </w:div>
    <w:div w:id="1140998157">
      <w:bodyDiv w:val="1"/>
      <w:marLeft w:val="0"/>
      <w:marRight w:val="0"/>
      <w:marTop w:val="0"/>
      <w:marBottom w:val="0"/>
      <w:divBdr>
        <w:top w:val="none" w:sz="0" w:space="0" w:color="auto"/>
        <w:left w:val="none" w:sz="0" w:space="0" w:color="auto"/>
        <w:bottom w:val="none" w:sz="0" w:space="0" w:color="auto"/>
        <w:right w:val="none" w:sz="0" w:space="0" w:color="auto"/>
      </w:divBdr>
    </w:div>
    <w:div w:id="1142693786">
      <w:bodyDiv w:val="1"/>
      <w:marLeft w:val="0"/>
      <w:marRight w:val="0"/>
      <w:marTop w:val="0"/>
      <w:marBottom w:val="0"/>
      <w:divBdr>
        <w:top w:val="none" w:sz="0" w:space="0" w:color="auto"/>
        <w:left w:val="none" w:sz="0" w:space="0" w:color="auto"/>
        <w:bottom w:val="none" w:sz="0" w:space="0" w:color="auto"/>
        <w:right w:val="none" w:sz="0" w:space="0" w:color="auto"/>
      </w:divBdr>
    </w:div>
    <w:div w:id="1147166157">
      <w:bodyDiv w:val="1"/>
      <w:marLeft w:val="0"/>
      <w:marRight w:val="0"/>
      <w:marTop w:val="0"/>
      <w:marBottom w:val="0"/>
      <w:divBdr>
        <w:top w:val="none" w:sz="0" w:space="0" w:color="auto"/>
        <w:left w:val="none" w:sz="0" w:space="0" w:color="auto"/>
        <w:bottom w:val="none" w:sz="0" w:space="0" w:color="auto"/>
        <w:right w:val="none" w:sz="0" w:space="0" w:color="auto"/>
      </w:divBdr>
      <w:divsChild>
        <w:div w:id="1449936215">
          <w:marLeft w:val="0"/>
          <w:marRight w:val="0"/>
          <w:marTop w:val="0"/>
          <w:marBottom w:val="0"/>
          <w:divBdr>
            <w:top w:val="none" w:sz="0" w:space="0" w:color="auto"/>
            <w:left w:val="none" w:sz="0" w:space="0" w:color="auto"/>
            <w:bottom w:val="none" w:sz="0" w:space="0" w:color="auto"/>
            <w:right w:val="none" w:sz="0" w:space="0" w:color="auto"/>
          </w:divBdr>
        </w:div>
      </w:divsChild>
    </w:div>
    <w:div w:id="1160341440">
      <w:bodyDiv w:val="1"/>
      <w:marLeft w:val="0"/>
      <w:marRight w:val="0"/>
      <w:marTop w:val="0"/>
      <w:marBottom w:val="0"/>
      <w:divBdr>
        <w:top w:val="none" w:sz="0" w:space="0" w:color="auto"/>
        <w:left w:val="none" w:sz="0" w:space="0" w:color="auto"/>
        <w:bottom w:val="none" w:sz="0" w:space="0" w:color="auto"/>
        <w:right w:val="none" w:sz="0" w:space="0" w:color="auto"/>
      </w:divBdr>
    </w:div>
    <w:div w:id="1173102781">
      <w:bodyDiv w:val="1"/>
      <w:marLeft w:val="0"/>
      <w:marRight w:val="0"/>
      <w:marTop w:val="0"/>
      <w:marBottom w:val="0"/>
      <w:divBdr>
        <w:top w:val="none" w:sz="0" w:space="0" w:color="auto"/>
        <w:left w:val="none" w:sz="0" w:space="0" w:color="auto"/>
        <w:bottom w:val="none" w:sz="0" w:space="0" w:color="auto"/>
        <w:right w:val="none" w:sz="0" w:space="0" w:color="auto"/>
      </w:divBdr>
    </w:div>
    <w:div w:id="1175266490">
      <w:bodyDiv w:val="1"/>
      <w:marLeft w:val="0"/>
      <w:marRight w:val="0"/>
      <w:marTop w:val="0"/>
      <w:marBottom w:val="0"/>
      <w:divBdr>
        <w:top w:val="none" w:sz="0" w:space="0" w:color="auto"/>
        <w:left w:val="none" w:sz="0" w:space="0" w:color="auto"/>
        <w:bottom w:val="none" w:sz="0" w:space="0" w:color="auto"/>
        <w:right w:val="none" w:sz="0" w:space="0" w:color="auto"/>
      </w:divBdr>
    </w:div>
    <w:div w:id="1189444514">
      <w:bodyDiv w:val="1"/>
      <w:marLeft w:val="0"/>
      <w:marRight w:val="0"/>
      <w:marTop w:val="0"/>
      <w:marBottom w:val="0"/>
      <w:divBdr>
        <w:top w:val="none" w:sz="0" w:space="0" w:color="auto"/>
        <w:left w:val="none" w:sz="0" w:space="0" w:color="auto"/>
        <w:bottom w:val="none" w:sz="0" w:space="0" w:color="auto"/>
        <w:right w:val="none" w:sz="0" w:space="0" w:color="auto"/>
      </w:divBdr>
      <w:divsChild>
        <w:div w:id="399181526">
          <w:marLeft w:val="0"/>
          <w:marRight w:val="0"/>
          <w:marTop w:val="0"/>
          <w:marBottom w:val="0"/>
          <w:divBdr>
            <w:top w:val="none" w:sz="0" w:space="0" w:color="auto"/>
            <w:left w:val="none" w:sz="0" w:space="0" w:color="auto"/>
            <w:bottom w:val="none" w:sz="0" w:space="0" w:color="auto"/>
            <w:right w:val="none" w:sz="0" w:space="0" w:color="auto"/>
          </w:divBdr>
        </w:div>
      </w:divsChild>
    </w:div>
    <w:div w:id="1193180701">
      <w:bodyDiv w:val="1"/>
      <w:marLeft w:val="0"/>
      <w:marRight w:val="0"/>
      <w:marTop w:val="0"/>
      <w:marBottom w:val="0"/>
      <w:divBdr>
        <w:top w:val="none" w:sz="0" w:space="0" w:color="auto"/>
        <w:left w:val="none" w:sz="0" w:space="0" w:color="auto"/>
        <w:bottom w:val="none" w:sz="0" w:space="0" w:color="auto"/>
        <w:right w:val="none" w:sz="0" w:space="0" w:color="auto"/>
      </w:divBdr>
    </w:div>
    <w:div w:id="1200319569">
      <w:bodyDiv w:val="1"/>
      <w:marLeft w:val="0"/>
      <w:marRight w:val="0"/>
      <w:marTop w:val="0"/>
      <w:marBottom w:val="0"/>
      <w:divBdr>
        <w:top w:val="none" w:sz="0" w:space="0" w:color="auto"/>
        <w:left w:val="none" w:sz="0" w:space="0" w:color="auto"/>
        <w:bottom w:val="none" w:sz="0" w:space="0" w:color="auto"/>
        <w:right w:val="none" w:sz="0" w:space="0" w:color="auto"/>
      </w:divBdr>
    </w:div>
    <w:div w:id="1200512740">
      <w:bodyDiv w:val="1"/>
      <w:marLeft w:val="0"/>
      <w:marRight w:val="0"/>
      <w:marTop w:val="0"/>
      <w:marBottom w:val="0"/>
      <w:divBdr>
        <w:top w:val="none" w:sz="0" w:space="0" w:color="auto"/>
        <w:left w:val="none" w:sz="0" w:space="0" w:color="auto"/>
        <w:bottom w:val="none" w:sz="0" w:space="0" w:color="auto"/>
        <w:right w:val="none" w:sz="0" w:space="0" w:color="auto"/>
      </w:divBdr>
    </w:div>
    <w:div w:id="1206025443">
      <w:bodyDiv w:val="1"/>
      <w:marLeft w:val="0"/>
      <w:marRight w:val="0"/>
      <w:marTop w:val="0"/>
      <w:marBottom w:val="0"/>
      <w:divBdr>
        <w:top w:val="none" w:sz="0" w:space="0" w:color="auto"/>
        <w:left w:val="none" w:sz="0" w:space="0" w:color="auto"/>
        <w:bottom w:val="none" w:sz="0" w:space="0" w:color="auto"/>
        <w:right w:val="none" w:sz="0" w:space="0" w:color="auto"/>
      </w:divBdr>
    </w:div>
    <w:div w:id="1225995480">
      <w:bodyDiv w:val="1"/>
      <w:marLeft w:val="0"/>
      <w:marRight w:val="0"/>
      <w:marTop w:val="0"/>
      <w:marBottom w:val="0"/>
      <w:divBdr>
        <w:top w:val="none" w:sz="0" w:space="0" w:color="auto"/>
        <w:left w:val="none" w:sz="0" w:space="0" w:color="auto"/>
        <w:bottom w:val="none" w:sz="0" w:space="0" w:color="auto"/>
        <w:right w:val="none" w:sz="0" w:space="0" w:color="auto"/>
      </w:divBdr>
    </w:div>
    <w:div w:id="1226985658">
      <w:bodyDiv w:val="1"/>
      <w:marLeft w:val="0"/>
      <w:marRight w:val="0"/>
      <w:marTop w:val="0"/>
      <w:marBottom w:val="0"/>
      <w:divBdr>
        <w:top w:val="none" w:sz="0" w:space="0" w:color="auto"/>
        <w:left w:val="none" w:sz="0" w:space="0" w:color="auto"/>
        <w:bottom w:val="none" w:sz="0" w:space="0" w:color="auto"/>
        <w:right w:val="none" w:sz="0" w:space="0" w:color="auto"/>
      </w:divBdr>
    </w:div>
    <w:div w:id="1230772387">
      <w:bodyDiv w:val="1"/>
      <w:marLeft w:val="0"/>
      <w:marRight w:val="0"/>
      <w:marTop w:val="0"/>
      <w:marBottom w:val="0"/>
      <w:divBdr>
        <w:top w:val="none" w:sz="0" w:space="0" w:color="auto"/>
        <w:left w:val="none" w:sz="0" w:space="0" w:color="auto"/>
        <w:bottom w:val="none" w:sz="0" w:space="0" w:color="auto"/>
        <w:right w:val="none" w:sz="0" w:space="0" w:color="auto"/>
      </w:divBdr>
    </w:div>
    <w:div w:id="1236011198">
      <w:bodyDiv w:val="1"/>
      <w:marLeft w:val="0"/>
      <w:marRight w:val="0"/>
      <w:marTop w:val="0"/>
      <w:marBottom w:val="0"/>
      <w:divBdr>
        <w:top w:val="none" w:sz="0" w:space="0" w:color="auto"/>
        <w:left w:val="none" w:sz="0" w:space="0" w:color="auto"/>
        <w:bottom w:val="none" w:sz="0" w:space="0" w:color="auto"/>
        <w:right w:val="none" w:sz="0" w:space="0" w:color="auto"/>
      </w:divBdr>
    </w:div>
    <w:div w:id="1241865037">
      <w:bodyDiv w:val="1"/>
      <w:marLeft w:val="0"/>
      <w:marRight w:val="0"/>
      <w:marTop w:val="0"/>
      <w:marBottom w:val="0"/>
      <w:divBdr>
        <w:top w:val="none" w:sz="0" w:space="0" w:color="auto"/>
        <w:left w:val="none" w:sz="0" w:space="0" w:color="auto"/>
        <w:bottom w:val="none" w:sz="0" w:space="0" w:color="auto"/>
        <w:right w:val="none" w:sz="0" w:space="0" w:color="auto"/>
      </w:divBdr>
    </w:div>
    <w:div w:id="1243486076">
      <w:bodyDiv w:val="1"/>
      <w:marLeft w:val="0"/>
      <w:marRight w:val="0"/>
      <w:marTop w:val="0"/>
      <w:marBottom w:val="0"/>
      <w:divBdr>
        <w:top w:val="none" w:sz="0" w:space="0" w:color="auto"/>
        <w:left w:val="none" w:sz="0" w:space="0" w:color="auto"/>
        <w:bottom w:val="none" w:sz="0" w:space="0" w:color="auto"/>
        <w:right w:val="none" w:sz="0" w:space="0" w:color="auto"/>
      </w:divBdr>
    </w:div>
    <w:div w:id="1244803394">
      <w:bodyDiv w:val="1"/>
      <w:marLeft w:val="0"/>
      <w:marRight w:val="0"/>
      <w:marTop w:val="0"/>
      <w:marBottom w:val="0"/>
      <w:divBdr>
        <w:top w:val="none" w:sz="0" w:space="0" w:color="auto"/>
        <w:left w:val="none" w:sz="0" w:space="0" w:color="auto"/>
        <w:bottom w:val="none" w:sz="0" w:space="0" w:color="auto"/>
        <w:right w:val="none" w:sz="0" w:space="0" w:color="auto"/>
      </w:divBdr>
    </w:div>
    <w:div w:id="1249391019">
      <w:bodyDiv w:val="1"/>
      <w:marLeft w:val="0"/>
      <w:marRight w:val="0"/>
      <w:marTop w:val="0"/>
      <w:marBottom w:val="0"/>
      <w:divBdr>
        <w:top w:val="none" w:sz="0" w:space="0" w:color="auto"/>
        <w:left w:val="none" w:sz="0" w:space="0" w:color="auto"/>
        <w:bottom w:val="none" w:sz="0" w:space="0" w:color="auto"/>
        <w:right w:val="none" w:sz="0" w:space="0" w:color="auto"/>
      </w:divBdr>
    </w:div>
    <w:div w:id="1260866703">
      <w:bodyDiv w:val="1"/>
      <w:marLeft w:val="0"/>
      <w:marRight w:val="0"/>
      <w:marTop w:val="0"/>
      <w:marBottom w:val="0"/>
      <w:divBdr>
        <w:top w:val="none" w:sz="0" w:space="0" w:color="auto"/>
        <w:left w:val="none" w:sz="0" w:space="0" w:color="auto"/>
        <w:bottom w:val="none" w:sz="0" w:space="0" w:color="auto"/>
        <w:right w:val="none" w:sz="0" w:space="0" w:color="auto"/>
      </w:divBdr>
    </w:div>
    <w:div w:id="1261184121">
      <w:bodyDiv w:val="1"/>
      <w:marLeft w:val="0"/>
      <w:marRight w:val="0"/>
      <w:marTop w:val="0"/>
      <w:marBottom w:val="0"/>
      <w:divBdr>
        <w:top w:val="none" w:sz="0" w:space="0" w:color="auto"/>
        <w:left w:val="none" w:sz="0" w:space="0" w:color="auto"/>
        <w:bottom w:val="none" w:sz="0" w:space="0" w:color="auto"/>
        <w:right w:val="none" w:sz="0" w:space="0" w:color="auto"/>
      </w:divBdr>
    </w:div>
    <w:div w:id="1270622853">
      <w:bodyDiv w:val="1"/>
      <w:marLeft w:val="0"/>
      <w:marRight w:val="0"/>
      <w:marTop w:val="0"/>
      <w:marBottom w:val="0"/>
      <w:divBdr>
        <w:top w:val="none" w:sz="0" w:space="0" w:color="auto"/>
        <w:left w:val="none" w:sz="0" w:space="0" w:color="auto"/>
        <w:bottom w:val="none" w:sz="0" w:space="0" w:color="auto"/>
        <w:right w:val="none" w:sz="0" w:space="0" w:color="auto"/>
      </w:divBdr>
    </w:div>
    <w:div w:id="1293101290">
      <w:bodyDiv w:val="1"/>
      <w:marLeft w:val="0"/>
      <w:marRight w:val="0"/>
      <w:marTop w:val="0"/>
      <w:marBottom w:val="0"/>
      <w:divBdr>
        <w:top w:val="none" w:sz="0" w:space="0" w:color="auto"/>
        <w:left w:val="none" w:sz="0" w:space="0" w:color="auto"/>
        <w:bottom w:val="none" w:sz="0" w:space="0" w:color="auto"/>
        <w:right w:val="none" w:sz="0" w:space="0" w:color="auto"/>
      </w:divBdr>
    </w:div>
    <w:div w:id="1293947661">
      <w:bodyDiv w:val="1"/>
      <w:marLeft w:val="0"/>
      <w:marRight w:val="0"/>
      <w:marTop w:val="0"/>
      <w:marBottom w:val="0"/>
      <w:divBdr>
        <w:top w:val="none" w:sz="0" w:space="0" w:color="auto"/>
        <w:left w:val="none" w:sz="0" w:space="0" w:color="auto"/>
        <w:bottom w:val="none" w:sz="0" w:space="0" w:color="auto"/>
        <w:right w:val="none" w:sz="0" w:space="0" w:color="auto"/>
      </w:divBdr>
    </w:div>
    <w:div w:id="1303774197">
      <w:bodyDiv w:val="1"/>
      <w:marLeft w:val="0"/>
      <w:marRight w:val="0"/>
      <w:marTop w:val="0"/>
      <w:marBottom w:val="0"/>
      <w:divBdr>
        <w:top w:val="none" w:sz="0" w:space="0" w:color="auto"/>
        <w:left w:val="none" w:sz="0" w:space="0" w:color="auto"/>
        <w:bottom w:val="none" w:sz="0" w:space="0" w:color="auto"/>
        <w:right w:val="none" w:sz="0" w:space="0" w:color="auto"/>
      </w:divBdr>
    </w:div>
    <w:div w:id="1313563663">
      <w:bodyDiv w:val="1"/>
      <w:marLeft w:val="0"/>
      <w:marRight w:val="0"/>
      <w:marTop w:val="0"/>
      <w:marBottom w:val="0"/>
      <w:divBdr>
        <w:top w:val="none" w:sz="0" w:space="0" w:color="auto"/>
        <w:left w:val="none" w:sz="0" w:space="0" w:color="auto"/>
        <w:bottom w:val="none" w:sz="0" w:space="0" w:color="auto"/>
        <w:right w:val="none" w:sz="0" w:space="0" w:color="auto"/>
      </w:divBdr>
      <w:divsChild>
        <w:div w:id="1453131818">
          <w:marLeft w:val="0"/>
          <w:marRight w:val="0"/>
          <w:marTop w:val="0"/>
          <w:marBottom w:val="0"/>
          <w:divBdr>
            <w:top w:val="none" w:sz="0" w:space="0" w:color="auto"/>
            <w:left w:val="none" w:sz="0" w:space="0" w:color="auto"/>
            <w:bottom w:val="none" w:sz="0" w:space="0" w:color="auto"/>
            <w:right w:val="none" w:sz="0" w:space="0" w:color="auto"/>
          </w:divBdr>
        </w:div>
      </w:divsChild>
    </w:div>
    <w:div w:id="1314404575">
      <w:bodyDiv w:val="1"/>
      <w:marLeft w:val="0"/>
      <w:marRight w:val="0"/>
      <w:marTop w:val="0"/>
      <w:marBottom w:val="0"/>
      <w:divBdr>
        <w:top w:val="none" w:sz="0" w:space="0" w:color="auto"/>
        <w:left w:val="none" w:sz="0" w:space="0" w:color="auto"/>
        <w:bottom w:val="none" w:sz="0" w:space="0" w:color="auto"/>
        <w:right w:val="none" w:sz="0" w:space="0" w:color="auto"/>
      </w:divBdr>
    </w:div>
    <w:div w:id="1314800228">
      <w:bodyDiv w:val="1"/>
      <w:marLeft w:val="0"/>
      <w:marRight w:val="0"/>
      <w:marTop w:val="0"/>
      <w:marBottom w:val="0"/>
      <w:divBdr>
        <w:top w:val="none" w:sz="0" w:space="0" w:color="auto"/>
        <w:left w:val="none" w:sz="0" w:space="0" w:color="auto"/>
        <w:bottom w:val="none" w:sz="0" w:space="0" w:color="auto"/>
        <w:right w:val="none" w:sz="0" w:space="0" w:color="auto"/>
      </w:divBdr>
    </w:div>
    <w:div w:id="1318654943">
      <w:bodyDiv w:val="1"/>
      <w:marLeft w:val="0"/>
      <w:marRight w:val="0"/>
      <w:marTop w:val="0"/>
      <w:marBottom w:val="0"/>
      <w:divBdr>
        <w:top w:val="none" w:sz="0" w:space="0" w:color="auto"/>
        <w:left w:val="none" w:sz="0" w:space="0" w:color="auto"/>
        <w:bottom w:val="none" w:sz="0" w:space="0" w:color="auto"/>
        <w:right w:val="none" w:sz="0" w:space="0" w:color="auto"/>
      </w:divBdr>
    </w:div>
    <w:div w:id="1330213264">
      <w:bodyDiv w:val="1"/>
      <w:marLeft w:val="0"/>
      <w:marRight w:val="0"/>
      <w:marTop w:val="0"/>
      <w:marBottom w:val="0"/>
      <w:divBdr>
        <w:top w:val="none" w:sz="0" w:space="0" w:color="auto"/>
        <w:left w:val="none" w:sz="0" w:space="0" w:color="auto"/>
        <w:bottom w:val="none" w:sz="0" w:space="0" w:color="auto"/>
        <w:right w:val="none" w:sz="0" w:space="0" w:color="auto"/>
      </w:divBdr>
      <w:divsChild>
        <w:div w:id="1616015670">
          <w:marLeft w:val="0"/>
          <w:marRight w:val="0"/>
          <w:marTop w:val="0"/>
          <w:marBottom w:val="0"/>
          <w:divBdr>
            <w:top w:val="none" w:sz="0" w:space="0" w:color="auto"/>
            <w:left w:val="none" w:sz="0" w:space="0" w:color="auto"/>
            <w:bottom w:val="none" w:sz="0" w:space="0" w:color="auto"/>
            <w:right w:val="none" w:sz="0" w:space="0" w:color="auto"/>
          </w:divBdr>
        </w:div>
      </w:divsChild>
    </w:div>
    <w:div w:id="1338071196">
      <w:bodyDiv w:val="1"/>
      <w:marLeft w:val="0"/>
      <w:marRight w:val="0"/>
      <w:marTop w:val="0"/>
      <w:marBottom w:val="0"/>
      <w:divBdr>
        <w:top w:val="none" w:sz="0" w:space="0" w:color="auto"/>
        <w:left w:val="none" w:sz="0" w:space="0" w:color="auto"/>
        <w:bottom w:val="none" w:sz="0" w:space="0" w:color="auto"/>
        <w:right w:val="none" w:sz="0" w:space="0" w:color="auto"/>
      </w:divBdr>
    </w:div>
    <w:div w:id="1346636478">
      <w:bodyDiv w:val="1"/>
      <w:marLeft w:val="0"/>
      <w:marRight w:val="0"/>
      <w:marTop w:val="0"/>
      <w:marBottom w:val="0"/>
      <w:divBdr>
        <w:top w:val="none" w:sz="0" w:space="0" w:color="auto"/>
        <w:left w:val="none" w:sz="0" w:space="0" w:color="auto"/>
        <w:bottom w:val="none" w:sz="0" w:space="0" w:color="auto"/>
        <w:right w:val="none" w:sz="0" w:space="0" w:color="auto"/>
      </w:divBdr>
    </w:div>
    <w:div w:id="1347173469">
      <w:bodyDiv w:val="1"/>
      <w:marLeft w:val="0"/>
      <w:marRight w:val="0"/>
      <w:marTop w:val="0"/>
      <w:marBottom w:val="0"/>
      <w:divBdr>
        <w:top w:val="none" w:sz="0" w:space="0" w:color="auto"/>
        <w:left w:val="none" w:sz="0" w:space="0" w:color="auto"/>
        <w:bottom w:val="none" w:sz="0" w:space="0" w:color="auto"/>
        <w:right w:val="none" w:sz="0" w:space="0" w:color="auto"/>
      </w:divBdr>
    </w:div>
    <w:div w:id="1348408265">
      <w:bodyDiv w:val="1"/>
      <w:marLeft w:val="0"/>
      <w:marRight w:val="0"/>
      <w:marTop w:val="0"/>
      <w:marBottom w:val="0"/>
      <w:divBdr>
        <w:top w:val="none" w:sz="0" w:space="0" w:color="auto"/>
        <w:left w:val="none" w:sz="0" w:space="0" w:color="auto"/>
        <w:bottom w:val="none" w:sz="0" w:space="0" w:color="auto"/>
        <w:right w:val="none" w:sz="0" w:space="0" w:color="auto"/>
      </w:divBdr>
      <w:divsChild>
        <w:div w:id="1264724456">
          <w:marLeft w:val="0"/>
          <w:marRight w:val="0"/>
          <w:marTop w:val="0"/>
          <w:marBottom w:val="0"/>
          <w:divBdr>
            <w:top w:val="none" w:sz="0" w:space="0" w:color="auto"/>
            <w:left w:val="none" w:sz="0" w:space="0" w:color="auto"/>
            <w:bottom w:val="none" w:sz="0" w:space="0" w:color="auto"/>
            <w:right w:val="none" w:sz="0" w:space="0" w:color="auto"/>
          </w:divBdr>
        </w:div>
      </w:divsChild>
    </w:div>
    <w:div w:id="1354109758">
      <w:bodyDiv w:val="1"/>
      <w:marLeft w:val="0"/>
      <w:marRight w:val="0"/>
      <w:marTop w:val="0"/>
      <w:marBottom w:val="0"/>
      <w:divBdr>
        <w:top w:val="none" w:sz="0" w:space="0" w:color="auto"/>
        <w:left w:val="none" w:sz="0" w:space="0" w:color="auto"/>
        <w:bottom w:val="none" w:sz="0" w:space="0" w:color="auto"/>
        <w:right w:val="none" w:sz="0" w:space="0" w:color="auto"/>
      </w:divBdr>
      <w:divsChild>
        <w:div w:id="312490907">
          <w:marLeft w:val="0"/>
          <w:marRight w:val="0"/>
          <w:marTop w:val="0"/>
          <w:marBottom w:val="0"/>
          <w:divBdr>
            <w:top w:val="none" w:sz="0" w:space="0" w:color="auto"/>
            <w:left w:val="none" w:sz="0" w:space="0" w:color="auto"/>
            <w:bottom w:val="none" w:sz="0" w:space="0" w:color="auto"/>
            <w:right w:val="none" w:sz="0" w:space="0" w:color="auto"/>
          </w:divBdr>
        </w:div>
      </w:divsChild>
    </w:div>
    <w:div w:id="1371757176">
      <w:bodyDiv w:val="1"/>
      <w:marLeft w:val="0"/>
      <w:marRight w:val="0"/>
      <w:marTop w:val="0"/>
      <w:marBottom w:val="0"/>
      <w:divBdr>
        <w:top w:val="none" w:sz="0" w:space="0" w:color="auto"/>
        <w:left w:val="none" w:sz="0" w:space="0" w:color="auto"/>
        <w:bottom w:val="none" w:sz="0" w:space="0" w:color="auto"/>
        <w:right w:val="none" w:sz="0" w:space="0" w:color="auto"/>
      </w:divBdr>
    </w:div>
    <w:div w:id="1373387670">
      <w:bodyDiv w:val="1"/>
      <w:marLeft w:val="0"/>
      <w:marRight w:val="0"/>
      <w:marTop w:val="0"/>
      <w:marBottom w:val="0"/>
      <w:divBdr>
        <w:top w:val="none" w:sz="0" w:space="0" w:color="auto"/>
        <w:left w:val="none" w:sz="0" w:space="0" w:color="auto"/>
        <w:bottom w:val="none" w:sz="0" w:space="0" w:color="auto"/>
        <w:right w:val="none" w:sz="0" w:space="0" w:color="auto"/>
      </w:divBdr>
    </w:div>
    <w:div w:id="1375159901">
      <w:bodyDiv w:val="1"/>
      <w:marLeft w:val="0"/>
      <w:marRight w:val="0"/>
      <w:marTop w:val="0"/>
      <w:marBottom w:val="0"/>
      <w:divBdr>
        <w:top w:val="none" w:sz="0" w:space="0" w:color="auto"/>
        <w:left w:val="none" w:sz="0" w:space="0" w:color="auto"/>
        <w:bottom w:val="none" w:sz="0" w:space="0" w:color="auto"/>
        <w:right w:val="none" w:sz="0" w:space="0" w:color="auto"/>
      </w:divBdr>
    </w:div>
    <w:div w:id="1405493065">
      <w:bodyDiv w:val="1"/>
      <w:marLeft w:val="0"/>
      <w:marRight w:val="0"/>
      <w:marTop w:val="0"/>
      <w:marBottom w:val="0"/>
      <w:divBdr>
        <w:top w:val="none" w:sz="0" w:space="0" w:color="auto"/>
        <w:left w:val="none" w:sz="0" w:space="0" w:color="auto"/>
        <w:bottom w:val="none" w:sz="0" w:space="0" w:color="auto"/>
        <w:right w:val="none" w:sz="0" w:space="0" w:color="auto"/>
      </w:divBdr>
    </w:div>
    <w:div w:id="1408380673">
      <w:bodyDiv w:val="1"/>
      <w:marLeft w:val="0"/>
      <w:marRight w:val="0"/>
      <w:marTop w:val="0"/>
      <w:marBottom w:val="0"/>
      <w:divBdr>
        <w:top w:val="none" w:sz="0" w:space="0" w:color="auto"/>
        <w:left w:val="none" w:sz="0" w:space="0" w:color="auto"/>
        <w:bottom w:val="none" w:sz="0" w:space="0" w:color="auto"/>
        <w:right w:val="none" w:sz="0" w:space="0" w:color="auto"/>
      </w:divBdr>
      <w:divsChild>
        <w:div w:id="393698239">
          <w:marLeft w:val="0"/>
          <w:marRight w:val="0"/>
          <w:marTop w:val="0"/>
          <w:marBottom w:val="0"/>
          <w:divBdr>
            <w:top w:val="none" w:sz="0" w:space="0" w:color="auto"/>
            <w:left w:val="none" w:sz="0" w:space="0" w:color="auto"/>
            <w:bottom w:val="none" w:sz="0" w:space="0" w:color="auto"/>
            <w:right w:val="none" w:sz="0" w:space="0" w:color="auto"/>
          </w:divBdr>
          <w:divsChild>
            <w:div w:id="568685500">
              <w:marLeft w:val="0"/>
              <w:marRight w:val="0"/>
              <w:marTop w:val="0"/>
              <w:marBottom w:val="0"/>
              <w:divBdr>
                <w:top w:val="none" w:sz="0" w:space="0" w:color="auto"/>
                <w:left w:val="none" w:sz="0" w:space="0" w:color="auto"/>
                <w:bottom w:val="none" w:sz="0" w:space="0" w:color="auto"/>
                <w:right w:val="none" w:sz="0" w:space="0" w:color="auto"/>
              </w:divBdr>
              <w:divsChild>
                <w:div w:id="1471635487">
                  <w:marLeft w:val="0"/>
                  <w:marRight w:val="0"/>
                  <w:marTop w:val="0"/>
                  <w:marBottom w:val="0"/>
                  <w:divBdr>
                    <w:top w:val="none" w:sz="0" w:space="0" w:color="auto"/>
                    <w:left w:val="none" w:sz="0" w:space="0" w:color="auto"/>
                    <w:bottom w:val="none" w:sz="0" w:space="0" w:color="auto"/>
                    <w:right w:val="none" w:sz="0" w:space="0" w:color="auto"/>
                  </w:divBdr>
                  <w:divsChild>
                    <w:div w:id="943415508">
                      <w:marLeft w:val="0"/>
                      <w:marRight w:val="0"/>
                      <w:marTop w:val="0"/>
                      <w:marBottom w:val="0"/>
                      <w:divBdr>
                        <w:top w:val="none" w:sz="0" w:space="0" w:color="auto"/>
                        <w:left w:val="none" w:sz="0" w:space="0" w:color="auto"/>
                        <w:bottom w:val="none" w:sz="0" w:space="0" w:color="auto"/>
                        <w:right w:val="none" w:sz="0" w:space="0" w:color="auto"/>
                      </w:divBdr>
                      <w:divsChild>
                        <w:div w:id="2059431541">
                          <w:marLeft w:val="0"/>
                          <w:marRight w:val="0"/>
                          <w:marTop w:val="0"/>
                          <w:marBottom w:val="0"/>
                          <w:divBdr>
                            <w:top w:val="none" w:sz="0" w:space="0" w:color="auto"/>
                            <w:left w:val="none" w:sz="0" w:space="0" w:color="auto"/>
                            <w:bottom w:val="none" w:sz="0" w:space="0" w:color="auto"/>
                            <w:right w:val="none" w:sz="0" w:space="0" w:color="auto"/>
                          </w:divBdr>
                          <w:divsChild>
                            <w:div w:id="1194273651">
                              <w:marLeft w:val="0"/>
                              <w:marRight w:val="0"/>
                              <w:marTop w:val="0"/>
                              <w:marBottom w:val="0"/>
                              <w:divBdr>
                                <w:top w:val="none" w:sz="0" w:space="0" w:color="auto"/>
                                <w:left w:val="none" w:sz="0" w:space="0" w:color="auto"/>
                                <w:bottom w:val="none" w:sz="0" w:space="0" w:color="auto"/>
                                <w:right w:val="none" w:sz="0" w:space="0" w:color="auto"/>
                              </w:divBdr>
                              <w:divsChild>
                                <w:div w:id="103965705">
                                  <w:marLeft w:val="0"/>
                                  <w:marRight w:val="0"/>
                                  <w:marTop w:val="0"/>
                                  <w:marBottom w:val="0"/>
                                  <w:divBdr>
                                    <w:top w:val="none" w:sz="0" w:space="0" w:color="auto"/>
                                    <w:left w:val="none" w:sz="0" w:space="0" w:color="auto"/>
                                    <w:bottom w:val="none" w:sz="0" w:space="0" w:color="auto"/>
                                    <w:right w:val="none" w:sz="0" w:space="0" w:color="auto"/>
                                  </w:divBdr>
                                  <w:divsChild>
                                    <w:div w:id="1273585344">
                                      <w:marLeft w:val="0"/>
                                      <w:marRight w:val="0"/>
                                      <w:marTop w:val="0"/>
                                      <w:marBottom w:val="0"/>
                                      <w:divBdr>
                                        <w:top w:val="none" w:sz="0" w:space="0" w:color="auto"/>
                                        <w:left w:val="none" w:sz="0" w:space="0" w:color="auto"/>
                                        <w:bottom w:val="none" w:sz="0" w:space="0" w:color="auto"/>
                                        <w:right w:val="none" w:sz="0" w:space="0" w:color="auto"/>
                                      </w:divBdr>
                                      <w:divsChild>
                                        <w:div w:id="1627813348">
                                          <w:marLeft w:val="0"/>
                                          <w:marRight w:val="0"/>
                                          <w:marTop w:val="0"/>
                                          <w:marBottom w:val="0"/>
                                          <w:divBdr>
                                            <w:top w:val="none" w:sz="0" w:space="0" w:color="auto"/>
                                            <w:left w:val="none" w:sz="0" w:space="0" w:color="auto"/>
                                            <w:bottom w:val="none" w:sz="0" w:space="0" w:color="auto"/>
                                            <w:right w:val="none" w:sz="0" w:space="0" w:color="auto"/>
                                          </w:divBdr>
                                          <w:divsChild>
                                            <w:div w:id="1630471548">
                                              <w:marLeft w:val="0"/>
                                              <w:marRight w:val="0"/>
                                              <w:marTop w:val="0"/>
                                              <w:marBottom w:val="0"/>
                                              <w:divBdr>
                                                <w:top w:val="none" w:sz="0" w:space="0" w:color="auto"/>
                                                <w:left w:val="none" w:sz="0" w:space="0" w:color="auto"/>
                                                <w:bottom w:val="none" w:sz="0" w:space="0" w:color="auto"/>
                                                <w:right w:val="none" w:sz="0" w:space="0" w:color="auto"/>
                                              </w:divBdr>
                                              <w:divsChild>
                                                <w:div w:id="716469135">
                                                  <w:marLeft w:val="0"/>
                                                  <w:marRight w:val="0"/>
                                                  <w:marTop w:val="0"/>
                                                  <w:marBottom w:val="0"/>
                                                  <w:divBdr>
                                                    <w:top w:val="none" w:sz="0" w:space="0" w:color="auto"/>
                                                    <w:left w:val="none" w:sz="0" w:space="0" w:color="auto"/>
                                                    <w:bottom w:val="none" w:sz="0" w:space="0" w:color="auto"/>
                                                    <w:right w:val="none" w:sz="0" w:space="0" w:color="auto"/>
                                                  </w:divBdr>
                                                  <w:divsChild>
                                                    <w:div w:id="138766458">
                                                      <w:marLeft w:val="0"/>
                                                      <w:marRight w:val="0"/>
                                                      <w:marTop w:val="0"/>
                                                      <w:marBottom w:val="0"/>
                                                      <w:divBdr>
                                                        <w:top w:val="none" w:sz="0" w:space="0" w:color="auto"/>
                                                        <w:left w:val="none" w:sz="0" w:space="0" w:color="auto"/>
                                                        <w:bottom w:val="none" w:sz="0" w:space="0" w:color="auto"/>
                                                        <w:right w:val="none" w:sz="0" w:space="0" w:color="auto"/>
                                                      </w:divBdr>
                                                      <w:divsChild>
                                                        <w:div w:id="136537412">
                                                          <w:marLeft w:val="0"/>
                                                          <w:marRight w:val="0"/>
                                                          <w:marTop w:val="0"/>
                                                          <w:marBottom w:val="0"/>
                                                          <w:divBdr>
                                                            <w:top w:val="none" w:sz="0" w:space="0" w:color="auto"/>
                                                            <w:left w:val="none" w:sz="0" w:space="0" w:color="auto"/>
                                                            <w:bottom w:val="none" w:sz="0" w:space="0" w:color="auto"/>
                                                            <w:right w:val="none" w:sz="0" w:space="0" w:color="auto"/>
                                                          </w:divBdr>
                                                          <w:divsChild>
                                                            <w:div w:id="1414283352">
                                                              <w:marLeft w:val="0"/>
                                                              <w:marRight w:val="0"/>
                                                              <w:marTop w:val="0"/>
                                                              <w:marBottom w:val="0"/>
                                                              <w:divBdr>
                                                                <w:top w:val="none" w:sz="0" w:space="0" w:color="auto"/>
                                                                <w:left w:val="none" w:sz="0" w:space="0" w:color="auto"/>
                                                                <w:bottom w:val="none" w:sz="0" w:space="0" w:color="auto"/>
                                                                <w:right w:val="none" w:sz="0" w:space="0" w:color="auto"/>
                                                              </w:divBdr>
                                                              <w:divsChild>
                                                                <w:div w:id="5762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17241709">
      <w:bodyDiv w:val="1"/>
      <w:marLeft w:val="0"/>
      <w:marRight w:val="0"/>
      <w:marTop w:val="0"/>
      <w:marBottom w:val="0"/>
      <w:divBdr>
        <w:top w:val="none" w:sz="0" w:space="0" w:color="auto"/>
        <w:left w:val="none" w:sz="0" w:space="0" w:color="auto"/>
        <w:bottom w:val="none" w:sz="0" w:space="0" w:color="auto"/>
        <w:right w:val="none" w:sz="0" w:space="0" w:color="auto"/>
      </w:divBdr>
    </w:div>
    <w:div w:id="1418138628">
      <w:bodyDiv w:val="1"/>
      <w:marLeft w:val="0"/>
      <w:marRight w:val="0"/>
      <w:marTop w:val="0"/>
      <w:marBottom w:val="0"/>
      <w:divBdr>
        <w:top w:val="none" w:sz="0" w:space="0" w:color="auto"/>
        <w:left w:val="none" w:sz="0" w:space="0" w:color="auto"/>
        <w:bottom w:val="none" w:sz="0" w:space="0" w:color="auto"/>
        <w:right w:val="none" w:sz="0" w:space="0" w:color="auto"/>
      </w:divBdr>
    </w:div>
    <w:div w:id="1421565258">
      <w:bodyDiv w:val="1"/>
      <w:marLeft w:val="0"/>
      <w:marRight w:val="0"/>
      <w:marTop w:val="0"/>
      <w:marBottom w:val="0"/>
      <w:divBdr>
        <w:top w:val="none" w:sz="0" w:space="0" w:color="auto"/>
        <w:left w:val="none" w:sz="0" w:space="0" w:color="auto"/>
        <w:bottom w:val="none" w:sz="0" w:space="0" w:color="auto"/>
        <w:right w:val="none" w:sz="0" w:space="0" w:color="auto"/>
      </w:divBdr>
    </w:div>
    <w:div w:id="1423800600">
      <w:bodyDiv w:val="1"/>
      <w:marLeft w:val="0"/>
      <w:marRight w:val="0"/>
      <w:marTop w:val="0"/>
      <w:marBottom w:val="0"/>
      <w:divBdr>
        <w:top w:val="none" w:sz="0" w:space="0" w:color="auto"/>
        <w:left w:val="none" w:sz="0" w:space="0" w:color="auto"/>
        <w:bottom w:val="none" w:sz="0" w:space="0" w:color="auto"/>
        <w:right w:val="none" w:sz="0" w:space="0" w:color="auto"/>
      </w:divBdr>
    </w:div>
    <w:div w:id="1445464174">
      <w:bodyDiv w:val="1"/>
      <w:marLeft w:val="0"/>
      <w:marRight w:val="0"/>
      <w:marTop w:val="0"/>
      <w:marBottom w:val="0"/>
      <w:divBdr>
        <w:top w:val="none" w:sz="0" w:space="0" w:color="auto"/>
        <w:left w:val="none" w:sz="0" w:space="0" w:color="auto"/>
        <w:bottom w:val="none" w:sz="0" w:space="0" w:color="auto"/>
        <w:right w:val="none" w:sz="0" w:space="0" w:color="auto"/>
      </w:divBdr>
    </w:div>
    <w:div w:id="1446657379">
      <w:bodyDiv w:val="1"/>
      <w:marLeft w:val="0"/>
      <w:marRight w:val="0"/>
      <w:marTop w:val="0"/>
      <w:marBottom w:val="0"/>
      <w:divBdr>
        <w:top w:val="none" w:sz="0" w:space="0" w:color="auto"/>
        <w:left w:val="none" w:sz="0" w:space="0" w:color="auto"/>
        <w:bottom w:val="none" w:sz="0" w:space="0" w:color="auto"/>
        <w:right w:val="none" w:sz="0" w:space="0" w:color="auto"/>
      </w:divBdr>
    </w:div>
    <w:div w:id="1450397629">
      <w:bodyDiv w:val="1"/>
      <w:marLeft w:val="0"/>
      <w:marRight w:val="0"/>
      <w:marTop w:val="0"/>
      <w:marBottom w:val="0"/>
      <w:divBdr>
        <w:top w:val="none" w:sz="0" w:space="0" w:color="auto"/>
        <w:left w:val="none" w:sz="0" w:space="0" w:color="auto"/>
        <w:bottom w:val="none" w:sz="0" w:space="0" w:color="auto"/>
        <w:right w:val="none" w:sz="0" w:space="0" w:color="auto"/>
      </w:divBdr>
    </w:div>
    <w:div w:id="1454514301">
      <w:bodyDiv w:val="1"/>
      <w:marLeft w:val="0"/>
      <w:marRight w:val="0"/>
      <w:marTop w:val="0"/>
      <w:marBottom w:val="0"/>
      <w:divBdr>
        <w:top w:val="none" w:sz="0" w:space="0" w:color="auto"/>
        <w:left w:val="none" w:sz="0" w:space="0" w:color="auto"/>
        <w:bottom w:val="none" w:sz="0" w:space="0" w:color="auto"/>
        <w:right w:val="none" w:sz="0" w:space="0" w:color="auto"/>
      </w:divBdr>
    </w:div>
    <w:div w:id="1463844618">
      <w:bodyDiv w:val="1"/>
      <w:marLeft w:val="0"/>
      <w:marRight w:val="0"/>
      <w:marTop w:val="0"/>
      <w:marBottom w:val="0"/>
      <w:divBdr>
        <w:top w:val="none" w:sz="0" w:space="0" w:color="auto"/>
        <w:left w:val="none" w:sz="0" w:space="0" w:color="auto"/>
        <w:bottom w:val="none" w:sz="0" w:space="0" w:color="auto"/>
        <w:right w:val="none" w:sz="0" w:space="0" w:color="auto"/>
      </w:divBdr>
    </w:div>
    <w:div w:id="1470392504">
      <w:bodyDiv w:val="1"/>
      <w:marLeft w:val="0"/>
      <w:marRight w:val="0"/>
      <w:marTop w:val="0"/>
      <w:marBottom w:val="0"/>
      <w:divBdr>
        <w:top w:val="none" w:sz="0" w:space="0" w:color="auto"/>
        <w:left w:val="none" w:sz="0" w:space="0" w:color="auto"/>
        <w:bottom w:val="none" w:sz="0" w:space="0" w:color="auto"/>
        <w:right w:val="none" w:sz="0" w:space="0" w:color="auto"/>
      </w:divBdr>
    </w:div>
    <w:div w:id="1473063901">
      <w:bodyDiv w:val="1"/>
      <w:marLeft w:val="0"/>
      <w:marRight w:val="0"/>
      <w:marTop w:val="0"/>
      <w:marBottom w:val="0"/>
      <w:divBdr>
        <w:top w:val="none" w:sz="0" w:space="0" w:color="auto"/>
        <w:left w:val="none" w:sz="0" w:space="0" w:color="auto"/>
        <w:bottom w:val="none" w:sz="0" w:space="0" w:color="auto"/>
        <w:right w:val="none" w:sz="0" w:space="0" w:color="auto"/>
      </w:divBdr>
    </w:div>
    <w:div w:id="1473215413">
      <w:bodyDiv w:val="1"/>
      <w:marLeft w:val="0"/>
      <w:marRight w:val="0"/>
      <w:marTop w:val="0"/>
      <w:marBottom w:val="0"/>
      <w:divBdr>
        <w:top w:val="none" w:sz="0" w:space="0" w:color="auto"/>
        <w:left w:val="none" w:sz="0" w:space="0" w:color="auto"/>
        <w:bottom w:val="none" w:sz="0" w:space="0" w:color="auto"/>
        <w:right w:val="none" w:sz="0" w:space="0" w:color="auto"/>
      </w:divBdr>
    </w:div>
    <w:div w:id="1478566920">
      <w:bodyDiv w:val="1"/>
      <w:marLeft w:val="0"/>
      <w:marRight w:val="0"/>
      <w:marTop w:val="0"/>
      <w:marBottom w:val="0"/>
      <w:divBdr>
        <w:top w:val="none" w:sz="0" w:space="0" w:color="auto"/>
        <w:left w:val="none" w:sz="0" w:space="0" w:color="auto"/>
        <w:bottom w:val="none" w:sz="0" w:space="0" w:color="auto"/>
        <w:right w:val="none" w:sz="0" w:space="0" w:color="auto"/>
      </w:divBdr>
    </w:div>
    <w:div w:id="1489402088">
      <w:bodyDiv w:val="1"/>
      <w:marLeft w:val="0"/>
      <w:marRight w:val="0"/>
      <w:marTop w:val="0"/>
      <w:marBottom w:val="0"/>
      <w:divBdr>
        <w:top w:val="none" w:sz="0" w:space="0" w:color="auto"/>
        <w:left w:val="none" w:sz="0" w:space="0" w:color="auto"/>
        <w:bottom w:val="none" w:sz="0" w:space="0" w:color="auto"/>
        <w:right w:val="none" w:sz="0" w:space="0" w:color="auto"/>
      </w:divBdr>
      <w:divsChild>
        <w:div w:id="1273172588">
          <w:marLeft w:val="0"/>
          <w:marRight w:val="0"/>
          <w:marTop w:val="0"/>
          <w:marBottom w:val="0"/>
          <w:divBdr>
            <w:top w:val="none" w:sz="0" w:space="0" w:color="auto"/>
            <w:left w:val="none" w:sz="0" w:space="0" w:color="auto"/>
            <w:bottom w:val="none" w:sz="0" w:space="0" w:color="auto"/>
            <w:right w:val="none" w:sz="0" w:space="0" w:color="auto"/>
          </w:divBdr>
        </w:div>
      </w:divsChild>
    </w:div>
    <w:div w:id="1496383580">
      <w:bodyDiv w:val="1"/>
      <w:marLeft w:val="0"/>
      <w:marRight w:val="0"/>
      <w:marTop w:val="0"/>
      <w:marBottom w:val="0"/>
      <w:divBdr>
        <w:top w:val="none" w:sz="0" w:space="0" w:color="auto"/>
        <w:left w:val="none" w:sz="0" w:space="0" w:color="auto"/>
        <w:bottom w:val="none" w:sz="0" w:space="0" w:color="auto"/>
        <w:right w:val="none" w:sz="0" w:space="0" w:color="auto"/>
      </w:divBdr>
    </w:div>
    <w:div w:id="1497768175">
      <w:bodyDiv w:val="1"/>
      <w:marLeft w:val="0"/>
      <w:marRight w:val="0"/>
      <w:marTop w:val="0"/>
      <w:marBottom w:val="0"/>
      <w:divBdr>
        <w:top w:val="none" w:sz="0" w:space="0" w:color="auto"/>
        <w:left w:val="none" w:sz="0" w:space="0" w:color="auto"/>
        <w:bottom w:val="none" w:sz="0" w:space="0" w:color="auto"/>
        <w:right w:val="none" w:sz="0" w:space="0" w:color="auto"/>
      </w:divBdr>
    </w:div>
    <w:div w:id="1498765545">
      <w:bodyDiv w:val="1"/>
      <w:marLeft w:val="0"/>
      <w:marRight w:val="0"/>
      <w:marTop w:val="0"/>
      <w:marBottom w:val="0"/>
      <w:divBdr>
        <w:top w:val="none" w:sz="0" w:space="0" w:color="auto"/>
        <w:left w:val="none" w:sz="0" w:space="0" w:color="auto"/>
        <w:bottom w:val="none" w:sz="0" w:space="0" w:color="auto"/>
        <w:right w:val="none" w:sz="0" w:space="0" w:color="auto"/>
      </w:divBdr>
    </w:div>
    <w:div w:id="1512336654">
      <w:bodyDiv w:val="1"/>
      <w:marLeft w:val="0"/>
      <w:marRight w:val="0"/>
      <w:marTop w:val="0"/>
      <w:marBottom w:val="0"/>
      <w:divBdr>
        <w:top w:val="none" w:sz="0" w:space="0" w:color="auto"/>
        <w:left w:val="none" w:sz="0" w:space="0" w:color="auto"/>
        <w:bottom w:val="none" w:sz="0" w:space="0" w:color="auto"/>
        <w:right w:val="none" w:sz="0" w:space="0" w:color="auto"/>
      </w:divBdr>
    </w:div>
    <w:div w:id="1519931240">
      <w:bodyDiv w:val="1"/>
      <w:marLeft w:val="0"/>
      <w:marRight w:val="0"/>
      <w:marTop w:val="0"/>
      <w:marBottom w:val="0"/>
      <w:divBdr>
        <w:top w:val="none" w:sz="0" w:space="0" w:color="auto"/>
        <w:left w:val="none" w:sz="0" w:space="0" w:color="auto"/>
        <w:bottom w:val="none" w:sz="0" w:space="0" w:color="auto"/>
        <w:right w:val="none" w:sz="0" w:space="0" w:color="auto"/>
      </w:divBdr>
    </w:div>
    <w:div w:id="1520848209">
      <w:bodyDiv w:val="1"/>
      <w:marLeft w:val="0"/>
      <w:marRight w:val="0"/>
      <w:marTop w:val="0"/>
      <w:marBottom w:val="0"/>
      <w:divBdr>
        <w:top w:val="none" w:sz="0" w:space="0" w:color="auto"/>
        <w:left w:val="none" w:sz="0" w:space="0" w:color="auto"/>
        <w:bottom w:val="none" w:sz="0" w:space="0" w:color="auto"/>
        <w:right w:val="none" w:sz="0" w:space="0" w:color="auto"/>
      </w:divBdr>
    </w:div>
    <w:div w:id="1521091828">
      <w:bodyDiv w:val="1"/>
      <w:marLeft w:val="0"/>
      <w:marRight w:val="0"/>
      <w:marTop w:val="0"/>
      <w:marBottom w:val="0"/>
      <w:divBdr>
        <w:top w:val="none" w:sz="0" w:space="0" w:color="auto"/>
        <w:left w:val="none" w:sz="0" w:space="0" w:color="auto"/>
        <w:bottom w:val="none" w:sz="0" w:space="0" w:color="auto"/>
        <w:right w:val="none" w:sz="0" w:space="0" w:color="auto"/>
      </w:divBdr>
    </w:div>
    <w:div w:id="1524048984">
      <w:bodyDiv w:val="1"/>
      <w:marLeft w:val="0"/>
      <w:marRight w:val="0"/>
      <w:marTop w:val="0"/>
      <w:marBottom w:val="0"/>
      <w:divBdr>
        <w:top w:val="none" w:sz="0" w:space="0" w:color="auto"/>
        <w:left w:val="none" w:sz="0" w:space="0" w:color="auto"/>
        <w:bottom w:val="none" w:sz="0" w:space="0" w:color="auto"/>
        <w:right w:val="none" w:sz="0" w:space="0" w:color="auto"/>
      </w:divBdr>
    </w:div>
    <w:div w:id="1525165887">
      <w:bodyDiv w:val="1"/>
      <w:marLeft w:val="0"/>
      <w:marRight w:val="0"/>
      <w:marTop w:val="0"/>
      <w:marBottom w:val="0"/>
      <w:divBdr>
        <w:top w:val="none" w:sz="0" w:space="0" w:color="auto"/>
        <w:left w:val="none" w:sz="0" w:space="0" w:color="auto"/>
        <w:bottom w:val="none" w:sz="0" w:space="0" w:color="auto"/>
        <w:right w:val="none" w:sz="0" w:space="0" w:color="auto"/>
      </w:divBdr>
    </w:div>
    <w:div w:id="1545365344">
      <w:bodyDiv w:val="1"/>
      <w:marLeft w:val="0"/>
      <w:marRight w:val="0"/>
      <w:marTop w:val="0"/>
      <w:marBottom w:val="0"/>
      <w:divBdr>
        <w:top w:val="none" w:sz="0" w:space="0" w:color="auto"/>
        <w:left w:val="none" w:sz="0" w:space="0" w:color="auto"/>
        <w:bottom w:val="none" w:sz="0" w:space="0" w:color="auto"/>
        <w:right w:val="none" w:sz="0" w:space="0" w:color="auto"/>
      </w:divBdr>
    </w:div>
    <w:div w:id="1546798353">
      <w:bodyDiv w:val="1"/>
      <w:marLeft w:val="0"/>
      <w:marRight w:val="0"/>
      <w:marTop w:val="0"/>
      <w:marBottom w:val="0"/>
      <w:divBdr>
        <w:top w:val="none" w:sz="0" w:space="0" w:color="auto"/>
        <w:left w:val="none" w:sz="0" w:space="0" w:color="auto"/>
        <w:bottom w:val="none" w:sz="0" w:space="0" w:color="auto"/>
        <w:right w:val="none" w:sz="0" w:space="0" w:color="auto"/>
      </w:divBdr>
    </w:div>
    <w:div w:id="1547720399">
      <w:bodyDiv w:val="1"/>
      <w:marLeft w:val="0"/>
      <w:marRight w:val="0"/>
      <w:marTop w:val="0"/>
      <w:marBottom w:val="0"/>
      <w:divBdr>
        <w:top w:val="none" w:sz="0" w:space="0" w:color="auto"/>
        <w:left w:val="none" w:sz="0" w:space="0" w:color="auto"/>
        <w:bottom w:val="none" w:sz="0" w:space="0" w:color="auto"/>
        <w:right w:val="none" w:sz="0" w:space="0" w:color="auto"/>
      </w:divBdr>
    </w:div>
    <w:div w:id="1566988084">
      <w:bodyDiv w:val="1"/>
      <w:marLeft w:val="0"/>
      <w:marRight w:val="0"/>
      <w:marTop w:val="0"/>
      <w:marBottom w:val="0"/>
      <w:divBdr>
        <w:top w:val="none" w:sz="0" w:space="0" w:color="auto"/>
        <w:left w:val="none" w:sz="0" w:space="0" w:color="auto"/>
        <w:bottom w:val="none" w:sz="0" w:space="0" w:color="auto"/>
        <w:right w:val="none" w:sz="0" w:space="0" w:color="auto"/>
      </w:divBdr>
    </w:div>
    <w:div w:id="1567913852">
      <w:bodyDiv w:val="1"/>
      <w:marLeft w:val="0"/>
      <w:marRight w:val="0"/>
      <w:marTop w:val="0"/>
      <w:marBottom w:val="0"/>
      <w:divBdr>
        <w:top w:val="none" w:sz="0" w:space="0" w:color="auto"/>
        <w:left w:val="none" w:sz="0" w:space="0" w:color="auto"/>
        <w:bottom w:val="none" w:sz="0" w:space="0" w:color="auto"/>
        <w:right w:val="none" w:sz="0" w:space="0" w:color="auto"/>
      </w:divBdr>
    </w:div>
    <w:div w:id="1579904987">
      <w:bodyDiv w:val="1"/>
      <w:marLeft w:val="0"/>
      <w:marRight w:val="0"/>
      <w:marTop w:val="0"/>
      <w:marBottom w:val="0"/>
      <w:divBdr>
        <w:top w:val="none" w:sz="0" w:space="0" w:color="auto"/>
        <w:left w:val="none" w:sz="0" w:space="0" w:color="auto"/>
        <w:bottom w:val="none" w:sz="0" w:space="0" w:color="auto"/>
        <w:right w:val="none" w:sz="0" w:space="0" w:color="auto"/>
      </w:divBdr>
    </w:div>
    <w:div w:id="1590121351">
      <w:bodyDiv w:val="1"/>
      <w:marLeft w:val="0"/>
      <w:marRight w:val="0"/>
      <w:marTop w:val="0"/>
      <w:marBottom w:val="0"/>
      <w:divBdr>
        <w:top w:val="none" w:sz="0" w:space="0" w:color="auto"/>
        <w:left w:val="none" w:sz="0" w:space="0" w:color="auto"/>
        <w:bottom w:val="none" w:sz="0" w:space="0" w:color="auto"/>
        <w:right w:val="none" w:sz="0" w:space="0" w:color="auto"/>
      </w:divBdr>
    </w:div>
    <w:div w:id="1599823477">
      <w:bodyDiv w:val="1"/>
      <w:marLeft w:val="0"/>
      <w:marRight w:val="0"/>
      <w:marTop w:val="0"/>
      <w:marBottom w:val="0"/>
      <w:divBdr>
        <w:top w:val="none" w:sz="0" w:space="0" w:color="auto"/>
        <w:left w:val="none" w:sz="0" w:space="0" w:color="auto"/>
        <w:bottom w:val="none" w:sz="0" w:space="0" w:color="auto"/>
        <w:right w:val="none" w:sz="0" w:space="0" w:color="auto"/>
      </w:divBdr>
    </w:div>
    <w:div w:id="1608391179">
      <w:bodyDiv w:val="1"/>
      <w:marLeft w:val="0"/>
      <w:marRight w:val="0"/>
      <w:marTop w:val="0"/>
      <w:marBottom w:val="0"/>
      <w:divBdr>
        <w:top w:val="none" w:sz="0" w:space="0" w:color="auto"/>
        <w:left w:val="none" w:sz="0" w:space="0" w:color="auto"/>
        <w:bottom w:val="none" w:sz="0" w:space="0" w:color="auto"/>
        <w:right w:val="none" w:sz="0" w:space="0" w:color="auto"/>
      </w:divBdr>
    </w:div>
    <w:div w:id="1611279106">
      <w:bodyDiv w:val="1"/>
      <w:marLeft w:val="0"/>
      <w:marRight w:val="0"/>
      <w:marTop w:val="0"/>
      <w:marBottom w:val="0"/>
      <w:divBdr>
        <w:top w:val="none" w:sz="0" w:space="0" w:color="auto"/>
        <w:left w:val="none" w:sz="0" w:space="0" w:color="auto"/>
        <w:bottom w:val="none" w:sz="0" w:space="0" w:color="auto"/>
        <w:right w:val="none" w:sz="0" w:space="0" w:color="auto"/>
      </w:divBdr>
    </w:div>
    <w:div w:id="1615404224">
      <w:bodyDiv w:val="1"/>
      <w:marLeft w:val="0"/>
      <w:marRight w:val="0"/>
      <w:marTop w:val="0"/>
      <w:marBottom w:val="0"/>
      <w:divBdr>
        <w:top w:val="none" w:sz="0" w:space="0" w:color="auto"/>
        <w:left w:val="none" w:sz="0" w:space="0" w:color="auto"/>
        <w:bottom w:val="none" w:sz="0" w:space="0" w:color="auto"/>
        <w:right w:val="none" w:sz="0" w:space="0" w:color="auto"/>
      </w:divBdr>
    </w:div>
    <w:div w:id="1617369063">
      <w:bodyDiv w:val="1"/>
      <w:marLeft w:val="0"/>
      <w:marRight w:val="0"/>
      <w:marTop w:val="0"/>
      <w:marBottom w:val="0"/>
      <w:divBdr>
        <w:top w:val="none" w:sz="0" w:space="0" w:color="auto"/>
        <w:left w:val="none" w:sz="0" w:space="0" w:color="auto"/>
        <w:bottom w:val="none" w:sz="0" w:space="0" w:color="auto"/>
        <w:right w:val="none" w:sz="0" w:space="0" w:color="auto"/>
      </w:divBdr>
    </w:div>
    <w:div w:id="1625497749">
      <w:bodyDiv w:val="1"/>
      <w:marLeft w:val="0"/>
      <w:marRight w:val="0"/>
      <w:marTop w:val="0"/>
      <w:marBottom w:val="0"/>
      <w:divBdr>
        <w:top w:val="none" w:sz="0" w:space="0" w:color="auto"/>
        <w:left w:val="none" w:sz="0" w:space="0" w:color="auto"/>
        <w:bottom w:val="none" w:sz="0" w:space="0" w:color="auto"/>
        <w:right w:val="none" w:sz="0" w:space="0" w:color="auto"/>
      </w:divBdr>
    </w:div>
    <w:div w:id="1629431909">
      <w:bodyDiv w:val="1"/>
      <w:marLeft w:val="0"/>
      <w:marRight w:val="0"/>
      <w:marTop w:val="0"/>
      <w:marBottom w:val="0"/>
      <w:divBdr>
        <w:top w:val="none" w:sz="0" w:space="0" w:color="auto"/>
        <w:left w:val="none" w:sz="0" w:space="0" w:color="auto"/>
        <w:bottom w:val="none" w:sz="0" w:space="0" w:color="auto"/>
        <w:right w:val="none" w:sz="0" w:space="0" w:color="auto"/>
      </w:divBdr>
      <w:divsChild>
        <w:div w:id="174079790">
          <w:marLeft w:val="0"/>
          <w:marRight w:val="0"/>
          <w:marTop w:val="0"/>
          <w:marBottom w:val="0"/>
          <w:divBdr>
            <w:top w:val="none" w:sz="0" w:space="0" w:color="auto"/>
            <w:left w:val="none" w:sz="0" w:space="0" w:color="auto"/>
            <w:bottom w:val="none" w:sz="0" w:space="0" w:color="auto"/>
            <w:right w:val="none" w:sz="0" w:space="0" w:color="auto"/>
          </w:divBdr>
        </w:div>
      </w:divsChild>
    </w:div>
    <w:div w:id="1631520571">
      <w:bodyDiv w:val="1"/>
      <w:marLeft w:val="0"/>
      <w:marRight w:val="0"/>
      <w:marTop w:val="0"/>
      <w:marBottom w:val="0"/>
      <w:divBdr>
        <w:top w:val="none" w:sz="0" w:space="0" w:color="auto"/>
        <w:left w:val="none" w:sz="0" w:space="0" w:color="auto"/>
        <w:bottom w:val="none" w:sz="0" w:space="0" w:color="auto"/>
        <w:right w:val="none" w:sz="0" w:space="0" w:color="auto"/>
      </w:divBdr>
    </w:div>
    <w:div w:id="1638340186">
      <w:bodyDiv w:val="1"/>
      <w:marLeft w:val="0"/>
      <w:marRight w:val="0"/>
      <w:marTop w:val="0"/>
      <w:marBottom w:val="0"/>
      <w:divBdr>
        <w:top w:val="none" w:sz="0" w:space="0" w:color="auto"/>
        <w:left w:val="none" w:sz="0" w:space="0" w:color="auto"/>
        <w:bottom w:val="none" w:sz="0" w:space="0" w:color="auto"/>
        <w:right w:val="none" w:sz="0" w:space="0" w:color="auto"/>
      </w:divBdr>
    </w:div>
    <w:div w:id="1644577595">
      <w:bodyDiv w:val="1"/>
      <w:marLeft w:val="0"/>
      <w:marRight w:val="0"/>
      <w:marTop w:val="0"/>
      <w:marBottom w:val="0"/>
      <w:divBdr>
        <w:top w:val="none" w:sz="0" w:space="0" w:color="auto"/>
        <w:left w:val="none" w:sz="0" w:space="0" w:color="auto"/>
        <w:bottom w:val="none" w:sz="0" w:space="0" w:color="auto"/>
        <w:right w:val="none" w:sz="0" w:space="0" w:color="auto"/>
      </w:divBdr>
    </w:div>
    <w:div w:id="1648899676">
      <w:bodyDiv w:val="1"/>
      <w:marLeft w:val="0"/>
      <w:marRight w:val="0"/>
      <w:marTop w:val="0"/>
      <w:marBottom w:val="0"/>
      <w:divBdr>
        <w:top w:val="none" w:sz="0" w:space="0" w:color="auto"/>
        <w:left w:val="none" w:sz="0" w:space="0" w:color="auto"/>
        <w:bottom w:val="none" w:sz="0" w:space="0" w:color="auto"/>
        <w:right w:val="none" w:sz="0" w:space="0" w:color="auto"/>
      </w:divBdr>
    </w:div>
    <w:div w:id="1649092094">
      <w:bodyDiv w:val="1"/>
      <w:marLeft w:val="0"/>
      <w:marRight w:val="0"/>
      <w:marTop w:val="0"/>
      <w:marBottom w:val="0"/>
      <w:divBdr>
        <w:top w:val="none" w:sz="0" w:space="0" w:color="auto"/>
        <w:left w:val="none" w:sz="0" w:space="0" w:color="auto"/>
        <w:bottom w:val="none" w:sz="0" w:space="0" w:color="auto"/>
        <w:right w:val="none" w:sz="0" w:space="0" w:color="auto"/>
      </w:divBdr>
    </w:div>
    <w:div w:id="1654992751">
      <w:bodyDiv w:val="1"/>
      <w:marLeft w:val="0"/>
      <w:marRight w:val="0"/>
      <w:marTop w:val="0"/>
      <w:marBottom w:val="0"/>
      <w:divBdr>
        <w:top w:val="none" w:sz="0" w:space="0" w:color="auto"/>
        <w:left w:val="none" w:sz="0" w:space="0" w:color="auto"/>
        <w:bottom w:val="none" w:sz="0" w:space="0" w:color="auto"/>
        <w:right w:val="none" w:sz="0" w:space="0" w:color="auto"/>
      </w:divBdr>
    </w:div>
    <w:div w:id="1655530483">
      <w:bodyDiv w:val="1"/>
      <w:marLeft w:val="0"/>
      <w:marRight w:val="0"/>
      <w:marTop w:val="0"/>
      <w:marBottom w:val="0"/>
      <w:divBdr>
        <w:top w:val="none" w:sz="0" w:space="0" w:color="auto"/>
        <w:left w:val="none" w:sz="0" w:space="0" w:color="auto"/>
        <w:bottom w:val="none" w:sz="0" w:space="0" w:color="auto"/>
        <w:right w:val="none" w:sz="0" w:space="0" w:color="auto"/>
      </w:divBdr>
    </w:div>
    <w:div w:id="1662460461">
      <w:bodyDiv w:val="1"/>
      <w:marLeft w:val="0"/>
      <w:marRight w:val="0"/>
      <w:marTop w:val="0"/>
      <w:marBottom w:val="0"/>
      <w:divBdr>
        <w:top w:val="none" w:sz="0" w:space="0" w:color="auto"/>
        <w:left w:val="none" w:sz="0" w:space="0" w:color="auto"/>
        <w:bottom w:val="none" w:sz="0" w:space="0" w:color="auto"/>
        <w:right w:val="none" w:sz="0" w:space="0" w:color="auto"/>
      </w:divBdr>
    </w:div>
    <w:div w:id="1666585362">
      <w:bodyDiv w:val="1"/>
      <w:marLeft w:val="0"/>
      <w:marRight w:val="0"/>
      <w:marTop w:val="0"/>
      <w:marBottom w:val="0"/>
      <w:divBdr>
        <w:top w:val="none" w:sz="0" w:space="0" w:color="auto"/>
        <w:left w:val="none" w:sz="0" w:space="0" w:color="auto"/>
        <w:bottom w:val="none" w:sz="0" w:space="0" w:color="auto"/>
        <w:right w:val="none" w:sz="0" w:space="0" w:color="auto"/>
      </w:divBdr>
    </w:div>
    <w:div w:id="1671714320">
      <w:bodyDiv w:val="1"/>
      <w:marLeft w:val="0"/>
      <w:marRight w:val="0"/>
      <w:marTop w:val="0"/>
      <w:marBottom w:val="0"/>
      <w:divBdr>
        <w:top w:val="none" w:sz="0" w:space="0" w:color="auto"/>
        <w:left w:val="none" w:sz="0" w:space="0" w:color="auto"/>
        <w:bottom w:val="none" w:sz="0" w:space="0" w:color="auto"/>
        <w:right w:val="none" w:sz="0" w:space="0" w:color="auto"/>
      </w:divBdr>
    </w:div>
    <w:div w:id="1673220323">
      <w:bodyDiv w:val="1"/>
      <w:marLeft w:val="0"/>
      <w:marRight w:val="0"/>
      <w:marTop w:val="0"/>
      <w:marBottom w:val="0"/>
      <w:divBdr>
        <w:top w:val="none" w:sz="0" w:space="0" w:color="auto"/>
        <w:left w:val="none" w:sz="0" w:space="0" w:color="auto"/>
        <w:bottom w:val="none" w:sz="0" w:space="0" w:color="auto"/>
        <w:right w:val="none" w:sz="0" w:space="0" w:color="auto"/>
      </w:divBdr>
    </w:div>
    <w:div w:id="1673557749">
      <w:bodyDiv w:val="1"/>
      <w:marLeft w:val="0"/>
      <w:marRight w:val="0"/>
      <w:marTop w:val="0"/>
      <w:marBottom w:val="0"/>
      <w:divBdr>
        <w:top w:val="none" w:sz="0" w:space="0" w:color="auto"/>
        <w:left w:val="none" w:sz="0" w:space="0" w:color="auto"/>
        <w:bottom w:val="none" w:sz="0" w:space="0" w:color="auto"/>
        <w:right w:val="none" w:sz="0" w:space="0" w:color="auto"/>
      </w:divBdr>
    </w:div>
    <w:div w:id="1673951412">
      <w:bodyDiv w:val="1"/>
      <w:marLeft w:val="0"/>
      <w:marRight w:val="0"/>
      <w:marTop w:val="0"/>
      <w:marBottom w:val="0"/>
      <w:divBdr>
        <w:top w:val="none" w:sz="0" w:space="0" w:color="auto"/>
        <w:left w:val="none" w:sz="0" w:space="0" w:color="auto"/>
        <w:bottom w:val="none" w:sz="0" w:space="0" w:color="auto"/>
        <w:right w:val="none" w:sz="0" w:space="0" w:color="auto"/>
      </w:divBdr>
    </w:div>
    <w:div w:id="1676376175">
      <w:bodyDiv w:val="1"/>
      <w:marLeft w:val="0"/>
      <w:marRight w:val="0"/>
      <w:marTop w:val="0"/>
      <w:marBottom w:val="0"/>
      <w:divBdr>
        <w:top w:val="none" w:sz="0" w:space="0" w:color="auto"/>
        <w:left w:val="none" w:sz="0" w:space="0" w:color="auto"/>
        <w:bottom w:val="none" w:sz="0" w:space="0" w:color="auto"/>
        <w:right w:val="none" w:sz="0" w:space="0" w:color="auto"/>
      </w:divBdr>
    </w:div>
    <w:div w:id="1681815379">
      <w:bodyDiv w:val="1"/>
      <w:marLeft w:val="0"/>
      <w:marRight w:val="0"/>
      <w:marTop w:val="0"/>
      <w:marBottom w:val="0"/>
      <w:divBdr>
        <w:top w:val="none" w:sz="0" w:space="0" w:color="auto"/>
        <w:left w:val="none" w:sz="0" w:space="0" w:color="auto"/>
        <w:bottom w:val="none" w:sz="0" w:space="0" w:color="auto"/>
        <w:right w:val="none" w:sz="0" w:space="0" w:color="auto"/>
      </w:divBdr>
    </w:div>
    <w:div w:id="1682002013">
      <w:bodyDiv w:val="1"/>
      <w:marLeft w:val="0"/>
      <w:marRight w:val="0"/>
      <w:marTop w:val="0"/>
      <w:marBottom w:val="0"/>
      <w:divBdr>
        <w:top w:val="none" w:sz="0" w:space="0" w:color="auto"/>
        <w:left w:val="none" w:sz="0" w:space="0" w:color="auto"/>
        <w:bottom w:val="none" w:sz="0" w:space="0" w:color="auto"/>
        <w:right w:val="none" w:sz="0" w:space="0" w:color="auto"/>
      </w:divBdr>
    </w:div>
    <w:div w:id="1689213028">
      <w:bodyDiv w:val="1"/>
      <w:marLeft w:val="0"/>
      <w:marRight w:val="0"/>
      <w:marTop w:val="0"/>
      <w:marBottom w:val="0"/>
      <w:divBdr>
        <w:top w:val="none" w:sz="0" w:space="0" w:color="auto"/>
        <w:left w:val="none" w:sz="0" w:space="0" w:color="auto"/>
        <w:bottom w:val="none" w:sz="0" w:space="0" w:color="auto"/>
        <w:right w:val="none" w:sz="0" w:space="0" w:color="auto"/>
      </w:divBdr>
    </w:div>
    <w:div w:id="1697192275">
      <w:bodyDiv w:val="1"/>
      <w:marLeft w:val="0"/>
      <w:marRight w:val="0"/>
      <w:marTop w:val="0"/>
      <w:marBottom w:val="0"/>
      <w:divBdr>
        <w:top w:val="none" w:sz="0" w:space="0" w:color="auto"/>
        <w:left w:val="none" w:sz="0" w:space="0" w:color="auto"/>
        <w:bottom w:val="none" w:sz="0" w:space="0" w:color="auto"/>
        <w:right w:val="none" w:sz="0" w:space="0" w:color="auto"/>
      </w:divBdr>
    </w:div>
    <w:div w:id="1697803794">
      <w:bodyDiv w:val="1"/>
      <w:marLeft w:val="0"/>
      <w:marRight w:val="0"/>
      <w:marTop w:val="0"/>
      <w:marBottom w:val="0"/>
      <w:divBdr>
        <w:top w:val="none" w:sz="0" w:space="0" w:color="auto"/>
        <w:left w:val="none" w:sz="0" w:space="0" w:color="auto"/>
        <w:bottom w:val="none" w:sz="0" w:space="0" w:color="auto"/>
        <w:right w:val="none" w:sz="0" w:space="0" w:color="auto"/>
      </w:divBdr>
    </w:div>
    <w:div w:id="1702394609">
      <w:bodyDiv w:val="1"/>
      <w:marLeft w:val="0"/>
      <w:marRight w:val="0"/>
      <w:marTop w:val="0"/>
      <w:marBottom w:val="0"/>
      <w:divBdr>
        <w:top w:val="none" w:sz="0" w:space="0" w:color="auto"/>
        <w:left w:val="none" w:sz="0" w:space="0" w:color="auto"/>
        <w:bottom w:val="none" w:sz="0" w:space="0" w:color="auto"/>
        <w:right w:val="none" w:sz="0" w:space="0" w:color="auto"/>
      </w:divBdr>
    </w:div>
    <w:div w:id="1707172239">
      <w:bodyDiv w:val="1"/>
      <w:marLeft w:val="0"/>
      <w:marRight w:val="0"/>
      <w:marTop w:val="0"/>
      <w:marBottom w:val="0"/>
      <w:divBdr>
        <w:top w:val="none" w:sz="0" w:space="0" w:color="auto"/>
        <w:left w:val="none" w:sz="0" w:space="0" w:color="auto"/>
        <w:bottom w:val="none" w:sz="0" w:space="0" w:color="auto"/>
        <w:right w:val="none" w:sz="0" w:space="0" w:color="auto"/>
      </w:divBdr>
    </w:div>
    <w:div w:id="1708022810">
      <w:bodyDiv w:val="1"/>
      <w:marLeft w:val="0"/>
      <w:marRight w:val="0"/>
      <w:marTop w:val="0"/>
      <w:marBottom w:val="0"/>
      <w:divBdr>
        <w:top w:val="none" w:sz="0" w:space="0" w:color="auto"/>
        <w:left w:val="none" w:sz="0" w:space="0" w:color="auto"/>
        <w:bottom w:val="none" w:sz="0" w:space="0" w:color="auto"/>
        <w:right w:val="none" w:sz="0" w:space="0" w:color="auto"/>
      </w:divBdr>
    </w:div>
    <w:div w:id="1708487528">
      <w:bodyDiv w:val="1"/>
      <w:marLeft w:val="0"/>
      <w:marRight w:val="0"/>
      <w:marTop w:val="0"/>
      <w:marBottom w:val="0"/>
      <w:divBdr>
        <w:top w:val="none" w:sz="0" w:space="0" w:color="auto"/>
        <w:left w:val="none" w:sz="0" w:space="0" w:color="auto"/>
        <w:bottom w:val="none" w:sz="0" w:space="0" w:color="auto"/>
        <w:right w:val="none" w:sz="0" w:space="0" w:color="auto"/>
      </w:divBdr>
    </w:div>
    <w:div w:id="1715470793">
      <w:bodyDiv w:val="1"/>
      <w:marLeft w:val="0"/>
      <w:marRight w:val="0"/>
      <w:marTop w:val="0"/>
      <w:marBottom w:val="0"/>
      <w:divBdr>
        <w:top w:val="none" w:sz="0" w:space="0" w:color="auto"/>
        <w:left w:val="none" w:sz="0" w:space="0" w:color="auto"/>
        <w:bottom w:val="none" w:sz="0" w:space="0" w:color="auto"/>
        <w:right w:val="none" w:sz="0" w:space="0" w:color="auto"/>
      </w:divBdr>
    </w:div>
    <w:div w:id="1716545134">
      <w:bodyDiv w:val="1"/>
      <w:marLeft w:val="0"/>
      <w:marRight w:val="0"/>
      <w:marTop w:val="0"/>
      <w:marBottom w:val="0"/>
      <w:divBdr>
        <w:top w:val="none" w:sz="0" w:space="0" w:color="auto"/>
        <w:left w:val="none" w:sz="0" w:space="0" w:color="auto"/>
        <w:bottom w:val="none" w:sz="0" w:space="0" w:color="auto"/>
        <w:right w:val="none" w:sz="0" w:space="0" w:color="auto"/>
      </w:divBdr>
    </w:div>
    <w:div w:id="1720788114">
      <w:bodyDiv w:val="1"/>
      <w:marLeft w:val="0"/>
      <w:marRight w:val="0"/>
      <w:marTop w:val="0"/>
      <w:marBottom w:val="0"/>
      <w:divBdr>
        <w:top w:val="none" w:sz="0" w:space="0" w:color="auto"/>
        <w:left w:val="none" w:sz="0" w:space="0" w:color="auto"/>
        <w:bottom w:val="none" w:sz="0" w:space="0" w:color="auto"/>
        <w:right w:val="none" w:sz="0" w:space="0" w:color="auto"/>
      </w:divBdr>
    </w:div>
    <w:div w:id="1723627319">
      <w:bodyDiv w:val="1"/>
      <w:marLeft w:val="0"/>
      <w:marRight w:val="0"/>
      <w:marTop w:val="0"/>
      <w:marBottom w:val="0"/>
      <w:divBdr>
        <w:top w:val="none" w:sz="0" w:space="0" w:color="auto"/>
        <w:left w:val="none" w:sz="0" w:space="0" w:color="auto"/>
        <w:bottom w:val="none" w:sz="0" w:space="0" w:color="auto"/>
        <w:right w:val="none" w:sz="0" w:space="0" w:color="auto"/>
      </w:divBdr>
    </w:div>
    <w:div w:id="1727098865">
      <w:bodyDiv w:val="1"/>
      <w:marLeft w:val="0"/>
      <w:marRight w:val="0"/>
      <w:marTop w:val="0"/>
      <w:marBottom w:val="0"/>
      <w:divBdr>
        <w:top w:val="none" w:sz="0" w:space="0" w:color="auto"/>
        <w:left w:val="none" w:sz="0" w:space="0" w:color="auto"/>
        <w:bottom w:val="none" w:sz="0" w:space="0" w:color="auto"/>
        <w:right w:val="none" w:sz="0" w:space="0" w:color="auto"/>
      </w:divBdr>
    </w:div>
    <w:div w:id="1733847687">
      <w:bodyDiv w:val="1"/>
      <w:marLeft w:val="0"/>
      <w:marRight w:val="0"/>
      <w:marTop w:val="0"/>
      <w:marBottom w:val="0"/>
      <w:divBdr>
        <w:top w:val="none" w:sz="0" w:space="0" w:color="auto"/>
        <w:left w:val="none" w:sz="0" w:space="0" w:color="auto"/>
        <w:bottom w:val="none" w:sz="0" w:space="0" w:color="auto"/>
        <w:right w:val="none" w:sz="0" w:space="0" w:color="auto"/>
      </w:divBdr>
    </w:div>
    <w:div w:id="1734700208">
      <w:bodyDiv w:val="1"/>
      <w:marLeft w:val="0"/>
      <w:marRight w:val="0"/>
      <w:marTop w:val="0"/>
      <w:marBottom w:val="0"/>
      <w:divBdr>
        <w:top w:val="none" w:sz="0" w:space="0" w:color="auto"/>
        <w:left w:val="none" w:sz="0" w:space="0" w:color="auto"/>
        <w:bottom w:val="none" w:sz="0" w:space="0" w:color="auto"/>
        <w:right w:val="none" w:sz="0" w:space="0" w:color="auto"/>
      </w:divBdr>
      <w:divsChild>
        <w:div w:id="67580077">
          <w:marLeft w:val="547"/>
          <w:marRight w:val="0"/>
          <w:marTop w:val="0"/>
          <w:marBottom w:val="0"/>
          <w:divBdr>
            <w:top w:val="none" w:sz="0" w:space="0" w:color="auto"/>
            <w:left w:val="none" w:sz="0" w:space="0" w:color="auto"/>
            <w:bottom w:val="none" w:sz="0" w:space="0" w:color="auto"/>
            <w:right w:val="none" w:sz="0" w:space="0" w:color="auto"/>
          </w:divBdr>
        </w:div>
        <w:div w:id="98641834">
          <w:marLeft w:val="547"/>
          <w:marRight w:val="0"/>
          <w:marTop w:val="0"/>
          <w:marBottom w:val="0"/>
          <w:divBdr>
            <w:top w:val="none" w:sz="0" w:space="0" w:color="auto"/>
            <w:left w:val="none" w:sz="0" w:space="0" w:color="auto"/>
            <w:bottom w:val="none" w:sz="0" w:space="0" w:color="auto"/>
            <w:right w:val="none" w:sz="0" w:space="0" w:color="auto"/>
          </w:divBdr>
        </w:div>
        <w:div w:id="234366695">
          <w:marLeft w:val="2520"/>
          <w:marRight w:val="0"/>
          <w:marTop w:val="0"/>
          <w:marBottom w:val="0"/>
          <w:divBdr>
            <w:top w:val="none" w:sz="0" w:space="0" w:color="auto"/>
            <w:left w:val="none" w:sz="0" w:space="0" w:color="auto"/>
            <w:bottom w:val="none" w:sz="0" w:space="0" w:color="auto"/>
            <w:right w:val="none" w:sz="0" w:space="0" w:color="auto"/>
          </w:divBdr>
        </w:div>
        <w:div w:id="352540909">
          <w:marLeft w:val="1800"/>
          <w:marRight w:val="0"/>
          <w:marTop w:val="0"/>
          <w:marBottom w:val="0"/>
          <w:divBdr>
            <w:top w:val="none" w:sz="0" w:space="0" w:color="auto"/>
            <w:left w:val="none" w:sz="0" w:space="0" w:color="auto"/>
            <w:bottom w:val="none" w:sz="0" w:space="0" w:color="auto"/>
            <w:right w:val="none" w:sz="0" w:space="0" w:color="auto"/>
          </w:divBdr>
        </w:div>
        <w:div w:id="376390950">
          <w:marLeft w:val="2520"/>
          <w:marRight w:val="0"/>
          <w:marTop w:val="0"/>
          <w:marBottom w:val="0"/>
          <w:divBdr>
            <w:top w:val="none" w:sz="0" w:space="0" w:color="auto"/>
            <w:left w:val="none" w:sz="0" w:space="0" w:color="auto"/>
            <w:bottom w:val="none" w:sz="0" w:space="0" w:color="auto"/>
            <w:right w:val="none" w:sz="0" w:space="0" w:color="auto"/>
          </w:divBdr>
        </w:div>
        <w:div w:id="431362057">
          <w:marLeft w:val="2520"/>
          <w:marRight w:val="0"/>
          <w:marTop w:val="0"/>
          <w:marBottom w:val="0"/>
          <w:divBdr>
            <w:top w:val="none" w:sz="0" w:space="0" w:color="auto"/>
            <w:left w:val="none" w:sz="0" w:space="0" w:color="auto"/>
            <w:bottom w:val="none" w:sz="0" w:space="0" w:color="auto"/>
            <w:right w:val="none" w:sz="0" w:space="0" w:color="auto"/>
          </w:divBdr>
        </w:div>
        <w:div w:id="510725264">
          <w:marLeft w:val="2520"/>
          <w:marRight w:val="0"/>
          <w:marTop w:val="0"/>
          <w:marBottom w:val="0"/>
          <w:divBdr>
            <w:top w:val="none" w:sz="0" w:space="0" w:color="auto"/>
            <w:left w:val="none" w:sz="0" w:space="0" w:color="auto"/>
            <w:bottom w:val="none" w:sz="0" w:space="0" w:color="auto"/>
            <w:right w:val="none" w:sz="0" w:space="0" w:color="auto"/>
          </w:divBdr>
        </w:div>
        <w:div w:id="554315208">
          <w:marLeft w:val="1800"/>
          <w:marRight w:val="0"/>
          <w:marTop w:val="0"/>
          <w:marBottom w:val="0"/>
          <w:divBdr>
            <w:top w:val="none" w:sz="0" w:space="0" w:color="auto"/>
            <w:left w:val="none" w:sz="0" w:space="0" w:color="auto"/>
            <w:bottom w:val="none" w:sz="0" w:space="0" w:color="auto"/>
            <w:right w:val="none" w:sz="0" w:space="0" w:color="auto"/>
          </w:divBdr>
        </w:div>
        <w:div w:id="556860670">
          <w:marLeft w:val="2520"/>
          <w:marRight w:val="0"/>
          <w:marTop w:val="0"/>
          <w:marBottom w:val="0"/>
          <w:divBdr>
            <w:top w:val="none" w:sz="0" w:space="0" w:color="auto"/>
            <w:left w:val="none" w:sz="0" w:space="0" w:color="auto"/>
            <w:bottom w:val="none" w:sz="0" w:space="0" w:color="auto"/>
            <w:right w:val="none" w:sz="0" w:space="0" w:color="auto"/>
          </w:divBdr>
        </w:div>
        <w:div w:id="670907890">
          <w:marLeft w:val="1800"/>
          <w:marRight w:val="0"/>
          <w:marTop w:val="0"/>
          <w:marBottom w:val="0"/>
          <w:divBdr>
            <w:top w:val="none" w:sz="0" w:space="0" w:color="auto"/>
            <w:left w:val="none" w:sz="0" w:space="0" w:color="auto"/>
            <w:bottom w:val="none" w:sz="0" w:space="0" w:color="auto"/>
            <w:right w:val="none" w:sz="0" w:space="0" w:color="auto"/>
          </w:divBdr>
        </w:div>
        <w:div w:id="685331203">
          <w:marLeft w:val="2520"/>
          <w:marRight w:val="0"/>
          <w:marTop w:val="0"/>
          <w:marBottom w:val="0"/>
          <w:divBdr>
            <w:top w:val="none" w:sz="0" w:space="0" w:color="auto"/>
            <w:left w:val="none" w:sz="0" w:space="0" w:color="auto"/>
            <w:bottom w:val="none" w:sz="0" w:space="0" w:color="auto"/>
            <w:right w:val="none" w:sz="0" w:space="0" w:color="auto"/>
          </w:divBdr>
        </w:div>
        <w:div w:id="702750429">
          <w:marLeft w:val="547"/>
          <w:marRight w:val="0"/>
          <w:marTop w:val="0"/>
          <w:marBottom w:val="0"/>
          <w:divBdr>
            <w:top w:val="none" w:sz="0" w:space="0" w:color="auto"/>
            <w:left w:val="none" w:sz="0" w:space="0" w:color="auto"/>
            <w:bottom w:val="none" w:sz="0" w:space="0" w:color="auto"/>
            <w:right w:val="none" w:sz="0" w:space="0" w:color="auto"/>
          </w:divBdr>
        </w:div>
        <w:div w:id="737434916">
          <w:marLeft w:val="2520"/>
          <w:marRight w:val="0"/>
          <w:marTop w:val="0"/>
          <w:marBottom w:val="0"/>
          <w:divBdr>
            <w:top w:val="none" w:sz="0" w:space="0" w:color="auto"/>
            <w:left w:val="none" w:sz="0" w:space="0" w:color="auto"/>
            <w:bottom w:val="none" w:sz="0" w:space="0" w:color="auto"/>
            <w:right w:val="none" w:sz="0" w:space="0" w:color="auto"/>
          </w:divBdr>
        </w:div>
        <w:div w:id="883836880">
          <w:marLeft w:val="2520"/>
          <w:marRight w:val="0"/>
          <w:marTop w:val="0"/>
          <w:marBottom w:val="0"/>
          <w:divBdr>
            <w:top w:val="none" w:sz="0" w:space="0" w:color="auto"/>
            <w:left w:val="none" w:sz="0" w:space="0" w:color="auto"/>
            <w:bottom w:val="none" w:sz="0" w:space="0" w:color="auto"/>
            <w:right w:val="none" w:sz="0" w:space="0" w:color="auto"/>
          </w:divBdr>
        </w:div>
        <w:div w:id="992877207">
          <w:marLeft w:val="1800"/>
          <w:marRight w:val="0"/>
          <w:marTop w:val="0"/>
          <w:marBottom w:val="0"/>
          <w:divBdr>
            <w:top w:val="none" w:sz="0" w:space="0" w:color="auto"/>
            <w:left w:val="none" w:sz="0" w:space="0" w:color="auto"/>
            <w:bottom w:val="none" w:sz="0" w:space="0" w:color="auto"/>
            <w:right w:val="none" w:sz="0" w:space="0" w:color="auto"/>
          </w:divBdr>
        </w:div>
        <w:div w:id="1211305809">
          <w:marLeft w:val="1166"/>
          <w:marRight w:val="0"/>
          <w:marTop w:val="0"/>
          <w:marBottom w:val="0"/>
          <w:divBdr>
            <w:top w:val="none" w:sz="0" w:space="0" w:color="auto"/>
            <w:left w:val="none" w:sz="0" w:space="0" w:color="auto"/>
            <w:bottom w:val="none" w:sz="0" w:space="0" w:color="auto"/>
            <w:right w:val="none" w:sz="0" w:space="0" w:color="auto"/>
          </w:divBdr>
        </w:div>
        <w:div w:id="1237519336">
          <w:marLeft w:val="2520"/>
          <w:marRight w:val="0"/>
          <w:marTop w:val="0"/>
          <w:marBottom w:val="0"/>
          <w:divBdr>
            <w:top w:val="none" w:sz="0" w:space="0" w:color="auto"/>
            <w:left w:val="none" w:sz="0" w:space="0" w:color="auto"/>
            <w:bottom w:val="none" w:sz="0" w:space="0" w:color="auto"/>
            <w:right w:val="none" w:sz="0" w:space="0" w:color="auto"/>
          </w:divBdr>
        </w:div>
        <w:div w:id="1279948798">
          <w:marLeft w:val="2520"/>
          <w:marRight w:val="0"/>
          <w:marTop w:val="0"/>
          <w:marBottom w:val="0"/>
          <w:divBdr>
            <w:top w:val="none" w:sz="0" w:space="0" w:color="auto"/>
            <w:left w:val="none" w:sz="0" w:space="0" w:color="auto"/>
            <w:bottom w:val="none" w:sz="0" w:space="0" w:color="auto"/>
            <w:right w:val="none" w:sz="0" w:space="0" w:color="auto"/>
          </w:divBdr>
        </w:div>
        <w:div w:id="1348753691">
          <w:marLeft w:val="2520"/>
          <w:marRight w:val="0"/>
          <w:marTop w:val="0"/>
          <w:marBottom w:val="0"/>
          <w:divBdr>
            <w:top w:val="none" w:sz="0" w:space="0" w:color="auto"/>
            <w:left w:val="none" w:sz="0" w:space="0" w:color="auto"/>
            <w:bottom w:val="none" w:sz="0" w:space="0" w:color="auto"/>
            <w:right w:val="none" w:sz="0" w:space="0" w:color="auto"/>
          </w:divBdr>
        </w:div>
        <w:div w:id="1374426397">
          <w:marLeft w:val="1800"/>
          <w:marRight w:val="0"/>
          <w:marTop w:val="0"/>
          <w:marBottom w:val="0"/>
          <w:divBdr>
            <w:top w:val="none" w:sz="0" w:space="0" w:color="auto"/>
            <w:left w:val="none" w:sz="0" w:space="0" w:color="auto"/>
            <w:bottom w:val="none" w:sz="0" w:space="0" w:color="auto"/>
            <w:right w:val="none" w:sz="0" w:space="0" w:color="auto"/>
          </w:divBdr>
        </w:div>
        <w:div w:id="1431660907">
          <w:marLeft w:val="1800"/>
          <w:marRight w:val="0"/>
          <w:marTop w:val="0"/>
          <w:marBottom w:val="0"/>
          <w:divBdr>
            <w:top w:val="none" w:sz="0" w:space="0" w:color="auto"/>
            <w:left w:val="none" w:sz="0" w:space="0" w:color="auto"/>
            <w:bottom w:val="none" w:sz="0" w:space="0" w:color="auto"/>
            <w:right w:val="none" w:sz="0" w:space="0" w:color="auto"/>
          </w:divBdr>
        </w:div>
        <w:div w:id="1471165642">
          <w:marLeft w:val="1800"/>
          <w:marRight w:val="0"/>
          <w:marTop w:val="0"/>
          <w:marBottom w:val="0"/>
          <w:divBdr>
            <w:top w:val="none" w:sz="0" w:space="0" w:color="auto"/>
            <w:left w:val="none" w:sz="0" w:space="0" w:color="auto"/>
            <w:bottom w:val="none" w:sz="0" w:space="0" w:color="auto"/>
            <w:right w:val="none" w:sz="0" w:space="0" w:color="auto"/>
          </w:divBdr>
        </w:div>
        <w:div w:id="2021352682">
          <w:marLeft w:val="1166"/>
          <w:marRight w:val="0"/>
          <w:marTop w:val="0"/>
          <w:marBottom w:val="0"/>
          <w:divBdr>
            <w:top w:val="none" w:sz="0" w:space="0" w:color="auto"/>
            <w:left w:val="none" w:sz="0" w:space="0" w:color="auto"/>
            <w:bottom w:val="none" w:sz="0" w:space="0" w:color="auto"/>
            <w:right w:val="none" w:sz="0" w:space="0" w:color="auto"/>
          </w:divBdr>
        </w:div>
        <w:div w:id="2090157347">
          <w:marLeft w:val="1800"/>
          <w:marRight w:val="0"/>
          <w:marTop w:val="0"/>
          <w:marBottom w:val="0"/>
          <w:divBdr>
            <w:top w:val="none" w:sz="0" w:space="0" w:color="auto"/>
            <w:left w:val="none" w:sz="0" w:space="0" w:color="auto"/>
            <w:bottom w:val="none" w:sz="0" w:space="0" w:color="auto"/>
            <w:right w:val="none" w:sz="0" w:space="0" w:color="auto"/>
          </w:divBdr>
        </w:div>
      </w:divsChild>
    </w:div>
    <w:div w:id="1736395182">
      <w:bodyDiv w:val="1"/>
      <w:marLeft w:val="0"/>
      <w:marRight w:val="0"/>
      <w:marTop w:val="0"/>
      <w:marBottom w:val="0"/>
      <w:divBdr>
        <w:top w:val="none" w:sz="0" w:space="0" w:color="auto"/>
        <w:left w:val="none" w:sz="0" w:space="0" w:color="auto"/>
        <w:bottom w:val="none" w:sz="0" w:space="0" w:color="auto"/>
        <w:right w:val="none" w:sz="0" w:space="0" w:color="auto"/>
      </w:divBdr>
    </w:div>
    <w:div w:id="1738936729">
      <w:bodyDiv w:val="1"/>
      <w:marLeft w:val="0"/>
      <w:marRight w:val="0"/>
      <w:marTop w:val="0"/>
      <w:marBottom w:val="0"/>
      <w:divBdr>
        <w:top w:val="none" w:sz="0" w:space="0" w:color="auto"/>
        <w:left w:val="none" w:sz="0" w:space="0" w:color="auto"/>
        <w:bottom w:val="none" w:sz="0" w:space="0" w:color="auto"/>
        <w:right w:val="none" w:sz="0" w:space="0" w:color="auto"/>
      </w:divBdr>
      <w:divsChild>
        <w:div w:id="1575117897">
          <w:marLeft w:val="0"/>
          <w:marRight w:val="0"/>
          <w:marTop w:val="0"/>
          <w:marBottom w:val="0"/>
          <w:divBdr>
            <w:top w:val="none" w:sz="0" w:space="0" w:color="auto"/>
            <w:left w:val="none" w:sz="0" w:space="0" w:color="auto"/>
            <w:bottom w:val="none" w:sz="0" w:space="0" w:color="auto"/>
            <w:right w:val="none" w:sz="0" w:space="0" w:color="auto"/>
          </w:divBdr>
        </w:div>
      </w:divsChild>
    </w:div>
    <w:div w:id="1746686491">
      <w:bodyDiv w:val="1"/>
      <w:marLeft w:val="0"/>
      <w:marRight w:val="0"/>
      <w:marTop w:val="0"/>
      <w:marBottom w:val="0"/>
      <w:divBdr>
        <w:top w:val="none" w:sz="0" w:space="0" w:color="auto"/>
        <w:left w:val="none" w:sz="0" w:space="0" w:color="auto"/>
        <w:bottom w:val="none" w:sz="0" w:space="0" w:color="auto"/>
        <w:right w:val="none" w:sz="0" w:space="0" w:color="auto"/>
      </w:divBdr>
    </w:div>
    <w:div w:id="1755396597">
      <w:bodyDiv w:val="1"/>
      <w:marLeft w:val="0"/>
      <w:marRight w:val="0"/>
      <w:marTop w:val="0"/>
      <w:marBottom w:val="0"/>
      <w:divBdr>
        <w:top w:val="none" w:sz="0" w:space="0" w:color="auto"/>
        <w:left w:val="none" w:sz="0" w:space="0" w:color="auto"/>
        <w:bottom w:val="none" w:sz="0" w:space="0" w:color="auto"/>
        <w:right w:val="none" w:sz="0" w:space="0" w:color="auto"/>
      </w:divBdr>
    </w:div>
    <w:div w:id="1758214685">
      <w:bodyDiv w:val="1"/>
      <w:marLeft w:val="0"/>
      <w:marRight w:val="0"/>
      <w:marTop w:val="0"/>
      <w:marBottom w:val="0"/>
      <w:divBdr>
        <w:top w:val="none" w:sz="0" w:space="0" w:color="auto"/>
        <w:left w:val="none" w:sz="0" w:space="0" w:color="auto"/>
        <w:bottom w:val="none" w:sz="0" w:space="0" w:color="auto"/>
        <w:right w:val="none" w:sz="0" w:space="0" w:color="auto"/>
      </w:divBdr>
    </w:div>
    <w:div w:id="1759869440">
      <w:bodyDiv w:val="1"/>
      <w:marLeft w:val="0"/>
      <w:marRight w:val="0"/>
      <w:marTop w:val="0"/>
      <w:marBottom w:val="0"/>
      <w:divBdr>
        <w:top w:val="none" w:sz="0" w:space="0" w:color="auto"/>
        <w:left w:val="none" w:sz="0" w:space="0" w:color="auto"/>
        <w:bottom w:val="none" w:sz="0" w:space="0" w:color="auto"/>
        <w:right w:val="none" w:sz="0" w:space="0" w:color="auto"/>
      </w:divBdr>
    </w:div>
    <w:div w:id="1808357172">
      <w:bodyDiv w:val="1"/>
      <w:marLeft w:val="0"/>
      <w:marRight w:val="0"/>
      <w:marTop w:val="0"/>
      <w:marBottom w:val="0"/>
      <w:divBdr>
        <w:top w:val="none" w:sz="0" w:space="0" w:color="auto"/>
        <w:left w:val="none" w:sz="0" w:space="0" w:color="auto"/>
        <w:bottom w:val="none" w:sz="0" w:space="0" w:color="auto"/>
        <w:right w:val="none" w:sz="0" w:space="0" w:color="auto"/>
      </w:divBdr>
    </w:div>
    <w:div w:id="1809007087">
      <w:bodyDiv w:val="1"/>
      <w:marLeft w:val="0"/>
      <w:marRight w:val="0"/>
      <w:marTop w:val="0"/>
      <w:marBottom w:val="0"/>
      <w:divBdr>
        <w:top w:val="none" w:sz="0" w:space="0" w:color="auto"/>
        <w:left w:val="none" w:sz="0" w:space="0" w:color="auto"/>
        <w:bottom w:val="none" w:sz="0" w:space="0" w:color="auto"/>
        <w:right w:val="none" w:sz="0" w:space="0" w:color="auto"/>
      </w:divBdr>
    </w:div>
    <w:div w:id="1809010003">
      <w:bodyDiv w:val="1"/>
      <w:marLeft w:val="0"/>
      <w:marRight w:val="0"/>
      <w:marTop w:val="0"/>
      <w:marBottom w:val="0"/>
      <w:divBdr>
        <w:top w:val="none" w:sz="0" w:space="0" w:color="auto"/>
        <w:left w:val="none" w:sz="0" w:space="0" w:color="auto"/>
        <w:bottom w:val="none" w:sz="0" w:space="0" w:color="auto"/>
        <w:right w:val="none" w:sz="0" w:space="0" w:color="auto"/>
      </w:divBdr>
    </w:div>
    <w:div w:id="1815442229">
      <w:bodyDiv w:val="1"/>
      <w:marLeft w:val="0"/>
      <w:marRight w:val="0"/>
      <w:marTop w:val="0"/>
      <w:marBottom w:val="0"/>
      <w:divBdr>
        <w:top w:val="none" w:sz="0" w:space="0" w:color="auto"/>
        <w:left w:val="none" w:sz="0" w:space="0" w:color="auto"/>
        <w:bottom w:val="none" w:sz="0" w:space="0" w:color="auto"/>
        <w:right w:val="none" w:sz="0" w:space="0" w:color="auto"/>
      </w:divBdr>
      <w:divsChild>
        <w:div w:id="1726484711">
          <w:marLeft w:val="0"/>
          <w:marRight w:val="0"/>
          <w:marTop w:val="0"/>
          <w:marBottom w:val="0"/>
          <w:divBdr>
            <w:top w:val="none" w:sz="0" w:space="0" w:color="auto"/>
            <w:left w:val="none" w:sz="0" w:space="0" w:color="auto"/>
            <w:bottom w:val="none" w:sz="0" w:space="0" w:color="auto"/>
            <w:right w:val="none" w:sz="0" w:space="0" w:color="auto"/>
          </w:divBdr>
        </w:div>
      </w:divsChild>
    </w:div>
    <w:div w:id="1819222185">
      <w:bodyDiv w:val="1"/>
      <w:marLeft w:val="0"/>
      <w:marRight w:val="0"/>
      <w:marTop w:val="0"/>
      <w:marBottom w:val="0"/>
      <w:divBdr>
        <w:top w:val="none" w:sz="0" w:space="0" w:color="auto"/>
        <w:left w:val="none" w:sz="0" w:space="0" w:color="auto"/>
        <w:bottom w:val="none" w:sz="0" w:space="0" w:color="auto"/>
        <w:right w:val="none" w:sz="0" w:space="0" w:color="auto"/>
      </w:divBdr>
    </w:div>
    <w:div w:id="1829442450">
      <w:bodyDiv w:val="1"/>
      <w:marLeft w:val="0"/>
      <w:marRight w:val="0"/>
      <w:marTop w:val="0"/>
      <w:marBottom w:val="0"/>
      <w:divBdr>
        <w:top w:val="none" w:sz="0" w:space="0" w:color="auto"/>
        <w:left w:val="none" w:sz="0" w:space="0" w:color="auto"/>
        <w:bottom w:val="none" w:sz="0" w:space="0" w:color="auto"/>
        <w:right w:val="none" w:sz="0" w:space="0" w:color="auto"/>
      </w:divBdr>
    </w:div>
    <w:div w:id="1838617076">
      <w:bodyDiv w:val="1"/>
      <w:marLeft w:val="0"/>
      <w:marRight w:val="0"/>
      <w:marTop w:val="0"/>
      <w:marBottom w:val="0"/>
      <w:divBdr>
        <w:top w:val="none" w:sz="0" w:space="0" w:color="auto"/>
        <w:left w:val="none" w:sz="0" w:space="0" w:color="auto"/>
        <w:bottom w:val="none" w:sz="0" w:space="0" w:color="auto"/>
        <w:right w:val="none" w:sz="0" w:space="0" w:color="auto"/>
      </w:divBdr>
    </w:div>
    <w:div w:id="1838884293">
      <w:bodyDiv w:val="1"/>
      <w:marLeft w:val="0"/>
      <w:marRight w:val="0"/>
      <w:marTop w:val="0"/>
      <w:marBottom w:val="0"/>
      <w:divBdr>
        <w:top w:val="none" w:sz="0" w:space="0" w:color="auto"/>
        <w:left w:val="none" w:sz="0" w:space="0" w:color="auto"/>
        <w:bottom w:val="none" w:sz="0" w:space="0" w:color="auto"/>
        <w:right w:val="none" w:sz="0" w:space="0" w:color="auto"/>
      </w:divBdr>
    </w:div>
    <w:div w:id="1851288780">
      <w:bodyDiv w:val="1"/>
      <w:marLeft w:val="0"/>
      <w:marRight w:val="0"/>
      <w:marTop w:val="0"/>
      <w:marBottom w:val="0"/>
      <w:divBdr>
        <w:top w:val="none" w:sz="0" w:space="0" w:color="auto"/>
        <w:left w:val="none" w:sz="0" w:space="0" w:color="auto"/>
        <w:bottom w:val="none" w:sz="0" w:space="0" w:color="auto"/>
        <w:right w:val="none" w:sz="0" w:space="0" w:color="auto"/>
      </w:divBdr>
    </w:div>
    <w:div w:id="1874541234">
      <w:bodyDiv w:val="1"/>
      <w:marLeft w:val="0"/>
      <w:marRight w:val="0"/>
      <w:marTop w:val="0"/>
      <w:marBottom w:val="0"/>
      <w:divBdr>
        <w:top w:val="none" w:sz="0" w:space="0" w:color="auto"/>
        <w:left w:val="none" w:sz="0" w:space="0" w:color="auto"/>
        <w:bottom w:val="none" w:sz="0" w:space="0" w:color="auto"/>
        <w:right w:val="none" w:sz="0" w:space="0" w:color="auto"/>
      </w:divBdr>
    </w:div>
    <w:div w:id="1882938785">
      <w:bodyDiv w:val="1"/>
      <w:marLeft w:val="0"/>
      <w:marRight w:val="0"/>
      <w:marTop w:val="0"/>
      <w:marBottom w:val="0"/>
      <w:divBdr>
        <w:top w:val="none" w:sz="0" w:space="0" w:color="auto"/>
        <w:left w:val="none" w:sz="0" w:space="0" w:color="auto"/>
        <w:bottom w:val="none" w:sz="0" w:space="0" w:color="auto"/>
        <w:right w:val="none" w:sz="0" w:space="0" w:color="auto"/>
      </w:divBdr>
    </w:div>
    <w:div w:id="1884973476">
      <w:bodyDiv w:val="1"/>
      <w:marLeft w:val="0"/>
      <w:marRight w:val="0"/>
      <w:marTop w:val="0"/>
      <w:marBottom w:val="0"/>
      <w:divBdr>
        <w:top w:val="none" w:sz="0" w:space="0" w:color="auto"/>
        <w:left w:val="none" w:sz="0" w:space="0" w:color="auto"/>
        <w:bottom w:val="none" w:sz="0" w:space="0" w:color="auto"/>
        <w:right w:val="none" w:sz="0" w:space="0" w:color="auto"/>
      </w:divBdr>
    </w:div>
    <w:div w:id="1892377672">
      <w:bodyDiv w:val="1"/>
      <w:marLeft w:val="0"/>
      <w:marRight w:val="0"/>
      <w:marTop w:val="0"/>
      <w:marBottom w:val="0"/>
      <w:divBdr>
        <w:top w:val="none" w:sz="0" w:space="0" w:color="auto"/>
        <w:left w:val="none" w:sz="0" w:space="0" w:color="auto"/>
        <w:bottom w:val="none" w:sz="0" w:space="0" w:color="auto"/>
        <w:right w:val="none" w:sz="0" w:space="0" w:color="auto"/>
      </w:divBdr>
    </w:div>
    <w:div w:id="1893930182">
      <w:bodyDiv w:val="1"/>
      <w:marLeft w:val="0"/>
      <w:marRight w:val="0"/>
      <w:marTop w:val="0"/>
      <w:marBottom w:val="0"/>
      <w:divBdr>
        <w:top w:val="none" w:sz="0" w:space="0" w:color="auto"/>
        <w:left w:val="none" w:sz="0" w:space="0" w:color="auto"/>
        <w:bottom w:val="none" w:sz="0" w:space="0" w:color="auto"/>
        <w:right w:val="none" w:sz="0" w:space="0" w:color="auto"/>
      </w:divBdr>
    </w:div>
    <w:div w:id="1906524219">
      <w:bodyDiv w:val="1"/>
      <w:marLeft w:val="0"/>
      <w:marRight w:val="0"/>
      <w:marTop w:val="0"/>
      <w:marBottom w:val="0"/>
      <w:divBdr>
        <w:top w:val="none" w:sz="0" w:space="0" w:color="auto"/>
        <w:left w:val="none" w:sz="0" w:space="0" w:color="auto"/>
        <w:bottom w:val="none" w:sz="0" w:space="0" w:color="auto"/>
        <w:right w:val="none" w:sz="0" w:space="0" w:color="auto"/>
      </w:divBdr>
      <w:divsChild>
        <w:div w:id="1360231225">
          <w:marLeft w:val="0"/>
          <w:marRight w:val="0"/>
          <w:marTop w:val="0"/>
          <w:marBottom w:val="0"/>
          <w:divBdr>
            <w:top w:val="none" w:sz="0" w:space="0" w:color="auto"/>
            <w:left w:val="none" w:sz="0" w:space="0" w:color="auto"/>
            <w:bottom w:val="none" w:sz="0" w:space="0" w:color="auto"/>
            <w:right w:val="none" w:sz="0" w:space="0" w:color="auto"/>
          </w:divBdr>
        </w:div>
      </w:divsChild>
    </w:div>
    <w:div w:id="1908225775">
      <w:bodyDiv w:val="1"/>
      <w:marLeft w:val="0"/>
      <w:marRight w:val="0"/>
      <w:marTop w:val="0"/>
      <w:marBottom w:val="0"/>
      <w:divBdr>
        <w:top w:val="none" w:sz="0" w:space="0" w:color="auto"/>
        <w:left w:val="none" w:sz="0" w:space="0" w:color="auto"/>
        <w:bottom w:val="none" w:sz="0" w:space="0" w:color="auto"/>
        <w:right w:val="none" w:sz="0" w:space="0" w:color="auto"/>
      </w:divBdr>
    </w:div>
    <w:div w:id="1910995084">
      <w:bodyDiv w:val="1"/>
      <w:marLeft w:val="0"/>
      <w:marRight w:val="0"/>
      <w:marTop w:val="0"/>
      <w:marBottom w:val="0"/>
      <w:divBdr>
        <w:top w:val="none" w:sz="0" w:space="0" w:color="auto"/>
        <w:left w:val="none" w:sz="0" w:space="0" w:color="auto"/>
        <w:bottom w:val="none" w:sz="0" w:space="0" w:color="auto"/>
        <w:right w:val="none" w:sz="0" w:space="0" w:color="auto"/>
      </w:divBdr>
    </w:div>
    <w:div w:id="1914584054">
      <w:bodyDiv w:val="1"/>
      <w:marLeft w:val="0"/>
      <w:marRight w:val="0"/>
      <w:marTop w:val="0"/>
      <w:marBottom w:val="0"/>
      <w:divBdr>
        <w:top w:val="none" w:sz="0" w:space="0" w:color="auto"/>
        <w:left w:val="none" w:sz="0" w:space="0" w:color="auto"/>
        <w:bottom w:val="none" w:sz="0" w:space="0" w:color="auto"/>
        <w:right w:val="none" w:sz="0" w:space="0" w:color="auto"/>
      </w:divBdr>
    </w:div>
    <w:div w:id="1918515233">
      <w:bodyDiv w:val="1"/>
      <w:marLeft w:val="0"/>
      <w:marRight w:val="0"/>
      <w:marTop w:val="0"/>
      <w:marBottom w:val="0"/>
      <w:divBdr>
        <w:top w:val="none" w:sz="0" w:space="0" w:color="auto"/>
        <w:left w:val="none" w:sz="0" w:space="0" w:color="auto"/>
        <w:bottom w:val="none" w:sz="0" w:space="0" w:color="auto"/>
        <w:right w:val="none" w:sz="0" w:space="0" w:color="auto"/>
      </w:divBdr>
    </w:div>
    <w:div w:id="1922595342">
      <w:bodyDiv w:val="1"/>
      <w:marLeft w:val="0"/>
      <w:marRight w:val="0"/>
      <w:marTop w:val="0"/>
      <w:marBottom w:val="0"/>
      <w:divBdr>
        <w:top w:val="none" w:sz="0" w:space="0" w:color="auto"/>
        <w:left w:val="none" w:sz="0" w:space="0" w:color="auto"/>
        <w:bottom w:val="none" w:sz="0" w:space="0" w:color="auto"/>
        <w:right w:val="none" w:sz="0" w:space="0" w:color="auto"/>
      </w:divBdr>
    </w:div>
    <w:div w:id="1925992752">
      <w:bodyDiv w:val="1"/>
      <w:marLeft w:val="0"/>
      <w:marRight w:val="0"/>
      <w:marTop w:val="0"/>
      <w:marBottom w:val="0"/>
      <w:divBdr>
        <w:top w:val="none" w:sz="0" w:space="0" w:color="auto"/>
        <w:left w:val="none" w:sz="0" w:space="0" w:color="auto"/>
        <w:bottom w:val="none" w:sz="0" w:space="0" w:color="auto"/>
        <w:right w:val="none" w:sz="0" w:space="0" w:color="auto"/>
      </w:divBdr>
    </w:div>
    <w:div w:id="1926958379">
      <w:bodyDiv w:val="1"/>
      <w:marLeft w:val="0"/>
      <w:marRight w:val="0"/>
      <w:marTop w:val="0"/>
      <w:marBottom w:val="0"/>
      <w:divBdr>
        <w:top w:val="none" w:sz="0" w:space="0" w:color="auto"/>
        <w:left w:val="none" w:sz="0" w:space="0" w:color="auto"/>
        <w:bottom w:val="none" w:sz="0" w:space="0" w:color="auto"/>
        <w:right w:val="none" w:sz="0" w:space="0" w:color="auto"/>
      </w:divBdr>
    </w:div>
    <w:div w:id="1949971177">
      <w:bodyDiv w:val="1"/>
      <w:marLeft w:val="0"/>
      <w:marRight w:val="0"/>
      <w:marTop w:val="0"/>
      <w:marBottom w:val="0"/>
      <w:divBdr>
        <w:top w:val="none" w:sz="0" w:space="0" w:color="auto"/>
        <w:left w:val="none" w:sz="0" w:space="0" w:color="auto"/>
        <w:bottom w:val="none" w:sz="0" w:space="0" w:color="auto"/>
        <w:right w:val="none" w:sz="0" w:space="0" w:color="auto"/>
      </w:divBdr>
    </w:div>
    <w:div w:id="1950040459">
      <w:bodyDiv w:val="1"/>
      <w:marLeft w:val="0"/>
      <w:marRight w:val="0"/>
      <w:marTop w:val="0"/>
      <w:marBottom w:val="0"/>
      <w:divBdr>
        <w:top w:val="none" w:sz="0" w:space="0" w:color="auto"/>
        <w:left w:val="none" w:sz="0" w:space="0" w:color="auto"/>
        <w:bottom w:val="none" w:sz="0" w:space="0" w:color="auto"/>
        <w:right w:val="none" w:sz="0" w:space="0" w:color="auto"/>
      </w:divBdr>
    </w:div>
    <w:div w:id="1956329552">
      <w:bodyDiv w:val="1"/>
      <w:marLeft w:val="0"/>
      <w:marRight w:val="0"/>
      <w:marTop w:val="0"/>
      <w:marBottom w:val="0"/>
      <w:divBdr>
        <w:top w:val="none" w:sz="0" w:space="0" w:color="auto"/>
        <w:left w:val="none" w:sz="0" w:space="0" w:color="auto"/>
        <w:bottom w:val="none" w:sz="0" w:space="0" w:color="auto"/>
        <w:right w:val="none" w:sz="0" w:space="0" w:color="auto"/>
      </w:divBdr>
    </w:div>
    <w:div w:id="1966428056">
      <w:bodyDiv w:val="1"/>
      <w:marLeft w:val="0"/>
      <w:marRight w:val="0"/>
      <w:marTop w:val="0"/>
      <w:marBottom w:val="0"/>
      <w:divBdr>
        <w:top w:val="none" w:sz="0" w:space="0" w:color="auto"/>
        <w:left w:val="none" w:sz="0" w:space="0" w:color="auto"/>
        <w:bottom w:val="none" w:sz="0" w:space="0" w:color="auto"/>
        <w:right w:val="none" w:sz="0" w:space="0" w:color="auto"/>
      </w:divBdr>
    </w:div>
    <w:div w:id="1984848766">
      <w:bodyDiv w:val="1"/>
      <w:marLeft w:val="0"/>
      <w:marRight w:val="0"/>
      <w:marTop w:val="0"/>
      <w:marBottom w:val="0"/>
      <w:divBdr>
        <w:top w:val="none" w:sz="0" w:space="0" w:color="auto"/>
        <w:left w:val="none" w:sz="0" w:space="0" w:color="auto"/>
        <w:bottom w:val="none" w:sz="0" w:space="0" w:color="auto"/>
        <w:right w:val="none" w:sz="0" w:space="0" w:color="auto"/>
      </w:divBdr>
    </w:div>
    <w:div w:id="1990012490">
      <w:bodyDiv w:val="1"/>
      <w:marLeft w:val="0"/>
      <w:marRight w:val="0"/>
      <w:marTop w:val="0"/>
      <w:marBottom w:val="0"/>
      <w:divBdr>
        <w:top w:val="none" w:sz="0" w:space="0" w:color="auto"/>
        <w:left w:val="none" w:sz="0" w:space="0" w:color="auto"/>
        <w:bottom w:val="none" w:sz="0" w:space="0" w:color="auto"/>
        <w:right w:val="none" w:sz="0" w:space="0" w:color="auto"/>
      </w:divBdr>
    </w:div>
    <w:div w:id="1996447993">
      <w:bodyDiv w:val="1"/>
      <w:marLeft w:val="0"/>
      <w:marRight w:val="0"/>
      <w:marTop w:val="0"/>
      <w:marBottom w:val="0"/>
      <w:divBdr>
        <w:top w:val="none" w:sz="0" w:space="0" w:color="auto"/>
        <w:left w:val="none" w:sz="0" w:space="0" w:color="auto"/>
        <w:bottom w:val="none" w:sz="0" w:space="0" w:color="auto"/>
        <w:right w:val="none" w:sz="0" w:space="0" w:color="auto"/>
      </w:divBdr>
    </w:div>
    <w:div w:id="2002654398">
      <w:bodyDiv w:val="1"/>
      <w:marLeft w:val="0"/>
      <w:marRight w:val="0"/>
      <w:marTop w:val="0"/>
      <w:marBottom w:val="0"/>
      <w:divBdr>
        <w:top w:val="none" w:sz="0" w:space="0" w:color="auto"/>
        <w:left w:val="none" w:sz="0" w:space="0" w:color="auto"/>
        <w:bottom w:val="none" w:sz="0" w:space="0" w:color="auto"/>
        <w:right w:val="none" w:sz="0" w:space="0" w:color="auto"/>
      </w:divBdr>
    </w:div>
    <w:div w:id="2007826692">
      <w:bodyDiv w:val="1"/>
      <w:marLeft w:val="0"/>
      <w:marRight w:val="0"/>
      <w:marTop w:val="0"/>
      <w:marBottom w:val="0"/>
      <w:divBdr>
        <w:top w:val="none" w:sz="0" w:space="0" w:color="auto"/>
        <w:left w:val="none" w:sz="0" w:space="0" w:color="auto"/>
        <w:bottom w:val="none" w:sz="0" w:space="0" w:color="auto"/>
        <w:right w:val="none" w:sz="0" w:space="0" w:color="auto"/>
      </w:divBdr>
    </w:div>
    <w:div w:id="2009597976">
      <w:bodyDiv w:val="1"/>
      <w:marLeft w:val="0"/>
      <w:marRight w:val="0"/>
      <w:marTop w:val="0"/>
      <w:marBottom w:val="0"/>
      <w:divBdr>
        <w:top w:val="none" w:sz="0" w:space="0" w:color="auto"/>
        <w:left w:val="none" w:sz="0" w:space="0" w:color="auto"/>
        <w:bottom w:val="none" w:sz="0" w:space="0" w:color="auto"/>
        <w:right w:val="none" w:sz="0" w:space="0" w:color="auto"/>
      </w:divBdr>
    </w:div>
    <w:div w:id="2010323613">
      <w:bodyDiv w:val="1"/>
      <w:marLeft w:val="0"/>
      <w:marRight w:val="0"/>
      <w:marTop w:val="0"/>
      <w:marBottom w:val="0"/>
      <w:divBdr>
        <w:top w:val="none" w:sz="0" w:space="0" w:color="auto"/>
        <w:left w:val="none" w:sz="0" w:space="0" w:color="auto"/>
        <w:bottom w:val="none" w:sz="0" w:space="0" w:color="auto"/>
        <w:right w:val="none" w:sz="0" w:space="0" w:color="auto"/>
      </w:divBdr>
    </w:div>
    <w:div w:id="2021929950">
      <w:bodyDiv w:val="1"/>
      <w:marLeft w:val="0"/>
      <w:marRight w:val="0"/>
      <w:marTop w:val="0"/>
      <w:marBottom w:val="0"/>
      <w:divBdr>
        <w:top w:val="none" w:sz="0" w:space="0" w:color="auto"/>
        <w:left w:val="none" w:sz="0" w:space="0" w:color="auto"/>
        <w:bottom w:val="none" w:sz="0" w:space="0" w:color="auto"/>
        <w:right w:val="none" w:sz="0" w:space="0" w:color="auto"/>
      </w:divBdr>
    </w:div>
    <w:div w:id="2027174593">
      <w:bodyDiv w:val="1"/>
      <w:marLeft w:val="0"/>
      <w:marRight w:val="0"/>
      <w:marTop w:val="0"/>
      <w:marBottom w:val="0"/>
      <w:divBdr>
        <w:top w:val="none" w:sz="0" w:space="0" w:color="auto"/>
        <w:left w:val="none" w:sz="0" w:space="0" w:color="auto"/>
        <w:bottom w:val="none" w:sz="0" w:space="0" w:color="auto"/>
        <w:right w:val="none" w:sz="0" w:space="0" w:color="auto"/>
      </w:divBdr>
    </w:div>
    <w:div w:id="2032293267">
      <w:bodyDiv w:val="1"/>
      <w:marLeft w:val="0"/>
      <w:marRight w:val="0"/>
      <w:marTop w:val="0"/>
      <w:marBottom w:val="0"/>
      <w:divBdr>
        <w:top w:val="none" w:sz="0" w:space="0" w:color="auto"/>
        <w:left w:val="none" w:sz="0" w:space="0" w:color="auto"/>
        <w:bottom w:val="none" w:sz="0" w:space="0" w:color="auto"/>
        <w:right w:val="none" w:sz="0" w:space="0" w:color="auto"/>
      </w:divBdr>
    </w:div>
    <w:div w:id="2038963937">
      <w:bodyDiv w:val="1"/>
      <w:marLeft w:val="0"/>
      <w:marRight w:val="0"/>
      <w:marTop w:val="0"/>
      <w:marBottom w:val="0"/>
      <w:divBdr>
        <w:top w:val="none" w:sz="0" w:space="0" w:color="auto"/>
        <w:left w:val="none" w:sz="0" w:space="0" w:color="auto"/>
        <w:bottom w:val="none" w:sz="0" w:space="0" w:color="auto"/>
        <w:right w:val="none" w:sz="0" w:space="0" w:color="auto"/>
      </w:divBdr>
    </w:div>
    <w:div w:id="2044356261">
      <w:bodyDiv w:val="1"/>
      <w:marLeft w:val="0"/>
      <w:marRight w:val="0"/>
      <w:marTop w:val="0"/>
      <w:marBottom w:val="0"/>
      <w:divBdr>
        <w:top w:val="none" w:sz="0" w:space="0" w:color="auto"/>
        <w:left w:val="none" w:sz="0" w:space="0" w:color="auto"/>
        <w:bottom w:val="none" w:sz="0" w:space="0" w:color="auto"/>
        <w:right w:val="none" w:sz="0" w:space="0" w:color="auto"/>
      </w:divBdr>
    </w:div>
    <w:div w:id="2054111340">
      <w:bodyDiv w:val="1"/>
      <w:marLeft w:val="0"/>
      <w:marRight w:val="0"/>
      <w:marTop w:val="0"/>
      <w:marBottom w:val="0"/>
      <w:divBdr>
        <w:top w:val="none" w:sz="0" w:space="0" w:color="auto"/>
        <w:left w:val="none" w:sz="0" w:space="0" w:color="auto"/>
        <w:bottom w:val="none" w:sz="0" w:space="0" w:color="auto"/>
        <w:right w:val="none" w:sz="0" w:space="0" w:color="auto"/>
      </w:divBdr>
    </w:div>
    <w:div w:id="2062438047">
      <w:bodyDiv w:val="1"/>
      <w:marLeft w:val="0"/>
      <w:marRight w:val="0"/>
      <w:marTop w:val="0"/>
      <w:marBottom w:val="0"/>
      <w:divBdr>
        <w:top w:val="none" w:sz="0" w:space="0" w:color="auto"/>
        <w:left w:val="none" w:sz="0" w:space="0" w:color="auto"/>
        <w:bottom w:val="none" w:sz="0" w:space="0" w:color="auto"/>
        <w:right w:val="none" w:sz="0" w:space="0" w:color="auto"/>
      </w:divBdr>
    </w:div>
    <w:div w:id="2064600879">
      <w:bodyDiv w:val="1"/>
      <w:marLeft w:val="0"/>
      <w:marRight w:val="0"/>
      <w:marTop w:val="0"/>
      <w:marBottom w:val="0"/>
      <w:divBdr>
        <w:top w:val="none" w:sz="0" w:space="0" w:color="auto"/>
        <w:left w:val="none" w:sz="0" w:space="0" w:color="auto"/>
        <w:bottom w:val="none" w:sz="0" w:space="0" w:color="auto"/>
        <w:right w:val="none" w:sz="0" w:space="0" w:color="auto"/>
      </w:divBdr>
      <w:divsChild>
        <w:div w:id="1967661225">
          <w:marLeft w:val="0"/>
          <w:marRight w:val="0"/>
          <w:marTop w:val="0"/>
          <w:marBottom w:val="0"/>
          <w:divBdr>
            <w:top w:val="none" w:sz="0" w:space="0" w:color="auto"/>
            <w:left w:val="none" w:sz="0" w:space="0" w:color="auto"/>
            <w:bottom w:val="none" w:sz="0" w:space="0" w:color="auto"/>
            <w:right w:val="none" w:sz="0" w:space="0" w:color="auto"/>
          </w:divBdr>
        </w:div>
      </w:divsChild>
    </w:div>
    <w:div w:id="2065907136">
      <w:bodyDiv w:val="1"/>
      <w:marLeft w:val="0"/>
      <w:marRight w:val="0"/>
      <w:marTop w:val="0"/>
      <w:marBottom w:val="0"/>
      <w:divBdr>
        <w:top w:val="none" w:sz="0" w:space="0" w:color="auto"/>
        <w:left w:val="none" w:sz="0" w:space="0" w:color="auto"/>
        <w:bottom w:val="none" w:sz="0" w:space="0" w:color="auto"/>
        <w:right w:val="none" w:sz="0" w:space="0" w:color="auto"/>
      </w:divBdr>
      <w:divsChild>
        <w:div w:id="1265723165">
          <w:marLeft w:val="0"/>
          <w:marRight w:val="0"/>
          <w:marTop w:val="0"/>
          <w:marBottom w:val="0"/>
          <w:divBdr>
            <w:top w:val="none" w:sz="0" w:space="0" w:color="auto"/>
            <w:left w:val="none" w:sz="0" w:space="0" w:color="auto"/>
            <w:bottom w:val="none" w:sz="0" w:space="0" w:color="auto"/>
            <w:right w:val="none" w:sz="0" w:space="0" w:color="auto"/>
          </w:divBdr>
        </w:div>
      </w:divsChild>
    </w:div>
    <w:div w:id="2073692270">
      <w:bodyDiv w:val="1"/>
      <w:marLeft w:val="0"/>
      <w:marRight w:val="0"/>
      <w:marTop w:val="0"/>
      <w:marBottom w:val="0"/>
      <w:divBdr>
        <w:top w:val="none" w:sz="0" w:space="0" w:color="auto"/>
        <w:left w:val="none" w:sz="0" w:space="0" w:color="auto"/>
        <w:bottom w:val="none" w:sz="0" w:space="0" w:color="auto"/>
        <w:right w:val="none" w:sz="0" w:space="0" w:color="auto"/>
      </w:divBdr>
    </w:div>
    <w:div w:id="2091001853">
      <w:bodyDiv w:val="1"/>
      <w:marLeft w:val="0"/>
      <w:marRight w:val="0"/>
      <w:marTop w:val="0"/>
      <w:marBottom w:val="0"/>
      <w:divBdr>
        <w:top w:val="none" w:sz="0" w:space="0" w:color="auto"/>
        <w:left w:val="none" w:sz="0" w:space="0" w:color="auto"/>
        <w:bottom w:val="none" w:sz="0" w:space="0" w:color="auto"/>
        <w:right w:val="none" w:sz="0" w:space="0" w:color="auto"/>
      </w:divBdr>
    </w:div>
    <w:div w:id="2099014823">
      <w:bodyDiv w:val="1"/>
      <w:marLeft w:val="0"/>
      <w:marRight w:val="0"/>
      <w:marTop w:val="0"/>
      <w:marBottom w:val="0"/>
      <w:divBdr>
        <w:top w:val="none" w:sz="0" w:space="0" w:color="auto"/>
        <w:left w:val="none" w:sz="0" w:space="0" w:color="auto"/>
        <w:bottom w:val="none" w:sz="0" w:space="0" w:color="auto"/>
        <w:right w:val="none" w:sz="0" w:space="0" w:color="auto"/>
      </w:divBdr>
    </w:div>
    <w:div w:id="2101902089">
      <w:bodyDiv w:val="1"/>
      <w:marLeft w:val="0"/>
      <w:marRight w:val="0"/>
      <w:marTop w:val="0"/>
      <w:marBottom w:val="0"/>
      <w:divBdr>
        <w:top w:val="none" w:sz="0" w:space="0" w:color="auto"/>
        <w:left w:val="none" w:sz="0" w:space="0" w:color="auto"/>
        <w:bottom w:val="none" w:sz="0" w:space="0" w:color="auto"/>
        <w:right w:val="none" w:sz="0" w:space="0" w:color="auto"/>
      </w:divBdr>
    </w:div>
    <w:div w:id="2104257594">
      <w:bodyDiv w:val="1"/>
      <w:marLeft w:val="0"/>
      <w:marRight w:val="0"/>
      <w:marTop w:val="0"/>
      <w:marBottom w:val="0"/>
      <w:divBdr>
        <w:top w:val="none" w:sz="0" w:space="0" w:color="auto"/>
        <w:left w:val="none" w:sz="0" w:space="0" w:color="auto"/>
        <w:bottom w:val="none" w:sz="0" w:space="0" w:color="auto"/>
        <w:right w:val="none" w:sz="0" w:space="0" w:color="auto"/>
      </w:divBdr>
    </w:div>
    <w:div w:id="2108309197">
      <w:bodyDiv w:val="1"/>
      <w:marLeft w:val="0"/>
      <w:marRight w:val="0"/>
      <w:marTop w:val="0"/>
      <w:marBottom w:val="0"/>
      <w:divBdr>
        <w:top w:val="none" w:sz="0" w:space="0" w:color="auto"/>
        <w:left w:val="none" w:sz="0" w:space="0" w:color="auto"/>
        <w:bottom w:val="none" w:sz="0" w:space="0" w:color="auto"/>
        <w:right w:val="none" w:sz="0" w:space="0" w:color="auto"/>
      </w:divBdr>
    </w:div>
    <w:div w:id="2128308259">
      <w:bodyDiv w:val="1"/>
      <w:marLeft w:val="0"/>
      <w:marRight w:val="0"/>
      <w:marTop w:val="0"/>
      <w:marBottom w:val="0"/>
      <w:divBdr>
        <w:top w:val="none" w:sz="0" w:space="0" w:color="auto"/>
        <w:left w:val="none" w:sz="0" w:space="0" w:color="auto"/>
        <w:bottom w:val="none" w:sz="0" w:space="0" w:color="auto"/>
        <w:right w:val="none" w:sz="0" w:space="0" w:color="auto"/>
      </w:divBdr>
    </w:div>
    <w:div w:id="2130463778">
      <w:bodyDiv w:val="1"/>
      <w:marLeft w:val="0"/>
      <w:marRight w:val="0"/>
      <w:marTop w:val="0"/>
      <w:marBottom w:val="0"/>
      <w:divBdr>
        <w:top w:val="none" w:sz="0" w:space="0" w:color="auto"/>
        <w:left w:val="none" w:sz="0" w:space="0" w:color="auto"/>
        <w:bottom w:val="none" w:sz="0" w:space="0" w:color="auto"/>
        <w:right w:val="none" w:sz="0" w:space="0" w:color="auto"/>
      </w:divBdr>
    </w:div>
    <w:div w:id="2133398023">
      <w:bodyDiv w:val="1"/>
      <w:marLeft w:val="0"/>
      <w:marRight w:val="0"/>
      <w:marTop w:val="0"/>
      <w:marBottom w:val="0"/>
      <w:divBdr>
        <w:top w:val="none" w:sz="0" w:space="0" w:color="auto"/>
        <w:left w:val="none" w:sz="0" w:space="0" w:color="auto"/>
        <w:bottom w:val="none" w:sz="0" w:space="0" w:color="auto"/>
        <w:right w:val="none" w:sz="0" w:space="0" w:color="auto"/>
      </w:divBdr>
      <w:divsChild>
        <w:div w:id="9427661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header" Target="header28.xml"/><Relationship Id="rId21" Type="http://schemas.openxmlformats.org/officeDocument/2006/relationships/footer" Target="footer4.xml"/><Relationship Id="rId42" Type="http://schemas.openxmlformats.org/officeDocument/2006/relationships/image" Target="media/image8.emf"/><Relationship Id="rId47" Type="http://schemas.openxmlformats.org/officeDocument/2006/relationships/header" Target="header14.xml"/><Relationship Id="rId63" Type="http://schemas.openxmlformats.org/officeDocument/2006/relationships/image" Target="media/image21.emf"/><Relationship Id="rId68" Type="http://schemas.openxmlformats.org/officeDocument/2006/relationships/image" Target="media/image26.emf"/><Relationship Id="rId84" Type="http://schemas.openxmlformats.org/officeDocument/2006/relationships/image" Target="media/image39.emf"/><Relationship Id="rId89" Type="http://schemas.openxmlformats.org/officeDocument/2006/relationships/image" Target="media/image44.emf"/><Relationship Id="rId112" Type="http://schemas.openxmlformats.org/officeDocument/2006/relationships/header" Target="header25.xml"/><Relationship Id="rId133" Type="http://schemas.openxmlformats.org/officeDocument/2006/relationships/image" Target="media/image61.png"/><Relationship Id="rId138" Type="http://schemas.openxmlformats.org/officeDocument/2006/relationships/image" Target="media/image65.emf"/><Relationship Id="rId154" Type="http://schemas.openxmlformats.org/officeDocument/2006/relationships/footer" Target="footer27.xml"/><Relationship Id="rId159" Type="http://schemas.openxmlformats.org/officeDocument/2006/relationships/footer" Target="footer30.xml"/><Relationship Id="rId16" Type="http://schemas.openxmlformats.org/officeDocument/2006/relationships/footer" Target="footer3.xml"/><Relationship Id="rId107" Type="http://schemas.openxmlformats.org/officeDocument/2006/relationships/footer" Target="footer17.xml"/><Relationship Id="rId11" Type="http://schemas.openxmlformats.org/officeDocument/2006/relationships/hyperlink" Target="http://creativecommons.org/licenses/by/3.0/au/legalcode" TargetMode="External"/><Relationship Id="rId32" Type="http://schemas.openxmlformats.org/officeDocument/2006/relationships/header" Target="header10.xml"/><Relationship Id="rId37" Type="http://schemas.openxmlformats.org/officeDocument/2006/relationships/image" Target="media/image3.emf"/><Relationship Id="rId53" Type="http://schemas.openxmlformats.org/officeDocument/2006/relationships/image" Target="media/image11.emf"/><Relationship Id="rId58" Type="http://schemas.openxmlformats.org/officeDocument/2006/relationships/image" Target="media/image16.emf"/><Relationship Id="rId74" Type="http://schemas.openxmlformats.org/officeDocument/2006/relationships/image" Target="media/image32.emf"/><Relationship Id="rId79" Type="http://schemas.openxmlformats.org/officeDocument/2006/relationships/image" Target="media/image37.emf"/><Relationship Id="rId102" Type="http://schemas.openxmlformats.org/officeDocument/2006/relationships/footer" Target="footer14.xml"/><Relationship Id="rId123" Type="http://schemas.openxmlformats.org/officeDocument/2006/relationships/image" Target="media/image53.emf"/><Relationship Id="rId128" Type="http://schemas.openxmlformats.org/officeDocument/2006/relationships/image" Target="media/image58.emf"/><Relationship Id="rId144" Type="http://schemas.openxmlformats.org/officeDocument/2006/relationships/image" Target="media/image71.emf"/><Relationship Id="rId14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45.emf"/><Relationship Id="rId95" Type="http://schemas.openxmlformats.org/officeDocument/2006/relationships/footer" Target="footer12.xml"/><Relationship Id="rId160" Type="http://schemas.openxmlformats.org/officeDocument/2006/relationships/header" Target="header36.xml"/><Relationship Id="rId165" Type="http://schemas.openxmlformats.org/officeDocument/2006/relationships/fontTable" Target="fontTable.xml"/><Relationship Id="rId22" Type="http://schemas.openxmlformats.org/officeDocument/2006/relationships/header" Target="header4.xml"/><Relationship Id="rId27" Type="http://schemas.openxmlformats.org/officeDocument/2006/relationships/header" Target="header7.xml"/><Relationship Id="rId43" Type="http://schemas.openxmlformats.org/officeDocument/2006/relationships/image" Target="media/image9.emf"/><Relationship Id="rId48" Type="http://schemas.openxmlformats.org/officeDocument/2006/relationships/footer" Target="footer10.xml"/><Relationship Id="rId64" Type="http://schemas.openxmlformats.org/officeDocument/2006/relationships/image" Target="media/image22.emf"/><Relationship Id="rId69" Type="http://schemas.openxmlformats.org/officeDocument/2006/relationships/image" Target="media/image27.emf"/><Relationship Id="rId113" Type="http://schemas.openxmlformats.org/officeDocument/2006/relationships/header" Target="header26.xml"/><Relationship Id="rId118" Type="http://schemas.openxmlformats.org/officeDocument/2006/relationships/header" Target="header29.xml"/><Relationship Id="rId134" Type="http://schemas.openxmlformats.org/officeDocument/2006/relationships/image" Target="media/image62.emf"/><Relationship Id="rId139" Type="http://schemas.openxmlformats.org/officeDocument/2006/relationships/image" Target="media/image66.emf"/><Relationship Id="rId80" Type="http://schemas.openxmlformats.org/officeDocument/2006/relationships/header" Target="header16.xml"/><Relationship Id="rId85" Type="http://schemas.openxmlformats.org/officeDocument/2006/relationships/image" Target="media/image40.emf"/><Relationship Id="rId150" Type="http://schemas.openxmlformats.org/officeDocument/2006/relationships/hyperlink" Target="https://www.dha.gov.au/sci" TargetMode="External"/><Relationship Id="rId155" Type="http://schemas.openxmlformats.org/officeDocument/2006/relationships/footer" Target="footer28.xml"/><Relationship Id="rId12" Type="http://schemas.openxmlformats.org/officeDocument/2006/relationships/image" Target="media/image1.png"/><Relationship Id="rId17" Type="http://schemas.openxmlformats.org/officeDocument/2006/relationships/header" Target="header1.xml"/><Relationship Id="rId33" Type="http://schemas.openxmlformats.org/officeDocument/2006/relationships/header" Target="header11.xml"/><Relationship Id="rId38" Type="http://schemas.openxmlformats.org/officeDocument/2006/relationships/image" Target="media/image4.emf"/><Relationship Id="rId59" Type="http://schemas.openxmlformats.org/officeDocument/2006/relationships/image" Target="media/image17.emf"/><Relationship Id="rId103" Type="http://schemas.openxmlformats.org/officeDocument/2006/relationships/footer" Target="footer15.xml"/><Relationship Id="rId108" Type="http://schemas.openxmlformats.org/officeDocument/2006/relationships/header" Target="header23.xml"/><Relationship Id="rId124" Type="http://schemas.openxmlformats.org/officeDocument/2006/relationships/image" Target="media/image54.emf"/><Relationship Id="rId129" Type="http://schemas.openxmlformats.org/officeDocument/2006/relationships/image" Target="media/image59.emf"/><Relationship Id="rId54" Type="http://schemas.openxmlformats.org/officeDocument/2006/relationships/image" Target="media/image12.emf"/><Relationship Id="rId70" Type="http://schemas.openxmlformats.org/officeDocument/2006/relationships/image" Target="media/image28.emf"/><Relationship Id="rId75" Type="http://schemas.openxmlformats.org/officeDocument/2006/relationships/image" Target="media/image33.emf"/><Relationship Id="rId91" Type="http://schemas.openxmlformats.org/officeDocument/2006/relationships/image" Target="media/image46.emf"/><Relationship Id="rId96" Type="http://schemas.openxmlformats.org/officeDocument/2006/relationships/footer" Target="footer13.xml"/><Relationship Id="rId140" Type="http://schemas.openxmlformats.org/officeDocument/2006/relationships/image" Target="media/image67.emf"/><Relationship Id="rId145" Type="http://schemas.openxmlformats.org/officeDocument/2006/relationships/header" Target="header30.xml"/><Relationship Id="rId161" Type="http://schemas.openxmlformats.org/officeDocument/2006/relationships/header" Target="header37.xm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dfg.cbc@defence.gov.au" TargetMode="External"/><Relationship Id="rId23" Type="http://schemas.openxmlformats.org/officeDocument/2006/relationships/hyperlink" Target="http://www.budget.gov.au" TargetMode="External"/><Relationship Id="rId28" Type="http://schemas.openxmlformats.org/officeDocument/2006/relationships/header" Target="header8.xml"/><Relationship Id="rId36" Type="http://schemas.openxmlformats.org/officeDocument/2006/relationships/header" Target="header12.xml"/><Relationship Id="rId49" Type="http://schemas.openxmlformats.org/officeDocument/2006/relationships/footer" Target="footer11.xml"/><Relationship Id="rId57" Type="http://schemas.openxmlformats.org/officeDocument/2006/relationships/image" Target="media/image15.emf"/><Relationship Id="rId106" Type="http://schemas.openxmlformats.org/officeDocument/2006/relationships/footer" Target="footer16.xml"/><Relationship Id="rId114" Type="http://schemas.openxmlformats.org/officeDocument/2006/relationships/header" Target="header27.xml"/><Relationship Id="rId119" Type="http://schemas.openxmlformats.org/officeDocument/2006/relationships/footer" Target="footer22.xml"/><Relationship Id="rId127" Type="http://schemas.openxmlformats.org/officeDocument/2006/relationships/image" Target="media/image57.emf"/><Relationship Id="rId10" Type="http://schemas.openxmlformats.org/officeDocument/2006/relationships/hyperlink" Target="http://creativecommons.org/licenses/by/3.0/au/deed.en" TargetMode="External"/><Relationship Id="rId31" Type="http://schemas.openxmlformats.org/officeDocument/2006/relationships/footer" Target="footer7.xml"/><Relationship Id="rId44" Type="http://schemas.openxmlformats.org/officeDocument/2006/relationships/image" Target="media/image10.emf"/><Relationship Id="rId52" Type="http://schemas.openxmlformats.org/officeDocument/2006/relationships/hyperlink" Target="https://www.defence.gov.au/about/information-disclosures/annual-reports" TargetMode="External"/><Relationship Id="rId60" Type="http://schemas.openxmlformats.org/officeDocument/2006/relationships/image" Target="media/image18.emf"/><Relationship Id="rId65" Type="http://schemas.openxmlformats.org/officeDocument/2006/relationships/image" Target="media/image23.emf"/><Relationship Id="rId73" Type="http://schemas.openxmlformats.org/officeDocument/2006/relationships/image" Target="media/image31.emf"/><Relationship Id="rId78" Type="http://schemas.openxmlformats.org/officeDocument/2006/relationships/image" Target="media/image36.emf"/><Relationship Id="rId81" Type="http://schemas.openxmlformats.org/officeDocument/2006/relationships/hyperlink" Target="http://www.grants.gov.au" TargetMode="External"/><Relationship Id="rId86" Type="http://schemas.openxmlformats.org/officeDocument/2006/relationships/image" Target="media/image41.emf"/><Relationship Id="rId94" Type="http://schemas.openxmlformats.org/officeDocument/2006/relationships/header" Target="header18.xml"/><Relationship Id="rId99" Type="http://schemas.openxmlformats.org/officeDocument/2006/relationships/image" Target="media/image50.emf"/><Relationship Id="rId101" Type="http://schemas.openxmlformats.org/officeDocument/2006/relationships/header" Target="header20.xml"/><Relationship Id="rId122" Type="http://schemas.openxmlformats.org/officeDocument/2006/relationships/hyperlink" Target="https://www.asd.gov.au/publications" TargetMode="External"/><Relationship Id="rId130" Type="http://schemas.openxmlformats.org/officeDocument/2006/relationships/image" Target="media/image60.emf"/><Relationship Id="rId135" Type="http://schemas.openxmlformats.org/officeDocument/2006/relationships/image" Target="media/image63.emf"/><Relationship Id="rId143" Type="http://schemas.openxmlformats.org/officeDocument/2006/relationships/image" Target="media/image70.emf"/><Relationship Id="rId148" Type="http://schemas.openxmlformats.org/officeDocument/2006/relationships/footer" Target="footer26.xml"/><Relationship Id="rId151" Type="http://schemas.openxmlformats.org/officeDocument/2006/relationships/hyperlink" Target="https://www.transparency.gov.au/annual-reports/defence-housing-australia/reporting-year/2021-22" TargetMode="External"/><Relationship Id="rId156" Type="http://schemas.openxmlformats.org/officeDocument/2006/relationships/header" Target="header34.xml"/><Relationship Id="rId164" Type="http://schemas.openxmlformats.org/officeDocument/2006/relationships/header" Target="header38.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creativecommons.org/licenses/by/3.0/au/deed.en" TargetMode="External"/><Relationship Id="rId18" Type="http://schemas.openxmlformats.org/officeDocument/2006/relationships/image" Target="media/image2.png"/><Relationship Id="rId39" Type="http://schemas.openxmlformats.org/officeDocument/2006/relationships/image" Target="media/image5.emf"/><Relationship Id="rId109" Type="http://schemas.openxmlformats.org/officeDocument/2006/relationships/header" Target="header24.xml"/><Relationship Id="rId34" Type="http://schemas.openxmlformats.org/officeDocument/2006/relationships/footer" Target="footer8.xml"/><Relationship Id="rId50" Type="http://schemas.openxmlformats.org/officeDocument/2006/relationships/header" Target="header15.xml"/><Relationship Id="rId55" Type="http://schemas.openxmlformats.org/officeDocument/2006/relationships/image" Target="media/image13.emf"/><Relationship Id="rId76" Type="http://schemas.openxmlformats.org/officeDocument/2006/relationships/image" Target="media/image34.emf"/><Relationship Id="rId97" Type="http://schemas.openxmlformats.org/officeDocument/2006/relationships/image" Target="media/image48.emf"/><Relationship Id="rId104" Type="http://schemas.openxmlformats.org/officeDocument/2006/relationships/header" Target="header21.xml"/><Relationship Id="rId120" Type="http://schemas.openxmlformats.org/officeDocument/2006/relationships/image" Target="media/image51.emf"/><Relationship Id="rId125" Type="http://schemas.openxmlformats.org/officeDocument/2006/relationships/image" Target="media/image55.emf"/><Relationship Id="rId141" Type="http://schemas.openxmlformats.org/officeDocument/2006/relationships/image" Target="media/image68.emf"/><Relationship Id="rId146" Type="http://schemas.openxmlformats.org/officeDocument/2006/relationships/header" Target="header31.xml"/><Relationship Id="rId7" Type="http://schemas.openxmlformats.org/officeDocument/2006/relationships/endnotes" Target="endnotes.xml"/><Relationship Id="rId71" Type="http://schemas.openxmlformats.org/officeDocument/2006/relationships/image" Target="media/image29.emf"/><Relationship Id="rId92" Type="http://schemas.openxmlformats.org/officeDocument/2006/relationships/image" Target="media/image47.emf"/><Relationship Id="rId162" Type="http://schemas.openxmlformats.org/officeDocument/2006/relationships/footer" Target="footer31.xml"/><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header" Target="header5.xml"/><Relationship Id="rId40" Type="http://schemas.openxmlformats.org/officeDocument/2006/relationships/image" Target="media/image6.emf"/><Relationship Id="rId45" Type="http://schemas.openxmlformats.org/officeDocument/2006/relationships/hyperlink" Target="https://www.defence.gov.au/PayandConditions/ADF/ADF-TWS.asp" TargetMode="External"/><Relationship Id="rId66" Type="http://schemas.openxmlformats.org/officeDocument/2006/relationships/image" Target="media/image24.emf"/><Relationship Id="rId87" Type="http://schemas.openxmlformats.org/officeDocument/2006/relationships/image" Target="media/image42.emf"/><Relationship Id="rId110" Type="http://schemas.openxmlformats.org/officeDocument/2006/relationships/footer" Target="footer18.xml"/><Relationship Id="rId115" Type="http://schemas.openxmlformats.org/officeDocument/2006/relationships/footer" Target="footer20.xml"/><Relationship Id="rId131" Type="http://schemas.openxmlformats.org/officeDocument/2006/relationships/footer" Target="footer23.xml"/><Relationship Id="rId136" Type="http://schemas.openxmlformats.org/officeDocument/2006/relationships/hyperlink" Target="https://www.asa.gov.au/about/planning-reporting" TargetMode="External"/><Relationship Id="rId157" Type="http://schemas.openxmlformats.org/officeDocument/2006/relationships/header" Target="header35.xml"/><Relationship Id="rId61" Type="http://schemas.openxmlformats.org/officeDocument/2006/relationships/image" Target="media/image19.emf"/><Relationship Id="rId82" Type="http://schemas.openxmlformats.org/officeDocument/2006/relationships/hyperlink" Target="https://defence.gov.au/DFG/Grants/" TargetMode="External"/><Relationship Id="rId152" Type="http://schemas.openxmlformats.org/officeDocument/2006/relationships/header" Target="header32.xml"/><Relationship Id="rId19" Type="http://schemas.openxmlformats.org/officeDocument/2006/relationships/header" Target="header2.xml"/><Relationship Id="rId14" Type="http://schemas.openxmlformats.org/officeDocument/2006/relationships/hyperlink" Target="http://www.pmc.gov.au/government/commonwealth-coat-arms" TargetMode="External"/><Relationship Id="rId30" Type="http://schemas.openxmlformats.org/officeDocument/2006/relationships/footer" Target="footer6.xml"/><Relationship Id="rId35" Type="http://schemas.openxmlformats.org/officeDocument/2006/relationships/footer" Target="footer9.xml"/><Relationship Id="rId56" Type="http://schemas.openxmlformats.org/officeDocument/2006/relationships/image" Target="media/image14.emf"/><Relationship Id="rId77" Type="http://schemas.openxmlformats.org/officeDocument/2006/relationships/image" Target="media/image35.emf"/><Relationship Id="rId100" Type="http://schemas.openxmlformats.org/officeDocument/2006/relationships/header" Target="header19.xml"/><Relationship Id="rId105" Type="http://schemas.openxmlformats.org/officeDocument/2006/relationships/header" Target="header22.xml"/><Relationship Id="rId126" Type="http://schemas.openxmlformats.org/officeDocument/2006/relationships/image" Target="media/image56.emf"/><Relationship Id="rId147" Type="http://schemas.openxmlformats.org/officeDocument/2006/relationships/footer" Target="footer25.xml"/><Relationship Id="rId8" Type="http://schemas.openxmlformats.org/officeDocument/2006/relationships/footer" Target="footer1.xml"/><Relationship Id="rId51" Type="http://schemas.openxmlformats.org/officeDocument/2006/relationships/hyperlink" Target="http://www.defence.gov.au/about/strategic-planning/defence-corporate-plan/" TargetMode="External"/><Relationship Id="rId72" Type="http://schemas.openxmlformats.org/officeDocument/2006/relationships/image" Target="media/image30.emf"/><Relationship Id="rId93" Type="http://schemas.openxmlformats.org/officeDocument/2006/relationships/header" Target="header17.xml"/><Relationship Id="rId98" Type="http://schemas.openxmlformats.org/officeDocument/2006/relationships/image" Target="media/image49.emf"/><Relationship Id="rId121" Type="http://schemas.openxmlformats.org/officeDocument/2006/relationships/image" Target="media/image52.emf"/><Relationship Id="rId142" Type="http://schemas.openxmlformats.org/officeDocument/2006/relationships/image" Target="media/image69.emf"/><Relationship Id="rId163" Type="http://schemas.openxmlformats.org/officeDocument/2006/relationships/footer" Target="footer32.xml"/><Relationship Id="rId3" Type="http://schemas.openxmlformats.org/officeDocument/2006/relationships/styles" Target="styles.xml"/><Relationship Id="rId25" Type="http://schemas.openxmlformats.org/officeDocument/2006/relationships/header" Target="header6.xml"/><Relationship Id="rId46" Type="http://schemas.openxmlformats.org/officeDocument/2006/relationships/header" Target="header13.xml"/><Relationship Id="rId67" Type="http://schemas.openxmlformats.org/officeDocument/2006/relationships/image" Target="media/image25.emf"/><Relationship Id="rId116" Type="http://schemas.openxmlformats.org/officeDocument/2006/relationships/footer" Target="footer21.xml"/><Relationship Id="rId137" Type="http://schemas.openxmlformats.org/officeDocument/2006/relationships/image" Target="media/image64.emf"/><Relationship Id="rId158" Type="http://schemas.openxmlformats.org/officeDocument/2006/relationships/footer" Target="footer29.xml"/><Relationship Id="rId20" Type="http://schemas.openxmlformats.org/officeDocument/2006/relationships/header" Target="header3.xml"/><Relationship Id="rId41" Type="http://schemas.openxmlformats.org/officeDocument/2006/relationships/image" Target="media/image7.emf"/><Relationship Id="rId62" Type="http://schemas.openxmlformats.org/officeDocument/2006/relationships/image" Target="media/image20.emf"/><Relationship Id="rId83" Type="http://schemas.openxmlformats.org/officeDocument/2006/relationships/image" Target="media/image38.emf"/><Relationship Id="rId88" Type="http://schemas.openxmlformats.org/officeDocument/2006/relationships/image" Target="media/image43.emf"/><Relationship Id="rId111" Type="http://schemas.openxmlformats.org/officeDocument/2006/relationships/footer" Target="footer19.xml"/><Relationship Id="rId132" Type="http://schemas.openxmlformats.org/officeDocument/2006/relationships/footer" Target="footer24.xml"/><Relationship Id="rId153" Type="http://schemas.openxmlformats.org/officeDocument/2006/relationships/header" Target="header3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47C5E2-EDC4-4850-AE8C-498311F23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1819</TotalTime>
  <Pages>1</Pages>
  <Words>58465</Words>
  <Characters>333257</Characters>
  <Application>Microsoft Office Word</Application>
  <DocSecurity>0</DocSecurity>
  <Lines>2777</Lines>
  <Paragraphs>781</Paragraphs>
  <ScaleCrop>false</ScaleCrop>
  <HeadingPairs>
    <vt:vector size="2" baseType="variant">
      <vt:variant>
        <vt:lpstr>Title</vt:lpstr>
      </vt:variant>
      <vt:variant>
        <vt:i4>1</vt:i4>
      </vt:variant>
    </vt:vector>
  </HeadingPairs>
  <TitlesOfParts>
    <vt:vector size="1" baseType="lpstr">
      <vt:lpstr>PORTFOLIO ADDITIONAL</vt:lpstr>
    </vt:vector>
  </TitlesOfParts>
  <Company>Department of Defence</Company>
  <LinksUpToDate>false</LinksUpToDate>
  <CharactersWithSpaces>390941</CharactersWithSpaces>
  <SharedDoc>false</SharedDoc>
  <HLinks>
    <vt:vector size="720" baseType="variant">
      <vt:variant>
        <vt:i4>6750329</vt:i4>
      </vt:variant>
      <vt:variant>
        <vt:i4>693</vt:i4>
      </vt:variant>
      <vt:variant>
        <vt:i4>0</vt:i4>
      </vt:variant>
      <vt:variant>
        <vt:i4>5</vt:i4>
      </vt:variant>
      <vt:variant>
        <vt:lpwstr>https://www.transparency.gov.au/annual-reports/defence-housing-australia/reporting-year/2021-22</vt:lpwstr>
      </vt:variant>
      <vt:variant>
        <vt:lpwstr/>
      </vt:variant>
      <vt:variant>
        <vt:i4>2097273</vt:i4>
      </vt:variant>
      <vt:variant>
        <vt:i4>690</vt:i4>
      </vt:variant>
      <vt:variant>
        <vt:i4>0</vt:i4>
      </vt:variant>
      <vt:variant>
        <vt:i4>5</vt:i4>
      </vt:variant>
      <vt:variant>
        <vt:lpwstr>https://www.dha.gov.au/sci</vt:lpwstr>
      </vt:variant>
      <vt:variant>
        <vt:lpwstr/>
      </vt:variant>
      <vt:variant>
        <vt:i4>1572921</vt:i4>
      </vt:variant>
      <vt:variant>
        <vt:i4>683</vt:i4>
      </vt:variant>
      <vt:variant>
        <vt:i4>0</vt:i4>
      </vt:variant>
      <vt:variant>
        <vt:i4>5</vt:i4>
      </vt:variant>
      <vt:variant>
        <vt:lpwstr/>
      </vt:variant>
      <vt:variant>
        <vt:lpwstr>_Toc536089259</vt:lpwstr>
      </vt:variant>
      <vt:variant>
        <vt:i4>1572921</vt:i4>
      </vt:variant>
      <vt:variant>
        <vt:i4>677</vt:i4>
      </vt:variant>
      <vt:variant>
        <vt:i4>0</vt:i4>
      </vt:variant>
      <vt:variant>
        <vt:i4>5</vt:i4>
      </vt:variant>
      <vt:variant>
        <vt:lpwstr/>
      </vt:variant>
      <vt:variant>
        <vt:lpwstr>_Toc536089258</vt:lpwstr>
      </vt:variant>
      <vt:variant>
        <vt:i4>1572921</vt:i4>
      </vt:variant>
      <vt:variant>
        <vt:i4>671</vt:i4>
      </vt:variant>
      <vt:variant>
        <vt:i4>0</vt:i4>
      </vt:variant>
      <vt:variant>
        <vt:i4>5</vt:i4>
      </vt:variant>
      <vt:variant>
        <vt:lpwstr/>
      </vt:variant>
      <vt:variant>
        <vt:lpwstr>_Toc536089257</vt:lpwstr>
      </vt:variant>
      <vt:variant>
        <vt:i4>1572921</vt:i4>
      </vt:variant>
      <vt:variant>
        <vt:i4>665</vt:i4>
      </vt:variant>
      <vt:variant>
        <vt:i4>0</vt:i4>
      </vt:variant>
      <vt:variant>
        <vt:i4>5</vt:i4>
      </vt:variant>
      <vt:variant>
        <vt:lpwstr/>
      </vt:variant>
      <vt:variant>
        <vt:lpwstr>_Toc536089256</vt:lpwstr>
      </vt:variant>
      <vt:variant>
        <vt:i4>1572921</vt:i4>
      </vt:variant>
      <vt:variant>
        <vt:i4>659</vt:i4>
      </vt:variant>
      <vt:variant>
        <vt:i4>0</vt:i4>
      </vt:variant>
      <vt:variant>
        <vt:i4>5</vt:i4>
      </vt:variant>
      <vt:variant>
        <vt:lpwstr/>
      </vt:variant>
      <vt:variant>
        <vt:lpwstr>_Toc536089255</vt:lpwstr>
      </vt:variant>
      <vt:variant>
        <vt:i4>1572921</vt:i4>
      </vt:variant>
      <vt:variant>
        <vt:i4>653</vt:i4>
      </vt:variant>
      <vt:variant>
        <vt:i4>0</vt:i4>
      </vt:variant>
      <vt:variant>
        <vt:i4>5</vt:i4>
      </vt:variant>
      <vt:variant>
        <vt:lpwstr/>
      </vt:variant>
      <vt:variant>
        <vt:lpwstr>_Toc536089254</vt:lpwstr>
      </vt:variant>
      <vt:variant>
        <vt:i4>1572921</vt:i4>
      </vt:variant>
      <vt:variant>
        <vt:i4>647</vt:i4>
      </vt:variant>
      <vt:variant>
        <vt:i4>0</vt:i4>
      </vt:variant>
      <vt:variant>
        <vt:i4>5</vt:i4>
      </vt:variant>
      <vt:variant>
        <vt:lpwstr/>
      </vt:variant>
      <vt:variant>
        <vt:lpwstr>_Toc536089253</vt:lpwstr>
      </vt:variant>
      <vt:variant>
        <vt:i4>1572921</vt:i4>
      </vt:variant>
      <vt:variant>
        <vt:i4>641</vt:i4>
      </vt:variant>
      <vt:variant>
        <vt:i4>0</vt:i4>
      </vt:variant>
      <vt:variant>
        <vt:i4>5</vt:i4>
      </vt:variant>
      <vt:variant>
        <vt:lpwstr/>
      </vt:variant>
      <vt:variant>
        <vt:lpwstr>_Toc536089252</vt:lpwstr>
      </vt:variant>
      <vt:variant>
        <vt:i4>1572921</vt:i4>
      </vt:variant>
      <vt:variant>
        <vt:i4>635</vt:i4>
      </vt:variant>
      <vt:variant>
        <vt:i4>0</vt:i4>
      </vt:variant>
      <vt:variant>
        <vt:i4>5</vt:i4>
      </vt:variant>
      <vt:variant>
        <vt:lpwstr/>
      </vt:variant>
      <vt:variant>
        <vt:lpwstr>_Toc536089251</vt:lpwstr>
      </vt:variant>
      <vt:variant>
        <vt:i4>1310780</vt:i4>
      </vt:variant>
      <vt:variant>
        <vt:i4>626</vt:i4>
      </vt:variant>
      <vt:variant>
        <vt:i4>0</vt:i4>
      </vt:variant>
      <vt:variant>
        <vt:i4>5</vt:i4>
      </vt:variant>
      <vt:variant>
        <vt:lpwstr/>
      </vt:variant>
      <vt:variant>
        <vt:lpwstr>_Toc159858164</vt:lpwstr>
      </vt:variant>
      <vt:variant>
        <vt:i4>1310780</vt:i4>
      </vt:variant>
      <vt:variant>
        <vt:i4>620</vt:i4>
      </vt:variant>
      <vt:variant>
        <vt:i4>0</vt:i4>
      </vt:variant>
      <vt:variant>
        <vt:i4>5</vt:i4>
      </vt:variant>
      <vt:variant>
        <vt:lpwstr/>
      </vt:variant>
      <vt:variant>
        <vt:lpwstr>_Toc159858163</vt:lpwstr>
      </vt:variant>
      <vt:variant>
        <vt:i4>1310780</vt:i4>
      </vt:variant>
      <vt:variant>
        <vt:i4>614</vt:i4>
      </vt:variant>
      <vt:variant>
        <vt:i4>0</vt:i4>
      </vt:variant>
      <vt:variant>
        <vt:i4>5</vt:i4>
      </vt:variant>
      <vt:variant>
        <vt:lpwstr/>
      </vt:variant>
      <vt:variant>
        <vt:lpwstr>_Toc159858162</vt:lpwstr>
      </vt:variant>
      <vt:variant>
        <vt:i4>1310780</vt:i4>
      </vt:variant>
      <vt:variant>
        <vt:i4>608</vt:i4>
      </vt:variant>
      <vt:variant>
        <vt:i4>0</vt:i4>
      </vt:variant>
      <vt:variant>
        <vt:i4>5</vt:i4>
      </vt:variant>
      <vt:variant>
        <vt:lpwstr/>
      </vt:variant>
      <vt:variant>
        <vt:lpwstr>_Toc159858161</vt:lpwstr>
      </vt:variant>
      <vt:variant>
        <vt:i4>1310780</vt:i4>
      </vt:variant>
      <vt:variant>
        <vt:i4>602</vt:i4>
      </vt:variant>
      <vt:variant>
        <vt:i4>0</vt:i4>
      </vt:variant>
      <vt:variant>
        <vt:i4>5</vt:i4>
      </vt:variant>
      <vt:variant>
        <vt:lpwstr/>
      </vt:variant>
      <vt:variant>
        <vt:lpwstr>_Toc159858160</vt:lpwstr>
      </vt:variant>
      <vt:variant>
        <vt:i4>1507388</vt:i4>
      </vt:variant>
      <vt:variant>
        <vt:i4>596</vt:i4>
      </vt:variant>
      <vt:variant>
        <vt:i4>0</vt:i4>
      </vt:variant>
      <vt:variant>
        <vt:i4>5</vt:i4>
      </vt:variant>
      <vt:variant>
        <vt:lpwstr/>
      </vt:variant>
      <vt:variant>
        <vt:lpwstr>_Toc159858159</vt:lpwstr>
      </vt:variant>
      <vt:variant>
        <vt:i4>1507388</vt:i4>
      </vt:variant>
      <vt:variant>
        <vt:i4>590</vt:i4>
      </vt:variant>
      <vt:variant>
        <vt:i4>0</vt:i4>
      </vt:variant>
      <vt:variant>
        <vt:i4>5</vt:i4>
      </vt:variant>
      <vt:variant>
        <vt:lpwstr/>
      </vt:variant>
      <vt:variant>
        <vt:lpwstr>_Toc159858158</vt:lpwstr>
      </vt:variant>
      <vt:variant>
        <vt:i4>1507388</vt:i4>
      </vt:variant>
      <vt:variant>
        <vt:i4>584</vt:i4>
      </vt:variant>
      <vt:variant>
        <vt:i4>0</vt:i4>
      </vt:variant>
      <vt:variant>
        <vt:i4>5</vt:i4>
      </vt:variant>
      <vt:variant>
        <vt:lpwstr/>
      </vt:variant>
      <vt:variant>
        <vt:lpwstr>_Toc159858157</vt:lpwstr>
      </vt:variant>
      <vt:variant>
        <vt:i4>1507388</vt:i4>
      </vt:variant>
      <vt:variant>
        <vt:i4>578</vt:i4>
      </vt:variant>
      <vt:variant>
        <vt:i4>0</vt:i4>
      </vt:variant>
      <vt:variant>
        <vt:i4>5</vt:i4>
      </vt:variant>
      <vt:variant>
        <vt:lpwstr/>
      </vt:variant>
      <vt:variant>
        <vt:lpwstr>_Toc159858156</vt:lpwstr>
      </vt:variant>
      <vt:variant>
        <vt:i4>3932283</vt:i4>
      </vt:variant>
      <vt:variant>
        <vt:i4>573</vt:i4>
      </vt:variant>
      <vt:variant>
        <vt:i4>0</vt:i4>
      </vt:variant>
      <vt:variant>
        <vt:i4>5</vt:i4>
      </vt:variant>
      <vt:variant>
        <vt:lpwstr>https://www.asd.gov.au/publications</vt:lpwstr>
      </vt:variant>
      <vt:variant>
        <vt:lpwstr/>
      </vt:variant>
      <vt:variant>
        <vt:i4>1048634</vt:i4>
      </vt:variant>
      <vt:variant>
        <vt:i4>566</vt:i4>
      </vt:variant>
      <vt:variant>
        <vt:i4>0</vt:i4>
      </vt:variant>
      <vt:variant>
        <vt:i4>5</vt:i4>
      </vt:variant>
      <vt:variant>
        <vt:lpwstr/>
      </vt:variant>
      <vt:variant>
        <vt:lpwstr>_Toc159862486</vt:lpwstr>
      </vt:variant>
      <vt:variant>
        <vt:i4>1048634</vt:i4>
      </vt:variant>
      <vt:variant>
        <vt:i4>560</vt:i4>
      </vt:variant>
      <vt:variant>
        <vt:i4>0</vt:i4>
      </vt:variant>
      <vt:variant>
        <vt:i4>5</vt:i4>
      </vt:variant>
      <vt:variant>
        <vt:lpwstr/>
      </vt:variant>
      <vt:variant>
        <vt:lpwstr>_Toc159862485</vt:lpwstr>
      </vt:variant>
      <vt:variant>
        <vt:i4>1048634</vt:i4>
      </vt:variant>
      <vt:variant>
        <vt:i4>554</vt:i4>
      </vt:variant>
      <vt:variant>
        <vt:i4>0</vt:i4>
      </vt:variant>
      <vt:variant>
        <vt:i4>5</vt:i4>
      </vt:variant>
      <vt:variant>
        <vt:lpwstr/>
      </vt:variant>
      <vt:variant>
        <vt:lpwstr>_Toc159862484</vt:lpwstr>
      </vt:variant>
      <vt:variant>
        <vt:i4>1048634</vt:i4>
      </vt:variant>
      <vt:variant>
        <vt:i4>548</vt:i4>
      </vt:variant>
      <vt:variant>
        <vt:i4>0</vt:i4>
      </vt:variant>
      <vt:variant>
        <vt:i4>5</vt:i4>
      </vt:variant>
      <vt:variant>
        <vt:lpwstr/>
      </vt:variant>
      <vt:variant>
        <vt:lpwstr>_Toc159862483</vt:lpwstr>
      </vt:variant>
      <vt:variant>
        <vt:i4>1048634</vt:i4>
      </vt:variant>
      <vt:variant>
        <vt:i4>542</vt:i4>
      </vt:variant>
      <vt:variant>
        <vt:i4>0</vt:i4>
      </vt:variant>
      <vt:variant>
        <vt:i4>5</vt:i4>
      </vt:variant>
      <vt:variant>
        <vt:lpwstr/>
      </vt:variant>
      <vt:variant>
        <vt:lpwstr>_Toc159862482</vt:lpwstr>
      </vt:variant>
      <vt:variant>
        <vt:i4>1048634</vt:i4>
      </vt:variant>
      <vt:variant>
        <vt:i4>536</vt:i4>
      </vt:variant>
      <vt:variant>
        <vt:i4>0</vt:i4>
      </vt:variant>
      <vt:variant>
        <vt:i4>5</vt:i4>
      </vt:variant>
      <vt:variant>
        <vt:lpwstr/>
      </vt:variant>
      <vt:variant>
        <vt:lpwstr>_Toc159862481</vt:lpwstr>
      </vt:variant>
      <vt:variant>
        <vt:i4>1048634</vt:i4>
      </vt:variant>
      <vt:variant>
        <vt:i4>530</vt:i4>
      </vt:variant>
      <vt:variant>
        <vt:i4>0</vt:i4>
      </vt:variant>
      <vt:variant>
        <vt:i4>5</vt:i4>
      </vt:variant>
      <vt:variant>
        <vt:lpwstr/>
      </vt:variant>
      <vt:variant>
        <vt:lpwstr>_Toc159862480</vt:lpwstr>
      </vt:variant>
      <vt:variant>
        <vt:i4>2031674</vt:i4>
      </vt:variant>
      <vt:variant>
        <vt:i4>524</vt:i4>
      </vt:variant>
      <vt:variant>
        <vt:i4>0</vt:i4>
      </vt:variant>
      <vt:variant>
        <vt:i4>5</vt:i4>
      </vt:variant>
      <vt:variant>
        <vt:lpwstr/>
      </vt:variant>
      <vt:variant>
        <vt:lpwstr>_Toc159862479</vt:lpwstr>
      </vt:variant>
      <vt:variant>
        <vt:i4>2031674</vt:i4>
      </vt:variant>
      <vt:variant>
        <vt:i4>518</vt:i4>
      </vt:variant>
      <vt:variant>
        <vt:i4>0</vt:i4>
      </vt:variant>
      <vt:variant>
        <vt:i4>5</vt:i4>
      </vt:variant>
      <vt:variant>
        <vt:lpwstr/>
      </vt:variant>
      <vt:variant>
        <vt:lpwstr>_Toc159862478</vt:lpwstr>
      </vt:variant>
      <vt:variant>
        <vt:i4>2031674</vt:i4>
      </vt:variant>
      <vt:variant>
        <vt:i4>512</vt:i4>
      </vt:variant>
      <vt:variant>
        <vt:i4>0</vt:i4>
      </vt:variant>
      <vt:variant>
        <vt:i4>5</vt:i4>
      </vt:variant>
      <vt:variant>
        <vt:lpwstr/>
      </vt:variant>
      <vt:variant>
        <vt:lpwstr>_Toc159862477</vt:lpwstr>
      </vt:variant>
      <vt:variant>
        <vt:i4>1835061</vt:i4>
      </vt:variant>
      <vt:variant>
        <vt:i4>503</vt:i4>
      </vt:variant>
      <vt:variant>
        <vt:i4>0</vt:i4>
      </vt:variant>
      <vt:variant>
        <vt:i4>5</vt:i4>
      </vt:variant>
      <vt:variant>
        <vt:lpwstr/>
      </vt:variant>
      <vt:variant>
        <vt:lpwstr>_Toc108089427</vt:lpwstr>
      </vt:variant>
      <vt:variant>
        <vt:i4>1835061</vt:i4>
      </vt:variant>
      <vt:variant>
        <vt:i4>497</vt:i4>
      </vt:variant>
      <vt:variant>
        <vt:i4>0</vt:i4>
      </vt:variant>
      <vt:variant>
        <vt:i4>5</vt:i4>
      </vt:variant>
      <vt:variant>
        <vt:lpwstr/>
      </vt:variant>
      <vt:variant>
        <vt:lpwstr>_Toc108089426</vt:lpwstr>
      </vt:variant>
      <vt:variant>
        <vt:i4>1835061</vt:i4>
      </vt:variant>
      <vt:variant>
        <vt:i4>491</vt:i4>
      </vt:variant>
      <vt:variant>
        <vt:i4>0</vt:i4>
      </vt:variant>
      <vt:variant>
        <vt:i4>5</vt:i4>
      </vt:variant>
      <vt:variant>
        <vt:lpwstr/>
      </vt:variant>
      <vt:variant>
        <vt:lpwstr>_Toc108089425</vt:lpwstr>
      </vt:variant>
      <vt:variant>
        <vt:i4>1835061</vt:i4>
      </vt:variant>
      <vt:variant>
        <vt:i4>485</vt:i4>
      </vt:variant>
      <vt:variant>
        <vt:i4>0</vt:i4>
      </vt:variant>
      <vt:variant>
        <vt:i4>5</vt:i4>
      </vt:variant>
      <vt:variant>
        <vt:lpwstr/>
      </vt:variant>
      <vt:variant>
        <vt:lpwstr>_Toc108089424</vt:lpwstr>
      </vt:variant>
      <vt:variant>
        <vt:i4>1835061</vt:i4>
      </vt:variant>
      <vt:variant>
        <vt:i4>479</vt:i4>
      </vt:variant>
      <vt:variant>
        <vt:i4>0</vt:i4>
      </vt:variant>
      <vt:variant>
        <vt:i4>5</vt:i4>
      </vt:variant>
      <vt:variant>
        <vt:lpwstr/>
      </vt:variant>
      <vt:variant>
        <vt:lpwstr>_Toc108089423</vt:lpwstr>
      </vt:variant>
      <vt:variant>
        <vt:i4>1835061</vt:i4>
      </vt:variant>
      <vt:variant>
        <vt:i4>473</vt:i4>
      </vt:variant>
      <vt:variant>
        <vt:i4>0</vt:i4>
      </vt:variant>
      <vt:variant>
        <vt:i4>5</vt:i4>
      </vt:variant>
      <vt:variant>
        <vt:lpwstr/>
      </vt:variant>
      <vt:variant>
        <vt:lpwstr>_Toc108089422</vt:lpwstr>
      </vt:variant>
      <vt:variant>
        <vt:i4>1835061</vt:i4>
      </vt:variant>
      <vt:variant>
        <vt:i4>467</vt:i4>
      </vt:variant>
      <vt:variant>
        <vt:i4>0</vt:i4>
      </vt:variant>
      <vt:variant>
        <vt:i4>5</vt:i4>
      </vt:variant>
      <vt:variant>
        <vt:lpwstr/>
      </vt:variant>
      <vt:variant>
        <vt:lpwstr>_Toc108089421</vt:lpwstr>
      </vt:variant>
      <vt:variant>
        <vt:i4>3538992</vt:i4>
      </vt:variant>
      <vt:variant>
        <vt:i4>462</vt:i4>
      </vt:variant>
      <vt:variant>
        <vt:i4>0</vt:i4>
      </vt:variant>
      <vt:variant>
        <vt:i4>5</vt:i4>
      </vt:variant>
      <vt:variant>
        <vt:lpwstr>https://defence.gov.au/DFG/Grants/</vt:lpwstr>
      </vt:variant>
      <vt:variant>
        <vt:lpwstr/>
      </vt:variant>
      <vt:variant>
        <vt:i4>4390991</vt:i4>
      </vt:variant>
      <vt:variant>
        <vt:i4>459</vt:i4>
      </vt:variant>
      <vt:variant>
        <vt:i4>0</vt:i4>
      </vt:variant>
      <vt:variant>
        <vt:i4>5</vt:i4>
      </vt:variant>
      <vt:variant>
        <vt:lpwstr>http://www.grants.gov.au/</vt:lpwstr>
      </vt:variant>
      <vt:variant>
        <vt:lpwstr/>
      </vt:variant>
      <vt:variant>
        <vt:i4>6553641</vt:i4>
      </vt:variant>
      <vt:variant>
        <vt:i4>456</vt:i4>
      </vt:variant>
      <vt:variant>
        <vt:i4>0</vt:i4>
      </vt:variant>
      <vt:variant>
        <vt:i4>5</vt:i4>
      </vt:variant>
      <vt:variant>
        <vt:lpwstr>https://www.defence.gov.au/about/information-disclosures/annual-reports</vt:lpwstr>
      </vt:variant>
      <vt:variant>
        <vt:lpwstr/>
      </vt:variant>
      <vt:variant>
        <vt:i4>3145828</vt:i4>
      </vt:variant>
      <vt:variant>
        <vt:i4>453</vt:i4>
      </vt:variant>
      <vt:variant>
        <vt:i4>0</vt:i4>
      </vt:variant>
      <vt:variant>
        <vt:i4>5</vt:i4>
      </vt:variant>
      <vt:variant>
        <vt:lpwstr>http://www.defence.gov.au/about/strategic-planning/defence-corporate-plan/</vt:lpwstr>
      </vt:variant>
      <vt:variant>
        <vt:lpwstr/>
      </vt:variant>
      <vt:variant>
        <vt:i4>3276919</vt:i4>
      </vt:variant>
      <vt:variant>
        <vt:i4>450</vt:i4>
      </vt:variant>
      <vt:variant>
        <vt:i4>0</vt:i4>
      </vt:variant>
      <vt:variant>
        <vt:i4>5</vt:i4>
      </vt:variant>
      <vt:variant>
        <vt:lpwstr>https://www.defence.gov.au/PayandConditions/ADF/ADF-TWS.asp</vt:lpwstr>
      </vt:variant>
      <vt:variant>
        <vt:lpwstr/>
      </vt:variant>
      <vt:variant>
        <vt:i4>1245244</vt:i4>
      </vt:variant>
      <vt:variant>
        <vt:i4>443</vt:i4>
      </vt:variant>
      <vt:variant>
        <vt:i4>0</vt:i4>
      </vt:variant>
      <vt:variant>
        <vt:i4>5</vt:i4>
      </vt:variant>
      <vt:variant>
        <vt:lpwstr/>
      </vt:variant>
      <vt:variant>
        <vt:lpwstr>_Toc159859106</vt:lpwstr>
      </vt:variant>
      <vt:variant>
        <vt:i4>1245244</vt:i4>
      </vt:variant>
      <vt:variant>
        <vt:i4>437</vt:i4>
      </vt:variant>
      <vt:variant>
        <vt:i4>0</vt:i4>
      </vt:variant>
      <vt:variant>
        <vt:i4>5</vt:i4>
      </vt:variant>
      <vt:variant>
        <vt:lpwstr/>
      </vt:variant>
      <vt:variant>
        <vt:lpwstr>_Toc159859105</vt:lpwstr>
      </vt:variant>
      <vt:variant>
        <vt:i4>1245244</vt:i4>
      </vt:variant>
      <vt:variant>
        <vt:i4>431</vt:i4>
      </vt:variant>
      <vt:variant>
        <vt:i4>0</vt:i4>
      </vt:variant>
      <vt:variant>
        <vt:i4>5</vt:i4>
      </vt:variant>
      <vt:variant>
        <vt:lpwstr/>
      </vt:variant>
      <vt:variant>
        <vt:lpwstr>_Toc159859104</vt:lpwstr>
      </vt:variant>
      <vt:variant>
        <vt:i4>1245244</vt:i4>
      </vt:variant>
      <vt:variant>
        <vt:i4>425</vt:i4>
      </vt:variant>
      <vt:variant>
        <vt:i4>0</vt:i4>
      </vt:variant>
      <vt:variant>
        <vt:i4>5</vt:i4>
      </vt:variant>
      <vt:variant>
        <vt:lpwstr/>
      </vt:variant>
      <vt:variant>
        <vt:lpwstr>_Toc159859103</vt:lpwstr>
      </vt:variant>
      <vt:variant>
        <vt:i4>1245244</vt:i4>
      </vt:variant>
      <vt:variant>
        <vt:i4>419</vt:i4>
      </vt:variant>
      <vt:variant>
        <vt:i4>0</vt:i4>
      </vt:variant>
      <vt:variant>
        <vt:i4>5</vt:i4>
      </vt:variant>
      <vt:variant>
        <vt:lpwstr/>
      </vt:variant>
      <vt:variant>
        <vt:lpwstr>_Toc159859102</vt:lpwstr>
      </vt:variant>
      <vt:variant>
        <vt:i4>1245244</vt:i4>
      </vt:variant>
      <vt:variant>
        <vt:i4>413</vt:i4>
      </vt:variant>
      <vt:variant>
        <vt:i4>0</vt:i4>
      </vt:variant>
      <vt:variant>
        <vt:i4>5</vt:i4>
      </vt:variant>
      <vt:variant>
        <vt:lpwstr/>
      </vt:variant>
      <vt:variant>
        <vt:lpwstr>_Toc159859101</vt:lpwstr>
      </vt:variant>
      <vt:variant>
        <vt:i4>1245244</vt:i4>
      </vt:variant>
      <vt:variant>
        <vt:i4>407</vt:i4>
      </vt:variant>
      <vt:variant>
        <vt:i4>0</vt:i4>
      </vt:variant>
      <vt:variant>
        <vt:i4>5</vt:i4>
      </vt:variant>
      <vt:variant>
        <vt:lpwstr/>
      </vt:variant>
      <vt:variant>
        <vt:lpwstr>_Toc159859100</vt:lpwstr>
      </vt:variant>
      <vt:variant>
        <vt:i4>1703997</vt:i4>
      </vt:variant>
      <vt:variant>
        <vt:i4>401</vt:i4>
      </vt:variant>
      <vt:variant>
        <vt:i4>0</vt:i4>
      </vt:variant>
      <vt:variant>
        <vt:i4>5</vt:i4>
      </vt:variant>
      <vt:variant>
        <vt:lpwstr/>
      </vt:variant>
      <vt:variant>
        <vt:lpwstr>_Toc159859098</vt:lpwstr>
      </vt:variant>
      <vt:variant>
        <vt:i4>1703997</vt:i4>
      </vt:variant>
      <vt:variant>
        <vt:i4>395</vt:i4>
      </vt:variant>
      <vt:variant>
        <vt:i4>0</vt:i4>
      </vt:variant>
      <vt:variant>
        <vt:i4>5</vt:i4>
      </vt:variant>
      <vt:variant>
        <vt:lpwstr/>
      </vt:variant>
      <vt:variant>
        <vt:lpwstr>_Toc159859097</vt:lpwstr>
      </vt:variant>
      <vt:variant>
        <vt:i4>1703997</vt:i4>
      </vt:variant>
      <vt:variant>
        <vt:i4>389</vt:i4>
      </vt:variant>
      <vt:variant>
        <vt:i4>0</vt:i4>
      </vt:variant>
      <vt:variant>
        <vt:i4>5</vt:i4>
      </vt:variant>
      <vt:variant>
        <vt:lpwstr/>
      </vt:variant>
      <vt:variant>
        <vt:lpwstr>_Toc159859096</vt:lpwstr>
      </vt:variant>
      <vt:variant>
        <vt:i4>1703997</vt:i4>
      </vt:variant>
      <vt:variant>
        <vt:i4>383</vt:i4>
      </vt:variant>
      <vt:variant>
        <vt:i4>0</vt:i4>
      </vt:variant>
      <vt:variant>
        <vt:i4>5</vt:i4>
      </vt:variant>
      <vt:variant>
        <vt:lpwstr/>
      </vt:variant>
      <vt:variant>
        <vt:lpwstr>_Toc159859095</vt:lpwstr>
      </vt:variant>
      <vt:variant>
        <vt:i4>1703997</vt:i4>
      </vt:variant>
      <vt:variant>
        <vt:i4>377</vt:i4>
      </vt:variant>
      <vt:variant>
        <vt:i4>0</vt:i4>
      </vt:variant>
      <vt:variant>
        <vt:i4>5</vt:i4>
      </vt:variant>
      <vt:variant>
        <vt:lpwstr/>
      </vt:variant>
      <vt:variant>
        <vt:lpwstr>_Toc159859094</vt:lpwstr>
      </vt:variant>
      <vt:variant>
        <vt:i4>1703997</vt:i4>
      </vt:variant>
      <vt:variant>
        <vt:i4>371</vt:i4>
      </vt:variant>
      <vt:variant>
        <vt:i4>0</vt:i4>
      </vt:variant>
      <vt:variant>
        <vt:i4>5</vt:i4>
      </vt:variant>
      <vt:variant>
        <vt:lpwstr/>
      </vt:variant>
      <vt:variant>
        <vt:lpwstr>_Toc159859093</vt:lpwstr>
      </vt:variant>
      <vt:variant>
        <vt:i4>1245246</vt:i4>
      </vt:variant>
      <vt:variant>
        <vt:i4>362</vt:i4>
      </vt:variant>
      <vt:variant>
        <vt:i4>0</vt:i4>
      </vt:variant>
      <vt:variant>
        <vt:i4>5</vt:i4>
      </vt:variant>
      <vt:variant>
        <vt:lpwstr/>
      </vt:variant>
      <vt:variant>
        <vt:lpwstr>_Toc159859304</vt:lpwstr>
      </vt:variant>
      <vt:variant>
        <vt:i4>1245246</vt:i4>
      </vt:variant>
      <vt:variant>
        <vt:i4>356</vt:i4>
      </vt:variant>
      <vt:variant>
        <vt:i4>0</vt:i4>
      </vt:variant>
      <vt:variant>
        <vt:i4>5</vt:i4>
      </vt:variant>
      <vt:variant>
        <vt:lpwstr/>
      </vt:variant>
      <vt:variant>
        <vt:lpwstr>_Toc159859303</vt:lpwstr>
      </vt:variant>
      <vt:variant>
        <vt:i4>1245246</vt:i4>
      </vt:variant>
      <vt:variant>
        <vt:i4>350</vt:i4>
      </vt:variant>
      <vt:variant>
        <vt:i4>0</vt:i4>
      </vt:variant>
      <vt:variant>
        <vt:i4>5</vt:i4>
      </vt:variant>
      <vt:variant>
        <vt:lpwstr/>
      </vt:variant>
      <vt:variant>
        <vt:lpwstr>_Toc159859302</vt:lpwstr>
      </vt:variant>
      <vt:variant>
        <vt:i4>1245246</vt:i4>
      </vt:variant>
      <vt:variant>
        <vt:i4>344</vt:i4>
      </vt:variant>
      <vt:variant>
        <vt:i4>0</vt:i4>
      </vt:variant>
      <vt:variant>
        <vt:i4>5</vt:i4>
      </vt:variant>
      <vt:variant>
        <vt:lpwstr/>
      </vt:variant>
      <vt:variant>
        <vt:lpwstr>_Toc159859301</vt:lpwstr>
      </vt:variant>
      <vt:variant>
        <vt:i4>1245246</vt:i4>
      </vt:variant>
      <vt:variant>
        <vt:i4>338</vt:i4>
      </vt:variant>
      <vt:variant>
        <vt:i4>0</vt:i4>
      </vt:variant>
      <vt:variant>
        <vt:i4>5</vt:i4>
      </vt:variant>
      <vt:variant>
        <vt:lpwstr/>
      </vt:variant>
      <vt:variant>
        <vt:lpwstr>_Toc159859300</vt:lpwstr>
      </vt:variant>
      <vt:variant>
        <vt:i4>1703999</vt:i4>
      </vt:variant>
      <vt:variant>
        <vt:i4>332</vt:i4>
      </vt:variant>
      <vt:variant>
        <vt:i4>0</vt:i4>
      </vt:variant>
      <vt:variant>
        <vt:i4>5</vt:i4>
      </vt:variant>
      <vt:variant>
        <vt:lpwstr/>
      </vt:variant>
      <vt:variant>
        <vt:lpwstr>_Toc159859299</vt:lpwstr>
      </vt:variant>
      <vt:variant>
        <vt:i4>1703999</vt:i4>
      </vt:variant>
      <vt:variant>
        <vt:i4>326</vt:i4>
      </vt:variant>
      <vt:variant>
        <vt:i4>0</vt:i4>
      </vt:variant>
      <vt:variant>
        <vt:i4>5</vt:i4>
      </vt:variant>
      <vt:variant>
        <vt:lpwstr/>
      </vt:variant>
      <vt:variant>
        <vt:lpwstr>_Toc159859298</vt:lpwstr>
      </vt:variant>
      <vt:variant>
        <vt:i4>1703999</vt:i4>
      </vt:variant>
      <vt:variant>
        <vt:i4>320</vt:i4>
      </vt:variant>
      <vt:variant>
        <vt:i4>0</vt:i4>
      </vt:variant>
      <vt:variant>
        <vt:i4>5</vt:i4>
      </vt:variant>
      <vt:variant>
        <vt:lpwstr/>
      </vt:variant>
      <vt:variant>
        <vt:lpwstr>_Toc159859297</vt:lpwstr>
      </vt:variant>
      <vt:variant>
        <vt:i4>1703999</vt:i4>
      </vt:variant>
      <vt:variant>
        <vt:i4>314</vt:i4>
      </vt:variant>
      <vt:variant>
        <vt:i4>0</vt:i4>
      </vt:variant>
      <vt:variant>
        <vt:i4>5</vt:i4>
      </vt:variant>
      <vt:variant>
        <vt:lpwstr/>
      </vt:variant>
      <vt:variant>
        <vt:lpwstr>_Toc159859296</vt:lpwstr>
      </vt:variant>
      <vt:variant>
        <vt:i4>1703999</vt:i4>
      </vt:variant>
      <vt:variant>
        <vt:i4>308</vt:i4>
      </vt:variant>
      <vt:variant>
        <vt:i4>0</vt:i4>
      </vt:variant>
      <vt:variant>
        <vt:i4>5</vt:i4>
      </vt:variant>
      <vt:variant>
        <vt:lpwstr/>
      </vt:variant>
      <vt:variant>
        <vt:lpwstr>_Toc159859295</vt:lpwstr>
      </vt:variant>
      <vt:variant>
        <vt:i4>1703999</vt:i4>
      </vt:variant>
      <vt:variant>
        <vt:i4>302</vt:i4>
      </vt:variant>
      <vt:variant>
        <vt:i4>0</vt:i4>
      </vt:variant>
      <vt:variant>
        <vt:i4>5</vt:i4>
      </vt:variant>
      <vt:variant>
        <vt:lpwstr/>
      </vt:variant>
      <vt:variant>
        <vt:lpwstr>_Toc159859294</vt:lpwstr>
      </vt:variant>
      <vt:variant>
        <vt:i4>1703999</vt:i4>
      </vt:variant>
      <vt:variant>
        <vt:i4>296</vt:i4>
      </vt:variant>
      <vt:variant>
        <vt:i4>0</vt:i4>
      </vt:variant>
      <vt:variant>
        <vt:i4>5</vt:i4>
      </vt:variant>
      <vt:variant>
        <vt:lpwstr/>
      </vt:variant>
      <vt:variant>
        <vt:lpwstr>_Toc159859292</vt:lpwstr>
      </vt:variant>
      <vt:variant>
        <vt:i4>1703999</vt:i4>
      </vt:variant>
      <vt:variant>
        <vt:i4>290</vt:i4>
      </vt:variant>
      <vt:variant>
        <vt:i4>0</vt:i4>
      </vt:variant>
      <vt:variant>
        <vt:i4>5</vt:i4>
      </vt:variant>
      <vt:variant>
        <vt:lpwstr/>
      </vt:variant>
      <vt:variant>
        <vt:lpwstr>_Toc159859291</vt:lpwstr>
      </vt:variant>
      <vt:variant>
        <vt:i4>1703999</vt:i4>
      </vt:variant>
      <vt:variant>
        <vt:i4>284</vt:i4>
      </vt:variant>
      <vt:variant>
        <vt:i4>0</vt:i4>
      </vt:variant>
      <vt:variant>
        <vt:i4>5</vt:i4>
      </vt:variant>
      <vt:variant>
        <vt:lpwstr/>
      </vt:variant>
      <vt:variant>
        <vt:lpwstr>_Toc159859290</vt:lpwstr>
      </vt:variant>
      <vt:variant>
        <vt:i4>1769535</vt:i4>
      </vt:variant>
      <vt:variant>
        <vt:i4>278</vt:i4>
      </vt:variant>
      <vt:variant>
        <vt:i4>0</vt:i4>
      </vt:variant>
      <vt:variant>
        <vt:i4>5</vt:i4>
      </vt:variant>
      <vt:variant>
        <vt:lpwstr/>
      </vt:variant>
      <vt:variant>
        <vt:lpwstr>_Toc159859289</vt:lpwstr>
      </vt:variant>
      <vt:variant>
        <vt:i4>1769535</vt:i4>
      </vt:variant>
      <vt:variant>
        <vt:i4>272</vt:i4>
      </vt:variant>
      <vt:variant>
        <vt:i4>0</vt:i4>
      </vt:variant>
      <vt:variant>
        <vt:i4>5</vt:i4>
      </vt:variant>
      <vt:variant>
        <vt:lpwstr/>
      </vt:variant>
      <vt:variant>
        <vt:lpwstr>_Toc159859284</vt:lpwstr>
      </vt:variant>
      <vt:variant>
        <vt:i4>1769535</vt:i4>
      </vt:variant>
      <vt:variant>
        <vt:i4>266</vt:i4>
      </vt:variant>
      <vt:variant>
        <vt:i4>0</vt:i4>
      </vt:variant>
      <vt:variant>
        <vt:i4>5</vt:i4>
      </vt:variant>
      <vt:variant>
        <vt:lpwstr/>
      </vt:variant>
      <vt:variant>
        <vt:lpwstr>_Toc159859283</vt:lpwstr>
      </vt:variant>
      <vt:variant>
        <vt:i4>1769535</vt:i4>
      </vt:variant>
      <vt:variant>
        <vt:i4>260</vt:i4>
      </vt:variant>
      <vt:variant>
        <vt:i4>0</vt:i4>
      </vt:variant>
      <vt:variant>
        <vt:i4>5</vt:i4>
      </vt:variant>
      <vt:variant>
        <vt:lpwstr/>
      </vt:variant>
      <vt:variant>
        <vt:lpwstr>_Toc159859282</vt:lpwstr>
      </vt:variant>
      <vt:variant>
        <vt:i4>1769535</vt:i4>
      </vt:variant>
      <vt:variant>
        <vt:i4>254</vt:i4>
      </vt:variant>
      <vt:variant>
        <vt:i4>0</vt:i4>
      </vt:variant>
      <vt:variant>
        <vt:i4>5</vt:i4>
      </vt:variant>
      <vt:variant>
        <vt:lpwstr/>
      </vt:variant>
      <vt:variant>
        <vt:lpwstr>_Toc159859281</vt:lpwstr>
      </vt:variant>
      <vt:variant>
        <vt:i4>1310783</vt:i4>
      </vt:variant>
      <vt:variant>
        <vt:i4>248</vt:i4>
      </vt:variant>
      <vt:variant>
        <vt:i4>0</vt:i4>
      </vt:variant>
      <vt:variant>
        <vt:i4>5</vt:i4>
      </vt:variant>
      <vt:variant>
        <vt:lpwstr/>
      </vt:variant>
      <vt:variant>
        <vt:lpwstr>_Toc159859279</vt:lpwstr>
      </vt:variant>
      <vt:variant>
        <vt:i4>1310783</vt:i4>
      </vt:variant>
      <vt:variant>
        <vt:i4>242</vt:i4>
      </vt:variant>
      <vt:variant>
        <vt:i4>0</vt:i4>
      </vt:variant>
      <vt:variant>
        <vt:i4>5</vt:i4>
      </vt:variant>
      <vt:variant>
        <vt:lpwstr/>
      </vt:variant>
      <vt:variant>
        <vt:lpwstr>_Toc159859278</vt:lpwstr>
      </vt:variant>
      <vt:variant>
        <vt:i4>1310783</vt:i4>
      </vt:variant>
      <vt:variant>
        <vt:i4>236</vt:i4>
      </vt:variant>
      <vt:variant>
        <vt:i4>0</vt:i4>
      </vt:variant>
      <vt:variant>
        <vt:i4>5</vt:i4>
      </vt:variant>
      <vt:variant>
        <vt:lpwstr/>
      </vt:variant>
      <vt:variant>
        <vt:lpwstr>_Toc159859277</vt:lpwstr>
      </vt:variant>
      <vt:variant>
        <vt:i4>1310783</vt:i4>
      </vt:variant>
      <vt:variant>
        <vt:i4>230</vt:i4>
      </vt:variant>
      <vt:variant>
        <vt:i4>0</vt:i4>
      </vt:variant>
      <vt:variant>
        <vt:i4>5</vt:i4>
      </vt:variant>
      <vt:variant>
        <vt:lpwstr/>
      </vt:variant>
      <vt:variant>
        <vt:lpwstr>_Toc159859276</vt:lpwstr>
      </vt:variant>
      <vt:variant>
        <vt:i4>1310783</vt:i4>
      </vt:variant>
      <vt:variant>
        <vt:i4>224</vt:i4>
      </vt:variant>
      <vt:variant>
        <vt:i4>0</vt:i4>
      </vt:variant>
      <vt:variant>
        <vt:i4>5</vt:i4>
      </vt:variant>
      <vt:variant>
        <vt:lpwstr/>
      </vt:variant>
      <vt:variant>
        <vt:lpwstr>_Toc159859275</vt:lpwstr>
      </vt:variant>
      <vt:variant>
        <vt:i4>1310783</vt:i4>
      </vt:variant>
      <vt:variant>
        <vt:i4>218</vt:i4>
      </vt:variant>
      <vt:variant>
        <vt:i4>0</vt:i4>
      </vt:variant>
      <vt:variant>
        <vt:i4>5</vt:i4>
      </vt:variant>
      <vt:variant>
        <vt:lpwstr/>
      </vt:variant>
      <vt:variant>
        <vt:lpwstr>_Toc159859274</vt:lpwstr>
      </vt:variant>
      <vt:variant>
        <vt:i4>1310783</vt:i4>
      </vt:variant>
      <vt:variant>
        <vt:i4>212</vt:i4>
      </vt:variant>
      <vt:variant>
        <vt:i4>0</vt:i4>
      </vt:variant>
      <vt:variant>
        <vt:i4>5</vt:i4>
      </vt:variant>
      <vt:variant>
        <vt:lpwstr/>
      </vt:variant>
      <vt:variant>
        <vt:lpwstr>_Toc159859273</vt:lpwstr>
      </vt:variant>
      <vt:variant>
        <vt:i4>1310783</vt:i4>
      </vt:variant>
      <vt:variant>
        <vt:i4>206</vt:i4>
      </vt:variant>
      <vt:variant>
        <vt:i4>0</vt:i4>
      </vt:variant>
      <vt:variant>
        <vt:i4>5</vt:i4>
      </vt:variant>
      <vt:variant>
        <vt:lpwstr/>
      </vt:variant>
      <vt:variant>
        <vt:lpwstr>_Toc159859272</vt:lpwstr>
      </vt:variant>
      <vt:variant>
        <vt:i4>1310783</vt:i4>
      </vt:variant>
      <vt:variant>
        <vt:i4>200</vt:i4>
      </vt:variant>
      <vt:variant>
        <vt:i4>0</vt:i4>
      </vt:variant>
      <vt:variant>
        <vt:i4>5</vt:i4>
      </vt:variant>
      <vt:variant>
        <vt:lpwstr/>
      </vt:variant>
      <vt:variant>
        <vt:lpwstr>_Toc159859271</vt:lpwstr>
      </vt:variant>
      <vt:variant>
        <vt:i4>1310783</vt:i4>
      </vt:variant>
      <vt:variant>
        <vt:i4>194</vt:i4>
      </vt:variant>
      <vt:variant>
        <vt:i4>0</vt:i4>
      </vt:variant>
      <vt:variant>
        <vt:i4>5</vt:i4>
      </vt:variant>
      <vt:variant>
        <vt:lpwstr/>
      </vt:variant>
      <vt:variant>
        <vt:lpwstr>_Toc159859270</vt:lpwstr>
      </vt:variant>
      <vt:variant>
        <vt:i4>1376319</vt:i4>
      </vt:variant>
      <vt:variant>
        <vt:i4>188</vt:i4>
      </vt:variant>
      <vt:variant>
        <vt:i4>0</vt:i4>
      </vt:variant>
      <vt:variant>
        <vt:i4>5</vt:i4>
      </vt:variant>
      <vt:variant>
        <vt:lpwstr/>
      </vt:variant>
      <vt:variant>
        <vt:lpwstr>_Toc159859269</vt:lpwstr>
      </vt:variant>
      <vt:variant>
        <vt:i4>1376319</vt:i4>
      </vt:variant>
      <vt:variant>
        <vt:i4>182</vt:i4>
      </vt:variant>
      <vt:variant>
        <vt:i4>0</vt:i4>
      </vt:variant>
      <vt:variant>
        <vt:i4>5</vt:i4>
      </vt:variant>
      <vt:variant>
        <vt:lpwstr/>
      </vt:variant>
      <vt:variant>
        <vt:lpwstr>_Toc159859268</vt:lpwstr>
      </vt:variant>
      <vt:variant>
        <vt:i4>1376319</vt:i4>
      </vt:variant>
      <vt:variant>
        <vt:i4>176</vt:i4>
      </vt:variant>
      <vt:variant>
        <vt:i4>0</vt:i4>
      </vt:variant>
      <vt:variant>
        <vt:i4>5</vt:i4>
      </vt:variant>
      <vt:variant>
        <vt:lpwstr/>
      </vt:variant>
      <vt:variant>
        <vt:lpwstr>_Toc159859267</vt:lpwstr>
      </vt:variant>
      <vt:variant>
        <vt:i4>1376319</vt:i4>
      </vt:variant>
      <vt:variant>
        <vt:i4>170</vt:i4>
      </vt:variant>
      <vt:variant>
        <vt:i4>0</vt:i4>
      </vt:variant>
      <vt:variant>
        <vt:i4>5</vt:i4>
      </vt:variant>
      <vt:variant>
        <vt:lpwstr/>
      </vt:variant>
      <vt:variant>
        <vt:lpwstr>_Toc159859266</vt:lpwstr>
      </vt:variant>
      <vt:variant>
        <vt:i4>1376319</vt:i4>
      </vt:variant>
      <vt:variant>
        <vt:i4>164</vt:i4>
      </vt:variant>
      <vt:variant>
        <vt:i4>0</vt:i4>
      </vt:variant>
      <vt:variant>
        <vt:i4>5</vt:i4>
      </vt:variant>
      <vt:variant>
        <vt:lpwstr/>
      </vt:variant>
      <vt:variant>
        <vt:lpwstr>_Toc159859265</vt:lpwstr>
      </vt:variant>
      <vt:variant>
        <vt:i4>1376319</vt:i4>
      </vt:variant>
      <vt:variant>
        <vt:i4>158</vt:i4>
      </vt:variant>
      <vt:variant>
        <vt:i4>0</vt:i4>
      </vt:variant>
      <vt:variant>
        <vt:i4>5</vt:i4>
      </vt:variant>
      <vt:variant>
        <vt:lpwstr/>
      </vt:variant>
      <vt:variant>
        <vt:lpwstr>_Toc159859264</vt:lpwstr>
      </vt:variant>
      <vt:variant>
        <vt:i4>1376319</vt:i4>
      </vt:variant>
      <vt:variant>
        <vt:i4>152</vt:i4>
      </vt:variant>
      <vt:variant>
        <vt:i4>0</vt:i4>
      </vt:variant>
      <vt:variant>
        <vt:i4>5</vt:i4>
      </vt:variant>
      <vt:variant>
        <vt:lpwstr/>
      </vt:variant>
      <vt:variant>
        <vt:lpwstr>_Toc159859263</vt:lpwstr>
      </vt:variant>
      <vt:variant>
        <vt:i4>1376319</vt:i4>
      </vt:variant>
      <vt:variant>
        <vt:i4>146</vt:i4>
      </vt:variant>
      <vt:variant>
        <vt:i4>0</vt:i4>
      </vt:variant>
      <vt:variant>
        <vt:i4>5</vt:i4>
      </vt:variant>
      <vt:variant>
        <vt:lpwstr/>
      </vt:variant>
      <vt:variant>
        <vt:lpwstr>_Toc159859262</vt:lpwstr>
      </vt:variant>
      <vt:variant>
        <vt:i4>1376319</vt:i4>
      </vt:variant>
      <vt:variant>
        <vt:i4>140</vt:i4>
      </vt:variant>
      <vt:variant>
        <vt:i4>0</vt:i4>
      </vt:variant>
      <vt:variant>
        <vt:i4>5</vt:i4>
      </vt:variant>
      <vt:variant>
        <vt:lpwstr/>
      </vt:variant>
      <vt:variant>
        <vt:lpwstr>_Toc159859261</vt:lpwstr>
      </vt:variant>
      <vt:variant>
        <vt:i4>1376319</vt:i4>
      </vt:variant>
      <vt:variant>
        <vt:i4>134</vt:i4>
      </vt:variant>
      <vt:variant>
        <vt:i4>0</vt:i4>
      </vt:variant>
      <vt:variant>
        <vt:i4>5</vt:i4>
      </vt:variant>
      <vt:variant>
        <vt:lpwstr/>
      </vt:variant>
      <vt:variant>
        <vt:lpwstr>_Toc159859260</vt:lpwstr>
      </vt:variant>
      <vt:variant>
        <vt:i4>1441855</vt:i4>
      </vt:variant>
      <vt:variant>
        <vt:i4>128</vt:i4>
      </vt:variant>
      <vt:variant>
        <vt:i4>0</vt:i4>
      </vt:variant>
      <vt:variant>
        <vt:i4>5</vt:i4>
      </vt:variant>
      <vt:variant>
        <vt:lpwstr/>
      </vt:variant>
      <vt:variant>
        <vt:lpwstr>_Toc159859259</vt:lpwstr>
      </vt:variant>
      <vt:variant>
        <vt:i4>1441855</vt:i4>
      </vt:variant>
      <vt:variant>
        <vt:i4>122</vt:i4>
      </vt:variant>
      <vt:variant>
        <vt:i4>0</vt:i4>
      </vt:variant>
      <vt:variant>
        <vt:i4>5</vt:i4>
      </vt:variant>
      <vt:variant>
        <vt:lpwstr/>
      </vt:variant>
      <vt:variant>
        <vt:lpwstr>_Toc159859258</vt:lpwstr>
      </vt:variant>
      <vt:variant>
        <vt:i4>1441855</vt:i4>
      </vt:variant>
      <vt:variant>
        <vt:i4>116</vt:i4>
      </vt:variant>
      <vt:variant>
        <vt:i4>0</vt:i4>
      </vt:variant>
      <vt:variant>
        <vt:i4>5</vt:i4>
      </vt:variant>
      <vt:variant>
        <vt:lpwstr/>
      </vt:variant>
      <vt:variant>
        <vt:lpwstr>_Toc159859257</vt:lpwstr>
      </vt:variant>
      <vt:variant>
        <vt:i4>1441855</vt:i4>
      </vt:variant>
      <vt:variant>
        <vt:i4>110</vt:i4>
      </vt:variant>
      <vt:variant>
        <vt:i4>0</vt:i4>
      </vt:variant>
      <vt:variant>
        <vt:i4>5</vt:i4>
      </vt:variant>
      <vt:variant>
        <vt:lpwstr/>
      </vt:variant>
      <vt:variant>
        <vt:lpwstr>_Toc159859256</vt:lpwstr>
      </vt:variant>
      <vt:variant>
        <vt:i4>1441855</vt:i4>
      </vt:variant>
      <vt:variant>
        <vt:i4>104</vt:i4>
      </vt:variant>
      <vt:variant>
        <vt:i4>0</vt:i4>
      </vt:variant>
      <vt:variant>
        <vt:i4>5</vt:i4>
      </vt:variant>
      <vt:variant>
        <vt:lpwstr/>
      </vt:variant>
      <vt:variant>
        <vt:lpwstr>_Toc159859255</vt:lpwstr>
      </vt:variant>
      <vt:variant>
        <vt:i4>1441855</vt:i4>
      </vt:variant>
      <vt:variant>
        <vt:i4>98</vt:i4>
      </vt:variant>
      <vt:variant>
        <vt:i4>0</vt:i4>
      </vt:variant>
      <vt:variant>
        <vt:i4>5</vt:i4>
      </vt:variant>
      <vt:variant>
        <vt:lpwstr/>
      </vt:variant>
      <vt:variant>
        <vt:lpwstr>_Toc159859254</vt:lpwstr>
      </vt:variant>
      <vt:variant>
        <vt:i4>1441855</vt:i4>
      </vt:variant>
      <vt:variant>
        <vt:i4>92</vt:i4>
      </vt:variant>
      <vt:variant>
        <vt:i4>0</vt:i4>
      </vt:variant>
      <vt:variant>
        <vt:i4>5</vt:i4>
      </vt:variant>
      <vt:variant>
        <vt:lpwstr/>
      </vt:variant>
      <vt:variant>
        <vt:lpwstr>_Toc159859253</vt:lpwstr>
      </vt:variant>
      <vt:variant>
        <vt:i4>1441855</vt:i4>
      </vt:variant>
      <vt:variant>
        <vt:i4>86</vt:i4>
      </vt:variant>
      <vt:variant>
        <vt:i4>0</vt:i4>
      </vt:variant>
      <vt:variant>
        <vt:i4>5</vt:i4>
      </vt:variant>
      <vt:variant>
        <vt:lpwstr/>
      </vt:variant>
      <vt:variant>
        <vt:lpwstr>_Toc159859252</vt:lpwstr>
      </vt:variant>
      <vt:variant>
        <vt:i4>1441855</vt:i4>
      </vt:variant>
      <vt:variant>
        <vt:i4>80</vt:i4>
      </vt:variant>
      <vt:variant>
        <vt:i4>0</vt:i4>
      </vt:variant>
      <vt:variant>
        <vt:i4>5</vt:i4>
      </vt:variant>
      <vt:variant>
        <vt:lpwstr/>
      </vt:variant>
      <vt:variant>
        <vt:lpwstr>_Toc159859250</vt:lpwstr>
      </vt:variant>
      <vt:variant>
        <vt:i4>1507391</vt:i4>
      </vt:variant>
      <vt:variant>
        <vt:i4>74</vt:i4>
      </vt:variant>
      <vt:variant>
        <vt:i4>0</vt:i4>
      </vt:variant>
      <vt:variant>
        <vt:i4>5</vt:i4>
      </vt:variant>
      <vt:variant>
        <vt:lpwstr/>
      </vt:variant>
      <vt:variant>
        <vt:lpwstr>_Toc159859249</vt:lpwstr>
      </vt:variant>
      <vt:variant>
        <vt:i4>1507391</vt:i4>
      </vt:variant>
      <vt:variant>
        <vt:i4>68</vt:i4>
      </vt:variant>
      <vt:variant>
        <vt:i4>0</vt:i4>
      </vt:variant>
      <vt:variant>
        <vt:i4>5</vt:i4>
      </vt:variant>
      <vt:variant>
        <vt:lpwstr/>
      </vt:variant>
      <vt:variant>
        <vt:lpwstr>_Toc159859248</vt:lpwstr>
      </vt:variant>
      <vt:variant>
        <vt:i4>1507391</vt:i4>
      </vt:variant>
      <vt:variant>
        <vt:i4>62</vt:i4>
      </vt:variant>
      <vt:variant>
        <vt:i4>0</vt:i4>
      </vt:variant>
      <vt:variant>
        <vt:i4>5</vt:i4>
      </vt:variant>
      <vt:variant>
        <vt:lpwstr/>
      </vt:variant>
      <vt:variant>
        <vt:lpwstr>_Toc159859247</vt:lpwstr>
      </vt:variant>
      <vt:variant>
        <vt:i4>1507391</vt:i4>
      </vt:variant>
      <vt:variant>
        <vt:i4>56</vt:i4>
      </vt:variant>
      <vt:variant>
        <vt:i4>0</vt:i4>
      </vt:variant>
      <vt:variant>
        <vt:i4>5</vt:i4>
      </vt:variant>
      <vt:variant>
        <vt:lpwstr/>
      </vt:variant>
      <vt:variant>
        <vt:lpwstr>_Toc159859246</vt:lpwstr>
      </vt:variant>
      <vt:variant>
        <vt:i4>1507391</vt:i4>
      </vt:variant>
      <vt:variant>
        <vt:i4>50</vt:i4>
      </vt:variant>
      <vt:variant>
        <vt:i4>0</vt:i4>
      </vt:variant>
      <vt:variant>
        <vt:i4>5</vt:i4>
      </vt:variant>
      <vt:variant>
        <vt:lpwstr/>
      </vt:variant>
      <vt:variant>
        <vt:lpwstr>_Toc159859245</vt:lpwstr>
      </vt:variant>
      <vt:variant>
        <vt:i4>1507391</vt:i4>
      </vt:variant>
      <vt:variant>
        <vt:i4>44</vt:i4>
      </vt:variant>
      <vt:variant>
        <vt:i4>0</vt:i4>
      </vt:variant>
      <vt:variant>
        <vt:i4>5</vt:i4>
      </vt:variant>
      <vt:variant>
        <vt:lpwstr/>
      </vt:variant>
      <vt:variant>
        <vt:lpwstr>_Toc159859244</vt:lpwstr>
      </vt:variant>
      <vt:variant>
        <vt:i4>1507391</vt:i4>
      </vt:variant>
      <vt:variant>
        <vt:i4>38</vt:i4>
      </vt:variant>
      <vt:variant>
        <vt:i4>0</vt:i4>
      </vt:variant>
      <vt:variant>
        <vt:i4>5</vt:i4>
      </vt:variant>
      <vt:variant>
        <vt:lpwstr/>
      </vt:variant>
      <vt:variant>
        <vt:lpwstr>_Toc159859243</vt:lpwstr>
      </vt:variant>
      <vt:variant>
        <vt:i4>1507391</vt:i4>
      </vt:variant>
      <vt:variant>
        <vt:i4>32</vt:i4>
      </vt:variant>
      <vt:variant>
        <vt:i4>0</vt:i4>
      </vt:variant>
      <vt:variant>
        <vt:i4>5</vt:i4>
      </vt:variant>
      <vt:variant>
        <vt:lpwstr/>
      </vt:variant>
      <vt:variant>
        <vt:lpwstr>_Toc159859242</vt:lpwstr>
      </vt:variant>
      <vt:variant>
        <vt:i4>1507391</vt:i4>
      </vt:variant>
      <vt:variant>
        <vt:i4>26</vt:i4>
      </vt:variant>
      <vt:variant>
        <vt:i4>0</vt:i4>
      </vt:variant>
      <vt:variant>
        <vt:i4>5</vt:i4>
      </vt:variant>
      <vt:variant>
        <vt:lpwstr/>
      </vt:variant>
      <vt:variant>
        <vt:lpwstr>_Toc159859241</vt:lpwstr>
      </vt:variant>
      <vt:variant>
        <vt:i4>1507391</vt:i4>
      </vt:variant>
      <vt:variant>
        <vt:i4>20</vt:i4>
      </vt:variant>
      <vt:variant>
        <vt:i4>0</vt:i4>
      </vt:variant>
      <vt:variant>
        <vt:i4>5</vt:i4>
      </vt:variant>
      <vt:variant>
        <vt:lpwstr/>
      </vt:variant>
      <vt:variant>
        <vt:lpwstr>_Toc159859240</vt:lpwstr>
      </vt:variant>
      <vt:variant>
        <vt:i4>5374022</vt:i4>
      </vt:variant>
      <vt:variant>
        <vt:i4>15</vt:i4>
      </vt:variant>
      <vt:variant>
        <vt:i4>0</vt:i4>
      </vt:variant>
      <vt:variant>
        <vt:i4>5</vt:i4>
      </vt:variant>
      <vt:variant>
        <vt:lpwstr>http://www.budget.gov.au/</vt:lpwstr>
      </vt:variant>
      <vt:variant>
        <vt:lpwstr/>
      </vt:variant>
      <vt:variant>
        <vt:i4>1572908</vt:i4>
      </vt:variant>
      <vt:variant>
        <vt:i4>12</vt:i4>
      </vt:variant>
      <vt:variant>
        <vt:i4>0</vt:i4>
      </vt:variant>
      <vt:variant>
        <vt:i4>5</vt:i4>
      </vt:variant>
      <vt:variant>
        <vt:lpwstr>mailto:dfg.cbc@defence.gov.au</vt:lpwstr>
      </vt:variant>
      <vt:variant>
        <vt:lpwstr/>
      </vt:variant>
      <vt:variant>
        <vt:i4>2818104</vt:i4>
      </vt:variant>
      <vt:variant>
        <vt:i4>9</vt:i4>
      </vt:variant>
      <vt:variant>
        <vt:i4>0</vt:i4>
      </vt:variant>
      <vt:variant>
        <vt:i4>5</vt:i4>
      </vt:variant>
      <vt:variant>
        <vt:lpwstr>http://www.pmc.gov.au/government/commonwealth-coat-arms</vt:lpwstr>
      </vt:variant>
      <vt:variant>
        <vt:lpwstr/>
      </vt:variant>
      <vt:variant>
        <vt:i4>5111827</vt:i4>
      </vt:variant>
      <vt:variant>
        <vt:i4>6</vt:i4>
      </vt:variant>
      <vt:variant>
        <vt:i4>0</vt:i4>
      </vt:variant>
      <vt:variant>
        <vt:i4>5</vt:i4>
      </vt:variant>
      <vt:variant>
        <vt:lpwstr>http://creativecommons.org/licenses/by/3.0/au/deed.en</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ADDITIONAL</dc:title>
  <dc:subject/>
  <dc:creator>Roberts, Phil MR 1</dc:creator>
  <cp:keywords/>
  <dc:description/>
  <cp:lastModifiedBy>Kearns, Deborah MS</cp:lastModifiedBy>
  <cp:revision>166</cp:revision>
  <cp:lastPrinted>2025-03-20T22:15:00Z</cp:lastPrinted>
  <dcterms:created xsi:type="dcterms:W3CDTF">2025-03-06T20:09:00Z</dcterms:created>
  <dcterms:modified xsi:type="dcterms:W3CDTF">2025-03-24T03:15:00Z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BO44891230</vt:lpwstr>
  </property>
  <property fmtid="{D5CDD505-2E9C-101B-9397-08002B2CF9AE}" pid="3" name="Objective-Title">
    <vt:lpwstr>2025-26_Defence_PBS_00_Complete</vt:lpwstr>
  </property>
  <property fmtid="{D5CDD505-2E9C-101B-9397-08002B2CF9AE}" pid="4" name="Objective-Comment">
    <vt:lpwstr/>
  </property>
  <property fmtid="{D5CDD505-2E9C-101B-9397-08002B2CF9AE}" pid="5" name="Objective-CreationStamp">
    <vt:filetime>2025-03-23T23:00:15Z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2025-03-24T03:17:46Z</vt:filetime>
  </property>
  <property fmtid="{D5CDD505-2E9C-101B-9397-08002B2CF9AE}" pid="9" name="Objective-ModificationStamp">
    <vt:filetime>2025-03-24T13:22:33Z</vt:filetime>
  </property>
  <property fmtid="{D5CDD505-2E9C-101B-9397-08002B2CF9AE}" pid="10" name="Objective-Owner">
    <vt:lpwstr>Defence</vt:lpwstr>
  </property>
  <property fmtid="{D5CDD505-2E9C-101B-9397-08002B2CF9AE}" pid="11" name="Objective-Path">
    <vt:lpwstr>Objective Global Folder - PROD:Defence Business Units:Associate Secretary Organisation:Defence Finance Group:CFO : Chief Finance Officer:01 FAS Budgets and Financial Services:03. AS Budgeting and Reporting:02 Directorate of Commonwealth Budget Coordination:Budget:2025-26:2025-26 PB Statements:11 Printing / Publishing / Delivery:Web Publishing:</vt:lpwstr>
  </property>
  <property fmtid="{D5CDD505-2E9C-101B-9397-08002B2CF9AE}" pid="12" name="Objective-Parent">
    <vt:lpwstr>Web Publishing</vt:lpwstr>
  </property>
  <property fmtid="{D5CDD505-2E9C-101B-9397-08002B2CF9AE}" pid="13" name="Objective-State">
    <vt:lpwstr>Published</vt:lpwstr>
  </property>
  <property fmtid="{D5CDD505-2E9C-101B-9397-08002B2CF9AE}" pid="14" name="Objective-Version">
    <vt:lpwstr>2.0</vt:lpwstr>
  </property>
  <property fmtid="{D5CDD505-2E9C-101B-9397-08002B2CF9AE}" pid="15" name="Objective-VersionNumber">
    <vt:i4>2</vt:i4>
  </property>
  <property fmtid="{D5CDD505-2E9C-101B-9397-08002B2CF9AE}" pid="16" name="Objective-VersionComment">
    <vt:lpwstr/>
  </property>
  <property fmtid="{D5CDD505-2E9C-101B-9397-08002B2CF9AE}" pid="17" name="Objective-FileNumber">
    <vt:lpwstr/>
  </property>
  <property fmtid="{D5CDD505-2E9C-101B-9397-08002B2CF9AE}" pid="18" name="Objective-Classification">
    <vt:lpwstr>Protected</vt:lpwstr>
  </property>
  <property fmtid="{D5CDD505-2E9C-101B-9397-08002B2CF9AE}" pid="19" name="Objective-Caveats">
    <vt:lpwstr/>
  </property>
  <property fmtid="{D5CDD505-2E9C-101B-9397-08002B2CF9AE}" pid="20" name="Objective-Document Type [system]">
    <vt:lpwstr/>
  </property>
  <property fmtid="{D5CDD505-2E9C-101B-9397-08002B2CF9AE}" pid="21" name="Validation_Key">
    <vt:lpwstr>PBS</vt:lpwstr>
  </property>
  <property fmtid="{D5CDD505-2E9C-101B-9397-08002B2CF9AE}" pid="22" name="Objective-Reason for Security Classification Change [system]">
    <vt:lpwstr/>
  </property>
</Properties>
</file>